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jpeg" ContentType="image/jpeg"/>
  <Override PartName="/word/footer2.xml" ContentType="application/vnd.openxmlformats-officedocument.wordprocessingml.footer+xml"/>
  <Default Extension="png" ContentType="image/png"/>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footer20.xml" ContentType="application/vnd.openxmlformats-officedocument.wordprocessingml.footer+xml"/>
  <Override PartName="/word/header19.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6.xml" ContentType="application/vnd.openxmlformats-officedocument.wordprocessingml.footer+xml"/>
  <Override PartName="/word/header23.xml" ContentType="application/vnd.openxmlformats-officedocument.wordprocessingml.header+xml"/>
  <Override PartName="/word/footer27.xml" ContentType="application/vnd.openxmlformats-officedocument.wordprocessingml.footer+xml"/>
  <Override PartName="/word/header24.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header25.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26.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r>
        <w:rPr/>
        <w:pict>
          <v:group style="position:absolute;margin-left:55.200001pt;margin-top:50.94001pt;width:484.95pt;height:.1pt;mso-position-horizontal-relative:page;mso-position-vertical-relative:page;z-index:0" coordorigin="1104,1019" coordsize="9699,2">
            <v:shape style="position:absolute;left:1104;top:1019;width:9699;height:2" coordorigin="1104,1019" coordsize="9699,0" path="m1104,1019l10802,1019e" filled="false" stroked="true" strokeweight=".47998pt" strokecolor="#000000">
              <v:path arrowok="t"/>
            </v:shape>
            <w10:wrap type="none"/>
          </v:group>
        </w:pic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3"/>
          <w:szCs w:val="13"/>
        </w:rPr>
      </w:pPr>
    </w:p>
    <w:p>
      <w:pPr>
        <w:spacing w:line="1092" w:lineRule="exact"/>
        <w:ind w:left="4085"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1"/>
          <w:sz w:val="20"/>
          <w:szCs w:val="20"/>
        </w:rPr>
        <w:drawing>
          <wp:inline distT="0" distB="0" distL="0" distR="0">
            <wp:extent cx="1127759" cy="693420"/>
            <wp:effectExtent l="0" t="0" r="0" b="0"/>
            <wp:docPr id="1" name="image2.jpeg" descr=""/>
            <wp:cNvGraphicFramePr>
              <a:graphicFrameLocks noChangeAspect="1"/>
            </wp:cNvGraphicFramePr>
            <a:graphic>
              <a:graphicData uri="http://schemas.openxmlformats.org/drawingml/2006/picture">
                <pic:pic>
                  <pic:nvPicPr>
                    <pic:cNvPr id="2" name="image2.jpeg"/>
                    <pic:cNvPicPr/>
                  </pic:nvPicPr>
                  <pic:blipFill>
                    <a:blip r:embed="rId7" cstate="print"/>
                    <a:stretch>
                      <a:fillRect/>
                    </a:stretch>
                  </pic:blipFill>
                  <pic:spPr>
                    <a:xfrm>
                      <a:off x="0" y="0"/>
                      <a:ext cx="1127759" cy="693420"/>
                    </a:xfrm>
                    <a:prstGeom prst="rect">
                      <a:avLst/>
                    </a:prstGeom>
                  </pic:spPr>
                </pic:pic>
              </a:graphicData>
            </a:graphic>
          </wp:inline>
        </w:drawing>
      </w:r>
      <w:r>
        <w:rPr>
          <w:rFonts w:ascii="Times New Roman" w:hAnsi="Times New Roman" w:cs="Times New Roman" w:eastAsia="Times New Roman" w:hint="default"/>
          <w:position w:val="-21"/>
          <w:sz w:val="20"/>
          <w:szCs w:val="20"/>
        </w:rPr>
      </w:r>
    </w:p>
    <w:p>
      <w:pPr>
        <w:spacing w:line="240" w:lineRule="auto" w:before="3"/>
        <w:rPr>
          <w:rFonts w:ascii="Times New Roman" w:hAnsi="Times New Roman" w:cs="Times New Roman" w:eastAsia="Times New Roman" w:hint="default"/>
          <w:sz w:val="13"/>
          <w:szCs w:val="13"/>
        </w:rPr>
      </w:pPr>
    </w:p>
    <w:p>
      <w:pPr>
        <w:spacing w:line="460" w:lineRule="exact" w:before="0"/>
        <w:ind w:left="155" w:right="1131" w:firstLine="0"/>
        <w:jc w:val="center"/>
        <w:rPr>
          <w:rFonts w:ascii="宋体" w:hAnsi="宋体" w:cs="宋体" w:eastAsia="宋体" w:hint="default"/>
          <w:sz w:val="36"/>
          <w:szCs w:val="36"/>
        </w:rPr>
      </w:pPr>
      <w:r>
        <w:rPr>
          <w:rFonts w:ascii="宋体" w:hAnsi="宋体" w:cs="宋体" w:eastAsia="宋体" w:hint="default"/>
          <w:b/>
          <w:bCs/>
          <w:sz w:val="36"/>
          <w:szCs w:val="36"/>
        </w:rPr>
        <w:t>中国长城科技集团股份有限公司</w:t>
      </w:r>
      <w:r>
        <w:rPr>
          <w:rFonts w:ascii="宋体" w:hAnsi="宋体" w:cs="宋体" w:eastAsia="宋体" w:hint="default"/>
          <w:sz w:val="36"/>
          <w:szCs w:val="36"/>
        </w:rPr>
      </w:r>
    </w:p>
    <w:p>
      <w:pPr>
        <w:spacing w:line="240" w:lineRule="auto" w:before="9"/>
        <w:rPr>
          <w:rFonts w:ascii="宋体" w:hAnsi="宋体" w:cs="宋体" w:eastAsia="宋体" w:hint="default"/>
          <w:b/>
          <w:bCs/>
          <w:sz w:val="30"/>
          <w:szCs w:val="30"/>
        </w:rPr>
      </w:pPr>
    </w:p>
    <w:p>
      <w:pPr>
        <w:spacing w:before="0"/>
        <w:ind w:left="155" w:right="1131" w:firstLine="0"/>
        <w:jc w:val="center"/>
        <w:rPr>
          <w:rFonts w:ascii="宋体" w:hAnsi="宋体" w:cs="宋体" w:eastAsia="宋体" w:hint="default"/>
          <w:sz w:val="32"/>
          <w:szCs w:val="32"/>
        </w:rPr>
      </w:pPr>
      <w:r>
        <w:rPr>
          <w:rFonts w:ascii="Times New Roman" w:hAnsi="Times New Roman" w:cs="Times New Roman" w:eastAsia="Times New Roman" w:hint="default"/>
          <w:b/>
          <w:bCs/>
          <w:sz w:val="32"/>
          <w:szCs w:val="32"/>
        </w:rPr>
        <w:t>2018</w:t>
      </w:r>
      <w:r>
        <w:rPr>
          <w:rFonts w:ascii="Times New Roman" w:hAnsi="Times New Roman" w:cs="Times New Roman" w:eastAsia="Times New Roman" w:hint="default"/>
          <w:b/>
          <w:bCs/>
          <w:spacing w:val="-5"/>
          <w:sz w:val="32"/>
          <w:szCs w:val="32"/>
        </w:rPr>
        <w:t> </w:t>
      </w:r>
      <w:r>
        <w:rPr>
          <w:rFonts w:ascii="宋体" w:hAnsi="宋体" w:cs="宋体" w:eastAsia="宋体" w:hint="default"/>
          <w:b/>
          <w:bCs/>
          <w:sz w:val="32"/>
          <w:szCs w:val="32"/>
        </w:rPr>
        <w:t>年度报告</w:t>
      </w:r>
      <w:r>
        <w:rPr>
          <w:rFonts w:ascii="宋体" w:hAnsi="宋体" w:cs="宋体" w:eastAsia="宋体" w:hint="default"/>
          <w:sz w:val="32"/>
          <w:szCs w:val="32"/>
        </w:rPr>
      </w: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5"/>
        <w:rPr>
          <w:rFonts w:ascii="宋体" w:hAnsi="宋体" w:cs="宋体" w:eastAsia="宋体" w:hint="default"/>
          <w:b/>
          <w:bCs/>
          <w:sz w:val="48"/>
          <w:szCs w:val="48"/>
        </w:rPr>
      </w:pPr>
    </w:p>
    <w:p>
      <w:pPr>
        <w:spacing w:before="0"/>
        <w:ind w:left="155" w:right="1131" w:firstLine="0"/>
        <w:jc w:val="center"/>
        <w:rPr>
          <w:rFonts w:ascii="宋体" w:hAnsi="宋体" w:cs="宋体" w:eastAsia="宋体" w:hint="default"/>
          <w:sz w:val="32"/>
          <w:szCs w:val="32"/>
        </w:rPr>
      </w:pPr>
      <w:r>
        <w:rPr>
          <w:rFonts w:ascii="Times New Roman" w:hAnsi="Times New Roman" w:cs="Times New Roman" w:eastAsia="Times New Roman" w:hint="default"/>
          <w:b/>
          <w:bCs/>
          <w:sz w:val="32"/>
          <w:szCs w:val="32"/>
        </w:rPr>
        <w:t>2019</w:t>
      </w:r>
      <w:r>
        <w:rPr>
          <w:rFonts w:ascii="Times New Roman" w:hAnsi="Times New Roman" w:cs="Times New Roman" w:eastAsia="Times New Roman" w:hint="default"/>
          <w:b/>
          <w:bCs/>
          <w:spacing w:val="-1"/>
          <w:sz w:val="32"/>
          <w:szCs w:val="32"/>
        </w:rPr>
        <w:t> </w:t>
      </w:r>
      <w:r>
        <w:rPr>
          <w:rFonts w:ascii="宋体" w:hAnsi="宋体" w:cs="宋体" w:eastAsia="宋体" w:hint="default"/>
          <w:b/>
          <w:bCs/>
          <w:sz w:val="32"/>
          <w:szCs w:val="32"/>
        </w:rPr>
        <w:t>年</w:t>
      </w:r>
      <w:r>
        <w:rPr>
          <w:rFonts w:ascii="宋体" w:hAnsi="宋体" w:cs="宋体" w:eastAsia="宋体" w:hint="default"/>
          <w:b/>
          <w:bCs/>
          <w:spacing w:val="-83"/>
          <w:sz w:val="32"/>
          <w:szCs w:val="32"/>
        </w:rPr>
        <w:t> </w:t>
      </w:r>
      <w:r>
        <w:rPr>
          <w:rFonts w:ascii="Times New Roman" w:hAnsi="Times New Roman" w:cs="Times New Roman" w:eastAsia="Times New Roman" w:hint="default"/>
          <w:b/>
          <w:bCs/>
          <w:sz w:val="32"/>
          <w:szCs w:val="32"/>
        </w:rPr>
        <w:t>04</w:t>
      </w:r>
      <w:r>
        <w:rPr>
          <w:rFonts w:ascii="Times New Roman" w:hAnsi="Times New Roman" w:cs="Times New Roman" w:eastAsia="Times New Roman" w:hint="default"/>
          <w:b/>
          <w:bCs/>
          <w:spacing w:val="-3"/>
          <w:sz w:val="32"/>
          <w:szCs w:val="32"/>
        </w:rPr>
        <w:t> </w:t>
      </w:r>
      <w:r>
        <w:rPr>
          <w:rFonts w:ascii="宋体" w:hAnsi="宋体" w:cs="宋体" w:eastAsia="宋体" w:hint="default"/>
          <w:b/>
          <w:bCs/>
          <w:sz w:val="32"/>
          <w:szCs w:val="32"/>
        </w:rPr>
        <w:t>月</w:t>
      </w:r>
      <w:r>
        <w:rPr>
          <w:rFonts w:ascii="宋体" w:hAnsi="宋体" w:cs="宋体" w:eastAsia="宋体" w:hint="default"/>
          <w:sz w:val="32"/>
          <w:szCs w:val="32"/>
        </w:rPr>
      </w:r>
    </w:p>
    <w:p>
      <w:pPr>
        <w:spacing w:after="0"/>
        <w:jc w:val="center"/>
        <w:rPr>
          <w:rFonts w:ascii="宋体" w:hAnsi="宋体" w:cs="宋体" w:eastAsia="宋体" w:hint="default"/>
          <w:sz w:val="32"/>
          <w:szCs w:val="32"/>
        </w:rPr>
        <w:sectPr>
          <w:headerReference w:type="default" r:id="rId5"/>
          <w:footerReference w:type="default" r:id="rId6"/>
          <w:type w:val="continuous"/>
          <w:pgSz w:w="11910" w:h="16840"/>
          <w:pgMar w:header="787" w:footer="504" w:top="1100" w:bottom="700" w:left="980" w:right="0"/>
        </w:sectPr>
      </w:pPr>
    </w:p>
    <w:p>
      <w:pPr>
        <w:spacing w:line="240" w:lineRule="auto" w:before="11"/>
        <w:rPr>
          <w:rFonts w:ascii="宋体" w:hAnsi="宋体" w:cs="宋体" w:eastAsia="宋体" w:hint="default"/>
          <w:b/>
          <w:bCs/>
          <w:sz w:val="2"/>
          <w:szCs w:val="2"/>
        </w:rPr>
      </w:pPr>
    </w:p>
    <w:p>
      <w:pPr>
        <w:spacing w:line="20" w:lineRule="exact"/>
        <w:ind w:left="119" w:right="0" w:firstLine="0"/>
        <w:rPr>
          <w:rFonts w:ascii="宋体" w:hAnsi="宋体" w:cs="宋体" w:eastAsia="宋体" w:hint="default"/>
          <w:sz w:val="2"/>
          <w:szCs w:val="2"/>
        </w:rPr>
      </w:pPr>
      <w:r>
        <w:rPr>
          <w:rFonts w:ascii="宋体" w:hAnsi="宋体" w:cs="宋体" w:eastAsia="宋体" w:hint="default"/>
          <w:sz w:val="2"/>
          <w:szCs w:val="2"/>
        </w:rPr>
        <w:pict>
          <v:group style="width:485.4pt;height:.5pt;mso-position-horizontal-relative:char;mso-position-vertical-relative:line" coordorigin="0,0" coordsize="9708,10">
            <v:group style="position:absolute;left:5;top:5;width:9699;height:2" coordorigin="5,5" coordsize="9699,2">
              <v:shape style="position:absolute;left:5;top:5;width:9699;height:2" coordorigin="5,5" coordsize="9699,0" path="m5,5l9703,5e" filled="false" stroked="true" strokeweight=".48004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5"/>
          <w:szCs w:val="15"/>
        </w:rPr>
      </w:pPr>
    </w:p>
    <w:p>
      <w:pPr>
        <w:pStyle w:val="Heading1"/>
        <w:spacing w:line="240" w:lineRule="auto"/>
        <w:ind w:left="2804" w:right="0"/>
        <w:jc w:val="left"/>
        <w:rPr>
          <w:b w:val="0"/>
          <w:bCs w:val="0"/>
        </w:rPr>
      </w:pPr>
      <w:bookmarkStart w:name="_TOC_250011" w:id="1"/>
      <w:r>
        <w:rPr/>
        <w:t>第一节</w:t>
      </w:r>
      <w:r>
        <w:rPr>
          <w:spacing w:val="-11"/>
        </w:rPr>
        <w:t> </w:t>
      </w:r>
      <w:r>
        <w:rPr/>
        <w:t>重要提示、目录和释义</w:t>
      </w:r>
      <w:bookmarkEnd w:id="1"/>
      <w:r>
        <w:rPr>
          <w:b w:val="0"/>
          <w:bCs w:val="0"/>
        </w:rPr>
      </w:r>
    </w:p>
    <w:p>
      <w:pPr>
        <w:spacing w:line="240" w:lineRule="auto" w:before="0"/>
        <w:rPr>
          <w:rFonts w:ascii="宋体" w:hAnsi="宋体" w:cs="宋体" w:eastAsia="宋体" w:hint="default"/>
          <w:b/>
          <w:bCs/>
          <w:sz w:val="32"/>
          <w:szCs w:val="32"/>
        </w:rPr>
      </w:pPr>
    </w:p>
    <w:p>
      <w:pPr>
        <w:pStyle w:val="Heading2"/>
        <w:spacing w:line="408" w:lineRule="auto" w:before="211"/>
        <w:ind w:right="1127" w:firstLine="561"/>
        <w:jc w:val="both"/>
        <w:rPr>
          <w:b w:val="0"/>
          <w:bCs w:val="0"/>
        </w:rPr>
      </w:pPr>
      <w:r>
        <w:rPr>
          <w:spacing w:val="4"/>
          <w:w w:val="95"/>
        </w:rPr>
        <w:t>公司董事会、监事会及董事、监事、高级管理人员保证年度报告内容的真</w:t>
      </w:r>
      <w:r>
        <w:rPr>
          <w:spacing w:val="4"/>
          <w:w w:val="99"/>
        </w:rPr>
        <w:t> </w:t>
      </w:r>
      <w:r>
        <w:rPr>
          <w:spacing w:val="3"/>
          <w:w w:val="95"/>
        </w:rPr>
        <w:t>实、准确、完整，不存在虚假记载、误导性陈述或重大遗漏，并承担个别和连</w:t>
      </w:r>
      <w:r>
        <w:rPr>
          <w:spacing w:val="19"/>
          <w:w w:val="95"/>
        </w:rPr>
        <w:t> </w:t>
      </w:r>
      <w:r>
        <w:rPr>
          <w:spacing w:val="19"/>
          <w:w w:val="95"/>
        </w:rPr>
      </w:r>
      <w:r>
        <w:rPr/>
        <w:t>带的法律责任。</w:t>
      </w:r>
      <w:r>
        <w:rPr>
          <w:b w:val="0"/>
          <w:bCs w:val="0"/>
        </w:rPr>
      </w:r>
    </w:p>
    <w:p>
      <w:pPr>
        <w:pStyle w:val="Heading2"/>
        <w:spacing w:line="410" w:lineRule="auto" w:before="161"/>
        <w:ind w:right="1127" w:firstLine="561"/>
        <w:jc w:val="both"/>
        <w:rPr>
          <w:b w:val="0"/>
          <w:bCs w:val="0"/>
        </w:rPr>
      </w:pPr>
      <w:r>
        <w:rPr>
          <w:spacing w:val="4"/>
          <w:w w:val="95"/>
        </w:rPr>
        <w:t>公司负责人宋黎定、主管会计工作负责人刘文彬及会计机构负责人（会计</w:t>
      </w:r>
      <w:r>
        <w:rPr>
          <w:spacing w:val="4"/>
          <w:w w:val="99"/>
        </w:rPr>
        <w:t> </w:t>
      </w:r>
      <w:r>
        <w:rPr/>
        <w:t>主管人员）许少霞声明：保证年度报告中财务报告的真实、准确、完整。</w:t>
      </w:r>
      <w:r>
        <w:rPr>
          <w:b w:val="0"/>
          <w:bCs w:val="0"/>
        </w:rPr>
      </w:r>
    </w:p>
    <w:p>
      <w:pPr>
        <w:pStyle w:val="Heading2"/>
        <w:spacing w:line="240" w:lineRule="auto" w:before="158"/>
        <w:ind w:left="715" w:right="0"/>
        <w:jc w:val="left"/>
        <w:rPr>
          <w:b w:val="0"/>
          <w:bCs w:val="0"/>
        </w:rPr>
      </w:pPr>
      <w:r>
        <w:rPr/>
        <w:t>除下列董事外，其他董事亲自出席了审议本次年报的董事会会议</w:t>
      </w:r>
      <w:r>
        <w:rPr>
          <w:b w:val="0"/>
          <w:bCs w:val="0"/>
        </w:rPr>
      </w:r>
    </w:p>
    <w:p>
      <w:pPr>
        <w:spacing w:line="240" w:lineRule="auto" w:before="10"/>
        <w:rPr>
          <w:rFonts w:ascii="宋体" w:hAnsi="宋体" w:cs="宋体" w:eastAsia="宋体" w:hint="default"/>
          <w:b/>
          <w:bCs/>
          <w:sz w:val="20"/>
          <w:szCs w:val="20"/>
        </w:rPr>
      </w:pPr>
    </w:p>
    <w:tbl>
      <w:tblPr>
        <w:tblW w:w="0" w:type="auto"/>
        <w:jc w:val="left"/>
        <w:tblInd w:w="183" w:type="dxa"/>
        <w:tblLayout w:type="fixed"/>
        <w:tblCellMar>
          <w:top w:w="0" w:type="dxa"/>
          <w:left w:w="0" w:type="dxa"/>
          <w:bottom w:w="0" w:type="dxa"/>
          <w:right w:w="0" w:type="dxa"/>
        </w:tblCellMar>
        <w:tblLook w:val="01E0"/>
      </w:tblPr>
      <w:tblGrid>
        <w:gridCol w:w="2518"/>
        <w:gridCol w:w="2551"/>
        <w:gridCol w:w="2410"/>
        <w:gridCol w:w="2090"/>
      </w:tblGrid>
      <w:tr>
        <w:trPr>
          <w:trHeight w:val="401" w:hRule="exact"/>
        </w:trPr>
        <w:tc>
          <w:tcPr>
            <w:tcW w:w="251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2"/>
              <w:ind w:right="0"/>
              <w:jc w:val="center"/>
              <w:rPr>
                <w:rFonts w:ascii="宋体" w:hAnsi="宋体" w:cs="宋体" w:eastAsia="宋体" w:hint="default"/>
                <w:sz w:val="24"/>
                <w:szCs w:val="24"/>
              </w:rPr>
            </w:pPr>
            <w:r>
              <w:rPr>
                <w:rFonts w:ascii="宋体" w:hAnsi="宋体" w:cs="宋体" w:eastAsia="宋体" w:hint="default"/>
                <w:sz w:val="24"/>
                <w:szCs w:val="24"/>
              </w:rPr>
              <w:t>未亲自出席董事姓名</w:t>
            </w:r>
          </w:p>
        </w:tc>
        <w:tc>
          <w:tcPr>
            <w:tcW w:w="255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2"/>
              <w:ind w:right="0"/>
              <w:jc w:val="center"/>
              <w:rPr>
                <w:rFonts w:ascii="宋体" w:hAnsi="宋体" w:cs="宋体" w:eastAsia="宋体" w:hint="default"/>
                <w:sz w:val="24"/>
                <w:szCs w:val="24"/>
              </w:rPr>
            </w:pPr>
            <w:r>
              <w:rPr>
                <w:rFonts w:ascii="宋体" w:hAnsi="宋体" w:cs="宋体" w:eastAsia="宋体" w:hint="default"/>
                <w:sz w:val="24"/>
                <w:szCs w:val="24"/>
              </w:rPr>
              <w:t>未亲自出席董事职务</w:t>
            </w:r>
          </w:p>
        </w:tc>
        <w:tc>
          <w:tcPr>
            <w:tcW w:w="241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2"/>
              <w:ind w:right="0"/>
              <w:jc w:val="center"/>
              <w:rPr>
                <w:rFonts w:ascii="宋体" w:hAnsi="宋体" w:cs="宋体" w:eastAsia="宋体" w:hint="default"/>
                <w:sz w:val="24"/>
                <w:szCs w:val="24"/>
              </w:rPr>
            </w:pPr>
            <w:r>
              <w:rPr>
                <w:rFonts w:ascii="宋体" w:hAnsi="宋体" w:cs="宋体" w:eastAsia="宋体" w:hint="default"/>
                <w:sz w:val="24"/>
                <w:szCs w:val="24"/>
              </w:rPr>
              <w:t>未亲自出席会议原因</w:t>
            </w:r>
          </w:p>
        </w:tc>
        <w:tc>
          <w:tcPr>
            <w:tcW w:w="20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2"/>
              <w:ind w:right="0"/>
              <w:jc w:val="center"/>
              <w:rPr>
                <w:rFonts w:ascii="宋体" w:hAnsi="宋体" w:cs="宋体" w:eastAsia="宋体" w:hint="default"/>
                <w:sz w:val="24"/>
                <w:szCs w:val="24"/>
              </w:rPr>
            </w:pPr>
            <w:r>
              <w:rPr>
                <w:rFonts w:ascii="宋体" w:hAnsi="宋体" w:cs="宋体" w:eastAsia="宋体" w:hint="default"/>
                <w:sz w:val="24"/>
                <w:szCs w:val="24"/>
              </w:rPr>
              <w:t>被委托人姓名</w:t>
            </w:r>
          </w:p>
        </w:tc>
      </w:tr>
      <w:tr>
        <w:trPr>
          <w:trHeight w:val="403" w:hRule="exact"/>
        </w:trPr>
        <w:tc>
          <w:tcPr>
            <w:tcW w:w="25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24"/>
                <w:szCs w:val="24"/>
              </w:rPr>
            </w:pPr>
            <w:r>
              <w:rPr>
                <w:rFonts w:ascii="宋体" w:hAnsi="宋体" w:cs="宋体" w:eastAsia="宋体" w:hint="default"/>
                <w:sz w:val="24"/>
                <w:szCs w:val="24"/>
              </w:rPr>
              <w:t>李峻</w:t>
            </w:r>
          </w:p>
        </w:tc>
        <w:tc>
          <w:tcPr>
            <w:tcW w:w="2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24"/>
                <w:szCs w:val="24"/>
              </w:rPr>
            </w:pPr>
            <w:r>
              <w:rPr>
                <w:rFonts w:ascii="宋体" w:hAnsi="宋体" w:cs="宋体" w:eastAsia="宋体" w:hint="default"/>
                <w:sz w:val="24"/>
                <w:szCs w:val="24"/>
              </w:rPr>
              <w:t>董事</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24"/>
                <w:szCs w:val="24"/>
              </w:rPr>
            </w:pPr>
            <w:r>
              <w:rPr>
                <w:rFonts w:ascii="宋体" w:hAnsi="宋体" w:cs="宋体" w:eastAsia="宋体" w:hint="default"/>
                <w:sz w:val="24"/>
                <w:szCs w:val="24"/>
              </w:rPr>
              <w:t>因公出差</w:t>
            </w:r>
          </w:p>
        </w:tc>
        <w:tc>
          <w:tcPr>
            <w:tcW w:w="2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24"/>
                <w:szCs w:val="24"/>
              </w:rPr>
            </w:pPr>
            <w:r>
              <w:rPr>
                <w:rFonts w:ascii="宋体" w:hAnsi="宋体" w:cs="宋体" w:eastAsia="宋体" w:hint="default"/>
                <w:sz w:val="24"/>
                <w:szCs w:val="24"/>
              </w:rPr>
              <w:t>张志勇</w:t>
            </w:r>
          </w:p>
        </w:tc>
      </w:tr>
    </w:tbl>
    <w:p>
      <w:pPr>
        <w:spacing w:line="240" w:lineRule="auto" w:before="2"/>
        <w:rPr>
          <w:rFonts w:ascii="宋体" w:hAnsi="宋体" w:cs="宋体" w:eastAsia="宋体" w:hint="default"/>
          <w:b/>
          <w:bCs/>
          <w:sz w:val="13"/>
          <w:szCs w:val="13"/>
        </w:rPr>
      </w:pPr>
    </w:p>
    <w:p>
      <w:pPr>
        <w:pStyle w:val="Heading2"/>
        <w:spacing w:line="408" w:lineRule="auto" w:before="13"/>
        <w:ind w:right="1127" w:firstLine="561"/>
        <w:jc w:val="both"/>
        <w:rPr>
          <w:b w:val="0"/>
          <w:bCs w:val="0"/>
        </w:rPr>
      </w:pPr>
      <w:r>
        <w:rPr>
          <w:spacing w:val="4"/>
          <w:w w:val="95"/>
        </w:rPr>
        <w:t>本年度报告内涉及的未来计划、发展战略等前瞻性陈述不构成公司对投资</w:t>
      </w:r>
      <w:r>
        <w:rPr>
          <w:spacing w:val="4"/>
          <w:w w:val="99"/>
        </w:rPr>
        <w:t> </w:t>
      </w:r>
      <w:r>
        <w:rPr>
          <w:spacing w:val="3"/>
          <w:w w:val="95"/>
        </w:rPr>
        <w:t>者的实质承诺，投资者及相关人士均应当对此保持足够的风险认识，并且应当</w:t>
      </w:r>
      <w:r>
        <w:rPr>
          <w:spacing w:val="19"/>
          <w:w w:val="95"/>
        </w:rPr>
        <w:t> </w:t>
      </w:r>
      <w:r>
        <w:rPr>
          <w:spacing w:val="19"/>
          <w:w w:val="95"/>
        </w:rPr>
      </w:r>
      <w:r>
        <w:rPr/>
        <w:t>理解计划、预测与承诺之间的差异，请注意投资风险。</w:t>
      </w:r>
      <w:r>
        <w:rPr>
          <w:b w:val="0"/>
          <w:bCs w:val="0"/>
        </w:rPr>
      </w:r>
    </w:p>
    <w:p>
      <w:pPr>
        <w:pStyle w:val="Heading2"/>
        <w:spacing w:line="400" w:lineRule="auto" w:before="160"/>
        <w:ind w:left="154" w:right="1131" w:firstLine="561"/>
        <w:jc w:val="both"/>
        <w:rPr>
          <w:b w:val="0"/>
          <w:bCs w:val="0"/>
        </w:rPr>
      </w:pPr>
      <w:r>
        <w:rPr>
          <w:spacing w:val="-6"/>
          <w:w w:val="95"/>
        </w:rPr>
        <w:t>公司风险因素已经于第四节“公司未来发展的展望”和财务报告附注的“与</w:t>
      </w:r>
      <w:r>
        <w:rPr>
          <w:w w:val="99"/>
        </w:rPr>
        <w:t> </w:t>
      </w:r>
      <w:r>
        <w:rPr>
          <w:spacing w:val="-20"/>
          <w:w w:val="99"/>
        </w:rPr>
        <w:t>金融工具相关的风险”中披露；《中国证券报》、《证券时报》、《上海证券报》和</w:t>
      </w:r>
      <w:r>
        <w:rPr>
          <w:spacing w:val="-128"/>
          <w:w w:val="99"/>
        </w:rPr>
        <w:t> </w:t>
      </w:r>
      <w:r>
        <w:rPr>
          <w:spacing w:val="-128"/>
          <w:w w:val="99"/>
        </w:rPr>
      </w:r>
      <w:r>
        <w:rPr>
          <w:w w:val="95"/>
        </w:rPr>
        <w:t>巨潮资讯网（</w:t>
      </w:r>
      <w:hyperlink r:id="rId9">
        <w:r>
          <w:rPr>
            <w:rFonts w:ascii="Times New Roman" w:hAnsi="Times New Roman" w:cs="Times New Roman" w:eastAsia="Times New Roman" w:hint="default"/>
            <w:w w:val="95"/>
          </w:rPr>
          <w:t>www.cninfo.com.cn</w:t>
        </w:r>
      </w:hyperlink>
      <w:r>
        <w:rPr>
          <w:w w:val="95"/>
        </w:rPr>
        <w:t>）为公司选定的信息披露媒体，本公司所有信</w:t>
      </w:r>
      <w:r>
        <w:rPr>
          <w:spacing w:val="51"/>
          <w:w w:val="95"/>
        </w:rPr>
        <w:t> </w:t>
      </w:r>
      <w:r>
        <w:rPr/>
        <w:t>息均以在上述选定媒体刊登的信息为准，敬请投资者注意投资风险。</w:t>
      </w:r>
      <w:r>
        <w:rPr>
          <w:b w:val="0"/>
          <w:bCs w:val="0"/>
        </w:rPr>
      </w:r>
    </w:p>
    <w:p>
      <w:pPr>
        <w:pStyle w:val="Heading2"/>
        <w:spacing w:line="240" w:lineRule="auto" w:before="169"/>
        <w:ind w:left="715" w:right="0"/>
        <w:jc w:val="left"/>
        <w:rPr>
          <w:b w:val="0"/>
          <w:bCs w:val="0"/>
        </w:rPr>
      </w:pPr>
      <w:r>
        <w:rPr>
          <w:spacing w:val="1"/>
          <w:w w:val="99"/>
        </w:rPr>
        <w:t>公司经本次董事会审议通过的利润分配预案为</w:t>
      </w:r>
      <w:r>
        <w:rPr>
          <w:spacing w:val="-123"/>
          <w:w w:val="99"/>
        </w:rPr>
        <w:t>：</w:t>
      </w:r>
      <w:r>
        <w:rPr>
          <w:w w:val="99"/>
        </w:rPr>
        <w:t>以</w:t>
      </w:r>
      <w:r>
        <w:rPr>
          <w:spacing w:val="-70"/>
        </w:rPr>
        <w:t> </w:t>
      </w:r>
      <w:r>
        <w:rPr>
          <w:rFonts w:ascii="Times New Roman" w:hAnsi="Times New Roman" w:cs="Times New Roman" w:eastAsia="Times New Roman" w:hint="default"/>
          <w:w w:val="99"/>
        </w:rPr>
        <w:t>2,936</w:t>
      </w:r>
      <w:r>
        <w:rPr>
          <w:rFonts w:ascii="Times New Roman" w:hAnsi="Times New Roman" w:cs="Times New Roman" w:eastAsia="Times New Roman" w:hint="default"/>
          <w:spacing w:val="-2"/>
          <w:w w:val="99"/>
        </w:rPr>
        <w:t>,</w:t>
      </w:r>
      <w:r>
        <w:rPr>
          <w:rFonts w:ascii="Times New Roman" w:hAnsi="Times New Roman" w:cs="Times New Roman" w:eastAsia="Times New Roman" w:hint="default"/>
          <w:w w:val="99"/>
        </w:rPr>
        <w:t>165,560</w:t>
      </w:r>
      <w:r>
        <w:rPr>
          <w:rFonts w:ascii="Times New Roman" w:hAnsi="Times New Roman" w:cs="Times New Roman" w:eastAsia="Times New Roman" w:hint="default"/>
        </w:rPr>
        <w:t> </w:t>
      </w:r>
      <w:r>
        <w:rPr>
          <w:spacing w:val="1"/>
          <w:w w:val="99"/>
        </w:rPr>
        <w:t>股为基数，</w:t>
      </w:r>
      <w:r>
        <w:rPr>
          <w:b w:val="0"/>
          <w:bCs w:val="0"/>
        </w:rPr>
      </w:r>
    </w:p>
    <w:p>
      <w:pPr>
        <w:pStyle w:val="Heading2"/>
        <w:spacing w:line="386" w:lineRule="auto" w:before="236"/>
        <w:ind w:left="154" w:right="1132" w:hanging="1"/>
        <w:jc w:val="left"/>
        <w:rPr>
          <w:b w:val="0"/>
          <w:bCs w:val="0"/>
        </w:rPr>
      </w:pPr>
      <w:r>
        <w:rPr>
          <w:w w:val="99"/>
        </w:rPr>
        <w:t>向全体股东每</w:t>
      </w:r>
      <w:r>
        <w:rPr>
          <w:spacing w:val="-66"/>
          <w:w w:val="99"/>
        </w:rPr>
        <w:t> </w:t>
      </w:r>
      <w:r>
        <w:rPr>
          <w:rFonts w:ascii="Times New Roman" w:hAnsi="Times New Roman" w:cs="Times New Roman" w:eastAsia="Times New Roman" w:hint="default"/>
          <w:w w:val="99"/>
        </w:rPr>
        <w:t>10</w:t>
      </w:r>
      <w:r>
        <w:rPr>
          <w:rFonts w:ascii="Times New Roman" w:hAnsi="Times New Roman" w:cs="Times New Roman" w:eastAsia="Times New Roman" w:hint="default"/>
          <w:spacing w:val="2"/>
          <w:w w:val="99"/>
        </w:rPr>
        <w:t> </w:t>
      </w:r>
      <w:r>
        <w:rPr>
          <w:w w:val="99"/>
        </w:rPr>
        <w:t>股派发现金红利</w:t>
      </w:r>
      <w:r>
        <w:rPr>
          <w:spacing w:val="-66"/>
          <w:w w:val="99"/>
        </w:rPr>
        <w:t> </w:t>
      </w:r>
      <w:r>
        <w:rPr>
          <w:rFonts w:ascii="Times New Roman" w:hAnsi="Times New Roman" w:cs="Times New Roman" w:eastAsia="Times New Roman" w:hint="default"/>
          <w:w w:val="99"/>
        </w:rPr>
        <w:t>0.50</w:t>
      </w:r>
      <w:r>
        <w:rPr>
          <w:rFonts w:ascii="Times New Roman" w:hAnsi="Times New Roman" w:cs="Times New Roman" w:eastAsia="Times New Roman" w:hint="default"/>
          <w:spacing w:val="3"/>
          <w:w w:val="99"/>
        </w:rPr>
        <w:t> </w:t>
      </w:r>
      <w:r>
        <w:rPr>
          <w:spacing w:val="-22"/>
          <w:w w:val="99"/>
        </w:rPr>
        <w:t>元（含税），送红股</w:t>
      </w:r>
      <w:r>
        <w:rPr>
          <w:spacing w:val="-68"/>
          <w:w w:val="99"/>
        </w:rPr>
        <w:t> </w:t>
      </w:r>
      <w:r>
        <w:rPr>
          <w:rFonts w:ascii="Times New Roman" w:hAnsi="Times New Roman" w:cs="Times New Roman" w:eastAsia="Times New Roman" w:hint="default"/>
          <w:w w:val="99"/>
        </w:rPr>
        <w:t>0</w:t>
      </w:r>
      <w:r>
        <w:rPr>
          <w:rFonts w:ascii="Times New Roman" w:hAnsi="Times New Roman" w:cs="Times New Roman" w:eastAsia="Times New Roman" w:hint="default"/>
          <w:spacing w:val="3"/>
          <w:w w:val="99"/>
        </w:rPr>
        <w:t> </w:t>
      </w:r>
      <w:r>
        <w:rPr>
          <w:spacing w:val="-22"/>
          <w:w w:val="99"/>
        </w:rPr>
        <w:t>股（含税），不以公</w:t>
      </w:r>
      <w:r>
        <w:rPr>
          <w:w w:val="99"/>
        </w:rPr>
        <w:t> </w:t>
      </w:r>
      <w:r>
        <w:rPr/>
        <w:t>积金转增股本。</w:t>
      </w:r>
      <w:r>
        <w:rPr>
          <w:b w:val="0"/>
          <w:bCs w:val="0"/>
        </w:rPr>
      </w:r>
    </w:p>
    <w:p>
      <w:pPr>
        <w:spacing w:after="0" w:line="386" w:lineRule="auto"/>
        <w:jc w:val="left"/>
        <w:sectPr>
          <w:footerReference w:type="default" r:id="rId8"/>
          <w:pgSz w:w="11910" w:h="16840"/>
          <w:pgMar w:footer="982" w:header="787" w:top="1100" w:bottom="1180" w:left="980" w:right="0"/>
          <w:pgNumType w:start="1"/>
        </w:sectPr>
      </w:pPr>
    </w:p>
    <w:p>
      <w:pPr>
        <w:spacing w:line="240" w:lineRule="auto" w:before="11"/>
        <w:rPr>
          <w:rFonts w:ascii="宋体" w:hAnsi="宋体" w:cs="宋体" w:eastAsia="宋体" w:hint="default"/>
          <w:b/>
          <w:bCs/>
          <w:sz w:val="2"/>
          <w:szCs w:val="2"/>
        </w:rPr>
      </w:pPr>
    </w:p>
    <w:p>
      <w:pPr>
        <w:spacing w:line="20" w:lineRule="exact"/>
        <w:ind w:left="119" w:right="0" w:firstLine="0"/>
        <w:rPr>
          <w:rFonts w:ascii="宋体" w:hAnsi="宋体" w:cs="宋体" w:eastAsia="宋体" w:hint="default"/>
          <w:sz w:val="2"/>
          <w:szCs w:val="2"/>
        </w:rPr>
      </w:pPr>
      <w:r>
        <w:rPr>
          <w:rFonts w:ascii="宋体" w:hAnsi="宋体" w:cs="宋体" w:eastAsia="宋体" w:hint="default"/>
          <w:sz w:val="2"/>
          <w:szCs w:val="2"/>
        </w:rPr>
        <w:pict>
          <v:group style="width:485.4pt;height:.5pt;mso-position-horizontal-relative:char;mso-position-vertical-relative:line" coordorigin="0,0" coordsize="9708,10">
            <v:group style="position:absolute;left:5;top:5;width:9699;height:2" coordorigin="5,5" coordsize="9699,2">
              <v:shape style="position:absolute;left:5;top:5;width:9699;height:2" coordorigin="5,5" coordsize="9699,0" path="m5,5l9703,5e" filled="false" stroked="true" strokeweight=".48004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22"/>
          <w:szCs w:val="22"/>
        </w:rPr>
      </w:pPr>
    </w:p>
    <w:p>
      <w:pPr>
        <w:spacing w:line="460" w:lineRule="exact" w:before="0"/>
        <w:ind w:left="155" w:right="1131" w:firstLine="0"/>
        <w:jc w:val="center"/>
        <w:rPr>
          <w:rFonts w:ascii="宋体" w:hAnsi="宋体" w:cs="宋体" w:eastAsia="宋体" w:hint="default"/>
          <w:sz w:val="36"/>
          <w:szCs w:val="36"/>
        </w:rPr>
      </w:pPr>
      <w:r>
        <w:rPr>
          <w:rFonts w:ascii="宋体" w:hAnsi="宋体" w:cs="宋体" w:eastAsia="宋体" w:hint="default"/>
          <w:b/>
          <w:bCs/>
          <w:sz w:val="36"/>
          <w:szCs w:val="36"/>
        </w:rPr>
        <w:t>目录</w:t>
      </w:r>
      <w:r>
        <w:rPr>
          <w:rFonts w:ascii="宋体" w:hAnsi="宋体" w:cs="宋体" w:eastAsia="宋体" w:hint="default"/>
          <w:sz w:val="36"/>
          <w:szCs w:val="36"/>
        </w:rPr>
      </w:r>
    </w:p>
    <w:p>
      <w:pPr>
        <w:spacing w:line="240" w:lineRule="auto" w:before="0"/>
        <w:rPr>
          <w:rFonts w:ascii="宋体" w:hAnsi="宋体" w:cs="宋体" w:eastAsia="宋体" w:hint="default"/>
          <w:b/>
          <w:bCs/>
          <w:sz w:val="36"/>
          <w:szCs w:val="36"/>
        </w:rPr>
      </w:pPr>
    </w:p>
    <w:p>
      <w:pPr>
        <w:spacing w:line="240" w:lineRule="auto" w:before="0"/>
        <w:rPr>
          <w:rFonts w:ascii="宋体" w:hAnsi="宋体" w:cs="宋体" w:eastAsia="宋体" w:hint="default"/>
          <w:b/>
          <w:bCs/>
          <w:sz w:val="36"/>
          <w:szCs w:val="36"/>
        </w:rPr>
      </w:pPr>
    </w:p>
    <w:p>
      <w:pPr>
        <w:spacing w:line="240" w:lineRule="auto" w:before="1"/>
        <w:rPr>
          <w:rFonts w:ascii="宋体" w:hAnsi="宋体" w:cs="宋体" w:eastAsia="宋体" w:hint="default"/>
          <w:b/>
          <w:bCs/>
          <w:sz w:val="42"/>
          <w:szCs w:val="42"/>
        </w:rPr>
      </w:pPr>
    </w:p>
    <w:sdt>
      <w:sdtPr>
        <w:docPartObj>
          <w:docPartGallery w:val="Table of Contents"/>
          <w:docPartUnique/>
        </w:docPartObj>
      </w:sdtPr>
      <w:sdtEndPr/>
      <w:sdtContent>
        <w:p>
          <w:pPr>
            <w:pStyle w:val="TOC1"/>
            <w:tabs>
              <w:tab w:pos="9781" w:val="right" w:leader="dot"/>
            </w:tabs>
            <w:spacing w:line="240" w:lineRule="auto" w:before="0"/>
            <w:ind w:left="154" w:right="0"/>
            <w:jc w:val="left"/>
            <w:rPr>
              <w:rFonts w:ascii="Times New Roman" w:hAnsi="Times New Roman" w:cs="Times New Roman" w:eastAsia="Times New Roman" w:hint="default"/>
              <w:b w:val="0"/>
              <w:bCs w:val="0"/>
            </w:rPr>
          </w:pPr>
          <w:r>
            <w:fldChar w:fldCharType="begin"/>
          </w:r>
          <w:r>
            <w:instrText>TOC \o "1-1" \h \z \u </w:instrText>
          </w:r>
          <w:r>
            <w:fldChar w:fldCharType="separate"/>
          </w:r>
          <w:hyperlink w:history="true" w:anchor="_TOC_250011">
            <w:r>
              <w:rPr/>
              <w:t>第一节</w:t>
            </w:r>
            <w:r>
              <w:rPr>
                <w:spacing w:val="-1"/>
              </w:rPr>
              <w:t> </w:t>
            </w:r>
            <w:r>
              <w:rPr/>
              <w:t>重要提示、目录和释义</w:t>
            </w:r>
            <w:r>
              <w:rPr>
                <w:rFonts w:ascii="Times New Roman" w:hAnsi="Times New Roman" w:cs="Times New Roman" w:eastAsia="Times New Roman" w:hint="default"/>
              </w:rPr>
              <w:tab/>
              <w:t>1</w:t>
            </w:r>
            <w:r>
              <w:rPr>
                <w:rFonts w:ascii="Times New Roman" w:hAnsi="Times New Roman" w:cs="Times New Roman" w:eastAsia="Times New Roman" w:hint="default"/>
                <w:b w:val="0"/>
                <w:bCs w:val="0"/>
              </w:rPr>
            </w:r>
          </w:hyperlink>
        </w:p>
        <w:p>
          <w:pPr>
            <w:pStyle w:val="TOC1"/>
            <w:tabs>
              <w:tab w:pos="9781" w:val="right" w:leader="dot"/>
            </w:tabs>
            <w:spacing w:line="240" w:lineRule="auto"/>
            <w:ind w:right="0"/>
            <w:jc w:val="left"/>
            <w:rPr>
              <w:rFonts w:ascii="Times New Roman" w:hAnsi="Times New Roman" w:cs="Times New Roman" w:eastAsia="Times New Roman" w:hint="default"/>
              <w:b w:val="0"/>
              <w:bCs w:val="0"/>
            </w:rPr>
          </w:pPr>
          <w:hyperlink w:history="true" w:anchor="_TOC_250010">
            <w:r>
              <w:rPr/>
              <w:t>第二节 公司简介和主要财务指标</w:t>
            </w:r>
            <w:r>
              <w:rPr>
                <w:rFonts w:ascii="Times New Roman" w:hAnsi="Times New Roman" w:cs="Times New Roman" w:eastAsia="Times New Roman" w:hint="default"/>
              </w:rPr>
              <w:tab/>
              <w:t>4</w:t>
            </w:r>
            <w:r>
              <w:rPr>
                <w:rFonts w:ascii="Times New Roman" w:hAnsi="Times New Roman" w:cs="Times New Roman" w:eastAsia="Times New Roman" w:hint="default"/>
                <w:b w:val="0"/>
                <w:bCs w:val="0"/>
              </w:rPr>
            </w:r>
          </w:hyperlink>
        </w:p>
        <w:p>
          <w:pPr>
            <w:pStyle w:val="TOC1"/>
            <w:tabs>
              <w:tab w:pos="9781" w:val="right" w:leader="dot"/>
            </w:tabs>
            <w:spacing w:line="240" w:lineRule="auto"/>
            <w:ind w:right="0"/>
            <w:jc w:val="left"/>
            <w:rPr>
              <w:rFonts w:ascii="Times New Roman" w:hAnsi="Times New Roman" w:cs="Times New Roman" w:eastAsia="Times New Roman" w:hint="default"/>
              <w:b w:val="0"/>
              <w:bCs w:val="0"/>
            </w:rPr>
          </w:pPr>
          <w:hyperlink w:history="true" w:anchor="_TOC_250009">
            <w:r>
              <w:rPr/>
              <w:t>第三节 公司业务概要</w:t>
            </w:r>
            <w:r>
              <w:rPr>
                <w:rFonts w:ascii="Times New Roman" w:hAnsi="Times New Roman" w:cs="Times New Roman" w:eastAsia="Times New Roman" w:hint="default"/>
              </w:rPr>
              <w:tab/>
              <w:t>8</w:t>
            </w:r>
            <w:r>
              <w:rPr>
                <w:rFonts w:ascii="Times New Roman" w:hAnsi="Times New Roman" w:cs="Times New Roman" w:eastAsia="Times New Roman" w:hint="default"/>
                <w:b w:val="0"/>
                <w:bCs w:val="0"/>
              </w:rPr>
            </w:r>
          </w:hyperlink>
        </w:p>
        <w:p>
          <w:pPr>
            <w:pStyle w:val="TOC1"/>
            <w:tabs>
              <w:tab w:pos="9781" w:val="right" w:leader="dot"/>
            </w:tabs>
            <w:spacing w:line="240" w:lineRule="auto"/>
            <w:ind w:left="154" w:right="0"/>
            <w:jc w:val="left"/>
            <w:rPr>
              <w:rFonts w:ascii="Times New Roman" w:hAnsi="Times New Roman" w:cs="Times New Roman" w:eastAsia="Times New Roman" w:hint="default"/>
              <w:b w:val="0"/>
              <w:bCs w:val="0"/>
            </w:rPr>
          </w:pPr>
          <w:hyperlink w:history="true" w:anchor="_TOC_250008">
            <w:r>
              <w:rPr/>
              <w:t>第四节</w:t>
            </w:r>
            <w:r>
              <w:rPr>
                <w:spacing w:val="-1"/>
              </w:rPr>
              <w:t> </w:t>
            </w:r>
            <w:r>
              <w:rPr/>
              <w:t>经营情况讨论与分析</w:t>
            </w:r>
            <w:r>
              <w:rPr>
                <w:rFonts w:ascii="Times New Roman" w:hAnsi="Times New Roman" w:cs="Times New Roman" w:eastAsia="Times New Roman" w:hint="default"/>
              </w:rPr>
              <w:tab/>
            </w:r>
            <w:r>
              <w:rPr>
                <w:rFonts w:ascii="Times New Roman" w:hAnsi="Times New Roman" w:cs="Times New Roman" w:eastAsia="Times New Roman" w:hint="default"/>
                <w:spacing w:val="-7"/>
              </w:rPr>
              <w:t>11</w:t>
            </w:r>
            <w:r>
              <w:rPr>
                <w:rFonts w:ascii="Times New Roman" w:hAnsi="Times New Roman" w:cs="Times New Roman" w:eastAsia="Times New Roman" w:hint="default"/>
                <w:b w:val="0"/>
                <w:bCs w:val="0"/>
                <w:spacing w:val="-7"/>
              </w:rPr>
            </w:r>
          </w:hyperlink>
        </w:p>
        <w:p>
          <w:pPr>
            <w:pStyle w:val="TOC1"/>
            <w:tabs>
              <w:tab w:pos="9781" w:val="right" w:leader="dot"/>
            </w:tabs>
            <w:spacing w:line="240" w:lineRule="auto"/>
            <w:ind w:right="0"/>
            <w:jc w:val="left"/>
            <w:rPr>
              <w:rFonts w:ascii="Times New Roman" w:hAnsi="Times New Roman" w:cs="Times New Roman" w:eastAsia="Times New Roman" w:hint="default"/>
              <w:b w:val="0"/>
              <w:bCs w:val="0"/>
            </w:rPr>
          </w:pPr>
          <w:hyperlink w:history="true" w:anchor="_TOC_250007">
            <w:r>
              <w:rPr/>
              <w:t>第五节</w:t>
            </w:r>
            <w:r>
              <w:rPr>
                <w:spacing w:val="-1"/>
              </w:rPr>
              <w:t> </w:t>
            </w:r>
            <w:r>
              <w:rPr/>
              <w:t>重要事项</w:t>
            </w:r>
            <w:r>
              <w:rPr>
                <w:rFonts w:ascii="Times New Roman" w:hAnsi="Times New Roman" w:cs="Times New Roman" w:eastAsia="Times New Roman" w:hint="default"/>
              </w:rPr>
              <w:tab/>
              <w:t>33</w:t>
            </w:r>
            <w:r>
              <w:rPr>
                <w:rFonts w:ascii="Times New Roman" w:hAnsi="Times New Roman" w:cs="Times New Roman" w:eastAsia="Times New Roman" w:hint="default"/>
                <w:b w:val="0"/>
                <w:bCs w:val="0"/>
              </w:rPr>
            </w:r>
          </w:hyperlink>
        </w:p>
        <w:p>
          <w:pPr>
            <w:pStyle w:val="TOC1"/>
            <w:tabs>
              <w:tab w:pos="9781" w:val="right" w:leader="dot"/>
            </w:tabs>
            <w:spacing w:line="240" w:lineRule="auto"/>
            <w:ind w:right="0"/>
            <w:jc w:val="left"/>
            <w:rPr>
              <w:rFonts w:ascii="Times New Roman" w:hAnsi="Times New Roman" w:cs="Times New Roman" w:eastAsia="Times New Roman" w:hint="default"/>
              <w:b w:val="0"/>
              <w:bCs w:val="0"/>
            </w:rPr>
          </w:pPr>
          <w:hyperlink w:history="true" w:anchor="_TOC_250006">
            <w:r>
              <w:rPr/>
              <w:t>第六节</w:t>
            </w:r>
            <w:r>
              <w:rPr>
                <w:spacing w:val="-1"/>
              </w:rPr>
              <w:t> </w:t>
            </w:r>
            <w:r>
              <w:rPr/>
              <w:t>股份变动及股东情况</w:t>
            </w:r>
            <w:r>
              <w:rPr>
                <w:rFonts w:ascii="Times New Roman" w:hAnsi="Times New Roman" w:cs="Times New Roman" w:eastAsia="Times New Roman" w:hint="default"/>
              </w:rPr>
              <w:tab/>
              <w:t>59</w:t>
            </w:r>
            <w:r>
              <w:rPr>
                <w:rFonts w:ascii="Times New Roman" w:hAnsi="Times New Roman" w:cs="Times New Roman" w:eastAsia="Times New Roman" w:hint="default"/>
                <w:b w:val="0"/>
                <w:bCs w:val="0"/>
              </w:rPr>
            </w:r>
          </w:hyperlink>
        </w:p>
        <w:p>
          <w:pPr>
            <w:pStyle w:val="TOC1"/>
            <w:tabs>
              <w:tab w:pos="9781" w:val="right" w:leader="dot"/>
            </w:tabs>
            <w:spacing w:line="240" w:lineRule="auto"/>
            <w:ind w:right="0"/>
            <w:jc w:val="left"/>
            <w:rPr>
              <w:rFonts w:ascii="Times New Roman" w:hAnsi="Times New Roman" w:cs="Times New Roman" w:eastAsia="Times New Roman" w:hint="default"/>
              <w:b w:val="0"/>
              <w:bCs w:val="0"/>
            </w:rPr>
          </w:pPr>
          <w:hyperlink w:history="true" w:anchor="_TOC_250005">
            <w:r>
              <w:rPr/>
              <w:t>第七节</w:t>
            </w:r>
            <w:r>
              <w:rPr>
                <w:spacing w:val="-1"/>
              </w:rPr>
              <w:t> </w:t>
            </w:r>
            <w:r>
              <w:rPr/>
              <w:t>优先股相关情况</w:t>
            </w:r>
            <w:r>
              <w:rPr>
                <w:rFonts w:ascii="Times New Roman" w:hAnsi="Times New Roman" w:cs="Times New Roman" w:eastAsia="Times New Roman" w:hint="default"/>
              </w:rPr>
              <w:tab/>
              <w:t>64</w:t>
            </w:r>
            <w:r>
              <w:rPr>
                <w:rFonts w:ascii="Times New Roman" w:hAnsi="Times New Roman" w:cs="Times New Roman" w:eastAsia="Times New Roman" w:hint="default"/>
                <w:b w:val="0"/>
                <w:bCs w:val="0"/>
              </w:rPr>
            </w:r>
          </w:hyperlink>
        </w:p>
        <w:p>
          <w:pPr>
            <w:pStyle w:val="TOC1"/>
            <w:tabs>
              <w:tab w:pos="9781" w:val="right" w:leader="dot"/>
            </w:tabs>
            <w:spacing w:line="240" w:lineRule="auto"/>
            <w:ind w:right="0"/>
            <w:jc w:val="left"/>
            <w:rPr>
              <w:rFonts w:ascii="Times New Roman" w:hAnsi="Times New Roman" w:cs="Times New Roman" w:eastAsia="Times New Roman" w:hint="default"/>
              <w:b w:val="0"/>
              <w:bCs w:val="0"/>
            </w:rPr>
          </w:pPr>
          <w:hyperlink w:history="true" w:anchor="_TOC_250004">
            <w:r>
              <w:rPr/>
              <w:t>第八节</w:t>
            </w:r>
            <w:r>
              <w:rPr>
                <w:spacing w:val="-1"/>
              </w:rPr>
              <w:t> </w:t>
            </w:r>
            <w:r>
              <w:rPr/>
              <w:t>董事、监事、高级管理人员和员工情况</w:t>
            </w:r>
            <w:r>
              <w:rPr>
                <w:rFonts w:ascii="Times New Roman" w:hAnsi="Times New Roman" w:cs="Times New Roman" w:eastAsia="Times New Roman" w:hint="default"/>
              </w:rPr>
              <w:tab/>
              <w:t>65</w:t>
            </w:r>
            <w:r>
              <w:rPr>
                <w:rFonts w:ascii="Times New Roman" w:hAnsi="Times New Roman" w:cs="Times New Roman" w:eastAsia="Times New Roman" w:hint="default"/>
                <w:b w:val="0"/>
                <w:bCs w:val="0"/>
              </w:rPr>
            </w:r>
          </w:hyperlink>
        </w:p>
        <w:p>
          <w:pPr>
            <w:pStyle w:val="TOC1"/>
            <w:tabs>
              <w:tab w:pos="9781" w:val="right" w:leader="dot"/>
            </w:tabs>
            <w:spacing w:line="240" w:lineRule="auto"/>
            <w:ind w:right="0"/>
            <w:jc w:val="left"/>
            <w:rPr>
              <w:rFonts w:ascii="Times New Roman" w:hAnsi="Times New Roman" w:cs="Times New Roman" w:eastAsia="Times New Roman" w:hint="default"/>
              <w:b w:val="0"/>
              <w:bCs w:val="0"/>
            </w:rPr>
          </w:pPr>
          <w:hyperlink w:history="true" w:anchor="_TOC_250003">
            <w:r>
              <w:rPr/>
              <w:t>第九节</w:t>
            </w:r>
            <w:r>
              <w:rPr>
                <w:spacing w:val="-1"/>
              </w:rPr>
              <w:t> </w:t>
            </w:r>
            <w:r>
              <w:rPr/>
              <w:t>公司治理</w:t>
            </w:r>
            <w:r>
              <w:rPr>
                <w:rFonts w:ascii="Times New Roman" w:hAnsi="Times New Roman" w:cs="Times New Roman" w:eastAsia="Times New Roman" w:hint="default"/>
              </w:rPr>
              <w:tab/>
              <w:t>74</w:t>
            </w:r>
            <w:r>
              <w:rPr>
                <w:rFonts w:ascii="Times New Roman" w:hAnsi="Times New Roman" w:cs="Times New Roman" w:eastAsia="Times New Roman" w:hint="default"/>
                <w:b w:val="0"/>
                <w:bCs w:val="0"/>
              </w:rPr>
            </w:r>
          </w:hyperlink>
        </w:p>
        <w:p>
          <w:pPr>
            <w:pStyle w:val="TOC1"/>
            <w:tabs>
              <w:tab w:pos="9781" w:val="right" w:leader="dot"/>
            </w:tabs>
            <w:spacing w:line="240" w:lineRule="auto"/>
            <w:ind w:right="0"/>
            <w:jc w:val="left"/>
            <w:rPr>
              <w:rFonts w:ascii="Times New Roman" w:hAnsi="Times New Roman" w:cs="Times New Roman" w:eastAsia="Times New Roman" w:hint="default"/>
              <w:b w:val="0"/>
              <w:bCs w:val="0"/>
            </w:rPr>
          </w:pPr>
          <w:hyperlink w:history="true" w:anchor="_TOC_250002">
            <w:r>
              <w:rPr/>
              <w:t>第十节</w:t>
            </w:r>
            <w:r>
              <w:rPr>
                <w:spacing w:val="-1"/>
              </w:rPr>
              <w:t> </w:t>
            </w:r>
            <w:r>
              <w:rPr/>
              <w:t>公司债券相关情况</w:t>
            </w:r>
            <w:r>
              <w:rPr>
                <w:rFonts w:ascii="Times New Roman" w:hAnsi="Times New Roman" w:cs="Times New Roman" w:eastAsia="Times New Roman" w:hint="default"/>
              </w:rPr>
              <w:tab/>
              <w:t>84</w:t>
            </w:r>
            <w:r>
              <w:rPr>
                <w:rFonts w:ascii="Times New Roman" w:hAnsi="Times New Roman" w:cs="Times New Roman" w:eastAsia="Times New Roman" w:hint="default"/>
                <w:b w:val="0"/>
                <w:bCs w:val="0"/>
              </w:rPr>
            </w:r>
          </w:hyperlink>
        </w:p>
        <w:p>
          <w:pPr>
            <w:pStyle w:val="TOC1"/>
            <w:tabs>
              <w:tab w:pos="9781" w:val="right" w:leader="dot"/>
            </w:tabs>
            <w:spacing w:line="240" w:lineRule="auto"/>
            <w:ind w:right="0"/>
            <w:jc w:val="left"/>
            <w:rPr>
              <w:rFonts w:ascii="Times New Roman" w:hAnsi="Times New Roman" w:cs="Times New Roman" w:eastAsia="Times New Roman" w:hint="default"/>
              <w:b w:val="0"/>
              <w:bCs w:val="0"/>
            </w:rPr>
          </w:pPr>
          <w:hyperlink w:history="true" w:anchor="_TOC_250001">
            <w:r>
              <w:rPr/>
              <w:t>第十一节</w:t>
            </w:r>
            <w:r>
              <w:rPr>
                <w:spacing w:val="-1"/>
              </w:rPr>
              <w:t> </w:t>
            </w:r>
            <w:r>
              <w:rPr/>
              <w:t>财务报告</w:t>
            </w:r>
            <w:r>
              <w:rPr>
                <w:rFonts w:ascii="Times New Roman" w:hAnsi="Times New Roman" w:cs="Times New Roman" w:eastAsia="Times New Roman" w:hint="default"/>
              </w:rPr>
              <w:tab/>
              <w:t>84</w:t>
            </w:r>
            <w:r>
              <w:rPr>
                <w:rFonts w:ascii="Times New Roman" w:hAnsi="Times New Roman" w:cs="Times New Roman" w:eastAsia="Times New Roman" w:hint="default"/>
                <w:b w:val="0"/>
                <w:bCs w:val="0"/>
              </w:rPr>
            </w:r>
          </w:hyperlink>
        </w:p>
        <w:p>
          <w:pPr>
            <w:pStyle w:val="TOC1"/>
            <w:tabs>
              <w:tab w:pos="9781" w:val="right" w:leader="dot"/>
            </w:tabs>
            <w:spacing w:line="240" w:lineRule="auto"/>
            <w:ind w:right="0"/>
            <w:jc w:val="left"/>
            <w:rPr>
              <w:rFonts w:ascii="Times New Roman" w:hAnsi="Times New Roman" w:cs="Times New Roman" w:eastAsia="Times New Roman" w:hint="default"/>
              <w:b w:val="0"/>
              <w:bCs w:val="0"/>
            </w:rPr>
          </w:pPr>
          <w:hyperlink w:history="true" w:anchor="_TOC_250000">
            <w:r>
              <w:rPr/>
              <w:t>第十二节</w:t>
            </w:r>
            <w:r>
              <w:rPr>
                <w:spacing w:val="-2"/>
              </w:rPr>
              <w:t> </w:t>
            </w:r>
            <w:r>
              <w:rPr/>
              <w:t>备查文件目录</w:t>
            </w:r>
            <w:r>
              <w:rPr>
                <w:rFonts w:ascii="Times New Roman" w:hAnsi="Times New Roman" w:cs="Times New Roman" w:eastAsia="Times New Roman" w:hint="default"/>
              </w:rPr>
              <w:tab/>
              <w:t>84</w:t>
            </w:r>
            <w:r>
              <w:rPr>
                <w:rFonts w:ascii="Times New Roman" w:hAnsi="Times New Roman" w:cs="Times New Roman" w:eastAsia="Times New Roman" w:hint="default"/>
                <w:b w:val="0"/>
                <w:bCs w:val="0"/>
              </w:rPr>
            </w:r>
          </w:hyperlink>
        </w:p>
        <w:p>
          <w:pPr/>
          <w:r>
            <w:fldChar w:fldCharType="end"/>
          </w:r>
        </w:p>
      </w:sdtContent>
    </w:sdt>
    <w:p>
      <w:pPr>
        <w:spacing w:after="0"/>
        <w:sectPr>
          <w:pgSz w:w="11910" w:h="16840"/>
          <w:pgMar w:header="787" w:footer="982" w:top="1100" w:bottom="1180" w:left="980" w:right="0"/>
        </w:sectPr>
      </w:pPr>
    </w:p>
    <w:p>
      <w:pPr>
        <w:spacing w:before="905"/>
        <w:ind w:left="155" w:right="1131" w:firstLine="0"/>
        <w:jc w:val="center"/>
        <w:rPr>
          <w:rFonts w:ascii="宋体" w:hAnsi="宋体" w:cs="宋体" w:eastAsia="宋体" w:hint="default"/>
          <w:sz w:val="32"/>
          <w:szCs w:val="32"/>
        </w:rPr>
      </w:pPr>
      <w:r>
        <w:rPr>
          <w:rFonts w:ascii="宋体" w:hAnsi="宋体" w:cs="宋体" w:eastAsia="宋体" w:hint="default"/>
          <w:b/>
          <w:bCs/>
          <w:sz w:val="32"/>
          <w:szCs w:val="32"/>
        </w:rPr>
        <w:t>释义</w:t>
      </w:r>
      <w:r>
        <w:rPr>
          <w:rFonts w:ascii="宋体" w:hAnsi="宋体" w:cs="宋体" w:eastAsia="宋体" w:hint="default"/>
          <w:sz w:val="32"/>
          <w:szCs w:val="3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5"/>
          <w:szCs w:val="25"/>
        </w:rPr>
      </w:pPr>
    </w:p>
    <w:tbl>
      <w:tblPr>
        <w:tblW w:w="0" w:type="auto"/>
        <w:jc w:val="left"/>
        <w:tblInd w:w="205" w:type="dxa"/>
        <w:tblLayout w:type="fixed"/>
        <w:tblCellMar>
          <w:top w:w="0" w:type="dxa"/>
          <w:left w:w="0" w:type="dxa"/>
          <w:bottom w:w="0" w:type="dxa"/>
          <w:right w:w="0" w:type="dxa"/>
        </w:tblCellMar>
        <w:tblLook w:val="01E0"/>
      </w:tblPr>
      <w:tblGrid>
        <w:gridCol w:w="3205"/>
        <w:gridCol w:w="708"/>
        <w:gridCol w:w="5611"/>
      </w:tblGrid>
      <w:tr>
        <w:trPr>
          <w:trHeight w:val="402" w:hRule="exact"/>
        </w:trPr>
        <w:tc>
          <w:tcPr>
            <w:tcW w:w="320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释义项</w:t>
            </w:r>
          </w:p>
        </w:tc>
        <w:tc>
          <w:tcPr>
            <w:tcW w:w="70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57" w:right="0"/>
              <w:jc w:val="left"/>
              <w:rPr>
                <w:rFonts w:ascii="宋体" w:hAnsi="宋体" w:cs="宋体" w:eastAsia="宋体" w:hint="default"/>
                <w:sz w:val="18"/>
                <w:szCs w:val="18"/>
              </w:rPr>
            </w:pPr>
            <w:r>
              <w:rPr>
                <w:rFonts w:ascii="宋体" w:hAnsi="宋体" w:cs="宋体" w:eastAsia="宋体" w:hint="default"/>
                <w:sz w:val="18"/>
                <w:szCs w:val="18"/>
              </w:rPr>
              <w:t>指</w:t>
            </w:r>
          </w:p>
        </w:tc>
        <w:tc>
          <w:tcPr>
            <w:tcW w:w="561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释义内容</w:t>
            </w:r>
          </w:p>
        </w:tc>
      </w:tr>
      <w:tr>
        <w:trPr>
          <w:trHeight w:val="714" w:hRule="exact"/>
        </w:trPr>
        <w:tc>
          <w:tcPr>
            <w:tcW w:w="3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本公司、公司、中国长城</w:t>
            </w:r>
          </w:p>
        </w:tc>
        <w:tc>
          <w:tcPr>
            <w:tcW w:w="70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57" w:right="0"/>
              <w:jc w:val="left"/>
              <w:rPr>
                <w:rFonts w:ascii="宋体" w:hAnsi="宋体" w:cs="宋体" w:eastAsia="宋体" w:hint="default"/>
                <w:sz w:val="18"/>
                <w:szCs w:val="18"/>
              </w:rPr>
            </w:pPr>
            <w:r>
              <w:rPr>
                <w:rFonts w:ascii="宋体" w:hAnsi="宋体" w:cs="宋体" w:eastAsia="宋体" w:hint="default"/>
                <w:sz w:val="18"/>
                <w:szCs w:val="18"/>
              </w:rPr>
              <w:t>指</w:t>
            </w:r>
          </w:p>
        </w:tc>
        <w:tc>
          <w:tcPr>
            <w:tcW w:w="561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0"/>
              <w:jc w:val="left"/>
              <w:rPr>
                <w:rFonts w:ascii="宋体" w:hAnsi="宋体" w:cs="宋体" w:eastAsia="宋体" w:hint="default"/>
                <w:sz w:val="18"/>
                <w:szCs w:val="18"/>
              </w:rPr>
            </w:pPr>
            <w:r>
              <w:rPr>
                <w:rFonts w:ascii="宋体" w:hAnsi="宋体" w:cs="宋体" w:eastAsia="宋体" w:hint="default"/>
                <w:spacing w:val="-1"/>
                <w:sz w:val="18"/>
                <w:szCs w:val="18"/>
              </w:rPr>
              <w:t>中国长城科技集团股份有限公司，原名中国长城计算机深圳股份有限公</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9"/>
                <w:sz w:val="18"/>
                <w:szCs w:val="18"/>
              </w:rPr>
              <w:t>司（简称“长城电脑”）</w:t>
            </w:r>
          </w:p>
        </w:tc>
      </w:tr>
      <w:tr>
        <w:trPr>
          <w:trHeight w:val="402" w:hRule="exact"/>
        </w:trPr>
        <w:tc>
          <w:tcPr>
            <w:tcW w:w="3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中国电子、实际控制人、控股股东</w:t>
            </w:r>
          </w:p>
        </w:tc>
        <w:tc>
          <w:tcPr>
            <w:tcW w:w="70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57" w:right="0"/>
              <w:jc w:val="left"/>
              <w:rPr>
                <w:rFonts w:ascii="宋体" w:hAnsi="宋体" w:cs="宋体" w:eastAsia="宋体" w:hint="default"/>
                <w:sz w:val="18"/>
                <w:szCs w:val="18"/>
              </w:rPr>
            </w:pPr>
            <w:r>
              <w:rPr>
                <w:rFonts w:ascii="宋体" w:hAnsi="宋体" w:cs="宋体" w:eastAsia="宋体" w:hint="default"/>
                <w:sz w:val="18"/>
                <w:szCs w:val="18"/>
              </w:rPr>
              <w:t>指</w:t>
            </w:r>
          </w:p>
        </w:tc>
        <w:tc>
          <w:tcPr>
            <w:tcW w:w="5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中国电子信息产业集团有限公司</w:t>
            </w:r>
          </w:p>
        </w:tc>
      </w:tr>
      <w:tr>
        <w:trPr>
          <w:trHeight w:val="1650" w:hRule="exact"/>
        </w:trPr>
        <w:tc>
          <w:tcPr>
            <w:tcW w:w="3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重大资产重组</w:t>
            </w:r>
          </w:p>
        </w:tc>
        <w:tc>
          <w:tcPr>
            <w:tcW w:w="70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257" w:right="0"/>
              <w:jc w:val="left"/>
              <w:rPr>
                <w:rFonts w:ascii="宋体" w:hAnsi="宋体" w:cs="宋体" w:eastAsia="宋体" w:hint="default"/>
                <w:sz w:val="18"/>
                <w:szCs w:val="18"/>
              </w:rPr>
            </w:pPr>
            <w:r>
              <w:rPr>
                <w:rFonts w:ascii="宋体" w:hAnsi="宋体" w:cs="宋体" w:eastAsia="宋体" w:hint="default"/>
                <w:sz w:val="18"/>
                <w:szCs w:val="18"/>
              </w:rPr>
              <w:t>指</w:t>
            </w:r>
          </w:p>
        </w:tc>
        <w:tc>
          <w:tcPr>
            <w:tcW w:w="5611" w:type="dxa"/>
            <w:tcBorders>
              <w:top w:val="single" w:sz="4" w:space="0" w:color="000000"/>
              <w:left w:val="single" w:sz="4" w:space="0" w:color="000000"/>
              <w:bottom w:val="single" w:sz="4" w:space="0" w:color="000000"/>
              <w:right w:val="single" w:sz="4" w:space="0" w:color="000000"/>
            </w:tcBorders>
          </w:tcPr>
          <w:p>
            <w:pPr>
              <w:pStyle w:val="TableParagraph"/>
              <w:spacing w:line="304" w:lineRule="auto" w:before="51"/>
              <w:ind w:left="22" w:right="20"/>
              <w:jc w:val="both"/>
              <w:rPr>
                <w:rFonts w:ascii="宋体" w:hAnsi="宋体" w:cs="宋体" w:eastAsia="宋体" w:hint="default"/>
                <w:sz w:val="18"/>
                <w:szCs w:val="18"/>
              </w:rPr>
            </w:pPr>
            <w:r>
              <w:rPr>
                <w:rFonts w:ascii="宋体" w:hAnsi="宋体" w:cs="宋体" w:eastAsia="宋体" w:hint="default"/>
                <w:spacing w:val="-1"/>
                <w:sz w:val="18"/>
                <w:szCs w:val="18"/>
              </w:rPr>
              <w:t>中国长城以新增发行股份换股合并长城信息，并以其持有冠捷科技有限</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24.32%</w:t>
            </w:r>
            <w:r>
              <w:rPr>
                <w:rFonts w:ascii="宋体" w:hAnsi="宋体" w:cs="宋体" w:eastAsia="宋体" w:hint="default"/>
                <w:sz w:val="18"/>
                <w:szCs w:val="18"/>
              </w:rPr>
              <w:t>股权与中国电子持有的中原电子</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64.94%</w:t>
            </w:r>
            <w:r>
              <w:rPr>
                <w:rFonts w:ascii="宋体" w:hAnsi="宋体" w:cs="宋体" w:eastAsia="宋体" w:hint="default"/>
                <w:sz w:val="18"/>
                <w:szCs w:val="18"/>
              </w:rPr>
              <w:t>股权进行置换，同 时，中国长城以非公开发行股份方式购买中原电子剩余</w:t>
            </w:r>
            <w:r>
              <w:rPr>
                <w:rFonts w:ascii="宋体" w:hAnsi="宋体" w:cs="宋体" w:eastAsia="宋体" w:hint="default"/>
                <w:spacing w:val="-72"/>
                <w:sz w:val="18"/>
                <w:szCs w:val="18"/>
              </w:rPr>
              <w:t> </w:t>
            </w:r>
            <w:r>
              <w:rPr>
                <w:rFonts w:ascii="Times New Roman" w:hAnsi="Times New Roman" w:cs="Times New Roman" w:eastAsia="Times New Roman" w:hint="default"/>
                <w:spacing w:val="-5"/>
                <w:sz w:val="18"/>
                <w:szCs w:val="18"/>
              </w:rPr>
              <w:t>35.06%</w:t>
            </w:r>
            <w:r>
              <w:rPr>
                <w:rFonts w:ascii="宋体" w:hAnsi="宋体" w:cs="宋体" w:eastAsia="宋体" w:hint="default"/>
                <w:spacing w:val="-5"/>
                <w:sz w:val="18"/>
                <w:szCs w:val="18"/>
              </w:rPr>
              <w:t>股权、圣</w:t>
            </w:r>
            <w:r>
              <w:rPr>
                <w:rFonts w:ascii="宋体" w:hAnsi="宋体" w:cs="宋体" w:eastAsia="宋体" w:hint="default"/>
                <w:sz w:val="18"/>
                <w:szCs w:val="18"/>
              </w:rPr>
              <w:t> 非凡</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100%</w:t>
            </w:r>
            <w:r>
              <w:rPr>
                <w:rFonts w:ascii="宋体" w:hAnsi="宋体" w:cs="宋体" w:eastAsia="宋体" w:hint="default"/>
                <w:sz w:val="18"/>
                <w:szCs w:val="18"/>
              </w:rPr>
              <w:t>股权（前述事项已于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 </w:t>
            </w:r>
            <w:r>
              <w:rPr>
                <w:rFonts w:ascii="宋体" w:hAnsi="宋体" w:cs="宋体" w:eastAsia="宋体" w:hint="default"/>
                <w:spacing w:val="-9"/>
                <w:sz w:val="18"/>
                <w:szCs w:val="18"/>
              </w:rPr>
              <w:t>月实施完成）；</w:t>
            </w:r>
            <w:r>
              <w:rPr>
                <w:rFonts w:ascii="Times New Roman" w:hAnsi="Times New Roman" w:cs="Times New Roman" w:eastAsia="Times New Roman" w:hint="default"/>
                <w:spacing w:val="-9"/>
                <w:sz w:val="18"/>
                <w:szCs w:val="18"/>
              </w:rPr>
              <w:t>2017</w:t>
            </w:r>
            <w:r>
              <w:rPr>
                <w:rFonts w:ascii="Times New Roman" w:hAnsi="Times New Roman" w:cs="Times New Roman" w:eastAsia="Times New Roman" w:hint="default"/>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8 </w:t>
            </w:r>
            <w:r>
              <w:rPr>
                <w:rFonts w:ascii="宋体" w:hAnsi="宋体" w:cs="宋体" w:eastAsia="宋体" w:hint="default"/>
                <w:sz w:val="18"/>
                <w:szCs w:val="18"/>
              </w:rPr>
              <w:t>月， 募集配套资金批文到期自动失效，募集配套资金事项相应终止。</w:t>
            </w:r>
          </w:p>
        </w:tc>
      </w:tr>
      <w:tr>
        <w:trPr>
          <w:trHeight w:val="402" w:hRule="exact"/>
        </w:trPr>
        <w:tc>
          <w:tcPr>
            <w:tcW w:w="3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长城信息</w:t>
            </w:r>
          </w:p>
        </w:tc>
        <w:tc>
          <w:tcPr>
            <w:tcW w:w="70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57" w:right="0"/>
              <w:jc w:val="left"/>
              <w:rPr>
                <w:rFonts w:ascii="宋体" w:hAnsi="宋体" w:cs="宋体" w:eastAsia="宋体" w:hint="default"/>
                <w:sz w:val="18"/>
                <w:szCs w:val="18"/>
              </w:rPr>
            </w:pPr>
            <w:r>
              <w:rPr>
                <w:rFonts w:ascii="宋体" w:hAnsi="宋体" w:cs="宋体" w:eastAsia="宋体" w:hint="default"/>
                <w:sz w:val="18"/>
                <w:szCs w:val="18"/>
              </w:rPr>
              <w:t>指</w:t>
            </w:r>
          </w:p>
        </w:tc>
        <w:tc>
          <w:tcPr>
            <w:tcW w:w="5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长城信息产业股份有限公司，原深交所上市公司，证券代码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000748</w:t>
            </w:r>
          </w:p>
        </w:tc>
      </w:tr>
      <w:tr>
        <w:trPr>
          <w:trHeight w:val="402" w:hRule="exact"/>
        </w:trPr>
        <w:tc>
          <w:tcPr>
            <w:tcW w:w="3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湖南长城科技</w:t>
            </w:r>
          </w:p>
        </w:tc>
        <w:tc>
          <w:tcPr>
            <w:tcW w:w="70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57" w:right="0"/>
              <w:jc w:val="left"/>
              <w:rPr>
                <w:rFonts w:ascii="宋体" w:hAnsi="宋体" w:cs="宋体" w:eastAsia="宋体" w:hint="default"/>
                <w:sz w:val="18"/>
                <w:szCs w:val="18"/>
              </w:rPr>
            </w:pPr>
            <w:r>
              <w:rPr>
                <w:rFonts w:ascii="宋体" w:hAnsi="宋体" w:cs="宋体" w:eastAsia="宋体" w:hint="default"/>
                <w:sz w:val="18"/>
                <w:szCs w:val="18"/>
              </w:rPr>
              <w:t>指</w:t>
            </w:r>
          </w:p>
        </w:tc>
        <w:tc>
          <w:tcPr>
            <w:tcW w:w="5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湖南长城科技信息有限公司，为本公司全资子公司</w:t>
            </w:r>
          </w:p>
        </w:tc>
      </w:tr>
      <w:tr>
        <w:trPr>
          <w:trHeight w:val="402" w:hRule="exact"/>
        </w:trPr>
        <w:tc>
          <w:tcPr>
            <w:tcW w:w="3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中原电子</w:t>
            </w:r>
          </w:p>
        </w:tc>
        <w:tc>
          <w:tcPr>
            <w:tcW w:w="70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57" w:right="0"/>
              <w:jc w:val="left"/>
              <w:rPr>
                <w:rFonts w:ascii="宋体" w:hAnsi="宋体" w:cs="宋体" w:eastAsia="宋体" w:hint="default"/>
                <w:sz w:val="18"/>
                <w:szCs w:val="18"/>
              </w:rPr>
            </w:pPr>
            <w:r>
              <w:rPr>
                <w:rFonts w:ascii="宋体" w:hAnsi="宋体" w:cs="宋体" w:eastAsia="宋体" w:hint="default"/>
                <w:sz w:val="18"/>
                <w:szCs w:val="18"/>
              </w:rPr>
              <w:t>指</w:t>
            </w:r>
          </w:p>
        </w:tc>
        <w:tc>
          <w:tcPr>
            <w:tcW w:w="5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武汉中原电子集团有限公司，为湖南长城科技的全资子公司</w:t>
            </w:r>
          </w:p>
        </w:tc>
      </w:tr>
      <w:tr>
        <w:trPr>
          <w:trHeight w:val="402" w:hRule="exact"/>
        </w:trPr>
        <w:tc>
          <w:tcPr>
            <w:tcW w:w="3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圣非凡</w:t>
            </w:r>
          </w:p>
        </w:tc>
        <w:tc>
          <w:tcPr>
            <w:tcW w:w="70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57" w:right="0"/>
              <w:jc w:val="left"/>
              <w:rPr>
                <w:rFonts w:ascii="宋体" w:hAnsi="宋体" w:cs="宋体" w:eastAsia="宋体" w:hint="default"/>
                <w:sz w:val="18"/>
                <w:szCs w:val="18"/>
              </w:rPr>
            </w:pPr>
            <w:r>
              <w:rPr>
                <w:rFonts w:ascii="宋体" w:hAnsi="宋体" w:cs="宋体" w:eastAsia="宋体" w:hint="default"/>
                <w:sz w:val="18"/>
                <w:szCs w:val="18"/>
              </w:rPr>
              <w:t>指</w:t>
            </w:r>
          </w:p>
        </w:tc>
        <w:tc>
          <w:tcPr>
            <w:tcW w:w="5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1"/>
                <w:sz w:val="18"/>
                <w:szCs w:val="18"/>
              </w:rPr>
              <w:t>北京圣非凡电子系统技术开发有限公司，为湖南长城科技的全资子公司</w:t>
            </w:r>
          </w:p>
        </w:tc>
      </w:tr>
      <w:tr>
        <w:trPr>
          <w:trHeight w:val="714" w:hRule="exact"/>
        </w:trPr>
        <w:tc>
          <w:tcPr>
            <w:tcW w:w="3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长城超云</w:t>
            </w:r>
          </w:p>
        </w:tc>
        <w:tc>
          <w:tcPr>
            <w:tcW w:w="70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57" w:right="0"/>
              <w:jc w:val="left"/>
              <w:rPr>
                <w:rFonts w:ascii="宋体" w:hAnsi="宋体" w:cs="宋体" w:eastAsia="宋体" w:hint="default"/>
                <w:sz w:val="18"/>
                <w:szCs w:val="18"/>
              </w:rPr>
            </w:pPr>
            <w:r>
              <w:rPr>
                <w:rFonts w:ascii="宋体" w:hAnsi="宋体" w:cs="宋体" w:eastAsia="宋体" w:hint="default"/>
                <w:sz w:val="18"/>
                <w:szCs w:val="18"/>
              </w:rPr>
              <w:t>指</w:t>
            </w:r>
          </w:p>
        </w:tc>
        <w:tc>
          <w:tcPr>
            <w:tcW w:w="561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
              <w:jc w:val="left"/>
              <w:rPr>
                <w:rFonts w:ascii="宋体" w:hAnsi="宋体" w:cs="宋体" w:eastAsia="宋体" w:hint="default"/>
                <w:sz w:val="18"/>
                <w:szCs w:val="18"/>
              </w:rPr>
            </w:pPr>
            <w:r>
              <w:rPr>
                <w:rFonts w:ascii="宋体" w:hAnsi="宋体" w:cs="宋体" w:eastAsia="宋体" w:hint="default"/>
                <w:sz w:val="18"/>
                <w:szCs w:val="18"/>
              </w:rPr>
              <w:t>长城超云（北京）科技有限公司（原名：北京天地超云科技有限公司， 公司持股比例</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44%</w:t>
            </w:r>
            <w:r>
              <w:rPr>
                <w:rFonts w:ascii="宋体" w:hAnsi="宋体" w:cs="宋体" w:eastAsia="宋体" w:hint="default"/>
                <w:sz w:val="18"/>
                <w:szCs w:val="18"/>
              </w:rPr>
              <w:t>）</w:t>
            </w:r>
          </w:p>
        </w:tc>
      </w:tr>
      <w:tr>
        <w:trPr>
          <w:trHeight w:val="402" w:hRule="exact"/>
        </w:trPr>
        <w:tc>
          <w:tcPr>
            <w:tcW w:w="3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长城香港</w:t>
            </w:r>
          </w:p>
        </w:tc>
        <w:tc>
          <w:tcPr>
            <w:tcW w:w="70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57" w:right="0"/>
              <w:jc w:val="left"/>
              <w:rPr>
                <w:rFonts w:ascii="宋体" w:hAnsi="宋体" w:cs="宋体" w:eastAsia="宋体" w:hint="default"/>
                <w:sz w:val="18"/>
                <w:szCs w:val="18"/>
              </w:rPr>
            </w:pPr>
            <w:r>
              <w:rPr>
                <w:rFonts w:ascii="宋体" w:hAnsi="宋体" w:cs="宋体" w:eastAsia="宋体" w:hint="default"/>
                <w:sz w:val="18"/>
                <w:szCs w:val="18"/>
              </w:rPr>
              <w:t>指</w:t>
            </w:r>
          </w:p>
        </w:tc>
        <w:tc>
          <w:tcPr>
            <w:tcW w:w="5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中国长城计算机（香港）控股有限公司，为本公司全资子公司</w:t>
            </w:r>
          </w:p>
        </w:tc>
      </w:tr>
      <w:tr>
        <w:trPr>
          <w:trHeight w:val="402" w:hRule="exact"/>
        </w:trPr>
        <w:tc>
          <w:tcPr>
            <w:tcW w:w="3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柏怡国际</w:t>
            </w:r>
          </w:p>
        </w:tc>
        <w:tc>
          <w:tcPr>
            <w:tcW w:w="70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57" w:right="0"/>
              <w:jc w:val="left"/>
              <w:rPr>
                <w:rFonts w:ascii="宋体" w:hAnsi="宋体" w:cs="宋体" w:eastAsia="宋体" w:hint="default"/>
                <w:sz w:val="18"/>
                <w:szCs w:val="18"/>
              </w:rPr>
            </w:pPr>
            <w:r>
              <w:rPr>
                <w:rFonts w:ascii="宋体" w:hAnsi="宋体" w:cs="宋体" w:eastAsia="宋体" w:hint="default"/>
                <w:sz w:val="18"/>
                <w:szCs w:val="18"/>
              </w:rPr>
              <w:t>指</w:t>
            </w:r>
          </w:p>
        </w:tc>
        <w:tc>
          <w:tcPr>
            <w:tcW w:w="5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柏怡国际控股有限公司，为本公司控股子公司</w:t>
            </w:r>
          </w:p>
        </w:tc>
      </w:tr>
    </w:tbl>
    <w:p>
      <w:pPr>
        <w:spacing w:after="0" w:line="240" w:lineRule="auto"/>
        <w:jc w:val="left"/>
        <w:rPr>
          <w:rFonts w:ascii="宋体" w:hAnsi="宋体" w:cs="宋体" w:eastAsia="宋体" w:hint="default"/>
          <w:sz w:val="18"/>
          <w:szCs w:val="18"/>
        </w:rPr>
        <w:sectPr>
          <w:pgSz w:w="11910" w:h="16840"/>
          <w:pgMar w:header="787" w:footer="982" w:top="1100" w:bottom="1180" w:left="980" w:right="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7"/>
          <w:szCs w:val="17"/>
        </w:rPr>
      </w:pPr>
    </w:p>
    <w:p>
      <w:pPr>
        <w:pStyle w:val="Heading1"/>
        <w:spacing w:line="240" w:lineRule="auto"/>
        <w:ind w:left="2644" w:right="0"/>
        <w:jc w:val="left"/>
        <w:rPr>
          <w:b w:val="0"/>
          <w:bCs w:val="0"/>
        </w:rPr>
      </w:pPr>
      <w:bookmarkStart w:name="_TOC_250010" w:id="2"/>
      <w:r>
        <w:rPr/>
        <w:t>第二节</w:t>
      </w:r>
      <w:r>
        <w:rPr>
          <w:spacing w:val="-11"/>
        </w:rPr>
        <w:t> </w:t>
      </w:r>
      <w:r>
        <w:rPr/>
        <w:t>公司简介和主要财务指标</w:t>
      </w:r>
      <w:bookmarkEnd w:id="2"/>
      <w:r>
        <w:rPr>
          <w:b w:val="0"/>
          <w:bCs w:val="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6"/>
          <w:szCs w:val="16"/>
        </w:rPr>
      </w:pPr>
    </w:p>
    <w:p>
      <w:pPr>
        <w:pStyle w:val="Heading4"/>
        <w:spacing w:line="240" w:lineRule="auto" w:before="26"/>
        <w:ind w:right="0"/>
        <w:jc w:val="left"/>
        <w:rPr>
          <w:b w:val="0"/>
          <w:bCs w:val="0"/>
        </w:rPr>
      </w:pPr>
      <w:r>
        <w:rPr/>
        <w:t>一、公司信息</w:t>
      </w:r>
      <w:r>
        <w:rPr>
          <w:b w:val="0"/>
          <w:bCs w:val="0"/>
        </w:rPr>
      </w:r>
    </w:p>
    <w:p>
      <w:pPr>
        <w:spacing w:line="240" w:lineRule="auto" w:before="10"/>
        <w:rPr>
          <w:rFonts w:ascii="宋体" w:hAnsi="宋体" w:cs="宋体" w:eastAsia="宋体" w:hint="default"/>
          <w:b/>
          <w:bCs/>
          <w:sz w:val="25"/>
          <w:szCs w:val="25"/>
        </w:rPr>
      </w:pPr>
    </w:p>
    <w:tbl>
      <w:tblPr>
        <w:tblW w:w="0" w:type="auto"/>
        <w:jc w:val="left"/>
        <w:tblInd w:w="182" w:type="dxa"/>
        <w:tblLayout w:type="fixed"/>
        <w:tblCellMar>
          <w:top w:w="0" w:type="dxa"/>
          <w:left w:w="0" w:type="dxa"/>
          <w:bottom w:w="0" w:type="dxa"/>
          <w:right w:w="0" w:type="dxa"/>
        </w:tblCellMar>
        <w:tblLook w:val="01E0"/>
      </w:tblPr>
      <w:tblGrid>
        <w:gridCol w:w="2411"/>
        <w:gridCol w:w="2827"/>
        <w:gridCol w:w="2165"/>
        <w:gridCol w:w="2167"/>
      </w:tblGrid>
      <w:tr>
        <w:trPr>
          <w:trHeight w:val="402" w:hRule="exact"/>
        </w:trPr>
        <w:tc>
          <w:tcPr>
            <w:tcW w:w="241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股票简称</w:t>
            </w:r>
          </w:p>
        </w:tc>
        <w:tc>
          <w:tcPr>
            <w:tcW w:w="28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中国长城</w:t>
            </w:r>
          </w:p>
        </w:tc>
        <w:tc>
          <w:tcPr>
            <w:tcW w:w="216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股票代码</w:t>
            </w:r>
          </w:p>
        </w:tc>
        <w:tc>
          <w:tcPr>
            <w:tcW w:w="2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000066</w:t>
            </w:r>
          </w:p>
        </w:tc>
      </w:tr>
      <w:tr>
        <w:trPr>
          <w:trHeight w:val="402" w:hRule="exact"/>
        </w:trPr>
        <w:tc>
          <w:tcPr>
            <w:tcW w:w="241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股票上市证券交易所</w:t>
            </w:r>
          </w:p>
        </w:tc>
        <w:tc>
          <w:tcPr>
            <w:tcW w:w="7159" w:type="dxa"/>
            <w:gridSpan w:val="3"/>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深圳证券交易所</w:t>
            </w:r>
          </w:p>
        </w:tc>
      </w:tr>
      <w:tr>
        <w:trPr>
          <w:trHeight w:val="402" w:hRule="exact"/>
        </w:trPr>
        <w:tc>
          <w:tcPr>
            <w:tcW w:w="241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公司的中文名称</w:t>
            </w:r>
          </w:p>
        </w:tc>
        <w:tc>
          <w:tcPr>
            <w:tcW w:w="715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中国长城科技集团股份有限公司</w:t>
            </w:r>
          </w:p>
        </w:tc>
      </w:tr>
      <w:tr>
        <w:trPr>
          <w:trHeight w:val="402" w:hRule="exact"/>
        </w:trPr>
        <w:tc>
          <w:tcPr>
            <w:tcW w:w="241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公司的中文简称</w:t>
            </w:r>
          </w:p>
        </w:tc>
        <w:tc>
          <w:tcPr>
            <w:tcW w:w="715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中国长城</w:t>
            </w:r>
          </w:p>
        </w:tc>
      </w:tr>
      <w:tr>
        <w:trPr>
          <w:trHeight w:val="402" w:hRule="exact"/>
        </w:trPr>
        <w:tc>
          <w:tcPr>
            <w:tcW w:w="241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公司的外文名称（如有）</w:t>
            </w:r>
          </w:p>
        </w:tc>
        <w:tc>
          <w:tcPr>
            <w:tcW w:w="715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CHINA</w:t>
            </w:r>
            <w:r>
              <w:rPr>
                <w:rFonts w:ascii="Times New Roman"/>
                <w:spacing w:val="-12"/>
                <w:sz w:val="18"/>
              </w:rPr>
              <w:t> </w:t>
            </w:r>
            <w:r>
              <w:rPr>
                <w:rFonts w:ascii="Times New Roman"/>
                <w:spacing w:val="-6"/>
                <w:sz w:val="18"/>
              </w:rPr>
              <w:t>GREATWALL</w:t>
            </w:r>
            <w:r>
              <w:rPr>
                <w:rFonts w:ascii="Times New Roman"/>
                <w:spacing w:val="-12"/>
                <w:sz w:val="18"/>
              </w:rPr>
              <w:t> </w:t>
            </w:r>
            <w:r>
              <w:rPr>
                <w:rFonts w:ascii="Times New Roman"/>
                <w:sz w:val="18"/>
              </w:rPr>
              <w:t>TECHNOLOGY</w:t>
            </w:r>
            <w:r>
              <w:rPr>
                <w:rFonts w:ascii="Times New Roman"/>
                <w:spacing w:val="-9"/>
                <w:sz w:val="18"/>
              </w:rPr>
              <w:t> </w:t>
            </w:r>
            <w:r>
              <w:rPr>
                <w:rFonts w:ascii="Times New Roman"/>
                <w:sz w:val="18"/>
              </w:rPr>
              <w:t>GROUP</w:t>
            </w:r>
            <w:r>
              <w:rPr>
                <w:rFonts w:ascii="Times New Roman"/>
                <w:spacing w:val="-10"/>
                <w:sz w:val="18"/>
              </w:rPr>
              <w:t> </w:t>
            </w:r>
            <w:r>
              <w:rPr>
                <w:rFonts w:ascii="Times New Roman"/>
                <w:sz w:val="18"/>
              </w:rPr>
              <w:t>CO.,</w:t>
            </w:r>
            <w:r>
              <w:rPr>
                <w:rFonts w:ascii="Times New Roman"/>
                <w:spacing w:val="-2"/>
                <w:sz w:val="18"/>
              </w:rPr>
              <w:t> </w:t>
            </w:r>
            <w:r>
              <w:rPr>
                <w:rFonts w:ascii="Times New Roman"/>
                <w:spacing w:val="-5"/>
                <w:sz w:val="18"/>
              </w:rPr>
              <w:t>LTD.</w:t>
            </w:r>
            <w:r>
              <w:rPr>
                <w:rFonts w:ascii="Times New Roman"/>
                <w:sz w:val="18"/>
              </w:rPr>
            </w:r>
          </w:p>
        </w:tc>
      </w:tr>
      <w:tr>
        <w:trPr>
          <w:trHeight w:val="402" w:hRule="exact"/>
        </w:trPr>
        <w:tc>
          <w:tcPr>
            <w:tcW w:w="241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公司的外文名称缩写（如有）</w:t>
            </w:r>
          </w:p>
        </w:tc>
        <w:tc>
          <w:tcPr>
            <w:tcW w:w="715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CGT</w:t>
            </w:r>
            <w:r>
              <w:rPr>
                <w:rFonts w:ascii="Times New Roman"/>
                <w:spacing w:val="-10"/>
                <w:sz w:val="18"/>
              </w:rPr>
              <w:t> </w:t>
            </w:r>
            <w:r>
              <w:rPr>
                <w:rFonts w:ascii="Times New Roman"/>
                <w:sz w:val="18"/>
              </w:rPr>
              <w:t>GROUP</w:t>
            </w:r>
          </w:p>
        </w:tc>
      </w:tr>
      <w:tr>
        <w:trPr>
          <w:trHeight w:val="402" w:hRule="exact"/>
        </w:trPr>
        <w:tc>
          <w:tcPr>
            <w:tcW w:w="241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公司的法定代表人</w:t>
            </w:r>
          </w:p>
        </w:tc>
        <w:tc>
          <w:tcPr>
            <w:tcW w:w="715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宋黎定</w:t>
            </w:r>
          </w:p>
        </w:tc>
      </w:tr>
      <w:tr>
        <w:trPr>
          <w:trHeight w:val="402" w:hRule="exact"/>
        </w:trPr>
        <w:tc>
          <w:tcPr>
            <w:tcW w:w="241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注册地址</w:t>
            </w:r>
          </w:p>
        </w:tc>
        <w:tc>
          <w:tcPr>
            <w:tcW w:w="715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深圳市南山区科技园长城计算机大厦</w:t>
            </w:r>
          </w:p>
        </w:tc>
      </w:tr>
      <w:tr>
        <w:trPr>
          <w:trHeight w:val="402" w:hRule="exact"/>
        </w:trPr>
        <w:tc>
          <w:tcPr>
            <w:tcW w:w="241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注册地址的邮政编码</w:t>
            </w:r>
          </w:p>
        </w:tc>
        <w:tc>
          <w:tcPr>
            <w:tcW w:w="715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518057</w:t>
            </w:r>
          </w:p>
        </w:tc>
      </w:tr>
      <w:tr>
        <w:trPr>
          <w:trHeight w:val="402" w:hRule="exact"/>
        </w:trPr>
        <w:tc>
          <w:tcPr>
            <w:tcW w:w="241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办公地址</w:t>
            </w:r>
          </w:p>
        </w:tc>
        <w:tc>
          <w:tcPr>
            <w:tcW w:w="715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深圳市南山区科技园长城计算机大厦</w:t>
            </w:r>
          </w:p>
        </w:tc>
      </w:tr>
      <w:tr>
        <w:trPr>
          <w:trHeight w:val="402" w:hRule="exact"/>
        </w:trPr>
        <w:tc>
          <w:tcPr>
            <w:tcW w:w="241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办公地址的邮政编码</w:t>
            </w:r>
          </w:p>
        </w:tc>
        <w:tc>
          <w:tcPr>
            <w:tcW w:w="715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518057</w:t>
            </w:r>
          </w:p>
        </w:tc>
      </w:tr>
      <w:tr>
        <w:trPr>
          <w:trHeight w:val="402" w:hRule="exact"/>
        </w:trPr>
        <w:tc>
          <w:tcPr>
            <w:tcW w:w="241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公司网址</w:t>
            </w:r>
          </w:p>
        </w:tc>
        <w:tc>
          <w:tcPr>
            <w:tcW w:w="715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hyperlink r:id="rId10">
              <w:r>
                <w:rPr>
                  <w:rFonts w:ascii="Times New Roman"/>
                  <w:sz w:val="18"/>
                </w:rPr>
                <w:t>www.greatwall.cn</w:t>
              </w:r>
            </w:hyperlink>
          </w:p>
        </w:tc>
      </w:tr>
      <w:tr>
        <w:trPr>
          <w:trHeight w:val="402" w:hRule="exact"/>
        </w:trPr>
        <w:tc>
          <w:tcPr>
            <w:tcW w:w="241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715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hyperlink r:id="rId11">
              <w:r>
                <w:rPr>
                  <w:rFonts w:ascii="Times New Roman"/>
                  <w:sz w:val="18"/>
                </w:rPr>
                <w:t>stock@greatwall.com.cn</w:t>
              </w:r>
            </w:hyperlink>
          </w:p>
        </w:tc>
      </w:tr>
    </w:tbl>
    <w:p>
      <w:pPr>
        <w:spacing w:line="240" w:lineRule="auto" w:before="12"/>
        <w:rPr>
          <w:rFonts w:ascii="宋体" w:hAnsi="宋体" w:cs="宋体" w:eastAsia="宋体" w:hint="default"/>
          <w:b/>
          <w:bCs/>
          <w:sz w:val="17"/>
          <w:szCs w:val="17"/>
        </w:rPr>
      </w:pPr>
    </w:p>
    <w:p>
      <w:pPr>
        <w:pStyle w:val="Heading4"/>
        <w:spacing w:line="240" w:lineRule="auto" w:before="26"/>
        <w:ind w:right="0"/>
        <w:jc w:val="left"/>
        <w:rPr>
          <w:b w:val="0"/>
          <w:bCs w:val="0"/>
        </w:rPr>
      </w:pPr>
      <w:r>
        <w:rPr/>
        <w:t>二、联系人和联系方式</w:t>
      </w:r>
      <w:r>
        <w:rPr>
          <w:b w:val="0"/>
          <w:bCs w:val="0"/>
        </w:rPr>
      </w:r>
    </w:p>
    <w:p>
      <w:pPr>
        <w:spacing w:line="240" w:lineRule="auto" w:before="11"/>
        <w:rPr>
          <w:rFonts w:ascii="宋体" w:hAnsi="宋体" w:cs="宋体" w:eastAsia="宋体" w:hint="default"/>
          <w:b/>
          <w:bCs/>
          <w:sz w:val="25"/>
          <w:szCs w:val="25"/>
        </w:rPr>
      </w:pPr>
    </w:p>
    <w:tbl>
      <w:tblPr>
        <w:tblW w:w="0" w:type="auto"/>
        <w:jc w:val="left"/>
        <w:tblInd w:w="182" w:type="dxa"/>
        <w:tblLayout w:type="fixed"/>
        <w:tblCellMar>
          <w:top w:w="0" w:type="dxa"/>
          <w:left w:w="0" w:type="dxa"/>
          <w:bottom w:w="0" w:type="dxa"/>
          <w:right w:w="0" w:type="dxa"/>
        </w:tblCellMar>
        <w:tblLook w:val="01E0"/>
      </w:tblPr>
      <w:tblGrid>
        <w:gridCol w:w="3190"/>
        <w:gridCol w:w="3190"/>
        <w:gridCol w:w="3191"/>
      </w:tblGrid>
      <w:tr>
        <w:trPr>
          <w:trHeight w:val="401"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董事会秘书</w:t>
            </w:r>
          </w:p>
        </w:tc>
        <w:tc>
          <w:tcPr>
            <w:tcW w:w="31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1049" w:right="0"/>
              <w:jc w:val="left"/>
              <w:rPr>
                <w:rFonts w:ascii="宋体" w:hAnsi="宋体" w:cs="宋体" w:eastAsia="宋体" w:hint="default"/>
                <w:sz w:val="18"/>
                <w:szCs w:val="18"/>
              </w:rPr>
            </w:pPr>
            <w:r>
              <w:rPr>
                <w:rFonts w:ascii="宋体" w:hAnsi="宋体" w:cs="宋体" w:eastAsia="宋体" w:hint="default"/>
                <w:sz w:val="18"/>
                <w:szCs w:val="18"/>
              </w:rPr>
              <w:t>证券事务代表</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郭镇</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邓文韬</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z w:val="18"/>
                <w:szCs w:val="18"/>
              </w:rPr>
              <w:t>联系地址</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深圳市南山区科技园长城计算机大厦</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深圳市南山区科技园长城计算机大厦</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z w:val="18"/>
                <w:szCs w:val="18"/>
              </w:rPr>
              <w:t>电话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0755-26634759</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0755-26634759</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z w:val="18"/>
                <w:szCs w:val="18"/>
              </w:rPr>
              <w:t>传真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0755-26631106</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0755-26631106</w:t>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hyperlink r:id="rId11">
              <w:r>
                <w:rPr>
                  <w:rFonts w:ascii="Times New Roman"/>
                  <w:sz w:val="18"/>
                </w:rPr>
                <w:t>stock@greatwall.com.cn</w:t>
              </w:r>
            </w:hyperlink>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hyperlink r:id="rId11">
              <w:r>
                <w:rPr>
                  <w:rFonts w:ascii="Times New Roman"/>
                  <w:sz w:val="18"/>
                </w:rPr>
                <w:t>stock@greatwall.com.cn</w:t>
              </w:r>
            </w:hyperlink>
          </w:p>
        </w:tc>
      </w:tr>
    </w:tbl>
    <w:p>
      <w:pPr>
        <w:spacing w:line="240" w:lineRule="auto" w:before="12"/>
        <w:rPr>
          <w:rFonts w:ascii="宋体" w:hAnsi="宋体" w:cs="宋体" w:eastAsia="宋体" w:hint="default"/>
          <w:b/>
          <w:bCs/>
          <w:sz w:val="17"/>
          <w:szCs w:val="17"/>
        </w:rPr>
      </w:pPr>
    </w:p>
    <w:p>
      <w:pPr>
        <w:pStyle w:val="Heading4"/>
        <w:spacing w:line="240" w:lineRule="auto" w:before="26"/>
        <w:ind w:right="0"/>
        <w:jc w:val="left"/>
        <w:rPr>
          <w:b w:val="0"/>
          <w:bCs w:val="0"/>
        </w:rPr>
      </w:pPr>
      <w:r>
        <w:rPr/>
        <w:t>三、信息披露及备置地点</w:t>
      </w:r>
      <w:r>
        <w:rPr>
          <w:b w:val="0"/>
          <w:bCs w:val="0"/>
        </w:rPr>
      </w:r>
    </w:p>
    <w:p>
      <w:pPr>
        <w:spacing w:line="240" w:lineRule="auto" w:before="10"/>
        <w:rPr>
          <w:rFonts w:ascii="宋体" w:hAnsi="宋体" w:cs="宋体" w:eastAsia="宋体" w:hint="default"/>
          <w:b/>
          <w:bCs/>
          <w:sz w:val="25"/>
          <w:szCs w:val="25"/>
        </w:rPr>
      </w:pPr>
    </w:p>
    <w:tbl>
      <w:tblPr>
        <w:tblW w:w="0" w:type="auto"/>
        <w:jc w:val="left"/>
        <w:tblInd w:w="183" w:type="dxa"/>
        <w:tblLayout w:type="fixed"/>
        <w:tblCellMar>
          <w:top w:w="0" w:type="dxa"/>
          <w:left w:w="0" w:type="dxa"/>
          <w:bottom w:w="0" w:type="dxa"/>
          <w:right w:w="0" w:type="dxa"/>
        </w:tblCellMar>
        <w:tblLook w:val="01E0"/>
      </w:tblPr>
      <w:tblGrid>
        <w:gridCol w:w="3992"/>
        <w:gridCol w:w="5576"/>
      </w:tblGrid>
      <w:tr>
        <w:trPr>
          <w:trHeight w:val="402" w:hRule="exact"/>
        </w:trPr>
        <w:tc>
          <w:tcPr>
            <w:tcW w:w="39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公司选定的信息披露媒体的名称</w:t>
            </w:r>
          </w:p>
        </w:tc>
        <w:tc>
          <w:tcPr>
            <w:tcW w:w="5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《中国证券报</w:t>
            </w:r>
            <w:r>
              <w:rPr>
                <w:rFonts w:ascii="宋体" w:hAnsi="宋体" w:cs="宋体" w:eastAsia="宋体" w:hint="default"/>
                <w:spacing w:val="-90"/>
                <w:sz w:val="18"/>
                <w:szCs w:val="18"/>
              </w:rPr>
              <w:t>》、</w:t>
            </w: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《上海证券报》</w:t>
            </w:r>
          </w:p>
        </w:tc>
      </w:tr>
      <w:tr>
        <w:trPr>
          <w:trHeight w:val="402" w:hRule="exact"/>
        </w:trPr>
        <w:tc>
          <w:tcPr>
            <w:tcW w:w="39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登载年度报告的中国证监会指定网站的网址</w:t>
            </w:r>
          </w:p>
        </w:tc>
        <w:tc>
          <w:tcPr>
            <w:tcW w:w="5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hyperlink r:id="rId9">
              <w:r>
                <w:rPr>
                  <w:rFonts w:ascii="Times New Roman"/>
                  <w:sz w:val="18"/>
                </w:rPr>
                <w:t>www.cninfo.com.cn</w:t>
              </w:r>
            </w:hyperlink>
          </w:p>
        </w:tc>
      </w:tr>
      <w:tr>
        <w:trPr>
          <w:trHeight w:val="402" w:hRule="exact"/>
        </w:trPr>
        <w:tc>
          <w:tcPr>
            <w:tcW w:w="39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公司年度报告备置地点</w:t>
            </w:r>
          </w:p>
        </w:tc>
        <w:tc>
          <w:tcPr>
            <w:tcW w:w="5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公司董事会办公室</w:t>
            </w:r>
          </w:p>
        </w:tc>
      </w:tr>
    </w:tbl>
    <w:p>
      <w:pPr>
        <w:spacing w:after="0" w:line="240" w:lineRule="auto"/>
        <w:jc w:val="left"/>
        <w:rPr>
          <w:rFonts w:ascii="宋体" w:hAnsi="宋体" w:cs="宋体" w:eastAsia="宋体" w:hint="default"/>
          <w:sz w:val="18"/>
          <w:szCs w:val="18"/>
        </w:rPr>
        <w:sectPr>
          <w:pgSz w:w="11910" w:h="16840"/>
          <w:pgMar w:header="787" w:footer="982" w:top="1100" w:bottom="1180" w:left="980" w:right="0"/>
        </w:sectPr>
      </w:pPr>
    </w:p>
    <w:p>
      <w:pPr>
        <w:spacing w:line="240" w:lineRule="auto" w:before="5"/>
        <w:rPr>
          <w:rFonts w:ascii="宋体" w:hAnsi="宋体" w:cs="宋体" w:eastAsia="宋体" w:hint="default"/>
          <w:b/>
          <w:bCs/>
          <w:sz w:val="20"/>
          <w:szCs w:val="20"/>
        </w:rPr>
      </w:pPr>
    </w:p>
    <w:p>
      <w:pPr>
        <w:pStyle w:val="Heading4"/>
        <w:spacing w:line="240" w:lineRule="auto" w:before="26"/>
        <w:ind w:right="0"/>
        <w:jc w:val="left"/>
        <w:rPr>
          <w:b w:val="0"/>
          <w:bCs w:val="0"/>
        </w:rPr>
      </w:pPr>
      <w:r>
        <w:rPr/>
        <w:t>四、注册变更情况</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28"/>
          <w:szCs w:val="28"/>
        </w:rPr>
      </w:pPr>
    </w:p>
    <w:p>
      <w:pPr>
        <w:spacing w:before="44"/>
        <w:ind w:left="0" w:right="1103" w:firstLine="0"/>
        <w:jc w:val="right"/>
        <w:rPr>
          <w:rFonts w:ascii="宋体" w:hAnsi="宋体" w:cs="宋体" w:eastAsia="宋体" w:hint="default"/>
          <w:sz w:val="18"/>
          <w:szCs w:val="18"/>
        </w:rPr>
      </w:pPr>
      <w:r>
        <w:rPr/>
        <w:pict>
          <v:shape style="position:absolute;margin-left:58.200001pt;margin-top:-171.847992pt;width:479.2pt;height:254pt;mso-position-horizontal-relative:page;mso-position-vertical-relative:paragraph;z-index:109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190"/>
                    <w:gridCol w:w="6379"/>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组织机构代码</w:t>
                        </w:r>
                      </w:p>
                    </w:tc>
                    <w:tc>
                      <w:tcPr>
                        <w:tcW w:w="63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83" w:right="0"/>
                          <w:jc w:val="left"/>
                          <w:rPr>
                            <w:rFonts w:ascii="Times New Roman" w:hAnsi="Times New Roman" w:cs="Times New Roman" w:eastAsia="Times New Roman" w:hint="default"/>
                            <w:sz w:val="18"/>
                            <w:szCs w:val="18"/>
                          </w:rPr>
                        </w:pPr>
                        <w:r>
                          <w:rPr>
                            <w:rFonts w:ascii="Times New Roman"/>
                            <w:sz w:val="18"/>
                          </w:rPr>
                          <w:t>91440300279351261M</w:t>
                        </w:r>
                      </w:p>
                    </w:tc>
                  </w:tr>
                  <w:tr>
                    <w:trPr>
                      <w:trHeight w:val="778" w:hRule="exact"/>
                    </w:trPr>
                    <w:tc>
                      <w:tcPr>
                        <w:tcW w:w="3190" w:type="dxa"/>
                        <w:tcBorders>
                          <w:top w:val="single" w:sz="4" w:space="0" w:color="000000"/>
                          <w:left w:val="single" w:sz="4" w:space="0" w:color="000000"/>
                          <w:bottom w:val="nil" w:sz="6" w:space="0" w:color="auto"/>
                          <w:right w:val="single" w:sz="4" w:space="0" w:color="000000"/>
                        </w:tcBorders>
                        <w:shd w:val="clear" w:color="auto" w:fill="D3D3D3"/>
                      </w:tcPr>
                      <w:p>
                        <w:pPr>
                          <w:pStyle w:val="TableParagraph"/>
                          <w:spacing w:line="310" w:lineRule="atLeast" w:before="153"/>
                          <w:ind w:left="22" w:right="95"/>
                          <w:jc w:val="left"/>
                          <w:rPr>
                            <w:rFonts w:ascii="宋体" w:hAnsi="宋体" w:cs="宋体" w:eastAsia="宋体" w:hint="default"/>
                            <w:sz w:val="18"/>
                            <w:szCs w:val="18"/>
                          </w:rPr>
                        </w:pPr>
                        <w:r>
                          <w:rPr>
                            <w:rFonts w:ascii="宋体" w:hAnsi="宋体" w:cs="宋体" w:eastAsia="宋体" w:hint="default"/>
                            <w:sz w:val="18"/>
                            <w:szCs w:val="18"/>
                          </w:rPr>
                          <w:t>公司上市以来主营业务的变化情况（如 有）</w:t>
                        </w:r>
                      </w:p>
                    </w:tc>
                    <w:tc>
                      <w:tcPr>
                        <w:tcW w:w="637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3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年以前，公司以计算机及相关设备制造为主要业务；</w:t>
                        </w:r>
                      </w:p>
                      <w:p>
                        <w:pPr>
                          <w:pStyle w:val="TableParagraph"/>
                          <w:spacing w:line="240" w:lineRule="auto" w:before="102"/>
                          <w:ind w:left="3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月，公司完成重大资产重组，新增高新电子业务，涉及军事通信、</w:t>
                        </w:r>
                      </w:p>
                    </w:tc>
                  </w:tr>
                  <w:tr>
                    <w:trPr>
                      <w:trHeight w:val="287" w:hRule="exact"/>
                    </w:trPr>
                    <w:tc>
                      <w:tcPr>
                        <w:tcW w:w="3190" w:type="dxa"/>
                        <w:tcBorders>
                          <w:top w:val="nil" w:sz="6" w:space="0" w:color="auto"/>
                          <w:left w:val="single" w:sz="4" w:space="0" w:color="000000"/>
                          <w:bottom w:val="single" w:sz="4" w:space="0" w:color="000000"/>
                          <w:right w:val="single" w:sz="4" w:space="0" w:color="000000"/>
                        </w:tcBorders>
                        <w:shd w:val="clear" w:color="auto" w:fill="D3D3D3"/>
                      </w:tcPr>
                      <w:p>
                        <w:pPr/>
                      </w:p>
                    </w:tc>
                    <w:tc>
                      <w:tcPr>
                        <w:tcW w:w="6379" w:type="dxa"/>
                        <w:tcBorders>
                          <w:top w:val="nil" w:sz="6" w:space="0" w:color="auto"/>
                          <w:left w:val="single" w:sz="4" w:space="0" w:color="000000"/>
                          <w:bottom w:val="single" w:sz="4" w:space="0" w:color="000000"/>
                          <w:right w:val="single" w:sz="4" w:space="0" w:color="000000"/>
                        </w:tcBorders>
                      </w:tcPr>
                      <w:p>
                        <w:pPr>
                          <w:pStyle w:val="TableParagraph"/>
                          <w:spacing w:line="178" w:lineRule="exact"/>
                          <w:ind w:left="23" w:right="0"/>
                          <w:jc w:val="left"/>
                          <w:rPr>
                            <w:rFonts w:ascii="宋体" w:hAnsi="宋体" w:cs="宋体" w:eastAsia="宋体" w:hint="default"/>
                            <w:sz w:val="18"/>
                            <w:szCs w:val="18"/>
                          </w:rPr>
                        </w:pPr>
                        <w:r>
                          <w:rPr>
                            <w:rFonts w:ascii="宋体" w:hAnsi="宋体" w:cs="宋体" w:eastAsia="宋体" w:hint="default"/>
                            <w:sz w:val="18"/>
                            <w:szCs w:val="18"/>
                          </w:rPr>
                          <w:t>卫星与定位导航、海洋信息安全产业及军用自主可控计算机及网络等领域。</w:t>
                        </w:r>
                      </w:p>
                    </w:tc>
                  </w:tr>
                  <w:tr>
                    <w:trPr>
                      <w:trHeight w:val="383" w:hRule="exact"/>
                    </w:trPr>
                    <w:tc>
                      <w:tcPr>
                        <w:tcW w:w="3190" w:type="dxa"/>
                        <w:tcBorders>
                          <w:top w:val="single" w:sz="4" w:space="0" w:color="000000"/>
                          <w:left w:val="single" w:sz="4" w:space="0" w:color="000000"/>
                          <w:bottom w:val="nil" w:sz="6" w:space="0" w:color="auto"/>
                          <w:right w:val="single" w:sz="4" w:space="0" w:color="000000"/>
                        </w:tcBorders>
                        <w:shd w:val="clear" w:color="auto" w:fill="D3D3D3"/>
                      </w:tcPr>
                      <w:p>
                        <w:pPr/>
                      </w:p>
                    </w:tc>
                    <w:tc>
                      <w:tcPr>
                        <w:tcW w:w="637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2"/>
                          <w:ind w:left="3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1997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月，公司由中国长城计算机集团公司独家发起重组设立；</w:t>
                        </w:r>
                      </w:p>
                    </w:tc>
                  </w:tr>
                  <w:tr>
                    <w:trPr>
                      <w:trHeight w:val="331" w:hRule="exact"/>
                    </w:trPr>
                    <w:tc>
                      <w:tcPr>
                        <w:tcW w:w="3190" w:type="dxa"/>
                        <w:tcBorders>
                          <w:top w:val="nil" w:sz="6" w:space="0" w:color="auto"/>
                          <w:left w:val="single" w:sz="4" w:space="0" w:color="000000"/>
                          <w:bottom w:val="nil" w:sz="6" w:space="0" w:color="auto"/>
                          <w:right w:val="single" w:sz="4" w:space="0" w:color="000000"/>
                        </w:tcBorders>
                        <w:shd w:val="clear" w:color="auto" w:fill="D3D3D3"/>
                      </w:tcPr>
                      <w:p>
                        <w:pPr/>
                      </w:p>
                    </w:tc>
                    <w:tc>
                      <w:tcPr>
                        <w:tcW w:w="6379" w:type="dxa"/>
                        <w:tcBorders>
                          <w:top w:val="nil" w:sz="6" w:space="0" w:color="auto"/>
                          <w:left w:val="single" w:sz="4" w:space="0" w:color="000000"/>
                          <w:bottom w:val="nil" w:sz="6" w:space="0" w:color="auto"/>
                          <w:right w:val="single" w:sz="4" w:space="0" w:color="000000"/>
                        </w:tcBorders>
                      </w:tcPr>
                      <w:p>
                        <w:pPr>
                          <w:pStyle w:val="TableParagraph"/>
                          <w:spacing w:line="240" w:lineRule="auto" w:before="24"/>
                          <w:ind w:right="23"/>
                          <w:jc w:val="right"/>
                          <w:rPr>
                            <w:rFonts w:ascii="宋体" w:hAnsi="宋体" w:cs="宋体" w:eastAsia="宋体" w:hint="default"/>
                            <w:sz w:val="18"/>
                            <w:szCs w:val="18"/>
                          </w:rPr>
                        </w:pPr>
                        <w:r>
                          <w:rPr>
                            <w:rFonts w:ascii="Times New Roman" w:hAnsi="Times New Roman" w:cs="Times New Roman" w:eastAsia="Times New Roman" w:hint="default"/>
                            <w:sz w:val="18"/>
                            <w:szCs w:val="18"/>
                          </w:rPr>
                          <w:t>1998</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月，中国长城计算机集团公司通过股权重组独家发起设立长城科技</w:t>
                        </w:r>
                      </w:p>
                    </w:tc>
                  </w:tr>
                  <w:tr>
                    <w:trPr>
                      <w:trHeight w:val="313" w:hRule="exact"/>
                    </w:trPr>
                    <w:tc>
                      <w:tcPr>
                        <w:tcW w:w="3190" w:type="dxa"/>
                        <w:tcBorders>
                          <w:top w:val="nil" w:sz="6" w:space="0" w:color="auto"/>
                          <w:left w:val="single" w:sz="4" w:space="0" w:color="000000"/>
                          <w:bottom w:val="nil" w:sz="6" w:space="0" w:color="auto"/>
                          <w:right w:val="single" w:sz="4" w:space="0" w:color="000000"/>
                        </w:tcBorders>
                        <w:shd w:val="clear" w:color="auto" w:fill="D3D3D3"/>
                      </w:tcPr>
                      <w:p>
                        <w:pPr/>
                      </w:p>
                    </w:tc>
                    <w:tc>
                      <w:tcPr>
                        <w:tcW w:w="637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23"/>
                          <w:jc w:val="right"/>
                          <w:rPr>
                            <w:rFonts w:ascii="宋体" w:hAnsi="宋体" w:cs="宋体" w:eastAsia="宋体" w:hint="default"/>
                            <w:sz w:val="18"/>
                            <w:szCs w:val="18"/>
                          </w:rPr>
                        </w:pPr>
                        <w:r>
                          <w:rPr>
                            <w:rFonts w:ascii="宋体" w:hAnsi="宋体" w:cs="宋体" w:eastAsia="宋体" w:hint="default"/>
                            <w:sz w:val="18"/>
                            <w:szCs w:val="18"/>
                          </w:rPr>
                          <w:t>股份有限公司，并于同年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月在香港联交所上市。经过此次股权重组，本公司的</w:t>
                        </w:r>
                      </w:p>
                    </w:tc>
                  </w:tr>
                  <w:tr>
                    <w:trPr>
                      <w:trHeight w:val="327" w:hRule="exact"/>
                    </w:trPr>
                    <w:tc>
                      <w:tcPr>
                        <w:tcW w:w="3190" w:type="dxa"/>
                        <w:tcBorders>
                          <w:top w:val="nil" w:sz="6" w:space="0" w:color="auto"/>
                          <w:left w:val="single" w:sz="4" w:space="0" w:color="000000"/>
                          <w:bottom w:val="nil" w:sz="6" w:space="0" w:color="auto"/>
                          <w:right w:val="single" w:sz="4" w:space="0" w:color="000000"/>
                        </w:tcBorders>
                        <w:shd w:val="clear" w:color="auto" w:fill="D3D3D3"/>
                      </w:tcPr>
                      <w:p>
                        <w:pPr/>
                      </w:p>
                    </w:tc>
                    <w:tc>
                      <w:tcPr>
                        <w:tcW w:w="637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宋体" w:hAnsi="宋体" w:cs="宋体" w:eastAsia="宋体" w:hint="default"/>
                            <w:sz w:val="18"/>
                            <w:szCs w:val="18"/>
                          </w:rPr>
                          <w:t>国有法人股股权由长城科技持有，公司控股股东变更为长城科技。</w:t>
                        </w:r>
                      </w:p>
                    </w:tc>
                  </w:tr>
                  <w:tr>
                    <w:trPr>
                      <w:trHeight w:val="317" w:hRule="exact"/>
                    </w:trPr>
                    <w:tc>
                      <w:tcPr>
                        <w:tcW w:w="3190" w:type="dxa"/>
                        <w:tcBorders>
                          <w:top w:val="nil" w:sz="6" w:space="0" w:color="auto"/>
                          <w:left w:val="single" w:sz="4" w:space="0" w:color="000000"/>
                          <w:bottom w:val="nil" w:sz="6" w:space="0" w:color="auto"/>
                          <w:right w:val="single" w:sz="4" w:space="0" w:color="000000"/>
                        </w:tcBorders>
                        <w:shd w:val="clear" w:color="auto" w:fill="D3D3D3"/>
                      </w:tcPr>
                      <w:p>
                        <w:pPr/>
                      </w:p>
                    </w:tc>
                    <w:tc>
                      <w:tcPr>
                        <w:tcW w:w="6379" w:type="dxa"/>
                        <w:tcBorders>
                          <w:top w:val="nil" w:sz="6" w:space="0" w:color="auto"/>
                          <w:left w:val="single" w:sz="4" w:space="0" w:color="000000"/>
                          <w:bottom w:val="nil" w:sz="6" w:space="0" w:color="auto"/>
                          <w:right w:val="single" w:sz="4" w:space="0" w:color="000000"/>
                        </w:tcBorders>
                      </w:tcPr>
                      <w:p>
                        <w:pPr>
                          <w:pStyle w:val="TableParagraph"/>
                          <w:spacing w:line="240" w:lineRule="auto" w:before="30"/>
                          <w:ind w:right="23"/>
                          <w:jc w:val="righ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月，公司实际控制人中国电子信息产业集团有限公司联合中电长城</w:t>
                        </w:r>
                      </w:p>
                    </w:tc>
                  </w:tr>
                  <w:tr>
                    <w:trPr>
                      <w:trHeight w:val="327" w:hRule="exact"/>
                    </w:trPr>
                    <w:tc>
                      <w:tcPr>
                        <w:tcW w:w="3190"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21" w:lineRule="exact"/>
                          <w:ind w:left="22" w:right="0"/>
                          <w:jc w:val="left"/>
                          <w:rPr>
                            <w:rFonts w:ascii="宋体" w:hAnsi="宋体" w:cs="宋体" w:eastAsia="宋体" w:hint="default"/>
                            <w:sz w:val="18"/>
                            <w:szCs w:val="18"/>
                          </w:rPr>
                        </w:pPr>
                        <w:r>
                          <w:rPr>
                            <w:rFonts w:ascii="宋体" w:hAnsi="宋体" w:cs="宋体" w:eastAsia="宋体" w:hint="default"/>
                            <w:sz w:val="18"/>
                            <w:szCs w:val="18"/>
                          </w:rPr>
                          <w:t>历次控股股东的变更情况（如有）</w:t>
                        </w:r>
                      </w:p>
                    </w:tc>
                    <w:tc>
                      <w:tcPr>
                        <w:tcW w:w="6379"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right="20"/>
                          <w:jc w:val="right"/>
                          <w:rPr>
                            <w:rFonts w:ascii="宋体" w:hAnsi="宋体" w:cs="宋体" w:eastAsia="宋体" w:hint="default"/>
                            <w:sz w:val="18"/>
                            <w:szCs w:val="18"/>
                          </w:rPr>
                        </w:pPr>
                        <w:r>
                          <w:rPr>
                            <w:rFonts w:ascii="宋体" w:hAnsi="宋体" w:cs="宋体" w:eastAsia="宋体" w:hint="default"/>
                            <w:sz w:val="18"/>
                            <w:szCs w:val="18"/>
                          </w:rPr>
                          <w:t>计算机集团公</w:t>
                        </w:r>
                        <w:r>
                          <w:rPr>
                            <w:rFonts w:ascii="宋体" w:hAnsi="宋体" w:cs="宋体" w:eastAsia="宋体" w:hint="default"/>
                            <w:spacing w:val="-17"/>
                            <w:sz w:val="18"/>
                            <w:szCs w:val="18"/>
                          </w:rPr>
                          <w:t>司</w:t>
                        </w:r>
                        <w:r>
                          <w:rPr>
                            <w:rFonts w:ascii="宋体" w:hAnsi="宋体" w:cs="宋体" w:eastAsia="宋体" w:hint="default"/>
                            <w:sz w:val="18"/>
                            <w:szCs w:val="18"/>
                          </w:rPr>
                          <w:t>（原为中国长城计算机集团公司</w:t>
                        </w:r>
                        <w:r>
                          <w:rPr>
                            <w:rFonts w:ascii="宋体" w:hAnsi="宋体" w:cs="宋体" w:eastAsia="宋体" w:hint="default"/>
                            <w:spacing w:val="-17"/>
                            <w:sz w:val="18"/>
                            <w:szCs w:val="18"/>
                          </w:rPr>
                          <w:t>，</w:t>
                        </w:r>
                        <w:r>
                          <w:rPr>
                            <w:rFonts w:ascii="宋体" w:hAnsi="宋体" w:cs="宋体" w:eastAsia="宋体" w:hint="default"/>
                            <w:sz w:val="18"/>
                            <w:szCs w:val="18"/>
                          </w:rPr>
                          <w:t>简</w:t>
                        </w:r>
                        <w:r>
                          <w:rPr>
                            <w:rFonts w:ascii="宋体" w:hAnsi="宋体" w:cs="宋体" w:eastAsia="宋体" w:hint="default"/>
                            <w:spacing w:val="-17"/>
                            <w:sz w:val="18"/>
                            <w:szCs w:val="18"/>
                          </w:rPr>
                          <w:t>称</w:t>
                        </w:r>
                        <w:r>
                          <w:rPr>
                            <w:rFonts w:ascii="宋体" w:hAnsi="宋体" w:cs="宋体" w:eastAsia="宋体" w:hint="default"/>
                            <w:sz w:val="18"/>
                            <w:szCs w:val="18"/>
                          </w:rPr>
                          <w:t>“长城集团</w:t>
                        </w:r>
                        <w:r>
                          <w:rPr>
                            <w:rFonts w:ascii="宋体" w:hAnsi="宋体" w:cs="宋体" w:eastAsia="宋体" w:hint="default"/>
                            <w:spacing w:val="-90"/>
                            <w:sz w:val="18"/>
                            <w:szCs w:val="18"/>
                          </w:rPr>
                          <w:t>”</w:t>
                        </w:r>
                        <w:r>
                          <w:rPr>
                            <w:rFonts w:ascii="宋体" w:hAnsi="宋体" w:cs="宋体" w:eastAsia="宋体" w:hint="default"/>
                            <w:spacing w:val="-17"/>
                            <w:sz w:val="18"/>
                            <w:szCs w:val="18"/>
                          </w:rPr>
                          <w:t>）</w:t>
                        </w:r>
                        <w:r>
                          <w:rPr>
                            <w:rFonts w:ascii="宋体" w:hAnsi="宋体" w:cs="宋体" w:eastAsia="宋体" w:hint="default"/>
                            <w:sz w:val="18"/>
                            <w:szCs w:val="18"/>
                          </w:rPr>
                          <w:t>以要约收购</w:t>
                        </w:r>
                      </w:p>
                    </w:tc>
                  </w:tr>
                  <w:tr>
                    <w:trPr>
                      <w:trHeight w:val="312" w:hRule="exact"/>
                    </w:trPr>
                    <w:tc>
                      <w:tcPr>
                        <w:tcW w:w="3190" w:type="dxa"/>
                        <w:tcBorders>
                          <w:top w:val="nil" w:sz="6" w:space="0" w:color="auto"/>
                          <w:left w:val="single" w:sz="4" w:space="0" w:color="000000"/>
                          <w:bottom w:val="nil" w:sz="6" w:space="0" w:color="auto"/>
                          <w:right w:val="single" w:sz="4" w:space="0" w:color="000000"/>
                        </w:tcBorders>
                        <w:shd w:val="clear" w:color="auto" w:fill="D3D3D3"/>
                      </w:tcPr>
                      <w:p>
                        <w:pPr/>
                      </w:p>
                    </w:tc>
                    <w:tc>
                      <w:tcPr>
                        <w:tcW w:w="637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方式私有化公司控股股东长城科技，同时中国电子吸收合并长城集团和长城科技</w:t>
                        </w:r>
                      </w:p>
                    </w:tc>
                  </w:tr>
                  <w:tr>
                    <w:trPr>
                      <w:trHeight w:val="312" w:hRule="exact"/>
                    </w:trPr>
                    <w:tc>
                      <w:tcPr>
                        <w:tcW w:w="3190" w:type="dxa"/>
                        <w:tcBorders>
                          <w:top w:val="nil" w:sz="6" w:space="0" w:color="auto"/>
                          <w:left w:val="single" w:sz="4" w:space="0" w:color="000000"/>
                          <w:bottom w:val="nil" w:sz="6" w:space="0" w:color="auto"/>
                          <w:right w:val="single" w:sz="4" w:space="0" w:color="000000"/>
                        </w:tcBorders>
                        <w:shd w:val="clear" w:color="auto" w:fill="D3D3D3"/>
                      </w:tcPr>
                      <w:p>
                        <w:pPr/>
                      </w:p>
                    </w:tc>
                    <w:tc>
                      <w:tcPr>
                        <w:tcW w:w="637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hAnsi="宋体" w:cs="宋体" w:eastAsia="宋体" w:hint="default"/>
                            <w:sz w:val="18"/>
                            <w:szCs w:val="18"/>
                          </w:rPr>
                          <w:t>中国电子将通过此次重组承继取得长城科技所持本公司全部股权，从而成为本公</w:t>
                        </w:r>
                      </w:p>
                    </w:tc>
                  </w:tr>
                  <w:tr>
                    <w:trPr>
                      <w:trHeight w:val="317" w:hRule="exact"/>
                    </w:trPr>
                    <w:tc>
                      <w:tcPr>
                        <w:tcW w:w="3190" w:type="dxa"/>
                        <w:tcBorders>
                          <w:top w:val="nil" w:sz="6" w:space="0" w:color="auto"/>
                          <w:left w:val="single" w:sz="4" w:space="0" w:color="000000"/>
                          <w:bottom w:val="nil" w:sz="6" w:space="0" w:color="auto"/>
                          <w:right w:val="single" w:sz="4" w:space="0" w:color="000000"/>
                        </w:tcBorders>
                        <w:shd w:val="clear" w:color="auto" w:fill="D3D3D3"/>
                      </w:tcPr>
                      <w:p>
                        <w:pPr/>
                      </w:p>
                    </w:tc>
                    <w:tc>
                      <w:tcPr>
                        <w:tcW w:w="637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hAnsi="宋体" w:cs="宋体" w:eastAsia="宋体" w:hint="default"/>
                            <w:sz w:val="18"/>
                            <w:szCs w:val="18"/>
                          </w:rPr>
                          <w:t>司控股股东。</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月，长城科技完成工商登记注销，中国电子取得长城科技</w:t>
                        </w:r>
                      </w:p>
                    </w:tc>
                  </w:tr>
                  <w:tr>
                    <w:trPr>
                      <w:trHeight w:val="308" w:hRule="exact"/>
                    </w:trPr>
                    <w:tc>
                      <w:tcPr>
                        <w:tcW w:w="3190" w:type="dxa"/>
                        <w:tcBorders>
                          <w:top w:val="nil" w:sz="6" w:space="0" w:color="auto"/>
                          <w:left w:val="single" w:sz="4" w:space="0" w:color="000000"/>
                          <w:bottom w:val="nil" w:sz="6" w:space="0" w:color="auto"/>
                          <w:right w:val="single" w:sz="4" w:space="0" w:color="000000"/>
                        </w:tcBorders>
                        <w:shd w:val="clear" w:color="auto" w:fill="D3D3D3"/>
                      </w:tcPr>
                      <w:p>
                        <w:pPr/>
                      </w:p>
                    </w:tc>
                    <w:tc>
                      <w:tcPr>
                        <w:tcW w:w="637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20"/>
                          <w:jc w:val="right"/>
                          <w:rPr>
                            <w:rFonts w:ascii="宋体" w:hAnsi="宋体" w:cs="宋体" w:eastAsia="宋体" w:hint="default"/>
                            <w:sz w:val="18"/>
                            <w:szCs w:val="18"/>
                          </w:rPr>
                        </w:pPr>
                        <w:r>
                          <w:rPr>
                            <w:rFonts w:ascii="宋体" w:hAnsi="宋体" w:cs="宋体" w:eastAsia="宋体" w:hint="default"/>
                            <w:sz w:val="18"/>
                            <w:szCs w:val="18"/>
                          </w:rPr>
                          <w:t>持有公司全部股权完成过户登记，公司控股股东变更为中国电子，实际控制人保</w:t>
                        </w:r>
                      </w:p>
                    </w:tc>
                  </w:tr>
                  <w:tr>
                    <w:trPr>
                      <w:trHeight w:val="356" w:hRule="exact"/>
                    </w:trPr>
                    <w:tc>
                      <w:tcPr>
                        <w:tcW w:w="3190" w:type="dxa"/>
                        <w:tcBorders>
                          <w:top w:val="nil" w:sz="6" w:space="0" w:color="auto"/>
                          <w:left w:val="single" w:sz="4" w:space="0" w:color="000000"/>
                          <w:bottom w:val="single" w:sz="4" w:space="0" w:color="000000"/>
                          <w:right w:val="single" w:sz="4" w:space="0" w:color="000000"/>
                        </w:tcBorders>
                        <w:shd w:val="clear" w:color="auto" w:fill="D3D3D3"/>
                      </w:tcPr>
                      <w:p>
                        <w:pPr/>
                      </w:p>
                    </w:tc>
                    <w:tc>
                      <w:tcPr>
                        <w:tcW w:w="637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持不变。</w:t>
                        </w:r>
                      </w:p>
                    </w:tc>
                  </w:tr>
                </w:tbl>
                <w:p>
                  <w:pPr/>
                </w:p>
              </w:txbxContent>
            </v:textbox>
            <w10:wrap type="none"/>
          </v:shape>
        </w:pict>
      </w: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7"/>
          <w:szCs w:val="17"/>
        </w:rPr>
      </w:pPr>
    </w:p>
    <w:p>
      <w:pPr>
        <w:pStyle w:val="Heading4"/>
        <w:spacing w:line="240" w:lineRule="auto" w:before="26"/>
        <w:ind w:right="0"/>
        <w:jc w:val="left"/>
        <w:rPr>
          <w:b w:val="0"/>
          <w:bCs w:val="0"/>
        </w:rPr>
      </w:pPr>
      <w:r>
        <w:rPr/>
        <w:t>五、其他有关资料</w:t>
      </w:r>
      <w:r>
        <w:rPr>
          <w:b w:val="0"/>
          <w:bCs w:val="0"/>
        </w:rPr>
      </w:r>
    </w:p>
    <w:p>
      <w:pPr>
        <w:spacing w:line="240" w:lineRule="auto" w:before="1"/>
        <w:rPr>
          <w:rFonts w:ascii="宋体" w:hAnsi="宋体" w:cs="宋体" w:eastAsia="宋体" w:hint="default"/>
          <w:b/>
          <w:bCs/>
          <w:sz w:val="22"/>
          <w:szCs w:val="22"/>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公司聘请的会计师事务所</w:t>
      </w:r>
    </w:p>
    <w:p>
      <w:pPr>
        <w:spacing w:line="240" w:lineRule="auto" w:before="1"/>
        <w:rPr>
          <w:rFonts w:ascii="宋体" w:hAnsi="宋体" w:cs="宋体" w:eastAsia="宋体" w:hint="default"/>
          <w:sz w:val="8"/>
          <w:szCs w:val="8"/>
        </w:rPr>
      </w:pPr>
    </w:p>
    <w:tbl>
      <w:tblPr>
        <w:tblW w:w="0" w:type="auto"/>
        <w:jc w:val="left"/>
        <w:tblInd w:w="183" w:type="dxa"/>
        <w:tblLayout w:type="fixed"/>
        <w:tblCellMar>
          <w:top w:w="0" w:type="dxa"/>
          <w:left w:w="0" w:type="dxa"/>
          <w:bottom w:w="0" w:type="dxa"/>
          <w:right w:w="0" w:type="dxa"/>
        </w:tblCellMar>
        <w:tblLook w:val="01E0"/>
      </w:tblPr>
      <w:tblGrid>
        <w:gridCol w:w="2662"/>
        <w:gridCol w:w="6907"/>
      </w:tblGrid>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会计师事务所名称</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立信会计师事务所（特殊普通合伙）</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会计师事务所办公地址</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上海市黄浦区南京东路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号四楼</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签字会计师姓名</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许培梅、顾欣</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公司聘请的报告期内履行持续督导职责的保荐机构</w:t>
      </w:r>
    </w:p>
    <w:p>
      <w:pPr>
        <w:spacing w:line="357" w:lineRule="auto" w:before="117"/>
        <w:ind w:left="153" w:right="6791" w:firstLine="0"/>
        <w:jc w:val="left"/>
        <w:rPr>
          <w:rFonts w:ascii="宋体" w:hAnsi="宋体" w:cs="宋体" w:eastAsia="宋体" w:hint="default"/>
          <w:sz w:val="18"/>
          <w:szCs w:val="18"/>
        </w:rPr>
      </w:pPr>
      <w:r>
        <w:rPr>
          <w:rFonts w:ascii="宋体" w:hAnsi="宋体" w:cs="宋体" w:eastAsia="宋体" w:hint="default"/>
          <w:sz w:val="18"/>
          <w:szCs w:val="18"/>
        </w:rPr>
        <w:t>□ 适用 √ 不适用 公司聘请的报告期内履行持续督导职责的财务顾问</w:t>
      </w:r>
    </w:p>
    <w:p>
      <w:pPr>
        <w:spacing w:before="28"/>
        <w:ind w:left="153"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
        <w:rPr>
          <w:rFonts w:ascii="宋体" w:hAnsi="宋体" w:cs="宋体" w:eastAsia="宋体" w:hint="default"/>
          <w:sz w:val="8"/>
          <w:szCs w:val="8"/>
        </w:rPr>
      </w:pPr>
    </w:p>
    <w:tbl>
      <w:tblPr>
        <w:tblW w:w="0" w:type="auto"/>
        <w:jc w:val="left"/>
        <w:tblInd w:w="183" w:type="dxa"/>
        <w:tblLayout w:type="fixed"/>
        <w:tblCellMar>
          <w:top w:w="0" w:type="dxa"/>
          <w:left w:w="0" w:type="dxa"/>
          <w:bottom w:w="0" w:type="dxa"/>
          <w:right w:w="0" w:type="dxa"/>
        </w:tblCellMar>
        <w:tblLook w:val="01E0"/>
      </w:tblPr>
      <w:tblGrid>
        <w:gridCol w:w="2228"/>
        <w:gridCol w:w="2294"/>
        <w:gridCol w:w="2146"/>
        <w:gridCol w:w="2900"/>
      </w:tblGrid>
      <w:tr>
        <w:trPr>
          <w:trHeight w:val="402" w:hRule="exact"/>
        </w:trPr>
        <w:tc>
          <w:tcPr>
            <w:tcW w:w="22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财务顾问名称</w:t>
            </w:r>
          </w:p>
        </w:tc>
        <w:tc>
          <w:tcPr>
            <w:tcW w:w="22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财务顾问办公地址</w:t>
            </w:r>
          </w:p>
        </w:tc>
        <w:tc>
          <w:tcPr>
            <w:tcW w:w="214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财务顾问主办人姓名</w:t>
            </w:r>
          </w:p>
        </w:tc>
        <w:tc>
          <w:tcPr>
            <w:tcW w:w="290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持续督导期间</w:t>
            </w:r>
          </w:p>
        </w:tc>
      </w:tr>
      <w:tr>
        <w:trPr>
          <w:trHeight w:val="402" w:hRule="exact"/>
        </w:trPr>
        <w:tc>
          <w:tcPr>
            <w:tcW w:w="22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海通证券股份有限公司</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上海市广东路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689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岑平一、刘君</w:t>
            </w:r>
          </w:p>
        </w:tc>
        <w:tc>
          <w:tcPr>
            <w:tcW w:w="2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bl>
    <w:p>
      <w:pPr>
        <w:spacing w:line="240" w:lineRule="auto" w:before="12"/>
        <w:rPr>
          <w:rFonts w:ascii="宋体" w:hAnsi="宋体" w:cs="宋体" w:eastAsia="宋体" w:hint="default"/>
          <w:sz w:val="17"/>
          <w:szCs w:val="17"/>
        </w:rPr>
      </w:pPr>
    </w:p>
    <w:p>
      <w:pPr>
        <w:pStyle w:val="Heading4"/>
        <w:spacing w:line="240" w:lineRule="auto" w:before="26"/>
        <w:ind w:right="0"/>
        <w:jc w:val="left"/>
        <w:rPr>
          <w:b w:val="0"/>
          <w:bCs w:val="0"/>
        </w:rPr>
      </w:pPr>
      <w:r>
        <w:rPr/>
        <w:t>六、主要会计数据和财务指标</w:t>
      </w:r>
      <w:r>
        <w:rPr>
          <w:b w:val="0"/>
          <w:bCs w:val="0"/>
        </w:rPr>
      </w:r>
    </w:p>
    <w:p>
      <w:pPr>
        <w:spacing w:line="240" w:lineRule="auto" w:before="9"/>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公司是否需追溯调整或重述以前年度会计数据</w:t>
      </w:r>
    </w:p>
    <w:p>
      <w:pPr>
        <w:spacing w:before="116"/>
        <w:ind w:left="153" w:right="0" w:firstLine="0"/>
        <w:jc w:val="left"/>
        <w:rPr>
          <w:rFonts w:ascii="宋体" w:hAnsi="宋体" w:cs="宋体" w:eastAsia="宋体" w:hint="default"/>
          <w:sz w:val="18"/>
          <w:szCs w:val="18"/>
        </w:rPr>
      </w:pPr>
      <w:r>
        <w:rPr>
          <w:rFonts w:ascii="宋体" w:hAnsi="宋体" w:cs="宋体" w:eastAsia="宋体" w:hint="default"/>
          <w:sz w:val="18"/>
          <w:szCs w:val="18"/>
        </w:rPr>
        <w:t>□ 是 √ 否</w:t>
      </w:r>
    </w:p>
    <w:p>
      <w:pPr>
        <w:spacing w:line="240" w:lineRule="auto" w:before="1"/>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19"/>
        <w:gridCol w:w="1631"/>
        <w:gridCol w:w="1630"/>
        <w:gridCol w:w="1702"/>
        <w:gridCol w:w="1559"/>
      </w:tblGrid>
      <w:tr>
        <w:trPr>
          <w:trHeight w:val="402" w:hRule="exact"/>
        </w:trPr>
        <w:tc>
          <w:tcPr>
            <w:tcW w:w="3119"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6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51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3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51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0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本年比上年增减</w:t>
            </w:r>
          </w:p>
        </w:tc>
        <w:tc>
          <w:tcPr>
            <w:tcW w:w="155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48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402" w:hRule="exact"/>
        </w:trPr>
        <w:tc>
          <w:tcPr>
            <w:tcW w:w="311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营业收入（元）</w:t>
            </w:r>
          </w:p>
        </w:tc>
        <w:tc>
          <w:tcPr>
            <w:tcW w:w="1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10,009,483,496.74</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9,506,838,836.12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5.29%</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69,128,164,932.28</w:t>
            </w:r>
          </w:p>
        </w:tc>
      </w:tr>
      <w:tr>
        <w:trPr>
          <w:trHeight w:val="402" w:hRule="exact"/>
        </w:trPr>
        <w:tc>
          <w:tcPr>
            <w:tcW w:w="311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归属于上市公司股东的净利润（元）</w:t>
            </w:r>
          </w:p>
        </w:tc>
        <w:tc>
          <w:tcPr>
            <w:tcW w:w="1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987,100,274.54</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581,043,323.65</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69.88%</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33,147,764.97</w:t>
            </w:r>
          </w:p>
        </w:tc>
      </w:tr>
      <w:tr>
        <w:trPr>
          <w:trHeight w:val="714" w:hRule="exact"/>
        </w:trPr>
        <w:tc>
          <w:tcPr>
            <w:tcW w:w="311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22" w:right="24"/>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归属于上市公司股东的扣除非经常性损 益的净利润（元）</w:t>
            </w:r>
          </w:p>
        </w:tc>
        <w:tc>
          <w:tcPr>
            <w:tcW w:w="1631" w:type="dxa"/>
            <w:tcBorders>
              <w:top w:val="single" w:sz="4" w:space="0" w:color="000000"/>
              <w:left w:val="single" w:sz="13" w:space="0" w:color="D3D3D3"/>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327,372,794.51</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259,999,748.93</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25.91%</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38,155,424.99</w:t>
            </w:r>
          </w:p>
        </w:tc>
      </w:tr>
    </w:tbl>
    <w:p>
      <w:pPr>
        <w:spacing w:after="0" w:line="240" w:lineRule="auto"/>
        <w:jc w:val="right"/>
        <w:rPr>
          <w:rFonts w:ascii="Times New Roman" w:hAnsi="Times New Roman" w:cs="Times New Roman" w:eastAsia="Times New Roman" w:hint="default"/>
          <w:sz w:val="18"/>
          <w:szCs w:val="18"/>
        </w:rPr>
        <w:sectPr>
          <w:pgSz w:w="11910" w:h="16840"/>
          <w:pgMar w:header="787" w:footer="982" w:top="1100" w:bottom="1180" w:left="980" w:right="0"/>
        </w:sectPr>
      </w:pPr>
    </w:p>
    <w:p>
      <w:pPr>
        <w:spacing w:line="240" w:lineRule="auto" w:before="5"/>
        <w:rPr>
          <w:rFonts w:ascii="宋体" w:hAnsi="宋体" w:cs="宋体" w:eastAsia="宋体" w:hint="default"/>
          <w:sz w:val="25"/>
          <w:szCs w:val="25"/>
        </w:rPr>
      </w:pPr>
    </w:p>
    <w:tbl>
      <w:tblPr>
        <w:tblW w:w="0" w:type="auto"/>
        <w:jc w:val="left"/>
        <w:tblInd w:w="148" w:type="dxa"/>
        <w:tblLayout w:type="fixed"/>
        <w:tblCellMar>
          <w:top w:w="0" w:type="dxa"/>
          <w:left w:w="0" w:type="dxa"/>
          <w:bottom w:w="0" w:type="dxa"/>
          <w:right w:w="0" w:type="dxa"/>
        </w:tblCellMar>
        <w:tblLook w:val="01E0"/>
      </w:tblPr>
      <w:tblGrid>
        <w:gridCol w:w="3119"/>
        <w:gridCol w:w="1631"/>
        <w:gridCol w:w="1630"/>
        <w:gridCol w:w="1702"/>
        <w:gridCol w:w="1559"/>
      </w:tblGrid>
      <w:tr>
        <w:trPr>
          <w:trHeight w:val="402" w:hRule="exact"/>
        </w:trPr>
        <w:tc>
          <w:tcPr>
            <w:tcW w:w="311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经营活动产生的现金流量净额（元）</w:t>
            </w:r>
          </w:p>
        </w:tc>
        <w:tc>
          <w:tcPr>
            <w:tcW w:w="1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44,859,987.74</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-402,660,921.84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2,074,583,434.34</w:t>
            </w:r>
          </w:p>
        </w:tc>
      </w:tr>
      <w:tr>
        <w:trPr>
          <w:trHeight w:val="402" w:hRule="exact"/>
        </w:trPr>
        <w:tc>
          <w:tcPr>
            <w:tcW w:w="311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0.336</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0.204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64.71%</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0.019</w:t>
            </w:r>
          </w:p>
        </w:tc>
      </w:tr>
      <w:tr>
        <w:trPr>
          <w:trHeight w:val="402" w:hRule="exact"/>
        </w:trPr>
        <w:tc>
          <w:tcPr>
            <w:tcW w:w="311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0.336</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0.204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64.71%</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0.019</w:t>
            </w:r>
          </w:p>
        </w:tc>
      </w:tr>
      <w:tr>
        <w:trPr>
          <w:trHeight w:val="402" w:hRule="exact"/>
        </w:trPr>
        <w:tc>
          <w:tcPr>
            <w:tcW w:w="311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1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15.08%</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9.12%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5.96%</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1.25%</w:t>
            </w:r>
          </w:p>
        </w:tc>
      </w:tr>
      <w:tr>
        <w:trPr>
          <w:trHeight w:val="402" w:hRule="exact"/>
        </w:trPr>
        <w:tc>
          <w:tcPr>
            <w:tcW w:w="3119"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63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42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163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42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170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本年末比上年末增减</w:t>
            </w:r>
          </w:p>
        </w:tc>
        <w:tc>
          <w:tcPr>
            <w:tcW w:w="155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39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r>
      <w:tr>
        <w:trPr>
          <w:trHeight w:val="402" w:hRule="exact"/>
        </w:trPr>
        <w:tc>
          <w:tcPr>
            <w:tcW w:w="311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总资产（元）</w:t>
            </w:r>
          </w:p>
        </w:tc>
        <w:tc>
          <w:tcPr>
            <w:tcW w:w="1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16,002,223,272.55</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15,201,583,868.55</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5.27%</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40,860,876,598.04</w:t>
            </w:r>
          </w:p>
        </w:tc>
      </w:tr>
      <w:tr>
        <w:trPr>
          <w:trHeight w:val="402" w:hRule="exact"/>
        </w:trPr>
        <w:tc>
          <w:tcPr>
            <w:tcW w:w="311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归属于上市公司股东的净资产（元）</w:t>
            </w:r>
          </w:p>
        </w:tc>
        <w:tc>
          <w:tcPr>
            <w:tcW w:w="1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6,240,483,785.22</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6,674,338,515.40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-6.50%</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2,770,460,231.11</w:t>
            </w:r>
          </w:p>
        </w:tc>
      </w:tr>
    </w:tbl>
    <w:p>
      <w:pPr>
        <w:spacing w:line="240" w:lineRule="auto" w:before="12"/>
        <w:rPr>
          <w:rFonts w:ascii="宋体" w:hAnsi="宋体" w:cs="宋体" w:eastAsia="宋体" w:hint="default"/>
          <w:sz w:val="17"/>
          <w:szCs w:val="17"/>
        </w:rPr>
      </w:pPr>
    </w:p>
    <w:p>
      <w:pPr>
        <w:pStyle w:val="Heading4"/>
        <w:spacing w:line="240" w:lineRule="auto" w:before="26"/>
        <w:ind w:right="0"/>
        <w:jc w:val="left"/>
        <w:rPr>
          <w:b w:val="0"/>
          <w:bCs w:val="0"/>
        </w:rPr>
      </w:pPr>
      <w:r>
        <w:rPr/>
        <w:t>七、境内外会计准则下会计数据差异</w:t>
      </w:r>
      <w:r>
        <w:rPr>
          <w:b w:val="0"/>
          <w:bCs w:val="0"/>
        </w:rPr>
      </w:r>
    </w:p>
    <w:p>
      <w:pPr>
        <w:spacing w:line="240" w:lineRule="auto" w:before="9"/>
        <w:rPr>
          <w:rFonts w:ascii="宋体" w:hAnsi="宋体" w:cs="宋体" w:eastAsia="宋体" w:hint="default"/>
          <w:b/>
          <w:bCs/>
          <w:sz w:val="24"/>
          <w:szCs w:val="24"/>
        </w:rPr>
      </w:pPr>
    </w:p>
    <w:p>
      <w:pPr>
        <w:pStyle w:val="Heading5"/>
        <w:spacing w:line="240" w:lineRule="auto" w:before="0"/>
        <w:ind w:left="154" w:right="0"/>
        <w:jc w:val="left"/>
        <w:rPr>
          <w:b w:val="0"/>
          <w:bCs w:val="0"/>
        </w:rPr>
      </w:pPr>
      <w:r>
        <w:rPr>
          <w:rFonts w:ascii="Times New Roman" w:hAnsi="Times New Roman" w:cs="Times New Roman" w:eastAsia="Times New Roman" w:hint="default"/>
        </w:rPr>
        <w:t>1</w:t>
      </w:r>
      <w:r>
        <w:rPr/>
        <w:t>、同时按照国际会计准则与按照中国会计准则披露的财务报告中净利润和净资产差异情况</w:t>
      </w:r>
      <w:r>
        <w:rPr>
          <w:b w:val="0"/>
          <w:bCs w:val="0"/>
        </w:rPr>
      </w:r>
    </w:p>
    <w:p>
      <w:pPr>
        <w:spacing w:line="240" w:lineRule="auto" w:before="8"/>
        <w:rPr>
          <w:rFonts w:ascii="宋体" w:hAnsi="宋体" w:cs="宋体" w:eastAsia="宋体" w:hint="default"/>
          <w:b/>
          <w:bCs/>
          <w:sz w:val="26"/>
          <w:szCs w:val="26"/>
        </w:rPr>
      </w:pPr>
    </w:p>
    <w:p>
      <w:pPr>
        <w:spacing w:line="360" w:lineRule="auto" w:before="0"/>
        <w:ind w:left="513" w:right="2291" w:hanging="360"/>
        <w:jc w:val="left"/>
        <w:rPr>
          <w:rFonts w:ascii="宋体" w:hAnsi="宋体" w:cs="宋体" w:eastAsia="宋体" w:hint="default"/>
          <w:sz w:val="18"/>
          <w:szCs w:val="18"/>
        </w:rPr>
      </w:pPr>
      <w:r>
        <w:rPr>
          <w:rFonts w:ascii="宋体" w:hAnsi="宋体" w:cs="宋体" w:eastAsia="宋体" w:hint="default"/>
          <w:sz w:val="18"/>
          <w:szCs w:val="18"/>
        </w:rPr>
        <w:t>□ 适用 √ 不适用 公司报告期不存在按照国际会计准则与按照中国会计准则披露的财务报告中净利润和净资产差异情况。</w:t>
      </w:r>
    </w:p>
    <w:p>
      <w:pPr>
        <w:spacing w:line="240" w:lineRule="auto" w:before="11"/>
        <w:rPr>
          <w:rFonts w:ascii="宋体" w:hAnsi="宋体" w:cs="宋体" w:eastAsia="宋体" w:hint="default"/>
          <w:sz w:val="19"/>
          <w:szCs w:val="19"/>
        </w:rPr>
      </w:pPr>
    </w:p>
    <w:p>
      <w:pPr>
        <w:pStyle w:val="Heading5"/>
        <w:spacing w:line="240" w:lineRule="auto" w:before="0"/>
        <w:ind w:left="154" w:right="0"/>
        <w:jc w:val="left"/>
        <w:rPr>
          <w:b w:val="0"/>
          <w:bCs w:val="0"/>
        </w:rPr>
      </w:pPr>
      <w:r>
        <w:rPr>
          <w:rFonts w:ascii="Times New Roman" w:hAnsi="Times New Roman" w:cs="Times New Roman" w:eastAsia="Times New Roman" w:hint="default"/>
        </w:rPr>
        <w:t>2</w:t>
      </w:r>
      <w:r>
        <w:rPr/>
        <w:t>、同时按照境外会计准则与按照中国会计准则披露的财务报告中净利润和净资产差异情况</w:t>
      </w:r>
      <w:r>
        <w:rPr>
          <w:b w:val="0"/>
          <w:bCs w:val="0"/>
        </w:rPr>
      </w:r>
    </w:p>
    <w:p>
      <w:pPr>
        <w:spacing w:line="240" w:lineRule="auto" w:before="9"/>
        <w:rPr>
          <w:rFonts w:ascii="宋体" w:hAnsi="宋体" w:cs="宋体" w:eastAsia="宋体" w:hint="default"/>
          <w:b/>
          <w:bCs/>
          <w:sz w:val="26"/>
          <w:szCs w:val="26"/>
        </w:rPr>
      </w:pPr>
    </w:p>
    <w:p>
      <w:pPr>
        <w:spacing w:line="357" w:lineRule="auto" w:before="0"/>
        <w:ind w:left="513" w:right="2291" w:hanging="360"/>
        <w:jc w:val="left"/>
        <w:rPr>
          <w:rFonts w:ascii="宋体" w:hAnsi="宋体" w:cs="宋体" w:eastAsia="宋体" w:hint="default"/>
          <w:sz w:val="18"/>
          <w:szCs w:val="18"/>
        </w:rPr>
      </w:pPr>
      <w:r>
        <w:rPr>
          <w:rFonts w:ascii="宋体" w:hAnsi="宋体" w:cs="宋体" w:eastAsia="宋体" w:hint="default"/>
          <w:sz w:val="18"/>
          <w:szCs w:val="18"/>
        </w:rPr>
        <w:t>□ 适用 √ 不适用 公司报告期不存在按照境外会计准则与按照中国会计准则披露的财务报告中净利润和净资产差异情况。</w:t>
      </w:r>
    </w:p>
    <w:p>
      <w:pPr>
        <w:spacing w:line="240" w:lineRule="auto" w:before="2"/>
        <w:rPr>
          <w:rFonts w:ascii="宋体" w:hAnsi="宋体" w:cs="宋体" w:eastAsia="宋体" w:hint="default"/>
          <w:sz w:val="18"/>
          <w:szCs w:val="18"/>
        </w:rPr>
      </w:pPr>
    </w:p>
    <w:p>
      <w:pPr>
        <w:pStyle w:val="Heading4"/>
        <w:spacing w:line="240" w:lineRule="auto"/>
        <w:ind w:right="0"/>
        <w:jc w:val="left"/>
        <w:rPr>
          <w:b w:val="0"/>
          <w:bCs w:val="0"/>
        </w:rPr>
      </w:pPr>
      <w:r>
        <w:rPr/>
        <w:t>八、分季度主要财务指标</w:t>
      </w:r>
      <w:r>
        <w:rPr>
          <w:b w:val="0"/>
          <w:bCs w:val="0"/>
        </w:rPr>
      </w:r>
    </w:p>
    <w:p>
      <w:pPr>
        <w:spacing w:line="240" w:lineRule="auto" w:before="2"/>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8"/>
        <w:rPr>
          <w:rFonts w:ascii="宋体" w:hAnsi="宋体" w:cs="宋体" w:eastAsia="宋体" w:hint="default"/>
          <w:sz w:val="9"/>
          <w:szCs w:val="9"/>
        </w:rPr>
      </w:pPr>
    </w:p>
    <w:tbl>
      <w:tblPr>
        <w:tblW w:w="0" w:type="auto"/>
        <w:jc w:val="left"/>
        <w:tblInd w:w="148" w:type="dxa"/>
        <w:tblLayout w:type="fixed"/>
        <w:tblCellMar>
          <w:top w:w="0" w:type="dxa"/>
          <w:left w:w="0" w:type="dxa"/>
          <w:bottom w:w="0" w:type="dxa"/>
          <w:right w:w="0" w:type="dxa"/>
        </w:tblCellMar>
        <w:tblLook w:val="01E0"/>
      </w:tblPr>
      <w:tblGrid>
        <w:gridCol w:w="2621"/>
        <w:gridCol w:w="1754"/>
        <w:gridCol w:w="1756"/>
        <w:gridCol w:w="1753"/>
        <w:gridCol w:w="1756"/>
      </w:tblGrid>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75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512" w:right="0"/>
              <w:jc w:val="left"/>
              <w:rPr>
                <w:rFonts w:ascii="宋体" w:hAnsi="宋体" w:cs="宋体" w:eastAsia="宋体" w:hint="default"/>
                <w:sz w:val="18"/>
                <w:szCs w:val="18"/>
              </w:rPr>
            </w:pPr>
            <w:r>
              <w:rPr>
                <w:rFonts w:ascii="宋体" w:hAnsi="宋体" w:cs="宋体" w:eastAsia="宋体" w:hint="default"/>
                <w:sz w:val="18"/>
                <w:szCs w:val="18"/>
              </w:rPr>
              <w:t>第一季度</w:t>
            </w:r>
          </w:p>
        </w:tc>
        <w:tc>
          <w:tcPr>
            <w:tcW w:w="175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512" w:right="0"/>
              <w:jc w:val="left"/>
              <w:rPr>
                <w:rFonts w:ascii="宋体" w:hAnsi="宋体" w:cs="宋体" w:eastAsia="宋体" w:hint="default"/>
                <w:sz w:val="18"/>
                <w:szCs w:val="18"/>
              </w:rPr>
            </w:pPr>
            <w:r>
              <w:rPr>
                <w:rFonts w:ascii="宋体" w:hAnsi="宋体" w:cs="宋体" w:eastAsia="宋体" w:hint="default"/>
                <w:sz w:val="18"/>
                <w:szCs w:val="18"/>
              </w:rPr>
              <w:t>第二季度</w:t>
            </w:r>
          </w:p>
        </w:tc>
        <w:tc>
          <w:tcPr>
            <w:tcW w:w="17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511" w:right="0"/>
              <w:jc w:val="left"/>
              <w:rPr>
                <w:rFonts w:ascii="宋体" w:hAnsi="宋体" w:cs="宋体" w:eastAsia="宋体" w:hint="default"/>
                <w:sz w:val="18"/>
                <w:szCs w:val="18"/>
              </w:rPr>
            </w:pPr>
            <w:r>
              <w:rPr>
                <w:rFonts w:ascii="宋体" w:hAnsi="宋体" w:cs="宋体" w:eastAsia="宋体" w:hint="default"/>
                <w:sz w:val="18"/>
                <w:szCs w:val="18"/>
              </w:rPr>
              <w:t>第三季度</w:t>
            </w:r>
          </w:p>
        </w:tc>
        <w:tc>
          <w:tcPr>
            <w:tcW w:w="175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512" w:right="0"/>
              <w:jc w:val="left"/>
              <w:rPr>
                <w:rFonts w:ascii="宋体" w:hAnsi="宋体" w:cs="宋体" w:eastAsia="宋体" w:hint="default"/>
                <w:sz w:val="18"/>
                <w:szCs w:val="18"/>
              </w:rPr>
            </w:pPr>
            <w:r>
              <w:rPr>
                <w:rFonts w:ascii="宋体" w:hAnsi="宋体" w:cs="宋体" w:eastAsia="宋体" w:hint="default"/>
                <w:sz w:val="18"/>
                <w:szCs w:val="18"/>
              </w:rPr>
              <w:t>第四季度</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1,929,108,525.33</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2,207,834,034.13</w:t>
            </w:r>
          </w:p>
        </w:tc>
        <w:tc>
          <w:tcPr>
            <w:tcW w:w="17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2,133,582,035.23</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3,738,958,902.05</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151,474,263.35</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99,298,527.92</w:t>
            </w:r>
          </w:p>
        </w:tc>
        <w:tc>
          <w:tcPr>
            <w:tcW w:w="17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-42,776,710.06</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779,104,193.33</w:t>
            </w:r>
          </w:p>
        </w:tc>
      </w:tr>
      <w:tr>
        <w:trPr>
          <w:trHeight w:val="714" w:hRule="exact"/>
        </w:trPr>
        <w:tc>
          <w:tcPr>
            <w:tcW w:w="262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66"/>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 常性损益的净利润</w:t>
            </w:r>
          </w:p>
        </w:tc>
        <w:tc>
          <w:tcPr>
            <w:tcW w:w="1754" w:type="dxa"/>
            <w:tcBorders>
              <w:top w:val="single" w:sz="4" w:space="0" w:color="000000"/>
              <w:left w:val="single" w:sz="13" w:space="0" w:color="D3D3D3"/>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11,329,392.56</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-21,032,263.50</w:t>
            </w:r>
          </w:p>
        </w:tc>
        <w:tc>
          <w:tcPr>
            <w:tcW w:w="17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-59,473,508.52</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396,549,173.97</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-110,227,103.96</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-150,310,575.36</w:t>
            </w:r>
          </w:p>
        </w:tc>
        <w:tc>
          <w:tcPr>
            <w:tcW w:w="17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-186,934,197.25</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492,331,864.31</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上述财务指标或其加总数是否与公司已披露季度报告、半年度报告相关财务指标存在重大差异</w:t>
      </w:r>
    </w:p>
    <w:p>
      <w:pPr>
        <w:spacing w:before="117"/>
        <w:ind w:left="153" w:right="0" w:firstLine="0"/>
        <w:jc w:val="left"/>
        <w:rPr>
          <w:rFonts w:ascii="宋体" w:hAnsi="宋体" w:cs="宋体" w:eastAsia="宋体" w:hint="default"/>
          <w:sz w:val="18"/>
          <w:szCs w:val="18"/>
        </w:rPr>
      </w:pPr>
      <w:r>
        <w:rPr>
          <w:rFonts w:ascii="宋体" w:hAnsi="宋体" w:cs="宋体" w:eastAsia="宋体" w:hint="default"/>
          <w:sz w:val="18"/>
          <w:szCs w:val="18"/>
        </w:rPr>
        <w:t>□ 是 √ 否</w:t>
      </w:r>
    </w:p>
    <w:p>
      <w:pPr>
        <w:spacing w:after="0"/>
        <w:jc w:val="left"/>
        <w:rPr>
          <w:rFonts w:ascii="宋体" w:hAnsi="宋体" w:cs="宋体" w:eastAsia="宋体" w:hint="default"/>
          <w:sz w:val="18"/>
          <w:szCs w:val="18"/>
        </w:rPr>
        <w:sectPr>
          <w:pgSz w:w="11910" w:h="16840"/>
          <w:pgMar w:header="787" w:footer="982" w:top="1100" w:bottom="1180" w:left="980" w:right="0"/>
        </w:sect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0"/>
          <w:szCs w:val="20"/>
        </w:rPr>
      </w:pPr>
    </w:p>
    <w:p>
      <w:pPr>
        <w:pStyle w:val="Heading4"/>
        <w:spacing w:line="240" w:lineRule="auto" w:before="26"/>
        <w:ind w:left="274" w:right="1029"/>
        <w:jc w:val="left"/>
        <w:rPr>
          <w:b w:val="0"/>
          <w:bCs w:val="0"/>
        </w:rPr>
      </w:pPr>
      <w:r>
        <w:rPr/>
        <w:t>九、非经常性损益项目及金额</w:t>
      </w:r>
      <w:r>
        <w:rPr>
          <w:b w:val="0"/>
          <w:bCs w:val="0"/>
        </w:rPr>
      </w:r>
    </w:p>
    <w:p>
      <w:pPr>
        <w:spacing w:line="240" w:lineRule="auto" w:before="3"/>
        <w:rPr>
          <w:rFonts w:ascii="宋体" w:hAnsi="宋体" w:cs="宋体" w:eastAsia="宋体" w:hint="default"/>
          <w:b/>
          <w:bCs/>
          <w:sz w:val="23"/>
          <w:szCs w:val="23"/>
        </w:rPr>
      </w:pPr>
    </w:p>
    <w:p>
      <w:pPr>
        <w:spacing w:before="44"/>
        <w:ind w:left="274" w:right="1029"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before="116"/>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01" w:type="dxa"/>
        <w:tblLayout w:type="fixed"/>
        <w:tblCellMar>
          <w:top w:w="0" w:type="dxa"/>
          <w:left w:w="0" w:type="dxa"/>
          <w:bottom w:w="0" w:type="dxa"/>
          <w:right w:w="0" w:type="dxa"/>
        </w:tblCellMar>
        <w:tblLook w:val="01E0"/>
      </w:tblPr>
      <w:tblGrid>
        <w:gridCol w:w="4933"/>
        <w:gridCol w:w="1260"/>
        <w:gridCol w:w="1260"/>
        <w:gridCol w:w="1340"/>
        <w:gridCol w:w="1180"/>
      </w:tblGrid>
      <w:tr>
        <w:trPr>
          <w:trHeight w:val="401" w:hRule="exact"/>
        </w:trPr>
        <w:tc>
          <w:tcPr>
            <w:tcW w:w="493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2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15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2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15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34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19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1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402" w:hRule="exact"/>
        </w:trPr>
        <w:tc>
          <w:tcPr>
            <w:tcW w:w="493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非流动资产处置损益（包括已计提资产减值准备的冲销部分）</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34,834,489.33</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7,034,133.86</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-22,711,399.87</w:t>
            </w:r>
          </w:p>
        </w:tc>
        <w:tc>
          <w:tcPr>
            <w:tcW w:w="118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493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2"/>
              <w:ind w:left="22" w:right="38"/>
              <w:jc w:val="left"/>
              <w:rPr>
                <w:rFonts w:ascii="宋体" w:hAnsi="宋体" w:cs="宋体" w:eastAsia="宋体" w:hint="default"/>
                <w:sz w:val="18"/>
                <w:szCs w:val="18"/>
              </w:rPr>
            </w:pPr>
            <w:r>
              <w:rPr>
                <w:rFonts w:ascii="宋体" w:hAnsi="宋体" w:cs="宋体" w:eastAsia="宋体" w:hint="default"/>
                <w:sz w:val="18"/>
                <w:szCs w:val="18"/>
              </w:rPr>
              <w:t>计入当期损益的政府补助（与企业业务密切相关，按照国家统 一标准定额或定量享受的政府补助除外）</w:t>
            </w:r>
          </w:p>
        </w:tc>
        <w:tc>
          <w:tcPr>
            <w:tcW w:w="1260" w:type="dxa"/>
            <w:tcBorders>
              <w:top w:val="single" w:sz="4" w:space="0" w:color="000000"/>
              <w:left w:val="single" w:sz="13" w:space="0" w:color="D3D3D3"/>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88,504,979.64</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115,174,292.52</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283,872,950.09</w:t>
            </w:r>
          </w:p>
        </w:tc>
        <w:tc>
          <w:tcPr>
            <w:tcW w:w="118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3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债务重组损益</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-939,984.71</w:t>
            </w:r>
          </w:p>
        </w:tc>
        <w:tc>
          <w:tcPr>
            <w:tcW w:w="1260"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
        </w:tc>
        <w:tc>
          <w:tcPr>
            <w:tcW w:w="118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3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企业重组费用，如安置职工的支出、整合费用等</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-388,294,937.15</w:t>
            </w:r>
          </w:p>
        </w:tc>
        <w:tc>
          <w:tcPr>
            <w:tcW w:w="118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3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同一控制下企业合并产生的子公司期初至合并日的当期净损益</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-22,343,105.84</w:t>
            </w:r>
          </w:p>
        </w:tc>
        <w:tc>
          <w:tcPr>
            <w:tcW w:w="1340" w:type="dxa"/>
            <w:tcBorders>
              <w:top w:val="single" w:sz="4" w:space="0" w:color="000000"/>
              <w:left w:val="single" w:sz="4" w:space="0" w:color="000000"/>
              <w:bottom w:val="single" w:sz="4" w:space="0" w:color="000000"/>
              <w:right w:val="single" w:sz="4" w:space="0" w:color="000000"/>
            </w:tcBorders>
          </w:tcPr>
          <w:p>
            <w:pPr/>
          </w:p>
        </w:tc>
        <w:tc>
          <w:tcPr>
            <w:tcW w:w="1180"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493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2"/>
              <w:ind w:left="22" w:right="38"/>
              <w:jc w:val="both"/>
              <w:rPr>
                <w:rFonts w:ascii="宋体" w:hAnsi="宋体" w:cs="宋体" w:eastAsia="宋体" w:hint="default"/>
                <w:sz w:val="18"/>
                <w:szCs w:val="18"/>
              </w:rPr>
            </w:pPr>
            <w:r>
              <w:rPr>
                <w:rFonts w:ascii="宋体" w:hAnsi="宋体" w:cs="宋体" w:eastAsia="宋体" w:hint="default"/>
                <w:sz w:val="18"/>
                <w:szCs w:val="18"/>
              </w:rPr>
              <w:t>除同公司正常经营业务相关的有效套期保值业务外，持有交易 性金融资产、交易性金融负债产生的公允价值变动损益，以及 处置交易性金融资产、交易性金融负债和可供出售金融资产取 得的投资收益</w:t>
            </w:r>
          </w:p>
        </w:tc>
        <w:tc>
          <w:tcPr>
            <w:tcW w:w="1260" w:type="dxa"/>
            <w:tcBorders>
              <w:top w:val="single" w:sz="4" w:space="0" w:color="000000"/>
              <w:left w:val="single" w:sz="13" w:space="0" w:color="D3D3D3"/>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753,032,709.97</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251,007,582.14</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-24,117,845.17</w:t>
            </w:r>
          </w:p>
        </w:tc>
        <w:tc>
          <w:tcPr>
            <w:tcW w:w="118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3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单独进行减值测试的应收款项减值准备转回</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3,052,818.23</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5,093,701.00</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19,301,018.69</w:t>
            </w:r>
          </w:p>
        </w:tc>
        <w:tc>
          <w:tcPr>
            <w:tcW w:w="118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3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受托经营取得的托管费收入</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943,396.23</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943,396.22</w:t>
            </w:r>
          </w:p>
        </w:tc>
        <w:tc>
          <w:tcPr>
            <w:tcW w:w="1340" w:type="dxa"/>
            <w:tcBorders>
              <w:top w:val="single" w:sz="4" w:space="0" w:color="000000"/>
              <w:left w:val="single" w:sz="4" w:space="0" w:color="000000"/>
              <w:bottom w:val="single" w:sz="4" w:space="0" w:color="000000"/>
              <w:right w:val="single" w:sz="4" w:space="0" w:color="000000"/>
            </w:tcBorders>
          </w:tcPr>
          <w:p>
            <w:pPr/>
          </w:p>
        </w:tc>
        <w:tc>
          <w:tcPr>
            <w:tcW w:w="118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3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-4,856,275.05</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-10,724,430.47</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-11,605,050.87</w:t>
            </w:r>
          </w:p>
        </w:tc>
        <w:tc>
          <w:tcPr>
            <w:tcW w:w="118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3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其他符合非经常性损益定义的损益项目</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21,130,305.00</w:t>
            </w:r>
          </w:p>
        </w:tc>
        <w:tc>
          <w:tcPr>
            <w:tcW w:w="118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3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207,479,533.32</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25,936,451.85</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-43,702,060.74</w:t>
            </w:r>
          </w:p>
        </w:tc>
        <w:tc>
          <w:tcPr>
            <w:tcW w:w="118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93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382" w:right="0"/>
              <w:jc w:val="left"/>
              <w:rPr>
                <w:rFonts w:ascii="宋体" w:hAnsi="宋体" w:cs="宋体" w:eastAsia="宋体" w:hint="default"/>
                <w:sz w:val="18"/>
                <w:szCs w:val="18"/>
              </w:rPr>
            </w:pPr>
            <w:r>
              <w:rPr>
                <w:rFonts w:ascii="宋体" w:hAnsi="宋体" w:cs="宋体" w:eastAsia="宋体" w:hint="default"/>
                <w:sz w:val="18"/>
                <w:szCs w:val="18"/>
              </w:rPr>
              <w:t>少数股东权益影响额（税后）</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7,365,120.29</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-794,457.14</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-73,715,238.52</w:t>
            </w:r>
          </w:p>
        </w:tc>
        <w:tc>
          <w:tcPr>
            <w:tcW w:w="118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93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659,727,480.03</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321,043,574.72</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-5,007,660.02</w:t>
            </w:r>
          </w:p>
        </w:tc>
        <w:tc>
          <w:tcPr>
            <w:tcW w:w="11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w:t>
            </w:r>
          </w:p>
        </w:tc>
      </w:tr>
    </w:tbl>
    <w:p>
      <w:pPr>
        <w:spacing w:before="51"/>
        <w:ind w:left="274" w:right="1029" w:firstLine="0"/>
        <w:jc w:val="left"/>
        <w:rPr>
          <w:rFonts w:ascii="宋体" w:hAnsi="宋体" w:cs="宋体" w:eastAsia="宋体" w:hint="default"/>
          <w:sz w:val="18"/>
          <w:szCs w:val="18"/>
        </w:rPr>
      </w:pPr>
      <w:r>
        <w:rPr>
          <w:rFonts w:ascii="宋体" w:hAnsi="宋体" w:cs="宋体" w:eastAsia="宋体" w:hint="default"/>
          <w:spacing w:val="-3"/>
          <w:sz w:val="18"/>
          <w:szCs w:val="18"/>
        </w:rPr>
        <w:t>对公司根据《公开发行证券的公司信息披露解释性公告第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7"/>
          <w:sz w:val="18"/>
          <w:szCs w:val="18"/>
        </w:rPr>
        <w:t> </w:t>
      </w:r>
      <w:r>
        <w:rPr>
          <w:rFonts w:ascii="宋体" w:hAnsi="宋体" w:cs="宋体" w:eastAsia="宋体" w:hint="default"/>
          <w:spacing w:val="-7"/>
          <w:sz w:val="18"/>
          <w:szCs w:val="18"/>
        </w:rPr>
        <w:t>号</w:t>
      </w:r>
      <w:r>
        <w:rPr>
          <w:rFonts w:ascii="Times New Roman" w:hAnsi="Times New Roman" w:cs="Times New Roman" w:eastAsia="Times New Roman" w:hint="default"/>
          <w:spacing w:val="-7"/>
          <w:sz w:val="18"/>
          <w:szCs w:val="18"/>
        </w:rPr>
        <w:t>——</w:t>
      </w:r>
      <w:r>
        <w:rPr>
          <w:rFonts w:ascii="宋体" w:hAnsi="宋体" w:cs="宋体" w:eastAsia="宋体" w:hint="default"/>
          <w:spacing w:val="-7"/>
          <w:sz w:val="18"/>
          <w:szCs w:val="18"/>
        </w:rPr>
        <w:t>非经常性损益》定义界定的非经常性损益项目，以及把《公</w:t>
      </w:r>
      <w:r>
        <w:rPr>
          <w:rFonts w:ascii="宋体" w:hAnsi="宋体" w:cs="宋体" w:eastAsia="宋体" w:hint="default"/>
          <w:sz w:val="18"/>
          <w:szCs w:val="18"/>
        </w:rPr>
      </w:r>
    </w:p>
    <w:p>
      <w:pPr>
        <w:spacing w:line="302" w:lineRule="auto" w:before="61"/>
        <w:ind w:left="274" w:right="1117" w:firstLine="0"/>
        <w:jc w:val="left"/>
        <w:rPr>
          <w:rFonts w:ascii="宋体" w:hAnsi="宋体" w:cs="宋体" w:eastAsia="宋体" w:hint="default"/>
          <w:sz w:val="18"/>
          <w:szCs w:val="18"/>
        </w:rPr>
      </w:pPr>
      <w:r>
        <w:rPr>
          <w:rFonts w:ascii="宋体" w:hAnsi="宋体" w:cs="宋体" w:eastAsia="宋体" w:hint="default"/>
          <w:sz w:val="18"/>
          <w:szCs w:val="18"/>
        </w:rPr>
        <w:t>开发行证券的公司信息披露解释性公告第</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9"/>
          <w:sz w:val="18"/>
          <w:szCs w:val="18"/>
        </w:rPr>
        <w:t> </w:t>
      </w:r>
      <w:r>
        <w:rPr>
          <w:rFonts w:ascii="宋体" w:hAnsi="宋体" w:cs="宋体" w:eastAsia="宋体" w:hint="default"/>
          <w:spacing w:val="-3"/>
          <w:sz w:val="18"/>
          <w:szCs w:val="18"/>
        </w:rPr>
        <w:t>号</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非经常性损益》中列举的非经常性损益项目界定为经常性损益的项目，应</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说明原因</w:t>
      </w:r>
    </w:p>
    <w:p>
      <w:pPr>
        <w:spacing w:before="69"/>
        <w:ind w:left="274" w:right="1029"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302" w:lineRule="auto" w:before="116"/>
        <w:ind w:left="274" w:right="1114" w:firstLine="360"/>
        <w:jc w:val="left"/>
        <w:rPr>
          <w:rFonts w:ascii="宋体" w:hAnsi="宋体" w:cs="宋体" w:eastAsia="宋体" w:hint="default"/>
          <w:sz w:val="18"/>
          <w:szCs w:val="18"/>
        </w:rPr>
      </w:pPr>
      <w:r>
        <w:rPr>
          <w:rFonts w:ascii="宋体" w:hAnsi="宋体" w:cs="宋体" w:eastAsia="宋体" w:hint="default"/>
          <w:sz w:val="18"/>
          <w:szCs w:val="18"/>
        </w:rPr>
        <w:t>公司报告期不存在将根据《公开发行证券的公司信息披露解释性公告第</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2"/>
          <w:sz w:val="18"/>
          <w:szCs w:val="18"/>
        </w:rPr>
        <w:t> </w:t>
      </w:r>
      <w:r>
        <w:rPr>
          <w:rFonts w:ascii="宋体" w:hAnsi="宋体" w:cs="宋体" w:eastAsia="宋体" w:hint="default"/>
          <w:spacing w:val="-3"/>
          <w:sz w:val="18"/>
          <w:szCs w:val="18"/>
        </w:rPr>
        <w:t>号——非经常性损益》定义、列举的非经常性</w:t>
      </w:r>
      <w:r>
        <w:rPr>
          <w:rFonts w:ascii="宋体" w:hAnsi="宋体" w:cs="宋体" w:eastAsia="宋体" w:hint="default"/>
          <w:sz w:val="18"/>
          <w:szCs w:val="18"/>
        </w:rPr>
        <w:t> 损益项目界定为经常性损益的项目的情形。</w:t>
      </w:r>
    </w:p>
    <w:p>
      <w:pPr>
        <w:spacing w:after="0" w:line="302" w:lineRule="auto"/>
        <w:jc w:val="left"/>
        <w:rPr>
          <w:rFonts w:ascii="宋体" w:hAnsi="宋体" w:cs="宋体" w:eastAsia="宋体" w:hint="default"/>
          <w:sz w:val="18"/>
          <w:szCs w:val="18"/>
        </w:rPr>
        <w:sectPr>
          <w:pgSz w:w="11910" w:h="16840"/>
          <w:pgMar w:header="787" w:footer="982" w:top="1100" w:bottom="1180" w:left="86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7"/>
          <w:szCs w:val="17"/>
        </w:rPr>
      </w:pPr>
    </w:p>
    <w:p>
      <w:pPr>
        <w:pStyle w:val="Heading1"/>
        <w:spacing w:line="240" w:lineRule="auto"/>
        <w:ind w:left="3446" w:right="0"/>
        <w:jc w:val="left"/>
        <w:rPr>
          <w:b w:val="0"/>
          <w:bCs w:val="0"/>
        </w:rPr>
      </w:pPr>
      <w:bookmarkStart w:name="_TOC_250009" w:id="3"/>
      <w:r>
        <w:rPr/>
        <w:t>第三节</w:t>
      </w:r>
      <w:r>
        <w:rPr>
          <w:spacing w:val="-1"/>
        </w:rPr>
        <w:t> </w:t>
      </w:r>
      <w:r>
        <w:rPr/>
        <w:t>公司业务概要</w:t>
      </w:r>
      <w:bookmarkEnd w:id="3"/>
      <w:r>
        <w:rPr>
          <w:b w:val="0"/>
          <w:bCs w:val="0"/>
        </w:rPr>
      </w:r>
    </w:p>
    <w:p>
      <w:pPr>
        <w:spacing w:line="240" w:lineRule="auto" w:before="11"/>
        <w:rPr>
          <w:rFonts w:ascii="宋体" w:hAnsi="宋体" w:cs="宋体" w:eastAsia="宋体" w:hint="default"/>
          <w:b/>
          <w:bCs/>
          <w:sz w:val="38"/>
          <w:szCs w:val="38"/>
        </w:rPr>
      </w:pPr>
    </w:p>
    <w:p>
      <w:pPr>
        <w:pStyle w:val="Heading4"/>
        <w:spacing w:line="240" w:lineRule="auto"/>
        <w:ind w:right="0"/>
        <w:jc w:val="both"/>
        <w:rPr>
          <w:b w:val="0"/>
          <w:bCs w:val="0"/>
        </w:rPr>
      </w:pPr>
      <w:r>
        <w:rPr/>
        <w:t>一、报告期内公司从事的主要业务</w:t>
      </w:r>
      <w:r>
        <w:rPr>
          <w:b w:val="0"/>
          <w:bCs w:val="0"/>
        </w:rPr>
      </w:r>
    </w:p>
    <w:p>
      <w:pPr>
        <w:spacing w:line="240" w:lineRule="auto" w:before="6"/>
        <w:rPr>
          <w:rFonts w:ascii="宋体" w:hAnsi="宋体" w:cs="宋体" w:eastAsia="宋体" w:hint="default"/>
          <w:b/>
          <w:bCs/>
          <w:sz w:val="30"/>
          <w:szCs w:val="30"/>
        </w:rPr>
      </w:pPr>
    </w:p>
    <w:p>
      <w:pPr>
        <w:pStyle w:val="BodyText"/>
        <w:spacing w:line="460" w:lineRule="auto" w:before="0"/>
        <w:ind w:left="574" w:right="0"/>
        <w:jc w:val="left"/>
      </w:pPr>
      <w:r>
        <w:rPr/>
        <w:t>报告期内公司从事的主要业务包括：网络安全与信息化、高新电子、电源及其他业务。 </w:t>
      </w:r>
      <w:r>
        <w:rPr>
          <w:spacing w:val="-1"/>
        </w:rPr>
        <w:t>网络安全与信息化以关系国家信息安全和国民经济命脉的重要行业和领域为主要市场，提供软硬结合</w:t>
      </w:r>
    </w:p>
    <w:p>
      <w:pPr>
        <w:pStyle w:val="BodyText"/>
        <w:spacing w:line="408" w:lineRule="auto" w:before="0"/>
        <w:ind w:left="154" w:right="1108"/>
        <w:jc w:val="both"/>
      </w:pPr>
      <w:r>
        <w:rPr>
          <w:spacing w:val="-1"/>
        </w:rPr>
        <w:t>的核心产品、行业解决方案和服务。经过多年持续投入，公司已经全面具备了安全可靠整机和服务器从设</w:t>
      </w:r>
      <w:r>
        <w:rPr>
          <w:spacing w:val="-83"/>
        </w:rPr>
        <w:t> </w:t>
      </w:r>
      <w:r>
        <w:rPr>
          <w:spacing w:val="-83"/>
        </w:rPr>
      </w:r>
      <w:r>
        <w:rPr>
          <w:spacing w:val="-1"/>
        </w:rPr>
        <w:t>计、研发、验证到生产的能力，基于飞腾平台的终端和服务器的产品性能保持领先，已在多个重要升级替</w:t>
      </w:r>
      <w:r>
        <w:rPr>
          <w:spacing w:val="-82"/>
        </w:rPr>
        <w:t> </w:t>
      </w:r>
      <w:r>
        <w:rPr>
          <w:spacing w:val="-82"/>
        </w:rPr>
      </w:r>
      <w:r>
        <w:rPr>
          <w:spacing w:val="-1"/>
        </w:rPr>
        <w:t>代项目、关键行业中试点应用并占据市场主导地位。安全可靠整机研发及与行业应用软件的适配工作取得</w:t>
      </w:r>
      <w:r>
        <w:rPr>
          <w:spacing w:val="-81"/>
        </w:rPr>
        <w:t> </w:t>
      </w:r>
      <w:r>
        <w:rPr>
          <w:spacing w:val="-81"/>
        </w:rPr>
      </w:r>
      <w:r>
        <w:rPr/>
        <w:t>较好进展，与国内多家信息化重点企业实现了生态构建合作，产业生态逐步形成。此外，公司还是金融、 </w:t>
      </w:r>
      <w:r>
        <w:rPr>
          <w:spacing w:val="-1"/>
        </w:rPr>
        <w:t>医疗行业信息化领域的重要供应商，金融智能网点解决方案国内市场占有率第一，在国内首家推出医疗自</w:t>
      </w:r>
      <w:r>
        <w:rPr>
          <w:spacing w:val="-81"/>
        </w:rPr>
        <w:t> </w:t>
      </w:r>
      <w:r>
        <w:rPr>
          <w:spacing w:val="-81"/>
        </w:rPr>
      </w:r>
      <w:r>
        <w:rPr/>
        <w:t>助综合服务系统并占据主要市场。</w:t>
      </w:r>
    </w:p>
    <w:p>
      <w:pPr>
        <w:pStyle w:val="BodyText"/>
        <w:spacing w:line="408" w:lineRule="auto" w:before="106"/>
        <w:ind w:left="153" w:right="1022" w:firstLine="420"/>
        <w:jc w:val="left"/>
      </w:pPr>
      <w:r>
        <w:rPr/>
        <w:t>高新电子业务专注于军事通信、海洋信息安全产业及军用计算机及网络等领域，是我军国防信息化系 统解决方案和装备的重要提供商及服务商，承担了多项大系统总体任务，竞争力不断增强。目前，公司具 备较强的战术通信系统总体设计能力和装备研发制造能力，超短波战术通信整体技术水平在国内处于领先 水平；公司是我军水下通信、远程水声通信系统和装备的重要提供商，为部队提供水下通信技术体制及主 </w:t>
      </w:r>
      <w:r>
        <w:rPr>
          <w:spacing w:val="-3"/>
        </w:rPr>
        <w:t>要通信装备，整体技术水平国内领先；公司作为少数几家拥有新型光纤水下探测设备研发制造能力的企业，</w:t>
      </w:r>
      <w:r>
        <w:rPr>
          <w:spacing w:val="-92"/>
        </w:rPr>
        <w:t> </w:t>
      </w:r>
      <w:r>
        <w:rPr>
          <w:spacing w:val="-92"/>
        </w:rPr>
      </w:r>
      <w:r>
        <w:rPr/>
        <w:t>在光纤传感技术、信号处理技术等方面处于行业领先地位。公司始终坚持以需求为牵引，以市场为导向， 积极适应新时期军事变革的新需求，大力拓展陆、海、空、天、火等多个领域的市场。</w:t>
      </w:r>
    </w:p>
    <w:p>
      <w:pPr>
        <w:pStyle w:val="BodyText"/>
        <w:spacing w:line="400" w:lineRule="auto" w:before="106"/>
        <w:ind w:left="153" w:right="1127" w:firstLine="420"/>
        <w:jc w:val="both"/>
      </w:pPr>
      <w:r>
        <w:rPr>
          <w:spacing w:val="-1"/>
        </w:rPr>
        <w:t>公司具备强大的电源研发和制造能力，电源产品涵盖工业电源、消费电源等诸多领域，拥有全国唯一</w:t>
      </w:r>
      <w:r>
        <w:rPr/>
        <w:t> 的企业开关电源技术实验室，在单体功率、转换效率、功率密度等方面技术特点突出。</w:t>
      </w:r>
      <w:r>
        <w:rPr>
          <w:rFonts w:ascii="Times New Roman" w:hAnsi="Times New Roman" w:cs="Times New Roman" w:eastAsia="Times New Roman" w:hint="default"/>
        </w:rPr>
        <w:t>PC</w:t>
      </w:r>
      <w:r>
        <w:rPr>
          <w:rFonts w:ascii="Times New Roman" w:hAnsi="Times New Roman" w:cs="Times New Roman" w:eastAsia="Times New Roman" w:hint="default"/>
          <w:spacing w:val="26"/>
        </w:rPr>
        <w:t> </w:t>
      </w:r>
      <w:r>
        <w:rPr/>
        <w:t>电源多年来雄</w:t>
      </w:r>
      <w:r>
        <w:rPr>
          <w:spacing w:val="-101"/>
        </w:rPr>
        <w:t> </w:t>
      </w:r>
      <w:r>
        <w:rPr>
          <w:spacing w:val="-101"/>
        </w:rPr>
      </w:r>
      <w:r>
        <w:rPr>
          <w:spacing w:val="-1"/>
        </w:rPr>
        <w:t>踞国内市场占有率第一，服务器电源高速发展，通信电源等高端电源产品近年来销量稳步提升。消费电源</w:t>
      </w:r>
      <w:r>
        <w:rPr>
          <w:spacing w:val="-83"/>
        </w:rPr>
        <w:t> </w:t>
      </w:r>
      <w:r>
        <w:rPr>
          <w:spacing w:val="-83"/>
        </w:rPr>
      </w:r>
      <w:r>
        <w:rPr/>
        <w:t>产品跻身国际一线水平，主要面向国际大客户供货。</w:t>
      </w:r>
    </w:p>
    <w:p>
      <w:pPr>
        <w:pStyle w:val="BodyText"/>
        <w:spacing w:line="408" w:lineRule="auto" w:before="112"/>
        <w:ind w:left="153" w:right="1130" w:firstLine="420"/>
        <w:jc w:val="both"/>
      </w:pPr>
      <w:r>
        <w:rPr>
          <w:spacing w:val="-1"/>
        </w:rPr>
        <w:t>公司拥有较好的园区与房产资源，在满足自身经营需要的基础上，部分房产资源通过对外租赁实现经</w:t>
      </w:r>
      <w:r>
        <w:rPr/>
        <w:t> </w:t>
      </w:r>
      <w:r>
        <w:rPr>
          <w:spacing w:val="-1"/>
        </w:rPr>
        <w:t>济效益。中电软件园是长沙市重要的移动互联网产业核心聚集园区、工信部制造业“双创”平台试点示范</w:t>
      </w:r>
      <w:r>
        <w:rPr>
          <w:spacing w:val="-82"/>
        </w:rPr>
        <w:t> </w:t>
      </w:r>
      <w:r>
        <w:rPr>
          <w:spacing w:val="-82"/>
        </w:rPr>
      </w:r>
      <w:r>
        <w:rPr/>
        <w:t>基地；建设中的中电长城大厦将形成新的房产资源租赁与销售业务增长点。</w:t>
      </w:r>
    </w:p>
    <w:p>
      <w:pPr>
        <w:spacing w:after="0" w:line="408" w:lineRule="auto"/>
        <w:jc w:val="both"/>
        <w:sectPr>
          <w:pgSz w:w="11910" w:h="16840"/>
          <w:pgMar w:header="787" w:footer="982" w:top="1100" w:bottom="1180" w:left="980" w:right="0"/>
        </w:sectPr>
      </w:pPr>
    </w:p>
    <w:p>
      <w:pPr>
        <w:spacing w:line="240" w:lineRule="auto" w:before="5"/>
        <w:rPr>
          <w:rFonts w:ascii="宋体" w:hAnsi="宋体" w:cs="宋体" w:eastAsia="宋体" w:hint="default"/>
          <w:sz w:val="20"/>
          <w:szCs w:val="20"/>
        </w:rPr>
      </w:pPr>
    </w:p>
    <w:p>
      <w:pPr>
        <w:pStyle w:val="Heading4"/>
        <w:spacing w:line="240" w:lineRule="auto" w:before="26"/>
        <w:ind w:left="1034" w:right="1090"/>
        <w:jc w:val="left"/>
        <w:rPr>
          <w:b w:val="0"/>
          <w:bCs w:val="0"/>
        </w:rPr>
      </w:pPr>
      <w:r>
        <w:rPr/>
        <w:t>二、主要资产重大变化情况</w:t>
      </w:r>
      <w:r>
        <w:rPr>
          <w:b w:val="0"/>
          <w:bCs w:val="0"/>
        </w:rPr>
      </w:r>
    </w:p>
    <w:p>
      <w:pPr>
        <w:pStyle w:val="Heading5"/>
        <w:spacing w:line="240" w:lineRule="auto" w:before="202"/>
        <w:ind w:left="1034" w:right="1090"/>
        <w:jc w:val="left"/>
        <w:rPr>
          <w:b w:val="0"/>
          <w:bCs w:val="0"/>
        </w:rPr>
      </w:pPr>
      <w:r>
        <w:rPr>
          <w:rFonts w:ascii="Times New Roman" w:hAnsi="Times New Roman" w:cs="Times New Roman" w:eastAsia="Times New Roman" w:hint="default"/>
        </w:rPr>
        <w:t>1</w:t>
      </w:r>
      <w:r>
        <w:rPr/>
        <w:t>、主要资产重大变化情况</w:t>
      </w:r>
      <w:r>
        <w:rPr>
          <w:b w:val="0"/>
          <w:bCs w:val="0"/>
        </w:rPr>
      </w:r>
    </w:p>
    <w:p>
      <w:pPr>
        <w:spacing w:line="240" w:lineRule="auto" w:before="7"/>
        <w:rPr>
          <w:rFonts w:ascii="宋体" w:hAnsi="宋体" w:cs="宋体" w:eastAsia="宋体" w:hint="default"/>
          <w:b/>
          <w:bCs/>
          <w:sz w:val="16"/>
          <w:szCs w:val="16"/>
        </w:rPr>
      </w:pPr>
    </w:p>
    <w:tbl>
      <w:tblPr>
        <w:tblW w:w="0" w:type="auto"/>
        <w:jc w:val="left"/>
        <w:tblInd w:w="1064" w:type="dxa"/>
        <w:tblLayout w:type="fixed"/>
        <w:tblCellMar>
          <w:top w:w="0" w:type="dxa"/>
          <w:left w:w="0" w:type="dxa"/>
          <w:bottom w:w="0" w:type="dxa"/>
          <w:right w:w="0" w:type="dxa"/>
        </w:tblCellMar>
        <w:tblLook w:val="01E0"/>
      </w:tblPr>
      <w:tblGrid>
        <w:gridCol w:w="3052"/>
        <w:gridCol w:w="6517"/>
      </w:tblGrid>
      <w:tr>
        <w:trPr>
          <w:trHeight w:val="402" w:hRule="exact"/>
        </w:trPr>
        <w:tc>
          <w:tcPr>
            <w:tcW w:w="305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主要资产</w:t>
            </w:r>
          </w:p>
        </w:tc>
        <w:tc>
          <w:tcPr>
            <w:tcW w:w="651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重大变化说明</w:t>
            </w:r>
          </w:p>
        </w:tc>
      </w:tr>
      <w:tr>
        <w:trPr>
          <w:trHeight w:val="402" w:hRule="exact"/>
        </w:trPr>
        <w:tc>
          <w:tcPr>
            <w:tcW w:w="305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股权资产</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主要是新增联营企业投资所致</w:t>
            </w:r>
          </w:p>
        </w:tc>
      </w:tr>
      <w:tr>
        <w:trPr>
          <w:trHeight w:val="402" w:hRule="exact"/>
        </w:trPr>
        <w:tc>
          <w:tcPr>
            <w:tcW w:w="305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无重大变化</w:t>
            </w:r>
          </w:p>
        </w:tc>
      </w:tr>
      <w:tr>
        <w:trPr>
          <w:trHeight w:val="402" w:hRule="exact"/>
        </w:trPr>
        <w:tc>
          <w:tcPr>
            <w:tcW w:w="305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无重大变化</w:t>
            </w:r>
          </w:p>
        </w:tc>
      </w:tr>
      <w:tr>
        <w:trPr>
          <w:trHeight w:val="402" w:hRule="exact"/>
        </w:trPr>
        <w:tc>
          <w:tcPr>
            <w:tcW w:w="305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无重大变化</w:t>
            </w:r>
          </w:p>
        </w:tc>
      </w:tr>
      <w:tr>
        <w:trPr>
          <w:trHeight w:val="402" w:hRule="exact"/>
        </w:trPr>
        <w:tc>
          <w:tcPr>
            <w:tcW w:w="3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其他情况说明</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具体情况详见第四节中“资产构成重大变动情况”的相关介绍</w:t>
            </w:r>
          </w:p>
        </w:tc>
      </w:tr>
    </w:tbl>
    <w:p>
      <w:pPr>
        <w:spacing w:line="240" w:lineRule="auto" w:before="12"/>
        <w:rPr>
          <w:rFonts w:ascii="宋体" w:hAnsi="宋体" w:cs="宋体" w:eastAsia="宋体" w:hint="default"/>
          <w:b/>
          <w:bCs/>
          <w:sz w:val="9"/>
          <w:szCs w:val="9"/>
        </w:rPr>
      </w:pPr>
    </w:p>
    <w:p>
      <w:pPr>
        <w:pStyle w:val="Heading5"/>
        <w:spacing w:line="240" w:lineRule="auto"/>
        <w:ind w:left="1034" w:right="1090"/>
        <w:jc w:val="left"/>
        <w:rPr>
          <w:b w:val="0"/>
          <w:bCs w:val="0"/>
        </w:rPr>
      </w:pPr>
      <w:r>
        <w:rPr>
          <w:rFonts w:ascii="Times New Roman" w:hAnsi="Times New Roman" w:cs="Times New Roman" w:eastAsia="Times New Roman" w:hint="default"/>
        </w:rPr>
        <w:t>2</w:t>
      </w:r>
      <w:r>
        <w:rPr/>
        <w:t>、主要境外资产情况</w:t>
      </w:r>
      <w:r>
        <w:rPr>
          <w:b w:val="0"/>
          <w:bCs w:val="0"/>
        </w:rPr>
      </w:r>
    </w:p>
    <w:p>
      <w:pPr>
        <w:spacing w:line="240" w:lineRule="auto" w:before="5"/>
        <w:rPr>
          <w:rFonts w:ascii="宋体" w:hAnsi="宋体" w:cs="宋体" w:eastAsia="宋体" w:hint="default"/>
          <w:b/>
          <w:bCs/>
          <w:sz w:val="17"/>
          <w:szCs w:val="17"/>
        </w:rPr>
      </w:pPr>
    </w:p>
    <w:p>
      <w:pPr>
        <w:spacing w:before="0"/>
        <w:ind w:left="1034" w:right="109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4"/>
          <w:szCs w:val="14"/>
        </w:rPr>
      </w:pPr>
    </w:p>
    <w:p>
      <w:pPr>
        <w:spacing w:before="0"/>
        <w:ind w:left="0" w:right="129" w:firstLine="0"/>
        <w:jc w:val="right"/>
        <w:rPr>
          <w:rFonts w:ascii="宋体" w:hAnsi="宋体" w:cs="宋体" w:eastAsia="宋体" w:hint="default"/>
          <w:sz w:val="18"/>
          <w:szCs w:val="18"/>
        </w:rPr>
      </w:pPr>
      <w:r>
        <w:rPr/>
        <w:pict>
          <v:shape style="position:absolute;margin-left:10.68pt;margin-top:-187.128021pt;width:574.2pt;height:203.7pt;mso-position-horizontal-relative:page;mso-position-vertical-relative:paragraph;z-index:112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666"/>
                    <w:gridCol w:w="1040"/>
                    <w:gridCol w:w="1492"/>
                    <w:gridCol w:w="858"/>
                    <w:gridCol w:w="1080"/>
                    <w:gridCol w:w="2056"/>
                    <w:gridCol w:w="1440"/>
                    <w:gridCol w:w="960"/>
                    <w:gridCol w:w="878"/>
                  </w:tblGrid>
                  <w:tr>
                    <w:trPr>
                      <w:trHeight w:val="985" w:hRule="exact"/>
                    </w:trPr>
                    <w:tc>
                      <w:tcPr>
                        <w:tcW w:w="16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left="197" w:right="0"/>
                          <w:jc w:val="left"/>
                          <w:rPr>
                            <w:rFonts w:ascii="宋体" w:hAnsi="宋体" w:cs="宋体" w:eastAsia="宋体" w:hint="default"/>
                            <w:sz w:val="18"/>
                            <w:szCs w:val="18"/>
                          </w:rPr>
                        </w:pPr>
                        <w:r>
                          <w:rPr>
                            <w:rFonts w:ascii="宋体" w:hAnsi="宋体" w:cs="宋体" w:eastAsia="宋体" w:hint="default"/>
                            <w:sz w:val="18"/>
                            <w:szCs w:val="18"/>
                          </w:rPr>
                          <w:t>资产的具体内容</w:t>
                        </w:r>
                      </w:p>
                    </w:tc>
                    <w:tc>
                      <w:tcPr>
                        <w:tcW w:w="104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left="154" w:right="0"/>
                          <w:jc w:val="left"/>
                          <w:rPr>
                            <w:rFonts w:ascii="宋体" w:hAnsi="宋体" w:cs="宋体" w:eastAsia="宋体" w:hint="default"/>
                            <w:sz w:val="18"/>
                            <w:szCs w:val="18"/>
                          </w:rPr>
                        </w:pPr>
                        <w:r>
                          <w:rPr>
                            <w:rFonts w:ascii="宋体" w:hAnsi="宋体" w:cs="宋体" w:eastAsia="宋体" w:hint="default"/>
                            <w:sz w:val="18"/>
                            <w:szCs w:val="18"/>
                          </w:rPr>
                          <w:t>形成原因</w:t>
                        </w:r>
                      </w:p>
                    </w:tc>
                    <w:tc>
                      <w:tcPr>
                        <w:tcW w:w="14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left="380" w:right="0"/>
                          <w:jc w:val="left"/>
                          <w:rPr>
                            <w:rFonts w:ascii="宋体" w:hAnsi="宋体" w:cs="宋体" w:eastAsia="宋体" w:hint="default"/>
                            <w:sz w:val="18"/>
                            <w:szCs w:val="18"/>
                          </w:rPr>
                        </w:pPr>
                        <w:r>
                          <w:rPr>
                            <w:rFonts w:ascii="宋体" w:hAnsi="宋体" w:cs="宋体" w:eastAsia="宋体" w:hint="default"/>
                            <w:sz w:val="18"/>
                            <w:szCs w:val="18"/>
                          </w:rPr>
                          <w:t>资产规模</w:t>
                        </w:r>
                      </w:p>
                    </w:tc>
                    <w:tc>
                      <w:tcPr>
                        <w:tcW w:w="85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所在地</w:t>
                        </w:r>
                      </w:p>
                    </w:tc>
                    <w:tc>
                      <w:tcPr>
                        <w:tcW w:w="1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left="175" w:right="0"/>
                          <w:jc w:val="left"/>
                          <w:rPr>
                            <w:rFonts w:ascii="宋体" w:hAnsi="宋体" w:cs="宋体" w:eastAsia="宋体" w:hint="default"/>
                            <w:sz w:val="18"/>
                            <w:szCs w:val="18"/>
                          </w:rPr>
                        </w:pPr>
                        <w:r>
                          <w:rPr>
                            <w:rFonts w:ascii="宋体" w:hAnsi="宋体" w:cs="宋体" w:eastAsia="宋体" w:hint="default"/>
                            <w:sz w:val="18"/>
                            <w:szCs w:val="18"/>
                          </w:rPr>
                          <w:t>运营模式</w:t>
                        </w:r>
                      </w:p>
                    </w:tc>
                    <w:tc>
                      <w:tcPr>
                        <w:tcW w:w="205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4"/>
                            <w:szCs w:val="14"/>
                          </w:rPr>
                        </w:pPr>
                      </w:p>
                      <w:p>
                        <w:pPr>
                          <w:pStyle w:val="TableParagraph"/>
                          <w:spacing w:line="316" w:lineRule="auto"/>
                          <w:ind w:left="932" w:right="31" w:hanging="900"/>
                          <w:jc w:val="left"/>
                          <w:rPr>
                            <w:rFonts w:ascii="宋体" w:hAnsi="宋体" w:cs="宋体" w:eastAsia="宋体" w:hint="default"/>
                            <w:sz w:val="18"/>
                            <w:szCs w:val="18"/>
                          </w:rPr>
                        </w:pPr>
                        <w:r>
                          <w:rPr>
                            <w:rFonts w:ascii="宋体" w:hAnsi="宋体" w:cs="宋体" w:eastAsia="宋体" w:hint="default"/>
                            <w:sz w:val="18"/>
                            <w:szCs w:val="18"/>
                          </w:rPr>
                          <w:t>保障资产安全性的控制措 施</w:t>
                        </w:r>
                      </w:p>
                    </w:tc>
                    <w:tc>
                      <w:tcPr>
                        <w:tcW w:w="144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left="356" w:right="0"/>
                          <w:jc w:val="left"/>
                          <w:rPr>
                            <w:rFonts w:ascii="宋体" w:hAnsi="宋体" w:cs="宋体" w:eastAsia="宋体" w:hint="default"/>
                            <w:sz w:val="18"/>
                            <w:szCs w:val="18"/>
                          </w:rPr>
                        </w:pPr>
                        <w:r>
                          <w:rPr>
                            <w:rFonts w:ascii="宋体" w:hAnsi="宋体" w:cs="宋体" w:eastAsia="宋体" w:hint="default"/>
                            <w:sz w:val="18"/>
                            <w:szCs w:val="18"/>
                          </w:rPr>
                          <w:t>收益状况</w:t>
                        </w:r>
                      </w:p>
                    </w:tc>
                    <w:tc>
                      <w:tcPr>
                        <w:tcW w:w="9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31"/>
                          <w:ind w:left="26" w:right="23"/>
                          <w:jc w:val="center"/>
                          <w:rPr>
                            <w:rFonts w:ascii="宋体" w:hAnsi="宋体" w:cs="宋体" w:eastAsia="宋体" w:hint="default"/>
                            <w:sz w:val="18"/>
                            <w:szCs w:val="18"/>
                          </w:rPr>
                        </w:pPr>
                        <w:r>
                          <w:rPr>
                            <w:rFonts w:ascii="宋体" w:hAnsi="宋体" w:cs="宋体" w:eastAsia="宋体" w:hint="default"/>
                            <w:sz w:val="18"/>
                            <w:szCs w:val="18"/>
                          </w:rPr>
                          <w:t>境外资产占 公司净资产 的比重</w:t>
                        </w:r>
                      </w:p>
                    </w:tc>
                    <w:tc>
                      <w:tcPr>
                        <w:tcW w:w="87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31"/>
                          <w:ind w:left="74" w:right="72"/>
                          <w:jc w:val="center"/>
                          <w:rPr>
                            <w:rFonts w:ascii="宋体" w:hAnsi="宋体" w:cs="宋体" w:eastAsia="宋体" w:hint="default"/>
                            <w:sz w:val="18"/>
                            <w:szCs w:val="18"/>
                          </w:rPr>
                        </w:pPr>
                        <w:r>
                          <w:rPr>
                            <w:rFonts w:ascii="宋体" w:hAnsi="宋体" w:cs="宋体" w:eastAsia="宋体" w:hint="default"/>
                            <w:sz w:val="18"/>
                            <w:szCs w:val="18"/>
                          </w:rPr>
                          <w:t>是否存在 重大减值 风险</w:t>
                        </w:r>
                      </w:p>
                    </w:tc>
                  </w:tr>
                  <w:tr>
                    <w:trPr>
                      <w:trHeight w:val="348" w:hRule="exact"/>
                    </w:trPr>
                    <w:tc>
                      <w:tcPr>
                        <w:tcW w:w="1666" w:type="dxa"/>
                        <w:tcBorders>
                          <w:top w:val="single" w:sz="4" w:space="0" w:color="000000"/>
                          <w:left w:val="single" w:sz="4" w:space="0" w:color="000000"/>
                          <w:bottom w:val="nil" w:sz="6" w:space="0" w:color="auto"/>
                          <w:right w:val="single" w:sz="4" w:space="0" w:color="000000"/>
                        </w:tcBorders>
                      </w:tcPr>
                      <w:p>
                        <w:pPr/>
                      </w:p>
                    </w:tc>
                    <w:tc>
                      <w:tcPr>
                        <w:tcW w:w="1040" w:type="dxa"/>
                        <w:tcBorders>
                          <w:top w:val="single" w:sz="4" w:space="0" w:color="000000"/>
                          <w:left w:val="single" w:sz="4" w:space="0" w:color="000000"/>
                          <w:bottom w:val="nil" w:sz="6" w:space="0" w:color="auto"/>
                          <w:right w:val="single" w:sz="4" w:space="0" w:color="000000"/>
                        </w:tcBorders>
                      </w:tcPr>
                      <w:p>
                        <w:pPr/>
                      </w:p>
                    </w:tc>
                    <w:tc>
                      <w:tcPr>
                        <w:tcW w:w="149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2"/>
                          <w:ind w:left="-1" w:right="0"/>
                          <w:jc w:val="left"/>
                          <w:rPr>
                            <w:rFonts w:ascii="宋体" w:hAnsi="宋体" w:cs="宋体" w:eastAsia="宋体" w:hint="default"/>
                            <w:sz w:val="18"/>
                            <w:szCs w:val="18"/>
                          </w:rPr>
                        </w:pPr>
                        <w:r>
                          <w:rPr>
                            <w:rFonts w:ascii="宋体" w:hAnsi="宋体" w:cs="宋体" w:eastAsia="宋体" w:hint="default"/>
                            <w:sz w:val="18"/>
                            <w:szCs w:val="18"/>
                          </w:rPr>
                          <w:t>总资产：</w:t>
                        </w:r>
                      </w:p>
                    </w:tc>
                    <w:tc>
                      <w:tcPr>
                        <w:tcW w:w="858" w:type="dxa"/>
                        <w:tcBorders>
                          <w:top w:val="single" w:sz="4" w:space="0" w:color="000000"/>
                          <w:left w:val="single" w:sz="4" w:space="0" w:color="000000"/>
                          <w:bottom w:val="nil" w:sz="6" w:space="0" w:color="auto"/>
                          <w:right w:val="single" w:sz="4" w:space="0" w:color="000000"/>
                        </w:tcBorders>
                      </w:tcPr>
                      <w:p>
                        <w:pPr/>
                      </w:p>
                    </w:tc>
                    <w:tc>
                      <w:tcPr>
                        <w:tcW w:w="1080" w:type="dxa"/>
                        <w:tcBorders>
                          <w:top w:val="single" w:sz="4" w:space="0" w:color="000000"/>
                          <w:left w:val="single" w:sz="4" w:space="0" w:color="000000"/>
                          <w:bottom w:val="nil" w:sz="6" w:space="0" w:color="auto"/>
                          <w:right w:val="single" w:sz="4" w:space="0" w:color="000000"/>
                        </w:tcBorders>
                      </w:tcPr>
                      <w:p>
                        <w:pPr/>
                      </w:p>
                    </w:tc>
                    <w:tc>
                      <w:tcPr>
                        <w:tcW w:w="2056" w:type="dxa"/>
                        <w:tcBorders>
                          <w:top w:val="single" w:sz="4" w:space="0" w:color="000000"/>
                          <w:left w:val="single" w:sz="4" w:space="0" w:color="000000"/>
                          <w:bottom w:val="nil" w:sz="6" w:space="0" w:color="auto"/>
                          <w:right w:val="single" w:sz="4" w:space="0" w:color="000000"/>
                        </w:tcBorders>
                      </w:tcPr>
                      <w:p>
                        <w:pPr/>
                      </w:p>
                    </w:tc>
                    <w:tc>
                      <w:tcPr>
                        <w:tcW w:w="144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2"/>
                          <w:ind w:left="1"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960" w:type="dxa"/>
                        <w:tcBorders>
                          <w:top w:val="single" w:sz="4" w:space="0" w:color="000000"/>
                          <w:left w:val="single" w:sz="4" w:space="0" w:color="000000"/>
                          <w:bottom w:val="nil" w:sz="6" w:space="0" w:color="auto"/>
                          <w:right w:val="single" w:sz="4" w:space="0" w:color="000000"/>
                        </w:tcBorders>
                      </w:tcPr>
                      <w:p>
                        <w:pPr/>
                      </w:p>
                    </w:tc>
                    <w:tc>
                      <w:tcPr>
                        <w:tcW w:w="878" w:type="dxa"/>
                        <w:tcBorders>
                          <w:top w:val="single" w:sz="4" w:space="0" w:color="000000"/>
                          <w:left w:val="single" w:sz="4" w:space="0" w:color="000000"/>
                          <w:bottom w:val="nil" w:sz="6" w:space="0" w:color="auto"/>
                          <w:right w:val="single" w:sz="4" w:space="0" w:color="000000"/>
                        </w:tcBorders>
                      </w:tcPr>
                      <w:p>
                        <w:pPr/>
                      </w:p>
                    </w:tc>
                  </w:tr>
                  <w:tr>
                    <w:trPr>
                      <w:trHeight w:val="598" w:hRule="exact"/>
                    </w:trPr>
                    <w:tc>
                      <w:tcPr>
                        <w:tcW w:w="1666" w:type="dxa"/>
                        <w:tcBorders>
                          <w:top w:val="nil" w:sz="6" w:space="0" w:color="auto"/>
                          <w:left w:val="single" w:sz="4" w:space="0" w:color="000000"/>
                          <w:bottom w:val="nil" w:sz="6" w:space="0" w:color="auto"/>
                          <w:right w:val="single" w:sz="4" w:space="0" w:color="000000"/>
                        </w:tcBorders>
                      </w:tcPr>
                      <w:p>
                        <w:pPr>
                          <w:pStyle w:val="TableParagraph"/>
                          <w:spacing w:line="316" w:lineRule="auto" w:before="31"/>
                          <w:ind w:left="-1" w:right="35"/>
                          <w:jc w:val="left"/>
                          <w:rPr>
                            <w:rFonts w:ascii="宋体" w:hAnsi="宋体" w:cs="宋体" w:eastAsia="宋体" w:hint="default"/>
                            <w:sz w:val="18"/>
                            <w:szCs w:val="18"/>
                          </w:rPr>
                        </w:pPr>
                        <w:r>
                          <w:rPr>
                            <w:rFonts w:ascii="宋体" w:hAnsi="宋体" w:cs="宋体" w:eastAsia="宋体" w:hint="default"/>
                            <w:sz w:val="18"/>
                            <w:szCs w:val="18"/>
                          </w:rPr>
                          <w:t>中国长城计算机（香 港）控股有限公司</w:t>
                        </w:r>
                      </w:p>
                    </w:tc>
                    <w:tc>
                      <w:tcPr>
                        <w:tcW w:w="1040" w:type="dxa"/>
                        <w:tcBorders>
                          <w:top w:val="nil" w:sz="6" w:space="0" w:color="auto"/>
                          <w:left w:val="single" w:sz="4" w:space="0" w:color="000000"/>
                          <w:bottom w:val="nil" w:sz="6" w:space="0" w:color="auto"/>
                          <w:right w:val="single" w:sz="4" w:space="0" w:color="000000"/>
                        </w:tcBorders>
                      </w:tcPr>
                      <w:p>
                        <w:pPr>
                          <w:pStyle w:val="TableParagraph"/>
                          <w:spacing w:line="316" w:lineRule="auto" w:before="31"/>
                          <w:ind w:left="-1" w:right="128"/>
                          <w:jc w:val="left"/>
                          <w:rPr>
                            <w:rFonts w:ascii="宋体" w:hAnsi="宋体" w:cs="宋体" w:eastAsia="宋体" w:hint="default"/>
                            <w:sz w:val="18"/>
                            <w:szCs w:val="18"/>
                          </w:rPr>
                        </w:pPr>
                        <w:r>
                          <w:rPr>
                            <w:rFonts w:ascii="宋体" w:hAnsi="宋体" w:cs="宋体" w:eastAsia="宋体" w:hint="default"/>
                            <w:sz w:val="18"/>
                            <w:szCs w:val="18"/>
                          </w:rPr>
                          <w:t>同一控制下 企业合并</w:t>
                        </w:r>
                      </w:p>
                    </w:tc>
                    <w:tc>
                      <w:tcPr>
                        <w:tcW w:w="1492"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28,421.39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p>
                        <w:pPr>
                          <w:pStyle w:val="TableParagraph"/>
                          <w:spacing w:line="240" w:lineRule="auto" w:before="83"/>
                          <w:ind w:left="-1" w:right="0"/>
                          <w:jc w:val="left"/>
                          <w:rPr>
                            <w:rFonts w:ascii="宋体" w:hAnsi="宋体" w:cs="宋体" w:eastAsia="宋体" w:hint="default"/>
                            <w:sz w:val="18"/>
                            <w:szCs w:val="18"/>
                          </w:rPr>
                        </w:pPr>
                        <w:r>
                          <w:rPr>
                            <w:rFonts w:ascii="宋体" w:hAnsi="宋体" w:cs="宋体" w:eastAsia="宋体" w:hint="default"/>
                            <w:sz w:val="18"/>
                            <w:szCs w:val="18"/>
                          </w:rPr>
                          <w:t>净资产：</w:t>
                        </w:r>
                      </w:p>
                    </w:tc>
                    <w:tc>
                      <w:tcPr>
                        <w:tcW w:w="858"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中国香港</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 w:right="0"/>
                          <w:jc w:val="left"/>
                          <w:rPr>
                            <w:rFonts w:ascii="宋体" w:hAnsi="宋体" w:cs="宋体" w:eastAsia="宋体" w:hint="default"/>
                            <w:sz w:val="18"/>
                            <w:szCs w:val="18"/>
                          </w:rPr>
                        </w:pPr>
                        <w:r>
                          <w:rPr>
                            <w:rFonts w:ascii="宋体" w:hAnsi="宋体" w:cs="宋体" w:eastAsia="宋体" w:hint="default"/>
                            <w:sz w:val="18"/>
                            <w:szCs w:val="18"/>
                          </w:rPr>
                          <w:t>销售型</w:t>
                        </w:r>
                      </w:p>
                    </w:tc>
                    <w:tc>
                      <w:tcPr>
                        <w:tcW w:w="205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r>
                          <w:rPr>
                            <w:rFonts w:ascii="宋体" w:hAnsi="宋体" w:cs="宋体" w:eastAsia="宋体" w:hint="default"/>
                            <w:sz w:val="18"/>
                            <w:szCs w:val="18"/>
                          </w:rPr>
                          <w:t>公司本部定期对其资产及</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67,545.36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p>
                        <w:pPr>
                          <w:pStyle w:val="TableParagraph"/>
                          <w:spacing w:line="240" w:lineRule="auto" w:before="83"/>
                          <w:ind w:left="1"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96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1.64%</w:t>
                        </w:r>
                      </w:p>
                    </w:tc>
                    <w:tc>
                      <w:tcPr>
                        <w:tcW w:w="878"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12" w:hRule="exact"/>
                    </w:trPr>
                    <w:tc>
                      <w:tcPr>
                        <w:tcW w:w="1666" w:type="dxa"/>
                        <w:tcBorders>
                          <w:top w:val="nil" w:sz="6" w:space="0" w:color="auto"/>
                          <w:left w:val="single" w:sz="4" w:space="0" w:color="000000"/>
                          <w:bottom w:val="single" w:sz="4" w:space="0" w:color="000000"/>
                          <w:right w:val="single" w:sz="4" w:space="0" w:color="000000"/>
                        </w:tcBorders>
                      </w:tcPr>
                      <w:p>
                        <w:pPr/>
                      </w:p>
                    </w:tc>
                    <w:tc>
                      <w:tcPr>
                        <w:tcW w:w="1040" w:type="dxa"/>
                        <w:tcBorders>
                          <w:top w:val="nil" w:sz="6" w:space="0" w:color="auto"/>
                          <w:left w:val="single" w:sz="4" w:space="0" w:color="000000"/>
                          <w:bottom w:val="single" w:sz="4" w:space="0" w:color="000000"/>
                          <w:right w:val="single" w:sz="4" w:space="0" w:color="000000"/>
                        </w:tcBorders>
                      </w:tcPr>
                      <w:p>
                        <w:pPr/>
                      </w:p>
                    </w:tc>
                    <w:tc>
                      <w:tcPr>
                        <w:tcW w:w="149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5"/>
                          <w:ind w:left="-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10,891.05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tc>
                    <w:tc>
                      <w:tcPr>
                        <w:tcW w:w="858" w:type="dxa"/>
                        <w:tcBorders>
                          <w:top w:val="nil" w:sz="6" w:space="0" w:color="auto"/>
                          <w:left w:val="single" w:sz="4" w:space="0" w:color="000000"/>
                          <w:bottom w:val="single" w:sz="4" w:space="0" w:color="000000"/>
                          <w:right w:val="single" w:sz="4" w:space="0" w:color="000000"/>
                        </w:tcBorders>
                      </w:tcPr>
                      <w:p>
                        <w:pPr/>
                      </w:p>
                    </w:tc>
                    <w:tc>
                      <w:tcPr>
                        <w:tcW w:w="1080" w:type="dxa"/>
                        <w:tcBorders>
                          <w:top w:val="nil" w:sz="6" w:space="0" w:color="auto"/>
                          <w:left w:val="single" w:sz="4" w:space="0" w:color="000000"/>
                          <w:bottom w:val="single" w:sz="4" w:space="0" w:color="000000"/>
                          <w:right w:val="single" w:sz="4" w:space="0" w:color="000000"/>
                        </w:tcBorders>
                      </w:tcPr>
                      <w:p>
                        <w:pPr/>
                      </w:p>
                    </w:tc>
                    <w:tc>
                      <w:tcPr>
                        <w:tcW w:w="2056" w:type="dxa"/>
                        <w:vMerge w:val="restart"/>
                        <w:tcBorders>
                          <w:top w:val="nil" w:sz="6" w:space="0" w:color="auto"/>
                          <w:left w:val="single" w:sz="4" w:space="0" w:color="000000"/>
                          <w:right w:val="single" w:sz="4" w:space="0" w:color="000000"/>
                        </w:tcBorders>
                      </w:tcPr>
                      <w:p>
                        <w:pPr>
                          <w:pStyle w:val="TableParagraph"/>
                          <w:spacing w:line="190" w:lineRule="exact"/>
                          <w:ind w:right="0"/>
                          <w:jc w:val="left"/>
                          <w:rPr>
                            <w:rFonts w:ascii="宋体" w:hAnsi="宋体" w:cs="宋体" w:eastAsia="宋体" w:hint="default"/>
                            <w:sz w:val="18"/>
                            <w:szCs w:val="18"/>
                          </w:rPr>
                        </w:pPr>
                        <w:r>
                          <w:rPr>
                            <w:rFonts w:ascii="宋体" w:hAnsi="宋体" w:cs="宋体" w:eastAsia="宋体" w:hint="default"/>
                            <w:sz w:val="18"/>
                            <w:szCs w:val="18"/>
                          </w:rPr>
                          <w:t>经营状况进行分析和审阅</w:t>
                        </w:r>
                      </w:p>
                      <w:p>
                        <w:pPr>
                          <w:pStyle w:val="TableParagraph"/>
                          <w:spacing w:line="240" w:lineRule="auto" w:before="76"/>
                          <w:ind w:right="0"/>
                          <w:jc w:val="left"/>
                          <w:rPr>
                            <w:rFonts w:ascii="宋体" w:hAnsi="宋体" w:cs="宋体" w:eastAsia="宋体" w:hint="default"/>
                            <w:sz w:val="18"/>
                            <w:szCs w:val="18"/>
                          </w:rPr>
                        </w:pPr>
                        <w:r>
                          <w:rPr>
                            <w:rFonts w:ascii="宋体" w:hAnsi="宋体" w:cs="宋体" w:eastAsia="宋体" w:hint="default"/>
                            <w:sz w:val="18"/>
                            <w:szCs w:val="18"/>
                          </w:rPr>
                          <w:t>并要求其按照公司治理规</w:t>
                        </w:r>
                      </w:p>
                    </w:tc>
                    <w:tc>
                      <w:tcPr>
                        <w:tcW w:w="144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85"/>
                          <w:ind w:left="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1,226.63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tc>
                    <w:tc>
                      <w:tcPr>
                        <w:tcW w:w="960" w:type="dxa"/>
                        <w:tcBorders>
                          <w:top w:val="nil" w:sz="6" w:space="0" w:color="auto"/>
                          <w:left w:val="single" w:sz="4" w:space="0" w:color="000000"/>
                          <w:bottom w:val="single" w:sz="4" w:space="0" w:color="000000"/>
                          <w:right w:val="single" w:sz="4" w:space="0" w:color="000000"/>
                        </w:tcBorders>
                      </w:tcPr>
                      <w:p>
                        <w:pPr/>
                      </w:p>
                    </w:tc>
                    <w:tc>
                      <w:tcPr>
                        <w:tcW w:w="878" w:type="dxa"/>
                        <w:tcBorders>
                          <w:top w:val="nil" w:sz="6" w:space="0" w:color="auto"/>
                          <w:left w:val="single" w:sz="4" w:space="0" w:color="000000"/>
                          <w:bottom w:val="single" w:sz="4" w:space="0" w:color="000000"/>
                          <w:right w:val="single" w:sz="4" w:space="0" w:color="000000"/>
                        </w:tcBorders>
                      </w:tcPr>
                      <w:p>
                        <w:pPr/>
                      </w:p>
                    </w:tc>
                  </w:tr>
                  <w:tr>
                    <w:trPr>
                      <w:trHeight w:val="91" w:hRule="exact"/>
                    </w:trPr>
                    <w:tc>
                      <w:tcPr>
                        <w:tcW w:w="1666" w:type="dxa"/>
                        <w:tcBorders>
                          <w:top w:val="single" w:sz="4" w:space="0" w:color="000000"/>
                          <w:left w:val="single" w:sz="4" w:space="0" w:color="000000"/>
                          <w:bottom w:val="nil" w:sz="6" w:space="0" w:color="auto"/>
                          <w:right w:val="single" w:sz="4" w:space="0" w:color="000000"/>
                        </w:tcBorders>
                      </w:tcPr>
                      <w:p>
                        <w:pPr/>
                      </w:p>
                    </w:tc>
                    <w:tc>
                      <w:tcPr>
                        <w:tcW w:w="1040" w:type="dxa"/>
                        <w:tcBorders>
                          <w:top w:val="single" w:sz="4" w:space="0" w:color="000000"/>
                          <w:left w:val="single" w:sz="4" w:space="0" w:color="000000"/>
                          <w:bottom w:val="nil" w:sz="6" w:space="0" w:color="auto"/>
                          <w:right w:val="single" w:sz="4" w:space="0" w:color="000000"/>
                        </w:tcBorders>
                      </w:tcPr>
                      <w:p>
                        <w:pPr/>
                      </w:p>
                    </w:tc>
                    <w:tc>
                      <w:tcPr>
                        <w:tcW w:w="1492" w:type="dxa"/>
                        <w:tcBorders>
                          <w:top w:val="single" w:sz="4" w:space="0" w:color="000000"/>
                          <w:left w:val="single" w:sz="4" w:space="0" w:color="000000"/>
                          <w:bottom w:val="nil" w:sz="6" w:space="0" w:color="auto"/>
                          <w:right w:val="single" w:sz="4" w:space="0" w:color="000000"/>
                        </w:tcBorders>
                      </w:tcPr>
                      <w:p>
                        <w:pPr/>
                      </w:p>
                    </w:tc>
                    <w:tc>
                      <w:tcPr>
                        <w:tcW w:w="858" w:type="dxa"/>
                        <w:tcBorders>
                          <w:top w:val="single" w:sz="4" w:space="0" w:color="000000"/>
                          <w:left w:val="single" w:sz="4" w:space="0" w:color="000000"/>
                          <w:bottom w:val="nil" w:sz="6" w:space="0" w:color="auto"/>
                          <w:right w:val="single" w:sz="4" w:space="0" w:color="000000"/>
                        </w:tcBorders>
                      </w:tcPr>
                      <w:p>
                        <w:pPr/>
                      </w:p>
                    </w:tc>
                    <w:tc>
                      <w:tcPr>
                        <w:tcW w:w="1080" w:type="dxa"/>
                        <w:tcBorders>
                          <w:top w:val="single" w:sz="4" w:space="0" w:color="000000"/>
                          <w:left w:val="single" w:sz="4" w:space="0" w:color="000000"/>
                          <w:bottom w:val="nil" w:sz="6" w:space="0" w:color="auto"/>
                          <w:right w:val="single" w:sz="4" w:space="0" w:color="000000"/>
                        </w:tcBorders>
                      </w:tcPr>
                      <w:p>
                        <w:pPr/>
                      </w:p>
                    </w:tc>
                    <w:tc>
                      <w:tcPr>
                        <w:tcW w:w="2056" w:type="dxa"/>
                        <w:vMerge/>
                        <w:tcBorders>
                          <w:left w:val="single" w:sz="4" w:space="0" w:color="000000"/>
                          <w:bottom w:val="nil" w:sz="6" w:space="0" w:color="auto"/>
                          <w:right w:val="single" w:sz="4" w:space="0" w:color="000000"/>
                        </w:tcBorders>
                      </w:tcPr>
                      <w:p>
                        <w:pPr/>
                      </w:p>
                    </w:tc>
                    <w:tc>
                      <w:tcPr>
                        <w:tcW w:w="1440" w:type="dxa"/>
                        <w:tcBorders>
                          <w:top w:val="single" w:sz="4" w:space="0" w:color="000000"/>
                          <w:left w:val="single" w:sz="4" w:space="0" w:color="000000"/>
                          <w:bottom w:val="nil" w:sz="6" w:space="0" w:color="auto"/>
                          <w:right w:val="single" w:sz="4" w:space="0" w:color="000000"/>
                        </w:tcBorders>
                      </w:tcPr>
                      <w:p>
                        <w:pPr/>
                      </w:p>
                    </w:tc>
                    <w:tc>
                      <w:tcPr>
                        <w:tcW w:w="960" w:type="dxa"/>
                        <w:tcBorders>
                          <w:top w:val="single" w:sz="4" w:space="0" w:color="000000"/>
                          <w:left w:val="single" w:sz="4" w:space="0" w:color="000000"/>
                          <w:bottom w:val="nil" w:sz="6" w:space="0" w:color="auto"/>
                          <w:right w:val="single" w:sz="4" w:space="0" w:color="000000"/>
                        </w:tcBorders>
                      </w:tcPr>
                      <w:p>
                        <w:pPr/>
                      </w:p>
                    </w:tc>
                    <w:tc>
                      <w:tcPr>
                        <w:tcW w:w="878" w:type="dxa"/>
                        <w:tcBorders>
                          <w:top w:val="single" w:sz="4" w:space="0" w:color="000000"/>
                          <w:left w:val="single" w:sz="4" w:space="0" w:color="000000"/>
                          <w:bottom w:val="nil" w:sz="6" w:space="0" w:color="auto"/>
                          <w:right w:val="single" w:sz="4" w:space="0" w:color="000000"/>
                        </w:tcBorders>
                      </w:tcPr>
                      <w:p>
                        <w:pPr/>
                      </w:p>
                    </w:tc>
                  </w:tr>
                  <w:tr>
                    <w:trPr>
                      <w:trHeight w:val="322" w:hRule="exact"/>
                    </w:trPr>
                    <w:tc>
                      <w:tcPr>
                        <w:tcW w:w="1666" w:type="dxa"/>
                        <w:tcBorders>
                          <w:top w:val="nil" w:sz="6" w:space="0" w:color="auto"/>
                          <w:left w:val="single" w:sz="4" w:space="0" w:color="000000"/>
                          <w:bottom w:val="nil" w:sz="6" w:space="0" w:color="auto"/>
                          <w:right w:val="single" w:sz="4" w:space="0" w:color="000000"/>
                        </w:tcBorders>
                      </w:tcPr>
                      <w:p>
                        <w:pPr/>
                      </w:p>
                    </w:tc>
                    <w:tc>
                      <w:tcPr>
                        <w:tcW w:w="1040" w:type="dxa"/>
                        <w:tcBorders>
                          <w:top w:val="nil" w:sz="6" w:space="0" w:color="auto"/>
                          <w:left w:val="single" w:sz="4" w:space="0" w:color="000000"/>
                          <w:bottom w:val="nil" w:sz="6" w:space="0" w:color="auto"/>
                          <w:right w:val="single" w:sz="4" w:space="0" w:color="000000"/>
                        </w:tcBorders>
                      </w:tcPr>
                      <w:p>
                        <w:pPr/>
                      </w:p>
                    </w:tc>
                    <w:tc>
                      <w:tcPr>
                        <w:tcW w:w="1492" w:type="dxa"/>
                        <w:tcBorders>
                          <w:top w:val="nil" w:sz="6" w:space="0" w:color="auto"/>
                          <w:left w:val="single" w:sz="4" w:space="0" w:color="000000"/>
                          <w:bottom w:val="nil" w:sz="6" w:space="0" w:color="auto"/>
                          <w:right w:val="single" w:sz="4" w:space="0" w:color="000000"/>
                        </w:tcBorders>
                      </w:tcPr>
                      <w:p>
                        <w:pPr>
                          <w:pStyle w:val="TableParagraph"/>
                          <w:spacing w:line="181" w:lineRule="exact"/>
                          <w:ind w:left="-1" w:right="0"/>
                          <w:jc w:val="left"/>
                          <w:rPr>
                            <w:rFonts w:ascii="宋体" w:hAnsi="宋体" w:cs="宋体" w:eastAsia="宋体" w:hint="default"/>
                            <w:sz w:val="18"/>
                            <w:szCs w:val="18"/>
                          </w:rPr>
                        </w:pPr>
                        <w:r>
                          <w:rPr>
                            <w:rFonts w:ascii="宋体" w:hAnsi="宋体" w:cs="宋体" w:eastAsia="宋体" w:hint="default"/>
                            <w:sz w:val="18"/>
                            <w:szCs w:val="18"/>
                          </w:rPr>
                          <w:t>总资产：</w:t>
                        </w:r>
                      </w:p>
                    </w:tc>
                    <w:tc>
                      <w:tcPr>
                        <w:tcW w:w="858"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2056"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0"/>
                          <w:jc w:val="left"/>
                          <w:rPr>
                            <w:rFonts w:ascii="宋体" w:hAnsi="宋体" w:cs="宋体" w:eastAsia="宋体" w:hint="default"/>
                            <w:sz w:val="18"/>
                            <w:szCs w:val="18"/>
                          </w:rPr>
                        </w:pPr>
                        <w:r>
                          <w:rPr>
                            <w:rFonts w:ascii="宋体" w:hAnsi="宋体" w:cs="宋体" w:eastAsia="宋体" w:hint="default"/>
                            <w:sz w:val="18"/>
                            <w:szCs w:val="18"/>
                          </w:rPr>
                          <w:t>范制度体系履行审批流程</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181" w:lineRule="exact"/>
                          <w:ind w:left="1"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960" w:type="dxa"/>
                        <w:tcBorders>
                          <w:top w:val="nil" w:sz="6" w:space="0" w:color="auto"/>
                          <w:left w:val="single" w:sz="4" w:space="0" w:color="000000"/>
                          <w:bottom w:val="nil" w:sz="6" w:space="0" w:color="auto"/>
                          <w:right w:val="single" w:sz="4" w:space="0" w:color="000000"/>
                        </w:tcBorders>
                      </w:tcPr>
                      <w:p>
                        <w:pPr/>
                      </w:p>
                    </w:tc>
                    <w:tc>
                      <w:tcPr>
                        <w:tcW w:w="878" w:type="dxa"/>
                        <w:tcBorders>
                          <w:top w:val="nil" w:sz="6" w:space="0" w:color="auto"/>
                          <w:left w:val="single" w:sz="4" w:space="0" w:color="000000"/>
                          <w:bottom w:val="nil" w:sz="6" w:space="0" w:color="auto"/>
                          <w:right w:val="single" w:sz="4" w:space="0" w:color="000000"/>
                        </w:tcBorders>
                      </w:tcPr>
                      <w:p>
                        <w:pPr/>
                      </w:p>
                    </w:tc>
                  </w:tr>
                  <w:tr>
                    <w:trPr>
                      <w:trHeight w:val="598" w:hRule="exact"/>
                    </w:trPr>
                    <w:tc>
                      <w:tcPr>
                        <w:tcW w:w="1666" w:type="dxa"/>
                        <w:tcBorders>
                          <w:top w:val="nil" w:sz="6" w:space="0" w:color="auto"/>
                          <w:left w:val="single" w:sz="4" w:space="0" w:color="000000"/>
                          <w:bottom w:val="nil" w:sz="6" w:space="0" w:color="auto"/>
                          <w:right w:val="single" w:sz="4" w:space="0" w:color="000000"/>
                        </w:tcBorders>
                      </w:tcPr>
                      <w:p>
                        <w:pPr>
                          <w:pStyle w:val="TableParagraph"/>
                          <w:spacing w:line="200" w:lineRule="exact"/>
                          <w:ind w:left="-1" w:right="0"/>
                          <w:jc w:val="left"/>
                          <w:rPr>
                            <w:rFonts w:ascii="宋体" w:hAnsi="宋体" w:cs="宋体" w:eastAsia="宋体" w:hint="default"/>
                            <w:sz w:val="18"/>
                            <w:szCs w:val="18"/>
                          </w:rPr>
                        </w:pPr>
                        <w:r>
                          <w:rPr>
                            <w:rFonts w:ascii="宋体" w:hAnsi="宋体" w:cs="宋体" w:eastAsia="宋体" w:hint="default"/>
                            <w:sz w:val="18"/>
                            <w:szCs w:val="18"/>
                          </w:rPr>
                          <w:t>柏怡国际控股有限公</w:t>
                        </w:r>
                      </w:p>
                      <w:p>
                        <w:pPr>
                          <w:pStyle w:val="TableParagraph"/>
                          <w:spacing w:line="240" w:lineRule="auto" w:before="76"/>
                          <w:ind w:left="-1" w:right="0"/>
                          <w:jc w:val="left"/>
                          <w:rPr>
                            <w:rFonts w:ascii="宋体" w:hAnsi="宋体" w:cs="宋体" w:eastAsia="宋体" w:hint="default"/>
                            <w:sz w:val="18"/>
                            <w:szCs w:val="18"/>
                          </w:rPr>
                        </w:pPr>
                        <w:r>
                          <w:rPr>
                            <w:rFonts w:ascii="宋体" w:hAnsi="宋体" w:cs="宋体" w:eastAsia="宋体" w:hint="default"/>
                            <w:sz w:val="18"/>
                            <w:szCs w:val="18"/>
                          </w:rPr>
                          <w:t>司</w:t>
                        </w:r>
                      </w:p>
                    </w:tc>
                    <w:tc>
                      <w:tcPr>
                        <w:tcW w:w="1040" w:type="dxa"/>
                        <w:tcBorders>
                          <w:top w:val="nil" w:sz="6" w:space="0" w:color="auto"/>
                          <w:left w:val="single" w:sz="4" w:space="0" w:color="000000"/>
                          <w:bottom w:val="nil" w:sz="6" w:space="0" w:color="auto"/>
                          <w:right w:val="single" w:sz="4" w:space="0" w:color="000000"/>
                        </w:tcBorders>
                      </w:tcPr>
                      <w:p>
                        <w:pPr>
                          <w:pStyle w:val="TableParagraph"/>
                          <w:spacing w:line="200" w:lineRule="exact"/>
                          <w:ind w:left="-1" w:right="0"/>
                          <w:jc w:val="left"/>
                          <w:rPr>
                            <w:rFonts w:ascii="宋体" w:hAnsi="宋体" w:cs="宋体" w:eastAsia="宋体" w:hint="default"/>
                            <w:sz w:val="18"/>
                            <w:szCs w:val="18"/>
                          </w:rPr>
                        </w:pPr>
                        <w:r>
                          <w:rPr>
                            <w:rFonts w:ascii="宋体" w:hAnsi="宋体" w:cs="宋体" w:eastAsia="宋体" w:hint="default"/>
                            <w:sz w:val="18"/>
                            <w:szCs w:val="18"/>
                          </w:rPr>
                          <w:t>非同一控制</w:t>
                        </w:r>
                      </w:p>
                      <w:p>
                        <w:pPr>
                          <w:pStyle w:val="TableParagraph"/>
                          <w:spacing w:line="240" w:lineRule="auto" w:before="76"/>
                          <w:ind w:left="-1" w:right="0"/>
                          <w:jc w:val="left"/>
                          <w:rPr>
                            <w:rFonts w:ascii="宋体" w:hAnsi="宋体" w:cs="宋体" w:eastAsia="宋体" w:hint="default"/>
                            <w:sz w:val="18"/>
                            <w:szCs w:val="18"/>
                          </w:rPr>
                        </w:pPr>
                        <w:r>
                          <w:rPr>
                            <w:rFonts w:ascii="宋体" w:hAnsi="宋体" w:cs="宋体" w:eastAsia="宋体" w:hint="default"/>
                            <w:sz w:val="18"/>
                            <w:szCs w:val="18"/>
                          </w:rPr>
                          <w:t>下企业合并</w:t>
                        </w:r>
                      </w:p>
                    </w:tc>
                    <w:tc>
                      <w:tcPr>
                        <w:tcW w:w="1492" w:type="dxa"/>
                        <w:tcBorders>
                          <w:top w:val="nil" w:sz="6" w:space="0" w:color="auto"/>
                          <w:left w:val="single" w:sz="4" w:space="0" w:color="000000"/>
                          <w:bottom w:val="nil" w:sz="6" w:space="0" w:color="auto"/>
                          <w:right w:val="single" w:sz="4" w:space="0" w:color="000000"/>
                        </w:tcBorders>
                      </w:tcPr>
                      <w:p>
                        <w:pPr>
                          <w:pStyle w:val="TableParagraph"/>
                          <w:spacing w:line="204" w:lineRule="exact"/>
                          <w:ind w:left="-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87,616.73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p>
                        <w:pPr>
                          <w:pStyle w:val="TableParagraph"/>
                          <w:spacing w:line="240" w:lineRule="auto" w:before="82"/>
                          <w:ind w:left="-1" w:right="0"/>
                          <w:jc w:val="left"/>
                          <w:rPr>
                            <w:rFonts w:ascii="宋体" w:hAnsi="宋体" w:cs="宋体" w:eastAsia="宋体" w:hint="default"/>
                            <w:sz w:val="18"/>
                            <w:szCs w:val="18"/>
                          </w:rPr>
                        </w:pPr>
                        <w:r>
                          <w:rPr>
                            <w:rFonts w:ascii="宋体" w:hAnsi="宋体" w:cs="宋体" w:eastAsia="宋体" w:hint="default"/>
                            <w:sz w:val="18"/>
                            <w:szCs w:val="18"/>
                          </w:rPr>
                          <w:t>净资产：</w:t>
                        </w:r>
                      </w:p>
                    </w:tc>
                    <w:tc>
                      <w:tcPr>
                        <w:tcW w:w="858" w:type="dxa"/>
                        <w:tcBorders>
                          <w:top w:val="nil" w:sz="6" w:space="0" w:color="auto"/>
                          <w:left w:val="single" w:sz="4" w:space="0" w:color="000000"/>
                          <w:bottom w:val="nil" w:sz="6" w:space="0" w:color="auto"/>
                          <w:right w:val="single" w:sz="4" w:space="0" w:color="000000"/>
                        </w:tcBorders>
                      </w:tcPr>
                      <w:p>
                        <w:pPr>
                          <w:pStyle w:val="TableParagraph"/>
                          <w:spacing w:line="200" w:lineRule="exact"/>
                          <w:ind w:left="153" w:right="0" w:hanging="90"/>
                          <w:jc w:val="left"/>
                          <w:rPr>
                            <w:rFonts w:ascii="宋体" w:hAnsi="宋体" w:cs="宋体" w:eastAsia="宋体" w:hint="default"/>
                            <w:sz w:val="18"/>
                            <w:szCs w:val="18"/>
                          </w:rPr>
                        </w:pPr>
                        <w:r>
                          <w:rPr>
                            <w:rFonts w:ascii="宋体" w:hAnsi="宋体" w:cs="宋体" w:eastAsia="宋体" w:hint="default"/>
                            <w:sz w:val="18"/>
                            <w:szCs w:val="18"/>
                          </w:rPr>
                          <w:t>英属维尔</w:t>
                        </w:r>
                      </w:p>
                      <w:p>
                        <w:pPr>
                          <w:pStyle w:val="TableParagraph"/>
                          <w:spacing w:line="240" w:lineRule="auto" w:before="76"/>
                          <w:ind w:left="153" w:right="0"/>
                          <w:jc w:val="left"/>
                          <w:rPr>
                            <w:rFonts w:ascii="宋体" w:hAnsi="宋体" w:cs="宋体" w:eastAsia="宋体" w:hint="default"/>
                            <w:sz w:val="18"/>
                            <w:szCs w:val="18"/>
                          </w:rPr>
                        </w:pPr>
                        <w:r>
                          <w:rPr>
                            <w:rFonts w:ascii="宋体" w:hAnsi="宋体" w:cs="宋体" w:eastAsia="宋体" w:hint="default"/>
                            <w:sz w:val="18"/>
                            <w:szCs w:val="18"/>
                          </w:rPr>
                          <w:t>京群岛</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00" w:lineRule="exact"/>
                          <w:ind w:left="-1" w:right="-10"/>
                          <w:jc w:val="left"/>
                          <w:rPr>
                            <w:rFonts w:ascii="宋体" w:hAnsi="宋体" w:cs="宋体" w:eastAsia="宋体" w:hint="default"/>
                            <w:sz w:val="18"/>
                            <w:szCs w:val="18"/>
                          </w:rPr>
                        </w:pPr>
                        <w:r>
                          <w:rPr>
                            <w:rFonts w:ascii="宋体" w:hAnsi="宋体" w:cs="宋体" w:eastAsia="宋体" w:hint="default"/>
                            <w:sz w:val="18"/>
                            <w:szCs w:val="18"/>
                          </w:rPr>
                          <w:t>设计、生产、</w:t>
                        </w:r>
                      </w:p>
                      <w:p>
                        <w:pPr>
                          <w:pStyle w:val="TableParagraph"/>
                          <w:spacing w:line="240" w:lineRule="auto" w:before="76"/>
                          <w:ind w:left="-1" w:right="0"/>
                          <w:jc w:val="left"/>
                          <w:rPr>
                            <w:rFonts w:ascii="宋体" w:hAnsi="宋体" w:cs="宋体" w:eastAsia="宋体" w:hint="default"/>
                            <w:sz w:val="18"/>
                            <w:szCs w:val="18"/>
                          </w:rPr>
                        </w:pPr>
                        <w:r>
                          <w:rPr>
                            <w:rFonts w:ascii="宋体" w:hAnsi="宋体" w:cs="宋体" w:eastAsia="宋体" w:hint="default"/>
                            <w:sz w:val="18"/>
                            <w:szCs w:val="18"/>
                          </w:rPr>
                          <w:t>销售型</w:t>
                        </w:r>
                      </w:p>
                    </w:tc>
                    <w:tc>
                      <w:tcPr>
                        <w:tcW w:w="2056"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0"/>
                          <w:jc w:val="left"/>
                          <w:rPr>
                            <w:rFonts w:ascii="宋体" w:hAnsi="宋体" w:cs="宋体" w:eastAsia="宋体" w:hint="default"/>
                            <w:sz w:val="18"/>
                            <w:szCs w:val="18"/>
                          </w:rPr>
                        </w:pPr>
                        <w:r>
                          <w:rPr>
                            <w:rFonts w:ascii="宋体" w:hAnsi="宋体" w:cs="宋体" w:eastAsia="宋体" w:hint="default"/>
                            <w:sz w:val="18"/>
                            <w:szCs w:val="18"/>
                          </w:rPr>
                          <w:t>和开展生产运营。</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04" w:lineRule="exact"/>
                          <w:ind w:left="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146,213.14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p>
                        <w:pPr>
                          <w:pStyle w:val="TableParagraph"/>
                          <w:spacing w:line="240" w:lineRule="auto" w:before="82"/>
                          <w:ind w:left="1"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960"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left="2" w:right="0"/>
                          <w:jc w:val="center"/>
                          <w:rPr>
                            <w:rFonts w:ascii="Times New Roman" w:hAnsi="Times New Roman" w:cs="Times New Roman" w:eastAsia="Times New Roman" w:hint="default"/>
                            <w:sz w:val="18"/>
                            <w:szCs w:val="18"/>
                          </w:rPr>
                        </w:pPr>
                        <w:r>
                          <w:rPr>
                            <w:rFonts w:ascii="Times New Roman"/>
                            <w:sz w:val="18"/>
                          </w:rPr>
                          <w:t>6.32%</w:t>
                        </w:r>
                      </w:p>
                    </w:tc>
                    <w:tc>
                      <w:tcPr>
                        <w:tcW w:w="878" w:type="dxa"/>
                        <w:tcBorders>
                          <w:top w:val="nil" w:sz="6" w:space="0" w:color="auto"/>
                          <w:left w:val="single" w:sz="4" w:space="0" w:color="000000"/>
                          <w:bottom w:val="nil" w:sz="6" w:space="0" w:color="auto"/>
                          <w:right w:val="single" w:sz="4" w:space="0" w:color="000000"/>
                        </w:tcBorders>
                      </w:tcPr>
                      <w:p>
                        <w:pPr>
                          <w:pStyle w:val="TableParagraph"/>
                          <w:spacing w:line="240" w:lineRule="auto" w:before="12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47" w:hRule="exact"/>
                    </w:trPr>
                    <w:tc>
                      <w:tcPr>
                        <w:tcW w:w="1666" w:type="dxa"/>
                        <w:tcBorders>
                          <w:top w:val="nil" w:sz="6" w:space="0" w:color="auto"/>
                          <w:left w:val="single" w:sz="4" w:space="0" w:color="000000"/>
                          <w:bottom w:val="single" w:sz="4" w:space="0" w:color="000000"/>
                          <w:right w:val="single" w:sz="4" w:space="0" w:color="000000"/>
                        </w:tcBorders>
                      </w:tcPr>
                      <w:p>
                        <w:pPr/>
                      </w:p>
                    </w:tc>
                    <w:tc>
                      <w:tcPr>
                        <w:tcW w:w="1040" w:type="dxa"/>
                        <w:tcBorders>
                          <w:top w:val="nil" w:sz="6" w:space="0" w:color="auto"/>
                          <w:left w:val="single" w:sz="4" w:space="0" w:color="000000"/>
                          <w:bottom w:val="single" w:sz="4" w:space="0" w:color="000000"/>
                          <w:right w:val="single" w:sz="4" w:space="0" w:color="000000"/>
                        </w:tcBorders>
                      </w:tcPr>
                      <w:p>
                        <w:pPr/>
                      </w:p>
                    </w:tc>
                    <w:tc>
                      <w:tcPr>
                        <w:tcW w:w="149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0"/>
                          <w:ind w:left="-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42,049.03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tc>
                    <w:tc>
                      <w:tcPr>
                        <w:tcW w:w="858" w:type="dxa"/>
                        <w:tcBorders>
                          <w:top w:val="nil" w:sz="6" w:space="0" w:color="auto"/>
                          <w:left w:val="single" w:sz="4" w:space="0" w:color="000000"/>
                          <w:bottom w:val="single" w:sz="4" w:space="0" w:color="000000"/>
                          <w:right w:val="single" w:sz="4" w:space="0" w:color="000000"/>
                        </w:tcBorders>
                      </w:tcPr>
                      <w:p>
                        <w:pPr/>
                      </w:p>
                    </w:tc>
                    <w:tc>
                      <w:tcPr>
                        <w:tcW w:w="1080" w:type="dxa"/>
                        <w:tcBorders>
                          <w:top w:val="nil" w:sz="6" w:space="0" w:color="auto"/>
                          <w:left w:val="single" w:sz="4" w:space="0" w:color="000000"/>
                          <w:bottom w:val="single" w:sz="4" w:space="0" w:color="000000"/>
                          <w:right w:val="single" w:sz="4" w:space="0" w:color="000000"/>
                        </w:tcBorders>
                      </w:tcPr>
                      <w:p>
                        <w:pPr/>
                      </w:p>
                    </w:tc>
                    <w:tc>
                      <w:tcPr>
                        <w:tcW w:w="2056" w:type="dxa"/>
                        <w:tcBorders>
                          <w:top w:val="nil" w:sz="6" w:space="0" w:color="auto"/>
                          <w:left w:val="single" w:sz="4" w:space="0" w:color="000000"/>
                          <w:bottom w:val="single" w:sz="4" w:space="0" w:color="000000"/>
                          <w:right w:val="single" w:sz="4" w:space="0" w:color="000000"/>
                        </w:tcBorders>
                      </w:tcPr>
                      <w:p>
                        <w:pPr/>
                      </w:p>
                    </w:tc>
                    <w:tc>
                      <w:tcPr>
                        <w:tcW w:w="144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0"/>
                          <w:ind w:left="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6,043.62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tc>
                    <w:tc>
                      <w:tcPr>
                        <w:tcW w:w="960" w:type="dxa"/>
                        <w:tcBorders>
                          <w:top w:val="nil" w:sz="6" w:space="0" w:color="auto"/>
                          <w:left w:val="single" w:sz="4" w:space="0" w:color="000000"/>
                          <w:bottom w:val="single" w:sz="4" w:space="0" w:color="000000"/>
                          <w:right w:val="single" w:sz="4" w:space="0" w:color="000000"/>
                        </w:tcBorders>
                      </w:tcPr>
                      <w:p>
                        <w:pPr/>
                      </w:p>
                    </w:tc>
                    <w:tc>
                      <w:tcPr>
                        <w:tcW w:w="878" w:type="dxa"/>
                        <w:tcBorders>
                          <w:top w:val="nil" w:sz="6" w:space="0" w:color="auto"/>
                          <w:left w:val="single" w:sz="4" w:space="0" w:color="000000"/>
                          <w:bottom w:val="single" w:sz="4" w:space="0" w:color="000000"/>
                          <w:right w:val="single" w:sz="4" w:space="0" w:color="000000"/>
                        </w:tcBorders>
                      </w:tcPr>
                      <w:p>
                        <w:pPr/>
                      </w:p>
                    </w:tc>
                  </w:tr>
                  <w:tr>
                    <w:trPr>
                      <w:trHeight w:val="362" w:hRule="exact"/>
                    </w:trPr>
                    <w:tc>
                      <w:tcPr>
                        <w:tcW w:w="16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1" w:right="0"/>
                          <w:jc w:val="left"/>
                          <w:rPr>
                            <w:rFonts w:ascii="宋体" w:hAnsi="宋体" w:cs="宋体" w:eastAsia="宋体" w:hint="default"/>
                            <w:sz w:val="18"/>
                            <w:szCs w:val="18"/>
                          </w:rPr>
                        </w:pPr>
                        <w:r>
                          <w:rPr>
                            <w:rFonts w:ascii="宋体" w:hAnsi="宋体" w:cs="宋体" w:eastAsia="宋体" w:hint="default"/>
                            <w:sz w:val="18"/>
                            <w:szCs w:val="18"/>
                          </w:rPr>
                          <w:t>其他情况说明</w:t>
                        </w:r>
                      </w:p>
                    </w:tc>
                    <w:tc>
                      <w:tcPr>
                        <w:tcW w:w="9804" w:type="dxa"/>
                        <w:gridSpan w:val="8"/>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359" w:right="0"/>
                          <w:jc w:val="left"/>
                          <w:rPr>
                            <w:rFonts w:ascii="宋体" w:hAnsi="宋体" w:cs="宋体" w:eastAsia="宋体" w:hint="default"/>
                            <w:sz w:val="18"/>
                            <w:szCs w:val="18"/>
                          </w:rPr>
                        </w:pPr>
                        <w:r>
                          <w:rPr>
                            <w:rFonts w:ascii="宋体" w:hAnsi="宋体" w:cs="宋体" w:eastAsia="宋体" w:hint="default"/>
                            <w:sz w:val="18"/>
                            <w:szCs w:val="18"/>
                          </w:rPr>
                          <w:t>长城香港主要资产及业务位于香港；柏怡国际在深圳横岗及江西龙南设有工厂，在上海、台湾、日本等地设有分支机构</w:t>
                        </w:r>
                      </w:p>
                    </w:tc>
                  </w:tr>
                </w:tbl>
                <w:p>
                  <w:pPr/>
                </w:p>
              </w:txbxContent>
            </v:textbox>
            <w10:wrap type="none"/>
          </v:shape>
        </w:pict>
      </w:r>
      <w:r>
        <w:rPr>
          <w:rFonts w:ascii="宋体" w:hAnsi="宋体" w:cs="宋体" w:eastAsia="宋体" w:hint="default"/>
          <w:sz w:val="18"/>
          <w:szCs w:val="18"/>
        </w:rPr>
        <w:t>。</w:t>
      </w:r>
    </w:p>
    <w:p>
      <w:pPr>
        <w:spacing w:line="240" w:lineRule="auto" w:before="1"/>
        <w:rPr>
          <w:rFonts w:ascii="宋体" w:hAnsi="宋体" w:cs="宋体" w:eastAsia="宋体" w:hint="default"/>
          <w:sz w:val="16"/>
          <w:szCs w:val="16"/>
        </w:rPr>
      </w:pPr>
    </w:p>
    <w:p>
      <w:pPr>
        <w:pStyle w:val="Heading4"/>
        <w:spacing w:line="240" w:lineRule="auto" w:before="26"/>
        <w:ind w:left="1034" w:right="1090"/>
        <w:jc w:val="left"/>
        <w:rPr>
          <w:b w:val="0"/>
          <w:bCs w:val="0"/>
        </w:rPr>
      </w:pPr>
      <w:r>
        <w:rPr/>
        <w:t>三、核心竞争力分析</w:t>
      </w:r>
      <w:r>
        <w:rPr>
          <w:b w:val="0"/>
          <w:bCs w:val="0"/>
        </w:rPr>
      </w:r>
    </w:p>
    <w:p>
      <w:pPr>
        <w:spacing w:line="240" w:lineRule="auto" w:before="9"/>
        <w:rPr>
          <w:rFonts w:ascii="宋体" w:hAnsi="宋体" w:cs="宋体" w:eastAsia="宋体" w:hint="default"/>
          <w:b/>
          <w:bCs/>
          <w:sz w:val="19"/>
          <w:szCs w:val="19"/>
        </w:rPr>
      </w:pPr>
    </w:p>
    <w:p>
      <w:pPr>
        <w:pStyle w:val="BodyText"/>
        <w:spacing w:line="369" w:lineRule="auto" w:before="0"/>
        <w:ind w:left="1034" w:right="1131" w:firstLine="420"/>
        <w:jc w:val="both"/>
      </w:pPr>
      <w:r>
        <w:rPr>
          <w:spacing w:val="-1"/>
        </w:rPr>
        <w:t>作为中国电子网络安全与信息化领域的专业子集团，公司以创新驱动发展，高度重视科技创新能力的</w:t>
      </w:r>
      <w:r>
        <w:rPr/>
        <w:t> 提升，强调技术研发自主创新与集成创新的有效结合。</w:t>
      </w:r>
    </w:p>
    <w:p>
      <w:pPr>
        <w:pStyle w:val="BodyText"/>
        <w:spacing w:line="350" w:lineRule="auto" w:before="71"/>
        <w:ind w:left="1033" w:right="1127" w:firstLine="420"/>
        <w:jc w:val="both"/>
      </w:pPr>
      <w:r>
        <w:rPr/>
        <w:t>公司拥有 </w:t>
      </w:r>
      <w:r>
        <w:rPr>
          <w:rFonts w:ascii="Times New Roman" w:hAnsi="Times New Roman" w:cs="Times New Roman" w:eastAsia="Times New Roman" w:hint="default"/>
        </w:rPr>
        <w:t>4 </w:t>
      </w:r>
      <w:r>
        <w:rPr/>
        <w:t>个国家级研发机构（</w:t>
      </w:r>
      <w:r>
        <w:rPr>
          <w:rFonts w:ascii="Times New Roman" w:hAnsi="Times New Roman" w:cs="Times New Roman" w:eastAsia="Times New Roman" w:hint="default"/>
        </w:rPr>
        <w:t>2</w:t>
      </w:r>
      <w:r>
        <w:rPr>
          <w:rFonts w:ascii="Times New Roman" w:hAnsi="Times New Roman" w:cs="Times New Roman" w:eastAsia="Times New Roman" w:hint="default"/>
          <w:spacing w:val="-23"/>
        </w:rPr>
        <w:t> </w:t>
      </w:r>
      <w:r>
        <w:rPr/>
        <w:t>个国家认定企业技术中心、复杂环境光纤信息技术国家地方联合工 </w:t>
      </w:r>
      <w:r>
        <w:rPr>
          <w:spacing w:val="-7"/>
        </w:rPr>
        <w:t>程实验室、国家技术创新示范企业），</w:t>
      </w:r>
      <w:r>
        <w:rPr>
          <w:rFonts w:ascii="Times New Roman" w:hAnsi="Times New Roman" w:cs="Times New Roman" w:eastAsia="Times New Roman" w:hint="default"/>
          <w:spacing w:val="-7"/>
        </w:rPr>
        <w:t>12</w:t>
      </w:r>
      <w:r>
        <w:rPr>
          <w:rFonts w:ascii="Times New Roman" w:hAnsi="Times New Roman" w:cs="Times New Roman" w:eastAsia="Times New Roman" w:hint="default"/>
          <w:spacing w:val="12"/>
        </w:rPr>
        <w:t> </w:t>
      </w:r>
      <w:r>
        <w:rPr>
          <w:spacing w:val="-1"/>
        </w:rPr>
        <w:t>个省部级技术中心（</w:t>
      </w:r>
      <w:r>
        <w:rPr>
          <w:rFonts w:ascii="Times New Roman" w:hAnsi="Times New Roman" w:cs="Times New Roman" w:eastAsia="Times New Roman" w:hint="default"/>
          <w:spacing w:val="-1"/>
        </w:rPr>
        <w:t>2018</w:t>
      </w:r>
      <w:r>
        <w:rPr>
          <w:rFonts w:ascii="Times New Roman" w:hAnsi="Times New Roman" w:cs="Times New Roman" w:eastAsia="Times New Roman" w:hint="default"/>
          <w:spacing w:val="12"/>
        </w:rPr>
        <w:t> </w:t>
      </w:r>
      <w:r>
        <w:rPr>
          <w:spacing w:val="-1"/>
        </w:rPr>
        <w:t>年湖南长城计算机系统有限公司、湖南</w:t>
      </w:r>
      <w:r>
        <w:rPr>
          <w:spacing w:val="-101"/>
        </w:rPr>
        <w:t> </w:t>
      </w:r>
      <w:r>
        <w:rPr>
          <w:spacing w:val="-101"/>
        </w:rPr>
      </w:r>
      <w:r>
        <w:rPr>
          <w:spacing w:val="-5"/>
        </w:rPr>
        <w:t>长城信息金融设备有限责任公司获批湖南省企业技术中心），</w:t>
      </w:r>
      <w:r>
        <w:rPr>
          <w:rFonts w:ascii="Times New Roman" w:hAnsi="Times New Roman" w:cs="Times New Roman" w:eastAsia="Times New Roman" w:hint="default"/>
          <w:spacing w:val="-5"/>
        </w:rPr>
        <w:t>3</w:t>
      </w:r>
      <w:r>
        <w:rPr>
          <w:rFonts w:ascii="Times New Roman" w:hAnsi="Times New Roman" w:cs="Times New Roman" w:eastAsia="Times New Roman" w:hint="default"/>
          <w:spacing w:val="14"/>
        </w:rPr>
        <w:t> </w:t>
      </w:r>
      <w:r>
        <w:rPr>
          <w:spacing w:val="-2"/>
        </w:rPr>
        <w:t>个院士工作站，</w:t>
      </w:r>
      <w:r>
        <w:rPr>
          <w:rFonts w:ascii="Times New Roman" w:hAnsi="Times New Roman" w:cs="Times New Roman" w:eastAsia="Times New Roman" w:hint="default"/>
          <w:spacing w:val="-2"/>
        </w:rPr>
        <w:t>3</w:t>
      </w:r>
      <w:r>
        <w:rPr>
          <w:rFonts w:ascii="Times New Roman" w:hAnsi="Times New Roman" w:cs="Times New Roman" w:eastAsia="Times New Roman" w:hint="default"/>
          <w:spacing w:val="14"/>
        </w:rPr>
        <w:t> </w:t>
      </w:r>
      <w:r>
        <w:rPr>
          <w:spacing w:val="-1"/>
        </w:rPr>
        <w:t>个博士后工作站；拥有国</w:t>
      </w:r>
      <w:r>
        <w:rPr>
          <w:spacing w:val="-100"/>
        </w:rPr>
        <w:t> </w:t>
      </w:r>
      <w:r>
        <w:rPr>
          <w:spacing w:val="-100"/>
        </w:rPr>
      </w:r>
      <w:r>
        <w:rPr>
          <w:spacing w:val="-1"/>
        </w:rPr>
        <w:t>家技术创新示范企业、高新技术企业、军工四证、深圳市首批“自主创新行业龙头企业”、湖南省移动互</w:t>
      </w:r>
      <w:r>
        <w:rPr>
          <w:spacing w:val="-94"/>
        </w:rPr>
        <w:t> </w:t>
      </w:r>
      <w:r>
        <w:rPr>
          <w:spacing w:val="-94"/>
        </w:rPr>
      </w:r>
      <w:r>
        <w:rPr/>
        <w:t>联重点企业等资质；申报各类奖项和资质 </w:t>
      </w:r>
      <w:r>
        <w:rPr>
          <w:rFonts w:ascii="Times New Roman" w:hAnsi="Times New Roman" w:cs="Times New Roman" w:eastAsia="Times New Roman" w:hint="default"/>
        </w:rPr>
        <w:t>20 </w:t>
      </w:r>
      <w:r>
        <w:rPr/>
        <w:t>余项，获得省部级科技进步奖 </w:t>
      </w:r>
      <w:r>
        <w:rPr>
          <w:rFonts w:ascii="Times New Roman" w:hAnsi="Times New Roman" w:cs="Times New Roman" w:eastAsia="Times New Roman" w:hint="default"/>
        </w:rPr>
        <w:t>2</w:t>
      </w:r>
      <w:r>
        <w:rPr>
          <w:rFonts w:ascii="Times New Roman" w:hAnsi="Times New Roman" w:cs="Times New Roman" w:eastAsia="Times New Roman" w:hint="default"/>
          <w:spacing w:val="-24"/>
        </w:rPr>
        <w:t> </w:t>
      </w:r>
      <w:r>
        <w:rPr/>
        <w:t>项；公司《长城高效率数字 化通用电源》通过由中国电子学会组织的科技成果鉴定并被认定为国际先进；</w:t>
      </w:r>
      <w:r>
        <w:rPr>
          <w:rFonts w:ascii="Times New Roman" w:hAnsi="Times New Roman" w:cs="Times New Roman" w:eastAsia="Times New Roman" w:hint="default"/>
        </w:rPr>
        <w:t>2018</w:t>
      </w:r>
      <w:r>
        <w:rPr>
          <w:rFonts w:ascii="Times New Roman" w:hAnsi="Times New Roman" w:cs="Times New Roman" w:eastAsia="Times New Roman" w:hint="default"/>
          <w:spacing w:val="-17"/>
        </w:rPr>
        <w:t> </w:t>
      </w:r>
      <w:r>
        <w:rPr/>
        <w:t>年申请专利</w:t>
      </w:r>
      <w:r>
        <w:rPr>
          <w:spacing w:val="-70"/>
        </w:rPr>
        <w:t> </w:t>
      </w:r>
      <w:r>
        <w:rPr>
          <w:rFonts w:ascii="Times New Roman" w:hAnsi="Times New Roman" w:cs="Times New Roman" w:eastAsia="Times New Roman" w:hint="default"/>
        </w:rPr>
        <w:t>206</w:t>
      </w:r>
      <w:r>
        <w:rPr>
          <w:rFonts w:ascii="Times New Roman" w:hAnsi="Times New Roman" w:cs="Times New Roman" w:eastAsia="Times New Roman" w:hint="default"/>
          <w:spacing w:val="-17"/>
        </w:rPr>
        <w:t> </w:t>
      </w:r>
      <w:r>
        <w:rPr>
          <w:spacing w:val="-9"/>
        </w:rPr>
        <w:t>项，获</w:t>
      </w:r>
      <w:r>
        <w:rPr/>
        <w:t> 授权专利</w:t>
      </w:r>
      <w:r>
        <w:rPr>
          <w:spacing w:val="-54"/>
        </w:rPr>
        <w:t> </w:t>
      </w:r>
      <w:r>
        <w:rPr>
          <w:rFonts w:ascii="Times New Roman" w:hAnsi="Times New Roman" w:cs="Times New Roman" w:eastAsia="Times New Roman" w:hint="default"/>
        </w:rPr>
        <w:t>175</w:t>
      </w:r>
      <w:r>
        <w:rPr>
          <w:rFonts w:ascii="Times New Roman" w:hAnsi="Times New Roman" w:cs="Times New Roman" w:eastAsia="Times New Roman" w:hint="default"/>
          <w:spacing w:val="-1"/>
        </w:rPr>
        <w:t> </w:t>
      </w:r>
      <w:r>
        <w:rPr/>
        <w:t>项。</w:t>
      </w:r>
    </w:p>
    <w:p>
      <w:pPr>
        <w:pStyle w:val="BodyText"/>
        <w:spacing w:line="403" w:lineRule="auto" w:before="63"/>
        <w:ind w:left="1454" w:right="1090"/>
        <w:jc w:val="left"/>
      </w:pPr>
      <w:r>
        <w:rPr/>
        <w:t>公司核心业务主要涉及网络安全与信息化、高新电子、电源板块，相关业务水平处于国内领先地位。 </w:t>
      </w:r>
      <w:r>
        <w:rPr>
          <w:spacing w:val="-3"/>
        </w:rPr>
        <w:t>网络安全与信息化：力争打造网络安全与信息化综合解决方案服务商。（</w:t>
      </w:r>
      <w:r>
        <w:rPr>
          <w:rFonts w:ascii="Times New Roman" w:hAnsi="Times New Roman" w:cs="Times New Roman" w:eastAsia="Times New Roman" w:hint="default"/>
          <w:spacing w:val="-3"/>
        </w:rPr>
        <w:t>1</w:t>
      </w:r>
      <w:r>
        <w:rPr>
          <w:spacing w:val="-3"/>
        </w:rPr>
        <w:t>）开展了与生态链龙头厂商</w:t>
      </w:r>
    </w:p>
    <w:p>
      <w:pPr>
        <w:spacing w:after="0" w:line="403" w:lineRule="auto"/>
        <w:jc w:val="left"/>
        <w:sectPr>
          <w:pgSz w:w="11910" w:h="16840"/>
          <w:pgMar w:header="787" w:footer="982" w:top="1100" w:bottom="1180" w:left="100" w:right="0"/>
        </w:sectPr>
      </w:pPr>
    </w:p>
    <w:p>
      <w:pPr>
        <w:spacing w:line="240" w:lineRule="auto" w:before="10"/>
        <w:rPr>
          <w:rFonts w:ascii="宋体" w:hAnsi="宋体" w:cs="宋体" w:eastAsia="宋体" w:hint="default"/>
          <w:sz w:val="25"/>
          <w:szCs w:val="25"/>
        </w:rPr>
      </w:pPr>
    </w:p>
    <w:p>
      <w:pPr>
        <w:pStyle w:val="BodyText"/>
        <w:spacing w:line="350" w:lineRule="auto" w:before="35"/>
        <w:ind w:left="153" w:right="1025"/>
        <w:jc w:val="both"/>
      </w:pPr>
      <w:r>
        <w:rPr/>
        <w:t>的合作，在人工智能、大数据、云计算领域，率先形成</w:t>
      </w:r>
      <w:r>
        <w:rPr>
          <w:spacing w:val="-60"/>
        </w:rPr>
        <w:t> </w:t>
      </w:r>
      <w:r>
        <w:rPr>
          <w:rFonts w:ascii="Times New Roman" w:hAnsi="Times New Roman" w:cs="Times New Roman" w:eastAsia="Times New Roman" w:hint="default"/>
        </w:rPr>
        <w:t>PK</w:t>
      </w:r>
      <w:r>
        <w:rPr>
          <w:rFonts w:ascii="Times New Roman" w:hAnsi="Times New Roman" w:cs="Times New Roman" w:eastAsia="Times New Roman" w:hint="default"/>
          <w:spacing w:val="-8"/>
        </w:rPr>
        <w:t> </w:t>
      </w:r>
      <w:r>
        <w:rPr/>
        <w:t>体系（飞腾</w:t>
      </w:r>
      <w:r>
        <w:rPr>
          <w:spacing w:val="-61"/>
        </w:rPr>
        <w:t> </w:t>
      </w:r>
      <w:r>
        <w:rPr>
          <w:rFonts w:ascii="Times New Roman" w:hAnsi="Times New Roman" w:cs="Times New Roman" w:eastAsia="Times New Roman" w:hint="default"/>
        </w:rPr>
        <w:t>CPU+</w:t>
      </w:r>
      <w:r>
        <w:rPr/>
        <w:t>麒麟</w:t>
      </w:r>
      <w:r>
        <w:rPr>
          <w:spacing w:val="-60"/>
        </w:rPr>
        <w:t> </w:t>
      </w:r>
      <w:r>
        <w:rPr>
          <w:rFonts w:ascii="Times New Roman" w:hAnsi="Times New Roman" w:cs="Times New Roman" w:eastAsia="Times New Roman" w:hint="default"/>
        </w:rPr>
        <w:t>OS</w:t>
      </w:r>
      <w:r>
        <w:rPr/>
        <w:t>）的应用平台，率先 </w:t>
      </w:r>
      <w:r>
        <w:rPr>
          <w:spacing w:val="-4"/>
        </w:rPr>
        <w:t>形成了信息安全行业解决方案，系统整体技术处于国内领先水平。（</w:t>
      </w:r>
      <w:r>
        <w:rPr>
          <w:rFonts w:ascii="Times New Roman" w:hAnsi="Times New Roman" w:cs="Times New Roman" w:eastAsia="Times New Roman" w:hint="default"/>
          <w:spacing w:val="-4"/>
        </w:rPr>
        <w:t>2</w:t>
      </w:r>
      <w:r>
        <w:rPr>
          <w:spacing w:val="-4"/>
        </w:rPr>
        <w:t>）构建“</w:t>
      </w:r>
      <w:r>
        <w:rPr>
          <w:rFonts w:ascii="Times New Roman" w:hAnsi="Times New Roman" w:cs="Times New Roman" w:eastAsia="Times New Roman" w:hint="default"/>
          <w:spacing w:val="-4"/>
        </w:rPr>
        <w:t>PK</w:t>
      </w:r>
      <w:r>
        <w:rPr>
          <w:spacing w:val="-4"/>
        </w:rPr>
        <w:t>”产业生态，联合湖南省</w:t>
      </w:r>
      <w:r>
        <w:rPr/>
        <w:t> 政府打造网络安全产业示范基地和产业集群，重点打造了全国首个省级适配中心，建设 </w:t>
      </w:r>
      <w:r>
        <w:rPr>
          <w:rFonts w:ascii="Times New Roman" w:hAnsi="Times New Roman" w:cs="Times New Roman" w:eastAsia="Times New Roman" w:hint="default"/>
        </w:rPr>
        <w:t>PK</w:t>
      </w:r>
      <w:r>
        <w:rPr>
          <w:rFonts w:ascii="Times New Roman" w:hAnsi="Times New Roman" w:cs="Times New Roman" w:eastAsia="Times New Roman" w:hint="default"/>
          <w:spacing w:val="-29"/>
        </w:rPr>
        <w:t> </w:t>
      </w:r>
      <w:r>
        <w:rPr/>
        <w:t>体系的应用适 配平台、技术服务平台、培训平台及成果展示平台；与中国软件、百度、金蝶、科大讯飞、奔图等多家行 业龙头企业展开生态合作完善</w:t>
      </w:r>
      <w:r>
        <w:rPr>
          <w:spacing w:val="-36"/>
        </w:rPr>
        <w:t> </w:t>
      </w:r>
      <w:r>
        <w:rPr>
          <w:rFonts w:ascii="Times New Roman" w:hAnsi="Times New Roman" w:cs="Times New Roman" w:eastAsia="Times New Roman" w:hint="default"/>
          <w:spacing w:val="-1"/>
        </w:rPr>
        <w:t>PK</w:t>
      </w:r>
      <w:r>
        <w:rPr>
          <w:rFonts w:ascii="Times New Roman" w:hAnsi="Times New Roman" w:cs="Times New Roman" w:eastAsia="Times New Roman" w:hint="default"/>
          <w:spacing w:val="18"/>
        </w:rPr>
        <w:t> </w:t>
      </w:r>
      <w:r>
        <w:rPr>
          <w:spacing w:val="-4"/>
        </w:rPr>
        <w:t>体系应用，并形成行业信息化解决方案。（</w:t>
      </w:r>
      <w:r>
        <w:rPr>
          <w:rFonts w:ascii="Times New Roman" w:hAnsi="Times New Roman" w:cs="Times New Roman" w:eastAsia="Times New Roman" w:hint="default"/>
          <w:spacing w:val="-4"/>
        </w:rPr>
        <w:t>3</w:t>
      </w:r>
      <w:r>
        <w:rPr>
          <w:spacing w:val="-4"/>
        </w:rPr>
        <w:t>）是我国金融自助发卡机行</w:t>
      </w:r>
      <w:r>
        <w:rPr>
          <w:spacing w:val="-95"/>
        </w:rPr>
        <w:t> </w:t>
      </w:r>
      <w:r>
        <w:rPr>
          <w:spacing w:val="-95"/>
        </w:rPr>
      </w:r>
      <w:r>
        <w:rPr/>
        <w:t>业标准的制定者和引领者，金融自助设备国内市场占有率第一；扎根金融行业，积极布局“</w:t>
      </w:r>
      <w:r>
        <w:rPr>
          <w:rFonts w:ascii="Times New Roman" w:hAnsi="Times New Roman" w:cs="Times New Roman" w:eastAsia="Times New Roman" w:hint="default"/>
        </w:rPr>
        <w:t>3+2</w:t>
      </w:r>
      <w:r>
        <w:rPr/>
        <w:t>”海外业</w:t>
      </w:r>
      <w:r>
        <w:rPr>
          <w:spacing w:val="-48"/>
        </w:rPr>
        <w:t> </w:t>
      </w:r>
      <w:r>
        <w:rPr>
          <w:spacing w:val="-48"/>
        </w:rPr>
      </w:r>
      <w:r>
        <w:rPr>
          <w:spacing w:val="-3"/>
        </w:rPr>
        <w:t>务，在保险、证券和政务行业领域取得突破，并成功实现了百货零售机和无人超市售货机方案的商业应用。</w:t>
      </w:r>
    </w:p>
    <w:p>
      <w:pPr>
        <w:pStyle w:val="BodyText"/>
        <w:spacing w:line="355" w:lineRule="auto" w:before="49"/>
        <w:ind w:left="154" w:right="1127"/>
        <w:jc w:val="both"/>
      </w:pPr>
      <w:r>
        <w:rPr/>
        <w:t>（</w:t>
      </w:r>
      <w:r>
        <w:rPr>
          <w:rFonts w:ascii="Times New Roman" w:hAnsi="Times New Roman" w:cs="Times New Roman" w:eastAsia="Times New Roman" w:hint="default"/>
        </w:rPr>
        <w:t>4</w:t>
      </w:r>
      <w:r>
        <w:rPr/>
        <w:t>）医院自助综合服务系统与银医一卡通模式三甲医院市场占有率为全国第一，承接区域卫生信息平台</w:t>
      </w:r>
      <w:r>
        <w:rPr>
          <w:spacing w:val="-35"/>
        </w:rPr>
        <w:t> </w:t>
      </w:r>
      <w:r>
        <w:rPr>
          <w:spacing w:val="-35"/>
        </w:rPr>
      </w:r>
      <w:r>
        <w:rPr>
          <w:spacing w:val="-3"/>
        </w:rPr>
        <w:t>项目，首次在国内实现了信息安全技术在医疗信息领域的应用。（</w:t>
      </w:r>
      <w:r>
        <w:rPr>
          <w:rFonts w:ascii="Times New Roman" w:hAnsi="Times New Roman" w:cs="Times New Roman" w:eastAsia="Times New Roman" w:hint="default"/>
          <w:spacing w:val="-3"/>
        </w:rPr>
        <w:t>5</w:t>
      </w:r>
      <w:r>
        <w:rPr>
          <w:spacing w:val="-3"/>
        </w:rPr>
        <w:t>）通过与国际领先企业的多年合作，建</w:t>
      </w:r>
      <w:r>
        <w:rPr>
          <w:spacing w:val="-93"/>
        </w:rPr>
        <w:t> </w:t>
      </w:r>
      <w:r>
        <w:rPr>
          <w:spacing w:val="-93"/>
        </w:rPr>
      </w:r>
      <w:r>
        <w:rPr>
          <w:spacing w:val="-1"/>
        </w:rPr>
        <w:t>立了先进的智能制造体系，达到行业领先水平，具备强大的安全可靠计算机及服务器、金融和医疗行业信</w:t>
      </w:r>
      <w:r>
        <w:rPr>
          <w:spacing w:val="-83"/>
        </w:rPr>
        <w:t> </w:t>
      </w:r>
      <w:r>
        <w:rPr>
          <w:spacing w:val="-83"/>
        </w:rPr>
      </w:r>
      <w:r>
        <w:rPr/>
        <w:t>息化设备等产品制造能力及产品质量管控能力等，深受客户认同。</w:t>
      </w:r>
    </w:p>
    <w:p>
      <w:pPr>
        <w:pStyle w:val="BodyText"/>
        <w:spacing w:line="355" w:lineRule="auto" w:before="84"/>
        <w:ind w:left="154" w:right="1022" w:firstLine="419"/>
        <w:jc w:val="left"/>
      </w:pPr>
      <w:r>
        <w:rPr>
          <w:spacing w:val="-3"/>
        </w:rPr>
        <w:t>高新电子：国防信息化系统解决方案与装备的重要提供商及服务商。（</w:t>
      </w:r>
      <w:r>
        <w:rPr>
          <w:rFonts w:ascii="Times New Roman" w:hAnsi="Times New Roman" w:cs="Times New Roman" w:eastAsia="Times New Roman" w:hint="default"/>
          <w:spacing w:val="-3"/>
        </w:rPr>
        <w:t>1</w:t>
      </w:r>
      <w:r>
        <w:rPr>
          <w:spacing w:val="-3"/>
        </w:rPr>
        <w:t>）在通信领域拥有强大的科研</w:t>
      </w:r>
      <w:r>
        <w:rPr/>
        <w:t> 技术能力，在通信系统和设备、卫星定位导航、系统集成领域及抗干扰通信技术、网络技术方面处于国际 先进、国内领先水平，产品在国内长期保持领先地位；①掌握了小型化、低功耗、模块化宽带射频前端设 </w:t>
      </w:r>
      <w:r>
        <w:rPr>
          <w:spacing w:val="-5"/>
        </w:rPr>
        <w:t>计技术，可满足战术通信装备“体积小、重量轻、功耗低”的实用需求；②掌握了高密度互联（</w:t>
      </w:r>
      <w:r>
        <w:rPr>
          <w:rFonts w:ascii="Times New Roman" w:hAnsi="Times New Roman" w:cs="Times New Roman" w:eastAsia="Times New Roman" w:hint="default"/>
          <w:spacing w:val="-5"/>
        </w:rPr>
        <w:t>HDI</w:t>
      </w:r>
      <w:r>
        <w:rPr>
          <w:spacing w:val="-5"/>
        </w:rPr>
        <w:t>）、微</w:t>
      </w:r>
      <w:r>
        <w:rPr>
          <w:spacing w:val="-66"/>
        </w:rPr>
        <w:t> </w:t>
      </w:r>
      <w:r>
        <w:rPr>
          <w:spacing w:val="-66"/>
        </w:rPr>
      </w:r>
      <w:r>
        <w:rPr/>
        <w:t>孔工艺等关键技术，印制电路板面积可缩减</w:t>
      </w:r>
      <w:r>
        <w:rPr>
          <w:spacing w:val="-66"/>
        </w:rPr>
        <w:t> </w:t>
      </w:r>
      <w:r>
        <w:rPr>
          <w:rFonts w:ascii="Times New Roman" w:hAnsi="Times New Roman" w:cs="Times New Roman" w:eastAsia="Times New Roman" w:hint="default"/>
        </w:rPr>
        <w:t>60%</w:t>
      </w:r>
      <w:r>
        <w:rPr/>
        <w:t>，电磁兼容、可靠性等得到显著提高；③掌握了红黑分离 </w:t>
      </w:r>
      <w:r>
        <w:rPr>
          <w:spacing w:val="-3"/>
        </w:rPr>
        <w:t>的信息安全架构、高可靠</w:t>
      </w:r>
      <w:r>
        <w:rPr>
          <w:spacing w:val="-46"/>
        </w:rPr>
        <w:t> </w:t>
      </w:r>
      <w:r>
        <w:rPr>
          <w:rFonts w:ascii="Times New Roman" w:hAnsi="Times New Roman" w:cs="Times New Roman" w:eastAsia="Times New Roman" w:hint="default"/>
          <w:spacing w:val="-1"/>
        </w:rPr>
        <w:t>IP</w:t>
      </w:r>
      <w:r>
        <w:rPr>
          <w:rFonts w:ascii="Times New Roman" w:hAnsi="Times New Roman" w:cs="Times New Roman" w:eastAsia="Times New Roman" w:hint="default"/>
          <w:spacing w:val="6"/>
        </w:rPr>
        <w:t> </w:t>
      </w:r>
      <w:r>
        <w:rPr>
          <w:spacing w:val="-6"/>
        </w:rPr>
        <w:t>加密等关键技术，可有效提升战术通信装备信息安全技术水平。（</w:t>
      </w:r>
      <w:r>
        <w:rPr>
          <w:rFonts w:ascii="Times New Roman" w:hAnsi="Times New Roman" w:cs="Times New Roman" w:eastAsia="Times New Roman" w:hint="default"/>
          <w:spacing w:val="-6"/>
        </w:rPr>
        <w:t>2</w:t>
      </w:r>
      <w:r>
        <w:rPr>
          <w:spacing w:val="-6"/>
        </w:rPr>
        <w:t>）竭力打造</w:t>
      </w:r>
      <w:r>
        <w:rPr>
          <w:spacing w:val="-88"/>
        </w:rPr>
        <w:t> </w:t>
      </w:r>
      <w:r>
        <w:rPr>
          <w:spacing w:val="-88"/>
        </w:rPr>
      </w:r>
      <w:r>
        <w:rPr/>
        <w:t>海洋信息安全系统总体能力，从系统方案设计到水声信号拾取与发射，以及通信传输与工程配套的技术体</w:t>
      </w:r>
      <w:r>
        <w:rPr/>
        <w:t> 系。实现了高可靠大功率水声数字功放技术、阵列零浮力技术、深海阵列技术等</w:t>
      </w:r>
      <w:r>
        <w:rPr>
          <w:spacing w:val="-60"/>
        </w:rPr>
        <w:t> </w:t>
      </w:r>
      <w:r>
        <w:rPr>
          <w:rFonts w:ascii="Times New Roman" w:hAnsi="Times New Roman" w:cs="Times New Roman" w:eastAsia="Times New Roman" w:hint="default"/>
        </w:rPr>
        <w:t>8</w:t>
      </w:r>
      <w:r>
        <w:rPr>
          <w:rFonts w:ascii="Times New Roman" w:hAnsi="Times New Roman" w:cs="Times New Roman" w:eastAsia="Times New Roman" w:hint="default"/>
          <w:spacing w:val="-7"/>
        </w:rPr>
        <w:t> </w:t>
      </w:r>
      <w:r>
        <w:rPr/>
        <w:t>项关键技术攻关取得新 </w:t>
      </w:r>
      <w:r>
        <w:rPr>
          <w:spacing w:val="-3"/>
        </w:rPr>
        <w:t>进展。依托技术体系与攻关成果，公司构建了形态齐全、应用领域广泛的产品体系。（</w:t>
      </w:r>
      <w:r>
        <w:rPr>
          <w:rFonts w:ascii="Times New Roman" w:hAnsi="Times New Roman" w:cs="Times New Roman" w:eastAsia="Times New Roman" w:hint="default"/>
          <w:spacing w:val="-3"/>
        </w:rPr>
        <w:t>3</w:t>
      </w:r>
      <w:r>
        <w:rPr>
          <w:spacing w:val="-3"/>
        </w:rPr>
        <w:t>）在安全可靠网络</w:t>
      </w:r>
      <w:r>
        <w:rPr>
          <w:spacing w:val="-94"/>
        </w:rPr>
        <w:t> </w:t>
      </w:r>
      <w:r>
        <w:rPr>
          <w:spacing w:val="-94"/>
        </w:rPr>
      </w:r>
      <w:r>
        <w:rPr>
          <w:spacing w:val="-8"/>
        </w:rPr>
        <w:t>交换、显示和国产化计算等领域，掌握“基于国产软硬件平台的网络交换”、“多网融合实时以太网交换”、</w:t>
      </w:r>
      <w:r>
        <w:rPr>
          <w:spacing w:val="-61"/>
        </w:rPr>
        <w:t> </w:t>
      </w:r>
      <w:r>
        <w:rPr>
          <w:spacing w:val="-61"/>
        </w:rPr>
      </w:r>
      <w:r>
        <w:rPr>
          <w:spacing w:val="-5"/>
        </w:rPr>
        <w:t>“新一代机载图卡显示”、“液晶屏光学绑定”及“基于飞腾系列平台的核心计算主板研制”等关键及核心</w:t>
      </w:r>
      <w:r>
        <w:rPr/>
        <w:t> </w:t>
      </w:r>
      <w:r>
        <w:rPr>
          <w:spacing w:val="-3"/>
        </w:rPr>
        <w:t>技术。（</w:t>
      </w:r>
      <w:r>
        <w:rPr>
          <w:rFonts w:ascii="Times New Roman" w:hAnsi="Times New Roman" w:cs="Times New Roman" w:eastAsia="Times New Roman" w:hint="default"/>
          <w:spacing w:val="-3"/>
        </w:rPr>
        <w:t>4</w:t>
      </w:r>
      <w:r>
        <w:rPr>
          <w:spacing w:val="-3"/>
        </w:rPr>
        <w:t>）拥有军用锂电池核心技术，技术实力处于国内领先地位；电池新材料技术突破钠离子电池量产</w:t>
      </w:r>
      <w:r>
        <w:rPr>
          <w:spacing w:val="-93"/>
        </w:rPr>
        <w:t> </w:t>
      </w:r>
      <w:r>
        <w:rPr>
          <w:spacing w:val="-93"/>
        </w:rPr>
      </w:r>
      <w:r>
        <w:rPr/>
        <w:t>工艺、特种应用电池技术、电池管理及</w:t>
      </w:r>
      <w:r>
        <w:rPr>
          <w:spacing w:val="-62"/>
        </w:rPr>
        <w:t> </w:t>
      </w:r>
      <w:r>
        <w:rPr>
          <w:rFonts w:ascii="Times New Roman" w:hAnsi="Times New Roman" w:cs="Times New Roman" w:eastAsia="Times New Roman" w:hint="default"/>
          <w:spacing w:val="-6"/>
        </w:rPr>
        <w:t>PACK</w:t>
      </w:r>
      <w:r>
        <w:rPr>
          <w:rFonts w:ascii="Times New Roman" w:hAnsi="Times New Roman" w:cs="Times New Roman" w:eastAsia="Times New Roman" w:hint="default"/>
          <w:spacing w:val="-10"/>
        </w:rPr>
        <w:t> </w:t>
      </w:r>
      <w:r>
        <w:rPr/>
        <w:t>成组技术等，成功研发高能量密度软包电池和高能量密度钠 离子电池。</w:t>
      </w:r>
    </w:p>
    <w:p>
      <w:pPr>
        <w:pStyle w:val="BodyText"/>
        <w:spacing w:line="355" w:lineRule="auto" w:before="84"/>
        <w:ind w:left="154" w:right="1021" w:firstLine="420"/>
        <w:jc w:val="left"/>
      </w:pPr>
      <w:r>
        <w:rPr/>
        <w:t>电源：国内规模最大、技术最强的服务器及计算机电源研制厂商，拥有 </w:t>
      </w:r>
      <w:r>
        <w:rPr>
          <w:rFonts w:ascii="Times New Roman" w:hAnsi="Times New Roman" w:cs="Times New Roman" w:eastAsia="Times New Roman" w:hint="default"/>
        </w:rPr>
        <w:t>28</w:t>
      </w:r>
      <w:r>
        <w:rPr>
          <w:rFonts w:ascii="Times New Roman" w:hAnsi="Times New Roman" w:cs="Times New Roman" w:eastAsia="Times New Roman" w:hint="default"/>
          <w:spacing w:val="29"/>
        </w:rPr>
        <w:t> </w:t>
      </w:r>
      <w:r>
        <w:rPr/>
        <w:t>年的开关电源产品的技术 </w:t>
      </w:r>
      <w:r>
        <w:rPr>
          <w:spacing w:val="-3"/>
        </w:rPr>
        <w:t>研发基础与经验。掌握自主可控的电源研发技术，在深圳和南京有研发团队，在台湾和美国设有销售团队，</w:t>
      </w:r>
      <w:r>
        <w:rPr>
          <w:spacing w:val="-90"/>
        </w:rPr>
        <w:t> </w:t>
      </w:r>
      <w:r>
        <w:rPr>
          <w:spacing w:val="-90"/>
        </w:rPr>
      </w:r>
      <w:r>
        <w:rPr/>
        <w:t>拥有深圳市电源关键技术企业重点实验室，研发出国内首款通过</w:t>
      </w:r>
      <w:r>
        <w:rPr>
          <w:spacing w:val="-57"/>
        </w:rPr>
        <w:t> </w:t>
      </w:r>
      <w:r>
        <w:rPr>
          <w:rFonts w:ascii="Times New Roman" w:hAnsi="Times New Roman" w:cs="Times New Roman" w:eastAsia="Times New Roman" w:hint="default"/>
        </w:rPr>
        <w:t>80PLUS</w:t>
      </w:r>
      <w:r>
        <w:rPr>
          <w:rFonts w:ascii="Times New Roman" w:hAnsi="Times New Roman" w:cs="Times New Roman" w:eastAsia="Times New Roman" w:hint="default"/>
          <w:spacing w:val="-5"/>
        </w:rPr>
        <w:t> </w:t>
      </w:r>
      <w:r>
        <w:rPr/>
        <w:t>铂金、钛金认证的电源；服务器 电源和</w:t>
      </w:r>
      <w:r>
        <w:rPr>
          <w:spacing w:val="-54"/>
        </w:rPr>
        <w:t> </w:t>
      </w:r>
      <w:r>
        <w:rPr>
          <w:rFonts w:ascii="Times New Roman" w:hAnsi="Times New Roman" w:cs="Times New Roman" w:eastAsia="Times New Roman" w:hint="default"/>
        </w:rPr>
        <w:t>PC</w:t>
      </w:r>
      <w:r>
        <w:rPr>
          <w:rFonts w:ascii="Times New Roman" w:hAnsi="Times New Roman" w:cs="Times New Roman" w:eastAsia="Times New Roman" w:hint="default"/>
          <w:spacing w:val="-1"/>
        </w:rPr>
        <w:t> </w:t>
      </w:r>
      <w:r>
        <w:rPr/>
        <w:t>电脑电源在中国占据领导地位，并向通信电源、</w:t>
      </w:r>
      <w:r>
        <w:rPr>
          <w:rFonts w:ascii="Times New Roman" w:hAnsi="Times New Roman" w:cs="Times New Roman" w:eastAsia="Times New Roman" w:hint="default"/>
        </w:rPr>
        <w:t>LED</w:t>
      </w:r>
      <w:r>
        <w:rPr>
          <w:rFonts w:ascii="Times New Roman" w:hAnsi="Times New Roman" w:cs="Times New Roman" w:eastAsia="Times New Roman" w:hint="default"/>
          <w:spacing w:val="-2"/>
        </w:rPr>
        <w:t> </w:t>
      </w:r>
      <w:r>
        <w:rPr/>
        <w:t>电源和工控电源多元化发展。</w:t>
      </w:r>
    </w:p>
    <w:p>
      <w:pPr>
        <w:pStyle w:val="BodyText"/>
        <w:spacing w:line="367" w:lineRule="auto" w:before="58"/>
        <w:ind w:left="154" w:right="1129" w:firstLine="420"/>
        <w:jc w:val="both"/>
      </w:pPr>
      <w:r>
        <w:rPr>
          <w:spacing w:val="-1"/>
        </w:rPr>
        <w:t>未来，公司将以战略规划为引领，加强提质增效工作，持续提升核心竞争力，保持在核心业务及主要</w:t>
      </w:r>
      <w:r>
        <w:rPr/>
        <w:t> </w:t>
      </w:r>
      <w:r>
        <w:rPr>
          <w:spacing w:val="-1"/>
        </w:rPr>
        <w:t>行业的领军、领先地位，坚定不移地推进国企改革和推动实现战略转型，着力打造中国电子网络安全和信</w:t>
      </w:r>
      <w:r>
        <w:rPr>
          <w:spacing w:val="-83"/>
        </w:rPr>
        <w:t> </w:t>
      </w:r>
      <w:r>
        <w:rPr>
          <w:spacing w:val="-83"/>
        </w:rPr>
      </w:r>
      <w:r>
        <w:rPr/>
        <w:t>息化领域的专业子集团，成为网信产品的引领者。</w:t>
      </w:r>
    </w:p>
    <w:p>
      <w:pPr>
        <w:spacing w:after="0" w:line="367" w:lineRule="auto"/>
        <w:jc w:val="both"/>
        <w:sectPr>
          <w:pgSz w:w="11910" w:h="16840"/>
          <w:pgMar w:header="787" w:footer="982" w:top="1100" w:bottom="1180" w:left="980" w:right="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7"/>
          <w:szCs w:val="27"/>
        </w:rPr>
      </w:pPr>
    </w:p>
    <w:p>
      <w:pPr>
        <w:pStyle w:val="Heading1"/>
        <w:spacing w:line="240" w:lineRule="auto"/>
        <w:ind w:left="2965" w:right="0"/>
        <w:jc w:val="left"/>
        <w:rPr>
          <w:b w:val="0"/>
          <w:bCs w:val="0"/>
        </w:rPr>
      </w:pPr>
      <w:bookmarkStart w:name="_TOC_250008" w:id="4"/>
      <w:r>
        <w:rPr/>
        <w:t>第四节</w:t>
      </w:r>
      <w:r>
        <w:rPr>
          <w:spacing w:val="-10"/>
        </w:rPr>
        <w:t> </w:t>
      </w:r>
      <w:r>
        <w:rPr/>
        <w:t>经营情况讨论与分析</w:t>
      </w:r>
      <w:bookmarkEnd w:id="4"/>
      <w:r>
        <w:rPr>
          <w:b w:val="0"/>
          <w:bCs w:val="0"/>
        </w:rPr>
      </w:r>
    </w:p>
    <w:p>
      <w:pPr>
        <w:spacing w:line="240" w:lineRule="auto" w:before="1"/>
        <w:rPr>
          <w:rFonts w:ascii="宋体" w:hAnsi="宋体" w:cs="宋体" w:eastAsia="宋体" w:hint="default"/>
          <w:b/>
          <w:bCs/>
          <w:sz w:val="25"/>
          <w:szCs w:val="25"/>
        </w:rPr>
      </w:pPr>
    </w:p>
    <w:p>
      <w:pPr>
        <w:pStyle w:val="Heading4"/>
        <w:spacing w:line="240" w:lineRule="auto" w:before="26"/>
        <w:ind w:right="0"/>
        <w:jc w:val="left"/>
        <w:rPr>
          <w:b w:val="0"/>
          <w:bCs w:val="0"/>
        </w:rPr>
      </w:pPr>
      <w:r>
        <w:rPr/>
        <w:t>一、概述</w:t>
      </w:r>
      <w:r>
        <w:rPr>
          <w:b w:val="0"/>
          <w:bCs w:val="0"/>
        </w:rPr>
      </w:r>
    </w:p>
    <w:p>
      <w:pPr>
        <w:spacing w:line="240" w:lineRule="auto" w:before="11"/>
        <w:rPr>
          <w:rFonts w:ascii="宋体" w:hAnsi="宋体" w:cs="宋体" w:eastAsia="宋体" w:hint="default"/>
          <w:b/>
          <w:bCs/>
          <w:sz w:val="24"/>
          <w:szCs w:val="24"/>
        </w:rPr>
      </w:pPr>
    </w:p>
    <w:p>
      <w:pPr>
        <w:pStyle w:val="BodyText"/>
        <w:spacing w:line="372" w:lineRule="auto" w:before="0"/>
        <w:ind w:left="154" w:right="1131" w:firstLine="420"/>
        <w:jc w:val="both"/>
      </w:pPr>
      <w:r>
        <w:rPr>
          <w:rFonts w:ascii="Times New Roman" w:hAnsi="Times New Roman" w:cs="Times New Roman" w:eastAsia="Times New Roman" w:hint="default"/>
          <w:spacing w:val="-1"/>
        </w:rPr>
        <w:t>2018</w:t>
      </w:r>
      <w:r>
        <w:rPr>
          <w:rFonts w:ascii="Times New Roman" w:hAnsi="Times New Roman" w:cs="Times New Roman" w:eastAsia="Times New Roman" w:hint="default"/>
          <w:spacing w:val="5"/>
        </w:rPr>
        <w:t> </w:t>
      </w:r>
      <w:r>
        <w:rPr>
          <w:spacing w:val="-2"/>
        </w:rPr>
        <w:t>年，国内外经济形势更加错综复杂，公司经营班子坚决执行董事会的战略部署，自觉践行新发展</w:t>
      </w:r>
      <w:r>
        <w:rPr/>
        <w:t> </w:t>
      </w:r>
      <w:r>
        <w:rPr>
          <w:spacing w:val="-1"/>
        </w:rPr>
        <w:t>理念，聚焦战略，攻坚克难，主动作为，推进改革创新，着眼转型升级，加强企业治理，各项重点工作有</w:t>
      </w:r>
      <w:r>
        <w:rPr>
          <w:spacing w:val="-85"/>
        </w:rPr>
        <w:t> </w:t>
      </w:r>
      <w:r>
        <w:rPr>
          <w:spacing w:val="-85"/>
        </w:rPr>
      </w:r>
      <w:r>
        <w:rPr/>
        <w:t>序推进，迈出高质量发展的坚实步伐。</w:t>
      </w:r>
    </w:p>
    <w:p>
      <w:pPr>
        <w:pStyle w:val="BodyText"/>
        <w:spacing w:line="379" w:lineRule="auto" w:before="46"/>
        <w:ind w:left="153" w:right="1127" w:firstLine="420"/>
        <w:jc w:val="both"/>
      </w:pPr>
      <w:r>
        <w:rPr>
          <w:spacing w:val="-1"/>
        </w:rPr>
        <w:t>网络安全与信息化业务：网络安全业务发展取得重大突破，基于飞腾平台的终端和服务器产品在国家</w:t>
      </w:r>
      <w:r>
        <w:rPr/>
        <w:t> </w:t>
      </w:r>
      <w:r>
        <w:rPr>
          <w:spacing w:val="-1"/>
        </w:rPr>
        <w:t>某重点升级替代项目中占有率均为第一；实施“点亮工程”，成功进入档案、金融等重点行业，在金融、</w:t>
      </w:r>
      <w:r>
        <w:rPr>
          <w:spacing w:val="-94"/>
        </w:rPr>
        <w:t> </w:t>
      </w:r>
      <w:r>
        <w:rPr>
          <w:spacing w:val="-94"/>
        </w:rPr>
      </w:r>
      <w:r>
        <w:rPr/>
        <w:t>医疗等多个关键行业成功实现基于</w:t>
      </w:r>
      <w:r>
        <w:rPr>
          <w:spacing w:val="-64"/>
        </w:rPr>
        <w:t> </w:t>
      </w:r>
      <w:r>
        <w:rPr>
          <w:rFonts w:ascii="Times New Roman" w:hAnsi="Times New Roman" w:cs="Times New Roman" w:eastAsia="Times New Roman" w:hint="default"/>
        </w:rPr>
        <w:t>PK</w:t>
      </w:r>
      <w:r>
        <w:rPr>
          <w:rFonts w:ascii="Times New Roman" w:hAnsi="Times New Roman" w:cs="Times New Roman" w:eastAsia="Times New Roman" w:hint="default"/>
          <w:spacing w:val="-12"/>
        </w:rPr>
        <w:t> </w:t>
      </w:r>
      <w:r>
        <w:rPr/>
        <w:t>架构产品的软件适配迁移；成功打造多个精品工程项目，以</w:t>
      </w:r>
      <w:r>
        <w:rPr>
          <w:spacing w:val="-64"/>
        </w:rPr>
        <w:t> </w:t>
      </w:r>
      <w:r>
        <w:rPr>
          <w:rFonts w:ascii="Times New Roman" w:hAnsi="Times New Roman" w:cs="Times New Roman" w:eastAsia="Times New Roman" w:hint="default"/>
        </w:rPr>
        <w:t>ERP</w:t>
      </w:r>
      <w:r>
        <w:rPr>
          <w:rFonts w:ascii="Times New Roman" w:hAnsi="Times New Roman" w:cs="Times New Roman" w:eastAsia="Times New Roman" w:hint="default"/>
          <w:spacing w:val="-12"/>
        </w:rPr>
        <w:t> </w:t>
      </w:r>
      <w:r>
        <w:rPr/>
        <w:t>等 </w:t>
      </w:r>
      <w:r>
        <w:rPr>
          <w:spacing w:val="-1"/>
        </w:rPr>
        <w:t>复杂系统、大型系统以及融合云计算、大数据、人工智能等前沿技术的创新应用为核心的产业发展生态圈</w:t>
      </w:r>
      <w:r>
        <w:rPr>
          <w:spacing w:val="-83"/>
        </w:rPr>
        <w:t> </w:t>
      </w:r>
      <w:r>
        <w:rPr>
          <w:spacing w:val="-83"/>
        </w:rPr>
      </w:r>
      <w:r>
        <w:rPr>
          <w:spacing w:val="-1"/>
        </w:rPr>
        <w:t>建设，形成长沙、天津等地方升级替代的示范性应用工程。基于飞腾平台的终端和服务器产品性能保持领</w:t>
      </w:r>
      <w:r>
        <w:rPr>
          <w:spacing w:val="-83"/>
        </w:rPr>
        <w:t> </w:t>
      </w:r>
      <w:r>
        <w:rPr>
          <w:spacing w:val="-83"/>
        </w:rPr>
      </w:r>
      <w:r>
        <w:rPr>
          <w:spacing w:val="-1"/>
        </w:rPr>
        <w:t>先，服务器架构设计能力、软件开发能力、产品工程化能力均得到有效提升，安全可靠整机成功亮相成都</w:t>
      </w:r>
      <w:r>
        <w:rPr>
          <w:spacing w:val="-82"/>
        </w:rPr>
        <w:t> </w:t>
      </w:r>
      <w:r>
        <w:rPr>
          <w:spacing w:val="-82"/>
        </w:rPr>
      </w:r>
      <w:r>
        <w:rPr>
          <w:spacing w:val="-1"/>
        </w:rPr>
        <w:t>国际女子电竞比赛并出色完成任务。随着国产化信息系统替代明显加速推进，基于飞腾平台的产品业务将</w:t>
      </w:r>
      <w:r>
        <w:rPr>
          <w:spacing w:val="-81"/>
        </w:rPr>
        <w:t> </w:t>
      </w:r>
      <w:r>
        <w:rPr>
          <w:spacing w:val="-81"/>
        </w:rPr>
      </w:r>
      <w:r>
        <w:rPr>
          <w:spacing w:val="-1"/>
        </w:rPr>
        <w:t>迎来更大发展机遇。公司持续保持在非现金金融智能自助领域的领先地位，在国有主要大行保持市场份额</w:t>
      </w:r>
      <w:r>
        <w:rPr>
          <w:spacing w:val="-81"/>
        </w:rPr>
        <w:t> </w:t>
      </w:r>
      <w:r>
        <w:rPr>
          <w:spacing w:val="-81"/>
        </w:rPr>
      </w:r>
      <w:r>
        <w:rPr>
          <w:spacing w:val="-1"/>
        </w:rPr>
        <w:t>第一，区域银行市场订单实现翻倍增长，依托自身技术优势，在保险、税务、新零售等领域取得突破。医</w:t>
      </w:r>
      <w:r>
        <w:rPr>
          <w:spacing w:val="-83"/>
        </w:rPr>
        <w:t> </w:t>
      </w:r>
      <w:r>
        <w:rPr>
          <w:spacing w:val="-83"/>
        </w:rPr>
      </w:r>
      <w:r>
        <w:rPr>
          <w:spacing w:val="-3"/>
        </w:rPr>
        <w:t>疗电子加快业务转型步伐，数字化病房、“智慧医疗云”等业务在重点市场成功打造多个精品项目。</w:t>
      </w:r>
    </w:p>
    <w:p>
      <w:pPr>
        <w:pStyle w:val="BodyText"/>
        <w:spacing w:line="381" w:lineRule="auto" w:before="40"/>
        <w:ind w:left="154" w:right="1015" w:firstLine="420"/>
        <w:jc w:val="left"/>
      </w:pPr>
      <w:r>
        <w:rPr>
          <w:spacing w:val="-3"/>
        </w:rPr>
        <w:t>高新电子业务：公司依托在现有业务领域的市场、技术优势，稳中有进，高新电子订货同比大幅提升，</w:t>
      </w:r>
      <w:r>
        <w:rPr/>
        <w:t> 压舱石的作用更加凸显。在军事通信新市场领域取得突出进展，连续签订多个订货合同，产品谱系向电子 对抗、北斗产品等装备延伸，市场领域向空降兵、海军陆战队等新兴业务领域拓展。核心技术取得重要突 破，在多个重大项目和技术领域，掌握了关键技术；承担的某水声通信系统项目等多个国家重大专项顺利 实施，多个重点任务取得阶段性关键成果。军民业务持续深入融合，协同开发电源产品成功中标；军援军 贸业务规模进一步提高，订单同比大幅增长。</w:t>
      </w:r>
    </w:p>
    <w:p>
      <w:pPr>
        <w:pStyle w:val="BodyText"/>
        <w:spacing w:line="372" w:lineRule="auto" w:before="38"/>
        <w:ind w:left="154" w:right="1131" w:firstLine="420"/>
        <w:jc w:val="both"/>
      </w:pPr>
      <w:r>
        <w:rPr>
          <w:spacing w:val="-1"/>
        </w:rPr>
        <w:t>电源业务：公司电源业务保持了持续增长势头，国内市场占有率份额进一步提升。市场国际化战略加</w:t>
      </w:r>
      <w:r>
        <w:rPr/>
        <w:t> 快实施，与行业内知名企业建立良好合作关系，取得了多家国际一线客户的 </w:t>
      </w:r>
      <w:r>
        <w:rPr>
          <w:rFonts w:ascii="Times New Roman" w:hAnsi="Times New Roman" w:cs="Times New Roman" w:eastAsia="Times New Roman" w:hint="default"/>
          <w:spacing w:val="-10"/>
        </w:rPr>
        <w:t>AVL</w:t>
      </w:r>
      <w:r>
        <w:rPr>
          <w:rFonts w:ascii="Times New Roman" w:hAnsi="Times New Roman" w:cs="Times New Roman" w:eastAsia="Times New Roman" w:hint="default"/>
          <w:spacing w:val="5"/>
        </w:rPr>
        <w:t> </w:t>
      </w:r>
      <w:r>
        <w:rPr/>
        <w:t>证书，为国际化战略奠 </w:t>
      </w:r>
      <w:r>
        <w:rPr>
          <w:spacing w:val="-1"/>
        </w:rPr>
        <w:t>定了基础。产品高端化取得明显成效，紧抓云计算和大数据产业发展机遇，服务器电源实现持续的高速增</w:t>
      </w:r>
      <w:r>
        <w:rPr>
          <w:spacing w:val="-83"/>
        </w:rPr>
        <w:t> </w:t>
      </w:r>
      <w:r>
        <w:rPr>
          <w:spacing w:val="-83"/>
        </w:rPr>
      </w:r>
      <w:r>
        <w:rPr/>
        <w:t>长，高效率数字化通用电源系列产品成为行业中的精品；在行业整体下滑的情况下，</w:t>
      </w:r>
      <w:r>
        <w:rPr>
          <w:rFonts w:ascii="Times New Roman" w:hAnsi="Times New Roman" w:cs="Times New Roman" w:eastAsia="Times New Roman" w:hint="default"/>
        </w:rPr>
        <w:t>PC</w:t>
      </w:r>
      <w:r>
        <w:rPr>
          <w:rFonts w:ascii="Times New Roman" w:hAnsi="Times New Roman" w:cs="Times New Roman" w:eastAsia="Times New Roman" w:hint="default"/>
          <w:spacing w:val="25"/>
        </w:rPr>
        <w:t> </w:t>
      </w:r>
      <w:r>
        <w:rPr/>
        <w:t>电源实现了逆势</w:t>
      </w:r>
      <w:r>
        <w:rPr>
          <w:spacing w:val="-102"/>
        </w:rPr>
        <w:t> </w:t>
      </w:r>
      <w:r>
        <w:rPr>
          <w:spacing w:val="-102"/>
        </w:rPr>
      </w:r>
      <w:r>
        <w:rPr/>
        <w:t>增长。</w:t>
      </w:r>
    </w:p>
    <w:p>
      <w:pPr>
        <w:pStyle w:val="BodyText"/>
        <w:spacing w:line="381" w:lineRule="auto" w:before="46"/>
        <w:ind w:left="154" w:right="1131" w:firstLine="420"/>
        <w:jc w:val="both"/>
      </w:pPr>
      <w:r>
        <w:rPr>
          <w:spacing w:val="-1"/>
        </w:rPr>
        <w:t>其它业务：公司在满足自身经营需要的基础上，积极盘活房产资源，开发优质客户，提升房产出租效</w:t>
      </w:r>
      <w:r>
        <w:rPr/>
        <w:t> </w:t>
      </w:r>
      <w:r>
        <w:rPr>
          <w:spacing w:val="-1"/>
        </w:rPr>
        <w:t>益；中电长城大厦完成竣工初验，中电软件园区新增湖南省首批军民融合产业示范基地等多个资质，未来</w:t>
      </w:r>
      <w:r>
        <w:rPr>
          <w:spacing w:val="-83"/>
        </w:rPr>
        <w:t> </w:t>
      </w:r>
      <w:r>
        <w:rPr>
          <w:spacing w:val="-83"/>
        </w:rPr>
      </w:r>
      <w:r>
        <w:rPr/>
        <w:t>公司园区与物业业务将得到进一步发展。</w:t>
      </w:r>
    </w:p>
    <w:p>
      <w:pPr>
        <w:spacing w:after="0" w:line="381" w:lineRule="auto"/>
        <w:jc w:val="both"/>
        <w:sectPr>
          <w:pgSz w:w="11910" w:h="16840"/>
          <w:pgMar w:header="787" w:footer="982" w:top="1100" w:bottom="1180" w:left="980" w:right="0"/>
        </w:sectPr>
      </w:pPr>
    </w:p>
    <w:p>
      <w:pPr>
        <w:spacing w:line="240" w:lineRule="auto" w:before="5"/>
        <w:rPr>
          <w:rFonts w:ascii="宋体" w:hAnsi="宋体" w:cs="宋体" w:eastAsia="宋体" w:hint="default"/>
          <w:sz w:val="20"/>
          <w:szCs w:val="20"/>
        </w:rPr>
      </w:pPr>
    </w:p>
    <w:p>
      <w:pPr>
        <w:pStyle w:val="Heading4"/>
        <w:spacing w:line="240" w:lineRule="auto" w:before="26"/>
        <w:ind w:left="214" w:right="0"/>
        <w:jc w:val="left"/>
        <w:rPr>
          <w:b w:val="0"/>
          <w:bCs w:val="0"/>
        </w:rPr>
      </w:pPr>
      <w:r>
        <w:rPr/>
        <w:t>二、主营业务分析</w:t>
      </w:r>
      <w:r>
        <w:rPr>
          <w:b w:val="0"/>
          <w:bCs w:val="0"/>
        </w:rPr>
      </w:r>
    </w:p>
    <w:p>
      <w:pPr>
        <w:spacing w:line="240" w:lineRule="auto" w:before="0"/>
        <w:rPr>
          <w:rFonts w:ascii="宋体" w:hAnsi="宋体" w:cs="宋体" w:eastAsia="宋体" w:hint="default"/>
          <w:b/>
          <w:bCs/>
          <w:sz w:val="20"/>
          <w:szCs w:val="20"/>
        </w:rPr>
      </w:pPr>
    </w:p>
    <w:p>
      <w:pPr>
        <w:pStyle w:val="Heading5"/>
        <w:spacing w:line="240" w:lineRule="auto" w:before="0"/>
        <w:ind w:left="214" w:right="0"/>
        <w:jc w:val="left"/>
        <w:rPr>
          <w:b w:val="0"/>
          <w:bCs w:val="0"/>
        </w:rPr>
      </w:pPr>
      <w:r>
        <w:rPr>
          <w:rFonts w:ascii="Times New Roman" w:hAnsi="Times New Roman" w:cs="Times New Roman" w:eastAsia="Times New Roman" w:hint="default"/>
        </w:rPr>
        <w:t>1</w:t>
      </w:r>
      <w:r>
        <w:rPr/>
        <w:t>、概述</w:t>
      </w:r>
      <w:r>
        <w:rPr>
          <w:b w:val="0"/>
          <w:bCs w:val="0"/>
        </w:rPr>
      </w:r>
    </w:p>
    <w:p>
      <w:pPr>
        <w:spacing w:line="240" w:lineRule="auto" w:before="0"/>
        <w:rPr>
          <w:rFonts w:ascii="宋体" w:hAnsi="宋体" w:cs="宋体" w:eastAsia="宋体" w:hint="default"/>
          <w:b/>
          <w:bCs/>
          <w:sz w:val="22"/>
          <w:szCs w:val="22"/>
        </w:rPr>
      </w:pPr>
    </w:p>
    <w:p>
      <w:pPr>
        <w:spacing w:before="0"/>
        <w:ind w:left="574" w:right="0" w:firstLine="0"/>
        <w:jc w:val="left"/>
        <w:rPr>
          <w:rFonts w:ascii="宋体" w:hAnsi="宋体" w:cs="宋体" w:eastAsia="宋体" w:hint="default"/>
          <w:sz w:val="18"/>
          <w:szCs w:val="18"/>
        </w:rPr>
      </w:pPr>
      <w:r>
        <w:rPr>
          <w:rFonts w:ascii="宋体" w:hAnsi="宋体" w:cs="宋体" w:eastAsia="宋体" w:hint="default"/>
          <w:sz w:val="18"/>
          <w:szCs w:val="18"/>
        </w:rPr>
        <w:t>参见“经营情况讨论与分析”中的“一、概述”相关内容。</w:t>
      </w:r>
    </w:p>
    <w:p>
      <w:pPr>
        <w:spacing w:line="240" w:lineRule="auto" w:before="2"/>
        <w:rPr>
          <w:rFonts w:ascii="宋体" w:hAnsi="宋体" w:cs="宋体" w:eastAsia="宋体" w:hint="default"/>
          <w:sz w:val="22"/>
          <w:szCs w:val="22"/>
        </w:rPr>
      </w:pPr>
    </w:p>
    <w:p>
      <w:pPr>
        <w:pStyle w:val="Heading5"/>
        <w:spacing w:line="240" w:lineRule="auto" w:before="0"/>
        <w:ind w:left="214" w:right="0"/>
        <w:jc w:val="left"/>
        <w:rPr>
          <w:b w:val="0"/>
          <w:bCs w:val="0"/>
        </w:rPr>
      </w:pPr>
      <w:r>
        <w:rPr>
          <w:rFonts w:ascii="Times New Roman" w:hAnsi="Times New Roman" w:cs="Times New Roman" w:eastAsia="Times New Roman" w:hint="default"/>
        </w:rPr>
        <w:t>2</w:t>
      </w:r>
      <w:r>
        <w:rPr/>
        <w:t>、收入与成本</w:t>
      </w:r>
      <w:r>
        <w:rPr>
          <w:b w:val="0"/>
          <w:bCs w:val="0"/>
        </w:rPr>
      </w:r>
    </w:p>
    <w:p>
      <w:pPr>
        <w:spacing w:line="240" w:lineRule="auto" w:before="13"/>
        <w:rPr>
          <w:rFonts w:ascii="宋体" w:hAnsi="宋体" w:cs="宋体" w:eastAsia="宋体" w:hint="default"/>
          <w:b/>
          <w:bCs/>
          <w:sz w:val="19"/>
          <w:szCs w:val="19"/>
        </w:rPr>
      </w:pPr>
    </w:p>
    <w:p>
      <w:pPr>
        <w:pStyle w:val="Heading5"/>
        <w:spacing w:line="240" w:lineRule="auto" w:before="0"/>
        <w:ind w:left="214" w:right="0"/>
        <w:jc w:val="left"/>
        <w:rPr>
          <w:b w:val="0"/>
          <w:bCs w:val="0"/>
        </w:rPr>
      </w:pPr>
      <w:r>
        <w:rPr/>
        <w:t>（</w:t>
      </w:r>
      <w:r>
        <w:rPr>
          <w:rFonts w:ascii="Times New Roman" w:hAnsi="Times New Roman" w:cs="Times New Roman" w:eastAsia="Times New Roman" w:hint="default"/>
        </w:rPr>
        <w:t>1</w:t>
      </w:r>
      <w:r>
        <w:rPr/>
        <w:t>）营业收入构成</w:t>
      </w:r>
      <w:r>
        <w:rPr>
          <w:b w:val="0"/>
          <w:bCs w:val="0"/>
        </w:rPr>
      </w:r>
    </w:p>
    <w:p>
      <w:pPr>
        <w:spacing w:line="240" w:lineRule="auto" w:before="8"/>
        <w:rPr>
          <w:rFonts w:ascii="宋体" w:hAnsi="宋体" w:cs="宋体" w:eastAsia="宋体" w:hint="default"/>
          <w:b/>
          <w:bCs/>
          <w:sz w:val="18"/>
          <w:szCs w:val="18"/>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00" w:type="dxa"/>
        <w:tblLayout w:type="fixed"/>
        <w:tblCellMar>
          <w:top w:w="0" w:type="dxa"/>
          <w:left w:w="0" w:type="dxa"/>
          <w:bottom w:w="0" w:type="dxa"/>
          <w:right w:w="0" w:type="dxa"/>
        </w:tblCellMar>
        <w:tblLook w:val="01E0"/>
      </w:tblPr>
      <w:tblGrid>
        <w:gridCol w:w="2326"/>
        <w:gridCol w:w="1680"/>
        <w:gridCol w:w="1500"/>
        <w:gridCol w:w="1560"/>
        <w:gridCol w:w="1530"/>
        <w:gridCol w:w="1260"/>
      </w:tblGrid>
      <w:tr>
        <w:trPr>
          <w:trHeight w:val="402" w:hRule="exact"/>
        </w:trPr>
        <w:tc>
          <w:tcPr>
            <w:tcW w:w="2326" w:type="dxa"/>
            <w:vMerge w:val="restart"/>
            <w:tcBorders>
              <w:top w:val="single" w:sz="4" w:space="0" w:color="000000"/>
              <w:left w:val="single" w:sz="4" w:space="0" w:color="000000"/>
              <w:right w:val="single" w:sz="4" w:space="0" w:color="000000"/>
            </w:tcBorders>
            <w:shd w:val="clear" w:color="auto" w:fill="D3D3D3"/>
          </w:tcPr>
          <w:p>
            <w:pPr/>
          </w:p>
        </w:tc>
        <w:tc>
          <w:tcPr>
            <w:tcW w:w="3180"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090"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260"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263"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1" w:hRule="exact"/>
        </w:trPr>
        <w:tc>
          <w:tcPr>
            <w:tcW w:w="2326" w:type="dxa"/>
            <w:vMerge/>
            <w:tcBorders>
              <w:left w:val="single" w:sz="4" w:space="0" w:color="000000"/>
              <w:bottom w:val="single" w:sz="4" w:space="0" w:color="000000"/>
              <w:right w:val="single" w:sz="4" w:space="0" w:color="000000"/>
            </w:tcBorders>
            <w:shd w:val="clear" w:color="auto" w:fill="D3D3D3"/>
          </w:tcPr>
          <w:p>
            <w:pPr/>
          </w:p>
        </w:tc>
        <w:tc>
          <w:tcPr>
            <w:tcW w:w="16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0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占营业收入比重</w:t>
            </w:r>
          </w:p>
        </w:tc>
        <w:tc>
          <w:tcPr>
            <w:tcW w:w="15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3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占营业收入比重</w:t>
            </w:r>
          </w:p>
        </w:tc>
        <w:tc>
          <w:tcPr>
            <w:tcW w:w="1260" w:type="dxa"/>
            <w:vMerge/>
            <w:tcBorders>
              <w:left w:val="single" w:sz="4" w:space="0" w:color="000000"/>
              <w:bottom w:val="single" w:sz="4" w:space="0" w:color="000000"/>
              <w:right w:val="single" w:sz="4" w:space="0" w:color="000000"/>
            </w:tcBorders>
            <w:shd w:val="clear" w:color="auto" w:fill="D3D3D3"/>
          </w:tcPr>
          <w:p>
            <w:pPr/>
          </w:p>
        </w:tc>
      </w:tr>
      <w:tr>
        <w:trPr>
          <w:trHeight w:val="403" w:hRule="exact"/>
        </w:trPr>
        <w:tc>
          <w:tcPr>
            <w:tcW w:w="232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营业收入合计</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10,009,483,496.74</w:t>
            </w:r>
          </w:p>
        </w:tc>
        <w:tc>
          <w:tcPr>
            <w:tcW w:w="150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100%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9,506,838,836.12</w:t>
            </w:r>
          </w:p>
        </w:tc>
        <w:tc>
          <w:tcPr>
            <w:tcW w:w="153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100%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5.29%</w:t>
            </w:r>
          </w:p>
        </w:tc>
      </w:tr>
      <w:tr>
        <w:trPr>
          <w:trHeight w:val="401" w:hRule="exact"/>
        </w:trPr>
        <w:tc>
          <w:tcPr>
            <w:tcW w:w="9856" w:type="dxa"/>
            <w:gridSpan w:val="6"/>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402" w:hRule="exact"/>
        </w:trPr>
        <w:tc>
          <w:tcPr>
            <w:tcW w:w="2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高新电子</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4,001,045,290.39</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39.97%</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3,681,481,898.70</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38.72%</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8.68%</w:t>
            </w:r>
          </w:p>
        </w:tc>
      </w:tr>
      <w:tr>
        <w:trPr>
          <w:trHeight w:val="402" w:hRule="exact"/>
        </w:trPr>
        <w:tc>
          <w:tcPr>
            <w:tcW w:w="2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信息安全整机及解决方案</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1,928,213,047.01</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19.26%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1,992,468,390.78</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20.96%</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-3.22%</w:t>
            </w:r>
          </w:p>
        </w:tc>
      </w:tr>
      <w:tr>
        <w:trPr>
          <w:trHeight w:val="402" w:hRule="exact"/>
        </w:trPr>
        <w:tc>
          <w:tcPr>
            <w:tcW w:w="2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电源产品</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3,046,133,377.08</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30.43%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2,717,910,026.09</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28.59%</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12.08%</w:t>
            </w:r>
          </w:p>
        </w:tc>
      </w:tr>
      <w:tr>
        <w:trPr>
          <w:trHeight w:val="402" w:hRule="exact"/>
        </w:trPr>
        <w:tc>
          <w:tcPr>
            <w:tcW w:w="2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园区及物业服务</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78,390,526.85</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0.78%</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84,737,623.01</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0.89%</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-7.49%</w:t>
            </w:r>
          </w:p>
        </w:tc>
      </w:tr>
      <w:tr>
        <w:trPr>
          <w:trHeight w:val="402" w:hRule="exact"/>
        </w:trPr>
        <w:tc>
          <w:tcPr>
            <w:tcW w:w="2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其他行业</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53,943,882.51</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0.54%</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52,364,664.51</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0.55%</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3.02%</w:t>
            </w:r>
          </w:p>
        </w:tc>
      </w:tr>
      <w:tr>
        <w:trPr>
          <w:trHeight w:val="403" w:hRule="exact"/>
        </w:trPr>
        <w:tc>
          <w:tcPr>
            <w:tcW w:w="2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901,757,372.90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9.01%</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977,876,233.03</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10.29%</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-7.78%</w:t>
            </w:r>
          </w:p>
        </w:tc>
      </w:tr>
      <w:tr>
        <w:trPr>
          <w:trHeight w:val="401" w:hRule="exact"/>
        </w:trPr>
        <w:tc>
          <w:tcPr>
            <w:tcW w:w="9856" w:type="dxa"/>
            <w:gridSpan w:val="6"/>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402" w:hRule="exact"/>
        </w:trPr>
        <w:tc>
          <w:tcPr>
            <w:tcW w:w="2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高新电子</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4,001,045,290.39</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39.97%</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3,681,481,898.70</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38.72%</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8.68%</w:t>
            </w:r>
          </w:p>
        </w:tc>
      </w:tr>
      <w:tr>
        <w:trPr>
          <w:trHeight w:val="402" w:hRule="exact"/>
        </w:trPr>
        <w:tc>
          <w:tcPr>
            <w:tcW w:w="2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信息安全整机及解决方案</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1,928,213,047.01</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19.26%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1,992,468,390.78</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20.96%</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-3.22%</w:t>
            </w:r>
          </w:p>
        </w:tc>
      </w:tr>
      <w:tr>
        <w:trPr>
          <w:trHeight w:val="402" w:hRule="exact"/>
        </w:trPr>
        <w:tc>
          <w:tcPr>
            <w:tcW w:w="2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电源产品</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3,046,133,377.08</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30.43%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2,717,910,026.09</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28.59%</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12.08%</w:t>
            </w:r>
          </w:p>
        </w:tc>
      </w:tr>
      <w:tr>
        <w:trPr>
          <w:trHeight w:val="402" w:hRule="exact"/>
        </w:trPr>
        <w:tc>
          <w:tcPr>
            <w:tcW w:w="2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园区及物业服务</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78,390,526.85</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0.78%</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84,737,623.01</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0.89%</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-7.49%</w:t>
            </w:r>
          </w:p>
        </w:tc>
      </w:tr>
      <w:tr>
        <w:trPr>
          <w:trHeight w:val="402" w:hRule="exact"/>
        </w:trPr>
        <w:tc>
          <w:tcPr>
            <w:tcW w:w="2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其他产品</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53,943,882.51</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0.54%</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52,364,664.51</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0.55%</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3.02%</w:t>
            </w:r>
          </w:p>
        </w:tc>
      </w:tr>
      <w:tr>
        <w:trPr>
          <w:trHeight w:val="403" w:hRule="exact"/>
        </w:trPr>
        <w:tc>
          <w:tcPr>
            <w:tcW w:w="2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901,757,372.90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9.01%</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977,876,233.03</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10.29%</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-7.78%</w:t>
            </w:r>
          </w:p>
        </w:tc>
      </w:tr>
      <w:tr>
        <w:trPr>
          <w:trHeight w:val="401" w:hRule="exact"/>
        </w:trPr>
        <w:tc>
          <w:tcPr>
            <w:tcW w:w="9856" w:type="dxa"/>
            <w:gridSpan w:val="6"/>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2" w:hRule="exact"/>
        </w:trPr>
        <w:tc>
          <w:tcPr>
            <w:tcW w:w="2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国内</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7,499,376,912.03</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74.92%</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6,584,866,034.93</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69.26%</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13.89%</w:t>
            </w:r>
          </w:p>
        </w:tc>
      </w:tr>
      <w:tr>
        <w:trPr>
          <w:trHeight w:val="402" w:hRule="exact"/>
        </w:trPr>
        <w:tc>
          <w:tcPr>
            <w:tcW w:w="2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北美</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511,153,417.09</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5.11%</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721,606,509.77</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7.59%</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-29.16%</w:t>
            </w:r>
          </w:p>
        </w:tc>
      </w:tr>
      <w:tr>
        <w:trPr>
          <w:trHeight w:val="402" w:hRule="exact"/>
        </w:trPr>
        <w:tc>
          <w:tcPr>
            <w:tcW w:w="2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欧洲</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439,926,177.70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4.40%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417,247,235.36</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4.39%</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5.44%</w:t>
            </w:r>
          </w:p>
        </w:tc>
      </w:tr>
      <w:tr>
        <w:trPr>
          <w:trHeight w:val="402" w:hRule="exact"/>
        </w:trPr>
        <w:tc>
          <w:tcPr>
            <w:tcW w:w="2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非洲</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89,533,917.04</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0.89%</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51,784,518.10</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0.54%</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72.90%</w:t>
            </w:r>
          </w:p>
        </w:tc>
      </w:tr>
      <w:tr>
        <w:trPr>
          <w:trHeight w:val="402" w:hRule="exact"/>
        </w:trPr>
        <w:tc>
          <w:tcPr>
            <w:tcW w:w="2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澳洲</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7,867,580.31</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0.08%</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2,191,926.47</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0.02%</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258.93%</w:t>
            </w:r>
          </w:p>
        </w:tc>
      </w:tr>
      <w:tr>
        <w:trPr>
          <w:trHeight w:val="402" w:hRule="exact"/>
        </w:trPr>
        <w:tc>
          <w:tcPr>
            <w:tcW w:w="2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南美</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4,477,373.70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0.04%</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309,487.02</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0.00%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1,346.71%</w:t>
            </w:r>
          </w:p>
        </w:tc>
      </w:tr>
      <w:tr>
        <w:trPr>
          <w:trHeight w:val="402" w:hRule="exact"/>
        </w:trPr>
        <w:tc>
          <w:tcPr>
            <w:tcW w:w="2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日本及其他地区</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555,390,745.97</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5.55%</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750,956,891.44</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7.90%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-26.04%</w:t>
            </w:r>
          </w:p>
        </w:tc>
      </w:tr>
      <w:tr>
        <w:trPr>
          <w:trHeight w:val="403" w:hRule="exact"/>
        </w:trPr>
        <w:tc>
          <w:tcPr>
            <w:tcW w:w="2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901,757,372.90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9.01%</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977,876,233.03</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10.29%</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-7.78%</w:t>
            </w:r>
          </w:p>
        </w:tc>
      </w:tr>
    </w:tbl>
    <w:p>
      <w:pPr>
        <w:spacing w:after="0" w:line="240" w:lineRule="auto"/>
        <w:jc w:val="center"/>
        <w:rPr>
          <w:rFonts w:ascii="Times New Roman" w:hAnsi="Times New Roman" w:cs="Times New Roman" w:eastAsia="Times New Roman" w:hint="default"/>
          <w:sz w:val="18"/>
          <w:szCs w:val="18"/>
        </w:rPr>
        <w:sectPr>
          <w:pgSz w:w="11910" w:h="16840"/>
          <w:pgMar w:header="787" w:footer="982" w:top="1100" w:bottom="1180" w:left="920" w:right="0"/>
        </w:sectPr>
      </w:pPr>
    </w:p>
    <w:p>
      <w:pPr>
        <w:spacing w:line="240" w:lineRule="auto" w:before="7"/>
        <w:rPr>
          <w:rFonts w:ascii="宋体" w:hAnsi="宋体" w:cs="宋体" w:eastAsia="宋体" w:hint="default"/>
          <w:sz w:val="21"/>
          <w:szCs w:val="21"/>
        </w:rPr>
      </w:pPr>
    </w:p>
    <w:p>
      <w:pPr>
        <w:pStyle w:val="Heading5"/>
        <w:spacing w:line="240" w:lineRule="auto"/>
        <w:ind w:left="354" w:right="0"/>
        <w:jc w:val="left"/>
        <w:rPr>
          <w:b w:val="0"/>
          <w:bCs w:val="0"/>
        </w:rPr>
      </w:pPr>
      <w:r>
        <w:rPr/>
        <w:t>（</w:t>
      </w:r>
      <w:r>
        <w:rPr>
          <w:rFonts w:ascii="Times New Roman" w:hAnsi="Times New Roman" w:cs="Times New Roman" w:eastAsia="Times New Roman" w:hint="default"/>
        </w:rPr>
        <w:t>2</w:t>
      </w:r>
      <w:r>
        <w:rPr/>
        <w:t>）占公司营业收入或营业利润</w:t>
      </w:r>
      <w:r>
        <w:rPr>
          <w:spacing w:val="-59"/>
        </w:rPr>
        <w:t> </w:t>
      </w:r>
      <w:r>
        <w:rPr>
          <w:rFonts w:ascii="Times New Roman" w:hAnsi="Times New Roman" w:cs="Times New Roman" w:eastAsia="Times New Roman" w:hint="default"/>
        </w:rPr>
        <w:t>10%</w:t>
      </w:r>
      <w:r>
        <w:rPr/>
        <w:t>以上的行业、产品或地区情况</w:t>
      </w:r>
      <w:r>
        <w:rPr>
          <w:b w:val="0"/>
          <w:bCs w:val="0"/>
        </w:rPr>
      </w:r>
    </w:p>
    <w:p>
      <w:pPr>
        <w:spacing w:line="240" w:lineRule="auto" w:before="5"/>
        <w:rPr>
          <w:rFonts w:ascii="宋体" w:hAnsi="宋体" w:cs="宋体" w:eastAsia="宋体" w:hint="default"/>
          <w:b/>
          <w:bCs/>
          <w:sz w:val="9"/>
          <w:szCs w:val="9"/>
        </w:rPr>
      </w:pPr>
    </w:p>
    <w:p>
      <w:pPr>
        <w:spacing w:before="44"/>
        <w:ind w:left="35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before="97"/>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7"/>
        <w:rPr>
          <w:rFonts w:ascii="宋体" w:hAnsi="宋体" w:cs="宋体" w:eastAsia="宋体" w:hint="default"/>
          <w:sz w:val="6"/>
          <w:szCs w:val="6"/>
        </w:rPr>
      </w:pPr>
    </w:p>
    <w:tbl>
      <w:tblPr>
        <w:tblW w:w="0" w:type="auto"/>
        <w:jc w:val="left"/>
        <w:tblInd w:w="108" w:type="dxa"/>
        <w:tblLayout w:type="fixed"/>
        <w:tblCellMar>
          <w:top w:w="0" w:type="dxa"/>
          <w:left w:w="0" w:type="dxa"/>
          <w:bottom w:w="0" w:type="dxa"/>
          <w:right w:w="0" w:type="dxa"/>
        </w:tblCellMar>
        <w:tblLook w:val="01E0"/>
      </w:tblPr>
      <w:tblGrid>
        <w:gridCol w:w="2250"/>
        <w:gridCol w:w="1500"/>
        <w:gridCol w:w="1500"/>
        <w:gridCol w:w="810"/>
        <w:gridCol w:w="1456"/>
        <w:gridCol w:w="1350"/>
        <w:gridCol w:w="1424"/>
      </w:tblGrid>
      <w:tr>
        <w:trPr>
          <w:trHeight w:val="714" w:hRule="exact"/>
        </w:trPr>
        <w:tc>
          <w:tcPr>
            <w:tcW w:w="2250"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50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83"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50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84"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81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29" w:right="0"/>
              <w:jc w:val="left"/>
              <w:rPr>
                <w:rFonts w:ascii="宋体" w:hAnsi="宋体" w:cs="宋体" w:eastAsia="宋体" w:hint="default"/>
                <w:sz w:val="18"/>
                <w:szCs w:val="18"/>
              </w:rPr>
            </w:pPr>
            <w:r>
              <w:rPr>
                <w:rFonts w:ascii="宋体" w:hAnsi="宋体" w:cs="宋体" w:eastAsia="宋体" w:hint="default"/>
                <w:sz w:val="18"/>
                <w:szCs w:val="18"/>
              </w:rPr>
              <w:t>毛利率</w:t>
            </w:r>
          </w:p>
        </w:tc>
        <w:tc>
          <w:tcPr>
            <w:tcW w:w="145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2"/>
              <w:ind w:left="362" w:right="91" w:hanging="270"/>
              <w:jc w:val="left"/>
              <w:rPr>
                <w:rFonts w:ascii="宋体" w:hAnsi="宋体" w:cs="宋体" w:eastAsia="宋体" w:hint="default"/>
                <w:sz w:val="18"/>
                <w:szCs w:val="18"/>
              </w:rPr>
            </w:pPr>
            <w:r>
              <w:rPr>
                <w:rFonts w:ascii="宋体" w:hAnsi="宋体" w:cs="宋体" w:eastAsia="宋体" w:hint="default"/>
                <w:sz w:val="18"/>
                <w:szCs w:val="18"/>
              </w:rPr>
              <w:t>营业收入比上年 同期增减</w:t>
            </w:r>
          </w:p>
        </w:tc>
        <w:tc>
          <w:tcPr>
            <w:tcW w:w="135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2"/>
              <w:ind w:left="309" w:right="38" w:hanging="270"/>
              <w:jc w:val="left"/>
              <w:rPr>
                <w:rFonts w:ascii="宋体" w:hAnsi="宋体" w:cs="宋体" w:eastAsia="宋体" w:hint="default"/>
                <w:sz w:val="18"/>
                <w:szCs w:val="18"/>
              </w:rPr>
            </w:pPr>
            <w:r>
              <w:rPr>
                <w:rFonts w:ascii="宋体" w:hAnsi="宋体" w:cs="宋体" w:eastAsia="宋体" w:hint="default"/>
                <w:sz w:val="18"/>
                <w:szCs w:val="18"/>
              </w:rPr>
              <w:t>营业成本比上年 同期增减</w:t>
            </w:r>
          </w:p>
        </w:tc>
        <w:tc>
          <w:tcPr>
            <w:tcW w:w="142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2"/>
              <w:ind w:left="436" w:right="76" w:hanging="360"/>
              <w:jc w:val="left"/>
              <w:rPr>
                <w:rFonts w:ascii="宋体" w:hAnsi="宋体" w:cs="宋体" w:eastAsia="宋体" w:hint="default"/>
                <w:sz w:val="18"/>
                <w:szCs w:val="18"/>
              </w:rPr>
            </w:pPr>
            <w:r>
              <w:rPr>
                <w:rFonts w:ascii="宋体" w:hAnsi="宋体" w:cs="宋体" w:eastAsia="宋体" w:hint="default"/>
                <w:sz w:val="18"/>
                <w:szCs w:val="18"/>
              </w:rPr>
              <w:t>毛利率比上年同 期增减</w:t>
            </w:r>
          </w:p>
        </w:tc>
      </w:tr>
      <w:tr>
        <w:trPr>
          <w:trHeight w:val="401" w:hRule="exact"/>
        </w:trPr>
        <w:tc>
          <w:tcPr>
            <w:tcW w:w="10290" w:type="dxa"/>
            <w:gridSpan w:val="7"/>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402" w:hRule="exact"/>
        </w:trPr>
        <w:tc>
          <w:tcPr>
            <w:tcW w:w="2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高新电子</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4,001,045,290.39</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2,960,735,601.93</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22" w:right="0"/>
              <w:jc w:val="left"/>
              <w:rPr>
                <w:rFonts w:ascii="Times New Roman" w:hAnsi="Times New Roman" w:cs="Times New Roman" w:eastAsia="Times New Roman" w:hint="default"/>
                <w:sz w:val="18"/>
                <w:szCs w:val="18"/>
              </w:rPr>
            </w:pPr>
            <w:r>
              <w:rPr>
                <w:rFonts w:ascii="Times New Roman"/>
                <w:sz w:val="18"/>
              </w:rPr>
              <w:t>26.00%</w:t>
            </w:r>
          </w:p>
        </w:tc>
        <w:tc>
          <w:tcPr>
            <w:tcW w:w="14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8.68%</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7.05%</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75" w:right="0"/>
              <w:jc w:val="left"/>
              <w:rPr>
                <w:rFonts w:ascii="Times New Roman" w:hAnsi="Times New Roman" w:cs="Times New Roman" w:eastAsia="Times New Roman" w:hint="default"/>
                <w:sz w:val="18"/>
                <w:szCs w:val="18"/>
              </w:rPr>
            </w:pPr>
            <w:r>
              <w:rPr>
                <w:rFonts w:ascii="Times New Roman"/>
                <w:sz w:val="18"/>
              </w:rPr>
              <w:t>1.13%</w:t>
            </w:r>
          </w:p>
        </w:tc>
      </w:tr>
      <w:tr>
        <w:trPr>
          <w:trHeight w:val="402" w:hRule="exact"/>
        </w:trPr>
        <w:tc>
          <w:tcPr>
            <w:tcW w:w="2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信息安全整机及解决方案</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1,928,213,047.01</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1,508,306,942.75</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22" w:right="0"/>
              <w:jc w:val="left"/>
              <w:rPr>
                <w:rFonts w:ascii="Times New Roman" w:hAnsi="Times New Roman" w:cs="Times New Roman" w:eastAsia="Times New Roman" w:hint="default"/>
                <w:sz w:val="18"/>
                <w:szCs w:val="18"/>
              </w:rPr>
            </w:pPr>
            <w:r>
              <w:rPr>
                <w:rFonts w:ascii="Times New Roman"/>
                <w:sz w:val="18"/>
              </w:rPr>
              <w:t>21.78%</w:t>
            </w:r>
          </w:p>
        </w:tc>
        <w:tc>
          <w:tcPr>
            <w:tcW w:w="14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59" w:right="0"/>
              <w:jc w:val="left"/>
              <w:rPr>
                <w:rFonts w:ascii="Times New Roman" w:hAnsi="Times New Roman" w:cs="Times New Roman" w:eastAsia="Times New Roman" w:hint="default"/>
                <w:sz w:val="18"/>
                <w:szCs w:val="18"/>
              </w:rPr>
            </w:pPr>
            <w:r>
              <w:rPr>
                <w:rFonts w:ascii="Times New Roman"/>
                <w:sz w:val="18"/>
              </w:rPr>
              <w:t>-3.22%</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-4.59%</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75" w:right="0"/>
              <w:jc w:val="left"/>
              <w:rPr>
                <w:rFonts w:ascii="Times New Roman" w:hAnsi="Times New Roman" w:cs="Times New Roman" w:eastAsia="Times New Roman" w:hint="default"/>
                <w:sz w:val="18"/>
                <w:szCs w:val="18"/>
              </w:rPr>
            </w:pPr>
            <w:r>
              <w:rPr>
                <w:rFonts w:ascii="Times New Roman"/>
                <w:sz w:val="18"/>
              </w:rPr>
              <w:t>1.12%</w:t>
            </w:r>
          </w:p>
        </w:tc>
      </w:tr>
      <w:tr>
        <w:trPr>
          <w:trHeight w:val="402" w:hRule="exact"/>
        </w:trPr>
        <w:tc>
          <w:tcPr>
            <w:tcW w:w="2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电源产品</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3,046,133,377.08</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2,586,827,812.30</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22" w:right="0"/>
              <w:jc w:val="left"/>
              <w:rPr>
                <w:rFonts w:ascii="Times New Roman" w:hAnsi="Times New Roman" w:cs="Times New Roman" w:eastAsia="Times New Roman" w:hint="default"/>
                <w:sz w:val="18"/>
                <w:szCs w:val="18"/>
              </w:rPr>
            </w:pPr>
            <w:r>
              <w:rPr>
                <w:rFonts w:ascii="Times New Roman"/>
                <w:sz w:val="18"/>
              </w:rPr>
              <w:t>15.08%</w:t>
            </w:r>
          </w:p>
        </w:tc>
        <w:tc>
          <w:tcPr>
            <w:tcW w:w="14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45" w:right="0"/>
              <w:jc w:val="left"/>
              <w:rPr>
                <w:rFonts w:ascii="Times New Roman" w:hAnsi="Times New Roman" w:cs="Times New Roman" w:eastAsia="Times New Roman" w:hint="default"/>
                <w:sz w:val="18"/>
                <w:szCs w:val="18"/>
              </w:rPr>
            </w:pPr>
            <w:r>
              <w:rPr>
                <w:rFonts w:ascii="Times New Roman"/>
                <w:sz w:val="18"/>
              </w:rPr>
              <w:t>12.08%</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16.26%</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45" w:right="0"/>
              <w:jc w:val="left"/>
              <w:rPr>
                <w:rFonts w:ascii="Times New Roman" w:hAnsi="Times New Roman" w:cs="Times New Roman" w:eastAsia="Times New Roman" w:hint="default"/>
                <w:sz w:val="18"/>
                <w:szCs w:val="18"/>
              </w:rPr>
            </w:pPr>
            <w:r>
              <w:rPr>
                <w:rFonts w:ascii="Times New Roman"/>
                <w:sz w:val="18"/>
              </w:rPr>
              <w:t>-3.06%</w:t>
            </w:r>
          </w:p>
        </w:tc>
      </w:tr>
      <w:tr>
        <w:trPr>
          <w:trHeight w:val="402" w:hRule="exact"/>
        </w:trPr>
        <w:tc>
          <w:tcPr>
            <w:tcW w:w="2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园区及物业服务</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78,390,526.85</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34,701,136.64</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22" w:right="0"/>
              <w:jc w:val="left"/>
              <w:rPr>
                <w:rFonts w:ascii="Times New Roman" w:hAnsi="Times New Roman" w:cs="Times New Roman" w:eastAsia="Times New Roman" w:hint="default"/>
                <w:sz w:val="18"/>
                <w:szCs w:val="18"/>
              </w:rPr>
            </w:pPr>
            <w:r>
              <w:rPr>
                <w:rFonts w:ascii="Times New Roman"/>
                <w:sz w:val="18"/>
              </w:rPr>
              <w:t>55.73%</w:t>
            </w:r>
          </w:p>
        </w:tc>
        <w:tc>
          <w:tcPr>
            <w:tcW w:w="14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59" w:right="0"/>
              <w:jc w:val="left"/>
              <w:rPr>
                <w:rFonts w:ascii="Times New Roman" w:hAnsi="Times New Roman" w:cs="Times New Roman" w:eastAsia="Times New Roman" w:hint="default"/>
                <w:sz w:val="18"/>
                <w:szCs w:val="18"/>
              </w:rPr>
            </w:pPr>
            <w:r>
              <w:rPr>
                <w:rFonts w:ascii="Times New Roman"/>
                <w:sz w:val="18"/>
              </w:rPr>
              <w:t>-7.49%</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-18.65%</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75" w:right="0"/>
              <w:jc w:val="left"/>
              <w:rPr>
                <w:rFonts w:ascii="Times New Roman" w:hAnsi="Times New Roman" w:cs="Times New Roman" w:eastAsia="Times New Roman" w:hint="default"/>
                <w:sz w:val="18"/>
                <w:szCs w:val="18"/>
              </w:rPr>
            </w:pPr>
            <w:r>
              <w:rPr>
                <w:rFonts w:ascii="Times New Roman"/>
                <w:sz w:val="18"/>
              </w:rPr>
              <w:t>6.07%</w:t>
            </w:r>
          </w:p>
        </w:tc>
      </w:tr>
      <w:tr>
        <w:trPr>
          <w:trHeight w:val="403" w:hRule="exact"/>
        </w:trPr>
        <w:tc>
          <w:tcPr>
            <w:tcW w:w="2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其他行业</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53,943,882.51</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33,266,889.81</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22" w:right="0"/>
              <w:jc w:val="left"/>
              <w:rPr>
                <w:rFonts w:ascii="Times New Roman" w:hAnsi="Times New Roman" w:cs="Times New Roman" w:eastAsia="Times New Roman" w:hint="default"/>
                <w:sz w:val="18"/>
                <w:szCs w:val="18"/>
              </w:rPr>
            </w:pPr>
            <w:r>
              <w:rPr>
                <w:rFonts w:ascii="Times New Roman"/>
                <w:sz w:val="18"/>
              </w:rPr>
              <w:t>38.33%</w:t>
            </w:r>
          </w:p>
        </w:tc>
        <w:tc>
          <w:tcPr>
            <w:tcW w:w="14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3.02%</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-21.37%</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29" w:right="0"/>
              <w:jc w:val="left"/>
              <w:rPr>
                <w:rFonts w:ascii="Times New Roman" w:hAnsi="Times New Roman" w:cs="Times New Roman" w:eastAsia="Times New Roman" w:hint="default"/>
                <w:sz w:val="18"/>
                <w:szCs w:val="18"/>
              </w:rPr>
            </w:pPr>
            <w:r>
              <w:rPr>
                <w:rFonts w:ascii="Times New Roman"/>
                <w:sz w:val="18"/>
              </w:rPr>
              <w:t>19.12%</w:t>
            </w:r>
          </w:p>
        </w:tc>
      </w:tr>
      <w:tr>
        <w:trPr>
          <w:trHeight w:val="401" w:hRule="exact"/>
        </w:trPr>
        <w:tc>
          <w:tcPr>
            <w:tcW w:w="10290" w:type="dxa"/>
            <w:gridSpan w:val="7"/>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402" w:hRule="exact"/>
        </w:trPr>
        <w:tc>
          <w:tcPr>
            <w:tcW w:w="2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高新电子</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4,001,045,290.39</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2,960,735,601.93</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22" w:right="0"/>
              <w:jc w:val="left"/>
              <w:rPr>
                <w:rFonts w:ascii="Times New Roman" w:hAnsi="Times New Roman" w:cs="Times New Roman" w:eastAsia="Times New Roman" w:hint="default"/>
                <w:sz w:val="18"/>
                <w:szCs w:val="18"/>
              </w:rPr>
            </w:pPr>
            <w:r>
              <w:rPr>
                <w:rFonts w:ascii="Times New Roman"/>
                <w:sz w:val="18"/>
              </w:rPr>
              <w:t>26.00%</w:t>
            </w:r>
          </w:p>
        </w:tc>
        <w:tc>
          <w:tcPr>
            <w:tcW w:w="14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8.68%</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7.05%</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75" w:right="0"/>
              <w:jc w:val="left"/>
              <w:rPr>
                <w:rFonts w:ascii="Times New Roman" w:hAnsi="Times New Roman" w:cs="Times New Roman" w:eastAsia="Times New Roman" w:hint="default"/>
                <w:sz w:val="18"/>
                <w:szCs w:val="18"/>
              </w:rPr>
            </w:pPr>
            <w:r>
              <w:rPr>
                <w:rFonts w:ascii="Times New Roman"/>
                <w:sz w:val="18"/>
              </w:rPr>
              <w:t>1.13%</w:t>
            </w:r>
          </w:p>
        </w:tc>
      </w:tr>
      <w:tr>
        <w:trPr>
          <w:trHeight w:val="402" w:hRule="exact"/>
        </w:trPr>
        <w:tc>
          <w:tcPr>
            <w:tcW w:w="2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信息安全整机及解决方案</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1,928,213,047.01</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1,508,306,942.75</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22" w:right="0"/>
              <w:jc w:val="left"/>
              <w:rPr>
                <w:rFonts w:ascii="Times New Roman" w:hAnsi="Times New Roman" w:cs="Times New Roman" w:eastAsia="Times New Roman" w:hint="default"/>
                <w:sz w:val="18"/>
                <w:szCs w:val="18"/>
              </w:rPr>
            </w:pPr>
            <w:r>
              <w:rPr>
                <w:rFonts w:ascii="Times New Roman"/>
                <w:sz w:val="18"/>
              </w:rPr>
              <w:t>21.78%</w:t>
            </w:r>
          </w:p>
        </w:tc>
        <w:tc>
          <w:tcPr>
            <w:tcW w:w="14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59" w:right="0"/>
              <w:jc w:val="left"/>
              <w:rPr>
                <w:rFonts w:ascii="Times New Roman" w:hAnsi="Times New Roman" w:cs="Times New Roman" w:eastAsia="Times New Roman" w:hint="default"/>
                <w:sz w:val="18"/>
                <w:szCs w:val="18"/>
              </w:rPr>
            </w:pPr>
            <w:r>
              <w:rPr>
                <w:rFonts w:ascii="Times New Roman"/>
                <w:sz w:val="18"/>
              </w:rPr>
              <w:t>-3.22%</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-4.59%</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75" w:right="0"/>
              <w:jc w:val="left"/>
              <w:rPr>
                <w:rFonts w:ascii="Times New Roman" w:hAnsi="Times New Roman" w:cs="Times New Roman" w:eastAsia="Times New Roman" w:hint="default"/>
                <w:sz w:val="18"/>
                <w:szCs w:val="18"/>
              </w:rPr>
            </w:pPr>
            <w:r>
              <w:rPr>
                <w:rFonts w:ascii="Times New Roman"/>
                <w:sz w:val="18"/>
              </w:rPr>
              <w:t>1.12%</w:t>
            </w:r>
          </w:p>
        </w:tc>
      </w:tr>
      <w:tr>
        <w:trPr>
          <w:trHeight w:val="402" w:hRule="exact"/>
        </w:trPr>
        <w:tc>
          <w:tcPr>
            <w:tcW w:w="2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电源产品</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3,046,133,377.08</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2,586,827,812.30</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22" w:right="0"/>
              <w:jc w:val="left"/>
              <w:rPr>
                <w:rFonts w:ascii="Times New Roman" w:hAnsi="Times New Roman" w:cs="Times New Roman" w:eastAsia="Times New Roman" w:hint="default"/>
                <w:sz w:val="18"/>
                <w:szCs w:val="18"/>
              </w:rPr>
            </w:pPr>
            <w:r>
              <w:rPr>
                <w:rFonts w:ascii="Times New Roman"/>
                <w:sz w:val="18"/>
              </w:rPr>
              <w:t>15.08%</w:t>
            </w:r>
          </w:p>
        </w:tc>
        <w:tc>
          <w:tcPr>
            <w:tcW w:w="14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45" w:right="0"/>
              <w:jc w:val="left"/>
              <w:rPr>
                <w:rFonts w:ascii="Times New Roman" w:hAnsi="Times New Roman" w:cs="Times New Roman" w:eastAsia="Times New Roman" w:hint="default"/>
                <w:sz w:val="18"/>
                <w:szCs w:val="18"/>
              </w:rPr>
            </w:pPr>
            <w:r>
              <w:rPr>
                <w:rFonts w:ascii="Times New Roman"/>
                <w:sz w:val="18"/>
              </w:rPr>
              <w:t>12.08%</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16.26%</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45" w:right="0"/>
              <w:jc w:val="left"/>
              <w:rPr>
                <w:rFonts w:ascii="Times New Roman" w:hAnsi="Times New Roman" w:cs="Times New Roman" w:eastAsia="Times New Roman" w:hint="default"/>
                <w:sz w:val="18"/>
                <w:szCs w:val="18"/>
              </w:rPr>
            </w:pPr>
            <w:r>
              <w:rPr>
                <w:rFonts w:ascii="Times New Roman"/>
                <w:sz w:val="18"/>
              </w:rPr>
              <w:t>-3.06%</w:t>
            </w:r>
          </w:p>
        </w:tc>
      </w:tr>
      <w:tr>
        <w:trPr>
          <w:trHeight w:val="402" w:hRule="exact"/>
        </w:trPr>
        <w:tc>
          <w:tcPr>
            <w:tcW w:w="2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园区及物业服务</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78,390,526.85</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34,701,136.64</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22" w:right="0"/>
              <w:jc w:val="left"/>
              <w:rPr>
                <w:rFonts w:ascii="Times New Roman" w:hAnsi="Times New Roman" w:cs="Times New Roman" w:eastAsia="Times New Roman" w:hint="default"/>
                <w:sz w:val="18"/>
                <w:szCs w:val="18"/>
              </w:rPr>
            </w:pPr>
            <w:r>
              <w:rPr>
                <w:rFonts w:ascii="Times New Roman"/>
                <w:sz w:val="18"/>
              </w:rPr>
              <w:t>55.73%</w:t>
            </w:r>
          </w:p>
        </w:tc>
        <w:tc>
          <w:tcPr>
            <w:tcW w:w="14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59" w:right="0"/>
              <w:jc w:val="left"/>
              <w:rPr>
                <w:rFonts w:ascii="Times New Roman" w:hAnsi="Times New Roman" w:cs="Times New Roman" w:eastAsia="Times New Roman" w:hint="default"/>
                <w:sz w:val="18"/>
                <w:szCs w:val="18"/>
              </w:rPr>
            </w:pPr>
            <w:r>
              <w:rPr>
                <w:rFonts w:ascii="Times New Roman"/>
                <w:sz w:val="18"/>
              </w:rPr>
              <w:t>-7.49%</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-18.65%</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75" w:right="0"/>
              <w:jc w:val="left"/>
              <w:rPr>
                <w:rFonts w:ascii="Times New Roman" w:hAnsi="Times New Roman" w:cs="Times New Roman" w:eastAsia="Times New Roman" w:hint="default"/>
                <w:sz w:val="18"/>
                <w:szCs w:val="18"/>
              </w:rPr>
            </w:pPr>
            <w:r>
              <w:rPr>
                <w:rFonts w:ascii="Times New Roman"/>
                <w:sz w:val="18"/>
              </w:rPr>
              <w:t>6.07%</w:t>
            </w:r>
          </w:p>
        </w:tc>
      </w:tr>
      <w:tr>
        <w:trPr>
          <w:trHeight w:val="403" w:hRule="exact"/>
        </w:trPr>
        <w:tc>
          <w:tcPr>
            <w:tcW w:w="2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其他产品</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53,943,882.51</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33,266,889.81</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22" w:right="0"/>
              <w:jc w:val="left"/>
              <w:rPr>
                <w:rFonts w:ascii="Times New Roman" w:hAnsi="Times New Roman" w:cs="Times New Roman" w:eastAsia="Times New Roman" w:hint="default"/>
                <w:sz w:val="18"/>
                <w:szCs w:val="18"/>
              </w:rPr>
            </w:pPr>
            <w:r>
              <w:rPr>
                <w:rFonts w:ascii="Times New Roman"/>
                <w:sz w:val="18"/>
              </w:rPr>
              <w:t>38.33%</w:t>
            </w:r>
          </w:p>
        </w:tc>
        <w:tc>
          <w:tcPr>
            <w:tcW w:w="14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3.02%</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-21.37%</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29" w:right="0"/>
              <w:jc w:val="left"/>
              <w:rPr>
                <w:rFonts w:ascii="Times New Roman" w:hAnsi="Times New Roman" w:cs="Times New Roman" w:eastAsia="Times New Roman" w:hint="default"/>
                <w:sz w:val="18"/>
                <w:szCs w:val="18"/>
              </w:rPr>
            </w:pPr>
            <w:r>
              <w:rPr>
                <w:rFonts w:ascii="Times New Roman"/>
                <w:sz w:val="18"/>
              </w:rPr>
              <w:t>19.12%</w:t>
            </w:r>
          </w:p>
        </w:tc>
      </w:tr>
      <w:tr>
        <w:trPr>
          <w:trHeight w:val="401" w:hRule="exact"/>
        </w:trPr>
        <w:tc>
          <w:tcPr>
            <w:tcW w:w="10290" w:type="dxa"/>
            <w:gridSpan w:val="7"/>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2" w:hRule="exact"/>
        </w:trPr>
        <w:tc>
          <w:tcPr>
            <w:tcW w:w="2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国内</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7,499,376,912.03</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5,749,257,464.63</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22" w:right="0"/>
              <w:jc w:val="left"/>
              <w:rPr>
                <w:rFonts w:ascii="Times New Roman" w:hAnsi="Times New Roman" w:cs="Times New Roman" w:eastAsia="Times New Roman" w:hint="default"/>
                <w:sz w:val="18"/>
                <w:szCs w:val="18"/>
              </w:rPr>
            </w:pPr>
            <w:r>
              <w:rPr>
                <w:rFonts w:ascii="Times New Roman"/>
                <w:sz w:val="18"/>
              </w:rPr>
              <w:t>23.34%</w:t>
            </w:r>
          </w:p>
        </w:tc>
        <w:tc>
          <w:tcPr>
            <w:tcW w:w="14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45" w:right="0"/>
              <w:jc w:val="left"/>
              <w:rPr>
                <w:rFonts w:ascii="Times New Roman" w:hAnsi="Times New Roman" w:cs="Times New Roman" w:eastAsia="Times New Roman" w:hint="default"/>
                <w:sz w:val="18"/>
                <w:szCs w:val="18"/>
              </w:rPr>
            </w:pPr>
            <w:r>
              <w:rPr>
                <w:rFonts w:ascii="Times New Roman"/>
                <w:sz w:val="18"/>
              </w:rPr>
              <w:t>13.89%</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13.52%</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75" w:right="0"/>
              <w:jc w:val="left"/>
              <w:rPr>
                <w:rFonts w:ascii="Times New Roman" w:hAnsi="Times New Roman" w:cs="Times New Roman" w:eastAsia="Times New Roman" w:hint="default"/>
                <w:sz w:val="18"/>
                <w:szCs w:val="18"/>
              </w:rPr>
            </w:pPr>
            <w:r>
              <w:rPr>
                <w:rFonts w:ascii="Times New Roman"/>
                <w:sz w:val="18"/>
              </w:rPr>
              <w:t>0.25%</w:t>
            </w:r>
          </w:p>
        </w:tc>
      </w:tr>
      <w:tr>
        <w:trPr>
          <w:trHeight w:val="402" w:hRule="exact"/>
        </w:trPr>
        <w:tc>
          <w:tcPr>
            <w:tcW w:w="2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北美</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511,153,417.09</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408,627,350.63</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22" w:right="0"/>
              <w:jc w:val="left"/>
              <w:rPr>
                <w:rFonts w:ascii="Times New Roman" w:hAnsi="Times New Roman" w:cs="Times New Roman" w:eastAsia="Times New Roman" w:hint="default"/>
                <w:sz w:val="18"/>
                <w:szCs w:val="18"/>
              </w:rPr>
            </w:pPr>
            <w:r>
              <w:rPr>
                <w:rFonts w:ascii="Times New Roman"/>
                <w:sz w:val="18"/>
              </w:rPr>
              <w:t>20.06%</w:t>
            </w:r>
          </w:p>
        </w:tc>
        <w:tc>
          <w:tcPr>
            <w:tcW w:w="14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15" w:right="0"/>
              <w:jc w:val="left"/>
              <w:rPr>
                <w:rFonts w:ascii="Times New Roman" w:hAnsi="Times New Roman" w:cs="Times New Roman" w:eastAsia="Times New Roman" w:hint="default"/>
                <w:sz w:val="18"/>
                <w:szCs w:val="18"/>
              </w:rPr>
            </w:pPr>
            <w:r>
              <w:rPr>
                <w:rFonts w:ascii="Times New Roman"/>
                <w:sz w:val="18"/>
              </w:rPr>
              <w:t>-29.16%</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-28.11%</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45" w:right="0"/>
              <w:jc w:val="left"/>
              <w:rPr>
                <w:rFonts w:ascii="Times New Roman" w:hAnsi="Times New Roman" w:cs="Times New Roman" w:eastAsia="Times New Roman" w:hint="default"/>
                <w:sz w:val="18"/>
                <w:szCs w:val="18"/>
              </w:rPr>
            </w:pPr>
            <w:r>
              <w:rPr>
                <w:rFonts w:ascii="Times New Roman"/>
                <w:sz w:val="18"/>
              </w:rPr>
              <w:t>-1.17%</w:t>
            </w:r>
          </w:p>
        </w:tc>
      </w:tr>
      <w:tr>
        <w:trPr>
          <w:trHeight w:val="402" w:hRule="exact"/>
        </w:trPr>
        <w:tc>
          <w:tcPr>
            <w:tcW w:w="2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欧洲</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439,926,177.70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373,971,729.35</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22" w:right="0"/>
              <w:jc w:val="left"/>
              <w:rPr>
                <w:rFonts w:ascii="Times New Roman" w:hAnsi="Times New Roman" w:cs="Times New Roman" w:eastAsia="Times New Roman" w:hint="default"/>
                <w:sz w:val="18"/>
                <w:szCs w:val="18"/>
              </w:rPr>
            </w:pPr>
            <w:r>
              <w:rPr>
                <w:rFonts w:ascii="Times New Roman"/>
                <w:sz w:val="18"/>
              </w:rPr>
              <w:t>14.99%</w:t>
            </w:r>
          </w:p>
        </w:tc>
        <w:tc>
          <w:tcPr>
            <w:tcW w:w="14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5.44%</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9.90%</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45" w:right="0"/>
              <w:jc w:val="left"/>
              <w:rPr>
                <w:rFonts w:ascii="Times New Roman" w:hAnsi="Times New Roman" w:cs="Times New Roman" w:eastAsia="Times New Roman" w:hint="default"/>
                <w:sz w:val="18"/>
                <w:szCs w:val="18"/>
              </w:rPr>
            </w:pPr>
            <w:r>
              <w:rPr>
                <w:rFonts w:ascii="Times New Roman"/>
                <w:sz w:val="18"/>
              </w:rPr>
              <w:t>-3.46%</w:t>
            </w:r>
          </w:p>
        </w:tc>
      </w:tr>
      <w:tr>
        <w:trPr>
          <w:trHeight w:val="402" w:hRule="exact"/>
        </w:trPr>
        <w:tc>
          <w:tcPr>
            <w:tcW w:w="2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非洲</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89,533,917.04</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80,345,144.74</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22" w:right="0"/>
              <w:jc w:val="left"/>
              <w:rPr>
                <w:rFonts w:ascii="Times New Roman" w:hAnsi="Times New Roman" w:cs="Times New Roman" w:eastAsia="Times New Roman" w:hint="default"/>
                <w:sz w:val="18"/>
                <w:szCs w:val="18"/>
              </w:rPr>
            </w:pPr>
            <w:r>
              <w:rPr>
                <w:rFonts w:ascii="Times New Roman"/>
                <w:sz w:val="18"/>
              </w:rPr>
              <w:t>10.26%</w:t>
            </w:r>
          </w:p>
        </w:tc>
        <w:tc>
          <w:tcPr>
            <w:tcW w:w="14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45" w:right="0"/>
              <w:jc w:val="left"/>
              <w:rPr>
                <w:rFonts w:ascii="Times New Roman" w:hAnsi="Times New Roman" w:cs="Times New Roman" w:eastAsia="Times New Roman" w:hint="default"/>
                <w:sz w:val="18"/>
                <w:szCs w:val="18"/>
              </w:rPr>
            </w:pPr>
            <w:r>
              <w:rPr>
                <w:rFonts w:ascii="Times New Roman"/>
                <w:sz w:val="18"/>
              </w:rPr>
              <w:t>72.90%</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91.65%</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45" w:right="0"/>
              <w:jc w:val="left"/>
              <w:rPr>
                <w:rFonts w:ascii="Times New Roman" w:hAnsi="Times New Roman" w:cs="Times New Roman" w:eastAsia="Times New Roman" w:hint="default"/>
                <w:sz w:val="18"/>
                <w:szCs w:val="18"/>
              </w:rPr>
            </w:pPr>
            <w:r>
              <w:rPr>
                <w:rFonts w:ascii="Times New Roman"/>
                <w:sz w:val="18"/>
              </w:rPr>
              <w:t>-8.78%</w:t>
            </w:r>
          </w:p>
        </w:tc>
      </w:tr>
      <w:tr>
        <w:trPr>
          <w:trHeight w:val="402" w:hRule="exact"/>
        </w:trPr>
        <w:tc>
          <w:tcPr>
            <w:tcW w:w="2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澳洲</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7,867,580.31</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6,308,822.55</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22" w:right="0"/>
              <w:jc w:val="left"/>
              <w:rPr>
                <w:rFonts w:ascii="Times New Roman" w:hAnsi="Times New Roman" w:cs="Times New Roman" w:eastAsia="Times New Roman" w:hint="default"/>
                <w:sz w:val="18"/>
                <w:szCs w:val="18"/>
              </w:rPr>
            </w:pPr>
            <w:r>
              <w:rPr>
                <w:rFonts w:ascii="Times New Roman"/>
                <w:sz w:val="18"/>
              </w:rPr>
              <w:t>19.81%</w:t>
            </w:r>
          </w:p>
        </w:tc>
        <w:tc>
          <w:tcPr>
            <w:tcW w:w="14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398"/>
              <w:jc w:val="right"/>
              <w:rPr>
                <w:rFonts w:ascii="Times New Roman" w:hAnsi="Times New Roman" w:cs="Times New Roman" w:eastAsia="Times New Roman" w:hint="default"/>
                <w:sz w:val="18"/>
                <w:szCs w:val="18"/>
              </w:rPr>
            </w:pPr>
            <w:r>
              <w:rPr>
                <w:rFonts w:ascii="Times New Roman"/>
                <w:sz w:val="18"/>
              </w:rPr>
              <w:t>258.93%</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258.11%</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75" w:right="0"/>
              <w:jc w:val="left"/>
              <w:rPr>
                <w:rFonts w:ascii="Times New Roman" w:hAnsi="Times New Roman" w:cs="Times New Roman" w:eastAsia="Times New Roman" w:hint="default"/>
                <w:sz w:val="18"/>
                <w:szCs w:val="18"/>
              </w:rPr>
            </w:pPr>
            <w:r>
              <w:rPr>
                <w:rFonts w:ascii="Times New Roman"/>
                <w:sz w:val="18"/>
              </w:rPr>
              <w:t>0.19%</w:t>
            </w:r>
          </w:p>
        </w:tc>
      </w:tr>
      <w:tr>
        <w:trPr>
          <w:trHeight w:val="402" w:hRule="exact"/>
        </w:trPr>
        <w:tc>
          <w:tcPr>
            <w:tcW w:w="2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南美</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4,477,373.70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3,480,452.80</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22" w:right="0"/>
              <w:jc w:val="left"/>
              <w:rPr>
                <w:rFonts w:ascii="Times New Roman" w:hAnsi="Times New Roman" w:cs="Times New Roman" w:eastAsia="Times New Roman" w:hint="default"/>
                <w:sz w:val="18"/>
                <w:szCs w:val="18"/>
              </w:rPr>
            </w:pPr>
            <w:r>
              <w:rPr>
                <w:rFonts w:ascii="Times New Roman"/>
                <w:sz w:val="18"/>
              </w:rPr>
              <w:t>22.27%</w:t>
            </w:r>
          </w:p>
        </w:tc>
        <w:tc>
          <w:tcPr>
            <w:tcW w:w="14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330"/>
              <w:jc w:val="right"/>
              <w:rPr>
                <w:rFonts w:ascii="Times New Roman" w:hAnsi="Times New Roman" w:cs="Times New Roman" w:eastAsia="Times New Roman" w:hint="default"/>
                <w:sz w:val="18"/>
                <w:szCs w:val="18"/>
              </w:rPr>
            </w:pPr>
            <w:r>
              <w:rPr>
                <w:rFonts w:ascii="Times New Roman"/>
                <w:sz w:val="18"/>
              </w:rPr>
              <w:t>1,346.71%</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1,174.49%</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29" w:right="0"/>
              <w:jc w:val="left"/>
              <w:rPr>
                <w:rFonts w:ascii="Times New Roman" w:hAnsi="Times New Roman" w:cs="Times New Roman" w:eastAsia="Times New Roman" w:hint="default"/>
                <w:sz w:val="18"/>
                <w:szCs w:val="18"/>
              </w:rPr>
            </w:pPr>
            <w:r>
              <w:rPr>
                <w:rFonts w:ascii="Times New Roman"/>
                <w:sz w:val="18"/>
              </w:rPr>
              <w:t>10.50%</w:t>
            </w:r>
          </w:p>
        </w:tc>
      </w:tr>
      <w:tr>
        <w:trPr>
          <w:trHeight w:val="403" w:hRule="exact"/>
        </w:trPr>
        <w:tc>
          <w:tcPr>
            <w:tcW w:w="22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日本及其他地区</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555,390,745.97</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501,847,418.73</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66" w:right="0"/>
              <w:jc w:val="left"/>
              <w:rPr>
                <w:rFonts w:ascii="Times New Roman" w:hAnsi="Times New Roman" w:cs="Times New Roman" w:eastAsia="Times New Roman" w:hint="default"/>
                <w:sz w:val="18"/>
                <w:szCs w:val="18"/>
              </w:rPr>
            </w:pPr>
            <w:r>
              <w:rPr>
                <w:rFonts w:ascii="Times New Roman"/>
                <w:sz w:val="18"/>
              </w:rPr>
              <w:t>9.64%</w:t>
            </w:r>
          </w:p>
        </w:tc>
        <w:tc>
          <w:tcPr>
            <w:tcW w:w="14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15" w:right="0"/>
              <w:jc w:val="left"/>
              <w:rPr>
                <w:rFonts w:ascii="Times New Roman" w:hAnsi="Times New Roman" w:cs="Times New Roman" w:eastAsia="Times New Roman" w:hint="default"/>
                <w:sz w:val="18"/>
                <w:szCs w:val="18"/>
              </w:rPr>
            </w:pPr>
            <w:r>
              <w:rPr>
                <w:rFonts w:ascii="Times New Roman"/>
                <w:sz w:val="18"/>
              </w:rPr>
              <w:t>-26.04%</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-21.51%</w:t>
            </w:r>
          </w:p>
        </w:tc>
        <w:tc>
          <w:tcPr>
            <w:tcW w:w="1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45" w:right="0"/>
              <w:jc w:val="left"/>
              <w:rPr>
                <w:rFonts w:ascii="Times New Roman" w:hAnsi="Times New Roman" w:cs="Times New Roman" w:eastAsia="Times New Roman" w:hint="default"/>
                <w:sz w:val="18"/>
                <w:szCs w:val="18"/>
              </w:rPr>
            </w:pPr>
            <w:r>
              <w:rPr>
                <w:rFonts w:ascii="Times New Roman"/>
                <w:sz w:val="18"/>
              </w:rPr>
              <w:t>-5.22%</w:t>
            </w:r>
          </w:p>
        </w:tc>
      </w:tr>
    </w:tbl>
    <w:p>
      <w:pPr>
        <w:spacing w:before="31"/>
        <w:ind w:left="354" w:right="0" w:firstLine="0"/>
        <w:jc w:val="left"/>
        <w:rPr>
          <w:rFonts w:ascii="宋体" w:hAnsi="宋体" w:cs="宋体" w:eastAsia="宋体" w:hint="default"/>
          <w:sz w:val="18"/>
          <w:szCs w:val="18"/>
        </w:rPr>
      </w:pPr>
      <w:r>
        <w:rPr>
          <w:rFonts w:ascii="宋体" w:hAnsi="宋体" w:cs="宋体" w:eastAsia="宋体" w:hint="default"/>
          <w:sz w:val="18"/>
          <w:szCs w:val="18"/>
        </w:rPr>
        <w:t>公司主营业务数据统计口径在报告期发生调整的情况下，公司最近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年按报告期末口径调整后的主营业务数据</w:t>
      </w:r>
    </w:p>
    <w:p>
      <w:pPr>
        <w:spacing w:before="82"/>
        <w:ind w:left="353"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2"/>
        <w:rPr>
          <w:rFonts w:ascii="宋体" w:hAnsi="宋体" w:cs="宋体" w:eastAsia="宋体" w:hint="default"/>
          <w:sz w:val="13"/>
          <w:szCs w:val="13"/>
        </w:rPr>
      </w:pPr>
    </w:p>
    <w:p>
      <w:pPr>
        <w:pStyle w:val="Heading5"/>
        <w:spacing w:line="240" w:lineRule="auto" w:before="0"/>
        <w:ind w:left="354" w:right="0"/>
        <w:jc w:val="left"/>
        <w:rPr>
          <w:b w:val="0"/>
          <w:bCs w:val="0"/>
        </w:rPr>
      </w:pPr>
      <w:r>
        <w:rPr/>
        <w:t>（</w:t>
      </w:r>
      <w:r>
        <w:rPr>
          <w:rFonts w:ascii="Times New Roman" w:hAnsi="Times New Roman" w:cs="Times New Roman" w:eastAsia="Times New Roman" w:hint="default"/>
        </w:rPr>
        <w:t>3</w:t>
      </w:r>
      <w:r>
        <w:rPr/>
        <w:t>）公司实物销售收入是否大于劳务收入</w:t>
      </w:r>
      <w:r>
        <w:rPr>
          <w:b w:val="0"/>
          <w:bCs w:val="0"/>
        </w:rPr>
      </w:r>
    </w:p>
    <w:p>
      <w:pPr>
        <w:spacing w:before="165"/>
        <w:ind w:left="354" w:right="0" w:firstLine="0"/>
        <w:jc w:val="left"/>
        <w:rPr>
          <w:rFonts w:ascii="宋体" w:hAnsi="宋体" w:cs="宋体" w:eastAsia="宋体" w:hint="default"/>
          <w:sz w:val="18"/>
          <w:szCs w:val="18"/>
        </w:rPr>
      </w:pPr>
      <w:r>
        <w:rPr>
          <w:rFonts w:ascii="宋体" w:hAnsi="宋体" w:cs="宋体" w:eastAsia="宋体" w:hint="default"/>
          <w:sz w:val="18"/>
          <w:szCs w:val="18"/>
        </w:rPr>
        <w:t>√ 是 □ 否</w:t>
      </w:r>
    </w:p>
    <w:p>
      <w:pPr>
        <w:spacing w:line="240" w:lineRule="auto" w:before="8"/>
        <w:rPr>
          <w:rFonts w:ascii="宋体" w:hAnsi="宋体" w:cs="宋体" w:eastAsia="宋体" w:hint="default"/>
          <w:sz w:val="6"/>
          <w:szCs w:val="6"/>
        </w:rPr>
      </w:pPr>
    </w:p>
    <w:tbl>
      <w:tblPr>
        <w:tblW w:w="0" w:type="auto"/>
        <w:jc w:val="left"/>
        <w:tblInd w:w="385" w:type="dxa"/>
        <w:tblLayout w:type="fixed"/>
        <w:tblCellMar>
          <w:top w:w="0" w:type="dxa"/>
          <w:left w:w="0" w:type="dxa"/>
          <w:bottom w:w="0" w:type="dxa"/>
          <w:right w:w="0" w:type="dxa"/>
        </w:tblCellMar>
        <w:tblLook w:val="01E0"/>
      </w:tblPr>
      <w:tblGrid>
        <w:gridCol w:w="1596"/>
        <w:gridCol w:w="1594"/>
        <w:gridCol w:w="1595"/>
        <w:gridCol w:w="1594"/>
        <w:gridCol w:w="1594"/>
        <w:gridCol w:w="1595"/>
      </w:tblGrid>
      <w:tr>
        <w:trPr>
          <w:trHeight w:val="361" w:hRule="exact"/>
        </w:trPr>
        <w:tc>
          <w:tcPr>
            <w:tcW w:w="15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432" w:right="0"/>
              <w:jc w:val="left"/>
              <w:rPr>
                <w:rFonts w:ascii="宋体" w:hAnsi="宋体" w:cs="宋体" w:eastAsia="宋体" w:hint="default"/>
                <w:sz w:val="18"/>
                <w:szCs w:val="18"/>
              </w:rPr>
            </w:pPr>
            <w:r>
              <w:rPr>
                <w:rFonts w:ascii="宋体" w:hAnsi="宋体" w:cs="宋体" w:eastAsia="宋体" w:hint="default"/>
                <w:sz w:val="18"/>
                <w:szCs w:val="18"/>
              </w:rPr>
              <w:t>行业分类</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1" w:right="0"/>
              <w:jc w:val="center"/>
              <w:rPr>
                <w:rFonts w:ascii="宋体" w:hAnsi="宋体" w:cs="宋体" w:eastAsia="宋体" w:hint="default"/>
                <w:sz w:val="18"/>
                <w:szCs w:val="18"/>
              </w:rPr>
            </w:pPr>
            <w:r>
              <w:rPr>
                <w:rFonts w:ascii="宋体" w:hAnsi="宋体" w:cs="宋体" w:eastAsia="宋体" w:hint="default"/>
                <w:sz w:val="18"/>
                <w:szCs w:val="18"/>
              </w:rPr>
              <w:t>单位</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49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49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433"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362" w:hRule="exact"/>
        </w:trPr>
        <w:tc>
          <w:tcPr>
            <w:tcW w:w="159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8"/>
              <w:ind w:left="22" w:right="0"/>
              <w:jc w:val="left"/>
              <w:rPr>
                <w:rFonts w:ascii="宋体" w:hAnsi="宋体" w:cs="宋体" w:eastAsia="宋体" w:hint="default"/>
                <w:sz w:val="18"/>
                <w:szCs w:val="18"/>
              </w:rPr>
            </w:pPr>
            <w:r>
              <w:rPr>
                <w:rFonts w:ascii="宋体" w:hAnsi="宋体" w:cs="宋体" w:eastAsia="宋体" w:hint="default"/>
                <w:sz w:val="18"/>
                <w:szCs w:val="18"/>
              </w:rPr>
              <w:t>高新电子</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销售量</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3" w:right="0"/>
              <w:jc w:val="left"/>
              <w:rPr>
                <w:rFonts w:ascii="宋体" w:hAnsi="宋体" w:cs="宋体" w:eastAsia="宋体" w:hint="default"/>
                <w:sz w:val="18"/>
                <w:szCs w:val="18"/>
              </w:rPr>
            </w:pPr>
            <w:r>
              <w:rPr>
                <w:rFonts w:ascii="宋体" w:hAnsi="宋体" w:cs="宋体" w:eastAsia="宋体" w:hint="default"/>
                <w:sz w:val="18"/>
                <w:szCs w:val="18"/>
              </w:rPr>
              <w:t>万台（万千瓦时）</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19"/>
              <w:jc w:val="right"/>
              <w:rPr>
                <w:rFonts w:ascii="Times New Roman" w:hAnsi="Times New Roman" w:cs="Times New Roman" w:eastAsia="Times New Roman" w:hint="default"/>
                <w:sz w:val="18"/>
                <w:szCs w:val="18"/>
              </w:rPr>
            </w:pPr>
            <w:r>
              <w:rPr>
                <w:rFonts w:ascii="Times New Roman"/>
                <w:sz w:val="18"/>
              </w:rPr>
              <w:t>577,262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19"/>
              <w:jc w:val="right"/>
              <w:rPr>
                <w:rFonts w:ascii="Times New Roman" w:hAnsi="Times New Roman" w:cs="Times New Roman" w:eastAsia="Times New Roman" w:hint="default"/>
                <w:sz w:val="18"/>
                <w:szCs w:val="18"/>
              </w:rPr>
            </w:pPr>
            <w:r>
              <w:rPr>
                <w:rFonts w:ascii="Times New Roman"/>
                <w:sz w:val="18"/>
              </w:rPr>
              <w:t>524,438</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19"/>
              <w:jc w:val="right"/>
              <w:rPr>
                <w:rFonts w:ascii="Times New Roman" w:hAnsi="Times New Roman" w:cs="Times New Roman" w:eastAsia="Times New Roman" w:hint="default"/>
                <w:sz w:val="18"/>
                <w:szCs w:val="18"/>
              </w:rPr>
            </w:pPr>
            <w:r>
              <w:rPr>
                <w:rFonts w:ascii="Times New Roman"/>
                <w:sz w:val="18"/>
              </w:rPr>
              <w:t>10.07%</w:t>
            </w:r>
          </w:p>
        </w:tc>
      </w:tr>
      <w:tr>
        <w:trPr>
          <w:trHeight w:val="362" w:hRule="exact"/>
        </w:trPr>
        <w:tc>
          <w:tcPr>
            <w:tcW w:w="1596" w:type="dxa"/>
            <w:vMerge/>
            <w:tcBorders>
              <w:left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生产量</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3" w:right="0"/>
              <w:jc w:val="left"/>
              <w:rPr>
                <w:rFonts w:ascii="宋体" w:hAnsi="宋体" w:cs="宋体" w:eastAsia="宋体" w:hint="default"/>
                <w:sz w:val="18"/>
                <w:szCs w:val="18"/>
              </w:rPr>
            </w:pPr>
            <w:r>
              <w:rPr>
                <w:rFonts w:ascii="宋体" w:hAnsi="宋体" w:cs="宋体" w:eastAsia="宋体" w:hint="default"/>
                <w:sz w:val="18"/>
                <w:szCs w:val="18"/>
              </w:rPr>
              <w:t>万台（万千瓦时）</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18"/>
                <w:szCs w:val="18"/>
              </w:rPr>
            </w:pPr>
            <w:r>
              <w:rPr>
                <w:rFonts w:ascii="Times New Roman"/>
                <w:sz w:val="18"/>
              </w:rPr>
              <w:t>577,994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0"/>
              <w:jc w:val="right"/>
              <w:rPr>
                <w:rFonts w:ascii="Times New Roman" w:hAnsi="Times New Roman" w:cs="Times New Roman" w:eastAsia="Times New Roman" w:hint="default"/>
                <w:sz w:val="18"/>
                <w:szCs w:val="18"/>
              </w:rPr>
            </w:pPr>
            <w:r>
              <w:rPr>
                <w:rFonts w:ascii="Times New Roman"/>
                <w:spacing w:val="-3"/>
                <w:sz w:val="18"/>
              </w:rPr>
              <w:t>524,111</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18"/>
                <w:szCs w:val="18"/>
              </w:rPr>
            </w:pPr>
            <w:r>
              <w:rPr>
                <w:rFonts w:ascii="Times New Roman"/>
                <w:sz w:val="18"/>
              </w:rPr>
              <w:t>10.28%</w:t>
            </w:r>
          </w:p>
        </w:tc>
      </w:tr>
      <w:tr>
        <w:trPr>
          <w:trHeight w:val="361" w:hRule="exact"/>
        </w:trPr>
        <w:tc>
          <w:tcPr>
            <w:tcW w:w="1596" w:type="dxa"/>
            <w:vMerge/>
            <w:tcBorders>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库存量</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3" w:right="0"/>
              <w:jc w:val="left"/>
              <w:rPr>
                <w:rFonts w:ascii="宋体" w:hAnsi="宋体" w:cs="宋体" w:eastAsia="宋体" w:hint="default"/>
                <w:sz w:val="18"/>
                <w:szCs w:val="18"/>
              </w:rPr>
            </w:pPr>
            <w:r>
              <w:rPr>
                <w:rFonts w:ascii="宋体" w:hAnsi="宋体" w:cs="宋体" w:eastAsia="宋体" w:hint="default"/>
                <w:sz w:val="18"/>
                <w:szCs w:val="18"/>
              </w:rPr>
              <w:t>万台（万千瓦时）</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18"/>
                <w:szCs w:val="18"/>
              </w:rPr>
            </w:pPr>
            <w:r>
              <w:rPr>
                <w:rFonts w:ascii="Times New Roman"/>
                <w:sz w:val="18"/>
              </w:rPr>
              <w:t>5,879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18"/>
                <w:szCs w:val="18"/>
              </w:rPr>
            </w:pPr>
            <w:r>
              <w:rPr>
                <w:rFonts w:ascii="Times New Roman"/>
                <w:sz w:val="18"/>
              </w:rPr>
              <w:t>4,983</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18"/>
                <w:szCs w:val="18"/>
              </w:rPr>
            </w:pPr>
            <w:r>
              <w:rPr>
                <w:rFonts w:ascii="Times New Roman"/>
                <w:sz w:val="18"/>
              </w:rPr>
              <w:t>17.98%</w:t>
            </w:r>
          </w:p>
        </w:tc>
      </w:tr>
      <w:tr>
        <w:trPr>
          <w:trHeight w:val="362" w:hRule="exact"/>
        </w:trPr>
        <w:tc>
          <w:tcPr>
            <w:tcW w:w="1596" w:type="dxa"/>
            <w:vMerge w:val="restart"/>
            <w:tcBorders>
              <w:top w:val="single" w:sz="4" w:space="0" w:color="000000"/>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316" w:lineRule="auto"/>
              <w:ind w:left="22" w:right="121"/>
              <w:jc w:val="left"/>
              <w:rPr>
                <w:rFonts w:ascii="宋体" w:hAnsi="宋体" w:cs="宋体" w:eastAsia="宋体" w:hint="default"/>
                <w:sz w:val="18"/>
                <w:szCs w:val="18"/>
              </w:rPr>
            </w:pPr>
            <w:r>
              <w:rPr>
                <w:rFonts w:ascii="宋体" w:hAnsi="宋体" w:cs="宋体" w:eastAsia="宋体" w:hint="default"/>
                <w:sz w:val="18"/>
                <w:szCs w:val="18"/>
              </w:rPr>
              <w:t>信息安全整机及解 决方案</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销售量</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3" w:right="0"/>
              <w:jc w:val="left"/>
              <w:rPr>
                <w:rFonts w:ascii="宋体" w:hAnsi="宋体" w:cs="宋体" w:eastAsia="宋体" w:hint="default"/>
                <w:sz w:val="18"/>
                <w:szCs w:val="18"/>
              </w:rPr>
            </w:pPr>
            <w:r>
              <w:rPr>
                <w:rFonts w:ascii="宋体" w:hAnsi="宋体" w:cs="宋体" w:eastAsia="宋体" w:hint="default"/>
                <w:sz w:val="18"/>
                <w:szCs w:val="18"/>
              </w:rPr>
              <w:t>万台</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20"/>
              <w:jc w:val="right"/>
              <w:rPr>
                <w:rFonts w:ascii="Times New Roman" w:hAnsi="Times New Roman" w:cs="Times New Roman" w:eastAsia="Times New Roman" w:hint="default"/>
                <w:sz w:val="18"/>
                <w:szCs w:val="18"/>
              </w:rPr>
            </w:pPr>
            <w:r>
              <w:rPr>
                <w:rFonts w:ascii="Times New Roman"/>
                <w:sz w:val="18"/>
              </w:rPr>
              <w:t>207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20"/>
              <w:jc w:val="right"/>
              <w:rPr>
                <w:rFonts w:ascii="Times New Roman" w:hAnsi="Times New Roman" w:cs="Times New Roman" w:eastAsia="Times New Roman" w:hint="default"/>
                <w:sz w:val="18"/>
                <w:szCs w:val="18"/>
              </w:rPr>
            </w:pPr>
            <w:r>
              <w:rPr>
                <w:rFonts w:ascii="Times New Roman"/>
                <w:sz w:val="18"/>
              </w:rPr>
              <w:t>180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19"/>
              <w:jc w:val="right"/>
              <w:rPr>
                <w:rFonts w:ascii="Times New Roman" w:hAnsi="Times New Roman" w:cs="Times New Roman" w:eastAsia="Times New Roman" w:hint="default"/>
                <w:sz w:val="18"/>
                <w:szCs w:val="18"/>
              </w:rPr>
            </w:pPr>
            <w:r>
              <w:rPr>
                <w:rFonts w:ascii="Times New Roman"/>
                <w:sz w:val="18"/>
              </w:rPr>
              <w:t>14.80%</w:t>
            </w:r>
          </w:p>
        </w:tc>
      </w:tr>
      <w:tr>
        <w:trPr>
          <w:trHeight w:val="362" w:hRule="exact"/>
        </w:trPr>
        <w:tc>
          <w:tcPr>
            <w:tcW w:w="1596" w:type="dxa"/>
            <w:vMerge/>
            <w:tcBorders>
              <w:left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生产量</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3" w:right="0"/>
              <w:jc w:val="left"/>
              <w:rPr>
                <w:rFonts w:ascii="宋体" w:hAnsi="宋体" w:cs="宋体" w:eastAsia="宋体" w:hint="default"/>
                <w:sz w:val="18"/>
                <w:szCs w:val="18"/>
              </w:rPr>
            </w:pPr>
            <w:r>
              <w:rPr>
                <w:rFonts w:ascii="宋体" w:hAnsi="宋体" w:cs="宋体" w:eastAsia="宋体" w:hint="default"/>
                <w:sz w:val="18"/>
                <w:szCs w:val="18"/>
              </w:rPr>
              <w:t>万台</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0"/>
              <w:jc w:val="right"/>
              <w:rPr>
                <w:rFonts w:ascii="Times New Roman" w:hAnsi="Times New Roman" w:cs="Times New Roman" w:eastAsia="Times New Roman" w:hint="default"/>
                <w:sz w:val="18"/>
                <w:szCs w:val="18"/>
              </w:rPr>
            </w:pPr>
            <w:r>
              <w:rPr>
                <w:rFonts w:ascii="Times New Roman"/>
                <w:sz w:val="18"/>
              </w:rPr>
              <w:t>204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0"/>
              <w:jc w:val="right"/>
              <w:rPr>
                <w:rFonts w:ascii="Times New Roman" w:hAnsi="Times New Roman" w:cs="Times New Roman" w:eastAsia="Times New Roman" w:hint="default"/>
                <w:sz w:val="18"/>
                <w:szCs w:val="18"/>
              </w:rPr>
            </w:pPr>
            <w:r>
              <w:rPr>
                <w:rFonts w:ascii="Times New Roman"/>
                <w:sz w:val="18"/>
              </w:rPr>
              <w:t>176</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0"/>
              <w:jc w:val="right"/>
              <w:rPr>
                <w:rFonts w:ascii="Times New Roman" w:hAnsi="Times New Roman" w:cs="Times New Roman" w:eastAsia="Times New Roman" w:hint="default"/>
                <w:sz w:val="18"/>
                <w:szCs w:val="18"/>
              </w:rPr>
            </w:pPr>
            <w:r>
              <w:rPr>
                <w:rFonts w:ascii="Times New Roman"/>
                <w:spacing w:val="-2"/>
                <w:sz w:val="18"/>
              </w:rPr>
              <w:t>16.11%</w:t>
            </w:r>
          </w:p>
        </w:tc>
      </w:tr>
      <w:tr>
        <w:trPr>
          <w:trHeight w:val="362" w:hRule="exact"/>
        </w:trPr>
        <w:tc>
          <w:tcPr>
            <w:tcW w:w="1596" w:type="dxa"/>
            <w:vMerge/>
            <w:tcBorders>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库存量</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3" w:right="0"/>
              <w:jc w:val="left"/>
              <w:rPr>
                <w:rFonts w:ascii="宋体" w:hAnsi="宋体" w:cs="宋体" w:eastAsia="宋体" w:hint="default"/>
                <w:sz w:val="18"/>
                <w:szCs w:val="18"/>
              </w:rPr>
            </w:pPr>
            <w:r>
              <w:rPr>
                <w:rFonts w:ascii="宋体" w:hAnsi="宋体" w:cs="宋体" w:eastAsia="宋体" w:hint="default"/>
                <w:sz w:val="18"/>
                <w:szCs w:val="18"/>
              </w:rPr>
              <w:t>万台</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0"/>
              <w:jc w:val="right"/>
              <w:rPr>
                <w:rFonts w:ascii="Times New Roman" w:hAnsi="Times New Roman" w:cs="Times New Roman" w:eastAsia="Times New Roman" w:hint="default"/>
                <w:sz w:val="18"/>
                <w:szCs w:val="18"/>
              </w:rPr>
            </w:pPr>
            <w:r>
              <w:rPr>
                <w:rFonts w:ascii="Times New Roman"/>
                <w:sz w:val="18"/>
              </w:rPr>
              <w:t>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0"/>
              <w:jc w:val="right"/>
              <w:rPr>
                <w:rFonts w:ascii="Times New Roman" w:hAnsi="Times New Roman" w:cs="Times New Roman" w:eastAsia="Times New Roman" w:hint="default"/>
                <w:sz w:val="18"/>
                <w:szCs w:val="18"/>
              </w:rPr>
            </w:pPr>
            <w:r>
              <w:rPr>
                <w:rFonts w:ascii="Times New Roman"/>
                <w:sz w:val="18"/>
              </w:rPr>
              <w:t>4</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0"/>
              <w:jc w:val="right"/>
              <w:rPr>
                <w:rFonts w:ascii="Times New Roman" w:hAnsi="Times New Roman" w:cs="Times New Roman" w:eastAsia="Times New Roman" w:hint="default"/>
                <w:sz w:val="18"/>
                <w:szCs w:val="18"/>
              </w:rPr>
            </w:pPr>
            <w:r>
              <w:rPr>
                <w:rFonts w:ascii="Times New Roman"/>
                <w:spacing w:val="-2"/>
                <w:sz w:val="18"/>
              </w:rPr>
              <w:t>11.26%</w:t>
            </w:r>
          </w:p>
        </w:tc>
      </w:tr>
    </w:tbl>
    <w:p>
      <w:pPr>
        <w:spacing w:after="0" w:line="240" w:lineRule="auto"/>
        <w:jc w:val="right"/>
        <w:rPr>
          <w:rFonts w:ascii="Times New Roman" w:hAnsi="Times New Roman" w:cs="Times New Roman" w:eastAsia="Times New Roman" w:hint="default"/>
          <w:sz w:val="18"/>
          <w:szCs w:val="18"/>
        </w:rPr>
        <w:sectPr>
          <w:pgSz w:w="11910" w:h="16840"/>
          <w:pgMar w:header="787" w:footer="982" w:top="1100" w:bottom="1180" w:left="780" w:right="0"/>
        </w:sectPr>
      </w:pPr>
    </w:p>
    <w:p>
      <w:pPr>
        <w:spacing w:line="240" w:lineRule="auto" w:before="5"/>
        <w:rPr>
          <w:rFonts w:ascii="宋体" w:hAnsi="宋体" w:cs="宋体" w:eastAsia="宋体" w:hint="default"/>
          <w:sz w:val="25"/>
          <w:szCs w:val="25"/>
        </w:rPr>
      </w:pPr>
    </w:p>
    <w:tbl>
      <w:tblPr>
        <w:tblW w:w="0" w:type="auto"/>
        <w:jc w:val="left"/>
        <w:tblInd w:w="205" w:type="dxa"/>
        <w:tblLayout w:type="fixed"/>
        <w:tblCellMar>
          <w:top w:w="0" w:type="dxa"/>
          <w:left w:w="0" w:type="dxa"/>
          <w:bottom w:w="0" w:type="dxa"/>
          <w:right w:w="0" w:type="dxa"/>
        </w:tblCellMar>
        <w:tblLook w:val="01E0"/>
      </w:tblPr>
      <w:tblGrid>
        <w:gridCol w:w="1596"/>
        <w:gridCol w:w="1594"/>
        <w:gridCol w:w="1595"/>
        <w:gridCol w:w="1594"/>
        <w:gridCol w:w="1594"/>
        <w:gridCol w:w="1595"/>
      </w:tblGrid>
      <w:tr>
        <w:trPr>
          <w:trHeight w:val="362" w:hRule="exact"/>
        </w:trPr>
        <w:tc>
          <w:tcPr>
            <w:tcW w:w="159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8"/>
              <w:ind w:left="22" w:right="0"/>
              <w:jc w:val="left"/>
              <w:rPr>
                <w:rFonts w:ascii="宋体" w:hAnsi="宋体" w:cs="宋体" w:eastAsia="宋体" w:hint="default"/>
                <w:sz w:val="18"/>
                <w:szCs w:val="18"/>
              </w:rPr>
            </w:pPr>
            <w:r>
              <w:rPr>
                <w:rFonts w:ascii="宋体" w:hAnsi="宋体" w:cs="宋体" w:eastAsia="宋体" w:hint="default"/>
                <w:sz w:val="18"/>
                <w:szCs w:val="18"/>
              </w:rPr>
              <w:t>电源产品</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销售量</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3" w:right="0"/>
              <w:jc w:val="left"/>
              <w:rPr>
                <w:rFonts w:ascii="宋体" w:hAnsi="宋体" w:cs="宋体" w:eastAsia="宋体" w:hint="default"/>
                <w:sz w:val="18"/>
                <w:szCs w:val="18"/>
              </w:rPr>
            </w:pPr>
            <w:r>
              <w:rPr>
                <w:rFonts w:ascii="宋体" w:hAnsi="宋体" w:cs="宋体" w:eastAsia="宋体" w:hint="default"/>
                <w:sz w:val="18"/>
                <w:szCs w:val="18"/>
              </w:rPr>
              <w:t>万只</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18"/>
                <w:szCs w:val="18"/>
              </w:rPr>
            </w:pPr>
            <w:r>
              <w:rPr>
                <w:rFonts w:ascii="Times New Roman"/>
                <w:sz w:val="18"/>
              </w:rPr>
              <w:t>9,441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18"/>
                <w:szCs w:val="18"/>
              </w:rPr>
            </w:pPr>
            <w:r>
              <w:rPr>
                <w:rFonts w:ascii="Times New Roman"/>
                <w:sz w:val="18"/>
              </w:rPr>
              <w:t>9,793</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18"/>
                <w:szCs w:val="18"/>
              </w:rPr>
            </w:pPr>
            <w:r>
              <w:rPr>
                <w:rFonts w:ascii="Times New Roman"/>
                <w:sz w:val="18"/>
              </w:rPr>
              <w:t>-3.59%</w:t>
            </w:r>
          </w:p>
        </w:tc>
      </w:tr>
      <w:tr>
        <w:trPr>
          <w:trHeight w:val="361" w:hRule="exact"/>
        </w:trPr>
        <w:tc>
          <w:tcPr>
            <w:tcW w:w="1596" w:type="dxa"/>
            <w:vMerge/>
            <w:tcBorders>
              <w:left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生产量</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3" w:right="0"/>
              <w:jc w:val="left"/>
              <w:rPr>
                <w:rFonts w:ascii="宋体" w:hAnsi="宋体" w:cs="宋体" w:eastAsia="宋体" w:hint="default"/>
                <w:sz w:val="18"/>
                <w:szCs w:val="18"/>
              </w:rPr>
            </w:pPr>
            <w:r>
              <w:rPr>
                <w:rFonts w:ascii="宋体" w:hAnsi="宋体" w:cs="宋体" w:eastAsia="宋体" w:hint="default"/>
                <w:sz w:val="18"/>
                <w:szCs w:val="18"/>
              </w:rPr>
              <w:t>万只</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18"/>
                <w:szCs w:val="18"/>
              </w:rPr>
            </w:pPr>
            <w:r>
              <w:rPr>
                <w:rFonts w:ascii="Times New Roman"/>
                <w:sz w:val="18"/>
              </w:rPr>
              <w:t>9,872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18"/>
                <w:szCs w:val="18"/>
              </w:rPr>
            </w:pPr>
            <w:r>
              <w:rPr>
                <w:rFonts w:ascii="Times New Roman"/>
                <w:sz w:val="18"/>
              </w:rPr>
              <w:t>9,712</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18"/>
                <w:szCs w:val="18"/>
              </w:rPr>
            </w:pPr>
            <w:r>
              <w:rPr>
                <w:rFonts w:ascii="Times New Roman"/>
                <w:sz w:val="18"/>
              </w:rPr>
              <w:t>1.65%</w:t>
            </w:r>
          </w:p>
        </w:tc>
      </w:tr>
      <w:tr>
        <w:trPr>
          <w:trHeight w:val="362" w:hRule="exact"/>
        </w:trPr>
        <w:tc>
          <w:tcPr>
            <w:tcW w:w="1596" w:type="dxa"/>
            <w:vMerge/>
            <w:tcBorders>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库存量</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3" w:right="0"/>
              <w:jc w:val="left"/>
              <w:rPr>
                <w:rFonts w:ascii="宋体" w:hAnsi="宋体" w:cs="宋体" w:eastAsia="宋体" w:hint="default"/>
                <w:sz w:val="18"/>
                <w:szCs w:val="18"/>
              </w:rPr>
            </w:pPr>
            <w:r>
              <w:rPr>
                <w:rFonts w:ascii="宋体" w:hAnsi="宋体" w:cs="宋体" w:eastAsia="宋体" w:hint="default"/>
                <w:sz w:val="18"/>
                <w:szCs w:val="18"/>
              </w:rPr>
              <w:t>万只</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20"/>
              <w:jc w:val="right"/>
              <w:rPr>
                <w:rFonts w:ascii="Times New Roman" w:hAnsi="Times New Roman" w:cs="Times New Roman" w:eastAsia="Times New Roman" w:hint="default"/>
                <w:sz w:val="18"/>
                <w:szCs w:val="18"/>
              </w:rPr>
            </w:pPr>
            <w:r>
              <w:rPr>
                <w:rFonts w:ascii="Times New Roman"/>
                <w:sz w:val="18"/>
              </w:rPr>
              <w:t>394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20"/>
              <w:jc w:val="right"/>
              <w:rPr>
                <w:rFonts w:ascii="Times New Roman" w:hAnsi="Times New Roman" w:cs="Times New Roman" w:eastAsia="Times New Roman" w:hint="default"/>
                <w:sz w:val="18"/>
                <w:szCs w:val="18"/>
              </w:rPr>
            </w:pPr>
            <w:r>
              <w:rPr>
                <w:rFonts w:ascii="Times New Roman"/>
                <w:sz w:val="18"/>
              </w:rPr>
              <w:t>369</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19"/>
              <w:jc w:val="right"/>
              <w:rPr>
                <w:rFonts w:ascii="Times New Roman" w:hAnsi="Times New Roman" w:cs="Times New Roman" w:eastAsia="Times New Roman" w:hint="default"/>
                <w:sz w:val="18"/>
                <w:szCs w:val="18"/>
              </w:rPr>
            </w:pPr>
            <w:r>
              <w:rPr>
                <w:rFonts w:ascii="Times New Roman"/>
                <w:sz w:val="18"/>
              </w:rPr>
              <w:t>6.82%</w:t>
            </w:r>
          </w:p>
        </w:tc>
      </w:tr>
      <w:tr>
        <w:trPr>
          <w:trHeight w:val="362" w:hRule="exact"/>
        </w:trPr>
        <w:tc>
          <w:tcPr>
            <w:tcW w:w="1596" w:type="dxa"/>
            <w:vMerge w:val="restart"/>
            <w:tcBorders>
              <w:top w:val="single" w:sz="4" w:space="0" w:color="000000"/>
              <w:left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销售量</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23" w:right="0"/>
              <w:jc w:val="left"/>
              <w:rPr>
                <w:rFonts w:ascii="Times New Roman" w:hAnsi="Times New Roman" w:cs="Times New Roman" w:eastAsia="Times New Roman" w:hint="default"/>
                <w:sz w:val="18"/>
                <w:szCs w:val="18"/>
              </w:rPr>
            </w:pPr>
            <w:r>
              <w:rPr>
                <w:rFonts w:ascii="Times New Roman"/>
                <w:sz w:val="18"/>
              </w:rPr>
              <w:t>MW</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0"/>
              <w:jc w:val="right"/>
              <w:rPr>
                <w:rFonts w:ascii="Times New Roman" w:hAnsi="Times New Roman" w:cs="Times New Roman" w:eastAsia="Times New Roman" w:hint="default"/>
                <w:sz w:val="18"/>
                <w:szCs w:val="18"/>
              </w:rPr>
            </w:pPr>
            <w:r>
              <w:rPr>
                <w:rFonts w:ascii="Times New Roman"/>
                <w:sz w:val="18"/>
              </w:rPr>
              <w:t>45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0"/>
              <w:jc w:val="right"/>
              <w:rPr>
                <w:rFonts w:ascii="Times New Roman" w:hAnsi="Times New Roman" w:cs="Times New Roman" w:eastAsia="Times New Roman" w:hint="default"/>
                <w:sz w:val="18"/>
                <w:szCs w:val="18"/>
              </w:rPr>
            </w:pPr>
            <w:r>
              <w:rPr>
                <w:rFonts w:ascii="Times New Roman"/>
                <w:sz w:val="18"/>
              </w:rPr>
              <w:t>37</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18"/>
                <w:szCs w:val="18"/>
              </w:rPr>
            </w:pPr>
            <w:r>
              <w:rPr>
                <w:rFonts w:ascii="Times New Roman"/>
                <w:sz w:val="18"/>
              </w:rPr>
              <w:t>21.82%</w:t>
            </w:r>
          </w:p>
        </w:tc>
      </w:tr>
      <w:tr>
        <w:trPr>
          <w:trHeight w:val="362" w:hRule="exact"/>
        </w:trPr>
        <w:tc>
          <w:tcPr>
            <w:tcW w:w="1596" w:type="dxa"/>
            <w:vMerge/>
            <w:tcBorders>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生产量</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23" w:right="0"/>
              <w:jc w:val="left"/>
              <w:rPr>
                <w:rFonts w:ascii="Times New Roman" w:hAnsi="Times New Roman" w:cs="Times New Roman" w:eastAsia="Times New Roman" w:hint="default"/>
                <w:sz w:val="18"/>
                <w:szCs w:val="18"/>
              </w:rPr>
            </w:pPr>
            <w:r>
              <w:rPr>
                <w:rFonts w:ascii="Times New Roman"/>
                <w:sz w:val="18"/>
              </w:rPr>
              <w:t>MW</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0"/>
              <w:jc w:val="right"/>
              <w:rPr>
                <w:rFonts w:ascii="Times New Roman" w:hAnsi="Times New Roman" w:cs="Times New Roman" w:eastAsia="Times New Roman" w:hint="default"/>
                <w:sz w:val="18"/>
                <w:szCs w:val="18"/>
              </w:rPr>
            </w:pPr>
            <w:r>
              <w:rPr>
                <w:rFonts w:ascii="Times New Roman"/>
                <w:sz w:val="18"/>
              </w:rPr>
              <w:t>42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0"/>
              <w:jc w:val="right"/>
              <w:rPr>
                <w:rFonts w:ascii="Times New Roman" w:hAnsi="Times New Roman" w:cs="Times New Roman" w:eastAsia="Times New Roman" w:hint="default"/>
                <w:sz w:val="18"/>
                <w:szCs w:val="18"/>
              </w:rPr>
            </w:pPr>
            <w:r>
              <w:rPr>
                <w:rFonts w:ascii="Times New Roman"/>
                <w:sz w:val="18"/>
              </w:rPr>
              <w:t>37</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18"/>
                <w:szCs w:val="18"/>
              </w:rPr>
            </w:pPr>
            <w:r>
              <w:rPr>
                <w:rFonts w:ascii="Times New Roman"/>
                <w:sz w:val="18"/>
              </w:rPr>
              <w:t>13.70%</w:t>
            </w:r>
          </w:p>
        </w:tc>
      </w:tr>
    </w:tbl>
    <w:p>
      <w:pPr>
        <w:spacing w:before="31"/>
        <w:ind w:left="174" w:right="0" w:firstLine="0"/>
        <w:jc w:val="left"/>
        <w:rPr>
          <w:rFonts w:ascii="宋体" w:hAnsi="宋体" w:cs="宋体" w:eastAsia="宋体" w:hint="default"/>
          <w:sz w:val="18"/>
          <w:szCs w:val="18"/>
        </w:rPr>
      </w:pPr>
      <w:r>
        <w:rPr>
          <w:rFonts w:ascii="宋体" w:hAnsi="宋体" w:cs="宋体" w:eastAsia="宋体" w:hint="default"/>
          <w:sz w:val="18"/>
          <w:szCs w:val="18"/>
        </w:rPr>
        <w:t>相关数据同比发生变动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宋体" w:hAnsi="宋体" w:cs="宋体" w:eastAsia="宋体" w:hint="default"/>
          <w:sz w:val="18"/>
          <w:szCs w:val="18"/>
        </w:rPr>
        <w:t>以上的原因说明</w:t>
      </w:r>
    </w:p>
    <w:p>
      <w:pPr>
        <w:spacing w:before="82"/>
        <w:ind w:left="17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0"/>
        <w:rPr>
          <w:rFonts w:ascii="宋体" w:hAnsi="宋体" w:cs="宋体" w:eastAsia="宋体" w:hint="default"/>
          <w:sz w:val="17"/>
          <w:szCs w:val="17"/>
        </w:rPr>
      </w:pPr>
    </w:p>
    <w:p>
      <w:pPr>
        <w:pStyle w:val="Heading5"/>
        <w:spacing w:line="240" w:lineRule="auto" w:before="0"/>
        <w:ind w:left="174" w:right="0"/>
        <w:jc w:val="left"/>
        <w:rPr>
          <w:b w:val="0"/>
          <w:bCs w:val="0"/>
        </w:rPr>
      </w:pPr>
      <w:r>
        <w:rPr/>
        <w:t>（</w:t>
      </w:r>
      <w:r>
        <w:rPr>
          <w:rFonts w:ascii="Times New Roman" w:hAnsi="Times New Roman" w:cs="Times New Roman" w:eastAsia="Times New Roman" w:hint="default"/>
        </w:rPr>
        <w:t>4</w:t>
      </w:r>
      <w:r>
        <w:rPr/>
        <w:t>）公司已签订的重大销售合同截至本报告期的履行情况</w:t>
      </w:r>
      <w:r>
        <w:rPr>
          <w:b w:val="0"/>
          <w:bCs w:val="0"/>
        </w:rPr>
      </w:r>
    </w:p>
    <w:p>
      <w:pPr>
        <w:spacing w:line="240" w:lineRule="auto" w:before="3"/>
        <w:rPr>
          <w:rFonts w:ascii="宋体" w:hAnsi="宋体" w:cs="宋体" w:eastAsia="宋体" w:hint="default"/>
          <w:b/>
          <w:bCs/>
          <w:sz w:val="17"/>
          <w:szCs w:val="17"/>
        </w:rPr>
      </w:pPr>
    </w:p>
    <w:p>
      <w:pPr>
        <w:spacing w:before="0"/>
        <w:ind w:left="17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0"/>
        <w:rPr>
          <w:rFonts w:ascii="宋体" w:hAnsi="宋体" w:cs="宋体" w:eastAsia="宋体" w:hint="default"/>
          <w:sz w:val="17"/>
          <w:szCs w:val="17"/>
        </w:rPr>
      </w:pPr>
    </w:p>
    <w:p>
      <w:pPr>
        <w:pStyle w:val="Heading5"/>
        <w:spacing w:line="240" w:lineRule="auto" w:before="0"/>
        <w:ind w:left="174" w:right="0"/>
        <w:jc w:val="left"/>
        <w:rPr>
          <w:b w:val="0"/>
          <w:bCs w:val="0"/>
        </w:rPr>
      </w:pPr>
      <w:r>
        <w:rPr/>
        <w:t>（</w:t>
      </w:r>
      <w:r>
        <w:rPr>
          <w:rFonts w:ascii="Times New Roman" w:hAnsi="Times New Roman" w:cs="Times New Roman" w:eastAsia="Times New Roman" w:hint="default"/>
        </w:rPr>
        <w:t>5</w:t>
      </w:r>
      <w:r>
        <w:rPr/>
        <w:t>）营业成本构成</w:t>
      </w:r>
      <w:r>
        <w:rPr>
          <w:b w:val="0"/>
          <w:bCs w:val="0"/>
        </w:rPr>
      </w:r>
    </w:p>
    <w:p>
      <w:pPr>
        <w:spacing w:line="240" w:lineRule="auto" w:before="11"/>
        <w:rPr>
          <w:rFonts w:ascii="宋体" w:hAnsi="宋体" w:cs="宋体" w:eastAsia="宋体" w:hint="default"/>
          <w:b/>
          <w:bCs/>
          <w:sz w:val="13"/>
          <w:szCs w:val="13"/>
        </w:rPr>
      </w:pPr>
    </w:p>
    <w:p>
      <w:pPr>
        <w:spacing w:before="44"/>
        <w:ind w:left="174" w:right="0" w:firstLine="0"/>
        <w:jc w:val="left"/>
        <w:rPr>
          <w:rFonts w:ascii="宋体" w:hAnsi="宋体" w:cs="宋体" w:eastAsia="宋体" w:hint="default"/>
          <w:sz w:val="18"/>
          <w:szCs w:val="18"/>
        </w:rPr>
      </w:pPr>
      <w:r>
        <w:rPr>
          <w:rFonts w:ascii="宋体" w:hAnsi="宋体" w:cs="宋体" w:eastAsia="宋体" w:hint="default"/>
          <w:sz w:val="18"/>
          <w:szCs w:val="18"/>
        </w:rPr>
        <w:t>行业和产品分类</w:t>
      </w:r>
    </w:p>
    <w:p>
      <w:pPr>
        <w:spacing w:before="97"/>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7"/>
        <w:rPr>
          <w:rFonts w:ascii="宋体" w:hAnsi="宋体" w:cs="宋体" w:eastAsia="宋体" w:hint="default"/>
          <w:sz w:val="6"/>
          <w:szCs w:val="6"/>
        </w:rPr>
      </w:pPr>
    </w:p>
    <w:tbl>
      <w:tblPr>
        <w:tblW w:w="0" w:type="auto"/>
        <w:jc w:val="left"/>
        <w:tblInd w:w="117" w:type="dxa"/>
        <w:tblLayout w:type="fixed"/>
        <w:tblCellMar>
          <w:top w:w="0" w:type="dxa"/>
          <w:left w:w="0" w:type="dxa"/>
          <w:bottom w:w="0" w:type="dxa"/>
          <w:right w:w="0" w:type="dxa"/>
        </w:tblCellMar>
        <w:tblLook w:val="01E0"/>
      </w:tblPr>
      <w:tblGrid>
        <w:gridCol w:w="1369"/>
        <w:gridCol w:w="1202"/>
        <w:gridCol w:w="1440"/>
        <w:gridCol w:w="1458"/>
        <w:gridCol w:w="1564"/>
        <w:gridCol w:w="1342"/>
        <w:gridCol w:w="1367"/>
      </w:tblGrid>
      <w:tr>
        <w:trPr>
          <w:trHeight w:val="362" w:hRule="exact"/>
        </w:trPr>
        <w:tc>
          <w:tcPr>
            <w:tcW w:w="1369"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49" w:right="0"/>
              <w:jc w:val="left"/>
              <w:rPr>
                <w:rFonts w:ascii="宋体" w:hAnsi="宋体" w:cs="宋体" w:eastAsia="宋体" w:hint="default"/>
                <w:sz w:val="18"/>
                <w:szCs w:val="18"/>
              </w:rPr>
            </w:pPr>
            <w:r>
              <w:rPr>
                <w:rFonts w:ascii="宋体" w:hAnsi="宋体" w:cs="宋体" w:eastAsia="宋体" w:hint="default"/>
                <w:sz w:val="18"/>
                <w:szCs w:val="18"/>
              </w:rPr>
              <w:t>行业及产品分类</w:t>
            </w:r>
          </w:p>
        </w:tc>
        <w:tc>
          <w:tcPr>
            <w:tcW w:w="1202"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898"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905"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367"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318"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362" w:hRule="exact"/>
        </w:trPr>
        <w:tc>
          <w:tcPr>
            <w:tcW w:w="1369" w:type="dxa"/>
            <w:vMerge/>
            <w:tcBorders>
              <w:left w:val="single" w:sz="4" w:space="0" w:color="000000"/>
              <w:bottom w:val="single" w:sz="4" w:space="0" w:color="000000"/>
              <w:right w:val="single" w:sz="4" w:space="0" w:color="000000"/>
            </w:tcBorders>
            <w:shd w:val="clear" w:color="auto" w:fill="D3D3D3"/>
          </w:tcPr>
          <w:p>
            <w:pPr/>
          </w:p>
        </w:tc>
        <w:tc>
          <w:tcPr>
            <w:tcW w:w="1202" w:type="dxa"/>
            <w:vMerge/>
            <w:tcBorders>
              <w:left w:val="single" w:sz="4" w:space="0" w:color="000000"/>
              <w:bottom w:val="single" w:sz="4" w:space="0" w:color="000000"/>
              <w:right w:val="single" w:sz="4" w:space="0" w:color="000000"/>
            </w:tcBorders>
            <w:shd w:val="clear" w:color="auto" w:fill="D3D3D3"/>
          </w:tcPr>
          <w:p>
            <w:pPr/>
          </w:p>
        </w:tc>
        <w:tc>
          <w:tcPr>
            <w:tcW w:w="144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45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占营业成本比重</w:t>
            </w:r>
          </w:p>
        </w:tc>
        <w:tc>
          <w:tcPr>
            <w:tcW w:w="156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34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right="22"/>
              <w:jc w:val="center"/>
              <w:rPr>
                <w:rFonts w:ascii="宋体" w:hAnsi="宋体" w:cs="宋体" w:eastAsia="宋体" w:hint="default"/>
                <w:sz w:val="18"/>
                <w:szCs w:val="18"/>
              </w:rPr>
            </w:pPr>
            <w:r>
              <w:rPr>
                <w:rFonts w:ascii="宋体" w:hAnsi="宋体" w:cs="宋体" w:eastAsia="宋体" w:hint="default"/>
                <w:sz w:val="18"/>
                <w:szCs w:val="18"/>
              </w:rPr>
              <w:t>占营业成本比重</w:t>
            </w:r>
          </w:p>
        </w:tc>
        <w:tc>
          <w:tcPr>
            <w:tcW w:w="1367" w:type="dxa"/>
            <w:vMerge/>
            <w:tcBorders>
              <w:left w:val="single" w:sz="4" w:space="0" w:color="000000"/>
              <w:bottom w:val="single" w:sz="4" w:space="0" w:color="000000"/>
              <w:right w:val="single" w:sz="4" w:space="0" w:color="000000"/>
            </w:tcBorders>
            <w:shd w:val="clear" w:color="auto" w:fill="D3D3D3"/>
          </w:tcPr>
          <w:p>
            <w:pPr/>
          </w:p>
        </w:tc>
      </w:tr>
      <w:tr>
        <w:trPr>
          <w:trHeight w:val="361" w:hRule="exact"/>
        </w:trPr>
        <w:tc>
          <w:tcPr>
            <w:tcW w:w="136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8"/>
              <w:ind w:left="22" w:right="0"/>
              <w:jc w:val="left"/>
              <w:rPr>
                <w:rFonts w:ascii="宋体" w:hAnsi="宋体" w:cs="宋体" w:eastAsia="宋体" w:hint="default"/>
                <w:sz w:val="18"/>
                <w:szCs w:val="18"/>
              </w:rPr>
            </w:pPr>
            <w:r>
              <w:rPr>
                <w:rFonts w:ascii="宋体" w:hAnsi="宋体" w:cs="宋体" w:eastAsia="宋体" w:hint="default"/>
                <w:sz w:val="18"/>
                <w:szCs w:val="18"/>
              </w:rPr>
              <w:t>高新电子</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2"/>
              <w:jc w:val="right"/>
              <w:rPr>
                <w:rFonts w:ascii="Times New Roman" w:hAnsi="Times New Roman" w:cs="Times New Roman" w:eastAsia="Times New Roman" w:hint="default"/>
                <w:sz w:val="18"/>
                <w:szCs w:val="18"/>
              </w:rPr>
            </w:pPr>
            <w:r>
              <w:rPr>
                <w:rFonts w:ascii="Times New Roman"/>
                <w:spacing w:val="-1"/>
                <w:sz w:val="18"/>
              </w:rPr>
              <w:t>2,518,387,379.25</w:t>
            </w:r>
          </w:p>
        </w:tc>
        <w:tc>
          <w:tcPr>
            <w:tcW w:w="14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Times New Roman" w:hAnsi="Times New Roman" w:cs="Times New Roman" w:eastAsia="Times New Roman" w:hint="default"/>
                <w:sz w:val="18"/>
                <w:szCs w:val="18"/>
              </w:rPr>
            </w:pPr>
            <w:r>
              <w:rPr>
                <w:rFonts w:ascii="Times New Roman"/>
                <w:sz w:val="18"/>
              </w:rPr>
              <w:t>35.35%</w:t>
            </w:r>
          </w:p>
        </w:tc>
        <w:tc>
          <w:tcPr>
            <w:tcW w:w="1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1"/>
              <w:jc w:val="right"/>
              <w:rPr>
                <w:rFonts w:ascii="Times New Roman" w:hAnsi="Times New Roman" w:cs="Times New Roman" w:eastAsia="Times New Roman" w:hint="default"/>
                <w:sz w:val="18"/>
                <w:szCs w:val="18"/>
              </w:rPr>
            </w:pPr>
            <w:r>
              <w:rPr>
                <w:rFonts w:ascii="Times New Roman"/>
                <w:spacing w:val="-1"/>
                <w:sz w:val="18"/>
              </w:rPr>
              <w:t>2,323,783,668.67</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1" w:right="0"/>
              <w:jc w:val="center"/>
              <w:rPr>
                <w:rFonts w:ascii="Times New Roman" w:hAnsi="Times New Roman" w:cs="Times New Roman" w:eastAsia="Times New Roman" w:hint="default"/>
                <w:sz w:val="18"/>
                <w:szCs w:val="18"/>
              </w:rPr>
            </w:pPr>
            <w:r>
              <w:rPr>
                <w:rFonts w:ascii="Times New Roman"/>
                <w:sz w:val="18"/>
              </w:rPr>
              <w:t>34.91%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1" w:right="0"/>
              <w:jc w:val="center"/>
              <w:rPr>
                <w:rFonts w:ascii="Times New Roman" w:hAnsi="Times New Roman" w:cs="Times New Roman" w:eastAsia="Times New Roman" w:hint="default"/>
                <w:sz w:val="18"/>
                <w:szCs w:val="18"/>
              </w:rPr>
            </w:pPr>
            <w:r>
              <w:rPr>
                <w:rFonts w:ascii="Times New Roman"/>
                <w:sz w:val="18"/>
              </w:rPr>
              <w:t>8.37%</w:t>
            </w:r>
          </w:p>
        </w:tc>
      </w:tr>
      <w:tr>
        <w:trPr>
          <w:trHeight w:val="362" w:hRule="exact"/>
        </w:trPr>
        <w:tc>
          <w:tcPr>
            <w:tcW w:w="1369" w:type="dxa"/>
            <w:vMerge/>
            <w:tcBorders>
              <w:left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人工成本</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20"/>
              <w:jc w:val="right"/>
              <w:rPr>
                <w:rFonts w:ascii="Times New Roman" w:hAnsi="Times New Roman" w:cs="Times New Roman" w:eastAsia="Times New Roman" w:hint="default"/>
                <w:sz w:val="18"/>
                <w:szCs w:val="18"/>
              </w:rPr>
            </w:pPr>
            <w:r>
              <w:rPr>
                <w:rFonts w:ascii="Times New Roman"/>
                <w:spacing w:val="-1"/>
                <w:sz w:val="18"/>
              </w:rPr>
              <w:t>329,662,431.45</w:t>
            </w:r>
          </w:p>
        </w:tc>
        <w:tc>
          <w:tcPr>
            <w:tcW w:w="14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1"/>
              <w:jc w:val="center"/>
              <w:rPr>
                <w:rFonts w:ascii="Times New Roman" w:hAnsi="Times New Roman" w:cs="Times New Roman" w:eastAsia="Times New Roman" w:hint="default"/>
                <w:sz w:val="18"/>
                <w:szCs w:val="18"/>
              </w:rPr>
            </w:pPr>
            <w:r>
              <w:rPr>
                <w:rFonts w:ascii="Times New Roman"/>
                <w:sz w:val="18"/>
              </w:rPr>
              <w:t>4.63%</w:t>
            </w:r>
          </w:p>
        </w:tc>
        <w:tc>
          <w:tcPr>
            <w:tcW w:w="1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19"/>
              <w:jc w:val="right"/>
              <w:rPr>
                <w:rFonts w:ascii="Times New Roman" w:hAnsi="Times New Roman" w:cs="Times New Roman" w:eastAsia="Times New Roman" w:hint="default"/>
                <w:sz w:val="18"/>
                <w:szCs w:val="18"/>
              </w:rPr>
            </w:pPr>
            <w:r>
              <w:rPr>
                <w:rFonts w:ascii="Times New Roman"/>
                <w:spacing w:val="-1"/>
                <w:sz w:val="18"/>
              </w:rPr>
              <w:t>331,705,287.24</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left="2" w:right="0"/>
              <w:jc w:val="center"/>
              <w:rPr>
                <w:rFonts w:ascii="Times New Roman" w:hAnsi="Times New Roman" w:cs="Times New Roman" w:eastAsia="Times New Roman" w:hint="default"/>
                <w:sz w:val="18"/>
                <w:szCs w:val="18"/>
              </w:rPr>
            </w:pPr>
            <w:r>
              <w:rPr>
                <w:rFonts w:ascii="Times New Roman"/>
                <w:sz w:val="18"/>
              </w:rPr>
              <w:t>4.98%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left="1" w:right="0"/>
              <w:jc w:val="center"/>
              <w:rPr>
                <w:rFonts w:ascii="Times New Roman" w:hAnsi="Times New Roman" w:cs="Times New Roman" w:eastAsia="Times New Roman" w:hint="default"/>
                <w:sz w:val="18"/>
                <w:szCs w:val="18"/>
              </w:rPr>
            </w:pPr>
            <w:r>
              <w:rPr>
                <w:rFonts w:ascii="Times New Roman"/>
                <w:sz w:val="18"/>
              </w:rPr>
              <w:t>-0.62%</w:t>
            </w:r>
          </w:p>
        </w:tc>
      </w:tr>
      <w:tr>
        <w:trPr>
          <w:trHeight w:val="362" w:hRule="exact"/>
        </w:trPr>
        <w:tc>
          <w:tcPr>
            <w:tcW w:w="1369" w:type="dxa"/>
            <w:vMerge/>
            <w:tcBorders>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费用</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0"/>
              <w:jc w:val="right"/>
              <w:rPr>
                <w:rFonts w:ascii="Times New Roman" w:hAnsi="Times New Roman" w:cs="Times New Roman" w:eastAsia="Times New Roman" w:hint="default"/>
                <w:sz w:val="18"/>
                <w:szCs w:val="18"/>
              </w:rPr>
            </w:pPr>
            <w:r>
              <w:rPr>
                <w:rFonts w:ascii="Times New Roman"/>
                <w:spacing w:val="-1"/>
                <w:sz w:val="18"/>
              </w:rPr>
              <w:t>112,685,791.23</w:t>
            </w:r>
          </w:p>
        </w:tc>
        <w:tc>
          <w:tcPr>
            <w:tcW w:w="14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center"/>
              <w:rPr>
                <w:rFonts w:ascii="Times New Roman" w:hAnsi="Times New Roman" w:cs="Times New Roman" w:eastAsia="Times New Roman" w:hint="default"/>
                <w:sz w:val="18"/>
                <w:szCs w:val="18"/>
              </w:rPr>
            </w:pPr>
            <w:r>
              <w:rPr>
                <w:rFonts w:ascii="Times New Roman"/>
                <w:sz w:val="18"/>
              </w:rPr>
              <w:t>1.58%</w:t>
            </w:r>
          </w:p>
        </w:tc>
        <w:tc>
          <w:tcPr>
            <w:tcW w:w="1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18"/>
                <w:szCs w:val="18"/>
              </w:rPr>
            </w:pPr>
            <w:r>
              <w:rPr>
                <w:rFonts w:ascii="Times New Roman"/>
                <w:spacing w:val="-1"/>
                <w:sz w:val="18"/>
              </w:rPr>
              <w:t>110,364,866.02</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2" w:right="0"/>
              <w:jc w:val="center"/>
              <w:rPr>
                <w:rFonts w:ascii="Times New Roman" w:hAnsi="Times New Roman" w:cs="Times New Roman" w:eastAsia="Times New Roman" w:hint="default"/>
                <w:sz w:val="18"/>
                <w:szCs w:val="18"/>
              </w:rPr>
            </w:pPr>
            <w:r>
              <w:rPr>
                <w:rFonts w:ascii="Times New Roman"/>
                <w:sz w:val="18"/>
              </w:rPr>
              <w:t>1.66%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1" w:right="0"/>
              <w:jc w:val="center"/>
              <w:rPr>
                <w:rFonts w:ascii="Times New Roman" w:hAnsi="Times New Roman" w:cs="Times New Roman" w:eastAsia="Times New Roman" w:hint="default"/>
                <w:sz w:val="18"/>
                <w:szCs w:val="18"/>
              </w:rPr>
            </w:pPr>
            <w:r>
              <w:rPr>
                <w:rFonts w:ascii="Times New Roman"/>
                <w:sz w:val="18"/>
              </w:rPr>
              <w:t>2.10%</w:t>
            </w:r>
          </w:p>
        </w:tc>
      </w:tr>
      <w:tr>
        <w:trPr>
          <w:trHeight w:val="361" w:hRule="exact"/>
        </w:trPr>
        <w:tc>
          <w:tcPr>
            <w:tcW w:w="1369" w:type="dxa"/>
            <w:vMerge w:val="restart"/>
            <w:tcBorders>
              <w:top w:val="single" w:sz="4" w:space="0" w:color="000000"/>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316" w:lineRule="auto"/>
              <w:ind w:left="22" w:right="74"/>
              <w:jc w:val="left"/>
              <w:rPr>
                <w:rFonts w:ascii="宋体" w:hAnsi="宋体" w:cs="宋体" w:eastAsia="宋体" w:hint="default"/>
                <w:sz w:val="18"/>
                <w:szCs w:val="18"/>
              </w:rPr>
            </w:pPr>
            <w:r>
              <w:rPr>
                <w:rFonts w:ascii="宋体" w:hAnsi="宋体" w:cs="宋体" w:eastAsia="宋体" w:hint="default"/>
                <w:sz w:val="18"/>
                <w:szCs w:val="18"/>
              </w:rPr>
              <w:t>信息安全整机及 解决方案</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2"/>
              <w:jc w:val="right"/>
              <w:rPr>
                <w:rFonts w:ascii="Times New Roman" w:hAnsi="Times New Roman" w:cs="Times New Roman" w:eastAsia="Times New Roman" w:hint="default"/>
                <w:sz w:val="18"/>
                <w:szCs w:val="18"/>
              </w:rPr>
            </w:pPr>
            <w:r>
              <w:rPr>
                <w:rFonts w:ascii="Times New Roman"/>
                <w:spacing w:val="-1"/>
                <w:sz w:val="18"/>
              </w:rPr>
              <w:t>1,419,813,506.95</w:t>
            </w:r>
          </w:p>
        </w:tc>
        <w:tc>
          <w:tcPr>
            <w:tcW w:w="14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Times New Roman" w:hAnsi="Times New Roman" w:cs="Times New Roman" w:eastAsia="Times New Roman" w:hint="default"/>
                <w:sz w:val="18"/>
                <w:szCs w:val="18"/>
              </w:rPr>
            </w:pPr>
            <w:r>
              <w:rPr>
                <w:rFonts w:ascii="Times New Roman"/>
                <w:sz w:val="18"/>
              </w:rPr>
              <w:t>19.93%</w:t>
            </w:r>
          </w:p>
        </w:tc>
        <w:tc>
          <w:tcPr>
            <w:tcW w:w="1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1"/>
              <w:jc w:val="right"/>
              <w:rPr>
                <w:rFonts w:ascii="Times New Roman" w:hAnsi="Times New Roman" w:cs="Times New Roman" w:eastAsia="Times New Roman" w:hint="default"/>
                <w:sz w:val="18"/>
                <w:szCs w:val="18"/>
              </w:rPr>
            </w:pPr>
            <w:r>
              <w:rPr>
                <w:rFonts w:ascii="Times New Roman"/>
                <w:spacing w:val="-1"/>
                <w:sz w:val="18"/>
              </w:rPr>
              <w:t>1,502,977,802.18</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1" w:right="0"/>
              <w:jc w:val="center"/>
              <w:rPr>
                <w:rFonts w:ascii="Times New Roman" w:hAnsi="Times New Roman" w:cs="Times New Roman" w:eastAsia="Times New Roman" w:hint="default"/>
                <w:sz w:val="18"/>
                <w:szCs w:val="18"/>
              </w:rPr>
            </w:pPr>
            <w:r>
              <w:rPr>
                <w:rFonts w:ascii="Times New Roman"/>
                <w:sz w:val="18"/>
              </w:rPr>
              <w:t>22.58%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1" w:right="0"/>
              <w:jc w:val="center"/>
              <w:rPr>
                <w:rFonts w:ascii="Times New Roman" w:hAnsi="Times New Roman" w:cs="Times New Roman" w:eastAsia="Times New Roman" w:hint="default"/>
                <w:sz w:val="18"/>
                <w:szCs w:val="18"/>
              </w:rPr>
            </w:pPr>
            <w:r>
              <w:rPr>
                <w:rFonts w:ascii="Times New Roman"/>
                <w:sz w:val="18"/>
              </w:rPr>
              <w:t>-5.53%</w:t>
            </w:r>
          </w:p>
        </w:tc>
      </w:tr>
      <w:tr>
        <w:trPr>
          <w:trHeight w:val="362" w:hRule="exact"/>
        </w:trPr>
        <w:tc>
          <w:tcPr>
            <w:tcW w:w="1369" w:type="dxa"/>
            <w:vMerge/>
            <w:tcBorders>
              <w:left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人工成本</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20"/>
              <w:jc w:val="right"/>
              <w:rPr>
                <w:rFonts w:ascii="Times New Roman" w:hAnsi="Times New Roman" w:cs="Times New Roman" w:eastAsia="Times New Roman" w:hint="default"/>
                <w:sz w:val="18"/>
                <w:szCs w:val="18"/>
              </w:rPr>
            </w:pPr>
            <w:r>
              <w:rPr>
                <w:rFonts w:ascii="Times New Roman"/>
                <w:spacing w:val="-1"/>
                <w:sz w:val="18"/>
              </w:rPr>
              <w:t>69,490,757.60</w:t>
            </w:r>
          </w:p>
        </w:tc>
        <w:tc>
          <w:tcPr>
            <w:tcW w:w="14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1"/>
              <w:jc w:val="center"/>
              <w:rPr>
                <w:rFonts w:ascii="Times New Roman" w:hAnsi="Times New Roman" w:cs="Times New Roman" w:eastAsia="Times New Roman" w:hint="default"/>
                <w:sz w:val="18"/>
                <w:szCs w:val="18"/>
              </w:rPr>
            </w:pPr>
            <w:r>
              <w:rPr>
                <w:rFonts w:ascii="Times New Roman"/>
                <w:sz w:val="18"/>
              </w:rPr>
              <w:t>0.98%</w:t>
            </w:r>
          </w:p>
        </w:tc>
        <w:tc>
          <w:tcPr>
            <w:tcW w:w="1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19"/>
              <w:jc w:val="right"/>
              <w:rPr>
                <w:rFonts w:ascii="Times New Roman" w:hAnsi="Times New Roman" w:cs="Times New Roman" w:eastAsia="Times New Roman" w:hint="default"/>
                <w:sz w:val="18"/>
                <w:szCs w:val="18"/>
              </w:rPr>
            </w:pPr>
            <w:r>
              <w:rPr>
                <w:rFonts w:ascii="Times New Roman"/>
                <w:spacing w:val="-1"/>
                <w:sz w:val="18"/>
              </w:rPr>
              <w:t>55,964,031.92</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left="2" w:right="0"/>
              <w:jc w:val="center"/>
              <w:rPr>
                <w:rFonts w:ascii="Times New Roman" w:hAnsi="Times New Roman" w:cs="Times New Roman" w:eastAsia="Times New Roman" w:hint="default"/>
                <w:sz w:val="18"/>
                <w:szCs w:val="18"/>
              </w:rPr>
            </w:pPr>
            <w:r>
              <w:rPr>
                <w:rFonts w:ascii="Times New Roman"/>
                <w:sz w:val="18"/>
              </w:rPr>
              <w:t>0.84%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center"/>
              <w:rPr>
                <w:rFonts w:ascii="Times New Roman" w:hAnsi="Times New Roman" w:cs="Times New Roman" w:eastAsia="Times New Roman" w:hint="default"/>
                <w:sz w:val="18"/>
                <w:szCs w:val="18"/>
              </w:rPr>
            </w:pPr>
            <w:r>
              <w:rPr>
                <w:rFonts w:ascii="Times New Roman"/>
                <w:sz w:val="18"/>
              </w:rPr>
              <w:t>24.17%</w:t>
            </w:r>
          </w:p>
        </w:tc>
      </w:tr>
      <w:tr>
        <w:trPr>
          <w:trHeight w:val="362" w:hRule="exact"/>
        </w:trPr>
        <w:tc>
          <w:tcPr>
            <w:tcW w:w="1369" w:type="dxa"/>
            <w:vMerge/>
            <w:tcBorders>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费用</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0"/>
              <w:jc w:val="right"/>
              <w:rPr>
                <w:rFonts w:ascii="Times New Roman" w:hAnsi="Times New Roman" w:cs="Times New Roman" w:eastAsia="Times New Roman" w:hint="default"/>
                <w:sz w:val="18"/>
                <w:szCs w:val="18"/>
              </w:rPr>
            </w:pPr>
            <w:r>
              <w:rPr>
                <w:rFonts w:ascii="Times New Roman"/>
                <w:spacing w:val="-1"/>
                <w:sz w:val="18"/>
              </w:rPr>
              <w:t>19,002,678.20</w:t>
            </w:r>
          </w:p>
        </w:tc>
        <w:tc>
          <w:tcPr>
            <w:tcW w:w="14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center"/>
              <w:rPr>
                <w:rFonts w:ascii="Times New Roman" w:hAnsi="Times New Roman" w:cs="Times New Roman" w:eastAsia="Times New Roman" w:hint="default"/>
                <w:sz w:val="18"/>
                <w:szCs w:val="18"/>
              </w:rPr>
            </w:pPr>
            <w:r>
              <w:rPr>
                <w:rFonts w:ascii="Times New Roman"/>
                <w:sz w:val="18"/>
              </w:rPr>
              <w:t>0.27%</w:t>
            </w:r>
          </w:p>
        </w:tc>
        <w:tc>
          <w:tcPr>
            <w:tcW w:w="1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18"/>
                <w:szCs w:val="18"/>
              </w:rPr>
            </w:pPr>
            <w:r>
              <w:rPr>
                <w:rFonts w:ascii="Times New Roman"/>
                <w:spacing w:val="-1"/>
                <w:sz w:val="18"/>
              </w:rPr>
              <w:t>21,886,480.48</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2" w:right="0"/>
              <w:jc w:val="center"/>
              <w:rPr>
                <w:rFonts w:ascii="Times New Roman" w:hAnsi="Times New Roman" w:cs="Times New Roman" w:eastAsia="Times New Roman" w:hint="default"/>
                <w:sz w:val="18"/>
                <w:szCs w:val="18"/>
              </w:rPr>
            </w:pPr>
            <w:r>
              <w:rPr>
                <w:rFonts w:ascii="Times New Roman"/>
                <w:sz w:val="18"/>
              </w:rPr>
              <w:t>0.33%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Times New Roman" w:hAnsi="Times New Roman" w:cs="Times New Roman" w:eastAsia="Times New Roman" w:hint="default"/>
                <w:sz w:val="18"/>
                <w:szCs w:val="18"/>
              </w:rPr>
            </w:pPr>
            <w:r>
              <w:rPr>
                <w:rFonts w:ascii="Times New Roman"/>
                <w:sz w:val="18"/>
              </w:rPr>
              <w:t>-13.18%</w:t>
            </w:r>
          </w:p>
        </w:tc>
      </w:tr>
      <w:tr>
        <w:trPr>
          <w:trHeight w:val="361" w:hRule="exact"/>
        </w:trPr>
        <w:tc>
          <w:tcPr>
            <w:tcW w:w="136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8"/>
              <w:ind w:left="22" w:right="0"/>
              <w:jc w:val="left"/>
              <w:rPr>
                <w:rFonts w:ascii="宋体" w:hAnsi="宋体" w:cs="宋体" w:eastAsia="宋体" w:hint="default"/>
                <w:sz w:val="18"/>
                <w:szCs w:val="18"/>
              </w:rPr>
            </w:pPr>
            <w:r>
              <w:rPr>
                <w:rFonts w:ascii="宋体" w:hAnsi="宋体" w:cs="宋体" w:eastAsia="宋体" w:hint="default"/>
                <w:sz w:val="18"/>
                <w:szCs w:val="18"/>
              </w:rPr>
              <w:t>电源产品</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2"/>
              <w:jc w:val="right"/>
              <w:rPr>
                <w:rFonts w:ascii="Times New Roman" w:hAnsi="Times New Roman" w:cs="Times New Roman" w:eastAsia="Times New Roman" w:hint="default"/>
                <w:sz w:val="18"/>
                <w:szCs w:val="18"/>
              </w:rPr>
            </w:pPr>
            <w:r>
              <w:rPr>
                <w:rFonts w:ascii="Times New Roman"/>
                <w:spacing w:val="-1"/>
                <w:sz w:val="18"/>
              </w:rPr>
              <w:t>2,166,721,007.90</w:t>
            </w:r>
          </w:p>
        </w:tc>
        <w:tc>
          <w:tcPr>
            <w:tcW w:w="14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Times New Roman" w:hAnsi="Times New Roman" w:cs="Times New Roman" w:eastAsia="Times New Roman" w:hint="default"/>
                <w:sz w:val="18"/>
                <w:szCs w:val="18"/>
              </w:rPr>
            </w:pPr>
            <w:r>
              <w:rPr>
                <w:rFonts w:ascii="Times New Roman"/>
                <w:sz w:val="18"/>
              </w:rPr>
              <w:t>30.42%</w:t>
            </w:r>
          </w:p>
        </w:tc>
        <w:tc>
          <w:tcPr>
            <w:tcW w:w="1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1"/>
              <w:jc w:val="right"/>
              <w:rPr>
                <w:rFonts w:ascii="Times New Roman" w:hAnsi="Times New Roman" w:cs="Times New Roman" w:eastAsia="Times New Roman" w:hint="default"/>
                <w:sz w:val="18"/>
                <w:szCs w:val="18"/>
              </w:rPr>
            </w:pPr>
            <w:r>
              <w:rPr>
                <w:rFonts w:ascii="Times New Roman"/>
                <w:spacing w:val="-1"/>
                <w:sz w:val="18"/>
              </w:rPr>
              <w:t>1,831,805,746.32</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1" w:right="0"/>
              <w:jc w:val="center"/>
              <w:rPr>
                <w:rFonts w:ascii="Times New Roman" w:hAnsi="Times New Roman" w:cs="Times New Roman" w:eastAsia="Times New Roman" w:hint="default"/>
                <w:sz w:val="18"/>
                <w:szCs w:val="18"/>
              </w:rPr>
            </w:pPr>
            <w:r>
              <w:rPr>
                <w:rFonts w:ascii="Times New Roman"/>
                <w:sz w:val="18"/>
              </w:rPr>
              <w:t>27.52%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Times New Roman" w:hAnsi="Times New Roman" w:cs="Times New Roman" w:eastAsia="Times New Roman" w:hint="default"/>
                <w:sz w:val="18"/>
                <w:szCs w:val="18"/>
              </w:rPr>
            </w:pPr>
            <w:r>
              <w:rPr>
                <w:rFonts w:ascii="Times New Roman"/>
                <w:sz w:val="18"/>
              </w:rPr>
              <w:t>18.28%</w:t>
            </w:r>
          </w:p>
        </w:tc>
      </w:tr>
      <w:tr>
        <w:trPr>
          <w:trHeight w:val="362" w:hRule="exact"/>
        </w:trPr>
        <w:tc>
          <w:tcPr>
            <w:tcW w:w="1369" w:type="dxa"/>
            <w:vMerge/>
            <w:tcBorders>
              <w:left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人工成本</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20"/>
              <w:jc w:val="right"/>
              <w:rPr>
                <w:rFonts w:ascii="Times New Roman" w:hAnsi="Times New Roman" w:cs="Times New Roman" w:eastAsia="Times New Roman" w:hint="default"/>
                <w:sz w:val="18"/>
                <w:szCs w:val="18"/>
              </w:rPr>
            </w:pPr>
            <w:r>
              <w:rPr>
                <w:rFonts w:ascii="Times New Roman"/>
                <w:spacing w:val="-1"/>
                <w:sz w:val="18"/>
              </w:rPr>
              <w:t>274,348,686.77</w:t>
            </w:r>
          </w:p>
        </w:tc>
        <w:tc>
          <w:tcPr>
            <w:tcW w:w="14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1"/>
              <w:jc w:val="center"/>
              <w:rPr>
                <w:rFonts w:ascii="Times New Roman" w:hAnsi="Times New Roman" w:cs="Times New Roman" w:eastAsia="Times New Roman" w:hint="default"/>
                <w:sz w:val="18"/>
                <w:szCs w:val="18"/>
              </w:rPr>
            </w:pPr>
            <w:r>
              <w:rPr>
                <w:rFonts w:ascii="Times New Roman"/>
                <w:sz w:val="18"/>
              </w:rPr>
              <w:t>3.85%</w:t>
            </w:r>
          </w:p>
        </w:tc>
        <w:tc>
          <w:tcPr>
            <w:tcW w:w="1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19"/>
              <w:jc w:val="right"/>
              <w:rPr>
                <w:rFonts w:ascii="Times New Roman" w:hAnsi="Times New Roman" w:cs="Times New Roman" w:eastAsia="Times New Roman" w:hint="default"/>
                <w:sz w:val="18"/>
                <w:szCs w:val="18"/>
              </w:rPr>
            </w:pPr>
            <w:r>
              <w:rPr>
                <w:rFonts w:ascii="Times New Roman"/>
                <w:spacing w:val="-1"/>
                <w:sz w:val="18"/>
              </w:rPr>
              <w:t>247,922,036.43</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left="2" w:right="0"/>
              <w:jc w:val="center"/>
              <w:rPr>
                <w:rFonts w:ascii="Times New Roman" w:hAnsi="Times New Roman" w:cs="Times New Roman" w:eastAsia="Times New Roman" w:hint="default"/>
                <w:sz w:val="18"/>
                <w:szCs w:val="18"/>
              </w:rPr>
            </w:pPr>
            <w:r>
              <w:rPr>
                <w:rFonts w:ascii="Times New Roman"/>
                <w:sz w:val="18"/>
              </w:rPr>
              <w:t>3.72%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center"/>
              <w:rPr>
                <w:rFonts w:ascii="Times New Roman" w:hAnsi="Times New Roman" w:cs="Times New Roman" w:eastAsia="Times New Roman" w:hint="default"/>
                <w:sz w:val="18"/>
                <w:szCs w:val="18"/>
              </w:rPr>
            </w:pPr>
            <w:r>
              <w:rPr>
                <w:rFonts w:ascii="Times New Roman"/>
                <w:sz w:val="18"/>
              </w:rPr>
              <w:t>10.66%</w:t>
            </w:r>
          </w:p>
        </w:tc>
      </w:tr>
      <w:tr>
        <w:trPr>
          <w:trHeight w:val="362" w:hRule="exact"/>
        </w:trPr>
        <w:tc>
          <w:tcPr>
            <w:tcW w:w="1369" w:type="dxa"/>
            <w:vMerge/>
            <w:tcBorders>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费用</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0"/>
              <w:jc w:val="right"/>
              <w:rPr>
                <w:rFonts w:ascii="Times New Roman" w:hAnsi="Times New Roman" w:cs="Times New Roman" w:eastAsia="Times New Roman" w:hint="default"/>
                <w:sz w:val="18"/>
                <w:szCs w:val="18"/>
              </w:rPr>
            </w:pPr>
            <w:r>
              <w:rPr>
                <w:rFonts w:ascii="Times New Roman"/>
                <w:spacing w:val="-1"/>
                <w:sz w:val="18"/>
              </w:rPr>
              <w:t>145,758,117.63</w:t>
            </w:r>
          </w:p>
        </w:tc>
        <w:tc>
          <w:tcPr>
            <w:tcW w:w="14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center"/>
              <w:rPr>
                <w:rFonts w:ascii="Times New Roman" w:hAnsi="Times New Roman" w:cs="Times New Roman" w:eastAsia="Times New Roman" w:hint="default"/>
                <w:sz w:val="18"/>
                <w:szCs w:val="18"/>
              </w:rPr>
            </w:pPr>
            <w:r>
              <w:rPr>
                <w:rFonts w:ascii="Times New Roman"/>
                <w:sz w:val="18"/>
              </w:rPr>
              <w:t>2.05%</w:t>
            </w:r>
          </w:p>
        </w:tc>
        <w:tc>
          <w:tcPr>
            <w:tcW w:w="1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18"/>
                <w:szCs w:val="18"/>
              </w:rPr>
            </w:pPr>
            <w:r>
              <w:rPr>
                <w:rFonts w:ascii="Times New Roman"/>
                <w:spacing w:val="-1"/>
                <w:sz w:val="18"/>
              </w:rPr>
              <w:t>145,287,850.48</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2" w:right="0"/>
              <w:jc w:val="center"/>
              <w:rPr>
                <w:rFonts w:ascii="Times New Roman" w:hAnsi="Times New Roman" w:cs="Times New Roman" w:eastAsia="Times New Roman" w:hint="default"/>
                <w:sz w:val="18"/>
                <w:szCs w:val="18"/>
              </w:rPr>
            </w:pPr>
            <w:r>
              <w:rPr>
                <w:rFonts w:ascii="Times New Roman"/>
                <w:sz w:val="18"/>
              </w:rPr>
              <w:t>2.18%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1" w:right="0"/>
              <w:jc w:val="center"/>
              <w:rPr>
                <w:rFonts w:ascii="Times New Roman" w:hAnsi="Times New Roman" w:cs="Times New Roman" w:eastAsia="Times New Roman" w:hint="default"/>
                <w:sz w:val="18"/>
                <w:szCs w:val="18"/>
              </w:rPr>
            </w:pPr>
            <w:r>
              <w:rPr>
                <w:rFonts w:ascii="Times New Roman"/>
                <w:sz w:val="18"/>
              </w:rPr>
              <w:t>0.32%</w:t>
            </w:r>
          </w:p>
        </w:tc>
      </w:tr>
      <w:tr>
        <w:trPr>
          <w:trHeight w:val="361" w:hRule="exact"/>
        </w:trPr>
        <w:tc>
          <w:tcPr>
            <w:tcW w:w="1369" w:type="dxa"/>
            <w:vMerge w:val="restart"/>
            <w:tcBorders>
              <w:top w:val="single" w:sz="4" w:space="0" w:color="000000"/>
              <w:left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园区及物业服务</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人工成本</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0"/>
              <w:jc w:val="right"/>
              <w:rPr>
                <w:rFonts w:ascii="Times New Roman" w:hAnsi="Times New Roman" w:cs="Times New Roman" w:eastAsia="Times New Roman" w:hint="default"/>
                <w:sz w:val="18"/>
                <w:szCs w:val="18"/>
              </w:rPr>
            </w:pPr>
            <w:r>
              <w:rPr>
                <w:rFonts w:ascii="Times New Roman"/>
                <w:spacing w:val="-1"/>
                <w:sz w:val="18"/>
              </w:rPr>
              <w:t>16,437,349.15</w:t>
            </w:r>
          </w:p>
        </w:tc>
        <w:tc>
          <w:tcPr>
            <w:tcW w:w="14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center"/>
              <w:rPr>
                <w:rFonts w:ascii="Times New Roman" w:hAnsi="Times New Roman" w:cs="Times New Roman" w:eastAsia="Times New Roman" w:hint="default"/>
                <w:sz w:val="18"/>
                <w:szCs w:val="18"/>
              </w:rPr>
            </w:pPr>
            <w:r>
              <w:rPr>
                <w:rFonts w:ascii="Times New Roman"/>
                <w:sz w:val="18"/>
              </w:rPr>
              <w:t>0.23%</w:t>
            </w:r>
          </w:p>
        </w:tc>
        <w:tc>
          <w:tcPr>
            <w:tcW w:w="1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18"/>
                <w:szCs w:val="18"/>
              </w:rPr>
            </w:pPr>
            <w:r>
              <w:rPr>
                <w:rFonts w:ascii="Times New Roman"/>
                <w:spacing w:val="-1"/>
                <w:sz w:val="18"/>
              </w:rPr>
              <w:t>10,991,191.50</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2" w:right="0"/>
              <w:jc w:val="center"/>
              <w:rPr>
                <w:rFonts w:ascii="Times New Roman" w:hAnsi="Times New Roman" w:cs="Times New Roman" w:eastAsia="Times New Roman" w:hint="default"/>
                <w:sz w:val="18"/>
                <w:szCs w:val="18"/>
              </w:rPr>
            </w:pPr>
            <w:r>
              <w:rPr>
                <w:rFonts w:ascii="Times New Roman"/>
                <w:sz w:val="18"/>
              </w:rPr>
              <w:t>0.17%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Times New Roman" w:hAnsi="Times New Roman" w:cs="Times New Roman" w:eastAsia="Times New Roman" w:hint="default"/>
                <w:sz w:val="18"/>
                <w:szCs w:val="18"/>
              </w:rPr>
            </w:pPr>
            <w:r>
              <w:rPr>
                <w:rFonts w:ascii="Times New Roman"/>
                <w:sz w:val="18"/>
              </w:rPr>
              <w:t>49.55%</w:t>
            </w:r>
          </w:p>
        </w:tc>
      </w:tr>
      <w:tr>
        <w:trPr>
          <w:trHeight w:val="362" w:hRule="exact"/>
        </w:trPr>
        <w:tc>
          <w:tcPr>
            <w:tcW w:w="1369" w:type="dxa"/>
            <w:vMerge/>
            <w:tcBorders>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费用</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20"/>
              <w:jc w:val="right"/>
              <w:rPr>
                <w:rFonts w:ascii="Times New Roman" w:hAnsi="Times New Roman" w:cs="Times New Roman" w:eastAsia="Times New Roman" w:hint="default"/>
                <w:sz w:val="18"/>
                <w:szCs w:val="18"/>
              </w:rPr>
            </w:pPr>
            <w:r>
              <w:rPr>
                <w:rFonts w:ascii="Times New Roman"/>
                <w:spacing w:val="-1"/>
                <w:sz w:val="18"/>
              </w:rPr>
              <w:t>18,263,787.49</w:t>
            </w:r>
          </w:p>
        </w:tc>
        <w:tc>
          <w:tcPr>
            <w:tcW w:w="14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1"/>
              <w:jc w:val="center"/>
              <w:rPr>
                <w:rFonts w:ascii="Times New Roman" w:hAnsi="Times New Roman" w:cs="Times New Roman" w:eastAsia="Times New Roman" w:hint="default"/>
                <w:sz w:val="18"/>
                <w:szCs w:val="18"/>
              </w:rPr>
            </w:pPr>
            <w:r>
              <w:rPr>
                <w:rFonts w:ascii="Times New Roman"/>
                <w:sz w:val="18"/>
              </w:rPr>
              <w:t>0.26%</w:t>
            </w:r>
          </w:p>
        </w:tc>
        <w:tc>
          <w:tcPr>
            <w:tcW w:w="1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19"/>
              <w:jc w:val="right"/>
              <w:rPr>
                <w:rFonts w:ascii="Times New Roman" w:hAnsi="Times New Roman" w:cs="Times New Roman" w:eastAsia="Times New Roman" w:hint="default"/>
                <w:sz w:val="18"/>
                <w:szCs w:val="18"/>
              </w:rPr>
            </w:pPr>
            <w:r>
              <w:rPr>
                <w:rFonts w:ascii="Times New Roman"/>
                <w:spacing w:val="-1"/>
                <w:sz w:val="18"/>
              </w:rPr>
              <w:t>31,665,182.70</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left="2" w:right="0"/>
              <w:jc w:val="center"/>
              <w:rPr>
                <w:rFonts w:ascii="Times New Roman" w:hAnsi="Times New Roman" w:cs="Times New Roman" w:eastAsia="Times New Roman" w:hint="default"/>
                <w:sz w:val="18"/>
                <w:szCs w:val="18"/>
              </w:rPr>
            </w:pPr>
            <w:r>
              <w:rPr>
                <w:rFonts w:ascii="Times New Roman"/>
                <w:sz w:val="18"/>
              </w:rPr>
              <w:t>0.48%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center"/>
              <w:rPr>
                <w:rFonts w:ascii="Times New Roman" w:hAnsi="Times New Roman" w:cs="Times New Roman" w:eastAsia="Times New Roman" w:hint="default"/>
                <w:sz w:val="18"/>
                <w:szCs w:val="18"/>
              </w:rPr>
            </w:pPr>
            <w:r>
              <w:rPr>
                <w:rFonts w:ascii="Times New Roman"/>
                <w:sz w:val="18"/>
              </w:rPr>
              <w:t>-42.32%</w:t>
            </w:r>
          </w:p>
        </w:tc>
      </w:tr>
      <w:tr>
        <w:trPr>
          <w:trHeight w:val="362" w:hRule="exact"/>
        </w:trPr>
        <w:tc>
          <w:tcPr>
            <w:tcW w:w="136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8"/>
              <w:ind w:left="22" w:right="0"/>
              <w:jc w:val="left"/>
              <w:rPr>
                <w:rFonts w:ascii="宋体" w:hAnsi="宋体" w:cs="宋体" w:eastAsia="宋体" w:hint="default"/>
                <w:sz w:val="18"/>
                <w:szCs w:val="18"/>
              </w:rPr>
            </w:pPr>
            <w:r>
              <w:rPr>
                <w:rFonts w:ascii="宋体" w:hAnsi="宋体" w:cs="宋体" w:eastAsia="宋体" w:hint="default"/>
                <w:sz w:val="18"/>
                <w:szCs w:val="18"/>
              </w:rPr>
              <w:t>其他行业</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0"/>
              <w:jc w:val="right"/>
              <w:rPr>
                <w:rFonts w:ascii="Times New Roman" w:hAnsi="Times New Roman" w:cs="Times New Roman" w:eastAsia="Times New Roman" w:hint="default"/>
                <w:sz w:val="18"/>
                <w:szCs w:val="18"/>
              </w:rPr>
            </w:pPr>
            <w:r>
              <w:rPr>
                <w:rFonts w:ascii="Times New Roman"/>
                <w:spacing w:val="-1"/>
                <w:sz w:val="18"/>
              </w:rPr>
              <w:t>23,098,960.97</w:t>
            </w:r>
          </w:p>
        </w:tc>
        <w:tc>
          <w:tcPr>
            <w:tcW w:w="14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center"/>
              <w:rPr>
                <w:rFonts w:ascii="Times New Roman" w:hAnsi="Times New Roman" w:cs="Times New Roman" w:eastAsia="Times New Roman" w:hint="default"/>
                <w:sz w:val="18"/>
                <w:szCs w:val="18"/>
              </w:rPr>
            </w:pPr>
            <w:r>
              <w:rPr>
                <w:rFonts w:ascii="Times New Roman"/>
                <w:sz w:val="18"/>
              </w:rPr>
              <w:t>0.32%</w:t>
            </w:r>
          </w:p>
        </w:tc>
        <w:tc>
          <w:tcPr>
            <w:tcW w:w="1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18"/>
                <w:szCs w:val="18"/>
              </w:rPr>
            </w:pPr>
            <w:r>
              <w:rPr>
                <w:rFonts w:ascii="Times New Roman"/>
                <w:spacing w:val="-1"/>
                <w:sz w:val="18"/>
              </w:rPr>
              <w:t>33,813,638.00</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2" w:right="0"/>
              <w:jc w:val="center"/>
              <w:rPr>
                <w:rFonts w:ascii="Times New Roman" w:hAnsi="Times New Roman" w:cs="Times New Roman" w:eastAsia="Times New Roman" w:hint="default"/>
                <w:sz w:val="18"/>
                <w:szCs w:val="18"/>
              </w:rPr>
            </w:pPr>
            <w:r>
              <w:rPr>
                <w:rFonts w:ascii="Times New Roman"/>
                <w:sz w:val="18"/>
              </w:rPr>
              <w:t>0.51%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Times New Roman" w:hAnsi="Times New Roman" w:cs="Times New Roman" w:eastAsia="Times New Roman" w:hint="default"/>
                <w:sz w:val="18"/>
                <w:szCs w:val="18"/>
              </w:rPr>
            </w:pPr>
            <w:r>
              <w:rPr>
                <w:rFonts w:ascii="Times New Roman"/>
                <w:sz w:val="18"/>
              </w:rPr>
              <w:t>-31.69%</w:t>
            </w:r>
          </w:p>
        </w:tc>
      </w:tr>
      <w:tr>
        <w:trPr>
          <w:trHeight w:val="361" w:hRule="exact"/>
        </w:trPr>
        <w:tc>
          <w:tcPr>
            <w:tcW w:w="1369" w:type="dxa"/>
            <w:vMerge/>
            <w:tcBorders>
              <w:left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人工成本</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0"/>
              <w:jc w:val="right"/>
              <w:rPr>
                <w:rFonts w:ascii="Times New Roman" w:hAnsi="Times New Roman" w:cs="Times New Roman" w:eastAsia="Times New Roman" w:hint="default"/>
                <w:sz w:val="18"/>
                <w:szCs w:val="18"/>
              </w:rPr>
            </w:pPr>
            <w:r>
              <w:rPr>
                <w:rFonts w:ascii="Times New Roman"/>
                <w:spacing w:val="-1"/>
                <w:sz w:val="18"/>
              </w:rPr>
              <w:t>1,839,527.93</w:t>
            </w:r>
          </w:p>
        </w:tc>
        <w:tc>
          <w:tcPr>
            <w:tcW w:w="14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center"/>
              <w:rPr>
                <w:rFonts w:ascii="Times New Roman" w:hAnsi="Times New Roman" w:cs="Times New Roman" w:eastAsia="Times New Roman" w:hint="default"/>
                <w:sz w:val="18"/>
                <w:szCs w:val="18"/>
              </w:rPr>
            </w:pPr>
            <w:r>
              <w:rPr>
                <w:rFonts w:ascii="Times New Roman"/>
                <w:sz w:val="18"/>
              </w:rPr>
              <w:t>0.03%</w:t>
            </w:r>
          </w:p>
        </w:tc>
        <w:tc>
          <w:tcPr>
            <w:tcW w:w="1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18"/>
                <w:szCs w:val="18"/>
              </w:rPr>
            </w:pPr>
            <w:r>
              <w:rPr>
                <w:rFonts w:ascii="Times New Roman"/>
                <w:spacing w:val="-1"/>
                <w:sz w:val="18"/>
              </w:rPr>
              <w:t>2,887,107.34</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2" w:right="0"/>
              <w:jc w:val="center"/>
              <w:rPr>
                <w:rFonts w:ascii="Times New Roman" w:hAnsi="Times New Roman" w:cs="Times New Roman" w:eastAsia="Times New Roman" w:hint="default"/>
                <w:sz w:val="18"/>
                <w:szCs w:val="18"/>
              </w:rPr>
            </w:pPr>
            <w:r>
              <w:rPr>
                <w:rFonts w:ascii="Times New Roman"/>
                <w:sz w:val="18"/>
              </w:rPr>
              <w:t>0.04%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Times New Roman" w:hAnsi="Times New Roman" w:cs="Times New Roman" w:eastAsia="Times New Roman" w:hint="default"/>
                <w:sz w:val="18"/>
                <w:szCs w:val="18"/>
              </w:rPr>
            </w:pPr>
            <w:r>
              <w:rPr>
                <w:rFonts w:ascii="Times New Roman"/>
                <w:sz w:val="18"/>
              </w:rPr>
              <w:t>-36.28%</w:t>
            </w:r>
          </w:p>
        </w:tc>
      </w:tr>
      <w:tr>
        <w:trPr>
          <w:trHeight w:val="362" w:hRule="exact"/>
        </w:trPr>
        <w:tc>
          <w:tcPr>
            <w:tcW w:w="1369" w:type="dxa"/>
            <w:vMerge/>
            <w:tcBorders>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费用</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20"/>
              <w:jc w:val="right"/>
              <w:rPr>
                <w:rFonts w:ascii="Times New Roman" w:hAnsi="Times New Roman" w:cs="Times New Roman" w:eastAsia="Times New Roman" w:hint="default"/>
                <w:sz w:val="18"/>
                <w:szCs w:val="18"/>
              </w:rPr>
            </w:pPr>
            <w:r>
              <w:rPr>
                <w:rFonts w:ascii="Times New Roman"/>
                <w:spacing w:val="-1"/>
                <w:sz w:val="18"/>
              </w:rPr>
              <w:t>8,328,400.91</w:t>
            </w:r>
          </w:p>
        </w:tc>
        <w:tc>
          <w:tcPr>
            <w:tcW w:w="14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1"/>
              <w:jc w:val="center"/>
              <w:rPr>
                <w:rFonts w:ascii="Times New Roman" w:hAnsi="Times New Roman" w:cs="Times New Roman" w:eastAsia="Times New Roman" w:hint="default"/>
                <w:sz w:val="18"/>
                <w:szCs w:val="18"/>
              </w:rPr>
            </w:pPr>
            <w:r>
              <w:rPr>
                <w:rFonts w:ascii="Times New Roman"/>
                <w:sz w:val="18"/>
              </w:rPr>
              <w:t>0.12%</w:t>
            </w:r>
          </w:p>
        </w:tc>
        <w:tc>
          <w:tcPr>
            <w:tcW w:w="15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19"/>
              <w:jc w:val="right"/>
              <w:rPr>
                <w:rFonts w:ascii="Times New Roman" w:hAnsi="Times New Roman" w:cs="Times New Roman" w:eastAsia="Times New Roman" w:hint="default"/>
                <w:sz w:val="18"/>
                <w:szCs w:val="18"/>
              </w:rPr>
            </w:pPr>
            <w:r>
              <w:rPr>
                <w:rFonts w:ascii="Times New Roman"/>
                <w:spacing w:val="-1"/>
                <w:sz w:val="18"/>
              </w:rPr>
              <w:t>5,606,355.14</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left="2" w:right="0"/>
              <w:jc w:val="center"/>
              <w:rPr>
                <w:rFonts w:ascii="Times New Roman" w:hAnsi="Times New Roman" w:cs="Times New Roman" w:eastAsia="Times New Roman" w:hint="default"/>
                <w:sz w:val="18"/>
                <w:szCs w:val="18"/>
              </w:rPr>
            </w:pPr>
            <w:r>
              <w:rPr>
                <w:rFonts w:ascii="Times New Roman"/>
                <w:sz w:val="18"/>
              </w:rPr>
              <w:t>0.08%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center"/>
              <w:rPr>
                <w:rFonts w:ascii="Times New Roman" w:hAnsi="Times New Roman" w:cs="Times New Roman" w:eastAsia="Times New Roman" w:hint="default"/>
                <w:sz w:val="18"/>
                <w:szCs w:val="18"/>
              </w:rPr>
            </w:pPr>
            <w:r>
              <w:rPr>
                <w:rFonts w:ascii="Times New Roman"/>
                <w:sz w:val="18"/>
              </w:rPr>
              <w:t>48.55%</w:t>
            </w:r>
          </w:p>
        </w:tc>
      </w:tr>
    </w:tbl>
    <w:p>
      <w:pPr>
        <w:spacing w:line="240" w:lineRule="auto" w:before="7"/>
        <w:rPr>
          <w:rFonts w:ascii="宋体" w:hAnsi="宋体" w:cs="宋体" w:eastAsia="宋体" w:hint="default"/>
          <w:sz w:val="14"/>
          <w:szCs w:val="14"/>
        </w:rPr>
      </w:pPr>
    </w:p>
    <w:p>
      <w:pPr>
        <w:pStyle w:val="Heading5"/>
        <w:spacing w:line="240" w:lineRule="auto"/>
        <w:ind w:left="174" w:right="0"/>
        <w:jc w:val="left"/>
        <w:rPr>
          <w:b w:val="0"/>
          <w:bCs w:val="0"/>
        </w:rPr>
      </w:pPr>
      <w:r>
        <w:rPr/>
        <w:t>（</w:t>
      </w:r>
      <w:r>
        <w:rPr>
          <w:rFonts w:ascii="Times New Roman" w:hAnsi="Times New Roman" w:cs="Times New Roman" w:eastAsia="Times New Roman" w:hint="default"/>
        </w:rPr>
        <w:t>6</w:t>
      </w:r>
      <w:r>
        <w:rPr/>
        <w:t>）报告期内合并范围是否发生变动</w:t>
      </w:r>
      <w:r>
        <w:rPr>
          <w:b w:val="0"/>
          <w:bCs w:val="0"/>
        </w:rPr>
      </w:r>
    </w:p>
    <w:p>
      <w:pPr>
        <w:spacing w:line="240" w:lineRule="auto" w:before="0"/>
        <w:rPr>
          <w:rFonts w:ascii="宋体" w:hAnsi="宋体" w:cs="宋体" w:eastAsia="宋体" w:hint="default"/>
          <w:b/>
          <w:bCs/>
          <w:sz w:val="22"/>
          <w:szCs w:val="22"/>
        </w:rPr>
      </w:pPr>
    </w:p>
    <w:p>
      <w:pPr>
        <w:spacing w:before="0"/>
        <w:ind w:left="174" w:right="0" w:firstLine="0"/>
        <w:jc w:val="left"/>
        <w:rPr>
          <w:rFonts w:ascii="宋体" w:hAnsi="宋体" w:cs="宋体" w:eastAsia="宋体" w:hint="default"/>
          <w:sz w:val="18"/>
          <w:szCs w:val="18"/>
        </w:rPr>
      </w:pPr>
      <w:r>
        <w:rPr>
          <w:rFonts w:ascii="宋体" w:hAnsi="宋体" w:cs="宋体" w:eastAsia="宋体" w:hint="default"/>
          <w:sz w:val="18"/>
          <w:szCs w:val="18"/>
        </w:rPr>
        <w:t>√ 是 □ 否</w:t>
      </w:r>
    </w:p>
    <w:p>
      <w:pPr>
        <w:spacing w:line="300" w:lineRule="auto" w:before="116"/>
        <w:ind w:left="173" w:right="1129" w:firstLine="360"/>
        <w:jc w:val="both"/>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月，控股子公司深圳普士科技有限公司清算注销，不再纳入公司合并范围；</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月，全资子公司深圳市 湘计长岛电脑设备有限公司</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100%</w:t>
      </w:r>
      <w:r>
        <w:rPr>
          <w:rFonts w:ascii="宋体" w:hAnsi="宋体" w:cs="宋体" w:eastAsia="宋体" w:hint="default"/>
          <w:sz w:val="18"/>
          <w:szCs w:val="18"/>
        </w:rPr>
        <w:t>股权转让完成，不再纳入公司合并范围；</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年</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月，湖南长城非凡信息科技有限公司成 </w:t>
      </w:r>
      <w:r>
        <w:rPr>
          <w:rFonts w:ascii="宋体" w:hAnsi="宋体" w:cs="宋体" w:eastAsia="宋体" w:hint="default"/>
          <w:spacing w:val="-2"/>
          <w:sz w:val="18"/>
          <w:szCs w:val="18"/>
        </w:rPr>
        <w:t>立（圣非凡持股</w:t>
      </w:r>
      <w:r>
        <w:rPr>
          <w:rFonts w:ascii="宋体" w:hAnsi="宋体" w:cs="宋体" w:eastAsia="宋体" w:hint="default"/>
          <w:spacing w:val="-40"/>
          <w:sz w:val="18"/>
          <w:szCs w:val="18"/>
        </w:rPr>
        <w:t> </w:t>
      </w:r>
      <w:r>
        <w:rPr>
          <w:rFonts w:ascii="Times New Roman" w:hAnsi="Times New Roman" w:cs="Times New Roman" w:eastAsia="Times New Roman" w:hint="default"/>
          <w:spacing w:val="-7"/>
          <w:sz w:val="18"/>
          <w:szCs w:val="18"/>
        </w:rPr>
        <w:t>60%</w:t>
      </w:r>
      <w:r>
        <w:rPr>
          <w:rFonts w:ascii="宋体" w:hAnsi="宋体" w:cs="宋体" w:eastAsia="宋体" w:hint="default"/>
          <w:spacing w:val="-7"/>
          <w:sz w:val="18"/>
          <w:szCs w:val="18"/>
        </w:rPr>
        <w:t>），纳入公司合并范围；</w:t>
      </w:r>
      <w:r>
        <w:rPr>
          <w:rFonts w:ascii="Times New Roman" w:hAnsi="Times New Roman" w:cs="Times New Roman" w:eastAsia="Times New Roman" w:hint="default"/>
          <w:spacing w:val="-7"/>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5"/>
          <w:sz w:val="18"/>
          <w:szCs w:val="18"/>
        </w:rPr>
        <w:t> </w:t>
      </w:r>
      <w:r>
        <w:rPr>
          <w:rFonts w:ascii="宋体" w:hAnsi="宋体" w:cs="宋体" w:eastAsia="宋体" w:hint="default"/>
          <w:spacing w:val="-1"/>
          <w:sz w:val="18"/>
          <w:szCs w:val="18"/>
        </w:rPr>
        <w:t>月，全资子公司长城信息海南系统技术有限公司清算注销，不再纳入</w:t>
      </w:r>
      <w:r>
        <w:rPr>
          <w:rFonts w:ascii="宋体" w:hAnsi="宋体" w:cs="宋体" w:eastAsia="宋体" w:hint="default"/>
          <w:sz w:val="18"/>
          <w:szCs w:val="18"/>
        </w:rPr>
        <w:t> 公司合并范围；</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年</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月，全资子公司北海长城能源科技有限公司清算注销，不再纳入公司合并范围；中原电子、圣非 凡股权转让湖南长城科技，两家公司的级次下沉。详见财务报告附注“合并范围的变更”中的相关内容。</w:t>
      </w:r>
    </w:p>
    <w:p>
      <w:pPr>
        <w:spacing w:after="0" w:line="300" w:lineRule="auto"/>
        <w:jc w:val="both"/>
        <w:rPr>
          <w:rFonts w:ascii="宋体" w:hAnsi="宋体" w:cs="宋体" w:eastAsia="宋体" w:hint="default"/>
          <w:sz w:val="18"/>
          <w:szCs w:val="18"/>
        </w:rPr>
        <w:sectPr>
          <w:pgSz w:w="11910" w:h="16840"/>
          <w:pgMar w:header="787" w:footer="982" w:top="1100" w:bottom="1180" w:left="960" w:right="0"/>
        </w:sectPr>
      </w:pPr>
    </w:p>
    <w:p>
      <w:pPr>
        <w:spacing w:line="240" w:lineRule="auto" w:before="7"/>
        <w:rPr>
          <w:rFonts w:ascii="宋体" w:hAnsi="宋体" w:cs="宋体" w:eastAsia="宋体" w:hint="default"/>
          <w:sz w:val="21"/>
          <w:szCs w:val="21"/>
        </w:rPr>
      </w:pPr>
    </w:p>
    <w:p>
      <w:pPr>
        <w:pStyle w:val="Heading5"/>
        <w:spacing w:line="240" w:lineRule="auto"/>
        <w:ind w:left="154" w:right="0"/>
        <w:jc w:val="left"/>
        <w:rPr>
          <w:b w:val="0"/>
          <w:bCs w:val="0"/>
        </w:rPr>
      </w:pPr>
      <w:r>
        <w:rPr/>
        <w:t>（</w:t>
      </w:r>
      <w:r>
        <w:rPr>
          <w:rFonts w:ascii="Times New Roman" w:hAnsi="Times New Roman" w:cs="Times New Roman" w:eastAsia="Times New Roman" w:hint="default"/>
        </w:rPr>
        <w:t>7</w:t>
      </w:r>
      <w:r>
        <w:rPr/>
        <w:t>）公司报告期内业务、产品或服务发生重大变化或调整有关情况</w:t>
      </w:r>
      <w:r>
        <w:rPr>
          <w:b w:val="0"/>
          <w:bCs w:val="0"/>
        </w:rPr>
      </w:r>
    </w:p>
    <w:p>
      <w:pPr>
        <w:spacing w:line="240" w:lineRule="auto" w:before="0"/>
        <w:rPr>
          <w:rFonts w:ascii="宋体" w:hAnsi="宋体" w:cs="宋体" w:eastAsia="宋体" w:hint="default"/>
          <w:b/>
          <w:bCs/>
          <w:sz w:val="22"/>
          <w:szCs w:val="22"/>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0"/>
        <w:rPr>
          <w:rFonts w:ascii="宋体" w:hAnsi="宋体" w:cs="宋体" w:eastAsia="宋体" w:hint="default"/>
          <w:sz w:val="26"/>
          <w:szCs w:val="26"/>
        </w:rPr>
      </w:pPr>
    </w:p>
    <w:p>
      <w:pPr>
        <w:pStyle w:val="Heading5"/>
        <w:spacing w:line="240" w:lineRule="auto" w:before="0"/>
        <w:ind w:left="154" w:right="0"/>
        <w:jc w:val="left"/>
        <w:rPr>
          <w:b w:val="0"/>
          <w:bCs w:val="0"/>
        </w:rPr>
      </w:pPr>
      <w:r>
        <w:rPr/>
        <w:t>（</w:t>
      </w:r>
      <w:r>
        <w:rPr>
          <w:rFonts w:ascii="Times New Roman" w:hAnsi="Times New Roman" w:cs="Times New Roman" w:eastAsia="Times New Roman" w:hint="default"/>
        </w:rPr>
        <w:t>8</w:t>
      </w:r>
      <w:r>
        <w:rPr/>
        <w:t>）主要销售客户和主要供应商情况</w:t>
      </w:r>
      <w:r>
        <w:rPr>
          <w:b w:val="0"/>
          <w:bCs w:val="0"/>
        </w:rPr>
      </w:r>
    </w:p>
    <w:p>
      <w:pPr>
        <w:spacing w:line="240" w:lineRule="auto" w:before="8"/>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公司主要销售客户情况</w:t>
      </w:r>
    </w:p>
    <w:p>
      <w:pPr>
        <w:spacing w:line="240" w:lineRule="auto" w:before="13"/>
        <w:rPr>
          <w:rFonts w:ascii="宋体" w:hAnsi="宋体" w:cs="宋体" w:eastAsia="宋体" w:hint="default"/>
          <w:sz w:val="7"/>
          <w:szCs w:val="7"/>
        </w:rPr>
      </w:pPr>
    </w:p>
    <w:tbl>
      <w:tblPr>
        <w:tblW w:w="0" w:type="auto"/>
        <w:jc w:val="left"/>
        <w:tblInd w:w="183" w:type="dxa"/>
        <w:tblLayout w:type="fixed"/>
        <w:tblCellMar>
          <w:top w:w="0" w:type="dxa"/>
          <w:left w:w="0" w:type="dxa"/>
          <w:bottom w:w="0" w:type="dxa"/>
          <w:right w:w="0" w:type="dxa"/>
        </w:tblCellMar>
        <w:tblLook w:val="01E0"/>
      </w:tblPr>
      <w:tblGrid>
        <w:gridCol w:w="4645"/>
        <w:gridCol w:w="4924"/>
      </w:tblGrid>
      <w:tr>
        <w:trPr>
          <w:trHeight w:val="362" w:hRule="exact"/>
        </w:trPr>
        <w:tc>
          <w:tcPr>
            <w:tcW w:w="464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前五名客户合计销售金额（元）</w:t>
            </w:r>
          </w:p>
        </w:tc>
        <w:tc>
          <w:tcPr>
            <w:tcW w:w="4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22"/>
              <w:jc w:val="right"/>
              <w:rPr>
                <w:rFonts w:ascii="Times New Roman" w:hAnsi="Times New Roman" w:cs="Times New Roman" w:eastAsia="Times New Roman" w:hint="default"/>
                <w:sz w:val="18"/>
                <w:szCs w:val="18"/>
              </w:rPr>
            </w:pPr>
            <w:r>
              <w:rPr>
                <w:rFonts w:ascii="Times New Roman"/>
                <w:spacing w:val="-1"/>
                <w:sz w:val="18"/>
              </w:rPr>
              <w:t>1,536,201,349.93</w:t>
            </w:r>
          </w:p>
        </w:tc>
      </w:tr>
      <w:tr>
        <w:trPr>
          <w:trHeight w:val="362" w:hRule="exact"/>
        </w:trPr>
        <w:tc>
          <w:tcPr>
            <w:tcW w:w="464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前五名客户合计销售金额占年度销售总额比例</w:t>
            </w:r>
          </w:p>
        </w:tc>
        <w:tc>
          <w:tcPr>
            <w:tcW w:w="4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0"/>
              <w:jc w:val="right"/>
              <w:rPr>
                <w:rFonts w:ascii="Times New Roman" w:hAnsi="Times New Roman" w:cs="Times New Roman" w:eastAsia="Times New Roman" w:hint="default"/>
                <w:sz w:val="18"/>
                <w:szCs w:val="18"/>
              </w:rPr>
            </w:pPr>
            <w:r>
              <w:rPr>
                <w:rFonts w:ascii="Times New Roman"/>
                <w:sz w:val="18"/>
              </w:rPr>
              <w:t>15.35%</w:t>
            </w:r>
          </w:p>
        </w:tc>
      </w:tr>
      <w:tr>
        <w:trPr>
          <w:trHeight w:val="362" w:hRule="exact"/>
        </w:trPr>
        <w:tc>
          <w:tcPr>
            <w:tcW w:w="464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前五名客户销售额中关联方销售额占年度销售总额比例</w:t>
            </w:r>
          </w:p>
        </w:tc>
        <w:tc>
          <w:tcPr>
            <w:tcW w:w="4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0"/>
              <w:jc w:val="right"/>
              <w:rPr>
                <w:rFonts w:ascii="Times New Roman" w:hAnsi="Times New Roman" w:cs="Times New Roman" w:eastAsia="Times New Roman" w:hint="default"/>
                <w:sz w:val="18"/>
                <w:szCs w:val="18"/>
              </w:rPr>
            </w:pPr>
            <w:r>
              <w:rPr>
                <w:rFonts w:ascii="Times New Roman"/>
                <w:sz w:val="18"/>
              </w:rPr>
              <w:t>2.96%</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公司前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大客户资料</w:t>
      </w:r>
    </w:p>
    <w:p>
      <w:pPr>
        <w:spacing w:line="240" w:lineRule="auto" w:before="13"/>
        <w:rPr>
          <w:rFonts w:ascii="宋体" w:hAnsi="宋体" w:cs="宋体" w:eastAsia="宋体" w:hint="default"/>
          <w:sz w:val="6"/>
          <w:szCs w:val="6"/>
        </w:rPr>
      </w:pPr>
    </w:p>
    <w:tbl>
      <w:tblPr>
        <w:tblW w:w="0" w:type="auto"/>
        <w:jc w:val="left"/>
        <w:tblInd w:w="183" w:type="dxa"/>
        <w:tblLayout w:type="fixed"/>
        <w:tblCellMar>
          <w:top w:w="0" w:type="dxa"/>
          <w:left w:w="0" w:type="dxa"/>
          <w:bottom w:w="0" w:type="dxa"/>
          <w:right w:w="0" w:type="dxa"/>
        </w:tblCellMar>
        <w:tblLook w:val="01E0"/>
      </w:tblPr>
      <w:tblGrid>
        <w:gridCol w:w="803"/>
        <w:gridCol w:w="3840"/>
        <w:gridCol w:w="2462"/>
        <w:gridCol w:w="2464"/>
      </w:tblGrid>
      <w:tr>
        <w:trPr>
          <w:trHeight w:val="362" w:hRule="exact"/>
        </w:trPr>
        <w:tc>
          <w:tcPr>
            <w:tcW w:w="80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序号</w:t>
            </w:r>
          </w:p>
        </w:tc>
        <w:tc>
          <w:tcPr>
            <w:tcW w:w="384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24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686" w:right="0"/>
              <w:jc w:val="left"/>
              <w:rPr>
                <w:rFonts w:ascii="宋体" w:hAnsi="宋体" w:cs="宋体" w:eastAsia="宋体" w:hint="default"/>
                <w:sz w:val="18"/>
                <w:szCs w:val="18"/>
              </w:rPr>
            </w:pPr>
            <w:r>
              <w:rPr>
                <w:rFonts w:ascii="宋体" w:hAnsi="宋体" w:cs="宋体" w:eastAsia="宋体" w:hint="default"/>
                <w:sz w:val="18"/>
                <w:szCs w:val="18"/>
              </w:rPr>
              <w:t>销售额（元）</w:t>
            </w:r>
          </w:p>
        </w:tc>
        <w:tc>
          <w:tcPr>
            <w:tcW w:w="246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占年度销售总额比例</w:t>
            </w:r>
          </w:p>
        </w:tc>
      </w:tr>
      <w:tr>
        <w:trPr>
          <w:trHeight w:val="362" w:hRule="exact"/>
        </w:trPr>
        <w:tc>
          <w:tcPr>
            <w:tcW w:w="80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0"/>
              <w:ind w:right="0"/>
              <w:jc w:val="center"/>
              <w:rPr>
                <w:rFonts w:ascii="Times New Roman" w:hAnsi="Times New Roman" w:cs="Times New Roman" w:eastAsia="Times New Roman" w:hint="default"/>
                <w:sz w:val="18"/>
                <w:szCs w:val="18"/>
              </w:rPr>
            </w:pPr>
            <w:r>
              <w:rPr>
                <w:rFonts w:ascii="Times New Roman"/>
                <w:sz w:val="18"/>
              </w:rPr>
              <w:t>1</w:t>
            </w:r>
          </w:p>
        </w:tc>
        <w:tc>
          <w:tcPr>
            <w:tcW w:w="3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22" w:right="0"/>
              <w:jc w:val="left"/>
              <w:rPr>
                <w:rFonts w:ascii="Times New Roman" w:hAnsi="Times New Roman" w:cs="Times New Roman" w:eastAsia="Times New Roman" w:hint="default"/>
                <w:sz w:val="18"/>
                <w:szCs w:val="18"/>
              </w:rPr>
            </w:pPr>
            <w:r>
              <w:rPr>
                <w:rFonts w:ascii="Times New Roman"/>
                <w:sz w:val="18"/>
              </w:rPr>
              <w:t>PHILIPS ELECTRONICS SINGAPORE PTE</w:t>
            </w:r>
            <w:r>
              <w:rPr>
                <w:rFonts w:ascii="Times New Roman"/>
                <w:spacing w:val="-4"/>
                <w:sz w:val="18"/>
              </w:rPr>
              <w:t> </w:t>
            </w:r>
            <w:r>
              <w:rPr>
                <w:rFonts w:ascii="Times New Roman"/>
                <w:spacing w:val="-5"/>
                <w:sz w:val="18"/>
              </w:rPr>
              <w:t>LTD.</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18"/>
                <w:szCs w:val="18"/>
              </w:rPr>
            </w:pPr>
            <w:r>
              <w:rPr>
                <w:rFonts w:ascii="Times New Roman"/>
                <w:spacing w:val="-1"/>
                <w:sz w:val="18"/>
              </w:rPr>
              <w:t>466,059,783.21</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center"/>
              <w:rPr>
                <w:rFonts w:ascii="Times New Roman" w:hAnsi="Times New Roman" w:cs="Times New Roman" w:eastAsia="Times New Roman" w:hint="default"/>
                <w:sz w:val="18"/>
                <w:szCs w:val="18"/>
              </w:rPr>
            </w:pPr>
            <w:r>
              <w:rPr>
                <w:rFonts w:ascii="Times New Roman"/>
                <w:sz w:val="18"/>
              </w:rPr>
              <w:t>4.66%</w:t>
            </w:r>
          </w:p>
        </w:tc>
      </w:tr>
      <w:tr>
        <w:trPr>
          <w:trHeight w:val="361" w:hRule="exact"/>
        </w:trPr>
        <w:tc>
          <w:tcPr>
            <w:tcW w:w="80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0"/>
              <w:ind w:right="0"/>
              <w:jc w:val="center"/>
              <w:rPr>
                <w:rFonts w:ascii="Times New Roman" w:hAnsi="Times New Roman" w:cs="Times New Roman" w:eastAsia="Times New Roman" w:hint="default"/>
                <w:sz w:val="18"/>
                <w:szCs w:val="18"/>
              </w:rPr>
            </w:pPr>
            <w:r>
              <w:rPr>
                <w:rFonts w:ascii="Times New Roman"/>
                <w:sz w:val="18"/>
              </w:rPr>
              <w:t>2</w:t>
            </w:r>
          </w:p>
        </w:tc>
        <w:tc>
          <w:tcPr>
            <w:tcW w:w="3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桂林长海科技有限责任公司</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18"/>
                <w:szCs w:val="18"/>
              </w:rPr>
            </w:pPr>
            <w:r>
              <w:rPr>
                <w:rFonts w:ascii="Times New Roman"/>
                <w:spacing w:val="-1"/>
                <w:sz w:val="18"/>
              </w:rPr>
              <w:t>295,804,183.72</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center"/>
              <w:rPr>
                <w:rFonts w:ascii="Times New Roman" w:hAnsi="Times New Roman" w:cs="Times New Roman" w:eastAsia="Times New Roman" w:hint="default"/>
                <w:sz w:val="18"/>
                <w:szCs w:val="18"/>
              </w:rPr>
            </w:pPr>
            <w:r>
              <w:rPr>
                <w:rFonts w:ascii="Times New Roman"/>
                <w:sz w:val="18"/>
              </w:rPr>
              <w:t>2.96%</w:t>
            </w:r>
          </w:p>
        </w:tc>
      </w:tr>
      <w:tr>
        <w:trPr>
          <w:trHeight w:val="362" w:hRule="exact"/>
        </w:trPr>
        <w:tc>
          <w:tcPr>
            <w:tcW w:w="80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2"/>
              <w:ind w:right="0"/>
              <w:jc w:val="center"/>
              <w:rPr>
                <w:rFonts w:ascii="Times New Roman" w:hAnsi="Times New Roman" w:cs="Times New Roman" w:eastAsia="Times New Roman" w:hint="default"/>
                <w:sz w:val="18"/>
                <w:szCs w:val="18"/>
              </w:rPr>
            </w:pPr>
            <w:r>
              <w:rPr>
                <w:rFonts w:ascii="Times New Roman"/>
                <w:sz w:val="18"/>
              </w:rPr>
              <w:t>3</w:t>
            </w:r>
          </w:p>
        </w:tc>
        <w:tc>
          <w:tcPr>
            <w:tcW w:w="3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A</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19"/>
              <w:jc w:val="right"/>
              <w:rPr>
                <w:rFonts w:ascii="Times New Roman" w:hAnsi="Times New Roman" w:cs="Times New Roman" w:eastAsia="Times New Roman" w:hint="default"/>
                <w:sz w:val="18"/>
                <w:szCs w:val="18"/>
              </w:rPr>
            </w:pPr>
            <w:r>
              <w:rPr>
                <w:rFonts w:ascii="Times New Roman"/>
                <w:spacing w:val="-1"/>
                <w:sz w:val="18"/>
              </w:rPr>
              <w:t>290,305,400.00</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1"/>
              <w:jc w:val="center"/>
              <w:rPr>
                <w:rFonts w:ascii="Times New Roman" w:hAnsi="Times New Roman" w:cs="Times New Roman" w:eastAsia="Times New Roman" w:hint="default"/>
                <w:sz w:val="18"/>
                <w:szCs w:val="18"/>
              </w:rPr>
            </w:pPr>
            <w:r>
              <w:rPr>
                <w:rFonts w:ascii="Times New Roman"/>
                <w:sz w:val="18"/>
              </w:rPr>
              <w:t>2.90%</w:t>
            </w:r>
          </w:p>
        </w:tc>
      </w:tr>
      <w:tr>
        <w:trPr>
          <w:trHeight w:val="362" w:hRule="exact"/>
        </w:trPr>
        <w:tc>
          <w:tcPr>
            <w:tcW w:w="80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0"/>
              <w:ind w:right="0"/>
              <w:jc w:val="center"/>
              <w:rPr>
                <w:rFonts w:ascii="Times New Roman" w:hAnsi="Times New Roman" w:cs="Times New Roman" w:eastAsia="Times New Roman" w:hint="default"/>
                <w:sz w:val="18"/>
                <w:szCs w:val="18"/>
              </w:rPr>
            </w:pPr>
            <w:r>
              <w:rPr>
                <w:rFonts w:ascii="Times New Roman"/>
                <w:sz w:val="18"/>
              </w:rPr>
              <w:t>4</w:t>
            </w:r>
          </w:p>
        </w:tc>
        <w:tc>
          <w:tcPr>
            <w:tcW w:w="3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22" w:right="0"/>
              <w:jc w:val="left"/>
              <w:rPr>
                <w:rFonts w:ascii="Times New Roman" w:hAnsi="Times New Roman" w:cs="Times New Roman" w:eastAsia="Times New Roman" w:hint="default"/>
                <w:sz w:val="18"/>
                <w:szCs w:val="18"/>
              </w:rPr>
            </w:pPr>
            <w:r>
              <w:rPr>
                <w:rFonts w:ascii="Times New Roman"/>
                <w:sz w:val="18"/>
              </w:rPr>
              <w:t>Procter &amp; Gamble International Operations</w:t>
            </w:r>
            <w:r>
              <w:rPr>
                <w:rFonts w:ascii="Times New Roman"/>
                <w:spacing w:val="-10"/>
                <w:sz w:val="18"/>
              </w:rPr>
              <w:t> </w:t>
            </w:r>
            <w:r>
              <w:rPr>
                <w:rFonts w:ascii="Times New Roman"/>
                <w:sz w:val="18"/>
              </w:rPr>
              <w:t>SA</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18"/>
                <w:szCs w:val="18"/>
              </w:rPr>
            </w:pPr>
            <w:r>
              <w:rPr>
                <w:rFonts w:ascii="Times New Roman"/>
                <w:spacing w:val="-1"/>
                <w:sz w:val="18"/>
              </w:rPr>
              <w:t>249,438,883.00</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center"/>
              <w:rPr>
                <w:rFonts w:ascii="Times New Roman" w:hAnsi="Times New Roman" w:cs="Times New Roman" w:eastAsia="Times New Roman" w:hint="default"/>
                <w:sz w:val="18"/>
                <w:szCs w:val="18"/>
              </w:rPr>
            </w:pPr>
            <w:r>
              <w:rPr>
                <w:rFonts w:ascii="Times New Roman"/>
                <w:sz w:val="18"/>
              </w:rPr>
              <w:t>2.49%</w:t>
            </w:r>
          </w:p>
        </w:tc>
      </w:tr>
      <w:tr>
        <w:trPr>
          <w:trHeight w:val="362" w:hRule="exact"/>
        </w:trPr>
        <w:tc>
          <w:tcPr>
            <w:tcW w:w="80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0"/>
              <w:ind w:right="0"/>
              <w:jc w:val="center"/>
              <w:rPr>
                <w:rFonts w:ascii="Times New Roman" w:hAnsi="Times New Roman" w:cs="Times New Roman" w:eastAsia="Times New Roman" w:hint="default"/>
                <w:sz w:val="18"/>
                <w:szCs w:val="18"/>
              </w:rPr>
            </w:pPr>
            <w:r>
              <w:rPr>
                <w:rFonts w:ascii="Times New Roman"/>
                <w:sz w:val="18"/>
              </w:rPr>
              <w:t>5</w:t>
            </w:r>
          </w:p>
        </w:tc>
        <w:tc>
          <w:tcPr>
            <w:tcW w:w="3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中国工商银行股份有限公司</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18"/>
                <w:szCs w:val="18"/>
              </w:rPr>
            </w:pPr>
            <w:r>
              <w:rPr>
                <w:rFonts w:ascii="Times New Roman"/>
                <w:spacing w:val="-1"/>
                <w:sz w:val="18"/>
              </w:rPr>
              <w:t>234,593,100.00</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center"/>
              <w:rPr>
                <w:rFonts w:ascii="Times New Roman" w:hAnsi="Times New Roman" w:cs="Times New Roman" w:eastAsia="Times New Roman" w:hint="default"/>
                <w:sz w:val="18"/>
                <w:szCs w:val="18"/>
              </w:rPr>
            </w:pPr>
            <w:r>
              <w:rPr>
                <w:rFonts w:ascii="Times New Roman"/>
                <w:sz w:val="18"/>
              </w:rPr>
              <w:t>2.34%</w:t>
            </w:r>
          </w:p>
        </w:tc>
      </w:tr>
      <w:tr>
        <w:trPr>
          <w:trHeight w:val="362" w:hRule="exact"/>
        </w:trPr>
        <w:tc>
          <w:tcPr>
            <w:tcW w:w="80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384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1"/>
              <w:ind w:right="0"/>
              <w:jc w:val="center"/>
              <w:rPr>
                <w:rFonts w:ascii="Times New Roman" w:hAnsi="Times New Roman" w:cs="Times New Roman" w:eastAsia="Times New Roman" w:hint="default"/>
                <w:sz w:val="18"/>
                <w:szCs w:val="18"/>
              </w:rPr>
            </w:pPr>
            <w:r>
              <w:rPr>
                <w:rFonts w:ascii="Times New Roman"/>
                <w:sz w:val="18"/>
              </w:rPr>
              <w:t>--</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21"/>
              <w:jc w:val="right"/>
              <w:rPr>
                <w:rFonts w:ascii="Times New Roman" w:hAnsi="Times New Roman" w:cs="Times New Roman" w:eastAsia="Times New Roman" w:hint="default"/>
                <w:sz w:val="18"/>
                <w:szCs w:val="18"/>
              </w:rPr>
            </w:pPr>
            <w:r>
              <w:rPr>
                <w:rFonts w:ascii="Times New Roman"/>
                <w:spacing w:val="-1"/>
                <w:sz w:val="18"/>
              </w:rPr>
              <w:t>1,536,201,349.93</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0"/>
              <w:jc w:val="center"/>
              <w:rPr>
                <w:rFonts w:ascii="Times New Roman" w:hAnsi="Times New Roman" w:cs="Times New Roman" w:eastAsia="Times New Roman" w:hint="default"/>
                <w:sz w:val="18"/>
                <w:szCs w:val="18"/>
              </w:rPr>
            </w:pPr>
            <w:r>
              <w:rPr>
                <w:rFonts w:ascii="Times New Roman"/>
                <w:sz w:val="18"/>
              </w:rPr>
              <w:t>15.35%</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主要客户其他情况说明</w:t>
      </w:r>
    </w:p>
    <w:p>
      <w:pPr>
        <w:spacing w:before="117"/>
        <w:ind w:left="153"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309" w:lineRule="auto" w:before="115"/>
        <w:ind w:left="154" w:right="1079" w:firstLine="360"/>
        <w:jc w:val="both"/>
        <w:rPr>
          <w:rFonts w:ascii="宋体" w:hAnsi="宋体" w:cs="宋体" w:eastAsia="宋体" w:hint="default"/>
          <w:sz w:val="18"/>
          <w:szCs w:val="18"/>
        </w:rPr>
      </w:pPr>
      <w:r>
        <w:rPr>
          <w:rFonts w:ascii="宋体" w:hAnsi="宋体" w:cs="宋体" w:eastAsia="宋体" w:hint="default"/>
          <w:sz w:val="18"/>
          <w:szCs w:val="18"/>
        </w:rPr>
        <w:t>前五名客户中桂林长海科技有限责任公司为本公司持股</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41.525%</w:t>
      </w:r>
      <w:r>
        <w:rPr>
          <w:rFonts w:ascii="宋体" w:hAnsi="宋体" w:cs="宋体" w:eastAsia="宋体" w:hint="default"/>
          <w:sz w:val="18"/>
          <w:szCs w:val="18"/>
        </w:rPr>
        <w:t>的参股企业，同时也为本公司实际控制人的控股公司； </w:t>
      </w:r>
      <w:r>
        <w:rPr>
          <w:rFonts w:ascii="宋体" w:hAnsi="宋体" w:cs="宋体" w:eastAsia="宋体" w:hint="default"/>
          <w:spacing w:val="-2"/>
          <w:sz w:val="18"/>
          <w:szCs w:val="18"/>
        </w:rPr>
        <w:t>除此外，本公司与其他四名客户不存在关联关系；本公司董事、监事、高级管理人员等在主要客户中未直接或者间接拥有权</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益。</w:t>
      </w:r>
    </w:p>
    <w:p>
      <w:pPr>
        <w:spacing w:before="65"/>
        <w:ind w:left="154" w:right="0" w:firstLine="0"/>
        <w:jc w:val="left"/>
        <w:rPr>
          <w:rFonts w:ascii="宋体" w:hAnsi="宋体" w:cs="宋体" w:eastAsia="宋体" w:hint="default"/>
          <w:sz w:val="18"/>
          <w:szCs w:val="18"/>
        </w:rPr>
      </w:pPr>
      <w:r>
        <w:rPr>
          <w:rFonts w:ascii="宋体" w:hAnsi="宋体" w:cs="宋体" w:eastAsia="宋体" w:hint="default"/>
          <w:sz w:val="18"/>
          <w:szCs w:val="18"/>
        </w:rPr>
        <w:t>公司主要供应商情况</w:t>
      </w:r>
    </w:p>
    <w:p>
      <w:pPr>
        <w:spacing w:line="240" w:lineRule="auto" w:before="13"/>
        <w:rPr>
          <w:rFonts w:ascii="宋体" w:hAnsi="宋体" w:cs="宋体" w:eastAsia="宋体" w:hint="default"/>
          <w:sz w:val="7"/>
          <w:szCs w:val="7"/>
        </w:rPr>
      </w:pPr>
    </w:p>
    <w:tbl>
      <w:tblPr>
        <w:tblW w:w="0" w:type="auto"/>
        <w:jc w:val="left"/>
        <w:tblInd w:w="183" w:type="dxa"/>
        <w:tblLayout w:type="fixed"/>
        <w:tblCellMar>
          <w:top w:w="0" w:type="dxa"/>
          <w:left w:w="0" w:type="dxa"/>
          <w:bottom w:w="0" w:type="dxa"/>
          <w:right w:w="0" w:type="dxa"/>
        </w:tblCellMar>
        <w:tblLook w:val="01E0"/>
      </w:tblPr>
      <w:tblGrid>
        <w:gridCol w:w="4809"/>
        <w:gridCol w:w="4760"/>
      </w:tblGrid>
      <w:tr>
        <w:trPr>
          <w:trHeight w:val="362" w:hRule="exact"/>
        </w:trPr>
        <w:tc>
          <w:tcPr>
            <w:tcW w:w="480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前五名供应商合计采购金额（元）</w:t>
            </w:r>
          </w:p>
        </w:tc>
        <w:tc>
          <w:tcPr>
            <w:tcW w:w="47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2"/>
              <w:jc w:val="right"/>
              <w:rPr>
                <w:rFonts w:ascii="Times New Roman" w:hAnsi="Times New Roman" w:cs="Times New Roman" w:eastAsia="Times New Roman" w:hint="default"/>
                <w:sz w:val="18"/>
                <w:szCs w:val="18"/>
              </w:rPr>
            </w:pPr>
            <w:r>
              <w:rPr>
                <w:rFonts w:ascii="Times New Roman"/>
                <w:spacing w:val="-1"/>
                <w:sz w:val="18"/>
              </w:rPr>
              <w:t>1,312,875,562.40</w:t>
            </w:r>
          </w:p>
        </w:tc>
      </w:tr>
      <w:tr>
        <w:trPr>
          <w:trHeight w:val="361" w:hRule="exact"/>
        </w:trPr>
        <w:tc>
          <w:tcPr>
            <w:tcW w:w="480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前五名供应商合计采购金额占年度采购总额比例</w:t>
            </w:r>
          </w:p>
        </w:tc>
        <w:tc>
          <w:tcPr>
            <w:tcW w:w="47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0"/>
              <w:jc w:val="right"/>
              <w:rPr>
                <w:rFonts w:ascii="Times New Roman" w:hAnsi="Times New Roman" w:cs="Times New Roman" w:eastAsia="Times New Roman" w:hint="default"/>
                <w:sz w:val="18"/>
                <w:szCs w:val="18"/>
              </w:rPr>
            </w:pPr>
            <w:r>
              <w:rPr>
                <w:rFonts w:ascii="Times New Roman"/>
                <w:sz w:val="18"/>
              </w:rPr>
              <w:t>16.43%</w:t>
            </w:r>
          </w:p>
        </w:tc>
      </w:tr>
      <w:tr>
        <w:trPr>
          <w:trHeight w:val="362" w:hRule="exact"/>
        </w:trPr>
        <w:tc>
          <w:tcPr>
            <w:tcW w:w="480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前五名供应商采购额中关联方采购额占年度采购总额比例</w:t>
            </w:r>
          </w:p>
        </w:tc>
        <w:tc>
          <w:tcPr>
            <w:tcW w:w="47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20"/>
              <w:jc w:val="right"/>
              <w:rPr>
                <w:rFonts w:ascii="Times New Roman" w:hAnsi="Times New Roman" w:cs="Times New Roman" w:eastAsia="Times New Roman" w:hint="default"/>
                <w:sz w:val="18"/>
                <w:szCs w:val="18"/>
              </w:rPr>
            </w:pPr>
            <w:r>
              <w:rPr>
                <w:rFonts w:ascii="Times New Roman"/>
                <w:sz w:val="18"/>
              </w:rPr>
              <w:t>4.57%</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公司前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名供应商资料</w:t>
      </w:r>
    </w:p>
    <w:p>
      <w:pPr>
        <w:spacing w:line="240" w:lineRule="auto" w:before="0"/>
        <w:rPr>
          <w:rFonts w:ascii="宋体" w:hAnsi="宋体" w:cs="宋体" w:eastAsia="宋体" w:hint="default"/>
          <w:sz w:val="7"/>
          <w:szCs w:val="7"/>
        </w:rPr>
      </w:pPr>
    </w:p>
    <w:tbl>
      <w:tblPr>
        <w:tblW w:w="0" w:type="auto"/>
        <w:jc w:val="left"/>
        <w:tblInd w:w="183" w:type="dxa"/>
        <w:tblLayout w:type="fixed"/>
        <w:tblCellMar>
          <w:top w:w="0" w:type="dxa"/>
          <w:left w:w="0" w:type="dxa"/>
          <w:bottom w:w="0" w:type="dxa"/>
          <w:right w:w="0" w:type="dxa"/>
        </w:tblCellMar>
        <w:tblLook w:val="01E0"/>
      </w:tblPr>
      <w:tblGrid>
        <w:gridCol w:w="935"/>
        <w:gridCol w:w="3168"/>
        <w:gridCol w:w="2322"/>
        <w:gridCol w:w="3144"/>
      </w:tblGrid>
      <w:tr>
        <w:trPr>
          <w:trHeight w:val="362" w:hRule="exact"/>
        </w:trPr>
        <w:tc>
          <w:tcPr>
            <w:tcW w:w="9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282"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31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供应商名称</w:t>
            </w:r>
          </w:p>
        </w:tc>
        <w:tc>
          <w:tcPr>
            <w:tcW w:w="232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616" w:right="0"/>
              <w:jc w:val="left"/>
              <w:rPr>
                <w:rFonts w:ascii="宋体" w:hAnsi="宋体" w:cs="宋体" w:eastAsia="宋体" w:hint="default"/>
                <w:sz w:val="18"/>
                <w:szCs w:val="18"/>
              </w:rPr>
            </w:pPr>
            <w:r>
              <w:rPr>
                <w:rFonts w:ascii="宋体" w:hAnsi="宋体" w:cs="宋体" w:eastAsia="宋体" w:hint="default"/>
                <w:sz w:val="18"/>
                <w:szCs w:val="18"/>
              </w:rPr>
              <w:t>采购额（元）</w:t>
            </w:r>
          </w:p>
        </w:tc>
        <w:tc>
          <w:tcPr>
            <w:tcW w:w="314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占年度采购总额比例</w:t>
            </w:r>
          </w:p>
        </w:tc>
      </w:tr>
      <w:tr>
        <w:trPr>
          <w:trHeight w:val="361" w:hRule="exact"/>
        </w:trPr>
        <w:tc>
          <w:tcPr>
            <w:tcW w:w="9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0"/>
              <w:ind w:left="22" w:right="0"/>
              <w:jc w:val="left"/>
              <w:rPr>
                <w:rFonts w:ascii="Times New Roman" w:hAnsi="Times New Roman" w:cs="Times New Roman" w:eastAsia="Times New Roman" w:hint="default"/>
                <w:sz w:val="18"/>
                <w:szCs w:val="18"/>
              </w:rPr>
            </w:pPr>
            <w:r>
              <w:rPr>
                <w:rFonts w:ascii="Times New Roman"/>
                <w:sz w:val="18"/>
              </w:rPr>
              <w:t>1</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3" w:right="0"/>
              <w:jc w:val="left"/>
              <w:rPr>
                <w:rFonts w:ascii="宋体" w:hAnsi="宋体" w:cs="宋体" w:eastAsia="宋体" w:hint="default"/>
                <w:sz w:val="18"/>
                <w:szCs w:val="18"/>
              </w:rPr>
            </w:pPr>
            <w:r>
              <w:rPr>
                <w:rFonts w:ascii="宋体" w:hAnsi="宋体" w:cs="宋体" w:eastAsia="宋体" w:hint="default"/>
                <w:sz w:val="18"/>
                <w:szCs w:val="18"/>
              </w:rPr>
              <w:t>桂林长海科技有限责任公司</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18"/>
                <w:szCs w:val="18"/>
              </w:rPr>
            </w:pPr>
            <w:r>
              <w:rPr>
                <w:rFonts w:ascii="Times New Roman"/>
                <w:spacing w:val="-1"/>
                <w:sz w:val="18"/>
              </w:rPr>
              <w:t>364,895,231.98</w:t>
            </w:r>
          </w:p>
        </w:tc>
        <w:tc>
          <w:tcPr>
            <w:tcW w:w="3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2" w:right="0"/>
              <w:jc w:val="center"/>
              <w:rPr>
                <w:rFonts w:ascii="Times New Roman" w:hAnsi="Times New Roman" w:cs="Times New Roman" w:eastAsia="Times New Roman" w:hint="default"/>
                <w:sz w:val="18"/>
                <w:szCs w:val="18"/>
              </w:rPr>
            </w:pPr>
            <w:r>
              <w:rPr>
                <w:rFonts w:ascii="Times New Roman"/>
                <w:sz w:val="18"/>
              </w:rPr>
              <w:t>4.57%</w:t>
            </w:r>
          </w:p>
        </w:tc>
      </w:tr>
      <w:tr>
        <w:trPr>
          <w:trHeight w:val="362" w:hRule="exact"/>
        </w:trPr>
        <w:tc>
          <w:tcPr>
            <w:tcW w:w="9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2"/>
              <w:ind w:left="22" w:right="0"/>
              <w:jc w:val="left"/>
              <w:rPr>
                <w:rFonts w:ascii="Times New Roman" w:hAnsi="Times New Roman" w:cs="Times New Roman" w:eastAsia="Times New Roman" w:hint="default"/>
                <w:sz w:val="18"/>
                <w:szCs w:val="18"/>
              </w:rPr>
            </w:pPr>
            <w:r>
              <w:rPr>
                <w:rFonts w:ascii="Times New Roman"/>
                <w:sz w:val="18"/>
              </w:rPr>
              <w:t>2</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left="23" w:right="0"/>
              <w:jc w:val="left"/>
              <w:rPr>
                <w:rFonts w:ascii="Times New Roman" w:hAnsi="Times New Roman" w:cs="Times New Roman" w:eastAsia="Times New Roman" w:hint="default"/>
                <w:sz w:val="18"/>
                <w:szCs w:val="18"/>
              </w:rPr>
            </w:pPr>
            <w:r>
              <w:rPr>
                <w:rFonts w:ascii="Times New Roman"/>
                <w:sz w:val="18"/>
              </w:rPr>
              <w:t>INTEL SEMICONDUCTOR</w:t>
            </w:r>
            <w:r>
              <w:rPr>
                <w:rFonts w:ascii="Times New Roman"/>
                <w:spacing w:val="-28"/>
                <w:sz w:val="18"/>
              </w:rPr>
              <w:t> </w:t>
            </w:r>
            <w:r>
              <w:rPr>
                <w:rFonts w:ascii="Times New Roman"/>
                <w:sz w:val="18"/>
              </w:rPr>
              <w:t>(US)</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19"/>
              <w:jc w:val="right"/>
              <w:rPr>
                <w:rFonts w:ascii="Times New Roman" w:hAnsi="Times New Roman" w:cs="Times New Roman" w:eastAsia="Times New Roman" w:hint="default"/>
                <w:sz w:val="18"/>
                <w:szCs w:val="18"/>
              </w:rPr>
            </w:pPr>
            <w:r>
              <w:rPr>
                <w:rFonts w:ascii="Times New Roman"/>
                <w:spacing w:val="-1"/>
                <w:sz w:val="18"/>
              </w:rPr>
              <w:t>349,355,330.42</w:t>
            </w:r>
          </w:p>
        </w:tc>
        <w:tc>
          <w:tcPr>
            <w:tcW w:w="3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left="2" w:right="0"/>
              <w:jc w:val="center"/>
              <w:rPr>
                <w:rFonts w:ascii="Times New Roman" w:hAnsi="Times New Roman" w:cs="Times New Roman" w:eastAsia="Times New Roman" w:hint="default"/>
                <w:sz w:val="18"/>
                <w:szCs w:val="18"/>
              </w:rPr>
            </w:pPr>
            <w:r>
              <w:rPr>
                <w:rFonts w:ascii="Times New Roman"/>
                <w:sz w:val="18"/>
              </w:rPr>
              <w:t>4.37%</w:t>
            </w:r>
          </w:p>
        </w:tc>
      </w:tr>
      <w:tr>
        <w:trPr>
          <w:trHeight w:val="362" w:hRule="exact"/>
        </w:trPr>
        <w:tc>
          <w:tcPr>
            <w:tcW w:w="9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0"/>
              <w:ind w:left="22" w:right="0"/>
              <w:jc w:val="left"/>
              <w:rPr>
                <w:rFonts w:ascii="Times New Roman" w:hAnsi="Times New Roman" w:cs="Times New Roman" w:eastAsia="Times New Roman" w:hint="default"/>
                <w:sz w:val="18"/>
                <w:szCs w:val="18"/>
              </w:rPr>
            </w:pPr>
            <w:r>
              <w:rPr>
                <w:rFonts w:ascii="Times New Roman"/>
                <w:sz w:val="18"/>
              </w:rPr>
              <w:t>3</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3" w:right="0"/>
              <w:jc w:val="left"/>
              <w:rPr>
                <w:rFonts w:ascii="宋体" w:hAnsi="宋体" w:cs="宋体" w:eastAsia="宋体" w:hint="default"/>
                <w:sz w:val="18"/>
                <w:szCs w:val="18"/>
              </w:rPr>
            </w:pPr>
            <w:r>
              <w:rPr>
                <w:rFonts w:ascii="宋体" w:hAnsi="宋体" w:cs="宋体" w:eastAsia="宋体" w:hint="default"/>
                <w:sz w:val="18"/>
                <w:szCs w:val="18"/>
              </w:rPr>
              <w:t>南京仟驰通讯科技有限公司</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18"/>
                <w:szCs w:val="18"/>
              </w:rPr>
            </w:pPr>
            <w:r>
              <w:rPr>
                <w:rFonts w:ascii="Times New Roman"/>
                <w:spacing w:val="-1"/>
                <w:sz w:val="18"/>
              </w:rPr>
              <w:t>220,948,400.00</w:t>
            </w:r>
          </w:p>
        </w:tc>
        <w:tc>
          <w:tcPr>
            <w:tcW w:w="3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2" w:right="0"/>
              <w:jc w:val="center"/>
              <w:rPr>
                <w:rFonts w:ascii="Times New Roman" w:hAnsi="Times New Roman" w:cs="Times New Roman" w:eastAsia="Times New Roman" w:hint="default"/>
                <w:sz w:val="18"/>
                <w:szCs w:val="18"/>
              </w:rPr>
            </w:pPr>
            <w:r>
              <w:rPr>
                <w:rFonts w:ascii="Times New Roman"/>
                <w:sz w:val="18"/>
              </w:rPr>
              <w:t>2.77%</w:t>
            </w:r>
          </w:p>
        </w:tc>
      </w:tr>
      <w:tr>
        <w:trPr>
          <w:trHeight w:val="361" w:hRule="exact"/>
        </w:trPr>
        <w:tc>
          <w:tcPr>
            <w:tcW w:w="9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0"/>
              <w:ind w:left="22" w:right="0"/>
              <w:jc w:val="left"/>
              <w:rPr>
                <w:rFonts w:ascii="Times New Roman" w:hAnsi="Times New Roman" w:cs="Times New Roman" w:eastAsia="Times New Roman" w:hint="default"/>
                <w:sz w:val="18"/>
                <w:szCs w:val="18"/>
              </w:rPr>
            </w:pPr>
            <w:r>
              <w:rPr>
                <w:rFonts w:ascii="Times New Roman"/>
                <w:sz w:val="18"/>
              </w:rPr>
              <w:t>4</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3" w:right="0"/>
              <w:jc w:val="left"/>
              <w:rPr>
                <w:rFonts w:ascii="宋体" w:hAnsi="宋体" w:cs="宋体" w:eastAsia="宋体" w:hint="default"/>
                <w:sz w:val="18"/>
                <w:szCs w:val="18"/>
              </w:rPr>
            </w:pPr>
            <w:r>
              <w:rPr>
                <w:rFonts w:ascii="宋体" w:hAnsi="宋体" w:cs="宋体" w:eastAsia="宋体" w:hint="default"/>
                <w:sz w:val="18"/>
                <w:szCs w:val="18"/>
              </w:rPr>
              <w:t>深圳市爱施德股份有限公司</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18"/>
                <w:szCs w:val="18"/>
              </w:rPr>
            </w:pPr>
            <w:r>
              <w:rPr>
                <w:rFonts w:ascii="Times New Roman"/>
                <w:spacing w:val="-1"/>
                <w:sz w:val="18"/>
              </w:rPr>
              <w:t>202,831,300.00</w:t>
            </w:r>
          </w:p>
        </w:tc>
        <w:tc>
          <w:tcPr>
            <w:tcW w:w="3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2" w:right="0"/>
              <w:jc w:val="center"/>
              <w:rPr>
                <w:rFonts w:ascii="Times New Roman" w:hAnsi="Times New Roman" w:cs="Times New Roman" w:eastAsia="Times New Roman" w:hint="default"/>
                <w:sz w:val="18"/>
                <w:szCs w:val="18"/>
              </w:rPr>
            </w:pPr>
            <w:r>
              <w:rPr>
                <w:rFonts w:ascii="Times New Roman"/>
                <w:sz w:val="18"/>
              </w:rPr>
              <w:t>2.54%</w:t>
            </w:r>
          </w:p>
        </w:tc>
      </w:tr>
      <w:tr>
        <w:trPr>
          <w:trHeight w:val="362" w:hRule="exact"/>
        </w:trPr>
        <w:tc>
          <w:tcPr>
            <w:tcW w:w="9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2"/>
              <w:ind w:left="22" w:right="0"/>
              <w:jc w:val="left"/>
              <w:rPr>
                <w:rFonts w:ascii="Times New Roman" w:hAnsi="Times New Roman" w:cs="Times New Roman" w:eastAsia="Times New Roman" w:hint="default"/>
                <w:sz w:val="18"/>
                <w:szCs w:val="18"/>
              </w:rPr>
            </w:pPr>
            <w:r>
              <w:rPr>
                <w:rFonts w:ascii="Times New Roman"/>
                <w:sz w:val="18"/>
              </w:rPr>
              <w:t>5</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3" w:right="0"/>
              <w:jc w:val="left"/>
              <w:rPr>
                <w:rFonts w:ascii="宋体" w:hAnsi="宋体" w:cs="宋体" w:eastAsia="宋体" w:hint="default"/>
                <w:sz w:val="18"/>
                <w:szCs w:val="18"/>
              </w:rPr>
            </w:pPr>
            <w:r>
              <w:rPr>
                <w:rFonts w:ascii="宋体" w:hAnsi="宋体" w:cs="宋体" w:eastAsia="宋体" w:hint="default"/>
                <w:sz w:val="18"/>
                <w:szCs w:val="18"/>
              </w:rPr>
              <w:t>天音信息服务（北京）有限公司</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19"/>
              <w:jc w:val="right"/>
              <w:rPr>
                <w:rFonts w:ascii="Times New Roman" w:hAnsi="Times New Roman" w:cs="Times New Roman" w:eastAsia="Times New Roman" w:hint="default"/>
                <w:sz w:val="18"/>
                <w:szCs w:val="18"/>
              </w:rPr>
            </w:pPr>
            <w:r>
              <w:rPr>
                <w:rFonts w:ascii="Times New Roman"/>
                <w:spacing w:val="-1"/>
                <w:sz w:val="18"/>
              </w:rPr>
              <w:t>174,845,300.00</w:t>
            </w:r>
          </w:p>
        </w:tc>
        <w:tc>
          <w:tcPr>
            <w:tcW w:w="3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left="2" w:right="0"/>
              <w:jc w:val="center"/>
              <w:rPr>
                <w:rFonts w:ascii="Times New Roman" w:hAnsi="Times New Roman" w:cs="Times New Roman" w:eastAsia="Times New Roman" w:hint="default"/>
                <w:sz w:val="18"/>
                <w:szCs w:val="18"/>
              </w:rPr>
            </w:pPr>
            <w:r>
              <w:rPr>
                <w:rFonts w:ascii="Times New Roman"/>
                <w:sz w:val="18"/>
              </w:rPr>
              <w:t>2.19%</w:t>
            </w:r>
          </w:p>
        </w:tc>
      </w:tr>
      <w:tr>
        <w:trPr>
          <w:trHeight w:val="362" w:hRule="exact"/>
        </w:trPr>
        <w:tc>
          <w:tcPr>
            <w:tcW w:w="9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0"/>
              <w:ind w:right="0"/>
              <w:jc w:val="center"/>
              <w:rPr>
                <w:rFonts w:ascii="Times New Roman" w:hAnsi="Times New Roman" w:cs="Times New Roman" w:eastAsia="Times New Roman" w:hint="default"/>
                <w:sz w:val="18"/>
                <w:szCs w:val="18"/>
              </w:rPr>
            </w:pPr>
            <w:r>
              <w:rPr>
                <w:rFonts w:ascii="Times New Roman"/>
                <w:sz w:val="18"/>
              </w:rPr>
              <w:t>--</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1"/>
              <w:jc w:val="right"/>
              <w:rPr>
                <w:rFonts w:ascii="Times New Roman" w:hAnsi="Times New Roman" w:cs="Times New Roman" w:eastAsia="Times New Roman" w:hint="default"/>
                <w:sz w:val="18"/>
                <w:szCs w:val="18"/>
              </w:rPr>
            </w:pPr>
            <w:r>
              <w:rPr>
                <w:rFonts w:ascii="Times New Roman"/>
                <w:spacing w:val="-1"/>
                <w:sz w:val="18"/>
              </w:rPr>
              <w:t>1,312,875,562.40</w:t>
            </w:r>
          </w:p>
        </w:tc>
        <w:tc>
          <w:tcPr>
            <w:tcW w:w="3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1" w:right="0"/>
              <w:jc w:val="center"/>
              <w:rPr>
                <w:rFonts w:ascii="Times New Roman" w:hAnsi="Times New Roman" w:cs="Times New Roman" w:eastAsia="Times New Roman" w:hint="default"/>
                <w:sz w:val="18"/>
                <w:szCs w:val="18"/>
              </w:rPr>
            </w:pPr>
            <w:r>
              <w:rPr>
                <w:rFonts w:ascii="Times New Roman"/>
                <w:sz w:val="18"/>
              </w:rPr>
              <w:t>16.43%</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主要供应商其他情况说明</w:t>
      </w:r>
    </w:p>
    <w:p>
      <w:pPr>
        <w:spacing w:before="117"/>
        <w:ind w:left="153"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309" w:lineRule="auto" w:before="115"/>
        <w:ind w:left="153" w:right="1128" w:firstLine="360"/>
        <w:jc w:val="both"/>
        <w:rPr>
          <w:rFonts w:ascii="宋体" w:hAnsi="宋体" w:cs="宋体" w:eastAsia="宋体" w:hint="default"/>
          <w:sz w:val="18"/>
          <w:szCs w:val="18"/>
        </w:rPr>
      </w:pPr>
      <w:r>
        <w:rPr>
          <w:rFonts w:ascii="宋体" w:hAnsi="宋体" w:cs="宋体" w:eastAsia="宋体" w:hint="default"/>
          <w:sz w:val="18"/>
          <w:szCs w:val="18"/>
        </w:rPr>
        <w:t>前五名供应商中桂林长海科技有限责任公司为本公司持股</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41.525%</w:t>
      </w:r>
      <w:r>
        <w:rPr>
          <w:rFonts w:ascii="宋体" w:hAnsi="宋体" w:cs="宋体" w:eastAsia="宋体" w:hint="default"/>
          <w:sz w:val="18"/>
          <w:szCs w:val="18"/>
        </w:rPr>
        <w:t>的参股企业，同时也为本公司实际控制人的控股公</w:t>
      </w:r>
      <w:r>
        <w:rPr>
          <w:rFonts w:ascii="宋体" w:hAnsi="宋体" w:cs="宋体" w:eastAsia="宋体" w:hint="default"/>
          <w:spacing w:val="1"/>
          <w:sz w:val="18"/>
          <w:szCs w:val="18"/>
        </w:rPr>
        <w:t> </w:t>
      </w:r>
      <w:r>
        <w:rPr>
          <w:rFonts w:ascii="宋体" w:hAnsi="宋体" w:cs="宋体" w:eastAsia="宋体" w:hint="default"/>
          <w:spacing w:val="-2"/>
          <w:sz w:val="18"/>
          <w:szCs w:val="18"/>
        </w:rPr>
        <w:t>司；除此外，本公司与其他四名供应商不存在关联关系；本公司董事、监事、高级管理人员等在主要供应商中未直接或者间</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接拥有权益。</w:t>
      </w:r>
    </w:p>
    <w:p>
      <w:pPr>
        <w:spacing w:after="0" w:line="309" w:lineRule="auto"/>
        <w:jc w:val="both"/>
        <w:rPr>
          <w:rFonts w:ascii="宋体" w:hAnsi="宋体" w:cs="宋体" w:eastAsia="宋体" w:hint="default"/>
          <w:sz w:val="18"/>
          <w:szCs w:val="18"/>
        </w:rPr>
        <w:sectPr>
          <w:pgSz w:w="11910" w:h="16840"/>
          <w:pgMar w:header="787" w:footer="982" w:top="1100" w:bottom="1180" w:left="980" w:right="0"/>
        </w:sectPr>
      </w:pPr>
    </w:p>
    <w:p>
      <w:pPr>
        <w:spacing w:line="240" w:lineRule="auto" w:before="7"/>
        <w:rPr>
          <w:rFonts w:ascii="宋体" w:hAnsi="宋体" w:cs="宋体" w:eastAsia="宋体" w:hint="default"/>
          <w:sz w:val="21"/>
          <w:szCs w:val="21"/>
        </w:rPr>
      </w:pPr>
    </w:p>
    <w:p>
      <w:pPr>
        <w:pStyle w:val="Heading5"/>
        <w:spacing w:line="240" w:lineRule="auto"/>
        <w:ind w:left="154" w:right="0"/>
        <w:jc w:val="left"/>
        <w:rPr>
          <w:b w:val="0"/>
          <w:bCs w:val="0"/>
        </w:rPr>
      </w:pPr>
      <w:r>
        <w:rPr>
          <w:rFonts w:ascii="Times New Roman" w:hAnsi="Times New Roman" w:cs="Times New Roman" w:eastAsia="Times New Roman" w:hint="default"/>
        </w:rPr>
        <w:t>3</w:t>
      </w:r>
      <w:r>
        <w:rPr/>
        <w:t>、费用</w:t>
      </w:r>
      <w:r>
        <w:rPr>
          <w:b w:val="0"/>
          <w:bCs w:val="0"/>
        </w:rPr>
      </w:r>
    </w:p>
    <w:p>
      <w:pPr>
        <w:spacing w:line="240" w:lineRule="auto" w:before="8"/>
        <w:rPr>
          <w:rFonts w:ascii="宋体" w:hAnsi="宋体" w:cs="宋体" w:eastAsia="宋体" w:hint="default"/>
          <w:b/>
          <w:bCs/>
          <w:sz w:val="18"/>
          <w:szCs w:val="18"/>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83" w:type="dxa"/>
        <w:tblLayout w:type="fixed"/>
        <w:tblCellMar>
          <w:top w:w="0" w:type="dxa"/>
          <w:left w:w="0" w:type="dxa"/>
          <w:bottom w:w="0" w:type="dxa"/>
          <w:right w:w="0" w:type="dxa"/>
        </w:tblCellMar>
        <w:tblLook w:val="01E0"/>
      </w:tblPr>
      <w:tblGrid>
        <w:gridCol w:w="1915"/>
        <w:gridCol w:w="1854"/>
        <w:gridCol w:w="1854"/>
        <w:gridCol w:w="1855"/>
        <w:gridCol w:w="2090"/>
      </w:tblGrid>
      <w:tr>
        <w:trPr>
          <w:trHeight w:val="357" w:hRule="exact"/>
        </w:trPr>
        <w:tc>
          <w:tcPr>
            <w:tcW w:w="1915"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85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85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85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同比增减</w:t>
            </w:r>
          </w:p>
        </w:tc>
        <w:tc>
          <w:tcPr>
            <w:tcW w:w="20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499" w:right="0"/>
              <w:jc w:val="left"/>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367" w:hRule="exact"/>
        </w:trPr>
        <w:tc>
          <w:tcPr>
            <w:tcW w:w="191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5"/>
              <w:ind w:left="22"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0"/>
              <w:jc w:val="right"/>
              <w:rPr>
                <w:rFonts w:ascii="Times New Roman" w:hAnsi="Times New Roman" w:cs="Times New Roman" w:eastAsia="Times New Roman" w:hint="default"/>
                <w:sz w:val="18"/>
                <w:szCs w:val="18"/>
              </w:rPr>
            </w:pPr>
            <w:r>
              <w:rPr>
                <w:rFonts w:ascii="Times New Roman"/>
                <w:spacing w:val="-1"/>
                <w:sz w:val="18"/>
              </w:rPr>
              <w:t>377,184,892.46</w:t>
            </w:r>
          </w:p>
        </w:tc>
        <w:tc>
          <w:tcPr>
            <w:tcW w:w="1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20"/>
              <w:jc w:val="right"/>
              <w:rPr>
                <w:rFonts w:ascii="Times New Roman" w:hAnsi="Times New Roman" w:cs="Times New Roman" w:eastAsia="Times New Roman" w:hint="default"/>
                <w:sz w:val="18"/>
                <w:szCs w:val="18"/>
              </w:rPr>
            </w:pPr>
            <w:r>
              <w:rPr>
                <w:rFonts w:ascii="Times New Roman"/>
                <w:spacing w:val="-1"/>
                <w:sz w:val="18"/>
              </w:rPr>
              <w:t>394,567,831.35</w:t>
            </w:r>
          </w:p>
        </w:tc>
        <w:tc>
          <w:tcPr>
            <w:tcW w:w="1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18"/>
                <w:szCs w:val="18"/>
              </w:rPr>
            </w:pPr>
            <w:r>
              <w:rPr>
                <w:rFonts w:ascii="Times New Roman"/>
                <w:sz w:val="18"/>
              </w:rPr>
              <w:t>-4.41%</w:t>
            </w:r>
          </w:p>
        </w:tc>
        <w:tc>
          <w:tcPr>
            <w:tcW w:w="209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无重大变化</w:t>
            </w:r>
          </w:p>
        </w:tc>
      </w:tr>
      <w:tr>
        <w:trPr>
          <w:trHeight w:val="361" w:hRule="exact"/>
        </w:trPr>
        <w:tc>
          <w:tcPr>
            <w:tcW w:w="191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0"/>
              <w:jc w:val="right"/>
              <w:rPr>
                <w:rFonts w:ascii="Times New Roman" w:hAnsi="Times New Roman" w:cs="Times New Roman" w:eastAsia="Times New Roman" w:hint="default"/>
                <w:sz w:val="18"/>
                <w:szCs w:val="18"/>
              </w:rPr>
            </w:pPr>
            <w:r>
              <w:rPr>
                <w:rFonts w:ascii="Times New Roman"/>
                <w:spacing w:val="-1"/>
                <w:sz w:val="18"/>
              </w:rPr>
              <w:t>606,310,012.86</w:t>
            </w:r>
          </w:p>
        </w:tc>
        <w:tc>
          <w:tcPr>
            <w:tcW w:w="1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0"/>
              <w:jc w:val="right"/>
              <w:rPr>
                <w:rFonts w:ascii="Times New Roman" w:hAnsi="Times New Roman" w:cs="Times New Roman" w:eastAsia="Times New Roman" w:hint="default"/>
                <w:sz w:val="18"/>
                <w:szCs w:val="18"/>
              </w:rPr>
            </w:pPr>
            <w:r>
              <w:rPr>
                <w:rFonts w:ascii="Times New Roman"/>
                <w:spacing w:val="-1"/>
                <w:sz w:val="18"/>
              </w:rPr>
              <w:t>568,270,893.41</w:t>
            </w:r>
          </w:p>
        </w:tc>
        <w:tc>
          <w:tcPr>
            <w:tcW w:w="1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Times New Roman" w:hAnsi="Times New Roman" w:cs="Times New Roman" w:eastAsia="Times New Roman" w:hint="default"/>
                <w:sz w:val="18"/>
                <w:szCs w:val="18"/>
              </w:rPr>
            </w:pPr>
            <w:r>
              <w:rPr>
                <w:rFonts w:ascii="Times New Roman"/>
                <w:sz w:val="18"/>
              </w:rPr>
              <w:t>6.69%</w:t>
            </w:r>
          </w:p>
        </w:tc>
        <w:tc>
          <w:tcPr>
            <w:tcW w:w="2090" w:type="dxa"/>
            <w:vMerge/>
            <w:tcBorders>
              <w:left w:val="single" w:sz="4" w:space="0" w:color="000000"/>
              <w:right w:val="single" w:sz="4" w:space="0" w:color="000000"/>
            </w:tcBorders>
          </w:tcPr>
          <w:p>
            <w:pPr/>
          </w:p>
        </w:tc>
      </w:tr>
      <w:tr>
        <w:trPr>
          <w:trHeight w:val="362" w:hRule="exact"/>
        </w:trPr>
        <w:tc>
          <w:tcPr>
            <w:tcW w:w="191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20"/>
              <w:jc w:val="right"/>
              <w:rPr>
                <w:rFonts w:ascii="Times New Roman" w:hAnsi="Times New Roman" w:cs="Times New Roman" w:eastAsia="Times New Roman" w:hint="default"/>
                <w:sz w:val="18"/>
                <w:szCs w:val="18"/>
              </w:rPr>
            </w:pPr>
            <w:r>
              <w:rPr>
                <w:rFonts w:ascii="Times New Roman"/>
                <w:spacing w:val="-1"/>
                <w:sz w:val="18"/>
              </w:rPr>
              <w:t>42,664,100.82</w:t>
            </w:r>
          </w:p>
        </w:tc>
        <w:tc>
          <w:tcPr>
            <w:tcW w:w="1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21"/>
              <w:jc w:val="right"/>
              <w:rPr>
                <w:rFonts w:ascii="Times New Roman" w:hAnsi="Times New Roman" w:cs="Times New Roman" w:eastAsia="Times New Roman" w:hint="default"/>
                <w:sz w:val="18"/>
                <w:szCs w:val="18"/>
              </w:rPr>
            </w:pPr>
            <w:r>
              <w:rPr>
                <w:rFonts w:ascii="Times New Roman"/>
                <w:spacing w:val="-1"/>
                <w:sz w:val="18"/>
              </w:rPr>
              <w:t>46,827,312.54</w:t>
            </w:r>
          </w:p>
        </w:tc>
        <w:tc>
          <w:tcPr>
            <w:tcW w:w="1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center"/>
              <w:rPr>
                <w:rFonts w:ascii="Times New Roman" w:hAnsi="Times New Roman" w:cs="Times New Roman" w:eastAsia="Times New Roman" w:hint="default"/>
                <w:sz w:val="18"/>
                <w:szCs w:val="18"/>
              </w:rPr>
            </w:pPr>
            <w:r>
              <w:rPr>
                <w:rFonts w:ascii="Times New Roman"/>
                <w:sz w:val="18"/>
              </w:rPr>
              <w:t>-8.89%</w:t>
            </w:r>
          </w:p>
        </w:tc>
        <w:tc>
          <w:tcPr>
            <w:tcW w:w="2090" w:type="dxa"/>
            <w:vMerge/>
            <w:tcBorders>
              <w:left w:val="single" w:sz="4" w:space="0" w:color="000000"/>
              <w:right w:val="single" w:sz="4" w:space="0" w:color="000000"/>
            </w:tcBorders>
          </w:tcPr>
          <w:p>
            <w:pPr/>
          </w:p>
        </w:tc>
      </w:tr>
      <w:tr>
        <w:trPr>
          <w:trHeight w:val="362" w:hRule="exact"/>
        </w:trPr>
        <w:tc>
          <w:tcPr>
            <w:tcW w:w="191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1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0"/>
              <w:jc w:val="right"/>
              <w:rPr>
                <w:rFonts w:ascii="Times New Roman" w:hAnsi="Times New Roman" w:cs="Times New Roman" w:eastAsia="Times New Roman" w:hint="default"/>
                <w:sz w:val="18"/>
                <w:szCs w:val="18"/>
              </w:rPr>
            </w:pPr>
            <w:r>
              <w:rPr>
                <w:rFonts w:ascii="Times New Roman"/>
                <w:spacing w:val="-1"/>
                <w:sz w:val="18"/>
              </w:rPr>
              <w:t>644,718,337.98</w:t>
            </w:r>
          </w:p>
        </w:tc>
        <w:tc>
          <w:tcPr>
            <w:tcW w:w="1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0"/>
              <w:jc w:val="right"/>
              <w:rPr>
                <w:rFonts w:ascii="Times New Roman" w:hAnsi="Times New Roman" w:cs="Times New Roman" w:eastAsia="Times New Roman" w:hint="default"/>
                <w:sz w:val="18"/>
                <w:szCs w:val="18"/>
              </w:rPr>
            </w:pPr>
            <w:r>
              <w:rPr>
                <w:rFonts w:ascii="Times New Roman"/>
                <w:spacing w:val="-1"/>
                <w:sz w:val="18"/>
              </w:rPr>
              <w:t>537,932,446.49</w:t>
            </w:r>
          </w:p>
        </w:tc>
        <w:tc>
          <w:tcPr>
            <w:tcW w:w="1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center"/>
              <w:rPr>
                <w:rFonts w:ascii="Times New Roman" w:hAnsi="Times New Roman" w:cs="Times New Roman" w:eastAsia="Times New Roman" w:hint="default"/>
                <w:sz w:val="18"/>
                <w:szCs w:val="18"/>
              </w:rPr>
            </w:pPr>
            <w:r>
              <w:rPr>
                <w:rFonts w:ascii="Times New Roman"/>
                <w:sz w:val="18"/>
              </w:rPr>
              <w:t>19.85%</w:t>
            </w:r>
          </w:p>
        </w:tc>
        <w:tc>
          <w:tcPr>
            <w:tcW w:w="2090" w:type="dxa"/>
            <w:vMerge/>
            <w:tcBorders>
              <w:left w:val="single" w:sz="4" w:space="0" w:color="000000"/>
              <w:bottom w:val="single" w:sz="4" w:space="0" w:color="000000"/>
              <w:right w:val="single" w:sz="4" w:space="0" w:color="000000"/>
            </w:tcBorders>
          </w:tcPr>
          <w:p>
            <w:pPr/>
          </w:p>
        </w:tc>
      </w:tr>
    </w:tbl>
    <w:p>
      <w:pPr>
        <w:spacing w:line="240" w:lineRule="auto" w:before="7"/>
        <w:rPr>
          <w:rFonts w:ascii="宋体" w:hAnsi="宋体" w:cs="宋体" w:eastAsia="宋体" w:hint="default"/>
          <w:sz w:val="14"/>
          <w:szCs w:val="14"/>
        </w:rPr>
      </w:pPr>
    </w:p>
    <w:p>
      <w:pPr>
        <w:pStyle w:val="Heading5"/>
        <w:spacing w:line="240" w:lineRule="auto"/>
        <w:ind w:left="154" w:right="0"/>
        <w:jc w:val="left"/>
        <w:rPr>
          <w:b w:val="0"/>
          <w:bCs w:val="0"/>
        </w:rPr>
      </w:pPr>
      <w:r>
        <w:rPr>
          <w:rFonts w:ascii="Times New Roman" w:hAnsi="Times New Roman" w:cs="Times New Roman" w:eastAsia="Times New Roman" w:hint="default"/>
        </w:rPr>
        <w:t>4</w:t>
      </w:r>
      <w:r>
        <w:rPr/>
        <w:t>、研发投入</w:t>
      </w:r>
      <w:r>
        <w:rPr>
          <w:b w:val="0"/>
          <w:bCs w:val="0"/>
        </w:rPr>
      </w:r>
    </w:p>
    <w:p>
      <w:pPr>
        <w:spacing w:line="240" w:lineRule="auto" w:before="0"/>
        <w:rPr>
          <w:rFonts w:ascii="宋体" w:hAnsi="宋体" w:cs="宋体" w:eastAsia="宋体" w:hint="default"/>
          <w:b/>
          <w:bCs/>
          <w:sz w:val="22"/>
          <w:szCs w:val="22"/>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pStyle w:val="BodyText"/>
        <w:spacing w:line="362" w:lineRule="auto" w:before="144"/>
        <w:ind w:left="154" w:right="1131" w:firstLine="420"/>
        <w:jc w:val="both"/>
      </w:pPr>
      <w:r>
        <w:rPr>
          <w:rFonts w:ascii="Times New Roman" w:hAnsi="Times New Roman" w:cs="Times New Roman" w:eastAsia="Times New Roman" w:hint="default"/>
          <w:spacing w:val="-1"/>
        </w:rPr>
        <w:t>2018</w:t>
      </w:r>
      <w:r>
        <w:rPr>
          <w:rFonts w:ascii="Times New Roman" w:hAnsi="Times New Roman" w:cs="Times New Roman" w:eastAsia="Times New Roman" w:hint="default"/>
          <w:spacing w:val="4"/>
        </w:rPr>
        <w:t> </w:t>
      </w:r>
      <w:r>
        <w:rPr>
          <w:spacing w:val="-2"/>
        </w:rPr>
        <w:t>年，公司以国家“推动信息领域核心技术突破，发挥信息化对经济社会发展的引领作用，加强网</w:t>
      </w:r>
      <w:r>
        <w:rPr/>
        <w:t> </w:t>
      </w:r>
      <w:r>
        <w:rPr>
          <w:spacing w:val="-1"/>
        </w:rPr>
        <w:t>信领域军民融合，主动参与网络空间国际治理进程，自主创新推进网络强国建设”为战略指引，坚持科技</w:t>
      </w:r>
      <w:r>
        <w:rPr>
          <w:spacing w:val="-82"/>
        </w:rPr>
        <w:t> </w:t>
      </w:r>
      <w:r>
        <w:rPr>
          <w:spacing w:val="-82"/>
        </w:rPr>
      </w:r>
      <w:r>
        <w:rPr>
          <w:spacing w:val="-1"/>
        </w:rPr>
        <w:t>创新发展战略，持续加大自主创新力度和科技研发投入，积极拓展新技术领域，攻克技术难关，推出系列</w:t>
      </w:r>
      <w:r>
        <w:rPr>
          <w:spacing w:val="-82"/>
        </w:rPr>
        <w:t> </w:t>
      </w:r>
      <w:r>
        <w:rPr>
          <w:spacing w:val="-82"/>
        </w:rPr>
      </w:r>
      <w:r>
        <w:rPr/>
        <w:t>创新型产品，科技工作取得丰硕成果。</w:t>
      </w:r>
    </w:p>
    <w:p>
      <w:pPr>
        <w:pStyle w:val="BodyText"/>
        <w:spacing w:line="355" w:lineRule="auto" w:before="79"/>
        <w:ind w:left="154" w:right="1018" w:firstLine="419"/>
        <w:jc w:val="left"/>
      </w:pPr>
      <w:r>
        <w:rPr>
          <w:spacing w:val="-3"/>
        </w:rPr>
        <w:t>在网络安全与信息化领域：（</w:t>
      </w:r>
      <w:r>
        <w:rPr>
          <w:rFonts w:ascii="Times New Roman" w:hAnsi="Times New Roman" w:cs="Times New Roman" w:eastAsia="Times New Roman" w:hint="default"/>
          <w:spacing w:val="-3"/>
        </w:rPr>
        <w:t>1</w:t>
      </w:r>
      <w:r>
        <w:rPr>
          <w:spacing w:val="-3"/>
        </w:rPr>
        <w:t>）安全可靠整机，研发基于国产处理器的自主可控专用计算机设备，通</w:t>
      </w:r>
      <w:r>
        <w:rPr/>
        <w:t> 过国家测评中心定型测试，进入国家主管部门的三期专用名录；引入计算机固件研发团队，自主研发基于 国产软硬件平台的 </w:t>
      </w:r>
      <w:r>
        <w:rPr>
          <w:rFonts w:ascii="Times New Roman" w:hAnsi="Times New Roman" w:cs="Times New Roman" w:eastAsia="Times New Roman" w:hint="default"/>
        </w:rPr>
        <w:t>BIOS</w:t>
      </w:r>
      <w:r>
        <w:rPr>
          <w:rFonts w:ascii="Times New Roman" w:hAnsi="Times New Roman" w:cs="Times New Roman" w:eastAsia="Times New Roman" w:hint="default"/>
          <w:spacing w:val="-31"/>
        </w:rPr>
        <w:t> </w:t>
      </w:r>
      <w:r>
        <w:rPr/>
        <w:t>产品，提高整机产品的稳定性、可靠性；开展基于新一代国产飞腾服务器处理器 </w:t>
      </w:r>
      <w:r>
        <w:rPr>
          <w:spacing w:val="-3"/>
        </w:rPr>
        <w:t>的安全可靠服务器、专用服务器等产品的研发工作。（</w:t>
      </w:r>
      <w:r>
        <w:rPr>
          <w:rFonts w:ascii="Times New Roman" w:hAnsi="Times New Roman" w:cs="Times New Roman" w:eastAsia="Times New Roman" w:hint="default"/>
          <w:spacing w:val="-3"/>
        </w:rPr>
        <w:t>2</w:t>
      </w:r>
      <w:r>
        <w:rPr>
          <w:spacing w:val="-3"/>
        </w:rPr>
        <w:t>）人工智能端自助产品，结合多项先进智能技术如</w:t>
      </w:r>
      <w:r>
        <w:rPr>
          <w:spacing w:val="-93"/>
        </w:rPr>
        <w:t> </w:t>
      </w:r>
      <w:r>
        <w:rPr>
          <w:spacing w:val="-93"/>
        </w:rPr>
      </w:r>
      <w:r>
        <w:rPr>
          <w:spacing w:val="-3"/>
        </w:rPr>
        <w:t>音颇叠加、高清拾音技术、双目云台自动跟踪技术、多款摄像头技术、人脸识别、语音识别、视频交互等，</w:t>
      </w:r>
      <w:r>
        <w:rPr>
          <w:spacing w:val="-94"/>
        </w:rPr>
        <w:t> </w:t>
      </w:r>
      <w:r>
        <w:rPr>
          <w:spacing w:val="-94"/>
        </w:rPr>
      </w:r>
      <w:r>
        <w:rPr>
          <w:spacing w:val="-3"/>
        </w:rPr>
        <w:t>双目摄像头自动调节跟踪人脸技术已通过测评，双目活体检测摄像头在多款产品上集成和应用。（</w:t>
      </w:r>
      <w:r>
        <w:rPr>
          <w:rFonts w:ascii="Times New Roman" w:hAnsi="Times New Roman" w:cs="Times New Roman" w:eastAsia="Times New Roman" w:hint="default"/>
          <w:spacing w:val="-3"/>
        </w:rPr>
        <w:t>3</w:t>
      </w:r>
      <w:r>
        <w:rPr>
          <w:spacing w:val="-3"/>
        </w:rPr>
        <w:t>）数字</w:t>
      </w:r>
      <w:r>
        <w:rPr>
          <w:spacing w:val="-94"/>
        </w:rPr>
        <w:t> </w:t>
      </w:r>
      <w:r>
        <w:rPr>
          <w:spacing w:val="-94"/>
        </w:rPr>
      </w:r>
      <w:r>
        <w:rPr/>
        <w:t>医疗及其解决方案，全面实行自助业务向基于安全可靠技术的区域健康信息平台、数据运营业务转型。与</w:t>
      </w:r>
      <w:r>
        <w:rPr/>
        <w:t> 长沙市卫计委签订战略合作协议，在长沙市开展基于安全可靠的智慧医疗云建设项目，并于 </w:t>
      </w:r>
      <w:r>
        <w:rPr>
          <w:rFonts w:ascii="Times New Roman" w:hAnsi="Times New Roman" w:cs="Times New Roman" w:eastAsia="Times New Roman" w:hint="default"/>
        </w:rPr>
        <w:t>2018 </w:t>
      </w:r>
      <w:r>
        <w:rPr/>
        <w:t>年 </w:t>
      </w:r>
      <w:r>
        <w:rPr>
          <w:rFonts w:ascii="Times New Roman" w:hAnsi="Times New Roman" w:cs="Times New Roman" w:eastAsia="Times New Roman" w:hint="default"/>
        </w:rPr>
        <w:t>6</w:t>
      </w:r>
      <w:r>
        <w:rPr>
          <w:rFonts w:ascii="Times New Roman" w:hAnsi="Times New Roman" w:cs="Times New Roman" w:eastAsia="Times New Roman" w:hint="default"/>
          <w:spacing w:val="-24"/>
        </w:rPr>
        <w:t> </w:t>
      </w:r>
      <w:r>
        <w:rPr/>
        <w:t>月 正式投入试点建设，是国内首次将安全可靠技术在医疗卫生领域的应用。目前，研发了基于安全可靠软硬 件体系的智慧医疗基础平台，围绕加强基层医疗卫生机构、推进家庭医生签约服务、分级诊疗及医联体建 设，建设了基于安全可靠基层卫生信息系统、智慧妇幼保健系统、远程医疗、分级诊疗等医疗健康应用服 </w:t>
      </w:r>
      <w:r>
        <w:rPr>
          <w:spacing w:val="-3"/>
        </w:rPr>
        <w:t>务系统，同步开展智慧门诊、智慧病区等智慧医院试点建设。（</w:t>
      </w:r>
      <w:r>
        <w:rPr>
          <w:rFonts w:ascii="Times New Roman" w:hAnsi="Times New Roman" w:cs="Times New Roman" w:eastAsia="Times New Roman" w:hint="default"/>
          <w:spacing w:val="-3"/>
        </w:rPr>
        <w:t>4</w:t>
      </w:r>
      <w:r>
        <w:rPr>
          <w:spacing w:val="-3"/>
        </w:rPr>
        <w:t>）金融自助终端及其解决方案强化安全可</w:t>
      </w:r>
      <w:r>
        <w:rPr>
          <w:spacing w:val="-93"/>
        </w:rPr>
        <w:t> </w:t>
      </w:r>
      <w:r>
        <w:rPr>
          <w:spacing w:val="-93"/>
        </w:rPr>
      </w:r>
      <w:r>
        <w:rPr>
          <w:spacing w:val="-6"/>
        </w:rPr>
        <w:t>靠能力建设，基于国产硬件平台研发的跨端驱动平台和跨端应用平台，实现了驱动平台跨</w:t>
      </w:r>
      <w:r>
        <w:rPr>
          <w:spacing w:val="-45"/>
        </w:rPr>
        <w:t> </w:t>
      </w:r>
      <w:r>
        <w:rPr>
          <w:rFonts w:ascii="Times New Roman" w:hAnsi="Times New Roman" w:cs="Times New Roman" w:eastAsia="Times New Roman" w:hint="default"/>
          <w:spacing w:val="-8"/>
        </w:rPr>
        <w:t>Windows</w:t>
      </w:r>
      <w:r>
        <w:rPr>
          <w:spacing w:val="-8"/>
        </w:rPr>
        <w:t>、</w:t>
      </w:r>
      <w:r>
        <w:rPr>
          <w:rFonts w:ascii="Times New Roman" w:hAnsi="Times New Roman" w:cs="Times New Roman" w:eastAsia="Times New Roman" w:hint="default"/>
          <w:spacing w:val="-8"/>
        </w:rPr>
        <w:t>Android</w:t>
      </w:r>
      <w:r>
        <w:rPr>
          <w:rFonts w:ascii="Times New Roman" w:hAnsi="Times New Roman" w:cs="Times New Roman" w:eastAsia="Times New Roman" w:hint="default"/>
          <w:spacing w:val="-34"/>
        </w:rPr>
        <w:t> </w:t>
      </w:r>
      <w:r>
        <w:rPr>
          <w:rFonts w:ascii="Times New Roman" w:hAnsi="Times New Roman" w:cs="Times New Roman" w:eastAsia="Times New Roman" w:hint="default"/>
          <w:spacing w:val="-34"/>
        </w:rPr>
      </w:r>
      <w:r>
        <w:rPr>
          <w:spacing w:val="-3"/>
        </w:rPr>
        <w:t>版本的开发与应用，支持现金、自助、发卡、回单、存单通用业务，并在多个项目上推广。（</w:t>
      </w:r>
      <w:r>
        <w:rPr>
          <w:rFonts w:ascii="Times New Roman" w:hAnsi="Times New Roman" w:cs="Times New Roman" w:eastAsia="Times New Roman" w:hint="default"/>
          <w:spacing w:val="-3"/>
        </w:rPr>
        <w:t>5</w:t>
      </w:r>
      <w:r>
        <w:rPr>
          <w:spacing w:val="-3"/>
        </w:rPr>
        <w:t>）金融非现</w:t>
      </w:r>
      <w:r>
        <w:rPr>
          <w:spacing w:val="-95"/>
        </w:rPr>
        <w:t> </w:t>
      </w:r>
      <w:r>
        <w:rPr>
          <w:spacing w:val="-95"/>
        </w:rPr>
      </w:r>
      <w:r>
        <w:rPr/>
        <w:t>自助产品核心技术，首次推出港澳通行证阅读模块，填补了行业空白；发卡，发</w:t>
      </w:r>
      <w:r>
        <w:rPr>
          <w:spacing w:val="-12"/>
        </w:rPr>
        <w:t> </w:t>
      </w:r>
      <w:r>
        <w:rPr>
          <w:rFonts w:ascii="Times New Roman" w:hAnsi="Times New Roman" w:cs="Times New Roman" w:eastAsia="Times New Roman" w:hint="default"/>
        </w:rPr>
        <w:t>key</w:t>
      </w:r>
      <w:r>
        <w:rPr/>
        <w:t>，即时制卡，票据处 </w:t>
      </w:r>
      <w:r>
        <w:rPr>
          <w:spacing w:val="-3"/>
        </w:rPr>
        <w:t>理等介质处理模块全覆盖，全面掌握非现自助产品的核心技术。（</w:t>
      </w:r>
      <w:r>
        <w:rPr>
          <w:rFonts w:ascii="Times New Roman" w:hAnsi="Times New Roman" w:cs="Times New Roman" w:eastAsia="Times New Roman" w:hint="default"/>
          <w:spacing w:val="-3"/>
        </w:rPr>
        <w:t>6</w:t>
      </w:r>
      <w:r>
        <w:rPr>
          <w:spacing w:val="-3"/>
        </w:rPr>
        <w:t>）智能远程运维服务平台建设，创新提</w:t>
      </w:r>
      <w:r>
        <w:rPr>
          <w:spacing w:val="-93"/>
        </w:rPr>
        <w:t> </w:t>
      </w:r>
      <w:r>
        <w:rPr>
          <w:spacing w:val="-93"/>
        </w:rPr>
      </w:r>
      <w:r>
        <w:rPr>
          <w:spacing w:val="-1"/>
        </w:rPr>
        <w:t>出“设备运维</w:t>
      </w:r>
      <w:r>
        <w:rPr>
          <w:rFonts w:ascii="Times New Roman" w:hAnsi="Times New Roman" w:cs="Times New Roman" w:eastAsia="Times New Roman" w:hint="default"/>
          <w:spacing w:val="-1"/>
        </w:rPr>
        <w:t>+</w:t>
      </w:r>
      <w:r>
        <w:rPr>
          <w:spacing w:val="-1"/>
        </w:rPr>
        <w:t>服务运维”服务模式，为行业客户提供智能运维系统和工具，可应用于金融、医疗、交通、</w:t>
      </w:r>
      <w:r>
        <w:rPr>
          <w:spacing w:val="-94"/>
        </w:rPr>
        <w:t> </w:t>
      </w:r>
      <w:r>
        <w:rPr>
          <w:spacing w:val="-94"/>
        </w:rPr>
      </w:r>
      <w:r>
        <w:rPr>
          <w:spacing w:val="-3"/>
        </w:rPr>
        <w:t>零售、税务等多个行业和领域，具有较高的可复制性和示范价值。被获批为“</w:t>
      </w:r>
      <w:r>
        <w:rPr>
          <w:rFonts w:ascii="Times New Roman" w:hAnsi="Times New Roman" w:cs="Times New Roman" w:eastAsia="Times New Roman" w:hint="default"/>
          <w:spacing w:val="-3"/>
        </w:rPr>
        <w:t>2018 </w:t>
      </w:r>
      <w:r>
        <w:rPr/>
        <w:t>年国家智能制造试点示</w:t>
      </w:r>
      <w:r>
        <w:rPr>
          <w:spacing w:val="-71"/>
        </w:rPr>
        <w:t> </w:t>
      </w:r>
      <w:r>
        <w:rPr>
          <w:spacing w:val="-71"/>
        </w:rPr>
      </w:r>
      <w:r>
        <w:rPr>
          <w:spacing w:val="-18"/>
        </w:rPr>
        <w:t>范项目”、“人工智能试点示范项目”。</w:t>
      </w:r>
    </w:p>
    <w:p>
      <w:pPr>
        <w:spacing w:after="0" w:line="355" w:lineRule="auto"/>
        <w:jc w:val="left"/>
        <w:sectPr>
          <w:pgSz w:w="11910" w:h="16840"/>
          <w:pgMar w:header="787" w:footer="982" w:top="1100" w:bottom="1180" w:left="980" w:right="0"/>
        </w:sectPr>
      </w:pPr>
    </w:p>
    <w:p>
      <w:pPr>
        <w:spacing w:line="240" w:lineRule="auto" w:before="10"/>
        <w:rPr>
          <w:rFonts w:ascii="宋体" w:hAnsi="宋体" w:cs="宋体" w:eastAsia="宋体" w:hint="default"/>
          <w:sz w:val="25"/>
          <w:szCs w:val="25"/>
        </w:rPr>
      </w:pPr>
    </w:p>
    <w:p>
      <w:pPr>
        <w:pStyle w:val="BodyText"/>
        <w:spacing w:line="355" w:lineRule="auto" w:before="35"/>
        <w:ind w:left="154" w:right="1015" w:firstLine="419"/>
        <w:jc w:val="left"/>
      </w:pPr>
      <w:r>
        <w:rPr>
          <w:spacing w:val="-3"/>
        </w:rPr>
        <w:t>在高新电子领域：（</w:t>
      </w:r>
      <w:r>
        <w:rPr>
          <w:rFonts w:ascii="Times New Roman" w:hAnsi="Times New Roman" w:cs="Times New Roman" w:eastAsia="Times New Roman" w:hint="default"/>
          <w:spacing w:val="-3"/>
        </w:rPr>
        <w:t>1</w:t>
      </w:r>
      <w:r>
        <w:rPr>
          <w:spacing w:val="-3"/>
        </w:rPr>
        <w:t>）通信方面，连续攻克多项关键技术，承担的重大科研项目及型号任务取得阶段</w:t>
      </w:r>
      <w:r>
        <w:rPr/>
        <w:t> 性突破，某新研电台通过评标进入初样机研制阶段，某通信系统进入样机研制阶段并参与相关标准研究与 </w:t>
      </w:r>
      <w:r>
        <w:rPr>
          <w:spacing w:val="-3"/>
        </w:rPr>
        <w:t>制定。（</w:t>
      </w:r>
      <w:r>
        <w:rPr>
          <w:rFonts w:ascii="Times New Roman" w:hAnsi="Times New Roman" w:cs="Times New Roman" w:eastAsia="Times New Roman" w:hint="default"/>
          <w:spacing w:val="-3"/>
        </w:rPr>
        <w:t>2</w:t>
      </w:r>
      <w:r>
        <w:rPr>
          <w:spacing w:val="-3"/>
        </w:rPr>
        <w:t>）水下信息安全方面，某型号项目首套阵列系统一次性通过出厂评审并完成加装试用，产品性能</w:t>
      </w:r>
      <w:r>
        <w:rPr>
          <w:spacing w:val="-93"/>
        </w:rPr>
        <w:t> </w:t>
      </w:r>
      <w:r>
        <w:rPr>
          <w:spacing w:val="-93"/>
        </w:rPr>
      </w:r>
      <w:r>
        <w:rPr/>
        <w:t>获得客户认可；某重大型号配套项目已完成首阵研制生产、环境试验和湖上试验，进入样机研制阶段；某</w:t>
      </w:r>
      <w:r>
        <w:rPr/>
        <w:t> </w:t>
      </w:r>
      <w:r>
        <w:rPr>
          <w:spacing w:val="-3"/>
        </w:rPr>
        <w:t>固定式项目研制设备参加了客户组织的技术比武，设备性能参数及调试结果完胜竞争对手。（</w:t>
      </w:r>
      <w:r>
        <w:rPr>
          <w:rFonts w:ascii="Times New Roman" w:hAnsi="Times New Roman" w:cs="Times New Roman" w:eastAsia="Times New Roman" w:hint="default"/>
          <w:spacing w:val="-3"/>
        </w:rPr>
        <w:t>3</w:t>
      </w:r>
      <w:r>
        <w:rPr>
          <w:spacing w:val="-3"/>
        </w:rPr>
        <w:t>）海洋环境</w:t>
      </w:r>
      <w:r>
        <w:rPr>
          <w:spacing w:val="-94"/>
        </w:rPr>
        <w:t> </w:t>
      </w:r>
      <w:r>
        <w:rPr>
          <w:spacing w:val="-94"/>
        </w:rPr>
      </w:r>
      <w:r>
        <w:rPr>
          <w:spacing w:val="-5"/>
        </w:rPr>
        <w:t>观测方面，某观测网项目正式获得国家发改委立项，目前已启动部分建设任务的前期准备和招标工作。（</w:t>
      </w:r>
      <w:r>
        <w:rPr>
          <w:rFonts w:ascii="Times New Roman" w:hAnsi="Times New Roman" w:cs="Times New Roman" w:eastAsia="Times New Roman" w:hint="default"/>
          <w:spacing w:val="-5"/>
        </w:rPr>
        <w:t>4</w:t>
      </w:r>
      <w:r>
        <w:rPr>
          <w:spacing w:val="-5"/>
        </w:rPr>
        <w:t>）</w:t>
      </w:r>
      <w:r>
        <w:rPr>
          <w:spacing w:val="-97"/>
        </w:rPr>
        <w:t> </w:t>
      </w:r>
      <w:r>
        <w:rPr>
          <w:spacing w:val="-5"/>
        </w:rPr>
        <w:t>在显控领域，围绕特种环境下新一代计算显控平台，以“显控芯片”、“关键核心工艺”等突破口，打造基</w:t>
      </w:r>
      <w:r>
        <w:rPr/>
        <w:t> 于</w:t>
      </w:r>
      <w:r>
        <w:rPr>
          <w:spacing w:val="-62"/>
        </w:rPr>
        <w:t> </w:t>
      </w:r>
      <w:r>
        <w:rPr>
          <w:rFonts w:ascii="Times New Roman" w:hAnsi="Times New Roman" w:cs="Times New Roman" w:eastAsia="Times New Roman" w:hint="default"/>
        </w:rPr>
        <w:t>FPGA</w:t>
      </w:r>
      <w:r>
        <w:rPr>
          <w:rFonts w:ascii="Times New Roman" w:hAnsi="Times New Roman" w:cs="Times New Roman" w:eastAsia="Times New Roman" w:hint="default"/>
          <w:spacing w:val="-10"/>
        </w:rPr>
        <w:t> </w:t>
      </w:r>
      <w:r>
        <w:rPr/>
        <w:t>的一体化综合显控平台，其中，两款自主高清大屏显控设备已通过机关鉴定检查，得到了机关及 </w:t>
      </w:r>
      <w:r>
        <w:rPr>
          <w:spacing w:val="-5"/>
        </w:rPr>
        <w:t>总体单位的认可，完成研制及内部结题。（</w:t>
      </w:r>
      <w:r>
        <w:rPr>
          <w:rFonts w:ascii="Times New Roman" w:hAnsi="Times New Roman" w:cs="Times New Roman" w:eastAsia="Times New Roman" w:hint="default"/>
          <w:spacing w:val="-5"/>
        </w:rPr>
        <w:t>5</w:t>
      </w:r>
      <w:r>
        <w:rPr>
          <w:spacing w:val="-5"/>
        </w:rPr>
        <w:t>）在军用电池领域，产品体系涵盖钠离子电池、固态锂电池等，</w:t>
      </w:r>
      <w:r>
        <w:rPr>
          <w:spacing w:val="-101"/>
        </w:rPr>
        <w:t> </w:t>
      </w:r>
      <w:r>
        <w:rPr>
          <w:spacing w:val="-101"/>
        </w:rPr>
      </w:r>
      <w:r>
        <w:rPr/>
        <w:t>拥有包括钠离子电池材料预处理技术、柔性电极制备技术、功能添加剂技术、电解液体系开发技术；高性</w:t>
      </w:r>
      <w:r>
        <w:rPr/>
        <w:t> 能固态电解质制备技术、电极</w:t>
      </w:r>
      <w:r>
        <w:rPr>
          <w:rFonts w:ascii="Times New Roman" w:hAnsi="Times New Roman" w:cs="Times New Roman" w:eastAsia="Times New Roman" w:hint="default"/>
        </w:rPr>
        <w:t>/</w:t>
      </w:r>
      <w:r>
        <w:rPr/>
        <w:t>电解质界面优化技术；软包固态电池制备工艺技术等。</w:t>
      </w:r>
    </w:p>
    <w:p>
      <w:pPr>
        <w:pStyle w:val="BodyText"/>
        <w:spacing w:line="348" w:lineRule="auto" w:before="57"/>
        <w:ind w:left="154" w:right="1128" w:firstLine="420"/>
        <w:jc w:val="both"/>
      </w:pPr>
      <w:r>
        <w:rPr>
          <w:spacing w:val="-2"/>
        </w:rPr>
        <w:t>在电源领域：重点聚焦服务器电源、台式机电源、通讯电源、</w:t>
      </w:r>
      <w:r>
        <w:rPr>
          <w:rFonts w:ascii="Times New Roman" w:hAnsi="Times New Roman" w:cs="Times New Roman" w:eastAsia="Times New Roman" w:hint="default"/>
          <w:spacing w:val="-2"/>
        </w:rPr>
        <w:t>LED</w:t>
      </w:r>
      <w:r>
        <w:rPr>
          <w:rFonts w:ascii="Times New Roman" w:hAnsi="Times New Roman" w:cs="Times New Roman" w:eastAsia="Times New Roman" w:hint="default"/>
          <w:spacing w:val="12"/>
        </w:rPr>
        <w:t> </w:t>
      </w:r>
      <w:r>
        <w:rPr>
          <w:spacing w:val="-8"/>
        </w:rPr>
        <w:t>电源业务。（</w:t>
      </w:r>
      <w:r>
        <w:rPr>
          <w:rFonts w:ascii="Times New Roman" w:hAnsi="Times New Roman" w:cs="Times New Roman" w:eastAsia="Times New Roman" w:hint="default"/>
          <w:spacing w:val="-8"/>
        </w:rPr>
        <w:t>1</w:t>
      </w:r>
      <w:r>
        <w:rPr>
          <w:spacing w:val="-8"/>
        </w:rPr>
        <w:t>）服务器电源重点攻</w:t>
      </w:r>
      <w:r>
        <w:rPr/>
        <w:t> 关数字化电源技术、大功率电源技术，</w:t>
      </w:r>
      <w:r>
        <w:rPr>
          <w:rFonts w:ascii="Times New Roman" w:hAnsi="Times New Roman" w:cs="Times New Roman" w:eastAsia="Times New Roman" w:hint="default"/>
        </w:rPr>
        <w:t>PMBUS</w:t>
      </w:r>
      <w:r>
        <w:rPr>
          <w:rFonts w:ascii="Times New Roman" w:hAnsi="Times New Roman" w:cs="Times New Roman" w:eastAsia="Times New Roman" w:hint="default"/>
          <w:spacing w:val="-14"/>
        </w:rPr>
        <w:t> </w:t>
      </w:r>
      <w:r>
        <w:rPr/>
        <w:t>智能通讯、超高转换效率等技术，研发出</w:t>
      </w:r>
      <w:r>
        <w:rPr>
          <w:spacing w:val="-67"/>
        </w:rPr>
        <w:t> </w:t>
      </w:r>
      <w:r>
        <w:rPr>
          <w:rFonts w:ascii="Times New Roman" w:hAnsi="Times New Roman" w:cs="Times New Roman" w:eastAsia="Times New Roman" w:hint="default"/>
        </w:rPr>
        <w:t>3000W</w:t>
      </w:r>
      <w:r>
        <w:rPr>
          <w:rFonts w:ascii="Times New Roman" w:hAnsi="Times New Roman" w:cs="Times New Roman" w:eastAsia="Times New Roman" w:hint="default"/>
          <w:spacing w:val="-14"/>
        </w:rPr>
        <w:t> </w:t>
      </w:r>
      <w:r>
        <w:rPr/>
        <w:t>单模块服 </w:t>
      </w:r>
      <w:r>
        <w:rPr>
          <w:spacing w:val="-6"/>
        </w:rPr>
        <w:t>务器电源，量产了</w:t>
      </w:r>
      <w:r>
        <w:rPr>
          <w:spacing w:val="-44"/>
        </w:rPr>
        <w:t> </w:t>
      </w:r>
      <w:r>
        <w:rPr>
          <w:rFonts w:ascii="Times New Roman" w:hAnsi="Times New Roman" w:cs="Times New Roman" w:eastAsia="Times New Roman" w:hint="default"/>
        </w:rPr>
        <w:t>CRPS</w:t>
      </w:r>
      <w:r>
        <w:rPr>
          <w:rFonts w:ascii="Times New Roman" w:hAnsi="Times New Roman" w:cs="Times New Roman" w:eastAsia="Times New Roman" w:hint="default"/>
          <w:spacing w:val="8"/>
        </w:rPr>
        <w:t> </w:t>
      </w:r>
      <w:r>
        <w:rPr>
          <w:spacing w:val="-8"/>
        </w:rPr>
        <w:t>系列数字化服务器电源，从而继续保持国内领先地位；（</w:t>
      </w:r>
      <w:r>
        <w:rPr>
          <w:rFonts w:ascii="Times New Roman" w:hAnsi="Times New Roman" w:cs="Times New Roman" w:eastAsia="Times New Roman" w:hint="default"/>
          <w:spacing w:val="-8"/>
        </w:rPr>
        <w:t>2</w:t>
      </w:r>
      <w:r>
        <w:rPr>
          <w:spacing w:val="-8"/>
        </w:rPr>
        <w:t>）台式机电源成为</w:t>
      </w:r>
      <w:r>
        <w:rPr>
          <w:spacing w:val="-44"/>
        </w:rPr>
        <w:t> </w:t>
      </w:r>
      <w:r>
        <w:rPr>
          <w:rFonts w:ascii="Times New Roman" w:hAnsi="Times New Roman" w:cs="Times New Roman" w:eastAsia="Times New Roman" w:hint="default"/>
          <w:spacing w:val="-1"/>
        </w:rPr>
        <w:t>DELL</w:t>
      </w:r>
      <w:r>
        <w:rPr>
          <w:rFonts w:ascii="Times New Roman" w:hAnsi="Times New Roman" w:cs="Times New Roman" w:eastAsia="Times New Roman" w:hint="default"/>
          <w:spacing w:val="-50"/>
        </w:rPr>
        <w:t> </w:t>
      </w:r>
      <w:r>
        <w:rPr/>
        <w:t>的合格供应商，并开始承接</w:t>
      </w:r>
      <w:r>
        <w:rPr>
          <w:spacing w:val="-61"/>
        </w:rPr>
        <w:t> </w:t>
      </w:r>
      <w:r>
        <w:rPr>
          <w:rFonts w:ascii="Times New Roman" w:hAnsi="Times New Roman" w:cs="Times New Roman" w:eastAsia="Times New Roman" w:hint="default"/>
        </w:rPr>
        <w:t>DELL</w:t>
      </w:r>
      <w:r>
        <w:rPr>
          <w:rFonts w:ascii="Times New Roman" w:hAnsi="Times New Roman" w:cs="Times New Roman" w:eastAsia="Times New Roman" w:hint="default"/>
          <w:spacing w:val="-8"/>
        </w:rPr>
        <w:t> </w:t>
      </w:r>
      <w:r>
        <w:rPr/>
        <w:t>的定制电源，同时继续为美国海盗船</w:t>
      </w:r>
      <w:r>
        <w:rPr>
          <w:spacing w:val="-61"/>
        </w:rPr>
        <w:t> </w:t>
      </w:r>
      <w:r>
        <w:rPr>
          <w:rFonts w:ascii="Times New Roman" w:hAnsi="Times New Roman" w:cs="Times New Roman" w:eastAsia="Times New Roman" w:hint="default"/>
        </w:rPr>
        <w:t>ODM</w:t>
      </w:r>
      <w:r>
        <w:rPr>
          <w:rFonts w:ascii="Times New Roman" w:hAnsi="Times New Roman" w:cs="Times New Roman" w:eastAsia="Times New Roman" w:hint="default"/>
          <w:spacing w:val="-8"/>
        </w:rPr>
        <w:t> </w:t>
      </w:r>
      <w:r>
        <w:rPr>
          <w:spacing w:val="-3"/>
        </w:rPr>
        <w:t>产品，并在国内</w:t>
      </w:r>
      <w:r>
        <w:rPr>
          <w:spacing w:val="-61"/>
        </w:rPr>
        <w:t> </w:t>
      </w:r>
      <w:r>
        <w:rPr>
          <w:rFonts w:ascii="Times New Roman" w:hAnsi="Times New Roman" w:cs="Times New Roman" w:eastAsia="Times New Roman" w:hint="default"/>
        </w:rPr>
        <w:t>DIY</w:t>
      </w:r>
      <w:r>
        <w:rPr>
          <w:rFonts w:ascii="Times New Roman" w:hAnsi="Times New Roman" w:cs="Times New Roman" w:eastAsia="Times New Roman" w:hint="default"/>
          <w:spacing w:val="-9"/>
        </w:rPr>
        <w:t> </w:t>
      </w:r>
      <w:r>
        <w:rPr/>
        <w:t>市场保 </w:t>
      </w:r>
      <w:r>
        <w:rPr>
          <w:spacing w:val="-7"/>
        </w:rPr>
        <w:t>持领先地位；（</w:t>
      </w:r>
      <w:r>
        <w:rPr>
          <w:rFonts w:ascii="Times New Roman" w:hAnsi="Times New Roman" w:cs="Times New Roman" w:eastAsia="Times New Roman" w:hint="default"/>
          <w:spacing w:val="-7"/>
        </w:rPr>
        <w:t>3</w:t>
      </w:r>
      <w:r>
        <w:rPr>
          <w:spacing w:val="-7"/>
        </w:rPr>
        <w:t>）通讯电源成为华为的合格供应商，并承接华为的定制通讯电源；（</w:t>
      </w:r>
      <w:r>
        <w:rPr>
          <w:rFonts w:ascii="Times New Roman" w:hAnsi="Times New Roman" w:cs="Times New Roman" w:eastAsia="Times New Roman" w:hint="default"/>
          <w:spacing w:val="-7"/>
        </w:rPr>
        <w:t>4</w:t>
      </w:r>
      <w:r>
        <w:rPr>
          <w:spacing w:val="-7"/>
        </w:rPr>
        <w:t>）</w:t>
      </w:r>
      <w:r>
        <w:rPr>
          <w:rFonts w:ascii="Times New Roman" w:hAnsi="Times New Roman" w:cs="Times New Roman" w:eastAsia="Times New Roman" w:hint="default"/>
          <w:spacing w:val="-7"/>
        </w:rPr>
        <w:t>LED</w:t>
      </w:r>
      <w:r>
        <w:rPr>
          <w:rFonts w:ascii="Times New Roman" w:hAnsi="Times New Roman" w:cs="Times New Roman" w:eastAsia="Times New Roman" w:hint="default"/>
          <w:spacing w:val="22"/>
        </w:rPr>
        <w:t> </w:t>
      </w:r>
      <w:r>
        <w:rPr>
          <w:spacing w:val="-1"/>
        </w:rPr>
        <w:t>电源主要面向</w:t>
      </w:r>
      <w:r>
        <w:rPr>
          <w:spacing w:val="-99"/>
        </w:rPr>
        <w:t> </w:t>
      </w:r>
      <w:r>
        <w:rPr>
          <w:spacing w:val="-99"/>
        </w:rPr>
      </w:r>
      <w:r>
        <w:rPr/>
        <w:t>大功率、小体积，高可靠性等新的发展趋势展开技术研发，逐步形成系列化产品。</w:t>
      </w:r>
    </w:p>
    <w:p>
      <w:pPr>
        <w:pStyle w:val="BodyText"/>
        <w:spacing w:line="367" w:lineRule="auto" w:before="91"/>
        <w:ind w:left="154" w:right="1108" w:firstLine="420"/>
        <w:jc w:val="both"/>
      </w:pPr>
      <w:r>
        <w:rPr/>
        <w:t>公司在上述各技术产品领域的科技创新工作紧贴政策机遇、以市场需求为导向并结合客户定制需求、 </w:t>
      </w:r>
      <w:r>
        <w:rPr>
          <w:spacing w:val="-1"/>
        </w:rPr>
        <w:t>以中国电子集团发展规划为纲领有序开展，进一步增强了公司技术创新能力和产品竞争力，有利于促进公</w:t>
      </w:r>
      <w:r>
        <w:rPr>
          <w:spacing w:val="-81"/>
        </w:rPr>
        <w:t> </w:t>
      </w:r>
      <w:r>
        <w:rPr>
          <w:spacing w:val="-81"/>
        </w:rPr>
      </w:r>
      <w:r>
        <w:rPr/>
        <w:t>司战略规划实施和经济效益的提升。</w:t>
      </w:r>
    </w:p>
    <w:p>
      <w:pPr>
        <w:spacing w:before="45"/>
        <w:ind w:left="154" w:right="0" w:firstLine="0"/>
        <w:jc w:val="left"/>
        <w:rPr>
          <w:rFonts w:ascii="宋体" w:hAnsi="宋体" w:cs="宋体" w:eastAsia="宋体" w:hint="default"/>
          <w:sz w:val="18"/>
          <w:szCs w:val="18"/>
        </w:rPr>
      </w:pPr>
      <w:r>
        <w:rPr>
          <w:rFonts w:ascii="宋体" w:hAnsi="宋体" w:cs="宋体" w:eastAsia="宋体" w:hint="default"/>
          <w:sz w:val="18"/>
          <w:szCs w:val="18"/>
        </w:rPr>
        <w:t>公司研发投入情况</w:t>
      </w:r>
    </w:p>
    <w:p>
      <w:pPr>
        <w:spacing w:line="240" w:lineRule="auto" w:before="0"/>
        <w:rPr>
          <w:rFonts w:ascii="宋体" w:hAnsi="宋体" w:cs="宋体" w:eastAsia="宋体" w:hint="default"/>
          <w:sz w:val="8"/>
          <w:szCs w:val="8"/>
        </w:rPr>
      </w:pPr>
    </w:p>
    <w:tbl>
      <w:tblPr>
        <w:tblW w:w="0" w:type="auto"/>
        <w:jc w:val="left"/>
        <w:tblInd w:w="557" w:type="dxa"/>
        <w:tblLayout w:type="fixed"/>
        <w:tblCellMar>
          <w:top w:w="0" w:type="dxa"/>
          <w:left w:w="0" w:type="dxa"/>
          <w:bottom w:w="0" w:type="dxa"/>
          <w:right w:w="0" w:type="dxa"/>
        </w:tblCellMar>
        <w:tblLook w:val="01E0"/>
      </w:tblPr>
      <w:tblGrid>
        <w:gridCol w:w="3012"/>
        <w:gridCol w:w="1936"/>
        <w:gridCol w:w="1938"/>
        <w:gridCol w:w="1937"/>
      </w:tblGrid>
      <w:tr>
        <w:trPr>
          <w:trHeight w:val="401" w:hRule="exact"/>
        </w:trPr>
        <w:tc>
          <w:tcPr>
            <w:tcW w:w="3012"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93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3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3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变动比例</w:t>
            </w:r>
          </w:p>
        </w:tc>
      </w:tr>
      <w:tr>
        <w:trPr>
          <w:trHeight w:val="402" w:hRule="exact"/>
        </w:trPr>
        <w:tc>
          <w:tcPr>
            <w:tcW w:w="30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研发人员数量（人）</w:t>
            </w:r>
          </w:p>
        </w:tc>
        <w:tc>
          <w:tcPr>
            <w:tcW w:w="1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3,577</w:t>
            </w:r>
          </w:p>
        </w:tc>
        <w:tc>
          <w:tcPr>
            <w:tcW w:w="1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3,787</w:t>
            </w:r>
          </w:p>
        </w:tc>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-5.55%</w:t>
            </w:r>
          </w:p>
        </w:tc>
      </w:tr>
      <w:tr>
        <w:trPr>
          <w:trHeight w:val="402" w:hRule="exact"/>
        </w:trPr>
        <w:tc>
          <w:tcPr>
            <w:tcW w:w="30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研发人员数量占比</w:t>
            </w:r>
          </w:p>
        </w:tc>
        <w:tc>
          <w:tcPr>
            <w:tcW w:w="1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25.83%</w:t>
            </w:r>
          </w:p>
        </w:tc>
        <w:tc>
          <w:tcPr>
            <w:tcW w:w="1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27.38%</w:t>
            </w:r>
          </w:p>
        </w:tc>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-1.55%</w:t>
            </w:r>
          </w:p>
        </w:tc>
      </w:tr>
      <w:tr>
        <w:trPr>
          <w:trHeight w:val="402" w:hRule="exact"/>
        </w:trPr>
        <w:tc>
          <w:tcPr>
            <w:tcW w:w="30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研发投入金额（元）</w:t>
            </w:r>
          </w:p>
        </w:tc>
        <w:tc>
          <w:tcPr>
            <w:tcW w:w="1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749,470,258.62</w:t>
            </w:r>
          </w:p>
        </w:tc>
        <w:tc>
          <w:tcPr>
            <w:tcW w:w="1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601,793,875.29</w:t>
            </w:r>
          </w:p>
        </w:tc>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 w:right="0"/>
              <w:jc w:val="center"/>
              <w:rPr>
                <w:rFonts w:ascii="Times New Roman" w:hAnsi="Times New Roman" w:cs="Times New Roman" w:eastAsia="Times New Roman" w:hint="default"/>
                <w:sz w:val="18"/>
                <w:szCs w:val="18"/>
              </w:rPr>
            </w:pPr>
            <w:r>
              <w:rPr>
                <w:rFonts w:ascii="Times New Roman"/>
                <w:sz w:val="18"/>
              </w:rPr>
              <w:t>24.54%</w:t>
            </w:r>
          </w:p>
        </w:tc>
      </w:tr>
      <w:tr>
        <w:trPr>
          <w:trHeight w:val="402" w:hRule="exact"/>
        </w:trPr>
        <w:tc>
          <w:tcPr>
            <w:tcW w:w="30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研发投入占营业收入比例</w:t>
            </w:r>
          </w:p>
        </w:tc>
        <w:tc>
          <w:tcPr>
            <w:tcW w:w="1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7.49%</w:t>
            </w:r>
          </w:p>
        </w:tc>
        <w:tc>
          <w:tcPr>
            <w:tcW w:w="1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6.33%</w:t>
            </w:r>
          </w:p>
        </w:tc>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1.16%</w:t>
            </w:r>
          </w:p>
        </w:tc>
      </w:tr>
      <w:tr>
        <w:trPr>
          <w:trHeight w:val="402" w:hRule="exact"/>
        </w:trPr>
        <w:tc>
          <w:tcPr>
            <w:tcW w:w="30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研发投入资本化的金额（元）</w:t>
            </w:r>
          </w:p>
        </w:tc>
        <w:tc>
          <w:tcPr>
            <w:tcW w:w="1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132,099,431.86</w:t>
            </w:r>
          </w:p>
        </w:tc>
        <w:tc>
          <w:tcPr>
            <w:tcW w:w="1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1,083,905.03</w:t>
            </w:r>
          </w:p>
        </w:tc>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12,087.36%</w:t>
            </w:r>
          </w:p>
        </w:tc>
      </w:tr>
      <w:tr>
        <w:trPr>
          <w:trHeight w:val="403" w:hRule="exact"/>
        </w:trPr>
        <w:tc>
          <w:tcPr>
            <w:tcW w:w="30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资本化研发投入占研发投入的比例</w:t>
            </w:r>
          </w:p>
        </w:tc>
        <w:tc>
          <w:tcPr>
            <w:tcW w:w="1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17.63%</w:t>
            </w:r>
          </w:p>
        </w:tc>
        <w:tc>
          <w:tcPr>
            <w:tcW w:w="1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0.18%</w:t>
            </w:r>
          </w:p>
        </w:tc>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 w:right="0"/>
              <w:jc w:val="center"/>
              <w:rPr>
                <w:rFonts w:ascii="Times New Roman" w:hAnsi="Times New Roman" w:cs="Times New Roman" w:eastAsia="Times New Roman" w:hint="default"/>
                <w:sz w:val="18"/>
                <w:szCs w:val="18"/>
              </w:rPr>
            </w:pPr>
            <w:r>
              <w:rPr>
                <w:rFonts w:ascii="Times New Roman"/>
                <w:sz w:val="18"/>
              </w:rPr>
              <w:t>17.45%</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研发投入总额占营业收入的比重较上年发生显著变化的原因</w:t>
      </w:r>
    </w:p>
    <w:p>
      <w:pPr>
        <w:spacing w:line="357" w:lineRule="auto" w:before="116"/>
        <w:ind w:left="153" w:right="6791" w:firstLine="0"/>
        <w:jc w:val="left"/>
        <w:rPr>
          <w:rFonts w:ascii="宋体" w:hAnsi="宋体" w:cs="宋体" w:eastAsia="宋体" w:hint="default"/>
          <w:sz w:val="18"/>
          <w:szCs w:val="18"/>
        </w:rPr>
      </w:pPr>
      <w:r>
        <w:rPr>
          <w:rFonts w:ascii="宋体" w:hAnsi="宋体" w:cs="宋体" w:eastAsia="宋体" w:hint="default"/>
          <w:sz w:val="18"/>
          <w:szCs w:val="18"/>
        </w:rPr>
        <w:t>□ 适用 √ 不适用 研发投入资本化率大幅变动的原因及其合理性说明</w:t>
      </w:r>
    </w:p>
    <w:p>
      <w:pPr>
        <w:spacing w:line="357" w:lineRule="auto" w:before="29"/>
        <w:ind w:left="513" w:right="5531" w:hanging="360"/>
        <w:jc w:val="left"/>
        <w:rPr>
          <w:rFonts w:ascii="宋体" w:hAnsi="宋体" w:cs="宋体" w:eastAsia="宋体" w:hint="default"/>
          <w:sz w:val="18"/>
          <w:szCs w:val="18"/>
        </w:rPr>
      </w:pPr>
      <w:r>
        <w:rPr>
          <w:rFonts w:ascii="宋体" w:hAnsi="宋体" w:cs="宋体" w:eastAsia="宋体" w:hint="default"/>
          <w:sz w:val="18"/>
          <w:szCs w:val="18"/>
        </w:rPr>
        <w:t>√ 适用 □ 不适用 根据研发项目的开发进度，本期研发资本化较去年有所增加。</w:t>
      </w:r>
    </w:p>
    <w:p>
      <w:pPr>
        <w:spacing w:after="0" w:line="357" w:lineRule="auto"/>
        <w:jc w:val="left"/>
        <w:rPr>
          <w:rFonts w:ascii="宋体" w:hAnsi="宋体" w:cs="宋体" w:eastAsia="宋体" w:hint="default"/>
          <w:sz w:val="18"/>
          <w:szCs w:val="18"/>
        </w:rPr>
        <w:sectPr>
          <w:pgSz w:w="11910" w:h="16840"/>
          <w:pgMar w:header="787" w:footer="982" w:top="1100" w:bottom="1180" w:left="980" w:right="0"/>
        </w:sectPr>
      </w:pPr>
    </w:p>
    <w:p>
      <w:pPr>
        <w:spacing w:line="240" w:lineRule="auto" w:before="7"/>
        <w:rPr>
          <w:rFonts w:ascii="宋体" w:hAnsi="宋体" w:cs="宋体" w:eastAsia="宋体" w:hint="default"/>
          <w:sz w:val="21"/>
          <w:szCs w:val="21"/>
        </w:rPr>
      </w:pPr>
    </w:p>
    <w:p>
      <w:pPr>
        <w:pStyle w:val="Heading5"/>
        <w:spacing w:line="240" w:lineRule="auto"/>
        <w:ind w:left="154" w:right="0"/>
        <w:jc w:val="left"/>
        <w:rPr>
          <w:b w:val="0"/>
          <w:bCs w:val="0"/>
        </w:rPr>
      </w:pPr>
      <w:r>
        <w:rPr>
          <w:rFonts w:ascii="Times New Roman" w:hAnsi="Times New Roman" w:cs="Times New Roman" w:eastAsia="Times New Roman" w:hint="default"/>
        </w:rPr>
        <w:t>5</w:t>
      </w:r>
      <w:r>
        <w:rPr/>
        <w:t>、现金流</w:t>
      </w:r>
      <w:r>
        <w:rPr>
          <w:b w:val="0"/>
          <w:bCs w:val="0"/>
        </w:rPr>
      </w:r>
    </w:p>
    <w:p>
      <w:pPr>
        <w:spacing w:line="240" w:lineRule="auto" w:before="8"/>
        <w:rPr>
          <w:rFonts w:ascii="宋体" w:hAnsi="宋体" w:cs="宋体" w:eastAsia="宋体" w:hint="default"/>
          <w:b/>
          <w:bCs/>
          <w:sz w:val="18"/>
          <w:szCs w:val="18"/>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83" w:type="dxa"/>
        <w:tblLayout w:type="fixed"/>
        <w:tblCellMar>
          <w:top w:w="0" w:type="dxa"/>
          <w:left w:w="0" w:type="dxa"/>
          <w:bottom w:w="0" w:type="dxa"/>
          <w:right w:w="0" w:type="dxa"/>
        </w:tblCellMar>
        <w:tblLook w:val="01E0"/>
      </w:tblPr>
      <w:tblGrid>
        <w:gridCol w:w="2665"/>
        <w:gridCol w:w="2302"/>
        <w:gridCol w:w="2300"/>
        <w:gridCol w:w="2302"/>
      </w:tblGrid>
      <w:tr>
        <w:trPr>
          <w:trHeight w:val="401" w:hRule="exact"/>
        </w:trPr>
        <w:tc>
          <w:tcPr>
            <w:tcW w:w="266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30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2" w:hRule="exact"/>
        </w:trPr>
        <w:tc>
          <w:tcPr>
            <w:tcW w:w="266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2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9,836,891,790.43</w:t>
            </w:r>
          </w:p>
        </w:tc>
        <w:tc>
          <w:tcPr>
            <w:tcW w:w="2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10,284,202,038.13</w:t>
            </w:r>
          </w:p>
        </w:tc>
        <w:tc>
          <w:tcPr>
            <w:tcW w:w="2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-4.35%</w:t>
            </w:r>
          </w:p>
        </w:tc>
      </w:tr>
      <w:tr>
        <w:trPr>
          <w:trHeight w:val="402" w:hRule="exact"/>
        </w:trPr>
        <w:tc>
          <w:tcPr>
            <w:tcW w:w="266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2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9,792,031,802.69</w:t>
            </w:r>
          </w:p>
        </w:tc>
        <w:tc>
          <w:tcPr>
            <w:tcW w:w="2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10,686,862,959.97</w:t>
            </w:r>
          </w:p>
        </w:tc>
        <w:tc>
          <w:tcPr>
            <w:tcW w:w="2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-8.37%</w:t>
            </w:r>
          </w:p>
        </w:tc>
      </w:tr>
      <w:tr>
        <w:trPr>
          <w:trHeight w:val="402" w:hRule="exact"/>
        </w:trPr>
        <w:tc>
          <w:tcPr>
            <w:tcW w:w="266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2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44,859,987.74</w:t>
            </w:r>
          </w:p>
        </w:tc>
        <w:tc>
          <w:tcPr>
            <w:tcW w:w="2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-402,660,921.84</w:t>
            </w:r>
          </w:p>
        </w:tc>
        <w:tc>
          <w:tcPr>
            <w:tcW w:w="2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266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2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1,951,190,169.72</w:t>
            </w:r>
          </w:p>
        </w:tc>
        <w:tc>
          <w:tcPr>
            <w:tcW w:w="2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1,631,457,471.03</w:t>
            </w:r>
          </w:p>
        </w:tc>
        <w:tc>
          <w:tcPr>
            <w:tcW w:w="2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19.60%</w:t>
            </w:r>
          </w:p>
        </w:tc>
      </w:tr>
      <w:tr>
        <w:trPr>
          <w:trHeight w:val="402" w:hRule="exact"/>
        </w:trPr>
        <w:tc>
          <w:tcPr>
            <w:tcW w:w="266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2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2,440,894,424.38</w:t>
            </w:r>
          </w:p>
        </w:tc>
        <w:tc>
          <w:tcPr>
            <w:tcW w:w="2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6,451,248,022.26</w:t>
            </w:r>
          </w:p>
        </w:tc>
        <w:tc>
          <w:tcPr>
            <w:tcW w:w="2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-62.16%</w:t>
            </w:r>
          </w:p>
        </w:tc>
      </w:tr>
      <w:tr>
        <w:trPr>
          <w:trHeight w:val="402" w:hRule="exact"/>
        </w:trPr>
        <w:tc>
          <w:tcPr>
            <w:tcW w:w="266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2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-489,704,254.66</w:t>
            </w:r>
          </w:p>
        </w:tc>
        <w:tc>
          <w:tcPr>
            <w:tcW w:w="2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-4,819,790,551.23</w:t>
            </w:r>
          </w:p>
        </w:tc>
        <w:tc>
          <w:tcPr>
            <w:tcW w:w="2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266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2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3,566,616,715.46</w:t>
            </w:r>
          </w:p>
        </w:tc>
        <w:tc>
          <w:tcPr>
            <w:tcW w:w="2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2,196,968,837.99</w:t>
            </w:r>
          </w:p>
        </w:tc>
        <w:tc>
          <w:tcPr>
            <w:tcW w:w="2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62.34%</w:t>
            </w:r>
          </w:p>
        </w:tc>
      </w:tr>
      <w:tr>
        <w:trPr>
          <w:trHeight w:val="402" w:hRule="exact"/>
        </w:trPr>
        <w:tc>
          <w:tcPr>
            <w:tcW w:w="266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2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2,878,743,782.39</w:t>
            </w:r>
          </w:p>
        </w:tc>
        <w:tc>
          <w:tcPr>
            <w:tcW w:w="2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1,395,624,792.07</w:t>
            </w:r>
          </w:p>
        </w:tc>
        <w:tc>
          <w:tcPr>
            <w:tcW w:w="2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106.27%</w:t>
            </w:r>
          </w:p>
        </w:tc>
      </w:tr>
      <w:tr>
        <w:trPr>
          <w:trHeight w:val="402" w:hRule="exact"/>
        </w:trPr>
        <w:tc>
          <w:tcPr>
            <w:tcW w:w="266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2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687,872,933.07</w:t>
            </w:r>
          </w:p>
        </w:tc>
        <w:tc>
          <w:tcPr>
            <w:tcW w:w="2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801,344,045.92</w:t>
            </w:r>
          </w:p>
        </w:tc>
        <w:tc>
          <w:tcPr>
            <w:tcW w:w="2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-14.16%</w:t>
            </w:r>
          </w:p>
        </w:tc>
      </w:tr>
      <w:tr>
        <w:trPr>
          <w:trHeight w:val="403" w:hRule="exact"/>
        </w:trPr>
        <w:tc>
          <w:tcPr>
            <w:tcW w:w="266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2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259,034,820.30</w:t>
            </w:r>
          </w:p>
        </w:tc>
        <w:tc>
          <w:tcPr>
            <w:tcW w:w="2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-4,424,771,014.33</w:t>
            </w:r>
          </w:p>
        </w:tc>
        <w:tc>
          <w:tcPr>
            <w:tcW w:w="2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相关数据同比发生重大变动的主要影响因素说明</w:t>
      </w:r>
    </w:p>
    <w:p>
      <w:pPr>
        <w:spacing w:line="357" w:lineRule="auto" w:before="116"/>
        <w:ind w:left="513" w:right="1022" w:hanging="360"/>
        <w:jc w:val="left"/>
        <w:rPr>
          <w:rFonts w:ascii="宋体" w:hAnsi="宋体" w:cs="宋体" w:eastAsia="宋体" w:hint="default"/>
          <w:sz w:val="18"/>
          <w:szCs w:val="18"/>
        </w:rPr>
      </w:pPr>
      <w:r>
        <w:rPr>
          <w:rFonts w:ascii="宋体" w:hAnsi="宋体" w:cs="宋体" w:eastAsia="宋体" w:hint="default"/>
          <w:sz w:val="18"/>
          <w:szCs w:val="18"/>
        </w:rPr>
        <w:t>√ 适用 □ 不适用 </w:t>
      </w:r>
      <w:r>
        <w:rPr>
          <w:rFonts w:ascii="宋体" w:hAnsi="宋体" w:cs="宋体" w:eastAsia="宋体" w:hint="default"/>
          <w:spacing w:val="-2"/>
          <w:sz w:val="18"/>
          <w:szCs w:val="18"/>
        </w:rPr>
        <w:t>经营活动产生的现金流量净额较上年同期相比发生较大变动，主要是由于本报告期采购付款减少所致；投资活动产生的</w:t>
      </w:r>
    </w:p>
    <w:p>
      <w:pPr>
        <w:spacing w:line="224" w:lineRule="exact"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现金流量净额较上年同期相比发生较大变动</w:t>
      </w:r>
      <w:r>
        <w:rPr>
          <w:rFonts w:ascii="宋体" w:hAnsi="宋体" w:cs="宋体" w:eastAsia="宋体" w:hint="default"/>
          <w:spacing w:val="-82"/>
          <w:sz w:val="18"/>
          <w:szCs w:val="18"/>
        </w:rPr>
        <w:t>，</w:t>
      </w:r>
      <w:r>
        <w:rPr>
          <w:rFonts w:ascii="宋体" w:hAnsi="宋体" w:cs="宋体" w:eastAsia="宋体" w:hint="default"/>
          <w:sz w:val="18"/>
          <w:szCs w:val="18"/>
        </w:rPr>
        <w:t>主要是由于上年本公司重大资产重组项下的公司整合以及冠捷科技资产置出于</w:t>
      </w:r>
    </w:p>
    <w:p>
      <w:pPr>
        <w:spacing w:line="302" w:lineRule="auto" w:before="76"/>
        <w:ind w:left="154" w:right="1030" w:hanging="1"/>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月实施完成，上期减少冠捷科技</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年末现金等价物余额，而本期无此情况所致；现金及现金等价物净增加额较 上年同期相比发生较大变动，主要是由于经营活动产生的现金流量净额大幅改善及投资活动产生的现金流量净额变动所致。</w:t>
      </w:r>
    </w:p>
    <w:p>
      <w:pPr>
        <w:spacing w:before="69"/>
        <w:ind w:left="154" w:right="0" w:firstLine="0"/>
        <w:jc w:val="left"/>
        <w:rPr>
          <w:rFonts w:ascii="宋体" w:hAnsi="宋体" w:cs="宋体" w:eastAsia="宋体" w:hint="default"/>
          <w:sz w:val="18"/>
          <w:szCs w:val="18"/>
        </w:rPr>
      </w:pPr>
      <w:r>
        <w:rPr>
          <w:rFonts w:ascii="宋体" w:hAnsi="宋体" w:cs="宋体" w:eastAsia="宋体" w:hint="default"/>
          <w:sz w:val="18"/>
          <w:szCs w:val="18"/>
        </w:rPr>
        <w:t>报告期内公司经营活动产生的现金净流量与本年度净利润存在重大差异的原因说明</w:t>
      </w:r>
    </w:p>
    <w:p>
      <w:pPr>
        <w:spacing w:before="116"/>
        <w:ind w:left="15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before="116"/>
        <w:ind w:left="514" w:right="0" w:firstLine="0"/>
        <w:jc w:val="left"/>
        <w:rPr>
          <w:rFonts w:ascii="宋体" w:hAnsi="宋体" w:cs="宋体" w:eastAsia="宋体" w:hint="default"/>
          <w:sz w:val="18"/>
          <w:szCs w:val="18"/>
        </w:rPr>
      </w:pPr>
      <w:r>
        <w:rPr>
          <w:rFonts w:ascii="宋体" w:hAnsi="宋体" w:cs="宋体" w:eastAsia="宋体" w:hint="default"/>
          <w:sz w:val="18"/>
          <w:szCs w:val="18"/>
        </w:rPr>
        <w:t>报告期公司经营活动产生的现金流量净额为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4,486.00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万元，报告期净利润为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105,636.56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万元，存在差异的主要原因是：</w:t>
      </w:r>
    </w:p>
    <w:p>
      <w:pPr>
        <w:spacing w:before="82"/>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资产减值准备 </w:t>
      </w:r>
      <w:r>
        <w:rPr>
          <w:rFonts w:ascii="Times New Roman" w:hAnsi="Times New Roman" w:cs="Times New Roman" w:eastAsia="Times New Roman" w:hint="default"/>
          <w:sz w:val="18"/>
          <w:szCs w:val="18"/>
        </w:rPr>
        <w:t>9,548.32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万元；</w:t>
      </w:r>
    </w:p>
    <w:p>
      <w:pPr>
        <w:spacing w:before="83"/>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固定资产折旧、油气资产折耗、生产性生物资产折旧 </w:t>
      </w:r>
      <w:r>
        <w:rPr>
          <w:rFonts w:ascii="Times New Roman" w:hAnsi="Times New Roman" w:cs="Times New Roman" w:eastAsia="Times New Roman" w:hint="default"/>
          <w:sz w:val="18"/>
          <w:szCs w:val="18"/>
        </w:rPr>
        <w:t>19,142.03</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万元；</w:t>
      </w:r>
    </w:p>
    <w:p>
      <w:pPr>
        <w:spacing w:before="83"/>
        <w:ind w:left="51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无形资产摊销 </w:t>
      </w:r>
      <w:r>
        <w:rPr>
          <w:rFonts w:ascii="Times New Roman" w:hAnsi="Times New Roman" w:cs="Times New Roman" w:eastAsia="Times New Roman" w:hint="default"/>
          <w:sz w:val="18"/>
          <w:szCs w:val="18"/>
        </w:rPr>
        <w:t>3,159.27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万元；</w:t>
      </w:r>
    </w:p>
    <w:p>
      <w:pPr>
        <w:spacing w:before="82"/>
        <w:ind w:left="51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长期待摊费用摊销 </w:t>
      </w:r>
      <w:r>
        <w:rPr>
          <w:rFonts w:ascii="Times New Roman" w:hAnsi="Times New Roman" w:cs="Times New Roman" w:eastAsia="Times New Roman" w:hint="default"/>
          <w:sz w:val="18"/>
          <w:szCs w:val="18"/>
        </w:rPr>
        <w:t>573.85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万元；</w:t>
      </w:r>
    </w:p>
    <w:p>
      <w:pPr>
        <w:spacing w:before="83"/>
        <w:ind w:left="51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处置固定资产、无形资产和其他长期资产的损失 </w:t>
      </w:r>
      <w:r>
        <w:rPr>
          <w:rFonts w:ascii="Times New Roman" w:hAnsi="Times New Roman" w:cs="Times New Roman" w:eastAsia="Times New Roman" w:hint="default"/>
          <w:sz w:val="18"/>
          <w:szCs w:val="18"/>
        </w:rPr>
        <w:t>229.58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万元；</w:t>
      </w:r>
    </w:p>
    <w:p>
      <w:pPr>
        <w:spacing w:before="83"/>
        <w:ind w:left="51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固定资产报废损失 </w:t>
      </w:r>
      <w:r>
        <w:rPr>
          <w:rFonts w:ascii="Times New Roman" w:hAnsi="Times New Roman" w:cs="Times New Roman" w:eastAsia="Times New Roman" w:hint="default"/>
          <w:sz w:val="18"/>
          <w:szCs w:val="18"/>
        </w:rPr>
        <w:t>134.80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万元；</w:t>
      </w:r>
    </w:p>
    <w:p>
      <w:pPr>
        <w:spacing w:before="82"/>
        <w:ind w:left="51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财务费用 </w:t>
      </w:r>
      <w:r>
        <w:rPr>
          <w:rFonts w:ascii="Times New Roman" w:hAnsi="Times New Roman" w:cs="Times New Roman" w:eastAsia="Times New Roman" w:hint="default"/>
          <w:sz w:val="18"/>
          <w:szCs w:val="18"/>
        </w:rPr>
        <w:t>9,675.80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万元；</w:t>
      </w:r>
    </w:p>
    <w:p>
      <w:pPr>
        <w:spacing w:before="83"/>
        <w:ind w:left="51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投资收益</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81,252.69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p>
      <w:pPr>
        <w:spacing w:before="83"/>
        <w:ind w:left="51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递延所得税资产增加 </w:t>
      </w:r>
      <w:r>
        <w:rPr>
          <w:rFonts w:ascii="Times New Roman" w:hAnsi="Times New Roman" w:cs="Times New Roman" w:eastAsia="Times New Roman" w:hint="default"/>
          <w:sz w:val="18"/>
          <w:szCs w:val="18"/>
        </w:rPr>
        <w:t>1,113.42</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万元；</w:t>
      </w:r>
    </w:p>
    <w:p>
      <w:pPr>
        <w:spacing w:before="82"/>
        <w:ind w:left="51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递延所得税负债增加 </w:t>
      </w:r>
      <w:r>
        <w:rPr>
          <w:rFonts w:ascii="Times New Roman" w:hAnsi="Times New Roman" w:cs="Times New Roman" w:eastAsia="Times New Roman" w:hint="default"/>
          <w:sz w:val="18"/>
          <w:szCs w:val="18"/>
        </w:rPr>
        <w:t>3.06</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万元；</w:t>
      </w:r>
    </w:p>
    <w:p>
      <w:pPr>
        <w:spacing w:before="83"/>
        <w:ind w:left="51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存货增加</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34,460.63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p>
      <w:pPr>
        <w:spacing w:before="83"/>
        <w:ind w:left="51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经营性应收项目增加 </w:t>
      </w:r>
      <w:r>
        <w:rPr>
          <w:rFonts w:ascii="Times New Roman" w:hAnsi="Times New Roman" w:cs="Times New Roman" w:eastAsia="Times New Roman" w:hint="default"/>
          <w:sz w:val="18"/>
          <w:szCs w:val="18"/>
        </w:rPr>
        <w:t>78,254.24</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万元；</w:t>
      </w:r>
    </w:p>
    <w:p>
      <w:pPr>
        <w:spacing w:before="82"/>
        <w:ind w:left="51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经营性应付项目增加 </w:t>
      </w:r>
      <w:r>
        <w:rPr>
          <w:rFonts w:ascii="Times New Roman" w:hAnsi="Times New Roman" w:cs="Times New Roman" w:eastAsia="Times New Roman" w:hint="default"/>
          <w:sz w:val="18"/>
          <w:szCs w:val="18"/>
        </w:rPr>
        <w:t>51,463.71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万元。</w:t>
      </w:r>
    </w:p>
    <w:p>
      <w:pPr>
        <w:spacing w:line="240" w:lineRule="auto" w:before="6"/>
        <w:rPr>
          <w:rFonts w:ascii="宋体" w:hAnsi="宋体" w:cs="宋体" w:eastAsia="宋体" w:hint="default"/>
          <w:sz w:val="19"/>
          <w:szCs w:val="19"/>
        </w:rPr>
      </w:pPr>
    </w:p>
    <w:p>
      <w:pPr>
        <w:pStyle w:val="Heading4"/>
        <w:spacing w:line="240" w:lineRule="auto"/>
        <w:ind w:right="0"/>
        <w:jc w:val="left"/>
        <w:rPr>
          <w:b w:val="0"/>
          <w:bCs w:val="0"/>
        </w:rPr>
      </w:pPr>
      <w:r>
        <w:rPr/>
        <w:t>三、非主营业务分析</w:t>
      </w:r>
      <w:r>
        <w:rPr>
          <w:b w:val="0"/>
          <w:bCs w:val="0"/>
        </w:rPr>
      </w:r>
    </w:p>
    <w:p>
      <w:pPr>
        <w:spacing w:line="240" w:lineRule="auto" w:before="13"/>
        <w:rPr>
          <w:rFonts w:ascii="宋体" w:hAnsi="宋体" w:cs="宋体" w:eastAsia="宋体" w:hint="default"/>
          <w:b/>
          <w:bCs/>
          <w:sz w:val="21"/>
          <w:szCs w:val="21"/>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after="0"/>
        <w:jc w:val="left"/>
        <w:rPr>
          <w:rFonts w:ascii="宋体" w:hAnsi="宋体" w:cs="宋体" w:eastAsia="宋体" w:hint="default"/>
          <w:sz w:val="18"/>
          <w:szCs w:val="18"/>
        </w:rPr>
        <w:sectPr>
          <w:pgSz w:w="11910" w:h="16840"/>
          <w:pgMar w:header="787" w:footer="982" w:top="1100" w:bottom="1180" w:left="980" w:right="0"/>
        </w:sectPr>
      </w:pPr>
    </w:p>
    <w:p>
      <w:pPr>
        <w:spacing w:line="240" w:lineRule="auto" w:before="11"/>
        <w:rPr>
          <w:rFonts w:ascii="宋体" w:hAnsi="宋体" w:cs="宋体" w:eastAsia="宋体" w:hint="default"/>
          <w:sz w:val="22"/>
          <w:szCs w:val="22"/>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704" w:type="dxa"/>
        <w:tblLayout w:type="fixed"/>
        <w:tblCellMar>
          <w:top w:w="0" w:type="dxa"/>
          <w:left w:w="0" w:type="dxa"/>
          <w:bottom w:w="0" w:type="dxa"/>
          <w:right w:w="0" w:type="dxa"/>
        </w:tblCellMar>
        <w:tblLook w:val="01E0"/>
      </w:tblPr>
      <w:tblGrid>
        <w:gridCol w:w="1523"/>
        <w:gridCol w:w="1916"/>
        <w:gridCol w:w="1624"/>
        <w:gridCol w:w="2642"/>
        <w:gridCol w:w="1864"/>
      </w:tblGrid>
      <w:tr>
        <w:trPr>
          <w:trHeight w:val="362" w:hRule="exact"/>
        </w:trPr>
        <w:tc>
          <w:tcPr>
            <w:tcW w:w="1523"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1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1"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62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占利润总额比例</w:t>
            </w:r>
          </w:p>
        </w:tc>
        <w:tc>
          <w:tcPr>
            <w:tcW w:w="264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776" w:right="0"/>
              <w:jc w:val="left"/>
              <w:rPr>
                <w:rFonts w:ascii="宋体" w:hAnsi="宋体" w:cs="宋体" w:eastAsia="宋体" w:hint="default"/>
                <w:sz w:val="18"/>
                <w:szCs w:val="18"/>
              </w:rPr>
            </w:pPr>
            <w:r>
              <w:rPr>
                <w:rFonts w:ascii="宋体" w:hAnsi="宋体" w:cs="宋体" w:eastAsia="宋体" w:hint="default"/>
                <w:sz w:val="18"/>
                <w:szCs w:val="18"/>
              </w:rPr>
              <w:t>形成原因说明</w:t>
            </w:r>
          </w:p>
        </w:tc>
        <w:tc>
          <w:tcPr>
            <w:tcW w:w="186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是否具有可持续性</w:t>
            </w:r>
          </w:p>
        </w:tc>
      </w:tr>
      <w:tr>
        <w:trPr>
          <w:trHeight w:val="362" w:hRule="exact"/>
        </w:trPr>
        <w:tc>
          <w:tcPr>
            <w:tcW w:w="152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投资收益</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18"/>
                <w:szCs w:val="18"/>
              </w:rPr>
            </w:pPr>
            <w:r>
              <w:rPr>
                <w:rFonts w:ascii="Times New Roman"/>
                <w:spacing w:val="-1"/>
                <w:sz w:val="18"/>
              </w:rPr>
              <w:t>812,526,935.32</w:t>
            </w:r>
          </w:p>
        </w:tc>
        <w:tc>
          <w:tcPr>
            <w:tcW w:w="1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Times New Roman" w:hAnsi="Times New Roman" w:cs="Times New Roman" w:eastAsia="Times New Roman" w:hint="default"/>
                <w:sz w:val="18"/>
                <w:szCs w:val="18"/>
              </w:rPr>
            </w:pPr>
            <w:r>
              <w:rPr>
                <w:rFonts w:ascii="Times New Roman"/>
                <w:sz w:val="18"/>
              </w:rPr>
              <w:t>61.53%</w:t>
            </w:r>
          </w:p>
        </w:tc>
        <w:tc>
          <w:tcPr>
            <w:tcW w:w="2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可供出售金融资产处置收益</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61" w:hRule="exact"/>
        </w:trPr>
        <w:tc>
          <w:tcPr>
            <w:tcW w:w="152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公允价值变动损益</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18"/>
                <w:szCs w:val="18"/>
              </w:rPr>
            </w:pPr>
            <w:r>
              <w:rPr>
                <w:rFonts w:ascii="Times New Roman"/>
                <w:sz w:val="18"/>
              </w:rPr>
              <w:t>0.00</w:t>
            </w:r>
          </w:p>
        </w:tc>
        <w:tc>
          <w:tcPr>
            <w:tcW w:w="1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center"/>
              <w:rPr>
                <w:rFonts w:ascii="Times New Roman" w:hAnsi="Times New Roman" w:cs="Times New Roman" w:eastAsia="Times New Roman" w:hint="default"/>
                <w:sz w:val="18"/>
                <w:szCs w:val="18"/>
              </w:rPr>
            </w:pPr>
            <w:r>
              <w:rPr>
                <w:rFonts w:ascii="Times New Roman"/>
                <w:sz w:val="18"/>
              </w:rPr>
              <w:t>0.00%</w:t>
            </w:r>
          </w:p>
        </w:tc>
        <w:tc>
          <w:tcPr>
            <w:tcW w:w="2642" w:type="dxa"/>
            <w:tcBorders>
              <w:top w:val="single" w:sz="4" w:space="0" w:color="000000"/>
              <w:left w:val="single" w:sz="4" w:space="0" w:color="000000"/>
              <w:bottom w:val="single" w:sz="4" w:space="0" w:color="000000"/>
              <w:right w:val="single" w:sz="4" w:space="0" w:color="000000"/>
            </w:tcBorders>
          </w:tcPr>
          <w:p>
            <w:pP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center"/>
              <w:rPr>
                <w:rFonts w:ascii="Times New Roman" w:hAnsi="Times New Roman" w:cs="Times New Roman" w:eastAsia="Times New Roman" w:hint="default"/>
                <w:sz w:val="18"/>
                <w:szCs w:val="18"/>
              </w:rPr>
            </w:pPr>
            <w:r>
              <w:rPr>
                <w:rFonts w:ascii="Times New Roman"/>
                <w:sz w:val="18"/>
              </w:rPr>
              <w:t>--</w:t>
            </w:r>
          </w:p>
        </w:tc>
      </w:tr>
      <w:tr>
        <w:trPr>
          <w:trHeight w:val="362" w:hRule="exact"/>
        </w:trPr>
        <w:tc>
          <w:tcPr>
            <w:tcW w:w="152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资产减值</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19"/>
              <w:jc w:val="right"/>
              <w:rPr>
                <w:rFonts w:ascii="Times New Roman" w:hAnsi="Times New Roman" w:cs="Times New Roman" w:eastAsia="Times New Roman" w:hint="default"/>
                <w:sz w:val="18"/>
                <w:szCs w:val="18"/>
              </w:rPr>
            </w:pPr>
            <w:r>
              <w:rPr>
                <w:rFonts w:ascii="Times New Roman"/>
                <w:spacing w:val="-1"/>
                <w:sz w:val="18"/>
              </w:rPr>
              <w:t>95,483,170.08</w:t>
            </w:r>
          </w:p>
        </w:tc>
        <w:tc>
          <w:tcPr>
            <w:tcW w:w="1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1"/>
              <w:jc w:val="center"/>
              <w:rPr>
                <w:rFonts w:ascii="Times New Roman" w:hAnsi="Times New Roman" w:cs="Times New Roman" w:eastAsia="Times New Roman" w:hint="default"/>
                <w:sz w:val="18"/>
                <w:szCs w:val="18"/>
              </w:rPr>
            </w:pPr>
            <w:r>
              <w:rPr>
                <w:rFonts w:ascii="Times New Roman"/>
                <w:sz w:val="18"/>
              </w:rPr>
              <w:t>7.23%</w:t>
            </w:r>
          </w:p>
        </w:tc>
        <w:tc>
          <w:tcPr>
            <w:tcW w:w="2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坏账准备和存货跌价准备</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674" w:hRule="exact"/>
        </w:trPr>
        <w:tc>
          <w:tcPr>
            <w:tcW w:w="152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3,853,351.86</w:t>
            </w:r>
          </w:p>
        </w:tc>
        <w:tc>
          <w:tcPr>
            <w:tcW w:w="1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0.29%</w:t>
            </w:r>
          </w:p>
        </w:tc>
        <w:tc>
          <w:tcPr>
            <w:tcW w:w="264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31"/>
              <w:ind w:left="22" w:right="89"/>
              <w:jc w:val="left"/>
              <w:rPr>
                <w:rFonts w:ascii="宋体" w:hAnsi="宋体" w:cs="宋体" w:eastAsia="宋体" w:hint="default"/>
                <w:sz w:val="18"/>
                <w:szCs w:val="18"/>
              </w:rPr>
            </w:pPr>
            <w:r>
              <w:rPr>
                <w:rFonts w:ascii="宋体" w:hAnsi="宋体" w:cs="宋体" w:eastAsia="宋体" w:hint="default"/>
                <w:sz w:val="18"/>
                <w:szCs w:val="18"/>
              </w:rPr>
              <w:t>核销无法支付的应付款项及取得 的赔偿违约款</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2" w:hRule="exact"/>
        </w:trPr>
        <w:tc>
          <w:tcPr>
            <w:tcW w:w="152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营业外支出</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18"/>
                <w:szCs w:val="18"/>
              </w:rPr>
            </w:pPr>
            <w:r>
              <w:rPr>
                <w:rFonts w:ascii="Times New Roman"/>
                <w:spacing w:val="-1"/>
                <w:sz w:val="18"/>
              </w:rPr>
              <w:t>10,980,645.74</w:t>
            </w:r>
          </w:p>
        </w:tc>
        <w:tc>
          <w:tcPr>
            <w:tcW w:w="1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center"/>
              <w:rPr>
                <w:rFonts w:ascii="Times New Roman" w:hAnsi="Times New Roman" w:cs="Times New Roman" w:eastAsia="Times New Roman" w:hint="default"/>
                <w:sz w:val="18"/>
                <w:szCs w:val="18"/>
              </w:rPr>
            </w:pPr>
            <w:r>
              <w:rPr>
                <w:rFonts w:ascii="Times New Roman"/>
                <w:sz w:val="18"/>
              </w:rPr>
              <w:t>0.83%</w:t>
            </w:r>
          </w:p>
        </w:tc>
        <w:tc>
          <w:tcPr>
            <w:tcW w:w="2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产品质量赔偿金</w:t>
            </w:r>
          </w:p>
        </w:tc>
        <w:tc>
          <w:tcPr>
            <w:tcW w:w="1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否</w:t>
            </w:r>
          </w:p>
        </w:tc>
      </w:tr>
    </w:tbl>
    <w:p>
      <w:pPr>
        <w:spacing w:line="240" w:lineRule="auto" w:before="5"/>
        <w:rPr>
          <w:rFonts w:ascii="宋体" w:hAnsi="宋体" w:cs="宋体" w:eastAsia="宋体" w:hint="default"/>
          <w:sz w:val="13"/>
          <w:szCs w:val="13"/>
        </w:rPr>
      </w:pPr>
    </w:p>
    <w:p>
      <w:pPr>
        <w:pStyle w:val="Heading4"/>
        <w:spacing w:line="240" w:lineRule="auto" w:before="26"/>
        <w:ind w:left="674" w:right="5"/>
        <w:jc w:val="left"/>
        <w:rPr>
          <w:b w:val="0"/>
          <w:bCs w:val="0"/>
        </w:rPr>
      </w:pPr>
      <w:r>
        <w:rPr/>
        <w:t>四、资产及负债状况</w:t>
      </w:r>
      <w:r>
        <w:rPr>
          <w:b w:val="0"/>
          <w:bCs w:val="0"/>
        </w:rPr>
      </w:r>
    </w:p>
    <w:p>
      <w:pPr>
        <w:spacing w:line="240" w:lineRule="auto" w:before="2"/>
        <w:rPr>
          <w:rFonts w:ascii="宋体" w:hAnsi="宋体" w:cs="宋体" w:eastAsia="宋体" w:hint="default"/>
          <w:b/>
          <w:bCs/>
          <w:sz w:val="18"/>
          <w:szCs w:val="18"/>
        </w:rPr>
      </w:pPr>
    </w:p>
    <w:p>
      <w:pPr>
        <w:pStyle w:val="Heading4"/>
        <w:spacing w:line="240" w:lineRule="auto"/>
        <w:ind w:left="674" w:right="5"/>
        <w:jc w:val="left"/>
        <w:rPr>
          <w:b w:val="0"/>
          <w:bCs w:val="0"/>
        </w:rPr>
      </w:pPr>
      <w:r>
        <w:rPr>
          <w:rFonts w:ascii="Times New Roman" w:hAnsi="Times New Roman" w:cs="Times New Roman" w:eastAsia="Times New Roman" w:hint="default"/>
        </w:rPr>
        <w:t>1</w:t>
      </w:r>
      <w:r>
        <w:rPr/>
        <w:t>、资产构成重大变动情况</w:t>
      </w:r>
      <w:r>
        <w:rPr>
          <w:b w:val="0"/>
          <w:bCs w:val="0"/>
        </w:rPr>
      </w:r>
    </w:p>
    <w:p>
      <w:pPr>
        <w:spacing w:line="240" w:lineRule="auto" w:before="4"/>
        <w:rPr>
          <w:rFonts w:ascii="宋体" w:hAnsi="宋体" w:cs="宋体" w:eastAsia="宋体" w:hint="default"/>
          <w:b/>
          <w:bCs/>
          <w:sz w:val="17"/>
          <w:szCs w:val="17"/>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02" w:type="dxa"/>
        <w:tblLayout w:type="fixed"/>
        <w:tblCellMar>
          <w:top w:w="0" w:type="dxa"/>
          <w:left w:w="0" w:type="dxa"/>
          <w:bottom w:w="0" w:type="dxa"/>
          <w:right w:w="0" w:type="dxa"/>
        </w:tblCellMar>
        <w:tblLook w:val="01E0"/>
      </w:tblPr>
      <w:tblGrid>
        <w:gridCol w:w="1560"/>
        <w:gridCol w:w="1416"/>
        <w:gridCol w:w="852"/>
        <w:gridCol w:w="1416"/>
        <w:gridCol w:w="852"/>
        <w:gridCol w:w="850"/>
        <w:gridCol w:w="3824"/>
      </w:tblGrid>
      <w:tr>
        <w:trPr>
          <w:trHeight w:val="358" w:hRule="exact"/>
        </w:trPr>
        <w:tc>
          <w:tcPr>
            <w:tcW w:w="1560" w:type="dxa"/>
            <w:tcBorders>
              <w:top w:val="single" w:sz="4" w:space="0" w:color="000000"/>
              <w:left w:val="single" w:sz="4" w:space="0" w:color="000000"/>
              <w:bottom w:val="nil" w:sz="6" w:space="0" w:color="auto"/>
              <w:right w:val="single" w:sz="4" w:space="0" w:color="000000"/>
            </w:tcBorders>
            <w:shd w:val="clear" w:color="auto" w:fill="D3D3D3"/>
          </w:tcPr>
          <w:p>
            <w:pP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74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74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850" w:type="dxa"/>
            <w:tcBorders>
              <w:top w:val="single" w:sz="4" w:space="0" w:color="000000"/>
              <w:left w:val="single" w:sz="4" w:space="0" w:color="000000"/>
              <w:bottom w:val="nil" w:sz="6" w:space="0" w:color="auto"/>
              <w:right w:val="single" w:sz="4" w:space="0" w:color="000000"/>
            </w:tcBorders>
            <w:shd w:val="clear" w:color="auto" w:fill="D3D3D3"/>
          </w:tcPr>
          <w:p>
            <w:pPr/>
          </w:p>
        </w:tc>
        <w:tc>
          <w:tcPr>
            <w:tcW w:w="3824" w:type="dxa"/>
            <w:tcBorders>
              <w:top w:val="single" w:sz="4" w:space="0" w:color="000000"/>
              <w:left w:val="single" w:sz="4" w:space="0" w:color="000000"/>
              <w:bottom w:val="nil" w:sz="6" w:space="0" w:color="auto"/>
              <w:right w:val="single" w:sz="4" w:space="0" w:color="000000"/>
            </w:tcBorders>
            <w:shd w:val="clear" w:color="auto" w:fill="D3D3D3"/>
          </w:tcPr>
          <w:p>
            <w:pPr/>
          </w:p>
        </w:tc>
      </w:tr>
      <w:tr>
        <w:trPr>
          <w:trHeight w:val="678" w:hRule="exact"/>
        </w:trPr>
        <w:tc>
          <w:tcPr>
            <w:tcW w:w="1560" w:type="dxa"/>
            <w:tcBorders>
              <w:top w:val="nil" w:sz="6" w:space="0" w:color="auto"/>
              <w:left w:val="single" w:sz="4" w:space="0" w:color="000000"/>
              <w:bottom w:val="single" w:sz="4" w:space="0" w:color="000000"/>
              <w:right w:val="single" w:sz="4" w:space="0" w:color="000000"/>
            </w:tcBorders>
            <w:shd w:val="clear" w:color="auto" w:fill="D3D3D3"/>
          </w:tcPr>
          <w:p>
            <w:pPr/>
          </w:p>
        </w:tc>
        <w:tc>
          <w:tcPr>
            <w:tcW w:w="14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85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35"/>
              <w:ind w:left="239" w:right="60" w:hanging="180"/>
              <w:jc w:val="left"/>
              <w:rPr>
                <w:rFonts w:ascii="宋体" w:hAnsi="宋体" w:cs="宋体" w:eastAsia="宋体" w:hint="default"/>
                <w:sz w:val="18"/>
                <w:szCs w:val="18"/>
              </w:rPr>
            </w:pPr>
            <w:r>
              <w:rPr>
                <w:rFonts w:ascii="宋体" w:hAnsi="宋体" w:cs="宋体" w:eastAsia="宋体" w:hint="default"/>
                <w:sz w:val="18"/>
                <w:szCs w:val="18"/>
              </w:rPr>
              <w:t>占总资产 比例</w:t>
            </w:r>
          </w:p>
        </w:tc>
        <w:tc>
          <w:tcPr>
            <w:tcW w:w="14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85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35"/>
              <w:ind w:left="239" w:right="60" w:hanging="180"/>
              <w:jc w:val="left"/>
              <w:rPr>
                <w:rFonts w:ascii="宋体" w:hAnsi="宋体" w:cs="宋体" w:eastAsia="宋体" w:hint="default"/>
                <w:sz w:val="18"/>
                <w:szCs w:val="18"/>
              </w:rPr>
            </w:pPr>
            <w:r>
              <w:rPr>
                <w:rFonts w:ascii="宋体" w:hAnsi="宋体" w:cs="宋体" w:eastAsia="宋体" w:hint="default"/>
                <w:sz w:val="18"/>
                <w:szCs w:val="18"/>
              </w:rPr>
              <w:t>占总资产 比例</w:t>
            </w:r>
          </w:p>
        </w:tc>
        <w:tc>
          <w:tcPr>
            <w:tcW w:w="850" w:type="dxa"/>
            <w:tcBorders>
              <w:top w:val="nil" w:sz="6" w:space="0" w:color="auto"/>
              <w:left w:val="single" w:sz="4" w:space="0" w:color="000000"/>
              <w:bottom w:val="single" w:sz="4" w:space="0" w:color="000000"/>
              <w:right w:val="single" w:sz="4" w:space="0" w:color="000000"/>
            </w:tcBorders>
            <w:shd w:val="clear" w:color="auto" w:fill="D3D3D3"/>
          </w:tcPr>
          <w:p>
            <w:pPr>
              <w:pStyle w:val="TableParagraph"/>
              <w:spacing w:line="240" w:lineRule="auto" w:before="15"/>
              <w:ind w:right="59"/>
              <w:jc w:val="right"/>
              <w:rPr>
                <w:rFonts w:ascii="宋体" w:hAnsi="宋体" w:cs="宋体" w:eastAsia="宋体" w:hint="default"/>
                <w:sz w:val="18"/>
                <w:szCs w:val="18"/>
              </w:rPr>
            </w:pPr>
            <w:r>
              <w:rPr>
                <w:rFonts w:ascii="宋体" w:hAnsi="宋体" w:cs="宋体" w:eastAsia="宋体" w:hint="default"/>
                <w:sz w:val="18"/>
                <w:szCs w:val="18"/>
              </w:rPr>
              <w:t>比重增减</w:t>
            </w:r>
          </w:p>
        </w:tc>
        <w:tc>
          <w:tcPr>
            <w:tcW w:w="3824" w:type="dxa"/>
            <w:tcBorders>
              <w:top w:val="nil" w:sz="6" w:space="0" w:color="auto"/>
              <w:left w:val="single" w:sz="4" w:space="0" w:color="000000"/>
              <w:bottom w:val="single" w:sz="4" w:space="0" w:color="000000"/>
              <w:right w:val="single" w:sz="4" w:space="0" w:color="000000"/>
            </w:tcBorders>
            <w:shd w:val="clear" w:color="auto" w:fill="D3D3D3"/>
          </w:tcPr>
          <w:p>
            <w:pPr>
              <w:pStyle w:val="TableParagraph"/>
              <w:spacing w:line="240" w:lineRule="auto" w:before="15"/>
              <w:ind w:right="1"/>
              <w:jc w:val="center"/>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362" w:hRule="exact"/>
        </w:trPr>
        <w:tc>
          <w:tcPr>
            <w:tcW w:w="15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2"/>
              <w:ind w:left="-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1"/>
              <w:jc w:val="right"/>
              <w:rPr>
                <w:rFonts w:ascii="Times New Roman" w:hAnsi="Times New Roman" w:cs="Times New Roman" w:eastAsia="Times New Roman" w:hint="default"/>
                <w:sz w:val="18"/>
                <w:szCs w:val="18"/>
              </w:rPr>
            </w:pPr>
            <w:r>
              <w:rPr>
                <w:rFonts w:ascii="Times New Roman"/>
                <w:spacing w:val="-1"/>
                <w:sz w:val="18"/>
              </w:rPr>
              <w:t>3,376,391,277.69</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1"/>
              <w:jc w:val="right"/>
              <w:rPr>
                <w:rFonts w:ascii="Times New Roman" w:hAnsi="Times New Roman" w:cs="Times New Roman" w:eastAsia="Times New Roman" w:hint="default"/>
                <w:sz w:val="18"/>
                <w:szCs w:val="18"/>
              </w:rPr>
            </w:pPr>
            <w:r>
              <w:rPr>
                <w:rFonts w:ascii="Times New Roman"/>
                <w:sz w:val="18"/>
              </w:rPr>
              <w:t>21.10%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1"/>
              <w:jc w:val="right"/>
              <w:rPr>
                <w:rFonts w:ascii="Times New Roman" w:hAnsi="Times New Roman" w:cs="Times New Roman" w:eastAsia="Times New Roman" w:hint="default"/>
                <w:sz w:val="18"/>
                <w:szCs w:val="18"/>
              </w:rPr>
            </w:pPr>
            <w:r>
              <w:rPr>
                <w:rFonts w:ascii="Times New Roman"/>
                <w:spacing w:val="-1"/>
                <w:sz w:val="18"/>
              </w:rPr>
              <w:t>3,002,427,102.36</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right"/>
              <w:rPr>
                <w:rFonts w:ascii="Times New Roman" w:hAnsi="Times New Roman" w:cs="Times New Roman" w:eastAsia="Times New Roman" w:hint="default"/>
                <w:sz w:val="18"/>
                <w:szCs w:val="18"/>
              </w:rPr>
            </w:pPr>
            <w:r>
              <w:rPr>
                <w:rFonts w:ascii="Times New Roman"/>
                <w:sz w:val="18"/>
              </w:rPr>
              <w:t>19.75%</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2"/>
              <w:jc w:val="right"/>
              <w:rPr>
                <w:rFonts w:ascii="Times New Roman" w:hAnsi="Times New Roman" w:cs="Times New Roman" w:eastAsia="Times New Roman" w:hint="default"/>
                <w:sz w:val="18"/>
                <w:szCs w:val="18"/>
              </w:rPr>
            </w:pPr>
            <w:r>
              <w:rPr>
                <w:rFonts w:ascii="Times New Roman"/>
                <w:sz w:val="18"/>
              </w:rPr>
              <w:t>1.35%</w:t>
            </w:r>
          </w:p>
        </w:tc>
        <w:tc>
          <w:tcPr>
            <w:tcW w:w="3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left"/>
              <w:rPr>
                <w:rFonts w:ascii="宋体" w:hAnsi="宋体" w:cs="宋体" w:eastAsia="宋体" w:hint="default"/>
                <w:sz w:val="18"/>
                <w:szCs w:val="18"/>
              </w:rPr>
            </w:pPr>
            <w:r>
              <w:rPr>
                <w:rFonts w:ascii="宋体" w:hAnsi="宋体" w:cs="宋体" w:eastAsia="宋体" w:hint="default"/>
                <w:sz w:val="18"/>
                <w:szCs w:val="18"/>
              </w:rPr>
              <w:t>无重大变动</w:t>
            </w:r>
          </w:p>
        </w:tc>
      </w:tr>
      <w:tr>
        <w:trPr>
          <w:trHeight w:val="674" w:hRule="exact"/>
        </w:trPr>
        <w:tc>
          <w:tcPr>
            <w:tcW w:w="15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2,967,217,578.89</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z w:val="18"/>
              </w:rPr>
              <w:t>18.54%</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2,171,671,958.33</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z w:val="18"/>
              </w:rPr>
              <w:t>14.29%</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2"/>
              <w:jc w:val="right"/>
              <w:rPr>
                <w:rFonts w:ascii="Times New Roman" w:hAnsi="Times New Roman" w:cs="Times New Roman" w:eastAsia="Times New Roman" w:hint="default"/>
                <w:sz w:val="18"/>
                <w:szCs w:val="18"/>
              </w:rPr>
            </w:pPr>
            <w:r>
              <w:rPr>
                <w:rFonts w:ascii="Times New Roman"/>
                <w:sz w:val="18"/>
              </w:rPr>
              <w:t>4.25%</w:t>
            </w:r>
          </w:p>
        </w:tc>
        <w:tc>
          <w:tcPr>
            <w:tcW w:w="382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31"/>
              <w:ind w:right="32"/>
              <w:jc w:val="left"/>
              <w:rPr>
                <w:rFonts w:ascii="宋体" w:hAnsi="宋体" w:cs="宋体" w:eastAsia="宋体" w:hint="default"/>
                <w:sz w:val="18"/>
                <w:szCs w:val="18"/>
              </w:rPr>
            </w:pPr>
            <w:r>
              <w:rPr>
                <w:rFonts w:ascii="宋体" w:hAnsi="宋体" w:cs="宋体" w:eastAsia="宋体" w:hint="default"/>
                <w:sz w:val="18"/>
                <w:szCs w:val="18"/>
              </w:rPr>
              <w:t>主要是下属子公司四季度收入增加的应收款未到 期所致</w:t>
            </w:r>
          </w:p>
        </w:tc>
      </w:tr>
      <w:tr>
        <w:trPr>
          <w:trHeight w:val="361" w:hRule="exact"/>
        </w:trPr>
        <w:tc>
          <w:tcPr>
            <w:tcW w:w="15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1"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right"/>
              <w:rPr>
                <w:rFonts w:ascii="Times New Roman" w:hAnsi="Times New Roman" w:cs="Times New Roman" w:eastAsia="Times New Roman" w:hint="default"/>
                <w:sz w:val="18"/>
                <w:szCs w:val="18"/>
              </w:rPr>
            </w:pPr>
            <w:r>
              <w:rPr>
                <w:rFonts w:ascii="Times New Roman"/>
                <w:spacing w:val="-1"/>
                <w:sz w:val="18"/>
              </w:rPr>
              <w:t>1,984,172,857.87</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right"/>
              <w:rPr>
                <w:rFonts w:ascii="Times New Roman" w:hAnsi="Times New Roman" w:cs="Times New Roman" w:eastAsia="Times New Roman" w:hint="default"/>
                <w:sz w:val="18"/>
                <w:szCs w:val="18"/>
              </w:rPr>
            </w:pPr>
            <w:r>
              <w:rPr>
                <w:rFonts w:ascii="Times New Roman"/>
                <w:sz w:val="18"/>
              </w:rPr>
              <w:t>12.40%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right"/>
              <w:rPr>
                <w:rFonts w:ascii="Times New Roman" w:hAnsi="Times New Roman" w:cs="Times New Roman" w:eastAsia="Times New Roman" w:hint="default"/>
                <w:sz w:val="18"/>
                <w:szCs w:val="18"/>
              </w:rPr>
            </w:pPr>
            <w:r>
              <w:rPr>
                <w:rFonts w:ascii="Times New Roman"/>
                <w:spacing w:val="-1"/>
                <w:sz w:val="18"/>
              </w:rPr>
              <w:t>1,629,894,970.19</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right"/>
              <w:rPr>
                <w:rFonts w:ascii="Times New Roman" w:hAnsi="Times New Roman" w:cs="Times New Roman" w:eastAsia="Times New Roman" w:hint="default"/>
                <w:sz w:val="18"/>
                <w:szCs w:val="18"/>
              </w:rPr>
            </w:pPr>
            <w:r>
              <w:rPr>
                <w:rFonts w:ascii="Times New Roman"/>
                <w:sz w:val="18"/>
              </w:rPr>
              <w:t>10.72%</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right"/>
              <w:rPr>
                <w:rFonts w:ascii="Times New Roman" w:hAnsi="Times New Roman" w:cs="Times New Roman" w:eastAsia="Times New Roman" w:hint="default"/>
                <w:sz w:val="18"/>
                <w:szCs w:val="18"/>
              </w:rPr>
            </w:pPr>
            <w:r>
              <w:rPr>
                <w:rFonts w:ascii="Times New Roman"/>
                <w:sz w:val="18"/>
              </w:rPr>
              <w:t>1.68%</w:t>
            </w:r>
          </w:p>
        </w:tc>
        <w:tc>
          <w:tcPr>
            <w:tcW w:w="3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left"/>
              <w:rPr>
                <w:rFonts w:ascii="宋体" w:hAnsi="宋体" w:cs="宋体" w:eastAsia="宋体" w:hint="default"/>
                <w:sz w:val="18"/>
                <w:szCs w:val="18"/>
              </w:rPr>
            </w:pPr>
            <w:r>
              <w:rPr>
                <w:rFonts w:ascii="宋体" w:hAnsi="宋体" w:cs="宋体" w:eastAsia="宋体" w:hint="default"/>
                <w:sz w:val="18"/>
                <w:szCs w:val="18"/>
              </w:rPr>
              <w:t>无重大变动</w:t>
            </w:r>
          </w:p>
        </w:tc>
      </w:tr>
      <w:tr>
        <w:trPr>
          <w:trHeight w:val="362" w:hRule="exact"/>
        </w:trPr>
        <w:tc>
          <w:tcPr>
            <w:tcW w:w="15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2"/>
              <w:ind w:left="-1"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3"/>
              <w:jc w:val="right"/>
              <w:rPr>
                <w:rFonts w:ascii="Times New Roman" w:hAnsi="Times New Roman" w:cs="Times New Roman" w:eastAsia="Times New Roman" w:hint="default"/>
                <w:sz w:val="18"/>
                <w:szCs w:val="18"/>
              </w:rPr>
            </w:pPr>
            <w:r>
              <w:rPr>
                <w:rFonts w:ascii="Times New Roman"/>
                <w:spacing w:val="-1"/>
                <w:sz w:val="18"/>
              </w:rPr>
              <w:t>922,710,593.67</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right"/>
              <w:rPr>
                <w:rFonts w:ascii="Times New Roman" w:hAnsi="Times New Roman" w:cs="Times New Roman" w:eastAsia="Times New Roman" w:hint="default"/>
                <w:sz w:val="18"/>
                <w:szCs w:val="18"/>
              </w:rPr>
            </w:pPr>
            <w:r>
              <w:rPr>
                <w:rFonts w:ascii="Times New Roman"/>
                <w:sz w:val="18"/>
              </w:rPr>
              <w:t>5.77%</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3"/>
              <w:jc w:val="right"/>
              <w:rPr>
                <w:rFonts w:ascii="Times New Roman" w:hAnsi="Times New Roman" w:cs="Times New Roman" w:eastAsia="Times New Roman" w:hint="default"/>
                <w:sz w:val="18"/>
                <w:szCs w:val="18"/>
              </w:rPr>
            </w:pPr>
            <w:r>
              <w:rPr>
                <w:rFonts w:ascii="Times New Roman"/>
                <w:spacing w:val="-1"/>
                <w:sz w:val="18"/>
              </w:rPr>
              <w:t>963,243,503.44</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right"/>
              <w:rPr>
                <w:rFonts w:ascii="Times New Roman" w:hAnsi="Times New Roman" w:cs="Times New Roman" w:eastAsia="Times New Roman" w:hint="default"/>
                <w:sz w:val="18"/>
                <w:szCs w:val="18"/>
              </w:rPr>
            </w:pPr>
            <w:r>
              <w:rPr>
                <w:rFonts w:ascii="Times New Roman"/>
                <w:sz w:val="18"/>
              </w:rPr>
              <w:t>6.34%</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2"/>
              <w:jc w:val="right"/>
              <w:rPr>
                <w:rFonts w:ascii="Times New Roman" w:hAnsi="Times New Roman" w:cs="Times New Roman" w:eastAsia="Times New Roman" w:hint="default"/>
                <w:sz w:val="18"/>
                <w:szCs w:val="18"/>
              </w:rPr>
            </w:pPr>
            <w:r>
              <w:rPr>
                <w:rFonts w:ascii="Times New Roman"/>
                <w:sz w:val="18"/>
              </w:rPr>
              <w:t>-0.57%</w:t>
            </w:r>
          </w:p>
        </w:tc>
        <w:tc>
          <w:tcPr>
            <w:tcW w:w="3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left"/>
              <w:rPr>
                <w:rFonts w:ascii="宋体" w:hAnsi="宋体" w:cs="宋体" w:eastAsia="宋体" w:hint="default"/>
                <w:sz w:val="18"/>
                <w:szCs w:val="18"/>
              </w:rPr>
            </w:pPr>
            <w:r>
              <w:rPr>
                <w:rFonts w:ascii="宋体" w:hAnsi="宋体" w:cs="宋体" w:eastAsia="宋体" w:hint="default"/>
                <w:sz w:val="18"/>
                <w:szCs w:val="18"/>
              </w:rPr>
              <w:t>无重大变动</w:t>
            </w:r>
          </w:p>
        </w:tc>
      </w:tr>
      <w:tr>
        <w:trPr>
          <w:trHeight w:val="362" w:hRule="exact"/>
        </w:trPr>
        <w:tc>
          <w:tcPr>
            <w:tcW w:w="15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1"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3"/>
              <w:jc w:val="right"/>
              <w:rPr>
                <w:rFonts w:ascii="Times New Roman" w:hAnsi="Times New Roman" w:cs="Times New Roman" w:eastAsia="Times New Roman" w:hint="default"/>
                <w:sz w:val="18"/>
                <w:szCs w:val="18"/>
              </w:rPr>
            </w:pPr>
            <w:r>
              <w:rPr>
                <w:rFonts w:ascii="Times New Roman"/>
                <w:spacing w:val="-1"/>
                <w:sz w:val="18"/>
              </w:rPr>
              <w:t>309,387,196.78</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right"/>
              <w:rPr>
                <w:rFonts w:ascii="Times New Roman" w:hAnsi="Times New Roman" w:cs="Times New Roman" w:eastAsia="Times New Roman" w:hint="default"/>
                <w:sz w:val="18"/>
                <w:szCs w:val="18"/>
              </w:rPr>
            </w:pPr>
            <w:r>
              <w:rPr>
                <w:rFonts w:ascii="Times New Roman"/>
                <w:sz w:val="18"/>
              </w:rPr>
              <w:t>1.93%</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3"/>
              <w:jc w:val="right"/>
              <w:rPr>
                <w:rFonts w:ascii="Times New Roman" w:hAnsi="Times New Roman" w:cs="Times New Roman" w:eastAsia="Times New Roman" w:hint="default"/>
                <w:sz w:val="18"/>
                <w:szCs w:val="18"/>
              </w:rPr>
            </w:pPr>
            <w:r>
              <w:rPr>
                <w:rFonts w:ascii="Times New Roman"/>
                <w:spacing w:val="-1"/>
                <w:sz w:val="18"/>
              </w:rPr>
              <w:t>70,873,381.15</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right"/>
              <w:rPr>
                <w:rFonts w:ascii="Times New Roman" w:hAnsi="Times New Roman" w:cs="Times New Roman" w:eastAsia="Times New Roman" w:hint="default"/>
                <w:sz w:val="18"/>
                <w:szCs w:val="18"/>
              </w:rPr>
            </w:pPr>
            <w:r>
              <w:rPr>
                <w:rFonts w:ascii="Times New Roman"/>
                <w:sz w:val="18"/>
              </w:rPr>
              <w:t>0.47%</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right"/>
              <w:rPr>
                <w:rFonts w:ascii="Times New Roman" w:hAnsi="Times New Roman" w:cs="Times New Roman" w:eastAsia="Times New Roman" w:hint="default"/>
                <w:sz w:val="18"/>
                <w:szCs w:val="18"/>
              </w:rPr>
            </w:pPr>
            <w:r>
              <w:rPr>
                <w:rFonts w:ascii="Times New Roman"/>
                <w:sz w:val="18"/>
              </w:rPr>
              <w:t>1.46%</w:t>
            </w:r>
          </w:p>
        </w:tc>
        <w:tc>
          <w:tcPr>
            <w:tcW w:w="3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left"/>
              <w:rPr>
                <w:rFonts w:ascii="宋体" w:hAnsi="宋体" w:cs="宋体" w:eastAsia="宋体" w:hint="default"/>
                <w:sz w:val="18"/>
                <w:szCs w:val="18"/>
              </w:rPr>
            </w:pPr>
            <w:r>
              <w:rPr>
                <w:rFonts w:ascii="宋体" w:hAnsi="宋体" w:cs="宋体" w:eastAsia="宋体" w:hint="default"/>
                <w:sz w:val="18"/>
                <w:szCs w:val="18"/>
              </w:rPr>
              <w:t>主要是新增联营企业投资所致</w:t>
            </w:r>
          </w:p>
        </w:tc>
      </w:tr>
      <w:tr>
        <w:trPr>
          <w:trHeight w:val="361" w:hRule="exact"/>
        </w:trPr>
        <w:tc>
          <w:tcPr>
            <w:tcW w:w="15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right"/>
              <w:rPr>
                <w:rFonts w:ascii="Times New Roman" w:hAnsi="Times New Roman" w:cs="Times New Roman" w:eastAsia="Times New Roman" w:hint="default"/>
                <w:sz w:val="18"/>
                <w:szCs w:val="18"/>
              </w:rPr>
            </w:pPr>
            <w:r>
              <w:rPr>
                <w:rFonts w:ascii="Times New Roman"/>
                <w:spacing w:val="-1"/>
                <w:sz w:val="18"/>
              </w:rPr>
              <w:t>1,919,589,092.85</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right"/>
              <w:rPr>
                <w:rFonts w:ascii="Times New Roman" w:hAnsi="Times New Roman" w:cs="Times New Roman" w:eastAsia="Times New Roman" w:hint="default"/>
                <w:sz w:val="18"/>
                <w:szCs w:val="18"/>
              </w:rPr>
            </w:pPr>
            <w:r>
              <w:rPr>
                <w:rFonts w:ascii="Times New Roman"/>
                <w:sz w:val="18"/>
              </w:rPr>
              <w:t>12.00%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right"/>
              <w:rPr>
                <w:rFonts w:ascii="Times New Roman" w:hAnsi="Times New Roman" w:cs="Times New Roman" w:eastAsia="Times New Roman" w:hint="default"/>
                <w:sz w:val="18"/>
                <w:szCs w:val="18"/>
              </w:rPr>
            </w:pPr>
            <w:r>
              <w:rPr>
                <w:rFonts w:ascii="Times New Roman"/>
                <w:spacing w:val="-1"/>
                <w:sz w:val="18"/>
              </w:rPr>
              <w:t>1,859,729,621.07</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right"/>
              <w:rPr>
                <w:rFonts w:ascii="Times New Roman" w:hAnsi="Times New Roman" w:cs="Times New Roman" w:eastAsia="Times New Roman" w:hint="default"/>
                <w:sz w:val="18"/>
                <w:szCs w:val="18"/>
              </w:rPr>
            </w:pPr>
            <w:r>
              <w:rPr>
                <w:rFonts w:ascii="Times New Roman"/>
                <w:sz w:val="18"/>
              </w:rPr>
              <w:t>12.23%</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right"/>
              <w:rPr>
                <w:rFonts w:ascii="Times New Roman" w:hAnsi="Times New Roman" w:cs="Times New Roman" w:eastAsia="Times New Roman" w:hint="default"/>
                <w:sz w:val="18"/>
                <w:szCs w:val="18"/>
              </w:rPr>
            </w:pPr>
            <w:r>
              <w:rPr>
                <w:rFonts w:ascii="Times New Roman"/>
                <w:sz w:val="18"/>
              </w:rPr>
              <w:t>-0.23%</w:t>
            </w:r>
          </w:p>
        </w:tc>
        <w:tc>
          <w:tcPr>
            <w:tcW w:w="3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left"/>
              <w:rPr>
                <w:rFonts w:ascii="宋体" w:hAnsi="宋体" w:cs="宋体" w:eastAsia="宋体" w:hint="default"/>
                <w:sz w:val="18"/>
                <w:szCs w:val="18"/>
              </w:rPr>
            </w:pPr>
            <w:r>
              <w:rPr>
                <w:rFonts w:ascii="宋体" w:hAnsi="宋体" w:cs="宋体" w:eastAsia="宋体" w:hint="default"/>
                <w:sz w:val="18"/>
                <w:szCs w:val="18"/>
              </w:rPr>
              <w:t>无重大变动</w:t>
            </w:r>
          </w:p>
        </w:tc>
      </w:tr>
      <w:tr>
        <w:trPr>
          <w:trHeight w:val="362" w:hRule="exact"/>
        </w:trPr>
        <w:tc>
          <w:tcPr>
            <w:tcW w:w="15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2"/>
              <w:ind w:left="-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1"/>
              <w:jc w:val="right"/>
              <w:rPr>
                <w:rFonts w:ascii="Times New Roman" w:hAnsi="Times New Roman" w:cs="Times New Roman" w:eastAsia="Times New Roman" w:hint="default"/>
                <w:sz w:val="18"/>
                <w:szCs w:val="18"/>
              </w:rPr>
            </w:pPr>
            <w:r>
              <w:rPr>
                <w:rFonts w:ascii="Times New Roman"/>
                <w:spacing w:val="-1"/>
                <w:sz w:val="18"/>
              </w:rPr>
              <w:t>2,208,899,418.95</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1"/>
              <w:jc w:val="right"/>
              <w:rPr>
                <w:rFonts w:ascii="Times New Roman" w:hAnsi="Times New Roman" w:cs="Times New Roman" w:eastAsia="Times New Roman" w:hint="default"/>
                <w:sz w:val="18"/>
                <w:szCs w:val="18"/>
              </w:rPr>
            </w:pPr>
            <w:r>
              <w:rPr>
                <w:rFonts w:ascii="Times New Roman"/>
                <w:sz w:val="18"/>
              </w:rPr>
              <w:t>13.80%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1"/>
              <w:jc w:val="right"/>
              <w:rPr>
                <w:rFonts w:ascii="Times New Roman" w:hAnsi="Times New Roman" w:cs="Times New Roman" w:eastAsia="Times New Roman" w:hint="default"/>
                <w:sz w:val="18"/>
                <w:szCs w:val="18"/>
              </w:rPr>
            </w:pPr>
            <w:r>
              <w:rPr>
                <w:rFonts w:ascii="Times New Roman"/>
                <w:spacing w:val="-1"/>
                <w:sz w:val="18"/>
              </w:rPr>
              <w:t>1,779,694,872.54</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1"/>
              <w:jc w:val="right"/>
              <w:rPr>
                <w:rFonts w:ascii="Times New Roman" w:hAnsi="Times New Roman" w:cs="Times New Roman" w:eastAsia="Times New Roman" w:hint="default"/>
                <w:sz w:val="18"/>
                <w:szCs w:val="18"/>
              </w:rPr>
            </w:pPr>
            <w:r>
              <w:rPr>
                <w:rFonts w:ascii="Times New Roman"/>
                <w:spacing w:val="-2"/>
                <w:sz w:val="18"/>
              </w:rPr>
              <w:t>11.71%</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2"/>
              <w:jc w:val="right"/>
              <w:rPr>
                <w:rFonts w:ascii="Times New Roman" w:hAnsi="Times New Roman" w:cs="Times New Roman" w:eastAsia="Times New Roman" w:hint="default"/>
                <w:sz w:val="18"/>
                <w:szCs w:val="18"/>
              </w:rPr>
            </w:pPr>
            <w:r>
              <w:rPr>
                <w:rFonts w:ascii="Times New Roman"/>
                <w:sz w:val="18"/>
              </w:rPr>
              <w:t>2.09%</w:t>
            </w:r>
          </w:p>
        </w:tc>
        <w:tc>
          <w:tcPr>
            <w:tcW w:w="3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left"/>
              <w:rPr>
                <w:rFonts w:ascii="宋体" w:hAnsi="宋体" w:cs="宋体" w:eastAsia="宋体" w:hint="default"/>
                <w:sz w:val="18"/>
                <w:szCs w:val="18"/>
              </w:rPr>
            </w:pPr>
            <w:r>
              <w:rPr>
                <w:rFonts w:ascii="宋体" w:hAnsi="宋体" w:cs="宋体" w:eastAsia="宋体" w:hint="default"/>
                <w:sz w:val="18"/>
                <w:szCs w:val="18"/>
              </w:rPr>
              <w:t>无重大变动</w:t>
            </w:r>
          </w:p>
        </w:tc>
      </w:tr>
      <w:tr>
        <w:trPr>
          <w:trHeight w:val="362" w:hRule="exact"/>
        </w:trPr>
        <w:tc>
          <w:tcPr>
            <w:tcW w:w="15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1"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right"/>
              <w:rPr>
                <w:rFonts w:ascii="Times New Roman" w:hAnsi="Times New Roman" w:cs="Times New Roman" w:eastAsia="Times New Roman" w:hint="default"/>
                <w:sz w:val="18"/>
                <w:szCs w:val="18"/>
              </w:rPr>
            </w:pPr>
            <w:r>
              <w:rPr>
                <w:rFonts w:ascii="Times New Roman"/>
                <w:spacing w:val="-1"/>
                <w:sz w:val="18"/>
              </w:rPr>
              <w:t>2,023,011,798.95</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right"/>
              <w:rPr>
                <w:rFonts w:ascii="Times New Roman" w:hAnsi="Times New Roman" w:cs="Times New Roman" w:eastAsia="Times New Roman" w:hint="default"/>
                <w:sz w:val="18"/>
                <w:szCs w:val="18"/>
              </w:rPr>
            </w:pPr>
            <w:r>
              <w:rPr>
                <w:rFonts w:ascii="Times New Roman"/>
                <w:sz w:val="18"/>
              </w:rPr>
              <w:t>12.64%</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right"/>
              <w:rPr>
                <w:rFonts w:ascii="Times New Roman" w:hAnsi="Times New Roman" w:cs="Times New Roman" w:eastAsia="Times New Roman" w:hint="default"/>
                <w:sz w:val="18"/>
                <w:szCs w:val="18"/>
              </w:rPr>
            </w:pPr>
            <w:r>
              <w:rPr>
                <w:rFonts w:ascii="Times New Roman"/>
                <w:spacing w:val="-1"/>
                <w:sz w:val="18"/>
              </w:rPr>
              <w:t>1,407,408,234.53</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right"/>
              <w:rPr>
                <w:rFonts w:ascii="Times New Roman" w:hAnsi="Times New Roman" w:cs="Times New Roman" w:eastAsia="Times New Roman" w:hint="default"/>
                <w:sz w:val="18"/>
                <w:szCs w:val="18"/>
              </w:rPr>
            </w:pPr>
            <w:r>
              <w:rPr>
                <w:rFonts w:ascii="Times New Roman"/>
                <w:sz w:val="18"/>
              </w:rPr>
              <w:t>9.26%</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right"/>
              <w:rPr>
                <w:rFonts w:ascii="Times New Roman" w:hAnsi="Times New Roman" w:cs="Times New Roman" w:eastAsia="Times New Roman" w:hint="default"/>
                <w:sz w:val="18"/>
                <w:szCs w:val="18"/>
              </w:rPr>
            </w:pPr>
            <w:r>
              <w:rPr>
                <w:rFonts w:ascii="Times New Roman"/>
                <w:sz w:val="18"/>
              </w:rPr>
              <w:t>3.38%</w:t>
            </w:r>
          </w:p>
        </w:tc>
        <w:tc>
          <w:tcPr>
            <w:tcW w:w="3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left"/>
              <w:rPr>
                <w:rFonts w:ascii="宋体" w:hAnsi="宋体" w:cs="宋体" w:eastAsia="宋体" w:hint="default"/>
                <w:sz w:val="18"/>
                <w:szCs w:val="18"/>
              </w:rPr>
            </w:pPr>
            <w:r>
              <w:rPr>
                <w:rFonts w:ascii="宋体" w:hAnsi="宋体" w:cs="宋体" w:eastAsia="宋体" w:hint="default"/>
                <w:sz w:val="18"/>
                <w:szCs w:val="18"/>
              </w:rPr>
              <w:t>主要是本期流动资金贷款增加所致</w:t>
            </w:r>
          </w:p>
        </w:tc>
      </w:tr>
      <w:tr>
        <w:trPr>
          <w:trHeight w:val="361" w:hRule="exact"/>
        </w:trPr>
        <w:tc>
          <w:tcPr>
            <w:tcW w:w="15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1"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right"/>
              <w:rPr>
                <w:rFonts w:ascii="Times New Roman" w:hAnsi="Times New Roman" w:cs="Times New Roman" w:eastAsia="Times New Roman" w:hint="default"/>
                <w:sz w:val="18"/>
                <w:szCs w:val="18"/>
              </w:rPr>
            </w:pPr>
            <w:r>
              <w:rPr>
                <w:rFonts w:ascii="Times New Roman"/>
                <w:spacing w:val="-1"/>
                <w:sz w:val="18"/>
              </w:rPr>
              <w:t>1,243,584,695.47</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right"/>
              <w:rPr>
                <w:rFonts w:ascii="Times New Roman" w:hAnsi="Times New Roman" w:cs="Times New Roman" w:eastAsia="Times New Roman" w:hint="default"/>
                <w:sz w:val="18"/>
                <w:szCs w:val="18"/>
              </w:rPr>
            </w:pPr>
            <w:r>
              <w:rPr>
                <w:rFonts w:ascii="Times New Roman"/>
                <w:sz w:val="18"/>
              </w:rPr>
              <w:t>7.77%</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right"/>
              <w:rPr>
                <w:rFonts w:ascii="Times New Roman" w:hAnsi="Times New Roman" w:cs="Times New Roman" w:eastAsia="Times New Roman" w:hint="default"/>
                <w:sz w:val="18"/>
                <w:szCs w:val="18"/>
              </w:rPr>
            </w:pPr>
            <w:r>
              <w:rPr>
                <w:rFonts w:ascii="Times New Roman"/>
                <w:spacing w:val="-1"/>
                <w:sz w:val="18"/>
              </w:rPr>
              <w:t>1,162,990,872.15</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right"/>
              <w:rPr>
                <w:rFonts w:ascii="Times New Roman" w:hAnsi="Times New Roman" w:cs="Times New Roman" w:eastAsia="Times New Roman" w:hint="default"/>
                <w:sz w:val="18"/>
                <w:szCs w:val="18"/>
              </w:rPr>
            </w:pPr>
            <w:r>
              <w:rPr>
                <w:rFonts w:ascii="Times New Roman"/>
                <w:sz w:val="18"/>
              </w:rPr>
              <w:t>7.65%</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right"/>
              <w:rPr>
                <w:rFonts w:ascii="Times New Roman" w:hAnsi="Times New Roman" w:cs="Times New Roman" w:eastAsia="Times New Roman" w:hint="default"/>
                <w:sz w:val="18"/>
                <w:szCs w:val="18"/>
              </w:rPr>
            </w:pPr>
            <w:r>
              <w:rPr>
                <w:rFonts w:ascii="Times New Roman"/>
                <w:sz w:val="18"/>
              </w:rPr>
              <w:t>0.12%</w:t>
            </w:r>
          </w:p>
        </w:tc>
        <w:tc>
          <w:tcPr>
            <w:tcW w:w="3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left"/>
              <w:rPr>
                <w:rFonts w:ascii="宋体" w:hAnsi="宋体" w:cs="宋体" w:eastAsia="宋体" w:hint="default"/>
                <w:sz w:val="18"/>
                <w:szCs w:val="18"/>
              </w:rPr>
            </w:pPr>
            <w:r>
              <w:rPr>
                <w:rFonts w:ascii="宋体" w:hAnsi="宋体" w:cs="宋体" w:eastAsia="宋体" w:hint="default"/>
                <w:sz w:val="18"/>
                <w:szCs w:val="18"/>
              </w:rPr>
              <w:t>无重大变动</w:t>
            </w:r>
          </w:p>
        </w:tc>
      </w:tr>
      <w:tr>
        <w:trPr>
          <w:trHeight w:val="362"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3"/>
              <w:jc w:val="right"/>
              <w:rPr>
                <w:rFonts w:ascii="Times New Roman" w:hAnsi="Times New Roman" w:cs="Times New Roman" w:eastAsia="Times New Roman" w:hint="default"/>
                <w:sz w:val="18"/>
                <w:szCs w:val="18"/>
              </w:rPr>
            </w:pPr>
            <w:r>
              <w:rPr>
                <w:rFonts w:ascii="Times New Roman"/>
                <w:spacing w:val="-1"/>
                <w:sz w:val="18"/>
              </w:rPr>
              <w:t>2,731,217.74</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right"/>
              <w:rPr>
                <w:rFonts w:ascii="Times New Roman" w:hAnsi="Times New Roman" w:cs="Times New Roman" w:eastAsia="Times New Roman" w:hint="default"/>
                <w:sz w:val="18"/>
                <w:szCs w:val="18"/>
              </w:rPr>
            </w:pPr>
            <w:r>
              <w:rPr>
                <w:rFonts w:ascii="Times New Roman"/>
                <w:sz w:val="18"/>
              </w:rPr>
              <w:t>0.02%</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3"/>
              <w:jc w:val="right"/>
              <w:rPr>
                <w:rFonts w:ascii="Times New Roman" w:hAnsi="Times New Roman" w:cs="Times New Roman" w:eastAsia="Times New Roman" w:hint="default"/>
                <w:sz w:val="18"/>
                <w:szCs w:val="18"/>
              </w:rPr>
            </w:pPr>
            <w:r>
              <w:rPr>
                <w:rFonts w:ascii="Times New Roman"/>
                <w:spacing w:val="-1"/>
                <w:sz w:val="18"/>
              </w:rPr>
              <w:t>2,039,548.65</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right"/>
              <w:rPr>
                <w:rFonts w:ascii="Times New Roman" w:hAnsi="Times New Roman" w:cs="Times New Roman" w:eastAsia="Times New Roman" w:hint="default"/>
                <w:sz w:val="18"/>
                <w:szCs w:val="18"/>
              </w:rPr>
            </w:pPr>
            <w:r>
              <w:rPr>
                <w:rFonts w:ascii="Times New Roman"/>
                <w:sz w:val="18"/>
              </w:rPr>
              <w:t>0.01%</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2"/>
              <w:jc w:val="right"/>
              <w:rPr>
                <w:rFonts w:ascii="Times New Roman" w:hAnsi="Times New Roman" w:cs="Times New Roman" w:eastAsia="Times New Roman" w:hint="default"/>
                <w:sz w:val="18"/>
                <w:szCs w:val="18"/>
              </w:rPr>
            </w:pPr>
            <w:r>
              <w:rPr>
                <w:rFonts w:ascii="Times New Roman"/>
                <w:sz w:val="18"/>
              </w:rPr>
              <w:t>0.01%</w:t>
            </w:r>
          </w:p>
        </w:tc>
        <w:tc>
          <w:tcPr>
            <w:tcW w:w="3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left"/>
              <w:rPr>
                <w:rFonts w:ascii="宋体" w:hAnsi="宋体" w:cs="宋体" w:eastAsia="宋体" w:hint="default"/>
                <w:sz w:val="18"/>
                <w:szCs w:val="18"/>
              </w:rPr>
            </w:pPr>
            <w:r>
              <w:rPr>
                <w:rFonts w:ascii="宋体" w:hAnsi="宋体" w:cs="宋体" w:eastAsia="宋体" w:hint="default"/>
                <w:sz w:val="18"/>
                <w:szCs w:val="18"/>
              </w:rPr>
              <w:t>主要是下属子公司汇率变动所致</w:t>
            </w:r>
          </w:p>
        </w:tc>
      </w:tr>
      <w:tr>
        <w:trPr>
          <w:trHeight w:val="362"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3"/>
              <w:jc w:val="right"/>
              <w:rPr>
                <w:rFonts w:ascii="Times New Roman" w:hAnsi="Times New Roman" w:cs="Times New Roman" w:eastAsia="Times New Roman" w:hint="default"/>
                <w:sz w:val="18"/>
                <w:szCs w:val="18"/>
              </w:rPr>
            </w:pPr>
            <w:r>
              <w:rPr>
                <w:rFonts w:ascii="Times New Roman"/>
                <w:spacing w:val="-1"/>
                <w:sz w:val="18"/>
              </w:rPr>
              <w:t>93,721,225.44</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right"/>
              <w:rPr>
                <w:rFonts w:ascii="Times New Roman" w:hAnsi="Times New Roman" w:cs="Times New Roman" w:eastAsia="Times New Roman" w:hint="default"/>
                <w:sz w:val="18"/>
                <w:szCs w:val="18"/>
              </w:rPr>
            </w:pPr>
            <w:r>
              <w:rPr>
                <w:rFonts w:ascii="Times New Roman"/>
                <w:sz w:val="18"/>
              </w:rPr>
              <w:t>0.59%</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3"/>
              <w:jc w:val="right"/>
              <w:rPr>
                <w:rFonts w:ascii="Times New Roman" w:hAnsi="Times New Roman" w:cs="Times New Roman" w:eastAsia="Times New Roman" w:hint="default"/>
                <w:sz w:val="18"/>
                <w:szCs w:val="18"/>
              </w:rPr>
            </w:pPr>
            <w:r>
              <w:rPr>
                <w:rFonts w:ascii="Times New Roman"/>
                <w:spacing w:val="-1"/>
                <w:sz w:val="18"/>
              </w:rPr>
              <w:t>61,789,435.83</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right"/>
              <w:rPr>
                <w:rFonts w:ascii="Times New Roman" w:hAnsi="Times New Roman" w:cs="Times New Roman" w:eastAsia="Times New Roman" w:hint="default"/>
                <w:sz w:val="18"/>
                <w:szCs w:val="18"/>
              </w:rPr>
            </w:pPr>
            <w:r>
              <w:rPr>
                <w:rFonts w:ascii="Times New Roman"/>
                <w:sz w:val="18"/>
              </w:rPr>
              <w:t>0.41%</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right"/>
              <w:rPr>
                <w:rFonts w:ascii="Times New Roman" w:hAnsi="Times New Roman" w:cs="Times New Roman" w:eastAsia="Times New Roman" w:hint="default"/>
                <w:sz w:val="18"/>
                <w:szCs w:val="18"/>
              </w:rPr>
            </w:pPr>
            <w:r>
              <w:rPr>
                <w:rFonts w:ascii="Times New Roman"/>
                <w:sz w:val="18"/>
              </w:rPr>
              <w:t>0.18%</w:t>
            </w:r>
          </w:p>
        </w:tc>
        <w:tc>
          <w:tcPr>
            <w:tcW w:w="3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left"/>
              <w:rPr>
                <w:rFonts w:ascii="宋体" w:hAnsi="宋体" w:cs="宋体" w:eastAsia="宋体" w:hint="default"/>
                <w:sz w:val="18"/>
                <w:szCs w:val="18"/>
              </w:rPr>
            </w:pPr>
            <w:r>
              <w:rPr>
                <w:rFonts w:ascii="宋体" w:hAnsi="宋体" w:cs="宋体" w:eastAsia="宋体" w:hint="default"/>
                <w:sz w:val="18"/>
                <w:szCs w:val="18"/>
              </w:rPr>
              <w:t>主要是下属子公司待抵扣进项税增加所致</w:t>
            </w:r>
          </w:p>
        </w:tc>
      </w:tr>
      <w:tr>
        <w:trPr>
          <w:trHeight w:val="361"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3"/>
              <w:jc w:val="right"/>
              <w:rPr>
                <w:rFonts w:ascii="Times New Roman" w:hAnsi="Times New Roman" w:cs="Times New Roman" w:eastAsia="Times New Roman" w:hint="default"/>
                <w:sz w:val="18"/>
                <w:szCs w:val="18"/>
              </w:rPr>
            </w:pPr>
            <w:r>
              <w:rPr>
                <w:rFonts w:ascii="Times New Roman"/>
                <w:spacing w:val="-1"/>
                <w:sz w:val="18"/>
              </w:rPr>
              <w:t>371,503,216.42</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right"/>
              <w:rPr>
                <w:rFonts w:ascii="Times New Roman" w:hAnsi="Times New Roman" w:cs="Times New Roman" w:eastAsia="Times New Roman" w:hint="default"/>
                <w:sz w:val="18"/>
                <w:szCs w:val="18"/>
              </w:rPr>
            </w:pPr>
            <w:r>
              <w:rPr>
                <w:rFonts w:ascii="Times New Roman"/>
                <w:sz w:val="18"/>
              </w:rPr>
              <w:t>2.32%</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right"/>
              <w:rPr>
                <w:rFonts w:ascii="Times New Roman" w:hAnsi="Times New Roman" w:cs="Times New Roman" w:eastAsia="Times New Roman" w:hint="default"/>
                <w:sz w:val="18"/>
                <w:szCs w:val="18"/>
              </w:rPr>
            </w:pPr>
            <w:r>
              <w:rPr>
                <w:rFonts w:ascii="Times New Roman"/>
                <w:spacing w:val="-1"/>
                <w:sz w:val="18"/>
              </w:rPr>
              <w:t>1,865,922,030.69</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right"/>
              <w:rPr>
                <w:rFonts w:ascii="Times New Roman" w:hAnsi="Times New Roman" w:cs="Times New Roman" w:eastAsia="Times New Roman" w:hint="default"/>
                <w:sz w:val="18"/>
                <w:szCs w:val="18"/>
              </w:rPr>
            </w:pPr>
            <w:r>
              <w:rPr>
                <w:rFonts w:ascii="Times New Roman"/>
                <w:sz w:val="18"/>
              </w:rPr>
              <w:t>12.27%</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right"/>
              <w:rPr>
                <w:rFonts w:ascii="Times New Roman" w:hAnsi="Times New Roman" w:cs="Times New Roman" w:eastAsia="Times New Roman" w:hint="default"/>
                <w:sz w:val="18"/>
                <w:szCs w:val="18"/>
              </w:rPr>
            </w:pPr>
            <w:r>
              <w:rPr>
                <w:rFonts w:ascii="Times New Roman"/>
                <w:sz w:val="18"/>
              </w:rPr>
              <w:t>-9.95%</w:t>
            </w:r>
          </w:p>
        </w:tc>
        <w:tc>
          <w:tcPr>
            <w:tcW w:w="3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left"/>
              <w:rPr>
                <w:rFonts w:ascii="宋体" w:hAnsi="宋体" w:cs="宋体" w:eastAsia="宋体" w:hint="default"/>
                <w:sz w:val="18"/>
                <w:szCs w:val="18"/>
              </w:rPr>
            </w:pPr>
            <w:r>
              <w:rPr>
                <w:rFonts w:ascii="宋体" w:hAnsi="宋体" w:cs="宋体" w:eastAsia="宋体" w:hint="default"/>
                <w:sz w:val="18"/>
                <w:szCs w:val="18"/>
              </w:rPr>
              <w:t>主要是处置了部分金融资产股份所致</w:t>
            </w:r>
          </w:p>
        </w:tc>
      </w:tr>
      <w:tr>
        <w:trPr>
          <w:trHeight w:val="362"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416"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right"/>
              <w:rPr>
                <w:rFonts w:ascii="Times New Roman" w:hAnsi="Times New Roman" w:cs="Times New Roman" w:eastAsia="Times New Roman" w:hint="default"/>
                <w:sz w:val="18"/>
                <w:szCs w:val="18"/>
              </w:rPr>
            </w:pPr>
            <w:r>
              <w:rPr>
                <w:rFonts w:ascii="Times New Roman"/>
                <w:sz w:val="18"/>
              </w:rPr>
              <w:t>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3"/>
              <w:jc w:val="right"/>
              <w:rPr>
                <w:rFonts w:ascii="Times New Roman" w:hAnsi="Times New Roman" w:cs="Times New Roman" w:eastAsia="Times New Roman" w:hint="default"/>
                <w:sz w:val="18"/>
                <w:szCs w:val="18"/>
              </w:rPr>
            </w:pPr>
            <w:r>
              <w:rPr>
                <w:rFonts w:ascii="Times New Roman"/>
                <w:sz w:val="18"/>
              </w:rPr>
              <w:t>500,000.00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right"/>
              <w:rPr>
                <w:rFonts w:ascii="Times New Roman" w:hAnsi="Times New Roman" w:cs="Times New Roman" w:eastAsia="Times New Roman" w:hint="default"/>
                <w:sz w:val="18"/>
                <w:szCs w:val="18"/>
              </w:rPr>
            </w:pPr>
            <w:r>
              <w:rPr>
                <w:rFonts w:ascii="Times New Roman"/>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2"/>
              <w:jc w:val="right"/>
              <w:rPr>
                <w:rFonts w:ascii="Times New Roman" w:hAnsi="Times New Roman" w:cs="Times New Roman" w:eastAsia="Times New Roman" w:hint="default"/>
                <w:sz w:val="18"/>
                <w:szCs w:val="18"/>
              </w:rPr>
            </w:pPr>
            <w:r>
              <w:rPr>
                <w:rFonts w:ascii="Times New Roman"/>
                <w:sz w:val="18"/>
              </w:rPr>
              <w:t>0.00%</w:t>
            </w:r>
          </w:p>
        </w:tc>
        <w:tc>
          <w:tcPr>
            <w:tcW w:w="3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left"/>
              <w:rPr>
                <w:rFonts w:ascii="宋体" w:hAnsi="宋体" w:cs="宋体" w:eastAsia="宋体" w:hint="default"/>
                <w:sz w:val="18"/>
                <w:szCs w:val="18"/>
              </w:rPr>
            </w:pPr>
            <w:r>
              <w:rPr>
                <w:rFonts w:ascii="宋体" w:hAnsi="宋体" w:cs="宋体" w:eastAsia="宋体" w:hint="default"/>
                <w:sz w:val="18"/>
                <w:szCs w:val="18"/>
              </w:rPr>
              <w:t>主要是下属子公司保证金到期收回所致</w:t>
            </w:r>
          </w:p>
        </w:tc>
      </w:tr>
      <w:tr>
        <w:trPr>
          <w:trHeight w:val="362"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3"/>
              <w:jc w:val="right"/>
              <w:rPr>
                <w:rFonts w:ascii="Times New Roman" w:hAnsi="Times New Roman" w:cs="Times New Roman" w:eastAsia="Times New Roman" w:hint="default"/>
                <w:sz w:val="18"/>
                <w:szCs w:val="18"/>
              </w:rPr>
            </w:pPr>
            <w:r>
              <w:rPr>
                <w:rFonts w:ascii="Times New Roman"/>
                <w:spacing w:val="-1"/>
                <w:sz w:val="18"/>
              </w:rPr>
              <w:t>15,392,609.03</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right"/>
              <w:rPr>
                <w:rFonts w:ascii="Times New Roman" w:hAnsi="Times New Roman" w:cs="Times New Roman" w:eastAsia="Times New Roman" w:hint="default"/>
                <w:sz w:val="18"/>
                <w:szCs w:val="18"/>
              </w:rPr>
            </w:pPr>
            <w:r>
              <w:rPr>
                <w:rFonts w:ascii="Times New Roman"/>
                <w:sz w:val="18"/>
              </w:rPr>
              <w:t>0.10%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3"/>
              <w:jc w:val="right"/>
              <w:rPr>
                <w:rFonts w:ascii="Times New Roman" w:hAnsi="Times New Roman" w:cs="Times New Roman" w:eastAsia="Times New Roman" w:hint="default"/>
                <w:sz w:val="18"/>
                <w:szCs w:val="18"/>
              </w:rPr>
            </w:pPr>
            <w:r>
              <w:rPr>
                <w:rFonts w:ascii="Times New Roman"/>
                <w:spacing w:val="-1"/>
                <w:sz w:val="18"/>
              </w:rPr>
              <w:t>11,528,482.04</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right"/>
              <w:rPr>
                <w:rFonts w:ascii="Times New Roman" w:hAnsi="Times New Roman" w:cs="Times New Roman" w:eastAsia="Times New Roman" w:hint="default"/>
                <w:sz w:val="18"/>
                <w:szCs w:val="18"/>
              </w:rPr>
            </w:pPr>
            <w:r>
              <w:rPr>
                <w:rFonts w:ascii="Times New Roman"/>
                <w:sz w:val="18"/>
              </w:rPr>
              <w:t>0.08%</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right"/>
              <w:rPr>
                <w:rFonts w:ascii="Times New Roman" w:hAnsi="Times New Roman" w:cs="Times New Roman" w:eastAsia="Times New Roman" w:hint="default"/>
                <w:sz w:val="18"/>
                <w:szCs w:val="18"/>
              </w:rPr>
            </w:pPr>
            <w:r>
              <w:rPr>
                <w:rFonts w:ascii="Times New Roman"/>
                <w:sz w:val="18"/>
              </w:rPr>
              <w:t>0.02%</w:t>
            </w:r>
          </w:p>
        </w:tc>
        <w:tc>
          <w:tcPr>
            <w:tcW w:w="3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left"/>
              <w:rPr>
                <w:rFonts w:ascii="宋体" w:hAnsi="宋体" w:cs="宋体" w:eastAsia="宋体" w:hint="default"/>
                <w:sz w:val="18"/>
                <w:szCs w:val="18"/>
              </w:rPr>
            </w:pPr>
            <w:r>
              <w:rPr>
                <w:rFonts w:ascii="宋体" w:hAnsi="宋体" w:cs="宋体" w:eastAsia="宋体" w:hint="default"/>
                <w:sz w:val="18"/>
                <w:szCs w:val="18"/>
              </w:rPr>
              <w:t>主要是办公场所及员工宿舍装修增加所致</w:t>
            </w:r>
          </w:p>
        </w:tc>
      </w:tr>
      <w:tr>
        <w:trPr>
          <w:trHeight w:val="361"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3"/>
              <w:jc w:val="right"/>
              <w:rPr>
                <w:rFonts w:ascii="Times New Roman" w:hAnsi="Times New Roman" w:cs="Times New Roman" w:eastAsia="Times New Roman" w:hint="default"/>
                <w:sz w:val="18"/>
                <w:szCs w:val="18"/>
              </w:rPr>
            </w:pPr>
            <w:r>
              <w:rPr>
                <w:rFonts w:ascii="Times New Roman"/>
                <w:spacing w:val="-1"/>
                <w:sz w:val="18"/>
              </w:rPr>
              <w:t>146,425,887.90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right"/>
              <w:rPr>
                <w:rFonts w:ascii="Times New Roman" w:hAnsi="Times New Roman" w:cs="Times New Roman" w:eastAsia="Times New Roman" w:hint="default"/>
                <w:sz w:val="18"/>
                <w:szCs w:val="18"/>
              </w:rPr>
            </w:pPr>
            <w:r>
              <w:rPr>
                <w:rFonts w:ascii="Times New Roman"/>
                <w:sz w:val="18"/>
              </w:rPr>
              <w:t>0.92%</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3"/>
              <w:jc w:val="right"/>
              <w:rPr>
                <w:rFonts w:ascii="Times New Roman" w:hAnsi="Times New Roman" w:cs="Times New Roman" w:eastAsia="Times New Roman" w:hint="default"/>
                <w:sz w:val="18"/>
                <w:szCs w:val="18"/>
              </w:rPr>
            </w:pPr>
            <w:r>
              <w:rPr>
                <w:rFonts w:ascii="Times New Roman"/>
                <w:spacing w:val="-1"/>
                <w:sz w:val="18"/>
              </w:rPr>
              <w:t>352,836,845.95</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right"/>
              <w:rPr>
                <w:rFonts w:ascii="Times New Roman" w:hAnsi="Times New Roman" w:cs="Times New Roman" w:eastAsia="Times New Roman" w:hint="default"/>
                <w:sz w:val="18"/>
                <w:szCs w:val="18"/>
              </w:rPr>
            </w:pPr>
            <w:r>
              <w:rPr>
                <w:rFonts w:ascii="Times New Roman"/>
                <w:sz w:val="18"/>
              </w:rPr>
              <w:t>2.32%</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right"/>
              <w:rPr>
                <w:rFonts w:ascii="Times New Roman" w:hAnsi="Times New Roman" w:cs="Times New Roman" w:eastAsia="Times New Roman" w:hint="default"/>
                <w:sz w:val="18"/>
                <w:szCs w:val="18"/>
              </w:rPr>
            </w:pPr>
            <w:r>
              <w:rPr>
                <w:rFonts w:ascii="Times New Roman"/>
                <w:sz w:val="18"/>
              </w:rPr>
              <w:t>-1.40%</w:t>
            </w:r>
          </w:p>
        </w:tc>
        <w:tc>
          <w:tcPr>
            <w:tcW w:w="3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left"/>
              <w:rPr>
                <w:rFonts w:ascii="宋体" w:hAnsi="宋体" w:cs="宋体" w:eastAsia="宋体" w:hint="default"/>
                <w:sz w:val="18"/>
                <w:szCs w:val="18"/>
              </w:rPr>
            </w:pPr>
            <w:r>
              <w:rPr>
                <w:rFonts w:ascii="宋体" w:hAnsi="宋体" w:cs="宋体" w:eastAsia="宋体" w:hint="default"/>
                <w:sz w:val="18"/>
                <w:szCs w:val="18"/>
              </w:rPr>
              <w:t>主要是下属子公司预收款项已实际结算所致</w:t>
            </w:r>
          </w:p>
        </w:tc>
      </w:tr>
      <w:tr>
        <w:trPr>
          <w:trHeight w:val="674"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1"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3"/>
              <w:jc w:val="right"/>
              <w:rPr>
                <w:rFonts w:ascii="Times New Roman" w:hAnsi="Times New Roman" w:cs="Times New Roman" w:eastAsia="Times New Roman" w:hint="default"/>
                <w:sz w:val="18"/>
                <w:szCs w:val="18"/>
              </w:rPr>
            </w:pPr>
            <w:r>
              <w:rPr>
                <w:rFonts w:ascii="Times New Roman"/>
                <w:spacing w:val="-1"/>
                <w:sz w:val="18"/>
              </w:rPr>
              <w:t>297,031,187.42</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z w:val="18"/>
              </w:rPr>
              <w:t>1.86%</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3"/>
              <w:jc w:val="right"/>
              <w:rPr>
                <w:rFonts w:ascii="Times New Roman" w:hAnsi="Times New Roman" w:cs="Times New Roman" w:eastAsia="Times New Roman" w:hint="default"/>
                <w:sz w:val="18"/>
                <w:szCs w:val="18"/>
              </w:rPr>
            </w:pPr>
            <w:r>
              <w:rPr>
                <w:rFonts w:ascii="Times New Roman"/>
                <w:spacing w:val="-1"/>
                <w:sz w:val="18"/>
              </w:rPr>
              <w:t>118,714,750.32</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z w:val="18"/>
              </w:rPr>
              <w:t>0.78%</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
              <w:jc w:val="right"/>
              <w:rPr>
                <w:rFonts w:ascii="Times New Roman" w:hAnsi="Times New Roman" w:cs="Times New Roman" w:eastAsia="Times New Roman" w:hint="default"/>
                <w:sz w:val="18"/>
                <w:szCs w:val="18"/>
              </w:rPr>
            </w:pPr>
            <w:r>
              <w:rPr>
                <w:rFonts w:ascii="Times New Roman"/>
                <w:sz w:val="18"/>
              </w:rPr>
              <w:t>1.08%</w:t>
            </w:r>
          </w:p>
        </w:tc>
        <w:tc>
          <w:tcPr>
            <w:tcW w:w="382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32"/>
              <w:ind w:right="32"/>
              <w:jc w:val="left"/>
              <w:rPr>
                <w:rFonts w:ascii="宋体" w:hAnsi="宋体" w:cs="宋体" w:eastAsia="宋体" w:hint="default"/>
                <w:sz w:val="18"/>
                <w:szCs w:val="18"/>
              </w:rPr>
            </w:pPr>
            <w:r>
              <w:rPr>
                <w:rFonts w:ascii="宋体" w:hAnsi="宋体" w:cs="宋体" w:eastAsia="宋体" w:hint="default"/>
                <w:sz w:val="18"/>
                <w:szCs w:val="18"/>
              </w:rPr>
              <w:t>主要是由于本报告期应交企业所得税和增值税增 加所致</w:t>
            </w:r>
          </w:p>
        </w:tc>
      </w:tr>
      <w:tr>
        <w:trPr>
          <w:trHeight w:val="362"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3"/>
              <w:jc w:val="right"/>
              <w:rPr>
                <w:rFonts w:ascii="Times New Roman" w:hAnsi="Times New Roman" w:cs="Times New Roman" w:eastAsia="Times New Roman" w:hint="default"/>
                <w:sz w:val="18"/>
                <w:szCs w:val="18"/>
              </w:rPr>
            </w:pPr>
            <w:r>
              <w:rPr>
                <w:rFonts w:ascii="Times New Roman"/>
                <w:spacing w:val="-1"/>
                <w:sz w:val="18"/>
              </w:rPr>
              <w:t>767,776,029.14</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right"/>
              <w:rPr>
                <w:rFonts w:ascii="Times New Roman" w:hAnsi="Times New Roman" w:cs="Times New Roman" w:eastAsia="Times New Roman" w:hint="default"/>
                <w:sz w:val="18"/>
                <w:szCs w:val="18"/>
              </w:rPr>
            </w:pPr>
            <w:r>
              <w:rPr>
                <w:rFonts w:ascii="Times New Roman"/>
                <w:sz w:val="18"/>
              </w:rPr>
              <w:t>4.80%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3"/>
              <w:jc w:val="right"/>
              <w:rPr>
                <w:rFonts w:ascii="Times New Roman" w:hAnsi="Times New Roman" w:cs="Times New Roman" w:eastAsia="Times New Roman" w:hint="default"/>
                <w:sz w:val="18"/>
                <w:szCs w:val="18"/>
              </w:rPr>
            </w:pPr>
            <w:r>
              <w:rPr>
                <w:rFonts w:ascii="Times New Roman"/>
                <w:spacing w:val="-1"/>
                <w:sz w:val="18"/>
              </w:rPr>
              <w:t>568,893,378.24</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right"/>
              <w:rPr>
                <w:rFonts w:ascii="Times New Roman" w:hAnsi="Times New Roman" w:cs="Times New Roman" w:eastAsia="Times New Roman" w:hint="default"/>
                <w:sz w:val="18"/>
                <w:szCs w:val="18"/>
              </w:rPr>
            </w:pPr>
            <w:r>
              <w:rPr>
                <w:rFonts w:ascii="Times New Roman"/>
                <w:sz w:val="18"/>
              </w:rPr>
              <w:t>3.74%</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right"/>
              <w:rPr>
                <w:rFonts w:ascii="Times New Roman" w:hAnsi="Times New Roman" w:cs="Times New Roman" w:eastAsia="Times New Roman" w:hint="default"/>
                <w:sz w:val="18"/>
                <w:szCs w:val="18"/>
              </w:rPr>
            </w:pPr>
            <w:r>
              <w:rPr>
                <w:rFonts w:ascii="Times New Roman"/>
                <w:sz w:val="18"/>
              </w:rPr>
              <w:t>1.06%</w:t>
            </w:r>
          </w:p>
        </w:tc>
        <w:tc>
          <w:tcPr>
            <w:tcW w:w="3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left"/>
              <w:rPr>
                <w:rFonts w:ascii="宋体" w:hAnsi="宋体" w:cs="宋体" w:eastAsia="宋体" w:hint="default"/>
                <w:sz w:val="18"/>
                <w:szCs w:val="18"/>
              </w:rPr>
            </w:pPr>
            <w:r>
              <w:rPr>
                <w:rFonts w:ascii="宋体" w:hAnsi="宋体" w:cs="宋体" w:eastAsia="宋体" w:hint="default"/>
                <w:sz w:val="18"/>
                <w:szCs w:val="18"/>
              </w:rPr>
              <w:t>主要是下属子公司业务往来款项增加所致</w:t>
            </w:r>
          </w:p>
        </w:tc>
      </w:tr>
      <w:tr>
        <w:trPr>
          <w:trHeight w:val="673"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31"/>
              <w:ind w:left="-1" w:right="108"/>
              <w:jc w:val="left"/>
              <w:rPr>
                <w:rFonts w:ascii="宋体" w:hAnsi="宋体" w:cs="宋体" w:eastAsia="宋体" w:hint="default"/>
                <w:sz w:val="18"/>
                <w:szCs w:val="18"/>
              </w:rPr>
            </w:pPr>
            <w:r>
              <w:rPr>
                <w:rFonts w:ascii="宋体" w:hAnsi="宋体" w:cs="宋体" w:eastAsia="宋体" w:hint="default"/>
                <w:sz w:val="18"/>
                <w:szCs w:val="18"/>
              </w:rPr>
              <w:t>一年内到期的非流 动负债</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3"/>
              <w:jc w:val="right"/>
              <w:rPr>
                <w:rFonts w:ascii="Times New Roman" w:hAnsi="Times New Roman" w:cs="Times New Roman" w:eastAsia="Times New Roman" w:hint="default"/>
                <w:sz w:val="18"/>
                <w:szCs w:val="18"/>
              </w:rPr>
            </w:pPr>
            <w:r>
              <w:rPr>
                <w:rFonts w:ascii="Times New Roman"/>
                <w:spacing w:val="-1"/>
                <w:sz w:val="18"/>
              </w:rPr>
              <w:t>784,000,000.00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z w:val="18"/>
              </w:rPr>
              <w:t>4.90%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3"/>
              <w:jc w:val="right"/>
              <w:rPr>
                <w:rFonts w:ascii="Times New Roman" w:hAnsi="Times New Roman" w:cs="Times New Roman" w:eastAsia="Times New Roman" w:hint="default"/>
                <w:sz w:val="18"/>
                <w:szCs w:val="18"/>
              </w:rPr>
            </w:pPr>
            <w:r>
              <w:rPr>
                <w:rFonts w:ascii="Times New Roman"/>
                <w:spacing w:val="-1"/>
                <w:sz w:val="18"/>
              </w:rPr>
              <w:t>401,250,000.00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z w:val="18"/>
              </w:rPr>
              <w:t>2.64%</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2"/>
              <w:jc w:val="right"/>
              <w:rPr>
                <w:rFonts w:ascii="Times New Roman" w:hAnsi="Times New Roman" w:cs="Times New Roman" w:eastAsia="Times New Roman" w:hint="default"/>
                <w:sz w:val="18"/>
                <w:szCs w:val="18"/>
              </w:rPr>
            </w:pPr>
            <w:r>
              <w:rPr>
                <w:rFonts w:ascii="Times New Roman"/>
                <w:sz w:val="18"/>
              </w:rPr>
              <w:t>2.26%</w:t>
            </w:r>
          </w:p>
        </w:tc>
        <w:tc>
          <w:tcPr>
            <w:tcW w:w="3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8"/>
                <w:szCs w:val="18"/>
              </w:rPr>
            </w:pPr>
            <w:r>
              <w:rPr>
                <w:rFonts w:ascii="宋体" w:hAnsi="宋体" w:cs="宋体" w:eastAsia="宋体" w:hint="default"/>
                <w:sz w:val="18"/>
                <w:szCs w:val="18"/>
              </w:rPr>
              <w:t>主要是转入了一年内到期的长期借款所致</w:t>
            </w:r>
          </w:p>
        </w:tc>
      </w:tr>
      <w:tr>
        <w:trPr>
          <w:trHeight w:val="674"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1"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3"/>
              <w:jc w:val="right"/>
              <w:rPr>
                <w:rFonts w:ascii="Times New Roman" w:hAnsi="Times New Roman" w:cs="Times New Roman" w:eastAsia="Times New Roman" w:hint="default"/>
                <w:sz w:val="18"/>
                <w:szCs w:val="18"/>
              </w:rPr>
            </w:pPr>
            <w:r>
              <w:rPr>
                <w:rFonts w:ascii="Times New Roman"/>
                <w:spacing w:val="-1"/>
                <w:sz w:val="18"/>
              </w:rPr>
              <w:t>119,597,821.33</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z w:val="18"/>
              </w:rPr>
              <w:t>0.75%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3"/>
              <w:jc w:val="right"/>
              <w:rPr>
                <w:rFonts w:ascii="Times New Roman" w:hAnsi="Times New Roman" w:cs="Times New Roman" w:eastAsia="Times New Roman" w:hint="default"/>
                <w:sz w:val="18"/>
                <w:szCs w:val="18"/>
              </w:rPr>
            </w:pPr>
            <w:r>
              <w:rPr>
                <w:rFonts w:ascii="Times New Roman"/>
                <w:spacing w:val="-1"/>
                <w:sz w:val="18"/>
              </w:rPr>
              <w:t>35,472,735.86</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z w:val="18"/>
              </w:rPr>
              <w:t>0.23%</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
              <w:jc w:val="right"/>
              <w:rPr>
                <w:rFonts w:ascii="Times New Roman" w:hAnsi="Times New Roman" w:cs="Times New Roman" w:eastAsia="Times New Roman" w:hint="default"/>
                <w:sz w:val="18"/>
                <w:szCs w:val="18"/>
              </w:rPr>
            </w:pPr>
            <w:r>
              <w:rPr>
                <w:rFonts w:ascii="Times New Roman"/>
                <w:sz w:val="18"/>
              </w:rPr>
              <w:t>0.52%</w:t>
            </w:r>
          </w:p>
        </w:tc>
        <w:tc>
          <w:tcPr>
            <w:tcW w:w="382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32"/>
              <w:ind w:right="32"/>
              <w:jc w:val="left"/>
              <w:rPr>
                <w:rFonts w:ascii="宋体" w:hAnsi="宋体" w:cs="宋体" w:eastAsia="宋体" w:hint="default"/>
                <w:sz w:val="18"/>
                <w:szCs w:val="18"/>
              </w:rPr>
            </w:pPr>
            <w:r>
              <w:rPr>
                <w:rFonts w:ascii="宋体" w:hAnsi="宋体" w:cs="宋体" w:eastAsia="宋体" w:hint="default"/>
                <w:sz w:val="18"/>
                <w:szCs w:val="18"/>
              </w:rPr>
              <w:t>主要是下属子公司已背书且在资产负债表日尚未 到期的商业承兑汇票增加所致</w:t>
            </w:r>
          </w:p>
        </w:tc>
      </w:tr>
    </w:tbl>
    <w:p>
      <w:pPr>
        <w:spacing w:after="0" w:line="316" w:lineRule="auto"/>
        <w:jc w:val="left"/>
        <w:rPr>
          <w:rFonts w:ascii="宋体" w:hAnsi="宋体" w:cs="宋体" w:eastAsia="宋体" w:hint="default"/>
          <w:sz w:val="18"/>
          <w:szCs w:val="18"/>
        </w:rPr>
        <w:sectPr>
          <w:pgSz w:w="11910" w:h="16840"/>
          <w:pgMar w:header="787" w:footer="982" w:top="1100" w:bottom="1180" w:left="460" w:right="0"/>
        </w:sectPr>
      </w:pPr>
    </w:p>
    <w:p>
      <w:pPr>
        <w:spacing w:line="240" w:lineRule="auto" w:before="5"/>
        <w:rPr>
          <w:rFonts w:ascii="宋体" w:hAnsi="宋体" w:cs="宋体" w:eastAsia="宋体" w:hint="default"/>
          <w:sz w:val="25"/>
          <w:szCs w:val="25"/>
        </w:rPr>
      </w:pPr>
    </w:p>
    <w:tbl>
      <w:tblPr>
        <w:tblW w:w="0" w:type="auto"/>
        <w:jc w:val="left"/>
        <w:tblInd w:w="102" w:type="dxa"/>
        <w:tblLayout w:type="fixed"/>
        <w:tblCellMar>
          <w:top w:w="0" w:type="dxa"/>
          <w:left w:w="0" w:type="dxa"/>
          <w:bottom w:w="0" w:type="dxa"/>
          <w:right w:w="0" w:type="dxa"/>
        </w:tblCellMar>
        <w:tblLook w:val="01E0"/>
      </w:tblPr>
      <w:tblGrid>
        <w:gridCol w:w="1560"/>
        <w:gridCol w:w="1416"/>
        <w:gridCol w:w="852"/>
        <w:gridCol w:w="1416"/>
        <w:gridCol w:w="852"/>
        <w:gridCol w:w="850"/>
        <w:gridCol w:w="3824"/>
      </w:tblGrid>
      <w:tr>
        <w:trPr>
          <w:trHeight w:val="362"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3"/>
              <w:jc w:val="right"/>
              <w:rPr>
                <w:rFonts w:ascii="Times New Roman" w:hAnsi="Times New Roman" w:cs="Times New Roman" w:eastAsia="Times New Roman" w:hint="default"/>
                <w:sz w:val="18"/>
                <w:szCs w:val="18"/>
              </w:rPr>
            </w:pPr>
            <w:r>
              <w:rPr>
                <w:rFonts w:ascii="Times New Roman"/>
                <w:sz w:val="18"/>
              </w:rPr>
              <w:t>721,678.96</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right"/>
              <w:rPr>
                <w:rFonts w:ascii="Times New Roman" w:hAnsi="Times New Roman" w:cs="Times New Roman" w:eastAsia="Times New Roman" w:hint="default"/>
                <w:sz w:val="18"/>
                <w:szCs w:val="18"/>
              </w:rPr>
            </w:pPr>
            <w:r>
              <w:rPr>
                <w:rFonts w:ascii="Times New Roman"/>
                <w:sz w:val="18"/>
              </w:rPr>
              <w:t>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3"/>
              <w:jc w:val="right"/>
              <w:rPr>
                <w:rFonts w:ascii="Times New Roman" w:hAnsi="Times New Roman" w:cs="Times New Roman" w:eastAsia="Times New Roman" w:hint="default"/>
                <w:sz w:val="18"/>
                <w:szCs w:val="18"/>
              </w:rPr>
            </w:pPr>
            <w:r>
              <w:rPr>
                <w:rFonts w:ascii="Times New Roman"/>
                <w:sz w:val="18"/>
              </w:rPr>
              <w:t>240,081.27</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right"/>
              <w:rPr>
                <w:rFonts w:ascii="Times New Roman" w:hAnsi="Times New Roman" w:cs="Times New Roman" w:eastAsia="Times New Roman" w:hint="default"/>
                <w:sz w:val="18"/>
                <w:szCs w:val="18"/>
              </w:rPr>
            </w:pPr>
            <w:r>
              <w:rPr>
                <w:rFonts w:ascii="Times New Roman"/>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right"/>
              <w:rPr>
                <w:rFonts w:ascii="Times New Roman" w:hAnsi="Times New Roman" w:cs="Times New Roman" w:eastAsia="Times New Roman" w:hint="default"/>
                <w:sz w:val="18"/>
                <w:szCs w:val="18"/>
              </w:rPr>
            </w:pPr>
            <w:r>
              <w:rPr>
                <w:rFonts w:ascii="Times New Roman"/>
                <w:sz w:val="18"/>
              </w:rPr>
              <w:t>0.00%</w:t>
            </w:r>
          </w:p>
        </w:tc>
        <w:tc>
          <w:tcPr>
            <w:tcW w:w="3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left"/>
              <w:rPr>
                <w:rFonts w:ascii="宋体" w:hAnsi="宋体" w:cs="宋体" w:eastAsia="宋体" w:hint="default"/>
                <w:sz w:val="18"/>
                <w:szCs w:val="18"/>
              </w:rPr>
            </w:pPr>
            <w:r>
              <w:rPr>
                <w:rFonts w:ascii="宋体" w:hAnsi="宋体" w:cs="宋体" w:eastAsia="宋体" w:hint="default"/>
                <w:sz w:val="18"/>
                <w:szCs w:val="18"/>
              </w:rPr>
              <w:t>主要是本期计提的内退人员辞退福利增加所致</w:t>
            </w:r>
          </w:p>
        </w:tc>
      </w:tr>
      <w:tr>
        <w:trPr>
          <w:trHeight w:val="673"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3"/>
              <w:jc w:val="right"/>
              <w:rPr>
                <w:rFonts w:ascii="Times New Roman" w:hAnsi="Times New Roman" w:cs="Times New Roman" w:eastAsia="Times New Roman" w:hint="default"/>
                <w:sz w:val="18"/>
                <w:szCs w:val="18"/>
              </w:rPr>
            </w:pPr>
            <w:r>
              <w:rPr>
                <w:rFonts w:ascii="Times New Roman"/>
                <w:spacing w:val="-1"/>
                <w:sz w:val="18"/>
              </w:rPr>
              <w:t>38,795,101.50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z w:val="18"/>
              </w:rPr>
              <w:t>0.24%</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3"/>
              <w:jc w:val="right"/>
              <w:rPr>
                <w:rFonts w:ascii="Times New Roman" w:hAnsi="Times New Roman" w:cs="Times New Roman" w:eastAsia="Times New Roman" w:hint="default"/>
                <w:sz w:val="18"/>
                <w:szCs w:val="18"/>
              </w:rPr>
            </w:pPr>
            <w:r>
              <w:rPr>
                <w:rFonts w:ascii="Times New Roman"/>
                <w:spacing w:val="-1"/>
                <w:sz w:val="18"/>
              </w:rPr>
              <w:t>220,924,384.39</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z w:val="18"/>
              </w:rPr>
              <w:t>1.45%</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2"/>
              <w:jc w:val="right"/>
              <w:rPr>
                <w:rFonts w:ascii="Times New Roman" w:hAnsi="Times New Roman" w:cs="Times New Roman" w:eastAsia="Times New Roman" w:hint="default"/>
                <w:sz w:val="18"/>
                <w:szCs w:val="18"/>
              </w:rPr>
            </w:pPr>
            <w:r>
              <w:rPr>
                <w:rFonts w:ascii="Times New Roman"/>
                <w:sz w:val="18"/>
              </w:rPr>
              <w:t>-1.21%</w:t>
            </w:r>
          </w:p>
        </w:tc>
        <w:tc>
          <w:tcPr>
            <w:tcW w:w="382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31"/>
              <w:ind w:right="32"/>
              <w:jc w:val="left"/>
              <w:rPr>
                <w:rFonts w:ascii="宋体" w:hAnsi="宋体" w:cs="宋体" w:eastAsia="宋体" w:hint="default"/>
                <w:sz w:val="18"/>
                <w:szCs w:val="18"/>
              </w:rPr>
            </w:pPr>
            <w:r>
              <w:rPr>
                <w:rFonts w:ascii="宋体" w:hAnsi="宋体" w:cs="宋体" w:eastAsia="宋体" w:hint="default"/>
                <w:sz w:val="18"/>
                <w:szCs w:val="18"/>
              </w:rPr>
              <w:t>主要是处置了部分金融资产转出递延所得税负债 所致</w:t>
            </w:r>
          </w:p>
        </w:tc>
      </w:tr>
      <w:tr>
        <w:trPr>
          <w:trHeight w:val="674"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1"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3"/>
              <w:jc w:val="right"/>
              <w:rPr>
                <w:rFonts w:ascii="Times New Roman" w:hAnsi="Times New Roman" w:cs="Times New Roman" w:eastAsia="Times New Roman" w:hint="default"/>
                <w:sz w:val="18"/>
                <w:szCs w:val="18"/>
              </w:rPr>
            </w:pPr>
            <w:r>
              <w:rPr>
                <w:rFonts w:ascii="Times New Roman"/>
                <w:spacing w:val="-1"/>
                <w:sz w:val="18"/>
              </w:rPr>
              <w:t>556,164,360.16</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z w:val="18"/>
              </w:rPr>
              <w:t>3.48%</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3"/>
              <w:jc w:val="right"/>
              <w:rPr>
                <w:rFonts w:ascii="Times New Roman" w:hAnsi="Times New Roman" w:cs="Times New Roman" w:eastAsia="Times New Roman" w:hint="default"/>
                <w:sz w:val="18"/>
                <w:szCs w:val="18"/>
              </w:rPr>
            </w:pPr>
            <w:r>
              <w:rPr>
                <w:rFonts w:ascii="Times New Roman"/>
                <w:spacing w:val="-1"/>
                <w:sz w:val="18"/>
              </w:rPr>
              <w:t>393,823,634.91</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z w:val="18"/>
              </w:rPr>
              <w:t>2.59%</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
              <w:jc w:val="right"/>
              <w:rPr>
                <w:rFonts w:ascii="Times New Roman" w:hAnsi="Times New Roman" w:cs="Times New Roman" w:eastAsia="Times New Roman" w:hint="default"/>
                <w:sz w:val="18"/>
                <w:szCs w:val="18"/>
              </w:rPr>
            </w:pPr>
            <w:r>
              <w:rPr>
                <w:rFonts w:ascii="Times New Roman"/>
                <w:sz w:val="18"/>
              </w:rPr>
              <w:t>0.89%</w:t>
            </w:r>
          </w:p>
        </w:tc>
        <w:tc>
          <w:tcPr>
            <w:tcW w:w="382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32"/>
              <w:ind w:right="32"/>
              <w:jc w:val="left"/>
              <w:rPr>
                <w:rFonts w:ascii="宋体" w:hAnsi="宋体" w:cs="宋体" w:eastAsia="宋体" w:hint="default"/>
                <w:sz w:val="18"/>
                <w:szCs w:val="18"/>
              </w:rPr>
            </w:pPr>
            <w:r>
              <w:rPr>
                <w:rFonts w:ascii="宋体" w:hAnsi="宋体" w:cs="宋体" w:eastAsia="宋体" w:hint="default"/>
                <w:sz w:val="18"/>
                <w:szCs w:val="18"/>
              </w:rPr>
              <w:t>主要是本报告期圣非凡业务补偿转入的其他资本 公积增加所致</w:t>
            </w:r>
          </w:p>
        </w:tc>
      </w:tr>
      <w:tr>
        <w:trPr>
          <w:trHeight w:val="674"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3"/>
              <w:jc w:val="right"/>
              <w:rPr>
                <w:rFonts w:ascii="Times New Roman" w:hAnsi="Times New Roman" w:cs="Times New Roman" w:eastAsia="Times New Roman" w:hint="default"/>
                <w:sz w:val="18"/>
                <w:szCs w:val="18"/>
              </w:rPr>
            </w:pPr>
            <w:r>
              <w:rPr>
                <w:rFonts w:ascii="Times New Roman"/>
                <w:spacing w:val="-1"/>
                <w:sz w:val="18"/>
              </w:rPr>
              <w:t>88,764,092.23</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z w:val="18"/>
              </w:rPr>
              <w:t>0.55%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1,219,420,299.88</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z w:val="18"/>
              </w:rPr>
              <w:t>8.02%</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2"/>
              <w:jc w:val="right"/>
              <w:rPr>
                <w:rFonts w:ascii="Times New Roman" w:hAnsi="Times New Roman" w:cs="Times New Roman" w:eastAsia="Times New Roman" w:hint="default"/>
                <w:sz w:val="18"/>
                <w:szCs w:val="18"/>
              </w:rPr>
            </w:pPr>
            <w:r>
              <w:rPr>
                <w:rFonts w:ascii="Times New Roman"/>
                <w:sz w:val="18"/>
              </w:rPr>
              <w:t>-7.47%</w:t>
            </w:r>
          </w:p>
        </w:tc>
        <w:tc>
          <w:tcPr>
            <w:tcW w:w="382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31"/>
              <w:ind w:right="32"/>
              <w:jc w:val="left"/>
              <w:rPr>
                <w:rFonts w:ascii="宋体" w:hAnsi="宋体" w:cs="宋体" w:eastAsia="宋体" w:hint="default"/>
                <w:sz w:val="18"/>
                <w:szCs w:val="18"/>
              </w:rPr>
            </w:pPr>
            <w:r>
              <w:rPr>
                <w:rFonts w:ascii="宋体" w:hAnsi="宋体" w:cs="宋体" w:eastAsia="宋体" w:hint="default"/>
                <w:sz w:val="18"/>
                <w:szCs w:val="18"/>
              </w:rPr>
              <w:t>主要是处置了部分金融资产转出公允价值变动损 益所致</w:t>
            </w:r>
          </w:p>
        </w:tc>
      </w:tr>
      <w:tr>
        <w:trPr>
          <w:trHeight w:val="673"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3"/>
              <w:jc w:val="right"/>
              <w:rPr>
                <w:rFonts w:ascii="Times New Roman" w:hAnsi="Times New Roman" w:cs="Times New Roman" w:eastAsia="Times New Roman" w:hint="default"/>
                <w:sz w:val="18"/>
                <w:szCs w:val="18"/>
              </w:rPr>
            </w:pPr>
            <w:r>
              <w:rPr>
                <w:rFonts w:ascii="Times New Roman"/>
                <w:spacing w:val="-1"/>
                <w:sz w:val="18"/>
              </w:rPr>
              <w:t>1,235,782.10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z w:val="18"/>
              </w:rPr>
              <w:t>0.01%</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3"/>
              <w:jc w:val="right"/>
              <w:rPr>
                <w:rFonts w:ascii="Times New Roman" w:hAnsi="Times New Roman" w:cs="Times New Roman" w:eastAsia="Times New Roman" w:hint="default"/>
                <w:sz w:val="18"/>
                <w:szCs w:val="18"/>
              </w:rPr>
            </w:pPr>
            <w:r>
              <w:rPr>
                <w:rFonts w:ascii="Times New Roman"/>
                <w:spacing w:val="-1"/>
                <w:sz w:val="18"/>
              </w:rPr>
              <w:t>3,746,671.08</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z w:val="18"/>
              </w:rPr>
              <w:t>0.02%</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2"/>
              <w:jc w:val="right"/>
              <w:rPr>
                <w:rFonts w:ascii="Times New Roman" w:hAnsi="Times New Roman" w:cs="Times New Roman" w:eastAsia="Times New Roman" w:hint="default"/>
                <w:sz w:val="18"/>
                <w:szCs w:val="18"/>
              </w:rPr>
            </w:pPr>
            <w:r>
              <w:rPr>
                <w:rFonts w:ascii="Times New Roman"/>
                <w:sz w:val="18"/>
              </w:rPr>
              <w:t>-0.01%</w:t>
            </w:r>
          </w:p>
        </w:tc>
        <w:tc>
          <w:tcPr>
            <w:tcW w:w="382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31"/>
              <w:ind w:right="32"/>
              <w:jc w:val="left"/>
              <w:rPr>
                <w:rFonts w:ascii="宋体" w:hAnsi="宋体" w:cs="宋体" w:eastAsia="宋体" w:hint="default"/>
                <w:sz w:val="18"/>
                <w:szCs w:val="18"/>
              </w:rPr>
            </w:pPr>
            <w:r>
              <w:rPr>
                <w:rFonts w:ascii="宋体" w:hAnsi="宋体" w:cs="宋体" w:eastAsia="宋体" w:hint="default"/>
                <w:sz w:val="18"/>
                <w:szCs w:val="18"/>
              </w:rPr>
              <w:t>主要是下属子公司使用了专项储备安全生产费所 致</w:t>
            </w:r>
          </w:p>
        </w:tc>
      </w:tr>
      <w:tr>
        <w:trPr>
          <w:trHeight w:val="674"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1"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2,417,354,105.06</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2"/>
                <w:sz w:val="18"/>
              </w:rPr>
              <w:t>15.11%</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1,829,793,778.08</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z w:val="18"/>
              </w:rPr>
              <w:t>12.04%</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
              <w:jc w:val="right"/>
              <w:rPr>
                <w:rFonts w:ascii="Times New Roman" w:hAnsi="Times New Roman" w:cs="Times New Roman" w:eastAsia="Times New Roman" w:hint="default"/>
                <w:sz w:val="18"/>
                <w:szCs w:val="18"/>
              </w:rPr>
            </w:pPr>
            <w:r>
              <w:rPr>
                <w:rFonts w:ascii="Times New Roman"/>
                <w:sz w:val="18"/>
              </w:rPr>
              <w:t>3.07%</w:t>
            </w:r>
          </w:p>
        </w:tc>
        <w:tc>
          <w:tcPr>
            <w:tcW w:w="382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32"/>
              <w:ind w:right="32"/>
              <w:jc w:val="left"/>
              <w:rPr>
                <w:rFonts w:ascii="宋体" w:hAnsi="宋体" w:cs="宋体" w:eastAsia="宋体" w:hint="default"/>
                <w:sz w:val="18"/>
                <w:szCs w:val="18"/>
              </w:rPr>
            </w:pPr>
            <w:r>
              <w:rPr>
                <w:rFonts w:ascii="宋体" w:hAnsi="宋体" w:cs="宋体" w:eastAsia="宋体" w:hint="default"/>
                <w:sz w:val="18"/>
                <w:szCs w:val="18"/>
              </w:rPr>
              <w:t>主要是本报告期产业收入增加以及处置金融资产 收益增加导致净利润增加所致</w:t>
            </w:r>
          </w:p>
        </w:tc>
      </w:tr>
      <w:tr>
        <w:trPr>
          <w:trHeight w:val="674"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3"/>
              <w:jc w:val="right"/>
              <w:rPr>
                <w:rFonts w:ascii="Times New Roman" w:hAnsi="Times New Roman" w:cs="Times New Roman" w:eastAsia="Times New Roman" w:hint="default"/>
                <w:sz w:val="18"/>
                <w:szCs w:val="18"/>
              </w:rPr>
            </w:pPr>
            <w:r>
              <w:rPr>
                <w:rFonts w:ascii="Times New Roman"/>
                <w:spacing w:val="-1"/>
                <w:sz w:val="18"/>
              </w:rPr>
              <w:t>409,942,146.60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z w:val="18"/>
              </w:rPr>
              <w:t>2.56%</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3"/>
              <w:jc w:val="right"/>
              <w:rPr>
                <w:rFonts w:ascii="Times New Roman" w:hAnsi="Times New Roman" w:cs="Times New Roman" w:eastAsia="Times New Roman" w:hint="default"/>
                <w:sz w:val="18"/>
                <w:szCs w:val="18"/>
              </w:rPr>
            </w:pPr>
            <w:r>
              <w:rPr>
                <w:rFonts w:ascii="Times New Roman"/>
                <w:spacing w:val="-1"/>
                <w:sz w:val="18"/>
              </w:rPr>
              <w:t>884,244,516.08</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z w:val="18"/>
              </w:rPr>
              <w:t>5.82%</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2"/>
              <w:jc w:val="right"/>
              <w:rPr>
                <w:rFonts w:ascii="Times New Roman" w:hAnsi="Times New Roman" w:cs="Times New Roman" w:eastAsia="Times New Roman" w:hint="default"/>
                <w:sz w:val="18"/>
                <w:szCs w:val="18"/>
              </w:rPr>
            </w:pPr>
            <w:r>
              <w:rPr>
                <w:rFonts w:ascii="Times New Roman"/>
                <w:sz w:val="18"/>
              </w:rPr>
              <w:t>-3.26%</w:t>
            </w:r>
          </w:p>
        </w:tc>
        <w:tc>
          <w:tcPr>
            <w:tcW w:w="382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31"/>
              <w:ind w:right="32"/>
              <w:jc w:val="left"/>
              <w:rPr>
                <w:rFonts w:ascii="宋体" w:hAnsi="宋体" w:cs="宋体" w:eastAsia="宋体" w:hint="default"/>
                <w:sz w:val="18"/>
                <w:szCs w:val="18"/>
              </w:rPr>
            </w:pPr>
            <w:r>
              <w:rPr>
                <w:rFonts w:ascii="宋体" w:hAnsi="宋体" w:cs="宋体" w:eastAsia="宋体" w:hint="default"/>
                <w:sz w:val="18"/>
                <w:szCs w:val="18"/>
              </w:rPr>
              <w:t>主要是下属子公司收购了少数股东股权，转出少 数股东权益所致</w:t>
            </w:r>
          </w:p>
        </w:tc>
      </w:tr>
    </w:tbl>
    <w:p>
      <w:pPr>
        <w:pStyle w:val="Heading4"/>
        <w:spacing w:line="240" w:lineRule="auto" w:before="81"/>
        <w:ind w:left="674" w:right="5"/>
        <w:jc w:val="left"/>
        <w:rPr>
          <w:b w:val="0"/>
          <w:bCs w:val="0"/>
        </w:rPr>
      </w:pPr>
      <w:r>
        <w:rPr>
          <w:rFonts w:ascii="Times New Roman" w:hAnsi="Times New Roman" w:cs="Times New Roman" w:eastAsia="Times New Roman" w:hint="default"/>
        </w:rPr>
        <w:t>2</w:t>
      </w:r>
      <w:r>
        <w:rPr/>
        <w:t>、以公允价值计量的资产和负债</w:t>
      </w:r>
      <w:r>
        <w:rPr>
          <w:b w:val="0"/>
          <w:bCs w:val="0"/>
        </w:rPr>
      </w:r>
    </w:p>
    <w:p>
      <w:pPr>
        <w:spacing w:line="240" w:lineRule="auto" w:before="2"/>
        <w:rPr>
          <w:rFonts w:ascii="宋体" w:hAnsi="宋体" w:cs="宋体" w:eastAsia="宋体" w:hint="default"/>
          <w:b/>
          <w:bCs/>
          <w:sz w:val="8"/>
          <w:szCs w:val="8"/>
        </w:rPr>
      </w:pPr>
    </w:p>
    <w:p>
      <w:pPr>
        <w:spacing w:before="44"/>
        <w:ind w:left="674" w:right="5"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before="116"/>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33" w:type="dxa"/>
        <w:tblLayout w:type="fixed"/>
        <w:tblCellMar>
          <w:top w:w="0" w:type="dxa"/>
          <w:left w:w="0" w:type="dxa"/>
          <w:bottom w:w="0" w:type="dxa"/>
          <w:right w:w="0" w:type="dxa"/>
        </w:tblCellMar>
        <w:tblLook w:val="01E0"/>
      </w:tblPr>
      <w:tblGrid>
        <w:gridCol w:w="1927"/>
        <w:gridCol w:w="1546"/>
        <w:gridCol w:w="1213"/>
        <w:gridCol w:w="1561"/>
        <w:gridCol w:w="810"/>
        <w:gridCol w:w="810"/>
        <w:gridCol w:w="1361"/>
        <w:gridCol w:w="1480"/>
      </w:tblGrid>
      <w:tr>
        <w:trPr>
          <w:trHeight w:val="674" w:hRule="exact"/>
        </w:trPr>
        <w:tc>
          <w:tcPr>
            <w:tcW w:w="19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4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497" w:right="0"/>
              <w:jc w:val="left"/>
              <w:rPr>
                <w:rFonts w:ascii="宋体" w:hAnsi="宋体" w:cs="宋体" w:eastAsia="宋体" w:hint="default"/>
                <w:sz w:val="18"/>
                <w:szCs w:val="18"/>
              </w:rPr>
            </w:pPr>
            <w:r>
              <w:rPr>
                <w:rFonts w:ascii="宋体" w:hAnsi="宋体" w:cs="宋体" w:eastAsia="宋体" w:hint="default"/>
                <w:sz w:val="18"/>
                <w:szCs w:val="18"/>
              </w:rPr>
              <w:t>期初数</w:t>
            </w:r>
          </w:p>
        </w:tc>
        <w:tc>
          <w:tcPr>
            <w:tcW w:w="121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31"/>
              <w:ind w:left="242" w:right="59" w:hanging="180"/>
              <w:jc w:val="left"/>
              <w:rPr>
                <w:rFonts w:ascii="宋体" w:hAnsi="宋体" w:cs="宋体" w:eastAsia="宋体" w:hint="default"/>
                <w:sz w:val="18"/>
                <w:szCs w:val="18"/>
              </w:rPr>
            </w:pPr>
            <w:r>
              <w:rPr>
                <w:rFonts w:ascii="宋体" w:hAnsi="宋体" w:cs="宋体" w:eastAsia="宋体" w:hint="default"/>
                <w:sz w:val="18"/>
                <w:szCs w:val="18"/>
              </w:rPr>
              <w:t>本期公允价值 变动损益</w:t>
            </w:r>
          </w:p>
        </w:tc>
        <w:tc>
          <w:tcPr>
            <w:tcW w:w="156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31"/>
              <w:ind w:left="325" w:right="54" w:hanging="270"/>
              <w:jc w:val="left"/>
              <w:rPr>
                <w:rFonts w:ascii="宋体" w:hAnsi="宋体" w:cs="宋体" w:eastAsia="宋体" w:hint="default"/>
                <w:sz w:val="18"/>
                <w:szCs w:val="18"/>
              </w:rPr>
            </w:pPr>
            <w:r>
              <w:rPr>
                <w:rFonts w:ascii="宋体" w:hAnsi="宋体" w:cs="宋体" w:eastAsia="宋体" w:hint="default"/>
                <w:sz w:val="18"/>
                <w:szCs w:val="18"/>
              </w:rPr>
              <w:t>计入权益的累计公 允价值变动</w:t>
            </w:r>
          </w:p>
        </w:tc>
        <w:tc>
          <w:tcPr>
            <w:tcW w:w="81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31"/>
              <w:ind w:left="129" w:right="38" w:hanging="90"/>
              <w:jc w:val="left"/>
              <w:rPr>
                <w:rFonts w:ascii="宋体" w:hAnsi="宋体" w:cs="宋体" w:eastAsia="宋体" w:hint="default"/>
                <w:sz w:val="18"/>
                <w:szCs w:val="18"/>
              </w:rPr>
            </w:pPr>
            <w:r>
              <w:rPr>
                <w:rFonts w:ascii="宋体" w:hAnsi="宋体" w:cs="宋体" w:eastAsia="宋体" w:hint="default"/>
                <w:sz w:val="18"/>
                <w:szCs w:val="18"/>
              </w:rPr>
              <w:t>本期计提 的减值</w:t>
            </w:r>
          </w:p>
        </w:tc>
        <w:tc>
          <w:tcPr>
            <w:tcW w:w="81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31"/>
              <w:ind w:left="219" w:right="38" w:hanging="180"/>
              <w:jc w:val="left"/>
              <w:rPr>
                <w:rFonts w:ascii="宋体" w:hAnsi="宋体" w:cs="宋体" w:eastAsia="宋体" w:hint="default"/>
                <w:sz w:val="18"/>
                <w:szCs w:val="18"/>
              </w:rPr>
            </w:pPr>
            <w:r>
              <w:rPr>
                <w:rFonts w:ascii="宋体" w:hAnsi="宋体" w:cs="宋体" w:eastAsia="宋体" w:hint="default"/>
                <w:sz w:val="18"/>
                <w:szCs w:val="18"/>
              </w:rPr>
              <w:t>本期购买 金额</w:t>
            </w:r>
          </w:p>
        </w:tc>
        <w:tc>
          <w:tcPr>
            <w:tcW w:w="136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35" w:right="0"/>
              <w:jc w:val="left"/>
              <w:rPr>
                <w:rFonts w:ascii="宋体" w:hAnsi="宋体" w:cs="宋体" w:eastAsia="宋体" w:hint="default"/>
                <w:sz w:val="18"/>
                <w:szCs w:val="18"/>
              </w:rPr>
            </w:pPr>
            <w:r>
              <w:rPr>
                <w:rFonts w:ascii="宋体" w:hAnsi="宋体" w:cs="宋体" w:eastAsia="宋体" w:hint="default"/>
                <w:sz w:val="18"/>
                <w:szCs w:val="18"/>
              </w:rPr>
              <w:t>本期出售金额</w:t>
            </w:r>
          </w:p>
        </w:tc>
        <w:tc>
          <w:tcPr>
            <w:tcW w:w="14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464" w:right="0"/>
              <w:jc w:val="left"/>
              <w:rPr>
                <w:rFonts w:ascii="宋体" w:hAnsi="宋体" w:cs="宋体" w:eastAsia="宋体" w:hint="default"/>
                <w:sz w:val="18"/>
                <w:szCs w:val="18"/>
              </w:rPr>
            </w:pPr>
            <w:r>
              <w:rPr>
                <w:rFonts w:ascii="宋体" w:hAnsi="宋体" w:cs="宋体" w:eastAsia="宋体" w:hint="default"/>
                <w:sz w:val="18"/>
                <w:szCs w:val="18"/>
              </w:rPr>
              <w:t>期末数</w:t>
            </w:r>
          </w:p>
        </w:tc>
      </w:tr>
      <w:tr>
        <w:trPr>
          <w:trHeight w:val="362" w:hRule="exact"/>
        </w:trPr>
        <w:tc>
          <w:tcPr>
            <w:tcW w:w="19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金融资产</w:t>
            </w:r>
          </w:p>
        </w:tc>
        <w:tc>
          <w:tcPr>
            <w:tcW w:w="8780" w:type="dxa"/>
            <w:gridSpan w:val="7"/>
            <w:tcBorders>
              <w:top w:val="single" w:sz="4" w:space="0" w:color="000000"/>
              <w:left w:val="single" w:sz="4" w:space="0" w:color="000000"/>
              <w:bottom w:val="single" w:sz="4" w:space="0" w:color="000000"/>
              <w:right w:val="single" w:sz="4" w:space="0" w:color="000000"/>
            </w:tcBorders>
            <w:shd w:val="clear" w:color="auto" w:fill="D3D3D3"/>
          </w:tcPr>
          <w:p>
            <w:pPr/>
          </w:p>
        </w:tc>
      </w:tr>
      <w:tr>
        <w:trPr>
          <w:trHeight w:val="362" w:hRule="exact"/>
        </w:trPr>
        <w:tc>
          <w:tcPr>
            <w:tcW w:w="19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衍生金融资产</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18"/>
                <w:szCs w:val="18"/>
              </w:rPr>
            </w:pPr>
            <w:r>
              <w:rPr>
                <w:rFonts w:ascii="Times New Roman"/>
                <w:spacing w:val="-1"/>
                <w:sz w:val="18"/>
              </w:rPr>
              <w:t>16,718,200.00</w:t>
            </w:r>
          </w:p>
        </w:tc>
        <w:tc>
          <w:tcPr>
            <w:tcW w:w="1213" w:type="dxa"/>
            <w:tcBorders>
              <w:top w:val="single" w:sz="4" w:space="0" w:color="000000"/>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
        </w:tc>
        <w:tc>
          <w:tcPr>
            <w:tcW w:w="810" w:type="dxa"/>
            <w:tcBorders>
              <w:top w:val="single" w:sz="4" w:space="0" w:color="000000"/>
              <w:left w:val="single" w:sz="4" w:space="0" w:color="000000"/>
              <w:bottom w:val="single" w:sz="4" w:space="0" w:color="000000"/>
              <w:right w:val="single" w:sz="4" w:space="0" w:color="000000"/>
            </w:tcBorders>
          </w:tcPr>
          <w:p>
            <w:pPr/>
          </w:p>
        </w:tc>
        <w:tc>
          <w:tcPr>
            <w:tcW w:w="810" w:type="dxa"/>
            <w:tcBorders>
              <w:top w:val="single" w:sz="4" w:space="0" w:color="000000"/>
              <w:left w:val="single" w:sz="4" w:space="0" w:color="000000"/>
              <w:bottom w:val="single" w:sz="4" w:space="0" w:color="000000"/>
              <w:right w:val="single" w:sz="4" w:space="0" w:color="000000"/>
            </w:tcBorders>
          </w:tcPr>
          <w:p>
            <w:pPr/>
          </w:p>
        </w:tc>
        <w:tc>
          <w:tcPr>
            <w:tcW w:w="1361" w:type="dxa"/>
            <w:tcBorders>
              <w:top w:val="single" w:sz="4" w:space="0" w:color="000000"/>
              <w:left w:val="single" w:sz="4" w:space="0" w:color="000000"/>
              <w:bottom w:val="single" w:sz="4" w:space="0" w:color="000000"/>
              <w:right w:val="single" w:sz="4" w:space="0" w:color="000000"/>
            </w:tcBorders>
          </w:tcPr>
          <w:p>
            <w:pPr/>
          </w:p>
        </w:tc>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0"/>
              <w:jc w:val="right"/>
              <w:rPr>
                <w:rFonts w:ascii="Times New Roman" w:hAnsi="Times New Roman" w:cs="Times New Roman" w:eastAsia="Times New Roman" w:hint="default"/>
                <w:sz w:val="18"/>
                <w:szCs w:val="18"/>
              </w:rPr>
            </w:pPr>
            <w:r>
              <w:rPr>
                <w:rFonts w:ascii="Times New Roman"/>
                <w:spacing w:val="-1"/>
                <w:sz w:val="18"/>
              </w:rPr>
              <w:t>17,524,000.00</w:t>
            </w:r>
          </w:p>
        </w:tc>
      </w:tr>
      <w:tr>
        <w:trPr>
          <w:trHeight w:val="361" w:hRule="exact"/>
        </w:trPr>
        <w:tc>
          <w:tcPr>
            <w:tcW w:w="19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可供出售金融资产</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1"/>
              <w:jc w:val="right"/>
              <w:rPr>
                <w:rFonts w:ascii="Times New Roman" w:hAnsi="Times New Roman" w:cs="Times New Roman" w:eastAsia="Times New Roman" w:hint="default"/>
                <w:sz w:val="18"/>
                <w:szCs w:val="18"/>
              </w:rPr>
            </w:pPr>
            <w:r>
              <w:rPr>
                <w:rFonts w:ascii="Times New Roman"/>
                <w:spacing w:val="-1"/>
                <w:sz w:val="18"/>
              </w:rPr>
              <w:t>1,723,488,524.69</w:t>
            </w:r>
          </w:p>
        </w:tc>
        <w:tc>
          <w:tcPr>
            <w:tcW w:w="1213" w:type="dxa"/>
            <w:tcBorders>
              <w:top w:val="single" w:sz="4" w:space="0" w:color="000000"/>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0"/>
              <w:jc w:val="right"/>
              <w:rPr>
                <w:rFonts w:ascii="Times New Roman" w:hAnsi="Times New Roman" w:cs="Times New Roman" w:eastAsia="Times New Roman" w:hint="default"/>
                <w:sz w:val="18"/>
                <w:szCs w:val="18"/>
              </w:rPr>
            </w:pPr>
            <w:r>
              <w:rPr>
                <w:rFonts w:ascii="Times New Roman"/>
                <w:spacing w:val="-1"/>
                <w:sz w:val="18"/>
              </w:rPr>
              <w:t>151,890,338.89</w:t>
            </w:r>
          </w:p>
        </w:tc>
        <w:tc>
          <w:tcPr>
            <w:tcW w:w="810" w:type="dxa"/>
            <w:tcBorders>
              <w:top w:val="single" w:sz="4" w:space="0" w:color="000000"/>
              <w:left w:val="single" w:sz="4" w:space="0" w:color="000000"/>
              <w:bottom w:val="single" w:sz="4" w:space="0" w:color="000000"/>
              <w:right w:val="single" w:sz="4" w:space="0" w:color="000000"/>
            </w:tcBorders>
          </w:tcPr>
          <w:p>
            <w:pPr/>
          </w:p>
        </w:tc>
        <w:tc>
          <w:tcPr>
            <w:tcW w:w="810" w:type="dxa"/>
            <w:tcBorders>
              <w:top w:val="single" w:sz="4" w:space="0" w:color="000000"/>
              <w:left w:val="single" w:sz="4" w:space="0" w:color="000000"/>
              <w:bottom w:val="single" w:sz="4" w:space="0" w:color="000000"/>
              <w:right w:val="single" w:sz="4" w:space="0" w:color="000000"/>
            </w:tcBorders>
          </w:tcPr>
          <w:p>
            <w:pP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204" w:right="0"/>
              <w:jc w:val="left"/>
              <w:rPr>
                <w:rFonts w:ascii="Times New Roman" w:hAnsi="Times New Roman" w:cs="Times New Roman" w:eastAsia="Times New Roman" w:hint="default"/>
                <w:sz w:val="18"/>
                <w:szCs w:val="18"/>
              </w:rPr>
            </w:pPr>
            <w:r>
              <w:rPr>
                <w:rFonts w:ascii="Times New Roman"/>
                <w:sz w:val="18"/>
              </w:rPr>
              <w:t>993,877,109.35</w:t>
            </w:r>
          </w:p>
        </w:tc>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0"/>
              <w:jc w:val="right"/>
              <w:rPr>
                <w:rFonts w:ascii="Times New Roman" w:hAnsi="Times New Roman" w:cs="Times New Roman" w:eastAsia="Times New Roman" w:hint="default"/>
                <w:sz w:val="18"/>
                <w:szCs w:val="18"/>
              </w:rPr>
            </w:pPr>
            <w:r>
              <w:rPr>
                <w:rFonts w:ascii="Times New Roman"/>
                <w:spacing w:val="-1"/>
                <w:sz w:val="18"/>
              </w:rPr>
              <w:t>229,069,710.42</w:t>
            </w:r>
          </w:p>
        </w:tc>
      </w:tr>
      <w:tr>
        <w:trPr>
          <w:trHeight w:val="362" w:hRule="exact"/>
        </w:trPr>
        <w:tc>
          <w:tcPr>
            <w:tcW w:w="19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金融资产小计</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21"/>
              <w:jc w:val="right"/>
              <w:rPr>
                <w:rFonts w:ascii="Times New Roman" w:hAnsi="Times New Roman" w:cs="Times New Roman" w:eastAsia="Times New Roman" w:hint="default"/>
                <w:sz w:val="18"/>
                <w:szCs w:val="18"/>
              </w:rPr>
            </w:pPr>
            <w:r>
              <w:rPr>
                <w:rFonts w:ascii="Times New Roman"/>
                <w:spacing w:val="-1"/>
                <w:sz w:val="18"/>
              </w:rPr>
              <w:t>1,740,206,724.69</w:t>
            </w:r>
          </w:p>
        </w:tc>
        <w:tc>
          <w:tcPr>
            <w:tcW w:w="1213" w:type="dxa"/>
            <w:tcBorders>
              <w:top w:val="single" w:sz="4" w:space="0" w:color="000000"/>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20"/>
              <w:jc w:val="right"/>
              <w:rPr>
                <w:rFonts w:ascii="Times New Roman" w:hAnsi="Times New Roman" w:cs="Times New Roman" w:eastAsia="Times New Roman" w:hint="default"/>
                <w:sz w:val="18"/>
                <w:szCs w:val="18"/>
              </w:rPr>
            </w:pPr>
            <w:r>
              <w:rPr>
                <w:rFonts w:ascii="Times New Roman"/>
                <w:spacing w:val="-1"/>
                <w:sz w:val="18"/>
              </w:rPr>
              <w:t>151,890,338.89</w:t>
            </w:r>
          </w:p>
        </w:tc>
        <w:tc>
          <w:tcPr>
            <w:tcW w:w="810" w:type="dxa"/>
            <w:tcBorders>
              <w:top w:val="single" w:sz="4" w:space="0" w:color="000000"/>
              <w:left w:val="single" w:sz="4" w:space="0" w:color="000000"/>
              <w:bottom w:val="single" w:sz="4" w:space="0" w:color="000000"/>
              <w:right w:val="single" w:sz="4" w:space="0" w:color="000000"/>
            </w:tcBorders>
          </w:tcPr>
          <w:p>
            <w:pPr/>
          </w:p>
        </w:tc>
        <w:tc>
          <w:tcPr>
            <w:tcW w:w="810" w:type="dxa"/>
            <w:tcBorders>
              <w:top w:val="single" w:sz="4" w:space="0" w:color="000000"/>
              <w:left w:val="single" w:sz="4" w:space="0" w:color="000000"/>
              <w:bottom w:val="single" w:sz="4" w:space="0" w:color="000000"/>
              <w:right w:val="single" w:sz="4" w:space="0" w:color="000000"/>
            </w:tcBorders>
          </w:tcPr>
          <w:p>
            <w:pP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left="204" w:right="0"/>
              <w:jc w:val="left"/>
              <w:rPr>
                <w:rFonts w:ascii="Times New Roman" w:hAnsi="Times New Roman" w:cs="Times New Roman" w:eastAsia="Times New Roman" w:hint="default"/>
                <w:sz w:val="18"/>
                <w:szCs w:val="18"/>
              </w:rPr>
            </w:pPr>
            <w:r>
              <w:rPr>
                <w:rFonts w:ascii="Times New Roman"/>
                <w:sz w:val="18"/>
              </w:rPr>
              <w:t>993,877,109.35</w:t>
            </w:r>
          </w:p>
        </w:tc>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20"/>
              <w:jc w:val="right"/>
              <w:rPr>
                <w:rFonts w:ascii="Times New Roman" w:hAnsi="Times New Roman" w:cs="Times New Roman" w:eastAsia="Times New Roman" w:hint="default"/>
                <w:sz w:val="18"/>
                <w:szCs w:val="18"/>
              </w:rPr>
            </w:pPr>
            <w:r>
              <w:rPr>
                <w:rFonts w:ascii="Times New Roman"/>
                <w:spacing w:val="-1"/>
                <w:sz w:val="18"/>
              </w:rPr>
              <w:t>246,593,710.42</w:t>
            </w:r>
          </w:p>
        </w:tc>
      </w:tr>
      <w:tr>
        <w:trPr>
          <w:trHeight w:val="362" w:hRule="exact"/>
        </w:trPr>
        <w:tc>
          <w:tcPr>
            <w:tcW w:w="19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上述合计</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1"/>
              <w:jc w:val="right"/>
              <w:rPr>
                <w:rFonts w:ascii="Times New Roman" w:hAnsi="Times New Roman" w:cs="Times New Roman" w:eastAsia="Times New Roman" w:hint="default"/>
                <w:sz w:val="18"/>
                <w:szCs w:val="18"/>
              </w:rPr>
            </w:pPr>
            <w:r>
              <w:rPr>
                <w:rFonts w:ascii="Times New Roman"/>
                <w:spacing w:val="-1"/>
                <w:sz w:val="18"/>
              </w:rPr>
              <w:t>1,740,206,724.69</w:t>
            </w:r>
          </w:p>
        </w:tc>
        <w:tc>
          <w:tcPr>
            <w:tcW w:w="1213" w:type="dxa"/>
            <w:tcBorders>
              <w:top w:val="single" w:sz="4" w:space="0" w:color="000000"/>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0"/>
              <w:jc w:val="right"/>
              <w:rPr>
                <w:rFonts w:ascii="Times New Roman" w:hAnsi="Times New Roman" w:cs="Times New Roman" w:eastAsia="Times New Roman" w:hint="default"/>
                <w:sz w:val="18"/>
                <w:szCs w:val="18"/>
              </w:rPr>
            </w:pPr>
            <w:r>
              <w:rPr>
                <w:rFonts w:ascii="Times New Roman"/>
                <w:spacing w:val="-1"/>
                <w:sz w:val="18"/>
              </w:rPr>
              <w:t>151,890,338.89</w:t>
            </w:r>
          </w:p>
        </w:tc>
        <w:tc>
          <w:tcPr>
            <w:tcW w:w="810" w:type="dxa"/>
            <w:tcBorders>
              <w:top w:val="single" w:sz="4" w:space="0" w:color="000000"/>
              <w:left w:val="single" w:sz="4" w:space="0" w:color="000000"/>
              <w:bottom w:val="single" w:sz="4" w:space="0" w:color="000000"/>
              <w:right w:val="single" w:sz="4" w:space="0" w:color="000000"/>
            </w:tcBorders>
          </w:tcPr>
          <w:p>
            <w:pPr/>
          </w:p>
        </w:tc>
        <w:tc>
          <w:tcPr>
            <w:tcW w:w="810" w:type="dxa"/>
            <w:tcBorders>
              <w:top w:val="single" w:sz="4" w:space="0" w:color="000000"/>
              <w:left w:val="single" w:sz="4" w:space="0" w:color="000000"/>
              <w:bottom w:val="single" w:sz="4" w:space="0" w:color="000000"/>
              <w:right w:val="single" w:sz="4" w:space="0" w:color="000000"/>
            </w:tcBorders>
          </w:tcPr>
          <w:p>
            <w:pP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204" w:right="0"/>
              <w:jc w:val="left"/>
              <w:rPr>
                <w:rFonts w:ascii="Times New Roman" w:hAnsi="Times New Roman" w:cs="Times New Roman" w:eastAsia="Times New Roman" w:hint="default"/>
                <w:sz w:val="18"/>
                <w:szCs w:val="18"/>
              </w:rPr>
            </w:pPr>
            <w:r>
              <w:rPr>
                <w:rFonts w:ascii="Times New Roman"/>
                <w:sz w:val="18"/>
              </w:rPr>
              <w:t>993,877,109.35</w:t>
            </w:r>
          </w:p>
        </w:tc>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0"/>
              <w:jc w:val="right"/>
              <w:rPr>
                <w:rFonts w:ascii="Times New Roman" w:hAnsi="Times New Roman" w:cs="Times New Roman" w:eastAsia="Times New Roman" w:hint="default"/>
                <w:sz w:val="18"/>
                <w:szCs w:val="18"/>
              </w:rPr>
            </w:pPr>
            <w:r>
              <w:rPr>
                <w:rFonts w:ascii="Times New Roman"/>
                <w:spacing w:val="-1"/>
                <w:sz w:val="18"/>
              </w:rPr>
              <w:t>246,593,710.42</w:t>
            </w:r>
          </w:p>
        </w:tc>
      </w:tr>
      <w:tr>
        <w:trPr>
          <w:trHeight w:val="362" w:hRule="exact"/>
        </w:trPr>
        <w:tc>
          <w:tcPr>
            <w:tcW w:w="19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金融负债</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18"/>
                <w:szCs w:val="18"/>
              </w:rPr>
            </w:pPr>
            <w:r>
              <w:rPr>
                <w:rFonts w:ascii="Times New Roman"/>
                <w:sz w:val="18"/>
              </w:rPr>
              <w:t>0.00</w:t>
            </w:r>
          </w:p>
        </w:tc>
        <w:tc>
          <w:tcPr>
            <w:tcW w:w="1213" w:type="dxa"/>
            <w:tcBorders>
              <w:top w:val="single" w:sz="4" w:space="0" w:color="000000"/>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
        </w:tc>
        <w:tc>
          <w:tcPr>
            <w:tcW w:w="810" w:type="dxa"/>
            <w:tcBorders>
              <w:top w:val="single" w:sz="4" w:space="0" w:color="000000"/>
              <w:left w:val="single" w:sz="4" w:space="0" w:color="000000"/>
              <w:bottom w:val="single" w:sz="4" w:space="0" w:color="000000"/>
              <w:right w:val="single" w:sz="4" w:space="0" w:color="000000"/>
            </w:tcBorders>
          </w:tcPr>
          <w:p>
            <w:pPr/>
          </w:p>
        </w:tc>
        <w:tc>
          <w:tcPr>
            <w:tcW w:w="810" w:type="dxa"/>
            <w:tcBorders>
              <w:top w:val="single" w:sz="4" w:space="0" w:color="000000"/>
              <w:left w:val="single" w:sz="4" w:space="0" w:color="000000"/>
              <w:bottom w:val="single" w:sz="4" w:space="0" w:color="000000"/>
              <w:right w:val="single" w:sz="4" w:space="0" w:color="000000"/>
            </w:tcBorders>
          </w:tcPr>
          <w:p>
            <w:pPr/>
          </w:p>
        </w:tc>
        <w:tc>
          <w:tcPr>
            <w:tcW w:w="1361" w:type="dxa"/>
            <w:tcBorders>
              <w:top w:val="single" w:sz="4" w:space="0" w:color="000000"/>
              <w:left w:val="single" w:sz="4" w:space="0" w:color="000000"/>
              <w:bottom w:val="single" w:sz="4" w:space="0" w:color="000000"/>
              <w:right w:val="single" w:sz="4" w:space="0" w:color="000000"/>
            </w:tcBorders>
          </w:tcPr>
          <w:p>
            <w:pPr/>
          </w:p>
        </w:tc>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0"/>
              <w:jc w:val="right"/>
              <w:rPr>
                <w:rFonts w:ascii="Times New Roman" w:hAnsi="Times New Roman" w:cs="Times New Roman" w:eastAsia="Times New Roman" w:hint="default"/>
                <w:sz w:val="18"/>
                <w:szCs w:val="18"/>
              </w:rPr>
            </w:pPr>
            <w:r>
              <w:rPr>
                <w:rFonts w:ascii="Times New Roman"/>
                <w:sz w:val="18"/>
              </w:rPr>
              <w:t>0.00</w:t>
            </w:r>
          </w:p>
        </w:tc>
      </w:tr>
    </w:tbl>
    <w:p>
      <w:pPr>
        <w:spacing w:before="51"/>
        <w:ind w:left="674" w:right="5" w:firstLine="0"/>
        <w:jc w:val="left"/>
        <w:rPr>
          <w:rFonts w:ascii="宋体" w:hAnsi="宋体" w:cs="宋体" w:eastAsia="宋体" w:hint="default"/>
          <w:sz w:val="18"/>
          <w:szCs w:val="18"/>
        </w:rPr>
      </w:pPr>
      <w:r>
        <w:rPr>
          <w:rFonts w:ascii="宋体" w:hAnsi="宋体" w:cs="宋体" w:eastAsia="宋体" w:hint="default"/>
          <w:sz w:val="18"/>
          <w:szCs w:val="18"/>
        </w:rPr>
        <w:t>报告期内公司主要资产计量属性是否发生重大变化</w:t>
      </w:r>
    </w:p>
    <w:p>
      <w:pPr>
        <w:spacing w:before="116"/>
        <w:ind w:left="673" w:right="5" w:firstLine="0"/>
        <w:jc w:val="left"/>
        <w:rPr>
          <w:rFonts w:ascii="宋体" w:hAnsi="宋体" w:cs="宋体" w:eastAsia="宋体" w:hint="default"/>
          <w:sz w:val="18"/>
          <w:szCs w:val="18"/>
        </w:rPr>
      </w:pPr>
      <w:r>
        <w:rPr>
          <w:rFonts w:ascii="宋体" w:hAnsi="宋体" w:cs="宋体" w:eastAsia="宋体" w:hint="default"/>
          <w:sz w:val="18"/>
          <w:szCs w:val="18"/>
        </w:rPr>
        <w:t>□ 是 √ 否</w:t>
      </w:r>
    </w:p>
    <w:p>
      <w:pPr>
        <w:pStyle w:val="Heading4"/>
        <w:spacing w:line="240" w:lineRule="auto" w:before="146"/>
        <w:ind w:left="674" w:right="5"/>
        <w:jc w:val="left"/>
        <w:rPr>
          <w:b w:val="0"/>
          <w:bCs w:val="0"/>
        </w:rPr>
      </w:pPr>
      <w:r>
        <w:rPr>
          <w:rFonts w:ascii="Times New Roman" w:hAnsi="Times New Roman" w:cs="Times New Roman" w:eastAsia="Times New Roman" w:hint="default"/>
        </w:rPr>
        <w:t>3</w:t>
      </w:r>
      <w:r>
        <w:rPr/>
        <w:t>、截至报告期末的资产权利受限情况</w:t>
      </w:r>
      <w:r>
        <w:rPr>
          <w:b w:val="0"/>
          <w:bCs w:val="0"/>
        </w:rPr>
      </w:r>
    </w:p>
    <w:p>
      <w:pPr>
        <w:spacing w:line="240" w:lineRule="auto" w:before="12"/>
        <w:rPr>
          <w:rFonts w:ascii="宋体" w:hAnsi="宋体" w:cs="宋体" w:eastAsia="宋体" w:hint="default"/>
          <w:b/>
          <w:bCs/>
          <w:sz w:val="7"/>
          <w:szCs w:val="7"/>
        </w:rPr>
      </w:pPr>
    </w:p>
    <w:p>
      <w:pPr>
        <w:spacing w:before="44"/>
        <w:ind w:left="5963" w:right="4720" w:firstLine="0"/>
        <w:jc w:val="center"/>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3"/>
        <w:rPr>
          <w:rFonts w:ascii="宋体" w:hAnsi="宋体" w:cs="宋体" w:eastAsia="宋体" w:hint="default"/>
          <w:sz w:val="10"/>
          <w:szCs w:val="10"/>
        </w:rPr>
      </w:pPr>
    </w:p>
    <w:p>
      <w:pPr>
        <w:spacing w:line="3602" w:lineRule="exact"/>
        <w:ind w:left="674" w:right="0" w:firstLine="0"/>
        <w:rPr>
          <w:rFonts w:ascii="宋体" w:hAnsi="宋体" w:cs="宋体" w:eastAsia="宋体" w:hint="default"/>
          <w:sz w:val="20"/>
          <w:szCs w:val="20"/>
        </w:rPr>
      </w:pPr>
      <w:r>
        <w:rPr>
          <w:rFonts w:ascii="宋体" w:hAnsi="宋体" w:cs="宋体" w:eastAsia="宋体" w:hint="default"/>
          <w:position w:val="-71"/>
          <w:sz w:val="20"/>
          <w:szCs w:val="20"/>
        </w:rPr>
        <w:drawing>
          <wp:inline distT="0" distB="0" distL="0" distR="0">
            <wp:extent cx="3792474" cy="2287524"/>
            <wp:effectExtent l="0" t="0" r="0" b="0"/>
            <wp:docPr id="3" name="image3.png" descr=""/>
            <wp:cNvGraphicFramePr>
              <a:graphicFrameLocks noChangeAspect="1"/>
            </wp:cNvGraphicFramePr>
            <a:graphic>
              <a:graphicData uri="http://schemas.openxmlformats.org/drawingml/2006/picture">
                <pic:pic>
                  <pic:nvPicPr>
                    <pic:cNvPr id="4" name="image3.png"/>
                    <pic:cNvPicPr/>
                  </pic:nvPicPr>
                  <pic:blipFill>
                    <a:blip r:embed="rId12" cstate="print"/>
                    <a:stretch>
                      <a:fillRect/>
                    </a:stretch>
                  </pic:blipFill>
                  <pic:spPr>
                    <a:xfrm>
                      <a:off x="0" y="0"/>
                      <a:ext cx="3792474" cy="2287524"/>
                    </a:xfrm>
                    <a:prstGeom prst="rect">
                      <a:avLst/>
                    </a:prstGeom>
                  </pic:spPr>
                </pic:pic>
              </a:graphicData>
            </a:graphic>
          </wp:inline>
        </w:drawing>
      </w:r>
      <w:r>
        <w:rPr>
          <w:rFonts w:ascii="宋体" w:hAnsi="宋体" w:cs="宋体" w:eastAsia="宋体" w:hint="default"/>
          <w:position w:val="-71"/>
          <w:sz w:val="20"/>
          <w:szCs w:val="20"/>
        </w:rPr>
      </w:r>
    </w:p>
    <w:p>
      <w:pPr>
        <w:spacing w:after="0" w:line="3602" w:lineRule="exact"/>
        <w:rPr>
          <w:rFonts w:ascii="宋体" w:hAnsi="宋体" w:cs="宋体" w:eastAsia="宋体" w:hint="default"/>
          <w:sz w:val="20"/>
          <w:szCs w:val="20"/>
        </w:rPr>
        <w:sectPr>
          <w:pgSz w:w="11910" w:h="16840"/>
          <w:pgMar w:header="787" w:footer="982" w:top="1100" w:bottom="1180" w:left="460" w:right="0"/>
        </w:sectPr>
      </w:pPr>
    </w:p>
    <w:p>
      <w:pPr>
        <w:spacing w:line="240" w:lineRule="auto" w:before="5"/>
        <w:rPr>
          <w:rFonts w:ascii="宋体" w:hAnsi="宋体" w:cs="宋体" w:eastAsia="宋体" w:hint="default"/>
          <w:sz w:val="20"/>
          <w:szCs w:val="20"/>
        </w:rPr>
      </w:pPr>
      <w:r>
        <w:rPr/>
        <w:pict>
          <v:group style="position:absolute;margin-left:56.939999pt;margin-top:416.820007pt;width:70.4pt;height:15.6pt;mso-position-horizontal-relative:page;mso-position-vertical-relative:page;z-index:-1402624" coordorigin="1139,8336" coordsize="1408,312">
            <v:group style="position:absolute;left:1139;top:8336;width:1011;height:312" coordorigin="1139,8336" coordsize="1011,312">
              <v:shape style="position:absolute;left:1139;top:8336;width:1011;height:312" coordorigin="1139,8336" coordsize="1011,312" path="m1139,8648l2149,8648,2149,8336,1139,8336,1139,8648xe" filled="true" fillcolor="#ffffff" stroked="false">
                <v:path arrowok="t"/>
                <v:fill type="solid"/>
              </v:shape>
            </v:group>
            <v:group style="position:absolute;left:2159;top:8336;width:388;height:312" coordorigin="2159,8336" coordsize="388,312">
              <v:shape style="position:absolute;left:2159;top:8336;width:388;height:312" coordorigin="2159,8336" coordsize="388,312" path="m2159,8648l2546,8648,2546,8336,2159,8336,2159,8648xe" filled="true" fillcolor="#ffffff" stroked="false">
                <v:path arrowok="t"/>
                <v:fill type="solid"/>
              </v:shape>
            </v:group>
            <w10:wrap type="none"/>
          </v:group>
        </w:pict>
      </w:r>
      <w:r>
        <w:rPr/>
        <w:pict>
          <v:group style="position:absolute;margin-left:463.73999pt;margin-top:468.600006pt;width:44.9pt;height:31.2pt;mso-position-horizontal-relative:page;mso-position-vertical-relative:page;z-index:-1402600" coordorigin="9275,9372" coordsize="898,624">
            <v:shape style="position:absolute;left:9275;top:9372;width:898;height:624" coordorigin="9275,9372" coordsize="898,624" path="m9275,9996l10172,9996,10172,9372,9275,9372,9275,9996xe" filled="true" fillcolor="#ffffff" stroked="false">
              <v:path arrowok="t"/>
              <v:fill type="solid"/>
            </v:shape>
            <w10:wrap type="none"/>
          </v:group>
        </w:pict>
      </w:r>
    </w:p>
    <w:p>
      <w:pPr>
        <w:pStyle w:val="Heading4"/>
        <w:spacing w:line="240" w:lineRule="auto" w:before="26"/>
        <w:ind w:left="1074" w:right="1027"/>
        <w:jc w:val="left"/>
        <w:rPr>
          <w:b w:val="0"/>
          <w:bCs w:val="0"/>
        </w:rPr>
      </w:pPr>
      <w:r>
        <w:rPr/>
        <w:t>五、投资状况</w:t>
      </w:r>
      <w:r>
        <w:rPr>
          <w:b w:val="0"/>
          <w:bCs w:val="0"/>
        </w:rPr>
      </w:r>
    </w:p>
    <w:p>
      <w:pPr>
        <w:pStyle w:val="Heading5"/>
        <w:spacing w:line="240" w:lineRule="auto" w:before="202"/>
        <w:ind w:left="1074" w:right="1027"/>
        <w:jc w:val="left"/>
        <w:rPr>
          <w:b w:val="0"/>
          <w:bCs w:val="0"/>
        </w:rPr>
      </w:pPr>
      <w:r>
        <w:rPr>
          <w:rFonts w:ascii="Times New Roman" w:hAnsi="Times New Roman" w:cs="Times New Roman" w:eastAsia="Times New Roman" w:hint="default"/>
        </w:rPr>
        <w:t>1</w:t>
      </w:r>
      <w:r>
        <w:rPr/>
        <w:t>、总体情况</w:t>
      </w:r>
      <w:r>
        <w:rPr>
          <w:b w:val="0"/>
          <w:bCs w:val="0"/>
        </w:rPr>
      </w:r>
    </w:p>
    <w:p>
      <w:pPr>
        <w:spacing w:line="240" w:lineRule="auto" w:before="4"/>
        <w:rPr>
          <w:rFonts w:ascii="宋体" w:hAnsi="宋体" w:cs="宋体" w:eastAsia="宋体" w:hint="default"/>
          <w:b/>
          <w:bCs/>
          <w:sz w:val="17"/>
          <w:szCs w:val="17"/>
        </w:rPr>
      </w:pPr>
    </w:p>
    <w:p>
      <w:pPr>
        <w:spacing w:before="0"/>
        <w:ind w:left="1074" w:right="1027"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8"/>
        <w:rPr>
          <w:rFonts w:ascii="宋体" w:hAnsi="宋体" w:cs="宋体" w:eastAsia="宋体" w:hint="default"/>
          <w:sz w:val="6"/>
          <w:szCs w:val="6"/>
        </w:rPr>
      </w:pPr>
    </w:p>
    <w:tbl>
      <w:tblPr>
        <w:tblW w:w="0" w:type="auto"/>
        <w:jc w:val="left"/>
        <w:tblInd w:w="1102" w:type="dxa"/>
        <w:tblLayout w:type="fixed"/>
        <w:tblCellMar>
          <w:top w:w="0" w:type="dxa"/>
          <w:left w:w="0" w:type="dxa"/>
          <w:bottom w:w="0" w:type="dxa"/>
          <w:right w:w="0" w:type="dxa"/>
        </w:tblCellMar>
        <w:tblLook w:val="01E0"/>
      </w:tblPr>
      <w:tblGrid>
        <w:gridCol w:w="3188"/>
        <w:gridCol w:w="3190"/>
        <w:gridCol w:w="3192"/>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780" w:right="0"/>
              <w:jc w:val="left"/>
              <w:rPr>
                <w:rFonts w:ascii="宋体" w:hAnsi="宋体" w:cs="宋体" w:eastAsia="宋体" w:hint="default"/>
                <w:sz w:val="18"/>
                <w:szCs w:val="18"/>
              </w:rPr>
            </w:pPr>
            <w:r>
              <w:rPr>
                <w:rFonts w:ascii="宋体" w:hAnsi="宋体" w:cs="宋体" w:eastAsia="宋体" w:hint="default"/>
                <w:sz w:val="18"/>
                <w:szCs w:val="18"/>
              </w:rPr>
              <w:t>报告期投资额（元）</w:t>
            </w:r>
          </w:p>
        </w:tc>
        <w:tc>
          <w:tcPr>
            <w:tcW w:w="31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690" w:right="0"/>
              <w:jc w:val="left"/>
              <w:rPr>
                <w:rFonts w:ascii="宋体" w:hAnsi="宋体" w:cs="宋体" w:eastAsia="宋体" w:hint="default"/>
                <w:sz w:val="18"/>
                <w:szCs w:val="18"/>
              </w:rPr>
            </w:pPr>
            <w:r>
              <w:rPr>
                <w:rFonts w:ascii="宋体" w:hAnsi="宋体" w:cs="宋体" w:eastAsia="宋体" w:hint="default"/>
                <w:sz w:val="18"/>
                <w:szCs w:val="18"/>
              </w:rPr>
              <w:t>上年同期投资额（元）</w:t>
            </w:r>
          </w:p>
        </w:tc>
        <w:tc>
          <w:tcPr>
            <w:tcW w:w="31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变动幅度</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96" w:right="0"/>
              <w:jc w:val="left"/>
              <w:rPr>
                <w:rFonts w:ascii="Times New Roman" w:hAnsi="Times New Roman" w:cs="Times New Roman" w:eastAsia="Times New Roman" w:hint="default"/>
                <w:sz w:val="18"/>
                <w:szCs w:val="18"/>
              </w:rPr>
            </w:pPr>
            <w:r>
              <w:rPr>
                <w:rFonts w:ascii="Times New Roman"/>
                <w:sz w:val="18"/>
              </w:rPr>
              <w:t>1,603,185,907.86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32" w:right="0"/>
              <w:jc w:val="left"/>
              <w:rPr>
                <w:rFonts w:ascii="Times New Roman" w:hAnsi="Times New Roman" w:cs="Times New Roman" w:eastAsia="Times New Roman" w:hint="default"/>
                <w:sz w:val="18"/>
                <w:szCs w:val="18"/>
              </w:rPr>
            </w:pPr>
            <w:r>
              <w:rPr>
                <w:rFonts w:ascii="Times New Roman"/>
                <w:sz w:val="18"/>
              </w:rPr>
              <w:t>395,179,000.00</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305.69%</w:t>
            </w:r>
          </w:p>
        </w:tc>
      </w:tr>
    </w:tbl>
    <w:p>
      <w:pPr>
        <w:spacing w:before="51"/>
        <w:ind w:left="1434" w:right="1027" w:firstLine="0"/>
        <w:jc w:val="left"/>
        <w:rPr>
          <w:rFonts w:ascii="宋体" w:hAnsi="宋体" w:cs="宋体" w:eastAsia="宋体" w:hint="default"/>
          <w:sz w:val="18"/>
          <w:szCs w:val="18"/>
        </w:rPr>
      </w:pPr>
      <w:r>
        <w:rPr>
          <w:rFonts w:ascii="宋体" w:hAnsi="宋体" w:cs="宋体" w:eastAsia="宋体" w:hint="default"/>
          <w:sz w:val="18"/>
          <w:szCs w:val="18"/>
        </w:rPr>
        <w:t>注：报告期投资额为报告期内实际发生的对外股权投资金额。</w:t>
      </w:r>
    </w:p>
    <w:p>
      <w:pPr>
        <w:spacing w:line="240" w:lineRule="auto" w:before="9"/>
        <w:rPr>
          <w:rFonts w:ascii="宋体" w:hAnsi="宋体" w:cs="宋体" w:eastAsia="宋体" w:hint="default"/>
          <w:sz w:val="17"/>
          <w:szCs w:val="17"/>
        </w:rPr>
      </w:pPr>
    </w:p>
    <w:p>
      <w:pPr>
        <w:pStyle w:val="Heading5"/>
        <w:spacing w:line="240" w:lineRule="auto" w:before="0"/>
        <w:ind w:left="1074" w:right="1027"/>
        <w:jc w:val="left"/>
        <w:rPr>
          <w:b w:val="0"/>
          <w:bCs w:val="0"/>
        </w:rPr>
      </w:pPr>
      <w:r>
        <w:rPr>
          <w:rFonts w:ascii="Times New Roman" w:hAnsi="Times New Roman" w:cs="Times New Roman" w:eastAsia="Times New Roman" w:hint="default"/>
        </w:rPr>
        <w:t>2</w:t>
      </w:r>
      <w:r>
        <w:rPr/>
        <w:t>、报告期内获取的重大的股权投资情况</w:t>
      </w:r>
      <w:r>
        <w:rPr>
          <w:b w:val="0"/>
          <w:bCs w:val="0"/>
        </w:rPr>
      </w:r>
    </w:p>
    <w:p>
      <w:pPr>
        <w:spacing w:line="240" w:lineRule="auto" w:before="11"/>
        <w:rPr>
          <w:rFonts w:ascii="宋体" w:hAnsi="宋体" w:cs="宋体" w:eastAsia="宋体" w:hint="default"/>
          <w:b/>
          <w:bCs/>
          <w:sz w:val="13"/>
          <w:szCs w:val="13"/>
        </w:rPr>
      </w:pPr>
    </w:p>
    <w:p>
      <w:pPr>
        <w:spacing w:before="44"/>
        <w:ind w:left="1074" w:right="1027"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before="97"/>
        <w:ind w:left="0" w:right="1131" w:firstLine="0"/>
        <w:jc w:val="right"/>
        <w:rPr>
          <w:rFonts w:ascii="宋体" w:hAnsi="宋体" w:cs="宋体" w:eastAsia="宋体" w:hint="default"/>
          <w:sz w:val="18"/>
          <w:szCs w:val="18"/>
        </w:rPr>
      </w:pPr>
      <w:r>
        <w:rPr/>
        <w:pict>
          <v:shape style="position:absolute;margin-left:46.680313pt;margin-top:108.421692pt;width:60.8pt;height:82.05pt;mso-position-horizontal-relative:page;mso-position-vertical-relative:paragraph;z-index:-1402720" type="#_x0000_t202" filled="false" stroked="false">
            <v:textbox inset="0,0,0,0">
              <w:txbxContent>
                <w:p>
                  <w:pPr>
                    <w:spacing w:line="240" w:lineRule="auto" w:before="0"/>
                    <w:rPr>
                      <w:rFonts w:ascii="宋体" w:hAnsi="宋体" w:cs="宋体" w:eastAsia="宋体" w:hint="default"/>
                      <w:sz w:val="12"/>
                      <w:szCs w:val="12"/>
                    </w:rPr>
                  </w:pPr>
                </w:p>
                <w:p>
                  <w:pPr>
                    <w:spacing w:line="240" w:lineRule="auto" w:before="0"/>
                    <w:rPr>
                      <w:rFonts w:ascii="宋体" w:hAnsi="宋体" w:cs="宋体" w:eastAsia="宋体" w:hint="default"/>
                      <w:sz w:val="12"/>
                      <w:szCs w:val="12"/>
                    </w:rPr>
                  </w:pPr>
                </w:p>
                <w:p>
                  <w:pPr>
                    <w:spacing w:line="240" w:lineRule="auto" w:before="0"/>
                    <w:rPr>
                      <w:rFonts w:ascii="宋体" w:hAnsi="宋体" w:cs="宋体" w:eastAsia="宋体" w:hint="default"/>
                      <w:sz w:val="12"/>
                      <w:szCs w:val="12"/>
                    </w:rPr>
                  </w:pPr>
                </w:p>
                <w:p>
                  <w:pPr>
                    <w:spacing w:before="87"/>
                    <w:ind w:left="0" w:right="0" w:firstLine="0"/>
                    <w:jc w:val="left"/>
                    <w:rPr>
                      <w:rFonts w:ascii="宋体" w:hAnsi="宋体" w:cs="宋体" w:eastAsia="宋体" w:hint="default"/>
                      <w:sz w:val="13"/>
                      <w:szCs w:val="13"/>
                    </w:rPr>
                  </w:pPr>
                  <w:r>
                    <w:rPr>
                      <w:rFonts w:ascii="宋体" w:hAnsi="宋体" w:cs="宋体" w:eastAsia="宋体" w:hint="default"/>
                      <w:sz w:val="13"/>
                      <w:szCs w:val="13"/>
                    </w:rPr>
                    <w:t>京）</w:t>
                  </w:r>
                </w:p>
              </w:txbxContent>
            </v:textbox>
            <w10:wrap type="none"/>
          </v:shape>
        </w:pict>
      </w:r>
      <w:r>
        <w:rPr/>
        <w:pict>
          <v:shape style="position:absolute;margin-left:104.160408pt;margin-top:108.421692pt;width:23.2pt;height:82.05pt;mso-position-horizontal-relative:page;mso-position-vertical-relative:paragraph;z-index:-1402696" type="#_x0000_t202" filled="false" stroked="false">
            <v:textbox inset="0,0,0,0">
              <w:txbxContent>
                <w:p>
                  <w:pPr>
                    <w:spacing w:line="240" w:lineRule="auto" w:before="0"/>
                    <w:rPr>
                      <w:rFonts w:ascii="宋体" w:hAnsi="宋体" w:cs="宋体" w:eastAsia="宋体" w:hint="default"/>
                      <w:sz w:val="12"/>
                      <w:szCs w:val="12"/>
                    </w:rPr>
                  </w:pPr>
                </w:p>
                <w:p>
                  <w:pPr>
                    <w:spacing w:line="240" w:lineRule="auto" w:before="0"/>
                    <w:rPr>
                      <w:rFonts w:ascii="宋体" w:hAnsi="宋体" w:cs="宋体" w:eastAsia="宋体" w:hint="default"/>
                      <w:sz w:val="12"/>
                      <w:szCs w:val="12"/>
                    </w:rPr>
                  </w:pPr>
                </w:p>
                <w:p>
                  <w:pPr>
                    <w:spacing w:line="240" w:lineRule="auto" w:before="0"/>
                    <w:rPr>
                      <w:rFonts w:ascii="宋体" w:hAnsi="宋体" w:cs="宋体" w:eastAsia="宋体" w:hint="default"/>
                      <w:sz w:val="12"/>
                      <w:szCs w:val="12"/>
                    </w:rPr>
                  </w:pPr>
                </w:p>
                <w:p>
                  <w:pPr>
                    <w:spacing w:line="240" w:lineRule="auto" w:before="0"/>
                    <w:rPr>
                      <w:rFonts w:ascii="宋体" w:hAnsi="宋体" w:cs="宋体" w:eastAsia="宋体" w:hint="default"/>
                      <w:sz w:val="12"/>
                      <w:szCs w:val="12"/>
                    </w:rPr>
                  </w:pPr>
                </w:p>
                <w:p>
                  <w:pPr>
                    <w:spacing w:before="85"/>
                    <w:ind w:left="0" w:right="0" w:firstLine="0"/>
                    <w:jc w:val="left"/>
                    <w:rPr>
                      <w:rFonts w:ascii="宋体" w:hAnsi="宋体" w:cs="宋体" w:eastAsia="宋体" w:hint="default"/>
                      <w:sz w:val="13"/>
                      <w:szCs w:val="13"/>
                    </w:rPr>
                  </w:pPr>
                  <w:r>
                    <w:rPr>
                      <w:rFonts w:ascii="宋体" w:hAnsi="宋体" w:cs="宋体" w:eastAsia="宋体" w:hint="default"/>
                      <w:w w:val="99"/>
                      <w:sz w:val="13"/>
                      <w:szCs w:val="13"/>
                    </w:rPr>
                    <w:t>、</w:t>
                  </w:r>
                  <w:r>
                    <w:rPr>
                      <w:rFonts w:ascii="宋体" w:hAnsi="宋体" w:cs="宋体" w:eastAsia="宋体" w:hint="default"/>
                      <w:sz w:val="13"/>
                      <w:szCs w:val="13"/>
                    </w:rPr>
                  </w:r>
                </w:p>
              </w:txbxContent>
            </v:textbox>
            <w10:wrap type="none"/>
          </v:shape>
        </w:pict>
      </w:r>
      <w:r>
        <w:rPr/>
        <w:pict>
          <v:group style="position:absolute;margin-left:56.939999pt;margin-top:108.421692pt;width:70.4pt;height:15.6pt;mso-position-horizontal-relative:page;mso-position-vertical-relative:paragraph;z-index:-1402648" coordorigin="1139,2168" coordsize="1408,312">
            <v:group style="position:absolute;left:1139;top:2168;width:1011;height:312" coordorigin="1139,2168" coordsize="1011,312">
              <v:shape style="position:absolute;left:1139;top:2168;width:1011;height:312" coordorigin="1139,2168" coordsize="1011,312" path="m1139,2480l2149,2480,2149,2168,1139,2168,1139,2480xe" filled="true" fillcolor="#ffffff" stroked="false">
                <v:path arrowok="t"/>
                <v:fill type="solid"/>
              </v:shape>
            </v:group>
            <v:group style="position:absolute;left:2159;top:2168;width:388;height:312" coordorigin="2159,2168" coordsize="388,312">
              <v:shape style="position:absolute;left:2159;top:2168;width:388;height:312" coordorigin="2159,2168" coordsize="388,312" path="m2159,2480l2546,2480,2546,2168,2159,2168,2159,2480xe" filled="true" fillcolor="#ffffff" stroked="false">
                <v:path arrowok="t"/>
                <v:fill type="solid"/>
              </v:shape>
            </v:group>
            <w10:wrap type="none"/>
          </v:group>
        </w:pict>
      </w:r>
      <w:r>
        <w:rPr>
          <w:rFonts w:ascii="宋体" w:hAnsi="宋体" w:cs="宋体" w:eastAsia="宋体" w:hint="default"/>
          <w:sz w:val="18"/>
          <w:szCs w:val="18"/>
        </w:rPr>
        <w:t>单位：元</w:t>
      </w:r>
    </w:p>
    <w:p>
      <w:pPr>
        <w:spacing w:line="240" w:lineRule="auto" w:before="8"/>
        <w:rPr>
          <w:rFonts w:ascii="宋体" w:hAnsi="宋体" w:cs="宋体" w:eastAsia="宋体" w:hint="default"/>
          <w:sz w:val="6"/>
          <w:szCs w:val="6"/>
        </w:rPr>
      </w:pPr>
    </w:p>
    <w:tbl>
      <w:tblPr>
        <w:tblW w:w="0" w:type="auto"/>
        <w:jc w:val="left"/>
        <w:tblInd w:w="105" w:type="dxa"/>
        <w:tblLayout w:type="fixed"/>
        <w:tblCellMar>
          <w:top w:w="0" w:type="dxa"/>
          <w:left w:w="0" w:type="dxa"/>
          <w:bottom w:w="0" w:type="dxa"/>
          <w:right w:w="0" w:type="dxa"/>
        </w:tblCellMar>
        <w:tblLook w:val="01E0"/>
      </w:tblPr>
      <w:tblGrid>
        <w:gridCol w:w="964"/>
        <w:gridCol w:w="1020"/>
        <w:gridCol w:w="397"/>
        <w:gridCol w:w="964"/>
        <w:gridCol w:w="425"/>
        <w:gridCol w:w="397"/>
        <w:gridCol w:w="737"/>
        <w:gridCol w:w="455"/>
        <w:gridCol w:w="679"/>
        <w:gridCol w:w="965"/>
        <w:gridCol w:w="2098"/>
        <w:gridCol w:w="907"/>
        <w:gridCol w:w="425"/>
        <w:gridCol w:w="568"/>
        <w:gridCol w:w="566"/>
      </w:tblGrid>
      <w:tr>
        <w:trPr>
          <w:trHeight w:val="1026" w:hRule="exact"/>
        </w:trPr>
        <w:tc>
          <w:tcPr>
            <w:tcW w:w="96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96" w:right="25" w:hanging="270"/>
              <w:jc w:val="left"/>
              <w:rPr>
                <w:rFonts w:ascii="宋体" w:hAnsi="宋体" w:cs="宋体" w:eastAsia="宋体" w:hint="default"/>
                <w:sz w:val="18"/>
                <w:szCs w:val="18"/>
              </w:rPr>
            </w:pPr>
            <w:r>
              <w:rPr>
                <w:rFonts w:ascii="宋体" w:hAnsi="宋体" w:cs="宋体" w:eastAsia="宋体" w:hint="default"/>
                <w:sz w:val="18"/>
                <w:szCs w:val="18"/>
              </w:rPr>
              <w:t>被投资公司 名称</w:t>
            </w:r>
          </w:p>
        </w:tc>
        <w:tc>
          <w:tcPr>
            <w:tcW w:w="102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45" w:right="0"/>
              <w:jc w:val="left"/>
              <w:rPr>
                <w:rFonts w:ascii="宋体" w:hAnsi="宋体" w:cs="宋体" w:eastAsia="宋体" w:hint="default"/>
                <w:sz w:val="18"/>
                <w:szCs w:val="18"/>
              </w:rPr>
            </w:pPr>
            <w:r>
              <w:rPr>
                <w:rFonts w:ascii="宋体" w:hAnsi="宋体" w:cs="宋体" w:eastAsia="宋体" w:hint="default"/>
                <w:sz w:val="18"/>
                <w:szCs w:val="18"/>
              </w:rPr>
              <w:t>主要业务</w:t>
            </w:r>
          </w:p>
        </w:tc>
        <w:tc>
          <w:tcPr>
            <w:tcW w:w="39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3" w:right="12"/>
              <w:jc w:val="left"/>
              <w:rPr>
                <w:rFonts w:ascii="宋体" w:hAnsi="宋体" w:cs="宋体" w:eastAsia="宋体" w:hint="default"/>
                <w:sz w:val="18"/>
                <w:szCs w:val="18"/>
              </w:rPr>
            </w:pPr>
            <w:r>
              <w:rPr>
                <w:rFonts w:ascii="宋体" w:hAnsi="宋体" w:cs="宋体" w:eastAsia="宋体" w:hint="default"/>
                <w:sz w:val="18"/>
                <w:szCs w:val="18"/>
              </w:rPr>
              <w:t>投资 方式</w:t>
            </w:r>
          </w:p>
        </w:tc>
        <w:tc>
          <w:tcPr>
            <w:tcW w:w="96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16" w:right="0"/>
              <w:jc w:val="left"/>
              <w:rPr>
                <w:rFonts w:ascii="宋体" w:hAnsi="宋体" w:cs="宋体" w:eastAsia="宋体" w:hint="default"/>
                <w:sz w:val="18"/>
                <w:szCs w:val="18"/>
              </w:rPr>
            </w:pPr>
            <w:r>
              <w:rPr>
                <w:rFonts w:ascii="宋体" w:hAnsi="宋体" w:cs="宋体" w:eastAsia="宋体" w:hint="default"/>
                <w:sz w:val="18"/>
                <w:szCs w:val="18"/>
              </w:rPr>
              <w:t>投资金额</w:t>
            </w:r>
          </w:p>
        </w:tc>
        <w:tc>
          <w:tcPr>
            <w:tcW w:w="42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7" w:right="25"/>
              <w:jc w:val="left"/>
              <w:rPr>
                <w:rFonts w:ascii="宋体" w:hAnsi="宋体" w:cs="宋体" w:eastAsia="宋体" w:hint="default"/>
                <w:sz w:val="18"/>
                <w:szCs w:val="18"/>
              </w:rPr>
            </w:pPr>
            <w:r>
              <w:rPr>
                <w:rFonts w:ascii="宋体" w:hAnsi="宋体" w:cs="宋体" w:eastAsia="宋体" w:hint="default"/>
                <w:sz w:val="18"/>
                <w:szCs w:val="18"/>
              </w:rPr>
              <w:t>持股 比例</w:t>
            </w:r>
          </w:p>
        </w:tc>
        <w:tc>
          <w:tcPr>
            <w:tcW w:w="39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4" w:right="11"/>
              <w:jc w:val="left"/>
              <w:rPr>
                <w:rFonts w:ascii="宋体" w:hAnsi="宋体" w:cs="宋体" w:eastAsia="宋体" w:hint="default"/>
                <w:sz w:val="18"/>
                <w:szCs w:val="18"/>
              </w:rPr>
            </w:pPr>
            <w:r>
              <w:rPr>
                <w:rFonts w:ascii="宋体" w:hAnsi="宋体" w:cs="宋体" w:eastAsia="宋体" w:hint="default"/>
                <w:sz w:val="18"/>
                <w:szCs w:val="18"/>
              </w:rPr>
              <w:t>资金 来源</w:t>
            </w:r>
          </w:p>
        </w:tc>
        <w:tc>
          <w:tcPr>
            <w:tcW w:w="73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合作方</w:t>
            </w:r>
          </w:p>
        </w:tc>
        <w:tc>
          <w:tcPr>
            <w:tcW w:w="45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41" w:right="41"/>
              <w:jc w:val="left"/>
              <w:rPr>
                <w:rFonts w:ascii="宋体" w:hAnsi="宋体" w:cs="宋体" w:eastAsia="宋体" w:hint="default"/>
                <w:sz w:val="18"/>
                <w:szCs w:val="18"/>
              </w:rPr>
            </w:pPr>
            <w:r>
              <w:rPr>
                <w:rFonts w:ascii="宋体" w:hAnsi="宋体" w:cs="宋体" w:eastAsia="宋体" w:hint="default"/>
                <w:sz w:val="18"/>
                <w:szCs w:val="18"/>
              </w:rPr>
              <w:t>投资 期限</w:t>
            </w:r>
          </w:p>
        </w:tc>
        <w:tc>
          <w:tcPr>
            <w:tcW w:w="67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44" w:right="62" w:hanging="180"/>
              <w:jc w:val="left"/>
              <w:rPr>
                <w:rFonts w:ascii="宋体" w:hAnsi="宋体" w:cs="宋体" w:eastAsia="宋体" w:hint="default"/>
                <w:sz w:val="18"/>
                <w:szCs w:val="18"/>
              </w:rPr>
            </w:pPr>
            <w:r>
              <w:rPr>
                <w:rFonts w:ascii="宋体" w:hAnsi="宋体" w:cs="宋体" w:eastAsia="宋体" w:hint="default"/>
                <w:sz w:val="18"/>
                <w:szCs w:val="18"/>
              </w:rPr>
              <w:t>产品类 型</w:t>
            </w:r>
          </w:p>
        </w:tc>
        <w:tc>
          <w:tcPr>
            <w:tcW w:w="96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26" w:right="26"/>
              <w:jc w:val="center"/>
              <w:rPr>
                <w:rFonts w:ascii="宋体" w:hAnsi="宋体" w:cs="宋体" w:eastAsia="宋体" w:hint="default"/>
                <w:sz w:val="18"/>
                <w:szCs w:val="18"/>
              </w:rPr>
            </w:pPr>
            <w:r>
              <w:rPr>
                <w:rFonts w:ascii="宋体" w:hAnsi="宋体" w:cs="宋体" w:eastAsia="宋体" w:hint="default"/>
                <w:sz w:val="18"/>
                <w:szCs w:val="18"/>
              </w:rPr>
              <w:t>截至资产负 债表日的进 展情况</w:t>
            </w:r>
          </w:p>
        </w:tc>
        <w:tc>
          <w:tcPr>
            <w:tcW w:w="20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683" w:right="0"/>
              <w:jc w:val="left"/>
              <w:rPr>
                <w:rFonts w:ascii="宋体" w:hAnsi="宋体" w:cs="宋体" w:eastAsia="宋体" w:hint="default"/>
                <w:sz w:val="18"/>
                <w:szCs w:val="18"/>
              </w:rPr>
            </w:pPr>
            <w:r>
              <w:rPr>
                <w:rFonts w:ascii="宋体" w:hAnsi="宋体" w:cs="宋体" w:eastAsia="宋体" w:hint="default"/>
                <w:sz w:val="18"/>
                <w:szCs w:val="18"/>
              </w:rPr>
              <w:t>预计收益</w:t>
            </w:r>
          </w:p>
        </w:tc>
        <w:tc>
          <w:tcPr>
            <w:tcW w:w="90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68" w:right="86" w:hanging="180"/>
              <w:jc w:val="left"/>
              <w:rPr>
                <w:rFonts w:ascii="宋体" w:hAnsi="宋体" w:cs="宋体" w:eastAsia="宋体" w:hint="default"/>
                <w:sz w:val="18"/>
                <w:szCs w:val="18"/>
              </w:rPr>
            </w:pPr>
            <w:r>
              <w:rPr>
                <w:rFonts w:ascii="宋体" w:hAnsi="宋体" w:cs="宋体" w:eastAsia="宋体" w:hint="default"/>
                <w:sz w:val="18"/>
                <w:szCs w:val="18"/>
              </w:rPr>
              <w:t>本期投资 盈亏</w:t>
            </w:r>
          </w:p>
        </w:tc>
        <w:tc>
          <w:tcPr>
            <w:tcW w:w="42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7" w:right="25"/>
              <w:jc w:val="left"/>
              <w:rPr>
                <w:rFonts w:ascii="宋体" w:hAnsi="宋体" w:cs="宋体" w:eastAsia="宋体" w:hint="default"/>
                <w:sz w:val="18"/>
                <w:szCs w:val="18"/>
              </w:rPr>
            </w:pPr>
            <w:r>
              <w:rPr>
                <w:rFonts w:ascii="宋体" w:hAnsi="宋体" w:cs="宋体" w:eastAsia="宋体" w:hint="default"/>
                <w:sz w:val="18"/>
                <w:szCs w:val="18"/>
              </w:rPr>
              <w:t>是否 涉诉</w:t>
            </w:r>
          </w:p>
        </w:tc>
        <w:tc>
          <w:tcPr>
            <w:tcW w:w="5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4"/>
                <w:szCs w:val="14"/>
              </w:rPr>
            </w:pPr>
          </w:p>
          <w:p>
            <w:pPr>
              <w:pStyle w:val="TableParagraph"/>
              <w:spacing w:line="360" w:lineRule="auto"/>
              <w:ind w:left="98" w:right="97"/>
              <w:jc w:val="left"/>
              <w:rPr>
                <w:rFonts w:ascii="宋体" w:hAnsi="宋体" w:cs="宋体" w:eastAsia="宋体" w:hint="default"/>
                <w:sz w:val="18"/>
                <w:szCs w:val="18"/>
              </w:rPr>
            </w:pPr>
            <w:r>
              <w:rPr>
                <w:rFonts w:ascii="宋体" w:hAnsi="宋体" w:cs="宋体" w:eastAsia="宋体" w:hint="default"/>
                <w:sz w:val="18"/>
                <w:szCs w:val="18"/>
              </w:rPr>
              <w:t>披露 日期</w:t>
            </w:r>
          </w:p>
        </w:tc>
        <w:tc>
          <w:tcPr>
            <w:tcW w:w="5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4"/>
                <w:szCs w:val="14"/>
              </w:rPr>
            </w:pPr>
          </w:p>
          <w:p>
            <w:pPr>
              <w:pStyle w:val="TableParagraph"/>
              <w:spacing w:line="360" w:lineRule="auto"/>
              <w:ind w:left="98" w:right="96"/>
              <w:jc w:val="left"/>
              <w:rPr>
                <w:rFonts w:ascii="宋体" w:hAnsi="宋体" w:cs="宋体" w:eastAsia="宋体" w:hint="default"/>
                <w:sz w:val="18"/>
                <w:szCs w:val="18"/>
              </w:rPr>
            </w:pPr>
            <w:r>
              <w:rPr>
                <w:rFonts w:ascii="宋体" w:hAnsi="宋体" w:cs="宋体" w:eastAsia="宋体" w:hint="default"/>
                <w:sz w:val="18"/>
                <w:szCs w:val="18"/>
              </w:rPr>
              <w:t>披露 索引</w:t>
            </w:r>
          </w:p>
        </w:tc>
      </w:tr>
      <w:tr>
        <w:trPr>
          <w:trHeight w:val="282" w:hRule="exact"/>
        </w:trPr>
        <w:tc>
          <w:tcPr>
            <w:tcW w:w="96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0"/>
              <w:ind w:left="-1" w:right="0"/>
              <w:jc w:val="left"/>
              <w:rPr>
                <w:rFonts w:ascii="宋体" w:hAnsi="宋体" w:cs="宋体" w:eastAsia="宋体" w:hint="default"/>
                <w:sz w:val="13"/>
                <w:szCs w:val="13"/>
              </w:rPr>
            </w:pPr>
            <w:r>
              <w:rPr>
                <w:rFonts w:ascii="宋体" w:hAnsi="宋体" w:cs="宋体" w:eastAsia="宋体" w:hint="default"/>
                <w:sz w:val="13"/>
                <w:szCs w:val="13"/>
              </w:rPr>
              <w:t>中科长城海洋信</w:t>
            </w:r>
          </w:p>
        </w:tc>
        <w:tc>
          <w:tcPr>
            <w:tcW w:w="102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0"/>
              <w:ind w:left="-1" w:right="0"/>
              <w:jc w:val="left"/>
              <w:rPr>
                <w:rFonts w:ascii="宋体" w:hAnsi="宋体" w:cs="宋体" w:eastAsia="宋体" w:hint="default"/>
                <w:sz w:val="13"/>
                <w:szCs w:val="13"/>
              </w:rPr>
            </w:pPr>
            <w:r>
              <w:rPr>
                <w:rFonts w:ascii="宋体" w:hAnsi="宋体" w:cs="宋体" w:eastAsia="宋体" w:hint="default"/>
                <w:sz w:val="13"/>
                <w:szCs w:val="13"/>
              </w:rPr>
              <w:t>海洋信息系统工</w:t>
            </w:r>
          </w:p>
        </w:tc>
        <w:tc>
          <w:tcPr>
            <w:tcW w:w="397" w:type="dxa"/>
            <w:tcBorders>
              <w:top w:val="single" w:sz="4" w:space="0" w:color="000000"/>
              <w:left w:val="single" w:sz="4" w:space="0" w:color="000000"/>
              <w:bottom w:val="nil" w:sz="6" w:space="0" w:color="auto"/>
              <w:right w:val="single" w:sz="4" w:space="0" w:color="000000"/>
            </w:tcBorders>
          </w:tcPr>
          <w:p>
            <w:pPr/>
          </w:p>
        </w:tc>
        <w:tc>
          <w:tcPr>
            <w:tcW w:w="964" w:type="dxa"/>
            <w:tcBorders>
              <w:top w:val="single" w:sz="4" w:space="0" w:color="000000"/>
              <w:left w:val="single" w:sz="4" w:space="0" w:color="000000"/>
              <w:bottom w:val="nil" w:sz="6" w:space="0" w:color="auto"/>
              <w:right w:val="single" w:sz="4" w:space="0" w:color="000000"/>
            </w:tcBorders>
          </w:tcPr>
          <w:p>
            <w:pPr/>
          </w:p>
        </w:tc>
        <w:tc>
          <w:tcPr>
            <w:tcW w:w="425" w:type="dxa"/>
            <w:tcBorders>
              <w:top w:val="single" w:sz="4" w:space="0" w:color="000000"/>
              <w:left w:val="single" w:sz="4" w:space="0" w:color="000000"/>
              <w:bottom w:val="nil" w:sz="6" w:space="0" w:color="auto"/>
              <w:right w:val="single" w:sz="4" w:space="0" w:color="000000"/>
            </w:tcBorders>
          </w:tcPr>
          <w:p>
            <w:pPr/>
          </w:p>
        </w:tc>
        <w:tc>
          <w:tcPr>
            <w:tcW w:w="397"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0"/>
              <w:ind w:right="1"/>
              <w:jc w:val="center"/>
              <w:rPr>
                <w:rFonts w:ascii="宋体" w:hAnsi="宋体" w:cs="宋体" w:eastAsia="宋体" w:hint="default"/>
                <w:sz w:val="13"/>
                <w:szCs w:val="13"/>
              </w:rPr>
            </w:pPr>
            <w:r>
              <w:rPr>
                <w:rFonts w:ascii="宋体" w:hAnsi="宋体" w:cs="宋体" w:eastAsia="宋体" w:hint="default"/>
                <w:sz w:val="13"/>
                <w:szCs w:val="13"/>
              </w:rPr>
              <w:t>中科院声学</w:t>
            </w:r>
          </w:p>
        </w:tc>
        <w:tc>
          <w:tcPr>
            <w:tcW w:w="455" w:type="dxa"/>
            <w:tcBorders>
              <w:top w:val="single" w:sz="4" w:space="0" w:color="000000"/>
              <w:left w:val="single" w:sz="4" w:space="0" w:color="000000"/>
              <w:bottom w:val="nil" w:sz="6" w:space="0" w:color="auto"/>
              <w:right w:val="single" w:sz="4" w:space="0" w:color="000000"/>
            </w:tcBorders>
          </w:tcPr>
          <w:p>
            <w:pPr/>
          </w:p>
        </w:tc>
        <w:tc>
          <w:tcPr>
            <w:tcW w:w="67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0"/>
              <w:ind w:left="-1" w:right="0"/>
              <w:jc w:val="left"/>
              <w:rPr>
                <w:rFonts w:ascii="宋体" w:hAnsi="宋体" w:cs="宋体" w:eastAsia="宋体" w:hint="default"/>
                <w:sz w:val="13"/>
                <w:szCs w:val="13"/>
              </w:rPr>
            </w:pPr>
            <w:r>
              <w:rPr>
                <w:rFonts w:ascii="宋体" w:hAnsi="宋体" w:cs="宋体" w:eastAsia="宋体" w:hint="default"/>
                <w:sz w:val="13"/>
                <w:szCs w:val="13"/>
              </w:rPr>
              <w:t>海洋水下信</w:t>
            </w:r>
          </w:p>
        </w:tc>
        <w:tc>
          <w:tcPr>
            <w:tcW w:w="965" w:type="dxa"/>
            <w:tcBorders>
              <w:top w:val="single" w:sz="4" w:space="0" w:color="000000"/>
              <w:left w:val="single" w:sz="4" w:space="0" w:color="000000"/>
              <w:bottom w:val="nil" w:sz="6" w:space="0" w:color="auto"/>
              <w:right w:val="single" w:sz="4" w:space="0" w:color="000000"/>
            </w:tcBorders>
          </w:tcPr>
          <w:p>
            <w:pPr/>
          </w:p>
        </w:tc>
        <w:tc>
          <w:tcPr>
            <w:tcW w:w="2098" w:type="dxa"/>
            <w:tcBorders>
              <w:top w:val="single" w:sz="4" w:space="0" w:color="000000"/>
              <w:left w:val="single" w:sz="4" w:space="0" w:color="000000"/>
              <w:bottom w:val="nil" w:sz="6" w:space="0" w:color="auto"/>
              <w:right w:val="single" w:sz="4" w:space="0" w:color="000000"/>
            </w:tcBorders>
          </w:tcPr>
          <w:p>
            <w:pPr/>
          </w:p>
        </w:tc>
        <w:tc>
          <w:tcPr>
            <w:tcW w:w="907" w:type="dxa"/>
            <w:tcBorders>
              <w:top w:val="single" w:sz="4" w:space="0" w:color="000000"/>
              <w:left w:val="single" w:sz="4" w:space="0" w:color="000000"/>
              <w:bottom w:val="nil" w:sz="6" w:space="0" w:color="auto"/>
              <w:right w:val="single" w:sz="4" w:space="0" w:color="000000"/>
            </w:tcBorders>
          </w:tcPr>
          <w:p>
            <w:pPr/>
          </w:p>
        </w:tc>
        <w:tc>
          <w:tcPr>
            <w:tcW w:w="425" w:type="dxa"/>
            <w:tcBorders>
              <w:top w:val="single" w:sz="4" w:space="0" w:color="000000"/>
              <w:left w:val="single" w:sz="4" w:space="0" w:color="000000"/>
              <w:bottom w:val="nil" w:sz="6" w:space="0" w:color="auto"/>
              <w:right w:val="single" w:sz="4" w:space="0" w:color="000000"/>
            </w:tcBorders>
          </w:tcPr>
          <w:p>
            <w:pPr/>
          </w:p>
        </w:tc>
        <w:tc>
          <w:tcPr>
            <w:tcW w:w="56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0"/>
              <w:ind w:right="0"/>
              <w:jc w:val="center"/>
              <w:rPr>
                <w:rFonts w:ascii="Times New Roman" w:hAnsi="Times New Roman" w:cs="Times New Roman" w:eastAsia="Times New Roman" w:hint="default"/>
                <w:sz w:val="13"/>
                <w:szCs w:val="13"/>
              </w:rPr>
            </w:pPr>
            <w:r>
              <w:rPr>
                <w:rFonts w:ascii="Times New Roman" w:hAnsi="Times New Roman" w:cs="Times New Roman" w:eastAsia="Times New Roman" w:hint="default"/>
                <w:sz w:val="13"/>
                <w:szCs w:val="13"/>
              </w:rPr>
              <w:t>2017</w:t>
            </w:r>
            <w:r>
              <w:rPr>
                <w:rFonts w:ascii="Times New Roman" w:hAnsi="Times New Roman" w:cs="Times New Roman" w:eastAsia="Times New Roman" w:hint="default"/>
                <w:spacing w:val="-15"/>
                <w:sz w:val="13"/>
                <w:szCs w:val="13"/>
              </w:rPr>
              <w:t> </w:t>
            </w:r>
            <w:r>
              <w:rPr>
                <w:rFonts w:ascii="宋体" w:hAnsi="宋体" w:cs="宋体" w:eastAsia="宋体" w:hint="default"/>
                <w:sz w:val="13"/>
                <w:szCs w:val="13"/>
              </w:rPr>
              <w:t>年</w:t>
            </w:r>
            <w:r>
              <w:rPr>
                <w:rFonts w:ascii="宋体" w:hAnsi="宋体" w:cs="宋体" w:eastAsia="宋体" w:hint="default"/>
                <w:spacing w:val="-48"/>
                <w:sz w:val="13"/>
                <w:szCs w:val="13"/>
              </w:rPr>
              <w:t> </w:t>
            </w:r>
            <w:r>
              <w:rPr>
                <w:rFonts w:ascii="Times New Roman" w:hAnsi="Times New Roman" w:cs="Times New Roman" w:eastAsia="Times New Roman" w:hint="default"/>
                <w:sz w:val="13"/>
                <w:szCs w:val="13"/>
              </w:rPr>
              <w:t>08</w:t>
            </w:r>
          </w:p>
        </w:tc>
        <w:tc>
          <w:tcPr>
            <w:tcW w:w="56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0"/>
              <w:jc w:val="center"/>
              <w:rPr>
                <w:rFonts w:ascii="Times New Roman" w:hAnsi="Times New Roman" w:cs="Times New Roman" w:eastAsia="Times New Roman" w:hint="default"/>
                <w:sz w:val="13"/>
                <w:szCs w:val="13"/>
              </w:rPr>
            </w:pPr>
            <w:r>
              <w:rPr>
                <w:rFonts w:ascii="Times New Roman"/>
                <w:sz w:val="13"/>
              </w:rPr>
              <w:t>2017-078</w:t>
            </w:r>
          </w:p>
        </w:tc>
      </w:tr>
      <w:tr>
        <w:trPr>
          <w:trHeight w:val="156" w:hRule="exact"/>
        </w:trPr>
        <w:tc>
          <w:tcPr>
            <w:tcW w:w="964" w:type="dxa"/>
            <w:tcBorders>
              <w:top w:val="nil" w:sz="6" w:space="0" w:color="auto"/>
              <w:left w:val="single" w:sz="4" w:space="0" w:color="000000"/>
              <w:bottom w:val="nil" w:sz="6" w:space="0" w:color="auto"/>
              <w:right w:val="single" w:sz="4" w:space="0" w:color="000000"/>
            </w:tcBorders>
          </w:tcPr>
          <w:p>
            <w:pPr/>
          </w:p>
        </w:tc>
        <w:tc>
          <w:tcPr>
            <w:tcW w:w="1020" w:type="dxa"/>
            <w:tcBorders>
              <w:top w:val="nil" w:sz="6" w:space="0" w:color="auto"/>
              <w:left w:val="single" w:sz="4" w:space="0" w:color="000000"/>
              <w:bottom w:val="nil" w:sz="6" w:space="0" w:color="auto"/>
              <w:right w:val="single" w:sz="4" w:space="0" w:color="000000"/>
            </w:tcBorders>
          </w:tcPr>
          <w:p>
            <w:pPr/>
          </w:p>
        </w:tc>
        <w:tc>
          <w:tcPr>
            <w:tcW w:w="397" w:type="dxa"/>
            <w:tcBorders>
              <w:top w:val="nil" w:sz="6" w:space="0" w:color="auto"/>
              <w:left w:val="single" w:sz="4" w:space="0" w:color="000000"/>
              <w:bottom w:val="nil" w:sz="6" w:space="0" w:color="auto"/>
              <w:right w:val="single" w:sz="4" w:space="0" w:color="000000"/>
            </w:tcBorders>
          </w:tcPr>
          <w:p>
            <w:pPr>
              <w:pStyle w:val="TableParagraph"/>
              <w:spacing w:line="139" w:lineRule="exact"/>
              <w:ind w:right="1"/>
              <w:jc w:val="center"/>
              <w:rPr>
                <w:rFonts w:ascii="宋体" w:hAnsi="宋体" w:cs="宋体" w:eastAsia="宋体" w:hint="default"/>
                <w:sz w:val="13"/>
                <w:szCs w:val="13"/>
              </w:rPr>
            </w:pPr>
            <w:r>
              <w:rPr>
                <w:rFonts w:ascii="宋体" w:hAnsi="宋体" w:cs="宋体" w:eastAsia="宋体" w:hint="default"/>
                <w:sz w:val="13"/>
                <w:szCs w:val="13"/>
              </w:rPr>
              <w:t>新设</w:t>
            </w:r>
          </w:p>
        </w:tc>
        <w:tc>
          <w:tcPr>
            <w:tcW w:w="964"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1"/>
              <w:jc w:val="right"/>
              <w:rPr>
                <w:rFonts w:ascii="Times New Roman" w:hAnsi="Times New Roman" w:cs="Times New Roman" w:eastAsia="Times New Roman" w:hint="default"/>
                <w:sz w:val="13"/>
                <w:szCs w:val="13"/>
              </w:rPr>
            </w:pPr>
            <w:r>
              <w:rPr>
                <w:rFonts w:ascii="Times New Roman"/>
                <w:w w:val="95"/>
                <w:sz w:val="13"/>
              </w:rPr>
              <w:t>34,000,000.00</w:t>
            </w:r>
            <w:r>
              <w:rPr>
                <w:rFonts w:ascii="Times New Roman"/>
                <w:sz w:val="13"/>
              </w:rPr>
            </w:r>
          </w:p>
        </w:tc>
        <w:tc>
          <w:tcPr>
            <w:tcW w:w="425"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1"/>
              <w:jc w:val="center"/>
              <w:rPr>
                <w:rFonts w:ascii="Times New Roman" w:hAnsi="Times New Roman" w:cs="Times New Roman" w:eastAsia="Times New Roman" w:hint="default"/>
                <w:sz w:val="13"/>
                <w:szCs w:val="13"/>
              </w:rPr>
            </w:pPr>
            <w:r>
              <w:rPr>
                <w:rFonts w:ascii="Times New Roman"/>
                <w:sz w:val="13"/>
              </w:rPr>
              <w:t>34.00%</w:t>
            </w:r>
          </w:p>
        </w:tc>
        <w:tc>
          <w:tcPr>
            <w:tcW w:w="397" w:type="dxa"/>
            <w:tcBorders>
              <w:top w:val="nil" w:sz="6" w:space="0" w:color="auto"/>
              <w:left w:val="single" w:sz="4" w:space="0" w:color="000000"/>
              <w:bottom w:val="nil" w:sz="6" w:space="0" w:color="auto"/>
              <w:right w:val="single" w:sz="4" w:space="0" w:color="000000"/>
            </w:tcBorders>
          </w:tcPr>
          <w:p>
            <w:pPr>
              <w:pStyle w:val="TableParagraph"/>
              <w:spacing w:line="139" w:lineRule="exact"/>
              <w:ind w:left="1" w:right="0"/>
              <w:jc w:val="center"/>
              <w:rPr>
                <w:rFonts w:ascii="宋体" w:hAnsi="宋体" w:cs="宋体" w:eastAsia="宋体" w:hint="default"/>
                <w:sz w:val="13"/>
                <w:szCs w:val="13"/>
              </w:rPr>
            </w:pPr>
            <w:r>
              <w:rPr>
                <w:rFonts w:ascii="宋体" w:hAnsi="宋体" w:cs="宋体" w:eastAsia="宋体" w:hint="default"/>
                <w:sz w:val="13"/>
                <w:szCs w:val="13"/>
              </w:rPr>
              <w:t>自筹</w:t>
            </w:r>
          </w:p>
        </w:tc>
        <w:tc>
          <w:tcPr>
            <w:tcW w:w="737" w:type="dxa"/>
            <w:tcBorders>
              <w:top w:val="nil" w:sz="6" w:space="0" w:color="auto"/>
              <w:left w:val="single" w:sz="4" w:space="0" w:color="000000"/>
              <w:bottom w:val="nil" w:sz="6" w:space="0" w:color="auto"/>
              <w:right w:val="single" w:sz="4" w:space="0" w:color="000000"/>
            </w:tcBorders>
          </w:tcPr>
          <w:p>
            <w:pPr/>
          </w:p>
        </w:tc>
        <w:tc>
          <w:tcPr>
            <w:tcW w:w="455" w:type="dxa"/>
            <w:tcBorders>
              <w:top w:val="nil" w:sz="6" w:space="0" w:color="auto"/>
              <w:left w:val="single" w:sz="4" w:space="0" w:color="000000"/>
              <w:bottom w:val="nil" w:sz="6" w:space="0" w:color="auto"/>
              <w:right w:val="single" w:sz="4" w:space="0" w:color="000000"/>
            </w:tcBorders>
          </w:tcPr>
          <w:p>
            <w:pPr>
              <w:pStyle w:val="TableParagraph"/>
              <w:spacing w:line="139" w:lineRule="exact"/>
              <w:ind w:right="1"/>
              <w:jc w:val="center"/>
              <w:rPr>
                <w:rFonts w:ascii="宋体" w:hAnsi="宋体" w:cs="宋体" w:eastAsia="宋体" w:hint="default"/>
                <w:sz w:val="13"/>
                <w:szCs w:val="13"/>
              </w:rPr>
            </w:pPr>
            <w:r>
              <w:rPr>
                <w:rFonts w:ascii="宋体" w:hAnsi="宋体" w:cs="宋体" w:eastAsia="宋体" w:hint="default"/>
                <w:sz w:val="13"/>
                <w:szCs w:val="13"/>
              </w:rPr>
              <w:t>不适用</w:t>
            </w:r>
          </w:p>
        </w:tc>
        <w:tc>
          <w:tcPr>
            <w:tcW w:w="679" w:type="dxa"/>
            <w:tcBorders>
              <w:top w:val="nil" w:sz="6" w:space="0" w:color="auto"/>
              <w:left w:val="single" w:sz="4" w:space="0" w:color="000000"/>
              <w:bottom w:val="nil" w:sz="6" w:space="0" w:color="auto"/>
              <w:right w:val="single" w:sz="4" w:space="0" w:color="000000"/>
            </w:tcBorders>
          </w:tcPr>
          <w:p>
            <w:pPr/>
          </w:p>
        </w:tc>
        <w:tc>
          <w:tcPr>
            <w:tcW w:w="965" w:type="dxa"/>
            <w:tcBorders>
              <w:top w:val="nil" w:sz="6" w:space="0" w:color="auto"/>
              <w:left w:val="single" w:sz="4" w:space="0" w:color="000000"/>
              <w:bottom w:val="nil" w:sz="6" w:space="0" w:color="auto"/>
              <w:right w:val="single" w:sz="4" w:space="0" w:color="000000"/>
            </w:tcBorders>
          </w:tcPr>
          <w:p>
            <w:pPr>
              <w:pStyle w:val="TableParagraph"/>
              <w:spacing w:line="139" w:lineRule="exact"/>
              <w:ind w:right="0"/>
              <w:jc w:val="center"/>
              <w:rPr>
                <w:rFonts w:ascii="宋体" w:hAnsi="宋体" w:cs="宋体" w:eastAsia="宋体" w:hint="default"/>
                <w:sz w:val="13"/>
                <w:szCs w:val="13"/>
              </w:rPr>
            </w:pPr>
            <w:r>
              <w:rPr>
                <w:rFonts w:ascii="宋体" w:hAnsi="宋体" w:cs="宋体" w:eastAsia="宋体" w:hint="default"/>
                <w:sz w:val="13"/>
                <w:szCs w:val="13"/>
              </w:rPr>
              <w:t>已完成</w:t>
            </w:r>
          </w:p>
        </w:tc>
        <w:tc>
          <w:tcPr>
            <w:tcW w:w="2098" w:type="dxa"/>
            <w:tcBorders>
              <w:top w:val="nil" w:sz="6" w:space="0" w:color="auto"/>
              <w:left w:val="single" w:sz="4" w:space="0" w:color="000000"/>
              <w:bottom w:val="nil" w:sz="6" w:space="0" w:color="auto"/>
              <w:right w:val="single" w:sz="4" w:space="0" w:color="000000"/>
            </w:tcBorders>
          </w:tcPr>
          <w:p>
            <w:pPr>
              <w:pStyle w:val="TableParagraph"/>
              <w:spacing w:line="139" w:lineRule="exact"/>
              <w:ind w:right="0"/>
              <w:jc w:val="center"/>
              <w:rPr>
                <w:rFonts w:ascii="宋体" w:hAnsi="宋体" w:cs="宋体" w:eastAsia="宋体" w:hint="default"/>
                <w:sz w:val="13"/>
                <w:szCs w:val="13"/>
              </w:rPr>
            </w:pPr>
            <w:r>
              <w:rPr>
                <w:rFonts w:ascii="宋体" w:hAnsi="宋体" w:cs="宋体" w:eastAsia="宋体" w:hint="default"/>
                <w:sz w:val="13"/>
                <w:szCs w:val="13"/>
              </w:rPr>
              <w:t>不适用</w:t>
            </w:r>
          </w:p>
        </w:tc>
        <w:tc>
          <w:tcPr>
            <w:tcW w:w="907"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1"/>
              <w:jc w:val="right"/>
              <w:rPr>
                <w:rFonts w:ascii="Times New Roman" w:hAnsi="Times New Roman" w:cs="Times New Roman" w:eastAsia="Times New Roman" w:hint="default"/>
                <w:sz w:val="13"/>
                <w:szCs w:val="13"/>
              </w:rPr>
            </w:pPr>
            <w:r>
              <w:rPr>
                <w:rFonts w:ascii="Times New Roman"/>
                <w:w w:val="95"/>
                <w:sz w:val="13"/>
              </w:rPr>
              <w:t>-10,316,398.14</w:t>
            </w:r>
            <w:r>
              <w:rPr>
                <w:rFonts w:ascii="Times New Roman"/>
                <w:sz w:val="13"/>
              </w:rPr>
            </w:r>
          </w:p>
        </w:tc>
        <w:tc>
          <w:tcPr>
            <w:tcW w:w="425" w:type="dxa"/>
            <w:tcBorders>
              <w:top w:val="nil" w:sz="6" w:space="0" w:color="auto"/>
              <w:left w:val="single" w:sz="4" w:space="0" w:color="000000"/>
              <w:bottom w:val="nil" w:sz="6" w:space="0" w:color="auto"/>
              <w:right w:val="single" w:sz="4" w:space="0" w:color="000000"/>
            </w:tcBorders>
          </w:tcPr>
          <w:p>
            <w:pPr>
              <w:pStyle w:val="TableParagraph"/>
              <w:spacing w:line="139" w:lineRule="exact"/>
              <w:ind w:right="0"/>
              <w:jc w:val="center"/>
              <w:rPr>
                <w:rFonts w:ascii="宋体" w:hAnsi="宋体" w:cs="宋体" w:eastAsia="宋体" w:hint="default"/>
                <w:sz w:val="13"/>
                <w:szCs w:val="13"/>
              </w:rPr>
            </w:pPr>
            <w:r>
              <w:rPr>
                <w:rFonts w:ascii="宋体" w:hAnsi="宋体" w:cs="宋体" w:eastAsia="宋体" w:hint="default"/>
                <w:w w:val="99"/>
                <w:sz w:val="13"/>
                <w:szCs w:val="13"/>
              </w:rPr>
              <w:t>否</w:t>
            </w:r>
            <w:r>
              <w:rPr>
                <w:rFonts w:ascii="宋体" w:hAnsi="宋体" w:cs="宋体" w:eastAsia="宋体" w:hint="default"/>
                <w:sz w:val="13"/>
                <w:szCs w:val="13"/>
              </w:rPr>
            </w:r>
          </w:p>
        </w:tc>
        <w:tc>
          <w:tcPr>
            <w:tcW w:w="568" w:type="dxa"/>
            <w:tcBorders>
              <w:top w:val="nil" w:sz="6" w:space="0" w:color="auto"/>
              <w:left w:val="single" w:sz="4" w:space="0" w:color="000000"/>
              <w:bottom w:val="nil" w:sz="6" w:space="0" w:color="auto"/>
              <w:right w:val="single" w:sz="4" w:space="0" w:color="000000"/>
            </w:tcBorders>
          </w:tcPr>
          <w:p>
            <w:pPr/>
          </w:p>
        </w:tc>
        <w:tc>
          <w:tcPr>
            <w:tcW w:w="566" w:type="dxa"/>
            <w:tcBorders>
              <w:top w:val="nil" w:sz="6" w:space="0" w:color="auto"/>
              <w:left w:val="single" w:sz="4" w:space="0" w:color="000000"/>
              <w:bottom w:val="nil" w:sz="6" w:space="0" w:color="auto"/>
              <w:right w:val="single" w:sz="4" w:space="0" w:color="000000"/>
            </w:tcBorders>
          </w:tcPr>
          <w:p>
            <w:pPr/>
          </w:p>
        </w:tc>
      </w:tr>
      <w:tr>
        <w:trPr>
          <w:trHeight w:val="276" w:hRule="exact"/>
        </w:trPr>
        <w:tc>
          <w:tcPr>
            <w:tcW w:w="964" w:type="dxa"/>
            <w:tcBorders>
              <w:top w:val="nil" w:sz="6" w:space="0" w:color="auto"/>
              <w:left w:val="single" w:sz="4" w:space="0" w:color="000000"/>
              <w:bottom w:val="single" w:sz="4" w:space="0" w:color="000000"/>
              <w:right w:val="single" w:sz="4" w:space="0" w:color="000000"/>
            </w:tcBorders>
          </w:tcPr>
          <w:p>
            <w:pPr>
              <w:pStyle w:val="TableParagraph"/>
              <w:spacing w:line="139" w:lineRule="exact"/>
              <w:ind w:left="-1" w:right="0"/>
              <w:jc w:val="left"/>
              <w:rPr>
                <w:rFonts w:ascii="宋体" w:hAnsi="宋体" w:cs="宋体" w:eastAsia="宋体" w:hint="default"/>
                <w:sz w:val="13"/>
                <w:szCs w:val="13"/>
              </w:rPr>
            </w:pPr>
            <w:r>
              <w:rPr>
                <w:rFonts w:ascii="宋体" w:hAnsi="宋体" w:cs="宋体" w:eastAsia="宋体" w:hint="default"/>
                <w:sz w:val="13"/>
                <w:szCs w:val="13"/>
              </w:rPr>
              <w:t>息系统有限公司</w:t>
            </w:r>
          </w:p>
        </w:tc>
        <w:tc>
          <w:tcPr>
            <w:tcW w:w="1020" w:type="dxa"/>
            <w:tcBorders>
              <w:top w:val="nil" w:sz="6" w:space="0" w:color="auto"/>
              <w:left w:val="single" w:sz="4" w:space="0" w:color="000000"/>
              <w:bottom w:val="single" w:sz="4" w:space="0" w:color="000000"/>
              <w:right w:val="single" w:sz="4" w:space="0" w:color="000000"/>
            </w:tcBorders>
          </w:tcPr>
          <w:p>
            <w:pPr>
              <w:pStyle w:val="TableParagraph"/>
              <w:spacing w:line="139" w:lineRule="exact"/>
              <w:ind w:left="-1" w:right="0"/>
              <w:jc w:val="left"/>
              <w:rPr>
                <w:rFonts w:ascii="宋体" w:hAnsi="宋体" w:cs="宋体" w:eastAsia="宋体" w:hint="default"/>
                <w:sz w:val="13"/>
                <w:szCs w:val="13"/>
              </w:rPr>
            </w:pPr>
            <w:r>
              <w:rPr>
                <w:rFonts w:ascii="宋体" w:hAnsi="宋体" w:cs="宋体" w:eastAsia="宋体" w:hint="default"/>
                <w:sz w:val="13"/>
                <w:szCs w:val="13"/>
              </w:rPr>
              <w:t>程技术</w:t>
            </w:r>
          </w:p>
        </w:tc>
        <w:tc>
          <w:tcPr>
            <w:tcW w:w="397" w:type="dxa"/>
            <w:tcBorders>
              <w:top w:val="nil" w:sz="6" w:space="0" w:color="auto"/>
              <w:left w:val="single" w:sz="4" w:space="0" w:color="000000"/>
              <w:bottom w:val="single" w:sz="4" w:space="0" w:color="000000"/>
              <w:right w:val="single" w:sz="4" w:space="0" w:color="000000"/>
            </w:tcBorders>
          </w:tcPr>
          <w:p>
            <w:pPr/>
          </w:p>
        </w:tc>
        <w:tc>
          <w:tcPr>
            <w:tcW w:w="964" w:type="dxa"/>
            <w:tcBorders>
              <w:top w:val="nil" w:sz="6" w:space="0" w:color="auto"/>
              <w:left w:val="single" w:sz="4" w:space="0" w:color="000000"/>
              <w:bottom w:val="single" w:sz="4" w:space="0" w:color="000000"/>
              <w:right w:val="single" w:sz="4" w:space="0" w:color="000000"/>
            </w:tcBorders>
          </w:tcPr>
          <w:p>
            <w:pPr/>
          </w:p>
        </w:tc>
        <w:tc>
          <w:tcPr>
            <w:tcW w:w="425" w:type="dxa"/>
            <w:tcBorders>
              <w:top w:val="nil" w:sz="6" w:space="0" w:color="auto"/>
              <w:left w:val="single" w:sz="4" w:space="0" w:color="000000"/>
              <w:bottom w:val="single" w:sz="4" w:space="0" w:color="000000"/>
              <w:right w:val="single" w:sz="4" w:space="0" w:color="000000"/>
            </w:tcBorders>
          </w:tcPr>
          <w:p>
            <w:pPr/>
          </w:p>
        </w:tc>
        <w:tc>
          <w:tcPr>
            <w:tcW w:w="397"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Style w:val="TableParagraph"/>
              <w:spacing w:line="139" w:lineRule="exact"/>
              <w:ind w:right="1"/>
              <w:jc w:val="center"/>
              <w:rPr>
                <w:rFonts w:ascii="宋体" w:hAnsi="宋体" w:cs="宋体" w:eastAsia="宋体" w:hint="default"/>
                <w:sz w:val="13"/>
                <w:szCs w:val="13"/>
              </w:rPr>
            </w:pPr>
            <w:r>
              <w:rPr>
                <w:rFonts w:ascii="宋体" w:hAnsi="宋体" w:cs="宋体" w:eastAsia="宋体" w:hint="default"/>
                <w:w w:val="99"/>
                <w:sz w:val="13"/>
                <w:szCs w:val="13"/>
              </w:rPr>
              <w:t>所</w:t>
            </w:r>
            <w:r>
              <w:rPr>
                <w:rFonts w:ascii="宋体" w:hAnsi="宋体" w:cs="宋体" w:eastAsia="宋体" w:hint="default"/>
                <w:spacing w:val="-53"/>
                <w:w w:val="99"/>
                <w:sz w:val="13"/>
                <w:szCs w:val="13"/>
              </w:rPr>
              <w:t>、</w:t>
            </w:r>
            <w:r>
              <w:rPr>
                <w:rFonts w:ascii="宋体" w:hAnsi="宋体" w:cs="宋体" w:eastAsia="宋体" w:hint="default"/>
                <w:w w:val="99"/>
                <w:sz w:val="13"/>
                <w:szCs w:val="13"/>
              </w:rPr>
              <w:t>中晟</w:t>
            </w:r>
            <w:r>
              <w:rPr>
                <w:rFonts w:ascii="宋体" w:hAnsi="宋体" w:cs="宋体" w:eastAsia="宋体" w:hint="default"/>
                <w:spacing w:val="1"/>
                <w:w w:val="99"/>
                <w:sz w:val="13"/>
                <w:szCs w:val="13"/>
              </w:rPr>
              <w:t>嘉</w:t>
            </w:r>
            <w:r>
              <w:rPr>
                <w:rFonts w:ascii="宋体" w:hAnsi="宋体" w:cs="宋体" w:eastAsia="宋体" w:hint="default"/>
                <w:w w:val="99"/>
                <w:sz w:val="13"/>
                <w:szCs w:val="13"/>
              </w:rPr>
              <w:t>华</w:t>
            </w:r>
            <w:r>
              <w:rPr>
                <w:rFonts w:ascii="宋体" w:hAnsi="宋体" w:cs="宋体" w:eastAsia="宋体" w:hint="default"/>
                <w:sz w:val="13"/>
                <w:szCs w:val="13"/>
              </w:rPr>
            </w:r>
          </w:p>
        </w:tc>
        <w:tc>
          <w:tcPr>
            <w:tcW w:w="455" w:type="dxa"/>
            <w:tcBorders>
              <w:top w:val="nil" w:sz="6" w:space="0" w:color="auto"/>
              <w:left w:val="single" w:sz="4" w:space="0" w:color="000000"/>
              <w:bottom w:val="single" w:sz="4" w:space="0" w:color="000000"/>
              <w:right w:val="single" w:sz="4" w:space="0" w:color="000000"/>
            </w:tcBorders>
          </w:tcPr>
          <w:p>
            <w:pPr/>
          </w:p>
        </w:tc>
        <w:tc>
          <w:tcPr>
            <w:tcW w:w="679" w:type="dxa"/>
            <w:tcBorders>
              <w:top w:val="nil" w:sz="6" w:space="0" w:color="auto"/>
              <w:left w:val="single" w:sz="4" w:space="0" w:color="000000"/>
              <w:bottom w:val="single" w:sz="4" w:space="0" w:color="000000"/>
              <w:right w:val="single" w:sz="4" w:space="0" w:color="000000"/>
            </w:tcBorders>
          </w:tcPr>
          <w:p>
            <w:pPr>
              <w:pStyle w:val="TableParagraph"/>
              <w:spacing w:line="139" w:lineRule="exact"/>
              <w:ind w:left="-1" w:right="0"/>
              <w:jc w:val="left"/>
              <w:rPr>
                <w:rFonts w:ascii="宋体" w:hAnsi="宋体" w:cs="宋体" w:eastAsia="宋体" w:hint="default"/>
                <w:sz w:val="13"/>
                <w:szCs w:val="13"/>
              </w:rPr>
            </w:pPr>
            <w:r>
              <w:rPr>
                <w:rFonts w:ascii="宋体" w:hAnsi="宋体" w:cs="宋体" w:eastAsia="宋体" w:hint="default"/>
                <w:sz w:val="13"/>
                <w:szCs w:val="13"/>
              </w:rPr>
              <w:t>息安全业务</w:t>
            </w:r>
          </w:p>
        </w:tc>
        <w:tc>
          <w:tcPr>
            <w:tcW w:w="965" w:type="dxa"/>
            <w:tcBorders>
              <w:top w:val="nil" w:sz="6" w:space="0" w:color="auto"/>
              <w:left w:val="single" w:sz="4" w:space="0" w:color="000000"/>
              <w:bottom w:val="single" w:sz="4" w:space="0" w:color="000000"/>
              <w:right w:val="single" w:sz="4" w:space="0" w:color="000000"/>
            </w:tcBorders>
          </w:tcPr>
          <w:p>
            <w:pPr/>
          </w:p>
        </w:tc>
        <w:tc>
          <w:tcPr>
            <w:tcW w:w="2098" w:type="dxa"/>
            <w:tcBorders>
              <w:top w:val="nil" w:sz="6" w:space="0" w:color="auto"/>
              <w:left w:val="single" w:sz="4" w:space="0" w:color="000000"/>
              <w:bottom w:val="single" w:sz="4" w:space="0" w:color="000000"/>
              <w:right w:val="single" w:sz="4" w:space="0" w:color="000000"/>
            </w:tcBorders>
          </w:tcPr>
          <w:p>
            <w:pPr/>
          </w:p>
        </w:tc>
        <w:tc>
          <w:tcPr>
            <w:tcW w:w="907" w:type="dxa"/>
            <w:tcBorders>
              <w:top w:val="nil" w:sz="6" w:space="0" w:color="auto"/>
              <w:left w:val="single" w:sz="4" w:space="0" w:color="000000"/>
              <w:bottom w:val="single" w:sz="4" w:space="0" w:color="000000"/>
              <w:right w:val="single" w:sz="4" w:space="0" w:color="000000"/>
            </w:tcBorders>
          </w:tcPr>
          <w:p>
            <w:pPr/>
          </w:p>
        </w:tc>
        <w:tc>
          <w:tcPr>
            <w:tcW w:w="425" w:type="dxa"/>
            <w:tcBorders>
              <w:top w:val="nil" w:sz="6" w:space="0" w:color="auto"/>
              <w:left w:val="single" w:sz="4" w:space="0" w:color="000000"/>
              <w:bottom w:val="single" w:sz="4" w:space="0" w:color="000000"/>
              <w:right w:val="single" w:sz="4" w:space="0" w:color="000000"/>
            </w:tcBorders>
          </w:tcPr>
          <w:p>
            <w:pPr/>
          </w:p>
        </w:tc>
        <w:tc>
          <w:tcPr>
            <w:tcW w:w="568" w:type="dxa"/>
            <w:tcBorders>
              <w:top w:val="nil" w:sz="6" w:space="0" w:color="auto"/>
              <w:left w:val="single" w:sz="4" w:space="0" w:color="000000"/>
              <w:bottom w:val="single" w:sz="4" w:space="0" w:color="000000"/>
              <w:right w:val="single" w:sz="4" w:space="0" w:color="000000"/>
            </w:tcBorders>
          </w:tcPr>
          <w:p>
            <w:pPr>
              <w:pStyle w:val="TableParagraph"/>
              <w:spacing w:line="149" w:lineRule="exact"/>
              <w:ind w:right="1"/>
              <w:jc w:val="center"/>
              <w:rPr>
                <w:rFonts w:ascii="宋体" w:hAnsi="宋体" w:cs="宋体" w:eastAsia="宋体" w:hint="default"/>
                <w:sz w:val="13"/>
                <w:szCs w:val="13"/>
              </w:rPr>
            </w:pPr>
            <w:r>
              <w:rPr>
                <w:rFonts w:ascii="宋体" w:hAnsi="宋体" w:cs="宋体" w:eastAsia="宋体" w:hint="default"/>
                <w:sz w:val="13"/>
                <w:szCs w:val="13"/>
              </w:rPr>
              <w:t>月</w:t>
            </w:r>
            <w:r>
              <w:rPr>
                <w:rFonts w:ascii="宋体" w:hAnsi="宋体" w:cs="宋体" w:eastAsia="宋体" w:hint="default"/>
                <w:spacing w:val="-34"/>
                <w:sz w:val="13"/>
                <w:szCs w:val="13"/>
              </w:rPr>
              <w:t> </w:t>
            </w:r>
            <w:r>
              <w:rPr>
                <w:rFonts w:ascii="Times New Roman" w:hAnsi="Times New Roman" w:cs="Times New Roman" w:eastAsia="Times New Roman" w:hint="default"/>
                <w:sz w:val="13"/>
                <w:szCs w:val="13"/>
              </w:rPr>
              <w:t>29</w:t>
            </w:r>
            <w:r>
              <w:rPr>
                <w:rFonts w:ascii="Times New Roman" w:hAnsi="Times New Roman" w:cs="Times New Roman" w:eastAsia="Times New Roman" w:hint="default"/>
                <w:spacing w:val="-2"/>
                <w:sz w:val="13"/>
                <w:szCs w:val="13"/>
              </w:rPr>
              <w:t> </w:t>
            </w:r>
            <w:r>
              <w:rPr>
                <w:rFonts w:ascii="宋体" w:hAnsi="宋体" w:cs="宋体" w:eastAsia="宋体" w:hint="default"/>
                <w:sz w:val="13"/>
                <w:szCs w:val="13"/>
              </w:rPr>
              <w:t>日</w:t>
            </w:r>
          </w:p>
        </w:tc>
        <w:tc>
          <w:tcPr>
            <w:tcW w:w="566" w:type="dxa"/>
            <w:tcBorders>
              <w:top w:val="nil" w:sz="6" w:space="0" w:color="auto"/>
              <w:left w:val="single" w:sz="4" w:space="0" w:color="000000"/>
              <w:bottom w:val="single" w:sz="4" w:space="0" w:color="000000"/>
              <w:right w:val="single" w:sz="4" w:space="0" w:color="000000"/>
            </w:tcBorders>
          </w:tcPr>
          <w:p>
            <w:pPr>
              <w:pStyle w:val="TableParagraph"/>
              <w:spacing w:line="139" w:lineRule="exact"/>
              <w:ind w:right="0"/>
              <w:jc w:val="center"/>
              <w:rPr>
                <w:rFonts w:ascii="宋体" w:hAnsi="宋体" w:cs="宋体" w:eastAsia="宋体" w:hint="default"/>
                <w:sz w:val="13"/>
                <w:szCs w:val="13"/>
              </w:rPr>
            </w:pPr>
            <w:r>
              <w:rPr>
                <w:rFonts w:ascii="宋体" w:hAnsi="宋体" w:cs="宋体" w:eastAsia="宋体" w:hint="default"/>
                <w:sz w:val="13"/>
                <w:szCs w:val="13"/>
              </w:rPr>
              <w:t>号公告</w:t>
            </w:r>
          </w:p>
        </w:tc>
      </w:tr>
      <w:tr>
        <w:trPr>
          <w:trHeight w:val="360" w:hRule="exact"/>
        </w:trPr>
        <w:tc>
          <w:tcPr>
            <w:tcW w:w="964" w:type="dxa"/>
            <w:tcBorders>
              <w:top w:val="single" w:sz="4" w:space="0" w:color="000000"/>
              <w:left w:val="single" w:sz="4" w:space="0" w:color="000000"/>
              <w:bottom w:val="nil" w:sz="6" w:space="0" w:color="auto"/>
              <w:right w:val="single" w:sz="4" w:space="0" w:color="000000"/>
            </w:tcBorders>
          </w:tcPr>
          <w:p>
            <w:pPr/>
          </w:p>
        </w:tc>
        <w:tc>
          <w:tcPr>
            <w:tcW w:w="1020" w:type="dxa"/>
            <w:tcBorders>
              <w:top w:val="single" w:sz="4" w:space="0" w:color="000000"/>
              <w:left w:val="single" w:sz="4" w:space="0" w:color="000000"/>
              <w:bottom w:val="nil" w:sz="6" w:space="0" w:color="auto"/>
              <w:right w:val="single" w:sz="4" w:space="0" w:color="000000"/>
            </w:tcBorders>
          </w:tcPr>
          <w:p>
            <w:pPr/>
          </w:p>
        </w:tc>
        <w:tc>
          <w:tcPr>
            <w:tcW w:w="397" w:type="dxa"/>
            <w:tcBorders>
              <w:top w:val="single" w:sz="4" w:space="0" w:color="000000"/>
              <w:left w:val="single" w:sz="4" w:space="0" w:color="000000"/>
              <w:bottom w:val="nil" w:sz="6" w:space="0" w:color="auto"/>
              <w:right w:val="single" w:sz="4" w:space="0" w:color="000000"/>
            </w:tcBorders>
          </w:tcPr>
          <w:p>
            <w:pPr/>
          </w:p>
        </w:tc>
        <w:tc>
          <w:tcPr>
            <w:tcW w:w="964" w:type="dxa"/>
            <w:tcBorders>
              <w:top w:val="single" w:sz="4" w:space="0" w:color="000000"/>
              <w:left w:val="single" w:sz="4" w:space="0" w:color="000000"/>
              <w:bottom w:val="nil" w:sz="6" w:space="0" w:color="auto"/>
              <w:right w:val="single" w:sz="4" w:space="0" w:color="000000"/>
            </w:tcBorders>
          </w:tcPr>
          <w:p>
            <w:pPr/>
          </w:p>
        </w:tc>
        <w:tc>
          <w:tcPr>
            <w:tcW w:w="425" w:type="dxa"/>
            <w:tcBorders>
              <w:top w:val="single" w:sz="4" w:space="0" w:color="000000"/>
              <w:left w:val="single" w:sz="4" w:space="0" w:color="000000"/>
              <w:bottom w:val="nil" w:sz="6" w:space="0" w:color="auto"/>
              <w:right w:val="single" w:sz="4" w:space="0" w:color="000000"/>
            </w:tcBorders>
          </w:tcPr>
          <w:p>
            <w:pPr/>
          </w:p>
        </w:tc>
        <w:tc>
          <w:tcPr>
            <w:tcW w:w="397"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c>
          <w:tcPr>
            <w:tcW w:w="455" w:type="dxa"/>
            <w:tcBorders>
              <w:top w:val="single" w:sz="4" w:space="0" w:color="000000"/>
              <w:left w:val="single" w:sz="4" w:space="0" w:color="000000"/>
              <w:bottom w:val="nil" w:sz="6" w:space="0" w:color="auto"/>
              <w:right w:val="single" w:sz="4" w:space="0" w:color="000000"/>
            </w:tcBorders>
          </w:tcPr>
          <w:p>
            <w:pPr/>
          </w:p>
        </w:tc>
        <w:tc>
          <w:tcPr>
            <w:tcW w:w="679" w:type="dxa"/>
            <w:tcBorders>
              <w:top w:val="single" w:sz="4" w:space="0" w:color="000000"/>
              <w:left w:val="single" w:sz="4" w:space="0" w:color="000000"/>
              <w:bottom w:val="nil" w:sz="6" w:space="0" w:color="auto"/>
              <w:right w:val="single" w:sz="4" w:space="0" w:color="000000"/>
            </w:tcBorders>
          </w:tcPr>
          <w:p>
            <w:pPr/>
          </w:p>
        </w:tc>
        <w:tc>
          <w:tcPr>
            <w:tcW w:w="965" w:type="dxa"/>
            <w:tcBorders>
              <w:top w:val="single" w:sz="4" w:space="0" w:color="000000"/>
              <w:left w:val="single" w:sz="4" w:space="0" w:color="000000"/>
              <w:bottom w:val="nil" w:sz="6" w:space="0" w:color="auto"/>
              <w:right w:val="single" w:sz="4" w:space="0" w:color="000000"/>
            </w:tcBorders>
          </w:tcPr>
          <w:p>
            <w:pPr/>
          </w:p>
        </w:tc>
        <w:tc>
          <w:tcPr>
            <w:tcW w:w="209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0"/>
              <w:ind w:left="-1" w:right="0"/>
              <w:jc w:val="left"/>
              <w:rPr>
                <w:rFonts w:ascii="Times New Roman" w:hAnsi="Times New Roman" w:cs="Times New Roman" w:eastAsia="Times New Roman" w:hint="default"/>
                <w:sz w:val="13"/>
                <w:szCs w:val="13"/>
              </w:rPr>
            </w:pPr>
            <w:r>
              <w:rPr>
                <w:rFonts w:ascii="宋体" w:hAnsi="宋体" w:cs="宋体" w:eastAsia="宋体" w:hint="default"/>
                <w:sz w:val="13"/>
                <w:szCs w:val="13"/>
              </w:rPr>
              <w:t>长城超云在</w:t>
            </w:r>
            <w:r>
              <w:rPr>
                <w:rFonts w:ascii="宋体" w:hAnsi="宋体" w:cs="宋体" w:eastAsia="宋体" w:hint="default"/>
                <w:spacing w:val="-34"/>
                <w:sz w:val="13"/>
                <w:szCs w:val="13"/>
              </w:rPr>
              <w:t> </w:t>
            </w:r>
            <w:r>
              <w:rPr>
                <w:rFonts w:ascii="Times New Roman" w:hAnsi="Times New Roman" w:cs="Times New Roman" w:eastAsia="Times New Roman" w:hint="default"/>
                <w:sz w:val="13"/>
                <w:szCs w:val="13"/>
              </w:rPr>
              <w:t>2018</w:t>
            </w:r>
            <w:r>
              <w:rPr>
                <w:rFonts w:ascii="Times New Roman" w:hAnsi="Times New Roman" w:cs="Times New Roman" w:eastAsia="Times New Roman" w:hint="default"/>
                <w:spacing w:val="-1"/>
                <w:sz w:val="13"/>
                <w:szCs w:val="13"/>
              </w:rPr>
              <w:t> </w:t>
            </w:r>
            <w:r>
              <w:rPr>
                <w:rFonts w:ascii="宋体" w:hAnsi="宋体" w:cs="宋体" w:eastAsia="宋体" w:hint="default"/>
                <w:sz w:val="13"/>
                <w:szCs w:val="13"/>
              </w:rPr>
              <w:t>年、</w:t>
            </w:r>
            <w:r>
              <w:rPr>
                <w:rFonts w:ascii="Times New Roman" w:hAnsi="Times New Roman" w:cs="Times New Roman" w:eastAsia="Times New Roman" w:hint="default"/>
                <w:sz w:val="13"/>
                <w:szCs w:val="13"/>
              </w:rPr>
              <w:t>2019</w:t>
            </w:r>
            <w:r>
              <w:rPr>
                <w:rFonts w:ascii="Times New Roman" w:hAnsi="Times New Roman" w:cs="Times New Roman" w:eastAsia="Times New Roman" w:hint="default"/>
                <w:spacing w:val="-2"/>
                <w:sz w:val="13"/>
                <w:szCs w:val="13"/>
              </w:rPr>
              <w:t> </w:t>
            </w:r>
            <w:r>
              <w:rPr>
                <w:rFonts w:ascii="宋体" w:hAnsi="宋体" w:cs="宋体" w:eastAsia="宋体" w:hint="default"/>
                <w:sz w:val="13"/>
                <w:szCs w:val="13"/>
              </w:rPr>
              <w:t>年、</w:t>
            </w:r>
            <w:r>
              <w:rPr>
                <w:rFonts w:ascii="Times New Roman" w:hAnsi="Times New Roman" w:cs="Times New Roman" w:eastAsia="Times New Roman" w:hint="default"/>
                <w:sz w:val="13"/>
                <w:szCs w:val="13"/>
              </w:rPr>
              <w:t>2020</w:t>
            </w:r>
          </w:p>
        </w:tc>
        <w:tc>
          <w:tcPr>
            <w:tcW w:w="907" w:type="dxa"/>
            <w:tcBorders>
              <w:top w:val="single" w:sz="4" w:space="0" w:color="000000"/>
              <w:left w:val="single" w:sz="4" w:space="0" w:color="000000"/>
              <w:bottom w:val="nil" w:sz="6" w:space="0" w:color="auto"/>
              <w:right w:val="single" w:sz="4" w:space="0" w:color="000000"/>
            </w:tcBorders>
          </w:tcPr>
          <w:p>
            <w:pPr/>
          </w:p>
        </w:tc>
        <w:tc>
          <w:tcPr>
            <w:tcW w:w="425" w:type="dxa"/>
            <w:tcBorders>
              <w:top w:val="single" w:sz="4" w:space="0" w:color="000000"/>
              <w:left w:val="single" w:sz="4" w:space="0" w:color="000000"/>
              <w:bottom w:val="nil" w:sz="6" w:space="0" w:color="auto"/>
              <w:right w:val="single" w:sz="4" w:space="0" w:color="000000"/>
            </w:tcBorders>
          </w:tcPr>
          <w:p>
            <w:pPr/>
          </w:p>
        </w:tc>
        <w:tc>
          <w:tcPr>
            <w:tcW w:w="568" w:type="dxa"/>
            <w:tcBorders>
              <w:top w:val="single" w:sz="4" w:space="0" w:color="000000"/>
              <w:left w:val="single" w:sz="4" w:space="0" w:color="000000"/>
              <w:bottom w:val="nil" w:sz="6" w:space="0" w:color="auto"/>
              <w:right w:val="single" w:sz="4" w:space="0" w:color="000000"/>
            </w:tcBorders>
          </w:tcPr>
          <w:p>
            <w:pPr/>
          </w:p>
        </w:tc>
        <w:tc>
          <w:tcPr>
            <w:tcW w:w="566" w:type="dxa"/>
            <w:tcBorders>
              <w:top w:val="single" w:sz="4" w:space="0" w:color="000000"/>
              <w:left w:val="single" w:sz="4" w:space="0" w:color="000000"/>
              <w:bottom w:val="nil" w:sz="6" w:space="0" w:color="auto"/>
              <w:right w:val="single" w:sz="4" w:space="0" w:color="000000"/>
            </w:tcBorders>
          </w:tcPr>
          <w:p>
            <w:pPr/>
          </w:p>
        </w:tc>
      </w:tr>
      <w:tr>
        <w:trPr>
          <w:trHeight w:val="231" w:hRule="exact"/>
        </w:trPr>
        <w:tc>
          <w:tcPr>
            <w:tcW w:w="964" w:type="dxa"/>
            <w:tcBorders>
              <w:top w:val="nil" w:sz="6" w:space="0" w:color="auto"/>
              <w:left w:val="single" w:sz="4" w:space="0" w:color="000000"/>
              <w:bottom w:val="nil" w:sz="6" w:space="0" w:color="auto"/>
              <w:right w:val="single" w:sz="4" w:space="0" w:color="000000"/>
            </w:tcBorders>
          </w:tcPr>
          <w:p>
            <w:pPr/>
          </w:p>
        </w:tc>
        <w:tc>
          <w:tcPr>
            <w:tcW w:w="1020"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left="-1" w:right="0"/>
              <w:jc w:val="left"/>
              <w:rPr>
                <w:rFonts w:ascii="宋体" w:hAnsi="宋体" w:cs="宋体" w:eastAsia="宋体" w:hint="default"/>
                <w:sz w:val="13"/>
                <w:szCs w:val="13"/>
              </w:rPr>
            </w:pPr>
            <w:r>
              <w:rPr>
                <w:rFonts w:ascii="宋体" w:hAnsi="宋体" w:cs="宋体" w:eastAsia="宋体" w:hint="default"/>
                <w:sz w:val="13"/>
                <w:szCs w:val="13"/>
              </w:rPr>
              <w:t>云计算服务器的</w:t>
            </w:r>
          </w:p>
        </w:tc>
        <w:tc>
          <w:tcPr>
            <w:tcW w:w="397"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
              <w:jc w:val="center"/>
              <w:rPr>
                <w:rFonts w:ascii="宋体" w:hAnsi="宋体" w:cs="宋体" w:eastAsia="宋体" w:hint="default"/>
                <w:sz w:val="13"/>
                <w:szCs w:val="13"/>
              </w:rPr>
            </w:pPr>
            <w:r>
              <w:rPr>
                <w:rFonts w:ascii="宋体" w:hAnsi="宋体" w:cs="宋体" w:eastAsia="宋体" w:hint="default"/>
                <w:sz w:val="13"/>
                <w:szCs w:val="13"/>
              </w:rPr>
              <w:t>收购</w:t>
            </w:r>
          </w:p>
        </w:tc>
        <w:tc>
          <w:tcPr>
            <w:tcW w:w="964" w:type="dxa"/>
            <w:tcBorders>
              <w:top w:val="nil" w:sz="6" w:space="0" w:color="auto"/>
              <w:left w:val="single" w:sz="4" w:space="0" w:color="000000"/>
              <w:bottom w:val="nil" w:sz="6" w:space="0" w:color="auto"/>
              <w:right w:val="single" w:sz="4" w:space="0" w:color="000000"/>
            </w:tcBorders>
          </w:tcPr>
          <w:p>
            <w:pPr/>
          </w:p>
        </w:tc>
        <w:tc>
          <w:tcPr>
            <w:tcW w:w="425" w:type="dxa"/>
            <w:tcBorders>
              <w:top w:val="nil" w:sz="6" w:space="0" w:color="auto"/>
              <w:left w:val="single" w:sz="4" w:space="0" w:color="000000"/>
              <w:bottom w:val="nil" w:sz="6" w:space="0" w:color="auto"/>
              <w:right w:val="single" w:sz="4" w:space="0" w:color="000000"/>
            </w:tcBorders>
          </w:tcPr>
          <w:p>
            <w:pPr/>
          </w:p>
        </w:tc>
        <w:tc>
          <w:tcPr>
            <w:tcW w:w="397"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455" w:type="dxa"/>
            <w:tcBorders>
              <w:top w:val="nil" w:sz="6" w:space="0" w:color="auto"/>
              <w:left w:val="single" w:sz="4" w:space="0" w:color="000000"/>
              <w:bottom w:val="nil" w:sz="6" w:space="0" w:color="auto"/>
              <w:right w:val="single" w:sz="4" w:space="0" w:color="000000"/>
            </w:tcBorders>
          </w:tcPr>
          <w:p>
            <w:pPr/>
          </w:p>
        </w:tc>
        <w:tc>
          <w:tcPr>
            <w:tcW w:w="679" w:type="dxa"/>
            <w:tcBorders>
              <w:top w:val="nil" w:sz="6" w:space="0" w:color="auto"/>
              <w:left w:val="single" w:sz="4" w:space="0" w:color="000000"/>
              <w:bottom w:val="nil" w:sz="6" w:space="0" w:color="auto"/>
              <w:right w:val="single" w:sz="4" w:space="0" w:color="000000"/>
            </w:tcBorders>
          </w:tcPr>
          <w:p>
            <w:pPr/>
          </w:p>
        </w:tc>
        <w:tc>
          <w:tcPr>
            <w:tcW w:w="965" w:type="dxa"/>
            <w:tcBorders>
              <w:top w:val="nil" w:sz="6" w:space="0" w:color="auto"/>
              <w:left w:val="single" w:sz="4" w:space="0" w:color="000000"/>
              <w:bottom w:val="nil" w:sz="6" w:space="0" w:color="auto"/>
              <w:right w:val="single" w:sz="4" w:space="0" w:color="000000"/>
            </w:tcBorders>
          </w:tcPr>
          <w:p>
            <w:pPr/>
          </w:p>
        </w:tc>
        <w:tc>
          <w:tcPr>
            <w:tcW w:w="2098"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left="-1" w:right="0"/>
              <w:jc w:val="left"/>
              <w:rPr>
                <w:rFonts w:ascii="宋体" w:hAnsi="宋体" w:cs="宋体" w:eastAsia="宋体" w:hint="default"/>
                <w:sz w:val="13"/>
                <w:szCs w:val="13"/>
              </w:rPr>
            </w:pPr>
            <w:r>
              <w:rPr>
                <w:rFonts w:ascii="宋体" w:hAnsi="宋体" w:cs="宋体" w:eastAsia="宋体" w:hint="default"/>
                <w:sz w:val="13"/>
                <w:szCs w:val="13"/>
              </w:rPr>
              <w:t>年经审计的扣除非经常性损益归属于</w:t>
            </w:r>
          </w:p>
        </w:tc>
        <w:tc>
          <w:tcPr>
            <w:tcW w:w="907" w:type="dxa"/>
            <w:tcBorders>
              <w:top w:val="nil" w:sz="6" w:space="0" w:color="auto"/>
              <w:left w:val="single" w:sz="4" w:space="0" w:color="000000"/>
              <w:bottom w:val="nil" w:sz="6" w:space="0" w:color="auto"/>
              <w:right w:val="single" w:sz="4" w:space="0" w:color="000000"/>
            </w:tcBorders>
          </w:tcPr>
          <w:p>
            <w:pPr/>
          </w:p>
        </w:tc>
        <w:tc>
          <w:tcPr>
            <w:tcW w:w="425" w:type="dxa"/>
            <w:tcBorders>
              <w:top w:val="nil" w:sz="6" w:space="0" w:color="auto"/>
              <w:left w:val="single" w:sz="4" w:space="0" w:color="000000"/>
              <w:bottom w:val="nil" w:sz="6" w:space="0" w:color="auto"/>
              <w:right w:val="single" w:sz="4" w:space="0" w:color="000000"/>
            </w:tcBorders>
          </w:tcPr>
          <w:p>
            <w:pPr/>
          </w:p>
        </w:tc>
        <w:tc>
          <w:tcPr>
            <w:tcW w:w="568" w:type="dxa"/>
            <w:tcBorders>
              <w:top w:val="nil" w:sz="6" w:space="0" w:color="auto"/>
              <w:left w:val="single" w:sz="4" w:space="0" w:color="000000"/>
              <w:bottom w:val="nil" w:sz="6" w:space="0" w:color="auto"/>
              <w:right w:val="single" w:sz="4" w:space="0" w:color="000000"/>
            </w:tcBorders>
          </w:tcPr>
          <w:p>
            <w:pPr/>
          </w:p>
        </w:tc>
        <w:tc>
          <w:tcPr>
            <w:tcW w:w="566" w:type="dxa"/>
            <w:tcBorders>
              <w:top w:val="nil" w:sz="6" w:space="0" w:color="auto"/>
              <w:left w:val="single" w:sz="4" w:space="0" w:color="000000"/>
              <w:bottom w:val="nil" w:sz="6" w:space="0" w:color="auto"/>
              <w:right w:val="single" w:sz="4" w:space="0" w:color="000000"/>
            </w:tcBorders>
          </w:tcPr>
          <w:p>
            <w:pPr/>
          </w:p>
        </w:tc>
      </w:tr>
      <w:tr>
        <w:trPr>
          <w:trHeight w:val="159" w:hRule="exact"/>
        </w:trPr>
        <w:tc>
          <w:tcPr>
            <w:tcW w:w="964" w:type="dxa"/>
            <w:tcBorders>
              <w:top w:val="nil" w:sz="6" w:space="0" w:color="auto"/>
              <w:left w:val="single" w:sz="4" w:space="0" w:color="000000"/>
              <w:bottom w:val="nil" w:sz="6" w:space="0" w:color="auto"/>
              <w:right w:val="single" w:sz="4" w:space="0" w:color="000000"/>
            </w:tcBorders>
          </w:tcPr>
          <w:p>
            <w:pPr>
              <w:pStyle w:val="TableParagraph"/>
              <w:spacing w:line="143" w:lineRule="exact"/>
              <w:ind w:left="-1" w:right="0"/>
              <w:jc w:val="left"/>
              <w:rPr>
                <w:rFonts w:ascii="宋体" w:hAnsi="宋体" w:cs="宋体" w:eastAsia="宋体" w:hint="default"/>
                <w:sz w:val="13"/>
                <w:szCs w:val="13"/>
              </w:rPr>
            </w:pPr>
            <w:r>
              <w:rPr>
                <w:rFonts w:ascii="宋体" w:hAnsi="宋体" w:cs="宋体" w:eastAsia="宋体" w:hint="default"/>
                <w:spacing w:val="-4"/>
                <w:sz w:val="13"/>
                <w:szCs w:val="13"/>
              </w:rPr>
              <w:t>长城超云（北</w:t>
            </w:r>
          </w:p>
        </w:tc>
        <w:tc>
          <w:tcPr>
            <w:tcW w:w="1020" w:type="dxa"/>
            <w:tcBorders>
              <w:top w:val="nil" w:sz="6" w:space="0" w:color="auto"/>
              <w:left w:val="single" w:sz="4" w:space="0" w:color="000000"/>
              <w:bottom w:val="nil" w:sz="6" w:space="0" w:color="auto"/>
              <w:right w:val="single" w:sz="4" w:space="0" w:color="000000"/>
            </w:tcBorders>
          </w:tcPr>
          <w:p>
            <w:pPr/>
          </w:p>
        </w:tc>
        <w:tc>
          <w:tcPr>
            <w:tcW w:w="397" w:type="dxa"/>
            <w:tcBorders>
              <w:top w:val="nil" w:sz="6" w:space="0" w:color="auto"/>
              <w:left w:val="single" w:sz="4" w:space="0" w:color="000000"/>
              <w:bottom w:val="nil" w:sz="6" w:space="0" w:color="auto"/>
              <w:right w:val="single" w:sz="4" w:space="0" w:color="000000"/>
            </w:tcBorders>
          </w:tcPr>
          <w:p>
            <w:pPr/>
          </w:p>
        </w:tc>
        <w:tc>
          <w:tcPr>
            <w:tcW w:w="964" w:type="dxa"/>
            <w:tcBorders>
              <w:top w:val="nil" w:sz="6" w:space="0" w:color="auto"/>
              <w:left w:val="single" w:sz="4" w:space="0" w:color="000000"/>
              <w:bottom w:val="nil" w:sz="6" w:space="0" w:color="auto"/>
              <w:right w:val="single" w:sz="4" w:space="0" w:color="000000"/>
            </w:tcBorders>
          </w:tcPr>
          <w:p>
            <w:pPr/>
          </w:p>
        </w:tc>
        <w:tc>
          <w:tcPr>
            <w:tcW w:w="425" w:type="dxa"/>
            <w:tcBorders>
              <w:top w:val="nil" w:sz="6" w:space="0" w:color="auto"/>
              <w:left w:val="single" w:sz="4" w:space="0" w:color="000000"/>
              <w:bottom w:val="nil" w:sz="6" w:space="0" w:color="auto"/>
              <w:right w:val="single" w:sz="4" w:space="0" w:color="000000"/>
            </w:tcBorders>
          </w:tcPr>
          <w:p>
            <w:pPr/>
          </w:p>
        </w:tc>
        <w:tc>
          <w:tcPr>
            <w:tcW w:w="397"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455" w:type="dxa"/>
            <w:tcBorders>
              <w:top w:val="nil" w:sz="6" w:space="0" w:color="auto"/>
              <w:left w:val="single" w:sz="4" w:space="0" w:color="000000"/>
              <w:bottom w:val="nil" w:sz="6" w:space="0" w:color="auto"/>
              <w:right w:val="single" w:sz="4" w:space="0" w:color="000000"/>
            </w:tcBorders>
          </w:tcPr>
          <w:p>
            <w:pPr/>
          </w:p>
        </w:tc>
        <w:tc>
          <w:tcPr>
            <w:tcW w:w="679" w:type="dxa"/>
            <w:tcBorders>
              <w:top w:val="nil" w:sz="6" w:space="0" w:color="auto"/>
              <w:left w:val="single" w:sz="4" w:space="0" w:color="000000"/>
              <w:bottom w:val="nil" w:sz="6" w:space="0" w:color="auto"/>
              <w:right w:val="single" w:sz="4" w:space="0" w:color="000000"/>
            </w:tcBorders>
          </w:tcPr>
          <w:p>
            <w:pPr>
              <w:pStyle w:val="TableParagraph"/>
              <w:spacing w:line="143" w:lineRule="exact"/>
              <w:ind w:left="-1" w:right="0"/>
              <w:jc w:val="left"/>
              <w:rPr>
                <w:rFonts w:ascii="宋体" w:hAnsi="宋体" w:cs="宋体" w:eastAsia="宋体" w:hint="default"/>
                <w:sz w:val="13"/>
                <w:szCs w:val="13"/>
              </w:rPr>
            </w:pPr>
            <w:r>
              <w:rPr>
                <w:rFonts w:ascii="宋体" w:hAnsi="宋体" w:cs="宋体" w:eastAsia="宋体" w:hint="default"/>
                <w:sz w:val="13"/>
                <w:szCs w:val="13"/>
              </w:rPr>
              <w:t>信息安全业</w:t>
            </w:r>
          </w:p>
        </w:tc>
        <w:tc>
          <w:tcPr>
            <w:tcW w:w="965" w:type="dxa"/>
            <w:tcBorders>
              <w:top w:val="nil" w:sz="6" w:space="0" w:color="auto"/>
              <w:left w:val="single" w:sz="4" w:space="0" w:color="000000"/>
              <w:bottom w:val="nil" w:sz="6" w:space="0" w:color="auto"/>
              <w:right w:val="single" w:sz="4" w:space="0" w:color="000000"/>
            </w:tcBorders>
          </w:tcPr>
          <w:p>
            <w:pPr/>
          </w:p>
        </w:tc>
        <w:tc>
          <w:tcPr>
            <w:tcW w:w="2098" w:type="dxa"/>
            <w:tcBorders>
              <w:top w:val="nil" w:sz="6" w:space="0" w:color="auto"/>
              <w:left w:val="single" w:sz="4" w:space="0" w:color="000000"/>
              <w:bottom w:val="nil" w:sz="6" w:space="0" w:color="auto"/>
              <w:right w:val="single" w:sz="4" w:space="0" w:color="000000"/>
            </w:tcBorders>
          </w:tcPr>
          <w:p>
            <w:pPr/>
          </w:p>
        </w:tc>
        <w:tc>
          <w:tcPr>
            <w:tcW w:w="907" w:type="dxa"/>
            <w:tcBorders>
              <w:top w:val="nil" w:sz="6" w:space="0" w:color="auto"/>
              <w:left w:val="single" w:sz="4" w:space="0" w:color="000000"/>
              <w:bottom w:val="nil" w:sz="6" w:space="0" w:color="auto"/>
              <w:right w:val="single" w:sz="4" w:space="0" w:color="000000"/>
            </w:tcBorders>
          </w:tcPr>
          <w:p>
            <w:pPr/>
          </w:p>
        </w:tc>
        <w:tc>
          <w:tcPr>
            <w:tcW w:w="425" w:type="dxa"/>
            <w:tcBorders>
              <w:top w:val="nil" w:sz="6" w:space="0" w:color="auto"/>
              <w:left w:val="single" w:sz="4" w:space="0" w:color="000000"/>
              <w:bottom w:val="nil" w:sz="6" w:space="0" w:color="auto"/>
              <w:right w:val="single" w:sz="4" w:space="0" w:color="000000"/>
            </w:tcBorders>
          </w:tcPr>
          <w:p>
            <w:pPr/>
          </w:p>
        </w:tc>
        <w:tc>
          <w:tcPr>
            <w:tcW w:w="568" w:type="dxa"/>
            <w:tcBorders>
              <w:top w:val="nil" w:sz="6" w:space="0" w:color="auto"/>
              <w:left w:val="single" w:sz="4" w:space="0" w:color="000000"/>
              <w:bottom w:val="nil" w:sz="6" w:space="0" w:color="auto"/>
              <w:right w:val="single" w:sz="4" w:space="0" w:color="000000"/>
            </w:tcBorders>
          </w:tcPr>
          <w:p>
            <w:pPr>
              <w:pStyle w:val="TableParagraph"/>
              <w:spacing w:line="153" w:lineRule="exact"/>
              <w:ind w:right="0"/>
              <w:jc w:val="center"/>
              <w:rPr>
                <w:rFonts w:ascii="Times New Roman" w:hAnsi="Times New Roman" w:cs="Times New Roman" w:eastAsia="Times New Roman" w:hint="default"/>
                <w:sz w:val="13"/>
                <w:szCs w:val="13"/>
              </w:rPr>
            </w:pPr>
            <w:r>
              <w:rPr>
                <w:rFonts w:ascii="Times New Roman" w:hAnsi="Times New Roman" w:cs="Times New Roman" w:eastAsia="Times New Roman" w:hint="default"/>
                <w:sz w:val="13"/>
                <w:szCs w:val="13"/>
              </w:rPr>
              <w:t>2018</w:t>
            </w:r>
            <w:r>
              <w:rPr>
                <w:rFonts w:ascii="Times New Roman" w:hAnsi="Times New Roman" w:cs="Times New Roman" w:eastAsia="Times New Roman" w:hint="default"/>
                <w:spacing w:val="-15"/>
                <w:sz w:val="13"/>
                <w:szCs w:val="13"/>
              </w:rPr>
              <w:t> </w:t>
            </w:r>
            <w:r>
              <w:rPr>
                <w:rFonts w:ascii="宋体" w:hAnsi="宋体" w:cs="宋体" w:eastAsia="宋体" w:hint="default"/>
                <w:sz w:val="13"/>
                <w:szCs w:val="13"/>
              </w:rPr>
              <w:t>年</w:t>
            </w:r>
            <w:r>
              <w:rPr>
                <w:rFonts w:ascii="宋体" w:hAnsi="宋体" w:cs="宋体" w:eastAsia="宋体" w:hint="default"/>
                <w:spacing w:val="-48"/>
                <w:sz w:val="13"/>
                <w:szCs w:val="13"/>
              </w:rPr>
              <w:t> </w:t>
            </w:r>
            <w:r>
              <w:rPr>
                <w:rFonts w:ascii="Times New Roman" w:hAnsi="Times New Roman" w:cs="Times New Roman" w:eastAsia="Times New Roman" w:hint="default"/>
                <w:sz w:val="13"/>
                <w:szCs w:val="13"/>
              </w:rPr>
              <w:t>04</w:t>
            </w:r>
          </w:p>
        </w:tc>
        <w:tc>
          <w:tcPr>
            <w:tcW w:w="566"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center"/>
              <w:rPr>
                <w:rFonts w:ascii="Times New Roman" w:hAnsi="Times New Roman" w:cs="Times New Roman" w:eastAsia="Times New Roman" w:hint="default"/>
                <w:sz w:val="13"/>
                <w:szCs w:val="13"/>
              </w:rPr>
            </w:pPr>
            <w:r>
              <w:rPr>
                <w:rFonts w:ascii="Times New Roman"/>
                <w:sz w:val="13"/>
              </w:rPr>
              <w:t>2018-041</w:t>
            </w:r>
          </w:p>
        </w:tc>
      </w:tr>
      <w:tr>
        <w:trPr>
          <w:trHeight w:val="157" w:hRule="exact"/>
        </w:trPr>
        <w:tc>
          <w:tcPr>
            <w:tcW w:w="964" w:type="dxa"/>
            <w:tcBorders>
              <w:top w:val="nil" w:sz="6" w:space="0" w:color="auto"/>
              <w:left w:val="single" w:sz="4" w:space="0" w:color="000000"/>
              <w:bottom w:val="nil" w:sz="6" w:space="0" w:color="auto"/>
              <w:right w:val="single" w:sz="4" w:space="0" w:color="000000"/>
            </w:tcBorders>
          </w:tcPr>
          <w:p>
            <w:pPr/>
          </w:p>
        </w:tc>
        <w:tc>
          <w:tcPr>
            <w:tcW w:w="1020" w:type="dxa"/>
            <w:tcBorders>
              <w:top w:val="nil" w:sz="6" w:space="0" w:color="auto"/>
              <w:left w:val="single" w:sz="4" w:space="0" w:color="000000"/>
              <w:bottom w:val="nil" w:sz="6" w:space="0" w:color="auto"/>
              <w:right w:val="single" w:sz="4" w:space="0" w:color="000000"/>
            </w:tcBorders>
          </w:tcPr>
          <w:p>
            <w:pPr>
              <w:pStyle w:val="TableParagraph"/>
              <w:spacing w:line="139" w:lineRule="exact"/>
              <w:ind w:left="-1" w:right="0"/>
              <w:jc w:val="left"/>
              <w:rPr>
                <w:rFonts w:ascii="宋体" w:hAnsi="宋体" w:cs="宋体" w:eastAsia="宋体" w:hint="default"/>
                <w:sz w:val="13"/>
                <w:szCs w:val="13"/>
              </w:rPr>
            </w:pPr>
            <w:r>
              <w:rPr>
                <w:rFonts w:ascii="宋体" w:hAnsi="宋体" w:cs="宋体" w:eastAsia="宋体" w:hint="default"/>
                <w:spacing w:val="-12"/>
                <w:sz w:val="13"/>
                <w:szCs w:val="13"/>
              </w:rPr>
              <w:t>研发、生产、销售</w:t>
            </w:r>
          </w:p>
        </w:tc>
        <w:tc>
          <w:tcPr>
            <w:tcW w:w="397" w:type="dxa"/>
            <w:tcBorders>
              <w:top w:val="nil" w:sz="6" w:space="0" w:color="auto"/>
              <w:left w:val="single" w:sz="4" w:space="0" w:color="000000"/>
              <w:bottom w:val="nil" w:sz="6" w:space="0" w:color="auto"/>
              <w:right w:val="single" w:sz="4" w:space="0" w:color="000000"/>
            </w:tcBorders>
          </w:tcPr>
          <w:p>
            <w:pPr>
              <w:pStyle w:val="TableParagraph"/>
              <w:spacing w:line="139" w:lineRule="exact"/>
              <w:ind w:right="1"/>
              <w:jc w:val="center"/>
              <w:rPr>
                <w:rFonts w:ascii="宋体" w:hAnsi="宋体" w:cs="宋体" w:eastAsia="宋体" w:hint="default"/>
                <w:sz w:val="13"/>
                <w:szCs w:val="13"/>
              </w:rPr>
            </w:pPr>
            <w:r>
              <w:rPr>
                <w:rFonts w:ascii="宋体" w:hAnsi="宋体" w:cs="宋体" w:eastAsia="宋体" w:hint="default"/>
                <w:sz w:val="13"/>
                <w:szCs w:val="13"/>
              </w:rPr>
              <w:t>及增</w:t>
            </w:r>
          </w:p>
        </w:tc>
        <w:tc>
          <w:tcPr>
            <w:tcW w:w="96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1"/>
              <w:jc w:val="right"/>
              <w:rPr>
                <w:rFonts w:ascii="Times New Roman" w:hAnsi="Times New Roman" w:cs="Times New Roman" w:eastAsia="Times New Roman" w:hint="default"/>
                <w:sz w:val="13"/>
                <w:szCs w:val="13"/>
              </w:rPr>
            </w:pPr>
            <w:r>
              <w:rPr>
                <w:rFonts w:ascii="Times New Roman"/>
                <w:spacing w:val="-1"/>
                <w:sz w:val="13"/>
              </w:rPr>
              <w:t>211,200,000.00</w:t>
            </w:r>
          </w:p>
        </w:tc>
        <w:tc>
          <w:tcPr>
            <w:tcW w:w="42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1"/>
              <w:jc w:val="center"/>
              <w:rPr>
                <w:rFonts w:ascii="Times New Roman" w:hAnsi="Times New Roman" w:cs="Times New Roman" w:eastAsia="Times New Roman" w:hint="default"/>
                <w:sz w:val="13"/>
                <w:szCs w:val="13"/>
              </w:rPr>
            </w:pPr>
            <w:r>
              <w:rPr>
                <w:rFonts w:ascii="Times New Roman"/>
                <w:sz w:val="13"/>
              </w:rPr>
              <w:t>44.00%</w:t>
            </w:r>
          </w:p>
        </w:tc>
        <w:tc>
          <w:tcPr>
            <w:tcW w:w="397" w:type="dxa"/>
            <w:tcBorders>
              <w:top w:val="nil" w:sz="6" w:space="0" w:color="auto"/>
              <w:left w:val="single" w:sz="4" w:space="0" w:color="000000"/>
              <w:bottom w:val="nil" w:sz="6" w:space="0" w:color="auto"/>
              <w:right w:val="single" w:sz="4" w:space="0" w:color="000000"/>
            </w:tcBorders>
          </w:tcPr>
          <w:p>
            <w:pPr>
              <w:pStyle w:val="TableParagraph"/>
              <w:spacing w:line="140" w:lineRule="exact"/>
              <w:ind w:left="1" w:right="0"/>
              <w:jc w:val="center"/>
              <w:rPr>
                <w:rFonts w:ascii="宋体" w:hAnsi="宋体" w:cs="宋体" w:eastAsia="宋体" w:hint="default"/>
                <w:sz w:val="13"/>
                <w:szCs w:val="13"/>
              </w:rPr>
            </w:pPr>
            <w:r>
              <w:rPr>
                <w:rFonts w:ascii="宋体" w:hAnsi="宋体" w:cs="宋体" w:eastAsia="宋体" w:hint="default"/>
                <w:sz w:val="13"/>
                <w:szCs w:val="13"/>
              </w:rPr>
              <w:t>自筹</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140" w:lineRule="exact"/>
              <w:ind w:right="0"/>
              <w:jc w:val="center"/>
              <w:rPr>
                <w:rFonts w:ascii="宋体" w:hAnsi="宋体" w:cs="宋体" w:eastAsia="宋体" w:hint="default"/>
                <w:sz w:val="13"/>
                <w:szCs w:val="13"/>
              </w:rPr>
            </w:pPr>
            <w:r>
              <w:rPr>
                <w:rFonts w:ascii="宋体" w:hAnsi="宋体" w:cs="宋体" w:eastAsia="宋体" w:hint="default"/>
                <w:sz w:val="13"/>
                <w:szCs w:val="13"/>
              </w:rPr>
              <w:t>不适用</w:t>
            </w:r>
          </w:p>
        </w:tc>
        <w:tc>
          <w:tcPr>
            <w:tcW w:w="455" w:type="dxa"/>
            <w:tcBorders>
              <w:top w:val="nil" w:sz="6" w:space="0" w:color="auto"/>
              <w:left w:val="single" w:sz="4" w:space="0" w:color="000000"/>
              <w:bottom w:val="nil" w:sz="6" w:space="0" w:color="auto"/>
              <w:right w:val="single" w:sz="4" w:space="0" w:color="000000"/>
            </w:tcBorders>
          </w:tcPr>
          <w:p>
            <w:pPr>
              <w:pStyle w:val="TableParagraph"/>
              <w:spacing w:line="140" w:lineRule="exact"/>
              <w:ind w:right="1"/>
              <w:jc w:val="center"/>
              <w:rPr>
                <w:rFonts w:ascii="宋体" w:hAnsi="宋体" w:cs="宋体" w:eastAsia="宋体" w:hint="default"/>
                <w:sz w:val="13"/>
                <w:szCs w:val="13"/>
              </w:rPr>
            </w:pPr>
            <w:r>
              <w:rPr>
                <w:rFonts w:ascii="宋体" w:hAnsi="宋体" w:cs="宋体" w:eastAsia="宋体" w:hint="default"/>
                <w:sz w:val="13"/>
                <w:szCs w:val="13"/>
              </w:rPr>
              <w:t>不适用</w:t>
            </w:r>
          </w:p>
        </w:tc>
        <w:tc>
          <w:tcPr>
            <w:tcW w:w="679" w:type="dxa"/>
            <w:tcBorders>
              <w:top w:val="nil" w:sz="6" w:space="0" w:color="auto"/>
              <w:left w:val="single" w:sz="4" w:space="0" w:color="000000"/>
              <w:bottom w:val="nil" w:sz="6" w:space="0" w:color="auto"/>
              <w:right w:val="single" w:sz="4" w:space="0" w:color="000000"/>
            </w:tcBorders>
          </w:tcPr>
          <w:p>
            <w:pPr/>
          </w:p>
        </w:tc>
        <w:tc>
          <w:tcPr>
            <w:tcW w:w="965" w:type="dxa"/>
            <w:tcBorders>
              <w:top w:val="nil" w:sz="6" w:space="0" w:color="auto"/>
              <w:left w:val="single" w:sz="4" w:space="0" w:color="000000"/>
              <w:bottom w:val="nil" w:sz="6" w:space="0" w:color="auto"/>
              <w:right w:val="single" w:sz="4" w:space="0" w:color="000000"/>
            </w:tcBorders>
          </w:tcPr>
          <w:p>
            <w:pPr>
              <w:pStyle w:val="TableParagraph"/>
              <w:spacing w:line="140" w:lineRule="exact"/>
              <w:ind w:right="0"/>
              <w:jc w:val="center"/>
              <w:rPr>
                <w:rFonts w:ascii="宋体" w:hAnsi="宋体" w:cs="宋体" w:eastAsia="宋体" w:hint="default"/>
                <w:sz w:val="13"/>
                <w:szCs w:val="13"/>
              </w:rPr>
            </w:pPr>
            <w:r>
              <w:rPr>
                <w:rFonts w:ascii="宋体" w:hAnsi="宋体" w:cs="宋体" w:eastAsia="宋体" w:hint="default"/>
                <w:sz w:val="13"/>
                <w:szCs w:val="13"/>
              </w:rPr>
              <w:t>已完成</w:t>
            </w:r>
          </w:p>
        </w:tc>
        <w:tc>
          <w:tcPr>
            <w:tcW w:w="2098" w:type="dxa"/>
            <w:tcBorders>
              <w:top w:val="nil" w:sz="6" w:space="0" w:color="auto"/>
              <w:left w:val="single" w:sz="4" w:space="0" w:color="000000"/>
              <w:bottom w:val="nil" w:sz="6" w:space="0" w:color="auto"/>
              <w:right w:val="single" w:sz="4" w:space="0" w:color="000000"/>
            </w:tcBorders>
          </w:tcPr>
          <w:p>
            <w:pPr>
              <w:pStyle w:val="TableParagraph"/>
              <w:spacing w:line="139" w:lineRule="exact"/>
              <w:ind w:left="-1" w:right="0"/>
              <w:jc w:val="left"/>
              <w:rPr>
                <w:rFonts w:ascii="宋体" w:hAnsi="宋体" w:cs="宋体" w:eastAsia="宋体" w:hint="default"/>
                <w:sz w:val="13"/>
                <w:szCs w:val="13"/>
              </w:rPr>
            </w:pPr>
            <w:r>
              <w:rPr>
                <w:rFonts w:ascii="宋体" w:hAnsi="宋体" w:cs="宋体" w:eastAsia="宋体" w:hint="default"/>
                <w:sz w:val="13"/>
                <w:szCs w:val="13"/>
              </w:rPr>
              <w:t>母公司所有者的净利润之和将不低于</w:t>
            </w:r>
          </w:p>
        </w:tc>
        <w:tc>
          <w:tcPr>
            <w:tcW w:w="90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1"/>
              <w:jc w:val="right"/>
              <w:rPr>
                <w:rFonts w:ascii="Times New Roman" w:hAnsi="Times New Roman" w:cs="Times New Roman" w:eastAsia="Times New Roman" w:hint="default"/>
                <w:sz w:val="13"/>
                <w:szCs w:val="13"/>
              </w:rPr>
            </w:pPr>
            <w:r>
              <w:rPr>
                <w:rFonts w:ascii="Times New Roman"/>
                <w:w w:val="95"/>
                <w:sz w:val="13"/>
              </w:rPr>
              <w:t>5,331,914.13</w:t>
            </w:r>
            <w:r>
              <w:rPr>
                <w:rFonts w:ascii="Times New Roman"/>
                <w:sz w:val="13"/>
              </w:rPr>
            </w:r>
          </w:p>
        </w:tc>
        <w:tc>
          <w:tcPr>
            <w:tcW w:w="425" w:type="dxa"/>
            <w:tcBorders>
              <w:top w:val="nil" w:sz="6" w:space="0" w:color="auto"/>
              <w:left w:val="single" w:sz="4" w:space="0" w:color="000000"/>
              <w:bottom w:val="nil" w:sz="6" w:space="0" w:color="auto"/>
              <w:right w:val="single" w:sz="4" w:space="0" w:color="000000"/>
            </w:tcBorders>
          </w:tcPr>
          <w:p>
            <w:pPr>
              <w:pStyle w:val="TableParagraph"/>
              <w:spacing w:line="140" w:lineRule="exact"/>
              <w:ind w:right="0"/>
              <w:jc w:val="center"/>
              <w:rPr>
                <w:rFonts w:ascii="宋体" w:hAnsi="宋体" w:cs="宋体" w:eastAsia="宋体" w:hint="default"/>
                <w:sz w:val="13"/>
                <w:szCs w:val="13"/>
              </w:rPr>
            </w:pPr>
            <w:r>
              <w:rPr>
                <w:rFonts w:ascii="宋体" w:hAnsi="宋体" w:cs="宋体" w:eastAsia="宋体" w:hint="default"/>
                <w:w w:val="99"/>
                <w:sz w:val="13"/>
                <w:szCs w:val="13"/>
              </w:rPr>
              <w:t>否</w:t>
            </w:r>
            <w:r>
              <w:rPr>
                <w:rFonts w:ascii="宋体" w:hAnsi="宋体" w:cs="宋体" w:eastAsia="宋体" w:hint="default"/>
                <w:sz w:val="13"/>
                <w:szCs w:val="13"/>
              </w:rPr>
            </w:r>
          </w:p>
        </w:tc>
        <w:tc>
          <w:tcPr>
            <w:tcW w:w="568" w:type="dxa"/>
            <w:tcBorders>
              <w:top w:val="nil" w:sz="6" w:space="0" w:color="auto"/>
              <w:left w:val="single" w:sz="4" w:space="0" w:color="000000"/>
              <w:bottom w:val="nil" w:sz="6" w:space="0" w:color="auto"/>
              <w:right w:val="single" w:sz="4" w:space="0" w:color="000000"/>
            </w:tcBorders>
          </w:tcPr>
          <w:p>
            <w:pPr/>
          </w:p>
        </w:tc>
        <w:tc>
          <w:tcPr>
            <w:tcW w:w="566" w:type="dxa"/>
            <w:tcBorders>
              <w:top w:val="nil" w:sz="6" w:space="0" w:color="auto"/>
              <w:left w:val="single" w:sz="4" w:space="0" w:color="000000"/>
              <w:bottom w:val="nil" w:sz="6" w:space="0" w:color="auto"/>
              <w:right w:val="single" w:sz="4" w:space="0" w:color="000000"/>
            </w:tcBorders>
          </w:tcPr>
          <w:p>
            <w:pPr/>
          </w:p>
        </w:tc>
      </w:tr>
      <w:tr>
        <w:trPr>
          <w:trHeight w:val="155" w:hRule="exact"/>
        </w:trPr>
        <w:tc>
          <w:tcPr>
            <w:tcW w:w="964" w:type="dxa"/>
            <w:tcBorders>
              <w:top w:val="nil" w:sz="6" w:space="0" w:color="auto"/>
              <w:left w:val="single" w:sz="4" w:space="0" w:color="000000"/>
              <w:bottom w:val="nil" w:sz="6" w:space="0" w:color="auto"/>
              <w:right w:val="single" w:sz="4" w:space="0" w:color="000000"/>
            </w:tcBorders>
          </w:tcPr>
          <w:p>
            <w:pPr>
              <w:pStyle w:val="TableParagraph"/>
              <w:spacing w:line="139" w:lineRule="exact"/>
              <w:ind w:left="-1" w:right="0"/>
              <w:jc w:val="left"/>
              <w:rPr>
                <w:rFonts w:ascii="宋体" w:hAnsi="宋体" w:cs="宋体" w:eastAsia="宋体" w:hint="default"/>
                <w:sz w:val="13"/>
                <w:szCs w:val="13"/>
              </w:rPr>
            </w:pPr>
            <w:r>
              <w:rPr>
                <w:rFonts w:ascii="宋体" w:hAnsi="宋体" w:cs="宋体" w:eastAsia="宋体" w:hint="default"/>
                <w:sz w:val="13"/>
                <w:szCs w:val="13"/>
              </w:rPr>
              <w:t>科技有限公司</w:t>
            </w:r>
          </w:p>
        </w:tc>
        <w:tc>
          <w:tcPr>
            <w:tcW w:w="1020" w:type="dxa"/>
            <w:tcBorders>
              <w:top w:val="nil" w:sz="6" w:space="0" w:color="auto"/>
              <w:left w:val="single" w:sz="4" w:space="0" w:color="000000"/>
              <w:bottom w:val="nil" w:sz="6" w:space="0" w:color="auto"/>
              <w:right w:val="single" w:sz="4" w:space="0" w:color="000000"/>
            </w:tcBorders>
          </w:tcPr>
          <w:p>
            <w:pPr/>
          </w:p>
        </w:tc>
        <w:tc>
          <w:tcPr>
            <w:tcW w:w="397" w:type="dxa"/>
            <w:tcBorders>
              <w:top w:val="nil" w:sz="6" w:space="0" w:color="auto"/>
              <w:left w:val="single" w:sz="4" w:space="0" w:color="000000"/>
              <w:bottom w:val="nil" w:sz="6" w:space="0" w:color="auto"/>
              <w:right w:val="single" w:sz="4" w:space="0" w:color="000000"/>
            </w:tcBorders>
          </w:tcPr>
          <w:p>
            <w:pPr/>
          </w:p>
        </w:tc>
        <w:tc>
          <w:tcPr>
            <w:tcW w:w="964" w:type="dxa"/>
            <w:tcBorders>
              <w:top w:val="nil" w:sz="6" w:space="0" w:color="auto"/>
              <w:left w:val="single" w:sz="4" w:space="0" w:color="000000"/>
              <w:bottom w:val="nil" w:sz="6" w:space="0" w:color="auto"/>
              <w:right w:val="single" w:sz="4" w:space="0" w:color="000000"/>
            </w:tcBorders>
          </w:tcPr>
          <w:p>
            <w:pPr/>
          </w:p>
        </w:tc>
        <w:tc>
          <w:tcPr>
            <w:tcW w:w="425" w:type="dxa"/>
            <w:tcBorders>
              <w:top w:val="nil" w:sz="6" w:space="0" w:color="auto"/>
              <w:left w:val="single" w:sz="4" w:space="0" w:color="000000"/>
              <w:bottom w:val="nil" w:sz="6" w:space="0" w:color="auto"/>
              <w:right w:val="single" w:sz="4" w:space="0" w:color="000000"/>
            </w:tcBorders>
          </w:tcPr>
          <w:p>
            <w:pPr/>
          </w:p>
        </w:tc>
        <w:tc>
          <w:tcPr>
            <w:tcW w:w="397"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455" w:type="dxa"/>
            <w:tcBorders>
              <w:top w:val="nil" w:sz="6" w:space="0" w:color="auto"/>
              <w:left w:val="single" w:sz="4" w:space="0" w:color="000000"/>
              <w:bottom w:val="nil" w:sz="6" w:space="0" w:color="auto"/>
              <w:right w:val="single" w:sz="4" w:space="0" w:color="000000"/>
            </w:tcBorders>
          </w:tcPr>
          <w:p>
            <w:pPr/>
          </w:p>
        </w:tc>
        <w:tc>
          <w:tcPr>
            <w:tcW w:w="679" w:type="dxa"/>
            <w:tcBorders>
              <w:top w:val="nil" w:sz="6" w:space="0" w:color="auto"/>
              <w:left w:val="single" w:sz="4" w:space="0" w:color="000000"/>
              <w:bottom w:val="nil" w:sz="6" w:space="0" w:color="auto"/>
              <w:right w:val="single" w:sz="4" w:space="0" w:color="000000"/>
            </w:tcBorders>
          </w:tcPr>
          <w:p>
            <w:pPr>
              <w:pStyle w:val="TableParagraph"/>
              <w:spacing w:line="139" w:lineRule="exact"/>
              <w:ind w:left="-1" w:right="0"/>
              <w:jc w:val="left"/>
              <w:rPr>
                <w:rFonts w:ascii="宋体" w:hAnsi="宋体" w:cs="宋体" w:eastAsia="宋体" w:hint="default"/>
                <w:sz w:val="13"/>
                <w:szCs w:val="13"/>
              </w:rPr>
            </w:pPr>
            <w:r>
              <w:rPr>
                <w:rFonts w:ascii="宋体" w:hAnsi="宋体" w:cs="宋体" w:eastAsia="宋体" w:hint="default"/>
                <w:w w:val="99"/>
                <w:sz w:val="13"/>
                <w:szCs w:val="13"/>
              </w:rPr>
              <w:t>务</w:t>
            </w:r>
            <w:r>
              <w:rPr>
                <w:rFonts w:ascii="宋体" w:hAnsi="宋体" w:cs="宋体" w:eastAsia="宋体" w:hint="default"/>
                <w:sz w:val="13"/>
                <w:szCs w:val="13"/>
              </w:rPr>
            </w:r>
          </w:p>
        </w:tc>
        <w:tc>
          <w:tcPr>
            <w:tcW w:w="965" w:type="dxa"/>
            <w:tcBorders>
              <w:top w:val="nil" w:sz="6" w:space="0" w:color="auto"/>
              <w:left w:val="single" w:sz="4" w:space="0" w:color="000000"/>
              <w:bottom w:val="nil" w:sz="6" w:space="0" w:color="auto"/>
              <w:right w:val="single" w:sz="4" w:space="0" w:color="000000"/>
            </w:tcBorders>
          </w:tcPr>
          <w:p>
            <w:pPr/>
          </w:p>
        </w:tc>
        <w:tc>
          <w:tcPr>
            <w:tcW w:w="2098" w:type="dxa"/>
            <w:tcBorders>
              <w:top w:val="nil" w:sz="6" w:space="0" w:color="auto"/>
              <w:left w:val="single" w:sz="4" w:space="0" w:color="000000"/>
              <w:bottom w:val="nil" w:sz="6" w:space="0" w:color="auto"/>
              <w:right w:val="single" w:sz="4" w:space="0" w:color="000000"/>
            </w:tcBorders>
          </w:tcPr>
          <w:p>
            <w:pPr/>
          </w:p>
        </w:tc>
        <w:tc>
          <w:tcPr>
            <w:tcW w:w="907" w:type="dxa"/>
            <w:tcBorders>
              <w:top w:val="nil" w:sz="6" w:space="0" w:color="auto"/>
              <w:left w:val="single" w:sz="4" w:space="0" w:color="000000"/>
              <w:bottom w:val="nil" w:sz="6" w:space="0" w:color="auto"/>
              <w:right w:val="single" w:sz="4" w:space="0" w:color="000000"/>
            </w:tcBorders>
          </w:tcPr>
          <w:p>
            <w:pPr/>
          </w:p>
        </w:tc>
        <w:tc>
          <w:tcPr>
            <w:tcW w:w="425" w:type="dxa"/>
            <w:tcBorders>
              <w:top w:val="nil" w:sz="6" w:space="0" w:color="auto"/>
              <w:left w:val="single" w:sz="4" w:space="0" w:color="000000"/>
              <w:bottom w:val="nil" w:sz="6" w:space="0" w:color="auto"/>
              <w:right w:val="single" w:sz="4" w:space="0" w:color="000000"/>
            </w:tcBorders>
          </w:tcPr>
          <w:p>
            <w:pPr/>
          </w:p>
        </w:tc>
        <w:tc>
          <w:tcPr>
            <w:tcW w:w="568"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1"/>
              <w:jc w:val="center"/>
              <w:rPr>
                <w:rFonts w:ascii="宋体" w:hAnsi="宋体" w:cs="宋体" w:eastAsia="宋体" w:hint="default"/>
                <w:sz w:val="13"/>
                <w:szCs w:val="13"/>
              </w:rPr>
            </w:pPr>
            <w:r>
              <w:rPr>
                <w:rFonts w:ascii="宋体" w:hAnsi="宋体" w:cs="宋体" w:eastAsia="宋体" w:hint="default"/>
                <w:sz w:val="13"/>
                <w:szCs w:val="13"/>
              </w:rPr>
              <w:t>月</w:t>
            </w:r>
            <w:r>
              <w:rPr>
                <w:rFonts w:ascii="宋体" w:hAnsi="宋体" w:cs="宋体" w:eastAsia="宋体" w:hint="default"/>
                <w:spacing w:val="-34"/>
                <w:sz w:val="13"/>
                <w:szCs w:val="13"/>
              </w:rPr>
              <w:t> </w:t>
            </w:r>
            <w:r>
              <w:rPr>
                <w:rFonts w:ascii="Times New Roman" w:hAnsi="Times New Roman" w:cs="Times New Roman" w:eastAsia="Times New Roman" w:hint="default"/>
                <w:sz w:val="13"/>
                <w:szCs w:val="13"/>
              </w:rPr>
              <w:t>17</w:t>
            </w:r>
            <w:r>
              <w:rPr>
                <w:rFonts w:ascii="Times New Roman" w:hAnsi="Times New Roman" w:cs="Times New Roman" w:eastAsia="Times New Roman" w:hint="default"/>
                <w:spacing w:val="-2"/>
                <w:sz w:val="13"/>
                <w:szCs w:val="13"/>
              </w:rPr>
              <w:t> </w:t>
            </w:r>
            <w:r>
              <w:rPr>
                <w:rFonts w:ascii="宋体" w:hAnsi="宋体" w:cs="宋体" w:eastAsia="宋体" w:hint="default"/>
                <w:sz w:val="13"/>
                <w:szCs w:val="13"/>
              </w:rPr>
              <w:t>日</w:t>
            </w:r>
          </w:p>
        </w:tc>
        <w:tc>
          <w:tcPr>
            <w:tcW w:w="566" w:type="dxa"/>
            <w:tcBorders>
              <w:top w:val="nil" w:sz="6" w:space="0" w:color="auto"/>
              <w:left w:val="single" w:sz="4" w:space="0" w:color="000000"/>
              <w:bottom w:val="nil" w:sz="6" w:space="0" w:color="auto"/>
              <w:right w:val="single" w:sz="4" w:space="0" w:color="000000"/>
            </w:tcBorders>
          </w:tcPr>
          <w:p>
            <w:pPr>
              <w:pStyle w:val="TableParagraph"/>
              <w:spacing w:line="139" w:lineRule="exact"/>
              <w:ind w:right="0"/>
              <w:jc w:val="center"/>
              <w:rPr>
                <w:rFonts w:ascii="宋体" w:hAnsi="宋体" w:cs="宋体" w:eastAsia="宋体" w:hint="default"/>
                <w:sz w:val="13"/>
                <w:szCs w:val="13"/>
              </w:rPr>
            </w:pPr>
            <w:r>
              <w:rPr>
                <w:rFonts w:ascii="宋体" w:hAnsi="宋体" w:cs="宋体" w:eastAsia="宋体" w:hint="default"/>
                <w:sz w:val="13"/>
                <w:szCs w:val="13"/>
              </w:rPr>
              <w:t>号公告</w:t>
            </w:r>
          </w:p>
        </w:tc>
      </w:tr>
      <w:tr>
        <w:trPr>
          <w:trHeight w:val="234" w:hRule="exact"/>
        </w:trPr>
        <w:tc>
          <w:tcPr>
            <w:tcW w:w="964" w:type="dxa"/>
            <w:tcBorders>
              <w:top w:val="nil" w:sz="6" w:space="0" w:color="auto"/>
              <w:left w:val="single" w:sz="4" w:space="0" w:color="000000"/>
              <w:bottom w:val="nil" w:sz="6" w:space="0" w:color="auto"/>
              <w:right w:val="single" w:sz="4" w:space="0" w:color="000000"/>
            </w:tcBorders>
          </w:tcPr>
          <w:p>
            <w:pPr/>
          </w:p>
        </w:tc>
        <w:tc>
          <w:tcPr>
            <w:tcW w:w="1020" w:type="dxa"/>
            <w:tcBorders>
              <w:top w:val="nil" w:sz="6" w:space="0" w:color="auto"/>
              <w:left w:val="single" w:sz="4" w:space="0" w:color="000000"/>
              <w:bottom w:val="nil" w:sz="6" w:space="0" w:color="auto"/>
              <w:right w:val="single" w:sz="4" w:space="0" w:color="000000"/>
            </w:tcBorders>
          </w:tcPr>
          <w:p>
            <w:pPr>
              <w:pStyle w:val="TableParagraph"/>
              <w:spacing w:line="140" w:lineRule="exact"/>
              <w:ind w:left="-1" w:right="0"/>
              <w:jc w:val="left"/>
              <w:rPr>
                <w:rFonts w:ascii="宋体" w:hAnsi="宋体" w:cs="宋体" w:eastAsia="宋体" w:hint="default"/>
                <w:sz w:val="13"/>
                <w:szCs w:val="13"/>
              </w:rPr>
            </w:pPr>
            <w:r>
              <w:rPr>
                <w:rFonts w:ascii="宋体" w:hAnsi="宋体" w:cs="宋体" w:eastAsia="宋体" w:hint="default"/>
                <w:sz w:val="13"/>
                <w:szCs w:val="13"/>
              </w:rPr>
              <w:t>售后服务</w:t>
            </w:r>
          </w:p>
        </w:tc>
        <w:tc>
          <w:tcPr>
            <w:tcW w:w="397" w:type="dxa"/>
            <w:tcBorders>
              <w:top w:val="nil" w:sz="6" w:space="0" w:color="auto"/>
              <w:left w:val="single" w:sz="4" w:space="0" w:color="000000"/>
              <w:bottom w:val="nil" w:sz="6" w:space="0" w:color="auto"/>
              <w:right w:val="single" w:sz="4" w:space="0" w:color="000000"/>
            </w:tcBorders>
          </w:tcPr>
          <w:p>
            <w:pPr>
              <w:pStyle w:val="TableParagraph"/>
              <w:spacing w:line="140" w:lineRule="exact"/>
              <w:ind w:right="1"/>
              <w:jc w:val="center"/>
              <w:rPr>
                <w:rFonts w:ascii="宋体" w:hAnsi="宋体" w:cs="宋体" w:eastAsia="宋体" w:hint="default"/>
                <w:sz w:val="13"/>
                <w:szCs w:val="13"/>
              </w:rPr>
            </w:pPr>
            <w:r>
              <w:rPr>
                <w:rFonts w:ascii="宋体" w:hAnsi="宋体" w:cs="宋体" w:eastAsia="宋体" w:hint="default"/>
                <w:w w:val="99"/>
                <w:sz w:val="13"/>
                <w:szCs w:val="13"/>
              </w:rPr>
              <w:t>资</w:t>
            </w:r>
            <w:r>
              <w:rPr>
                <w:rFonts w:ascii="宋体" w:hAnsi="宋体" w:cs="宋体" w:eastAsia="宋体" w:hint="default"/>
                <w:sz w:val="13"/>
                <w:szCs w:val="13"/>
              </w:rPr>
            </w:r>
          </w:p>
        </w:tc>
        <w:tc>
          <w:tcPr>
            <w:tcW w:w="964" w:type="dxa"/>
            <w:tcBorders>
              <w:top w:val="nil" w:sz="6" w:space="0" w:color="auto"/>
              <w:left w:val="single" w:sz="4" w:space="0" w:color="000000"/>
              <w:bottom w:val="nil" w:sz="6" w:space="0" w:color="auto"/>
              <w:right w:val="single" w:sz="4" w:space="0" w:color="000000"/>
            </w:tcBorders>
          </w:tcPr>
          <w:p>
            <w:pPr/>
          </w:p>
        </w:tc>
        <w:tc>
          <w:tcPr>
            <w:tcW w:w="425" w:type="dxa"/>
            <w:tcBorders>
              <w:top w:val="nil" w:sz="6" w:space="0" w:color="auto"/>
              <w:left w:val="single" w:sz="4" w:space="0" w:color="000000"/>
              <w:bottom w:val="nil" w:sz="6" w:space="0" w:color="auto"/>
              <w:right w:val="single" w:sz="4" w:space="0" w:color="000000"/>
            </w:tcBorders>
          </w:tcPr>
          <w:p>
            <w:pPr/>
          </w:p>
        </w:tc>
        <w:tc>
          <w:tcPr>
            <w:tcW w:w="397"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455" w:type="dxa"/>
            <w:tcBorders>
              <w:top w:val="nil" w:sz="6" w:space="0" w:color="auto"/>
              <w:left w:val="single" w:sz="4" w:space="0" w:color="000000"/>
              <w:bottom w:val="nil" w:sz="6" w:space="0" w:color="auto"/>
              <w:right w:val="single" w:sz="4" w:space="0" w:color="000000"/>
            </w:tcBorders>
          </w:tcPr>
          <w:p>
            <w:pPr/>
          </w:p>
        </w:tc>
        <w:tc>
          <w:tcPr>
            <w:tcW w:w="679" w:type="dxa"/>
            <w:tcBorders>
              <w:top w:val="nil" w:sz="6" w:space="0" w:color="auto"/>
              <w:left w:val="single" w:sz="4" w:space="0" w:color="000000"/>
              <w:bottom w:val="nil" w:sz="6" w:space="0" w:color="auto"/>
              <w:right w:val="single" w:sz="4" w:space="0" w:color="000000"/>
            </w:tcBorders>
          </w:tcPr>
          <w:p>
            <w:pPr/>
          </w:p>
        </w:tc>
        <w:tc>
          <w:tcPr>
            <w:tcW w:w="965" w:type="dxa"/>
            <w:tcBorders>
              <w:top w:val="nil" w:sz="6" w:space="0" w:color="auto"/>
              <w:left w:val="single" w:sz="4" w:space="0" w:color="000000"/>
              <w:bottom w:val="nil" w:sz="6" w:space="0" w:color="auto"/>
              <w:right w:val="single" w:sz="4" w:space="0" w:color="000000"/>
            </w:tcBorders>
          </w:tcPr>
          <w:p>
            <w:pPr/>
          </w:p>
        </w:tc>
        <w:tc>
          <w:tcPr>
            <w:tcW w:w="2098"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23"/>
              <w:jc w:val="left"/>
              <w:rPr>
                <w:rFonts w:ascii="宋体" w:hAnsi="宋体" w:cs="宋体" w:eastAsia="宋体" w:hint="default"/>
                <w:sz w:val="13"/>
                <w:szCs w:val="13"/>
              </w:rPr>
            </w:pPr>
            <w:r>
              <w:rPr>
                <w:rFonts w:ascii="Times New Roman" w:hAnsi="Times New Roman" w:cs="Times New Roman" w:eastAsia="Times New Roman" w:hint="default"/>
                <w:sz w:val="13"/>
                <w:szCs w:val="13"/>
              </w:rPr>
              <w:t>8,700</w:t>
            </w:r>
            <w:r>
              <w:rPr>
                <w:rFonts w:ascii="Times New Roman" w:hAnsi="Times New Roman" w:cs="Times New Roman" w:eastAsia="Times New Roman" w:hint="default"/>
                <w:spacing w:val="-2"/>
                <w:sz w:val="13"/>
                <w:szCs w:val="13"/>
              </w:rPr>
              <w:t> </w:t>
            </w:r>
            <w:r>
              <w:rPr>
                <w:rFonts w:ascii="宋体" w:hAnsi="宋体" w:cs="宋体" w:eastAsia="宋体" w:hint="default"/>
                <w:sz w:val="13"/>
                <w:szCs w:val="13"/>
              </w:rPr>
              <w:t>万元，具体分别为</w:t>
            </w:r>
            <w:r>
              <w:rPr>
                <w:rFonts w:ascii="宋体" w:hAnsi="宋体" w:cs="宋体" w:eastAsia="宋体" w:hint="default"/>
                <w:spacing w:val="-34"/>
                <w:sz w:val="13"/>
                <w:szCs w:val="13"/>
              </w:rPr>
              <w:t> </w:t>
            </w:r>
            <w:r>
              <w:rPr>
                <w:rFonts w:ascii="Times New Roman" w:hAnsi="Times New Roman" w:cs="Times New Roman" w:eastAsia="Times New Roman" w:hint="default"/>
                <w:sz w:val="13"/>
                <w:szCs w:val="13"/>
              </w:rPr>
              <w:t>1,000</w:t>
            </w:r>
            <w:r>
              <w:rPr>
                <w:rFonts w:ascii="Times New Roman" w:hAnsi="Times New Roman" w:cs="Times New Roman" w:eastAsia="Times New Roman" w:hint="default"/>
                <w:spacing w:val="-2"/>
                <w:sz w:val="13"/>
                <w:szCs w:val="13"/>
              </w:rPr>
              <w:t> </w:t>
            </w:r>
            <w:r>
              <w:rPr>
                <w:rFonts w:ascii="宋体" w:hAnsi="宋体" w:cs="宋体" w:eastAsia="宋体" w:hint="default"/>
                <w:sz w:val="13"/>
                <w:szCs w:val="13"/>
              </w:rPr>
              <w:t>万元、</w:t>
            </w:r>
          </w:p>
        </w:tc>
        <w:tc>
          <w:tcPr>
            <w:tcW w:w="907" w:type="dxa"/>
            <w:tcBorders>
              <w:top w:val="nil" w:sz="6" w:space="0" w:color="auto"/>
              <w:left w:val="single" w:sz="4" w:space="0" w:color="000000"/>
              <w:bottom w:val="nil" w:sz="6" w:space="0" w:color="auto"/>
              <w:right w:val="single" w:sz="4" w:space="0" w:color="000000"/>
            </w:tcBorders>
          </w:tcPr>
          <w:p>
            <w:pPr/>
          </w:p>
        </w:tc>
        <w:tc>
          <w:tcPr>
            <w:tcW w:w="425" w:type="dxa"/>
            <w:tcBorders>
              <w:top w:val="nil" w:sz="6" w:space="0" w:color="auto"/>
              <w:left w:val="single" w:sz="4" w:space="0" w:color="000000"/>
              <w:bottom w:val="nil" w:sz="6" w:space="0" w:color="auto"/>
              <w:right w:val="single" w:sz="4" w:space="0" w:color="000000"/>
            </w:tcBorders>
          </w:tcPr>
          <w:p>
            <w:pPr/>
          </w:p>
        </w:tc>
        <w:tc>
          <w:tcPr>
            <w:tcW w:w="568" w:type="dxa"/>
            <w:tcBorders>
              <w:top w:val="nil" w:sz="6" w:space="0" w:color="auto"/>
              <w:left w:val="single" w:sz="4" w:space="0" w:color="000000"/>
              <w:bottom w:val="nil" w:sz="6" w:space="0" w:color="auto"/>
              <w:right w:val="single" w:sz="4" w:space="0" w:color="000000"/>
            </w:tcBorders>
          </w:tcPr>
          <w:p>
            <w:pPr/>
          </w:p>
        </w:tc>
        <w:tc>
          <w:tcPr>
            <w:tcW w:w="566" w:type="dxa"/>
            <w:tcBorders>
              <w:top w:val="nil" w:sz="6" w:space="0" w:color="auto"/>
              <w:left w:val="single" w:sz="4" w:space="0" w:color="000000"/>
              <w:bottom w:val="nil" w:sz="6" w:space="0" w:color="auto"/>
              <w:right w:val="single" w:sz="4" w:space="0" w:color="000000"/>
            </w:tcBorders>
          </w:tcPr>
          <w:p>
            <w:pPr/>
          </w:p>
        </w:tc>
      </w:tr>
      <w:tr>
        <w:trPr>
          <w:trHeight w:val="354" w:hRule="exact"/>
        </w:trPr>
        <w:tc>
          <w:tcPr>
            <w:tcW w:w="964" w:type="dxa"/>
            <w:tcBorders>
              <w:top w:val="nil" w:sz="6" w:space="0" w:color="auto"/>
              <w:left w:val="single" w:sz="4" w:space="0" w:color="000000"/>
              <w:bottom w:val="single" w:sz="4" w:space="0" w:color="000000"/>
              <w:right w:val="single" w:sz="4" w:space="0" w:color="000000"/>
            </w:tcBorders>
          </w:tcPr>
          <w:p>
            <w:pPr/>
          </w:p>
        </w:tc>
        <w:tc>
          <w:tcPr>
            <w:tcW w:w="1020" w:type="dxa"/>
            <w:tcBorders>
              <w:top w:val="nil" w:sz="6" w:space="0" w:color="auto"/>
              <w:left w:val="single" w:sz="4" w:space="0" w:color="000000"/>
              <w:bottom w:val="single" w:sz="4" w:space="0" w:color="000000"/>
              <w:right w:val="single" w:sz="4" w:space="0" w:color="000000"/>
            </w:tcBorders>
          </w:tcPr>
          <w:p>
            <w:pPr/>
          </w:p>
        </w:tc>
        <w:tc>
          <w:tcPr>
            <w:tcW w:w="397" w:type="dxa"/>
            <w:tcBorders>
              <w:top w:val="nil" w:sz="6" w:space="0" w:color="auto"/>
              <w:left w:val="single" w:sz="4" w:space="0" w:color="000000"/>
              <w:bottom w:val="single" w:sz="4" w:space="0" w:color="000000"/>
              <w:right w:val="single" w:sz="4" w:space="0" w:color="000000"/>
            </w:tcBorders>
          </w:tcPr>
          <w:p>
            <w:pPr/>
          </w:p>
        </w:tc>
        <w:tc>
          <w:tcPr>
            <w:tcW w:w="964" w:type="dxa"/>
            <w:tcBorders>
              <w:top w:val="nil" w:sz="6" w:space="0" w:color="auto"/>
              <w:left w:val="single" w:sz="4" w:space="0" w:color="000000"/>
              <w:bottom w:val="single" w:sz="4" w:space="0" w:color="000000"/>
              <w:right w:val="single" w:sz="4" w:space="0" w:color="000000"/>
            </w:tcBorders>
          </w:tcPr>
          <w:p>
            <w:pPr/>
          </w:p>
        </w:tc>
        <w:tc>
          <w:tcPr>
            <w:tcW w:w="425" w:type="dxa"/>
            <w:tcBorders>
              <w:top w:val="nil" w:sz="6" w:space="0" w:color="auto"/>
              <w:left w:val="single" w:sz="4" w:space="0" w:color="000000"/>
              <w:bottom w:val="single" w:sz="4" w:space="0" w:color="000000"/>
              <w:right w:val="single" w:sz="4" w:space="0" w:color="000000"/>
            </w:tcBorders>
          </w:tcPr>
          <w:p>
            <w:pPr/>
          </w:p>
        </w:tc>
        <w:tc>
          <w:tcPr>
            <w:tcW w:w="397"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c>
          <w:tcPr>
            <w:tcW w:w="455" w:type="dxa"/>
            <w:tcBorders>
              <w:top w:val="nil" w:sz="6" w:space="0" w:color="auto"/>
              <w:left w:val="single" w:sz="4" w:space="0" w:color="000000"/>
              <w:bottom w:val="single" w:sz="4" w:space="0" w:color="000000"/>
              <w:right w:val="single" w:sz="4" w:space="0" w:color="000000"/>
            </w:tcBorders>
          </w:tcPr>
          <w:p>
            <w:pPr/>
          </w:p>
        </w:tc>
        <w:tc>
          <w:tcPr>
            <w:tcW w:w="679" w:type="dxa"/>
            <w:tcBorders>
              <w:top w:val="nil" w:sz="6" w:space="0" w:color="auto"/>
              <w:left w:val="single" w:sz="4" w:space="0" w:color="000000"/>
              <w:bottom w:val="single" w:sz="4" w:space="0" w:color="000000"/>
              <w:right w:val="single" w:sz="4" w:space="0" w:color="000000"/>
            </w:tcBorders>
          </w:tcPr>
          <w:p>
            <w:pPr/>
          </w:p>
        </w:tc>
        <w:tc>
          <w:tcPr>
            <w:tcW w:w="965" w:type="dxa"/>
            <w:tcBorders>
              <w:top w:val="nil" w:sz="6" w:space="0" w:color="auto"/>
              <w:left w:val="single" w:sz="4" w:space="0" w:color="000000"/>
              <w:bottom w:val="single" w:sz="4" w:space="0" w:color="000000"/>
              <w:right w:val="single" w:sz="4" w:space="0" w:color="000000"/>
            </w:tcBorders>
          </w:tcPr>
          <w:p>
            <w:pPr/>
          </w:p>
        </w:tc>
        <w:tc>
          <w:tcPr>
            <w:tcW w:w="209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7"/>
              <w:ind w:left="-1"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2,900 </w:t>
            </w:r>
            <w:r>
              <w:rPr>
                <w:rFonts w:ascii="宋体" w:hAnsi="宋体" w:cs="宋体" w:eastAsia="宋体" w:hint="default"/>
                <w:sz w:val="13"/>
                <w:szCs w:val="13"/>
              </w:rPr>
              <w:t>万元、</w:t>
            </w:r>
            <w:r>
              <w:rPr>
                <w:rFonts w:ascii="Times New Roman" w:hAnsi="Times New Roman" w:cs="Times New Roman" w:eastAsia="Times New Roman" w:hint="default"/>
                <w:sz w:val="13"/>
                <w:szCs w:val="13"/>
              </w:rPr>
              <w:t>4,800</w:t>
            </w:r>
            <w:r>
              <w:rPr>
                <w:rFonts w:ascii="Times New Roman" w:hAnsi="Times New Roman" w:cs="Times New Roman" w:eastAsia="Times New Roman" w:hint="default"/>
                <w:spacing w:val="-4"/>
                <w:sz w:val="13"/>
                <w:szCs w:val="13"/>
              </w:rPr>
              <w:t> </w:t>
            </w:r>
            <w:r>
              <w:rPr>
                <w:rFonts w:ascii="宋体" w:hAnsi="宋体" w:cs="宋体" w:eastAsia="宋体" w:hint="default"/>
                <w:sz w:val="13"/>
                <w:szCs w:val="13"/>
              </w:rPr>
              <w:t>万元。</w:t>
            </w:r>
          </w:p>
        </w:tc>
        <w:tc>
          <w:tcPr>
            <w:tcW w:w="907" w:type="dxa"/>
            <w:tcBorders>
              <w:top w:val="nil" w:sz="6" w:space="0" w:color="auto"/>
              <w:left w:val="single" w:sz="4" w:space="0" w:color="000000"/>
              <w:bottom w:val="single" w:sz="4" w:space="0" w:color="000000"/>
              <w:right w:val="single" w:sz="4" w:space="0" w:color="000000"/>
            </w:tcBorders>
          </w:tcPr>
          <w:p>
            <w:pPr/>
          </w:p>
        </w:tc>
        <w:tc>
          <w:tcPr>
            <w:tcW w:w="425" w:type="dxa"/>
            <w:tcBorders>
              <w:top w:val="nil" w:sz="6" w:space="0" w:color="auto"/>
              <w:left w:val="single" w:sz="4" w:space="0" w:color="000000"/>
              <w:bottom w:val="single" w:sz="4" w:space="0" w:color="000000"/>
              <w:right w:val="single" w:sz="4" w:space="0" w:color="000000"/>
            </w:tcBorders>
          </w:tcPr>
          <w:p>
            <w:pPr/>
          </w:p>
        </w:tc>
        <w:tc>
          <w:tcPr>
            <w:tcW w:w="568" w:type="dxa"/>
            <w:tcBorders>
              <w:top w:val="nil" w:sz="6" w:space="0" w:color="auto"/>
              <w:left w:val="single" w:sz="4" w:space="0" w:color="000000"/>
              <w:bottom w:val="single" w:sz="4" w:space="0" w:color="000000"/>
              <w:right w:val="single" w:sz="4" w:space="0" w:color="000000"/>
            </w:tcBorders>
          </w:tcPr>
          <w:p>
            <w:pPr/>
          </w:p>
        </w:tc>
        <w:tc>
          <w:tcPr>
            <w:tcW w:w="566" w:type="dxa"/>
            <w:tcBorders>
              <w:top w:val="nil" w:sz="6" w:space="0" w:color="auto"/>
              <w:left w:val="single" w:sz="4" w:space="0" w:color="000000"/>
              <w:bottom w:val="single" w:sz="4" w:space="0" w:color="000000"/>
              <w:right w:val="single" w:sz="4" w:space="0" w:color="000000"/>
            </w:tcBorders>
          </w:tcPr>
          <w:p>
            <w:pPr/>
          </w:p>
        </w:tc>
      </w:tr>
      <w:tr>
        <w:trPr>
          <w:trHeight w:val="282" w:hRule="exact"/>
        </w:trPr>
        <w:tc>
          <w:tcPr>
            <w:tcW w:w="96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0"/>
              <w:ind w:left="-1" w:right="0"/>
              <w:jc w:val="left"/>
              <w:rPr>
                <w:rFonts w:ascii="宋体" w:hAnsi="宋体" w:cs="宋体" w:eastAsia="宋体" w:hint="default"/>
                <w:sz w:val="13"/>
                <w:szCs w:val="13"/>
              </w:rPr>
            </w:pPr>
            <w:r>
              <w:rPr>
                <w:rFonts w:ascii="宋体" w:hAnsi="宋体" w:cs="宋体" w:eastAsia="宋体" w:hint="default"/>
                <w:sz w:val="13"/>
                <w:szCs w:val="13"/>
              </w:rPr>
              <w:t>湖南长城非凡信</w:t>
            </w:r>
          </w:p>
        </w:tc>
        <w:tc>
          <w:tcPr>
            <w:tcW w:w="102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0"/>
              <w:ind w:left="-1" w:right="0"/>
              <w:jc w:val="left"/>
              <w:rPr>
                <w:rFonts w:ascii="宋体" w:hAnsi="宋体" w:cs="宋体" w:eastAsia="宋体" w:hint="default"/>
                <w:sz w:val="13"/>
                <w:szCs w:val="13"/>
              </w:rPr>
            </w:pPr>
            <w:r>
              <w:rPr>
                <w:rFonts w:ascii="宋体" w:hAnsi="宋体" w:cs="宋体" w:eastAsia="宋体" w:hint="default"/>
                <w:sz w:val="13"/>
                <w:szCs w:val="13"/>
              </w:rPr>
              <w:t>海洋信息安全设</w:t>
            </w:r>
          </w:p>
        </w:tc>
        <w:tc>
          <w:tcPr>
            <w:tcW w:w="397" w:type="dxa"/>
            <w:tcBorders>
              <w:top w:val="single" w:sz="4" w:space="0" w:color="000000"/>
              <w:left w:val="single" w:sz="4" w:space="0" w:color="000000"/>
              <w:bottom w:val="nil" w:sz="6" w:space="0" w:color="auto"/>
              <w:right w:val="single" w:sz="4" w:space="0" w:color="000000"/>
            </w:tcBorders>
          </w:tcPr>
          <w:p>
            <w:pPr/>
          </w:p>
        </w:tc>
        <w:tc>
          <w:tcPr>
            <w:tcW w:w="964" w:type="dxa"/>
            <w:tcBorders>
              <w:top w:val="single" w:sz="4" w:space="0" w:color="000000"/>
              <w:left w:val="single" w:sz="4" w:space="0" w:color="000000"/>
              <w:bottom w:val="nil" w:sz="6" w:space="0" w:color="auto"/>
              <w:right w:val="single" w:sz="4" w:space="0" w:color="000000"/>
            </w:tcBorders>
          </w:tcPr>
          <w:p>
            <w:pPr/>
          </w:p>
        </w:tc>
        <w:tc>
          <w:tcPr>
            <w:tcW w:w="425" w:type="dxa"/>
            <w:tcBorders>
              <w:top w:val="single" w:sz="4" w:space="0" w:color="000000"/>
              <w:left w:val="single" w:sz="4" w:space="0" w:color="000000"/>
              <w:bottom w:val="nil" w:sz="6" w:space="0" w:color="auto"/>
              <w:right w:val="single" w:sz="4" w:space="0" w:color="000000"/>
            </w:tcBorders>
          </w:tcPr>
          <w:p>
            <w:pPr/>
          </w:p>
        </w:tc>
        <w:tc>
          <w:tcPr>
            <w:tcW w:w="397"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c>
          <w:tcPr>
            <w:tcW w:w="455" w:type="dxa"/>
            <w:tcBorders>
              <w:top w:val="single" w:sz="4" w:space="0" w:color="000000"/>
              <w:left w:val="single" w:sz="4" w:space="0" w:color="000000"/>
              <w:bottom w:val="nil" w:sz="6" w:space="0" w:color="auto"/>
              <w:right w:val="single" w:sz="4" w:space="0" w:color="000000"/>
            </w:tcBorders>
          </w:tcPr>
          <w:p>
            <w:pPr/>
          </w:p>
        </w:tc>
        <w:tc>
          <w:tcPr>
            <w:tcW w:w="67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0"/>
              <w:ind w:left="-1" w:right="0"/>
              <w:jc w:val="left"/>
              <w:rPr>
                <w:rFonts w:ascii="宋体" w:hAnsi="宋体" w:cs="宋体" w:eastAsia="宋体" w:hint="default"/>
                <w:sz w:val="13"/>
                <w:szCs w:val="13"/>
              </w:rPr>
            </w:pPr>
            <w:r>
              <w:rPr>
                <w:rFonts w:ascii="宋体" w:hAnsi="宋体" w:cs="宋体" w:eastAsia="宋体" w:hint="default"/>
                <w:sz w:val="13"/>
                <w:szCs w:val="13"/>
              </w:rPr>
              <w:t>海洋信息安</w:t>
            </w:r>
          </w:p>
        </w:tc>
        <w:tc>
          <w:tcPr>
            <w:tcW w:w="965" w:type="dxa"/>
            <w:tcBorders>
              <w:top w:val="single" w:sz="4" w:space="0" w:color="000000"/>
              <w:left w:val="single" w:sz="4" w:space="0" w:color="000000"/>
              <w:bottom w:val="nil" w:sz="6" w:space="0" w:color="auto"/>
              <w:right w:val="single" w:sz="4" w:space="0" w:color="000000"/>
            </w:tcBorders>
          </w:tcPr>
          <w:p>
            <w:pPr/>
          </w:p>
        </w:tc>
        <w:tc>
          <w:tcPr>
            <w:tcW w:w="2098" w:type="dxa"/>
            <w:tcBorders>
              <w:top w:val="single" w:sz="4" w:space="0" w:color="000000"/>
              <w:left w:val="single" w:sz="4" w:space="0" w:color="000000"/>
              <w:bottom w:val="nil" w:sz="6" w:space="0" w:color="auto"/>
              <w:right w:val="single" w:sz="4" w:space="0" w:color="000000"/>
            </w:tcBorders>
          </w:tcPr>
          <w:p>
            <w:pPr/>
          </w:p>
        </w:tc>
        <w:tc>
          <w:tcPr>
            <w:tcW w:w="907" w:type="dxa"/>
            <w:tcBorders>
              <w:top w:val="single" w:sz="4" w:space="0" w:color="000000"/>
              <w:left w:val="single" w:sz="4" w:space="0" w:color="000000"/>
              <w:bottom w:val="nil" w:sz="6" w:space="0" w:color="auto"/>
              <w:right w:val="single" w:sz="4" w:space="0" w:color="000000"/>
            </w:tcBorders>
          </w:tcPr>
          <w:p>
            <w:pPr/>
          </w:p>
        </w:tc>
        <w:tc>
          <w:tcPr>
            <w:tcW w:w="425" w:type="dxa"/>
            <w:tcBorders>
              <w:top w:val="single" w:sz="4" w:space="0" w:color="000000"/>
              <w:left w:val="single" w:sz="4" w:space="0" w:color="000000"/>
              <w:bottom w:val="nil" w:sz="6" w:space="0" w:color="auto"/>
              <w:right w:val="single" w:sz="4" w:space="0" w:color="000000"/>
            </w:tcBorders>
          </w:tcPr>
          <w:p>
            <w:pPr/>
          </w:p>
        </w:tc>
        <w:tc>
          <w:tcPr>
            <w:tcW w:w="56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0"/>
              <w:ind w:right="0"/>
              <w:jc w:val="center"/>
              <w:rPr>
                <w:rFonts w:ascii="Times New Roman" w:hAnsi="Times New Roman" w:cs="Times New Roman" w:eastAsia="Times New Roman" w:hint="default"/>
                <w:sz w:val="13"/>
                <w:szCs w:val="13"/>
              </w:rPr>
            </w:pPr>
            <w:r>
              <w:rPr>
                <w:rFonts w:ascii="Times New Roman" w:hAnsi="Times New Roman" w:cs="Times New Roman" w:eastAsia="Times New Roman" w:hint="default"/>
                <w:sz w:val="13"/>
                <w:szCs w:val="13"/>
              </w:rPr>
              <w:t>2018</w:t>
            </w:r>
            <w:r>
              <w:rPr>
                <w:rFonts w:ascii="Times New Roman" w:hAnsi="Times New Roman" w:cs="Times New Roman" w:eastAsia="Times New Roman" w:hint="default"/>
                <w:spacing w:val="-15"/>
                <w:sz w:val="13"/>
                <w:szCs w:val="13"/>
              </w:rPr>
              <w:t> </w:t>
            </w:r>
            <w:r>
              <w:rPr>
                <w:rFonts w:ascii="宋体" w:hAnsi="宋体" w:cs="宋体" w:eastAsia="宋体" w:hint="default"/>
                <w:sz w:val="13"/>
                <w:szCs w:val="13"/>
              </w:rPr>
              <w:t>年</w:t>
            </w:r>
            <w:r>
              <w:rPr>
                <w:rFonts w:ascii="宋体" w:hAnsi="宋体" w:cs="宋体" w:eastAsia="宋体" w:hint="default"/>
                <w:spacing w:val="-48"/>
                <w:sz w:val="13"/>
                <w:szCs w:val="13"/>
              </w:rPr>
              <w:t> </w:t>
            </w:r>
            <w:r>
              <w:rPr>
                <w:rFonts w:ascii="Times New Roman" w:hAnsi="Times New Roman" w:cs="Times New Roman" w:eastAsia="Times New Roman" w:hint="default"/>
                <w:sz w:val="13"/>
                <w:szCs w:val="13"/>
              </w:rPr>
              <w:t>07</w:t>
            </w:r>
          </w:p>
        </w:tc>
        <w:tc>
          <w:tcPr>
            <w:tcW w:w="56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0"/>
              <w:jc w:val="center"/>
              <w:rPr>
                <w:rFonts w:ascii="Times New Roman" w:hAnsi="Times New Roman" w:cs="Times New Roman" w:eastAsia="Times New Roman" w:hint="default"/>
                <w:sz w:val="13"/>
                <w:szCs w:val="13"/>
              </w:rPr>
            </w:pPr>
            <w:r>
              <w:rPr>
                <w:rFonts w:ascii="Times New Roman"/>
                <w:sz w:val="13"/>
              </w:rPr>
              <w:t>2018-065</w:t>
            </w:r>
          </w:p>
        </w:tc>
      </w:tr>
      <w:tr>
        <w:trPr>
          <w:trHeight w:val="156" w:hRule="exact"/>
        </w:trPr>
        <w:tc>
          <w:tcPr>
            <w:tcW w:w="964" w:type="dxa"/>
            <w:tcBorders>
              <w:top w:val="nil" w:sz="6" w:space="0" w:color="auto"/>
              <w:left w:val="single" w:sz="4" w:space="0" w:color="000000"/>
              <w:bottom w:val="nil" w:sz="6" w:space="0" w:color="auto"/>
              <w:right w:val="single" w:sz="4" w:space="0" w:color="000000"/>
            </w:tcBorders>
          </w:tcPr>
          <w:p>
            <w:pPr/>
          </w:p>
        </w:tc>
        <w:tc>
          <w:tcPr>
            <w:tcW w:w="1020" w:type="dxa"/>
            <w:tcBorders>
              <w:top w:val="nil" w:sz="6" w:space="0" w:color="auto"/>
              <w:left w:val="single" w:sz="4" w:space="0" w:color="000000"/>
              <w:bottom w:val="nil" w:sz="6" w:space="0" w:color="auto"/>
              <w:right w:val="single" w:sz="4" w:space="0" w:color="000000"/>
            </w:tcBorders>
          </w:tcPr>
          <w:p>
            <w:pPr/>
          </w:p>
        </w:tc>
        <w:tc>
          <w:tcPr>
            <w:tcW w:w="397" w:type="dxa"/>
            <w:tcBorders>
              <w:top w:val="nil" w:sz="6" w:space="0" w:color="auto"/>
              <w:left w:val="single" w:sz="4" w:space="0" w:color="000000"/>
              <w:bottom w:val="nil" w:sz="6" w:space="0" w:color="auto"/>
              <w:right w:val="single" w:sz="4" w:space="0" w:color="000000"/>
            </w:tcBorders>
          </w:tcPr>
          <w:p>
            <w:pPr>
              <w:pStyle w:val="TableParagraph"/>
              <w:spacing w:line="139" w:lineRule="exact"/>
              <w:ind w:right="1"/>
              <w:jc w:val="center"/>
              <w:rPr>
                <w:rFonts w:ascii="宋体" w:hAnsi="宋体" w:cs="宋体" w:eastAsia="宋体" w:hint="default"/>
                <w:sz w:val="13"/>
                <w:szCs w:val="13"/>
              </w:rPr>
            </w:pPr>
            <w:r>
              <w:rPr>
                <w:rFonts w:ascii="宋体" w:hAnsi="宋体" w:cs="宋体" w:eastAsia="宋体" w:hint="default"/>
                <w:sz w:val="13"/>
                <w:szCs w:val="13"/>
              </w:rPr>
              <w:t>新设</w:t>
            </w:r>
          </w:p>
        </w:tc>
        <w:tc>
          <w:tcPr>
            <w:tcW w:w="964"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1"/>
              <w:jc w:val="right"/>
              <w:rPr>
                <w:rFonts w:ascii="Times New Roman" w:hAnsi="Times New Roman" w:cs="Times New Roman" w:eastAsia="Times New Roman" w:hint="default"/>
                <w:sz w:val="13"/>
                <w:szCs w:val="13"/>
              </w:rPr>
            </w:pPr>
            <w:r>
              <w:rPr>
                <w:rFonts w:ascii="Times New Roman"/>
                <w:w w:val="95"/>
                <w:sz w:val="13"/>
              </w:rPr>
              <w:t>180,000,000.00</w:t>
            </w:r>
            <w:r>
              <w:rPr>
                <w:rFonts w:ascii="Times New Roman"/>
                <w:sz w:val="13"/>
              </w:rPr>
            </w:r>
          </w:p>
        </w:tc>
        <w:tc>
          <w:tcPr>
            <w:tcW w:w="425"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1"/>
              <w:jc w:val="center"/>
              <w:rPr>
                <w:rFonts w:ascii="Times New Roman" w:hAnsi="Times New Roman" w:cs="Times New Roman" w:eastAsia="Times New Roman" w:hint="default"/>
                <w:sz w:val="13"/>
                <w:szCs w:val="13"/>
              </w:rPr>
            </w:pPr>
            <w:r>
              <w:rPr>
                <w:rFonts w:ascii="Times New Roman"/>
                <w:sz w:val="13"/>
              </w:rPr>
              <w:t>60.00%</w:t>
            </w:r>
          </w:p>
        </w:tc>
        <w:tc>
          <w:tcPr>
            <w:tcW w:w="397" w:type="dxa"/>
            <w:tcBorders>
              <w:top w:val="nil" w:sz="6" w:space="0" w:color="auto"/>
              <w:left w:val="single" w:sz="4" w:space="0" w:color="000000"/>
              <w:bottom w:val="nil" w:sz="6" w:space="0" w:color="auto"/>
              <w:right w:val="single" w:sz="4" w:space="0" w:color="000000"/>
            </w:tcBorders>
          </w:tcPr>
          <w:p>
            <w:pPr>
              <w:pStyle w:val="TableParagraph"/>
              <w:spacing w:line="139" w:lineRule="exact"/>
              <w:ind w:left="1" w:right="0"/>
              <w:jc w:val="center"/>
              <w:rPr>
                <w:rFonts w:ascii="宋体" w:hAnsi="宋体" w:cs="宋体" w:eastAsia="宋体" w:hint="default"/>
                <w:sz w:val="13"/>
                <w:szCs w:val="13"/>
              </w:rPr>
            </w:pPr>
            <w:r>
              <w:rPr>
                <w:rFonts w:ascii="宋体" w:hAnsi="宋体" w:cs="宋体" w:eastAsia="宋体" w:hint="default"/>
                <w:sz w:val="13"/>
                <w:szCs w:val="13"/>
              </w:rPr>
              <w:t>自筹</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139" w:lineRule="exact"/>
              <w:ind w:right="0"/>
              <w:jc w:val="center"/>
              <w:rPr>
                <w:rFonts w:ascii="宋体" w:hAnsi="宋体" w:cs="宋体" w:eastAsia="宋体" w:hint="default"/>
                <w:sz w:val="13"/>
                <w:szCs w:val="13"/>
              </w:rPr>
            </w:pPr>
            <w:r>
              <w:rPr>
                <w:rFonts w:ascii="宋体" w:hAnsi="宋体" w:cs="宋体" w:eastAsia="宋体" w:hint="default"/>
                <w:sz w:val="13"/>
                <w:szCs w:val="13"/>
              </w:rPr>
              <w:t>天易集团</w:t>
            </w:r>
          </w:p>
        </w:tc>
        <w:tc>
          <w:tcPr>
            <w:tcW w:w="455" w:type="dxa"/>
            <w:tcBorders>
              <w:top w:val="nil" w:sz="6" w:space="0" w:color="auto"/>
              <w:left w:val="single" w:sz="4" w:space="0" w:color="000000"/>
              <w:bottom w:val="nil" w:sz="6" w:space="0" w:color="auto"/>
              <w:right w:val="single" w:sz="4" w:space="0" w:color="000000"/>
            </w:tcBorders>
          </w:tcPr>
          <w:p>
            <w:pPr>
              <w:pStyle w:val="TableParagraph"/>
              <w:spacing w:line="139" w:lineRule="exact"/>
              <w:ind w:right="1"/>
              <w:jc w:val="center"/>
              <w:rPr>
                <w:rFonts w:ascii="宋体" w:hAnsi="宋体" w:cs="宋体" w:eastAsia="宋体" w:hint="default"/>
                <w:sz w:val="13"/>
                <w:szCs w:val="13"/>
              </w:rPr>
            </w:pPr>
            <w:r>
              <w:rPr>
                <w:rFonts w:ascii="宋体" w:hAnsi="宋体" w:cs="宋体" w:eastAsia="宋体" w:hint="default"/>
                <w:sz w:val="13"/>
                <w:szCs w:val="13"/>
              </w:rPr>
              <w:t>不适用</w:t>
            </w:r>
          </w:p>
        </w:tc>
        <w:tc>
          <w:tcPr>
            <w:tcW w:w="679" w:type="dxa"/>
            <w:tcBorders>
              <w:top w:val="nil" w:sz="6" w:space="0" w:color="auto"/>
              <w:left w:val="single" w:sz="4" w:space="0" w:color="000000"/>
              <w:bottom w:val="nil" w:sz="6" w:space="0" w:color="auto"/>
              <w:right w:val="single" w:sz="4" w:space="0" w:color="000000"/>
            </w:tcBorders>
          </w:tcPr>
          <w:p>
            <w:pPr/>
          </w:p>
        </w:tc>
        <w:tc>
          <w:tcPr>
            <w:tcW w:w="965" w:type="dxa"/>
            <w:tcBorders>
              <w:top w:val="nil" w:sz="6" w:space="0" w:color="auto"/>
              <w:left w:val="single" w:sz="4" w:space="0" w:color="000000"/>
              <w:bottom w:val="nil" w:sz="6" w:space="0" w:color="auto"/>
              <w:right w:val="single" w:sz="4" w:space="0" w:color="000000"/>
            </w:tcBorders>
          </w:tcPr>
          <w:p>
            <w:pPr>
              <w:pStyle w:val="TableParagraph"/>
              <w:spacing w:line="139" w:lineRule="exact"/>
              <w:ind w:right="0"/>
              <w:jc w:val="center"/>
              <w:rPr>
                <w:rFonts w:ascii="宋体" w:hAnsi="宋体" w:cs="宋体" w:eastAsia="宋体" w:hint="default"/>
                <w:sz w:val="13"/>
                <w:szCs w:val="13"/>
              </w:rPr>
            </w:pPr>
            <w:r>
              <w:rPr>
                <w:rFonts w:ascii="宋体" w:hAnsi="宋体" w:cs="宋体" w:eastAsia="宋体" w:hint="default"/>
                <w:sz w:val="13"/>
                <w:szCs w:val="13"/>
              </w:rPr>
              <w:t>已完成</w:t>
            </w:r>
          </w:p>
        </w:tc>
        <w:tc>
          <w:tcPr>
            <w:tcW w:w="2098" w:type="dxa"/>
            <w:tcBorders>
              <w:top w:val="nil" w:sz="6" w:space="0" w:color="auto"/>
              <w:left w:val="single" w:sz="4" w:space="0" w:color="000000"/>
              <w:bottom w:val="nil" w:sz="6" w:space="0" w:color="auto"/>
              <w:right w:val="single" w:sz="4" w:space="0" w:color="000000"/>
            </w:tcBorders>
          </w:tcPr>
          <w:p>
            <w:pPr>
              <w:pStyle w:val="TableParagraph"/>
              <w:spacing w:line="139" w:lineRule="exact"/>
              <w:ind w:right="0"/>
              <w:jc w:val="center"/>
              <w:rPr>
                <w:rFonts w:ascii="宋体" w:hAnsi="宋体" w:cs="宋体" w:eastAsia="宋体" w:hint="default"/>
                <w:sz w:val="13"/>
                <w:szCs w:val="13"/>
              </w:rPr>
            </w:pPr>
            <w:r>
              <w:rPr>
                <w:rFonts w:ascii="宋体" w:hAnsi="宋体" w:cs="宋体" w:eastAsia="宋体" w:hint="default"/>
                <w:sz w:val="13"/>
                <w:szCs w:val="13"/>
              </w:rPr>
              <w:t>不适用</w:t>
            </w:r>
          </w:p>
        </w:tc>
        <w:tc>
          <w:tcPr>
            <w:tcW w:w="907"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1"/>
              <w:jc w:val="right"/>
              <w:rPr>
                <w:rFonts w:ascii="Times New Roman" w:hAnsi="Times New Roman" w:cs="Times New Roman" w:eastAsia="Times New Roman" w:hint="default"/>
                <w:sz w:val="13"/>
                <w:szCs w:val="13"/>
              </w:rPr>
            </w:pPr>
            <w:r>
              <w:rPr>
                <w:rFonts w:ascii="Times New Roman"/>
                <w:w w:val="95"/>
                <w:sz w:val="13"/>
              </w:rPr>
              <w:t>-615,457.87</w:t>
            </w:r>
            <w:r>
              <w:rPr>
                <w:rFonts w:ascii="Times New Roman"/>
                <w:sz w:val="13"/>
              </w:rPr>
            </w:r>
          </w:p>
        </w:tc>
        <w:tc>
          <w:tcPr>
            <w:tcW w:w="425" w:type="dxa"/>
            <w:tcBorders>
              <w:top w:val="nil" w:sz="6" w:space="0" w:color="auto"/>
              <w:left w:val="single" w:sz="4" w:space="0" w:color="000000"/>
              <w:bottom w:val="nil" w:sz="6" w:space="0" w:color="auto"/>
              <w:right w:val="single" w:sz="4" w:space="0" w:color="000000"/>
            </w:tcBorders>
          </w:tcPr>
          <w:p>
            <w:pPr>
              <w:pStyle w:val="TableParagraph"/>
              <w:spacing w:line="139" w:lineRule="exact"/>
              <w:ind w:right="0"/>
              <w:jc w:val="center"/>
              <w:rPr>
                <w:rFonts w:ascii="宋体" w:hAnsi="宋体" w:cs="宋体" w:eastAsia="宋体" w:hint="default"/>
                <w:sz w:val="13"/>
                <w:szCs w:val="13"/>
              </w:rPr>
            </w:pPr>
            <w:r>
              <w:rPr>
                <w:rFonts w:ascii="宋体" w:hAnsi="宋体" w:cs="宋体" w:eastAsia="宋体" w:hint="default"/>
                <w:w w:val="99"/>
                <w:sz w:val="13"/>
                <w:szCs w:val="13"/>
              </w:rPr>
              <w:t>否</w:t>
            </w:r>
            <w:r>
              <w:rPr>
                <w:rFonts w:ascii="宋体" w:hAnsi="宋体" w:cs="宋体" w:eastAsia="宋体" w:hint="default"/>
                <w:sz w:val="13"/>
                <w:szCs w:val="13"/>
              </w:rPr>
            </w:r>
          </w:p>
        </w:tc>
        <w:tc>
          <w:tcPr>
            <w:tcW w:w="568" w:type="dxa"/>
            <w:tcBorders>
              <w:top w:val="nil" w:sz="6" w:space="0" w:color="auto"/>
              <w:left w:val="single" w:sz="4" w:space="0" w:color="000000"/>
              <w:bottom w:val="nil" w:sz="6" w:space="0" w:color="auto"/>
              <w:right w:val="single" w:sz="4" w:space="0" w:color="000000"/>
            </w:tcBorders>
          </w:tcPr>
          <w:p>
            <w:pPr/>
          </w:p>
        </w:tc>
        <w:tc>
          <w:tcPr>
            <w:tcW w:w="566" w:type="dxa"/>
            <w:tcBorders>
              <w:top w:val="nil" w:sz="6" w:space="0" w:color="auto"/>
              <w:left w:val="single" w:sz="4" w:space="0" w:color="000000"/>
              <w:bottom w:val="nil" w:sz="6" w:space="0" w:color="auto"/>
              <w:right w:val="single" w:sz="4" w:space="0" w:color="000000"/>
            </w:tcBorders>
          </w:tcPr>
          <w:p>
            <w:pPr/>
          </w:p>
        </w:tc>
      </w:tr>
      <w:tr>
        <w:trPr>
          <w:trHeight w:val="276" w:hRule="exact"/>
        </w:trPr>
        <w:tc>
          <w:tcPr>
            <w:tcW w:w="964" w:type="dxa"/>
            <w:tcBorders>
              <w:top w:val="nil" w:sz="6" w:space="0" w:color="auto"/>
              <w:left w:val="single" w:sz="4" w:space="0" w:color="000000"/>
              <w:bottom w:val="single" w:sz="4" w:space="0" w:color="000000"/>
              <w:right w:val="single" w:sz="4" w:space="0" w:color="000000"/>
            </w:tcBorders>
          </w:tcPr>
          <w:p>
            <w:pPr>
              <w:pStyle w:val="TableParagraph"/>
              <w:spacing w:line="139" w:lineRule="exact"/>
              <w:ind w:left="-1" w:right="0"/>
              <w:jc w:val="left"/>
              <w:rPr>
                <w:rFonts w:ascii="宋体" w:hAnsi="宋体" w:cs="宋体" w:eastAsia="宋体" w:hint="default"/>
                <w:sz w:val="13"/>
                <w:szCs w:val="13"/>
              </w:rPr>
            </w:pPr>
            <w:r>
              <w:rPr>
                <w:rFonts w:ascii="宋体" w:hAnsi="宋体" w:cs="宋体" w:eastAsia="宋体" w:hint="default"/>
                <w:sz w:val="13"/>
                <w:szCs w:val="13"/>
              </w:rPr>
              <w:t>息科技有限公司</w:t>
            </w:r>
          </w:p>
        </w:tc>
        <w:tc>
          <w:tcPr>
            <w:tcW w:w="1020" w:type="dxa"/>
            <w:tcBorders>
              <w:top w:val="nil" w:sz="6" w:space="0" w:color="auto"/>
              <w:left w:val="single" w:sz="4" w:space="0" w:color="000000"/>
              <w:bottom w:val="single" w:sz="4" w:space="0" w:color="000000"/>
              <w:right w:val="single" w:sz="4" w:space="0" w:color="000000"/>
            </w:tcBorders>
          </w:tcPr>
          <w:p>
            <w:pPr>
              <w:pStyle w:val="TableParagraph"/>
              <w:spacing w:line="139" w:lineRule="exact"/>
              <w:ind w:left="-1" w:right="0"/>
              <w:jc w:val="left"/>
              <w:rPr>
                <w:rFonts w:ascii="宋体" w:hAnsi="宋体" w:cs="宋体" w:eastAsia="宋体" w:hint="default"/>
                <w:sz w:val="13"/>
                <w:szCs w:val="13"/>
              </w:rPr>
            </w:pPr>
            <w:r>
              <w:rPr>
                <w:rFonts w:ascii="宋体" w:hAnsi="宋体" w:cs="宋体" w:eastAsia="宋体" w:hint="default"/>
                <w:sz w:val="13"/>
                <w:szCs w:val="13"/>
              </w:rPr>
              <w:t>计和装备制造</w:t>
            </w:r>
          </w:p>
        </w:tc>
        <w:tc>
          <w:tcPr>
            <w:tcW w:w="397" w:type="dxa"/>
            <w:tcBorders>
              <w:top w:val="nil" w:sz="6" w:space="0" w:color="auto"/>
              <w:left w:val="single" w:sz="4" w:space="0" w:color="000000"/>
              <w:bottom w:val="single" w:sz="4" w:space="0" w:color="000000"/>
              <w:right w:val="single" w:sz="4" w:space="0" w:color="000000"/>
            </w:tcBorders>
          </w:tcPr>
          <w:p>
            <w:pPr/>
          </w:p>
        </w:tc>
        <w:tc>
          <w:tcPr>
            <w:tcW w:w="964" w:type="dxa"/>
            <w:tcBorders>
              <w:top w:val="nil" w:sz="6" w:space="0" w:color="auto"/>
              <w:left w:val="single" w:sz="4" w:space="0" w:color="000000"/>
              <w:bottom w:val="single" w:sz="4" w:space="0" w:color="000000"/>
              <w:right w:val="single" w:sz="4" w:space="0" w:color="000000"/>
            </w:tcBorders>
          </w:tcPr>
          <w:p>
            <w:pPr/>
          </w:p>
        </w:tc>
        <w:tc>
          <w:tcPr>
            <w:tcW w:w="425" w:type="dxa"/>
            <w:tcBorders>
              <w:top w:val="nil" w:sz="6" w:space="0" w:color="auto"/>
              <w:left w:val="single" w:sz="4" w:space="0" w:color="000000"/>
              <w:bottom w:val="single" w:sz="4" w:space="0" w:color="000000"/>
              <w:right w:val="single" w:sz="4" w:space="0" w:color="000000"/>
            </w:tcBorders>
          </w:tcPr>
          <w:p>
            <w:pPr/>
          </w:p>
        </w:tc>
        <w:tc>
          <w:tcPr>
            <w:tcW w:w="397"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c>
          <w:tcPr>
            <w:tcW w:w="455" w:type="dxa"/>
            <w:tcBorders>
              <w:top w:val="nil" w:sz="6" w:space="0" w:color="auto"/>
              <w:left w:val="single" w:sz="4" w:space="0" w:color="000000"/>
              <w:bottom w:val="single" w:sz="4" w:space="0" w:color="000000"/>
              <w:right w:val="single" w:sz="4" w:space="0" w:color="000000"/>
            </w:tcBorders>
          </w:tcPr>
          <w:p>
            <w:pPr/>
          </w:p>
        </w:tc>
        <w:tc>
          <w:tcPr>
            <w:tcW w:w="679" w:type="dxa"/>
            <w:tcBorders>
              <w:top w:val="nil" w:sz="6" w:space="0" w:color="auto"/>
              <w:left w:val="single" w:sz="4" w:space="0" w:color="000000"/>
              <w:bottom w:val="single" w:sz="4" w:space="0" w:color="000000"/>
              <w:right w:val="single" w:sz="4" w:space="0" w:color="000000"/>
            </w:tcBorders>
          </w:tcPr>
          <w:p>
            <w:pPr>
              <w:pStyle w:val="TableParagraph"/>
              <w:spacing w:line="139" w:lineRule="exact"/>
              <w:ind w:left="-1" w:right="0"/>
              <w:jc w:val="left"/>
              <w:rPr>
                <w:rFonts w:ascii="宋体" w:hAnsi="宋体" w:cs="宋体" w:eastAsia="宋体" w:hint="default"/>
                <w:sz w:val="13"/>
                <w:szCs w:val="13"/>
              </w:rPr>
            </w:pPr>
            <w:r>
              <w:rPr>
                <w:rFonts w:ascii="宋体" w:hAnsi="宋体" w:cs="宋体" w:eastAsia="宋体" w:hint="default"/>
                <w:sz w:val="13"/>
                <w:szCs w:val="13"/>
              </w:rPr>
              <w:t>全业务</w:t>
            </w:r>
          </w:p>
        </w:tc>
        <w:tc>
          <w:tcPr>
            <w:tcW w:w="965" w:type="dxa"/>
            <w:tcBorders>
              <w:top w:val="nil" w:sz="6" w:space="0" w:color="auto"/>
              <w:left w:val="single" w:sz="4" w:space="0" w:color="000000"/>
              <w:bottom w:val="single" w:sz="4" w:space="0" w:color="000000"/>
              <w:right w:val="single" w:sz="4" w:space="0" w:color="000000"/>
            </w:tcBorders>
          </w:tcPr>
          <w:p>
            <w:pPr/>
          </w:p>
        </w:tc>
        <w:tc>
          <w:tcPr>
            <w:tcW w:w="2098" w:type="dxa"/>
            <w:tcBorders>
              <w:top w:val="nil" w:sz="6" w:space="0" w:color="auto"/>
              <w:left w:val="single" w:sz="4" w:space="0" w:color="000000"/>
              <w:bottom w:val="single" w:sz="4" w:space="0" w:color="000000"/>
              <w:right w:val="single" w:sz="4" w:space="0" w:color="000000"/>
            </w:tcBorders>
          </w:tcPr>
          <w:p>
            <w:pPr/>
          </w:p>
        </w:tc>
        <w:tc>
          <w:tcPr>
            <w:tcW w:w="907" w:type="dxa"/>
            <w:tcBorders>
              <w:top w:val="nil" w:sz="6" w:space="0" w:color="auto"/>
              <w:left w:val="single" w:sz="4" w:space="0" w:color="000000"/>
              <w:bottom w:val="single" w:sz="4" w:space="0" w:color="000000"/>
              <w:right w:val="single" w:sz="4" w:space="0" w:color="000000"/>
            </w:tcBorders>
          </w:tcPr>
          <w:p>
            <w:pPr/>
          </w:p>
        </w:tc>
        <w:tc>
          <w:tcPr>
            <w:tcW w:w="425" w:type="dxa"/>
            <w:tcBorders>
              <w:top w:val="nil" w:sz="6" w:space="0" w:color="auto"/>
              <w:left w:val="single" w:sz="4" w:space="0" w:color="000000"/>
              <w:bottom w:val="single" w:sz="4" w:space="0" w:color="000000"/>
              <w:right w:val="single" w:sz="4" w:space="0" w:color="000000"/>
            </w:tcBorders>
          </w:tcPr>
          <w:p>
            <w:pPr/>
          </w:p>
        </w:tc>
        <w:tc>
          <w:tcPr>
            <w:tcW w:w="568" w:type="dxa"/>
            <w:tcBorders>
              <w:top w:val="nil" w:sz="6" w:space="0" w:color="auto"/>
              <w:left w:val="single" w:sz="4" w:space="0" w:color="000000"/>
              <w:bottom w:val="single" w:sz="4" w:space="0" w:color="000000"/>
              <w:right w:val="single" w:sz="4" w:space="0" w:color="000000"/>
            </w:tcBorders>
          </w:tcPr>
          <w:p>
            <w:pPr>
              <w:pStyle w:val="TableParagraph"/>
              <w:spacing w:line="149" w:lineRule="exact"/>
              <w:ind w:right="1"/>
              <w:jc w:val="center"/>
              <w:rPr>
                <w:rFonts w:ascii="宋体" w:hAnsi="宋体" w:cs="宋体" w:eastAsia="宋体" w:hint="default"/>
                <w:sz w:val="13"/>
                <w:szCs w:val="13"/>
              </w:rPr>
            </w:pPr>
            <w:r>
              <w:rPr>
                <w:rFonts w:ascii="宋体" w:hAnsi="宋体" w:cs="宋体" w:eastAsia="宋体" w:hint="default"/>
                <w:sz w:val="13"/>
                <w:szCs w:val="13"/>
              </w:rPr>
              <w:t>月</w:t>
            </w:r>
            <w:r>
              <w:rPr>
                <w:rFonts w:ascii="宋体" w:hAnsi="宋体" w:cs="宋体" w:eastAsia="宋体" w:hint="default"/>
                <w:spacing w:val="-34"/>
                <w:sz w:val="13"/>
                <w:szCs w:val="13"/>
              </w:rPr>
              <w:t> </w:t>
            </w:r>
            <w:r>
              <w:rPr>
                <w:rFonts w:ascii="Times New Roman" w:hAnsi="Times New Roman" w:cs="Times New Roman" w:eastAsia="Times New Roman" w:hint="default"/>
                <w:sz w:val="13"/>
                <w:szCs w:val="13"/>
              </w:rPr>
              <w:t>14</w:t>
            </w:r>
            <w:r>
              <w:rPr>
                <w:rFonts w:ascii="Times New Roman" w:hAnsi="Times New Roman" w:cs="Times New Roman" w:eastAsia="Times New Roman" w:hint="default"/>
                <w:spacing w:val="-2"/>
                <w:sz w:val="13"/>
                <w:szCs w:val="13"/>
              </w:rPr>
              <w:t> </w:t>
            </w:r>
            <w:r>
              <w:rPr>
                <w:rFonts w:ascii="宋体" w:hAnsi="宋体" w:cs="宋体" w:eastAsia="宋体" w:hint="default"/>
                <w:sz w:val="13"/>
                <w:szCs w:val="13"/>
              </w:rPr>
              <w:t>日</w:t>
            </w:r>
          </w:p>
        </w:tc>
        <w:tc>
          <w:tcPr>
            <w:tcW w:w="566" w:type="dxa"/>
            <w:tcBorders>
              <w:top w:val="nil" w:sz="6" w:space="0" w:color="auto"/>
              <w:left w:val="single" w:sz="4" w:space="0" w:color="000000"/>
              <w:bottom w:val="single" w:sz="4" w:space="0" w:color="000000"/>
              <w:right w:val="single" w:sz="4" w:space="0" w:color="000000"/>
            </w:tcBorders>
          </w:tcPr>
          <w:p>
            <w:pPr>
              <w:pStyle w:val="TableParagraph"/>
              <w:spacing w:line="139" w:lineRule="exact"/>
              <w:ind w:right="0"/>
              <w:jc w:val="center"/>
              <w:rPr>
                <w:rFonts w:ascii="宋体" w:hAnsi="宋体" w:cs="宋体" w:eastAsia="宋体" w:hint="default"/>
                <w:sz w:val="13"/>
                <w:szCs w:val="13"/>
              </w:rPr>
            </w:pPr>
            <w:r>
              <w:rPr>
                <w:rFonts w:ascii="宋体" w:hAnsi="宋体" w:cs="宋体" w:eastAsia="宋体" w:hint="default"/>
                <w:sz w:val="13"/>
                <w:szCs w:val="13"/>
              </w:rPr>
              <w:t>号公告</w:t>
            </w:r>
          </w:p>
        </w:tc>
      </w:tr>
      <w:tr>
        <w:trPr>
          <w:trHeight w:val="360" w:hRule="exact"/>
        </w:trPr>
        <w:tc>
          <w:tcPr>
            <w:tcW w:w="964" w:type="dxa"/>
            <w:tcBorders>
              <w:top w:val="single" w:sz="4" w:space="0" w:color="000000"/>
              <w:left w:val="single" w:sz="4" w:space="0" w:color="000000"/>
              <w:bottom w:val="nil" w:sz="6" w:space="0" w:color="auto"/>
              <w:right w:val="single" w:sz="4" w:space="0" w:color="000000"/>
            </w:tcBorders>
          </w:tcPr>
          <w:p>
            <w:pPr/>
          </w:p>
        </w:tc>
        <w:tc>
          <w:tcPr>
            <w:tcW w:w="102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0"/>
              <w:ind w:left="-1" w:right="0"/>
              <w:jc w:val="left"/>
              <w:rPr>
                <w:rFonts w:ascii="宋体" w:hAnsi="宋体" w:cs="宋体" w:eastAsia="宋体" w:hint="default"/>
                <w:sz w:val="13"/>
                <w:szCs w:val="13"/>
              </w:rPr>
            </w:pPr>
            <w:r>
              <w:rPr>
                <w:rFonts w:ascii="宋体" w:hAnsi="宋体" w:cs="宋体" w:eastAsia="宋体" w:hint="default"/>
                <w:spacing w:val="-4"/>
                <w:sz w:val="13"/>
                <w:szCs w:val="13"/>
              </w:rPr>
              <w:t>通信系统、自主可</w:t>
            </w:r>
          </w:p>
        </w:tc>
        <w:tc>
          <w:tcPr>
            <w:tcW w:w="397" w:type="dxa"/>
            <w:tcBorders>
              <w:top w:val="single" w:sz="4" w:space="0" w:color="000000"/>
              <w:left w:val="single" w:sz="4" w:space="0" w:color="000000"/>
              <w:bottom w:val="nil" w:sz="6" w:space="0" w:color="auto"/>
              <w:right w:val="single" w:sz="4" w:space="0" w:color="000000"/>
            </w:tcBorders>
          </w:tcPr>
          <w:p>
            <w:pPr/>
          </w:p>
        </w:tc>
        <w:tc>
          <w:tcPr>
            <w:tcW w:w="964" w:type="dxa"/>
            <w:tcBorders>
              <w:top w:val="single" w:sz="4" w:space="0" w:color="000000"/>
              <w:left w:val="single" w:sz="4" w:space="0" w:color="000000"/>
              <w:bottom w:val="nil" w:sz="6" w:space="0" w:color="auto"/>
              <w:right w:val="single" w:sz="4" w:space="0" w:color="000000"/>
            </w:tcBorders>
          </w:tcPr>
          <w:p>
            <w:pPr/>
          </w:p>
        </w:tc>
        <w:tc>
          <w:tcPr>
            <w:tcW w:w="425" w:type="dxa"/>
            <w:tcBorders>
              <w:top w:val="single" w:sz="4" w:space="0" w:color="000000"/>
              <w:left w:val="single" w:sz="4" w:space="0" w:color="000000"/>
              <w:bottom w:val="nil" w:sz="6" w:space="0" w:color="auto"/>
              <w:right w:val="single" w:sz="4" w:space="0" w:color="000000"/>
            </w:tcBorders>
          </w:tcPr>
          <w:p>
            <w:pPr/>
          </w:p>
        </w:tc>
        <w:tc>
          <w:tcPr>
            <w:tcW w:w="397"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c>
          <w:tcPr>
            <w:tcW w:w="455" w:type="dxa"/>
            <w:tcBorders>
              <w:top w:val="single" w:sz="4" w:space="0" w:color="000000"/>
              <w:left w:val="single" w:sz="4" w:space="0" w:color="000000"/>
              <w:bottom w:val="nil" w:sz="6" w:space="0" w:color="auto"/>
              <w:right w:val="single" w:sz="4" w:space="0" w:color="000000"/>
            </w:tcBorders>
          </w:tcPr>
          <w:p>
            <w:pPr/>
          </w:p>
        </w:tc>
        <w:tc>
          <w:tcPr>
            <w:tcW w:w="679" w:type="dxa"/>
            <w:tcBorders>
              <w:top w:val="single" w:sz="4" w:space="0" w:color="000000"/>
              <w:left w:val="single" w:sz="4" w:space="0" w:color="000000"/>
              <w:bottom w:val="nil" w:sz="6" w:space="0" w:color="auto"/>
              <w:right w:val="single" w:sz="4" w:space="0" w:color="000000"/>
            </w:tcBorders>
          </w:tcPr>
          <w:p>
            <w:pPr/>
          </w:p>
        </w:tc>
        <w:tc>
          <w:tcPr>
            <w:tcW w:w="965" w:type="dxa"/>
            <w:tcBorders>
              <w:top w:val="single" w:sz="4" w:space="0" w:color="000000"/>
              <w:left w:val="single" w:sz="4" w:space="0" w:color="000000"/>
              <w:bottom w:val="nil" w:sz="6" w:space="0" w:color="auto"/>
              <w:right w:val="single" w:sz="4" w:space="0" w:color="000000"/>
            </w:tcBorders>
          </w:tcPr>
          <w:p>
            <w:pPr/>
          </w:p>
        </w:tc>
        <w:tc>
          <w:tcPr>
            <w:tcW w:w="209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0"/>
              <w:ind w:left="-1" w:right="0"/>
              <w:jc w:val="left"/>
              <w:rPr>
                <w:rFonts w:ascii="Times New Roman" w:hAnsi="Times New Roman" w:cs="Times New Roman" w:eastAsia="Times New Roman" w:hint="default"/>
                <w:sz w:val="13"/>
                <w:szCs w:val="13"/>
              </w:rPr>
            </w:pPr>
            <w:r>
              <w:rPr>
                <w:rFonts w:ascii="宋体" w:hAnsi="宋体" w:cs="宋体" w:eastAsia="宋体" w:hint="default"/>
                <w:sz w:val="13"/>
                <w:szCs w:val="13"/>
              </w:rPr>
              <w:t>中原电子在 </w:t>
            </w:r>
            <w:r>
              <w:rPr>
                <w:rFonts w:ascii="Times New Roman" w:hAnsi="Times New Roman" w:cs="Times New Roman" w:eastAsia="Times New Roman" w:hint="default"/>
                <w:sz w:val="13"/>
                <w:szCs w:val="13"/>
              </w:rPr>
              <w:t>2017 </w:t>
            </w:r>
            <w:r>
              <w:rPr>
                <w:rFonts w:ascii="宋体" w:hAnsi="宋体" w:cs="宋体" w:eastAsia="宋体" w:hint="default"/>
                <w:sz w:val="13"/>
                <w:szCs w:val="13"/>
              </w:rPr>
              <w:t>年、</w:t>
            </w:r>
            <w:r>
              <w:rPr>
                <w:rFonts w:ascii="Times New Roman" w:hAnsi="Times New Roman" w:cs="Times New Roman" w:eastAsia="Times New Roman" w:hint="default"/>
                <w:sz w:val="13"/>
                <w:szCs w:val="13"/>
              </w:rPr>
              <w:t>2018</w:t>
            </w:r>
            <w:r>
              <w:rPr>
                <w:rFonts w:ascii="Times New Roman" w:hAnsi="Times New Roman" w:cs="Times New Roman" w:eastAsia="Times New Roman" w:hint="default"/>
                <w:spacing w:val="4"/>
                <w:sz w:val="13"/>
                <w:szCs w:val="13"/>
              </w:rPr>
              <w:t> </w:t>
            </w:r>
            <w:r>
              <w:rPr>
                <w:rFonts w:ascii="宋体" w:hAnsi="宋体" w:cs="宋体" w:eastAsia="宋体" w:hint="default"/>
                <w:sz w:val="13"/>
                <w:szCs w:val="13"/>
              </w:rPr>
              <w:t>年、</w:t>
            </w:r>
            <w:r>
              <w:rPr>
                <w:rFonts w:ascii="Times New Roman" w:hAnsi="Times New Roman" w:cs="Times New Roman" w:eastAsia="Times New Roman" w:hint="default"/>
                <w:sz w:val="13"/>
                <w:szCs w:val="13"/>
              </w:rPr>
              <w:t>2019</w:t>
            </w:r>
          </w:p>
        </w:tc>
        <w:tc>
          <w:tcPr>
            <w:tcW w:w="907" w:type="dxa"/>
            <w:tcBorders>
              <w:top w:val="single" w:sz="4" w:space="0" w:color="000000"/>
              <w:left w:val="single" w:sz="4" w:space="0" w:color="000000"/>
              <w:bottom w:val="nil" w:sz="6" w:space="0" w:color="auto"/>
              <w:right w:val="single" w:sz="4" w:space="0" w:color="000000"/>
            </w:tcBorders>
          </w:tcPr>
          <w:p>
            <w:pPr/>
          </w:p>
        </w:tc>
        <w:tc>
          <w:tcPr>
            <w:tcW w:w="425" w:type="dxa"/>
            <w:tcBorders>
              <w:top w:val="single" w:sz="4" w:space="0" w:color="000000"/>
              <w:left w:val="single" w:sz="4" w:space="0" w:color="000000"/>
              <w:bottom w:val="nil" w:sz="6" w:space="0" w:color="auto"/>
              <w:right w:val="single" w:sz="4" w:space="0" w:color="000000"/>
            </w:tcBorders>
          </w:tcPr>
          <w:p>
            <w:pPr/>
          </w:p>
        </w:tc>
        <w:tc>
          <w:tcPr>
            <w:tcW w:w="568" w:type="dxa"/>
            <w:tcBorders>
              <w:top w:val="single" w:sz="4" w:space="0" w:color="000000"/>
              <w:left w:val="single" w:sz="4" w:space="0" w:color="000000"/>
              <w:bottom w:val="nil" w:sz="6" w:space="0" w:color="auto"/>
              <w:right w:val="single" w:sz="4" w:space="0" w:color="000000"/>
            </w:tcBorders>
          </w:tcPr>
          <w:p>
            <w:pPr/>
          </w:p>
        </w:tc>
        <w:tc>
          <w:tcPr>
            <w:tcW w:w="566" w:type="dxa"/>
            <w:tcBorders>
              <w:top w:val="single" w:sz="4" w:space="0" w:color="000000"/>
              <w:left w:val="single" w:sz="4" w:space="0" w:color="000000"/>
              <w:bottom w:val="nil" w:sz="6" w:space="0" w:color="auto"/>
              <w:right w:val="single" w:sz="4" w:space="0" w:color="000000"/>
            </w:tcBorders>
          </w:tcPr>
          <w:p>
            <w:pPr/>
          </w:p>
        </w:tc>
      </w:tr>
      <w:tr>
        <w:trPr>
          <w:trHeight w:val="231" w:hRule="exact"/>
        </w:trPr>
        <w:tc>
          <w:tcPr>
            <w:tcW w:w="964" w:type="dxa"/>
            <w:tcBorders>
              <w:top w:val="nil" w:sz="6" w:space="0" w:color="auto"/>
              <w:left w:val="single" w:sz="4" w:space="0" w:color="000000"/>
              <w:bottom w:val="nil" w:sz="6" w:space="0" w:color="auto"/>
              <w:right w:val="single" w:sz="4" w:space="0" w:color="000000"/>
            </w:tcBorders>
          </w:tcPr>
          <w:p>
            <w:pPr/>
          </w:p>
        </w:tc>
        <w:tc>
          <w:tcPr>
            <w:tcW w:w="1020"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left="-1" w:right="0"/>
              <w:jc w:val="left"/>
              <w:rPr>
                <w:rFonts w:ascii="宋体" w:hAnsi="宋体" w:cs="宋体" w:eastAsia="宋体" w:hint="default"/>
                <w:sz w:val="13"/>
                <w:szCs w:val="13"/>
              </w:rPr>
            </w:pPr>
            <w:r>
              <w:rPr>
                <w:rFonts w:ascii="宋体" w:hAnsi="宋体" w:cs="宋体" w:eastAsia="宋体" w:hint="default"/>
                <w:spacing w:val="-4"/>
                <w:sz w:val="13"/>
                <w:szCs w:val="13"/>
              </w:rPr>
              <w:t>控通信装备、网络</w:t>
            </w:r>
          </w:p>
        </w:tc>
        <w:tc>
          <w:tcPr>
            <w:tcW w:w="397" w:type="dxa"/>
            <w:tcBorders>
              <w:top w:val="nil" w:sz="6" w:space="0" w:color="auto"/>
              <w:left w:val="single" w:sz="4" w:space="0" w:color="000000"/>
              <w:bottom w:val="nil" w:sz="6" w:space="0" w:color="auto"/>
              <w:right w:val="single" w:sz="4" w:space="0" w:color="000000"/>
            </w:tcBorders>
          </w:tcPr>
          <w:p>
            <w:pPr/>
          </w:p>
        </w:tc>
        <w:tc>
          <w:tcPr>
            <w:tcW w:w="964" w:type="dxa"/>
            <w:tcBorders>
              <w:top w:val="nil" w:sz="6" w:space="0" w:color="auto"/>
              <w:left w:val="single" w:sz="4" w:space="0" w:color="000000"/>
              <w:bottom w:val="nil" w:sz="6" w:space="0" w:color="auto"/>
              <w:right w:val="single" w:sz="4" w:space="0" w:color="000000"/>
            </w:tcBorders>
          </w:tcPr>
          <w:p>
            <w:pPr/>
          </w:p>
        </w:tc>
        <w:tc>
          <w:tcPr>
            <w:tcW w:w="425" w:type="dxa"/>
            <w:tcBorders>
              <w:top w:val="nil" w:sz="6" w:space="0" w:color="auto"/>
              <w:left w:val="single" w:sz="4" w:space="0" w:color="000000"/>
              <w:bottom w:val="nil" w:sz="6" w:space="0" w:color="auto"/>
              <w:right w:val="single" w:sz="4" w:space="0" w:color="000000"/>
            </w:tcBorders>
          </w:tcPr>
          <w:p>
            <w:pPr/>
          </w:p>
        </w:tc>
        <w:tc>
          <w:tcPr>
            <w:tcW w:w="397"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455" w:type="dxa"/>
            <w:tcBorders>
              <w:top w:val="nil" w:sz="6" w:space="0" w:color="auto"/>
              <w:left w:val="single" w:sz="4" w:space="0" w:color="000000"/>
              <w:bottom w:val="nil" w:sz="6" w:space="0" w:color="auto"/>
              <w:right w:val="single" w:sz="4" w:space="0" w:color="000000"/>
            </w:tcBorders>
          </w:tcPr>
          <w:p>
            <w:pPr/>
          </w:p>
        </w:tc>
        <w:tc>
          <w:tcPr>
            <w:tcW w:w="679"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left="-1" w:right="0"/>
              <w:jc w:val="left"/>
              <w:rPr>
                <w:rFonts w:ascii="宋体" w:hAnsi="宋体" w:cs="宋体" w:eastAsia="宋体" w:hint="default"/>
                <w:sz w:val="13"/>
                <w:szCs w:val="13"/>
              </w:rPr>
            </w:pPr>
            <w:r>
              <w:rPr>
                <w:rFonts w:ascii="宋体" w:hAnsi="宋体" w:cs="宋体" w:eastAsia="宋体" w:hint="default"/>
                <w:sz w:val="13"/>
                <w:szCs w:val="13"/>
              </w:rPr>
              <w:t>军事电子领</w:t>
            </w:r>
          </w:p>
        </w:tc>
        <w:tc>
          <w:tcPr>
            <w:tcW w:w="965" w:type="dxa"/>
            <w:tcBorders>
              <w:top w:val="nil" w:sz="6" w:space="0" w:color="auto"/>
              <w:left w:val="single" w:sz="4" w:space="0" w:color="000000"/>
              <w:bottom w:val="nil" w:sz="6" w:space="0" w:color="auto"/>
              <w:right w:val="single" w:sz="4" w:space="0" w:color="000000"/>
            </w:tcBorders>
          </w:tcPr>
          <w:p>
            <w:pPr/>
          </w:p>
        </w:tc>
        <w:tc>
          <w:tcPr>
            <w:tcW w:w="2098"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left="-1" w:right="0"/>
              <w:jc w:val="left"/>
              <w:rPr>
                <w:rFonts w:ascii="宋体" w:hAnsi="宋体" w:cs="宋体" w:eastAsia="宋体" w:hint="default"/>
                <w:sz w:val="13"/>
                <w:szCs w:val="13"/>
              </w:rPr>
            </w:pPr>
            <w:r>
              <w:rPr>
                <w:rFonts w:ascii="宋体" w:hAnsi="宋体" w:cs="宋体" w:eastAsia="宋体" w:hint="default"/>
                <w:sz w:val="13"/>
                <w:szCs w:val="13"/>
              </w:rPr>
              <w:t>年经审计的扣除非经常性损益归属于</w:t>
            </w:r>
          </w:p>
        </w:tc>
        <w:tc>
          <w:tcPr>
            <w:tcW w:w="907" w:type="dxa"/>
            <w:tcBorders>
              <w:top w:val="nil" w:sz="6" w:space="0" w:color="auto"/>
              <w:left w:val="single" w:sz="4" w:space="0" w:color="000000"/>
              <w:bottom w:val="nil" w:sz="6" w:space="0" w:color="auto"/>
              <w:right w:val="single" w:sz="4" w:space="0" w:color="000000"/>
            </w:tcBorders>
          </w:tcPr>
          <w:p>
            <w:pPr/>
          </w:p>
        </w:tc>
        <w:tc>
          <w:tcPr>
            <w:tcW w:w="425" w:type="dxa"/>
            <w:tcBorders>
              <w:top w:val="nil" w:sz="6" w:space="0" w:color="auto"/>
              <w:left w:val="single" w:sz="4" w:space="0" w:color="000000"/>
              <w:bottom w:val="nil" w:sz="6" w:space="0" w:color="auto"/>
              <w:right w:val="single" w:sz="4" w:space="0" w:color="000000"/>
            </w:tcBorders>
          </w:tcPr>
          <w:p>
            <w:pPr/>
          </w:p>
        </w:tc>
        <w:tc>
          <w:tcPr>
            <w:tcW w:w="568" w:type="dxa"/>
            <w:tcBorders>
              <w:top w:val="nil" w:sz="6" w:space="0" w:color="auto"/>
              <w:left w:val="single" w:sz="4" w:space="0" w:color="000000"/>
              <w:bottom w:val="nil" w:sz="6" w:space="0" w:color="auto"/>
              <w:right w:val="single" w:sz="4" w:space="0" w:color="000000"/>
            </w:tcBorders>
          </w:tcPr>
          <w:p>
            <w:pPr/>
          </w:p>
        </w:tc>
        <w:tc>
          <w:tcPr>
            <w:tcW w:w="566" w:type="dxa"/>
            <w:tcBorders>
              <w:top w:val="nil" w:sz="6" w:space="0" w:color="auto"/>
              <w:left w:val="single" w:sz="4" w:space="0" w:color="000000"/>
              <w:bottom w:val="nil" w:sz="6" w:space="0" w:color="auto"/>
              <w:right w:val="single" w:sz="4" w:space="0" w:color="000000"/>
            </w:tcBorders>
          </w:tcPr>
          <w:p>
            <w:pPr/>
          </w:p>
        </w:tc>
      </w:tr>
      <w:tr>
        <w:trPr>
          <w:trHeight w:val="159" w:hRule="exact"/>
        </w:trPr>
        <w:tc>
          <w:tcPr>
            <w:tcW w:w="964" w:type="dxa"/>
            <w:tcBorders>
              <w:top w:val="nil" w:sz="6" w:space="0" w:color="auto"/>
              <w:left w:val="single" w:sz="4" w:space="0" w:color="000000"/>
              <w:bottom w:val="nil" w:sz="6" w:space="0" w:color="auto"/>
              <w:right w:val="single" w:sz="4" w:space="0" w:color="000000"/>
            </w:tcBorders>
          </w:tcPr>
          <w:p>
            <w:pPr>
              <w:pStyle w:val="TableParagraph"/>
              <w:spacing w:line="143" w:lineRule="exact"/>
              <w:ind w:left="-1" w:right="0"/>
              <w:jc w:val="left"/>
              <w:rPr>
                <w:rFonts w:ascii="宋体" w:hAnsi="宋体" w:cs="宋体" w:eastAsia="宋体" w:hint="default"/>
                <w:sz w:val="13"/>
                <w:szCs w:val="13"/>
              </w:rPr>
            </w:pPr>
            <w:r>
              <w:rPr>
                <w:rFonts w:ascii="宋体" w:hAnsi="宋体" w:cs="宋体" w:eastAsia="宋体" w:hint="default"/>
                <w:sz w:val="13"/>
                <w:szCs w:val="13"/>
              </w:rPr>
              <w:t>武汉中原电子集</w:t>
            </w:r>
          </w:p>
        </w:tc>
        <w:tc>
          <w:tcPr>
            <w:tcW w:w="1020" w:type="dxa"/>
            <w:tcBorders>
              <w:top w:val="nil" w:sz="6" w:space="0" w:color="auto"/>
              <w:left w:val="single" w:sz="4" w:space="0" w:color="000000"/>
              <w:bottom w:val="nil" w:sz="6" w:space="0" w:color="auto"/>
              <w:right w:val="single" w:sz="4" w:space="0" w:color="000000"/>
            </w:tcBorders>
          </w:tcPr>
          <w:p>
            <w:pPr/>
          </w:p>
        </w:tc>
        <w:tc>
          <w:tcPr>
            <w:tcW w:w="397" w:type="dxa"/>
            <w:tcBorders>
              <w:top w:val="nil" w:sz="6" w:space="0" w:color="auto"/>
              <w:left w:val="single" w:sz="4" w:space="0" w:color="000000"/>
              <w:bottom w:val="nil" w:sz="6" w:space="0" w:color="auto"/>
              <w:right w:val="single" w:sz="4" w:space="0" w:color="000000"/>
            </w:tcBorders>
          </w:tcPr>
          <w:p>
            <w:pPr/>
          </w:p>
        </w:tc>
        <w:tc>
          <w:tcPr>
            <w:tcW w:w="964" w:type="dxa"/>
            <w:tcBorders>
              <w:top w:val="nil" w:sz="6" w:space="0" w:color="auto"/>
              <w:left w:val="single" w:sz="4" w:space="0" w:color="000000"/>
              <w:bottom w:val="nil" w:sz="6" w:space="0" w:color="auto"/>
              <w:right w:val="single" w:sz="4" w:space="0" w:color="000000"/>
            </w:tcBorders>
          </w:tcPr>
          <w:p>
            <w:pPr/>
          </w:p>
        </w:tc>
        <w:tc>
          <w:tcPr>
            <w:tcW w:w="425" w:type="dxa"/>
            <w:tcBorders>
              <w:top w:val="nil" w:sz="6" w:space="0" w:color="auto"/>
              <w:left w:val="single" w:sz="4" w:space="0" w:color="000000"/>
              <w:bottom w:val="nil" w:sz="6" w:space="0" w:color="auto"/>
              <w:right w:val="single" w:sz="4" w:space="0" w:color="000000"/>
            </w:tcBorders>
          </w:tcPr>
          <w:p>
            <w:pPr/>
          </w:p>
        </w:tc>
        <w:tc>
          <w:tcPr>
            <w:tcW w:w="397"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455" w:type="dxa"/>
            <w:tcBorders>
              <w:top w:val="nil" w:sz="6" w:space="0" w:color="auto"/>
              <w:left w:val="single" w:sz="4" w:space="0" w:color="000000"/>
              <w:bottom w:val="nil" w:sz="6" w:space="0" w:color="auto"/>
              <w:right w:val="single" w:sz="4" w:space="0" w:color="000000"/>
            </w:tcBorders>
          </w:tcPr>
          <w:p>
            <w:pPr/>
          </w:p>
        </w:tc>
        <w:tc>
          <w:tcPr>
            <w:tcW w:w="679" w:type="dxa"/>
            <w:tcBorders>
              <w:top w:val="nil" w:sz="6" w:space="0" w:color="auto"/>
              <w:left w:val="single" w:sz="4" w:space="0" w:color="000000"/>
              <w:bottom w:val="nil" w:sz="6" w:space="0" w:color="auto"/>
              <w:right w:val="single" w:sz="4" w:space="0" w:color="000000"/>
            </w:tcBorders>
          </w:tcPr>
          <w:p>
            <w:pPr/>
          </w:p>
        </w:tc>
        <w:tc>
          <w:tcPr>
            <w:tcW w:w="965" w:type="dxa"/>
            <w:tcBorders>
              <w:top w:val="nil" w:sz="6" w:space="0" w:color="auto"/>
              <w:left w:val="single" w:sz="4" w:space="0" w:color="000000"/>
              <w:bottom w:val="nil" w:sz="6" w:space="0" w:color="auto"/>
              <w:right w:val="single" w:sz="4" w:space="0" w:color="000000"/>
            </w:tcBorders>
          </w:tcPr>
          <w:p>
            <w:pPr/>
          </w:p>
        </w:tc>
        <w:tc>
          <w:tcPr>
            <w:tcW w:w="2098" w:type="dxa"/>
            <w:tcBorders>
              <w:top w:val="nil" w:sz="6" w:space="0" w:color="auto"/>
              <w:left w:val="single" w:sz="4" w:space="0" w:color="000000"/>
              <w:bottom w:val="nil" w:sz="6" w:space="0" w:color="auto"/>
              <w:right w:val="single" w:sz="4" w:space="0" w:color="000000"/>
            </w:tcBorders>
          </w:tcPr>
          <w:p>
            <w:pPr/>
          </w:p>
        </w:tc>
        <w:tc>
          <w:tcPr>
            <w:tcW w:w="907" w:type="dxa"/>
            <w:tcBorders>
              <w:top w:val="nil" w:sz="6" w:space="0" w:color="auto"/>
              <w:left w:val="single" w:sz="4" w:space="0" w:color="000000"/>
              <w:bottom w:val="nil" w:sz="6" w:space="0" w:color="auto"/>
              <w:right w:val="single" w:sz="4" w:space="0" w:color="000000"/>
            </w:tcBorders>
          </w:tcPr>
          <w:p>
            <w:pPr/>
          </w:p>
        </w:tc>
        <w:tc>
          <w:tcPr>
            <w:tcW w:w="425" w:type="dxa"/>
            <w:tcBorders>
              <w:top w:val="nil" w:sz="6" w:space="0" w:color="auto"/>
              <w:left w:val="single" w:sz="4" w:space="0" w:color="000000"/>
              <w:bottom w:val="nil" w:sz="6" w:space="0" w:color="auto"/>
              <w:right w:val="single" w:sz="4" w:space="0" w:color="000000"/>
            </w:tcBorders>
          </w:tcPr>
          <w:p>
            <w:pPr/>
          </w:p>
        </w:tc>
        <w:tc>
          <w:tcPr>
            <w:tcW w:w="568" w:type="dxa"/>
            <w:tcBorders>
              <w:top w:val="nil" w:sz="6" w:space="0" w:color="auto"/>
              <w:left w:val="single" w:sz="4" w:space="0" w:color="000000"/>
              <w:bottom w:val="nil" w:sz="6" w:space="0" w:color="auto"/>
              <w:right w:val="single" w:sz="4" w:space="0" w:color="000000"/>
            </w:tcBorders>
          </w:tcPr>
          <w:p>
            <w:pPr>
              <w:pStyle w:val="TableParagraph"/>
              <w:spacing w:line="153" w:lineRule="exact"/>
              <w:ind w:right="0"/>
              <w:jc w:val="center"/>
              <w:rPr>
                <w:rFonts w:ascii="Times New Roman" w:hAnsi="Times New Roman" w:cs="Times New Roman" w:eastAsia="Times New Roman" w:hint="default"/>
                <w:sz w:val="13"/>
                <w:szCs w:val="13"/>
              </w:rPr>
            </w:pPr>
            <w:r>
              <w:rPr>
                <w:rFonts w:ascii="Times New Roman" w:hAnsi="Times New Roman" w:cs="Times New Roman" w:eastAsia="Times New Roman" w:hint="default"/>
                <w:sz w:val="13"/>
                <w:szCs w:val="13"/>
              </w:rPr>
              <w:t>2018</w:t>
            </w:r>
            <w:r>
              <w:rPr>
                <w:rFonts w:ascii="Times New Roman" w:hAnsi="Times New Roman" w:cs="Times New Roman" w:eastAsia="Times New Roman" w:hint="default"/>
                <w:spacing w:val="-15"/>
                <w:sz w:val="13"/>
                <w:szCs w:val="13"/>
              </w:rPr>
              <w:t> </w:t>
            </w:r>
            <w:r>
              <w:rPr>
                <w:rFonts w:ascii="宋体" w:hAnsi="宋体" w:cs="宋体" w:eastAsia="宋体" w:hint="default"/>
                <w:sz w:val="13"/>
                <w:szCs w:val="13"/>
              </w:rPr>
              <w:t>年</w:t>
            </w:r>
            <w:r>
              <w:rPr>
                <w:rFonts w:ascii="宋体" w:hAnsi="宋体" w:cs="宋体" w:eastAsia="宋体" w:hint="default"/>
                <w:spacing w:val="-48"/>
                <w:sz w:val="13"/>
                <w:szCs w:val="13"/>
              </w:rPr>
              <w:t> </w:t>
            </w:r>
            <w:r>
              <w:rPr>
                <w:rFonts w:ascii="Times New Roman" w:hAnsi="Times New Roman" w:cs="Times New Roman" w:eastAsia="Times New Roman" w:hint="default"/>
                <w:sz w:val="13"/>
                <w:szCs w:val="13"/>
              </w:rPr>
              <w:t>09</w:t>
            </w:r>
          </w:p>
        </w:tc>
        <w:tc>
          <w:tcPr>
            <w:tcW w:w="566"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center"/>
              <w:rPr>
                <w:rFonts w:ascii="Times New Roman" w:hAnsi="Times New Roman" w:cs="Times New Roman" w:eastAsia="Times New Roman" w:hint="default"/>
                <w:sz w:val="13"/>
                <w:szCs w:val="13"/>
              </w:rPr>
            </w:pPr>
            <w:r>
              <w:rPr>
                <w:rFonts w:ascii="Times New Roman"/>
                <w:sz w:val="13"/>
              </w:rPr>
              <w:t>2018-082</w:t>
            </w:r>
          </w:p>
        </w:tc>
      </w:tr>
      <w:tr>
        <w:trPr>
          <w:trHeight w:val="157" w:hRule="exact"/>
        </w:trPr>
        <w:tc>
          <w:tcPr>
            <w:tcW w:w="964" w:type="dxa"/>
            <w:tcBorders>
              <w:top w:val="nil" w:sz="6" w:space="0" w:color="auto"/>
              <w:left w:val="single" w:sz="4" w:space="0" w:color="000000"/>
              <w:bottom w:val="nil" w:sz="6" w:space="0" w:color="auto"/>
              <w:right w:val="single" w:sz="4" w:space="0" w:color="000000"/>
            </w:tcBorders>
          </w:tcPr>
          <w:p>
            <w:pPr/>
          </w:p>
        </w:tc>
        <w:tc>
          <w:tcPr>
            <w:tcW w:w="1020" w:type="dxa"/>
            <w:tcBorders>
              <w:top w:val="nil" w:sz="6" w:space="0" w:color="auto"/>
              <w:left w:val="single" w:sz="4" w:space="0" w:color="000000"/>
              <w:bottom w:val="nil" w:sz="6" w:space="0" w:color="auto"/>
              <w:right w:val="single" w:sz="4" w:space="0" w:color="000000"/>
            </w:tcBorders>
          </w:tcPr>
          <w:p>
            <w:pPr>
              <w:pStyle w:val="TableParagraph"/>
              <w:spacing w:line="139" w:lineRule="exact"/>
              <w:ind w:left="-1" w:right="0"/>
              <w:jc w:val="left"/>
              <w:rPr>
                <w:rFonts w:ascii="宋体" w:hAnsi="宋体" w:cs="宋体" w:eastAsia="宋体" w:hint="default"/>
                <w:sz w:val="13"/>
                <w:szCs w:val="13"/>
              </w:rPr>
            </w:pPr>
            <w:r>
              <w:rPr>
                <w:rFonts w:ascii="宋体" w:hAnsi="宋体" w:cs="宋体" w:eastAsia="宋体" w:hint="default"/>
                <w:spacing w:val="-4"/>
                <w:sz w:val="13"/>
                <w:szCs w:val="13"/>
              </w:rPr>
              <w:t>设备、信息对抗及</w:t>
            </w:r>
          </w:p>
        </w:tc>
        <w:tc>
          <w:tcPr>
            <w:tcW w:w="397" w:type="dxa"/>
            <w:tcBorders>
              <w:top w:val="nil" w:sz="6" w:space="0" w:color="auto"/>
              <w:left w:val="single" w:sz="4" w:space="0" w:color="000000"/>
              <w:bottom w:val="nil" w:sz="6" w:space="0" w:color="auto"/>
              <w:right w:val="single" w:sz="4" w:space="0" w:color="000000"/>
            </w:tcBorders>
          </w:tcPr>
          <w:p>
            <w:pPr>
              <w:pStyle w:val="TableParagraph"/>
              <w:spacing w:line="140" w:lineRule="exact"/>
              <w:ind w:right="1"/>
              <w:jc w:val="center"/>
              <w:rPr>
                <w:rFonts w:ascii="宋体" w:hAnsi="宋体" w:cs="宋体" w:eastAsia="宋体" w:hint="default"/>
                <w:sz w:val="13"/>
                <w:szCs w:val="13"/>
              </w:rPr>
            </w:pPr>
            <w:r>
              <w:rPr>
                <w:rFonts w:ascii="宋体" w:hAnsi="宋体" w:cs="宋体" w:eastAsia="宋体" w:hint="default"/>
                <w:sz w:val="13"/>
                <w:szCs w:val="13"/>
              </w:rPr>
              <w:t>增资</w:t>
            </w:r>
          </w:p>
        </w:tc>
        <w:tc>
          <w:tcPr>
            <w:tcW w:w="96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1"/>
              <w:jc w:val="right"/>
              <w:rPr>
                <w:rFonts w:ascii="Times New Roman" w:hAnsi="Times New Roman" w:cs="Times New Roman" w:eastAsia="Times New Roman" w:hint="default"/>
                <w:sz w:val="13"/>
                <w:szCs w:val="13"/>
              </w:rPr>
            </w:pPr>
            <w:r>
              <w:rPr>
                <w:rFonts w:ascii="Times New Roman"/>
                <w:w w:val="95"/>
                <w:sz w:val="13"/>
              </w:rPr>
              <w:t>950,000,000.00</w:t>
            </w:r>
            <w:r>
              <w:rPr>
                <w:rFonts w:ascii="Times New Roman"/>
                <w:sz w:val="13"/>
              </w:rPr>
            </w:r>
          </w:p>
        </w:tc>
        <w:tc>
          <w:tcPr>
            <w:tcW w:w="42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center"/>
              <w:rPr>
                <w:rFonts w:ascii="Times New Roman" w:hAnsi="Times New Roman" w:cs="Times New Roman" w:eastAsia="Times New Roman" w:hint="default"/>
                <w:sz w:val="13"/>
                <w:szCs w:val="13"/>
              </w:rPr>
            </w:pPr>
            <w:r>
              <w:rPr>
                <w:rFonts w:ascii="Times New Roman"/>
                <w:sz w:val="13"/>
              </w:rPr>
              <w:t>100%</w:t>
            </w:r>
          </w:p>
        </w:tc>
        <w:tc>
          <w:tcPr>
            <w:tcW w:w="397" w:type="dxa"/>
            <w:tcBorders>
              <w:top w:val="nil" w:sz="6" w:space="0" w:color="auto"/>
              <w:left w:val="single" w:sz="4" w:space="0" w:color="000000"/>
              <w:bottom w:val="nil" w:sz="6" w:space="0" w:color="auto"/>
              <w:right w:val="single" w:sz="4" w:space="0" w:color="000000"/>
            </w:tcBorders>
          </w:tcPr>
          <w:p>
            <w:pPr>
              <w:pStyle w:val="TableParagraph"/>
              <w:spacing w:line="140" w:lineRule="exact"/>
              <w:ind w:left="1" w:right="0"/>
              <w:jc w:val="center"/>
              <w:rPr>
                <w:rFonts w:ascii="宋体" w:hAnsi="宋体" w:cs="宋体" w:eastAsia="宋体" w:hint="default"/>
                <w:sz w:val="13"/>
                <w:szCs w:val="13"/>
              </w:rPr>
            </w:pPr>
            <w:r>
              <w:rPr>
                <w:rFonts w:ascii="宋体" w:hAnsi="宋体" w:cs="宋体" w:eastAsia="宋体" w:hint="default"/>
                <w:sz w:val="13"/>
                <w:szCs w:val="13"/>
              </w:rPr>
              <w:t>自筹</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140" w:lineRule="exact"/>
              <w:ind w:right="0"/>
              <w:jc w:val="center"/>
              <w:rPr>
                <w:rFonts w:ascii="宋体" w:hAnsi="宋体" w:cs="宋体" w:eastAsia="宋体" w:hint="default"/>
                <w:sz w:val="13"/>
                <w:szCs w:val="13"/>
              </w:rPr>
            </w:pPr>
            <w:r>
              <w:rPr>
                <w:rFonts w:ascii="宋体" w:hAnsi="宋体" w:cs="宋体" w:eastAsia="宋体" w:hint="default"/>
                <w:sz w:val="13"/>
                <w:szCs w:val="13"/>
              </w:rPr>
              <w:t>不适用</w:t>
            </w:r>
          </w:p>
        </w:tc>
        <w:tc>
          <w:tcPr>
            <w:tcW w:w="455" w:type="dxa"/>
            <w:tcBorders>
              <w:top w:val="nil" w:sz="6" w:space="0" w:color="auto"/>
              <w:left w:val="single" w:sz="4" w:space="0" w:color="000000"/>
              <w:bottom w:val="nil" w:sz="6" w:space="0" w:color="auto"/>
              <w:right w:val="single" w:sz="4" w:space="0" w:color="000000"/>
            </w:tcBorders>
          </w:tcPr>
          <w:p>
            <w:pPr>
              <w:pStyle w:val="TableParagraph"/>
              <w:spacing w:line="140" w:lineRule="exact"/>
              <w:ind w:right="1"/>
              <w:jc w:val="center"/>
              <w:rPr>
                <w:rFonts w:ascii="宋体" w:hAnsi="宋体" w:cs="宋体" w:eastAsia="宋体" w:hint="default"/>
                <w:sz w:val="13"/>
                <w:szCs w:val="13"/>
              </w:rPr>
            </w:pPr>
            <w:r>
              <w:rPr>
                <w:rFonts w:ascii="宋体" w:hAnsi="宋体" w:cs="宋体" w:eastAsia="宋体" w:hint="default"/>
                <w:sz w:val="13"/>
                <w:szCs w:val="13"/>
              </w:rPr>
              <w:t>不适用</w:t>
            </w:r>
          </w:p>
        </w:tc>
        <w:tc>
          <w:tcPr>
            <w:tcW w:w="679" w:type="dxa"/>
            <w:tcBorders>
              <w:top w:val="nil" w:sz="6" w:space="0" w:color="auto"/>
              <w:left w:val="single" w:sz="4" w:space="0" w:color="000000"/>
              <w:bottom w:val="nil" w:sz="6" w:space="0" w:color="auto"/>
              <w:right w:val="single" w:sz="4" w:space="0" w:color="000000"/>
            </w:tcBorders>
          </w:tcPr>
          <w:p>
            <w:pPr>
              <w:pStyle w:val="TableParagraph"/>
              <w:spacing w:line="139" w:lineRule="exact"/>
              <w:ind w:left="-1" w:right="0"/>
              <w:jc w:val="left"/>
              <w:rPr>
                <w:rFonts w:ascii="宋体" w:hAnsi="宋体" w:cs="宋体" w:eastAsia="宋体" w:hint="default"/>
                <w:sz w:val="13"/>
                <w:szCs w:val="13"/>
              </w:rPr>
            </w:pPr>
            <w:r>
              <w:rPr>
                <w:rFonts w:ascii="宋体" w:hAnsi="宋体" w:cs="宋体" w:eastAsia="宋体" w:hint="default"/>
                <w:sz w:val="13"/>
                <w:szCs w:val="13"/>
              </w:rPr>
              <w:t>域的研发、</w:t>
            </w:r>
          </w:p>
        </w:tc>
        <w:tc>
          <w:tcPr>
            <w:tcW w:w="965" w:type="dxa"/>
            <w:tcBorders>
              <w:top w:val="nil" w:sz="6" w:space="0" w:color="auto"/>
              <w:left w:val="single" w:sz="4" w:space="0" w:color="000000"/>
              <w:bottom w:val="nil" w:sz="6" w:space="0" w:color="auto"/>
              <w:right w:val="single" w:sz="4" w:space="0" w:color="000000"/>
            </w:tcBorders>
          </w:tcPr>
          <w:p>
            <w:pPr>
              <w:pStyle w:val="TableParagraph"/>
              <w:spacing w:line="150" w:lineRule="exact"/>
              <w:ind w:right="1"/>
              <w:jc w:val="center"/>
              <w:rPr>
                <w:rFonts w:ascii="宋体" w:hAnsi="宋体" w:cs="宋体" w:eastAsia="宋体" w:hint="default"/>
                <w:sz w:val="13"/>
                <w:szCs w:val="13"/>
              </w:rPr>
            </w:pPr>
            <w:r>
              <w:rPr>
                <w:rFonts w:ascii="宋体" w:hAnsi="宋体" w:cs="宋体" w:eastAsia="宋体" w:hint="default"/>
                <w:sz w:val="13"/>
                <w:szCs w:val="13"/>
              </w:rPr>
              <w:t>完成增资</w:t>
            </w:r>
            <w:r>
              <w:rPr>
                <w:rFonts w:ascii="宋体" w:hAnsi="宋体" w:cs="宋体" w:eastAsia="宋体" w:hint="default"/>
                <w:spacing w:val="-34"/>
                <w:sz w:val="13"/>
                <w:szCs w:val="13"/>
              </w:rPr>
              <w:t> </w:t>
            </w:r>
            <w:r>
              <w:rPr>
                <w:rFonts w:ascii="Times New Roman" w:hAnsi="Times New Roman" w:cs="Times New Roman" w:eastAsia="Times New Roman" w:hint="default"/>
                <w:sz w:val="13"/>
                <w:szCs w:val="13"/>
              </w:rPr>
              <w:t>5</w:t>
            </w:r>
            <w:r>
              <w:rPr>
                <w:rFonts w:ascii="Times New Roman" w:hAnsi="Times New Roman" w:cs="Times New Roman" w:eastAsia="Times New Roman" w:hint="default"/>
                <w:spacing w:val="-3"/>
                <w:sz w:val="13"/>
                <w:szCs w:val="13"/>
              </w:rPr>
              <w:t> </w:t>
            </w:r>
            <w:r>
              <w:rPr>
                <w:rFonts w:ascii="宋体" w:hAnsi="宋体" w:cs="宋体" w:eastAsia="宋体" w:hint="default"/>
                <w:sz w:val="13"/>
                <w:szCs w:val="13"/>
              </w:rPr>
              <w:t>亿元</w:t>
            </w:r>
          </w:p>
        </w:tc>
        <w:tc>
          <w:tcPr>
            <w:tcW w:w="2098" w:type="dxa"/>
            <w:tcBorders>
              <w:top w:val="nil" w:sz="6" w:space="0" w:color="auto"/>
              <w:left w:val="single" w:sz="4" w:space="0" w:color="000000"/>
              <w:bottom w:val="nil" w:sz="6" w:space="0" w:color="auto"/>
              <w:right w:val="single" w:sz="4" w:space="0" w:color="000000"/>
            </w:tcBorders>
          </w:tcPr>
          <w:p>
            <w:pPr>
              <w:pStyle w:val="TableParagraph"/>
              <w:spacing w:line="139" w:lineRule="exact"/>
              <w:ind w:left="-1" w:right="0"/>
              <w:jc w:val="left"/>
              <w:rPr>
                <w:rFonts w:ascii="宋体" w:hAnsi="宋体" w:cs="宋体" w:eastAsia="宋体" w:hint="default"/>
                <w:sz w:val="13"/>
                <w:szCs w:val="13"/>
              </w:rPr>
            </w:pPr>
            <w:r>
              <w:rPr>
                <w:rFonts w:ascii="宋体" w:hAnsi="宋体" w:cs="宋体" w:eastAsia="宋体" w:hint="default"/>
                <w:sz w:val="13"/>
                <w:szCs w:val="13"/>
              </w:rPr>
              <w:t>母公司所有者的净利润之和将不低于</w:t>
            </w:r>
          </w:p>
        </w:tc>
        <w:tc>
          <w:tcPr>
            <w:tcW w:w="90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1"/>
              <w:jc w:val="right"/>
              <w:rPr>
                <w:rFonts w:ascii="Times New Roman" w:hAnsi="Times New Roman" w:cs="Times New Roman" w:eastAsia="Times New Roman" w:hint="default"/>
                <w:sz w:val="13"/>
                <w:szCs w:val="13"/>
              </w:rPr>
            </w:pPr>
            <w:r>
              <w:rPr>
                <w:rFonts w:ascii="Times New Roman"/>
                <w:spacing w:val="-1"/>
                <w:sz w:val="13"/>
              </w:rPr>
              <w:t>234,411,092.28</w:t>
            </w:r>
          </w:p>
        </w:tc>
        <w:tc>
          <w:tcPr>
            <w:tcW w:w="425" w:type="dxa"/>
            <w:tcBorders>
              <w:top w:val="nil" w:sz="6" w:space="0" w:color="auto"/>
              <w:left w:val="single" w:sz="4" w:space="0" w:color="000000"/>
              <w:bottom w:val="nil" w:sz="6" w:space="0" w:color="auto"/>
              <w:right w:val="single" w:sz="4" w:space="0" w:color="000000"/>
            </w:tcBorders>
          </w:tcPr>
          <w:p>
            <w:pPr>
              <w:pStyle w:val="TableParagraph"/>
              <w:spacing w:line="140" w:lineRule="exact"/>
              <w:ind w:right="0"/>
              <w:jc w:val="center"/>
              <w:rPr>
                <w:rFonts w:ascii="宋体" w:hAnsi="宋体" w:cs="宋体" w:eastAsia="宋体" w:hint="default"/>
                <w:sz w:val="13"/>
                <w:szCs w:val="13"/>
              </w:rPr>
            </w:pPr>
            <w:r>
              <w:rPr>
                <w:rFonts w:ascii="宋体" w:hAnsi="宋体" w:cs="宋体" w:eastAsia="宋体" w:hint="default"/>
                <w:w w:val="99"/>
                <w:sz w:val="13"/>
                <w:szCs w:val="13"/>
              </w:rPr>
              <w:t>否</w:t>
            </w:r>
            <w:r>
              <w:rPr>
                <w:rFonts w:ascii="宋体" w:hAnsi="宋体" w:cs="宋体" w:eastAsia="宋体" w:hint="default"/>
                <w:sz w:val="13"/>
                <w:szCs w:val="13"/>
              </w:rPr>
            </w:r>
          </w:p>
        </w:tc>
        <w:tc>
          <w:tcPr>
            <w:tcW w:w="568" w:type="dxa"/>
            <w:tcBorders>
              <w:top w:val="nil" w:sz="6" w:space="0" w:color="auto"/>
              <w:left w:val="single" w:sz="4" w:space="0" w:color="000000"/>
              <w:bottom w:val="nil" w:sz="6" w:space="0" w:color="auto"/>
              <w:right w:val="single" w:sz="4" w:space="0" w:color="000000"/>
            </w:tcBorders>
          </w:tcPr>
          <w:p>
            <w:pPr/>
          </w:p>
        </w:tc>
        <w:tc>
          <w:tcPr>
            <w:tcW w:w="566" w:type="dxa"/>
            <w:tcBorders>
              <w:top w:val="nil" w:sz="6" w:space="0" w:color="auto"/>
              <w:left w:val="single" w:sz="4" w:space="0" w:color="000000"/>
              <w:bottom w:val="nil" w:sz="6" w:space="0" w:color="auto"/>
              <w:right w:val="single" w:sz="4" w:space="0" w:color="000000"/>
            </w:tcBorders>
          </w:tcPr>
          <w:p>
            <w:pPr/>
          </w:p>
        </w:tc>
      </w:tr>
      <w:tr>
        <w:trPr>
          <w:trHeight w:val="155" w:hRule="exact"/>
        </w:trPr>
        <w:tc>
          <w:tcPr>
            <w:tcW w:w="964" w:type="dxa"/>
            <w:tcBorders>
              <w:top w:val="nil" w:sz="6" w:space="0" w:color="auto"/>
              <w:left w:val="single" w:sz="4" w:space="0" w:color="000000"/>
              <w:bottom w:val="nil" w:sz="6" w:space="0" w:color="auto"/>
              <w:right w:val="single" w:sz="4" w:space="0" w:color="000000"/>
            </w:tcBorders>
          </w:tcPr>
          <w:p>
            <w:pPr>
              <w:pStyle w:val="TableParagraph"/>
              <w:spacing w:line="139" w:lineRule="exact"/>
              <w:ind w:left="-1" w:right="0"/>
              <w:jc w:val="left"/>
              <w:rPr>
                <w:rFonts w:ascii="宋体" w:hAnsi="宋体" w:cs="宋体" w:eastAsia="宋体" w:hint="default"/>
                <w:sz w:val="13"/>
                <w:szCs w:val="13"/>
              </w:rPr>
            </w:pPr>
            <w:r>
              <w:rPr>
                <w:rFonts w:ascii="宋体" w:hAnsi="宋体" w:cs="宋体" w:eastAsia="宋体" w:hint="default"/>
                <w:sz w:val="13"/>
                <w:szCs w:val="13"/>
              </w:rPr>
              <w:t>团有限公司</w:t>
            </w:r>
          </w:p>
        </w:tc>
        <w:tc>
          <w:tcPr>
            <w:tcW w:w="1020" w:type="dxa"/>
            <w:tcBorders>
              <w:top w:val="nil" w:sz="6" w:space="0" w:color="auto"/>
              <w:left w:val="single" w:sz="4" w:space="0" w:color="000000"/>
              <w:bottom w:val="nil" w:sz="6" w:space="0" w:color="auto"/>
              <w:right w:val="single" w:sz="4" w:space="0" w:color="000000"/>
            </w:tcBorders>
          </w:tcPr>
          <w:p>
            <w:pPr/>
          </w:p>
        </w:tc>
        <w:tc>
          <w:tcPr>
            <w:tcW w:w="397" w:type="dxa"/>
            <w:tcBorders>
              <w:top w:val="nil" w:sz="6" w:space="0" w:color="auto"/>
              <w:left w:val="single" w:sz="4" w:space="0" w:color="000000"/>
              <w:bottom w:val="nil" w:sz="6" w:space="0" w:color="auto"/>
              <w:right w:val="single" w:sz="4" w:space="0" w:color="000000"/>
            </w:tcBorders>
          </w:tcPr>
          <w:p>
            <w:pPr/>
          </w:p>
        </w:tc>
        <w:tc>
          <w:tcPr>
            <w:tcW w:w="964" w:type="dxa"/>
            <w:tcBorders>
              <w:top w:val="nil" w:sz="6" w:space="0" w:color="auto"/>
              <w:left w:val="single" w:sz="4" w:space="0" w:color="000000"/>
              <w:bottom w:val="nil" w:sz="6" w:space="0" w:color="auto"/>
              <w:right w:val="single" w:sz="4" w:space="0" w:color="000000"/>
            </w:tcBorders>
          </w:tcPr>
          <w:p>
            <w:pPr/>
          </w:p>
        </w:tc>
        <w:tc>
          <w:tcPr>
            <w:tcW w:w="425" w:type="dxa"/>
            <w:tcBorders>
              <w:top w:val="nil" w:sz="6" w:space="0" w:color="auto"/>
              <w:left w:val="single" w:sz="4" w:space="0" w:color="000000"/>
              <w:bottom w:val="nil" w:sz="6" w:space="0" w:color="auto"/>
              <w:right w:val="single" w:sz="4" w:space="0" w:color="000000"/>
            </w:tcBorders>
          </w:tcPr>
          <w:p>
            <w:pPr/>
          </w:p>
        </w:tc>
        <w:tc>
          <w:tcPr>
            <w:tcW w:w="397"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455" w:type="dxa"/>
            <w:tcBorders>
              <w:top w:val="nil" w:sz="6" w:space="0" w:color="auto"/>
              <w:left w:val="single" w:sz="4" w:space="0" w:color="000000"/>
              <w:bottom w:val="nil" w:sz="6" w:space="0" w:color="auto"/>
              <w:right w:val="single" w:sz="4" w:space="0" w:color="000000"/>
            </w:tcBorders>
          </w:tcPr>
          <w:p>
            <w:pPr/>
          </w:p>
        </w:tc>
        <w:tc>
          <w:tcPr>
            <w:tcW w:w="679" w:type="dxa"/>
            <w:tcBorders>
              <w:top w:val="nil" w:sz="6" w:space="0" w:color="auto"/>
              <w:left w:val="single" w:sz="4" w:space="0" w:color="000000"/>
              <w:bottom w:val="nil" w:sz="6" w:space="0" w:color="auto"/>
              <w:right w:val="single" w:sz="4" w:space="0" w:color="000000"/>
            </w:tcBorders>
          </w:tcPr>
          <w:p>
            <w:pPr/>
          </w:p>
        </w:tc>
        <w:tc>
          <w:tcPr>
            <w:tcW w:w="965" w:type="dxa"/>
            <w:tcBorders>
              <w:top w:val="nil" w:sz="6" w:space="0" w:color="auto"/>
              <w:left w:val="single" w:sz="4" w:space="0" w:color="000000"/>
              <w:bottom w:val="nil" w:sz="6" w:space="0" w:color="auto"/>
              <w:right w:val="single" w:sz="4" w:space="0" w:color="000000"/>
            </w:tcBorders>
          </w:tcPr>
          <w:p>
            <w:pPr/>
          </w:p>
        </w:tc>
        <w:tc>
          <w:tcPr>
            <w:tcW w:w="2098" w:type="dxa"/>
            <w:tcBorders>
              <w:top w:val="nil" w:sz="6" w:space="0" w:color="auto"/>
              <w:left w:val="single" w:sz="4" w:space="0" w:color="000000"/>
              <w:bottom w:val="nil" w:sz="6" w:space="0" w:color="auto"/>
              <w:right w:val="single" w:sz="4" w:space="0" w:color="000000"/>
            </w:tcBorders>
          </w:tcPr>
          <w:p>
            <w:pPr/>
          </w:p>
        </w:tc>
        <w:tc>
          <w:tcPr>
            <w:tcW w:w="907" w:type="dxa"/>
            <w:tcBorders>
              <w:top w:val="nil" w:sz="6" w:space="0" w:color="auto"/>
              <w:left w:val="single" w:sz="4" w:space="0" w:color="000000"/>
              <w:bottom w:val="nil" w:sz="6" w:space="0" w:color="auto"/>
              <w:right w:val="single" w:sz="4" w:space="0" w:color="000000"/>
            </w:tcBorders>
          </w:tcPr>
          <w:p>
            <w:pPr/>
          </w:p>
        </w:tc>
        <w:tc>
          <w:tcPr>
            <w:tcW w:w="425" w:type="dxa"/>
            <w:tcBorders>
              <w:top w:val="nil" w:sz="6" w:space="0" w:color="auto"/>
              <w:left w:val="single" w:sz="4" w:space="0" w:color="000000"/>
              <w:bottom w:val="nil" w:sz="6" w:space="0" w:color="auto"/>
              <w:right w:val="single" w:sz="4" w:space="0" w:color="000000"/>
            </w:tcBorders>
          </w:tcPr>
          <w:p>
            <w:pPr/>
          </w:p>
        </w:tc>
        <w:tc>
          <w:tcPr>
            <w:tcW w:w="568"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1"/>
              <w:jc w:val="center"/>
              <w:rPr>
                <w:rFonts w:ascii="宋体" w:hAnsi="宋体" w:cs="宋体" w:eastAsia="宋体" w:hint="default"/>
                <w:sz w:val="13"/>
                <w:szCs w:val="13"/>
              </w:rPr>
            </w:pPr>
            <w:r>
              <w:rPr>
                <w:rFonts w:ascii="宋体" w:hAnsi="宋体" w:cs="宋体" w:eastAsia="宋体" w:hint="default"/>
                <w:sz w:val="13"/>
                <w:szCs w:val="13"/>
              </w:rPr>
              <w:t>月</w:t>
            </w:r>
            <w:r>
              <w:rPr>
                <w:rFonts w:ascii="宋体" w:hAnsi="宋体" w:cs="宋体" w:eastAsia="宋体" w:hint="default"/>
                <w:spacing w:val="-34"/>
                <w:sz w:val="13"/>
                <w:szCs w:val="13"/>
              </w:rPr>
              <w:t> </w:t>
            </w:r>
            <w:r>
              <w:rPr>
                <w:rFonts w:ascii="Times New Roman" w:hAnsi="Times New Roman" w:cs="Times New Roman" w:eastAsia="Times New Roman" w:hint="default"/>
                <w:sz w:val="13"/>
                <w:szCs w:val="13"/>
              </w:rPr>
              <w:t>22</w:t>
            </w:r>
            <w:r>
              <w:rPr>
                <w:rFonts w:ascii="Times New Roman" w:hAnsi="Times New Roman" w:cs="Times New Roman" w:eastAsia="Times New Roman" w:hint="default"/>
                <w:spacing w:val="-2"/>
                <w:sz w:val="13"/>
                <w:szCs w:val="13"/>
              </w:rPr>
              <w:t> </w:t>
            </w:r>
            <w:r>
              <w:rPr>
                <w:rFonts w:ascii="宋体" w:hAnsi="宋体" w:cs="宋体" w:eastAsia="宋体" w:hint="default"/>
                <w:sz w:val="13"/>
                <w:szCs w:val="13"/>
              </w:rPr>
              <w:t>日</w:t>
            </w:r>
          </w:p>
        </w:tc>
        <w:tc>
          <w:tcPr>
            <w:tcW w:w="566" w:type="dxa"/>
            <w:tcBorders>
              <w:top w:val="nil" w:sz="6" w:space="0" w:color="auto"/>
              <w:left w:val="single" w:sz="4" w:space="0" w:color="000000"/>
              <w:bottom w:val="nil" w:sz="6" w:space="0" w:color="auto"/>
              <w:right w:val="single" w:sz="4" w:space="0" w:color="000000"/>
            </w:tcBorders>
          </w:tcPr>
          <w:p>
            <w:pPr>
              <w:pStyle w:val="TableParagraph"/>
              <w:spacing w:line="139" w:lineRule="exact"/>
              <w:ind w:right="0"/>
              <w:jc w:val="center"/>
              <w:rPr>
                <w:rFonts w:ascii="宋体" w:hAnsi="宋体" w:cs="宋体" w:eastAsia="宋体" w:hint="default"/>
                <w:sz w:val="13"/>
                <w:szCs w:val="13"/>
              </w:rPr>
            </w:pPr>
            <w:r>
              <w:rPr>
                <w:rFonts w:ascii="宋体" w:hAnsi="宋体" w:cs="宋体" w:eastAsia="宋体" w:hint="default"/>
                <w:sz w:val="13"/>
                <w:szCs w:val="13"/>
              </w:rPr>
              <w:t>号公告</w:t>
            </w:r>
          </w:p>
        </w:tc>
      </w:tr>
      <w:tr>
        <w:trPr>
          <w:trHeight w:val="234" w:hRule="exact"/>
        </w:trPr>
        <w:tc>
          <w:tcPr>
            <w:tcW w:w="964" w:type="dxa"/>
            <w:tcBorders>
              <w:top w:val="nil" w:sz="6" w:space="0" w:color="auto"/>
              <w:left w:val="single" w:sz="4" w:space="0" w:color="000000"/>
              <w:bottom w:val="nil" w:sz="6" w:space="0" w:color="auto"/>
              <w:right w:val="single" w:sz="4" w:space="0" w:color="000000"/>
            </w:tcBorders>
          </w:tcPr>
          <w:p>
            <w:pPr/>
          </w:p>
        </w:tc>
        <w:tc>
          <w:tcPr>
            <w:tcW w:w="1020" w:type="dxa"/>
            <w:tcBorders>
              <w:top w:val="nil" w:sz="6" w:space="0" w:color="auto"/>
              <w:left w:val="single" w:sz="4" w:space="0" w:color="000000"/>
              <w:bottom w:val="nil" w:sz="6" w:space="0" w:color="auto"/>
              <w:right w:val="single" w:sz="4" w:space="0" w:color="000000"/>
            </w:tcBorders>
          </w:tcPr>
          <w:p>
            <w:pPr>
              <w:pStyle w:val="TableParagraph"/>
              <w:spacing w:line="139" w:lineRule="exact"/>
              <w:ind w:left="-1" w:right="0"/>
              <w:jc w:val="left"/>
              <w:rPr>
                <w:rFonts w:ascii="宋体" w:hAnsi="宋体" w:cs="宋体" w:eastAsia="宋体" w:hint="default"/>
                <w:sz w:val="13"/>
                <w:szCs w:val="13"/>
              </w:rPr>
            </w:pPr>
            <w:r>
              <w:rPr>
                <w:rFonts w:ascii="宋体" w:hAnsi="宋体" w:cs="宋体" w:eastAsia="宋体" w:hint="default"/>
                <w:sz w:val="13"/>
                <w:szCs w:val="13"/>
              </w:rPr>
              <w:t>防护等软硬件产</w:t>
            </w:r>
          </w:p>
        </w:tc>
        <w:tc>
          <w:tcPr>
            <w:tcW w:w="397" w:type="dxa"/>
            <w:tcBorders>
              <w:top w:val="nil" w:sz="6" w:space="0" w:color="auto"/>
              <w:left w:val="single" w:sz="4" w:space="0" w:color="000000"/>
              <w:bottom w:val="nil" w:sz="6" w:space="0" w:color="auto"/>
              <w:right w:val="single" w:sz="4" w:space="0" w:color="000000"/>
            </w:tcBorders>
          </w:tcPr>
          <w:p>
            <w:pPr/>
          </w:p>
        </w:tc>
        <w:tc>
          <w:tcPr>
            <w:tcW w:w="964" w:type="dxa"/>
            <w:tcBorders>
              <w:top w:val="nil" w:sz="6" w:space="0" w:color="auto"/>
              <w:left w:val="single" w:sz="4" w:space="0" w:color="000000"/>
              <w:bottom w:val="nil" w:sz="6" w:space="0" w:color="auto"/>
              <w:right w:val="single" w:sz="4" w:space="0" w:color="000000"/>
            </w:tcBorders>
          </w:tcPr>
          <w:p>
            <w:pPr/>
          </w:p>
        </w:tc>
        <w:tc>
          <w:tcPr>
            <w:tcW w:w="425" w:type="dxa"/>
            <w:tcBorders>
              <w:top w:val="nil" w:sz="6" w:space="0" w:color="auto"/>
              <w:left w:val="single" w:sz="4" w:space="0" w:color="000000"/>
              <w:bottom w:val="nil" w:sz="6" w:space="0" w:color="auto"/>
              <w:right w:val="single" w:sz="4" w:space="0" w:color="000000"/>
            </w:tcBorders>
          </w:tcPr>
          <w:p>
            <w:pPr/>
          </w:p>
        </w:tc>
        <w:tc>
          <w:tcPr>
            <w:tcW w:w="397"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455" w:type="dxa"/>
            <w:tcBorders>
              <w:top w:val="nil" w:sz="6" w:space="0" w:color="auto"/>
              <w:left w:val="single" w:sz="4" w:space="0" w:color="000000"/>
              <w:bottom w:val="nil" w:sz="6" w:space="0" w:color="auto"/>
              <w:right w:val="single" w:sz="4" w:space="0" w:color="000000"/>
            </w:tcBorders>
          </w:tcPr>
          <w:p>
            <w:pPr/>
          </w:p>
        </w:tc>
        <w:tc>
          <w:tcPr>
            <w:tcW w:w="679" w:type="dxa"/>
            <w:tcBorders>
              <w:top w:val="nil" w:sz="6" w:space="0" w:color="auto"/>
              <w:left w:val="single" w:sz="4" w:space="0" w:color="000000"/>
              <w:bottom w:val="nil" w:sz="6" w:space="0" w:color="auto"/>
              <w:right w:val="single" w:sz="4" w:space="0" w:color="000000"/>
            </w:tcBorders>
          </w:tcPr>
          <w:p>
            <w:pPr>
              <w:pStyle w:val="TableParagraph"/>
              <w:spacing w:line="140" w:lineRule="exact"/>
              <w:ind w:left="-1" w:right="0"/>
              <w:jc w:val="left"/>
              <w:rPr>
                <w:rFonts w:ascii="宋体" w:hAnsi="宋体" w:cs="宋体" w:eastAsia="宋体" w:hint="default"/>
                <w:sz w:val="13"/>
                <w:szCs w:val="13"/>
              </w:rPr>
            </w:pPr>
            <w:r>
              <w:rPr>
                <w:rFonts w:ascii="宋体" w:hAnsi="宋体" w:cs="宋体" w:eastAsia="宋体" w:hint="default"/>
                <w:sz w:val="13"/>
                <w:szCs w:val="13"/>
              </w:rPr>
              <w:t>制造与服务</w:t>
            </w:r>
          </w:p>
        </w:tc>
        <w:tc>
          <w:tcPr>
            <w:tcW w:w="965" w:type="dxa"/>
            <w:tcBorders>
              <w:top w:val="nil" w:sz="6" w:space="0" w:color="auto"/>
              <w:left w:val="single" w:sz="4" w:space="0" w:color="000000"/>
              <w:bottom w:val="nil" w:sz="6" w:space="0" w:color="auto"/>
              <w:right w:val="single" w:sz="4" w:space="0" w:color="000000"/>
            </w:tcBorders>
          </w:tcPr>
          <w:p>
            <w:pPr/>
          </w:p>
        </w:tc>
        <w:tc>
          <w:tcPr>
            <w:tcW w:w="2098"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0"/>
              <w:jc w:val="left"/>
              <w:rPr>
                <w:rFonts w:ascii="Times New Roman" w:hAnsi="Times New Roman" w:cs="Times New Roman" w:eastAsia="Times New Roman" w:hint="default"/>
                <w:sz w:val="13"/>
                <w:szCs w:val="13"/>
              </w:rPr>
            </w:pPr>
            <w:r>
              <w:rPr>
                <w:rFonts w:ascii="Times New Roman" w:hAnsi="Times New Roman" w:cs="Times New Roman" w:eastAsia="Times New Roman" w:hint="default"/>
                <w:w w:val="99"/>
                <w:sz w:val="13"/>
                <w:szCs w:val="13"/>
              </w:rPr>
              <w:t>5.7</w:t>
            </w:r>
            <w:r>
              <w:rPr>
                <w:rFonts w:ascii="Times New Roman" w:hAnsi="Times New Roman" w:cs="Times New Roman" w:eastAsia="Times New Roman" w:hint="default"/>
                <w:spacing w:val="-1"/>
                <w:sz w:val="13"/>
                <w:szCs w:val="13"/>
              </w:rPr>
              <w:t> </w:t>
            </w:r>
            <w:r>
              <w:rPr>
                <w:rFonts w:ascii="宋体" w:hAnsi="宋体" w:cs="宋体" w:eastAsia="宋体" w:hint="default"/>
                <w:w w:val="99"/>
                <w:sz w:val="13"/>
                <w:szCs w:val="13"/>
              </w:rPr>
              <w:t>亿元</w:t>
            </w:r>
            <w:r>
              <w:rPr>
                <w:rFonts w:ascii="宋体" w:hAnsi="宋体" w:cs="宋体" w:eastAsia="宋体" w:hint="default"/>
                <w:spacing w:val="-57"/>
                <w:w w:val="99"/>
                <w:sz w:val="13"/>
                <w:szCs w:val="13"/>
              </w:rPr>
              <w:t>，</w:t>
            </w:r>
            <w:r>
              <w:rPr>
                <w:rFonts w:ascii="宋体" w:hAnsi="宋体" w:cs="宋体" w:eastAsia="宋体" w:hint="default"/>
                <w:spacing w:val="1"/>
                <w:w w:val="99"/>
                <w:sz w:val="13"/>
                <w:szCs w:val="13"/>
              </w:rPr>
              <w:t>具</w:t>
            </w:r>
            <w:r>
              <w:rPr>
                <w:rFonts w:ascii="宋体" w:hAnsi="宋体" w:cs="宋体" w:eastAsia="宋体" w:hint="default"/>
                <w:w w:val="99"/>
                <w:sz w:val="13"/>
                <w:szCs w:val="13"/>
              </w:rPr>
              <w:t>体分</w:t>
            </w:r>
            <w:r>
              <w:rPr>
                <w:rFonts w:ascii="宋体" w:hAnsi="宋体" w:cs="宋体" w:eastAsia="宋体" w:hint="default"/>
                <w:spacing w:val="1"/>
                <w:w w:val="99"/>
                <w:sz w:val="13"/>
                <w:szCs w:val="13"/>
              </w:rPr>
              <w:t>别</w:t>
            </w:r>
            <w:r>
              <w:rPr>
                <w:rFonts w:ascii="宋体" w:hAnsi="宋体" w:cs="宋体" w:eastAsia="宋体" w:hint="default"/>
                <w:w w:val="99"/>
                <w:sz w:val="13"/>
                <w:szCs w:val="13"/>
              </w:rPr>
              <w:t>为</w:t>
            </w:r>
            <w:r>
              <w:rPr>
                <w:rFonts w:ascii="宋体" w:hAnsi="宋体" w:cs="宋体" w:eastAsia="宋体" w:hint="default"/>
                <w:spacing w:val="-32"/>
                <w:sz w:val="13"/>
                <w:szCs w:val="13"/>
              </w:rPr>
              <w:t> </w:t>
            </w:r>
            <w:r>
              <w:rPr>
                <w:rFonts w:ascii="Times New Roman" w:hAnsi="Times New Roman" w:cs="Times New Roman" w:eastAsia="Times New Roman" w:hint="default"/>
                <w:w w:val="99"/>
                <w:sz w:val="13"/>
                <w:szCs w:val="13"/>
              </w:rPr>
              <w:t>18,182.84</w:t>
            </w:r>
            <w:r>
              <w:rPr>
                <w:rFonts w:ascii="Times New Roman" w:hAnsi="Times New Roman" w:cs="Times New Roman" w:eastAsia="Times New Roman" w:hint="default"/>
                <w:sz w:val="13"/>
                <w:szCs w:val="13"/>
              </w:rPr>
            </w:r>
          </w:p>
        </w:tc>
        <w:tc>
          <w:tcPr>
            <w:tcW w:w="907" w:type="dxa"/>
            <w:tcBorders>
              <w:top w:val="nil" w:sz="6" w:space="0" w:color="auto"/>
              <w:left w:val="single" w:sz="4" w:space="0" w:color="000000"/>
              <w:bottom w:val="nil" w:sz="6" w:space="0" w:color="auto"/>
              <w:right w:val="single" w:sz="4" w:space="0" w:color="000000"/>
            </w:tcBorders>
          </w:tcPr>
          <w:p>
            <w:pPr/>
          </w:p>
        </w:tc>
        <w:tc>
          <w:tcPr>
            <w:tcW w:w="425" w:type="dxa"/>
            <w:tcBorders>
              <w:top w:val="nil" w:sz="6" w:space="0" w:color="auto"/>
              <w:left w:val="single" w:sz="4" w:space="0" w:color="000000"/>
              <w:bottom w:val="nil" w:sz="6" w:space="0" w:color="auto"/>
              <w:right w:val="single" w:sz="4" w:space="0" w:color="000000"/>
            </w:tcBorders>
          </w:tcPr>
          <w:p>
            <w:pPr/>
          </w:p>
        </w:tc>
        <w:tc>
          <w:tcPr>
            <w:tcW w:w="568" w:type="dxa"/>
            <w:tcBorders>
              <w:top w:val="nil" w:sz="6" w:space="0" w:color="auto"/>
              <w:left w:val="single" w:sz="4" w:space="0" w:color="000000"/>
              <w:bottom w:val="nil" w:sz="6" w:space="0" w:color="auto"/>
              <w:right w:val="single" w:sz="4" w:space="0" w:color="000000"/>
            </w:tcBorders>
          </w:tcPr>
          <w:p>
            <w:pPr/>
          </w:p>
        </w:tc>
        <w:tc>
          <w:tcPr>
            <w:tcW w:w="566" w:type="dxa"/>
            <w:tcBorders>
              <w:top w:val="nil" w:sz="6" w:space="0" w:color="auto"/>
              <w:left w:val="single" w:sz="4" w:space="0" w:color="000000"/>
              <w:bottom w:val="nil" w:sz="6" w:space="0" w:color="auto"/>
              <w:right w:val="single" w:sz="4" w:space="0" w:color="000000"/>
            </w:tcBorders>
          </w:tcPr>
          <w:p>
            <w:pPr/>
          </w:p>
        </w:tc>
      </w:tr>
      <w:tr>
        <w:trPr>
          <w:trHeight w:val="354" w:hRule="exact"/>
        </w:trPr>
        <w:tc>
          <w:tcPr>
            <w:tcW w:w="964" w:type="dxa"/>
            <w:tcBorders>
              <w:top w:val="nil" w:sz="6" w:space="0" w:color="auto"/>
              <w:left w:val="single" w:sz="4" w:space="0" w:color="000000"/>
              <w:bottom w:val="single" w:sz="4" w:space="0" w:color="000000"/>
              <w:right w:val="single" w:sz="4" w:space="0" w:color="000000"/>
            </w:tcBorders>
          </w:tcPr>
          <w:p>
            <w:pPr/>
          </w:p>
        </w:tc>
        <w:tc>
          <w:tcPr>
            <w:tcW w:w="102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7"/>
              <w:ind w:left="-1" w:right="0"/>
              <w:jc w:val="left"/>
              <w:rPr>
                <w:rFonts w:ascii="宋体" w:hAnsi="宋体" w:cs="宋体" w:eastAsia="宋体" w:hint="default"/>
                <w:sz w:val="13"/>
                <w:szCs w:val="13"/>
              </w:rPr>
            </w:pPr>
            <w:r>
              <w:rPr>
                <w:rFonts w:ascii="宋体" w:hAnsi="宋体" w:cs="宋体" w:eastAsia="宋体" w:hint="default"/>
                <w:sz w:val="13"/>
                <w:szCs w:val="13"/>
              </w:rPr>
              <w:t>品及解决方案</w:t>
            </w:r>
          </w:p>
        </w:tc>
        <w:tc>
          <w:tcPr>
            <w:tcW w:w="397" w:type="dxa"/>
            <w:tcBorders>
              <w:top w:val="nil" w:sz="6" w:space="0" w:color="auto"/>
              <w:left w:val="single" w:sz="4" w:space="0" w:color="000000"/>
              <w:bottom w:val="single" w:sz="4" w:space="0" w:color="000000"/>
              <w:right w:val="single" w:sz="4" w:space="0" w:color="000000"/>
            </w:tcBorders>
          </w:tcPr>
          <w:p>
            <w:pPr/>
          </w:p>
        </w:tc>
        <w:tc>
          <w:tcPr>
            <w:tcW w:w="964" w:type="dxa"/>
            <w:tcBorders>
              <w:top w:val="nil" w:sz="6" w:space="0" w:color="auto"/>
              <w:left w:val="single" w:sz="4" w:space="0" w:color="000000"/>
              <w:bottom w:val="single" w:sz="4" w:space="0" w:color="000000"/>
              <w:right w:val="single" w:sz="4" w:space="0" w:color="000000"/>
            </w:tcBorders>
          </w:tcPr>
          <w:p>
            <w:pPr/>
          </w:p>
        </w:tc>
        <w:tc>
          <w:tcPr>
            <w:tcW w:w="425" w:type="dxa"/>
            <w:tcBorders>
              <w:top w:val="nil" w:sz="6" w:space="0" w:color="auto"/>
              <w:left w:val="single" w:sz="4" w:space="0" w:color="000000"/>
              <w:bottom w:val="single" w:sz="4" w:space="0" w:color="000000"/>
              <w:right w:val="single" w:sz="4" w:space="0" w:color="000000"/>
            </w:tcBorders>
          </w:tcPr>
          <w:p>
            <w:pPr/>
          </w:p>
        </w:tc>
        <w:tc>
          <w:tcPr>
            <w:tcW w:w="397"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c>
          <w:tcPr>
            <w:tcW w:w="455" w:type="dxa"/>
            <w:tcBorders>
              <w:top w:val="nil" w:sz="6" w:space="0" w:color="auto"/>
              <w:left w:val="single" w:sz="4" w:space="0" w:color="000000"/>
              <w:bottom w:val="single" w:sz="4" w:space="0" w:color="000000"/>
              <w:right w:val="single" w:sz="4" w:space="0" w:color="000000"/>
            </w:tcBorders>
          </w:tcPr>
          <w:p>
            <w:pPr/>
          </w:p>
        </w:tc>
        <w:tc>
          <w:tcPr>
            <w:tcW w:w="679" w:type="dxa"/>
            <w:tcBorders>
              <w:top w:val="nil" w:sz="6" w:space="0" w:color="auto"/>
              <w:left w:val="single" w:sz="4" w:space="0" w:color="000000"/>
              <w:bottom w:val="single" w:sz="4" w:space="0" w:color="000000"/>
              <w:right w:val="single" w:sz="4" w:space="0" w:color="000000"/>
            </w:tcBorders>
          </w:tcPr>
          <w:p>
            <w:pPr/>
          </w:p>
        </w:tc>
        <w:tc>
          <w:tcPr>
            <w:tcW w:w="965" w:type="dxa"/>
            <w:tcBorders>
              <w:top w:val="nil" w:sz="6" w:space="0" w:color="auto"/>
              <w:left w:val="single" w:sz="4" w:space="0" w:color="000000"/>
              <w:bottom w:val="single" w:sz="4" w:space="0" w:color="000000"/>
              <w:right w:val="single" w:sz="4" w:space="0" w:color="000000"/>
            </w:tcBorders>
          </w:tcPr>
          <w:p>
            <w:pPr/>
          </w:p>
        </w:tc>
        <w:tc>
          <w:tcPr>
            <w:tcW w:w="209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7"/>
              <w:ind w:left="-1"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18,495.39 </w:t>
            </w:r>
            <w:r>
              <w:rPr>
                <w:rFonts w:ascii="宋体" w:hAnsi="宋体" w:cs="宋体" w:eastAsia="宋体" w:hint="default"/>
                <w:sz w:val="13"/>
                <w:szCs w:val="13"/>
              </w:rPr>
              <w:t>万元、</w:t>
            </w:r>
            <w:r>
              <w:rPr>
                <w:rFonts w:ascii="Times New Roman" w:hAnsi="Times New Roman" w:cs="Times New Roman" w:eastAsia="Times New Roman" w:hint="default"/>
                <w:sz w:val="13"/>
                <w:szCs w:val="13"/>
              </w:rPr>
              <w:t>20,329.37</w:t>
            </w:r>
            <w:r>
              <w:rPr>
                <w:rFonts w:ascii="Times New Roman" w:hAnsi="Times New Roman" w:cs="Times New Roman" w:eastAsia="Times New Roman" w:hint="default"/>
                <w:spacing w:val="-3"/>
                <w:sz w:val="13"/>
                <w:szCs w:val="13"/>
              </w:rPr>
              <w:t> </w:t>
            </w:r>
            <w:r>
              <w:rPr>
                <w:rFonts w:ascii="宋体" w:hAnsi="宋体" w:cs="宋体" w:eastAsia="宋体" w:hint="default"/>
                <w:sz w:val="13"/>
                <w:szCs w:val="13"/>
              </w:rPr>
              <w:t>万元。</w:t>
            </w:r>
          </w:p>
        </w:tc>
        <w:tc>
          <w:tcPr>
            <w:tcW w:w="907" w:type="dxa"/>
            <w:tcBorders>
              <w:top w:val="nil" w:sz="6" w:space="0" w:color="auto"/>
              <w:left w:val="single" w:sz="4" w:space="0" w:color="000000"/>
              <w:bottom w:val="single" w:sz="4" w:space="0" w:color="000000"/>
              <w:right w:val="single" w:sz="4" w:space="0" w:color="000000"/>
            </w:tcBorders>
          </w:tcPr>
          <w:p>
            <w:pPr/>
          </w:p>
        </w:tc>
        <w:tc>
          <w:tcPr>
            <w:tcW w:w="425" w:type="dxa"/>
            <w:tcBorders>
              <w:top w:val="nil" w:sz="6" w:space="0" w:color="auto"/>
              <w:left w:val="single" w:sz="4" w:space="0" w:color="000000"/>
              <w:bottom w:val="single" w:sz="4" w:space="0" w:color="000000"/>
              <w:right w:val="single" w:sz="4" w:space="0" w:color="000000"/>
            </w:tcBorders>
          </w:tcPr>
          <w:p>
            <w:pPr/>
          </w:p>
        </w:tc>
        <w:tc>
          <w:tcPr>
            <w:tcW w:w="568" w:type="dxa"/>
            <w:tcBorders>
              <w:top w:val="nil" w:sz="6" w:space="0" w:color="auto"/>
              <w:left w:val="single" w:sz="4" w:space="0" w:color="000000"/>
              <w:bottom w:val="single" w:sz="4" w:space="0" w:color="000000"/>
              <w:right w:val="single" w:sz="4" w:space="0" w:color="000000"/>
            </w:tcBorders>
          </w:tcPr>
          <w:p>
            <w:pPr/>
          </w:p>
        </w:tc>
        <w:tc>
          <w:tcPr>
            <w:tcW w:w="566" w:type="dxa"/>
            <w:tcBorders>
              <w:top w:val="nil" w:sz="6" w:space="0" w:color="auto"/>
              <w:left w:val="single" w:sz="4" w:space="0" w:color="000000"/>
              <w:bottom w:val="single" w:sz="4" w:space="0" w:color="000000"/>
              <w:right w:val="single" w:sz="4" w:space="0" w:color="000000"/>
            </w:tcBorders>
          </w:tcPr>
          <w:p>
            <w:pPr/>
          </w:p>
        </w:tc>
      </w:tr>
      <w:tr>
        <w:trPr>
          <w:trHeight w:val="279" w:hRule="exact"/>
        </w:trPr>
        <w:tc>
          <w:tcPr>
            <w:tcW w:w="964" w:type="dxa"/>
            <w:tcBorders>
              <w:top w:val="single" w:sz="4" w:space="0" w:color="000000"/>
              <w:left w:val="single" w:sz="4" w:space="0" w:color="000000"/>
              <w:bottom w:val="nil" w:sz="6" w:space="0" w:color="auto"/>
              <w:right w:val="single" w:sz="4" w:space="0" w:color="000000"/>
            </w:tcBorders>
          </w:tcPr>
          <w:p>
            <w:pPr/>
          </w:p>
        </w:tc>
        <w:tc>
          <w:tcPr>
            <w:tcW w:w="102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0"/>
              <w:ind w:left="-1" w:right="0"/>
              <w:jc w:val="left"/>
              <w:rPr>
                <w:rFonts w:ascii="宋体" w:hAnsi="宋体" w:cs="宋体" w:eastAsia="宋体" w:hint="default"/>
                <w:sz w:val="13"/>
                <w:szCs w:val="13"/>
              </w:rPr>
            </w:pPr>
            <w:r>
              <w:rPr>
                <w:rFonts w:ascii="宋体" w:hAnsi="宋体" w:cs="宋体" w:eastAsia="宋体" w:hint="default"/>
                <w:sz w:val="13"/>
                <w:szCs w:val="13"/>
              </w:rPr>
              <w:t>军用通信领域相</w:t>
            </w:r>
          </w:p>
        </w:tc>
        <w:tc>
          <w:tcPr>
            <w:tcW w:w="397" w:type="dxa"/>
            <w:tcBorders>
              <w:top w:val="single" w:sz="4" w:space="0" w:color="000000"/>
              <w:left w:val="single" w:sz="4" w:space="0" w:color="000000"/>
              <w:bottom w:val="nil" w:sz="6" w:space="0" w:color="auto"/>
              <w:right w:val="single" w:sz="4" w:space="0" w:color="000000"/>
            </w:tcBorders>
          </w:tcPr>
          <w:p>
            <w:pPr/>
          </w:p>
        </w:tc>
        <w:tc>
          <w:tcPr>
            <w:tcW w:w="964" w:type="dxa"/>
            <w:tcBorders>
              <w:top w:val="single" w:sz="4" w:space="0" w:color="000000"/>
              <w:left w:val="single" w:sz="4" w:space="0" w:color="000000"/>
              <w:bottom w:val="nil" w:sz="6" w:space="0" w:color="auto"/>
              <w:right w:val="single" w:sz="4" w:space="0" w:color="000000"/>
            </w:tcBorders>
          </w:tcPr>
          <w:p>
            <w:pPr/>
          </w:p>
        </w:tc>
        <w:tc>
          <w:tcPr>
            <w:tcW w:w="425" w:type="dxa"/>
            <w:tcBorders>
              <w:top w:val="single" w:sz="4" w:space="0" w:color="000000"/>
              <w:left w:val="single" w:sz="4" w:space="0" w:color="000000"/>
              <w:bottom w:val="nil" w:sz="6" w:space="0" w:color="auto"/>
              <w:right w:val="single" w:sz="4" w:space="0" w:color="000000"/>
            </w:tcBorders>
          </w:tcPr>
          <w:p>
            <w:pPr/>
          </w:p>
        </w:tc>
        <w:tc>
          <w:tcPr>
            <w:tcW w:w="397"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c>
          <w:tcPr>
            <w:tcW w:w="455" w:type="dxa"/>
            <w:tcBorders>
              <w:top w:val="single" w:sz="4" w:space="0" w:color="000000"/>
              <w:left w:val="single" w:sz="4" w:space="0" w:color="000000"/>
              <w:bottom w:val="nil" w:sz="6" w:space="0" w:color="auto"/>
              <w:right w:val="single" w:sz="4" w:space="0" w:color="000000"/>
            </w:tcBorders>
          </w:tcPr>
          <w:p>
            <w:pPr/>
          </w:p>
        </w:tc>
        <w:tc>
          <w:tcPr>
            <w:tcW w:w="679" w:type="dxa"/>
            <w:tcBorders>
              <w:top w:val="single" w:sz="4" w:space="0" w:color="000000"/>
              <w:left w:val="single" w:sz="4" w:space="0" w:color="000000"/>
              <w:bottom w:val="nil" w:sz="6" w:space="0" w:color="auto"/>
              <w:right w:val="single" w:sz="4" w:space="0" w:color="000000"/>
            </w:tcBorders>
          </w:tcPr>
          <w:p>
            <w:pPr/>
          </w:p>
        </w:tc>
        <w:tc>
          <w:tcPr>
            <w:tcW w:w="965" w:type="dxa"/>
            <w:tcBorders>
              <w:top w:val="single" w:sz="4" w:space="0" w:color="000000"/>
              <w:left w:val="single" w:sz="4" w:space="0" w:color="000000"/>
              <w:bottom w:val="nil" w:sz="6" w:space="0" w:color="auto"/>
              <w:right w:val="single" w:sz="4" w:space="0" w:color="000000"/>
            </w:tcBorders>
          </w:tcPr>
          <w:p>
            <w:pPr/>
          </w:p>
        </w:tc>
        <w:tc>
          <w:tcPr>
            <w:tcW w:w="2098" w:type="dxa"/>
            <w:tcBorders>
              <w:top w:val="single" w:sz="4" w:space="0" w:color="000000"/>
              <w:left w:val="single" w:sz="4" w:space="0" w:color="000000"/>
              <w:bottom w:val="nil" w:sz="6" w:space="0" w:color="auto"/>
              <w:right w:val="single" w:sz="4" w:space="0" w:color="000000"/>
            </w:tcBorders>
          </w:tcPr>
          <w:p>
            <w:pPr/>
          </w:p>
        </w:tc>
        <w:tc>
          <w:tcPr>
            <w:tcW w:w="907" w:type="dxa"/>
            <w:tcBorders>
              <w:top w:val="single" w:sz="4" w:space="0" w:color="000000"/>
              <w:left w:val="single" w:sz="4" w:space="0" w:color="000000"/>
              <w:bottom w:val="nil" w:sz="6" w:space="0" w:color="auto"/>
              <w:right w:val="single" w:sz="4" w:space="0" w:color="000000"/>
            </w:tcBorders>
          </w:tcPr>
          <w:p>
            <w:pPr/>
          </w:p>
        </w:tc>
        <w:tc>
          <w:tcPr>
            <w:tcW w:w="425" w:type="dxa"/>
            <w:tcBorders>
              <w:top w:val="single" w:sz="4" w:space="0" w:color="000000"/>
              <w:left w:val="single" w:sz="4" w:space="0" w:color="000000"/>
              <w:bottom w:val="nil" w:sz="6" w:space="0" w:color="auto"/>
              <w:right w:val="single" w:sz="4" w:space="0" w:color="000000"/>
            </w:tcBorders>
          </w:tcPr>
          <w:p>
            <w:pPr/>
          </w:p>
        </w:tc>
        <w:tc>
          <w:tcPr>
            <w:tcW w:w="568" w:type="dxa"/>
            <w:tcBorders>
              <w:top w:val="single" w:sz="4" w:space="0" w:color="000000"/>
              <w:left w:val="single" w:sz="4" w:space="0" w:color="000000"/>
              <w:bottom w:val="nil" w:sz="6" w:space="0" w:color="auto"/>
              <w:right w:val="single" w:sz="4" w:space="0" w:color="000000"/>
            </w:tcBorders>
          </w:tcPr>
          <w:p>
            <w:pPr/>
          </w:p>
        </w:tc>
        <w:tc>
          <w:tcPr>
            <w:tcW w:w="566" w:type="dxa"/>
            <w:tcBorders>
              <w:top w:val="single" w:sz="4" w:space="0" w:color="000000"/>
              <w:left w:val="single" w:sz="4" w:space="0" w:color="000000"/>
              <w:bottom w:val="nil" w:sz="6" w:space="0" w:color="auto"/>
              <w:right w:val="single" w:sz="4" w:space="0" w:color="000000"/>
            </w:tcBorders>
          </w:tcPr>
          <w:p>
            <w:pPr/>
          </w:p>
        </w:tc>
      </w:tr>
      <w:tr>
        <w:trPr>
          <w:trHeight w:val="155" w:hRule="exact"/>
        </w:trPr>
        <w:tc>
          <w:tcPr>
            <w:tcW w:w="964" w:type="dxa"/>
            <w:tcBorders>
              <w:top w:val="nil" w:sz="6" w:space="0" w:color="auto"/>
              <w:left w:val="single" w:sz="4" w:space="0" w:color="000000"/>
              <w:bottom w:val="nil" w:sz="6" w:space="0" w:color="auto"/>
              <w:right w:val="single" w:sz="4" w:space="0" w:color="000000"/>
            </w:tcBorders>
          </w:tcPr>
          <w:p>
            <w:pPr/>
          </w:p>
        </w:tc>
        <w:tc>
          <w:tcPr>
            <w:tcW w:w="1020" w:type="dxa"/>
            <w:tcBorders>
              <w:top w:val="nil" w:sz="6" w:space="0" w:color="auto"/>
              <w:left w:val="single" w:sz="4" w:space="0" w:color="000000"/>
              <w:bottom w:val="nil" w:sz="6" w:space="0" w:color="auto"/>
              <w:right w:val="single" w:sz="4" w:space="0" w:color="000000"/>
            </w:tcBorders>
          </w:tcPr>
          <w:p>
            <w:pPr/>
          </w:p>
        </w:tc>
        <w:tc>
          <w:tcPr>
            <w:tcW w:w="397" w:type="dxa"/>
            <w:tcBorders>
              <w:top w:val="nil" w:sz="6" w:space="0" w:color="auto"/>
              <w:left w:val="single" w:sz="4" w:space="0" w:color="000000"/>
              <w:bottom w:val="nil" w:sz="6" w:space="0" w:color="auto"/>
              <w:right w:val="single" w:sz="4" w:space="0" w:color="000000"/>
            </w:tcBorders>
          </w:tcPr>
          <w:p>
            <w:pPr/>
          </w:p>
        </w:tc>
        <w:tc>
          <w:tcPr>
            <w:tcW w:w="964" w:type="dxa"/>
            <w:tcBorders>
              <w:top w:val="nil" w:sz="6" w:space="0" w:color="auto"/>
              <w:left w:val="single" w:sz="4" w:space="0" w:color="000000"/>
              <w:bottom w:val="nil" w:sz="6" w:space="0" w:color="auto"/>
              <w:right w:val="single" w:sz="4" w:space="0" w:color="000000"/>
            </w:tcBorders>
          </w:tcPr>
          <w:p>
            <w:pPr/>
          </w:p>
        </w:tc>
        <w:tc>
          <w:tcPr>
            <w:tcW w:w="425" w:type="dxa"/>
            <w:tcBorders>
              <w:top w:val="nil" w:sz="6" w:space="0" w:color="auto"/>
              <w:left w:val="single" w:sz="4" w:space="0" w:color="000000"/>
              <w:bottom w:val="nil" w:sz="6" w:space="0" w:color="auto"/>
              <w:right w:val="single" w:sz="4" w:space="0" w:color="000000"/>
            </w:tcBorders>
          </w:tcPr>
          <w:p>
            <w:pPr/>
          </w:p>
        </w:tc>
        <w:tc>
          <w:tcPr>
            <w:tcW w:w="397"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455" w:type="dxa"/>
            <w:tcBorders>
              <w:top w:val="nil" w:sz="6" w:space="0" w:color="auto"/>
              <w:left w:val="single" w:sz="4" w:space="0" w:color="000000"/>
              <w:bottom w:val="nil" w:sz="6" w:space="0" w:color="auto"/>
              <w:right w:val="single" w:sz="4" w:space="0" w:color="000000"/>
            </w:tcBorders>
          </w:tcPr>
          <w:p>
            <w:pPr/>
          </w:p>
        </w:tc>
        <w:tc>
          <w:tcPr>
            <w:tcW w:w="679" w:type="dxa"/>
            <w:tcBorders>
              <w:top w:val="nil" w:sz="6" w:space="0" w:color="auto"/>
              <w:left w:val="single" w:sz="4" w:space="0" w:color="000000"/>
              <w:bottom w:val="nil" w:sz="6" w:space="0" w:color="auto"/>
              <w:right w:val="single" w:sz="4" w:space="0" w:color="000000"/>
            </w:tcBorders>
          </w:tcPr>
          <w:p>
            <w:pPr>
              <w:pStyle w:val="TableParagraph"/>
              <w:spacing w:line="143" w:lineRule="exact"/>
              <w:ind w:left="-1" w:right="0"/>
              <w:jc w:val="left"/>
              <w:rPr>
                <w:rFonts w:ascii="宋体" w:hAnsi="宋体" w:cs="宋体" w:eastAsia="宋体" w:hint="default"/>
                <w:sz w:val="13"/>
                <w:szCs w:val="13"/>
              </w:rPr>
            </w:pPr>
            <w:r>
              <w:rPr>
                <w:rFonts w:ascii="宋体" w:hAnsi="宋体" w:cs="宋体" w:eastAsia="宋体" w:hint="default"/>
                <w:sz w:val="13"/>
                <w:szCs w:val="13"/>
              </w:rPr>
              <w:t>军工电子领</w:t>
            </w:r>
          </w:p>
        </w:tc>
        <w:tc>
          <w:tcPr>
            <w:tcW w:w="965" w:type="dxa"/>
            <w:tcBorders>
              <w:top w:val="nil" w:sz="6" w:space="0" w:color="auto"/>
              <w:left w:val="single" w:sz="4" w:space="0" w:color="000000"/>
              <w:bottom w:val="nil" w:sz="6" w:space="0" w:color="auto"/>
              <w:right w:val="single" w:sz="4" w:space="0" w:color="000000"/>
            </w:tcBorders>
          </w:tcPr>
          <w:p>
            <w:pPr/>
          </w:p>
        </w:tc>
        <w:tc>
          <w:tcPr>
            <w:tcW w:w="2098" w:type="dxa"/>
            <w:tcBorders>
              <w:top w:val="nil" w:sz="6" w:space="0" w:color="auto"/>
              <w:left w:val="single" w:sz="4" w:space="0" w:color="000000"/>
              <w:bottom w:val="nil" w:sz="6" w:space="0" w:color="auto"/>
              <w:right w:val="single" w:sz="4" w:space="0" w:color="000000"/>
            </w:tcBorders>
          </w:tcPr>
          <w:p>
            <w:pPr/>
          </w:p>
        </w:tc>
        <w:tc>
          <w:tcPr>
            <w:tcW w:w="907" w:type="dxa"/>
            <w:tcBorders>
              <w:top w:val="nil" w:sz="6" w:space="0" w:color="auto"/>
              <w:left w:val="single" w:sz="4" w:space="0" w:color="000000"/>
              <w:bottom w:val="nil" w:sz="6" w:space="0" w:color="auto"/>
              <w:right w:val="single" w:sz="4" w:space="0" w:color="000000"/>
            </w:tcBorders>
          </w:tcPr>
          <w:p>
            <w:pPr/>
          </w:p>
        </w:tc>
        <w:tc>
          <w:tcPr>
            <w:tcW w:w="425" w:type="dxa"/>
            <w:tcBorders>
              <w:top w:val="nil" w:sz="6" w:space="0" w:color="auto"/>
              <w:left w:val="single" w:sz="4" w:space="0" w:color="000000"/>
              <w:bottom w:val="nil" w:sz="6" w:space="0" w:color="auto"/>
              <w:right w:val="single" w:sz="4" w:space="0" w:color="000000"/>
            </w:tcBorders>
          </w:tcPr>
          <w:p>
            <w:pPr/>
          </w:p>
        </w:tc>
        <w:tc>
          <w:tcPr>
            <w:tcW w:w="568" w:type="dxa"/>
            <w:tcBorders>
              <w:top w:val="nil" w:sz="6" w:space="0" w:color="auto"/>
              <w:left w:val="single" w:sz="4" w:space="0" w:color="000000"/>
              <w:bottom w:val="nil" w:sz="6" w:space="0" w:color="auto"/>
              <w:right w:val="single" w:sz="4" w:space="0" w:color="000000"/>
            </w:tcBorders>
          </w:tcPr>
          <w:p>
            <w:pPr/>
          </w:p>
        </w:tc>
        <w:tc>
          <w:tcPr>
            <w:tcW w:w="566" w:type="dxa"/>
            <w:tcBorders>
              <w:top w:val="nil" w:sz="6" w:space="0" w:color="auto"/>
              <w:left w:val="single" w:sz="4" w:space="0" w:color="000000"/>
              <w:bottom w:val="nil" w:sz="6" w:space="0" w:color="auto"/>
              <w:right w:val="single" w:sz="4" w:space="0" w:color="000000"/>
            </w:tcBorders>
          </w:tcPr>
          <w:p>
            <w:pPr/>
          </w:p>
        </w:tc>
      </w:tr>
      <w:tr>
        <w:trPr>
          <w:trHeight w:val="160" w:hRule="exact"/>
        </w:trPr>
        <w:tc>
          <w:tcPr>
            <w:tcW w:w="964" w:type="dxa"/>
            <w:tcBorders>
              <w:top w:val="nil" w:sz="6" w:space="0" w:color="auto"/>
              <w:left w:val="single" w:sz="4" w:space="0" w:color="000000"/>
              <w:bottom w:val="nil" w:sz="6" w:space="0" w:color="auto"/>
              <w:right w:val="single" w:sz="4" w:space="0" w:color="000000"/>
            </w:tcBorders>
          </w:tcPr>
          <w:p>
            <w:pPr>
              <w:pStyle w:val="TableParagraph"/>
              <w:spacing w:line="143" w:lineRule="exact"/>
              <w:ind w:left="-1" w:right="0"/>
              <w:jc w:val="left"/>
              <w:rPr>
                <w:rFonts w:ascii="宋体" w:hAnsi="宋体" w:cs="宋体" w:eastAsia="宋体" w:hint="default"/>
                <w:sz w:val="13"/>
                <w:szCs w:val="13"/>
              </w:rPr>
            </w:pPr>
            <w:r>
              <w:rPr>
                <w:rFonts w:ascii="宋体" w:hAnsi="宋体" w:cs="宋体" w:eastAsia="宋体" w:hint="default"/>
                <w:sz w:val="13"/>
                <w:szCs w:val="13"/>
              </w:rPr>
              <w:t>武汉中元通信股</w:t>
            </w:r>
          </w:p>
        </w:tc>
        <w:tc>
          <w:tcPr>
            <w:tcW w:w="1020" w:type="dxa"/>
            <w:tcBorders>
              <w:top w:val="nil" w:sz="6" w:space="0" w:color="auto"/>
              <w:left w:val="single" w:sz="4" w:space="0" w:color="000000"/>
              <w:bottom w:val="nil" w:sz="6" w:space="0" w:color="auto"/>
              <w:right w:val="single" w:sz="4" w:space="0" w:color="000000"/>
            </w:tcBorders>
          </w:tcPr>
          <w:p>
            <w:pPr>
              <w:pStyle w:val="TableParagraph"/>
              <w:spacing w:line="142" w:lineRule="exact"/>
              <w:ind w:left="-1" w:right="0"/>
              <w:jc w:val="left"/>
              <w:rPr>
                <w:rFonts w:ascii="宋体" w:hAnsi="宋体" w:cs="宋体" w:eastAsia="宋体" w:hint="default"/>
                <w:sz w:val="13"/>
                <w:szCs w:val="13"/>
              </w:rPr>
            </w:pPr>
            <w:r>
              <w:rPr>
                <w:rFonts w:ascii="宋体" w:hAnsi="宋体" w:cs="宋体" w:eastAsia="宋体" w:hint="default"/>
                <w:sz w:val="13"/>
                <w:szCs w:val="13"/>
              </w:rPr>
              <w:t>关系统和设备设</w:t>
            </w:r>
          </w:p>
        </w:tc>
        <w:tc>
          <w:tcPr>
            <w:tcW w:w="397" w:type="dxa"/>
            <w:tcBorders>
              <w:top w:val="nil" w:sz="6" w:space="0" w:color="auto"/>
              <w:left w:val="single" w:sz="4" w:space="0" w:color="000000"/>
              <w:bottom w:val="nil" w:sz="6" w:space="0" w:color="auto"/>
              <w:right w:val="single" w:sz="4" w:space="0" w:color="000000"/>
            </w:tcBorders>
          </w:tcPr>
          <w:p>
            <w:pPr/>
          </w:p>
        </w:tc>
        <w:tc>
          <w:tcPr>
            <w:tcW w:w="964" w:type="dxa"/>
            <w:tcBorders>
              <w:top w:val="nil" w:sz="6" w:space="0" w:color="auto"/>
              <w:left w:val="single" w:sz="4" w:space="0" w:color="000000"/>
              <w:bottom w:val="nil" w:sz="6" w:space="0" w:color="auto"/>
              <w:right w:val="single" w:sz="4" w:space="0" w:color="000000"/>
            </w:tcBorders>
          </w:tcPr>
          <w:p>
            <w:pPr/>
          </w:p>
        </w:tc>
        <w:tc>
          <w:tcPr>
            <w:tcW w:w="425" w:type="dxa"/>
            <w:tcBorders>
              <w:top w:val="nil" w:sz="6" w:space="0" w:color="auto"/>
              <w:left w:val="single" w:sz="4" w:space="0" w:color="000000"/>
              <w:bottom w:val="nil" w:sz="6" w:space="0" w:color="auto"/>
              <w:right w:val="single" w:sz="4" w:space="0" w:color="000000"/>
            </w:tcBorders>
          </w:tcPr>
          <w:p>
            <w:pPr/>
          </w:p>
        </w:tc>
        <w:tc>
          <w:tcPr>
            <w:tcW w:w="397"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455" w:type="dxa"/>
            <w:tcBorders>
              <w:top w:val="nil" w:sz="6" w:space="0" w:color="auto"/>
              <w:left w:val="single" w:sz="4" w:space="0" w:color="000000"/>
              <w:bottom w:val="nil" w:sz="6" w:space="0" w:color="auto"/>
              <w:right w:val="single" w:sz="4" w:space="0" w:color="000000"/>
            </w:tcBorders>
          </w:tcPr>
          <w:p>
            <w:pPr/>
          </w:p>
        </w:tc>
        <w:tc>
          <w:tcPr>
            <w:tcW w:w="679" w:type="dxa"/>
            <w:tcBorders>
              <w:top w:val="nil" w:sz="6" w:space="0" w:color="auto"/>
              <w:left w:val="single" w:sz="4" w:space="0" w:color="000000"/>
              <w:bottom w:val="nil" w:sz="6" w:space="0" w:color="auto"/>
              <w:right w:val="single" w:sz="4" w:space="0" w:color="000000"/>
            </w:tcBorders>
          </w:tcPr>
          <w:p>
            <w:pPr/>
          </w:p>
        </w:tc>
        <w:tc>
          <w:tcPr>
            <w:tcW w:w="965" w:type="dxa"/>
            <w:tcBorders>
              <w:top w:val="nil" w:sz="6" w:space="0" w:color="auto"/>
              <w:left w:val="single" w:sz="4" w:space="0" w:color="000000"/>
              <w:bottom w:val="nil" w:sz="6" w:space="0" w:color="auto"/>
              <w:right w:val="single" w:sz="4" w:space="0" w:color="000000"/>
            </w:tcBorders>
          </w:tcPr>
          <w:p>
            <w:pPr/>
          </w:p>
        </w:tc>
        <w:tc>
          <w:tcPr>
            <w:tcW w:w="2098" w:type="dxa"/>
            <w:tcBorders>
              <w:top w:val="nil" w:sz="6" w:space="0" w:color="auto"/>
              <w:left w:val="single" w:sz="4" w:space="0" w:color="000000"/>
              <w:bottom w:val="nil" w:sz="6" w:space="0" w:color="auto"/>
              <w:right w:val="single" w:sz="4" w:space="0" w:color="000000"/>
            </w:tcBorders>
          </w:tcPr>
          <w:p>
            <w:pPr/>
          </w:p>
        </w:tc>
        <w:tc>
          <w:tcPr>
            <w:tcW w:w="907" w:type="dxa"/>
            <w:tcBorders>
              <w:top w:val="nil" w:sz="6" w:space="0" w:color="auto"/>
              <w:left w:val="single" w:sz="4" w:space="0" w:color="000000"/>
              <w:bottom w:val="nil" w:sz="6" w:space="0" w:color="auto"/>
              <w:right w:val="single" w:sz="4" w:space="0" w:color="000000"/>
            </w:tcBorders>
          </w:tcPr>
          <w:p>
            <w:pPr/>
          </w:p>
        </w:tc>
        <w:tc>
          <w:tcPr>
            <w:tcW w:w="425" w:type="dxa"/>
            <w:tcBorders>
              <w:top w:val="nil" w:sz="6" w:space="0" w:color="auto"/>
              <w:left w:val="single" w:sz="4" w:space="0" w:color="000000"/>
              <w:bottom w:val="nil" w:sz="6" w:space="0" w:color="auto"/>
              <w:right w:val="single" w:sz="4" w:space="0" w:color="000000"/>
            </w:tcBorders>
          </w:tcPr>
          <w:p>
            <w:pPr/>
          </w:p>
        </w:tc>
        <w:tc>
          <w:tcPr>
            <w:tcW w:w="568" w:type="dxa"/>
            <w:tcBorders>
              <w:top w:val="nil" w:sz="6" w:space="0" w:color="auto"/>
              <w:left w:val="single" w:sz="4" w:space="0" w:color="000000"/>
              <w:bottom w:val="nil" w:sz="6" w:space="0" w:color="auto"/>
              <w:right w:val="single" w:sz="4" w:space="0" w:color="000000"/>
            </w:tcBorders>
          </w:tcPr>
          <w:p>
            <w:pPr>
              <w:pStyle w:val="TableParagraph"/>
              <w:spacing w:line="153" w:lineRule="exact"/>
              <w:ind w:right="5"/>
              <w:jc w:val="center"/>
              <w:rPr>
                <w:rFonts w:ascii="Times New Roman" w:hAnsi="Times New Roman" w:cs="Times New Roman" w:eastAsia="Times New Roman" w:hint="default"/>
                <w:sz w:val="13"/>
                <w:szCs w:val="13"/>
              </w:rPr>
            </w:pPr>
            <w:r>
              <w:rPr>
                <w:rFonts w:ascii="Times New Roman" w:hAnsi="Times New Roman" w:cs="Times New Roman" w:eastAsia="Times New Roman" w:hint="default"/>
                <w:sz w:val="13"/>
                <w:szCs w:val="13"/>
              </w:rPr>
              <w:t>2018 </w:t>
            </w:r>
            <w:r>
              <w:rPr>
                <w:rFonts w:ascii="宋体" w:hAnsi="宋体" w:cs="宋体" w:eastAsia="宋体" w:hint="default"/>
                <w:sz w:val="13"/>
                <w:szCs w:val="13"/>
              </w:rPr>
              <w:t>年</w:t>
            </w:r>
            <w:r>
              <w:rPr>
                <w:rFonts w:ascii="宋体" w:hAnsi="宋体" w:cs="宋体" w:eastAsia="宋体" w:hint="default"/>
                <w:spacing w:val="-58"/>
                <w:sz w:val="13"/>
                <w:szCs w:val="13"/>
              </w:rPr>
              <w:t> </w:t>
            </w:r>
            <w:r>
              <w:rPr>
                <w:rFonts w:ascii="Times New Roman" w:hAnsi="Times New Roman" w:cs="Times New Roman" w:eastAsia="Times New Roman" w:hint="default"/>
                <w:spacing w:val="-5"/>
                <w:sz w:val="13"/>
                <w:szCs w:val="13"/>
              </w:rPr>
              <w:t>11</w:t>
            </w:r>
            <w:r>
              <w:rPr>
                <w:rFonts w:ascii="Times New Roman" w:hAnsi="Times New Roman" w:cs="Times New Roman" w:eastAsia="Times New Roman" w:hint="default"/>
                <w:sz w:val="13"/>
                <w:szCs w:val="13"/>
              </w:rPr>
            </w:r>
          </w:p>
        </w:tc>
        <w:tc>
          <w:tcPr>
            <w:tcW w:w="56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center"/>
              <w:rPr>
                <w:rFonts w:ascii="Times New Roman" w:hAnsi="Times New Roman" w:cs="Times New Roman" w:eastAsia="Times New Roman" w:hint="default"/>
                <w:sz w:val="13"/>
                <w:szCs w:val="13"/>
              </w:rPr>
            </w:pPr>
            <w:r>
              <w:rPr>
                <w:rFonts w:ascii="Times New Roman"/>
                <w:sz w:val="13"/>
              </w:rPr>
              <w:t>2018-099</w:t>
            </w:r>
          </w:p>
        </w:tc>
      </w:tr>
      <w:tr>
        <w:trPr>
          <w:trHeight w:val="156" w:hRule="exact"/>
        </w:trPr>
        <w:tc>
          <w:tcPr>
            <w:tcW w:w="964" w:type="dxa"/>
            <w:tcBorders>
              <w:top w:val="nil" w:sz="6" w:space="0" w:color="auto"/>
              <w:left w:val="single" w:sz="4" w:space="0" w:color="000000"/>
              <w:bottom w:val="nil" w:sz="6" w:space="0" w:color="auto"/>
              <w:right w:val="single" w:sz="4" w:space="0" w:color="000000"/>
            </w:tcBorders>
          </w:tcPr>
          <w:p>
            <w:pPr/>
          </w:p>
        </w:tc>
        <w:tc>
          <w:tcPr>
            <w:tcW w:w="1020" w:type="dxa"/>
            <w:tcBorders>
              <w:top w:val="nil" w:sz="6" w:space="0" w:color="auto"/>
              <w:left w:val="single" w:sz="4" w:space="0" w:color="000000"/>
              <w:bottom w:val="nil" w:sz="6" w:space="0" w:color="auto"/>
              <w:right w:val="single" w:sz="4" w:space="0" w:color="000000"/>
            </w:tcBorders>
          </w:tcPr>
          <w:p>
            <w:pPr/>
          </w:p>
        </w:tc>
        <w:tc>
          <w:tcPr>
            <w:tcW w:w="397" w:type="dxa"/>
            <w:tcBorders>
              <w:top w:val="nil" w:sz="6" w:space="0" w:color="auto"/>
              <w:left w:val="single" w:sz="4" w:space="0" w:color="000000"/>
              <w:bottom w:val="nil" w:sz="6" w:space="0" w:color="auto"/>
              <w:right w:val="single" w:sz="4" w:space="0" w:color="000000"/>
            </w:tcBorders>
          </w:tcPr>
          <w:p>
            <w:pPr>
              <w:pStyle w:val="TableParagraph"/>
              <w:spacing w:line="140" w:lineRule="exact"/>
              <w:ind w:right="1"/>
              <w:jc w:val="center"/>
              <w:rPr>
                <w:rFonts w:ascii="宋体" w:hAnsi="宋体" w:cs="宋体" w:eastAsia="宋体" w:hint="default"/>
                <w:sz w:val="13"/>
                <w:szCs w:val="13"/>
              </w:rPr>
            </w:pPr>
            <w:r>
              <w:rPr>
                <w:rFonts w:ascii="宋体" w:hAnsi="宋体" w:cs="宋体" w:eastAsia="宋体" w:hint="default"/>
                <w:sz w:val="13"/>
                <w:szCs w:val="13"/>
              </w:rPr>
              <w:t>收购</w:t>
            </w:r>
          </w:p>
        </w:tc>
        <w:tc>
          <w:tcPr>
            <w:tcW w:w="96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1"/>
              <w:jc w:val="right"/>
              <w:rPr>
                <w:rFonts w:ascii="Times New Roman" w:hAnsi="Times New Roman" w:cs="Times New Roman" w:eastAsia="Times New Roman" w:hint="default"/>
                <w:sz w:val="13"/>
                <w:szCs w:val="13"/>
              </w:rPr>
            </w:pPr>
            <w:r>
              <w:rPr>
                <w:rFonts w:ascii="Times New Roman"/>
                <w:w w:val="95"/>
                <w:sz w:val="13"/>
              </w:rPr>
              <w:t>587,745,000.00</w:t>
            </w:r>
            <w:r>
              <w:rPr>
                <w:rFonts w:ascii="Times New Roman"/>
                <w:sz w:val="13"/>
              </w:rPr>
            </w:r>
          </w:p>
        </w:tc>
        <w:tc>
          <w:tcPr>
            <w:tcW w:w="42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1"/>
              <w:jc w:val="center"/>
              <w:rPr>
                <w:rFonts w:ascii="Times New Roman" w:hAnsi="Times New Roman" w:cs="Times New Roman" w:eastAsia="Times New Roman" w:hint="default"/>
                <w:sz w:val="13"/>
                <w:szCs w:val="13"/>
              </w:rPr>
            </w:pPr>
            <w:r>
              <w:rPr>
                <w:rFonts w:ascii="Times New Roman"/>
                <w:sz w:val="13"/>
              </w:rPr>
              <w:t>18.68%</w:t>
            </w:r>
          </w:p>
        </w:tc>
        <w:tc>
          <w:tcPr>
            <w:tcW w:w="397" w:type="dxa"/>
            <w:tcBorders>
              <w:top w:val="nil" w:sz="6" w:space="0" w:color="auto"/>
              <w:left w:val="single" w:sz="4" w:space="0" w:color="000000"/>
              <w:bottom w:val="nil" w:sz="6" w:space="0" w:color="auto"/>
              <w:right w:val="single" w:sz="4" w:space="0" w:color="000000"/>
            </w:tcBorders>
          </w:tcPr>
          <w:p>
            <w:pPr>
              <w:pStyle w:val="TableParagraph"/>
              <w:spacing w:line="140" w:lineRule="exact"/>
              <w:ind w:left="1" w:right="0"/>
              <w:jc w:val="center"/>
              <w:rPr>
                <w:rFonts w:ascii="宋体" w:hAnsi="宋体" w:cs="宋体" w:eastAsia="宋体" w:hint="default"/>
                <w:sz w:val="13"/>
                <w:szCs w:val="13"/>
              </w:rPr>
            </w:pPr>
            <w:r>
              <w:rPr>
                <w:rFonts w:ascii="宋体" w:hAnsi="宋体" w:cs="宋体" w:eastAsia="宋体" w:hint="default"/>
                <w:sz w:val="13"/>
                <w:szCs w:val="13"/>
              </w:rPr>
              <w:t>自筹</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140" w:lineRule="exact"/>
              <w:ind w:right="0"/>
              <w:jc w:val="center"/>
              <w:rPr>
                <w:rFonts w:ascii="宋体" w:hAnsi="宋体" w:cs="宋体" w:eastAsia="宋体" w:hint="default"/>
                <w:sz w:val="13"/>
                <w:szCs w:val="13"/>
              </w:rPr>
            </w:pPr>
            <w:r>
              <w:rPr>
                <w:rFonts w:ascii="宋体" w:hAnsi="宋体" w:cs="宋体" w:eastAsia="宋体" w:hint="default"/>
                <w:sz w:val="13"/>
                <w:szCs w:val="13"/>
              </w:rPr>
              <w:t>不适用</w:t>
            </w:r>
          </w:p>
        </w:tc>
        <w:tc>
          <w:tcPr>
            <w:tcW w:w="455" w:type="dxa"/>
            <w:tcBorders>
              <w:top w:val="nil" w:sz="6" w:space="0" w:color="auto"/>
              <w:left w:val="single" w:sz="4" w:space="0" w:color="000000"/>
              <w:bottom w:val="nil" w:sz="6" w:space="0" w:color="auto"/>
              <w:right w:val="single" w:sz="4" w:space="0" w:color="000000"/>
            </w:tcBorders>
          </w:tcPr>
          <w:p>
            <w:pPr>
              <w:pStyle w:val="TableParagraph"/>
              <w:spacing w:line="140" w:lineRule="exact"/>
              <w:ind w:right="1"/>
              <w:jc w:val="center"/>
              <w:rPr>
                <w:rFonts w:ascii="宋体" w:hAnsi="宋体" w:cs="宋体" w:eastAsia="宋体" w:hint="default"/>
                <w:sz w:val="13"/>
                <w:szCs w:val="13"/>
              </w:rPr>
            </w:pPr>
            <w:r>
              <w:rPr>
                <w:rFonts w:ascii="宋体" w:hAnsi="宋体" w:cs="宋体" w:eastAsia="宋体" w:hint="default"/>
                <w:sz w:val="13"/>
                <w:szCs w:val="13"/>
              </w:rPr>
              <w:t>不适用</w:t>
            </w:r>
          </w:p>
        </w:tc>
        <w:tc>
          <w:tcPr>
            <w:tcW w:w="679" w:type="dxa"/>
            <w:tcBorders>
              <w:top w:val="nil" w:sz="6" w:space="0" w:color="auto"/>
              <w:left w:val="single" w:sz="4" w:space="0" w:color="000000"/>
              <w:bottom w:val="nil" w:sz="6" w:space="0" w:color="auto"/>
              <w:right w:val="single" w:sz="4" w:space="0" w:color="000000"/>
            </w:tcBorders>
          </w:tcPr>
          <w:p>
            <w:pPr>
              <w:pStyle w:val="TableParagraph"/>
              <w:spacing w:line="139" w:lineRule="exact"/>
              <w:ind w:left="-1" w:right="0"/>
              <w:jc w:val="left"/>
              <w:rPr>
                <w:rFonts w:ascii="宋体" w:hAnsi="宋体" w:cs="宋体" w:eastAsia="宋体" w:hint="default"/>
                <w:sz w:val="13"/>
                <w:szCs w:val="13"/>
              </w:rPr>
            </w:pPr>
            <w:r>
              <w:rPr>
                <w:rFonts w:ascii="宋体" w:hAnsi="宋体" w:cs="宋体" w:eastAsia="宋体" w:hint="default"/>
                <w:sz w:val="13"/>
                <w:szCs w:val="13"/>
              </w:rPr>
              <w:t>域的研发、</w:t>
            </w:r>
          </w:p>
        </w:tc>
        <w:tc>
          <w:tcPr>
            <w:tcW w:w="965" w:type="dxa"/>
            <w:tcBorders>
              <w:top w:val="nil" w:sz="6" w:space="0" w:color="auto"/>
              <w:left w:val="single" w:sz="4" w:space="0" w:color="000000"/>
              <w:bottom w:val="nil" w:sz="6" w:space="0" w:color="auto"/>
              <w:right w:val="single" w:sz="4" w:space="0" w:color="000000"/>
            </w:tcBorders>
          </w:tcPr>
          <w:p>
            <w:pPr>
              <w:pStyle w:val="TableParagraph"/>
              <w:spacing w:line="140" w:lineRule="exact"/>
              <w:ind w:right="0"/>
              <w:jc w:val="center"/>
              <w:rPr>
                <w:rFonts w:ascii="宋体" w:hAnsi="宋体" w:cs="宋体" w:eastAsia="宋体" w:hint="default"/>
                <w:sz w:val="13"/>
                <w:szCs w:val="13"/>
              </w:rPr>
            </w:pPr>
            <w:r>
              <w:rPr>
                <w:rFonts w:ascii="宋体" w:hAnsi="宋体" w:cs="宋体" w:eastAsia="宋体" w:hint="default"/>
                <w:sz w:val="13"/>
                <w:szCs w:val="13"/>
              </w:rPr>
              <w:t>已完成</w:t>
            </w:r>
          </w:p>
        </w:tc>
        <w:tc>
          <w:tcPr>
            <w:tcW w:w="2098" w:type="dxa"/>
            <w:tcBorders>
              <w:top w:val="nil" w:sz="6" w:space="0" w:color="auto"/>
              <w:left w:val="single" w:sz="4" w:space="0" w:color="000000"/>
              <w:bottom w:val="nil" w:sz="6" w:space="0" w:color="auto"/>
              <w:right w:val="single" w:sz="4" w:space="0" w:color="000000"/>
            </w:tcBorders>
          </w:tcPr>
          <w:p>
            <w:pPr>
              <w:pStyle w:val="TableParagraph"/>
              <w:spacing w:line="140" w:lineRule="exact"/>
              <w:ind w:right="0"/>
              <w:jc w:val="center"/>
              <w:rPr>
                <w:rFonts w:ascii="宋体" w:hAnsi="宋体" w:cs="宋体" w:eastAsia="宋体" w:hint="default"/>
                <w:sz w:val="13"/>
                <w:szCs w:val="13"/>
              </w:rPr>
            </w:pPr>
            <w:r>
              <w:rPr>
                <w:rFonts w:ascii="宋体" w:hAnsi="宋体" w:cs="宋体" w:eastAsia="宋体" w:hint="default"/>
                <w:sz w:val="13"/>
                <w:szCs w:val="13"/>
              </w:rPr>
              <w:t>不适用</w:t>
            </w:r>
          </w:p>
        </w:tc>
        <w:tc>
          <w:tcPr>
            <w:tcW w:w="90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1"/>
              <w:jc w:val="right"/>
              <w:rPr>
                <w:rFonts w:ascii="Times New Roman" w:hAnsi="Times New Roman" w:cs="Times New Roman" w:eastAsia="Times New Roman" w:hint="default"/>
                <w:sz w:val="13"/>
                <w:szCs w:val="13"/>
              </w:rPr>
            </w:pPr>
            <w:r>
              <w:rPr>
                <w:rFonts w:ascii="Times New Roman"/>
                <w:w w:val="95"/>
                <w:sz w:val="13"/>
              </w:rPr>
              <w:t>33,107,597.08</w:t>
            </w:r>
            <w:r>
              <w:rPr>
                <w:rFonts w:ascii="Times New Roman"/>
                <w:sz w:val="13"/>
              </w:rPr>
            </w:r>
          </w:p>
        </w:tc>
        <w:tc>
          <w:tcPr>
            <w:tcW w:w="425" w:type="dxa"/>
            <w:tcBorders>
              <w:top w:val="nil" w:sz="6" w:space="0" w:color="auto"/>
              <w:left w:val="single" w:sz="4" w:space="0" w:color="000000"/>
              <w:bottom w:val="nil" w:sz="6" w:space="0" w:color="auto"/>
              <w:right w:val="single" w:sz="4" w:space="0" w:color="000000"/>
            </w:tcBorders>
          </w:tcPr>
          <w:p>
            <w:pPr>
              <w:pStyle w:val="TableParagraph"/>
              <w:spacing w:line="140" w:lineRule="exact"/>
              <w:ind w:right="0"/>
              <w:jc w:val="center"/>
              <w:rPr>
                <w:rFonts w:ascii="宋体" w:hAnsi="宋体" w:cs="宋体" w:eastAsia="宋体" w:hint="default"/>
                <w:sz w:val="13"/>
                <w:szCs w:val="13"/>
              </w:rPr>
            </w:pPr>
            <w:r>
              <w:rPr>
                <w:rFonts w:ascii="宋体" w:hAnsi="宋体" w:cs="宋体" w:eastAsia="宋体" w:hint="default"/>
                <w:w w:val="99"/>
                <w:sz w:val="13"/>
                <w:szCs w:val="13"/>
              </w:rPr>
              <w:t>否</w:t>
            </w:r>
            <w:r>
              <w:rPr>
                <w:rFonts w:ascii="宋体" w:hAnsi="宋体" w:cs="宋体" w:eastAsia="宋体" w:hint="default"/>
                <w:sz w:val="13"/>
                <w:szCs w:val="13"/>
              </w:rPr>
            </w:r>
          </w:p>
        </w:tc>
        <w:tc>
          <w:tcPr>
            <w:tcW w:w="568" w:type="dxa"/>
            <w:tcBorders>
              <w:top w:val="nil" w:sz="6" w:space="0" w:color="auto"/>
              <w:left w:val="single" w:sz="4" w:space="0" w:color="000000"/>
              <w:bottom w:val="nil" w:sz="6" w:space="0" w:color="auto"/>
              <w:right w:val="single" w:sz="4" w:space="0" w:color="000000"/>
            </w:tcBorders>
          </w:tcPr>
          <w:p>
            <w:pPr/>
          </w:p>
        </w:tc>
        <w:tc>
          <w:tcPr>
            <w:tcW w:w="566" w:type="dxa"/>
            <w:tcBorders>
              <w:top w:val="nil" w:sz="6" w:space="0" w:color="auto"/>
              <w:left w:val="single" w:sz="4" w:space="0" w:color="000000"/>
              <w:bottom w:val="nil" w:sz="6" w:space="0" w:color="auto"/>
              <w:right w:val="single" w:sz="4" w:space="0" w:color="000000"/>
            </w:tcBorders>
          </w:tcPr>
          <w:p>
            <w:pPr/>
          </w:p>
        </w:tc>
      </w:tr>
      <w:tr>
        <w:trPr>
          <w:trHeight w:val="157" w:hRule="exact"/>
        </w:trPr>
        <w:tc>
          <w:tcPr>
            <w:tcW w:w="964" w:type="dxa"/>
            <w:tcBorders>
              <w:top w:val="nil" w:sz="6" w:space="0" w:color="auto"/>
              <w:left w:val="single" w:sz="4" w:space="0" w:color="000000"/>
              <w:bottom w:val="nil" w:sz="6" w:space="0" w:color="auto"/>
              <w:right w:val="single" w:sz="4" w:space="0" w:color="000000"/>
            </w:tcBorders>
          </w:tcPr>
          <w:p>
            <w:pPr>
              <w:pStyle w:val="TableParagraph"/>
              <w:spacing w:line="140" w:lineRule="exact"/>
              <w:ind w:left="-1" w:right="0"/>
              <w:jc w:val="left"/>
              <w:rPr>
                <w:rFonts w:ascii="宋体" w:hAnsi="宋体" w:cs="宋体" w:eastAsia="宋体" w:hint="default"/>
                <w:sz w:val="13"/>
                <w:szCs w:val="13"/>
              </w:rPr>
            </w:pPr>
            <w:r>
              <w:rPr>
                <w:rFonts w:ascii="宋体" w:hAnsi="宋体" w:cs="宋体" w:eastAsia="宋体" w:hint="default"/>
                <w:sz w:val="13"/>
                <w:szCs w:val="13"/>
              </w:rPr>
              <w:t>份有限公司</w:t>
            </w:r>
          </w:p>
        </w:tc>
        <w:tc>
          <w:tcPr>
            <w:tcW w:w="1020" w:type="dxa"/>
            <w:tcBorders>
              <w:top w:val="nil" w:sz="6" w:space="0" w:color="auto"/>
              <w:left w:val="single" w:sz="4" w:space="0" w:color="000000"/>
              <w:bottom w:val="nil" w:sz="6" w:space="0" w:color="auto"/>
              <w:right w:val="single" w:sz="4" w:space="0" w:color="000000"/>
            </w:tcBorders>
          </w:tcPr>
          <w:p>
            <w:pPr>
              <w:pStyle w:val="TableParagraph"/>
              <w:spacing w:line="139" w:lineRule="exact"/>
              <w:ind w:left="-1" w:right="0"/>
              <w:jc w:val="left"/>
              <w:rPr>
                <w:rFonts w:ascii="宋体" w:hAnsi="宋体" w:cs="宋体" w:eastAsia="宋体" w:hint="default"/>
                <w:sz w:val="13"/>
                <w:szCs w:val="13"/>
              </w:rPr>
            </w:pPr>
            <w:r>
              <w:rPr>
                <w:rFonts w:ascii="宋体" w:hAnsi="宋体" w:cs="宋体" w:eastAsia="宋体" w:hint="default"/>
                <w:spacing w:val="-4"/>
                <w:sz w:val="13"/>
                <w:szCs w:val="13"/>
              </w:rPr>
              <w:t>计、开发、生产和</w:t>
            </w:r>
          </w:p>
        </w:tc>
        <w:tc>
          <w:tcPr>
            <w:tcW w:w="397" w:type="dxa"/>
            <w:tcBorders>
              <w:top w:val="nil" w:sz="6" w:space="0" w:color="auto"/>
              <w:left w:val="single" w:sz="4" w:space="0" w:color="000000"/>
              <w:bottom w:val="nil" w:sz="6" w:space="0" w:color="auto"/>
              <w:right w:val="single" w:sz="4" w:space="0" w:color="000000"/>
            </w:tcBorders>
          </w:tcPr>
          <w:p>
            <w:pPr/>
          </w:p>
        </w:tc>
        <w:tc>
          <w:tcPr>
            <w:tcW w:w="964" w:type="dxa"/>
            <w:tcBorders>
              <w:top w:val="nil" w:sz="6" w:space="0" w:color="auto"/>
              <w:left w:val="single" w:sz="4" w:space="0" w:color="000000"/>
              <w:bottom w:val="nil" w:sz="6" w:space="0" w:color="auto"/>
              <w:right w:val="single" w:sz="4" w:space="0" w:color="000000"/>
            </w:tcBorders>
          </w:tcPr>
          <w:p>
            <w:pPr/>
          </w:p>
        </w:tc>
        <w:tc>
          <w:tcPr>
            <w:tcW w:w="425" w:type="dxa"/>
            <w:tcBorders>
              <w:top w:val="nil" w:sz="6" w:space="0" w:color="auto"/>
              <w:left w:val="single" w:sz="4" w:space="0" w:color="000000"/>
              <w:bottom w:val="nil" w:sz="6" w:space="0" w:color="auto"/>
              <w:right w:val="single" w:sz="4" w:space="0" w:color="000000"/>
            </w:tcBorders>
          </w:tcPr>
          <w:p>
            <w:pPr/>
          </w:p>
        </w:tc>
        <w:tc>
          <w:tcPr>
            <w:tcW w:w="397"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455" w:type="dxa"/>
            <w:tcBorders>
              <w:top w:val="nil" w:sz="6" w:space="0" w:color="auto"/>
              <w:left w:val="single" w:sz="4" w:space="0" w:color="000000"/>
              <w:bottom w:val="nil" w:sz="6" w:space="0" w:color="auto"/>
              <w:right w:val="single" w:sz="4" w:space="0" w:color="000000"/>
            </w:tcBorders>
          </w:tcPr>
          <w:p>
            <w:pPr/>
          </w:p>
        </w:tc>
        <w:tc>
          <w:tcPr>
            <w:tcW w:w="679" w:type="dxa"/>
            <w:tcBorders>
              <w:top w:val="nil" w:sz="6" w:space="0" w:color="auto"/>
              <w:left w:val="single" w:sz="4" w:space="0" w:color="000000"/>
              <w:bottom w:val="nil" w:sz="6" w:space="0" w:color="auto"/>
              <w:right w:val="single" w:sz="4" w:space="0" w:color="000000"/>
            </w:tcBorders>
          </w:tcPr>
          <w:p>
            <w:pPr/>
          </w:p>
        </w:tc>
        <w:tc>
          <w:tcPr>
            <w:tcW w:w="965" w:type="dxa"/>
            <w:tcBorders>
              <w:top w:val="nil" w:sz="6" w:space="0" w:color="auto"/>
              <w:left w:val="single" w:sz="4" w:space="0" w:color="000000"/>
              <w:bottom w:val="nil" w:sz="6" w:space="0" w:color="auto"/>
              <w:right w:val="single" w:sz="4" w:space="0" w:color="000000"/>
            </w:tcBorders>
          </w:tcPr>
          <w:p>
            <w:pPr/>
          </w:p>
        </w:tc>
        <w:tc>
          <w:tcPr>
            <w:tcW w:w="2098" w:type="dxa"/>
            <w:tcBorders>
              <w:top w:val="nil" w:sz="6" w:space="0" w:color="auto"/>
              <w:left w:val="single" w:sz="4" w:space="0" w:color="000000"/>
              <w:bottom w:val="nil" w:sz="6" w:space="0" w:color="auto"/>
              <w:right w:val="single" w:sz="4" w:space="0" w:color="000000"/>
            </w:tcBorders>
          </w:tcPr>
          <w:p>
            <w:pPr/>
          </w:p>
        </w:tc>
        <w:tc>
          <w:tcPr>
            <w:tcW w:w="907" w:type="dxa"/>
            <w:tcBorders>
              <w:top w:val="nil" w:sz="6" w:space="0" w:color="auto"/>
              <w:left w:val="single" w:sz="4" w:space="0" w:color="000000"/>
              <w:bottom w:val="nil" w:sz="6" w:space="0" w:color="auto"/>
              <w:right w:val="single" w:sz="4" w:space="0" w:color="000000"/>
            </w:tcBorders>
          </w:tcPr>
          <w:p>
            <w:pPr/>
          </w:p>
        </w:tc>
        <w:tc>
          <w:tcPr>
            <w:tcW w:w="425" w:type="dxa"/>
            <w:tcBorders>
              <w:top w:val="nil" w:sz="6" w:space="0" w:color="auto"/>
              <w:left w:val="single" w:sz="4" w:space="0" w:color="000000"/>
              <w:bottom w:val="nil" w:sz="6" w:space="0" w:color="auto"/>
              <w:right w:val="single" w:sz="4" w:space="0" w:color="000000"/>
            </w:tcBorders>
          </w:tcPr>
          <w:p>
            <w:pPr/>
          </w:p>
        </w:tc>
        <w:tc>
          <w:tcPr>
            <w:tcW w:w="568" w:type="dxa"/>
            <w:tcBorders>
              <w:top w:val="nil" w:sz="6" w:space="0" w:color="auto"/>
              <w:left w:val="single" w:sz="4" w:space="0" w:color="000000"/>
              <w:bottom w:val="nil" w:sz="6" w:space="0" w:color="auto"/>
              <w:right w:val="single" w:sz="4" w:space="0" w:color="000000"/>
            </w:tcBorders>
          </w:tcPr>
          <w:p>
            <w:pPr>
              <w:pStyle w:val="TableParagraph"/>
              <w:spacing w:line="150" w:lineRule="exact"/>
              <w:ind w:right="1"/>
              <w:jc w:val="center"/>
              <w:rPr>
                <w:rFonts w:ascii="宋体" w:hAnsi="宋体" w:cs="宋体" w:eastAsia="宋体" w:hint="default"/>
                <w:sz w:val="13"/>
                <w:szCs w:val="13"/>
              </w:rPr>
            </w:pPr>
            <w:r>
              <w:rPr>
                <w:rFonts w:ascii="宋体" w:hAnsi="宋体" w:cs="宋体" w:eastAsia="宋体" w:hint="default"/>
                <w:sz w:val="13"/>
                <w:szCs w:val="13"/>
              </w:rPr>
              <w:t>月</w:t>
            </w:r>
            <w:r>
              <w:rPr>
                <w:rFonts w:ascii="宋体" w:hAnsi="宋体" w:cs="宋体" w:eastAsia="宋体" w:hint="default"/>
                <w:spacing w:val="-34"/>
                <w:sz w:val="13"/>
                <w:szCs w:val="13"/>
              </w:rPr>
              <w:t> </w:t>
            </w:r>
            <w:r>
              <w:rPr>
                <w:rFonts w:ascii="Times New Roman" w:hAnsi="Times New Roman" w:cs="Times New Roman" w:eastAsia="Times New Roman" w:hint="default"/>
                <w:sz w:val="13"/>
                <w:szCs w:val="13"/>
              </w:rPr>
              <w:t>27</w:t>
            </w:r>
            <w:r>
              <w:rPr>
                <w:rFonts w:ascii="Times New Roman" w:hAnsi="Times New Roman" w:cs="Times New Roman" w:eastAsia="Times New Roman" w:hint="default"/>
                <w:spacing w:val="-2"/>
                <w:sz w:val="13"/>
                <w:szCs w:val="13"/>
              </w:rPr>
              <w:t> </w:t>
            </w:r>
            <w:r>
              <w:rPr>
                <w:rFonts w:ascii="宋体" w:hAnsi="宋体" w:cs="宋体" w:eastAsia="宋体" w:hint="default"/>
                <w:sz w:val="13"/>
                <w:szCs w:val="13"/>
              </w:rPr>
              <w:t>日</w:t>
            </w:r>
          </w:p>
        </w:tc>
        <w:tc>
          <w:tcPr>
            <w:tcW w:w="566" w:type="dxa"/>
            <w:tcBorders>
              <w:top w:val="nil" w:sz="6" w:space="0" w:color="auto"/>
              <w:left w:val="single" w:sz="4" w:space="0" w:color="000000"/>
              <w:bottom w:val="nil" w:sz="6" w:space="0" w:color="auto"/>
              <w:right w:val="single" w:sz="4" w:space="0" w:color="000000"/>
            </w:tcBorders>
          </w:tcPr>
          <w:p>
            <w:pPr>
              <w:pStyle w:val="TableParagraph"/>
              <w:spacing w:line="140" w:lineRule="exact"/>
              <w:ind w:right="0"/>
              <w:jc w:val="center"/>
              <w:rPr>
                <w:rFonts w:ascii="宋体" w:hAnsi="宋体" w:cs="宋体" w:eastAsia="宋体" w:hint="default"/>
                <w:sz w:val="13"/>
                <w:szCs w:val="13"/>
              </w:rPr>
            </w:pPr>
            <w:r>
              <w:rPr>
                <w:rFonts w:ascii="宋体" w:hAnsi="宋体" w:cs="宋体" w:eastAsia="宋体" w:hint="default"/>
                <w:sz w:val="13"/>
                <w:szCs w:val="13"/>
              </w:rPr>
              <w:t>号公告</w:t>
            </w:r>
          </w:p>
        </w:tc>
      </w:tr>
      <w:tr>
        <w:trPr>
          <w:trHeight w:val="152" w:hRule="exact"/>
        </w:trPr>
        <w:tc>
          <w:tcPr>
            <w:tcW w:w="964" w:type="dxa"/>
            <w:tcBorders>
              <w:top w:val="nil" w:sz="6" w:space="0" w:color="auto"/>
              <w:left w:val="single" w:sz="4" w:space="0" w:color="000000"/>
              <w:bottom w:val="nil" w:sz="6" w:space="0" w:color="auto"/>
              <w:right w:val="single" w:sz="4" w:space="0" w:color="000000"/>
            </w:tcBorders>
          </w:tcPr>
          <w:p>
            <w:pPr/>
          </w:p>
        </w:tc>
        <w:tc>
          <w:tcPr>
            <w:tcW w:w="1020" w:type="dxa"/>
            <w:tcBorders>
              <w:top w:val="nil" w:sz="6" w:space="0" w:color="auto"/>
              <w:left w:val="single" w:sz="4" w:space="0" w:color="000000"/>
              <w:bottom w:val="nil" w:sz="6" w:space="0" w:color="auto"/>
              <w:right w:val="single" w:sz="4" w:space="0" w:color="000000"/>
            </w:tcBorders>
          </w:tcPr>
          <w:p>
            <w:pPr/>
          </w:p>
        </w:tc>
        <w:tc>
          <w:tcPr>
            <w:tcW w:w="397" w:type="dxa"/>
            <w:tcBorders>
              <w:top w:val="nil" w:sz="6" w:space="0" w:color="auto"/>
              <w:left w:val="single" w:sz="4" w:space="0" w:color="000000"/>
              <w:bottom w:val="nil" w:sz="6" w:space="0" w:color="auto"/>
              <w:right w:val="single" w:sz="4" w:space="0" w:color="000000"/>
            </w:tcBorders>
          </w:tcPr>
          <w:p>
            <w:pPr/>
          </w:p>
        </w:tc>
        <w:tc>
          <w:tcPr>
            <w:tcW w:w="964" w:type="dxa"/>
            <w:tcBorders>
              <w:top w:val="nil" w:sz="6" w:space="0" w:color="auto"/>
              <w:left w:val="single" w:sz="4" w:space="0" w:color="000000"/>
              <w:bottom w:val="nil" w:sz="6" w:space="0" w:color="auto"/>
              <w:right w:val="single" w:sz="4" w:space="0" w:color="000000"/>
            </w:tcBorders>
          </w:tcPr>
          <w:p>
            <w:pPr/>
          </w:p>
        </w:tc>
        <w:tc>
          <w:tcPr>
            <w:tcW w:w="425" w:type="dxa"/>
            <w:tcBorders>
              <w:top w:val="nil" w:sz="6" w:space="0" w:color="auto"/>
              <w:left w:val="single" w:sz="4" w:space="0" w:color="000000"/>
              <w:bottom w:val="nil" w:sz="6" w:space="0" w:color="auto"/>
              <w:right w:val="single" w:sz="4" w:space="0" w:color="000000"/>
            </w:tcBorders>
          </w:tcPr>
          <w:p>
            <w:pPr/>
          </w:p>
        </w:tc>
        <w:tc>
          <w:tcPr>
            <w:tcW w:w="397"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455" w:type="dxa"/>
            <w:tcBorders>
              <w:top w:val="nil" w:sz="6" w:space="0" w:color="auto"/>
              <w:left w:val="single" w:sz="4" w:space="0" w:color="000000"/>
              <w:bottom w:val="nil" w:sz="6" w:space="0" w:color="auto"/>
              <w:right w:val="single" w:sz="4" w:space="0" w:color="000000"/>
            </w:tcBorders>
          </w:tcPr>
          <w:p>
            <w:pPr/>
          </w:p>
        </w:tc>
        <w:tc>
          <w:tcPr>
            <w:tcW w:w="679" w:type="dxa"/>
            <w:tcBorders>
              <w:top w:val="nil" w:sz="6" w:space="0" w:color="auto"/>
              <w:left w:val="single" w:sz="4" w:space="0" w:color="000000"/>
              <w:bottom w:val="nil" w:sz="6" w:space="0" w:color="auto"/>
              <w:right w:val="single" w:sz="4" w:space="0" w:color="000000"/>
            </w:tcBorders>
          </w:tcPr>
          <w:p>
            <w:pPr>
              <w:pStyle w:val="TableParagraph"/>
              <w:spacing w:line="139" w:lineRule="exact"/>
              <w:ind w:left="-1" w:right="0"/>
              <w:jc w:val="left"/>
              <w:rPr>
                <w:rFonts w:ascii="宋体" w:hAnsi="宋体" w:cs="宋体" w:eastAsia="宋体" w:hint="default"/>
                <w:sz w:val="13"/>
                <w:szCs w:val="13"/>
              </w:rPr>
            </w:pPr>
            <w:r>
              <w:rPr>
                <w:rFonts w:ascii="宋体" w:hAnsi="宋体" w:cs="宋体" w:eastAsia="宋体" w:hint="default"/>
                <w:sz w:val="13"/>
                <w:szCs w:val="13"/>
              </w:rPr>
              <w:t>制造与服务</w:t>
            </w:r>
          </w:p>
        </w:tc>
        <w:tc>
          <w:tcPr>
            <w:tcW w:w="965" w:type="dxa"/>
            <w:tcBorders>
              <w:top w:val="nil" w:sz="6" w:space="0" w:color="auto"/>
              <w:left w:val="single" w:sz="4" w:space="0" w:color="000000"/>
              <w:bottom w:val="nil" w:sz="6" w:space="0" w:color="auto"/>
              <w:right w:val="single" w:sz="4" w:space="0" w:color="000000"/>
            </w:tcBorders>
          </w:tcPr>
          <w:p>
            <w:pPr/>
          </w:p>
        </w:tc>
        <w:tc>
          <w:tcPr>
            <w:tcW w:w="2098" w:type="dxa"/>
            <w:tcBorders>
              <w:top w:val="nil" w:sz="6" w:space="0" w:color="auto"/>
              <w:left w:val="single" w:sz="4" w:space="0" w:color="000000"/>
              <w:bottom w:val="nil" w:sz="6" w:space="0" w:color="auto"/>
              <w:right w:val="single" w:sz="4" w:space="0" w:color="000000"/>
            </w:tcBorders>
          </w:tcPr>
          <w:p>
            <w:pPr/>
          </w:p>
        </w:tc>
        <w:tc>
          <w:tcPr>
            <w:tcW w:w="907" w:type="dxa"/>
            <w:tcBorders>
              <w:top w:val="nil" w:sz="6" w:space="0" w:color="auto"/>
              <w:left w:val="single" w:sz="4" w:space="0" w:color="000000"/>
              <w:bottom w:val="nil" w:sz="6" w:space="0" w:color="auto"/>
              <w:right w:val="single" w:sz="4" w:space="0" w:color="000000"/>
            </w:tcBorders>
          </w:tcPr>
          <w:p>
            <w:pPr/>
          </w:p>
        </w:tc>
        <w:tc>
          <w:tcPr>
            <w:tcW w:w="425" w:type="dxa"/>
            <w:tcBorders>
              <w:top w:val="nil" w:sz="6" w:space="0" w:color="auto"/>
              <w:left w:val="single" w:sz="4" w:space="0" w:color="000000"/>
              <w:bottom w:val="nil" w:sz="6" w:space="0" w:color="auto"/>
              <w:right w:val="single" w:sz="4" w:space="0" w:color="000000"/>
            </w:tcBorders>
          </w:tcPr>
          <w:p>
            <w:pPr/>
          </w:p>
        </w:tc>
        <w:tc>
          <w:tcPr>
            <w:tcW w:w="568" w:type="dxa"/>
            <w:tcBorders>
              <w:top w:val="nil" w:sz="6" w:space="0" w:color="auto"/>
              <w:left w:val="single" w:sz="4" w:space="0" w:color="000000"/>
              <w:bottom w:val="nil" w:sz="6" w:space="0" w:color="auto"/>
              <w:right w:val="single" w:sz="4" w:space="0" w:color="000000"/>
            </w:tcBorders>
          </w:tcPr>
          <w:p>
            <w:pPr/>
          </w:p>
        </w:tc>
        <w:tc>
          <w:tcPr>
            <w:tcW w:w="566" w:type="dxa"/>
            <w:tcBorders>
              <w:top w:val="nil" w:sz="6" w:space="0" w:color="auto"/>
              <w:left w:val="single" w:sz="4" w:space="0" w:color="000000"/>
              <w:bottom w:val="nil" w:sz="6" w:space="0" w:color="auto"/>
              <w:right w:val="single" w:sz="4" w:space="0" w:color="000000"/>
            </w:tcBorders>
          </w:tcPr>
          <w:p>
            <w:pPr/>
          </w:p>
        </w:tc>
      </w:tr>
      <w:tr>
        <w:trPr>
          <w:trHeight w:val="279" w:hRule="exact"/>
        </w:trPr>
        <w:tc>
          <w:tcPr>
            <w:tcW w:w="964" w:type="dxa"/>
            <w:tcBorders>
              <w:top w:val="nil" w:sz="6" w:space="0" w:color="auto"/>
              <w:left w:val="single" w:sz="4" w:space="0" w:color="000000"/>
              <w:bottom w:val="single" w:sz="4" w:space="0" w:color="000000"/>
              <w:right w:val="single" w:sz="4" w:space="0" w:color="000000"/>
            </w:tcBorders>
          </w:tcPr>
          <w:p>
            <w:pPr/>
          </w:p>
        </w:tc>
        <w:tc>
          <w:tcPr>
            <w:tcW w:w="1020" w:type="dxa"/>
            <w:tcBorders>
              <w:top w:val="nil" w:sz="6" w:space="0" w:color="auto"/>
              <w:left w:val="single" w:sz="4" w:space="0" w:color="000000"/>
              <w:bottom w:val="single" w:sz="4" w:space="0" w:color="000000"/>
              <w:right w:val="single" w:sz="4" w:space="0" w:color="000000"/>
            </w:tcBorders>
          </w:tcPr>
          <w:p>
            <w:pPr>
              <w:pStyle w:val="TableParagraph"/>
              <w:spacing w:line="143" w:lineRule="exact"/>
              <w:ind w:left="-1" w:right="0"/>
              <w:jc w:val="left"/>
              <w:rPr>
                <w:rFonts w:ascii="宋体" w:hAnsi="宋体" w:cs="宋体" w:eastAsia="宋体" w:hint="default"/>
                <w:sz w:val="13"/>
                <w:szCs w:val="13"/>
              </w:rPr>
            </w:pPr>
            <w:r>
              <w:rPr>
                <w:rFonts w:ascii="宋体" w:hAnsi="宋体" w:cs="宋体" w:eastAsia="宋体" w:hint="default"/>
                <w:sz w:val="13"/>
                <w:szCs w:val="13"/>
              </w:rPr>
              <w:t>服务</w:t>
            </w:r>
          </w:p>
        </w:tc>
        <w:tc>
          <w:tcPr>
            <w:tcW w:w="397" w:type="dxa"/>
            <w:tcBorders>
              <w:top w:val="nil" w:sz="6" w:space="0" w:color="auto"/>
              <w:left w:val="single" w:sz="4" w:space="0" w:color="000000"/>
              <w:bottom w:val="single" w:sz="4" w:space="0" w:color="000000"/>
              <w:right w:val="single" w:sz="4" w:space="0" w:color="000000"/>
            </w:tcBorders>
          </w:tcPr>
          <w:p>
            <w:pPr/>
          </w:p>
        </w:tc>
        <w:tc>
          <w:tcPr>
            <w:tcW w:w="964" w:type="dxa"/>
            <w:tcBorders>
              <w:top w:val="nil" w:sz="6" w:space="0" w:color="auto"/>
              <w:left w:val="single" w:sz="4" w:space="0" w:color="000000"/>
              <w:bottom w:val="single" w:sz="4" w:space="0" w:color="000000"/>
              <w:right w:val="single" w:sz="4" w:space="0" w:color="000000"/>
            </w:tcBorders>
          </w:tcPr>
          <w:p>
            <w:pPr/>
          </w:p>
        </w:tc>
        <w:tc>
          <w:tcPr>
            <w:tcW w:w="425" w:type="dxa"/>
            <w:tcBorders>
              <w:top w:val="nil" w:sz="6" w:space="0" w:color="auto"/>
              <w:left w:val="single" w:sz="4" w:space="0" w:color="000000"/>
              <w:bottom w:val="single" w:sz="4" w:space="0" w:color="000000"/>
              <w:right w:val="single" w:sz="4" w:space="0" w:color="000000"/>
            </w:tcBorders>
          </w:tcPr>
          <w:p>
            <w:pPr/>
          </w:p>
        </w:tc>
        <w:tc>
          <w:tcPr>
            <w:tcW w:w="397"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c>
          <w:tcPr>
            <w:tcW w:w="455" w:type="dxa"/>
            <w:tcBorders>
              <w:top w:val="nil" w:sz="6" w:space="0" w:color="auto"/>
              <w:left w:val="single" w:sz="4" w:space="0" w:color="000000"/>
              <w:bottom w:val="single" w:sz="4" w:space="0" w:color="000000"/>
              <w:right w:val="single" w:sz="4" w:space="0" w:color="000000"/>
            </w:tcBorders>
          </w:tcPr>
          <w:p>
            <w:pPr/>
          </w:p>
        </w:tc>
        <w:tc>
          <w:tcPr>
            <w:tcW w:w="679" w:type="dxa"/>
            <w:tcBorders>
              <w:top w:val="nil" w:sz="6" w:space="0" w:color="auto"/>
              <w:left w:val="single" w:sz="4" w:space="0" w:color="000000"/>
              <w:bottom w:val="single" w:sz="4" w:space="0" w:color="000000"/>
              <w:right w:val="single" w:sz="4" w:space="0" w:color="000000"/>
            </w:tcBorders>
          </w:tcPr>
          <w:p>
            <w:pPr/>
          </w:p>
        </w:tc>
        <w:tc>
          <w:tcPr>
            <w:tcW w:w="965" w:type="dxa"/>
            <w:tcBorders>
              <w:top w:val="nil" w:sz="6" w:space="0" w:color="auto"/>
              <w:left w:val="single" w:sz="4" w:space="0" w:color="000000"/>
              <w:bottom w:val="single" w:sz="4" w:space="0" w:color="000000"/>
              <w:right w:val="single" w:sz="4" w:space="0" w:color="000000"/>
            </w:tcBorders>
          </w:tcPr>
          <w:p>
            <w:pPr/>
          </w:p>
        </w:tc>
        <w:tc>
          <w:tcPr>
            <w:tcW w:w="2098" w:type="dxa"/>
            <w:tcBorders>
              <w:top w:val="nil" w:sz="6" w:space="0" w:color="auto"/>
              <w:left w:val="single" w:sz="4" w:space="0" w:color="000000"/>
              <w:bottom w:val="single" w:sz="4" w:space="0" w:color="000000"/>
              <w:right w:val="single" w:sz="4" w:space="0" w:color="000000"/>
            </w:tcBorders>
          </w:tcPr>
          <w:p>
            <w:pPr/>
          </w:p>
        </w:tc>
        <w:tc>
          <w:tcPr>
            <w:tcW w:w="907" w:type="dxa"/>
            <w:tcBorders>
              <w:top w:val="nil" w:sz="6" w:space="0" w:color="auto"/>
              <w:left w:val="single" w:sz="4" w:space="0" w:color="000000"/>
              <w:bottom w:val="single" w:sz="4" w:space="0" w:color="000000"/>
              <w:right w:val="single" w:sz="4" w:space="0" w:color="000000"/>
            </w:tcBorders>
          </w:tcPr>
          <w:p>
            <w:pPr/>
          </w:p>
        </w:tc>
        <w:tc>
          <w:tcPr>
            <w:tcW w:w="425" w:type="dxa"/>
            <w:tcBorders>
              <w:top w:val="nil" w:sz="6" w:space="0" w:color="auto"/>
              <w:left w:val="single" w:sz="4" w:space="0" w:color="000000"/>
              <w:bottom w:val="single" w:sz="4" w:space="0" w:color="000000"/>
              <w:right w:val="single" w:sz="4" w:space="0" w:color="000000"/>
            </w:tcBorders>
          </w:tcPr>
          <w:p>
            <w:pPr/>
          </w:p>
        </w:tc>
        <w:tc>
          <w:tcPr>
            <w:tcW w:w="568" w:type="dxa"/>
            <w:tcBorders>
              <w:top w:val="nil" w:sz="6" w:space="0" w:color="auto"/>
              <w:left w:val="single" w:sz="4" w:space="0" w:color="000000"/>
              <w:bottom w:val="single" w:sz="4" w:space="0" w:color="000000"/>
              <w:right w:val="single" w:sz="4" w:space="0" w:color="000000"/>
            </w:tcBorders>
          </w:tcPr>
          <w:p>
            <w:pPr/>
          </w:p>
        </w:tc>
        <w:tc>
          <w:tcPr>
            <w:tcW w:w="566" w:type="dxa"/>
            <w:tcBorders>
              <w:top w:val="nil" w:sz="6" w:space="0" w:color="auto"/>
              <w:left w:val="single" w:sz="4" w:space="0" w:color="000000"/>
              <w:bottom w:val="single" w:sz="4" w:space="0" w:color="000000"/>
              <w:right w:val="single" w:sz="4" w:space="0" w:color="000000"/>
            </w:tcBorders>
          </w:tcPr>
          <w:p>
            <w:pPr/>
          </w:p>
        </w:tc>
      </w:tr>
      <w:tr>
        <w:trPr>
          <w:trHeight w:val="402" w:hRule="exact"/>
        </w:trPr>
        <w:tc>
          <w:tcPr>
            <w:tcW w:w="96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02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39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
              <w:jc w:val="right"/>
              <w:rPr>
                <w:rFonts w:ascii="Times New Roman" w:hAnsi="Times New Roman" w:cs="Times New Roman" w:eastAsia="Times New Roman" w:hint="default"/>
                <w:sz w:val="13"/>
                <w:szCs w:val="13"/>
              </w:rPr>
            </w:pPr>
            <w:r>
              <w:rPr>
                <w:rFonts w:ascii="Times New Roman"/>
                <w:w w:val="95"/>
                <w:sz w:val="13"/>
              </w:rPr>
              <w:t>1,962,945,000.00</w:t>
            </w:r>
            <w:r>
              <w:rPr>
                <w:rFonts w:ascii="Times New Roman"/>
                <w:sz w:val="13"/>
              </w:rPr>
            </w:r>
          </w:p>
        </w:tc>
        <w:tc>
          <w:tcPr>
            <w:tcW w:w="42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39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c>
          <w:tcPr>
            <w:tcW w:w="73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45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67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96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20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9"/>
                <w:szCs w:val="9"/>
              </w:rPr>
            </w:pPr>
          </w:p>
          <w:p>
            <w:pPr>
              <w:pStyle w:val="TableParagraph"/>
              <w:spacing w:line="240" w:lineRule="auto"/>
              <w:ind w:right="1"/>
              <w:jc w:val="right"/>
              <w:rPr>
                <w:rFonts w:ascii="Times New Roman" w:hAnsi="Times New Roman" w:cs="Times New Roman" w:eastAsia="Times New Roman" w:hint="default"/>
                <w:sz w:val="13"/>
                <w:szCs w:val="13"/>
              </w:rPr>
            </w:pPr>
            <w:r>
              <w:rPr>
                <w:rFonts w:ascii="Times New Roman"/>
                <w:w w:val="95"/>
                <w:sz w:val="13"/>
              </w:rPr>
              <w:t>261,918,747.48</w:t>
            </w:r>
            <w:r>
              <w:rPr>
                <w:rFonts w:ascii="Times New Roman"/>
                <w:sz w:val="13"/>
              </w:rPr>
            </w:r>
          </w:p>
        </w:tc>
        <w:tc>
          <w:tcPr>
            <w:tcW w:w="42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5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5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before="51"/>
        <w:ind w:left="1074" w:right="1027" w:firstLine="0"/>
        <w:jc w:val="left"/>
        <w:rPr>
          <w:rFonts w:ascii="宋体" w:hAnsi="宋体" w:cs="宋体" w:eastAsia="宋体" w:hint="default"/>
          <w:sz w:val="18"/>
          <w:szCs w:val="18"/>
        </w:rPr>
      </w:pPr>
      <w:r>
        <w:rPr/>
        <w:pict>
          <v:shape style="position:absolute;margin-left:447.000305pt;margin-top:-169.51799pt;width:61.65pt;height:82.05pt;mso-position-horizontal-relative:page;mso-position-vertical-relative:paragraph;z-index:-1402672" type="#_x0000_t202" filled="false" stroked="false">
            <v:textbox inset="0,0,0,0">
              <w:txbxContent>
                <w:p>
                  <w:pPr>
                    <w:spacing w:line="240" w:lineRule="auto" w:before="0"/>
                    <w:rPr>
                      <w:rFonts w:ascii="宋体" w:hAnsi="宋体" w:cs="宋体" w:eastAsia="宋体" w:hint="default"/>
                      <w:sz w:val="12"/>
                      <w:szCs w:val="12"/>
                    </w:rPr>
                  </w:pPr>
                </w:p>
                <w:p>
                  <w:pPr>
                    <w:spacing w:line="240" w:lineRule="auto" w:before="0"/>
                    <w:rPr>
                      <w:rFonts w:ascii="宋体" w:hAnsi="宋体" w:cs="宋体" w:eastAsia="宋体" w:hint="default"/>
                      <w:sz w:val="12"/>
                      <w:szCs w:val="12"/>
                    </w:rPr>
                  </w:pPr>
                </w:p>
                <w:p>
                  <w:pPr>
                    <w:spacing w:line="240" w:lineRule="auto" w:before="0"/>
                    <w:rPr>
                      <w:rFonts w:ascii="宋体" w:hAnsi="宋体" w:cs="宋体" w:eastAsia="宋体" w:hint="default"/>
                      <w:sz w:val="12"/>
                      <w:szCs w:val="12"/>
                    </w:rPr>
                  </w:pPr>
                </w:p>
                <w:p>
                  <w:pPr>
                    <w:spacing w:line="240" w:lineRule="auto" w:before="0"/>
                    <w:rPr>
                      <w:rFonts w:ascii="宋体" w:hAnsi="宋体" w:cs="宋体" w:eastAsia="宋体" w:hint="default"/>
                      <w:sz w:val="12"/>
                      <w:szCs w:val="12"/>
                    </w:rPr>
                  </w:pPr>
                </w:p>
                <w:p>
                  <w:pPr>
                    <w:spacing w:line="240" w:lineRule="auto" w:before="0"/>
                    <w:rPr>
                      <w:rFonts w:ascii="宋体" w:hAnsi="宋体" w:cs="宋体" w:eastAsia="宋体" w:hint="default"/>
                      <w:sz w:val="12"/>
                      <w:szCs w:val="12"/>
                    </w:rPr>
                  </w:pPr>
                </w:p>
                <w:p>
                  <w:pPr>
                    <w:spacing w:line="240" w:lineRule="auto" w:before="0"/>
                    <w:rPr>
                      <w:rFonts w:ascii="宋体" w:hAnsi="宋体" w:cs="宋体" w:eastAsia="宋体" w:hint="default"/>
                      <w:sz w:val="12"/>
                      <w:szCs w:val="12"/>
                    </w:rPr>
                  </w:pPr>
                </w:p>
                <w:p>
                  <w:pPr>
                    <w:spacing w:before="83"/>
                    <w:ind w:left="0" w:right="0" w:firstLine="0"/>
                    <w:jc w:val="left"/>
                    <w:rPr>
                      <w:rFonts w:ascii="宋体" w:hAnsi="宋体" w:cs="宋体" w:eastAsia="宋体" w:hint="default"/>
                      <w:sz w:val="13"/>
                      <w:szCs w:val="13"/>
                    </w:rPr>
                  </w:pPr>
                  <w:r>
                    <w:rPr>
                      <w:rFonts w:ascii="宋体" w:hAnsi="宋体" w:cs="宋体" w:eastAsia="宋体" w:hint="default"/>
                      <w:sz w:val="13"/>
                      <w:szCs w:val="13"/>
                    </w:rPr>
                    <w:t>万元、</w:t>
                  </w:r>
                </w:p>
              </w:txbxContent>
            </v:textbox>
            <w10:wrap type="none"/>
          </v:shape>
        </w:pict>
      </w:r>
      <w:r>
        <w:rPr/>
        <w:pict>
          <v:group style="position:absolute;margin-left:463.73999pt;margin-top:-118.697983pt;width:44.9pt;height:31.2pt;mso-position-horizontal-relative:page;mso-position-vertical-relative:paragraph;z-index:-1402576" coordorigin="9275,-2374" coordsize="898,624">
            <v:shape style="position:absolute;left:9275;top:-2374;width:898;height:624" coordorigin="9275,-2374" coordsize="898,624" path="m9275,-1750l10172,-1750,10172,-2374,9275,-2374,9275,-1750xe" filled="true" fillcolor="#ffffff" stroked="false">
              <v:path arrowok="t"/>
              <v:fill type="solid"/>
            </v:shape>
            <w10:wrap type="none"/>
          </v:group>
        </w:pict>
      </w:r>
      <w:r>
        <w:rPr>
          <w:rFonts w:ascii="宋体" w:hAnsi="宋体" w:cs="宋体" w:eastAsia="宋体" w:hint="default"/>
          <w:b/>
          <w:bCs/>
          <w:sz w:val="18"/>
          <w:szCs w:val="18"/>
        </w:rPr>
        <w:t>重大股权投资情况说明</w:t>
      </w:r>
      <w:r>
        <w:rPr>
          <w:rFonts w:ascii="宋体" w:hAnsi="宋体" w:cs="宋体" w:eastAsia="宋体" w:hint="default"/>
          <w:sz w:val="18"/>
          <w:szCs w:val="18"/>
        </w:rPr>
      </w:r>
    </w:p>
    <w:p>
      <w:pPr>
        <w:spacing w:line="338" w:lineRule="auto" w:before="117"/>
        <w:ind w:left="1434" w:right="1027"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）与中科院声学所、中晟嘉华共同投资设立合资公司 </w:t>
      </w:r>
      <w:r>
        <w:rPr>
          <w:rFonts w:ascii="宋体" w:hAnsi="宋体" w:cs="宋体" w:eastAsia="宋体" w:hint="default"/>
          <w:spacing w:val="-2"/>
          <w:sz w:val="18"/>
          <w:szCs w:val="18"/>
        </w:rPr>
        <w:t>为更好利用各方优势资源深化推进产学研合作，共同发展水下探测、通信导航和海洋观测技术，推动海洋信息装备工程</w:t>
      </w:r>
    </w:p>
    <w:p>
      <w:pPr>
        <w:spacing w:line="304" w:lineRule="auto" w:before="2"/>
        <w:ind w:left="1074" w:right="1027" w:firstLine="0"/>
        <w:jc w:val="left"/>
        <w:rPr>
          <w:rFonts w:ascii="宋体" w:hAnsi="宋体" w:cs="宋体" w:eastAsia="宋体" w:hint="default"/>
          <w:sz w:val="18"/>
          <w:szCs w:val="18"/>
        </w:rPr>
      </w:pPr>
      <w:r>
        <w:rPr>
          <w:rFonts w:ascii="宋体" w:hAnsi="宋体" w:cs="宋体" w:eastAsia="宋体" w:hint="default"/>
          <w:spacing w:val="-5"/>
          <w:sz w:val="18"/>
          <w:szCs w:val="18"/>
        </w:rPr>
        <w:t>应用和产业发展，经</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8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28 </w:t>
      </w:r>
      <w:r>
        <w:rPr>
          <w:rFonts w:ascii="宋体" w:hAnsi="宋体" w:cs="宋体" w:eastAsia="宋体" w:hint="default"/>
          <w:spacing w:val="-8"/>
          <w:sz w:val="18"/>
          <w:szCs w:val="18"/>
        </w:rPr>
        <w:t>日公司第六届董事会审议，同意公司与中国科学院声学研究所（简称“中科院声学所”）、</w:t>
      </w:r>
      <w:r>
        <w:rPr>
          <w:rFonts w:ascii="宋体" w:hAnsi="宋体" w:cs="宋体" w:eastAsia="宋体" w:hint="default"/>
          <w:sz w:val="18"/>
          <w:szCs w:val="18"/>
        </w:rPr>
        <w:t> </w:t>
      </w:r>
      <w:r>
        <w:rPr>
          <w:rFonts w:ascii="宋体" w:hAnsi="宋体" w:cs="宋体" w:eastAsia="宋体" w:hint="default"/>
          <w:spacing w:val="-5"/>
          <w:sz w:val="18"/>
          <w:szCs w:val="18"/>
        </w:rPr>
        <w:t>北京中晟嘉华投资中心（有限合伙）（简称“中晟嘉华”）签署《关于共建中科长城海洋信息系统有限公司的协议》。合资公</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司注册资本为人民币 </w:t>
      </w:r>
      <w:r>
        <w:rPr>
          <w:rFonts w:ascii="Times New Roman" w:hAnsi="Times New Roman" w:cs="Times New Roman" w:eastAsia="Times New Roman" w:hint="default"/>
          <w:sz w:val="18"/>
          <w:szCs w:val="18"/>
        </w:rPr>
        <w:t>10,000 </w:t>
      </w:r>
      <w:r>
        <w:rPr>
          <w:rFonts w:ascii="宋体" w:hAnsi="宋体" w:cs="宋体" w:eastAsia="宋体" w:hint="default"/>
          <w:sz w:val="18"/>
          <w:szCs w:val="18"/>
        </w:rPr>
        <w:t>万元，其中本公司以现金认缴出资人民币 </w:t>
      </w:r>
      <w:r>
        <w:rPr>
          <w:rFonts w:ascii="Times New Roman" w:hAnsi="Times New Roman" w:cs="Times New Roman" w:eastAsia="Times New Roman" w:hint="default"/>
          <w:sz w:val="18"/>
          <w:szCs w:val="18"/>
        </w:rPr>
        <w:t>3,400 </w:t>
      </w:r>
      <w:r>
        <w:rPr>
          <w:rFonts w:ascii="宋体" w:hAnsi="宋体" w:cs="宋体" w:eastAsia="宋体" w:hint="default"/>
          <w:sz w:val="18"/>
          <w:szCs w:val="18"/>
        </w:rPr>
        <w:t>万元，持股比例为</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34%</w:t>
      </w:r>
      <w:r>
        <w:rPr>
          <w:rFonts w:ascii="宋体" w:hAnsi="宋体" w:cs="宋体" w:eastAsia="宋体" w:hint="default"/>
          <w:sz w:val="18"/>
          <w:szCs w:val="18"/>
        </w:rPr>
        <w:t>；中科院声学所以下属 </w:t>
      </w:r>
      <w:r>
        <w:rPr>
          <w:rFonts w:ascii="宋体" w:hAnsi="宋体" w:cs="宋体" w:eastAsia="宋体" w:hint="default"/>
          <w:spacing w:val="-3"/>
          <w:sz w:val="18"/>
          <w:szCs w:val="18"/>
        </w:rPr>
        <w:t>研究单元声场声信息国家重点实验室的科技成果评估作价入股，持股占比</w:t>
      </w:r>
      <w:r>
        <w:rPr>
          <w:rFonts w:ascii="宋体" w:hAnsi="宋体" w:cs="宋体" w:eastAsia="宋体" w:hint="default"/>
          <w:spacing w:val="-38"/>
          <w:sz w:val="18"/>
          <w:szCs w:val="18"/>
        </w:rPr>
        <w:t> </w:t>
      </w:r>
      <w:r>
        <w:rPr>
          <w:rFonts w:ascii="Times New Roman" w:hAnsi="Times New Roman" w:cs="Times New Roman" w:eastAsia="Times New Roman" w:hint="default"/>
          <w:spacing w:val="-4"/>
          <w:sz w:val="18"/>
          <w:szCs w:val="18"/>
        </w:rPr>
        <w:t>30%</w:t>
      </w:r>
      <w:r>
        <w:rPr>
          <w:rFonts w:ascii="宋体" w:hAnsi="宋体" w:cs="宋体" w:eastAsia="宋体" w:hint="default"/>
          <w:spacing w:val="-4"/>
          <w:sz w:val="18"/>
          <w:szCs w:val="18"/>
        </w:rPr>
        <w:t>；中晟嘉华以现金认缴出资人民币</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3,600</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万元， 持股占比</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36%</w:t>
      </w:r>
      <w:r>
        <w:rPr>
          <w:rFonts w:ascii="宋体" w:hAnsi="宋体" w:cs="宋体" w:eastAsia="宋体" w:hint="default"/>
          <w:sz w:val="18"/>
          <w:szCs w:val="18"/>
        </w:rPr>
        <w:t>（具体内容详见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2017-078</w:t>
      </w:r>
      <w:r>
        <w:rPr>
          <w:rFonts w:ascii="Times New Roman" w:hAnsi="Times New Roman" w:cs="Times New Roman" w:eastAsia="Times New Roman" w:hint="default"/>
          <w:spacing w:val="-1"/>
          <w:sz w:val="18"/>
          <w:szCs w:val="18"/>
        </w:rPr>
        <w:t> </w:t>
      </w:r>
      <w:r>
        <w:rPr>
          <w:rFonts w:ascii="宋体" w:hAnsi="宋体" w:cs="宋体" w:eastAsia="宋体" w:hint="default"/>
          <w:spacing w:val="-18"/>
          <w:sz w:val="18"/>
          <w:szCs w:val="18"/>
        </w:rPr>
        <w:t>号公告）。</w:t>
      </w:r>
    </w:p>
    <w:p>
      <w:pPr>
        <w:spacing w:after="0" w:line="304" w:lineRule="auto"/>
        <w:jc w:val="left"/>
        <w:rPr>
          <w:rFonts w:ascii="宋体" w:hAnsi="宋体" w:cs="宋体" w:eastAsia="宋体" w:hint="default"/>
          <w:sz w:val="18"/>
          <w:szCs w:val="18"/>
        </w:rPr>
        <w:sectPr>
          <w:pgSz w:w="11910" w:h="16840"/>
          <w:pgMar w:header="787" w:footer="982" w:top="1100" w:bottom="1180" w:left="60" w:right="0"/>
        </w:sectPr>
      </w:pPr>
    </w:p>
    <w:p>
      <w:pPr>
        <w:spacing w:line="240" w:lineRule="auto" w:before="11"/>
        <w:rPr>
          <w:rFonts w:ascii="宋体" w:hAnsi="宋体" w:cs="宋体" w:eastAsia="宋体" w:hint="default"/>
          <w:sz w:val="22"/>
          <w:szCs w:val="22"/>
        </w:rPr>
      </w:pPr>
    </w:p>
    <w:p>
      <w:pPr>
        <w:spacing w:before="44"/>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日，合资公司中科长城海洋信息系统有限公司成立。</w:t>
      </w:r>
    </w:p>
    <w:p>
      <w:pPr>
        <w:spacing w:line="338" w:lineRule="auto" w:before="102"/>
        <w:ind w:left="514" w:right="112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）收购长城超云并对其增资 为实现公司战略发展需要，进一步完善安全整机、服务器、云计算业务领域的产业链和生态链，经</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月</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日公</w:t>
      </w:r>
    </w:p>
    <w:p>
      <w:pPr>
        <w:spacing w:line="230" w:lineRule="exact" w:before="0"/>
        <w:ind w:left="154" w:right="0" w:firstLine="0"/>
        <w:jc w:val="both"/>
        <w:rPr>
          <w:rFonts w:ascii="宋体" w:hAnsi="宋体" w:cs="宋体" w:eastAsia="宋体" w:hint="default"/>
          <w:sz w:val="18"/>
          <w:szCs w:val="18"/>
        </w:rPr>
      </w:pPr>
      <w:r>
        <w:rPr>
          <w:rFonts w:ascii="宋体" w:hAnsi="宋体" w:cs="宋体" w:eastAsia="宋体" w:hint="default"/>
          <w:spacing w:val="3"/>
          <w:sz w:val="18"/>
          <w:szCs w:val="18"/>
        </w:rPr>
        <w:t>司第七届董事会第一次会议审议，同意公司收购长城超云管理层股东 </w:t>
      </w: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股权并向其增资人民币 </w:t>
      </w:r>
      <w:r>
        <w:rPr>
          <w:rFonts w:ascii="Times New Roman" w:hAnsi="Times New Roman" w:cs="Times New Roman" w:eastAsia="Times New Roman" w:hint="default"/>
          <w:sz w:val="18"/>
          <w:szCs w:val="18"/>
        </w:rPr>
        <w:t>2 </w:t>
      </w:r>
      <w:r>
        <w:rPr>
          <w:rFonts w:ascii="Times New Roman" w:hAnsi="Times New Roman" w:cs="Times New Roman" w:eastAsia="Times New Roman" w:hint="default"/>
          <w:spacing w:val="28"/>
          <w:sz w:val="18"/>
          <w:szCs w:val="18"/>
        </w:rPr>
        <w:t> </w:t>
      </w:r>
      <w:r>
        <w:rPr>
          <w:rFonts w:ascii="宋体" w:hAnsi="宋体" w:cs="宋体" w:eastAsia="宋体" w:hint="default"/>
          <w:spacing w:val="3"/>
          <w:sz w:val="18"/>
          <w:szCs w:val="18"/>
        </w:rPr>
        <w:t>亿元（具体内容详见</w:t>
      </w:r>
      <w:r>
        <w:rPr>
          <w:rFonts w:ascii="宋体" w:hAnsi="宋体" w:cs="宋体" w:eastAsia="宋体" w:hint="default"/>
          <w:sz w:val="18"/>
          <w:szCs w:val="18"/>
        </w:rPr>
      </w:r>
    </w:p>
    <w:p>
      <w:pPr>
        <w:spacing w:line="338" w:lineRule="auto" w:before="64"/>
        <w:ind w:left="514" w:right="4796" w:hanging="360"/>
        <w:jc w:val="left"/>
        <w:rPr>
          <w:rFonts w:ascii="宋体" w:hAnsi="宋体" w:cs="宋体" w:eastAsia="宋体" w:hint="default"/>
          <w:sz w:val="18"/>
          <w:szCs w:val="18"/>
        </w:rPr>
      </w:pPr>
      <w:r>
        <w:rPr>
          <w:rFonts w:ascii="Times New Roman" w:hAnsi="Times New Roman" w:cs="Times New Roman" w:eastAsia="Times New Roman" w:hint="default"/>
          <w:sz w:val="18"/>
          <w:szCs w:val="18"/>
        </w:rPr>
        <w:t>2018-041</w:t>
      </w:r>
      <w:r>
        <w:rPr>
          <w:rFonts w:ascii="Times New Roman" w:hAnsi="Times New Roman" w:cs="Times New Roman" w:eastAsia="Times New Roman" w:hint="default"/>
          <w:spacing w:val="-1"/>
          <w:sz w:val="18"/>
          <w:szCs w:val="18"/>
        </w:rPr>
        <w:t> </w:t>
      </w:r>
      <w:r>
        <w:rPr>
          <w:rFonts w:ascii="宋体" w:hAnsi="宋体" w:cs="宋体" w:eastAsia="宋体" w:hint="default"/>
          <w:spacing w:val="-18"/>
          <w:sz w:val="18"/>
          <w:szCs w:val="18"/>
        </w:rPr>
        <w:t>号公告）。</w:t>
      </w:r>
      <w:r>
        <w:rPr>
          <w:rFonts w:ascii="宋体" w:hAnsi="宋体" w:cs="宋体" w:eastAsia="宋体" w:hint="default"/>
          <w:sz w:val="18"/>
          <w:szCs w:val="18"/>
        </w:rPr>
        <w:t> 报告期内，收购并增资事项完成，公司持有长城超云股权比例为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44%</w:t>
      </w:r>
      <w:r>
        <w:rPr>
          <w:rFonts w:ascii="宋体" w:hAnsi="宋体" w:cs="宋体" w:eastAsia="宋体" w:hint="default"/>
          <w:sz w:val="18"/>
          <w:szCs w:val="18"/>
        </w:rPr>
        <w:t>。</w:t>
      </w:r>
    </w:p>
    <w:p>
      <w:pPr>
        <w:spacing w:line="338" w:lineRule="auto" w:before="20"/>
        <w:ind w:left="514"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）中国长城海洋信息安全产业化项目投资合作并设立配套项目公司 </w:t>
      </w:r>
      <w:r>
        <w:rPr>
          <w:rFonts w:ascii="宋体" w:hAnsi="宋体" w:cs="宋体" w:eastAsia="宋体" w:hint="default"/>
          <w:spacing w:val="-2"/>
          <w:sz w:val="18"/>
          <w:szCs w:val="18"/>
        </w:rPr>
        <w:t>为推进公司海洋信息安全产业化，促进军民融合产业发展，扩大科研生产保障条件，实现公司海洋信息安全设计和装备</w:t>
      </w:r>
    </w:p>
    <w:p>
      <w:pPr>
        <w:spacing w:line="312" w:lineRule="auto" w:before="2"/>
        <w:ind w:left="154" w:right="1128" w:firstLine="0"/>
        <w:jc w:val="both"/>
        <w:rPr>
          <w:rFonts w:ascii="宋体" w:hAnsi="宋体" w:cs="宋体" w:eastAsia="宋体" w:hint="default"/>
          <w:sz w:val="18"/>
          <w:szCs w:val="18"/>
        </w:rPr>
      </w:pPr>
      <w:r>
        <w:rPr>
          <w:rFonts w:ascii="宋体" w:hAnsi="宋体" w:cs="宋体" w:eastAsia="宋体" w:hint="default"/>
          <w:spacing w:val="-4"/>
          <w:sz w:val="18"/>
          <w:szCs w:val="18"/>
        </w:rPr>
        <w:t>制造发展战略，经</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日公司第七届董事会第四次会议审议，同意公司及圣非凡与湖南省株洲市人民政府、株洲 </w:t>
      </w:r>
      <w:r>
        <w:rPr>
          <w:rFonts w:ascii="宋体" w:hAnsi="宋体" w:cs="宋体" w:eastAsia="宋体" w:hint="default"/>
          <w:spacing w:val="-2"/>
          <w:sz w:val="18"/>
          <w:szCs w:val="18"/>
        </w:rPr>
        <w:t>高新技术产业开发区管理委员会及湖南天易集团有限公司（简称“天易集团”）开展合作，就在株洲市天元区合作投资建设</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中国长城海洋信息安全产业化基地项目并设立配套项目公司事宜签署相关协议。项目计划在株洲市天元区天易科技城分期投</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资建设水声设备、通信终端、大功率通信设备、报废弹药销毁装备等试验和生产基地，计划总投资额约人民币</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亿元；将</w:t>
      </w:r>
    </w:p>
    <w:p>
      <w:pPr>
        <w:spacing w:line="300" w:lineRule="auto" w:before="3"/>
        <w:ind w:left="153" w:right="1130" w:firstLine="0"/>
        <w:jc w:val="both"/>
        <w:rPr>
          <w:rFonts w:ascii="宋体" w:hAnsi="宋体" w:cs="宋体" w:eastAsia="宋体" w:hint="default"/>
          <w:sz w:val="18"/>
          <w:szCs w:val="18"/>
        </w:rPr>
      </w:pPr>
      <w:r>
        <w:rPr>
          <w:rFonts w:ascii="宋体" w:hAnsi="宋体" w:cs="宋体" w:eastAsia="宋体" w:hint="default"/>
          <w:spacing w:val="-3"/>
          <w:sz w:val="18"/>
          <w:szCs w:val="18"/>
        </w:rPr>
        <w:t>由圣非凡与天易集团共同投资设立项目公司“湖南长城非凡信息科技有限公司”，注册资本为人民币</w:t>
      </w:r>
      <w:r>
        <w:rPr>
          <w:rFonts w:ascii="宋体" w:hAnsi="宋体" w:cs="宋体" w:eastAsia="宋体" w:hint="default"/>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亿元（其中圣非凡出</w:t>
      </w:r>
      <w:r>
        <w:rPr>
          <w:rFonts w:ascii="宋体" w:hAnsi="宋体" w:cs="宋体" w:eastAsia="宋体" w:hint="default"/>
          <w:spacing w:val="-85"/>
          <w:sz w:val="18"/>
          <w:szCs w:val="18"/>
        </w:rPr>
        <w:t> </w:t>
      </w:r>
      <w:r>
        <w:rPr>
          <w:rFonts w:ascii="宋体" w:hAnsi="宋体" w:cs="宋体" w:eastAsia="宋体" w:hint="default"/>
          <w:sz w:val="18"/>
          <w:szCs w:val="18"/>
        </w:rPr>
        <w:t>资人民币</w:t>
      </w:r>
      <w:r>
        <w:rPr>
          <w:rFonts w:ascii="宋体" w:hAnsi="宋体" w:cs="宋体" w:eastAsia="宋体" w:hint="default"/>
          <w:spacing w:val="-33"/>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亿元，持股比例为</w:t>
      </w:r>
      <w:r>
        <w:rPr>
          <w:rFonts w:ascii="宋体" w:hAnsi="宋体" w:cs="宋体" w:eastAsia="宋体" w:hint="default"/>
          <w:spacing w:val="-33"/>
          <w:sz w:val="18"/>
          <w:szCs w:val="18"/>
        </w:rPr>
        <w:t> </w:t>
      </w:r>
      <w:r>
        <w:rPr>
          <w:rFonts w:ascii="Times New Roman" w:hAnsi="Times New Roman" w:cs="Times New Roman" w:eastAsia="Times New Roman" w:hint="default"/>
          <w:sz w:val="18"/>
          <w:szCs w:val="18"/>
        </w:rPr>
        <w:t>60%</w:t>
      </w:r>
      <w:r>
        <w:rPr>
          <w:rFonts w:ascii="宋体" w:hAnsi="宋体" w:cs="宋体" w:eastAsia="宋体" w:hint="default"/>
          <w:sz w:val="18"/>
          <w:szCs w:val="18"/>
        </w:rPr>
        <w:t>；天易集团出资人民币</w:t>
      </w:r>
      <w:r>
        <w:rPr>
          <w:rFonts w:ascii="宋体" w:hAnsi="宋体" w:cs="宋体" w:eastAsia="宋体" w:hint="default"/>
          <w:spacing w:val="-33"/>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2"/>
          <w:sz w:val="18"/>
          <w:szCs w:val="18"/>
        </w:rPr>
        <w:t> </w:t>
      </w:r>
      <w:r>
        <w:rPr>
          <w:rFonts w:ascii="宋体" w:hAnsi="宋体" w:cs="宋体" w:eastAsia="宋体" w:hint="default"/>
          <w:spacing w:val="-1"/>
          <w:sz w:val="18"/>
          <w:szCs w:val="18"/>
        </w:rPr>
        <w:t>亿元，持股比例为</w:t>
      </w:r>
      <w:r>
        <w:rPr>
          <w:rFonts w:ascii="宋体" w:hAnsi="宋体" w:cs="宋体" w:eastAsia="宋体" w:hint="default"/>
          <w:spacing w:val="-33"/>
          <w:sz w:val="18"/>
          <w:szCs w:val="18"/>
        </w:rPr>
        <w:t> </w:t>
      </w:r>
      <w:r>
        <w:rPr>
          <w:rFonts w:ascii="Times New Roman" w:hAnsi="Times New Roman" w:cs="Times New Roman" w:eastAsia="Times New Roman" w:hint="default"/>
          <w:spacing w:val="-5"/>
          <w:sz w:val="18"/>
          <w:szCs w:val="18"/>
        </w:rPr>
        <w:t>40%</w:t>
      </w:r>
      <w:r>
        <w:rPr>
          <w:rFonts w:ascii="宋体" w:hAnsi="宋体" w:cs="宋体" w:eastAsia="宋体" w:hint="default"/>
          <w:spacing w:val="-5"/>
          <w:sz w:val="18"/>
          <w:szCs w:val="18"/>
        </w:rPr>
        <w:t>），负责基地的投资、建设、运营管</w:t>
      </w:r>
      <w:r>
        <w:rPr>
          <w:rFonts w:ascii="宋体" w:hAnsi="宋体" w:cs="宋体" w:eastAsia="宋体" w:hint="default"/>
          <w:sz w:val="18"/>
          <w:szCs w:val="18"/>
        </w:rPr>
        <w:t> 理以及产品的销售和技术服务等；公司向圣非凡增资人民币</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3,600</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万元，用于其支付配套项目公司的首笔出资款，圣非凡注</w:t>
      </w:r>
    </w:p>
    <w:p>
      <w:pPr>
        <w:spacing w:before="14"/>
        <w:ind w:left="153" w:right="0" w:firstLine="0"/>
        <w:jc w:val="both"/>
        <w:rPr>
          <w:rFonts w:ascii="宋体" w:hAnsi="宋体" w:cs="宋体" w:eastAsia="宋体" w:hint="default"/>
          <w:sz w:val="18"/>
          <w:szCs w:val="18"/>
        </w:rPr>
      </w:pPr>
      <w:r>
        <w:rPr>
          <w:rFonts w:ascii="宋体" w:hAnsi="宋体" w:cs="宋体" w:eastAsia="宋体" w:hint="default"/>
          <w:sz w:val="18"/>
          <w:szCs w:val="18"/>
        </w:rPr>
        <w:t>册资本由原来的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14,500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万元增至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18,100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万元（具体内容详见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2018-065 </w:t>
      </w:r>
      <w:r>
        <w:rPr>
          <w:rFonts w:ascii="宋体" w:hAnsi="宋体" w:cs="宋体" w:eastAsia="宋体" w:hint="default"/>
          <w:sz w:val="18"/>
          <w:szCs w:val="18"/>
        </w:rPr>
        <w:t>号公告</w:t>
      </w:r>
      <w:r>
        <w:rPr>
          <w:rFonts w:ascii="宋体" w:hAnsi="宋体" w:cs="宋体" w:eastAsia="宋体" w:hint="default"/>
          <w:spacing w:val="-90"/>
          <w:sz w:val="18"/>
          <w:szCs w:val="18"/>
        </w:rPr>
        <w:t>）</w:t>
      </w:r>
      <w:r>
        <w:rPr>
          <w:rFonts w:ascii="宋体" w:hAnsi="宋体" w:cs="宋体" w:eastAsia="宋体" w:hint="default"/>
          <w:sz w:val="18"/>
          <w:szCs w:val="18"/>
        </w:rPr>
        <w:t>。</w:t>
      </w:r>
    </w:p>
    <w:p>
      <w:pPr>
        <w:spacing w:before="102"/>
        <w:ind w:left="513" w:right="0" w:firstLine="0"/>
        <w:jc w:val="left"/>
        <w:rPr>
          <w:rFonts w:ascii="宋体" w:hAnsi="宋体" w:cs="宋体" w:eastAsia="宋体" w:hint="default"/>
          <w:sz w:val="18"/>
          <w:szCs w:val="18"/>
        </w:rPr>
      </w:pPr>
      <w:r>
        <w:rPr>
          <w:rFonts w:ascii="宋体" w:hAnsi="宋体" w:cs="宋体" w:eastAsia="宋体" w:hint="default"/>
          <w:sz w:val="18"/>
          <w:szCs w:val="18"/>
        </w:rPr>
        <w:t>湖南长城非凡信息科技有限公司于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日成立。</w:t>
      </w:r>
    </w:p>
    <w:p>
      <w:pPr>
        <w:spacing w:line="338" w:lineRule="auto" w:before="102"/>
        <w:ind w:left="514" w:right="1122"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）对中原电子进行增资 </w:t>
      </w:r>
      <w:r>
        <w:rPr>
          <w:rFonts w:ascii="宋体" w:hAnsi="宋体" w:cs="宋体" w:eastAsia="宋体" w:hint="default"/>
          <w:spacing w:val="-3"/>
          <w:sz w:val="18"/>
          <w:szCs w:val="18"/>
        </w:rPr>
        <w:t>为满足中原电子的业务发展需要，推进其重点项目建设及业务规划的落实，增强竞争优势，经</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日公司第</w:t>
      </w:r>
    </w:p>
    <w:p>
      <w:pPr>
        <w:spacing w:line="230" w:lineRule="exact" w:before="0"/>
        <w:ind w:left="154" w:right="0" w:firstLine="0"/>
        <w:jc w:val="both"/>
        <w:rPr>
          <w:rFonts w:ascii="宋体" w:hAnsi="宋体" w:cs="宋体" w:eastAsia="宋体" w:hint="default"/>
          <w:sz w:val="18"/>
          <w:szCs w:val="18"/>
        </w:rPr>
      </w:pPr>
      <w:r>
        <w:rPr>
          <w:rFonts w:ascii="宋体" w:hAnsi="宋体" w:cs="宋体" w:eastAsia="宋体" w:hint="default"/>
          <w:sz w:val="18"/>
          <w:szCs w:val="18"/>
        </w:rPr>
        <w:t>七届董事会第六次会议审议，同意公司以现金方式对中原电子进行增资，增资金额为人民币</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9.5</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亿元，专项用于重点项目建</w:t>
      </w:r>
    </w:p>
    <w:p>
      <w:pPr>
        <w:spacing w:before="64"/>
        <w:ind w:left="154" w:right="0" w:firstLine="0"/>
        <w:jc w:val="both"/>
        <w:rPr>
          <w:rFonts w:ascii="宋体" w:hAnsi="宋体" w:cs="宋体" w:eastAsia="宋体" w:hint="default"/>
          <w:sz w:val="18"/>
          <w:szCs w:val="18"/>
        </w:rPr>
      </w:pPr>
      <w:r>
        <w:rPr>
          <w:rFonts w:ascii="宋体" w:hAnsi="宋体" w:cs="宋体" w:eastAsia="宋体" w:hint="default"/>
          <w:sz w:val="18"/>
          <w:szCs w:val="18"/>
        </w:rPr>
        <w:t>设</w:t>
      </w:r>
      <w:r>
        <w:rPr>
          <w:rFonts w:ascii="宋体" w:hAnsi="宋体" w:cs="宋体" w:eastAsia="宋体" w:hint="default"/>
          <w:spacing w:val="-17"/>
          <w:sz w:val="18"/>
          <w:szCs w:val="18"/>
        </w:rPr>
        <w:t>。</w:t>
      </w:r>
      <w:r>
        <w:rPr>
          <w:rFonts w:ascii="宋体" w:hAnsi="宋体" w:cs="宋体" w:eastAsia="宋体" w:hint="default"/>
          <w:sz w:val="18"/>
          <w:szCs w:val="18"/>
        </w:rPr>
        <w:t>如增资顺利完成</w:t>
      </w:r>
      <w:r>
        <w:rPr>
          <w:rFonts w:ascii="宋体" w:hAnsi="宋体" w:cs="宋体" w:eastAsia="宋体" w:hint="default"/>
          <w:spacing w:val="-17"/>
          <w:sz w:val="18"/>
          <w:szCs w:val="18"/>
        </w:rPr>
        <w:t>，</w:t>
      </w:r>
      <w:r>
        <w:rPr>
          <w:rFonts w:ascii="宋体" w:hAnsi="宋体" w:cs="宋体" w:eastAsia="宋体" w:hint="default"/>
          <w:sz w:val="18"/>
          <w:szCs w:val="18"/>
        </w:rPr>
        <w:t>中原电子注册资本将由原来的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13,789.10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万元增至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108,789.10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w:t>
      </w:r>
      <w:r>
        <w:rPr>
          <w:rFonts w:ascii="宋体" w:hAnsi="宋体" w:cs="宋体" w:eastAsia="宋体" w:hint="default"/>
          <w:spacing w:val="-17"/>
          <w:sz w:val="18"/>
          <w:szCs w:val="18"/>
        </w:rPr>
        <w:t>元</w:t>
      </w:r>
      <w:r>
        <w:rPr>
          <w:rFonts w:ascii="宋体" w:hAnsi="宋体" w:cs="宋体" w:eastAsia="宋体" w:hint="default"/>
          <w:sz w:val="18"/>
          <w:szCs w:val="18"/>
        </w:rPr>
        <w:t>（具体内容详见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2018-082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号公告</w:t>
      </w:r>
      <w:r>
        <w:rPr>
          <w:rFonts w:ascii="宋体" w:hAnsi="宋体" w:cs="宋体" w:eastAsia="宋体" w:hint="default"/>
          <w:spacing w:val="-90"/>
          <w:sz w:val="18"/>
          <w:szCs w:val="18"/>
        </w:rPr>
        <w:t>）</w:t>
      </w:r>
      <w:r>
        <w:rPr>
          <w:rFonts w:ascii="宋体" w:hAnsi="宋体" w:cs="宋体" w:eastAsia="宋体" w:hint="default"/>
          <w:sz w:val="18"/>
          <w:szCs w:val="18"/>
        </w:rPr>
        <w:t>。</w:t>
      </w:r>
    </w:p>
    <w:p>
      <w:pPr>
        <w:spacing w:before="102"/>
        <w:ind w:left="513" w:right="0" w:firstLine="0"/>
        <w:jc w:val="left"/>
        <w:rPr>
          <w:rFonts w:ascii="宋体" w:hAnsi="宋体" w:cs="宋体" w:eastAsia="宋体" w:hint="default"/>
          <w:sz w:val="18"/>
          <w:szCs w:val="18"/>
        </w:rPr>
      </w:pPr>
      <w:r>
        <w:rPr>
          <w:rFonts w:ascii="宋体" w:hAnsi="宋体" w:cs="宋体" w:eastAsia="宋体" w:hint="default"/>
          <w:sz w:val="18"/>
          <w:szCs w:val="18"/>
        </w:rPr>
        <w:t>报告期内，公司已向中原电子增资人民币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亿元，中原电子注册资本变更为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63,789.10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p>
      <w:pPr>
        <w:spacing w:line="338" w:lineRule="auto" w:before="102"/>
        <w:ind w:left="514"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z w:val="18"/>
          <w:szCs w:val="18"/>
        </w:rPr>
        <w:t>）中原电子收购中元股份</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18.68%</w:t>
      </w:r>
      <w:r>
        <w:rPr>
          <w:rFonts w:ascii="宋体" w:hAnsi="宋体" w:cs="宋体" w:eastAsia="宋体" w:hint="default"/>
          <w:sz w:val="18"/>
          <w:szCs w:val="18"/>
        </w:rPr>
        <w:t>股权暨关联交易 </w:t>
      </w:r>
      <w:r>
        <w:rPr>
          <w:rFonts w:ascii="宋体" w:hAnsi="宋体" w:cs="宋体" w:eastAsia="宋体" w:hint="default"/>
          <w:spacing w:val="-2"/>
          <w:sz w:val="18"/>
          <w:szCs w:val="18"/>
        </w:rPr>
        <w:t>武汉中元通信股份有限公司（简称“中元股份”）主要从事军工电子领域的研发、制造与服务等业务，为中原电子下属</w:t>
      </w:r>
    </w:p>
    <w:p>
      <w:pPr>
        <w:spacing w:line="307" w:lineRule="auto" w:before="2"/>
        <w:ind w:left="153" w:right="1129" w:firstLine="0"/>
        <w:jc w:val="both"/>
        <w:rPr>
          <w:rFonts w:ascii="宋体" w:hAnsi="宋体" w:cs="宋体" w:eastAsia="宋体" w:hint="default"/>
          <w:sz w:val="18"/>
          <w:szCs w:val="18"/>
        </w:rPr>
      </w:pPr>
      <w:r>
        <w:rPr>
          <w:rFonts w:ascii="宋体" w:hAnsi="宋体" w:cs="宋体" w:eastAsia="宋体" w:hint="default"/>
          <w:spacing w:val="-2"/>
          <w:sz w:val="18"/>
          <w:szCs w:val="18"/>
        </w:rPr>
        <w:t>重要子企业，为进一步实现中原电子在高新电子板块的军工战略目标，强化经营管理效率，增加公司整体收益，同时为适应</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装备采购机制改革，提升行业竞争力，经</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37"/>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日公司第七届董事会第十次会议、</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日公司</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2018 </w:t>
      </w:r>
      <w:r>
        <w:rPr>
          <w:rFonts w:ascii="宋体" w:hAnsi="宋体" w:cs="宋体" w:eastAsia="宋体" w:hint="default"/>
          <w:spacing w:val="-1"/>
          <w:sz w:val="18"/>
          <w:szCs w:val="18"/>
        </w:rPr>
        <w:t>年度第七次临时股东大会审议，同意中原电子就收购中国电子所持有的中元股份</w:t>
      </w:r>
      <w:r>
        <w:rPr>
          <w:rFonts w:ascii="宋体" w:hAnsi="宋体" w:cs="宋体" w:eastAsia="宋体" w:hint="default"/>
          <w:spacing w:val="-28"/>
          <w:sz w:val="18"/>
          <w:szCs w:val="18"/>
        </w:rPr>
        <w:t> </w:t>
      </w:r>
      <w:r>
        <w:rPr>
          <w:rFonts w:ascii="Times New Roman" w:hAnsi="Times New Roman" w:cs="Times New Roman" w:eastAsia="Times New Roman" w:hint="default"/>
          <w:spacing w:val="-6"/>
          <w:sz w:val="18"/>
          <w:szCs w:val="18"/>
        </w:rPr>
        <w:t>18.68%</w:t>
      </w:r>
      <w:r>
        <w:rPr>
          <w:rFonts w:ascii="宋体" w:hAnsi="宋体" w:cs="宋体" w:eastAsia="宋体" w:hint="default"/>
          <w:spacing w:val="-6"/>
          <w:sz w:val="18"/>
          <w:szCs w:val="18"/>
        </w:rPr>
        <w:t>股权签署《股权转让合同》（具体内</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容详见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2018-099</w:t>
      </w:r>
      <w:r>
        <w:rPr>
          <w:rFonts w:ascii="Times New Roman" w:hAnsi="Times New Roman" w:cs="Times New Roman" w:eastAsia="Times New Roman" w:hint="default"/>
          <w:spacing w:val="-1"/>
          <w:sz w:val="18"/>
          <w:szCs w:val="18"/>
        </w:rPr>
        <w:t> </w:t>
      </w:r>
      <w:r>
        <w:rPr>
          <w:rFonts w:ascii="宋体" w:hAnsi="宋体" w:cs="宋体" w:eastAsia="宋体" w:hint="default"/>
          <w:spacing w:val="-18"/>
          <w:sz w:val="18"/>
          <w:szCs w:val="18"/>
        </w:rPr>
        <w:t>号公告）。</w:t>
      </w:r>
    </w:p>
    <w:p>
      <w:pPr>
        <w:spacing w:before="46"/>
        <w:ind w:left="513" w:right="0" w:firstLine="0"/>
        <w:jc w:val="left"/>
        <w:rPr>
          <w:rFonts w:ascii="宋体" w:hAnsi="宋体" w:cs="宋体" w:eastAsia="宋体" w:hint="default"/>
          <w:sz w:val="18"/>
          <w:szCs w:val="18"/>
        </w:rPr>
      </w:pPr>
      <w:r>
        <w:rPr>
          <w:rFonts w:ascii="宋体" w:hAnsi="宋体" w:cs="宋体" w:eastAsia="宋体" w:hint="default"/>
          <w:sz w:val="18"/>
          <w:szCs w:val="18"/>
        </w:rPr>
        <w:t>报告期内，收购事项完成，中原电子持有中元股份股权比例为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95.02%</w:t>
      </w:r>
      <w:r>
        <w:rPr>
          <w:rFonts w:ascii="宋体" w:hAnsi="宋体" w:cs="宋体" w:eastAsia="宋体" w:hint="default"/>
          <w:sz w:val="18"/>
          <w:szCs w:val="18"/>
        </w:rPr>
        <w:t>。</w:t>
      </w:r>
    </w:p>
    <w:p>
      <w:pPr>
        <w:spacing w:line="338" w:lineRule="auto" w:before="102"/>
        <w:ind w:left="514"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6</w:t>
      </w:r>
      <w:r>
        <w:rPr>
          <w:rFonts w:ascii="宋体" w:hAnsi="宋体" w:cs="宋体" w:eastAsia="宋体" w:hint="default"/>
          <w:sz w:val="18"/>
          <w:szCs w:val="18"/>
        </w:rPr>
        <w:t>）中原电子收购中电财务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w:t>
      </w:r>
      <w:r>
        <w:rPr>
          <w:rFonts w:ascii="宋体" w:hAnsi="宋体" w:cs="宋体" w:eastAsia="宋体" w:hint="default"/>
          <w:sz w:val="18"/>
          <w:szCs w:val="18"/>
        </w:rPr>
        <w:t>股权暨关联交易 </w:t>
      </w:r>
      <w:r>
        <w:rPr>
          <w:rFonts w:ascii="宋体" w:hAnsi="宋体" w:cs="宋体" w:eastAsia="宋体" w:hint="default"/>
          <w:spacing w:val="-2"/>
          <w:sz w:val="18"/>
          <w:szCs w:val="18"/>
        </w:rPr>
        <w:t>为了更好利用中国电子财务有限责任公司（简称“中电财务”）的金融平台做好公司资金管理及存贷工作，通过优质金</w:t>
      </w:r>
    </w:p>
    <w:p>
      <w:pPr>
        <w:spacing w:line="300" w:lineRule="auto" w:before="2"/>
        <w:ind w:left="154" w:right="1128" w:firstLine="0"/>
        <w:jc w:val="both"/>
        <w:rPr>
          <w:rFonts w:ascii="宋体" w:hAnsi="宋体" w:cs="宋体" w:eastAsia="宋体" w:hint="default"/>
          <w:sz w:val="18"/>
          <w:szCs w:val="18"/>
        </w:rPr>
      </w:pPr>
      <w:r>
        <w:rPr>
          <w:rFonts w:ascii="宋体" w:hAnsi="宋体" w:cs="宋体" w:eastAsia="宋体" w:hint="default"/>
          <w:spacing w:val="-1"/>
          <w:sz w:val="18"/>
          <w:szCs w:val="18"/>
        </w:rPr>
        <w:t>融资产和业务促进公司实业发展，同时考虑到中原电子原已持有中电财务</w:t>
      </w:r>
      <w:r>
        <w:rPr>
          <w:rFonts w:ascii="宋体" w:hAnsi="宋体" w:cs="宋体" w:eastAsia="宋体" w:hint="default"/>
          <w:spacing w:val="-25"/>
          <w:sz w:val="18"/>
          <w:szCs w:val="18"/>
        </w:rPr>
        <w:t> </w:t>
      </w:r>
      <w:r>
        <w:rPr>
          <w:rFonts w:ascii="Times New Roman" w:hAnsi="Times New Roman" w:cs="Times New Roman" w:eastAsia="Times New Roman" w:hint="default"/>
          <w:spacing w:val="-2"/>
          <w:sz w:val="18"/>
          <w:szCs w:val="18"/>
        </w:rPr>
        <w:t>5.7112%</w:t>
      </w:r>
      <w:r>
        <w:rPr>
          <w:rFonts w:ascii="宋体" w:hAnsi="宋体" w:cs="宋体" w:eastAsia="宋体" w:hint="default"/>
          <w:spacing w:val="-2"/>
          <w:sz w:val="18"/>
          <w:szCs w:val="18"/>
        </w:rPr>
        <w:t>的股权，相对而言更为熟悉中电财务的内</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部管理流程，为方便收购后的股权统一归集管理，经</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日公司第六届董事会、</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日公司</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年度 </w:t>
      </w:r>
      <w:r>
        <w:rPr>
          <w:rFonts w:ascii="宋体" w:hAnsi="宋体" w:cs="宋体" w:eastAsia="宋体" w:hint="default"/>
          <w:spacing w:val="2"/>
          <w:sz w:val="18"/>
          <w:szCs w:val="18"/>
        </w:rPr>
        <w:t>第三次临时股东大会审议，同意中原电子与中国电子就收购中电财务</w:t>
      </w:r>
      <w:r>
        <w:rPr>
          <w:rFonts w:ascii="宋体" w:hAnsi="宋体" w:cs="宋体" w:eastAsia="宋体" w:hint="default"/>
          <w:spacing w:val="4"/>
          <w:sz w:val="18"/>
          <w:szCs w:val="18"/>
        </w:rPr>
        <w:t> </w:t>
      </w:r>
      <w:r>
        <w:rPr>
          <w:rFonts w:ascii="Times New Roman" w:hAnsi="Times New Roman" w:cs="Times New Roman" w:eastAsia="Times New Roman" w:hint="default"/>
          <w:spacing w:val="-2"/>
          <w:sz w:val="18"/>
          <w:szCs w:val="18"/>
        </w:rPr>
        <w:t>15%</w:t>
      </w:r>
      <w:r>
        <w:rPr>
          <w:rFonts w:ascii="宋体" w:hAnsi="宋体" w:cs="宋体" w:eastAsia="宋体" w:hint="default"/>
          <w:spacing w:val="-2"/>
          <w:sz w:val="18"/>
          <w:szCs w:val="18"/>
        </w:rPr>
        <w:t>股权事宜签署《股权转让协议》（具体内容详见</w:t>
      </w:r>
      <w:r>
        <w:rPr>
          <w:rFonts w:ascii="宋体" w:hAnsi="宋体" w:cs="宋体" w:eastAsia="宋体" w:hint="default"/>
          <w:sz w:val="18"/>
          <w:szCs w:val="18"/>
        </w:rPr>
        <w:t> </w:t>
      </w:r>
      <w:r>
        <w:rPr>
          <w:rFonts w:ascii="Times New Roman" w:hAnsi="Times New Roman" w:cs="Times New Roman" w:eastAsia="Times New Roman" w:hint="default"/>
          <w:sz w:val="18"/>
          <w:szCs w:val="18"/>
        </w:rPr>
        <w:t>2017-047</w:t>
      </w:r>
      <w:r>
        <w:rPr>
          <w:rFonts w:ascii="Times New Roman" w:hAnsi="Times New Roman" w:cs="Times New Roman" w:eastAsia="Times New Roman" w:hint="default"/>
          <w:spacing w:val="-1"/>
          <w:sz w:val="18"/>
          <w:szCs w:val="18"/>
        </w:rPr>
        <w:t> </w:t>
      </w:r>
      <w:r>
        <w:rPr>
          <w:rFonts w:ascii="宋体" w:hAnsi="宋体" w:cs="宋体" w:eastAsia="宋体" w:hint="default"/>
          <w:spacing w:val="-18"/>
          <w:sz w:val="18"/>
          <w:szCs w:val="18"/>
        </w:rPr>
        <w:t>号公告）。</w:t>
      </w:r>
    </w:p>
    <w:p>
      <w:pPr>
        <w:spacing w:line="357" w:lineRule="auto" w:before="52"/>
        <w:ind w:left="514" w:right="2110" w:firstLine="0"/>
        <w:jc w:val="left"/>
        <w:rPr>
          <w:rFonts w:ascii="宋体" w:hAnsi="宋体" w:cs="宋体" w:eastAsia="宋体" w:hint="default"/>
          <w:sz w:val="18"/>
          <w:szCs w:val="18"/>
        </w:rPr>
      </w:pPr>
      <w:r>
        <w:rPr>
          <w:rFonts w:ascii="宋体" w:hAnsi="宋体" w:cs="宋体" w:eastAsia="宋体" w:hint="default"/>
          <w:sz w:val="18"/>
          <w:szCs w:val="18"/>
        </w:rPr>
        <w:t>截至目前，该项目仍在进行中。 其他股权投资情况参见第五节“共同对外投资的关联交易”以及“公司子公司重大事项”中的相关介绍。</w:t>
      </w:r>
    </w:p>
    <w:p>
      <w:pPr>
        <w:spacing w:line="240" w:lineRule="auto" w:before="7"/>
        <w:rPr>
          <w:rFonts w:ascii="宋体" w:hAnsi="宋体" w:cs="宋体" w:eastAsia="宋体" w:hint="default"/>
          <w:sz w:val="15"/>
          <w:szCs w:val="15"/>
        </w:rPr>
      </w:pPr>
    </w:p>
    <w:p>
      <w:pPr>
        <w:pStyle w:val="Heading5"/>
        <w:spacing w:line="240" w:lineRule="auto" w:before="0"/>
        <w:ind w:left="154" w:right="0"/>
        <w:jc w:val="both"/>
        <w:rPr>
          <w:b w:val="0"/>
          <w:bCs w:val="0"/>
        </w:rPr>
      </w:pPr>
      <w:r>
        <w:rPr>
          <w:rFonts w:ascii="Times New Roman" w:hAnsi="Times New Roman" w:cs="Times New Roman" w:eastAsia="Times New Roman" w:hint="default"/>
        </w:rPr>
        <w:t>3</w:t>
      </w:r>
      <w:r>
        <w:rPr/>
        <w:t>、报告期内正在进行的重大的非股权投资情况</w:t>
      </w:r>
      <w:r>
        <w:rPr>
          <w:b w:val="0"/>
          <w:bCs w:val="0"/>
        </w:rPr>
      </w:r>
    </w:p>
    <w:p>
      <w:pPr>
        <w:spacing w:line="240" w:lineRule="auto" w:before="7"/>
        <w:rPr>
          <w:rFonts w:ascii="宋体" w:hAnsi="宋体" w:cs="宋体" w:eastAsia="宋体" w:hint="default"/>
          <w:b/>
          <w:bCs/>
          <w:sz w:val="18"/>
          <w:szCs w:val="18"/>
        </w:rPr>
      </w:pPr>
    </w:p>
    <w:p>
      <w:pPr>
        <w:spacing w:before="44"/>
        <w:ind w:left="15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before="117"/>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after="0"/>
        <w:jc w:val="right"/>
        <w:rPr>
          <w:rFonts w:ascii="宋体" w:hAnsi="宋体" w:cs="宋体" w:eastAsia="宋体" w:hint="default"/>
          <w:sz w:val="18"/>
          <w:szCs w:val="18"/>
        </w:rPr>
        <w:sectPr>
          <w:pgSz w:w="11910" w:h="16840"/>
          <w:pgMar w:header="787" w:footer="982" w:top="1100" w:bottom="1180" w:left="980" w:right="0"/>
        </w:sectPr>
      </w:pPr>
    </w:p>
    <w:p>
      <w:pPr>
        <w:spacing w:line="240" w:lineRule="auto" w:before="5"/>
        <w:rPr>
          <w:rFonts w:ascii="宋体" w:hAnsi="宋体" w:cs="宋体" w:eastAsia="宋体" w:hint="default"/>
          <w:sz w:val="25"/>
          <w:szCs w:val="25"/>
        </w:rPr>
      </w:pPr>
    </w:p>
    <w:tbl>
      <w:tblPr>
        <w:tblW w:w="0" w:type="auto"/>
        <w:jc w:val="left"/>
        <w:tblInd w:w="106" w:type="dxa"/>
        <w:tblLayout w:type="fixed"/>
        <w:tblCellMar>
          <w:top w:w="0" w:type="dxa"/>
          <w:left w:w="0" w:type="dxa"/>
          <w:bottom w:w="0" w:type="dxa"/>
          <w:right w:w="0" w:type="dxa"/>
        </w:tblCellMar>
        <w:tblLook w:val="01E0"/>
      </w:tblPr>
      <w:tblGrid>
        <w:gridCol w:w="1374"/>
        <w:gridCol w:w="568"/>
        <w:gridCol w:w="709"/>
        <w:gridCol w:w="851"/>
        <w:gridCol w:w="992"/>
        <w:gridCol w:w="1082"/>
        <w:gridCol w:w="850"/>
        <w:gridCol w:w="852"/>
        <w:gridCol w:w="566"/>
        <w:gridCol w:w="992"/>
        <w:gridCol w:w="991"/>
        <w:gridCol w:w="709"/>
        <w:gridCol w:w="665"/>
      </w:tblGrid>
      <w:tr>
        <w:trPr>
          <w:trHeight w:val="946" w:hRule="exact"/>
        </w:trPr>
        <w:tc>
          <w:tcPr>
            <w:tcW w:w="137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321"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5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99" w:right="96"/>
              <w:jc w:val="left"/>
              <w:rPr>
                <w:rFonts w:ascii="宋体" w:hAnsi="宋体" w:cs="宋体" w:eastAsia="宋体" w:hint="default"/>
                <w:sz w:val="18"/>
                <w:szCs w:val="18"/>
              </w:rPr>
            </w:pPr>
            <w:r>
              <w:rPr>
                <w:rFonts w:ascii="宋体" w:hAnsi="宋体" w:cs="宋体" w:eastAsia="宋体" w:hint="default"/>
                <w:sz w:val="18"/>
                <w:szCs w:val="18"/>
              </w:rPr>
              <w:t>投资 方式</w:t>
            </w:r>
          </w:p>
        </w:tc>
        <w:tc>
          <w:tcPr>
            <w:tcW w:w="70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10"/>
              <w:ind w:left="79" w:right="78"/>
              <w:jc w:val="both"/>
              <w:rPr>
                <w:rFonts w:ascii="宋体" w:hAnsi="宋体" w:cs="宋体" w:eastAsia="宋体" w:hint="default"/>
                <w:sz w:val="18"/>
                <w:szCs w:val="18"/>
              </w:rPr>
            </w:pPr>
            <w:r>
              <w:rPr>
                <w:rFonts w:ascii="宋体" w:hAnsi="宋体" w:cs="宋体" w:eastAsia="宋体" w:hint="default"/>
                <w:sz w:val="18"/>
                <w:szCs w:val="18"/>
              </w:rPr>
              <w:t>是否为 固定资 产投资</w:t>
            </w:r>
          </w:p>
        </w:tc>
        <w:tc>
          <w:tcPr>
            <w:tcW w:w="85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60" w:right="59"/>
              <w:jc w:val="left"/>
              <w:rPr>
                <w:rFonts w:ascii="宋体" w:hAnsi="宋体" w:cs="宋体" w:eastAsia="宋体" w:hint="default"/>
                <w:sz w:val="18"/>
                <w:szCs w:val="18"/>
              </w:rPr>
            </w:pPr>
            <w:r>
              <w:rPr>
                <w:rFonts w:ascii="宋体" w:hAnsi="宋体" w:cs="宋体" w:eastAsia="宋体" w:hint="default"/>
                <w:sz w:val="18"/>
                <w:szCs w:val="18"/>
              </w:rPr>
              <w:t>投资项目 涉及行业</w:t>
            </w:r>
          </w:p>
        </w:tc>
        <w:tc>
          <w:tcPr>
            <w:tcW w:w="9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220" w:right="41" w:hanging="180"/>
              <w:jc w:val="left"/>
              <w:rPr>
                <w:rFonts w:ascii="宋体" w:hAnsi="宋体" w:cs="宋体" w:eastAsia="宋体" w:hint="default"/>
                <w:sz w:val="18"/>
                <w:szCs w:val="18"/>
              </w:rPr>
            </w:pPr>
            <w:r>
              <w:rPr>
                <w:rFonts w:ascii="宋体" w:hAnsi="宋体" w:cs="宋体" w:eastAsia="宋体" w:hint="default"/>
                <w:sz w:val="18"/>
                <w:szCs w:val="18"/>
              </w:rPr>
              <w:t>本报告期投 入金额</w:t>
            </w:r>
          </w:p>
        </w:tc>
        <w:tc>
          <w:tcPr>
            <w:tcW w:w="108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10"/>
              <w:ind w:left="86" w:right="84"/>
              <w:jc w:val="both"/>
              <w:rPr>
                <w:rFonts w:ascii="宋体" w:hAnsi="宋体" w:cs="宋体" w:eastAsia="宋体" w:hint="default"/>
                <w:sz w:val="18"/>
                <w:szCs w:val="18"/>
              </w:rPr>
            </w:pPr>
            <w:r>
              <w:rPr>
                <w:rFonts w:ascii="宋体" w:hAnsi="宋体" w:cs="宋体" w:eastAsia="宋体" w:hint="default"/>
                <w:sz w:val="18"/>
                <w:szCs w:val="18"/>
              </w:rPr>
              <w:t>截至报告期 末累计实际 投入金额</w:t>
            </w:r>
          </w:p>
        </w:tc>
        <w:tc>
          <w:tcPr>
            <w:tcW w:w="85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资金来源</w:t>
            </w:r>
          </w:p>
        </w:tc>
        <w:tc>
          <w:tcPr>
            <w:tcW w:w="85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项目进度</w:t>
            </w:r>
          </w:p>
        </w:tc>
        <w:tc>
          <w:tcPr>
            <w:tcW w:w="5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98" w:right="96"/>
              <w:jc w:val="left"/>
              <w:rPr>
                <w:rFonts w:ascii="宋体" w:hAnsi="宋体" w:cs="宋体" w:eastAsia="宋体" w:hint="default"/>
                <w:sz w:val="18"/>
                <w:szCs w:val="18"/>
              </w:rPr>
            </w:pPr>
            <w:r>
              <w:rPr>
                <w:rFonts w:ascii="宋体" w:hAnsi="宋体" w:cs="宋体" w:eastAsia="宋体" w:hint="default"/>
                <w:sz w:val="18"/>
                <w:szCs w:val="18"/>
              </w:rPr>
              <w:t>预计 收益</w:t>
            </w:r>
          </w:p>
        </w:tc>
        <w:tc>
          <w:tcPr>
            <w:tcW w:w="9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10"/>
              <w:ind w:left="40" w:right="41"/>
              <w:jc w:val="center"/>
              <w:rPr>
                <w:rFonts w:ascii="宋体" w:hAnsi="宋体" w:cs="宋体" w:eastAsia="宋体" w:hint="default"/>
                <w:sz w:val="18"/>
                <w:szCs w:val="18"/>
              </w:rPr>
            </w:pPr>
            <w:r>
              <w:rPr>
                <w:rFonts w:ascii="宋体" w:hAnsi="宋体" w:cs="宋体" w:eastAsia="宋体" w:hint="default"/>
                <w:sz w:val="18"/>
                <w:szCs w:val="18"/>
              </w:rPr>
              <w:t>截止报告期 末累计实现 的收益</w:t>
            </w:r>
          </w:p>
        </w:tc>
        <w:tc>
          <w:tcPr>
            <w:tcW w:w="9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10"/>
              <w:ind w:left="40" w:right="38"/>
              <w:jc w:val="both"/>
              <w:rPr>
                <w:rFonts w:ascii="宋体" w:hAnsi="宋体" w:cs="宋体" w:eastAsia="宋体" w:hint="default"/>
                <w:sz w:val="18"/>
                <w:szCs w:val="18"/>
              </w:rPr>
            </w:pPr>
            <w:r>
              <w:rPr>
                <w:rFonts w:ascii="宋体" w:hAnsi="宋体" w:cs="宋体" w:eastAsia="宋体" w:hint="default"/>
                <w:sz w:val="18"/>
                <w:szCs w:val="18"/>
              </w:rPr>
              <w:t>未达到计划 进度和预计 收益的原因</w:t>
            </w:r>
          </w:p>
        </w:tc>
        <w:tc>
          <w:tcPr>
            <w:tcW w:w="70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170" w:right="167"/>
              <w:jc w:val="left"/>
              <w:rPr>
                <w:rFonts w:ascii="宋体" w:hAnsi="宋体" w:cs="宋体" w:eastAsia="宋体" w:hint="default"/>
                <w:sz w:val="18"/>
                <w:szCs w:val="18"/>
              </w:rPr>
            </w:pPr>
            <w:r>
              <w:rPr>
                <w:rFonts w:ascii="宋体" w:hAnsi="宋体" w:cs="宋体" w:eastAsia="宋体" w:hint="default"/>
                <w:sz w:val="18"/>
                <w:szCs w:val="18"/>
              </w:rPr>
              <w:t>披露 日期</w:t>
            </w:r>
          </w:p>
        </w:tc>
        <w:tc>
          <w:tcPr>
            <w:tcW w:w="66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146" w:right="146"/>
              <w:jc w:val="left"/>
              <w:rPr>
                <w:rFonts w:ascii="宋体" w:hAnsi="宋体" w:cs="宋体" w:eastAsia="宋体" w:hint="default"/>
                <w:sz w:val="18"/>
                <w:szCs w:val="18"/>
              </w:rPr>
            </w:pPr>
            <w:r>
              <w:rPr>
                <w:rFonts w:ascii="宋体" w:hAnsi="宋体" w:cs="宋体" w:eastAsia="宋体" w:hint="default"/>
                <w:sz w:val="18"/>
                <w:szCs w:val="18"/>
              </w:rPr>
              <w:t>披露 索引</w:t>
            </w:r>
          </w:p>
        </w:tc>
      </w:tr>
      <w:tr>
        <w:trPr>
          <w:trHeight w:val="635" w:hRule="exact"/>
        </w:trPr>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 w:right="0"/>
              <w:jc w:val="left"/>
              <w:rPr>
                <w:rFonts w:ascii="宋体" w:hAnsi="宋体" w:cs="宋体" w:eastAsia="宋体" w:hint="default"/>
                <w:sz w:val="15"/>
                <w:szCs w:val="15"/>
              </w:rPr>
            </w:pPr>
            <w:r>
              <w:rPr>
                <w:rFonts w:ascii="宋体" w:hAnsi="宋体" w:cs="宋体" w:eastAsia="宋体" w:hint="default"/>
                <w:sz w:val="15"/>
                <w:szCs w:val="15"/>
              </w:rPr>
              <w:t>中电长城大厦项目</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 w:right="0"/>
              <w:jc w:val="center"/>
              <w:rPr>
                <w:rFonts w:ascii="宋体" w:hAnsi="宋体" w:cs="宋体" w:eastAsia="宋体" w:hint="default"/>
                <w:sz w:val="15"/>
                <w:szCs w:val="15"/>
              </w:rPr>
            </w:pPr>
            <w:r>
              <w:rPr>
                <w:rFonts w:ascii="宋体" w:hAnsi="宋体" w:cs="宋体" w:eastAsia="宋体" w:hint="default"/>
                <w:sz w:val="15"/>
                <w:szCs w:val="15"/>
              </w:rPr>
              <w:t>自建</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273" w:right="0"/>
              <w:jc w:val="left"/>
              <w:rPr>
                <w:rFonts w:ascii="宋体" w:hAnsi="宋体" w:cs="宋体" w:eastAsia="宋体" w:hint="default"/>
                <w:sz w:val="15"/>
                <w:szCs w:val="15"/>
              </w:rPr>
            </w:pPr>
            <w:r>
              <w:rPr>
                <w:rFonts w:ascii="宋体" w:hAnsi="宋体" w:cs="宋体" w:eastAsia="宋体" w:hint="default"/>
                <w:sz w:val="15"/>
                <w:szCs w:val="15"/>
              </w:rPr>
              <w:t>是</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其他</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right="0"/>
              <w:jc w:val="right"/>
              <w:rPr>
                <w:rFonts w:ascii="Times New Roman" w:hAnsi="Times New Roman" w:cs="Times New Roman" w:eastAsia="Times New Roman" w:hint="default"/>
                <w:sz w:val="15"/>
                <w:szCs w:val="15"/>
              </w:rPr>
            </w:pPr>
            <w:r>
              <w:rPr>
                <w:rFonts w:ascii="Times New Roman"/>
                <w:spacing w:val="-1"/>
                <w:sz w:val="15"/>
              </w:rPr>
              <w:t>333,785,912.78</w:t>
            </w:r>
          </w:p>
        </w:tc>
        <w:tc>
          <w:tcPr>
            <w:tcW w:w="1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right="-2"/>
              <w:jc w:val="right"/>
              <w:rPr>
                <w:rFonts w:ascii="Times New Roman" w:hAnsi="Times New Roman" w:cs="Times New Roman" w:eastAsia="Times New Roman" w:hint="default"/>
                <w:sz w:val="15"/>
                <w:szCs w:val="15"/>
              </w:rPr>
            </w:pPr>
            <w:r>
              <w:rPr>
                <w:rFonts w:ascii="Times New Roman"/>
                <w:spacing w:val="-1"/>
                <w:sz w:val="15"/>
              </w:rPr>
              <w:t>1,537,121,476.13</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自筹加贷款</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仍在进行中</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不适用</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2015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Times New Roman" w:hAnsi="Times New Roman" w:cs="Times New Roman" w:eastAsia="Times New Roman" w:hint="default"/>
                <w:spacing w:val="-6"/>
                <w:sz w:val="15"/>
                <w:szCs w:val="15"/>
              </w:rPr>
              <w:t>11</w:t>
            </w:r>
            <w:r>
              <w:rPr>
                <w:rFonts w:ascii="Times New Roman" w:hAnsi="Times New Roman" w:cs="Times New Roman" w:eastAsia="Times New Roman" w:hint="default"/>
                <w:sz w:val="15"/>
                <w:szCs w:val="15"/>
              </w:rPr>
            </w:r>
          </w:p>
          <w:p>
            <w:pPr>
              <w:pStyle w:val="TableParagraph"/>
              <w:spacing w:line="240" w:lineRule="auto" w:before="104"/>
              <w:ind w:left="1" w:right="0"/>
              <w:jc w:val="left"/>
              <w:rPr>
                <w:rFonts w:ascii="宋体" w:hAnsi="宋体" w:cs="宋体" w:eastAsia="宋体" w:hint="default"/>
                <w:sz w:val="15"/>
                <w:szCs w:val="15"/>
              </w:rPr>
            </w:pP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10 </w:t>
            </w:r>
            <w:r>
              <w:rPr>
                <w:rFonts w:ascii="宋体" w:hAnsi="宋体" w:cs="宋体" w:eastAsia="宋体" w:hint="default"/>
                <w:sz w:val="15"/>
                <w:szCs w:val="15"/>
              </w:rPr>
              <w:t>日</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1" w:right="0"/>
              <w:jc w:val="left"/>
              <w:rPr>
                <w:rFonts w:ascii="Times New Roman" w:hAnsi="Times New Roman" w:cs="Times New Roman" w:eastAsia="Times New Roman" w:hint="default"/>
                <w:sz w:val="15"/>
                <w:szCs w:val="15"/>
              </w:rPr>
            </w:pPr>
            <w:r>
              <w:rPr>
                <w:rFonts w:ascii="Times New Roman"/>
                <w:sz w:val="15"/>
              </w:rPr>
              <w:t>2015-078</w:t>
            </w:r>
          </w:p>
          <w:p>
            <w:pPr>
              <w:pStyle w:val="TableParagraph"/>
              <w:spacing w:line="240" w:lineRule="auto" w:before="105"/>
              <w:ind w:left="-1" w:right="0"/>
              <w:jc w:val="left"/>
              <w:rPr>
                <w:rFonts w:ascii="宋体" w:hAnsi="宋体" w:cs="宋体" w:eastAsia="宋体" w:hint="default"/>
                <w:sz w:val="15"/>
                <w:szCs w:val="15"/>
              </w:rPr>
            </w:pPr>
            <w:r>
              <w:rPr>
                <w:rFonts w:ascii="宋体" w:hAnsi="宋体" w:cs="宋体" w:eastAsia="宋体" w:hint="default"/>
                <w:sz w:val="15"/>
                <w:szCs w:val="15"/>
              </w:rPr>
              <w:t>号公告</w:t>
            </w:r>
          </w:p>
        </w:tc>
      </w:tr>
      <w:tr>
        <w:trPr>
          <w:trHeight w:val="634" w:hRule="exact"/>
        </w:trPr>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381" w:lineRule="auto" w:before="33"/>
              <w:ind w:left="-1" w:right="12"/>
              <w:jc w:val="left"/>
              <w:rPr>
                <w:rFonts w:ascii="宋体" w:hAnsi="宋体" w:cs="宋体" w:eastAsia="宋体" w:hint="default"/>
                <w:sz w:val="15"/>
                <w:szCs w:val="15"/>
              </w:rPr>
            </w:pPr>
            <w:r>
              <w:rPr>
                <w:rFonts w:ascii="宋体" w:hAnsi="宋体" w:cs="宋体" w:eastAsia="宋体" w:hint="default"/>
                <w:sz w:val="15"/>
                <w:szCs w:val="15"/>
              </w:rPr>
              <w:t>石岩基地三期网络安 全与信息化产业项目</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1" w:right="0"/>
              <w:jc w:val="center"/>
              <w:rPr>
                <w:rFonts w:ascii="宋体" w:hAnsi="宋体" w:cs="宋体" w:eastAsia="宋体" w:hint="default"/>
                <w:sz w:val="15"/>
                <w:szCs w:val="15"/>
              </w:rPr>
            </w:pPr>
            <w:r>
              <w:rPr>
                <w:rFonts w:ascii="宋体" w:hAnsi="宋体" w:cs="宋体" w:eastAsia="宋体" w:hint="default"/>
                <w:sz w:val="15"/>
                <w:szCs w:val="15"/>
              </w:rPr>
              <w:t>自建</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273" w:right="0"/>
              <w:jc w:val="left"/>
              <w:rPr>
                <w:rFonts w:ascii="宋体" w:hAnsi="宋体" w:cs="宋体" w:eastAsia="宋体" w:hint="default"/>
                <w:sz w:val="15"/>
                <w:szCs w:val="15"/>
              </w:rPr>
            </w:pPr>
            <w:r>
              <w:rPr>
                <w:rFonts w:ascii="宋体" w:hAnsi="宋体" w:cs="宋体" w:eastAsia="宋体" w:hint="default"/>
                <w:sz w:val="15"/>
                <w:szCs w:val="15"/>
              </w:rPr>
              <w:t>是</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381" w:lineRule="auto" w:before="33"/>
              <w:ind w:left="195" w:right="43" w:hanging="150"/>
              <w:jc w:val="left"/>
              <w:rPr>
                <w:rFonts w:ascii="宋体" w:hAnsi="宋体" w:cs="宋体" w:eastAsia="宋体" w:hint="default"/>
                <w:sz w:val="15"/>
                <w:szCs w:val="15"/>
              </w:rPr>
            </w:pPr>
            <w:r>
              <w:rPr>
                <w:rFonts w:ascii="宋体" w:hAnsi="宋体" w:cs="宋体" w:eastAsia="宋体" w:hint="default"/>
                <w:sz w:val="15"/>
                <w:szCs w:val="15"/>
              </w:rPr>
              <w:t>网络安全和 信息化</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right="0"/>
              <w:jc w:val="right"/>
              <w:rPr>
                <w:rFonts w:ascii="Times New Roman" w:hAnsi="Times New Roman" w:cs="Times New Roman" w:eastAsia="Times New Roman" w:hint="default"/>
                <w:sz w:val="15"/>
                <w:szCs w:val="15"/>
              </w:rPr>
            </w:pPr>
            <w:r>
              <w:rPr>
                <w:rFonts w:ascii="Times New Roman"/>
                <w:spacing w:val="-1"/>
                <w:sz w:val="15"/>
              </w:rPr>
              <w:t>647,581.90</w:t>
            </w:r>
          </w:p>
        </w:tc>
        <w:tc>
          <w:tcPr>
            <w:tcW w:w="1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right="-2"/>
              <w:jc w:val="right"/>
              <w:rPr>
                <w:rFonts w:ascii="Times New Roman" w:hAnsi="Times New Roman" w:cs="Times New Roman" w:eastAsia="Times New Roman" w:hint="default"/>
                <w:sz w:val="15"/>
                <w:szCs w:val="15"/>
              </w:rPr>
            </w:pPr>
            <w:r>
              <w:rPr>
                <w:rFonts w:ascii="Times New Roman"/>
                <w:spacing w:val="-1"/>
                <w:sz w:val="15"/>
              </w:rPr>
              <w:t>36,185,644.90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自筹</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仍在进行中</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不适用</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2018 </w:t>
            </w:r>
            <w:r>
              <w:rPr>
                <w:rFonts w:ascii="宋体" w:hAnsi="宋体" w:cs="宋体" w:eastAsia="宋体" w:hint="default"/>
                <w:sz w:val="15"/>
                <w:szCs w:val="15"/>
              </w:rPr>
              <w:t>年</w:t>
            </w:r>
            <w:r>
              <w:rPr>
                <w:rFonts w:ascii="宋体" w:hAnsi="宋体" w:cs="宋体" w:eastAsia="宋体" w:hint="default"/>
                <w:spacing w:val="-41"/>
                <w:sz w:val="15"/>
                <w:szCs w:val="15"/>
              </w:rPr>
              <w:t> </w:t>
            </w:r>
            <w:r>
              <w:rPr>
                <w:rFonts w:ascii="Times New Roman" w:hAnsi="Times New Roman" w:cs="Times New Roman" w:eastAsia="Times New Roman" w:hint="default"/>
                <w:sz w:val="15"/>
                <w:szCs w:val="15"/>
              </w:rPr>
              <w:t>08</w:t>
            </w:r>
          </w:p>
          <w:p>
            <w:pPr>
              <w:pStyle w:val="TableParagraph"/>
              <w:spacing w:line="240" w:lineRule="auto" w:before="104"/>
              <w:ind w:left="1" w:right="0"/>
              <w:jc w:val="left"/>
              <w:rPr>
                <w:rFonts w:ascii="宋体" w:hAnsi="宋体" w:cs="宋体" w:eastAsia="宋体" w:hint="default"/>
                <w:sz w:val="15"/>
                <w:szCs w:val="15"/>
              </w:rPr>
            </w:pP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31 </w:t>
            </w:r>
            <w:r>
              <w:rPr>
                <w:rFonts w:ascii="宋体" w:hAnsi="宋体" w:cs="宋体" w:eastAsia="宋体" w:hint="default"/>
                <w:sz w:val="15"/>
                <w:szCs w:val="15"/>
              </w:rPr>
              <w:t>日</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1" w:right="0"/>
              <w:jc w:val="left"/>
              <w:rPr>
                <w:rFonts w:ascii="Times New Roman" w:hAnsi="Times New Roman" w:cs="Times New Roman" w:eastAsia="Times New Roman" w:hint="default"/>
                <w:sz w:val="15"/>
                <w:szCs w:val="15"/>
              </w:rPr>
            </w:pPr>
            <w:r>
              <w:rPr>
                <w:rFonts w:ascii="Times New Roman"/>
                <w:sz w:val="15"/>
              </w:rPr>
              <w:t>2018-077</w:t>
            </w:r>
          </w:p>
          <w:p>
            <w:pPr>
              <w:pStyle w:val="TableParagraph"/>
              <w:spacing w:line="240" w:lineRule="auto" w:before="105"/>
              <w:ind w:left="-1" w:right="0"/>
              <w:jc w:val="left"/>
              <w:rPr>
                <w:rFonts w:ascii="宋体" w:hAnsi="宋体" w:cs="宋体" w:eastAsia="宋体" w:hint="default"/>
                <w:sz w:val="15"/>
                <w:szCs w:val="15"/>
              </w:rPr>
            </w:pPr>
            <w:r>
              <w:rPr>
                <w:rFonts w:ascii="宋体" w:hAnsi="宋体" w:cs="宋体" w:eastAsia="宋体" w:hint="default"/>
                <w:sz w:val="15"/>
                <w:szCs w:val="15"/>
              </w:rPr>
              <w:t>号公告</w:t>
            </w:r>
          </w:p>
        </w:tc>
      </w:tr>
      <w:tr>
        <w:trPr>
          <w:trHeight w:val="634" w:hRule="exact"/>
        </w:trPr>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381" w:lineRule="auto" w:before="33"/>
              <w:ind w:left="-1" w:right="12"/>
              <w:jc w:val="left"/>
              <w:rPr>
                <w:rFonts w:ascii="宋体" w:hAnsi="宋体" w:cs="宋体" w:eastAsia="宋体" w:hint="default"/>
                <w:sz w:val="15"/>
                <w:szCs w:val="15"/>
              </w:rPr>
            </w:pPr>
            <w:r>
              <w:rPr>
                <w:rFonts w:ascii="宋体" w:hAnsi="宋体" w:cs="宋体" w:eastAsia="宋体" w:hint="default"/>
                <w:sz w:val="15"/>
                <w:szCs w:val="15"/>
              </w:rPr>
              <w:t>汉南土地及地上房屋 建（构）筑物</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1" w:right="0"/>
              <w:jc w:val="center"/>
              <w:rPr>
                <w:rFonts w:ascii="宋体" w:hAnsi="宋体" w:cs="宋体" w:eastAsia="宋体" w:hint="default"/>
                <w:sz w:val="15"/>
                <w:szCs w:val="15"/>
              </w:rPr>
            </w:pPr>
            <w:r>
              <w:rPr>
                <w:rFonts w:ascii="宋体" w:hAnsi="宋体" w:cs="宋体" w:eastAsia="宋体" w:hint="default"/>
                <w:sz w:val="15"/>
                <w:szCs w:val="15"/>
              </w:rPr>
              <w:t>收购</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273" w:right="0"/>
              <w:jc w:val="left"/>
              <w:rPr>
                <w:rFonts w:ascii="宋体" w:hAnsi="宋体" w:cs="宋体" w:eastAsia="宋体" w:hint="default"/>
                <w:sz w:val="15"/>
                <w:szCs w:val="15"/>
              </w:rPr>
            </w:pPr>
            <w:r>
              <w:rPr>
                <w:rFonts w:ascii="宋体" w:hAnsi="宋体" w:cs="宋体" w:eastAsia="宋体" w:hint="default"/>
                <w:sz w:val="15"/>
                <w:szCs w:val="15"/>
              </w:rPr>
              <w:t>是</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pacing w:val="-10"/>
                <w:sz w:val="15"/>
                <w:szCs w:val="15"/>
              </w:rPr>
              <w:t>电源、锂电池</w:t>
            </w:r>
          </w:p>
        </w:tc>
        <w:tc>
          <w:tcPr>
            <w:tcW w:w="992" w:type="dxa"/>
            <w:tcBorders>
              <w:top w:val="single" w:sz="4" w:space="0" w:color="000000"/>
              <w:left w:val="single" w:sz="4" w:space="0" w:color="000000"/>
              <w:bottom w:val="single" w:sz="4" w:space="0" w:color="000000"/>
              <w:right w:val="single" w:sz="4" w:space="0" w:color="000000"/>
            </w:tcBorders>
          </w:tcPr>
          <w:p>
            <w:pPr/>
          </w:p>
        </w:tc>
        <w:tc>
          <w:tcPr>
            <w:tcW w:w="108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自筹</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仍在进行中</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不适用</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 w:right="0"/>
              <w:jc w:val="left"/>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2018 </w:t>
            </w:r>
            <w:r>
              <w:rPr>
                <w:rFonts w:ascii="宋体" w:hAnsi="宋体" w:cs="宋体" w:eastAsia="宋体" w:hint="default"/>
                <w:sz w:val="15"/>
                <w:szCs w:val="15"/>
              </w:rPr>
              <w:t>年</w:t>
            </w:r>
            <w:r>
              <w:rPr>
                <w:rFonts w:ascii="宋体" w:hAnsi="宋体" w:cs="宋体" w:eastAsia="宋体" w:hint="default"/>
                <w:spacing w:val="-41"/>
                <w:sz w:val="15"/>
                <w:szCs w:val="15"/>
              </w:rPr>
              <w:t> </w:t>
            </w:r>
            <w:r>
              <w:rPr>
                <w:rFonts w:ascii="Times New Roman" w:hAnsi="Times New Roman" w:cs="Times New Roman" w:eastAsia="Times New Roman" w:hint="default"/>
                <w:sz w:val="15"/>
                <w:szCs w:val="15"/>
              </w:rPr>
              <w:t>12</w:t>
            </w:r>
          </w:p>
          <w:p>
            <w:pPr>
              <w:pStyle w:val="TableParagraph"/>
              <w:spacing w:line="240" w:lineRule="auto" w:before="104"/>
              <w:ind w:left="1" w:right="0"/>
              <w:jc w:val="left"/>
              <w:rPr>
                <w:rFonts w:ascii="宋体" w:hAnsi="宋体" w:cs="宋体" w:eastAsia="宋体" w:hint="default"/>
                <w:sz w:val="15"/>
                <w:szCs w:val="15"/>
              </w:rPr>
            </w:pP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22 </w:t>
            </w:r>
            <w:r>
              <w:rPr>
                <w:rFonts w:ascii="宋体" w:hAnsi="宋体" w:cs="宋体" w:eastAsia="宋体" w:hint="default"/>
                <w:sz w:val="15"/>
                <w:szCs w:val="15"/>
              </w:rPr>
              <w:t>日</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1" w:right="0"/>
              <w:jc w:val="left"/>
              <w:rPr>
                <w:rFonts w:ascii="Times New Roman" w:hAnsi="Times New Roman" w:cs="Times New Roman" w:eastAsia="Times New Roman" w:hint="default"/>
                <w:sz w:val="15"/>
                <w:szCs w:val="15"/>
              </w:rPr>
            </w:pPr>
            <w:r>
              <w:rPr>
                <w:rFonts w:ascii="Times New Roman"/>
                <w:sz w:val="15"/>
              </w:rPr>
              <w:t>2018-110</w:t>
            </w:r>
          </w:p>
          <w:p>
            <w:pPr>
              <w:pStyle w:val="TableParagraph"/>
              <w:spacing w:line="240" w:lineRule="auto" w:before="105"/>
              <w:ind w:left="-1" w:right="0"/>
              <w:jc w:val="left"/>
              <w:rPr>
                <w:rFonts w:ascii="宋体" w:hAnsi="宋体" w:cs="宋体" w:eastAsia="宋体" w:hint="default"/>
                <w:sz w:val="15"/>
                <w:szCs w:val="15"/>
              </w:rPr>
            </w:pPr>
            <w:r>
              <w:rPr>
                <w:rFonts w:ascii="宋体" w:hAnsi="宋体" w:cs="宋体" w:eastAsia="宋体" w:hint="default"/>
                <w:sz w:val="15"/>
                <w:szCs w:val="15"/>
              </w:rPr>
              <w:t>号公告</w:t>
            </w:r>
          </w:p>
        </w:tc>
      </w:tr>
      <w:tr>
        <w:trPr>
          <w:trHeight w:val="403" w:hRule="exact"/>
        </w:trPr>
        <w:tc>
          <w:tcPr>
            <w:tcW w:w="137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5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2"/>
              <w:ind w:left="1" w:right="0"/>
              <w:jc w:val="center"/>
              <w:rPr>
                <w:rFonts w:ascii="Times New Roman" w:hAnsi="Times New Roman" w:cs="Times New Roman" w:eastAsia="Times New Roman" w:hint="default"/>
                <w:sz w:val="18"/>
                <w:szCs w:val="18"/>
              </w:rPr>
            </w:pPr>
            <w:r>
              <w:rPr>
                <w:rFonts w:ascii="Times New Roman"/>
                <w:sz w:val="18"/>
              </w:rPr>
              <w:t>--</w:t>
            </w:r>
          </w:p>
        </w:tc>
        <w:tc>
          <w:tcPr>
            <w:tcW w:w="70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2"/>
              <w:ind w:left="289" w:right="0"/>
              <w:jc w:val="left"/>
              <w:rPr>
                <w:rFonts w:ascii="Times New Roman" w:hAnsi="Times New Roman" w:cs="Times New Roman" w:eastAsia="Times New Roman" w:hint="default"/>
                <w:sz w:val="18"/>
                <w:szCs w:val="18"/>
              </w:rPr>
            </w:pPr>
            <w:r>
              <w:rPr>
                <w:rFonts w:ascii="Times New Roman"/>
                <w:sz w:val="18"/>
              </w:rPr>
              <w:t>--</w:t>
            </w:r>
          </w:p>
        </w:tc>
        <w:tc>
          <w:tcPr>
            <w:tcW w:w="85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0"/>
              <w:jc w:val="right"/>
              <w:rPr>
                <w:rFonts w:ascii="Times New Roman" w:hAnsi="Times New Roman" w:cs="Times New Roman" w:eastAsia="Times New Roman" w:hint="default"/>
                <w:sz w:val="15"/>
                <w:szCs w:val="15"/>
              </w:rPr>
            </w:pPr>
            <w:r>
              <w:rPr>
                <w:rFonts w:ascii="Times New Roman"/>
                <w:spacing w:val="-1"/>
                <w:sz w:val="15"/>
              </w:rPr>
              <w:t>334,433,494.68</w:t>
            </w:r>
          </w:p>
        </w:tc>
        <w:tc>
          <w:tcPr>
            <w:tcW w:w="1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
              <w:jc w:val="right"/>
              <w:rPr>
                <w:rFonts w:ascii="Times New Roman" w:hAnsi="Times New Roman" w:cs="Times New Roman" w:eastAsia="Times New Roman" w:hint="default"/>
                <w:sz w:val="15"/>
                <w:szCs w:val="15"/>
              </w:rPr>
            </w:pPr>
            <w:r>
              <w:rPr>
                <w:rFonts w:ascii="Times New Roman"/>
                <w:spacing w:val="-1"/>
                <w:sz w:val="15"/>
              </w:rPr>
              <w:t>1,573,307,121.03</w:t>
            </w:r>
          </w:p>
        </w:tc>
        <w:tc>
          <w:tcPr>
            <w:tcW w:w="85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c>
          <w:tcPr>
            <w:tcW w:w="85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w:t>
            </w:r>
          </w:p>
        </w:tc>
        <w:tc>
          <w:tcPr>
            <w:tcW w:w="9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c>
          <w:tcPr>
            <w:tcW w:w="70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2"/>
              <w:ind w:left="1" w:right="0"/>
              <w:jc w:val="center"/>
              <w:rPr>
                <w:rFonts w:ascii="Times New Roman" w:hAnsi="Times New Roman" w:cs="Times New Roman" w:eastAsia="Times New Roman" w:hint="default"/>
                <w:sz w:val="18"/>
                <w:szCs w:val="18"/>
              </w:rPr>
            </w:pPr>
            <w:r>
              <w:rPr>
                <w:rFonts w:ascii="Times New Roman"/>
                <w:sz w:val="18"/>
              </w:rPr>
              <w:t>--</w:t>
            </w:r>
          </w:p>
        </w:tc>
        <w:tc>
          <w:tcPr>
            <w:tcW w:w="66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r>
    </w:tbl>
    <w:p>
      <w:pPr>
        <w:spacing w:before="51"/>
        <w:ind w:left="894" w:right="0" w:firstLine="0"/>
        <w:jc w:val="left"/>
        <w:rPr>
          <w:rFonts w:ascii="宋体" w:hAnsi="宋体" w:cs="宋体" w:eastAsia="宋体" w:hint="default"/>
          <w:sz w:val="18"/>
          <w:szCs w:val="18"/>
        </w:rPr>
      </w:pPr>
      <w:r>
        <w:rPr>
          <w:rFonts w:ascii="宋体" w:hAnsi="宋体" w:cs="宋体" w:eastAsia="宋体" w:hint="default"/>
          <w:b/>
          <w:bCs/>
          <w:sz w:val="18"/>
          <w:szCs w:val="18"/>
        </w:rPr>
        <w:t>重大非股权投资情况说明</w:t>
      </w:r>
      <w:r>
        <w:rPr>
          <w:rFonts w:ascii="宋体" w:hAnsi="宋体" w:cs="宋体" w:eastAsia="宋体" w:hint="default"/>
          <w:sz w:val="18"/>
          <w:szCs w:val="18"/>
        </w:rPr>
      </w:r>
    </w:p>
    <w:p>
      <w:pPr>
        <w:spacing w:before="116"/>
        <w:ind w:left="1254"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）中电长城大厦项目</w:t>
      </w:r>
    </w:p>
    <w:p>
      <w:pPr>
        <w:spacing w:line="309" w:lineRule="auto" w:before="102"/>
        <w:ind w:left="893" w:right="1130" w:firstLine="360"/>
        <w:jc w:val="both"/>
        <w:rPr>
          <w:rFonts w:ascii="宋体" w:hAnsi="宋体" w:cs="宋体" w:eastAsia="宋体" w:hint="default"/>
          <w:sz w:val="18"/>
          <w:szCs w:val="18"/>
        </w:rPr>
      </w:pPr>
      <w:r>
        <w:rPr>
          <w:rFonts w:ascii="宋体" w:hAnsi="宋体" w:cs="宋体" w:eastAsia="宋体" w:hint="default"/>
          <w:sz w:val="18"/>
          <w:szCs w:val="18"/>
        </w:rPr>
        <w:t>鉴于公司自身发展的需求，经</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日公司第五届董事会、</w:t>
      </w: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1"/>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日公司</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年度第二次临时股东 </w:t>
      </w:r>
      <w:r>
        <w:rPr>
          <w:rFonts w:ascii="宋体" w:hAnsi="宋体" w:cs="宋体" w:eastAsia="宋体" w:hint="default"/>
          <w:spacing w:val="-2"/>
          <w:sz w:val="18"/>
          <w:szCs w:val="18"/>
        </w:rPr>
        <w:t>大会审议，同意公司于深圳市南山科技园区中国长城工业园内投资建设中电长城大厦，原项目建设投资预算为不超过人民币</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Times New Roman" w:hAnsi="Times New Roman" w:cs="Times New Roman" w:eastAsia="Times New Roman" w:hint="default"/>
          <w:sz w:val="18"/>
          <w:szCs w:val="18"/>
        </w:rPr>
        <w:t>19.33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亿元（具体内容详见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2013-030</w:t>
      </w:r>
      <w:r>
        <w:rPr>
          <w:rFonts w:ascii="Times New Roman" w:hAnsi="Times New Roman" w:cs="Times New Roman" w:eastAsia="Times New Roman" w:hint="default"/>
          <w:spacing w:val="-1"/>
          <w:sz w:val="18"/>
          <w:szCs w:val="18"/>
        </w:rPr>
        <w:t> </w:t>
      </w:r>
      <w:r>
        <w:rPr>
          <w:rFonts w:ascii="宋体" w:hAnsi="宋体" w:cs="宋体" w:eastAsia="宋体" w:hint="default"/>
          <w:spacing w:val="-18"/>
          <w:sz w:val="18"/>
          <w:szCs w:val="18"/>
        </w:rPr>
        <w:t>号公告）。</w:t>
      </w:r>
    </w:p>
    <w:p>
      <w:pPr>
        <w:spacing w:before="43"/>
        <w:ind w:left="1253"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随着项目的开发推进，综合考虑项目设计调整优化、市场条件及已实施项目的实际情况等各种因素，经</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52"/>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9</w:t>
      </w:r>
    </w:p>
    <w:p>
      <w:pPr>
        <w:spacing w:before="63"/>
        <w:ind w:left="893" w:right="0" w:firstLine="0"/>
        <w:jc w:val="left"/>
        <w:rPr>
          <w:rFonts w:ascii="宋体" w:hAnsi="宋体" w:cs="宋体" w:eastAsia="宋体" w:hint="default"/>
          <w:sz w:val="18"/>
          <w:szCs w:val="18"/>
        </w:rPr>
      </w:pPr>
      <w:r>
        <w:rPr>
          <w:rFonts w:ascii="宋体" w:hAnsi="宋体" w:cs="宋体" w:eastAsia="宋体" w:hint="default"/>
          <w:sz w:val="18"/>
          <w:szCs w:val="18"/>
        </w:rPr>
        <w:t>日公司第六届董事会、</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日公司</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年度第三次临时股东大会审议，同意对中电长城大厦项目追加投资，追</w:t>
      </w:r>
    </w:p>
    <w:p>
      <w:pPr>
        <w:spacing w:before="64"/>
        <w:ind w:left="893" w:right="0" w:firstLine="0"/>
        <w:jc w:val="left"/>
        <w:rPr>
          <w:rFonts w:ascii="宋体" w:hAnsi="宋体" w:cs="宋体" w:eastAsia="宋体" w:hint="default"/>
          <w:sz w:val="18"/>
          <w:szCs w:val="18"/>
        </w:rPr>
      </w:pPr>
      <w:r>
        <w:rPr>
          <w:rFonts w:ascii="宋体" w:hAnsi="宋体" w:cs="宋体" w:eastAsia="宋体" w:hint="default"/>
          <w:sz w:val="18"/>
          <w:szCs w:val="18"/>
        </w:rPr>
        <w:t>加后项目总投资不超过人民币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23.75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亿元，所需资金由公司自筹解决（具体内容详见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2015-078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号公告</w:t>
      </w:r>
      <w:r>
        <w:rPr>
          <w:rFonts w:ascii="宋体" w:hAnsi="宋体" w:cs="宋体" w:eastAsia="宋体" w:hint="default"/>
          <w:spacing w:val="-90"/>
          <w:sz w:val="18"/>
          <w:szCs w:val="18"/>
        </w:rPr>
        <w:t>）</w:t>
      </w:r>
      <w:r>
        <w:rPr>
          <w:rFonts w:ascii="宋体" w:hAnsi="宋体" w:cs="宋体" w:eastAsia="宋体" w:hint="default"/>
          <w:sz w:val="18"/>
          <w:szCs w:val="18"/>
        </w:rPr>
        <w:t>。</w:t>
      </w:r>
    </w:p>
    <w:p>
      <w:pPr>
        <w:spacing w:before="102"/>
        <w:ind w:left="12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月，中电长城大厦主体结构正式封顶。截至目前，中电长城大厦预售相关工作正在积极推进中。</w:t>
      </w:r>
    </w:p>
    <w:p>
      <w:pPr>
        <w:spacing w:before="103"/>
        <w:ind w:left="1254"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）石岩基地三期网络安全与信息化产业项目</w:t>
      </w:r>
    </w:p>
    <w:p>
      <w:pPr>
        <w:spacing w:before="101"/>
        <w:ind w:left="12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1"/>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5"/>
          <w:sz w:val="18"/>
          <w:szCs w:val="18"/>
        </w:rPr>
        <w:t> </w:t>
      </w:r>
      <w:r>
        <w:rPr>
          <w:rFonts w:ascii="宋体" w:hAnsi="宋体" w:cs="宋体" w:eastAsia="宋体" w:hint="default"/>
          <w:spacing w:val="-3"/>
          <w:sz w:val="18"/>
          <w:szCs w:val="18"/>
        </w:rPr>
        <w:t>日，经公司第五届董事会审议，同意公司对石岩基地三期项目建设立项，建筑总面积约</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14.16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万平方米，</w:t>
      </w:r>
    </w:p>
    <w:p>
      <w:pPr>
        <w:spacing w:line="302" w:lineRule="auto" w:before="63"/>
        <w:ind w:left="894" w:right="1121" w:firstLine="0"/>
        <w:jc w:val="left"/>
        <w:rPr>
          <w:rFonts w:ascii="宋体" w:hAnsi="宋体" w:cs="宋体" w:eastAsia="宋体" w:hint="default"/>
          <w:sz w:val="18"/>
          <w:szCs w:val="18"/>
        </w:rPr>
      </w:pPr>
      <w:r>
        <w:rPr>
          <w:rFonts w:ascii="宋体" w:hAnsi="宋体" w:cs="宋体" w:eastAsia="宋体" w:hint="default"/>
          <w:sz w:val="18"/>
          <w:szCs w:val="18"/>
        </w:rPr>
        <w:t>预计项目建设总投资约人民币</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4.7</w:t>
      </w:r>
      <w:r>
        <w:rPr>
          <w:rFonts w:ascii="Times New Roman" w:hAnsi="Times New Roman" w:cs="Times New Roman" w:eastAsia="Times New Roman" w:hint="default"/>
          <w:spacing w:val="5"/>
          <w:sz w:val="18"/>
          <w:szCs w:val="18"/>
        </w:rPr>
        <w:t> </w:t>
      </w:r>
      <w:r>
        <w:rPr>
          <w:rFonts w:ascii="宋体" w:hAnsi="宋体" w:cs="宋体" w:eastAsia="宋体" w:hint="default"/>
          <w:spacing w:val="-1"/>
          <w:sz w:val="18"/>
          <w:szCs w:val="18"/>
        </w:rPr>
        <w:t>亿元人民币（具体内容详见</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2012-004</w:t>
      </w:r>
      <w:r>
        <w:rPr>
          <w:rFonts w:ascii="Times New Roman" w:hAnsi="Times New Roman" w:cs="Times New Roman" w:eastAsia="Times New Roman" w:hint="default"/>
          <w:spacing w:val="6"/>
          <w:sz w:val="18"/>
          <w:szCs w:val="18"/>
        </w:rPr>
        <w:t> </w:t>
      </w:r>
      <w:r>
        <w:rPr>
          <w:rFonts w:ascii="宋体" w:hAnsi="宋体" w:cs="宋体" w:eastAsia="宋体" w:hint="default"/>
          <w:spacing w:val="-5"/>
          <w:sz w:val="18"/>
          <w:szCs w:val="18"/>
        </w:rPr>
        <w:t>号公告）。后续公司进入重大资产重组筹划、推进阶</w:t>
      </w:r>
      <w:r>
        <w:rPr>
          <w:rFonts w:ascii="宋体" w:hAnsi="宋体" w:cs="宋体" w:eastAsia="宋体" w:hint="default"/>
          <w:sz w:val="18"/>
          <w:szCs w:val="18"/>
        </w:rPr>
        <w:t> 段，前述基建项目用地需结合重大资产重组项目统筹安排。</w:t>
      </w:r>
    </w:p>
    <w:p>
      <w:pPr>
        <w:spacing w:line="316" w:lineRule="auto" w:before="68"/>
        <w:ind w:left="894" w:right="1120" w:firstLine="360"/>
        <w:jc w:val="left"/>
        <w:rPr>
          <w:rFonts w:ascii="宋体" w:hAnsi="宋体" w:cs="宋体" w:eastAsia="宋体" w:hint="default"/>
          <w:sz w:val="18"/>
          <w:szCs w:val="18"/>
        </w:rPr>
      </w:pPr>
      <w:r>
        <w:rPr>
          <w:rFonts w:ascii="宋体" w:hAnsi="宋体" w:cs="宋体" w:eastAsia="宋体" w:hint="default"/>
          <w:spacing w:val="-2"/>
          <w:sz w:val="18"/>
          <w:szCs w:val="18"/>
        </w:rPr>
        <w:t>为配合重组后的公司业务发展定位与需要，最大发挥公司所持有的深圳地区稀缺土地资源优势，创造更大综合效益，提</w:t>
      </w:r>
      <w:r>
        <w:rPr>
          <w:rFonts w:ascii="宋体" w:hAnsi="宋体" w:cs="宋体" w:eastAsia="宋体" w:hint="default"/>
          <w:sz w:val="18"/>
          <w:szCs w:val="18"/>
        </w:rPr>
        <w:t> </w:t>
      </w:r>
      <w:r>
        <w:rPr>
          <w:rFonts w:ascii="宋体" w:hAnsi="宋体" w:cs="宋体" w:eastAsia="宋体" w:hint="default"/>
          <w:spacing w:val="-4"/>
          <w:sz w:val="18"/>
          <w:szCs w:val="18"/>
        </w:rPr>
        <w:t>升核心竞争力，经</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日公司第七届董事会第五次会议审议，公司将原基建项目更新升级为“石岩基地三期网络</w:t>
      </w:r>
    </w:p>
    <w:p>
      <w:pPr>
        <w:spacing w:line="248" w:lineRule="exact" w:before="0"/>
        <w:ind w:left="894" w:right="0" w:firstLine="0"/>
        <w:jc w:val="left"/>
        <w:rPr>
          <w:rFonts w:ascii="宋体" w:hAnsi="宋体" w:cs="宋体" w:eastAsia="宋体" w:hint="default"/>
          <w:sz w:val="18"/>
          <w:szCs w:val="18"/>
        </w:rPr>
      </w:pPr>
      <w:r>
        <w:rPr>
          <w:rFonts w:ascii="宋体" w:hAnsi="宋体" w:cs="宋体" w:eastAsia="宋体" w:hint="default"/>
          <w:sz w:val="18"/>
          <w:szCs w:val="18"/>
        </w:rPr>
        <w:t>安全与信息化产业项目</w:t>
      </w:r>
      <w:r>
        <w:rPr>
          <w:rFonts w:ascii="宋体" w:hAnsi="宋体" w:cs="宋体" w:eastAsia="宋体" w:hint="default"/>
          <w:spacing w:val="-90"/>
          <w:sz w:val="18"/>
          <w:szCs w:val="18"/>
        </w:rPr>
        <w:t>”</w:t>
      </w:r>
      <w:r>
        <w:rPr>
          <w:rFonts w:ascii="宋体" w:hAnsi="宋体" w:cs="宋体" w:eastAsia="宋体" w:hint="default"/>
          <w:sz w:val="18"/>
          <w:szCs w:val="18"/>
        </w:rPr>
        <w:t>，建设地址不变，建筑总面积约</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14.86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万平方米，预计项目建设总投资约人民币</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7.52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亿元（具体内</w:t>
      </w:r>
    </w:p>
    <w:p>
      <w:pPr>
        <w:spacing w:line="340" w:lineRule="auto" w:before="64"/>
        <w:ind w:left="1254" w:right="7870" w:hanging="360"/>
        <w:jc w:val="left"/>
        <w:rPr>
          <w:rFonts w:ascii="宋体" w:hAnsi="宋体" w:cs="宋体" w:eastAsia="宋体" w:hint="default"/>
          <w:sz w:val="18"/>
          <w:szCs w:val="18"/>
        </w:rPr>
      </w:pPr>
      <w:r>
        <w:rPr>
          <w:rFonts w:ascii="宋体" w:hAnsi="宋体" w:cs="宋体" w:eastAsia="宋体" w:hint="default"/>
          <w:sz w:val="18"/>
          <w:szCs w:val="18"/>
        </w:rPr>
        <w:t>容详见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2018-077</w:t>
      </w:r>
      <w:r>
        <w:rPr>
          <w:rFonts w:ascii="Times New Roman" w:hAnsi="Times New Roman" w:cs="Times New Roman" w:eastAsia="Times New Roman" w:hint="default"/>
          <w:spacing w:val="-1"/>
          <w:sz w:val="18"/>
          <w:szCs w:val="18"/>
        </w:rPr>
        <w:t> </w:t>
      </w:r>
      <w:r>
        <w:rPr>
          <w:rFonts w:ascii="宋体" w:hAnsi="宋体" w:cs="宋体" w:eastAsia="宋体" w:hint="default"/>
          <w:spacing w:val="-18"/>
          <w:sz w:val="18"/>
          <w:szCs w:val="18"/>
        </w:rPr>
        <w:t>号公告）。</w:t>
      </w:r>
      <w:r>
        <w:rPr>
          <w:rFonts w:ascii="宋体" w:hAnsi="宋体" w:cs="宋体" w:eastAsia="宋体" w:hint="default"/>
          <w:sz w:val="18"/>
          <w:szCs w:val="18"/>
        </w:rPr>
        <w:t> 截至目前，该项目仍在进行中。</w:t>
      </w:r>
    </w:p>
    <w:p>
      <w:pPr>
        <w:spacing w:line="338" w:lineRule="auto" w:before="40"/>
        <w:ind w:left="1254"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）购买土地使用权及地上房屋建（构）筑物 </w:t>
      </w:r>
      <w:r>
        <w:rPr>
          <w:rFonts w:ascii="宋体" w:hAnsi="宋体" w:cs="宋体" w:eastAsia="宋体" w:hint="default"/>
          <w:spacing w:val="-2"/>
          <w:sz w:val="18"/>
          <w:szCs w:val="18"/>
        </w:rPr>
        <w:t>武汉中原长江科技发展有限公司（简称“长江科技”，为中原电子全资子公司）为保障生产经营场所的稳定，夯实资产</w:t>
      </w:r>
    </w:p>
    <w:p>
      <w:pPr>
        <w:spacing w:before="2"/>
        <w:ind w:left="893" w:right="0" w:firstLine="0"/>
        <w:jc w:val="left"/>
        <w:rPr>
          <w:rFonts w:ascii="宋体" w:hAnsi="宋体" w:cs="宋体" w:eastAsia="宋体" w:hint="default"/>
          <w:sz w:val="18"/>
          <w:szCs w:val="18"/>
        </w:rPr>
      </w:pPr>
      <w:r>
        <w:rPr>
          <w:rFonts w:ascii="宋体" w:hAnsi="宋体" w:cs="宋体" w:eastAsia="宋体" w:hint="default"/>
          <w:sz w:val="18"/>
          <w:szCs w:val="18"/>
        </w:rPr>
        <w:t>基础</w:t>
      </w:r>
      <w:r>
        <w:rPr>
          <w:rFonts w:ascii="宋体" w:hAnsi="宋体" w:cs="宋体" w:eastAsia="宋体" w:hint="default"/>
          <w:spacing w:val="-17"/>
          <w:sz w:val="18"/>
          <w:szCs w:val="18"/>
        </w:rPr>
        <w:t>，</w:t>
      </w:r>
      <w:r>
        <w:rPr>
          <w:rFonts w:ascii="宋体" w:hAnsi="宋体" w:cs="宋体" w:eastAsia="宋体" w:hint="default"/>
          <w:sz w:val="18"/>
          <w:szCs w:val="18"/>
        </w:rPr>
        <w:t>且武汉长江电源有限公</w:t>
      </w:r>
      <w:r>
        <w:rPr>
          <w:rFonts w:ascii="宋体" w:hAnsi="宋体" w:cs="宋体" w:eastAsia="宋体" w:hint="default"/>
          <w:spacing w:val="-17"/>
          <w:sz w:val="18"/>
          <w:szCs w:val="18"/>
        </w:rPr>
        <w:t>司</w:t>
      </w:r>
      <w:r>
        <w:rPr>
          <w:rFonts w:ascii="宋体" w:hAnsi="宋体" w:cs="宋体" w:eastAsia="宋体" w:hint="default"/>
          <w:sz w:val="18"/>
          <w:szCs w:val="18"/>
        </w:rPr>
        <w:t>（简</w:t>
      </w:r>
      <w:r>
        <w:rPr>
          <w:rFonts w:ascii="宋体" w:hAnsi="宋体" w:cs="宋体" w:eastAsia="宋体" w:hint="default"/>
          <w:spacing w:val="-17"/>
          <w:sz w:val="18"/>
          <w:szCs w:val="18"/>
        </w:rPr>
        <w:t>称</w:t>
      </w:r>
      <w:r>
        <w:rPr>
          <w:rFonts w:ascii="宋体" w:hAnsi="宋体" w:cs="宋体" w:eastAsia="宋体" w:hint="default"/>
          <w:sz w:val="18"/>
          <w:szCs w:val="18"/>
        </w:rPr>
        <w:t>“</w:t>
      </w:r>
      <w:r>
        <w:rPr>
          <w:rFonts w:ascii="宋体" w:hAnsi="宋体" w:cs="宋体" w:eastAsia="宋体" w:hint="default"/>
          <w:spacing w:val="1"/>
          <w:sz w:val="18"/>
          <w:szCs w:val="18"/>
        </w:rPr>
        <w:t>长</w:t>
      </w:r>
      <w:r>
        <w:rPr>
          <w:rFonts w:ascii="宋体" w:hAnsi="宋体" w:cs="宋体" w:eastAsia="宋体" w:hint="default"/>
          <w:sz w:val="18"/>
          <w:szCs w:val="18"/>
        </w:rPr>
        <w:t>江电源</w:t>
      </w:r>
      <w:r>
        <w:rPr>
          <w:rFonts w:ascii="宋体" w:hAnsi="宋体" w:cs="宋体" w:eastAsia="宋体" w:hint="default"/>
          <w:spacing w:val="-90"/>
          <w:sz w:val="18"/>
          <w:szCs w:val="18"/>
        </w:rPr>
        <w:t>”</w:t>
      </w:r>
      <w:r>
        <w:rPr>
          <w:rFonts w:ascii="宋体" w:hAnsi="宋体" w:cs="宋体" w:eastAsia="宋体" w:hint="default"/>
          <w:spacing w:val="-17"/>
          <w:sz w:val="18"/>
          <w:szCs w:val="18"/>
        </w:rPr>
        <w:t>）</w:t>
      </w:r>
      <w:r>
        <w:rPr>
          <w:rFonts w:ascii="宋体" w:hAnsi="宋体" w:cs="宋体" w:eastAsia="宋体" w:hint="default"/>
          <w:sz w:val="18"/>
          <w:szCs w:val="18"/>
        </w:rPr>
        <w:t>也有意向出售</w:t>
      </w:r>
      <w:r>
        <w:rPr>
          <w:rFonts w:ascii="宋体" w:hAnsi="宋体" w:cs="宋体" w:eastAsia="宋体" w:hint="default"/>
          <w:spacing w:val="-17"/>
          <w:sz w:val="18"/>
          <w:szCs w:val="18"/>
        </w:rPr>
        <w:t>，</w:t>
      </w:r>
      <w:r>
        <w:rPr>
          <w:rFonts w:ascii="宋体" w:hAnsi="宋体" w:cs="宋体" w:eastAsia="宋体" w:hint="default"/>
          <w:sz w:val="18"/>
          <w:szCs w:val="18"/>
        </w:rPr>
        <w:t>经</w:t>
      </w:r>
      <w:r>
        <w:rPr>
          <w:rFonts w:ascii="宋体" w:hAnsi="宋体" w:cs="宋体" w:eastAsia="宋体" w:hint="default"/>
          <w:spacing w:val="-46"/>
          <w:sz w:val="18"/>
          <w:szCs w:val="18"/>
        </w:rPr>
        <w:t> </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z w:val="18"/>
          <w:szCs w:val="18"/>
        </w:rPr>
        <w:t>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 </w:t>
      </w:r>
      <w:r>
        <w:rPr>
          <w:rFonts w:ascii="宋体" w:hAnsi="宋体" w:cs="宋体" w:eastAsia="宋体" w:hint="default"/>
          <w:sz w:val="18"/>
          <w:szCs w:val="18"/>
        </w:rPr>
        <w:t>日公司第七届董事会第十一次会议</w:t>
      </w:r>
    </w:p>
    <w:p>
      <w:pPr>
        <w:spacing w:before="63"/>
        <w:ind w:left="893" w:right="0" w:firstLine="0"/>
        <w:jc w:val="left"/>
        <w:rPr>
          <w:rFonts w:ascii="宋体" w:hAnsi="宋体" w:cs="宋体" w:eastAsia="宋体" w:hint="default"/>
          <w:sz w:val="18"/>
          <w:szCs w:val="18"/>
        </w:rPr>
      </w:pPr>
      <w:r>
        <w:rPr>
          <w:rFonts w:ascii="宋体" w:hAnsi="宋体" w:cs="宋体" w:eastAsia="宋体" w:hint="default"/>
          <w:sz w:val="18"/>
          <w:szCs w:val="18"/>
        </w:rPr>
        <w:t>审议，同意长江科技就购买长江电源所拥有的位于湖北省武汉市汉南区兴三路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231 </w:t>
      </w:r>
      <w:r>
        <w:rPr>
          <w:rFonts w:ascii="宋体" w:hAnsi="宋体" w:cs="宋体" w:eastAsia="宋体" w:hint="default"/>
          <w:sz w:val="18"/>
          <w:szCs w:val="18"/>
        </w:rPr>
        <w:t>号土地使用权及该宗土地上房屋建（构）</w:t>
      </w:r>
    </w:p>
    <w:p>
      <w:pPr>
        <w:spacing w:line="348" w:lineRule="auto" w:before="64"/>
        <w:ind w:left="1254" w:right="2290" w:hanging="360"/>
        <w:jc w:val="left"/>
        <w:rPr>
          <w:rFonts w:ascii="宋体" w:hAnsi="宋体" w:cs="宋体" w:eastAsia="宋体" w:hint="default"/>
          <w:sz w:val="18"/>
          <w:szCs w:val="18"/>
        </w:rPr>
      </w:pPr>
      <w:r>
        <w:rPr>
          <w:rFonts w:ascii="宋体" w:hAnsi="宋体" w:cs="宋体" w:eastAsia="宋体" w:hint="default"/>
          <w:spacing w:val="-4"/>
          <w:sz w:val="18"/>
          <w:szCs w:val="18"/>
        </w:rPr>
        <w:t>筑物事宜与对方签署《不动产转让合同》（具体内容详见</w:t>
      </w:r>
      <w:r>
        <w:rPr>
          <w:rFonts w:ascii="宋体" w:hAnsi="宋体" w:cs="宋体" w:eastAsia="宋体" w:hint="default"/>
          <w:spacing w:val="-46"/>
          <w:sz w:val="18"/>
          <w:szCs w:val="18"/>
        </w:rPr>
        <w:t> </w:t>
      </w:r>
      <w:r>
        <w:rPr>
          <w:rFonts w:ascii="Times New Roman" w:hAnsi="Times New Roman" w:cs="Times New Roman" w:eastAsia="Times New Roman" w:hint="default"/>
          <w:spacing w:val="-1"/>
          <w:sz w:val="18"/>
          <w:szCs w:val="18"/>
        </w:rPr>
        <w:t>2018-110 </w:t>
      </w:r>
      <w:r>
        <w:rPr>
          <w:rFonts w:ascii="宋体" w:hAnsi="宋体" w:cs="宋体" w:eastAsia="宋体" w:hint="default"/>
          <w:spacing w:val="-18"/>
          <w:sz w:val="18"/>
          <w:szCs w:val="18"/>
        </w:rPr>
        <w:t>号公告）。</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截至目前，该项目仍在进行中。 其他非股权投资情况参见第五节“其他重大事项的说明”以及“公司子公司重大事项”中的相关介绍。</w:t>
      </w:r>
    </w:p>
    <w:p>
      <w:pPr>
        <w:spacing w:line="240" w:lineRule="auto" w:before="13"/>
        <w:rPr>
          <w:rFonts w:ascii="宋体" w:hAnsi="宋体" w:cs="宋体" w:eastAsia="宋体" w:hint="default"/>
          <w:sz w:val="15"/>
          <w:szCs w:val="15"/>
        </w:rPr>
      </w:pPr>
    </w:p>
    <w:p>
      <w:pPr>
        <w:pStyle w:val="Heading5"/>
        <w:spacing w:line="240" w:lineRule="auto" w:before="0"/>
        <w:ind w:left="894" w:right="0"/>
        <w:jc w:val="left"/>
        <w:rPr>
          <w:b w:val="0"/>
          <w:bCs w:val="0"/>
        </w:rPr>
      </w:pPr>
      <w:r>
        <w:rPr>
          <w:rFonts w:ascii="Times New Roman" w:hAnsi="Times New Roman" w:cs="Times New Roman" w:eastAsia="Times New Roman" w:hint="default"/>
        </w:rPr>
        <w:t>4</w:t>
      </w:r>
      <w:r>
        <w:rPr/>
        <w:t>、金融资产投资</w:t>
      </w:r>
      <w:r>
        <w:rPr>
          <w:b w:val="0"/>
          <w:bCs w:val="0"/>
        </w:rPr>
      </w:r>
    </w:p>
    <w:p>
      <w:pPr>
        <w:spacing w:line="240" w:lineRule="auto" w:before="13"/>
        <w:rPr>
          <w:rFonts w:ascii="宋体" w:hAnsi="宋体" w:cs="宋体" w:eastAsia="宋体" w:hint="default"/>
          <w:b/>
          <w:bCs/>
          <w:sz w:val="19"/>
          <w:szCs w:val="19"/>
        </w:rPr>
      </w:pPr>
    </w:p>
    <w:p>
      <w:pPr>
        <w:pStyle w:val="Heading5"/>
        <w:spacing w:line="240" w:lineRule="auto" w:before="0"/>
        <w:ind w:left="894" w:right="0"/>
        <w:jc w:val="left"/>
        <w:rPr>
          <w:b w:val="0"/>
          <w:bCs w:val="0"/>
        </w:rPr>
      </w:pPr>
      <w:r>
        <w:rPr/>
        <w:t>（</w:t>
      </w:r>
      <w:r>
        <w:rPr>
          <w:rFonts w:ascii="Times New Roman" w:hAnsi="Times New Roman" w:cs="Times New Roman" w:eastAsia="Times New Roman" w:hint="default"/>
        </w:rPr>
        <w:t>1</w:t>
      </w:r>
      <w:r>
        <w:rPr/>
        <w:t>）证券投资情况</w:t>
      </w:r>
      <w:r>
        <w:rPr>
          <w:b w:val="0"/>
          <w:bCs w:val="0"/>
        </w:rPr>
      </w:r>
    </w:p>
    <w:p>
      <w:pPr>
        <w:spacing w:line="240" w:lineRule="auto" w:before="8"/>
        <w:rPr>
          <w:rFonts w:ascii="宋体" w:hAnsi="宋体" w:cs="宋体" w:eastAsia="宋体" w:hint="default"/>
          <w:b/>
          <w:bCs/>
          <w:sz w:val="18"/>
          <w:szCs w:val="18"/>
        </w:rPr>
      </w:pPr>
    </w:p>
    <w:p>
      <w:pPr>
        <w:spacing w:before="44"/>
        <w:ind w:left="89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before="116"/>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after="0"/>
        <w:jc w:val="right"/>
        <w:rPr>
          <w:rFonts w:ascii="宋体" w:hAnsi="宋体" w:cs="宋体" w:eastAsia="宋体" w:hint="default"/>
          <w:sz w:val="18"/>
          <w:szCs w:val="18"/>
        </w:rPr>
        <w:sectPr>
          <w:pgSz w:w="11910" w:h="16840"/>
          <w:pgMar w:header="787" w:footer="982" w:top="1100" w:bottom="1180" w:left="240" w:right="0"/>
        </w:sectPr>
      </w:pPr>
    </w:p>
    <w:p>
      <w:pPr>
        <w:spacing w:line="240" w:lineRule="auto" w:before="5"/>
        <w:rPr>
          <w:rFonts w:ascii="宋体" w:hAnsi="宋体" w:cs="宋体" w:eastAsia="宋体" w:hint="default"/>
          <w:sz w:val="25"/>
          <w:szCs w:val="25"/>
        </w:rPr>
      </w:pPr>
    </w:p>
    <w:tbl>
      <w:tblPr>
        <w:tblW w:w="0" w:type="auto"/>
        <w:jc w:val="left"/>
        <w:tblInd w:w="112" w:type="dxa"/>
        <w:tblLayout w:type="fixed"/>
        <w:tblCellMar>
          <w:top w:w="0" w:type="dxa"/>
          <w:left w:w="0" w:type="dxa"/>
          <w:bottom w:w="0" w:type="dxa"/>
          <w:right w:w="0" w:type="dxa"/>
        </w:tblCellMar>
        <w:tblLook w:val="01E0"/>
      </w:tblPr>
      <w:tblGrid>
        <w:gridCol w:w="481"/>
        <w:gridCol w:w="1024"/>
        <w:gridCol w:w="900"/>
        <w:gridCol w:w="900"/>
        <w:gridCol w:w="588"/>
        <w:gridCol w:w="1009"/>
        <w:gridCol w:w="900"/>
        <w:gridCol w:w="1080"/>
        <w:gridCol w:w="474"/>
        <w:gridCol w:w="943"/>
        <w:gridCol w:w="919"/>
        <w:gridCol w:w="996"/>
        <w:gridCol w:w="596"/>
        <w:gridCol w:w="540"/>
      </w:tblGrid>
      <w:tr>
        <w:trPr>
          <w:trHeight w:val="634" w:hRule="exact"/>
        </w:trPr>
        <w:tc>
          <w:tcPr>
            <w:tcW w:w="48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81" w:lineRule="auto" w:before="33"/>
              <w:ind w:left="85" w:right="84"/>
              <w:jc w:val="left"/>
              <w:rPr>
                <w:rFonts w:ascii="宋体" w:hAnsi="宋体" w:cs="宋体" w:eastAsia="宋体" w:hint="default"/>
                <w:sz w:val="15"/>
                <w:szCs w:val="15"/>
              </w:rPr>
            </w:pPr>
            <w:r>
              <w:rPr>
                <w:rFonts w:ascii="宋体" w:hAnsi="宋体" w:cs="宋体" w:eastAsia="宋体" w:hint="default"/>
                <w:sz w:val="15"/>
                <w:szCs w:val="15"/>
              </w:rPr>
              <w:t>证券 品种</w:t>
            </w:r>
          </w:p>
        </w:tc>
        <w:tc>
          <w:tcPr>
            <w:tcW w:w="102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207" w:right="0"/>
              <w:jc w:val="left"/>
              <w:rPr>
                <w:rFonts w:ascii="宋体" w:hAnsi="宋体" w:cs="宋体" w:eastAsia="宋体" w:hint="default"/>
                <w:sz w:val="15"/>
                <w:szCs w:val="15"/>
              </w:rPr>
            </w:pPr>
            <w:r>
              <w:rPr>
                <w:rFonts w:ascii="宋体" w:hAnsi="宋体" w:cs="宋体" w:eastAsia="宋体" w:hint="default"/>
                <w:sz w:val="15"/>
                <w:szCs w:val="15"/>
              </w:rPr>
              <w:t>证券代码</w:t>
            </w:r>
          </w:p>
        </w:tc>
        <w:tc>
          <w:tcPr>
            <w:tcW w:w="90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145" w:right="0"/>
              <w:jc w:val="left"/>
              <w:rPr>
                <w:rFonts w:ascii="宋体" w:hAnsi="宋体" w:cs="宋体" w:eastAsia="宋体" w:hint="default"/>
                <w:sz w:val="15"/>
                <w:szCs w:val="15"/>
              </w:rPr>
            </w:pPr>
            <w:r>
              <w:rPr>
                <w:rFonts w:ascii="宋体" w:hAnsi="宋体" w:cs="宋体" w:eastAsia="宋体" w:hint="default"/>
                <w:sz w:val="15"/>
                <w:szCs w:val="15"/>
              </w:rPr>
              <w:t>证券简称</w:t>
            </w:r>
          </w:p>
        </w:tc>
        <w:tc>
          <w:tcPr>
            <w:tcW w:w="90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81" w:lineRule="auto" w:before="33"/>
              <w:ind w:left="295" w:right="143" w:hanging="150"/>
              <w:jc w:val="left"/>
              <w:rPr>
                <w:rFonts w:ascii="宋体" w:hAnsi="宋体" w:cs="宋体" w:eastAsia="宋体" w:hint="default"/>
                <w:sz w:val="15"/>
                <w:szCs w:val="15"/>
              </w:rPr>
            </w:pPr>
            <w:r>
              <w:rPr>
                <w:rFonts w:ascii="宋体" w:hAnsi="宋体" w:cs="宋体" w:eastAsia="宋体" w:hint="default"/>
                <w:sz w:val="15"/>
                <w:szCs w:val="15"/>
              </w:rPr>
              <w:t>最初投资 成本</w:t>
            </w:r>
          </w:p>
        </w:tc>
        <w:tc>
          <w:tcPr>
            <w:tcW w:w="5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81" w:lineRule="auto" w:before="33"/>
              <w:ind w:left="63" w:right="62"/>
              <w:jc w:val="left"/>
              <w:rPr>
                <w:rFonts w:ascii="宋体" w:hAnsi="宋体" w:cs="宋体" w:eastAsia="宋体" w:hint="default"/>
                <w:sz w:val="15"/>
                <w:szCs w:val="15"/>
              </w:rPr>
            </w:pPr>
            <w:r>
              <w:rPr>
                <w:rFonts w:ascii="宋体" w:hAnsi="宋体" w:cs="宋体" w:eastAsia="宋体" w:hint="default"/>
                <w:sz w:val="15"/>
                <w:szCs w:val="15"/>
              </w:rPr>
              <w:t>会计计 量模式</w:t>
            </w:r>
          </w:p>
        </w:tc>
        <w:tc>
          <w:tcPr>
            <w:tcW w:w="100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48"/>
              <w:jc w:val="right"/>
              <w:rPr>
                <w:rFonts w:ascii="宋体" w:hAnsi="宋体" w:cs="宋体" w:eastAsia="宋体" w:hint="default"/>
                <w:sz w:val="15"/>
                <w:szCs w:val="15"/>
              </w:rPr>
            </w:pPr>
            <w:r>
              <w:rPr>
                <w:rFonts w:ascii="宋体" w:hAnsi="宋体" w:cs="宋体" w:eastAsia="宋体" w:hint="default"/>
                <w:sz w:val="15"/>
                <w:szCs w:val="15"/>
              </w:rPr>
              <w:t>期初账面价值</w:t>
            </w:r>
          </w:p>
        </w:tc>
        <w:tc>
          <w:tcPr>
            <w:tcW w:w="90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81" w:lineRule="auto" w:before="33"/>
              <w:ind w:left="69" w:right="68"/>
              <w:jc w:val="left"/>
              <w:rPr>
                <w:rFonts w:ascii="宋体" w:hAnsi="宋体" w:cs="宋体" w:eastAsia="宋体" w:hint="default"/>
                <w:sz w:val="15"/>
                <w:szCs w:val="15"/>
              </w:rPr>
            </w:pPr>
            <w:r>
              <w:rPr>
                <w:rFonts w:ascii="宋体" w:hAnsi="宋体" w:cs="宋体" w:eastAsia="宋体" w:hint="default"/>
                <w:sz w:val="15"/>
                <w:szCs w:val="15"/>
              </w:rPr>
              <w:t>本期公允价 值变动损益</w:t>
            </w:r>
          </w:p>
        </w:tc>
        <w:tc>
          <w:tcPr>
            <w:tcW w:w="1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81" w:lineRule="auto" w:before="33"/>
              <w:ind w:left="85" w:right="8" w:hanging="76"/>
              <w:jc w:val="left"/>
              <w:rPr>
                <w:rFonts w:ascii="宋体" w:hAnsi="宋体" w:cs="宋体" w:eastAsia="宋体" w:hint="default"/>
                <w:sz w:val="15"/>
                <w:szCs w:val="15"/>
              </w:rPr>
            </w:pPr>
            <w:r>
              <w:rPr>
                <w:rFonts w:ascii="宋体" w:hAnsi="宋体" w:cs="宋体" w:eastAsia="宋体" w:hint="default"/>
                <w:sz w:val="15"/>
                <w:szCs w:val="15"/>
              </w:rPr>
              <w:t>计入权益的累计 公允价值变动</w:t>
            </w:r>
          </w:p>
        </w:tc>
        <w:tc>
          <w:tcPr>
            <w:tcW w:w="47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81" w:lineRule="auto" w:before="33"/>
              <w:ind w:left="7" w:right="5"/>
              <w:jc w:val="left"/>
              <w:rPr>
                <w:rFonts w:ascii="宋体" w:hAnsi="宋体" w:cs="宋体" w:eastAsia="宋体" w:hint="default"/>
                <w:sz w:val="15"/>
                <w:szCs w:val="15"/>
              </w:rPr>
            </w:pPr>
            <w:r>
              <w:rPr>
                <w:rFonts w:ascii="宋体" w:hAnsi="宋体" w:cs="宋体" w:eastAsia="宋体" w:hint="default"/>
                <w:sz w:val="15"/>
                <w:szCs w:val="15"/>
              </w:rPr>
              <w:t>本期购 买金额</w:t>
            </w:r>
          </w:p>
        </w:tc>
        <w:tc>
          <w:tcPr>
            <w:tcW w:w="94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17"/>
              <w:jc w:val="right"/>
              <w:rPr>
                <w:rFonts w:ascii="宋体" w:hAnsi="宋体" w:cs="宋体" w:eastAsia="宋体" w:hint="default"/>
                <w:sz w:val="15"/>
                <w:szCs w:val="15"/>
              </w:rPr>
            </w:pPr>
            <w:r>
              <w:rPr>
                <w:rFonts w:ascii="宋体" w:hAnsi="宋体" w:cs="宋体" w:eastAsia="宋体" w:hint="default"/>
                <w:sz w:val="15"/>
                <w:szCs w:val="15"/>
              </w:rPr>
              <w:t>本期出售金额</w:t>
            </w:r>
          </w:p>
        </w:tc>
        <w:tc>
          <w:tcPr>
            <w:tcW w:w="91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79" w:right="0"/>
              <w:jc w:val="left"/>
              <w:rPr>
                <w:rFonts w:ascii="宋体" w:hAnsi="宋体" w:cs="宋体" w:eastAsia="宋体" w:hint="default"/>
                <w:sz w:val="15"/>
                <w:szCs w:val="15"/>
              </w:rPr>
            </w:pPr>
            <w:r>
              <w:rPr>
                <w:rFonts w:ascii="宋体" w:hAnsi="宋体" w:cs="宋体" w:eastAsia="宋体" w:hint="default"/>
                <w:sz w:val="15"/>
                <w:szCs w:val="15"/>
              </w:rPr>
              <w:t>报告期损益</w:t>
            </w:r>
          </w:p>
        </w:tc>
        <w:tc>
          <w:tcPr>
            <w:tcW w:w="9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41"/>
              <w:jc w:val="right"/>
              <w:rPr>
                <w:rFonts w:ascii="宋体" w:hAnsi="宋体" w:cs="宋体" w:eastAsia="宋体" w:hint="default"/>
                <w:sz w:val="15"/>
                <w:szCs w:val="15"/>
              </w:rPr>
            </w:pPr>
            <w:r>
              <w:rPr>
                <w:rFonts w:ascii="宋体" w:hAnsi="宋体" w:cs="宋体" w:eastAsia="宋体" w:hint="default"/>
                <w:sz w:val="15"/>
                <w:szCs w:val="15"/>
              </w:rPr>
              <w:t>期末账面价值</w:t>
            </w:r>
          </w:p>
        </w:tc>
        <w:tc>
          <w:tcPr>
            <w:tcW w:w="5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81" w:lineRule="auto" w:before="33"/>
              <w:ind w:left="67" w:right="67"/>
              <w:jc w:val="left"/>
              <w:rPr>
                <w:rFonts w:ascii="宋体" w:hAnsi="宋体" w:cs="宋体" w:eastAsia="宋体" w:hint="default"/>
                <w:sz w:val="15"/>
                <w:szCs w:val="15"/>
              </w:rPr>
            </w:pPr>
            <w:r>
              <w:rPr>
                <w:rFonts w:ascii="宋体" w:hAnsi="宋体" w:cs="宋体" w:eastAsia="宋体" w:hint="default"/>
                <w:sz w:val="15"/>
                <w:szCs w:val="15"/>
              </w:rPr>
              <w:t>会计核 算科目</w:t>
            </w:r>
          </w:p>
        </w:tc>
        <w:tc>
          <w:tcPr>
            <w:tcW w:w="54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81" w:lineRule="auto" w:before="33"/>
              <w:ind w:left="115" w:right="113"/>
              <w:jc w:val="left"/>
              <w:rPr>
                <w:rFonts w:ascii="宋体" w:hAnsi="宋体" w:cs="宋体" w:eastAsia="宋体" w:hint="default"/>
                <w:sz w:val="15"/>
                <w:szCs w:val="15"/>
              </w:rPr>
            </w:pPr>
            <w:r>
              <w:rPr>
                <w:rFonts w:ascii="宋体" w:hAnsi="宋体" w:cs="宋体" w:eastAsia="宋体" w:hint="default"/>
                <w:sz w:val="15"/>
                <w:szCs w:val="15"/>
              </w:rPr>
              <w:t>资金 来源</w:t>
            </w:r>
          </w:p>
        </w:tc>
      </w:tr>
      <w:tr>
        <w:trPr>
          <w:trHeight w:val="635" w:hRule="exact"/>
        </w:trPr>
        <w:tc>
          <w:tcPr>
            <w:tcW w:w="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4"/>
              <w:jc w:val="right"/>
              <w:rPr>
                <w:rFonts w:ascii="宋体" w:hAnsi="宋体" w:cs="宋体" w:eastAsia="宋体" w:hint="default"/>
                <w:sz w:val="13"/>
                <w:szCs w:val="13"/>
              </w:rPr>
            </w:pPr>
            <w:r>
              <w:rPr>
                <w:rFonts w:ascii="宋体" w:hAnsi="宋体" w:cs="宋体" w:eastAsia="宋体" w:hint="default"/>
                <w:w w:val="95"/>
                <w:sz w:val="13"/>
                <w:szCs w:val="13"/>
              </w:rPr>
              <w:t>债券</w:t>
            </w:r>
            <w:r>
              <w:rPr>
                <w:rFonts w:ascii="宋体" w:hAnsi="宋体" w:cs="宋体" w:eastAsia="宋体" w:hint="default"/>
                <w:sz w:val="13"/>
                <w:szCs w:val="13"/>
              </w:rPr>
            </w:r>
          </w:p>
        </w:tc>
        <w:tc>
          <w:tcPr>
            <w:tcW w:w="10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0"/>
              <w:ind w:left="1" w:right="0"/>
              <w:jc w:val="left"/>
              <w:rPr>
                <w:rFonts w:ascii="Times New Roman" w:hAnsi="Times New Roman" w:cs="Times New Roman" w:eastAsia="Times New Roman" w:hint="default"/>
                <w:sz w:val="13"/>
                <w:szCs w:val="13"/>
              </w:rPr>
            </w:pPr>
            <w:r>
              <w:rPr>
                <w:rFonts w:ascii="Times New Roman"/>
                <w:sz w:val="13"/>
              </w:rPr>
              <w:t>USY1391CAJ00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0"/>
              <w:ind w:right="0"/>
              <w:jc w:val="left"/>
              <w:rPr>
                <w:rFonts w:ascii="Times New Roman" w:hAnsi="Times New Roman" w:cs="Times New Roman" w:eastAsia="Times New Roman" w:hint="default"/>
                <w:sz w:val="13"/>
                <w:szCs w:val="13"/>
              </w:rPr>
            </w:pPr>
            <w:r>
              <w:rPr>
                <w:rFonts w:ascii="Times New Roman"/>
                <w:sz w:val="13"/>
              </w:rPr>
              <w:t>BOC</w:t>
            </w:r>
            <w:r>
              <w:rPr>
                <w:rFonts w:ascii="Times New Roman"/>
                <w:spacing w:val="-7"/>
                <w:sz w:val="13"/>
              </w:rPr>
              <w:t> </w:t>
            </w:r>
            <w:r>
              <w:rPr>
                <w:rFonts w:ascii="Times New Roman"/>
                <w:sz w:val="13"/>
              </w:rPr>
              <w:t>BOND</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0"/>
              <w:ind w:right="1"/>
              <w:jc w:val="right"/>
              <w:rPr>
                <w:rFonts w:ascii="Times New Roman" w:hAnsi="Times New Roman" w:cs="Times New Roman" w:eastAsia="Times New Roman" w:hint="default"/>
                <w:sz w:val="13"/>
                <w:szCs w:val="13"/>
              </w:rPr>
            </w:pPr>
            <w:r>
              <w:rPr>
                <w:rFonts w:ascii="Times New Roman"/>
                <w:w w:val="95"/>
                <w:sz w:val="13"/>
              </w:rPr>
              <w:t>9,351,492.82</w:t>
            </w:r>
            <w:r>
              <w:rPr>
                <w:rFonts w:ascii="Times New Roman"/>
                <w:sz w:val="13"/>
              </w:rPr>
            </w:r>
          </w:p>
        </w:tc>
        <w:tc>
          <w:tcPr>
            <w:tcW w:w="588" w:type="dxa"/>
            <w:tcBorders>
              <w:top w:val="single" w:sz="4" w:space="0" w:color="000000"/>
              <w:left w:val="single" w:sz="4" w:space="0" w:color="000000"/>
              <w:bottom w:val="single" w:sz="4" w:space="0" w:color="000000"/>
              <w:right w:val="single" w:sz="4" w:space="0" w:color="000000"/>
            </w:tcBorders>
          </w:tcPr>
          <w:p>
            <w:pPr>
              <w:pStyle w:val="TableParagraph"/>
              <w:spacing w:line="439" w:lineRule="auto" w:before="51"/>
              <w:ind w:left="158" w:right="29" w:hanging="130"/>
              <w:jc w:val="left"/>
              <w:rPr>
                <w:rFonts w:ascii="宋体" w:hAnsi="宋体" w:cs="宋体" w:eastAsia="宋体" w:hint="default"/>
                <w:sz w:val="13"/>
                <w:szCs w:val="13"/>
              </w:rPr>
            </w:pPr>
            <w:r>
              <w:rPr>
                <w:rFonts w:ascii="宋体" w:hAnsi="宋体" w:cs="宋体" w:eastAsia="宋体" w:hint="default"/>
                <w:sz w:val="13"/>
                <w:szCs w:val="13"/>
              </w:rPr>
              <w:t>公允价值</w:t>
            </w:r>
            <w:r>
              <w:rPr>
                <w:rFonts w:ascii="宋体" w:hAnsi="宋体" w:cs="宋体" w:eastAsia="宋体" w:hint="default"/>
                <w:w w:val="99"/>
                <w:sz w:val="13"/>
                <w:szCs w:val="13"/>
              </w:rPr>
              <w:t> </w:t>
            </w:r>
            <w:r>
              <w:rPr>
                <w:rFonts w:ascii="宋体" w:hAnsi="宋体" w:cs="宋体" w:eastAsia="宋体" w:hint="default"/>
                <w:sz w:val="13"/>
                <w:szCs w:val="13"/>
              </w:rPr>
              <w:t>计量</w:t>
            </w:r>
          </w:p>
        </w:tc>
        <w:tc>
          <w:tcPr>
            <w:tcW w:w="1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0"/>
              <w:ind w:right="0"/>
              <w:jc w:val="right"/>
              <w:rPr>
                <w:rFonts w:ascii="Times New Roman" w:hAnsi="Times New Roman" w:cs="Times New Roman" w:eastAsia="Times New Roman" w:hint="default"/>
                <w:sz w:val="13"/>
                <w:szCs w:val="13"/>
              </w:rPr>
            </w:pPr>
            <w:r>
              <w:rPr>
                <w:rFonts w:ascii="Times New Roman"/>
                <w:w w:val="95"/>
                <w:sz w:val="13"/>
              </w:rPr>
              <w:t>9,576,712.10</w:t>
            </w:r>
            <w:r>
              <w:rPr>
                <w:rFonts w:ascii="Times New Roman"/>
                <w:sz w:val="13"/>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0"/>
              <w:ind w:right="1"/>
              <w:jc w:val="right"/>
              <w:rPr>
                <w:rFonts w:ascii="Times New Roman" w:hAnsi="Times New Roman" w:cs="Times New Roman" w:eastAsia="Times New Roman" w:hint="default"/>
                <w:sz w:val="13"/>
                <w:szCs w:val="13"/>
              </w:rPr>
            </w:pPr>
            <w:r>
              <w:rPr>
                <w:rFonts w:ascii="Times New Roman"/>
                <w:w w:val="95"/>
                <w:sz w:val="13"/>
              </w:rPr>
              <w:t>-251,849.95</w:t>
            </w:r>
            <w:r>
              <w:rPr>
                <w:rFonts w:ascii="Times New Roman"/>
                <w:sz w:val="13"/>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0"/>
              <w:ind w:right="1"/>
              <w:jc w:val="right"/>
              <w:rPr>
                <w:rFonts w:ascii="Times New Roman" w:hAnsi="Times New Roman" w:cs="Times New Roman" w:eastAsia="Times New Roman" w:hint="default"/>
                <w:sz w:val="13"/>
                <w:szCs w:val="13"/>
              </w:rPr>
            </w:pPr>
            <w:r>
              <w:rPr>
                <w:rFonts w:ascii="Times New Roman"/>
                <w:w w:val="95"/>
                <w:sz w:val="13"/>
              </w:rPr>
              <w:t>-392,484.69</w:t>
            </w:r>
            <w:r>
              <w:rPr>
                <w:rFonts w:ascii="Times New Roman"/>
                <w:sz w:val="13"/>
              </w:rPr>
            </w:r>
          </w:p>
        </w:tc>
        <w:tc>
          <w:tcPr>
            <w:tcW w:w="474"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0"/>
              <w:ind w:right="1"/>
              <w:jc w:val="right"/>
              <w:rPr>
                <w:rFonts w:ascii="Times New Roman" w:hAnsi="Times New Roman" w:cs="Times New Roman" w:eastAsia="Times New Roman" w:hint="default"/>
                <w:sz w:val="13"/>
                <w:szCs w:val="13"/>
              </w:rPr>
            </w:pPr>
            <w:r>
              <w:rPr>
                <w:rFonts w:ascii="Times New Roman"/>
                <w:w w:val="95"/>
                <w:sz w:val="13"/>
              </w:rPr>
              <w:t>514,944.38</w:t>
            </w:r>
            <w:r>
              <w:rPr>
                <w:rFonts w:ascii="Times New Roman"/>
                <w:sz w:val="13"/>
              </w:rPr>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0"/>
              <w:ind w:right="-1"/>
              <w:jc w:val="right"/>
              <w:rPr>
                <w:rFonts w:ascii="Times New Roman" w:hAnsi="Times New Roman" w:cs="Times New Roman" w:eastAsia="Times New Roman" w:hint="default"/>
                <w:sz w:val="13"/>
                <w:szCs w:val="13"/>
              </w:rPr>
            </w:pPr>
            <w:r>
              <w:rPr>
                <w:rFonts w:ascii="Times New Roman"/>
                <w:w w:val="95"/>
                <w:sz w:val="13"/>
              </w:rPr>
              <w:t>9,792,605.92</w:t>
            </w:r>
            <w:r>
              <w:rPr>
                <w:rFonts w:ascii="Times New Roman"/>
                <w:sz w:val="13"/>
              </w:rPr>
            </w:r>
          </w:p>
        </w:tc>
        <w:tc>
          <w:tcPr>
            <w:tcW w:w="596" w:type="dxa"/>
            <w:tcBorders>
              <w:top w:val="single" w:sz="4" w:space="0" w:color="000000"/>
              <w:left w:val="single" w:sz="4" w:space="0" w:color="000000"/>
              <w:bottom w:val="single" w:sz="4" w:space="0" w:color="000000"/>
              <w:right w:val="single" w:sz="4" w:space="0" w:color="000000"/>
            </w:tcBorders>
          </w:tcPr>
          <w:p>
            <w:pPr>
              <w:pStyle w:val="TableParagraph"/>
              <w:spacing w:line="439" w:lineRule="auto" w:before="51"/>
              <w:ind w:left="-1" w:right="66"/>
              <w:jc w:val="left"/>
              <w:rPr>
                <w:rFonts w:ascii="宋体" w:hAnsi="宋体" w:cs="宋体" w:eastAsia="宋体" w:hint="default"/>
                <w:sz w:val="13"/>
                <w:szCs w:val="13"/>
              </w:rPr>
            </w:pPr>
            <w:r>
              <w:rPr>
                <w:rFonts w:ascii="宋体" w:hAnsi="宋体" w:cs="宋体" w:eastAsia="宋体" w:hint="default"/>
                <w:sz w:val="13"/>
                <w:szCs w:val="13"/>
              </w:rPr>
              <w:t>可供出售</w:t>
            </w:r>
            <w:r>
              <w:rPr>
                <w:rFonts w:ascii="宋体" w:hAnsi="宋体" w:cs="宋体" w:eastAsia="宋体" w:hint="default"/>
                <w:w w:val="99"/>
                <w:sz w:val="13"/>
                <w:szCs w:val="13"/>
              </w:rPr>
              <w:t> </w:t>
            </w:r>
            <w:r>
              <w:rPr>
                <w:rFonts w:ascii="宋体" w:hAnsi="宋体" w:cs="宋体" w:eastAsia="宋体" w:hint="default"/>
                <w:sz w:val="13"/>
                <w:szCs w:val="13"/>
              </w:rPr>
              <w:t>金融资产</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 w:right="11"/>
              <w:jc w:val="center"/>
              <w:rPr>
                <w:rFonts w:ascii="宋体" w:hAnsi="宋体" w:cs="宋体" w:eastAsia="宋体" w:hint="default"/>
                <w:sz w:val="13"/>
                <w:szCs w:val="13"/>
              </w:rPr>
            </w:pPr>
            <w:r>
              <w:rPr>
                <w:rFonts w:ascii="宋体" w:hAnsi="宋体" w:cs="宋体" w:eastAsia="宋体" w:hint="default"/>
                <w:sz w:val="13"/>
                <w:szCs w:val="13"/>
              </w:rPr>
              <w:t>自有资金</w:t>
            </w:r>
          </w:p>
        </w:tc>
      </w:tr>
      <w:tr>
        <w:trPr>
          <w:trHeight w:val="634" w:hRule="exact"/>
        </w:trPr>
        <w:tc>
          <w:tcPr>
            <w:tcW w:w="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04"/>
              <w:jc w:val="right"/>
              <w:rPr>
                <w:rFonts w:ascii="宋体" w:hAnsi="宋体" w:cs="宋体" w:eastAsia="宋体" w:hint="default"/>
                <w:sz w:val="13"/>
                <w:szCs w:val="13"/>
              </w:rPr>
            </w:pPr>
            <w:r>
              <w:rPr>
                <w:rFonts w:ascii="宋体" w:hAnsi="宋体" w:cs="宋体" w:eastAsia="宋体" w:hint="default"/>
                <w:w w:val="95"/>
                <w:sz w:val="13"/>
                <w:szCs w:val="13"/>
              </w:rPr>
              <w:t>债券</w:t>
            </w:r>
            <w:r>
              <w:rPr>
                <w:rFonts w:ascii="宋体" w:hAnsi="宋体" w:cs="宋体" w:eastAsia="宋体" w:hint="default"/>
                <w:sz w:val="13"/>
                <w:szCs w:val="13"/>
              </w:rPr>
            </w:r>
          </w:p>
        </w:tc>
        <w:tc>
          <w:tcPr>
            <w:tcW w:w="10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79"/>
              <w:ind w:left="1" w:right="0"/>
              <w:jc w:val="left"/>
              <w:rPr>
                <w:rFonts w:ascii="Times New Roman" w:hAnsi="Times New Roman" w:cs="Times New Roman" w:eastAsia="Times New Roman" w:hint="default"/>
                <w:sz w:val="13"/>
                <w:szCs w:val="13"/>
              </w:rPr>
            </w:pPr>
            <w:r>
              <w:rPr>
                <w:rFonts w:ascii="Times New Roman"/>
                <w:sz w:val="13"/>
              </w:rPr>
              <w:t>XS0521073428</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79"/>
              <w:ind w:right="0"/>
              <w:jc w:val="left"/>
              <w:rPr>
                <w:rFonts w:ascii="Times New Roman" w:hAnsi="Times New Roman" w:cs="Times New Roman" w:eastAsia="Times New Roman" w:hint="default"/>
                <w:sz w:val="13"/>
                <w:szCs w:val="13"/>
              </w:rPr>
            </w:pPr>
            <w:r>
              <w:rPr>
                <w:rFonts w:ascii="Times New Roman"/>
                <w:sz w:val="13"/>
              </w:rPr>
              <w:t>BEA</w:t>
            </w:r>
            <w:r>
              <w:rPr>
                <w:rFonts w:ascii="Times New Roman"/>
                <w:spacing w:val="-9"/>
                <w:sz w:val="13"/>
              </w:rPr>
              <w:t> </w:t>
            </w:r>
            <w:r>
              <w:rPr>
                <w:rFonts w:ascii="Times New Roman"/>
                <w:sz w:val="13"/>
              </w:rPr>
              <w:t>BOND</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79"/>
              <w:ind w:right="1"/>
              <w:jc w:val="right"/>
              <w:rPr>
                <w:rFonts w:ascii="Times New Roman" w:hAnsi="Times New Roman" w:cs="Times New Roman" w:eastAsia="Times New Roman" w:hint="default"/>
                <w:sz w:val="13"/>
                <w:szCs w:val="13"/>
              </w:rPr>
            </w:pPr>
            <w:r>
              <w:rPr>
                <w:rFonts w:ascii="Times New Roman"/>
                <w:w w:val="95"/>
                <w:sz w:val="13"/>
              </w:rPr>
              <w:t>8,783,253.05</w:t>
            </w:r>
            <w:r>
              <w:rPr>
                <w:rFonts w:ascii="Times New Roman"/>
                <w:sz w:val="13"/>
              </w:rPr>
            </w:r>
          </w:p>
        </w:tc>
        <w:tc>
          <w:tcPr>
            <w:tcW w:w="588" w:type="dxa"/>
            <w:tcBorders>
              <w:top w:val="single" w:sz="4" w:space="0" w:color="000000"/>
              <w:left w:val="single" w:sz="4" w:space="0" w:color="000000"/>
              <w:bottom w:val="single" w:sz="4" w:space="0" w:color="000000"/>
              <w:right w:val="single" w:sz="4" w:space="0" w:color="000000"/>
            </w:tcBorders>
          </w:tcPr>
          <w:p>
            <w:pPr>
              <w:pStyle w:val="TableParagraph"/>
              <w:spacing w:line="439" w:lineRule="auto" w:before="49"/>
              <w:ind w:left="158" w:right="29" w:hanging="130"/>
              <w:jc w:val="left"/>
              <w:rPr>
                <w:rFonts w:ascii="宋体" w:hAnsi="宋体" w:cs="宋体" w:eastAsia="宋体" w:hint="default"/>
                <w:sz w:val="13"/>
                <w:szCs w:val="13"/>
              </w:rPr>
            </w:pPr>
            <w:r>
              <w:rPr>
                <w:rFonts w:ascii="宋体" w:hAnsi="宋体" w:cs="宋体" w:eastAsia="宋体" w:hint="default"/>
                <w:sz w:val="13"/>
                <w:szCs w:val="13"/>
              </w:rPr>
              <w:t>公允价值</w:t>
            </w:r>
            <w:r>
              <w:rPr>
                <w:rFonts w:ascii="宋体" w:hAnsi="宋体" w:cs="宋体" w:eastAsia="宋体" w:hint="default"/>
                <w:w w:val="99"/>
                <w:sz w:val="13"/>
                <w:szCs w:val="13"/>
              </w:rPr>
              <w:t> </w:t>
            </w:r>
            <w:r>
              <w:rPr>
                <w:rFonts w:ascii="宋体" w:hAnsi="宋体" w:cs="宋体" w:eastAsia="宋体" w:hint="default"/>
                <w:sz w:val="13"/>
                <w:szCs w:val="13"/>
              </w:rPr>
              <w:t>计量</w:t>
            </w:r>
          </w:p>
        </w:tc>
        <w:tc>
          <w:tcPr>
            <w:tcW w:w="1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79"/>
              <w:ind w:right="0"/>
              <w:jc w:val="right"/>
              <w:rPr>
                <w:rFonts w:ascii="Times New Roman" w:hAnsi="Times New Roman" w:cs="Times New Roman" w:eastAsia="Times New Roman" w:hint="default"/>
                <w:sz w:val="13"/>
                <w:szCs w:val="13"/>
              </w:rPr>
            </w:pPr>
            <w:r>
              <w:rPr>
                <w:rFonts w:ascii="Times New Roman"/>
                <w:w w:val="95"/>
                <w:sz w:val="13"/>
              </w:rPr>
              <w:t>9,061,730.78</w:t>
            </w:r>
            <w:r>
              <w:rPr>
                <w:rFonts w:ascii="Times New Roman"/>
                <w:sz w:val="13"/>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79"/>
              <w:ind w:right="1"/>
              <w:jc w:val="right"/>
              <w:rPr>
                <w:rFonts w:ascii="Times New Roman" w:hAnsi="Times New Roman" w:cs="Times New Roman" w:eastAsia="Times New Roman" w:hint="default"/>
                <w:sz w:val="13"/>
                <w:szCs w:val="13"/>
              </w:rPr>
            </w:pPr>
            <w:r>
              <w:rPr>
                <w:rFonts w:ascii="Times New Roman"/>
                <w:w w:val="95"/>
                <w:sz w:val="13"/>
              </w:rPr>
              <w:t>-282,970.03</w:t>
            </w:r>
            <w:r>
              <w:rPr>
                <w:rFonts w:ascii="Times New Roman"/>
                <w:sz w:val="13"/>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79"/>
              <w:ind w:right="1"/>
              <w:jc w:val="right"/>
              <w:rPr>
                <w:rFonts w:ascii="Times New Roman" w:hAnsi="Times New Roman" w:cs="Times New Roman" w:eastAsia="Times New Roman" w:hint="default"/>
                <w:sz w:val="13"/>
                <w:szCs w:val="13"/>
              </w:rPr>
            </w:pPr>
            <w:r>
              <w:rPr>
                <w:rFonts w:ascii="Times New Roman"/>
                <w:w w:val="95"/>
                <w:sz w:val="13"/>
              </w:rPr>
              <w:t>-405,484.24</w:t>
            </w:r>
            <w:r>
              <w:rPr>
                <w:rFonts w:ascii="Times New Roman"/>
                <w:sz w:val="13"/>
              </w:rPr>
            </w:r>
          </w:p>
        </w:tc>
        <w:tc>
          <w:tcPr>
            <w:tcW w:w="474"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79"/>
              <w:ind w:right="1"/>
              <w:jc w:val="right"/>
              <w:rPr>
                <w:rFonts w:ascii="Times New Roman" w:hAnsi="Times New Roman" w:cs="Times New Roman" w:eastAsia="Times New Roman" w:hint="default"/>
                <w:sz w:val="13"/>
                <w:szCs w:val="13"/>
              </w:rPr>
            </w:pPr>
            <w:r>
              <w:rPr>
                <w:rFonts w:ascii="Times New Roman"/>
                <w:w w:val="95"/>
                <w:sz w:val="13"/>
              </w:rPr>
              <w:t>527,702.27</w:t>
            </w:r>
            <w:r>
              <w:rPr>
                <w:rFonts w:ascii="Times New Roman"/>
                <w:sz w:val="13"/>
              </w:rPr>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79"/>
              <w:ind w:right="-1"/>
              <w:jc w:val="right"/>
              <w:rPr>
                <w:rFonts w:ascii="Times New Roman" w:hAnsi="Times New Roman" w:cs="Times New Roman" w:eastAsia="Times New Roman" w:hint="default"/>
                <w:sz w:val="13"/>
                <w:szCs w:val="13"/>
              </w:rPr>
            </w:pPr>
            <w:r>
              <w:rPr>
                <w:rFonts w:ascii="Times New Roman"/>
                <w:w w:val="95"/>
                <w:sz w:val="13"/>
              </w:rPr>
              <w:t>9,219,919.48</w:t>
            </w:r>
            <w:r>
              <w:rPr>
                <w:rFonts w:ascii="Times New Roman"/>
                <w:sz w:val="13"/>
              </w:rPr>
            </w:r>
          </w:p>
        </w:tc>
        <w:tc>
          <w:tcPr>
            <w:tcW w:w="596" w:type="dxa"/>
            <w:tcBorders>
              <w:top w:val="single" w:sz="4" w:space="0" w:color="000000"/>
              <w:left w:val="single" w:sz="4" w:space="0" w:color="000000"/>
              <w:bottom w:val="single" w:sz="4" w:space="0" w:color="000000"/>
              <w:right w:val="single" w:sz="4" w:space="0" w:color="000000"/>
            </w:tcBorders>
          </w:tcPr>
          <w:p>
            <w:pPr>
              <w:pStyle w:val="TableParagraph"/>
              <w:spacing w:line="439" w:lineRule="auto" w:before="49"/>
              <w:ind w:left="-1" w:right="66"/>
              <w:jc w:val="left"/>
              <w:rPr>
                <w:rFonts w:ascii="宋体" w:hAnsi="宋体" w:cs="宋体" w:eastAsia="宋体" w:hint="default"/>
                <w:sz w:val="13"/>
                <w:szCs w:val="13"/>
              </w:rPr>
            </w:pPr>
            <w:r>
              <w:rPr>
                <w:rFonts w:ascii="宋体" w:hAnsi="宋体" w:cs="宋体" w:eastAsia="宋体" w:hint="default"/>
                <w:sz w:val="13"/>
                <w:szCs w:val="13"/>
              </w:rPr>
              <w:t>可供出售</w:t>
            </w:r>
            <w:r>
              <w:rPr>
                <w:rFonts w:ascii="宋体" w:hAnsi="宋体" w:cs="宋体" w:eastAsia="宋体" w:hint="default"/>
                <w:w w:val="99"/>
                <w:sz w:val="13"/>
                <w:szCs w:val="13"/>
              </w:rPr>
              <w:t> </w:t>
            </w:r>
            <w:r>
              <w:rPr>
                <w:rFonts w:ascii="宋体" w:hAnsi="宋体" w:cs="宋体" w:eastAsia="宋体" w:hint="default"/>
                <w:sz w:val="13"/>
                <w:szCs w:val="13"/>
              </w:rPr>
              <w:t>金融资产</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 w:right="11"/>
              <w:jc w:val="center"/>
              <w:rPr>
                <w:rFonts w:ascii="宋体" w:hAnsi="宋体" w:cs="宋体" w:eastAsia="宋体" w:hint="default"/>
                <w:sz w:val="13"/>
                <w:szCs w:val="13"/>
              </w:rPr>
            </w:pPr>
            <w:r>
              <w:rPr>
                <w:rFonts w:ascii="宋体" w:hAnsi="宋体" w:cs="宋体" w:eastAsia="宋体" w:hint="default"/>
                <w:sz w:val="13"/>
                <w:szCs w:val="13"/>
              </w:rPr>
              <w:t>自有资金</w:t>
            </w:r>
          </w:p>
        </w:tc>
      </w:tr>
      <w:tr>
        <w:trPr>
          <w:trHeight w:val="634" w:hRule="exact"/>
        </w:trPr>
        <w:tc>
          <w:tcPr>
            <w:tcW w:w="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04"/>
              <w:jc w:val="right"/>
              <w:rPr>
                <w:rFonts w:ascii="宋体" w:hAnsi="宋体" w:cs="宋体" w:eastAsia="宋体" w:hint="default"/>
                <w:sz w:val="13"/>
                <w:szCs w:val="13"/>
              </w:rPr>
            </w:pPr>
            <w:r>
              <w:rPr>
                <w:rFonts w:ascii="宋体" w:hAnsi="宋体" w:cs="宋体" w:eastAsia="宋体" w:hint="default"/>
                <w:w w:val="95"/>
                <w:sz w:val="13"/>
                <w:szCs w:val="13"/>
              </w:rPr>
              <w:t>债券</w:t>
            </w:r>
            <w:r>
              <w:rPr>
                <w:rFonts w:ascii="宋体" w:hAnsi="宋体" w:cs="宋体" w:eastAsia="宋体" w:hint="default"/>
                <w:sz w:val="13"/>
                <w:szCs w:val="13"/>
              </w:rPr>
            </w:r>
          </w:p>
        </w:tc>
        <w:tc>
          <w:tcPr>
            <w:tcW w:w="10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79"/>
              <w:ind w:left="1" w:right="0"/>
              <w:jc w:val="left"/>
              <w:rPr>
                <w:rFonts w:ascii="Times New Roman" w:hAnsi="Times New Roman" w:cs="Times New Roman" w:eastAsia="Times New Roman" w:hint="default"/>
                <w:sz w:val="13"/>
                <w:szCs w:val="13"/>
              </w:rPr>
            </w:pPr>
            <w:r>
              <w:rPr>
                <w:rFonts w:ascii="Times New Roman"/>
                <w:sz w:val="13"/>
              </w:rPr>
              <w:t>USG4639DWC57</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79"/>
              <w:ind w:right="0"/>
              <w:jc w:val="left"/>
              <w:rPr>
                <w:rFonts w:ascii="Times New Roman" w:hAnsi="Times New Roman" w:cs="Times New Roman" w:eastAsia="Times New Roman" w:hint="default"/>
                <w:sz w:val="13"/>
                <w:szCs w:val="13"/>
              </w:rPr>
            </w:pPr>
            <w:r>
              <w:rPr>
                <w:rFonts w:ascii="Times New Roman"/>
                <w:sz w:val="13"/>
              </w:rPr>
              <w:t>HSBC</w:t>
            </w:r>
            <w:r>
              <w:rPr>
                <w:rFonts w:ascii="Times New Roman"/>
                <w:spacing w:val="-9"/>
                <w:sz w:val="13"/>
              </w:rPr>
              <w:t> </w:t>
            </w:r>
            <w:r>
              <w:rPr>
                <w:rFonts w:ascii="Times New Roman"/>
                <w:sz w:val="13"/>
              </w:rPr>
              <w:t>BOND</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79"/>
              <w:ind w:right="1"/>
              <w:jc w:val="right"/>
              <w:rPr>
                <w:rFonts w:ascii="Times New Roman" w:hAnsi="Times New Roman" w:cs="Times New Roman" w:eastAsia="Times New Roman" w:hint="default"/>
                <w:sz w:val="13"/>
                <w:szCs w:val="13"/>
              </w:rPr>
            </w:pPr>
            <w:r>
              <w:rPr>
                <w:rFonts w:ascii="Times New Roman"/>
                <w:w w:val="95"/>
                <w:sz w:val="13"/>
              </w:rPr>
              <w:t>8,898,749.46</w:t>
            </w:r>
            <w:r>
              <w:rPr>
                <w:rFonts w:ascii="Times New Roman"/>
                <w:sz w:val="13"/>
              </w:rPr>
            </w:r>
          </w:p>
        </w:tc>
        <w:tc>
          <w:tcPr>
            <w:tcW w:w="588" w:type="dxa"/>
            <w:tcBorders>
              <w:top w:val="single" w:sz="4" w:space="0" w:color="000000"/>
              <w:left w:val="single" w:sz="4" w:space="0" w:color="000000"/>
              <w:bottom w:val="single" w:sz="4" w:space="0" w:color="000000"/>
              <w:right w:val="single" w:sz="4" w:space="0" w:color="000000"/>
            </w:tcBorders>
          </w:tcPr>
          <w:p>
            <w:pPr>
              <w:pStyle w:val="TableParagraph"/>
              <w:spacing w:line="439" w:lineRule="auto" w:before="49"/>
              <w:ind w:left="158" w:right="29" w:hanging="130"/>
              <w:jc w:val="left"/>
              <w:rPr>
                <w:rFonts w:ascii="宋体" w:hAnsi="宋体" w:cs="宋体" w:eastAsia="宋体" w:hint="default"/>
                <w:sz w:val="13"/>
                <w:szCs w:val="13"/>
              </w:rPr>
            </w:pPr>
            <w:r>
              <w:rPr>
                <w:rFonts w:ascii="宋体" w:hAnsi="宋体" w:cs="宋体" w:eastAsia="宋体" w:hint="default"/>
                <w:sz w:val="13"/>
                <w:szCs w:val="13"/>
              </w:rPr>
              <w:t>公允价值</w:t>
            </w:r>
            <w:r>
              <w:rPr>
                <w:rFonts w:ascii="宋体" w:hAnsi="宋体" w:cs="宋体" w:eastAsia="宋体" w:hint="default"/>
                <w:w w:val="99"/>
                <w:sz w:val="13"/>
                <w:szCs w:val="13"/>
              </w:rPr>
              <w:t> </w:t>
            </w:r>
            <w:r>
              <w:rPr>
                <w:rFonts w:ascii="宋体" w:hAnsi="宋体" w:cs="宋体" w:eastAsia="宋体" w:hint="default"/>
                <w:sz w:val="13"/>
                <w:szCs w:val="13"/>
              </w:rPr>
              <w:t>计量</w:t>
            </w:r>
          </w:p>
        </w:tc>
        <w:tc>
          <w:tcPr>
            <w:tcW w:w="1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79"/>
              <w:ind w:right="0"/>
              <w:jc w:val="right"/>
              <w:rPr>
                <w:rFonts w:ascii="Times New Roman" w:hAnsi="Times New Roman" w:cs="Times New Roman" w:eastAsia="Times New Roman" w:hint="default"/>
                <w:sz w:val="13"/>
                <w:szCs w:val="13"/>
              </w:rPr>
            </w:pPr>
            <w:r>
              <w:rPr>
                <w:rFonts w:ascii="Times New Roman"/>
                <w:w w:val="95"/>
                <w:sz w:val="13"/>
              </w:rPr>
              <w:t>8,973,631.27</w:t>
            </w:r>
            <w:r>
              <w:rPr>
                <w:rFonts w:ascii="Times New Roman"/>
                <w:sz w:val="13"/>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79"/>
              <w:ind w:right="1"/>
              <w:jc w:val="right"/>
              <w:rPr>
                <w:rFonts w:ascii="Times New Roman" w:hAnsi="Times New Roman" w:cs="Times New Roman" w:eastAsia="Times New Roman" w:hint="default"/>
                <w:sz w:val="13"/>
                <w:szCs w:val="13"/>
              </w:rPr>
            </w:pPr>
            <w:r>
              <w:rPr>
                <w:rFonts w:ascii="Times New Roman"/>
                <w:w w:val="95"/>
                <w:sz w:val="13"/>
              </w:rPr>
              <w:t>-339,471.96</w:t>
            </w:r>
            <w:r>
              <w:rPr>
                <w:rFonts w:ascii="Times New Roman"/>
                <w:sz w:val="13"/>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79"/>
              <w:ind w:right="1"/>
              <w:jc w:val="right"/>
              <w:rPr>
                <w:rFonts w:ascii="Times New Roman" w:hAnsi="Times New Roman" w:cs="Times New Roman" w:eastAsia="Times New Roman" w:hint="default"/>
                <w:sz w:val="13"/>
                <w:szCs w:val="13"/>
              </w:rPr>
            </w:pPr>
            <w:r>
              <w:rPr>
                <w:rFonts w:ascii="Times New Roman"/>
                <w:w w:val="95"/>
                <w:sz w:val="13"/>
              </w:rPr>
              <w:t>-380,763.82</w:t>
            </w:r>
            <w:r>
              <w:rPr>
                <w:rFonts w:ascii="Times New Roman"/>
                <w:sz w:val="13"/>
              </w:rPr>
            </w:r>
          </w:p>
        </w:tc>
        <w:tc>
          <w:tcPr>
            <w:tcW w:w="474"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79"/>
              <w:ind w:right="1"/>
              <w:jc w:val="right"/>
              <w:rPr>
                <w:rFonts w:ascii="Times New Roman" w:hAnsi="Times New Roman" w:cs="Times New Roman" w:eastAsia="Times New Roman" w:hint="default"/>
                <w:sz w:val="13"/>
                <w:szCs w:val="13"/>
              </w:rPr>
            </w:pPr>
            <w:r>
              <w:rPr>
                <w:rFonts w:ascii="Times New Roman"/>
                <w:w w:val="95"/>
                <w:sz w:val="13"/>
              </w:rPr>
              <w:t>409,238.03</w:t>
            </w:r>
            <w:r>
              <w:rPr>
                <w:rFonts w:ascii="Times New Roman"/>
                <w:sz w:val="13"/>
              </w:rPr>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79"/>
              <w:ind w:right="-1"/>
              <w:jc w:val="right"/>
              <w:rPr>
                <w:rFonts w:ascii="Times New Roman" w:hAnsi="Times New Roman" w:cs="Times New Roman" w:eastAsia="Times New Roman" w:hint="default"/>
                <w:sz w:val="13"/>
                <w:szCs w:val="13"/>
              </w:rPr>
            </w:pPr>
            <w:r>
              <w:rPr>
                <w:rFonts w:ascii="Times New Roman"/>
                <w:w w:val="95"/>
                <w:sz w:val="13"/>
              </w:rPr>
              <w:t>9,068,899.61</w:t>
            </w:r>
            <w:r>
              <w:rPr>
                <w:rFonts w:ascii="Times New Roman"/>
                <w:sz w:val="13"/>
              </w:rPr>
            </w:r>
          </w:p>
        </w:tc>
        <w:tc>
          <w:tcPr>
            <w:tcW w:w="596" w:type="dxa"/>
            <w:tcBorders>
              <w:top w:val="single" w:sz="4" w:space="0" w:color="000000"/>
              <w:left w:val="single" w:sz="4" w:space="0" w:color="000000"/>
              <w:bottom w:val="single" w:sz="4" w:space="0" w:color="000000"/>
              <w:right w:val="single" w:sz="4" w:space="0" w:color="000000"/>
            </w:tcBorders>
          </w:tcPr>
          <w:p>
            <w:pPr>
              <w:pStyle w:val="TableParagraph"/>
              <w:spacing w:line="439" w:lineRule="auto" w:before="49"/>
              <w:ind w:left="-1" w:right="66"/>
              <w:jc w:val="left"/>
              <w:rPr>
                <w:rFonts w:ascii="宋体" w:hAnsi="宋体" w:cs="宋体" w:eastAsia="宋体" w:hint="default"/>
                <w:sz w:val="13"/>
                <w:szCs w:val="13"/>
              </w:rPr>
            </w:pPr>
            <w:r>
              <w:rPr>
                <w:rFonts w:ascii="宋体" w:hAnsi="宋体" w:cs="宋体" w:eastAsia="宋体" w:hint="default"/>
                <w:sz w:val="13"/>
                <w:szCs w:val="13"/>
              </w:rPr>
              <w:t>可供出售</w:t>
            </w:r>
            <w:r>
              <w:rPr>
                <w:rFonts w:ascii="宋体" w:hAnsi="宋体" w:cs="宋体" w:eastAsia="宋体" w:hint="default"/>
                <w:w w:val="99"/>
                <w:sz w:val="13"/>
                <w:szCs w:val="13"/>
              </w:rPr>
              <w:t> </w:t>
            </w:r>
            <w:r>
              <w:rPr>
                <w:rFonts w:ascii="宋体" w:hAnsi="宋体" w:cs="宋体" w:eastAsia="宋体" w:hint="default"/>
                <w:sz w:val="13"/>
                <w:szCs w:val="13"/>
              </w:rPr>
              <w:t>金融资产</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 w:right="11"/>
              <w:jc w:val="center"/>
              <w:rPr>
                <w:rFonts w:ascii="宋体" w:hAnsi="宋体" w:cs="宋体" w:eastAsia="宋体" w:hint="default"/>
                <w:sz w:val="13"/>
                <w:szCs w:val="13"/>
              </w:rPr>
            </w:pPr>
            <w:r>
              <w:rPr>
                <w:rFonts w:ascii="宋体" w:hAnsi="宋体" w:cs="宋体" w:eastAsia="宋体" w:hint="default"/>
                <w:sz w:val="13"/>
                <w:szCs w:val="13"/>
              </w:rPr>
              <w:t>自有资金</w:t>
            </w:r>
          </w:p>
        </w:tc>
      </w:tr>
      <w:tr>
        <w:trPr>
          <w:trHeight w:val="635" w:hRule="exact"/>
        </w:trPr>
        <w:tc>
          <w:tcPr>
            <w:tcW w:w="481" w:type="dxa"/>
            <w:tcBorders>
              <w:top w:val="single" w:sz="4" w:space="0" w:color="000000"/>
              <w:left w:val="single" w:sz="4" w:space="0" w:color="000000"/>
              <w:bottom w:val="single" w:sz="4" w:space="0" w:color="000000"/>
              <w:right w:val="single" w:sz="4" w:space="0" w:color="000000"/>
            </w:tcBorders>
          </w:tcPr>
          <w:p>
            <w:pPr>
              <w:pStyle w:val="TableParagraph"/>
              <w:spacing w:line="439" w:lineRule="auto" w:before="51"/>
              <w:ind w:left="105" w:right="41" w:hanging="65"/>
              <w:jc w:val="left"/>
              <w:rPr>
                <w:rFonts w:ascii="宋体" w:hAnsi="宋体" w:cs="宋体" w:eastAsia="宋体" w:hint="default"/>
                <w:sz w:val="13"/>
                <w:szCs w:val="13"/>
              </w:rPr>
            </w:pPr>
            <w:r>
              <w:rPr>
                <w:rFonts w:ascii="宋体" w:hAnsi="宋体" w:cs="宋体" w:eastAsia="宋体" w:hint="default"/>
                <w:sz w:val="13"/>
                <w:szCs w:val="13"/>
              </w:rPr>
              <w:t>境内外</w:t>
            </w:r>
            <w:r>
              <w:rPr>
                <w:rFonts w:ascii="宋体" w:hAnsi="宋体" w:cs="宋体" w:eastAsia="宋体" w:hint="default"/>
                <w:w w:val="99"/>
                <w:sz w:val="13"/>
                <w:szCs w:val="13"/>
              </w:rPr>
              <w:t> </w:t>
            </w:r>
            <w:r>
              <w:rPr>
                <w:rFonts w:ascii="宋体" w:hAnsi="宋体" w:cs="宋体" w:eastAsia="宋体" w:hint="default"/>
                <w:sz w:val="13"/>
                <w:szCs w:val="13"/>
              </w:rPr>
              <w:t>股票</w:t>
            </w:r>
          </w:p>
        </w:tc>
        <w:tc>
          <w:tcPr>
            <w:tcW w:w="10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0"/>
              <w:ind w:left="1" w:right="0"/>
              <w:jc w:val="left"/>
              <w:rPr>
                <w:rFonts w:ascii="Times New Roman" w:hAnsi="Times New Roman" w:cs="Times New Roman" w:eastAsia="Times New Roman" w:hint="default"/>
                <w:sz w:val="13"/>
                <w:szCs w:val="13"/>
              </w:rPr>
            </w:pPr>
            <w:r>
              <w:rPr>
                <w:rFonts w:ascii="Times New Roman"/>
                <w:sz w:val="13"/>
              </w:rPr>
              <w:t>600958</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left"/>
              <w:rPr>
                <w:rFonts w:ascii="宋体" w:hAnsi="宋体" w:cs="宋体" w:eastAsia="宋体" w:hint="default"/>
                <w:sz w:val="13"/>
                <w:szCs w:val="13"/>
              </w:rPr>
            </w:pPr>
            <w:r>
              <w:rPr>
                <w:rFonts w:ascii="宋体" w:hAnsi="宋体" w:cs="宋体" w:eastAsia="宋体" w:hint="default"/>
                <w:sz w:val="13"/>
                <w:szCs w:val="13"/>
              </w:rPr>
              <w:t>东方证券</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0"/>
              <w:ind w:right="1"/>
              <w:jc w:val="right"/>
              <w:rPr>
                <w:rFonts w:ascii="Times New Roman" w:hAnsi="Times New Roman" w:cs="Times New Roman" w:eastAsia="Times New Roman" w:hint="default"/>
                <w:sz w:val="13"/>
                <w:szCs w:val="13"/>
              </w:rPr>
            </w:pPr>
            <w:r>
              <w:rPr>
                <w:rFonts w:ascii="Times New Roman"/>
                <w:w w:val="95"/>
                <w:sz w:val="13"/>
              </w:rPr>
              <w:t>225,192,876.00</w:t>
            </w:r>
            <w:r>
              <w:rPr>
                <w:rFonts w:ascii="Times New Roman"/>
                <w:sz w:val="13"/>
              </w:rPr>
            </w:r>
          </w:p>
        </w:tc>
        <w:tc>
          <w:tcPr>
            <w:tcW w:w="588" w:type="dxa"/>
            <w:tcBorders>
              <w:top w:val="single" w:sz="4" w:space="0" w:color="000000"/>
              <w:left w:val="single" w:sz="4" w:space="0" w:color="000000"/>
              <w:bottom w:val="single" w:sz="4" w:space="0" w:color="000000"/>
              <w:right w:val="single" w:sz="4" w:space="0" w:color="000000"/>
            </w:tcBorders>
          </w:tcPr>
          <w:p>
            <w:pPr>
              <w:pStyle w:val="TableParagraph"/>
              <w:spacing w:line="439" w:lineRule="auto" w:before="51"/>
              <w:ind w:left="158" w:right="29" w:hanging="130"/>
              <w:jc w:val="left"/>
              <w:rPr>
                <w:rFonts w:ascii="宋体" w:hAnsi="宋体" w:cs="宋体" w:eastAsia="宋体" w:hint="default"/>
                <w:sz w:val="13"/>
                <w:szCs w:val="13"/>
              </w:rPr>
            </w:pPr>
            <w:r>
              <w:rPr>
                <w:rFonts w:ascii="宋体" w:hAnsi="宋体" w:cs="宋体" w:eastAsia="宋体" w:hint="default"/>
                <w:sz w:val="13"/>
                <w:szCs w:val="13"/>
              </w:rPr>
              <w:t>公允价值</w:t>
            </w:r>
            <w:r>
              <w:rPr>
                <w:rFonts w:ascii="宋体" w:hAnsi="宋体" w:cs="宋体" w:eastAsia="宋体" w:hint="default"/>
                <w:w w:val="99"/>
                <w:sz w:val="13"/>
                <w:szCs w:val="13"/>
              </w:rPr>
              <w:t> </w:t>
            </w:r>
            <w:r>
              <w:rPr>
                <w:rFonts w:ascii="宋体" w:hAnsi="宋体" w:cs="宋体" w:eastAsia="宋体" w:hint="default"/>
                <w:sz w:val="13"/>
                <w:szCs w:val="13"/>
              </w:rPr>
              <w:t>计量</w:t>
            </w:r>
          </w:p>
        </w:tc>
        <w:tc>
          <w:tcPr>
            <w:tcW w:w="1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0"/>
              <w:ind w:right="0"/>
              <w:jc w:val="right"/>
              <w:rPr>
                <w:rFonts w:ascii="Times New Roman" w:hAnsi="Times New Roman" w:cs="Times New Roman" w:eastAsia="Times New Roman" w:hint="default"/>
                <w:sz w:val="13"/>
                <w:szCs w:val="13"/>
              </w:rPr>
            </w:pPr>
            <w:r>
              <w:rPr>
                <w:rFonts w:ascii="Times New Roman"/>
                <w:w w:val="95"/>
                <w:sz w:val="13"/>
              </w:rPr>
              <w:t>1,690,642,800.00</w:t>
            </w:r>
            <w:r>
              <w:rPr>
                <w:rFonts w:ascii="Times New Roman"/>
                <w:sz w:val="13"/>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0"/>
              <w:ind w:right="1"/>
              <w:jc w:val="right"/>
              <w:rPr>
                <w:rFonts w:ascii="Times New Roman" w:hAnsi="Times New Roman" w:cs="Times New Roman" w:eastAsia="Times New Roman" w:hint="default"/>
                <w:sz w:val="13"/>
                <w:szCs w:val="13"/>
              </w:rPr>
            </w:pPr>
            <w:r>
              <w:rPr>
                <w:rFonts w:ascii="Times New Roman"/>
                <w:w w:val="95"/>
                <w:sz w:val="13"/>
              </w:rPr>
              <w:t>-499,916,031.49</w:t>
            </w:r>
            <w:r>
              <w:rPr>
                <w:rFonts w:ascii="Times New Roman"/>
                <w:sz w:val="13"/>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0"/>
              <w:ind w:right="1"/>
              <w:jc w:val="right"/>
              <w:rPr>
                <w:rFonts w:ascii="Times New Roman" w:hAnsi="Times New Roman" w:cs="Times New Roman" w:eastAsia="Times New Roman" w:hint="default"/>
                <w:sz w:val="13"/>
                <w:szCs w:val="13"/>
              </w:rPr>
            </w:pPr>
            <w:r>
              <w:rPr>
                <w:rFonts w:ascii="Times New Roman"/>
                <w:w w:val="95"/>
                <w:sz w:val="13"/>
              </w:rPr>
              <w:t>151,254,604.61</w:t>
            </w:r>
            <w:r>
              <w:rPr>
                <w:rFonts w:ascii="Times New Roman"/>
                <w:sz w:val="13"/>
              </w:rPr>
            </w:r>
          </w:p>
        </w:tc>
        <w:tc>
          <w:tcPr>
            <w:tcW w:w="474"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0"/>
              <w:ind w:right="0"/>
              <w:jc w:val="right"/>
              <w:rPr>
                <w:rFonts w:ascii="Times New Roman" w:hAnsi="Times New Roman" w:cs="Times New Roman" w:eastAsia="Times New Roman" w:hint="default"/>
                <w:sz w:val="13"/>
                <w:szCs w:val="13"/>
              </w:rPr>
            </w:pPr>
            <w:r>
              <w:rPr>
                <w:rFonts w:ascii="Times New Roman"/>
                <w:w w:val="95"/>
                <w:sz w:val="13"/>
              </w:rPr>
              <w:t>993,877,109.35</w:t>
            </w:r>
            <w:r>
              <w:rPr>
                <w:rFonts w:ascii="Times New Roman"/>
                <w:sz w:val="13"/>
              </w:rPr>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0"/>
              <w:ind w:right="1"/>
              <w:jc w:val="right"/>
              <w:rPr>
                <w:rFonts w:ascii="Times New Roman" w:hAnsi="Times New Roman" w:cs="Times New Roman" w:eastAsia="Times New Roman" w:hint="default"/>
                <w:sz w:val="13"/>
                <w:szCs w:val="13"/>
              </w:rPr>
            </w:pPr>
            <w:r>
              <w:rPr>
                <w:rFonts w:ascii="Times New Roman"/>
                <w:w w:val="95"/>
                <w:sz w:val="13"/>
              </w:rPr>
              <w:t>769,554,981.89</w:t>
            </w:r>
            <w:r>
              <w:rPr>
                <w:rFonts w:ascii="Times New Roman"/>
                <w:sz w:val="13"/>
              </w:rPr>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0"/>
              <w:ind w:right="-1"/>
              <w:jc w:val="right"/>
              <w:rPr>
                <w:rFonts w:ascii="Times New Roman" w:hAnsi="Times New Roman" w:cs="Times New Roman" w:eastAsia="Times New Roman" w:hint="default"/>
                <w:sz w:val="13"/>
                <w:szCs w:val="13"/>
              </w:rPr>
            </w:pPr>
            <w:r>
              <w:rPr>
                <w:rFonts w:ascii="Times New Roman"/>
                <w:w w:val="95"/>
                <w:sz w:val="13"/>
              </w:rPr>
              <w:t>196,849,659.16</w:t>
            </w:r>
            <w:r>
              <w:rPr>
                <w:rFonts w:ascii="Times New Roman"/>
                <w:sz w:val="13"/>
              </w:rPr>
            </w:r>
          </w:p>
        </w:tc>
        <w:tc>
          <w:tcPr>
            <w:tcW w:w="596" w:type="dxa"/>
            <w:tcBorders>
              <w:top w:val="single" w:sz="4" w:space="0" w:color="000000"/>
              <w:left w:val="single" w:sz="4" w:space="0" w:color="000000"/>
              <w:bottom w:val="single" w:sz="4" w:space="0" w:color="000000"/>
              <w:right w:val="single" w:sz="4" w:space="0" w:color="000000"/>
            </w:tcBorders>
          </w:tcPr>
          <w:p>
            <w:pPr>
              <w:pStyle w:val="TableParagraph"/>
              <w:spacing w:line="439" w:lineRule="auto" w:before="51"/>
              <w:ind w:left="-1" w:right="66"/>
              <w:jc w:val="left"/>
              <w:rPr>
                <w:rFonts w:ascii="宋体" w:hAnsi="宋体" w:cs="宋体" w:eastAsia="宋体" w:hint="default"/>
                <w:sz w:val="13"/>
                <w:szCs w:val="13"/>
              </w:rPr>
            </w:pPr>
            <w:r>
              <w:rPr>
                <w:rFonts w:ascii="宋体" w:hAnsi="宋体" w:cs="宋体" w:eastAsia="宋体" w:hint="default"/>
                <w:sz w:val="13"/>
                <w:szCs w:val="13"/>
              </w:rPr>
              <w:t>可供出售</w:t>
            </w:r>
            <w:r>
              <w:rPr>
                <w:rFonts w:ascii="宋体" w:hAnsi="宋体" w:cs="宋体" w:eastAsia="宋体" w:hint="default"/>
                <w:w w:val="99"/>
                <w:sz w:val="13"/>
                <w:szCs w:val="13"/>
              </w:rPr>
              <w:t> </w:t>
            </w:r>
            <w:r>
              <w:rPr>
                <w:rFonts w:ascii="宋体" w:hAnsi="宋体" w:cs="宋体" w:eastAsia="宋体" w:hint="default"/>
                <w:sz w:val="13"/>
                <w:szCs w:val="13"/>
              </w:rPr>
              <w:t>金融资产</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 w:right="11"/>
              <w:jc w:val="center"/>
              <w:rPr>
                <w:rFonts w:ascii="宋体" w:hAnsi="宋体" w:cs="宋体" w:eastAsia="宋体" w:hint="default"/>
                <w:sz w:val="13"/>
                <w:szCs w:val="13"/>
              </w:rPr>
            </w:pPr>
            <w:r>
              <w:rPr>
                <w:rFonts w:ascii="宋体" w:hAnsi="宋体" w:cs="宋体" w:eastAsia="宋体" w:hint="default"/>
                <w:sz w:val="13"/>
                <w:szCs w:val="13"/>
              </w:rPr>
              <w:t>自有资金</w:t>
            </w:r>
          </w:p>
        </w:tc>
      </w:tr>
      <w:tr>
        <w:trPr>
          <w:trHeight w:val="634" w:hRule="exact"/>
        </w:trPr>
        <w:tc>
          <w:tcPr>
            <w:tcW w:w="481" w:type="dxa"/>
            <w:tcBorders>
              <w:top w:val="single" w:sz="4" w:space="0" w:color="000000"/>
              <w:left w:val="single" w:sz="4" w:space="0" w:color="000000"/>
              <w:bottom w:val="single" w:sz="4" w:space="0" w:color="000000"/>
              <w:right w:val="single" w:sz="4" w:space="0" w:color="000000"/>
            </w:tcBorders>
          </w:tcPr>
          <w:p>
            <w:pPr>
              <w:pStyle w:val="TableParagraph"/>
              <w:spacing w:line="439" w:lineRule="auto" w:before="49"/>
              <w:ind w:left="105" w:right="41" w:hanging="65"/>
              <w:jc w:val="left"/>
              <w:rPr>
                <w:rFonts w:ascii="宋体" w:hAnsi="宋体" w:cs="宋体" w:eastAsia="宋体" w:hint="default"/>
                <w:sz w:val="13"/>
                <w:szCs w:val="13"/>
              </w:rPr>
            </w:pPr>
            <w:r>
              <w:rPr>
                <w:rFonts w:ascii="宋体" w:hAnsi="宋体" w:cs="宋体" w:eastAsia="宋体" w:hint="default"/>
                <w:sz w:val="13"/>
                <w:szCs w:val="13"/>
              </w:rPr>
              <w:t>境内外</w:t>
            </w:r>
            <w:r>
              <w:rPr>
                <w:rFonts w:ascii="宋体" w:hAnsi="宋体" w:cs="宋体" w:eastAsia="宋体" w:hint="default"/>
                <w:w w:val="99"/>
                <w:sz w:val="13"/>
                <w:szCs w:val="13"/>
              </w:rPr>
              <w:t> </w:t>
            </w:r>
            <w:r>
              <w:rPr>
                <w:rFonts w:ascii="宋体" w:hAnsi="宋体" w:cs="宋体" w:eastAsia="宋体" w:hint="default"/>
                <w:sz w:val="13"/>
                <w:szCs w:val="13"/>
              </w:rPr>
              <w:t>股票</w:t>
            </w:r>
          </w:p>
        </w:tc>
        <w:tc>
          <w:tcPr>
            <w:tcW w:w="10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79"/>
              <w:ind w:left="1" w:right="0"/>
              <w:jc w:val="left"/>
              <w:rPr>
                <w:rFonts w:ascii="Times New Roman" w:hAnsi="Times New Roman" w:cs="Times New Roman" w:eastAsia="Times New Roman" w:hint="default"/>
                <w:sz w:val="13"/>
                <w:szCs w:val="13"/>
              </w:rPr>
            </w:pPr>
            <w:r>
              <w:rPr>
                <w:rFonts w:ascii="Times New Roman"/>
                <w:sz w:val="13"/>
              </w:rPr>
              <w:t>601328</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left"/>
              <w:rPr>
                <w:rFonts w:ascii="宋体" w:hAnsi="宋体" w:cs="宋体" w:eastAsia="宋体" w:hint="default"/>
                <w:sz w:val="13"/>
                <w:szCs w:val="13"/>
              </w:rPr>
            </w:pPr>
            <w:r>
              <w:rPr>
                <w:rFonts w:ascii="宋体" w:hAnsi="宋体" w:cs="宋体" w:eastAsia="宋体" w:hint="default"/>
                <w:sz w:val="13"/>
                <w:szCs w:val="13"/>
              </w:rPr>
              <w:t>交通银行</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79"/>
              <w:ind w:right="1"/>
              <w:jc w:val="right"/>
              <w:rPr>
                <w:rFonts w:ascii="Times New Roman" w:hAnsi="Times New Roman" w:cs="Times New Roman" w:eastAsia="Times New Roman" w:hint="default"/>
                <w:sz w:val="13"/>
                <w:szCs w:val="13"/>
              </w:rPr>
            </w:pPr>
            <w:r>
              <w:rPr>
                <w:rFonts w:ascii="Times New Roman"/>
                <w:w w:val="95"/>
                <w:sz w:val="13"/>
              </w:rPr>
              <w:t>100,000.00</w:t>
            </w:r>
            <w:r>
              <w:rPr>
                <w:rFonts w:ascii="Times New Roman"/>
                <w:sz w:val="13"/>
              </w:rPr>
            </w:r>
          </w:p>
        </w:tc>
        <w:tc>
          <w:tcPr>
            <w:tcW w:w="588" w:type="dxa"/>
            <w:tcBorders>
              <w:top w:val="single" w:sz="4" w:space="0" w:color="000000"/>
              <w:left w:val="single" w:sz="4" w:space="0" w:color="000000"/>
              <w:bottom w:val="single" w:sz="4" w:space="0" w:color="000000"/>
              <w:right w:val="single" w:sz="4" w:space="0" w:color="000000"/>
            </w:tcBorders>
          </w:tcPr>
          <w:p>
            <w:pPr>
              <w:pStyle w:val="TableParagraph"/>
              <w:spacing w:line="439" w:lineRule="auto" w:before="49"/>
              <w:ind w:left="158" w:right="29" w:hanging="130"/>
              <w:jc w:val="left"/>
              <w:rPr>
                <w:rFonts w:ascii="宋体" w:hAnsi="宋体" w:cs="宋体" w:eastAsia="宋体" w:hint="default"/>
                <w:sz w:val="13"/>
                <w:szCs w:val="13"/>
              </w:rPr>
            </w:pPr>
            <w:r>
              <w:rPr>
                <w:rFonts w:ascii="宋体" w:hAnsi="宋体" w:cs="宋体" w:eastAsia="宋体" w:hint="default"/>
                <w:sz w:val="13"/>
                <w:szCs w:val="13"/>
              </w:rPr>
              <w:t>公允价值</w:t>
            </w:r>
            <w:r>
              <w:rPr>
                <w:rFonts w:ascii="宋体" w:hAnsi="宋体" w:cs="宋体" w:eastAsia="宋体" w:hint="default"/>
                <w:w w:val="99"/>
                <w:sz w:val="13"/>
                <w:szCs w:val="13"/>
              </w:rPr>
              <w:t> </w:t>
            </w:r>
            <w:r>
              <w:rPr>
                <w:rFonts w:ascii="宋体" w:hAnsi="宋体" w:cs="宋体" w:eastAsia="宋体" w:hint="default"/>
                <w:sz w:val="13"/>
                <w:szCs w:val="13"/>
              </w:rPr>
              <w:t>计量</w:t>
            </w:r>
          </w:p>
        </w:tc>
        <w:tc>
          <w:tcPr>
            <w:tcW w:w="1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79"/>
              <w:ind w:right="0"/>
              <w:jc w:val="right"/>
              <w:rPr>
                <w:rFonts w:ascii="Times New Roman" w:hAnsi="Times New Roman" w:cs="Times New Roman" w:eastAsia="Times New Roman" w:hint="default"/>
                <w:sz w:val="13"/>
                <w:szCs w:val="13"/>
              </w:rPr>
            </w:pPr>
            <w:r>
              <w:rPr>
                <w:rFonts w:ascii="Times New Roman"/>
                <w:w w:val="95"/>
                <w:sz w:val="13"/>
              </w:rPr>
              <w:t>813,913.65</w:t>
            </w:r>
            <w:r>
              <w:rPr>
                <w:rFonts w:ascii="Times New Roman"/>
                <w:sz w:val="13"/>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79"/>
              <w:ind w:right="1"/>
              <w:jc w:val="right"/>
              <w:rPr>
                <w:rFonts w:ascii="Times New Roman" w:hAnsi="Times New Roman" w:cs="Times New Roman" w:eastAsia="Times New Roman" w:hint="default"/>
                <w:sz w:val="13"/>
                <w:szCs w:val="13"/>
              </w:rPr>
            </w:pPr>
            <w:r>
              <w:rPr>
                <w:rFonts w:ascii="Times New Roman"/>
                <w:w w:val="95"/>
                <w:sz w:val="13"/>
              </w:rPr>
              <w:t>-55,047.30</w:t>
            </w:r>
            <w:r>
              <w:rPr>
                <w:rFonts w:ascii="Times New Roman"/>
                <w:sz w:val="13"/>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79"/>
              <w:ind w:right="1"/>
              <w:jc w:val="right"/>
              <w:rPr>
                <w:rFonts w:ascii="Times New Roman" w:hAnsi="Times New Roman" w:cs="Times New Roman" w:eastAsia="Times New Roman" w:hint="default"/>
                <w:sz w:val="13"/>
                <w:szCs w:val="13"/>
              </w:rPr>
            </w:pPr>
            <w:r>
              <w:rPr>
                <w:rFonts w:ascii="Times New Roman"/>
                <w:w w:val="95"/>
                <w:sz w:val="13"/>
              </w:rPr>
              <w:t>658,866.35</w:t>
            </w:r>
            <w:r>
              <w:rPr>
                <w:rFonts w:ascii="Times New Roman"/>
                <w:sz w:val="13"/>
              </w:rPr>
            </w:r>
          </w:p>
        </w:tc>
        <w:tc>
          <w:tcPr>
            <w:tcW w:w="474"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79"/>
              <w:ind w:right="1"/>
              <w:jc w:val="right"/>
              <w:rPr>
                <w:rFonts w:ascii="Times New Roman" w:hAnsi="Times New Roman" w:cs="Times New Roman" w:eastAsia="Times New Roman" w:hint="default"/>
                <w:sz w:val="13"/>
                <w:szCs w:val="13"/>
              </w:rPr>
            </w:pPr>
            <w:r>
              <w:rPr>
                <w:rFonts w:ascii="Times New Roman"/>
                <w:w w:val="95"/>
                <w:sz w:val="13"/>
              </w:rPr>
              <w:t>54,640.76</w:t>
            </w:r>
            <w:r>
              <w:rPr>
                <w:rFonts w:ascii="Times New Roman"/>
                <w:sz w:val="13"/>
              </w:rPr>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79"/>
              <w:ind w:right="-1"/>
              <w:jc w:val="right"/>
              <w:rPr>
                <w:rFonts w:ascii="Times New Roman" w:hAnsi="Times New Roman" w:cs="Times New Roman" w:eastAsia="Times New Roman" w:hint="default"/>
                <w:sz w:val="13"/>
                <w:szCs w:val="13"/>
              </w:rPr>
            </w:pPr>
            <w:r>
              <w:rPr>
                <w:rFonts w:ascii="Times New Roman"/>
                <w:w w:val="95"/>
                <w:sz w:val="13"/>
              </w:rPr>
              <w:t>758,866.35</w:t>
            </w:r>
            <w:r>
              <w:rPr>
                <w:rFonts w:ascii="Times New Roman"/>
                <w:sz w:val="13"/>
              </w:rPr>
            </w:r>
          </w:p>
        </w:tc>
        <w:tc>
          <w:tcPr>
            <w:tcW w:w="596" w:type="dxa"/>
            <w:tcBorders>
              <w:top w:val="single" w:sz="4" w:space="0" w:color="000000"/>
              <w:left w:val="single" w:sz="4" w:space="0" w:color="000000"/>
              <w:bottom w:val="single" w:sz="4" w:space="0" w:color="000000"/>
              <w:right w:val="single" w:sz="4" w:space="0" w:color="000000"/>
            </w:tcBorders>
          </w:tcPr>
          <w:p>
            <w:pPr>
              <w:pStyle w:val="TableParagraph"/>
              <w:spacing w:line="439" w:lineRule="auto" w:before="49"/>
              <w:ind w:left="-1" w:right="66"/>
              <w:jc w:val="left"/>
              <w:rPr>
                <w:rFonts w:ascii="宋体" w:hAnsi="宋体" w:cs="宋体" w:eastAsia="宋体" w:hint="default"/>
                <w:sz w:val="13"/>
                <w:szCs w:val="13"/>
              </w:rPr>
            </w:pPr>
            <w:r>
              <w:rPr>
                <w:rFonts w:ascii="宋体" w:hAnsi="宋体" w:cs="宋体" w:eastAsia="宋体" w:hint="default"/>
                <w:sz w:val="13"/>
                <w:szCs w:val="13"/>
              </w:rPr>
              <w:t>可供出售</w:t>
            </w:r>
            <w:r>
              <w:rPr>
                <w:rFonts w:ascii="宋体" w:hAnsi="宋体" w:cs="宋体" w:eastAsia="宋体" w:hint="default"/>
                <w:w w:val="99"/>
                <w:sz w:val="13"/>
                <w:szCs w:val="13"/>
              </w:rPr>
              <w:t> </w:t>
            </w:r>
            <w:r>
              <w:rPr>
                <w:rFonts w:ascii="宋体" w:hAnsi="宋体" w:cs="宋体" w:eastAsia="宋体" w:hint="default"/>
                <w:sz w:val="13"/>
                <w:szCs w:val="13"/>
              </w:rPr>
              <w:t>金融资产</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 w:right="11"/>
              <w:jc w:val="center"/>
              <w:rPr>
                <w:rFonts w:ascii="宋体" w:hAnsi="宋体" w:cs="宋体" w:eastAsia="宋体" w:hint="default"/>
                <w:sz w:val="13"/>
                <w:szCs w:val="13"/>
              </w:rPr>
            </w:pPr>
            <w:r>
              <w:rPr>
                <w:rFonts w:ascii="宋体" w:hAnsi="宋体" w:cs="宋体" w:eastAsia="宋体" w:hint="default"/>
                <w:sz w:val="13"/>
                <w:szCs w:val="13"/>
              </w:rPr>
              <w:t>自有资金</w:t>
            </w:r>
          </w:p>
        </w:tc>
      </w:tr>
      <w:tr>
        <w:trPr>
          <w:trHeight w:val="634" w:hRule="exact"/>
        </w:trPr>
        <w:tc>
          <w:tcPr>
            <w:tcW w:w="481" w:type="dxa"/>
            <w:tcBorders>
              <w:top w:val="single" w:sz="4" w:space="0" w:color="000000"/>
              <w:left w:val="single" w:sz="4" w:space="0" w:color="000000"/>
              <w:bottom w:val="single" w:sz="4" w:space="0" w:color="000000"/>
              <w:right w:val="single" w:sz="4" w:space="0" w:color="000000"/>
            </w:tcBorders>
          </w:tcPr>
          <w:p>
            <w:pPr>
              <w:pStyle w:val="TableParagraph"/>
              <w:spacing w:line="439" w:lineRule="auto" w:before="49"/>
              <w:ind w:left="105" w:right="41" w:hanging="65"/>
              <w:jc w:val="left"/>
              <w:rPr>
                <w:rFonts w:ascii="宋体" w:hAnsi="宋体" w:cs="宋体" w:eastAsia="宋体" w:hint="default"/>
                <w:sz w:val="13"/>
                <w:szCs w:val="13"/>
              </w:rPr>
            </w:pPr>
            <w:r>
              <w:rPr>
                <w:rFonts w:ascii="宋体" w:hAnsi="宋体" w:cs="宋体" w:eastAsia="宋体" w:hint="default"/>
                <w:sz w:val="13"/>
                <w:szCs w:val="13"/>
              </w:rPr>
              <w:t>境内外</w:t>
            </w:r>
            <w:r>
              <w:rPr>
                <w:rFonts w:ascii="宋体" w:hAnsi="宋体" w:cs="宋体" w:eastAsia="宋体" w:hint="default"/>
                <w:w w:val="99"/>
                <w:sz w:val="13"/>
                <w:szCs w:val="13"/>
              </w:rPr>
              <w:t> </w:t>
            </w:r>
            <w:r>
              <w:rPr>
                <w:rFonts w:ascii="宋体" w:hAnsi="宋体" w:cs="宋体" w:eastAsia="宋体" w:hint="default"/>
                <w:sz w:val="13"/>
                <w:szCs w:val="13"/>
              </w:rPr>
              <w:t>股票</w:t>
            </w:r>
          </w:p>
        </w:tc>
        <w:tc>
          <w:tcPr>
            <w:tcW w:w="10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79"/>
              <w:ind w:left="1" w:right="0"/>
              <w:jc w:val="left"/>
              <w:rPr>
                <w:rFonts w:ascii="Times New Roman" w:hAnsi="Times New Roman" w:cs="Times New Roman" w:eastAsia="Times New Roman" w:hint="default"/>
                <w:sz w:val="13"/>
                <w:szCs w:val="13"/>
              </w:rPr>
            </w:pPr>
            <w:r>
              <w:rPr>
                <w:rFonts w:ascii="Times New Roman"/>
                <w:sz w:val="13"/>
              </w:rPr>
              <w:t>600057</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left"/>
              <w:rPr>
                <w:rFonts w:ascii="宋体" w:hAnsi="宋体" w:cs="宋体" w:eastAsia="宋体" w:hint="default"/>
                <w:sz w:val="13"/>
                <w:szCs w:val="13"/>
              </w:rPr>
            </w:pPr>
            <w:r>
              <w:rPr>
                <w:rFonts w:ascii="宋体" w:hAnsi="宋体" w:cs="宋体" w:eastAsia="宋体" w:hint="default"/>
                <w:sz w:val="13"/>
                <w:szCs w:val="13"/>
              </w:rPr>
              <w:t>厦门象屿</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79"/>
              <w:ind w:right="1"/>
              <w:jc w:val="right"/>
              <w:rPr>
                <w:rFonts w:ascii="Times New Roman" w:hAnsi="Times New Roman" w:cs="Times New Roman" w:eastAsia="Times New Roman" w:hint="default"/>
                <w:sz w:val="13"/>
                <w:szCs w:val="13"/>
              </w:rPr>
            </w:pPr>
            <w:r>
              <w:rPr>
                <w:rFonts w:ascii="Times New Roman"/>
                <w:w w:val="95"/>
                <w:sz w:val="13"/>
              </w:rPr>
              <w:t>2,224,159.22</w:t>
            </w:r>
            <w:r>
              <w:rPr>
                <w:rFonts w:ascii="Times New Roman"/>
                <w:sz w:val="13"/>
              </w:rPr>
            </w:r>
          </w:p>
        </w:tc>
        <w:tc>
          <w:tcPr>
            <w:tcW w:w="588" w:type="dxa"/>
            <w:tcBorders>
              <w:top w:val="single" w:sz="4" w:space="0" w:color="000000"/>
              <w:left w:val="single" w:sz="4" w:space="0" w:color="000000"/>
              <w:bottom w:val="single" w:sz="4" w:space="0" w:color="000000"/>
              <w:right w:val="single" w:sz="4" w:space="0" w:color="000000"/>
            </w:tcBorders>
          </w:tcPr>
          <w:p>
            <w:pPr>
              <w:pStyle w:val="TableParagraph"/>
              <w:spacing w:line="439" w:lineRule="auto" w:before="49"/>
              <w:ind w:left="158" w:right="29" w:hanging="130"/>
              <w:jc w:val="left"/>
              <w:rPr>
                <w:rFonts w:ascii="宋体" w:hAnsi="宋体" w:cs="宋体" w:eastAsia="宋体" w:hint="default"/>
                <w:sz w:val="13"/>
                <w:szCs w:val="13"/>
              </w:rPr>
            </w:pPr>
            <w:r>
              <w:rPr>
                <w:rFonts w:ascii="宋体" w:hAnsi="宋体" w:cs="宋体" w:eastAsia="宋体" w:hint="default"/>
                <w:sz w:val="13"/>
                <w:szCs w:val="13"/>
              </w:rPr>
              <w:t>公允价值</w:t>
            </w:r>
            <w:r>
              <w:rPr>
                <w:rFonts w:ascii="宋体" w:hAnsi="宋体" w:cs="宋体" w:eastAsia="宋体" w:hint="default"/>
                <w:w w:val="99"/>
                <w:sz w:val="13"/>
                <w:szCs w:val="13"/>
              </w:rPr>
              <w:t> </w:t>
            </w:r>
            <w:r>
              <w:rPr>
                <w:rFonts w:ascii="宋体" w:hAnsi="宋体" w:cs="宋体" w:eastAsia="宋体" w:hint="default"/>
                <w:sz w:val="13"/>
                <w:szCs w:val="13"/>
              </w:rPr>
              <w:t>计量</w:t>
            </w:r>
          </w:p>
        </w:tc>
        <w:tc>
          <w:tcPr>
            <w:tcW w:w="1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79"/>
              <w:ind w:right="0"/>
              <w:jc w:val="right"/>
              <w:rPr>
                <w:rFonts w:ascii="Times New Roman" w:hAnsi="Times New Roman" w:cs="Times New Roman" w:eastAsia="Times New Roman" w:hint="default"/>
                <w:sz w:val="13"/>
                <w:szCs w:val="13"/>
              </w:rPr>
            </w:pPr>
            <w:r>
              <w:rPr>
                <w:rFonts w:ascii="Times New Roman"/>
                <w:w w:val="95"/>
                <w:sz w:val="13"/>
              </w:rPr>
              <w:t>4,419,736.89</w:t>
            </w:r>
            <w:r>
              <w:rPr>
                <w:rFonts w:ascii="Times New Roman"/>
                <w:sz w:val="13"/>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79"/>
              <w:ind w:right="1"/>
              <w:jc w:val="right"/>
              <w:rPr>
                <w:rFonts w:ascii="Times New Roman" w:hAnsi="Times New Roman" w:cs="Times New Roman" w:eastAsia="Times New Roman" w:hint="default"/>
                <w:sz w:val="13"/>
                <w:szCs w:val="13"/>
              </w:rPr>
            </w:pPr>
            <w:r>
              <w:rPr>
                <w:rFonts w:ascii="Times New Roman"/>
                <w:w w:val="95"/>
                <w:sz w:val="13"/>
              </w:rPr>
              <w:t>-1,039,976.99</w:t>
            </w:r>
            <w:r>
              <w:rPr>
                <w:rFonts w:ascii="Times New Roman"/>
                <w:sz w:val="13"/>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79"/>
              <w:ind w:right="1"/>
              <w:jc w:val="right"/>
              <w:rPr>
                <w:rFonts w:ascii="Times New Roman" w:hAnsi="Times New Roman" w:cs="Times New Roman" w:eastAsia="Times New Roman" w:hint="default"/>
                <w:sz w:val="13"/>
                <w:szCs w:val="13"/>
              </w:rPr>
            </w:pPr>
            <w:r>
              <w:rPr>
                <w:rFonts w:ascii="Times New Roman"/>
                <w:w w:val="95"/>
                <w:sz w:val="13"/>
              </w:rPr>
              <w:t>1,155,600.68</w:t>
            </w:r>
            <w:r>
              <w:rPr>
                <w:rFonts w:ascii="Times New Roman"/>
                <w:sz w:val="13"/>
              </w:rPr>
            </w:r>
          </w:p>
        </w:tc>
        <w:tc>
          <w:tcPr>
            <w:tcW w:w="474" w:type="dxa"/>
            <w:tcBorders>
              <w:top w:val="single" w:sz="4" w:space="0" w:color="000000"/>
              <w:left w:val="single" w:sz="4" w:space="0" w:color="000000"/>
              <w:bottom w:val="single" w:sz="4" w:space="0" w:color="000000"/>
              <w:right w:val="single" w:sz="4" w:space="0" w:color="000000"/>
            </w:tcBorders>
          </w:tcPr>
          <w:p>
            <w:pPr/>
          </w:p>
        </w:tc>
        <w:tc>
          <w:tcPr>
            <w:tcW w:w="943" w:type="dxa"/>
            <w:tcBorders>
              <w:top w:val="single" w:sz="4" w:space="0" w:color="000000"/>
              <w:left w:val="single" w:sz="4" w:space="0" w:color="000000"/>
              <w:bottom w:val="single" w:sz="4" w:space="0" w:color="000000"/>
              <w:right w:val="single" w:sz="4" w:space="0" w:color="000000"/>
            </w:tcBorders>
          </w:tcPr>
          <w:p>
            <w:pPr/>
          </w:p>
        </w:tc>
        <w:tc>
          <w:tcPr>
            <w:tcW w:w="919" w:type="dxa"/>
            <w:tcBorders>
              <w:top w:val="single" w:sz="4" w:space="0" w:color="000000"/>
              <w:left w:val="single" w:sz="4" w:space="0" w:color="000000"/>
              <w:bottom w:val="single" w:sz="4" w:space="0" w:color="000000"/>
              <w:right w:val="single" w:sz="4" w:space="0" w:color="000000"/>
            </w:tcBorders>
          </w:tcPr>
          <w:p>
            <w:pP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79"/>
              <w:ind w:right="-1"/>
              <w:jc w:val="right"/>
              <w:rPr>
                <w:rFonts w:ascii="Times New Roman" w:hAnsi="Times New Roman" w:cs="Times New Roman" w:eastAsia="Times New Roman" w:hint="default"/>
                <w:sz w:val="13"/>
                <w:szCs w:val="13"/>
              </w:rPr>
            </w:pPr>
            <w:r>
              <w:rPr>
                <w:rFonts w:ascii="Times New Roman"/>
                <w:w w:val="95"/>
                <w:sz w:val="13"/>
              </w:rPr>
              <w:t>3,379,759.90</w:t>
            </w:r>
            <w:r>
              <w:rPr>
                <w:rFonts w:ascii="Times New Roman"/>
                <w:sz w:val="13"/>
              </w:rPr>
            </w:r>
          </w:p>
        </w:tc>
        <w:tc>
          <w:tcPr>
            <w:tcW w:w="596" w:type="dxa"/>
            <w:tcBorders>
              <w:top w:val="single" w:sz="4" w:space="0" w:color="000000"/>
              <w:left w:val="single" w:sz="4" w:space="0" w:color="000000"/>
              <w:bottom w:val="single" w:sz="4" w:space="0" w:color="000000"/>
              <w:right w:val="single" w:sz="4" w:space="0" w:color="000000"/>
            </w:tcBorders>
          </w:tcPr>
          <w:p>
            <w:pPr>
              <w:pStyle w:val="TableParagraph"/>
              <w:spacing w:line="439" w:lineRule="auto" w:before="49"/>
              <w:ind w:left="-1" w:right="66"/>
              <w:jc w:val="left"/>
              <w:rPr>
                <w:rFonts w:ascii="宋体" w:hAnsi="宋体" w:cs="宋体" w:eastAsia="宋体" w:hint="default"/>
                <w:sz w:val="13"/>
                <w:szCs w:val="13"/>
              </w:rPr>
            </w:pPr>
            <w:r>
              <w:rPr>
                <w:rFonts w:ascii="宋体" w:hAnsi="宋体" w:cs="宋体" w:eastAsia="宋体" w:hint="default"/>
                <w:sz w:val="13"/>
                <w:szCs w:val="13"/>
              </w:rPr>
              <w:t>可供出售</w:t>
            </w:r>
            <w:r>
              <w:rPr>
                <w:rFonts w:ascii="宋体" w:hAnsi="宋体" w:cs="宋体" w:eastAsia="宋体" w:hint="default"/>
                <w:w w:val="99"/>
                <w:sz w:val="13"/>
                <w:szCs w:val="13"/>
              </w:rPr>
              <w:t> </w:t>
            </w:r>
            <w:r>
              <w:rPr>
                <w:rFonts w:ascii="宋体" w:hAnsi="宋体" w:cs="宋体" w:eastAsia="宋体" w:hint="default"/>
                <w:sz w:val="13"/>
                <w:szCs w:val="13"/>
              </w:rPr>
              <w:t>金融资产</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 w:right="11"/>
              <w:jc w:val="center"/>
              <w:rPr>
                <w:rFonts w:ascii="宋体" w:hAnsi="宋体" w:cs="宋体" w:eastAsia="宋体" w:hint="default"/>
                <w:sz w:val="13"/>
                <w:szCs w:val="13"/>
              </w:rPr>
            </w:pPr>
            <w:r>
              <w:rPr>
                <w:rFonts w:ascii="宋体" w:hAnsi="宋体" w:cs="宋体" w:eastAsia="宋体" w:hint="default"/>
                <w:sz w:val="13"/>
                <w:szCs w:val="13"/>
              </w:rPr>
              <w:t>自有资金</w:t>
            </w:r>
          </w:p>
        </w:tc>
      </w:tr>
      <w:tr>
        <w:trPr>
          <w:trHeight w:val="323" w:hRule="exact"/>
        </w:trPr>
        <w:tc>
          <w:tcPr>
            <w:tcW w:w="2405" w:type="dxa"/>
            <w:gridSpan w:val="3"/>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4"/>
              <w:ind w:left="-1" w:right="0"/>
              <w:jc w:val="left"/>
              <w:rPr>
                <w:rFonts w:ascii="宋体" w:hAnsi="宋体" w:cs="宋体" w:eastAsia="宋体" w:hint="default"/>
                <w:sz w:val="15"/>
                <w:szCs w:val="15"/>
              </w:rPr>
            </w:pPr>
            <w:r>
              <w:rPr>
                <w:rFonts w:ascii="宋体" w:hAnsi="宋体" w:cs="宋体" w:eastAsia="宋体" w:hint="default"/>
                <w:sz w:val="15"/>
                <w:szCs w:val="15"/>
              </w:rPr>
              <w:t>合计</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
              <w:jc w:val="right"/>
              <w:rPr>
                <w:rFonts w:ascii="Times New Roman" w:hAnsi="Times New Roman" w:cs="Times New Roman" w:eastAsia="Times New Roman" w:hint="default"/>
                <w:sz w:val="13"/>
                <w:szCs w:val="13"/>
              </w:rPr>
            </w:pPr>
            <w:r>
              <w:rPr>
                <w:rFonts w:ascii="Times New Roman"/>
                <w:w w:val="95"/>
                <w:sz w:val="13"/>
              </w:rPr>
              <w:t>254,550,530.55</w:t>
            </w:r>
            <w:r>
              <w:rPr>
                <w:rFonts w:ascii="Times New Roman"/>
                <w:sz w:val="13"/>
              </w:rPr>
            </w:r>
          </w:p>
        </w:tc>
        <w:tc>
          <w:tcPr>
            <w:tcW w:w="5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81"/>
              <w:ind w:right="0"/>
              <w:jc w:val="center"/>
              <w:rPr>
                <w:rFonts w:ascii="Times New Roman" w:hAnsi="Times New Roman" w:cs="Times New Roman" w:eastAsia="Times New Roman" w:hint="default"/>
                <w:sz w:val="13"/>
                <w:szCs w:val="13"/>
              </w:rPr>
            </w:pPr>
            <w:r>
              <w:rPr>
                <w:rFonts w:ascii="Times New Roman"/>
                <w:sz w:val="13"/>
              </w:rPr>
              <w:t>--</w:t>
            </w:r>
          </w:p>
        </w:tc>
        <w:tc>
          <w:tcPr>
            <w:tcW w:w="1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0"/>
              <w:jc w:val="right"/>
              <w:rPr>
                <w:rFonts w:ascii="Times New Roman" w:hAnsi="Times New Roman" w:cs="Times New Roman" w:eastAsia="Times New Roman" w:hint="default"/>
                <w:sz w:val="13"/>
                <w:szCs w:val="13"/>
              </w:rPr>
            </w:pPr>
            <w:r>
              <w:rPr>
                <w:rFonts w:ascii="Times New Roman"/>
                <w:w w:val="95"/>
                <w:sz w:val="13"/>
              </w:rPr>
              <w:t>1,723,488,524.69</w:t>
            </w:r>
            <w:r>
              <w:rPr>
                <w:rFonts w:ascii="Times New Roman"/>
                <w:sz w:val="13"/>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
              <w:jc w:val="right"/>
              <w:rPr>
                <w:rFonts w:ascii="Times New Roman" w:hAnsi="Times New Roman" w:cs="Times New Roman" w:eastAsia="Times New Roman" w:hint="default"/>
                <w:sz w:val="13"/>
                <w:szCs w:val="13"/>
              </w:rPr>
            </w:pPr>
            <w:r>
              <w:rPr>
                <w:rFonts w:ascii="Times New Roman"/>
                <w:w w:val="95"/>
                <w:sz w:val="13"/>
              </w:rPr>
              <w:t>-501,885,347.72</w:t>
            </w:r>
            <w:r>
              <w:rPr>
                <w:rFonts w:ascii="Times New Roman"/>
                <w:sz w:val="13"/>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
              <w:jc w:val="right"/>
              <w:rPr>
                <w:rFonts w:ascii="Times New Roman" w:hAnsi="Times New Roman" w:cs="Times New Roman" w:eastAsia="Times New Roman" w:hint="default"/>
                <w:sz w:val="13"/>
                <w:szCs w:val="13"/>
              </w:rPr>
            </w:pPr>
            <w:r>
              <w:rPr>
                <w:rFonts w:ascii="Times New Roman"/>
                <w:w w:val="95"/>
                <w:sz w:val="13"/>
              </w:rPr>
              <w:t>151,890,338.89</w:t>
            </w:r>
            <w:r>
              <w:rPr>
                <w:rFonts w:ascii="Times New Roman"/>
                <w:sz w:val="13"/>
              </w:rPr>
            </w:r>
          </w:p>
        </w:tc>
        <w:tc>
          <w:tcPr>
            <w:tcW w:w="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236" w:right="0"/>
              <w:jc w:val="left"/>
              <w:rPr>
                <w:rFonts w:ascii="Times New Roman" w:hAnsi="Times New Roman" w:cs="Times New Roman" w:eastAsia="Times New Roman" w:hint="default"/>
                <w:sz w:val="13"/>
                <w:szCs w:val="13"/>
              </w:rPr>
            </w:pPr>
            <w:r>
              <w:rPr>
                <w:rFonts w:ascii="Times New Roman"/>
                <w:sz w:val="13"/>
              </w:rPr>
              <w:t>0.00</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0"/>
              <w:jc w:val="right"/>
              <w:rPr>
                <w:rFonts w:ascii="Times New Roman" w:hAnsi="Times New Roman" w:cs="Times New Roman" w:eastAsia="Times New Roman" w:hint="default"/>
                <w:sz w:val="13"/>
                <w:szCs w:val="13"/>
              </w:rPr>
            </w:pPr>
            <w:r>
              <w:rPr>
                <w:rFonts w:ascii="Times New Roman"/>
                <w:w w:val="95"/>
                <w:sz w:val="13"/>
              </w:rPr>
              <w:t>993,877,109.35</w:t>
            </w:r>
            <w:r>
              <w:rPr>
                <w:rFonts w:ascii="Times New Roman"/>
                <w:sz w:val="13"/>
              </w:rPr>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
              <w:jc w:val="right"/>
              <w:rPr>
                <w:rFonts w:ascii="Times New Roman" w:hAnsi="Times New Roman" w:cs="Times New Roman" w:eastAsia="Times New Roman" w:hint="default"/>
                <w:sz w:val="13"/>
                <w:szCs w:val="13"/>
              </w:rPr>
            </w:pPr>
            <w:r>
              <w:rPr>
                <w:rFonts w:ascii="Times New Roman"/>
                <w:w w:val="95"/>
                <w:sz w:val="13"/>
              </w:rPr>
              <w:t>771,061,507.33</w:t>
            </w:r>
            <w:r>
              <w:rPr>
                <w:rFonts w:ascii="Times New Roman"/>
                <w:sz w:val="13"/>
              </w:rPr>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
              <w:jc w:val="right"/>
              <w:rPr>
                <w:rFonts w:ascii="Times New Roman" w:hAnsi="Times New Roman" w:cs="Times New Roman" w:eastAsia="Times New Roman" w:hint="default"/>
                <w:sz w:val="13"/>
                <w:szCs w:val="13"/>
              </w:rPr>
            </w:pPr>
            <w:r>
              <w:rPr>
                <w:rFonts w:ascii="Times New Roman"/>
                <w:w w:val="95"/>
                <w:sz w:val="13"/>
              </w:rPr>
              <w:t>229,069,710.42</w:t>
            </w:r>
            <w:r>
              <w:rPr>
                <w:rFonts w:ascii="Times New Roman"/>
                <w:sz w:val="13"/>
              </w:rPr>
            </w:r>
          </w:p>
        </w:tc>
        <w:tc>
          <w:tcPr>
            <w:tcW w:w="5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81"/>
              <w:ind w:right="1"/>
              <w:jc w:val="center"/>
              <w:rPr>
                <w:rFonts w:ascii="Times New Roman" w:hAnsi="Times New Roman" w:cs="Times New Roman" w:eastAsia="Times New Roman" w:hint="default"/>
                <w:sz w:val="13"/>
                <w:szCs w:val="13"/>
              </w:rPr>
            </w:pPr>
            <w:r>
              <w:rPr>
                <w:rFonts w:ascii="Times New Roman"/>
                <w:sz w:val="13"/>
              </w:rPr>
              <w:t>--</w:t>
            </w:r>
          </w:p>
        </w:tc>
        <w:tc>
          <w:tcPr>
            <w:tcW w:w="54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81"/>
              <w:ind w:right="0"/>
              <w:jc w:val="center"/>
              <w:rPr>
                <w:rFonts w:ascii="Times New Roman" w:hAnsi="Times New Roman" w:cs="Times New Roman" w:eastAsia="Times New Roman" w:hint="default"/>
                <w:sz w:val="13"/>
                <w:szCs w:val="13"/>
              </w:rPr>
            </w:pPr>
            <w:r>
              <w:rPr>
                <w:rFonts w:ascii="Times New Roman"/>
                <w:sz w:val="13"/>
              </w:rPr>
              <w:t>--</w:t>
            </w:r>
          </w:p>
        </w:tc>
      </w:tr>
    </w:tbl>
    <w:p>
      <w:pPr>
        <w:spacing w:before="51"/>
        <w:ind w:left="974" w:right="0" w:firstLine="0"/>
        <w:jc w:val="left"/>
        <w:rPr>
          <w:rFonts w:ascii="宋体" w:hAnsi="宋体" w:cs="宋体" w:eastAsia="宋体" w:hint="default"/>
          <w:sz w:val="18"/>
          <w:szCs w:val="18"/>
        </w:rPr>
      </w:pPr>
      <w:r>
        <w:rPr>
          <w:rFonts w:ascii="宋体" w:hAnsi="宋体" w:cs="宋体" w:eastAsia="宋体" w:hint="default"/>
          <w:b/>
          <w:bCs/>
          <w:sz w:val="18"/>
          <w:szCs w:val="18"/>
        </w:rPr>
        <w:t>证券投资情况说明</w:t>
      </w:r>
      <w:r>
        <w:rPr>
          <w:rFonts w:ascii="宋体" w:hAnsi="宋体" w:cs="宋体" w:eastAsia="宋体" w:hint="default"/>
          <w:sz w:val="18"/>
          <w:szCs w:val="18"/>
        </w:rPr>
      </w:r>
    </w:p>
    <w:p>
      <w:pPr>
        <w:spacing w:before="117"/>
        <w:ind w:left="1334"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）上述债券均为公司控股子公司柏怡国际所持有，质押于香港汇丰银行，作为柏怡国际融资业务的担保。</w:t>
      </w:r>
    </w:p>
    <w:p>
      <w:pPr>
        <w:spacing w:before="101"/>
        <w:ind w:left="1334" w:right="0" w:firstLine="0"/>
        <w:jc w:val="left"/>
        <w:rPr>
          <w:rFonts w:ascii="Times New Roman" w:hAnsi="Times New Roman" w:cs="Times New Roman" w:eastAsia="Times New Roman"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）为盘活存量资产及支持主营业务发展，提高经营效率，经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日公司第六届董事会、</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w:t>
      </w:r>
    </w:p>
    <w:p>
      <w:pPr>
        <w:spacing w:before="63"/>
        <w:ind w:left="974" w:right="0" w:firstLine="0"/>
        <w:jc w:val="left"/>
        <w:rPr>
          <w:rFonts w:ascii="宋体" w:hAnsi="宋体" w:cs="宋体" w:eastAsia="宋体" w:hint="default"/>
          <w:sz w:val="18"/>
          <w:szCs w:val="18"/>
        </w:rPr>
      </w:pPr>
      <w:r>
        <w:rPr>
          <w:rFonts w:ascii="宋体" w:hAnsi="宋体" w:cs="宋体" w:eastAsia="宋体" w:hint="default"/>
          <w:sz w:val="18"/>
          <w:szCs w:val="18"/>
        </w:rPr>
        <w:t>日公司</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年度第五次临时股东大会审议，同意公司择机出售所持有的东方证券部分股票。年初至报告期末，公司通过上</w:t>
      </w:r>
    </w:p>
    <w:p>
      <w:pPr>
        <w:spacing w:before="64"/>
        <w:ind w:left="974" w:right="0" w:firstLine="0"/>
        <w:jc w:val="left"/>
        <w:rPr>
          <w:rFonts w:ascii="宋体" w:hAnsi="宋体" w:cs="宋体" w:eastAsia="宋体" w:hint="default"/>
          <w:sz w:val="18"/>
          <w:szCs w:val="18"/>
        </w:rPr>
      </w:pPr>
      <w:r>
        <w:rPr>
          <w:rFonts w:ascii="宋体" w:hAnsi="宋体" w:cs="宋体" w:eastAsia="宋体" w:hint="default"/>
          <w:sz w:val="18"/>
          <w:szCs w:val="18"/>
        </w:rPr>
        <w:t>海证券交易所集中竞价交易系统累计出售约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9,728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万股。</w:t>
      </w:r>
    </w:p>
    <w:p>
      <w:pPr>
        <w:spacing w:line="300" w:lineRule="auto" w:before="101"/>
        <w:ind w:left="974" w:right="1131" w:firstLine="360"/>
        <w:jc w:val="both"/>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）报告期末，公司持有东方证券</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2,470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万股占该公司最新股权比例</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0.35%</w:t>
      </w:r>
      <w:r>
        <w:rPr>
          <w:rFonts w:ascii="宋体" w:hAnsi="宋体" w:cs="宋体" w:eastAsia="宋体" w:hint="default"/>
          <w:sz w:val="18"/>
          <w:szCs w:val="18"/>
        </w:rPr>
        <w:t>；中原电子持有交通银行</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131,065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股占该公 司最新股权比例</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0.00018%</w:t>
      </w:r>
      <w:r>
        <w:rPr>
          <w:rFonts w:ascii="宋体" w:hAnsi="宋体" w:cs="宋体" w:eastAsia="宋体" w:hint="default"/>
          <w:sz w:val="18"/>
          <w:szCs w:val="18"/>
        </w:rPr>
        <w:t>；武汉中元通信股份有限公司持有厦门象屿</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808,555</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股占该公司最新股权比例</w:t>
      </w:r>
      <w:r>
        <w:rPr>
          <w:rFonts w:ascii="宋体" w:hAnsi="宋体" w:cs="宋体" w:eastAsia="宋体" w:hint="default"/>
          <w:spacing w:val="-52"/>
          <w:sz w:val="18"/>
          <w:szCs w:val="18"/>
        </w:rPr>
        <w:t> </w:t>
      </w:r>
      <w:r>
        <w:rPr>
          <w:rFonts w:ascii="Times New Roman" w:hAnsi="Times New Roman" w:cs="Times New Roman" w:eastAsia="Times New Roman" w:hint="default"/>
          <w:spacing w:val="-4"/>
          <w:sz w:val="18"/>
          <w:szCs w:val="18"/>
        </w:rPr>
        <w:t>0.04%</w:t>
      </w:r>
      <w:r>
        <w:rPr>
          <w:rFonts w:ascii="宋体" w:hAnsi="宋体" w:cs="宋体" w:eastAsia="宋体" w:hint="default"/>
          <w:spacing w:val="-4"/>
          <w:sz w:val="18"/>
          <w:szCs w:val="18"/>
        </w:rPr>
        <w:t>。前述公司所</w:t>
      </w:r>
      <w:r>
        <w:rPr>
          <w:rFonts w:ascii="宋体" w:hAnsi="宋体" w:cs="宋体" w:eastAsia="宋体" w:hint="default"/>
          <w:sz w:val="18"/>
          <w:szCs w:val="18"/>
        </w:rPr>
        <w:t> 持有的其他上市公司股权均为在重大资产重组整合完成前已经存在，不属于报告期内新增的情形。</w:t>
      </w:r>
    </w:p>
    <w:p>
      <w:pPr>
        <w:spacing w:before="71"/>
        <w:ind w:left="1334"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）报告期末，公司持有湘财证券（证券代码 </w:t>
      </w:r>
      <w:r>
        <w:rPr>
          <w:rFonts w:ascii="Times New Roman" w:hAnsi="Times New Roman" w:cs="Times New Roman" w:eastAsia="Times New Roman" w:hint="default"/>
          <w:sz w:val="18"/>
          <w:szCs w:val="18"/>
        </w:rPr>
        <w:t>430399</w:t>
      </w:r>
      <w:r>
        <w:rPr>
          <w:rFonts w:ascii="宋体" w:hAnsi="宋体" w:cs="宋体" w:eastAsia="宋体" w:hint="default"/>
          <w:sz w:val="18"/>
          <w:szCs w:val="18"/>
        </w:rPr>
        <w:t>）</w:t>
      </w:r>
      <w:r>
        <w:rPr>
          <w:rFonts w:ascii="Times New Roman" w:hAnsi="Times New Roman" w:cs="Times New Roman" w:eastAsia="Times New Roman" w:hint="default"/>
          <w:sz w:val="18"/>
          <w:szCs w:val="18"/>
        </w:rPr>
        <w:t>331.26 </w:t>
      </w:r>
      <w:r>
        <w:rPr>
          <w:rFonts w:ascii="宋体" w:hAnsi="宋体" w:cs="宋体" w:eastAsia="宋体" w:hint="default"/>
          <w:sz w:val="18"/>
          <w:szCs w:val="18"/>
        </w:rPr>
        <w:t>万股占该公司股权比例 </w:t>
      </w:r>
      <w:r>
        <w:rPr>
          <w:rFonts w:ascii="Times New Roman" w:hAnsi="Times New Roman" w:cs="Times New Roman" w:eastAsia="Times New Roman" w:hint="default"/>
          <w:sz w:val="18"/>
          <w:szCs w:val="18"/>
        </w:rPr>
        <w:t>0.09%</w:t>
      </w:r>
      <w:r>
        <w:rPr>
          <w:rFonts w:ascii="宋体" w:hAnsi="宋体" w:cs="宋体" w:eastAsia="宋体" w:hint="default"/>
          <w:sz w:val="18"/>
          <w:szCs w:val="18"/>
        </w:rPr>
        <w:t>，湘财证券于 </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6</w:t>
      </w:r>
    </w:p>
    <w:p>
      <w:pPr>
        <w:spacing w:before="64"/>
        <w:ind w:left="974" w:right="0" w:firstLine="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日终止在全国中小企业股份转让系统挂牌。</w:t>
      </w:r>
    </w:p>
    <w:p>
      <w:pPr>
        <w:spacing w:line="240" w:lineRule="auto" w:before="1"/>
        <w:rPr>
          <w:rFonts w:ascii="宋体" w:hAnsi="宋体" w:cs="宋体" w:eastAsia="宋体" w:hint="default"/>
          <w:sz w:val="21"/>
          <w:szCs w:val="21"/>
        </w:rPr>
      </w:pPr>
    </w:p>
    <w:p>
      <w:pPr>
        <w:pStyle w:val="Heading5"/>
        <w:spacing w:line="240" w:lineRule="auto" w:before="0"/>
        <w:ind w:left="974" w:right="0"/>
        <w:jc w:val="left"/>
        <w:rPr>
          <w:b w:val="0"/>
          <w:bCs w:val="0"/>
        </w:rPr>
      </w:pPr>
      <w:r>
        <w:rPr/>
        <w:t>（</w:t>
      </w:r>
      <w:r>
        <w:rPr>
          <w:rFonts w:ascii="Times New Roman" w:hAnsi="Times New Roman" w:cs="Times New Roman" w:eastAsia="Times New Roman" w:hint="default"/>
        </w:rPr>
        <w:t>2</w:t>
      </w:r>
      <w:r>
        <w:rPr/>
        <w:t>）衍生品投资情况</w:t>
      </w:r>
      <w:r>
        <w:rPr>
          <w:b w:val="0"/>
          <w:bCs w:val="0"/>
        </w:rPr>
      </w:r>
    </w:p>
    <w:p>
      <w:pPr>
        <w:spacing w:line="240" w:lineRule="auto" w:before="0"/>
        <w:rPr>
          <w:rFonts w:ascii="宋体" w:hAnsi="宋体" w:cs="宋体" w:eastAsia="宋体" w:hint="default"/>
          <w:b/>
          <w:bCs/>
          <w:sz w:val="22"/>
          <w:szCs w:val="22"/>
        </w:rPr>
      </w:pPr>
    </w:p>
    <w:p>
      <w:pPr>
        <w:spacing w:line="357" w:lineRule="auto" w:before="0"/>
        <w:ind w:left="1333" w:right="7871" w:hanging="360"/>
        <w:jc w:val="left"/>
        <w:rPr>
          <w:rFonts w:ascii="宋体" w:hAnsi="宋体" w:cs="宋体" w:eastAsia="宋体" w:hint="default"/>
          <w:sz w:val="18"/>
          <w:szCs w:val="18"/>
        </w:rPr>
      </w:pPr>
      <w:r>
        <w:rPr>
          <w:rFonts w:ascii="宋体" w:hAnsi="宋体" w:cs="宋体" w:eastAsia="宋体" w:hint="default"/>
          <w:sz w:val="18"/>
          <w:szCs w:val="18"/>
        </w:rPr>
        <w:t>□ 适用 √ 不适用 公司报告期不存在衍生品投资。</w:t>
      </w:r>
    </w:p>
    <w:p>
      <w:pPr>
        <w:pStyle w:val="Heading5"/>
        <w:spacing w:line="240" w:lineRule="auto" w:before="81"/>
        <w:ind w:left="974" w:right="0"/>
        <w:jc w:val="left"/>
        <w:rPr>
          <w:b w:val="0"/>
          <w:bCs w:val="0"/>
        </w:rPr>
      </w:pPr>
      <w:r>
        <w:rPr>
          <w:rFonts w:ascii="Times New Roman" w:hAnsi="Times New Roman" w:cs="Times New Roman" w:eastAsia="Times New Roman" w:hint="default"/>
        </w:rPr>
        <w:t>5</w:t>
      </w:r>
      <w:r>
        <w:rPr/>
        <w:t>、募集资金使用情况</w:t>
      </w:r>
      <w:r>
        <w:rPr>
          <w:b w:val="0"/>
          <w:bCs w:val="0"/>
        </w:rPr>
      </w:r>
    </w:p>
    <w:p>
      <w:pPr>
        <w:spacing w:before="168"/>
        <w:ind w:left="97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3"/>
        <w:rPr>
          <w:rFonts w:ascii="宋体" w:hAnsi="宋体" w:cs="宋体" w:eastAsia="宋体" w:hint="default"/>
          <w:sz w:val="12"/>
          <w:szCs w:val="12"/>
        </w:rPr>
      </w:pPr>
    </w:p>
    <w:p>
      <w:pPr>
        <w:pStyle w:val="Heading5"/>
        <w:spacing w:line="240" w:lineRule="auto" w:before="0"/>
        <w:ind w:left="974" w:right="0"/>
        <w:jc w:val="left"/>
        <w:rPr>
          <w:b w:val="0"/>
          <w:bCs w:val="0"/>
        </w:rPr>
      </w:pPr>
      <w:r>
        <w:rPr/>
        <w:t>（</w:t>
      </w:r>
      <w:r>
        <w:rPr>
          <w:rFonts w:ascii="Times New Roman" w:hAnsi="Times New Roman" w:cs="Times New Roman" w:eastAsia="Times New Roman" w:hint="default"/>
        </w:rPr>
        <w:t>1</w:t>
      </w:r>
      <w:r>
        <w:rPr/>
        <w:t>）募集资金总体使用情况</w:t>
      </w:r>
      <w:r>
        <w:rPr>
          <w:b w:val="0"/>
          <w:bCs w:val="0"/>
        </w:rPr>
      </w:r>
    </w:p>
    <w:p>
      <w:pPr>
        <w:spacing w:line="240" w:lineRule="auto" w:before="6"/>
        <w:rPr>
          <w:rFonts w:ascii="宋体" w:hAnsi="宋体" w:cs="宋体" w:eastAsia="宋体" w:hint="default"/>
          <w:b/>
          <w:bCs/>
          <w:sz w:val="9"/>
          <w:szCs w:val="9"/>
        </w:rPr>
      </w:pPr>
    </w:p>
    <w:p>
      <w:pPr>
        <w:spacing w:before="44"/>
        <w:ind w:left="97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before="116"/>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1"/>
        <w:rPr>
          <w:rFonts w:ascii="宋体" w:hAnsi="宋体" w:cs="宋体" w:eastAsia="宋体" w:hint="default"/>
          <w:sz w:val="8"/>
          <w:szCs w:val="8"/>
        </w:rPr>
      </w:pPr>
    </w:p>
    <w:tbl>
      <w:tblPr>
        <w:tblW w:w="0" w:type="auto"/>
        <w:jc w:val="left"/>
        <w:tblInd w:w="296" w:type="dxa"/>
        <w:tblLayout w:type="fixed"/>
        <w:tblCellMar>
          <w:top w:w="0" w:type="dxa"/>
          <w:left w:w="0" w:type="dxa"/>
          <w:bottom w:w="0" w:type="dxa"/>
          <w:right w:w="0" w:type="dxa"/>
        </w:tblCellMar>
        <w:tblLook w:val="01E0"/>
      </w:tblPr>
      <w:tblGrid>
        <w:gridCol w:w="866"/>
        <w:gridCol w:w="863"/>
        <w:gridCol w:w="877"/>
        <w:gridCol w:w="870"/>
        <w:gridCol w:w="870"/>
        <w:gridCol w:w="869"/>
        <w:gridCol w:w="870"/>
        <w:gridCol w:w="870"/>
        <w:gridCol w:w="870"/>
        <w:gridCol w:w="2080"/>
        <w:gridCol w:w="1080"/>
      </w:tblGrid>
      <w:tr>
        <w:trPr>
          <w:trHeight w:val="946" w:hRule="exact"/>
        </w:trPr>
        <w:tc>
          <w:tcPr>
            <w:tcW w:w="8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127" w:right="0"/>
              <w:jc w:val="left"/>
              <w:rPr>
                <w:rFonts w:ascii="宋体" w:hAnsi="宋体" w:cs="宋体" w:eastAsia="宋体" w:hint="default"/>
                <w:sz w:val="15"/>
                <w:szCs w:val="15"/>
              </w:rPr>
            </w:pPr>
            <w:r>
              <w:rPr>
                <w:rFonts w:ascii="宋体" w:hAnsi="宋体" w:cs="宋体" w:eastAsia="宋体" w:hint="default"/>
                <w:sz w:val="15"/>
                <w:szCs w:val="15"/>
              </w:rPr>
              <w:t>募集年份</w:t>
            </w:r>
          </w:p>
        </w:tc>
        <w:tc>
          <w:tcPr>
            <w:tcW w:w="8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125" w:right="0"/>
              <w:jc w:val="left"/>
              <w:rPr>
                <w:rFonts w:ascii="宋体" w:hAnsi="宋体" w:cs="宋体" w:eastAsia="宋体" w:hint="default"/>
                <w:sz w:val="15"/>
                <w:szCs w:val="15"/>
              </w:rPr>
            </w:pPr>
            <w:r>
              <w:rPr>
                <w:rFonts w:ascii="宋体" w:hAnsi="宋体" w:cs="宋体" w:eastAsia="宋体" w:hint="default"/>
                <w:sz w:val="15"/>
                <w:szCs w:val="15"/>
              </w:rPr>
              <w:t>募集方式</w:t>
            </w:r>
          </w:p>
        </w:tc>
        <w:tc>
          <w:tcPr>
            <w:tcW w:w="87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6"/>
              <w:ind w:right="0"/>
              <w:jc w:val="left"/>
              <w:rPr>
                <w:rFonts w:ascii="宋体" w:hAnsi="宋体" w:cs="宋体" w:eastAsia="宋体" w:hint="default"/>
                <w:sz w:val="14"/>
                <w:szCs w:val="14"/>
              </w:rPr>
            </w:pPr>
          </w:p>
          <w:p>
            <w:pPr>
              <w:pStyle w:val="TableParagraph"/>
              <w:spacing w:line="381" w:lineRule="auto"/>
              <w:ind w:left="357" w:right="59" w:hanging="300"/>
              <w:jc w:val="left"/>
              <w:rPr>
                <w:rFonts w:ascii="宋体" w:hAnsi="宋体" w:cs="宋体" w:eastAsia="宋体" w:hint="default"/>
                <w:sz w:val="15"/>
                <w:szCs w:val="15"/>
              </w:rPr>
            </w:pPr>
            <w:r>
              <w:rPr>
                <w:rFonts w:ascii="宋体" w:hAnsi="宋体" w:cs="宋体" w:eastAsia="宋体" w:hint="default"/>
                <w:sz w:val="15"/>
                <w:szCs w:val="15"/>
              </w:rPr>
              <w:t>募集资金总 额</w:t>
            </w:r>
          </w:p>
        </w:tc>
        <w:tc>
          <w:tcPr>
            <w:tcW w:w="87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81" w:lineRule="auto" w:before="33"/>
              <w:ind w:left="53" w:right="54"/>
              <w:jc w:val="center"/>
              <w:rPr>
                <w:rFonts w:ascii="宋体" w:hAnsi="宋体" w:cs="宋体" w:eastAsia="宋体" w:hint="default"/>
                <w:sz w:val="15"/>
                <w:szCs w:val="15"/>
              </w:rPr>
            </w:pPr>
            <w:r>
              <w:rPr>
                <w:rFonts w:ascii="宋体" w:hAnsi="宋体" w:cs="宋体" w:eastAsia="宋体" w:hint="default"/>
                <w:sz w:val="15"/>
                <w:szCs w:val="15"/>
              </w:rPr>
              <w:t>本期已使用 募集资金总 额</w:t>
            </w:r>
          </w:p>
        </w:tc>
        <w:tc>
          <w:tcPr>
            <w:tcW w:w="87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81" w:lineRule="auto" w:before="33"/>
              <w:ind w:left="53" w:right="54"/>
              <w:jc w:val="center"/>
              <w:rPr>
                <w:rFonts w:ascii="宋体" w:hAnsi="宋体" w:cs="宋体" w:eastAsia="宋体" w:hint="default"/>
                <w:sz w:val="15"/>
                <w:szCs w:val="15"/>
              </w:rPr>
            </w:pPr>
            <w:r>
              <w:rPr>
                <w:rFonts w:ascii="宋体" w:hAnsi="宋体" w:cs="宋体" w:eastAsia="宋体" w:hint="default"/>
                <w:sz w:val="15"/>
                <w:szCs w:val="15"/>
              </w:rPr>
              <w:t>已累计使用 募集资金总 额</w:t>
            </w:r>
          </w:p>
        </w:tc>
        <w:tc>
          <w:tcPr>
            <w:tcW w:w="86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81" w:lineRule="auto" w:before="33"/>
              <w:ind w:left="53" w:right="53"/>
              <w:jc w:val="both"/>
              <w:rPr>
                <w:rFonts w:ascii="宋体" w:hAnsi="宋体" w:cs="宋体" w:eastAsia="宋体" w:hint="default"/>
                <w:sz w:val="15"/>
                <w:szCs w:val="15"/>
              </w:rPr>
            </w:pPr>
            <w:r>
              <w:rPr>
                <w:rFonts w:ascii="宋体" w:hAnsi="宋体" w:cs="宋体" w:eastAsia="宋体" w:hint="default"/>
                <w:sz w:val="15"/>
                <w:szCs w:val="15"/>
              </w:rPr>
              <w:t>报告期内变 更用途的募 集资金总额</w:t>
            </w:r>
          </w:p>
        </w:tc>
        <w:tc>
          <w:tcPr>
            <w:tcW w:w="87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81" w:lineRule="auto" w:before="33"/>
              <w:ind w:left="53" w:right="54"/>
              <w:jc w:val="center"/>
              <w:rPr>
                <w:rFonts w:ascii="宋体" w:hAnsi="宋体" w:cs="宋体" w:eastAsia="宋体" w:hint="default"/>
                <w:sz w:val="15"/>
                <w:szCs w:val="15"/>
              </w:rPr>
            </w:pPr>
            <w:r>
              <w:rPr>
                <w:rFonts w:ascii="宋体" w:hAnsi="宋体" w:cs="宋体" w:eastAsia="宋体" w:hint="default"/>
                <w:sz w:val="15"/>
                <w:szCs w:val="15"/>
              </w:rPr>
              <w:t>累计变更用 途的募集资 金总额</w:t>
            </w:r>
          </w:p>
        </w:tc>
        <w:tc>
          <w:tcPr>
            <w:tcW w:w="87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81" w:lineRule="auto" w:before="33"/>
              <w:ind w:left="53" w:right="54"/>
              <w:jc w:val="both"/>
              <w:rPr>
                <w:rFonts w:ascii="宋体" w:hAnsi="宋体" w:cs="宋体" w:eastAsia="宋体" w:hint="default"/>
                <w:sz w:val="15"/>
                <w:szCs w:val="15"/>
              </w:rPr>
            </w:pPr>
            <w:r>
              <w:rPr>
                <w:rFonts w:ascii="宋体" w:hAnsi="宋体" w:cs="宋体" w:eastAsia="宋体" w:hint="default"/>
                <w:sz w:val="15"/>
                <w:szCs w:val="15"/>
              </w:rPr>
              <w:t>累计变更用 途的募集资 金总额比例</w:t>
            </w:r>
          </w:p>
        </w:tc>
        <w:tc>
          <w:tcPr>
            <w:tcW w:w="87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6"/>
              <w:ind w:right="0"/>
              <w:jc w:val="left"/>
              <w:rPr>
                <w:rFonts w:ascii="宋体" w:hAnsi="宋体" w:cs="宋体" w:eastAsia="宋体" w:hint="default"/>
                <w:sz w:val="14"/>
                <w:szCs w:val="14"/>
              </w:rPr>
            </w:pPr>
          </w:p>
          <w:p>
            <w:pPr>
              <w:pStyle w:val="TableParagraph"/>
              <w:spacing w:line="381" w:lineRule="auto"/>
              <w:ind w:left="54" w:right="54"/>
              <w:jc w:val="left"/>
              <w:rPr>
                <w:rFonts w:ascii="宋体" w:hAnsi="宋体" w:cs="宋体" w:eastAsia="宋体" w:hint="default"/>
                <w:sz w:val="15"/>
                <w:szCs w:val="15"/>
              </w:rPr>
            </w:pPr>
            <w:r>
              <w:rPr>
                <w:rFonts w:ascii="宋体" w:hAnsi="宋体" w:cs="宋体" w:eastAsia="宋体" w:hint="default"/>
                <w:sz w:val="15"/>
                <w:szCs w:val="15"/>
              </w:rPr>
              <w:t>尚未使用募 集资金总额</w:t>
            </w:r>
          </w:p>
        </w:tc>
        <w:tc>
          <w:tcPr>
            <w:tcW w:w="2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58" w:right="0"/>
              <w:jc w:val="left"/>
              <w:rPr>
                <w:rFonts w:ascii="宋体" w:hAnsi="宋体" w:cs="宋体" w:eastAsia="宋体" w:hint="default"/>
                <w:sz w:val="15"/>
                <w:szCs w:val="15"/>
              </w:rPr>
            </w:pPr>
            <w:r>
              <w:rPr>
                <w:rFonts w:ascii="宋体" w:hAnsi="宋体" w:cs="宋体" w:eastAsia="宋体" w:hint="default"/>
                <w:sz w:val="15"/>
                <w:szCs w:val="15"/>
              </w:rPr>
              <w:t>尚未使用募集资金用途及去向</w:t>
            </w:r>
          </w:p>
        </w:tc>
        <w:tc>
          <w:tcPr>
            <w:tcW w:w="1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6"/>
              <w:ind w:right="0"/>
              <w:jc w:val="left"/>
              <w:rPr>
                <w:rFonts w:ascii="宋体" w:hAnsi="宋体" w:cs="宋体" w:eastAsia="宋体" w:hint="default"/>
                <w:sz w:val="14"/>
                <w:szCs w:val="14"/>
              </w:rPr>
            </w:pPr>
          </w:p>
          <w:p>
            <w:pPr>
              <w:pStyle w:val="TableParagraph"/>
              <w:spacing w:line="381" w:lineRule="auto"/>
              <w:ind w:left="84" w:right="84"/>
              <w:jc w:val="left"/>
              <w:rPr>
                <w:rFonts w:ascii="宋体" w:hAnsi="宋体" w:cs="宋体" w:eastAsia="宋体" w:hint="default"/>
                <w:sz w:val="15"/>
                <w:szCs w:val="15"/>
              </w:rPr>
            </w:pPr>
            <w:r>
              <w:rPr>
                <w:rFonts w:ascii="宋体" w:hAnsi="宋体" w:cs="宋体" w:eastAsia="宋体" w:hint="default"/>
                <w:sz w:val="15"/>
                <w:szCs w:val="15"/>
              </w:rPr>
              <w:t>闲置两年以上 募集资金金额</w:t>
            </w:r>
          </w:p>
        </w:tc>
      </w:tr>
      <w:tr>
        <w:trPr>
          <w:trHeight w:val="238" w:hRule="exact"/>
        </w:trPr>
        <w:tc>
          <w:tcPr>
            <w:tcW w:w="866" w:type="dxa"/>
            <w:tcBorders>
              <w:top w:val="single" w:sz="4" w:space="0" w:color="000000"/>
              <w:left w:val="single" w:sz="4" w:space="0" w:color="000000"/>
              <w:bottom w:val="nil" w:sz="6" w:space="0" w:color="auto"/>
              <w:right w:val="single" w:sz="4" w:space="0" w:color="000000"/>
            </w:tcBorders>
          </w:tcPr>
          <w:p>
            <w:pPr/>
          </w:p>
        </w:tc>
        <w:tc>
          <w:tcPr>
            <w:tcW w:w="863" w:type="dxa"/>
            <w:tcBorders>
              <w:top w:val="single" w:sz="4" w:space="0" w:color="000000"/>
              <w:left w:val="single" w:sz="4" w:space="0" w:color="000000"/>
              <w:bottom w:val="nil" w:sz="6" w:space="0" w:color="auto"/>
              <w:right w:val="single" w:sz="4" w:space="0" w:color="000000"/>
            </w:tcBorders>
          </w:tcPr>
          <w:p>
            <w:pPr/>
          </w:p>
        </w:tc>
        <w:tc>
          <w:tcPr>
            <w:tcW w:w="877" w:type="dxa"/>
            <w:tcBorders>
              <w:top w:val="single" w:sz="4" w:space="0" w:color="000000"/>
              <w:left w:val="single" w:sz="4" w:space="0" w:color="000000"/>
              <w:bottom w:val="nil" w:sz="6" w:space="0" w:color="auto"/>
              <w:right w:val="single" w:sz="4" w:space="0" w:color="000000"/>
            </w:tcBorders>
          </w:tcPr>
          <w:p>
            <w:pPr/>
          </w:p>
        </w:tc>
        <w:tc>
          <w:tcPr>
            <w:tcW w:w="870" w:type="dxa"/>
            <w:tcBorders>
              <w:top w:val="single" w:sz="4" w:space="0" w:color="000000"/>
              <w:left w:val="single" w:sz="4" w:space="0" w:color="000000"/>
              <w:bottom w:val="nil" w:sz="6" w:space="0" w:color="auto"/>
              <w:right w:val="single" w:sz="4" w:space="0" w:color="000000"/>
            </w:tcBorders>
          </w:tcPr>
          <w:p>
            <w:pPr/>
          </w:p>
        </w:tc>
        <w:tc>
          <w:tcPr>
            <w:tcW w:w="870"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70" w:type="dxa"/>
            <w:tcBorders>
              <w:top w:val="single" w:sz="4" w:space="0" w:color="000000"/>
              <w:left w:val="single" w:sz="4" w:space="0" w:color="000000"/>
              <w:bottom w:val="nil" w:sz="6" w:space="0" w:color="auto"/>
              <w:right w:val="single" w:sz="4" w:space="0" w:color="000000"/>
            </w:tcBorders>
          </w:tcPr>
          <w:p>
            <w:pPr/>
          </w:p>
        </w:tc>
        <w:tc>
          <w:tcPr>
            <w:tcW w:w="870" w:type="dxa"/>
            <w:tcBorders>
              <w:top w:val="single" w:sz="4" w:space="0" w:color="000000"/>
              <w:left w:val="single" w:sz="4" w:space="0" w:color="000000"/>
              <w:bottom w:val="nil" w:sz="6" w:space="0" w:color="auto"/>
              <w:right w:val="single" w:sz="4" w:space="0" w:color="000000"/>
            </w:tcBorders>
          </w:tcPr>
          <w:p>
            <w:pPr/>
          </w:p>
        </w:tc>
        <w:tc>
          <w:tcPr>
            <w:tcW w:w="870" w:type="dxa"/>
            <w:tcBorders>
              <w:top w:val="single" w:sz="4" w:space="0" w:color="000000"/>
              <w:left w:val="single" w:sz="4" w:space="0" w:color="000000"/>
              <w:bottom w:val="nil" w:sz="6" w:space="0" w:color="auto"/>
              <w:right w:val="single" w:sz="4" w:space="0" w:color="000000"/>
            </w:tcBorders>
          </w:tcPr>
          <w:p>
            <w:pPr/>
          </w:p>
        </w:tc>
        <w:tc>
          <w:tcPr>
            <w:tcW w:w="208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3"/>
              <w:ind w:left="22" w:right="0"/>
              <w:jc w:val="left"/>
              <w:rPr>
                <w:rFonts w:ascii="宋体" w:hAnsi="宋体" w:cs="宋体" w:eastAsia="宋体" w:hint="default"/>
                <w:sz w:val="15"/>
                <w:szCs w:val="15"/>
              </w:rPr>
            </w:pPr>
            <w:r>
              <w:rPr>
                <w:rFonts w:ascii="宋体" w:hAnsi="宋体" w:cs="宋体" w:eastAsia="宋体" w:hint="default"/>
                <w:sz w:val="15"/>
                <w:szCs w:val="15"/>
              </w:rPr>
              <w:t>尚未使用募集资金（暂时补充</w:t>
            </w:r>
          </w:p>
        </w:tc>
        <w:tc>
          <w:tcPr>
            <w:tcW w:w="1080" w:type="dxa"/>
            <w:tcBorders>
              <w:top w:val="single" w:sz="4" w:space="0" w:color="000000"/>
              <w:left w:val="single" w:sz="4" w:space="0" w:color="000000"/>
              <w:bottom w:val="nil" w:sz="6" w:space="0" w:color="auto"/>
              <w:right w:val="single" w:sz="4" w:space="0" w:color="000000"/>
            </w:tcBorders>
          </w:tcPr>
          <w:p>
            <w:pPr/>
          </w:p>
        </w:tc>
      </w:tr>
      <w:tr>
        <w:trPr>
          <w:trHeight w:val="156" w:hRule="exact"/>
        </w:trPr>
        <w:tc>
          <w:tcPr>
            <w:tcW w:w="866" w:type="dxa"/>
            <w:tcBorders>
              <w:top w:val="nil" w:sz="6" w:space="0" w:color="auto"/>
              <w:left w:val="single" w:sz="4" w:space="0" w:color="000000"/>
              <w:bottom w:val="nil" w:sz="6" w:space="0" w:color="auto"/>
              <w:right w:val="single" w:sz="4" w:space="0" w:color="000000"/>
            </w:tcBorders>
          </w:tcPr>
          <w:p>
            <w:pPr/>
          </w:p>
        </w:tc>
        <w:tc>
          <w:tcPr>
            <w:tcW w:w="863" w:type="dxa"/>
            <w:tcBorders>
              <w:top w:val="nil" w:sz="6" w:space="0" w:color="auto"/>
              <w:left w:val="single" w:sz="4" w:space="0" w:color="000000"/>
              <w:bottom w:val="nil" w:sz="6" w:space="0" w:color="auto"/>
              <w:right w:val="single" w:sz="4" w:space="0" w:color="000000"/>
            </w:tcBorders>
          </w:tcPr>
          <w:p>
            <w:pPr>
              <w:pStyle w:val="TableParagraph"/>
              <w:spacing w:line="153" w:lineRule="exact"/>
              <w:ind w:left="22" w:right="0"/>
              <w:jc w:val="left"/>
              <w:rPr>
                <w:rFonts w:ascii="宋体" w:hAnsi="宋体" w:cs="宋体" w:eastAsia="宋体" w:hint="default"/>
                <w:sz w:val="15"/>
                <w:szCs w:val="15"/>
              </w:rPr>
            </w:pPr>
            <w:r>
              <w:rPr>
                <w:rFonts w:ascii="宋体" w:hAnsi="宋体" w:cs="宋体" w:eastAsia="宋体" w:hint="default"/>
                <w:sz w:val="15"/>
                <w:szCs w:val="15"/>
              </w:rPr>
              <w:t>非公开发行</w:t>
            </w:r>
          </w:p>
        </w:tc>
        <w:tc>
          <w:tcPr>
            <w:tcW w:w="877" w:type="dxa"/>
            <w:tcBorders>
              <w:top w:val="nil" w:sz="6" w:space="0" w:color="auto"/>
              <w:left w:val="single" w:sz="4" w:space="0" w:color="000000"/>
              <w:bottom w:val="nil" w:sz="6" w:space="0" w:color="auto"/>
              <w:right w:val="single" w:sz="4" w:space="0" w:color="000000"/>
            </w:tcBorders>
          </w:tcPr>
          <w:p>
            <w:pPr/>
          </w:p>
        </w:tc>
        <w:tc>
          <w:tcPr>
            <w:tcW w:w="870" w:type="dxa"/>
            <w:tcBorders>
              <w:top w:val="nil" w:sz="6" w:space="0" w:color="auto"/>
              <w:left w:val="single" w:sz="4" w:space="0" w:color="000000"/>
              <w:bottom w:val="nil" w:sz="6" w:space="0" w:color="auto"/>
              <w:right w:val="single" w:sz="4" w:space="0" w:color="000000"/>
            </w:tcBorders>
          </w:tcPr>
          <w:p>
            <w:pPr/>
          </w:p>
        </w:tc>
        <w:tc>
          <w:tcPr>
            <w:tcW w:w="870" w:type="dxa"/>
            <w:tcBorders>
              <w:top w:val="nil" w:sz="6" w:space="0" w:color="auto"/>
              <w:left w:val="single" w:sz="4" w:space="0" w:color="000000"/>
              <w:bottom w:val="nil" w:sz="6" w:space="0" w:color="auto"/>
              <w:right w:val="single" w:sz="4" w:space="0" w:color="000000"/>
            </w:tcBorders>
          </w:tcPr>
          <w:p>
            <w:pPr/>
          </w:p>
        </w:tc>
        <w:tc>
          <w:tcPr>
            <w:tcW w:w="869" w:type="dxa"/>
            <w:tcBorders>
              <w:top w:val="nil" w:sz="6" w:space="0" w:color="auto"/>
              <w:left w:val="single" w:sz="4" w:space="0" w:color="000000"/>
              <w:bottom w:val="nil" w:sz="6" w:space="0" w:color="auto"/>
              <w:right w:val="single" w:sz="4" w:space="0" w:color="000000"/>
            </w:tcBorders>
          </w:tcPr>
          <w:p>
            <w:pPr/>
          </w:p>
        </w:tc>
        <w:tc>
          <w:tcPr>
            <w:tcW w:w="870" w:type="dxa"/>
            <w:tcBorders>
              <w:top w:val="nil" w:sz="6" w:space="0" w:color="auto"/>
              <w:left w:val="single" w:sz="4" w:space="0" w:color="000000"/>
              <w:bottom w:val="nil" w:sz="6" w:space="0" w:color="auto"/>
              <w:right w:val="single" w:sz="4" w:space="0" w:color="000000"/>
            </w:tcBorders>
          </w:tcPr>
          <w:p>
            <w:pPr/>
          </w:p>
        </w:tc>
        <w:tc>
          <w:tcPr>
            <w:tcW w:w="870" w:type="dxa"/>
            <w:tcBorders>
              <w:top w:val="nil" w:sz="6" w:space="0" w:color="auto"/>
              <w:left w:val="single" w:sz="4" w:space="0" w:color="000000"/>
              <w:bottom w:val="nil" w:sz="6" w:space="0" w:color="auto"/>
              <w:right w:val="single" w:sz="4" w:space="0" w:color="000000"/>
            </w:tcBorders>
          </w:tcPr>
          <w:p>
            <w:pPr/>
          </w:p>
        </w:tc>
        <w:tc>
          <w:tcPr>
            <w:tcW w:w="870" w:type="dxa"/>
            <w:tcBorders>
              <w:top w:val="nil" w:sz="6" w:space="0" w:color="auto"/>
              <w:left w:val="single" w:sz="4" w:space="0" w:color="000000"/>
              <w:bottom w:val="nil" w:sz="6" w:space="0" w:color="auto"/>
              <w:right w:val="single" w:sz="4" w:space="0" w:color="000000"/>
            </w:tcBorders>
          </w:tcPr>
          <w:p>
            <w:pPr/>
          </w:p>
        </w:tc>
        <w:tc>
          <w:tcPr>
            <w:tcW w:w="208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r>
      <w:tr>
        <w:trPr>
          <w:trHeight w:val="160" w:hRule="exact"/>
        </w:trPr>
        <w:tc>
          <w:tcPr>
            <w:tcW w:w="866" w:type="dxa"/>
            <w:tcBorders>
              <w:top w:val="nil" w:sz="6" w:space="0" w:color="auto"/>
              <w:left w:val="single" w:sz="4" w:space="0" w:color="000000"/>
              <w:bottom w:val="nil" w:sz="6" w:space="0" w:color="auto"/>
              <w:right w:val="single" w:sz="4" w:space="0" w:color="000000"/>
            </w:tcBorders>
          </w:tcPr>
          <w:p>
            <w:pPr>
              <w:pStyle w:val="TableParagraph"/>
              <w:spacing w:line="164" w:lineRule="exact"/>
              <w:ind w:left="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2014</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年</w:t>
            </w:r>
          </w:p>
        </w:tc>
        <w:tc>
          <w:tcPr>
            <w:tcW w:w="863" w:type="dxa"/>
            <w:tcBorders>
              <w:top w:val="nil" w:sz="6" w:space="0" w:color="auto"/>
              <w:left w:val="single" w:sz="4" w:space="0" w:color="000000"/>
              <w:bottom w:val="nil" w:sz="6" w:space="0" w:color="auto"/>
              <w:right w:val="single" w:sz="4" w:space="0" w:color="000000"/>
            </w:tcBorders>
          </w:tcPr>
          <w:p>
            <w:pPr/>
          </w:p>
        </w:tc>
        <w:tc>
          <w:tcPr>
            <w:tcW w:w="877" w:type="dxa"/>
            <w:tcBorders>
              <w:top w:val="nil" w:sz="6" w:space="0" w:color="auto"/>
              <w:left w:val="single" w:sz="4" w:space="0" w:color="000000"/>
              <w:bottom w:val="nil" w:sz="6" w:space="0" w:color="auto"/>
              <w:right w:val="single" w:sz="4" w:space="0" w:color="000000"/>
            </w:tcBorders>
          </w:tcPr>
          <w:p>
            <w:pPr>
              <w:pStyle w:val="TableParagraph"/>
              <w:spacing w:line="163" w:lineRule="exact"/>
              <w:ind w:right="20"/>
              <w:jc w:val="right"/>
              <w:rPr>
                <w:rFonts w:ascii="Times New Roman" w:hAnsi="Times New Roman" w:cs="Times New Roman" w:eastAsia="Times New Roman" w:hint="default"/>
                <w:sz w:val="15"/>
                <w:szCs w:val="15"/>
              </w:rPr>
            </w:pPr>
            <w:r>
              <w:rPr>
                <w:rFonts w:ascii="Times New Roman"/>
                <w:spacing w:val="-1"/>
                <w:sz w:val="15"/>
              </w:rPr>
              <w:t>97,960.00</w:t>
            </w:r>
          </w:p>
        </w:tc>
        <w:tc>
          <w:tcPr>
            <w:tcW w:w="870" w:type="dxa"/>
            <w:tcBorders>
              <w:top w:val="nil" w:sz="6" w:space="0" w:color="auto"/>
              <w:left w:val="single" w:sz="4" w:space="0" w:color="000000"/>
              <w:bottom w:val="nil" w:sz="6" w:space="0" w:color="auto"/>
              <w:right w:val="single" w:sz="4" w:space="0" w:color="000000"/>
            </w:tcBorders>
          </w:tcPr>
          <w:p>
            <w:pPr>
              <w:pStyle w:val="TableParagraph"/>
              <w:spacing w:line="163" w:lineRule="exact"/>
              <w:ind w:right="20"/>
              <w:jc w:val="right"/>
              <w:rPr>
                <w:rFonts w:ascii="Times New Roman" w:hAnsi="Times New Roman" w:cs="Times New Roman" w:eastAsia="Times New Roman" w:hint="default"/>
                <w:sz w:val="15"/>
                <w:szCs w:val="15"/>
              </w:rPr>
            </w:pPr>
            <w:r>
              <w:rPr>
                <w:rFonts w:ascii="Times New Roman"/>
                <w:spacing w:val="-1"/>
                <w:sz w:val="15"/>
              </w:rPr>
              <w:t>22,628.67</w:t>
            </w:r>
          </w:p>
        </w:tc>
        <w:tc>
          <w:tcPr>
            <w:tcW w:w="870" w:type="dxa"/>
            <w:tcBorders>
              <w:top w:val="nil" w:sz="6" w:space="0" w:color="auto"/>
              <w:left w:val="single" w:sz="4" w:space="0" w:color="000000"/>
              <w:bottom w:val="nil" w:sz="6" w:space="0" w:color="auto"/>
              <w:right w:val="single" w:sz="4" w:space="0" w:color="000000"/>
            </w:tcBorders>
          </w:tcPr>
          <w:p>
            <w:pPr>
              <w:pStyle w:val="TableParagraph"/>
              <w:spacing w:line="163" w:lineRule="exact"/>
              <w:ind w:right="20"/>
              <w:jc w:val="right"/>
              <w:rPr>
                <w:rFonts w:ascii="Times New Roman" w:hAnsi="Times New Roman" w:cs="Times New Roman" w:eastAsia="Times New Roman" w:hint="default"/>
                <w:sz w:val="15"/>
                <w:szCs w:val="15"/>
              </w:rPr>
            </w:pPr>
            <w:r>
              <w:rPr>
                <w:rFonts w:ascii="Times New Roman"/>
                <w:spacing w:val="-1"/>
                <w:sz w:val="15"/>
              </w:rPr>
              <w:t>70,062.94</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163" w:lineRule="exact"/>
              <w:ind w:right="20"/>
              <w:jc w:val="right"/>
              <w:rPr>
                <w:rFonts w:ascii="Times New Roman" w:hAnsi="Times New Roman" w:cs="Times New Roman" w:eastAsia="Times New Roman" w:hint="default"/>
                <w:sz w:val="15"/>
                <w:szCs w:val="15"/>
              </w:rPr>
            </w:pPr>
            <w:r>
              <w:rPr>
                <w:rFonts w:ascii="Times New Roman"/>
                <w:spacing w:val="-1"/>
                <w:sz w:val="15"/>
              </w:rPr>
              <w:t>15,400.00</w:t>
            </w:r>
          </w:p>
        </w:tc>
        <w:tc>
          <w:tcPr>
            <w:tcW w:w="870" w:type="dxa"/>
            <w:tcBorders>
              <w:top w:val="nil" w:sz="6" w:space="0" w:color="auto"/>
              <w:left w:val="single" w:sz="4" w:space="0" w:color="000000"/>
              <w:bottom w:val="nil" w:sz="6" w:space="0" w:color="auto"/>
              <w:right w:val="single" w:sz="4" w:space="0" w:color="000000"/>
            </w:tcBorders>
          </w:tcPr>
          <w:p>
            <w:pPr>
              <w:pStyle w:val="TableParagraph"/>
              <w:spacing w:line="163" w:lineRule="exact"/>
              <w:ind w:right="20"/>
              <w:jc w:val="right"/>
              <w:rPr>
                <w:rFonts w:ascii="Times New Roman" w:hAnsi="Times New Roman" w:cs="Times New Roman" w:eastAsia="Times New Roman" w:hint="default"/>
                <w:sz w:val="15"/>
                <w:szCs w:val="15"/>
              </w:rPr>
            </w:pPr>
            <w:r>
              <w:rPr>
                <w:rFonts w:ascii="Times New Roman"/>
                <w:spacing w:val="-1"/>
                <w:sz w:val="15"/>
              </w:rPr>
              <w:t>15,400.00</w:t>
            </w:r>
          </w:p>
        </w:tc>
        <w:tc>
          <w:tcPr>
            <w:tcW w:w="870" w:type="dxa"/>
            <w:tcBorders>
              <w:top w:val="nil" w:sz="6" w:space="0" w:color="auto"/>
              <w:left w:val="single" w:sz="4" w:space="0" w:color="000000"/>
              <w:bottom w:val="nil" w:sz="6" w:space="0" w:color="auto"/>
              <w:right w:val="single" w:sz="4" w:space="0" w:color="000000"/>
            </w:tcBorders>
          </w:tcPr>
          <w:p>
            <w:pPr>
              <w:pStyle w:val="TableParagraph"/>
              <w:spacing w:line="163" w:lineRule="exact"/>
              <w:ind w:right="20"/>
              <w:jc w:val="right"/>
              <w:rPr>
                <w:rFonts w:ascii="Times New Roman" w:hAnsi="Times New Roman" w:cs="Times New Roman" w:eastAsia="Times New Roman" w:hint="default"/>
                <w:sz w:val="15"/>
                <w:szCs w:val="15"/>
              </w:rPr>
            </w:pPr>
            <w:r>
              <w:rPr>
                <w:rFonts w:ascii="Times New Roman"/>
                <w:spacing w:val="-1"/>
                <w:sz w:val="15"/>
              </w:rPr>
              <w:t>15.72%</w:t>
            </w:r>
          </w:p>
        </w:tc>
        <w:tc>
          <w:tcPr>
            <w:tcW w:w="870" w:type="dxa"/>
            <w:tcBorders>
              <w:top w:val="nil" w:sz="6" w:space="0" w:color="auto"/>
              <w:left w:val="single" w:sz="4" w:space="0" w:color="000000"/>
              <w:bottom w:val="nil" w:sz="6" w:space="0" w:color="auto"/>
              <w:right w:val="single" w:sz="4" w:space="0" w:color="000000"/>
            </w:tcBorders>
          </w:tcPr>
          <w:p>
            <w:pPr>
              <w:pStyle w:val="TableParagraph"/>
              <w:spacing w:line="163" w:lineRule="exact"/>
              <w:ind w:right="20"/>
              <w:jc w:val="right"/>
              <w:rPr>
                <w:rFonts w:ascii="Times New Roman" w:hAnsi="Times New Roman" w:cs="Times New Roman" w:eastAsia="Times New Roman" w:hint="default"/>
                <w:sz w:val="15"/>
                <w:szCs w:val="15"/>
              </w:rPr>
            </w:pPr>
            <w:r>
              <w:rPr>
                <w:rFonts w:ascii="Times New Roman"/>
                <w:spacing w:val="-1"/>
                <w:sz w:val="15"/>
              </w:rPr>
              <w:t>30,494.96</w:t>
            </w:r>
          </w:p>
        </w:tc>
        <w:tc>
          <w:tcPr>
            <w:tcW w:w="2080" w:type="dxa"/>
            <w:tcBorders>
              <w:top w:val="nil" w:sz="6" w:space="0" w:color="auto"/>
              <w:left w:val="single" w:sz="4" w:space="0" w:color="000000"/>
              <w:bottom w:val="nil" w:sz="6" w:space="0" w:color="auto"/>
              <w:right w:val="single" w:sz="4" w:space="0" w:color="000000"/>
            </w:tcBorders>
          </w:tcPr>
          <w:p>
            <w:pPr>
              <w:pStyle w:val="TableParagraph"/>
              <w:spacing w:line="153" w:lineRule="exact"/>
              <w:ind w:left="22" w:right="0"/>
              <w:jc w:val="left"/>
              <w:rPr>
                <w:rFonts w:ascii="宋体" w:hAnsi="宋体" w:cs="宋体" w:eastAsia="宋体" w:hint="default"/>
                <w:sz w:val="15"/>
                <w:szCs w:val="15"/>
              </w:rPr>
            </w:pPr>
            <w:r>
              <w:rPr>
                <w:rFonts w:ascii="宋体" w:hAnsi="宋体" w:cs="宋体" w:eastAsia="宋体" w:hint="default"/>
                <w:sz w:val="15"/>
                <w:szCs w:val="15"/>
              </w:rPr>
              <w:t>流动资金除外）存放于公司募</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163" w:lineRule="exact"/>
              <w:ind w:right="0"/>
              <w:jc w:val="center"/>
              <w:rPr>
                <w:rFonts w:ascii="Times New Roman" w:hAnsi="Times New Roman" w:cs="Times New Roman" w:eastAsia="Times New Roman" w:hint="default"/>
                <w:sz w:val="15"/>
                <w:szCs w:val="15"/>
              </w:rPr>
            </w:pPr>
            <w:r>
              <w:rPr>
                <w:rFonts w:ascii="Times New Roman"/>
                <w:sz w:val="15"/>
              </w:rPr>
              <w:t>--</w:t>
            </w:r>
          </w:p>
        </w:tc>
      </w:tr>
      <w:tr>
        <w:trPr>
          <w:trHeight w:val="152" w:hRule="exact"/>
        </w:trPr>
        <w:tc>
          <w:tcPr>
            <w:tcW w:w="866" w:type="dxa"/>
            <w:tcBorders>
              <w:top w:val="nil" w:sz="6" w:space="0" w:color="auto"/>
              <w:left w:val="single" w:sz="4" w:space="0" w:color="000000"/>
              <w:bottom w:val="nil" w:sz="6" w:space="0" w:color="auto"/>
              <w:right w:val="single" w:sz="4" w:space="0" w:color="000000"/>
            </w:tcBorders>
          </w:tcPr>
          <w:p>
            <w:pPr/>
          </w:p>
        </w:tc>
        <w:tc>
          <w:tcPr>
            <w:tcW w:w="863"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22" w:right="0"/>
              <w:jc w:val="left"/>
              <w:rPr>
                <w:rFonts w:ascii="宋体" w:hAnsi="宋体" w:cs="宋体" w:eastAsia="宋体" w:hint="default"/>
                <w:sz w:val="15"/>
                <w:szCs w:val="15"/>
              </w:rPr>
            </w:pPr>
            <w:r>
              <w:rPr>
                <w:rFonts w:ascii="宋体" w:hAnsi="宋体" w:cs="宋体" w:eastAsia="宋体" w:hint="default"/>
                <w:sz w:val="15"/>
                <w:szCs w:val="15"/>
              </w:rPr>
              <w:t>股票</w:t>
            </w:r>
          </w:p>
        </w:tc>
        <w:tc>
          <w:tcPr>
            <w:tcW w:w="877" w:type="dxa"/>
            <w:tcBorders>
              <w:top w:val="nil" w:sz="6" w:space="0" w:color="auto"/>
              <w:left w:val="single" w:sz="4" w:space="0" w:color="000000"/>
              <w:bottom w:val="nil" w:sz="6" w:space="0" w:color="auto"/>
              <w:right w:val="single" w:sz="4" w:space="0" w:color="000000"/>
            </w:tcBorders>
          </w:tcPr>
          <w:p>
            <w:pPr/>
          </w:p>
        </w:tc>
        <w:tc>
          <w:tcPr>
            <w:tcW w:w="870" w:type="dxa"/>
            <w:tcBorders>
              <w:top w:val="nil" w:sz="6" w:space="0" w:color="auto"/>
              <w:left w:val="single" w:sz="4" w:space="0" w:color="000000"/>
              <w:bottom w:val="nil" w:sz="6" w:space="0" w:color="auto"/>
              <w:right w:val="single" w:sz="4" w:space="0" w:color="000000"/>
            </w:tcBorders>
          </w:tcPr>
          <w:p>
            <w:pPr/>
          </w:p>
        </w:tc>
        <w:tc>
          <w:tcPr>
            <w:tcW w:w="870" w:type="dxa"/>
            <w:tcBorders>
              <w:top w:val="nil" w:sz="6" w:space="0" w:color="auto"/>
              <w:left w:val="single" w:sz="4" w:space="0" w:color="000000"/>
              <w:bottom w:val="nil" w:sz="6" w:space="0" w:color="auto"/>
              <w:right w:val="single" w:sz="4" w:space="0" w:color="000000"/>
            </w:tcBorders>
          </w:tcPr>
          <w:p>
            <w:pPr/>
          </w:p>
        </w:tc>
        <w:tc>
          <w:tcPr>
            <w:tcW w:w="869" w:type="dxa"/>
            <w:tcBorders>
              <w:top w:val="nil" w:sz="6" w:space="0" w:color="auto"/>
              <w:left w:val="single" w:sz="4" w:space="0" w:color="000000"/>
              <w:bottom w:val="nil" w:sz="6" w:space="0" w:color="auto"/>
              <w:right w:val="single" w:sz="4" w:space="0" w:color="000000"/>
            </w:tcBorders>
          </w:tcPr>
          <w:p>
            <w:pPr/>
          </w:p>
        </w:tc>
        <w:tc>
          <w:tcPr>
            <w:tcW w:w="870" w:type="dxa"/>
            <w:tcBorders>
              <w:top w:val="nil" w:sz="6" w:space="0" w:color="auto"/>
              <w:left w:val="single" w:sz="4" w:space="0" w:color="000000"/>
              <w:bottom w:val="nil" w:sz="6" w:space="0" w:color="auto"/>
              <w:right w:val="single" w:sz="4" w:space="0" w:color="000000"/>
            </w:tcBorders>
          </w:tcPr>
          <w:p>
            <w:pPr/>
          </w:p>
        </w:tc>
        <w:tc>
          <w:tcPr>
            <w:tcW w:w="870" w:type="dxa"/>
            <w:tcBorders>
              <w:top w:val="nil" w:sz="6" w:space="0" w:color="auto"/>
              <w:left w:val="single" w:sz="4" w:space="0" w:color="000000"/>
              <w:bottom w:val="nil" w:sz="6" w:space="0" w:color="auto"/>
              <w:right w:val="single" w:sz="4" w:space="0" w:color="000000"/>
            </w:tcBorders>
          </w:tcPr>
          <w:p>
            <w:pPr/>
          </w:p>
        </w:tc>
        <w:tc>
          <w:tcPr>
            <w:tcW w:w="870" w:type="dxa"/>
            <w:tcBorders>
              <w:top w:val="nil" w:sz="6" w:space="0" w:color="auto"/>
              <w:left w:val="single" w:sz="4" w:space="0" w:color="000000"/>
              <w:bottom w:val="nil" w:sz="6" w:space="0" w:color="auto"/>
              <w:right w:val="single" w:sz="4" w:space="0" w:color="000000"/>
            </w:tcBorders>
          </w:tcPr>
          <w:p>
            <w:pPr/>
          </w:p>
        </w:tc>
        <w:tc>
          <w:tcPr>
            <w:tcW w:w="208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r>
      <w:tr>
        <w:trPr>
          <w:trHeight w:val="240" w:hRule="exact"/>
        </w:trPr>
        <w:tc>
          <w:tcPr>
            <w:tcW w:w="866" w:type="dxa"/>
            <w:tcBorders>
              <w:top w:val="nil" w:sz="6" w:space="0" w:color="auto"/>
              <w:left w:val="single" w:sz="4" w:space="0" w:color="000000"/>
              <w:bottom w:val="single" w:sz="4" w:space="0" w:color="000000"/>
              <w:right w:val="single" w:sz="4" w:space="0" w:color="000000"/>
            </w:tcBorders>
          </w:tcPr>
          <w:p>
            <w:pPr/>
          </w:p>
        </w:tc>
        <w:tc>
          <w:tcPr>
            <w:tcW w:w="863" w:type="dxa"/>
            <w:tcBorders>
              <w:top w:val="nil" w:sz="6" w:space="0" w:color="auto"/>
              <w:left w:val="single" w:sz="4" w:space="0" w:color="000000"/>
              <w:bottom w:val="single" w:sz="4" w:space="0" w:color="000000"/>
              <w:right w:val="single" w:sz="4" w:space="0" w:color="000000"/>
            </w:tcBorders>
          </w:tcPr>
          <w:p>
            <w:pPr/>
          </w:p>
        </w:tc>
        <w:tc>
          <w:tcPr>
            <w:tcW w:w="877" w:type="dxa"/>
            <w:tcBorders>
              <w:top w:val="nil" w:sz="6" w:space="0" w:color="auto"/>
              <w:left w:val="single" w:sz="4" w:space="0" w:color="000000"/>
              <w:bottom w:val="single" w:sz="4" w:space="0" w:color="000000"/>
              <w:right w:val="single" w:sz="4" w:space="0" w:color="000000"/>
            </w:tcBorders>
          </w:tcPr>
          <w:p>
            <w:pPr/>
          </w:p>
        </w:tc>
        <w:tc>
          <w:tcPr>
            <w:tcW w:w="870" w:type="dxa"/>
            <w:tcBorders>
              <w:top w:val="nil" w:sz="6" w:space="0" w:color="auto"/>
              <w:left w:val="single" w:sz="4" w:space="0" w:color="000000"/>
              <w:bottom w:val="single" w:sz="4" w:space="0" w:color="000000"/>
              <w:right w:val="single" w:sz="4" w:space="0" w:color="000000"/>
            </w:tcBorders>
          </w:tcPr>
          <w:p>
            <w:pPr/>
          </w:p>
        </w:tc>
        <w:tc>
          <w:tcPr>
            <w:tcW w:w="870"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70" w:type="dxa"/>
            <w:tcBorders>
              <w:top w:val="nil" w:sz="6" w:space="0" w:color="auto"/>
              <w:left w:val="single" w:sz="4" w:space="0" w:color="000000"/>
              <w:bottom w:val="single" w:sz="4" w:space="0" w:color="000000"/>
              <w:right w:val="single" w:sz="4" w:space="0" w:color="000000"/>
            </w:tcBorders>
          </w:tcPr>
          <w:p>
            <w:pPr/>
          </w:p>
        </w:tc>
        <w:tc>
          <w:tcPr>
            <w:tcW w:w="870" w:type="dxa"/>
            <w:tcBorders>
              <w:top w:val="nil" w:sz="6" w:space="0" w:color="auto"/>
              <w:left w:val="single" w:sz="4" w:space="0" w:color="000000"/>
              <w:bottom w:val="single" w:sz="4" w:space="0" w:color="000000"/>
              <w:right w:val="single" w:sz="4" w:space="0" w:color="000000"/>
            </w:tcBorders>
          </w:tcPr>
          <w:p>
            <w:pPr/>
          </w:p>
        </w:tc>
        <w:tc>
          <w:tcPr>
            <w:tcW w:w="870" w:type="dxa"/>
            <w:tcBorders>
              <w:top w:val="nil" w:sz="6" w:space="0" w:color="auto"/>
              <w:left w:val="single" w:sz="4" w:space="0" w:color="000000"/>
              <w:bottom w:val="single" w:sz="4" w:space="0" w:color="000000"/>
              <w:right w:val="single" w:sz="4" w:space="0" w:color="000000"/>
            </w:tcBorders>
          </w:tcPr>
          <w:p>
            <w:pPr/>
          </w:p>
        </w:tc>
        <w:tc>
          <w:tcPr>
            <w:tcW w:w="2080" w:type="dxa"/>
            <w:tcBorders>
              <w:top w:val="nil" w:sz="6" w:space="0" w:color="auto"/>
              <w:left w:val="single" w:sz="4" w:space="0" w:color="000000"/>
              <w:bottom w:val="single" w:sz="4" w:space="0" w:color="000000"/>
              <w:right w:val="single" w:sz="4" w:space="0" w:color="000000"/>
            </w:tcBorders>
          </w:tcPr>
          <w:p>
            <w:pPr>
              <w:pStyle w:val="TableParagraph"/>
              <w:spacing w:line="153" w:lineRule="exact"/>
              <w:ind w:left="22" w:right="0"/>
              <w:jc w:val="left"/>
              <w:rPr>
                <w:rFonts w:ascii="宋体" w:hAnsi="宋体" w:cs="宋体" w:eastAsia="宋体" w:hint="default"/>
                <w:sz w:val="15"/>
                <w:szCs w:val="15"/>
              </w:rPr>
            </w:pPr>
            <w:r>
              <w:rPr>
                <w:rFonts w:ascii="宋体" w:hAnsi="宋体" w:cs="宋体" w:eastAsia="宋体" w:hint="default"/>
                <w:sz w:val="15"/>
                <w:szCs w:val="15"/>
              </w:rPr>
              <w:t>集资金专户管理</w:t>
            </w:r>
          </w:p>
        </w:tc>
        <w:tc>
          <w:tcPr>
            <w:tcW w:w="1080" w:type="dxa"/>
            <w:tcBorders>
              <w:top w:val="nil" w:sz="6" w:space="0" w:color="auto"/>
              <w:left w:val="single" w:sz="4" w:space="0" w:color="000000"/>
              <w:bottom w:val="single" w:sz="4" w:space="0" w:color="000000"/>
              <w:right w:val="single" w:sz="4" w:space="0" w:color="000000"/>
            </w:tcBorders>
          </w:tcPr>
          <w:p>
            <w:pPr/>
          </w:p>
        </w:tc>
      </w:tr>
      <w:tr>
        <w:trPr>
          <w:trHeight w:val="323" w:hRule="exact"/>
        </w:trPr>
        <w:tc>
          <w:tcPr>
            <w:tcW w:w="8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4"/>
              <w:ind w:left="22" w:right="0"/>
              <w:jc w:val="left"/>
              <w:rPr>
                <w:rFonts w:ascii="宋体" w:hAnsi="宋体" w:cs="宋体" w:eastAsia="宋体" w:hint="default"/>
                <w:sz w:val="15"/>
                <w:szCs w:val="15"/>
              </w:rPr>
            </w:pPr>
            <w:r>
              <w:rPr>
                <w:rFonts w:ascii="宋体" w:hAnsi="宋体" w:cs="宋体" w:eastAsia="宋体" w:hint="default"/>
                <w:sz w:val="15"/>
                <w:szCs w:val="15"/>
              </w:rPr>
              <w:t>合计</w:t>
            </w:r>
          </w:p>
        </w:tc>
        <w:tc>
          <w:tcPr>
            <w:tcW w:w="8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68"/>
              <w:ind w:left="1" w:right="0"/>
              <w:jc w:val="center"/>
              <w:rPr>
                <w:rFonts w:ascii="Times New Roman" w:hAnsi="Times New Roman" w:cs="Times New Roman" w:eastAsia="Times New Roman" w:hint="default"/>
                <w:sz w:val="15"/>
                <w:szCs w:val="15"/>
              </w:rPr>
            </w:pPr>
            <w:r>
              <w:rPr>
                <w:rFonts w:ascii="Times New Roman"/>
                <w:sz w:val="15"/>
              </w:rPr>
              <w:t>--</w:t>
            </w:r>
          </w:p>
        </w:tc>
        <w:tc>
          <w:tcPr>
            <w:tcW w:w="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20"/>
              <w:jc w:val="right"/>
              <w:rPr>
                <w:rFonts w:ascii="Times New Roman" w:hAnsi="Times New Roman" w:cs="Times New Roman" w:eastAsia="Times New Roman" w:hint="default"/>
                <w:sz w:val="15"/>
                <w:szCs w:val="15"/>
              </w:rPr>
            </w:pPr>
            <w:r>
              <w:rPr>
                <w:rFonts w:ascii="Times New Roman"/>
                <w:spacing w:val="-1"/>
                <w:sz w:val="15"/>
              </w:rPr>
              <w:t>97,960.00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20"/>
              <w:jc w:val="right"/>
              <w:rPr>
                <w:rFonts w:ascii="Times New Roman" w:hAnsi="Times New Roman" w:cs="Times New Roman" w:eastAsia="Times New Roman" w:hint="default"/>
                <w:sz w:val="15"/>
                <w:szCs w:val="15"/>
              </w:rPr>
            </w:pPr>
            <w:r>
              <w:rPr>
                <w:rFonts w:ascii="Times New Roman"/>
                <w:spacing w:val="-1"/>
                <w:sz w:val="15"/>
              </w:rPr>
              <w:t>22,628.67</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20"/>
              <w:jc w:val="right"/>
              <w:rPr>
                <w:rFonts w:ascii="Times New Roman" w:hAnsi="Times New Roman" w:cs="Times New Roman" w:eastAsia="Times New Roman" w:hint="default"/>
                <w:sz w:val="15"/>
                <w:szCs w:val="15"/>
              </w:rPr>
            </w:pPr>
            <w:r>
              <w:rPr>
                <w:rFonts w:ascii="Times New Roman"/>
                <w:spacing w:val="-1"/>
                <w:sz w:val="15"/>
              </w:rPr>
              <w:t>70,062.94</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20"/>
              <w:jc w:val="right"/>
              <w:rPr>
                <w:rFonts w:ascii="Times New Roman" w:hAnsi="Times New Roman" w:cs="Times New Roman" w:eastAsia="Times New Roman" w:hint="default"/>
                <w:sz w:val="15"/>
                <w:szCs w:val="15"/>
              </w:rPr>
            </w:pPr>
            <w:r>
              <w:rPr>
                <w:rFonts w:ascii="Times New Roman"/>
                <w:spacing w:val="-1"/>
                <w:sz w:val="15"/>
              </w:rPr>
              <w:t>15,400.00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20"/>
              <w:jc w:val="right"/>
              <w:rPr>
                <w:rFonts w:ascii="Times New Roman" w:hAnsi="Times New Roman" w:cs="Times New Roman" w:eastAsia="Times New Roman" w:hint="default"/>
                <w:sz w:val="15"/>
                <w:szCs w:val="15"/>
              </w:rPr>
            </w:pPr>
            <w:r>
              <w:rPr>
                <w:rFonts w:ascii="Times New Roman"/>
                <w:spacing w:val="-1"/>
                <w:sz w:val="15"/>
              </w:rPr>
              <w:t>15,400.00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20"/>
              <w:jc w:val="right"/>
              <w:rPr>
                <w:rFonts w:ascii="Times New Roman" w:hAnsi="Times New Roman" w:cs="Times New Roman" w:eastAsia="Times New Roman" w:hint="default"/>
                <w:sz w:val="15"/>
                <w:szCs w:val="15"/>
              </w:rPr>
            </w:pPr>
            <w:r>
              <w:rPr>
                <w:rFonts w:ascii="Times New Roman"/>
                <w:spacing w:val="-1"/>
                <w:sz w:val="15"/>
              </w:rPr>
              <w:t>15.72%</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20"/>
              <w:jc w:val="right"/>
              <w:rPr>
                <w:rFonts w:ascii="Times New Roman" w:hAnsi="Times New Roman" w:cs="Times New Roman" w:eastAsia="Times New Roman" w:hint="default"/>
                <w:sz w:val="15"/>
                <w:szCs w:val="15"/>
              </w:rPr>
            </w:pPr>
            <w:r>
              <w:rPr>
                <w:rFonts w:ascii="Times New Roman"/>
                <w:spacing w:val="-1"/>
                <w:sz w:val="15"/>
              </w:rPr>
              <w:t>30,494.96</w:t>
            </w:r>
          </w:p>
        </w:tc>
        <w:tc>
          <w:tcPr>
            <w:tcW w:w="2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68"/>
              <w:ind w:right="1"/>
              <w:jc w:val="center"/>
              <w:rPr>
                <w:rFonts w:ascii="Times New Roman" w:hAnsi="Times New Roman" w:cs="Times New Roman" w:eastAsia="Times New Roman" w:hint="default"/>
                <w:sz w:val="15"/>
                <w:szCs w:val="15"/>
              </w:rPr>
            </w:pPr>
            <w:r>
              <w:rPr>
                <w:rFonts w:ascii="Times New Roman"/>
                <w:sz w:val="15"/>
              </w:rPr>
              <w:t>--</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0"/>
              <w:jc w:val="center"/>
              <w:rPr>
                <w:rFonts w:ascii="Times New Roman" w:hAnsi="Times New Roman" w:cs="Times New Roman" w:eastAsia="Times New Roman" w:hint="default"/>
                <w:sz w:val="15"/>
                <w:szCs w:val="15"/>
              </w:rPr>
            </w:pPr>
            <w:r>
              <w:rPr>
                <w:rFonts w:ascii="Times New Roman"/>
                <w:sz w:val="15"/>
              </w:rPr>
              <w:t>--</w:t>
            </w:r>
          </w:p>
        </w:tc>
      </w:tr>
    </w:tbl>
    <w:p>
      <w:pPr>
        <w:spacing w:after="0" w:line="240" w:lineRule="auto"/>
        <w:jc w:val="center"/>
        <w:rPr>
          <w:rFonts w:ascii="Times New Roman" w:hAnsi="Times New Roman" w:cs="Times New Roman" w:eastAsia="Times New Roman" w:hint="default"/>
          <w:sz w:val="15"/>
          <w:szCs w:val="15"/>
        </w:rPr>
        <w:sectPr>
          <w:pgSz w:w="11910" w:h="16840"/>
          <w:pgMar w:header="787" w:footer="982" w:top="1100" w:bottom="1180" w:left="160" w:right="0"/>
        </w:sectPr>
      </w:pPr>
    </w:p>
    <w:p>
      <w:pPr>
        <w:spacing w:line="240" w:lineRule="auto" w:before="0"/>
        <w:rPr>
          <w:rFonts w:ascii="宋体" w:hAnsi="宋体" w:cs="宋体" w:eastAsia="宋体" w:hint="default"/>
          <w:sz w:val="25"/>
          <w:szCs w:val="25"/>
        </w:rPr>
      </w:pPr>
      <w:r>
        <w:rPr/>
        <w:pict>
          <v:shape style="position:absolute;margin-left:123.719704pt;margin-top:577.380005pt;width:454pt;height:33.25pt;mso-position-horizontal-relative:page;mso-position-vertical-relative:page;z-index:-1402432" type="#_x0000_t202" filled="false" stroked="false">
            <v:textbox inset="0,0,0,0">
              <w:txbxContent>
                <w:p>
                  <w:pPr>
                    <w:spacing w:line="240" w:lineRule="auto" w:before="3"/>
                    <w:rPr>
                      <w:rFonts w:ascii="宋体" w:hAnsi="宋体" w:cs="宋体" w:eastAsia="宋体" w:hint="default"/>
                      <w:sz w:val="26"/>
                      <w:szCs w:val="26"/>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p>
              </w:txbxContent>
            </v:textbox>
            <w10:wrap type="none"/>
          </v:shape>
        </w:pict>
      </w:r>
      <w:r>
        <w:rPr/>
        <w:pict>
          <v:group style="position:absolute;margin-left:128.699997pt;margin-top:602.820007pt;width:449pt;height:7.8pt;mso-position-horizontal-relative:page;mso-position-vertical-relative:page;z-index:-1402408" coordorigin="2574,12056" coordsize="8980,156">
            <v:shape style="position:absolute;left:2574;top:12056;width:8980;height:156" coordorigin="2574,12056" coordsize="8980,156" path="m2574,12212l11554,12212,11554,12056,2574,12056,2574,12212xe" filled="true" fillcolor="#ffffff" stroked="false">
              <v:path arrowok="t"/>
              <v:fill type="solid"/>
            </v:shape>
            <w10:wrap type="none"/>
          </v:group>
        </w:pict>
      </w:r>
    </w:p>
    <w:p>
      <w:pPr>
        <w:spacing w:line="3783" w:lineRule="exact"/>
        <w:ind w:left="211" w:right="0" w:firstLine="0"/>
        <w:rPr>
          <w:rFonts w:ascii="宋体" w:hAnsi="宋体" w:cs="宋体" w:eastAsia="宋体" w:hint="default"/>
          <w:sz w:val="20"/>
          <w:szCs w:val="20"/>
        </w:rPr>
      </w:pPr>
      <w:r>
        <w:rPr>
          <w:rFonts w:ascii="宋体" w:hAnsi="宋体" w:cs="宋体" w:eastAsia="宋体" w:hint="default"/>
          <w:position w:val="-75"/>
          <w:sz w:val="20"/>
          <w:szCs w:val="20"/>
        </w:rPr>
        <w:pict>
          <v:group style="width:552.75pt;height:189.2pt;mso-position-horizontal-relative:char;mso-position-vertical-relative:line" coordorigin="0,0" coordsize="11055,3784">
            <v:group style="position:absolute;left:10966;top:14;width:23;height:312" coordorigin="10966,14" coordsize="23,312">
              <v:shape style="position:absolute;left:10966;top:14;width:23;height:312" coordorigin="10966,14" coordsize="23,312" path="m10966,326l10988,326,10988,14,10966,14,10966,326xe" filled="true" fillcolor="#d3d3d3" stroked="false">
                <v:path arrowok="t"/>
                <v:fill type="solid"/>
              </v:shape>
            </v:group>
            <v:group style="position:absolute;left:14;top:14;width:23;height:312" coordorigin="14,14" coordsize="23,312">
              <v:shape style="position:absolute;left:14;top:14;width:23;height:312" coordorigin="14,14" coordsize="23,312" path="m14,326l37,326,37,14,14,14,14,326xe" filled="true" fillcolor="#d3d3d3" stroked="false">
                <v:path arrowok="t"/>
                <v:fill type="solid"/>
              </v:shape>
            </v:group>
            <v:group style="position:absolute;left:37;top:14;width:10929;height:312" coordorigin="37,14" coordsize="10929,312">
              <v:shape style="position:absolute;left:37;top:14;width:10929;height:312" coordorigin="37,14" coordsize="10929,312" path="m37,326l10966,326,10966,14,37,14,37,326xe" filled="true" fillcolor="#d3d3d3" stroked="false">
                <v:path arrowok="t"/>
                <v:fill type="solid"/>
              </v:shape>
            </v:group>
            <v:group style="position:absolute;left:5;top:10;width:10995;height:2" coordorigin="5,10" coordsize="10995,2">
              <v:shape style="position:absolute;left:5;top:10;width:10995;height:2" coordorigin="5,10" coordsize="10995,0" path="m5,10l10999,10e" filled="false" stroked="true" strokeweight=".48004pt" strokecolor="#000000">
                <v:path arrowok="t"/>
              </v:shape>
            </v:group>
            <v:group style="position:absolute;left:5;top:331;width:10995;height:2" coordorigin="5,331" coordsize="10995,2">
              <v:shape style="position:absolute;left:5;top:331;width:10995;height:2" coordorigin="5,331" coordsize="10995,0" path="m5,331l10999,331e" filled="false" stroked="true" strokeweight=".47998pt" strokecolor="#000000">
                <v:path arrowok="t"/>
              </v:shape>
            </v:group>
            <v:group style="position:absolute;left:10;top:5;width:2;height:3774" coordorigin="10,5" coordsize="2,3774">
              <v:shape style="position:absolute;left:10;top:5;width:2;height:3774" coordorigin="10,5" coordsize="0,3774" path="m10,5l10,3779e" filled="false" stroked="true" strokeweight=".48001pt" strokecolor="#000000">
                <v:path arrowok="t"/>
              </v:shape>
            </v:group>
            <v:group style="position:absolute;left:5;top:3774;width:10985;height:2" coordorigin="5,3774" coordsize="10985,2">
              <v:shape style="position:absolute;left:5;top:3774;width:10985;height:2" coordorigin="5,3774" coordsize="10985,0" path="m5,3774l10990,3774e" filled="false" stroked="true" strokeweight=".48004pt" strokecolor="#000000">
                <v:path arrowok="t"/>
              </v:shape>
            </v:group>
            <v:group style="position:absolute;left:10994;top:5;width:2;height:3774" coordorigin="10994,5" coordsize="2,3774">
              <v:shape style="position:absolute;left:10994;top:5;width:2;height:3774" coordorigin="10994,5" coordsize="0,3774" path="m10994,5l10994,3779e" filled="false" stroked="true" strokeweight=".48004pt" strokecolor="#000000">
                <v:path arrowok="t"/>
              </v:shape>
              <v:shape style="position:absolute;left:10;top:10;width:10985;height:322" type="#_x0000_t202" filled="false" stroked="false">
                <v:textbox inset="0,0,0,0">
                  <w:txbxContent>
                    <w:p>
                      <w:pPr>
                        <w:spacing w:before="15"/>
                        <w:ind w:left="0" w:right="0" w:firstLine="0"/>
                        <w:jc w:val="center"/>
                        <w:rPr>
                          <w:rFonts w:ascii="宋体" w:hAnsi="宋体" w:cs="宋体" w:eastAsia="宋体" w:hint="default"/>
                          <w:sz w:val="18"/>
                          <w:szCs w:val="18"/>
                        </w:rPr>
                      </w:pPr>
                      <w:r>
                        <w:rPr>
                          <w:rFonts w:ascii="宋体" w:hAnsi="宋体" w:cs="宋体" w:eastAsia="宋体" w:hint="default"/>
                          <w:sz w:val="18"/>
                          <w:szCs w:val="18"/>
                        </w:rPr>
                        <w:t>募集资金总体使用情况说明</w:t>
                      </w:r>
                    </w:p>
                  </w:txbxContent>
                </v:textbox>
                <w10:wrap type="none"/>
              </v:shape>
              <v:shape style="position:absolute;left:10;top:331;width:10985;height:3443" type="#_x0000_t202" filled="false" stroked="false">
                <v:textbox inset="0,0,0,0">
                  <w:txbxContent>
                    <w:p>
                      <w:pPr>
                        <w:spacing w:line="300" w:lineRule="auto" w:before="16"/>
                        <w:ind w:left="27" w:right="26" w:firstLine="360"/>
                        <w:jc w:val="left"/>
                        <w:rPr>
                          <w:rFonts w:ascii="宋体" w:hAnsi="宋体" w:cs="宋体" w:eastAsia="宋体" w:hint="default"/>
                          <w:sz w:val="18"/>
                          <w:szCs w:val="18"/>
                        </w:rPr>
                      </w:pPr>
                      <w:r>
                        <w:rPr>
                          <w:rFonts w:ascii="宋体" w:hAnsi="宋体" w:cs="宋体" w:eastAsia="宋体" w:hint="default"/>
                          <w:sz w:val="18"/>
                          <w:szCs w:val="18"/>
                        </w:rPr>
                        <w:t>公司于</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月实施重大资产重组吸收合并了长城信息，因而承继及承接了长城信息于</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月的非公开发行募集资金的存放 与使用。</w:t>
                      </w:r>
                    </w:p>
                    <w:p>
                      <w:pPr>
                        <w:spacing w:line="300" w:lineRule="auto" w:before="31"/>
                        <w:ind w:left="27" w:right="-23" w:firstLine="360"/>
                        <w:jc w:val="left"/>
                        <w:rPr>
                          <w:rFonts w:ascii="Times New Roman" w:hAnsi="Times New Roman" w:cs="Times New Roman" w:eastAsia="Times New Roman" w:hint="default"/>
                          <w:sz w:val="18"/>
                          <w:szCs w:val="18"/>
                        </w:rPr>
                      </w:pPr>
                      <w:r>
                        <w:rPr>
                          <w:rFonts w:ascii="宋体" w:hAnsi="宋体" w:cs="宋体" w:eastAsia="宋体" w:hint="default"/>
                          <w:sz w:val="18"/>
                          <w:szCs w:val="18"/>
                        </w:rPr>
                        <w:t>根据</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日长城信息召开的</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3"/>
                          <w:sz w:val="18"/>
                          <w:szCs w:val="18"/>
                        </w:rPr>
                        <w:t> </w:t>
                      </w:r>
                      <w:r>
                        <w:rPr>
                          <w:rFonts w:ascii="宋体" w:hAnsi="宋体" w:cs="宋体" w:eastAsia="宋体" w:hint="default"/>
                          <w:spacing w:val="-3"/>
                          <w:sz w:val="18"/>
                          <w:szCs w:val="18"/>
                        </w:rPr>
                        <w:t>年度第二次临时股东大会审议通过的《关于非公开发行股票发行方案（修订版）的议案》，</w:t>
                      </w:r>
                      <w:r>
                        <w:rPr>
                          <w:rFonts w:ascii="宋体" w:hAnsi="宋体" w:cs="宋体" w:eastAsia="宋体" w:hint="default"/>
                          <w:sz w:val="18"/>
                          <w:szCs w:val="18"/>
                        </w:rPr>
                        <w:t> 以及中国证券监督管理委员会“证监许可</w:t>
                      </w:r>
                      <w:r>
                        <w:rPr>
                          <w:rFonts w:ascii="Times New Roman" w:hAnsi="Times New Roman" w:cs="Times New Roman" w:eastAsia="Times New Roman" w:hint="default"/>
                          <w:sz w:val="18"/>
                          <w:szCs w:val="18"/>
                        </w:rPr>
                        <w:t>[2014]1313 </w:t>
                      </w:r>
                      <w:r>
                        <w:rPr>
                          <w:rFonts w:ascii="宋体" w:hAnsi="宋体" w:cs="宋体" w:eastAsia="宋体" w:hint="default"/>
                          <w:spacing w:val="-5"/>
                          <w:sz w:val="18"/>
                          <w:szCs w:val="18"/>
                        </w:rPr>
                        <w:t>号”文件核准，长城信息获准以非公开发行的方式发行在境内上市人民币普通股（</w:t>
                      </w:r>
                      <w:r>
                        <w:rPr>
                          <w:rFonts w:ascii="Times New Roman" w:hAnsi="Times New Roman" w:cs="Times New Roman" w:eastAsia="Times New Roman" w:hint="default"/>
                          <w:spacing w:val="-5"/>
                          <w:sz w:val="18"/>
                          <w:szCs w:val="18"/>
                        </w:rPr>
                        <w:t>A</w:t>
                      </w:r>
                      <w:r>
                        <w:rPr>
                          <w:rFonts w:ascii="Times New Roman" w:hAnsi="Times New Roman" w:cs="Times New Roman" w:eastAsia="Times New Roman" w:hint="default"/>
                          <w:spacing w:val="-13"/>
                          <w:sz w:val="18"/>
                          <w:szCs w:val="18"/>
                        </w:rPr>
                        <w:t> </w:t>
                      </w:r>
                      <w:r>
                        <w:rPr>
                          <w:rFonts w:ascii="宋体" w:hAnsi="宋体" w:cs="宋体" w:eastAsia="宋体" w:hint="default"/>
                          <w:spacing w:val="-45"/>
                          <w:sz w:val="18"/>
                          <w:szCs w:val="18"/>
                        </w:rPr>
                        <w:t>股）</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每股面值为</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元，发行价格不低于人民币</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19.34</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股，发行股份总数不超过</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5,171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万股。长城信息当年非公开实际发行人民币普通股（</w:t>
                      </w:r>
                      <w:r>
                        <w:rPr>
                          <w:rFonts w:ascii="Times New Roman" w:hAnsi="Times New Roman" w:cs="Times New Roman" w:eastAsia="Times New Roman" w:hint="default"/>
                          <w:sz w:val="18"/>
                          <w:szCs w:val="18"/>
                        </w:rPr>
                        <w:t>A</w:t>
                      </w:r>
                    </w:p>
                    <w:p>
                      <w:pPr>
                        <w:spacing w:before="13"/>
                        <w:ind w:left="27" w:right="0" w:firstLine="0"/>
                        <w:jc w:val="left"/>
                        <w:rPr>
                          <w:rFonts w:ascii="宋体" w:hAnsi="宋体" w:cs="宋体" w:eastAsia="宋体" w:hint="default"/>
                          <w:sz w:val="18"/>
                          <w:szCs w:val="18"/>
                        </w:rPr>
                      </w:pPr>
                      <w:r>
                        <w:rPr>
                          <w:rFonts w:ascii="宋体" w:hAnsi="宋体" w:cs="宋体" w:eastAsia="宋体" w:hint="default"/>
                          <w:sz w:val="18"/>
                          <w:szCs w:val="18"/>
                        </w:rPr>
                        <w:t>股）</w:t>
                      </w:r>
                      <w:r>
                        <w:rPr>
                          <w:rFonts w:ascii="Times New Roman" w:hAnsi="Times New Roman" w:cs="Times New Roman" w:eastAsia="Times New Roman" w:hint="default"/>
                          <w:sz w:val="18"/>
                          <w:szCs w:val="18"/>
                        </w:rPr>
                        <w:t>31,847,133</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股，每股面值人民币</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元，每股发行价为人民币</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31.40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元，募集资金总额为</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100,000.00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万元；扣除承销费、保荐费等发行</w:t>
                      </w:r>
                    </w:p>
                    <w:p>
                      <w:pPr>
                        <w:spacing w:before="63"/>
                        <w:ind w:left="27" w:right="0" w:firstLine="0"/>
                        <w:jc w:val="left"/>
                        <w:rPr>
                          <w:rFonts w:ascii="宋体" w:hAnsi="宋体" w:cs="宋体" w:eastAsia="宋体" w:hint="default"/>
                          <w:sz w:val="18"/>
                          <w:szCs w:val="18"/>
                        </w:rPr>
                      </w:pPr>
                      <w:r>
                        <w:rPr>
                          <w:rFonts w:ascii="宋体" w:hAnsi="宋体" w:cs="宋体" w:eastAsia="宋体" w:hint="default"/>
                          <w:sz w:val="18"/>
                          <w:szCs w:val="18"/>
                        </w:rPr>
                        <w:t>费用</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2,040.00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万元后，实际募集资金净额为</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97,960.00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万元；募集资金到账时间为</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日，募集资金到账情况已经天职国际会计</w:t>
                      </w:r>
                    </w:p>
                    <w:p>
                      <w:pPr>
                        <w:spacing w:before="63"/>
                        <w:ind w:left="27" w:right="0" w:firstLine="0"/>
                        <w:jc w:val="left"/>
                        <w:rPr>
                          <w:rFonts w:ascii="宋体" w:hAnsi="宋体" w:cs="宋体" w:eastAsia="宋体" w:hint="default"/>
                          <w:sz w:val="18"/>
                          <w:szCs w:val="18"/>
                        </w:rPr>
                      </w:pPr>
                      <w:r>
                        <w:rPr>
                          <w:rFonts w:ascii="宋体" w:hAnsi="宋体" w:cs="宋体" w:eastAsia="宋体" w:hint="default"/>
                          <w:sz w:val="18"/>
                          <w:szCs w:val="18"/>
                        </w:rPr>
                        <w:t>师事务所（特殊普通合伙）审验，并于</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日出具“天职业字</w:t>
                      </w:r>
                      <w:r>
                        <w:rPr>
                          <w:rFonts w:ascii="Times New Roman" w:hAnsi="Times New Roman" w:cs="Times New Roman" w:eastAsia="Times New Roman" w:hint="default"/>
                          <w:sz w:val="18"/>
                          <w:szCs w:val="18"/>
                        </w:rPr>
                        <w:t>[2014]12877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号”验资报告。</w:t>
                      </w:r>
                    </w:p>
                    <w:p>
                      <w:pPr>
                        <w:spacing w:before="63"/>
                        <w:ind w:left="387" w:right="0" w:firstLine="0"/>
                        <w:jc w:val="left"/>
                        <w:rPr>
                          <w:rFonts w:ascii="宋体" w:hAnsi="宋体" w:cs="宋体" w:eastAsia="宋体" w:hint="default"/>
                          <w:sz w:val="18"/>
                          <w:szCs w:val="18"/>
                        </w:rPr>
                      </w:pPr>
                      <w:r>
                        <w:rPr>
                          <w:rFonts w:ascii="宋体" w:hAnsi="宋体" w:cs="宋体" w:eastAsia="宋体" w:hint="default"/>
                          <w:sz w:val="18"/>
                          <w:szCs w:val="18"/>
                        </w:rPr>
                        <w:t>截至</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日，募集资金专户累计取得银行利息及支出银行手续费净额</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2,597.90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万元，募集资金合计</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100,557.90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万元；累计</w:t>
                      </w:r>
                    </w:p>
                    <w:p>
                      <w:pPr>
                        <w:spacing w:before="63"/>
                        <w:ind w:left="27"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使用募集资金 </w:t>
                      </w:r>
                      <w:r>
                        <w:rPr>
                          <w:rFonts w:ascii="Times New Roman" w:hAnsi="Times New Roman" w:cs="Times New Roman" w:eastAsia="Times New Roman" w:hint="default"/>
                          <w:sz w:val="18"/>
                          <w:szCs w:val="18"/>
                        </w:rPr>
                        <w:t>78,062.94 </w:t>
                      </w:r>
                      <w:r>
                        <w:rPr>
                          <w:rFonts w:ascii="宋体" w:hAnsi="宋体" w:cs="宋体" w:eastAsia="宋体" w:hint="default"/>
                          <w:sz w:val="18"/>
                          <w:szCs w:val="18"/>
                        </w:rPr>
                        <w:t>万元，其中累计投入募集资金项目 </w:t>
                      </w:r>
                      <w:r>
                        <w:rPr>
                          <w:rFonts w:ascii="Times New Roman" w:hAnsi="Times New Roman" w:cs="Times New Roman" w:eastAsia="Times New Roman" w:hint="default"/>
                          <w:sz w:val="18"/>
                          <w:szCs w:val="18"/>
                        </w:rPr>
                        <w:t>70,062.94 </w:t>
                      </w:r>
                      <w:r>
                        <w:rPr>
                          <w:rFonts w:ascii="宋体" w:hAnsi="宋体" w:cs="宋体" w:eastAsia="宋体" w:hint="default"/>
                          <w:sz w:val="18"/>
                          <w:szCs w:val="18"/>
                        </w:rPr>
                        <w:t>万元，使用部分闲置募集资金暂时补充流动资金 </w:t>
                      </w:r>
                      <w:r>
                        <w:rPr>
                          <w:rFonts w:ascii="Times New Roman" w:hAnsi="Times New Roman" w:cs="Times New Roman" w:eastAsia="Times New Roman" w:hint="default"/>
                          <w:sz w:val="18"/>
                          <w:szCs w:val="18"/>
                        </w:rPr>
                        <w:t>8,000.00</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万元，</w:t>
                      </w:r>
                      <w:r>
                        <w:rPr>
                          <w:rFonts w:ascii="Times New Roman" w:hAnsi="Times New Roman" w:cs="Times New Roman" w:eastAsia="Times New Roman" w:hint="default"/>
                          <w:sz w:val="18"/>
                          <w:szCs w:val="18"/>
                        </w:rPr>
                        <w:t>2018</w:t>
                      </w:r>
                    </w:p>
                    <w:p>
                      <w:pPr>
                        <w:spacing w:before="63"/>
                        <w:ind w:left="27" w:right="0" w:firstLine="0"/>
                        <w:jc w:val="left"/>
                        <w:rPr>
                          <w:rFonts w:ascii="宋体" w:hAnsi="宋体" w:cs="宋体" w:eastAsia="宋体" w:hint="default"/>
                          <w:sz w:val="18"/>
                          <w:szCs w:val="18"/>
                        </w:rPr>
                      </w:pPr>
                      <w:r>
                        <w:rPr>
                          <w:rFonts w:ascii="宋体" w:hAnsi="宋体" w:cs="宋体" w:eastAsia="宋体" w:hint="default"/>
                          <w:sz w:val="18"/>
                          <w:szCs w:val="18"/>
                        </w:rPr>
                        <w:t>年度投入募集资金项目</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22,628.67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万元；公司募集资金专户余额</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22,494.96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万元，其中活期存款账户余额为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22,494.96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w:t>
                      </w:r>
                    </w:p>
                  </w:txbxContent>
                </v:textbox>
                <w10:wrap type="none"/>
              </v:shape>
              <v:shape style="position:absolute;left:10874;top:1339;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p>
                  </w:txbxContent>
                </v:textbox>
                <w10:wrap type="none"/>
              </v:shape>
            </v:group>
          </v:group>
        </w:pict>
      </w:r>
      <w:r>
        <w:rPr>
          <w:rFonts w:ascii="宋体" w:hAnsi="宋体" w:cs="宋体" w:eastAsia="宋体" w:hint="default"/>
          <w:position w:val="-75"/>
          <w:sz w:val="20"/>
          <w:szCs w:val="20"/>
        </w:rPr>
      </w:r>
    </w:p>
    <w:p>
      <w:pPr>
        <w:spacing w:line="240" w:lineRule="auto" w:before="3"/>
        <w:rPr>
          <w:rFonts w:ascii="宋体" w:hAnsi="宋体" w:cs="宋体" w:eastAsia="宋体" w:hint="default"/>
          <w:sz w:val="14"/>
          <w:szCs w:val="14"/>
        </w:rPr>
      </w:pPr>
    </w:p>
    <w:p>
      <w:pPr>
        <w:pStyle w:val="Heading5"/>
        <w:spacing w:line="240" w:lineRule="auto"/>
        <w:ind w:left="894" w:right="0"/>
        <w:jc w:val="left"/>
        <w:rPr>
          <w:b w:val="0"/>
          <w:bCs w:val="0"/>
        </w:rPr>
      </w:pPr>
      <w:r>
        <w:rPr/>
        <w:t>（</w:t>
      </w:r>
      <w:r>
        <w:rPr>
          <w:rFonts w:ascii="Times New Roman" w:hAnsi="Times New Roman" w:cs="Times New Roman" w:eastAsia="Times New Roman" w:hint="default"/>
        </w:rPr>
        <w:t>2</w:t>
      </w:r>
      <w:r>
        <w:rPr/>
        <w:t>）募集资金承诺项目情况</w:t>
      </w:r>
      <w:r>
        <w:rPr>
          <w:b w:val="0"/>
          <w:bCs w:val="0"/>
        </w:rPr>
      </w:r>
    </w:p>
    <w:p>
      <w:pPr>
        <w:spacing w:line="240" w:lineRule="auto" w:before="7"/>
        <w:rPr>
          <w:rFonts w:ascii="宋体" w:hAnsi="宋体" w:cs="宋体" w:eastAsia="宋体" w:hint="default"/>
          <w:b/>
          <w:bCs/>
          <w:sz w:val="18"/>
          <w:szCs w:val="18"/>
        </w:rPr>
      </w:pPr>
    </w:p>
    <w:p>
      <w:pPr>
        <w:spacing w:before="44"/>
        <w:ind w:left="89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before="97"/>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7"/>
        <w:rPr>
          <w:rFonts w:ascii="宋体" w:hAnsi="宋体" w:cs="宋体" w:eastAsia="宋体" w:hint="default"/>
          <w:sz w:val="6"/>
          <w:szCs w:val="6"/>
        </w:rPr>
      </w:pPr>
    </w:p>
    <w:tbl>
      <w:tblPr>
        <w:tblW w:w="0" w:type="auto"/>
        <w:jc w:val="left"/>
        <w:tblInd w:w="100" w:type="dxa"/>
        <w:tblLayout w:type="fixed"/>
        <w:tblCellMar>
          <w:top w:w="0" w:type="dxa"/>
          <w:left w:w="0" w:type="dxa"/>
          <w:bottom w:w="0" w:type="dxa"/>
          <w:right w:w="0" w:type="dxa"/>
        </w:tblCellMar>
        <w:tblLook w:val="01E0"/>
      </w:tblPr>
      <w:tblGrid>
        <w:gridCol w:w="2224"/>
        <w:gridCol w:w="745"/>
        <w:gridCol w:w="862"/>
        <w:gridCol w:w="862"/>
        <w:gridCol w:w="863"/>
        <w:gridCol w:w="862"/>
        <w:gridCol w:w="748"/>
        <w:gridCol w:w="1475"/>
        <w:gridCol w:w="929"/>
        <w:gridCol w:w="726"/>
        <w:gridCol w:w="920"/>
      </w:tblGrid>
      <w:tr>
        <w:trPr>
          <w:trHeight w:val="1298" w:hRule="exact"/>
        </w:trPr>
        <w:tc>
          <w:tcPr>
            <w:tcW w:w="222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26"/>
                <w:szCs w:val="26"/>
              </w:rPr>
            </w:pPr>
          </w:p>
          <w:p>
            <w:pPr>
              <w:pStyle w:val="TableParagraph"/>
              <w:spacing w:line="316" w:lineRule="auto"/>
              <w:ind w:left="1017" w:right="24" w:hanging="990"/>
              <w:jc w:val="left"/>
              <w:rPr>
                <w:rFonts w:ascii="宋体" w:hAnsi="宋体" w:cs="宋体" w:eastAsia="宋体" w:hint="default"/>
                <w:sz w:val="18"/>
                <w:szCs w:val="18"/>
              </w:rPr>
            </w:pPr>
            <w:r>
              <w:rPr>
                <w:rFonts w:ascii="宋体" w:hAnsi="宋体" w:cs="宋体" w:eastAsia="宋体" w:hint="default"/>
                <w:sz w:val="18"/>
                <w:szCs w:val="18"/>
              </w:rPr>
              <w:t>承诺投资项目和超募资金投 向</w:t>
            </w:r>
          </w:p>
        </w:tc>
        <w:tc>
          <w:tcPr>
            <w:tcW w:w="74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2" w:lineRule="auto" w:before="31"/>
              <w:ind w:left="7" w:right="6"/>
              <w:jc w:val="center"/>
              <w:rPr>
                <w:rFonts w:ascii="Times New Roman" w:hAnsi="Times New Roman" w:cs="Times New Roman" w:eastAsia="Times New Roman" w:hint="default"/>
                <w:sz w:val="18"/>
                <w:szCs w:val="18"/>
              </w:rPr>
            </w:pPr>
            <w:r>
              <w:rPr>
                <w:rFonts w:ascii="宋体" w:hAnsi="宋体" w:cs="宋体" w:eastAsia="宋体" w:hint="default"/>
                <w:sz w:val="18"/>
                <w:szCs w:val="18"/>
              </w:rPr>
              <w:t>是否已变 更项目 </w:t>
            </w:r>
            <w:r>
              <w:rPr>
                <w:rFonts w:ascii="Times New Roman" w:hAnsi="Times New Roman" w:cs="Times New Roman" w:eastAsia="Times New Roman" w:hint="default"/>
                <w:sz w:val="18"/>
                <w:szCs w:val="18"/>
              </w:rPr>
              <w:t>(</w:t>
            </w:r>
            <w:r>
              <w:rPr>
                <w:rFonts w:ascii="宋体" w:hAnsi="宋体" w:cs="宋体" w:eastAsia="宋体" w:hint="default"/>
                <w:sz w:val="18"/>
                <w:szCs w:val="18"/>
              </w:rPr>
              <w:t>含部分 变更</w:t>
            </w:r>
            <w:r>
              <w:rPr>
                <w:rFonts w:ascii="Times New Roman" w:hAnsi="Times New Roman" w:cs="Times New Roman" w:eastAsia="Times New Roman" w:hint="default"/>
                <w:sz w:val="18"/>
                <w:szCs w:val="18"/>
              </w:rPr>
              <w:t>)</w:t>
            </w:r>
          </w:p>
        </w:tc>
        <w:tc>
          <w:tcPr>
            <w:tcW w:w="8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4"/>
                <w:szCs w:val="14"/>
              </w:rPr>
            </w:pPr>
          </w:p>
          <w:p>
            <w:pPr>
              <w:pStyle w:val="TableParagraph"/>
              <w:spacing w:line="316" w:lineRule="auto"/>
              <w:ind w:left="65" w:right="65"/>
              <w:jc w:val="center"/>
              <w:rPr>
                <w:rFonts w:ascii="宋体" w:hAnsi="宋体" w:cs="宋体" w:eastAsia="宋体" w:hint="default"/>
                <w:sz w:val="18"/>
                <w:szCs w:val="18"/>
              </w:rPr>
            </w:pPr>
            <w:r>
              <w:rPr>
                <w:rFonts w:ascii="宋体" w:hAnsi="宋体" w:cs="宋体" w:eastAsia="宋体" w:hint="default"/>
                <w:sz w:val="18"/>
                <w:szCs w:val="18"/>
              </w:rPr>
              <w:t>募集资金 承诺投资 总额</w:t>
            </w:r>
          </w:p>
        </w:tc>
        <w:tc>
          <w:tcPr>
            <w:tcW w:w="8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26"/>
                <w:szCs w:val="26"/>
              </w:rPr>
            </w:pPr>
          </w:p>
          <w:p>
            <w:pPr>
              <w:pStyle w:val="TableParagraph"/>
              <w:spacing w:line="316" w:lineRule="auto"/>
              <w:ind w:left="50" w:right="49" w:firstLine="15"/>
              <w:jc w:val="left"/>
              <w:rPr>
                <w:rFonts w:ascii="Times New Roman" w:hAnsi="Times New Roman" w:cs="Times New Roman" w:eastAsia="Times New Roman" w:hint="default"/>
                <w:sz w:val="18"/>
                <w:szCs w:val="18"/>
              </w:rPr>
            </w:pPr>
            <w:r>
              <w:rPr>
                <w:rFonts w:ascii="宋体" w:hAnsi="宋体" w:cs="宋体" w:eastAsia="宋体" w:hint="default"/>
                <w:sz w:val="18"/>
                <w:szCs w:val="18"/>
              </w:rPr>
              <w:t>调整后投 资总额</w:t>
            </w:r>
            <w:r>
              <w:rPr>
                <w:rFonts w:ascii="Times New Roman" w:hAnsi="Times New Roman" w:cs="Times New Roman" w:eastAsia="Times New Roman" w:hint="default"/>
                <w:sz w:val="18"/>
                <w:szCs w:val="18"/>
              </w:rPr>
              <w:t>(1)</w:t>
            </w:r>
          </w:p>
        </w:tc>
        <w:tc>
          <w:tcPr>
            <w:tcW w:w="8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26"/>
                <w:szCs w:val="26"/>
              </w:rPr>
            </w:pPr>
          </w:p>
          <w:p>
            <w:pPr>
              <w:pStyle w:val="TableParagraph"/>
              <w:spacing w:line="316" w:lineRule="auto"/>
              <w:ind w:left="65" w:right="65"/>
              <w:jc w:val="left"/>
              <w:rPr>
                <w:rFonts w:ascii="宋体" w:hAnsi="宋体" w:cs="宋体" w:eastAsia="宋体" w:hint="default"/>
                <w:sz w:val="18"/>
                <w:szCs w:val="18"/>
              </w:rPr>
            </w:pPr>
            <w:r>
              <w:rPr>
                <w:rFonts w:ascii="宋体" w:hAnsi="宋体" w:cs="宋体" w:eastAsia="宋体" w:hint="default"/>
                <w:sz w:val="18"/>
                <w:szCs w:val="18"/>
              </w:rPr>
              <w:t>本报告期 投入金额</w:t>
            </w:r>
          </w:p>
        </w:tc>
        <w:tc>
          <w:tcPr>
            <w:tcW w:w="8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4"/>
                <w:szCs w:val="14"/>
              </w:rPr>
            </w:pPr>
          </w:p>
          <w:p>
            <w:pPr>
              <w:pStyle w:val="TableParagraph"/>
              <w:spacing w:line="316" w:lineRule="auto"/>
              <w:ind w:left="65" w:right="65"/>
              <w:jc w:val="both"/>
              <w:rPr>
                <w:rFonts w:ascii="Times New Roman" w:hAnsi="Times New Roman" w:cs="Times New Roman" w:eastAsia="Times New Roman" w:hint="default"/>
                <w:sz w:val="18"/>
                <w:szCs w:val="18"/>
              </w:rPr>
            </w:pPr>
            <w:r>
              <w:rPr>
                <w:rFonts w:ascii="宋体" w:hAnsi="宋体" w:cs="宋体" w:eastAsia="宋体" w:hint="default"/>
                <w:sz w:val="18"/>
                <w:szCs w:val="18"/>
              </w:rPr>
              <w:t>截至期末 累计投入 金额</w:t>
            </w:r>
            <w:r>
              <w:rPr>
                <w:rFonts w:ascii="Times New Roman" w:hAnsi="Times New Roman" w:cs="Times New Roman" w:eastAsia="Times New Roman" w:hint="default"/>
                <w:sz w:val="18"/>
                <w:szCs w:val="18"/>
              </w:rPr>
              <w:t>(2)</w:t>
            </w:r>
          </w:p>
        </w:tc>
        <w:tc>
          <w:tcPr>
            <w:tcW w:w="74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24" w:lineRule="auto" w:before="31"/>
              <w:ind w:left="8" w:right="7"/>
              <w:jc w:val="center"/>
              <w:rPr>
                <w:rFonts w:ascii="Times New Roman" w:hAnsi="Times New Roman" w:cs="Times New Roman" w:eastAsia="Times New Roman" w:hint="default"/>
                <w:sz w:val="18"/>
                <w:szCs w:val="18"/>
              </w:rPr>
            </w:pPr>
            <w:r>
              <w:rPr>
                <w:rFonts w:ascii="宋体" w:hAnsi="宋体" w:cs="宋体" w:eastAsia="宋体" w:hint="default"/>
                <w:sz w:val="18"/>
                <w:szCs w:val="18"/>
              </w:rPr>
              <w:t>截至期末 投资进度 </w:t>
            </w:r>
            <w:r>
              <w:rPr>
                <w:rFonts w:ascii="Times New Roman" w:hAnsi="Times New Roman" w:cs="Times New Roman" w:eastAsia="Times New Roman" w:hint="default"/>
                <w:sz w:val="18"/>
                <w:szCs w:val="18"/>
              </w:rPr>
              <w:t>(3)</w:t>
            </w:r>
            <w:r>
              <w:rPr>
                <w:rFonts w:ascii="宋体" w:hAnsi="宋体" w:cs="宋体" w:eastAsia="宋体" w:hint="default"/>
                <w:sz w:val="18"/>
                <w:szCs w:val="18"/>
              </w:rPr>
              <w:t>＝ </w:t>
            </w:r>
            <w:r>
              <w:rPr>
                <w:rFonts w:ascii="Times New Roman" w:hAnsi="Times New Roman" w:cs="Times New Roman" w:eastAsia="Times New Roman" w:hint="default"/>
                <w:sz w:val="18"/>
                <w:szCs w:val="18"/>
              </w:rPr>
              <w:t>(2)/(1)</w:t>
            </w:r>
          </w:p>
        </w:tc>
        <w:tc>
          <w:tcPr>
            <w:tcW w:w="147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26"/>
                <w:szCs w:val="26"/>
              </w:rPr>
            </w:pPr>
          </w:p>
          <w:p>
            <w:pPr>
              <w:pStyle w:val="TableParagraph"/>
              <w:spacing w:line="316" w:lineRule="auto"/>
              <w:ind w:left="282" w:right="11" w:hanging="270"/>
              <w:jc w:val="left"/>
              <w:rPr>
                <w:rFonts w:ascii="宋体" w:hAnsi="宋体" w:cs="宋体" w:eastAsia="宋体" w:hint="default"/>
                <w:sz w:val="18"/>
                <w:szCs w:val="18"/>
              </w:rPr>
            </w:pPr>
            <w:r>
              <w:rPr>
                <w:rFonts w:ascii="宋体" w:hAnsi="宋体" w:cs="宋体" w:eastAsia="宋体" w:hint="default"/>
                <w:sz w:val="18"/>
                <w:szCs w:val="18"/>
              </w:rPr>
              <w:t>项目达到预定可使 用状态日期</w:t>
            </w:r>
          </w:p>
        </w:tc>
        <w:tc>
          <w:tcPr>
            <w:tcW w:w="92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26"/>
                <w:szCs w:val="26"/>
              </w:rPr>
            </w:pPr>
          </w:p>
          <w:p>
            <w:pPr>
              <w:pStyle w:val="TableParagraph"/>
              <w:spacing w:line="316" w:lineRule="auto"/>
              <w:ind w:left="99" w:right="7" w:hanging="90"/>
              <w:jc w:val="left"/>
              <w:rPr>
                <w:rFonts w:ascii="宋体" w:hAnsi="宋体" w:cs="宋体" w:eastAsia="宋体" w:hint="default"/>
                <w:sz w:val="18"/>
                <w:szCs w:val="18"/>
              </w:rPr>
            </w:pPr>
            <w:r>
              <w:rPr>
                <w:rFonts w:ascii="宋体" w:hAnsi="宋体" w:cs="宋体" w:eastAsia="宋体" w:hint="default"/>
                <w:sz w:val="18"/>
                <w:szCs w:val="18"/>
              </w:rPr>
              <w:t>本报告期实 现的效益</w:t>
            </w:r>
          </w:p>
        </w:tc>
        <w:tc>
          <w:tcPr>
            <w:tcW w:w="72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4"/>
                <w:szCs w:val="14"/>
              </w:rPr>
            </w:pPr>
          </w:p>
          <w:p>
            <w:pPr>
              <w:pStyle w:val="TableParagraph"/>
              <w:spacing w:line="316" w:lineRule="auto"/>
              <w:ind w:left="87" w:right="86"/>
              <w:jc w:val="both"/>
              <w:rPr>
                <w:rFonts w:ascii="宋体" w:hAnsi="宋体" w:cs="宋体" w:eastAsia="宋体" w:hint="default"/>
                <w:sz w:val="18"/>
                <w:szCs w:val="18"/>
              </w:rPr>
            </w:pPr>
            <w:r>
              <w:rPr>
                <w:rFonts w:ascii="宋体" w:hAnsi="宋体" w:cs="宋体" w:eastAsia="宋体" w:hint="default"/>
                <w:sz w:val="18"/>
                <w:szCs w:val="18"/>
              </w:rPr>
              <w:t>是否达 到预计 效益</w:t>
            </w:r>
          </w:p>
        </w:tc>
        <w:tc>
          <w:tcPr>
            <w:tcW w:w="92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4"/>
                <w:szCs w:val="14"/>
              </w:rPr>
            </w:pPr>
          </w:p>
          <w:p>
            <w:pPr>
              <w:pStyle w:val="TableParagraph"/>
              <w:spacing w:line="316" w:lineRule="auto"/>
              <w:ind w:left="4" w:right="4"/>
              <w:jc w:val="center"/>
              <w:rPr>
                <w:rFonts w:ascii="宋体" w:hAnsi="宋体" w:cs="宋体" w:eastAsia="宋体" w:hint="default"/>
                <w:sz w:val="18"/>
                <w:szCs w:val="18"/>
              </w:rPr>
            </w:pPr>
            <w:r>
              <w:rPr>
                <w:rFonts w:ascii="宋体" w:hAnsi="宋体" w:cs="宋体" w:eastAsia="宋体" w:hint="default"/>
                <w:sz w:val="18"/>
                <w:szCs w:val="18"/>
              </w:rPr>
              <w:t>项目可行性 是否发生重 大变化</w:t>
            </w:r>
          </w:p>
        </w:tc>
      </w:tr>
      <w:tr>
        <w:trPr>
          <w:trHeight w:val="362" w:hRule="exact"/>
        </w:trPr>
        <w:tc>
          <w:tcPr>
            <w:tcW w:w="11214" w:type="dxa"/>
            <w:gridSpan w:val="11"/>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1" w:right="0"/>
              <w:jc w:val="left"/>
              <w:rPr>
                <w:rFonts w:ascii="宋体" w:hAnsi="宋体" w:cs="宋体" w:eastAsia="宋体" w:hint="default"/>
                <w:sz w:val="18"/>
                <w:szCs w:val="18"/>
              </w:rPr>
            </w:pPr>
            <w:r>
              <w:rPr>
                <w:rFonts w:ascii="宋体" w:hAnsi="宋体" w:cs="宋体" w:eastAsia="宋体" w:hint="default"/>
                <w:sz w:val="18"/>
                <w:szCs w:val="18"/>
              </w:rPr>
              <w:t>承诺投资项目</w:t>
            </w:r>
          </w:p>
        </w:tc>
      </w:tr>
      <w:tr>
        <w:trPr>
          <w:trHeight w:val="361" w:hRule="exact"/>
        </w:trPr>
        <w:tc>
          <w:tcPr>
            <w:tcW w:w="2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 w:right="0"/>
              <w:jc w:val="left"/>
              <w:rPr>
                <w:rFonts w:ascii="宋体" w:hAnsi="宋体" w:cs="宋体" w:eastAsia="宋体" w:hint="default"/>
                <w:sz w:val="18"/>
                <w:szCs w:val="18"/>
              </w:rPr>
            </w:pPr>
            <w:r>
              <w:rPr>
                <w:rFonts w:ascii="宋体" w:hAnsi="宋体" w:cs="宋体" w:eastAsia="宋体" w:hint="default"/>
                <w:sz w:val="18"/>
                <w:szCs w:val="18"/>
              </w:rPr>
              <w:t>光纤水下探测系统产业</w:t>
            </w:r>
          </w:p>
        </w:tc>
        <w:tc>
          <w:tcPr>
            <w:tcW w:w="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276"/>
              <w:jc w:val="right"/>
              <w:rPr>
                <w:rFonts w:ascii="宋体" w:hAnsi="宋体" w:cs="宋体" w:eastAsia="宋体" w:hint="default"/>
                <w:sz w:val="18"/>
                <w:szCs w:val="18"/>
              </w:rPr>
            </w:pPr>
            <w:r>
              <w:rPr>
                <w:rFonts w:ascii="宋体" w:hAnsi="宋体" w:cs="宋体" w:eastAsia="宋体" w:hint="default"/>
                <w:sz w:val="18"/>
                <w:szCs w:val="18"/>
              </w:rPr>
              <w:t>否</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right"/>
              <w:rPr>
                <w:rFonts w:ascii="Times New Roman" w:hAnsi="Times New Roman" w:cs="Times New Roman" w:eastAsia="Times New Roman" w:hint="default"/>
                <w:sz w:val="18"/>
                <w:szCs w:val="18"/>
              </w:rPr>
            </w:pPr>
            <w:r>
              <w:rPr>
                <w:rFonts w:ascii="Times New Roman"/>
                <w:sz w:val="18"/>
              </w:rPr>
              <w:t>31,935.00</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right"/>
              <w:rPr>
                <w:rFonts w:ascii="Times New Roman" w:hAnsi="Times New Roman" w:cs="Times New Roman" w:eastAsia="Times New Roman" w:hint="default"/>
                <w:sz w:val="18"/>
                <w:szCs w:val="18"/>
              </w:rPr>
            </w:pPr>
            <w:r>
              <w:rPr>
                <w:rFonts w:ascii="Times New Roman"/>
                <w:sz w:val="18"/>
              </w:rPr>
              <w:t>31,935.00</w:t>
            </w:r>
          </w:p>
        </w:tc>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right"/>
              <w:rPr>
                <w:rFonts w:ascii="Times New Roman" w:hAnsi="Times New Roman" w:cs="Times New Roman" w:eastAsia="Times New Roman" w:hint="default"/>
                <w:sz w:val="18"/>
                <w:szCs w:val="18"/>
              </w:rPr>
            </w:pPr>
            <w:r>
              <w:rPr>
                <w:rFonts w:ascii="Times New Roman"/>
                <w:sz w:val="18"/>
              </w:rPr>
              <w:t>7,868.46</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131" w:right="-2"/>
              <w:jc w:val="center"/>
              <w:rPr>
                <w:rFonts w:ascii="Times New Roman" w:hAnsi="Times New Roman" w:cs="Times New Roman" w:eastAsia="Times New Roman" w:hint="default"/>
                <w:sz w:val="18"/>
                <w:szCs w:val="18"/>
              </w:rPr>
            </w:pPr>
            <w:r>
              <w:rPr>
                <w:rFonts w:ascii="Times New Roman"/>
                <w:sz w:val="18"/>
              </w:rPr>
              <w:t>27,214.76</w:t>
            </w:r>
          </w:p>
        </w:tc>
        <w:tc>
          <w:tcPr>
            <w:tcW w:w="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Times New Roman" w:hAnsi="Times New Roman" w:cs="Times New Roman" w:eastAsia="Times New Roman" w:hint="default"/>
                <w:sz w:val="18"/>
                <w:szCs w:val="18"/>
              </w:rPr>
            </w:pPr>
            <w:r>
              <w:rPr>
                <w:rFonts w:ascii="Times New Roman"/>
                <w:sz w:val="18"/>
              </w:rPr>
              <w:t>85.22%</w:t>
            </w:r>
          </w:p>
        </w:tc>
        <w:tc>
          <w:tcPr>
            <w:tcW w:w="1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w:t>
            </w:r>
          </w:p>
        </w:tc>
        <w:tc>
          <w:tcPr>
            <w:tcW w:w="929"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不适用</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2" w:hRule="exact"/>
        </w:trPr>
        <w:tc>
          <w:tcPr>
            <w:tcW w:w="2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 w:right="0"/>
              <w:jc w:val="left"/>
              <w:rPr>
                <w:rFonts w:ascii="宋体" w:hAnsi="宋体" w:cs="宋体" w:eastAsia="宋体" w:hint="default"/>
                <w:sz w:val="18"/>
                <w:szCs w:val="18"/>
              </w:rPr>
            </w:pPr>
            <w:r>
              <w:rPr>
                <w:rFonts w:ascii="宋体" w:hAnsi="宋体" w:cs="宋体" w:eastAsia="宋体" w:hint="default"/>
                <w:sz w:val="18"/>
                <w:szCs w:val="18"/>
              </w:rPr>
              <w:t>自主可控安全计算机产业化</w:t>
            </w:r>
          </w:p>
        </w:tc>
        <w:tc>
          <w:tcPr>
            <w:tcW w:w="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76"/>
              <w:jc w:val="right"/>
              <w:rPr>
                <w:rFonts w:ascii="宋体" w:hAnsi="宋体" w:cs="宋体" w:eastAsia="宋体" w:hint="default"/>
                <w:sz w:val="18"/>
                <w:szCs w:val="18"/>
              </w:rPr>
            </w:pPr>
            <w:r>
              <w:rPr>
                <w:rFonts w:ascii="宋体" w:hAnsi="宋体" w:cs="宋体" w:eastAsia="宋体" w:hint="default"/>
                <w:sz w:val="18"/>
                <w:szCs w:val="18"/>
              </w:rPr>
              <w:t>否</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2"/>
              <w:jc w:val="right"/>
              <w:rPr>
                <w:rFonts w:ascii="Times New Roman" w:hAnsi="Times New Roman" w:cs="Times New Roman" w:eastAsia="Times New Roman" w:hint="default"/>
                <w:sz w:val="18"/>
                <w:szCs w:val="18"/>
              </w:rPr>
            </w:pPr>
            <w:r>
              <w:rPr>
                <w:rFonts w:ascii="Times New Roman"/>
                <w:sz w:val="18"/>
              </w:rPr>
              <w:t>17,897.00</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2"/>
              <w:jc w:val="right"/>
              <w:rPr>
                <w:rFonts w:ascii="Times New Roman" w:hAnsi="Times New Roman" w:cs="Times New Roman" w:eastAsia="Times New Roman" w:hint="default"/>
                <w:sz w:val="18"/>
                <w:szCs w:val="18"/>
              </w:rPr>
            </w:pPr>
            <w:r>
              <w:rPr>
                <w:rFonts w:ascii="Times New Roman"/>
                <w:sz w:val="18"/>
              </w:rPr>
              <w:t>17,897.00</w:t>
            </w:r>
          </w:p>
        </w:tc>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right"/>
              <w:rPr>
                <w:rFonts w:ascii="Times New Roman" w:hAnsi="Times New Roman" w:cs="Times New Roman" w:eastAsia="Times New Roman" w:hint="default"/>
                <w:sz w:val="18"/>
                <w:szCs w:val="18"/>
              </w:rPr>
            </w:pPr>
            <w:r>
              <w:rPr>
                <w:rFonts w:ascii="Times New Roman"/>
                <w:sz w:val="18"/>
              </w:rPr>
              <w:t>7,002.32</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left="131" w:right="-2"/>
              <w:jc w:val="center"/>
              <w:rPr>
                <w:rFonts w:ascii="Times New Roman" w:hAnsi="Times New Roman" w:cs="Times New Roman" w:eastAsia="Times New Roman" w:hint="default"/>
                <w:sz w:val="18"/>
                <w:szCs w:val="18"/>
              </w:rPr>
            </w:pPr>
            <w:r>
              <w:rPr>
                <w:rFonts w:ascii="Times New Roman"/>
                <w:sz w:val="18"/>
              </w:rPr>
              <w:t>13,021.44</w:t>
            </w:r>
          </w:p>
        </w:tc>
        <w:tc>
          <w:tcPr>
            <w:tcW w:w="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center"/>
              <w:rPr>
                <w:rFonts w:ascii="Times New Roman" w:hAnsi="Times New Roman" w:cs="Times New Roman" w:eastAsia="Times New Roman" w:hint="default"/>
                <w:sz w:val="18"/>
                <w:szCs w:val="18"/>
              </w:rPr>
            </w:pPr>
            <w:r>
              <w:rPr>
                <w:rFonts w:ascii="Times New Roman"/>
                <w:sz w:val="18"/>
              </w:rPr>
              <w:t>72.76%</w:t>
            </w:r>
          </w:p>
        </w:tc>
        <w:tc>
          <w:tcPr>
            <w:tcW w:w="1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w:t>
            </w:r>
          </w:p>
        </w:tc>
        <w:tc>
          <w:tcPr>
            <w:tcW w:w="929"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不适用</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2" w:hRule="exact"/>
        </w:trPr>
        <w:tc>
          <w:tcPr>
            <w:tcW w:w="2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 w:right="0"/>
              <w:jc w:val="left"/>
              <w:rPr>
                <w:rFonts w:ascii="宋体" w:hAnsi="宋体" w:cs="宋体" w:eastAsia="宋体" w:hint="default"/>
                <w:sz w:val="18"/>
                <w:szCs w:val="18"/>
              </w:rPr>
            </w:pPr>
            <w:r>
              <w:rPr>
                <w:rFonts w:ascii="宋体" w:hAnsi="宋体" w:cs="宋体" w:eastAsia="宋体" w:hint="default"/>
                <w:sz w:val="18"/>
                <w:szCs w:val="18"/>
              </w:rPr>
              <w:t>安全高端金融机具产业化</w:t>
            </w:r>
          </w:p>
        </w:tc>
        <w:tc>
          <w:tcPr>
            <w:tcW w:w="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276"/>
              <w:jc w:val="right"/>
              <w:rPr>
                <w:rFonts w:ascii="宋体" w:hAnsi="宋体" w:cs="宋体" w:eastAsia="宋体" w:hint="default"/>
                <w:sz w:val="18"/>
                <w:szCs w:val="18"/>
              </w:rPr>
            </w:pPr>
            <w:r>
              <w:rPr>
                <w:rFonts w:ascii="宋体" w:hAnsi="宋体" w:cs="宋体" w:eastAsia="宋体" w:hint="default"/>
                <w:sz w:val="18"/>
                <w:szCs w:val="18"/>
              </w:rPr>
              <w:t>否</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right"/>
              <w:rPr>
                <w:rFonts w:ascii="Times New Roman" w:hAnsi="Times New Roman" w:cs="Times New Roman" w:eastAsia="Times New Roman" w:hint="default"/>
                <w:sz w:val="18"/>
                <w:szCs w:val="18"/>
              </w:rPr>
            </w:pPr>
            <w:r>
              <w:rPr>
                <w:rFonts w:ascii="Times New Roman"/>
                <w:sz w:val="18"/>
              </w:rPr>
              <w:t>20,270.00</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right"/>
              <w:rPr>
                <w:rFonts w:ascii="Times New Roman" w:hAnsi="Times New Roman" w:cs="Times New Roman" w:eastAsia="Times New Roman" w:hint="default"/>
                <w:sz w:val="18"/>
                <w:szCs w:val="18"/>
              </w:rPr>
            </w:pPr>
            <w:r>
              <w:rPr>
                <w:rFonts w:ascii="Times New Roman"/>
                <w:sz w:val="18"/>
              </w:rPr>
              <w:t>20,270.00</w:t>
            </w:r>
          </w:p>
        </w:tc>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right"/>
              <w:rPr>
                <w:rFonts w:ascii="Times New Roman" w:hAnsi="Times New Roman" w:cs="Times New Roman" w:eastAsia="Times New Roman" w:hint="default"/>
                <w:sz w:val="18"/>
                <w:szCs w:val="18"/>
              </w:rPr>
            </w:pPr>
            <w:r>
              <w:rPr>
                <w:rFonts w:ascii="Times New Roman"/>
                <w:sz w:val="18"/>
              </w:rPr>
              <w:t>5,043.86</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131" w:right="-2"/>
              <w:jc w:val="center"/>
              <w:rPr>
                <w:rFonts w:ascii="Times New Roman" w:hAnsi="Times New Roman" w:cs="Times New Roman" w:eastAsia="Times New Roman" w:hint="default"/>
                <w:sz w:val="18"/>
                <w:szCs w:val="18"/>
              </w:rPr>
            </w:pPr>
            <w:r>
              <w:rPr>
                <w:rFonts w:ascii="Times New Roman"/>
                <w:sz w:val="18"/>
              </w:rPr>
              <w:t>18,488.90</w:t>
            </w:r>
          </w:p>
        </w:tc>
        <w:tc>
          <w:tcPr>
            <w:tcW w:w="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Times New Roman" w:hAnsi="Times New Roman" w:cs="Times New Roman" w:eastAsia="Times New Roman" w:hint="default"/>
                <w:sz w:val="18"/>
                <w:szCs w:val="18"/>
              </w:rPr>
            </w:pPr>
            <w:r>
              <w:rPr>
                <w:rFonts w:ascii="Times New Roman"/>
                <w:sz w:val="18"/>
              </w:rPr>
              <w:t>91.21%</w:t>
            </w:r>
          </w:p>
        </w:tc>
        <w:tc>
          <w:tcPr>
            <w:tcW w:w="1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w:t>
            </w:r>
          </w:p>
        </w:tc>
        <w:tc>
          <w:tcPr>
            <w:tcW w:w="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right"/>
              <w:rPr>
                <w:rFonts w:ascii="Times New Roman" w:hAnsi="Times New Roman" w:cs="Times New Roman" w:eastAsia="Times New Roman" w:hint="default"/>
                <w:sz w:val="18"/>
                <w:szCs w:val="18"/>
              </w:rPr>
            </w:pPr>
            <w:r>
              <w:rPr>
                <w:rFonts w:ascii="Times New Roman"/>
                <w:sz w:val="18"/>
              </w:rPr>
              <w:t>2,924.32</w:t>
            </w: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是</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673" w:hRule="exact"/>
        </w:trPr>
        <w:tc>
          <w:tcPr>
            <w:tcW w:w="222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31"/>
              <w:ind w:left="1" w:right="50"/>
              <w:jc w:val="left"/>
              <w:rPr>
                <w:rFonts w:ascii="宋体" w:hAnsi="宋体" w:cs="宋体" w:eastAsia="宋体" w:hint="default"/>
                <w:sz w:val="18"/>
                <w:szCs w:val="18"/>
              </w:rPr>
            </w:pPr>
            <w:r>
              <w:rPr>
                <w:rFonts w:ascii="宋体" w:hAnsi="宋体" w:cs="宋体" w:eastAsia="宋体" w:hint="default"/>
                <w:sz w:val="18"/>
                <w:szCs w:val="18"/>
              </w:rPr>
              <w:t>基于居民健康卡的区域诊疗 一卡通平台</w:t>
            </w:r>
          </w:p>
        </w:tc>
        <w:tc>
          <w:tcPr>
            <w:tcW w:w="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76"/>
              <w:jc w:val="right"/>
              <w:rPr>
                <w:rFonts w:ascii="宋体" w:hAnsi="宋体" w:cs="宋体" w:eastAsia="宋体" w:hint="default"/>
                <w:sz w:val="18"/>
                <w:szCs w:val="18"/>
              </w:rPr>
            </w:pPr>
            <w:r>
              <w:rPr>
                <w:rFonts w:ascii="宋体" w:hAnsi="宋体" w:cs="宋体" w:eastAsia="宋体" w:hint="default"/>
                <w:sz w:val="18"/>
                <w:szCs w:val="18"/>
              </w:rPr>
              <w:t>是</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2"/>
              <w:jc w:val="right"/>
              <w:rPr>
                <w:rFonts w:ascii="Times New Roman" w:hAnsi="Times New Roman" w:cs="Times New Roman" w:eastAsia="Times New Roman" w:hint="default"/>
                <w:sz w:val="18"/>
                <w:szCs w:val="18"/>
              </w:rPr>
            </w:pPr>
            <w:r>
              <w:rPr>
                <w:rFonts w:ascii="Times New Roman"/>
                <w:sz w:val="18"/>
              </w:rPr>
              <w:t>27,858.00</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2"/>
              <w:jc w:val="right"/>
              <w:rPr>
                <w:rFonts w:ascii="Times New Roman" w:hAnsi="Times New Roman" w:cs="Times New Roman" w:eastAsia="Times New Roman" w:hint="default"/>
                <w:sz w:val="18"/>
                <w:szCs w:val="18"/>
              </w:rPr>
            </w:pPr>
            <w:r>
              <w:rPr>
                <w:rFonts w:ascii="Times New Roman"/>
                <w:sz w:val="18"/>
              </w:rPr>
              <w:t>12,458.00</w:t>
            </w:r>
          </w:p>
        </w:tc>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z w:val="18"/>
              </w:rPr>
              <w:t>2,714.03</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139" w:right="-2"/>
              <w:jc w:val="center"/>
              <w:rPr>
                <w:rFonts w:ascii="Times New Roman" w:hAnsi="Times New Roman" w:cs="Times New Roman" w:eastAsia="Times New Roman" w:hint="default"/>
                <w:sz w:val="18"/>
                <w:szCs w:val="18"/>
              </w:rPr>
            </w:pPr>
            <w:r>
              <w:rPr>
                <w:rFonts w:ascii="Times New Roman"/>
                <w:spacing w:val="-1"/>
                <w:sz w:val="18"/>
              </w:rPr>
              <w:t>11,337.84</w:t>
            </w:r>
          </w:p>
        </w:tc>
        <w:tc>
          <w:tcPr>
            <w:tcW w:w="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91.01%</w:t>
            </w:r>
          </w:p>
        </w:tc>
        <w:tc>
          <w:tcPr>
            <w:tcW w:w="1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w:t>
            </w:r>
          </w:p>
        </w:tc>
        <w:tc>
          <w:tcPr>
            <w:tcW w:w="929"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不适用</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62" w:hRule="exact"/>
        </w:trPr>
        <w:tc>
          <w:tcPr>
            <w:tcW w:w="222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2"/>
              <w:ind w:left="1" w:right="0"/>
              <w:jc w:val="left"/>
              <w:rPr>
                <w:rFonts w:ascii="宋体" w:hAnsi="宋体" w:cs="宋体" w:eastAsia="宋体" w:hint="default"/>
                <w:sz w:val="18"/>
                <w:szCs w:val="18"/>
              </w:rPr>
            </w:pPr>
            <w:r>
              <w:rPr>
                <w:rFonts w:ascii="宋体" w:hAnsi="宋体" w:cs="宋体" w:eastAsia="宋体" w:hint="default"/>
                <w:sz w:val="18"/>
                <w:szCs w:val="18"/>
              </w:rPr>
              <w:t>承诺投资项目小计</w:t>
            </w:r>
          </w:p>
        </w:tc>
        <w:tc>
          <w:tcPr>
            <w:tcW w:w="74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2"/>
              <w:ind w:right="306"/>
              <w:jc w:val="right"/>
              <w:rPr>
                <w:rFonts w:ascii="Times New Roman" w:hAnsi="Times New Roman" w:cs="Times New Roman" w:eastAsia="Times New Roman" w:hint="default"/>
                <w:sz w:val="18"/>
                <w:szCs w:val="18"/>
              </w:rPr>
            </w:pPr>
            <w:r>
              <w:rPr>
                <w:rFonts w:ascii="Times New Roman"/>
                <w:sz w:val="18"/>
              </w:rPr>
              <w:t>--</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right"/>
              <w:rPr>
                <w:rFonts w:ascii="Times New Roman" w:hAnsi="Times New Roman" w:cs="Times New Roman" w:eastAsia="Times New Roman" w:hint="default"/>
                <w:sz w:val="18"/>
                <w:szCs w:val="18"/>
              </w:rPr>
            </w:pPr>
            <w:r>
              <w:rPr>
                <w:rFonts w:ascii="Times New Roman"/>
                <w:sz w:val="18"/>
              </w:rPr>
              <w:t>97,960.00</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right"/>
              <w:rPr>
                <w:rFonts w:ascii="Times New Roman" w:hAnsi="Times New Roman" w:cs="Times New Roman" w:eastAsia="Times New Roman" w:hint="default"/>
                <w:sz w:val="18"/>
                <w:szCs w:val="18"/>
              </w:rPr>
            </w:pPr>
            <w:r>
              <w:rPr>
                <w:rFonts w:ascii="Times New Roman"/>
                <w:sz w:val="18"/>
              </w:rPr>
              <w:t>82,560.00</w:t>
            </w:r>
          </w:p>
        </w:tc>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right"/>
              <w:rPr>
                <w:rFonts w:ascii="Times New Roman" w:hAnsi="Times New Roman" w:cs="Times New Roman" w:eastAsia="Times New Roman" w:hint="default"/>
                <w:sz w:val="18"/>
                <w:szCs w:val="18"/>
              </w:rPr>
            </w:pPr>
            <w:r>
              <w:rPr>
                <w:rFonts w:ascii="Times New Roman"/>
                <w:sz w:val="18"/>
              </w:rPr>
              <w:t>22,628.67</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left="131" w:right="-2"/>
              <w:jc w:val="center"/>
              <w:rPr>
                <w:rFonts w:ascii="Times New Roman" w:hAnsi="Times New Roman" w:cs="Times New Roman" w:eastAsia="Times New Roman" w:hint="default"/>
                <w:sz w:val="18"/>
                <w:szCs w:val="18"/>
              </w:rPr>
            </w:pPr>
            <w:r>
              <w:rPr>
                <w:rFonts w:ascii="Times New Roman"/>
                <w:sz w:val="18"/>
              </w:rPr>
              <w:t>70,062.94</w:t>
            </w:r>
          </w:p>
        </w:tc>
        <w:tc>
          <w:tcPr>
            <w:tcW w:w="74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2"/>
              <w:ind w:right="1"/>
              <w:jc w:val="center"/>
              <w:rPr>
                <w:rFonts w:ascii="Times New Roman" w:hAnsi="Times New Roman" w:cs="Times New Roman" w:eastAsia="Times New Roman" w:hint="default"/>
                <w:sz w:val="18"/>
                <w:szCs w:val="18"/>
              </w:rPr>
            </w:pPr>
            <w:r>
              <w:rPr>
                <w:rFonts w:ascii="Times New Roman"/>
                <w:sz w:val="18"/>
              </w:rPr>
              <w:t>--</w:t>
            </w:r>
          </w:p>
        </w:tc>
        <w:tc>
          <w:tcPr>
            <w:tcW w:w="147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2"/>
              <w:ind w:right="1"/>
              <w:jc w:val="center"/>
              <w:rPr>
                <w:rFonts w:ascii="Times New Roman" w:hAnsi="Times New Roman" w:cs="Times New Roman" w:eastAsia="Times New Roman" w:hint="default"/>
                <w:sz w:val="18"/>
                <w:szCs w:val="18"/>
              </w:rPr>
            </w:pPr>
            <w:r>
              <w:rPr>
                <w:rFonts w:ascii="Times New Roman"/>
                <w:sz w:val="18"/>
              </w:rPr>
              <w:t>--</w:t>
            </w:r>
          </w:p>
        </w:tc>
        <w:tc>
          <w:tcPr>
            <w:tcW w:w="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2"/>
              <w:jc w:val="right"/>
              <w:rPr>
                <w:rFonts w:ascii="Times New Roman" w:hAnsi="Times New Roman" w:cs="Times New Roman" w:eastAsia="Times New Roman" w:hint="default"/>
                <w:sz w:val="18"/>
                <w:szCs w:val="18"/>
              </w:rPr>
            </w:pPr>
            <w:r>
              <w:rPr>
                <w:rFonts w:ascii="Times New Roman"/>
                <w:sz w:val="18"/>
              </w:rPr>
              <w:t>2,924.32</w:t>
            </w:r>
          </w:p>
        </w:tc>
        <w:tc>
          <w:tcPr>
            <w:tcW w:w="72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2"/>
              <w:ind w:right="1"/>
              <w:jc w:val="center"/>
              <w:rPr>
                <w:rFonts w:ascii="Times New Roman" w:hAnsi="Times New Roman" w:cs="Times New Roman" w:eastAsia="Times New Roman" w:hint="default"/>
                <w:sz w:val="18"/>
                <w:szCs w:val="18"/>
              </w:rPr>
            </w:pPr>
            <w:r>
              <w:rPr>
                <w:rFonts w:ascii="Times New Roman"/>
                <w:sz w:val="18"/>
              </w:rPr>
              <w:t>--</w:t>
            </w:r>
          </w:p>
        </w:tc>
        <w:tc>
          <w:tcPr>
            <w:tcW w:w="92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2"/>
              <w:ind w:right="1"/>
              <w:jc w:val="center"/>
              <w:rPr>
                <w:rFonts w:ascii="Times New Roman" w:hAnsi="Times New Roman" w:cs="Times New Roman" w:eastAsia="Times New Roman" w:hint="default"/>
                <w:sz w:val="18"/>
                <w:szCs w:val="18"/>
              </w:rPr>
            </w:pPr>
            <w:r>
              <w:rPr>
                <w:rFonts w:ascii="Times New Roman"/>
                <w:sz w:val="18"/>
              </w:rPr>
              <w:t>--</w:t>
            </w:r>
          </w:p>
        </w:tc>
      </w:tr>
      <w:tr>
        <w:trPr>
          <w:trHeight w:val="362" w:hRule="exact"/>
        </w:trPr>
        <w:tc>
          <w:tcPr>
            <w:tcW w:w="11214" w:type="dxa"/>
            <w:gridSpan w:val="11"/>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1" w:right="0"/>
              <w:jc w:val="left"/>
              <w:rPr>
                <w:rFonts w:ascii="宋体" w:hAnsi="宋体" w:cs="宋体" w:eastAsia="宋体" w:hint="default"/>
                <w:sz w:val="18"/>
                <w:szCs w:val="18"/>
              </w:rPr>
            </w:pPr>
            <w:r>
              <w:rPr>
                <w:rFonts w:ascii="宋体" w:hAnsi="宋体" w:cs="宋体" w:eastAsia="宋体" w:hint="default"/>
                <w:sz w:val="18"/>
                <w:szCs w:val="18"/>
              </w:rPr>
              <w:t>超募资金投向</w:t>
            </w:r>
          </w:p>
        </w:tc>
      </w:tr>
      <w:tr>
        <w:trPr>
          <w:trHeight w:val="361" w:hRule="exact"/>
        </w:trPr>
        <w:tc>
          <w:tcPr>
            <w:tcW w:w="2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745"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c>
          <w:tcPr>
            <w:tcW w:w="863" w:type="dxa"/>
            <w:tcBorders>
              <w:top w:val="single" w:sz="4" w:space="0" w:color="000000"/>
              <w:left w:val="single" w:sz="4" w:space="0" w:color="000000"/>
              <w:bottom w:val="single" w:sz="4" w:space="0" w:color="000000"/>
              <w:right w:val="single" w:sz="4" w:space="0" w:color="000000"/>
            </w:tcBorders>
          </w:tcPr>
          <w:p>
            <w:pPr/>
          </w:p>
        </w:tc>
        <w:tc>
          <w:tcPr>
            <w:tcW w:w="862" w:type="dxa"/>
            <w:tcBorders>
              <w:top w:val="single" w:sz="4" w:space="0" w:color="000000"/>
              <w:left w:val="single" w:sz="4" w:space="0" w:color="000000"/>
              <w:bottom w:val="single" w:sz="4" w:space="0" w:color="000000"/>
              <w:right w:val="single" w:sz="4" w:space="0" w:color="000000"/>
            </w:tcBorders>
          </w:tcPr>
          <w:p>
            <w:pPr/>
          </w:p>
        </w:tc>
        <w:tc>
          <w:tcPr>
            <w:tcW w:w="748" w:type="dxa"/>
            <w:tcBorders>
              <w:top w:val="single" w:sz="4" w:space="0" w:color="000000"/>
              <w:left w:val="single" w:sz="4" w:space="0" w:color="000000"/>
              <w:bottom w:val="single" w:sz="4" w:space="0" w:color="000000"/>
              <w:right w:val="single" w:sz="4" w:space="0" w:color="000000"/>
            </w:tcBorders>
          </w:tcPr>
          <w:p>
            <w:pPr/>
          </w:p>
        </w:tc>
        <w:tc>
          <w:tcPr>
            <w:tcW w:w="1475" w:type="dxa"/>
            <w:tcBorders>
              <w:top w:val="single" w:sz="4" w:space="0" w:color="000000"/>
              <w:left w:val="single" w:sz="4" w:space="0" w:color="000000"/>
              <w:bottom w:val="single" w:sz="4" w:space="0" w:color="000000"/>
              <w:right w:val="single" w:sz="4" w:space="0" w:color="000000"/>
            </w:tcBorders>
          </w:tcPr>
          <w:p>
            <w:pPr/>
          </w:p>
        </w:tc>
        <w:tc>
          <w:tcPr>
            <w:tcW w:w="929"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920" w:type="dxa"/>
            <w:tcBorders>
              <w:top w:val="single" w:sz="4" w:space="0" w:color="000000"/>
              <w:left w:val="single" w:sz="4" w:space="0" w:color="000000"/>
              <w:bottom w:val="single" w:sz="4" w:space="0" w:color="000000"/>
              <w:right w:val="single" w:sz="4" w:space="0" w:color="000000"/>
            </w:tcBorders>
          </w:tcPr>
          <w:p>
            <w:pPr/>
          </w:p>
        </w:tc>
      </w:tr>
      <w:tr>
        <w:trPr>
          <w:trHeight w:val="362" w:hRule="exact"/>
        </w:trPr>
        <w:tc>
          <w:tcPr>
            <w:tcW w:w="222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2"/>
              <w:ind w:left="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4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2"/>
              <w:ind w:right="306"/>
              <w:jc w:val="right"/>
              <w:rPr>
                <w:rFonts w:ascii="Times New Roman" w:hAnsi="Times New Roman" w:cs="Times New Roman" w:eastAsia="Times New Roman" w:hint="default"/>
                <w:sz w:val="18"/>
                <w:szCs w:val="18"/>
              </w:rPr>
            </w:pPr>
            <w:r>
              <w:rPr>
                <w:rFonts w:ascii="Times New Roman"/>
                <w:sz w:val="18"/>
              </w:rPr>
              <w:t>--</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right"/>
              <w:rPr>
                <w:rFonts w:ascii="Times New Roman" w:hAnsi="Times New Roman" w:cs="Times New Roman" w:eastAsia="Times New Roman" w:hint="default"/>
                <w:sz w:val="18"/>
                <w:szCs w:val="18"/>
              </w:rPr>
            </w:pPr>
            <w:r>
              <w:rPr>
                <w:rFonts w:ascii="Times New Roman"/>
                <w:sz w:val="18"/>
              </w:rPr>
              <w:t>97,960.00</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right"/>
              <w:rPr>
                <w:rFonts w:ascii="Times New Roman" w:hAnsi="Times New Roman" w:cs="Times New Roman" w:eastAsia="Times New Roman" w:hint="default"/>
                <w:sz w:val="18"/>
                <w:szCs w:val="18"/>
              </w:rPr>
            </w:pPr>
            <w:r>
              <w:rPr>
                <w:rFonts w:ascii="Times New Roman"/>
                <w:sz w:val="18"/>
              </w:rPr>
              <w:t>82,560.00</w:t>
            </w:r>
          </w:p>
        </w:tc>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1"/>
              <w:jc w:val="right"/>
              <w:rPr>
                <w:rFonts w:ascii="Times New Roman" w:hAnsi="Times New Roman" w:cs="Times New Roman" w:eastAsia="Times New Roman" w:hint="default"/>
                <w:sz w:val="18"/>
                <w:szCs w:val="18"/>
              </w:rPr>
            </w:pPr>
            <w:r>
              <w:rPr>
                <w:rFonts w:ascii="Times New Roman"/>
                <w:sz w:val="18"/>
              </w:rPr>
              <w:t>22,628.67</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left="130" w:right="0"/>
              <w:jc w:val="center"/>
              <w:rPr>
                <w:rFonts w:ascii="Times New Roman" w:hAnsi="Times New Roman" w:cs="Times New Roman" w:eastAsia="Times New Roman" w:hint="default"/>
                <w:sz w:val="18"/>
                <w:szCs w:val="18"/>
              </w:rPr>
            </w:pPr>
            <w:r>
              <w:rPr>
                <w:rFonts w:ascii="Times New Roman"/>
                <w:sz w:val="18"/>
              </w:rPr>
              <w:t>70,062.94</w:t>
            </w:r>
          </w:p>
        </w:tc>
        <w:tc>
          <w:tcPr>
            <w:tcW w:w="74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2"/>
              <w:ind w:right="1"/>
              <w:jc w:val="center"/>
              <w:rPr>
                <w:rFonts w:ascii="Times New Roman" w:hAnsi="Times New Roman" w:cs="Times New Roman" w:eastAsia="Times New Roman" w:hint="default"/>
                <w:sz w:val="18"/>
                <w:szCs w:val="18"/>
              </w:rPr>
            </w:pPr>
            <w:r>
              <w:rPr>
                <w:rFonts w:ascii="Times New Roman"/>
                <w:sz w:val="18"/>
              </w:rPr>
              <w:t>--</w:t>
            </w:r>
          </w:p>
        </w:tc>
        <w:tc>
          <w:tcPr>
            <w:tcW w:w="147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2"/>
              <w:ind w:right="1"/>
              <w:jc w:val="center"/>
              <w:rPr>
                <w:rFonts w:ascii="Times New Roman" w:hAnsi="Times New Roman" w:cs="Times New Roman" w:eastAsia="Times New Roman" w:hint="default"/>
                <w:sz w:val="18"/>
                <w:szCs w:val="18"/>
              </w:rPr>
            </w:pPr>
            <w:r>
              <w:rPr>
                <w:rFonts w:ascii="Times New Roman"/>
                <w:sz w:val="18"/>
              </w:rPr>
              <w:t>--</w:t>
            </w:r>
          </w:p>
        </w:tc>
        <w:tc>
          <w:tcPr>
            <w:tcW w:w="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2"/>
              <w:jc w:val="right"/>
              <w:rPr>
                <w:rFonts w:ascii="Times New Roman" w:hAnsi="Times New Roman" w:cs="Times New Roman" w:eastAsia="Times New Roman" w:hint="default"/>
                <w:sz w:val="18"/>
                <w:szCs w:val="18"/>
              </w:rPr>
            </w:pPr>
            <w:r>
              <w:rPr>
                <w:rFonts w:ascii="Times New Roman"/>
                <w:sz w:val="18"/>
              </w:rPr>
              <w:t>2,924.32</w:t>
            </w:r>
          </w:p>
        </w:tc>
        <w:tc>
          <w:tcPr>
            <w:tcW w:w="72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2"/>
              <w:ind w:right="1"/>
              <w:jc w:val="center"/>
              <w:rPr>
                <w:rFonts w:ascii="Times New Roman" w:hAnsi="Times New Roman" w:cs="Times New Roman" w:eastAsia="Times New Roman" w:hint="default"/>
                <w:sz w:val="18"/>
                <w:szCs w:val="18"/>
              </w:rPr>
            </w:pPr>
            <w:r>
              <w:rPr>
                <w:rFonts w:ascii="Times New Roman"/>
                <w:sz w:val="18"/>
              </w:rPr>
              <w:t>--</w:t>
            </w:r>
          </w:p>
        </w:tc>
        <w:tc>
          <w:tcPr>
            <w:tcW w:w="92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2"/>
              <w:ind w:right="1"/>
              <w:jc w:val="center"/>
              <w:rPr>
                <w:rFonts w:ascii="Times New Roman" w:hAnsi="Times New Roman" w:cs="Times New Roman" w:eastAsia="Times New Roman" w:hint="default"/>
                <w:sz w:val="18"/>
                <w:szCs w:val="18"/>
              </w:rPr>
            </w:pPr>
            <w:r>
              <w:rPr>
                <w:rFonts w:ascii="Times New Roman"/>
                <w:sz w:val="18"/>
              </w:rPr>
              <w:t>--</w:t>
            </w:r>
          </w:p>
        </w:tc>
      </w:tr>
      <w:tr>
        <w:trPr>
          <w:trHeight w:val="674" w:hRule="exact"/>
        </w:trPr>
        <w:tc>
          <w:tcPr>
            <w:tcW w:w="222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31"/>
              <w:ind w:left="1" w:right="50"/>
              <w:jc w:val="left"/>
              <w:rPr>
                <w:rFonts w:ascii="宋体" w:hAnsi="宋体" w:cs="宋体" w:eastAsia="宋体" w:hint="default"/>
                <w:sz w:val="18"/>
                <w:szCs w:val="18"/>
              </w:rPr>
            </w:pPr>
            <w:r>
              <w:rPr>
                <w:rFonts w:ascii="宋体" w:hAnsi="宋体" w:cs="宋体" w:eastAsia="宋体" w:hint="default"/>
                <w:sz w:val="18"/>
                <w:szCs w:val="18"/>
              </w:rPr>
              <w:t>未达到计划进度或预计收益 </w:t>
            </w:r>
            <w:r>
              <w:rPr>
                <w:rFonts w:ascii="宋体" w:hAnsi="宋体" w:cs="宋体" w:eastAsia="宋体" w:hint="default"/>
                <w:spacing w:val="-4"/>
                <w:sz w:val="18"/>
                <w:szCs w:val="18"/>
              </w:rPr>
              <w:t>的情况和原因（分具体项目</w:t>
            </w:r>
          </w:p>
        </w:tc>
        <w:tc>
          <w:tcPr>
            <w:tcW w:w="8990" w:type="dxa"/>
            <w:gridSpan w:val="10"/>
            <w:tcBorders>
              <w:top w:val="single" w:sz="4" w:space="0" w:color="000000"/>
              <w:left w:val="single" w:sz="4" w:space="0" w:color="000000"/>
              <w:bottom w:val="single" w:sz="4" w:space="0" w:color="000000"/>
              <w:right w:val="single" w:sz="4" w:space="0" w:color="000000"/>
            </w:tcBorders>
          </w:tcPr>
          <w:p>
            <w:pPr>
              <w:pStyle w:val="TableParagraph"/>
              <w:spacing w:line="156" w:lineRule="exact"/>
              <w:ind w:right="-50"/>
              <w:jc w:val="left"/>
              <w:rPr>
                <w:rFonts w:ascii="宋体" w:hAnsi="宋体" w:cs="宋体" w:eastAsia="宋体" w:hint="default"/>
                <w:sz w:val="15"/>
                <w:szCs w:val="15"/>
              </w:rPr>
            </w:pPr>
            <w:r>
              <w:rPr>
                <w:rFonts w:ascii="宋体" w:hAnsi="宋体" w:cs="宋体" w:eastAsia="宋体" w:hint="default"/>
                <w:position w:val="-2"/>
                <w:sz w:val="15"/>
                <w:szCs w:val="15"/>
              </w:rPr>
              <w:pict>
                <v:group style="width:449pt;height:7.8pt;mso-position-horizontal-relative:char;mso-position-vertical-relative:line" coordorigin="0,0" coordsize="8980,156">
                  <v:group style="position:absolute;left:0;top:0;width:8980;height:156" coordorigin="0,0" coordsize="8980,156">
                    <v:shape style="position:absolute;left:0;top:0;width:8980;height:156" coordorigin="0,0" coordsize="8980,156" path="m0,156l8980,156,8980,0,0,0,0,156xe" filled="true" fillcolor="#ffffff" stroked="false">
                      <v:path arrowok="t"/>
                      <v:fill type="solid"/>
                    </v:shape>
                  </v:group>
                </v:group>
              </w:pict>
            </w:r>
            <w:r>
              <w:rPr>
                <w:rFonts w:ascii="宋体" w:hAnsi="宋体" w:cs="宋体" w:eastAsia="宋体" w:hint="default"/>
                <w:position w:val="-2"/>
                <w:sz w:val="15"/>
                <w:szCs w:val="15"/>
              </w:rPr>
            </w:r>
          </w:p>
          <w:p>
            <w:pPr>
              <w:pStyle w:val="TableParagraph"/>
              <w:spacing w:line="240" w:lineRule="auto" w:before="31"/>
              <w:ind w:left="360"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673" w:hRule="exact"/>
        </w:trPr>
        <w:tc>
          <w:tcPr>
            <w:tcW w:w="222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31"/>
              <w:ind w:left="1" w:right="50"/>
              <w:jc w:val="left"/>
              <w:rPr>
                <w:rFonts w:ascii="宋体" w:hAnsi="宋体" w:cs="宋体" w:eastAsia="宋体" w:hint="default"/>
                <w:sz w:val="18"/>
                <w:szCs w:val="18"/>
              </w:rPr>
            </w:pPr>
            <w:r>
              <w:rPr>
                <w:rFonts w:ascii="宋体" w:hAnsi="宋体" w:cs="宋体" w:eastAsia="宋体" w:hint="default"/>
                <w:sz w:val="18"/>
                <w:szCs w:val="18"/>
              </w:rPr>
              <w:t>项目可行性发生重大变化的 情况说明</w:t>
            </w:r>
          </w:p>
        </w:tc>
        <w:tc>
          <w:tcPr>
            <w:tcW w:w="8990"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360" w:right="0"/>
              <w:jc w:val="left"/>
              <w:rPr>
                <w:rFonts w:ascii="宋体" w:hAnsi="宋体" w:cs="宋体" w:eastAsia="宋体" w:hint="default"/>
                <w:sz w:val="18"/>
                <w:szCs w:val="18"/>
              </w:rPr>
            </w:pPr>
            <w:r>
              <w:rPr>
                <w:rFonts w:ascii="宋体" w:hAnsi="宋体" w:cs="宋体" w:eastAsia="宋体" w:hint="default"/>
                <w:sz w:val="18"/>
                <w:szCs w:val="18"/>
              </w:rPr>
              <w:t>基于居民健康卡的区域诊疗一卡通平台项目承诺投资 </w:t>
            </w:r>
            <w:r>
              <w:rPr>
                <w:rFonts w:ascii="Times New Roman" w:hAnsi="Times New Roman" w:cs="Times New Roman" w:eastAsia="Times New Roman" w:hint="default"/>
                <w:sz w:val="18"/>
                <w:szCs w:val="18"/>
              </w:rPr>
              <w:t>27,858.00  </w:t>
            </w:r>
            <w:r>
              <w:rPr>
                <w:rFonts w:ascii="宋体" w:hAnsi="宋体" w:cs="宋体" w:eastAsia="宋体" w:hint="default"/>
                <w:sz w:val="18"/>
                <w:szCs w:val="18"/>
              </w:rPr>
              <w:t>万元，本年度投入 </w:t>
            </w:r>
            <w:r>
              <w:rPr>
                <w:rFonts w:ascii="Times New Roman" w:hAnsi="Times New Roman" w:cs="Times New Roman" w:eastAsia="Times New Roman" w:hint="default"/>
                <w:sz w:val="18"/>
                <w:szCs w:val="18"/>
              </w:rPr>
              <w:t>2,714.03  </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万元，累计投入</w:t>
            </w:r>
          </w:p>
          <w:p>
            <w:pPr>
              <w:pStyle w:val="TableParagraph"/>
              <w:spacing w:line="240" w:lineRule="auto" w:before="63"/>
              <w:ind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11,337.84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万元，其中建筑工程及设备购置费投入</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6,710.25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万元，受市场因素影响，该项目开展进度缓慢。</w:t>
            </w:r>
          </w:p>
        </w:tc>
      </w:tr>
      <w:tr>
        <w:trPr>
          <w:trHeight w:val="674" w:hRule="exact"/>
        </w:trPr>
        <w:tc>
          <w:tcPr>
            <w:tcW w:w="222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32"/>
              <w:ind w:left="1" w:right="50"/>
              <w:jc w:val="left"/>
              <w:rPr>
                <w:rFonts w:ascii="宋体" w:hAnsi="宋体" w:cs="宋体" w:eastAsia="宋体" w:hint="default"/>
                <w:sz w:val="18"/>
                <w:szCs w:val="18"/>
              </w:rPr>
            </w:pPr>
            <w:r>
              <w:rPr>
                <w:rFonts w:ascii="宋体" w:hAnsi="宋体" w:cs="宋体" w:eastAsia="宋体" w:hint="default"/>
                <w:sz w:val="18"/>
                <w:szCs w:val="18"/>
              </w:rPr>
              <w:t>超募资金的金额、用途及使 用进展情况</w:t>
            </w:r>
          </w:p>
        </w:tc>
        <w:tc>
          <w:tcPr>
            <w:tcW w:w="8990"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360"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674" w:hRule="exact"/>
        </w:trPr>
        <w:tc>
          <w:tcPr>
            <w:tcW w:w="222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31"/>
              <w:ind w:left="1" w:right="50"/>
              <w:jc w:val="left"/>
              <w:rPr>
                <w:rFonts w:ascii="宋体" w:hAnsi="宋体" w:cs="宋体" w:eastAsia="宋体" w:hint="default"/>
                <w:sz w:val="18"/>
                <w:szCs w:val="18"/>
              </w:rPr>
            </w:pPr>
            <w:r>
              <w:rPr>
                <w:rFonts w:ascii="宋体" w:hAnsi="宋体" w:cs="宋体" w:eastAsia="宋体" w:hint="default"/>
                <w:sz w:val="18"/>
                <w:szCs w:val="18"/>
              </w:rPr>
              <w:t>募集资金投资项目实施地点 变更情况</w:t>
            </w:r>
          </w:p>
        </w:tc>
        <w:tc>
          <w:tcPr>
            <w:tcW w:w="8990"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360"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804" w:hRule="exact"/>
        </w:trPr>
        <w:tc>
          <w:tcPr>
            <w:tcW w:w="222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95"/>
              <w:ind w:left="1" w:right="50"/>
              <w:jc w:val="left"/>
              <w:rPr>
                <w:rFonts w:ascii="宋体" w:hAnsi="宋体" w:cs="宋体" w:eastAsia="宋体" w:hint="default"/>
                <w:sz w:val="18"/>
                <w:szCs w:val="18"/>
              </w:rPr>
            </w:pPr>
            <w:r>
              <w:rPr>
                <w:rFonts w:ascii="宋体" w:hAnsi="宋体" w:cs="宋体" w:eastAsia="宋体" w:hint="default"/>
                <w:sz w:val="18"/>
                <w:szCs w:val="18"/>
              </w:rPr>
              <w:t>募集资金投资项目实施方式 调整情况</w:t>
            </w:r>
          </w:p>
        </w:tc>
        <w:tc>
          <w:tcPr>
            <w:tcW w:w="8990" w:type="dxa"/>
            <w:gridSpan w:val="10"/>
            <w:tcBorders>
              <w:top w:val="single" w:sz="4" w:space="0" w:color="000000"/>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360"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after="0" w:line="240" w:lineRule="auto"/>
        <w:jc w:val="left"/>
        <w:rPr>
          <w:rFonts w:ascii="宋体" w:hAnsi="宋体" w:cs="宋体" w:eastAsia="宋体" w:hint="default"/>
          <w:sz w:val="18"/>
          <w:szCs w:val="18"/>
        </w:rPr>
        <w:sectPr>
          <w:pgSz w:w="11910" w:h="16840"/>
          <w:pgMar w:header="787" w:footer="982" w:top="1100" w:bottom="1180" w:left="240" w:right="0"/>
        </w:sectPr>
      </w:pPr>
    </w:p>
    <w:p>
      <w:pPr>
        <w:spacing w:line="240" w:lineRule="auto" w:before="5"/>
        <w:rPr>
          <w:rFonts w:ascii="宋体" w:hAnsi="宋体" w:cs="宋体" w:eastAsia="宋体" w:hint="default"/>
          <w:sz w:val="25"/>
          <w:szCs w:val="25"/>
        </w:rPr>
      </w:pPr>
    </w:p>
    <w:tbl>
      <w:tblPr>
        <w:tblW w:w="0" w:type="auto"/>
        <w:jc w:val="left"/>
        <w:tblInd w:w="101" w:type="dxa"/>
        <w:tblLayout w:type="fixed"/>
        <w:tblCellMar>
          <w:top w:w="0" w:type="dxa"/>
          <w:left w:w="0" w:type="dxa"/>
          <w:bottom w:w="0" w:type="dxa"/>
          <w:right w:w="0" w:type="dxa"/>
        </w:tblCellMar>
        <w:tblLook w:val="01E0"/>
      </w:tblPr>
      <w:tblGrid>
        <w:gridCol w:w="2223"/>
        <w:gridCol w:w="8990"/>
      </w:tblGrid>
      <w:tr>
        <w:trPr>
          <w:trHeight w:val="450" w:hRule="exact"/>
        </w:trPr>
        <w:tc>
          <w:tcPr>
            <w:tcW w:w="2223"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3"/>
                <w:szCs w:val="13"/>
              </w:rPr>
            </w:pPr>
          </w:p>
          <w:p>
            <w:pPr>
              <w:pStyle w:val="TableParagraph"/>
              <w:spacing w:line="316" w:lineRule="auto"/>
              <w:ind w:right="50"/>
              <w:jc w:val="left"/>
              <w:rPr>
                <w:rFonts w:ascii="宋体" w:hAnsi="宋体" w:cs="宋体" w:eastAsia="宋体" w:hint="default"/>
                <w:sz w:val="18"/>
                <w:szCs w:val="18"/>
              </w:rPr>
            </w:pPr>
            <w:r>
              <w:rPr>
                <w:rFonts w:ascii="宋体" w:hAnsi="宋体" w:cs="宋体" w:eastAsia="宋体" w:hint="default"/>
                <w:sz w:val="18"/>
                <w:szCs w:val="18"/>
              </w:rPr>
              <w:t>募集资金投资项目先期投入 及置换情况</w:t>
            </w:r>
          </w:p>
        </w:tc>
        <w:tc>
          <w:tcPr>
            <w:tcW w:w="8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360"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986" w:hRule="exact"/>
        </w:trPr>
        <w:tc>
          <w:tcPr>
            <w:tcW w:w="2223" w:type="dxa"/>
            <w:vMerge/>
            <w:tcBorders>
              <w:left w:val="single" w:sz="4" w:space="0" w:color="000000"/>
              <w:bottom w:val="single" w:sz="4" w:space="0" w:color="000000"/>
              <w:right w:val="single" w:sz="4" w:space="0" w:color="000000"/>
            </w:tcBorders>
            <w:shd w:val="clear" w:color="auto" w:fill="D3D3D3"/>
          </w:tcPr>
          <w:p>
            <w:pPr/>
          </w:p>
        </w:tc>
        <w:tc>
          <w:tcPr>
            <w:tcW w:w="8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36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日，长城信息第六届董事会第二十一次会议审议通过了《关于使用募集资金置换预先投入募投</w:t>
            </w:r>
          </w:p>
          <w:p>
            <w:pPr>
              <w:pStyle w:val="TableParagraph"/>
              <w:spacing w:line="240" w:lineRule="auto" w:before="63"/>
              <w:ind w:right="0"/>
              <w:jc w:val="left"/>
              <w:rPr>
                <w:rFonts w:ascii="宋体" w:hAnsi="宋体" w:cs="宋体" w:eastAsia="宋体" w:hint="default"/>
                <w:sz w:val="18"/>
                <w:szCs w:val="18"/>
              </w:rPr>
            </w:pPr>
            <w:r>
              <w:rPr>
                <w:rFonts w:ascii="宋体" w:hAnsi="宋体" w:cs="宋体" w:eastAsia="宋体" w:hint="default"/>
                <w:sz w:val="18"/>
                <w:szCs w:val="18"/>
              </w:rPr>
              <w:t>项目的自筹资金的议案</w:t>
            </w:r>
            <w:r>
              <w:rPr>
                <w:rFonts w:ascii="宋体" w:hAnsi="宋体" w:cs="宋体" w:eastAsia="宋体" w:hint="default"/>
                <w:spacing w:val="-90"/>
                <w:sz w:val="18"/>
                <w:szCs w:val="18"/>
              </w:rPr>
              <w:t>》</w:t>
            </w:r>
            <w:r>
              <w:rPr>
                <w:rFonts w:ascii="宋体" w:hAnsi="宋体" w:cs="宋体" w:eastAsia="宋体" w:hint="default"/>
                <w:sz w:val="18"/>
                <w:szCs w:val="18"/>
              </w:rPr>
              <w:t>，同意长城信息以募集资金</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7,292.81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万元置换截至</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日已投入募集资金投资</w:t>
            </w:r>
          </w:p>
          <w:p>
            <w:pPr>
              <w:pStyle w:val="TableParagraph"/>
              <w:spacing w:line="240" w:lineRule="auto" w:before="63"/>
              <w:ind w:right="0"/>
              <w:jc w:val="left"/>
              <w:rPr>
                <w:rFonts w:ascii="宋体" w:hAnsi="宋体" w:cs="宋体" w:eastAsia="宋体" w:hint="default"/>
                <w:sz w:val="18"/>
                <w:szCs w:val="18"/>
              </w:rPr>
            </w:pPr>
            <w:r>
              <w:rPr>
                <w:rFonts w:ascii="宋体" w:hAnsi="宋体" w:cs="宋体" w:eastAsia="宋体" w:hint="default"/>
                <w:sz w:val="18"/>
                <w:szCs w:val="18"/>
              </w:rPr>
              <w:t>项目的自筹资金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7,292.81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tc>
      </w:tr>
      <w:tr>
        <w:trPr>
          <w:trHeight w:val="361" w:hRule="exact"/>
        </w:trPr>
        <w:tc>
          <w:tcPr>
            <w:tcW w:w="2223"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6"/>
                <w:szCs w:val="16"/>
              </w:rPr>
            </w:pPr>
          </w:p>
          <w:p>
            <w:pPr>
              <w:pStyle w:val="TableParagraph"/>
              <w:spacing w:line="316" w:lineRule="auto"/>
              <w:ind w:right="50"/>
              <w:jc w:val="left"/>
              <w:rPr>
                <w:rFonts w:ascii="宋体" w:hAnsi="宋体" w:cs="宋体" w:eastAsia="宋体" w:hint="default"/>
                <w:sz w:val="18"/>
                <w:szCs w:val="18"/>
              </w:rPr>
            </w:pPr>
            <w:r>
              <w:rPr>
                <w:rFonts w:ascii="宋体" w:hAnsi="宋体" w:cs="宋体" w:eastAsia="宋体" w:hint="default"/>
                <w:sz w:val="18"/>
                <w:szCs w:val="18"/>
              </w:rPr>
              <w:t>用闲置募集资金暂时补充流 动资金情况</w:t>
            </w:r>
          </w:p>
        </w:tc>
        <w:tc>
          <w:tcPr>
            <w:tcW w:w="8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360"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2567" w:hRule="exact"/>
        </w:trPr>
        <w:tc>
          <w:tcPr>
            <w:tcW w:w="2223" w:type="dxa"/>
            <w:vMerge/>
            <w:tcBorders>
              <w:left w:val="single" w:sz="4" w:space="0" w:color="000000"/>
              <w:bottom w:val="single" w:sz="4" w:space="0" w:color="000000"/>
              <w:right w:val="single" w:sz="4" w:space="0" w:color="000000"/>
            </w:tcBorders>
            <w:shd w:val="clear" w:color="auto" w:fill="D3D3D3"/>
          </w:tcPr>
          <w:p>
            <w:pPr/>
          </w:p>
        </w:tc>
        <w:tc>
          <w:tcPr>
            <w:tcW w:w="8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36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年</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月</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日，公司第六届董事会临时会议审议通过了《关于使用部分闲置募集资金暂时补充流动资金的</w:t>
            </w:r>
          </w:p>
          <w:p>
            <w:pPr>
              <w:pStyle w:val="TableParagraph"/>
              <w:spacing w:line="240" w:lineRule="auto" w:before="61"/>
              <w:ind w:right="0"/>
              <w:jc w:val="left"/>
              <w:rPr>
                <w:rFonts w:ascii="宋体" w:hAnsi="宋体" w:cs="宋体" w:eastAsia="宋体" w:hint="default"/>
                <w:sz w:val="18"/>
                <w:szCs w:val="18"/>
              </w:rPr>
            </w:pPr>
            <w:r>
              <w:rPr>
                <w:rFonts w:ascii="宋体" w:hAnsi="宋体" w:cs="宋体" w:eastAsia="宋体" w:hint="default"/>
                <w:sz w:val="18"/>
                <w:szCs w:val="18"/>
              </w:rPr>
              <w:t>议案</w:t>
            </w:r>
            <w:r>
              <w:rPr>
                <w:rFonts w:ascii="宋体" w:hAnsi="宋体" w:cs="宋体" w:eastAsia="宋体" w:hint="default"/>
                <w:spacing w:val="-90"/>
                <w:sz w:val="18"/>
                <w:szCs w:val="18"/>
              </w:rPr>
              <w:t>》</w:t>
            </w:r>
            <w:r>
              <w:rPr>
                <w:rFonts w:ascii="宋体" w:hAnsi="宋体" w:cs="宋体" w:eastAsia="宋体" w:hint="default"/>
                <w:sz w:val="18"/>
                <w:szCs w:val="18"/>
              </w:rPr>
              <w:t>，在确保不影响募集资金项目建设和募集资金使用计划的前提下，使用部分闲置募集资金人民币</w:t>
            </w:r>
            <w:r>
              <w:rPr>
                <w:rFonts w:ascii="宋体" w:hAnsi="宋体" w:cs="宋体" w:eastAsia="宋体" w:hint="default"/>
                <w:spacing w:val="-10"/>
                <w:sz w:val="18"/>
                <w:szCs w:val="18"/>
              </w:rPr>
              <w:t> </w:t>
            </w:r>
            <w:r>
              <w:rPr>
                <w:rFonts w:ascii="Times New Roman" w:hAnsi="Times New Roman" w:cs="Times New Roman" w:eastAsia="Times New Roman" w:hint="default"/>
                <w:sz w:val="18"/>
                <w:szCs w:val="18"/>
              </w:rPr>
              <w:t>2 </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亿元</w:t>
            </w:r>
            <w:r>
              <w:rPr>
                <w:rFonts w:ascii="宋体" w:hAnsi="宋体" w:cs="宋体" w:eastAsia="宋体" w:hint="default"/>
                <w:spacing w:val="-2"/>
                <w:sz w:val="18"/>
                <w:szCs w:val="18"/>
              </w:rPr>
              <w:t>暂</w:t>
            </w:r>
            <w:r>
              <w:rPr>
                <w:rFonts w:ascii="宋体" w:hAnsi="宋体" w:cs="宋体" w:eastAsia="宋体" w:hint="default"/>
                <w:sz w:val="18"/>
                <w:szCs w:val="18"/>
              </w:rPr>
              <w:t>时</w:t>
            </w:r>
          </w:p>
          <w:p>
            <w:pPr>
              <w:pStyle w:val="TableParagraph"/>
              <w:spacing w:line="240" w:lineRule="auto" w:before="63"/>
              <w:ind w:right="0"/>
              <w:jc w:val="left"/>
              <w:rPr>
                <w:rFonts w:ascii="宋体" w:hAnsi="宋体" w:cs="宋体" w:eastAsia="宋体" w:hint="default"/>
                <w:sz w:val="18"/>
                <w:szCs w:val="18"/>
              </w:rPr>
            </w:pPr>
            <w:r>
              <w:rPr>
                <w:rFonts w:ascii="宋体" w:hAnsi="宋体" w:cs="宋体" w:eastAsia="宋体" w:hint="default"/>
                <w:sz w:val="18"/>
                <w:szCs w:val="18"/>
              </w:rPr>
              <w:t>用于补充公司生产经营所需的流动资金，期限不超过</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个月；</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日，前述用于补充流动资金的人民</w:t>
            </w:r>
          </w:p>
          <w:p>
            <w:pPr>
              <w:pStyle w:val="TableParagraph"/>
              <w:spacing w:line="240" w:lineRule="auto" w:before="63"/>
              <w:ind w:right="0"/>
              <w:jc w:val="left"/>
              <w:rPr>
                <w:rFonts w:ascii="宋体" w:hAnsi="宋体" w:cs="宋体" w:eastAsia="宋体" w:hint="default"/>
                <w:sz w:val="18"/>
                <w:szCs w:val="18"/>
              </w:rPr>
            </w:pPr>
            <w:r>
              <w:rPr>
                <w:rFonts w:ascii="宋体" w:hAnsi="宋体" w:cs="宋体" w:eastAsia="宋体" w:hint="default"/>
                <w:sz w:val="18"/>
                <w:szCs w:val="18"/>
              </w:rPr>
              <w:t>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亿元募集资金全部归还至募集资金专用账户。</w:t>
            </w:r>
          </w:p>
          <w:p>
            <w:pPr>
              <w:pStyle w:val="TableParagraph"/>
              <w:spacing w:line="240" w:lineRule="auto" w:before="83"/>
              <w:ind w:left="36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年</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月</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日，公司第七届董事会第十二次会议审议通过了《关于使用部分闲置募集资金暂时补充流动资</w:t>
            </w:r>
          </w:p>
          <w:p>
            <w:pPr>
              <w:pStyle w:val="TableParagraph"/>
              <w:spacing w:line="240" w:lineRule="auto" w:before="63"/>
              <w:ind w:right="0"/>
              <w:jc w:val="left"/>
              <w:rPr>
                <w:rFonts w:ascii="Times New Roman" w:hAnsi="Times New Roman" w:cs="Times New Roman" w:eastAsia="Times New Roman" w:hint="default"/>
                <w:sz w:val="18"/>
                <w:szCs w:val="18"/>
              </w:rPr>
            </w:pPr>
            <w:r>
              <w:rPr>
                <w:rFonts w:ascii="宋体" w:hAnsi="宋体" w:cs="宋体" w:eastAsia="宋体" w:hint="default"/>
                <w:spacing w:val="1"/>
                <w:sz w:val="18"/>
                <w:szCs w:val="18"/>
              </w:rPr>
              <w:t>金的议案</w:t>
            </w:r>
            <w:r>
              <w:rPr>
                <w:rFonts w:ascii="宋体" w:hAnsi="宋体" w:cs="宋体" w:eastAsia="宋体" w:hint="default"/>
                <w:spacing w:val="-89"/>
                <w:sz w:val="18"/>
                <w:szCs w:val="18"/>
              </w:rPr>
              <w:t>》</w:t>
            </w:r>
            <w:r>
              <w:rPr>
                <w:rFonts w:ascii="宋体" w:hAnsi="宋体" w:cs="宋体" w:eastAsia="宋体" w:hint="default"/>
                <w:spacing w:val="1"/>
                <w:sz w:val="18"/>
                <w:szCs w:val="18"/>
              </w:rPr>
              <w:t>，</w:t>
            </w:r>
            <w:r>
              <w:rPr>
                <w:rFonts w:ascii="宋体" w:hAnsi="宋体" w:cs="宋体" w:eastAsia="宋体" w:hint="default"/>
                <w:spacing w:val="2"/>
                <w:sz w:val="18"/>
                <w:szCs w:val="18"/>
              </w:rPr>
              <w:t>在</w:t>
            </w:r>
            <w:r>
              <w:rPr>
                <w:rFonts w:ascii="宋体" w:hAnsi="宋体" w:cs="宋体" w:eastAsia="宋体" w:hint="default"/>
                <w:spacing w:val="1"/>
                <w:sz w:val="18"/>
                <w:szCs w:val="18"/>
              </w:rPr>
              <w:t>确保不影响</w:t>
            </w:r>
            <w:r>
              <w:rPr>
                <w:rFonts w:ascii="宋体" w:hAnsi="宋体" w:cs="宋体" w:eastAsia="宋体" w:hint="default"/>
                <w:spacing w:val="2"/>
                <w:sz w:val="18"/>
                <w:szCs w:val="18"/>
              </w:rPr>
              <w:t>募</w:t>
            </w:r>
            <w:r>
              <w:rPr>
                <w:rFonts w:ascii="宋体" w:hAnsi="宋体" w:cs="宋体" w:eastAsia="宋体" w:hint="default"/>
                <w:spacing w:val="1"/>
                <w:sz w:val="18"/>
                <w:szCs w:val="18"/>
              </w:rPr>
              <w:t>集资金项目</w:t>
            </w:r>
            <w:r>
              <w:rPr>
                <w:rFonts w:ascii="宋体" w:hAnsi="宋体" w:cs="宋体" w:eastAsia="宋体" w:hint="default"/>
                <w:spacing w:val="2"/>
                <w:sz w:val="18"/>
                <w:szCs w:val="18"/>
              </w:rPr>
              <w:t>建</w:t>
            </w:r>
            <w:r>
              <w:rPr>
                <w:rFonts w:ascii="宋体" w:hAnsi="宋体" w:cs="宋体" w:eastAsia="宋体" w:hint="default"/>
                <w:spacing w:val="1"/>
                <w:sz w:val="18"/>
                <w:szCs w:val="18"/>
              </w:rPr>
              <w:t>设和募集资</w:t>
            </w:r>
            <w:r>
              <w:rPr>
                <w:rFonts w:ascii="宋体" w:hAnsi="宋体" w:cs="宋体" w:eastAsia="宋体" w:hint="default"/>
                <w:spacing w:val="2"/>
                <w:sz w:val="18"/>
                <w:szCs w:val="18"/>
              </w:rPr>
              <w:t>金</w:t>
            </w:r>
            <w:r>
              <w:rPr>
                <w:rFonts w:ascii="宋体" w:hAnsi="宋体" w:cs="宋体" w:eastAsia="宋体" w:hint="default"/>
                <w:spacing w:val="1"/>
                <w:sz w:val="18"/>
                <w:szCs w:val="18"/>
              </w:rPr>
              <w:t>使用计划的</w:t>
            </w:r>
            <w:r>
              <w:rPr>
                <w:rFonts w:ascii="宋体" w:hAnsi="宋体" w:cs="宋体" w:eastAsia="宋体" w:hint="default"/>
                <w:spacing w:val="2"/>
                <w:sz w:val="18"/>
                <w:szCs w:val="18"/>
              </w:rPr>
              <w:t>前</w:t>
            </w:r>
            <w:r>
              <w:rPr>
                <w:rFonts w:ascii="宋体" w:hAnsi="宋体" w:cs="宋体" w:eastAsia="宋体" w:hint="default"/>
                <w:spacing w:val="1"/>
                <w:sz w:val="18"/>
                <w:szCs w:val="18"/>
              </w:rPr>
              <w:t>提下，继续</w:t>
            </w:r>
            <w:r>
              <w:rPr>
                <w:rFonts w:ascii="宋体" w:hAnsi="宋体" w:cs="宋体" w:eastAsia="宋体" w:hint="default"/>
                <w:spacing w:val="2"/>
                <w:sz w:val="18"/>
                <w:szCs w:val="18"/>
              </w:rPr>
              <w:t>使</w:t>
            </w:r>
            <w:r>
              <w:rPr>
                <w:rFonts w:ascii="宋体" w:hAnsi="宋体" w:cs="宋体" w:eastAsia="宋体" w:hint="default"/>
                <w:spacing w:val="1"/>
                <w:sz w:val="18"/>
                <w:szCs w:val="18"/>
              </w:rPr>
              <w:t>用部分闲置</w:t>
            </w:r>
            <w:r>
              <w:rPr>
                <w:rFonts w:ascii="宋体" w:hAnsi="宋体" w:cs="宋体" w:eastAsia="宋体" w:hint="default"/>
                <w:spacing w:val="2"/>
                <w:sz w:val="18"/>
                <w:szCs w:val="18"/>
              </w:rPr>
              <w:t>募</w:t>
            </w:r>
            <w:r>
              <w:rPr>
                <w:rFonts w:ascii="宋体" w:hAnsi="宋体" w:cs="宋体" w:eastAsia="宋体" w:hint="default"/>
                <w:spacing w:val="1"/>
                <w:sz w:val="18"/>
                <w:szCs w:val="18"/>
              </w:rPr>
              <w:t>集资金人民</w:t>
            </w:r>
            <w:r>
              <w:rPr>
                <w:rFonts w:ascii="宋体" w:hAnsi="宋体" w:cs="宋体" w:eastAsia="宋体" w:hint="default"/>
                <w:sz w:val="18"/>
                <w:szCs w:val="18"/>
              </w:rPr>
              <w:t>币</w:t>
            </w:r>
            <w:r>
              <w:rPr>
                <w:rFonts w:ascii="宋体" w:hAnsi="宋体" w:cs="宋体" w:eastAsia="宋体" w:hint="default"/>
                <w:spacing w:val="2"/>
                <w:sz w:val="18"/>
                <w:szCs w:val="18"/>
              </w:rPr>
              <w:t> </w:t>
            </w:r>
            <w:r>
              <w:rPr>
                <w:rFonts w:ascii="Times New Roman" w:hAnsi="Times New Roman" w:cs="Times New Roman" w:eastAsia="Times New Roman" w:hint="default"/>
                <w:sz w:val="18"/>
                <w:szCs w:val="18"/>
              </w:rPr>
              <w:t>1</w:t>
            </w:r>
          </w:p>
          <w:p>
            <w:pPr>
              <w:pStyle w:val="TableParagraph"/>
              <w:spacing w:line="240" w:lineRule="auto" w:before="63"/>
              <w:ind w:right="0"/>
              <w:jc w:val="left"/>
              <w:rPr>
                <w:rFonts w:ascii="宋体" w:hAnsi="宋体" w:cs="宋体" w:eastAsia="宋体" w:hint="default"/>
                <w:sz w:val="18"/>
                <w:szCs w:val="18"/>
              </w:rPr>
            </w:pPr>
            <w:r>
              <w:rPr>
                <w:rFonts w:ascii="宋体" w:hAnsi="宋体" w:cs="宋体" w:eastAsia="宋体" w:hint="default"/>
                <w:sz w:val="18"/>
                <w:szCs w:val="18"/>
              </w:rPr>
              <w:t>亿元暂时用于补充公司生产经营所需的流动资金，期限不超过</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个月。截止</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日，公司已使用部分</w:t>
            </w:r>
          </w:p>
          <w:p>
            <w:pPr>
              <w:pStyle w:val="TableParagraph"/>
              <w:spacing w:line="240" w:lineRule="auto" w:before="63"/>
              <w:ind w:right="0"/>
              <w:jc w:val="left"/>
              <w:rPr>
                <w:rFonts w:ascii="宋体" w:hAnsi="宋体" w:cs="宋体" w:eastAsia="宋体" w:hint="default"/>
                <w:sz w:val="18"/>
                <w:szCs w:val="18"/>
              </w:rPr>
            </w:pPr>
            <w:r>
              <w:rPr>
                <w:rFonts w:ascii="宋体" w:hAnsi="宋体" w:cs="宋体" w:eastAsia="宋体" w:hint="default"/>
                <w:sz w:val="18"/>
                <w:szCs w:val="18"/>
              </w:rPr>
              <w:t>闲置募集资金人民币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万元补充流动资金。</w:t>
            </w:r>
          </w:p>
        </w:tc>
      </w:tr>
      <w:tr>
        <w:trPr>
          <w:trHeight w:val="673" w:hRule="exact"/>
        </w:trPr>
        <w:tc>
          <w:tcPr>
            <w:tcW w:w="222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31"/>
              <w:ind w:right="50"/>
              <w:jc w:val="left"/>
              <w:rPr>
                <w:rFonts w:ascii="宋体" w:hAnsi="宋体" w:cs="宋体" w:eastAsia="宋体" w:hint="default"/>
                <w:sz w:val="18"/>
                <w:szCs w:val="18"/>
              </w:rPr>
            </w:pPr>
            <w:r>
              <w:rPr>
                <w:rFonts w:ascii="宋体" w:hAnsi="宋体" w:cs="宋体" w:eastAsia="宋体" w:hint="default"/>
                <w:sz w:val="18"/>
                <w:szCs w:val="18"/>
              </w:rPr>
              <w:t>项目实施出现募集资金结余 的金额及原因</w:t>
            </w:r>
          </w:p>
        </w:tc>
        <w:tc>
          <w:tcPr>
            <w:tcW w:w="8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360"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674" w:hRule="exact"/>
        </w:trPr>
        <w:tc>
          <w:tcPr>
            <w:tcW w:w="222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32"/>
              <w:ind w:right="50"/>
              <w:jc w:val="left"/>
              <w:rPr>
                <w:rFonts w:ascii="宋体" w:hAnsi="宋体" w:cs="宋体" w:eastAsia="宋体" w:hint="default"/>
                <w:sz w:val="18"/>
                <w:szCs w:val="18"/>
              </w:rPr>
            </w:pPr>
            <w:r>
              <w:rPr>
                <w:rFonts w:ascii="宋体" w:hAnsi="宋体" w:cs="宋体" w:eastAsia="宋体" w:hint="default"/>
                <w:sz w:val="18"/>
                <w:szCs w:val="18"/>
              </w:rPr>
              <w:t>尚未使用的募集资金用途及 去向</w:t>
            </w:r>
          </w:p>
        </w:tc>
        <w:tc>
          <w:tcPr>
            <w:tcW w:w="8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360" w:right="0"/>
              <w:jc w:val="left"/>
              <w:rPr>
                <w:rFonts w:ascii="宋体" w:hAnsi="宋体" w:cs="宋体" w:eastAsia="宋体" w:hint="default"/>
                <w:sz w:val="18"/>
                <w:szCs w:val="18"/>
              </w:rPr>
            </w:pPr>
            <w:r>
              <w:rPr>
                <w:rFonts w:ascii="宋体" w:hAnsi="宋体" w:cs="宋体" w:eastAsia="宋体" w:hint="default"/>
                <w:sz w:val="18"/>
                <w:szCs w:val="18"/>
              </w:rPr>
              <w:t>尚未使用的募集资金（暂时补充流动资金除外）存放于公司募集资金专户管理。</w:t>
            </w:r>
          </w:p>
        </w:tc>
      </w:tr>
      <w:tr>
        <w:trPr>
          <w:trHeight w:val="674" w:hRule="exact"/>
        </w:trPr>
        <w:tc>
          <w:tcPr>
            <w:tcW w:w="222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31"/>
              <w:ind w:right="50"/>
              <w:jc w:val="left"/>
              <w:rPr>
                <w:rFonts w:ascii="宋体" w:hAnsi="宋体" w:cs="宋体" w:eastAsia="宋体" w:hint="default"/>
                <w:sz w:val="18"/>
                <w:szCs w:val="18"/>
              </w:rPr>
            </w:pPr>
            <w:r>
              <w:rPr>
                <w:rFonts w:ascii="宋体" w:hAnsi="宋体" w:cs="宋体" w:eastAsia="宋体" w:hint="default"/>
                <w:sz w:val="18"/>
                <w:szCs w:val="18"/>
              </w:rPr>
              <w:t>募集资金使用及披露中存在 的问题或其他情况</w:t>
            </w:r>
          </w:p>
        </w:tc>
        <w:tc>
          <w:tcPr>
            <w:tcW w:w="8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360"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line="240" w:lineRule="auto" w:before="7"/>
        <w:rPr>
          <w:rFonts w:ascii="宋体" w:hAnsi="宋体" w:cs="宋体" w:eastAsia="宋体" w:hint="default"/>
          <w:sz w:val="14"/>
          <w:szCs w:val="14"/>
        </w:rPr>
      </w:pPr>
    </w:p>
    <w:p>
      <w:pPr>
        <w:pStyle w:val="Heading5"/>
        <w:spacing w:line="240" w:lineRule="auto"/>
        <w:ind w:left="894" w:right="0"/>
        <w:jc w:val="left"/>
        <w:rPr>
          <w:b w:val="0"/>
          <w:bCs w:val="0"/>
        </w:rPr>
      </w:pPr>
      <w:r>
        <w:rPr/>
        <w:t>（</w:t>
      </w:r>
      <w:r>
        <w:rPr>
          <w:rFonts w:ascii="Times New Roman" w:hAnsi="Times New Roman" w:cs="Times New Roman" w:eastAsia="Times New Roman" w:hint="default"/>
        </w:rPr>
        <w:t>3</w:t>
      </w:r>
      <w:r>
        <w:rPr/>
        <w:t>）募集资金变更项目情况</w:t>
      </w:r>
      <w:r>
        <w:rPr>
          <w:b w:val="0"/>
          <w:bCs w:val="0"/>
        </w:rPr>
      </w:r>
    </w:p>
    <w:p>
      <w:pPr>
        <w:spacing w:line="240" w:lineRule="auto" w:before="12"/>
        <w:rPr>
          <w:rFonts w:ascii="宋体" w:hAnsi="宋体" w:cs="宋体" w:eastAsia="宋体" w:hint="default"/>
          <w:b/>
          <w:bCs/>
          <w:sz w:val="21"/>
          <w:szCs w:val="21"/>
        </w:rPr>
      </w:pPr>
    </w:p>
    <w:p>
      <w:pPr>
        <w:spacing w:before="0"/>
        <w:ind w:left="89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before="136"/>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8"/>
        <w:rPr>
          <w:rFonts w:ascii="宋体" w:hAnsi="宋体" w:cs="宋体" w:eastAsia="宋体" w:hint="default"/>
          <w:sz w:val="9"/>
          <w:szCs w:val="9"/>
        </w:rPr>
      </w:pPr>
    </w:p>
    <w:tbl>
      <w:tblPr>
        <w:tblW w:w="0" w:type="auto"/>
        <w:jc w:val="left"/>
        <w:tblInd w:w="100" w:type="dxa"/>
        <w:tblLayout w:type="fixed"/>
        <w:tblCellMar>
          <w:top w:w="0" w:type="dxa"/>
          <w:left w:w="0" w:type="dxa"/>
          <w:bottom w:w="0" w:type="dxa"/>
          <w:right w:w="0" w:type="dxa"/>
        </w:tblCellMar>
        <w:tblLook w:val="01E0"/>
      </w:tblPr>
      <w:tblGrid>
        <w:gridCol w:w="1498"/>
        <w:gridCol w:w="1700"/>
        <w:gridCol w:w="992"/>
        <w:gridCol w:w="994"/>
        <w:gridCol w:w="991"/>
        <w:gridCol w:w="851"/>
        <w:gridCol w:w="992"/>
        <w:gridCol w:w="992"/>
        <w:gridCol w:w="991"/>
        <w:gridCol w:w="1212"/>
      </w:tblGrid>
      <w:tr>
        <w:trPr>
          <w:trHeight w:val="986" w:hRule="exact"/>
        </w:trPr>
        <w:tc>
          <w:tcPr>
            <w:tcW w:w="14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left="204" w:right="0"/>
              <w:jc w:val="left"/>
              <w:rPr>
                <w:rFonts w:ascii="宋体" w:hAnsi="宋体" w:cs="宋体" w:eastAsia="宋体" w:hint="default"/>
                <w:sz w:val="18"/>
                <w:szCs w:val="18"/>
              </w:rPr>
            </w:pPr>
            <w:r>
              <w:rPr>
                <w:rFonts w:ascii="宋体" w:hAnsi="宋体" w:cs="宋体" w:eastAsia="宋体" w:hint="default"/>
                <w:sz w:val="18"/>
                <w:szCs w:val="18"/>
              </w:rPr>
              <w:t>变更后的项目</w:t>
            </w:r>
          </w:p>
        </w:tc>
        <w:tc>
          <w:tcPr>
            <w:tcW w:w="170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对应的原承诺项目</w:t>
            </w:r>
          </w:p>
        </w:tc>
        <w:tc>
          <w:tcPr>
            <w:tcW w:w="9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31"/>
              <w:ind w:left="26" w:right="24" w:firstLine="15"/>
              <w:jc w:val="both"/>
              <w:rPr>
                <w:rFonts w:ascii="Times New Roman" w:hAnsi="Times New Roman" w:cs="Times New Roman" w:eastAsia="Times New Roman" w:hint="default"/>
                <w:sz w:val="18"/>
                <w:szCs w:val="18"/>
              </w:rPr>
            </w:pPr>
            <w:r>
              <w:rPr>
                <w:rFonts w:ascii="宋体" w:hAnsi="宋体" w:cs="宋体" w:eastAsia="宋体" w:hint="default"/>
                <w:sz w:val="18"/>
                <w:szCs w:val="18"/>
              </w:rPr>
              <w:t>变更后项目 拟投入募集 资金总额</w:t>
            </w:r>
            <w:r>
              <w:rPr>
                <w:rFonts w:ascii="Times New Roman" w:hAnsi="Times New Roman" w:cs="Times New Roman" w:eastAsia="Times New Roman" w:hint="default"/>
                <w:sz w:val="18"/>
                <w:szCs w:val="18"/>
              </w:rPr>
              <w:t>(1)</w:t>
            </w:r>
          </w:p>
        </w:tc>
        <w:tc>
          <w:tcPr>
            <w:tcW w:w="9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4"/>
                <w:szCs w:val="14"/>
              </w:rPr>
            </w:pPr>
          </w:p>
          <w:p>
            <w:pPr>
              <w:pStyle w:val="TableParagraph"/>
              <w:spacing w:line="316" w:lineRule="auto"/>
              <w:ind w:left="40" w:right="41"/>
              <w:jc w:val="left"/>
              <w:rPr>
                <w:rFonts w:ascii="宋体" w:hAnsi="宋体" w:cs="宋体" w:eastAsia="宋体" w:hint="default"/>
                <w:sz w:val="18"/>
                <w:szCs w:val="18"/>
              </w:rPr>
            </w:pPr>
            <w:r>
              <w:rPr>
                <w:rFonts w:ascii="宋体" w:hAnsi="宋体" w:cs="宋体" w:eastAsia="宋体" w:hint="default"/>
                <w:sz w:val="18"/>
                <w:szCs w:val="18"/>
              </w:rPr>
              <w:t>本报告期实 际投入金额</w:t>
            </w:r>
          </w:p>
        </w:tc>
        <w:tc>
          <w:tcPr>
            <w:tcW w:w="9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31"/>
              <w:ind w:left="40" w:right="38"/>
              <w:jc w:val="center"/>
              <w:rPr>
                <w:rFonts w:ascii="Times New Roman" w:hAnsi="Times New Roman" w:cs="Times New Roman" w:eastAsia="Times New Roman" w:hint="default"/>
                <w:sz w:val="18"/>
                <w:szCs w:val="18"/>
              </w:rPr>
            </w:pPr>
            <w:r>
              <w:rPr>
                <w:rFonts w:ascii="宋体" w:hAnsi="宋体" w:cs="宋体" w:eastAsia="宋体" w:hint="default"/>
                <w:sz w:val="18"/>
                <w:szCs w:val="18"/>
              </w:rPr>
              <w:t>截至期末实 际累计投入 金额</w:t>
            </w:r>
            <w:r>
              <w:rPr>
                <w:rFonts w:ascii="Times New Roman" w:hAnsi="Times New Roman" w:cs="Times New Roman" w:eastAsia="Times New Roman" w:hint="default"/>
                <w:sz w:val="18"/>
                <w:szCs w:val="18"/>
              </w:rPr>
              <w:t>(2)</w:t>
            </w:r>
          </w:p>
        </w:tc>
        <w:tc>
          <w:tcPr>
            <w:tcW w:w="85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38" w:lineRule="auto" w:before="31"/>
              <w:ind w:left="28" w:right="28" w:firstLine="31"/>
              <w:jc w:val="both"/>
              <w:rPr>
                <w:rFonts w:ascii="Times New Roman" w:hAnsi="Times New Roman" w:cs="Times New Roman" w:eastAsia="Times New Roman" w:hint="default"/>
                <w:sz w:val="18"/>
                <w:szCs w:val="18"/>
              </w:rPr>
            </w:pPr>
            <w:r>
              <w:rPr>
                <w:rFonts w:ascii="宋体" w:hAnsi="宋体" w:cs="宋体" w:eastAsia="宋体" w:hint="default"/>
                <w:sz w:val="18"/>
                <w:szCs w:val="18"/>
              </w:rPr>
              <w:t>截至期末 投资进度 </w:t>
            </w:r>
            <w:r>
              <w:rPr>
                <w:rFonts w:ascii="Times New Roman" w:hAnsi="Times New Roman" w:cs="Times New Roman" w:eastAsia="Times New Roman" w:hint="default"/>
                <w:sz w:val="18"/>
                <w:szCs w:val="18"/>
              </w:rPr>
              <w:t>(3)=(2)/(1)</w:t>
            </w:r>
          </w:p>
        </w:tc>
        <w:tc>
          <w:tcPr>
            <w:tcW w:w="9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31"/>
              <w:ind w:left="40" w:right="41"/>
              <w:jc w:val="center"/>
              <w:rPr>
                <w:rFonts w:ascii="宋体" w:hAnsi="宋体" w:cs="宋体" w:eastAsia="宋体" w:hint="default"/>
                <w:sz w:val="18"/>
                <w:szCs w:val="18"/>
              </w:rPr>
            </w:pPr>
            <w:r>
              <w:rPr>
                <w:rFonts w:ascii="宋体" w:hAnsi="宋体" w:cs="宋体" w:eastAsia="宋体" w:hint="default"/>
                <w:sz w:val="18"/>
                <w:szCs w:val="18"/>
              </w:rPr>
              <w:t>项目达到预 定可使用状 态日期</w:t>
            </w:r>
          </w:p>
        </w:tc>
        <w:tc>
          <w:tcPr>
            <w:tcW w:w="9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4"/>
                <w:szCs w:val="14"/>
              </w:rPr>
            </w:pPr>
          </w:p>
          <w:p>
            <w:pPr>
              <w:pStyle w:val="TableParagraph"/>
              <w:spacing w:line="316" w:lineRule="auto"/>
              <w:ind w:left="130" w:right="41" w:hanging="90"/>
              <w:jc w:val="left"/>
              <w:rPr>
                <w:rFonts w:ascii="宋体" w:hAnsi="宋体" w:cs="宋体" w:eastAsia="宋体" w:hint="default"/>
                <w:sz w:val="18"/>
                <w:szCs w:val="18"/>
              </w:rPr>
            </w:pPr>
            <w:r>
              <w:rPr>
                <w:rFonts w:ascii="宋体" w:hAnsi="宋体" w:cs="宋体" w:eastAsia="宋体" w:hint="default"/>
                <w:sz w:val="18"/>
                <w:szCs w:val="18"/>
              </w:rPr>
              <w:t>本报告期实 现的效益</w:t>
            </w:r>
          </w:p>
        </w:tc>
        <w:tc>
          <w:tcPr>
            <w:tcW w:w="9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4"/>
                <w:szCs w:val="14"/>
              </w:rPr>
            </w:pPr>
          </w:p>
          <w:p>
            <w:pPr>
              <w:pStyle w:val="TableParagraph"/>
              <w:spacing w:line="316" w:lineRule="auto"/>
              <w:ind w:left="220" w:right="38" w:hanging="180"/>
              <w:jc w:val="left"/>
              <w:rPr>
                <w:rFonts w:ascii="宋体" w:hAnsi="宋体" w:cs="宋体" w:eastAsia="宋体" w:hint="default"/>
                <w:sz w:val="18"/>
                <w:szCs w:val="18"/>
              </w:rPr>
            </w:pPr>
            <w:r>
              <w:rPr>
                <w:rFonts w:ascii="宋体" w:hAnsi="宋体" w:cs="宋体" w:eastAsia="宋体" w:hint="default"/>
                <w:sz w:val="18"/>
                <w:szCs w:val="18"/>
              </w:rPr>
              <w:t>是否达到预 计效益</w:t>
            </w:r>
          </w:p>
        </w:tc>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31"/>
              <w:ind w:left="61" w:right="59"/>
              <w:jc w:val="both"/>
              <w:rPr>
                <w:rFonts w:ascii="宋体" w:hAnsi="宋体" w:cs="宋体" w:eastAsia="宋体" w:hint="default"/>
                <w:sz w:val="18"/>
                <w:szCs w:val="18"/>
              </w:rPr>
            </w:pPr>
            <w:r>
              <w:rPr>
                <w:rFonts w:ascii="宋体" w:hAnsi="宋体" w:cs="宋体" w:eastAsia="宋体" w:hint="default"/>
                <w:sz w:val="18"/>
                <w:szCs w:val="18"/>
              </w:rPr>
              <w:t>变更后的项目 可行性是否发 生重大变化</w:t>
            </w:r>
          </w:p>
        </w:tc>
      </w:tr>
      <w:tr>
        <w:trPr>
          <w:trHeight w:val="673" w:hRule="exact"/>
        </w:trPr>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31"/>
              <w:ind w:left="23" w:right="23"/>
              <w:jc w:val="left"/>
              <w:rPr>
                <w:rFonts w:ascii="宋体" w:hAnsi="宋体" w:cs="宋体" w:eastAsia="宋体" w:hint="default"/>
                <w:sz w:val="18"/>
                <w:szCs w:val="18"/>
              </w:rPr>
            </w:pPr>
            <w:r>
              <w:rPr>
                <w:rFonts w:ascii="宋体" w:hAnsi="宋体" w:cs="宋体" w:eastAsia="宋体" w:hint="default"/>
                <w:sz w:val="18"/>
                <w:szCs w:val="18"/>
              </w:rPr>
              <w:t>智能单兵综合信息 系统建设项目</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31"/>
              <w:ind w:left="22" w:right="47"/>
              <w:jc w:val="left"/>
              <w:rPr>
                <w:rFonts w:ascii="宋体" w:hAnsi="宋体" w:cs="宋体" w:eastAsia="宋体" w:hint="default"/>
                <w:sz w:val="18"/>
                <w:szCs w:val="18"/>
              </w:rPr>
            </w:pPr>
            <w:r>
              <w:rPr>
                <w:rFonts w:ascii="宋体" w:hAnsi="宋体" w:cs="宋体" w:eastAsia="宋体" w:hint="default"/>
                <w:sz w:val="18"/>
                <w:szCs w:val="18"/>
              </w:rPr>
              <w:t>基于居民健康卡的区 域诊疗一卡通平台</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15,400.00</w:t>
            </w: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352" w:right="0"/>
              <w:jc w:val="left"/>
              <w:rPr>
                <w:rFonts w:ascii="Times New Roman" w:hAnsi="Times New Roman" w:cs="Times New Roman" w:eastAsia="Times New Roman" w:hint="default"/>
                <w:sz w:val="18"/>
                <w:szCs w:val="18"/>
              </w:rPr>
            </w:pPr>
            <w:r>
              <w:rPr>
                <w:rFonts w:ascii="Times New Roman"/>
                <w:sz w:val="18"/>
              </w:rPr>
              <w:t>0.00%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2021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不适用</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509"/>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62" w:hRule="exact"/>
        </w:trPr>
        <w:tc>
          <w:tcPr>
            <w:tcW w:w="14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2"/>
              <w:ind w:left="2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70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2"/>
              <w:ind w:right="1"/>
              <w:jc w:val="center"/>
              <w:rPr>
                <w:rFonts w:ascii="Times New Roman" w:hAnsi="Times New Roman" w:cs="Times New Roman" w:eastAsia="Times New Roman" w:hint="default"/>
                <w:sz w:val="18"/>
                <w:szCs w:val="18"/>
              </w:rPr>
            </w:pPr>
            <w:r>
              <w:rPr>
                <w:rFonts w:ascii="Times New Roman"/>
                <w:sz w:val="18"/>
              </w:rPr>
              <w:t>--</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19"/>
              <w:jc w:val="right"/>
              <w:rPr>
                <w:rFonts w:ascii="Times New Roman" w:hAnsi="Times New Roman" w:cs="Times New Roman" w:eastAsia="Times New Roman" w:hint="default"/>
                <w:sz w:val="18"/>
                <w:szCs w:val="18"/>
              </w:rPr>
            </w:pPr>
            <w:r>
              <w:rPr>
                <w:rFonts w:ascii="Times New Roman"/>
                <w:sz w:val="18"/>
              </w:rPr>
              <w:t>15,400.00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left="645" w:right="0"/>
              <w:jc w:val="left"/>
              <w:rPr>
                <w:rFonts w:ascii="Times New Roman" w:hAnsi="Times New Roman" w:cs="Times New Roman" w:eastAsia="Times New Roman" w:hint="default"/>
                <w:sz w:val="18"/>
                <w:szCs w:val="18"/>
              </w:rPr>
            </w:pPr>
            <w:r>
              <w:rPr>
                <w:rFonts w:ascii="Times New Roman"/>
                <w:sz w:val="18"/>
              </w:rPr>
              <w:t>0.00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left="644" w:right="0"/>
              <w:jc w:val="left"/>
              <w:rPr>
                <w:rFonts w:ascii="Times New Roman" w:hAnsi="Times New Roman" w:cs="Times New Roman" w:eastAsia="Times New Roman" w:hint="default"/>
                <w:sz w:val="18"/>
                <w:szCs w:val="18"/>
              </w:rPr>
            </w:pPr>
            <w:r>
              <w:rPr>
                <w:rFonts w:ascii="Times New Roman"/>
                <w:sz w:val="18"/>
              </w:rPr>
              <w:t>0.00</w:t>
            </w:r>
          </w:p>
        </w:tc>
        <w:tc>
          <w:tcPr>
            <w:tcW w:w="85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2"/>
              <w:ind w:left="360" w:right="0"/>
              <w:jc w:val="left"/>
              <w:rPr>
                <w:rFonts w:ascii="Times New Roman" w:hAnsi="Times New Roman" w:cs="Times New Roman" w:eastAsia="Times New Roman" w:hint="default"/>
                <w:sz w:val="18"/>
                <w:szCs w:val="18"/>
              </w:rPr>
            </w:pPr>
            <w:r>
              <w:rPr>
                <w:rFonts w:ascii="Times New Roman"/>
                <w:sz w:val="18"/>
              </w:rPr>
              <w:t>--</w:t>
            </w:r>
          </w:p>
        </w:tc>
        <w:tc>
          <w:tcPr>
            <w:tcW w:w="9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2"/>
              <w:ind w:right="1"/>
              <w:jc w:val="center"/>
              <w:rPr>
                <w:rFonts w:ascii="Times New Roman" w:hAnsi="Times New Roman" w:cs="Times New Roman" w:eastAsia="Times New Roman" w:hint="default"/>
                <w:sz w:val="18"/>
                <w:szCs w:val="18"/>
              </w:rPr>
            </w:pPr>
            <w:r>
              <w:rPr>
                <w:rFonts w:ascii="Times New Roman"/>
                <w:sz w:val="18"/>
              </w:rPr>
              <w:t>--</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left="644" w:right="0"/>
              <w:jc w:val="left"/>
              <w:rPr>
                <w:rFonts w:ascii="Times New Roman" w:hAnsi="Times New Roman" w:cs="Times New Roman" w:eastAsia="Times New Roman" w:hint="default"/>
                <w:sz w:val="18"/>
                <w:szCs w:val="18"/>
              </w:rPr>
            </w:pPr>
            <w:r>
              <w:rPr>
                <w:rFonts w:ascii="Times New Roman"/>
                <w:sz w:val="18"/>
              </w:rPr>
              <w:t>0.00</w:t>
            </w:r>
          </w:p>
        </w:tc>
        <w:tc>
          <w:tcPr>
            <w:tcW w:w="9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2"/>
              <w:ind w:right="0"/>
              <w:jc w:val="center"/>
              <w:rPr>
                <w:rFonts w:ascii="Times New Roman" w:hAnsi="Times New Roman" w:cs="Times New Roman" w:eastAsia="Times New Roman" w:hint="default"/>
                <w:sz w:val="18"/>
                <w:szCs w:val="18"/>
              </w:rPr>
            </w:pPr>
            <w:r>
              <w:rPr>
                <w:rFonts w:ascii="Times New Roman"/>
                <w:sz w:val="18"/>
              </w:rPr>
              <w:t>--</w:t>
            </w:r>
          </w:p>
        </w:tc>
        <w:tc>
          <w:tcPr>
            <w:tcW w:w="121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2"/>
              <w:ind w:right="539"/>
              <w:jc w:val="right"/>
              <w:rPr>
                <w:rFonts w:ascii="Times New Roman" w:hAnsi="Times New Roman" w:cs="Times New Roman" w:eastAsia="Times New Roman" w:hint="default"/>
                <w:sz w:val="18"/>
                <w:szCs w:val="18"/>
              </w:rPr>
            </w:pPr>
            <w:r>
              <w:rPr>
                <w:rFonts w:ascii="Times New Roman"/>
                <w:sz w:val="18"/>
              </w:rPr>
              <w:t>--</w:t>
            </w:r>
          </w:p>
        </w:tc>
      </w:tr>
      <w:tr>
        <w:trPr>
          <w:trHeight w:val="337" w:hRule="exact"/>
        </w:trPr>
        <w:tc>
          <w:tcPr>
            <w:tcW w:w="3199" w:type="dxa"/>
            <w:gridSpan w:val="2"/>
            <w:tcBorders>
              <w:top w:val="single" w:sz="4" w:space="0" w:color="000000"/>
              <w:left w:val="single" w:sz="4" w:space="0" w:color="000000"/>
              <w:bottom w:val="nil" w:sz="6" w:space="0" w:color="auto"/>
              <w:right w:val="single" w:sz="4" w:space="0" w:color="000000"/>
            </w:tcBorders>
            <w:shd w:val="clear" w:color="auto" w:fill="D3D3D3"/>
          </w:tcPr>
          <w:p>
            <w:pPr/>
          </w:p>
        </w:tc>
        <w:tc>
          <w:tcPr>
            <w:tcW w:w="8016" w:type="dxa"/>
            <w:gridSpan w:val="8"/>
            <w:tcBorders>
              <w:top w:val="single" w:sz="4" w:space="0" w:color="000000"/>
              <w:left w:val="single" w:sz="4" w:space="0" w:color="000000"/>
              <w:bottom w:val="nil" w:sz="6" w:space="0" w:color="auto"/>
              <w:right w:val="single" w:sz="4" w:space="0" w:color="000000"/>
            </w:tcBorders>
          </w:tcPr>
          <w:p>
            <w:pPr>
              <w:pStyle w:val="TableParagraph"/>
              <w:spacing w:line="240" w:lineRule="auto" w:before="31"/>
              <w:ind w:left="383" w:right="0"/>
              <w:jc w:val="left"/>
              <w:rPr>
                <w:rFonts w:ascii="宋体" w:hAnsi="宋体" w:cs="宋体" w:eastAsia="宋体" w:hint="default"/>
                <w:sz w:val="18"/>
                <w:szCs w:val="18"/>
              </w:rPr>
            </w:pPr>
            <w:r>
              <w:rPr>
                <w:rFonts w:ascii="宋体" w:hAnsi="宋体" w:cs="宋体" w:eastAsia="宋体" w:hint="default"/>
                <w:sz w:val="18"/>
                <w:szCs w:val="18"/>
              </w:rPr>
              <w:t>原募投项目“基于居民健康卡的区域诊疗一卡通平台”受市场因素影响，项目开展进度缓慢。为</w:t>
            </w:r>
          </w:p>
        </w:tc>
      </w:tr>
      <w:tr>
        <w:trPr>
          <w:trHeight w:val="312" w:hRule="exact"/>
        </w:trPr>
        <w:tc>
          <w:tcPr>
            <w:tcW w:w="3199" w:type="dxa"/>
            <w:gridSpan w:val="2"/>
            <w:tcBorders>
              <w:top w:val="nil" w:sz="6" w:space="0" w:color="auto"/>
              <w:left w:val="single" w:sz="4" w:space="0" w:color="000000"/>
              <w:bottom w:val="nil" w:sz="6" w:space="0" w:color="auto"/>
              <w:right w:val="single" w:sz="4" w:space="0" w:color="000000"/>
            </w:tcBorders>
            <w:shd w:val="clear" w:color="auto" w:fill="D3D3D3"/>
          </w:tcPr>
          <w:p>
            <w:pPr/>
          </w:p>
        </w:tc>
        <w:tc>
          <w:tcPr>
            <w:tcW w:w="8016" w:type="dxa"/>
            <w:gridSpan w:val="8"/>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提高募集资金使用效率，提高募投项目收益水平，保护全体股东利益，更好地满足公司未来发展的需</w:t>
            </w:r>
          </w:p>
        </w:tc>
      </w:tr>
      <w:tr>
        <w:trPr>
          <w:trHeight w:val="951" w:hRule="exact"/>
        </w:trPr>
        <w:tc>
          <w:tcPr>
            <w:tcW w:w="3199" w:type="dxa"/>
            <w:gridSpan w:val="2"/>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7"/>
              <w:ind w:right="0"/>
              <w:jc w:val="left"/>
              <w:rPr>
                <w:rFonts w:ascii="宋体" w:hAnsi="宋体" w:cs="宋体" w:eastAsia="宋体" w:hint="default"/>
                <w:sz w:val="13"/>
                <w:szCs w:val="13"/>
              </w:rPr>
            </w:pPr>
          </w:p>
          <w:p>
            <w:pPr>
              <w:pStyle w:val="TableParagraph"/>
              <w:spacing w:line="316" w:lineRule="auto"/>
              <w:ind w:left="23" w:right="103"/>
              <w:jc w:val="left"/>
              <w:rPr>
                <w:rFonts w:ascii="Times New Roman" w:hAnsi="Times New Roman" w:cs="Times New Roman" w:eastAsia="Times New Roman" w:hint="default"/>
                <w:sz w:val="18"/>
                <w:szCs w:val="18"/>
              </w:rPr>
            </w:pPr>
            <w:r>
              <w:rPr>
                <w:rFonts w:ascii="宋体" w:hAnsi="宋体" w:cs="宋体" w:eastAsia="宋体" w:hint="default"/>
                <w:sz w:val="18"/>
                <w:szCs w:val="18"/>
              </w:rPr>
              <w:t>变更原因、决策程序及信息披露情况说 明</w:t>
            </w:r>
            <w:r>
              <w:rPr>
                <w:rFonts w:ascii="Times New Roman" w:hAnsi="Times New Roman" w:cs="Times New Roman" w:eastAsia="Times New Roman" w:hint="default"/>
                <w:sz w:val="18"/>
                <w:szCs w:val="18"/>
              </w:rPr>
              <w:t>(</w:t>
            </w:r>
            <w:r>
              <w:rPr>
                <w:rFonts w:ascii="宋体" w:hAnsi="宋体" w:cs="宋体" w:eastAsia="宋体" w:hint="default"/>
                <w:sz w:val="18"/>
                <w:szCs w:val="18"/>
              </w:rPr>
              <w:t>分具体项目</w:t>
            </w:r>
            <w:r>
              <w:rPr>
                <w:rFonts w:ascii="Times New Roman" w:hAnsi="Times New Roman" w:cs="Times New Roman" w:eastAsia="Times New Roman" w:hint="default"/>
                <w:sz w:val="18"/>
                <w:szCs w:val="18"/>
              </w:rPr>
              <w:t>)</w:t>
            </w:r>
          </w:p>
        </w:tc>
        <w:tc>
          <w:tcPr>
            <w:tcW w:w="8016" w:type="dxa"/>
            <w:gridSpan w:val="8"/>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要，经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日公司第七届董事会第七次会议、</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 </w:t>
            </w:r>
            <w:r>
              <w:rPr>
                <w:rFonts w:ascii="宋体" w:hAnsi="宋体" w:cs="宋体" w:eastAsia="宋体" w:hint="default"/>
                <w:sz w:val="18"/>
                <w:szCs w:val="18"/>
              </w:rPr>
              <w:t>日公司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年度第六次临</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时股东大会审议，同意公司将原募投项目剩余募集资金中的</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15,400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万元用于“智能单兵综合信息系统</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建设项目</w:t>
            </w:r>
            <w:r>
              <w:rPr>
                <w:rFonts w:ascii="宋体" w:hAnsi="宋体" w:cs="宋体" w:eastAsia="宋体" w:hint="default"/>
                <w:spacing w:val="-90"/>
                <w:sz w:val="18"/>
                <w:szCs w:val="18"/>
              </w:rPr>
              <w:t>”</w:t>
            </w:r>
            <w:r>
              <w:rPr>
                <w:rFonts w:ascii="宋体" w:hAnsi="宋体" w:cs="宋体" w:eastAsia="宋体" w:hint="default"/>
                <w:sz w:val="18"/>
                <w:szCs w:val="18"/>
              </w:rPr>
              <w:t>（具体内容详见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2018-085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号公告</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322" w:hRule="exact"/>
        </w:trPr>
        <w:tc>
          <w:tcPr>
            <w:tcW w:w="3199" w:type="dxa"/>
            <w:gridSpan w:val="2"/>
            <w:tcBorders>
              <w:top w:val="nil" w:sz="6" w:space="0" w:color="auto"/>
              <w:left w:val="single" w:sz="4" w:space="0" w:color="000000"/>
              <w:bottom w:val="nil" w:sz="6" w:space="0" w:color="auto"/>
              <w:right w:val="single" w:sz="4" w:space="0" w:color="000000"/>
            </w:tcBorders>
            <w:shd w:val="clear" w:color="auto" w:fill="D3D3D3"/>
          </w:tcPr>
          <w:p>
            <w:pPr/>
          </w:p>
        </w:tc>
        <w:tc>
          <w:tcPr>
            <w:tcW w:w="8016" w:type="dxa"/>
            <w:gridSpan w:val="8"/>
            <w:tcBorders>
              <w:top w:val="nil" w:sz="6" w:space="0" w:color="auto"/>
              <w:left w:val="single" w:sz="4" w:space="0" w:color="000000"/>
              <w:bottom w:val="nil" w:sz="6" w:space="0" w:color="auto"/>
              <w:right w:val="single" w:sz="4" w:space="0" w:color="000000"/>
            </w:tcBorders>
          </w:tcPr>
          <w:p>
            <w:pPr>
              <w:pStyle w:val="TableParagraph"/>
              <w:spacing w:line="240" w:lineRule="auto" w:before="15"/>
              <w:ind w:left="3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1"/>
                <w:sz w:val="18"/>
                <w:szCs w:val="18"/>
              </w:rPr>
              <w:t>，</w:t>
            </w:r>
            <w:r>
              <w:rPr>
                <w:rFonts w:ascii="宋体" w:hAnsi="宋体" w:cs="宋体" w:eastAsia="宋体" w:hint="default"/>
                <w:sz w:val="18"/>
                <w:szCs w:val="18"/>
              </w:rPr>
              <w:t>中原电子开设募集资金专项账户并与相关各方签署《募集资金四方监管协议</w:t>
            </w:r>
            <w:r>
              <w:rPr>
                <w:rFonts w:ascii="宋体" w:hAnsi="宋体" w:cs="宋体" w:eastAsia="宋体" w:hint="default"/>
                <w:spacing w:val="-90"/>
                <w:sz w:val="18"/>
                <w:szCs w:val="18"/>
              </w:rPr>
              <w:t>》</w:t>
            </w:r>
            <w:r>
              <w:rPr>
                <w:rFonts w:ascii="宋体" w:hAnsi="宋体" w:cs="宋体" w:eastAsia="宋体" w:hint="default"/>
                <w:sz w:val="18"/>
                <w:szCs w:val="18"/>
              </w:rPr>
              <w:t>，实</w:t>
            </w:r>
          </w:p>
        </w:tc>
      </w:tr>
      <w:tr>
        <w:trPr>
          <w:trHeight w:val="331" w:hRule="exact"/>
        </w:trPr>
        <w:tc>
          <w:tcPr>
            <w:tcW w:w="3199" w:type="dxa"/>
            <w:gridSpan w:val="2"/>
            <w:tcBorders>
              <w:top w:val="nil" w:sz="6" w:space="0" w:color="auto"/>
              <w:left w:val="single" w:sz="4" w:space="0" w:color="000000"/>
              <w:bottom w:val="single" w:sz="4" w:space="0" w:color="000000"/>
              <w:right w:val="single" w:sz="4" w:space="0" w:color="000000"/>
            </w:tcBorders>
            <w:shd w:val="clear" w:color="auto" w:fill="D3D3D3"/>
          </w:tcPr>
          <w:p>
            <w:pPr/>
          </w:p>
        </w:tc>
        <w:tc>
          <w:tcPr>
            <w:tcW w:w="8016" w:type="dxa"/>
            <w:gridSpan w:val="8"/>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现募集资金专款专用。</w:t>
            </w:r>
          </w:p>
        </w:tc>
      </w:tr>
      <w:tr>
        <w:trPr>
          <w:trHeight w:val="674" w:hRule="exact"/>
        </w:trPr>
        <w:tc>
          <w:tcPr>
            <w:tcW w:w="3199"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32"/>
              <w:ind w:left="23" w:right="103"/>
              <w:jc w:val="left"/>
              <w:rPr>
                <w:rFonts w:ascii="Times New Roman" w:hAnsi="Times New Roman" w:cs="Times New Roman" w:eastAsia="Times New Roman" w:hint="default"/>
                <w:sz w:val="18"/>
                <w:szCs w:val="18"/>
              </w:rPr>
            </w:pPr>
            <w:r>
              <w:rPr>
                <w:rFonts w:ascii="宋体" w:hAnsi="宋体" w:cs="宋体" w:eastAsia="宋体" w:hint="default"/>
                <w:sz w:val="18"/>
                <w:szCs w:val="18"/>
              </w:rPr>
              <w:t>未达到计划进度或预计收益的情况和原 因</w:t>
            </w:r>
            <w:r>
              <w:rPr>
                <w:rFonts w:ascii="Times New Roman" w:hAnsi="Times New Roman" w:cs="Times New Roman" w:eastAsia="Times New Roman" w:hint="default"/>
                <w:sz w:val="18"/>
                <w:szCs w:val="18"/>
              </w:rPr>
              <w:t>(</w:t>
            </w:r>
            <w:r>
              <w:rPr>
                <w:rFonts w:ascii="宋体" w:hAnsi="宋体" w:cs="宋体" w:eastAsia="宋体" w:hint="default"/>
                <w:sz w:val="18"/>
                <w:szCs w:val="18"/>
              </w:rPr>
              <w:t>分具体项目</w:t>
            </w:r>
            <w:r>
              <w:rPr>
                <w:rFonts w:ascii="Times New Roman" w:hAnsi="Times New Roman" w:cs="Times New Roman" w:eastAsia="Times New Roman" w:hint="default"/>
                <w:sz w:val="18"/>
                <w:szCs w:val="18"/>
              </w:rPr>
              <w:t>)</w:t>
            </w:r>
          </w:p>
        </w:tc>
        <w:tc>
          <w:tcPr>
            <w:tcW w:w="8016" w:type="dxa"/>
            <w:gridSpan w:val="8"/>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38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674" w:hRule="exact"/>
        </w:trPr>
        <w:tc>
          <w:tcPr>
            <w:tcW w:w="3199"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31"/>
              <w:ind w:left="23" w:right="103"/>
              <w:jc w:val="left"/>
              <w:rPr>
                <w:rFonts w:ascii="宋体" w:hAnsi="宋体" w:cs="宋体" w:eastAsia="宋体" w:hint="default"/>
                <w:sz w:val="18"/>
                <w:szCs w:val="18"/>
              </w:rPr>
            </w:pPr>
            <w:r>
              <w:rPr>
                <w:rFonts w:ascii="宋体" w:hAnsi="宋体" w:cs="宋体" w:eastAsia="宋体" w:hint="default"/>
                <w:sz w:val="18"/>
                <w:szCs w:val="18"/>
              </w:rPr>
              <w:t>变更后的项目可行性发生重大变化的情 况说明</w:t>
            </w:r>
          </w:p>
        </w:tc>
        <w:tc>
          <w:tcPr>
            <w:tcW w:w="8016" w:type="dxa"/>
            <w:gridSpan w:val="8"/>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383"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after="0" w:line="240" w:lineRule="auto"/>
        <w:jc w:val="left"/>
        <w:rPr>
          <w:rFonts w:ascii="宋体" w:hAnsi="宋体" w:cs="宋体" w:eastAsia="宋体" w:hint="default"/>
          <w:sz w:val="18"/>
          <w:szCs w:val="18"/>
        </w:rPr>
        <w:sectPr>
          <w:pgSz w:w="11910" w:h="16840"/>
          <w:pgMar w:header="787" w:footer="982" w:top="1100" w:bottom="1180" w:left="240" w:right="0"/>
        </w:sectPr>
      </w:pPr>
    </w:p>
    <w:p>
      <w:pPr>
        <w:spacing w:line="240" w:lineRule="auto" w:before="5"/>
        <w:rPr>
          <w:rFonts w:ascii="宋体" w:hAnsi="宋体" w:cs="宋体" w:eastAsia="宋体" w:hint="default"/>
          <w:sz w:val="20"/>
          <w:szCs w:val="20"/>
        </w:rPr>
      </w:pPr>
    </w:p>
    <w:p>
      <w:pPr>
        <w:pStyle w:val="Heading4"/>
        <w:spacing w:line="240" w:lineRule="auto" w:before="26"/>
        <w:ind w:left="934" w:right="3010"/>
        <w:jc w:val="left"/>
        <w:rPr>
          <w:b w:val="0"/>
          <w:bCs w:val="0"/>
        </w:rPr>
      </w:pPr>
      <w:r>
        <w:rPr/>
        <w:t>六、重大资产和股权出售</w:t>
      </w:r>
      <w:r>
        <w:rPr>
          <w:b w:val="0"/>
          <w:bCs w:val="0"/>
        </w:rPr>
      </w:r>
    </w:p>
    <w:p>
      <w:pPr>
        <w:spacing w:line="240" w:lineRule="auto" w:before="0"/>
        <w:rPr>
          <w:rFonts w:ascii="宋体" w:hAnsi="宋体" w:cs="宋体" w:eastAsia="宋体" w:hint="default"/>
          <w:b/>
          <w:bCs/>
          <w:sz w:val="20"/>
          <w:szCs w:val="20"/>
        </w:rPr>
      </w:pPr>
    </w:p>
    <w:p>
      <w:pPr>
        <w:pStyle w:val="Heading5"/>
        <w:spacing w:line="240" w:lineRule="auto" w:before="0"/>
        <w:ind w:left="934" w:right="3010"/>
        <w:jc w:val="left"/>
        <w:rPr>
          <w:b w:val="0"/>
          <w:bCs w:val="0"/>
        </w:rPr>
      </w:pPr>
      <w:r>
        <w:rPr>
          <w:rFonts w:ascii="Times New Roman" w:hAnsi="Times New Roman" w:cs="Times New Roman" w:eastAsia="Times New Roman" w:hint="default"/>
        </w:rPr>
        <w:t>1</w:t>
      </w:r>
      <w:r>
        <w:rPr/>
        <w:t>、出售重大资产情况</w:t>
      </w:r>
      <w:r>
        <w:rPr>
          <w:b w:val="0"/>
          <w:bCs w:val="0"/>
        </w:rPr>
      </w:r>
    </w:p>
    <w:p>
      <w:pPr>
        <w:spacing w:line="240" w:lineRule="auto" w:before="0"/>
        <w:rPr>
          <w:rFonts w:ascii="宋体" w:hAnsi="宋体" w:cs="宋体" w:eastAsia="宋体" w:hint="default"/>
          <w:b/>
          <w:bCs/>
          <w:sz w:val="22"/>
          <w:szCs w:val="22"/>
        </w:rPr>
      </w:pPr>
    </w:p>
    <w:p>
      <w:pPr>
        <w:spacing w:line="357" w:lineRule="auto" w:before="0"/>
        <w:ind w:left="1294" w:right="3010" w:hanging="360"/>
        <w:jc w:val="left"/>
        <w:rPr>
          <w:rFonts w:ascii="宋体" w:hAnsi="宋体" w:cs="宋体" w:eastAsia="宋体" w:hint="default"/>
          <w:sz w:val="18"/>
          <w:szCs w:val="18"/>
        </w:rPr>
      </w:pPr>
      <w:r>
        <w:rPr>
          <w:rFonts w:ascii="宋体" w:hAnsi="宋体" w:cs="宋体" w:eastAsia="宋体" w:hint="default"/>
          <w:sz w:val="18"/>
          <w:szCs w:val="18"/>
        </w:rPr>
        <w:t>□ 适用 √ 不适用 公司报告期内出售所持有的东方证券部分股票事宜参见本节“证券投资情况”中的相关介绍。</w:t>
      </w:r>
    </w:p>
    <w:p>
      <w:pPr>
        <w:spacing w:line="240" w:lineRule="auto" w:before="7"/>
        <w:rPr>
          <w:rFonts w:ascii="宋体" w:hAnsi="宋体" w:cs="宋体" w:eastAsia="宋体" w:hint="default"/>
          <w:sz w:val="15"/>
          <w:szCs w:val="15"/>
        </w:rPr>
      </w:pPr>
    </w:p>
    <w:p>
      <w:pPr>
        <w:pStyle w:val="Heading5"/>
        <w:spacing w:line="240" w:lineRule="auto" w:before="0"/>
        <w:ind w:left="934" w:right="3010"/>
        <w:jc w:val="left"/>
        <w:rPr>
          <w:b w:val="0"/>
          <w:bCs w:val="0"/>
        </w:rPr>
      </w:pPr>
      <w:r>
        <w:rPr>
          <w:rFonts w:ascii="Times New Roman" w:hAnsi="Times New Roman" w:cs="Times New Roman" w:eastAsia="Times New Roman" w:hint="default"/>
        </w:rPr>
        <w:t>2</w:t>
      </w:r>
      <w:r>
        <w:rPr/>
        <w:t>、出售重大股权情况</w:t>
      </w:r>
      <w:r>
        <w:rPr>
          <w:b w:val="0"/>
          <w:bCs w:val="0"/>
        </w:rPr>
      </w:r>
    </w:p>
    <w:p>
      <w:pPr>
        <w:spacing w:line="240" w:lineRule="auto" w:before="12"/>
        <w:rPr>
          <w:rFonts w:ascii="宋体" w:hAnsi="宋体" w:cs="宋体" w:eastAsia="宋体" w:hint="default"/>
          <w:b/>
          <w:bCs/>
          <w:sz w:val="21"/>
          <w:szCs w:val="21"/>
        </w:rPr>
      </w:pPr>
    </w:p>
    <w:p>
      <w:pPr>
        <w:spacing w:before="0"/>
        <w:ind w:left="934" w:right="3010" w:firstLine="0"/>
        <w:jc w:val="left"/>
        <w:rPr>
          <w:rFonts w:ascii="宋体" w:hAnsi="宋体" w:cs="宋体" w:eastAsia="宋体" w:hint="default"/>
          <w:sz w:val="18"/>
          <w:szCs w:val="18"/>
        </w:rPr>
      </w:pPr>
      <w:r>
        <w:rPr/>
        <w:pict>
          <v:shape style="position:absolute;margin-left:156.119995pt;margin-top:17.532007pt;width:105.3pt;height:82.05pt;mso-position-horizontal-relative:page;mso-position-vertical-relative:paragraph;z-index:-1402360" type="#_x0000_t202" filled="false" stroked="false">
            <v:textbox inset="0,0,0,0">
              <w:txbxContent>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1"/>
                    <w:rPr>
                      <w:rFonts w:ascii="宋体" w:hAnsi="宋体" w:cs="宋体" w:eastAsia="宋体" w:hint="default"/>
                      <w:sz w:val="17"/>
                      <w:szCs w:val="17"/>
                    </w:rPr>
                  </w:pPr>
                </w:p>
                <w:p>
                  <w:pPr>
                    <w:spacing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利润（万元）</w:t>
                  </w:r>
                </w:p>
              </w:txbxContent>
            </v:textbox>
            <w10:wrap type="none"/>
          </v:shape>
        </w:pict>
      </w:r>
      <w:r>
        <w:rPr>
          <w:rFonts w:ascii="宋体" w:hAnsi="宋体" w:cs="宋体" w:eastAsia="宋体" w:hint="default"/>
          <w:sz w:val="18"/>
          <w:szCs w:val="18"/>
        </w:rPr>
        <w:t>√ 适用 □ 不适用</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553"/>
        <w:gridCol w:w="862"/>
        <w:gridCol w:w="680"/>
        <w:gridCol w:w="708"/>
        <w:gridCol w:w="851"/>
        <w:gridCol w:w="1266"/>
        <w:gridCol w:w="991"/>
        <w:gridCol w:w="720"/>
        <w:gridCol w:w="566"/>
        <w:gridCol w:w="568"/>
        <w:gridCol w:w="793"/>
        <w:gridCol w:w="1304"/>
        <w:gridCol w:w="649"/>
        <w:gridCol w:w="763"/>
      </w:tblGrid>
      <w:tr>
        <w:trPr>
          <w:trHeight w:val="278" w:hRule="exact"/>
        </w:trPr>
        <w:tc>
          <w:tcPr>
            <w:tcW w:w="553" w:type="dxa"/>
            <w:tcBorders>
              <w:top w:val="single" w:sz="4" w:space="0" w:color="000000"/>
              <w:left w:val="single" w:sz="4" w:space="0" w:color="000000"/>
              <w:bottom w:val="nil" w:sz="6" w:space="0" w:color="auto"/>
              <w:right w:val="single" w:sz="4" w:space="0" w:color="000000"/>
            </w:tcBorders>
            <w:shd w:val="clear" w:color="auto" w:fill="D3D3D3"/>
          </w:tcPr>
          <w:p>
            <w:pPr/>
          </w:p>
        </w:tc>
        <w:tc>
          <w:tcPr>
            <w:tcW w:w="862" w:type="dxa"/>
            <w:tcBorders>
              <w:top w:val="single" w:sz="4" w:space="0" w:color="000000"/>
              <w:left w:val="single" w:sz="4" w:space="0" w:color="000000"/>
              <w:bottom w:val="nil" w:sz="6" w:space="0" w:color="auto"/>
              <w:right w:val="single" w:sz="4" w:space="0" w:color="000000"/>
            </w:tcBorders>
            <w:shd w:val="clear" w:color="auto" w:fill="D3D3D3"/>
          </w:tcPr>
          <w:p>
            <w:pPr/>
          </w:p>
        </w:tc>
        <w:tc>
          <w:tcPr>
            <w:tcW w:w="680" w:type="dxa"/>
            <w:tcBorders>
              <w:top w:val="single" w:sz="4" w:space="0" w:color="000000"/>
              <w:left w:val="single" w:sz="4" w:space="0" w:color="000000"/>
              <w:bottom w:val="nil" w:sz="6" w:space="0" w:color="auto"/>
              <w:right w:val="single" w:sz="4" w:space="0" w:color="000000"/>
            </w:tcBorders>
            <w:shd w:val="clear" w:color="auto" w:fill="D3D3D3"/>
          </w:tcPr>
          <w:p>
            <w:pPr/>
          </w:p>
        </w:tc>
        <w:tc>
          <w:tcPr>
            <w:tcW w:w="708" w:type="dxa"/>
            <w:tcBorders>
              <w:top w:val="single" w:sz="4" w:space="0" w:color="000000"/>
              <w:left w:val="single" w:sz="4" w:space="0" w:color="000000"/>
              <w:bottom w:val="nil" w:sz="6" w:space="0" w:color="auto"/>
              <w:right w:val="single" w:sz="4" w:space="0" w:color="000000"/>
            </w:tcBorders>
            <w:shd w:val="clear" w:color="auto" w:fill="D3D3D3"/>
          </w:tcPr>
          <w:p>
            <w:pPr/>
          </w:p>
        </w:tc>
        <w:tc>
          <w:tcPr>
            <w:tcW w:w="851" w:type="dxa"/>
            <w:tcBorders>
              <w:top w:val="single" w:sz="4" w:space="0" w:color="000000"/>
              <w:left w:val="single" w:sz="4" w:space="0" w:color="000000"/>
              <w:bottom w:val="nil" w:sz="6" w:space="0" w:color="auto"/>
              <w:right w:val="single" w:sz="4" w:space="0" w:color="000000"/>
            </w:tcBorders>
            <w:shd w:val="clear" w:color="auto" w:fill="D3D3D3"/>
          </w:tcPr>
          <w:p>
            <w:pPr>
              <w:pStyle w:val="TableParagraph"/>
              <w:spacing w:line="240" w:lineRule="auto" w:before="74"/>
              <w:ind w:left="44" w:right="0"/>
              <w:jc w:val="left"/>
              <w:rPr>
                <w:rFonts w:ascii="宋体" w:hAnsi="宋体" w:cs="宋体" w:eastAsia="宋体" w:hint="default"/>
                <w:sz w:val="15"/>
                <w:szCs w:val="15"/>
              </w:rPr>
            </w:pPr>
            <w:r>
              <w:rPr>
                <w:rFonts w:ascii="宋体" w:hAnsi="宋体" w:cs="宋体" w:eastAsia="宋体" w:hint="default"/>
                <w:sz w:val="15"/>
                <w:szCs w:val="15"/>
              </w:rPr>
              <w:t>本期初起至</w:t>
            </w:r>
          </w:p>
        </w:tc>
        <w:tc>
          <w:tcPr>
            <w:tcW w:w="1266" w:type="dxa"/>
            <w:tcBorders>
              <w:top w:val="single" w:sz="4" w:space="0" w:color="000000"/>
              <w:left w:val="single" w:sz="4" w:space="0" w:color="000000"/>
              <w:bottom w:val="nil" w:sz="6" w:space="0" w:color="auto"/>
              <w:right w:val="single" w:sz="4" w:space="0" w:color="000000"/>
            </w:tcBorders>
            <w:shd w:val="clear" w:color="auto" w:fill="D3D3D3"/>
          </w:tcPr>
          <w:p>
            <w:pPr/>
          </w:p>
        </w:tc>
        <w:tc>
          <w:tcPr>
            <w:tcW w:w="991" w:type="dxa"/>
            <w:tcBorders>
              <w:top w:val="single" w:sz="4" w:space="0" w:color="000000"/>
              <w:left w:val="single" w:sz="4" w:space="0" w:color="000000"/>
              <w:bottom w:val="nil" w:sz="6" w:space="0" w:color="auto"/>
              <w:right w:val="single" w:sz="4" w:space="0" w:color="000000"/>
            </w:tcBorders>
            <w:shd w:val="clear" w:color="auto" w:fill="D3D3D3"/>
          </w:tcPr>
          <w:p>
            <w:pPr/>
          </w:p>
        </w:tc>
        <w:tc>
          <w:tcPr>
            <w:tcW w:w="720" w:type="dxa"/>
            <w:tcBorders>
              <w:top w:val="single" w:sz="4" w:space="0" w:color="000000"/>
              <w:left w:val="single" w:sz="4" w:space="0" w:color="000000"/>
              <w:bottom w:val="nil" w:sz="6" w:space="0" w:color="auto"/>
              <w:right w:val="single" w:sz="4" w:space="0" w:color="000000"/>
            </w:tcBorders>
            <w:shd w:val="clear" w:color="auto" w:fill="D3D3D3"/>
          </w:tcPr>
          <w:p>
            <w:pPr/>
          </w:p>
        </w:tc>
        <w:tc>
          <w:tcPr>
            <w:tcW w:w="566" w:type="dxa"/>
            <w:tcBorders>
              <w:top w:val="single" w:sz="4" w:space="0" w:color="000000"/>
              <w:left w:val="single" w:sz="4" w:space="0" w:color="000000"/>
              <w:bottom w:val="nil" w:sz="6" w:space="0" w:color="auto"/>
              <w:right w:val="single" w:sz="4" w:space="0" w:color="000000"/>
            </w:tcBorders>
            <w:shd w:val="clear" w:color="auto" w:fill="D3D3D3"/>
          </w:tcPr>
          <w:p>
            <w:pPr/>
          </w:p>
        </w:tc>
        <w:tc>
          <w:tcPr>
            <w:tcW w:w="568" w:type="dxa"/>
            <w:tcBorders>
              <w:top w:val="single" w:sz="4" w:space="0" w:color="000000"/>
              <w:left w:val="single" w:sz="4" w:space="0" w:color="000000"/>
              <w:bottom w:val="nil" w:sz="6" w:space="0" w:color="auto"/>
              <w:right w:val="single" w:sz="4" w:space="0" w:color="000000"/>
            </w:tcBorders>
            <w:shd w:val="clear" w:color="auto" w:fill="D3D3D3"/>
          </w:tcPr>
          <w:p>
            <w:pPr/>
          </w:p>
        </w:tc>
        <w:tc>
          <w:tcPr>
            <w:tcW w:w="793" w:type="dxa"/>
            <w:tcBorders>
              <w:top w:val="single" w:sz="4" w:space="0" w:color="000000"/>
              <w:left w:val="single" w:sz="4" w:space="0" w:color="000000"/>
              <w:bottom w:val="nil" w:sz="6" w:space="0" w:color="auto"/>
              <w:right w:val="single" w:sz="4" w:space="0" w:color="000000"/>
            </w:tcBorders>
            <w:shd w:val="clear" w:color="auto" w:fill="D3D3D3"/>
          </w:tcPr>
          <w:p>
            <w:pPr/>
          </w:p>
        </w:tc>
        <w:tc>
          <w:tcPr>
            <w:tcW w:w="1304" w:type="dxa"/>
            <w:tcBorders>
              <w:top w:val="single" w:sz="4" w:space="0" w:color="000000"/>
              <w:left w:val="single" w:sz="4" w:space="0" w:color="000000"/>
              <w:bottom w:val="nil" w:sz="6" w:space="0" w:color="auto"/>
              <w:right w:val="single" w:sz="4" w:space="0" w:color="000000"/>
            </w:tcBorders>
            <w:shd w:val="clear" w:color="auto" w:fill="D3D3D3"/>
          </w:tcPr>
          <w:p>
            <w:pPr/>
          </w:p>
        </w:tc>
        <w:tc>
          <w:tcPr>
            <w:tcW w:w="649" w:type="dxa"/>
            <w:tcBorders>
              <w:top w:val="single" w:sz="4" w:space="0" w:color="000000"/>
              <w:left w:val="single" w:sz="4" w:space="0" w:color="000000"/>
              <w:bottom w:val="nil" w:sz="6" w:space="0" w:color="auto"/>
              <w:right w:val="single" w:sz="4" w:space="0" w:color="000000"/>
            </w:tcBorders>
            <w:shd w:val="clear" w:color="auto" w:fill="D3D3D3"/>
          </w:tcPr>
          <w:p>
            <w:pPr/>
          </w:p>
        </w:tc>
        <w:tc>
          <w:tcPr>
            <w:tcW w:w="763" w:type="dxa"/>
            <w:tcBorders>
              <w:top w:val="single" w:sz="4" w:space="0" w:color="000000"/>
              <w:left w:val="single" w:sz="4" w:space="0" w:color="000000"/>
              <w:bottom w:val="nil" w:sz="6" w:space="0" w:color="auto"/>
              <w:right w:val="single" w:sz="4" w:space="0" w:color="000000"/>
            </w:tcBorders>
            <w:shd w:val="clear" w:color="auto" w:fill="D3D3D3"/>
          </w:tcPr>
          <w:p>
            <w:pPr/>
          </w:p>
        </w:tc>
      </w:tr>
      <w:tr>
        <w:trPr>
          <w:trHeight w:val="155" w:hRule="exact"/>
        </w:trPr>
        <w:tc>
          <w:tcPr>
            <w:tcW w:w="553" w:type="dxa"/>
            <w:tcBorders>
              <w:top w:val="nil" w:sz="6" w:space="0" w:color="auto"/>
              <w:left w:val="single" w:sz="4" w:space="0" w:color="000000"/>
              <w:bottom w:val="nil" w:sz="6" w:space="0" w:color="auto"/>
              <w:right w:val="single" w:sz="4" w:space="0" w:color="000000"/>
            </w:tcBorders>
            <w:shd w:val="clear" w:color="auto" w:fill="D3D3D3"/>
          </w:tcPr>
          <w:p>
            <w:pPr/>
          </w:p>
        </w:tc>
        <w:tc>
          <w:tcPr>
            <w:tcW w:w="862" w:type="dxa"/>
            <w:tcBorders>
              <w:top w:val="nil" w:sz="6" w:space="0" w:color="auto"/>
              <w:left w:val="single" w:sz="4" w:space="0" w:color="000000"/>
              <w:bottom w:val="nil" w:sz="6" w:space="0" w:color="auto"/>
              <w:right w:val="single" w:sz="4" w:space="0" w:color="000000"/>
            </w:tcBorders>
            <w:shd w:val="clear" w:color="auto" w:fill="D3D3D3"/>
          </w:tcPr>
          <w:p>
            <w:pPr/>
          </w:p>
        </w:tc>
        <w:tc>
          <w:tcPr>
            <w:tcW w:w="680" w:type="dxa"/>
            <w:tcBorders>
              <w:top w:val="nil" w:sz="6" w:space="0" w:color="auto"/>
              <w:left w:val="single" w:sz="4" w:space="0" w:color="000000"/>
              <w:bottom w:val="nil" w:sz="6" w:space="0" w:color="auto"/>
              <w:right w:val="single" w:sz="4" w:space="0" w:color="000000"/>
            </w:tcBorders>
            <w:shd w:val="clear" w:color="auto" w:fill="D3D3D3"/>
          </w:tcPr>
          <w:p>
            <w:pPr/>
          </w:p>
        </w:tc>
        <w:tc>
          <w:tcPr>
            <w:tcW w:w="708" w:type="dxa"/>
            <w:tcBorders>
              <w:top w:val="nil" w:sz="6" w:space="0" w:color="auto"/>
              <w:left w:val="single" w:sz="4" w:space="0" w:color="000000"/>
              <w:bottom w:val="nil" w:sz="6" w:space="0" w:color="auto"/>
              <w:right w:val="single" w:sz="4" w:space="0" w:color="000000"/>
            </w:tcBorders>
            <w:shd w:val="clear" w:color="auto" w:fill="D3D3D3"/>
          </w:tcPr>
          <w:p>
            <w:pPr/>
          </w:p>
        </w:tc>
        <w:tc>
          <w:tcPr>
            <w:tcW w:w="851" w:type="dxa"/>
            <w:tcBorders>
              <w:top w:val="nil" w:sz="6" w:space="0" w:color="auto"/>
              <w:left w:val="single" w:sz="4" w:space="0" w:color="000000"/>
              <w:bottom w:val="nil" w:sz="6" w:space="0" w:color="auto"/>
              <w:right w:val="single" w:sz="4" w:space="0" w:color="000000"/>
            </w:tcBorders>
            <w:shd w:val="clear" w:color="auto" w:fill="D3D3D3"/>
          </w:tcPr>
          <w:p>
            <w:pPr/>
          </w:p>
        </w:tc>
        <w:tc>
          <w:tcPr>
            <w:tcW w:w="1266" w:type="dxa"/>
            <w:tcBorders>
              <w:top w:val="nil" w:sz="6" w:space="0" w:color="auto"/>
              <w:left w:val="single" w:sz="4" w:space="0" w:color="000000"/>
              <w:bottom w:val="nil" w:sz="6" w:space="0" w:color="auto"/>
              <w:right w:val="single" w:sz="4" w:space="0" w:color="000000"/>
            </w:tcBorders>
            <w:shd w:val="clear" w:color="auto" w:fill="D3D3D3"/>
          </w:tcPr>
          <w:p>
            <w:pPr/>
          </w:p>
        </w:tc>
        <w:tc>
          <w:tcPr>
            <w:tcW w:w="991"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153" w:lineRule="exact"/>
              <w:ind w:right="0"/>
              <w:jc w:val="center"/>
              <w:rPr>
                <w:rFonts w:ascii="宋体" w:hAnsi="宋体" w:cs="宋体" w:eastAsia="宋体" w:hint="default"/>
                <w:sz w:val="15"/>
                <w:szCs w:val="15"/>
              </w:rPr>
            </w:pPr>
            <w:r>
              <w:rPr>
                <w:rFonts w:ascii="宋体" w:hAnsi="宋体" w:cs="宋体" w:eastAsia="宋体" w:hint="default"/>
                <w:sz w:val="15"/>
                <w:szCs w:val="15"/>
              </w:rPr>
              <w:t>股权出售为上</w:t>
            </w:r>
          </w:p>
        </w:tc>
        <w:tc>
          <w:tcPr>
            <w:tcW w:w="720" w:type="dxa"/>
            <w:tcBorders>
              <w:top w:val="nil" w:sz="6" w:space="0" w:color="auto"/>
              <w:left w:val="single" w:sz="4" w:space="0" w:color="000000"/>
              <w:bottom w:val="nil" w:sz="6" w:space="0" w:color="auto"/>
              <w:right w:val="single" w:sz="4" w:space="0" w:color="000000"/>
            </w:tcBorders>
            <w:shd w:val="clear" w:color="auto" w:fill="D3D3D3"/>
          </w:tcPr>
          <w:p>
            <w:pPr/>
          </w:p>
        </w:tc>
        <w:tc>
          <w:tcPr>
            <w:tcW w:w="566" w:type="dxa"/>
            <w:tcBorders>
              <w:top w:val="nil" w:sz="6" w:space="0" w:color="auto"/>
              <w:left w:val="single" w:sz="4" w:space="0" w:color="000000"/>
              <w:bottom w:val="nil" w:sz="6" w:space="0" w:color="auto"/>
              <w:right w:val="single" w:sz="4" w:space="0" w:color="000000"/>
            </w:tcBorders>
            <w:shd w:val="clear" w:color="auto" w:fill="D3D3D3"/>
          </w:tcPr>
          <w:p>
            <w:pPr/>
          </w:p>
        </w:tc>
        <w:tc>
          <w:tcPr>
            <w:tcW w:w="568"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153" w:lineRule="exact"/>
              <w:ind w:right="0"/>
              <w:jc w:val="center"/>
              <w:rPr>
                <w:rFonts w:ascii="宋体" w:hAnsi="宋体" w:cs="宋体" w:eastAsia="宋体" w:hint="default"/>
                <w:sz w:val="15"/>
                <w:szCs w:val="15"/>
              </w:rPr>
            </w:pPr>
            <w:r>
              <w:rPr>
                <w:rFonts w:ascii="宋体" w:hAnsi="宋体" w:cs="宋体" w:eastAsia="宋体" w:hint="default"/>
                <w:sz w:val="15"/>
                <w:szCs w:val="15"/>
              </w:rPr>
              <w:t>与交易</w:t>
            </w:r>
          </w:p>
        </w:tc>
        <w:tc>
          <w:tcPr>
            <w:tcW w:w="793" w:type="dxa"/>
            <w:tcBorders>
              <w:top w:val="nil" w:sz="6" w:space="0" w:color="auto"/>
              <w:left w:val="single" w:sz="4" w:space="0" w:color="000000"/>
              <w:bottom w:val="nil" w:sz="6" w:space="0" w:color="auto"/>
              <w:right w:val="single" w:sz="4" w:space="0" w:color="000000"/>
            </w:tcBorders>
            <w:shd w:val="clear" w:color="auto" w:fill="D3D3D3"/>
          </w:tcPr>
          <w:p>
            <w:pPr/>
          </w:p>
        </w:tc>
        <w:tc>
          <w:tcPr>
            <w:tcW w:w="1304"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153" w:lineRule="exact"/>
              <w:ind w:right="1"/>
              <w:jc w:val="center"/>
              <w:rPr>
                <w:rFonts w:ascii="宋体" w:hAnsi="宋体" w:cs="宋体" w:eastAsia="宋体" w:hint="default"/>
                <w:sz w:val="15"/>
                <w:szCs w:val="15"/>
              </w:rPr>
            </w:pPr>
            <w:r>
              <w:rPr>
                <w:rFonts w:ascii="宋体" w:hAnsi="宋体" w:cs="宋体" w:eastAsia="宋体" w:hint="default"/>
                <w:sz w:val="15"/>
                <w:szCs w:val="15"/>
              </w:rPr>
              <w:t>是否按计划如期实</w:t>
            </w:r>
          </w:p>
        </w:tc>
        <w:tc>
          <w:tcPr>
            <w:tcW w:w="649" w:type="dxa"/>
            <w:tcBorders>
              <w:top w:val="nil" w:sz="6" w:space="0" w:color="auto"/>
              <w:left w:val="single" w:sz="4" w:space="0" w:color="000000"/>
              <w:bottom w:val="nil" w:sz="6" w:space="0" w:color="auto"/>
              <w:right w:val="single" w:sz="4" w:space="0" w:color="000000"/>
            </w:tcBorders>
            <w:shd w:val="clear" w:color="auto" w:fill="D3D3D3"/>
          </w:tcPr>
          <w:p>
            <w:pPr/>
          </w:p>
        </w:tc>
        <w:tc>
          <w:tcPr>
            <w:tcW w:w="763" w:type="dxa"/>
            <w:tcBorders>
              <w:top w:val="nil" w:sz="6" w:space="0" w:color="auto"/>
              <w:left w:val="single" w:sz="4" w:space="0" w:color="000000"/>
              <w:bottom w:val="nil" w:sz="6" w:space="0" w:color="auto"/>
              <w:right w:val="single" w:sz="4" w:space="0" w:color="000000"/>
            </w:tcBorders>
            <w:shd w:val="clear" w:color="auto" w:fill="D3D3D3"/>
          </w:tcPr>
          <w:p>
            <w:pPr/>
          </w:p>
        </w:tc>
      </w:tr>
      <w:tr>
        <w:trPr>
          <w:trHeight w:val="312" w:hRule="exact"/>
        </w:trPr>
        <w:tc>
          <w:tcPr>
            <w:tcW w:w="553"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93"/>
              <w:ind w:left="1" w:right="0"/>
              <w:jc w:val="center"/>
              <w:rPr>
                <w:rFonts w:ascii="宋体" w:hAnsi="宋体" w:cs="宋体" w:eastAsia="宋体" w:hint="default"/>
                <w:sz w:val="15"/>
                <w:szCs w:val="15"/>
              </w:rPr>
            </w:pPr>
            <w:r>
              <w:rPr>
                <w:rFonts w:ascii="宋体" w:hAnsi="宋体" w:cs="宋体" w:eastAsia="宋体" w:hint="default"/>
                <w:sz w:val="15"/>
                <w:szCs w:val="15"/>
              </w:rPr>
              <w:t>交易</w:t>
            </w:r>
          </w:p>
        </w:tc>
        <w:tc>
          <w:tcPr>
            <w:tcW w:w="862" w:type="dxa"/>
            <w:tcBorders>
              <w:top w:val="nil" w:sz="6" w:space="0" w:color="auto"/>
              <w:left w:val="single" w:sz="4" w:space="0" w:color="000000"/>
              <w:bottom w:val="nil" w:sz="6" w:space="0" w:color="auto"/>
              <w:right w:val="single" w:sz="4" w:space="0" w:color="000000"/>
            </w:tcBorders>
            <w:shd w:val="clear" w:color="auto" w:fill="D3D3D3"/>
          </w:tcPr>
          <w:p>
            <w:pPr/>
          </w:p>
        </w:tc>
        <w:tc>
          <w:tcPr>
            <w:tcW w:w="680" w:type="dxa"/>
            <w:tcBorders>
              <w:top w:val="nil" w:sz="6" w:space="0" w:color="auto"/>
              <w:left w:val="single" w:sz="4" w:space="0" w:color="000000"/>
              <w:bottom w:val="nil" w:sz="6" w:space="0" w:color="auto"/>
              <w:right w:val="single" w:sz="4" w:space="0" w:color="000000"/>
            </w:tcBorders>
            <w:shd w:val="clear" w:color="auto" w:fill="D3D3D3"/>
          </w:tcPr>
          <w:p>
            <w:pPr/>
          </w:p>
        </w:tc>
        <w:tc>
          <w:tcPr>
            <w:tcW w:w="708"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113"/>
              <w:ind w:right="47"/>
              <w:jc w:val="right"/>
              <w:rPr>
                <w:rFonts w:ascii="宋体" w:hAnsi="宋体" w:cs="宋体" w:eastAsia="宋体" w:hint="default"/>
                <w:sz w:val="15"/>
                <w:szCs w:val="15"/>
              </w:rPr>
            </w:pPr>
            <w:r>
              <w:rPr>
                <w:rFonts w:ascii="宋体" w:hAnsi="宋体" w:cs="宋体" w:eastAsia="宋体" w:hint="default"/>
                <w:sz w:val="15"/>
                <w:szCs w:val="15"/>
              </w:rPr>
              <w:t>交易价格</w:t>
            </w:r>
          </w:p>
        </w:tc>
        <w:tc>
          <w:tcPr>
            <w:tcW w:w="851"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152" w:lineRule="exact"/>
              <w:ind w:left="44" w:right="0"/>
              <w:jc w:val="left"/>
              <w:rPr>
                <w:rFonts w:ascii="宋体" w:hAnsi="宋体" w:cs="宋体" w:eastAsia="宋体" w:hint="default"/>
                <w:sz w:val="15"/>
                <w:szCs w:val="15"/>
              </w:rPr>
            </w:pPr>
            <w:r>
              <w:rPr>
                <w:rFonts w:ascii="宋体" w:hAnsi="宋体" w:cs="宋体" w:eastAsia="宋体" w:hint="default"/>
                <w:sz w:val="15"/>
                <w:szCs w:val="15"/>
              </w:rPr>
              <w:t>出售日该股</w:t>
            </w:r>
          </w:p>
        </w:tc>
        <w:tc>
          <w:tcPr>
            <w:tcW w:w="1266" w:type="dxa"/>
            <w:tcBorders>
              <w:top w:val="nil" w:sz="6" w:space="0" w:color="auto"/>
              <w:left w:val="single" w:sz="4" w:space="0" w:color="000000"/>
              <w:bottom w:val="nil" w:sz="6" w:space="0" w:color="auto"/>
              <w:right w:val="single" w:sz="4" w:space="0" w:color="000000"/>
            </w:tcBorders>
            <w:shd w:val="clear" w:color="auto" w:fill="D3D3D3"/>
          </w:tcPr>
          <w:p>
            <w:pPr/>
          </w:p>
        </w:tc>
        <w:tc>
          <w:tcPr>
            <w:tcW w:w="991"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112"/>
              <w:ind w:right="0"/>
              <w:jc w:val="center"/>
              <w:rPr>
                <w:rFonts w:ascii="宋体" w:hAnsi="宋体" w:cs="宋体" w:eastAsia="宋体" w:hint="default"/>
                <w:sz w:val="15"/>
                <w:szCs w:val="15"/>
              </w:rPr>
            </w:pPr>
            <w:r>
              <w:rPr>
                <w:rFonts w:ascii="宋体" w:hAnsi="宋体" w:cs="宋体" w:eastAsia="宋体" w:hint="default"/>
                <w:sz w:val="15"/>
                <w:szCs w:val="15"/>
              </w:rPr>
              <w:t>市公司贡献的</w:t>
            </w:r>
          </w:p>
        </w:tc>
        <w:tc>
          <w:tcPr>
            <w:tcW w:w="720"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113"/>
              <w:ind w:right="53"/>
              <w:jc w:val="right"/>
              <w:rPr>
                <w:rFonts w:ascii="宋体" w:hAnsi="宋体" w:cs="宋体" w:eastAsia="宋体" w:hint="default"/>
                <w:sz w:val="15"/>
                <w:szCs w:val="15"/>
              </w:rPr>
            </w:pPr>
            <w:r>
              <w:rPr>
                <w:rFonts w:ascii="宋体" w:hAnsi="宋体" w:cs="宋体" w:eastAsia="宋体" w:hint="default"/>
                <w:sz w:val="15"/>
                <w:szCs w:val="15"/>
              </w:rPr>
              <w:t>股权出售</w:t>
            </w:r>
          </w:p>
        </w:tc>
        <w:tc>
          <w:tcPr>
            <w:tcW w:w="566"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154" w:lineRule="exact"/>
              <w:ind w:right="1"/>
              <w:jc w:val="center"/>
              <w:rPr>
                <w:rFonts w:ascii="宋体" w:hAnsi="宋体" w:cs="宋体" w:eastAsia="宋体" w:hint="default"/>
                <w:sz w:val="15"/>
                <w:szCs w:val="15"/>
              </w:rPr>
            </w:pPr>
            <w:r>
              <w:rPr>
                <w:rFonts w:ascii="宋体" w:hAnsi="宋体" w:cs="宋体" w:eastAsia="宋体" w:hint="default"/>
                <w:sz w:val="15"/>
                <w:szCs w:val="15"/>
              </w:rPr>
              <w:t>是否为</w:t>
            </w:r>
          </w:p>
        </w:tc>
        <w:tc>
          <w:tcPr>
            <w:tcW w:w="568"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112"/>
              <w:ind w:right="0"/>
              <w:jc w:val="center"/>
              <w:rPr>
                <w:rFonts w:ascii="宋体" w:hAnsi="宋体" w:cs="宋体" w:eastAsia="宋体" w:hint="default"/>
                <w:sz w:val="15"/>
                <w:szCs w:val="15"/>
              </w:rPr>
            </w:pPr>
            <w:r>
              <w:rPr>
                <w:rFonts w:ascii="宋体" w:hAnsi="宋体" w:cs="宋体" w:eastAsia="宋体" w:hint="default"/>
                <w:sz w:val="15"/>
                <w:szCs w:val="15"/>
              </w:rPr>
              <w:t>对方的</w:t>
            </w:r>
          </w:p>
        </w:tc>
        <w:tc>
          <w:tcPr>
            <w:tcW w:w="793"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154" w:lineRule="exact"/>
              <w:ind w:right="0"/>
              <w:jc w:val="center"/>
              <w:rPr>
                <w:rFonts w:ascii="宋体" w:hAnsi="宋体" w:cs="宋体" w:eastAsia="宋体" w:hint="default"/>
                <w:sz w:val="15"/>
                <w:szCs w:val="15"/>
              </w:rPr>
            </w:pPr>
            <w:r>
              <w:rPr>
                <w:rFonts w:ascii="宋体" w:hAnsi="宋体" w:cs="宋体" w:eastAsia="宋体" w:hint="default"/>
                <w:sz w:val="15"/>
                <w:szCs w:val="15"/>
              </w:rPr>
              <w:t>所涉及的股</w:t>
            </w:r>
          </w:p>
        </w:tc>
        <w:tc>
          <w:tcPr>
            <w:tcW w:w="1304"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112"/>
              <w:ind w:right="1"/>
              <w:jc w:val="center"/>
              <w:rPr>
                <w:rFonts w:ascii="宋体" w:hAnsi="宋体" w:cs="宋体" w:eastAsia="宋体" w:hint="default"/>
                <w:sz w:val="15"/>
                <w:szCs w:val="15"/>
              </w:rPr>
            </w:pPr>
            <w:r>
              <w:rPr>
                <w:rFonts w:ascii="宋体" w:hAnsi="宋体" w:cs="宋体" w:eastAsia="宋体" w:hint="default"/>
                <w:sz w:val="15"/>
                <w:szCs w:val="15"/>
              </w:rPr>
              <w:t>施，如未按计划实</w:t>
            </w:r>
          </w:p>
        </w:tc>
        <w:tc>
          <w:tcPr>
            <w:tcW w:w="649" w:type="dxa"/>
            <w:tcBorders>
              <w:top w:val="nil" w:sz="6" w:space="0" w:color="auto"/>
              <w:left w:val="single" w:sz="4" w:space="0" w:color="000000"/>
              <w:bottom w:val="nil" w:sz="6" w:space="0" w:color="auto"/>
              <w:right w:val="single" w:sz="4" w:space="0" w:color="000000"/>
            </w:tcBorders>
            <w:shd w:val="clear" w:color="auto" w:fill="D3D3D3"/>
          </w:tcPr>
          <w:p>
            <w:pPr/>
          </w:p>
        </w:tc>
        <w:tc>
          <w:tcPr>
            <w:tcW w:w="763" w:type="dxa"/>
            <w:tcBorders>
              <w:top w:val="nil" w:sz="6" w:space="0" w:color="auto"/>
              <w:left w:val="single" w:sz="4" w:space="0" w:color="000000"/>
              <w:bottom w:val="nil" w:sz="6" w:space="0" w:color="auto"/>
              <w:right w:val="single" w:sz="4" w:space="0" w:color="000000"/>
            </w:tcBorders>
            <w:shd w:val="clear" w:color="auto" w:fill="D3D3D3"/>
          </w:tcPr>
          <w:p>
            <w:pPr/>
          </w:p>
        </w:tc>
      </w:tr>
      <w:tr>
        <w:trPr>
          <w:trHeight w:val="156" w:hRule="exact"/>
        </w:trPr>
        <w:tc>
          <w:tcPr>
            <w:tcW w:w="553" w:type="dxa"/>
            <w:tcBorders>
              <w:top w:val="nil" w:sz="6" w:space="0" w:color="auto"/>
              <w:left w:val="single" w:sz="4" w:space="0" w:color="000000"/>
              <w:bottom w:val="nil" w:sz="6" w:space="0" w:color="auto"/>
              <w:right w:val="single" w:sz="4" w:space="0" w:color="000000"/>
            </w:tcBorders>
            <w:shd w:val="clear" w:color="auto" w:fill="D3D3D3"/>
          </w:tcPr>
          <w:p>
            <w:pPr/>
          </w:p>
        </w:tc>
        <w:tc>
          <w:tcPr>
            <w:tcW w:w="862"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154" w:lineRule="exact"/>
              <w:ind w:left="50" w:right="0"/>
              <w:jc w:val="left"/>
              <w:rPr>
                <w:rFonts w:ascii="宋体" w:hAnsi="宋体" w:cs="宋体" w:eastAsia="宋体" w:hint="default"/>
                <w:sz w:val="15"/>
                <w:szCs w:val="15"/>
              </w:rPr>
            </w:pPr>
            <w:r>
              <w:rPr>
                <w:rFonts w:ascii="宋体" w:hAnsi="宋体" w:cs="宋体" w:eastAsia="宋体" w:hint="default"/>
                <w:sz w:val="15"/>
                <w:szCs w:val="15"/>
              </w:rPr>
              <w:t>被出售股权</w:t>
            </w:r>
          </w:p>
        </w:tc>
        <w:tc>
          <w:tcPr>
            <w:tcW w:w="680"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154" w:lineRule="exact"/>
              <w:ind w:right="0"/>
              <w:jc w:val="center"/>
              <w:rPr>
                <w:rFonts w:ascii="宋体" w:hAnsi="宋体" w:cs="宋体" w:eastAsia="宋体" w:hint="default"/>
                <w:sz w:val="15"/>
                <w:szCs w:val="15"/>
              </w:rPr>
            </w:pPr>
            <w:r>
              <w:rPr>
                <w:rFonts w:ascii="宋体" w:hAnsi="宋体" w:cs="宋体" w:eastAsia="宋体" w:hint="default"/>
                <w:sz w:val="15"/>
                <w:szCs w:val="15"/>
              </w:rPr>
              <w:t>出售日</w:t>
            </w:r>
          </w:p>
        </w:tc>
        <w:tc>
          <w:tcPr>
            <w:tcW w:w="708" w:type="dxa"/>
            <w:tcBorders>
              <w:top w:val="nil" w:sz="6" w:space="0" w:color="auto"/>
              <w:left w:val="single" w:sz="4" w:space="0" w:color="000000"/>
              <w:bottom w:val="nil" w:sz="6" w:space="0" w:color="auto"/>
              <w:right w:val="single" w:sz="4" w:space="0" w:color="000000"/>
            </w:tcBorders>
            <w:shd w:val="clear" w:color="auto" w:fill="D3D3D3"/>
          </w:tcPr>
          <w:p>
            <w:pPr/>
          </w:p>
        </w:tc>
        <w:tc>
          <w:tcPr>
            <w:tcW w:w="851"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152" w:lineRule="exact"/>
              <w:ind w:left="44" w:right="0"/>
              <w:jc w:val="left"/>
              <w:rPr>
                <w:rFonts w:ascii="宋体" w:hAnsi="宋体" w:cs="宋体" w:eastAsia="宋体" w:hint="default"/>
                <w:sz w:val="15"/>
                <w:szCs w:val="15"/>
              </w:rPr>
            </w:pPr>
            <w:r>
              <w:rPr>
                <w:rFonts w:ascii="宋体" w:hAnsi="宋体" w:cs="宋体" w:eastAsia="宋体" w:hint="default"/>
                <w:sz w:val="15"/>
                <w:szCs w:val="15"/>
              </w:rPr>
              <w:t>权为上市公</w:t>
            </w:r>
          </w:p>
        </w:tc>
        <w:tc>
          <w:tcPr>
            <w:tcW w:w="1266"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154" w:lineRule="exact"/>
              <w:ind w:left="27" w:right="0"/>
              <w:jc w:val="left"/>
              <w:rPr>
                <w:rFonts w:ascii="宋体" w:hAnsi="宋体" w:cs="宋体" w:eastAsia="宋体" w:hint="default"/>
                <w:sz w:val="15"/>
                <w:szCs w:val="15"/>
              </w:rPr>
            </w:pPr>
            <w:r>
              <w:rPr>
                <w:rFonts w:ascii="宋体" w:hAnsi="宋体" w:cs="宋体" w:eastAsia="宋体" w:hint="default"/>
                <w:sz w:val="15"/>
                <w:szCs w:val="15"/>
              </w:rPr>
              <w:t>出售对公司的影响</w:t>
            </w:r>
          </w:p>
        </w:tc>
        <w:tc>
          <w:tcPr>
            <w:tcW w:w="991" w:type="dxa"/>
            <w:tcBorders>
              <w:top w:val="nil" w:sz="6" w:space="0" w:color="auto"/>
              <w:left w:val="single" w:sz="4" w:space="0" w:color="000000"/>
              <w:bottom w:val="nil" w:sz="6" w:space="0" w:color="auto"/>
              <w:right w:val="single" w:sz="4" w:space="0" w:color="000000"/>
            </w:tcBorders>
            <w:shd w:val="clear" w:color="auto" w:fill="D3D3D3"/>
          </w:tcPr>
          <w:p>
            <w:pPr/>
          </w:p>
        </w:tc>
        <w:tc>
          <w:tcPr>
            <w:tcW w:w="720" w:type="dxa"/>
            <w:tcBorders>
              <w:top w:val="nil" w:sz="6" w:space="0" w:color="auto"/>
              <w:left w:val="single" w:sz="4" w:space="0" w:color="000000"/>
              <w:bottom w:val="nil" w:sz="6" w:space="0" w:color="auto"/>
              <w:right w:val="single" w:sz="4" w:space="0" w:color="000000"/>
            </w:tcBorders>
            <w:shd w:val="clear" w:color="auto" w:fill="D3D3D3"/>
          </w:tcPr>
          <w:p>
            <w:pPr/>
          </w:p>
        </w:tc>
        <w:tc>
          <w:tcPr>
            <w:tcW w:w="566"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152" w:lineRule="exact"/>
              <w:ind w:right="1"/>
              <w:jc w:val="center"/>
              <w:rPr>
                <w:rFonts w:ascii="宋体" w:hAnsi="宋体" w:cs="宋体" w:eastAsia="宋体" w:hint="default"/>
                <w:sz w:val="15"/>
                <w:szCs w:val="15"/>
              </w:rPr>
            </w:pPr>
            <w:r>
              <w:rPr>
                <w:rFonts w:ascii="宋体" w:hAnsi="宋体" w:cs="宋体" w:eastAsia="宋体" w:hint="default"/>
                <w:sz w:val="15"/>
                <w:szCs w:val="15"/>
              </w:rPr>
              <w:t>关联交</w:t>
            </w:r>
          </w:p>
        </w:tc>
        <w:tc>
          <w:tcPr>
            <w:tcW w:w="568" w:type="dxa"/>
            <w:tcBorders>
              <w:top w:val="nil" w:sz="6" w:space="0" w:color="auto"/>
              <w:left w:val="single" w:sz="4" w:space="0" w:color="000000"/>
              <w:bottom w:val="nil" w:sz="6" w:space="0" w:color="auto"/>
              <w:right w:val="single" w:sz="4" w:space="0" w:color="000000"/>
            </w:tcBorders>
            <w:shd w:val="clear" w:color="auto" w:fill="D3D3D3"/>
          </w:tcPr>
          <w:p>
            <w:pPr/>
          </w:p>
        </w:tc>
        <w:tc>
          <w:tcPr>
            <w:tcW w:w="793"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152" w:lineRule="exact"/>
              <w:ind w:right="0"/>
              <w:jc w:val="center"/>
              <w:rPr>
                <w:rFonts w:ascii="宋体" w:hAnsi="宋体" w:cs="宋体" w:eastAsia="宋体" w:hint="default"/>
                <w:sz w:val="15"/>
                <w:szCs w:val="15"/>
              </w:rPr>
            </w:pPr>
            <w:r>
              <w:rPr>
                <w:rFonts w:ascii="宋体" w:hAnsi="宋体" w:cs="宋体" w:eastAsia="宋体" w:hint="default"/>
                <w:sz w:val="15"/>
                <w:szCs w:val="15"/>
              </w:rPr>
              <w:t>权是否已全</w:t>
            </w:r>
          </w:p>
        </w:tc>
        <w:tc>
          <w:tcPr>
            <w:tcW w:w="1304" w:type="dxa"/>
            <w:tcBorders>
              <w:top w:val="nil" w:sz="6" w:space="0" w:color="auto"/>
              <w:left w:val="single" w:sz="4" w:space="0" w:color="000000"/>
              <w:bottom w:val="nil" w:sz="6" w:space="0" w:color="auto"/>
              <w:right w:val="single" w:sz="4" w:space="0" w:color="000000"/>
            </w:tcBorders>
            <w:shd w:val="clear" w:color="auto" w:fill="D3D3D3"/>
          </w:tcPr>
          <w:p>
            <w:pPr/>
          </w:p>
        </w:tc>
        <w:tc>
          <w:tcPr>
            <w:tcW w:w="649"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154" w:lineRule="exact"/>
              <w:ind w:right="1"/>
              <w:jc w:val="center"/>
              <w:rPr>
                <w:rFonts w:ascii="宋体" w:hAnsi="宋体" w:cs="宋体" w:eastAsia="宋体" w:hint="default"/>
                <w:sz w:val="15"/>
                <w:szCs w:val="15"/>
              </w:rPr>
            </w:pPr>
            <w:r>
              <w:rPr>
                <w:rFonts w:ascii="宋体" w:hAnsi="宋体" w:cs="宋体" w:eastAsia="宋体" w:hint="default"/>
                <w:sz w:val="15"/>
                <w:szCs w:val="15"/>
              </w:rPr>
              <w:t>披露日期</w:t>
            </w:r>
          </w:p>
        </w:tc>
        <w:tc>
          <w:tcPr>
            <w:tcW w:w="763"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154" w:lineRule="exact"/>
              <w:ind w:left="76" w:right="0"/>
              <w:jc w:val="left"/>
              <w:rPr>
                <w:rFonts w:ascii="宋体" w:hAnsi="宋体" w:cs="宋体" w:eastAsia="宋体" w:hint="default"/>
                <w:sz w:val="15"/>
                <w:szCs w:val="15"/>
              </w:rPr>
            </w:pPr>
            <w:r>
              <w:rPr>
                <w:rFonts w:ascii="宋体" w:hAnsi="宋体" w:cs="宋体" w:eastAsia="宋体" w:hint="default"/>
                <w:sz w:val="15"/>
                <w:szCs w:val="15"/>
              </w:rPr>
              <w:t>披露索引</w:t>
            </w:r>
          </w:p>
        </w:tc>
      </w:tr>
      <w:tr>
        <w:trPr>
          <w:trHeight w:val="313" w:hRule="exact"/>
        </w:trPr>
        <w:tc>
          <w:tcPr>
            <w:tcW w:w="553"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174" w:lineRule="exact"/>
              <w:ind w:left="1" w:right="0"/>
              <w:jc w:val="center"/>
              <w:rPr>
                <w:rFonts w:ascii="宋体" w:hAnsi="宋体" w:cs="宋体" w:eastAsia="宋体" w:hint="default"/>
                <w:sz w:val="15"/>
                <w:szCs w:val="15"/>
              </w:rPr>
            </w:pPr>
            <w:r>
              <w:rPr>
                <w:rFonts w:ascii="宋体" w:hAnsi="宋体" w:cs="宋体" w:eastAsia="宋体" w:hint="default"/>
                <w:sz w:val="15"/>
                <w:szCs w:val="15"/>
              </w:rPr>
              <w:t>对方</w:t>
            </w:r>
          </w:p>
        </w:tc>
        <w:tc>
          <w:tcPr>
            <w:tcW w:w="862" w:type="dxa"/>
            <w:tcBorders>
              <w:top w:val="nil" w:sz="6" w:space="0" w:color="auto"/>
              <w:left w:val="single" w:sz="4" w:space="0" w:color="000000"/>
              <w:bottom w:val="nil" w:sz="6" w:space="0" w:color="auto"/>
              <w:right w:val="single" w:sz="4" w:space="0" w:color="000000"/>
            </w:tcBorders>
            <w:shd w:val="clear" w:color="auto" w:fill="D3D3D3"/>
          </w:tcPr>
          <w:p>
            <w:pPr/>
          </w:p>
        </w:tc>
        <w:tc>
          <w:tcPr>
            <w:tcW w:w="680" w:type="dxa"/>
            <w:tcBorders>
              <w:top w:val="nil" w:sz="6" w:space="0" w:color="auto"/>
              <w:left w:val="single" w:sz="4" w:space="0" w:color="000000"/>
              <w:bottom w:val="nil" w:sz="6" w:space="0" w:color="auto"/>
              <w:right w:val="single" w:sz="4" w:space="0" w:color="000000"/>
            </w:tcBorders>
            <w:shd w:val="clear" w:color="auto" w:fill="D3D3D3"/>
          </w:tcPr>
          <w:p>
            <w:pPr/>
          </w:p>
        </w:tc>
        <w:tc>
          <w:tcPr>
            <w:tcW w:w="708"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154" w:lineRule="exact"/>
              <w:ind w:right="47"/>
              <w:jc w:val="right"/>
              <w:rPr>
                <w:rFonts w:ascii="宋体" w:hAnsi="宋体" w:cs="宋体" w:eastAsia="宋体" w:hint="default"/>
                <w:sz w:val="15"/>
                <w:szCs w:val="15"/>
              </w:rPr>
            </w:pPr>
            <w:r>
              <w:rPr>
                <w:rFonts w:ascii="宋体" w:hAnsi="宋体" w:cs="宋体" w:eastAsia="宋体" w:hint="default"/>
                <w:sz w:val="15"/>
                <w:szCs w:val="15"/>
              </w:rPr>
              <w:t>（万元）</w:t>
            </w:r>
          </w:p>
        </w:tc>
        <w:tc>
          <w:tcPr>
            <w:tcW w:w="851"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112"/>
              <w:ind w:left="44" w:right="0"/>
              <w:jc w:val="left"/>
              <w:rPr>
                <w:rFonts w:ascii="宋体" w:hAnsi="宋体" w:cs="宋体" w:eastAsia="宋体" w:hint="default"/>
                <w:sz w:val="15"/>
                <w:szCs w:val="15"/>
              </w:rPr>
            </w:pPr>
            <w:r>
              <w:rPr>
                <w:rFonts w:ascii="宋体" w:hAnsi="宋体" w:cs="宋体" w:eastAsia="宋体" w:hint="default"/>
                <w:sz w:val="15"/>
                <w:szCs w:val="15"/>
              </w:rPr>
              <w:t>司贡献的净</w:t>
            </w:r>
          </w:p>
        </w:tc>
        <w:tc>
          <w:tcPr>
            <w:tcW w:w="1266" w:type="dxa"/>
            <w:tcBorders>
              <w:top w:val="nil" w:sz="6" w:space="0" w:color="auto"/>
              <w:left w:val="single" w:sz="4" w:space="0" w:color="000000"/>
              <w:bottom w:val="nil" w:sz="6" w:space="0" w:color="auto"/>
              <w:right w:val="single" w:sz="4" w:space="0" w:color="000000"/>
            </w:tcBorders>
            <w:shd w:val="clear" w:color="auto" w:fill="D3D3D3"/>
          </w:tcPr>
          <w:p>
            <w:pPr/>
          </w:p>
        </w:tc>
        <w:tc>
          <w:tcPr>
            <w:tcW w:w="991"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152" w:lineRule="exact"/>
              <w:ind w:right="0"/>
              <w:jc w:val="center"/>
              <w:rPr>
                <w:rFonts w:ascii="宋体" w:hAnsi="宋体" w:cs="宋体" w:eastAsia="宋体" w:hint="default"/>
                <w:sz w:val="15"/>
                <w:szCs w:val="15"/>
              </w:rPr>
            </w:pPr>
            <w:r>
              <w:rPr>
                <w:rFonts w:ascii="宋体" w:hAnsi="宋体" w:cs="宋体" w:eastAsia="宋体" w:hint="default"/>
                <w:sz w:val="15"/>
                <w:szCs w:val="15"/>
              </w:rPr>
              <w:t>净利润占净利</w:t>
            </w:r>
          </w:p>
        </w:tc>
        <w:tc>
          <w:tcPr>
            <w:tcW w:w="720"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154" w:lineRule="exact"/>
              <w:ind w:right="53"/>
              <w:jc w:val="right"/>
              <w:rPr>
                <w:rFonts w:ascii="宋体" w:hAnsi="宋体" w:cs="宋体" w:eastAsia="宋体" w:hint="default"/>
                <w:sz w:val="15"/>
                <w:szCs w:val="15"/>
              </w:rPr>
            </w:pPr>
            <w:r>
              <w:rPr>
                <w:rFonts w:ascii="宋体" w:hAnsi="宋体" w:cs="宋体" w:eastAsia="宋体" w:hint="default"/>
                <w:sz w:val="15"/>
                <w:szCs w:val="15"/>
              </w:rPr>
              <w:t>定价原则</w:t>
            </w:r>
          </w:p>
        </w:tc>
        <w:tc>
          <w:tcPr>
            <w:tcW w:w="566"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113"/>
              <w:ind w:right="1"/>
              <w:jc w:val="center"/>
              <w:rPr>
                <w:rFonts w:ascii="宋体" w:hAnsi="宋体" w:cs="宋体" w:eastAsia="宋体" w:hint="default"/>
                <w:sz w:val="15"/>
                <w:szCs w:val="15"/>
              </w:rPr>
            </w:pPr>
            <w:r>
              <w:rPr>
                <w:rFonts w:ascii="宋体" w:hAnsi="宋体" w:cs="宋体" w:eastAsia="宋体" w:hint="default"/>
                <w:sz w:val="15"/>
                <w:szCs w:val="15"/>
              </w:rPr>
              <w:t>易</w:t>
            </w:r>
          </w:p>
        </w:tc>
        <w:tc>
          <w:tcPr>
            <w:tcW w:w="568"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152" w:lineRule="exact"/>
              <w:ind w:right="0"/>
              <w:jc w:val="center"/>
              <w:rPr>
                <w:rFonts w:ascii="宋体" w:hAnsi="宋体" w:cs="宋体" w:eastAsia="宋体" w:hint="default"/>
                <w:sz w:val="15"/>
                <w:szCs w:val="15"/>
              </w:rPr>
            </w:pPr>
            <w:r>
              <w:rPr>
                <w:rFonts w:ascii="宋体" w:hAnsi="宋体" w:cs="宋体" w:eastAsia="宋体" w:hint="default"/>
                <w:sz w:val="15"/>
                <w:szCs w:val="15"/>
              </w:rPr>
              <w:t>关联关</w:t>
            </w:r>
          </w:p>
        </w:tc>
        <w:tc>
          <w:tcPr>
            <w:tcW w:w="793"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113"/>
              <w:ind w:right="0"/>
              <w:jc w:val="center"/>
              <w:rPr>
                <w:rFonts w:ascii="宋体" w:hAnsi="宋体" w:cs="宋体" w:eastAsia="宋体" w:hint="default"/>
                <w:sz w:val="15"/>
                <w:szCs w:val="15"/>
              </w:rPr>
            </w:pPr>
            <w:r>
              <w:rPr>
                <w:rFonts w:ascii="宋体" w:hAnsi="宋体" w:cs="宋体" w:eastAsia="宋体" w:hint="default"/>
                <w:sz w:val="15"/>
                <w:szCs w:val="15"/>
              </w:rPr>
              <w:t>部过户</w:t>
            </w:r>
          </w:p>
        </w:tc>
        <w:tc>
          <w:tcPr>
            <w:tcW w:w="1304"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152" w:lineRule="exact"/>
              <w:ind w:left="-1" w:right="1"/>
              <w:jc w:val="center"/>
              <w:rPr>
                <w:rFonts w:ascii="宋体" w:hAnsi="宋体" w:cs="宋体" w:eastAsia="宋体" w:hint="default"/>
                <w:sz w:val="15"/>
                <w:szCs w:val="15"/>
              </w:rPr>
            </w:pPr>
            <w:r>
              <w:rPr>
                <w:rFonts w:ascii="宋体" w:hAnsi="宋体" w:cs="宋体" w:eastAsia="宋体" w:hint="default"/>
                <w:spacing w:val="-7"/>
                <w:sz w:val="15"/>
                <w:szCs w:val="15"/>
              </w:rPr>
              <w:t>施，应当说明原因及</w:t>
            </w:r>
          </w:p>
        </w:tc>
        <w:tc>
          <w:tcPr>
            <w:tcW w:w="649" w:type="dxa"/>
            <w:tcBorders>
              <w:top w:val="nil" w:sz="6" w:space="0" w:color="auto"/>
              <w:left w:val="single" w:sz="4" w:space="0" w:color="000000"/>
              <w:bottom w:val="nil" w:sz="6" w:space="0" w:color="auto"/>
              <w:right w:val="single" w:sz="4" w:space="0" w:color="000000"/>
            </w:tcBorders>
            <w:shd w:val="clear" w:color="auto" w:fill="D3D3D3"/>
          </w:tcPr>
          <w:p>
            <w:pPr/>
          </w:p>
        </w:tc>
        <w:tc>
          <w:tcPr>
            <w:tcW w:w="763" w:type="dxa"/>
            <w:tcBorders>
              <w:top w:val="nil" w:sz="6" w:space="0" w:color="auto"/>
              <w:left w:val="single" w:sz="4" w:space="0" w:color="000000"/>
              <w:bottom w:val="nil" w:sz="6" w:space="0" w:color="auto"/>
              <w:right w:val="single" w:sz="4" w:space="0" w:color="000000"/>
            </w:tcBorders>
            <w:shd w:val="clear" w:color="auto" w:fill="D3D3D3"/>
          </w:tcPr>
          <w:p>
            <w:pPr/>
          </w:p>
        </w:tc>
      </w:tr>
      <w:tr>
        <w:trPr>
          <w:trHeight w:val="436" w:hRule="exact"/>
        </w:trPr>
        <w:tc>
          <w:tcPr>
            <w:tcW w:w="553" w:type="dxa"/>
            <w:tcBorders>
              <w:top w:val="nil" w:sz="6" w:space="0" w:color="auto"/>
              <w:left w:val="single" w:sz="4" w:space="0" w:color="000000"/>
              <w:bottom w:val="single" w:sz="4" w:space="0" w:color="000000"/>
              <w:right w:val="single" w:sz="4" w:space="0" w:color="000000"/>
            </w:tcBorders>
            <w:shd w:val="clear" w:color="auto" w:fill="D3D3D3"/>
          </w:tcPr>
          <w:p>
            <w:pPr/>
          </w:p>
        </w:tc>
        <w:tc>
          <w:tcPr>
            <w:tcW w:w="862" w:type="dxa"/>
            <w:tcBorders>
              <w:top w:val="nil" w:sz="6" w:space="0" w:color="auto"/>
              <w:left w:val="single" w:sz="4" w:space="0" w:color="000000"/>
              <w:bottom w:val="single" w:sz="4" w:space="0" w:color="000000"/>
              <w:right w:val="single" w:sz="4" w:space="0" w:color="000000"/>
            </w:tcBorders>
            <w:shd w:val="clear" w:color="auto" w:fill="D3D3D3"/>
          </w:tcPr>
          <w:p>
            <w:pPr/>
          </w:p>
        </w:tc>
        <w:tc>
          <w:tcPr>
            <w:tcW w:w="680" w:type="dxa"/>
            <w:tcBorders>
              <w:top w:val="nil" w:sz="6" w:space="0" w:color="auto"/>
              <w:left w:val="single" w:sz="4" w:space="0" w:color="000000"/>
              <w:bottom w:val="single" w:sz="4" w:space="0" w:color="000000"/>
              <w:right w:val="single" w:sz="4" w:space="0" w:color="000000"/>
            </w:tcBorders>
            <w:shd w:val="clear" w:color="auto" w:fill="D3D3D3"/>
          </w:tcPr>
          <w:p>
            <w:pPr/>
          </w:p>
        </w:tc>
        <w:tc>
          <w:tcPr>
            <w:tcW w:w="708" w:type="dxa"/>
            <w:tcBorders>
              <w:top w:val="nil" w:sz="6" w:space="0" w:color="auto"/>
              <w:left w:val="single" w:sz="4" w:space="0" w:color="000000"/>
              <w:bottom w:val="single" w:sz="4" w:space="0" w:color="000000"/>
              <w:right w:val="single" w:sz="4" w:space="0" w:color="000000"/>
            </w:tcBorders>
            <w:shd w:val="clear" w:color="auto" w:fill="D3D3D3"/>
          </w:tcPr>
          <w:p>
            <w:pPr/>
          </w:p>
        </w:tc>
        <w:tc>
          <w:tcPr>
            <w:tcW w:w="851" w:type="dxa"/>
            <w:tcBorders>
              <w:top w:val="nil" w:sz="6" w:space="0" w:color="auto"/>
              <w:left w:val="single" w:sz="4" w:space="0" w:color="000000"/>
              <w:bottom w:val="single" w:sz="4" w:space="0" w:color="000000"/>
              <w:right w:val="single" w:sz="4" w:space="0" w:color="000000"/>
            </w:tcBorders>
            <w:shd w:val="clear" w:color="auto" w:fill="D3D3D3"/>
          </w:tcPr>
          <w:p>
            <w:pPr/>
          </w:p>
        </w:tc>
        <w:tc>
          <w:tcPr>
            <w:tcW w:w="1266" w:type="dxa"/>
            <w:tcBorders>
              <w:top w:val="nil" w:sz="6" w:space="0" w:color="auto"/>
              <w:left w:val="single" w:sz="4" w:space="0" w:color="000000"/>
              <w:bottom w:val="single" w:sz="4" w:space="0" w:color="000000"/>
              <w:right w:val="single" w:sz="4" w:space="0" w:color="000000"/>
            </w:tcBorders>
            <w:shd w:val="clear" w:color="auto" w:fill="D3D3D3"/>
          </w:tcPr>
          <w:p>
            <w:pPr/>
          </w:p>
        </w:tc>
        <w:tc>
          <w:tcPr>
            <w:tcW w:w="991" w:type="dxa"/>
            <w:tcBorders>
              <w:top w:val="nil" w:sz="6" w:space="0" w:color="auto"/>
              <w:left w:val="single" w:sz="4" w:space="0" w:color="000000"/>
              <w:bottom w:val="single" w:sz="4" w:space="0" w:color="000000"/>
              <w:right w:val="single" w:sz="4" w:space="0" w:color="000000"/>
            </w:tcBorders>
            <w:shd w:val="clear" w:color="auto" w:fill="D3D3D3"/>
          </w:tcPr>
          <w:p>
            <w:pPr>
              <w:pStyle w:val="TableParagraph"/>
              <w:spacing w:line="153" w:lineRule="exact"/>
              <w:ind w:right="0"/>
              <w:jc w:val="center"/>
              <w:rPr>
                <w:rFonts w:ascii="宋体" w:hAnsi="宋体" w:cs="宋体" w:eastAsia="宋体" w:hint="default"/>
                <w:sz w:val="15"/>
                <w:szCs w:val="15"/>
              </w:rPr>
            </w:pPr>
            <w:r>
              <w:rPr>
                <w:rFonts w:ascii="宋体" w:hAnsi="宋体" w:cs="宋体" w:eastAsia="宋体" w:hint="default"/>
                <w:sz w:val="15"/>
                <w:szCs w:val="15"/>
              </w:rPr>
              <w:t>润总额的比例</w:t>
            </w:r>
          </w:p>
        </w:tc>
        <w:tc>
          <w:tcPr>
            <w:tcW w:w="720" w:type="dxa"/>
            <w:tcBorders>
              <w:top w:val="nil" w:sz="6" w:space="0" w:color="auto"/>
              <w:left w:val="single" w:sz="4" w:space="0" w:color="000000"/>
              <w:bottom w:val="single" w:sz="4" w:space="0" w:color="000000"/>
              <w:right w:val="single" w:sz="4" w:space="0" w:color="000000"/>
            </w:tcBorders>
            <w:shd w:val="clear" w:color="auto" w:fill="D3D3D3"/>
          </w:tcPr>
          <w:p>
            <w:pPr/>
          </w:p>
        </w:tc>
        <w:tc>
          <w:tcPr>
            <w:tcW w:w="566" w:type="dxa"/>
            <w:tcBorders>
              <w:top w:val="nil" w:sz="6" w:space="0" w:color="auto"/>
              <w:left w:val="single" w:sz="4" w:space="0" w:color="000000"/>
              <w:bottom w:val="single" w:sz="4" w:space="0" w:color="000000"/>
              <w:right w:val="single" w:sz="4" w:space="0" w:color="000000"/>
            </w:tcBorders>
            <w:shd w:val="clear" w:color="auto" w:fill="D3D3D3"/>
          </w:tcPr>
          <w:p>
            <w:pPr/>
          </w:p>
        </w:tc>
        <w:tc>
          <w:tcPr>
            <w:tcW w:w="568" w:type="dxa"/>
            <w:tcBorders>
              <w:top w:val="nil" w:sz="6" w:space="0" w:color="auto"/>
              <w:left w:val="single" w:sz="4" w:space="0" w:color="000000"/>
              <w:bottom w:val="single" w:sz="4" w:space="0" w:color="000000"/>
              <w:right w:val="single" w:sz="4" w:space="0" w:color="000000"/>
            </w:tcBorders>
            <w:shd w:val="clear" w:color="auto" w:fill="D3D3D3"/>
          </w:tcPr>
          <w:p>
            <w:pPr>
              <w:pStyle w:val="TableParagraph"/>
              <w:spacing w:line="153" w:lineRule="exact"/>
              <w:ind w:right="0"/>
              <w:jc w:val="center"/>
              <w:rPr>
                <w:rFonts w:ascii="宋体" w:hAnsi="宋体" w:cs="宋体" w:eastAsia="宋体" w:hint="default"/>
                <w:sz w:val="15"/>
                <w:szCs w:val="15"/>
              </w:rPr>
            </w:pPr>
            <w:r>
              <w:rPr>
                <w:rFonts w:ascii="宋体" w:hAnsi="宋体" w:cs="宋体" w:eastAsia="宋体" w:hint="default"/>
                <w:sz w:val="15"/>
                <w:szCs w:val="15"/>
              </w:rPr>
              <w:t>系</w:t>
            </w:r>
          </w:p>
        </w:tc>
        <w:tc>
          <w:tcPr>
            <w:tcW w:w="793" w:type="dxa"/>
            <w:tcBorders>
              <w:top w:val="nil" w:sz="6" w:space="0" w:color="auto"/>
              <w:left w:val="single" w:sz="4" w:space="0" w:color="000000"/>
              <w:bottom w:val="single" w:sz="4" w:space="0" w:color="000000"/>
              <w:right w:val="single" w:sz="4" w:space="0" w:color="000000"/>
            </w:tcBorders>
            <w:shd w:val="clear" w:color="auto" w:fill="D3D3D3"/>
          </w:tcPr>
          <w:p>
            <w:pPr/>
          </w:p>
        </w:tc>
        <w:tc>
          <w:tcPr>
            <w:tcW w:w="1304" w:type="dxa"/>
            <w:tcBorders>
              <w:top w:val="nil" w:sz="6" w:space="0" w:color="auto"/>
              <w:left w:val="single" w:sz="4" w:space="0" w:color="000000"/>
              <w:bottom w:val="single" w:sz="4" w:space="0" w:color="000000"/>
              <w:right w:val="single" w:sz="4" w:space="0" w:color="000000"/>
            </w:tcBorders>
            <w:shd w:val="clear" w:color="auto" w:fill="D3D3D3"/>
          </w:tcPr>
          <w:p>
            <w:pPr>
              <w:pStyle w:val="TableParagraph"/>
              <w:spacing w:line="153" w:lineRule="exact"/>
              <w:ind w:right="1"/>
              <w:jc w:val="center"/>
              <w:rPr>
                <w:rFonts w:ascii="宋体" w:hAnsi="宋体" w:cs="宋体" w:eastAsia="宋体" w:hint="default"/>
                <w:sz w:val="15"/>
                <w:szCs w:val="15"/>
              </w:rPr>
            </w:pPr>
            <w:r>
              <w:rPr>
                <w:rFonts w:ascii="宋体" w:hAnsi="宋体" w:cs="宋体" w:eastAsia="宋体" w:hint="default"/>
                <w:sz w:val="15"/>
                <w:szCs w:val="15"/>
              </w:rPr>
              <w:t>公司已采取的措施</w:t>
            </w:r>
          </w:p>
        </w:tc>
        <w:tc>
          <w:tcPr>
            <w:tcW w:w="649" w:type="dxa"/>
            <w:tcBorders>
              <w:top w:val="nil" w:sz="6" w:space="0" w:color="auto"/>
              <w:left w:val="single" w:sz="4" w:space="0" w:color="000000"/>
              <w:bottom w:val="single" w:sz="4" w:space="0" w:color="000000"/>
              <w:right w:val="single" w:sz="4" w:space="0" w:color="000000"/>
            </w:tcBorders>
            <w:shd w:val="clear" w:color="auto" w:fill="D3D3D3"/>
          </w:tcPr>
          <w:p>
            <w:pPr/>
          </w:p>
        </w:tc>
        <w:tc>
          <w:tcPr>
            <w:tcW w:w="763" w:type="dxa"/>
            <w:tcBorders>
              <w:top w:val="nil" w:sz="6" w:space="0" w:color="auto"/>
              <w:left w:val="single" w:sz="4" w:space="0" w:color="000000"/>
              <w:bottom w:val="single" w:sz="4" w:space="0" w:color="000000"/>
              <w:right w:val="single" w:sz="4" w:space="0" w:color="000000"/>
            </w:tcBorders>
            <w:shd w:val="clear" w:color="auto" w:fill="D3D3D3"/>
          </w:tcPr>
          <w:p>
            <w:pPr/>
          </w:p>
        </w:tc>
      </w:tr>
      <w:tr>
        <w:trPr>
          <w:trHeight w:val="360" w:hRule="exact"/>
        </w:trPr>
        <w:tc>
          <w:tcPr>
            <w:tcW w:w="553" w:type="dxa"/>
            <w:tcBorders>
              <w:top w:val="single" w:sz="4" w:space="0" w:color="000000"/>
              <w:left w:val="single" w:sz="4" w:space="0" w:color="000000"/>
              <w:bottom w:val="nil" w:sz="6" w:space="0" w:color="auto"/>
              <w:right w:val="single" w:sz="4" w:space="0" w:color="000000"/>
            </w:tcBorders>
          </w:tcPr>
          <w:p>
            <w:pPr/>
          </w:p>
        </w:tc>
        <w:tc>
          <w:tcPr>
            <w:tcW w:w="86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4"/>
              <w:ind w:left="50" w:right="0"/>
              <w:jc w:val="left"/>
              <w:rPr>
                <w:rFonts w:ascii="宋体" w:hAnsi="宋体" w:cs="宋体" w:eastAsia="宋体" w:hint="default"/>
                <w:sz w:val="15"/>
                <w:szCs w:val="15"/>
              </w:rPr>
            </w:pPr>
            <w:r>
              <w:rPr>
                <w:rFonts w:ascii="宋体" w:hAnsi="宋体" w:cs="宋体" w:eastAsia="宋体" w:hint="default"/>
                <w:sz w:val="15"/>
                <w:szCs w:val="15"/>
              </w:rPr>
              <w:t>深圳市湘计</w:t>
            </w:r>
          </w:p>
        </w:tc>
        <w:tc>
          <w:tcPr>
            <w:tcW w:w="680"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851" w:type="dxa"/>
            <w:tcBorders>
              <w:top w:val="single" w:sz="4" w:space="0" w:color="000000"/>
              <w:left w:val="single" w:sz="4" w:space="0" w:color="000000"/>
              <w:bottom w:val="nil" w:sz="6" w:space="0" w:color="auto"/>
              <w:right w:val="single" w:sz="4" w:space="0" w:color="000000"/>
            </w:tcBorders>
          </w:tcPr>
          <w:p>
            <w:pPr/>
          </w:p>
        </w:tc>
        <w:tc>
          <w:tcPr>
            <w:tcW w:w="126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4"/>
              <w:ind w:left="-1" w:right="-1"/>
              <w:jc w:val="left"/>
              <w:rPr>
                <w:rFonts w:ascii="宋体" w:hAnsi="宋体" w:cs="宋体" w:eastAsia="宋体" w:hint="default"/>
                <w:sz w:val="15"/>
                <w:szCs w:val="15"/>
              </w:rPr>
            </w:pPr>
            <w:r>
              <w:rPr>
                <w:rFonts w:ascii="宋体" w:hAnsi="宋体" w:cs="宋体" w:eastAsia="宋体" w:hint="default"/>
                <w:sz w:val="15"/>
                <w:szCs w:val="15"/>
              </w:rPr>
              <w:t>对公司</w:t>
            </w:r>
            <w:r>
              <w:rPr>
                <w:rFonts w:ascii="宋体" w:hAnsi="宋体" w:cs="宋体" w:eastAsia="宋体" w:hint="default"/>
                <w:spacing w:val="-49"/>
                <w:sz w:val="15"/>
                <w:szCs w:val="15"/>
              </w:rPr>
              <w:t> </w:t>
            </w:r>
            <w:r>
              <w:rPr>
                <w:rFonts w:ascii="Times New Roman" w:hAnsi="Times New Roman" w:cs="Times New Roman" w:eastAsia="Times New Roman" w:hint="default"/>
                <w:sz w:val="15"/>
                <w:szCs w:val="15"/>
              </w:rPr>
              <w:t>2018</w:t>
            </w:r>
            <w:r>
              <w:rPr>
                <w:rFonts w:ascii="Times New Roman" w:hAnsi="Times New Roman" w:cs="Times New Roman" w:eastAsia="Times New Roman" w:hint="default"/>
                <w:spacing w:val="-11"/>
                <w:sz w:val="15"/>
                <w:szCs w:val="15"/>
              </w:rPr>
              <w:t> </w:t>
            </w:r>
            <w:r>
              <w:rPr>
                <w:rFonts w:ascii="宋体" w:hAnsi="宋体" w:cs="宋体" w:eastAsia="宋体" w:hint="default"/>
                <w:sz w:val="15"/>
                <w:szCs w:val="15"/>
              </w:rPr>
              <w:t>年度财</w:t>
            </w:r>
          </w:p>
        </w:tc>
        <w:tc>
          <w:tcPr>
            <w:tcW w:w="991" w:type="dxa"/>
            <w:tcBorders>
              <w:top w:val="single" w:sz="4" w:space="0" w:color="000000"/>
              <w:left w:val="single" w:sz="4" w:space="0" w:color="000000"/>
              <w:bottom w:val="nil" w:sz="6" w:space="0" w:color="auto"/>
              <w:right w:val="single" w:sz="4" w:space="0" w:color="000000"/>
            </w:tcBorders>
          </w:tcPr>
          <w:p>
            <w:pPr/>
          </w:p>
        </w:tc>
        <w:tc>
          <w:tcPr>
            <w:tcW w:w="720" w:type="dxa"/>
            <w:tcBorders>
              <w:top w:val="single" w:sz="4" w:space="0" w:color="000000"/>
              <w:left w:val="single" w:sz="4" w:space="0" w:color="000000"/>
              <w:bottom w:val="nil" w:sz="6" w:space="0" w:color="auto"/>
              <w:right w:val="single" w:sz="4" w:space="0" w:color="000000"/>
            </w:tcBorders>
          </w:tcPr>
          <w:p>
            <w:pPr/>
          </w:p>
        </w:tc>
        <w:tc>
          <w:tcPr>
            <w:tcW w:w="56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176" w:lineRule="exact"/>
              <w:ind w:left="-119" w:right="0"/>
              <w:jc w:val="left"/>
              <w:rPr>
                <w:rFonts w:ascii="宋体" w:hAnsi="宋体" w:cs="宋体" w:eastAsia="宋体" w:hint="default"/>
                <w:sz w:val="15"/>
                <w:szCs w:val="15"/>
              </w:rPr>
            </w:pPr>
            <w:r>
              <w:rPr>
                <w:rFonts w:ascii="宋体" w:hAnsi="宋体" w:cs="宋体" w:eastAsia="宋体" w:hint="default"/>
                <w:sz w:val="15"/>
                <w:szCs w:val="15"/>
              </w:rPr>
              <w:t>，</w:t>
            </w:r>
          </w:p>
          <w:p>
            <w:pPr>
              <w:pStyle w:val="TableParagraph"/>
              <w:spacing w:line="176" w:lineRule="exact"/>
              <w:ind w:right="1"/>
              <w:jc w:val="center"/>
              <w:rPr>
                <w:rFonts w:ascii="宋体" w:hAnsi="宋体" w:cs="宋体" w:eastAsia="宋体" w:hint="default"/>
                <w:sz w:val="15"/>
                <w:szCs w:val="15"/>
              </w:rPr>
            </w:pPr>
            <w:r>
              <w:rPr>
                <w:rFonts w:ascii="宋体" w:hAnsi="宋体" w:cs="宋体" w:eastAsia="宋体" w:hint="default"/>
                <w:sz w:val="15"/>
                <w:szCs w:val="15"/>
              </w:rPr>
              <w:t>否</w:t>
            </w:r>
          </w:p>
        </w:tc>
        <w:tc>
          <w:tcPr>
            <w:tcW w:w="568" w:type="dxa"/>
            <w:tcBorders>
              <w:top w:val="single" w:sz="4" w:space="0" w:color="000000"/>
              <w:left w:val="single" w:sz="4" w:space="0" w:color="000000"/>
              <w:bottom w:val="nil" w:sz="6" w:space="0" w:color="auto"/>
              <w:right w:val="single" w:sz="4" w:space="0" w:color="000000"/>
            </w:tcBorders>
          </w:tcPr>
          <w:p>
            <w:pPr/>
          </w:p>
        </w:tc>
        <w:tc>
          <w:tcPr>
            <w:tcW w:w="793" w:type="dxa"/>
            <w:tcBorders>
              <w:top w:val="single" w:sz="4" w:space="0" w:color="000000"/>
              <w:left w:val="single" w:sz="4" w:space="0" w:color="000000"/>
              <w:bottom w:val="nil" w:sz="6" w:space="0" w:color="auto"/>
              <w:right w:val="single" w:sz="4" w:space="0" w:color="000000"/>
            </w:tcBorders>
          </w:tcPr>
          <w:p>
            <w:pPr/>
          </w:p>
        </w:tc>
        <w:tc>
          <w:tcPr>
            <w:tcW w:w="1304" w:type="dxa"/>
            <w:tcBorders>
              <w:top w:val="single" w:sz="4" w:space="0" w:color="000000"/>
              <w:left w:val="single" w:sz="4" w:space="0" w:color="000000"/>
              <w:bottom w:val="nil" w:sz="6" w:space="0" w:color="auto"/>
              <w:right w:val="single" w:sz="4" w:space="0" w:color="000000"/>
            </w:tcBorders>
          </w:tcPr>
          <w:p>
            <w:pPr/>
          </w:p>
        </w:tc>
        <w:tc>
          <w:tcPr>
            <w:tcW w:w="649" w:type="dxa"/>
            <w:tcBorders>
              <w:top w:val="single" w:sz="4" w:space="0" w:color="000000"/>
              <w:left w:val="single" w:sz="4" w:space="0" w:color="000000"/>
              <w:bottom w:val="nil" w:sz="6" w:space="0" w:color="auto"/>
              <w:right w:val="single" w:sz="4" w:space="0" w:color="000000"/>
            </w:tcBorders>
          </w:tcPr>
          <w:p>
            <w:pPr/>
          </w:p>
        </w:tc>
        <w:tc>
          <w:tcPr>
            <w:tcW w:w="763" w:type="dxa"/>
            <w:tcBorders>
              <w:top w:val="single" w:sz="4" w:space="0" w:color="000000"/>
              <w:left w:val="single" w:sz="4" w:space="0" w:color="000000"/>
              <w:bottom w:val="nil" w:sz="6" w:space="0" w:color="auto"/>
              <w:right w:val="single" w:sz="4" w:space="0" w:color="000000"/>
            </w:tcBorders>
          </w:tcPr>
          <w:p>
            <w:pPr/>
          </w:p>
        </w:tc>
      </w:tr>
      <w:tr>
        <w:trPr>
          <w:trHeight w:val="235" w:hRule="exact"/>
        </w:trPr>
        <w:tc>
          <w:tcPr>
            <w:tcW w:w="553" w:type="dxa"/>
            <w:tcBorders>
              <w:top w:val="nil" w:sz="6" w:space="0" w:color="auto"/>
              <w:left w:val="single" w:sz="4" w:space="0" w:color="000000"/>
              <w:bottom w:val="nil" w:sz="6" w:space="0" w:color="auto"/>
              <w:right w:val="single" w:sz="4" w:space="0" w:color="000000"/>
            </w:tcBorders>
          </w:tcPr>
          <w:p>
            <w:pPr/>
          </w:p>
        </w:tc>
        <w:tc>
          <w:tcPr>
            <w:tcW w:w="862" w:type="dxa"/>
            <w:tcBorders>
              <w:top w:val="nil" w:sz="6" w:space="0" w:color="auto"/>
              <w:left w:val="single" w:sz="4" w:space="0" w:color="000000"/>
              <w:bottom w:val="nil" w:sz="6" w:space="0" w:color="auto"/>
              <w:right w:val="single" w:sz="4" w:space="0" w:color="000000"/>
            </w:tcBorders>
          </w:tcPr>
          <w:p>
            <w:pPr>
              <w:pStyle w:val="TableParagraph"/>
              <w:spacing w:line="240" w:lineRule="auto" w:before="30"/>
              <w:ind w:left="50" w:right="0"/>
              <w:jc w:val="left"/>
              <w:rPr>
                <w:rFonts w:ascii="宋体" w:hAnsi="宋体" w:cs="宋体" w:eastAsia="宋体" w:hint="default"/>
                <w:sz w:val="15"/>
                <w:szCs w:val="15"/>
              </w:rPr>
            </w:pPr>
            <w:r>
              <w:rPr>
                <w:rFonts w:ascii="宋体" w:hAnsi="宋体" w:cs="宋体" w:eastAsia="宋体" w:hint="default"/>
                <w:sz w:val="15"/>
                <w:szCs w:val="15"/>
              </w:rPr>
              <w:t>长岛电脑设</w:t>
            </w:r>
          </w:p>
        </w:tc>
        <w:tc>
          <w:tcPr>
            <w:tcW w:w="680"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 w:right="1"/>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2018 </w:t>
            </w:r>
            <w:r>
              <w:rPr>
                <w:rFonts w:ascii="宋体" w:hAnsi="宋体" w:cs="宋体" w:eastAsia="宋体" w:hint="default"/>
                <w:sz w:val="15"/>
                <w:szCs w:val="15"/>
              </w:rPr>
              <w:t>年</w:t>
            </w:r>
            <w:r>
              <w:rPr>
                <w:rFonts w:ascii="宋体" w:hAnsi="宋体" w:cs="宋体" w:eastAsia="宋体" w:hint="default"/>
                <w:spacing w:val="-47"/>
                <w:sz w:val="15"/>
                <w:szCs w:val="15"/>
              </w:rPr>
              <w:t> </w:t>
            </w:r>
            <w:r>
              <w:rPr>
                <w:rFonts w:ascii="Times New Roman" w:hAnsi="Times New Roman" w:cs="Times New Roman" w:eastAsia="Times New Roman" w:hint="default"/>
                <w:sz w:val="15"/>
                <w:szCs w:val="15"/>
              </w:rPr>
              <w:t>03</w:t>
            </w:r>
          </w:p>
        </w:tc>
        <w:tc>
          <w:tcPr>
            <w:tcW w:w="708" w:type="dxa"/>
            <w:tcBorders>
              <w:top w:val="nil" w:sz="6" w:space="0" w:color="auto"/>
              <w:left w:val="single" w:sz="4" w:space="0" w:color="000000"/>
              <w:bottom w:val="nil" w:sz="6" w:space="0" w:color="auto"/>
              <w:right w:val="single" w:sz="4" w:space="0" w:color="000000"/>
            </w:tcBorders>
          </w:tcPr>
          <w:p>
            <w:pPr/>
          </w:p>
        </w:tc>
        <w:tc>
          <w:tcPr>
            <w:tcW w:w="851" w:type="dxa"/>
            <w:tcBorders>
              <w:top w:val="nil" w:sz="6" w:space="0" w:color="auto"/>
              <w:left w:val="single" w:sz="4" w:space="0" w:color="000000"/>
              <w:bottom w:val="nil" w:sz="6" w:space="0" w:color="auto"/>
              <w:right w:val="single" w:sz="4" w:space="0" w:color="000000"/>
            </w:tcBorders>
          </w:tcPr>
          <w:p>
            <w:pPr/>
          </w:p>
        </w:tc>
        <w:tc>
          <w:tcPr>
            <w:tcW w:w="1266" w:type="dxa"/>
            <w:tcBorders>
              <w:top w:val="nil" w:sz="6" w:space="0" w:color="auto"/>
              <w:left w:val="single" w:sz="4" w:space="0" w:color="000000"/>
              <w:bottom w:val="nil" w:sz="6" w:space="0" w:color="auto"/>
              <w:right w:val="single" w:sz="4" w:space="0" w:color="000000"/>
            </w:tcBorders>
          </w:tcPr>
          <w:p>
            <w:pPr>
              <w:pStyle w:val="TableParagraph"/>
              <w:spacing w:line="240" w:lineRule="auto" w:before="30"/>
              <w:ind w:left="-1" w:right="0"/>
              <w:jc w:val="left"/>
              <w:rPr>
                <w:rFonts w:ascii="宋体" w:hAnsi="宋体" w:cs="宋体" w:eastAsia="宋体" w:hint="default"/>
                <w:sz w:val="15"/>
                <w:szCs w:val="15"/>
              </w:rPr>
            </w:pPr>
            <w:r>
              <w:rPr>
                <w:rFonts w:ascii="宋体" w:hAnsi="宋体" w:cs="宋体" w:eastAsia="宋体" w:hint="default"/>
                <w:sz w:val="15"/>
                <w:szCs w:val="15"/>
              </w:rPr>
              <w:t>务状况及经营成果</w:t>
            </w:r>
          </w:p>
        </w:tc>
        <w:tc>
          <w:tcPr>
            <w:tcW w:w="991" w:type="dxa"/>
            <w:tcBorders>
              <w:top w:val="nil" w:sz="6" w:space="0" w:color="auto"/>
              <w:left w:val="single" w:sz="4" w:space="0" w:color="000000"/>
              <w:bottom w:val="nil" w:sz="6" w:space="0" w:color="auto"/>
              <w:right w:val="single" w:sz="4" w:space="0" w:color="000000"/>
            </w:tcBorders>
          </w:tcPr>
          <w:p>
            <w:pPr/>
          </w:p>
        </w:tc>
        <w:tc>
          <w:tcPr>
            <w:tcW w:w="720"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 w:right="0"/>
              <w:jc w:val="left"/>
              <w:rPr>
                <w:rFonts w:ascii="宋体" w:hAnsi="宋体" w:cs="宋体" w:eastAsia="宋体" w:hint="default"/>
                <w:sz w:val="15"/>
                <w:szCs w:val="15"/>
              </w:rPr>
            </w:pPr>
            <w:r>
              <w:rPr>
                <w:rFonts w:ascii="宋体" w:hAnsi="宋体" w:cs="宋体" w:eastAsia="宋体" w:hint="default"/>
                <w:sz w:val="15"/>
                <w:szCs w:val="15"/>
              </w:rPr>
              <w:t>资产评估</w:t>
            </w:r>
          </w:p>
        </w:tc>
        <w:tc>
          <w:tcPr>
            <w:tcW w:w="566" w:type="dxa"/>
            <w:vMerge/>
            <w:tcBorders>
              <w:left w:val="single" w:sz="4" w:space="0" w:color="000000"/>
              <w:right w:val="single" w:sz="4" w:space="0" w:color="000000"/>
            </w:tcBorders>
          </w:tcPr>
          <w:p>
            <w:pPr/>
          </w:p>
        </w:tc>
        <w:tc>
          <w:tcPr>
            <w:tcW w:w="568" w:type="dxa"/>
            <w:tcBorders>
              <w:top w:val="nil" w:sz="6" w:space="0" w:color="auto"/>
              <w:left w:val="single" w:sz="4" w:space="0" w:color="000000"/>
              <w:bottom w:val="nil" w:sz="6" w:space="0" w:color="auto"/>
              <w:right w:val="single" w:sz="4" w:space="0" w:color="000000"/>
            </w:tcBorders>
          </w:tcPr>
          <w:p>
            <w:pPr/>
          </w:p>
        </w:tc>
        <w:tc>
          <w:tcPr>
            <w:tcW w:w="793" w:type="dxa"/>
            <w:tcBorders>
              <w:top w:val="nil" w:sz="6" w:space="0" w:color="auto"/>
              <w:left w:val="single" w:sz="4" w:space="0" w:color="000000"/>
              <w:bottom w:val="nil" w:sz="6" w:space="0" w:color="auto"/>
              <w:right w:val="single" w:sz="4" w:space="0" w:color="000000"/>
            </w:tcBorders>
          </w:tcPr>
          <w:p>
            <w:pPr/>
          </w:p>
        </w:tc>
        <w:tc>
          <w:tcPr>
            <w:tcW w:w="1304" w:type="dxa"/>
            <w:tcBorders>
              <w:top w:val="nil" w:sz="6" w:space="0" w:color="auto"/>
              <w:left w:val="single" w:sz="4" w:space="0" w:color="000000"/>
              <w:bottom w:val="nil" w:sz="6" w:space="0" w:color="auto"/>
              <w:right w:val="single" w:sz="4" w:space="0" w:color="000000"/>
            </w:tcBorders>
          </w:tcPr>
          <w:p>
            <w:pPr/>
          </w:p>
        </w:tc>
        <w:tc>
          <w:tcPr>
            <w:tcW w:w="649"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 w:right="1"/>
              <w:jc w:val="center"/>
              <w:rPr>
                <w:rFonts w:ascii="Times New Roman" w:hAnsi="Times New Roman" w:cs="Times New Roman" w:eastAsia="Times New Roman" w:hint="default"/>
                <w:sz w:val="15"/>
                <w:szCs w:val="15"/>
              </w:rPr>
            </w:pPr>
            <w:r>
              <w:rPr>
                <w:rFonts w:ascii="Times New Roman" w:hAnsi="Times New Roman" w:cs="Times New Roman" w:eastAsia="Times New Roman" w:hint="default"/>
                <w:sz w:val="15"/>
                <w:szCs w:val="15"/>
              </w:rPr>
              <w:t>2018</w:t>
            </w:r>
            <w:r>
              <w:rPr>
                <w:rFonts w:ascii="Times New Roman" w:hAnsi="Times New Roman" w:cs="Times New Roman" w:eastAsia="Times New Roman" w:hint="default"/>
                <w:spacing w:val="-20"/>
                <w:sz w:val="15"/>
                <w:szCs w:val="15"/>
              </w:rPr>
              <w:t> </w:t>
            </w:r>
            <w:r>
              <w:rPr>
                <w:rFonts w:ascii="宋体" w:hAnsi="宋体" w:cs="宋体" w:eastAsia="宋体" w:hint="default"/>
                <w:sz w:val="15"/>
                <w:szCs w:val="15"/>
              </w:rPr>
              <w:t>年</w:t>
            </w:r>
            <w:r>
              <w:rPr>
                <w:rFonts w:ascii="宋体" w:hAnsi="宋体" w:cs="宋体" w:eastAsia="宋体" w:hint="default"/>
                <w:spacing w:val="-58"/>
                <w:sz w:val="15"/>
                <w:szCs w:val="15"/>
              </w:rPr>
              <w:t> </w:t>
            </w:r>
            <w:r>
              <w:rPr>
                <w:rFonts w:ascii="Times New Roman" w:hAnsi="Times New Roman" w:cs="Times New Roman" w:eastAsia="Times New Roman" w:hint="default"/>
                <w:sz w:val="15"/>
                <w:szCs w:val="15"/>
              </w:rPr>
              <w:t>02</w:t>
            </w:r>
          </w:p>
        </w:tc>
        <w:tc>
          <w:tcPr>
            <w:tcW w:w="763"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1" w:right="-2"/>
              <w:jc w:val="left"/>
              <w:rPr>
                <w:rFonts w:ascii="宋体" w:hAnsi="宋体" w:cs="宋体" w:eastAsia="宋体" w:hint="default"/>
                <w:sz w:val="15"/>
                <w:szCs w:val="15"/>
              </w:rPr>
            </w:pPr>
            <w:r>
              <w:rPr>
                <w:rFonts w:ascii="Times New Roman" w:hAnsi="Times New Roman" w:cs="Times New Roman" w:eastAsia="Times New Roman" w:hint="default"/>
                <w:sz w:val="15"/>
                <w:szCs w:val="15"/>
              </w:rPr>
              <w:t>2018-026</w:t>
            </w:r>
            <w:r>
              <w:rPr>
                <w:rFonts w:ascii="Times New Roman" w:hAnsi="Times New Roman" w:cs="Times New Roman" w:eastAsia="Times New Roman" w:hint="default"/>
                <w:spacing w:val="-12"/>
                <w:sz w:val="15"/>
                <w:szCs w:val="15"/>
              </w:rPr>
              <w:t> </w:t>
            </w:r>
            <w:r>
              <w:rPr>
                <w:rFonts w:ascii="宋体" w:hAnsi="宋体" w:cs="宋体" w:eastAsia="宋体" w:hint="default"/>
                <w:sz w:val="15"/>
                <w:szCs w:val="15"/>
              </w:rPr>
              <w:t>号</w:t>
            </w:r>
          </w:p>
        </w:tc>
      </w:tr>
      <w:tr>
        <w:trPr>
          <w:trHeight w:val="155" w:hRule="exact"/>
        </w:trPr>
        <w:tc>
          <w:tcPr>
            <w:tcW w:w="553"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0"/>
              <w:jc w:val="center"/>
              <w:rPr>
                <w:rFonts w:ascii="宋体" w:hAnsi="宋体" w:cs="宋体" w:eastAsia="宋体" w:hint="default"/>
                <w:sz w:val="15"/>
                <w:szCs w:val="15"/>
              </w:rPr>
            </w:pPr>
            <w:r>
              <w:rPr>
                <w:rFonts w:ascii="宋体" w:hAnsi="宋体" w:cs="宋体" w:eastAsia="宋体" w:hint="default"/>
                <w:sz w:val="15"/>
                <w:szCs w:val="15"/>
              </w:rPr>
              <w:t>自然人</w:t>
            </w:r>
          </w:p>
        </w:tc>
        <w:tc>
          <w:tcPr>
            <w:tcW w:w="862" w:type="dxa"/>
            <w:tcBorders>
              <w:top w:val="nil" w:sz="6" w:space="0" w:color="auto"/>
              <w:left w:val="single" w:sz="4" w:space="0" w:color="000000"/>
              <w:bottom w:val="nil" w:sz="6" w:space="0" w:color="auto"/>
              <w:right w:val="single" w:sz="4" w:space="0" w:color="000000"/>
            </w:tcBorders>
          </w:tcPr>
          <w:p>
            <w:pPr/>
          </w:p>
        </w:tc>
        <w:tc>
          <w:tcPr>
            <w:tcW w:w="68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159" w:lineRule="exact"/>
              <w:ind w:right="-1"/>
              <w:jc w:val="right"/>
              <w:rPr>
                <w:rFonts w:ascii="Times New Roman" w:hAnsi="Times New Roman" w:cs="Times New Roman" w:eastAsia="Times New Roman" w:hint="default"/>
                <w:sz w:val="15"/>
                <w:szCs w:val="15"/>
              </w:rPr>
            </w:pPr>
            <w:r>
              <w:rPr>
                <w:rFonts w:ascii="Times New Roman"/>
                <w:spacing w:val="-1"/>
                <w:sz w:val="15"/>
              </w:rPr>
              <w:t>5,256.00</w:t>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159" w:lineRule="exact"/>
              <w:ind w:left="452" w:right="-1"/>
              <w:jc w:val="left"/>
              <w:rPr>
                <w:rFonts w:ascii="Times New Roman" w:hAnsi="Times New Roman" w:cs="Times New Roman" w:eastAsia="Times New Roman" w:hint="default"/>
                <w:sz w:val="15"/>
                <w:szCs w:val="15"/>
              </w:rPr>
            </w:pPr>
            <w:r>
              <w:rPr>
                <w:rFonts w:ascii="Times New Roman"/>
                <w:sz w:val="15"/>
              </w:rPr>
              <w:t>-16.78</w:t>
            </w:r>
          </w:p>
        </w:tc>
        <w:tc>
          <w:tcPr>
            <w:tcW w:w="1266"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159" w:lineRule="exact"/>
              <w:ind w:right="0"/>
              <w:jc w:val="center"/>
              <w:rPr>
                <w:rFonts w:ascii="Times New Roman" w:hAnsi="Times New Roman" w:cs="Times New Roman" w:eastAsia="Times New Roman" w:hint="default"/>
                <w:sz w:val="15"/>
                <w:szCs w:val="15"/>
              </w:rPr>
            </w:pPr>
            <w:r>
              <w:rPr>
                <w:rFonts w:ascii="Times New Roman"/>
                <w:sz w:val="15"/>
              </w:rPr>
              <w:t>2.93%</w:t>
            </w:r>
          </w:p>
        </w:tc>
        <w:tc>
          <w:tcPr>
            <w:tcW w:w="720" w:type="dxa"/>
            <w:tcBorders>
              <w:top w:val="nil" w:sz="6" w:space="0" w:color="auto"/>
              <w:left w:val="single" w:sz="4" w:space="0" w:color="000000"/>
              <w:bottom w:val="nil" w:sz="6" w:space="0" w:color="auto"/>
              <w:right w:val="single" w:sz="4" w:space="0" w:color="000000"/>
            </w:tcBorders>
          </w:tcPr>
          <w:p>
            <w:pPr/>
          </w:p>
        </w:tc>
        <w:tc>
          <w:tcPr>
            <w:tcW w:w="566" w:type="dxa"/>
            <w:vMerge/>
            <w:tcBorders>
              <w:left w:val="single" w:sz="4" w:space="0" w:color="000000"/>
              <w:right w:val="single" w:sz="4" w:space="0" w:color="000000"/>
            </w:tcBorders>
          </w:tcPr>
          <w:p>
            <w:pPr/>
          </w:p>
        </w:tc>
        <w:tc>
          <w:tcPr>
            <w:tcW w:w="568"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0"/>
              <w:jc w:val="center"/>
              <w:rPr>
                <w:rFonts w:ascii="宋体" w:hAnsi="宋体" w:cs="宋体" w:eastAsia="宋体" w:hint="default"/>
                <w:sz w:val="15"/>
                <w:szCs w:val="15"/>
              </w:rPr>
            </w:pPr>
            <w:r>
              <w:rPr>
                <w:rFonts w:ascii="宋体" w:hAnsi="宋体" w:cs="宋体" w:eastAsia="宋体" w:hint="default"/>
                <w:sz w:val="15"/>
                <w:szCs w:val="15"/>
              </w:rPr>
              <w:t>不适用</w:t>
            </w:r>
          </w:p>
        </w:tc>
        <w:tc>
          <w:tcPr>
            <w:tcW w:w="793"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0"/>
              <w:jc w:val="center"/>
              <w:rPr>
                <w:rFonts w:ascii="宋体" w:hAnsi="宋体" w:cs="宋体" w:eastAsia="宋体" w:hint="default"/>
                <w:sz w:val="15"/>
                <w:szCs w:val="15"/>
              </w:rPr>
            </w:pPr>
            <w:r>
              <w:rPr>
                <w:rFonts w:ascii="宋体" w:hAnsi="宋体" w:cs="宋体" w:eastAsia="宋体" w:hint="default"/>
                <w:sz w:val="15"/>
                <w:szCs w:val="15"/>
              </w:rPr>
              <w:t>是</w:t>
            </w:r>
          </w:p>
        </w:tc>
        <w:tc>
          <w:tcPr>
            <w:tcW w:w="1304"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0"/>
              <w:jc w:val="center"/>
              <w:rPr>
                <w:rFonts w:ascii="宋体" w:hAnsi="宋体" w:cs="宋体" w:eastAsia="宋体" w:hint="default"/>
                <w:sz w:val="15"/>
                <w:szCs w:val="15"/>
              </w:rPr>
            </w:pPr>
            <w:r>
              <w:rPr>
                <w:rFonts w:ascii="宋体" w:hAnsi="宋体" w:cs="宋体" w:eastAsia="宋体" w:hint="default"/>
                <w:sz w:val="15"/>
                <w:szCs w:val="15"/>
              </w:rPr>
              <w:t>是</w:t>
            </w:r>
          </w:p>
        </w:tc>
        <w:tc>
          <w:tcPr>
            <w:tcW w:w="649" w:type="dxa"/>
            <w:tcBorders>
              <w:top w:val="nil" w:sz="6" w:space="0" w:color="auto"/>
              <w:left w:val="single" w:sz="4" w:space="0" w:color="000000"/>
              <w:bottom w:val="nil" w:sz="6" w:space="0" w:color="auto"/>
              <w:right w:val="single" w:sz="4" w:space="0" w:color="000000"/>
            </w:tcBorders>
          </w:tcPr>
          <w:p>
            <w:pPr/>
          </w:p>
        </w:tc>
        <w:tc>
          <w:tcPr>
            <w:tcW w:w="763" w:type="dxa"/>
            <w:tcBorders>
              <w:top w:val="nil" w:sz="6" w:space="0" w:color="auto"/>
              <w:left w:val="single" w:sz="4" w:space="0" w:color="000000"/>
              <w:bottom w:val="nil" w:sz="6" w:space="0" w:color="auto"/>
              <w:right w:val="single" w:sz="4" w:space="0" w:color="000000"/>
            </w:tcBorders>
          </w:tcPr>
          <w:p>
            <w:pPr/>
          </w:p>
        </w:tc>
      </w:tr>
      <w:tr>
        <w:trPr>
          <w:trHeight w:val="235" w:hRule="exact"/>
        </w:trPr>
        <w:tc>
          <w:tcPr>
            <w:tcW w:w="553" w:type="dxa"/>
            <w:tcBorders>
              <w:top w:val="nil" w:sz="6" w:space="0" w:color="auto"/>
              <w:left w:val="single" w:sz="4" w:space="0" w:color="000000"/>
              <w:bottom w:val="nil" w:sz="6" w:space="0" w:color="auto"/>
              <w:right w:val="single" w:sz="4" w:space="0" w:color="000000"/>
            </w:tcBorders>
          </w:tcPr>
          <w:p>
            <w:pPr/>
          </w:p>
        </w:tc>
        <w:tc>
          <w:tcPr>
            <w:tcW w:w="862"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50" w:right="0"/>
              <w:jc w:val="left"/>
              <w:rPr>
                <w:rFonts w:ascii="宋体" w:hAnsi="宋体" w:cs="宋体" w:eastAsia="宋体" w:hint="default"/>
                <w:sz w:val="15"/>
                <w:szCs w:val="15"/>
              </w:rPr>
            </w:pPr>
            <w:r>
              <w:rPr>
                <w:rFonts w:ascii="宋体" w:hAnsi="宋体" w:cs="宋体" w:eastAsia="宋体" w:hint="default"/>
                <w:sz w:val="15"/>
                <w:szCs w:val="15"/>
              </w:rPr>
              <w:t>备有限公司</w:t>
            </w:r>
          </w:p>
        </w:tc>
        <w:tc>
          <w:tcPr>
            <w:tcW w:w="680" w:type="dxa"/>
            <w:tcBorders>
              <w:top w:val="nil" w:sz="6" w:space="0" w:color="auto"/>
              <w:left w:val="single" w:sz="4" w:space="0" w:color="000000"/>
              <w:bottom w:val="nil" w:sz="6" w:space="0" w:color="auto"/>
              <w:right w:val="single" w:sz="4" w:space="0" w:color="000000"/>
            </w:tcBorders>
          </w:tcPr>
          <w:p>
            <w:pPr>
              <w:pStyle w:val="TableParagraph"/>
              <w:spacing w:line="161" w:lineRule="exact"/>
              <w:ind w:right="1"/>
              <w:jc w:val="center"/>
              <w:rPr>
                <w:rFonts w:ascii="宋体" w:hAnsi="宋体" w:cs="宋体" w:eastAsia="宋体" w:hint="default"/>
                <w:sz w:val="15"/>
                <w:szCs w:val="15"/>
              </w:rPr>
            </w:pP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29 </w:t>
            </w:r>
            <w:r>
              <w:rPr>
                <w:rFonts w:ascii="宋体" w:hAnsi="宋体" w:cs="宋体" w:eastAsia="宋体" w:hint="default"/>
                <w:sz w:val="15"/>
                <w:szCs w:val="15"/>
              </w:rPr>
              <w:t>日</w:t>
            </w:r>
          </w:p>
        </w:tc>
        <w:tc>
          <w:tcPr>
            <w:tcW w:w="708" w:type="dxa"/>
            <w:tcBorders>
              <w:top w:val="nil" w:sz="6" w:space="0" w:color="auto"/>
              <w:left w:val="single" w:sz="4" w:space="0" w:color="000000"/>
              <w:bottom w:val="nil" w:sz="6" w:space="0" w:color="auto"/>
              <w:right w:val="single" w:sz="4" w:space="0" w:color="000000"/>
            </w:tcBorders>
          </w:tcPr>
          <w:p>
            <w:pPr/>
          </w:p>
        </w:tc>
        <w:tc>
          <w:tcPr>
            <w:tcW w:w="851" w:type="dxa"/>
            <w:tcBorders>
              <w:top w:val="nil" w:sz="6" w:space="0" w:color="auto"/>
              <w:left w:val="single" w:sz="4" w:space="0" w:color="000000"/>
              <w:bottom w:val="nil" w:sz="6" w:space="0" w:color="auto"/>
              <w:right w:val="single" w:sz="4" w:space="0" w:color="000000"/>
            </w:tcBorders>
          </w:tcPr>
          <w:p>
            <w:pPr/>
          </w:p>
        </w:tc>
        <w:tc>
          <w:tcPr>
            <w:tcW w:w="1266"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0"/>
              <w:jc w:val="left"/>
              <w:rPr>
                <w:rFonts w:ascii="宋体" w:hAnsi="宋体" w:cs="宋体" w:eastAsia="宋体" w:hint="default"/>
                <w:sz w:val="15"/>
                <w:szCs w:val="15"/>
              </w:rPr>
            </w:pPr>
            <w:r>
              <w:rPr>
                <w:rFonts w:ascii="宋体" w:hAnsi="宋体" w:cs="宋体" w:eastAsia="宋体" w:hint="default"/>
                <w:sz w:val="15"/>
                <w:szCs w:val="15"/>
              </w:rPr>
              <w:t>的影响约为人民币</w:t>
            </w:r>
          </w:p>
        </w:tc>
        <w:tc>
          <w:tcPr>
            <w:tcW w:w="991" w:type="dxa"/>
            <w:tcBorders>
              <w:top w:val="nil" w:sz="6" w:space="0" w:color="auto"/>
              <w:left w:val="single" w:sz="4" w:space="0" w:color="000000"/>
              <w:bottom w:val="nil" w:sz="6" w:space="0" w:color="auto"/>
              <w:right w:val="single" w:sz="4" w:space="0" w:color="000000"/>
            </w:tcBorders>
          </w:tcPr>
          <w:p>
            <w:pPr/>
          </w:p>
        </w:tc>
        <w:tc>
          <w:tcPr>
            <w:tcW w:w="720" w:type="dxa"/>
            <w:tcBorders>
              <w:top w:val="nil" w:sz="6" w:space="0" w:color="auto"/>
              <w:left w:val="single" w:sz="4" w:space="0" w:color="000000"/>
              <w:bottom w:val="nil" w:sz="6" w:space="0" w:color="auto"/>
              <w:right w:val="single" w:sz="4" w:space="0" w:color="000000"/>
            </w:tcBorders>
          </w:tcPr>
          <w:p>
            <w:pPr>
              <w:pStyle w:val="TableParagraph"/>
              <w:spacing w:line="150" w:lineRule="exact"/>
              <w:ind w:left="1" w:right="0"/>
              <w:jc w:val="left"/>
              <w:rPr>
                <w:rFonts w:ascii="宋体" w:hAnsi="宋体" w:cs="宋体" w:eastAsia="宋体" w:hint="default"/>
                <w:sz w:val="15"/>
                <w:szCs w:val="15"/>
              </w:rPr>
            </w:pPr>
            <w:r>
              <w:rPr>
                <w:rFonts w:ascii="宋体" w:hAnsi="宋体" w:cs="宋体" w:eastAsia="宋体" w:hint="default"/>
                <w:sz w:val="15"/>
                <w:szCs w:val="15"/>
              </w:rPr>
              <w:t>公开挂牌</w:t>
            </w:r>
          </w:p>
        </w:tc>
        <w:tc>
          <w:tcPr>
            <w:tcW w:w="566" w:type="dxa"/>
            <w:vMerge/>
            <w:tcBorders>
              <w:left w:val="single" w:sz="4" w:space="0" w:color="000000"/>
              <w:right w:val="single" w:sz="4" w:space="0" w:color="000000"/>
            </w:tcBorders>
          </w:tcPr>
          <w:p>
            <w:pPr/>
          </w:p>
        </w:tc>
        <w:tc>
          <w:tcPr>
            <w:tcW w:w="568" w:type="dxa"/>
            <w:tcBorders>
              <w:top w:val="nil" w:sz="6" w:space="0" w:color="auto"/>
              <w:left w:val="single" w:sz="4" w:space="0" w:color="000000"/>
              <w:bottom w:val="nil" w:sz="6" w:space="0" w:color="auto"/>
              <w:right w:val="single" w:sz="4" w:space="0" w:color="000000"/>
            </w:tcBorders>
          </w:tcPr>
          <w:p>
            <w:pPr/>
          </w:p>
        </w:tc>
        <w:tc>
          <w:tcPr>
            <w:tcW w:w="793" w:type="dxa"/>
            <w:tcBorders>
              <w:top w:val="nil" w:sz="6" w:space="0" w:color="auto"/>
              <w:left w:val="single" w:sz="4" w:space="0" w:color="000000"/>
              <w:bottom w:val="nil" w:sz="6" w:space="0" w:color="auto"/>
              <w:right w:val="single" w:sz="4" w:space="0" w:color="000000"/>
            </w:tcBorders>
          </w:tcPr>
          <w:p>
            <w:pPr/>
          </w:p>
        </w:tc>
        <w:tc>
          <w:tcPr>
            <w:tcW w:w="1304" w:type="dxa"/>
            <w:tcBorders>
              <w:top w:val="nil" w:sz="6" w:space="0" w:color="auto"/>
              <w:left w:val="single" w:sz="4" w:space="0" w:color="000000"/>
              <w:bottom w:val="nil" w:sz="6" w:space="0" w:color="auto"/>
              <w:right w:val="single" w:sz="4" w:space="0" w:color="000000"/>
            </w:tcBorders>
          </w:tcPr>
          <w:p>
            <w:pPr/>
          </w:p>
        </w:tc>
        <w:tc>
          <w:tcPr>
            <w:tcW w:w="649" w:type="dxa"/>
            <w:tcBorders>
              <w:top w:val="nil" w:sz="6" w:space="0" w:color="auto"/>
              <w:left w:val="single" w:sz="4" w:space="0" w:color="000000"/>
              <w:bottom w:val="nil" w:sz="6" w:space="0" w:color="auto"/>
              <w:right w:val="single" w:sz="4" w:space="0" w:color="000000"/>
            </w:tcBorders>
          </w:tcPr>
          <w:p>
            <w:pPr>
              <w:pStyle w:val="TableParagraph"/>
              <w:spacing w:line="161" w:lineRule="exact"/>
              <w:ind w:left="-1" w:right="113"/>
              <w:jc w:val="center"/>
              <w:rPr>
                <w:rFonts w:ascii="宋体" w:hAnsi="宋体" w:cs="宋体" w:eastAsia="宋体" w:hint="default"/>
                <w:sz w:val="15"/>
                <w:szCs w:val="15"/>
              </w:rPr>
            </w:pPr>
            <w:r>
              <w:rPr>
                <w:rFonts w:ascii="宋体" w:hAnsi="宋体" w:cs="宋体" w:eastAsia="宋体" w:hint="default"/>
                <w:sz w:val="15"/>
                <w:szCs w:val="15"/>
              </w:rPr>
              <w:t>月</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13 </w:t>
            </w:r>
            <w:r>
              <w:rPr>
                <w:rFonts w:ascii="宋体" w:hAnsi="宋体" w:cs="宋体" w:eastAsia="宋体" w:hint="default"/>
                <w:sz w:val="15"/>
                <w:szCs w:val="15"/>
              </w:rPr>
              <w:t>日</w:t>
            </w:r>
          </w:p>
        </w:tc>
        <w:tc>
          <w:tcPr>
            <w:tcW w:w="763" w:type="dxa"/>
            <w:tcBorders>
              <w:top w:val="nil" w:sz="6" w:space="0" w:color="auto"/>
              <w:left w:val="single" w:sz="4" w:space="0" w:color="000000"/>
              <w:bottom w:val="nil" w:sz="6" w:space="0" w:color="auto"/>
              <w:right w:val="single" w:sz="4" w:space="0" w:color="000000"/>
            </w:tcBorders>
          </w:tcPr>
          <w:p>
            <w:pPr>
              <w:pStyle w:val="TableParagraph"/>
              <w:spacing w:line="150" w:lineRule="exact"/>
              <w:ind w:left="-1" w:right="0"/>
              <w:jc w:val="left"/>
              <w:rPr>
                <w:rFonts w:ascii="宋体" w:hAnsi="宋体" w:cs="宋体" w:eastAsia="宋体" w:hint="default"/>
                <w:sz w:val="15"/>
                <w:szCs w:val="15"/>
              </w:rPr>
            </w:pPr>
            <w:r>
              <w:rPr>
                <w:rFonts w:ascii="宋体" w:hAnsi="宋体" w:cs="宋体" w:eastAsia="宋体" w:hint="default"/>
                <w:sz w:val="15"/>
                <w:szCs w:val="15"/>
              </w:rPr>
              <w:t>公告</w:t>
            </w:r>
          </w:p>
        </w:tc>
      </w:tr>
      <w:tr>
        <w:trPr>
          <w:trHeight w:val="353" w:hRule="exact"/>
        </w:trPr>
        <w:tc>
          <w:tcPr>
            <w:tcW w:w="553" w:type="dxa"/>
            <w:tcBorders>
              <w:top w:val="nil" w:sz="6" w:space="0" w:color="auto"/>
              <w:left w:val="single" w:sz="4" w:space="0" w:color="000000"/>
              <w:bottom w:val="single" w:sz="4" w:space="0" w:color="000000"/>
              <w:right w:val="single" w:sz="4" w:space="0" w:color="000000"/>
            </w:tcBorders>
          </w:tcPr>
          <w:p>
            <w:pPr/>
          </w:p>
        </w:tc>
        <w:tc>
          <w:tcPr>
            <w:tcW w:w="86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0"/>
              <w:ind w:left="99"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100%</w:t>
            </w:r>
            <w:r>
              <w:rPr>
                <w:rFonts w:ascii="宋体" w:hAnsi="宋体" w:cs="宋体" w:eastAsia="宋体" w:hint="default"/>
                <w:sz w:val="15"/>
                <w:szCs w:val="15"/>
              </w:rPr>
              <w:t>股权</w:t>
            </w:r>
          </w:p>
        </w:tc>
        <w:tc>
          <w:tcPr>
            <w:tcW w:w="680"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851" w:type="dxa"/>
            <w:tcBorders>
              <w:top w:val="nil" w:sz="6" w:space="0" w:color="auto"/>
              <w:left w:val="single" w:sz="4" w:space="0" w:color="000000"/>
              <w:bottom w:val="single" w:sz="4" w:space="0" w:color="000000"/>
              <w:right w:val="single" w:sz="4" w:space="0" w:color="000000"/>
            </w:tcBorders>
          </w:tcPr>
          <w:p>
            <w:pPr/>
          </w:p>
        </w:tc>
        <w:tc>
          <w:tcPr>
            <w:tcW w:w="126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0"/>
              <w:ind w:left="-1"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3,855</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万元</w:t>
            </w:r>
          </w:p>
        </w:tc>
        <w:tc>
          <w:tcPr>
            <w:tcW w:w="991" w:type="dxa"/>
            <w:tcBorders>
              <w:top w:val="nil" w:sz="6" w:space="0" w:color="auto"/>
              <w:left w:val="single" w:sz="4" w:space="0" w:color="000000"/>
              <w:bottom w:val="single" w:sz="4" w:space="0" w:color="000000"/>
              <w:right w:val="single" w:sz="4" w:space="0" w:color="000000"/>
            </w:tcBorders>
          </w:tcPr>
          <w:p>
            <w:pPr/>
          </w:p>
        </w:tc>
        <w:tc>
          <w:tcPr>
            <w:tcW w:w="720" w:type="dxa"/>
            <w:tcBorders>
              <w:top w:val="nil" w:sz="6" w:space="0" w:color="auto"/>
              <w:left w:val="single" w:sz="4" w:space="0" w:color="000000"/>
              <w:bottom w:val="single" w:sz="4" w:space="0" w:color="000000"/>
              <w:right w:val="single" w:sz="4" w:space="0" w:color="000000"/>
            </w:tcBorders>
          </w:tcPr>
          <w:p>
            <w:pPr/>
          </w:p>
        </w:tc>
        <w:tc>
          <w:tcPr>
            <w:tcW w:w="566" w:type="dxa"/>
            <w:vMerge/>
            <w:tcBorders>
              <w:left w:val="single" w:sz="4" w:space="0" w:color="000000"/>
              <w:bottom w:val="single" w:sz="4" w:space="0" w:color="000000"/>
              <w:right w:val="single" w:sz="4" w:space="0" w:color="000000"/>
            </w:tcBorders>
          </w:tcPr>
          <w:p>
            <w:pPr/>
          </w:p>
        </w:tc>
        <w:tc>
          <w:tcPr>
            <w:tcW w:w="568" w:type="dxa"/>
            <w:tcBorders>
              <w:top w:val="nil" w:sz="6" w:space="0" w:color="auto"/>
              <w:left w:val="single" w:sz="4" w:space="0" w:color="000000"/>
              <w:bottom w:val="single" w:sz="4" w:space="0" w:color="000000"/>
              <w:right w:val="single" w:sz="4" w:space="0" w:color="000000"/>
            </w:tcBorders>
          </w:tcPr>
          <w:p>
            <w:pPr/>
          </w:p>
        </w:tc>
        <w:tc>
          <w:tcPr>
            <w:tcW w:w="793" w:type="dxa"/>
            <w:tcBorders>
              <w:top w:val="nil" w:sz="6" w:space="0" w:color="auto"/>
              <w:left w:val="single" w:sz="4" w:space="0" w:color="000000"/>
              <w:bottom w:val="single" w:sz="4" w:space="0" w:color="000000"/>
              <w:right w:val="single" w:sz="4" w:space="0" w:color="000000"/>
            </w:tcBorders>
          </w:tcPr>
          <w:p>
            <w:pPr/>
          </w:p>
        </w:tc>
        <w:tc>
          <w:tcPr>
            <w:tcW w:w="1304" w:type="dxa"/>
            <w:tcBorders>
              <w:top w:val="nil" w:sz="6" w:space="0" w:color="auto"/>
              <w:left w:val="single" w:sz="4" w:space="0" w:color="000000"/>
              <w:bottom w:val="single" w:sz="4" w:space="0" w:color="000000"/>
              <w:right w:val="single" w:sz="4" w:space="0" w:color="000000"/>
            </w:tcBorders>
          </w:tcPr>
          <w:p>
            <w:pPr/>
          </w:p>
        </w:tc>
        <w:tc>
          <w:tcPr>
            <w:tcW w:w="649" w:type="dxa"/>
            <w:tcBorders>
              <w:top w:val="nil" w:sz="6" w:space="0" w:color="auto"/>
              <w:left w:val="single" w:sz="4" w:space="0" w:color="000000"/>
              <w:bottom w:val="single" w:sz="4" w:space="0" w:color="000000"/>
              <w:right w:val="single" w:sz="4" w:space="0" w:color="000000"/>
            </w:tcBorders>
          </w:tcPr>
          <w:p>
            <w:pPr/>
          </w:p>
        </w:tc>
        <w:tc>
          <w:tcPr>
            <w:tcW w:w="763" w:type="dxa"/>
            <w:tcBorders>
              <w:top w:val="nil" w:sz="6" w:space="0" w:color="auto"/>
              <w:left w:val="single" w:sz="4" w:space="0" w:color="000000"/>
              <w:bottom w:val="single" w:sz="4" w:space="0" w:color="000000"/>
              <w:right w:val="single" w:sz="4" w:space="0" w:color="000000"/>
            </w:tcBorders>
          </w:tcPr>
          <w:p>
            <w:pPr/>
          </w:p>
        </w:tc>
      </w:tr>
    </w:tbl>
    <w:p>
      <w:pPr>
        <w:spacing w:line="357" w:lineRule="auto" w:before="51"/>
        <w:ind w:left="1294" w:right="112" w:hanging="360"/>
        <w:jc w:val="left"/>
        <w:rPr>
          <w:rFonts w:ascii="宋体" w:hAnsi="宋体" w:cs="宋体" w:eastAsia="宋体" w:hint="default"/>
          <w:sz w:val="18"/>
          <w:szCs w:val="18"/>
        </w:rPr>
      </w:pPr>
      <w:r>
        <w:rPr/>
        <w:pict>
          <v:group style="position:absolute;margin-left:347.519989pt;margin-top:-66.917992pt;width:27.85pt;height:66.45pt;mso-position-horizontal-relative:page;mso-position-vertical-relative:paragraph;z-index:-1402312" coordorigin="6950,-1338" coordsize="557,1329">
            <v:group style="position:absolute;left:6950;top:-1338;width:557;height:468" coordorigin="6950,-1338" coordsize="557,468">
              <v:shape style="position:absolute;left:6950;top:-1338;width:557;height:468" coordorigin="6950,-1338" coordsize="557,468" path="m6950,-870l7507,-870,7507,-1338,6950,-1338,6950,-870xe" filled="true" fillcolor="#ffffff" stroked="false">
                <v:path arrowok="t"/>
                <v:fill type="solid"/>
              </v:shape>
            </v:group>
            <v:group style="position:absolute;left:6950;top:-478;width:557;height:468" coordorigin="6950,-478" coordsize="557,468">
              <v:shape style="position:absolute;left:6950;top:-478;width:557;height:468" coordorigin="6950,-478" coordsize="557,468" path="m6950,-10l7507,-10,7507,-478,6950,-478,6950,-10xe" filled="true" fillcolor="#ffffff" stroked="false">
                <v:path arrowok="t"/>
                <v:fill type="solid"/>
              </v:shape>
            </v:group>
            <v:group style="position:absolute;left:6950;top:-870;width:557;height:393" coordorigin="6950,-870" coordsize="557,393">
              <v:shape style="position:absolute;left:6950;top:-870;width:557;height:393" coordorigin="6950,-870" coordsize="557,393" path="m6950,-478l7507,-478,7507,-870,6950,-870,6950,-478xe" filled="true" fillcolor="#ffffff" stroked="false">
                <v:path arrowok="t"/>
                <v:fill type="solid"/>
              </v:shape>
            </v:group>
            <w10:wrap type="none"/>
          </v:group>
        </w:pict>
      </w:r>
      <w:r>
        <w:rPr>
          <w:rFonts w:ascii="宋体" w:hAnsi="宋体" w:cs="宋体" w:eastAsia="宋体" w:hint="default"/>
          <w:b/>
          <w:bCs/>
          <w:sz w:val="18"/>
          <w:szCs w:val="18"/>
        </w:rPr>
        <w:t>出售重大股权情况说明</w:t>
      </w:r>
      <w:r>
        <w:rPr>
          <w:rFonts w:ascii="宋体" w:hAnsi="宋体" w:cs="宋体" w:eastAsia="宋体" w:hint="default"/>
          <w:b/>
          <w:bCs/>
          <w:w w:val="99"/>
          <w:sz w:val="18"/>
          <w:szCs w:val="18"/>
        </w:rPr>
        <w:t> </w:t>
      </w:r>
      <w:r>
        <w:rPr>
          <w:rFonts w:ascii="宋体" w:hAnsi="宋体" w:cs="宋体" w:eastAsia="宋体" w:hint="default"/>
          <w:spacing w:val="-2"/>
          <w:sz w:val="18"/>
          <w:szCs w:val="18"/>
        </w:rPr>
        <w:t>为加快推进低效无效资产的清理整合，优化资源配置，充分提升公司资产的整体利用效率，根据国有资产处置的相关规</w:t>
      </w:r>
    </w:p>
    <w:p>
      <w:pPr>
        <w:spacing w:line="237" w:lineRule="exact" w:before="0"/>
        <w:ind w:left="934" w:right="0" w:firstLine="0"/>
        <w:jc w:val="both"/>
        <w:rPr>
          <w:rFonts w:ascii="宋体" w:hAnsi="宋体" w:cs="宋体" w:eastAsia="宋体" w:hint="default"/>
          <w:sz w:val="18"/>
          <w:szCs w:val="18"/>
        </w:rPr>
      </w:pPr>
      <w:r>
        <w:rPr>
          <w:rFonts w:ascii="宋体" w:hAnsi="宋体" w:cs="宋体" w:eastAsia="宋体" w:hint="default"/>
          <w:sz w:val="18"/>
          <w:szCs w:val="18"/>
        </w:rPr>
        <w:t>定，公司通过北京产权交易所以公开挂牌的方式转让全资子公司深圳市湘计长岛电脑设备有限公司</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100%</w:t>
      </w:r>
      <w:r>
        <w:rPr>
          <w:rFonts w:ascii="宋体" w:hAnsi="宋体" w:cs="宋体" w:eastAsia="宋体" w:hint="default"/>
          <w:sz w:val="18"/>
          <w:szCs w:val="18"/>
        </w:rPr>
        <w:t>股权，挂牌价格以</w:t>
      </w:r>
    </w:p>
    <w:p>
      <w:pPr>
        <w:spacing w:line="300" w:lineRule="auto" w:before="63"/>
        <w:ind w:left="934" w:right="1126" w:firstLine="0"/>
        <w:jc w:val="both"/>
        <w:rPr>
          <w:rFonts w:ascii="宋体" w:hAnsi="宋体" w:cs="宋体" w:eastAsia="宋体" w:hint="default"/>
          <w:sz w:val="18"/>
          <w:szCs w:val="18"/>
        </w:rPr>
      </w:pPr>
      <w:r>
        <w:rPr>
          <w:rFonts w:ascii="宋体" w:hAnsi="宋体" w:cs="宋体" w:eastAsia="宋体" w:hint="default"/>
          <w:sz w:val="18"/>
          <w:szCs w:val="18"/>
        </w:rPr>
        <w:t>中介机构的审计、评估结果为参考，经过市场调研和初步询价确定，为不低于评估价上浮</w:t>
      </w:r>
      <w:r>
        <w:rPr>
          <w:rFonts w:ascii="宋体" w:hAnsi="宋体" w:cs="宋体" w:eastAsia="宋体" w:hint="default"/>
          <w:spacing w:val="28"/>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。挂牌期内征集产生的意向</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受让方为自然人陈文军，摘牌价格为人民币</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5,256</w:t>
      </w:r>
      <w:r>
        <w:rPr>
          <w:rFonts w:ascii="Times New Roman" w:hAnsi="Times New Roman" w:cs="Times New Roman" w:eastAsia="Times New Roman" w:hint="default"/>
          <w:spacing w:val="-4"/>
          <w:sz w:val="18"/>
          <w:szCs w:val="18"/>
        </w:rPr>
        <w:t> </w:t>
      </w:r>
      <w:r>
        <w:rPr>
          <w:rFonts w:ascii="宋体" w:hAnsi="宋体" w:cs="宋体" w:eastAsia="宋体" w:hint="default"/>
          <w:spacing w:val="-3"/>
          <w:sz w:val="18"/>
          <w:szCs w:val="18"/>
        </w:rPr>
        <w:t>万元。经</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日公司第六届董事会审议，同意公司按照摘牌价 </w:t>
      </w:r>
      <w:r>
        <w:rPr>
          <w:rFonts w:ascii="宋体" w:hAnsi="宋体" w:cs="宋体" w:eastAsia="宋体" w:hint="default"/>
          <w:spacing w:val="-6"/>
          <w:sz w:val="18"/>
          <w:szCs w:val="18"/>
        </w:rPr>
        <w:t>格和陈文军签署《产权交易合同》。</w:t>
      </w:r>
    </w:p>
    <w:p>
      <w:pPr>
        <w:spacing w:line="240" w:lineRule="auto" w:before="11"/>
        <w:rPr>
          <w:rFonts w:ascii="宋体" w:hAnsi="宋体" w:cs="宋体" w:eastAsia="宋体" w:hint="default"/>
          <w:sz w:val="16"/>
          <w:szCs w:val="16"/>
        </w:rPr>
      </w:pPr>
    </w:p>
    <w:p>
      <w:pPr>
        <w:pStyle w:val="Heading4"/>
        <w:spacing w:line="240" w:lineRule="auto"/>
        <w:ind w:left="934" w:right="0"/>
        <w:jc w:val="both"/>
        <w:rPr>
          <w:b w:val="0"/>
          <w:bCs w:val="0"/>
        </w:rPr>
      </w:pPr>
      <w:r>
        <w:rPr/>
        <w:t>七、主要控股参股公司分析</w:t>
      </w:r>
      <w:r>
        <w:rPr>
          <w:b w:val="0"/>
          <w:bCs w:val="0"/>
        </w:rPr>
      </w:r>
    </w:p>
    <w:p>
      <w:pPr>
        <w:spacing w:line="240" w:lineRule="auto" w:before="9"/>
        <w:rPr>
          <w:rFonts w:ascii="宋体" w:hAnsi="宋体" w:cs="宋体" w:eastAsia="宋体" w:hint="default"/>
          <w:b/>
          <w:bCs/>
          <w:sz w:val="18"/>
          <w:szCs w:val="18"/>
        </w:rPr>
      </w:pPr>
    </w:p>
    <w:p>
      <w:pPr>
        <w:spacing w:after="0" w:line="240" w:lineRule="auto"/>
        <w:rPr>
          <w:rFonts w:ascii="宋体" w:hAnsi="宋体" w:cs="宋体" w:eastAsia="宋体" w:hint="default"/>
          <w:sz w:val="18"/>
          <w:szCs w:val="18"/>
        </w:rPr>
        <w:sectPr>
          <w:pgSz w:w="11910" w:h="16840"/>
          <w:pgMar w:header="787" w:footer="982" w:top="1100" w:bottom="1180" w:left="200" w:right="0"/>
        </w:sectPr>
      </w:pPr>
    </w:p>
    <w:p>
      <w:pPr>
        <w:spacing w:before="44"/>
        <w:ind w:left="934" w:right="-19"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before="116"/>
        <w:ind w:left="933" w:right="-19" w:firstLine="0"/>
        <w:jc w:val="left"/>
        <w:rPr>
          <w:rFonts w:ascii="宋体" w:hAnsi="宋体" w:cs="宋体" w:eastAsia="宋体" w:hint="default"/>
          <w:sz w:val="18"/>
          <w:szCs w:val="18"/>
        </w:rPr>
      </w:pPr>
      <w:r>
        <w:rPr>
          <w:rFonts w:ascii="宋体" w:hAnsi="宋体" w:cs="宋体" w:eastAsia="宋体" w:hint="default"/>
          <w:sz w:val="18"/>
          <w:szCs w:val="18"/>
        </w:rPr>
        <w:t>主要子公司及对公司净利润影响达</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以上的参股公司情况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spacing w:before="0"/>
        <w:ind w:left="914" w:right="1111" w:firstLine="0"/>
        <w:jc w:val="center"/>
        <w:rPr>
          <w:rFonts w:ascii="宋体" w:hAnsi="宋体" w:cs="宋体" w:eastAsia="宋体" w:hint="default"/>
          <w:sz w:val="18"/>
          <w:szCs w:val="18"/>
        </w:rPr>
      </w:pPr>
      <w:r>
        <w:rPr>
          <w:rFonts w:ascii="宋体" w:hAnsi="宋体" w:cs="宋体" w:eastAsia="宋体" w:hint="default"/>
          <w:sz w:val="18"/>
          <w:szCs w:val="18"/>
        </w:rPr>
        <w:t>单位：元</w:t>
      </w:r>
    </w:p>
    <w:p>
      <w:pPr>
        <w:spacing w:after="0"/>
        <w:jc w:val="center"/>
        <w:rPr>
          <w:rFonts w:ascii="宋体" w:hAnsi="宋体" w:cs="宋体" w:eastAsia="宋体" w:hint="default"/>
          <w:sz w:val="18"/>
          <w:szCs w:val="18"/>
        </w:rPr>
        <w:sectPr>
          <w:type w:val="continuous"/>
          <w:pgSz w:w="11910" w:h="16840"/>
          <w:pgMar w:top="1100" w:bottom="700" w:left="200" w:right="0"/>
          <w:cols w:num="2" w:equalWidth="0">
            <w:col w:w="5629" w:space="3290"/>
            <w:col w:w="2791"/>
          </w:cols>
        </w:sectPr>
      </w:pPr>
    </w:p>
    <w:p>
      <w:pPr>
        <w:spacing w:line="240" w:lineRule="auto" w:before="1"/>
        <w:rPr>
          <w:rFonts w:ascii="宋体" w:hAnsi="宋体" w:cs="宋体" w:eastAsia="宋体" w:hint="default"/>
          <w:sz w:val="8"/>
          <w:szCs w:val="8"/>
        </w:rPr>
      </w:pPr>
      <w:r>
        <w:rPr/>
        <w:pict>
          <v:shape style="position:absolute;margin-left:244.139999pt;margin-top:660.119995pt;width:46.2pt;height:48.8pt;mso-position-horizontal-relative:page;mso-position-vertical-relative:page;z-index:-1402336" type="#_x0000_t202" filled="false" stroked="false">
            <v:textbox inset="0,0,0,0">
              <w:txbxContent>
                <w:p>
                  <w:pPr>
                    <w:spacing w:line="240" w:lineRule="auto" w:before="0"/>
                    <w:rPr>
                      <w:rFonts w:ascii="宋体" w:hAnsi="宋体" w:cs="宋体" w:eastAsia="宋体" w:hint="default"/>
                      <w:sz w:val="14"/>
                      <w:szCs w:val="14"/>
                    </w:rPr>
                  </w:pPr>
                </w:p>
                <w:p>
                  <w:pPr>
                    <w:spacing w:line="240" w:lineRule="auto" w:before="11"/>
                    <w:rPr>
                      <w:rFonts w:ascii="宋体" w:hAnsi="宋体" w:cs="宋体" w:eastAsia="宋体" w:hint="default"/>
                      <w:sz w:val="13"/>
                      <w:szCs w:val="13"/>
                    </w:rPr>
                  </w:pPr>
                </w:p>
                <w:p>
                  <w:pPr>
                    <w:spacing w:before="0"/>
                    <w:ind w:left="0" w:right="0" w:firstLine="0"/>
                    <w:jc w:val="left"/>
                    <w:rPr>
                      <w:rFonts w:ascii="宋体" w:hAnsi="宋体" w:cs="宋体" w:eastAsia="宋体" w:hint="default"/>
                      <w:sz w:val="15"/>
                      <w:szCs w:val="15"/>
                    </w:rPr>
                  </w:pPr>
                  <w:r>
                    <w:rPr>
                      <w:rFonts w:ascii="宋体" w:hAnsi="宋体" w:cs="宋体" w:eastAsia="宋体" w:hint="default"/>
                      <w:sz w:val="15"/>
                      <w:szCs w:val="15"/>
                    </w:rPr>
                    <w:t>、</w:t>
                  </w:r>
                </w:p>
              </w:txbxContent>
            </v:textbox>
            <w10:wrap type="none"/>
          </v:shape>
        </w:pict>
      </w:r>
      <w:r>
        <w:rPr/>
        <w:pict>
          <v:group style="position:absolute;margin-left:248.339996pt;margin-top:701.099976pt;width:42pt;height:7.8pt;mso-position-horizontal-relative:page;mso-position-vertical-relative:page;z-index:-1402288" coordorigin="4967,14022" coordsize="840,156">
            <v:shape style="position:absolute;left:4967;top:14022;width:840;height:156" coordorigin="4967,14022" coordsize="840,156" path="m4967,14178l5807,14178,5807,14022,4967,14022,4967,14178xe" filled="true" fillcolor="#ffffff" stroked="false">
              <v:path arrowok="t"/>
              <v:fill type="solid"/>
            </v:shape>
            <w10:wrap type="none"/>
          </v:group>
        </w:pict>
      </w:r>
    </w:p>
    <w:tbl>
      <w:tblPr>
        <w:tblW w:w="0" w:type="auto"/>
        <w:jc w:val="left"/>
        <w:tblInd w:w="344" w:type="dxa"/>
        <w:tblLayout w:type="fixed"/>
        <w:tblCellMar>
          <w:top w:w="0" w:type="dxa"/>
          <w:left w:w="0" w:type="dxa"/>
          <w:bottom w:w="0" w:type="dxa"/>
          <w:right w:w="0" w:type="dxa"/>
        </w:tblCellMar>
        <w:tblLook w:val="01E0"/>
      </w:tblPr>
      <w:tblGrid>
        <w:gridCol w:w="1294"/>
        <w:gridCol w:w="709"/>
        <w:gridCol w:w="2410"/>
        <w:gridCol w:w="850"/>
        <w:gridCol w:w="1182"/>
        <w:gridCol w:w="1181"/>
        <w:gridCol w:w="1182"/>
        <w:gridCol w:w="998"/>
        <w:gridCol w:w="1001"/>
      </w:tblGrid>
      <w:tr>
        <w:trPr>
          <w:trHeight w:val="694" w:hRule="exact"/>
        </w:trPr>
        <w:tc>
          <w:tcPr>
            <w:tcW w:w="12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281" w:right="0"/>
              <w:jc w:val="left"/>
              <w:rPr>
                <w:rFonts w:ascii="宋体" w:hAnsi="宋体" w:cs="宋体" w:eastAsia="宋体" w:hint="default"/>
                <w:sz w:val="18"/>
                <w:szCs w:val="18"/>
              </w:rPr>
            </w:pPr>
            <w:r>
              <w:rPr>
                <w:rFonts w:ascii="宋体" w:hAnsi="宋体" w:cs="宋体" w:eastAsia="宋体" w:hint="default"/>
                <w:sz w:val="18"/>
                <w:szCs w:val="18"/>
              </w:rPr>
              <w:t>公司名称</w:t>
            </w:r>
          </w:p>
        </w:tc>
        <w:tc>
          <w:tcPr>
            <w:tcW w:w="70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38" w:lineRule="auto" w:before="31"/>
              <w:ind w:left="169" w:right="168"/>
              <w:jc w:val="left"/>
              <w:rPr>
                <w:rFonts w:ascii="宋体" w:hAnsi="宋体" w:cs="宋体" w:eastAsia="宋体" w:hint="default"/>
                <w:sz w:val="18"/>
                <w:szCs w:val="18"/>
              </w:rPr>
            </w:pPr>
            <w:r>
              <w:rPr>
                <w:rFonts w:ascii="宋体" w:hAnsi="宋体" w:cs="宋体" w:eastAsia="宋体" w:hint="default"/>
                <w:sz w:val="18"/>
                <w:szCs w:val="18"/>
              </w:rPr>
              <w:t>公司 类型</w:t>
            </w:r>
          </w:p>
        </w:tc>
        <w:tc>
          <w:tcPr>
            <w:tcW w:w="241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主要业务</w:t>
            </w:r>
          </w:p>
        </w:tc>
        <w:tc>
          <w:tcPr>
            <w:tcW w:w="85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59"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118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315" w:right="0"/>
              <w:jc w:val="left"/>
              <w:rPr>
                <w:rFonts w:ascii="宋体" w:hAnsi="宋体" w:cs="宋体" w:eastAsia="宋体" w:hint="default"/>
                <w:sz w:val="18"/>
                <w:szCs w:val="18"/>
              </w:rPr>
            </w:pPr>
            <w:r>
              <w:rPr>
                <w:rFonts w:ascii="宋体" w:hAnsi="宋体" w:cs="宋体" w:eastAsia="宋体" w:hint="default"/>
                <w:sz w:val="18"/>
                <w:szCs w:val="18"/>
              </w:rPr>
              <w:t>总资产</w:t>
            </w:r>
          </w:p>
        </w:tc>
        <w:tc>
          <w:tcPr>
            <w:tcW w:w="118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315" w:right="0"/>
              <w:jc w:val="left"/>
              <w:rPr>
                <w:rFonts w:ascii="宋体" w:hAnsi="宋体" w:cs="宋体" w:eastAsia="宋体" w:hint="default"/>
                <w:sz w:val="18"/>
                <w:szCs w:val="18"/>
              </w:rPr>
            </w:pPr>
            <w:r>
              <w:rPr>
                <w:rFonts w:ascii="宋体" w:hAnsi="宋体" w:cs="宋体" w:eastAsia="宋体" w:hint="default"/>
                <w:sz w:val="18"/>
                <w:szCs w:val="18"/>
              </w:rPr>
              <w:t>净资产</w:t>
            </w:r>
          </w:p>
        </w:tc>
        <w:tc>
          <w:tcPr>
            <w:tcW w:w="118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225"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9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34" w:right="0"/>
              <w:jc w:val="left"/>
              <w:rPr>
                <w:rFonts w:ascii="宋体" w:hAnsi="宋体" w:cs="宋体" w:eastAsia="宋体" w:hint="default"/>
                <w:sz w:val="18"/>
                <w:szCs w:val="18"/>
              </w:rPr>
            </w:pPr>
            <w:r>
              <w:rPr>
                <w:rFonts w:ascii="宋体" w:hAnsi="宋体" w:cs="宋体" w:eastAsia="宋体" w:hint="default"/>
                <w:sz w:val="18"/>
                <w:szCs w:val="18"/>
              </w:rPr>
              <w:t>营业利润</w:t>
            </w:r>
          </w:p>
        </w:tc>
        <w:tc>
          <w:tcPr>
            <w:tcW w:w="100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224" w:right="0"/>
              <w:jc w:val="left"/>
              <w:rPr>
                <w:rFonts w:ascii="宋体" w:hAnsi="宋体" w:cs="宋体" w:eastAsia="宋体" w:hint="default"/>
                <w:sz w:val="18"/>
                <w:szCs w:val="18"/>
              </w:rPr>
            </w:pPr>
            <w:r>
              <w:rPr>
                <w:rFonts w:ascii="宋体" w:hAnsi="宋体" w:cs="宋体" w:eastAsia="宋体" w:hint="default"/>
                <w:sz w:val="18"/>
                <w:szCs w:val="18"/>
              </w:rPr>
              <w:t>净利润</w:t>
            </w:r>
          </w:p>
        </w:tc>
      </w:tr>
      <w:tr>
        <w:trPr>
          <w:trHeight w:val="674" w:hRule="exact"/>
        </w:trPr>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381" w:lineRule="auto" w:before="54"/>
              <w:ind w:left="1" w:right="80"/>
              <w:jc w:val="left"/>
              <w:rPr>
                <w:rFonts w:ascii="宋体" w:hAnsi="宋体" w:cs="宋体" w:eastAsia="宋体" w:hint="default"/>
                <w:sz w:val="15"/>
                <w:szCs w:val="15"/>
              </w:rPr>
            </w:pPr>
            <w:r>
              <w:rPr>
                <w:rFonts w:ascii="宋体" w:hAnsi="宋体" w:cs="宋体" w:eastAsia="宋体" w:hint="default"/>
                <w:sz w:val="15"/>
                <w:szCs w:val="15"/>
              </w:rPr>
              <w:t>湖南长城科技信息 有限公司</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子公司</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381" w:lineRule="auto" w:before="54"/>
              <w:ind w:left="-1" w:right="-1"/>
              <w:jc w:val="left"/>
              <w:rPr>
                <w:rFonts w:ascii="宋体" w:hAnsi="宋体" w:cs="宋体" w:eastAsia="宋体" w:hint="default"/>
                <w:sz w:val="15"/>
                <w:szCs w:val="15"/>
              </w:rPr>
            </w:pPr>
            <w:r>
              <w:rPr>
                <w:rFonts w:ascii="宋体" w:hAnsi="宋体" w:cs="宋体" w:eastAsia="宋体" w:hint="default"/>
                <w:sz w:val="15"/>
                <w:szCs w:val="15"/>
              </w:rPr>
              <w:t>主要业务为信息系统集成、计算机制 造、通信系统设备制造、软件开发。</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35,000</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万元</w:t>
            </w:r>
          </w:p>
          <w:p>
            <w:pPr>
              <w:pStyle w:val="TableParagraph"/>
              <w:spacing w:line="240" w:lineRule="auto" w:before="104"/>
              <w:ind w:left="-1" w:right="0"/>
              <w:jc w:val="left"/>
              <w:rPr>
                <w:rFonts w:ascii="宋体" w:hAnsi="宋体" w:cs="宋体" w:eastAsia="宋体" w:hint="default"/>
                <w:sz w:val="15"/>
                <w:szCs w:val="15"/>
              </w:rPr>
            </w:pPr>
            <w:r>
              <w:rPr>
                <w:rFonts w:ascii="宋体" w:hAnsi="宋体" w:cs="宋体" w:eastAsia="宋体" w:hint="default"/>
                <w:sz w:val="15"/>
                <w:szCs w:val="15"/>
              </w:rPr>
              <w:t>人民币</w:t>
            </w:r>
          </w:p>
        </w:tc>
        <w:tc>
          <w:tcPr>
            <w:tcW w:w="1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
              <w:jc w:val="right"/>
              <w:rPr>
                <w:rFonts w:ascii="Times New Roman" w:hAnsi="Times New Roman" w:cs="Times New Roman" w:eastAsia="Times New Roman" w:hint="default"/>
                <w:sz w:val="15"/>
                <w:szCs w:val="15"/>
              </w:rPr>
            </w:pPr>
            <w:r>
              <w:rPr>
                <w:rFonts w:ascii="Times New Roman"/>
                <w:spacing w:val="-1"/>
                <w:sz w:val="15"/>
              </w:rPr>
              <w:t>2,565,018,654.19</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2"/>
              <w:jc w:val="right"/>
              <w:rPr>
                <w:rFonts w:ascii="Times New Roman" w:hAnsi="Times New Roman" w:cs="Times New Roman" w:eastAsia="Times New Roman" w:hint="default"/>
                <w:sz w:val="15"/>
                <w:szCs w:val="15"/>
              </w:rPr>
            </w:pPr>
            <w:r>
              <w:rPr>
                <w:rFonts w:ascii="Times New Roman"/>
                <w:spacing w:val="-1"/>
                <w:sz w:val="15"/>
              </w:rPr>
              <w:t>2,554,665,884.57</w:t>
            </w:r>
          </w:p>
        </w:tc>
        <w:tc>
          <w:tcPr>
            <w:tcW w:w="1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2"/>
              <w:jc w:val="right"/>
              <w:rPr>
                <w:rFonts w:ascii="Times New Roman" w:hAnsi="Times New Roman" w:cs="Times New Roman" w:eastAsia="Times New Roman" w:hint="default"/>
                <w:sz w:val="15"/>
                <w:szCs w:val="15"/>
              </w:rPr>
            </w:pPr>
            <w:r>
              <w:rPr>
                <w:rFonts w:ascii="Times New Roman"/>
                <w:spacing w:val="-1"/>
                <w:sz w:val="15"/>
              </w:rPr>
              <w:t>20,537,672.39</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
              <w:jc w:val="right"/>
              <w:rPr>
                <w:rFonts w:ascii="Times New Roman" w:hAnsi="Times New Roman" w:cs="Times New Roman" w:eastAsia="Times New Roman" w:hint="default"/>
                <w:sz w:val="15"/>
                <w:szCs w:val="15"/>
              </w:rPr>
            </w:pPr>
            <w:r>
              <w:rPr>
                <w:rFonts w:ascii="Times New Roman"/>
                <w:spacing w:val="-1"/>
                <w:sz w:val="15"/>
              </w:rPr>
              <w:t>-19,006,051.47</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0"/>
              <w:jc w:val="right"/>
              <w:rPr>
                <w:rFonts w:ascii="Times New Roman" w:hAnsi="Times New Roman" w:cs="Times New Roman" w:eastAsia="Times New Roman" w:hint="default"/>
                <w:sz w:val="15"/>
                <w:szCs w:val="15"/>
              </w:rPr>
            </w:pPr>
            <w:r>
              <w:rPr>
                <w:rFonts w:ascii="Times New Roman"/>
                <w:spacing w:val="-1"/>
                <w:sz w:val="15"/>
              </w:rPr>
              <w:t>-19,006,051.47</w:t>
            </w:r>
          </w:p>
        </w:tc>
      </w:tr>
      <w:tr>
        <w:trPr>
          <w:trHeight w:val="673" w:hRule="exact"/>
        </w:trPr>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381" w:lineRule="auto" w:before="54"/>
              <w:ind w:left="1" w:right="80"/>
              <w:jc w:val="left"/>
              <w:rPr>
                <w:rFonts w:ascii="宋体" w:hAnsi="宋体" w:cs="宋体" w:eastAsia="宋体" w:hint="default"/>
                <w:sz w:val="15"/>
                <w:szCs w:val="15"/>
              </w:rPr>
            </w:pPr>
            <w:r>
              <w:rPr>
                <w:rFonts w:ascii="宋体" w:hAnsi="宋体" w:cs="宋体" w:eastAsia="宋体" w:hint="default"/>
                <w:sz w:val="15"/>
                <w:szCs w:val="15"/>
              </w:rPr>
              <w:t>武汉中原电子集团 有限公司</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子公司</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381" w:lineRule="auto" w:before="54"/>
              <w:ind w:left="-1" w:right="-1"/>
              <w:jc w:val="left"/>
              <w:rPr>
                <w:rFonts w:ascii="宋体" w:hAnsi="宋体" w:cs="宋体" w:eastAsia="宋体" w:hint="default"/>
                <w:sz w:val="15"/>
                <w:szCs w:val="15"/>
              </w:rPr>
            </w:pPr>
            <w:r>
              <w:rPr>
                <w:rFonts w:ascii="宋体" w:hAnsi="宋体" w:cs="宋体" w:eastAsia="宋体" w:hint="default"/>
                <w:sz w:val="15"/>
                <w:szCs w:val="15"/>
              </w:rPr>
              <w:t>主要从事军事电子领域的研发、制造 与服务。</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63,789.10</w:t>
            </w:r>
            <w:r>
              <w:rPr>
                <w:rFonts w:ascii="Times New Roman" w:hAnsi="Times New Roman" w:cs="Times New Roman" w:eastAsia="Times New Roman" w:hint="default"/>
                <w:spacing w:val="-4"/>
                <w:sz w:val="15"/>
                <w:szCs w:val="15"/>
              </w:rPr>
              <w:t> </w:t>
            </w:r>
            <w:r>
              <w:rPr>
                <w:rFonts w:ascii="宋体" w:hAnsi="宋体" w:cs="宋体" w:eastAsia="宋体" w:hint="default"/>
                <w:sz w:val="15"/>
                <w:szCs w:val="15"/>
              </w:rPr>
              <w:t>万</w:t>
            </w:r>
          </w:p>
          <w:p>
            <w:pPr>
              <w:pStyle w:val="TableParagraph"/>
              <w:spacing w:line="240" w:lineRule="auto" w:before="104"/>
              <w:ind w:left="-1" w:right="0"/>
              <w:jc w:val="left"/>
              <w:rPr>
                <w:rFonts w:ascii="宋体" w:hAnsi="宋体" w:cs="宋体" w:eastAsia="宋体" w:hint="default"/>
                <w:sz w:val="15"/>
                <w:szCs w:val="15"/>
              </w:rPr>
            </w:pPr>
            <w:r>
              <w:rPr>
                <w:rFonts w:ascii="宋体" w:hAnsi="宋体" w:cs="宋体" w:eastAsia="宋体" w:hint="default"/>
                <w:sz w:val="15"/>
                <w:szCs w:val="15"/>
              </w:rPr>
              <w:t>元人民币</w:t>
            </w:r>
          </w:p>
        </w:tc>
        <w:tc>
          <w:tcPr>
            <w:tcW w:w="1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
              <w:jc w:val="right"/>
              <w:rPr>
                <w:rFonts w:ascii="Times New Roman" w:hAnsi="Times New Roman" w:cs="Times New Roman" w:eastAsia="Times New Roman" w:hint="default"/>
                <w:sz w:val="15"/>
                <w:szCs w:val="15"/>
              </w:rPr>
            </w:pPr>
            <w:r>
              <w:rPr>
                <w:rFonts w:ascii="Times New Roman"/>
                <w:spacing w:val="-1"/>
                <w:sz w:val="15"/>
              </w:rPr>
              <w:t>5,188,126,863.01</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2"/>
              <w:jc w:val="right"/>
              <w:rPr>
                <w:rFonts w:ascii="Times New Roman" w:hAnsi="Times New Roman" w:cs="Times New Roman" w:eastAsia="Times New Roman" w:hint="default"/>
                <w:sz w:val="15"/>
                <w:szCs w:val="15"/>
              </w:rPr>
            </w:pPr>
            <w:r>
              <w:rPr>
                <w:rFonts w:ascii="Times New Roman"/>
                <w:spacing w:val="-1"/>
                <w:sz w:val="15"/>
              </w:rPr>
              <w:t>2,315,542,410.72</w:t>
            </w:r>
          </w:p>
        </w:tc>
        <w:tc>
          <w:tcPr>
            <w:tcW w:w="1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2"/>
              <w:jc w:val="right"/>
              <w:rPr>
                <w:rFonts w:ascii="Times New Roman" w:hAnsi="Times New Roman" w:cs="Times New Roman" w:eastAsia="Times New Roman" w:hint="default"/>
                <w:sz w:val="15"/>
                <w:szCs w:val="15"/>
              </w:rPr>
            </w:pPr>
            <w:r>
              <w:rPr>
                <w:rFonts w:ascii="Times New Roman"/>
                <w:spacing w:val="-1"/>
                <w:sz w:val="15"/>
              </w:rPr>
              <w:t>3,637,357,092.71</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
              <w:jc w:val="right"/>
              <w:rPr>
                <w:rFonts w:ascii="Times New Roman" w:hAnsi="Times New Roman" w:cs="Times New Roman" w:eastAsia="Times New Roman" w:hint="default"/>
                <w:sz w:val="15"/>
                <w:szCs w:val="15"/>
              </w:rPr>
            </w:pPr>
            <w:r>
              <w:rPr>
                <w:rFonts w:ascii="Times New Roman"/>
                <w:spacing w:val="-1"/>
                <w:sz w:val="15"/>
              </w:rPr>
              <w:t>265,839,039.28</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
              <w:jc w:val="right"/>
              <w:rPr>
                <w:rFonts w:ascii="Times New Roman" w:hAnsi="Times New Roman" w:cs="Times New Roman" w:eastAsia="Times New Roman" w:hint="default"/>
                <w:sz w:val="15"/>
                <w:szCs w:val="15"/>
              </w:rPr>
            </w:pPr>
            <w:r>
              <w:rPr>
                <w:rFonts w:ascii="Times New Roman"/>
                <w:spacing w:val="-1"/>
                <w:sz w:val="15"/>
              </w:rPr>
              <w:t>234,411,092.28</w:t>
            </w:r>
          </w:p>
        </w:tc>
      </w:tr>
      <w:tr>
        <w:trPr>
          <w:trHeight w:val="986" w:hRule="exact"/>
        </w:trPr>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381" w:lineRule="auto" w:before="55"/>
              <w:ind w:left="1" w:right="80"/>
              <w:jc w:val="both"/>
              <w:rPr>
                <w:rFonts w:ascii="宋体" w:hAnsi="宋体" w:cs="宋体" w:eastAsia="宋体" w:hint="default"/>
                <w:sz w:val="15"/>
                <w:szCs w:val="15"/>
              </w:rPr>
            </w:pPr>
            <w:r>
              <w:rPr>
                <w:rFonts w:ascii="宋体" w:hAnsi="宋体" w:cs="宋体" w:eastAsia="宋体" w:hint="default"/>
                <w:sz w:val="15"/>
                <w:szCs w:val="15"/>
              </w:rPr>
              <w:t>北京圣非凡电子系 统技术开发有限公 司</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子公司</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381" w:lineRule="auto" w:before="55"/>
              <w:ind w:left="-1" w:right="-1"/>
              <w:jc w:val="left"/>
              <w:rPr>
                <w:rFonts w:ascii="宋体" w:hAnsi="宋体" w:cs="宋体" w:eastAsia="宋体" w:hint="default"/>
                <w:sz w:val="15"/>
                <w:szCs w:val="15"/>
              </w:rPr>
            </w:pPr>
            <w:r>
              <w:rPr>
                <w:rFonts w:ascii="宋体" w:hAnsi="宋体" w:cs="宋体" w:eastAsia="宋体" w:hint="default"/>
                <w:sz w:val="15"/>
                <w:szCs w:val="15"/>
              </w:rPr>
              <w:t>主要从事水下与远程通信、危爆品拆 </w:t>
            </w:r>
            <w:r>
              <w:rPr>
                <w:rFonts w:ascii="宋体" w:hAnsi="宋体" w:cs="宋体" w:eastAsia="宋体" w:hint="default"/>
                <w:spacing w:val="-5"/>
                <w:sz w:val="15"/>
                <w:szCs w:val="15"/>
              </w:rPr>
              <w:t>解领域相关系统和设备的设计、开发</w:t>
            </w:r>
            <w:r>
              <w:rPr>
                <w:rFonts w:ascii="宋体" w:hAnsi="宋体" w:cs="宋体" w:eastAsia="宋体" w:hint="default"/>
                <w:spacing w:val="-70"/>
                <w:sz w:val="15"/>
                <w:szCs w:val="15"/>
              </w:rPr>
              <w:t> </w:t>
            </w:r>
            <w:r>
              <w:rPr>
                <w:rFonts w:ascii="宋体" w:hAnsi="宋体" w:cs="宋体" w:eastAsia="宋体" w:hint="default"/>
                <w:spacing w:val="-70"/>
                <w:sz w:val="15"/>
                <w:szCs w:val="15"/>
              </w:rPr>
            </w:r>
            <w:r>
              <w:rPr>
                <w:rFonts w:ascii="宋体" w:hAnsi="宋体" w:cs="宋体" w:eastAsia="宋体" w:hint="default"/>
                <w:sz w:val="15"/>
                <w:szCs w:val="15"/>
              </w:rPr>
              <w:t>生产和服务。</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156" w:lineRule="exact"/>
              <w:ind w:right="-50"/>
              <w:jc w:val="left"/>
              <w:rPr>
                <w:rFonts w:ascii="宋体" w:hAnsi="宋体" w:cs="宋体" w:eastAsia="宋体" w:hint="default"/>
                <w:sz w:val="15"/>
                <w:szCs w:val="15"/>
              </w:rPr>
            </w:pPr>
            <w:r>
              <w:rPr>
                <w:rFonts w:ascii="宋体" w:hAnsi="宋体" w:cs="宋体" w:eastAsia="宋体" w:hint="default"/>
                <w:position w:val="-2"/>
                <w:sz w:val="15"/>
                <w:szCs w:val="15"/>
              </w:rPr>
              <w:pict>
                <v:group style="width:42pt;height:7.8pt;mso-position-horizontal-relative:char;mso-position-vertical-relative:line" coordorigin="0,0" coordsize="840,156">
                  <v:group style="position:absolute;left:0;top:0;width:840;height:156" coordorigin="0,0" coordsize="840,156">
                    <v:shape style="position:absolute;left:0;top:0;width:840;height:156" coordorigin="0,0" coordsize="840,156" path="m0,156l840,156,840,0,0,0,0,156xe" filled="true" fillcolor="#ffffff" stroked="false">
                      <v:path arrowok="t"/>
                      <v:fill type="solid"/>
                    </v:shape>
                  </v:group>
                </v:group>
              </w:pict>
            </w:r>
            <w:r>
              <w:rPr>
                <w:rFonts w:ascii="宋体" w:hAnsi="宋体" w:cs="宋体" w:eastAsia="宋体" w:hint="default"/>
                <w:position w:val="-2"/>
                <w:sz w:val="15"/>
                <w:szCs w:val="15"/>
              </w:rPr>
            </w:r>
          </w:p>
          <w:p>
            <w:pPr>
              <w:pStyle w:val="TableParagraph"/>
              <w:spacing w:line="240" w:lineRule="auto" w:before="54"/>
              <w:ind w:left="-1"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18,100</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万元</w:t>
            </w:r>
          </w:p>
          <w:p>
            <w:pPr>
              <w:pStyle w:val="TableParagraph"/>
              <w:spacing w:line="240" w:lineRule="auto" w:before="103"/>
              <w:ind w:left="-1" w:right="0"/>
              <w:jc w:val="left"/>
              <w:rPr>
                <w:rFonts w:ascii="宋体" w:hAnsi="宋体" w:cs="宋体" w:eastAsia="宋体" w:hint="default"/>
                <w:sz w:val="15"/>
                <w:szCs w:val="15"/>
              </w:rPr>
            </w:pPr>
            <w:r>
              <w:rPr>
                <w:rFonts w:ascii="宋体" w:hAnsi="宋体" w:cs="宋体" w:eastAsia="宋体" w:hint="default"/>
                <w:sz w:val="15"/>
                <w:szCs w:val="15"/>
              </w:rPr>
              <w:t>人民币</w:t>
            </w:r>
          </w:p>
        </w:tc>
        <w:tc>
          <w:tcPr>
            <w:tcW w:w="1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0"/>
              <w:jc w:val="right"/>
              <w:rPr>
                <w:rFonts w:ascii="Times New Roman" w:hAnsi="Times New Roman" w:cs="Times New Roman" w:eastAsia="Times New Roman" w:hint="default"/>
                <w:sz w:val="15"/>
                <w:szCs w:val="15"/>
              </w:rPr>
            </w:pPr>
            <w:r>
              <w:rPr>
                <w:rFonts w:ascii="Times New Roman"/>
                <w:spacing w:val="-1"/>
                <w:sz w:val="15"/>
              </w:rPr>
              <w:t>714,648,002.04</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1"/>
              <w:jc w:val="right"/>
              <w:rPr>
                <w:rFonts w:ascii="Times New Roman" w:hAnsi="Times New Roman" w:cs="Times New Roman" w:eastAsia="Times New Roman" w:hint="default"/>
                <w:sz w:val="15"/>
                <w:szCs w:val="15"/>
              </w:rPr>
            </w:pPr>
            <w:r>
              <w:rPr>
                <w:rFonts w:ascii="Times New Roman"/>
                <w:spacing w:val="-1"/>
                <w:sz w:val="15"/>
              </w:rPr>
              <w:t>456,156,380.81</w:t>
            </w:r>
          </w:p>
        </w:tc>
        <w:tc>
          <w:tcPr>
            <w:tcW w:w="1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2"/>
              <w:jc w:val="right"/>
              <w:rPr>
                <w:rFonts w:ascii="Times New Roman" w:hAnsi="Times New Roman" w:cs="Times New Roman" w:eastAsia="Times New Roman" w:hint="default"/>
                <w:sz w:val="15"/>
                <w:szCs w:val="15"/>
              </w:rPr>
            </w:pPr>
            <w:r>
              <w:rPr>
                <w:rFonts w:ascii="Times New Roman"/>
                <w:spacing w:val="-1"/>
                <w:sz w:val="15"/>
              </w:rPr>
              <w:t>180,271,115.83</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2"/>
              <w:jc w:val="right"/>
              <w:rPr>
                <w:rFonts w:ascii="Times New Roman" w:hAnsi="Times New Roman" w:cs="Times New Roman" w:eastAsia="Times New Roman" w:hint="default"/>
                <w:sz w:val="15"/>
                <w:szCs w:val="15"/>
              </w:rPr>
            </w:pPr>
            <w:r>
              <w:rPr>
                <w:rFonts w:ascii="Times New Roman"/>
                <w:spacing w:val="-1"/>
                <w:sz w:val="15"/>
              </w:rPr>
              <w:t>42,703,801.25</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1"/>
              <w:jc w:val="right"/>
              <w:rPr>
                <w:rFonts w:ascii="Times New Roman" w:hAnsi="Times New Roman" w:cs="Times New Roman" w:eastAsia="Times New Roman" w:hint="default"/>
                <w:sz w:val="15"/>
                <w:szCs w:val="15"/>
              </w:rPr>
            </w:pPr>
            <w:r>
              <w:rPr>
                <w:rFonts w:ascii="Times New Roman"/>
                <w:spacing w:val="-1"/>
                <w:sz w:val="15"/>
              </w:rPr>
              <w:t>36,267,427.41</w:t>
            </w:r>
          </w:p>
        </w:tc>
      </w:tr>
      <w:tr>
        <w:trPr>
          <w:trHeight w:val="986" w:hRule="exact"/>
        </w:trPr>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381" w:lineRule="auto"/>
              <w:ind w:left="1" w:right="80"/>
              <w:jc w:val="left"/>
              <w:rPr>
                <w:rFonts w:ascii="宋体" w:hAnsi="宋体" w:cs="宋体" w:eastAsia="宋体" w:hint="default"/>
                <w:sz w:val="15"/>
                <w:szCs w:val="15"/>
              </w:rPr>
            </w:pPr>
            <w:r>
              <w:rPr>
                <w:rFonts w:ascii="宋体" w:hAnsi="宋体" w:cs="宋体" w:eastAsia="宋体" w:hint="default"/>
                <w:sz w:val="15"/>
                <w:szCs w:val="15"/>
              </w:rPr>
              <w:t>湖南长城计算机系 统有限公司</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子公司</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381" w:lineRule="auto" w:before="54"/>
              <w:ind w:left="-1" w:right="-1"/>
              <w:jc w:val="both"/>
              <w:rPr>
                <w:rFonts w:ascii="宋体" w:hAnsi="宋体" w:cs="宋体" w:eastAsia="宋体" w:hint="default"/>
                <w:sz w:val="15"/>
                <w:szCs w:val="15"/>
              </w:rPr>
            </w:pPr>
            <w:r>
              <w:rPr>
                <w:rFonts w:ascii="宋体" w:hAnsi="宋体" w:cs="宋体" w:eastAsia="宋体" w:hint="default"/>
                <w:sz w:val="15"/>
                <w:szCs w:val="15"/>
              </w:rPr>
              <w:t>主要业务为电子计算机软件、硬件系 统及网络系统的技术开发、生产及销 售。</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1"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10,000</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万元</w:t>
            </w:r>
          </w:p>
          <w:p>
            <w:pPr>
              <w:pStyle w:val="TableParagraph"/>
              <w:spacing w:line="240" w:lineRule="auto" w:before="104"/>
              <w:ind w:left="-1" w:right="0"/>
              <w:jc w:val="left"/>
              <w:rPr>
                <w:rFonts w:ascii="宋体" w:hAnsi="宋体" w:cs="宋体" w:eastAsia="宋体" w:hint="default"/>
                <w:sz w:val="15"/>
                <w:szCs w:val="15"/>
              </w:rPr>
            </w:pPr>
            <w:r>
              <w:rPr>
                <w:rFonts w:ascii="宋体" w:hAnsi="宋体" w:cs="宋体" w:eastAsia="宋体" w:hint="default"/>
                <w:sz w:val="15"/>
                <w:szCs w:val="15"/>
              </w:rPr>
              <w:t>人民币</w:t>
            </w:r>
          </w:p>
        </w:tc>
        <w:tc>
          <w:tcPr>
            <w:tcW w:w="1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0"/>
              <w:jc w:val="right"/>
              <w:rPr>
                <w:rFonts w:ascii="Times New Roman" w:hAnsi="Times New Roman" w:cs="Times New Roman" w:eastAsia="Times New Roman" w:hint="default"/>
                <w:sz w:val="15"/>
                <w:szCs w:val="15"/>
              </w:rPr>
            </w:pPr>
            <w:r>
              <w:rPr>
                <w:rFonts w:ascii="Times New Roman"/>
                <w:spacing w:val="-1"/>
                <w:sz w:val="15"/>
              </w:rPr>
              <w:t>512,804,202.84</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
              <w:jc w:val="right"/>
              <w:rPr>
                <w:rFonts w:ascii="Times New Roman" w:hAnsi="Times New Roman" w:cs="Times New Roman" w:eastAsia="Times New Roman" w:hint="default"/>
                <w:sz w:val="15"/>
                <w:szCs w:val="15"/>
              </w:rPr>
            </w:pPr>
            <w:r>
              <w:rPr>
                <w:rFonts w:ascii="Times New Roman"/>
                <w:spacing w:val="-1"/>
                <w:sz w:val="15"/>
              </w:rPr>
              <w:t>115,241,682.42</w:t>
            </w:r>
          </w:p>
        </w:tc>
        <w:tc>
          <w:tcPr>
            <w:tcW w:w="1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
              <w:jc w:val="right"/>
              <w:rPr>
                <w:rFonts w:ascii="Times New Roman" w:hAnsi="Times New Roman" w:cs="Times New Roman" w:eastAsia="Times New Roman" w:hint="default"/>
                <w:sz w:val="15"/>
                <w:szCs w:val="15"/>
              </w:rPr>
            </w:pPr>
            <w:r>
              <w:rPr>
                <w:rFonts w:ascii="Times New Roman"/>
                <w:spacing w:val="-1"/>
                <w:sz w:val="15"/>
              </w:rPr>
              <w:t>948,287,054.36</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
              <w:jc w:val="right"/>
              <w:rPr>
                <w:rFonts w:ascii="Times New Roman" w:hAnsi="Times New Roman" w:cs="Times New Roman" w:eastAsia="Times New Roman" w:hint="default"/>
                <w:sz w:val="15"/>
                <w:szCs w:val="15"/>
              </w:rPr>
            </w:pPr>
            <w:r>
              <w:rPr>
                <w:rFonts w:ascii="Times New Roman"/>
                <w:spacing w:val="-1"/>
                <w:sz w:val="15"/>
              </w:rPr>
              <w:t>2,184,172.21</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0"/>
              <w:jc w:val="right"/>
              <w:rPr>
                <w:rFonts w:ascii="Times New Roman" w:hAnsi="Times New Roman" w:cs="Times New Roman" w:eastAsia="Times New Roman" w:hint="default"/>
                <w:sz w:val="15"/>
                <w:szCs w:val="15"/>
              </w:rPr>
            </w:pPr>
            <w:r>
              <w:rPr>
                <w:rFonts w:ascii="Times New Roman"/>
                <w:spacing w:val="-1"/>
                <w:sz w:val="15"/>
              </w:rPr>
              <w:t>3,135,241.69</w:t>
            </w:r>
          </w:p>
        </w:tc>
      </w:tr>
    </w:tbl>
    <w:p>
      <w:pPr>
        <w:spacing w:after="0" w:line="240" w:lineRule="auto"/>
        <w:jc w:val="right"/>
        <w:rPr>
          <w:rFonts w:ascii="Times New Roman" w:hAnsi="Times New Roman" w:cs="Times New Roman" w:eastAsia="Times New Roman" w:hint="default"/>
          <w:sz w:val="15"/>
          <w:szCs w:val="15"/>
        </w:rPr>
        <w:sectPr>
          <w:type w:val="continuous"/>
          <w:pgSz w:w="11910" w:h="16840"/>
          <w:pgMar w:top="1100" w:bottom="700" w:left="200" w:right="0"/>
        </w:sectPr>
      </w:pPr>
    </w:p>
    <w:p>
      <w:pPr>
        <w:spacing w:line="240" w:lineRule="auto" w:before="5"/>
        <w:rPr>
          <w:rFonts w:ascii="宋体" w:hAnsi="宋体" w:cs="宋体" w:eastAsia="宋体" w:hint="default"/>
          <w:sz w:val="25"/>
          <w:szCs w:val="25"/>
        </w:rPr>
      </w:pPr>
    </w:p>
    <w:tbl>
      <w:tblPr>
        <w:tblW w:w="0" w:type="auto"/>
        <w:jc w:val="left"/>
        <w:tblInd w:w="104" w:type="dxa"/>
        <w:tblLayout w:type="fixed"/>
        <w:tblCellMar>
          <w:top w:w="0" w:type="dxa"/>
          <w:left w:w="0" w:type="dxa"/>
          <w:bottom w:w="0" w:type="dxa"/>
          <w:right w:w="0" w:type="dxa"/>
        </w:tblCellMar>
        <w:tblLook w:val="01E0"/>
      </w:tblPr>
      <w:tblGrid>
        <w:gridCol w:w="1294"/>
        <w:gridCol w:w="709"/>
        <w:gridCol w:w="2410"/>
        <w:gridCol w:w="850"/>
        <w:gridCol w:w="1182"/>
        <w:gridCol w:w="1181"/>
        <w:gridCol w:w="1182"/>
        <w:gridCol w:w="998"/>
        <w:gridCol w:w="1001"/>
      </w:tblGrid>
      <w:tr>
        <w:trPr>
          <w:trHeight w:val="674" w:hRule="exact"/>
        </w:trPr>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381" w:lineRule="auto" w:before="54"/>
              <w:ind w:left="1" w:right="-1"/>
              <w:jc w:val="left"/>
              <w:rPr>
                <w:rFonts w:ascii="宋体" w:hAnsi="宋体" w:cs="宋体" w:eastAsia="宋体" w:hint="default"/>
                <w:sz w:val="15"/>
                <w:szCs w:val="15"/>
              </w:rPr>
            </w:pPr>
            <w:r>
              <w:rPr>
                <w:rFonts w:ascii="宋体" w:hAnsi="宋体" w:cs="宋体" w:eastAsia="宋体" w:hint="default"/>
                <w:spacing w:val="-8"/>
                <w:sz w:val="15"/>
                <w:szCs w:val="15"/>
              </w:rPr>
              <w:t>中国长城计算机（香</w:t>
            </w:r>
            <w:r>
              <w:rPr>
                <w:rFonts w:ascii="宋体" w:hAnsi="宋体" w:cs="宋体" w:eastAsia="宋体" w:hint="default"/>
                <w:spacing w:val="-71"/>
                <w:sz w:val="15"/>
                <w:szCs w:val="15"/>
              </w:rPr>
              <w:t> </w:t>
            </w:r>
            <w:r>
              <w:rPr>
                <w:rFonts w:ascii="宋体" w:hAnsi="宋体" w:cs="宋体" w:eastAsia="宋体" w:hint="default"/>
                <w:spacing w:val="-71"/>
                <w:sz w:val="15"/>
                <w:szCs w:val="15"/>
              </w:rPr>
            </w:r>
            <w:r>
              <w:rPr>
                <w:rFonts w:ascii="宋体" w:hAnsi="宋体" w:cs="宋体" w:eastAsia="宋体" w:hint="default"/>
                <w:sz w:val="15"/>
                <w:szCs w:val="15"/>
              </w:rPr>
              <w:t>港）控股有限公司</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子公司</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381" w:lineRule="auto" w:before="54"/>
              <w:ind w:left="-1" w:right="-1"/>
              <w:jc w:val="left"/>
              <w:rPr>
                <w:rFonts w:ascii="宋体" w:hAnsi="宋体" w:cs="宋体" w:eastAsia="宋体" w:hint="default"/>
                <w:sz w:val="15"/>
                <w:szCs w:val="15"/>
              </w:rPr>
            </w:pPr>
            <w:r>
              <w:rPr>
                <w:rFonts w:ascii="宋体" w:hAnsi="宋体" w:cs="宋体" w:eastAsia="宋体" w:hint="default"/>
                <w:sz w:val="15"/>
                <w:szCs w:val="15"/>
              </w:rPr>
              <w:t>主要业务为计算机产品的开发、销售 及元件、重要设备采购等。</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2,566.65</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万</w:t>
            </w:r>
          </w:p>
          <w:p>
            <w:pPr>
              <w:pStyle w:val="TableParagraph"/>
              <w:spacing w:line="240" w:lineRule="auto" w:before="104"/>
              <w:ind w:left="-1" w:right="0"/>
              <w:jc w:val="left"/>
              <w:rPr>
                <w:rFonts w:ascii="宋体" w:hAnsi="宋体" w:cs="宋体" w:eastAsia="宋体" w:hint="default"/>
                <w:sz w:val="15"/>
                <w:szCs w:val="15"/>
              </w:rPr>
            </w:pPr>
            <w:r>
              <w:rPr>
                <w:rFonts w:ascii="宋体" w:hAnsi="宋体" w:cs="宋体" w:eastAsia="宋体" w:hint="default"/>
                <w:sz w:val="15"/>
                <w:szCs w:val="15"/>
              </w:rPr>
              <w:t>港币</w:t>
            </w:r>
          </w:p>
        </w:tc>
        <w:tc>
          <w:tcPr>
            <w:tcW w:w="1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0"/>
              <w:jc w:val="right"/>
              <w:rPr>
                <w:rFonts w:ascii="Times New Roman" w:hAnsi="Times New Roman" w:cs="Times New Roman" w:eastAsia="Times New Roman" w:hint="default"/>
                <w:sz w:val="15"/>
                <w:szCs w:val="15"/>
              </w:rPr>
            </w:pPr>
            <w:r>
              <w:rPr>
                <w:rFonts w:ascii="Times New Roman"/>
                <w:spacing w:val="-1"/>
                <w:sz w:val="15"/>
              </w:rPr>
              <w:t>284,213,903.60</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
              <w:jc w:val="right"/>
              <w:rPr>
                <w:rFonts w:ascii="Times New Roman" w:hAnsi="Times New Roman" w:cs="Times New Roman" w:eastAsia="Times New Roman" w:hint="default"/>
                <w:sz w:val="15"/>
                <w:szCs w:val="15"/>
              </w:rPr>
            </w:pPr>
            <w:r>
              <w:rPr>
                <w:rFonts w:ascii="Times New Roman"/>
                <w:spacing w:val="-1"/>
                <w:sz w:val="15"/>
              </w:rPr>
              <w:t>108,910,527.10</w:t>
            </w:r>
          </w:p>
        </w:tc>
        <w:tc>
          <w:tcPr>
            <w:tcW w:w="1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
              <w:jc w:val="right"/>
              <w:rPr>
                <w:rFonts w:ascii="Times New Roman" w:hAnsi="Times New Roman" w:cs="Times New Roman" w:eastAsia="Times New Roman" w:hint="default"/>
                <w:sz w:val="15"/>
                <w:szCs w:val="15"/>
              </w:rPr>
            </w:pPr>
            <w:r>
              <w:rPr>
                <w:rFonts w:ascii="Times New Roman"/>
                <w:spacing w:val="-1"/>
                <w:sz w:val="15"/>
              </w:rPr>
              <w:t>675,453,593.49</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2"/>
              <w:jc w:val="right"/>
              <w:rPr>
                <w:rFonts w:ascii="Times New Roman" w:hAnsi="Times New Roman" w:cs="Times New Roman" w:eastAsia="Times New Roman" w:hint="default"/>
                <w:sz w:val="15"/>
                <w:szCs w:val="15"/>
              </w:rPr>
            </w:pPr>
            <w:r>
              <w:rPr>
                <w:rFonts w:ascii="Times New Roman"/>
                <w:spacing w:val="-1"/>
                <w:sz w:val="15"/>
              </w:rPr>
              <w:t>12,266,289.17</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
              <w:jc w:val="right"/>
              <w:rPr>
                <w:rFonts w:ascii="Times New Roman" w:hAnsi="Times New Roman" w:cs="Times New Roman" w:eastAsia="Times New Roman" w:hint="default"/>
                <w:sz w:val="15"/>
                <w:szCs w:val="15"/>
              </w:rPr>
            </w:pPr>
            <w:r>
              <w:rPr>
                <w:rFonts w:ascii="Times New Roman"/>
                <w:spacing w:val="-1"/>
                <w:sz w:val="15"/>
              </w:rPr>
              <w:t>12,266,289.17</w:t>
            </w:r>
          </w:p>
        </w:tc>
      </w:tr>
      <w:tr>
        <w:trPr>
          <w:trHeight w:val="673" w:hRule="exact"/>
        </w:trPr>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381" w:lineRule="auto" w:before="54"/>
              <w:ind w:left="1" w:right="80"/>
              <w:jc w:val="left"/>
              <w:rPr>
                <w:rFonts w:ascii="宋体" w:hAnsi="宋体" w:cs="宋体" w:eastAsia="宋体" w:hint="default"/>
                <w:sz w:val="15"/>
                <w:szCs w:val="15"/>
              </w:rPr>
            </w:pPr>
            <w:r>
              <w:rPr>
                <w:rFonts w:ascii="宋体" w:hAnsi="宋体" w:cs="宋体" w:eastAsia="宋体" w:hint="default"/>
                <w:sz w:val="15"/>
                <w:szCs w:val="15"/>
              </w:rPr>
              <w:t>深圳中电长城能源 有限公司</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子公司</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381" w:lineRule="auto" w:before="54"/>
              <w:ind w:left="-1" w:right="-1"/>
              <w:jc w:val="left"/>
              <w:rPr>
                <w:rFonts w:ascii="宋体" w:hAnsi="宋体" w:cs="宋体" w:eastAsia="宋体" w:hint="default"/>
                <w:sz w:val="15"/>
                <w:szCs w:val="15"/>
              </w:rPr>
            </w:pPr>
            <w:r>
              <w:rPr>
                <w:rFonts w:ascii="宋体" w:hAnsi="宋体" w:cs="宋体" w:eastAsia="宋体" w:hint="default"/>
                <w:sz w:val="15"/>
                <w:szCs w:val="15"/>
              </w:rPr>
              <w:t>主要业务为电源逆变器和太阳能电池 的制造、生产及销售等。</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45,252</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万元</w:t>
            </w:r>
          </w:p>
          <w:p>
            <w:pPr>
              <w:pStyle w:val="TableParagraph"/>
              <w:spacing w:line="240" w:lineRule="auto" w:before="104"/>
              <w:ind w:left="-1" w:right="0"/>
              <w:jc w:val="left"/>
              <w:rPr>
                <w:rFonts w:ascii="宋体" w:hAnsi="宋体" w:cs="宋体" w:eastAsia="宋体" w:hint="default"/>
                <w:sz w:val="15"/>
                <w:szCs w:val="15"/>
              </w:rPr>
            </w:pPr>
            <w:r>
              <w:rPr>
                <w:rFonts w:ascii="宋体" w:hAnsi="宋体" w:cs="宋体" w:eastAsia="宋体" w:hint="default"/>
                <w:sz w:val="15"/>
                <w:szCs w:val="15"/>
              </w:rPr>
              <w:t>人民币</w:t>
            </w:r>
          </w:p>
        </w:tc>
        <w:tc>
          <w:tcPr>
            <w:tcW w:w="1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0"/>
              <w:jc w:val="right"/>
              <w:rPr>
                <w:rFonts w:ascii="Times New Roman" w:hAnsi="Times New Roman" w:cs="Times New Roman" w:eastAsia="Times New Roman" w:hint="default"/>
                <w:sz w:val="15"/>
                <w:szCs w:val="15"/>
              </w:rPr>
            </w:pPr>
            <w:r>
              <w:rPr>
                <w:rFonts w:ascii="Times New Roman"/>
                <w:spacing w:val="-1"/>
                <w:sz w:val="15"/>
              </w:rPr>
              <w:t>245,305,379.63</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
              <w:jc w:val="right"/>
              <w:rPr>
                <w:rFonts w:ascii="Times New Roman" w:hAnsi="Times New Roman" w:cs="Times New Roman" w:eastAsia="Times New Roman" w:hint="default"/>
                <w:sz w:val="15"/>
                <w:szCs w:val="15"/>
              </w:rPr>
            </w:pPr>
            <w:r>
              <w:rPr>
                <w:rFonts w:ascii="Times New Roman"/>
                <w:spacing w:val="-1"/>
                <w:sz w:val="15"/>
              </w:rPr>
              <w:t>163,559,792.97</w:t>
            </w:r>
          </w:p>
        </w:tc>
        <w:tc>
          <w:tcPr>
            <w:tcW w:w="1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2"/>
              <w:jc w:val="right"/>
              <w:rPr>
                <w:rFonts w:ascii="Times New Roman" w:hAnsi="Times New Roman" w:cs="Times New Roman" w:eastAsia="Times New Roman" w:hint="default"/>
                <w:sz w:val="15"/>
                <w:szCs w:val="15"/>
              </w:rPr>
            </w:pPr>
            <w:r>
              <w:rPr>
                <w:rFonts w:ascii="Times New Roman"/>
                <w:spacing w:val="-1"/>
                <w:sz w:val="15"/>
              </w:rPr>
              <w:t>68,600,254.49</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2"/>
              <w:jc w:val="right"/>
              <w:rPr>
                <w:rFonts w:ascii="Times New Roman" w:hAnsi="Times New Roman" w:cs="Times New Roman" w:eastAsia="Times New Roman" w:hint="default"/>
                <w:sz w:val="15"/>
                <w:szCs w:val="15"/>
              </w:rPr>
            </w:pPr>
            <w:r>
              <w:rPr>
                <w:rFonts w:ascii="Times New Roman"/>
                <w:spacing w:val="-1"/>
                <w:sz w:val="15"/>
              </w:rPr>
              <w:t>-9,884,518.39</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0"/>
              <w:jc w:val="right"/>
              <w:rPr>
                <w:rFonts w:ascii="Times New Roman" w:hAnsi="Times New Roman" w:cs="Times New Roman" w:eastAsia="Times New Roman" w:hint="default"/>
                <w:sz w:val="15"/>
                <w:szCs w:val="15"/>
              </w:rPr>
            </w:pPr>
            <w:r>
              <w:rPr>
                <w:rFonts w:ascii="Times New Roman"/>
                <w:spacing w:val="-1"/>
                <w:sz w:val="15"/>
              </w:rPr>
              <w:t>-10,005,941.05</w:t>
            </w:r>
          </w:p>
        </w:tc>
      </w:tr>
      <w:tr>
        <w:trPr>
          <w:trHeight w:val="674" w:hRule="exact"/>
        </w:trPr>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379" w:lineRule="auto" w:before="55"/>
              <w:ind w:left="1" w:right="80"/>
              <w:jc w:val="left"/>
              <w:rPr>
                <w:rFonts w:ascii="宋体" w:hAnsi="宋体" w:cs="宋体" w:eastAsia="宋体" w:hint="default"/>
                <w:sz w:val="15"/>
                <w:szCs w:val="15"/>
              </w:rPr>
            </w:pPr>
            <w:r>
              <w:rPr>
                <w:rFonts w:ascii="宋体" w:hAnsi="宋体" w:cs="宋体" w:eastAsia="宋体" w:hint="default"/>
                <w:sz w:val="15"/>
                <w:szCs w:val="15"/>
              </w:rPr>
              <w:t>深圳中电长城信息 安全系统有限公司</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子公司</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379" w:lineRule="auto" w:before="55"/>
              <w:ind w:left="-1" w:right="-1"/>
              <w:jc w:val="left"/>
              <w:rPr>
                <w:rFonts w:ascii="宋体" w:hAnsi="宋体" w:cs="宋体" w:eastAsia="宋体" w:hint="default"/>
                <w:sz w:val="15"/>
                <w:szCs w:val="15"/>
              </w:rPr>
            </w:pPr>
            <w:r>
              <w:rPr>
                <w:rFonts w:ascii="宋体" w:hAnsi="宋体" w:cs="宋体" w:eastAsia="宋体" w:hint="default"/>
                <w:sz w:val="15"/>
                <w:szCs w:val="15"/>
              </w:rPr>
              <w:t>主要业务为计算机及网络相关软硬件 产品的研发、销售及服务等。</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1"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27,000</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万元</w:t>
            </w:r>
          </w:p>
          <w:p>
            <w:pPr>
              <w:pStyle w:val="TableParagraph"/>
              <w:spacing w:line="240" w:lineRule="auto" w:before="103"/>
              <w:ind w:left="-1" w:right="0"/>
              <w:jc w:val="left"/>
              <w:rPr>
                <w:rFonts w:ascii="宋体" w:hAnsi="宋体" w:cs="宋体" w:eastAsia="宋体" w:hint="default"/>
                <w:sz w:val="15"/>
                <w:szCs w:val="15"/>
              </w:rPr>
            </w:pPr>
            <w:r>
              <w:rPr>
                <w:rFonts w:ascii="宋体" w:hAnsi="宋体" w:cs="宋体" w:eastAsia="宋体" w:hint="default"/>
                <w:sz w:val="15"/>
                <w:szCs w:val="15"/>
              </w:rPr>
              <w:t>人民币</w:t>
            </w:r>
          </w:p>
        </w:tc>
        <w:tc>
          <w:tcPr>
            <w:tcW w:w="1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0"/>
              <w:jc w:val="right"/>
              <w:rPr>
                <w:rFonts w:ascii="Times New Roman" w:hAnsi="Times New Roman" w:cs="Times New Roman" w:eastAsia="Times New Roman" w:hint="default"/>
                <w:sz w:val="15"/>
                <w:szCs w:val="15"/>
              </w:rPr>
            </w:pPr>
            <w:r>
              <w:rPr>
                <w:rFonts w:ascii="Times New Roman"/>
                <w:spacing w:val="-1"/>
                <w:sz w:val="15"/>
              </w:rPr>
              <w:t>493,535,773.86</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2"/>
              <w:jc w:val="right"/>
              <w:rPr>
                <w:rFonts w:ascii="Times New Roman" w:hAnsi="Times New Roman" w:cs="Times New Roman" w:eastAsia="Times New Roman" w:hint="default"/>
                <w:sz w:val="15"/>
                <w:szCs w:val="15"/>
              </w:rPr>
            </w:pPr>
            <w:r>
              <w:rPr>
                <w:rFonts w:ascii="Times New Roman"/>
                <w:spacing w:val="-1"/>
                <w:sz w:val="15"/>
              </w:rPr>
              <w:t>65,585,722.25</w:t>
            </w:r>
          </w:p>
        </w:tc>
        <w:tc>
          <w:tcPr>
            <w:tcW w:w="1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
              <w:jc w:val="right"/>
              <w:rPr>
                <w:rFonts w:ascii="Times New Roman" w:hAnsi="Times New Roman" w:cs="Times New Roman" w:eastAsia="Times New Roman" w:hint="default"/>
                <w:sz w:val="15"/>
                <w:szCs w:val="15"/>
              </w:rPr>
            </w:pPr>
            <w:r>
              <w:rPr>
                <w:rFonts w:ascii="Times New Roman"/>
                <w:spacing w:val="-1"/>
                <w:sz w:val="15"/>
              </w:rPr>
              <w:t>127,161,914.70</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
              <w:jc w:val="right"/>
              <w:rPr>
                <w:rFonts w:ascii="Times New Roman" w:hAnsi="Times New Roman" w:cs="Times New Roman" w:eastAsia="Times New Roman" w:hint="default"/>
                <w:sz w:val="15"/>
                <w:szCs w:val="15"/>
              </w:rPr>
            </w:pPr>
            <w:r>
              <w:rPr>
                <w:rFonts w:ascii="Times New Roman"/>
                <w:spacing w:val="-1"/>
                <w:sz w:val="15"/>
              </w:rPr>
              <w:t>-16,253,935.98</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0"/>
              <w:jc w:val="right"/>
              <w:rPr>
                <w:rFonts w:ascii="Times New Roman" w:hAnsi="Times New Roman" w:cs="Times New Roman" w:eastAsia="Times New Roman" w:hint="default"/>
                <w:sz w:val="15"/>
                <w:szCs w:val="15"/>
              </w:rPr>
            </w:pPr>
            <w:r>
              <w:rPr>
                <w:rFonts w:ascii="Times New Roman"/>
                <w:spacing w:val="-1"/>
                <w:sz w:val="15"/>
              </w:rPr>
              <w:t>-16,253,935.98</w:t>
            </w:r>
          </w:p>
        </w:tc>
      </w:tr>
      <w:tr>
        <w:trPr>
          <w:trHeight w:val="674" w:hRule="exact"/>
        </w:trPr>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381" w:lineRule="auto" w:before="54"/>
              <w:ind w:left="1" w:right="80"/>
              <w:jc w:val="left"/>
              <w:rPr>
                <w:rFonts w:ascii="宋体" w:hAnsi="宋体" w:cs="宋体" w:eastAsia="宋体" w:hint="default"/>
                <w:sz w:val="15"/>
                <w:szCs w:val="15"/>
              </w:rPr>
            </w:pPr>
            <w:r>
              <w:rPr>
                <w:rFonts w:ascii="宋体" w:hAnsi="宋体" w:cs="宋体" w:eastAsia="宋体" w:hint="default"/>
                <w:sz w:val="15"/>
                <w:szCs w:val="15"/>
              </w:rPr>
              <w:t>柏怡国际控股有限 公司</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子公司</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381" w:lineRule="auto" w:before="54"/>
              <w:ind w:left="-1" w:right="-1"/>
              <w:jc w:val="left"/>
              <w:rPr>
                <w:rFonts w:ascii="宋体" w:hAnsi="宋体" w:cs="宋体" w:eastAsia="宋体" w:hint="default"/>
                <w:sz w:val="15"/>
                <w:szCs w:val="15"/>
              </w:rPr>
            </w:pPr>
            <w:r>
              <w:rPr>
                <w:rFonts w:ascii="宋体" w:hAnsi="宋体" w:cs="宋体" w:eastAsia="宋体" w:hint="default"/>
                <w:sz w:val="15"/>
                <w:szCs w:val="15"/>
              </w:rPr>
              <w:t>主要业务为开关电源设计、制造、销 售。</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1"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100 </w:t>
            </w:r>
            <w:r>
              <w:rPr>
                <w:rFonts w:ascii="宋体" w:hAnsi="宋体" w:cs="宋体" w:eastAsia="宋体" w:hint="default"/>
                <w:sz w:val="15"/>
                <w:szCs w:val="15"/>
              </w:rPr>
              <w:t>万美元</w:t>
            </w:r>
          </w:p>
        </w:tc>
        <w:tc>
          <w:tcPr>
            <w:tcW w:w="1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0"/>
              <w:jc w:val="right"/>
              <w:rPr>
                <w:rFonts w:ascii="Times New Roman" w:hAnsi="Times New Roman" w:cs="Times New Roman" w:eastAsia="Times New Roman" w:hint="default"/>
                <w:sz w:val="15"/>
                <w:szCs w:val="15"/>
              </w:rPr>
            </w:pPr>
            <w:r>
              <w:rPr>
                <w:rFonts w:ascii="Times New Roman"/>
                <w:spacing w:val="-1"/>
                <w:sz w:val="15"/>
              </w:rPr>
              <w:t>876,167,307.97</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
              <w:jc w:val="right"/>
              <w:rPr>
                <w:rFonts w:ascii="Times New Roman" w:hAnsi="Times New Roman" w:cs="Times New Roman" w:eastAsia="Times New Roman" w:hint="default"/>
                <w:sz w:val="15"/>
                <w:szCs w:val="15"/>
              </w:rPr>
            </w:pPr>
            <w:r>
              <w:rPr>
                <w:rFonts w:ascii="Times New Roman"/>
                <w:spacing w:val="-1"/>
                <w:sz w:val="15"/>
              </w:rPr>
              <w:t>420,490,302.72</w:t>
            </w:r>
          </w:p>
        </w:tc>
        <w:tc>
          <w:tcPr>
            <w:tcW w:w="1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2"/>
              <w:jc w:val="right"/>
              <w:rPr>
                <w:rFonts w:ascii="Times New Roman" w:hAnsi="Times New Roman" w:cs="Times New Roman" w:eastAsia="Times New Roman" w:hint="default"/>
                <w:sz w:val="15"/>
                <w:szCs w:val="15"/>
              </w:rPr>
            </w:pPr>
            <w:r>
              <w:rPr>
                <w:rFonts w:ascii="Times New Roman"/>
                <w:spacing w:val="-1"/>
                <w:sz w:val="15"/>
              </w:rPr>
              <w:t>1,462,131,372.83</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2"/>
              <w:jc w:val="right"/>
              <w:rPr>
                <w:rFonts w:ascii="Times New Roman" w:hAnsi="Times New Roman" w:cs="Times New Roman" w:eastAsia="Times New Roman" w:hint="default"/>
                <w:sz w:val="15"/>
                <w:szCs w:val="15"/>
              </w:rPr>
            </w:pPr>
            <w:r>
              <w:rPr>
                <w:rFonts w:ascii="Times New Roman"/>
                <w:spacing w:val="-1"/>
                <w:sz w:val="15"/>
              </w:rPr>
              <w:t>71,456,618.78</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
              <w:jc w:val="right"/>
              <w:rPr>
                <w:rFonts w:ascii="Times New Roman" w:hAnsi="Times New Roman" w:cs="Times New Roman" w:eastAsia="Times New Roman" w:hint="default"/>
                <w:sz w:val="15"/>
                <w:szCs w:val="15"/>
              </w:rPr>
            </w:pPr>
            <w:r>
              <w:rPr>
                <w:rFonts w:ascii="Times New Roman"/>
                <w:spacing w:val="-1"/>
                <w:sz w:val="15"/>
              </w:rPr>
              <w:t>60,436,219.97</w:t>
            </w:r>
          </w:p>
        </w:tc>
      </w:tr>
      <w:tr>
        <w:trPr>
          <w:trHeight w:val="673" w:hRule="exact"/>
        </w:trPr>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381" w:lineRule="auto" w:before="54"/>
              <w:ind w:left="1" w:right="80"/>
              <w:jc w:val="left"/>
              <w:rPr>
                <w:rFonts w:ascii="宋体" w:hAnsi="宋体" w:cs="宋体" w:eastAsia="宋体" w:hint="default"/>
                <w:sz w:val="15"/>
                <w:szCs w:val="15"/>
              </w:rPr>
            </w:pPr>
            <w:r>
              <w:rPr>
                <w:rFonts w:ascii="宋体" w:hAnsi="宋体" w:cs="宋体" w:eastAsia="宋体" w:hint="default"/>
                <w:sz w:val="15"/>
                <w:szCs w:val="15"/>
              </w:rPr>
              <w:t>湖南长城信息金融 设备有限责任公司</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子公司</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1" w:right="0"/>
              <w:jc w:val="left"/>
              <w:rPr>
                <w:rFonts w:ascii="宋体" w:hAnsi="宋体" w:cs="宋体" w:eastAsia="宋体" w:hint="default"/>
                <w:sz w:val="15"/>
                <w:szCs w:val="15"/>
              </w:rPr>
            </w:pPr>
            <w:r>
              <w:rPr>
                <w:rFonts w:ascii="宋体" w:hAnsi="宋体" w:cs="宋体" w:eastAsia="宋体" w:hint="default"/>
                <w:sz w:val="15"/>
                <w:szCs w:val="15"/>
              </w:rPr>
              <w:t>主要业务为金融设备生产和销售。</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35,000</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万元</w:t>
            </w:r>
          </w:p>
          <w:p>
            <w:pPr>
              <w:pStyle w:val="TableParagraph"/>
              <w:spacing w:line="240" w:lineRule="auto" w:before="104"/>
              <w:ind w:left="-1" w:right="0"/>
              <w:jc w:val="left"/>
              <w:rPr>
                <w:rFonts w:ascii="宋体" w:hAnsi="宋体" w:cs="宋体" w:eastAsia="宋体" w:hint="default"/>
                <w:sz w:val="15"/>
                <w:szCs w:val="15"/>
              </w:rPr>
            </w:pPr>
            <w:r>
              <w:rPr>
                <w:rFonts w:ascii="宋体" w:hAnsi="宋体" w:cs="宋体" w:eastAsia="宋体" w:hint="default"/>
                <w:sz w:val="15"/>
                <w:szCs w:val="15"/>
              </w:rPr>
              <w:t>人民币</w:t>
            </w:r>
          </w:p>
        </w:tc>
        <w:tc>
          <w:tcPr>
            <w:tcW w:w="1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
              <w:jc w:val="right"/>
              <w:rPr>
                <w:rFonts w:ascii="Times New Roman" w:hAnsi="Times New Roman" w:cs="Times New Roman" w:eastAsia="Times New Roman" w:hint="default"/>
                <w:sz w:val="15"/>
                <w:szCs w:val="15"/>
              </w:rPr>
            </w:pPr>
            <w:r>
              <w:rPr>
                <w:rFonts w:ascii="Times New Roman"/>
                <w:spacing w:val="-1"/>
                <w:sz w:val="15"/>
              </w:rPr>
              <w:t>1,199,093,799.00</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
              <w:jc w:val="right"/>
              <w:rPr>
                <w:rFonts w:ascii="Times New Roman" w:hAnsi="Times New Roman" w:cs="Times New Roman" w:eastAsia="Times New Roman" w:hint="default"/>
                <w:sz w:val="15"/>
                <w:szCs w:val="15"/>
              </w:rPr>
            </w:pPr>
            <w:r>
              <w:rPr>
                <w:rFonts w:ascii="Times New Roman"/>
                <w:spacing w:val="-1"/>
                <w:sz w:val="15"/>
              </w:rPr>
              <w:t>455,936,477.33</w:t>
            </w:r>
          </w:p>
        </w:tc>
        <w:tc>
          <w:tcPr>
            <w:tcW w:w="1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2"/>
              <w:jc w:val="right"/>
              <w:rPr>
                <w:rFonts w:ascii="Times New Roman" w:hAnsi="Times New Roman" w:cs="Times New Roman" w:eastAsia="Times New Roman" w:hint="default"/>
                <w:sz w:val="15"/>
                <w:szCs w:val="15"/>
              </w:rPr>
            </w:pPr>
            <w:r>
              <w:rPr>
                <w:rFonts w:ascii="Times New Roman"/>
                <w:spacing w:val="-1"/>
                <w:sz w:val="15"/>
              </w:rPr>
              <w:t>1,096,355,942.96</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
              <w:jc w:val="right"/>
              <w:rPr>
                <w:rFonts w:ascii="Times New Roman" w:hAnsi="Times New Roman" w:cs="Times New Roman" w:eastAsia="Times New Roman" w:hint="default"/>
                <w:sz w:val="15"/>
                <w:szCs w:val="15"/>
              </w:rPr>
            </w:pPr>
            <w:r>
              <w:rPr>
                <w:rFonts w:ascii="Times New Roman"/>
                <w:spacing w:val="-1"/>
                <w:sz w:val="15"/>
              </w:rPr>
              <w:t>108,549,443.32</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
              <w:jc w:val="right"/>
              <w:rPr>
                <w:rFonts w:ascii="Times New Roman" w:hAnsi="Times New Roman" w:cs="Times New Roman" w:eastAsia="Times New Roman" w:hint="default"/>
                <w:sz w:val="15"/>
                <w:szCs w:val="15"/>
              </w:rPr>
            </w:pPr>
            <w:r>
              <w:rPr>
                <w:rFonts w:ascii="Times New Roman"/>
                <w:spacing w:val="-1"/>
                <w:sz w:val="15"/>
              </w:rPr>
              <w:t>101,611,025.00</w:t>
            </w:r>
          </w:p>
        </w:tc>
      </w:tr>
      <w:tr>
        <w:trPr>
          <w:trHeight w:val="674" w:hRule="exact"/>
        </w:trPr>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379" w:lineRule="auto" w:before="55"/>
              <w:ind w:left="1" w:right="80"/>
              <w:jc w:val="left"/>
              <w:rPr>
                <w:rFonts w:ascii="宋体" w:hAnsi="宋体" w:cs="宋体" w:eastAsia="宋体" w:hint="default"/>
                <w:sz w:val="15"/>
                <w:szCs w:val="15"/>
              </w:rPr>
            </w:pPr>
            <w:r>
              <w:rPr>
                <w:rFonts w:ascii="宋体" w:hAnsi="宋体" w:cs="宋体" w:eastAsia="宋体" w:hint="default"/>
                <w:sz w:val="15"/>
                <w:szCs w:val="15"/>
              </w:rPr>
              <w:t>长沙湘计海盾科技 有限公司</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子公司</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1" w:right="0"/>
              <w:jc w:val="left"/>
              <w:rPr>
                <w:rFonts w:ascii="宋体" w:hAnsi="宋体" w:cs="宋体" w:eastAsia="宋体" w:hint="default"/>
                <w:sz w:val="15"/>
                <w:szCs w:val="15"/>
              </w:rPr>
            </w:pPr>
            <w:r>
              <w:rPr>
                <w:rFonts w:ascii="宋体" w:hAnsi="宋体" w:cs="宋体" w:eastAsia="宋体" w:hint="default"/>
                <w:sz w:val="15"/>
                <w:szCs w:val="15"/>
              </w:rPr>
              <w:t>主要业务为高新产品生产和销售。</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 w:right="0"/>
              <w:jc w:val="left"/>
              <w:rPr>
                <w:rFonts w:ascii="Times New Roman" w:hAnsi="Times New Roman" w:cs="Times New Roman" w:eastAsia="Times New Roman" w:hint="default"/>
                <w:sz w:val="15"/>
                <w:szCs w:val="15"/>
              </w:rPr>
            </w:pPr>
            <w:r>
              <w:rPr>
                <w:rFonts w:ascii="Times New Roman"/>
                <w:sz w:val="15"/>
              </w:rPr>
              <w:t>11,541.0988</w:t>
            </w:r>
          </w:p>
          <w:p>
            <w:pPr>
              <w:pStyle w:val="TableParagraph"/>
              <w:spacing w:line="240" w:lineRule="auto" w:before="104"/>
              <w:ind w:left="-1" w:right="0"/>
              <w:jc w:val="left"/>
              <w:rPr>
                <w:rFonts w:ascii="宋体" w:hAnsi="宋体" w:cs="宋体" w:eastAsia="宋体" w:hint="default"/>
                <w:sz w:val="15"/>
                <w:szCs w:val="15"/>
              </w:rPr>
            </w:pPr>
            <w:r>
              <w:rPr>
                <w:rFonts w:ascii="宋体" w:hAnsi="宋体" w:cs="宋体" w:eastAsia="宋体" w:hint="default"/>
                <w:sz w:val="15"/>
                <w:szCs w:val="15"/>
              </w:rPr>
              <w:t>万元人民币</w:t>
            </w:r>
          </w:p>
        </w:tc>
        <w:tc>
          <w:tcPr>
            <w:tcW w:w="1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
              <w:jc w:val="right"/>
              <w:rPr>
                <w:rFonts w:ascii="Times New Roman" w:hAnsi="Times New Roman" w:cs="Times New Roman" w:eastAsia="Times New Roman" w:hint="default"/>
                <w:sz w:val="15"/>
                <w:szCs w:val="15"/>
              </w:rPr>
            </w:pPr>
            <w:r>
              <w:rPr>
                <w:rFonts w:ascii="Times New Roman"/>
                <w:spacing w:val="-1"/>
                <w:sz w:val="15"/>
              </w:rPr>
              <w:t>1,065,767,009.83</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
              <w:jc w:val="right"/>
              <w:rPr>
                <w:rFonts w:ascii="Times New Roman" w:hAnsi="Times New Roman" w:cs="Times New Roman" w:eastAsia="Times New Roman" w:hint="default"/>
                <w:sz w:val="15"/>
                <w:szCs w:val="15"/>
              </w:rPr>
            </w:pPr>
            <w:r>
              <w:rPr>
                <w:rFonts w:ascii="Times New Roman"/>
                <w:spacing w:val="-1"/>
                <w:sz w:val="15"/>
              </w:rPr>
              <w:t>869,339,659.87</w:t>
            </w:r>
          </w:p>
        </w:tc>
        <w:tc>
          <w:tcPr>
            <w:tcW w:w="1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
              <w:jc w:val="right"/>
              <w:rPr>
                <w:rFonts w:ascii="Times New Roman" w:hAnsi="Times New Roman" w:cs="Times New Roman" w:eastAsia="Times New Roman" w:hint="default"/>
                <w:sz w:val="15"/>
                <w:szCs w:val="15"/>
              </w:rPr>
            </w:pPr>
            <w:r>
              <w:rPr>
                <w:rFonts w:ascii="Times New Roman"/>
                <w:spacing w:val="-1"/>
                <w:sz w:val="15"/>
              </w:rPr>
              <w:t>309,696,397.48</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2"/>
              <w:jc w:val="right"/>
              <w:rPr>
                <w:rFonts w:ascii="Times New Roman" w:hAnsi="Times New Roman" w:cs="Times New Roman" w:eastAsia="Times New Roman" w:hint="default"/>
                <w:sz w:val="15"/>
                <w:szCs w:val="15"/>
              </w:rPr>
            </w:pPr>
            <w:r>
              <w:rPr>
                <w:rFonts w:ascii="Times New Roman"/>
                <w:spacing w:val="-1"/>
                <w:sz w:val="15"/>
              </w:rPr>
              <w:t>51,257,099.58</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
              <w:jc w:val="right"/>
              <w:rPr>
                <w:rFonts w:ascii="Times New Roman" w:hAnsi="Times New Roman" w:cs="Times New Roman" w:eastAsia="Times New Roman" w:hint="default"/>
                <w:sz w:val="15"/>
                <w:szCs w:val="15"/>
              </w:rPr>
            </w:pPr>
            <w:r>
              <w:rPr>
                <w:rFonts w:ascii="Times New Roman"/>
                <w:spacing w:val="-1"/>
                <w:sz w:val="15"/>
              </w:rPr>
              <w:t>45,107,093.84</w:t>
            </w:r>
          </w:p>
        </w:tc>
      </w:tr>
      <w:tr>
        <w:trPr>
          <w:trHeight w:val="674" w:hRule="exact"/>
        </w:trPr>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381" w:lineRule="auto" w:before="54"/>
              <w:ind w:left="1" w:right="80"/>
              <w:jc w:val="left"/>
              <w:rPr>
                <w:rFonts w:ascii="宋体" w:hAnsi="宋体" w:cs="宋体" w:eastAsia="宋体" w:hint="default"/>
                <w:sz w:val="15"/>
                <w:szCs w:val="15"/>
              </w:rPr>
            </w:pPr>
            <w:r>
              <w:rPr>
                <w:rFonts w:ascii="宋体" w:hAnsi="宋体" w:cs="宋体" w:eastAsia="宋体" w:hint="default"/>
                <w:sz w:val="15"/>
                <w:szCs w:val="15"/>
              </w:rPr>
              <w:t>湖南长城医疗科技 有限公司</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子公司</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1" w:right="0"/>
              <w:jc w:val="left"/>
              <w:rPr>
                <w:rFonts w:ascii="宋体" w:hAnsi="宋体" w:cs="宋体" w:eastAsia="宋体" w:hint="default"/>
                <w:sz w:val="15"/>
                <w:szCs w:val="15"/>
              </w:rPr>
            </w:pPr>
            <w:r>
              <w:rPr>
                <w:rFonts w:ascii="宋体" w:hAnsi="宋体" w:cs="宋体" w:eastAsia="宋体" w:hint="default"/>
                <w:sz w:val="15"/>
                <w:szCs w:val="15"/>
              </w:rPr>
              <w:t>主要业务为医疗设备生产和销售。</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360" w:lineRule="auto" w:before="54"/>
              <w:ind w:left="-1" w:right="12"/>
              <w:jc w:val="left"/>
              <w:rPr>
                <w:rFonts w:ascii="宋体" w:hAnsi="宋体" w:cs="宋体" w:eastAsia="宋体" w:hint="default"/>
                <w:sz w:val="15"/>
                <w:szCs w:val="15"/>
              </w:rPr>
            </w:pPr>
            <w:r>
              <w:rPr>
                <w:rFonts w:ascii="Times New Roman" w:hAnsi="Times New Roman" w:cs="Times New Roman" w:eastAsia="Times New Roman" w:hint="default"/>
                <w:sz w:val="15"/>
                <w:szCs w:val="15"/>
              </w:rPr>
              <w:t>5,000</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万元人 民币</w:t>
            </w:r>
          </w:p>
        </w:tc>
        <w:tc>
          <w:tcPr>
            <w:tcW w:w="1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0"/>
              <w:jc w:val="right"/>
              <w:rPr>
                <w:rFonts w:ascii="Times New Roman" w:hAnsi="Times New Roman" w:cs="Times New Roman" w:eastAsia="Times New Roman" w:hint="default"/>
                <w:sz w:val="15"/>
                <w:szCs w:val="15"/>
              </w:rPr>
            </w:pPr>
            <w:r>
              <w:rPr>
                <w:rFonts w:ascii="Times New Roman"/>
                <w:spacing w:val="-1"/>
                <w:sz w:val="15"/>
              </w:rPr>
              <w:t>283,342,966.17</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
              <w:jc w:val="right"/>
              <w:rPr>
                <w:rFonts w:ascii="Times New Roman" w:hAnsi="Times New Roman" w:cs="Times New Roman" w:eastAsia="Times New Roman" w:hint="default"/>
                <w:sz w:val="15"/>
                <w:szCs w:val="15"/>
              </w:rPr>
            </w:pPr>
            <w:r>
              <w:rPr>
                <w:rFonts w:ascii="Times New Roman"/>
                <w:spacing w:val="-1"/>
                <w:sz w:val="15"/>
              </w:rPr>
              <w:t>128,338,981.75</w:t>
            </w:r>
          </w:p>
        </w:tc>
        <w:tc>
          <w:tcPr>
            <w:tcW w:w="1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
              <w:jc w:val="right"/>
              <w:rPr>
                <w:rFonts w:ascii="Times New Roman" w:hAnsi="Times New Roman" w:cs="Times New Roman" w:eastAsia="Times New Roman" w:hint="default"/>
                <w:sz w:val="15"/>
                <w:szCs w:val="15"/>
              </w:rPr>
            </w:pPr>
            <w:r>
              <w:rPr>
                <w:rFonts w:ascii="Times New Roman"/>
                <w:spacing w:val="-1"/>
                <w:sz w:val="15"/>
              </w:rPr>
              <w:t>129,476,661.63</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
              <w:jc w:val="right"/>
              <w:rPr>
                <w:rFonts w:ascii="Times New Roman" w:hAnsi="Times New Roman" w:cs="Times New Roman" w:eastAsia="Times New Roman" w:hint="default"/>
                <w:sz w:val="15"/>
                <w:szCs w:val="15"/>
              </w:rPr>
            </w:pPr>
            <w:r>
              <w:rPr>
                <w:rFonts w:ascii="Times New Roman"/>
                <w:spacing w:val="-1"/>
                <w:sz w:val="15"/>
              </w:rPr>
              <w:t>11,253,702.59</w:t>
            </w:r>
            <w:r>
              <w:rPr>
                <w:rFonts w:ascii="Times New Roman"/>
                <w:sz w:val="15"/>
              </w:rPr>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
              <w:jc w:val="right"/>
              <w:rPr>
                <w:rFonts w:ascii="Times New Roman" w:hAnsi="Times New Roman" w:cs="Times New Roman" w:eastAsia="Times New Roman" w:hint="default"/>
                <w:sz w:val="15"/>
                <w:szCs w:val="15"/>
              </w:rPr>
            </w:pPr>
            <w:r>
              <w:rPr>
                <w:rFonts w:ascii="Times New Roman"/>
                <w:spacing w:val="-1"/>
                <w:sz w:val="15"/>
              </w:rPr>
              <w:t>10,021,037.13</w:t>
            </w:r>
          </w:p>
        </w:tc>
      </w:tr>
      <w:tr>
        <w:trPr>
          <w:trHeight w:val="673" w:hRule="exact"/>
        </w:trPr>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381" w:lineRule="auto" w:before="54"/>
              <w:ind w:left="1" w:right="80"/>
              <w:jc w:val="left"/>
              <w:rPr>
                <w:rFonts w:ascii="宋体" w:hAnsi="宋体" w:cs="宋体" w:eastAsia="宋体" w:hint="default"/>
                <w:sz w:val="15"/>
                <w:szCs w:val="15"/>
              </w:rPr>
            </w:pPr>
            <w:r>
              <w:rPr>
                <w:rFonts w:ascii="宋体" w:hAnsi="宋体" w:cs="宋体" w:eastAsia="宋体" w:hint="default"/>
                <w:sz w:val="15"/>
                <w:szCs w:val="15"/>
              </w:rPr>
              <w:t>长沙中电软件园有 限公司</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子公司</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1" w:right="0"/>
              <w:jc w:val="left"/>
              <w:rPr>
                <w:rFonts w:ascii="宋体" w:hAnsi="宋体" w:cs="宋体" w:eastAsia="宋体" w:hint="default"/>
                <w:sz w:val="15"/>
                <w:szCs w:val="15"/>
              </w:rPr>
            </w:pPr>
            <w:r>
              <w:rPr>
                <w:rFonts w:ascii="宋体" w:hAnsi="宋体" w:cs="宋体" w:eastAsia="宋体" w:hint="default"/>
                <w:sz w:val="15"/>
                <w:szCs w:val="15"/>
              </w:rPr>
              <w:t>主要业务为园区开发与服务。</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15,000</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万元</w:t>
            </w:r>
          </w:p>
          <w:p>
            <w:pPr>
              <w:pStyle w:val="TableParagraph"/>
              <w:spacing w:line="240" w:lineRule="auto" w:before="104"/>
              <w:ind w:left="-1" w:right="0"/>
              <w:jc w:val="left"/>
              <w:rPr>
                <w:rFonts w:ascii="宋体" w:hAnsi="宋体" w:cs="宋体" w:eastAsia="宋体" w:hint="default"/>
                <w:sz w:val="15"/>
                <w:szCs w:val="15"/>
              </w:rPr>
            </w:pPr>
            <w:r>
              <w:rPr>
                <w:rFonts w:ascii="宋体" w:hAnsi="宋体" w:cs="宋体" w:eastAsia="宋体" w:hint="default"/>
                <w:sz w:val="15"/>
                <w:szCs w:val="15"/>
              </w:rPr>
              <w:t>人民币</w:t>
            </w:r>
          </w:p>
        </w:tc>
        <w:tc>
          <w:tcPr>
            <w:tcW w:w="1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0"/>
              <w:jc w:val="right"/>
              <w:rPr>
                <w:rFonts w:ascii="Times New Roman" w:hAnsi="Times New Roman" w:cs="Times New Roman" w:eastAsia="Times New Roman" w:hint="default"/>
                <w:sz w:val="15"/>
                <w:szCs w:val="15"/>
              </w:rPr>
            </w:pPr>
            <w:r>
              <w:rPr>
                <w:rFonts w:ascii="Times New Roman"/>
                <w:spacing w:val="-1"/>
                <w:sz w:val="15"/>
              </w:rPr>
              <w:t>603,739,976.18</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
              <w:jc w:val="right"/>
              <w:rPr>
                <w:rFonts w:ascii="Times New Roman" w:hAnsi="Times New Roman" w:cs="Times New Roman" w:eastAsia="Times New Roman" w:hint="default"/>
                <w:sz w:val="15"/>
                <w:szCs w:val="15"/>
              </w:rPr>
            </w:pPr>
            <w:r>
              <w:rPr>
                <w:rFonts w:ascii="Times New Roman"/>
                <w:spacing w:val="-1"/>
                <w:sz w:val="15"/>
              </w:rPr>
              <w:t>286,745,833.52</w:t>
            </w:r>
          </w:p>
        </w:tc>
        <w:tc>
          <w:tcPr>
            <w:tcW w:w="1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
              <w:jc w:val="right"/>
              <w:rPr>
                <w:rFonts w:ascii="Times New Roman" w:hAnsi="Times New Roman" w:cs="Times New Roman" w:eastAsia="Times New Roman" w:hint="default"/>
                <w:sz w:val="15"/>
                <w:szCs w:val="15"/>
              </w:rPr>
            </w:pPr>
            <w:r>
              <w:rPr>
                <w:rFonts w:ascii="Times New Roman"/>
                <w:spacing w:val="-1"/>
                <w:sz w:val="15"/>
              </w:rPr>
              <w:t>177,354,570.20</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2"/>
              <w:jc w:val="right"/>
              <w:rPr>
                <w:rFonts w:ascii="Times New Roman" w:hAnsi="Times New Roman" w:cs="Times New Roman" w:eastAsia="Times New Roman" w:hint="default"/>
                <w:sz w:val="15"/>
                <w:szCs w:val="15"/>
              </w:rPr>
            </w:pPr>
            <w:r>
              <w:rPr>
                <w:rFonts w:ascii="Times New Roman"/>
                <w:spacing w:val="-1"/>
                <w:sz w:val="15"/>
              </w:rPr>
              <w:t>84,256,403.42</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
              <w:jc w:val="right"/>
              <w:rPr>
                <w:rFonts w:ascii="Times New Roman" w:hAnsi="Times New Roman" w:cs="Times New Roman" w:eastAsia="Times New Roman" w:hint="default"/>
                <w:sz w:val="15"/>
                <w:szCs w:val="15"/>
              </w:rPr>
            </w:pPr>
            <w:r>
              <w:rPr>
                <w:rFonts w:ascii="Times New Roman"/>
                <w:spacing w:val="-1"/>
                <w:sz w:val="15"/>
              </w:rPr>
              <w:t>74,762,703.20</w:t>
            </w:r>
          </w:p>
        </w:tc>
      </w:tr>
      <w:tr>
        <w:trPr>
          <w:trHeight w:val="674" w:hRule="exact"/>
        </w:trPr>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379" w:lineRule="auto" w:before="55"/>
              <w:ind w:left="1" w:right="-1"/>
              <w:jc w:val="left"/>
              <w:rPr>
                <w:rFonts w:ascii="宋体" w:hAnsi="宋体" w:cs="宋体" w:eastAsia="宋体" w:hint="default"/>
                <w:sz w:val="15"/>
                <w:szCs w:val="15"/>
              </w:rPr>
            </w:pPr>
            <w:r>
              <w:rPr>
                <w:rFonts w:ascii="宋体" w:hAnsi="宋体" w:cs="宋体" w:eastAsia="宋体" w:hint="default"/>
                <w:spacing w:val="-8"/>
                <w:sz w:val="15"/>
                <w:szCs w:val="15"/>
              </w:rPr>
              <w:t>长城超云（北京）科</w:t>
            </w:r>
            <w:r>
              <w:rPr>
                <w:rFonts w:ascii="宋体" w:hAnsi="宋体" w:cs="宋体" w:eastAsia="宋体" w:hint="default"/>
                <w:spacing w:val="-71"/>
                <w:sz w:val="15"/>
                <w:szCs w:val="15"/>
              </w:rPr>
              <w:t> </w:t>
            </w:r>
            <w:r>
              <w:rPr>
                <w:rFonts w:ascii="宋体" w:hAnsi="宋体" w:cs="宋体" w:eastAsia="宋体" w:hint="default"/>
                <w:spacing w:val="-71"/>
                <w:sz w:val="15"/>
                <w:szCs w:val="15"/>
              </w:rPr>
            </w:r>
            <w:r>
              <w:rPr>
                <w:rFonts w:ascii="宋体" w:hAnsi="宋体" w:cs="宋体" w:eastAsia="宋体" w:hint="default"/>
                <w:sz w:val="15"/>
                <w:szCs w:val="15"/>
              </w:rPr>
              <w:t>技有限公司</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参股公司</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379" w:lineRule="auto" w:before="55"/>
              <w:ind w:left="-1" w:right="72"/>
              <w:jc w:val="left"/>
              <w:rPr>
                <w:rFonts w:ascii="宋体" w:hAnsi="宋体" w:cs="宋体" w:eastAsia="宋体" w:hint="default"/>
                <w:sz w:val="15"/>
                <w:szCs w:val="15"/>
              </w:rPr>
            </w:pPr>
            <w:r>
              <w:rPr>
                <w:rFonts w:ascii="宋体" w:hAnsi="宋体" w:cs="宋体" w:eastAsia="宋体" w:hint="default"/>
                <w:spacing w:val="-5"/>
                <w:sz w:val="15"/>
                <w:szCs w:val="15"/>
              </w:rPr>
              <w:t>主要业务为云计算服务器研发、生产</w:t>
            </w:r>
            <w:r>
              <w:rPr>
                <w:rFonts w:ascii="宋体" w:hAnsi="宋体" w:cs="宋体" w:eastAsia="宋体" w:hint="default"/>
                <w:spacing w:val="-70"/>
                <w:sz w:val="15"/>
                <w:szCs w:val="15"/>
              </w:rPr>
              <w:t> </w:t>
            </w:r>
            <w:r>
              <w:rPr>
                <w:rFonts w:ascii="宋体" w:hAnsi="宋体" w:cs="宋体" w:eastAsia="宋体" w:hint="default"/>
                <w:spacing w:val="-70"/>
                <w:sz w:val="15"/>
                <w:szCs w:val="15"/>
              </w:rPr>
            </w:r>
            <w:r>
              <w:rPr>
                <w:rFonts w:ascii="宋体" w:hAnsi="宋体" w:cs="宋体" w:eastAsia="宋体" w:hint="default"/>
                <w:sz w:val="15"/>
                <w:szCs w:val="15"/>
              </w:rPr>
              <w:t>销售。</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 w:right="0"/>
              <w:jc w:val="left"/>
              <w:rPr>
                <w:rFonts w:ascii="Times New Roman" w:hAnsi="Times New Roman" w:cs="Times New Roman" w:eastAsia="Times New Roman" w:hint="default"/>
                <w:sz w:val="15"/>
                <w:szCs w:val="15"/>
              </w:rPr>
            </w:pPr>
            <w:r>
              <w:rPr>
                <w:rFonts w:ascii="Times New Roman"/>
                <w:sz w:val="15"/>
              </w:rPr>
              <w:t>33,085.7143</w:t>
            </w:r>
          </w:p>
          <w:p>
            <w:pPr>
              <w:pStyle w:val="TableParagraph"/>
              <w:spacing w:line="240" w:lineRule="auto" w:before="104"/>
              <w:ind w:left="-1" w:right="0"/>
              <w:jc w:val="left"/>
              <w:rPr>
                <w:rFonts w:ascii="宋体" w:hAnsi="宋体" w:cs="宋体" w:eastAsia="宋体" w:hint="default"/>
                <w:sz w:val="15"/>
                <w:szCs w:val="15"/>
              </w:rPr>
            </w:pPr>
            <w:r>
              <w:rPr>
                <w:rFonts w:ascii="宋体" w:hAnsi="宋体" w:cs="宋体" w:eastAsia="宋体" w:hint="default"/>
                <w:sz w:val="15"/>
                <w:szCs w:val="15"/>
              </w:rPr>
              <w:t>万元人民币</w:t>
            </w:r>
          </w:p>
        </w:tc>
        <w:tc>
          <w:tcPr>
            <w:tcW w:w="1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0"/>
              <w:jc w:val="right"/>
              <w:rPr>
                <w:rFonts w:ascii="Times New Roman" w:hAnsi="Times New Roman" w:cs="Times New Roman" w:eastAsia="Times New Roman" w:hint="default"/>
                <w:sz w:val="15"/>
                <w:szCs w:val="15"/>
              </w:rPr>
            </w:pPr>
            <w:r>
              <w:rPr>
                <w:rFonts w:ascii="Times New Roman"/>
                <w:spacing w:val="-1"/>
                <w:sz w:val="15"/>
              </w:rPr>
              <w:t>269,822,975.73</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
              <w:jc w:val="right"/>
              <w:rPr>
                <w:rFonts w:ascii="Times New Roman" w:hAnsi="Times New Roman" w:cs="Times New Roman" w:eastAsia="Times New Roman" w:hint="default"/>
                <w:sz w:val="15"/>
                <w:szCs w:val="15"/>
              </w:rPr>
            </w:pPr>
            <w:r>
              <w:rPr>
                <w:rFonts w:ascii="Times New Roman"/>
                <w:spacing w:val="-1"/>
                <w:sz w:val="15"/>
              </w:rPr>
              <w:t>230,314,217.78</w:t>
            </w:r>
          </w:p>
        </w:tc>
        <w:tc>
          <w:tcPr>
            <w:tcW w:w="1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
              <w:jc w:val="right"/>
              <w:rPr>
                <w:rFonts w:ascii="Times New Roman" w:hAnsi="Times New Roman" w:cs="Times New Roman" w:eastAsia="Times New Roman" w:hint="default"/>
                <w:sz w:val="15"/>
                <w:szCs w:val="15"/>
              </w:rPr>
            </w:pPr>
            <w:r>
              <w:rPr>
                <w:rFonts w:ascii="Times New Roman"/>
                <w:spacing w:val="-1"/>
                <w:sz w:val="15"/>
              </w:rPr>
              <w:t>244,402,586.25</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2"/>
              <w:jc w:val="right"/>
              <w:rPr>
                <w:rFonts w:ascii="Times New Roman" w:hAnsi="Times New Roman" w:cs="Times New Roman" w:eastAsia="Times New Roman" w:hint="default"/>
                <w:sz w:val="15"/>
                <w:szCs w:val="15"/>
              </w:rPr>
            </w:pPr>
            <w:r>
              <w:rPr>
                <w:rFonts w:ascii="Times New Roman"/>
                <w:spacing w:val="-1"/>
                <w:sz w:val="15"/>
              </w:rPr>
              <w:t>12,301,237.95</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0"/>
              <w:jc w:val="right"/>
              <w:rPr>
                <w:rFonts w:ascii="Times New Roman" w:hAnsi="Times New Roman" w:cs="Times New Roman" w:eastAsia="Times New Roman" w:hint="default"/>
                <w:sz w:val="15"/>
                <w:szCs w:val="15"/>
              </w:rPr>
            </w:pPr>
            <w:r>
              <w:rPr>
                <w:rFonts w:ascii="Times New Roman"/>
                <w:spacing w:val="-1"/>
                <w:sz w:val="15"/>
              </w:rPr>
              <w:t>12,117,986.66</w:t>
            </w:r>
          </w:p>
        </w:tc>
      </w:tr>
    </w:tbl>
    <w:p>
      <w:pPr>
        <w:spacing w:before="51"/>
        <w:ind w:left="694" w:right="0" w:firstLine="0"/>
        <w:jc w:val="left"/>
        <w:rPr>
          <w:rFonts w:ascii="宋体" w:hAnsi="宋体" w:cs="宋体" w:eastAsia="宋体" w:hint="default"/>
          <w:sz w:val="18"/>
          <w:szCs w:val="18"/>
        </w:rPr>
      </w:pPr>
      <w:r>
        <w:rPr/>
        <w:pict>
          <v:shape style="position:absolute;margin-left:244.139999pt;margin-top:-33.677994pt;width:46.2pt;height:33.2pt;mso-position-horizontal-relative:page;mso-position-vertical-relative:paragraph;z-index:-1402264" type="#_x0000_t202" filled="false" stroked="false">
            <v:textbox inset="0,0,0,0">
              <w:txbxContent>
                <w:p>
                  <w:pPr>
                    <w:spacing w:before="54"/>
                    <w:ind w:left="0" w:right="0" w:firstLine="0"/>
                    <w:jc w:val="left"/>
                    <w:rPr>
                      <w:rFonts w:ascii="宋体" w:hAnsi="宋体" w:cs="宋体" w:eastAsia="宋体" w:hint="default"/>
                      <w:sz w:val="15"/>
                      <w:szCs w:val="15"/>
                    </w:rPr>
                  </w:pPr>
                  <w:r>
                    <w:rPr>
                      <w:rFonts w:ascii="宋体" w:hAnsi="宋体" w:cs="宋体" w:eastAsia="宋体" w:hint="default"/>
                      <w:sz w:val="15"/>
                      <w:szCs w:val="15"/>
                    </w:rPr>
                    <w:t>、</w:t>
                  </w:r>
                </w:p>
              </w:txbxContent>
            </v:textbox>
            <w10:wrap type="none"/>
          </v:shape>
        </w:pict>
      </w:r>
      <w:r>
        <w:rPr>
          <w:rFonts w:ascii="宋体" w:hAnsi="宋体" w:cs="宋体" w:eastAsia="宋体" w:hint="default"/>
          <w:sz w:val="18"/>
          <w:szCs w:val="18"/>
        </w:rPr>
        <w:t>报告期内取得和处置子公司的情况</w:t>
      </w:r>
    </w:p>
    <w:p>
      <w:pPr>
        <w:spacing w:before="117"/>
        <w:ind w:left="693"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0"/>
        <w:rPr>
          <w:rFonts w:ascii="宋体" w:hAnsi="宋体" w:cs="宋体" w:eastAsia="宋体" w:hint="default"/>
          <w:sz w:val="8"/>
          <w:szCs w:val="8"/>
        </w:rPr>
      </w:pPr>
    </w:p>
    <w:tbl>
      <w:tblPr>
        <w:tblW w:w="0" w:type="auto"/>
        <w:jc w:val="left"/>
        <w:tblInd w:w="674" w:type="dxa"/>
        <w:tblLayout w:type="fixed"/>
        <w:tblCellMar>
          <w:top w:w="0" w:type="dxa"/>
          <w:left w:w="0" w:type="dxa"/>
          <w:bottom w:w="0" w:type="dxa"/>
          <w:right w:w="0" w:type="dxa"/>
        </w:tblCellMar>
        <w:tblLook w:val="01E0"/>
      </w:tblPr>
      <w:tblGrid>
        <w:gridCol w:w="2886"/>
        <w:gridCol w:w="2694"/>
        <w:gridCol w:w="4086"/>
      </w:tblGrid>
      <w:tr>
        <w:trPr>
          <w:trHeight w:val="362" w:hRule="exact"/>
        </w:trPr>
        <w:tc>
          <w:tcPr>
            <w:tcW w:w="288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1" w:right="0"/>
              <w:jc w:val="center"/>
              <w:rPr>
                <w:rFonts w:ascii="宋体" w:hAnsi="宋体" w:cs="宋体" w:eastAsia="宋体" w:hint="default"/>
                <w:sz w:val="18"/>
                <w:szCs w:val="18"/>
              </w:rPr>
            </w:pPr>
            <w:r>
              <w:rPr>
                <w:rFonts w:ascii="宋体" w:hAnsi="宋体" w:cs="宋体" w:eastAsia="宋体" w:hint="default"/>
                <w:sz w:val="18"/>
                <w:szCs w:val="18"/>
              </w:rPr>
              <w:t>公司名称</w:t>
            </w:r>
          </w:p>
        </w:tc>
        <w:tc>
          <w:tcPr>
            <w:tcW w:w="26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82" w:right="0"/>
              <w:jc w:val="left"/>
              <w:rPr>
                <w:rFonts w:ascii="宋体" w:hAnsi="宋体" w:cs="宋体" w:eastAsia="宋体" w:hint="default"/>
                <w:sz w:val="18"/>
                <w:szCs w:val="18"/>
              </w:rPr>
            </w:pPr>
            <w:r>
              <w:rPr>
                <w:rFonts w:ascii="宋体" w:hAnsi="宋体" w:cs="宋体" w:eastAsia="宋体" w:hint="default"/>
                <w:sz w:val="18"/>
                <w:szCs w:val="18"/>
              </w:rPr>
              <w:t>报告期内取得和处置子公司方式</w:t>
            </w:r>
          </w:p>
        </w:tc>
        <w:tc>
          <w:tcPr>
            <w:tcW w:w="408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867" w:right="0"/>
              <w:jc w:val="left"/>
              <w:rPr>
                <w:rFonts w:ascii="宋体" w:hAnsi="宋体" w:cs="宋体" w:eastAsia="宋体" w:hint="default"/>
                <w:sz w:val="18"/>
                <w:szCs w:val="18"/>
              </w:rPr>
            </w:pPr>
            <w:r>
              <w:rPr>
                <w:rFonts w:ascii="宋体" w:hAnsi="宋体" w:cs="宋体" w:eastAsia="宋体" w:hint="default"/>
                <w:sz w:val="18"/>
                <w:szCs w:val="18"/>
              </w:rPr>
              <w:t>对整体生产经营和业绩的影响</w:t>
            </w:r>
          </w:p>
        </w:tc>
      </w:tr>
      <w:tr>
        <w:trPr>
          <w:trHeight w:val="362" w:hRule="exact"/>
        </w:trPr>
        <w:tc>
          <w:tcPr>
            <w:tcW w:w="2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3" w:right="0"/>
              <w:jc w:val="left"/>
              <w:rPr>
                <w:rFonts w:ascii="宋体" w:hAnsi="宋体" w:cs="宋体" w:eastAsia="宋体" w:hint="default"/>
                <w:sz w:val="18"/>
                <w:szCs w:val="18"/>
              </w:rPr>
            </w:pPr>
            <w:r>
              <w:rPr>
                <w:rFonts w:ascii="宋体" w:hAnsi="宋体" w:cs="宋体" w:eastAsia="宋体" w:hint="default"/>
                <w:sz w:val="18"/>
                <w:szCs w:val="18"/>
              </w:rPr>
              <w:t>深圳普士科技有限公司</w:t>
            </w:r>
          </w:p>
        </w:tc>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3" w:right="0"/>
              <w:jc w:val="left"/>
              <w:rPr>
                <w:rFonts w:ascii="宋体" w:hAnsi="宋体" w:cs="宋体" w:eastAsia="宋体" w:hint="default"/>
                <w:sz w:val="18"/>
                <w:szCs w:val="18"/>
              </w:rPr>
            </w:pPr>
            <w:r>
              <w:rPr>
                <w:rFonts w:ascii="宋体" w:hAnsi="宋体" w:cs="宋体" w:eastAsia="宋体" w:hint="default"/>
                <w:sz w:val="18"/>
                <w:szCs w:val="18"/>
              </w:rPr>
              <w:t>清算注销</w:t>
            </w:r>
          </w:p>
        </w:tc>
        <w:tc>
          <w:tcPr>
            <w:tcW w:w="4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无影响</w:t>
            </w:r>
          </w:p>
        </w:tc>
      </w:tr>
      <w:tr>
        <w:trPr>
          <w:trHeight w:val="361" w:hRule="exact"/>
        </w:trPr>
        <w:tc>
          <w:tcPr>
            <w:tcW w:w="2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3" w:right="0"/>
              <w:jc w:val="left"/>
              <w:rPr>
                <w:rFonts w:ascii="宋体" w:hAnsi="宋体" w:cs="宋体" w:eastAsia="宋体" w:hint="default"/>
                <w:sz w:val="18"/>
                <w:szCs w:val="18"/>
              </w:rPr>
            </w:pPr>
            <w:r>
              <w:rPr>
                <w:rFonts w:ascii="宋体" w:hAnsi="宋体" w:cs="宋体" w:eastAsia="宋体" w:hint="default"/>
                <w:sz w:val="18"/>
                <w:szCs w:val="18"/>
              </w:rPr>
              <w:t>深圳市湘计长岛电脑设备有限公司</w:t>
            </w:r>
          </w:p>
        </w:tc>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3" w:right="0"/>
              <w:jc w:val="left"/>
              <w:rPr>
                <w:rFonts w:ascii="宋体" w:hAnsi="宋体" w:cs="宋体" w:eastAsia="宋体" w:hint="default"/>
                <w:sz w:val="18"/>
                <w:szCs w:val="18"/>
              </w:rPr>
            </w:pPr>
            <w:r>
              <w:rPr>
                <w:rFonts w:ascii="宋体" w:hAnsi="宋体" w:cs="宋体" w:eastAsia="宋体" w:hint="default"/>
                <w:sz w:val="18"/>
                <w:szCs w:val="18"/>
              </w:rPr>
              <w:t>出售</w:t>
            </w:r>
          </w:p>
        </w:tc>
        <w:tc>
          <w:tcPr>
            <w:tcW w:w="4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参见本节“出售重大股权情况”中的相关介绍</w:t>
            </w:r>
          </w:p>
        </w:tc>
      </w:tr>
      <w:tr>
        <w:trPr>
          <w:trHeight w:val="362" w:hRule="exact"/>
        </w:trPr>
        <w:tc>
          <w:tcPr>
            <w:tcW w:w="2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3" w:right="0"/>
              <w:jc w:val="left"/>
              <w:rPr>
                <w:rFonts w:ascii="宋体" w:hAnsi="宋体" w:cs="宋体" w:eastAsia="宋体" w:hint="default"/>
                <w:sz w:val="18"/>
                <w:szCs w:val="18"/>
              </w:rPr>
            </w:pPr>
            <w:r>
              <w:rPr>
                <w:rFonts w:ascii="宋体" w:hAnsi="宋体" w:cs="宋体" w:eastAsia="宋体" w:hint="default"/>
                <w:sz w:val="18"/>
                <w:szCs w:val="18"/>
              </w:rPr>
              <w:t>湖南长城非凡信息科技有限公司</w:t>
            </w:r>
          </w:p>
        </w:tc>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3" w:right="0"/>
              <w:jc w:val="left"/>
              <w:rPr>
                <w:rFonts w:ascii="宋体" w:hAnsi="宋体" w:cs="宋体" w:eastAsia="宋体" w:hint="default"/>
                <w:sz w:val="18"/>
                <w:szCs w:val="18"/>
              </w:rPr>
            </w:pPr>
            <w:r>
              <w:rPr>
                <w:rFonts w:ascii="宋体" w:hAnsi="宋体" w:cs="宋体" w:eastAsia="宋体" w:hint="default"/>
                <w:sz w:val="18"/>
                <w:szCs w:val="18"/>
              </w:rPr>
              <w:t>新设成立</w:t>
            </w:r>
          </w:p>
        </w:tc>
        <w:tc>
          <w:tcPr>
            <w:tcW w:w="4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参见本节“重大股权投资情况说明”中的相关介绍</w:t>
            </w:r>
          </w:p>
        </w:tc>
      </w:tr>
      <w:tr>
        <w:trPr>
          <w:trHeight w:val="362" w:hRule="exact"/>
        </w:trPr>
        <w:tc>
          <w:tcPr>
            <w:tcW w:w="2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3" w:right="0"/>
              <w:jc w:val="left"/>
              <w:rPr>
                <w:rFonts w:ascii="宋体" w:hAnsi="宋体" w:cs="宋体" w:eastAsia="宋体" w:hint="default"/>
                <w:sz w:val="18"/>
                <w:szCs w:val="18"/>
              </w:rPr>
            </w:pPr>
            <w:r>
              <w:rPr>
                <w:rFonts w:ascii="宋体" w:hAnsi="宋体" w:cs="宋体" w:eastAsia="宋体" w:hint="default"/>
                <w:sz w:val="18"/>
                <w:szCs w:val="18"/>
              </w:rPr>
              <w:t>长城信息海南系统技术有限公司</w:t>
            </w:r>
          </w:p>
        </w:tc>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3" w:right="0"/>
              <w:jc w:val="left"/>
              <w:rPr>
                <w:rFonts w:ascii="宋体" w:hAnsi="宋体" w:cs="宋体" w:eastAsia="宋体" w:hint="default"/>
                <w:sz w:val="18"/>
                <w:szCs w:val="18"/>
              </w:rPr>
            </w:pPr>
            <w:r>
              <w:rPr>
                <w:rFonts w:ascii="宋体" w:hAnsi="宋体" w:cs="宋体" w:eastAsia="宋体" w:hint="default"/>
                <w:sz w:val="18"/>
                <w:szCs w:val="18"/>
              </w:rPr>
              <w:t>清算注销</w:t>
            </w:r>
          </w:p>
        </w:tc>
        <w:tc>
          <w:tcPr>
            <w:tcW w:w="4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无影响</w:t>
            </w:r>
          </w:p>
        </w:tc>
      </w:tr>
      <w:tr>
        <w:trPr>
          <w:trHeight w:val="362" w:hRule="exact"/>
        </w:trPr>
        <w:tc>
          <w:tcPr>
            <w:tcW w:w="2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3" w:right="0"/>
              <w:jc w:val="left"/>
              <w:rPr>
                <w:rFonts w:ascii="宋体" w:hAnsi="宋体" w:cs="宋体" w:eastAsia="宋体" w:hint="default"/>
                <w:sz w:val="18"/>
                <w:szCs w:val="18"/>
              </w:rPr>
            </w:pPr>
            <w:r>
              <w:rPr>
                <w:rFonts w:ascii="宋体" w:hAnsi="宋体" w:cs="宋体" w:eastAsia="宋体" w:hint="default"/>
                <w:sz w:val="18"/>
                <w:szCs w:val="18"/>
              </w:rPr>
              <w:t>北海长城能源科技有限公司</w:t>
            </w:r>
          </w:p>
        </w:tc>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3" w:right="0"/>
              <w:jc w:val="left"/>
              <w:rPr>
                <w:rFonts w:ascii="宋体" w:hAnsi="宋体" w:cs="宋体" w:eastAsia="宋体" w:hint="default"/>
                <w:sz w:val="18"/>
                <w:szCs w:val="18"/>
              </w:rPr>
            </w:pPr>
            <w:r>
              <w:rPr>
                <w:rFonts w:ascii="宋体" w:hAnsi="宋体" w:cs="宋体" w:eastAsia="宋体" w:hint="default"/>
                <w:sz w:val="18"/>
                <w:szCs w:val="18"/>
              </w:rPr>
              <w:t>清算注销</w:t>
            </w:r>
          </w:p>
        </w:tc>
        <w:tc>
          <w:tcPr>
            <w:tcW w:w="4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无影响</w:t>
            </w:r>
          </w:p>
        </w:tc>
      </w:tr>
    </w:tbl>
    <w:p>
      <w:pPr>
        <w:spacing w:before="51"/>
        <w:ind w:left="694" w:right="0" w:firstLine="0"/>
        <w:jc w:val="left"/>
        <w:rPr>
          <w:rFonts w:ascii="宋体" w:hAnsi="宋体" w:cs="宋体" w:eastAsia="宋体" w:hint="default"/>
          <w:sz w:val="18"/>
          <w:szCs w:val="18"/>
        </w:rPr>
      </w:pPr>
      <w:r>
        <w:rPr>
          <w:rFonts w:ascii="宋体" w:hAnsi="宋体" w:cs="宋体" w:eastAsia="宋体" w:hint="default"/>
          <w:b/>
          <w:bCs/>
          <w:sz w:val="18"/>
          <w:szCs w:val="18"/>
        </w:rPr>
        <w:t>主要控股参股公司情况说明</w:t>
      </w:r>
      <w:r>
        <w:rPr>
          <w:rFonts w:ascii="宋体" w:hAnsi="宋体" w:cs="宋体" w:eastAsia="宋体" w:hint="default"/>
          <w:sz w:val="18"/>
          <w:szCs w:val="18"/>
        </w:rPr>
      </w:r>
    </w:p>
    <w:p>
      <w:pPr>
        <w:spacing w:before="115"/>
        <w:ind w:left="1054"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6"/>
          <w:sz w:val="18"/>
          <w:szCs w:val="18"/>
        </w:rPr>
        <w:t>1</w:t>
      </w:r>
      <w:r>
        <w:rPr>
          <w:rFonts w:ascii="宋体" w:hAnsi="宋体" w:cs="宋体" w:eastAsia="宋体" w:hint="default"/>
          <w:spacing w:val="-6"/>
          <w:sz w:val="18"/>
          <w:szCs w:val="18"/>
        </w:rPr>
        <w:t>、报告期内，为优化管理体系，促进板块业务协同，提高经营效率，公司从战略发展角度出发，将持有的中原电子</w:t>
      </w:r>
      <w:r>
        <w:rPr>
          <w:rFonts w:ascii="宋体" w:hAnsi="宋体" w:cs="宋体" w:eastAsia="宋体" w:hint="default"/>
          <w:spacing w:val="-22"/>
          <w:sz w:val="18"/>
          <w:szCs w:val="18"/>
        </w:rPr>
        <w:t> </w:t>
      </w:r>
      <w:r>
        <w:rPr>
          <w:rFonts w:ascii="Times New Roman" w:hAnsi="Times New Roman" w:cs="Times New Roman" w:eastAsia="Times New Roman" w:hint="default"/>
          <w:sz w:val="18"/>
          <w:szCs w:val="18"/>
        </w:rPr>
        <w:t>100%</w:t>
      </w:r>
    </w:p>
    <w:p>
      <w:pPr>
        <w:spacing w:before="64"/>
        <w:ind w:left="694" w:right="0" w:firstLine="0"/>
        <w:jc w:val="left"/>
        <w:rPr>
          <w:rFonts w:ascii="宋体" w:hAnsi="宋体" w:cs="宋体" w:eastAsia="宋体" w:hint="default"/>
          <w:sz w:val="18"/>
          <w:szCs w:val="18"/>
        </w:rPr>
      </w:pPr>
      <w:r>
        <w:rPr>
          <w:rFonts w:ascii="宋体" w:hAnsi="宋体" w:cs="宋体" w:eastAsia="宋体" w:hint="default"/>
          <w:sz w:val="18"/>
          <w:szCs w:val="18"/>
        </w:rPr>
        <w:t>股权、圣非凡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w:t>
      </w:r>
      <w:r>
        <w:rPr>
          <w:rFonts w:ascii="宋体" w:hAnsi="宋体" w:cs="宋体" w:eastAsia="宋体" w:hint="default"/>
          <w:sz w:val="18"/>
          <w:szCs w:val="18"/>
        </w:rPr>
        <w:t>股权转让给湖南长城科技，具体内容详见第五节“公司子公司重大事项”中的相关介绍。</w:t>
      </w:r>
    </w:p>
    <w:p>
      <w:pPr>
        <w:spacing w:line="302" w:lineRule="auto" w:before="102"/>
        <w:ind w:left="694" w:right="1125" w:firstLine="360"/>
        <w:jc w:val="left"/>
        <w:rPr>
          <w:rFonts w:ascii="宋体" w:hAnsi="宋体" w:cs="宋体" w:eastAsia="宋体" w:hint="default"/>
          <w:sz w:val="18"/>
          <w:szCs w:val="18"/>
        </w:rPr>
      </w:pPr>
      <w:r>
        <w:rPr>
          <w:rFonts w:ascii="Times New Roman" w:hAnsi="Times New Roman" w:cs="Times New Roman" w:eastAsia="Times New Roman" w:hint="default"/>
          <w:spacing w:val="-9"/>
          <w:sz w:val="18"/>
          <w:szCs w:val="18"/>
        </w:rPr>
        <w:t>2</w:t>
      </w:r>
      <w:r>
        <w:rPr>
          <w:rFonts w:ascii="宋体" w:hAnsi="宋体" w:cs="宋体" w:eastAsia="宋体" w:hint="default"/>
          <w:spacing w:val="-9"/>
          <w:sz w:val="18"/>
          <w:szCs w:val="18"/>
        </w:rPr>
        <w:t>、</w:t>
      </w:r>
      <w:r>
        <w:rPr>
          <w:rFonts w:ascii="Times New Roman" w:hAnsi="Times New Roman" w:cs="Times New Roman" w:eastAsia="Times New Roman" w:hint="default"/>
          <w:spacing w:val="-9"/>
          <w:sz w:val="18"/>
          <w:szCs w:val="18"/>
        </w:rPr>
        <w:t>2018</w:t>
      </w:r>
      <w:r>
        <w:rPr>
          <w:rFonts w:ascii="Times New Roman" w:hAnsi="Times New Roman" w:cs="Times New Roman" w:eastAsia="Times New Roman" w:hint="default"/>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pacing w:val="-4"/>
          <w:sz w:val="18"/>
          <w:szCs w:val="18"/>
        </w:rPr>
        <w:t>月，公司向中原电子增资人民币</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 </w:t>
      </w:r>
      <w:r>
        <w:rPr>
          <w:rFonts w:ascii="宋体" w:hAnsi="宋体" w:cs="宋体" w:eastAsia="宋体" w:hint="default"/>
          <w:spacing w:val="-4"/>
          <w:sz w:val="18"/>
          <w:szCs w:val="18"/>
        </w:rPr>
        <w:t>亿元，中原电子注册资本增加至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63,789.10 </w:t>
      </w:r>
      <w:r>
        <w:rPr>
          <w:rFonts w:ascii="宋体" w:hAnsi="宋体" w:cs="宋体" w:eastAsia="宋体" w:hint="default"/>
          <w:spacing w:val="-5"/>
          <w:sz w:val="18"/>
          <w:szCs w:val="18"/>
        </w:rPr>
        <w:t>万元，具体内容详见本节“重</w:t>
      </w:r>
      <w:r>
        <w:rPr>
          <w:rFonts w:ascii="宋体" w:hAnsi="宋体" w:cs="宋体" w:eastAsia="宋体" w:hint="default"/>
          <w:sz w:val="18"/>
          <w:szCs w:val="18"/>
        </w:rPr>
        <w:t> 大股权投资情况说明”中的相关介绍。</w:t>
      </w:r>
    </w:p>
    <w:p>
      <w:pPr>
        <w:spacing w:line="302" w:lineRule="auto" w:before="68"/>
        <w:ind w:left="694" w:right="1120"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37"/>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月，公司向圣非凡增资人民币</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3,600</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万元，圣非凡注册资本增加至</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18,100</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万元，具体内容详见本节“重 大股权投资情况说明”中的相关介绍。</w:t>
      </w:r>
    </w:p>
    <w:p>
      <w:pPr>
        <w:spacing w:line="302" w:lineRule="auto" w:before="68"/>
        <w:ind w:left="694" w:right="1116" w:firstLine="36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2018</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月，长城香港完成收购柏怡国际管理层股东</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20%</w:t>
      </w:r>
      <w:r>
        <w:rPr>
          <w:rFonts w:ascii="宋体" w:hAnsi="宋体" w:cs="宋体" w:eastAsia="宋体" w:hint="default"/>
          <w:sz w:val="18"/>
          <w:szCs w:val="18"/>
        </w:rPr>
        <w:t>股权，公司直接及间接合计持有柏怡国际</w:t>
      </w:r>
      <w:r>
        <w:rPr>
          <w:rFonts w:ascii="宋体" w:hAnsi="宋体" w:cs="宋体" w:eastAsia="宋体" w:hint="default"/>
          <w:spacing w:val="-51"/>
          <w:sz w:val="18"/>
          <w:szCs w:val="18"/>
        </w:rPr>
        <w:t> </w:t>
      </w:r>
      <w:r>
        <w:rPr>
          <w:rFonts w:ascii="Times New Roman" w:hAnsi="Times New Roman" w:cs="Times New Roman" w:eastAsia="Times New Roman" w:hint="default"/>
          <w:spacing w:val="-3"/>
          <w:sz w:val="18"/>
          <w:szCs w:val="18"/>
        </w:rPr>
        <w:t>71%</w:t>
      </w:r>
      <w:r>
        <w:rPr>
          <w:rFonts w:ascii="宋体" w:hAnsi="宋体" w:cs="宋体" w:eastAsia="宋体" w:hint="default"/>
          <w:spacing w:val="-3"/>
          <w:sz w:val="18"/>
          <w:szCs w:val="18"/>
        </w:rPr>
        <w:t>股权，具体</w:t>
      </w:r>
      <w:r>
        <w:rPr>
          <w:rFonts w:ascii="宋体" w:hAnsi="宋体" w:cs="宋体" w:eastAsia="宋体" w:hint="default"/>
          <w:sz w:val="18"/>
          <w:szCs w:val="18"/>
        </w:rPr>
        <w:t> 内容详见第五节“公司子公司重大事项”中的相关介绍。</w:t>
      </w:r>
    </w:p>
    <w:p>
      <w:pPr>
        <w:spacing w:before="69"/>
        <w:ind w:left="10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7 </w:t>
      </w:r>
      <w:r>
        <w:rPr>
          <w:rFonts w:ascii="宋体" w:hAnsi="宋体" w:cs="宋体" w:eastAsia="宋体" w:hint="default"/>
          <w:sz w:val="18"/>
          <w:szCs w:val="18"/>
        </w:rPr>
        <w:t>月，公司向湖南长城信息金融设备有限责任公司增资人民币</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亿元（现金增资</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 </w:t>
      </w:r>
      <w:r>
        <w:rPr>
          <w:rFonts w:ascii="宋体" w:hAnsi="宋体" w:cs="宋体" w:eastAsia="宋体" w:hint="default"/>
          <w:sz w:val="18"/>
          <w:szCs w:val="18"/>
        </w:rPr>
        <w:t>亿元、未分配利润转增</w:t>
      </w:r>
    </w:p>
    <w:p>
      <w:pPr>
        <w:spacing w:before="64"/>
        <w:ind w:left="694" w:right="0" w:firstLine="0"/>
        <w:jc w:val="left"/>
        <w:rPr>
          <w:rFonts w:ascii="宋体" w:hAnsi="宋体" w:cs="宋体" w:eastAsia="宋体" w:hint="default"/>
          <w:sz w:val="18"/>
          <w:szCs w:val="18"/>
        </w:rPr>
      </w:pPr>
      <w:r>
        <w:rPr>
          <w:rFonts w:ascii="宋体" w:hAnsi="宋体" w:cs="宋体" w:eastAsia="宋体" w:hint="default"/>
          <w:sz w:val="18"/>
          <w:szCs w:val="18"/>
        </w:rPr>
        <w:t>注册资本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w:t>
      </w:r>
      <w:r>
        <w:rPr>
          <w:rFonts w:ascii="宋体" w:hAnsi="宋体" w:cs="宋体" w:eastAsia="宋体" w:hint="default"/>
          <w:spacing w:val="-90"/>
          <w:sz w:val="18"/>
          <w:szCs w:val="18"/>
        </w:rPr>
        <w:t>）</w:t>
      </w:r>
      <w:r>
        <w:rPr>
          <w:rFonts w:ascii="宋体" w:hAnsi="宋体" w:cs="宋体" w:eastAsia="宋体" w:hint="default"/>
          <w:sz w:val="18"/>
          <w:szCs w:val="18"/>
        </w:rPr>
        <w:t>，注册资本增加至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35,000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p>
      <w:pPr>
        <w:spacing w:before="101"/>
        <w:ind w:left="10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月，公司完成收购长城超云管理层股东</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股权并向其增资人民币</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亿元，公司持有长城超云股权比例为</w:t>
      </w:r>
    </w:p>
    <w:p>
      <w:pPr>
        <w:spacing w:before="64"/>
        <w:ind w:left="69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44%</w:t>
      </w:r>
      <w:r>
        <w:rPr>
          <w:rFonts w:ascii="宋体" w:hAnsi="宋体" w:cs="宋体" w:eastAsia="宋体" w:hint="default"/>
          <w:sz w:val="18"/>
          <w:szCs w:val="18"/>
        </w:rPr>
        <w:t>，具体内容详见本节“重大股权投资情况说明”中的相关介绍。</w:t>
      </w:r>
    </w:p>
    <w:p>
      <w:pPr>
        <w:spacing w:before="101"/>
        <w:ind w:left="10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年</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月，公司与中科院声学所、中晟嘉华共同投资设立的合资公司中科长城海洋信息系统有限公司成立，公司</w:t>
      </w:r>
    </w:p>
    <w:p>
      <w:pPr>
        <w:spacing w:after="0"/>
        <w:jc w:val="left"/>
        <w:rPr>
          <w:rFonts w:ascii="宋体" w:hAnsi="宋体" w:cs="宋体" w:eastAsia="宋体" w:hint="default"/>
          <w:sz w:val="18"/>
          <w:szCs w:val="18"/>
        </w:rPr>
        <w:sectPr>
          <w:pgSz w:w="11910" w:h="16840"/>
          <w:pgMar w:header="787" w:footer="982" w:top="1100" w:bottom="1180" w:left="440" w:right="0"/>
        </w:sectPr>
      </w:pPr>
    </w:p>
    <w:p>
      <w:pPr>
        <w:spacing w:line="240" w:lineRule="auto" w:before="11"/>
        <w:rPr>
          <w:rFonts w:ascii="宋体" w:hAnsi="宋体" w:cs="宋体" w:eastAsia="宋体" w:hint="default"/>
          <w:sz w:val="22"/>
          <w:szCs w:val="22"/>
        </w:rPr>
      </w:pPr>
    </w:p>
    <w:p>
      <w:pPr>
        <w:spacing w:before="44"/>
        <w:ind w:left="154" w:right="0" w:firstLine="0"/>
        <w:jc w:val="both"/>
        <w:rPr>
          <w:rFonts w:ascii="宋体" w:hAnsi="宋体" w:cs="宋体" w:eastAsia="宋体" w:hint="default"/>
          <w:sz w:val="18"/>
          <w:szCs w:val="18"/>
        </w:rPr>
      </w:pPr>
      <w:r>
        <w:rPr>
          <w:rFonts w:ascii="宋体" w:hAnsi="宋体" w:cs="宋体" w:eastAsia="宋体" w:hint="default"/>
          <w:sz w:val="18"/>
          <w:szCs w:val="18"/>
        </w:rPr>
        <w:t>持股比例</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34%</w:t>
      </w:r>
      <w:r>
        <w:rPr>
          <w:rFonts w:ascii="宋体" w:hAnsi="宋体" w:cs="宋体" w:eastAsia="宋体" w:hint="default"/>
          <w:sz w:val="18"/>
          <w:szCs w:val="18"/>
        </w:rPr>
        <w:t>，具体内容详见本节“重大股权投资情况说明”中的相关介绍。</w:t>
      </w:r>
    </w:p>
    <w:p>
      <w:pPr>
        <w:spacing w:line="302" w:lineRule="auto" w:before="101"/>
        <w:ind w:left="154" w:right="1034" w:firstLine="360"/>
        <w:jc w:val="left"/>
        <w:rPr>
          <w:rFonts w:ascii="宋体" w:hAnsi="宋体" w:cs="宋体" w:eastAsia="宋体" w:hint="default"/>
          <w:sz w:val="18"/>
          <w:szCs w:val="18"/>
        </w:rPr>
      </w:pPr>
      <w:r>
        <w:rPr>
          <w:rFonts w:ascii="Times New Roman" w:hAnsi="Times New Roman" w:cs="Times New Roman" w:eastAsia="Times New Roman" w:hint="default"/>
          <w:spacing w:val="-12"/>
          <w:sz w:val="18"/>
          <w:szCs w:val="18"/>
        </w:rPr>
        <w:t>8</w:t>
      </w:r>
      <w:r>
        <w:rPr>
          <w:rFonts w:ascii="宋体" w:hAnsi="宋体" w:cs="宋体" w:eastAsia="宋体" w:hint="default"/>
          <w:spacing w:val="-12"/>
          <w:sz w:val="18"/>
          <w:szCs w:val="18"/>
        </w:rPr>
        <w:t>、</w:t>
      </w:r>
      <w:r>
        <w:rPr>
          <w:rFonts w:ascii="Times New Roman" w:hAnsi="Times New Roman" w:cs="Times New Roman" w:eastAsia="Times New Roman" w:hint="default"/>
          <w:spacing w:val="-12"/>
          <w:sz w:val="18"/>
          <w:szCs w:val="18"/>
        </w:rPr>
        <w:t>2018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4"/>
          <w:sz w:val="18"/>
          <w:szCs w:val="18"/>
        </w:rPr>
        <w:t> </w:t>
      </w:r>
      <w:r>
        <w:rPr>
          <w:rFonts w:ascii="宋体" w:hAnsi="宋体" w:cs="宋体" w:eastAsia="宋体" w:hint="default"/>
          <w:spacing w:val="-5"/>
          <w:sz w:val="18"/>
          <w:szCs w:val="18"/>
        </w:rPr>
        <w:t>月，合资公司深圳中电蓝海控股有限公司成立（中国电子有限公司出资人民币</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1,020</w:t>
      </w:r>
      <w:r>
        <w:rPr>
          <w:rFonts w:ascii="Times New Roman" w:hAnsi="Times New Roman" w:cs="Times New Roman" w:eastAsia="Times New Roman" w:hint="default"/>
          <w:spacing w:val="4"/>
          <w:sz w:val="18"/>
          <w:szCs w:val="18"/>
        </w:rPr>
        <w:t> </w:t>
      </w:r>
      <w:r>
        <w:rPr>
          <w:rFonts w:ascii="宋体" w:hAnsi="宋体" w:cs="宋体" w:eastAsia="宋体" w:hint="default"/>
          <w:spacing w:val="-9"/>
          <w:sz w:val="18"/>
          <w:szCs w:val="18"/>
        </w:rPr>
        <w:t>万元，持股比例为</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51%</w:t>
      </w:r>
      <w:r>
        <w:rPr>
          <w:rFonts w:ascii="宋体" w:hAnsi="宋体" w:cs="宋体" w:eastAsia="宋体" w:hint="default"/>
          <w:sz w:val="18"/>
          <w:szCs w:val="18"/>
        </w:rPr>
        <w:t>； 公司出资人民币 </w:t>
      </w:r>
      <w:r>
        <w:rPr>
          <w:rFonts w:ascii="Times New Roman" w:hAnsi="Times New Roman" w:cs="Times New Roman" w:eastAsia="Times New Roman" w:hint="default"/>
          <w:sz w:val="18"/>
          <w:szCs w:val="18"/>
        </w:rPr>
        <w:t>980 </w:t>
      </w:r>
      <w:r>
        <w:rPr>
          <w:rFonts w:ascii="宋体" w:hAnsi="宋体" w:cs="宋体" w:eastAsia="宋体" w:hint="default"/>
          <w:sz w:val="18"/>
          <w:szCs w:val="18"/>
        </w:rPr>
        <w:t>万元，持股比例为</w:t>
      </w:r>
      <w:r>
        <w:rPr>
          <w:rFonts w:ascii="宋体" w:hAnsi="宋体" w:cs="宋体" w:eastAsia="宋体" w:hint="default"/>
          <w:spacing w:val="-68"/>
          <w:sz w:val="18"/>
          <w:szCs w:val="18"/>
        </w:rPr>
        <w:t> </w:t>
      </w:r>
      <w:r>
        <w:rPr>
          <w:rFonts w:ascii="Times New Roman" w:hAnsi="Times New Roman" w:cs="Times New Roman" w:eastAsia="Times New Roman" w:hint="default"/>
          <w:spacing w:val="-3"/>
          <w:sz w:val="18"/>
          <w:szCs w:val="18"/>
        </w:rPr>
        <w:t>49%</w:t>
      </w:r>
      <w:r>
        <w:rPr>
          <w:rFonts w:ascii="宋体" w:hAnsi="宋体" w:cs="宋体" w:eastAsia="宋体" w:hint="default"/>
          <w:spacing w:val="-3"/>
          <w:sz w:val="18"/>
          <w:szCs w:val="18"/>
        </w:rPr>
        <w:t>），具体内容详见第五节“共同对外投资的关联交易情况说明”中的相关介绍。</w:t>
      </w:r>
    </w:p>
    <w:p>
      <w:pPr>
        <w:spacing w:before="52"/>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月，广州鼎甲计算机科技有限公司实施资本公积金转增注册资本，注册资本增加至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3,050.7836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p>
      <w:pPr>
        <w:spacing w:before="102"/>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月，子公司深圳普士科技有限公司清算注销。</w:t>
      </w:r>
    </w:p>
    <w:p>
      <w:pPr>
        <w:spacing w:line="302" w:lineRule="auto" w:before="101"/>
        <w:ind w:left="153" w:right="1119" w:firstLine="360"/>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11</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2018</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月，公司通过公开挂牌的方式转让全资子公司深圳市湘计长岛电脑设备有限公司</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100%</w:t>
      </w:r>
      <w:r>
        <w:rPr>
          <w:rFonts w:ascii="宋体" w:hAnsi="宋体" w:cs="宋体" w:eastAsia="宋体" w:hint="default"/>
          <w:sz w:val="18"/>
          <w:szCs w:val="18"/>
        </w:rPr>
        <w:t>股权，具体内容详 见本节“出售重大股权情况说明”中的相关介绍。</w:t>
      </w:r>
    </w:p>
    <w:p>
      <w:pPr>
        <w:spacing w:before="70"/>
        <w:ind w:left="51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 </w:t>
      </w:r>
      <w:r>
        <w:rPr>
          <w:rFonts w:ascii="宋体" w:hAnsi="宋体" w:cs="宋体" w:eastAsia="宋体" w:hint="default"/>
          <w:sz w:val="18"/>
          <w:szCs w:val="18"/>
        </w:rPr>
        <w:t>月，子公司长城信息海南系统技术有限公司清算注销。</w:t>
      </w:r>
    </w:p>
    <w:p>
      <w:pPr>
        <w:spacing w:before="102"/>
        <w:ind w:left="51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13</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月，子公司北海长城能源科技有限公司清算注销。</w:t>
      </w:r>
    </w:p>
    <w:p>
      <w:pPr>
        <w:spacing w:line="240" w:lineRule="auto" w:before="9"/>
        <w:rPr>
          <w:rFonts w:ascii="宋体" w:hAnsi="宋体" w:cs="宋体" w:eastAsia="宋体" w:hint="default"/>
          <w:sz w:val="14"/>
          <w:szCs w:val="14"/>
        </w:rPr>
      </w:pPr>
    </w:p>
    <w:p>
      <w:pPr>
        <w:pStyle w:val="Heading4"/>
        <w:spacing w:line="240" w:lineRule="auto"/>
        <w:ind w:right="0"/>
        <w:jc w:val="both"/>
        <w:rPr>
          <w:b w:val="0"/>
          <w:bCs w:val="0"/>
        </w:rPr>
      </w:pPr>
      <w:r>
        <w:rPr/>
        <w:t>八、公司控制的结构化主体情况</w:t>
      </w:r>
      <w:r>
        <w:rPr>
          <w:b w:val="0"/>
          <w:bCs w:val="0"/>
        </w:rPr>
      </w:r>
    </w:p>
    <w:p>
      <w:pPr>
        <w:spacing w:line="240" w:lineRule="auto" w:before="6"/>
        <w:rPr>
          <w:rFonts w:ascii="宋体" w:hAnsi="宋体" w:cs="宋体" w:eastAsia="宋体" w:hint="default"/>
          <w:b/>
          <w:bCs/>
          <w:sz w:val="17"/>
          <w:szCs w:val="17"/>
        </w:rPr>
      </w:pPr>
    </w:p>
    <w:p>
      <w:pPr>
        <w:spacing w:before="0"/>
        <w:ind w:left="154" w:right="0" w:firstLine="0"/>
        <w:jc w:val="both"/>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9"/>
        <w:rPr>
          <w:rFonts w:ascii="宋体" w:hAnsi="宋体" w:cs="宋体" w:eastAsia="宋体" w:hint="default"/>
          <w:sz w:val="15"/>
          <w:szCs w:val="15"/>
        </w:rPr>
      </w:pPr>
    </w:p>
    <w:p>
      <w:pPr>
        <w:pStyle w:val="Heading4"/>
        <w:spacing w:line="240" w:lineRule="auto"/>
        <w:ind w:right="0"/>
        <w:jc w:val="both"/>
        <w:rPr>
          <w:b w:val="0"/>
          <w:bCs w:val="0"/>
        </w:rPr>
      </w:pPr>
      <w:r>
        <w:rPr/>
        <w:t>九、公司未来发展的展望</w:t>
      </w:r>
      <w:r>
        <w:rPr>
          <w:b w:val="0"/>
          <w:bCs w:val="0"/>
        </w:rPr>
      </w:r>
    </w:p>
    <w:p>
      <w:pPr>
        <w:spacing w:line="240" w:lineRule="auto" w:before="0"/>
        <w:rPr>
          <w:rFonts w:ascii="宋体" w:hAnsi="宋体" w:cs="宋体" w:eastAsia="宋体" w:hint="default"/>
          <w:b/>
          <w:bCs/>
          <w:sz w:val="19"/>
          <w:szCs w:val="19"/>
        </w:rPr>
      </w:pPr>
    </w:p>
    <w:p>
      <w:pPr>
        <w:pStyle w:val="BodyText"/>
        <w:spacing w:line="336" w:lineRule="auto" w:before="0"/>
        <w:ind w:left="574" w:right="0" w:hanging="1"/>
        <w:jc w:val="left"/>
      </w:pPr>
      <w:r>
        <w:rPr>
          <w:rFonts w:ascii="Times New Roman" w:hAnsi="Times New Roman" w:cs="Times New Roman" w:eastAsia="Times New Roman" w:hint="default"/>
        </w:rPr>
        <w:t>1</w:t>
      </w:r>
      <w:r>
        <w:rPr/>
        <w:t>、中国长城所处行业格局和趋势 </w:t>
      </w:r>
      <w:r>
        <w:rPr>
          <w:spacing w:val="-1"/>
        </w:rPr>
        <w:t>我国发展面临多年少有的国内外复杂严峻形势，经济全球化遭遇波折，多边主义受到冲击，中美博弈</w:t>
      </w:r>
    </w:p>
    <w:p>
      <w:pPr>
        <w:pStyle w:val="BodyText"/>
        <w:spacing w:line="350" w:lineRule="auto" w:before="46"/>
        <w:ind w:left="154" w:right="1129"/>
        <w:jc w:val="both"/>
      </w:pPr>
      <w:r>
        <w:rPr>
          <w:spacing w:val="-1"/>
        </w:rPr>
        <w:t>纵深发展，由贸易向科技、军事领域不断延伸，我国信息技术和电子信息产业的作用地位更加突出，行业</w:t>
      </w:r>
      <w:r>
        <w:rPr>
          <w:spacing w:val="-82"/>
        </w:rPr>
        <w:t> </w:t>
      </w:r>
      <w:r>
        <w:rPr>
          <w:spacing w:val="-82"/>
        </w:rPr>
      </w:r>
      <w:r>
        <w:rPr/>
        <w:t>热点持续涌现，人工智能、超高清视频、</w:t>
      </w:r>
      <w:r>
        <w:rPr>
          <w:rFonts w:ascii="Times New Roman" w:hAnsi="Times New Roman" w:cs="Times New Roman" w:eastAsia="Times New Roman" w:hint="default"/>
        </w:rPr>
        <w:t>5G</w:t>
      </w:r>
      <w:r>
        <w:rPr>
          <w:rFonts w:ascii="Times New Roman" w:hAnsi="Times New Roman" w:cs="Times New Roman" w:eastAsia="Times New Roman" w:hint="default"/>
          <w:spacing w:val="26"/>
        </w:rPr>
        <w:t> </w:t>
      </w:r>
      <w:r>
        <w:rPr/>
        <w:t>成为重要引领；新一轮全球产业变革蓬勃兴起，我国迎来从</w:t>
      </w:r>
      <w:r>
        <w:rPr>
          <w:spacing w:val="-102"/>
        </w:rPr>
        <w:t> </w:t>
      </w:r>
      <w:r>
        <w:rPr>
          <w:spacing w:val="-102"/>
        </w:rPr>
      </w:r>
      <w:r>
        <w:rPr>
          <w:spacing w:val="-1"/>
        </w:rPr>
        <w:t>跟跑到并跑乃至领跑的历史契机；但我国网信产业关键核心技术受制于人的状况尚未根本改变，需要像中</w:t>
      </w:r>
      <w:r>
        <w:rPr>
          <w:spacing w:val="-81"/>
        </w:rPr>
        <w:t> </w:t>
      </w:r>
      <w:r>
        <w:rPr>
          <w:spacing w:val="-81"/>
        </w:rPr>
      </w:r>
      <w:r>
        <w:rPr>
          <w:spacing w:val="-1"/>
        </w:rPr>
        <w:t>国电子这样的中央企业高举保障国家网络安全的大旗，肩负起关键核心技术攻关、引领产业生态发展的显</w:t>
      </w:r>
      <w:r>
        <w:rPr>
          <w:spacing w:val="-81"/>
        </w:rPr>
        <w:t> </w:t>
      </w:r>
      <w:r>
        <w:rPr>
          <w:spacing w:val="-81"/>
        </w:rPr>
      </w:r>
      <w:r>
        <w:rPr/>
        <w:t>示担当和历史使命。</w:t>
      </w:r>
    </w:p>
    <w:p>
      <w:pPr>
        <w:pStyle w:val="BodyText"/>
        <w:spacing w:line="355" w:lineRule="auto" w:before="34"/>
        <w:ind w:left="154" w:right="1129" w:firstLine="420"/>
        <w:jc w:val="both"/>
      </w:pPr>
      <w:r>
        <w:rPr>
          <w:spacing w:val="-1"/>
        </w:rPr>
        <w:t>近年来，我国相继出台了一系列有利于电子信息产业发展、军民融合发展、网络安全产业替代的重大</w:t>
      </w:r>
      <w:r>
        <w:rPr/>
        <w:t> </w:t>
      </w:r>
      <w:r>
        <w:rPr>
          <w:spacing w:val="-1"/>
        </w:rPr>
        <w:t>政策，产业环境持续优化、产业转型升级逐步加快、政策红利不断释放，网信产业升级替代工程迎来窗口</w:t>
      </w:r>
      <w:r>
        <w:rPr>
          <w:spacing w:val="-82"/>
        </w:rPr>
        <w:t> </w:t>
      </w:r>
      <w:r>
        <w:rPr>
          <w:spacing w:val="-82"/>
        </w:rPr>
      </w:r>
      <w:r>
        <w:rPr>
          <w:spacing w:val="-1"/>
        </w:rPr>
        <w:t>机遇期。国家加快主导相关设备和技术的升级替代，首先部署政府部门和军工部门示范，逐步推广应用并</w:t>
      </w:r>
      <w:r>
        <w:rPr>
          <w:spacing w:val="-83"/>
        </w:rPr>
        <w:t> </w:t>
      </w:r>
      <w:r>
        <w:rPr>
          <w:spacing w:val="-83"/>
        </w:rPr>
      </w:r>
      <w:r>
        <w:rPr>
          <w:spacing w:val="-1"/>
        </w:rPr>
        <w:t>向金融、电信、能源、电力等关系国计民生的行业拓展，最后扩展到普通的企业级用户乃至个人用户，为</w:t>
      </w:r>
      <w:r>
        <w:rPr>
          <w:spacing w:val="-83"/>
        </w:rPr>
        <w:t> </w:t>
      </w:r>
      <w:r>
        <w:rPr>
          <w:spacing w:val="-83"/>
        </w:rPr>
      </w:r>
      <w:r>
        <w:rPr>
          <w:spacing w:val="-1"/>
        </w:rPr>
        <w:t>网络安全产品带来更广阔的市场空间；在重要部门和行业领域实行准入审查，对自主品牌的发展形成市场</w:t>
      </w:r>
      <w:r>
        <w:rPr>
          <w:spacing w:val="-81"/>
        </w:rPr>
        <w:t> </w:t>
      </w:r>
      <w:r>
        <w:rPr>
          <w:spacing w:val="-81"/>
        </w:rPr>
      </w:r>
      <w:r>
        <w:rPr/>
        <w:t>驱动力。</w:t>
      </w:r>
    </w:p>
    <w:p>
      <w:pPr>
        <w:pStyle w:val="BodyText"/>
        <w:spacing w:line="350" w:lineRule="auto" w:before="30"/>
        <w:ind w:left="154" w:right="1015" w:firstLine="420"/>
        <w:jc w:val="left"/>
      </w:pPr>
      <w:r>
        <w:rPr>
          <w:spacing w:val="-3"/>
        </w:rPr>
        <w:t>面对复杂且瞬息万变的国际环境，公司作为中国电子“二号系统工程”重要载体及资源整合核心平台，</w:t>
      </w:r>
      <w:r>
        <w:rPr/>
        <w:t> </w:t>
      </w:r>
      <w:r>
        <w:rPr>
          <w:spacing w:val="-1"/>
        </w:rPr>
        <w:t>作为中国电子旗下“网络安全与信息化专业集团公司”，以“链接幸福世界，铸造网安长城”为愿景，积</w:t>
      </w:r>
      <w:r>
        <w:rPr>
          <w:spacing w:val="-94"/>
        </w:rPr>
        <w:t> </w:t>
      </w:r>
      <w:r>
        <w:rPr>
          <w:spacing w:val="-94"/>
        </w:rPr>
      </w:r>
      <w:r>
        <w:rPr>
          <w:spacing w:val="-6"/>
        </w:rPr>
        <w:t>极研判产业竞争格局、热点领域和发展趋势，不忘初心，以网络安全与信息化、“军民融合”、“中国制造</w:t>
      </w:r>
      <w:r>
        <w:rPr>
          <w:spacing w:val="-68"/>
        </w:rPr>
        <w:t> </w:t>
      </w:r>
      <w:r>
        <w:rPr>
          <w:spacing w:val="-68"/>
        </w:rPr>
      </w:r>
      <w:r>
        <w:rPr>
          <w:rFonts w:ascii="Times New Roman" w:hAnsi="Times New Roman" w:cs="Times New Roman" w:eastAsia="Times New Roman" w:hint="default"/>
        </w:rPr>
        <w:t>2025</w:t>
      </w:r>
      <w:r>
        <w:rPr/>
        <w:t>”等国家战略为依托，充分利用国家政策利好以及中国电子资源优势，立足国产化，自力更生，加快 信息技术的融合创新发展和集成式、颠覆式创新，掌握核心技术，逐渐改善、扭转相关领域核心技术受制 于人的局面，加速本公司战略转型目标的实现，力争将中国长城打造成为网信产业的引领者。</w:t>
      </w:r>
    </w:p>
    <w:p>
      <w:pPr>
        <w:pStyle w:val="BodyText"/>
        <w:spacing w:line="240" w:lineRule="auto" w:before="34"/>
        <w:ind w:left="574" w:right="0"/>
        <w:jc w:val="left"/>
      </w:pPr>
      <w:r>
        <w:rPr>
          <w:rFonts w:ascii="Times New Roman" w:hAnsi="Times New Roman" w:cs="Times New Roman" w:eastAsia="Times New Roman" w:hint="default"/>
        </w:rPr>
        <w:t>2</w:t>
      </w:r>
      <w:r>
        <w:rPr/>
        <w:t>、中国长城发展战略</w:t>
      </w:r>
    </w:p>
    <w:p>
      <w:pPr>
        <w:pStyle w:val="BodyText"/>
        <w:spacing w:line="336" w:lineRule="auto" w:before="115"/>
        <w:ind w:left="574" w:right="0" w:hanging="1"/>
        <w:jc w:val="left"/>
      </w:pPr>
      <w:r>
        <w:rPr/>
        <w:t>（</w:t>
      </w:r>
      <w:r>
        <w:rPr>
          <w:rFonts w:ascii="Times New Roman" w:hAnsi="Times New Roman" w:cs="Times New Roman" w:eastAsia="Times New Roman" w:hint="default"/>
        </w:rPr>
        <w:t>1</w:t>
      </w:r>
      <w:r>
        <w:rPr/>
        <w:t>）指导思想 </w:t>
      </w:r>
      <w:r>
        <w:rPr>
          <w:spacing w:val="-1"/>
        </w:rPr>
        <w:t>以“链接幸福世界，铸造网安长城”为战略愿景，大力培育科技创新发展动力，持续优化资源配置能</w:t>
      </w:r>
    </w:p>
    <w:p>
      <w:pPr>
        <w:spacing w:after="0" w:line="336" w:lineRule="auto"/>
        <w:jc w:val="left"/>
        <w:sectPr>
          <w:pgSz w:w="11910" w:h="16840"/>
          <w:pgMar w:header="787" w:footer="982" w:top="1100" w:bottom="1180" w:left="980" w:right="0"/>
        </w:sectPr>
      </w:pPr>
    </w:p>
    <w:p>
      <w:pPr>
        <w:spacing w:line="240" w:lineRule="auto" w:before="2"/>
        <w:rPr>
          <w:rFonts w:ascii="宋体" w:hAnsi="宋体" w:cs="宋体" w:eastAsia="宋体" w:hint="default"/>
          <w:sz w:val="25"/>
          <w:szCs w:val="25"/>
        </w:rPr>
      </w:pPr>
    </w:p>
    <w:p>
      <w:pPr>
        <w:pStyle w:val="BodyText"/>
        <w:spacing w:line="355" w:lineRule="auto" w:before="35"/>
        <w:ind w:left="154" w:right="1021"/>
        <w:jc w:val="left"/>
      </w:pPr>
      <w:r>
        <w:rPr>
          <w:spacing w:val="-3"/>
        </w:rPr>
        <w:t>力，以网络安全与信息化为发展主线，致力于打造“网安长城”品牌，聚焦“党政军、海洋、金融、医疗”</w:t>
      </w:r>
      <w:r>
        <w:rPr>
          <w:spacing w:val="-97"/>
        </w:rPr>
        <w:t> </w:t>
      </w:r>
      <w:r>
        <w:rPr>
          <w:spacing w:val="-97"/>
        </w:rPr>
      </w:r>
      <w:r>
        <w:rPr/>
        <w:t>等关键行业和领域，提供涵盖产品、集成、运营和行业解决方案等关键要素的一体化服务，不断加大技术</w:t>
      </w:r>
      <w:r>
        <w:rPr/>
        <w:t> 研发投入，持续推动体制机制创新和市场化改革，成为网络安全与信息化领域旗舰企业。</w:t>
      </w:r>
    </w:p>
    <w:p>
      <w:pPr>
        <w:pStyle w:val="BodyText"/>
        <w:spacing w:line="336" w:lineRule="auto" w:before="30"/>
        <w:ind w:left="574" w:right="0" w:hanging="1"/>
        <w:jc w:val="left"/>
      </w:pPr>
      <w:r>
        <w:rPr/>
        <w:t>（</w:t>
      </w:r>
      <w:r>
        <w:rPr>
          <w:rFonts w:ascii="Times New Roman" w:hAnsi="Times New Roman" w:cs="Times New Roman" w:eastAsia="Times New Roman" w:hint="default"/>
        </w:rPr>
        <w:t>2</w:t>
      </w:r>
      <w:r>
        <w:rPr/>
        <w:t>）聚焦打造三大核心业务集群 </w:t>
      </w:r>
      <w:r>
        <w:rPr>
          <w:spacing w:val="-1"/>
        </w:rPr>
        <w:t>优化现有业务，以“网络安全与信息化”为发展主线，致力于打造网络安全与信息化、高新电子、电</w:t>
      </w:r>
    </w:p>
    <w:p>
      <w:pPr>
        <w:pStyle w:val="BodyText"/>
        <w:spacing w:line="355" w:lineRule="auto" w:before="46"/>
        <w:ind w:left="154" w:right="1090"/>
        <w:jc w:val="left"/>
      </w:pPr>
      <w:r>
        <w:rPr/>
        <w:t>源三大业务集群，健全公司核心产品与技术体系，强化军民融合，聚焦关键行业和领域，努力实现市场、 技术和人才的最大公约数。</w:t>
      </w:r>
    </w:p>
    <w:p>
      <w:pPr>
        <w:pStyle w:val="BodyText"/>
        <w:spacing w:line="240" w:lineRule="auto" w:before="30"/>
        <w:ind w:left="574" w:right="0"/>
        <w:jc w:val="left"/>
      </w:pPr>
      <w:r>
        <w:rPr>
          <w:rFonts w:ascii="Times New Roman" w:hAnsi="Times New Roman" w:cs="Times New Roman" w:eastAsia="Times New Roman" w:hint="default"/>
        </w:rPr>
        <w:t>3</w:t>
      </w:r>
      <w:r>
        <w:rPr/>
        <w:t>、中国长城经营计划</w:t>
      </w:r>
    </w:p>
    <w:p>
      <w:pPr>
        <w:pStyle w:val="BodyText"/>
        <w:spacing w:line="345" w:lineRule="auto" w:before="115"/>
        <w:ind w:left="154" w:right="1131" w:firstLine="420"/>
        <w:jc w:val="both"/>
      </w:pPr>
      <w:r>
        <w:rPr>
          <w:rFonts w:ascii="Times New Roman" w:hAnsi="Times New Roman" w:cs="Times New Roman" w:eastAsia="Times New Roman" w:hint="default"/>
          <w:spacing w:val="-1"/>
        </w:rPr>
        <w:t>2018</w:t>
      </w:r>
      <w:r>
        <w:rPr>
          <w:rFonts w:ascii="Times New Roman" w:hAnsi="Times New Roman" w:cs="Times New Roman" w:eastAsia="Times New Roman" w:hint="default"/>
          <w:spacing w:val="4"/>
        </w:rPr>
        <w:t> </w:t>
      </w:r>
      <w:r>
        <w:rPr>
          <w:spacing w:val="-2"/>
        </w:rPr>
        <w:t>年，面对国内外错综复杂的经济环境，在中国电子集团的大力支持下，践行新发展理念，聚焦战</w:t>
      </w:r>
      <w:r>
        <w:rPr/>
        <w:t> </w:t>
      </w:r>
      <w:r>
        <w:rPr>
          <w:spacing w:val="-1"/>
        </w:rPr>
        <w:t>略，攻坚克难，主动作为，推进改革创新，着眼转型升级，加强企业治理，各项工作有序推进，全年实现</w:t>
      </w:r>
      <w:r>
        <w:rPr>
          <w:spacing w:val="-85"/>
        </w:rPr>
        <w:t> </w:t>
      </w:r>
      <w:r>
        <w:rPr>
          <w:spacing w:val="-85"/>
        </w:rPr>
      </w:r>
      <w:r>
        <w:rPr/>
        <w:t>营业收入</w:t>
      </w:r>
      <w:r>
        <w:rPr>
          <w:spacing w:val="-56"/>
        </w:rPr>
        <w:t> </w:t>
      </w:r>
      <w:r>
        <w:rPr>
          <w:rFonts w:ascii="Times New Roman" w:hAnsi="Times New Roman" w:cs="Times New Roman" w:eastAsia="Times New Roman" w:hint="default"/>
        </w:rPr>
        <w:t>100.09</w:t>
      </w:r>
      <w:r>
        <w:rPr>
          <w:rFonts w:ascii="Times New Roman" w:hAnsi="Times New Roman" w:cs="Times New Roman" w:eastAsia="Times New Roman" w:hint="default"/>
          <w:spacing w:val="-2"/>
        </w:rPr>
        <w:t> </w:t>
      </w:r>
      <w:r>
        <w:rPr/>
        <w:t>亿元，同比增长</w:t>
      </w:r>
      <w:r>
        <w:rPr>
          <w:spacing w:val="-56"/>
        </w:rPr>
        <w:t> </w:t>
      </w:r>
      <w:r>
        <w:rPr>
          <w:rFonts w:ascii="Times New Roman" w:hAnsi="Times New Roman" w:cs="Times New Roman" w:eastAsia="Times New Roman" w:hint="default"/>
        </w:rPr>
        <w:t>5.29%</w:t>
      </w:r>
      <w:r>
        <w:rPr/>
        <w:t>；利润总额</w:t>
      </w:r>
      <w:r>
        <w:rPr>
          <w:spacing w:val="-56"/>
        </w:rPr>
        <w:t> </w:t>
      </w:r>
      <w:r>
        <w:rPr>
          <w:rFonts w:ascii="Times New Roman" w:hAnsi="Times New Roman" w:cs="Times New Roman" w:eastAsia="Times New Roman" w:hint="default"/>
        </w:rPr>
        <w:t>13.21</w:t>
      </w:r>
      <w:r>
        <w:rPr>
          <w:rFonts w:ascii="Times New Roman" w:hAnsi="Times New Roman" w:cs="Times New Roman" w:eastAsia="Times New Roman" w:hint="default"/>
          <w:spacing w:val="-2"/>
        </w:rPr>
        <w:t> </w:t>
      </w:r>
      <w:r>
        <w:rPr/>
        <w:t>亿元，同比增长</w:t>
      </w:r>
      <w:r>
        <w:rPr>
          <w:spacing w:val="-56"/>
        </w:rPr>
        <w:t> </w:t>
      </w:r>
      <w:r>
        <w:rPr>
          <w:rFonts w:ascii="Times New Roman" w:hAnsi="Times New Roman" w:cs="Times New Roman" w:eastAsia="Times New Roman" w:hint="default"/>
        </w:rPr>
        <w:t>68.97%</w:t>
      </w:r>
      <w:r>
        <w:rPr/>
        <w:t>。主要体现在：</w:t>
      </w:r>
    </w:p>
    <w:p>
      <w:pPr>
        <w:pStyle w:val="BodyText"/>
        <w:spacing w:line="345" w:lineRule="auto" w:before="12"/>
        <w:ind w:left="154" w:right="1131" w:firstLine="420"/>
        <w:jc w:val="both"/>
      </w:pPr>
      <w:r>
        <w:rPr>
          <w:spacing w:val="-3"/>
        </w:rPr>
        <w:t>（</w:t>
      </w:r>
      <w:r>
        <w:rPr>
          <w:rFonts w:ascii="Times New Roman" w:hAnsi="Times New Roman" w:cs="Times New Roman" w:eastAsia="Times New Roman" w:hint="default"/>
          <w:spacing w:val="-3"/>
        </w:rPr>
        <w:t>1</w:t>
      </w:r>
      <w:r>
        <w:rPr>
          <w:spacing w:val="-3"/>
        </w:rPr>
        <w:t>）牢牢把握“央企姓党、国企姓国”的政治属性，始终把党建作为企业的“根”和“魂”，全面加</w:t>
      </w:r>
      <w:r>
        <w:rPr/>
        <w:t> </w:t>
      </w:r>
      <w:r>
        <w:rPr>
          <w:spacing w:val="-1"/>
        </w:rPr>
        <w:t>强党的建设。建立健全纪检监察制度体系，创新纪检监察考核体系，推进反腐倡廉长效机制建设，营造廉</w:t>
      </w:r>
      <w:r>
        <w:rPr>
          <w:spacing w:val="-82"/>
        </w:rPr>
        <w:t> </w:t>
      </w:r>
      <w:r>
        <w:rPr>
          <w:spacing w:val="-82"/>
        </w:rPr>
      </w:r>
      <w:r>
        <w:rPr/>
        <w:t>洁从业新风。</w:t>
      </w:r>
    </w:p>
    <w:p>
      <w:pPr>
        <w:pStyle w:val="BodyText"/>
        <w:spacing w:line="350" w:lineRule="auto" w:before="38"/>
        <w:ind w:left="154" w:right="0" w:firstLine="420"/>
        <w:jc w:val="left"/>
      </w:pPr>
      <w:r>
        <w:rPr>
          <w:spacing w:val="-1"/>
        </w:rPr>
        <w:t>（</w:t>
      </w:r>
      <w:r>
        <w:rPr>
          <w:rFonts w:ascii="Times New Roman" w:hAnsi="Times New Roman" w:cs="Times New Roman" w:eastAsia="Times New Roman" w:hint="default"/>
          <w:spacing w:val="-1"/>
        </w:rPr>
        <w:t>2</w:t>
      </w:r>
      <w:r>
        <w:rPr>
          <w:spacing w:val="-1"/>
        </w:rPr>
        <w:t>）紧扣网络安全与信息化专业子集团战略定位和转型升级需要，坚持市场导向，市场化引人用人，</w:t>
      </w:r>
      <w:r>
        <w:rPr/>
        <w:t> 强化战略引领，构建产业生态。全面深刻把握国家战略和公司战略定位，开展创造性实践，认真梳理和系 统提炼核心业务，快速调整战术和业务布局，形成网络安全与信息化、高新电子、电源三大核心业务发展 规划，在网信和海洋信息业务实施“突破”和“卡位”工程，聚合资源、集中力量打造网络安全与信息化 专业子集团。</w:t>
      </w:r>
    </w:p>
    <w:p>
      <w:pPr>
        <w:pStyle w:val="BodyText"/>
        <w:spacing w:line="336" w:lineRule="auto" w:before="34"/>
        <w:ind w:left="154" w:right="1014" w:firstLine="420"/>
        <w:jc w:val="left"/>
      </w:pPr>
      <w:r>
        <w:rPr/>
        <w:t>（</w:t>
      </w:r>
      <w:r>
        <w:rPr>
          <w:rFonts w:ascii="Times New Roman" w:hAnsi="Times New Roman" w:cs="Times New Roman" w:eastAsia="Times New Roman" w:hint="default"/>
        </w:rPr>
        <w:t>3</w:t>
      </w:r>
      <w:r>
        <w:rPr/>
        <w:t>）狠抓创新驱动，核心竞争力进一步增强。通过与地方政府、国防科大、百度、清华大学、奇虎</w:t>
      </w:r>
      <w:r>
        <w:rPr>
          <w:spacing w:val="2"/>
        </w:rPr>
        <w:t> </w:t>
      </w:r>
      <w:r>
        <w:rPr>
          <w:rFonts w:ascii="Times New Roman" w:hAnsi="Times New Roman" w:cs="Times New Roman" w:eastAsia="Times New Roman" w:hint="default"/>
        </w:rPr>
        <w:t>360</w:t>
      </w:r>
      <w:r>
        <w:rPr>
          <w:rFonts w:ascii="Times New Roman" w:hAnsi="Times New Roman" w:cs="Times New Roman" w:eastAsia="Times New Roman" w:hint="default"/>
          <w:spacing w:val="5"/>
        </w:rPr>
        <w:t> </w:t>
      </w:r>
      <w:r>
        <w:rPr>
          <w:spacing w:val="-5"/>
        </w:rPr>
        <w:t>等校企的开放合作，进一步完善公司科技创新体系；倾力打造自研</w:t>
      </w:r>
      <w:r>
        <w:rPr>
          <w:spacing w:val="-48"/>
        </w:rPr>
        <w:t> </w:t>
      </w:r>
      <w:r>
        <w:rPr>
          <w:rFonts w:ascii="Times New Roman" w:hAnsi="Times New Roman" w:cs="Times New Roman" w:eastAsia="Times New Roman" w:hint="default"/>
        </w:rPr>
        <w:t>BIOS</w:t>
      </w:r>
      <w:r>
        <w:rPr>
          <w:rFonts w:ascii="Times New Roman" w:hAnsi="Times New Roman" w:cs="Times New Roman" w:eastAsia="Times New Roman" w:hint="default"/>
          <w:spacing w:val="5"/>
        </w:rPr>
        <w:t> </w:t>
      </w:r>
      <w:r>
        <w:rPr/>
        <w:t>和</w:t>
      </w:r>
      <w:r>
        <w:rPr>
          <w:spacing w:val="-48"/>
        </w:rPr>
        <w:t> </w:t>
      </w:r>
      <w:r>
        <w:rPr>
          <w:rFonts w:ascii="Times New Roman" w:hAnsi="Times New Roman" w:cs="Times New Roman" w:eastAsia="Times New Roman" w:hint="default"/>
        </w:rPr>
        <w:t>BMC</w:t>
      </w:r>
      <w:r>
        <w:rPr>
          <w:rFonts w:ascii="Times New Roman" w:hAnsi="Times New Roman" w:cs="Times New Roman" w:eastAsia="Times New Roman" w:hint="default"/>
          <w:spacing w:val="5"/>
        </w:rPr>
        <w:t> </w:t>
      </w:r>
      <w:r>
        <w:rPr>
          <w:spacing w:val="-7"/>
        </w:rPr>
        <w:t>固件能力，攻坚克难，</w:t>
      </w:r>
      <w:r>
        <w:rPr/>
        <w:t> 突破核心技术；积极策划，重大科研项目承接能力明显增强，全年新承担国家级重点项目共计 </w:t>
      </w:r>
      <w:r>
        <w:rPr>
          <w:rFonts w:ascii="Times New Roman" w:hAnsi="Times New Roman" w:cs="Times New Roman" w:eastAsia="Times New Roman" w:hint="default"/>
        </w:rPr>
        <w:t>19</w:t>
      </w:r>
      <w:r>
        <w:rPr>
          <w:rFonts w:ascii="Times New Roman" w:hAnsi="Times New Roman" w:cs="Times New Roman" w:eastAsia="Times New Roman" w:hint="default"/>
          <w:spacing w:val="29"/>
        </w:rPr>
        <w:t> </w:t>
      </w:r>
      <w:r>
        <w:rPr/>
        <w:t>项，取 </w:t>
      </w:r>
      <w:r>
        <w:rPr>
          <w:spacing w:val="-3"/>
        </w:rPr>
        <w:t>得政府项目资金超过亿元；主动对接，加强科研，全年获得</w:t>
      </w:r>
      <w:r>
        <w:rPr>
          <w:spacing w:val="-54"/>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t>项省部级科技进步奖，</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t>项集团科技进步奖， 完成发明专利申请</w:t>
      </w:r>
      <w:r>
        <w:rPr>
          <w:spacing w:val="-51"/>
        </w:rPr>
        <w:t> </w:t>
      </w:r>
      <w:r>
        <w:rPr>
          <w:rFonts w:ascii="Times New Roman" w:hAnsi="Times New Roman" w:cs="Times New Roman" w:eastAsia="Times New Roman" w:hint="default"/>
          <w:spacing w:val="-1"/>
        </w:rPr>
        <w:t>47</w:t>
      </w:r>
      <w:r>
        <w:rPr>
          <w:rFonts w:ascii="Times New Roman" w:hAnsi="Times New Roman" w:cs="Times New Roman" w:eastAsia="Times New Roman" w:hint="default"/>
          <w:spacing w:val="2"/>
        </w:rPr>
        <w:t> </w:t>
      </w:r>
      <w:r>
        <w:rPr>
          <w:spacing w:val="-1"/>
        </w:rPr>
        <w:t>项（同比增长</w:t>
      </w:r>
      <w:r>
        <w:rPr>
          <w:spacing w:val="-51"/>
        </w:rPr>
        <w:t> </w:t>
      </w:r>
      <w:r>
        <w:rPr>
          <w:rFonts w:ascii="Times New Roman" w:hAnsi="Times New Roman" w:cs="Times New Roman" w:eastAsia="Times New Roman" w:hint="default"/>
          <w:spacing w:val="-27"/>
        </w:rPr>
        <w:t>8%</w:t>
      </w:r>
      <w:r>
        <w:rPr>
          <w:spacing w:val="-27"/>
        </w:rPr>
        <w:t>）。</w:t>
      </w:r>
    </w:p>
    <w:p>
      <w:pPr>
        <w:pStyle w:val="BodyText"/>
        <w:spacing w:line="336" w:lineRule="auto" w:before="22"/>
        <w:ind w:left="154" w:right="1129" w:firstLine="420"/>
        <w:jc w:val="both"/>
      </w:pPr>
      <w:r>
        <w:rPr>
          <w:spacing w:val="-3"/>
        </w:rPr>
        <w:t>（</w:t>
      </w:r>
      <w:r>
        <w:rPr>
          <w:rFonts w:ascii="Times New Roman" w:hAnsi="Times New Roman" w:cs="Times New Roman" w:eastAsia="Times New Roman" w:hint="default"/>
          <w:spacing w:val="-3"/>
        </w:rPr>
        <w:t>4</w:t>
      </w:r>
      <w:r>
        <w:rPr>
          <w:spacing w:val="-3"/>
        </w:rPr>
        <w:t>）突出转型升级，产业结构进一步优化。聚焦主业，将原“</w:t>
      </w:r>
      <w:r>
        <w:rPr>
          <w:rFonts w:ascii="Times New Roman" w:hAnsi="Times New Roman" w:cs="Times New Roman" w:eastAsia="Times New Roman" w:hint="default"/>
          <w:spacing w:val="-3"/>
        </w:rPr>
        <w:t>3+6+N</w:t>
      </w:r>
      <w:r>
        <w:rPr>
          <w:spacing w:val="-3"/>
        </w:rPr>
        <w:t>”业务布局调整为网络安全与信</w:t>
      </w:r>
      <w:r>
        <w:rPr/>
        <w:t> 息化、高新电子、电源三大核心主业；推进加强自主可控能力建设，大力推进由单一产品向产品</w:t>
      </w:r>
      <w:r>
        <w:rPr>
          <w:rFonts w:ascii="Times New Roman" w:hAnsi="Times New Roman" w:cs="Times New Roman" w:eastAsia="Times New Roman" w:hint="default"/>
        </w:rPr>
        <w:t>+</w:t>
      </w:r>
      <w:r>
        <w:rPr/>
        <w:t>解决方</w:t>
      </w:r>
      <w:r>
        <w:rPr>
          <w:spacing w:val="-48"/>
        </w:rPr>
        <w:t> </w:t>
      </w:r>
      <w:r>
        <w:rPr>
          <w:spacing w:val="-2"/>
        </w:rPr>
        <w:t>案转变，实现安全可靠产品由可用向好用的转变；创新市场业务模式，大力实施产品</w:t>
      </w:r>
      <w:r>
        <w:rPr>
          <w:rFonts w:ascii="Times New Roman" w:hAnsi="Times New Roman" w:cs="Times New Roman" w:eastAsia="Times New Roman" w:hint="default"/>
          <w:spacing w:val="-2"/>
        </w:rPr>
        <w:t>+</w:t>
      </w:r>
      <w:r>
        <w:rPr>
          <w:spacing w:val="-2"/>
        </w:rPr>
        <w:t>方案</w:t>
      </w:r>
      <w:r>
        <w:rPr>
          <w:rFonts w:ascii="Times New Roman" w:hAnsi="Times New Roman" w:cs="Times New Roman" w:eastAsia="Times New Roman" w:hint="default"/>
          <w:spacing w:val="-2"/>
        </w:rPr>
        <w:t>+</w:t>
      </w:r>
      <w:r>
        <w:rPr>
          <w:spacing w:val="-2"/>
        </w:rPr>
        <w:t>云计算服务工</w:t>
      </w:r>
      <w:r>
        <w:rPr>
          <w:spacing w:val="-62"/>
        </w:rPr>
        <w:t> </w:t>
      </w:r>
      <w:r>
        <w:rPr>
          <w:spacing w:val="-62"/>
        </w:rPr>
      </w:r>
      <w:r>
        <w:rPr/>
        <w:t>程。网信市场的深度、广度、高度呈现新面貌。</w:t>
      </w:r>
    </w:p>
    <w:p>
      <w:pPr>
        <w:pStyle w:val="BodyText"/>
        <w:spacing w:line="336" w:lineRule="auto" w:before="46"/>
        <w:ind w:left="154" w:right="1127" w:firstLine="420"/>
        <w:jc w:val="both"/>
      </w:pPr>
      <w:r>
        <w:rPr/>
        <w:t>（</w:t>
      </w:r>
      <w:r>
        <w:rPr>
          <w:rFonts w:ascii="Times New Roman" w:hAnsi="Times New Roman" w:cs="Times New Roman" w:eastAsia="Times New Roman" w:hint="default"/>
        </w:rPr>
        <w:t>5</w:t>
      </w:r>
      <w:r>
        <w:rPr/>
        <w:t>）夯实管理，提质增效促新局。降本增效取得新业绩，从产品设计优化、集中采购等方面，实现</w:t>
      </w:r>
      <w:r>
        <w:rPr>
          <w:spacing w:val="2"/>
        </w:rPr>
        <w:t> </w:t>
      </w:r>
      <w:r>
        <w:rPr/>
        <w:t>降本金额</w:t>
      </w:r>
      <w:r>
        <w:rPr>
          <w:spacing w:val="-47"/>
        </w:rPr>
        <w:t> </w:t>
      </w:r>
      <w:r>
        <w:rPr>
          <w:rFonts w:ascii="Times New Roman" w:hAnsi="Times New Roman" w:cs="Times New Roman" w:eastAsia="Times New Roman" w:hint="default"/>
        </w:rPr>
        <w:t>7,000</w:t>
      </w:r>
      <w:r>
        <w:rPr>
          <w:rFonts w:ascii="Times New Roman" w:hAnsi="Times New Roman" w:cs="Times New Roman" w:eastAsia="Times New Roman" w:hint="default"/>
          <w:spacing w:val="6"/>
        </w:rPr>
        <w:t> </w:t>
      </w:r>
      <w:r>
        <w:rPr/>
        <w:t>万元以上，年度资金理财增效收益达到</w:t>
      </w:r>
      <w:r>
        <w:rPr>
          <w:spacing w:val="-47"/>
        </w:rPr>
        <w:t> </w:t>
      </w:r>
      <w:r>
        <w:rPr>
          <w:rFonts w:ascii="Times New Roman" w:hAnsi="Times New Roman" w:cs="Times New Roman" w:eastAsia="Times New Roman" w:hint="default"/>
        </w:rPr>
        <w:t>3,357.92</w:t>
      </w:r>
      <w:r>
        <w:rPr>
          <w:rFonts w:ascii="Times New Roman" w:hAnsi="Times New Roman" w:cs="Times New Roman" w:eastAsia="Times New Roman" w:hint="default"/>
          <w:spacing w:val="5"/>
        </w:rPr>
        <w:t> </w:t>
      </w:r>
      <w:r>
        <w:rPr/>
        <w:t>万元；协同管理开创新成效，深入推进网 信产业、军民融合等多层次协同，发挥资源共享与协作优势，产业协同效应进一步增长。</w:t>
      </w:r>
    </w:p>
    <w:p>
      <w:pPr>
        <w:pStyle w:val="BodyText"/>
        <w:spacing w:line="345" w:lineRule="auto" w:before="46"/>
        <w:ind w:left="154" w:right="1108" w:firstLine="420"/>
        <w:jc w:val="both"/>
      </w:pPr>
      <w:r>
        <w:rPr/>
        <w:t>（</w:t>
      </w:r>
      <w:r>
        <w:rPr>
          <w:rFonts w:ascii="Times New Roman" w:hAnsi="Times New Roman" w:cs="Times New Roman" w:eastAsia="Times New Roman" w:hint="default"/>
        </w:rPr>
        <w:t>6</w:t>
      </w:r>
      <w:r>
        <w:rPr/>
        <w:t>）优化企业治理，合规经营能力进一步提升。主动适应国有企业改革新形势，健全组织架构，自</w:t>
      </w:r>
      <w:r>
        <w:rPr>
          <w:spacing w:val="2"/>
        </w:rPr>
        <w:t> </w:t>
      </w:r>
      <w:r>
        <w:rPr>
          <w:spacing w:val="-1"/>
        </w:rPr>
        <w:t>觉践行“法治央企”使命，紧紧围绕经营发展中心工作，坚持“问题、效能、目标”导向，持续提升法律</w:t>
      </w:r>
      <w:r>
        <w:rPr>
          <w:spacing w:val="-86"/>
        </w:rPr>
        <w:t> </w:t>
      </w:r>
      <w:r>
        <w:rPr>
          <w:spacing w:val="-86"/>
        </w:rPr>
      </w:r>
      <w:r>
        <w:rPr/>
        <w:t>支撑保障能力建设。以提升审计价值为导向，进一步健全审计管理制度，推进审计工作标准化、程序化、</w:t>
      </w:r>
    </w:p>
    <w:p>
      <w:pPr>
        <w:spacing w:after="0" w:line="345" w:lineRule="auto"/>
        <w:jc w:val="both"/>
        <w:sectPr>
          <w:pgSz w:w="11910" w:h="16840"/>
          <w:pgMar w:header="787" w:footer="982" w:top="1100" w:bottom="1180" w:left="980" w:right="0"/>
        </w:sectPr>
      </w:pPr>
    </w:p>
    <w:p>
      <w:pPr>
        <w:spacing w:line="240" w:lineRule="auto" w:before="2"/>
        <w:rPr>
          <w:rFonts w:ascii="宋体" w:hAnsi="宋体" w:cs="宋体" w:eastAsia="宋体" w:hint="default"/>
          <w:sz w:val="25"/>
          <w:szCs w:val="25"/>
        </w:rPr>
      </w:pPr>
    </w:p>
    <w:p>
      <w:pPr>
        <w:pStyle w:val="BodyText"/>
        <w:spacing w:line="240" w:lineRule="auto" w:before="35"/>
        <w:ind w:left="154" w:right="0"/>
        <w:jc w:val="left"/>
      </w:pPr>
      <w:r>
        <w:rPr/>
        <w:t>体系化。利用信息化平台共享审计成果，聚焦审计质量的提升，狠抓审计问题整改与落实。</w:t>
      </w:r>
    </w:p>
    <w:p>
      <w:pPr>
        <w:pStyle w:val="BodyText"/>
        <w:spacing w:line="240" w:lineRule="auto" w:before="130"/>
        <w:ind w:left="573" w:right="0"/>
        <w:jc w:val="left"/>
      </w:pPr>
      <w:r>
        <w:rPr>
          <w:rFonts w:ascii="Times New Roman" w:hAnsi="Times New Roman" w:cs="Times New Roman" w:eastAsia="Times New Roman" w:hint="default"/>
          <w:spacing w:val="-1"/>
        </w:rPr>
        <w:t>2019</w:t>
      </w:r>
      <w:r>
        <w:rPr>
          <w:rFonts w:ascii="Times New Roman" w:hAnsi="Times New Roman" w:cs="Times New Roman" w:eastAsia="Times New Roman" w:hint="default"/>
          <w:spacing w:val="7"/>
        </w:rPr>
        <w:t> </w:t>
      </w:r>
      <w:r>
        <w:rPr>
          <w:spacing w:val="-2"/>
        </w:rPr>
        <w:t>年，公司将以习近平新时代中国特色社会主义思想为指导，在董事会领导下，坚决贯彻落实集团</w:t>
      </w:r>
    </w:p>
    <w:p>
      <w:pPr>
        <w:pStyle w:val="BodyText"/>
        <w:spacing w:line="345" w:lineRule="auto" w:before="115"/>
        <w:ind w:left="153" w:right="1012"/>
        <w:jc w:val="left"/>
      </w:pPr>
      <w:r>
        <w:rPr/>
        <w:t>公司</w:t>
      </w:r>
      <w:r>
        <w:rPr>
          <w:spacing w:val="-66"/>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3"/>
        </w:rPr>
        <w:t> </w:t>
      </w:r>
      <w:r>
        <w:rPr/>
        <w:t>年工作会议精神和工作部署，坚持新发展理念，深化市场化结构性改革，强化高质量发展管理， 破解工作重点难点，坚决打赢调结构、促转型、稳增长、提效益攻坚战，着力开创高质量发展新篇章，为 打造网络安全专业子集团和世界网信企业 </w:t>
      </w:r>
      <w:r>
        <w:rPr>
          <w:rFonts w:ascii="Times New Roman" w:hAnsi="Times New Roman" w:cs="Times New Roman" w:eastAsia="Times New Roman" w:hint="default"/>
        </w:rPr>
        <w:t>50 </w:t>
      </w:r>
      <w:r>
        <w:rPr/>
        <w:t>强迈出新步伐。</w:t>
      </w:r>
      <w:r>
        <w:rPr>
          <w:rFonts w:ascii="Times New Roman" w:hAnsi="Times New Roman" w:cs="Times New Roman" w:eastAsia="Times New Roman" w:hint="default"/>
        </w:rPr>
        <w:t>2019</w:t>
      </w:r>
      <w:r>
        <w:rPr>
          <w:rFonts w:ascii="Times New Roman" w:hAnsi="Times New Roman" w:cs="Times New Roman" w:eastAsia="Times New Roman" w:hint="default"/>
          <w:spacing w:val="-27"/>
        </w:rPr>
        <w:t> </w:t>
      </w:r>
      <w:r>
        <w:rPr/>
        <w:t>年，进一步聚焦网络安全与信息化、高 新电子、电源核心业务，加快网信和海洋信息化等战略性产业培育与产业化，打好改革和管理两张牌，并 重点做好以下工作：</w:t>
      </w:r>
    </w:p>
    <w:p>
      <w:pPr>
        <w:pStyle w:val="BodyText"/>
        <w:spacing w:line="340" w:lineRule="auto" w:before="38"/>
        <w:ind w:left="154" w:right="1108" w:firstLine="419"/>
        <w:jc w:val="both"/>
      </w:pPr>
      <w:r>
        <w:rPr>
          <w:spacing w:val="-1"/>
        </w:rPr>
        <w:t>（</w:t>
      </w:r>
      <w:r>
        <w:rPr>
          <w:rFonts w:ascii="Times New Roman" w:hAnsi="Times New Roman" w:cs="Times New Roman" w:eastAsia="Times New Roman" w:hint="default"/>
          <w:spacing w:val="-1"/>
        </w:rPr>
        <w:t>1</w:t>
      </w:r>
      <w:r>
        <w:rPr>
          <w:spacing w:val="-1"/>
        </w:rPr>
        <w:t>）抓改革，以市场化结构性改革打造战略核心竞争力。</w:t>
      </w:r>
      <w:r>
        <w:rPr>
          <w:rFonts w:ascii="Times New Roman" w:hAnsi="Times New Roman" w:cs="Times New Roman" w:eastAsia="Times New Roman" w:hint="default"/>
          <w:spacing w:val="-1"/>
        </w:rPr>
        <w:t>1</w:t>
      </w:r>
      <w:r>
        <w:rPr>
          <w:spacing w:val="-1"/>
        </w:rPr>
        <w:t>）聚焦战略，统筹推进核心主业集约化发</w:t>
      </w:r>
      <w:r>
        <w:rPr/>
        <w:t> 展。主动变革，统筹推进事业部子公司化发展，以独立法人实体化激发新动能。</w:t>
      </w:r>
      <w:r>
        <w:rPr>
          <w:rFonts w:ascii="Times New Roman" w:hAnsi="Times New Roman" w:cs="Times New Roman" w:eastAsia="Times New Roman" w:hint="default"/>
        </w:rPr>
        <w:t>2</w:t>
      </w:r>
      <w:r>
        <w:rPr/>
        <w:t>）创新驱动，深化科技</w:t>
      </w:r>
      <w:r>
        <w:rPr>
          <w:spacing w:val="-35"/>
        </w:rPr>
        <w:t> </w:t>
      </w:r>
      <w:r>
        <w:rPr>
          <w:spacing w:val="-35"/>
        </w:rPr>
      </w:r>
      <w:r>
        <w:rPr/>
        <w:t>创新协同合作机制改革。深化科技创新协同合作机制建设，进一步加大科技创新投入，设立科技创新奖； </w:t>
      </w:r>
      <w:r>
        <w:rPr>
          <w:spacing w:val="-3"/>
        </w:rPr>
        <w:t>深入推进创新平台、资质体系建设。</w:t>
      </w:r>
      <w:r>
        <w:rPr>
          <w:rFonts w:ascii="Times New Roman" w:hAnsi="Times New Roman" w:cs="Times New Roman" w:eastAsia="Times New Roman" w:hint="default"/>
          <w:spacing w:val="-3"/>
        </w:rPr>
        <w:t>3</w:t>
      </w:r>
      <w:r>
        <w:rPr>
          <w:spacing w:val="-3"/>
        </w:rPr>
        <w:t>）转变职能，统筹推进总部“瘦身健体”；多措并举，以市场化机制</w:t>
      </w:r>
      <w:r>
        <w:rPr>
          <w:spacing w:val="-96"/>
        </w:rPr>
        <w:t> </w:t>
      </w:r>
      <w:r>
        <w:rPr>
          <w:spacing w:val="-96"/>
        </w:rPr>
      </w:r>
      <w:r>
        <w:rPr/>
        <w:t>坚决打赢人才争夺战。</w:t>
      </w:r>
    </w:p>
    <w:p>
      <w:pPr>
        <w:pStyle w:val="BodyText"/>
        <w:spacing w:line="336" w:lineRule="auto" w:before="42"/>
        <w:ind w:left="154" w:right="0" w:firstLine="419"/>
        <w:jc w:val="left"/>
      </w:pPr>
      <w:r>
        <w:rPr/>
        <w:t>（</w:t>
      </w:r>
      <w:r>
        <w:rPr>
          <w:rFonts w:ascii="Times New Roman" w:hAnsi="Times New Roman" w:cs="Times New Roman" w:eastAsia="Times New Roman" w:hint="default"/>
        </w:rPr>
        <w:t>2</w:t>
      </w:r>
      <w:r>
        <w:rPr/>
        <w:t>）强管理，以现代企业治理能力提升促进高质量发展。</w:t>
      </w:r>
      <w:r>
        <w:rPr>
          <w:rFonts w:ascii="Times New Roman" w:hAnsi="Times New Roman" w:cs="Times New Roman" w:eastAsia="Times New Roman" w:hint="default"/>
        </w:rPr>
        <w:t>1</w:t>
      </w:r>
      <w:r>
        <w:rPr/>
        <w:t>）创新目标考核体系，研究制定科学有效 的高质量指标体系。</w:t>
      </w:r>
      <w:r>
        <w:rPr>
          <w:rFonts w:ascii="Times New Roman" w:hAnsi="Times New Roman" w:cs="Times New Roman" w:eastAsia="Times New Roman" w:hint="default"/>
        </w:rPr>
        <w:t>2</w:t>
      </w:r>
      <w:r>
        <w:rPr/>
        <w:t>）深入开展降本控费，力争降低产品成本。</w:t>
      </w:r>
      <w:r>
        <w:rPr>
          <w:rFonts w:ascii="Times New Roman" w:hAnsi="Times New Roman" w:cs="Times New Roman" w:eastAsia="Times New Roman" w:hint="default"/>
        </w:rPr>
        <w:t>3</w:t>
      </w:r>
      <w:r>
        <w:rPr/>
        <w:t>）持续推进业务协同，深入开展与集团 </w:t>
      </w:r>
      <w:r>
        <w:rPr>
          <w:spacing w:val="-1"/>
        </w:rPr>
        <w:t>公司兄弟单位和公司内部在原材料采购、技术研发等多层次、多形式的协同，持续推进降低运营成本。</w:t>
      </w:r>
      <w:r>
        <w:rPr>
          <w:rFonts w:ascii="Times New Roman" w:hAnsi="Times New Roman" w:cs="Times New Roman" w:eastAsia="Times New Roman" w:hint="default"/>
          <w:spacing w:val="-1"/>
        </w:rPr>
        <w:t>4</w:t>
      </w:r>
      <w:r>
        <w:rPr>
          <w:spacing w:val="-1"/>
        </w:rPr>
        <w:t>）</w:t>
      </w:r>
      <w:r>
        <w:rPr>
          <w:spacing w:val="-81"/>
        </w:rPr>
        <w:t> </w:t>
      </w:r>
      <w:r>
        <w:rPr/>
        <w:t>加强信息化建设，以信息化推进采购标准化、高效化，提高效能。</w:t>
      </w:r>
      <w:r>
        <w:rPr>
          <w:rFonts w:ascii="Times New Roman" w:hAnsi="Times New Roman" w:cs="Times New Roman" w:eastAsia="Times New Roman" w:hint="default"/>
        </w:rPr>
        <w:t>5</w:t>
      </w:r>
      <w:r>
        <w:rPr/>
        <w:t>）全面加强风险管控，打造全面风险</w:t>
      </w:r>
      <w:r>
        <w:rPr>
          <w:spacing w:val="-34"/>
        </w:rPr>
        <w:t> </w:t>
      </w:r>
      <w:r>
        <w:rPr>
          <w:spacing w:val="-34"/>
        </w:rPr>
      </w:r>
      <w:r>
        <w:rPr/>
        <w:t>管理体系，构建风险管控联动机制。</w:t>
      </w:r>
    </w:p>
    <w:p>
      <w:pPr>
        <w:pStyle w:val="BodyText"/>
        <w:spacing w:line="345" w:lineRule="auto" w:before="46"/>
        <w:ind w:left="154" w:right="1127" w:firstLine="420"/>
        <w:jc w:val="both"/>
      </w:pPr>
      <w:r>
        <w:rPr/>
        <w:t>（</w:t>
      </w:r>
      <w:r>
        <w:rPr>
          <w:rFonts w:ascii="Times New Roman" w:hAnsi="Times New Roman" w:cs="Times New Roman" w:eastAsia="Times New Roman" w:hint="default"/>
        </w:rPr>
        <w:t>3</w:t>
      </w:r>
      <w:r>
        <w:rPr/>
        <w:t>）攻重点，以创造性思维着力推进工作目标实现。聚焦网络安全与信息化、高新电子、电源三大</w:t>
      </w:r>
      <w:r>
        <w:rPr>
          <w:spacing w:val="2"/>
        </w:rPr>
        <w:t> </w:t>
      </w:r>
      <w:r>
        <w:rPr>
          <w:spacing w:val="-1"/>
        </w:rPr>
        <w:t>业务战略，突出主业能力建设；着重抓好总部基地和深圳石岩基地项目建设工程；着重抓好基于战略核心</w:t>
      </w:r>
      <w:r>
        <w:rPr>
          <w:spacing w:val="-83"/>
        </w:rPr>
        <w:t> </w:t>
      </w:r>
      <w:r>
        <w:rPr>
          <w:spacing w:val="-83"/>
        </w:rPr>
      </w:r>
      <w:r>
        <w:rPr/>
        <w:t>业务的优质标的并购。</w:t>
      </w:r>
    </w:p>
    <w:p>
      <w:pPr>
        <w:pStyle w:val="BodyText"/>
        <w:spacing w:line="336" w:lineRule="auto" w:before="38"/>
        <w:ind w:left="574" w:right="2560" w:hanging="1"/>
        <w:jc w:val="left"/>
      </w:pPr>
      <w:r>
        <w:rPr>
          <w:rFonts w:ascii="Times New Roman" w:hAnsi="Times New Roman" w:cs="Times New Roman" w:eastAsia="Times New Roman" w:hint="default"/>
        </w:rPr>
        <w:t>4</w:t>
      </w:r>
      <w:r>
        <w:rPr/>
        <w:t>、中国长城未来发展战略的风险、对策及措施 公司未来发展战略的风险主要来自三个方面，即市场成长性、创新力、人才竞争力。</w:t>
      </w:r>
    </w:p>
    <w:p>
      <w:pPr>
        <w:pStyle w:val="BodyText"/>
        <w:spacing w:line="336" w:lineRule="auto" w:before="46"/>
        <w:ind w:left="574" w:right="1090" w:hanging="1"/>
        <w:jc w:val="left"/>
      </w:pPr>
      <w:r>
        <w:rPr/>
        <w:t>（</w:t>
      </w:r>
      <w:r>
        <w:rPr>
          <w:rFonts w:ascii="Times New Roman" w:hAnsi="Times New Roman" w:cs="Times New Roman" w:eastAsia="Times New Roman" w:hint="default"/>
        </w:rPr>
        <w:t>1</w:t>
      </w:r>
      <w:r>
        <w:rPr/>
        <w:t>）市场成长性风险及保障措施 现阶段，升级替代工程政策驱动力度大、市场需求空间巨大，产品营销服务体系完善并已覆盖全国，</w:t>
      </w:r>
    </w:p>
    <w:p>
      <w:pPr>
        <w:pStyle w:val="BodyText"/>
        <w:spacing w:line="355" w:lineRule="auto" w:before="46"/>
        <w:ind w:left="574" w:right="0" w:hanging="420"/>
        <w:jc w:val="left"/>
      </w:pPr>
      <w:r>
        <w:rPr/>
        <w:t>市场营销风险低，但因目标市场与国家政策及应用的推广力度密切相关，推广进度存在一定不确定性。 </w:t>
      </w:r>
      <w:r>
        <w:rPr>
          <w:spacing w:val="-6"/>
        </w:rPr>
        <w:t>公司将依据中国电子部署，充分利用“升级替代”、“军民融合”契机，充分发挥长城品牌作为国家队</w:t>
      </w:r>
    </w:p>
    <w:p>
      <w:pPr>
        <w:pStyle w:val="BodyText"/>
        <w:spacing w:line="355" w:lineRule="auto" w:before="30"/>
        <w:ind w:left="154" w:right="1022"/>
        <w:jc w:val="left"/>
      </w:pPr>
      <w:r>
        <w:rPr>
          <w:spacing w:val="-1"/>
        </w:rPr>
        <w:t>的优势地位，聚焦核心业务领域，通过点亮工程，以“点带线驱面”，引导升级替代应用市场循序渐进的</w:t>
      </w:r>
      <w:r>
        <w:rPr>
          <w:spacing w:val="-94"/>
        </w:rPr>
        <w:t> </w:t>
      </w:r>
      <w:r>
        <w:rPr>
          <w:spacing w:val="-94"/>
        </w:rPr>
      </w:r>
      <w:r>
        <w:rPr/>
        <w:t>成长。</w:t>
      </w:r>
    </w:p>
    <w:p>
      <w:pPr>
        <w:pStyle w:val="BodyText"/>
        <w:spacing w:line="336" w:lineRule="auto" w:before="30"/>
        <w:ind w:left="574" w:right="0" w:hanging="1"/>
        <w:jc w:val="left"/>
      </w:pPr>
      <w:r>
        <w:rPr/>
        <w:t>（</w:t>
      </w:r>
      <w:r>
        <w:rPr>
          <w:rFonts w:ascii="Times New Roman" w:hAnsi="Times New Roman" w:cs="Times New Roman" w:eastAsia="Times New Roman" w:hint="default"/>
        </w:rPr>
        <w:t>2</w:t>
      </w:r>
      <w:r>
        <w:rPr/>
        <w:t>）创新力风险及保障措施 </w:t>
      </w:r>
      <w:r>
        <w:rPr>
          <w:spacing w:val="-1"/>
        </w:rPr>
        <w:t>全面深刻把握国家战略和公司战略定位，开展创造性实践，认真梳理和系统提炼核心业务，快速调整</w:t>
      </w:r>
    </w:p>
    <w:p>
      <w:pPr>
        <w:pStyle w:val="BodyText"/>
        <w:spacing w:line="355" w:lineRule="auto" w:before="46"/>
        <w:ind w:left="154" w:right="1129"/>
        <w:jc w:val="both"/>
      </w:pPr>
      <w:r>
        <w:rPr>
          <w:spacing w:val="-1"/>
        </w:rPr>
        <w:t>战术和业务布局，形成网络安全与信息化、高新电子、电源三大核心业务领域，战略核心进一步聚焦。特</w:t>
      </w:r>
      <w:r>
        <w:rPr>
          <w:spacing w:val="-83"/>
        </w:rPr>
        <w:t> </w:t>
      </w:r>
      <w:r>
        <w:rPr>
          <w:spacing w:val="-83"/>
        </w:rPr>
      </w:r>
      <w:r>
        <w:rPr>
          <w:spacing w:val="-1"/>
        </w:rPr>
        <w:t>别在高新电子领域，产品及其解决方案处于市场主导地位，网络安全与信息化领域的产品体系及系统解决</w:t>
      </w:r>
      <w:r>
        <w:rPr>
          <w:spacing w:val="-81"/>
        </w:rPr>
        <w:t> </w:t>
      </w:r>
      <w:r>
        <w:rPr>
          <w:spacing w:val="-81"/>
        </w:rPr>
      </w:r>
      <w:r>
        <w:rPr/>
        <w:t>方案的创新力、竞争力待进一步提升。</w:t>
      </w:r>
    </w:p>
    <w:p>
      <w:pPr>
        <w:pStyle w:val="BodyText"/>
        <w:spacing w:line="240" w:lineRule="auto" w:before="30"/>
        <w:ind w:left="574" w:right="0"/>
        <w:jc w:val="left"/>
        <w:rPr>
          <w:rFonts w:ascii="Times New Roman" w:hAnsi="Times New Roman" w:cs="Times New Roman" w:eastAsia="Times New Roman" w:hint="default"/>
        </w:rPr>
      </w:pPr>
      <w:r>
        <w:rPr>
          <w:spacing w:val="-5"/>
        </w:rPr>
        <w:t>以创新驱动发展，聚焦战略，全面夯实核心主业创新能力建设。在网络安全与信息化领域，构建以</w:t>
      </w:r>
      <w:r>
        <w:rPr>
          <w:spacing w:val="-45"/>
        </w:rPr>
        <w:t> </w:t>
      </w:r>
      <w:r>
        <w:rPr>
          <w:rFonts w:ascii="Times New Roman" w:hAnsi="Times New Roman" w:cs="Times New Roman" w:eastAsia="Times New Roman" w:hint="default"/>
        </w:rPr>
        <w:t>IPD</w:t>
      </w:r>
    </w:p>
    <w:p>
      <w:pPr>
        <w:spacing w:after="0" w:line="240" w:lineRule="auto"/>
        <w:jc w:val="left"/>
        <w:rPr>
          <w:rFonts w:ascii="Times New Roman" w:hAnsi="Times New Roman" w:cs="Times New Roman" w:eastAsia="Times New Roman" w:hint="default"/>
        </w:rPr>
        <w:sectPr>
          <w:pgSz w:w="11910" w:h="16840"/>
          <w:pgMar w:header="787" w:footer="982" w:top="1100" w:bottom="1180" w:left="980" w:right="0"/>
        </w:sectPr>
      </w:pPr>
    </w:p>
    <w:p>
      <w:pPr>
        <w:spacing w:line="240" w:lineRule="auto" w:before="7"/>
        <w:rPr>
          <w:rFonts w:ascii="Times New Roman" w:hAnsi="Times New Roman" w:cs="Times New Roman" w:eastAsia="Times New Roman" w:hint="default"/>
          <w:sz w:val="28"/>
          <w:szCs w:val="28"/>
        </w:rPr>
      </w:pPr>
    </w:p>
    <w:p>
      <w:pPr>
        <w:pStyle w:val="BodyText"/>
        <w:spacing w:line="340" w:lineRule="auto" w:before="35"/>
        <w:ind w:left="153" w:right="1130"/>
        <w:jc w:val="both"/>
      </w:pPr>
      <w:r>
        <w:rPr/>
        <w:t>流程为载体的质量管理体系；构建产品竞争力断裂点，加强产品</w:t>
      </w:r>
      <w:r>
        <w:rPr>
          <w:spacing w:val="-66"/>
        </w:rPr>
        <w:t> </w:t>
      </w:r>
      <w:r>
        <w:rPr>
          <w:rFonts w:ascii="Times New Roman" w:hAnsi="Times New Roman" w:cs="Times New Roman" w:eastAsia="Times New Roman" w:hint="default"/>
        </w:rPr>
        <w:t>BIOS</w:t>
      </w:r>
      <w:r>
        <w:rPr/>
        <w:t>、</w:t>
      </w:r>
      <w:r>
        <w:rPr>
          <w:rFonts w:ascii="Times New Roman" w:hAnsi="Times New Roman" w:cs="Times New Roman" w:eastAsia="Times New Roman" w:hint="default"/>
        </w:rPr>
        <w:t>BMC</w:t>
      </w:r>
      <w:r>
        <w:rPr>
          <w:rFonts w:ascii="Times New Roman" w:hAnsi="Times New Roman" w:cs="Times New Roman" w:eastAsia="Times New Roman" w:hint="default"/>
          <w:spacing w:val="-13"/>
        </w:rPr>
        <w:t> </w:t>
      </w:r>
      <w:r>
        <w:rPr/>
        <w:t>自主研发设计能力；构建基 </w:t>
      </w:r>
      <w:r>
        <w:rPr>
          <w:spacing w:val="-2"/>
        </w:rPr>
        <w:t>于“</w:t>
      </w:r>
      <w:r>
        <w:rPr>
          <w:rFonts w:ascii="Times New Roman" w:hAnsi="Times New Roman" w:cs="Times New Roman" w:eastAsia="Times New Roman" w:hint="default"/>
          <w:spacing w:val="-2"/>
        </w:rPr>
        <w:t>PK</w:t>
      </w:r>
      <w:r>
        <w:rPr>
          <w:spacing w:val="-2"/>
        </w:rPr>
        <w:t>”体系的云计算、大数据产品体系和方案。在高新电子领域，狠抓总体单位承接能力建设，推进升</w:t>
      </w:r>
      <w:r>
        <w:rPr>
          <w:spacing w:val="-97"/>
        </w:rPr>
        <w:t> </w:t>
      </w:r>
      <w:r>
        <w:rPr>
          <w:spacing w:val="-97"/>
        </w:rPr>
      </w:r>
      <w:r>
        <w:rPr>
          <w:spacing w:val="-1"/>
        </w:rPr>
        <w:t>级替代工程在高新电子市场的应用，抢占先机。在电源领域，强化数字电源研发，加速产品迭代升级；全</w:t>
      </w:r>
      <w:r>
        <w:rPr>
          <w:spacing w:val="-83"/>
        </w:rPr>
        <w:t> </w:t>
      </w:r>
      <w:r>
        <w:rPr>
          <w:spacing w:val="-83"/>
        </w:rPr>
      </w:r>
      <w:r>
        <w:rPr/>
        <w:t>面进军国际市场，扩大国际合作范围。</w:t>
      </w:r>
    </w:p>
    <w:p>
      <w:pPr>
        <w:pStyle w:val="BodyText"/>
        <w:spacing w:line="336" w:lineRule="auto" w:before="42"/>
        <w:ind w:left="574" w:right="1090" w:hanging="1"/>
        <w:jc w:val="left"/>
      </w:pPr>
      <w:r>
        <w:rPr/>
        <w:t>（</w:t>
      </w:r>
      <w:r>
        <w:rPr>
          <w:rFonts w:ascii="Times New Roman" w:hAnsi="Times New Roman" w:cs="Times New Roman" w:eastAsia="Times New Roman" w:hint="default"/>
        </w:rPr>
        <w:t>3</w:t>
      </w:r>
      <w:r>
        <w:rPr/>
        <w:t>）人才竞争力风险及保障措施 公司重组以来，紧扣网络安全与信息化专业子集团战略定位和转型升级需要，坚持市场化引人用人，</w:t>
      </w:r>
    </w:p>
    <w:p>
      <w:pPr>
        <w:pStyle w:val="BodyText"/>
        <w:spacing w:line="355" w:lineRule="auto" w:before="46"/>
        <w:ind w:left="154" w:right="1021"/>
        <w:jc w:val="left"/>
      </w:pPr>
      <w:r>
        <w:rPr>
          <w:spacing w:val="-3"/>
        </w:rPr>
        <w:t>通过设计核心人才管理方案、突破传统薪酬瓶颈引进高端领军人才与专业人才、以资本为纽带，与中科院、</w:t>
      </w:r>
      <w:r>
        <w:rPr>
          <w:spacing w:val="-90"/>
        </w:rPr>
        <w:t> </w:t>
      </w:r>
      <w:r>
        <w:rPr>
          <w:spacing w:val="-90"/>
        </w:rPr>
      </w:r>
      <w:r>
        <w:rPr/>
        <w:t>国防科大等联合成立创新实体，战略支撑力进一步提升，人才竞争力逐渐增强，人才的总体竞争力与国际</w:t>
      </w:r>
      <w:r>
        <w:rPr/>
        <w:t> 知名企业相比仍存在一定差距。</w:t>
      </w:r>
    </w:p>
    <w:p>
      <w:pPr>
        <w:pStyle w:val="BodyText"/>
        <w:spacing w:line="355" w:lineRule="auto" w:before="30"/>
        <w:ind w:left="154" w:right="1129" w:firstLine="420"/>
        <w:jc w:val="both"/>
      </w:pPr>
      <w:r>
        <w:rPr>
          <w:spacing w:val="-1"/>
        </w:rPr>
        <w:t>公司坚持人才强企战略，紧扣网络安全与信息化专业子集团战略定位和转型升级需要，坚持市场化导</w:t>
      </w:r>
      <w:r>
        <w:rPr/>
        <w:t> </w:t>
      </w:r>
      <w:r>
        <w:rPr>
          <w:spacing w:val="-1"/>
        </w:rPr>
        <w:t>向，多渠道引进国内外优秀人才，进一步创新人才引进、培育、选拔、任用、评价、激励机制；同时，将</w:t>
      </w:r>
      <w:r>
        <w:rPr>
          <w:spacing w:val="-86"/>
        </w:rPr>
        <w:t> </w:t>
      </w:r>
      <w:r>
        <w:rPr>
          <w:spacing w:val="-86"/>
        </w:rPr>
      </w:r>
      <w:r>
        <w:rPr>
          <w:spacing w:val="-1"/>
        </w:rPr>
        <w:t>借助上市公司平台，继续积极探索股权、期权等激励方式，构建完善的激励机制平台和中长期常态化激励</w:t>
      </w:r>
      <w:r>
        <w:rPr>
          <w:spacing w:val="-83"/>
        </w:rPr>
        <w:t> </w:t>
      </w:r>
      <w:r>
        <w:rPr>
          <w:spacing w:val="-83"/>
        </w:rPr>
      </w:r>
      <w:r>
        <w:rPr/>
        <w:t>制度。</w:t>
      </w:r>
    </w:p>
    <w:p>
      <w:pPr>
        <w:pStyle w:val="Heading4"/>
        <w:spacing w:line="240" w:lineRule="auto" w:before="139"/>
        <w:ind w:right="0"/>
        <w:jc w:val="left"/>
        <w:rPr>
          <w:b w:val="0"/>
          <w:bCs w:val="0"/>
        </w:rPr>
      </w:pPr>
      <w:r>
        <w:rPr/>
        <w:t>十、接待调研、沟通、采访等活动情况</w:t>
      </w:r>
      <w:r>
        <w:rPr>
          <w:b w:val="0"/>
          <w:bCs w:val="0"/>
        </w:rPr>
      </w:r>
    </w:p>
    <w:p>
      <w:pPr>
        <w:pStyle w:val="Heading5"/>
        <w:spacing w:line="240" w:lineRule="auto" w:before="202"/>
        <w:ind w:left="154" w:right="0"/>
        <w:jc w:val="left"/>
        <w:rPr>
          <w:b w:val="0"/>
          <w:bCs w:val="0"/>
        </w:rPr>
      </w:pPr>
      <w:r>
        <w:rPr>
          <w:rFonts w:ascii="Times New Roman" w:hAnsi="Times New Roman" w:cs="Times New Roman" w:eastAsia="Times New Roman" w:hint="default"/>
        </w:rPr>
        <w:t>1</w:t>
      </w:r>
      <w:r>
        <w:rPr/>
        <w:t>、报告期内接待调研、沟通、采访等活动登记表</w:t>
      </w:r>
      <w:r>
        <w:rPr>
          <w:b w:val="0"/>
          <w:bCs w:val="0"/>
        </w:rPr>
      </w:r>
    </w:p>
    <w:p>
      <w:pPr>
        <w:spacing w:line="240" w:lineRule="auto" w:before="5"/>
        <w:rPr>
          <w:rFonts w:ascii="宋体" w:hAnsi="宋体" w:cs="宋体" w:eastAsia="宋体" w:hint="default"/>
          <w:b/>
          <w:bCs/>
          <w:sz w:val="17"/>
          <w:szCs w:val="17"/>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0"/>
        <w:rPr>
          <w:rFonts w:ascii="宋体" w:hAnsi="宋体" w:cs="宋体" w:eastAsia="宋体" w:hint="default"/>
          <w:sz w:val="8"/>
          <w:szCs w:val="8"/>
        </w:rPr>
      </w:pPr>
    </w:p>
    <w:tbl>
      <w:tblPr>
        <w:tblW w:w="0" w:type="auto"/>
        <w:jc w:val="left"/>
        <w:tblInd w:w="182" w:type="dxa"/>
        <w:tblLayout w:type="fixed"/>
        <w:tblCellMar>
          <w:top w:w="0" w:type="dxa"/>
          <w:left w:w="0" w:type="dxa"/>
          <w:bottom w:w="0" w:type="dxa"/>
          <w:right w:w="0" w:type="dxa"/>
        </w:tblCellMar>
        <w:tblLook w:val="01E0"/>
      </w:tblPr>
      <w:tblGrid>
        <w:gridCol w:w="1974"/>
        <w:gridCol w:w="1820"/>
        <w:gridCol w:w="152"/>
        <w:gridCol w:w="1974"/>
        <w:gridCol w:w="3649"/>
      </w:tblGrid>
      <w:tr>
        <w:trPr>
          <w:trHeight w:val="322" w:hRule="exact"/>
        </w:trPr>
        <w:tc>
          <w:tcPr>
            <w:tcW w:w="197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left="1" w:right="0"/>
              <w:jc w:val="center"/>
              <w:rPr>
                <w:rFonts w:ascii="宋体" w:hAnsi="宋体" w:cs="宋体" w:eastAsia="宋体" w:hint="default"/>
                <w:sz w:val="18"/>
                <w:szCs w:val="18"/>
              </w:rPr>
            </w:pPr>
            <w:r>
              <w:rPr>
                <w:rFonts w:ascii="宋体" w:hAnsi="宋体" w:cs="宋体" w:eastAsia="宋体" w:hint="default"/>
                <w:sz w:val="18"/>
                <w:szCs w:val="18"/>
              </w:rPr>
              <w:t>接待时间</w:t>
            </w:r>
          </w:p>
        </w:tc>
        <w:tc>
          <w:tcPr>
            <w:tcW w:w="1973"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left="621" w:right="0"/>
              <w:jc w:val="left"/>
              <w:rPr>
                <w:rFonts w:ascii="宋体" w:hAnsi="宋体" w:cs="宋体" w:eastAsia="宋体" w:hint="default"/>
                <w:sz w:val="18"/>
                <w:szCs w:val="18"/>
              </w:rPr>
            </w:pPr>
            <w:r>
              <w:rPr>
                <w:rFonts w:ascii="宋体" w:hAnsi="宋体" w:cs="宋体" w:eastAsia="宋体" w:hint="default"/>
                <w:sz w:val="18"/>
                <w:szCs w:val="18"/>
              </w:rPr>
              <w:t>接待方式</w:t>
            </w:r>
          </w:p>
        </w:tc>
        <w:tc>
          <w:tcPr>
            <w:tcW w:w="197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接待对象类型</w:t>
            </w:r>
          </w:p>
        </w:tc>
        <w:tc>
          <w:tcPr>
            <w:tcW w:w="364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left="1009" w:right="0"/>
              <w:jc w:val="left"/>
              <w:rPr>
                <w:rFonts w:ascii="宋体" w:hAnsi="宋体" w:cs="宋体" w:eastAsia="宋体" w:hint="default"/>
                <w:sz w:val="18"/>
                <w:szCs w:val="18"/>
              </w:rPr>
            </w:pPr>
            <w:r>
              <w:rPr>
                <w:rFonts w:ascii="宋体" w:hAnsi="宋体" w:cs="宋体" w:eastAsia="宋体" w:hint="default"/>
                <w:sz w:val="18"/>
                <w:szCs w:val="18"/>
              </w:rPr>
              <w:t>调研的基本情况索引</w:t>
            </w:r>
          </w:p>
        </w:tc>
      </w:tr>
      <w:tr>
        <w:trPr>
          <w:trHeight w:val="634" w:hRule="exact"/>
        </w:trPr>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7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621"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机构</w:t>
            </w:r>
          </w:p>
        </w:tc>
        <w:tc>
          <w:tcPr>
            <w:tcW w:w="364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2" w:right="23"/>
              <w:jc w:val="left"/>
              <w:rPr>
                <w:rFonts w:ascii="宋体" w:hAnsi="宋体" w:cs="宋体" w:eastAsia="宋体" w:hint="default"/>
                <w:sz w:val="18"/>
                <w:szCs w:val="18"/>
              </w:rPr>
            </w:pPr>
            <w:r>
              <w:rPr>
                <w:rFonts w:ascii="宋体" w:hAnsi="宋体" w:cs="宋体" w:eastAsia="宋体" w:hint="default"/>
                <w:sz w:val="18"/>
                <w:szCs w:val="18"/>
              </w:rPr>
              <w:t>详见深交所投资者关系互动平台《投资者关系 </w:t>
            </w:r>
            <w:r>
              <w:rPr>
                <w:rFonts w:ascii="宋体" w:hAnsi="宋体" w:cs="宋体" w:eastAsia="宋体" w:hint="default"/>
                <w:spacing w:val="-6"/>
                <w:sz w:val="18"/>
                <w:szCs w:val="18"/>
              </w:rPr>
              <w:t>活动记录表》（</w:t>
            </w:r>
            <w:r>
              <w:rPr>
                <w:rFonts w:ascii="Times New Roman" w:hAnsi="Times New Roman" w:cs="Times New Roman" w:eastAsia="Times New Roman" w:hint="default"/>
                <w:spacing w:val="-6"/>
                <w:sz w:val="18"/>
                <w:szCs w:val="18"/>
              </w:rPr>
              <w:t>2018-001</w:t>
            </w:r>
            <w:r>
              <w:rPr>
                <w:rFonts w:ascii="宋体" w:hAnsi="宋体" w:cs="宋体" w:eastAsia="宋体" w:hint="default"/>
                <w:spacing w:val="-6"/>
                <w:sz w:val="18"/>
                <w:szCs w:val="18"/>
              </w:rPr>
              <w:t>）</w:t>
            </w:r>
          </w:p>
        </w:tc>
      </w:tr>
      <w:tr>
        <w:trPr>
          <w:trHeight w:val="634" w:hRule="exact"/>
        </w:trPr>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7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621"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机构</w:t>
            </w:r>
          </w:p>
        </w:tc>
        <w:tc>
          <w:tcPr>
            <w:tcW w:w="364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2" w:right="23"/>
              <w:jc w:val="left"/>
              <w:rPr>
                <w:rFonts w:ascii="宋体" w:hAnsi="宋体" w:cs="宋体" w:eastAsia="宋体" w:hint="default"/>
                <w:sz w:val="18"/>
                <w:szCs w:val="18"/>
              </w:rPr>
            </w:pPr>
            <w:r>
              <w:rPr>
                <w:rFonts w:ascii="宋体" w:hAnsi="宋体" w:cs="宋体" w:eastAsia="宋体" w:hint="default"/>
                <w:sz w:val="18"/>
                <w:szCs w:val="18"/>
              </w:rPr>
              <w:t>详见深交所投资者关系互动平台《投资者关系 </w:t>
            </w:r>
            <w:r>
              <w:rPr>
                <w:rFonts w:ascii="宋体" w:hAnsi="宋体" w:cs="宋体" w:eastAsia="宋体" w:hint="default"/>
                <w:spacing w:val="-6"/>
                <w:sz w:val="18"/>
                <w:szCs w:val="18"/>
              </w:rPr>
              <w:t>活动记录表》（</w:t>
            </w:r>
            <w:r>
              <w:rPr>
                <w:rFonts w:ascii="Times New Roman" w:hAnsi="Times New Roman" w:cs="Times New Roman" w:eastAsia="Times New Roman" w:hint="default"/>
                <w:spacing w:val="-6"/>
                <w:sz w:val="18"/>
                <w:szCs w:val="18"/>
              </w:rPr>
              <w:t>2018-002</w:t>
            </w:r>
            <w:r>
              <w:rPr>
                <w:rFonts w:ascii="宋体" w:hAnsi="宋体" w:cs="宋体" w:eastAsia="宋体" w:hint="default"/>
                <w:spacing w:val="-6"/>
                <w:sz w:val="18"/>
                <w:szCs w:val="18"/>
              </w:rPr>
              <w:t>）</w:t>
            </w:r>
          </w:p>
        </w:tc>
      </w:tr>
      <w:tr>
        <w:trPr>
          <w:trHeight w:val="635" w:hRule="exact"/>
        </w:trPr>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7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21"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机构</w:t>
            </w:r>
          </w:p>
        </w:tc>
        <w:tc>
          <w:tcPr>
            <w:tcW w:w="364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22" w:right="23"/>
              <w:jc w:val="left"/>
              <w:rPr>
                <w:rFonts w:ascii="宋体" w:hAnsi="宋体" w:cs="宋体" w:eastAsia="宋体" w:hint="default"/>
                <w:sz w:val="18"/>
                <w:szCs w:val="18"/>
              </w:rPr>
            </w:pPr>
            <w:r>
              <w:rPr>
                <w:rFonts w:ascii="宋体" w:hAnsi="宋体" w:cs="宋体" w:eastAsia="宋体" w:hint="default"/>
                <w:sz w:val="18"/>
                <w:szCs w:val="18"/>
              </w:rPr>
              <w:t>详见深交所投资者关系互动平台《投资者关系 </w:t>
            </w:r>
            <w:r>
              <w:rPr>
                <w:rFonts w:ascii="宋体" w:hAnsi="宋体" w:cs="宋体" w:eastAsia="宋体" w:hint="default"/>
                <w:spacing w:val="-6"/>
                <w:sz w:val="18"/>
                <w:szCs w:val="18"/>
              </w:rPr>
              <w:t>活动记录表》（</w:t>
            </w:r>
            <w:r>
              <w:rPr>
                <w:rFonts w:ascii="Times New Roman" w:hAnsi="Times New Roman" w:cs="Times New Roman" w:eastAsia="Times New Roman" w:hint="default"/>
                <w:spacing w:val="-6"/>
                <w:sz w:val="18"/>
                <w:szCs w:val="18"/>
              </w:rPr>
              <w:t>2018-003</w:t>
            </w:r>
            <w:r>
              <w:rPr>
                <w:rFonts w:ascii="宋体" w:hAnsi="宋体" w:cs="宋体" w:eastAsia="宋体" w:hint="default"/>
                <w:spacing w:val="-6"/>
                <w:sz w:val="18"/>
                <w:szCs w:val="18"/>
              </w:rPr>
              <w:t>）</w:t>
            </w:r>
          </w:p>
        </w:tc>
      </w:tr>
      <w:tr>
        <w:trPr>
          <w:trHeight w:val="634" w:hRule="exact"/>
        </w:trPr>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7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621"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机构</w:t>
            </w:r>
          </w:p>
        </w:tc>
        <w:tc>
          <w:tcPr>
            <w:tcW w:w="364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2" w:right="23"/>
              <w:jc w:val="left"/>
              <w:rPr>
                <w:rFonts w:ascii="宋体" w:hAnsi="宋体" w:cs="宋体" w:eastAsia="宋体" w:hint="default"/>
                <w:sz w:val="18"/>
                <w:szCs w:val="18"/>
              </w:rPr>
            </w:pPr>
            <w:r>
              <w:rPr>
                <w:rFonts w:ascii="宋体" w:hAnsi="宋体" w:cs="宋体" w:eastAsia="宋体" w:hint="default"/>
                <w:sz w:val="18"/>
                <w:szCs w:val="18"/>
              </w:rPr>
              <w:t>详见深交所投资者关系互动平台《投资者关系 </w:t>
            </w:r>
            <w:r>
              <w:rPr>
                <w:rFonts w:ascii="宋体" w:hAnsi="宋体" w:cs="宋体" w:eastAsia="宋体" w:hint="default"/>
                <w:spacing w:val="-6"/>
                <w:sz w:val="18"/>
                <w:szCs w:val="18"/>
              </w:rPr>
              <w:t>活动记录表》（</w:t>
            </w:r>
            <w:r>
              <w:rPr>
                <w:rFonts w:ascii="Times New Roman" w:hAnsi="Times New Roman" w:cs="Times New Roman" w:eastAsia="Times New Roman" w:hint="default"/>
                <w:spacing w:val="-6"/>
                <w:sz w:val="18"/>
                <w:szCs w:val="18"/>
              </w:rPr>
              <w:t>2018-004</w:t>
            </w:r>
            <w:r>
              <w:rPr>
                <w:rFonts w:ascii="宋体" w:hAnsi="宋体" w:cs="宋体" w:eastAsia="宋体" w:hint="default"/>
                <w:spacing w:val="-6"/>
                <w:sz w:val="18"/>
                <w:szCs w:val="18"/>
              </w:rPr>
              <w:t>）</w:t>
            </w:r>
          </w:p>
        </w:tc>
      </w:tr>
      <w:tr>
        <w:trPr>
          <w:trHeight w:val="634" w:hRule="exact"/>
        </w:trPr>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7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621"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机构</w:t>
            </w:r>
          </w:p>
        </w:tc>
        <w:tc>
          <w:tcPr>
            <w:tcW w:w="364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2" w:right="23"/>
              <w:jc w:val="left"/>
              <w:rPr>
                <w:rFonts w:ascii="宋体" w:hAnsi="宋体" w:cs="宋体" w:eastAsia="宋体" w:hint="default"/>
                <w:sz w:val="18"/>
                <w:szCs w:val="18"/>
              </w:rPr>
            </w:pPr>
            <w:r>
              <w:rPr>
                <w:rFonts w:ascii="宋体" w:hAnsi="宋体" w:cs="宋体" w:eastAsia="宋体" w:hint="default"/>
                <w:sz w:val="18"/>
                <w:szCs w:val="18"/>
              </w:rPr>
              <w:t>详见深交所投资者关系互动平台《投资者关系 </w:t>
            </w:r>
            <w:r>
              <w:rPr>
                <w:rFonts w:ascii="宋体" w:hAnsi="宋体" w:cs="宋体" w:eastAsia="宋体" w:hint="default"/>
                <w:spacing w:val="-6"/>
                <w:sz w:val="18"/>
                <w:szCs w:val="18"/>
              </w:rPr>
              <w:t>活动记录表》（</w:t>
            </w:r>
            <w:r>
              <w:rPr>
                <w:rFonts w:ascii="Times New Roman" w:hAnsi="Times New Roman" w:cs="Times New Roman" w:eastAsia="Times New Roman" w:hint="default"/>
                <w:spacing w:val="-6"/>
                <w:sz w:val="18"/>
                <w:szCs w:val="18"/>
              </w:rPr>
              <w:t>2018-005</w:t>
            </w:r>
            <w:r>
              <w:rPr>
                <w:rFonts w:ascii="宋体" w:hAnsi="宋体" w:cs="宋体" w:eastAsia="宋体" w:hint="default"/>
                <w:spacing w:val="-6"/>
                <w:sz w:val="18"/>
                <w:szCs w:val="18"/>
              </w:rPr>
              <w:t>）</w:t>
            </w:r>
          </w:p>
        </w:tc>
      </w:tr>
      <w:tr>
        <w:trPr>
          <w:trHeight w:val="323" w:hRule="exact"/>
        </w:trPr>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73" w:type="dxa"/>
            <w:gridSpan w:val="2"/>
            <w:vMerge w:val="restart"/>
            <w:tcBorders>
              <w:top w:val="single" w:sz="4" w:space="0" w:color="000000"/>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621"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1974" w:type="dxa"/>
            <w:vMerge w:val="restart"/>
            <w:tcBorders>
              <w:top w:val="single" w:sz="4" w:space="0" w:color="000000"/>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机构</w:t>
            </w:r>
          </w:p>
        </w:tc>
        <w:tc>
          <w:tcPr>
            <w:tcW w:w="3649" w:type="dxa"/>
            <w:vMerge w:val="restart"/>
            <w:tcBorders>
              <w:top w:val="single" w:sz="4" w:space="0" w:color="000000"/>
              <w:left w:val="single" w:sz="4" w:space="0" w:color="000000"/>
              <w:right w:val="single" w:sz="4" w:space="0" w:color="000000"/>
            </w:tcBorders>
          </w:tcPr>
          <w:p>
            <w:pPr>
              <w:pStyle w:val="TableParagraph"/>
              <w:spacing w:line="316" w:lineRule="auto" w:before="16"/>
              <w:ind w:left="22" w:right="23"/>
              <w:jc w:val="left"/>
              <w:rPr>
                <w:rFonts w:ascii="宋体" w:hAnsi="宋体" w:cs="宋体" w:eastAsia="宋体" w:hint="default"/>
                <w:sz w:val="18"/>
                <w:szCs w:val="18"/>
              </w:rPr>
            </w:pPr>
            <w:r>
              <w:rPr>
                <w:rFonts w:ascii="宋体" w:hAnsi="宋体" w:cs="宋体" w:eastAsia="宋体" w:hint="default"/>
                <w:sz w:val="18"/>
                <w:szCs w:val="18"/>
              </w:rPr>
              <w:t>详见深交所投资者关系互动平台《投资者关系 </w:t>
            </w:r>
            <w:r>
              <w:rPr>
                <w:rFonts w:ascii="宋体" w:hAnsi="宋体" w:cs="宋体" w:eastAsia="宋体" w:hint="default"/>
                <w:spacing w:val="-6"/>
                <w:sz w:val="18"/>
                <w:szCs w:val="18"/>
              </w:rPr>
              <w:t>活动记录表》（</w:t>
            </w:r>
            <w:r>
              <w:rPr>
                <w:rFonts w:ascii="Times New Roman" w:hAnsi="Times New Roman" w:cs="Times New Roman" w:eastAsia="Times New Roman" w:hint="default"/>
                <w:spacing w:val="-6"/>
                <w:sz w:val="18"/>
                <w:szCs w:val="18"/>
              </w:rPr>
              <w:t>2018-006</w:t>
            </w:r>
            <w:r>
              <w:rPr>
                <w:rFonts w:ascii="宋体" w:hAnsi="宋体" w:cs="宋体" w:eastAsia="宋体" w:hint="default"/>
                <w:spacing w:val="-6"/>
                <w:sz w:val="18"/>
                <w:szCs w:val="18"/>
              </w:rPr>
              <w:t>）</w:t>
            </w:r>
          </w:p>
        </w:tc>
      </w:tr>
      <w:tr>
        <w:trPr>
          <w:trHeight w:val="322" w:hRule="exact"/>
        </w:trPr>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73" w:type="dxa"/>
            <w:gridSpan w:val="2"/>
            <w:vMerge/>
            <w:tcBorders>
              <w:left w:val="single" w:sz="4" w:space="0" w:color="000000"/>
              <w:bottom w:val="single" w:sz="4" w:space="0" w:color="000000"/>
              <w:right w:val="single" w:sz="4" w:space="0" w:color="000000"/>
            </w:tcBorders>
          </w:tcPr>
          <w:p>
            <w:pPr/>
          </w:p>
        </w:tc>
        <w:tc>
          <w:tcPr>
            <w:tcW w:w="1974" w:type="dxa"/>
            <w:vMerge/>
            <w:tcBorders>
              <w:left w:val="single" w:sz="4" w:space="0" w:color="000000"/>
              <w:bottom w:val="single" w:sz="4" w:space="0" w:color="000000"/>
              <w:right w:val="single" w:sz="4" w:space="0" w:color="000000"/>
            </w:tcBorders>
          </w:tcPr>
          <w:p>
            <w:pPr/>
          </w:p>
        </w:tc>
        <w:tc>
          <w:tcPr>
            <w:tcW w:w="3649" w:type="dxa"/>
            <w:vMerge/>
            <w:tcBorders>
              <w:left w:val="single" w:sz="4" w:space="0" w:color="000000"/>
              <w:bottom w:val="single" w:sz="4" w:space="0" w:color="000000"/>
              <w:right w:val="single" w:sz="4" w:space="0" w:color="000000"/>
            </w:tcBorders>
          </w:tcPr>
          <w:p>
            <w:pPr/>
          </w:p>
        </w:tc>
      </w:tr>
      <w:tr>
        <w:trPr>
          <w:trHeight w:val="322" w:hRule="exact"/>
        </w:trPr>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97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21" w:right="0"/>
              <w:jc w:val="left"/>
              <w:rPr>
                <w:rFonts w:ascii="宋体" w:hAnsi="宋体" w:cs="宋体" w:eastAsia="宋体" w:hint="default"/>
                <w:sz w:val="18"/>
                <w:szCs w:val="18"/>
              </w:rPr>
            </w:pPr>
            <w:r>
              <w:rPr>
                <w:rFonts w:ascii="宋体" w:hAnsi="宋体" w:cs="宋体" w:eastAsia="宋体" w:hint="default"/>
                <w:sz w:val="18"/>
                <w:szCs w:val="18"/>
              </w:rPr>
              <w:t>书面问询</w:t>
            </w:r>
          </w:p>
        </w:tc>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其他</w:t>
            </w:r>
          </w:p>
        </w:tc>
        <w:tc>
          <w:tcPr>
            <w:tcW w:w="3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深圳证券交易所</w:t>
            </w:r>
            <w:r>
              <w:rPr>
                <w:rFonts w:ascii="Times New Roman" w:hAnsi="Times New Roman" w:cs="Times New Roman" w:eastAsia="Times New Roman" w:hint="default"/>
                <w:sz w:val="18"/>
                <w:szCs w:val="18"/>
              </w:rPr>
              <w:t>"</w:t>
            </w:r>
            <w:r>
              <w:rPr>
                <w:rFonts w:ascii="宋体" w:hAnsi="宋体" w:cs="宋体" w:eastAsia="宋体" w:hint="default"/>
                <w:sz w:val="18"/>
                <w:szCs w:val="18"/>
              </w:rPr>
              <w:t>互动易</w:t>
            </w:r>
            <w:r>
              <w:rPr>
                <w:rFonts w:ascii="Times New Roman" w:hAnsi="Times New Roman" w:cs="Times New Roman" w:eastAsia="Times New Roman" w:hint="default"/>
                <w:sz w:val="18"/>
                <w:szCs w:val="18"/>
              </w:rPr>
              <w:t>"</w:t>
            </w:r>
            <w:r>
              <w:rPr>
                <w:rFonts w:ascii="宋体" w:hAnsi="宋体" w:cs="宋体" w:eastAsia="宋体" w:hint="default"/>
                <w:sz w:val="18"/>
                <w:szCs w:val="18"/>
              </w:rPr>
              <w:t>投资者</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271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个问题</w:t>
            </w:r>
          </w:p>
        </w:tc>
      </w:tr>
      <w:tr>
        <w:trPr>
          <w:trHeight w:val="323" w:hRule="exact"/>
        </w:trPr>
        <w:tc>
          <w:tcPr>
            <w:tcW w:w="3794"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接待次数</w:t>
            </w:r>
          </w:p>
        </w:tc>
        <w:tc>
          <w:tcPr>
            <w:tcW w:w="577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6</w:t>
            </w:r>
          </w:p>
        </w:tc>
      </w:tr>
      <w:tr>
        <w:trPr>
          <w:trHeight w:val="322" w:hRule="exact"/>
        </w:trPr>
        <w:tc>
          <w:tcPr>
            <w:tcW w:w="3794"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接待机构数量</w:t>
            </w:r>
          </w:p>
        </w:tc>
        <w:tc>
          <w:tcPr>
            <w:tcW w:w="577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54</w:t>
            </w:r>
          </w:p>
        </w:tc>
      </w:tr>
      <w:tr>
        <w:trPr>
          <w:trHeight w:val="322" w:hRule="exact"/>
        </w:trPr>
        <w:tc>
          <w:tcPr>
            <w:tcW w:w="3794"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接待个人数量</w:t>
            </w:r>
          </w:p>
        </w:tc>
        <w:tc>
          <w:tcPr>
            <w:tcW w:w="577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0</w:t>
            </w:r>
          </w:p>
        </w:tc>
      </w:tr>
      <w:tr>
        <w:trPr>
          <w:trHeight w:val="323" w:hRule="exact"/>
        </w:trPr>
        <w:tc>
          <w:tcPr>
            <w:tcW w:w="3794"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接待其他对象数量</w:t>
            </w:r>
          </w:p>
        </w:tc>
        <w:tc>
          <w:tcPr>
            <w:tcW w:w="577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0</w:t>
            </w:r>
          </w:p>
        </w:tc>
      </w:tr>
      <w:tr>
        <w:trPr>
          <w:trHeight w:val="322" w:hRule="exact"/>
        </w:trPr>
        <w:tc>
          <w:tcPr>
            <w:tcW w:w="3794"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是否披露、透露或泄露未公开重大信息</w:t>
            </w:r>
          </w:p>
        </w:tc>
        <w:tc>
          <w:tcPr>
            <w:tcW w:w="577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center"/>
        <w:rPr>
          <w:rFonts w:ascii="宋体" w:hAnsi="宋体" w:cs="宋体" w:eastAsia="宋体" w:hint="default"/>
          <w:sz w:val="18"/>
          <w:szCs w:val="18"/>
        </w:rPr>
        <w:sectPr>
          <w:pgSz w:w="11910" w:h="16840"/>
          <w:pgMar w:header="787" w:footer="982" w:top="1100" w:bottom="118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4"/>
          <w:szCs w:val="14"/>
        </w:rPr>
      </w:pPr>
    </w:p>
    <w:p>
      <w:pPr>
        <w:pStyle w:val="Heading1"/>
        <w:spacing w:line="240" w:lineRule="auto"/>
        <w:ind w:left="4311" w:right="4727"/>
        <w:jc w:val="center"/>
        <w:rPr>
          <w:b w:val="0"/>
          <w:bCs w:val="0"/>
        </w:rPr>
      </w:pPr>
      <w:bookmarkStart w:name="_TOC_250007" w:id="5"/>
      <w:r>
        <w:rPr/>
        <w:t>第五节</w:t>
      </w:r>
      <w:r>
        <w:rPr>
          <w:spacing w:val="-5"/>
        </w:rPr>
        <w:t> </w:t>
      </w:r>
      <w:r>
        <w:rPr/>
        <w:t>重要事项</w:t>
      </w:r>
      <w:bookmarkEnd w:id="5"/>
      <w:r>
        <w:rPr>
          <w:b w:val="0"/>
          <w:bCs w:val="0"/>
        </w:rPr>
      </w:r>
    </w:p>
    <w:p>
      <w:pPr>
        <w:spacing w:line="240" w:lineRule="auto" w:before="6"/>
        <w:rPr>
          <w:rFonts w:ascii="宋体" w:hAnsi="宋体" w:cs="宋体" w:eastAsia="宋体" w:hint="default"/>
          <w:b/>
          <w:bCs/>
          <w:sz w:val="36"/>
          <w:szCs w:val="36"/>
        </w:rPr>
      </w:pPr>
    </w:p>
    <w:p>
      <w:pPr>
        <w:pStyle w:val="Heading4"/>
        <w:spacing w:line="240" w:lineRule="auto"/>
        <w:ind w:left="714" w:right="0"/>
        <w:jc w:val="left"/>
        <w:rPr>
          <w:b w:val="0"/>
          <w:bCs w:val="0"/>
        </w:rPr>
      </w:pPr>
      <w:r>
        <w:rPr/>
        <w:t>一、公司普通股利润分配及资本公积金转增股本情况</w:t>
      </w:r>
      <w:r>
        <w:rPr>
          <w:b w:val="0"/>
          <w:bCs w:val="0"/>
        </w:rPr>
      </w:r>
    </w:p>
    <w:p>
      <w:pPr>
        <w:spacing w:line="240" w:lineRule="auto" w:before="1"/>
        <w:rPr>
          <w:rFonts w:ascii="宋体" w:hAnsi="宋体" w:cs="宋体" w:eastAsia="宋体" w:hint="default"/>
          <w:b/>
          <w:bCs/>
          <w:sz w:val="22"/>
          <w:szCs w:val="22"/>
        </w:rPr>
      </w:pPr>
    </w:p>
    <w:p>
      <w:pPr>
        <w:spacing w:before="0"/>
        <w:ind w:left="714" w:right="0" w:firstLine="0"/>
        <w:jc w:val="left"/>
        <w:rPr>
          <w:rFonts w:ascii="宋体" w:hAnsi="宋体" w:cs="宋体" w:eastAsia="宋体" w:hint="default"/>
          <w:sz w:val="18"/>
          <w:szCs w:val="18"/>
        </w:rPr>
      </w:pPr>
      <w:r>
        <w:rPr>
          <w:rFonts w:ascii="宋体" w:hAnsi="宋体" w:cs="宋体" w:eastAsia="宋体" w:hint="default"/>
          <w:sz w:val="18"/>
          <w:szCs w:val="18"/>
        </w:rPr>
        <w:t>报告期内普通股利润分配政策，特别是现金分红政策的制定、执行或调整情况</w:t>
      </w:r>
    </w:p>
    <w:p>
      <w:pPr>
        <w:spacing w:before="116"/>
        <w:ind w:left="713"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before="115"/>
        <w:ind w:left="107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、结合公司实际情况和监管机构要求，经公司</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日第六届董事会第二次会议、</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p>
      <w:pPr>
        <w:spacing w:before="63"/>
        <w:ind w:left="714"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度股东大会审议通过，公司制定了《股东回报规划（</w:t>
      </w:r>
      <w:r>
        <w:rPr>
          <w:rFonts w:ascii="Times New Roman" w:hAnsi="Times New Roman" w:cs="Times New Roman" w:eastAsia="Times New Roman" w:hint="default"/>
          <w:sz w:val="18"/>
          <w:szCs w:val="18"/>
        </w:rPr>
        <w:t>2015-2017</w:t>
      </w:r>
      <w:r>
        <w:rPr>
          <w:rFonts w:ascii="宋体" w:hAnsi="宋体" w:cs="宋体" w:eastAsia="宋体" w:hint="default"/>
          <w:spacing w:val="-90"/>
          <w:sz w:val="18"/>
          <w:szCs w:val="18"/>
        </w:rPr>
        <w:t>）》</w:t>
      </w:r>
      <w:r>
        <w:rPr>
          <w:rFonts w:ascii="宋体" w:hAnsi="宋体" w:cs="宋体" w:eastAsia="宋体" w:hint="default"/>
          <w:sz w:val="18"/>
          <w:szCs w:val="18"/>
        </w:rPr>
        <w:t>；经公司</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日第六</w:t>
      </w:r>
      <w:r>
        <w:rPr>
          <w:rFonts w:ascii="宋体" w:hAnsi="宋体" w:cs="宋体" w:eastAsia="宋体" w:hint="default"/>
          <w:spacing w:val="-2"/>
          <w:sz w:val="18"/>
          <w:szCs w:val="18"/>
        </w:rPr>
        <w:t>届</w:t>
      </w:r>
      <w:r>
        <w:rPr>
          <w:rFonts w:ascii="宋体" w:hAnsi="宋体" w:cs="宋体" w:eastAsia="宋体" w:hint="default"/>
          <w:sz w:val="18"/>
          <w:szCs w:val="18"/>
        </w:rPr>
        <w:t>董事会、</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3</w:t>
      </w:r>
    </w:p>
    <w:p>
      <w:pPr>
        <w:spacing w:before="64"/>
        <w:ind w:left="713" w:right="0" w:firstLine="0"/>
        <w:jc w:val="left"/>
        <w:rPr>
          <w:rFonts w:ascii="宋体" w:hAnsi="宋体" w:cs="宋体" w:eastAsia="宋体" w:hint="default"/>
          <w:sz w:val="18"/>
          <w:szCs w:val="18"/>
        </w:rPr>
      </w:pPr>
      <w:r>
        <w:rPr>
          <w:rFonts w:ascii="宋体" w:hAnsi="宋体" w:cs="宋体" w:eastAsia="宋体" w:hint="default"/>
          <w:sz w:val="18"/>
          <w:szCs w:val="18"/>
        </w:rPr>
        <w:t>日</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r>
        <w:rPr>
          <w:rFonts w:ascii="宋体" w:hAnsi="宋体" w:cs="宋体" w:eastAsia="宋体" w:hint="default"/>
          <w:spacing w:val="1"/>
          <w:sz w:val="18"/>
          <w:szCs w:val="18"/>
        </w:rPr>
        <w:t>第</w:t>
      </w:r>
      <w:r>
        <w:rPr>
          <w:rFonts w:ascii="宋体" w:hAnsi="宋体" w:cs="宋体" w:eastAsia="宋体" w:hint="default"/>
          <w:sz w:val="18"/>
          <w:szCs w:val="18"/>
        </w:rPr>
        <w:t>四次临时股东大会审议通过，公司更新《股东回报规划（</w:t>
      </w:r>
      <w:r>
        <w:rPr>
          <w:rFonts w:ascii="Times New Roman" w:hAnsi="Times New Roman" w:cs="Times New Roman" w:eastAsia="Times New Roman" w:hint="default"/>
          <w:sz w:val="18"/>
          <w:szCs w:val="18"/>
        </w:rPr>
        <w:t>2018-2020</w:t>
      </w:r>
      <w:r>
        <w:rPr>
          <w:rFonts w:ascii="宋体" w:hAnsi="宋体" w:cs="宋体" w:eastAsia="宋体" w:hint="default"/>
          <w:spacing w:val="-90"/>
          <w:sz w:val="18"/>
          <w:szCs w:val="18"/>
        </w:rPr>
        <w:t>）》</w:t>
      </w:r>
      <w:r>
        <w:rPr>
          <w:rFonts w:ascii="宋体" w:hAnsi="宋体" w:cs="宋体" w:eastAsia="宋体" w:hint="default"/>
          <w:sz w:val="18"/>
          <w:szCs w:val="18"/>
        </w:rPr>
        <w:t>。</w:t>
      </w:r>
    </w:p>
    <w:p>
      <w:pPr>
        <w:spacing w:before="102"/>
        <w:ind w:left="107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7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 </w:t>
      </w:r>
      <w:r>
        <w:rPr>
          <w:rFonts w:ascii="宋体" w:hAnsi="宋体" w:cs="宋体" w:eastAsia="宋体" w:hint="default"/>
          <w:sz w:val="18"/>
          <w:szCs w:val="18"/>
        </w:rPr>
        <w:t>日，公司实施</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年度每</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股派发现金股利人民币</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0.60 </w:t>
      </w:r>
      <w:r>
        <w:rPr>
          <w:rFonts w:ascii="宋体" w:hAnsi="宋体" w:cs="宋体" w:eastAsia="宋体" w:hint="default"/>
          <w:sz w:val="18"/>
          <w:szCs w:val="18"/>
        </w:rPr>
        <w:t>元（含税）的利润分配方案，共计向全体</w:t>
      </w:r>
    </w:p>
    <w:p>
      <w:pPr>
        <w:spacing w:before="64"/>
        <w:ind w:left="713" w:right="0" w:firstLine="0"/>
        <w:jc w:val="left"/>
        <w:rPr>
          <w:rFonts w:ascii="宋体" w:hAnsi="宋体" w:cs="宋体" w:eastAsia="宋体" w:hint="default"/>
          <w:sz w:val="18"/>
          <w:szCs w:val="18"/>
        </w:rPr>
      </w:pPr>
      <w:r>
        <w:rPr>
          <w:rFonts w:ascii="宋体" w:hAnsi="宋体" w:cs="宋体" w:eastAsia="宋体" w:hint="default"/>
          <w:sz w:val="18"/>
          <w:szCs w:val="18"/>
        </w:rPr>
        <w:t>股东分配现金股利</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176,644,167.54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w:t>
      </w:r>
    </w:p>
    <w:p>
      <w:pPr>
        <w:spacing w:line="240" w:lineRule="auto" w:before="12"/>
        <w:rPr>
          <w:rFonts w:ascii="宋体" w:hAnsi="宋体" w:cs="宋体" w:eastAsia="宋体" w:hint="default"/>
          <w:sz w:val="6"/>
          <w:szCs w:val="6"/>
        </w:rPr>
      </w:pPr>
    </w:p>
    <w:tbl>
      <w:tblPr>
        <w:tblW w:w="0" w:type="auto"/>
        <w:jc w:val="left"/>
        <w:tblInd w:w="744" w:type="dxa"/>
        <w:tblLayout w:type="fixed"/>
        <w:tblCellMar>
          <w:top w:w="0" w:type="dxa"/>
          <w:left w:w="0" w:type="dxa"/>
          <w:bottom w:w="0" w:type="dxa"/>
          <w:right w:w="0" w:type="dxa"/>
        </w:tblCellMar>
        <w:tblLook w:val="01E0"/>
      </w:tblPr>
      <w:tblGrid>
        <w:gridCol w:w="4927"/>
        <w:gridCol w:w="4642"/>
      </w:tblGrid>
      <w:tr>
        <w:trPr>
          <w:trHeight w:val="402" w:hRule="exact"/>
        </w:trPr>
        <w:tc>
          <w:tcPr>
            <w:tcW w:w="9569"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现金分红政策的专项说明</w:t>
            </w:r>
          </w:p>
        </w:tc>
      </w:tr>
      <w:tr>
        <w:trPr>
          <w:trHeight w:val="402" w:hRule="exact"/>
        </w:trPr>
        <w:tc>
          <w:tcPr>
            <w:tcW w:w="49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是否符合公司章程的规定或股东大会决议的要求：</w:t>
            </w:r>
          </w:p>
        </w:tc>
        <w:tc>
          <w:tcPr>
            <w:tcW w:w="4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49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分红标准和比例是否明确和清晰：</w:t>
            </w:r>
          </w:p>
        </w:tc>
        <w:tc>
          <w:tcPr>
            <w:tcW w:w="4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49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相关的决策程序和机制是否完备：</w:t>
            </w:r>
          </w:p>
        </w:tc>
        <w:tc>
          <w:tcPr>
            <w:tcW w:w="4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49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独立董事是否履职尽责并发挥了应有的作用：</w:t>
            </w:r>
          </w:p>
        </w:tc>
        <w:tc>
          <w:tcPr>
            <w:tcW w:w="46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492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22" w:right="32"/>
              <w:jc w:val="left"/>
              <w:rPr>
                <w:rFonts w:ascii="宋体" w:hAnsi="宋体" w:cs="宋体" w:eastAsia="宋体" w:hint="default"/>
                <w:sz w:val="18"/>
                <w:szCs w:val="18"/>
              </w:rPr>
            </w:pPr>
            <w:r>
              <w:rPr>
                <w:rFonts w:ascii="宋体" w:hAnsi="宋体" w:cs="宋体" w:eastAsia="宋体" w:hint="default"/>
                <w:sz w:val="18"/>
                <w:szCs w:val="18"/>
              </w:rPr>
              <w:t>中小股东是否有充分表达意见和诉求的机会，其合法权益是否 得到了充分保护：</w:t>
            </w:r>
          </w:p>
        </w:tc>
        <w:tc>
          <w:tcPr>
            <w:tcW w:w="4642" w:type="dxa"/>
            <w:tcBorders>
              <w:top w:val="single" w:sz="4" w:space="0" w:color="000000"/>
              <w:left w:val="single" w:sz="13" w:space="0" w:color="D3D3D3"/>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1"/>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4927" w:type="dxa"/>
            <w:tcBorders>
              <w:top w:val="single" w:sz="4" w:space="0" w:color="000000"/>
              <w:left w:val="single" w:sz="4" w:space="0" w:color="000000"/>
              <w:bottom w:val="single" w:sz="4" w:space="0" w:color="000000"/>
              <w:right w:val="single" w:sz="9" w:space="0" w:color="FFFFFF"/>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现金分红政策进行调整或变更的，条件及程序是否合规、</w:t>
            </w:r>
          </w:p>
        </w:tc>
        <w:tc>
          <w:tcPr>
            <w:tcW w:w="4642" w:type="dxa"/>
            <w:tcBorders>
              <w:top w:val="single" w:sz="4" w:space="0" w:color="000000"/>
              <w:left w:val="single" w:sz="9" w:space="0" w:color="FFFFFF"/>
              <w:bottom w:val="single" w:sz="4" w:space="0" w:color="000000"/>
              <w:right w:val="single" w:sz="13" w:space="0" w:color="FFFFFF"/>
            </w:tcBorders>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是</w:t>
            </w:r>
          </w:p>
        </w:tc>
      </w:tr>
    </w:tbl>
    <w:p>
      <w:pPr>
        <w:spacing w:before="51"/>
        <w:ind w:left="714" w:right="0" w:firstLine="0"/>
        <w:jc w:val="left"/>
        <w:rPr>
          <w:rFonts w:ascii="宋体" w:hAnsi="宋体" w:cs="宋体" w:eastAsia="宋体" w:hint="default"/>
          <w:sz w:val="18"/>
          <w:szCs w:val="18"/>
        </w:rPr>
      </w:pPr>
      <w:r>
        <w:rPr/>
        <w:pict>
          <v:shape style="position:absolute;margin-left:280.860016pt;margin-top:-20.117977pt;width:255.75pt;height:19.650pt;mso-position-horizontal-relative:page;mso-position-vertical-relative:paragraph;z-index:-1402240" type="#_x0000_t202" filled="false" stroked="false">
            <v:textbox inset="0,0,0,0">
              <w:txbxContent>
                <w:p>
                  <w:pPr>
                    <w:spacing w:before="51"/>
                    <w:ind w:left="0" w:right="0" w:firstLine="0"/>
                    <w:jc w:val="left"/>
                    <w:rPr>
                      <w:rFonts w:ascii="宋体" w:hAnsi="宋体" w:cs="宋体" w:eastAsia="宋体" w:hint="default"/>
                      <w:sz w:val="18"/>
                      <w:szCs w:val="18"/>
                    </w:rPr>
                  </w:pPr>
                  <w:r>
                    <w:rPr>
                      <w:rFonts w:ascii="宋体" w:hAnsi="宋体" w:cs="宋体" w:eastAsia="宋体" w:hint="default"/>
                      <w:sz w:val="18"/>
                      <w:szCs w:val="18"/>
                    </w:rPr>
                    <w:t>透明：</w:t>
                  </w:r>
                </w:p>
              </w:txbxContent>
            </v:textbox>
            <w10:wrap type="none"/>
          </v:shape>
        </w:pict>
      </w:r>
      <w:r>
        <w:rPr>
          <w:rFonts w:ascii="宋体" w:hAnsi="宋体" w:cs="宋体" w:eastAsia="宋体" w:hint="default"/>
          <w:sz w:val="18"/>
          <w:szCs w:val="18"/>
        </w:rPr>
        <w:t>公司近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1"/>
          <w:sz w:val="18"/>
          <w:szCs w:val="18"/>
        </w:rPr>
        <w:t>（</w:t>
      </w:r>
      <w:r>
        <w:rPr>
          <w:rFonts w:ascii="宋体" w:hAnsi="宋体" w:cs="宋体" w:eastAsia="宋体" w:hint="default"/>
          <w:sz w:val="18"/>
          <w:szCs w:val="18"/>
        </w:rPr>
        <w:t>包括本报告期）的普通股股利分配方案（预案</w:t>
      </w:r>
      <w:r>
        <w:rPr>
          <w:rFonts w:ascii="宋体" w:hAnsi="宋体" w:cs="宋体" w:eastAsia="宋体" w:hint="default"/>
          <w:spacing w:val="-90"/>
          <w:sz w:val="18"/>
          <w:szCs w:val="18"/>
        </w:rPr>
        <w:t>）</w:t>
      </w:r>
      <w:r>
        <w:rPr>
          <w:rFonts w:ascii="宋体" w:hAnsi="宋体" w:cs="宋体" w:eastAsia="宋体" w:hint="default"/>
          <w:sz w:val="18"/>
          <w:szCs w:val="18"/>
        </w:rPr>
        <w:t>、资本公积金转增股本方案（预案）情况</w:t>
      </w:r>
    </w:p>
    <w:p>
      <w:pPr>
        <w:spacing w:before="103"/>
        <w:ind w:left="107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年度，鉴于母公司可供分配利润为负数，基于公司长远发展考虑未进行利润分配。</w:t>
      </w:r>
    </w:p>
    <w:p>
      <w:pPr>
        <w:spacing w:before="101"/>
        <w:ind w:left="107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年度，以</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年末总股本</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2,944,069,4</w:t>
      </w:r>
      <w:r>
        <w:rPr>
          <w:rFonts w:ascii="Times New Roman" w:hAnsi="Times New Roman" w:cs="Times New Roman" w:eastAsia="Times New Roman" w:hint="default"/>
          <w:spacing w:val="-2"/>
          <w:sz w:val="18"/>
          <w:szCs w:val="18"/>
        </w:rPr>
        <w:t>5</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股为基数，向全体股东每</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股派发现金股利人民币</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0.60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元（含税</w:t>
      </w:r>
      <w:r>
        <w:rPr>
          <w:rFonts w:ascii="宋体" w:hAnsi="宋体" w:cs="宋体" w:eastAsia="宋体" w:hint="default"/>
          <w:spacing w:val="-90"/>
          <w:sz w:val="18"/>
          <w:szCs w:val="18"/>
        </w:rPr>
        <w:t>）</w:t>
      </w:r>
      <w:r>
        <w:rPr>
          <w:rFonts w:ascii="宋体" w:hAnsi="宋体" w:cs="宋体" w:eastAsia="宋体" w:hint="default"/>
          <w:sz w:val="18"/>
          <w:szCs w:val="18"/>
        </w:rPr>
        <w:t>，共</w:t>
      </w:r>
    </w:p>
    <w:p>
      <w:pPr>
        <w:spacing w:before="64"/>
        <w:ind w:left="714" w:right="0" w:firstLine="0"/>
        <w:jc w:val="left"/>
        <w:rPr>
          <w:rFonts w:ascii="宋体" w:hAnsi="宋体" w:cs="宋体" w:eastAsia="宋体" w:hint="default"/>
          <w:sz w:val="18"/>
          <w:szCs w:val="18"/>
        </w:rPr>
      </w:pPr>
      <w:r>
        <w:rPr>
          <w:rFonts w:ascii="宋体" w:hAnsi="宋体" w:cs="宋体" w:eastAsia="宋体" w:hint="default"/>
          <w:sz w:val="18"/>
          <w:szCs w:val="18"/>
        </w:rPr>
        <w:t>计派发现金</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176,644,167.54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w:t>
      </w:r>
    </w:p>
    <w:p>
      <w:pPr>
        <w:spacing w:before="102"/>
        <w:ind w:left="107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年度，拟以</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年末</w:t>
      </w:r>
      <w:r>
        <w:rPr>
          <w:rFonts w:ascii="宋体" w:hAnsi="宋体" w:cs="宋体" w:eastAsia="宋体" w:hint="default"/>
          <w:spacing w:val="1"/>
          <w:sz w:val="18"/>
          <w:szCs w:val="18"/>
        </w:rPr>
        <w:t>总</w:t>
      </w:r>
      <w:r>
        <w:rPr>
          <w:rFonts w:ascii="宋体" w:hAnsi="宋体" w:cs="宋体" w:eastAsia="宋体" w:hint="default"/>
          <w:sz w:val="18"/>
          <w:szCs w:val="18"/>
        </w:rPr>
        <w:t>股本</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2,936,165,560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股为基数，向全体股东每</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股派发现金股利人民币</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0.50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元（含税</w:t>
      </w:r>
      <w:r>
        <w:rPr>
          <w:rFonts w:ascii="宋体" w:hAnsi="宋体" w:cs="宋体" w:eastAsia="宋体" w:hint="default"/>
          <w:spacing w:val="-89"/>
          <w:sz w:val="18"/>
          <w:szCs w:val="18"/>
        </w:rPr>
        <w:t>）</w:t>
      </w:r>
      <w:r>
        <w:rPr>
          <w:rFonts w:ascii="宋体" w:hAnsi="宋体" w:cs="宋体" w:eastAsia="宋体" w:hint="default"/>
          <w:sz w:val="18"/>
          <w:szCs w:val="18"/>
        </w:rPr>
        <w:t>，</w:t>
      </w:r>
    </w:p>
    <w:p>
      <w:pPr>
        <w:spacing w:line="338" w:lineRule="auto" w:before="64"/>
        <w:ind w:left="714" w:right="6610" w:firstLine="0"/>
        <w:jc w:val="left"/>
        <w:rPr>
          <w:rFonts w:ascii="宋体" w:hAnsi="宋体" w:cs="宋体" w:eastAsia="宋体" w:hint="default"/>
          <w:sz w:val="18"/>
          <w:szCs w:val="18"/>
        </w:rPr>
      </w:pPr>
      <w:r>
        <w:rPr>
          <w:rFonts w:ascii="宋体" w:hAnsi="宋体" w:cs="宋体" w:eastAsia="宋体" w:hint="default"/>
          <w:sz w:val="18"/>
          <w:szCs w:val="18"/>
        </w:rPr>
        <w:t>共计派发现金</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146,808,278.00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 公司近三年（包括本报告期）普通股现金分红情况表</w:t>
      </w:r>
    </w:p>
    <w:p>
      <w:pPr>
        <w:spacing w:before="42"/>
        <w:ind w:left="0" w:right="1129"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794"/>
        <w:gridCol w:w="1276"/>
        <w:gridCol w:w="1332"/>
        <w:gridCol w:w="1531"/>
        <w:gridCol w:w="1092"/>
        <w:gridCol w:w="1700"/>
        <w:gridCol w:w="1304"/>
        <w:gridCol w:w="1808"/>
      </w:tblGrid>
      <w:tr>
        <w:trPr>
          <w:trHeight w:val="367" w:hRule="exact"/>
        </w:trPr>
        <w:tc>
          <w:tcPr>
            <w:tcW w:w="794" w:type="dxa"/>
            <w:tcBorders>
              <w:top w:val="single" w:sz="4" w:space="0" w:color="000000"/>
              <w:left w:val="single" w:sz="4" w:space="0" w:color="000000"/>
              <w:bottom w:val="nil" w:sz="6" w:space="0" w:color="auto"/>
              <w:right w:val="single" w:sz="4" w:space="0" w:color="000000"/>
            </w:tcBorders>
            <w:shd w:val="clear" w:color="auto" w:fill="D3D3D3"/>
          </w:tcPr>
          <w:p>
            <w:pPr/>
          </w:p>
        </w:tc>
        <w:tc>
          <w:tcPr>
            <w:tcW w:w="1276" w:type="dxa"/>
            <w:tcBorders>
              <w:top w:val="single" w:sz="4" w:space="0" w:color="000000"/>
              <w:left w:val="single" w:sz="4" w:space="0" w:color="000000"/>
              <w:bottom w:val="nil" w:sz="6" w:space="0" w:color="auto"/>
              <w:right w:val="single" w:sz="4" w:space="0" w:color="000000"/>
            </w:tcBorders>
            <w:shd w:val="clear" w:color="auto" w:fill="D3D3D3"/>
          </w:tcPr>
          <w:p>
            <w:pPr/>
          </w:p>
        </w:tc>
        <w:tc>
          <w:tcPr>
            <w:tcW w:w="1332" w:type="dxa"/>
            <w:tcBorders>
              <w:top w:val="single" w:sz="4" w:space="0" w:color="000000"/>
              <w:left w:val="single" w:sz="4" w:space="0" w:color="000000"/>
              <w:bottom w:val="nil" w:sz="6" w:space="0" w:color="auto"/>
              <w:right w:val="single" w:sz="4" w:space="0" w:color="000000"/>
            </w:tcBorders>
            <w:shd w:val="clear" w:color="auto" w:fill="D3D3D3"/>
          </w:tcPr>
          <w:p>
            <w:pPr>
              <w:pStyle w:val="TableParagraph"/>
              <w:spacing w:line="240" w:lineRule="auto" w:before="61"/>
              <w:ind w:right="29"/>
              <w:jc w:val="right"/>
              <w:rPr>
                <w:rFonts w:ascii="宋体" w:hAnsi="宋体" w:cs="宋体" w:eastAsia="宋体" w:hint="default"/>
                <w:sz w:val="18"/>
                <w:szCs w:val="18"/>
              </w:rPr>
            </w:pPr>
            <w:r>
              <w:rPr>
                <w:rFonts w:ascii="宋体" w:hAnsi="宋体" w:cs="宋体" w:eastAsia="宋体" w:hint="default"/>
                <w:sz w:val="18"/>
                <w:szCs w:val="18"/>
              </w:rPr>
              <w:t>分红年度合并报</w:t>
            </w:r>
          </w:p>
        </w:tc>
        <w:tc>
          <w:tcPr>
            <w:tcW w:w="1531" w:type="dxa"/>
            <w:tcBorders>
              <w:top w:val="single" w:sz="4" w:space="0" w:color="000000"/>
              <w:left w:val="single" w:sz="4" w:space="0" w:color="000000"/>
              <w:bottom w:val="nil" w:sz="6" w:space="0" w:color="auto"/>
              <w:right w:val="single" w:sz="4" w:space="0" w:color="000000"/>
            </w:tcBorders>
            <w:shd w:val="clear" w:color="auto" w:fill="D3D3D3"/>
          </w:tcPr>
          <w:p>
            <w:pPr>
              <w:pStyle w:val="TableParagraph"/>
              <w:spacing w:line="240" w:lineRule="auto" w:before="61"/>
              <w:ind w:right="0"/>
              <w:jc w:val="center"/>
              <w:rPr>
                <w:rFonts w:ascii="宋体" w:hAnsi="宋体" w:cs="宋体" w:eastAsia="宋体" w:hint="default"/>
                <w:sz w:val="18"/>
                <w:szCs w:val="18"/>
              </w:rPr>
            </w:pPr>
            <w:r>
              <w:rPr>
                <w:rFonts w:ascii="宋体" w:hAnsi="宋体" w:cs="宋体" w:eastAsia="宋体" w:hint="default"/>
                <w:sz w:val="18"/>
                <w:szCs w:val="18"/>
              </w:rPr>
              <w:t>现金分红金额占合</w:t>
            </w:r>
          </w:p>
        </w:tc>
        <w:tc>
          <w:tcPr>
            <w:tcW w:w="1092" w:type="dxa"/>
            <w:tcBorders>
              <w:top w:val="single" w:sz="4" w:space="0" w:color="000000"/>
              <w:left w:val="single" w:sz="4" w:space="0" w:color="000000"/>
              <w:bottom w:val="nil" w:sz="6" w:space="0" w:color="auto"/>
              <w:right w:val="single" w:sz="4" w:space="0" w:color="000000"/>
            </w:tcBorders>
            <w:shd w:val="clear" w:color="auto" w:fill="D3D3D3"/>
          </w:tcPr>
          <w:p>
            <w:pPr>
              <w:pStyle w:val="TableParagraph"/>
              <w:spacing w:line="240" w:lineRule="auto" w:before="61"/>
              <w:ind w:left="91" w:right="0"/>
              <w:jc w:val="left"/>
              <w:rPr>
                <w:rFonts w:ascii="宋体" w:hAnsi="宋体" w:cs="宋体" w:eastAsia="宋体" w:hint="default"/>
                <w:sz w:val="18"/>
                <w:szCs w:val="18"/>
              </w:rPr>
            </w:pPr>
            <w:r>
              <w:rPr>
                <w:rFonts w:ascii="宋体" w:hAnsi="宋体" w:cs="宋体" w:eastAsia="宋体" w:hint="default"/>
                <w:sz w:val="18"/>
                <w:szCs w:val="18"/>
              </w:rPr>
              <w:t>以其他方式</w:t>
            </w:r>
          </w:p>
        </w:tc>
        <w:tc>
          <w:tcPr>
            <w:tcW w:w="1700" w:type="dxa"/>
            <w:tcBorders>
              <w:top w:val="single" w:sz="4" w:space="0" w:color="000000"/>
              <w:left w:val="single" w:sz="4" w:space="0" w:color="000000"/>
              <w:bottom w:val="nil" w:sz="6" w:space="0" w:color="auto"/>
              <w:right w:val="single" w:sz="4" w:space="0" w:color="000000"/>
            </w:tcBorders>
            <w:shd w:val="clear" w:color="auto" w:fill="D3D3D3"/>
          </w:tcPr>
          <w:p>
            <w:pPr>
              <w:pStyle w:val="TableParagraph"/>
              <w:spacing w:line="240" w:lineRule="auto" w:before="61"/>
              <w:ind w:right="1"/>
              <w:jc w:val="center"/>
              <w:rPr>
                <w:rFonts w:ascii="宋体" w:hAnsi="宋体" w:cs="宋体" w:eastAsia="宋体" w:hint="default"/>
                <w:sz w:val="18"/>
                <w:szCs w:val="18"/>
              </w:rPr>
            </w:pPr>
            <w:r>
              <w:rPr>
                <w:rFonts w:ascii="宋体" w:hAnsi="宋体" w:cs="宋体" w:eastAsia="宋体" w:hint="default"/>
                <w:sz w:val="18"/>
                <w:szCs w:val="18"/>
              </w:rPr>
              <w:t>以其他方式现金分红</w:t>
            </w:r>
          </w:p>
        </w:tc>
        <w:tc>
          <w:tcPr>
            <w:tcW w:w="1304" w:type="dxa"/>
            <w:tcBorders>
              <w:top w:val="single" w:sz="4" w:space="0" w:color="000000"/>
              <w:left w:val="single" w:sz="4" w:space="0" w:color="000000"/>
              <w:bottom w:val="nil" w:sz="6" w:space="0" w:color="auto"/>
              <w:right w:val="single" w:sz="4" w:space="0" w:color="000000"/>
            </w:tcBorders>
            <w:shd w:val="clear" w:color="auto" w:fill="D3D3D3"/>
          </w:tcPr>
          <w:p>
            <w:pPr/>
          </w:p>
        </w:tc>
        <w:tc>
          <w:tcPr>
            <w:tcW w:w="1808" w:type="dxa"/>
            <w:tcBorders>
              <w:top w:val="single" w:sz="4" w:space="0" w:color="000000"/>
              <w:left w:val="single" w:sz="4" w:space="0" w:color="000000"/>
              <w:bottom w:val="nil" w:sz="6" w:space="0" w:color="auto"/>
              <w:right w:val="single" w:sz="4" w:space="0" w:color="000000"/>
            </w:tcBorders>
            <w:shd w:val="clear" w:color="auto" w:fill="D3D3D3"/>
          </w:tcPr>
          <w:p>
            <w:pPr>
              <w:pStyle w:val="TableParagraph"/>
              <w:spacing w:line="240" w:lineRule="auto" w:before="61"/>
              <w:ind w:left="-1" w:right="1"/>
              <w:jc w:val="center"/>
              <w:rPr>
                <w:rFonts w:ascii="宋体" w:hAnsi="宋体" w:cs="宋体" w:eastAsia="宋体" w:hint="default"/>
                <w:sz w:val="18"/>
                <w:szCs w:val="18"/>
              </w:rPr>
            </w:pPr>
            <w:r>
              <w:rPr>
                <w:rFonts w:ascii="宋体" w:hAnsi="宋体" w:cs="宋体" w:eastAsia="宋体" w:hint="default"/>
                <w:sz w:val="18"/>
                <w:szCs w:val="18"/>
              </w:rPr>
              <w:t>现金分红总额（含其他</w:t>
            </w:r>
          </w:p>
        </w:tc>
      </w:tr>
      <w:tr>
        <w:trPr>
          <w:trHeight w:val="625" w:hRule="exact"/>
        </w:trPr>
        <w:tc>
          <w:tcPr>
            <w:tcW w:w="794"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1" w:right="0"/>
              <w:jc w:val="left"/>
              <w:rPr>
                <w:rFonts w:ascii="宋体" w:hAnsi="宋体" w:cs="宋体" w:eastAsia="宋体" w:hint="default"/>
                <w:sz w:val="18"/>
                <w:szCs w:val="18"/>
              </w:rPr>
            </w:pPr>
            <w:r>
              <w:rPr>
                <w:rFonts w:ascii="宋体" w:hAnsi="宋体" w:cs="宋体" w:eastAsia="宋体" w:hint="default"/>
                <w:sz w:val="18"/>
                <w:szCs w:val="18"/>
              </w:rPr>
              <w:t>分红年度</w:t>
            </w:r>
          </w:p>
        </w:tc>
        <w:tc>
          <w:tcPr>
            <w:tcW w:w="1276"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现金分红金额</w:t>
            </w:r>
          </w:p>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sz w:val="18"/>
                <w:szCs w:val="18"/>
              </w:rPr>
              <w:t>（含税）</w:t>
            </w:r>
          </w:p>
        </w:tc>
        <w:tc>
          <w:tcPr>
            <w:tcW w:w="1332"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316" w:lineRule="auto" w:before="10"/>
              <w:ind w:left="31" w:right="29"/>
              <w:jc w:val="left"/>
              <w:rPr>
                <w:rFonts w:ascii="宋体" w:hAnsi="宋体" w:cs="宋体" w:eastAsia="宋体" w:hint="default"/>
                <w:sz w:val="18"/>
                <w:szCs w:val="18"/>
              </w:rPr>
            </w:pPr>
            <w:r>
              <w:rPr>
                <w:rFonts w:ascii="宋体" w:hAnsi="宋体" w:cs="宋体" w:eastAsia="宋体" w:hint="default"/>
                <w:sz w:val="18"/>
                <w:szCs w:val="18"/>
              </w:rPr>
              <w:t>表中归属于上市 公司普通股股东</w:t>
            </w:r>
          </w:p>
        </w:tc>
        <w:tc>
          <w:tcPr>
            <w:tcW w:w="1531"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316" w:lineRule="auto" w:before="10"/>
              <w:ind w:left="40" w:right="38"/>
              <w:jc w:val="left"/>
              <w:rPr>
                <w:rFonts w:ascii="宋体" w:hAnsi="宋体" w:cs="宋体" w:eastAsia="宋体" w:hint="default"/>
                <w:sz w:val="18"/>
                <w:szCs w:val="18"/>
              </w:rPr>
            </w:pPr>
            <w:r>
              <w:rPr>
                <w:rFonts w:ascii="宋体" w:hAnsi="宋体" w:cs="宋体" w:eastAsia="宋体" w:hint="default"/>
                <w:sz w:val="18"/>
                <w:szCs w:val="18"/>
              </w:rPr>
              <w:t>并报表中归属于上 市公司普通股股东</w:t>
            </w:r>
          </w:p>
        </w:tc>
        <w:tc>
          <w:tcPr>
            <w:tcW w:w="1092"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316" w:lineRule="auto" w:before="10"/>
              <w:ind w:left="1" w:right="1" w:firstLine="90"/>
              <w:jc w:val="left"/>
              <w:rPr>
                <w:rFonts w:ascii="宋体" w:hAnsi="宋体" w:cs="宋体" w:eastAsia="宋体" w:hint="default"/>
                <w:sz w:val="18"/>
                <w:szCs w:val="18"/>
              </w:rPr>
            </w:pPr>
            <w:r>
              <w:rPr>
                <w:rFonts w:ascii="宋体" w:hAnsi="宋体" w:cs="宋体" w:eastAsia="宋体" w:hint="default"/>
                <w:sz w:val="18"/>
                <w:szCs w:val="18"/>
              </w:rPr>
              <w:t>（如回购股 份）现金分红</w:t>
            </w:r>
          </w:p>
        </w:tc>
        <w:tc>
          <w:tcPr>
            <w:tcW w:w="1700"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316" w:lineRule="auto" w:before="10"/>
              <w:ind w:left="34" w:right="35"/>
              <w:jc w:val="left"/>
              <w:rPr>
                <w:rFonts w:ascii="宋体" w:hAnsi="宋体" w:cs="宋体" w:eastAsia="宋体" w:hint="default"/>
                <w:sz w:val="18"/>
                <w:szCs w:val="18"/>
              </w:rPr>
            </w:pPr>
            <w:r>
              <w:rPr>
                <w:rFonts w:ascii="宋体" w:hAnsi="宋体" w:cs="宋体" w:eastAsia="宋体" w:hint="default"/>
                <w:sz w:val="18"/>
                <w:szCs w:val="18"/>
              </w:rPr>
              <w:t>金额占合并报表中归 属于上市公司普通股</w:t>
            </w:r>
          </w:p>
        </w:tc>
        <w:tc>
          <w:tcPr>
            <w:tcW w:w="1304"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11"/>
              <w:ind w:left="108" w:right="0"/>
              <w:jc w:val="left"/>
              <w:rPr>
                <w:rFonts w:ascii="宋体" w:hAnsi="宋体" w:cs="宋体" w:eastAsia="宋体" w:hint="default"/>
                <w:sz w:val="18"/>
                <w:szCs w:val="18"/>
              </w:rPr>
            </w:pPr>
            <w:r>
              <w:rPr>
                <w:rFonts w:ascii="宋体" w:hAnsi="宋体" w:cs="宋体" w:eastAsia="宋体" w:hint="default"/>
                <w:sz w:val="18"/>
                <w:szCs w:val="18"/>
              </w:rPr>
              <w:t>现金分红总额</w:t>
            </w:r>
          </w:p>
          <w:p>
            <w:pPr>
              <w:pStyle w:val="TableParagraph"/>
              <w:spacing w:line="240" w:lineRule="auto" w:before="76"/>
              <w:ind w:left="18" w:right="0"/>
              <w:jc w:val="left"/>
              <w:rPr>
                <w:rFonts w:ascii="宋体" w:hAnsi="宋体" w:cs="宋体" w:eastAsia="宋体" w:hint="default"/>
                <w:sz w:val="18"/>
                <w:szCs w:val="18"/>
              </w:rPr>
            </w:pPr>
            <w:r>
              <w:rPr>
                <w:rFonts w:ascii="宋体" w:hAnsi="宋体" w:cs="宋体" w:eastAsia="宋体" w:hint="default"/>
                <w:sz w:val="18"/>
                <w:szCs w:val="18"/>
              </w:rPr>
              <w:t>（含其他方式）</w:t>
            </w:r>
          </w:p>
        </w:tc>
        <w:tc>
          <w:tcPr>
            <w:tcW w:w="1808"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316" w:lineRule="auto" w:before="10"/>
              <w:ind w:left="88" w:right="1" w:hanging="89"/>
              <w:jc w:val="left"/>
              <w:rPr>
                <w:rFonts w:ascii="宋体" w:hAnsi="宋体" w:cs="宋体" w:eastAsia="宋体" w:hint="default"/>
                <w:sz w:val="18"/>
                <w:szCs w:val="18"/>
              </w:rPr>
            </w:pPr>
            <w:r>
              <w:rPr>
                <w:rFonts w:ascii="宋体" w:hAnsi="宋体" w:cs="宋体" w:eastAsia="宋体" w:hint="default"/>
                <w:sz w:val="18"/>
                <w:szCs w:val="18"/>
              </w:rPr>
              <w:t>方式）占合并报表中归 属于上市公司普通股</w:t>
            </w:r>
          </w:p>
        </w:tc>
      </w:tr>
      <w:tr>
        <w:trPr>
          <w:trHeight w:val="365" w:hRule="exact"/>
        </w:trPr>
        <w:tc>
          <w:tcPr>
            <w:tcW w:w="794" w:type="dxa"/>
            <w:tcBorders>
              <w:top w:val="nil" w:sz="6" w:space="0" w:color="auto"/>
              <w:left w:val="single" w:sz="4" w:space="0" w:color="000000"/>
              <w:bottom w:val="single" w:sz="4" w:space="0" w:color="000000"/>
              <w:right w:val="single" w:sz="4" w:space="0" w:color="000000"/>
            </w:tcBorders>
            <w:shd w:val="clear" w:color="auto" w:fill="D3D3D3"/>
          </w:tcPr>
          <w:p>
            <w:pPr/>
          </w:p>
        </w:tc>
        <w:tc>
          <w:tcPr>
            <w:tcW w:w="1276" w:type="dxa"/>
            <w:tcBorders>
              <w:top w:val="nil" w:sz="6" w:space="0" w:color="auto"/>
              <w:left w:val="single" w:sz="4" w:space="0" w:color="000000"/>
              <w:bottom w:val="single" w:sz="4" w:space="0" w:color="000000"/>
              <w:right w:val="single" w:sz="4" w:space="0" w:color="000000"/>
            </w:tcBorders>
            <w:shd w:val="clear" w:color="auto" w:fill="D3D3D3"/>
          </w:tcPr>
          <w:p>
            <w:pPr/>
          </w:p>
        </w:tc>
        <w:tc>
          <w:tcPr>
            <w:tcW w:w="1332" w:type="dxa"/>
            <w:tcBorders>
              <w:top w:val="nil" w:sz="6" w:space="0" w:color="auto"/>
              <w:left w:val="single" w:sz="4" w:space="0" w:color="000000"/>
              <w:bottom w:val="single" w:sz="4" w:space="0" w:color="000000"/>
              <w:right w:val="single" w:sz="4" w:space="0" w:color="000000"/>
            </w:tcBorders>
            <w:shd w:val="clear" w:color="auto" w:fill="D3D3D3"/>
          </w:tcPr>
          <w:p>
            <w:pPr>
              <w:pStyle w:val="TableParagraph"/>
              <w:spacing w:line="240" w:lineRule="auto" w:before="10"/>
              <w:ind w:left="301" w:right="0"/>
              <w:jc w:val="left"/>
              <w:rPr>
                <w:rFonts w:ascii="宋体" w:hAnsi="宋体" w:cs="宋体" w:eastAsia="宋体" w:hint="default"/>
                <w:sz w:val="18"/>
                <w:szCs w:val="18"/>
              </w:rPr>
            </w:pPr>
            <w:r>
              <w:rPr>
                <w:rFonts w:ascii="宋体" w:hAnsi="宋体" w:cs="宋体" w:eastAsia="宋体" w:hint="default"/>
                <w:sz w:val="18"/>
                <w:szCs w:val="18"/>
              </w:rPr>
              <w:t>的净利润</w:t>
            </w:r>
          </w:p>
        </w:tc>
        <w:tc>
          <w:tcPr>
            <w:tcW w:w="1531" w:type="dxa"/>
            <w:tcBorders>
              <w:top w:val="nil" w:sz="6" w:space="0" w:color="auto"/>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的净利润的比率</w:t>
            </w:r>
          </w:p>
        </w:tc>
        <w:tc>
          <w:tcPr>
            <w:tcW w:w="1092" w:type="dxa"/>
            <w:tcBorders>
              <w:top w:val="nil" w:sz="6" w:space="0" w:color="auto"/>
              <w:left w:val="single" w:sz="4" w:space="0" w:color="000000"/>
              <w:bottom w:val="single" w:sz="4" w:space="0" w:color="000000"/>
              <w:right w:val="single" w:sz="4" w:space="0" w:color="000000"/>
            </w:tcBorders>
            <w:shd w:val="clear" w:color="auto" w:fill="D3D3D3"/>
          </w:tcPr>
          <w:p>
            <w:pPr>
              <w:pStyle w:val="TableParagraph"/>
              <w:spacing w:line="240" w:lineRule="auto" w:before="10"/>
              <w:ind w:left="271" w:right="0"/>
              <w:jc w:val="left"/>
              <w:rPr>
                <w:rFonts w:ascii="宋体" w:hAnsi="宋体" w:cs="宋体" w:eastAsia="宋体" w:hint="default"/>
                <w:sz w:val="18"/>
                <w:szCs w:val="18"/>
              </w:rPr>
            </w:pPr>
            <w:r>
              <w:rPr>
                <w:rFonts w:ascii="宋体" w:hAnsi="宋体" w:cs="宋体" w:eastAsia="宋体" w:hint="default"/>
                <w:sz w:val="18"/>
                <w:szCs w:val="18"/>
              </w:rPr>
              <w:t>的金额</w:t>
            </w:r>
          </w:p>
        </w:tc>
        <w:tc>
          <w:tcPr>
            <w:tcW w:w="1700" w:type="dxa"/>
            <w:tcBorders>
              <w:top w:val="nil" w:sz="6" w:space="0" w:color="auto"/>
              <w:left w:val="single" w:sz="4" w:space="0" w:color="000000"/>
              <w:bottom w:val="single" w:sz="4" w:space="0" w:color="000000"/>
              <w:right w:val="single" w:sz="4" w:space="0" w:color="000000"/>
            </w:tcBorders>
            <w:shd w:val="clear" w:color="auto" w:fill="D3D3D3"/>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股东的净利润的比例</w:t>
            </w:r>
          </w:p>
        </w:tc>
        <w:tc>
          <w:tcPr>
            <w:tcW w:w="1304" w:type="dxa"/>
            <w:tcBorders>
              <w:top w:val="nil" w:sz="6" w:space="0" w:color="auto"/>
              <w:left w:val="single" w:sz="4" w:space="0" w:color="000000"/>
              <w:bottom w:val="single" w:sz="4" w:space="0" w:color="000000"/>
              <w:right w:val="single" w:sz="4" w:space="0" w:color="000000"/>
            </w:tcBorders>
            <w:shd w:val="clear" w:color="auto" w:fill="D3D3D3"/>
          </w:tcPr>
          <w:p>
            <w:pPr/>
          </w:p>
        </w:tc>
        <w:tc>
          <w:tcPr>
            <w:tcW w:w="1808" w:type="dxa"/>
            <w:tcBorders>
              <w:top w:val="nil" w:sz="6" w:space="0" w:color="auto"/>
              <w:left w:val="single" w:sz="4" w:space="0" w:color="000000"/>
              <w:bottom w:val="single" w:sz="4" w:space="0" w:color="000000"/>
              <w:right w:val="single" w:sz="4" w:space="0" w:color="000000"/>
            </w:tcBorders>
            <w:shd w:val="clear" w:color="auto" w:fill="D3D3D3"/>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股东的净利润的比率</w:t>
            </w:r>
          </w:p>
        </w:tc>
      </w:tr>
      <w:tr>
        <w:trPr>
          <w:trHeight w:val="412" w:hRule="exact"/>
        </w:trPr>
        <w:tc>
          <w:tcPr>
            <w:tcW w:w="7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61"/>
              <w:ind w:left="99" w:right="0"/>
              <w:jc w:val="left"/>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2018</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right"/>
              <w:rPr>
                <w:rFonts w:ascii="Times New Roman" w:hAnsi="Times New Roman" w:cs="Times New Roman" w:eastAsia="Times New Roman" w:hint="default"/>
                <w:sz w:val="18"/>
                <w:szCs w:val="18"/>
              </w:rPr>
            </w:pPr>
            <w:r>
              <w:rPr>
                <w:rFonts w:ascii="Times New Roman"/>
                <w:spacing w:val="-1"/>
                <w:sz w:val="18"/>
              </w:rPr>
              <w:t>146,808,278.00</w:t>
            </w:r>
          </w:p>
        </w:tc>
        <w:tc>
          <w:tcPr>
            <w:tcW w:w="1332" w:type="dxa"/>
            <w:tcBorders>
              <w:top w:val="single" w:sz="12" w:space="0" w:color="D3D3D3"/>
              <w:left w:val="single" w:sz="4" w:space="0" w:color="000000"/>
              <w:bottom w:val="single" w:sz="4" w:space="0" w:color="000000"/>
              <w:right w:val="single" w:sz="4" w:space="0" w:color="000000"/>
            </w:tcBorders>
          </w:tcPr>
          <w:p>
            <w:pPr>
              <w:pStyle w:val="TableParagraph"/>
              <w:spacing w:line="240" w:lineRule="auto" w:before="91"/>
              <w:ind w:right="-1"/>
              <w:jc w:val="right"/>
              <w:rPr>
                <w:rFonts w:ascii="Times New Roman" w:hAnsi="Times New Roman" w:cs="Times New Roman" w:eastAsia="Times New Roman" w:hint="default"/>
                <w:sz w:val="18"/>
                <w:szCs w:val="18"/>
              </w:rPr>
            </w:pPr>
            <w:r>
              <w:rPr>
                <w:rFonts w:ascii="Times New Roman"/>
                <w:spacing w:val="-1"/>
                <w:sz w:val="18"/>
              </w:rPr>
              <w:t>987,100,274.54</w:t>
            </w:r>
          </w:p>
        </w:tc>
        <w:tc>
          <w:tcPr>
            <w:tcW w:w="1531" w:type="dxa"/>
            <w:tcBorders>
              <w:top w:val="single" w:sz="12" w:space="0" w:color="D3D3D3"/>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14.87%</w:t>
            </w:r>
          </w:p>
        </w:tc>
        <w:tc>
          <w:tcPr>
            <w:tcW w:w="1092" w:type="dxa"/>
            <w:tcBorders>
              <w:top w:val="single" w:sz="12" w:space="0" w:color="D3D3D3"/>
              <w:left w:val="single" w:sz="4" w:space="0" w:color="000000"/>
              <w:bottom w:val="single" w:sz="4" w:space="0" w:color="000000"/>
              <w:right w:val="single" w:sz="4" w:space="0" w:color="000000"/>
            </w:tcBorders>
          </w:tcPr>
          <w:p>
            <w:pPr>
              <w:pStyle w:val="TableParagraph"/>
              <w:spacing w:line="240" w:lineRule="auto" w:before="91"/>
              <w:ind w:right="-2"/>
              <w:jc w:val="right"/>
              <w:rPr>
                <w:rFonts w:ascii="Times New Roman" w:hAnsi="Times New Roman" w:cs="Times New Roman" w:eastAsia="Times New Roman" w:hint="default"/>
                <w:sz w:val="18"/>
                <w:szCs w:val="18"/>
              </w:rPr>
            </w:pPr>
            <w:r>
              <w:rPr>
                <w:rFonts w:ascii="Times New Roman"/>
                <w:sz w:val="18"/>
              </w:rPr>
              <w:t>0.00</w:t>
            </w:r>
          </w:p>
        </w:tc>
        <w:tc>
          <w:tcPr>
            <w:tcW w:w="1700" w:type="dxa"/>
            <w:tcBorders>
              <w:top w:val="single" w:sz="12" w:space="0" w:color="D3D3D3"/>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0.00%</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
              <w:jc w:val="right"/>
              <w:rPr>
                <w:rFonts w:ascii="Times New Roman" w:hAnsi="Times New Roman" w:cs="Times New Roman" w:eastAsia="Times New Roman" w:hint="default"/>
                <w:sz w:val="18"/>
                <w:szCs w:val="18"/>
              </w:rPr>
            </w:pPr>
            <w:r>
              <w:rPr>
                <w:rFonts w:ascii="Times New Roman"/>
                <w:spacing w:val="-1"/>
                <w:sz w:val="18"/>
              </w:rPr>
              <w:t>146,808,278.00</w:t>
            </w:r>
          </w:p>
        </w:tc>
        <w:tc>
          <w:tcPr>
            <w:tcW w:w="1808" w:type="dxa"/>
            <w:tcBorders>
              <w:top w:val="single" w:sz="12" w:space="0" w:color="D3D3D3"/>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14.87%</w:t>
            </w:r>
          </w:p>
        </w:tc>
      </w:tr>
      <w:tr>
        <w:trPr>
          <w:trHeight w:val="402" w:hRule="exact"/>
        </w:trPr>
        <w:tc>
          <w:tcPr>
            <w:tcW w:w="7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99" w:right="0"/>
              <w:jc w:val="left"/>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2017</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right"/>
              <w:rPr>
                <w:rFonts w:ascii="Times New Roman" w:hAnsi="Times New Roman" w:cs="Times New Roman" w:eastAsia="Times New Roman" w:hint="default"/>
                <w:sz w:val="18"/>
                <w:szCs w:val="18"/>
              </w:rPr>
            </w:pPr>
            <w:r>
              <w:rPr>
                <w:rFonts w:ascii="Times New Roman"/>
                <w:spacing w:val="-1"/>
                <w:sz w:val="18"/>
              </w:rPr>
              <w:t>176,644,167.54</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right"/>
              <w:rPr>
                <w:rFonts w:ascii="Times New Roman" w:hAnsi="Times New Roman" w:cs="Times New Roman" w:eastAsia="Times New Roman" w:hint="default"/>
                <w:sz w:val="18"/>
                <w:szCs w:val="18"/>
              </w:rPr>
            </w:pPr>
            <w:r>
              <w:rPr>
                <w:rFonts w:ascii="Times New Roman"/>
                <w:spacing w:val="-1"/>
                <w:sz w:val="18"/>
              </w:rPr>
              <w:t>581,043,323.65</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30.40%</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
              <w:jc w:val="right"/>
              <w:rPr>
                <w:rFonts w:ascii="Times New Roman" w:hAnsi="Times New Roman" w:cs="Times New Roman" w:eastAsia="Times New Roman" w:hint="default"/>
                <w:sz w:val="18"/>
                <w:szCs w:val="18"/>
              </w:rPr>
            </w:pPr>
            <w:r>
              <w:rPr>
                <w:rFonts w:ascii="Times New Roman"/>
                <w:sz w:val="18"/>
              </w:rPr>
              <w:t>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0.00%</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
              <w:jc w:val="right"/>
              <w:rPr>
                <w:rFonts w:ascii="Times New Roman" w:hAnsi="Times New Roman" w:cs="Times New Roman" w:eastAsia="Times New Roman" w:hint="default"/>
                <w:sz w:val="18"/>
                <w:szCs w:val="18"/>
              </w:rPr>
            </w:pPr>
            <w:r>
              <w:rPr>
                <w:rFonts w:ascii="Times New Roman"/>
                <w:spacing w:val="-1"/>
                <w:sz w:val="18"/>
              </w:rPr>
              <w:t>176,644,167.54</w:t>
            </w:r>
          </w:p>
        </w:tc>
        <w:tc>
          <w:tcPr>
            <w:tcW w:w="1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30.40%</w:t>
            </w:r>
          </w:p>
        </w:tc>
      </w:tr>
      <w:tr>
        <w:trPr>
          <w:trHeight w:val="402" w:hRule="exact"/>
        </w:trPr>
        <w:tc>
          <w:tcPr>
            <w:tcW w:w="7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99" w:right="0"/>
              <w:jc w:val="left"/>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2016</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right"/>
              <w:rPr>
                <w:rFonts w:ascii="Times New Roman" w:hAnsi="Times New Roman" w:cs="Times New Roman" w:eastAsia="Times New Roman" w:hint="default"/>
                <w:sz w:val="18"/>
                <w:szCs w:val="18"/>
              </w:rPr>
            </w:pPr>
            <w:r>
              <w:rPr>
                <w:rFonts w:ascii="Times New Roman"/>
                <w:sz w:val="18"/>
              </w:rPr>
              <w:t>0.00</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right"/>
              <w:rPr>
                <w:rFonts w:ascii="Times New Roman" w:hAnsi="Times New Roman" w:cs="Times New Roman" w:eastAsia="Times New Roman" w:hint="default"/>
                <w:sz w:val="18"/>
                <w:szCs w:val="18"/>
              </w:rPr>
            </w:pPr>
            <w:r>
              <w:rPr>
                <w:rFonts w:ascii="Times New Roman"/>
                <w:spacing w:val="-1"/>
                <w:sz w:val="18"/>
              </w:rPr>
              <w:t>33,147,764.97</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0.00%</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
              <w:jc w:val="right"/>
              <w:rPr>
                <w:rFonts w:ascii="Times New Roman" w:hAnsi="Times New Roman" w:cs="Times New Roman" w:eastAsia="Times New Roman" w:hint="default"/>
                <w:sz w:val="18"/>
                <w:szCs w:val="18"/>
              </w:rPr>
            </w:pPr>
            <w:r>
              <w:rPr>
                <w:rFonts w:ascii="Times New Roman"/>
                <w:sz w:val="18"/>
              </w:rPr>
              <w:t>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0.00%</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right"/>
              <w:rPr>
                <w:rFonts w:ascii="Times New Roman" w:hAnsi="Times New Roman" w:cs="Times New Roman" w:eastAsia="Times New Roman" w:hint="default"/>
                <w:sz w:val="18"/>
                <w:szCs w:val="18"/>
              </w:rPr>
            </w:pPr>
            <w:r>
              <w:rPr>
                <w:rFonts w:ascii="Times New Roman"/>
                <w:sz w:val="18"/>
              </w:rPr>
              <w:t>0.00</w:t>
            </w:r>
          </w:p>
        </w:tc>
        <w:tc>
          <w:tcPr>
            <w:tcW w:w="1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0.00%</w:t>
            </w:r>
          </w:p>
        </w:tc>
      </w:tr>
    </w:tbl>
    <w:p>
      <w:pPr>
        <w:spacing w:before="51"/>
        <w:ind w:left="714" w:right="0" w:firstLine="0"/>
        <w:jc w:val="left"/>
        <w:rPr>
          <w:rFonts w:ascii="宋体" w:hAnsi="宋体" w:cs="宋体" w:eastAsia="宋体" w:hint="default"/>
          <w:sz w:val="18"/>
          <w:szCs w:val="18"/>
        </w:rPr>
      </w:pPr>
      <w:r>
        <w:rPr>
          <w:rFonts w:ascii="宋体" w:hAnsi="宋体" w:cs="宋体" w:eastAsia="宋体" w:hint="default"/>
          <w:sz w:val="18"/>
          <w:szCs w:val="18"/>
        </w:rPr>
        <w:t>公司报告期内盈利且母公司可供普通股股东分配利润为正但未提出普通股现金红利分配预案</w:t>
      </w:r>
    </w:p>
    <w:p>
      <w:pPr>
        <w:spacing w:before="117"/>
        <w:ind w:left="713"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after="0"/>
        <w:jc w:val="left"/>
        <w:rPr>
          <w:rFonts w:ascii="宋体" w:hAnsi="宋体" w:cs="宋体" w:eastAsia="宋体" w:hint="default"/>
          <w:sz w:val="18"/>
          <w:szCs w:val="18"/>
        </w:rPr>
        <w:sectPr>
          <w:pgSz w:w="11910" w:h="16840"/>
          <w:pgMar w:header="787" w:footer="982" w:top="1100" w:bottom="1180" w:left="420" w:right="0"/>
        </w:sectPr>
      </w:pPr>
    </w:p>
    <w:p>
      <w:pPr>
        <w:spacing w:line="240" w:lineRule="auto" w:before="5"/>
        <w:rPr>
          <w:rFonts w:ascii="宋体" w:hAnsi="宋体" w:cs="宋体" w:eastAsia="宋体" w:hint="default"/>
          <w:sz w:val="20"/>
          <w:szCs w:val="20"/>
        </w:rPr>
      </w:pPr>
    </w:p>
    <w:p>
      <w:pPr>
        <w:pStyle w:val="Heading4"/>
        <w:spacing w:line="240" w:lineRule="auto" w:before="26"/>
        <w:ind w:left="1094" w:right="0"/>
        <w:jc w:val="left"/>
        <w:rPr>
          <w:b w:val="0"/>
          <w:bCs w:val="0"/>
        </w:rPr>
      </w:pPr>
      <w:r>
        <w:rPr/>
        <w:t>二、本报告期利润分配及资本公积金转增股本情况</w:t>
      </w:r>
      <w:r>
        <w:rPr>
          <w:b w:val="0"/>
          <w:bCs w:val="0"/>
        </w:rPr>
      </w:r>
    </w:p>
    <w:p>
      <w:pPr>
        <w:spacing w:line="240" w:lineRule="auto" w:before="9"/>
        <w:rPr>
          <w:rFonts w:ascii="宋体" w:hAnsi="宋体" w:cs="宋体" w:eastAsia="宋体" w:hint="default"/>
          <w:b/>
          <w:bCs/>
          <w:sz w:val="26"/>
          <w:szCs w:val="26"/>
        </w:rPr>
      </w:pPr>
    </w:p>
    <w:p>
      <w:pPr>
        <w:spacing w:before="0"/>
        <w:ind w:left="109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6"/>
          <w:szCs w:val="16"/>
        </w:rPr>
      </w:pPr>
    </w:p>
    <w:p>
      <w:pPr>
        <w:spacing w:before="44"/>
        <w:ind w:left="0" w:right="909" w:firstLine="0"/>
        <w:jc w:val="right"/>
        <w:rPr>
          <w:rFonts w:ascii="宋体" w:hAnsi="宋体" w:cs="宋体" w:eastAsia="宋体" w:hint="default"/>
          <w:sz w:val="18"/>
          <w:szCs w:val="18"/>
        </w:rPr>
      </w:pPr>
      <w:r>
        <w:rPr/>
        <w:pict>
          <v:shape style="position:absolute;margin-left:48.299999pt;margin-top:-201.907974pt;width:498.9pt;height:359.4pt;mso-position-horizontal-relative:page;mso-position-vertical-relative:paragraph;z-index:167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416"/>
                    <w:gridCol w:w="5548"/>
                  </w:tblGrid>
                  <w:tr>
                    <w:trPr>
                      <w:trHeight w:val="402" w:hRule="exact"/>
                    </w:trPr>
                    <w:tc>
                      <w:tcPr>
                        <w:tcW w:w="44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10</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股送红股数（股）</w:t>
                        </w:r>
                      </w:p>
                    </w:tc>
                    <w:tc>
                      <w:tcPr>
                        <w:tcW w:w="5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44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10</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股派息</w:t>
                        </w:r>
                        <w:r>
                          <w:rPr>
                            <w:rFonts w:ascii="宋体" w:hAnsi="宋体" w:cs="宋体" w:eastAsia="宋体" w:hint="default"/>
                            <w:spacing w:val="1"/>
                            <w:sz w:val="18"/>
                            <w:szCs w:val="18"/>
                          </w:rPr>
                          <w:t>数</w:t>
                        </w:r>
                        <w:r>
                          <w:rPr>
                            <w:rFonts w:ascii="宋体" w:hAnsi="宋体" w:cs="宋体" w:eastAsia="宋体" w:hint="default"/>
                            <w:sz w:val="18"/>
                            <w:szCs w:val="18"/>
                          </w:rPr>
                          <w:t>（元</w:t>
                        </w:r>
                        <w:r>
                          <w:rPr>
                            <w:rFonts w:ascii="宋体" w:hAnsi="宋体" w:cs="宋体" w:eastAsia="宋体" w:hint="default"/>
                            <w:spacing w:val="-90"/>
                            <w:sz w:val="18"/>
                            <w:szCs w:val="18"/>
                          </w:rPr>
                          <w:t>）</w:t>
                        </w:r>
                        <w:r>
                          <w:rPr>
                            <w:rFonts w:ascii="宋体" w:hAnsi="宋体" w:cs="宋体" w:eastAsia="宋体" w:hint="default"/>
                            <w:sz w:val="18"/>
                            <w:szCs w:val="18"/>
                          </w:rPr>
                          <w:t>（含税）</w:t>
                        </w:r>
                      </w:p>
                    </w:tc>
                    <w:tc>
                      <w:tcPr>
                        <w:tcW w:w="5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0.50</w:t>
                        </w:r>
                      </w:p>
                    </w:tc>
                  </w:tr>
                  <w:tr>
                    <w:trPr>
                      <w:trHeight w:val="402" w:hRule="exact"/>
                    </w:trPr>
                    <w:tc>
                      <w:tcPr>
                        <w:tcW w:w="44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10</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股转增数（股）</w:t>
                        </w:r>
                      </w:p>
                    </w:tc>
                    <w:tc>
                      <w:tcPr>
                        <w:tcW w:w="5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44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分配预案的股本基数（股）</w:t>
                        </w:r>
                      </w:p>
                    </w:tc>
                    <w:tc>
                      <w:tcPr>
                        <w:tcW w:w="5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2,936,165,560</w:t>
                        </w:r>
                      </w:p>
                    </w:tc>
                  </w:tr>
                  <w:tr>
                    <w:trPr>
                      <w:trHeight w:val="402" w:hRule="exact"/>
                    </w:trPr>
                    <w:tc>
                      <w:tcPr>
                        <w:tcW w:w="44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现金分红总额（元）（含税）</w:t>
                        </w:r>
                      </w:p>
                    </w:tc>
                    <w:tc>
                      <w:tcPr>
                        <w:tcW w:w="5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146,808,278.00</w:t>
                        </w:r>
                      </w:p>
                    </w:tc>
                  </w:tr>
                  <w:tr>
                    <w:trPr>
                      <w:trHeight w:val="402" w:hRule="exact"/>
                    </w:trPr>
                    <w:tc>
                      <w:tcPr>
                        <w:tcW w:w="44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以其他方式（如回购股份）现金分红金额（元）</w:t>
                        </w:r>
                      </w:p>
                    </w:tc>
                    <w:tc>
                      <w:tcPr>
                        <w:tcW w:w="5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44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现金分红总额（含其他方式</w:t>
                        </w:r>
                        <w:r>
                          <w:rPr>
                            <w:rFonts w:ascii="宋体" w:hAnsi="宋体" w:cs="宋体" w:eastAsia="宋体" w:hint="default"/>
                            <w:spacing w:val="-90"/>
                            <w:sz w:val="18"/>
                            <w:szCs w:val="18"/>
                          </w:rPr>
                          <w:t>）</w:t>
                        </w:r>
                        <w:r>
                          <w:rPr>
                            <w:rFonts w:ascii="宋体" w:hAnsi="宋体" w:cs="宋体" w:eastAsia="宋体" w:hint="default"/>
                            <w:sz w:val="18"/>
                            <w:szCs w:val="18"/>
                          </w:rPr>
                          <w:t>（元）</w:t>
                        </w:r>
                      </w:p>
                    </w:tc>
                    <w:tc>
                      <w:tcPr>
                        <w:tcW w:w="5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146,808,278.00</w:t>
                        </w:r>
                      </w:p>
                    </w:tc>
                  </w:tr>
                  <w:tr>
                    <w:trPr>
                      <w:trHeight w:val="402" w:hRule="exact"/>
                    </w:trPr>
                    <w:tc>
                      <w:tcPr>
                        <w:tcW w:w="44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可分配利润（元）</w:t>
                        </w:r>
                      </w:p>
                    </w:tc>
                    <w:tc>
                      <w:tcPr>
                        <w:tcW w:w="5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740,348,065.06</w:t>
                        </w:r>
                      </w:p>
                    </w:tc>
                  </w:tr>
                  <w:tr>
                    <w:trPr>
                      <w:trHeight w:val="403" w:hRule="exact"/>
                    </w:trPr>
                    <w:tc>
                      <w:tcPr>
                        <w:tcW w:w="44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现金分红总额（含其他方式）占利润分配总额的比例</w:t>
                        </w:r>
                      </w:p>
                    </w:tc>
                    <w:tc>
                      <w:tcPr>
                        <w:tcW w:w="5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100.00%</w:t>
                        </w:r>
                      </w:p>
                    </w:tc>
                  </w:tr>
                  <w:tr>
                    <w:trPr>
                      <w:trHeight w:val="401" w:hRule="exact"/>
                    </w:trPr>
                    <w:tc>
                      <w:tcPr>
                        <w:tcW w:w="9964"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本次现金分红情况</w:t>
                        </w:r>
                      </w:p>
                    </w:tc>
                  </w:tr>
                  <w:tr>
                    <w:trPr>
                      <w:trHeight w:val="403" w:hRule="exact"/>
                    </w:trPr>
                    <w:tc>
                      <w:tcPr>
                        <w:tcW w:w="996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382" w:right="0"/>
                          <w:jc w:val="left"/>
                          <w:rPr>
                            <w:rFonts w:ascii="Times New Roman" w:hAnsi="Times New Roman" w:cs="Times New Roman" w:eastAsia="Times New Roman" w:hint="default"/>
                            <w:sz w:val="18"/>
                            <w:szCs w:val="18"/>
                          </w:rPr>
                        </w:pPr>
                        <w:r>
                          <w:rPr>
                            <w:rFonts w:ascii="宋体" w:hAnsi="宋体" w:cs="宋体" w:eastAsia="宋体" w:hint="default"/>
                            <w:spacing w:val="-2"/>
                            <w:sz w:val="18"/>
                            <w:szCs w:val="18"/>
                          </w:rPr>
                          <w:t>公司发展阶段不易区分但有重大资金支出安排的，进行利润分配时，现金分红在本次利润分配中所占比例最低应达到</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w:t>
                        </w:r>
                      </w:p>
                    </w:tc>
                  </w:tr>
                  <w:tr>
                    <w:trPr>
                      <w:trHeight w:val="401" w:hRule="exact"/>
                    </w:trPr>
                    <w:tc>
                      <w:tcPr>
                        <w:tcW w:w="9964"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3086" w:right="0"/>
                          <w:jc w:val="left"/>
                          <w:rPr>
                            <w:rFonts w:ascii="宋体" w:hAnsi="宋体" w:cs="宋体" w:eastAsia="宋体" w:hint="default"/>
                            <w:sz w:val="18"/>
                            <w:szCs w:val="18"/>
                          </w:rPr>
                        </w:pPr>
                        <w:r>
                          <w:rPr>
                            <w:rFonts w:ascii="宋体" w:hAnsi="宋体" w:cs="宋体" w:eastAsia="宋体" w:hint="default"/>
                            <w:sz w:val="18"/>
                            <w:szCs w:val="18"/>
                          </w:rPr>
                          <w:t>利润分配或资本公积金转增预案的详细情况说明</w:t>
                        </w:r>
                      </w:p>
                    </w:tc>
                  </w:tr>
                  <w:tr>
                    <w:trPr>
                      <w:trHeight w:val="2354" w:hRule="exact"/>
                    </w:trPr>
                    <w:tc>
                      <w:tcPr>
                        <w:tcW w:w="996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382" w:right="0"/>
                          <w:jc w:val="left"/>
                          <w:rPr>
                            <w:rFonts w:ascii="宋体" w:hAnsi="宋体" w:cs="宋体" w:eastAsia="宋体" w:hint="default"/>
                            <w:sz w:val="18"/>
                            <w:szCs w:val="18"/>
                          </w:rPr>
                        </w:pPr>
                        <w:r>
                          <w:rPr>
                            <w:rFonts w:ascii="宋体" w:hAnsi="宋体" w:cs="宋体" w:eastAsia="宋体" w:hint="default"/>
                            <w:sz w:val="18"/>
                            <w:szCs w:val="18"/>
                          </w:rPr>
                          <w:t>经立信会计师事务所（特殊普通合伙）审计，</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年度公司每股收益</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0.336</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元，母公司净利润为</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615,709,500.26</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元，提取</w:t>
                        </w:r>
                      </w:p>
                      <w:p>
                        <w:pPr>
                          <w:pStyle w:val="TableParagraph"/>
                          <w:spacing w:line="240" w:lineRule="auto" w:before="6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宋体" w:hAnsi="宋体" w:cs="宋体" w:eastAsia="宋体" w:hint="default"/>
                            <w:sz w:val="18"/>
                            <w:szCs w:val="18"/>
                          </w:rPr>
                          <w:t>法定盈余公积金，加上年初未分配利润</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362,853,682.37</w:t>
                        </w:r>
                        <w:r>
                          <w:rPr>
                            <w:rFonts w:ascii="Times New Roman" w:hAnsi="Times New Roman" w:cs="Times New Roman" w:eastAsia="Times New Roman" w:hint="default"/>
                            <w:spacing w:val="-6"/>
                            <w:sz w:val="18"/>
                            <w:szCs w:val="18"/>
                          </w:rPr>
                          <w:t> </w:t>
                        </w:r>
                        <w:r>
                          <w:rPr>
                            <w:rFonts w:ascii="宋体" w:hAnsi="宋体" w:cs="宋体" w:eastAsia="宋体" w:hint="default"/>
                            <w:spacing w:val="-3"/>
                            <w:sz w:val="18"/>
                            <w:szCs w:val="18"/>
                          </w:rPr>
                          <w:t>元，扣除年内实施的</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年度利润分配现金分红</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176,644,167.54</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元</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本次可供分配的利润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740,348,065.06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p>
                        <w:pPr>
                          <w:pStyle w:val="TableParagraph"/>
                          <w:spacing w:line="240" w:lineRule="auto" w:before="101"/>
                          <w:ind w:left="382" w:right="0"/>
                          <w:jc w:val="left"/>
                          <w:rPr>
                            <w:rFonts w:ascii="宋体" w:hAnsi="宋体" w:cs="宋体" w:eastAsia="宋体" w:hint="default"/>
                            <w:sz w:val="18"/>
                            <w:szCs w:val="18"/>
                          </w:rPr>
                        </w:pPr>
                        <w:r>
                          <w:rPr>
                            <w:rFonts w:ascii="宋体" w:hAnsi="宋体" w:cs="宋体" w:eastAsia="宋体" w:hint="default"/>
                            <w:sz w:val="18"/>
                            <w:szCs w:val="18"/>
                          </w:rPr>
                          <w:t>根</w:t>
                        </w:r>
                        <w:r>
                          <w:rPr>
                            <w:rFonts w:ascii="宋体" w:hAnsi="宋体" w:cs="宋体" w:eastAsia="宋体" w:hint="default"/>
                            <w:spacing w:val="-9"/>
                            <w:sz w:val="18"/>
                            <w:szCs w:val="18"/>
                          </w:rPr>
                          <w:t>据</w:t>
                        </w:r>
                        <w:r>
                          <w:rPr>
                            <w:rFonts w:ascii="宋体" w:hAnsi="宋体" w:cs="宋体" w:eastAsia="宋体" w:hint="default"/>
                            <w:sz w:val="18"/>
                            <w:szCs w:val="18"/>
                          </w:rPr>
                          <w:t>《公司法</w:t>
                        </w:r>
                        <w:r>
                          <w:rPr>
                            <w:rFonts w:ascii="宋体" w:hAnsi="宋体" w:cs="宋体" w:eastAsia="宋体" w:hint="default"/>
                            <w:spacing w:val="-90"/>
                            <w:sz w:val="18"/>
                            <w:szCs w:val="18"/>
                          </w:rPr>
                          <w:t>》</w:t>
                        </w:r>
                        <w:r>
                          <w:rPr>
                            <w:rFonts w:ascii="宋体" w:hAnsi="宋体" w:cs="宋体" w:eastAsia="宋体" w:hint="default"/>
                            <w:spacing w:val="-99"/>
                            <w:sz w:val="18"/>
                            <w:szCs w:val="18"/>
                          </w:rPr>
                          <w:t>、</w:t>
                        </w:r>
                        <w:r>
                          <w:rPr>
                            <w:rFonts w:ascii="宋体" w:hAnsi="宋体" w:cs="宋体" w:eastAsia="宋体" w:hint="default"/>
                            <w:sz w:val="18"/>
                            <w:szCs w:val="18"/>
                          </w:rPr>
                          <w:t>《公司章程</w:t>
                        </w:r>
                        <w:r>
                          <w:rPr>
                            <w:rFonts w:ascii="宋体" w:hAnsi="宋体" w:cs="宋体" w:eastAsia="宋体" w:hint="default"/>
                            <w:spacing w:val="-90"/>
                            <w:sz w:val="18"/>
                            <w:szCs w:val="18"/>
                          </w:rPr>
                          <w:t>》</w:t>
                        </w:r>
                        <w:r>
                          <w:rPr>
                            <w:rFonts w:ascii="宋体" w:hAnsi="宋体" w:cs="宋体" w:eastAsia="宋体" w:hint="default"/>
                            <w:spacing w:val="-99"/>
                            <w:sz w:val="18"/>
                            <w:szCs w:val="18"/>
                          </w:rPr>
                          <w:t>、</w:t>
                        </w:r>
                        <w:r>
                          <w:rPr>
                            <w:rFonts w:ascii="宋体" w:hAnsi="宋体" w:cs="宋体" w:eastAsia="宋体" w:hint="default"/>
                            <w:sz w:val="18"/>
                            <w:szCs w:val="18"/>
                          </w:rPr>
                          <w:t>《公司股东回报规</w:t>
                        </w:r>
                        <w:r>
                          <w:rPr>
                            <w:rFonts w:ascii="宋体" w:hAnsi="宋体" w:cs="宋体" w:eastAsia="宋体" w:hint="default"/>
                            <w:spacing w:val="-9"/>
                            <w:sz w:val="18"/>
                            <w:szCs w:val="18"/>
                          </w:rPr>
                          <w:t>划</w:t>
                        </w:r>
                        <w:r>
                          <w:rPr>
                            <w:rFonts w:ascii="宋体" w:hAnsi="宋体" w:cs="宋体" w:eastAsia="宋体" w:hint="default"/>
                            <w:sz w:val="18"/>
                            <w:szCs w:val="18"/>
                          </w:rPr>
                          <w:t>（</w:t>
                        </w:r>
                        <w:r>
                          <w:rPr>
                            <w:rFonts w:ascii="Times New Roman" w:hAnsi="Times New Roman" w:cs="Times New Roman" w:eastAsia="Times New Roman" w:hint="default"/>
                            <w:sz w:val="18"/>
                            <w:szCs w:val="18"/>
                          </w:rPr>
                          <w:t>2018-2020</w:t>
                        </w:r>
                        <w:r>
                          <w:rPr>
                            <w:rFonts w:ascii="宋体" w:hAnsi="宋体" w:cs="宋体" w:eastAsia="宋体" w:hint="default"/>
                            <w:spacing w:val="-90"/>
                            <w:sz w:val="18"/>
                            <w:szCs w:val="18"/>
                          </w:rPr>
                          <w:t>）</w:t>
                        </w:r>
                        <w:r>
                          <w:rPr>
                            <w:rFonts w:ascii="宋体" w:hAnsi="宋体" w:cs="宋体" w:eastAsia="宋体" w:hint="default"/>
                            <w:spacing w:val="-9"/>
                            <w:sz w:val="18"/>
                            <w:szCs w:val="18"/>
                          </w:rPr>
                          <w:t>》</w:t>
                        </w:r>
                        <w:r>
                          <w:rPr>
                            <w:rFonts w:ascii="宋体" w:hAnsi="宋体" w:cs="宋体" w:eastAsia="宋体" w:hint="default"/>
                            <w:sz w:val="18"/>
                            <w:szCs w:val="18"/>
                          </w:rPr>
                          <w:t>之有关规定及公司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年度的经营情况</w:t>
                        </w:r>
                        <w:r>
                          <w:rPr>
                            <w:rFonts w:ascii="宋体" w:hAnsi="宋体" w:cs="宋体" w:eastAsia="宋体" w:hint="default"/>
                            <w:spacing w:val="-9"/>
                            <w:sz w:val="18"/>
                            <w:szCs w:val="18"/>
                          </w:rPr>
                          <w:t>，</w:t>
                        </w:r>
                        <w:r>
                          <w:rPr>
                            <w:rFonts w:ascii="宋体" w:hAnsi="宋体" w:cs="宋体" w:eastAsia="宋体" w:hint="default"/>
                            <w:sz w:val="18"/>
                            <w:szCs w:val="18"/>
                          </w:rPr>
                          <w:t>在符合利润分</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配政策、保证公司正常经营和长远发展的前提下，拟订公司</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年度利润分配预案为：拟以</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年末总股本</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2,936,165,560</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股</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为基数，向全体股东每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pacing w:val="1"/>
                            <w:sz w:val="18"/>
                            <w:szCs w:val="18"/>
                          </w:rPr>
                          <w:t>股</w:t>
                        </w:r>
                        <w:r>
                          <w:rPr>
                            <w:rFonts w:ascii="宋体" w:hAnsi="宋体" w:cs="宋体" w:eastAsia="宋体" w:hint="default"/>
                            <w:sz w:val="18"/>
                            <w:szCs w:val="18"/>
                          </w:rPr>
                          <w:t>派发现金股利人民币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元（含税</w:t>
                        </w:r>
                        <w:r>
                          <w:rPr>
                            <w:rFonts w:ascii="宋体" w:hAnsi="宋体" w:cs="宋体" w:eastAsia="宋体" w:hint="default"/>
                            <w:spacing w:val="-90"/>
                            <w:sz w:val="18"/>
                            <w:szCs w:val="18"/>
                          </w:rPr>
                          <w:t>）</w:t>
                        </w:r>
                        <w:r>
                          <w:rPr>
                            <w:rFonts w:ascii="宋体" w:hAnsi="宋体" w:cs="宋体" w:eastAsia="宋体" w:hint="default"/>
                            <w:sz w:val="18"/>
                            <w:szCs w:val="18"/>
                          </w:rPr>
                          <w:t>，共计派发现金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146,808,278.00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p>
                        <w:pPr>
                          <w:pStyle w:val="TableParagraph"/>
                          <w:spacing w:line="240" w:lineRule="auto" w:before="103"/>
                          <w:ind w:left="382" w:right="0"/>
                          <w:jc w:val="left"/>
                          <w:rPr>
                            <w:rFonts w:ascii="宋体" w:hAnsi="宋体" w:cs="宋体" w:eastAsia="宋体" w:hint="default"/>
                            <w:sz w:val="18"/>
                            <w:szCs w:val="18"/>
                          </w:rPr>
                        </w:pPr>
                        <w:r>
                          <w:rPr>
                            <w:rFonts w:ascii="宋体" w:hAnsi="宋体" w:cs="宋体" w:eastAsia="宋体" w:hint="default"/>
                            <w:sz w:val="18"/>
                            <w:szCs w:val="18"/>
                          </w:rPr>
                          <w:t>预案需提交公司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年度股东大会审议。</w:t>
                        </w:r>
                      </w:p>
                    </w:tc>
                  </w:tr>
                </w:tbl>
                <w:p>
                  <w:pPr/>
                </w:p>
              </w:txbxContent>
            </v:textbox>
            <w10:wrap type="none"/>
          </v:shape>
        </w:pict>
      </w: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3"/>
          <w:szCs w:val="23"/>
        </w:rPr>
      </w:pPr>
    </w:p>
    <w:p>
      <w:pPr>
        <w:spacing w:before="44"/>
        <w:ind w:left="0" w:right="906" w:firstLine="0"/>
        <w:jc w:val="right"/>
        <w:rPr>
          <w:rFonts w:ascii="宋体" w:hAnsi="宋体" w:cs="宋体" w:eastAsia="宋体" w:hint="default"/>
          <w:sz w:val="18"/>
          <w:szCs w:val="18"/>
        </w:rPr>
      </w:pP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4"/>
        <w:spacing w:line="240" w:lineRule="auto" w:before="184"/>
        <w:ind w:left="1094" w:right="0"/>
        <w:jc w:val="left"/>
        <w:rPr>
          <w:b w:val="0"/>
          <w:bCs w:val="0"/>
        </w:rPr>
      </w:pPr>
      <w:r>
        <w:rPr/>
        <w:t>三、承诺事项履行情况</w:t>
      </w:r>
      <w:r>
        <w:rPr>
          <w:b w:val="0"/>
          <w:bCs w:val="0"/>
        </w:rPr>
      </w:r>
    </w:p>
    <w:p>
      <w:pPr>
        <w:spacing w:line="240" w:lineRule="auto" w:before="8"/>
        <w:rPr>
          <w:rFonts w:ascii="宋体" w:hAnsi="宋体" w:cs="宋体" w:eastAsia="宋体" w:hint="default"/>
          <w:b/>
          <w:bCs/>
          <w:sz w:val="24"/>
          <w:szCs w:val="24"/>
        </w:rPr>
      </w:pPr>
    </w:p>
    <w:p>
      <w:pPr>
        <w:pStyle w:val="Heading5"/>
        <w:spacing w:line="256" w:lineRule="auto" w:before="0"/>
        <w:ind w:left="1094" w:right="0"/>
        <w:jc w:val="left"/>
        <w:rPr>
          <w:b w:val="0"/>
          <w:bCs w:val="0"/>
        </w:rPr>
      </w:pPr>
      <w:r>
        <w:rPr>
          <w:rFonts w:ascii="Times New Roman" w:hAnsi="Times New Roman" w:cs="Times New Roman" w:eastAsia="Times New Roman" w:hint="default"/>
        </w:rPr>
        <w:t>1</w:t>
      </w:r>
      <w:r>
        <w:rPr/>
        <w:t>、公司实际控制人、股东、关联方、收购人以及公司等承诺相关方在报告期内履行完毕及截至报告期末</w:t>
      </w:r>
      <w:r>
        <w:rPr>
          <w:spacing w:val="-74"/>
        </w:rPr>
        <w:t> </w:t>
      </w:r>
      <w:r>
        <w:rPr>
          <w:spacing w:val="-74"/>
        </w:rPr>
      </w:r>
      <w:r>
        <w:rPr/>
        <w:t>尚未履行完毕的承诺事项</w:t>
      </w:r>
      <w:r>
        <w:rPr>
          <w:b w:val="0"/>
          <w:bCs w:val="0"/>
        </w:rPr>
      </w:r>
    </w:p>
    <w:p>
      <w:pPr>
        <w:spacing w:line="240" w:lineRule="auto" w:before="9"/>
        <w:rPr>
          <w:rFonts w:ascii="宋体" w:hAnsi="宋体" w:cs="宋体" w:eastAsia="宋体" w:hint="default"/>
          <w:b/>
          <w:bCs/>
          <w:sz w:val="26"/>
          <w:szCs w:val="26"/>
        </w:rPr>
      </w:pPr>
    </w:p>
    <w:p>
      <w:pPr>
        <w:spacing w:before="0"/>
        <w:ind w:left="1094" w:right="0" w:firstLine="0"/>
        <w:jc w:val="left"/>
        <w:rPr>
          <w:rFonts w:ascii="宋体" w:hAnsi="宋体" w:cs="宋体" w:eastAsia="宋体" w:hint="default"/>
          <w:sz w:val="18"/>
          <w:szCs w:val="18"/>
        </w:rPr>
      </w:pPr>
      <w:r>
        <w:rPr/>
        <w:pict>
          <v:shape style="position:absolute;margin-left:177.360001pt;margin-top:65.352013pt;width:263.4pt;height:124.8pt;mso-position-horizontal-relative:page;mso-position-vertical-relative:paragraph;z-index:-1402216" type="#_x0000_t202" filled="false" stroked="false">
            <v:textbox inset="0,0,0,0">
              <w:txbxContent>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18"/>
                      <w:szCs w:val="18"/>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p>
              </w:txbxContent>
            </v:textbox>
            <w10:wrap type="none"/>
          </v:shape>
        </w:pict>
      </w:r>
      <w:r>
        <w:rPr>
          <w:rFonts w:ascii="宋体" w:hAnsi="宋体" w:cs="宋体" w:eastAsia="宋体" w:hint="default"/>
          <w:sz w:val="18"/>
          <w:szCs w:val="18"/>
        </w:rPr>
        <w:t>√ 适用 □ 不适用</w:t>
      </w:r>
    </w:p>
    <w:p>
      <w:pPr>
        <w:spacing w:line="240" w:lineRule="auto" w:before="1"/>
        <w:rPr>
          <w:rFonts w:ascii="宋体" w:hAnsi="宋体" w:cs="宋体" w:eastAsia="宋体" w:hint="default"/>
          <w:sz w:val="8"/>
          <w:szCs w:val="8"/>
        </w:rPr>
      </w:pPr>
    </w:p>
    <w:tbl>
      <w:tblPr>
        <w:tblW w:w="0" w:type="auto"/>
        <w:jc w:val="left"/>
        <w:tblInd w:w="102" w:type="dxa"/>
        <w:tblLayout w:type="fixed"/>
        <w:tblCellMar>
          <w:top w:w="0" w:type="dxa"/>
          <w:left w:w="0" w:type="dxa"/>
          <w:bottom w:w="0" w:type="dxa"/>
          <w:right w:w="0" w:type="dxa"/>
        </w:tblCellMar>
        <w:tblLook w:val="01E0"/>
      </w:tblPr>
      <w:tblGrid>
        <w:gridCol w:w="1532"/>
        <w:gridCol w:w="808"/>
        <w:gridCol w:w="1156"/>
        <w:gridCol w:w="5177"/>
        <w:gridCol w:w="1080"/>
        <w:gridCol w:w="942"/>
        <w:gridCol w:w="916"/>
      </w:tblGrid>
      <w:tr>
        <w:trPr>
          <w:trHeight w:val="634" w:hRule="exact"/>
        </w:trPr>
        <w:tc>
          <w:tcPr>
            <w:tcW w:w="153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400" w:right="0"/>
              <w:jc w:val="left"/>
              <w:rPr>
                <w:rFonts w:ascii="宋体" w:hAnsi="宋体" w:cs="宋体" w:eastAsia="宋体" w:hint="default"/>
                <w:sz w:val="18"/>
                <w:szCs w:val="18"/>
              </w:rPr>
            </w:pPr>
            <w:r>
              <w:rPr>
                <w:rFonts w:ascii="宋体" w:hAnsi="宋体" w:cs="宋体" w:eastAsia="宋体" w:hint="default"/>
                <w:sz w:val="18"/>
                <w:szCs w:val="18"/>
              </w:rPr>
              <w:t>承诺事由</w:t>
            </w:r>
          </w:p>
        </w:tc>
        <w:tc>
          <w:tcPr>
            <w:tcW w:w="80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承诺方</w:t>
            </w:r>
          </w:p>
        </w:tc>
        <w:tc>
          <w:tcPr>
            <w:tcW w:w="115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12" w:right="0"/>
              <w:jc w:val="left"/>
              <w:rPr>
                <w:rFonts w:ascii="宋体" w:hAnsi="宋体" w:cs="宋体" w:eastAsia="宋体" w:hint="default"/>
                <w:sz w:val="18"/>
                <w:szCs w:val="18"/>
              </w:rPr>
            </w:pPr>
            <w:r>
              <w:rPr>
                <w:rFonts w:ascii="宋体" w:hAnsi="宋体" w:cs="宋体" w:eastAsia="宋体" w:hint="default"/>
                <w:sz w:val="18"/>
                <w:szCs w:val="18"/>
              </w:rPr>
              <w:t>承诺类型</w:t>
            </w:r>
          </w:p>
        </w:tc>
        <w:tc>
          <w:tcPr>
            <w:tcW w:w="517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承诺内容</w:t>
            </w:r>
          </w:p>
        </w:tc>
        <w:tc>
          <w:tcPr>
            <w:tcW w:w="1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75" w:right="0"/>
              <w:jc w:val="left"/>
              <w:rPr>
                <w:rFonts w:ascii="宋体" w:hAnsi="宋体" w:cs="宋体" w:eastAsia="宋体" w:hint="default"/>
                <w:sz w:val="18"/>
                <w:szCs w:val="18"/>
              </w:rPr>
            </w:pPr>
            <w:r>
              <w:rPr>
                <w:rFonts w:ascii="宋体" w:hAnsi="宋体" w:cs="宋体" w:eastAsia="宋体" w:hint="default"/>
                <w:sz w:val="18"/>
                <w:szCs w:val="18"/>
              </w:rPr>
              <w:t>承诺时间</w:t>
            </w:r>
          </w:p>
        </w:tc>
        <w:tc>
          <w:tcPr>
            <w:tcW w:w="94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承诺期限</w:t>
            </w:r>
          </w:p>
        </w:tc>
        <w:tc>
          <w:tcPr>
            <w:tcW w:w="91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10"/>
              <w:ind w:left="272" w:right="271"/>
              <w:jc w:val="left"/>
              <w:rPr>
                <w:rFonts w:ascii="宋体" w:hAnsi="宋体" w:cs="宋体" w:eastAsia="宋体" w:hint="default"/>
                <w:sz w:val="18"/>
                <w:szCs w:val="18"/>
              </w:rPr>
            </w:pPr>
            <w:r>
              <w:rPr>
                <w:rFonts w:ascii="宋体" w:hAnsi="宋体" w:cs="宋体" w:eastAsia="宋体" w:hint="default"/>
                <w:sz w:val="18"/>
                <w:szCs w:val="18"/>
              </w:rPr>
              <w:t>履行 情况</w:t>
            </w:r>
          </w:p>
        </w:tc>
      </w:tr>
      <w:tr>
        <w:trPr>
          <w:trHeight w:val="322" w:hRule="exact"/>
        </w:trPr>
        <w:tc>
          <w:tcPr>
            <w:tcW w:w="153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left="-1" w:right="0"/>
              <w:jc w:val="left"/>
              <w:rPr>
                <w:rFonts w:ascii="宋体" w:hAnsi="宋体" w:cs="宋体" w:eastAsia="宋体" w:hint="default"/>
                <w:sz w:val="18"/>
                <w:szCs w:val="18"/>
              </w:rPr>
            </w:pPr>
            <w:r>
              <w:rPr>
                <w:rFonts w:ascii="宋体" w:hAnsi="宋体" w:cs="宋体" w:eastAsia="宋体" w:hint="default"/>
                <w:sz w:val="18"/>
                <w:szCs w:val="18"/>
              </w:rPr>
              <w:t>股改承诺</w:t>
            </w:r>
          </w:p>
        </w:tc>
        <w:tc>
          <w:tcPr>
            <w:tcW w:w="808"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5177"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942" w:type="dxa"/>
            <w:tcBorders>
              <w:top w:val="single" w:sz="4" w:space="0" w:color="000000"/>
              <w:left w:val="single" w:sz="4" w:space="0" w:color="000000"/>
              <w:bottom w:val="single" w:sz="4" w:space="0" w:color="000000"/>
              <w:right w:val="single" w:sz="4" w:space="0" w:color="000000"/>
            </w:tcBorders>
          </w:tcPr>
          <w:p>
            <w:pPr/>
          </w:p>
        </w:tc>
        <w:tc>
          <w:tcPr>
            <w:tcW w:w="916" w:type="dxa"/>
            <w:tcBorders>
              <w:top w:val="single" w:sz="4" w:space="0" w:color="000000"/>
              <w:left w:val="single" w:sz="4" w:space="0" w:color="000000"/>
              <w:bottom w:val="single" w:sz="4" w:space="0" w:color="000000"/>
              <w:right w:val="single" w:sz="4" w:space="0" w:color="000000"/>
            </w:tcBorders>
          </w:tcPr>
          <w:p>
            <w:pPr/>
          </w:p>
        </w:tc>
      </w:tr>
      <w:tr>
        <w:trPr>
          <w:trHeight w:val="321" w:hRule="exact"/>
        </w:trPr>
        <w:tc>
          <w:tcPr>
            <w:tcW w:w="1532" w:type="dxa"/>
            <w:tcBorders>
              <w:top w:val="single" w:sz="4" w:space="0" w:color="000000"/>
              <w:left w:val="single" w:sz="4" w:space="0" w:color="000000"/>
              <w:bottom w:val="nil" w:sz="6" w:space="0" w:color="auto"/>
              <w:right w:val="single" w:sz="4" w:space="0" w:color="000000"/>
            </w:tcBorders>
            <w:shd w:val="clear" w:color="auto" w:fill="D3D3D3"/>
          </w:tcPr>
          <w:p>
            <w:pPr/>
          </w:p>
        </w:tc>
        <w:tc>
          <w:tcPr>
            <w:tcW w:w="808" w:type="dxa"/>
            <w:tcBorders>
              <w:top w:val="single" w:sz="4" w:space="0" w:color="000000"/>
              <w:left w:val="single" w:sz="4" w:space="0" w:color="000000"/>
              <w:bottom w:val="nil" w:sz="6" w:space="0" w:color="auto"/>
              <w:right w:val="single" w:sz="4" w:space="0" w:color="000000"/>
            </w:tcBorders>
          </w:tcPr>
          <w:p>
            <w:pPr/>
          </w:p>
        </w:tc>
        <w:tc>
          <w:tcPr>
            <w:tcW w:w="1156" w:type="dxa"/>
            <w:tcBorders>
              <w:top w:val="single" w:sz="4" w:space="0" w:color="000000"/>
              <w:left w:val="single" w:sz="4" w:space="0" w:color="000000"/>
              <w:bottom w:val="nil" w:sz="6" w:space="0" w:color="auto"/>
              <w:right w:val="single" w:sz="4" w:space="0" w:color="000000"/>
            </w:tcBorders>
          </w:tcPr>
          <w:p>
            <w:pPr/>
          </w:p>
        </w:tc>
        <w:tc>
          <w:tcPr>
            <w:tcW w:w="517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4"/>
              <w:ind w:left="299" w:right="-1"/>
              <w:jc w:val="left"/>
              <w:rPr>
                <w:rFonts w:ascii="宋体" w:hAnsi="宋体" w:cs="宋体" w:eastAsia="宋体" w:hint="default"/>
                <w:sz w:val="15"/>
                <w:szCs w:val="15"/>
              </w:rPr>
            </w:pPr>
            <w:r>
              <w:rPr>
                <w:rFonts w:ascii="宋体" w:hAnsi="宋体" w:cs="宋体" w:eastAsia="宋体" w:hint="default"/>
                <w:spacing w:val="-1"/>
                <w:sz w:val="15"/>
                <w:szCs w:val="15"/>
              </w:rPr>
              <w:t>（</w:t>
            </w:r>
            <w:r>
              <w:rPr>
                <w:rFonts w:ascii="Times New Roman" w:hAnsi="Times New Roman" w:cs="Times New Roman" w:eastAsia="Times New Roman" w:hint="default"/>
                <w:spacing w:val="-1"/>
                <w:sz w:val="15"/>
                <w:szCs w:val="15"/>
              </w:rPr>
              <w:t>1</w:t>
            </w:r>
            <w:r>
              <w:rPr>
                <w:rFonts w:ascii="宋体" w:hAnsi="宋体" w:cs="宋体" w:eastAsia="宋体" w:hint="default"/>
                <w:spacing w:val="-1"/>
                <w:sz w:val="15"/>
                <w:szCs w:val="15"/>
              </w:rPr>
              <w:t>）中国电子及下属企业目前没有直接或间接从事与中国长城及其下属企</w:t>
            </w:r>
          </w:p>
        </w:tc>
        <w:tc>
          <w:tcPr>
            <w:tcW w:w="1080" w:type="dxa"/>
            <w:tcBorders>
              <w:top w:val="single" w:sz="4" w:space="0" w:color="000000"/>
              <w:left w:val="single" w:sz="4" w:space="0" w:color="000000"/>
              <w:bottom w:val="nil" w:sz="6" w:space="0" w:color="auto"/>
              <w:right w:val="single" w:sz="4" w:space="0" w:color="000000"/>
            </w:tcBorders>
          </w:tcPr>
          <w:p>
            <w:pPr/>
          </w:p>
        </w:tc>
        <w:tc>
          <w:tcPr>
            <w:tcW w:w="942" w:type="dxa"/>
            <w:tcBorders>
              <w:top w:val="single" w:sz="4" w:space="0" w:color="000000"/>
              <w:left w:val="single" w:sz="4" w:space="0" w:color="000000"/>
              <w:bottom w:val="nil" w:sz="6" w:space="0" w:color="auto"/>
              <w:right w:val="single" w:sz="4" w:space="0" w:color="000000"/>
            </w:tcBorders>
          </w:tcPr>
          <w:p>
            <w:pPr/>
          </w:p>
        </w:tc>
        <w:tc>
          <w:tcPr>
            <w:tcW w:w="916" w:type="dxa"/>
            <w:tcBorders>
              <w:top w:val="single" w:sz="4" w:space="0" w:color="000000"/>
              <w:left w:val="single" w:sz="4" w:space="0" w:color="000000"/>
              <w:bottom w:val="nil" w:sz="6" w:space="0" w:color="auto"/>
              <w:right w:val="single" w:sz="4" w:space="0" w:color="000000"/>
            </w:tcBorders>
          </w:tcPr>
          <w:p>
            <w:pPr/>
          </w:p>
        </w:tc>
      </w:tr>
      <w:tr>
        <w:trPr>
          <w:trHeight w:val="1872" w:hRule="exact"/>
        </w:trPr>
        <w:tc>
          <w:tcPr>
            <w:tcW w:w="1532"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8"/>
                <w:szCs w:val="18"/>
              </w:rPr>
            </w:pPr>
          </w:p>
          <w:p>
            <w:pPr>
              <w:pStyle w:val="TableParagraph"/>
              <w:spacing w:line="316" w:lineRule="auto"/>
              <w:ind w:left="-1" w:right="80"/>
              <w:jc w:val="both"/>
              <w:rPr>
                <w:rFonts w:ascii="宋体" w:hAnsi="宋体" w:cs="宋体" w:eastAsia="宋体" w:hint="default"/>
                <w:sz w:val="18"/>
                <w:szCs w:val="18"/>
              </w:rPr>
            </w:pPr>
            <w:r>
              <w:rPr>
                <w:rFonts w:ascii="宋体" w:hAnsi="宋体" w:cs="宋体" w:eastAsia="宋体" w:hint="default"/>
                <w:sz w:val="18"/>
                <w:szCs w:val="18"/>
              </w:rPr>
              <w:t>收购报告书或权益 变动报告书中所作 承诺</w:t>
            </w:r>
          </w:p>
        </w:tc>
        <w:tc>
          <w:tcPr>
            <w:tcW w:w="8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4"/>
                <w:szCs w:val="24"/>
              </w:rPr>
            </w:pPr>
          </w:p>
          <w:p>
            <w:pPr>
              <w:pStyle w:val="TableParagraph"/>
              <w:spacing w:line="240" w:lineRule="auto"/>
              <w:ind w:left="-1" w:right="77"/>
              <w:jc w:val="center"/>
              <w:rPr>
                <w:rFonts w:ascii="宋体" w:hAnsi="宋体" w:cs="宋体" w:eastAsia="宋体" w:hint="default"/>
                <w:sz w:val="18"/>
                <w:szCs w:val="18"/>
              </w:rPr>
            </w:pPr>
            <w:r>
              <w:rPr>
                <w:rFonts w:ascii="宋体" w:hAnsi="宋体" w:cs="宋体" w:eastAsia="宋体" w:hint="default"/>
                <w:sz w:val="18"/>
                <w:szCs w:val="18"/>
              </w:rPr>
              <w:t>中国电子</w:t>
            </w:r>
          </w:p>
        </w:tc>
        <w:tc>
          <w:tcPr>
            <w:tcW w:w="115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316" w:lineRule="auto"/>
              <w:ind w:right="65"/>
              <w:jc w:val="left"/>
              <w:rPr>
                <w:rFonts w:ascii="宋体" w:hAnsi="宋体" w:cs="宋体" w:eastAsia="宋体" w:hint="default"/>
                <w:sz w:val="18"/>
                <w:szCs w:val="18"/>
              </w:rPr>
            </w:pPr>
            <w:r>
              <w:rPr>
                <w:rFonts w:ascii="宋体" w:hAnsi="宋体" w:cs="宋体" w:eastAsia="宋体" w:hint="default"/>
                <w:sz w:val="18"/>
                <w:szCs w:val="18"/>
              </w:rPr>
              <w:t>关于同业竞 </w:t>
            </w:r>
            <w:r>
              <w:rPr>
                <w:rFonts w:ascii="宋体" w:hAnsi="宋体" w:cs="宋体" w:eastAsia="宋体" w:hint="default"/>
                <w:spacing w:val="-5"/>
                <w:sz w:val="18"/>
                <w:szCs w:val="18"/>
              </w:rPr>
              <w:t>争、关联交易</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资金占用方面 的承诺</w:t>
            </w:r>
          </w:p>
        </w:tc>
        <w:tc>
          <w:tcPr>
            <w:tcW w:w="5177" w:type="dxa"/>
            <w:tcBorders>
              <w:top w:val="nil" w:sz="6" w:space="0" w:color="auto"/>
              <w:left w:val="single" w:sz="4" w:space="0" w:color="000000"/>
              <w:bottom w:val="nil" w:sz="6" w:space="0" w:color="auto"/>
              <w:right w:val="single" w:sz="4" w:space="0" w:color="000000"/>
            </w:tcBorders>
          </w:tcPr>
          <w:p>
            <w:pPr>
              <w:pStyle w:val="TableParagraph"/>
              <w:spacing w:line="372" w:lineRule="auto" w:before="30"/>
              <w:ind w:left="-1" w:right="-3"/>
              <w:jc w:val="both"/>
              <w:rPr>
                <w:rFonts w:ascii="宋体" w:hAnsi="宋体" w:cs="宋体" w:eastAsia="宋体" w:hint="default"/>
                <w:sz w:val="15"/>
                <w:szCs w:val="15"/>
              </w:rPr>
            </w:pPr>
            <w:r>
              <w:rPr>
                <w:rFonts w:ascii="宋体" w:hAnsi="宋体" w:cs="宋体" w:eastAsia="宋体" w:hint="default"/>
                <w:spacing w:val="-1"/>
                <w:sz w:val="15"/>
                <w:szCs w:val="15"/>
              </w:rPr>
              <w:t>业主营业务构成竞争的业务；（</w:t>
            </w:r>
            <w:r>
              <w:rPr>
                <w:rFonts w:ascii="Times New Roman" w:hAnsi="Times New Roman" w:cs="Times New Roman" w:eastAsia="Times New Roman" w:hint="default"/>
                <w:spacing w:val="-1"/>
                <w:sz w:val="15"/>
                <w:szCs w:val="15"/>
              </w:rPr>
              <w:t>2</w:t>
            </w:r>
            <w:r>
              <w:rPr>
                <w:rFonts w:ascii="宋体" w:hAnsi="宋体" w:cs="宋体" w:eastAsia="宋体" w:hint="default"/>
                <w:spacing w:val="-1"/>
                <w:sz w:val="15"/>
                <w:szCs w:val="15"/>
              </w:rPr>
              <w:t>）中国电子将来不会，而且会促使中国电子下</w:t>
            </w:r>
            <w:r>
              <w:rPr>
                <w:rFonts w:ascii="宋体" w:hAnsi="宋体" w:cs="宋体" w:eastAsia="宋体" w:hint="default"/>
                <w:spacing w:val="-58"/>
                <w:sz w:val="15"/>
                <w:szCs w:val="15"/>
              </w:rPr>
              <w:t> </w:t>
            </w:r>
            <w:r>
              <w:rPr>
                <w:rFonts w:ascii="宋体" w:hAnsi="宋体" w:cs="宋体" w:eastAsia="宋体" w:hint="default"/>
                <w:spacing w:val="-58"/>
                <w:sz w:val="15"/>
                <w:szCs w:val="15"/>
              </w:rPr>
            </w:r>
            <w:r>
              <w:rPr>
                <w:rFonts w:ascii="宋体" w:hAnsi="宋体" w:cs="宋体" w:eastAsia="宋体" w:hint="default"/>
                <w:sz w:val="15"/>
                <w:szCs w:val="15"/>
              </w:rPr>
              <w:t>属企业不会单独或与第三方、以直接或间接形式参与、经营或从事与中国长城</w:t>
            </w:r>
            <w:r>
              <w:rPr>
                <w:rFonts w:ascii="宋体" w:hAnsi="宋体" w:cs="宋体" w:eastAsia="宋体" w:hint="default"/>
                <w:spacing w:val="-19"/>
                <w:sz w:val="15"/>
                <w:szCs w:val="15"/>
              </w:rPr>
              <w:t> </w:t>
            </w:r>
            <w:r>
              <w:rPr>
                <w:rFonts w:ascii="宋体" w:hAnsi="宋体" w:cs="宋体" w:eastAsia="宋体" w:hint="default"/>
                <w:spacing w:val="-19"/>
                <w:sz w:val="15"/>
                <w:szCs w:val="15"/>
              </w:rPr>
            </w:r>
            <w:r>
              <w:rPr>
                <w:rFonts w:ascii="宋体" w:hAnsi="宋体" w:cs="宋体" w:eastAsia="宋体" w:hint="default"/>
                <w:spacing w:val="-1"/>
                <w:sz w:val="15"/>
                <w:szCs w:val="15"/>
              </w:rPr>
              <w:t>及其下属企业主营业务构成竞争或可能构成竞争的业务或活动；（</w:t>
            </w:r>
            <w:r>
              <w:rPr>
                <w:rFonts w:ascii="Times New Roman" w:hAnsi="Times New Roman" w:cs="Times New Roman" w:eastAsia="Times New Roman" w:hint="default"/>
                <w:spacing w:val="-1"/>
                <w:sz w:val="15"/>
                <w:szCs w:val="15"/>
              </w:rPr>
              <w:t>3</w:t>
            </w:r>
            <w:r>
              <w:rPr>
                <w:rFonts w:ascii="宋体" w:hAnsi="宋体" w:cs="宋体" w:eastAsia="宋体" w:hint="default"/>
                <w:spacing w:val="-1"/>
                <w:sz w:val="15"/>
                <w:szCs w:val="15"/>
              </w:rPr>
              <w:t>）若中国长</w:t>
            </w:r>
            <w:r>
              <w:rPr>
                <w:rFonts w:ascii="宋体" w:hAnsi="宋体" w:cs="宋体" w:eastAsia="宋体" w:hint="default"/>
                <w:spacing w:val="-59"/>
                <w:sz w:val="15"/>
                <w:szCs w:val="15"/>
              </w:rPr>
              <w:t> </w:t>
            </w:r>
            <w:r>
              <w:rPr>
                <w:rFonts w:ascii="宋体" w:hAnsi="宋体" w:cs="宋体" w:eastAsia="宋体" w:hint="default"/>
                <w:spacing w:val="-59"/>
                <w:sz w:val="15"/>
                <w:szCs w:val="15"/>
              </w:rPr>
            </w:r>
            <w:r>
              <w:rPr>
                <w:rFonts w:ascii="宋体" w:hAnsi="宋体" w:cs="宋体" w:eastAsia="宋体" w:hint="default"/>
                <w:sz w:val="15"/>
                <w:szCs w:val="15"/>
              </w:rPr>
              <w:t>城未来新增主营业务，中国电子及下属企业将不会单独或与第三方、以直接或</w:t>
            </w:r>
            <w:r>
              <w:rPr>
                <w:rFonts w:ascii="宋体" w:hAnsi="宋体" w:cs="宋体" w:eastAsia="宋体" w:hint="default"/>
                <w:spacing w:val="-19"/>
                <w:sz w:val="15"/>
                <w:szCs w:val="15"/>
              </w:rPr>
              <w:t> </w:t>
            </w:r>
            <w:r>
              <w:rPr>
                <w:rFonts w:ascii="宋体" w:hAnsi="宋体" w:cs="宋体" w:eastAsia="宋体" w:hint="default"/>
                <w:spacing w:val="-19"/>
                <w:sz w:val="15"/>
                <w:szCs w:val="15"/>
              </w:rPr>
            </w:r>
            <w:r>
              <w:rPr>
                <w:rFonts w:ascii="宋体" w:hAnsi="宋体" w:cs="宋体" w:eastAsia="宋体" w:hint="default"/>
                <w:sz w:val="15"/>
                <w:szCs w:val="15"/>
              </w:rPr>
              <w:t>间接形式参与、经营或从事与中国长城及其下属企业未来新增主营业务构成竞</w:t>
            </w:r>
            <w:r>
              <w:rPr>
                <w:rFonts w:ascii="宋体" w:hAnsi="宋体" w:cs="宋体" w:eastAsia="宋体" w:hint="default"/>
                <w:spacing w:val="-19"/>
                <w:sz w:val="15"/>
                <w:szCs w:val="15"/>
              </w:rPr>
              <w:t> </w:t>
            </w:r>
            <w:r>
              <w:rPr>
                <w:rFonts w:ascii="宋体" w:hAnsi="宋体" w:cs="宋体" w:eastAsia="宋体" w:hint="default"/>
                <w:spacing w:val="-19"/>
                <w:sz w:val="15"/>
                <w:szCs w:val="15"/>
              </w:rPr>
            </w:r>
            <w:r>
              <w:rPr>
                <w:rFonts w:ascii="宋体" w:hAnsi="宋体" w:cs="宋体" w:eastAsia="宋体" w:hint="default"/>
                <w:spacing w:val="-1"/>
                <w:sz w:val="15"/>
                <w:szCs w:val="15"/>
              </w:rPr>
              <w:t>争或可能构成竞争的业务或活动；（</w:t>
            </w:r>
            <w:r>
              <w:rPr>
                <w:rFonts w:ascii="Times New Roman" w:hAnsi="Times New Roman" w:cs="Times New Roman" w:eastAsia="Times New Roman" w:hint="default"/>
                <w:spacing w:val="-1"/>
                <w:sz w:val="15"/>
                <w:szCs w:val="15"/>
              </w:rPr>
              <w:t>4</w:t>
            </w:r>
            <w:r>
              <w:rPr>
                <w:rFonts w:ascii="宋体" w:hAnsi="宋体" w:cs="宋体" w:eastAsia="宋体" w:hint="default"/>
                <w:spacing w:val="-1"/>
                <w:sz w:val="15"/>
                <w:szCs w:val="15"/>
              </w:rPr>
              <w:t>）若违反上述承诺而参与竞争的，中国电</w:t>
            </w:r>
            <w:r>
              <w:rPr>
                <w:rFonts w:ascii="宋体" w:hAnsi="宋体" w:cs="宋体" w:eastAsia="宋体" w:hint="default"/>
                <w:sz w:val="15"/>
                <w:szCs w:val="15"/>
              </w:rPr>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60"/>
              <w:ind w:left="-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 </w:t>
            </w:r>
            <w:r>
              <w:rPr>
                <w:rFonts w:ascii="宋体" w:hAnsi="宋体" w:cs="宋体" w:eastAsia="宋体" w:hint="default"/>
                <w:sz w:val="18"/>
                <w:szCs w:val="18"/>
              </w:rPr>
              <w:t>年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p>
          <w:p>
            <w:pPr>
              <w:pStyle w:val="TableParagraph"/>
              <w:spacing w:line="240" w:lineRule="auto" w:before="63"/>
              <w:ind w:left="-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4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4"/>
                <w:szCs w:val="24"/>
              </w:rPr>
            </w:pPr>
          </w:p>
          <w:p>
            <w:pPr>
              <w:pStyle w:val="TableParagraph"/>
              <w:spacing w:line="240" w:lineRule="auto"/>
              <w:ind w:left="-1" w:right="0"/>
              <w:jc w:val="left"/>
              <w:rPr>
                <w:rFonts w:ascii="宋体" w:hAnsi="宋体" w:cs="宋体" w:eastAsia="宋体" w:hint="default"/>
                <w:sz w:val="18"/>
                <w:szCs w:val="18"/>
              </w:rPr>
            </w:pPr>
            <w:r>
              <w:rPr>
                <w:rFonts w:ascii="宋体" w:hAnsi="宋体" w:cs="宋体" w:eastAsia="宋体" w:hint="default"/>
                <w:sz w:val="18"/>
                <w:szCs w:val="18"/>
              </w:rPr>
              <w:t>长期有效</w:t>
            </w:r>
          </w:p>
        </w:tc>
        <w:tc>
          <w:tcPr>
            <w:tcW w:w="916"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64"/>
              <w:jc w:val="left"/>
              <w:rPr>
                <w:rFonts w:ascii="宋体" w:hAnsi="宋体" w:cs="宋体" w:eastAsia="宋体" w:hint="default"/>
                <w:sz w:val="18"/>
                <w:szCs w:val="18"/>
              </w:rPr>
            </w:pPr>
            <w:r>
              <w:rPr>
                <w:rFonts w:ascii="宋体" w:hAnsi="宋体" w:cs="宋体" w:eastAsia="宋体" w:hint="default"/>
                <w:spacing w:val="46"/>
                <w:sz w:val="18"/>
                <w:szCs w:val="18"/>
              </w:rPr>
              <w:t>严格履行</w:t>
            </w:r>
            <w:r>
              <w:rPr>
                <w:rFonts w:ascii="宋体" w:hAnsi="宋体" w:cs="宋体" w:eastAsia="宋体" w:hint="default"/>
                <w:spacing w:val="-28"/>
                <w:sz w:val="18"/>
                <w:szCs w:val="18"/>
              </w:rPr>
              <w:t> </w:t>
            </w:r>
            <w:r>
              <w:rPr>
                <w:rFonts w:ascii="宋体" w:hAnsi="宋体" w:cs="宋体" w:eastAsia="宋体" w:hint="default"/>
                <w:sz w:val="18"/>
                <w:szCs w:val="18"/>
              </w:rPr>
            </w:r>
          </w:p>
          <w:p>
            <w:pPr>
              <w:pStyle w:val="TableParagraph"/>
              <w:spacing w:line="316" w:lineRule="auto" w:before="76"/>
              <w:ind w:right="-64"/>
              <w:jc w:val="left"/>
              <w:rPr>
                <w:rFonts w:ascii="宋体" w:hAnsi="宋体" w:cs="宋体" w:eastAsia="宋体" w:hint="default"/>
                <w:sz w:val="18"/>
                <w:szCs w:val="18"/>
              </w:rPr>
            </w:pPr>
            <w:r>
              <w:rPr>
                <w:rFonts w:ascii="宋体" w:hAnsi="宋体" w:cs="宋体" w:eastAsia="宋体" w:hint="default"/>
                <w:sz w:val="18"/>
                <w:szCs w:val="18"/>
              </w:rPr>
              <w:t>（已被重大</w:t>
            </w:r>
            <w:r>
              <w:rPr>
                <w:rFonts w:ascii="宋体" w:hAnsi="宋体" w:cs="宋体" w:eastAsia="宋体" w:hint="default"/>
                <w:spacing w:val="-85"/>
                <w:sz w:val="18"/>
                <w:szCs w:val="18"/>
              </w:rPr>
              <w:t> </w:t>
            </w:r>
            <w:r>
              <w:rPr>
                <w:rFonts w:ascii="宋体" w:hAnsi="宋体" w:cs="宋体" w:eastAsia="宋体" w:hint="default"/>
                <w:sz w:val="18"/>
                <w:szCs w:val="18"/>
              </w:rPr>
              <w:t>资产重组承</w:t>
            </w:r>
            <w:r>
              <w:rPr>
                <w:rFonts w:ascii="宋体" w:hAnsi="宋体" w:cs="宋体" w:eastAsia="宋体" w:hint="default"/>
                <w:spacing w:val="-85"/>
                <w:sz w:val="18"/>
                <w:szCs w:val="18"/>
              </w:rPr>
              <w:t> </w:t>
            </w:r>
            <w:r>
              <w:rPr>
                <w:rFonts w:ascii="宋体" w:hAnsi="宋体" w:cs="宋体" w:eastAsia="宋体" w:hint="default"/>
                <w:spacing w:val="46"/>
                <w:sz w:val="18"/>
                <w:szCs w:val="18"/>
              </w:rPr>
              <w:t>诺继承优</w:t>
            </w:r>
            <w:r>
              <w:rPr>
                <w:rFonts w:ascii="宋体" w:hAnsi="宋体" w:cs="宋体" w:eastAsia="宋体" w:hint="default"/>
                <w:spacing w:val="-28"/>
                <w:sz w:val="18"/>
                <w:szCs w:val="18"/>
              </w:rPr>
              <w:t> </w:t>
            </w:r>
            <w:r>
              <w:rPr>
                <w:rFonts w:ascii="宋体" w:hAnsi="宋体" w:cs="宋体" w:eastAsia="宋体" w:hint="default"/>
                <w:sz w:val="18"/>
                <w:szCs w:val="18"/>
              </w:rPr>
              <w:t>化）</w:t>
            </w:r>
          </w:p>
        </w:tc>
      </w:tr>
      <w:tr>
        <w:trPr>
          <w:trHeight w:val="314" w:hRule="exact"/>
        </w:trPr>
        <w:tc>
          <w:tcPr>
            <w:tcW w:w="1532" w:type="dxa"/>
            <w:tcBorders>
              <w:top w:val="nil" w:sz="6" w:space="0" w:color="auto"/>
              <w:left w:val="single" w:sz="4" w:space="0" w:color="000000"/>
              <w:bottom w:val="single" w:sz="4" w:space="0" w:color="000000"/>
              <w:right w:val="single" w:sz="4" w:space="0" w:color="000000"/>
            </w:tcBorders>
            <w:shd w:val="clear" w:color="auto" w:fill="D3D3D3"/>
          </w:tcPr>
          <w:p>
            <w:pPr/>
          </w:p>
        </w:tc>
        <w:tc>
          <w:tcPr>
            <w:tcW w:w="808"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517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0"/>
              <w:ind w:left="-1" w:right="0"/>
              <w:jc w:val="left"/>
              <w:rPr>
                <w:rFonts w:ascii="宋体" w:hAnsi="宋体" w:cs="宋体" w:eastAsia="宋体" w:hint="default"/>
                <w:sz w:val="15"/>
                <w:szCs w:val="15"/>
              </w:rPr>
            </w:pPr>
            <w:r>
              <w:rPr>
                <w:rFonts w:ascii="宋体" w:hAnsi="宋体" w:cs="宋体" w:eastAsia="宋体" w:hint="default"/>
                <w:sz w:val="15"/>
                <w:szCs w:val="15"/>
              </w:rPr>
              <w:t>子将承担由此给中国长城造成的全部经济损失。</w:t>
            </w:r>
          </w:p>
        </w:tc>
        <w:tc>
          <w:tcPr>
            <w:tcW w:w="1080" w:type="dxa"/>
            <w:tcBorders>
              <w:top w:val="nil" w:sz="6" w:space="0" w:color="auto"/>
              <w:left w:val="single" w:sz="4" w:space="0" w:color="000000"/>
              <w:bottom w:val="nil" w:sz="6" w:space="0" w:color="auto"/>
              <w:right w:val="single" w:sz="4" w:space="0" w:color="000000"/>
            </w:tcBorders>
          </w:tcPr>
          <w:p>
            <w:pPr/>
          </w:p>
        </w:tc>
        <w:tc>
          <w:tcPr>
            <w:tcW w:w="942" w:type="dxa"/>
            <w:tcBorders>
              <w:top w:val="nil" w:sz="6" w:space="0" w:color="auto"/>
              <w:left w:val="single" w:sz="4" w:space="0" w:color="000000"/>
              <w:bottom w:val="nil" w:sz="6" w:space="0" w:color="auto"/>
              <w:right w:val="single" w:sz="4" w:space="0" w:color="000000"/>
            </w:tcBorders>
          </w:tcPr>
          <w:p>
            <w:pPr/>
          </w:p>
        </w:tc>
        <w:tc>
          <w:tcPr>
            <w:tcW w:w="916" w:type="dxa"/>
            <w:tcBorders>
              <w:top w:val="nil" w:sz="6" w:space="0" w:color="auto"/>
              <w:left w:val="single" w:sz="4" w:space="0" w:color="000000"/>
              <w:bottom w:val="nil" w:sz="6" w:space="0" w:color="auto"/>
              <w:right w:val="single" w:sz="4" w:space="0" w:color="000000"/>
            </w:tcBorders>
          </w:tcPr>
          <w:p>
            <w:pPr/>
          </w:p>
        </w:tc>
      </w:tr>
    </w:tbl>
    <w:p>
      <w:pPr>
        <w:spacing w:after="0"/>
        <w:sectPr>
          <w:pgSz w:w="11910" w:h="16840"/>
          <w:pgMar w:header="787" w:footer="982" w:top="1100" w:bottom="1180" w:left="40" w:right="0"/>
        </w:sectPr>
      </w:pPr>
    </w:p>
    <w:p>
      <w:pPr>
        <w:spacing w:line="240" w:lineRule="auto" w:before="10"/>
        <w:rPr>
          <w:rFonts w:ascii="Times New Roman" w:hAnsi="Times New Roman" w:cs="Times New Roman" w:eastAsia="Times New Roman" w:hint="default"/>
          <w:sz w:val="28"/>
          <w:szCs w:val="28"/>
        </w:rPr>
      </w:pPr>
      <w:r>
        <w:rPr/>
        <w:pict>
          <v:shape style="position:absolute;margin-left:177.360001pt;margin-top:151.020004pt;width:263.4pt;height:468pt;mso-position-horizontal-relative:page;mso-position-vertical-relative:page;z-index:-1402168"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3"/>
                    <w:rPr>
                      <w:rFonts w:ascii="Times New Roman" w:hAnsi="Times New Roman" w:cs="Times New Roman" w:eastAsia="Times New Roman" w:hint="default"/>
                      <w:sz w:val="17"/>
                      <w:szCs w:val="17"/>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p>
              </w:txbxContent>
            </v:textbox>
            <w10:wrap type="none"/>
          </v:shape>
        </w:pict>
      </w:r>
      <w:r>
        <w:rPr/>
        <w:pict>
          <v:shape style="position:absolute;margin-left:436.980011pt;margin-top:151.020004pt;width:57.8pt;height:608.9pt;mso-position-horizontal-relative:page;mso-position-vertical-relative:page;z-index:-1402144" type="#_x0000_t202" filled="false" stroked="false">
            <v:textbox inset="0,0,0,0">
              <w:txbxContent>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5"/>
                    <w:rPr>
                      <w:rFonts w:ascii="Times New Roman" w:hAnsi="Times New Roman" w:cs="Times New Roman" w:eastAsia="Times New Roman" w:hint="default"/>
                      <w:sz w:val="13"/>
                      <w:szCs w:val="13"/>
                    </w:rPr>
                  </w:pPr>
                </w:p>
                <w:p>
                  <w:pPr>
                    <w:spacing w:before="0"/>
                    <w:ind w:left="0" w:right="0" w:firstLine="0"/>
                    <w:jc w:val="left"/>
                    <w:rPr>
                      <w:rFonts w:ascii="宋体" w:hAnsi="宋体" w:cs="宋体" w:eastAsia="宋体" w:hint="default"/>
                      <w:sz w:val="15"/>
                      <w:szCs w:val="15"/>
                    </w:rPr>
                  </w:pPr>
                  <w:r>
                    <w:rPr>
                      <w:rFonts w:ascii="宋体" w:hAnsi="宋体" w:cs="宋体" w:eastAsia="宋体" w:hint="default"/>
                      <w:sz w:val="15"/>
                      <w:szCs w:val="15"/>
                    </w:rPr>
                    <w:t>、</w:t>
                  </w: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1"/>
                    <w:rPr>
                      <w:rFonts w:ascii="Times New Roman" w:hAnsi="Times New Roman" w:cs="Times New Roman" w:eastAsia="Times New Roman" w:hint="default"/>
                      <w:sz w:val="11"/>
                      <w:szCs w:val="11"/>
                    </w:rPr>
                  </w:pPr>
                </w:p>
                <w:p>
                  <w:pPr>
                    <w:spacing w:before="0"/>
                    <w:ind w:left="0" w:right="0" w:firstLine="0"/>
                    <w:jc w:val="left"/>
                    <w:rPr>
                      <w:rFonts w:ascii="宋体" w:hAnsi="宋体" w:cs="宋体" w:eastAsia="宋体" w:hint="default"/>
                      <w:sz w:val="15"/>
                      <w:szCs w:val="15"/>
                    </w:rPr>
                  </w:pPr>
                  <w:r>
                    <w:rPr>
                      <w:rFonts w:ascii="宋体" w:hAnsi="宋体" w:cs="宋体" w:eastAsia="宋体" w:hint="default"/>
                      <w:sz w:val="15"/>
                      <w:szCs w:val="15"/>
                    </w:rPr>
                    <w:t>、</w:t>
                  </w: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10"/>
                    <w:rPr>
                      <w:rFonts w:ascii="Times New Roman" w:hAnsi="Times New Roman" w:cs="Times New Roman" w:eastAsia="Times New Roman" w:hint="default"/>
                      <w:sz w:val="18"/>
                      <w:szCs w:val="18"/>
                    </w:rPr>
                  </w:pPr>
                </w:p>
                <w:p>
                  <w:pPr>
                    <w:spacing w:before="0"/>
                    <w:ind w:left="0" w:right="0" w:firstLine="0"/>
                    <w:jc w:val="left"/>
                    <w:rPr>
                      <w:rFonts w:ascii="宋体" w:hAnsi="宋体" w:cs="宋体" w:eastAsia="宋体" w:hint="default"/>
                      <w:sz w:val="15"/>
                      <w:szCs w:val="15"/>
                    </w:rPr>
                  </w:pPr>
                  <w:r>
                    <w:rPr>
                      <w:rFonts w:ascii="宋体" w:hAnsi="宋体" w:cs="宋体" w:eastAsia="宋体" w:hint="default"/>
                      <w:sz w:val="15"/>
                      <w:szCs w:val="15"/>
                    </w:rPr>
                    <w:t>。</w:t>
                  </w: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before="105"/>
                    <w:ind w:left="0" w:right="0" w:firstLine="0"/>
                    <w:jc w:val="left"/>
                    <w:rPr>
                      <w:rFonts w:ascii="宋体" w:hAnsi="宋体" w:cs="宋体" w:eastAsia="宋体" w:hint="default"/>
                      <w:sz w:val="15"/>
                      <w:szCs w:val="15"/>
                    </w:rPr>
                  </w:pPr>
                  <w:r>
                    <w:rPr>
                      <w:rFonts w:ascii="宋体" w:hAnsi="宋体" w:cs="宋体" w:eastAsia="宋体" w:hint="default"/>
                      <w:sz w:val="15"/>
                      <w:szCs w:val="15"/>
                    </w:rPr>
                    <w:t>。</w:t>
                  </w:r>
                </w:p>
              </w:txbxContent>
            </v:textbox>
            <w10:wrap type="none"/>
          </v:shape>
        </w:pict>
      </w:r>
      <w:r>
        <w:rPr/>
        <w:pict>
          <v:group style="position:absolute;margin-left:7.62pt;margin-top:72.480003pt;width:76.150pt;height:687.45pt;mso-position-horizontal-relative:page;mso-position-vertical-relative:page;z-index:-1402120" coordorigin="152,1450" coordsize="1523,13749">
            <v:group style="position:absolute;left:152;top:1450;width:1523;height:1560" coordorigin="152,1450" coordsize="1523,1560">
              <v:shape style="position:absolute;left:152;top:1450;width:1523;height:1560" coordorigin="152,1450" coordsize="1523,1560" path="m152,3010l1675,3010,1675,1450,152,1450,152,3010xe" filled="true" fillcolor="#d3d3d3" stroked="false">
                <v:path arrowok="t"/>
                <v:fill type="solid"/>
              </v:shape>
            </v:group>
            <v:group style="position:absolute;left:152;top:3020;width:1523;height:5777" coordorigin="152,3020" coordsize="1523,5777">
              <v:shape style="position:absolute;left:152;top:3020;width:1523;height:5777" coordorigin="152,3020" coordsize="1523,5777" path="m152,8797l1675,8797,1675,3020,152,3020,152,8797xe" filled="true" fillcolor="#d3d3d3" stroked="false">
                <v:path arrowok="t"/>
                <v:fill type="solid"/>
              </v:shape>
            </v:group>
            <v:group style="position:absolute;left:152;top:8797;width:1523;height:312" coordorigin="152,8797" coordsize="1523,312">
              <v:shape style="position:absolute;left:152;top:8797;width:1523;height:312" coordorigin="152,8797" coordsize="1523,312" path="m152,9109l1675,9109,1675,8797,152,8797,152,9109xe" filled="true" fillcolor="#d3d3d3" stroked="false">
                <v:path arrowok="t"/>
                <v:fill type="solid"/>
              </v:shape>
            </v:group>
            <v:group style="position:absolute;left:152;top:9421;width:1523;height:5777" coordorigin="152,9421" coordsize="1523,5777">
              <v:shape style="position:absolute;left:152;top:9421;width:1523;height:5777" coordorigin="152,9421" coordsize="1523,5777" path="m152,15198l1675,15198,1675,9421,152,9421,152,15198xe" filled="true" fillcolor="#d3d3d3" stroked="false">
                <v:path arrowok="t"/>
                <v:fill type="solid"/>
              </v:shape>
            </v:group>
            <v:group style="position:absolute;left:152;top:9109;width:1523;height:312" coordorigin="152,9109" coordsize="1523,312">
              <v:shape style="position:absolute;left:152;top:9109;width:1523;height:312" coordorigin="152,9109" coordsize="1523,312" path="m152,9421l1675,9421,1675,9109,152,9109,152,9421xe" filled="true" fillcolor="#d3d3d3" stroked="false">
                <v:path arrowok="t"/>
                <v:fill type="solid"/>
              </v:shape>
            </v:group>
            <w10:wrap type="none"/>
          </v:group>
        </w:pict>
      </w:r>
      <w:r>
        <w:rPr/>
        <w:pict>
          <v:group style="position:absolute;margin-left:441.23999pt;margin-top:151.020004pt;width:53.55pt;height:288.850pt;mso-position-horizontal-relative:page;mso-position-vertical-relative:page;z-index:-1402096" coordorigin="8825,3020" coordsize="1071,5777">
            <v:shape style="position:absolute;left:8825;top:3020;width:1071;height:5777" coordorigin="8825,3020" coordsize="1071,5777" path="m8825,8797l9895,8797,9895,3020,8825,3020,8825,8797xe" filled="true" fillcolor="#ffffff" stroked="false">
              <v:path arrowok="t"/>
              <v:fill type="solid"/>
            </v:shape>
            <w10:wrap type="none"/>
          </v:group>
        </w:pict>
      </w:r>
      <w:r>
        <w:rPr/>
        <w:pict>
          <v:group style="position:absolute;margin-left:441.23999pt;margin-top:471.059998pt;width:53.55pt;height:288.850pt;mso-position-horizontal-relative:page;mso-position-vertical-relative:page;z-index:-1402072" coordorigin="8825,9421" coordsize="1071,5777">
            <v:shape style="position:absolute;left:8825;top:9421;width:1071;height:5777" coordorigin="8825,9421" coordsize="1071,5777" path="m8825,15198l9895,15198,9895,9421,8825,9421,8825,15198xe" filled="true" fillcolor="#ffffff" stroked="false">
              <v:path arrowok="t"/>
              <v:fill type="solid"/>
            </v:shape>
            <w10:wrap type="none"/>
          </v:group>
        </w:pict>
      </w:r>
    </w:p>
    <w:tbl>
      <w:tblPr>
        <w:tblW w:w="0" w:type="auto"/>
        <w:jc w:val="left"/>
        <w:tblInd w:w="102" w:type="dxa"/>
        <w:tblLayout w:type="fixed"/>
        <w:tblCellMar>
          <w:top w:w="0" w:type="dxa"/>
          <w:left w:w="0" w:type="dxa"/>
          <w:bottom w:w="0" w:type="dxa"/>
          <w:right w:w="0" w:type="dxa"/>
        </w:tblCellMar>
        <w:tblLook w:val="01E0"/>
      </w:tblPr>
      <w:tblGrid>
        <w:gridCol w:w="1532"/>
        <w:gridCol w:w="808"/>
        <w:gridCol w:w="1156"/>
        <w:gridCol w:w="5177"/>
        <w:gridCol w:w="1080"/>
        <w:gridCol w:w="942"/>
        <w:gridCol w:w="916"/>
      </w:tblGrid>
      <w:tr>
        <w:trPr>
          <w:trHeight w:val="320" w:hRule="exact"/>
        </w:trPr>
        <w:tc>
          <w:tcPr>
            <w:tcW w:w="1532" w:type="dxa"/>
            <w:vMerge w:val="restart"/>
            <w:tcBorders>
              <w:top w:val="single" w:sz="4" w:space="0" w:color="000000"/>
              <w:left w:val="single" w:sz="4" w:space="0" w:color="000000"/>
              <w:right w:val="single" w:sz="4" w:space="0" w:color="000000"/>
            </w:tcBorders>
            <w:shd w:val="clear" w:color="auto" w:fill="D3D3D3"/>
          </w:tcPr>
          <w:p>
            <w:pPr/>
          </w:p>
        </w:tc>
        <w:tc>
          <w:tcPr>
            <w:tcW w:w="808" w:type="dxa"/>
            <w:vMerge w:val="restart"/>
            <w:tcBorders>
              <w:top w:val="nil" w:sz="6" w:space="0" w:color="auto"/>
              <w:left w:val="single" w:sz="4" w:space="0" w:color="000000"/>
              <w:right w:val="single" w:sz="4" w:space="0" w:color="000000"/>
            </w:tcBorders>
          </w:tcPr>
          <w:p>
            <w:pPr/>
          </w:p>
        </w:tc>
        <w:tc>
          <w:tcPr>
            <w:tcW w:w="1156" w:type="dxa"/>
            <w:vMerge w:val="restart"/>
            <w:tcBorders>
              <w:top w:val="single" w:sz="4" w:space="0" w:color="FFFFFF"/>
              <w:left w:val="single" w:sz="4" w:space="0" w:color="000000"/>
              <w:right w:val="single" w:sz="4" w:space="0" w:color="000000"/>
            </w:tcBorders>
          </w:tcPr>
          <w:p>
            <w:pPr/>
          </w:p>
        </w:tc>
        <w:tc>
          <w:tcPr>
            <w:tcW w:w="517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3"/>
              <w:ind w:right="-1"/>
              <w:jc w:val="righ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1</w:t>
            </w:r>
            <w:r>
              <w:rPr>
                <w:rFonts w:ascii="宋体" w:hAnsi="宋体" w:cs="宋体" w:eastAsia="宋体" w:hint="default"/>
                <w:spacing w:val="-3"/>
                <w:sz w:val="15"/>
                <w:szCs w:val="15"/>
              </w:rPr>
              <w:t>）</w:t>
            </w:r>
            <w:r>
              <w:rPr>
                <w:rFonts w:ascii="宋体" w:hAnsi="宋体" w:cs="宋体" w:eastAsia="宋体" w:hint="default"/>
                <w:sz w:val="15"/>
                <w:szCs w:val="15"/>
              </w:rPr>
              <w:t>中国电子</w:t>
            </w:r>
            <w:r>
              <w:rPr>
                <w:rFonts w:ascii="宋体" w:hAnsi="宋体" w:cs="宋体" w:eastAsia="宋体" w:hint="default"/>
                <w:spacing w:val="-2"/>
                <w:sz w:val="15"/>
                <w:szCs w:val="15"/>
              </w:rPr>
              <w:t>将</w:t>
            </w:r>
            <w:r>
              <w:rPr>
                <w:rFonts w:ascii="宋体" w:hAnsi="宋体" w:cs="宋体" w:eastAsia="宋体" w:hint="default"/>
                <w:sz w:val="15"/>
                <w:szCs w:val="15"/>
              </w:rPr>
              <w:t>尽可能减少并规范与中国长城之间的关联交易</w:t>
            </w:r>
            <w:r>
              <w:rPr>
                <w:rFonts w:ascii="宋体" w:hAnsi="宋体" w:cs="宋体" w:eastAsia="宋体" w:hint="default"/>
                <w:spacing w:val="-77"/>
                <w:sz w:val="15"/>
                <w:szCs w:val="15"/>
              </w:rPr>
              <w:t>；</w:t>
            </w:r>
            <w:r>
              <w:rPr>
                <w:rFonts w:ascii="宋体" w:hAnsi="宋体" w:cs="宋体" w:eastAsia="宋体" w:hint="default"/>
                <w:sz w:val="15"/>
                <w:szCs w:val="15"/>
              </w:rPr>
              <w:t>（</w:t>
            </w:r>
            <w:r>
              <w:rPr>
                <w:rFonts w:ascii="Times New Roman" w:hAnsi="Times New Roman" w:cs="Times New Roman" w:eastAsia="Times New Roman" w:hint="default"/>
                <w:sz w:val="15"/>
                <w:szCs w:val="15"/>
              </w:rPr>
              <w:t>2</w:t>
            </w:r>
            <w:r>
              <w:rPr>
                <w:rFonts w:ascii="宋体" w:hAnsi="宋体" w:cs="宋体" w:eastAsia="宋体" w:hint="default"/>
                <w:spacing w:val="-3"/>
                <w:sz w:val="15"/>
                <w:szCs w:val="15"/>
              </w:rPr>
              <w:t>）</w:t>
            </w:r>
            <w:r>
              <w:rPr>
                <w:rFonts w:ascii="宋体" w:hAnsi="宋体" w:cs="宋体" w:eastAsia="宋体" w:hint="default"/>
                <w:spacing w:val="-2"/>
                <w:sz w:val="15"/>
                <w:szCs w:val="15"/>
              </w:rPr>
              <w:t>对</w:t>
            </w:r>
            <w:r>
              <w:rPr>
                <w:rFonts w:ascii="宋体" w:hAnsi="宋体" w:cs="宋体" w:eastAsia="宋体" w:hint="default"/>
                <w:sz w:val="15"/>
                <w:szCs w:val="15"/>
              </w:rPr>
              <w:t>于</w:t>
            </w:r>
          </w:p>
        </w:tc>
        <w:tc>
          <w:tcPr>
            <w:tcW w:w="1080" w:type="dxa"/>
            <w:vMerge w:val="restart"/>
            <w:tcBorders>
              <w:top w:val="nil" w:sz="6" w:space="0" w:color="auto"/>
              <w:left w:val="single" w:sz="4" w:space="0" w:color="000000"/>
              <w:right w:val="single" w:sz="4" w:space="0" w:color="000000"/>
            </w:tcBorders>
          </w:tcPr>
          <w:p>
            <w:pPr/>
          </w:p>
        </w:tc>
        <w:tc>
          <w:tcPr>
            <w:tcW w:w="942" w:type="dxa"/>
            <w:vMerge w:val="restart"/>
            <w:tcBorders>
              <w:top w:val="single" w:sz="4" w:space="0" w:color="FFFFFF"/>
              <w:left w:val="single" w:sz="4" w:space="0" w:color="000000"/>
              <w:right w:val="single" w:sz="4" w:space="0" w:color="000000"/>
            </w:tcBorders>
          </w:tcPr>
          <w:p>
            <w:pPr/>
          </w:p>
        </w:tc>
        <w:tc>
          <w:tcPr>
            <w:tcW w:w="916" w:type="dxa"/>
            <w:vMerge w:val="restart"/>
            <w:tcBorders>
              <w:top w:val="single" w:sz="4" w:space="0" w:color="FFFFFF"/>
              <w:left w:val="single" w:sz="4" w:space="0" w:color="000000"/>
              <w:right w:val="single" w:sz="4" w:space="0" w:color="000000"/>
            </w:tcBorders>
          </w:tcPr>
          <w:p>
            <w:pPr/>
          </w:p>
        </w:tc>
      </w:tr>
      <w:tr>
        <w:trPr>
          <w:trHeight w:val="308" w:hRule="exact"/>
        </w:trPr>
        <w:tc>
          <w:tcPr>
            <w:tcW w:w="1532" w:type="dxa"/>
            <w:vMerge/>
            <w:tcBorders>
              <w:left w:val="single" w:sz="4" w:space="0" w:color="000000"/>
              <w:right w:val="single" w:sz="4" w:space="0" w:color="000000"/>
            </w:tcBorders>
            <w:shd w:val="clear" w:color="auto" w:fill="D3D3D3"/>
          </w:tcPr>
          <w:p>
            <w:pPr/>
          </w:p>
        </w:tc>
        <w:tc>
          <w:tcPr>
            <w:tcW w:w="808" w:type="dxa"/>
            <w:vMerge/>
            <w:tcBorders>
              <w:left w:val="single" w:sz="4" w:space="0" w:color="000000"/>
              <w:right w:val="single" w:sz="4" w:space="0" w:color="000000"/>
            </w:tcBorders>
          </w:tcPr>
          <w:p>
            <w:pPr/>
          </w:p>
        </w:tc>
        <w:tc>
          <w:tcPr>
            <w:tcW w:w="1156" w:type="dxa"/>
            <w:vMerge/>
            <w:tcBorders>
              <w:left w:val="single" w:sz="4" w:space="0" w:color="000000"/>
              <w:right w:val="single" w:sz="4" w:space="0" w:color="000000"/>
            </w:tcBorders>
          </w:tcPr>
          <w:p>
            <w:pPr/>
          </w:p>
        </w:tc>
        <w:tc>
          <w:tcPr>
            <w:tcW w:w="5177" w:type="dxa"/>
            <w:tcBorders>
              <w:top w:val="nil" w:sz="6" w:space="0" w:color="auto"/>
              <w:left w:val="single" w:sz="4" w:space="0" w:color="000000"/>
              <w:bottom w:val="nil" w:sz="6" w:space="0" w:color="auto"/>
              <w:right w:val="single" w:sz="4" w:space="0" w:color="000000"/>
            </w:tcBorders>
          </w:tcPr>
          <w:p>
            <w:pPr>
              <w:pStyle w:val="TableParagraph"/>
              <w:spacing w:line="240" w:lineRule="auto" w:before="30"/>
              <w:ind w:left="-1" w:right="-2"/>
              <w:jc w:val="left"/>
              <w:rPr>
                <w:rFonts w:ascii="宋体" w:hAnsi="宋体" w:cs="宋体" w:eastAsia="宋体" w:hint="default"/>
                <w:sz w:val="15"/>
                <w:szCs w:val="15"/>
              </w:rPr>
            </w:pPr>
            <w:r>
              <w:rPr>
                <w:rFonts w:ascii="宋体" w:hAnsi="宋体" w:cs="宋体" w:eastAsia="宋体" w:hint="default"/>
                <w:sz w:val="15"/>
                <w:szCs w:val="15"/>
              </w:rPr>
              <w:t>确需发生的中国电子及下属企业与中国长城之间的一切交易行为，中国电子将</w:t>
            </w:r>
          </w:p>
        </w:tc>
        <w:tc>
          <w:tcPr>
            <w:tcW w:w="1080" w:type="dxa"/>
            <w:vMerge/>
            <w:tcBorders>
              <w:left w:val="single" w:sz="4" w:space="0" w:color="000000"/>
              <w:right w:val="single" w:sz="4" w:space="0" w:color="000000"/>
            </w:tcBorders>
          </w:tcPr>
          <w:p>
            <w:pPr/>
          </w:p>
        </w:tc>
        <w:tc>
          <w:tcPr>
            <w:tcW w:w="942" w:type="dxa"/>
            <w:vMerge/>
            <w:tcBorders>
              <w:left w:val="single" w:sz="4" w:space="0" w:color="000000"/>
              <w:right w:val="single" w:sz="4" w:space="0" w:color="000000"/>
            </w:tcBorders>
          </w:tcPr>
          <w:p>
            <w:pPr/>
          </w:p>
        </w:tc>
        <w:tc>
          <w:tcPr>
            <w:tcW w:w="916" w:type="dxa"/>
            <w:vMerge/>
            <w:tcBorders>
              <w:left w:val="single" w:sz="4" w:space="0" w:color="000000"/>
              <w:right w:val="single" w:sz="4" w:space="0" w:color="000000"/>
            </w:tcBorders>
          </w:tcPr>
          <w:p>
            <w:pPr/>
          </w:p>
        </w:tc>
      </w:tr>
      <w:tr>
        <w:trPr>
          <w:trHeight w:val="312" w:hRule="exact"/>
        </w:trPr>
        <w:tc>
          <w:tcPr>
            <w:tcW w:w="1532" w:type="dxa"/>
            <w:vMerge/>
            <w:tcBorders>
              <w:left w:val="single" w:sz="4" w:space="0" w:color="000000"/>
              <w:right w:val="single" w:sz="4" w:space="0" w:color="000000"/>
            </w:tcBorders>
            <w:shd w:val="clear" w:color="auto" w:fill="D3D3D3"/>
          </w:tcPr>
          <w:p>
            <w:pPr/>
          </w:p>
        </w:tc>
        <w:tc>
          <w:tcPr>
            <w:tcW w:w="808" w:type="dxa"/>
            <w:vMerge/>
            <w:tcBorders>
              <w:left w:val="single" w:sz="4" w:space="0" w:color="000000"/>
              <w:right w:val="single" w:sz="4" w:space="0" w:color="000000"/>
            </w:tcBorders>
          </w:tcPr>
          <w:p>
            <w:pPr/>
          </w:p>
        </w:tc>
        <w:tc>
          <w:tcPr>
            <w:tcW w:w="1156" w:type="dxa"/>
            <w:vMerge/>
            <w:tcBorders>
              <w:left w:val="single" w:sz="4" w:space="0" w:color="000000"/>
              <w:right w:val="single" w:sz="4" w:space="0" w:color="000000"/>
            </w:tcBorders>
          </w:tcPr>
          <w:p>
            <w:pPr/>
          </w:p>
        </w:tc>
        <w:tc>
          <w:tcPr>
            <w:tcW w:w="5177"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1" w:right="-2"/>
              <w:jc w:val="left"/>
              <w:rPr>
                <w:rFonts w:ascii="宋体" w:hAnsi="宋体" w:cs="宋体" w:eastAsia="宋体" w:hint="default"/>
                <w:sz w:val="15"/>
                <w:szCs w:val="15"/>
              </w:rPr>
            </w:pPr>
            <w:r>
              <w:rPr>
                <w:rFonts w:ascii="宋体" w:hAnsi="宋体" w:cs="宋体" w:eastAsia="宋体" w:hint="default"/>
                <w:sz w:val="15"/>
                <w:szCs w:val="15"/>
              </w:rPr>
              <w:t>严格履行法定程序，依法及时进行信息披露，严格遵循市场规则，本着平等互</w:t>
            </w:r>
          </w:p>
        </w:tc>
        <w:tc>
          <w:tcPr>
            <w:tcW w:w="1080" w:type="dxa"/>
            <w:vMerge/>
            <w:tcBorders>
              <w:left w:val="single" w:sz="4" w:space="0" w:color="000000"/>
              <w:right w:val="single" w:sz="4" w:space="0" w:color="000000"/>
            </w:tcBorders>
          </w:tcPr>
          <w:p>
            <w:pPr/>
          </w:p>
        </w:tc>
        <w:tc>
          <w:tcPr>
            <w:tcW w:w="942" w:type="dxa"/>
            <w:vMerge/>
            <w:tcBorders>
              <w:left w:val="single" w:sz="4" w:space="0" w:color="000000"/>
              <w:right w:val="single" w:sz="4" w:space="0" w:color="000000"/>
            </w:tcBorders>
          </w:tcPr>
          <w:p>
            <w:pPr/>
          </w:p>
        </w:tc>
        <w:tc>
          <w:tcPr>
            <w:tcW w:w="916" w:type="dxa"/>
            <w:vMerge/>
            <w:tcBorders>
              <w:left w:val="single" w:sz="4" w:space="0" w:color="000000"/>
              <w:right w:val="single" w:sz="4" w:space="0" w:color="000000"/>
            </w:tcBorders>
          </w:tcPr>
          <w:p>
            <w:pPr/>
          </w:p>
        </w:tc>
      </w:tr>
      <w:tr>
        <w:trPr>
          <w:trHeight w:val="312" w:hRule="exact"/>
        </w:trPr>
        <w:tc>
          <w:tcPr>
            <w:tcW w:w="1532" w:type="dxa"/>
            <w:vMerge/>
            <w:tcBorders>
              <w:left w:val="single" w:sz="4" w:space="0" w:color="000000"/>
              <w:right w:val="single" w:sz="4" w:space="0" w:color="000000"/>
            </w:tcBorders>
            <w:shd w:val="clear" w:color="auto" w:fill="D3D3D3"/>
          </w:tcPr>
          <w:p>
            <w:pPr/>
          </w:p>
        </w:tc>
        <w:tc>
          <w:tcPr>
            <w:tcW w:w="808" w:type="dxa"/>
            <w:vMerge/>
            <w:tcBorders>
              <w:left w:val="single" w:sz="4" w:space="0" w:color="000000"/>
              <w:right w:val="single" w:sz="4" w:space="0" w:color="000000"/>
            </w:tcBorders>
          </w:tcPr>
          <w:p>
            <w:pPr/>
          </w:p>
        </w:tc>
        <w:tc>
          <w:tcPr>
            <w:tcW w:w="1156" w:type="dxa"/>
            <w:vMerge/>
            <w:tcBorders>
              <w:left w:val="single" w:sz="4" w:space="0" w:color="000000"/>
              <w:right w:val="single" w:sz="4" w:space="0" w:color="000000"/>
            </w:tcBorders>
          </w:tcPr>
          <w:p>
            <w:pPr/>
          </w:p>
        </w:tc>
        <w:tc>
          <w:tcPr>
            <w:tcW w:w="5177"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1" w:right="-2"/>
              <w:jc w:val="left"/>
              <w:rPr>
                <w:rFonts w:ascii="宋体" w:hAnsi="宋体" w:cs="宋体" w:eastAsia="宋体" w:hint="default"/>
                <w:sz w:val="15"/>
                <w:szCs w:val="15"/>
              </w:rPr>
            </w:pPr>
            <w:r>
              <w:rPr>
                <w:rFonts w:ascii="宋体" w:hAnsi="宋体" w:cs="宋体" w:eastAsia="宋体" w:hint="default"/>
                <w:sz w:val="15"/>
                <w:szCs w:val="15"/>
              </w:rPr>
              <w:t>利、等价有偿的一般商业原则，公平合理的进行，保证不通过关联交易取得任</w:t>
            </w:r>
          </w:p>
        </w:tc>
        <w:tc>
          <w:tcPr>
            <w:tcW w:w="1080" w:type="dxa"/>
            <w:vMerge/>
            <w:tcBorders>
              <w:left w:val="single" w:sz="4" w:space="0" w:color="000000"/>
              <w:right w:val="single" w:sz="4" w:space="0" w:color="000000"/>
            </w:tcBorders>
          </w:tcPr>
          <w:p>
            <w:pPr/>
          </w:p>
        </w:tc>
        <w:tc>
          <w:tcPr>
            <w:tcW w:w="942" w:type="dxa"/>
            <w:vMerge/>
            <w:tcBorders>
              <w:left w:val="single" w:sz="4" w:space="0" w:color="000000"/>
              <w:right w:val="single" w:sz="4" w:space="0" w:color="000000"/>
            </w:tcBorders>
          </w:tcPr>
          <w:p>
            <w:pPr/>
          </w:p>
        </w:tc>
        <w:tc>
          <w:tcPr>
            <w:tcW w:w="916" w:type="dxa"/>
            <w:vMerge/>
            <w:tcBorders>
              <w:left w:val="single" w:sz="4" w:space="0" w:color="000000"/>
              <w:right w:val="single" w:sz="4" w:space="0" w:color="000000"/>
            </w:tcBorders>
          </w:tcPr>
          <w:p>
            <w:pPr/>
          </w:p>
        </w:tc>
      </w:tr>
      <w:tr>
        <w:trPr>
          <w:trHeight w:val="318" w:hRule="exact"/>
        </w:trPr>
        <w:tc>
          <w:tcPr>
            <w:tcW w:w="1532" w:type="dxa"/>
            <w:vMerge/>
            <w:tcBorders>
              <w:left w:val="single" w:sz="4" w:space="0" w:color="000000"/>
              <w:bottom w:val="single" w:sz="4" w:space="0" w:color="000000"/>
              <w:right w:val="single" w:sz="4" w:space="0" w:color="000000"/>
            </w:tcBorders>
            <w:shd w:val="clear" w:color="auto" w:fill="D3D3D3"/>
          </w:tcPr>
          <w:p>
            <w:pPr/>
          </w:p>
        </w:tc>
        <w:tc>
          <w:tcPr>
            <w:tcW w:w="808" w:type="dxa"/>
            <w:vMerge/>
            <w:tcBorders>
              <w:left w:val="single" w:sz="4" w:space="0" w:color="000000"/>
              <w:bottom w:val="single" w:sz="4" w:space="0" w:color="000000"/>
              <w:right w:val="single" w:sz="4" w:space="0" w:color="000000"/>
            </w:tcBorders>
          </w:tcPr>
          <w:p>
            <w:pPr/>
          </w:p>
        </w:tc>
        <w:tc>
          <w:tcPr>
            <w:tcW w:w="1156" w:type="dxa"/>
            <w:vMerge/>
            <w:tcBorders>
              <w:left w:val="single" w:sz="4" w:space="0" w:color="000000"/>
              <w:bottom w:val="single" w:sz="4" w:space="0" w:color="000000"/>
              <w:right w:val="single" w:sz="4" w:space="0" w:color="000000"/>
            </w:tcBorders>
          </w:tcPr>
          <w:p>
            <w:pPr/>
          </w:p>
        </w:tc>
        <w:tc>
          <w:tcPr>
            <w:tcW w:w="517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4"/>
              <w:ind w:left="-1" w:right="0"/>
              <w:jc w:val="left"/>
              <w:rPr>
                <w:rFonts w:ascii="宋体" w:hAnsi="宋体" w:cs="宋体" w:eastAsia="宋体" w:hint="default"/>
                <w:sz w:val="15"/>
                <w:szCs w:val="15"/>
              </w:rPr>
            </w:pPr>
            <w:r>
              <w:rPr>
                <w:rFonts w:ascii="宋体" w:hAnsi="宋体" w:cs="宋体" w:eastAsia="宋体" w:hint="default"/>
                <w:sz w:val="15"/>
                <w:szCs w:val="15"/>
              </w:rPr>
              <w:t>何不当的利益或使中国长城承担任何不当的责任和义务。</w:t>
            </w:r>
          </w:p>
        </w:tc>
        <w:tc>
          <w:tcPr>
            <w:tcW w:w="1080" w:type="dxa"/>
            <w:vMerge/>
            <w:tcBorders>
              <w:left w:val="single" w:sz="4" w:space="0" w:color="000000"/>
              <w:bottom w:val="single" w:sz="4" w:space="0" w:color="000000"/>
              <w:right w:val="single" w:sz="4" w:space="0" w:color="000000"/>
            </w:tcBorders>
          </w:tcPr>
          <w:p>
            <w:pPr/>
          </w:p>
        </w:tc>
        <w:tc>
          <w:tcPr>
            <w:tcW w:w="942" w:type="dxa"/>
            <w:vMerge/>
            <w:tcBorders>
              <w:left w:val="single" w:sz="4" w:space="0" w:color="000000"/>
              <w:bottom w:val="single" w:sz="4" w:space="0" w:color="000000"/>
              <w:right w:val="single" w:sz="4" w:space="0" w:color="000000"/>
            </w:tcBorders>
          </w:tcPr>
          <w:p>
            <w:pPr/>
          </w:p>
        </w:tc>
        <w:tc>
          <w:tcPr>
            <w:tcW w:w="916" w:type="dxa"/>
            <w:vMerge/>
            <w:tcBorders>
              <w:left w:val="single" w:sz="4" w:space="0" w:color="000000"/>
              <w:bottom w:val="single" w:sz="4" w:space="0" w:color="000000"/>
              <w:right w:val="single" w:sz="4" w:space="0" w:color="000000"/>
            </w:tcBorders>
          </w:tcPr>
          <w:p>
            <w:pPr/>
          </w:p>
        </w:tc>
      </w:tr>
      <w:tr>
        <w:trPr>
          <w:trHeight w:val="317" w:hRule="exact"/>
        </w:trPr>
        <w:tc>
          <w:tcPr>
            <w:tcW w:w="1532" w:type="dxa"/>
            <w:tcBorders>
              <w:top w:val="single" w:sz="4" w:space="0" w:color="000000"/>
              <w:left w:val="single" w:sz="4" w:space="0" w:color="000000"/>
              <w:bottom w:val="nil" w:sz="6" w:space="0" w:color="auto"/>
              <w:right w:val="single" w:sz="4" w:space="0" w:color="000000"/>
            </w:tcBorders>
            <w:shd w:val="clear" w:color="auto" w:fill="D3D3D3"/>
          </w:tcPr>
          <w:p>
            <w:pPr/>
          </w:p>
        </w:tc>
        <w:tc>
          <w:tcPr>
            <w:tcW w:w="808" w:type="dxa"/>
            <w:tcBorders>
              <w:top w:val="single" w:sz="4" w:space="0" w:color="000000"/>
              <w:left w:val="single" w:sz="4" w:space="0" w:color="000000"/>
              <w:bottom w:val="nil" w:sz="6" w:space="0" w:color="auto"/>
              <w:right w:val="single" w:sz="4" w:space="0" w:color="000000"/>
            </w:tcBorders>
          </w:tcPr>
          <w:p>
            <w:pPr/>
          </w:p>
        </w:tc>
        <w:tc>
          <w:tcPr>
            <w:tcW w:w="1156" w:type="dxa"/>
            <w:tcBorders>
              <w:top w:val="single" w:sz="4" w:space="0" w:color="000000"/>
              <w:left w:val="single" w:sz="4" w:space="0" w:color="000000"/>
              <w:bottom w:val="nil" w:sz="6" w:space="0" w:color="auto"/>
              <w:right w:val="single" w:sz="4" w:space="0" w:color="000000"/>
            </w:tcBorders>
          </w:tcPr>
          <w:p>
            <w:pPr/>
          </w:p>
        </w:tc>
        <w:tc>
          <w:tcPr>
            <w:tcW w:w="517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4"/>
              <w:ind w:right="-3"/>
              <w:jc w:val="right"/>
              <w:rPr>
                <w:rFonts w:ascii="宋体" w:hAnsi="宋体" w:cs="宋体" w:eastAsia="宋体" w:hint="default"/>
                <w:sz w:val="15"/>
                <w:szCs w:val="15"/>
              </w:rPr>
            </w:pPr>
            <w:r>
              <w:rPr>
                <w:rFonts w:ascii="宋体" w:hAnsi="宋体" w:cs="宋体" w:eastAsia="宋体" w:hint="default"/>
                <w:sz w:val="15"/>
                <w:szCs w:val="15"/>
              </w:rPr>
              <w:t>截至承诺出具日，中国电子及其控股企业未直接或者间接从事任何与中国</w:t>
            </w:r>
          </w:p>
        </w:tc>
        <w:tc>
          <w:tcPr>
            <w:tcW w:w="1080" w:type="dxa"/>
            <w:tcBorders>
              <w:top w:val="single" w:sz="4" w:space="0" w:color="000000"/>
              <w:left w:val="single" w:sz="4" w:space="0" w:color="000000"/>
              <w:bottom w:val="nil" w:sz="6" w:space="0" w:color="auto"/>
              <w:right w:val="single" w:sz="4" w:space="0" w:color="000000"/>
            </w:tcBorders>
          </w:tcPr>
          <w:p>
            <w:pPr/>
          </w:p>
        </w:tc>
        <w:tc>
          <w:tcPr>
            <w:tcW w:w="942" w:type="dxa"/>
            <w:tcBorders>
              <w:top w:val="single" w:sz="4" w:space="0" w:color="000000"/>
              <w:left w:val="single" w:sz="4" w:space="0" w:color="000000"/>
              <w:bottom w:val="nil" w:sz="6" w:space="0" w:color="auto"/>
              <w:right w:val="single" w:sz="4" w:space="0" w:color="000000"/>
            </w:tcBorders>
          </w:tcPr>
          <w:p>
            <w:pPr/>
          </w:p>
        </w:tc>
        <w:tc>
          <w:tcPr>
            <w:tcW w:w="916"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1532" w:type="dxa"/>
            <w:tcBorders>
              <w:top w:val="nil" w:sz="6" w:space="0" w:color="auto"/>
              <w:left w:val="single" w:sz="4" w:space="0" w:color="000000"/>
              <w:bottom w:val="nil" w:sz="6" w:space="0" w:color="auto"/>
              <w:right w:val="single" w:sz="4" w:space="0" w:color="000000"/>
            </w:tcBorders>
            <w:shd w:val="clear" w:color="auto" w:fill="D3D3D3"/>
          </w:tcPr>
          <w:p>
            <w:pPr/>
          </w:p>
        </w:tc>
        <w:tc>
          <w:tcPr>
            <w:tcW w:w="808"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5177"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1" w:right="-2"/>
              <w:jc w:val="left"/>
              <w:rPr>
                <w:rFonts w:ascii="宋体" w:hAnsi="宋体" w:cs="宋体" w:eastAsia="宋体" w:hint="default"/>
                <w:sz w:val="15"/>
                <w:szCs w:val="15"/>
              </w:rPr>
            </w:pPr>
            <w:r>
              <w:rPr>
                <w:rFonts w:ascii="宋体" w:hAnsi="宋体" w:cs="宋体" w:eastAsia="宋体" w:hint="default"/>
                <w:sz w:val="15"/>
                <w:szCs w:val="15"/>
              </w:rPr>
              <w:t>长城、长城信息及其控股企业现有业务构成实质同业竞争的生产经营活动，与</w:t>
            </w:r>
          </w:p>
        </w:tc>
        <w:tc>
          <w:tcPr>
            <w:tcW w:w="1080" w:type="dxa"/>
            <w:tcBorders>
              <w:top w:val="nil" w:sz="6" w:space="0" w:color="auto"/>
              <w:left w:val="single" w:sz="4" w:space="0" w:color="000000"/>
              <w:bottom w:val="nil" w:sz="6" w:space="0" w:color="auto"/>
              <w:right w:val="single" w:sz="4" w:space="0" w:color="000000"/>
            </w:tcBorders>
          </w:tcPr>
          <w:p>
            <w:pPr/>
          </w:p>
        </w:tc>
        <w:tc>
          <w:tcPr>
            <w:tcW w:w="942" w:type="dxa"/>
            <w:tcBorders>
              <w:top w:val="nil" w:sz="6" w:space="0" w:color="auto"/>
              <w:left w:val="single" w:sz="4" w:space="0" w:color="000000"/>
              <w:bottom w:val="nil" w:sz="6" w:space="0" w:color="auto"/>
              <w:right w:val="single" w:sz="4" w:space="0" w:color="000000"/>
            </w:tcBorders>
          </w:tcPr>
          <w:p>
            <w:pPr/>
          </w:p>
        </w:tc>
        <w:tc>
          <w:tcPr>
            <w:tcW w:w="91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532" w:type="dxa"/>
            <w:tcBorders>
              <w:top w:val="nil" w:sz="6" w:space="0" w:color="auto"/>
              <w:left w:val="single" w:sz="4" w:space="0" w:color="000000"/>
              <w:bottom w:val="nil" w:sz="6" w:space="0" w:color="auto"/>
              <w:right w:val="single" w:sz="4" w:space="0" w:color="000000"/>
            </w:tcBorders>
            <w:shd w:val="clear" w:color="auto" w:fill="D3D3D3"/>
          </w:tcPr>
          <w:p>
            <w:pPr/>
          </w:p>
        </w:tc>
        <w:tc>
          <w:tcPr>
            <w:tcW w:w="808"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5177"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1" w:right="-2"/>
              <w:jc w:val="left"/>
              <w:rPr>
                <w:rFonts w:ascii="宋体" w:hAnsi="宋体" w:cs="宋体" w:eastAsia="宋体" w:hint="default"/>
                <w:sz w:val="15"/>
                <w:szCs w:val="15"/>
              </w:rPr>
            </w:pPr>
            <w:r>
              <w:rPr>
                <w:rFonts w:ascii="宋体" w:hAnsi="宋体" w:cs="宋体" w:eastAsia="宋体" w:hint="default"/>
                <w:sz w:val="15"/>
                <w:szCs w:val="15"/>
              </w:rPr>
              <w:t>中国长城、长城信息及其控股企业不存在实质同业竞争的情形。中国长城与冠</w:t>
            </w:r>
          </w:p>
        </w:tc>
        <w:tc>
          <w:tcPr>
            <w:tcW w:w="1080" w:type="dxa"/>
            <w:tcBorders>
              <w:top w:val="nil" w:sz="6" w:space="0" w:color="auto"/>
              <w:left w:val="single" w:sz="4" w:space="0" w:color="000000"/>
              <w:bottom w:val="nil" w:sz="6" w:space="0" w:color="auto"/>
              <w:right w:val="single" w:sz="4" w:space="0" w:color="000000"/>
            </w:tcBorders>
          </w:tcPr>
          <w:p>
            <w:pPr/>
          </w:p>
        </w:tc>
        <w:tc>
          <w:tcPr>
            <w:tcW w:w="942" w:type="dxa"/>
            <w:tcBorders>
              <w:top w:val="nil" w:sz="6" w:space="0" w:color="auto"/>
              <w:left w:val="single" w:sz="4" w:space="0" w:color="000000"/>
              <w:bottom w:val="nil" w:sz="6" w:space="0" w:color="auto"/>
              <w:right w:val="single" w:sz="4" w:space="0" w:color="000000"/>
            </w:tcBorders>
          </w:tcPr>
          <w:p>
            <w:pPr/>
          </w:p>
        </w:tc>
        <w:tc>
          <w:tcPr>
            <w:tcW w:w="91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532" w:type="dxa"/>
            <w:tcBorders>
              <w:top w:val="nil" w:sz="6" w:space="0" w:color="auto"/>
              <w:left w:val="single" w:sz="4" w:space="0" w:color="000000"/>
              <w:bottom w:val="nil" w:sz="6" w:space="0" w:color="auto"/>
              <w:right w:val="single" w:sz="4" w:space="0" w:color="000000"/>
            </w:tcBorders>
            <w:shd w:val="clear" w:color="auto" w:fill="D3D3D3"/>
          </w:tcPr>
          <w:p>
            <w:pPr/>
          </w:p>
        </w:tc>
        <w:tc>
          <w:tcPr>
            <w:tcW w:w="808"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5177"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1" w:right="0"/>
              <w:jc w:val="left"/>
              <w:rPr>
                <w:rFonts w:ascii="宋体" w:hAnsi="宋体" w:cs="宋体" w:eastAsia="宋体" w:hint="default"/>
                <w:sz w:val="15"/>
                <w:szCs w:val="15"/>
              </w:rPr>
            </w:pPr>
            <w:r>
              <w:rPr>
                <w:rFonts w:ascii="宋体" w:hAnsi="宋体" w:cs="宋体" w:eastAsia="宋体" w:hint="default"/>
                <w:sz w:val="15"/>
                <w:szCs w:val="15"/>
              </w:rPr>
              <w:t>捷科技不存在实质同业竞争的情形。</w:t>
            </w:r>
          </w:p>
        </w:tc>
        <w:tc>
          <w:tcPr>
            <w:tcW w:w="1080" w:type="dxa"/>
            <w:tcBorders>
              <w:top w:val="nil" w:sz="6" w:space="0" w:color="auto"/>
              <w:left w:val="single" w:sz="4" w:space="0" w:color="000000"/>
              <w:bottom w:val="nil" w:sz="6" w:space="0" w:color="auto"/>
              <w:right w:val="single" w:sz="4" w:space="0" w:color="000000"/>
            </w:tcBorders>
          </w:tcPr>
          <w:p>
            <w:pPr/>
          </w:p>
        </w:tc>
        <w:tc>
          <w:tcPr>
            <w:tcW w:w="942" w:type="dxa"/>
            <w:tcBorders>
              <w:top w:val="nil" w:sz="6" w:space="0" w:color="auto"/>
              <w:left w:val="single" w:sz="4" w:space="0" w:color="000000"/>
              <w:bottom w:val="nil" w:sz="6" w:space="0" w:color="auto"/>
              <w:right w:val="single" w:sz="4" w:space="0" w:color="000000"/>
            </w:tcBorders>
          </w:tcPr>
          <w:p>
            <w:pPr/>
          </w:p>
        </w:tc>
        <w:tc>
          <w:tcPr>
            <w:tcW w:w="91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532" w:type="dxa"/>
            <w:tcBorders>
              <w:top w:val="nil" w:sz="6" w:space="0" w:color="auto"/>
              <w:left w:val="single" w:sz="4" w:space="0" w:color="000000"/>
              <w:bottom w:val="nil" w:sz="6" w:space="0" w:color="auto"/>
              <w:right w:val="single" w:sz="4" w:space="0" w:color="000000"/>
            </w:tcBorders>
            <w:shd w:val="clear" w:color="auto" w:fill="D3D3D3"/>
          </w:tcPr>
          <w:p>
            <w:pPr/>
          </w:p>
        </w:tc>
        <w:tc>
          <w:tcPr>
            <w:tcW w:w="808"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5177"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299" w:right="0"/>
              <w:jc w:val="left"/>
              <w:rPr>
                <w:rFonts w:ascii="宋体" w:hAnsi="宋体" w:cs="宋体" w:eastAsia="宋体" w:hint="default"/>
                <w:sz w:val="15"/>
                <w:szCs w:val="15"/>
              </w:rPr>
            </w:pPr>
            <w:r>
              <w:rPr>
                <w:rFonts w:ascii="宋体" w:hAnsi="宋体" w:cs="宋体" w:eastAsia="宋体" w:hint="default"/>
                <w:sz w:val="15"/>
                <w:szCs w:val="15"/>
              </w:rPr>
              <w:t>本次交易完成后，中国电子及其控股企业不会以控股、参股、联营、合作</w:t>
            </w:r>
          </w:p>
        </w:tc>
        <w:tc>
          <w:tcPr>
            <w:tcW w:w="1080" w:type="dxa"/>
            <w:tcBorders>
              <w:top w:val="nil" w:sz="6" w:space="0" w:color="auto"/>
              <w:left w:val="single" w:sz="4" w:space="0" w:color="000000"/>
              <w:bottom w:val="nil" w:sz="6" w:space="0" w:color="auto"/>
              <w:right w:val="single" w:sz="4" w:space="0" w:color="000000"/>
            </w:tcBorders>
          </w:tcPr>
          <w:p>
            <w:pPr/>
          </w:p>
        </w:tc>
        <w:tc>
          <w:tcPr>
            <w:tcW w:w="942" w:type="dxa"/>
            <w:tcBorders>
              <w:top w:val="nil" w:sz="6" w:space="0" w:color="auto"/>
              <w:left w:val="single" w:sz="4" w:space="0" w:color="000000"/>
              <w:bottom w:val="nil" w:sz="6" w:space="0" w:color="auto"/>
              <w:right w:val="single" w:sz="4" w:space="0" w:color="000000"/>
            </w:tcBorders>
          </w:tcPr>
          <w:p>
            <w:pPr/>
          </w:p>
        </w:tc>
        <w:tc>
          <w:tcPr>
            <w:tcW w:w="91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532" w:type="dxa"/>
            <w:tcBorders>
              <w:top w:val="nil" w:sz="6" w:space="0" w:color="auto"/>
              <w:left w:val="single" w:sz="4" w:space="0" w:color="000000"/>
              <w:bottom w:val="nil" w:sz="6" w:space="0" w:color="auto"/>
              <w:right w:val="single" w:sz="4" w:space="0" w:color="000000"/>
            </w:tcBorders>
            <w:shd w:val="clear" w:color="auto" w:fill="D3D3D3"/>
          </w:tcPr>
          <w:p>
            <w:pPr/>
          </w:p>
        </w:tc>
        <w:tc>
          <w:tcPr>
            <w:tcW w:w="808"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5177"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1" w:right="-2"/>
              <w:jc w:val="left"/>
              <w:rPr>
                <w:rFonts w:ascii="宋体" w:hAnsi="宋体" w:cs="宋体" w:eastAsia="宋体" w:hint="default"/>
                <w:sz w:val="15"/>
                <w:szCs w:val="15"/>
              </w:rPr>
            </w:pPr>
            <w:r>
              <w:rPr>
                <w:rFonts w:ascii="宋体" w:hAnsi="宋体" w:cs="宋体" w:eastAsia="宋体" w:hint="default"/>
                <w:sz w:val="15"/>
                <w:szCs w:val="15"/>
              </w:rPr>
              <w:t>合伙、承包、租赁等任何形式，直接、间接或代表任何人士、公司或单位在任</w:t>
            </w:r>
          </w:p>
        </w:tc>
        <w:tc>
          <w:tcPr>
            <w:tcW w:w="1080" w:type="dxa"/>
            <w:tcBorders>
              <w:top w:val="nil" w:sz="6" w:space="0" w:color="auto"/>
              <w:left w:val="single" w:sz="4" w:space="0" w:color="000000"/>
              <w:bottom w:val="nil" w:sz="6" w:space="0" w:color="auto"/>
              <w:right w:val="single" w:sz="4" w:space="0" w:color="000000"/>
            </w:tcBorders>
          </w:tcPr>
          <w:p>
            <w:pPr/>
          </w:p>
        </w:tc>
        <w:tc>
          <w:tcPr>
            <w:tcW w:w="942" w:type="dxa"/>
            <w:tcBorders>
              <w:top w:val="nil" w:sz="6" w:space="0" w:color="auto"/>
              <w:left w:val="single" w:sz="4" w:space="0" w:color="000000"/>
              <w:bottom w:val="nil" w:sz="6" w:space="0" w:color="auto"/>
              <w:right w:val="single" w:sz="4" w:space="0" w:color="000000"/>
            </w:tcBorders>
          </w:tcPr>
          <w:p>
            <w:pPr/>
          </w:p>
        </w:tc>
        <w:tc>
          <w:tcPr>
            <w:tcW w:w="91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532" w:type="dxa"/>
            <w:tcBorders>
              <w:top w:val="nil" w:sz="6" w:space="0" w:color="auto"/>
              <w:left w:val="single" w:sz="4" w:space="0" w:color="000000"/>
              <w:bottom w:val="nil" w:sz="6" w:space="0" w:color="auto"/>
              <w:right w:val="single" w:sz="4" w:space="0" w:color="000000"/>
            </w:tcBorders>
            <w:shd w:val="clear" w:color="auto" w:fill="D3D3D3"/>
          </w:tcPr>
          <w:p>
            <w:pPr/>
          </w:p>
        </w:tc>
        <w:tc>
          <w:tcPr>
            <w:tcW w:w="808"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5177"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1" w:right="-2"/>
              <w:jc w:val="left"/>
              <w:rPr>
                <w:rFonts w:ascii="宋体" w:hAnsi="宋体" w:cs="宋体" w:eastAsia="宋体" w:hint="default"/>
                <w:sz w:val="15"/>
                <w:szCs w:val="15"/>
              </w:rPr>
            </w:pPr>
            <w:r>
              <w:rPr>
                <w:rFonts w:ascii="宋体" w:hAnsi="宋体" w:cs="宋体" w:eastAsia="宋体" w:hint="default"/>
                <w:sz w:val="15"/>
                <w:szCs w:val="15"/>
              </w:rPr>
              <w:t>何地区，从事与中国长城或其控股企业实质相同或者相似的业务。中国电子保</w:t>
            </w:r>
          </w:p>
        </w:tc>
        <w:tc>
          <w:tcPr>
            <w:tcW w:w="1080" w:type="dxa"/>
            <w:tcBorders>
              <w:top w:val="nil" w:sz="6" w:space="0" w:color="auto"/>
              <w:left w:val="single" w:sz="4" w:space="0" w:color="000000"/>
              <w:bottom w:val="nil" w:sz="6" w:space="0" w:color="auto"/>
              <w:right w:val="single" w:sz="4" w:space="0" w:color="000000"/>
            </w:tcBorders>
          </w:tcPr>
          <w:p>
            <w:pPr/>
          </w:p>
        </w:tc>
        <w:tc>
          <w:tcPr>
            <w:tcW w:w="942" w:type="dxa"/>
            <w:tcBorders>
              <w:top w:val="nil" w:sz="6" w:space="0" w:color="auto"/>
              <w:left w:val="single" w:sz="4" w:space="0" w:color="000000"/>
              <w:bottom w:val="nil" w:sz="6" w:space="0" w:color="auto"/>
              <w:right w:val="single" w:sz="4" w:space="0" w:color="000000"/>
            </w:tcBorders>
          </w:tcPr>
          <w:p>
            <w:pPr/>
          </w:p>
        </w:tc>
        <w:tc>
          <w:tcPr>
            <w:tcW w:w="91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532" w:type="dxa"/>
            <w:tcBorders>
              <w:top w:val="nil" w:sz="6" w:space="0" w:color="auto"/>
              <w:left w:val="single" w:sz="4" w:space="0" w:color="000000"/>
              <w:bottom w:val="nil" w:sz="6" w:space="0" w:color="auto"/>
              <w:right w:val="single" w:sz="4" w:space="0" w:color="000000"/>
            </w:tcBorders>
            <w:shd w:val="clear" w:color="auto" w:fill="D3D3D3"/>
          </w:tcPr>
          <w:p>
            <w:pPr/>
          </w:p>
        </w:tc>
        <w:tc>
          <w:tcPr>
            <w:tcW w:w="808"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5177"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1" w:right="-2"/>
              <w:jc w:val="left"/>
              <w:rPr>
                <w:rFonts w:ascii="宋体" w:hAnsi="宋体" w:cs="宋体" w:eastAsia="宋体" w:hint="default"/>
                <w:sz w:val="15"/>
                <w:szCs w:val="15"/>
              </w:rPr>
            </w:pPr>
            <w:r>
              <w:rPr>
                <w:rFonts w:ascii="宋体" w:hAnsi="宋体" w:cs="宋体" w:eastAsia="宋体" w:hint="default"/>
                <w:sz w:val="15"/>
                <w:szCs w:val="15"/>
              </w:rPr>
              <w:t>证不利用控股地位损害中国长城及中国长城其他股东的合法权益，也不利用控</w:t>
            </w:r>
          </w:p>
        </w:tc>
        <w:tc>
          <w:tcPr>
            <w:tcW w:w="1080" w:type="dxa"/>
            <w:tcBorders>
              <w:top w:val="nil" w:sz="6" w:space="0" w:color="auto"/>
              <w:left w:val="single" w:sz="4" w:space="0" w:color="000000"/>
              <w:bottom w:val="nil" w:sz="6" w:space="0" w:color="auto"/>
              <w:right w:val="single" w:sz="4" w:space="0" w:color="000000"/>
            </w:tcBorders>
          </w:tcPr>
          <w:p>
            <w:pPr/>
          </w:p>
        </w:tc>
        <w:tc>
          <w:tcPr>
            <w:tcW w:w="942" w:type="dxa"/>
            <w:tcBorders>
              <w:top w:val="nil" w:sz="6" w:space="0" w:color="auto"/>
              <w:left w:val="single" w:sz="4" w:space="0" w:color="000000"/>
              <w:bottom w:val="nil" w:sz="6" w:space="0" w:color="auto"/>
              <w:right w:val="single" w:sz="4" w:space="0" w:color="000000"/>
            </w:tcBorders>
          </w:tcPr>
          <w:p>
            <w:pPr/>
          </w:p>
        </w:tc>
        <w:tc>
          <w:tcPr>
            <w:tcW w:w="91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532" w:type="dxa"/>
            <w:tcBorders>
              <w:top w:val="nil" w:sz="6" w:space="0" w:color="auto"/>
              <w:left w:val="single" w:sz="4" w:space="0" w:color="000000"/>
              <w:bottom w:val="nil" w:sz="6" w:space="0" w:color="auto"/>
              <w:right w:val="single" w:sz="4" w:space="0" w:color="000000"/>
            </w:tcBorders>
            <w:shd w:val="clear" w:color="auto" w:fill="D3D3D3"/>
          </w:tcPr>
          <w:p>
            <w:pPr/>
          </w:p>
        </w:tc>
        <w:tc>
          <w:tcPr>
            <w:tcW w:w="808"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5177"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1" w:right="0"/>
              <w:jc w:val="left"/>
              <w:rPr>
                <w:rFonts w:ascii="宋体" w:hAnsi="宋体" w:cs="宋体" w:eastAsia="宋体" w:hint="default"/>
                <w:sz w:val="15"/>
                <w:szCs w:val="15"/>
              </w:rPr>
            </w:pPr>
            <w:r>
              <w:rPr>
                <w:rFonts w:ascii="宋体" w:hAnsi="宋体" w:cs="宋体" w:eastAsia="宋体" w:hint="default"/>
                <w:sz w:val="15"/>
                <w:szCs w:val="15"/>
              </w:rPr>
              <w:t>股地位谋取额外的利益。</w:t>
            </w:r>
          </w:p>
        </w:tc>
        <w:tc>
          <w:tcPr>
            <w:tcW w:w="1080" w:type="dxa"/>
            <w:tcBorders>
              <w:top w:val="nil" w:sz="6" w:space="0" w:color="auto"/>
              <w:left w:val="single" w:sz="4" w:space="0" w:color="000000"/>
              <w:bottom w:val="nil" w:sz="6" w:space="0" w:color="auto"/>
              <w:right w:val="single" w:sz="4" w:space="0" w:color="000000"/>
            </w:tcBorders>
          </w:tcPr>
          <w:p>
            <w:pPr/>
          </w:p>
        </w:tc>
        <w:tc>
          <w:tcPr>
            <w:tcW w:w="942" w:type="dxa"/>
            <w:tcBorders>
              <w:top w:val="nil" w:sz="6" w:space="0" w:color="auto"/>
              <w:left w:val="single" w:sz="4" w:space="0" w:color="000000"/>
              <w:bottom w:val="nil" w:sz="6" w:space="0" w:color="auto"/>
              <w:right w:val="single" w:sz="4" w:space="0" w:color="000000"/>
            </w:tcBorders>
          </w:tcPr>
          <w:p>
            <w:pPr/>
          </w:p>
        </w:tc>
        <w:tc>
          <w:tcPr>
            <w:tcW w:w="91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532" w:type="dxa"/>
            <w:tcBorders>
              <w:top w:val="nil" w:sz="6" w:space="0" w:color="auto"/>
              <w:left w:val="single" w:sz="4" w:space="0" w:color="000000"/>
              <w:bottom w:val="nil" w:sz="6" w:space="0" w:color="auto"/>
              <w:right w:val="single" w:sz="4" w:space="0" w:color="000000"/>
            </w:tcBorders>
            <w:shd w:val="clear" w:color="auto" w:fill="D3D3D3"/>
          </w:tcPr>
          <w:p>
            <w:pPr/>
          </w:p>
        </w:tc>
        <w:tc>
          <w:tcPr>
            <w:tcW w:w="808"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5177"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3"/>
              <w:jc w:val="right"/>
              <w:rPr>
                <w:rFonts w:ascii="宋体" w:hAnsi="宋体" w:cs="宋体" w:eastAsia="宋体" w:hint="default"/>
                <w:sz w:val="15"/>
                <w:szCs w:val="15"/>
              </w:rPr>
            </w:pPr>
            <w:r>
              <w:rPr>
                <w:rFonts w:ascii="宋体" w:hAnsi="宋体" w:cs="宋体" w:eastAsia="宋体" w:hint="default"/>
                <w:sz w:val="15"/>
                <w:szCs w:val="15"/>
              </w:rPr>
              <w:t>本次交易完成后，如果中国电子或中国电子除中国长城外的控股企业发现</w:t>
            </w:r>
          </w:p>
        </w:tc>
        <w:tc>
          <w:tcPr>
            <w:tcW w:w="1080" w:type="dxa"/>
            <w:tcBorders>
              <w:top w:val="nil" w:sz="6" w:space="0" w:color="auto"/>
              <w:left w:val="single" w:sz="4" w:space="0" w:color="000000"/>
              <w:bottom w:val="nil" w:sz="6" w:space="0" w:color="auto"/>
              <w:right w:val="single" w:sz="4" w:space="0" w:color="000000"/>
            </w:tcBorders>
          </w:tcPr>
          <w:p>
            <w:pPr/>
          </w:p>
        </w:tc>
        <w:tc>
          <w:tcPr>
            <w:tcW w:w="942" w:type="dxa"/>
            <w:tcBorders>
              <w:top w:val="nil" w:sz="6" w:space="0" w:color="auto"/>
              <w:left w:val="single" w:sz="4" w:space="0" w:color="000000"/>
              <w:bottom w:val="nil" w:sz="6" w:space="0" w:color="auto"/>
              <w:right w:val="single" w:sz="4" w:space="0" w:color="000000"/>
            </w:tcBorders>
          </w:tcPr>
          <w:p>
            <w:pPr/>
          </w:p>
        </w:tc>
        <w:tc>
          <w:tcPr>
            <w:tcW w:w="91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532" w:type="dxa"/>
            <w:tcBorders>
              <w:top w:val="nil" w:sz="6" w:space="0" w:color="auto"/>
              <w:left w:val="single" w:sz="4" w:space="0" w:color="000000"/>
              <w:bottom w:val="nil" w:sz="6" w:space="0" w:color="auto"/>
              <w:right w:val="single" w:sz="4" w:space="0" w:color="000000"/>
            </w:tcBorders>
            <w:shd w:val="clear" w:color="auto" w:fill="D3D3D3"/>
          </w:tcPr>
          <w:p>
            <w:pPr/>
          </w:p>
        </w:tc>
        <w:tc>
          <w:tcPr>
            <w:tcW w:w="808"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5177"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1" w:right="-2"/>
              <w:jc w:val="left"/>
              <w:rPr>
                <w:rFonts w:ascii="宋体" w:hAnsi="宋体" w:cs="宋体" w:eastAsia="宋体" w:hint="default"/>
                <w:sz w:val="15"/>
                <w:szCs w:val="15"/>
              </w:rPr>
            </w:pPr>
            <w:r>
              <w:rPr>
                <w:rFonts w:ascii="宋体" w:hAnsi="宋体" w:cs="宋体" w:eastAsia="宋体" w:hint="default"/>
                <w:sz w:val="15"/>
                <w:szCs w:val="15"/>
              </w:rPr>
              <w:t>任何与中国长城或其控股企业主营业务构成或可能构成直接或间接竞争关系的</w:t>
            </w:r>
          </w:p>
        </w:tc>
        <w:tc>
          <w:tcPr>
            <w:tcW w:w="1080" w:type="dxa"/>
            <w:tcBorders>
              <w:top w:val="nil" w:sz="6" w:space="0" w:color="auto"/>
              <w:left w:val="single" w:sz="4" w:space="0" w:color="000000"/>
              <w:bottom w:val="nil" w:sz="6" w:space="0" w:color="auto"/>
              <w:right w:val="single" w:sz="4" w:space="0" w:color="000000"/>
            </w:tcBorders>
          </w:tcPr>
          <w:p>
            <w:pPr/>
          </w:p>
        </w:tc>
        <w:tc>
          <w:tcPr>
            <w:tcW w:w="942" w:type="dxa"/>
            <w:tcBorders>
              <w:top w:val="nil" w:sz="6" w:space="0" w:color="auto"/>
              <w:left w:val="single" w:sz="4" w:space="0" w:color="000000"/>
              <w:bottom w:val="nil" w:sz="6" w:space="0" w:color="auto"/>
              <w:right w:val="single" w:sz="4" w:space="0" w:color="000000"/>
            </w:tcBorders>
          </w:tcPr>
          <w:p>
            <w:pPr/>
          </w:p>
        </w:tc>
        <w:tc>
          <w:tcPr>
            <w:tcW w:w="91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532" w:type="dxa"/>
            <w:tcBorders>
              <w:top w:val="nil" w:sz="6" w:space="0" w:color="auto"/>
              <w:left w:val="single" w:sz="4" w:space="0" w:color="000000"/>
              <w:bottom w:val="nil" w:sz="6" w:space="0" w:color="auto"/>
              <w:right w:val="single" w:sz="4" w:space="0" w:color="000000"/>
            </w:tcBorders>
            <w:shd w:val="clear" w:color="auto" w:fill="D3D3D3"/>
          </w:tcPr>
          <w:p>
            <w:pPr/>
          </w:p>
        </w:tc>
        <w:tc>
          <w:tcPr>
            <w:tcW w:w="808"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5177"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1" w:right="-2"/>
              <w:jc w:val="left"/>
              <w:rPr>
                <w:rFonts w:ascii="宋体" w:hAnsi="宋体" w:cs="宋体" w:eastAsia="宋体" w:hint="default"/>
                <w:sz w:val="15"/>
                <w:szCs w:val="15"/>
              </w:rPr>
            </w:pPr>
            <w:r>
              <w:rPr>
                <w:rFonts w:ascii="宋体" w:hAnsi="宋体" w:cs="宋体" w:eastAsia="宋体" w:hint="default"/>
                <w:sz w:val="15"/>
                <w:szCs w:val="15"/>
              </w:rPr>
              <w:t>新业务机会，将立即书面通知中国长城，并尽力促使该业务机会按合理和公平</w:t>
            </w:r>
          </w:p>
        </w:tc>
        <w:tc>
          <w:tcPr>
            <w:tcW w:w="1080" w:type="dxa"/>
            <w:tcBorders>
              <w:top w:val="nil" w:sz="6" w:space="0" w:color="auto"/>
              <w:left w:val="single" w:sz="4" w:space="0" w:color="000000"/>
              <w:bottom w:val="nil" w:sz="6" w:space="0" w:color="auto"/>
              <w:right w:val="single" w:sz="4" w:space="0" w:color="000000"/>
            </w:tcBorders>
          </w:tcPr>
          <w:p>
            <w:pPr/>
          </w:p>
        </w:tc>
        <w:tc>
          <w:tcPr>
            <w:tcW w:w="942" w:type="dxa"/>
            <w:tcBorders>
              <w:top w:val="nil" w:sz="6" w:space="0" w:color="auto"/>
              <w:left w:val="single" w:sz="4" w:space="0" w:color="000000"/>
              <w:bottom w:val="nil" w:sz="6" w:space="0" w:color="auto"/>
              <w:right w:val="single" w:sz="4" w:space="0" w:color="000000"/>
            </w:tcBorders>
          </w:tcPr>
          <w:p>
            <w:pPr/>
          </w:p>
        </w:tc>
        <w:tc>
          <w:tcPr>
            <w:tcW w:w="91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532" w:type="dxa"/>
            <w:tcBorders>
              <w:top w:val="nil" w:sz="6" w:space="0" w:color="auto"/>
              <w:left w:val="single" w:sz="4" w:space="0" w:color="000000"/>
              <w:bottom w:val="nil" w:sz="6" w:space="0" w:color="auto"/>
              <w:right w:val="single" w:sz="4" w:space="0" w:color="000000"/>
            </w:tcBorders>
            <w:shd w:val="clear" w:color="auto" w:fill="D3D3D3"/>
          </w:tcPr>
          <w:p>
            <w:pPr/>
          </w:p>
        </w:tc>
        <w:tc>
          <w:tcPr>
            <w:tcW w:w="808"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5177"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1" w:right="0"/>
              <w:jc w:val="left"/>
              <w:rPr>
                <w:rFonts w:ascii="宋体" w:hAnsi="宋体" w:cs="宋体" w:eastAsia="宋体" w:hint="default"/>
                <w:sz w:val="15"/>
                <w:szCs w:val="15"/>
              </w:rPr>
            </w:pPr>
            <w:r>
              <w:rPr>
                <w:rFonts w:ascii="宋体" w:hAnsi="宋体" w:cs="宋体" w:eastAsia="宋体" w:hint="default"/>
                <w:sz w:val="15"/>
                <w:szCs w:val="15"/>
              </w:rPr>
              <w:t>的条款和条件首先提供给中国长城或其控股企业。</w:t>
            </w:r>
          </w:p>
        </w:tc>
        <w:tc>
          <w:tcPr>
            <w:tcW w:w="1080" w:type="dxa"/>
            <w:tcBorders>
              <w:top w:val="nil" w:sz="6" w:space="0" w:color="auto"/>
              <w:left w:val="single" w:sz="4" w:space="0" w:color="000000"/>
              <w:bottom w:val="nil" w:sz="6" w:space="0" w:color="auto"/>
              <w:right w:val="single" w:sz="4" w:space="0" w:color="000000"/>
            </w:tcBorders>
          </w:tcPr>
          <w:p>
            <w:pPr/>
          </w:p>
        </w:tc>
        <w:tc>
          <w:tcPr>
            <w:tcW w:w="942" w:type="dxa"/>
            <w:tcBorders>
              <w:top w:val="nil" w:sz="6" w:space="0" w:color="auto"/>
              <w:left w:val="single" w:sz="4" w:space="0" w:color="000000"/>
              <w:bottom w:val="nil" w:sz="6" w:space="0" w:color="auto"/>
              <w:right w:val="single" w:sz="4" w:space="0" w:color="000000"/>
            </w:tcBorders>
          </w:tcPr>
          <w:p>
            <w:pPr/>
          </w:p>
        </w:tc>
        <w:tc>
          <w:tcPr>
            <w:tcW w:w="91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532" w:type="dxa"/>
            <w:tcBorders>
              <w:top w:val="nil" w:sz="6" w:space="0" w:color="auto"/>
              <w:left w:val="single" w:sz="4" w:space="0" w:color="000000"/>
              <w:bottom w:val="nil" w:sz="6" w:space="0" w:color="auto"/>
              <w:right w:val="single" w:sz="4" w:space="0" w:color="000000"/>
            </w:tcBorders>
            <w:shd w:val="clear" w:color="auto" w:fill="D3D3D3"/>
          </w:tcPr>
          <w:p>
            <w:pPr/>
          </w:p>
        </w:tc>
        <w:tc>
          <w:tcPr>
            <w:tcW w:w="808"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5177"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3"/>
              <w:jc w:val="right"/>
              <w:rPr>
                <w:rFonts w:ascii="宋体" w:hAnsi="宋体" w:cs="宋体" w:eastAsia="宋体" w:hint="default"/>
                <w:sz w:val="15"/>
                <w:szCs w:val="15"/>
              </w:rPr>
            </w:pPr>
            <w:r>
              <w:rPr>
                <w:rFonts w:ascii="宋体" w:hAnsi="宋体" w:cs="宋体" w:eastAsia="宋体" w:hint="default"/>
                <w:sz w:val="15"/>
                <w:szCs w:val="15"/>
              </w:rPr>
              <w:t>本次交易完成后，如果中国长城或其控股企业放弃上述竞争性新业务机会</w:t>
            </w:r>
          </w:p>
        </w:tc>
        <w:tc>
          <w:tcPr>
            <w:tcW w:w="1080" w:type="dxa"/>
            <w:tcBorders>
              <w:top w:val="nil" w:sz="6" w:space="0" w:color="auto"/>
              <w:left w:val="single" w:sz="4" w:space="0" w:color="000000"/>
              <w:bottom w:val="nil" w:sz="6" w:space="0" w:color="auto"/>
              <w:right w:val="single" w:sz="4" w:space="0" w:color="000000"/>
            </w:tcBorders>
          </w:tcPr>
          <w:p>
            <w:pPr/>
          </w:p>
        </w:tc>
        <w:tc>
          <w:tcPr>
            <w:tcW w:w="942" w:type="dxa"/>
            <w:tcBorders>
              <w:top w:val="nil" w:sz="6" w:space="0" w:color="auto"/>
              <w:left w:val="single" w:sz="4" w:space="0" w:color="000000"/>
              <w:bottom w:val="nil" w:sz="6" w:space="0" w:color="auto"/>
              <w:right w:val="single" w:sz="4" w:space="0" w:color="000000"/>
            </w:tcBorders>
          </w:tcPr>
          <w:p>
            <w:pPr/>
          </w:p>
        </w:tc>
        <w:tc>
          <w:tcPr>
            <w:tcW w:w="91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532" w:type="dxa"/>
            <w:tcBorders>
              <w:top w:val="nil" w:sz="6" w:space="0" w:color="auto"/>
              <w:left w:val="single" w:sz="4" w:space="0" w:color="000000"/>
              <w:bottom w:val="nil" w:sz="6" w:space="0" w:color="auto"/>
              <w:right w:val="single" w:sz="4" w:space="0" w:color="000000"/>
            </w:tcBorders>
            <w:shd w:val="clear" w:color="auto" w:fill="D3D3D3"/>
          </w:tcPr>
          <w:p>
            <w:pPr/>
          </w:p>
        </w:tc>
        <w:tc>
          <w:tcPr>
            <w:tcW w:w="808"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5177"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1" w:right="-2"/>
              <w:jc w:val="left"/>
              <w:rPr>
                <w:rFonts w:ascii="宋体" w:hAnsi="宋体" w:cs="宋体" w:eastAsia="宋体" w:hint="default"/>
                <w:sz w:val="15"/>
                <w:szCs w:val="15"/>
              </w:rPr>
            </w:pPr>
            <w:r>
              <w:rPr>
                <w:rFonts w:ascii="宋体" w:hAnsi="宋体" w:cs="宋体" w:eastAsia="宋体" w:hint="default"/>
                <w:sz w:val="15"/>
                <w:szCs w:val="15"/>
              </w:rPr>
              <w:t>且中国电子或中国电子除中国长城以外的控股企业从事该等竞争性业务，则中</w:t>
            </w:r>
          </w:p>
        </w:tc>
        <w:tc>
          <w:tcPr>
            <w:tcW w:w="1080" w:type="dxa"/>
            <w:tcBorders>
              <w:top w:val="nil" w:sz="6" w:space="0" w:color="auto"/>
              <w:left w:val="single" w:sz="4" w:space="0" w:color="000000"/>
              <w:bottom w:val="nil" w:sz="6" w:space="0" w:color="auto"/>
              <w:right w:val="single" w:sz="4" w:space="0" w:color="000000"/>
            </w:tcBorders>
          </w:tcPr>
          <w:p>
            <w:pPr/>
          </w:p>
        </w:tc>
        <w:tc>
          <w:tcPr>
            <w:tcW w:w="942" w:type="dxa"/>
            <w:tcBorders>
              <w:top w:val="nil" w:sz="6" w:space="0" w:color="auto"/>
              <w:left w:val="single" w:sz="4" w:space="0" w:color="000000"/>
              <w:bottom w:val="nil" w:sz="6" w:space="0" w:color="auto"/>
              <w:right w:val="single" w:sz="4" w:space="0" w:color="000000"/>
            </w:tcBorders>
          </w:tcPr>
          <w:p>
            <w:pPr/>
          </w:p>
        </w:tc>
        <w:tc>
          <w:tcPr>
            <w:tcW w:w="91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532" w:type="dxa"/>
            <w:tcBorders>
              <w:top w:val="nil" w:sz="6" w:space="0" w:color="auto"/>
              <w:left w:val="single" w:sz="4" w:space="0" w:color="000000"/>
              <w:bottom w:val="nil" w:sz="6" w:space="0" w:color="auto"/>
              <w:right w:val="single" w:sz="4" w:space="0" w:color="000000"/>
            </w:tcBorders>
            <w:shd w:val="clear" w:color="auto" w:fill="D3D3D3"/>
          </w:tcPr>
          <w:p>
            <w:pPr/>
          </w:p>
        </w:tc>
        <w:tc>
          <w:tcPr>
            <w:tcW w:w="808"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5177"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1" w:right="-2"/>
              <w:jc w:val="left"/>
              <w:rPr>
                <w:rFonts w:ascii="宋体" w:hAnsi="宋体" w:cs="宋体" w:eastAsia="宋体" w:hint="default"/>
                <w:sz w:val="15"/>
                <w:szCs w:val="15"/>
              </w:rPr>
            </w:pPr>
            <w:r>
              <w:rPr>
                <w:rFonts w:ascii="宋体" w:hAnsi="宋体" w:cs="宋体" w:eastAsia="宋体" w:hint="default"/>
                <w:sz w:val="15"/>
                <w:szCs w:val="15"/>
              </w:rPr>
              <w:t>国长城或其控股企业有权随时一次性或分多次向中国电子或中国电子除中国长</w:t>
            </w:r>
          </w:p>
        </w:tc>
        <w:tc>
          <w:tcPr>
            <w:tcW w:w="1080" w:type="dxa"/>
            <w:tcBorders>
              <w:top w:val="nil" w:sz="6" w:space="0" w:color="auto"/>
              <w:left w:val="single" w:sz="4" w:space="0" w:color="000000"/>
              <w:bottom w:val="nil" w:sz="6" w:space="0" w:color="auto"/>
              <w:right w:val="single" w:sz="4" w:space="0" w:color="000000"/>
            </w:tcBorders>
          </w:tcPr>
          <w:p>
            <w:pPr/>
          </w:p>
        </w:tc>
        <w:tc>
          <w:tcPr>
            <w:tcW w:w="942" w:type="dxa"/>
            <w:tcBorders>
              <w:top w:val="nil" w:sz="6" w:space="0" w:color="auto"/>
              <w:left w:val="single" w:sz="4" w:space="0" w:color="000000"/>
              <w:bottom w:val="nil" w:sz="6" w:space="0" w:color="auto"/>
              <w:right w:val="single" w:sz="4" w:space="0" w:color="000000"/>
            </w:tcBorders>
          </w:tcPr>
          <w:p>
            <w:pPr/>
          </w:p>
        </w:tc>
        <w:tc>
          <w:tcPr>
            <w:tcW w:w="91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532" w:type="dxa"/>
            <w:tcBorders>
              <w:top w:val="nil" w:sz="6" w:space="0" w:color="auto"/>
              <w:left w:val="single" w:sz="4" w:space="0" w:color="000000"/>
              <w:bottom w:val="nil" w:sz="6" w:space="0" w:color="auto"/>
              <w:right w:val="single" w:sz="4" w:space="0" w:color="000000"/>
            </w:tcBorders>
            <w:shd w:val="clear" w:color="auto" w:fill="D3D3D3"/>
          </w:tcPr>
          <w:p>
            <w:pPr/>
          </w:p>
        </w:tc>
        <w:tc>
          <w:tcPr>
            <w:tcW w:w="808"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5177"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1" w:right="-2"/>
              <w:jc w:val="left"/>
              <w:rPr>
                <w:rFonts w:ascii="宋体" w:hAnsi="宋体" w:cs="宋体" w:eastAsia="宋体" w:hint="default"/>
                <w:sz w:val="15"/>
                <w:szCs w:val="15"/>
              </w:rPr>
            </w:pPr>
            <w:r>
              <w:rPr>
                <w:rFonts w:ascii="宋体" w:hAnsi="宋体" w:cs="宋体" w:eastAsia="宋体" w:hint="default"/>
                <w:sz w:val="15"/>
                <w:szCs w:val="15"/>
              </w:rPr>
              <w:t>城以外的控股企业收购在上述竞争性业务中的任何股权、资产及其他权益，或</w:t>
            </w:r>
          </w:p>
        </w:tc>
        <w:tc>
          <w:tcPr>
            <w:tcW w:w="1080" w:type="dxa"/>
            <w:tcBorders>
              <w:top w:val="nil" w:sz="6" w:space="0" w:color="auto"/>
              <w:left w:val="single" w:sz="4" w:space="0" w:color="000000"/>
              <w:bottom w:val="nil" w:sz="6" w:space="0" w:color="auto"/>
              <w:right w:val="single" w:sz="4" w:space="0" w:color="000000"/>
            </w:tcBorders>
          </w:tcPr>
          <w:p>
            <w:pPr/>
          </w:p>
        </w:tc>
        <w:tc>
          <w:tcPr>
            <w:tcW w:w="942" w:type="dxa"/>
            <w:tcBorders>
              <w:top w:val="nil" w:sz="6" w:space="0" w:color="auto"/>
              <w:left w:val="single" w:sz="4" w:space="0" w:color="000000"/>
              <w:bottom w:val="nil" w:sz="6" w:space="0" w:color="auto"/>
              <w:right w:val="single" w:sz="4" w:space="0" w:color="000000"/>
            </w:tcBorders>
          </w:tcPr>
          <w:p>
            <w:pPr/>
          </w:p>
        </w:tc>
        <w:tc>
          <w:tcPr>
            <w:tcW w:w="916" w:type="dxa"/>
            <w:tcBorders>
              <w:top w:val="nil" w:sz="6" w:space="0" w:color="auto"/>
              <w:left w:val="single" w:sz="4" w:space="0" w:color="000000"/>
              <w:bottom w:val="nil" w:sz="6" w:space="0" w:color="auto"/>
              <w:right w:val="single" w:sz="4" w:space="0" w:color="000000"/>
            </w:tcBorders>
          </w:tcPr>
          <w:p>
            <w:pPr/>
          </w:p>
        </w:tc>
      </w:tr>
      <w:tr>
        <w:trPr>
          <w:trHeight w:val="230" w:hRule="exact"/>
        </w:trPr>
        <w:tc>
          <w:tcPr>
            <w:tcW w:w="1532" w:type="dxa"/>
            <w:tcBorders>
              <w:top w:val="nil" w:sz="6" w:space="0" w:color="auto"/>
              <w:left w:val="single" w:sz="4" w:space="0" w:color="000000"/>
              <w:bottom w:val="nil" w:sz="6" w:space="0" w:color="auto"/>
              <w:right w:val="single" w:sz="4" w:space="0" w:color="000000"/>
            </w:tcBorders>
            <w:shd w:val="clear" w:color="auto" w:fill="D3D3D3"/>
          </w:tcPr>
          <w:p>
            <w:pPr/>
          </w:p>
        </w:tc>
        <w:tc>
          <w:tcPr>
            <w:tcW w:w="808"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5177"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1" w:right="-2"/>
              <w:jc w:val="left"/>
              <w:rPr>
                <w:rFonts w:ascii="宋体" w:hAnsi="宋体" w:cs="宋体" w:eastAsia="宋体" w:hint="default"/>
                <w:sz w:val="15"/>
                <w:szCs w:val="15"/>
              </w:rPr>
            </w:pPr>
            <w:r>
              <w:rPr>
                <w:rFonts w:ascii="宋体" w:hAnsi="宋体" w:cs="宋体" w:eastAsia="宋体" w:hint="default"/>
                <w:sz w:val="15"/>
                <w:szCs w:val="15"/>
              </w:rPr>
              <w:t>由中国长城根据国家法律法规许可的方式选择委托经营、租赁或承包经营中国</w:t>
            </w:r>
          </w:p>
        </w:tc>
        <w:tc>
          <w:tcPr>
            <w:tcW w:w="1080" w:type="dxa"/>
            <w:tcBorders>
              <w:top w:val="nil" w:sz="6" w:space="0" w:color="auto"/>
              <w:left w:val="single" w:sz="4" w:space="0" w:color="000000"/>
              <w:bottom w:val="nil" w:sz="6" w:space="0" w:color="auto"/>
              <w:right w:val="single" w:sz="4" w:space="0" w:color="000000"/>
            </w:tcBorders>
          </w:tcPr>
          <w:p>
            <w:pPr/>
          </w:p>
        </w:tc>
        <w:tc>
          <w:tcPr>
            <w:tcW w:w="942" w:type="dxa"/>
            <w:tcBorders>
              <w:top w:val="nil" w:sz="6" w:space="0" w:color="auto"/>
              <w:left w:val="single" w:sz="4" w:space="0" w:color="000000"/>
              <w:bottom w:val="nil" w:sz="6" w:space="0" w:color="auto"/>
              <w:right w:val="single" w:sz="4" w:space="0" w:color="000000"/>
            </w:tcBorders>
          </w:tcPr>
          <w:p>
            <w:pPr/>
          </w:p>
        </w:tc>
        <w:tc>
          <w:tcPr>
            <w:tcW w:w="91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532" w:type="dxa"/>
            <w:tcBorders>
              <w:top w:val="nil" w:sz="6" w:space="0" w:color="auto"/>
              <w:left w:val="single" w:sz="4" w:space="0" w:color="000000"/>
              <w:bottom w:val="nil" w:sz="6" w:space="0" w:color="auto"/>
              <w:right w:val="single" w:sz="4" w:space="0" w:color="000000"/>
            </w:tcBorders>
            <w:shd w:val="clear" w:color="auto" w:fill="D3D3D3"/>
          </w:tcPr>
          <w:p>
            <w:pPr/>
          </w:p>
        </w:tc>
        <w:tc>
          <w:tcPr>
            <w:tcW w:w="808"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Style w:val="TableParagraph"/>
              <w:spacing w:line="179" w:lineRule="exact"/>
              <w:ind w:right="0"/>
              <w:jc w:val="left"/>
              <w:rPr>
                <w:rFonts w:ascii="宋体" w:hAnsi="宋体" w:cs="宋体" w:eastAsia="宋体" w:hint="default"/>
                <w:sz w:val="18"/>
                <w:szCs w:val="18"/>
              </w:rPr>
            </w:pPr>
            <w:r>
              <w:rPr>
                <w:rFonts w:ascii="宋体" w:hAnsi="宋体" w:cs="宋体" w:eastAsia="宋体" w:hint="default"/>
                <w:sz w:val="18"/>
                <w:szCs w:val="18"/>
              </w:rPr>
              <w:t>关于同业竞</w:t>
            </w:r>
          </w:p>
        </w:tc>
        <w:tc>
          <w:tcPr>
            <w:tcW w:w="5177" w:type="dxa"/>
            <w:tcBorders>
              <w:top w:val="nil" w:sz="6" w:space="0" w:color="auto"/>
              <w:left w:val="single" w:sz="4" w:space="0" w:color="000000"/>
              <w:bottom w:val="nil" w:sz="6" w:space="0" w:color="auto"/>
              <w:right w:val="single" w:sz="4" w:space="0" w:color="000000"/>
            </w:tcBorders>
          </w:tcPr>
          <w:p>
            <w:pPr>
              <w:pStyle w:val="TableParagraph"/>
              <w:spacing w:line="240" w:lineRule="auto" w:before="117"/>
              <w:ind w:left="-1" w:right="-3"/>
              <w:jc w:val="left"/>
              <w:rPr>
                <w:rFonts w:ascii="宋体" w:hAnsi="宋体" w:cs="宋体" w:eastAsia="宋体" w:hint="default"/>
                <w:sz w:val="15"/>
                <w:szCs w:val="15"/>
              </w:rPr>
            </w:pPr>
            <w:r>
              <w:rPr>
                <w:rFonts w:ascii="宋体" w:hAnsi="宋体" w:cs="宋体" w:eastAsia="宋体" w:hint="default"/>
                <w:spacing w:val="6"/>
                <w:sz w:val="15"/>
                <w:szCs w:val="15"/>
              </w:rPr>
              <w:t>电子或中国电子除中国长城以外的控股企业在上述竞争性业务中的资产或业</w:t>
            </w:r>
          </w:p>
        </w:tc>
        <w:tc>
          <w:tcPr>
            <w:tcW w:w="1080" w:type="dxa"/>
            <w:tcBorders>
              <w:top w:val="nil" w:sz="6" w:space="0" w:color="auto"/>
              <w:left w:val="single" w:sz="4" w:space="0" w:color="000000"/>
              <w:bottom w:val="nil" w:sz="6" w:space="0" w:color="auto"/>
              <w:right w:val="single" w:sz="4" w:space="0" w:color="000000"/>
            </w:tcBorders>
          </w:tcPr>
          <w:p>
            <w:pPr/>
          </w:p>
        </w:tc>
        <w:tc>
          <w:tcPr>
            <w:tcW w:w="942" w:type="dxa"/>
            <w:tcBorders>
              <w:top w:val="nil" w:sz="6" w:space="0" w:color="auto"/>
              <w:left w:val="single" w:sz="4" w:space="0" w:color="000000"/>
              <w:bottom w:val="nil" w:sz="6" w:space="0" w:color="auto"/>
              <w:right w:val="single" w:sz="4" w:space="0" w:color="000000"/>
            </w:tcBorders>
          </w:tcPr>
          <w:p>
            <w:pPr/>
          </w:p>
        </w:tc>
        <w:tc>
          <w:tcPr>
            <w:tcW w:w="916" w:type="dxa"/>
            <w:tcBorders>
              <w:top w:val="nil" w:sz="6" w:space="0" w:color="auto"/>
              <w:left w:val="single" w:sz="4" w:space="0" w:color="000000"/>
              <w:bottom w:val="nil" w:sz="6" w:space="0" w:color="auto"/>
              <w:right w:val="single" w:sz="4" w:space="0" w:color="000000"/>
            </w:tcBorders>
          </w:tcPr>
          <w:p>
            <w:pPr/>
          </w:p>
        </w:tc>
      </w:tr>
      <w:tr>
        <w:trPr>
          <w:trHeight w:val="624" w:hRule="exact"/>
        </w:trPr>
        <w:tc>
          <w:tcPr>
            <w:tcW w:w="1532"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179" w:lineRule="exact"/>
              <w:ind w:left="-1" w:right="0"/>
              <w:jc w:val="left"/>
              <w:rPr>
                <w:rFonts w:ascii="宋体" w:hAnsi="宋体" w:cs="宋体" w:eastAsia="宋体" w:hint="default"/>
                <w:sz w:val="18"/>
                <w:szCs w:val="18"/>
              </w:rPr>
            </w:pPr>
            <w:r>
              <w:rPr>
                <w:rFonts w:ascii="宋体" w:hAnsi="宋体" w:cs="宋体" w:eastAsia="宋体" w:hint="default"/>
                <w:sz w:val="18"/>
                <w:szCs w:val="18"/>
              </w:rPr>
              <w:t>资产重组时所作承</w:t>
            </w:r>
          </w:p>
          <w:p>
            <w:pPr>
              <w:pStyle w:val="TableParagraph"/>
              <w:spacing w:line="240" w:lineRule="auto" w:before="76"/>
              <w:ind w:left="-1" w:right="0"/>
              <w:jc w:val="left"/>
              <w:rPr>
                <w:rFonts w:ascii="宋体" w:hAnsi="宋体" w:cs="宋体" w:eastAsia="宋体" w:hint="default"/>
                <w:sz w:val="18"/>
                <w:szCs w:val="18"/>
              </w:rPr>
            </w:pPr>
            <w:r>
              <w:rPr>
                <w:rFonts w:ascii="宋体" w:hAnsi="宋体" w:cs="宋体" w:eastAsia="宋体" w:hint="default"/>
                <w:sz w:val="18"/>
                <w:szCs w:val="18"/>
              </w:rPr>
              <w:t>诺</w:t>
            </w:r>
          </w:p>
        </w:tc>
        <w:tc>
          <w:tcPr>
            <w:tcW w:w="808"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left="-1" w:right="0"/>
              <w:jc w:val="left"/>
              <w:rPr>
                <w:rFonts w:ascii="宋体" w:hAnsi="宋体" w:cs="宋体" w:eastAsia="宋体" w:hint="default"/>
                <w:sz w:val="18"/>
                <w:szCs w:val="18"/>
              </w:rPr>
            </w:pPr>
            <w:r>
              <w:rPr>
                <w:rFonts w:ascii="宋体" w:hAnsi="宋体" w:cs="宋体" w:eastAsia="宋体" w:hint="default"/>
                <w:sz w:val="18"/>
                <w:szCs w:val="18"/>
              </w:rPr>
              <w:t>中国电子</w:t>
            </w:r>
          </w:p>
        </w:tc>
        <w:tc>
          <w:tcPr>
            <w:tcW w:w="1156" w:type="dxa"/>
            <w:tcBorders>
              <w:top w:val="nil" w:sz="6" w:space="0" w:color="auto"/>
              <w:left w:val="single" w:sz="4" w:space="0" w:color="000000"/>
              <w:bottom w:val="nil" w:sz="6" w:space="0" w:color="auto"/>
              <w:right w:val="single" w:sz="4" w:space="0" w:color="000000"/>
            </w:tcBorders>
          </w:tcPr>
          <w:p>
            <w:pPr>
              <w:pStyle w:val="TableParagraph"/>
              <w:spacing w:line="179" w:lineRule="exact"/>
              <w:ind w:right="0"/>
              <w:jc w:val="left"/>
              <w:rPr>
                <w:rFonts w:ascii="宋体" w:hAnsi="宋体" w:cs="宋体" w:eastAsia="宋体" w:hint="default"/>
                <w:sz w:val="18"/>
                <w:szCs w:val="18"/>
              </w:rPr>
            </w:pPr>
            <w:r>
              <w:rPr>
                <w:rFonts w:ascii="宋体" w:hAnsi="宋体" w:cs="宋体" w:eastAsia="宋体" w:hint="default"/>
                <w:spacing w:val="-5"/>
                <w:sz w:val="18"/>
                <w:szCs w:val="18"/>
              </w:rPr>
              <w:t>争、关联交易</w:t>
            </w:r>
          </w:p>
          <w:p>
            <w:pPr>
              <w:pStyle w:val="TableParagraph"/>
              <w:spacing w:line="240" w:lineRule="auto" w:before="76"/>
              <w:ind w:right="0"/>
              <w:jc w:val="left"/>
              <w:rPr>
                <w:rFonts w:ascii="宋体" w:hAnsi="宋体" w:cs="宋体" w:eastAsia="宋体" w:hint="default"/>
                <w:sz w:val="18"/>
                <w:szCs w:val="18"/>
              </w:rPr>
            </w:pPr>
            <w:r>
              <w:rPr>
                <w:rFonts w:ascii="宋体" w:hAnsi="宋体" w:cs="宋体" w:eastAsia="宋体" w:hint="default"/>
                <w:sz w:val="18"/>
                <w:szCs w:val="18"/>
              </w:rPr>
              <w:t>资金占用方面</w:t>
            </w:r>
          </w:p>
        </w:tc>
        <w:tc>
          <w:tcPr>
            <w:tcW w:w="5177" w:type="dxa"/>
            <w:tcBorders>
              <w:top w:val="nil" w:sz="6" w:space="0" w:color="auto"/>
              <w:left w:val="single" w:sz="4" w:space="0" w:color="000000"/>
              <w:bottom w:val="nil" w:sz="6" w:space="0" w:color="auto"/>
              <w:right w:val="single" w:sz="4" w:space="0" w:color="000000"/>
            </w:tcBorders>
          </w:tcPr>
          <w:p>
            <w:pPr>
              <w:pStyle w:val="TableParagraph"/>
              <w:spacing w:line="240" w:lineRule="auto" w:before="117"/>
              <w:ind w:left="-1" w:right="0"/>
              <w:jc w:val="left"/>
              <w:rPr>
                <w:rFonts w:ascii="宋体" w:hAnsi="宋体" w:cs="宋体" w:eastAsia="宋体" w:hint="default"/>
                <w:sz w:val="15"/>
                <w:szCs w:val="15"/>
              </w:rPr>
            </w:pPr>
            <w:r>
              <w:rPr>
                <w:rFonts w:ascii="宋体" w:hAnsi="宋体" w:cs="宋体" w:eastAsia="宋体" w:hint="default"/>
                <w:sz w:val="15"/>
                <w:szCs w:val="15"/>
              </w:rPr>
              <w:t>务。</w:t>
            </w:r>
          </w:p>
          <w:p>
            <w:pPr>
              <w:pStyle w:val="TableParagraph"/>
              <w:spacing w:line="240" w:lineRule="auto" w:before="115"/>
              <w:ind w:left="299" w:right="0"/>
              <w:jc w:val="left"/>
              <w:rPr>
                <w:rFonts w:ascii="宋体" w:hAnsi="宋体" w:cs="宋体" w:eastAsia="宋体" w:hint="default"/>
                <w:sz w:val="15"/>
                <w:szCs w:val="15"/>
              </w:rPr>
            </w:pPr>
            <w:r>
              <w:rPr>
                <w:rFonts w:ascii="宋体" w:hAnsi="宋体" w:cs="宋体" w:eastAsia="宋体" w:hint="default"/>
                <w:sz w:val="15"/>
                <w:szCs w:val="15"/>
              </w:rPr>
              <w:t>本次交易完成后，在中国电子及中国电子除中国长城外的控股企业拟转让</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192" w:lineRule="exact"/>
              <w:ind w:left="-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42"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left="-1" w:right="0"/>
              <w:jc w:val="left"/>
              <w:rPr>
                <w:rFonts w:ascii="宋体" w:hAnsi="宋体" w:cs="宋体" w:eastAsia="宋体" w:hint="default"/>
                <w:sz w:val="18"/>
                <w:szCs w:val="18"/>
              </w:rPr>
            </w:pPr>
            <w:r>
              <w:rPr>
                <w:rFonts w:ascii="宋体" w:hAnsi="宋体" w:cs="宋体" w:eastAsia="宋体" w:hint="default"/>
                <w:sz w:val="18"/>
                <w:szCs w:val="18"/>
              </w:rPr>
              <w:t>长期有效</w:t>
            </w:r>
          </w:p>
        </w:tc>
        <w:tc>
          <w:tcPr>
            <w:tcW w:w="916"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0"/>
              <w:jc w:val="left"/>
              <w:rPr>
                <w:rFonts w:ascii="宋体" w:hAnsi="宋体" w:cs="宋体" w:eastAsia="宋体" w:hint="default"/>
                <w:sz w:val="18"/>
                <w:szCs w:val="18"/>
              </w:rPr>
            </w:pPr>
            <w:r>
              <w:rPr>
                <w:rFonts w:ascii="宋体" w:hAnsi="宋体" w:cs="宋体" w:eastAsia="宋体" w:hint="default"/>
                <w:sz w:val="18"/>
                <w:szCs w:val="18"/>
              </w:rPr>
              <w:t>严格履行中</w:t>
            </w:r>
          </w:p>
        </w:tc>
      </w:tr>
      <w:tr>
        <w:trPr>
          <w:trHeight w:val="394" w:hRule="exact"/>
        </w:trPr>
        <w:tc>
          <w:tcPr>
            <w:tcW w:w="1532" w:type="dxa"/>
            <w:tcBorders>
              <w:top w:val="nil" w:sz="6" w:space="0" w:color="auto"/>
              <w:left w:val="single" w:sz="4" w:space="0" w:color="000000"/>
              <w:bottom w:val="nil" w:sz="6" w:space="0" w:color="auto"/>
              <w:right w:val="single" w:sz="4" w:space="0" w:color="000000"/>
            </w:tcBorders>
            <w:shd w:val="clear" w:color="auto" w:fill="D3D3D3"/>
          </w:tcPr>
          <w:p>
            <w:pPr/>
          </w:p>
        </w:tc>
        <w:tc>
          <w:tcPr>
            <w:tcW w:w="808"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Style w:val="TableParagraph"/>
              <w:spacing w:line="179" w:lineRule="exact"/>
              <w:ind w:right="0"/>
              <w:jc w:val="left"/>
              <w:rPr>
                <w:rFonts w:ascii="宋体" w:hAnsi="宋体" w:cs="宋体" w:eastAsia="宋体" w:hint="default"/>
                <w:sz w:val="18"/>
                <w:szCs w:val="18"/>
              </w:rPr>
            </w:pPr>
            <w:r>
              <w:rPr>
                <w:rFonts w:ascii="宋体" w:hAnsi="宋体" w:cs="宋体" w:eastAsia="宋体" w:hint="default"/>
                <w:sz w:val="18"/>
                <w:szCs w:val="18"/>
              </w:rPr>
              <w:t>的承诺</w:t>
            </w:r>
          </w:p>
        </w:tc>
        <w:tc>
          <w:tcPr>
            <w:tcW w:w="5177" w:type="dxa"/>
            <w:tcBorders>
              <w:top w:val="nil" w:sz="6" w:space="0" w:color="auto"/>
              <w:left w:val="single" w:sz="4" w:space="0" w:color="000000"/>
              <w:bottom w:val="nil" w:sz="6" w:space="0" w:color="auto"/>
              <w:right w:val="single" w:sz="4" w:space="0" w:color="000000"/>
            </w:tcBorders>
          </w:tcPr>
          <w:p>
            <w:pPr>
              <w:pStyle w:val="TableParagraph"/>
              <w:spacing w:line="240" w:lineRule="auto" w:before="117"/>
              <w:ind w:left="-1" w:right="-2"/>
              <w:jc w:val="left"/>
              <w:rPr>
                <w:rFonts w:ascii="宋体" w:hAnsi="宋体" w:cs="宋体" w:eastAsia="宋体" w:hint="default"/>
                <w:sz w:val="15"/>
                <w:szCs w:val="15"/>
              </w:rPr>
            </w:pPr>
            <w:r>
              <w:rPr>
                <w:rFonts w:ascii="宋体" w:hAnsi="宋体" w:cs="宋体" w:eastAsia="宋体" w:hint="default"/>
                <w:sz w:val="15"/>
                <w:szCs w:val="15"/>
              </w:rPr>
              <w:t>出售、出租、许可使用或以其他方式转让或允许使用与中国长城或其控股企业</w:t>
            </w:r>
          </w:p>
        </w:tc>
        <w:tc>
          <w:tcPr>
            <w:tcW w:w="1080" w:type="dxa"/>
            <w:tcBorders>
              <w:top w:val="nil" w:sz="6" w:space="0" w:color="auto"/>
              <w:left w:val="single" w:sz="4" w:space="0" w:color="000000"/>
              <w:bottom w:val="nil" w:sz="6" w:space="0" w:color="auto"/>
              <w:right w:val="single" w:sz="4" w:space="0" w:color="000000"/>
            </w:tcBorders>
          </w:tcPr>
          <w:p>
            <w:pPr/>
          </w:p>
        </w:tc>
        <w:tc>
          <w:tcPr>
            <w:tcW w:w="942" w:type="dxa"/>
            <w:tcBorders>
              <w:top w:val="nil" w:sz="6" w:space="0" w:color="auto"/>
              <w:left w:val="single" w:sz="4" w:space="0" w:color="000000"/>
              <w:bottom w:val="nil" w:sz="6" w:space="0" w:color="auto"/>
              <w:right w:val="single" w:sz="4" w:space="0" w:color="000000"/>
            </w:tcBorders>
          </w:tcPr>
          <w:p>
            <w:pPr/>
          </w:p>
        </w:tc>
        <w:tc>
          <w:tcPr>
            <w:tcW w:w="91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532" w:type="dxa"/>
            <w:tcBorders>
              <w:top w:val="nil" w:sz="6" w:space="0" w:color="auto"/>
              <w:left w:val="single" w:sz="4" w:space="0" w:color="000000"/>
              <w:bottom w:val="nil" w:sz="6" w:space="0" w:color="auto"/>
              <w:right w:val="single" w:sz="4" w:space="0" w:color="000000"/>
            </w:tcBorders>
            <w:shd w:val="clear" w:color="auto" w:fill="D3D3D3"/>
          </w:tcPr>
          <w:p>
            <w:pPr/>
          </w:p>
        </w:tc>
        <w:tc>
          <w:tcPr>
            <w:tcW w:w="808"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5177"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1" w:right="-2"/>
              <w:jc w:val="left"/>
              <w:rPr>
                <w:rFonts w:ascii="宋体" w:hAnsi="宋体" w:cs="宋体" w:eastAsia="宋体" w:hint="default"/>
                <w:sz w:val="15"/>
                <w:szCs w:val="15"/>
              </w:rPr>
            </w:pPr>
            <w:r>
              <w:rPr>
                <w:rFonts w:ascii="宋体" w:hAnsi="宋体" w:cs="宋体" w:eastAsia="宋体" w:hint="default"/>
                <w:sz w:val="15"/>
                <w:szCs w:val="15"/>
              </w:rPr>
              <w:t>主营业务构成或可能构成直接或间接竞争关系的资产和业务时，中国电子及中</w:t>
            </w:r>
          </w:p>
        </w:tc>
        <w:tc>
          <w:tcPr>
            <w:tcW w:w="1080" w:type="dxa"/>
            <w:tcBorders>
              <w:top w:val="nil" w:sz="6" w:space="0" w:color="auto"/>
              <w:left w:val="single" w:sz="4" w:space="0" w:color="000000"/>
              <w:bottom w:val="nil" w:sz="6" w:space="0" w:color="auto"/>
              <w:right w:val="single" w:sz="4" w:space="0" w:color="000000"/>
            </w:tcBorders>
          </w:tcPr>
          <w:p>
            <w:pPr/>
          </w:p>
        </w:tc>
        <w:tc>
          <w:tcPr>
            <w:tcW w:w="942" w:type="dxa"/>
            <w:tcBorders>
              <w:top w:val="nil" w:sz="6" w:space="0" w:color="auto"/>
              <w:left w:val="single" w:sz="4" w:space="0" w:color="000000"/>
              <w:bottom w:val="nil" w:sz="6" w:space="0" w:color="auto"/>
              <w:right w:val="single" w:sz="4" w:space="0" w:color="000000"/>
            </w:tcBorders>
          </w:tcPr>
          <w:p>
            <w:pPr/>
          </w:p>
        </w:tc>
        <w:tc>
          <w:tcPr>
            <w:tcW w:w="91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532" w:type="dxa"/>
            <w:tcBorders>
              <w:top w:val="nil" w:sz="6" w:space="0" w:color="auto"/>
              <w:left w:val="single" w:sz="4" w:space="0" w:color="000000"/>
              <w:bottom w:val="nil" w:sz="6" w:space="0" w:color="auto"/>
              <w:right w:val="single" w:sz="4" w:space="0" w:color="000000"/>
            </w:tcBorders>
            <w:shd w:val="clear" w:color="auto" w:fill="D3D3D3"/>
          </w:tcPr>
          <w:p>
            <w:pPr/>
          </w:p>
        </w:tc>
        <w:tc>
          <w:tcPr>
            <w:tcW w:w="808"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5177"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1" w:right="-2"/>
              <w:jc w:val="left"/>
              <w:rPr>
                <w:rFonts w:ascii="宋体" w:hAnsi="宋体" w:cs="宋体" w:eastAsia="宋体" w:hint="default"/>
                <w:sz w:val="15"/>
                <w:szCs w:val="15"/>
              </w:rPr>
            </w:pPr>
            <w:r>
              <w:rPr>
                <w:rFonts w:ascii="宋体" w:hAnsi="宋体" w:cs="宋体" w:eastAsia="宋体" w:hint="default"/>
                <w:sz w:val="15"/>
                <w:szCs w:val="15"/>
              </w:rPr>
              <w:t>国电子除中国长城外的控股企业将向中国长城或其控股企业提供优先受让权，</w:t>
            </w:r>
          </w:p>
        </w:tc>
        <w:tc>
          <w:tcPr>
            <w:tcW w:w="1080" w:type="dxa"/>
            <w:tcBorders>
              <w:top w:val="nil" w:sz="6" w:space="0" w:color="auto"/>
              <w:left w:val="single" w:sz="4" w:space="0" w:color="000000"/>
              <w:bottom w:val="nil" w:sz="6" w:space="0" w:color="auto"/>
              <w:right w:val="single" w:sz="4" w:space="0" w:color="000000"/>
            </w:tcBorders>
          </w:tcPr>
          <w:p>
            <w:pPr/>
          </w:p>
        </w:tc>
        <w:tc>
          <w:tcPr>
            <w:tcW w:w="942" w:type="dxa"/>
            <w:tcBorders>
              <w:top w:val="nil" w:sz="6" w:space="0" w:color="auto"/>
              <w:left w:val="single" w:sz="4" w:space="0" w:color="000000"/>
              <w:bottom w:val="nil" w:sz="6" w:space="0" w:color="auto"/>
              <w:right w:val="single" w:sz="4" w:space="0" w:color="000000"/>
            </w:tcBorders>
          </w:tcPr>
          <w:p>
            <w:pPr/>
          </w:p>
        </w:tc>
        <w:tc>
          <w:tcPr>
            <w:tcW w:w="91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532" w:type="dxa"/>
            <w:tcBorders>
              <w:top w:val="nil" w:sz="6" w:space="0" w:color="auto"/>
              <w:left w:val="single" w:sz="4" w:space="0" w:color="000000"/>
              <w:bottom w:val="nil" w:sz="6" w:space="0" w:color="auto"/>
              <w:right w:val="single" w:sz="4" w:space="0" w:color="000000"/>
            </w:tcBorders>
            <w:shd w:val="clear" w:color="auto" w:fill="D3D3D3"/>
          </w:tcPr>
          <w:p>
            <w:pPr/>
          </w:p>
        </w:tc>
        <w:tc>
          <w:tcPr>
            <w:tcW w:w="808"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5177"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1" w:right="-2"/>
              <w:jc w:val="left"/>
              <w:rPr>
                <w:rFonts w:ascii="宋体" w:hAnsi="宋体" w:cs="宋体" w:eastAsia="宋体" w:hint="default"/>
                <w:sz w:val="15"/>
                <w:szCs w:val="15"/>
              </w:rPr>
            </w:pPr>
            <w:r>
              <w:rPr>
                <w:rFonts w:ascii="宋体" w:hAnsi="宋体" w:cs="宋体" w:eastAsia="宋体" w:hint="default"/>
                <w:sz w:val="15"/>
                <w:szCs w:val="15"/>
              </w:rPr>
              <w:t>并承诺尽最大努力促使中国电子参股企业在上述情况下向中国长城或其控股企</w:t>
            </w:r>
          </w:p>
        </w:tc>
        <w:tc>
          <w:tcPr>
            <w:tcW w:w="1080" w:type="dxa"/>
            <w:tcBorders>
              <w:top w:val="nil" w:sz="6" w:space="0" w:color="auto"/>
              <w:left w:val="single" w:sz="4" w:space="0" w:color="000000"/>
              <w:bottom w:val="nil" w:sz="6" w:space="0" w:color="auto"/>
              <w:right w:val="single" w:sz="4" w:space="0" w:color="000000"/>
            </w:tcBorders>
          </w:tcPr>
          <w:p>
            <w:pPr/>
          </w:p>
        </w:tc>
        <w:tc>
          <w:tcPr>
            <w:tcW w:w="942" w:type="dxa"/>
            <w:tcBorders>
              <w:top w:val="nil" w:sz="6" w:space="0" w:color="auto"/>
              <w:left w:val="single" w:sz="4" w:space="0" w:color="000000"/>
              <w:bottom w:val="nil" w:sz="6" w:space="0" w:color="auto"/>
              <w:right w:val="single" w:sz="4" w:space="0" w:color="000000"/>
            </w:tcBorders>
          </w:tcPr>
          <w:p>
            <w:pPr/>
          </w:p>
        </w:tc>
        <w:tc>
          <w:tcPr>
            <w:tcW w:w="91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532" w:type="dxa"/>
            <w:tcBorders>
              <w:top w:val="nil" w:sz="6" w:space="0" w:color="auto"/>
              <w:left w:val="single" w:sz="4" w:space="0" w:color="000000"/>
              <w:bottom w:val="nil" w:sz="6" w:space="0" w:color="auto"/>
              <w:right w:val="single" w:sz="4" w:space="0" w:color="000000"/>
            </w:tcBorders>
            <w:shd w:val="clear" w:color="auto" w:fill="D3D3D3"/>
          </w:tcPr>
          <w:p>
            <w:pPr/>
          </w:p>
        </w:tc>
        <w:tc>
          <w:tcPr>
            <w:tcW w:w="808"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5177"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1" w:right="0"/>
              <w:jc w:val="left"/>
              <w:rPr>
                <w:rFonts w:ascii="宋体" w:hAnsi="宋体" w:cs="宋体" w:eastAsia="宋体" w:hint="default"/>
                <w:sz w:val="15"/>
                <w:szCs w:val="15"/>
              </w:rPr>
            </w:pPr>
            <w:r>
              <w:rPr>
                <w:rFonts w:ascii="宋体" w:hAnsi="宋体" w:cs="宋体" w:eastAsia="宋体" w:hint="default"/>
                <w:sz w:val="15"/>
                <w:szCs w:val="15"/>
              </w:rPr>
              <w:t>业提供优先受让权。</w:t>
            </w:r>
          </w:p>
        </w:tc>
        <w:tc>
          <w:tcPr>
            <w:tcW w:w="1080" w:type="dxa"/>
            <w:tcBorders>
              <w:top w:val="nil" w:sz="6" w:space="0" w:color="auto"/>
              <w:left w:val="single" w:sz="4" w:space="0" w:color="000000"/>
              <w:bottom w:val="nil" w:sz="6" w:space="0" w:color="auto"/>
              <w:right w:val="single" w:sz="4" w:space="0" w:color="000000"/>
            </w:tcBorders>
          </w:tcPr>
          <w:p>
            <w:pPr/>
          </w:p>
        </w:tc>
        <w:tc>
          <w:tcPr>
            <w:tcW w:w="942" w:type="dxa"/>
            <w:tcBorders>
              <w:top w:val="nil" w:sz="6" w:space="0" w:color="auto"/>
              <w:left w:val="single" w:sz="4" w:space="0" w:color="000000"/>
              <w:bottom w:val="nil" w:sz="6" w:space="0" w:color="auto"/>
              <w:right w:val="single" w:sz="4" w:space="0" w:color="000000"/>
            </w:tcBorders>
          </w:tcPr>
          <w:p>
            <w:pPr/>
          </w:p>
        </w:tc>
        <w:tc>
          <w:tcPr>
            <w:tcW w:w="91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532" w:type="dxa"/>
            <w:tcBorders>
              <w:top w:val="nil" w:sz="6" w:space="0" w:color="auto"/>
              <w:left w:val="single" w:sz="4" w:space="0" w:color="000000"/>
              <w:bottom w:val="nil" w:sz="6" w:space="0" w:color="auto"/>
              <w:right w:val="single" w:sz="4" w:space="0" w:color="000000"/>
            </w:tcBorders>
            <w:shd w:val="clear" w:color="auto" w:fill="D3D3D3"/>
          </w:tcPr>
          <w:p>
            <w:pPr/>
          </w:p>
        </w:tc>
        <w:tc>
          <w:tcPr>
            <w:tcW w:w="808"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5177"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3"/>
              <w:jc w:val="right"/>
              <w:rPr>
                <w:rFonts w:ascii="宋体" w:hAnsi="宋体" w:cs="宋体" w:eastAsia="宋体" w:hint="default"/>
                <w:sz w:val="15"/>
                <w:szCs w:val="15"/>
              </w:rPr>
            </w:pPr>
            <w:r>
              <w:rPr>
                <w:rFonts w:ascii="宋体" w:hAnsi="宋体" w:cs="宋体" w:eastAsia="宋体" w:hint="default"/>
                <w:sz w:val="15"/>
                <w:szCs w:val="15"/>
              </w:rPr>
              <w:t>自承诺出具日起，中国电子承诺赔偿中国长城或其控股企业因中国电子或</w:t>
            </w:r>
          </w:p>
        </w:tc>
        <w:tc>
          <w:tcPr>
            <w:tcW w:w="1080" w:type="dxa"/>
            <w:tcBorders>
              <w:top w:val="nil" w:sz="6" w:space="0" w:color="auto"/>
              <w:left w:val="single" w:sz="4" w:space="0" w:color="000000"/>
              <w:bottom w:val="nil" w:sz="6" w:space="0" w:color="auto"/>
              <w:right w:val="single" w:sz="4" w:space="0" w:color="000000"/>
            </w:tcBorders>
          </w:tcPr>
          <w:p>
            <w:pPr/>
          </w:p>
        </w:tc>
        <w:tc>
          <w:tcPr>
            <w:tcW w:w="942" w:type="dxa"/>
            <w:tcBorders>
              <w:top w:val="nil" w:sz="6" w:space="0" w:color="auto"/>
              <w:left w:val="single" w:sz="4" w:space="0" w:color="000000"/>
              <w:bottom w:val="nil" w:sz="6" w:space="0" w:color="auto"/>
              <w:right w:val="single" w:sz="4" w:space="0" w:color="000000"/>
            </w:tcBorders>
          </w:tcPr>
          <w:p>
            <w:pPr/>
          </w:p>
        </w:tc>
        <w:tc>
          <w:tcPr>
            <w:tcW w:w="91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532" w:type="dxa"/>
            <w:tcBorders>
              <w:top w:val="nil" w:sz="6" w:space="0" w:color="auto"/>
              <w:left w:val="single" w:sz="4" w:space="0" w:color="000000"/>
              <w:bottom w:val="nil" w:sz="6" w:space="0" w:color="auto"/>
              <w:right w:val="single" w:sz="4" w:space="0" w:color="000000"/>
            </w:tcBorders>
            <w:shd w:val="clear" w:color="auto" w:fill="D3D3D3"/>
          </w:tcPr>
          <w:p>
            <w:pPr/>
          </w:p>
        </w:tc>
        <w:tc>
          <w:tcPr>
            <w:tcW w:w="808"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5177"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1" w:right="0"/>
              <w:jc w:val="left"/>
              <w:rPr>
                <w:rFonts w:ascii="宋体" w:hAnsi="宋体" w:cs="宋体" w:eastAsia="宋体" w:hint="default"/>
                <w:sz w:val="15"/>
                <w:szCs w:val="15"/>
              </w:rPr>
            </w:pPr>
            <w:r>
              <w:rPr>
                <w:rFonts w:ascii="宋体" w:hAnsi="宋体" w:cs="宋体" w:eastAsia="宋体" w:hint="default"/>
                <w:sz w:val="15"/>
                <w:szCs w:val="15"/>
              </w:rPr>
              <w:t>中国电子控股企业因违反本承诺任何条款而遭受的一切实际损失、损害和开支</w:t>
            </w:r>
          </w:p>
        </w:tc>
        <w:tc>
          <w:tcPr>
            <w:tcW w:w="1080" w:type="dxa"/>
            <w:tcBorders>
              <w:top w:val="nil" w:sz="6" w:space="0" w:color="auto"/>
              <w:left w:val="single" w:sz="4" w:space="0" w:color="000000"/>
              <w:bottom w:val="nil" w:sz="6" w:space="0" w:color="auto"/>
              <w:right w:val="single" w:sz="4" w:space="0" w:color="000000"/>
            </w:tcBorders>
          </w:tcPr>
          <w:p>
            <w:pPr/>
          </w:p>
        </w:tc>
        <w:tc>
          <w:tcPr>
            <w:tcW w:w="942" w:type="dxa"/>
            <w:tcBorders>
              <w:top w:val="nil" w:sz="6" w:space="0" w:color="auto"/>
              <w:left w:val="single" w:sz="4" w:space="0" w:color="000000"/>
              <w:bottom w:val="nil" w:sz="6" w:space="0" w:color="auto"/>
              <w:right w:val="single" w:sz="4" w:space="0" w:color="000000"/>
            </w:tcBorders>
          </w:tcPr>
          <w:p>
            <w:pPr/>
          </w:p>
        </w:tc>
        <w:tc>
          <w:tcPr>
            <w:tcW w:w="91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532" w:type="dxa"/>
            <w:tcBorders>
              <w:top w:val="nil" w:sz="6" w:space="0" w:color="auto"/>
              <w:left w:val="single" w:sz="4" w:space="0" w:color="000000"/>
              <w:bottom w:val="nil" w:sz="6" w:space="0" w:color="auto"/>
              <w:right w:val="single" w:sz="4" w:space="0" w:color="000000"/>
            </w:tcBorders>
            <w:shd w:val="clear" w:color="auto" w:fill="D3D3D3"/>
          </w:tcPr>
          <w:p>
            <w:pPr/>
          </w:p>
        </w:tc>
        <w:tc>
          <w:tcPr>
            <w:tcW w:w="808"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5177"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3"/>
              <w:jc w:val="right"/>
              <w:rPr>
                <w:rFonts w:ascii="宋体" w:hAnsi="宋体" w:cs="宋体" w:eastAsia="宋体" w:hint="default"/>
                <w:sz w:val="15"/>
                <w:szCs w:val="15"/>
              </w:rPr>
            </w:pPr>
            <w:r>
              <w:rPr>
                <w:rFonts w:ascii="宋体" w:hAnsi="宋体" w:cs="宋体" w:eastAsia="宋体" w:hint="default"/>
                <w:sz w:val="15"/>
                <w:szCs w:val="15"/>
              </w:rPr>
              <w:t>上述承诺在中国电子对中国长城拥有由资本因素或非资本因素形成的直接</w:t>
            </w:r>
          </w:p>
        </w:tc>
        <w:tc>
          <w:tcPr>
            <w:tcW w:w="1080" w:type="dxa"/>
            <w:tcBorders>
              <w:top w:val="nil" w:sz="6" w:space="0" w:color="auto"/>
              <w:left w:val="single" w:sz="4" w:space="0" w:color="000000"/>
              <w:bottom w:val="nil" w:sz="6" w:space="0" w:color="auto"/>
              <w:right w:val="single" w:sz="4" w:space="0" w:color="000000"/>
            </w:tcBorders>
          </w:tcPr>
          <w:p>
            <w:pPr/>
          </w:p>
        </w:tc>
        <w:tc>
          <w:tcPr>
            <w:tcW w:w="942" w:type="dxa"/>
            <w:tcBorders>
              <w:top w:val="nil" w:sz="6" w:space="0" w:color="auto"/>
              <w:left w:val="single" w:sz="4" w:space="0" w:color="000000"/>
              <w:bottom w:val="nil" w:sz="6" w:space="0" w:color="auto"/>
              <w:right w:val="single" w:sz="4" w:space="0" w:color="000000"/>
            </w:tcBorders>
          </w:tcPr>
          <w:p>
            <w:pPr/>
          </w:p>
        </w:tc>
        <w:tc>
          <w:tcPr>
            <w:tcW w:w="916" w:type="dxa"/>
            <w:tcBorders>
              <w:top w:val="nil" w:sz="6" w:space="0" w:color="auto"/>
              <w:left w:val="single" w:sz="4" w:space="0" w:color="000000"/>
              <w:bottom w:val="nil" w:sz="6" w:space="0" w:color="auto"/>
              <w:right w:val="single" w:sz="4" w:space="0" w:color="000000"/>
            </w:tcBorders>
          </w:tcPr>
          <w:p>
            <w:pPr/>
          </w:p>
        </w:tc>
      </w:tr>
      <w:tr>
        <w:trPr>
          <w:trHeight w:val="318" w:hRule="exact"/>
        </w:trPr>
        <w:tc>
          <w:tcPr>
            <w:tcW w:w="1532" w:type="dxa"/>
            <w:tcBorders>
              <w:top w:val="nil" w:sz="6" w:space="0" w:color="auto"/>
              <w:left w:val="single" w:sz="4" w:space="0" w:color="000000"/>
              <w:bottom w:val="nil" w:sz="6" w:space="0" w:color="auto"/>
              <w:right w:val="single" w:sz="4" w:space="0" w:color="000000"/>
            </w:tcBorders>
            <w:shd w:val="clear" w:color="auto" w:fill="D3D3D3"/>
          </w:tcPr>
          <w:p>
            <w:pPr/>
          </w:p>
        </w:tc>
        <w:tc>
          <w:tcPr>
            <w:tcW w:w="808"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517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4"/>
              <w:ind w:left="-1" w:right="0"/>
              <w:jc w:val="left"/>
              <w:rPr>
                <w:rFonts w:ascii="宋体" w:hAnsi="宋体" w:cs="宋体" w:eastAsia="宋体" w:hint="default"/>
                <w:sz w:val="15"/>
                <w:szCs w:val="15"/>
              </w:rPr>
            </w:pPr>
            <w:r>
              <w:rPr>
                <w:rFonts w:ascii="宋体" w:hAnsi="宋体" w:cs="宋体" w:eastAsia="宋体" w:hint="default"/>
                <w:sz w:val="15"/>
                <w:szCs w:val="15"/>
              </w:rPr>
              <w:t>或间接的控制权或对中国长城存在重大影响期间持续有效，且不可变更或撤销</w:t>
            </w:r>
          </w:p>
        </w:tc>
        <w:tc>
          <w:tcPr>
            <w:tcW w:w="1080" w:type="dxa"/>
            <w:tcBorders>
              <w:top w:val="nil" w:sz="6" w:space="0" w:color="auto"/>
              <w:left w:val="single" w:sz="4" w:space="0" w:color="000000"/>
              <w:bottom w:val="nil" w:sz="6" w:space="0" w:color="auto"/>
              <w:right w:val="single" w:sz="4" w:space="0" w:color="000000"/>
            </w:tcBorders>
          </w:tcPr>
          <w:p>
            <w:pPr/>
          </w:p>
        </w:tc>
        <w:tc>
          <w:tcPr>
            <w:tcW w:w="942" w:type="dxa"/>
            <w:tcBorders>
              <w:top w:val="nil" w:sz="6" w:space="0" w:color="auto"/>
              <w:left w:val="single" w:sz="4" w:space="0" w:color="000000"/>
              <w:bottom w:val="nil" w:sz="6" w:space="0" w:color="auto"/>
              <w:right w:val="single" w:sz="4" w:space="0" w:color="000000"/>
            </w:tcBorders>
          </w:tcPr>
          <w:p>
            <w:pPr/>
          </w:p>
        </w:tc>
        <w:tc>
          <w:tcPr>
            <w:tcW w:w="916" w:type="dxa"/>
            <w:tcBorders>
              <w:top w:val="nil" w:sz="6" w:space="0" w:color="auto"/>
              <w:left w:val="single" w:sz="4" w:space="0" w:color="000000"/>
              <w:bottom w:val="nil" w:sz="6" w:space="0" w:color="auto"/>
              <w:right w:val="single" w:sz="4" w:space="0" w:color="000000"/>
            </w:tcBorders>
          </w:tcPr>
          <w:p>
            <w:pPr/>
          </w:p>
        </w:tc>
      </w:tr>
      <w:tr>
        <w:trPr>
          <w:trHeight w:val="316" w:hRule="exact"/>
        </w:trPr>
        <w:tc>
          <w:tcPr>
            <w:tcW w:w="1532" w:type="dxa"/>
            <w:tcBorders>
              <w:top w:val="nil" w:sz="6" w:space="0" w:color="auto"/>
              <w:left w:val="single" w:sz="4" w:space="0" w:color="000000"/>
              <w:bottom w:val="nil" w:sz="6" w:space="0" w:color="auto"/>
              <w:right w:val="single" w:sz="4" w:space="0" w:color="000000"/>
            </w:tcBorders>
            <w:shd w:val="clear" w:color="auto" w:fill="D3D3D3"/>
          </w:tcPr>
          <w:p>
            <w:pPr/>
          </w:p>
        </w:tc>
        <w:tc>
          <w:tcPr>
            <w:tcW w:w="808"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517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3"/>
              <w:ind w:right="-3"/>
              <w:jc w:val="right"/>
              <w:rPr>
                <w:rFonts w:ascii="宋体" w:hAnsi="宋体" w:cs="宋体" w:eastAsia="宋体" w:hint="default"/>
                <w:sz w:val="15"/>
                <w:szCs w:val="15"/>
              </w:rPr>
            </w:pPr>
            <w:r>
              <w:rPr>
                <w:rFonts w:ascii="宋体" w:hAnsi="宋体" w:cs="宋体" w:eastAsia="宋体" w:hint="default"/>
                <w:sz w:val="15"/>
                <w:szCs w:val="15"/>
              </w:rPr>
              <w:t>在本次交易前，中国电子及其控制的其他企业与中国长城、长城信息之间</w:t>
            </w:r>
          </w:p>
        </w:tc>
        <w:tc>
          <w:tcPr>
            <w:tcW w:w="1080" w:type="dxa"/>
            <w:tcBorders>
              <w:top w:val="nil" w:sz="6" w:space="0" w:color="auto"/>
              <w:left w:val="single" w:sz="4" w:space="0" w:color="000000"/>
              <w:bottom w:val="nil" w:sz="6" w:space="0" w:color="auto"/>
              <w:right w:val="single" w:sz="4" w:space="0" w:color="000000"/>
            </w:tcBorders>
          </w:tcPr>
          <w:p>
            <w:pPr/>
          </w:p>
        </w:tc>
        <w:tc>
          <w:tcPr>
            <w:tcW w:w="942" w:type="dxa"/>
            <w:tcBorders>
              <w:top w:val="nil" w:sz="6" w:space="0" w:color="auto"/>
              <w:left w:val="single" w:sz="4" w:space="0" w:color="000000"/>
              <w:bottom w:val="nil" w:sz="6" w:space="0" w:color="auto"/>
              <w:right w:val="single" w:sz="4" w:space="0" w:color="000000"/>
            </w:tcBorders>
          </w:tcPr>
          <w:p>
            <w:pPr/>
          </w:p>
        </w:tc>
        <w:tc>
          <w:tcPr>
            <w:tcW w:w="91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532" w:type="dxa"/>
            <w:tcBorders>
              <w:top w:val="nil" w:sz="6" w:space="0" w:color="auto"/>
              <w:left w:val="single" w:sz="4" w:space="0" w:color="000000"/>
              <w:bottom w:val="nil" w:sz="6" w:space="0" w:color="auto"/>
              <w:right w:val="single" w:sz="4" w:space="0" w:color="000000"/>
            </w:tcBorders>
            <w:shd w:val="clear" w:color="auto" w:fill="D3D3D3"/>
          </w:tcPr>
          <w:p>
            <w:pPr/>
          </w:p>
        </w:tc>
        <w:tc>
          <w:tcPr>
            <w:tcW w:w="808"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5177"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1" w:right="-2"/>
              <w:jc w:val="left"/>
              <w:rPr>
                <w:rFonts w:ascii="宋体" w:hAnsi="宋体" w:cs="宋体" w:eastAsia="宋体" w:hint="default"/>
                <w:sz w:val="15"/>
                <w:szCs w:val="15"/>
              </w:rPr>
            </w:pPr>
            <w:r>
              <w:rPr>
                <w:rFonts w:ascii="宋体" w:hAnsi="宋体" w:cs="宋体" w:eastAsia="宋体" w:hint="default"/>
                <w:sz w:val="15"/>
                <w:szCs w:val="15"/>
              </w:rPr>
              <w:t>不存在显失公平的关联交易。本次交易完成后，中国电子控制的除中国长城及</w:t>
            </w:r>
          </w:p>
        </w:tc>
        <w:tc>
          <w:tcPr>
            <w:tcW w:w="1080" w:type="dxa"/>
            <w:tcBorders>
              <w:top w:val="nil" w:sz="6" w:space="0" w:color="auto"/>
              <w:left w:val="single" w:sz="4" w:space="0" w:color="000000"/>
              <w:bottom w:val="nil" w:sz="6" w:space="0" w:color="auto"/>
              <w:right w:val="single" w:sz="4" w:space="0" w:color="000000"/>
            </w:tcBorders>
          </w:tcPr>
          <w:p>
            <w:pPr/>
          </w:p>
        </w:tc>
        <w:tc>
          <w:tcPr>
            <w:tcW w:w="942" w:type="dxa"/>
            <w:tcBorders>
              <w:top w:val="nil" w:sz="6" w:space="0" w:color="auto"/>
              <w:left w:val="single" w:sz="4" w:space="0" w:color="000000"/>
              <w:bottom w:val="nil" w:sz="6" w:space="0" w:color="auto"/>
              <w:right w:val="single" w:sz="4" w:space="0" w:color="000000"/>
            </w:tcBorders>
          </w:tcPr>
          <w:p>
            <w:pPr/>
          </w:p>
        </w:tc>
        <w:tc>
          <w:tcPr>
            <w:tcW w:w="91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532" w:type="dxa"/>
            <w:tcBorders>
              <w:top w:val="nil" w:sz="6" w:space="0" w:color="auto"/>
              <w:left w:val="single" w:sz="4" w:space="0" w:color="000000"/>
              <w:bottom w:val="nil" w:sz="6" w:space="0" w:color="auto"/>
              <w:right w:val="single" w:sz="4" w:space="0" w:color="000000"/>
            </w:tcBorders>
            <w:shd w:val="clear" w:color="auto" w:fill="D3D3D3"/>
          </w:tcPr>
          <w:p>
            <w:pPr/>
          </w:p>
        </w:tc>
        <w:tc>
          <w:tcPr>
            <w:tcW w:w="808"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5177"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1" w:right="-2"/>
              <w:jc w:val="left"/>
              <w:rPr>
                <w:rFonts w:ascii="宋体" w:hAnsi="宋体" w:cs="宋体" w:eastAsia="宋体" w:hint="default"/>
                <w:sz w:val="15"/>
                <w:szCs w:val="15"/>
              </w:rPr>
            </w:pPr>
            <w:r>
              <w:rPr>
                <w:rFonts w:ascii="宋体" w:hAnsi="宋体" w:cs="宋体" w:eastAsia="宋体" w:hint="default"/>
                <w:sz w:val="15"/>
                <w:szCs w:val="15"/>
              </w:rPr>
              <w:t>其下属公司以外的其他企业将尽量减少与中国长城及其下属公司之间发生关联</w:t>
            </w:r>
          </w:p>
        </w:tc>
        <w:tc>
          <w:tcPr>
            <w:tcW w:w="1080" w:type="dxa"/>
            <w:tcBorders>
              <w:top w:val="nil" w:sz="6" w:space="0" w:color="auto"/>
              <w:left w:val="single" w:sz="4" w:space="0" w:color="000000"/>
              <w:bottom w:val="nil" w:sz="6" w:space="0" w:color="auto"/>
              <w:right w:val="single" w:sz="4" w:space="0" w:color="000000"/>
            </w:tcBorders>
          </w:tcPr>
          <w:p>
            <w:pPr/>
          </w:p>
        </w:tc>
        <w:tc>
          <w:tcPr>
            <w:tcW w:w="942" w:type="dxa"/>
            <w:tcBorders>
              <w:top w:val="nil" w:sz="6" w:space="0" w:color="auto"/>
              <w:left w:val="single" w:sz="4" w:space="0" w:color="000000"/>
              <w:bottom w:val="nil" w:sz="6" w:space="0" w:color="auto"/>
              <w:right w:val="single" w:sz="4" w:space="0" w:color="000000"/>
            </w:tcBorders>
          </w:tcPr>
          <w:p>
            <w:pPr/>
          </w:p>
        </w:tc>
        <w:tc>
          <w:tcPr>
            <w:tcW w:w="91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532" w:type="dxa"/>
            <w:tcBorders>
              <w:top w:val="nil" w:sz="6" w:space="0" w:color="auto"/>
              <w:left w:val="single" w:sz="4" w:space="0" w:color="000000"/>
              <w:bottom w:val="nil" w:sz="6" w:space="0" w:color="auto"/>
              <w:right w:val="single" w:sz="4" w:space="0" w:color="000000"/>
            </w:tcBorders>
            <w:shd w:val="clear" w:color="auto" w:fill="D3D3D3"/>
          </w:tcPr>
          <w:p>
            <w:pPr/>
          </w:p>
        </w:tc>
        <w:tc>
          <w:tcPr>
            <w:tcW w:w="808"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5177"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1" w:right="0"/>
              <w:jc w:val="left"/>
              <w:rPr>
                <w:rFonts w:ascii="宋体" w:hAnsi="宋体" w:cs="宋体" w:eastAsia="宋体" w:hint="default"/>
                <w:sz w:val="15"/>
                <w:szCs w:val="15"/>
              </w:rPr>
            </w:pPr>
            <w:r>
              <w:rPr>
                <w:rFonts w:ascii="宋体" w:hAnsi="宋体" w:cs="宋体" w:eastAsia="宋体" w:hint="default"/>
                <w:sz w:val="15"/>
                <w:szCs w:val="15"/>
              </w:rPr>
              <w:t>交易。</w:t>
            </w:r>
          </w:p>
        </w:tc>
        <w:tc>
          <w:tcPr>
            <w:tcW w:w="1080" w:type="dxa"/>
            <w:tcBorders>
              <w:top w:val="nil" w:sz="6" w:space="0" w:color="auto"/>
              <w:left w:val="single" w:sz="4" w:space="0" w:color="000000"/>
              <w:bottom w:val="nil" w:sz="6" w:space="0" w:color="auto"/>
              <w:right w:val="single" w:sz="4" w:space="0" w:color="000000"/>
            </w:tcBorders>
          </w:tcPr>
          <w:p>
            <w:pPr/>
          </w:p>
        </w:tc>
        <w:tc>
          <w:tcPr>
            <w:tcW w:w="942" w:type="dxa"/>
            <w:tcBorders>
              <w:top w:val="nil" w:sz="6" w:space="0" w:color="auto"/>
              <w:left w:val="single" w:sz="4" w:space="0" w:color="000000"/>
              <w:bottom w:val="nil" w:sz="6" w:space="0" w:color="auto"/>
              <w:right w:val="single" w:sz="4" w:space="0" w:color="000000"/>
            </w:tcBorders>
          </w:tcPr>
          <w:p>
            <w:pPr/>
          </w:p>
        </w:tc>
        <w:tc>
          <w:tcPr>
            <w:tcW w:w="91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532" w:type="dxa"/>
            <w:tcBorders>
              <w:top w:val="nil" w:sz="6" w:space="0" w:color="auto"/>
              <w:left w:val="single" w:sz="4" w:space="0" w:color="000000"/>
              <w:bottom w:val="nil" w:sz="6" w:space="0" w:color="auto"/>
              <w:right w:val="single" w:sz="4" w:space="0" w:color="000000"/>
            </w:tcBorders>
            <w:shd w:val="clear" w:color="auto" w:fill="D3D3D3"/>
          </w:tcPr>
          <w:p>
            <w:pPr/>
          </w:p>
        </w:tc>
        <w:tc>
          <w:tcPr>
            <w:tcW w:w="808"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5177"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3"/>
              <w:jc w:val="right"/>
              <w:rPr>
                <w:rFonts w:ascii="宋体" w:hAnsi="宋体" w:cs="宋体" w:eastAsia="宋体" w:hint="default"/>
                <w:sz w:val="15"/>
                <w:szCs w:val="15"/>
              </w:rPr>
            </w:pPr>
            <w:r>
              <w:rPr>
                <w:rFonts w:ascii="宋体" w:hAnsi="宋体" w:cs="宋体" w:eastAsia="宋体" w:hint="default"/>
                <w:sz w:val="15"/>
                <w:szCs w:val="15"/>
              </w:rPr>
              <w:t>本次交易完成后，对于无法避免或有合理理由存在的关联交易，中国电子</w:t>
            </w:r>
          </w:p>
        </w:tc>
        <w:tc>
          <w:tcPr>
            <w:tcW w:w="1080" w:type="dxa"/>
            <w:tcBorders>
              <w:top w:val="nil" w:sz="6" w:space="0" w:color="auto"/>
              <w:left w:val="single" w:sz="4" w:space="0" w:color="000000"/>
              <w:bottom w:val="nil" w:sz="6" w:space="0" w:color="auto"/>
              <w:right w:val="single" w:sz="4" w:space="0" w:color="000000"/>
            </w:tcBorders>
          </w:tcPr>
          <w:p>
            <w:pPr/>
          </w:p>
        </w:tc>
        <w:tc>
          <w:tcPr>
            <w:tcW w:w="942" w:type="dxa"/>
            <w:tcBorders>
              <w:top w:val="nil" w:sz="6" w:space="0" w:color="auto"/>
              <w:left w:val="single" w:sz="4" w:space="0" w:color="000000"/>
              <w:bottom w:val="nil" w:sz="6" w:space="0" w:color="auto"/>
              <w:right w:val="single" w:sz="4" w:space="0" w:color="000000"/>
            </w:tcBorders>
          </w:tcPr>
          <w:p>
            <w:pPr/>
          </w:p>
        </w:tc>
        <w:tc>
          <w:tcPr>
            <w:tcW w:w="91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532" w:type="dxa"/>
            <w:tcBorders>
              <w:top w:val="nil" w:sz="6" w:space="0" w:color="auto"/>
              <w:left w:val="single" w:sz="4" w:space="0" w:color="000000"/>
              <w:bottom w:val="nil" w:sz="6" w:space="0" w:color="auto"/>
              <w:right w:val="single" w:sz="4" w:space="0" w:color="000000"/>
            </w:tcBorders>
            <w:shd w:val="clear" w:color="auto" w:fill="D3D3D3"/>
          </w:tcPr>
          <w:p>
            <w:pPr/>
          </w:p>
        </w:tc>
        <w:tc>
          <w:tcPr>
            <w:tcW w:w="808"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5177"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1" w:right="-2"/>
              <w:jc w:val="left"/>
              <w:rPr>
                <w:rFonts w:ascii="宋体" w:hAnsi="宋体" w:cs="宋体" w:eastAsia="宋体" w:hint="default"/>
                <w:sz w:val="15"/>
                <w:szCs w:val="15"/>
              </w:rPr>
            </w:pPr>
            <w:r>
              <w:rPr>
                <w:rFonts w:ascii="宋体" w:hAnsi="宋体" w:cs="宋体" w:eastAsia="宋体" w:hint="default"/>
                <w:sz w:val="15"/>
                <w:szCs w:val="15"/>
              </w:rPr>
              <w:t>控制的其他企业将与中国长城依法签订规范的关联交易协议，关联交易价格依</w:t>
            </w:r>
          </w:p>
        </w:tc>
        <w:tc>
          <w:tcPr>
            <w:tcW w:w="1080" w:type="dxa"/>
            <w:tcBorders>
              <w:top w:val="nil" w:sz="6" w:space="0" w:color="auto"/>
              <w:left w:val="single" w:sz="4" w:space="0" w:color="000000"/>
              <w:bottom w:val="nil" w:sz="6" w:space="0" w:color="auto"/>
              <w:right w:val="single" w:sz="4" w:space="0" w:color="000000"/>
            </w:tcBorders>
          </w:tcPr>
          <w:p>
            <w:pPr/>
          </w:p>
        </w:tc>
        <w:tc>
          <w:tcPr>
            <w:tcW w:w="942" w:type="dxa"/>
            <w:tcBorders>
              <w:top w:val="nil" w:sz="6" w:space="0" w:color="auto"/>
              <w:left w:val="single" w:sz="4" w:space="0" w:color="000000"/>
              <w:bottom w:val="nil" w:sz="6" w:space="0" w:color="auto"/>
              <w:right w:val="single" w:sz="4" w:space="0" w:color="000000"/>
            </w:tcBorders>
          </w:tcPr>
          <w:p>
            <w:pPr/>
          </w:p>
        </w:tc>
        <w:tc>
          <w:tcPr>
            <w:tcW w:w="91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532" w:type="dxa"/>
            <w:tcBorders>
              <w:top w:val="nil" w:sz="6" w:space="0" w:color="auto"/>
              <w:left w:val="single" w:sz="4" w:space="0" w:color="000000"/>
              <w:bottom w:val="nil" w:sz="6" w:space="0" w:color="auto"/>
              <w:right w:val="single" w:sz="4" w:space="0" w:color="000000"/>
            </w:tcBorders>
            <w:shd w:val="clear" w:color="auto" w:fill="D3D3D3"/>
          </w:tcPr>
          <w:p>
            <w:pPr/>
          </w:p>
        </w:tc>
        <w:tc>
          <w:tcPr>
            <w:tcW w:w="808"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5177"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1" w:right="-2"/>
              <w:jc w:val="left"/>
              <w:rPr>
                <w:rFonts w:ascii="宋体" w:hAnsi="宋体" w:cs="宋体" w:eastAsia="宋体" w:hint="default"/>
                <w:sz w:val="15"/>
                <w:szCs w:val="15"/>
              </w:rPr>
            </w:pPr>
            <w:r>
              <w:rPr>
                <w:rFonts w:ascii="宋体" w:hAnsi="宋体" w:cs="宋体" w:eastAsia="宋体" w:hint="default"/>
                <w:sz w:val="15"/>
                <w:szCs w:val="15"/>
              </w:rPr>
              <w:t>照与无关联关系的独立第三方进行相同或相似交易时的价格确定，保证关联交</w:t>
            </w:r>
          </w:p>
        </w:tc>
        <w:tc>
          <w:tcPr>
            <w:tcW w:w="1080" w:type="dxa"/>
            <w:tcBorders>
              <w:top w:val="nil" w:sz="6" w:space="0" w:color="auto"/>
              <w:left w:val="single" w:sz="4" w:space="0" w:color="000000"/>
              <w:bottom w:val="nil" w:sz="6" w:space="0" w:color="auto"/>
              <w:right w:val="single" w:sz="4" w:space="0" w:color="000000"/>
            </w:tcBorders>
          </w:tcPr>
          <w:p>
            <w:pPr/>
          </w:p>
        </w:tc>
        <w:tc>
          <w:tcPr>
            <w:tcW w:w="942" w:type="dxa"/>
            <w:tcBorders>
              <w:top w:val="nil" w:sz="6" w:space="0" w:color="auto"/>
              <w:left w:val="single" w:sz="4" w:space="0" w:color="000000"/>
              <w:bottom w:val="nil" w:sz="6" w:space="0" w:color="auto"/>
              <w:right w:val="single" w:sz="4" w:space="0" w:color="000000"/>
            </w:tcBorders>
          </w:tcPr>
          <w:p>
            <w:pPr/>
          </w:p>
        </w:tc>
        <w:tc>
          <w:tcPr>
            <w:tcW w:w="91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532" w:type="dxa"/>
            <w:tcBorders>
              <w:top w:val="nil" w:sz="6" w:space="0" w:color="auto"/>
              <w:left w:val="single" w:sz="4" w:space="0" w:color="000000"/>
              <w:bottom w:val="nil" w:sz="6" w:space="0" w:color="auto"/>
              <w:right w:val="single" w:sz="4" w:space="0" w:color="000000"/>
            </w:tcBorders>
            <w:shd w:val="clear" w:color="auto" w:fill="D3D3D3"/>
          </w:tcPr>
          <w:p>
            <w:pPr/>
          </w:p>
        </w:tc>
        <w:tc>
          <w:tcPr>
            <w:tcW w:w="808"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nil" w:sz="6" w:space="0" w:color="auto"/>
              <w:right w:val="single" w:sz="4" w:space="0" w:color="000000"/>
            </w:tcBorders>
          </w:tcPr>
          <w:p>
            <w:pPr/>
          </w:p>
        </w:tc>
        <w:tc>
          <w:tcPr>
            <w:tcW w:w="5177"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1" w:right="-2"/>
              <w:jc w:val="left"/>
              <w:rPr>
                <w:rFonts w:ascii="宋体" w:hAnsi="宋体" w:cs="宋体" w:eastAsia="宋体" w:hint="default"/>
                <w:sz w:val="15"/>
                <w:szCs w:val="15"/>
              </w:rPr>
            </w:pPr>
            <w:r>
              <w:rPr>
                <w:rFonts w:ascii="宋体" w:hAnsi="宋体" w:cs="宋体" w:eastAsia="宋体" w:hint="default"/>
                <w:sz w:val="15"/>
                <w:szCs w:val="15"/>
              </w:rPr>
              <w:t>易价格具有公允性；并按照有关法律、法规、规章、其他规范性文件和中国长</w:t>
            </w:r>
          </w:p>
        </w:tc>
        <w:tc>
          <w:tcPr>
            <w:tcW w:w="1080" w:type="dxa"/>
            <w:tcBorders>
              <w:top w:val="nil" w:sz="6" w:space="0" w:color="auto"/>
              <w:left w:val="single" w:sz="4" w:space="0" w:color="000000"/>
              <w:bottom w:val="nil" w:sz="6" w:space="0" w:color="auto"/>
              <w:right w:val="single" w:sz="4" w:space="0" w:color="000000"/>
            </w:tcBorders>
          </w:tcPr>
          <w:p>
            <w:pPr/>
          </w:p>
        </w:tc>
        <w:tc>
          <w:tcPr>
            <w:tcW w:w="942" w:type="dxa"/>
            <w:tcBorders>
              <w:top w:val="nil" w:sz="6" w:space="0" w:color="auto"/>
              <w:left w:val="single" w:sz="4" w:space="0" w:color="000000"/>
              <w:bottom w:val="nil" w:sz="6" w:space="0" w:color="auto"/>
              <w:right w:val="single" w:sz="4" w:space="0" w:color="000000"/>
            </w:tcBorders>
          </w:tcPr>
          <w:p>
            <w:pPr/>
          </w:p>
        </w:tc>
        <w:tc>
          <w:tcPr>
            <w:tcW w:w="916" w:type="dxa"/>
            <w:tcBorders>
              <w:top w:val="nil" w:sz="6" w:space="0" w:color="auto"/>
              <w:left w:val="single" w:sz="4" w:space="0" w:color="000000"/>
              <w:bottom w:val="nil" w:sz="6" w:space="0" w:color="auto"/>
              <w:right w:val="single" w:sz="4" w:space="0" w:color="000000"/>
            </w:tcBorders>
          </w:tcPr>
          <w:p>
            <w:pPr/>
          </w:p>
        </w:tc>
      </w:tr>
      <w:tr>
        <w:trPr>
          <w:trHeight w:val="318" w:hRule="exact"/>
        </w:trPr>
        <w:tc>
          <w:tcPr>
            <w:tcW w:w="1532" w:type="dxa"/>
            <w:tcBorders>
              <w:top w:val="nil" w:sz="6" w:space="0" w:color="auto"/>
              <w:left w:val="single" w:sz="4" w:space="0" w:color="000000"/>
              <w:bottom w:val="nil" w:sz="6" w:space="0" w:color="auto"/>
              <w:right w:val="single" w:sz="4" w:space="0" w:color="000000"/>
            </w:tcBorders>
            <w:shd w:val="clear" w:color="auto" w:fill="D3D3D3"/>
          </w:tcPr>
          <w:p>
            <w:pPr/>
          </w:p>
        </w:tc>
        <w:tc>
          <w:tcPr>
            <w:tcW w:w="808" w:type="dxa"/>
            <w:tcBorders>
              <w:top w:val="nil" w:sz="6" w:space="0" w:color="auto"/>
              <w:left w:val="single" w:sz="4" w:space="0" w:color="000000"/>
              <w:bottom w:val="nil" w:sz="6" w:space="0" w:color="auto"/>
              <w:right w:val="single" w:sz="4" w:space="0" w:color="000000"/>
            </w:tcBorders>
          </w:tcPr>
          <w:p>
            <w:pPr/>
          </w:p>
        </w:tc>
        <w:tc>
          <w:tcPr>
            <w:tcW w:w="1156" w:type="dxa"/>
            <w:tcBorders>
              <w:top w:val="nil" w:sz="6" w:space="0" w:color="auto"/>
              <w:left w:val="single" w:sz="4" w:space="0" w:color="000000"/>
              <w:bottom w:val="single" w:sz="4" w:space="0" w:color="000000"/>
              <w:right w:val="single" w:sz="4" w:space="0" w:color="000000"/>
            </w:tcBorders>
          </w:tcPr>
          <w:p>
            <w:pPr/>
          </w:p>
        </w:tc>
        <w:tc>
          <w:tcPr>
            <w:tcW w:w="517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4"/>
              <w:ind w:left="-1" w:right="-2"/>
              <w:jc w:val="left"/>
              <w:rPr>
                <w:rFonts w:ascii="宋体" w:hAnsi="宋体" w:cs="宋体" w:eastAsia="宋体" w:hint="default"/>
                <w:sz w:val="15"/>
                <w:szCs w:val="15"/>
              </w:rPr>
            </w:pPr>
            <w:r>
              <w:rPr>
                <w:rFonts w:ascii="宋体" w:hAnsi="宋体" w:cs="宋体" w:eastAsia="宋体" w:hint="default"/>
                <w:sz w:val="15"/>
                <w:szCs w:val="15"/>
              </w:rPr>
              <w:t>城公司章程的规定，履行关联交易决策、回避表决等公允程序，及时进行信息</w:t>
            </w:r>
          </w:p>
        </w:tc>
        <w:tc>
          <w:tcPr>
            <w:tcW w:w="1080" w:type="dxa"/>
            <w:tcBorders>
              <w:top w:val="nil" w:sz="6" w:space="0" w:color="auto"/>
              <w:left w:val="single" w:sz="4" w:space="0" w:color="000000"/>
              <w:bottom w:val="nil" w:sz="6" w:space="0" w:color="auto"/>
              <w:right w:val="single" w:sz="4" w:space="0" w:color="000000"/>
            </w:tcBorders>
          </w:tcPr>
          <w:p>
            <w:pPr/>
          </w:p>
        </w:tc>
        <w:tc>
          <w:tcPr>
            <w:tcW w:w="942" w:type="dxa"/>
            <w:tcBorders>
              <w:top w:val="nil" w:sz="6" w:space="0" w:color="auto"/>
              <w:left w:val="single" w:sz="4" w:space="0" w:color="000000"/>
              <w:bottom w:val="single" w:sz="4" w:space="0" w:color="000000"/>
              <w:right w:val="single" w:sz="4" w:space="0" w:color="000000"/>
            </w:tcBorders>
          </w:tcPr>
          <w:p>
            <w:pPr/>
          </w:p>
        </w:tc>
        <w:tc>
          <w:tcPr>
            <w:tcW w:w="916" w:type="dxa"/>
            <w:tcBorders>
              <w:top w:val="nil" w:sz="6" w:space="0" w:color="auto"/>
              <w:left w:val="single" w:sz="4" w:space="0" w:color="000000"/>
              <w:bottom w:val="single" w:sz="4" w:space="0" w:color="000000"/>
              <w:right w:val="single" w:sz="4" w:space="0" w:color="000000"/>
            </w:tcBorders>
          </w:tcPr>
          <w:p>
            <w:pPr/>
          </w:p>
        </w:tc>
      </w:tr>
    </w:tbl>
    <w:p>
      <w:pPr>
        <w:spacing w:after="0"/>
        <w:sectPr>
          <w:pgSz w:w="11910" w:h="16840"/>
          <w:pgMar w:header="787" w:footer="982" w:top="1100" w:bottom="1180" w:left="40" w:right="0"/>
        </w:sectPr>
      </w:pPr>
    </w:p>
    <w:p>
      <w:pPr>
        <w:spacing w:line="240" w:lineRule="auto" w:before="10"/>
        <w:rPr>
          <w:rFonts w:ascii="Times New Roman" w:hAnsi="Times New Roman" w:cs="Times New Roman" w:eastAsia="Times New Roman" w:hint="default"/>
          <w:sz w:val="28"/>
          <w:szCs w:val="28"/>
        </w:rPr>
      </w:pPr>
      <w:r>
        <w:rPr/>
        <w:pict>
          <v:shape style="position:absolute;margin-left:436.980011pt;margin-top:72.480003pt;width:57.8pt;height:140.4pt;mso-position-horizontal-relative:page;mso-position-vertical-relative:page;z-index:-1402000" type="#_x0000_t202" filled="false" stroked="false">
            <v:textbox inset="0,0,0,0">
              <w:txbxContent>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5"/>
                    <w:rPr>
                      <w:rFonts w:ascii="Times New Roman" w:hAnsi="Times New Roman" w:cs="Times New Roman" w:eastAsia="Times New Roman" w:hint="default"/>
                      <w:sz w:val="13"/>
                      <w:szCs w:val="13"/>
                    </w:rPr>
                  </w:pPr>
                </w:p>
                <w:p>
                  <w:pPr>
                    <w:spacing w:before="0"/>
                    <w:ind w:left="0" w:right="0" w:firstLine="0"/>
                    <w:jc w:val="left"/>
                    <w:rPr>
                      <w:rFonts w:ascii="宋体" w:hAnsi="宋体" w:cs="宋体" w:eastAsia="宋体" w:hint="default"/>
                      <w:sz w:val="15"/>
                      <w:szCs w:val="15"/>
                    </w:rPr>
                  </w:pPr>
                  <w:r>
                    <w:rPr>
                      <w:rFonts w:ascii="宋体" w:hAnsi="宋体" w:cs="宋体" w:eastAsia="宋体" w:hint="default"/>
                      <w:sz w:val="15"/>
                      <w:szCs w:val="15"/>
                    </w:rPr>
                    <w:t>。</w:t>
                  </w: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line="240" w:lineRule="auto" w:before="0"/>
                    <w:rPr>
                      <w:rFonts w:ascii="Times New Roman" w:hAnsi="Times New Roman" w:cs="Times New Roman" w:eastAsia="Times New Roman" w:hint="default"/>
                      <w:sz w:val="14"/>
                      <w:szCs w:val="14"/>
                    </w:rPr>
                  </w:pPr>
                </w:p>
                <w:p>
                  <w:pPr>
                    <w:spacing w:before="85"/>
                    <w:ind w:left="0" w:right="0" w:firstLine="0"/>
                    <w:jc w:val="left"/>
                    <w:rPr>
                      <w:rFonts w:ascii="宋体" w:hAnsi="宋体" w:cs="宋体" w:eastAsia="宋体" w:hint="default"/>
                      <w:sz w:val="15"/>
                      <w:szCs w:val="15"/>
                    </w:rPr>
                  </w:pPr>
                  <w:r>
                    <w:rPr>
                      <w:rFonts w:ascii="宋体" w:hAnsi="宋体" w:cs="宋体" w:eastAsia="宋体" w:hint="default"/>
                      <w:sz w:val="15"/>
                      <w:szCs w:val="15"/>
                    </w:rPr>
                    <w:t>。</w:t>
                  </w:r>
                </w:p>
              </w:txbxContent>
            </v:textbox>
            <w10:wrap type="none"/>
          </v:shape>
        </w:pict>
      </w:r>
      <w:r>
        <w:rPr/>
        <w:pict>
          <v:shape style="position:absolute;margin-left:436.980011pt;margin-top:260.220001pt;width:57.8pt;height:109.7pt;mso-position-horizontal-relative:page;mso-position-vertical-relative:page;z-index:-1401976" type="#_x0000_t202" filled="false" stroked="false">
            <v:textbox inset="0,0,0,0">
              <w:txbxContent>
                <w:p>
                  <w:pPr>
                    <w:spacing w:line="240" w:lineRule="auto" w:before="0"/>
                    <w:rPr>
                      <w:rFonts w:ascii="Times New Roman" w:hAnsi="Times New Roman" w:cs="Times New Roman" w:eastAsia="Times New Roman" w:hint="default"/>
                      <w:sz w:val="14"/>
                      <w:szCs w:val="14"/>
                    </w:rPr>
                  </w:pPr>
                </w:p>
                <w:p>
                  <w:pPr>
                    <w:spacing w:line="240" w:lineRule="auto" w:before="10"/>
                    <w:rPr>
                      <w:rFonts w:ascii="Times New Roman" w:hAnsi="Times New Roman" w:cs="Times New Roman" w:eastAsia="Times New Roman" w:hint="default"/>
                      <w:sz w:val="16"/>
                      <w:szCs w:val="16"/>
                    </w:rPr>
                  </w:pPr>
                </w:p>
                <w:p>
                  <w:pPr>
                    <w:spacing w:before="0"/>
                    <w:ind w:left="1" w:right="0" w:firstLine="0"/>
                    <w:jc w:val="left"/>
                    <w:rPr>
                      <w:rFonts w:ascii="宋体" w:hAnsi="宋体" w:cs="宋体" w:eastAsia="宋体" w:hint="default"/>
                      <w:sz w:val="15"/>
                      <w:szCs w:val="15"/>
                    </w:rPr>
                  </w:pPr>
                  <w:r>
                    <w:rPr>
                      <w:rFonts w:ascii="宋体" w:hAnsi="宋体" w:cs="宋体" w:eastAsia="宋体" w:hint="default"/>
                      <w:sz w:val="15"/>
                      <w:szCs w:val="15"/>
                    </w:rPr>
                    <w:t>、</w:t>
                  </w:r>
                </w:p>
                <w:p>
                  <w:pPr>
                    <w:spacing w:before="115"/>
                    <w:ind w:left="0" w:right="0" w:firstLine="0"/>
                    <w:jc w:val="left"/>
                    <w:rPr>
                      <w:rFonts w:ascii="宋体" w:hAnsi="宋体" w:cs="宋体" w:eastAsia="宋体" w:hint="default"/>
                      <w:sz w:val="15"/>
                      <w:szCs w:val="15"/>
                    </w:rPr>
                  </w:pPr>
                  <w:r>
                    <w:rPr>
                      <w:rFonts w:ascii="宋体" w:hAnsi="宋体" w:cs="宋体" w:eastAsia="宋体" w:hint="default"/>
                      <w:sz w:val="15"/>
                      <w:szCs w:val="15"/>
                    </w:rPr>
                    <w:t>。</w:t>
                  </w:r>
                </w:p>
              </w:txbxContent>
            </v:textbox>
            <w10:wrap type="none"/>
          </v:shape>
        </w:pict>
      </w:r>
      <w:r>
        <w:rPr/>
        <w:pict>
          <v:group style="position:absolute;margin-left:124.620003pt;margin-top:637.080017pt;width:57.3pt;height:93.6pt;mso-position-horizontal-relative:page;mso-position-vertical-relative:page;z-index:-1401952" coordorigin="2492,12742" coordsize="1146,1872">
            <v:group style="position:absolute;left:2492;top:12742;width:1146;height:780" coordorigin="2492,12742" coordsize="1146,780">
              <v:shape style="position:absolute;left:2492;top:12742;width:1146;height:780" coordorigin="2492,12742" coordsize="1146,780" path="m2492,13522l3638,13522,3638,12742,2492,12742,2492,13522xe" filled="true" fillcolor="#ffffff" stroked="false">
                <v:path arrowok="t"/>
                <v:fill type="solid"/>
              </v:shape>
            </v:group>
            <v:group style="position:absolute;left:2492;top:13834;width:1146;height:780" coordorigin="2492,13834" coordsize="1146,780">
              <v:shape style="position:absolute;left:2492;top:13834;width:1146;height:780" coordorigin="2492,13834" coordsize="1146,780" path="m2492,14614l3638,14614,3638,13834,2492,13834,2492,14614xe" filled="true" fillcolor="#ffffff" stroked="false">
                <v:path arrowok="t"/>
                <v:fill type="solid"/>
              </v:shape>
            </v:group>
            <v:group style="position:absolute;left:2492;top:13522;width:1146;height:312" coordorigin="2492,13522" coordsize="1146,312">
              <v:shape style="position:absolute;left:2492;top:13522;width:1146;height:312" coordorigin="2492,13522" coordsize="1146,312" path="m2492,13834l3638,13834,3638,13522,2492,13522,2492,13834xe" filled="true" fillcolor="#ffffff" stroked="false">
                <v:path arrowok="t"/>
                <v:fill type="solid"/>
              </v:shape>
            </v:group>
            <w10:wrap type="none"/>
          </v:group>
        </w:pict>
      </w:r>
    </w:p>
    <w:tbl>
      <w:tblPr>
        <w:tblW w:w="0" w:type="auto"/>
        <w:jc w:val="left"/>
        <w:tblInd w:w="102" w:type="dxa"/>
        <w:tblLayout w:type="fixed"/>
        <w:tblCellMar>
          <w:top w:w="0" w:type="dxa"/>
          <w:left w:w="0" w:type="dxa"/>
          <w:bottom w:w="0" w:type="dxa"/>
          <w:right w:w="0" w:type="dxa"/>
        </w:tblCellMar>
        <w:tblLook w:val="01E0"/>
      </w:tblPr>
      <w:tblGrid>
        <w:gridCol w:w="1532"/>
        <w:gridCol w:w="808"/>
        <w:gridCol w:w="1156"/>
        <w:gridCol w:w="5177"/>
        <w:gridCol w:w="1080"/>
        <w:gridCol w:w="942"/>
        <w:gridCol w:w="916"/>
      </w:tblGrid>
      <w:tr>
        <w:trPr>
          <w:trHeight w:val="2818" w:hRule="exact"/>
        </w:trPr>
        <w:tc>
          <w:tcPr>
            <w:tcW w:w="1532" w:type="dxa"/>
            <w:vMerge w:val="restart"/>
            <w:tcBorders>
              <w:top w:val="nil" w:sz="6" w:space="0" w:color="auto"/>
              <w:left w:val="single" w:sz="4" w:space="0" w:color="000000"/>
              <w:right w:val="single" w:sz="4" w:space="0" w:color="000000"/>
            </w:tcBorders>
            <w:shd w:val="clear" w:color="auto" w:fill="D3D3D3"/>
          </w:tcPr>
          <w:p>
            <w:pPr/>
          </w:p>
        </w:tc>
        <w:tc>
          <w:tcPr>
            <w:tcW w:w="808" w:type="dxa"/>
            <w:vMerge w:val="restart"/>
            <w:tcBorders>
              <w:top w:val="single" w:sz="4" w:space="0" w:color="FFFFFF"/>
              <w:left w:val="single" w:sz="4" w:space="0" w:color="000000"/>
              <w:right w:val="single" w:sz="4" w:space="0" w:color="000000"/>
            </w:tcBorders>
          </w:tcPr>
          <w:p>
            <w:pPr/>
          </w:p>
        </w:tc>
        <w:tc>
          <w:tcPr>
            <w:tcW w:w="1156" w:type="dxa"/>
            <w:tcBorders>
              <w:top w:val="single" w:sz="4" w:space="0" w:color="FFFFFF"/>
              <w:left w:val="single" w:sz="4" w:space="0" w:color="000000"/>
              <w:bottom w:val="single" w:sz="4" w:space="0" w:color="000000"/>
              <w:right w:val="single" w:sz="4" w:space="0" w:color="000000"/>
            </w:tcBorders>
          </w:tcPr>
          <w:p>
            <w:pPr/>
          </w:p>
        </w:tc>
        <w:tc>
          <w:tcPr>
            <w:tcW w:w="5177" w:type="dxa"/>
            <w:tcBorders>
              <w:top w:val="single" w:sz="4" w:space="0" w:color="000000"/>
              <w:left w:val="single" w:sz="4" w:space="0" w:color="000000"/>
              <w:bottom w:val="single" w:sz="4" w:space="0" w:color="000000"/>
              <w:right w:val="single" w:sz="4" w:space="0" w:color="000000"/>
            </w:tcBorders>
          </w:tcPr>
          <w:p>
            <w:pPr>
              <w:pStyle w:val="TableParagraph"/>
              <w:spacing w:line="381" w:lineRule="auto" w:before="33"/>
              <w:ind w:left="-1" w:right="-2"/>
              <w:jc w:val="both"/>
              <w:rPr>
                <w:rFonts w:ascii="宋体" w:hAnsi="宋体" w:cs="宋体" w:eastAsia="宋体" w:hint="default"/>
                <w:sz w:val="15"/>
                <w:szCs w:val="15"/>
              </w:rPr>
            </w:pPr>
            <w:r>
              <w:rPr>
                <w:rFonts w:ascii="宋体" w:hAnsi="宋体" w:cs="宋体" w:eastAsia="宋体" w:hint="default"/>
                <w:sz w:val="15"/>
                <w:szCs w:val="15"/>
              </w:rPr>
              <w:t>披露，保证不通过关联交易损害中国长城及中国长城其他股东的合法权益；保</w:t>
            </w:r>
            <w:r>
              <w:rPr>
                <w:rFonts w:ascii="宋体" w:hAnsi="宋体" w:cs="宋体" w:eastAsia="宋体" w:hint="default"/>
                <w:spacing w:val="-19"/>
                <w:sz w:val="15"/>
                <w:szCs w:val="15"/>
              </w:rPr>
              <w:t> </w:t>
            </w:r>
            <w:r>
              <w:rPr>
                <w:rFonts w:ascii="宋体" w:hAnsi="宋体" w:cs="宋体" w:eastAsia="宋体" w:hint="default"/>
                <w:spacing w:val="-19"/>
                <w:sz w:val="15"/>
                <w:szCs w:val="15"/>
              </w:rPr>
            </w:r>
            <w:r>
              <w:rPr>
                <w:rFonts w:ascii="宋体" w:hAnsi="宋体" w:cs="宋体" w:eastAsia="宋体" w:hint="default"/>
                <w:sz w:val="15"/>
                <w:szCs w:val="15"/>
              </w:rPr>
              <w:t>证不要求或不接受中国长城在任何一项市场公平交易中给予中国电子及其控制</w:t>
            </w:r>
            <w:r>
              <w:rPr>
                <w:rFonts w:ascii="宋体" w:hAnsi="宋体" w:cs="宋体" w:eastAsia="宋体" w:hint="default"/>
                <w:spacing w:val="-19"/>
                <w:sz w:val="15"/>
                <w:szCs w:val="15"/>
              </w:rPr>
              <w:t> </w:t>
            </w:r>
            <w:r>
              <w:rPr>
                <w:rFonts w:ascii="宋体" w:hAnsi="宋体" w:cs="宋体" w:eastAsia="宋体" w:hint="default"/>
                <w:spacing w:val="-19"/>
                <w:sz w:val="15"/>
                <w:szCs w:val="15"/>
              </w:rPr>
            </w:r>
            <w:r>
              <w:rPr>
                <w:rFonts w:ascii="宋体" w:hAnsi="宋体" w:cs="宋体" w:eastAsia="宋体" w:hint="default"/>
                <w:sz w:val="15"/>
                <w:szCs w:val="15"/>
              </w:rPr>
              <w:t>的其他企业优于给予第三者的条件；保证将依照中国长城公司章程行使相应权</w:t>
            </w:r>
            <w:r>
              <w:rPr>
                <w:rFonts w:ascii="宋体" w:hAnsi="宋体" w:cs="宋体" w:eastAsia="宋体" w:hint="default"/>
                <w:spacing w:val="-19"/>
                <w:sz w:val="15"/>
                <w:szCs w:val="15"/>
              </w:rPr>
              <w:t> </w:t>
            </w:r>
            <w:r>
              <w:rPr>
                <w:rFonts w:ascii="宋体" w:hAnsi="宋体" w:cs="宋体" w:eastAsia="宋体" w:hint="default"/>
                <w:spacing w:val="-19"/>
                <w:sz w:val="15"/>
                <w:szCs w:val="15"/>
              </w:rPr>
            </w:r>
            <w:r>
              <w:rPr>
                <w:rFonts w:ascii="宋体" w:hAnsi="宋体" w:cs="宋体" w:eastAsia="宋体" w:hint="default"/>
                <w:sz w:val="15"/>
                <w:szCs w:val="15"/>
              </w:rPr>
              <w:t>利，承担相应义务，不利用实际控制人的身份谋取不正当利益，不利用关联交</w:t>
            </w:r>
            <w:r>
              <w:rPr>
                <w:rFonts w:ascii="宋体" w:hAnsi="宋体" w:cs="宋体" w:eastAsia="宋体" w:hint="default"/>
                <w:spacing w:val="-19"/>
                <w:sz w:val="15"/>
                <w:szCs w:val="15"/>
              </w:rPr>
              <w:t> </w:t>
            </w:r>
            <w:r>
              <w:rPr>
                <w:rFonts w:ascii="宋体" w:hAnsi="宋体" w:cs="宋体" w:eastAsia="宋体" w:hint="default"/>
                <w:spacing w:val="-19"/>
                <w:sz w:val="15"/>
                <w:szCs w:val="15"/>
              </w:rPr>
            </w:r>
            <w:r>
              <w:rPr>
                <w:rFonts w:ascii="宋体" w:hAnsi="宋体" w:cs="宋体" w:eastAsia="宋体" w:hint="default"/>
                <w:sz w:val="15"/>
                <w:szCs w:val="15"/>
              </w:rPr>
              <w:t>易非法转移中国长城的资金、利润，保证不损害中国长城其他股东的合法权益</w:t>
            </w:r>
          </w:p>
          <w:p>
            <w:pPr>
              <w:pStyle w:val="TableParagraph"/>
              <w:spacing w:line="381" w:lineRule="auto" w:before="27"/>
              <w:ind w:left="-1" w:right="-3" w:firstLine="300"/>
              <w:jc w:val="left"/>
              <w:rPr>
                <w:rFonts w:ascii="宋体" w:hAnsi="宋体" w:cs="宋体" w:eastAsia="宋体" w:hint="default"/>
                <w:sz w:val="15"/>
                <w:szCs w:val="15"/>
              </w:rPr>
            </w:pPr>
            <w:r>
              <w:rPr>
                <w:rFonts w:ascii="宋体" w:hAnsi="宋体" w:cs="宋体" w:eastAsia="宋体" w:hint="default"/>
                <w:sz w:val="15"/>
                <w:szCs w:val="15"/>
              </w:rPr>
              <w:t>如违反上述承诺，愿意承担由此产生的全部责任，充分赔偿或补偿由此给</w:t>
            </w:r>
            <w:r>
              <w:rPr>
                <w:rFonts w:ascii="宋体" w:hAnsi="宋体" w:cs="宋体" w:eastAsia="宋体" w:hint="default"/>
                <w:spacing w:val="2"/>
                <w:sz w:val="15"/>
                <w:szCs w:val="15"/>
              </w:rPr>
              <w:t> </w:t>
            </w:r>
            <w:r>
              <w:rPr>
                <w:rFonts w:ascii="宋体" w:hAnsi="宋体" w:cs="宋体" w:eastAsia="宋体" w:hint="default"/>
                <w:sz w:val="15"/>
                <w:szCs w:val="15"/>
              </w:rPr>
              <w:t>中国长城造成的所有直接或间接损失。</w:t>
            </w:r>
          </w:p>
          <w:p>
            <w:pPr>
              <w:pStyle w:val="TableParagraph"/>
              <w:spacing w:line="381" w:lineRule="auto" w:before="27"/>
              <w:ind w:left="-1" w:right="-3" w:firstLine="300"/>
              <w:jc w:val="left"/>
              <w:rPr>
                <w:rFonts w:ascii="宋体" w:hAnsi="宋体" w:cs="宋体" w:eastAsia="宋体" w:hint="default"/>
                <w:sz w:val="15"/>
                <w:szCs w:val="15"/>
              </w:rPr>
            </w:pPr>
            <w:r>
              <w:rPr>
                <w:rFonts w:ascii="宋体" w:hAnsi="宋体" w:cs="宋体" w:eastAsia="宋体" w:hint="default"/>
                <w:sz w:val="15"/>
                <w:szCs w:val="15"/>
              </w:rPr>
              <w:t>上述承诺在中国电子对中国长城拥有由资本因素或非资本因素形成的直接</w:t>
            </w:r>
            <w:r>
              <w:rPr>
                <w:rFonts w:ascii="宋体" w:hAnsi="宋体" w:cs="宋体" w:eastAsia="宋体" w:hint="default"/>
                <w:spacing w:val="2"/>
                <w:sz w:val="15"/>
                <w:szCs w:val="15"/>
              </w:rPr>
              <w:t> </w:t>
            </w:r>
            <w:r>
              <w:rPr>
                <w:rFonts w:ascii="宋体" w:hAnsi="宋体" w:cs="宋体" w:eastAsia="宋体" w:hint="default"/>
                <w:sz w:val="15"/>
                <w:szCs w:val="15"/>
              </w:rPr>
              <w:t>或间接的控制权或对中国长城存在重大影响期间持续有效，且不可变更或撤销</w:t>
            </w:r>
          </w:p>
        </w:tc>
        <w:tc>
          <w:tcPr>
            <w:tcW w:w="1080" w:type="dxa"/>
            <w:vMerge w:val="restart"/>
            <w:tcBorders>
              <w:top w:val="nil" w:sz="6" w:space="0" w:color="auto"/>
              <w:left w:val="single" w:sz="4" w:space="0" w:color="000000"/>
              <w:right w:val="single" w:sz="4" w:space="0" w:color="000000"/>
            </w:tcBorders>
          </w:tcPr>
          <w:p>
            <w:pPr>
              <w:pStyle w:val="TableParagraph"/>
              <w:spacing w:line="2808"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55"/>
                <w:sz w:val="20"/>
                <w:szCs w:val="20"/>
              </w:rPr>
              <w:pict>
                <v:group style="width:53.55pt;height:140.4pt;mso-position-horizontal-relative:char;mso-position-vertical-relative:line" coordorigin="0,0" coordsize="1071,2808">
                  <v:group style="position:absolute;left:0;top:0;width:1071;height:2808" coordorigin="0,0" coordsize="1071,2808">
                    <v:shape style="position:absolute;left:0;top:0;width:1071;height:2808" coordorigin="0,0" coordsize="1071,2808" path="m0,2808l1070,2808,1070,0,0,0,0,2808xe" filled="true" fillcolor="#ffffff" stroked="false">
                      <v:path arrowok="t"/>
                      <v:fill type="solid"/>
                    </v:shape>
                  </v:group>
                </v:group>
              </w:pict>
            </w:r>
            <w:r>
              <w:rPr>
                <w:rFonts w:ascii="Times New Roman" w:hAnsi="Times New Roman" w:cs="Times New Roman" w:eastAsia="Times New Roman" w:hint="default"/>
                <w:position w:val="-55"/>
                <w:sz w:val="20"/>
                <w:szCs w:val="20"/>
              </w:rPr>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2193"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43"/>
                <w:sz w:val="20"/>
                <w:szCs w:val="20"/>
              </w:rPr>
              <w:pict>
                <v:group style="width:53.55pt;height:109.7pt;mso-position-horizontal-relative:char;mso-position-vertical-relative:line" coordorigin="0,0" coordsize="1071,2194">
                  <v:group style="position:absolute;left:0;top:0;width:1071;height:2194" coordorigin="0,0" coordsize="1071,2194">
                    <v:shape style="position:absolute;left:0;top:0;width:1071;height:2194" coordorigin="0,0" coordsize="1071,2194" path="m0,2194l1070,2194,1070,0,0,0,0,2194xe" filled="true" fillcolor="#ffffff" stroked="false">
                      <v:path arrowok="t"/>
                      <v:fill type="solid"/>
                    </v:shape>
                  </v:group>
                </v:group>
              </w:pict>
            </w:r>
            <w:r>
              <w:rPr>
                <w:rFonts w:ascii="Times New Roman" w:hAnsi="Times New Roman" w:cs="Times New Roman" w:eastAsia="Times New Roman" w:hint="default"/>
                <w:position w:val="-43"/>
                <w:sz w:val="20"/>
                <w:szCs w:val="20"/>
              </w:rPr>
            </w:r>
          </w:p>
        </w:tc>
        <w:tc>
          <w:tcPr>
            <w:tcW w:w="942" w:type="dxa"/>
            <w:tcBorders>
              <w:top w:val="single" w:sz="4" w:space="0" w:color="FFFFFF"/>
              <w:left w:val="single" w:sz="4" w:space="0" w:color="000000"/>
              <w:bottom w:val="single" w:sz="4" w:space="0" w:color="000000"/>
              <w:right w:val="single" w:sz="4" w:space="0" w:color="000000"/>
            </w:tcBorders>
          </w:tcPr>
          <w:p>
            <w:pPr/>
          </w:p>
        </w:tc>
        <w:tc>
          <w:tcPr>
            <w:tcW w:w="916" w:type="dxa"/>
            <w:tcBorders>
              <w:top w:val="single" w:sz="4" w:space="0" w:color="FFFFFF"/>
              <w:left w:val="single" w:sz="4" w:space="0" w:color="000000"/>
              <w:bottom w:val="single" w:sz="4" w:space="0" w:color="000000"/>
              <w:right w:val="single" w:sz="4" w:space="0" w:color="000000"/>
            </w:tcBorders>
          </w:tcPr>
          <w:p>
            <w:pPr/>
          </w:p>
        </w:tc>
      </w:tr>
      <w:tr>
        <w:trPr>
          <w:trHeight w:val="947" w:hRule="exact"/>
        </w:trPr>
        <w:tc>
          <w:tcPr>
            <w:tcW w:w="1532" w:type="dxa"/>
            <w:vMerge/>
            <w:tcBorders>
              <w:left w:val="single" w:sz="4" w:space="0" w:color="000000"/>
              <w:right w:val="single" w:sz="4" w:space="0" w:color="000000"/>
            </w:tcBorders>
            <w:shd w:val="clear" w:color="auto" w:fill="D3D3D3"/>
          </w:tcPr>
          <w:p>
            <w:pPr/>
          </w:p>
        </w:tc>
        <w:tc>
          <w:tcPr>
            <w:tcW w:w="808" w:type="dxa"/>
            <w:vMerge/>
            <w:tcBorders>
              <w:left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6"/>
              <w:ind w:right="0"/>
              <w:jc w:val="left"/>
              <w:rPr>
                <w:rFonts w:ascii="宋体" w:hAnsi="宋体" w:cs="宋体" w:eastAsia="宋体" w:hint="default"/>
                <w:sz w:val="18"/>
                <w:szCs w:val="18"/>
              </w:rPr>
            </w:pPr>
            <w:r>
              <w:rPr>
                <w:rFonts w:ascii="宋体" w:hAnsi="宋体" w:cs="宋体" w:eastAsia="宋体" w:hint="default"/>
                <w:sz w:val="18"/>
                <w:szCs w:val="18"/>
              </w:rPr>
              <w:t>其他承诺</w:t>
            </w:r>
          </w:p>
        </w:tc>
        <w:tc>
          <w:tcPr>
            <w:tcW w:w="5177" w:type="dxa"/>
            <w:tcBorders>
              <w:top w:val="single" w:sz="4" w:space="0" w:color="000000"/>
              <w:left w:val="single" w:sz="4" w:space="0" w:color="000000"/>
              <w:bottom w:val="single" w:sz="4" w:space="0" w:color="000000"/>
              <w:right w:val="single" w:sz="4" w:space="0" w:color="000000"/>
            </w:tcBorders>
          </w:tcPr>
          <w:p>
            <w:pPr>
              <w:pStyle w:val="TableParagraph"/>
              <w:spacing w:line="381" w:lineRule="auto" w:before="34"/>
              <w:ind w:left="-1" w:right="-3" w:firstLine="300"/>
              <w:jc w:val="both"/>
              <w:rPr>
                <w:rFonts w:ascii="宋体" w:hAnsi="宋体" w:cs="宋体" w:eastAsia="宋体" w:hint="default"/>
                <w:sz w:val="15"/>
                <w:szCs w:val="15"/>
              </w:rPr>
            </w:pPr>
            <w:r>
              <w:rPr>
                <w:rFonts w:ascii="宋体" w:hAnsi="宋体" w:cs="宋体" w:eastAsia="宋体" w:hint="default"/>
                <w:sz w:val="15"/>
                <w:szCs w:val="15"/>
              </w:rPr>
              <w:t>保证上市公司独立性的承诺：在本次交易完成后，保证中国长城在人员、</w:t>
            </w:r>
            <w:r>
              <w:rPr>
                <w:rFonts w:ascii="宋体" w:hAnsi="宋体" w:cs="宋体" w:eastAsia="宋体" w:hint="default"/>
                <w:spacing w:val="2"/>
                <w:sz w:val="15"/>
                <w:szCs w:val="15"/>
              </w:rPr>
              <w:t> </w:t>
            </w:r>
            <w:r>
              <w:rPr>
                <w:rFonts w:ascii="宋体" w:hAnsi="宋体" w:cs="宋体" w:eastAsia="宋体" w:hint="default"/>
                <w:sz w:val="15"/>
                <w:szCs w:val="15"/>
              </w:rPr>
              <w:t>资产、财务、机构及业务方面与中国电子控制的其他企业完全分开，保持上市</w:t>
            </w:r>
            <w:r>
              <w:rPr>
                <w:rFonts w:ascii="宋体" w:hAnsi="宋体" w:cs="宋体" w:eastAsia="宋体" w:hint="default"/>
                <w:spacing w:val="-19"/>
                <w:sz w:val="15"/>
                <w:szCs w:val="15"/>
              </w:rPr>
              <w:t> </w:t>
            </w:r>
            <w:r>
              <w:rPr>
                <w:rFonts w:ascii="宋体" w:hAnsi="宋体" w:cs="宋体" w:eastAsia="宋体" w:hint="default"/>
                <w:spacing w:val="-19"/>
                <w:sz w:val="15"/>
                <w:szCs w:val="15"/>
              </w:rPr>
            </w:r>
            <w:r>
              <w:rPr>
                <w:rFonts w:ascii="宋体" w:hAnsi="宋体" w:cs="宋体" w:eastAsia="宋体" w:hint="default"/>
                <w:sz w:val="15"/>
                <w:szCs w:val="15"/>
              </w:rPr>
              <w:t>公司在业务、资产、人员、财务和机构方面的独立。</w:t>
            </w:r>
          </w:p>
        </w:tc>
        <w:tc>
          <w:tcPr>
            <w:tcW w:w="1080" w:type="dxa"/>
            <w:vMerge/>
            <w:tcBorders>
              <w:left w:val="single" w:sz="4" w:space="0" w:color="000000"/>
              <w:right w:val="single" w:sz="4" w:space="0" w:color="000000"/>
            </w:tcBorders>
          </w:tcPr>
          <w:p>
            <w:pPr/>
          </w:p>
        </w:tc>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6"/>
              <w:ind w:left="-1" w:right="0"/>
              <w:jc w:val="left"/>
              <w:rPr>
                <w:rFonts w:ascii="宋体" w:hAnsi="宋体" w:cs="宋体" w:eastAsia="宋体" w:hint="default"/>
                <w:sz w:val="18"/>
                <w:szCs w:val="18"/>
              </w:rPr>
            </w:pPr>
            <w:r>
              <w:rPr>
                <w:rFonts w:ascii="宋体" w:hAnsi="宋体" w:cs="宋体" w:eastAsia="宋体" w:hint="default"/>
                <w:sz w:val="18"/>
                <w:szCs w:val="18"/>
              </w:rPr>
              <w:t>长期有效</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6"/>
              <w:ind w:right="5"/>
              <w:jc w:val="center"/>
              <w:rPr>
                <w:rFonts w:ascii="宋体" w:hAnsi="宋体" w:cs="宋体" w:eastAsia="宋体" w:hint="default"/>
                <w:sz w:val="18"/>
                <w:szCs w:val="18"/>
              </w:rPr>
            </w:pPr>
            <w:r>
              <w:rPr>
                <w:rFonts w:ascii="宋体" w:hAnsi="宋体" w:cs="宋体" w:eastAsia="宋体" w:hint="default"/>
                <w:sz w:val="18"/>
                <w:szCs w:val="18"/>
              </w:rPr>
              <w:t>严格履行中</w:t>
            </w:r>
          </w:p>
        </w:tc>
      </w:tr>
      <w:tr>
        <w:trPr>
          <w:trHeight w:val="2194" w:hRule="exact"/>
        </w:trPr>
        <w:tc>
          <w:tcPr>
            <w:tcW w:w="1532" w:type="dxa"/>
            <w:vMerge/>
            <w:tcBorders>
              <w:left w:val="single" w:sz="4" w:space="0" w:color="000000"/>
              <w:right w:val="single" w:sz="4" w:space="0" w:color="000000"/>
            </w:tcBorders>
            <w:shd w:val="clear" w:color="auto" w:fill="D3D3D3"/>
          </w:tcPr>
          <w:p>
            <w:pPr/>
          </w:p>
        </w:tc>
        <w:tc>
          <w:tcPr>
            <w:tcW w:w="808" w:type="dxa"/>
            <w:vMerge/>
            <w:tcBorders>
              <w:left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14"/>
                <w:szCs w:val="14"/>
              </w:rPr>
            </w:pPr>
          </w:p>
          <w:p>
            <w:pPr>
              <w:pStyle w:val="TableParagraph"/>
              <w:spacing w:line="316" w:lineRule="auto"/>
              <w:ind w:right="65"/>
              <w:jc w:val="left"/>
              <w:rPr>
                <w:rFonts w:ascii="宋体" w:hAnsi="宋体" w:cs="宋体" w:eastAsia="宋体" w:hint="default"/>
                <w:sz w:val="18"/>
                <w:szCs w:val="18"/>
              </w:rPr>
            </w:pPr>
            <w:r>
              <w:rPr>
                <w:rFonts w:ascii="宋体" w:hAnsi="宋体" w:cs="宋体" w:eastAsia="宋体" w:hint="default"/>
                <w:sz w:val="18"/>
                <w:szCs w:val="18"/>
              </w:rPr>
              <w:t>业绩承诺及补 偿安排</w:t>
            </w:r>
          </w:p>
        </w:tc>
        <w:tc>
          <w:tcPr>
            <w:tcW w:w="5177" w:type="dxa"/>
            <w:tcBorders>
              <w:top w:val="single" w:sz="4" w:space="0" w:color="000000"/>
              <w:left w:val="single" w:sz="4" w:space="0" w:color="000000"/>
              <w:bottom w:val="single" w:sz="4" w:space="0" w:color="000000"/>
              <w:right w:val="single" w:sz="4" w:space="0" w:color="000000"/>
            </w:tcBorders>
          </w:tcPr>
          <w:p>
            <w:pPr>
              <w:pStyle w:val="TableParagraph"/>
              <w:spacing w:line="360" w:lineRule="auto" w:before="33"/>
              <w:ind w:left="-1" w:right="-7" w:firstLine="300"/>
              <w:jc w:val="left"/>
              <w:rPr>
                <w:rFonts w:ascii="宋体" w:hAnsi="宋体" w:cs="宋体" w:eastAsia="宋体" w:hint="default"/>
                <w:sz w:val="15"/>
                <w:szCs w:val="15"/>
              </w:rPr>
            </w:pPr>
            <w:r>
              <w:rPr>
                <w:rFonts w:ascii="宋体" w:hAnsi="宋体" w:cs="宋体" w:eastAsia="宋体" w:hint="default"/>
                <w:spacing w:val="3"/>
                <w:sz w:val="15"/>
                <w:szCs w:val="15"/>
              </w:rPr>
              <w:t>中国电子对标的公司在本次交易实施完毕当年及其后</w:t>
            </w:r>
            <w:r>
              <w:rPr>
                <w:rFonts w:ascii="Times New Roman" w:hAnsi="Times New Roman" w:cs="Times New Roman" w:eastAsia="Times New Roman" w:hint="default"/>
                <w:spacing w:val="3"/>
                <w:sz w:val="15"/>
                <w:szCs w:val="15"/>
              </w:rPr>
              <w:t>2</w:t>
            </w:r>
            <w:r>
              <w:rPr>
                <w:rFonts w:ascii="宋体" w:hAnsi="宋体" w:cs="宋体" w:eastAsia="宋体" w:hint="default"/>
                <w:spacing w:val="3"/>
                <w:sz w:val="15"/>
                <w:szCs w:val="15"/>
              </w:rPr>
              <w:t>个会计年度的具体</w:t>
            </w:r>
            <w:r>
              <w:rPr>
                <w:rFonts w:ascii="宋体" w:hAnsi="宋体" w:cs="宋体" w:eastAsia="宋体" w:hint="default"/>
                <w:spacing w:val="4"/>
                <w:sz w:val="15"/>
                <w:szCs w:val="15"/>
              </w:rPr>
              <w:t> </w:t>
            </w:r>
            <w:r>
              <w:rPr>
                <w:rFonts w:ascii="宋体" w:hAnsi="宋体" w:cs="宋体" w:eastAsia="宋体" w:hint="default"/>
                <w:sz w:val="15"/>
                <w:szCs w:val="15"/>
              </w:rPr>
              <w:t>每年的盈利承诺数如下：中原电子盈利承诺数为</w:t>
            </w:r>
            <w:r>
              <w:rPr>
                <w:rFonts w:ascii="Times New Roman" w:hAnsi="Times New Roman" w:cs="Times New Roman" w:eastAsia="Times New Roman" w:hint="default"/>
                <w:sz w:val="15"/>
                <w:szCs w:val="15"/>
              </w:rPr>
              <w:t>18,182.84</w:t>
            </w:r>
            <w:r>
              <w:rPr>
                <w:rFonts w:ascii="宋体" w:hAnsi="宋体" w:cs="宋体" w:eastAsia="宋体" w:hint="default"/>
                <w:sz w:val="15"/>
                <w:szCs w:val="15"/>
              </w:rPr>
              <w:t>万元、</w:t>
            </w:r>
            <w:r>
              <w:rPr>
                <w:rFonts w:ascii="Times New Roman" w:hAnsi="Times New Roman" w:cs="Times New Roman" w:eastAsia="Times New Roman" w:hint="default"/>
                <w:sz w:val="15"/>
                <w:szCs w:val="15"/>
              </w:rPr>
              <w:t>18,495.39</w:t>
            </w:r>
            <w:r>
              <w:rPr>
                <w:rFonts w:ascii="宋体" w:hAnsi="宋体" w:cs="宋体" w:eastAsia="宋体" w:hint="default"/>
                <w:sz w:val="15"/>
                <w:szCs w:val="15"/>
              </w:rPr>
              <w:t>万元 </w:t>
            </w:r>
            <w:r>
              <w:rPr>
                <w:rFonts w:ascii="Times New Roman" w:hAnsi="Times New Roman" w:cs="Times New Roman" w:eastAsia="Times New Roman" w:hint="default"/>
                <w:spacing w:val="-2"/>
                <w:sz w:val="15"/>
                <w:szCs w:val="15"/>
              </w:rPr>
              <w:t>20,329.37</w:t>
            </w:r>
            <w:r>
              <w:rPr>
                <w:rFonts w:ascii="宋体" w:hAnsi="宋体" w:cs="宋体" w:eastAsia="宋体" w:hint="default"/>
                <w:spacing w:val="-2"/>
                <w:sz w:val="15"/>
                <w:szCs w:val="15"/>
              </w:rPr>
              <w:t>万元；圣非凡盈利承诺数为</w:t>
            </w:r>
            <w:r>
              <w:rPr>
                <w:rFonts w:ascii="Times New Roman" w:hAnsi="Times New Roman" w:cs="Times New Roman" w:eastAsia="Times New Roman" w:hint="default"/>
                <w:spacing w:val="-2"/>
                <w:sz w:val="15"/>
                <w:szCs w:val="15"/>
              </w:rPr>
              <w:t>7,146.38</w:t>
            </w:r>
            <w:r>
              <w:rPr>
                <w:rFonts w:ascii="宋体" w:hAnsi="宋体" w:cs="宋体" w:eastAsia="宋体" w:hint="default"/>
                <w:spacing w:val="-2"/>
                <w:sz w:val="15"/>
                <w:szCs w:val="15"/>
              </w:rPr>
              <w:t>万元、</w:t>
            </w:r>
            <w:r>
              <w:rPr>
                <w:rFonts w:ascii="Times New Roman" w:hAnsi="Times New Roman" w:cs="Times New Roman" w:eastAsia="Times New Roman" w:hint="default"/>
                <w:spacing w:val="-2"/>
                <w:sz w:val="15"/>
                <w:szCs w:val="15"/>
              </w:rPr>
              <w:t>7,160.17</w:t>
            </w:r>
            <w:r>
              <w:rPr>
                <w:rFonts w:ascii="宋体" w:hAnsi="宋体" w:cs="宋体" w:eastAsia="宋体" w:hint="default"/>
                <w:spacing w:val="-2"/>
                <w:sz w:val="15"/>
                <w:szCs w:val="15"/>
              </w:rPr>
              <w:t>万元、</w:t>
            </w:r>
            <w:r>
              <w:rPr>
                <w:rFonts w:ascii="Times New Roman" w:hAnsi="Times New Roman" w:cs="Times New Roman" w:eastAsia="Times New Roman" w:hint="default"/>
                <w:spacing w:val="-2"/>
                <w:sz w:val="15"/>
                <w:szCs w:val="15"/>
              </w:rPr>
              <w:t>8,418.46</w:t>
            </w:r>
            <w:r>
              <w:rPr>
                <w:rFonts w:ascii="宋体" w:hAnsi="宋体" w:cs="宋体" w:eastAsia="宋体" w:hint="default"/>
                <w:spacing w:val="-2"/>
                <w:sz w:val="15"/>
                <w:szCs w:val="15"/>
              </w:rPr>
              <w:t>万元</w:t>
            </w:r>
            <w:r>
              <w:rPr>
                <w:rFonts w:ascii="宋体" w:hAnsi="宋体" w:cs="宋体" w:eastAsia="宋体" w:hint="default"/>
                <w:spacing w:val="-73"/>
                <w:sz w:val="15"/>
                <w:szCs w:val="15"/>
              </w:rPr>
              <w:t> </w:t>
            </w:r>
            <w:r>
              <w:rPr>
                <w:rFonts w:ascii="宋体" w:hAnsi="宋体" w:cs="宋体" w:eastAsia="宋体" w:hint="default"/>
                <w:sz w:val="15"/>
                <w:szCs w:val="15"/>
              </w:rPr>
              <w:t>该承诺净利润不包括募集配套资金的项目所产生的收益。</w:t>
            </w:r>
          </w:p>
          <w:p>
            <w:pPr>
              <w:pStyle w:val="TableParagraph"/>
              <w:spacing w:line="372" w:lineRule="auto" w:before="40"/>
              <w:ind w:left="-1" w:right="-3" w:firstLine="300"/>
              <w:jc w:val="both"/>
              <w:rPr>
                <w:rFonts w:ascii="宋体" w:hAnsi="宋体" w:cs="宋体" w:eastAsia="宋体" w:hint="default"/>
                <w:sz w:val="15"/>
                <w:szCs w:val="15"/>
              </w:rPr>
            </w:pPr>
            <w:r>
              <w:rPr>
                <w:rFonts w:ascii="宋体" w:hAnsi="宋体" w:cs="宋体" w:eastAsia="宋体" w:hint="default"/>
                <w:sz w:val="15"/>
                <w:szCs w:val="15"/>
              </w:rPr>
              <w:t>中国长城及中国电子确认本次交易完成后，标的公司在本次交易实施完毕</w:t>
            </w:r>
            <w:r>
              <w:rPr>
                <w:rFonts w:ascii="宋体" w:hAnsi="宋体" w:cs="宋体" w:eastAsia="宋体" w:hint="default"/>
                <w:spacing w:val="2"/>
                <w:sz w:val="15"/>
                <w:szCs w:val="15"/>
              </w:rPr>
              <w:t> </w:t>
            </w:r>
            <w:r>
              <w:rPr>
                <w:rFonts w:ascii="宋体" w:hAnsi="宋体" w:cs="宋体" w:eastAsia="宋体" w:hint="default"/>
                <w:sz w:val="15"/>
                <w:szCs w:val="15"/>
              </w:rPr>
              <w:t>当年及其后</w:t>
            </w:r>
            <w:r>
              <w:rPr>
                <w:rFonts w:ascii="Times New Roman" w:hAnsi="Times New Roman" w:cs="Times New Roman" w:eastAsia="Times New Roman" w:hint="default"/>
                <w:sz w:val="15"/>
                <w:szCs w:val="15"/>
              </w:rPr>
              <w:t>2</w:t>
            </w:r>
            <w:r>
              <w:rPr>
                <w:rFonts w:ascii="宋体" w:hAnsi="宋体" w:cs="宋体" w:eastAsia="宋体" w:hint="default"/>
                <w:sz w:val="15"/>
                <w:szCs w:val="15"/>
              </w:rPr>
              <w:t>个会计年度的累计实现净利润应不低于累计承诺净利润，否则中国 电子应按照《盈利预测补偿协议》规定对中国长城予以补偿。</w:t>
            </w:r>
          </w:p>
        </w:tc>
        <w:tc>
          <w:tcPr>
            <w:tcW w:w="1080" w:type="dxa"/>
            <w:vMerge/>
            <w:tcBorders>
              <w:left w:val="single" w:sz="4" w:space="0" w:color="000000"/>
              <w:bottom w:val="single" w:sz="4" w:space="0" w:color="000000"/>
              <w:right w:val="single" w:sz="4" w:space="0" w:color="000000"/>
            </w:tcBorders>
          </w:tcPr>
          <w:p>
            <w:pPr/>
          </w:p>
        </w:tc>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8"/>
              <w:ind w:left="-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8"/>
              <w:ind w:right="5"/>
              <w:jc w:val="center"/>
              <w:rPr>
                <w:rFonts w:ascii="宋体" w:hAnsi="宋体" w:cs="宋体" w:eastAsia="宋体" w:hint="default"/>
                <w:sz w:val="18"/>
                <w:szCs w:val="18"/>
              </w:rPr>
            </w:pPr>
            <w:r>
              <w:rPr>
                <w:rFonts w:ascii="宋体" w:hAnsi="宋体" w:cs="宋体" w:eastAsia="宋体" w:hint="default"/>
                <w:sz w:val="18"/>
                <w:szCs w:val="18"/>
              </w:rPr>
              <w:t>严格履行中</w:t>
            </w:r>
          </w:p>
        </w:tc>
      </w:tr>
      <w:tr>
        <w:trPr>
          <w:trHeight w:val="2818" w:hRule="exact"/>
        </w:trPr>
        <w:tc>
          <w:tcPr>
            <w:tcW w:w="1532" w:type="dxa"/>
            <w:vMerge/>
            <w:tcBorders>
              <w:left w:val="single" w:sz="4" w:space="0" w:color="000000"/>
              <w:right w:val="single" w:sz="4" w:space="0" w:color="000000"/>
            </w:tcBorders>
            <w:shd w:val="clear" w:color="auto" w:fill="D3D3D3"/>
          </w:tcPr>
          <w:p>
            <w:pPr/>
          </w:p>
        </w:tc>
        <w:tc>
          <w:tcPr>
            <w:tcW w:w="808" w:type="dxa"/>
            <w:vMerge/>
            <w:tcBorders>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9"/>
                <w:szCs w:val="19"/>
              </w:rPr>
            </w:pPr>
          </w:p>
          <w:p>
            <w:pPr>
              <w:pStyle w:val="TableParagraph"/>
              <w:spacing w:line="240" w:lineRule="auto"/>
              <w:ind w:right="0"/>
              <w:jc w:val="left"/>
              <w:rPr>
                <w:rFonts w:ascii="宋体" w:hAnsi="宋体" w:cs="宋体" w:eastAsia="宋体" w:hint="default"/>
                <w:sz w:val="18"/>
                <w:szCs w:val="18"/>
              </w:rPr>
            </w:pPr>
            <w:r>
              <w:rPr>
                <w:rFonts w:ascii="宋体" w:hAnsi="宋体" w:cs="宋体" w:eastAsia="宋体" w:hint="default"/>
                <w:sz w:val="18"/>
                <w:szCs w:val="18"/>
              </w:rPr>
              <w:t>股份限售承诺</w:t>
            </w:r>
          </w:p>
        </w:tc>
        <w:tc>
          <w:tcPr>
            <w:tcW w:w="5177" w:type="dxa"/>
            <w:tcBorders>
              <w:top w:val="single" w:sz="4" w:space="0" w:color="000000"/>
              <w:left w:val="single" w:sz="4" w:space="0" w:color="000000"/>
              <w:bottom w:val="single" w:sz="4" w:space="0" w:color="000000"/>
              <w:right w:val="single" w:sz="4" w:space="0" w:color="000000"/>
            </w:tcBorders>
          </w:tcPr>
          <w:p>
            <w:pPr>
              <w:pStyle w:val="TableParagraph"/>
              <w:spacing w:line="372" w:lineRule="auto" w:before="33"/>
              <w:ind w:left="-1" w:right="-3" w:firstLine="300"/>
              <w:jc w:val="both"/>
              <w:rPr>
                <w:rFonts w:ascii="宋体" w:hAnsi="宋体" w:cs="宋体" w:eastAsia="宋体" w:hint="default"/>
                <w:sz w:val="15"/>
                <w:szCs w:val="15"/>
              </w:rPr>
            </w:pPr>
            <w:r>
              <w:rPr>
                <w:rFonts w:ascii="宋体" w:hAnsi="宋体" w:cs="宋体" w:eastAsia="宋体" w:hint="default"/>
                <w:sz w:val="15"/>
                <w:szCs w:val="15"/>
              </w:rPr>
              <w:t>本次重大资产重组完成后，中国电子持有的长城信息股份相应变更为中国</w:t>
            </w:r>
            <w:r>
              <w:rPr>
                <w:rFonts w:ascii="宋体" w:hAnsi="宋体" w:cs="宋体" w:eastAsia="宋体" w:hint="default"/>
                <w:spacing w:val="2"/>
                <w:sz w:val="15"/>
                <w:szCs w:val="15"/>
              </w:rPr>
              <w:t> </w:t>
            </w:r>
            <w:r>
              <w:rPr>
                <w:rFonts w:ascii="宋体" w:hAnsi="宋体" w:cs="宋体" w:eastAsia="宋体" w:hint="default"/>
                <w:sz w:val="15"/>
                <w:szCs w:val="15"/>
              </w:rPr>
              <w:t>长城股份并自发行上市之日起</w:t>
            </w:r>
            <w:r>
              <w:rPr>
                <w:rFonts w:ascii="Times New Roman" w:hAnsi="Times New Roman" w:cs="Times New Roman" w:eastAsia="Times New Roman" w:hint="default"/>
                <w:sz w:val="15"/>
                <w:szCs w:val="15"/>
              </w:rPr>
              <w:t>36</w:t>
            </w:r>
            <w:r>
              <w:rPr>
                <w:rFonts w:ascii="宋体" w:hAnsi="宋体" w:cs="宋体" w:eastAsia="宋体" w:hint="default"/>
                <w:sz w:val="15"/>
                <w:szCs w:val="15"/>
              </w:rPr>
              <w:t>个月内不转让该等通过本次换股合并而取得的</w:t>
            </w:r>
            <w:r>
              <w:rPr>
                <w:rFonts w:ascii="宋体" w:hAnsi="宋体" w:cs="宋体" w:eastAsia="宋体" w:hint="default"/>
                <w:spacing w:val="-19"/>
                <w:sz w:val="15"/>
                <w:szCs w:val="15"/>
              </w:rPr>
              <w:t> </w:t>
            </w:r>
            <w:r>
              <w:rPr>
                <w:rFonts w:ascii="宋体" w:hAnsi="宋体" w:cs="宋体" w:eastAsia="宋体" w:hint="default"/>
                <w:spacing w:val="-19"/>
                <w:sz w:val="15"/>
                <w:szCs w:val="15"/>
              </w:rPr>
            </w:r>
            <w:r>
              <w:rPr>
                <w:rFonts w:ascii="宋体" w:hAnsi="宋体" w:cs="宋体" w:eastAsia="宋体" w:hint="default"/>
                <w:sz w:val="15"/>
                <w:szCs w:val="15"/>
              </w:rPr>
              <w:t>中国长城股份，之后按照中国证监会及深交所的有关规定执行。</w:t>
            </w:r>
          </w:p>
          <w:p>
            <w:pPr>
              <w:pStyle w:val="TableParagraph"/>
              <w:spacing w:line="381" w:lineRule="auto" w:before="33"/>
              <w:ind w:left="-1" w:right="-3" w:firstLine="300"/>
              <w:jc w:val="both"/>
              <w:rPr>
                <w:rFonts w:ascii="宋体" w:hAnsi="宋体" w:cs="宋体" w:eastAsia="宋体" w:hint="default"/>
                <w:sz w:val="15"/>
                <w:szCs w:val="15"/>
              </w:rPr>
            </w:pPr>
            <w:r>
              <w:rPr>
                <w:rFonts w:ascii="宋体" w:hAnsi="宋体" w:cs="宋体" w:eastAsia="宋体" w:hint="default"/>
                <w:sz w:val="15"/>
                <w:szCs w:val="15"/>
              </w:rPr>
              <w:t>本次重大资产重组完成后，中国电子以资产认购的中国长城新增股份自股</w:t>
            </w:r>
            <w:r>
              <w:rPr>
                <w:rFonts w:ascii="宋体" w:hAnsi="宋体" w:cs="宋体" w:eastAsia="宋体" w:hint="default"/>
                <w:spacing w:val="2"/>
                <w:sz w:val="15"/>
                <w:szCs w:val="15"/>
              </w:rPr>
              <w:t> </w:t>
            </w:r>
            <w:r>
              <w:rPr>
                <w:rFonts w:ascii="宋体" w:hAnsi="宋体" w:cs="宋体" w:eastAsia="宋体" w:hint="default"/>
                <w:sz w:val="15"/>
                <w:szCs w:val="15"/>
              </w:rPr>
              <w:t>份发行上市之日起</w:t>
            </w:r>
            <w:r>
              <w:rPr>
                <w:rFonts w:ascii="Times New Roman" w:hAnsi="Times New Roman" w:cs="Times New Roman" w:eastAsia="Times New Roman" w:hint="default"/>
                <w:sz w:val="15"/>
                <w:szCs w:val="15"/>
              </w:rPr>
              <w:t>36</w:t>
            </w:r>
            <w:r>
              <w:rPr>
                <w:rFonts w:ascii="宋体" w:hAnsi="宋体" w:cs="宋体" w:eastAsia="宋体" w:hint="default"/>
                <w:sz w:val="15"/>
                <w:szCs w:val="15"/>
              </w:rPr>
              <w:t>个月内不转让。</w:t>
            </w:r>
          </w:p>
          <w:p>
            <w:pPr>
              <w:pStyle w:val="TableParagraph"/>
              <w:spacing w:line="360" w:lineRule="auto" w:before="6"/>
              <w:ind w:left="-1" w:right="-2" w:firstLine="300"/>
              <w:jc w:val="both"/>
              <w:rPr>
                <w:rFonts w:ascii="宋体" w:hAnsi="宋体" w:cs="宋体" w:eastAsia="宋体" w:hint="default"/>
                <w:sz w:val="15"/>
                <w:szCs w:val="15"/>
              </w:rPr>
            </w:pPr>
            <w:r>
              <w:rPr>
                <w:rFonts w:ascii="宋体" w:hAnsi="宋体" w:cs="宋体" w:eastAsia="宋体" w:hint="default"/>
                <w:spacing w:val="-1"/>
                <w:sz w:val="15"/>
                <w:szCs w:val="15"/>
              </w:rPr>
              <w:t>本次交易完成后</w:t>
            </w:r>
            <w:r>
              <w:rPr>
                <w:rFonts w:ascii="Times New Roman" w:hAnsi="Times New Roman" w:cs="Times New Roman" w:eastAsia="Times New Roman" w:hint="default"/>
                <w:spacing w:val="-1"/>
                <w:sz w:val="15"/>
                <w:szCs w:val="15"/>
              </w:rPr>
              <w:t>6</w:t>
            </w:r>
            <w:r>
              <w:rPr>
                <w:rFonts w:ascii="宋体" w:hAnsi="宋体" w:cs="宋体" w:eastAsia="宋体" w:hint="default"/>
                <w:spacing w:val="-1"/>
                <w:sz w:val="15"/>
                <w:szCs w:val="15"/>
              </w:rPr>
              <w:t>个月内，如中国长城股票连续</w:t>
            </w:r>
            <w:r>
              <w:rPr>
                <w:rFonts w:ascii="Times New Roman" w:hAnsi="Times New Roman" w:cs="Times New Roman" w:eastAsia="Times New Roman" w:hint="default"/>
                <w:spacing w:val="-1"/>
                <w:sz w:val="15"/>
                <w:szCs w:val="15"/>
              </w:rPr>
              <w:t>20</w:t>
            </w:r>
            <w:r>
              <w:rPr>
                <w:rFonts w:ascii="宋体" w:hAnsi="宋体" w:cs="宋体" w:eastAsia="宋体" w:hint="default"/>
                <w:spacing w:val="-1"/>
                <w:sz w:val="15"/>
                <w:szCs w:val="15"/>
              </w:rPr>
              <w:t>个交易日的收盘价低于其</w:t>
            </w:r>
            <w:r>
              <w:rPr>
                <w:rFonts w:ascii="宋体" w:hAnsi="宋体" w:cs="宋体" w:eastAsia="宋体" w:hint="default"/>
                <w:sz w:val="15"/>
                <w:szCs w:val="15"/>
              </w:rPr>
              <w:t> </w:t>
            </w:r>
            <w:r>
              <w:rPr>
                <w:rFonts w:ascii="宋体" w:hAnsi="宋体" w:cs="宋体" w:eastAsia="宋体" w:hint="default"/>
                <w:spacing w:val="-1"/>
                <w:sz w:val="15"/>
                <w:szCs w:val="15"/>
              </w:rPr>
              <w:t>发行股份购买资产的发行价格，或者交易完成后</w:t>
            </w:r>
            <w:r>
              <w:rPr>
                <w:rFonts w:ascii="Times New Roman" w:hAnsi="Times New Roman" w:cs="Times New Roman" w:eastAsia="Times New Roman" w:hint="default"/>
                <w:spacing w:val="-1"/>
                <w:sz w:val="15"/>
                <w:szCs w:val="15"/>
              </w:rPr>
              <w:t>6</w:t>
            </w:r>
            <w:r>
              <w:rPr>
                <w:rFonts w:ascii="宋体" w:hAnsi="宋体" w:cs="宋体" w:eastAsia="宋体" w:hint="default"/>
                <w:spacing w:val="-1"/>
                <w:sz w:val="15"/>
                <w:szCs w:val="15"/>
              </w:rPr>
              <w:t>个月期末收盘价低于其发行股</w:t>
            </w:r>
            <w:r>
              <w:rPr>
                <w:rFonts w:ascii="宋体" w:hAnsi="宋体" w:cs="宋体" w:eastAsia="宋体" w:hint="default"/>
                <w:spacing w:val="-51"/>
                <w:sz w:val="15"/>
                <w:szCs w:val="15"/>
              </w:rPr>
              <w:t> </w:t>
            </w:r>
            <w:r>
              <w:rPr>
                <w:rFonts w:ascii="宋体" w:hAnsi="宋体" w:cs="宋体" w:eastAsia="宋体" w:hint="default"/>
                <w:spacing w:val="-51"/>
                <w:sz w:val="15"/>
                <w:szCs w:val="15"/>
              </w:rPr>
            </w:r>
            <w:r>
              <w:rPr>
                <w:rFonts w:ascii="宋体" w:hAnsi="宋体" w:cs="宋体" w:eastAsia="宋体" w:hint="default"/>
                <w:sz w:val="15"/>
                <w:szCs w:val="15"/>
              </w:rPr>
              <w:t>份购买资产发行价格的，则以上中国电子作出的股份锁定期承诺将在</w:t>
            </w:r>
            <w:r>
              <w:rPr>
                <w:rFonts w:ascii="Times New Roman" w:hAnsi="Times New Roman" w:cs="Times New Roman" w:eastAsia="Times New Roman" w:hint="default"/>
                <w:sz w:val="15"/>
                <w:szCs w:val="15"/>
              </w:rPr>
              <w:t>36</w:t>
            </w:r>
            <w:r>
              <w:rPr>
                <w:rFonts w:ascii="宋体" w:hAnsi="宋体" w:cs="宋体" w:eastAsia="宋体" w:hint="default"/>
                <w:sz w:val="15"/>
                <w:szCs w:val="15"/>
              </w:rPr>
              <w:t>个月的</w:t>
            </w:r>
            <w:r>
              <w:rPr>
                <w:rFonts w:ascii="宋体" w:hAnsi="宋体" w:cs="宋体" w:eastAsia="宋体" w:hint="default"/>
                <w:spacing w:val="-20"/>
                <w:sz w:val="15"/>
                <w:szCs w:val="15"/>
              </w:rPr>
              <w:t> </w:t>
            </w:r>
            <w:r>
              <w:rPr>
                <w:rFonts w:ascii="宋体" w:hAnsi="宋体" w:cs="宋体" w:eastAsia="宋体" w:hint="default"/>
                <w:spacing w:val="-20"/>
                <w:sz w:val="15"/>
                <w:szCs w:val="15"/>
              </w:rPr>
            </w:r>
            <w:r>
              <w:rPr>
                <w:rFonts w:ascii="宋体" w:hAnsi="宋体" w:cs="宋体" w:eastAsia="宋体" w:hint="default"/>
                <w:sz w:val="15"/>
                <w:szCs w:val="15"/>
              </w:rPr>
              <w:t>基础上自动延长</w:t>
            </w:r>
            <w:r>
              <w:rPr>
                <w:rFonts w:ascii="Times New Roman" w:hAnsi="Times New Roman" w:cs="Times New Roman" w:eastAsia="Times New Roman" w:hint="default"/>
                <w:sz w:val="15"/>
                <w:szCs w:val="15"/>
              </w:rPr>
              <w:t>6</w:t>
            </w:r>
            <w:r>
              <w:rPr>
                <w:rFonts w:ascii="宋体" w:hAnsi="宋体" w:cs="宋体" w:eastAsia="宋体" w:hint="default"/>
                <w:sz w:val="15"/>
                <w:szCs w:val="15"/>
              </w:rPr>
              <w:t>个月。</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3"/>
                <w:szCs w:val="23"/>
              </w:rPr>
            </w:pPr>
          </w:p>
          <w:p>
            <w:pPr>
              <w:pStyle w:val="TableParagraph"/>
              <w:spacing w:line="240" w:lineRule="auto"/>
              <w:ind w:left="-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3"/>
                <w:szCs w:val="23"/>
              </w:rPr>
            </w:pPr>
          </w:p>
          <w:p>
            <w:pPr>
              <w:pStyle w:val="TableParagraph"/>
              <w:spacing w:line="240" w:lineRule="auto"/>
              <w:ind w:left="-1" w:right="-1"/>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p>
          <w:p>
            <w:pPr>
              <w:pStyle w:val="TableParagraph"/>
              <w:spacing w:line="240" w:lineRule="auto" w:before="63"/>
              <w:ind w:left="-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9"/>
                <w:szCs w:val="19"/>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严格履行中</w:t>
            </w:r>
          </w:p>
        </w:tc>
      </w:tr>
      <w:tr>
        <w:trPr>
          <w:trHeight w:val="1883" w:hRule="exact"/>
        </w:trPr>
        <w:tc>
          <w:tcPr>
            <w:tcW w:w="1532" w:type="dxa"/>
            <w:vMerge/>
            <w:tcBorders>
              <w:left w:val="single" w:sz="4" w:space="0" w:color="000000"/>
              <w:bottom w:val="single" w:sz="4" w:space="0" w:color="000000"/>
              <w:right w:val="single" w:sz="4" w:space="0" w:color="000000"/>
            </w:tcBorders>
            <w:shd w:val="clear" w:color="auto" w:fill="D3D3D3"/>
          </w:tcPr>
          <w:p>
            <w:pPr/>
          </w:p>
        </w:tc>
        <w:tc>
          <w:tcPr>
            <w:tcW w:w="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316" w:lineRule="auto"/>
              <w:ind w:left="-1" w:right="77"/>
              <w:jc w:val="both"/>
              <w:rPr>
                <w:rFonts w:ascii="宋体" w:hAnsi="宋体" w:cs="宋体" w:eastAsia="宋体" w:hint="default"/>
                <w:sz w:val="18"/>
                <w:szCs w:val="18"/>
              </w:rPr>
            </w:pPr>
            <w:r>
              <w:rPr>
                <w:rFonts w:ascii="宋体" w:hAnsi="宋体" w:cs="宋体" w:eastAsia="宋体" w:hint="default"/>
                <w:sz w:val="18"/>
                <w:szCs w:val="18"/>
              </w:rPr>
              <w:t>湖南计算 机厂有限 公司</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宋体" w:hAnsi="宋体" w:cs="宋体" w:eastAsia="宋体" w:hint="default"/>
                <w:sz w:val="18"/>
                <w:szCs w:val="18"/>
              </w:rPr>
            </w:pPr>
            <w:r>
              <w:rPr>
                <w:rFonts w:ascii="宋体" w:hAnsi="宋体" w:cs="宋体" w:eastAsia="宋体" w:hint="default"/>
                <w:sz w:val="18"/>
                <w:szCs w:val="18"/>
              </w:rPr>
              <w:t>股份限售承诺</w:t>
            </w:r>
          </w:p>
        </w:tc>
        <w:tc>
          <w:tcPr>
            <w:tcW w:w="5177" w:type="dxa"/>
            <w:tcBorders>
              <w:top w:val="single" w:sz="4" w:space="0" w:color="000000"/>
              <w:left w:val="single" w:sz="4" w:space="0" w:color="000000"/>
              <w:bottom w:val="single" w:sz="4" w:space="0" w:color="000000"/>
              <w:right w:val="single" w:sz="4" w:space="0" w:color="000000"/>
            </w:tcBorders>
          </w:tcPr>
          <w:p>
            <w:pPr>
              <w:pStyle w:val="TableParagraph"/>
              <w:spacing w:line="372" w:lineRule="auto" w:before="34"/>
              <w:ind w:left="-1" w:right="-3" w:firstLine="300"/>
              <w:jc w:val="both"/>
              <w:rPr>
                <w:rFonts w:ascii="宋体" w:hAnsi="宋体" w:cs="宋体" w:eastAsia="宋体" w:hint="default"/>
                <w:sz w:val="15"/>
                <w:szCs w:val="15"/>
              </w:rPr>
            </w:pPr>
            <w:r>
              <w:rPr>
                <w:rFonts w:ascii="宋体" w:hAnsi="宋体" w:cs="宋体" w:eastAsia="宋体" w:hint="default"/>
                <w:sz w:val="15"/>
                <w:szCs w:val="15"/>
              </w:rPr>
              <w:t>本次重大资产重组完成后，湖南计算机厂有限公司持有的长城信息股份相</w:t>
            </w:r>
            <w:r>
              <w:rPr>
                <w:rFonts w:ascii="宋体" w:hAnsi="宋体" w:cs="宋体" w:eastAsia="宋体" w:hint="default"/>
                <w:spacing w:val="2"/>
                <w:sz w:val="15"/>
                <w:szCs w:val="15"/>
              </w:rPr>
              <w:t> </w:t>
            </w:r>
            <w:r>
              <w:rPr>
                <w:rFonts w:ascii="宋体" w:hAnsi="宋体" w:cs="宋体" w:eastAsia="宋体" w:hint="default"/>
                <w:sz w:val="15"/>
                <w:szCs w:val="15"/>
              </w:rPr>
              <w:t>应变更为中国长城股份并自发行上市之日起</w:t>
            </w:r>
            <w:r>
              <w:rPr>
                <w:rFonts w:ascii="Times New Roman" w:hAnsi="Times New Roman" w:cs="Times New Roman" w:eastAsia="Times New Roman" w:hint="default"/>
                <w:sz w:val="15"/>
                <w:szCs w:val="15"/>
              </w:rPr>
              <w:t>36</w:t>
            </w:r>
            <w:r>
              <w:rPr>
                <w:rFonts w:ascii="宋体" w:hAnsi="宋体" w:cs="宋体" w:eastAsia="宋体" w:hint="default"/>
                <w:sz w:val="15"/>
                <w:szCs w:val="15"/>
              </w:rPr>
              <w:t>个月内不转让该等通过本次换股</w:t>
            </w:r>
            <w:r>
              <w:rPr>
                <w:rFonts w:ascii="宋体" w:hAnsi="宋体" w:cs="宋体" w:eastAsia="宋体" w:hint="default"/>
                <w:spacing w:val="-20"/>
                <w:sz w:val="15"/>
                <w:szCs w:val="15"/>
              </w:rPr>
              <w:t> </w:t>
            </w:r>
            <w:r>
              <w:rPr>
                <w:rFonts w:ascii="宋体" w:hAnsi="宋体" w:cs="宋体" w:eastAsia="宋体" w:hint="default"/>
                <w:spacing w:val="-20"/>
                <w:sz w:val="15"/>
                <w:szCs w:val="15"/>
              </w:rPr>
            </w:r>
            <w:r>
              <w:rPr>
                <w:rFonts w:ascii="宋体" w:hAnsi="宋体" w:cs="宋体" w:eastAsia="宋体" w:hint="default"/>
                <w:sz w:val="15"/>
                <w:szCs w:val="15"/>
              </w:rPr>
              <w:t>合并而取得的中国长城股份，之后按照中国证监会及深交所的有关规定执行。</w:t>
            </w:r>
          </w:p>
          <w:p>
            <w:pPr>
              <w:pStyle w:val="TableParagraph"/>
              <w:spacing w:line="360" w:lineRule="auto" w:before="33"/>
              <w:ind w:left="-1" w:right="-1" w:firstLine="300"/>
              <w:jc w:val="both"/>
              <w:rPr>
                <w:rFonts w:ascii="宋体" w:hAnsi="宋体" w:cs="宋体" w:eastAsia="宋体" w:hint="default"/>
                <w:sz w:val="15"/>
                <w:szCs w:val="15"/>
              </w:rPr>
            </w:pPr>
            <w:r>
              <w:rPr>
                <w:rFonts w:ascii="宋体" w:hAnsi="宋体" w:cs="宋体" w:eastAsia="宋体" w:hint="default"/>
                <w:spacing w:val="-1"/>
                <w:sz w:val="15"/>
                <w:szCs w:val="15"/>
              </w:rPr>
              <w:t>本次交易完成后</w:t>
            </w:r>
            <w:r>
              <w:rPr>
                <w:rFonts w:ascii="Times New Roman" w:hAnsi="Times New Roman" w:cs="Times New Roman" w:eastAsia="Times New Roman" w:hint="default"/>
                <w:spacing w:val="-1"/>
                <w:sz w:val="15"/>
                <w:szCs w:val="15"/>
              </w:rPr>
              <w:t>6</w:t>
            </w:r>
            <w:r>
              <w:rPr>
                <w:rFonts w:ascii="宋体" w:hAnsi="宋体" w:cs="宋体" w:eastAsia="宋体" w:hint="default"/>
                <w:spacing w:val="-1"/>
                <w:sz w:val="15"/>
                <w:szCs w:val="15"/>
              </w:rPr>
              <w:t>个月内，如中国长城股票连续</w:t>
            </w:r>
            <w:r>
              <w:rPr>
                <w:rFonts w:ascii="Times New Roman" w:hAnsi="Times New Roman" w:cs="Times New Roman" w:eastAsia="Times New Roman" w:hint="default"/>
                <w:spacing w:val="-1"/>
                <w:sz w:val="15"/>
                <w:szCs w:val="15"/>
              </w:rPr>
              <w:t>20</w:t>
            </w:r>
            <w:r>
              <w:rPr>
                <w:rFonts w:ascii="宋体" w:hAnsi="宋体" w:cs="宋体" w:eastAsia="宋体" w:hint="default"/>
                <w:spacing w:val="-1"/>
                <w:sz w:val="15"/>
                <w:szCs w:val="15"/>
              </w:rPr>
              <w:t>个交易日的收盘价低于其</w:t>
            </w:r>
            <w:r>
              <w:rPr>
                <w:rFonts w:ascii="宋体" w:hAnsi="宋体" w:cs="宋体" w:eastAsia="宋体" w:hint="default"/>
                <w:sz w:val="15"/>
                <w:szCs w:val="15"/>
              </w:rPr>
              <w:t> </w:t>
            </w:r>
            <w:r>
              <w:rPr>
                <w:rFonts w:ascii="宋体" w:hAnsi="宋体" w:cs="宋体" w:eastAsia="宋体" w:hint="default"/>
                <w:spacing w:val="-1"/>
                <w:sz w:val="15"/>
                <w:szCs w:val="15"/>
              </w:rPr>
              <w:t>换股价格，或者交易完成后</w:t>
            </w:r>
            <w:r>
              <w:rPr>
                <w:rFonts w:ascii="Times New Roman" w:hAnsi="Times New Roman" w:cs="Times New Roman" w:eastAsia="Times New Roman" w:hint="default"/>
                <w:spacing w:val="-1"/>
                <w:sz w:val="15"/>
                <w:szCs w:val="15"/>
              </w:rPr>
              <w:t>6</w:t>
            </w:r>
            <w:r>
              <w:rPr>
                <w:rFonts w:ascii="宋体" w:hAnsi="宋体" w:cs="宋体" w:eastAsia="宋体" w:hint="default"/>
                <w:spacing w:val="-1"/>
                <w:sz w:val="15"/>
                <w:szCs w:val="15"/>
              </w:rPr>
              <w:t>个月期末收盘价低于其换股价格的，则以上湖南计</w:t>
            </w:r>
            <w:r>
              <w:rPr>
                <w:rFonts w:ascii="宋体" w:hAnsi="宋体" w:cs="宋体" w:eastAsia="宋体" w:hint="default"/>
                <w:spacing w:val="-50"/>
                <w:sz w:val="15"/>
                <w:szCs w:val="15"/>
              </w:rPr>
              <w:t> </w:t>
            </w:r>
            <w:r>
              <w:rPr>
                <w:rFonts w:ascii="宋体" w:hAnsi="宋体" w:cs="宋体" w:eastAsia="宋体" w:hint="default"/>
                <w:spacing w:val="-50"/>
                <w:sz w:val="15"/>
                <w:szCs w:val="15"/>
              </w:rPr>
            </w:r>
            <w:r>
              <w:rPr>
                <w:rFonts w:ascii="宋体" w:hAnsi="宋体" w:cs="宋体" w:eastAsia="宋体" w:hint="default"/>
                <w:sz w:val="15"/>
                <w:szCs w:val="15"/>
              </w:rPr>
              <w:t>算机厂有限公司作出的股份锁定期承诺将在</w:t>
            </w:r>
            <w:r>
              <w:rPr>
                <w:rFonts w:ascii="Times New Roman" w:hAnsi="Times New Roman" w:cs="Times New Roman" w:eastAsia="Times New Roman" w:hint="default"/>
                <w:sz w:val="15"/>
                <w:szCs w:val="15"/>
              </w:rPr>
              <w:t>36</w:t>
            </w:r>
            <w:r>
              <w:rPr>
                <w:rFonts w:ascii="宋体" w:hAnsi="宋体" w:cs="宋体" w:eastAsia="宋体" w:hint="default"/>
                <w:sz w:val="15"/>
                <w:szCs w:val="15"/>
              </w:rPr>
              <w:t>个月的基础上自动延长</w:t>
            </w:r>
            <w:r>
              <w:rPr>
                <w:rFonts w:ascii="Times New Roman" w:hAnsi="Times New Roman" w:cs="Times New Roman" w:eastAsia="Times New Roman" w:hint="default"/>
                <w:sz w:val="15"/>
                <w:szCs w:val="15"/>
              </w:rPr>
              <w:t>6</w:t>
            </w:r>
            <w:r>
              <w:rPr>
                <w:rFonts w:ascii="宋体" w:hAnsi="宋体" w:cs="宋体" w:eastAsia="宋体" w:hint="default"/>
                <w:sz w:val="15"/>
                <w:szCs w:val="15"/>
              </w:rPr>
              <w:t>个月。</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9"/>
                <w:szCs w:val="19"/>
              </w:rPr>
            </w:pPr>
          </w:p>
          <w:p>
            <w:pPr>
              <w:pStyle w:val="TableParagraph"/>
              <w:spacing w:line="240" w:lineRule="auto"/>
              <w:ind w:left="-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9"/>
                <w:szCs w:val="19"/>
              </w:rPr>
            </w:pPr>
          </w:p>
          <w:p>
            <w:pPr>
              <w:pStyle w:val="TableParagraph"/>
              <w:spacing w:line="240" w:lineRule="auto"/>
              <w:ind w:left="-1" w:right="-1"/>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p>
          <w:p>
            <w:pPr>
              <w:pStyle w:val="TableParagraph"/>
              <w:spacing w:line="240" w:lineRule="auto" w:before="63"/>
              <w:ind w:left="-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严格履行中</w:t>
            </w:r>
          </w:p>
        </w:tc>
      </w:tr>
      <w:tr>
        <w:trPr>
          <w:trHeight w:val="634" w:hRule="exact"/>
        </w:trPr>
        <w:tc>
          <w:tcPr>
            <w:tcW w:w="153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10"/>
              <w:ind w:left="-1" w:right="80"/>
              <w:jc w:val="left"/>
              <w:rPr>
                <w:rFonts w:ascii="宋体" w:hAnsi="宋体" w:cs="宋体" w:eastAsia="宋体" w:hint="default"/>
                <w:sz w:val="18"/>
                <w:szCs w:val="18"/>
              </w:rPr>
            </w:pPr>
            <w:r>
              <w:rPr>
                <w:rFonts w:ascii="宋体" w:hAnsi="宋体" w:cs="宋体" w:eastAsia="宋体" w:hint="default"/>
                <w:sz w:val="18"/>
                <w:szCs w:val="18"/>
              </w:rPr>
              <w:t>首次公开发行或再 融资时所作承诺</w:t>
            </w:r>
          </w:p>
        </w:tc>
        <w:tc>
          <w:tcPr>
            <w:tcW w:w="808"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5177"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942" w:type="dxa"/>
            <w:tcBorders>
              <w:top w:val="single" w:sz="4" w:space="0" w:color="000000"/>
              <w:left w:val="single" w:sz="4" w:space="0" w:color="000000"/>
              <w:bottom w:val="single" w:sz="4" w:space="0" w:color="000000"/>
              <w:right w:val="single" w:sz="4" w:space="0" w:color="000000"/>
            </w:tcBorders>
          </w:tcPr>
          <w:p>
            <w:pPr/>
          </w:p>
        </w:tc>
        <w:tc>
          <w:tcPr>
            <w:tcW w:w="916" w:type="dxa"/>
            <w:tcBorders>
              <w:top w:val="single" w:sz="4" w:space="0" w:color="000000"/>
              <w:left w:val="single" w:sz="4" w:space="0" w:color="000000"/>
              <w:bottom w:val="single" w:sz="4" w:space="0" w:color="000000"/>
              <w:right w:val="single" w:sz="4" w:space="0" w:color="000000"/>
            </w:tcBorders>
          </w:tcPr>
          <w:p>
            <w:pPr/>
          </w:p>
        </w:tc>
      </w:tr>
      <w:tr>
        <w:trPr>
          <w:trHeight w:val="1882" w:hRule="exact"/>
        </w:trPr>
        <w:tc>
          <w:tcPr>
            <w:tcW w:w="153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14"/>
                <w:szCs w:val="14"/>
              </w:rPr>
            </w:pPr>
          </w:p>
          <w:p>
            <w:pPr>
              <w:pStyle w:val="TableParagraph"/>
              <w:spacing w:line="240" w:lineRule="auto"/>
              <w:ind w:left="-1" w:right="0"/>
              <w:jc w:val="left"/>
              <w:rPr>
                <w:rFonts w:ascii="宋体" w:hAnsi="宋体" w:cs="宋体" w:eastAsia="宋体" w:hint="default"/>
                <w:sz w:val="18"/>
                <w:szCs w:val="18"/>
              </w:rPr>
            </w:pPr>
            <w:r>
              <w:rPr>
                <w:rFonts w:ascii="宋体" w:hAnsi="宋体" w:cs="宋体" w:eastAsia="宋体" w:hint="default"/>
                <w:sz w:val="18"/>
                <w:szCs w:val="18"/>
              </w:rPr>
              <w:t>股权激励承诺</w:t>
            </w:r>
          </w:p>
        </w:tc>
        <w:tc>
          <w:tcPr>
            <w:tcW w:w="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2" w:lineRule="auto" w:before="115"/>
              <w:ind w:left="-1" w:right="-28"/>
              <w:jc w:val="both"/>
              <w:rPr>
                <w:rFonts w:ascii="宋体" w:hAnsi="宋体" w:cs="宋体" w:eastAsia="宋体" w:hint="default"/>
                <w:sz w:val="18"/>
                <w:szCs w:val="18"/>
              </w:rPr>
            </w:pPr>
            <w:r>
              <w:rPr>
                <w:rFonts w:ascii="宋体" w:hAnsi="宋体" w:cs="宋体" w:eastAsia="宋体" w:hint="default"/>
                <w:spacing w:val="5"/>
                <w:sz w:val="18"/>
                <w:szCs w:val="18"/>
              </w:rPr>
              <w:t>本公司</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股</w:t>
            </w:r>
            <w:r>
              <w:rPr>
                <w:rFonts w:ascii="宋体" w:hAnsi="宋体" w:cs="宋体" w:eastAsia="宋体" w:hint="default"/>
                <w:spacing w:val="-88"/>
                <w:sz w:val="18"/>
                <w:szCs w:val="18"/>
              </w:rPr>
              <w:t> </w:t>
            </w:r>
            <w:r>
              <w:rPr>
                <w:rFonts w:ascii="宋体" w:hAnsi="宋体" w:cs="宋体" w:eastAsia="宋体" w:hint="default"/>
                <w:spacing w:val="19"/>
                <w:sz w:val="18"/>
                <w:szCs w:val="18"/>
              </w:rPr>
              <w:t>票期权激</w:t>
            </w:r>
            <w:r>
              <w:rPr>
                <w:rFonts w:ascii="宋体" w:hAnsi="宋体" w:cs="宋体" w:eastAsia="宋体" w:hint="default"/>
                <w:spacing w:val="-64"/>
                <w:sz w:val="18"/>
                <w:szCs w:val="18"/>
              </w:rPr>
              <w:t> </w:t>
            </w:r>
            <w:r>
              <w:rPr>
                <w:rFonts w:ascii="宋体" w:hAnsi="宋体" w:cs="宋体" w:eastAsia="宋体" w:hint="default"/>
                <w:spacing w:val="19"/>
                <w:sz w:val="18"/>
                <w:szCs w:val="18"/>
              </w:rPr>
              <w:t>励计划激</w:t>
            </w:r>
            <w:r>
              <w:rPr>
                <w:rFonts w:ascii="宋体" w:hAnsi="宋体" w:cs="宋体" w:eastAsia="宋体" w:hint="default"/>
                <w:spacing w:val="-64"/>
                <w:sz w:val="18"/>
                <w:szCs w:val="18"/>
              </w:rPr>
              <w:t> </w:t>
            </w:r>
            <w:r>
              <w:rPr>
                <w:rFonts w:ascii="宋体" w:hAnsi="宋体" w:cs="宋体" w:eastAsia="宋体" w:hint="default"/>
                <w:sz w:val="18"/>
                <w:szCs w:val="18"/>
              </w:rPr>
              <w:t>励对象</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宋体" w:hAnsi="宋体" w:cs="宋体" w:eastAsia="宋体" w:hint="default"/>
                <w:sz w:val="18"/>
                <w:szCs w:val="18"/>
              </w:rPr>
            </w:pPr>
            <w:r>
              <w:rPr>
                <w:rFonts w:ascii="宋体" w:hAnsi="宋体" w:cs="宋体" w:eastAsia="宋体" w:hint="default"/>
                <w:sz w:val="18"/>
                <w:szCs w:val="18"/>
              </w:rPr>
              <w:t>其他承诺</w:t>
            </w:r>
          </w:p>
        </w:tc>
        <w:tc>
          <w:tcPr>
            <w:tcW w:w="5177" w:type="dxa"/>
            <w:tcBorders>
              <w:top w:val="single" w:sz="4" w:space="0" w:color="000000"/>
              <w:left w:val="single" w:sz="4" w:space="0" w:color="000000"/>
              <w:bottom w:val="single" w:sz="4" w:space="0" w:color="000000"/>
              <w:right w:val="single" w:sz="4" w:space="0" w:color="000000"/>
            </w:tcBorders>
          </w:tcPr>
          <w:p>
            <w:pPr>
              <w:pStyle w:val="TableParagraph"/>
              <w:spacing w:line="381" w:lineRule="auto" w:before="33"/>
              <w:ind w:left="-1" w:right="-3" w:firstLine="300"/>
              <w:jc w:val="both"/>
              <w:rPr>
                <w:rFonts w:ascii="宋体" w:hAnsi="宋体" w:cs="宋体" w:eastAsia="宋体" w:hint="default"/>
                <w:sz w:val="15"/>
                <w:szCs w:val="15"/>
              </w:rPr>
            </w:pPr>
            <w:r>
              <w:rPr>
                <w:rFonts w:ascii="宋体" w:hAnsi="宋体" w:cs="宋体" w:eastAsia="宋体" w:hint="default"/>
                <w:sz w:val="15"/>
                <w:szCs w:val="15"/>
              </w:rPr>
              <w:t>公司承诺不为激励对象依股票期权激励计划获取有关股票期权提供贷款以</w:t>
            </w:r>
            <w:r>
              <w:rPr>
                <w:rFonts w:ascii="宋体" w:hAnsi="宋体" w:cs="宋体" w:eastAsia="宋体" w:hint="default"/>
                <w:spacing w:val="2"/>
                <w:sz w:val="15"/>
                <w:szCs w:val="15"/>
              </w:rPr>
              <w:t> </w:t>
            </w:r>
            <w:r>
              <w:rPr>
                <w:rFonts w:ascii="宋体" w:hAnsi="宋体" w:cs="宋体" w:eastAsia="宋体" w:hint="default"/>
                <w:sz w:val="15"/>
                <w:szCs w:val="15"/>
              </w:rPr>
              <w:t>及其他任何形式的财务资助，包括为其贷款提供担保。</w:t>
            </w:r>
          </w:p>
          <w:p>
            <w:pPr>
              <w:pStyle w:val="TableParagraph"/>
              <w:spacing w:line="381" w:lineRule="auto" w:before="27"/>
              <w:ind w:left="-1" w:right="-3" w:firstLine="300"/>
              <w:jc w:val="both"/>
              <w:rPr>
                <w:rFonts w:ascii="宋体" w:hAnsi="宋体" w:cs="宋体" w:eastAsia="宋体" w:hint="default"/>
                <w:sz w:val="15"/>
                <w:szCs w:val="15"/>
              </w:rPr>
            </w:pPr>
            <w:r>
              <w:rPr>
                <w:rFonts w:ascii="宋体" w:hAnsi="宋体" w:cs="宋体" w:eastAsia="宋体" w:hint="default"/>
                <w:sz w:val="15"/>
                <w:szCs w:val="15"/>
              </w:rPr>
              <w:t>激励对象承诺，公司因信息披露文件中有虚假记载、误导性陈述或者重大</w:t>
            </w:r>
            <w:r>
              <w:rPr>
                <w:rFonts w:ascii="宋体" w:hAnsi="宋体" w:cs="宋体" w:eastAsia="宋体" w:hint="default"/>
                <w:spacing w:val="2"/>
                <w:sz w:val="15"/>
                <w:szCs w:val="15"/>
              </w:rPr>
              <w:t> </w:t>
            </w:r>
            <w:r>
              <w:rPr>
                <w:rFonts w:ascii="宋体" w:hAnsi="宋体" w:cs="宋体" w:eastAsia="宋体" w:hint="default"/>
                <w:sz w:val="15"/>
                <w:szCs w:val="15"/>
              </w:rPr>
              <w:t>遗漏，导致不符合授予权益或行使权益安排的，激励对象应当自相关信息披露</w:t>
            </w:r>
            <w:r>
              <w:rPr>
                <w:rFonts w:ascii="宋体" w:hAnsi="宋体" w:cs="宋体" w:eastAsia="宋体" w:hint="default"/>
                <w:spacing w:val="-19"/>
                <w:sz w:val="15"/>
                <w:szCs w:val="15"/>
              </w:rPr>
              <w:t> </w:t>
            </w:r>
            <w:r>
              <w:rPr>
                <w:rFonts w:ascii="宋体" w:hAnsi="宋体" w:cs="宋体" w:eastAsia="宋体" w:hint="default"/>
                <w:spacing w:val="-19"/>
                <w:sz w:val="15"/>
                <w:szCs w:val="15"/>
              </w:rPr>
            </w:r>
            <w:r>
              <w:rPr>
                <w:rFonts w:ascii="宋体" w:hAnsi="宋体" w:cs="宋体" w:eastAsia="宋体" w:hint="default"/>
                <w:sz w:val="15"/>
                <w:szCs w:val="15"/>
              </w:rPr>
              <w:t>文件被确认存在虚假记载、误导性陈述或者重大遗漏后，将由股票期权激励计</w:t>
            </w:r>
            <w:r>
              <w:rPr>
                <w:rFonts w:ascii="宋体" w:hAnsi="宋体" w:cs="宋体" w:eastAsia="宋体" w:hint="default"/>
                <w:spacing w:val="-19"/>
                <w:sz w:val="15"/>
                <w:szCs w:val="15"/>
              </w:rPr>
              <w:t> </w:t>
            </w:r>
            <w:r>
              <w:rPr>
                <w:rFonts w:ascii="宋体" w:hAnsi="宋体" w:cs="宋体" w:eastAsia="宋体" w:hint="default"/>
                <w:spacing w:val="-19"/>
                <w:sz w:val="15"/>
                <w:szCs w:val="15"/>
              </w:rPr>
            </w:r>
            <w:r>
              <w:rPr>
                <w:rFonts w:ascii="宋体" w:hAnsi="宋体" w:cs="宋体" w:eastAsia="宋体" w:hint="default"/>
                <w:sz w:val="15"/>
                <w:szCs w:val="15"/>
              </w:rPr>
              <w:t>划所获得的全部利益返还公司。</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9"/>
                <w:szCs w:val="19"/>
              </w:rPr>
            </w:pPr>
          </w:p>
          <w:p>
            <w:pPr>
              <w:pStyle w:val="TableParagraph"/>
              <w:spacing w:line="240" w:lineRule="auto"/>
              <w:ind w:left="-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 w:right="0"/>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9"/>
                <w:szCs w:val="19"/>
              </w:rPr>
            </w:pPr>
          </w:p>
          <w:p>
            <w:pPr>
              <w:pStyle w:val="TableParagraph"/>
              <w:spacing w:line="240" w:lineRule="auto"/>
              <w:ind w:left="-1" w:right="-1"/>
              <w:jc w:val="left"/>
              <w:rPr>
                <w:rFonts w:ascii="宋体" w:hAnsi="宋体" w:cs="宋体" w:eastAsia="宋体" w:hint="default"/>
                <w:sz w:val="18"/>
                <w:szCs w:val="18"/>
              </w:rPr>
            </w:pPr>
            <w:r>
              <w:rPr>
                <w:rFonts w:ascii="Times New Roman" w:hAnsi="Times New Roman" w:cs="Times New Roman" w:eastAsia="Times New Roman" w:hint="default"/>
                <w:sz w:val="18"/>
                <w:szCs w:val="18"/>
              </w:rPr>
              <w:t>2023</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p>
          <w:p>
            <w:pPr>
              <w:pStyle w:val="TableParagraph"/>
              <w:spacing w:line="240" w:lineRule="auto" w:before="63"/>
              <w:ind w:left="-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14"/>
                <w:szCs w:val="14"/>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严格履行中</w:t>
            </w:r>
          </w:p>
        </w:tc>
      </w:tr>
      <w:tr>
        <w:trPr>
          <w:trHeight w:val="635" w:hRule="exact"/>
        </w:trPr>
        <w:tc>
          <w:tcPr>
            <w:tcW w:w="1532" w:type="dxa"/>
            <w:tcBorders>
              <w:top w:val="single" w:sz="4" w:space="0" w:color="000000"/>
              <w:left w:val="single" w:sz="4" w:space="0" w:color="000000"/>
              <w:bottom w:val="nil" w:sz="6" w:space="0" w:color="auto"/>
              <w:right w:val="single" w:sz="4" w:space="0" w:color="000000"/>
            </w:tcBorders>
            <w:shd w:val="clear" w:color="auto" w:fill="D3D3D3"/>
          </w:tcPr>
          <w:p>
            <w:pPr>
              <w:pStyle w:val="TableParagraph"/>
              <w:spacing w:line="316" w:lineRule="auto" w:before="11"/>
              <w:ind w:left="-1" w:right="80"/>
              <w:jc w:val="left"/>
              <w:rPr>
                <w:rFonts w:ascii="宋体" w:hAnsi="宋体" w:cs="宋体" w:eastAsia="宋体" w:hint="default"/>
                <w:sz w:val="18"/>
                <w:szCs w:val="18"/>
              </w:rPr>
            </w:pPr>
            <w:r>
              <w:rPr>
                <w:rFonts w:ascii="宋体" w:hAnsi="宋体" w:cs="宋体" w:eastAsia="宋体" w:hint="default"/>
                <w:sz w:val="18"/>
                <w:szCs w:val="18"/>
              </w:rPr>
              <w:t>其他对公司中小股 东所作承诺</w:t>
            </w:r>
          </w:p>
        </w:tc>
        <w:tc>
          <w:tcPr>
            <w:tcW w:w="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left="-1" w:right="0"/>
              <w:jc w:val="left"/>
              <w:rPr>
                <w:rFonts w:ascii="宋体" w:hAnsi="宋体" w:cs="宋体" w:eastAsia="宋体" w:hint="default"/>
                <w:sz w:val="18"/>
                <w:szCs w:val="18"/>
              </w:rPr>
            </w:pPr>
            <w:r>
              <w:rPr>
                <w:rFonts w:ascii="宋体" w:hAnsi="宋体" w:cs="宋体" w:eastAsia="宋体" w:hint="default"/>
                <w:sz w:val="18"/>
                <w:szCs w:val="18"/>
              </w:rPr>
              <w:t>中国电子</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宋体" w:hAnsi="宋体" w:cs="宋体" w:eastAsia="宋体" w:hint="default"/>
                <w:sz w:val="18"/>
                <w:szCs w:val="18"/>
              </w:rPr>
            </w:pPr>
            <w:r>
              <w:rPr>
                <w:rFonts w:ascii="宋体" w:hAnsi="宋体" w:cs="宋体" w:eastAsia="宋体" w:hint="default"/>
                <w:sz w:val="18"/>
                <w:szCs w:val="18"/>
              </w:rPr>
              <w:t>其他承诺</w:t>
            </w:r>
          </w:p>
        </w:tc>
        <w:tc>
          <w:tcPr>
            <w:tcW w:w="5177" w:type="dxa"/>
            <w:tcBorders>
              <w:top w:val="single" w:sz="4" w:space="0" w:color="000000"/>
              <w:left w:val="single" w:sz="4" w:space="0" w:color="000000"/>
              <w:bottom w:val="single" w:sz="4" w:space="0" w:color="000000"/>
              <w:right w:val="single" w:sz="4" w:space="0" w:color="000000"/>
            </w:tcBorders>
          </w:tcPr>
          <w:p>
            <w:pPr>
              <w:pStyle w:val="TableParagraph"/>
              <w:spacing w:line="381" w:lineRule="auto" w:before="34"/>
              <w:ind w:left="-1" w:right="-3" w:firstLine="300"/>
              <w:jc w:val="left"/>
              <w:rPr>
                <w:rFonts w:ascii="宋体" w:hAnsi="宋体" w:cs="宋体" w:eastAsia="宋体" w:hint="default"/>
                <w:sz w:val="15"/>
                <w:szCs w:val="15"/>
              </w:rPr>
            </w:pPr>
            <w:r>
              <w:rPr>
                <w:rFonts w:ascii="宋体" w:hAnsi="宋体" w:cs="宋体" w:eastAsia="宋体" w:hint="default"/>
                <w:sz w:val="15"/>
                <w:szCs w:val="15"/>
              </w:rPr>
              <w:t>公司实际控制人中国电子承诺不会发生占用上市公司资金的现象和可能。</w:t>
            </w:r>
            <w:r>
              <w:rPr>
                <w:rFonts w:ascii="宋体" w:hAnsi="宋体" w:cs="宋体" w:eastAsia="宋体" w:hint="default"/>
                <w:spacing w:val="2"/>
                <w:sz w:val="15"/>
                <w:szCs w:val="15"/>
              </w:rPr>
              <w:t> </w:t>
            </w:r>
            <w:r>
              <w:rPr>
                <w:rFonts w:ascii="宋体" w:hAnsi="宋体" w:cs="宋体" w:eastAsia="宋体" w:hint="default"/>
                <w:sz w:val="15"/>
                <w:szCs w:val="15"/>
              </w:rPr>
              <w:t>中国电子承诺当中电财务出现支付困难的紧急情况时，按照解决支付困难的实</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 w:right="-1"/>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p>
          <w:p>
            <w:pPr>
              <w:pStyle w:val="TableParagraph"/>
              <w:spacing w:line="240" w:lineRule="auto" w:before="63"/>
              <w:ind w:left="-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严格履行中</w:t>
            </w:r>
          </w:p>
        </w:tc>
      </w:tr>
    </w:tbl>
    <w:p>
      <w:pPr>
        <w:spacing w:after="0" w:line="240" w:lineRule="auto"/>
        <w:jc w:val="center"/>
        <w:rPr>
          <w:rFonts w:ascii="宋体" w:hAnsi="宋体" w:cs="宋体" w:eastAsia="宋体" w:hint="default"/>
          <w:sz w:val="18"/>
          <w:szCs w:val="18"/>
        </w:rPr>
        <w:sectPr>
          <w:pgSz w:w="11910" w:h="16840"/>
          <w:pgMar w:header="787" w:footer="982" w:top="1100" w:bottom="1180" w:left="40" w:right="0"/>
        </w:sectPr>
      </w:pPr>
    </w:p>
    <w:p>
      <w:pPr>
        <w:spacing w:line="240" w:lineRule="auto" w:before="10"/>
        <w:rPr>
          <w:rFonts w:ascii="Times New Roman" w:hAnsi="Times New Roman" w:cs="Times New Roman" w:eastAsia="Times New Roman" w:hint="default"/>
          <w:sz w:val="28"/>
          <w:szCs w:val="28"/>
        </w:rPr>
      </w:pPr>
    </w:p>
    <w:tbl>
      <w:tblPr>
        <w:tblW w:w="0" w:type="auto"/>
        <w:jc w:val="left"/>
        <w:tblInd w:w="102" w:type="dxa"/>
        <w:tblLayout w:type="fixed"/>
        <w:tblCellMar>
          <w:top w:w="0" w:type="dxa"/>
          <w:left w:w="0" w:type="dxa"/>
          <w:bottom w:w="0" w:type="dxa"/>
          <w:right w:w="0" w:type="dxa"/>
        </w:tblCellMar>
        <w:tblLook w:val="01E0"/>
      </w:tblPr>
      <w:tblGrid>
        <w:gridCol w:w="1532"/>
        <w:gridCol w:w="808"/>
        <w:gridCol w:w="1156"/>
        <w:gridCol w:w="5177"/>
        <w:gridCol w:w="1080"/>
        <w:gridCol w:w="942"/>
        <w:gridCol w:w="916"/>
      </w:tblGrid>
      <w:tr>
        <w:trPr>
          <w:trHeight w:val="322" w:hRule="exact"/>
        </w:trPr>
        <w:tc>
          <w:tcPr>
            <w:tcW w:w="1532" w:type="dxa"/>
            <w:tcBorders>
              <w:top w:val="single" w:sz="4" w:space="0" w:color="000000"/>
              <w:left w:val="single" w:sz="4" w:space="0" w:color="000000"/>
              <w:bottom w:val="single" w:sz="4" w:space="0" w:color="000000"/>
              <w:right w:val="single" w:sz="4" w:space="0" w:color="000000"/>
            </w:tcBorders>
            <w:shd w:val="clear" w:color="auto" w:fill="D3D3D3"/>
          </w:tcPr>
          <w:p>
            <w:pPr/>
          </w:p>
        </w:tc>
        <w:tc>
          <w:tcPr>
            <w:tcW w:w="808"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5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 w:right="0"/>
              <w:jc w:val="left"/>
              <w:rPr>
                <w:rFonts w:ascii="宋体" w:hAnsi="宋体" w:cs="宋体" w:eastAsia="宋体" w:hint="default"/>
                <w:sz w:val="15"/>
                <w:szCs w:val="15"/>
              </w:rPr>
            </w:pPr>
            <w:r>
              <w:rPr>
                <w:rFonts w:ascii="宋体" w:hAnsi="宋体" w:cs="宋体" w:eastAsia="宋体" w:hint="default"/>
                <w:sz w:val="15"/>
                <w:szCs w:val="15"/>
              </w:rPr>
              <w:t>际需要，增加相应的资本金。</w:t>
            </w:r>
          </w:p>
        </w:tc>
        <w:tc>
          <w:tcPr>
            <w:tcW w:w="1080" w:type="dxa"/>
            <w:tcBorders>
              <w:top w:val="single" w:sz="4" w:space="0" w:color="000000"/>
              <w:left w:val="single" w:sz="4" w:space="0" w:color="000000"/>
              <w:bottom w:val="single" w:sz="4" w:space="0" w:color="000000"/>
              <w:right w:val="single" w:sz="4" w:space="0" w:color="000000"/>
            </w:tcBorders>
          </w:tcPr>
          <w:p>
            <w:pPr/>
          </w:p>
        </w:tc>
        <w:tc>
          <w:tcPr>
            <w:tcW w:w="942" w:type="dxa"/>
            <w:tcBorders>
              <w:top w:val="single" w:sz="4" w:space="0" w:color="000000"/>
              <w:left w:val="single" w:sz="4" w:space="0" w:color="000000"/>
              <w:bottom w:val="single" w:sz="4" w:space="0" w:color="000000"/>
              <w:right w:val="single" w:sz="4" w:space="0" w:color="000000"/>
            </w:tcBorders>
          </w:tcPr>
          <w:p>
            <w:pPr/>
          </w:p>
        </w:tc>
        <w:tc>
          <w:tcPr>
            <w:tcW w:w="916" w:type="dxa"/>
            <w:tcBorders>
              <w:top w:val="single" w:sz="4" w:space="0" w:color="000000"/>
              <w:left w:val="single" w:sz="4" w:space="0" w:color="000000"/>
              <w:bottom w:val="single" w:sz="4" w:space="0" w:color="000000"/>
              <w:right w:val="single" w:sz="4" w:space="0" w:color="000000"/>
            </w:tcBorders>
          </w:tcPr>
          <w:p>
            <w:pPr/>
          </w:p>
        </w:tc>
      </w:tr>
      <w:tr>
        <w:trPr>
          <w:trHeight w:val="314" w:hRule="exact"/>
        </w:trPr>
        <w:tc>
          <w:tcPr>
            <w:tcW w:w="1532" w:type="dxa"/>
            <w:vMerge w:val="restart"/>
            <w:tcBorders>
              <w:top w:val="single" w:sz="4" w:space="0" w:color="000000"/>
              <w:left w:val="single" w:sz="4" w:space="0" w:color="000000"/>
              <w:right w:val="single" w:sz="4" w:space="0" w:color="000000"/>
            </w:tcBorders>
            <w:shd w:val="clear" w:color="auto" w:fill="D3D3D3"/>
          </w:tcPr>
          <w:p>
            <w:pPr/>
          </w:p>
        </w:tc>
        <w:tc>
          <w:tcPr>
            <w:tcW w:w="808" w:type="dxa"/>
            <w:tcBorders>
              <w:top w:val="single" w:sz="4" w:space="0" w:color="000000"/>
              <w:left w:val="single" w:sz="4" w:space="0" w:color="000000"/>
              <w:bottom w:val="nil" w:sz="6" w:space="0" w:color="auto"/>
              <w:right w:val="single" w:sz="4" w:space="0" w:color="000000"/>
            </w:tcBorders>
          </w:tcPr>
          <w:p>
            <w:pPr/>
          </w:p>
        </w:tc>
        <w:tc>
          <w:tcPr>
            <w:tcW w:w="1156" w:type="dxa"/>
            <w:tcBorders>
              <w:top w:val="single" w:sz="4" w:space="0" w:color="000000"/>
              <w:left w:val="single" w:sz="4" w:space="0" w:color="000000"/>
              <w:bottom w:val="nil" w:sz="6" w:space="0" w:color="auto"/>
              <w:right w:val="single" w:sz="4" w:space="0" w:color="000000"/>
            </w:tcBorders>
          </w:tcPr>
          <w:p>
            <w:pPr/>
          </w:p>
        </w:tc>
        <w:tc>
          <w:tcPr>
            <w:tcW w:w="517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4"/>
              <w:ind w:left="299" w:right="-3"/>
              <w:jc w:val="left"/>
              <w:rPr>
                <w:rFonts w:ascii="宋体" w:hAnsi="宋体" w:cs="宋体" w:eastAsia="宋体" w:hint="default"/>
                <w:sz w:val="15"/>
                <w:szCs w:val="15"/>
              </w:rPr>
            </w:pPr>
            <w:r>
              <w:rPr>
                <w:rFonts w:ascii="宋体" w:hAnsi="宋体" w:cs="宋体" w:eastAsia="宋体" w:hint="default"/>
                <w:sz w:val="15"/>
                <w:szCs w:val="15"/>
              </w:rPr>
              <w:t>原股东承诺长城超云</w:t>
            </w:r>
            <w:r>
              <w:rPr>
                <w:rFonts w:ascii="Times New Roman" w:hAnsi="Times New Roman" w:cs="Times New Roman" w:eastAsia="Times New Roman" w:hint="default"/>
                <w:sz w:val="15"/>
                <w:szCs w:val="15"/>
              </w:rPr>
              <w:t>2018</w:t>
            </w:r>
            <w:r>
              <w:rPr>
                <w:rFonts w:ascii="宋体" w:hAnsi="宋体" w:cs="宋体" w:eastAsia="宋体" w:hint="default"/>
                <w:sz w:val="15"/>
                <w:szCs w:val="15"/>
              </w:rPr>
              <w:t>年度、</w:t>
            </w:r>
            <w:r>
              <w:rPr>
                <w:rFonts w:ascii="Times New Roman" w:hAnsi="Times New Roman" w:cs="Times New Roman" w:eastAsia="Times New Roman" w:hint="default"/>
                <w:sz w:val="15"/>
                <w:szCs w:val="15"/>
              </w:rPr>
              <w:t>2019</w:t>
            </w:r>
            <w:r>
              <w:rPr>
                <w:rFonts w:ascii="宋体" w:hAnsi="宋体" w:cs="宋体" w:eastAsia="宋体" w:hint="default"/>
                <w:sz w:val="15"/>
                <w:szCs w:val="15"/>
              </w:rPr>
              <w:t>年度、</w:t>
            </w:r>
            <w:r>
              <w:rPr>
                <w:rFonts w:ascii="Times New Roman" w:hAnsi="Times New Roman" w:cs="Times New Roman" w:eastAsia="Times New Roman" w:hint="default"/>
                <w:sz w:val="15"/>
                <w:szCs w:val="15"/>
              </w:rPr>
              <w:t>2020</w:t>
            </w:r>
            <w:r>
              <w:rPr>
                <w:rFonts w:ascii="宋体" w:hAnsi="宋体" w:cs="宋体" w:eastAsia="宋体" w:hint="default"/>
                <w:sz w:val="15"/>
                <w:szCs w:val="15"/>
              </w:rPr>
              <w:t>年度实现的扣除非经常性</w:t>
            </w:r>
          </w:p>
        </w:tc>
        <w:tc>
          <w:tcPr>
            <w:tcW w:w="1080" w:type="dxa"/>
            <w:tcBorders>
              <w:top w:val="single" w:sz="4" w:space="0" w:color="000000"/>
              <w:left w:val="single" w:sz="4" w:space="0" w:color="000000"/>
              <w:bottom w:val="nil" w:sz="6" w:space="0" w:color="auto"/>
              <w:right w:val="single" w:sz="4" w:space="0" w:color="000000"/>
            </w:tcBorders>
          </w:tcPr>
          <w:p>
            <w:pPr/>
          </w:p>
        </w:tc>
        <w:tc>
          <w:tcPr>
            <w:tcW w:w="942" w:type="dxa"/>
            <w:tcBorders>
              <w:top w:val="single" w:sz="4" w:space="0" w:color="000000"/>
              <w:left w:val="single" w:sz="4" w:space="0" w:color="000000"/>
              <w:bottom w:val="nil" w:sz="6" w:space="0" w:color="auto"/>
              <w:right w:val="single" w:sz="4" w:space="0" w:color="000000"/>
            </w:tcBorders>
          </w:tcPr>
          <w:p>
            <w:pPr/>
          </w:p>
        </w:tc>
        <w:tc>
          <w:tcPr>
            <w:tcW w:w="916" w:type="dxa"/>
            <w:tcBorders>
              <w:top w:val="single" w:sz="4" w:space="0" w:color="000000"/>
              <w:left w:val="single" w:sz="4" w:space="0" w:color="000000"/>
              <w:bottom w:val="nil" w:sz="6" w:space="0" w:color="auto"/>
              <w:right w:val="single" w:sz="4" w:space="0" w:color="000000"/>
            </w:tcBorders>
          </w:tcPr>
          <w:p>
            <w:pPr/>
          </w:p>
        </w:tc>
      </w:tr>
      <w:tr>
        <w:trPr>
          <w:trHeight w:val="640" w:hRule="exact"/>
        </w:trPr>
        <w:tc>
          <w:tcPr>
            <w:tcW w:w="1532" w:type="dxa"/>
            <w:vMerge/>
            <w:tcBorders>
              <w:left w:val="single" w:sz="4" w:space="0" w:color="000000"/>
              <w:right w:val="single" w:sz="4" w:space="0" w:color="000000"/>
            </w:tcBorders>
            <w:shd w:val="clear" w:color="auto" w:fill="D3D3D3"/>
          </w:tcPr>
          <w:p>
            <w:pPr/>
          </w:p>
        </w:tc>
        <w:tc>
          <w:tcPr>
            <w:tcW w:w="808" w:type="dxa"/>
            <w:tcBorders>
              <w:top w:val="nil" w:sz="6" w:space="0" w:color="auto"/>
              <w:left w:val="single" w:sz="4" w:space="0" w:color="000000"/>
              <w:bottom w:val="nil" w:sz="6" w:space="0" w:color="auto"/>
              <w:right w:val="single" w:sz="4" w:space="0" w:color="000000"/>
            </w:tcBorders>
          </w:tcPr>
          <w:p>
            <w:pPr>
              <w:pStyle w:val="TableParagraph"/>
              <w:spacing w:line="316" w:lineRule="auto" w:before="14"/>
              <w:ind w:left="-1" w:right="77"/>
              <w:jc w:val="left"/>
              <w:rPr>
                <w:rFonts w:ascii="宋体" w:hAnsi="宋体" w:cs="宋体" w:eastAsia="宋体" w:hint="default"/>
                <w:sz w:val="18"/>
                <w:szCs w:val="18"/>
              </w:rPr>
            </w:pPr>
            <w:r>
              <w:rPr>
                <w:rFonts w:ascii="宋体" w:hAnsi="宋体" w:cs="宋体" w:eastAsia="宋体" w:hint="default"/>
                <w:sz w:val="18"/>
                <w:szCs w:val="18"/>
              </w:rPr>
              <w:t>长城超云 原股东</w:t>
            </w:r>
          </w:p>
        </w:tc>
        <w:tc>
          <w:tcPr>
            <w:tcW w:w="1156" w:type="dxa"/>
            <w:tcBorders>
              <w:top w:val="nil" w:sz="6" w:space="0" w:color="auto"/>
              <w:left w:val="single" w:sz="4" w:space="0" w:color="000000"/>
              <w:bottom w:val="nil" w:sz="6" w:space="0" w:color="auto"/>
              <w:right w:val="single" w:sz="4" w:space="0" w:color="000000"/>
            </w:tcBorders>
          </w:tcPr>
          <w:p>
            <w:pPr>
              <w:pStyle w:val="TableParagraph"/>
              <w:spacing w:line="316" w:lineRule="auto" w:before="14"/>
              <w:ind w:right="65"/>
              <w:jc w:val="left"/>
              <w:rPr>
                <w:rFonts w:ascii="宋体" w:hAnsi="宋体" w:cs="宋体" w:eastAsia="宋体" w:hint="default"/>
                <w:sz w:val="18"/>
                <w:szCs w:val="18"/>
              </w:rPr>
            </w:pPr>
            <w:r>
              <w:rPr>
                <w:rFonts w:ascii="宋体" w:hAnsi="宋体" w:cs="宋体" w:eastAsia="宋体" w:hint="default"/>
                <w:sz w:val="18"/>
                <w:szCs w:val="18"/>
              </w:rPr>
              <w:t>业绩承诺及补 偿安排</w:t>
            </w:r>
          </w:p>
        </w:tc>
        <w:tc>
          <w:tcPr>
            <w:tcW w:w="5177" w:type="dxa"/>
            <w:tcBorders>
              <w:top w:val="nil" w:sz="6" w:space="0" w:color="auto"/>
              <w:left w:val="single" w:sz="4" w:space="0" w:color="000000"/>
              <w:bottom w:val="nil" w:sz="6" w:space="0" w:color="auto"/>
              <w:right w:val="single" w:sz="4" w:space="0" w:color="000000"/>
            </w:tcBorders>
          </w:tcPr>
          <w:p>
            <w:pPr>
              <w:pStyle w:val="TableParagraph"/>
              <w:spacing w:line="360" w:lineRule="auto" w:before="37"/>
              <w:ind w:left="-1" w:right="-3"/>
              <w:jc w:val="left"/>
              <w:rPr>
                <w:rFonts w:ascii="宋体" w:hAnsi="宋体" w:cs="宋体" w:eastAsia="宋体" w:hint="default"/>
                <w:sz w:val="15"/>
                <w:szCs w:val="15"/>
              </w:rPr>
            </w:pPr>
            <w:r>
              <w:rPr>
                <w:rFonts w:ascii="宋体" w:hAnsi="宋体" w:cs="宋体" w:eastAsia="宋体" w:hint="default"/>
                <w:sz w:val="15"/>
                <w:szCs w:val="15"/>
              </w:rPr>
              <w:t>损益归属于母公司所有者的净利润之和不低于</w:t>
            </w:r>
            <w:r>
              <w:rPr>
                <w:rFonts w:ascii="Times New Roman" w:hAnsi="Times New Roman" w:cs="Times New Roman" w:eastAsia="Times New Roman" w:hint="default"/>
                <w:sz w:val="15"/>
                <w:szCs w:val="15"/>
              </w:rPr>
              <w:t>8,700</w:t>
            </w:r>
            <w:r>
              <w:rPr>
                <w:rFonts w:ascii="宋体" w:hAnsi="宋体" w:cs="宋体" w:eastAsia="宋体" w:hint="default"/>
                <w:sz w:val="15"/>
                <w:szCs w:val="15"/>
              </w:rPr>
              <w:t>万，逐年度分别为</w:t>
            </w:r>
            <w:r>
              <w:rPr>
                <w:rFonts w:ascii="Times New Roman" w:hAnsi="Times New Roman" w:cs="Times New Roman" w:eastAsia="Times New Roman" w:hint="default"/>
                <w:sz w:val="15"/>
                <w:szCs w:val="15"/>
              </w:rPr>
              <w:t>2018</w:t>
            </w:r>
            <w:r>
              <w:rPr>
                <w:rFonts w:ascii="宋体" w:hAnsi="宋体" w:cs="宋体" w:eastAsia="宋体" w:hint="default"/>
                <w:sz w:val="15"/>
                <w:szCs w:val="15"/>
              </w:rPr>
              <w:t>年度</w:t>
            </w:r>
            <w:r>
              <w:rPr>
                <w:rFonts w:ascii="宋体" w:hAnsi="宋体" w:cs="宋体" w:eastAsia="宋体" w:hint="default"/>
                <w:spacing w:val="-54"/>
                <w:sz w:val="15"/>
                <w:szCs w:val="15"/>
              </w:rPr>
              <w:t> </w:t>
            </w:r>
            <w:r>
              <w:rPr>
                <w:rFonts w:ascii="宋体" w:hAnsi="宋体" w:cs="宋体" w:eastAsia="宋体" w:hint="default"/>
                <w:spacing w:val="-2"/>
                <w:sz w:val="15"/>
                <w:szCs w:val="15"/>
              </w:rPr>
              <w:t>不低于</w:t>
            </w:r>
            <w:r>
              <w:rPr>
                <w:rFonts w:ascii="Times New Roman" w:hAnsi="Times New Roman" w:cs="Times New Roman" w:eastAsia="Times New Roman" w:hint="default"/>
                <w:spacing w:val="-2"/>
                <w:sz w:val="15"/>
                <w:szCs w:val="15"/>
              </w:rPr>
              <w:t>1,000</w:t>
            </w:r>
            <w:r>
              <w:rPr>
                <w:rFonts w:ascii="宋体" w:hAnsi="宋体" w:cs="宋体" w:eastAsia="宋体" w:hint="default"/>
                <w:spacing w:val="-2"/>
                <w:sz w:val="15"/>
                <w:szCs w:val="15"/>
              </w:rPr>
              <w:t>万元、</w:t>
            </w:r>
            <w:r>
              <w:rPr>
                <w:rFonts w:ascii="Times New Roman" w:hAnsi="Times New Roman" w:cs="Times New Roman" w:eastAsia="Times New Roman" w:hint="default"/>
                <w:spacing w:val="-2"/>
                <w:sz w:val="15"/>
                <w:szCs w:val="15"/>
              </w:rPr>
              <w:t>2019</w:t>
            </w:r>
            <w:r>
              <w:rPr>
                <w:rFonts w:ascii="宋体" w:hAnsi="宋体" w:cs="宋体" w:eastAsia="宋体" w:hint="default"/>
                <w:spacing w:val="-2"/>
                <w:sz w:val="15"/>
                <w:szCs w:val="15"/>
              </w:rPr>
              <w:t>年度不低于</w:t>
            </w:r>
            <w:r>
              <w:rPr>
                <w:rFonts w:ascii="Times New Roman" w:hAnsi="Times New Roman" w:cs="Times New Roman" w:eastAsia="Times New Roman" w:hint="default"/>
                <w:spacing w:val="-2"/>
                <w:sz w:val="15"/>
                <w:szCs w:val="15"/>
              </w:rPr>
              <w:t>2,900</w:t>
            </w:r>
            <w:r>
              <w:rPr>
                <w:rFonts w:ascii="宋体" w:hAnsi="宋体" w:cs="宋体" w:eastAsia="宋体" w:hint="default"/>
                <w:spacing w:val="-2"/>
                <w:sz w:val="15"/>
                <w:szCs w:val="15"/>
              </w:rPr>
              <w:t>万元、</w:t>
            </w:r>
            <w:r>
              <w:rPr>
                <w:rFonts w:ascii="Times New Roman" w:hAnsi="Times New Roman" w:cs="Times New Roman" w:eastAsia="Times New Roman" w:hint="default"/>
                <w:spacing w:val="-2"/>
                <w:sz w:val="15"/>
                <w:szCs w:val="15"/>
              </w:rPr>
              <w:t>2020</w:t>
            </w:r>
            <w:r>
              <w:rPr>
                <w:rFonts w:ascii="宋体" w:hAnsi="宋体" w:cs="宋体" w:eastAsia="宋体" w:hint="default"/>
                <w:spacing w:val="-2"/>
                <w:sz w:val="15"/>
                <w:szCs w:val="15"/>
              </w:rPr>
              <w:t>年度不低于</w:t>
            </w:r>
            <w:r>
              <w:rPr>
                <w:rFonts w:ascii="Times New Roman" w:hAnsi="Times New Roman" w:cs="Times New Roman" w:eastAsia="Times New Roman" w:hint="default"/>
                <w:spacing w:val="-2"/>
                <w:sz w:val="15"/>
                <w:szCs w:val="15"/>
              </w:rPr>
              <w:t>4,800</w:t>
            </w:r>
            <w:r>
              <w:rPr>
                <w:rFonts w:ascii="宋体" w:hAnsi="宋体" w:cs="宋体" w:eastAsia="宋体" w:hint="default"/>
                <w:spacing w:val="-2"/>
                <w:sz w:val="15"/>
                <w:szCs w:val="15"/>
              </w:rPr>
              <w:t>万元。如果</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14"/>
              <w:ind w:left="-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4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4"/>
                <w:szCs w:val="14"/>
              </w:rPr>
            </w:pPr>
          </w:p>
          <w:p>
            <w:pPr>
              <w:pStyle w:val="TableParagraph"/>
              <w:spacing w:line="240" w:lineRule="auto"/>
              <w:ind w:left="-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91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4"/>
                <w:szCs w:val="14"/>
              </w:rPr>
            </w:pPr>
          </w:p>
          <w:p>
            <w:pPr>
              <w:pStyle w:val="TableParagraph"/>
              <w:spacing w:line="240" w:lineRule="auto"/>
              <w:ind w:right="0"/>
              <w:jc w:val="left"/>
              <w:rPr>
                <w:rFonts w:ascii="宋体" w:hAnsi="宋体" w:cs="宋体" w:eastAsia="宋体" w:hint="default"/>
                <w:sz w:val="18"/>
                <w:szCs w:val="18"/>
              </w:rPr>
            </w:pPr>
            <w:r>
              <w:rPr>
                <w:rFonts w:ascii="宋体" w:hAnsi="宋体" w:cs="宋体" w:eastAsia="宋体" w:hint="default"/>
                <w:sz w:val="18"/>
                <w:szCs w:val="18"/>
              </w:rPr>
              <w:t>严格履行中</w:t>
            </w:r>
          </w:p>
        </w:tc>
      </w:tr>
      <w:tr>
        <w:trPr>
          <w:trHeight w:val="305" w:hRule="exact"/>
        </w:trPr>
        <w:tc>
          <w:tcPr>
            <w:tcW w:w="1532" w:type="dxa"/>
            <w:vMerge/>
            <w:tcBorders>
              <w:left w:val="single" w:sz="4" w:space="0" w:color="000000"/>
              <w:bottom w:val="single" w:sz="4" w:space="0" w:color="000000"/>
              <w:right w:val="single" w:sz="4" w:space="0" w:color="000000"/>
            </w:tcBorders>
            <w:shd w:val="clear" w:color="auto" w:fill="D3D3D3"/>
          </w:tcPr>
          <w:p>
            <w:pPr/>
          </w:p>
        </w:tc>
        <w:tc>
          <w:tcPr>
            <w:tcW w:w="808" w:type="dxa"/>
            <w:tcBorders>
              <w:top w:val="nil" w:sz="6" w:space="0" w:color="auto"/>
              <w:left w:val="single" w:sz="4" w:space="0" w:color="000000"/>
              <w:bottom w:val="single" w:sz="4" w:space="0" w:color="000000"/>
              <w:right w:val="single" w:sz="4" w:space="0" w:color="000000"/>
            </w:tcBorders>
          </w:tcPr>
          <w:p>
            <w:pPr/>
          </w:p>
        </w:tc>
        <w:tc>
          <w:tcPr>
            <w:tcW w:w="1156" w:type="dxa"/>
            <w:tcBorders>
              <w:top w:val="nil" w:sz="6" w:space="0" w:color="auto"/>
              <w:left w:val="single" w:sz="4" w:space="0" w:color="000000"/>
              <w:bottom w:val="single" w:sz="4" w:space="0" w:color="000000"/>
              <w:right w:val="single" w:sz="4" w:space="0" w:color="000000"/>
            </w:tcBorders>
          </w:tcPr>
          <w:p>
            <w:pPr/>
          </w:p>
        </w:tc>
        <w:tc>
          <w:tcPr>
            <w:tcW w:w="517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1"/>
              <w:ind w:left="-1" w:right="0"/>
              <w:jc w:val="left"/>
              <w:rPr>
                <w:rFonts w:ascii="宋体" w:hAnsi="宋体" w:cs="宋体" w:eastAsia="宋体" w:hint="default"/>
                <w:sz w:val="15"/>
                <w:szCs w:val="15"/>
              </w:rPr>
            </w:pPr>
            <w:r>
              <w:rPr>
                <w:rFonts w:ascii="宋体" w:hAnsi="宋体" w:cs="宋体" w:eastAsia="宋体" w:hint="default"/>
                <w:sz w:val="15"/>
                <w:szCs w:val="15"/>
              </w:rPr>
              <w:t>未达业绩承诺则按协议约定对中国长城予以补偿。</w:t>
            </w:r>
          </w:p>
        </w:tc>
        <w:tc>
          <w:tcPr>
            <w:tcW w:w="1080" w:type="dxa"/>
            <w:tcBorders>
              <w:top w:val="nil" w:sz="6" w:space="0" w:color="auto"/>
              <w:left w:val="single" w:sz="4" w:space="0" w:color="000000"/>
              <w:bottom w:val="single" w:sz="4" w:space="0" w:color="000000"/>
              <w:right w:val="single" w:sz="4" w:space="0" w:color="000000"/>
            </w:tcBorders>
          </w:tcPr>
          <w:p>
            <w:pPr/>
          </w:p>
        </w:tc>
        <w:tc>
          <w:tcPr>
            <w:tcW w:w="942" w:type="dxa"/>
            <w:tcBorders>
              <w:top w:val="nil" w:sz="6" w:space="0" w:color="auto"/>
              <w:left w:val="single" w:sz="4" w:space="0" w:color="000000"/>
              <w:bottom w:val="single" w:sz="4" w:space="0" w:color="000000"/>
              <w:right w:val="single" w:sz="4" w:space="0" w:color="000000"/>
            </w:tcBorders>
          </w:tcPr>
          <w:p>
            <w:pPr/>
          </w:p>
        </w:tc>
        <w:tc>
          <w:tcPr>
            <w:tcW w:w="916" w:type="dxa"/>
            <w:tcBorders>
              <w:top w:val="nil" w:sz="6" w:space="0" w:color="auto"/>
              <w:left w:val="single" w:sz="4" w:space="0" w:color="000000"/>
              <w:bottom w:val="single" w:sz="4" w:space="0" w:color="000000"/>
              <w:right w:val="single" w:sz="4" w:space="0" w:color="000000"/>
            </w:tcBorders>
          </w:tcPr>
          <w:p>
            <w:pPr/>
          </w:p>
        </w:tc>
      </w:tr>
      <w:tr>
        <w:trPr>
          <w:trHeight w:val="322" w:hRule="exact"/>
        </w:trPr>
        <w:tc>
          <w:tcPr>
            <w:tcW w:w="153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left="-1" w:right="0"/>
              <w:jc w:val="left"/>
              <w:rPr>
                <w:rFonts w:ascii="宋体" w:hAnsi="宋体" w:cs="宋体" w:eastAsia="宋体" w:hint="default"/>
                <w:sz w:val="18"/>
                <w:szCs w:val="18"/>
              </w:rPr>
            </w:pPr>
            <w:r>
              <w:rPr>
                <w:rFonts w:ascii="宋体" w:hAnsi="宋体" w:cs="宋体" w:eastAsia="宋体" w:hint="default"/>
                <w:sz w:val="18"/>
                <w:szCs w:val="18"/>
              </w:rPr>
              <w:t>承诺是否按时履行</w:t>
            </w:r>
          </w:p>
        </w:tc>
        <w:tc>
          <w:tcPr>
            <w:tcW w:w="10078"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59"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317" w:hRule="exact"/>
        </w:trPr>
        <w:tc>
          <w:tcPr>
            <w:tcW w:w="1532" w:type="dxa"/>
            <w:tcBorders>
              <w:top w:val="single" w:sz="4" w:space="0" w:color="000000"/>
              <w:left w:val="single" w:sz="4" w:space="0" w:color="000000"/>
              <w:bottom w:val="nil" w:sz="6" w:space="0" w:color="auto"/>
              <w:right w:val="single" w:sz="4" w:space="0" w:color="000000"/>
            </w:tcBorders>
            <w:shd w:val="clear" w:color="auto" w:fill="D3D3D3"/>
          </w:tcPr>
          <w:p>
            <w:pPr>
              <w:pStyle w:val="TableParagraph"/>
              <w:spacing w:line="240" w:lineRule="auto" w:before="10"/>
              <w:ind w:left="-1" w:right="0"/>
              <w:jc w:val="left"/>
              <w:rPr>
                <w:rFonts w:ascii="宋体" w:hAnsi="宋体" w:cs="宋体" w:eastAsia="宋体" w:hint="default"/>
                <w:sz w:val="18"/>
                <w:szCs w:val="18"/>
              </w:rPr>
            </w:pPr>
            <w:r>
              <w:rPr>
                <w:rFonts w:ascii="宋体" w:hAnsi="宋体" w:cs="宋体" w:eastAsia="宋体" w:hint="default"/>
                <w:sz w:val="18"/>
                <w:szCs w:val="18"/>
              </w:rPr>
              <w:t>如承诺超期未履行</w:t>
            </w:r>
          </w:p>
        </w:tc>
        <w:tc>
          <w:tcPr>
            <w:tcW w:w="10078" w:type="dxa"/>
            <w:gridSpan w:val="6"/>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1532"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10"/>
              <w:ind w:left="-1" w:right="0"/>
              <w:jc w:val="left"/>
              <w:rPr>
                <w:rFonts w:ascii="宋体" w:hAnsi="宋体" w:cs="宋体" w:eastAsia="宋体" w:hint="default"/>
                <w:sz w:val="18"/>
                <w:szCs w:val="18"/>
              </w:rPr>
            </w:pPr>
            <w:r>
              <w:rPr>
                <w:rFonts w:ascii="宋体" w:hAnsi="宋体" w:cs="宋体" w:eastAsia="宋体" w:hint="default"/>
                <w:sz w:val="18"/>
                <w:szCs w:val="18"/>
              </w:rPr>
              <w:t>完毕的，应当详细</w:t>
            </w:r>
          </w:p>
        </w:tc>
        <w:tc>
          <w:tcPr>
            <w:tcW w:w="10078" w:type="dxa"/>
            <w:gridSpan w:val="6"/>
            <w:tcBorders>
              <w:top w:val="nil" w:sz="6" w:space="0" w:color="auto"/>
              <w:left w:val="single" w:sz="4" w:space="0" w:color="000000"/>
              <w:bottom w:val="nil" w:sz="6" w:space="0" w:color="auto"/>
              <w:right w:val="single" w:sz="4" w:space="0" w:color="000000"/>
            </w:tcBorders>
          </w:tcPr>
          <w:p>
            <w:pPr/>
          </w:p>
        </w:tc>
      </w:tr>
      <w:tr>
        <w:trPr>
          <w:trHeight w:val="312" w:hRule="exact"/>
        </w:trPr>
        <w:tc>
          <w:tcPr>
            <w:tcW w:w="1532"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10"/>
              <w:ind w:left="-1" w:right="0"/>
              <w:jc w:val="left"/>
              <w:rPr>
                <w:rFonts w:ascii="宋体" w:hAnsi="宋体" w:cs="宋体" w:eastAsia="宋体" w:hint="default"/>
                <w:sz w:val="18"/>
                <w:szCs w:val="18"/>
              </w:rPr>
            </w:pPr>
            <w:r>
              <w:rPr>
                <w:rFonts w:ascii="宋体" w:hAnsi="宋体" w:cs="宋体" w:eastAsia="宋体" w:hint="default"/>
                <w:sz w:val="18"/>
                <w:szCs w:val="18"/>
              </w:rPr>
              <w:t>说明未完成履行的</w:t>
            </w:r>
          </w:p>
        </w:tc>
        <w:tc>
          <w:tcPr>
            <w:tcW w:w="10078" w:type="dxa"/>
            <w:gridSpan w:val="6"/>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359"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312" w:hRule="exact"/>
        </w:trPr>
        <w:tc>
          <w:tcPr>
            <w:tcW w:w="1532"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10"/>
              <w:ind w:left="-1" w:right="0"/>
              <w:jc w:val="left"/>
              <w:rPr>
                <w:rFonts w:ascii="宋体" w:hAnsi="宋体" w:cs="宋体" w:eastAsia="宋体" w:hint="default"/>
                <w:sz w:val="18"/>
                <w:szCs w:val="18"/>
              </w:rPr>
            </w:pPr>
            <w:r>
              <w:rPr>
                <w:rFonts w:ascii="宋体" w:hAnsi="宋体" w:cs="宋体" w:eastAsia="宋体" w:hint="default"/>
                <w:sz w:val="18"/>
                <w:szCs w:val="18"/>
              </w:rPr>
              <w:t>具体原因及下一步</w:t>
            </w:r>
          </w:p>
        </w:tc>
        <w:tc>
          <w:tcPr>
            <w:tcW w:w="10078" w:type="dxa"/>
            <w:gridSpan w:val="6"/>
            <w:tcBorders>
              <w:top w:val="nil" w:sz="6" w:space="0" w:color="auto"/>
              <w:left w:val="single" w:sz="4" w:space="0" w:color="000000"/>
              <w:bottom w:val="nil" w:sz="6" w:space="0" w:color="auto"/>
              <w:right w:val="single" w:sz="4" w:space="0" w:color="000000"/>
            </w:tcBorders>
          </w:tcPr>
          <w:p>
            <w:pPr/>
          </w:p>
        </w:tc>
      </w:tr>
      <w:tr>
        <w:trPr>
          <w:trHeight w:val="318" w:hRule="exact"/>
        </w:trPr>
        <w:tc>
          <w:tcPr>
            <w:tcW w:w="1532" w:type="dxa"/>
            <w:tcBorders>
              <w:top w:val="nil" w:sz="6" w:space="0" w:color="auto"/>
              <w:left w:val="single" w:sz="4" w:space="0" w:color="000000"/>
              <w:bottom w:val="single" w:sz="4" w:space="0" w:color="000000"/>
              <w:right w:val="single" w:sz="4" w:space="0" w:color="000000"/>
            </w:tcBorders>
            <w:shd w:val="clear" w:color="auto" w:fill="D3D3D3"/>
          </w:tcPr>
          <w:p>
            <w:pPr>
              <w:pStyle w:val="TableParagraph"/>
              <w:spacing w:line="240" w:lineRule="auto" w:before="10"/>
              <w:ind w:left="-1" w:right="0"/>
              <w:jc w:val="left"/>
              <w:rPr>
                <w:rFonts w:ascii="宋体" w:hAnsi="宋体" w:cs="宋体" w:eastAsia="宋体" w:hint="default"/>
                <w:sz w:val="18"/>
                <w:szCs w:val="18"/>
              </w:rPr>
            </w:pPr>
            <w:r>
              <w:rPr>
                <w:rFonts w:ascii="宋体" w:hAnsi="宋体" w:cs="宋体" w:eastAsia="宋体" w:hint="default"/>
                <w:sz w:val="18"/>
                <w:szCs w:val="18"/>
              </w:rPr>
              <w:t>的工作计划</w:t>
            </w:r>
          </w:p>
        </w:tc>
        <w:tc>
          <w:tcPr>
            <w:tcW w:w="10078" w:type="dxa"/>
            <w:gridSpan w:val="6"/>
            <w:tcBorders>
              <w:top w:val="nil" w:sz="6" w:space="0" w:color="auto"/>
              <w:left w:val="single" w:sz="4" w:space="0" w:color="000000"/>
              <w:bottom w:val="single" w:sz="4" w:space="0" w:color="000000"/>
              <w:right w:val="single" w:sz="4" w:space="0" w:color="000000"/>
            </w:tcBorders>
          </w:tcPr>
          <w:p>
            <w:pPr/>
          </w:p>
        </w:tc>
      </w:tr>
    </w:tbl>
    <w:p>
      <w:pPr>
        <w:spacing w:line="240" w:lineRule="auto" w:before="3"/>
        <w:rPr>
          <w:rFonts w:ascii="Times New Roman" w:hAnsi="Times New Roman" w:cs="Times New Roman" w:eastAsia="Times New Roman" w:hint="default"/>
          <w:sz w:val="11"/>
          <w:szCs w:val="11"/>
        </w:rPr>
      </w:pPr>
    </w:p>
    <w:p>
      <w:pPr>
        <w:pStyle w:val="Heading5"/>
        <w:spacing w:line="256" w:lineRule="auto"/>
        <w:ind w:left="1094" w:right="0"/>
        <w:jc w:val="left"/>
        <w:rPr>
          <w:b w:val="0"/>
          <w:bCs w:val="0"/>
        </w:rPr>
      </w:pPr>
      <w:r>
        <w:rPr>
          <w:rFonts w:ascii="Times New Roman" w:hAnsi="Times New Roman" w:cs="Times New Roman" w:eastAsia="Times New Roman" w:hint="default"/>
        </w:rPr>
        <w:t>2</w:t>
      </w:r>
      <w:r>
        <w:rPr/>
        <w:t>、公司资产或项目存在盈利预测，且报告期仍处在盈利预测期间，公司就资产或项目达到原盈利预测及</w:t>
      </w:r>
      <w:r>
        <w:rPr>
          <w:spacing w:val="-74"/>
        </w:rPr>
        <w:t> </w:t>
      </w:r>
      <w:r>
        <w:rPr>
          <w:spacing w:val="-74"/>
        </w:rPr>
      </w:r>
      <w:r>
        <w:rPr/>
        <w:t>其原因做出说明</w:t>
      </w:r>
      <w:r>
        <w:rPr>
          <w:b w:val="0"/>
          <w:bCs w:val="0"/>
        </w:rPr>
      </w:r>
    </w:p>
    <w:p>
      <w:pPr>
        <w:spacing w:line="240" w:lineRule="auto" w:before="7"/>
        <w:rPr>
          <w:rFonts w:ascii="宋体" w:hAnsi="宋体" w:cs="宋体" w:eastAsia="宋体" w:hint="default"/>
          <w:b/>
          <w:bCs/>
          <w:sz w:val="17"/>
          <w:szCs w:val="17"/>
        </w:rPr>
      </w:pPr>
    </w:p>
    <w:p>
      <w:pPr>
        <w:spacing w:before="0"/>
        <w:ind w:left="109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3"/>
        <w:rPr>
          <w:rFonts w:ascii="宋体" w:hAnsi="宋体" w:cs="宋体" w:eastAsia="宋体" w:hint="default"/>
          <w:sz w:val="7"/>
          <w:szCs w:val="7"/>
        </w:rPr>
      </w:pPr>
    </w:p>
    <w:tbl>
      <w:tblPr>
        <w:tblW w:w="0" w:type="auto"/>
        <w:jc w:val="left"/>
        <w:tblInd w:w="348" w:type="dxa"/>
        <w:tblLayout w:type="fixed"/>
        <w:tblCellMar>
          <w:top w:w="0" w:type="dxa"/>
          <w:left w:w="0" w:type="dxa"/>
          <w:bottom w:w="0" w:type="dxa"/>
          <w:right w:w="0" w:type="dxa"/>
        </w:tblCellMar>
        <w:tblLook w:val="01E0"/>
      </w:tblPr>
      <w:tblGrid>
        <w:gridCol w:w="1417"/>
        <w:gridCol w:w="1294"/>
        <w:gridCol w:w="1300"/>
        <w:gridCol w:w="1200"/>
        <w:gridCol w:w="1183"/>
        <w:gridCol w:w="1350"/>
        <w:gridCol w:w="1334"/>
        <w:gridCol w:w="2040"/>
      </w:tblGrid>
      <w:tr>
        <w:trPr>
          <w:trHeight w:val="634" w:hRule="exact"/>
        </w:trPr>
        <w:tc>
          <w:tcPr>
            <w:tcW w:w="141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10"/>
              <w:ind w:left="344" w:right="71" w:hanging="270"/>
              <w:jc w:val="left"/>
              <w:rPr>
                <w:rFonts w:ascii="宋体" w:hAnsi="宋体" w:cs="宋体" w:eastAsia="宋体" w:hint="default"/>
                <w:sz w:val="18"/>
                <w:szCs w:val="18"/>
              </w:rPr>
            </w:pPr>
            <w:r>
              <w:rPr>
                <w:rFonts w:ascii="宋体" w:hAnsi="宋体" w:cs="宋体" w:eastAsia="宋体" w:hint="default"/>
                <w:sz w:val="18"/>
                <w:szCs w:val="18"/>
              </w:rPr>
              <w:t>盈利预测资产或 项目名称</w:t>
            </w:r>
          </w:p>
        </w:tc>
        <w:tc>
          <w:tcPr>
            <w:tcW w:w="12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预测起始时间</w:t>
            </w:r>
          </w:p>
        </w:tc>
        <w:tc>
          <w:tcPr>
            <w:tcW w:w="130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预测终止时间</w:t>
            </w:r>
          </w:p>
        </w:tc>
        <w:tc>
          <w:tcPr>
            <w:tcW w:w="120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当期预测业绩</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（万元）</w:t>
            </w:r>
          </w:p>
        </w:tc>
        <w:tc>
          <w:tcPr>
            <w:tcW w:w="118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当期实际业绩</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（万元）</w:t>
            </w:r>
          </w:p>
        </w:tc>
        <w:tc>
          <w:tcPr>
            <w:tcW w:w="135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未达预测的原因</w:t>
            </w:r>
          </w:p>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sz w:val="18"/>
                <w:szCs w:val="18"/>
              </w:rPr>
              <w:t>（如适用）</w:t>
            </w:r>
          </w:p>
        </w:tc>
        <w:tc>
          <w:tcPr>
            <w:tcW w:w="133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原预测披露日期</w:t>
            </w:r>
          </w:p>
        </w:tc>
        <w:tc>
          <w:tcPr>
            <w:tcW w:w="204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85" w:right="0"/>
              <w:jc w:val="left"/>
              <w:rPr>
                <w:rFonts w:ascii="宋体" w:hAnsi="宋体" w:cs="宋体" w:eastAsia="宋体" w:hint="default"/>
                <w:sz w:val="18"/>
                <w:szCs w:val="18"/>
              </w:rPr>
            </w:pPr>
            <w:r>
              <w:rPr>
                <w:rFonts w:ascii="宋体" w:hAnsi="宋体" w:cs="宋体" w:eastAsia="宋体" w:hint="default"/>
                <w:sz w:val="18"/>
                <w:szCs w:val="18"/>
              </w:rPr>
              <w:t>原预测披露索引</w:t>
            </w:r>
          </w:p>
        </w:tc>
      </w:tr>
      <w:tr>
        <w:trPr>
          <w:trHeight w:val="674" w:hRule="exact"/>
        </w:trPr>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379" w:lineRule="auto" w:before="55"/>
              <w:ind w:left="24" w:right="31"/>
              <w:jc w:val="left"/>
              <w:rPr>
                <w:rFonts w:ascii="宋体" w:hAnsi="宋体" w:cs="宋体" w:eastAsia="宋体" w:hint="default"/>
                <w:sz w:val="15"/>
                <w:szCs w:val="15"/>
              </w:rPr>
            </w:pPr>
            <w:r>
              <w:rPr>
                <w:rFonts w:ascii="宋体" w:hAnsi="宋体" w:cs="宋体" w:eastAsia="宋体" w:hint="default"/>
                <w:sz w:val="15"/>
                <w:szCs w:val="15"/>
              </w:rPr>
              <w:t>武汉中原电子集团有 限公司</w:t>
            </w:r>
          </w:p>
        </w:tc>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5"/>
                <w:szCs w:val="15"/>
              </w:rPr>
            </w:pPr>
            <w:r>
              <w:rPr>
                <w:rFonts w:ascii="Times New Roman" w:hAnsi="Times New Roman" w:cs="Times New Roman" w:eastAsia="Times New Roman" w:hint="default"/>
                <w:sz w:val="15"/>
                <w:szCs w:val="15"/>
              </w:rPr>
              <w:t>2017</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01</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01</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日</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5"/>
              <w:jc w:val="center"/>
              <w:rPr>
                <w:rFonts w:ascii="宋体" w:hAnsi="宋体" w:cs="宋体" w:eastAsia="宋体" w:hint="default"/>
                <w:sz w:val="15"/>
                <w:szCs w:val="15"/>
              </w:rPr>
            </w:pPr>
            <w:r>
              <w:rPr>
                <w:rFonts w:ascii="Times New Roman" w:hAnsi="Times New Roman" w:cs="Times New Roman" w:eastAsia="Times New Roman" w:hint="default"/>
                <w:sz w:val="15"/>
                <w:szCs w:val="15"/>
              </w:rPr>
              <w:t>2019</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12</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月</w:t>
            </w:r>
            <w:r>
              <w:rPr>
                <w:rFonts w:ascii="宋体" w:hAnsi="宋体" w:cs="宋体" w:eastAsia="宋体" w:hint="default"/>
                <w:spacing w:val="-40"/>
                <w:sz w:val="15"/>
                <w:szCs w:val="15"/>
              </w:rPr>
              <w:t> </w:t>
            </w:r>
            <w:r>
              <w:rPr>
                <w:rFonts w:ascii="Times New Roman" w:hAnsi="Times New Roman" w:cs="Times New Roman" w:eastAsia="Times New Roman" w:hint="default"/>
                <w:sz w:val="15"/>
                <w:szCs w:val="15"/>
              </w:rPr>
              <w:t>31</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日</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5"/>
                <w:szCs w:val="15"/>
              </w:rPr>
            </w:pPr>
            <w:r>
              <w:rPr>
                <w:rFonts w:ascii="Times New Roman"/>
                <w:spacing w:val="-1"/>
                <w:sz w:val="15"/>
              </w:rPr>
              <w:t>18,495.39</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5"/>
                <w:szCs w:val="15"/>
              </w:rPr>
            </w:pPr>
            <w:r>
              <w:rPr>
                <w:rFonts w:ascii="Times New Roman"/>
                <w:spacing w:val="-1"/>
                <w:sz w:val="15"/>
              </w:rPr>
              <w:t>19,520.71</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不适用</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41"/>
              <w:jc w:val="center"/>
              <w:rPr>
                <w:rFonts w:ascii="宋体" w:hAnsi="宋体" w:cs="宋体" w:eastAsia="宋体" w:hint="default"/>
                <w:sz w:val="15"/>
                <w:szCs w:val="15"/>
              </w:rPr>
            </w:pPr>
            <w:r>
              <w:rPr>
                <w:rFonts w:ascii="Times New Roman" w:hAnsi="Times New Roman" w:cs="Times New Roman" w:eastAsia="Times New Roman" w:hint="default"/>
                <w:sz w:val="15"/>
                <w:szCs w:val="15"/>
              </w:rPr>
              <w:t>2017</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01</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月</w:t>
            </w:r>
            <w:r>
              <w:rPr>
                <w:rFonts w:ascii="宋体" w:hAnsi="宋体" w:cs="宋体" w:eastAsia="宋体" w:hint="default"/>
                <w:spacing w:val="-40"/>
                <w:sz w:val="15"/>
                <w:szCs w:val="15"/>
              </w:rPr>
              <w:t> </w:t>
            </w:r>
            <w:r>
              <w:rPr>
                <w:rFonts w:ascii="Times New Roman" w:hAnsi="Times New Roman" w:cs="Times New Roman" w:eastAsia="Times New Roman" w:hint="default"/>
                <w:sz w:val="15"/>
                <w:szCs w:val="15"/>
              </w:rPr>
              <w:t>20</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日</w:t>
            </w:r>
          </w:p>
        </w:tc>
        <w:tc>
          <w:tcPr>
            <w:tcW w:w="2040" w:type="dxa"/>
            <w:vMerge w:val="restart"/>
            <w:tcBorders>
              <w:top w:val="single" w:sz="4" w:space="0" w:color="000000"/>
              <w:left w:val="single" w:sz="4" w:space="0" w:color="000000"/>
              <w:right w:val="single" w:sz="4" w:space="0" w:color="000000"/>
            </w:tcBorders>
          </w:tcPr>
          <w:p>
            <w:pPr>
              <w:pStyle w:val="TableParagraph"/>
              <w:spacing w:line="240" w:lineRule="auto" w:before="79"/>
              <w:ind w:left="22" w:right="0"/>
              <w:jc w:val="both"/>
              <w:rPr>
                <w:rFonts w:ascii="宋体" w:hAnsi="宋体" w:cs="宋体" w:eastAsia="宋体" w:hint="default"/>
                <w:sz w:val="15"/>
                <w:szCs w:val="15"/>
              </w:rPr>
            </w:pPr>
            <w:r>
              <w:rPr>
                <w:rFonts w:ascii="宋体" w:hAnsi="宋体" w:cs="宋体" w:eastAsia="宋体" w:hint="default"/>
                <w:sz w:val="15"/>
                <w:szCs w:val="15"/>
              </w:rPr>
              <w:t>详见巨潮资讯网</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2017-017</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号</w:t>
            </w:r>
          </w:p>
          <w:p>
            <w:pPr>
              <w:pStyle w:val="TableParagraph"/>
              <w:spacing w:line="381" w:lineRule="auto" w:before="104"/>
              <w:ind w:left="22" w:right="55"/>
              <w:jc w:val="both"/>
              <w:rPr>
                <w:rFonts w:ascii="宋体" w:hAnsi="宋体" w:cs="宋体" w:eastAsia="宋体" w:hint="default"/>
                <w:sz w:val="15"/>
                <w:szCs w:val="15"/>
              </w:rPr>
            </w:pPr>
            <w:r>
              <w:rPr>
                <w:rFonts w:ascii="宋体" w:hAnsi="宋体" w:cs="宋体" w:eastAsia="宋体" w:hint="default"/>
                <w:sz w:val="15"/>
                <w:szCs w:val="15"/>
              </w:rPr>
              <w:t>《重大资产重组相关承诺的公 告》或《重大资产重组实施情 况暨新增股份上市公告书》</w:t>
            </w:r>
          </w:p>
        </w:tc>
      </w:tr>
      <w:tr>
        <w:trPr>
          <w:trHeight w:val="674" w:hRule="exact"/>
        </w:trPr>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381" w:lineRule="auto" w:before="54"/>
              <w:ind w:left="24" w:right="31"/>
              <w:jc w:val="left"/>
              <w:rPr>
                <w:rFonts w:ascii="宋体" w:hAnsi="宋体" w:cs="宋体" w:eastAsia="宋体" w:hint="default"/>
                <w:sz w:val="15"/>
                <w:szCs w:val="15"/>
              </w:rPr>
            </w:pPr>
            <w:r>
              <w:rPr>
                <w:rFonts w:ascii="宋体" w:hAnsi="宋体" w:cs="宋体" w:eastAsia="宋体" w:hint="default"/>
                <w:sz w:val="15"/>
                <w:szCs w:val="15"/>
              </w:rPr>
              <w:t>北京圣非凡电子系统 技术开发有限公司</w:t>
            </w:r>
          </w:p>
        </w:tc>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5"/>
                <w:szCs w:val="15"/>
              </w:rPr>
            </w:pPr>
            <w:r>
              <w:rPr>
                <w:rFonts w:ascii="Times New Roman" w:hAnsi="Times New Roman" w:cs="Times New Roman" w:eastAsia="Times New Roman" w:hint="default"/>
                <w:sz w:val="15"/>
                <w:szCs w:val="15"/>
              </w:rPr>
              <w:t>2017</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01</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01</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日</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5"/>
              <w:jc w:val="center"/>
              <w:rPr>
                <w:rFonts w:ascii="宋体" w:hAnsi="宋体" w:cs="宋体" w:eastAsia="宋体" w:hint="default"/>
                <w:sz w:val="15"/>
                <w:szCs w:val="15"/>
              </w:rPr>
            </w:pPr>
            <w:r>
              <w:rPr>
                <w:rFonts w:ascii="Times New Roman" w:hAnsi="Times New Roman" w:cs="Times New Roman" w:eastAsia="Times New Roman" w:hint="default"/>
                <w:sz w:val="15"/>
                <w:szCs w:val="15"/>
              </w:rPr>
              <w:t>2019</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12</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月</w:t>
            </w:r>
            <w:r>
              <w:rPr>
                <w:rFonts w:ascii="宋体" w:hAnsi="宋体" w:cs="宋体" w:eastAsia="宋体" w:hint="default"/>
                <w:spacing w:val="-40"/>
                <w:sz w:val="15"/>
                <w:szCs w:val="15"/>
              </w:rPr>
              <w:t> </w:t>
            </w:r>
            <w:r>
              <w:rPr>
                <w:rFonts w:ascii="Times New Roman" w:hAnsi="Times New Roman" w:cs="Times New Roman" w:eastAsia="Times New Roman" w:hint="default"/>
                <w:sz w:val="15"/>
                <w:szCs w:val="15"/>
              </w:rPr>
              <w:t>31</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日</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5"/>
                <w:szCs w:val="15"/>
              </w:rPr>
            </w:pPr>
            <w:r>
              <w:rPr>
                <w:rFonts w:ascii="Times New Roman"/>
                <w:spacing w:val="-1"/>
                <w:sz w:val="15"/>
              </w:rPr>
              <w:t>7,160.17</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5"/>
                <w:szCs w:val="15"/>
              </w:rPr>
            </w:pPr>
            <w:r>
              <w:rPr>
                <w:rFonts w:ascii="Times New Roman"/>
                <w:spacing w:val="-1"/>
                <w:sz w:val="15"/>
              </w:rPr>
              <w:t>3,683.15</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适用</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41"/>
              <w:jc w:val="center"/>
              <w:rPr>
                <w:rFonts w:ascii="宋体" w:hAnsi="宋体" w:cs="宋体" w:eastAsia="宋体" w:hint="default"/>
                <w:sz w:val="15"/>
                <w:szCs w:val="15"/>
              </w:rPr>
            </w:pPr>
            <w:r>
              <w:rPr>
                <w:rFonts w:ascii="Times New Roman" w:hAnsi="Times New Roman" w:cs="Times New Roman" w:eastAsia="Times New Roman" w:hint="default"/>
                <w:sz w:val="15"/>
                <w:szCs w:val="15"/>
              </w:rPr>
              <w:t>2017</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01</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月</w:t>
            </w:r>
            <w:r>
              <w:rPr>
                <w:rFonts w:ascii="宋体" w:hAnsi="宋体" w:cs="宋体" w:eastAsia="宋体" w:hint="default"/>
                <w:spacing w:val="-40"/>
                <w:sz w:val="15"/>
                <w:szCs w:val="15"/>
              </w:rPr>
              <w:t> </w:t>
            </w:r>
            <w:r>
              <w:rPr>
                <w:rFonts w:ascii="Times New Roman" w:hAnsi="Times New Roman" w:cs="Times New Roman" w:eastAsia="Times New Roman" w:hint="default"/>
                <w:sz w:val="15"/>
                <w:szCs w:val="15"/>
              </w:rPr>
              <w:t>20</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日</w:t>
            </w:r>
          </w:p>
        </w:tc>
        <w:tc>
          <w:tcPr>
            <w:tcW w:w="2040" w:type="dxa"/>
            <w:vMerge/>
            <w:tcBorders>
              <w:left w:val="single" w:sz="4" w:space="0" w:color="000000"/>
              <w:bottom w:val="single" w:sz="4" w:space="0" w:color="000000"/>
              <w:right w:val="single" w:sz="4" w:space="0" w:color="000000"/>
            </w:tcBorders>
          </w:tcPr>
          <w:p>
            <w:pPr/>
          </w:p>
        </w:tc>
      </w:tr>
      <w:tr>
        <w:trPr>
          <w:trHeight w:val="674" w:hRule="exact"/>
        </w:trPr>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381" w:lineRule="auto" w:before="54"/>
              <w:ind w:left="24" w:right="31"/>
              <w:jc w:val="left"/>
              <w:rPr>
                <w:rFonts w:ascii="宋体" w:hAnsi="宋体" w:cs="宋体" w:eastAsia="宋体" w:hint="default"/>
                <w:sz w:val="15"/>
                <w:szCs w:val="15"/>
              </w:rPr>
            </w:pPr>
            <w:r>
              <w:rPr>
                <w:rFonts w:ascii="宋体" w:hAnsi="宋体" w:cs="宋体" w:eastAsia="宋体" w:hint="default"/>
                <w:sz w:val="15"/>
                <w:szCs w:val="15"/>
              </w:rPr>
              <w:t>长城超云（北京）科 技有限公司</w:t>
            </w:r>
          </w:p>
        </w:tc>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5"/>
                <w:szCs w:val="15"/>
              </w:rPr>
            </w:pPr>
            <w:r>
              <w:rPr>
                <w:rFonts w:ascii="Times New Roman" w:hAnsi="Times New Roman" w:cs="Times New Roman" w:eastAsia="Times New Roman" w:hint="default"/>
                <w:sz w:val="15"/>
                <w:szCs w:val="15"/>
              </w:rPr>
              <w:t>2018</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01</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月</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01</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日</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5"/>
              <w:jc w:val="center"/>
              <w:rPr>
                <w:rFonts w:ascii="宋体" w:hAnsi="宋体" w:cs="宋体" w:eastAsia="宋体" w:hint="default"/>
                <w:sz w:val="15"/>
                <w:szCs w:val="15"/>
              </w:rPr>
            </w:pPr>
            <w:r>
              <w:rPr>
                <w:rFonts w:ascii="Times New Roman" w:hAnsi="Times New Roman" w:cs="Times New Roman" w:eastAsia="Times New Roman" w:hint="default"/>
                <w:sz w:val="15"/>
                <w:szCs w:val="15"/>
              </w:rPr>
              <w:t>2020</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12</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月</w:t>
            </w:r>
            <w:r>
              <w:rPr>
                <w:rFonts w:ascii="宋体" w:hAnsi="宋体" w:cs="宋体" w:eastAsia="宋体" w:hint="default"/>
                <w:spacing w:val="-40"/>
                <w:sz w:val="15"/>
                <w:szCs w:val="15"/>
              </w:rPr>
              <w:t> </w:t>
            </w:r>
            <w:r>
              <w:rPr>
                <w:rFonts w:ascii="Times New Roman" w:hAnsi="Times New Roman" w:cs="Times New Roman" w:eastAsia="Times New Roman" w:hint="default"/>
                <w:sz w:val="15"/>
                <w:szCs w:val="15"/>
              </w:rPr>
              <w:t>31</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日</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5"/>
                <w:szCs w:val="15"/>
              </w:rPr>
            </w:pPr>
            <w:r>
              <w:rPr>
                <w:rFonts w:ascii="Times New Roman"/>
                <w:spacing w:val="-1"/>
                <w:sz w:val="15"/>
              </w:rPr>
              <w:t>1,000.00</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5"/>
                <w:szCs w:val="15"/>
              </w:rPr>
            </w:pPr>
            <w:r>
              <w:rPr>
                <w:rFonts w:ascii="Times New Roman"/>
                <w:spacing w:val="-1"/>
                <w:sz w:val="15"/>
              </w:rPr>
              <w:t>1,204.01</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不适用</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41"/>
              <w:jc w:val="center"/>
              <w:rPr>
                <w:rFonts w:ascii="宋体" w:hAnsi="宋体" w:cs="宋体" w:eastAsia="宋体" w:hint="default"/>
                <w:sz w:val="15"/>
                <w:szCs w:val="15"/>
              </w:rPr>
            </w:pPr>
            <w:r>
              <w:rPr>
                <w:rFonts w:ascii="Times New Roman" w:hAnsi="Times New Roman" w:cs="Times New Roman" w:eastAsia="Times New Roman" w:hint="default"/>
                <w:sz w:val="15"/>
                <w:szCs w:val="15"/>
              </w:rPr>
              <w:t>2018</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04</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月</w:t>
            </w:r>
            <w:r>
              <w:rPr>
                <w:rFonts w:ascii="宋体" w:hAnsi="宋体" w:cs="宋体" w:eastAsia="宋体" w:hint="default"/>
                <w:spacing w:val="-40"/>
                <w:sz w:val="15"/>
                <w:szCs w:val="15"/>
              </w:rPr>
              <w:t> </w:t>
            </w:r>
            <w:r>
              <w:rPr>
                <w:rFonts w:ascii="Times New Roman" w:hAnsi="Times New Roman" w:cs="Times New Roman" w:eastAsia="Times New Roman" w:hint="default"/>
                <w:sz w:val="15"/>
                <w:szCs w:val="15"/>
              </w:rPr>
              <w:t>17</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日</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22"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2018-041</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号公告</w:t>
            </w:r>
          </w:p>
        </w:tc>
      </w:tr>
    </w:tbl>
    <w:p>
      <w:pPr>
        <w:spacing w:before="51"/>
        <w:ind w:left="1094" w:right="0" w:firstLine="0"/>
        <w:jc w:val="both"/>
        <w:rPr>
          <w:rFonts w:ascii="宋体" w:hAnsi="宋体" w:cs="宋体" w:eastAsia="宋体" w:hint="default"/>
          <w:sz w:val="18"/>
          <w:szCs w:val="18"/>
        </w:rPr>
      </w:pPr>
      <w:r>
        <w:rPr>
          <w:rFonts w:ascii="宋体" w:hAnsi="宋体" w:cs="宋体" w:eastAsia="宋体" w:hint="default"/>
          <w:sz w:val="18"/>
          <w:szCs w:val="18"/>
        </w:rPr>
        <w:t>公司股东、交易对手方在报告年度经营业绩做出的承诺情况</w:t>
      </w:r>
    </w:p>
    <w:p>
      <w:pPr>
        <w:spacing w:before="116"/>
        <w:ind w:left="1093" w:right="0" w:firstLine="0"/>
        <w:jc w:val="both"/>
        <w:rPr>
          <w:rFonts w:ascii="宋体" w:hAnsi="宋体" w:cs="宋体" w:eastAsia="宋体" w:hint="default"/>
          <w:sz w:val="18"/>
          <w:szCs w:val="18"/>
        </w:rPr>
      </w:pPr>
      <w:r>
        <w:rPr>
          <w:rFonts w:ascii="宋体" w:hAnsi="宋体" w:cs="宋体" w:eastAsia="宋体" w:hint="default"/>
          <w:sz w:val="18"/>
          <w:szCs w:val="18"/>
        </w:rPr>
        <w:t>√ 适用 □ 不适用</w:t>
      </w:r>
    </w:p>
    <w:p>
      <w:pPr>
        <w:spacing w:before="117"/>
        <w:ind w:left="1453"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）重大资产重组购入资产业绩承诺实现情况</w:t>
      </w:r>
    </w:p>
    <w:p>
      <w:pPr>
        <w:spacing w:line="307" w:lineRule="auto" w:before="101"/>
        <w:ind w:left="1093" w:right="1128" w:firstLine="360"/>
        <w:jc w:val="both"/>
        <w:rPr>
          <w:rFonts w:ascii="宋体" w:hAnsi="宋体" w:cs="宋体" w:eastAsia="宋体" w:hint="default"/>
          <w:sz w:val="18"/>
          <w:szCs w:val="18"/>
        </w:rPr>
      </w:pPr>
      <w:r>
        <w:rPr>
          <w:rFonts w:ascii="宋体" w:hAnsi="宋体" w:cs="宋体" w:eastAsia="宋体" w:hint="default"/>
          <w:sz w:val="18"/>
          <w:szCs w:val="18"/>
        </w:rPr>
        <w:t>公司重大资产重组项目中圣非凡</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100%</w:t>
      </w:r>
      <w:r>
        <w:rPr>
          <w:rFonts w:ascii="宋体" w:hAnsi="宋体" w:cs="宋体" w:eastAsia="宋体" w:hint="default"/>
          <w:sz w:val="18"/>
          <w:szCs w:val="18"/>
        </w:rPr>
        <w:t>股权及中原电子主要资产评估结果系按照收益法评估结果确定且以该等评估结果 </w:t>
      </w:r>
      <w:r>
        <w:rPr>
          <w:rFonts w:ascii="宋体" w:hAnsi="宋体" w:cs="宋体" w:eastAsia="宋体" w:hint="default"/>
          <w:spacing w:val="-5"/>
          <w:sz w:val="18"/>
          <w:szCs w:val="18"/>
        </w:rPr>
        <w:t>作为定价依据，根据公司与中国电子签署的《盈利预测补偿协议》、《盈利预测补偿协议之补充协议》，中国电子对标的公司</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在本次重组实施完毕后的当年及其后两个完整会计年度的经营业绩进行承诺：中原电子在</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7"/>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2018</w:t>
      </w:r>
      <w:r>
        <w:rPr>
          <w:rFonts w:ascii="Times New Roman" w:hAnsi="Times New Roman" w:cs="Times New Roman" w:eastAsia="Times New Roman" w:hint="default"/>
          <w:spacing w:val="-7"/>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2019</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年经审计 的扣除非经常性损益归属于母公司所有者的净利润之和将不低于 </w:t>
      </w:r>
      <w:r>
        <w:rPr>
          <w:rFonts w:ascii="Times New Roman" w:hAnsi="Times New Roman" w:cs="Times New Roman" w:eastAsia="Times New Roman" w:hint="default"/>
          <w:sz w:val="18"/>
          <w:szCs w:val="18"/>
        </w:rPr>
        <w:t>5.7  </w:t>
      </w:r>
      <w:r>
        <w:rPr>
          <w:rFonts w:ascii="宋体" w:hAnsi="宋体" w:cs="宋体" w:eastAsia="宋体" w:hint="default"/>
          <w:sz w:val="18"/>
          <w:szCs w:val="18"/>
        </w:rPr>
        <w:t>亿元，具体分别为 </w:t>
      </w:r>
      <w:r>
        <w:rPr>
          <w:rFonts w:ascii="Times New Roman" w:hAnsi="Times New Roman" w:cs="Times New Roman" w:eastAsia="Times New Roman" w:hint="default"/>
          <w:sz w:val="18"/>
          <w:szCs w:val="18"/>
        </w:rPr>
        <w:t>18,182.84  </w:t>
      </w:r>
      <w:r>
        <w:rPr>
          <w:rFonts w:ascii="宋体" w:hAnsi="宋体" w:cs="宋体" w:eastAsia="宋体" w:hint="default"/>
          <w:sz w:val="18"/>
          <w:szCs w:val="18"/>
        </w:rPr>
        <w:t>万元、</w:t>
      </w:r>
      <w:r>
        <w:rPr>
          <w:rFonts w:ascii="Times New Roman" w:hAnsi="Times New Roman" w:cs="Times New Roman" w:eastAsia="Times New Roman" w:hint="default"/>
          <w:sz w:val="18"/>
          <w:szCs w:val="18"/>
        </w:rPr>
        <w:t>18,495.39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p>
      <w:pPr>
        <w:spacing w:line="300" w:lineRule="auto" w:before="7"/>
        <w:ind w:left="1093" w:right="1131"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20,329.37 </w:t>
      </w:r>
      <w:r>
        <w:rPr>
          <w:rFonts w:ascii="宋体" w:hAnsi="宋体" w:cs="宋体" w:eastAsia="宋体" w:hint="default"/>
          <w:sz w:val="18"/>
          <w:szCs w:val="18"/>
        </w:rPr>
        <w:t>万元；圣非凡在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年经审计的扣除非经常性损益归属于母公司所有者的净利润之和将不低 于</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亿元，具体分别为</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7,146.38</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万元、</w:t>
      </w:r>
      <w:r>
        <w:rPr>
          <w:rFonts w:ascii="Times New Roman" w:hAnsi="Times New Roman" w:cs="Times New Roman" w:eastAsia="Times New Roman" w:hint="default"/>
          <w:sz w:val="18"/>
          <w:szCs w:val="18"/>
        </w:rPr>
        <w:t>7,160.17</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万元、</w:t>
      </w:r>
      <w:r>
        <w:rPr>
          <w:rFonts w:ascii="Times New Roman" w:hAnsi="Times New Roman" w:cs="Times New Roman" w:eastAsia="Times New Roman" w:hint="default"/>
          <w:sz w:val="18"/>
          <w:szCs w:val="18"/>
        </w:rPr>
        <w:t>8,418.46</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万元。承诺净利润不包括募集配套资金的项目所产生的收 益。否则中国电子应按照协议约定的利润补偿的方式对公司予以补偿。</w:t>
      </w:r>
    </w:p>
    <w:p>
      <w:pPr>
        <w:spacing w:before="70"/>
        <w:ind w:left="1453"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根据立信会计师事务</w:t>
      </w:r>
      <w:r>
        <w:rPr>
          <w:rFonts w:ascii="宋体" w:hAnsi="宋体" w:cs="宋体" w:eastAsia="宋体" w:hint="default"/>
          <w:spacing w:val="-32"/>
          <w:sz w:val="18"/>
          <w:szCs w:val="18"/>
        </w:rPr>
        <w:t>所</w:t>
      </w:r>
      <w:r>
        <w:rPr>
          <w:rFonts w:ascii="宋体" w:hAnsi="宋体" w:cs="宋体" w:eastAsia="宋体" w:hint="default"/>
          <w:sz w:val="18"/>
          <w:szCs w:val="18"/>
        </w:rPr>
        <w:t>（特殊普通合伙</w:t>
      </w:r>
      <w:r>
        <w:rPr>
          <w:rFonts w:ascii="宋体" w:hAnsi="宋体" w:cs="宋体" w:eastAsia="宋体" w:hint="default"/>
          <w:spacing w:val="-32"/>
          <w:sz w:val="18"/>
          <w:szCs w:val="18"/>
        </w:rPr>
        <w:t>）</w:t>
      </w:r>
      <w:r>
        <w:rPr>
          <w:rFonts w:ascii="宋体" w:hAnsi="宋体" w:cs="宋体" w:eastAsia="宋体" w:hint="default"/>
          <w:sz w:val="18"/>
          <w:szCs w:val="18"/>
        </w:rPr>
        <w:t>出具</w:t>
      </w:r>
      <w:r>
        <w:rPr>
          <w:rFonts w:ascii="宋体" w:hAnsi="宋体" w:cs="宋体" w:eastAsia="宋体" w:hint="default"/>
          <w:spacing w:val="-32"/>
          <w:sz w:val="18"/>
          <w:szCs w:val="18"/>
        </w:rPr>
        <w:t>的</w:t>
      </w:r>
      <w:r>
        <w:rPr>
          <w:rFonts w:ascii="宋体" w:hAnsi="宋体" w:cs="宋体" w:eastAsia="宋体" w:hint="default"/>
          <w:sz w:val="18"/>
          <w:szCs w:val="18"/>
        </w:rPr>
        <w:t>《中原电子业绩承诺完成情况审核报告</w:t>
      </w:r>
      <w:r>
        <w:rPr>
          <w:rFonts w:ascii="宋体" w:hAnsi="宋体" w:cs="宋体" w:eastAsia="宋体" w:hint="default"/>
          <w:spacing w:val="-122"/>
          <w:sz w:val="18"/>
          <w:szCs w:val="18"/>
        </w:rPr>
        <w:t>》</w:t>
      </w:r>
      <w:r>
        <w:rPr>
          <w:rFonts w:ascii="宋体" w:hAnsi="宋体" w:cs="宋体" w:eastAsia="宋体" w:hint="default"/>
          <w:sz w:val="18"/>
          <w:szCs w:val="18"/>
        </w:rPr>
        <w:t>（信会师报字</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w:t>
      </w: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1"/>
          <w:sz w:val="18"/>
          <w:szCs w:val="18"/>
        </w:rPr>
        <w:t>Z</w:t>
      </w:r>
      <w:r>
        <w:rPr>
          <w:rFonts w:ascii="Times New Roman" w:hAnsi="Times New Roman" w:cs="Times New Roman" w:eastAsia="Times New Roman" w:hint="default"/>
          <w:spacing w:val="-1"/>
          <w:sz w:val="18"/>
          <w:szCs w:val="18"/>
        </w:rPr>
        <w:t>G</w:t>
      </w:r>
      <w:r>
        <w:rPr>
          <w:rFonts w:ascii="Times New Roman" w:hAnsi="Times New Roman" w:cs="Times New Roman" w:eastAsia="Times New Roman" w:hint="default"/>
          <w:sz w:val="18"/>
          <w:szCs w:val="18"/>
        </w:rPr>
        <w:t>24979</w:t>
      </w:r>
    </w:p>
    <w:p>
      <w:pPr>
        <w:spacing w:line="338" w:lineRule="auto" w:before="64"/>
        <w:ind w:left="1454" w:right="1116" w:hanging="360"/>
        <w:jc w:val="left"/>
        <w:rPr>
          <w:rFonts w:ascii="Times New Roman" w:hAnsi="Times New Roman" w:cs="Times New Roman" w:eastAsia="Times New Roman" w:hint="default"/>
          <w:sz w:val="18"/>
          <w:szCs w:val="18"/>
        </w:rPr>
      </w:pPr>
      <w:r>
        <w:rPr>
          <w:rFonts w:ascii="宋体" w:hAnsi="宋体" w:cs="宋体" w:eastAsia="宋体" w:hint="default"/>
          <w:sz w:val="18"/>
          <w:szCs w:val="18"/>
        </w:rPr>
        <w:t>号</w:t>
      </w:r>
      <w:r>
        <w:rPr>
          <w:rFonts w:ascii="宋体" w:hAnsi="宋体" w:cs="宋体" w:eastAsia="宋体" w:hint="default"/>
          <w:spacing w:val="-90"/>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年度中原电子实现扣除非经常性损益归属于母公司所有者的净利润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19,520.</w:t>
      </w:r>
      <w:r>
        <w:rPr>
          <w:rFonts w:ascii="Times New Roman" w:hAnsi="Times New Roman" w:cs="Times New Roman" w:eastAsia="Times New Roman" w:hint="default"/>
          <w:spacing w:val="-2"/>
          <w:sz w:val="18"/>
          <w:szCs w:val="18"/>
        </w:rPr>
        <w:t>7</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万元，达成业绩承诺。 根据立信会</w:t>
      </w:r>
      <w:r>
        <w:rPr>
          <w:rFonts w:ascii="宋体" w:hAnsi="宋体" w:cs="宋体" w:eastAsia="宋体" w:hint="default"/>
          <w:spacing w:val="1"/>
          <w:sz w:val="18"/>
          <w:szCs w:val="18"/>
        </w:rPr>
        <w:t>计</w:t>
      </w:r>
      <w:r>
        <w:rPr>
          <w:rFonts w:ascii="宋体" w:hAnsi="宋体" w:cs="宋体" w:eastAsia="宋体" w:hint="default"/>
          <w:sz w:val="18"/>
          <w:szCs w:val="18"/>
        </w:rPr>
        <w:t>师事务所（</w:t>
      </w:r>
      <w:r>
        <w:rPr>
          <w:rFonts w:ascii="宋体" w:hAnsi="宋体" w:cs="宋体" w:eastAsia="宋体" w:hint="default"/>
          <w:spacing w:val="1"/>
          <w:sz w:val="18"/>
          <w:szCs w:val="18"/>
        </w:rPr>
        <w:t>特</w:t>
      </w:r>
      <w:r>
        <w:rPr>
          <w:rFonts w:ascii="宋体" w:hAnsi="宋体" w:cs="宋体" w:eastAsia="宋体" w:hint="default"/>
          <w:sz w:val="18"/>
          <w:szCs w:val="18"/>
        </w:rPr>
        <w:t>殊普通合伙</w:t>
      </w:r>
      <w:r>
        <w:rPr>
          <w:rFonts w:ascii="宋体" w:hAnsi="宋体" w:cs="宋体" w:eastAsia="宋体" w:hint="default"/>
          <w:spacing w:val="1"/>
          <w:sz w:val="18"/>
          <w:szCs w:val="18"/>
        </w:rPr>
        <w:t>）</w:t>
      </w:r>
      <w:r>
        <w:rPr>
          <w:rFonts w:ascii="宋体" w:hAnsi="宋体" w:cs="宋体" w:eastAsia="宋体" w:hint="default"/>
          <w:sz w:val="18"/>
          <w:szCs w:val="18"/>
        </w:rPr>
        <w:t>出具的《圣</w:t>
      </w:r>
      <w:r>
        <w:rPr>
          <w:rFonts w:ascii="宋体" w:hAnsi="宋体" w:cs="宋体" w:eastAsia="宋体" w:hint="default"/>
          <w:spacing w:val="1"/>
          <w:sz w:val="18"/>
          <w:szCs w:val="18"/>
        </w:rPr>
        <w:t>非</w:t>
      </w:r>
      <w:r>
        <w:rPr>
          <w:rFonts w:ascii="宋体" w:hAnsi="宋体" w:cs="宋体" w:eastAsia="宋体" w:hint="default"/>
          <w:sz w:val="18"/>
          <w:szCs w:val="18"/>
        </w:rPr>
        <w:t>凡业绩承诺</w:t>
      </w:r>
      <w:r>
        <w:rPr>
          <w:rFonts w:ascii="宋体" w:hAnsi="宋体" w:cs="宋体" w:eastAsia="宋体" w:hint="default"/>
          <w:spacing w:val="1"/>
          <w:sz w:val="18"/>
          <w:szCs w:val="18"/>
        </w:rPr>
        <w:t>完</w:t>
      </w:r>
      <w:r>
        <w:rPr>
          <w:rFonts w:ascii="宋体" w:hAnsi="宋体" w:cs="宋体" w:eastAsia="宋体" w:hint="default"/>
          <w:sz w:val="18"/>
          <w:szCs w:val="18"/>
        </w:rPr>
        <w:t>成情况审核</w:t>
      </w:r>
      <w:r>
        <w:rPr>
          <w:rFonts w:ascii="宋体" w:hAnsi="宋体" w:cs="宋体" w:eastAsia="宋体" w:hint="default"/>
          <w:spacing w:val="1"/>
          <w:sz w:val="18"/>
          <w:szCs w:val="18"/>
        </w:rPr>
        <w:t>报</w:t>
      </w:r>
      <w:r>
        <w:rPr>
          <w:rFonts w:ascii="宋体" w:hAnsi="宋体" w:cs="宋体" w:eastAsia="宋体" w:hint="default"/>
          <w:sz w:val="18"/>
          <w:szCs w:val="18"/>
        </w:rPr>
        <w:t>告</w:t>
      </w:r>
      <w:r>
        <w:rPr>
          <w:rFonts w:ascii="宋体" w:hAnsi="宋体" w:cs="宋体" w:eastAsia="宋体" w:hint="default"/>
          <w:spacing w:val="-91"/>
          <w:sz w:val="18"/>
          <w:szCs w:val="18"/>
        </w:rPr>
        <w:t>》</w:t>
      </w:r>
      <w:r>
        <w:rPr>
          <w:rFonts w:ascii="宋体" w:hAnsi="宋体" w:cs="宋体" w:eastAsia="宋体" w:hint="default"/>
          <w:sz w:val="18"/>
          <w:szCs w:val="18"/>
        </w:rPr>
        <w:t>（信会师</w:t>
      </w:r>
      <w:r>
        <w:rPr>
          <w:rFonts w:ascii="宋体" w:hAnsi="宋体" w:cs="宋体" w:eastAsia="宋体" w:hint="default"/>
          <w:spacing w:val="1"/>
          <w:sz w:val="18"/>
          <w:szCs w:val="18"/>
        </w:rPr>
        <w:t>报</w:t>
      </w:r>
      <w:r>
        <w:rPr>
          <w:rFonts w:ascii="宋体" w:hAnsi="宋体" w:cs="宋体" w:eastAsia="宋体" w:hint="default"/>
          <w:sz w:val="18"/>
          <w:szCs w:val="18"/>
        </w:rPr>
        <w:t>字</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w:t>
      </w:r>
      <w:r>
        <w:rPr>
          <w:rFonts w:ascii="宋体" w:hAnsi="宋体" w:cs="宋体" w:eastAsia="宋体" w:hint="default"/>
          <w:sz w:val="18"/>
          <w:szCs w:val="18"/>
        </w:rPr>
        <w:t>第 </w:t>
      </w:r>
      <w:r>
        <w:rPr>
          <w:rFonts w:ascii="Times New Roman" w:hAnsi="Times New Roman" w:cs="Times New Roman" w:eastAsia="Times New Roman" w:hint="default"/>
          <w:sz w:val="18"/>
          <w:szCs w:val="18"/>
        </w:rPr>
        <w:t>ZG24980</w:t>
      </w:r>
    </w:p>
    <w:p>
      <w:pPr>
        <w:spacing w:line="230" w:lineRule="exact" w:before="0"/>
        <w:ind w:left="1093" w:right="0" w:firstLine="0"/>
        <w:jc w:val="both"/>
        <w:rPr>
          <w:rFonts w:ascii="Times New Roman" w:hAnsi="Times New Roman" w:cs="Times New Roman" w:eastAsia="Times New Roman" w:hint="default"/>
          <w:sz w:val="18"/>
          <w:szCs w:val="18"/>
        </w:rPr>
      </w:pPr>
      <w:r>
        <w:rPr>
          <w:rFonts w:ascii="宋体" w:hAnsi="宋体" w:cs="宋体" w:eastAsia="宋体" w:hint="default"/>
          <w:sz w:val="18"/>
          <w:szCs w:val="18"/>
        </w:rPr>
        <w:t>号</w:t>
      </w:r>
      <w:r>
        <w:rPr>
          <w:rFonts w:ascii="宋体" w:hAnsi="宋体" w:cs="宋体" w:eastAsia="宋体" w:hint="default"/>
          <w:spacing w:val="-90"/>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年度圣非凡实现扣除非经常性损益归属于母公司所有者的净利润</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3,683.15</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万元</w:t>
      </w:r>
      <w:r>
        <w:rPr>
          <w:rFonts w:ascii="宋体" w:hAnsi="宋体" w:cs="宋体" w:eastAsia="宋体" w:hint="default"/>
          <w:spacing w:val="-90"/>
          <w:sz w:val="18"/>
          <w:szCs w:val="18"/>
        </w:rPr>
        <w:t>，</w:t>
      </w:r>
      <w:r>
        <w:rPr>
          <w:rFonts w:ascii="宋体" w:hAnsi="宋体" w:cs="宋体" w:eastAsia="宋体" w:hint="default"/>
          <w:sz w:val="18"/>
          <w:szCs w:val="18"/>
        </w:rPr>
        <w:t>完成</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年度盈利承诺数</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7,160.17</w:t>
      </w:r>
    </w:p>
    <w:p>
      <w:pPr>
        <w:spacing w:line="302" w:lineRule="auto" w:before="63"/>
        <w:ind w:left="1094" w:right="1131" w:firstLine="0"/>
        <w:jc w:val="both"/>
        <w:rPr>
          <w:rFonts w:ascii="宋体" w:hAnsi="宋体" w:cs="宋体" w:eastAsia="宋体" w:hint="default"/>
          <w:sz w:val="18"/>
          <w:szCs w:val="18"/>
        </w:rPr>
      </w:pPr>
      <w:r>
        <w:rPr>
          <w:rFonts w:ascii="宋体" w:hAnsi="宋体" w:cs="宋体" w:eastAsia="宋体" w:hint="default"/>
          <w:sz w:val="18"/>
          <w:szCs w:val="18"/>
        </w:rPr>
        <w:t>万元的</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51.44%</w:t>
      </w:r>
      <w:r>
        <w:rPr>
          <w:rFonts w:ascii="宋体" w:hAnsi="宋体" w:cs="宋体" w:eastAsia="宋体" w:hint="default"/>
          <w:sz w:val="18"/>
          <w:szCs w:val="18"/>
        </w:rPr>
        <w:t>，未达业绩承诺；中国电子将按照协议约定的方式向公司补偿，补偿方案经公司</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7"/>
          <w:sz w:val="18"/>
          <w:szCs w:val="18"/>
        </w:rPr>
        <w:t> </w:t>
      </w:r>
      <w:r>
        <w:rPr>
          <w:rFonts w:ascii="宋体" w:hAnsi="宋体" w:cs="宋体" w:eastAsia="宋体" w:hint="default"/>
          <w:sz w:val="18"/>
          <w:szCs w:val="18"/>
        </w:rPr>
        <w:t>年度股东大会审议通过 后执行，具体内容详见公司《关于公司重大资产重组购入资产</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pacing w:val="-4"/>
          <w:sz w:val="18"/>
          <w:szCs w:val="18"/>
        </w:rPr>
        <w:t>年度业绩承诺实现情况及业绩补偿方案及致歉公告》。</w:t>
      </w:r>
    </w:p>
    <w:p>
      <w:pPr>
        <w:spacing w:before="50"/>
        <w:ind w:left="1454"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）长城超云业绩承诺实现情况</w:t>
      </w:r>
    </w:p>
    <w:p>
      <w:pPr>
        <w:spacing w:line="300" w:lineRule="auto" w:before="101"/>
        <w:ind w:left="1094" w:right="1041" w:firstLine="360"/>
        <w:jc w:val="both"/>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 </w:t>
      </w:r>
      <w:r>
        <w:rPr>
          <w:rFonts w:ascii="宋体" w:hAnsi="宋体" w:cs="宋体" w:eastAsia="宋体" w:hint="default"/>
          <w:spacing w:val="-5"/>
          <w:sz w:val="18"/>
          <w:szCs w:val="18"/>
        </w:rPr>
        <w:t>月，公司完成收购长城超云管理层股东</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股权并向其增资人民币</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 </w:t>
      </w:r>
      <w:r>
        <w:rPr>
          <w:rFonts w:ascii="宋体" w:hAnsi="宋体" w:cs="宋体" w:eastAsia="宋体" w:hint="default"/>
          <w:spacing w:val="-5"/>
          <w:sz w:val="18"/>
          <w:szCs w:val="18"/>
        </w:rPr>
        <w:t>亿元，公司持有长城超云股权比例为</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44%</w:t>
      </w:r>
      <w:r>
        <w:rPr>
          <w:rFonts w:ascii="宋体" w:hAnsi="宋体" w:cs="宋体" w:eastAsia="宋体" w:hint="default"/>
          <w:sz w:val="18"/>
          <w:szCs w:val="18"/>
        </w:rPr>
        <w:t>。 长城超云原股东承诺 </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年度、</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年度、</w:t>
      </w:r>
      <w:r>
        <w:rPr>
          <w:rFonts w:ascii="Times New Roman" w:hAnsi="Times New Roman" w:cs="Times New Roman" w:eastAsia="Times New Roman" w:hint="default"/>
          <w:sz w:val="18"/>
          <w:szCs w:val="18"/>
        </w:rPr>
        <w:t>2020 </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年度实现的扣除非经常性损益归属于母公司所有者的净利润之和不低于</w:t>
      </w:r>
    </w:p>
    <w:p>
      <w:pPr>
        <w:spacing w:after="0" w:line="300" w:lineRule="auto"/>
        <w:jc w:val="both"/>
        <w:rPr>
          <w:rFonts w:ascii="宋体" w:hAnsi="宋体" w:cs="宋体" w:eastAsia="宋体" w:hint="default"/>
          <w:sz w:val="18"/>
          <w:szCs w:val="18"/>
        </w:rPr>
        <w:sectPr>
          <w:pgSz w:w="11910" w:h="16840"/>
          <w:pgMar w:header="787" w:footer="982" w:top="1100" w:bottom="1180" w:left="40" w:right="0"/>
        </w:sectPr>
      </w:pPr>
    </w:p>
    <w:p>
      <w:pPr>
        <w:spacing w:line="240" w:lineRule="auto" w:before="10"/>
        <w:rPr>
          <w:rFonts w:ascii="宋体" w:hAnsi="宋体" w:cs="宋体" w:eastAsia="宋体" w:hint="default"/>
          <w:sz w:val="22"/>
          <w:szCs w:val="22"/>
        </w:rPr>
      </w:pPr>
    </w:p>
    <w:p>
      <w:pPr>
        <w:spacing w:line="302" w:lineRule="auto" w:before="44"/>
        <w:ind w:left="154" w:right="113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8,700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万元，逐年度分别为</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年度不低于</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1,000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万元、</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年度不低于</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2,900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万元、</w:t>
      </w: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年度不低于</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4,800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万元。如果未 达业绩承诺则按协议约定对中国长城予以补偿。</w:t>
      </w:r>
    </w:p>
    <w:p>
      <w:pPr>
        <w:spacing w:before="68"/>
        <w:ind w:left="514"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根据立信会计师事务</w:t>
      </w:r>
      <w:r>
        <w:rPr>
          <w:rFonts w:ascii="宋体" w:hAnsi="宋体" w:cs="宋体" w:eastAsia="宋体" w:hint="default"/>
          <w:spacing w:val="-32"/>
          <w:sz w:val="18"/>
          <w:szCs w:val="18"/>
        </w:rPr>
        <w:t>所</w:t>
      </w:r>
      <w:r>
        <w:rPr>
          <w:rFonts w:ascii="宋体" w:hAnsi="宋体" w:cs="宋体" w:eastAsia="宋体" w:hint="default"/>
          <w:sz w:val="18"/>
          <w:szCs w:val="18"/>
        </w:rPr>
        <w:t>（特殊普通合伙</w:t>
      </w:r>
      <w:r>
        <w:rPr>
          <w:rFonts w:ascii="宋体" w:hAnsi="宋体" w:cs="宋体" w:eastAsia="宋体" w:hint="default"/>
          <w:spacing w:val="-32"/>
          <w:sz w:val="18"/>
          <w:szCs w:val="18"/>
        </w:rPr>
        <w:t>）</w:t>
      </w:r>
      <w:r>
        <w:rPr>
          <w:rFonts w:ascii="宋体" w:hAnsi="宋体" w:cs="宋体" w:eastAsia="宋体" w:hint="default"/>
          <w:sz w:val="18"/>
          <w:szCs w:val="18"/>
        </w:rPr>
        <w:t>出具</w:t>
      </w:r>
      <w:r>
        <w:rPr>
          <w:rFonts w:ascii="宋体" w:hAnsi="宋体" w:cs="宋体" w:eastAsia="宋体" w:hint="default"/>
          <w:spacing w:val="-32"/>
          <w:sz w:val="18"/>
          <w:szCs w:val="18"/>
        </w:rPr>
        <w:t>的</w:t>
      </w:r>
      <w:r>
        <w:rPr>
          <w:rFonts w:ascii="宋体" w:hAnsi="宋体" w:cs="宋体" w:eastAsia="宋体" w:hint="default"/>
          <w:sz w:val="18"/>
          <w:szCs w:val="18"/>
        </w:rPr>
        <w:t>《长城超云业绩承诺完成情况审核报告</w:t>
      </w:r>
      <w:r>
        <w:rPr>
          <w:rFonts w:ascii="宋体" w:hAnsi="宋体" w:cs="宋体" w:eastAsia="宋体" w:hint="default"/>
          <w:spacing w:val="-122"/>
          <w:sz w:val="18"/>
          <w:szCs w:val="18"/>
        </w:rPr>
        <w:t>》</w:t>
      </w:r>
      <w:r>
        <w:rPr>
          <w:rFonts w:ascii="宋体" w:hAnsi="宋体" w:cs="宋体" w:eastAsia="宋体" w:hint="default"/>
          <w:sz w:val="18"/>
          <w:szCs w:val="18"/>
        </w:rPr>
        <w:t>（信会师报字</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w:t>
      </w:r>
      <w:r>
        <w:rPr>
          <w:rFonts w:ascii="宋体" w:hAnsi="宋体" w:cs="宋体" w:eastAsia="宋体" w:hint="default"/>
          <w:sz w:val="18"/>
          <w:szCs w:val="18"/>
        </w:rPr>
        <w:t>第</w:t>
      </w:r>
      <w:r>
        <w:rPr>
          <w:rFonts w:ascii="宋体" w:hAnsi="宋体" w:cs="宋体" w:eastAsia="宋体" w:hint="default"/>
          <w:spacing w:val="-46"/>
          <w:sz w:val="18"/>
          <w:szCs w:val="18"/>
        </w:rPr>
        <w:t> </w:t>
      </w:r>
      <w:r>
        <w:rPr>
          <w:rFonts w:ascii="Times New Roman" w:hAnsi="Times New Roman" w:cs="Times New Roman" w:eastAsia="Times New Roman" w:hint="default"/>
          <w:spacing w:val="1"/>
          <w:sz w:val="18"/>
          <w:szCs w:val="18"/>
        </w:rPr>
        <w:t>Z</w:t>
      </w:r>
      <w:r>
        <w:rPr>
          <w:rFonts w:ascii="Times New Roman" w:hAnsi="Times New Roman" w:cs="Times New Roman" w:eastAsia="Times New Roman" w:hint="default"/>
          <w:spacing w:val="-1"/>
          <w:sz w:val="18"/>
          <w:szCs w:val="18"/>
        </w:rPr>
        <w:t>G</w:t>
      </w:r>
      <w:r>
        <w:rPr>
          <w:rFonts w:ascii="Times New Roman" w:hAnsi="Times New Roman" w:cs="Times New Roman" w:eastAsia="Times New Roman" w:hint="default"/>
          <w:sz w:val="18"/>
          <w:szCs w:val="18"/>
        </w:rPr>
        <w:t>50244</w:t>
      </w:r>
    </w:p>
    <w:p>
      <w:pPr>
        <w:spacing w:before="64"/>
        <w:ind w:left="154" w:right="0" w:firstLine="0"/>
        <w:jc w:val="left"/>
        <w:rPr>
          <w:rFonts w:ascii="宋体" w:hAnsi="宋体" w:cs="宋体" w:eastAsia="宋体" w:hint="default"/>
          <w:sz w:val="18"/>
          <w:szCs w:val="18"/>
        </w:rPr>
      </w:pPr>
      <w:r>
        <w:rPr>
          <w:rFonts w:ascii="宋体" w:hAnsi="宋体" w:cs="宋体" w:eastAsia="宋体" w:hint="default"/>
          <w:sz w:val="18"/>
          <w:szCs w:val="18"/>
        </w:rPr>
        <w:t>号</w:t>
      </w:r>
      <w:r>
        <w:rPr>
          <w:rFonts w:ascii="宋体" w:hAnsi="宋体" w:cs="宋体" w:eastAsia="宋体" w:hint="default"/>
          <w:spacing w:val="-90"/>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年度长城超云实现扣除非经常性损益归属于母公司所有者的净利润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1,204.</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万元，达成业绩承诺。</w:t>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6"/>
          <w:szCs w:val="16"/>
        </w:rPr>
      </w:pPr>
    </w:p>
    <w:p>
      <w:pPr>
        <w:spacing w:line="357" w:lineRule="auto" w:before="0"/>
        <w:ind w:left="514" w:right="6970" w:hanging="360"/>
        <w:jc w:val="left"/>
        <w:rPr>
          <w:rFonts w:ascii="宋体" w:hAnsi="宋体" w:cs="宋体" w:eastAsia="宋体" w:hint="default"/>
          <w:sz w:val="18"/>
          <w:szCs w:val="18"/>
        </w:rPr>
      </w:pPr>
      <w:r>
        <w:rPr>
          <w:rFonts w:ascii="宋体" w:hAnsi="宋体" w:cs="宋体" w:eastAsia="宋体" w:hint="default"/>
          <w:sz w:val="18"/>
          <w:szCs w:val="18"/>
        </w:rPr>
        <w:t>业绩承诺的完成情况及其对商誉减值测试的影响 不适用。</w:t>
      </w:r>
    </w:p>
    <w:p>
      <w:pPr>
        <w:spacing w:line="240" w:lineRule="auto" w:before="8"/>
        <w:rPr>
          <w:rFonts w:ascii="宋体" w:hAnsi="宋体" w:cs="宋体" w:eastAsia="宋体" w:hint="default"/>
          <w:sz w:val="13"/>
          <w:szCs w:val="13"/>
        </w:rPr>
      </w:pPr>
    </w:p>
    <w:p>
      <w:pPr>
        <w:pStyle w:val="Heading4"/>
        <w:spacing w:line="240" w:lineRule="auto"/>
        <w:ind w:right="0"/>
        <w:jc w:val="left"/>
        <w:rPr>
          <w:b w:val="0"/>
          <w:bCs w:val="0"/>
        </w:rPr>
      </w:pPr>
      <w:r>
        <w:rPr/>
        <w:t>四、控股股东及其关联方对上市公司的非经营性占用资金情况</w:t>
      </w:r>
      <w:r>
        <w:rPr>
          <w:b w:val="0"/>
          <w:bCs w:val="0"/>
        </w:rPr>
      </w:r>
    </w:p>
    <w:p>
      <w:pPr>
        <w:spacing w:line="240" w:lineRule="auto" w:before="13"/>
        <w:rPr>
          <w:rFonts w:ascii="宋体" w:hAnsi="宋体" w:cs="宋体" w:eastAsia="宋体" w:hint="default"/>
          <w:b/>
          <w:bCs/>
          <w:sz w:val="21"/>
          <w:szCs w:val="21"/>
        </w:rPr>
      </w:pPr>
    </w:p>
    <w:p>
      <w:pPr>
        <w:spacing w:line="360" w:lineRule="auto" w:before="0"/>
        <w:ind w:left="513" w:right="4631" w:hanging="360"/>
        <w:jc w:val="left"/>
        <w:rPr>
          <w:rFonts w:ascii="宋体" w:hAnsi="宋体" w:cs="宋体" w:eastAsia="宋体" w:hint="default"/>
          <w:sz w:val="18"/>
          <w:szCs w:val="18"/>
        </w:rPr>
      </w:pPr>
      <w:r>
        <w:rPr>
          <w:rFonts w:ascii="宋体" w:hAnsi="宋体" w:cs="宋体" w:eastAsia="宋体" w:hint="default"/>
          <w:sz w:val="18"/>
          <w:szCs w:val="18"/>
        </w:rPr>
        <w:t>□ 适用 √ 不适用 公司报告期不存在控股股东及其关联方对上市公司的非经营性占用资金。</w:t>
      </w:r>
    </w:p>
    <w:p>
      <w:pPr>
        <w:spacing w:line="240" w:lineRule="auto" w:before="5"/>
        <w:rPr>
          <w:rFonts w:ascii="宋体" w:hAnsi="宋体" w:cs="宋体" w:eastAsia="宋体" w:hint="default"/>
          <w:sz w:val="13"/>
          <w:szCs w:val="13"/>
        </w:rPr>
      </w:pPr>
    </w:p>
    <w:p>
      <w:pPr>
        <w:pStyle w:val="Heading4"/>
        <w:spacing w:line="240" w:lineRule="auto"/>
        <w:ind w:right="0"/>
        <w:jc w:val="left"/>
        <w:rPr>
          <w:b w:val="0"/>
          <w:bCs w:val="0"/>
        </w:rPr>
      </w:pPr>
      <w:r>
        <w:rPr/>
        <w:t>五、董事会、监事会、独立董事（如有）对会计师事务所本报告期“非标准审计报告”的说明</w:t>
      </w:r>
      <w:r>
        <w:rPr>
          <w:b w:val="0"/>
          <w:bCs w:val="0"/>
        </w:rPr>
      </w:r>
    </w:p>
    <w:p>
      <w:pPr>
        <w:spacing w:line="240" w:lineRule="auto" w:before="1"/>
        <w:rPr>
          <w:rFonts w:ascii="宋体" w:hAnsi="宋体" w:cs="宋体" w:eastAsia="宋体" w:hint="default"/>
          <w:b/>
          <w:bCs/>
          <w:sz w:val="22"/>
          <w:szCs w:val="22"/>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4"/>
        <w:rPr>
          <w:rFonts w:ascii="宋体" w:hAnsi="宋体" w:cs="宋体" w:eastAsia="宋体" w:hint="default"/>
          <w:sz w:val="20"/>
          <w:szCs w:val="20"/>
        </w:rPr>
      </w:pPr>
    </w:p>
    <w:p>
      <w:pPr>
        <w:pStyle w:val="Heading4"/>
        <w:spacing w:line="240" w:lineRule="auto"/>
        <w:ind w:right="0"/>
        <w:jc w:val="left"/>
        <w:rPr>
          <w:b w:val="0"/>
          <w:bCs w:val="0"/>
        </w:rPr>
      </w:pPr>
      <w:r>
        <w:rPr/>
        <w:t>六、与上年度财务报告相比，会计政策、会计估计和核算方法发生变化的情况说明</w:t>
      </w:r>
      <w:r>
        <w:rPr>
          <w:b w:val="0"/>
          <w:bCs w:val="0"/>
        </w:rPr>
      </w:r>
    </w:p>
    <w:p>
      <w:pPr>
        <w:spacing w:line="240" w:lineRule="auto" w:before="1"/>
        <w:rPr>
          <w:rFonts w:ascii="宋体" w:hAnsi="宋体" w:cs="宋体" w:eastAsia="宋体" w:hint="default"/>
          <w:b/>
          <w:bCs/>
          <w:sz w:val="22"/>
          <w:szCs w:val="22"/>
        </w:rPr>
      </w:pPr>
    </w:p>
    <w:p>
      <w:pPr>
        <w:spacing w:line="357" w:lineRule="auto" w:before="0"/>
        <w:ind w:left="513" w:right="9221" w:hanging="360"/>
        <w:jc w:val="left"/>
        <w:rPr>
          <w:rFonts w:ascii="宋体" w:hAnsi="宋体" w:cs="宋体" w:eastAsia="宋体" w:hint="default"/>
          <w:sz w:val="18"/>
          <w:szCs w:val="18"/>
        </w:rPr>
      </w:pPr>
      <w:r>
        <w:rPr>
          <w:rFonts w:ascii="宋体" w:hAnsi="宋体" w:cs="宋体" w:eastAsia="宋体" w:hint="default"/>
          <w:sz w:val="18"/>
          <w:szCs w:val="18"/>
        </w:rPr>
        <w:t>√ 适用 □ 不适用 会计政策变更</w:t>
      </w:r>
    </w:p>
    <w:p>
      <w:pPr>
        <w:spacing w:line="300" w:lineRule="auto" w:before="26"/>
        <w:ind w:left="153" w:right="0"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pacing w:val="-1"/>
          <w:sz w:val="18"/>
          <w:szCs w:val="18"/>
        </w:rPr>
        <w:t>15</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日，财政部发布了《关于修订印发</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0"/>
          <w:sz w:val="18"/>
          <w:szCs w:val="18"/>
        </w:rPr>
        <w:t> </w:t>
      </w:r>
      <w:r>
        <w:rPr>
          <w:rFonts w:ascii="宋体" w:hAnsi="宋体" w:cs="宋体" w:eastAsia="宋体" w:hint="default"/>
          <w:spacing w:val="-4"/>
          <w:sz w:val="18"/>
          <w:szCs w:val="18"/>
        </w:rPr>
        <w:t>年度一般企业财务报表格式的通知》（财会</w:t>
      </w:r>
      <w:r>
        <w:rPr>
          <w:rFonts w:ascii="Times New Roman" w:hAnsi="Times New Roman" w:cs="Times New Roman" w:eastAsia="Times New Roman" w:hint="default"/>
          <w:spacing w:val="-4"/>
          <w:sz w:val="18"/>
          <w:szCs w:val="18"/>
        </w:rPr>
        <w:t>[2018]15</w:t>
      </w:r>
      <w:r>
        <w:rPr>
          <w:rFonts w:ascii="Times New Roman" w:hAnsi="Times New Roman" w:cs="Times New Roman" w:eastAsia="Times New Roman" w:hint="default"/>
          <w:spacing w:val="10"/>
          <w:sz w:val="18"/>
          <w:szCs w:val="18"/>
        </w:rPr>
        <w:t> </w:t>
      </w:r>
      <w:r>
        <w:rPr>
          <w:rFonts w:ascii="宋体" w:hAnsi="宋体" w:cs="宋体" w:eastAsia="宋体" w:hint="default"/>
          <w:spacing w:val="-18"/>
          <w:sz w:val="18"/>
          <w:szCs w:val="18"/>
        </w:rPr>
        <w:t>号），对一</w:t>
      </w:r>
      <w:r>
        <w:rPr>
          <w:rFonts w:ascii="宋体" w:hAnsi="宋体" w:cs="宋体" w:eastAsia="宋体" w:hint="default"/>
          <w:sz w:val="18"/>
          <w:szCs w:val="18"/>
        </w:rPr>
        <w:t> 般企业财务报表格式进行了修订。根据财会</w:t>
      </w:r>
      <w:r>
        <w:rPr>
          <w:rFonts w:ascii="Times New Roman" w:hAnsi="Times New Roman" w:cs="Times New Roman" w:eastAsia="Times New Roman" w:hint="default"/>
          <w:sz w:val="18"/>
          <w:szCs w:val="18"/>
        </w:rPr>
        <w:t>[2018]15</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号文件的要求，公司需对会计政策相关内容进行相应调整，并按照该文 件规定的一般企业财务报表格式（适用于尚未执行新金融准则和新收入准则的企业）编制公司的财务报表，公司从</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 </w:t>
      </w:r>
      <w:r>
        <w:rPr>
          <w:rFonts w:ascii="宋体" w:hAnsi="宋体" w:cs="宋体" w:eastAsia="宋体" w:hint="default"/>
          <w:spacing w:val="-5"/>
          <w:sz w:val="18"/>
          <w:szCs w:val="18"/>
        </w:rPr>
        <w:t>三季度报告开始按照文件的要求编制财务报表。公司调整财务报表的列报，并对可比会计期间的比较数据相应进行调整：（</w:t>
      </w:r>
      <w:r>
        <w:rPr>
          <w:rFonts w:ascii="Times New Roman" w:hAnsi="Times New Roman" w:cs="Times New Roman" w:eastAsia="Times New Roman" w:hint="default"/>
          <w:spacing w:val="-5"/>
          <w:sz w:val="18"/>
          <w:szCs w:val="18"/>
        </w:rPr>
        <w:t>1</w:t>
      </w:r>
      <w:r>
        <w:rPr>
          <w:rFonts w:ascii="宋体" w:hAnsi="宋体" w:cs="宋体" w:eastAsia="宋体" w:hint="default"/>
          <w:spacing w:val="-5"/>
          <w:sz w:val="18"/>
          <w:szCs w:val="18"/>
        </w:rPr>
        <w:t>）</w:t>
      </w:r>
      <w:r>
        <w:rPr>
          <w:rFonts w:ascii="宋体" w:hAnsi="宋体" w:cs="宋体" w:eastAsia="宋体" w:hint="default"/>
          <w:spacing w:val="-74"/>
          <w:sz w:val="18"/>
          <w:szCs w:val="18"/>
        </w:rPr>
        <w:t> </w:t>
      </w:r>
      <w:r>
        <w:rPr>
          <w:rFonts w:ascii="宋体" w:hAnsi="宋体" w:cs="宋体" w:eastAsia="宋体" w:hint="default"/>
          <w:spacing w:val="-10"/>
          <w:sz w:val="18"/>
          <w:szCs w:val="18"/>
        </w:rPr>
        <w:t>原“应收票据”和“应收账款”项目合并计入新增的“应收票据及应收账款”项目；（</w:t>
      </w:r>
      <w:r>
        <w:rPr>
          <w:rFonts w:ascii="Times New Roman" w:hAnsi="Times New Roman" w:cs="Times New Roman" w:eastAsia="Times New Roman" w:hint="default"/>
          <w:spacing w:val="-10"/>
          <w:sz w:val="18"/>
          <w:szCs w:val="18"/>
        </w:rPr>
        <w:t>2</w:t>
      </w:r>
      <w:r>
        <w:rPr>
          <w:rFonts w:ascii="宋体" w:hAnsi="宋体" w:cs="宋体" w:eastAsia="宋体" w:hint="default"/>
          <w:spacing w:val="-10"/>
          <w:sz w:val="18"/>
          <w:szCs w:val="18"/>
        </w:rPr>
        <w:t>）原“应收利息”、“应收股利”和“其</w:t>
      </w:r>
      <w:r>
        <w:rPr>
          <w:rFonts w:ascii="宋体" w:hAnsi="宋体" w:cs="宋体" w:eastAsia="宋体" w:hint="default"/>
          <w:spacing w:val="-55"/>
          <w:sz w:val="18"/>
          <w:szCs w:val="18"/>
        </w:rPr>
        <w:t> </w:t>
      </w:r>
      <w:r>
        <w:rPr>
          <w:rFonts w:ascii="宋体" w:hAnsi="宋体" w:cs="宋体" w:eastAsia="宋体" w:hint="default"/>
          <w:spacing w:val="-55"/>
          <w:sz w:val="18"/>
          <w:szCs w:val="18"/>
        </w:rPr>
      </w:r>
      <w:r>
        <w:rPr>
          <w:rFonts w:ascii="宋体" w:hAnsi="宋体" w:cs="宋体" w:eastAsia="宋体" w:hint="default"/>
          <w:spacing w:val="-2"/>
          <w:sz w:val="18"/>
          <w:szCs w:val="18"/>
        </w:rPr>
        <w:t>他应收款”项目合并计入“其他应收款”项目；（</w:t>
      </w: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）原“固定资产清理”和“固定资产”项目合并计入“固定资产”项目；</w:t>
      </w:r>
    </w:p>
    <w:p>
      <w:pPr>
        <w:spacing w:line="300" w:lineRule="auto" w:before="13"/>
        <w:ind w:left="153" w:right="1128" w:firstLine="0"/>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）原“工</w:t>
      </w:r>
      <w:r>
        <w:rPr>
          <w:rFonts w:ascii="宋体" w:hAnsi="宋体" w:cs="宋体" w:eastAsia="宋体" w:hint="default"/>
          <w:spacing w:val="1"/>
          <w:sz w:val="18"/>
          <w:szCs w:val="18"/>
        </w:rPr>
        <w:t>程</w:t>
      </w:r>
      <w:r>
        <w:rPr>
          <w:rFonts w:ascii="宋体" w:hAnsi="宋体" w:cs="宋体" w:eastAsia="宋体" w:hint="default"/>
          <w:sz w:val="18"/>
          <w:szCs w:val="18"/>
        </w:rPr>
        <w:t>物资”项目</w:t>
      </w:r>
      <w:r>
        <w:rPr>
          <w:rFonts w:ascii="宋体" w:hAnsi="宋体" w:cs="宋体" w:eastAsia="宋体" w:hint="default"/>
          <w:spacing w:val="1"/>
          <w:sz w:val="18"/>
          <w:szCs w:val="18"/>
        </w:rPr>
        <w:t>归</w:t>
      </w:r>
      <w:r>
        <w:rPr>
          <w:rFonts w:ascii="宋体" w:hAnsi="宋体" w:cs="宋体" w:eastAsia="宋体" w:hint="default"/>
          <w:sz w:val="18"/>
          <w:szCs w:val="18"/>
        </w:rPr>
        <w:t>并至“在建</w:t>
      </w:r>
      <w:r>
        <w:rPr>
          <w:rFonts w:ascii="宋体" w:hAnsi="宋体" w:cs="宋体" w:eastAsia="宋体" w:hint="default"/>
          <w:spacing w:val="1"/>
          <w:sz w:val="18"/>
          <w:szCs w:val="18"/>
        </w:rPr>
        <w:t>工</w:t>
      </w:r>
      <w:r>
        <w:rPr>
          <w:rFonts w:ascii="宋体" w:hAnsi="宋体" w:cs="宋体" w:eastAsia="宋体" w:hint="default"/>
          <w:sz w:val="18"/>
          <w:szCs w:val="18"/>
        </w:rPr>
        <w:t>程”项目</w:t>
      </w:r>
      <w:r>
        <w:rPr>
          <w:rFonts w:ascii="宋体" w:hAnsi="宋体" w:cs="宋体" w:eastAsia="宋体" w:hint="default"/>
          <w:spacing w:val="-90"/>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sz w:val="18"/>
          <w:szCs w:val="18"/>
        </w:rPr>
        <w:t>5</w:t>
      </w:r>
      <w:r>
        <w:rPr>
          <w:rFonts w:ascii="宋体" w:hAnsi="宋体" w:cs="宋体" w:eastAsia="宋体" w:hint="default"/>
          <w:sz w:val="18"/>
          <w:szCs w:val="18"/>
        </w:rPr>
        <w:t>）原“应付</w:t>
      </w:r>
      <w:r>
        <w:rPr>
          <w:rFonts w:ascii="宋体" w:hAnsi="宋体" w:cs="宋体" w:eastAsia="宋体" w:hint="default"/>
          <w:spacing w:val="1"/>
          <w:sz w:val="18"/>
          <w:szCs w:val="18"/>
        </w:rPr>
        <w:t>票</w:t>
      </w:r>
      <w:r>
        <w:rPr>
          <w:rFonts w:ascii="宋体" w:hAnsi="宋体" w:cs="宋体" w:eastAsia="宋体" w:hint="default"/>
          <w:sz w:val="18"/>
          <w:szCs w:val="18"/>
        </w:rPr>
        <w:t>据”和“应</w:t>
      </w:r>
      <w:r>
        <w:rPr>
          <w:rFonts w:ascii="宋体" w:hAnsi="宋体" w:cs="宋体" w:eastAsia="宋体" w:hint="default"/>
          <w:spacing w:val="1"/>
          <w:sz w:val="18"/>
          <w:szCs w:val="18"/>
        </w:rPr>
        <w:t>付</w:t>
      </w:r>
      <w:r>
        <w:rPr>
          <w:rFonts w:ascii="宋体" w:hAnsi="宋体" w:cs="宋体" w:eastAsia="宋体" w:hint="default"/>
          <w:sz w:val="18"/>
          <w:szCs w:val="18"/>
        </w:rPr>
        <w:t>账款”项目</w:t>
      </w:r>
      <w:r>
        <w:rPr>
          <w:rFonts w:ascii="宋体" w:hAnsi="宋体" w:cs="宋体" w:eastAsia="宋体" w:hint="default"/>
          <w:spacing w:val="1"/>
          <w:sz w:val="18"/>
          <w:szCs w:val="18"/>
        </w:rPr>
        <w:t>合</w:t>
      </w:r>
      <w:r>
        <w:rPr>
          <w:rFonts w:ascii="宋体" w:hAnsi="宋体" w:cs="宋体" w:eastAsia="宋体" w:hint="default"/>
          <w:sz w:val="18"/>
          <w:szCs w:val="18"/>
        </w:rPr>
        <w:t>并计入新增</w:t>
      </w:r>
      <w:r>
        <w:rPr>
          <w:rFonts w:ascii="宋体" w:hAnsi="宋体" w:cs="宋体" w:eastAsia="宋体" w:hint="default"/>
          <w:spacing w:val="1"/>
          <w:sz w:val="18"/>
          <w:szCs w:val="18"/>
        </w:rPr>
        <w:t>的</w:t>
      </w:r>
      <w:r>
        <w:rPr>
          <w:rFonts w:ascii="宋体" w:hAnsi="宋体" w:cs="宋体" w:eastAsia="宋体" w:hint="default"/>
          <w:sz w:val="18"/>
          <w:szCs w:val="18"/>
        </w:rPr>
        <w:t>“应付票据</w:t>
      </w:r>
      <w:r>
        <w:rPr>
          <w:rFonts w:ascii="宋体" w:hAnsi="宋体" w:cs="宋体" w:eastAsia="宋体" w:hint="default"/>
          <w:sz w:val="18"/>
          <w:szCs w:val="18"/>
        </w:rPr>
        <w:t> 及应付账款</w:t>
      </w:r>
      <w:r>
        <w:rPr>
          <w:rFonts w:ascii="宋体" w:hAnsi="宋体" w:cs="宋体" w:eastAsia="宋体" w:hint="default"/>
          <w:spacing w:val="-6"/>
          <w:sz w:val="18"/>
          <w:szCs w:val="18"/>
        </w:rPr>
        <w:t>”</w:t>
      </w:r>
      <w:r>
        <w:rPr>
          <w:rFonts w:ascii="宋体" w:hAnsi="宋体" w:cs="宋体" w:eastAsia="宋体" w:hint="default"/>
          <w:sz w:val="18"/>
          <w:szCs w:val="18"/>
        </w:rPr>
        <w:t>项目</w:t>
      </w:r>
      <w:r>
        <w:rPr>
          <w:rFonts w:ascii="宋体" w:hAnsi="宋体" w:cs="宋体" w:eastAsia="宋体" w:hint="default"/>
          <w:spacing w:val="-96"/>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6</w:t>
      </w:r>
      <w:r>
        <w:rPr>
          <w:rFonts w:ascii="宋体" w:hAnsi="宋体" w:cs="宋体" w:eastAsia="宋体" w:hint="default"/>
          <w:spacing w:val="-6"/>
          <w:sz w:val="18"/>
          <w:szCs w:val="18"/>
        </w:rPr>
        <w:t>）</w:t>
      </w:r>
      <w:r>
        <w:rPr>
          <w:rFonts w:ascii="宋体" w:hAnsi="宋体" w:cs="宋体" w:eastAsia="宋体" w:hint="default"/>
          <w:spacing w:val="-8"/>
          <w:sz w:val="18"/>
          <w:szCs w:val="18"/>
        </w:rPr>
        <w:t>原</w:t>
      </w:r>
      <w:r>
        <w:rPr>
          <w:rFonts w:ascii="宋体" w:hAnsi="宋体" w:cs="宋体" w:eastAsia="宋体" w:hint="default"/>
          <w:sz w:val="18"/>
          <w:szCs w:val="18"/>
        </w:rPr>
        <w:t>“应付利息</w:t>
      </w:r>
      <w:r>
        <w:rPr>
          <w:rFonts w:ascii="宋体" w:hAnsi="宋体" w:cs="宋体" w:eastAsia="宋体" w:hint="default"/>
          <w:spacing w:val="-90"/>
          <w:sz w:val="18"/>
          <w:szCs w:val="18"/>
        </w:rPr>
        <w:t>”</w:t>
      </w:r>
      <w:r>
        <w:rPr>
          <w:rFonts w:ascii="宋体" w:hAnsi="宋体" w:cs="宋体" w:eastAsia="宋体" w:hint="default"/>
          <w:spacing w:val="-96"/>
          <w:sz w:val="18"/>
          <w:szCs w:val="18"/>
        </w:rPr>
        <w:t>、</w:t>
      </w:r>
      <w:r>
        <w:rPr>
          <w:rFonts w:ascii="宋体" w:hAnsi="宋体" w:cs="宋体" w:eastAsia="宋体" w:hint="default"/>
          <w:sz w:val="18"/>
          <w:szCs w:val="18"/>
        </w:rPr>
        <w:t>“应付股利</w:t>
      </w:r>
      <w:r>
        <w:rPr>
          <w:rFonts w:ascii="宋体" w:hAnsi="宋体" w:cs="宋体" w:eastAsia="宋体" w:hint="default"/>
          <w:spacing w:val="-8"/>
          <w:sz w:val="18"/>
          <w:szCs w:val="18"/>
        </w:rPr>
        <w:t>”</w:t>
      </w:r>
      <w:r>
        <w:rPr>
          <w:rFonts w:ascii="宋体" w:hAnsi="宋体" w:cs="宋体" w:eastAsia="宋体" w:hint="default"/>
          <w:spacing w:val="-6"/>
          <w:sz w:val="18"/>
          <w:szCs w:val="18"/>
        </w:rPr>
        <w:t>和</w:t>
      </w:r>
      <w:r>
        <w:rPr>
          <w:rFonts w:ascii="宋体" w:hAnsi="宋体" w:cs="宋体" w:eastAsia="宋体" w:hint="default"/>
          <w:sz w:val="18"/>
          <w:szCs w:val="18"/>
        </w:rPr>
        <w:t>“其他应付款</w:t>
      </w:r>
      <w:r>
        <w:rPr>
          <w:rFonts w:ascii="宋体" w:hAnsi="宋体" w:cs="宋体" w:eastAsia="宋体" w:hint="default"/>
          <w:spacing w:val="-6"/>
          <w:sz w:val="18"/>
          <w:szCs w:val="18"/>
        </w:rPr>
        <w:t>”</w:t>
      </w:r>
      <w:r>
        <w:rPr>
          <w:rFonts w:ascii="宋体" w:hAnsi="宋体" w:cs="宋体" w:eastAsia="宋体" w:hint="default"/>
          <w:sz w:val="18"/>
          <w:szCs w:val="18"/>
        </w:rPr>
        <w:t>项目合并计</w:t>
      </w:r>
      <w:r>
        <w:rPr>
          <w:rFonts w:ascii="宋体" w:hAnsi="宋体" w:cs="宋体" w:eastAsia="宋体" w:hint="default"/>
          <w:spacing w:val="-6"/>
          <w:sz w:val="18"/>
          <w:szCs w:val="18"/>
        </w:rPr>
        <w:t>入</w:t>
      </w:r>
      <w:r>
        <w:rPr>
          <w:rFonts w:ascii="宋体" w:hAnsi="宋体" w:cs="宋体" w:eastAsia="宋体" w:hint="default"/>
          <w:sz w:val="18"/>
          <w:szCs w:val="18"/>
        </w:rPr>
        <w:t>“其他应付款</w:t>
      </w:r>
      <w:r>
        <w:rPr>
          <w:rFonts w:ascii="宋体" w:hAnsi="宋体" w:cs="宋体" w:eastAsia="宋体" w:hint="default"/>
          <w:spacing w:val="-6"/>
          <w:sz w:val="18"/>
          <w:szCs w:val="18"/>
        </w:rPr>
        <w:t>”</w:t>
      </w:r>
      <w:r>
        <w:rPr>
          <w:rFonts w:ascii="宋体" w:hAnsi="宋体" w:cs="宋体" w:eastAsia="宋体" w:hint="default"/>
          <w:sz w:val="18"/>
          <w:szCs w:val="18"/>
        </w:rPr>
        <w:t>项目</w:t>
      </w:r>
      <w:r>
        <w:rPr>
          <w:rFonts w:ascii="宋体" w:hAnsi="宋体" w:cs="宋体" w:eastAsia="宋体" w:hint="default"/>
          <w:spacing w:val="-97"/>
          <w:sz w:val="18"/>
          <w:szCs w:val="18"/>
        </w:rPr>
        <w:t>；</w:t>
      </w:r>
      <w:r>
        <w:rPr>
          <w:rFonts w:ascii="宋体" w:hAnsi="宋体" w:cs="宋体" w:eastAsia="宋体" w:hint="default"/>
          <w:spacing w:val="-2"/>
          <w:sz w:val="18"/>
          <w:szCs w:val="18"/>
        </w:rPr>
        <w:t>（</w:t>
      </w:r>
      <w:r>
        <w:rPr>
          <w:rFonts w:ascii="Times New Roman" w:hAnsi="Times New Roman" w:cs="Times New Roman" w:eastAsia="Times New Roman" w:hint="default"/>
          <w:sz w:val="18"/>
          <w:szCs w:val="18"/>
        </w:rPr>
        <w:t>7</w:t>
      </w:r>
      <w:r>
        <w:rPr>
          <w:rFonts w:ascii="宋体" w:hAnsi="宋体" w:cs="宋体" w:eastAsia="宋体" w:hint="default"/>
          <w:spacing w:val="-6"/>
          <w:sz w:val="18"/>
          <w:szCs w:val="18"/>
        </w:rPr>
        <w:t>）原</w:t>
      </w:r>
      <w:r>
        <w:rPr>
          <w:rFonts w:ascii="宋体" w:hAnsi="宋体" w:cs="宋体" w:eastAsia="宋体" w:hint="default"/>
          <w:sz w:val="18"/>
          <w:szCs w:val="18"/>
        </w:rPr>
        <w:t>“专项</w:t>
      </w:r>
      <w:r>
        <w:rPr>
          <w:rFonts w:ascii="宋体" w:hAnsi="宋体" w:cs="宋体" w:eastAsia="宋体" w:hint="default"/>
          <w:sz w:val="18"/>
          <w:szCs w:val="18"/>
        </w:rPr>
        <w:t> 应付款</w:t>
      </w:r>
      <w:r>
        <w:rPr>
          <w:rFonts w:ascii="宋体" w:hAnsi="宋体" w:cs="宋体" w:eastAsia="宋体" w:hint="default"/>
          <w:spacing w:val="-24"/>
          <w:sz w:val="18"/>
          <w:szCs w:val="18"/>
        </w:rPr>
        <w:t>”</w:t>
      </w:r>
      <w:r>
        <w:rPr>
          <w:rFonts w:ascii="宋体" w:hAnsi="宋体" w:cs="宋体" w:eastAsia="宋体" w:hint="default"/>
          <w:sz w:val="18"/>
          <w:szCs w:val="18"/>
        </w:rPr>
        <w:t>项目归并</w:t>
      </w:r>
      <w:r>
        <w:rPr>
          <w:rFonts w:ascii="宋体" w:hAnsi="宋体" w:cs="宋体" w:eastAsia="宋体" w:hint="default"/>
          <w:spacing w:val="-24"/>
          <w:sz w:val="18"/>
          <w:szCs w:val="18"/>
        </w:rPr>
        <w:t>至</w:t>
      </w:r>
      <w:r>
        <w:rPr>
          <w:rFonts w:ascii="宋体" w:hAnsi="宋体" w:cs="宋体" w:eastAsia="宋体" w:hint="default"/>
          <w:sz w:val="18"/>
          <w:szCs w:val="18"/>
        </w:rPr>
        <w:t>“长期应付款</w:t>
      </w:r>
      <w:r>
        <w:rPr>
          <w:rFonts w:ascii="宋体" w:hAnsi="宋体" w:cs="宋体" w:eastAsia="宋体" w:hint="default"/>
          <w:spacing w:val="-24"/>
          <w:sz w:val="18"/>
          <w:szCs w:val="18"/>
        </w:rPr>
        <w:t>”</w:t>
      </w:r>
      <w:r>
        <w:rPr>
          <w:rFonts w:ascii="宋体" w:hAnsi="宋体" w:cs="宋体" w:eastAsia="宋体" w:hint="default"/>
          <w:sz w:val="18"/>
          <w:szCs w:val="18"/>
        </w:rPr>
        <w:t>项目</w:t>
      </w:r>
      <w:r>
        <w:rPr>
          <w:rFonts w:ascii="宋体" w:hAnsi="宋体" w:cs="宋体" w:eastAsia="宋体" w:hint="default"/>
          <w:spacing w:val="-114"/>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8</w:t>
      </w:r>
      <w:r>
        <w:rPr>
          <w:rFonts w:ascii="宋体" w:hAnsi="宋体" w:cs="宋体" w:eastAsia="宋体" w:hint="default"/>
          <w:spacing w:val="-24"/>
          <w:sz w:val="18"/>
          <w:szCs w:val="18"/>
        </w:rPr>
        <w:t>）</w:t>
      </w:r>
      <w:r>
        <w:rPr>
          <w:rFonts w:ascii="宋体" w:hAnsi="宋体" w:cs="宋体" w:eastAsia="宋体" w:hint="default"/>
          <w:sz w:val="18"/>
          <w:szCs w:val="18"/>
        </w:rPr>
        <w:t>新</w:t>
      </w:r>
      <w:r>
        <w:rPr>
          <w:rFonts w:ascii="宋体" w:hAnsi="宋体" w:cs="宋体" w:eastAsia="宋体" w:hint="default"/>
          <w:spacing w:val="-24"/>
          <w:sz w:val="18"/>
          <w:szCs w:val="18"/>
        </w:rPr>
        <w:t>增</w:t>
      </w:r>
      <w:r>
        <w:rPr>
          <w:rFonts w:ascii="宋体" w:hAnsi="宋体" w:cs="宋体" w:eastAsia="宋体" w:hint="default"/>
          <w:sz w:val="18"/>
          <w:szCs w:val="18"/>
        </w:rPr>
        <w:t>“研发费用</w:t>
      </w:r>
      <w:r>
        <w:rPr>
          <w:rFonts w:ascii="宋体" w:hAnsi="宋体" w:cs="宋体" w:eastAsia="宋体" w:hint="default"/>
          <w:spacing w:val="-24"/>
          <w:sz w:val="18"/>
          <w:szCs w:val="18"/>
        </w:rPr>
        <w:t>”</w:t>
      </w:r>
      <w:r>
        <w:rPr>
          <w:rFonts w:ascii="宋体" w:hAnsi="宋体" w:cs="宋体" w:eastAsia="宋体" w:hint="default"/>
          <w:sz w:val="18"/>
          <w:szCs w:val="18"/>
        </w:rPr>
        <w:t>项目</w:t>
      </w:r>
      <w:r>
        <w:rPr>
          <w:rFonts w:ascii="宋体" w:hAnsi="宋体" w:cs="宋体" w:eastAsia="宋体" w:hint="default"/>
          <w:spacing w:val="-24"/>
          <w:sz w:val="18"/>
          <w:szCs w:val="18"/>
        </w:rPr>
        <w:t>，</w:t>
      </w:r>
      <w:r>
        <w:rPr>
          <w:rFonts w:ascii="宋体" w:hAnsi="宋体" w:cs="宋体" w:eastAsia="宋体" w:hint="default"/>
          <w:sz w:val="18"/>
          <w:szCs w:val="18"/>
        </w:rPr>
        <w:t>原计</w:t>
      </w:r>
      <w:r>
        <w:rPr>
          <w:rFonts w:ascii="宋体" w:hAnsi="宋体" w:cs="宋体" w:eastAsia="宋体" w:hint="default"/>
          <w:spacing w:val="-24"/>
          <w:sz w:val="18"/>
          <w:szCs w:val="18"/>
        </w:rPr>
        <w:t>入</w:t>
      </w:r>
      <w:r>
        <w:rPr>
          <w:rFonts w:ascii="宋体" w:hAnsi="宋体" w:cs="宋体" w:eastAsia="宋体" w:hint="default"/>
          <w:sz w:val="18"/>
          <w:szCs w:val="18"/>
        </w:rPr>
        <w:t>“管理费用</w:t>
      </w:r>
      <w:r>
        <w:rPr>
          <w:rFonts w:ascii="宋体" w:hAnsi="宋体" w:cs="宋体" w:eastAsia="宋体" w:hint="default"/>
          <w:spacing w:val="-24"/>
          <w:sz w:val="18"/>
          <w:szCs w:val="18"/>
        </w:rPr>
        <w:t>”</w:t>
      </w:r>
      <w:r>
        <w:rPr>
          <w:rFonts w:ascii="宋体" w:hAnsi="宋体" w:cs="宋体" w:eastAsia="宋体" w:hint="default"/>
          <w:sz w:val="18"/>
          <w:szCs w:val="18"/>
        </w:rPr>
        <w:t>项目的研发费用单独列示</w:t>
      </w:r>
      <w:r>
        <w:rPr>
          <w:rFonts w:ascii="宋体" w:hAnsi="宋体" w:cs="宋体" w:eastAsia="宋体" w:hint="default"/>
          <w:spacing w:val="-24"/>
          <w:sz w:val="18"/>
          <w:szCs w:val="18"/>
        </w:rPr>
        <w:t>为</w:t>
      </w:r>
      <w:r>
        <w:rPr>
          <w:rFonts w:ascii="宋体" w:hAnsi="宋体" w:cs="宋体" w:eastAsia="宋体" w:hint="default"/>
          <w:spacing w:val="1"/>
          <w:sz w:val="18"/>
          <w:szCs w:val="18"/>
        </w:rPr>
        <w:t>“</w:t>
      </w:r>
      <w:r>
        <w:rPr>
          <w:rFonts w:ascii="宋体" w:hAnsi="宋体" w:cs="宋体" w:eastAsia="宋体" w:hint="default"/>
          <w:sz w:val="18"/>
          <w:szCs w:val="18"/>
        </w:rPr>
        <w:t>研</w:t>
      </w:r>
      <w:r>
        <w:rPr>
          <w:rFonts w:ascii="宋体" w:hAnsi="宋体" w:cs="宋体" w:eastAsia="宋体" w:hint="default"/>
          <w:sz w:val="18"/>
          <w:szCs w:val="18"/>
        </w:rPr>
        <w:t> 发费用”项目</w:t>
      </w:r>
      <w:r>
        <w:rPr>
          <w:rFonts w:ascii="宋体" w:hAnsi="宋体" w:cs="宋体" w:eastAsia="宋体" w:hint="default"/>
          <w:spacing w:val="-90"/>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9</w:t>
      </w:r>
      <w:r>
        <w:rPr>
          <w:rFonts w:ascii="宋体" w:hAnsi="宋体" w:cs="宋体" w:eastAsia="宋体" w:hint="default"/>
          <w:sz w:val="18"/>
          <w:szCs w:val="18"/>
        </w:rPr>
        <w:t>）在“财务费用”项目下列示“利息费用”和“利息收入”明细项目。</w:t>
      </w:r>
    </w:p>
    <w:p>
      <w:pPr>
        <w:spacing w:line="319" w:lineRule="auto" w:before="52"/>
        <w:ind w:left="153" w:right="1130" w:firstLine="360"/>
        <w:jc w:val="both"/>
        <w:rPr>
          <w:rFonts w:ascii="宋体" w:hAnsi="宋体" w:cs="宋体" w:eastAsia="宋体" w:hint="default"/>
          <w:sz w:val="18"/>
          <w:szCs w:val="18"/>
        </w:rPr>
      </w:pPr>
      <w:r>
        <w:rPr>
          <w:rFonts w:ascii="宋体" w:hAnsi="宋体" w:cs="宋体" w:eastAsia="宋体" w:hint="default"/>
          <w:spacing w:val="-2"/>
          <w:sz w:val="18"/>
          <w:szCs w:val="18"/>
        </w:rPr>
        <w:t>本次会计政策变更仅对财务报表项目列示产生影响，不涉及对公司以前年度的追溯调整；不会对当期和会计政策变更之</w:t>
      </w:r>
      <w:r>
        <w:rPr>
          <w:rFonts w:ascii="宋体" w:hAnsi="宋体" w:cs="宋体" w:eastAsia="宋体" w:hint="default"/>
          <w:sz w:val="18"/>
          <w:szCs w:val="18"/>
        </w:rPr>
        <w:t> </w:t>
      </w:r>
      <w:r>
        <w:rPr>
          <w:rFonts w:ascii="宋体" w:hAnsi="宋体" w:cs="宋体" w:eastAsia="宋体" w:hint="default"/>
          <w:spacing w:val="-2"/>
          <w:sz w:val="18"/>
          <w:szCs w:val="18"/>
        </w:rPr>
        <w:t>前公司资产总额、负债总额、所有者权益及净利润产生任何影响。会计政策变更的具体内容详见年审会计师出具的《重大会</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4"/>
          <w:sz w:val="18"/>
          <w:szCs w:val="18"/>
        </w:rPr>
        <w:t>计政策、会计估计变更以及重大前期会计差错更正专项说明》。</w:t>
      </w:r>
    </w:p>
    <w:p>
      <w:pPr>
        <w:spacing w:line="240" w:lineRule="auto" w:before="10"/>
        <w:rPr>
          <w:rFonts w:ascii="宋体" w:hAnsi="宋体" w:cs="宋体" w:eastAsia="宋体" w:hint="default"/>
          <w:sz w:val="15"/>
          <w:szCs w:val="15"/>
        </w:rPr>
      </w:pPr>
    </w:p>
    <w:p>
      <w:pPr>
        <w:pStyle w:val="Heading4"/>
        <w:spacing w:line="240" w:lineRule="auto"/>
        <w:ind w:right="0"/>
        <w:jc w:val="left"/>
        <w:rPr>
          <w:b w:val="0"/>
          <w:bCs w:val="0"/>
        </w:rPr>
      </w:pPr>
      <w:r>
        <w:rPr/>
        <w:t>七、报告期内发生重大会计差错更正需追溯重述的情况说明</w:t>
      </w:r>
      <w:r>
        <w:rPr>
          <w:b w:val="0"/>
          <w:bCs w:val="0"/>
        </w:rPr>
      </w:r>
    </w:p>
    <w:p>
      <w:pPr>
        <w:spacing w:line="240" w:lineRule="auto" w:before="1"/>
        <w:rPr>
          <w:rFonts w:ascii="宋体" w:hAnsi="宋体" w:cs="宋体" w:eastAsia="宋体" w:hint="default"/>
          <w:b/>
          <w:bCs/>
          <w:sz w:val="22"/>
          <w:szCs w:val="22"/>
        </w:rPr>
      </w:pPr>
    </w:p>
    <w:p>
      <w:pPr>
        <w:spacing w:line="357" w:lineRule="auto" w:before="0"/>
        <w:ind w:left="513" w:right="6251" w:hanging="360"/>
        <w:jc w:val="left"/>
        <w:rPr>
          <w:rFonts w:ascii="宋体" w:hAnsi="宋体" w:cs="宋体" w:eastAsia="宋体" w:hint="default"/>
          <w:sz w:val="18"/>
          <w:szCs w:val="18"/>
        </w:rPr>
      </w:pPr>
      <w:r>
        <w:rPr>
          <w:rFonts w:ascii="宋体" w:hAnsi="宋体" w:cs="宋体" w:eastAsia="宋体" w:hint="default"/>
          <w:sz w:val="18"/>
          <w:szCs w:val="18"/>
        </w:rPr>
        <w:t>□ 适用 √ 不适用 公司报告期无重大会计差错更正需追溯重述的情况。</w:t>
      </w:r>
    </w:p>
    <w:p>
      <w:pPr>
        <w:spacing w:line="240" w:lineRule="auto" w:before="7"/>
        <w:rPr>
          <w:rFonts w:ascii="宋体" w:hAnsi="宋体" w:cs="宋体" w:eastAsia="宋体" w:hint="default"/>
          <w:sz w:val="13"/>
          <w:szCs w:val="13"/>
        </w:rPr>
      </w:pPr>
    </w:p>
    <w:p>
      <w:pPr>
        <w:pStyle w:val="Heading4"/>
        <w:spacing w:line="240" w:lineRule="auto"/>
        <w:ind w:right="0"/>
        <w:jc w:val="left"/>
        <w:rPr>
          <w:b w:val="0"/>
          <w:bCs w:val="0"/>
        </w:rPr>
      </w:pPr>
      <w:r>
        <w:rPr/>
        <w:t>八、与上年度财务报告相比，合并报表范围发生变化的情况说明</w:t>
      </w:r>
      <w:r>
        <w:rPr>
          <w:b w:val="0"/>
          <w:bCs w:val="0"/>
        </w:rPr>
      </w:r>
    </w:p>
    <w:p>
      <w:pPr>
        <w:spacing w:line="240" w:lineRule="auto" w:before="1"/>
        <w:rPr>
          <w:rFonts w:ascii="宋体" w:hAnsi="宋体" w:cs="宋体" w:eastAsia="宋体" w:hint="default"/>
          <w:b/>
          <w:bCs/>
          <w:sz w:val="22"/>
          <w:szCs w:val="22"/>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300" w:lineRule="auto" w:before="115"/>
        <w:ind w:left="153" w:right="1116"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月，控股子公司深圳普士科技有限公司清算注销，不再纳入公司合并范围；</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月，全资子公司深圳市 湘计长岛电脑设备有限公司</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100%</w:t>
      </w:r>
      <w:r>
        <w:rPr>
          <w:rFonts w:ascii="宋体" w:hAnsi="宋体" w:cs="宋体" w:eastAsia="宋体" w:hint="default"/>
          <w:sz w:val="18"/>
          <w:szCs w:val="18"/>
        </w:rPr>
        <w:t>股权转让完成，不再纳入公司合并范围；</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年</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月，湖南长城非凡信息科技有限公司成</w:t>
      </w:r>
    </w:p>
    <w:p>
      <w:pPr>
        <w:spacing w:after="0" w:line="300" w:lineRule="auto"/>
        <w:jc w:val="left"/>
        <w:rPr>
          <w:rFonts w:ascii="宋体" w:hAnsi="宋体" w:cs="宋体" w:eastAsia="宋体" w:hint="default"/>
          <w:sz w:val="18"/>
          <w:szCs w:val="18"/>
        </w:rPr>
        <w:sectPr>
          <w:pgSz w:w="11910" w:h="16840"/>
          <w:pgMar w:header="787" w:footer="982" w:top="1100" w:bottom="1180" w:left="980" w:right="0"/>
        </w:sectPr>
      </w:pPr>
    </w:p>
    <w:p>
      <w:pPr>
        <w:spacing w:line="240" w:lineRule="auto" w:before="10"/>
        <w:rPr>
          <w:rFonts w:ascii="宋体" w:hAnsi="宋体" w:cs="宋体" w:eastAsia="宋体" w:hint="default"/>
          <w:sz w:val="22"/>
          <w:szCs w:val="22"/>
        </w:rPr>
      </w:pPr>
    </w:p>
    <w:p>
      <w:pPr>
        <w:spacing w:line="300" w:lineRule="auto" w:before="44"/>
        <w:ind w:left="474" w:right="1129" w:firstLine="0"/>
        <w:jc w:val="both"/>
        <w:rPr>
          <w:rFonts w:ascii="宋体" w:hAnsi="宋体" w:cs="宋体" w:eastAsia="宋体" w:hint="default"/>
          <w:sz w:val="18"/>
          <w:szCs w:val="18"/>
        </w:rPr>
      </w:pPr>
      <w:r>
        <w:rPr>
          <w:rFonts w:ascii="宋体" w:hAnsi="宋体" w:cs="宋体" w:eastAsia="宋体" w:hint="default"/>
          <w:spacing w:val="-2"/>
          <w:sz w:val="18"/>
          <w:szCs w:val="18"/>
        </w:rPr>
        <w:t>立（圣非凡持股</w:t>
      </w:r>
      <w:r>
        <w:rPr>
          <w:rFonts w:ascii="宋体" w:hAnsi="宋体" w:cs="宋体" w:eastAsia="宋体" w:hint="default"/>
          <w:spacing w:val="-40"/>
          <w:sz w:val="18"/>
          <w:szCs w:val="18"/>
        </w:rPr>
        <w:t> </w:t>
      </w:r>
      <w:r>
        <w:rPr>
          <w:rFonts w:ascii="Times New Roman" w:hAnsi="Times New Roman" w:cs="Times New Roman" w:eastAsia="Times New Roman" w:hint="default"/>
          <w:spacing w:val="-7"/>
          <w:sz w:val="18"/>
          <w:szCs w:val="18"/>
        </w:rPr>
        <w:t>60%</w:t>
      </w:r>
      <w:r>
        <w:rPr>
          <w:rFonts w:ascii="宋体" w:hAnsi="宋体" w:cs="宋体" w:eastAsia="宋体" w:hint="default"/>
          <w:spacing w:val="-7"/>
          <w:sz w:val="18"/>
          <w:szCs w:val="18"/>
        </w:rPr>
        <w:t>），纳入公司合并范围；</w:t>
      </w:r>
      <w:r>
        <w:rPr>
          <w:rFonts w:ascii="Times New Roman" w:hAnsi="Times New Roman" w:cs="Times New Roman" w:eastAsia="Times New Roman" w:hint="default"/>
          <w:spacing w:val="-7"/>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5"/>
          <w:sz w:val="18"/>
          <w:szCs w:val="18"/>
        </w:rPr>
        <w:t> </w:t>
      </w:r>
      <w:r>
        <w:rPr>
          <w:rFonts w:ascii="宋体" w:hAnsi="宋体" w:cs="宋体" w:eastAsia="宋体" w:hint="default"/>
          <w:spacing w:val="-1"/>
          <w:sz w:val="18"/>
          <w:szCs w:val="18"/>
        </w:rPr>
        <w:t>月，全资子公司长城信息海南系统技术有限公司清算注销，不再纳入</w:t>
      </w:r>
      <w:r>
        <w:rPr>
          <w:rFonts w:ascii="宋体" w:hAnsi="宋体" w:cs="宋体" w:eastAsia="宋体" w:hint="default"/>
          <w:sz w:val="18"/>
          <w:szCs w:val="18"/>
        </w:rPr>
        <w:t> 公司合并范围；</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年</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月，全资子公司北海长城能源科技有限公司清算注销，不再纳入公司合并范围；中原电子、圣非 凡股权转让湖南长城科技，两家公司的级次下沉。详见财务报告附注“合并范围的变更”中的相关内容。</w:t>
      </w:r>
    </w:p>
    <w:p>
      <w:pPr>
        <w:spacing w:line="240" w:lineRule="auto" w:before="11"/>
        <w:rPr>
          <w:rFonts w:ascii="宋体" w:hAnsi="宋体" w:cs="宋体" w:eastAsia="宋体" w:hint="default"/>
          <w:sz w:val="16"/>
          <w:szCs w:val="16"/>
        </w:rPr>
      </w:pPr>
    </w:p>
    <w:p>
      <w:pPr>
        <w:pStyle w:val="Heading4"/>
        <w:spacing w:line="240" w:lineRule="auto"/>
        <w:ind w:left="474" w:right="0"/>
        <w:jc w:val="both"/>
        <w:rPr>
          <w:b w:val="0"/>
          <w:bCs w:val="0"/>
        </w:rPr>
      </w:pPr>
      <w:r>
        <w:rPr/>
        <w:t>九、聘任、解聘会计师事务所情况</w:t>
      </w:r>
      <w:r>
        <w:rPr>
          <w:b w:val="0"/>
          <w:bCs w:val="0"/>
        </w:rPr>
      </w:r>
    </w:p>
    <w:p>
      <w:pPr>
        <w:spacing w:line="240" w:lineRule="auto" w:before="1"/>
        <w:rPr>
          <w:rFonts w:ascii="宋体" w:hAnsi="宋体" w:cs="宋体" w:eastAsia="宋体" w:hint="default"/>
          <w:b/>
          <w:bCs/>
          <w:sz w:val="22"/>
          <w:szCs w:val="22"/>
        </w:rPr>
      </w:pPr>
    </w:p>
    <w:p>
      <w:pPr>
        <w:spacing w:before="0"/>
        <w:ind w:left="474" w:right="0" w:firstLine="0"/>
        <w:jc w:val="both"/>
        <w:rPr>
          <w:rFonts w:ascii="宋体" w:hAnsi="宋体" w:cs="宋体" w:eastAsia="宋体" w:hint="default"/>
          <w:sz w:val="18"/>
          <w:szCs w:val="18"/>
        </w:rPr>
      </w:pPr>
      <w:r>
        <w:rPr>
          <w:rFonts w:ascii="宋体" w:hAnsi="宋体" w:cs="宋体" w:eastAsia="宋体" w:hint="default"/>
          <w:sz w:val="18"/>
          <w:szCs w:val="18"/>
        </w:rPr>
        <w:t>现聘任的会计师事务所</w:t>
      </w:r>
    </w:p>
    <w:p>
      <w:pPr>
        <w:spacing w:line="240" w:lineRule="auto" w:before="13"/>
        <w:rPr>
          <w:rFonts w:ascii="宋体" w:hAnsi="宋体" w:cs="宋体" w:eastAsia="宋体" w:hint="default"/>
          <w:sz w:val="7"/>
          <w:szCs w:val="7"/>
        </w:rPr>
      </w:pPr>
    </w:p>
    <w:tbl>
      <w:tblPr>
        <w:tblW w:w="0" w:type="auto"/>
        <w:jc w:val="left"/>
        <w:tblInd w:w="504" w:type="dxa"/>
        <w:tblLayout w:type="fixed"/>
        <w:tblCellMar>
          <w:top w:w="0" w:type="dxa"/>
          <w:left w:w="0" w:type="dxa"/>
          <w:bottom w:w="0" w:type="dxa"/>
          <w:right w:w="0" w:type="dxa"/>
        </w:tblCellMar>
        <w:tblLook w:val="01E0"/>
      </w:tblPr>
      <w:tblGrid>
        <w:gridCol w:w="4792"/>
        <w:gridCol w:w="4777"/>
      </w:tblGrid>
      <w:tr>
        <w:trPr>
          <w:trHeight w:val="402" w:hRule="exact"/>
        </w:trPr>
        <w:tc>
          <w:tcPr>
            <w:tcW w:w="47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境内会计师事务所名称</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立信会计师事务所（特殊普通合伙）</w:t>
            </w:r>
          </w:p>
        </w:tc>
      </w:tr>
      <w:tr>
        <w:trPr>
          <w:trHeight w:val="402" w:hRule="exact"/>
        </w:trPr>
        <w:tc>
          <w:tcPr>
            <w:tcW w:w="47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境内会计师事务所报酬（万元）</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400</w:t>
            </w:r>
          </w:p>
        </w:tc>
      </w:tr>
      <w:tr>
        <w:trPr>
          <w:trHeight w:val="402" w:hRule="exact"/>
        </w:trPr>
        <w:tc>
          <w:tcPr>
            <w:tcW w:w="47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境内会计师事务所审计服务的连续年限</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402" w:hRule="exact"/>
        </w:trPr>
        <w:tc>
          <w:tcPr>
            <w:tcW w:w="47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境内会计师事务所注册会计师姓名</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许培梅、顾欣</w:t>
            </w:r>
          </w:p>
        </w:tc>
      </w:tr>
      <w:tr>
        <w:trPr>
          <w:trHeight w:val="403" w:hRule="exact"/>
        </w:trPr>
        <w:tc>
          <w:tcPr>
            <w:tcW w:w="47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境内会计师事务所注册会计师审计服务的连续年限</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r>
    </w:tbl>
    <w:p>
      <w:pPr>
        <w:spacing w:before="51"/>
        <w:ind w:left="474" w:right="6251" w:firstLine="0"/>
        <w:jc w:val="left"/>
        <w:rPr>
          <w:rFonts w:ascii="宋体" w:hAnsi="宋体" w:cs="宋体" w:eastAsia="宋体" w:hint="default"/>
          <w:sz w:val="18"/>
          <w:szCs w:val="18"/>
        </w:rPr>
      </w:pPr>
      <w:r>
        <w:rPr>
          <w:rFonts w:ascii="宋体" w:hAnsi="宋体" w:cs="宋体" w:eastAsia="宋体" w:hint="default"/>
          <w:sz w:val="18"/>
          <w:szCs w:val="18"/>
        </w:rPr>
        <w:t>当期是否改聘会计师事务所</w:t>
      </w:r>
    </w:p>
    <w:p>
      <w:pPr>
        <w:spacing w:line="360" w:lineRule="auto" w:before="116"/>
        <w:ind w:left="473" w:right="6251" w:firstLine="0"/>
        <w:jc w:val="left"/>
        <w:rPr>
          <w:rFonts w:ascii="宋体" w:hAnsi="宋体" w:cs="宋体" w:eastAsia="宋体" w:hint="default"/>
          <w:sz w:val="18"/>
          <w:szCs w:val="18"/>
        </w:rPr>
      </w:pPr>
      <w:r>
        <w:rPr>
          <w:rFonts w:ascii="宋体" w:hAnsi="宋体" w:cs="宋体" w:eastAsia="宋体" w:hint="default"/>
          <w:sz w:val="18"/>
          <w:szCs w:val="18"/>
        </w:rPr>
        <w:t>□ 是 √ 否 聘请内部控制审计会计师事务所、财务顾问或保荐人情况</w:t>
      </w:r>
    </w:p>
    <w:p>
      <w:pPr>
        <w:spacing w:before="26"/>
        <w:ind w:left="473" w:right="6251"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before="115"/>
        <w:ind w:left="833" w:right="5" w:firstLine="0"/>
        <w:jc w:val="left"/>
        <w:rPr>
          <w:rFonts w:ascii="宋体" w:hAnsi="宋体" w:cs="宋体" w:eastAsia="宋体" w:hint="default"/>
          <w:sz w:val="18"/>
          <w:szCs w:val="18"/>
        </w:rPr>
      </w:pPr>
      <w:r>
        <w:rPr>
          <w:rFonts w:ascii="宋体" w:hAnsi="宋体" w:cs="宋体" w:eastAsia="宋体" w:hint="default"/>
          <w:sz w:val="18"/>
          <w:szCs w:val="18"/>
        </w:rPr>
        <w:t>公司聘请立信会计师事务所（特殊普通合伙）为</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年度财务审计单位及内部控制审计单位，聘请期限为一年，年度</w:t>
      </w:r>
    </w:p>
    <w:p>
      <w:pPr>
        <w:spacing w:before="63"/>
        <w:ind w:left="473" w:right="5" w:firstLine="0"/>
        <w:jc w:val="left"/>
        <w:rPr>
          <w:rFonts w:ascii="宋体" w:hAnsi="宋体" w:cs="宋体" w:eastAsia="宋体" w:hint="default"/>
          <w:sz w:val="18"/>
          <w:szCs w:val="18"/>
        </w:rPr>
      </w:pPr>
      <w:r>
        <w:rPr>
          <w:rFonts w:ascii="宋体" w:hAnsi="宋体" w:cs="宋体" w:eastAsia="宋体" w:hint="default"/>
          <w:sz w:val="18"/>
          <w:szCs w:val="18"/>
        </w:rPr>
        <w:t>审计费用为不超过人民币</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400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万元（含下属子公司，其中母公司年度财务审计费用不超过人民币</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88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万元、内部控制审计费</w:t>
      </w:r>
    </w:p>
    <w:p>
      <w:pPr>
        <w:spacing w:before="64"/>
        <w:ind w:left="473" w:right="6251" w:firstLine="0"/>
        <w:jc w:val="left"/>
        <w:rPr>
          <w:rFonts w:ascii="宋体" w:hAnsi="宋体" w:cs="宋体" w:eastAsia="宋体" w:hint="default"/>
          <w:sz w:val="18"/>
          <w:szCs w:val="18"/>
        </w:rPr>
      </w:pPr>
      <w:r>
        <w:rPr>
          <w:rFonts w:ascii="宋体" w:hAnsi="宋体" w:cs="宋体" w:eastAsia="宋体" w:hint="default"/>
          <w:sz w:val="18"/>
          <w:szCs w:val="18"/>
        </w:rPr>
        <w:t>用不超过人民币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r>
        <w:rPr>
          <w:rFonts w:ascii="宋体" w:hAnsi="宋体" w:cs="宋体" w:eastAsia="宋体" w:hint="default"/>
          <w:spacing w:val="-90"/>
          <w:sz w:val="18"/>
          <w:szCs w:val="18"/>
        </w:rPr>
        <w:t>）</w:t>
      </w:r>
      <w:r>
        <w:rPr>
          <w:rFonts w:ascii="宋体" w:hAnsi="宋体" w:cs="宋体" w:eastAsia="宋体" w:hint="default"/>
          <w:sz w:val="18"/>
          <w:szCs w:val="18"/>
        </w:rPr>
        <w:t>。</w:t>
      </w:r>
    </w:p>
    <w:p>
      <w:pPr>
        <w:spacing w:before="103"/>
        <w:ind w:left="833" w:right="5" w:firstLine="0"/>
        <w:jc w:val="left"/>
        <w:rPr>
          <w:rFonts w:ascii="宋体" w:hAnsi="宋体" w:cs="宋体" w:eastAsia="宋体" w:hint="default"/>
          <w:sz w:val="18"/>
          <w:szCs w:val="18"/>
        </w:rPr>
      </w:pPr>
      <w:r>
        <w:rPr>
          <w:rFonts w:ascii="宋体" w:hAnsi="宋体" w:cs="宋体" w:eastAsia="宋体" w:hint="default"/>
          <w:sz w:val="18"/>
          <w:szCs w:val="18"/>
        </w:rPr>
        <w:t>因重大资产重组事项，公司聘请海通证券股份有限公司为财务顾问，</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年度履行持续督导职责。</w:t>
      </w:r>
    </w:p>
    <w:p>
      <w:pPr>
        <w:spacing w:line="240" w:lineRule="auto" w:before="9"/>
        <w:rPr>
          <w:rFonts w:ascii="宋体" w:hAnsi="宋体" w:cs="宋体" w:eastAsia="宋体" w:hint="default"/>
          <w:sz w:val="14"/>
          <w:szCs w:val="14"/>
        </w:rPr>
      </w:pPr>
    </w:p>
    <w:p>
      <w:pPr>
        <w:pStyle w:val="Heading4"/>
        <w:spacing w:line="240" w:lineRule="auto"/>
        <w:ind w:left="474" w:right="5"/>
        <w:jc w:val="left"/>
        <w:rPr>
          <w:b w:val="0"/>
          <w:bCs w:val="0"/>
        </w:rPr>
      </w:pPr>
      <w:r>
        <w:rPr/>
        <w:t>十、年度报告披露后面临暂停上市和终止上市情况</w:t>
      </w:r>
      <w:r>
        <w:rPr>
          <w:b w:val="0"/>
          <w:bCs w:val="0"/>
        </w:rPr>
      </w:r>
    </w:p>
    <w:p>
      <w:pPr>
        <w:spacing w:line="240" w:lineRule="auto" w:before="6"/>
        <w:rPr>
          <w:rFonts w:ascii="宋体" w:hAnsi="宋体" w:cs="宋体" w:eastAsia="宋体" w:hint="default"/>
          <w:b/>
          <w:bCs/>
          <w:sz w:val="17"/>
          <w:szCs w:val="17"/>
        </w:rPr>
      </w:pPr>
    </w:p>
    <w:p>
      <w:pPr>
        <w:spacing w:before="0"/>
        <w:ind w:left="474" w:right="6251"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9"/>
        <w:rPr>
          <w:rFonts w:ascii="宋体" w:hAnsi="宋体" w:cs="宋体" w:eastAsia="宋体" w:hint="default"/>
          <w:sz w:val="15"/>
          <w:szCs w:val="15"/>
        </w:rPr>
      </w:pPr>
    </w:p>
    <w:p>
      <w:pPr>
        <w:pStyle w:val="Heading4"/>
        <w:spacing w:line="240" w:lineRule="auto"/>
        <w:ind w:left="474" w:right="6251"/>
        <w:jc w:val="left"/>
        <w:rPr>
          <w:b w:val="0"/>
          <w:bCs w:val="0"/>
        </w:rPr>
      </w:pPr>
      <w:r>
        <w:rPr/>
        <w:t>十一、破产重整相关事项</w:t>
      </w:r>
      <w:r>
        <w:rPr>
          <w:b w:val="0"/>
          <w:bCs w:val="0"/>
        </w:rPr>
      </w:r>
    </w:p>
    <w:p>
      <w:pPr>
        <w:spacing w:line="240" w:lineRule="auto" w:before="6"/>
        <w:rPr>
          <w:rFonts w:ascii="宋体" w:hAnsi="宋体" w:cs="宋体" w:eastAsia="宋体" w:hint="default"/>
          <w:b/>
          <w:bCs/>
          <w:sz w:val="17"/>
          <w:szCs w:val="17"/>
        </w:rPr>
      </w:pPr>
    </w:p>
    <w:p>
      <w:pPr>
        <w:spacing w:line="357" w:lineRule="auto" w:before="0"/>
        <w:ind w:left="833" w:right="7331" w:hanging="360"/>
        <w:jc w:val="left"/>
        <w:rPr>
          <w:rFonts w:ascii="宋体" w:hAnsi="宋体" w:cs="宋体" w:eastAsia="宋体" w:hint="default"/>
          <w:sz w:val="18"/>
          <w:szCs w:val="18"/>
        </w:rPr>
      </w:pPr>
      <w:r>
        <w:rPr>
          <w:rFonts w:ascii="宋体" w:hAnsi="宋体" w:cs="宋体" w:eastAsia="宋体" w:hint="default"/>
          <w:sz w:val="18"/>
          <w:szCs w:val="18"/>
        </w:rPr>
        <w:t>□ 适用 √ 不适用 公司报告期未发生破产重整相关事项。</w:t>
      </w:r>
    </w:p>
    <w:p>
      <w:pPr>
        <w:pStyle w:val="Heading4"/>
        <w:spacing w:line="240" w:lineRule="auto" w:before="117"/>
        <w:ind w:left="474" w:right="6251"/>
        <w:jc w:val="left"/>
        <w:rPr>
          <w:b w:val="0"/>
          <w:bCs w:val="0"/>
        </w:rPr>
      </w:pPr>
      <w:r>
        <w:rPr/>
        <w:t>十二、重大诉讼、仲裁事项</w:t>
      </w:r>
      <w:r>
        <w:rPr>
          <w:b w:val="0"/>
          <w:bCs w:val="0"/>
        </w:rPr>
      </w:r>
    </w:p>
    <w:p>
      <w:pPr>
        <w:spacing w:line="240" w:lineRule="auto" w:before="6"/>
        <w:rPr>
          <w:rFonts w:ascii="宋体" w:hAnsi="宋体" w:cs="宋体" w:eastAsia="宋体" w:hint="default"/>
          <w:b/>
          <w:bCs/>
          <w:sz w:val="17"/>
          <w:szCs w:val="17"/>
        </w:rPr>
      </w:pPr>
    </w:p>
    <w:p>
      <w:pPr>
        <w:spacing w:line="357" w:lineRule="auto" w:before="0"/>
        <w:ind w:left="833" w:right="5" w:hanging="360"/>
        <w:jc w:val="left"/>
        <w:rPr>
          <w:rFonts w:ascii="宋体" w:hAnsi="宋体" w:cs="宋体" w:eastAsia="宋体" w:hint="default"/>
          <w:sz w:val="18"/>
          <w:szCs w:val="18"/>
        </w:rPr>
      </w:pPr>
      <w:r>
        <w:rPr>
          <w:rFonts w:ascii="宋体" w:hAnsi="宋体" w:cs="宋体" w:eastAsia="宋体" w:hint="default"/>
          <w:sz w:val="18"/>
          <w:szCs w:val="18"/>
        </w:rPr>
        <w:t>□ 适用 √ 不适用 </w:t>
      </w:r>
      <w:r>
        <w:rPr>
          <w:rFonts w:ascii="宋体" w:hAnsi="宋体" w:cs="宋体" w:eastAsia="宋体" w:hint="default"/>
          <w:spacing w:val="-2"/>
          <w:sz w:val="18"/>
          <w:szCs w:val="18"/>
        </w:rPr>
        <w:t>本报告期公司无重大诉讼、仲裁事项，因一般诉讼、仲裁事项形成的其他诉讼事项及或有负债事项详见下表和财务报告</w:t>
      </w:r>
    </w:p>
    <w:p>
      <w:pPr>
        <w:spacing w:line="225" w:lineRule="exact" w:before="0"/>
        <w:ind w:left="473" w:right="6251" w:firstLine="0"/>
        <w:jc w:val="left"/>
        <w:rPr>
          <w:rFonts w:ascii="宋体" w:hAnsi="宋体" w:cs="宋体" w:eastAsia="宋体" w:hint="default"/>
          <w:sz w:val="18"/>
          <w:szCs w:val="18"/>
        </w:rPr>
      </w:pPr>
      <w:r>
        <w:rPr>
          <w:rFonts w:ascii="宋体" w:hAnsi="宋体" w:cs="宋体" w:eastAsia="宋体" w:hint="default"/>
          <w:sz w:val="18"/>
          <w:szCs w:val="18"/>
        </w:rPr>
        <w:t>附注中的相关说明。</w:t>
      </w:r>
    </w:p>
    <w:p>
      <w:pPr>
        <w:spacing w:line="240" w:lineRule="auto" w:before="1"/>
        <w:rPr>
          <w:rFonts w:ascii="宋体" w:hAnsi="宋体" w:cs="宋体" w:eastAsia="宋体" w:hint="default"/>
          <w:sz w:val="8"/>
          <w:szCs w:val="8"/>
        </w:rPr>
      </w:pPr>
    </w:p>
    <w:tbl>
      <w:tblPr>
        <w:tblW w:w="0" w:type="auto"/>
        <w:jc w:val="left"/>
        <w:tblInd w:w="101" w:type="dxa"/>
        <w:tblLayout w:type="fixed"/>
        <w:tblCellMar>
          <w:top w:w="0" w:type="dxa"/>
          <w:left w:w="0" w:type="dxa"/>
          <w:bottom w:w="0" w:type="dxa"/>
          <w:right w:w="0" w:type="dxa"/>
        </w:tblCellMar>
        <w:tblLook w:val="01E0"/>
      </w:tblPr>
      <w:tblGrid>
        <w:gridCol w:w="4975"/>
        <w:gridCol w:w="794"/>
        <w:gridCol w:w="851"/>
        <w:gridCol w:w="992"/>
        <w:gridCol w:w="1552"/>
        <w:gridCol w:w="1208"/>
      </w:tblGrid>
      <w:tr>
        <w:trPr>
          <w:trHeight w:val="714" w:hRule="exact"/>
        </w:trPr>
        <w:tc>
          <w:tcPr>
            <w:tcW w:w="497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诉讼</w:t>
            </w:r>
            <w:r>
              <w:rPr>
                <w:rFonts w:ascii="Times New Roman" w:hAnsi="Times New Roman" w:cs="Times New Roman" w:eastAsia="Times New Roman" w:hint="default"/>
                <w:sz w:val="18"/>
                <w:szCs w:val="18"/>
              </w:rPr>
              <w:t>(</w:t>
            </w:r>
            <w:r>
              <w:rPr>
                <w:rFonts w:ascii="宋体" w:hAnsi="宋体" w:cs="宋体" w:eastAsia="宋体" w:hint="default"/>
                <w:sz w:val="18"/>
                <w:szCs w:val="18"/>
              </w:rPr>
              <w:t>仲裁</w:t>
            </w:r>
            <w:r>
              <w:rPr>
                <w:rFonts w:ascii="Times New Roman" w:hAnsi="Times New Roman" w:cs="Times New Roman" w:eastAsia="Times New Roman" w:hint="default"/>
                <w:sz w:val="18"/>
                <w:szCs w:val="18"/>
              </w:rPr>
              <w:t>)</w:t>
            </w:r>
            <w:r>
              <w:rPr>
                <w:rFonts w:ascii="宋体" w:hAnsi="宋体" w:cs="宋体" w:eastAsia="宋体" w:hint="default"/>
                <w:sz w:val="18"/>
                <w:szCs w:val="18"/>
              </w:rPr>
              <w:t>基本情况</w:t>
            </w:r>
          </w:p>
        </w:tc>
        <w:tc>
          <w:tcPr>
            <w:tcW w:w="7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31" w:right="0"/>
              <w:jc w:val="left"/>
              <w:rPr>
                <w:rFonts w:ascii="宋体" w:hAnsi="宋体" w:cs="宋体" w:eastAsia="宋体" w:hint="default"/>
                <w:sz w:val="18"/>
                <w:szCs w:val="18"/>
              </w:rPr>
            </w:pPr>
            <w:r>
              <w:rPr>
                <w:rFonts w:ascii="宋体" w:hAnsi="宋体" w:cs="宋体" w:eastAsia="宋体" w:hint="default"/>
                <w:sz w:val="18"/>
                <w:szCs w:val="18"/>
              </w:rPr>
              <w:t>涉案金额</w:t>
            </w:r>
          </w:p>
          <w:p>
            <w:pPr>
              <w:pStyle w:val="TableParagraph"/>
              <w:spacing w:line="240" w:lineRule="auto" w:before="76"/>
              <w:ind w:left="31"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85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60" w:right="59"/>
              <w:jc w:val="left"/>
              <w:rPr>
                <w:rFonts w:ascii="宋体" w:hAnsi="宋体" w:cs="宋体" w:eastAsia="宋体" w:hint="default"/>
                <w:sz w:val="18"/>
                <w:szCs w:val="18"/>
              </w:rPr>
            </w:pPr>
            <w:r>
              <w:rPr>
                <w:rFonts w:ascii="宋体" w:hAnsi="宋体" w:cs="宋体" w:eastAsia="宋体" w:hint="default"/>
                <w:sz w:val="18"/>
                <w:szCs w:val="18"/>
              </w:rPr>
              <w:t>是否形成 预计负债</w:t>
            </w:r>
          </w:p>
        </w:tc>
        <w:tc>
          <w:tcPr>
            <w:tcW w:w="9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1"/>
              <w:ind w:left="310" w:right="70" w:hanging="240"/>
              <w:jc w:val="left"/>
              <w:rPr>
                <w:rFonts w:ascii="宋体" w:hAnsi="宋体" w:cs="宋体" w:eastAsia="宋体" w:hint="default"/>
                <w:sz w:val="18"/>
                <w:szCs w:val="18"/>
              </w:rPr>
            </w:pPr>
            <w:r>
              <w:rPr>
                <w:rFonts w:ascii="宋体" w:hAnsi="宋体" w:cs="宋体" w:eastAsia="宋体" w:hint="default"/>
                <w:sz w:val="18"/>
                <w:szCs w:val="18"/>
              </w:rPr>
              <w:t>诉讼</w:t>
            </w:r>
            <w:r>
              <w:rPr>
                <w:rFonts w:ascii="Times New Roman" w:hAnsi="Times New Roman" w:cs="Times New Roman" w:eastAsia="Times New Roman" w:hint="default"/>
                <w:sz w:val="18"/>
                <w:szCs w:val="18"/>
              </w:rPr>
              <w:t>(</w:t>
            </w:r>
            <w:r>
              <w:rPr>
                <w:rFonts w:ascii="宋体" w:hAnsi="宋体" w:cs="宋体" w:eastAsia="宋体" w:hint="default"/>
                <w:sz w:val="18"/>
                <w:szCs w:val="18"/>
              </w:rPr>
              <w:t>仲裁</w:t>
            </w:r>
            <w:r>
              <w:rPr>
                <w:rFonts w:ascii="Times New Roman" w:hAnsi="Times New Roman" w:cs="Times New Roman" w:eastAsia="Times New Roman" w:hint="default"/>
                <w:sz w:val="18"/>
                <w:szCs w:val="18"/>
              </w:rPr>
              <w:t>) </w:t>
            </w:r>
            <w:r>
              <w:rPr>
                <w:rFonts w:ascii="宋体" w:hAnsi="宋体" w:cs="宋体" w:eastAsia="宋体" w:hint="default"/>
                <w:sz w:val="18"/>
                <w:szCs w:val="18"/>
              </w:rPr>
              <w:t>进展</w:t>
            </w:r>
          </w:p>
        </w:tc>
        <w:tc>
          <w:tcPr>
            <w:tcW w:w="155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1"/>
              <w:ind w:left="410" w:right="79" w:hanging="330"/>
              <w:jc w:val="left"/>
              <w:rPr>
                <w:rFonts w:ascii="宋体" w:hAnsi="宋体" w:cs="宋体" w:eastAsia="宋体" w:hint="default"/>
                <w:sz w:val="18"/>
                <w:szCs w:val="18"/>
              </w:rPr>
            </w:pPr>
            <w:r>
              <w:rPr>
                <w:rFonts w:ascii="宋体" w:hAnsi="宋体" w:cs="宋体" w:eastAsia="宋体" w:hint="default"/>
                <w:sz w:val="18"/>
                <w:szCs w:val="18"/>
              </w:rPr>
              <w:t>诉讼</w:t>
            </w:r>
            <w:r>
              <w:rPr>
                <w:rFonts w:ascii="Times New Roman" w:hAnsi="Times New Roman" w:cs="Times New Roman" w:eastAsia="Times New Roman" w:hint="default"/>
                <w:sz w:val="18"/>
                <w:szCs w:val="18"/>
              </w:rPr>
              <w:t>(</w:t>
            </w:r>
            <w:r>
              <w:rPr>
                <w:rFonts w:ascii="宋体" w:hAnsi="宋体" w:cs="宋体" w:eastAsia="宋体" w:hint="default"/>
                <w:sz w:val="18"/>
                <w:szCs w:val="18"/>
              </w:rPr>
              <w:t>仲裁</w:t>
            </w:r>
            <w:r>
              <w:rPr>
                <w:rFonts w:ascii="Times New Roman" w:hAnsi="Times New Roman" w:cs="Times New Roman" w:eastAsia="Times New Roman" w:hint="default"/>
                <w:sz w:val="18"/>
                <w:szCs w:val="18"/>
              </w:rPr>
              <w:t>)</w:t>
            </w:r>
            <w:r>
              <w:rPr>
                <w:rFonts w:ascii="宋体" w:hAnsi="宋体" w:cs="宋体" w:eastAsia="宋体" w:hint="default"/>
                <w:sz w:val="18"/>
                <w:szCs w:val="18"/>
              </w:rPr>
              <w:t>审理结 果及影响</w:t>
            </w:r>
          </w:p>
        </w:tc>
        <w:tc>
          <w:tcPr>
            <w:tcW w:w="120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51"/>
              <w:ind w:left="148" w:right="88" w:hanging="60"/>
              <w:jc w:val="left"/>
              <w:rPr>
                <w:rFonts w:ascii="宋体" w:hAnsi="宋体" w:cs="宋体" w:eastAsia="宋体" w:hint="default"/>
                <w:sz w:val="18"/>
                <w:szCs w:val="18"/>
              </w:rPr>
            </w:pPr>
            <w:r>
              <w:rPr>
                <w:rFonts w:ascii="宋体" w:hAnsi="宋体" w:cs="宋体" w:eastAsia="宋体" w:hint="default"/>
                <w:sz w:val="18"/>
                <w:szCs w:val="18"/>
              </w:rPr>
              <w:t>诉讼</w:t>
            </w:r>
            <w:r>
              <w:rPr>
                <w:rFonts w:ascii="Times New Roman" w:hAnsi="Times New Roman" w:cs="Times New Roman" w:eastAsia="Times New Roman" w:hint="default"/>
                <w:sz w:val="18"/>
                <w:szCs w:val="18"/>
              </w:rPr>
              <w:t>(</w:t>
            </w:r>
            <w:r>
              <w:rPr>
                <w:rFonts w:ascii="宋体" w:hAnsi="宋体" w:cs="宋体" w:eastAsia="宋体" w:hint="default"/>
                <w:sz w:val="18"/>
                <w:szCs w:val="18"/>
              </w:rPr>
              <w:t>仲裁</w:t>
            </w:r>
            <w:r>
              <w:rPr>
                <w:rFonts w:ascii="Times New Roman" w:hAnsi="Times New Roman" w:cs="Times New Roman" w:eastAsia="Times New Roman" w:hint="default"/>
                <w:sz w:val="18"/>
                <w:szCs w:val="18"/>
              </w:rPr>
              <w:t>)</w:t>
            </w:r>
            <w:r>
              <w:rPr>
                <w:rFonts w:ascii="宋体" w:hAnsi="宋体" w:cs="宋体" w:eastAsia="宋体" w:hint="default"/>
                <w:sz w:val="18"/>
                <w:szCs w:val="18"/>
              </w:rPr>
              <w:t>判 决执行情况</w:t>
            </w:r>
          </w:p>
        </w:tc>
      </w:tr>
      <w:tr>
        <w:trPr>
          <w:trHeight w:val="714" w:hRule="exact"/>
        </w:trPr>
        <w:tc>
          <w:tcPr>
            <w:tcW w:w="49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8"/>
              <w:jc w:val="left"/>
              <w:rPr>
                <w:rFonts w:ascii="宋体" w:hAnsi="宋体" w:cs="宋体" w:eastAsia="宋体" w:hint="default"/>
                <w:sz w:val="18"/>
                <w:szCs w:val="18"/>
              </w:rPr>
            </w:pPr>
            <w:r>
              <w:rPr>
                <w:rFonts w:ascii="宋体" w:hAnsi="宋体" w:cs="宋体" w:eastAsia="宋体" w:hint="default"/>
                <w:sz w:val="18"/>
                <w:szCs w:val="18"/>
              </w:rPr>
              <w:t>中国长城与武汉新泽世纪科技发展有限公司（及</w:t>
            </w:r>
            <w:r>
              <w:rPr>
                <w:rFonts w:ascii="宋体" w:hAnsi="宋体" w:cs="宋体" w:eastAsia="宋体" w:hint="default"/>
                <w:spacing w:val="-46"/>
                <w:sz w:val="18"/>
                <w:szCs w:val="18"/>
              </w:rPr>
              <w:t> </w:t>
            </w: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位</w:t>
            </w:r>
            <w:r>
              <w:rPr>
                <w:rFonts w:ascii="宋体" w:hAnsi="宋体" w:cs="宋体" w:eastAsia="宋体" w:hint="default"/>
                <w:spacing w:val="1"/>
                <w:sz w:val="18"/>
                <w:szCs w:val="18"/>
              </w:rPr>
              <w:t>自</w:t>
            </w:r>
            <w:r>
              <w:rPr>
                <w:rFonts w:ascii="宋体" w:hAnsi="宋体" w:cs="宋体" w:eastAsia="宋体" w:hint="default"/>
                <w:sz w:val="18"/>
                <w:szCs w:val="18"/>
              </w:rPr>
              <w:t>然人</w:t>
            </w:r>
            <w:r>
              <w:rPr>
                <w:rFonts w:ascii="宋体" w:hAnsi="宋体" w:cs="宋体" w:eastAsia="宋体" w:hint="default"/>
                <w:spacing w:val="-90"/>
                <w:sz w:val="18"/>
                <w:szCs w:val="18"/>
              </w:rPr>
              <w:t>）</w:t>
            </w:r>
            <w:r>
              <w:rPr>
                <w:rFonts w:ascii="宋体" w:hAnsi="宋体" w:cs="宋体" w:eastAsia="宋体" w:hint="default"/>
                <w:sz w:val="18"/>
                <w:szCs w:val="18"/>
              </w:rPr>
              <w:t>、</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贵阳兴一凡科技有限公司（及</w:t>
            </w:r>
            <w:r>
              <w:rPr>
                <w:rFonts w:ascii="宋体" w:hAnsi="宋体" w:cs="宋体" w:eastAsia="宋体" w:hint="default"/>
                <w:spacing w:val="-46"/>
                <w:sz w:val="18"/>
                <w:szCs w:val="18"/>
              </w:rPr>
              <w:t> </w:t>
            </w: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位自然人）买卖合同纠纷案</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160.46</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胜诉</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已结案</w:t>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已执行</w:t>
            </w:r>
          </w:p>
        </w:tc>
      </w:tr>
      <w:tr>
        <w:trPr>
          <w:trHeight w:val="402" w:hRule="exact"/>
        </w:trPr>
        <w:tc>
          <w:tcPr>
            <w:tcW w:w="49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中电软件园与长沙市云毅信息技术有限公司租赁合同纠纷案</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7.50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胜诉</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已结案</w:t>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已执行</w:t>
            </w:r>
          </w:p>
        </w:tc>
      </w:tr>
      <w:tr>
        <w:trPr>
          <w:trHeight w:val="1026" w:hRule="exact"/>
        </w:trPr>
        <w:tc>
          <w:tcPr>
            <w:tcW w:w="4975"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2" w:right="20"/>
              <w:jc w:val="both"/>
              <w:rPr>
                <w:rFonts w:ascii="宋体" w:hAnsi="宋体" w:cs="宋体" w:eastAsia="宋体" w:hint="default"/>
                <w:sz w:val="18"/>
                <w:szCs w:val="18"/>
              </w:rPr>
            </w:pPr>
            <w:r>
              <w:rPr>
                <w:rFonts w:ascii="Times New Roman" w:hAnsi="Times New Roman" w:cs="Times New Roman" w:eastAsia="Times New Roman" w:hint="default"/>
                <w:sz w:val="18"/>
                <w:szCs w:val="18"/>
              </w:rPr>
              <w:t>Arcelik.A.S.</w:t>
            </w:r>
            <w:r>
              <w:rPr>
                <w:rFonts w:ascii="宋体" w:hAnsi="宋体" w:cs="宋体" w:eastAsia="宋体" w:hint="default"/>
                <w:sz w:val="18"/>
                <w:szCs w:val="18"/>
              </w:rPr>
              <w:t>与中国长城、中国电子科技集团公司第四十八研究</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所与长城能源、上海怡科信息科技有限公司与湘计海盾买卖合</w:t>
            </w:r>
            <w:r>
              <w:rPr>
                <w:rFonts w:ascii="宋体" w:hAnsi="宋体" w:cs="宋体" w:eastAsia="宋体" w:hint="default"/>
                <w:spacing w:val="-41"/>
                <w:sz w:val="18"/>
                <w:szCs w:val="18"/>
              </w:rPr>
              <w:t> </w:t>
            </w:r>
            <w:r>
              <w:rPr>
                <w:rFonts w:ascii="宋体" w:hAnsi="宋体" w:cs="宋体" w:eastAsia="宋体" w:hint="default"/>
                <w:spacing w:val="-41"/>
                <w:sz w:val="18"/>
                <w:szCs w:val="18"/>
              </w:rPr>
            </w:r>
            <w:r>
              <w:rPr>
                <w:rFonts w:ascii="宋体" w:hAnsi="宋体" w:cs="宋体" w:eastAsia="宋体" w:hint="default"/>
                <w:sz w:val="18"/>
                <w:szCs w:val="18"/>
              </w:rPr>
              <w:t>同纠纷案</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3,538.58</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和解结案</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2" w:right="12"/>
              <w:jc w:val="left"/>
              <w:rPr>
                <w:rFonts w:ascii="宋体" w:hAnsi="宋体" w:cs="宋体" w:eastAsia="宋体" w:hint="default"/>
                <w:sz w:val="18"/>
                <w:szCs w:val="18"/>
              </w:rPr>
            </w:pPr>
            <w:r>
              <w:rPr>
                <w:rFonts w:ascii="宋体" w:hAnsi="宋体" w:cs="宋体" w:eastAsia="宋体" w:hint="default"/>
                <w:spacing w:val="7"/>
                <w:sz w:val="18"/>
                <w:szCs w:val="18"/>
              </w:rPr>
              <w:t>对公司影响较小，</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公司执行部分偿付</w:t>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已执行</w:t>
            </w:r>
          </w:p>
        </w:tc>
      </w:tr>
    </w:tbl>
    <w:p>
      <w:pPr>
        <w:spacing w:after="0" w:line="240" w:lineRule="auto"/>
        <w:jc w:val="center"/>
        <w:rPr>
          <w:rFonts w:ascii="宋体" w:hAnsi="宋体" w:cs="宋体" w:eastAsia="宋体" w:hint="default"/>
          <w:sz w:val="18"/>
          <w:szCs w:val="18"/>
        </w:rPr>
        <w:sectPr>
          <w:pgSz w:w="11910" w:h="16840"/>
          <w:pgMar w:header="787" w:footer="982" w:top="1100" w:bottom="1180" w:left="660" w:right="0"/>
        </w:sectPr>
      </w:pPr>
    </w:p>
    <w:p>
      <w:pPr>
        <w:spacing w:line="240" w:lineRule="auto" w:before="5"/>
        <w:rPr>
          <w:rFonts w:ascii="宋体" w:hAnsi="宋体" w:cs="宋体" w:eastAsia="宋体" w:hint="default"/>
          <w:sz w:val="25"/>
          <w:szCs w:val="25"/>
        </w:rPr>
      </w:pPr>
    </w:p>
    <w:tbl>
      <w:tblPr>
        <w:tblW w:w="0" w:type="auto"/>
        <w:jc w:val="left"/>
        <w:tblInd w:w="101" w:type="dxa"/>
        <w:tblLayout w:type="fixed"/>
        <w:tblCellMar>
          <w:top w:w="0" w:type="dxa"/>
          <w:left w:w="0" w:type="dxa"/>
          <w:bottom w:w="0" w:type="dxa"/>
          <w:right w:w="0" w:type="dxa"/>
        </w:tblCellMar>
        <w:tblLook w:val="01E0"/>
      </w:tblPr>
      <w:tblGrid>
        <w:gridCol w:w="4975"/>
        <w:gridCol w:w="794"/>
        <w:gridCol w:w="851"/>
        <w:gridCol w:w="992"/>
        <w:gridCol w:w="1552"/>
        <w:gridCol w:w="1208"/>
      </w:tblGrid>
      <w:tr>
        <w:trPr>
          <w:trHeight w:val="714" w:hRule="exact"/>
        </w:trPr>
        <w:tc>
          <w:tcPr>
            <w:tcW w:w="497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20"/>
              <w:jc w:val="left"/>
              <w:rPr>
                <w:rFonts w:ascii="宋体" w:hAnsi="宋体" w:cs="宋体" w:eastAsia="宋体" w:hint="default"/>
                <w:sz w:val="18"/>
                <w:szCs w:val="18"/>
              </w:rPr>
            </w:pPr>
            <w:r>
              <w:rPr>
                <w:rFonts w:ascii="宋体" w:hAnsi="宋体" w:cs="宋体" w:eastAsia="宋体" w:hint="default"/>
                <w:sz w:val="18"/>
                <w:szCs w:val="18"/>
              </w:rPr>
              <w:t>中国长城与深圳市广鑫融进出口贸易有限公司、中原电子与广</w:t>
            </w:r>
            <w:r>
              <w:rPr>
                <w:rFonts w:ascii="宋体" w:hAnsi="宋体" w:cs="宋体" w:eastAsia="宋体" w:hint="default"/>
                <w:spacing w:val="-41"/>
                <w:sz w:val="18"/>
                <w:szCs w:val="18"/>
              </w:rPr>
              <w:t> </w:t>
            </w:r>
            <w:r>
              <w:rPr>
                <w:rFonts w:ascii="宋体" w:hAnsi="宋体" w:cs="宋体" w:eastAsia="宋体" w:hint="default"/>
                <w:spacing w:val="-41"/>
                <w:sz w:val="18"/>
                <w:szCs w:val="18"/>
              </w:rPr>
            </w:r>
            <w:r>
              <w:rPr>
                <w:rFonts w:ascii="宋体" w:hAnsi="宋体" w:cs="宋体" w:eastAsia="宋体" w:hint="default"/>
                <w:sz w:val="18"/>
                <w:szCs w:val="18"/>
              </w:rPr>
              <w:t>东中钰科技股份有限公司买卖合同纠纷案</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728.20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胜诉</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2"/>
              <w:jc w:val="left"/>
              <w:rPr>
                <w:rFonts w:ascii="宋体" w:hAnsi="宋体" w:cs="宋体" w:eastAsia="宋体" w:hint="default"/>
                <w:sz w:val="18"/>
                <w:szCs w:val="18"/>
              </w:rPr>
            </w:pPr>
            <w:r>
              <w:rPr>
                <w:rFonts w:ascii="宋体" w:hAnsi="宋体" w:cs="宋体" w:eastAsia="宋体" w:hint="default"/>
                <w:spacing w:val="7"/>
                <w:sz w:val="18"/>
                <w:szCs w:val="18"/>
              </w:rPr>
              <w:t>如执行到位可获一</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定偿付</w:t>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正在执行中</w:t>
            </w:r>
          </w:p>
        </w:tc>
      </w:tr>
      <w:tr>
        <w:trPr>
          <w:trHeight w:val="714" w:hRule="exact"/>
        </w:trPr>
        <w:tc>
          <w:tcPr>
            <w:tcW w:w="49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中电软件园与湖南微课创景教育科技有限公司租赁合同纠纷案</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6.06</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胜诉</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2"/>
              <w:jc w:val="left"/>
              <w:rPr>
                <w:rFonts w:ascii="宋体" w:hAnsi="宋体" w:cs="宋体" w:eastAsia="宋体" w:hint="default"/>
                <w:sz w:val="18"/>
                <w:szCs w:val="18"/>
              </w:rPr>
            </w:pPr>
            <w:r>
              <w:rPr>
                <w:rFonts w:ascii="宋体" w:hAnsi="宋体" w:cs="宋体" w:eastAsia="宋体" w:hint="default"/>
                <w:spacing w:val="7"/>
                <w:sz w:val="18"/>
                <w:szCs w:val="18"/>
              </w:rPr>
              <w:t>如执行到位可获一</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定偿付</w:t>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正在执行中</w:t>
            </w:r>
          </w:p>
        </w:tc>
      </w:tr>
      <w:tr>
        <w:trPr>
          <w:trHeight w:val="714" w:hRule="exact"/>
        </w:trPr>
        <w:tc>
          <w:tcPr>
            <w:tcW w:w="49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中国长城诉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位自然人股东滥用权力赔偿纠纷案</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519.69</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胜诉</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2"/>
              <w:jc w:val="left"/>
              <w:rPr>
                <w:rFonts w:ascii="宋体" w:hAnsi="宋体" w:cs="宋体" w:eastAsia="宋体" w:hint="default"/>
                <w:sz w:val="18"/>
                <w:szCs w:val="18"/>
              </w:rPr>
            </w:pPr>
            <w:r>
              <w:rPr>
                <w:rFonts w:ascii="宋体" w:hAnsi="宋体" w:cs="宋体" w:eastAsia="宋体" w:hint="default"/>
                <w:spacing w:val="7"/>
                <w:sz w:val="18"/>
                <w:szCs w:val="18"/>
              </w:rPr>
              <w:t>如执行到位可获一</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定偿付</w:t>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正在执行中</w:t>
            </w:r>
          </w:p>
        </w:tc>
      </w:tr>
      <w:tr>
        <w:trPr>
          <w:trHeight w:val="714" w:hRule="exact"/>
        </w:trPr>
        <w:tc>
          <w:tcPr>
            <w:tcW w:w="49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中国长城诉榆树市第一小学债权追偿纠纷案</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62.93</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胜诉</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2"/>
              <w:jc w:val="left"/>
              <w:rPr>
                <w:rFonts w:ascii="宋体" w:hAnsi="宋体" w:cs="宋体" w:eastAsia="宋体" w:hint="default"/>
                <w:sz w:val="18"/>
                <w:szCs w:val="18"/>
              </w:rPr>
            </w:pPr>
            <w:r>
              <w:rPr>
                <w:rFonts w:ascii="宋体" w:hAnsi="宋体" w:cs="宋体" w:eastAsia="宋体" w:hint="default"/>
                <w:spacing w:val="7"/>
                <w:sz w:val="18"/>
                <w:szCs w:val="18"/>
              </w:rPr>
              <w:t>如执行到位可获一</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定偿付</w:t>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正在执行中</w:t>
            </w:r>
          </w:p>
        </w:tc>
      </w:tr>
      <w:tr>
        <w:trPr>
          <w:trHeight w:val="402" w:hRule="exact"/>
        </w:trPr>
        <w:tc>
          <w:tcPr>
            <w:tcW w:w="49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中电软件园与长沙创芯谷电子科技有限公司租赁合同纠纷案</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156.90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审理中</w:t>
            </w:r>
          </w:p>
        </w:tc>
        <w:tc>
          <w:tcPr>
            <w:tcW w:w="1552" w:type="dxa"/>
            <w:tcBorders>
              <w:top w:val="single" w:sz="4" w:space="0" w:color="000000"/>
              <w:left w:val="single" w:sz="4" w:space="0" w:color="000000"/>
              <w:bottom w:val="single" w:sz="4" w:space="0" w:color="000000"/>
              <w:right w:val="single" w:sz="4" w:space="0" w:color="000000"/>
            </w:tcBorders>
          </w:tcPr>
          <w:p>
            <w:pP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未结案</w:t>
            </w:r>
          </w:p>
        </w:tc>
      </w:tr>
    </w:tbl>
    <w:p>
      <w:pPr>
        <w:spacing w:line="240" w:lineRule="auto" w:before="10"/>
        <w:rPr>
          <w:rFonts w:ascii="宋体" w:hAnsi="宋体" w:cs="宋体" w:eastAsia="宋体" w:hint="default"/>
          <w:sz w:val="8"/>
          <w:szCs w:val="8"/>
        </w:rPr>
      </w:pPr>
    </w:p>
    <w:p>
      <w:pPr>
        <w:pStyle w:val="Heading4"/>
        <w:spacing w:line="240" w:lineRule="auto" w:before="26"/>
        <w:ind w:left="474" w:right="6251"/>
        <w:jc w:val="left"/>
        <w:rPr>
          <w:b w:val="0"/>
          <w:bCs w:val="0"/>
        </w:rPr>
      </w:pPr>
      <w:r>
        <w:rPr/>
        <w:t>十三、处罚及整改情况</w:t>
      </w:r>
      <w:r>
        <w:rPr>
          <w:b w:val="0"/>
          <w:bCs w:val="0"/>
        </w:rPr>
      </w:r>
    </w:p>
    <w:p>
      <w:pPr>
        <w:spacing w:line="240" w:lineRule="auto" w:before="6"/>
        <w:rPr>
          <w:rFonts w:ascii="宋体" w:hAnsi="宋体" w:cs="宋体" w:eastAsia="宋体" w:hint="default"/>
          <w:b/>
          <w:bCs/>
          <w:sz w:val="17"/>
          <w:szCs w:val="17"/>
        </w:rPr>
      </w:pPr>
    </w:p>
    <w:p>
      <w:pPr>
        <w:spacing w:line="360" w:lineRule="auto" w:before="0"/>
        <w:ind w:left="833" w:right="7511" w:hanging="360"/>
        <w:jc w:val="left"/>
        <w:rPr>
          <w:rFonts w:ascii="宋体" w:hAnsi="宋体" w:cs="宋体" w:eastAsia="宋体" w:hint="default"/>
          <w:sz w:val="18"/>
          <w:szCs w:val="18"/>
        </w:rPr>
      </w:pPr>
      <w:r>
        <w:rPr>
          <w:rFonts w:ascii="宋体" w:hAnsi="宋体" w:cs="宋体" w:eastAsia="宋体" w:hint="default"/>
          <w:sz w:val="18"/>
          <w:szCs w:val="18"/>
        </w:rPr>
        <w:t>□ 适用 √ 不适用 公司报告期不存在处罚及整改情况。</w:t>
      </w:r>
    </w:p>
    <w:p>
      <w:pPr>
        <w:pStyle w:val="Heading4"/>
        <w:spacing w:line="240" w:lineRule="auto" w:before="115"/>
        <w:ind w:left="474" w:right="5"/>
        <w:jc w:val="left"/>
        <w:rPr>
          <w:b w:val="0"/>
          <w:bCs w:val="0"/>
        </w:rPr>
      </w:pPr>
      <w:r>
        <w:rPr/>
        <w:t>十四、公司及其控股股东、实际控制人的诚信状况</w:t>
      </w:r>
      <w:r>
        <w:rPr>
          <w:b w:val="0"/>
          <w:bCs w:val="0"/>
        </w:rPr>
      </w:r>
    </w:p>
    <w:p>
      <w:pPr>
        <w:spacing w:line="240" w:lineRule="auto" w:before="6"/>
        <w:rPr>
          <w:rFonts w:ascii="宋体" w:hAnsi="宋体" w:cs="宋体" w:eastAsia="宋体" w:hint="default"/>
          <w:b/>
          <w:bCs/>
          <w:sz w:val="17"/>
          <w:szCs w:val="17"/>
        </w:rPr>
      </w:pPr>
    </w:p>
    <w:p>
      <w:pPr>
        <w:spacing w:line="357" w:lineRule="auto" w:before="0"/>
        <w:ind w:left="833" w:right="1211" w:hanging="360"/>
        <w:jc w:val="left"/>
        <w:rPr>
          <w:rFonts w:ascii="宋体" w:hAnsi="宋体" w:cs="宋体" w:eastAsia="宋体" w:hint="default"/>
          <w:sz w:val="18"/>
          <w:szCs w:val="18"/>
        </w:rPr>
      </w:pPr>
      <w:r>
        <w:rPr>
          <w:rFonts w:ascii="宋体" w:hAnsi="宋体" w:cs="宋体" w:eastAsia="宋体" w:hint="default"/>
          <w:sz w:val="18"/>
          <w:szCs w:val="18"/>
        </w:rPr>
        <w:t>√ 适用 □ 不适用 报告期内，公司及其控股股东、实际控制人不存在未履行的法院生效判决、所负数额较大的债务到期未清偿等情况。</w:t>
      </w:r>
    </w:p>
    <w:p>
      <w:pPr>
        <w:pStyle w:val="Heading4"/>
        <w:spacing w:line="240" w:lineRule="auto" w:before="117"/>
        <w:ind w:left="474" w:right="5"/>
        <w:jc w:val="left"/>
        <w:rPr>
          <w:b w:val="0"/>
          <w:bCs w:val="0"/>
        </w:rPr>
      </w:pPr>
      <w:r>
        <w:rPr/>
        <w:t>十五、公司股权激励计划、员工持股计划或其他员工激励措施的实施情况</w:t>
      </w:r>
      <w:r>
        <w:rPr>
          <w:b w:val="0"/>
          <w:bCs w:val="0"/>
        </w:rPr>
      </w:r>
    </w:p>
    <w:p>
      <w:pPr>
        <w:spacing w:line="240" w:lineRule="auto" w:before="6"/>
        <w:rPr>
          <w:rFonts w:ascii="宋体" w:hAnsi="宋体" w:cs="宋体" w:eastAsia="宋体" w:hint="default"/>
          <w:b/>
          <w:bCs/>
          <w:sz w:val="17"/>
          <w:szCs w:val="17"/>
        </w:rPr>
      </w:pPr>
    </w:p>
    <w:p>
      <w:pPr>
        <w:spacing w:line="357" w:lineRule="auto" w:before="0"/>
        <w:ind w:left="833" w:right="5" w:hanging="360"/>
        <w:jc w:val="left"/>
        <w:rPr>
          <w:rFonts w:ascii="宋体" w:hAnsi="宋体" w:cs="宋体" w:eastAsia="宋体" w:hint="default"/>
          <w:sz w:val="18"/>
          <w:szCs w:val="18"/>
        </w:rPr>
      </w:pPr>
      <w:r>
        <w:rPr>
          <w:rFonts w:ascii="宋体" w:hAnsi="宋体" w:cs="宋体" w:eastAsia="宋体" w:hint="default"/>
          <w:sz w:val="18"/>
          <w:szCs w:val="18"/>
        </w:rPr>
        <w:t>√ 适用 □ 不适用 </w:t>
      </w:r>
      <w:r>
        <w:rPr>
          <w:rFonts w:ascii="宋体" w:hAnsi="宋体" w:cs="宋体" w:eastAsia="宋体" w:hint="default"/>
          <w:spacing w:val="-2"/>
          <w:sz w:val="18"/>
          <w:szCs w:val="18"/>
        </w:rPr>
        <w:t>为进一步完善中国长城的法人治理结构，促进公司建立、健全激励约束机制，充分调动公司及控股子公司的董事、高级</w:t>
      </w:r>
    </w:p>
    <w:p>
      <w:pPr>
        <w:spacing w:line="224" w:lineRule="exact" w:before="0"/>
        <w:ind w:left="473" w:right="5" w:firstLine="0"/>
        <w:jc w:val="left"/>
        <w:rPr>
          <w:rFonts w:ascii="宋体" w:hAnsi="宋体" w:cs="宋体" w:eastAsia="宋体" w:hint="default"/>
          <w:sz w:val="18"/>
          <w:szCs w:val="18"/>
        </w:rPr>
      </w:pPr>
      <w:r>
        <w:rPr>
          <w:rFonts w:ascii="宋体" w:hAnsi="宋体" w:cs="宋体" w:eastAsia="宋体" w:hint="default"/>
          <w:sz w:val="18"/>
          <w:szCs w:val="18"/>
        </w:rPr>
        <w:t>管理人员、其他高层管理人员、中层管理人员、核心骨干人员的积极性、责任感和使命感，有效地将股东利益、公司利益和</w:t>
      </w:r>
    </w:p>
    <w:p>
      <w:pPr>
        <w:spacing w:line="316" w:lineRule="auto" w:before="76"/>
        <w:ind w:left="473" w:right="5" w:firstLine="0"/>
        <w:jc w:val="left"/>
        <w:rPr>
          <w:rFonts w:ascii="宋体" w:hAnsi="宋体" w:cs="宋体" w:eastAsia="宋体" w:hint="default"/>
          <w:sz w:val="18"/>
          <w:szCs w:val="18"/>
        </w:rPr>
      </w:pPr>
      <w:r>
        <w:rPr>
          <w:rFonts w:ascii="宋体" w:hAnsi="宋体" w:cs="宋体" w:eastAsia="宋体" w:hint="default"/>
          <w:spacing w:val="-2"/>
          <w:sz w:val="18"/>
          <w:szCs w:val="18"/>
        </w:rPr>
        <w:t>经营者个人利益结合在一起，共同关注公司的长远发展，并为之共同努力奋斗，根据相关法律法规，结合公司执行的薪酬体</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系和绩效考核体系等管理制度，制订股票期权激励计划。</w:t>
      </w:r>
    </w:p>
    <w:p>
      <w:pPr>
        <w:spacing w:before="39"/>
        <w:ind w:left="833" w:right="625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、公司股票期权激励计划简述</w:t>
      </w:r>
    </w:p>
    <w:p>
      <w:pPr>
        <w:spacing w:line="300" w:lineRule="auto" w:before="83"/>
        <w:ind w:left="473" w:right="1114" w:firstLine="36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pacing w:val="-6"/>
          <w:sz w:val="18"/>
          <w:szCs w:val="18"/>
        </w:rPr>
        <w:t>）</w:t>
      </w:r>
      <w:r>
        <w:rPr>
          <w:rFonts w:ascii="宋体" w:hAnsi="宋体" w:cs="宋体" w:eastAsia="宋体" w:hint="default"/>
          <w:sz w:val="18"/>
          <w:szCs w:val="18"/>
        </w:rPr>
        <w:t>激励工具为股票期权</w:t>
      </w:r>
      <w:r>
        <w:rPr>
          <w:rFonts w:ascii="宋体" w:hAnsi="宋体" w:cs="宋体" w:eastAsia="宋体" w:hint="default"/>
          <w:spacing w:val="-96"/>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pacing w:val="-6"/>
          <w:sz w:val="18"/>
          <w:szCs w:val="18"/>
        </w:rPr>
        <w:t>）</w:t>
      </w:r>
      <w:r>
        <w:rPr>
          <w:rFonts w:ascii="宋体" w:hAnsi="宋体" w:cs="宋体" w:eastAsia="宋体" w:hint="default"/>
          <w:sz w:val="18"/>
          <w:szCs w:val="18"/>
        </w:rPr>
        <w:t>标的股票来源为公司向激励对象定向发行公司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A</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w:t>
      </w:r>
      <w:r>
        <w:rPr>
          <w:rFonts w:ascii="宋体" w:hAnsi="宋体" w:cs="宋体" w:eastAsia="宋体" w:hint="default"/>
          <w:spacing w:val="1"/>
          <w:sz w:val="18"/>
          <w:szCs w:val="18"/>
        </w:rPr>
        <w:t>普</w:t>
      </w:r>
      <w:r>
        <w:rPr>
          <w:rFonts w:ascii="宋体" w:hAnsi="宋体" w:cs="宋体" w:eastAsia="宋体" w:hint="default"/>
          <w:sz w:val="18"/>
          <w:szCs w:val="18"/>
        </w:rPr>
        <w:t>通股</w:t>
      </w:r>
      <w:r>
        <w:rPr>
          <w:rFonts w:ascii="宋体" w:hAnsi="宋体" w:cs="宋体" w:eastAsia="宋体" w:hint="default"/>
          <w:spacing w:val="-96"/>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pacing w:val="-6"/>
          <w:sz w:val="18"/>
          <w:szCs w:val="18"/>
        </w:rPr>
        <w:t>）</w:t>
      </w:r>
      <w:r>
        <w:rPr>
          <w:rFonts w:ascii="宋体" w:hAnsi="宋体" w:cs="宋体" w:eastAsia="宋体" w:hint="default"/>
          <w:sz w:val="18"/>
          <w:szCs w:val="18"/>
        </w:rPr>
        <w:t>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594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名激励对象授 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4410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万份</w:t>
      </w:r>
      <w:r>
        <w:rPr>
          <w:rFonts w:ascii="宋体" w:hAnsi="宋体" w:cs="宋体" w:eastAsia="宋体" w:hint="default"/>
          <w:spacing w:val="1"/>
          <w:sz w:val="18"/>
          <w:szCs w:val="18"/>
        </w:rPr>
        <w:t>股</w:t>
      </w:r>
      <w:r>
        <w:rPr>
          <w:rFonts w:ascii="宋体" w:hAnsi="宋体" w:cs="宋体" w:eastAsia="宋体" w:hint="default"/>
          <w:sz w:val="18"/>
          <w:szCs w:val="18"/>
        </w:rPr>
        <w:t>票期权</w:t>
      </w:r>
      <w:r>
        <w:rPr>
          <w:rFonts w:ascii="宋体" w:hAnsi="宋体" w:cs="宋体" w:eastAsia="宋体" w:hint="default"/>
          <w:spacing w:val="-11"/>
          <w:sz w:val="18"/>
          <w:szCs w:val="18"/>
        </w:rPr>
        <w:t>，</w:t>
      </w:r>
      <w:r>
        <w:rPr>
          <w:rFonts w:ascii="宋体" w:hAnsi="宋体" w:cs="宋体" w:eastAsia="宋体" w:hint="default"/>
          <w:sz w:val="18"/>
          <w:szCs w:val="18"/>
        </w:rPr>
        <w:t>约占计划公告时公司总股本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294,406.95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万股的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w:t>
      </w:r>
      <w:r>
        <w:rPr>
          <w:rFonts w:ascii="宋体" w:hAnsi="宋体" w:cs="宋体" w:eastAsia="宋体" w:hint="default"/>
          <w:spacing w:val="-101"/>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pacing w:val="-11"/>
          <w:sz w:val="18"/>
          <w:szCs w:val="18"/>
        </w:rPr>
        <w:t>）</w:t>
      </w:r>
      <w:r>
        <w:rPr>
          <w:rFonts w:ascii="宋体" w:hAnsi="宋体" w:cs="宋体" w:eastAsia="宋体" w:hint="default"/>
          <w:sz w:val="18"/>
          <w:szCs w:val="18"/>
        </w:rPr>
        <w:t>授</w:t>
      </w:r>
      <w:r>
        <w:rPr>
          <w:rFonts w:ascii="宋体" w:hAnsi="宋体" w:cs="宋体" w:eastAsia="宋体" w:hint="default"/>
          <w:spacing w:val="1"/>
          <w:sz w:val="18"/>
          <w:szCs w:val="18"/>
        </w:rPr>
        <w:t>予</w:t>
      </w:r>
      <w:r>
        <w:rPr>
          <w:rFonts w:ascii="宋体" w:hAnsi="宋体" w:cs="宋体" w:eastAsia="宋体" w:hint="default"/>
          <w:sz w:val="18"/>
          <w:szCs w:val="18"/>
        </w:rPr>
        <w:t>日为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宋体" w:hAnsi="宋体" w:cs="宋体" w:eastAsia="宋体" w:hint="default"/>
          <w:spacing w:val="-101"/>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sz w:val="18"/>
          <w:szCs w:val="18"/>
        </w:rPr>
        <w:t>5</w:t>
      </w:r>
      <w:r>
        <w:rPr>
          <w:rFonts w:ascii="宋体" w:hAnsi="宋体" w:cs="宋体" w:eastAsia="宋体" w:hint="default"/>
          <w:spacing w:val="-10"/>
          <w:sz w:val="18"/>
          <w:szCs w:val="18"/>
        </w:rPr>
        <w:t>）</w:t>
      </w:r>
      <w:r>
        <w:rPr>
          <w:rFonts w:ascii="宋体" w:hAnsi="宋体" w:cs="宋体" w:eastAsia="宋体" w:hint="default"/>
          <w:sz w:val="18"/>
          <w:szCs w:val="18"/>
        </w:rPr>
        <w:t>行权价</w:t>
      </w:r>
    </w:p>
    <w:p>
      <w:pPr>
        <w:spacing w:before="13"/>
        <w:ind w:left="473" w:right="5" w:firstLine="0"/>
        <w:jc w:val="left"/>
        <w:rPr>
          <w:rFonts w:ascii="宋体" w:hAnsi="宋体" w:cs="宋体" w:eastAsia="宋体" w:hint="default"/>
          <w:sz w:val="18"/>
          <w:szCs w:val="18"/>
        </w:rPr>
      </w:pPr>
      <w:r>
        <w:rPr>
          <w:rFonts w:ascii="宋体" w:hAnsi="宋体" w:cs="宋体" w:eastAsia="宋体" w:hint="default"/>
          <w:sz w:val="18"/>
          <w:szCs w:val="18"/>
        </w:rPr>
        <w:t>格</w:t>
      </w:r>
      <w:r>
        <w:rPr>
          <w:rFonts w:ascii="宋体" w:hAnsi="宋体" w:cs="宋体" w:eastAsia="宋体" w:hint="default"/>
          <w:spacing w:val="-8"/>
          <w:sz w:val="18"/>
          <w:szCs w:val="18"/>
        </w:rPr>
        <w:t>：</w:t>
      </w:r>
      <w:r>
        <w:rPr>
          <w:rFonts w:ascii="Times New Roman" w:hAnsi="Times New Roman" w:cs="Times New Roman" w:eastAsia="Times New Roman" w:hint="default"/>
          <w:sz w:val="18"/>
          <w:szCs w:val="18"/>
        </w:rPr>
        <w:t>8.27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份</w:t>
      </w:r>
      <w:r>
        <w:rPr>
          <w:rFonts w:ascii="宋体" w:hAnsi="宋体" w:cs="宋体" w:eastAsia="宋体" w:hint="default"/>
          <w:spacing w:val="-98"/>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6</w:t>
      </w:r>
      <w:r>
        <w:rPr>
          <w:rFonts w:ascii="宋体" w:hAnsi="宋体" w:cs="宋体" w:eastAsia="宋体" w:hint="default"/>
          <w:spacing w:val="-8"/>
          <w:sz w:val="18"/>
          <w:szCs w:val="18"/>
        </w:rPr>
        <w:t>）</w:t>
      </w:r>
      <w:r>
        <w:rPr>
          <w:rFonts w:ascii="宋体" w:hAnsi="宋体" w:cs="宋体" w:eastAsia="宋体" w:hint="default"/>
          <w:sz w:val="18"/>
          <w:szCs w:val="18"/>
        </w:rPr>
        <w:t>本计划的有效期为自股票期权授予之日起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8"/>
          <w:sz w:val="18"/>
          <w:szCs w:val="18"/>
        </w:rPr>
        <w:t>，</w:t>
      </w:r>
      <w:r>
        <w:rPr>
          <w:rFonts w:ascii="宋体" w:hAnsi="宋体" w:cs="宋体" w:eastAsia="宋体" w:hint="default"/>
          <w:spacing w:val="1"/>
          <w:sz w:val="18"/>
          <w:szCs w:val="18"/>
        </w:rPr>
        <w:t>等</w:t>
      </w:r>
      <w:r>
        <w:rPr>
          <w:rFonts w:ascii="宋体" w:hAnsi="宋体" w:cs="宋体" w:eastAsia="宋体" w:hint="default"/>
          <w:sz w:val="18"/>
          <w:szCs w:val="18"/>
        </w:rPr>
        <w:t>待期为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w:t>
      </w:r>
      <w:r>
        <w:rPr>
          <w:rFonts w:ascii="宋体" w:hAnsi="宋体" w:cs="宋体" w:eastAsia="宋体" w:hint="default"/>
          <w:spacing w:val="1"/>
          <w:sz w:val="18"/>
          <w:szCs w:val="18"/>
        </w:rPr>
        <w:t>月</w:t>
      </w:r>
      <w:r>
        <w:rPr>
          <w:rFonts w:ascii="宋体" w:hAnsi="宋体" w:cs="宋体" w:eastAsia="宋体" w:hint="default"/>
          <w:spacing w:val="-8"/>
          <w:sz w:val="18"/>
          <w:szCs w:val="18"/>
        </w:rPr>
        <w:t>。</w:t>
      </w:r>
      <w:r>
        <w:rPr>
          <w:rFonts w:ascii="宋体" w:hAnsi="宋体" w:cs="宋体" w:eastAsia="宋体" w:hint="default"/>
          <w:sz w:val="18"/>
          <w:szCs w:val="18"/>
        </w:rPr>
        <w:t>在可行权日内</w:t>
      </w:r>
      <w:r>
        <w:rPr>
          <w:rFonts w:ascii="宋体" w:hAnsi="宋体" w:cs="宋体" w:eastAsia="宋体" w:hint="default"/>
          <w:spacing w:val="-8"/>
          <w:sz w:val="18"/>
          <w:szCs w:val="18"/>
        </w:rPr>
        <w:t>，</w:t>
      </w:r>
      <w:r>
        <w:rPr>
          <w:rFonts w:ascii="宋体" w:hAnsi="宋体" w:cs="宋体" w:eastAsia="宋体" w:hint="default"/>
          <w:sz w:val="18"/>
          <w:szCs w:val="18"/>
        </w:rPr>
        <w:t>若达到本计划规定</w:t>
      </w:r>
    </w:p>
    <w:p>
      <w:pPr>
        <w:spacing w:before="63"/>
        <w:ind w:left="474" w:right="5" w:firstLine="0"/>
        <w:jc w:val="left"/>
        <w:rPr>
          <w:rFonts w:ascii="宋体" w:hAnsi="宋体" w:cs="宋体" w:eastAsia="宋体" w:hint="default"/>
          <w:sz w:val="18"/>
          <w:szCs w:val="18"/>
        </w:rPr>
      </w:pPr>
      <w:r>
        <w:rPr>
          <w:rFonts w:ascii="宋体" w:hAnsi="宋体" w:cs="宋体" w:eastAsia="宋体" w:hint="default"/>
          <w:sz w:val="18"/>
          <w:szCs w:val="18"/>
        </w:rPr>
        <w:t>的行权条件，授予的股票期权自授予日起满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个月后，激励对象应在未来</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个月内分三期行权。</w:t>
      </w:r>
    </w:p>
    <w:p>
      <w:pPr>
        <w:spacing w:before="82"/>
        <w:ind w:left="834" w:right="625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、公司股票期权激励计划已履行的相关程序</w:t>
      </w:r>
    </w:p>
    <w:p>
      <w:pPr>
        <w:spacing w:before="83"/>
        <w:ind w:left="834" w:right="5"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经</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日公司第六届董事会第十八次会议、</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日公司第六届董事会第十九次会议、</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w:t>
      </w:r>
    </w:p>
    <w:p>
      <w:pPr>
        <w:spacing w:before="63"/>
        <w:ind w:left="474" w:right="5" w:firstLine="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年度第二次临时股东大会审议，同意公司实施股票期权激励计划。</w:t>
      </w:r>
    </w:p>
    <w:p>
      <w:pPr>
        <w:spacing w:line="300" w:lineRule="auto" w:before="83"/>
        <w:ind w:left="474" w:right="1115"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pacing w:val="1"/>
          <w:sz w:val="18"/>
          <w:szCs w:val="18"/>
        </w:rPr>
        <w:t>月</w:t>
      </w:r>
      <w:r>
        <w:rPr>
          <w:rFonts w:ascii="宋体" w:hAnsi="宋体" w:cs="宋体" w:eastAsia="宋体" w:hint="default"/>
          <w:spacing w:val="-22"/>
          <w:sz w:val="18"/>
          <w:szCs w:val="18"/>
        </w:rPr>
        <w:t>，</w:t>
      </w:r>
      <w:r>
        <w:rPr>
          <w:rFonts w:ascii="宋体" w:hAnsi="宋体" w:cs="宋体" w:eastAsia="宋体" w:hint="default"/>
          <w:sz w:val="18"/>
          <w:szCs w:val="18"/>
        </w:rPr>
        <w:t>国资委出</w:t>
      </w:r>
      <w:r>
        <w:rPr>
          <w:rFonts w:ascii="宋体" w:hAnsi="宋体" w:cs="宋体" w:eastAsia="宋体" w:hint="default"/>
          <w:spacing w:val="-23"/>
          <w:sz w:val="18"/>
          <w:szCs w:val="18"/>
        </w:rPr>
        <w:t>具</w:t>
      </w:r>
      <w:r>
        <w:rPr>
          <w:rFonts w:ascii="宋体" w:hAnsi="宋体" w:cs="宋体" w:eastAsia="宋体" w:hint="default"/>
          <w:sz w:val="18"/>
          <w:szCs w:val="18"/>
        </w:rPr>
        <w:t>《关于中国长城科技集团股份有限公司实施股票期权激励计划的批复</w:t>
      </w:r>
      <w:r>
        <w:rPr>
          <w:rFonts w:ascii="宋体" w:hAnsi="宋体" w:cs="宋体" w:eastAsia="宋体" w:hint="default"/>
          <w:spacing w:val="-113"/>
          <w:sz w:val="18"/>
          <w:szCs w:val="18"/>
        </w:rPr>
        <w:t>》</w:t>
      </w:r>
      <w:r>
        <w:rPr>
          <w:rFonts w:ascii="宋体" w:hAnsi="宋体" w:cs="宋体" w:eastAsia="宋体" w:hint="default"/>
          <w:sz w:val="18"/>
          <w:szCs w:val="18"/>
        </w:rPr>
        <w:t>（国资考分</w:t>
      </w:r>
      <w:r>
        <w:rPr>
          <w:rFonts w:ascii="Times New Roman" w:hAnsi="Times New Roman" w:cs="Times New Roman" w:eastAsia="Times New Roman" w:hint="default"/>
          <w:sz w:val="18"/>
          <w:szCs w:val="18"/>
        </w:rPr>
        <w:t>[2017]1291 </w:t>
      </w:r>
      <w:r>
        <w:rPr>
          <w:rFonts w:ascii="宋体" w:hAnsi="宋体" w:cs="宋体" w:eastAsia="宋体" w:hint="default"/>
          <w:sz w:val="18"/>
          <w:szCs w:val="18"/>
        </w:rPr>
        <w:t>号</w:t>
      </w:r>
      <w:r>
        <w:rPr>
          <w:rFonts w:ascii="宋体" w:hAnsi="宋体" w:cs="宋体" w:eastAsia="宋体" w:hint="default"/>
          <w:spacing w:val="-90"/>
          <w:sz w:val="18"/>
          <w:szCs w:val="18"/>
        </w:rPr>
        <w:t>）</w:t>
      </w:r>
      <w:r>
        <w:rPr>
          <w:rFonts w:ascii="宋体" w:hAnsi="宋体" w:cs="宋体" w:eastAsia="宋体" w:hint="default"/>
          <w:sz w:val="18"/>
          <w:szCs w:val="18"/>
        </w:rPr>
        <w:t>，原则同意公司实施股票期权激励计划。</w:t>
      </w:r>
    </w:p>
    <w:p>
      <w:pPr>
        <w:spacing w:before="50"/>
        <w:ind w:left="834" w:right="5"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经</w:t>
      </w:r>
      <w:r>
        <w:rPr>
          <w:rFonts w:ascii="宋体" w:hAnsi="宋体" w:cs="宋体" w:eastAsia="宋体" w:hint="default"/>
          <w:spacing w:val="-33"/>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33"/>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月</w:t>
      </w:r>
      <w:r>
        <w:rPr>
          <w:rFonts w:ascii="宋体" w:hAnsi="宋体" w:cs="宋体" w:eastAsia="宋体" w:hint="default"/>
          <w:spacing w:val="-33"/>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日公司第六届董事会第二十次会议审议，同意将公司股票期权激励计划授予日定为</w:t>
      </w:r>
      <w:r>
        <w:rPr>
          <w:rFonts w:ascii="宋体" w:hAnsi="宋体" w:cs="宋体" w:eastAsia="宋体" w:hint="default"/>
          <w:spacing w:val="-33"/>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33"/>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月</w:t>
      </w:r>
      <w:r>
        <w:rPr>
          <w:rFonts w:ascii="宋体" w:hAnsi="宋体" w:cs="宋体" w:eastAsia="宋体" w:hint="default"/>
          <w:spacing w:val="-33"/>
          <w:sz w:val="18"/>
          <w:szCs w:val="18"/>
        </w:rPr>
        <w:t> </w:t>
      </w:r>
      <w:r>
        <w:rPr>
          <w:rFonts w:ascii="Times New Roman" w:hAnsi="Times New Roman" w:cs="Times New Roman" w:eastAsia="Times New Roman" w:hint="default"/>
          <w:sz w:val="18"/>
          <w:szCs w:val="18"/>
        </w:rPr>
        <w:t>16</w:t>
      </w:r>
    </w:p>
    <w:p>
      <w:pPr>
        <w:spacing w:before="63"/>
        <w:ind w:left="474" w:right="5" w:firstLine="0"/>
        <w:jc w:val="left"/>
        <w:rPr>
          <w:rFonts w:ascii="宋体" w:hAnsi="宋体" w:cs="宋体" w:eastAsia="宋体" w:hint="default"/>
          <w:sz w:val="18"/>
          <w:szCs w:val="18"/>
        </w:rPr>
      </w:pPr>
      <w:r>
        <w:rPr>
          <w:rFonts w:ascii="宋体" w:hAnsi="宋体" w:cs="宋体" w:eastAsia="宋体" w:hint="default"/>
          <w:sz w:val="18"/>
          <w:szCs w:val="18"/>
        </w:rPr>
        <w:t>日，同意授予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594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名激励对象</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4410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万份股票期权，行权价格为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份。</w:t>
      </w:r>
    </w:p>
    <w:p>
      <w:pPr>
        <w:spacing w:line="300" w:lineRule="auto" w:before="83"/>
        <w:ind w:left="474" w:right="1113"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日，经深圳证券交易所、中国证券登记结算有限责任公司深圳分公司审核确认，公司已完成股票期权的 登记工作，期权简称：长城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JLC1</w:t>
      </w:r>
      <w:r>
        <w:rPr>
          <w:rFonts w:ascii="宋体" w:hAnsi="宋体" w:cs="宋体" w:eastAsia="宋体" w:hint="default"/>
          <w:sz w:val="18"/>
          <w:szCs w:val="18"/>
        </w:rPr>
        <w:t>，期权代码：</w:t>
      </w:r>
      <w:r>
        <w:rPr>
          <w:rFonts w:ascii="Times New Roman" w:hAnsi="Times New Roman" w:cs="Times New Roman" w:eastAsia="Times New Roman" w:hint="default"/>
          <w:sz w:val="18"/>
          <w:szCs w:val="18"/>
        </w:rPr>
        <w:t>037057</w:t>
      </w:r>
      <w:r>
        <w:rPr>
          <w:rFonts w:ascii="宋体" w:hAnsi="宋体" w:cs="宋体" w:eastAsia="宋体" w:hint="default"/>
          <w:sz w:val="18"/>
          <w:szCs w:val="18"/>
        </w:rPr>
        <w:t>。</w:t>
      </w:r>
    </w:p>
    <w:p>
      <w:pPr>
        <w:spacing w:before="33"/>
        <w:ind w:left="834" w:right="625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、公司股票期权激励计划调整情况</w:t>
      </w:r>
    </w:p>
    <w:p>
      <w:pPr>
        <w:spacing w:line="300" w:lineRule="auto" w:before="82"/>
        <w:ind w:left="474" w:right="1118" w:firstLine="360"/>
        <w:jc w:val="left"/>
        <w:rPr>
          <w:rFonts w:ascii="宋体" w:hAnsi="宋体" w:cs="宋体" w:eastAsia="宋体" w:hint="default"/>
          <w:sz w:val="18"/>
          <w:szCs w:val="18"/>
        </w:rPr>
      </w:pPr>
      <w:r>
        <w:rPr>
          <w:rFonts w:ascii="宋体" w:hAnsi="宋体" w:cs="宋体" w:eastAsia="宋体" w:hint="default"/>
          <w:sz w:val="18"/>
          <w:szCs w:val="18"/>
        </w:rPr>
        <w:t>经</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年</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月</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日公司第七届董事会第十七次会议审议，同意调整股票期权激励计划激励对象名单、期权数量和行权 价格及注销部分期权。</w:t>
      </w:r>
    </w:p>
    <w:p>
      <w:pPr>
        <w:spacing w:after="0" w:line="300" w:lineRule="auto"/>
        <w:jc w:val="left"/>
        <w:rPr>
          <w:rFonts w:ascii="宋体" w:hAnsi="宋体" w:cs="宋体" w:eastAsia="宋体" w:hint="default"/>
          <w:sz w:val="18"/>
          <w:szCs w:val="18"/>
        </w:rPr>
        <w:sectPr>
          <w:pgSz w:w="11910" w:h="16840"/>
          <w:pgMar w:header="787" w:footer="982" w:top="1100" w:bottom="1180" w:left="660" w:right="0"/>
        </w:sectPr>
      </w:pPr>
    </w:p>
    <w:p>
      <w:pPr>
        <w:spacing w:line="240" w:lineRule="auto" w:before="10"/>
        <w:rPr>
          <w:rFonts w:ascii="宋体" w:hAnsi="宋体" w:cs="宋体" w:eastAsia="宋体" w:hint="default"/>
          <w:sz w:val="22"/>
          <w:szCs w:val="22"/>
        </w:rPr>
      </w:pPr>
      <w:r>
        <w:rPr/>
        <w:pict>
          <v:shape style="position:absolute;margin-left:195.600006pt;margin-top:446.700012pt;width:46.05pt;height:62.4pt;mso-position-horizontal-relative:page;mso-position-vertical-relative:page;z-index:-1401856" type="#_x0000_t202" filled="false" stroked="false">
            <v:textbox inset="0,0,0,0">
              <w:txbxContent>
                <w:p>
                  <w:pPr>
                    <w:spacing w:line="240" w:lineRule="auto" w:before="0"/>
                    <w:rPr>
                      <w:rFonts w:ascii="宋体" w:hAnsi="宋体" w:cs="宋体" w:eastAsia="宋体" w:hint="default"/>
                      <w:sz w:val="14"/>
                      <w:szCs w:val="14"/>
                    </w:rPr>
                  </w:pPr>
                </w:p>
                <w:p>
                  <w:pPr>
                    <w:spacing w:line="240" w:lineRule="auto" w:before="5"/>
                    <w:rPr>
                      <w:rFonts w:ascii="宋体" w:hAnsi="宋体" w:cs="宋体" w:eastAsia="宋体" w:hint="default"/>
                      <w:sz w:val="12"/>
                      <w:szCs w:val="12"/>
                    </w:rPr>
                  </w:pPr>
                </w:p>
                <w:p>
                  <w:pPr>
                    <w:spacing w:before="0"/>
                    <w:ind w:left="0" w:right="0" w:firstLine="0"/>
                    <w:jc w:val="left"/>
                    <w:rPr>
                      <w:rFonts w:ascii="宋体" w:hAnsi="宋体" w:cs="宋体" w:eastAsia="宋体" w:hint="default"/>
                      <w:sz w:val="15"/>
                      <w:szCs w:val="15"/>
                    </w:rPr>
                  </w:pPr>
                  <w:r>
                    <w:rPr>
                      <w:rFonts w:ascii="宋体" w:hAnsi="宋体" w:cs="宋体" w:eastAsia="宋体" w:hint="default"/>
                      <w:sz w:val="15"/>
                      <w:szCs w:val="15"/>
                    </w:rPr>
                    <w:t>、</w:t>
                  </w:r>
                </w:p>
              </w:txbxContent>
            </v:textbox>
            <w10:wrap type="none"/>
          </v:shape>
        </w:pict>
      </w:r>
    </w:p>
    <w:p>
      <w:pPr>
        <w:spacing w:before="44"/>
        <w:ind w:left="1374" w:right="0" w:firstLine="0"/>
        <w:jc w:val="left"/>
        <w:rPr>
          <w:rFonts w:ascii="宋体" w:hAnsi="宋体" w:cs="宋体" w:eastAsia="宋体" w:hint="default"/>
          <w:sz w:val="18"/>
          <w:szCs w:val="18"/>
        </w:rPr>
      </w:pPr>
      <w:r>
        <w:rPr>
          <w:rFonts w:ascii="宋体" w:hAnsi="宋体" w:cs="宋体" w:eastAsia="宋体" w:hint="default"/>
          <w:sz w:val="18"/>
          <w:szCs w:val="18"/>
        </w:rPr>
        <w:t>因激励对象离职原因，对股票期权激励计划激励对象及期权数量进行相应调整，激励对象由原</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594</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人调整为</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570</w:t>
      </w:r>
      <w:r>
        <w:rPr>
          <w:rFonts w:ascii="Times New Roman" w:hAnsi="Times New Roman" w:cs="Times New Roman" w:eastAsia="Times New Roman" w:hint="default"/>
          <w:spacing w:val="-15"/>
          <w:sz w:val="18"/>
          <w:szCs w:val="18"/>
        </w:rPr>
        <w:t> </w:t>
      </w:r>
      <w:r>
        <w:rPr>
          <w:rFonts w:ascii="宋体" w:hAnsi="宋体" w:cs="宋体" w:eastAsia="宋体" w:hint="default"/>
          <w:spacing w:val="-9"/>
          <w:sz w:val="18"/>
          <w:szCs w:val="18"/>
        </w:rPr>
        <w:t>人，期</w:t>
      </w:r>
    </w:p>
    <w:p>
      <w:pPr>
        <w:spacing w:before="63"/>
        <w:ind w:left="1014" w:right="0" w:firstLine="0"/>
        <w:jc w:val="left"/>
        <w:rPr>
          <w:rFonts w:ascii="宋体" w:hAnsi="宋体" w:cs="宋体" w:eastAsia="宋体" w:hint="default"/>
          <w:sz w:val="18"/>
          <w:szCs w:val="18"/>
        </w:rPr>
      </w:pPr>
      <w:r>
        <w:rPr>
          <w:rFonts w:ascii="宋体" w:hAnsi="宋体" w:cs="宋体" w:eastAsia="宋体" w:hint="default"/>
          <w:sz w:val="18"/>
          <w:szCs w:val="18"/>
        </w:rPr>
        <w:t>权数量由原</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4,410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万份调整为</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4,275.80</w:t>
      </w:r>
      <w:r>
        <w:rPr>
          <w:rFonts w:ascii="Times New Roman" w:hAnsi="Times New Roman" w:cs="Times New Roman" w:eastAsia="Times New Roman" w:hint="default"/>
          <w:spacing w:val="-4"/>
          <w:sz w:val="18"/>
          <w:szCs w:val="18"/>
        </w:rPr>
        <w:t> </w:t>
      </w:r>
      <w:r>
        <w:rPr>
          <w:rFonts w:ascii="宋体" w:hAnsi="宋体" w:cs="宋体" w:eastAsia="宋体" w:hint="default"/>
          <w:spacing w:val="-6"/>
          <w:sz w:val="18"/>
          <w:szCs w:val="18"/>
        </w:rPr>
        <w:t>万份，注销</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134.2</w:t>
      </w:r>
      <w:r>
        <w:rPr>
          <w:rFonts w:ascii="Times New Roman" w:hAnsi="Times New Roman" w:cs="Times New Roman" w:eastAsia="Times New Roman" w:hint="default"/>
          <w:spacing w:val="-4"/>
          <w:sz w:val="18"/>
          <w:szCs w:val="18"/>
        </w:rPr>
        <w:t> </w:t>
      </w:r>
      <w:r>
        <w:rPr>
          <w:rFonts w:ascii="宋体" w:hAnsi="宋体" w:cs="宋体" w:eastAsia="宋体" w:hint="default"/>
          <w:spacing w:val="-4"/>
          <w:sz w:val="18"/>
          <w:szCs w:val="18"/>
        </w:rPr>
        <w:t>万份；因公司实施</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年度权益分派方案，股票期权激励计划行权</w:t>
      </w:r>
    </w:p>
    <w:p>
      <w:pPr>
        <w:spacing w:before="63"/>
        <w:ind w:left="1013" w:right="0" w:firstLine="0"/>
        <w:jc w:val="left"/>
        <w:rPr>
          <w:rFonts w:ascii="宋体" w:hAnsi="宋体" w:cs="宋体" w:eastAsia="宋体" w:hint="default"/>
          <w:sz w:val="18"/>
          <w:szCs w:val="18"/>
        </w:rPr>
      </w:pPr>
      <w:r>
        <w:rPr>
          <w:rFonts w:ascii="宋体" w:hAnsi="宋体" w:cs="宋体" w:eastAsia="宋体" w:hint="default"/>
          <w:sz w:val="18"/>
          <w:szCs w:val="18"/>
        </w:rPr>
        <w:t>价格由</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份调整为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份。</w:t>
      </w:r>
    </w:p>
    <w:p>
      <w:pPr>
        <w:spacing w:line="240" w:lineRule="auto" w:before="11"/>
        <w:rPr>
          <w:rFonts w:ascii="宋体" w:hAnsi="宋体" w:cs="宋体" w:eastAsia="宋体" w:hint="default"/>
          <w:sz w:val="14"/>
          <w:szCs w:val="14"/>
        </w:rPr>
      </w:pPr>
    </w:p>
    <w:p>
      <w:pPr>
        <w:pStyle w:val="Heading4"/>
        <w:spacing w:line="240" w:lineRule="auto"/>
        <w:ind w:left="1014" w:right="0"/>
        <w:jc w:val="left"/>
        <w:rPr>
          <w:b w:val="0"/>
          <w:bCs w:val="0"/>
        </w:rPr>
      </w:pPr>
      <w:r>
        <w:rPr/>
        <w:t>十六、重大关联交易</w:t>
      </w:r>
      <w:r>
        <w:rPr>
          <w:b w:val="0"/>
          <w:bCs w:val="0"/>
        </w:rPr>
      </w:r>
    </w:p>
    <w:p>
      <w:pPr>
        <w:pStyle w:val="Heading5"/>
        <w:spacing w:line="240" w:lineRule="auto" w:before="201"/>
        <w:ind w:left="1014" w:right="0"/>
        <w:jc w:val="left"/>
        <w:rPr>
          <w:b w:val="0"/>
          <w:bCs w:val="0"/>
        </w:rPr>
      </w:pPr>
      <w:r>
        <w:rPr>
          <w:rFonts w:ascii="Times New Roman" w:hAnsi="Times New Roman" w:cs="Times New Roman" w:eastAsia="Times New Roman" w:hint="default"/>
        </w:rPr>
        <w:t>1</w:t>
      </w:r>
      <w:r>
        <w:rPr/>
        <w:t>、与日常经营相关的关联交易</w:t>
      </w:r>
      <w:r>
        <w:rPr>
          <w:b w:val="0"/>
          <w:bCs w:val="0"/>
        </w:rPr>
      </w:r>
    </w:p>
    <w:p>
      <w:pPr>
        <w:spacing w:line="240" w:lineRule="auto" w:before="4"/>
        <w:rPr>
          <w:rFonts w:ascii="宋体" w:hAnsi="宋体" w:cs="宋体" w:eastAsia="宋体" w:hint="default"/>
          <w:b/>
          <w:bCs/>
          <w:sz w:val="17"/>
          <w:szCs w:val="17"/>
        </w:rPr>
      </w:pPr>
    </w:p>
    <w:p>
      <w:pPr>
        <w:spacing w:before="0"/>
        <w:ind w:left="1014" w:right="0" w:firstLine="0"/>
        <w:jc w:val="left"/>
        <w:rPr>
          <w:rFonts w:ascii="宋体" w:hAnsi="宋体" w:cs="宋体" w:eastAsia="宋体" w:hint="default"/>
          <w:sz w:val="18"/>
          <w:szCs w:val="18"/>
        </w:rPr>
      </w:pPr>
      <w:r>
        <w:rPr/>
        <w:pict>
          <v:shape style="position:absolute;margin-left:389.519989pt;margin-top:16.572046pt;width:32.4pt;height:46.8pt;mso-position-horizontal-relative:page;mso-position-vertical-relative:paragraph;z-index:-1401880" type="#_x0000_t202" filled="false" stroked="false">
            <v:textbox inset="0,0,0,0">
              <w:txbxContent>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4"/>
                    <w:rPr>
                      <w:rFonts w:ascii="宋体" w:hAnsi="宋体" w:cs="宋体" w:eastAsia="宋体" w:hint="default"/>
                      <w:sz w:val="10"/>
                      <w:szCs w:val="10"/>
                    </w:rPr>
                  </w:pPr>
                </w:p>
                <w:p>
                  <w:pPr>
                    <w:spacing w:before="0"/>
                    <w:ind w:left="0" w:right="0" w:firstLine="0"/>
                    <w:jc w:val="left"/>
                    <w:rPr>
                      <w:rFonts w:ascii="宋体" w:hAnsi="宋体" w:cs="宋体" w:eastAsia="宋体" w:hint="default"/>
                      <w:sz w:val="15"/>
                      <w:szCs w:val="15"/>
                    </w:rPr>
                  </w:pPr>
                  <w:r>
                    <w:rPr>
                      <w:rFonts w:ascii="宋体" w:hAnsi="宋体" w:cs="宋体" w:eastAsia="宋体" w:hint="default"/>
                      <w:sz w:val="15"/>
                      <w:szCs w:val="15"/>
                    </w:rPr>
                    <w:t>）</w:t>
                  </w:r>
                </w:p>
              </w:txbxContent>
            </v:textbox>
            <w10:wrap type="none"/>
          </v:shape>
        </w:pict>
      </w:r>
      <w:r>
        <w:rPr>
          <w:rFonts w:ascii="宋体" w:hAnsi="宋体" w:cs="宋体" w:eastAsia="宋体" w:hint="default"/>
          <w:sz w:val="18"/>
          <w:szCs w:val="18"/>
        </w:rPr>
        <w:t>√ 适用 □ 不适用</w:t>
      </w:r>
    </w:p>
    <w:p>
      <w:pPr>
        <w:spacing w:line="240" w:lineRule="auto" w:before="8"/>
        <w:rPr>
          <w:rFonts w:ascii="宋体" w:hAnsi="宋体" w:cs="宋体" w:eastAsia="宋体" w:hint="default"/>
          <w:sz w:val="6"/>
          <w:szCs w:val="6"/>
        </w:rPr>
      </w:pPr>
    </w:p>
    <w:tbl>
      <w:tblPr>
        <w:tblW w:w="0" w:type="auto"/>
        <w:jc w:val="left"/>
        <w:tblInd w:w="110" w:type="dxa"/>
        <w:tblLayout w:type="fixed"/>
        <w:tblCellMar>
          <w:top w:w="0" w:type="dxa"/>
          <w:left w:w="0" w:type="dxa"/>
          <w:bottom w:w="0" w:type="dxa"/>
          <w:right w:w="0" w:type="dxa"/>
        </w:tblCellMar>
        <w:tblLook w:val="01E0"/>
      </w:tblPr>
      <w:tblGrid>
        <w:gridCol w:w="1334"/>
        <w:gridCol w:w="908"/>
        <w:gridCol w:w="726"/>
        <w:gridCol w:w="788"/>
        <w:gridCol w:w="846"/>
        <w:gridCol w:w="590"/>
        <w:gridCol w:w="726"/>
        <w:gridCol w:w="908"/>
        <w:gridCol w:w="806"/>
        <w:gridCol w:w="574"/>
        <w:gridCol w:w="720"/>
        <w:gridCol w:w="886"/>
        <w:gridCol w:w="866"/>
        <w:gridCol w:w="755"/>
      </w:tblGrid>
      <w:tr>
        <w:trPr>
          <w:trHeight w:val="946" w:hRule="exact"/>
        </w:trPr>
        <w:tc>
          <w:tcPr>
            <w:tcW w:w="133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286" w:right="0"/>
              <w:jc w:val="left"/>
              <w:rPr>
                <w:rFonts w:ascii="宋体" w:hAnsi="宋体" w:cs="宋体" w:eastAsia="宋体" w:hint="default"/>
                <w:sz w:val="15"/>
                <w:szCs w:val="15"/>
              </w:rPr>
            </w:pPr>
            <w:r>
              <w:rPr>
                <w:rFonts w:ascii="宋体" w:hAnsi="宋体" w:cs="宋体" w:eastAsia="宋体" w:hint="default"/>
                <w:sz w:val="15"/>
                <w:szCs w:val="15"/>
              </w:rPr>
              <w:t>关联交易方</w:t>
            </w:r>
          </w:p>
        </w:tc>
        <w:tc>
          <w:tcPr>
            <w:tcW w:w="90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149" w:right="0"/>
              <w:jc w:val="left"/>
              <w:rPr>
                <w:rFonts w:ascii="宋体" w:hAnsi="宋体" w:cs="宋体" w:eastAsia="宋体" w:hint="default"/>
                <w:sz w:val="15"/>
                <w:szCs w:val="15"/>
              </w:rPr>
            </w:pPr>
            <w:r>
              <w:rPr>
                <w:rFonts w:ascii="宋体" w:hAnsi="宋体" w:cs="宋体" w:eastAsia="宋体" w:hint="default"/>
                <w:sz w:val="15"/>
                <w:szCs w:val="15"/>
              </w:rPr>
              <w:t>关联关系</w:t>
            </w:r>
          </w:p>
        </w:tc>
        <w:tc>
          <w:tcPr>
            <w:tcW w:w="72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6"/>
              <w:ind w:right="0"/>
              <w:jc w:val="left"/>
              <w:rPr>
                <w:rFonts w:ascii="宋体" w:hAnsi="宋体" w:cs="宋体" w:eastAsia="宋体" w:hint="default"/>
                <w:sz w:val="14"/>
                <w:szCs w:val="14"/>
              </w:rPr>
            </w:pPr>
          </w:p>
          <w:p>
            <w:pPr>
              <w:pStyle w:val="TableParagraph"/>
              <w:spacing w:line="381" w:lineRule="auto"/>
              <w:ind w:left="207" w:right="56" w:hanging="150"/>
              <w:jc w:val="left"/>
              <w:rPr>
                <w:rFonts w:ascii="宋体" w:hAnsi="宋体" w:cs="宋体" w:eastAsia="宋体" w:hint="default"/>
                <w:sz w:val="15"/>
                <w:szCs w:val="15"/>
              </w:rPr>
            </w:pPr>
            <w:r>
              <w:rPr>
                <w:rFonts w:ascii="宋体" w:hAnsi="宋体" w:cs="宋体" w:eastAsia="宋体" w:hint="default"/>
                <w:sz w:val="15"/>
                <w:szCs w:val="15"/>
              </w:rPr>
              <w:t>关联交易 类型</w:t>
            </w:r>
          </w:p>
        </w:tc>
        <w:tc>
          <w:tcPr>
            <w:tcW w:w="7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6"/>
              <w:ind w:right="0"/>
              <w:jc w:val="left"/>
              <w:rPr>
                <w:rFonts w:ascii="宋体" w:hAnsi="宋体" w:cs="宋体" w:eastAsia="宋体" w:hint="default"/>
                <w:sz w:val="14"/>
                <w:szCs w:val="14"/>
              </w:rPr>
            </w:pPr>
          </w:p>
          <w:p>
            <w:pPr>
              <w:pStyle w:val="TableParagraph"/>
              <w:spacing w:line="381" w:lineRule="auto"/>
              <w:ind w:left="313" w:right="13" w:hanging="300"/>
              <w:jc w:val="left"/>
              <w:rPr>
                <w:rFonts w:ascii="宋体" w:hAnsi="宋体" w:cs="宋体" w:eastAsia="宋体" w:hint="default"/>
                <w:sz w:val="15"/>
                <w:szCs w:val="15"/>
              </w:rPr>
            </w:pPr>
            <w:r>
              <w:rPr>
                <w:rFonts w:ascii="宋体" w:hAnsi="宋体" w:cs="宋体" w:eastAsia="宋体" w:hint="default"/>
                <w:sz w:val="15"/>
                <w:szCs w:val="15"/>
              </w:rPr>
              <w:t>关联交易内 容</w:t>
            </w:r>
          </w:p>
        </w:tc>
        <w:tc>
          <w:tcPr>
            <w:tcW w:w="84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6"/>
              <w:ind w:right="0"/>
              <w:jc w:val="left"/>
              <w:rPr>
                <w:rFonts w:ascii="宋体" w:hAnsi="宋体" w:cs="宋体" w:eastAsia="宋体" w:hint="default"/>
                <w:sz w:val="14"/>
                <w:szCs w:val="14"/>
              </w:rPr>
            </w:pPr>
          </w:p>
          <w:p>
            <w:pPr>
              <w:pStyle w:val="TableParagraph"/>
              <w:spacing w:line="381" w:lineRule="auto"/>
              <w:ind w:left="193" w:right="41" w:hanging="150"/>
              <w:jc w:val="left"/>
              <w:rPr>
                <w:rFonts w:ascii="宋体" w:hAnsi="宋体" w:cs="宋体" w:eastAsia="宋体" w:hint="default"/>
                <w:sz w:val="15"/>
                <w:szCs w:val="15"/>
              </w:rPr>
            </w:pPr>
            <w:r>
              <w:rPr>
                <w:rFonts w:ascii="宋体" w:hAnsi="宋体" w:cs="宋体" w:eastAsia="宋体" w:hint="default"/>
                <w:sz w:val="15"/>
                <w:szCs w:val="15"/>
              </w:rPr>
              <w:t>关联交易定 价原则</w:t>
            </w:r>
          </w:p>
        </w:tc>
        <w:tc>
          <w:tcPr>
            <w:tcW w:w="5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6"/>
              <w:ind w:right="0"/>
              <w:jc w:val="left"/>
              <w:rPr>
                <w:rFonts w:ascii="宋体" w:hAnsi="宋体" w:cs="宋体" w:eastAsia="宋体" w:hint="default"/>
                <w:sz w:val="14"/>
                <w:szCs w:val="14"/>
              </w:rPr>
            </w:pPr>
          </w:p>
          <w:p>
            <w:pPr>
              <w:pStyle w:val="TableParagraph"/>
              <w:spacing w:line="381" w:lineRule="auto"/>
              <w:ind w:left="64" w:right="65"/>
              <w:jc w:val="left"/>
              <w:rPr>
                <w:rFonts w:ascii="宋体" w:hAnsi="宋体" w:cs="宋体" w:eastAsia="宋体" w:hint="default"/>
                <w:sz w:val="15"/>
                <w:szCs w:val="15"/>
              </w:rPr>
            </w:pPr>
            <w:r>
              <w:rPr>
                <w:rFonts w:ascii="宋体" w:hAnsi="宋体" w:cs="宋体" w:eastAsia="宋体" w:hint="default"/>
                <w:sz w:val="15"/>
                <w:szCs w:val="15"/>
              </w:rPr>
              <w:t>关联交 易价格</w:t>
            </w:r>
          </w:p>
        </w:tc>
        <w:tc>
          <w:tcPr>
            <w:tcW w:w="72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81" w:lineRule="auto" w:before="33"/>
              <w:ind w:left="57" w:right="56"/>
              <w:jc w:val="center"/>
              <w:rPr>
                <w:rFonts w:ascii="宋体" w:hAnsi="宋体" w:cs="宋体" w:eastAsia="宋体" w:hint="default"/>
                <w:sz w:val="15"/>
                <w:szCs w:val="15"/>
              </w:rPr>
            </w:pPr>
            <w:r>
              <w:rPr>
                <w:rFonts w:ascii="宋体" w:hAnsi="宋体" w:cs="宋体" w:eastAsia="宋体" w:hint="default"/>
                <w:sz w:val="15"/>
                <w:szCs w:val="15"/>
              </w:rPr>
              <w:t>关联交易 金额（万 元）</w:t>
            </w:r>
          </w:p>
        </w:tc>
        <w:tc>
          <w:tcPr>
            <w:tcW w:w="90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6"/>
              <w:ind w:right="0"/>
              <w:jc w:val="left"/>
              <w:rPr>
                <w:rFonts w:ascii="宋体" w:hAnsi="宋体" w:cs="宋体" w:eastAsia="宋体" w:hint="default"/>
                <w:sz w:val="14"/>
                <w:szCs w:val="14"/>
              </w:rPr>
            </w:pPr>
          </w:p>
          <w:p>
            <w:pPr>
              <w:pStyle w:val="TableParagraph"/>
              <w:spacing w:line="381" w:lineRule="auto"/>
              <w:ind w:left="73" w:right="73"/>
              <w:jc w:val="left"/>
              <w:rPr>
                <w:rFonts w:ascii="宋体" w:hAnsi="宋体" w:cs="宋体" w:eastAsia="宋体" w:hint="default"/>
                <w:sz w:val="15"/>
                <w:szCs w:val="15"/>
              </w:rPr>
            </w:pPr>
            <w:r>
              <w:rPr>
                <w:rFonts w:ascii="宋体" w:hAnsi="宋体" w:cs="宋体" w:eastAsia="宋体" w:hint="default"/>
                <w:sz w:val="15"/>
                <w:szCs w:val="15"/>
              </w:rPr>
              <w:t>占同类交易 金额的比例</w:t>
            </w:r>
          </w:p>
        </w:tc>
        <w:tc>
          <w:tcPr>
            <w:tcW w:w="8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6"/>
              <w:ind w:right="0"/>
              <w:jc w:val="left"/>
              <w:rPr>
                <w:rFonts w:ascii="宋体" w:hAnsi="宋体" w:cs="宋体" w:eastAsia="宋体" w:hint="default"/>
                <w:sz w:val="14"/>
                <w:szCs w:val="14"/>
              </w:rPr>
            </w:pPr>
          </w:p>
          <w:p>
            <w:pPr>
              <w:pStyle w:val="TableParagraph"/>
              <w:spacing w:line="381" w:lineRule="auto"/>
              <w:ind w:right="23" w:firstLine="22"/>
              <w:jc w:val="left"/>
              <w:rPr>
                <w:rFonts w:ascii="宋体" w:hAnsi="宋体" w:cs="宋体" w:eastAsia="宋体" w:hint="default"/>
                <w:sz w:val="15"/>
                <w:szCs w:val="15"/>
              </w:rPr>
            </w:pPr>
            <w:r>
              <w:rPr>
                <w:rFonts w:ascii="宋体" w:hAnsi="宋体" w:cs="宋体" w:eastAsia="宋体" w:hint="default"/>
                <w:sz w:val="15"/>
                <w:szCs w:val="15"/>
              </w:rPr>
              <w:t>获批的交易 </w:t>
            </w:r>
            <w:r>
              <w:rPr>
                <w:rFonts w:ascii="宋体" w:hAnsi="宋体" w:cs="宋体" w:eastAsia="宋体" w:hint="default"/>
                <w:spacing w:val="-6"/>
                <w:sz w:val="15"/>
                <w:szCs w:val="15"/>
              </w:rPr>
              <w:t>额度（万元</w:t>
            </w:r>
          </w:p>
        </w:tc>
        <w:tc>
          <w:tcPr>
            <w:tcW w:w="57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81" w:lineRule="auto" w:before="33"/>
              <w:ind w:left="57" w:right="54"/>
              <w:jc w:val="both"/>
              <w:rPr>
                <w:rFonts w:ascii="宋体" w:hAnsi="宋体" w:cs="宋体" w:eastAsia="宋体" w:hint="default"/>
                <w:sz w:val="15"/>
                <w:szCs w:val="15"/>
              </w:rPr>
            </w:pPr>
            <w:r>
              <w:rPr>
                <w:rFonts w:ascii="宋体" w:hAnsi="宋体" w:cs="宋体" w:eastAsia="宋体" w:hint="default"/>
                <w:sz w:val="15"/>
                <w:szCs w:val="15"/>
              </w:rPr>
              <w:t>是否超 过获批 额度</w:t>
            </w:r>
          </w:p>
        </w:tc>
        <w:tc>
          <w:tcPr>
            <w:tcW w:w="72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6"/>
              <w:ind w:right="0"/>
              <w:jc w:val="left"/>
              <w:rPr>
                <w:rFonts w:ascii="宋体" w:hAnsi="宋体" w:cs="宋体" w:eastAsia="宋体" w:hint="default"/>
                <w:sz w:val="14"/>
                <w:szCs w:val="14"/>
              </w:rPr>
            </w:pPr>
          </w:p>
          <w:p>
            <w:pPr>
              <w:pStyle w:val="TableParagraph"/>
              <w:spacing w:line="381" w:lineRule="auto"/>
              <w:ind w:left="55" w:right="53"/>
              <w:jc w:val="left"/>
              <w:rPr>
                <w:rFonts w:ascii="宋体" w:hAnsi="宋体" w:cs="宋体" w:eastAsia="宋体" w:hint="default"/>
                <w:sz w:val="15"/>
                <w:szCs w:val="15"/>
              </w:rPr>
            </w:pPr>
            <w:r>
              <w:rPr>
                <w:rFonts w:ascii="宋体" w:hAnsi="宋体" w:cs="宋体" w:eastAsia="宋体" w:hint="default"/>
                <w:sz w:val="15"/>
                <w:szCs w:val="15"/>
              </w:rPr>
              <w:t>关联交易 结算方式</w:t>
            </w:r>
          </w:p>
        </w:tc>
        <w:tc>
          <w:tcPr>
            <w:tcW w:w="88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6"/>
              <w:ind w:right="0"/>
              <w:jc w:val="left"/>
              <w:rPr>
                <w:rFonts w:ascii="宋体" w:hAnsi="宋体" w:cs="宋体" w:eastAsia="宋体" w:hint="default"/>
                <w:sz w:val="14"/>
                <w:szCs w:val="14"/>
              </w:rPr>
            </w:pPr>
          </w:p>
          <w:p>
            <w:pPr>
              <w:pStyle w:val="TableParagraph"/>
              <w:spacing w:line="381" w:lineRule="auto"/>
              <w:ind w:left="62" w:right="61"/>
              <w:jc w:val="left"/>
              <w:rPr>
                <w:rFonts w:ascii="宋体" w:hAnsi="宋体" w:cs="宋体" w:eastAsia="宋体" w:hint="default"/>
                <w:sz w:val="15"/>
                <w:szCs w:val="15"/>
              </w:rPr>
            </w:pPr>
            <w:r>
              <w:rPr>
                <w:rFonts w:ascii="宋体" w:hAnsi="宋体" w:cs="宋体" w:eastAsia="宋体" w:hint="default"/>
                <w:sz w:val="15"/>
                <w:szCs w:val="15"/>
              </w:rPr>
              <w:t>可获得的同 类交易市价</w:t>
            </w:r>
          </w:p>
        </w:tc>
        <w:tc>
          <w:tcPr>
            <w:tcW w:w="8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127" w:right="0"/>
              <w:jc w:val="left"/>
              <w:rPr>
                <w:rFonts w:ascii="宋体" w:hAnsi="宋体" w:cs="宋体" w:eastAsia="宋体" w:hint="default"/>
                <w:sz w:val="15"/>
                <w:szCs w:val="15"/>
              </w:rPr>
            </w:pPr>
            <w:r>
              <w:rPr>
                <w:rFonts w:ascii="宋体" w:hAnsi="宋体" w:cs="宋体" w:eastAsia="宋体" w:hint="default"/>
                <w:sz w:val="15"/>
                <w:szCs w:val="15"/>
              </w:rPr>
              <w:t>披露日期</w:t>
            </w:r>
          </w:p>
        </w:tc>
        <w:tc>
          <w:tcPr>
            <w:tcW w:w="75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72" w:right="0"/>
              <w:jc w:val="left"/>
              <w:rPr>
                <w:rFonts w:ascii="宋体" w:hAnsi="宋体" w:cs="宋体" w:eastAsia="宋体" w:hint="default"/>
                <w:sz w:val="15"/>
                <w:szCs w:val="15"/>
              </w:rPr>
            </w:pPr>
            <w:r>
              <w:rPr>
                <w:rFonts w:ascii="宋体" w:hAnsi="宋体" w:cs="宋体" w:eastAsia="宋体" w:hint="default"/>
                <w:sz w:val="15"/>
                <w:szCs w:val="15"/>
              </w:rPr>
              <w:t>披露索引</w:t>
            </w:r>
          </w:p>
        </w:tc>
      </w:tr>
      <w:tr>
        <w:trPr>
          <w:trHeight w:val="242" w:hRule="exact"/>
        </w:trPr>
        <w:tc>
          <w:tcPr>
            <w:tcW w:w="133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3"/>
              <w:ind w:left="-1" w:right="0"/>
              <w:jc w:val="left"/>
              <w:rPr>
                <w:rFonts w:ascii="宋体" w:hAnsi="宋体" w:cs="宋体" w:eastAsia="宋体" w:hint="default"/>
                <w:sz w:val="15"/>
                <w:szCs w:val="15"/>
              </w:rPr>
            </w:pPr>
            <w:r>
              <w:rPr>
                <w:rFonts w:ascii="宋体" w:hAnsi="宋体" w:cs="宋体" w:eastAsia="宋体" w:hint="default"/>
                <w:sz w:val="15"/>
                <w:szCs w:val="15"/>
              </w:rPr>
              <w:t>桂林长海科技有限</w:t>
            </w:r>
          </w:p>
        </w:tc>
        <w:tc>
          <w:tcPr>
            <w:tcW w:w="908" w:type="dxa"/>
            <w:tcBorders>
              <w:top w:val="single" w:sz="4" w:space="0" w:color="000000"/>
              <w:left w:val="single" w:sz="4" w:space="0" w:color="000000"/>
              <w:bottom w:val="nil" w:sz="6" w:space="0" w:color="auto"/>
              <w:right w:val="single" w:sz="4" w:space="0" w:color="000000"/>
            </w:tcBorders>
          </w:tcPr>
          <w:p>
            <w:pPr/>
          </w:p>
        </w:tc>
        <w:tc>
          <w:tcPr>
            <w:tcW w:w="726" w:type="dxa"/>
            <w:tcBorders>
              <w:top w:val="single" w:sz="4" w:space="0" w:color="000000"/>
              <w:left w:val="single" w:sz="4" w:space="0" w:color="000000"/>
              <w:bottom w:val="nil" w:sz="6" w:space="0" w:color="auto"/>
              <w:right w:val="single" w:sz="4" w:space="0" w:color="000000"/>
            </w:tcBorders>
          </w:tcPr>
          <w:p>
            <w:pPr/>
          </w:p>
        </w:tc>
        <w:tc>
          <w:tcPr>
            <w:tcW w:w="78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3"/>
              <w:ind w:right="0"/>
              <w:jc w:val="left"/>
              <w:rPr>
                <w:rFonts w:ascii="宋体" w:hAnsi="宋体" w:cs="宋体" w:eastAsia="宋体" w:hint="default"/>
                <w:sz w:val="15"/>
                <w:szCs w:val="15"/>
              </w:rPr>
            </w:pPr>
            <w:r>
              <w:rPr>
                <w:rFonts w:ascii="宋体" w:hAnsi="宋体" w:cs="宋体" w:eastAsia="宋体" w:hint="default"/>
                <w:sz w:val="15"/>
                <w:szCs w:val="15"/>
              </w:rPr>
              <w:t>采购线材、</w:t>
            </w:r>
          </w:p>
        </w:tc>
        <w:tc>
          <w:tcPr>
            <w:tcW w:w="84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3"/>
              <w:ind w:right="84"/>
              <w:jc w:val="center"/>
              <w:rPr>
                <w:rFonts w:ascii="宋体" w:hAnsi="宋体" w:cs="宋体" w:eastAsia="宋体" w:hint="default"/>
                <w:sz w:val="15"/>
                <w:szCs w:val="15"/>
              </w:rPr>
            </w:pPr>
            <w:r>
              <w:rPr>
                <w:rFonts w:ascii="宋体" w:hAnsi="宋体" w:cs="宋体" w:eastAsia="宋体" w:hint="default"/>
                <w:sz w:val="15"/>
                <w:szCs w:val="15"/>
              </w:rPr>
              <w:t>根据市场价</w:t>
            </w:r>
          </w:p>
        </w:tc>
        <w:tc>
          <w:tcPr>
            <w:tcW w:w="59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3"/>
              <w:ind w:right="1"/>
              <w:jc w:val="center"/>
              <w:rPr>
                <w:rFonts w:ascii="宋体" w:hAnsi="宋体" w:cs="宋体" w:eastAsia="宋体" w:hint="default"/>
                <w:sz w:val="15"/>
                <w:szCs w:val="15"/>
              </w:rPr>
            </w:pPr>
            <w:r>
              <w:rPr>
                <w:rFonts w:ascii="宋体" w:hAnsi="宋体" w:cs="宋体" w:eastAsia="宋体" w:hint="default"/>
                <w:sz w:val="15"/>
                <w:szCs w:val="15"/>
              </w:rPr>
              <w:t>参考市</w:t>
            </w:r>
          </w:p>
        </w:tc>
        <w:tc>
          <w:tcPr>
            <w:tcW w:w="726" w:type="dxa"/>
            <w:tcBorders>
              <w:top w:val="single" w:sz="4" w:space="0" w:color="000000"/>
              <w:left w:val="single" w:sz="4" w:space="0" w:color="000000"/>
              <w:bottom w:val="nil" w:sz="6" w:space="0" w:color="auto"/>
              <w:right w:val="single" w:sz="4" w:space="0" w:color="000000"/>
            </w:tcBorders>
          </w:tcPr>
          <w:p>
            <w:pPr/>
          </w:p>
        </w:tc>
        <w:tc>
          <w:tcPr>
            <w:tcW w:w="908" w:type="dxa"/>
            <w:tcBorders>
              <w:top w:val="single" w:sz="4" w:space="0" w:color="000000"/>
              <w:left w:val="single" w:sz="4" w:space="0" w:color="000000"/>
              <w:bottom w:val="nil" w:sz="6" w:space="0" w:color="auto"/>
              <w:right w:val="single" w:sz="4" w:space="0" w:color="000000"/>
            </w:tcBorders>
          </w:tcPr>
          <w:p>
            <w:pPr/>
          </w:p>
        </w:tc>
        <w:tc>
          <w:tcPr>
            <w:tcW w:w="806" w:type="dxa"/>
            <w:tcBorders>
              <w:top w:val="single" w:sz="4" w:space="0" w:color="000000"/>
              <w:left w:val="single" w:sz="4" w:space="0" w:color="000000"/>
              <w:bottom w:val="nil" w:sz="6" w:space="0" w:color="auto"/>
              <w:right w:val="single" w:sz="4" w:space="0" w:color="000000"/>
            </w:tcBorders>
          </w:tcPr>
          <w:p>
            <w:pPr/>
          </w:p>
        </w:tc>
        <w:tc>
          <w:tcPr>
            <w:tcW w:w="574" w:type="dxa"/>
            <w:tcBorders>
              <w:top w:val="single" w:sz="4" w:space="0" w:color="000000"/>
              <w:left w:val="single" w:sz="4" w:space="0" w:color="000000"/>
              <w:bottom w:val="nil" w:sz="6" w:space="0" w:color="auto"/>
              <w:right w:val="single" w:sz="4" w:space="0" w:color="000000"/>
            </w:tcBorders>
          </w:tcPr>
          <w:p>
            <w:pPr/>
          </w:p>
        </w:tc>
        <w:tc>
          <w:tcPr>
            <w:tcW w:w="72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3"/>
              <w:ind w:right="0"/>
              <w:jc w:val="left"/>
              <w:rPr>
                <w:rFonts w:ascii="宋体" w:hAnsi="宋体" w:cs="宋体" w:eastAsia="宋体" w:hint="default"/>
                <w:sz w:val="15"/>
                <w:szCs w:val="15"/>
              </w:rPr>
            </w:pPr>
            <w:r>
              <w:rPr>
                <w:rFonts w:ascii="宋体" w:hAnsi="宋体" w:cs="宋体" w:eastAsia="宋体" w:hint="default"/>
                <w:sz w:val="15"/>
                <w:szCs w:val="15"/>
              </w:rPr>
              <w:t>根据合同</w:t>
            </w:r>
          </w:p>
        </w:tc>
        <w:tc>
          <w:tcPr>
            <w:tcW w:w="886" w:type="dxa"/>
            <w:tcBorders>
              <w:top w:val="single" w:sz="4" w:space="0" w:color="000000"/>
              <w:left w:val="single" w:sz="4" w:space="0" w:color="000000"/>
              <w:bottom w:val="nil" w:sz="6" w:space="0" w:color="auto"/>
              <w:right w:val="single" w:sz="4" w:space="0" w:color="000000"/>
            </w:tcBorders>
          </w:tcPr>
          <w:p>
            <w:pPr/>
          </w:p>
        </w:tc>
        <w:tc>
          <w:tcPr>
            <w:tcW w:w="86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3"/>
              <w:ind w:left="-1"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2018</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1</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月</w:t>
            </w:r>
          </w:p>
        </w:tc>
        <w:tc>
          <w:tcPr>
            <w:tcW w:w="75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3"/>
              <w:ind w:left="-1" w:right="-2"/>
              <w:jc w:val="left"/>
              <w:rPr>
                <w:rFonts w:ascii="宋体" w:hAnsi="宋体" w:cs="宋体" w:eastAsia="宋体" w:hint="default"/>
                <w:sz w:val="15"/>
                <w:szCs w:val="15"/>
              </w:rPr>
            </w:pPr>
            <w:r>
              <w:rPr>
                <w:rFonts w:ascii="Times New Roman" w:hAnsi="Times New Roman" w:cs="Times New Roman" w:eastAsia="Times New Roman" w:hint="default"/>
                <w:sz w:val="15"/>
                <w:szCs w:val="15"/>
              </w:rPr>
              <w:t>2018-010</w:t>
            </w:r>
            <w:r>
              <w:rPr>
                <w:rFonts w:ascii="Times New Roman" w:hAnsi="Times New Roman" w:cs="Times New Roman" w:eastAsia="Times New Roman" w:hint="default"/>
                <w:spacing w:val="-20"/>
                <w:sz w:val="15"/>
                <w:szCs w:val="15"/>
              </w:rPr>
              <w:t> </w:t>
            </w:r>
            <w:r>
              <w:rPr>
                <w:rFonts w:ascii="宋体" w:hAnsi="宋体" w:cs="宋体" w:eastAsia="宋体" w:hint="default"/>
                <w:sz w:val="15"/>
                <w:szCs w:val="15"/>
              </w:rPr>
              <w:t>号</w:t>
            </w:r>
          </w:p>
        </w:tc>
      </w:tr>
      <w:tr>
        <w:trPr>
          <w:trHeight w:val="155" w:hRule="exact"/>
        </w:trPr>
        <w:tc>
          <w:tcPr>
            <w:tcW w:w="1334" w:type="dxa"/>
            <w:tcBorders>
              <w:top w:val="nil" w:sz="6" w:space="0" w:color="auto"/>
              <w:left w:val="single" w:sz="4" w:space="0" w:color="000000"/>
              <w:bottom w:val="nil" w:sz="6" w:space="0" w:color="auto"/>
              <w:right w:val="single" w:sz="4" w:space="0" w:color="000000"/>
            </w:tcBorders>
          </w:tcPr>
          <w:p>
            <w:pPr/>
          </w:p>
        </w:tc>
        <w:tc>
          <w:tcPr>
            <w:tcW w:w="908"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0"/>
              <w:jc w:val="left"/>
              <w:rPr>
                <w:rFonts w:ascii="宋体" w:hAnsi="宋体" w:cs="宋体" w:eastAsia="宋体" w:hint="default"/>
                <w:sz w:val="15"/>
                <w:szCs w:val="15"/>
              </w:rPr>
            </w:pPr>
            <w:r>
              <w:rPr>
                <w:rFonts w:ascii="宋体" w:hAnsi="宋体" w:cs="宋体" w:eastAsia="宋体" w:hint="default"/>
                <w:sz w:val="15"/>
                <w:szCs w:val="15"/>
              </w:rPr>
              <w:t>联营企业</w:t>
            </w:r>
          </w:p>
        </w:tc>
        <w:tc>
          <w:tcPr>
            <w:tcW w:w="726"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1"/>
              <w:jc w:val="center"/>
              <w:rPr>
                <w:rFonts w:ascii="宋体" w:hAnsi="宋体" w:cs="宋体" w:eastAsia="宋体" w:hint="default"/>
                <w:sz w:val="15"/>
                <w:szCs w:val="15"/>
              </w:rPr>
            </w:pPr>
            <w:r>
              <w:rPr>
                <w:rFonts w:ascii="宋体" w:hAnsi="宋体" w:cs="宋体" w:eastAsia="宋体" w:hint="default"/>
                <w:sz w:val="15"/>
                <w:szCs w:val="15"/>
              </w:rPr>
              <w:t>采购</w:t>
            </w:r>
          </w:p>
        </w:tc>
        <w:tc>
          <w:tcPr>
            <w:tcW w:w="788" w:type="dxa"/>
            <w:tcBorders>
              <w:top w:val="nil" w:sz="6" w:space="0" w:color="auto"/>
              <w:left w:val="single" w:sz="4" w:space="0" w:color="000000"/>
              <w:bottom w:val="nil" w:sz="6" w:space="0" w:color="auto"/>
              <w:right w:val="single" w:sz="4" w:space="0" w:color="000000"/>
            </w:tcBorders>
          </w:tcPr>
          <w:p>
            <w:pPr/>
          </w:p>
        </w:tc>
        <w:tc>
          <w:tcPr>
            <w:tcW w:w="846" w:type="dxa"/>
            <w:tcBorders>
              <w:top w:val="nil" w:sz="6" w:space="0" w:color="auto"/>
              <w:left w:val="single" w:sz="4" w:space="0" w:color="000000"/>
              <w:bottom w:val="nil" w:sz="6" w:space="0" w:color="auto"/>
              <w:right w:val="single" w:sz="4" w:space="0" w:color="000000"/>
            </w:tcBorders>
          </w:tcPr>
          <w:p>
            <w:pPr/>
          </w:p>
        </w:tc>
        <w:tc>
          <w:tcPr>
            <w:tcW w:w="590" w:type="dxa"/>
            <w:tcBorders>
              <w:top w:val="nil" w:sz="6" w:space="0" w:color="auto"/>
              <w:left w:val="single" w:sz="4" w:space="0" w:color="000000"/>
              <w:bottom w:val="nil" w:sz="6" w:space="0" w:color="auto"/>
              <w:right w:val="single" w:sz="4" w:space="0" w:color="000000"/>
            </w:tcBorders>
          </w:tcPr>
          <w:p>
            <w:pPr/>
          </w:p>
        </w:tc>
        <w:tc>
          <w:tcPr>
            <w:tcW w:w="726" w:type="dxa"/>
            <w:tcBorders>
              <w:top w:val="nil" w:sz="6" w:space="0" w:color="auto"/>
              <w:left w:val="single" w:sz="4" w:space="0" w:color="000000"/>
              <w:bottom w:val="nil" w:sz="6" w:space="0" w:color="auto"/>
              <w:right w:val="single" w:sz="4" w:space="0" w:color="000000"/>
            </w:tcBorders>
          </w:tcPr>
          <w:p>
            <w:pPr>
              <w:pStyle w:val="TableParagraph"/>
              <w:spacing w:line="159" w:lineRule="exact"/>
              <w:ind w:right="-2"/>
              <w:jc w:val="right"/>
              <w:rPr>
                <w:rFonts w:ascii="Times New Roman" w:hAnsi="Times New Roman" w:cs="Times New Roman" w:eastAsia="Times New Roman" w:hint="default"/>
                <w:sz w:val="15"/>
                <w:szCs w:val="15"/>
              </w:rPr>
            </w:pPr>
            <w:r>
              <w:rPr>
                <w:rFonts w:ascii="Times New Roman"/>
                <w:spacing w:val="-1"/>
                <w:sz w:val="15"/>
              </w:rPr>
              <w:t>36,489.52</w:t>
            </w:r>
          </w:p>
        </w:tc>
        <w:tc>
          <w:tcPr>
            <w:tcW w:w="908" w:type="dxa"/>
            <w:tcBorders>
              <w:top w:val="nil" w:sz="6" w:space="0" w:color="auto"/>
              <w:left w:val="single" w:sz="4" w:space="0" w:color="000000"/>
              <w:bottom w:val="nil" w:sz="6" w:space="0" w:color="auto"/>
              <w:right w:val="single" w:sz="4" w:space="0" w:color="000000"/>
            </w:tcBorders>
          </w:tcPr>
          <w:p>
            <w:pPr>
              <w:pStyle w:val="TableParagraph"/>
              <w:spacing w:line="159" w:lineRule="exact"/>
              <w:ind w:right="0"/>
              <w:jc w:val="center"/>
              <w:rPr>
                <w:rFonts w:ascii="Times New Roman" w:hAnsi="Times New Roman" w:cs="Times New Roman" w:eastAsia="Times New Roman" w:hint="default"/>
                <w:sz w:val="15"/>
                <w:szCs w:val="15"/>
              </w:rPr>
            </w:pPr>
            <w:r>
              <w:rPr>
                <w:rFonts w:ascii="Times New Roman"/>
                <w:sz w:val="15"/>
              </w:rPr>
              <w:t>4.57%</w:t>
            </w:r>
          </w:p>
        </w:tc>
        <w:tc>
          <w:tcPr>
            <w:tcW w:w="806" w:type="dxa"/>
            <w:tcBorders>
              <w:top w:val="nil" w:sz="6" w:space="0" w:color="auto"/>
              <w:left w:val="single" w:sz="4" w:space="0" w:color="000000"/>
              <w:bottom w:val="nil" w:sz="6" w:space="0" w:color="auto"/>
              <w:right w:val="single" w:sz="4" w:space="0" w:color="000000"/>
            </w:tcBorders>
          </w:tcPr>
          <w:p>
            <w:pPr>
              <w:pStyle w:val="TableParagraph"/>
              <w:spacing w:line="159" w:lineRule="exact"/>
              <w:ind w:right="-2"/>
              <w:jc w:val="right"/>
              <w:rPr>
                <w:rFonts w:ascii="Times New Roman" w:hAnsi="Times New Roman" w:cs="Times New Roman" w:eastAsia="Times New Roman" w:hint="default"/>
                <w:sz w:val="15"/>
                <w:szCs w:val="15"/>
              </w:rPr>
            </w:pPr>
            <w:r>
              <w:rPr>
                <w:rFonts w:ascii="Times New Roman"/>
                <w:spacing w:val="-1"/>
                <w:sz w:val="15"/>
              </w:rPr>
              <w:t>42,000.00</w:t>
            </w:r>
          </w:p>
        </w:tc>
        <w:tc>
          <w:tcPr>
            <w:tcW w:w="574"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0"/>
              <w:jc w:val="center"/>
              <w:rPr>
                <w:rFonts w:ascii="宋体" w:hAnsi="宋体" w:cs="宋体" w:eastAsia="宋体" w:hint="default"/>
                <w:sz w:val="15"/>
                <w:szCs w:val="15"/>
              </w:rPr>
            </w:pPr>
            <w:r>
              <w:rPr>
                <w:rFonts w:ascii="宋体" w:hAnsi="宋体" w:cs="宋体" w:eastAsia="宋体" w:hint="default"/>
                <w:sz w:val="15"/>
                <w:szCs w:val="15"/>
              </w:rPr>
              <w:t>否</w:t>
            </w:r>
          </w:p>
        </w:tc>
        <w:tc>
          <w:tcPr>
            <w:tcW w:w="720" w:type="dxa"/>
            <w:tcBorders>
              <w:top w:val="nil" w:sz="6" w:space="0" w:color="auto"/>
              <w:left w:val="single" w:sz="4" w:space="0" w:color="000000"/>
              <w:bottom w:val="nil" w:sz="6" w:space="0" w:color="auto"/>
              <w:right w:val="single" w:sz="4" w:space="0" w:color="000000"/>
            </w:tcBorders>
          </w:tcPr>
          <w:p>
            <w:pPr/>
          </w:p>
        </w:tc>
        <w:tc>
          <w:tcPr>
            <w:tcW w:w="886"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38" w:right="0"/>
              <w:jc w:val="left"/>
              <w:rPr>
                <w:rFonts w:ascii="宋体" w:hAnsi="宋体" w:cs="宋体" w:eastAsia="宋体" w:hint="default"/>
                <w:sz w:val="15"/>
                <w:szCs w:val="15"/>
              </w:rPr>
            </w:pPr>
            <w:r>
              <w:rPr>
                <w:rFonts w:ascii="宋体" w:hAnsi="宋体" w:cs="宋体" w:eastAsia="宋体" w:hint="default"/>
                <w:sz w:val="15"/>
                <w:szCs w:val="15"/>
              </w:rPr>
              <w:t>市场价格</w:t>
            </w:r>
          </w:p>
        </w:tc>
        <w:tc>
          <w:tcPr>
            <w:tcW w:w="866" w:type="dxa"/>
            <w:tcBorders>
              <w:top w:val="nil" w:sz="6" w:space="0" w:color="auto"/>
              <w:left w:val="single" w:sz="4" w:space="0" w:color="000000"/>
              <w:bottom w:val="nil" w:sz="6" w:space="0" w:color="auto"/>
              <w:right w:val="single" w:sz="4" w:space="0" w:color="000000"/>
            </w:tcBorders>
          </w:tcPr>
          <w:p>
            <w:pPr/>
          </w:p>
        </w:tc>
        <w:tc>
          <w:tcPr>
            <w:tcW w:w="755" w:type="dxa"/>
            <w:tcBorders>
              <w:top w:val="nil" w:sz="6" w:space="0" w:color="auto"/>
              <w:left w:val="single" w:sz="4" w:space="0" w:color="000000"/>
              <w:bottom w:val="nil" w:sz="6" w:space="0" w:color="auto"/>
              <w:right w:val="single" w:sz="4" w:space="0" w:color="000000"/>
            </w:tcBorders>
          </w:tcPr>
          <w:p>
            <w:pPr/>
          </w:p>
        </w:tc>
      </w:tr>
      <w:tr>
        <w:trPr>
          <w:trHeight w:val="236" w:hRule="exact"/>
        </w:trPr>
        <w:tc>
          <w:tcPr>
            <w:tcW w:w="1334" w:type="dxa"/>
            <w:tcBorders>
              <w:top w:val="nil" w:sz="6" w:space="0" w:color="auto"/>
              <w:left w:val="single" w:sz="4" w:space="0" w:color="000000"/>
              <w:bottom w:val="single" w:sz="4" w:space="0" w:color="000000"/>
              <w:right w:val="single" w:sz="4" w:space="0" w:color="000000"/>
            </w:tcBorders>
          </w:tcPr>
          <w:p>
            <w:pPr>
              <w:pStyle w:val="TableParagraph"/>
              <w:spacing w:line="149" w:lineRule="exact"/>
              <w:ind w:left="-1" w:right="0"/>
              <w:jc w:val="left"/>
              <w:rPr>
                <w:rFonts w:ascii="宋体" w:hAnsi="宋体" w:cs="宋体" w:eastAsia="宋体" w:hint="default"/>
                <w:sz w:val="15"/>
                <w:szCs w:val="15"/>
              </w:rPr>
            </w:pPr>
            <w:r>
              <w:rPr>
                <w:rFonts w:ascii="宋体" w:hAnsi="宋体" w:cs="宋体" w:eastAsia="宋体" w:hint="default"/>
                <w:sz w:val="15"/>
                <w:szCs w:val="15"/>
              </w:rPr>
              <w:t>责任公司</w:t>
            </w:r>
          </w:p>
        </w:tc>
        <w:tc>
          <w:tcPr>
            <w:tcW w:w="908" w:type="dxa"/>
            <w:tcBorders>
              <w:top w:val="nil" w:sz="6" w:space="0" w:color="auto"/>
              <w:left w:val="single" w:sz="4" w:space="0" w:color="000000"/>
              <w:bottom w:val="single" w:sz="4" w:space="0" w:color="000000"/>
              <w:right w:val="single" w:sz="4" w:space="0" w:color="000000"/>
            </w:tcBorders>
          </w:tcPr>
          <w:p>
            <w:pPr/>
          </w:p>
        </w:tc>
        <w:tc>
          <w:tcPr>
            <w:tcW w:w="726" w:type="dxa"/>
            <w:tcBorders>
              <w:top w:val="nil" w:sz="6" w:space="0" w:color="auto"/>
              <w:left w:val="single" w:sz="4" w:space="0" w:color="000000"/>
              <w:bottom w:val="single" w:sz="4" w:space="0" w:color="000000"/>
              <w:right w:val="single" w:sz="4" w:space="0" w:color="000000"/>
            </w:tcBorders>
          </w:tcPr>
          <w:p>
            <w:pPr/>
          </w:p>
        </w:tc>
        <w:tc>
          <w:tcPr>
            <w:tcW w:w="788" w:type="dxa"/>
            <w:tcBorders>
              <w:top w:val="nil" w:sz="6" w:space="0" w:color="auto"/>
              <w:left w:val="single" w:sz="4" w:space="0" w:color="000000"/>
              <w:bottom w:val="single" w:sz="4" w:space="0" w:color="000000"/>
              <w:right w:val="single" w:sz="4" w:space="0" w:color="000000"/>
            </w:tcBorders>
          </w:tcPr>
          <w:p>
            <w:pPr>
              <w:pStyle w:val="TableParagraph"/>
              <w:spacing w:line="149" w:lineRule="exact"/>
              <w:ind w:right="0"/>
              <w:jc w:val="left"/>
              <w:rPr>
                <w:rFonts w:ascii="宋体" w:hAnsi="宋体" w:cs="宋体" w:eastAsia="宋体" w:hint="default"/>
                <w:sz w:val="15"/>
                <w:szCs w:val="15"/>
              </w:rPr>
            </w:pPr>
            <w:r>
              <w:rPr>
                <w:rFonts w:ascii="宋体" w:hAnsi="宋体" w:cs="宋体" w:eastAsia="宋体" w:hint="default"/>
                <w:sz w:val="15"/>
                <w:szCs w:val="15"/>
              </w:rPr>
              <w:t>电源</w:t>
            </w:r>
          </w:p>
        </w:tc>
        <w:tc>
          <w:tcPr>
            <w:tcW w:w="846" w:type="dxa"/>
            <w:tcBorders>
              <w:top w:val="nil" w:sz="6" w:space="0" w:color="auto"/>
              <w:left w:val="single" w:sz="4" w:space="0" w:color="000000"/>
              <w:bottom w:val="single" w:sz="4" w:space="0" w:color="000000"/>
              <w:right w:val="single" w:sz="4" w:space="0" w:color="000000"/>
            </w:tcBorders>
          </w:tcPr>
          <w:p>
            <w:pPr>
              <w:pStyle w:val="TableParagraph"/>
              <w:spacing w:line="149" w:lineRule="exact"/>
              <w:ind w:right="-1"/>
              <w:jc w:val="center"/>
              <w:rPr>
                <w:rFonts w:ascii="宋体" w:hAnsi="宋体" w:cs="宋体" w:eastAsia="宋体" w:hint="default"/>
                <w:sz w:val="15"/>
                <w:szCs w:val="15"/>
              </w:rPr>
            </w:pPr>
            <w:r>
              <w:rPr>
                <w:rFonts w:ascii="宋体" w:hAnsi="宋体" w:cs="宋体" w:eastAsia="宋体" w:hint="default"/>
                <w:sz w:val="15"/>
                <w:szCs w:val="15"/>
              </w:rPr>
              <w:t>格</w:t>
            </w:r>
            <w:r>
              <w:rPr>
                <w:rFonts w:ascii="宋体" w:hAnsi="宋体" w:cs="宋体" w:eastAsia="宋体" w:hint="default"/>
                <w:spacing w:val="-64"/>
                <w:sz w:val="15"/>
                <w:szCs w:val="15"/>
              </w:rPr>
              <w:t>，</w:t>
            </w:r>
            <w:r>
              <w:rPr>
                <w:rFonts w:ascii="宋体" w:hAnsi="宋体" w:cs="宋体" w:eastAsia="宋体" w:hint="default"/>
                <w:sz w:val="15"/>
                <w:szCs w:val="15"/>
              </w:rPr>
              <w:t>协商确定</w:t>
            </w:r>
          </w:p>
        </w:tc>
        <w:tc>
          <w:tcPr>
            <w:tcW w:w="590" w:type="dxa"/>
            <w:tcBorders>
              <w:top w:val="nil" w:sz="6" w:space="0" w:color="auto"/>
              <w:left w:val="single" w:sz="4" w:space="0" w:color="000000"/>
              <w:bottom w:val="single" w:sz="4" w:space="0" w:color="000000"/>
              <w:right w:val="single" w:sz="4" w:space="0" w:color="000000"/>
            </w:tcBorders>
          </w:tcPr>
          <w:p>
            <w:pPr>
              <w:pStyle w:val="TableParagraph"/>
              <w:spacing w:line="149" w:lineRule="exact"/>
              <w:ind w:right="1"/>
              <w:jc w:val="center"/>
              <w:rPr>
                <w:rFonts w:ascii="宋体" w:hAnsi="宋体" w:cs="宋体" w:eastAsia="宋体" w:hint="default"/>
                <w:sz w:val="15"/>
                <w:szCs w:val="15"/>
              </w:rPr>
            </w:pPr>
            <w:r>
              <w:rPr>
                <w:rFonts w:ascii="宋体" w:hAnsi="宋体" w:cs="宋体" w:eastAsia="宋体" w:hint="default"/>
                <w:sz w:val="15"/>
                <w:szCs w:val="15"/>
              </w:rPr>
              <w:t>场价格</w:t>
            </w:r>
          </w:p>
        </w:tc>
        <w:tc>
          <w:tcPr>
            <w:tcW w:w="726" w:type="dxa"/>
            <w:tcBorders>
              <w:top w:val="nil" w:sz="6" w:space="0" w:color="auto"/>
              <w:left w:val="single" w:sz="4" w:space="0" w:color="000000"/>
              <w:bottom w:val="single" w:sz="4" w:space="0" w:color="000000"/>
              <w:right w:val="single" w:sz="4" w:space="0" w:color="000000"/>
            </w:tcBorders>
          </w:tcPr>
          <w:p>
            <w:pPr/>
          </w:p>
        </w:tc>
        <w:tc>
          <w:tcPr>
            <w:tcW w:w="908" w:type="dxa"/>
            <w:tcBorders>
              <w:top w:val="nil" w:sz="6" w:space="0" w:color="auto"/>
              <w:left w:val="single" w:sz="4" w:space="0" w:color="000000"/>
              <w:bottom w:val="single" w:sz="4" w:space="0" w:color="000000"/>
              <w:right w:val="single" w:sz="4" w:space="0" w:color="000000"/>
            </w:tcBorders>
          </w:tcPr>
          <w:p>
            <w:pPr/>
          </w:p>
        </w:tc>
        <w:tc>
          <w:tcPr>
            <w:tcW w:w="806" w:type="dxa"/>
            <w:tcBorders>
              <w:top w:val="nil" w:sz="6" w:space="0" w:color="auto"/>
              <w:left w:val="single" w:sz="4" w:space="0" w:color="000000"/>
              <w:bottom w:val="single" w:sz="4" w:space="0" w:color="000000"/>
              <w:right w:val="single" w:sz="4" w:space="0" w:color="000000"/>
            </w:tcBorders>
          </w:tcPr>
          <w:p>
            <w:pPr/>
          </w:p>
        </w:tc>
        <w:tc>
          <w:tcPr>
            <w:tcW w:w="574" w:type="dxa"/>
            <w:tcBorders>
              <w:top w:val="nil" w:sz="6" w:space="0" w:color="auto"/>
              <w:left w:val="single" w:sz="4" w:space="0" w:color="000000"/>
              <w:bottom w:val="single" w:sz="4" w:space="0" w:color="000000"/>
              <w:right w:val="single" w:sz="4" w:space="0" w:color="000000"/>
            </w:tcBorders>
          </w:tcPr>
          <w:p>
            <w:pPr/>
          </w:p>
        </w:tc>
        <w:tc>
          <w:tcPr>
            <w:tcW w:w="720" w:type="dxa"/>
            <w:tcBorders>
              <w:top w:val="nil" w:sz="6" w:space="0" w:color="auto"/>
              <w:left w:val="single" w:sz="4" w:space="0" w:color="000000"/>
              <w:bottom w:val="single" w:sz="4" w:space="0" w:color="000000"/>
              <w:right w:val="single" w:sz="4" w:space="0" w:color="000000"/>
            </w:tcBorders>
          </w:tcPr>
          <w:p>
            <w:pPr>
              <w:pStyle w:val="TableParagraph"/>
              <w:spacing w:line="149" w:lineRule="exact"/>
              <w:ind w:right="0"/>
              <w:jc w:val="left"/>
              <w:rPr>
                <w:rFonts w:ascii="宋体" w:hAnsi="宋体" w:cs="宋体" w:eastAsia="宋体" w:hint="default"/>
                <w:sz w:val="15"/>
                <w:szCs w:val="15"/>
              </w:rPr>
            </w:pPr>
            <w:r>
              <w:rPr>
                <w:rFonts w:ascii="宋体" w:hAnsi="宋体" w:cs="宋体" w:eastAsia="宋体" w:hint="default"/>
                <w:sz w:val="15"/>
                <w:szCs w:val="15"/>
              </w:rPr>
              <w:t>约定</w:t>
            </w:r>
          </w:p>
        </w:tc>
        <w:tc>
          <w:tcPr>
            <w:tcW w:w="886" w:type="dxa"/>
            <w:tcBorders>
              <w:top w:val="nil" w:sz="6" w:space="0" w:color="auto"/>
              <w:left w:val="single" w:sz="4" w:space="0" w:color="000000"/>
              <w:bottom w:val="single" w:sz="4" w:space="0" w:color="000000"/>
              <w:right w:val="single" w:sz="4" w:space="0" w:color="000000"/>
            </w:tcBorders>
          </w:tcPr>
          <w:p>
            <w:pPr/>
          </w:p>
        </w:tc>
        <w:tc>
          <w:tcPr>
            <w:tcW w:w="866" w:type="dxa"/>
            <w:tcBorders>
              <w:top w:val="nil" w:sz="6" w:space="0" w:color="auto"/>
              <w:left w:val="single" w:sz="4" w:space="0" w:color="000000"/>
              <w:bottom w:val="single" w:sz="4" w:space="0" w:color="000000"/>
              <w:right w:val="single" w:sz="4" w:space="0" w:color="000000"/>
            </w:tcBorders>
          </w:tcPr>
          <w:p>
            <w:pPr>
              <w:pStyle w:val="TableParagraph"/>
              <w:spacing w:line="161" w:lineRule="exact"/>
              <w:ind w:left="-1"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22 </w:t>
            </w:r>
            <w:r>
              <w:rPr>
                <w:rFonts w:ascii="宋体" w:hAnsi="宋体" w:cs="宋体" w:eastAsia="宋体" w:hint="default"/>
                <w:sz w:val="15"/>
                <w:szCs w:val="15"/>
              </w:rPr>
              <w:t>日</w:t>
            </w:r>
          </w:p>
        </w:tc>
        <w:tc>
          <w:tcPr>
            <w:tcW w:w="755" w:type="dxa"/>
            <w:tcBorders>
              <w:top w:val="nil" w:sz="6" w:space="0" w:color="auto"/>
              <w:left w:val="single" w:sz="4" w:space="0" w:color="000000"/>
              <w:bottom w:val="single" w:sz="4" w:space="0" w:color="000000"/>
              <w:right w:val="single" w:sz="4" w:space="0" w:color="000000"/>
            </w:tcBorders>
          </w:tcPr>
          <w:p>
            <w:pPr>
              <w:pStyle w:val="TableParagraph"/>
              <w:spacing w:line="149" w:lineRule="exact"/>
              <w:ind w:left="-1" w:right="0"/>
              <w:jc w:val="left"/>
              <w:rPr>
                <w:rFonts w:ascii="宋体" w:hAnsi="宋体" w:cs="宋体" w:eastAsia="宋体" w:hint="default"/>
                <w:sz w:val="15"/>
                <w:szCs w:val="15"/>
              </w:rPr>
            </w:pPr>
            <w:r>
              <w:rPr>
                <w:rFonts w:ascii="宋体" w:hAnsi="宋体" w:cs="宋体" w:eastAsia="宋体" w:hint="default"/>
                <w:sz w:val="15"/>
                <w:szCs w:val="15"/>
              </w:rPr>
              <w:t>公告</w:t>
            </w:r>
          </w:p>
        </w:tc>
      </w:tr>
      <w:tr>
        <w:trPr>
          <w:trHeight w:val="243" w:hRule="exact"/>
        </w:trPr>
        <w:tc>
          <w:tcPr>
            <w:tcW w:w="133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4"/>
              <w:ind w:left="-1" w:right="0"/>
              <w:jc w:val="left"/>
              <w:rPr>
                <w:rFonts w:ascii="宋体" w:hAnsi="宋体" w:cs="宋体" w:eastAsia="宋体" w:hint="default"/>
                <w:sz w:val="15"/>
                <w:szCs w:val="15"/>
              </w:rPr>
            </w:pPr>
            <w:r>
              <w:rPr>
                <w:rFonts w:ascii="宋体" w:hAnsi="宋体" w:cs="宋体" w:eastAsia="宋体" w:hint="default"/>
                <w:sz w:val="15"/>
                <w:szCs w:val="15"/>
              </w:rPr>
              <w:t>天津飞腾信息技术</w:t>
            </w:r>
          </w:p>
        </w:tc>
        <w:tc>
          <w:tcPr>
            <w:tcW w:w="90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4"/>
              <w:ind w:left="1" w:right="0"/>
              <w:jc w:val="left"/>
              <w:rPr>
                <w:rFonts w:ascii="宋体" w:hAnsi="宋体" w:cs="宋体" w:eastAsia="宋体" w:hint="default"/>
                <w:sz w:val="15"/>
                <w:szCs w:val="15"/>
              </w:rPr>
            </w:pPr>
            <w:r>
              <w:rPr>
                <w:rFonts w:ascii="宋体" w:hAnsi="宋体" w:cs="宋体" w:eastAsia="宋体" w:hint="default"/>
                <w:sz w:val="15"/>
                <w:szCs w:val="15"/>
              </w:rPr>
              <w:t>上市公司规</w:t>
            </w:r>
          </w:p>
        </w:tc>
        <w:tc>
          <w:tcPr>
            <w:tcW w:w="726" w:type="dxa"/>
            <w:tcBorders>
              <w:top w:val="single" w:sz="4" w:space="0" w:color="000000"/>
              <w:left w:val="single" w:sz="4" w:space="0" w:color="000000"/>
              <w:bottom w:val="nil" w:sz="6" w:space="0" w:color="auto"/>
              <w:right w:val="single" w:sz="4" w:space="0" w:color="000000"/>
            </w:tcBorders>
          </w:tcPr>
          <w:p>
            <w:pPr/>
          </w:p>
        </w:tc>
        <w:tc>
          <w:tcPr>
            <w:tcW w:w="78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4"/>
              <w:ind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采购</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CPU</w:t>
            </w:r>
          </w:p>
        </w:tc>
        <w:tc>
          <w:tcPr>
            <w:tcW w:w="84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4"/>
              <w:ind w:right="84"/>
              <w:jc w:val="center"/>
              <w:rPr>
                <w:rFonts w:ascii="宋体" w:hAnsi="宋体" w:cs="宋体" w:eastAsia="宋体" w:hint="default"/>
                <w:sz w:val="15"/>
                <w:szCs w:val="15"/>
              </w:rPr>
            </w:pPr>
            <w:r>
              <w:rPr>
                <w:rFonts w:ascii="宋体" w:hAnsi="宋体" w:cs="宋体" w:eastAsia="宋体" w:hint="default"/>
                <w:sz w:val="15"/>
                <w:szCs w:val="15"/>
              </w:rPr>
              <w:t>根据市场价</w:t>
            </w:r>
          </w:p>
        </w:tc>
        <w:tc>
          <w:tcPr>
            <w:tcW w:w="59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4"/>
              <w:ind w:right="1"/>
              <w:jc w:val="center"/>
              <w:rPr>
                <w:rFonts w:ascii="宋体" w:hAnsi="宋体" w:cs="宋体" w:eastAsia="宋体" w:hint="default"/>
                <w:sz w:val="15"/>
                <w:szCs w:val="15"/>
              </w:rPr>
            </w:pPr>
            <w:r>
              <w:rPr>
                <w:rFonts w:ascii="宋体" w:hAnsi="宋体" w:cs="宋体" w:eastAsia="宋体" w:hint="default"/>
                <w:sz w:val="15"/>
                <w:szCs w:val="15"/>
              </w:rPr>
              <w:t>参考市</w:t>
            </w:r>
          </w:p>
        </w:tc>
        <w:tc>
          <w:tcPr>
            <w:tcW w:w="726" w:type="dxa"/>
            <w:tcBorders>
              <w:top w:val="single" w:sz="4" w:space="0" w:color="000000"/>
              <w:left w:val="single" w:sz="4" w:space="0" w:color="000000"/>
              <w:bottom w:val="nil" w:sz="6" w:space="0" w:color="auto"/>
              <w:right w:val="single" w:sz="4" w:space="0" w:color="000000"/>
            </w:tcBorders>
          </w:tcPr>
          <w:p>
            <w:pPr/>
          </w:p>
        </w:tc>
        <w:tc>
          <w:tcPr>
            <w:tcW w:w="908" w:type="dxa"/>
            <w:tcBorders>
              <w:top w:val="single" w:sz="4" w:space="0" w:color="000000"/>
              <w:left w:val="single" w:sz="4" w:space="0" w:color="000000"/>
              <w:bottom w:val="nil" w:sz="6" w:space="0" w:color="auto"/>
              <w:right w:val="single" w:sz="4" w:space="0" w:color="000000"/>
            </w:tcBorders>
          </w:tcPr>
          <w:p>
            <w:pPr/>
          </w:p>
        </w:tc>
        <w:tc>
          <w:tcPr>
            <w:tcW w:w="806" w:type="dxa"/>
            <w:tcBorders>
              <w:top w:val="single" w:sz="4" w:space="0" w:color="000000"/>
              <w:left w:val="single" w:sz="4" w:space="0" w:color="000000"/>
              <w:bottom w:val="nil" w:sz="6" w:space="0" w:color="auto"/>
              <w:right w:val="single" w:sz="4" w:space="0" w:color="000000"/>
            </w:tcBorders>
          </w:tcPr>
          <w:p>
            <w:pPr/>
          </w:p>
        </w:tc>
        <w:tc>
          <w:tcPr>
            <w:tcW w:w="574" w:type="dxa"/>
            <w:tcBorders>
              <w:top w:val="single" w:sz="4" w:space="0" w:color="000000"/>
              <w:left w:val="single" w:sz="4" w:space="0" w:color="000000"/>
              <w:bottom w:val="nil" w:sz="6" w:space="0" w:color="auto"/>
              <w:right w:val="single" w:sz="4" w:space="0" w:color="000000"/>
            </w:tcBorders>
          </w:tcPr>
          <w:p>
            <w:pPr/>
          </w:p>
        </w:tc>
        <w:tc>
          <w:tcPr>
            <w:tcW w:w="72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4"/>
              <w:ind w:right="0"/>
              <w:jc w:val="left"/>
              <w:rPr>
                <w:rFonts w:ascii="宋体" w:hAnsi="宋体" w:cs="宋体" w:eastAsia="宋体" w:hint="default"/>
                <w:sz w:val="15"/>
                <w:szCs w:val="15"/>
              </w:rPr>
            </w:pPr>
            <w:r>
              <w:rPr>
                <w:rFonts w:ascii="宋体" w:hAnsi="宋体" w:cs="宋体" w:eastAsia="宋体" w:hint="default"/>
                <w:sz w:val="15"/>
                <w:szCs w:val="15"/>
              </w:rPr>
              <w:t>根据合同</w:t>
            </w:r>
          </w:p>
        </w:tc>
        <w:tc>
          <w:tcPr>
            <w:tcW w:w="886" w:type="dxa"/>
            <w:tcBorders>
              <w:top w:val="single" w:sz="4" w:space="0" w:color="000000"/>
              <w:left w:val="single" w:sz="4" w:space="0" w:color="000000"/>
              <w:bottom w:val="nil" w:sz="6" w:space="0" w:color="auto"/>
              <w:right w:val="single" w:sz="4" w:space="0" w:color="000000"/>
            </w:tcBorders>
          </w:tcPr>
          <w:p>
            <w:pPr/>
          </w:p>
        </w:tc>
        <w:tc>
          <w:tcPr>
            <w:tcW w:w="86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4"/>
              <w:ind w:left="-1"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2018</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4</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月</w:t>
            </w:r>
          </w:p>
        </w:tc>
        <w:tc>
          <w:tcPr>
            <w:tcW w:w="75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4"/>
              <w:ind w:left="-1" w:right="-2"/>
              <w:jc w:val="left"/>
              <w:rPr>
                <w:rFonts w:ascii="宋体" w:hAnsi="宋体" w:cs="宋体" w:eastAsia="宋体" w:hint="default"/>
                <w:sz w:val="15"/>
                <w:szCs w:val="15"/>
              </w:rPr>
            </w:pPr>
            <w:r>
              <w:rPr>
                <w:rFonts w:ascii="Times New Roman" w:hAnsi="Times New Roman" w:cs="Times New Roman" w:eastAsia="Times New Roman" w:hint="default"/>
                <w:sz w:val="15"/>
                <w:szCs w:val="15"/>
              </w:rPr>
              <w:t>2018-051</w:t>
            </w:r>
            <w:r>
              <w:rPr>
                <w:rFonts w:ascii="Times New Roman" w:hAnsi="Times New Roman" w:cs="Times New Roman" w:eastAsia="Times New Roman" w:hint="default"/>
                <w:spacing w:val="-20"/>
                <w:sz w:val="15"/>
                <w:szCs w:val="15"/>
              </w:rPr>
              <w:t> </w:t>
            </w:r>
            <w:r>
              <w:rPr>
                <w:rFonts w:ascii="宋体" w:hAnsi="宋体" w:cs="宋体" w:eastAsia="宋体" w:hint="default"/>
                <w:sz w:val="15"/>
                <w:szCs w:val="15"/>
              </w:rPr>
              <w:t>号</w:t>
            </w:r>
          </w:p>
        </w:tc>
      </w:tr>
      <w:tr>
        <w:trPr>
          <w:trHeight w:val="155" w:hRule="exact"/>
        </w:trPr>
        <w:tc>
          <w:tcPr>
            <w:tcW w:w="1334" w:type="dxa"/>
            <w:tcBorders>
              <w:top w:val="nil" w:sz="6" w:space="0" w:color="auto"/>
              <w:left w:val="single" w:sz="4" w:space="0" w:color="000000"/>
              <w:bottom w:val="nil" w:sz="6" w:space="0" w:color="auto"/>
              <w:right w:val="single" w:sz="4" w:space="0" w:color="000000"/>
            </w:tcBorders>
          </w:tcPr>
          <w:p>
            <w:pPr/>
          </w:p>
        </w:tc>
        <w:tc>
          <w:tcPr>
            <w:tcW w:w="908" w:type="dxa"/>
            <w:tcBorders>
              <w:top w:val="nil" w:sz="6" w:space="0" w:color="auto"/>
              <w:left w:val="single" w:sz="4" w:space="0" w:color="000000"/>
              <w:bottom w:val="nil" w:sz="6" w:space="0" w:color="auto"/>
              <w:right w:val="single" w:sz="4" w:space="0" w:color="000000"/>
            </w:tcBorders>
          </w:tcPr>
          <w:p>
            <w:pPr/>
          </w:p>
        </w:tc>
        <w:tc>
          <w:tcPr>
            <w:tcW w:w="726"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1"/>
              <w:jc w:val="center"/>
              <w:rPr>
                <w:rFonts w:ascii="宋体" w:hAnsi="宋体" w:cs="宋体" w:eastAsia="宋体" w:hint="default"/>
                <w:sz w:val="15"/>
                <w:szCs w:val="15"/>
              </w:rPr>
            </w:pPr>
            <w:r>
              <w:rPr>
                <w:rFonts w:ascii="宋体" w:hAnsi="宋体" w:cs="宋体" w:eastAsia="宋体" w:hint="default"/>
                <w:sz w:val="15"/>
                <w:szCs w:val="15"/>
              </w:rPr>
              <w:t>采购</w:t>
            </w:r>
          </w:p>
        </w:tc>
        <w:tc>
          <w:tcPr>
            <w:tcW w:w="788" w:type="dxa"/>
            <w:tcBorders>
              <w:top w:val="nil" w:sz="6" w:space="0" w:color="auto"/>
              <w:left w:val="single" w:sz="4" w:space="0" w:color="000000"/>
              <w:bottom w:val="nil" w:sz="6" w:space="0" w:color="auto"/>
              <w:right w:val="single" w:sz="4" w:space="0" w:color="000000"/>
            </w:tcBorders>
          </w:tcPr>
          <w:p>
            <w:pPr/>
          </w:p>
        </w:tc>
        <w:tc>
          <w:tcPr>
            <w:tcW w:w="846" w:type="dxa"/>
            <w:tcBorders>
              <w:top w:val="nil" w:sz="6" w:space="0" w:color="auto"/>
              <w:left w:val="single" w:sz="4" w:space="0" w:color="000000"/>
              <w:bottom w:val="nil" w:sz="6" w:space="0" w:color="auto"/>
              <w:right w:val="single" w:sz="4" w:space="0" w:color="000000"/>
            </w:tcBorders>
          </w:tcPr>
          <w:p>
            <w:pPr/>
          </w:p>
        </w:tc>
        <w:tc>
          <w:tcPr>
            <w:tcW w:w="590" w:type="dxa"/>
            <w:tcBorders>
              <w:top w:val="nil" w:sz="6" w:space="0" w:color="auto"/>
              <w:left w:val="single" w:sz="4" w:space="0" w:color="000000"/>
              <w:bottom w:val="nil" w:sz="6" w:space="0" w:color="auto"/>
              <w:right w:val="single" w:sz="4" w:space="0" w:color="000000"/>
            </w:tcBorders>
          </w:tcPr>
          <w:p>
            <w:pPr/>
          </w:p>
        </w:tc>
        <w:tc>
          <w:tcPr>
            <w:tcW w:w="726" w:type="dxa"/>
            <w:tcBorders>
              <w:top w:val="nil" w:sz="6" w:space="0" w:color="auto"/>
              <w:left w:val="single" w:sz="4" w:space="0" w:color="000000"/>
              <w:bottom w:val="nil" w:sz="6" w:space="0" w:color="auto"/>
              <w:right w:val="single" w:sz="4" w:space="0" w:color="000000"/>
            </w:tcBorders>
          </w:tcPr>
          <w:p>
            <w:pPr>
              <w:pStyle w:val="TableParagraph"/>
              <w:spacing w:line="159" w:lineRule="exact"/>
              <w:ind w:right="-1"/>
              <w:jc w:val="right"/>
              <w:rPr>
                <w:rFonts w:ascii="Times New Roman" w:hAnsi="Times New Roman" w:cs="Times New Roman" w:eastAsia="Times New Roman" w:hint="default"/>
                <w:sz w:val="15"/>
                <w:szCs w:val="15"/>
              </w:rPr>
            </w:pPr>
            <w:r>
              <w:rPr>
                <w:rFonts w:ascii="Times New Roman"/>
                <w:spacing w:val="-1"/>
                <w:sz w:val="15"/>
              </w:rPr>
              <w:t>2,624.28</w:t>
            </w:r>
          </w:p>
        </w:tc>
        <w:tc>
          <w:tcPr>
            <w:tcW w:w="908" w:type="dxa"/>
            <w:tcBorders>
              <w:top w:val="nil" w:sz="6" w:space="0" w:color="auto"/>
              <w:left w:val="single" w:sz="4" w:space="0" w:color="000000"/>
              <w:bottom w:val="nil" w:sz="6" w:space="0" w:color="auto"/>
              <w:right w:val="single" w:sz="4" w:space="0" w:color="000000"/>
            </w:tcBorders>
          </w:tcPr>
          <w:p>
            <w:pPr>
              <w:pStyle w:val="TableParagraph"/>
              <w:spacing w:line="159" w:lineRule="exact"/>
              <w:ind w:right="0"/>
              <w:jc w:val="center"/>
              <w:rPr>
                <w:rFonts w:ascii="Times New Roman" w:hAnsi="Times New Roman" w:cs="Times New Roman" w:eastAsia="Times New Roman" w:hint="default"/>
                <w:sz w:val="15"/>
                <w:szCs w:val="15"/>
              </w:rPr>
            </w:pPr>
            <w:r>
              <w:rPr>
                <w:rFonts w:ascii="Times New Roman"/>
                <w:sz w:val="15"/>
              </w:rPr>
              <w:t>0.33%</w:t>
            </w:r>
          </w:p>
        </w:tc>
        <w:tc>
          <w:tcPr>
            <w:tcW w:w="806"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72" w:right="0"/>
              <w:jc w:val="left"/>
              <w:rPr>
                <w:rFonts w:ascii="宋体" w:hAnsi="宋体" w:cs="宋体" w:eastAsia="宋体" w:hint="default"/>
                <w:sz w:val="15"/>
                <w:szCs w:val="15"/>
              </w:rPr>
            </w:pPr>
            <w:r>
              <w:rPr>
                <w:rFonts w:ascii="宋体" w:hAnsi="宋体" w:cs="宋体" w:eastAsia="宋体" w:hint="default"/>
                <w:sz w:val="15"/>
                <w:szCs w:val="15"/>
              </w:rPr>
              <w:t>不限额</w:t>
            </w:r>
          </w:p>
        </w:tc>
        <w:tc>
          <w:tcPr>
            <w:tcW w:w="574"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0"/>
              <w:jc w:val="center"/>
              <w:rPr>
                <w:rFonts w:ascii="宋体" w:hAnsi="宋体" w:cs="宋体" w:eastAsia="宋体" w:hint="default"/>
                <w:sz w:val="15"/>
                <w:szCs w:val="15"/>
              </w:rPr>
            </w:pPr>
            <w:r>
              <w:rPr>
                <w:rFonts w:ascii="宋体" w:hAnsi="宋体" w:cs="宋体" w:eastAsia="宋体" w:hint="default"/>
                <w:sz w:val="15"/>
                <w:szCs w:val="15"/>
              </w:rPr>
              <w:t>否</w:t>
            </w:r>
          </w:p>
        </w:tc>
        <w:tc>
          <w:tcPr>
            <w:tcW w:w="720" w:type="dxa"/>
            <w:tcBorders>
              <w:top w:val="nil" w:sz="6" w:space="0" w:color="auto"/>
              <w:left w:val="single" w:sz="4" w:space="0" w:color="000000"/>
              <w:bottom w:val="nil" w:sz="6" w:space="0" w:color="auto"/>
              <w:right w:val="single" w:sz="4" w:space="0" w:color="000000"/>
            </w:tcBorders>
          </w:tcPr>
          <w:p>
            <w:pPr/>
          </w:p>
        </w:tc>
        <w:tc>
          <w:tcPr>
            <w:tcW w:w="886"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38" w:right="0"/>
              <w:jc w:val="left"/>
              <w:rPr>
                <w:rFonts w:ascii="宋体" w:hAnsi="宋体" w:cs="宋体" w:eastAsia="宋体" w:hint="default"/>
                <w:sz w:val="15"/>
                <w:szCs w:val="15"/>
              </w:rPr>
            </w:pPr>
            <w:r>
              <w:rPr>
                <w:rFonts w:ascii="宋体" w:hAnsi="宋体" w:cs="宋体" w:eastAsia="宋体" w:hint="default"/>
                <w:sz w:val="15"/>
                <w:szCs w:val="15"/>
              </w:rPr>
              <w:t>市场价格</w:t>
            </w:r>
          </w:p>
        </w:tc>
        <w:tc>
          <w:tcPr>
            <w:tcW w:w="866" w:type="dxa"/>
            <w:tcBorders>
              <w:top w:val="nil" w:sz="6" w:space="0" w:color="auto"/>
              <w:left w:val="single" w:sz="4" w:space="0" w:color="000000"/>
              <w:bottom w:val="nil" w:sz="6" w:space="0" w:color="auto"/>
              <w:right w:val="single" w:sz="4" w:space="0" w:color="000000"/>
            </w:tcBorders>
          </w:tcPr>
          <w:p>
            <w:pPr/>
          </w:p>
        </w:tc>
        <w:tc>
          <w:tcPr>
            <w:tcW w:w="755" w:type="dxa"/>
            <w:tcBorders>
              <w:top w:val="nil" w:sz="6" w:space="0" w:color="auto"/>
              <w:left w:val="single" w:sz="4" w:space="0" w:color="000000"/>
              <w:bottom w:val="nil" w:sz="6" w:space="0" w:color="auto"/>
              <w:right w:val="single" w:sz="4" w:space="0" w:color="000000"/>
            </w:tcBorders>
          </w:tcPr>
          <w:p>
            <w:pPr/>
          </w:p>
        </w:tc>
      </w:tr>
      <w:tr>
        <w:trPr>
          <w:trHeight w:val="236" w:hRule="exact"/>
        </w:trPr>
        <w:tc>
          <w:tcPr>
            <w:tcW w:w="1334" w:type="dxa"/>
            <w:tcBorders>
              <w:top w:val="nil" w:sz="6" w:space="0" w:color="auto"/>
              <w:left w:val="single" w:sz="4" w:space="0" w:color="000000"/>
              <w:bottom w:val="single" w:sz="4" w:space="0" w:color="000000"/>
              <w:right w:val="single" w:sz="4" w:space="0" w:color="000000"/>
            </w:tcBorders>
          </w:tcPr>
          <w:p>
            <w:pPr>
              <w:pStyle w:val="TableParagraph"/>
              <w:spacing w:line="149" w:lineRule="exact"/>
              <w:ind w:left="-1" w:right="0"/>
              <w:jc w:val="left"/>
              <w:rPr>
                <w:rFonts w:ascii="宋体" w:hAnsi="宋体" w:cs="宋体" w:eastAsia="宋体" w:hint="default"/>
                <w:sz w:val="15"/>
                <w:szCs w:val="15"/>
              </w:rPr>
            </w:pPr>
            <w:r>
              <w:rPr>
                <w:rFonts w:ascii="宋体" w:hAnsi="宋体" w:cs="宋体" w:eastAsia="宋体" w:hint="default"/>
                <w:sz w:val="15"/>
                <w:szCs w:val="15"/>
              </w:rPr>
              <w:t>有限公司</w:t>
            </w:r>
          </w:p>
        </w:tc>
        <w:tc>
          <w:tcPr>
            <w:tcW w:w="908" w:type="dxa"/>
            <w:tcBorders>
              <w:top w:val="nil" w:sz="6" w:space="0" w:color="auto"/>
              <w:left w:val="single" w:sz="4" w:space="0" w:color="000000"/>
              <w:bottom w:val="single" w:sz="4" w:space="0" w:color="000000"/>
              <w:right w:val="single" w:sz="4" w:space="0" w:color="000000"/>
            </w:tcBorders>
          </w:tcPr>
          <w:p>
            <w:pPr>
              <w:pStyle w:val="TableParagraph"/>
              <w:spacing w:line="149" w:lineRule="exact"/>
              <w:ind w:left="1" w:right="0"/>
              <w:jc w:val="left"/>
              <w:rPr>
                <w:rFonts w:ascii="宋体" w:hAnsi="宋体" w:cs="宋体" w:eastAsia="宋体" w:hint="default"/>
                <w:sz w:val="15"/>
                <w:szCs w:val="15"/>
              </w:rPr>
            </w:pPr>
            <w:r>
              <w:rPr>
                <w:rFonts w:ascii="宋体" w:hAnsi="宋体" w:cs="宋体" w:eastAsia="宋体" w:hint="default"/>
                <w:sz w:val="15"/>
                <w:szCs w:val="15"/>
              </w:rPr>
              <w:t>则认定</w:t>
            </w:r>
          </w:p>
        </w:tc>
        <w:tc>
          <w:tcPr>
            <w:tcW w:w="726" w:type="dxa"/>
            <w:tcBorders>
              <w:top w:val="nil" w:sz="6" w:space="0" w:color="auto"/>
              <w:left w:val="single" w:sz="4" w:space="0" w:color="000000"/>
              <w:bottom w:val="single" w:sz="4" w:space="0" w:color="000000"/>
              <w:right w:val="single" w:sz="4" w:space="0" w:color="000000"/>
            </w:tcBorders>
          </w:tcPr>
          <w:p>
            <w:pPr/>
          </w:p>
        </w:tc>
        <w:tc>
          <w:tcPr>
            <w:tcW w:w="788" w:type="dxa"/>
            <w:tcBorders>
              <w:top w:val="nil" w:sz="6" w:space="0" w:color="auto"/>
              <w:left w:val="single" w:sz="4" w:space="0" w:color="000000"/>
              <w:bottom w:val="single" w:sz="4" w:space="0" w:color="000000"/>
              <w:right w:val="single" w:sz="4" w:space="0" w:color="000000"/>
            </w:tcBorders>
          </w:tcPr>
          <w:p>
            <w:pPr>
              <w:pStyle w:val="TableParagraph"/>
              <w:spacing w:line="149" w:lineRule="exact"/>
              <w:ind w:right="0"/>
              <w:jc w:val="left"/>
              <w:rPr>
                <w:rFonts w:ascii="宋体" w:hAnsi="宋体" w:cs="宋体" w:eastAsia="宋体" w:hint="default"/>
                <w:sz w:val="15"/>
                <w:szCs w:val="15"/>
              </w:rPr>
            </w:pPr>
            <w:r>
              <w:rPr>
                <w:rFonts w:ascii="宋体" w:hAnsi="宋体" w:cs="宋体" w:eastAsia="宋体" w:hint="default"/>
                <w:sz w:val="15"/>
                <w:szCs w:val="15"/>
              </w:rPr>
              <w:t>及配套芯片</w:t>
            </w:r>
          </w:p>
        </w:tc>
        <w:tc>
          <w:tcPr>
            <w:tcW w:w="846" w:type="dxa"/>
            <w:tcBorders>
              <w:top w:val="nil" w:sz="6" w:space="0" w:color="auto"/>
              <w:left w:val="single" w:sz="4" w:space="0" w:color="000000"/>
              <w:bottom w:val="single" w:sz="4" w:space="0" w:color="000000"/>
              <w:right w:val="single" w:sz="4" w:space="0" w:color="000000"/>
            </w:tcBorders>
          </w:tcPr>
          <w:p>
            <w:pPr>
              <w:pStyle w:val="TableParagraph"/>
              <w:spacing w:line="149" w:lineRule="exact"/>
              <w:ind w:right="-1"/>
              <w:jc w:val="center"/>
              <w:rPr>
                <w:rFonts w:ascii="宋体" w:hAnsi="宋体" w:cs="宋体" w:eastAsia="宋体" w:hint="default"/>
                <w:sz w:val="15"/>
                <w:szCs w:val="15"/>
              </w:rPr>
            </w:pPr>
            <w:r>
              <w:rPr>
                <w:rFonts w:ascii="宋体" w:hAnsi="宋体" w:cs="宋体" w:eastAsia="宋体" w:hint="default"/>
                <w:sz w:val="15"/>
                <w:szCs w:val="15"/>
              </w:rPr>
              <w:t>格</w:t>
            </w:r>
            <w:r>
              <w:rPr>
                <w:rFonts w:ascii="宋体" w:hAnsi="宋体" w:cs="宋体" w:eastAsia="宋体" w:hint="default"/>
                <w:spacing w:val="-64"/>
                <w:sz w:val="15"/>
                <w:szCs w:val="15"/>
              </w:rPr>
              <w:t>，</w:t>
            </w:r>
            <w:r>
              <w:rPr>
                <w:rFonts w:ascii="宋体" w:hAnsi="宋体" w:cs="宋体" w:eastAsia="宋体" w:hint="default"/>
                <w:sz w:val="15"/>
                <w:szCs w:val="15"/>
              </w:rPr>
              <w:t>协商确定</w:t>
            </w:r>
          </w:p>
        </w:tc>
        <w:tc>
          <w:tcPr>
            <w:tcW w:w="590" w:type="dxa"/>
            <w:tcBorders>
              <w:top w:val="nil" w:sz="6" w:space="0" w:color="auto"/>
              <w:left w:val="single" w:sz="4" w:space="0" w:color="000000"/>
              <w:bottom w:val="single" w:sz="4" w:space="0" w:color="000000"/>
              <w:right w:val="single" w:sz="4" w:space="0" w:color="000000"/>
            </w:tcBorders>
          </w:tcPr>
          <w:p>
            <w:pPr>
              <w:pStyle w:val="TableParagraph"/>
              <w:spacing w:line="149" w:lineRule="exact"/>
              <w:ind w:right="1"/>
              <w:jc w:val="center"/>
              <w:rPr>
                <w:rFonts w:ascii="宋体" w:hAnsi="宋体" w:cs="宋体" w:eastAsia="宋体" w:hint="default"/>
                <w:sz w:val="15"/>
                <w:szCs w:val="15"/>
              </w:rPr>
            </w:pPr>
            <w:r>
              <w:rPr>
                <w:rFonts w:ascii="宋体" w:hAnsi="宋体" w:cs="宋体" w:eastAsia="宋体" w:hint="default"/>
                <w:sz w:val="15"/>
                <w:szCs w:val="15"/>
              </w:rPr>
              <w:t>场价格</w:t>
            </w:r>
          </w:p>
        </w:tc>
        <w:tc>
          <w:tcPr>
            <w:tcW w:w="726" w:type="dxa"/>
            <w:tcBorders>
              <w:top w:val="nil" w:sz="6" w:space="0" w:color="auto"/>
              <w:left w:val="single" w:sz="4" w:space="0" w:color="000000"/>
              <w:bottom w:val="single" w:sz="4" w:space="0" w:color="000000"/>
              <w:right w:val="single" w:sz="4" w:space="0" w:color="000000"/>
            </w:tcBorders>
          </w:tcPr>
          <w:p>
            <w:pPr/>
          </w:p>
        </w:tc>
        <w:tc>
          <w:tcPr>
            <w:tcW w:w="908" w:type="dxa"/>
            <w:tcBorders>
              <w:top w:val="nil" w:sz="6" w:space="0" w:color="auto"/>
              <w:left w:val="single" w:sz="4" w:space="0" w:color="000000"/>
              <w:bottom w:val="single" w:sz="4" w:space="0" w:color="000000"/>
              <w:right w:val="single" w:sz="4" w:space="0" w:color="000000"/>
            </w:tcBorders>
          </w:tcPr>
          <w:p>
            <w:pPr/>
          </w:p>
        </w:tc>
        <w:tc>
          <w:tcPr>
            <w:tcW w:w="806" w:type="dxa"/>
            <w:tcBorders>
              <w:top w:val="nil" w:sz="6" w:space="0" w:color="auto"/>
              <w:left w:val="single" w:sz="4" w:space="0" w:color="000000"/>
              <w:bottom w:val="single" w:sz="4" w:space="0" w:color="000000"/>
              <w:right w:val="single" w:sz="4" w:space="0" w:color="000000"/>
            </w:tcBorders>
          </w:tcPr>
          <w:p>
            <w:pPr/>
          </w:p>
        </w:tc>
        <w:tc>
          <w:tcPr>
            <w:tcW w:w="574" w:type="dxa"/>
            <w:tcBorders>
              <w:top w:val="nil" w:sz="6" w:space="0" w:color="auto"/>
              <w:left w:val="single" w:sz="4" w:space="0" w:color="000000"/>
              <w:bottom w:val="single" w:sz="4" w:space="0" w:color="000000"/>
              <w:right w:val="single" w:sz="4" w:space="0" w:color="000000"/>
            </w:tcBorders>
          </w:tcPr>
          <w:p>
            <w:pPr/>
          </w:p>
        </w:tc>
        <w:tc>
          <w:tcPr>
            <w:tcW w:w="720" w:type="dxa"/>
            <w:tcBorders>
              <w:top w:val="nil" w:sz="6" w:space="0" w:color="auto"/>
              <w:left w:val="single" w:sz="4" w:space="0" w:color="000000"/>
              <w:bottom w:val="single" w:sz="4" w:space="0" w:color="000000"/>
              <w:right w:val="single" w:sz="4" w:space="0" w:color="000000"/>
            </w:tcBorders>
          </w:tcPr>
          <w:p>
            <w:pPr>
              <w:pStyle w:val="TableParagraph"/>
              <w:spacing w:line="149" w:lineRule="exact"/>
              <w:ind w:right="0"/>
              <w:jc w:val="left"/>
              <w:rPr>
                <w:rFonts w:ascii="宋体" w:hAnsi="宋体" w:cs="宋体" w:eastAsia="宋体" w:hint="default"/>
                <w:sz w:val="15"/>
                <w:szCs w:val="15"/>
              </w:rPr>
            </w:pPr>
            <w:r>
              <w:rPr>
                <w:rFonts w:ascii="宋体" w:hAnsi="宋体" w:cs="宋体" w:eastAsia="宋体" w:hint="default"/>
                <w:sz w:val="15"/>
                <w:szCs w:val="15"/>
              </w:rPr>
              <w:t>约定</w:t>
            </w:r>
          </w:p>
        </w:tc>
        <w:tc>
          <w:tcPr>
            <w:tcW w:w="886" w:type="dxa"/>
            <w:tcBorders>
              <w:top w:val="nil" w:sz="6" w:space="0" w:color="auto"/>
              <w:left w:val="single" w:sz="4" w:space="0" w:color="000000"/>
              <w:bottom w:val="single" w:sz="4" w:space="0" w:color="000000"/>
              <w:right w:val="single" w:sz="4" w:space="0" w:color="000000"/>
            </w:tcBorders>
          </w:tcPr>
          <w:p>
            <w:pPr/>
          </w:p>
        </w:tc>
        <w:tc>
          <w:tcPr>
            <w:tcW w:w="866" w:type="dxa"/>
            <w:tcBorders>
              <w:top w:val="nil" w:sz="6" w:space="0" w:color="auto"/>
              <w:left w:val="single" w:sz="4" w:space="0" w:color="000000"/>
              <w:bottom w:val="single" w:sz="4" w:space="0" w:color="000000"/>
              <w:right w:val="single" w:sz="4" w:space="0" w:color="000000"/>
            </w:tcBorders>
          </w:tcPr>
          <w:p>
            <w:pPr>
              <w:pStyle w:val="TableParagraph"/>
              <w:spacing w:line="161" w:lineRule="exact"/>
              <w:ind w:left="-1"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28 </w:t>
            </w:r>
            <w:r>
              <w:rPr>
                <w:rFonts w:ascii="宋体" w:hAnsi="宋体" w:cs="宋体" w:eastAsia="宋体" w:hint="default"/>
                <w:sz w:val="15"/>
                <w:szCs w:val="15"/>
              </w:rPr>
              <w:t>日</w:t>
            </w:r>
          </w:p>
        </w:tc>
        <w:tc>
          <w:tcPr>
            <w:tcW w:w="755" w:type="dxa"/>
            <w:tcBorders>
              <w:top w:val="nil" w:sz="6" w:space="0" w:color="auto"/>
              <w:left w:val="single" w:sz="4" w:space="0" w:color="000000"/>
              <w:bottom w:val="single" w:sz="4" w:space="0" w:color="000000"/>
              <w:right w:val="single" w:sz="4" w:space="0" w:color="000000"/>
            </w:tcBorders>
          </w:tcPr>
          <w:p>
            <w:pPr>
              <w:pStyle w:val="TableParagraph"/>
              <w:spacing w:line="149" w:lineRule="exact"/>
              <w:ind w:left="-1" w:right="0"/>
              <w:jc w:val="left"/>
              <w:rPr>
                <w:rFonts w:ascii="宋体" w:hAnsi="宋体" w:cs="宋体" w:eastAsia="宋体" w:hint="default"/>
                <w:sz w:val="15"/>
                <w:szCs w:val="15"/>
              </w:rPr>
            </w:pPr>
            <w:r>
              <w:rPr>
                <w:rFonts w:ascii="宋体" w:hAnsi="宋体" w:cs="宋体" w:eastAsia="宋体" w:hint="default"/>
                <w:sz w:val="15"/>
                <w:szCs w:val="15"/>
              </w:rPr>
              <w:t>公告</w:t>
            </w:r>
          </w:p>
        </w:tc>
      </w:tr>
      <w:tr>
        <w:trPr>
          <w:trHeight w:val="316" w:hRule="exact"/>
        </w:trPr>
        <w:tc>
          <w:tcPr>
            <w:tcW w:w="1334" w:type="dxa"/>
            <w:tcBorders>
              <w:top w:val="single" w:sz="4" w:space="0" w:color="000000"/>
              <w:left w:val="single" w:sz="4" w:space="0" w:color="000000"/>
              <w:bottom w:val="nil" w:sz="6" w:space="0" w:color="auto"/>
              <w:right w:val="single" w:sz="4" w:space="0" w:color="000000"/>
            </w:tcBorders>
          </w:tcPr>
          <w:p>
            <w:pPr/>
          </w:p>
        </w:tc>
        <w:tc>
          <w:tcPr>
            <w:tcW w:w="908" w:type="dxa"/>
            <w:tcBorders>
              <w:top w:val="single" w:sz="4" w:space="0" w:color="000000"/>
              <w:left w:val="single" w:sz="4" w:space="0" w:color="000000"/>
              <w:bottom w:val="nil" w:sz="6" w:space="0" w:color="auto"/>
              <w:right w:val="single" w:sz="4" w:space="0" w:color="000000"/>
            </w:tcBorders>
          </w:tcPr>
          <w:p>
            <w:pPr/>
          </w:p>
        </w:tc>
        <w:tc>
          <w:tcPr>
            <w:tcW w:w="726" w:type="dxa"/>
            <w:tcBorders>
              <w:top w:val="single" w:sz="4" w:space="0" w:color="000000"/>
              <w:left w:val="single" w:sz="4" w:space="0" w:color="000000"/>
              <w:bottom w:val="nil" w:sz="6" w:space="0" w:color="auto"/>
              <w:right w:val="single" w:sz="4" w:space="0" w:color="000000"/>
            </w:tcBorders>
          </w:tcPr>
          <w:p>
            <w:pPr/>
          </w:p>
        </w:tc>
        <w:tc>
          <w:tcPr>
            <w:tcW w:w="78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3"/>
              <w:ind w:right="0"/>
              <w:jc w:val="left"/>
              <w:rPr>
                <w:rFonts w:ascii="宋体" w:hAnsi="宋体" w:cs="宋体" w:eastAsia="宋体" w:hint="default"/>
                <w:sz w:val="15"/>
                <w:szCs w:val="15"/>
              </w:rPr>
            </w:pPr>
            <w:r>
              <w:rPr>
                <w:rFonts w:ascii="宋体" w:hAnsi="宋体" w:cs="宋体" w:eastAsia="宋体" w:hint="default"/>
                <w:sz w:val="15"/>
                <w:szCs w:val="15"/>
              </w:rPr>
              <w:t>采购一体</w:t>
            </w:r>
          </w:p>
        </w:tc>
        <w:tc>
          <w:tcPr>
            <w:tcW w:w="846" w:type="dxa"/>
            <w:tcBorders>
              <w:top w:val="single" w:sz="4" w:space="0" w:color="000000"/>
              <w:left w:val="single" w:sz="4" w:space="0" w:color="000000"/>
              <w:bottom w:val="nil" w:sz="6" w:space="0" w:color="auto"/>
              <w:right w:val="single" w:sz="4" w:space="0" w:color="000000"/>
            </w:tcBorders>
          </w:tcPr>
          <w:p>
            <w:pPr/>
          </w:p>
        </w:tc>
        <w:tc>
          <w:tcPr>
            <w:tcW w:w="590" w:type="dxa"/>
            <w:tcBorders>
              <w:top w:val="single" w:sz="4" w:space="0" w:color="000000"/>
              <w:left w:val="single" w:sz="4" w:space="0" w:color="000000"/>
              <w:bottom w:val="nil" w:sz="6" w:space="0" w:color="auto"/>
              <w:right w:val="single" w:sz="4" w:space="0" w:color="000000"/>
            </w:tcBorders>
          </w:tcPr>
          <w:p>
            <w:pPr/>
          </w:p>
        </w:tc>
        <w:tc>
          <w:tcPr>
            <w:tcW w:w="726" w:type="dxa"/>
            <w:tcBorders>
              <w:top w:val="single" w:sz="4" w:space="0" w:color="000000"/>
              <w:left w:val="single" w:sz="4" w:space="0" w:color="000000"/>
              <w:bottom w:val="nil" w:sz="6" w:space="0" w:color="auto"/>
              <w:right w:val="single" w:sz="4" w:space="0" w:color="000000"/>
            </w:tcBorders>
          </w:tcPr>
          <w:p>
            <w:pPr/>
          </w:p>
        </w:tc>
        <w:tc>
          <w:tcPr>
            <w:tcW w:w="908" w:type="dxa"/>
            <w:tcBorders>
              <w:top w:val="single" w:sz="4" w:space="0" w:color="000000"/>
              <w:left w:val="single" w:sz="4" w:space="0" w:color="000000"/>
              <w:bottom w:val="nil" w:sz="6" w:space="0" w:color="auto"/>
              <w:right w:val="single" w:sz="4" w:space="0" w:color="000000"/>
            </w:tcBorders>
          </w:tcPr>
          <w:p>
            <w:pPr/>
          </w:p>
        </w:tc>
        <w:tc>
          <w:tcPr>
            <w:tcW w:w="806" w:type="dxa"/>
            <w:tcBorders>
              <w:top w:val="single" w:sz="4" w:space="0" w:color="000000"/>
              <w:left w:val="single" w:sz="4" w:space="0" w:color="000000"/>
              <w:bottom w:val="nil" w:sz="6" w:space="0" w:color="auto"/>
              <w:right w:val="single" w:sz="4" w:space="0" w:color="000000"/>
            </w:tcBorders>
          </w:tcPr>
          <w:p>
            <w:pPr/>
          </w:p>
        </w:tc>
        <w:tc>
          <w:tcPr>
            <w:tcW w:w="574" w:type="dxa"/>
            <w:tcBorders>
              <w:top w:val="single" w:sz="4" w:space="0" w:color="000000"/>
              <w:left w:val="single" w:sz="4" w:space="0" w:color="000000"/>
              <w:bottom w:val="nil" w:sz="6" w:space="0" w:color="auto"/>
              <w:right w:val="single" w:sz="4" w:space="0" w:color="000000"/>
            </w:tcBorders>
          </w:tcPr>
          <w:p>
            <w:pPr/>
          </w:p>
        </w:tc>
        <w:tc>
          <w:tcPr>
            <w:tcW w:w="720" w:type="dxa"/>
            <w:tcBorders>
              <w:top w:val="single" w:sz="4" w:space="0" w:color="000000"/>
              <w:left w:val="single" w:sz="4" w:space="0" w:color="000000"/>
              <w:bottom w:val="nil" w:sz="6" w:space="0" w:color="auto"/>
              <w:right w:val="single" w:sz="4" w:space="0" w:color="000000"/>
            </w:tcBorders>
          </w:tcPr>
          <w:p>
            <w:pPr/>
          </w:p>
        </w:tc>
        <w:tc>
          <w:tcPr>
            <w:tcW w:w="886" w:type="dxa"/>
            <w:tcBorders>
              <w:top w:val="single" w:sz="4" w:space="0" w:color="000000"/>
              <w:left w:val="single" w:sz="4" w:space="0" w:color="000000"/>
              <w:bottom w:val="nil" w:sz="6" w:space="0" w:color="auto"/>
              <w:right w:val="single" w:sz="4" w:space="0" w:color="000000"/>
            </w:tcBorders>
          </w:tcPr>
          <w:p>
            <w:pPr/>
          </w:p>
        </w:tc>
        <w:tc>
          <w:tcPr>
            <w:tcW w:w="866" w:type="dxa"/>
            <w:tcBorders>
              <w:top w:val="single" w:sz="4" w:space="0" w:color="000000"/>
              <w:left w:val="single" w:sz="4" w:space="0" w:color="000000"/>
              <w:bottom w:val="nil" w:sz="6" w:space="0" w:color="auto"/>
              <w:right w:val="single" w:sz="4" w:space="0" w:color="000000"/>
            </w:tcBorders>
          </w:tcPr>
          <w:p>
            <w:pPr/>
          </w:p>
        </w:tc>
        <w:tc>
          <w:tcPr>
            <w:tcW w:w="755" w:type="dxa"/>
            <w:tcBorders>
              <w:top w:val="single" w:sz="4" w:space="0" w:color="000000"/>
              <w:left w:val="single" w:sz="4" w:space="0" w:color="000000"/>
              <w:bottom w:val="nil" w:sz="6" w:space="0" w:color="auto"/>
              <w:right w:val="single" w:sz="4" w:space="0" w:color="000000"/>
            </w:tcBorders>
          </w:tcPr>
          <w:p>
            <w:pPr/>
          </w:p>
        </w:tc>
      </w:tr>
      <w:tr>
        <w:trPr>
          <w:trHeight w:val="238" w:hRule="exact"/>
        </w:trPr>
        <w:tc>
          <w:tcPr>
            <w:tcW w:w="1334"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1" w:right="0"/>
              <w:jc w:val="left"/>
              <w:rPr>
                <w:rFonts w:ascii="宋体" w:hAnsi="宋体" w:cs="宋体" w:eastAsia="宋体" w:hint="default"/>
                <w:sz w:val="15"/>
                <w:szCs w:val="15"/>
              </w:rPr>
            </w:pPr>
            <w:r>
              <w:rPr>
                <w:rFonts w:ascii="宋体" w:hAnsi="宋体" w:cs="宋体" w:eastAsia="宋体" w:hint="default"/>
                <w:sz w:val="15"/>
                <w:szCs w:val="15"/>
              </w:rPr>
              <w:t>湖南长城银河科技</w:t>
            </w:r>
          </w:p>
        </w:tc>
        <w:tc>
          <w:tcPr>
            <w:tcW w:w="908" w:type="dxa"/>
            <w:tcBorders>
              <w:top w:val="nil" w:sz="6" w:space="0" w:color="auto"/>
              <w:left w:val="single" w:sz="4" w:space="0" w:color="000000"/>
              <w:bottom w:val="nil" w:sz="6" w:space="0" w:color="auto"/>
              <w:right w:val="single" w:sz="4" w:space="0" w:color="000000"/>
            </w:tcBorders>
          </w:tcPr>
          <w:p>
            <w:pPr/>
          </w:p>
        </w:tc>
        <w:tc>
          <w:tcPr>
            <w:tcW w:w="726" w:type="dxa"/>
            <w:tcBorders>
              <w:top w:val="nil" w:sz="6" w:space="0" w:color="auto"/>
              <w:left w:val="single" w:sz="4" w:space="0" w:color="000000"/>
              <w:bottom w:val="nil" w:sz="6" w:space="0" w:color="auto"/>
              <w:right w:val="single" w:sz="4" w:space="0" w:color="000000"/>
            </w:tcBorders>
          </w:tcPr>
          <w:p>
            <w:pPr/>
          </w:p>
        </w:tc>
        <w:tc>
          <w:tcPr>
            <w:tcW w:w="788"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0"/>
              <w:jc w:val="left"/>
              <w:rPr>
                <w:rFonts w:ascii="宋体" w:hAnsi="宋体" w:cs="宋体" w:eastAsia="宋体" w:hint="default"/>
                <w:sz w:val="15"/>
                <w:szCs w:val="15"/>
              </w:rPr>
            </w:pPr>
            <w:r>
              <w:rPr>
                <w:rFonts w:ascii="宋体" w:hAnsi="宋体" w:cs="宋体" w:eastAsia="宋体" w:hint="default"/>
                <w:sz w:val="15"/>
                <w:szCs w:val="15"/>
              </w:rPr>
              <w:t>机、自主可</w:t>
            </w:r>
          </w:p>
        </w:tc>
        <w:tc>
          <w:tcPr>
            <w:tcW w:w="846"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84"/>
              <w:jc w:val="center"/>
              <w:rPr>
                <w:rFonts w:ascii="宋体" w:hAnsi="宋体" w:cs="宋体" w:eastAsia="宋体" w:hint="default"/>
                <w:sz w:val="15"/>
                <w:szCs w:val="15"/>
              </w:rPr>
            </w:pPr>
            <w:r>
              <w:rPr>
                <w:rFonts w:ascii="宋体" w:hAnsi="宋体" w:cs="宋体" w:eastAsia="宋体" w:hint="default"/>
                <w:sz w:val="15"/>
                <w:szCs w:val="15"/>
              </w:rPr>
              <w:t>根据市场价</w:t>
            </w:r>
          </w:p>
        </w:tc>
        <w:tc>
          <w:tcPr>
            <w:tcW w:w="590"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1"/>
              <w:jc w:val="center"/>
              <w:rPr>
                <w:rFonts w:ascii="宋体" w:hAnsi="宋体" w:cs="宋体" w:eastAsia="宋体" w:hint="default"/>
                <w:sz w:val="15"/>
                <w:szCs w:val="15"/>
              </w:rPr>
            </w:pPr>
            <w:r>
              <w:rPr>
                <w:rFonts w:ascii="宋体" w:hAnsi="宋体" w:cs="宋体" w:eastAsia="宋体" w:hint="default"/>
                <w:sz w:val="15"/>
                <w:szCs w:val="15"/>
              </w:rPr>
              <w:t>参考市</w:t>
            </w:r>
          </w:p>
        </w:tc>
        <w:tc>
          <w:tcPr>
            <w:tcW w:w="726" w:type="dxa"/>
            <w:tcBorders>
              <w:top w:val="nil" w:sz="6" w:space="0" w:color="auto"/>
              <w:left w:val="single" w:sz="4" w:space="0" w:color="000000"/>
              <w:bottom w:val="nil" w:sz="6" w:space="0" w:color="auto"/>
              <w:right w:val="single" w:sz="4" w:space="0" w:color="000000"/>
            </w:tcBorders>
          </w:tcPr>
          <w:p>
            <w:pPr/>
          </w:p>
        </w:tc>
        <w:tc>
          <w:tcPr>
            <w:tcW w:w="908" w:type="dxa"/>
            <w:tcBorders>
              <w:top w:val="nil" w:sz="6" w:space="0" w:color="auto"/>
              <w:left w:val="single" w:sz="4" w:space="0" w:color="000000"/>
              <w:bottom w:val="nil" w:sz="6" w:space="0" w:color="auto"/>
              <w:right w:val="single" w:sz="4" w:space="0" w:color="000000"/>
            </w:tcBorders>
          </w:tcPr>
          <w:p>
            <w:pPr/>
          </w:p>
        </w:tc>
        <w:tc>
          <w:tcPr>
            <w:tcW w:w="806" w:type="dxa"/>
            <w:tcBorders>
              <w:top w:val="nil" w:sz="6" w:space="0" w:color="auto"/>
              <w:left w:val="single" w:sz="4" w:space="0" w:color="000000"/>
              <w:bottom w:val="nil" w:sz="6" w:space="0" w:color="auto"/>
              <w:right w:val="single" w:sz="4" w:space="0" w:color="000000"/>
            </w:tcBorders>
          </w:tcPr>
          <w:p>
            <w:pPr/>
          </w:p>
        </w:tc>
        <w:tc>
          <w:tcPr>
            <w:tcW w:w="574" w:type="dxa"/>
            <w:tcBorders>
              <w:top w:val="nil" w:sz="6" w:space="0" w:color="auto"/>
              <w:left w:val="single" w:sz="4" w:space="0" w:color="000000"/>
              <w:bottom w:val="nil" w:sz="6" w:space="0" w:color="auto"/>
              <w:right w:val="single" w:sz="4" w:space="0" w:color="000000"/>
            </w:tcBorders>
          </w:tcPr>
          <w:p>
            <w:pPr/>
          </w:p>
        </w:tc>
        <w:tc>
          <w:tcPr>
            <w:tcW w:w="720"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0"/>
              <w:jc w:val="left"/>
              <w:rPr>
                <w:rFonts w:ascii="宋体" w:hAnsi="宋体" w:cs="宋体" w:eastAsia="宋体" w:hint="default"/>
                <w:sz w:val="15"/>
                <w:szCs w:val="15"/>
              </w:rPr>
            </w:pPr>
            <w:r>
              <w:rPr>
                <w:rFonts w:ascii="宋体" w:hAnsi="宋体" w:cs="宋体" w:eastAsia="宋体" w:hint="default"/>
                <w:sz w:val="15"/>
                <w:szCs w:val="15"/>
              </w:rPr>
              <w:t>根据合同</w:t>
            </w:r>
          </w:p>
        </w:tc>
        <w:tc>
          <w:tcPr>
            <w:tcW w:w="886" w:type="dxa"/>
            <w:tcBorders>
              <w:top w:val="nil" w:sz="6" w:space="0" w:color="auto"/>
              <w:left w:val="single" w:sz="4" w:space="0" w:color="000000"/>
              <w:bottom w:val="nil" w:sz="6" w:space="0" w:color="auto"/>
              <w:right w:val="single" w:sz="4" w:space="0" w:color="000000"/>
            </w:tcBorders>
          </w:tcPr>
          <w:p>
            <w:pPr/>
          </w:p>
        </w:tc>
        <w:tc>
          <w:tcPr>
            <w:tcW w:w="866"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1"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2018</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1</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月</w:t>
            </w:r>
          </w:p>
        </w:tc>
        <w:tc>
          <w:tcPr>
            <w:tcW w:w="755"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1" w:right="-2"/>
              <w:jc w:val="left"/>
              <w:rPr>
                <w:rFonts w:ascii="宋体" w:hAnsi="宋体" w:cs="宋体" w:eastAsia="宋体" w:hint="default"/>
                <w:sz w:val="15"/>
                <w:szCs w:val="15"/>
              </w:rPr>
            </w:pPr>
            <w:r>
              <w:rPr>
                <w:rFonts w:ascii="Times New Roman" w:hAnsi="Times New Roman" w:cs="Times New Roman" w:eastAsia="Times New Roman" w:hint="default"/>
                <w:sz w:val="15"/>
                <w:szCs w:val="15"/>
              </w:rPr>
              <w:t>2018-010</w:t>
            </w:r>
            <w:r>
              <w:rPr>
                <w:rFonts w:ascii="Times New Roman" w:hAnsi="Times New Roman" w:cs="Times New Roman" w:eastAsia="Times New Roman" w:hint="default"/>
                <w:spacing w:val="-20"/>
                <w:sz w:val="15"/>
                <w:szCs w:val="15"/>
              </w:rPr>
              <w:t> </w:t>
            </w:r>
            <w:r>
              <w:rPr>
                <w:rFonts w:ascii="宋体" w:hAnsi="宋体" w:cs="宋体" w:eastAsia="宋体" w:hint="default"/>
                <w:sz w:val="15"/>
                <w:szCs w:val="15"/>
              </w:rPr>
              <w:t>号</w:t>
            </w:r>
          </w:p>
        </w:tc>
      </w:tr>
      <w:tr>
        <w:trPr>
          <w:trHeight w:val="155" w:hRule="exact"/>
        </w:trPr>
        <w:tc>
          <w:tcPr>
            <w:tcW w:w="1334" w:type="dxa"/>
            <w:tcBorders>
              <w:top w:val="nil" w:sz="6" w:space="0" w:color="auto"/>
              <w:left w:val="single" w:sz="4" w:space="0" w:color="000000"/>
              <w:bottom w:val="nil" w:sz="6" w:space="0" w:color="auto"/>
              <w:right w:val="single" w:sz="4" w:space="0" w:color="000000"/>
            </w:tcBorders>
          </w:tcPr>
          <w:p>
            <w:pPr/>
          </w:p>
        </w:tc>
        <w:tc>
          <w:tcPr>
            <w:tcW w:w="908"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0"/>
              <w:jc w:val="left"/>
              <w:rPr>
                <w:rFonts w:ascii="宋体" w:hAnsi="宋体" w:cs="宋体" w:eastAsia="宋体" w:hint="default"/>
                <w:sz w:val="15"/>
                <w:szCs w:val="15"/>
              </w:rPr>
            </w:pPr>
            <w:r>
              <w:rPr>
                <w:rFonts w:ascii="宋体" w:hAnsi="宋体" w:cs="宋体" w:eastAsia="宋体" w:hint="default"/>
                <w:sz w:val="15"/>
                <w:szCs w:val="15"/>
              </w:rPr>
              <w:t>联营企业</w:t>
            </w:r>
          </w:p>
        </w:tc>
        <w:tc>
          <w:tcPr>
            <w:tcW w:w="726"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1"/>
              <w:jc w:val="center"/>
              <w:rPr>
                <w:rFonts w:ascii="宋体" w:hAnsi="宋体" w:cs="宋体" w:eastAsia="宋体" w:hint="default"/>
                <w:sz w:val="15"/>
                <w:szCs w:val="15"/>
              </w:rPr>
            </w:pPr>
            <w:r>
              <w:rPr>
                <w:rFonts w:ascii="宋体" w:hAnsi="宋体" w:cs="宋体" w:eastAsia="宋体" w:hint="default"/>
                <w:sz w:val="15"/>
                <w:szCs w:val="15"/>
              </w:rPr>
              <w:t>采购</w:t>
            </w:r>
          </w:p>
        </w:tc>
        <w:tc>
          <w:tcPr>
            <w:tcW w:w="788" w:type="dxa"/>
            <w:tcBorders>
              <w:top w:val="nil" w:sz="6" w:space="0" w:color="auto"/>
              <w:left w:val="single" w:sz="4" w:space="0" w:color="000000"/>
              <w:bottom w:val="nil" w:sz="6" w:space="0" w:color="auto"/>
              <w:right w:val="single" w:sz="4" w:space="0" w:color="000000"/>
            </w:tcBorders>
          </w:tcPr>
          <w:p>
            <w:pPr/>
          </w:p>
        </w:tc>
        <w:tc>
          <w:tcPr>
            <w:tcW w:w="846" w:type="dxa"/>
            <w:tcBorders>
              <w:top w:val="nil" w:sz="6" w:space="0" w:color="auto"/>
              <w:left w:val="single" w:sz="4" w:space="0" w:color="000000"/>
              <w:bottom w:val="nil" w:sz="6" w:space="0" w:color="auto"/>
              <w:right w:val="single" w:sz="4" w:space="0" w:color="000000"/>
            </w:tcBorders>
          </w:tcPr>
          <w:p>
            <w:pPr/>
          </w:p>
        </w:tc>
        <w:tc>
          <w:tcPr>
            <w:tcW w:w="590" w:type="dxa"/>
            <w:tcBorders>
              <w:top w:val="nil" w:sz="6" w:space="0" w:color="auto"/>
              <w:left w:val="single" w:sz="4" w:space="0" w:color="000000"/>
              <w:bottom w:val="nil" w:sz="6" w:space="0" w:color="auto"/>
              <w:right w:val="single" w:sz="4" w:space="0" w:color="000000"/>
            </w:tcBorders>
          </w:tcPr>
          <w:p>
            <w:pPr/>
          </w:p>
        </w:tc>
        <w:tc>
          <w:tcPr>
            <w:tcW w:w="726" w:type="dxa"/>
            <w:tcBorders>
              <w:top w:val="nil" w:sz="6" w:space="0" w:color="auto"/>
              <w:left w:val="single" w:sz="4" w:space="0" w:color="000000"/>
              <w:bottom w:val="nil" w:sz="6" w:space="0" w:color="auto"/>
              <w:right w:val="single" w:sz="4" w:space="0" w:color="000000"/>
            </w:tcBorders>
          </w:tcPr>
          <w:p>
            <w:pPr>
              <w:pStyle w:val="TableParagraph"/>
              <w:spacing w:line="159" w:lineRule="exact"/>
              <w:ind w:right="-1"/>
              <w:jc w:val="right"/>
              <w:rPr>
                <w:rFonts w:ascii="Times New Roman" w:hAnsi="Times New Roman" w:cs="Times New Roman" w:eastAsia="Times New Roman" w:hint="default"/>
                <w:sz w:val="15"/>
                <w:szCs w:val="15"/>
              </w:rPr>
            </w:pPr>
            <w:r>
              <w:rPr>
                <w:rFonts w:ascii="Times New Roman"/>
                <w:spacing w:val="-1"/>
                <w:sz w:val="15"/>
              </w:rPr>
              <w:t>1,643.74</w:t>
            </w:r>
          </w:p>
        </w:tc>
        <w:tc>
          <w:tcPr>
            <w:tcW w:w="908" w:type="dxa"/>
            <w:tcBorders>
              <w:top w:val="nil" w:sz="6" w:space="0" w:color="auto"/>
              <w:left w:val="single" w:sz="4" w:space="0" w:color="000000"/>
              <w:bottom w:val="nil" w:sz="6" w:space="0" w:color="auto"/>
              <w:right w:val="single" w:sz="4" w:space="0" w:color="000000"/>
            </w:tcBorders>
          </w:tcPr>
          <w:p>
            <w:pPr>
              <w:pStyle w:val="TableParagraph"/>
              <w:spacing w:line="159" w:lineRule="exact"/>
              <w:ind w:right="0"/>
              <w:jc w:val="center"/>
              <w:rPr>
                <w:rFonts w:ascii="Times New Roman" w:hAnsi="Times New Roman" w:cs="Times New Roman" w:eastAsia="Times New Roman" w:hint="default"/>
                <w:sz w:val="15"/>
                <w:szCs w:val="15"/>
              </w:rPr>
            </w:pPr>
            <w:r>
              <w:rPr>
                <w:rFonts w:ascii="Times New Roman"/>
                <w:sz w:val="15"/>
              </w:rPr>
              <w:t>0.21%</w:t>
            </w:r>
          </w:p>
        </w:tc>
        <w:tc>
          <w:tcPr>
            <w:tcW w:w="806" w:type="dxa"/>
            <w:tcBorders>
              <w:top w:val="nil" w:sz="6" w:space="0" w:color="auto"/>
              <w:left w:val="single" w:sz="4" w:space="0" w:color="000000"/>
              <w:bottom w:val="nil" w:sz="6" w:space="0" w:color="auto"/>
              <w:right w:val="single" w:sz="4" w:space="0" w:color="000000"/>
            </w:tcBorders>
          </w:tcPr>
          <w:p>
            <w:pPr>
              <w:pStyle w:val="TableParagraph"/>
              <w:spacing w:line="159" w:lineRule="exact"/>
              <w:ind w:right="-1"/>
              <w:jc w:val="right"/>
              <w:rPr>
                <w:rFonts w:ascii="Times New Roman" w:hAnsi="Times New Roman" w:cs="Times New Roman" w:eastAsia="Times New Roman" w:hint="default"/>
                <w:sz w:val="15"/>
                <w:szCs w:val="15"/>
              </w:rPr>
            </w:pPr>
            <w:r>
              <w:rPr>
                <w:rFonts w:ascii="Times New Roman"/>
                <w:spacing w:val="-1"/>
                <w:sz w:val="15"/>
              </w:rPr>
              <w:t>2,500.00</w:t>
            </w:r>
          </w:p>
        </w:tc>
        <w:tc>
          <w:tcPr>
            <w:tcW w:w="574"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0"/>
              <w:jc w:val="center"/>
              <w:rPr>
                <w:rFonts w:ascii="宋体" w:hAnsi="宋体" w:cs="宋体" w:eastAsia="宋体" w:hint="default"/>
                <w:sz w:val="15"/>
                <w:szCs w:val="15"/>
              </w:rPr>
            </w:pPr>
            <w:r>
              <w:rPr>
                <w:rFonts w:ascii="宋体" w:hAnsi="宋体" w:cs="宋体" w:eastAsia="宋体" w:hint="default"/>
                <w:sz w:val="15"/>
                <w:szCs w:val="15"/>
              </w:rPr>
              <w:t>否</w:t>
            </w:r>
          </w:p>
        </w:tc>
        <w:tc>
          <w:tcPr>
            <w:tcW w:w="720" w:type="dxa"/>
            <w:tcBorders>
              <w:top w:val="nil" w:sz="6" w:space="0" w:color="auto"/>
              <w:left w:val="single" w:sz="4" w:space="0" w:color="000000"/>
              <w:bottom w:val="nil" w:sz="6" w:space="0" w:color="auto"/>
              <w:right w:val="single" w:sz="4" w:space="0" w:color="000000"/>
            </w:tcBorders>
          </w:tcPr>
          <w:p>
            <w:pPr/>
          </w:p>
        </w:tc>
        <w:tc>
          <w:tcPr>
            <w:tcW w:w="886"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38" w:right="0"/>
              <w:jc w:val="left"/>
              <w:rPr>
                <w:rFonts w:ascii="宋体" w:hAnsi="宋体" w:cs="宋体" w:eastAsia="宋体" w:hint="default"/>
                <w:sz w:val="15"/>
                <w:szCs w:val="15"/>
              </w:rPr>
            </w:pPr>
            <w:r>
              <w:rPr>
                <w:rFonts w:ascii="宋体" w:hAnsi="宋体" w:cs="宋体" w:eastAsia="宋体" w:hint="default"/>
                <w:sz w:val="15"/>
                <w:szCs w:val="15"/>
              </w:rPr>
              <w:t>市场价格</w:t>
            </w:r>
          </w:p>
        </w:tc>
        <w:tc>
          <w:tcPr>
            <w:tcW w:w="866" w:type="dxa"/>
            <w:tcBorders>
              <w:top w:val="nil" w:sz="6" w:space="0" w:color="auto"/>
              <w:left w:val="single" w:sz="4" w:space="0" w:color="000000"/>
              <w:bottom w:val="nil" w:sz="6" w:space="0" w:color="auto"/>
              <w:right w:val="single" w:sz="4" w:space="0" w:color="000000"/>
            </w:tcBorders>
          </w:tcPr>
          <w:p>
            <w:pPr/>
          </w:p>
        </w:tc>
        <w:tc>
          <w:tcPr>
            <w:tcW w:w="755" w:type="dxa"/>
            <w:tcBorders>
              <w:top w:val="nil" w:sz="6" w:space="0" w:color="auto"/>
              <w:left w:val="single" w:sz="4" w:space="0" w:color="000000"/>
              <w:bottom w:val="nil" w:sz="6" w:space="0" w:color="auto"/>
              <w:right w:val="single" w:sz="4" w:space="0" w:color="000000"/>
            </w:tcBorders>
          </w:tcPr>
          <w:p>
            <w:pPr/>
          </w:p>
        </w:tc>
      </w:tr>
      <w:tr>
        <w:trPr>
          <w:trHeight w:val="235" w:hRule="exact"/>
        </w:trPr>
        <w:tc>
          <w:tcPr>
            <w:tcW w:w="1334"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0"/>
              <w:jc w:val="left"/>
              <w:rPr>
                <w:rFonts w:ascii="宋体" w:hAnsi="宋体" w:cs="宋体" w:eastAsia="宋体" w:hint="default"/>
                <w:sz w:val="15"/>
                <w:szCs w:val="15"/>
              </w:rPr>
            </w:pPr>
            <w:r>
              <w:rPr>
                <w:rFonts w:ascii="宋体" w:hAnsi="宋体" w:cs="宋体" w:eastAsia="宋体" w:hint="default"/>
                <w:sz w:val="15"/>
                <w:szCs w:val="15"/>
              </w:rPr>
              <w:t>有限公司</w:t>
            </w:r>
          </w:p>
        </w:tc>
        <w:tc>
          <w:tcPr>
            <w:tcW w:w="908" w:type="dxa"/>
            <w:tcBorders>
              <w:top w:val="nil" w:sz="6" w:space="0" w:color="auto"/>
              <w:left w:val="single" w:sz="4" w:space="0" w:color="000000"/>
              <w:bottom w:val="nil" w:sz="6" w:space="0" w:color="auto"/>
              <w:right w:val="single" w:sz="4" w:space="0" w:color="000000"/>
            </w:tcBorders>
          </w:tcPr>
          <w:p>
            <w:pPr/>
          </w:p>
        </w:tc>
        <w:tc>
          <w:tcPr>
            <w:tcW w:w="726" w:type="dxa"/>
            <w:tcBorders>
              <w:top w:val="nil" w:sz="6" w:space="0" w:color="auto"/>
              <w:left w:val="single" w:sz="4" w:space="0" w:color="000000"/>
              <w:bottom w:val="nil" w:sz="6" w:space="0" w:color="auto"/>
              <w:right w:val="single" w:sz="4" w:space="0" w:color="000000"/>
            </w:tcBorders>
          </w:tcPr>
          <w:p>
            <w:pPr/>
          </w:p>
        </w:tc>
        <w:tc>
          <w:tcPr>
            <w:tcW w:w="788"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0"/>
              <w:jc w:val="left"/>
              <w:rPr>
                <w:rFonts w:ascii="宋体" w:hAnsi="宋体" w:cs="宋体" w:eastAsia="宋体" w:hint="default"/>
                <w:sz w:val="15"/>
                <w:szCs w:val="15"/>
              </w:rPr>
            </w:pPr>
            <w:r>
              <w:rPr>
                <w:rFonts w:ascii="宋体" w:hAnsi="宋体" w:cs="宋体" w:eastAsia="宋体" w:hint="default"/>
                <w:sz w:val="15"/>
                <w:szCs w:val="15"/>
              </w:rPr>
              <w:t>控终端及服</w:t>
            </w:r>
          </w:p>
        </w:tc>
        <w:tc>
          <w:tcPr>
            <w:tcW w:w="846"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1"/>
              <w:jc w:val="center"/>
              <w:rPr>
                <w:rFonts w:ascii="宋体" w:hAnsi="宋体" w:cs="宋体" w:eastAsia="宋体" w:hint="default"/>
                <w:sz w:val="15"/>
                <w:szCs w:val="15"/>
              </w:rPr>
            </w:pPr>
            <w:r>
              <w:rPr>
                <w:rFonts w:ascii="宋体" w:hAnsi="宋体" w:cs="宋体" w:eastAsia="宋体" w:hint="default"/>
                <w:sz w:val="15"/>
                <w:szCs w:val="15"/>
              </w:rPr>
              <w:t>格</w:t>
            </w:r>
            <w:r>
              <w:rPr>
                <w:rFonts w:ascii="宋体" w:hAnsi="宋体" w:cs="宋体" w:eastAsia="宋体" w:hint="default"/>
                <w:spacing w:val="-64"/>
                <w:sz w:val="15"/>
                <w:szCs w:val="15"/>
              </w:rPr>
              <w:t>，</w:t>
            </w:r>
            <w:r>
              <w:rPr>
                <w:rFonts w:ascii="宋体" w:hAnsi="宋体" w:cs="宋体" w:eastAsia="宋体" w:hint="default"/>
                <w:sz w:val="15"/>
                <w:szCs w:val="15"/>
              </w:rPr>
              <w:t>协商确定</w:t>
            </w:r>
          </w:p>
        </w:tc>
        <w:tc>
          <w:tcPr>
            <w:tcW w:w="590"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1"/>
              <w:jc w:val="center"/>
              <w:rPr>
                <w:rFonts w:ascii="宋体" w:hAnsi="宋体" w:cs="宋体" w:eastAsia="宋体" w:hint="default"/>
                <w:sz w:val="15"/>
                <w:szCs w:val="15"/>
              </w:rPr>
            </w:pPr>
            <w:r>
              <w:rPr>
                <w:rFonts w:ascii="宋体" w:hAnsi="宋体" w:cs="宋体" w:eastAsia="宋体" w:hint="default"/>
                <w:sz w:val="15"/>
                <w:szCs w:val="15"/>
              </w:rPr>
              <w:t>场价格</w:t>
            </w:r>
          </w:p>
        </w:tc>
        <w:tc>
          <w:tcPr>
            <w:tcW w:w="726" w:type="dxa"/>
            <w:tcBorders>
              <w:top w:val="nil" w:sz="6" w:space="0" w:color="auto"/>
              <w:left w:val="single" w:sz="4" w:space="0" w:color="000000"/>
              <w:bottom w:val="nil" w:sz="6" w:space="0" w:color="auto"/>
              <w:right w:val="single" w:sz="4" w:space="0" w:color="000000"/>
            </w:tcBorders>
          </w:tcPr>
          <w:p>
            <w:pPr/>
          </w:p>
        </w:tc>
        <w:tc>
          <w:tcPr>
            <w:tcW w:w="908" w:type="dxa"/>
            <w:tcBorders>
              <w:top w:val="nil" w:sz="6" w:space="0" w:color="auto"/>
              <w:left w:val="single" w:sz="4" w:space="0" w:color="000000"/>
              <w:bottom w:val="nil" w:sz="6" w:space="0" w:color="auto"/>
              <w:right w:val="single" w:sz="4" w:space="0" w:color="000000"/>
            </w:tcBorders>
          </w:tcPr>
          <w:p>
            <w:pPr/>
          </w:p>
        </w:tc>
        <w:tc>
          <w:tcPr>
            <w:tcW w:w="806" w:type="dxa"/>
            <w:tcBorders>
              <w:top w:val="nil" w:sz="6" w:space="0" w:color="auto"/>
              <w:left w:val="single" w:sz="4" w:space="0" w:color="000000"/>
              <w:bottom w:val="nil" w:sz="6" w:space="0" w:color="auto"/>
              <w:right w:val="single" w:sz="4" w:space="0" w:color="000000"/>
            </w:tcBorders>
          </w:tcPr>
          <w:p>
            <w:pPr/>
          </w:p>
        </w:tc>
        <w:tc>
          <w:tcPr>
            <w:tcW w:w="574" w:type="dxa"/>
            <w:tcBorders>
              <w:top w:val="nil" w:sz="6" w:space="0" w:color="auto"/>
              <w:left w:val="single" w:sz="4" w:space="0" w:color="000000"/>
              <w:bottom w:val="nil" w:sz="6" w:space="0" w:color="auto"/>
              <w:right w:val="single" w:sz="4" w:space="0" w:color="000000"/>
            </w:tcBorders>
          </w:tcPr>
          <w:p>
            <w:pPr/>
          </w:p>
        </w:tc>
        <w:tc>
          <w:tcPr>
            <w:tcW w:w="720"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0"/>
              <w:jc w:val="left"/>
              <w:rPr>
                <w:rFonts w:ascii="宋体" w:hAnsi="宋体" w:cs="宋体" w:eastAsia="宋体" w:hint="default"/>
                <w:sz w:val="15"/>
                <w:szCs w:val="15"/>
              </w:rPr>
            </w:pPr>
            <w:r>
              <w:rPr>
                <w:rFonts w:ascii="宋体" w:hAnsi="宋体" w:cs="宋体" w:eastAsia="宋体" w:hint="default"/>
                <w:sz w:val="15"/>
                <w:szCs w:val="15"/>
              </w:rPr>
              <w:t>约定</w:t>
            </w:r>
          </w:p>
        </w:tc>
        <w:tc>
          <w:tcPr>
            <w:tcW w:w="886" w:type="dxa"/>
            <w:tcBorders>
              <w:top w:val="nil" w:sz="6" w:space="0" w:color="auto"/>
              <w:left w:val="single" w:sz="4" w:space="0" w:color="000000"/>
              <w:bottom w:val="nil" w:sz="6" w:space="0" w:color="auto"/>
              <w:right w:val="single" w:sz="4" w:space="0" w:color="000000"/>
            </w:tcBorders>
          </w:tcPr>
          <w:p>
            <w:pPr/>
          </w:p>
        </w:tc>
        <w:tc>
          <w:tcPr>
            <w:tcW w:w="866" w:type="dxa"/>
            <w:tcBorders>
              <w:top w:val="nil" w:sz="6" w:space="0" w:color="auto"/>
              <w:left w:val="single" w:sz="4" w:space="0" w:color="000000"/>
              <w:bottom w:val="nil" w:sz="6" w:space="0" w:color="auto"/>
              <w:right w:val="single" w:sz="4" w:space="0" w:color="000000"/>
            </w:tcBorders>
          </w:tcPr>
          <w:p>
            <w:pPr>
              <w:pStyle w:val="TableParagraph"/>
              <w:spacing w:line="161" w:lineRule="exact"/>
              <w:ind w:left="-1"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22 </w:t>
            </w:r>
            <w:r>
              <w:rPr>
                <w:rFonts w:ascii="宋体" w:hAnsi="宋体" w:cs="宋体" w:eastAsia="宋体" w:hint="default"/>
                <w:sz w:val="15"/>
                <w:szCs w:val="15"/>
              </w:rPr>
              <w:t>日</w:t>
            </w:r>
          </w:p>
        </w:tc>
        <w:tc>
          <w:tcPr>
            <w:tcW w:w="755"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0"/>
              <w:jc w:val="left"/>
              <w:rPr>
                <w:rFonts w:ascii="宋体" w:hAnsi="宋体" w:cs="宋体" w:eastAsia="宋体" w:hint="default"/>
                <w:sz w:val="15"/>
                <w:szCs w:val="15"/>
              </w:rPr>
            </w:pPr>
            <w:r>
              <w:rPr>
                <w:rFonts w:ascii="宋体" w:hAnsi="宋体" w:cs="宋体" w:eastAsia="宋体" w:hint="default"/>
                <w:sz w:val="15"/>
                <w:szCs w:val="15"/>
              </w:rPr>
              <w:t>公告</w:t>
            </w:r>
          </w:p>
        </w:tc>
      </w:tr>
      <w:tr>
        <w:trPr>
          <w:trHeight w:val="314" w:hRule="exact"/>
        </w:trPr>
        <w:tc>
          <w:tcPr>
            <w:tcW w:w="1334" w:type="dxa"/>
            <w:tcBorders>
              <w:top w:val="nil" w:sz="6" w:space="0" w:color="auto"/>
              <w:left w:val="single" w:sz="4" w:space="0" w:color="000000"/>
              <w:bottom w:val="single" w:sz="4" w:space="0" w:color="000000"/>
              <w:right w:val="single" w:sz="4" w:space="0" w:color="000000"/>
            </w:tcBorders>
          </w:tcPr>
          <w:p>
            <w:pPr/>
          </w:p>
        </w:tc>
        <w:tc>
          <w:tcPr>
            <w:tcW w:w="908" w:type="dxa"/>
            <w:tcBorders>
              <w:top w:val="nil" w:sz="6" w:space="0" w:color="auto"/>
              <w:left w:val="single" w:sz="4" w:space="0" w:color="000000"/>
              <w:bottom w:val="single" w:sz="4" w:space="0" w:color="000000"/>
              <w:right w:val="single" w:sz="4" w:space="0" w:color="000000"/>
            </w:tcBorders>
          </w:tcPr>
          <w:p>
            <w:pPr/>
          </w:p>
        </w:tc>
        <w:tc>
          <w:tcPr>
            <w:tcW w:w="726" w:type="dxa"/>
            <w:tcBorders>
              <w:top w:val="nil" w:sz="6" w:space="0" w:color="auto"/>
              <w:left w:val="single" w:sz="4" w:space="0" w:color="000000"/>
              <w:bottom w:val="single" w:sz="4" w:space="0" w:color="000000"/>
              <w:right w:val="single" w:sz="4" w:space="0" w:color="000000"/>
            </w:tcBorders>
          </w:tcPr>
          <w:p>
            <w:pPr/>
          </w:p>
        </w:tc>
        <w:tc>
          <w:tcPr>
            <w:tcW w:w="78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0"/>
              <w:ind w:right="0"/>
              <w:jc w:val="left"/>
              <w:rPr>
                <w:rFonts w:ascii="宋体" w:hAnsi="宋体" w:cs="宋体" w:eastAsia="宋体" w:hint="default"/>
                <w:sz w:val="15"/>
                <w:szCs w:val="15"/>
              </w:rPr>
            </w:pPr>
            <w:r>
              <w:rPr>
                <w:rFonts w:ascii="宋体" w:hAnsi="宋体" w:cs="宋体" w:eastAsia="宋体" w:hint="default"/>
                <w:sz w:val="15"/>
                <w:szCs w:val="15"/>
              </w:rPr>
              <w:t>务器产品</w:t>
            </w:r>
          </w:p>
        </w:tc>
        <w:tc>
          <w:tcPr>
            <w:tcW w:w="846" w:type="dxa"/>
            <w:tcBorders>
              <w:top w:val="nil" w:sz="6" w:space="0" w:color="auto"/>
              <w:left w:val="single" w:sz="4" w:space="0" w:color="000000"/>
              <w:bottom w:val="single" w:sz="4" w:space="0" w:color="000000"/>
              <w:right w:val="single" w:sz="4" w:space="0" w:color="000000"/>
            </w:tcBorders>
          </w:tcPr>
          <w:p>
            <w:pPr/>
          </w:p>
        </w:tc>
        <w:tc>
          <w:tcPr>
            <w:tcW w:w="590" w:type="dxa"/>
            <w:tcBorders>
              <w:top w:val="nil" w:sz="6" w:space="0" w:color="auto"/>
              <w:left w:val="single" w:sz="4" w:space="0" w:color="000000"/>
              <w:bottom w:val="single" w:sz="4" w:space="0" w:color="000000"/>
              <w:right w:val="single" w:sz="4" w:space="0" w:color="000000"/>
            </w:tcBorders>
          </w:tcPr>
          <w:p>
            <w:pPr/>
          </w:p>
        </w:tc>
        <w:tc>
          <w:tcPr>
            <w:tcW w:w="726" w:type="dxa"/>
            <w:tcBorders>
              <w:top w:val="nil" w:sz="6" w:space="0" w:color="auto"/>
              <w:left w:val="single" w:sz="4" w:space="0" w:color="000000"/>
              <w:bottom w:val="single" w:sz="4" w:space="0" w:color="000000"/>
              <w:right w:val="single" w:sz="4" w:space="0" w:color="000000"/>
            </w:tcBorders>
          </w:tcPr>
          <w:p>
            <w:pPr/>
          </w:p>
        </w:tc>
        <w:tc>
          <w:tcPr>
            <w:tcW w:w="908" w:type="dxa"/>
            <w:tcBorders>
              <w:top w:val="nil" w:sz="6" w:space="0" w:color="auto"/>
              <w:left w:val="single" w:sz="4" w:space="0" w:color="000000"/>
              <w:bottom w:val="single" w:sz="4" w:space="0" w:color="000000"/>
              <w:right w:val="single" w:sz="4" w:space="0" w:color="000000"/>
            </w:tcBorders>
          </w:tcPr>
          <w:p>
            <w:pPr/>
          </w:p>
        </w:tc>
        <w:tc>
          <w:tcPr>
            <w:tcW w:w="806" w:type="dxa"/>
            <w:tcBorders>
              <w:top w:val="nil" w:sz="6" w:space="0" w:color="auto"/>
              <w:left w:val="single" w:sz="4" w:space="0" w:color="000000"/>
              <w:bottom w:val="single" w:sz="4" w:space="0" w:color="000000"/>
              <w:right w:val="single" w:sz="4" w:space="0" w:color="000000"/>
            </w:tcBorders>
          </w:tcPr>
          <w:p>
            <w:pPr/>
          </w:p>
        </w:tc>
        <w:tc>
          <w:tcPr>
            <w:tcW w:w="574" w:type="dxa"/>
            <w:tcBorders>
              <w:top w:val="nil" w:sz="6" w:space="0" w:color="auto"/>
              <w:left w:val="single" w:sz="4" w:space="0" w:color="000000"/>
              <w:bottom w:val="single" w:sz="4" w:space="0" w:color="000000"/>
              <w:right w:val="single" w:sz="4" w:space="0" w:color="000000"/>
            </w:tcBorders>
          </w:tcPr>
          <w:p>
            <w:pPr/>
          </w:p>
        </w:tc>
        <w:tc>
          <w:tcPr>
            <w:tcW w:w="720" w:type="dxa"/>
            <w:tcBorders>
              <w:top w:val="nil" w:sz="6" w:space="0" w:color="auto"/>
              <w:left w:val="single" w:sz="4" w:space="0" w:color="000000"/>
              <w:bottom w:val="single" w:sz="4" w:space="0" w:color="000000"/>
              <w:right w:val="single" w:sz="4" w:space="0" w:color="000000"/>
            </w:tcBorders>
          </w:tcPr>
          <w:p>
            <w:pPr/>
          </w:p>
        </w:tc>
        <w:tc>
          <w:tcPr>
            <w:tcW w:w="886" w:type="dxa"/>
            <w:tcBorders>
              <w:top w:val="nil" w:sz="6" w:space="0" w:color="auto"/>
              <w:left w:val="single" w:sz="4" w:space="0" w:color="000000"/>
              <w:bottom w:val="single" w:sz="4" w:space="0" w:color="000000"/>
              <w:right w:val="single" w:sz="4" w:space="0" w:color="000000"/>
            </w:tcBorders>
          </w:tcPr>
          <w:p>
            <w:pPr/>
          </w:p>
        </w:tc>
        <w:tc>
          <w:tcPr>
            <w:tcW w:w="866" w:type="dxa"/>
            <w:tcBorders>
              <w:top w:val="nil" w:sz="6" w:space="0" w:color="auto"/>
              <w:left w:val="single" w:sz="4" w:space="0" w:color="000000"/>
              <w:bottom w:val="single" w:sz="4" w:space="0" w:color="000000"/>
              <w:right w:val="single" w:sz="4" w:space="0" w:color="000000"/>
            </w:tcBorders>
          </w:tcPr>
          <w:p>
            <w:pPr/>
          </w:p>
        </w:tc>
        <w:tc>
          <w:tcPr>
            <w:tcW w:w="755" w:type="dxa"/>
            <w:tcBorders>
              <w:top w:val="nil" w:sz="6" w:space="0" w:color="auto"/>
              <w:left w:val="single" w:sz="4" w:space="0" w:color="000000"/>
              <w:bottom w:val="single" w:sz="4" w:space="0" w:color="000000"/>
              <w:right w:val="single" w:sz="4" w:space="0" w:color="000000"/>
            </w:tcBorders>
          </w:tcPr>
          <w:p>
            <w:pPr/>
          </w:p>
        </w:tc>
      </w:tr>
      <w:tr>
        <w:trPr>
          <w:trHeight w:val="238" w:hRule="exact"/>
        </w:trPr>
        <w:tc>
          <w:tcPr>
            <w:tcW w:w="133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3"/>
              <w:ind w:left="-1" w:right="0"/>
              <w:jc w:val="left"/>
              <w:rPr>
                <w:rFonts w:ascii="宋体" w:hAnsi="宋体" w:cs="宋体" w:eastAsia="宋体" w:hint="default"/>
                <w:sz w:val="15"/>
                <w:szCs w:val="15"/>
              </w:rPr>
            </w:pPr>
            <w:r>
              <w:rPr>
                <w:rFonts w:ascii="宋体" w:hAnsi="宋体" w:cs="宋体" w:eastAsia="宋体" w:hint="default"/>
                <w:sz w:val="15"/>
                <w:szCs w:val="15"/>
              </w:rPr>
              <w:t>深圳中电国际信息</w:t>
            </w:r>
          </w:p>
        </w:tc>
        <w:tc>
          <w:tcPr>
            <w:tcW w:w="908" w:type="dxa"/>
            <w:tcBorders>
              <w:top w:val="single" w:sz="4" w:space="0" w:color="000000"/>
              <w:left w:val="single" w:sz="4" w:space="0" w:color="000000"/>
              <w:bottom w:val="nil" w:sz="6" w:space="0" w:color="auto"/>
              <w:right w:val="single" w:sz="4" w:space="0" w:color="000000"/>
            </w:tcBorders>
          </w:tcPr>
          <w:p>
            <w:pPr/>
          </w:p>
        </w:tc>
        <w:tc>
          <w:tcPr>
            <w:tcW w:w="726" w:type="dxa"/>
            <w:tcBorders>
              <w:top w:val="single" w:sz="4" w:space="0" w:color="000000"/>
              <w:left w:val="single" w:sz="4" w:space="0" w:color="000000"/>
              <w:bottom w:val="nil" w:sz="6" w:space="0" w:color="auto"/>
              <w:right w:val="single" w:sz="4" w:space="0" w:color="000000"/>
            </w:tcBorders>
          </w:tcPr>
          <w:p>
            <w:pPr/>
          </w:p>
        </w:tc>
        <w:tc>
          <w:tcPr>
            <w:tcW w:w="78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right="-1"/>
              <w:jc w:val="left"/>
              <w:rPr>
                <w:rFonts w:ascii="宋体" w:hAnsi="宋体" w:cs="宋体" w:eastAsia="宋体" w:hint="default"/>
                <w:sz w:val="13"/>
                <w:szCs w:val="13"/>
              </w:rPr>
            </w:pPr>
            <w:r>
              <w:rPr>
                <w:rFonts w:ascii="宋体" w:hAnsi="宋体" w:cs="宋体" w:eastAsia="宋体" w:hint="default"/>
                <w:sz w:val="13"/>
                <w:szCs w:val="13"/>
              </w:rPr>
              <w:t>采购显示屏、</w:t>
            </w:r>
          </w:p>
        </w:tc>
        <w:tc>
          <w:tcPr>
            <w:tcW w:w="846" w:type="dxa"/>
            <w:tcBorders>
              <w:top w:val="single" w:sz="4" w:space="0" w:color="000000"/>
              <w:left w:val="single" w:sz="4" w:space="0" w:color="000000"/>
              <w:bottom w:val="nil" w:sz="6" w:space="0" w:color="auto"/>
              <w:right w:val="single" w:sz="4" w:space="0" w:color="000000"/>
            </w:tcBorders>
          </w:tcPr>
          <w:p>
            <w:pPr/>
          </w:p>
        </w:tc>
        <w:tc>
          <w:tcPr>
            <w:tcW w:w="590" w:type="dxa"/>
            <w:tcBorders>
              <w:top w:val="single" w:sz="4" w:space="0" w:color="000000"/>
              <w:left w:val="single" w:sz="4" w:space="0" w:color="000000"/>
              <w:bottom w:val="nil" w:sz="6" w:space="0" w:color="auto"/>
              <w:right w:val="single" w:sz="4" w:space="0" w:color="000000"/>
            </w:tcBorders>
          </w:tcPr>
          <w:p>
            <w:pPr/>
          </w:p>
        </w:tc>
        <w:tc>
          <w:tcPr>
            <w:tcW w:w="726" w:type="dxa"/>
            <w:tcBorders>
              <w:top w:val="single" w:sz="4" w:space="0" w:color="000000"/>
              <w:left w:val="single" w:sz="4" w:space="0" w:color="000000"/>
              <w:bottom w:val="nil" w:sz="6" w:space="0" w:color="auto"/>
              <w:right w:val="single" w:sz="4" w:space="0" w:color="000000"/>
            </w:tcBorders>
          </w:tcPr>
          <w:p>
            <w:pPr/>
          </w:p>
        </w:tc>
        <w:tc>
          <w:tcPr>
            <w:tcW w:w="908" w:type="dxa"/>
            <w:tcBorders>
              <w:top w:val="single" w:sz="4" w:space="0" w:color="000000"/>
              <w:left w:val="single" w:sz="4" w:space="0" w:color="000000"/>
              <w:bottom w:val="nil" w:sz="6" w:space="0" w:color="auto"/>
              <w:right w:val="single" w:sz="4" w:space="0" w:color="000000"/>
            </w:tcBorders>
          </w:tcPr>
          <w:p>
            <w:pPr/>
          </w:p>
        </w:tc>
        <w:tc>
          <w:tcPr>
            <w:tcW w:w="806" w:type="dxa"/>
            <w:tcBorders>
              <w:top w:val="single" w:sz="4" w:space="0" w:color="000000"/>
              <w:left w:val="single" w:sz="4" w:space="0" w:color="000000"/>
              <w:bottom w:val="nil" w:sz="6" w:space="0" w:color="auto"/>
              <w:right w:val="single" w:sz="4" w:space="0" w:color="000000"/>
            </w:tcBorders>
          </w:tcPr>
          <w:p>
            <w:pPr/>
          </w:p>
        </w:tc>
        <w:tc>
          <w:tcPr>
            <w:tcW w:w="574" w:type="dxa"/>
            <w:tcBorders>
              <w:top w:val="single" w:sz="4" w:space="0" w:color="000000"/>
              <w:left w:val="single" w:sz="4" w:space="0" w:color="000000"/>
              <w:bottom w:val="nil" w:sz="6" w:space="0" w:color="auto"/>
              <w:right w:val="single" w:sz="4" w:space="0" w:color="000000"/>
            </w:tcBorders>
          </w:tcPr>
          <w:p>
            <w:pPr/>
          </w:p>
        </w:tc>
        <w:tc>
          <w:tcPr>
            <w:tcW w:w="720" w:type="dxa"/>
            <w:tcBorders>
              <w:top w:val="single" w:sz="4" w:space="0" w:color="000000"/>
              <w:left w:val="single" w:sz="4" w:space="0" w:color="000000"/>
              <w:bottom w:val="nil" w:sz="6" w:space="0" w:color="auto"/>
              <w:right w:val="single" w:sz="4" w:space="0" w:color="000000"/>
            </w:tcBorders>
          </w:tcPr>
          <w:p>
            <w:pPr/>
          </w:p>
        </w:tc>
        <w:tc>
          <w:tcPr>
            <w:tcW w:w="886" w:type="dxa"/>
            <w:tcBorders>
              <w:top w:val="single" w:sz="4" w:space="0" w:color="000000"/>
              <w:left w:val="single" w:sz="4" w:space="0" w:color="000000"/>
              <w:bottom w:val="nil" w:sz="6" w:space="0" w:color="auto"/>
              <w:right w:val="single" w:sz="4" w:space="0" w:color="000000"/>
            </w:tcBorders>
          </w:tcPr>
          <w:p>
            <w:pPr/>
          </w:p>
        </w:tc>
        <w:tc>
          <w:tcPr>
            <w:tcW w:w="866" w:type="dxa"/>
            <w:tcBorders>
              <w:top w:val="single" w:sz="4" w:space="0" w:color="000000"/>
              <w:left w:val="single" w:sz="4" w:space="0" w:color="000000"/>
              <w:bottom w:val="nil" w:sz="6" w:space="0" w:color="auto"/>
              <w:right w:val="single" w:sz="4" w:space="0" w:color="000000"/>
            </w:tcBorders>
          </w:tcPr>
          <w:p>
            <w:pPr/>
          </w:p>
        </w:tc>
        <w:tc>
          <w:tcPr>
            <w:tcW w:w="755" w:type="dxa"/>
            <w:tcBorders>
              <w:top w:val="single" w:sz="4" w:space="0" w:color="000000"/>
              <w:left w:val="single" w:sz="4" w:space="0" w:color="000000"/>
              <w:bottom w:val="nil" w:sz="6" w:space="0" w:color="auto"/>
              <w:right w:val="single" w:sz="4" w:space="0" w:color="000000"/>
            </w:tcBorders>
          </w:tcPr>
          <w:p>
            <w:pPr/>
          </w:p>
        </w:tc>
      </w:tr>
      <w:tr>
        <w:trPr>
          <w:trHeight w:val="160" w:hRule="exact"/>
        </w:trPr>
        <w:tc>
          <w:tcPr>
            <w:tcW w:w="1334" w:type="dxa"/>
            <w:tcBorders>
              <w:top w:val="nil" w:sz="6" w:space="0" w:color="auto"/>
              <w:left w:val="single" w:sz="4" w:space="0" w:color="000000"/>
              <w:bottom w:val="nil" w:sz="6" w:space="0" w:color="auto"/>
              <w:right w:val="single" w:sz="4" w:space="0" w:color="000000"/>
            </w:tcBorders>
          </w:tcPr>
          <w:p>
            <w:pPr/>
          </w:p>
        </w:tc>
        <w:tc>
          <w:tcPr>
            <w:tcW w:w="908" w:type="dxa"/>
            <w:tcBorders>
              <w:top w:val="nil" w:sz="6" w:space="0" w:color="auto"/>
              <w:left w:val="single" w:sz="4" w:space="0" w:color="000000"/>
              <w:bottom w:val="nil" w:sz="6" w:space="0" w:color="auto"/>
              <w:right w:val="single" w:sz="4" w:space="0" w:color="000000"/>
            </w:tcBorders>
          </w:tcPr>
          <w:p>
            <w:pPr>
              <w:pStyle w:val="TableParagraph"/>
              <w:spacing w:line="153" w:lineRule="exact"/>
              <w:ind w:left="1" w:right="0"/>
              <w:jc w:val="left"/>
              <w:rPr>
                <w:rFonts w:ascii="宋体" w:hAnsi="宋体" w:cs="宋体" w:eastAsia="宋体" w:hint="default"/>
                <w:sz w:val="15"/>
                <w:szCs w:val="15"/>
              </w:rPr>
            </w:pPr>
            <w:r>
              <w:rPr>
                <w:rFonts w:ascii="宋体" w:hAnsi="宋体" w:cs="宋体" w:eastAsia="宋体" w:hint="default"/>
                <w:sz w:val="15"/>
                <w:szCs w:val="15"/>
              </w:rPr>
              <w:t>受同一最终</w:t>
            </w:r>
          </w:p>
        </w:tc>
        <w:tc>
          <w:tcPr>
            <w:tcW w:w="726" w:type="dxa"/>
            <w:tcBorders>
              <w:top w:val="nil" w:sz="6" w:space="0" w:color="auto"/>
              <w:left w:val="single" w:sz="4" w:space="0" w:color="000000"/>
              <w:bottom w:val="nil" w:sz="6" w:space="0" w:color="auto"/>
              <w:right w:val="single" w:sz="4" w:space="0" w:color="000000"/>
            </w:tcBorders>
          </w:tcPr>
          <w:p>
            <w:pPr/>
          </w:p>
        </w:tc>
        <w:tc>
          <w:tcPr>
            <w:tcW w:w="788" w:type="dxa"/>
            <w:tcBorders>
              <w:top w:val="nil" w:sz="6" w:space="0" w:color="auto"/>
              <w:left w:val="single" w:sz="4" w:space="0" w:color="000000"/>
              <w:bottom w:val="nil" w:sz="6" w:space="0" w:color="auto"/>
              <w:right w:val="single" w:sz="4" w:space="0" w:color="000000"/>
            </w:tcBorders>
          </w:tcPr>
          <w:p>
            <w:pPr/>
          </w:p>
        </w:tc>
        <w:tc>
          <w:tcPr>
            <w:tcW w:w="846" w:type="dxa"/>
            <w:tcBorders>
              <w:top w:val="nil" w:sz="6" w:space="0" w:color="auto"/>
              <w:left w:val="single" w:sz="4" w:space="0" w:color="000000"/>
              <w:bottom w:val="nil" w:sz="6" w:space="0" w:color="auto"/>
              <w:right w:val="single" w:sz="4" w:space="0" w:color="000000"/>
            </w:tcBorders>
          </w:tcPr>
          <w:p>
            <w:pPr>
              <w:pStyle w:val="TableParagraph"/>
              <w:spacing w:line="153" w:lineRule="exact"/>
              <w:ind w:right="84"/>
              <w:jc w:val="center"/>
              <w:rPr>
                <w:rFonts w:ascii="宋体" w:hAnsi="宋体" w:cs="宋体" w:eastAsia="宋体" w:hint="default"/>
                <w:sz w:val="15"/>
                <w:szCs w:val="15"/>
              </w:rPr>
            </w:pPr>
            <w:r>
              <w:rPr>
                <w:rFonts w:ascii="宋体" w:hAnsi="宋体" w:cs="宋体" w:eastAsia="宋体" w:hint="default"/>
                <w:sz w:val="15"/>
                <w:szCs w:val="15"/>
              </w:rPr>
              <w:t>根据市场价</w:t>
            </w:r>
          </w:p>
        </w:tc>
        <w:tc>
          <w:tcPr>
            <w:tcW w:w="590" w:type="dxa"/>
            <w:tcBorders>
              <w:top w:val="nil" w:sz="6" w:space="0" w:color="auto"/>
              <w:left w:val="single" w:sz="4" w:space="0" w:color="000000"/>
              <w:bottom w:val="nil" w:sz="6" w:space="0" w:color="auto"/>
              <w:right w:val="single" w:sz="4" w:space="0" w:color="000000"/>
            </w:tcBorders>
          </w:tcPr>
          <w:p>
            <w:pPr>
              <w:pStyle w:val="TableParagraph"/>
              <w:spacing w:line="153" w:lineRule="exact"/>
              <w:ind w:right="1"/>
              <w:jc w:val="center"/>
              <w:rPr>
                <w:rFonts w:ascii="宋体" w:hAnsi="宋体" w:cs="宋体" w:eastAsia="宋体" w:hint="default"/>
                <w:sz w:val="15"/>
                <w:szCs w:val="15"/>
              </w:rPr>
            </w:pPr>
            <w:r>
              <w:rPr>
                <w:rFonts w:ascii="宋体" w:hAnsi="宋体" w:cs="宋体" w:eastAsia="宋体" w:hint="default"/>
                <w:sz w:val="15"/>
                <w:szCs w:val="15"/>
              </w:rPr>
              <w:t>参考市</w:t>
            </w:r>
          </w:p>
        </w:tc>
        <w:tc>
          <w:tcPr>
            <w:tcW w:w="726" w:type="dxa"/>
            <w:tcBorders>
              <w:top w:val="nil" w:sz="6" w:space="0" w:color="auto"/>
              <w:left w:val="single" w:sz="4" w:space="0" w:color="000000"/>
              <w:bottom w:val="nil" w:sz="6" w:space="0" w:color="auto"/>
              <w:right w:val="single" w:sz="4" w:space="0" w:color="000000"/>
            </w:tcBorders>
          </w:tcPr>
          <w:p>
            <w:pPr/>
          </w:p>
        </w:tc>
        <w:tc>
          <w:tcPr>
            <w:tcW w:w="908" w:type="dxa"/>
            <w:tcBorders>
              <w:top w:val="nil" w:sz="6" w:space="0" w:color="auto"/>
              <w:left w:val="single" w:sz="4" w:space="0" w:color="000000"/>
              <w:bottom w:val="nil" w:sz="6" w:space="0" w:color="auto"/>
              <w:right w:val="single" w:sz="4" w:space="0" w:color="000000"/>
            </w:tcBorders>
          </w:tcPr>
          <w:p>
            <w:pPr/>
          </w:p>
        </w:tc>
        <w:tc>
          <w:tcPr>
            <w:tcW w:w="806" w:type="dxa"/>
            <w:tcBorders>
              <w:top w:val="nil" w:sz="6" w:space="0" w:color="auto"/>
              <w:left w:val="single" w:sz="4" w:space="0" w:color="000000"/>
              <w:bottom w:val="nil" w:sz="6" w:space="0" w:color="auto"/>
              <w:right w:val="single" w:sz="4" w:space="0" w:color="000000"/>
            </w:tcBorders>
          </w:tcPr>
          <w:p>
            <w:pPr/>
          </w:p>
        </w:tc>
        <w:tc>
          <w:tcPr>
            <w:tcW w:w="574" w:type="dxa"/>
            <w:tcBorders>
              <w:top w:val="nil" w:sz="6" w:space="0" w:color="auto"/>
              <w:left w:val="single" w:sz="4" w:space="0" w:color="000000"/>
              <w:bottom w:val="nil" w:sz="6" w:space="0" w:color="auto"/>
              <w:right w:val="single" w:sz="4" w:space="0" w:color="000000"/>
            </w:tcBorders>
          </w:tcPr>
          <w:p>
            <w:pPr/>
          </w:p>
        </w:tc>
        <w:tc>
          <w:tcPr>
            <w:tcW w:w="720" w:type="dxa"/>
            <w:tcBorders>
              <w:top w:val="nil" w:sz="6" w:space="0" w:color="auto"/>
              <w:left w:val="single" w:sz="4" w:space="0" w:color="000000"/>
              <w:bottom w:val="nil" w:sz="6" w:space="0" w:color="auto"/>
              <w:right w:val="single" w:sz="4" w:space="0" w:color="000000"/>
            </w:tcBorders>
          </w:tcPr>
          <w:p>
            <w:pPr>
              <w:pStyle w:val="TableParagraph"/>
              <w:spacing w:line="153" w:lineRule="exact"/>
              <w:ind w:right="0"/>
              <w:jc w:val="left"/>
              <w:rPr>
                <w:rFonts w:ascii="宋体" w:hAnsi="宋体" w:cs="宋体" w:eastAsia="宋体" w:hint="default"/>
                <w:sz w:val="15"/>
                <w:szCs w:val="15"/>
              </w:rPr>
            </w:pPr>
            <w:r>
              <w:rPr>
                <w:rFonts w:ascii="宋体" w:hAnsi="宋体" w:cs="宋体" w:eastAsia="宋体" w:hint="default"/>
                <w:sz w:val="15"/>
                <w:szCs w:val="15"/>
              </w:rPr>
              <w:t>根据合同</w:t>
            </w:r>
          </w:p>
        </w:tc>
        <w:tc>
          <w:tcPr>
            <w:tcW w:w="886" w:type="dxa"/>
            <w:tcBorders>
              <w:top w:val="nil" w:sz="6" w:space="0" w:color="auto"/>
              <w:left w:val="single" w:sz="4" w:space="0" w:color="000000"/>
              <w:bottom w:val="nil" w:sz="6" w:space="0" w:color="auto"/>
              <w:right w:val="single" w:sz="4" w:space="0" w:color="000000"/>
            </w:tcBorders>
          </w:tcPr>
          <w:p>
            <w:pPr/>
          </w:p>
        </w:tc>
        <w:tc>
          <w:tcPr>
            <w:tcW w:w="866" w:type="dxa"/>
            <w:tcBorders>
              <w:top w:val="nil" w:sz="6" w:space="0" w:color="auto"/>
              <w:left w:val="single" w:sz="4" w:space="0" w:color="000000"/>
              <w:bottom w:val="nil" w:sz="6" w:space="0" w:color="auto"/>
              <w:right w:val="single" w:sz="4" w:space="0" w:color="000000"/>
            </w:tcBorders>
          </w:tcPr>
          <w:p>
            <w:pPr>
              <w:pStyle w:val="TableParagraph"/>
              <w:spacing w:line="164" w:lineRule="exact"/>
              <w:ind w:left="-1"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2018</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1</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月</w:t>
            </w:r>
          </w:p>
        </w:tc>
        <w:tc>
          <w:tcPr>
            <w:tcW w:w="755" w:type="dxa"/>
            <w:tcBorders>
              <w:top w:val="nil" w:sz="6" w:space="0" w:color="auto"/>
              <w:left w:val="single" w:sz="4" w:space="0" w:color="000000"/>
              <w:bottom w:val="nil" w:sz="6" w:space="0" w:color="auto"/>
              <w:right w:val="single" w:sz="4" w:space="0" w:color="000000"/>
            </w:tcBorders>
          </w:tcPr>
          <w:p>
            <w:pPr>
              <w:pStyle w:val="TableParagraph"/>
              <w:spacing w:line="164" w:lineRule="exact"/>
              <w:ind w:left="-1" w:right="-2"/>
              <w:jc w:val="left"/>
              <w:rPr>
                <w:rFonts w:ascii="宋体" w:hAnsi="宋体" w:cs="宋体" w:eastAsia="宋体" w:hint="default"/>
                <w:sz w:val="15"/>
                <w:szCs w:val="15"/>
              </w:rPr>
            </w:pPr>
            <w:r>
              <w:rPr>
                <w:rFonts w:ascii="Times New Roman" w:hAnsi="Times New Roman" w:cs="Times New Roman" w:eastAsia="Times New Roman" w:hint="default"/>
                <w:sz w:val="15"/>
                <w:szCs w:val="15"/>
              </w:rPr>
              <w:t>2018-010</w:t>
            </w:r>
            <w:r>
              <w:rPr>
                <w:rFonts w:ascii="Times New Roman" w:hAnsi="Times New Roman" w:cs="Times New Roman" w:eastAsia="Times New Roman" w:hint="default"/>
                <w:spacing w:val="-20"/>
                <w:sz w:val="15"/>
                <w:szCs w:val="15"/>
              </w:rPr>
              <w:t> </w:t>
            </w:r>
            <w:r>
              <w:rPr>
                <w:rFonts w:ascii="宋体" w:hAnsi="宋体" w:cs="宋体" w:eastAsia="宋体" w:hint="default"/>
                <w:sz w:val="15"/>
                <w:szCs w:val="15"/>
              </w:rPr>
              <w:t>号</w:t>
            </w:r>
          </w:p>
        </w:tc>
      </w:tr>
      <w:tr>
        <w:trPr>
          <w:trHeight w:val="155" w:hRule="exact"/>
        </w:trPr>
        <w:tc>
          <w:tcPr>
            <w:tcW w:w="1334"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1"/>
              <w:jc w:val="left"/>
              <w:rPr>
                <w:rFonts w:ascii="宋体" w:hAnsi="宋体" w:cs="宋体" w:eastAsia="宋体" w:hint="default"/>
                <w:sz w:val="15"/>
                <w:szCs w:val="15"/>
              </w:rPr>
            </w:pPr>
            <w:r>
              <w:rPr>
                <w:rFonts w:ascii="宋体" w:hAnsi="宋体" w:cs="宋体" w:eastAsia="宋体" w:hint="default"/>
                <w:spacing w:val="-3"/>
                <w:sz w:val="15"/>
                <w:szCs w:val="15"/>
              </w:rPr>
              <w:t>科技有限公司（含下</w:t>
            </w:r>
          </w:p>
        </w:tc>
        <w:tc>
          <w:tcPr>
            <w:tcW w:w="908" w:type="dxa"/>
            <w:tcBorders>
              <w:top w:val="nil" w:sz="6" w:space="0" w:color="auto"/>
              <w:left w:val="single" w:sz="4" w:space="0" w:color="000000"/>
              <w:bottom w:val="nil" w:sz="6" w:space="0" w:color="auto"/>
              <w:right w:val="single" w:sz="4" w:space="0" w:color="000000"/>
            </w:tcBorders>
          </w:tcPr>
          <w:p>
            <w:pPr/>
          </w:p>
        </w:tc>
        <w:tc>
          <w:tcPr>
            <w:tcW w:w="726"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1"/>
              <w:jc w:val="center"/>
              <w:rPr>
                <w:rFonts w:ascii="宋体" w:hAnsi="宋体" w:cs="宋体" w:eastAsia="宋体" w:hint="default"/>
                <w:sz w:val="15"/>
                <w:szCs w:val="15"/>
              </w:rPr>
            </w:pPr>
            <w:r>
              <w:rPr>
                <w:rFonts w:ascii="宋体" w:hAnsi="宋体" w:cs="宋体" w:eastAsia="宋体" w:hint="default"/>
                <w:sz w:val="15"/>
                <w:szCs w:val="15"/>
              </w:rPr>
              <w:t>采购</w:t>
            </w:r>
          </w:p>
        </w:tc>
        <w:tc>
          <w:tcPr>
            <w:tcW w:w="788" w:type="dxa"/>
            <w:tcBorders>
              <w:top w:val="nil" w:sz="6" w:space="0" w:color="auto"/>
              <w:left w:val="single" w:sz="4" w:space="0" w:color="000000"/>
              <w:bottom w:val="nil" w:sz="6" w:space="0" w:color="auto"/>
              <w:right w:val="single" w:sz="4" w:space="0" w:color="000000"/>
            </w:tcBorders>
          </w:tcPr>
          <w:p>
            <w:pPr>
              <w:pStyle w:val="TableParagraph"/>
              <w:spacing w:line="139" w:lineRule="exact"/>
              <w:ind w:right="0"/>
              <w:jc w:val="left"/>
              <w:rPr>
                <w:rFonts w:ascii="宋体" w:hAnsi="宋体" w:cs="宋体" w:eastAsia="宋体" w:hint="default"/>
                <w:sz w:val="13"/>
                <w:szCs w:val="13"/>
              </w:rPr>
            </w:pPr>
            <w:r>
              <w:rPr>
                <w:rFonts w:ascii="宋体" w:hAnsi="宋体" w:cs="宋体" w:eastAsia="宋体" w:hint="default"/>
                <w:sz w:val="13"/>
                <w:szCs w:val="13"/>
              </w:rPr>
              <w:t>零部件及电</w:t>
            </w:r>
          </w:p>
        </w:tc>
        <w:tc>
          <w:tcPr>
            <w:tcW w:w="846" w:type="dxa"/>
            <w:tcBorders>
              <w:top w:val="nil" w:sz="6" w:space="0" w:color="auto"/>
              <w:left w:val="single" w:sz="4" w:space="0" w:color="000000"/>
              <w:bottom w:val="nil" w:sz="6" w:space="0" w:color="auto"/>
              <w:right w:val="single" w:sz="4" w:space="0" w:color="000000"/>
            </w:tcBorders>
          </w:tcPr>
          <w:p>
            <w:pPr/>
          </w:p>
        </w:tc>
        <w:tc>
          <w:tcPr>
            <w:tcW w:w="590" w:type="dxa"/>
            <w:tcBorders>
              <w:top w:val="nil" w:sz="6" w:space="0" w:color="auto"/>
              <w:left w:val="single" w:sz="4" w:space="0" w:color="000000"/>
              <w:bottom w:val="nil" w:sz="6" w:space="0" w:color="auto"/>
              <w:right w:val="single" w:sz="4" w:space="0" w:color="000000"/>
            </w:tcBorders>
          </w:tcPr>
          <w:p>
            <w:pPr/>
          </w:p>
        </w:tc>
        <w:tc>
          <w:tcPr>
            <w:tcW w:w="726" w:type="dxa"/>
            <w:tcBorders>
              <w:top w:val="nil" w:sz="6" w:space="0" w:color="auto"/>
              <w:left w:val="single" w:sz="4" w:space="0" w:color="000000"/>
              <w:bottom w:val="nil" w:sz="6" w:space="0" w:color="auto"/>
              <w:right w:val="single" w:sz="4" w:space="0" w:color="000000"/>
            </w:tcBorders>
          </w:tcPr>
          <w:p>
            <w:pPr>
              <w:pStyle w:val="TableParagraph"/>
              <w:spacing w:line="159" w:lineRule="exact"/>
              <w:ind w:right="-1"/>
              <w:jc w:val="right"/>
              <w:rPr>
                <w:rFonts w:ascii="Times New Roman" w:hAnsi="Times New Roman" w:cs="Times New Roman" w:eastAsia="Times New Roman" w:hint="default"/>
                <w:sz w:val="15"/>
                <w:szCs w:val="15"/>
              </w:rPr>
            </w:pPr>
            <w:r>
              <w:rPr>
                <w:rFonts w:ascii="Times New Roman"/>
                <w:spacing w:val="-1"/>
                <w:sz w:val="15"/>
              </w:rPr>
              <w:t>1,598.84</w:t>
            </w:r>
          </w:p>
        </w:tc>
        <w:tc>
          <w:tcPr>
            <w:tcW w:w="908" w:type="dxa"/>
            <w:tcBorders>
              <w:top w:val="nil" w:sz="6" w:space="0" w:color="auto"/>
              <w:left w:val="single" w:sz="4" w:space="0" w:color="000000"/>
              <w:bottom w:val="nil" w:sz="6" w:space="0" w:color="auto"/>
              <w:right w:val="single" w:sz="4" w:space="0" w:color="000000"/>
            </w:tcBorders>
          </w:tcPr>
          <w:p>
            <w:pPr>
              <w:pStyle w:val="TableParagraph"/>
              <w:spacing w:line="159" w:lineRule="exact"/>
              <w:ind w:right="0"/>
              <w:jc w:val="center"/>
              <w:rPr>
                <w:rFonts w:ascii="Times New Roman" w:hAnsi="Times New Roman" w:cs="Times New Roman" w:eastAsia="Times New Roman" w:hint="default"/>
                <w:sz w:val="15"/>
                <w:szCs w:val="15"/>
              </w:rPr>
            </w:pPr>
            <w:r>
              <w:rPr>
                <w:rFonts w:ascii="Times New Roman"/>
                <w:sz w:val="15"/>
              </w:rPr>
              <w:t>0.20%</w:t>
            </w:r>
          </w:p>
        </w:tc>
        <w:tc>
          <w:tcPr>
            <w:tcW w:w="806" w:type="dxa"/>
            <w:tcBorders>
              <w:top w:val="nil" w:sz="6" w:space="0" w:color="auto"/>
              <w:left w:val="single" w:sz="4" w:space="0" w:color="000000"/>
              <w:bottom w:val="nil" w:sz="6" w:space="0" w:color="auto"/>
              <w:right w:val="single" w:sz="4" w:space="0" w:color="000000"/>
            </w:tcBorders>
          </w:tcPr>
          <w:p>
            <w:pPr>
              <w:pStyle w:val="TableParagraph"/>
              <w:spacing w:line="159" w:lineRule="exact"/>
              <w:ind w:right="-1"/>
              <w:jc w:val="right"/>
              <w:rPr>
                <w:rFonts w:ascii="Times New Roman" w:hAnsi="Times New Roman" w:cs="Times New Roman" w:eastAsia="Times New Roman" w:hint="default"/>
                <w:sz w:val="15"/>
                <w:szCs w:val="15"/>
              </w:rPr>
            </w:pPr>
            <w:r>
              <w:rPr>
                <w:rFonts w:ascii="Times New Roman"/>
                <w:spacing w:val="-2"/>
                <w:sz w:val="15"/>
              </w:rPr>
              <w:t>11,500.00</w:t>
            </w:r>
            <w:r>
              <w:rPr>
                <w:rFonts w:ascii="Times New Roman"/>
                <w:sz w:val="15"/>
              </w:rPr>
            </w:r>
          </w:p>
        </w:tc>
        <w:tc>
          <w:tcPr>
            <w:tcW w:w="574"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0"/>
              <w:jc w:val="center"/>
              <w:rPr>
                <w:rFonts w:ascii="宋体" w:hAnsi="宋体" w:cs="宋体" w:eastAsia="宋体" w:hint="default"/>
                <w:sz w:val="15"/>
                <w:szCs w:val="15"/>
              </w:rPr>
            </w:pPr>
            <w:r>
              <w:rPr>
                <w:rFonts w:ascii="宋体" w:hAnsi="宋体" w:cs="宋体" w:eastAsia="宋体" w:hint="default"/>
                <w:sz w:val="15"/>
                <w:szCs w:val="15"/>
              </w:rPr>
              <w:t>否</w:t>
            </w:r>
          </w:p>
        </w:tc>
        <w:tc>
          <w:tcPr>
            <w:tcW w:w="720" w:type="dxa"/>
            <w:tcBorders>
              <w:top w:val="nil" w:sz="6" w:space="0" w:color="auto"/>
              <w:left w:val="single" w:sz="4" w:space="0" w:color="000000"/>
              <w:bottom w:val="nil" w:sz="6" w:space="0" w:color="auto"/>
              <w:right w:val="single" w:sz="4" w:space="0" w:color="000000"/>
            </w:tcBorders>
          </w:tcPr>
          <w:p>
            <w:pPr/>
          </w:p>
        </w:tc>
        <w:tc>
          <w:tcPr>
            <w:tcW w:w="886"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38" w:right="0"/>
              <w:jc w:val="left"/>
              <w:rPr>
                <w:rFonts w:ascii="宋体" w:hAnsi="宋体" w:cs="宋体" w:eastAsia="宋体" w:hint="default"/>
                <w:sz w:val="15"/>
                <w:szCs w:val="15"/>
              </w:rPr>
            </w:pPr>
            <w:r>
              <w:rPr>
                <w:rFonts w:ascii="宋体" w:hAnsi="宋体" w:cs="宋体" w:eastAsia="宋体" w:hint="default"/>
                <w:sz w:val="15"/>
                <w:szCs w:val="15"/>
              </w:rPr>
              <w:t>市场价格</w:t>
            </w:r>
          </w:p>
        </w:tc>
        <w:tc>
          <w:tcPr>
            <w:tcW w:w="866" w:type="dxa"/>
            <w:tcBorders>
              <w:top w:val="nil" w:sz="6" w:space="0" w:color="auto"/>
              <w:left w:val="single" w:sz="4" w:space="0" w:color="000000"/>
              <w:bottom w:val="nil" w:sz="6" w:space="0" w:color="auto"/>
              <w:right w:val="single" w:sz="4" w:space="0" w:color="000000"/>
            </w:tcBorders>
          </w:tcPr>
          <w:p>
            <w:pPr/>
          </w:p>
        </w:tc>
        <w:tc>
          <w:tcPr>
            <w:tcW w:w="755" w:type="dxa"/>
            <w:tcBorders>
              <w:top w:val="nil" w:sz="6" w:space="0" w:color="auto"/>
              <w:left w:val="single" w:sz="4" w:space="0" w:color="000000"/>
              <w:bottom w:val="nil" w:sz="6" w:space="0" w:color="auto"/>
              <w:right w:val="single" w:sz="4" w:space="0" w:color="000000"/>
            </w:tcBorders>
          </w:tcPr>
          <w:p>
            <w:pPr/>
          </w:p>
        </w:tc>
      </w:tr>
      <w:tr>
        <w:trPr>
          <w:trHeight w:val="157" w:hRule="exact"/>
        </w:trPr>
        <w:tc>
          <w:tcPr>
            <w:tcW w:w="1334" w:type="dxa"/>
            <w:tcBorders>
              <w:top w:val="nil" w:sz="6" w:space="0" w:color="auto"/>
              <w:left w:val="single" w:sz="4" w:space="0" w:color="000000"/>
              <w:bottom w:val="nil" w:sz="6" w:space="0" w:color="auto"/>
              <w:right w:val="single" w:sz="4" w:space="0" w:color="000000"/>
            </w:tcBorders>
          </w:tcPr>
          <w:p>
            <w:pPr/>
          </w:p>
        </w:tc>
        <w:tc>
          <w:tcPr>
            <w:tcW w:w="908"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0"/>
              <w:jc w:val="left"/>
              <w:rPr>
                <w:rFonts w:ascii="宋体" w:hAnsi="宋体" w:cs="宋体" w:eastAsia="宋体" w:hint="default"/>
                <w:sz w:val="15"/>
                <w:szCs w:val="15"/>
              </w:rPr>
            </w:pPr>
            <w:r>
              <w:rPr>
                <w:rFonts w:ascii="宋体" w:hAnsi="宋体" w:cs="宋体" w:eastAsia="宋体" w:hint="default"/>
                <w:sz w:val="15"/>
                <w:szCs w:val="15"/>
              </w:rPr>
              <w:t>控制方控制</w:t>
            </w:r>
          </w:p>
        </w:tc>
        <w:tc>
          <w:tcPr>
            <w:tcW w:w="726" w:type="dxa"/>
            <w:tcBorders>
              <w:top w:val="nil" w:sz="6" w:space="0" w:color="auto"/>
              <w:left w:val="single" w:sz="4" w:space="0" w:color="000000"/>
              <w:bottom w:val="nil" w:sz="6" w:space="0" w:color="auto"/>
              <w:right w:val="single" w:sz="4" w:space="0" w:color="000000"/>
            </w:tcBorders>
          </w:tcPr>
          <w:p>
            <w:pPr/>
          </w:p>
        </w:tc>
        <w:tc>
          <w:tcPr>
            <w:tcW w:w="788" w:type="dxa"/>
            <w:tcBorders>
              <w:top w:val="nil" w:sz="6" w:space="0" w:color="auto"/>
              <w:left w:val="single" w:sz="4" w:space="0" w:color="000000"/>
              <w:bottom w:val="nil" w:sz="6" w:space="0" w:color="auto"/>
              <w:right w:val="single" w:sz="4" w:space="0" w:color="000000"/>
            </w:tcBorders>
          </w:tcPr>
          <w:p>
            <w:pPr/>
          </w:p>
        </w:tc>
        <w:tc>
          <w:tcPr>
            <w:tcW w:w="846"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1"/>
              <w:jc w:val="center"/>
              <w:rPr>
                <w:rFonts w:ascii="宋体" w:hAnsi="宋体" w:cs="宋体" w:eastAsia="宋体" w:hint="default"/>
                <w:sz w:val="15"/>
                <w:szCs w:val="15"/>
              </w:rPr>
            </w:pPr>
            <w:r>
              <w:rPr>
                <w:rFonts w:ascii="宋体" w:hAnsi="宋体" w:cs="宋体" w:eastAsia="宋体" w:hint="default"/>
                <w:sz w:val="15"/>
                <w:szCs w:val="15"/>
              </w:rPr>
              <w:t>格</w:t>
            </w:r>
            <w:r>
              <w:rPr>
                <w:rFonts w:ascii="宋体" w:hAnsi="宋体" w:cs="宋体" w:eastAsia="宋体" w:hint="default"/>
                <w:spacing w:val="-64"/>
                <w:sz w:val="15"/>
                <w:szCs w:val="15"/>
              </w:rPr>
              <w:t>，</w:t>
            </w:r>
            <w:r>
              <w:rPr>
                <w:rFonts w:ascii="宋体" w:hAnsi="宋体" w:cs="宋体" w:eastAsia="宋体" w:hint="default"/>
                <w:sz w:val="15"/>
                <w:szCs w:val="15"/>
              </w:rPr>
              <w:t>协商确定</w:t>
            </w:r>
          </w:p>
        </w:tc>
        <w:tc>
          <w:tcPr>
            <w:tcW w:w="590"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1"/>
              <w:jc w:val="center"/>
              <w:rPr>
                <w:rFonts w:ascii="宋体" w:hAnsi="宋体" w:cs="宋体" w:eastAsia="宋体" w:hint="default"/>
                <w:sz w:val="15"/>
                <w:szCs w:val="15"/>
              </w:rPr>
            </w:pPr>
            <w:r>
              <w:rPr>
                <w:rFonts w:ascii="宋体" w:hAnsi="宋体" w:cs="宋体" w:eastAsia="宋体" w:hint="default"/>
                <w:sz w:val="15"/>
                <w:szCs w:val="15"/>
              </w:rPr>
              <w:t>场价格</w:t>
            </w:r>
          </w:p>
        </w:tc>
        <w:tc>
          <w:tcPr>
            <w:tcW w:w="726" w:type="dxa"/>
            <w:tcBorders>
              <w:top w:val="nil" w:sz="6" w:space="0" w:color="auto"/>
              <w:left w:val="single" w:sz="4" w:space="0" w:color="000000"/>
              <w:bottom w:val="nil" w:sz="6" w:space="0" w:color="auto"/>
              <w:right w:val="single" w:sz="4" w:space="0" w:color="000000"/>
            </w:tcBorders>
          </w:tcPr>
          <w:p>
            <w:pPr/>
          </w:p>
        </w:tc>
        <w:tc>
          <w:tcPr>
            <w:tcW w:w="908" w:type="dxa"/>
            <w:tcBorders>
              <w:top w:val="nil" w:sz="6" w:space="0" w:color="auto"/>
              <w:left w:val="single" w:sz="4" w:space="0" w:color="000000"/>
              <w:bottom w:val="nil" w:sz="6" w:space="0" w:color="auto"/>
              <w:right w:val="single" w:sz="4" w:space="0" w:color="000000"/>
            </w:tcBorders>
          </w:tcPr>
          <w:p>
            <w:pPr/>
          </w:p>
        </w:tc>
        <w:tc>
          <w:tcPr>
            <w:tcW w:w="806" w:type="dxa"/>
            <w:tcBorders>
              <w:top w:val="nil" w:sz="6" w:space="0" w:color="auto"/>
              <w:left w:val="single" w:sz="4" w:space="0" w:color="000000"/>
              <w:bottom w:val="nil" w:sz="6" w:space="0" w:color="auto"/>
              <w:right w:val="single" w:sz="4" w:space="0" w:color="000000"/>
            </w:tcBorders>
          </w:tcPr>
          <w:p>
            <w:pPr/>
          </w:p>
        </w:tc>
        <w:tc>
          <w:tcPr>
            <w:tcW w:w="574" w:type="dxa"/>
            <w:tcBorders>
              <w:top w:val="nil" w:sz="6" w:space="0" w:color="auto"/>
              <w:left w:val="single" w:sz="4" w:space="0" w:color="000000"/>
              <w:bottom w:val="nil" w:sz="6" w:space="0" w:color="auto"/>
              <w:right w:val="single" w:sz="4" w:space="0" w:color="000000"/>
            </w:tcBorders>
          </w:tcPr>
          <w:p>
            <w:pPr/>
          </w:p>
        </w:tc>
        <w:tc>
          <w:tcPr>
            <w:tcW w:w="720"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0"/>
              <w:jc w:val="left"/>
              <w:rPr>
                <w:rFonts w:ascii="宋体" w:hAnsi="宋体" w:cs="宋体" w:eastAsia="宋体" w:hint="default"/>
                <w:sz w:val="15"/>
                <w:szCs w:val="15"/>
              </w:rPr>
            </w:pPr>
            <w:r>
              <w:rPr>
                <w:rFonts w:ascii="宋体" w:hAnsi="宋体" w:cs="宋体" w:eastAsia="宋体" w:hint="default"/>
                <w:sz w:val="15"/>
                <w:szCs w:val="15"/>
              </w:rPr>
              <w:t>约定</w:t>
            </w:r>
          </w:p>
        </w:tc>
        <w:tc>
          <w:tcPr>
            <w:tcW w:w="886" w:type="dxa"/>
            <w:tcBorders>
              <w:top w:val="nil" w:sz="6" w:space="0" w:color="auto"/>
              <w:left w:val="single" w:sz="4" w:space="0" w:color="000000"/>
              <w:bottom w:val="nil" w:sz="6" w:space="0" w:color="auto"/>
              <w:right w:val="single" w:sz="4" w:space="0" w:color="000000"/>
            </w:tcBorders>
          </w:tcPr>
          <w:p>
            <w:pPr/>
          </w:p>
        </w:tc>
        <w:tc>
          <w:tcPr>
            <w:tcW w:w="866" w:type="dxa"/>
            <w:tcBorders>
              <w:top w:val="nil" w:sz="6" w:space="0" w:color="auto"/>
              <w:left w:val="single" w:sz="4" w:space="0" w:color="000000"/>
              <w:bottom w:val="nil" w:sz="6" w:space="0" w:color="auto"/>
              <w:right w:val="single" w:sz="4" w:space="0" w:color="000000"/>
            </w:tcBorders>
          </w:tcPr>
          <w:p>
            <w:pPr>
              <w:pStyle w:val="TableParagraph"/>
              <w:spacing w:line="161" w:lineRule="exact"/>
              <w:ind w:left="-1"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22 </w:t>
            </w:r>
            <w:r>
              <w:rPr>
                <w:rFonts w:ascii="宋体" w:hAnsi="宋体" w:cs="宋体" w:eastAsia="宋体" w:hint="default"/>
                <w:sz w:val="15"/>
                <w:szCs w:val="15"/>
              </w:rPr>
              <w:t>日</w:t>
            </w:r>
          </w:p>
        </w:tc>
        <w:tc>
          <w:tcPr>
            <w:tcW w:w="755"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0"/>
              <w:jc w:val="left"/>
              <w:rPr>
                <w:rFonts w:ascii="宋体" w:hAnsi="宋体" w:cs="宋体" w:eastAsia="宋体" w:hint="default"/>
                <w:sz w:val="15"/>
                <w:szCs w:val="15"/>
              </w:rPr>
            </w:pPr>
            <w:r>
              <w:rPr>
                <w:rFonts w:ascii="宋体" w:hAnsi="宋体" w:cs="宋体" w:eastAsia="宋体" w:hint="default"/>
                <w:sz w:val="15"/>
                <w:szCs w:val="15"/>
              </w:rPr>
              <w:t>公告</w:t>
            </w:r>
          </w:p>
        </w:tc>
      </w:tr>
      <w:tr>
        <w:trPr>
          <w:trHeight w:val="236" w:hRule="exact"/>
        </w:trPr>
        <w:tc>
          <w:tcPr>
            <w:tcW w:w="1334" w:type="dxa"/>
            <w:tcBorders>
              <w:top w:val="nil" w:sz="6" w:space="0" w:color="auto"/>
              <w:left w:val="single" w:sz="4" w:space="0" w:color="000000"/>
              <w:bottom w:val="single" w:sz="4" w:space="0" w:color="000000"/>
              <w:right w:val="single" w:sz="4" w:space="0" w:color="000000"/>
            </w:tcBorders>
          </w:tcPr>
          <w:p>
            <w:pPr>
              <w:pStyle w:val="TableParagraph"/>
              <w:spacing w:line="149" w:lineRule="exact"/>
              <w:ind w:left="-1" w:right="0"/>
              <w:jc w:val="left"/>
              <w:rPr>
                <w:rFonts w:ascii="宋体" w:hAnsi="宋体" w:cs="宋体" w:eastAsia="宋体" w:hint="default"/>
                <w:sz w:val="15"/>
                <w:szCs w:val="15"/>
              </w:rPr>
            </w:pPr>
            <w:r>
              <w:rPr>
                <w:rFonts w:ascii="宋体" w:hAnsi="宋体" w:cs="宋体" w:eastAsia="宋体" w:hint="default"/>
                <w:sz w:val="15"/>
                <w:szCs w:val="15"/>
              </w:rPr>
              <w:t>属公司）</w:t>
            </w:r>
          </w:p>
        </w:tc>
        <w:tc>
          <w:tcPr>
            <w:tcW w:w="908" w:type="dxa"/>
            <w:tcBorders>
              <w:top w:val="nil" w:sz="6" w:space="0" w:color="auto"/>
              <w:left w:val="single" w:sz="4" w:space="0" w:color="000000"/>
              <w:bottom w:val="single" w:sz="4" w:space="0" w:color="000000"/>
              <w:right w:val="single" w:sz="4" w:space="0" w:color="000000"/>
            </w:tcBorders>
          </w:tcPr>
          <w:p>
            <w:pPr/>
          </w:p>
        </w:tc>
        <w:tc>
          <w:tcPr>
            <w:tcW w:w="726" w:type="dxa"/>
            <w:tcBorders>
              <w:top w:val="nil" w:sz="6" w:space="0" w:color="auto"/>
              <w:left w:val="single" w:sz="4" w:space="0" w:color="000000"/>
              <w:bottom w:val="single" w:sz="4" w:space="0" w:color="000000"/>
              <w:right w:val="single" w:sz="4" w:space="0" w:color="000000"/>
            </w:tcBorders>
          </w:tcPr>
          <w:p>
            <w:pPr/>
          </w:p>
        </w:tc>
        <w:tc>
          <w:tcPr>
            <w:tcW w:w="788" w:type="dxa"/>
            <w:tcBorders>
              <w:top w:val="nil" w:sz="6" w:space="0" w:color="auto"/>
              <w:left w:val="single" w:sz="4" w:space="0" w:color="000000"/>
              <w:bottom w:val="single" w:sz="4" w:space="0" w:color="000000"/>
              <w:right w:val="single" w:sz="4" w:space="0" w:color="000000"/>
            </w:tcBorders>
          </w:tcPr>
          <w:p>
            <w:pPr>
              <w:pStyle w:val="TableParagraph"/>
              <w:spacing w:line="139" w:lineRule="exact"/>
              <w:ind w:right="0"/>
              <w:jc w:val="left"/>
              <w:rPr>
                <w:rFonts w:ascii="宋体" w:hAnsi="宋体" w:cs="宋体" w:eastAsia="宋体" w:hint="default"/>
                <w:sz w:val="13"/>
                <w:szCs w:val="13"/>
              </w:rPr>
            </w:pPr>
            <w:r>
              <w:rPr>
                <w:rFonts w:ascii="宋体" w:hAnsi="宋体" w:cs="宋体" w:eastAsia="宋体" w:hint="default"/>
                <w:sz w:val="13"/>
                <w:szCs w:val="13"/>
              </w:rPr>
              <w:t>子元器件</w:t>
            </w:r>
          </w:p>
        </w:tc>
        <w:tc>
          <w:tcPr>
            <w:tcW w:w="846" w:type="dxa"/>
            <w:tcBorders>
              <w:top w:val="nil" w:sz="6" w:space="0" w:color="auto"/>
              <w:left w:val="single" w:sz="4" w:space="0" w:color="000000"/>
              <w:bottom w:val="single" w:sz="4" w:space="0" w:color="000000"/>
              <w:right w:val="single" w:sz="4" w:space="0" w:color="000000"/>
            </w:tcBorders>
          </w:tcPr>
          <w:p>
            <w:pPr/>
          </w:p>
        </w:tc>
        <w:tc>
          <w:tcPr>
            <w:tcW w:w="590" w:type="dxa"/>
            <w:tcBorders>
              <w:top w:val="nil" w:sz="6" w:space="0" w:color="auto"/>
              <w:left w:val="single" w:sz="4" w:space="0" w:color="000000"/>
              <w:bottom w:val="single" w:sz="4" w:space="0" w:color="000000"/>
              <w:right w:val="single" w:sz="4" w:space="0" w:color="000000"/>
            </w:tcBorders>
          </w:tcPr>
          <w:p>
            <w:pPr/>
          </w:p>
        </w:tc>
        <w:tc>
          <w:tcPr>
            <w:tcW w:w="726" w:type="dxa"/>
            <w:tcBorders>
              <w:top w:val="nil" w:sz="6" w:space="0" w:color="auto"/>
              <w:left w:val="single" w:sz="4" w:space="0" w:color="000000"/>
              <w:bottom w:val="single" w:sz="4" w:space="0" w:color="000000"/>
              <w:right w:val="single" w:sz="4" w:space="0" w:color="000000"/>
            </w:tcBorders>
          </w:tcPr>
          <w:p>
            <w:pPr/>
          </w:p>
        </w:tc>
        <w:tc>
          <w:tcPr>
            <w:tcW w:w="908" w:type="dxa"/>
            <w:tcBorders>
              <w:top w:val="nil" w:sz="6" w:space="0" w:color="auto"/>
              <w:left w:val="single" w:sz="4" w:space="0" w:color="000000"/>
              <w:bottom w:val="single" w:sz="4" w:space="0" w:color="000000"/>
              <w:right w:val="single" w:sz="4" w:space="0" w:color="000000"/>
            </w:tcBorders>
          </w:tcPr>
          <w:p>
            <w:pPr/>
          </w:p>
        </w:tc>
        <w:tc>
          <w:tcPr>
            <w:tcW w:w="806" w:type="dxa"/>
            <w:tcBorders>
              <w:top w:val="nil" w:sz="6" w:space="0" w:color="auto"/>
              <w:left w:val="single" w:sz="4" w:space="0" w:color="000000"/>
              <w:bottom w:val="single" w:sz="4" w:space="0" w:color="000000"/>
              <w:right w:val="single" w:sz="4" w:space="0" w:color="000000"/>
            </w:tcBorders>
          </w:tcPr>
          <w:p>
            <w:pPr/>
          </w:p>
        </w:tc>
        <w:tc>
          <w:tcPr>
            <w:tcW w:w="574" w:type="dxa"/>
            <w:tcBorders>
              <w:top w:val="nil" w:sz="6" w:space="0" w:color="auto"/>
              <w:left w:val="single" w:sz="4" w:space="0" w:color="000000"/>
              <w:bottom w:val="single" w:sz="4" w:space="0" w:color="000000"/>
              <w:right w:val="single" w:sz="4" w:space="0" w:color="000000"/>
            </w:tcBorders>
          </w:tcPr>
          <w:p>
            <w:pPr/>
          </w:p>
        </w:tc>
        <w:tc>
          <w:tcPr>
            <w:tcW w:w="720" w:type="dxa"/>
            <w:tcBorders>
              <w:top w:val="nil" w:sz="6" w:space="0" w:color="auto"/>
              <w:left w:val="single" w:sz="4" w:space="0" w:color="000000"/>
              <w:bottom w:val="single" w:sz="4" w:space="0" w:color="000000"/>
              <w:right w:val="single" w:sz="4" w:space="0" w:color="000000"/>
            </w:tcBorders>
          </w:tcPr>
          <w:p>
            <w:pPr/>
          </w:p>
        </w:tc>
        <w:tc>
          <w:tcPr>
            <w:tcW w:w="886" w:type="dxa"/>
            <w:tcBorders>
              <w:top w:val="nil" w:sz="6" w:space="0" w:color="auto"/>
              <w:left w:val="single" w:sz="4" w:space="0" w:color="000000"/>
              <w:bottom w:val="single" w:sz="4" w:space="0" w:color="000000"/>
              <w:right w:val="single" w:sz="4" w:space="0" w:color="000000"/>
            </w:tcBorders>
          </w:tcPr>
          <w:p>
            <w:pPr/>
          </w:p>
        </w:tc>
        <w:tc>
          <w:tcPr>
            <w:tcW w:w="866" w:type="dxa"/>
            <w:tcBorders>
              <w:top w:val="nil" w:sz="6" w:space="0" w:color="auto"/>
              <w:left w:val="single" w:sz="4" w:space="0" w:color="000000"/>
              <w:bottom w:val="single" w:sz="4" w:space="0" w:color="000000"/>
              <w:right w:val="single" w:sz="4" w:space="0" w:color="000000"/>
            </w:tcBorders>
          </w:tcPr>
          <w:p>
            <w:pPr/>
          </w:p>
        </w:tc>
        <w:tc>
          <w:tcPr>
            <w:tcW w:w="755" w:type="dxa"/>
            <w:tcBorders>
              <w:top w:val="nil" w:sz="6" w:space="0" w:color="auto"/>
              <w:left w:val="single" w:sz="4" w:space="0" w:color="000000"/>
              <w:bottom w:val="single" w:sz="4" w:space="0" w:color="000000"/>
              <w:right w:val="single" w:sz="4" w:space="0" w:color="000000"/>
            </w:tcBorders>
          </w:tcPr>
          <w:p>
            <w:pPr/>
          </w:p>
        </w:tc>
      </w:tr>
      <w:tr>
        <w:trPr>
          <w:trHeight w:val="239" w:hRule="exact"/>
        </w:trPr>
        <w:tc>
          <w:tcPr>
            <w:tcW w:w="133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4"/>
              <w:ind w:left="-1" w:right="-1"/>
              <w:jc w:val="left"/>
              <w:rPr>
                <w:rFonts w:ascii="宋体" w:hAnsi="宋体" w:cs="宋体" w:eastAsia="宋体" w:hint="default"/>
                <w:sz w:val="15"/>
                <w:szCs w:val="15"/>
              </w:rPr>
            </w:pPr>
            <w:r>
              <w:rPr>
                <w:rFonts w:ascii="宋体" w:hAnsi="宋体" w:cs="宋体" w:eastAsia="宋体" w:hint="default"/>
                <w:spacing w:val="-3"/>
                <w:sz w:val="15"/>
                <w:szCs w:val="15"/>
              </w:rPr>
              <w:t>盛科网络（苏州）有</w:t>
            </w:r>
          </w:p>
        </w:tc>
        <w:tc>
          <w:tcPr>
            <w:tcW w:w="90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4"/>
              <w:ind w:left="1" w:right="0"/>
              <w:jc w:val="left"/>
              <w:rPr>
                <w:rFonts w:ascii="宋体" w:hAnsi="宋体" w:cs="宋体" w:eastAsia="宋体" w:hint="default"/>
                <w:sz w:val="15"/>
                <w:szCs w:val="15"/>
              </w:rPr>
            </w:pPr>
            <w:r>
              <w:rPr>
                <w:rFonts w:ascii="宋体" w:hAnsi="宋体" w:cs="宋体" w:eastAsia="宋体" w:hint="default"/>
                <w:sz w:val="15"/>
                <w:szCs w:val="15"/>
              </w:rPr>
              <w:t>上市公司规</w:t>
            </w:r>
          </w:p>
        </w:tc>
        <w:tc>
          <w:tcPr>
            <w:tcW w:w="726" w:type="dxa"/>
            <w:tcBorders>
              <w:top w:val="single" w:sz="4" w:space="0" w:color="000000"/>
              <w:left w:val="single" w:sz="4" w:space="0" w:color="000000"/>
              <w:bottom w:val="nil" w:sz="6" w:space="0" w:color="auto"/>
              <w:right w:val="single" w:sz="4" w:space="0" w:color="000000"/>
            </w:tcBorders>
          </w:tcPr>
          <w:p>
            <w:pPr/>
          </w:p>
        </w:tc>
        <w:tc>
          <w:tcPr>
            <w:tcW w:w="788" w:type="dxa"/>
            <w:tcBorders>
              <w:top w:val="single" w:sz="4" w:space="0" w:color="000000"/>
              <w:left w:val="single" w:sz="4" w:space="0" w:color="000000"/>
              <w:bottom w:val="nil" w:sz="6" w:space="0" w:color="auto"/>
              <w:right w:val="single" w:sz="4" w:space="0" w:color="000000"/>
            </w:tcBorders>
          </w:tcPr>
          <w:p>
            <w:pPr/>
          </w:p>
        </w:tc>
        <w:tc>
          <w:tcPr>
            <w:tcW w:w="84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4"/>
              <w:ind w:right="84"/>
              <w:jc w:val="center"/>
              <w:rPr>
                <w:rFonts w:ascii="宋体" w:hAnsi="宋体" w:cs="宋体" w:eastAsia="宋体" w:hint="default"/>
                <w:sz w:val="15"/>
                <w:szCs w:val="15"/>
              </w:rPr>
            </w:pPr>
            <w:r>
              <w:rPr>
                <w:rFonts w:ascii="宋体" w:hAnsi="宋体" w:cs="宋体" w:eastAsia="宋体" w:hint="default"/>
                <w:sz w:val="15"/>
                <w:szCs w:val="15"/>
              </w:rPr>
              <w:t>根据市场价</w:t>
            </w:r>
          </w:p>
        </w:tc>
        <w:tc>
          <w:tcPr>
            <w:tcW w:w="59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4"/>
              <w:ind w:right="1"/>
              <w:jc w:val="center"/>
              <w:rPr>
                <w:rFonts w:ascii="宋体" w:hAnsi="宋体" w:cs="宋体" w:eastAsia="宋体" w:hint="default"/>
                <w:sz w:val="15"/>
                <w:szCs w:val="15"/>
              </w:rPr>
            </w:pPr>
            <w:r>
              <w:rPr>
                <w:rFonts w:ascii="宋体" w:hAnsi="宋体" w:cs="宋体" w:eastAsia="宋体" w:hint="default"/>
                <w:sz w:val="15"/>
                <w:szCs w:val="15"/>
              </w:rPr>
              <w:t>参考市</w:t>
            </w:r>
          </w:p>
        </w:tc>
        <w:tc>
          <w:tcPr>
            <w:tcW w:w="726" w:type="dxa"/>
            <w:tcBorders>
              <w:top w:val="single" w:sz="4" w:space="0" w:color="000000"/>
              <w:left w:val="single" w:sz="4" w:space="0" w:color="000000"/>
              <w:bottom w:val="nil" w:sz="6" w:space="0" w:color="auto"/>
              <w:right w:val="single" w:sz="4" w:space="0" w:color="000000"/>
            </w:tcBorders>
          </w:tcPr>
          <w:p>
            <w:pPr/>
          </w:p>
        </w:tc>
        <w:tc>
          <w:tcPr>
            <w:tcW w:w="908" w:type="dxa"/>
            <w:tcBorders>
              <w:top w:val="single" w:sz="4" w:space="0" w:color="000000"/>
              <w:left w:val="single" w:sz="4" w:space="0" w:color="000000"/>
              <w:bottom w:val="nil" w:sz="6" w:space="0" w:color="auto"/>
              <w:right w:val="single" w:sz="4" w:space="0" w:color="000000"/>
            </w:tcBorders>
          </w:tcPr>
          <w:p>
            <w:pPr/>
          </w:p>
        </w:tc>
        <w:tc>
          <w:tcPr>
            <w:tcW w:w="806" w:type="dxa"/>
            <w:vMerge w:val="restart"/>
            <w:tcBorders>
              <w:top w:val="single" w:sz="4" w:space="0" w:color="000000"/>
              <w:left w:val="single" w:sz="4" w:space="0" w:color="000000"/>
              <w:right w:val="single" w:sz="4" w:space="0" w:color="000000"/>
            </w:tcBorders>
          </w:tcPr>
          <w:p>
            <w:pPr/>
          </w:p>
        </w:tc>
        <w:tc>
          <w:tcPr>
            <w:tcW w:w="574" w:type="dxa"/>
            <w:tcBorders>
              <w:top w:val="single" w:sz="4" w:space="0" w:color="000000"/>
              <w:left w:val="single" w:sz="4" w:space="0" w:color="000000"/>
              <w:bottom w:val="nil" w:sz="6" w:space="0" w:color="auto"/>
              <w:right w:val="single" w:sz="4" w:space="0" w:color="000000"/>
            </w:tcBorders>
          </w:tcPr>
          <w:p>
            <w:pPr/>
          </w:p>
        </w:tc>
        <w:tc>
          <w:tcPr>
            <w:tcW w:w="72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4"/>
              <w:ind w:right="0"/>
              <w:jc w:val="left"/>
              <w:rPr>
                <w:rFonts w:ascii="宋体" w:hAnsi="宋体" w:cs="宋体" w:eastAsia="宋体" w:hint="default"/>
                <w:sz w:val="15"/>
                <w:szCs w:val="15"/>
              </w:rPr>
            </w:pPr>
            <w:r>
              <w:rPr>
                <w:rFonts w:ascii="宋体" w:hAnsi="宋体" w:cs="宋体" w:eastAsia="宋体" w:hint="default"/>
                <w:sz w:val="15"/>
                <w:szCs w:val="15"/>
              </w:rPr>
              <w:t>根据合同</w:t>
            </w:r>
          </w:p>
        </w:tc>
        <w:tc>
          <w:tcPr>
            <w:tcW w:w="886" w:type="dxa"/>
            <w:tcBorders>
              <w:top w:val="single" w:sz="4" w:space="0" w:color="000000"/>
              <w:left w:val="single" w:sz="4" w:space="0" w:color="000000"/>
              <w:bottom w:val="nil" w:sz="6" w:space="0" w:color="auto"/>
              <w:right w:val="single" w:sz="4" w:space="0" w:color="000000"/>
            </w:tcBorders>
          </w:tcPr>
          <w:p>
            <w:pPr/>
          </w:p>
        </w:tc>
        <w:tc>
          <w:tcPr>
            <w:tcW w:w="866" w:type="dxa"/>
            <w:vMerge w:val="restart"/>
            <w:tcBorders>
              <w:top w:val="single" w:sz="4" w:space="0" w:color="000000"/>
              <w:left w:val="single" w:sz="4" w:space="0" w:color="000000"/>
              <w:right w:val="single" w:sz="4" w:space="0" w:color="000000"/>
            </w:tcBorders>
          </w:tcPr>
          <w:p>
            <w:pPr/>
          </w:p>
        </w:tc>
        <w:tc>
          <w:tcPr>
            <w:tcW w:w="755" w:type="dxa"/>
            <w:vMerge w:val="restart"/>
            <w:tcBorders>
              <w:top w:val="single" w:sz="4" w:space="0" w:color="000000"/>
              <w:left w:val="single" w:sz="4" w:space="0" w:color="000000"/>
              <w:right w:val="single" w:sz="4" w:space="0" w:color="000000"/>
            </w:tcBorders>
          </w:tcPr>
          <w:p>
            <w:pPr/>
          </w:p>
        </w:tc>
      </w:tr>
      <w:tr>
        <w:trPr>
          <w:trHeight w:val="160" w:hRule="exact"/>
        </w:trPr>
        <w:tc>
          <w:tcPr>
            <w:tcW w:w="1334" w:type="dxa"/>
            <w:tcBorders>
              <w:top w:val="nil" w:sz="6" w:space="0" w:color="auto"/>
              <w:left w:val="single" w:sz="4" w:space="0" w:color="000000"/>
              <w:bottom w:val="nil" w:sz="6" w:space="0" w:color="auto"/>
              <w:right w:val="single" w:sz="4" w:space="0" w:color="000000"/>
            </w:tcBorders>
          </w:tcPr>
          <w:p>
            <w:pPr/>
          </w:p>
        </w:tc>
        <w:tc>
          <w:tcPr>
            <w:tcW w:w="908" w:type="dxa"/>
            <w:tcBorders>
              <w:top w:val="nil" w:sz="6" w:space="0" w:color="auto"/>
              <w:left w:val="single" w:sz="4" w:space="0" w:color="000000"/>
              <w:bottom w:val="nil" w:sz="6" w:space="0" w:color="auto"/>
              <w:right w:val="single" w:sz="4" w:space="0" w:color="000000"/>
            </w:tcBorders>
          </w:tcPr>
          <w:p>
            <w:pPr/>
          </w:p>
        </w:tc>
        <w:tc>
          <w:tcPr>
            <w:tcW w:w="726" w:type="dxa"/>
            <w:tcBorders>
              <w:top w:val="nil" w:sz="6" w:space="0" w:color="auto"/>
              <w:left w:val="single" w:sz="4" w:space="0" w:color="000000"/>
              <w:bottom w:val="nil" w:sz="6" w:space="0" w:color="auto"/>
              <w:right w:val="single" w:sz="4" w:space="0" w:color="000000"/>
            </w:tcBorders>
          </w:tcPr>
          <w:p>
            <w:pPr>
              <w:pStyle w:val="TableParagraph"/>
              <w:spacing w:line="153" w:lineRule="exact"/>
              <w:ind w:right="1"/>
              <w:jc w:val="center"/>
              <w:rPr>
                <w:rFonts w:ascii="宋体" w:hAnsi="宋体" w:cs="宋体" w:eastAsia="宋体" w:hint="default"/>
                <w:sz w:val="15"/>
                <w:szCs w:val="15"/>
              </w:rPr>
            </w:pPr>
            <w:r>
              <w:rPr>
                <w:rFonts w:ascii="宋体" w:hAnsi="宋体" w:cs="宋体" w:eastAsia="宋体" w:hint="default"/>
                <w:sz w:val="15"/>
                <w:szCs w:val="15"/>
              </w:rPr>
              <w:t>采购</w:t>
            </w:r>
          </w:p>
        </w:tc>
        <w:tc>
          <w:tcPr>
            <w:tcW w:w="788" w:type="dxa"/>
            <w:tcBorders>
              <w:top w:val="nil" w:sz="6" w:space="0" w:color="auto"/>
              <w:left w:val="single" w:sz="4" w:space="0" w:color="000000"/>
              <w:bottom w:val="nil" w:sz="6" w:space="0" w:color="auto"/>
              <w:right w:val="single" w:sz="4" w:space="0" w:color="000000"/>
            </w:tcBorders>
          </w:tcPr>
          <w:p>
            <w:pPr>
              <w:pStyle w:val="TableParagraph"/>
              <w:spacing w:line="153" w:lineRule="exact"/>
              <w:ind w:right="0"/>
              <w:jc w:val="left"/>
              <w:rPr>
                <w:rFonts w:ascii="宋体" w:hAnsi="宋体" w:cs="宋体" w:eastAsia="宋体" w:hint="default"/>
                <w:sz w:val="15"/>
                <w:szCs w:val="15"/>
              </w:rPr>
            </w:pPr>
            <w:r>
              <w:rPr>
                <w:rFonts w:ascii="宋体" w:hAnsi="宋体" w:cs="宋体" w:eastAsia="宋体" w:hint="default"/>
                <w:sz w:val="15"/>
                <w:szCs w:val="15"/>
              </w:rPr>
              <w:t>采购商品</w:t>
            </w:r>
          </w:p>
        </w:tc>
        <w:tc>
          <w:tcPr>
            <w:tcW w:w="846" w:type="dxa"/>
            <w:tcBorders>
              <w:top w:val="nil" w:sz="6" w:space="0" w:color="auto"/>
              <w:left w:val="single" w:sz="4" w:space="0" w:color="000000"/>
              <w:bottom w:val="nil" w:sz="6" w:space="0" w:color="auto"/>
              <w:right w:val="single" w:sz="4" w:space="0" w:color="000000"/>
            </w:tcBorders>
          </w:tcPr>
          <w:p>
            <w:pPr/>
          </w:p>
        </w:tc>
        <w:tc>
          <w:tcPr>
            <w:tcW w:w="590" w:type="dxa"/>
            <w:tcBorders>
              <w:top w:val="nil" w:sz="6" w:space="0" w:color="auto"/>
              <w:left w:val="single" w:sz="4" w:space="0" w:color="000000"/>
              <w:bottom w:val="nil" w:sz="6" w:space="0" w:color="auto"/>
              <w:right w:val="single" w:sz="4" w:space="0" w:color="000000"/>
            </w:tcBorders>
          </w:tcPr>
          <w:p>
            <w:pPr/>
          </w:p>
        </w:tc>
        <w:tc>
          <w:tcPr>
            <w:tcW w:w="726" w:type="dxa"/>
            <w:tcBorders>
              <w:top w:val="nil" w:sz="6" w:space="0" w:color="auto"/>
              <w:left w:val="single" w:sz="4" w:space="0" w:color="000000"/>
              <w:bottom w:val="nil" w:sz="6" w:space="0" w:color="auto"/>
              <w:right w:val="single" w:sz="4" w:space="0" w:color="000000"/>
            </w:tcBorders>
          </w:tcPr>
          <w:p>
            <w:pPr>
              <w:pStyle w:val="TableParagraph"/>
              <w:spacing w:line="163" w:lineRule="exact"/>
              <w:ind w:right="-1"/>
              <w:jc w:val="right"/>
              <w:rPr>
                <w:rFonts w:ascii="Times New Roman" w:hAnsi="Times New Roman" w:cs="Times New Roman" w:eastAsia="Times New Roman" w:hint="default"/>
                <w:sz w:val="15"/>
                <w:szCs w:val="15"/>
              </w:rPr>
            </w:pPr>
            <w:r>
              <w:rPr>
                <w:rFonts w:ascii="Times New Roman"/>
                <w:spacing w:val="-1"/>
                <w:sz w:val="15"/>
              </w:rPr>
              <w:t>1,525.90</w:t>
            </w:r>
          </w:p>
        </w:tc>
        <w:tc>
          <w:tcPr>
            <w:tcW w:w="908" w:type="dxa"/>
            <w:tcBorders>
              <w:top w:val="nil" w:sz="6" w:space="0" w:color="auto"/>
              <w:left w:val="single" w:sz="4" w:space="0" w:color="000000"/>
              <w:bottom w:val="nil" w:sz="6" w:space="0" w:color="auto"/>
              <w:right w:val="single" w:sz="4" w:space="0" w:color="000000"/>
            </w:tcBorders>
          </w:tcPr>
          <w:p>
            <w:pPr>
              <w:pStyle w:val="TableParagraph"/>
              <w:spacing w:line="163" w:lineRule="exact"/>
              <w:ind w:right="0"/>
              <w:jc w:val="center"/>
              <w:rPr>
                <w:rFonts w:ascii="Times New Roman" w:hAnsi="Times New Roman" w:cs="Times New Roman" w:eastAsia="Times New Roman" w:hint="default"/>
                <w:sz w:val="15"/>
                <w:szCs w:val="15"/>
              </w:rPr>
            </w:pPr>
            <w:r>
              <w:rPr>
                <w:rFonts w:ascii="Times New Roman"/>
                <w:sz w:val="15"/>
              </w:rPr>
              <w:t>0.19%</w:t>
            </w:r>
          </w:p>
        </w:tc>
        <w:tc>
          <w:tcPr>
            <w:tcW w:w="806" w:type="dxa"/>
            <w:vMerge/>
            <w:tcBorders>
              <w:left w:val="single" w:sz="4" w:space="0" w:color="000000"/>
              <w:right w:val="single" w:sz="4" w:space="0" w:color="000000"/>
            </w:tcBorders>
          </w:tcPr>
          <w:p>
            <w:pPr/>
          </w:p>
        </w:tc>
        <w:tc>
          <w:tcPr>
            <w:tcW w:w="574" w:type="dxa"/>
            <w:tcBorders>
              <w:top w:val="nil" w:sz="6" w:space="0" w:color="auto"/>
              <w:left w:val="single" w:sz="4" w:space="0" w:color="000000"/>
              <w:bottom w:val="nil" w:sz="6" w:space="0" w:color="auto"/>
              <w:right w:val="single" w:sz="4" w:space="0" w:color="000000"/>
            </w:tcBorders>
          </w:tcPr>
          <w:p>
            <w:pPr>
              <w:pStyle w:val="TableParagraph"/>
              <w:spacing w:line="153" w:lineRule="exact"/>
              <w:ind w:left="1" w:right="0"/>
              <w:jc w:val="center"/>
              <w:rPr>
                <w:rFonts w:ascii="宋体" w:hAnsi="宋体" w:cs="宋体" w:eastAsia="宋体" w:hint="default"/>
                <w:sz w:val="15"/>
                <w:szCs w:val="15"/>
              </w:rPr>
            </w:pPr>
            <w:r>
              <w:rPr>
                <w:rFonts w:ascii="宋体" w:hAnsi="宋体" w:cs="宋体" w:eastAsia="宋体" w:hint="default"/>
                <w:sz w:val="15"/>
                <w:szCs w:val="15"/>
              </w:rPr>
              <w:t>否</w:t>
            </w:r>
          </w:p>
        </w:tc>
        <w:tc>
          <w:tcPr>
            <w:tcW w:w="720" w:type="dxa"/>
            <w:tcBorders>
              <w:top w:val="nil" w:sz="6" w:space="0" w:color="auto"/>
              <w:left w:val="single" w:sz="4" w:space="0" w:color="000000"/>
              <w:bottom w:val="nil" w:sz="6" w:space="0" w:color="auto"/>
              <w:right w:val="single" w:sz="4" w:space="0" w:color="000000"/>
            </w:tcBorders>
          </w:tcPr>
          <w:p>
            <w:pPr/>
          </w:p>
        </w:tc>
        <w:tc>
          <w:tcPr>
            <w:tcW w:w="886" w:type="dxa"/>
            <w:tcBorders>
              <w:top w:val="nil" w:sz="6" w:space="0" w:color="auto"/>
              <w:left w:val="single" w:sz="4" w:space="0" w:color="000000"/>
              <w:bottom w:val="nil" w:sz="6" w:space="0" w:color="auto"/>
              <w:right w:val="single" w:sz="4" w:space="0" w:color="000000"/>
            </w:tcBorders>
          </w:tcPr>
          <w:p>
            <w:pPr>
              <w:pStyle w:val="TableParagraph"/>
              <w:spacing w:line="153" w:lineRule="exact"/>
              <w:ind w:left="138" w:right="0"/>
              <w:jc w:val="left"/>
              <w:rPr>
                <w:rFonts w:ascii="宋体" w:hAnsi="宋体" w:cs="宋体" w:eastAsia="宋体" w:hint="default"/>
                <w:sz w:val="15"/>
                <w:szCs w:val="15"/>
              </w:rPr>
            </w:pPr>
            <w:r>
              <w:rPr>
                <w:rFonts w:ascii="宋体" w:hAnsi="宋体" w:cs="宋体" w:eastAsia="宋体" w:hint="default"/>
                <w:sz w:val="15"/>
                <w:szCs w:val="15"/>
              </w:rPr>
              <w:t>市场价格</w:t>
            </w:r>
          </w:p>
        </w:tc>
        <w:tc>
          <w:tcPr>
            <w:tcW w:w="866" w:type="dxa"/>
            <w:vMerge/>
            <w:tcBorders>
              <w:left w:val="single" w:sz="4" w:space="0" w:color="000000"/>
              <w:right w:val="single" w:sz="4" w:space="0" w:color="000000"/>
            </w:tcBorders>
          </w:tcPr>
          <w:p>
            <w:pPr/>
          </w:p>
        </w:tc>
        <w:tc>
          <w:tcPr>
            <w:tcW w:w="755" w:type="dxa"/>
            <w:vMerge/>
            <w:tcBorders>
              <w:left w:val="single" w:sz="4" w:space="0" w:color="000000"/>
              <w:right w:val="single" w:sz="4" w:space="0" w:color="000000"/>
            </w:tcBorders>
          </w:tcPr>
          <w:p>
            <w:pPr/>
          </w:p>
        </w:tc>
      </w:tr>
      <w:tr>
        <w:trPr>
          <w:trHeight w:val="236" w:hRule="exact"/>
        </w:trPr>
        <w:tc>
          <w:tcPr>
            <w:tcW w:w="1334" w:type="dxa"/>
            <w:tcBorders>
              <w:top w:val="nil" w:sz="6" w:space="0" w:color="auto"/>
              <w:left w:val="single" w:sz="4" w:space="0" w:color="000000"/>
              <w:bottom w:val="single" w:sz="4" w:space="0" w:color="000000"/>
              <w:right w:val="single" w:sz="4" w:space="0" w:color="000000"/>
            </w:tcBorders>
          </w:tcPr>
          <w:p>
            <w:pPr>
              <w:pStyle w:val="TableParagraph"/>
              <w:spacing w:line="149" w:lineRule="exact"/>
              <w:ind w:left="-1" w:right="0"/>
              <w:jc w:val="left"/>
              <w:rPr>
                <w:rFonts w:ascii="宋体" w:hAnsi="宋体" w:cs="宋体" w:eastAsia="宋体" w:hint="default"/>
                <w:sz w:val="15"/>
                <w:szCs w:val="15"/>
              </w:rPr>
            </w:pPr>
            <w:r>
              <w:rPr>
                <w:rFonts w:ascii="宋体" w:hAnsi="宋体" w:cs="宋体" w:eastAsia="宋体" w:hint="default"/>
                <w:sz w:val="15"/>
                <w:szCs w:val="15"/>
              </w:rPr>
              <w:t>限公司</w:t>
            </w:r>
          </w:p>
        </w:tc>
        <w:tc>
          <w:tcPr>
            <w:tcW w:w="908" w:type="dxa"/>
            <w:tcBorders>
              <w:top w:val="nil" w:sz="6" w:space="0" w:color="auto"/>
              <w:left w:val="single" w:sz="4" w:space="0" w:color="000000"/>
              <w:bottom w:val="single" w:sz="4" w:space="0" w:color="000000"/>
              <w:right w:val="single" w:sz="4" w:space="0" w:color="000000"/>
            </w:tcBorders>
          </w:tcPr>
          <w:p>
            <w:pPr>
              <w:pStyle w:val="TableParagraph"/>
              <w:spacing w:line="149" w:lineRule="exact"/>
              <w:ind w:left="1" w:right="0"/>
              <w:jc w:val="left"/>
              <w:rPr>
                <w:rFonts w:ascii="宋体" w:hAnsi="宋体" w:cs="宋体" w:eastAsia="宋体" w:hint="default"/>
                <w:sz w:val="15"/>
                <w:szCs w:val="15"/>
              </w:rPr>
            </w:pPr>
            <w:r>
              <w:rPr>
                <w:rFonts w:ascii="宋体" w:hAnsi="宋体" w:cs="宋体" w:eastAsia="宋体" w:hint="default"/>
                <w:sz w:val="15"/>
                <w:szCs w:val="15"/>
              </w:rPr>
              <w:t>则认定</w:t>
            </w:r>
          </w:p>
        </w:tc>
        <w:tc>
          <w:tcPr>
            <w:tcW w:w="726" w:type="dxa"/>
            <w:tcBorders>
              <w:top w:val="nil" w:sz="6" w:space="0" w:color="auto"/>
              <w:left w:val="single" w:sz="4" w:space="0" w:color="000000"/>
              <w:bottom w:val="single" w:sz="4" w:space="0" w:color="000000"/>
              <w:right w:val="single" w:sz="4" w:space="0" w:color="000000"/>
            </w:tcBorders>
          </w:tcPr>
          <w:p>
            <w:pPr/>
          </w:p>
        </w:tc>
        <w:tc>
          <w:tcPr>
            <w:tcW w:w="788" w:type="dxa"/>
            <w:tcBorders>
              <w:top w:val="nil" w:sz="6" w:space="0" w:color="auto"/>
              <w:left w:val="single" w:sz="4" w:space="0" w:color="000000"/>
              <w:bottom w:val="single" w:sz="4" w:space="0" w:color="000000"/>
              <w:right w:val="single" w:sz="4" w:space="0" w:color="000000"/>
            </w:tcBorders>
          </w:tcPr>
          <w:p>
            <w:pPr/>
          </w:p>
        </w:tc>
        <w:tc>
          <w:tcPr>
            <w:tcW w:w="846" w:type="dxa"/>
            <w:tcBorders>
              <w:top w:val="nil" w:sz="6" w:space="0" w:color="auto"/>
              <w:left w:val="single" w:sz="4" w:space="0" w:color="000000"/>
              <w:bottom w:val="single" w:sz="4" w:space="0" w:color="000000"/>
              <w:right w:val="single" w:sz="4" w:space="0" w:color="000000"/>
            </w:tcBorders>
          </w:tcPr>
          <w:p>
            <w:pPr>
              <w:pStyle w:val="TableParagraph"/>
              <w:spacing w:line="149" w:lineRule="exact"/>
              <w:ind w:right="-1"/>
              <w:jc w:val="center"/>
              <w:rPr>
                <w:rFonts w:ascii="宋体" w:hAnsi="宋体" w:cs="宋体" w:eastAsia="宋体" w:hint="default"/>
                <w:sz w:val="15"/>
                <w:szCs w:val="15"/>
              </w:rPr>
            </w:pPr>
            <w:r>
              <w:rPr>
                <w:rFonts w:ascii="宋体" w:hAnsi="宋体" w:cs="宋体" w:eastAsia="宋体" w:hint="default"/>
                <w:sz w:val="15"/>
                <w:szCs w:val="15"/>
              </w:rPr>
              <w:t>格</w:t>
            </w:r>
            <w:r>
              <w:rPr>
                <w:rFonts w:ascii="宋体" w:hAnsi="宋体" w:cs="宋体" w:eastAsia="宋体" w:hint="default"/>
                <w:spacing w:val="-64"/>
                <w:sz w:val="15"/>
                <w:szCs w:val="15"/>
              </w:rPr>
              <w:t>，</w:t>
            </w:r>
            <w:r>
              <w:rPr>
                <w:rFonts w:ascii="宋体" w:hAnsi="宋体" w:cs="宋体" w:eastAsia="宋体" w:hint="default"/>
                <w:sz w:val="15"/>
                <w:szCs w:val="15"/>
              </w:rPr>
              <w:t>协商确定</w:t>
            </w:r>
          </w:p>
        </w:tc>
        <w:tc>
          <w:tcPr>
            <w:tcW w:w="590" w:type="dxa"/>
            <w:tcBorders>
              <w:top w:val="nil" w:sz="6" w:space="0" w:color="auto"/>
              <w:left w:val="single" w:sz="4" w:space="0" w:color="000000"/>
              <w:bottom w:val="single" w:sz="4" w:space="0" w:color="000000"/>
              <w:right w:val="single" w:sz="4" w:space="0" w:color="000000"/>
            </w:tcBorders>
          </w:tcPr>
          <w:p>
            <w:pPr>
              <w:pStyle w:val="TableParagraph"/>
              <w:spacing w:line="149" w:lineRule="exact"/>
              <w:ind w:right="1"/>
              <w:jc w:val="center"/>
              <w:rPr>
                <w:rFonts w:ascii="宋体" w:hAnsi="宋体" w:cs="宋体" w:eastAsia="宋体" w:hint="default"/>
                <w:sz w:val="15"/>
                <w:szCs w:val="15"/>
              </w:rPr>
            </w:pPr>
            <w:r>
              <w:rPr>
                <w:rFonts w:ascii="宋体" w:hAnsi="宋体" w:cs="宋体" w:eastAsia="宋体" w:hint="default"/>
                <w:sz w:val="15"/>
                <w:szCs w:val="15"/>
              </w:rPr>
              <w:t>场价格</w:t>
            </w:r>
          </w:p>
        </w:tc>
        <w:tc>
          <w:tcPr>
            <w:tcW w:w="726" w:type="dxa"/>
            <w:tcBorders>
              <w:top w:val="nil" w:sz="6" w:space="0" w:color="auto"/>
              <w:left w:val="single" w:sz="4" w:space="0" w:color="000000"/>
              <w:bottom w:val="single" w:sz="4" w:space="0" w:color="000000"/>
              <w:right w:val="single" w:sz="4" w:space="0" w:color="000000"/>
            </w:tcBorders>
          </w:tcPr>
          <w:p>
            <w:pPr/>
          </w:p>
        </w:tc>
        <w:tc>
          <w:tcPr>
            <w:tcW w:w="908" w:type="dxa"/>
            <w:tcBorders>
              <w:top w:val="nil" w:sz="6" w:space="0" w:color="auto"/>
              <w:left w:val="single" w:sz="4" w:space="0" w:color="000000"/>
              <w:bottom w:val="single" w:sz="4" w:space="0" w:color="000000"/>
              <w:right w:val="single" w:sz="4" w:space="0" w:color="000000"/>
            </w:tcBorders>
          </w:tcPr>
          <w:p>
            <w:pPr/>
          </w:p>
        </w:tc>
        <w:tc>
          <w:tcPr>
            <w:tcW w:w="806" w:type="dxa"/>
            <w:vMerge/>
            <w:tcBorders>
              <w:left w:val="single" w:sz="4" w:space="0" w:color="000000"/>
              <w:bottom w:val="single" w:sz="4" w:space="0" w:color="000000"/>
              <w:right w:val="single" w:sz="4" w:space="0" w:color="000000"/>
            </w:tcBorders>
          </w:tcPr>
          <w:p>
            <w:pPr/>
          </w:p>
        </w:tc>
        <w:tc>
          <w:tcPr>
            <w:tcW w:w="574" w:type="dxa"/>
            <w:tcBorders>
              <w:top w:val="nil" w:sz="6" w:space="0" w:color="auto"/>
              <w:left w:val="single" w:sz="4" w:space="0" w:color="000000"/>
              <w:bottom w:val="single" w:sz="4" w:space="0" w:color="000000"/>
              <w:right w:val="single" w:sz="4" w:space="0" w:color="000000"/>
            </w:tcBorders>
          </w:tcPr>
          <w:p>
            <w:pPr/>
          </w:p>
        </w:tc>
        <w:tc>
          <w:tcPr>
            <w:tcW w:w="720" w:type="dxa"/>
            <w:tcBorders>
              <w:top w:val="nil" w:sz="6" w:space="0" w:color="auto"/>
              <w:left w:val="single" w:sz="4" w:space="0" w:color="000000"/>
              <w:bottom w:val="single" w:sz="4" w:space="0" w:color="000000"/>
              <w:right w:val="single" w:sz="4" w:space="0" w:color="000000"/>
            </w:tcBorders>
          </w:tcPr>
          <w:p>
            <w:pPr>
              <w:pStyle w:val="TableParagraph"/>
              <w:spacing w:line="149" w:lineRule="exact"/>
              <w:ind w:right="0"/>
              <w:jc w:val="left"/>
              <w:rPr>
                <w:rFonts w:ascii="宋体" w:hAnsi="宋体" w:cs="宋体" w:eastAsia="宋体" w:hint="default"/>
                <w:sz w:val="15"/>
                <w:szCs w:val="15"/>
              </w:rPr>
            </w:pPr>
            <w:r>
              <w:rPr>
                <w:rFonts w:ascii="宋体" w:hAnsi="宋体" w:cs="宋体" w:eastAsia="宋体" w:hint="default"/>
                <w:sz w:val="15"/>
                <w:szCs w:val="15"/>
              </w:rPr>
              <w:t>约定</w:t>
            </w:r>
          </w:p>
        </w:tc>
        <w:tc>
          <w:tcPr>
            <w:tcW w:w="886" w:type="dxa"/>
            <w:tcBorders>
              <w:top w:val="nil" w:sz="6" w:space="0" w:color="auto"/>
              <w:left w:val="single" w:sz="4" w:space="0" w:color="000000"/>
              <w:bottom w:val="single" w:sz="4" w:space="0" w:color="000000"/>
              <w:right w:val="single" w:sz="4" w:space="0" w:color="000000"/>
            </w:tcBorders>
          </w:tcPr>
          <w:p>
            <w:pPr/>
          </w:p>
        </w:tc>
        <w:tc>
          <w:tcPr>
            <w:tcW w:w="866" w:type="dxa"/>
            <w:vMerge/>
            <w:tcBorders>
              <w:left w:val="single" w:sz="4" w:space="0" w:color="000000"/>
              <w:bottom w:val="single" w:sz="4" w:space="0" w:color="000000"/>
              <w:right w:val="single" w:sz="4" w:space="0" w:color="000000"/>
            </w:tcBorders>
          </w:tcPr>
          <w:p>
            <w:pPr/>
          </w:p>
        </w:tc>
        <w:tc>
          <w:tcPr>
            <w:tcW w:w="755" w:type="dxa"/>
            <w:vMerge/>
            <w:tcBorders>
              <w:left w:val="single" w:sz="4" w:space="0" w:color="000000"/>
              <w:bottom w:val="single" w:sz="4" w:space="0" w:color="000000"/>
              <w:right w:val="single" w:sz="4" w:space="0" w:color="000000"/>
            </w:tcBorders>
          </w:tcPr>
          <w:p>
            <w:pPr/>
          </w:p>
        </w:tc>
      </w:tr>
      <w:tr>
        <w:trPr>
          <w:trHeight w:val="316" w:hRule="exact"/>
        </w:trPr>
        <w:tc>
          <w:tcPr>
            <w:tcW w:w="1334" w:type="dxa"/>
            <w:tcBorders>
              <w:top w:val="single" w:sz="4" w:space="0" w:color="000000"/>
              <w:left w:val="single" w:sz="4" w:space="0" w:color="000000"/>
              <w:bottom w:val="nil" w:sz="6" w:space="0" w:color="auto"/>
              <w:right w:val="single" w:sz="4" w:space="0" w:color="000000"/>
            </w:tcBorders>
          </w:tcPr>
          <w:p>
            <w:pPr/>
          </w:p>
        </w:tc>
        <w:tc>
          <w:tcPr>
            <w:tcW w:w="908" w:type="dxa"/>
            <w:tcBorders>
              <w:top w:val="single" w:sz="4" w:space="0" w:color="000000"/>
              <w:left w:val="single" w:sz="4" w:space="0" w:color="000000"/>
              <w:bottom w:val="nil" w:sz="6" w:space="0" w:color="auto"/>
              <w:right w:val="single" w:sz="4" w:space="0" w:color="000000"/>
            </w:tcBorders>
          </w:tcPr>
          <w:p>
            <w:pPr/>
          </w:p>
        </w:tc>
        <w:tc>
          <w:tcPr>
            <w:tcW w:w="726" w:type="dxa"/>
            <w:tcBorders>
              <w:top w:val="single" w:sz="4" w:space="0" w:color="000000"/>
              <w:left w:val="single" w:sz="4" w:space="0" w:color="000000"/>
              <w:bottom w:val="nil" w:sz="6" w:space="0" w:color="auto"/>
              <w:right w:val="single" w:sz="4" w:space="0" w:color="000000"/>
            </w:tcBorders>
          </w:tcPr>
          <w:p>
            <w:pPr/>
          </w:p>
        </w:tc>
        <w:tc>
          <w:tcPr>
            <w:tcW w:w="78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3"/>
              <w:ind w:right="0"/>
              <w:jc w:val="left"/>
              <w:rPr>
                <w:rFonts w:ascii="宋体" w:hAnsi="宋体" w:cs="宋体" w:eastAsia="宋体" w:hint="default"/>
                <w:sz w:val="15"/>
                <w:szCs w:val="15"/>
              </w:rPr>
            </w:pPr>
            <w:r>
              <w:rPr>
                <w:rFonts w:ascii="宋体" w:hAnsi="宋体" w:cs="宋体" w:eastAsia="宋体" w:hint="default"/>
                <w:sz w:val="15"/>
                <w:szCs w:val="15"/>
              </w:rPr>
              <w:t>采购显示</w:t>
            </w:r>
          </w:p>
        </w:tc>
        <w:tc>
          <w:tcPr>
            <w:tcW w:w="846" w:type="dxa"/>
            <w:tcBorders>
              <w:top w:val="single" w:sz="4" w:space="0" w:color="000000"/>
              <w:left w:val="single" w:sz="4" w:space="0" w:color="000000"/>
              <w:bottom w:val="nil" w:sz="6" w:space="0" w:color="auto"/>
              <w:right w:val="single" w:sz="4" w:space="0" w:color="000000"/>
            </w:tcBorders>
          </w:tcPr>
          <w:p>
            <w:pPr>
              <w:pStyle w:val="TableParagraph"/>
              <w:spacing w:line="312" w:lineRule="exact"/>
              <w:ind w:right="-50"/>
              <w:jc w:val="left"/>
              <w:rPr>
                <w:rFonts w:ascii="宋体" w:hAnsi="宋体" w:cs="宋体" w:eastAsia="宋体" w:hint="default"/>
                <w:sz w:val="20"/>
                <w:szCs w:val="20"/>
              </w:rPr>
            </w:pPr>
            <w:r>
              <w:rPr>
                <w:rFonts w:ascii="宋体" w:hAnsi="宋体" w:cs="宋体" w:eastAsia="宋体" w:hint="default"/>
                <w:position w:val="-5"/>
                <w:sz w:val="20"/>
                <w:szCs w:val="20"/>
              </w:rPr>
              <w:pict>
                <v:group style="width:41.8pt;height:15.6pt;mso-position-horizontal-relative:char;mso-position-vertical-relative:line" coordorigin="0,0" coordsize="836,312">
                  <v:group style="position:absolute;left:0;top:0;width:836;height:312" coordorigin="0,0" coordsize="836,312">
                    <v:shape style="position:absolute;left:0;top:0;width:836;height:312" coordorigin="0,0" coordsize="836,312" path="m0,312l835,312,835,0,0,0,0,312xe" filled="true" fillcolor="#ffffff" stroked="false">
                      <v:path arrowok="t"/>
                      <v:fill type="solid"/>
                    </v:shape>
                  </v:group>
                </v:group>
              </w:pict>
            </w:r>
            <w:r>
              <w:rPr>
                <w:rFonts w:ascii="宋体" w:hAnsi="宋体" w:cs="宋体" w:eastAsia="宋体" w:hint="default"/>
                <w:position w:val="-5"/>
                <w:sz w:val="20"/>
                <w:szCs w:val="20"/>
              </w:rPr>
            </w:r>
          </w:p>
        </w:tc>
        <w:tc>
          <w:tcPr>
            <w:tcW w:w="590" w:type="dxa"/>
            <w:tcBorders>
              <w:top w:val="single" w:sz="4" w:space="0" w:color="000000"/>
              <w:left w:val="single" w:sz="4" w:space="0" w:color="000000"/>
              <w:bottom w:val="nil" w:sz="6" w:space="0" w:color="auto"/>
              <w:right w:val="single" w:sz="4" w:space="0" w:color="000000"/>
            </w:tcBorders>
          </w:tcPr>
          <w:p>
            <w:pPr/>
          </w:p>
        </w:tc>
        <w:tc>
          <w:tcPr>
            <w:tcW w:w="726" w:type="dxa"/>
            <w:tcBorders>
              <w:top w:val="single" w:sz="4" w:space="0" w:color="000000"/>
              <w:left w:val="single" w:sz="4" w:space="0" w:color="000000"/>
              <w:bottom w:val="nil" w:sz="6" w:space="0" w:color="auto"/>
              <w:right w:val="single" w:sz="4" w:space="0" w:color="000000"/>
            </w:tcBorders>
          </w:tcPr>
          <w:p>
            <w:pPr/>
          </w:p>
        </w:tc>
        <w:tc>
          <w:tcPr>
            <w:tcW w:w="908" w:type="dxa"/>
            <w:tcBorders>
              <w:top w:val="single" w:sz="4" w:space="0" w:color="000000"/>
              <w:left w:val="single" w:sz="4" w:space="0" w:color="000000"/>
              <w:bottom w:val="nil" w:sz="6" w:space="0" w:color="auto"/>
              <w:right w:val="single" w:sz="4" w:space="0" w:color="000000"/>
            </w:tcBorders>
          </w:tcPr>
          <w:p>
            <w:pPr/>
          </w:p>
        </w:tc>
        <w:tc>
          <w:tcPr>
            <w:tcW w:w="806" w:type="dxa"/>
            <w:tcBorders>
              <w:top w:val="single" w:sz="4" w:space="0" w:color="000000"/>
              <w:left w:val="single" w:sz="4" w:space="0" w:color="000000"/>
              <w:bottom w:val="nil" w:sz="6" w:space="0" w:color="auto"/>
              <w:right w:val="single" w:sz="4" w:space="0" w:color="000000"/>
            </w:tcBorders>
          </w:tcPr>
          <w:p>
            <w:pPr/>
          </w:p>
        </w:tc>
        <w:tc>
          <w:tcPr>
            <w:tcW w:w="574" w:type="dxa"/>
            <w:tcBorders>
              <w:top w:val="single" w:sz="4" w:space="0" w:color="000000"/>
              <w:left w:val="single" w:sz="4" w:space="0" w:color="000000"/>
              <w:bottom w:val="nil" w:sz="6" w:space="0" w:color="auto"/>
              <w:right w:val="single" w:sz="4" w:space="0" w:color="000000"/>
            </w:tcBorders>
          </w:tcPr>
          <w:p>
            <w:pPr/>
          </w:p>
        </w:tc>
        <w:tc>
          <w:tcPr>
            <w:tcW w:w="720" w:type="dxa"/>
            <w:tcBorders>
              <w:top w:val="single" w:sz="4" w:space="0" w:color="000000"/>
              <w:left w:val="single" w:sz="4" w:space="0" w:color="000000"/>
              <w:bottom w:val="nil" w:sz="6" w:space="0" w:color="auto"/>
              <w:right w:val="single" w:sz="4" w:space="0" w:color="000000"/>
            </w:tcBorders>
          </w:tcPr>
          <w:p>
            <w:pPr/>
          </w:p>
        </w:tc>
        <w:tc>
          <w:tcPr>
            <w:tcW w:w="886" w:type="dxa"/>
            <w:tcBorders>
              <w:top w:val="single" w:sz="4" w:space="0" w:color="000000"/>
              <w:left w:val="single" w:sz="4" w:space="0" w:color="000000"/>
              <w:bottom w:val="nil" w:sz="6" w:space="0" w:color="auto"/>
              <w:right w:val="single" w:sz="4" w:space="0" w:color="000000"/>
            </w:tcBorders>
          </w:tcPr>
          <w:p>
            <w:pPr/>
          </w:p>
        </w:tc>
        <w:tc>
          <w:tcPr>
            <w:tcW w:w="866" w:type="dxa"/>
            <w:tcBorders>
              <w:top w:val="single" w:sz="4" w:space="0" w:color="000000"/>
              <w:left w:val="single" w:sz="4" w:space="0" w:color="000000"/>
              <w:bottom w:val="nil" w:sz="6" w:space="0" w:color="auto"/>
              <w:right w:val="single" w:sz="4" w:space="0" w:color="000000"/>
            </w:tcBorders>
          </w:tcPr>
          <w:p>
            <w:pPr/>
          </w:p>
        </w:tc>
        <w:tc>
          <w:tcPr>
            <w:tcW w:w="755" w:type="dxa"/>
            <w:tcBorders>
              <w:top w:val="single" w:sz="4" w:space="0" w:color="000000"/>
              <w:left w:val="single" w:sz="4" w:space="0" w:color="000000"/>
              <w:bottom w:val="nil" w:sz="6" w:space="0" w:color="auto"/>
              <w:right w:val="single" w:sz="4" w:space="0" w:color="000000"/>
            </w:tcBorders>
          </w:tcPr>
          <w:p>
            <w:pPr/>
          </w:p>
        </w:tc>
      </w:tr>
      <w:tr>
        <w:trPr>
          <w:trHeight w:val="238" w:hRule="exact"/>
        </w:trPr>
        <w:tc>
          <w:tcPr>
            <w:tcW w:w="1334"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1" w:right="0"/>
              <w:jc w:val="left"/>
              <w:rPr>
                <w:rFonts w:ascii="宋体" w:hAnsi="宋体" w:cs="宋体" w:eastAsia="宋体" w:hint="default"/>
                <w:sz w:val="15"/>
                <w:szCs w:val="15"/>
              </w:rPr>
            </w:pPr>
            <w:r>
              <w:rPr>
                <w:rFonts w:ascii="宋体" w:hAnsi="宋体" w:cs="宋体" w:eastAsia="宋体" w:hint="default"/>
                <w:sz w:val="15"/>
                <w:szCs w:val="15"/>
              </w:rPr>
              <w:t>武汉艾德蒙科技股</w:t>
            </w:r>
          </w:p>
        </w:tc>
        <w:tc>
          <w:tcPr>
            <w:tcW w:w="908"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1" w:right="0"/>
              <w:jc w:val="left"/>
              <w:rPr>
                <w:rFonts w:ascii="宋体" w:hAnsi="宋体" w:cs="宋体" w:eastAsia="宋体" w:hint="default"/>
                <w:sz w:val="15"/>
                <w:szCs w:val="15"/>
              </w:rPr>
            </w:pPr>
            <w:r>
              <w:rPr>
                <w:rFonts w:ascii="宋体" w:hAnsi="宋体" w:cs="宋体" w:eastAsia="宋体" w:hint="default"/>
                <w:sz w:val="15"/>
                <w:szCs w:val="15"/>
              </w:rPr>
              <w:t>受同一最终</w:t>
            </w:r>
          </w:p>
        </w:tc>
        <w:tc>
          <w:tcPr>
            <w:tcW w:w="726" w:type="dxa"/>
            <w:tcBorders>
              <w:top w:val="nil" w:sz="6" w:space="0" w:color="auto"/>
              <w:left w:val="single" w:sz="4" w:space="0" w:color="000000"/>
              <w:bottom w:val="nil" w:sz="6" w:space="0" w:color="auto"/>
              <w:right w:val="single" w:sz="4" w:space="0" w:color="000000"/>
            </w:tcBorders>
          </w:tcPr>
          <w:p>
            <w:pPr/>
          </w:p>
        </w:tc>
        <w:tc>
          <w:tcPr>
            <w:tcW w:w="788"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0"/>
              <w:jc w:val="left"/>
              <w:rPr>
                <w:rFonts w:ascii="宋体" w:hAnsi="宋体" w:cs="宋体" w:eastAsia="宋体" w:hint="default"/>
                <w:sz w:val="15"/>
                <w:szCs w:val="15"/>
              </w:rPr>
            </w:pPr>
            <w:r>
              <w:rPr>
                <w:rFonts w:ascii="宋体" w:hAnsi="宋体" w:cs="宋体" w:eastAsia="宋体" w:hint="default"/>
                <w:spacing w:val="-10"/>
                <w:sz w:val="15"/>
                <w:szCs w:val="15"/>
              </w:rPr>
              <w:t>屏、显示器</w:t>
            </w:r>
          </w:p>
        </w:tc>
        <w:tc>
          <w:tcPr>
            <w:tcW w:w="846"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84"/>
              <w:jc w:val="center"/>
              <w:rPr>
                <w:rFonts w:ascii="宋体" w:hAnsi="宋体" w:cs="宋体" w:eastAsia="宋体" w:hint="default"/>
                <w:sz w:val="15"/>
                <w:szCs w:val="15"/>
              </w:rPr>
            </w:pPr>
            <w:r>
              <w:rPr>
                <w:rFonts w:ascii="宋体" w:hAnsi="宋体" w:cs="宋体" w:eastAsia="宋体" w:hint="default"/>
                <w:sz w:val="15"/>
                <w:szCs w:val="15"/>
              </w:rPr>
              <w:t>根据市场价</w:t>
            </w:r>
          </w:p>
        </w:tc>
        <w:tc>
          <w:tcPr>
            <w:tcW w:w="590"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1"/>
              <w:jc w:val="center"/>
              <w:rPr>
                <w:rFonts w:ascii="宋体" w:hAnsi="宋体" w:cs="宋体" w:eastAsia="宋体" w:hint="default"/>
                <w:sz w:val="15"/>
                <w:szCs w:val="15"/>
              </w:rPr>
            </w:pPr>
            <w:r>
              <w:rPr>
                <w:rFonts w:ascii="宋体" w:hAnsi="宋体" w:cs="宋体" w:eastAsia="宋体" w:hint="default"/>
                <w:sz w:val="15"/>
                <w:szCs w:val="15"/>
              </w:rPr>
              <w:t>参考市</w:t>
            </w:r>
          </w:p>
        </w:tc>
        <w:tc>
          <w:tcPr>
            <w:tcW w:w="726" w:type="dxa"/>
            <w:tcBorders>
              <w:top w:val="nil" w:sz="6" w:space="0" w:color="auto"/>
              <w:left w:val="single" w:sz="4" w:space="0" w:color="000000"/>
              <w:bottom w:val="nil" w:sz="6" w:space="0" w:color="auto"/>
              <w:right w:val="single" w:sz="4" w:space="0" w:color="000000"/>
            </w:tcBorders>
          </w:tcPr>
          <w:p>
            <w:pPr/>
          </w:p>
        </w:tc>
        <w:tc>
          <w:tcPr>
            <w:tcW w:w="908" w:type="dxa"/>
            <w:tcBorders>
              <w:top w:val="nil" w:sz="6" w:space="0" w:color="auto"/>
              <w:left w:val="single" w:sz="4" w:space="0" w:color="000000"/>
              <w:bottom w:val="nil" w:sz="6" w:space="0" w:color="auto"/>
              <w:right w:val="single" w:sz="4" w:space="0" w:color="000000"/>
            </w:tcBorders>
          </w:tcPr>
          <w:p>
            <w:pPr/>
          </w:p>
        </w:tc>
        <w:tc>
          <w:tcPr>
            <w:tcW w:w="806" w:type="dxa"/>
            <w:tcBorders>
              <w:top w:val="nil" w:sz="6" w:space="0" w:color="auto"/>
              <w:left w:val="single" w:sz="4" w:space="0" w:color="000000"/>
              <w:bottom w:val="nil" w:sz="6" w:space="0" w:color="auto"/>
              <w:right w:val="single" w:sz="4" w:space="0" w:color="000000"/>
            </w:tcBorders>
          </w:tcPr>
          <w:p>
            <w:pPr/>
          </w:p>
        </w:tc>
        <w:tc>
          <w:tcPr>
            <w:tcW w:w="574" w:type="dxa"/>
            <w:tcBorders>
              <w:top w:val="nil" w:sz="6" w:space="0" w:color="auto"/>
              <w:left w:val="single" w:sz="4" w:space="0" w:color="000000"/>
              <w:bottom w:val="nil" w:sz="6" w:space="0" w:color="auto"/>
              <w:right w:val="single" w:sz="4" w:space="0" w:color="000000"/>
            </w:tcBorders>
          </w:tcPr>
          <w:p>
            <w:pPr/>
          </w:p>
        </w:tc>
        <w:tc>
          <w:tcPr>
            <w:tcW w:w="720"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0"/>
              <w:jc w:val="left"/>
              <w:rPr>
                <w:rFonts w:ascii="宋体" w:hAnsi="宋体" w:cs="宋体" w:eastAsia="宋体" w:hint="default"/>
                <w:sz w:val="15"/>
                <w:szCs w:val="15"/>
              </w:rPr>
            </w:pPr>
            <w:r>
              <w:rPr>
                <w:rFonts w:ascii="宋体" w:hAnsi="宋体" w:cs="宋体" w:eastAsia="宋体" w:hint="default"/>
                <w:sz w:val="15"/>
                <w:szCs w:val="15"/>
              </w:rPr>
              <w:t>根据合同</w:t>
            </w:r>
          </w:p>
        </w:tc>
        <w:tc>
          <w:tcPr>
            <w:tcW w:w="886" w:type="dxa"/>
            <w:tcBorders>
              <w:top w:val="nil" w:sz="6" w:space="0" w:color="auto"/>
              <w:left w:val="single" w:sz="4" w:space="0" w:color="000000"/>
              <w:bottom w:val="nil" w:sz="6" w:space="0" w:color="auto"/>
              <w:right w:val="single" w:sz="4" w:space="0" w:color="000000"/>
            </w:tcBorders>
          </w:tcPr>
          <w:p>
            <w:pPr/>
          </w:p>
        </w:tc>
        <w:tc>
          <w:tcPr>
            <w:tcW w:w="866"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1" w:right="-1"/>
              <w:jc w:val="left"/>
              <w:rPr>
                <w:rFonts w:ascii="宋体" w:hAnsi="宋体" w:cs="宋体" w:eastAsia="宋体" w:hint="default"/>
                <w:sz w:val="15"/>
                <w:szCs w:val="15"/>
              </w:rPr>
            </w:pPr>
            <w:r>
              <w:rPr>
                <w:rFonts w:ascii="Times New Roman" w:hAnsi="Times New Roman" w:cs="Times New Roman" w:eastAsia="Times New Roman" w:hint="default"/>
                <w:sz w:val="15"/>
                <w:szCs w:val="15"/>
              </w:rPr>
              <w:t>2017</w:t>
            </w:r>
            <w:r>
              <w:rPr>
                <w:rFonts w:ascii="Times New Roman" w:hAnsi="Times New Roman" w:cs="Times New Roman" w:eastAsia="Times New Roman" w:hint="default"/>
                <w:spacing w:val="-4"/>
                <w:sz w:val="15"/>
                <w:szCs w:val="15"/>
              </w:rPr>
              <w:t> </w:t>
            </w:r>
            <w:r>
              <w:rPr>
                <w:rFonts w:ascii="宋体" w:hAnsi="宋体" w:cs="宋体" w:eastAsia="宋体" w:hint="default"/>
                <w:sz w:val="15"/>
                <w:szCs w:val="15"/>
              </w:rPr>
              <w:t>年</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12</w:t>
            </w:r>
            <w:r>
              <w:rPr>
                <w:rFonts w:ascii="Times New Roman" w:hAnsi="Times New Roman" w:cs="Times New Roman" w:eastAsia="Times New Roman" w:hint="default"/>
                <w:spacing w:val="-4"/>
                <w:sz w:val="15"/>
                <w:szCs w:val="15"/>
              </w:rPr>
              <w:t> </w:t>
            </w:r>
            <w:r>
              <w:rPr>
                <w:rFonts w:ascii="宋体" w:hAnsi="宋体" w:cs="宋体" w:eastAsia="宋体" w:hint="default"/>
                <w:sz w:val="15"/>
                <w:szCs w:val="15"/>
              </w:rPr>
              <w:t>月</w:t>
            </w:r>
          </w:p>
        </w:tc>
        <w:tc>
          <w:tcPr>
            <w:tcW w:w="755"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1" w:right="-2"/>
              <w:jc w:val="left"/>
              <w:rPr>
                <w:rFonts w:ascii="宋体" w:hAnsi="宋体" w:cs="宋体" w:eastAsia="宋体" w:hint="default"/>
                <w:sz w:val="15"/>
                <w:szCs w:val="15"/>
              </w:rPr>
            </w:pPr>
            <w:r>
              <w:rPr>
                <w:rFonts w:ascii="Times New Roman" w:hAnsi="Times New Roman" w:cs="Times New Roman" w:eastAsia="Times New Roman" w:hint="default"/>
                <w:sz w:val="15"/>
                <w:szCs w:val="15"/>
              </w:rPr>
              <w:t>2017-114</w:t>
            </w:r>
            <w:r>
              <w:rPr>
                <w:rFonts w:ascii="Times New Roman" w:hAnsi="Times New Roman" w:cs="Times New Roman" w:eastAsia="Times New Roman" w:hint="default"/>
                <w:spacing w:val="-20"/>
                <w:sz w:val="15"/>
                <w:szCs w:val="15"/>
              </w:rPr>
              <w:t> </w:t>
            </w:r>
            <w:r>
              <w:rPr>
                <w:rFonts w:ascii="宋体" w:hAnsi="宋体" w:cs="宋体" w:eastAsia="宋体" w:hint="default"/>
                <w:sz w:val="15"/>
                <w:szCs w:val="15"/>
              </w:rPr>
              <w:t>号</w:t>
            </w:r>
          </w:p>
        </w:tc>
      </w:tr>
      <w:tr>
        <w:trPr>
          <w:trHeight w:val="155" w:hRule="exact"/>
        </w:trPr>
        <w:tc>
          <w:tcPr>
            <w:tcW w:w="1334" w:type="dxa"/>
            <w:tcBorders>
              <w:top w:val="nil" w:sz="6" w:space="0" w:color="auto"/>
              <w:left w:val="single" w:sz="4" w:space="0" w:color="000000"/>
              <w:bottom w:val="nil" w:sz="6" w:space="0" w:color="auto"/>
              <w:right w:val="single" w:sz="4" w:space="0" w:color="000000"/>
            </w:tcBorders>
          </w:tcPr>
          <w:p>
            <w:pPr/>
          </w:p>
        </w:tc>
        <w:tc>
          <w:tcPr>
            <w:tcW w:w="908" w:type="dxa"/>
            <w:tcBorders>
              <w:top w:val="nil" w:sz="6" w:space="0" w:color="auto"/>
              <w:left w:val="single" w:sz="4" w:space="0" w:color="000000"/>
              <w:bottom w:val="nil" w:sz="6" w:space="0" w:color="auto"/>
              <w:right w:val="single" w:sz="4" w:space="0" w:color="000000"/>
            </w:tcBorders>
          </w:tcPr>
          <w:p>
            <w:pPr/>
          </w:p>
        </w:tc>
        <w:tc>
          <w:tcPr>
            <w:tcW w:w="726"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1"/>
              <w:jc w:val="center"/>
              <w:rPr>
                <w:rFonts w:ascii="宋体" w:hAnsi="宋体" w:cs="宋体" w:eastAsia="宋体" w:hint="default"/>
                <w:sz w:val="15"/>
                <w:szCs w:val="15"/>
              </w:rPr>
            </w:pPr>
            <w:r>
              <w:rPr>
                <w:rFonts w:ascii="宋体" w:hAnsi="宋体" w:cs="宋体" w:eastAsia="宋体" w:hint="default"/>
                <w:sz w:val="15"/>
                <w:szCs w:val="15"/>
              </w:rPr>
              <w:t>采购</w:t>
            </w:r>
          </w:p>
        </w:tc>
        <w:tc>
          <w:tcPr>
            <w:tcW w:w="788" w:type="dxa"/>
            <w:tcBorders>
              <w:top w:val="nil" w:sz="6" w:space="0" w:color="auto"/>
              <w:left w:val="single" w:sz="4" w:space="0" w:color="000000"/>
              <w:bottom w:val="nil" w:sz="6" w:space="0" w:color="auto"/>
              <w:right w:val="single" w:sz="4" w:space="0" w:color="000000"/>
            </w:tcBorders>
          </w:tcPr>
          <w:p>
            <w:pPr/>
          </w:p>
        </w:tc>
        <w:tc>
          <w:tcPr>
            <w:tcW w:w="846" w:type="dxa"/>
            <w:tcBorders>
              <w:top w:val="nil" w:sz="6" w:space="0" w:color="auto"/>
              <w:left w:val="single" w:sz="4" w:space="0" w:color="000000"/>
              <w:bottom w:val="nil" w:sz="6" w:space="0" w:color="auto"/>
              <w:right w:val="single" w:sz="4" w:space="0" w:color="000000"/>
            </w:tcBorders>
          </w:tcPr>
          <w:p>
            <w:pPr/>
          </w:p>
        </w:tc>
        <w:tc>
          <w:tcPr>
            <w:tcW w:w="590" w:type="dxa"/>
            <w:tcBorders>
              <w:top w:val="nil" w:sz="6" w:space="0" w:color="auto"/>
              <w:left w:val="single" w:sz="4" w:space="0" w:color="000000"/>
              <w:bottom w:val="nil" w:sz="6" w:space="0" w:color="auto"/>
              <w:right w:val="single" w:sz="4" w:space="0" w:color="000000"/>
            </w:tcBorders>
          </w:tcPr>
          <w:p>
            <w:pPr/>
          </w:p>
        </w:tc>
        <w:tc>
          <w:tcPr>
            <w:tcW w:w="726" w:type="dxa"/>
            <w:tcBorders>
              <w:top w:val="nil" w:sz="6" w:space="0" w:color="auto"/>
              <w:left w:val="single" w:sz="4" w:space="0" w:color="000000"/>
              <w:bottom w:val="nil" w:sz="6" w:space="0" w:color="auto"/>
              <w:right w:val="single" w:sz="4" w:space="0" w:color="000000"/>
            </w:tcBorders>
          </w:tcPr>
          <w:p>
            <w:pPr>
              <w:pStyle w:val="TableParagraph"/>
              <w:spacing w:line="159" w:lineRule="exact"/>
              <w:ind w:right="-1"/>
              <w:jc w:val="right"/>
              <w:rPr>
                <w:rFonts w:ascii="Times New Roman" w:hAnsi="Times New Roman" w:cs="Times New Roman" w:eastAsia="Times New Roman" w:hint="default"/>
                <w:sz w:val="15"/>
                <w:szCs w:val="15"/>
              </w:rPr>
            </w:pPr>
            <w:r>
              <w:rPr>
                <w:rFonts w:ascii="Times New Roman"/>
                <w:spacing w:val="-1"/>
                <w:sz w:val="15"/>
              </w:rPr>
              <w:t>1,326.42</w:t>
            </w:r>
          </w:p>
        </w:tc>
        <w:tc>
          <w:tcPr>
            <w:tcW w:w="908" w:type="dxa"/>
            <w:tcBorders>
              <w:top w:val="nil" w:sz="6" w:space="0" w:color="auto"/>
              <w:left w:val="single" w:sz="4" w:space="0" w:color="000000"/>
              <w:bottom w:val="nil" w:sz="6" w:space="0" w:color="auto"/>
              <w:right w:val="single" w:sz="4" w:space="0" w:color="000000"/>
            </w:tcBorders>
          </w:tcPr>
          <w:p>
            <w:pPr>
              <w:pStyle w:val="TableParagraph"/>
              <w:spacing w:line="159" w:lineRule="exact"/>
              <w:ind w:right="0"/>
              <w:jc w:val="center"/>
              <w:rPr>
                <w:rFonts w:ascii="Times New Roman" w:hAnsi="Times New Roman" w:cs="Times New Roman" w:eastAsia="Times New Roman" w:hint="default"/>
                <w:sz w:val="15"/>
                <w:szCs w:val="15"/>
              </w:rPr>
            </w:pPr>
            <w:r>
              <w:rPr>
                <w:rFonts w:ascii="Times New Roman"/>
                <w:sz w:val="15"/>
              </w:rPr>
              <w:t>0.17%</w:t>
            </w:r>
          </w:p>
        </w:tc>
        <w:tc>
          <w:tcPr>
            <w:tcW w:w="806" w:type="dxa"/>
            <w:tcBorders>
              <w:top w:val="nil" w:sz="6" w:space="0" w:color="auto"/>
              <w:left w:val="single" w:sz="4" w:space="0" w:color="000000"/>
              <w:bottom w:val="nil" w:sz="6" w:space="0" w:color="auto"/>
              <w:right w:val="single" w:sz="4" w:space="0" w:color="000000"/>
            </w:tcBorders>
          </w:tcPr>
          <w:p>
            <w:pPr>
              <w:pStyle w:val="TableParagraph"/>
              <w:spacing w:line="159" w:lineRule="exact"/>
              <w:ind w:right="-2"/>
              <w:jc w:val="right"/>
              <w:rPr>
                <w:rFonts w:ascii="Times New Roman" w:hAnsi="Times New Roman" w:cs="Times New Roman" w:eastAsia="Times New Roman" w:hint="default"/>
                <w:sz w:val="15"/>
                <w:szCs w:val="15"/>
              </w:rPr>
            </w:pPr>
            <w:r>
              <w:rPr>
                <w:rFonts w:ascii="Times New Roman"/>
                <w:spacing w:val="-1"/>
                <w:sz w:val="15"/>
              </w:rPr>
              <w:t>13,383.24</w:t>
            </w:r>
          </w:p>
        </w:tc>
        <w:tc>
          <w:tcPr>
            <w:tcW w:w="574"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0"/>
              <w:jc w:val="center"/>
              <w:rPr>
                <w:rFonts w:ascii="宋体" w:hAnsi="宋体" w:cs="宋体" w:eastAsia="宋体" w:hint="default"/>
                <w:sz w:val="15"/>
                <w:szCs w:val="15"/>
              </w:rPr>
            </w:pPr>
            <w:r>
              <w:rPr>
                <w:rFonts w:ascii="宋体" w:hAnsi="宋体" w:cs="宋体" w:eastAsia="宋体" w:hint="default"/>
                <w:sz w:val="15"/>
                <w:szCs w:val="15"/>
              </w:rPr>
              <w:t>否</w:t>
            </w:r>
          </w:p>
        </w:tc>
        <w:tc>
          <w:tcPr>
            <w:tcW w:w="720" w:type="dxa"/>
            <w:tcBorders>
              <w:top w:val="nil" w:sz="6" w:space="0" w:color="auto"/>
              <w:left w:val="single" w:sz="4" w:space="0" w:color="000000"/>
              <w:bottom w:val="nil" w:sz="6" w:space="0" w:color="auto"/>
              <w:right w:val="single" w:sz="4" w:space="0" w:color="000000"/>
            </w:tcBorders>
          </w:tcPr>
          <w:p>
            <w:pPr/>
          </w:p>
        </w:tc>
        <w:tc>
          <w:tcPr>
            <w:tcW w:w="886"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38" w:right="0"/>
              <w:jc w:val="left"/>
              <w:rPr>
                <w:rFonts w:ascii="宋体" w:hAnsi="宋体" w:cs="宋体" w:eastAsia="宋体" w:hint="default"/>
                <w:sz w:val="15"/>
                <w:szCs w:val="15"/>
              </w:rPr>
            </w:pPr>
            <w:r>
              <w:rPr>
                <w:rFonts w:ascii="宋体" w:hAnsi="宋体" w:cs="宋体" w:eastAsia="宋体" w:hint="default"/>
                <w:sz w:val="15"/>
                <w:szCs w:val="15"/>
              </w:rPr>
              <w:t>市场价格</w:t>
            </w:r>
          </w:p>
        </w:tc>
        <w:tc>
          <w:tcPr>
            <w:tcW w:w="866" w:type="dxa"/>
            <w:tcBorders>
              <w:top w:val="nil" w:sz="6" w:space="0" w:color="auto"/>
              <w:left w:val="single" w:sz="4" w:space="0" w:color="000000"/>
              <w:bottom w:val="nil" w:sz="6" w:space="0" w:color="auto"/>
              <w:right w:val="single" w:sz="4" w:space="0" w:color="000000"/>
            </w:tcBorders>
          </w:tcPr>
          <w:p>
            <w:pPr/>
          </w:p>
        </w:tc>
        <w:tc>
          <w:tcPr>
            <w:tcW w:w="755" w:type="dxa"/>
            <w:tcBorders>
              <w:top w:val="nil" w:sz="6" w:space="0" w:color="auto"/>
              <w:left w:val="single" w:sz="4" w:space="0" w:color="000000"/>
              <w:bottom w:val="nil" w:sz="6" w:space="0" w:color="auto"/>
              <w:right w:val="single" w:sz="4" w:space="0" w:color="000000"/>
            </w:tcBorders>
          </w:tcPr>
          <w:p>
            <w:pPr/>
          </w:p>
        </w:tc>
      </w:tr>
      <w:tr>
        <w:trPr>
          <w:trHeight w:val="235" w:hRule="exact"/>
        </w:trPr>
        <w:tc>
          <w:tcPr>
            <w:tcW w:w="1334"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0"/>
              <w:jc w:val="left"/>
              <w:rPr>
                <w:rFonts w:ascii="宋体" w:hAnsi="宋体" w:cs="宋体" w:eastAsia="宋体" w:hint="default"/>
                <w:sz w:val="15"/>
                <w:szCs w:val="15"/>
              </w:rPr>
            </w:pPr>
            <w:r>
              <w:rPr>
                <w:rFonts w:ascii="宋体" w:hAnsi="宋体" w:cs="宋体" w:eastAsia="宋体" w:hint="default"/>
                <w:sz w:val="15"/>
                <w:szCs w:val="15"/>
              </w:rPr>
              <w:t>份有限公司</w:t>
            </w:r>
          </w:p>
        </w:tc>
        <w:tc>
          <w:tcPr>
            <w:tcW w:w="908"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0"/>
              <w:jc w:val="left"/>
              <w:rPr>
                <w:rFonts w:ascii="宋体" w:hAnsi="宋体" w:cs="宋体" w:eastAsia="宋体" w:hint="default"/>
                <w:sz w:val="15"/>
                <w:szCs w:val="15"/>
              </w:rPr>
            </w:pPr>
            <w:r>
              <w:rPr>
                <w:rFonts w:ascii="宋体" w:hAnsi="宋体" w:cs="宋体" w:eastAsia="宋体" w:hint="default"/>
                <w:sz w:val="15"/>
                <w:szCs w:val="15"/>
              </w:rPr>
              <w:t>控制方控制</w:t>
            </w:r>
          </w:p>
        </w:tc>
        <w:tc>
          <w:tcPr>
            <w:tcW w:w="726" w:type="dxa"/>
            <w:tcBorders>
              <w:top w:val="nil" w:sz="6" w:space="0" w:color="auto"/>
              <w:left w:val="single" w:sz="4" w:space="0" w:color="000000"/>
              <w:bottom w:val="nil" w:sz="6" w:space="0" w:color="auto"/>
              <w:right w:val="single" w:sz="4" w:space="0" w:color="000000"/>
            </w:tcBorders>
          </w:tcPr>
          <w:p>
            <w:pPr/>
          </w:p>
        </w:tc>
        <w:tc>
          <w:tcPr>
            <w:tcW w:w="788"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0"/>
              <w:jc w:val="left"/>
              <w:rPr>
                <w:rFonts w:ascii="宋体" w:hAnsi="宋体" w:cs="宋体" w:eastAsia="宋体" w:hint="default"/>
                <w:sz w:val="15"/>
                <w:szCs w:val="15"/>
              </w:rPr>
            </w:pPr>
            <w:r>
              <w:rPr>
                <w:rFonts w:ascii="宋体" w:hAnsi="宋体" w:cs="宋体" w:eastAsia="宋体" w:hint="default"/>
                <w:sz w:val="15"/>
                <w:szCs w:val="15"/>
              </w:rPr>
              <w:t>电视、虚拟</w:t>
            </w:r>
          </w:p>
        </w:tc>
        <w:tc>
          <w:tcPr>
            <w:tcW w:w="846"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1"/>
              <w:jc w:val="center"/>
              <w:rPr>
                <w:rFonts w:ascii="宋体" w:hAnsi="宋体" w:cs="宋体" w:eastAsia="宋体" w:hint="default"/>
                <w:sz w:val="15"/>
                <w:szCs w:val="15"/>
              </w:rPr>
            </w:pPr>
            <w:r>
              <w:rPr>
                <w:rFonts w:ascii="宋体" w:hAnsi="宋体" w:cs="宋体" w:eastAsia="宋体" w:hint="default"/>
                <w:sz w:val="15"/>
                <w:szCs w:val="15"/>
              </w:rPr>
              <w:t>格</w:t>
            </w:r>
            <w:r>
              <w:rPr>
                <w:rFonts w:ascii="宋体" w:hAnsi="宋体" w:cs="宋体" w:eastAsia="宋体" w:hint="default"/>
                <w:spacing w:val="-64"/>
                <w:sz w:val="15"/>
                <w:szCs w:val="15"/>
              </w:rPr>
              <w:t>，</w:t>
            </w:r>
            <w:r>
              <w:rPr>
                <w:rFonts w:ascii="宋体" w:hAnsi="宋体" w:cs="宋体" w:eastAsia="宋体" w:hint="default"/>
                <w:sz w:val="15"/>
                <w:szCs w:val="15"/>
              </w:rPr>
              <w:t>协商确定</w:t>
            </w:r>
          </w:p>
        </w:tc>
        <w:tc>
          <w:tcPr>
            <w:tcW w:w="590"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1"/>
              <w:jc w:val="center"/>
              <w:rPr>
                <w:rFonts w:ascii="宋体" w:hAnsi="宋体" w:cs="宋体" w:eastAsia="宋体" w:hint="default"/>
                <w:sz w:val="15"/>
                <w:szCs w:val="15"/>
              </w:rPr>
            </w:pPr>
            <w:r>
              <w:rPr>
                <w:rFonts w:ascii="宋体" w:hAnsi="宋体" w:cs="宋体" w:eastAsia="宋体" w:hint="default"/>
                <w:sz w:val="15"/>
                <w:szCs w:val="15"/>
              </w:rPr>
              <w:t>场价格</w:t>
            </w:r>
          </w:p>
        </w:tc>
        <w:tc>
          <w:tcPr>
            <w:tcW w:w="726" w:type="dxa"/>
            <w:tcBorders>
              <w:top w:val="nil" w:sz="6" w:space="0" w:color="auto"/>
              <w:left w:val="single" w:sz="4" w:space="0" w:color="000000"/>
              <w:bottom w:val="nil" w:sz="6" w:space="0" w:color="auto"/>
              <w:right w:val="single" w:sz="4" w:space="0" w:color="000000"/>
            </w:tcBorders>
          </w:tcPr>
          <w:p>
            <w:pPr/>
          </w:p>
        </w:tc>
        <w:tc>
          <w:tcPr>
            <w:tcW w:w="908" w:type="dxa"/>
            <w:tcBorders>
              <w:top w:val="nil" w:sz="6" w:space="0" w:color="auto"/>
              <w:left w:val="single" w:sz="4" w:space="0" w:color="000000"/>
              <w:bottom w:val="nil" w:sz="6" w:space="0" w:color="auto"/>
              <w:right w:val="single" w:sz="4" w:space="0" w:color="000000"/>
            </w:tcBorders>
          </w:tcPr>
          <w:p>
            <w:pPr/>
          </w:p>
        </w:tc>
        <w:tc>
          <w:tcPr>
            <w:tcW w:w="806" w:type="dxa"/>
            <w:tcBorders>
              <w:top w:val="nil" w:sz="6" w:space="0" w:color="auto"/>
              <w:left w:val="single" w:sz="4" w:space="0" w:color="000000"/>
              <w:bottom w:val="nil" w:sz="6" w:space="0" w:color="auto"/>
              <w:right w:val="single" w:sz="4" w:space="0" w:color="000000"/>
            </w:tcBorders>
          </w:tcPr>
          <w:p>
            <w:pPr/>
          </w:p>
        </w:tc>
        <w:tc>
          <w:tcPr>
            <w:tcW w:w="574" w:type="dxa"/>
            <w:tcBorders>
              <w:top w:val="nil" w:sz="6" w:space="0" w:color="auto"/>
              <w:left w:val="single" w:sz="4" w:space="0" w:color="000000"/>
              <w:bottom w:val="nil" w:sz="6" w:space="0" w:color="auto"/>
              <w:right w:val="single" w:sz="4" w:space="0" w:color="000000"/>
            </w:tcBorders>
          </w:tcPr>
          <w:p>
            <w:pPr/>
          </w:p>
        </w:tc>
        <w:tc>
          <w:tcPr>
            <w:tcW w:w="720"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0"/>
              <w:jc w:val="left"/>
              <w:rPr>
                <w:rFonts w:ascii="宋体" w:hAnsi="宋体" w:cs="宋体" w:eastAsia="宋体" w:hint="default"/>
                <w:sz w:val="15"/>
                <w:szCs w:val="15"/>
              </w:rPr>
            </w:pPr>
            <w:r>
              <w:rPr>
                <w:rFonts w:ascii="宋体" w:hAnsi="宋体" w:cs="宋体" w:eastAsia="宋体" w:hint="default"/>
                <w:sz w:val="15"/>
                <w:szCs w:val="15"/>
              </w:rPr>
              <w:t>约定</w:t>
            </w:r>
          </w:p>
        </w:tc>
        <w:tc>
          <w:tcPr>
            <w:tcW w:w="886" w:type="dxa"/>
            <w:tcBorders>
              <w:top w:val="nil" w:sz="6" w:space="0" w:color="auto"/>
              <w:left w:val="single" w:sz="4" w:space="0" w:color="000000"/>
              <w:bottom w:val="nil" w:sz="6" w:space="0" w:color="auto"/>
              <w:right w:val="single" w:sz="4" w:space="0" w:color="000000"/>
            </w:tcBorders>
          </w:tcPr>
          <w:p>
            <w:pPr/>
          </w:p>
        </w:tc>
        <w:tc>
          <w:tcPr>
            <w:tcW w:w="866" w:type="dxa"/>
            <w:tcBorders>
              <w:top w:val="nil" w:sz="6" w:space="0" w:color="auto"/>
              <w:left w:val="single" w:sz="4" w:space="0" w:color="000000"/>
              <w:bottom w:val="nil" w:sz="6" w:space="0" w:color="auto"/>
              <w:right w:val="single" w:sz="4" w:space="0" w:color="000000"/>
            </w:tcBorders>
          </w:tcPr>
          <w:p>
            <w:pPr>
              <w:pStyle w:val="TableParagraph"/>
              <w:spacing w:line="161" w:lineRule="exact"/>
              <w:ind w:left="-1"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20 </w:t>
            </w:r>
            <w:r>
              <w:rPr>
                <w:rFonts w:ascii="宋体" w:hAnsi="宋体" w:cs="宋体" w:eastAsia="宋体" w:hint="default"/>
                <w:sz w:val="15"/>
                <w:szCs w:val="15"/>
              </w:rPr>
              <w:t>日</w:t>
            </w:r>
          </w:p>
        </w:tc>
        <w:tc>
          <w:tcPr>
            <w:tcW w:w="755"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0"/>
              <w:jc w:val="left"/>
              <w:rPr>
                <w:rFonts w:ascii="宋体" w:hAnsi="宋体" w:cs="宋体" w:eastAsia="宋体" w:hint="default"/>
                <w:sz w:val="15"/>
                <w:szCs w:val="15"/>
              </w:rPr>
            </w:pPr>
            <w:r>
              <w:rPr>
                <w:rFonts w:ascii="宋体" w:hAnsi="宋体" w:cs="宋体" w:eastAsia="宋体" w:hint="default"/>
                <w:sz w:val="15"/>
                <w:szCs w:val="15"/>
              </w:rPr>
              <w:t>公告</w:t>
            </w:r>
          </w:p>
        </w:tc>
      </w:tr>
      <w:tr>
        <w:trPr>
          <w:trHeight w:val="314" w:hRule="exact"/>
        </w:trPr>
        <w:tc>
          <w:tcPr>
            <w:tcW w:w="1334" w:type="dxa"/>
            <w:tcBorders>
              <w:top w:val="nil" w:sz="6" w:space="0" w:color="auto"/>
              <w:left w:val="single" w:sz="4" w:space="0" w:color="000000"/>
              <w:bottom w:val="single" w:sz="4" w:space="0" w:color="000000"/>
              <w:right w:val="single" w:sz="4" w:space="0" w:color="000000"/>
            </w:tcBorders>
          </w:tcPr>
          <w:p>
            <w:pPr/>
          </w:p>
        </w:tc>
        <w:tc>
          <w:tcPr>
            <w:tcW w:w="908" w:type="dxa"/>
            <w:tcBorders>
              <w:top w:val="nil" w:sz="6" w:space="0" w:color="auto"/>
              <w:left w:val="single" w:sz="4" w:space="0" w:color="000000"/>
              <w:bottom w:val="single" w:sz="4" w:space="0" w:color="000000"/>
              <w:right w:val="single" w:sz="4" w:space="0" w:color="000000"/>
            </w:tcBorders>
          </w:tcPr>
          <w:p>
            <w:pPr/>
          </w:p>
        </w:tc>
        <w:tc>
          <w:tcPr>
            <w:tcW w:w="726" w:type="dxa"/>
            <w:tcBorders>
              <w:top w:val="nil" w:sz="6" w:space="0" w:color="auto"/>
              <w:left w:val="single" w:sz="4" w:space="0" w:color="000000"/>
              <w:bottom w:val="single" w:sz="4" w:space="0" w:color="000000"/>
              <w:right w:val="single" w:sz="4" w:space="0" w:color="000000"/>
            </w:tcBorders>
          </w:tcPr>
          <w:p>
            <w:pPr/>
          </w:p>
        </w:tc>
        <w:tc>
          <w:tcPr>
            <w:tcW w:w="78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0"/>
              <w:ind w:right="0"/>
              <w:jc w:val="left"/>
              <w:rPr>
                <w:rFonts w:ascii="宋体" w:hAnsi="宋体" w:cs="宋体" w:eastAsia="宋体" w:hint="default"/>
                <w:sz w:val="15"/>
                <w:szCs w:val="15"/>
              </w:rPr>
            </w:pPr>
            <w:r>
              <w:rPr>
                <w:rFonts w:ascii="宋体" w:hAnsi="宋体" w:cs="宋体" w:eastAsia="宋体" w:hint="default"/>
                <w:sz w:val="15"/>
                <w:szCs w:val="15"/>
              </w:rPr>
              <w:t>设备等</w:t>
            </w:r>
          </w:p>
        </w:tc>
        <w:tc>
          <w:tcPr>
            <w:tcW w:w="846" w:type="dxa"/>
            <w:tcBorders>
              <w:top w:val="nil" w:sz="6" w:space="0" w:color="auto"/>
              <w:left w:val="single" w:sz="4" w:space="0" w:color="000000"/>
              <w:bottom w:val="single" w:sz="4" w:space="0" w:color="000000"/>
              <w:right w:val="single" w:sz="4" w:space="0" w:color="000000"/>
            </w:tcBorders>
          </w:tcPr>
          <w:p>
            <w:pPr>
              <w:pStyle w:val="TableParagraph"/>
              <w:spacing w:line="312" w:lineRule="exact"/>
              <w:ind w:right="-50"/>
              <w:jc w:val="left"/>
              <w:rPr>
                <w:rFonts w:ascii="宋体" w:hAnsi="宋体" w:cs="宋体" w:eastAsia="宋体" w:hint="default"/>
                <w:sz w:val="20"/>
                <w:szCs w:val="20"/>
              </w:rPr>
            </w:pPr>
            <w:r>
              <w:rPr>
                <w:rFonts w:ascii="宋体" w:hAnsi="宋体" w:cs="宋体" w:eastAsia="宋体" w:hint="default"/>
                <w:position w:val="-5"/>
                <w:sz w:val="20"/>
                <w:szCs w:val="20"/>
              </w:rPr>
              <w:pict>
                <v:group style="width:41.8pt;height:15.6pt;mso-position-horizontal-relative:char;mso-position-vertical-relative:line" coordorigin="0,0" coordsize="836,312">
                  <v:group style="position:absolute;left:0;top:0;width:836;height:312" coordorigin="0,0" coordsize="836,312">
                    <v:shape style="position:absolute;left:0;top:0;width:836;height:312" coordorigin="0,0" coordsize="836,312" path="m0,312l835,312,835,0,0,0,0,312xe" filled="true" fillcolor="#ffffff" stroked="false">
                      <v:path arrowok="t"/>
                      <v:fill type="solid"/>
                    </v:shape>
                  </v:group>
                </v:group>
              </w:pict>
            </w:r>
            <w:r>
              <w:rPr>
                <w:rFonts w:ascii="宋体" w:hAnsi="宋体" w:cs="宋体" w:eastAsia="宋体" w:hint="default"/>
                <w:position w:val="-5"/>
                <w:sz w:val="20"/>
                <w:szCs w:val="20"/>
              </w:rPr>
            </w:r>
          </w:p>
        </w:tc>
        <w:tc>
          <w:tcPr>
            <w:tcW w:w="590" w:type="dxa"/>
            <w:tcBorders>
              <w:top w:val="nil" w:sz="6" w:space="0" w:color="auto"/>
              <w:left w:val="single" w:sz="4" w:space="0" w:color="000000"/>
              <w:bottom w:val="single" w:sz="4" w:space="0" w:color="000000"/>
              <w:right w:val="single" w:sz="4" w:space="0" w:color="000000"/>
            </w:tcBorders>
          </w:tcPr>
          <w:p>
            <w:pPr/>
          </w:p>
        </w:tc>
        <w:tc>
          <w:tcPr>
            <w:tcW w:w="726" w:type="dxa"/>
            <w:tcBorders>
              <w:top w:val="nil" w:sz="6" w:space="0" w:color="auto"/>
              <w:left w:val="single" w:sz="4" w:space="0" w:color="000000"/>
              <w:bottom w:val="single" w:sz="4" w:space="0" w:color="000000"/>
              <w:right w:val="single" w:sz="4" w:space="0" w:color="000000"/>
            </w:tcBorders>
          </w:tcPr>
          <w:p>
            <w:pPr/>
          </w:p>
        </w:tc>
        <w:tc>
          <w:tcPr>
            <w:tcW w:w="908" w:type="dxa"/>
            <w:tcBorders>
              <w:top w:val="nil" w:sz="6" w:space="0" w:color="auto"/>
              <w:left w:val="single" w:sz="4" w:space="0" w:color="000000"/>
              <w:bottom w:val="single" w:sz="4" w:space="0" w:color="000000"/>
              <w:right w:val="single" w:sz="4" w:space="0" w:color="000000"/>
            </w:tcBorders>
          </w:tcPr>
          <w:p>
            <w:pPr/>
          </w:p>
        </w:tc>
        <w:tc>
          <w:tcPr>
            <w:tcW w:w="806" w:type="dxa"/>
            <w:tcBorders>
              <w:top w:val="nil" w:sz="6" w:space="0" w:color="auto"/>
              <w:left w:val="single" w:sz="4" w:space="0" w:color="000000"/>
              <w:bottom w:val="single" w:sz="4" w:space="0" w:color="000000"/>
              <w:right w:val="single" w:sz="4" w:space="0" w:color="000000"/>
            </w:tcBorders>
          </w:tcPr>
          <w:p>
            <w:pPr/>
          </w:p>
        </w:tc>
        <w:tc>
          <w:tcPr>
            <w:tcW w:w="574" w:type="dxa"/>
            <w:tcBorders>
              <w:top w:val="nil" w:sz="6" w:space="0" w:color="auto"/>
              <w:left w:val="single" w:sz="4" w:space="0" w:color="000000"/>
              <w:bottom w:val="single" w:sz="4" w:space="0" w:color="000000"/>
              <w:right w:val="single" w:sz="4" w:space="0" w:color="000000"/>
            </w:tcBorders>
          </w:tcPr>
          <w:p>
            <w:pPr/>
          </w:p>
        </w:tc>
        <w:tc>
          <w:tcPr>
            <w:tcW w:w="720" w:type="dxa"/>
            <w:tcBorders>
              <w:top w:val="nil" w:sz="6" w:space="0" w:color="auto"/>
              <w:left w:val="single" w:sz="4" w:space="0" w:color="000000"/>
              <w:bottom w:val="single" w:sz="4" w:space="0" w:color="000000"/>
              <w:right w:val="single" w:sz="4" w:space="0" w:color="000000"/>
            </w:tcBorders>
          </w:tcPr>
          <w:p>
            <w:pPr/>
          </w:p>
        </w:tc>
        <w:tc>
          <w:tcPr>
            <w:tcW w:w="886" w:type="dxa"/>
            <w:tcBorders>
              <w:top w:val="nil" w:sz="6" w:space="0" w:color="auto"/>
              <w:left w:val="single" w:sz="4" w:space="0" w:color="000000"/>
              <w:bottom w:val="single" w:sz="4" w:space="0" w:color="000000"/>
              <w:right w:val="single" w:sz="4" w:space="0" w:color="000000"/>
            </w:tcBorders>
          </w:tcPr>
          <w:p>
            <w:pPr/>
          </w:p>
        </w:tc>
        <w:tc>
          <w:tcPr>
            <w:tcW w:w="866" w:type="dxa"/>
            <w:tcBorders>
              <w:top w:val="nil" w:sz="6" w:space="0" w:color="auto"/>
              <w:left w:val="single" w:sz="4" w:space="0" w:color="000000"/>
              <w:bottom w:val="single" w:sz="4" w:space="0" w:color="000000"/>
              <w:right w:val="single" w:sz="4" w:space="0" w:color="000000"/>
            </w:tcBorders>
          </w:tcPr>
          <w:p>
            <w:pPr/>
          </w:p>
        </w:tc>
        <w:tc>
          <w:tcPr>
            <w:tcW w:w="755" w:type="dxa"/>
            <w:tcBorders>
              <w:top w:val="nil" w:sz="6" w:space="0" w:color="auto"/>
              <w:left w:val="single" w:sz="4" w:space="0" w:color="000000"/>
              <w:bottom w:val="single" w:sz="4" w:space="0" w:color="000000"/>
              <w:right w:val="single" w:sz="4" w:space="0" w:color="000000"/>
            </w:tcBorders>
          </w:tcPr>
          <w:p>
            <w:pPr/>
          </w:p>
        </w:tc>
      </w:tr>
      <w:tr>
        <w:trPr>
          <w:trHeight w:val="238" w:hRule="exact"/>
        </w:trPr>
        <w:tc>
          <w:tcPr>
            <w:tcW w:w="1334" w:type="dxa"/>
            <w:tcBorders>
              <w:top w:val="single" w:sz="4" w:space="0" w:color="000000"/>
              <w:left w:val="single" w:sz="4" w:space="0" w:color="000000"/>
              <w:bottom w:val="nil" w:sz="6" w:space="0" w:color="auto"/>
              <w:right w:val="single" w:sz="4" w:space="0" w:color="000000"/>
            </w:tcBorders>
          </w:tcPr>
          <w:p>
            <w:pPr/>
          </w:p>
        </w:tc>
        <w:tc>
          <w:tcPr>
            <w:tcW w:w="908" w:type="dxa"/>
            <w:tcBorders>
              <w:top w:val="single" w:sz="4" w:space="0" w:color="000000"/>
              <w:left w:val="single" w:sz="4" w:space="0" w:color="000000"/>
              <w:bottom w:val="nil" w:sz="6" w:space="0" w:color="auto"/>
              <w:right w:val="single" w:sz="4" w:space="0" w:color="000000"/>
            </w:tcBorders>
          </w:tcPr>
          <w:p>
            <w:pPr/>
          </w:p>
        </w:tc>
        <w:tc>
          <w:tcPr>
            <w:tcW w:w="726" w:type="dxa"/>
            <w:tcBorders>
              <w:top w:val="single" w:sz="4" w:space="0" w:color="000000"/>
              <w:left w:val="single" w:sz="4" w:space="0" w:color="000000"/>
              <w:bottom w:val="nil" w:sz="6" w:space="0" w:color="auto"/>
              <w:right w:val="single" w:sz="4" w:space="0" w:color="000000"/>
            </w:tcBorders>
          </w:tcPr>
          <w:p>
            <w:pPr/>
          </w:p>
        </w:tc>
        <w:tc>
          <w:tcPr>
            <w:tcW w:w="78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3"/>
              <w:ind w:right="0"/>
              <w:jc w:val="left"/>
              <w:rPr>
                <w:rFonts w:ascii="宋体" w:hAnsi="宋体" w:cs="宋体" w:eastAsia="宋体" w:hint="default"/>
                <w:sz w:val="15"/>
                <w:szCs w:val="15"/>
              </w:rPr>
            </w:pPr>
            <w:r>
              <w:rPr>
                <w:rFonts w:ascii="宋体" w:hAnsi="宋体" w:cs="宋体" w:eastAsia="宋体" w:hint="default"/>
                <w:sz w:val="15"/>
                <w:szCs w:val="15"/>
              </w:rPr>
              <w:t>采购计算机</w:t>
            </w:r>
          </w:p>
        </w:tc>
        <w:tc>
          <w:tcPr>
            <w:tcW w:w="846" w:type="dxa"/>
            <w:tcBorders>
              <w:top w:val="single" w:sz="4" w:space="0" w:color="000000"/>
              <w:left w:val="single" w:sz="4" w:space="0" w:color="000000"/>
              <w:bottom w:val="nil" w:sz="6" w:space="0" w:color="auto"/>
              <w:right w:val="single" w:sz="4" w:space="0" w:color="000000"/>
            </w:tcBorders>
          </w:tcPr>
          <w:p>
            <w:pPr/>
          </w:p>
        </w:tc>
        <w:tc>
          <w:tcPr>
            <w:tcW w:w="590" w:type="dxa"/>
            <w:tcBorders>
              <w:top w:val="single" w:sz="4" w:space="0" w:color="000000"/>
              <w:left w:val="single" w:sz="4" w:space="0" w:color="000000"/>
              <w:bottom w:val="nil" w:sz="6" w:space="0" w:color="auto"/>
              <w:right w:val="single" w:sz="4" w:space="0" w:color="000000"/>
            </w:tcBorders>
          </w:tcPr>
          <w:p>
            <w:pPr/>
          </w:p>
        </w:tc>
        <w:tc>
          <w:tcPr>
            <w:tcW w:w="726" w:type="dxa"/>
            <w:tcBorders>
              <w:top w:val="single" w:sz="4" w:space="0" w:color="000000"/>
              <w:left w:val="single" w:sz="4" w:space="0" w:color="000000"/>
              <w:bottom w:val="nil" w:sz="6" w:space="0" w:color="auto"/>
              <w:right w:val="single" w:sz="4" w:space="0" w:color="000000"/>
            </w:tcBorders>
          </w:tcPr>
          <w:p>
            <w:pPr/>
          </w:p>
        </w:tc>
        <w:tc>
          <w:tcPr>
            <w:tcW w:w="908" w:type="dxa"/>
            <w:tcBorders>
              <w:top w:val="single" w:sz="4" w:space="0" w:color="000000"/>
              <w:left w:val="single" w:sz="4" w:space="0" w:color="000000"/>
              <w:bottom w:val="nil" w:sz="6" w:space="0" w:color="auto"/>
              <w:right w:val="single" w:sz="4" w:space="0" w:color="000000"/>
            </w:tcBorders>
          </w:tcPr>
          <w:p>
            <w:pPr/>
          </w:p>
        </w:tc>
        <w:tc>
          <w:tcPr>
            <w:tcW w:w="806" w:type="dxa"/>
            <w:tcBorders>
              <w:top w:val="single" w:sz="4" w:space="0" w:color="000000"/>
              <w:left w:val="single" w:sz="4" w:space="0" w:color="000000"/>
              <w:bottom w:val="nil" w:sz="6" w:space="0" w:color="auto"/>
              <w:right w:val="single" w:sz="4" w:space="0" w:color="000000"/>
            </w:tcBorders>
          </w:tcPr>
          <w:p>
            <w:pPr/>
          </w:p>
        </w:tc>
        <w:tc>
          <w:tcPr>
            <w:tcW w:w="574" w:type="dxa"/>
            <w:tcBorders>
              <w:top w:val="single" w:sz="4" w:space="0" w:color="000000"/>
              <w:left w:val="single" w:sz="4" w:space="0" w:color="000000"/>
              <w:bottom w:val="nil" w:sz="6" w:space="0" w:color="auto"/>
              <w:right w:val="single" w:sz="4" w:space="0" w:color="000000"/>
            </w:tcBorders>
          </w:tcPr>
          <w:p>
            <w:pPr/>
          </w:p>
        </w:tc>
        <w:tc>
          <w:tcPr>
            <w:tcW w:w="720" w:type="dxa"/>
            <w:tcBorders>
              <w:top w:val="single" w:sz="4" w:space="0" w:color="000000"/>
              <w:left w:val="single" w:sz="4" w:space="0" w:color="000000"/>
              <w:bottom w:val="nil" w:sz="6" w:space="0" w:color="auto"/>
              <w:right w:val="single" w:sz="4" w:space="0" w:color="000000"/>
            </w:tcBorders>
          </w:tcPr>
          <w:p>
            <w:pPr/>
          </w:p>
        </w:tc>
        <w:tc>
          <w:tcPr>
            <w:tcW w:w="886" w:type="dxa"/>
            <w:tcBorders>
              <w:top w:val="single" w:sz="4" w:space="0" w:color="000000"/>
              <w:left w:val="single" w:sz="4" w:space="0" w:color="000000"/>
              <w:bottom w:val="nil" w:sz="6" w:space="0" w:color="auto"/>
              <w:right w:val="single" w:sz="4" w:space="0" w:color="000000"/>
            </w:tcBorders>
          </w:tcPr>
          <w:p>
            <w:pPr/>
          </w:p>
        </w:tc>
        <w:tc>
          <w:tcPr>
            <w:tcW w:w="866" w:type="dxa"/>
            <w:tcBorders>
              <w:top w:val="single" w:sz="4" w:space="0" w:color="000000"/>
              <w:left w:val="single" w:sz="4" w:space="0" w:color="000000"/>
              <w:bottom w:val="nil" w:sz="6" w:space="0" w:color="auto"/>
              <w:right w:val="single" w:sz="4" w:space="0" w:color="000000"/>
            </w:tcBorders>
          </w:tcPr>
          <w:p>
            <w:pPr/>
          </w:p>
        </w:tc>
        <w:tc>
          <w:tcPr>
            <w:tcW w:w="755" w:type="dxa"/>
            <w:tcBorders>
              <w:top w:val="single" w:sz="4" w:space="0" w:color="000000"/>
              <w:left w:val="single" w:sz="4" w:space="0" w:color="000000"/>
              <w:bottom w:val="nil" w:sz="6" w:space="0" w:color="auto"/>
              <w:right w:val="single" w:sz="4" w:space="0" w:color="000000"/>
            </w:tcBorders>
          </w:tcPr>
          <w:p>
            <w:pPr/>
          </w:p>
        </w:tc>
      </w:tr>
      <w:tr>
        <w:trPr>
          <w:trHeight w:val="160" w:hRule="exact"/>
        </w:trPr>
        <w:tc>
          <w:tcPr>
            <w:tcW w:w="1334" w:type="dxa"/>
            <w:tcBorders>
              <w:top w:val="nil" w:sz="6" w:space="0" w:color="auto"/>
              <w:left w:val="single" w:sz="4" w:space="0" w:color="000000"/>
              <w:bottom w:val="nil" w:sz="6" w:space="0" w:color="auto"/>
              <w:right w:val="single" w:sz="4" w:space="0" w:color="000000"/>
            </w:tcBorders>
          </w:tcPr>
          <w:p>
            <w:pPr>
              <w:pStyle w:val="TableParagraph"/>
              <w:spacing w:line="153" w:lineRule="exact"/>
              <w:ind w:left="-1" w:right="-1"/>
              <w:jc w:val="left"/>
              <w:rPr>
                <w:rFonts w:ascii="宋体" w:hAnsi="宋体" w:cs="宋体" w:eastAsia="宋体" w:hint="default"/>
                <w:sz w:val="15"/>
                <w:szCs w:val="15"/>
              </w:rPr>
            </w:pPr>
            <w:r>
              <w:rPr>
                <w:rFonts w:ascii="宋体" w:hAnsi="宋体" w:cs="宋体" w:eastAsia="宋体" w:hint="default"/>
                <w:spacing w:val="-3"/>
                <w:sz w:val="15"/>
                <w:szCs w:val="15"/>
              </w:rPr>
              <w:t>长城超云（北京）科</w:t>
            </w:r>
          </w:p>
        </w:tc>
        <w:tc>
          <w:tcPr>
            <w:tcW w:w="908" w:type="dxa"/>
            <w:tcBorders>
              <w:top w:val="nil" w:sz="6" w:space="0" w:color="auto"/>
              <w:left w:val="single" w:sz="4" w:space="0" w:color="000000"/>
              <w:bottom w:val="nil" w:sz="6" w:space="0" w:color="auto"/>
              <w:right w:val="single" w:sz="4" w:space="0" w:color="000000"/>
            </w:tcBorders>
          </w:tcPr>
          <w:p>
            <w:pPr/>
          </w:p>
        </w:tc>
        <w:tc>
          <w:tcPr>
            <w:tcW w:w="726" w:type="dxa"/>
            <w:tcBorders>
              <w:top w:val="nil" w:sz="6" w:space="0" w:color="auto"/>
              <w:left w:val="single" w:sz="4" w:space="0" w:color="000000"/>
              <w:bottom w:val="nil" w:sz="6" w:space="0" w:color="auto"/>
              <w:right w:val="single" w:sz="4" w:space="0" w:color="000000"/>
            </w:tcBorders>
          </w:tcPr>
          <w:p>
            <w:pPr/>
          </w:p>
        </w:tc>
        <w:tc>
          <w:tcPr>
            <w:tcW w:w="788" w:type="dxa"/>
            <w:tcBorders>
              <w:top w:val="nil" w:sz="6" w:space="0" w:color="auto"/>
              <w:left w:val="single" w:sz="4" w:space="0" w:color="000000"/>
              <w:bottom w:val="nil" w:sz="6" w:space="0" w:color="auto"/>
              <w:right w:val="single" w:sz="4" w:space="0" w:color="000000"/>
            </w:tcBorders>
          </w:tcPr>
          <w:p>
            <w:pPr/>
          </w:p>
        </w:tc>
        <w:tc>
          <w:tcPr>
            <w:tcW w:w="846" w:type="dxa"/>
            <w:tcBorders>
              <w:top w:val="nil" w:sz="6" w:space="0" w:color="auto"/>
              <w:left w:val="single" w:sz="4" w:space="0" w:color="000000"/>
              <w:bottom w:val="nil" w:sz="6" w:space="0" w:color="auto"/>
              <w:right w:val="single" w:sz="4" w:space="0" w:color="000000"/>
            </w:tcBorders>
          </w:tcPr>
          <w:p>
            <w:pPr>
              <w:pStyle w:val="TableParagraph"/>
              <w:spacing w:line="153" w:lineRule="exact"/>
              <w:ind w:right="84"/>
              <w:jc w:val="center"/>
              <w:rPr>
                <w:rFonts w:ascii="宋体" w:hAnsi="宋体" w:cs="宋体" w:eastAsia="宋体" w:hint="default"/>
                <w:sz w:val="15"/>
                <w:szCs w:val="15"/>
              </w:rPr>
            </w:pPr>
            <w:r>
              <w:rPr>
                <w:rFonts w:ascii="宋体" w:hAnsi="宋体" w:cs="宋体" w:eastAsia="宋体" w:hint="default"/>
                <w:sz w:val="15"/>
                <w:szCs w:val="15"/>
              </w:rPr>
              <w:t>根据市场价</w:t>
            </w:r>
          </w:p>
        </w:tc>
        <w:tc>
          <w:tcPr>
            <w:tcW w:w="590" w:type="dxa"/>
            <w:tcBorders>
              <w:top w:val="nil" w:sz="6" w:space="0" w:color="auto"/>
              <w:left w:val="single" w:sz="4" w:space="0" w:color="000000"/>
              <w:bottom w:val="nil" w:sz="6" w:space="0" w:color="auto"/>
              <w:right w:val="single" w:sz="4" w:space="0" w:color="000000"/>
            </w:tcBorders>
          </w:tcPr>
          <w:p>
            <w:pPr>
              <w:pStyle w:val="TableParagraph"/>
              <w:spacing w:line="153" w:lineRule="exact"/>
              <w:ind w:right="1"/>
              <w:jc w:val="center"/>
              <w:rPr>
                <w:rFonts w:ascii="宋体" w:hAnsi="宋体" w:cs="宋体" w:eastAsia="宋体" w:hint="default"/>
                <w:sz w:val="15"/>
                <w:szCs w:val="15"/>
              </w:rPr>
            </w:pPr>
            <w:r>
              <w:rPr>
                <w:rFonts w:ascii="宋体" w:hAnsi="宋体" w:cs="宋体" w:eastAsia="宋体" w:hint="default"/>
                <w:sz w:val="15"/>
                <w:szCs w:val="15"/>
              </w:rPr>
              <w:t>参考市</w:t>
            </w:r>
          </w:p>
        </w:tc>
        <w:tc>
          <w:tcPr>
            <w:tcW w:w="726" w:type="dxa"/>
            <w:tcBorders>
              <w:top w:val="nil" w:sz="6" w:space="0" w:color="auto"/>
              <w:left w:val="single" w:sz="4" w:space="0" w:color="000000"/>
              <w:bottom w:val="nil" w:sz="6" w:space="0" w:color="auto"/>
              <w:right w:val="single" w:sz="4" w:space="0" w:color="000000"/>
            </w:tcBorders>
          </w:tcPr>
          <w:p>
            <w:pPr/>
          </w:p>
        </w:tc>
        <w:tc>
          <w:tcPr>
            <w:tcW w:w="908" w:type="dxa"/>
            <w:tcBorders>
              <w:top w:val="nil" w:sz="6" w:space="0" w:color="auto"/>
              <w:left w:val="single" w:sz="4" w:space="0" w:color="000000"/>
              <w:bottom w:val="nil" w:sz="6" w:space="0" w:color="auto"/>
              <w:right w:val="single" w:sz="4" w:space="0" w:color="000000"/>
            </w:tcBorders>
          </w:tcPr>
          <w:p>
            <w:pPr/>
          </w:p>
        </w:tc>
        <w:tc>
          <w:tcPr>
            <w:tcW w:w="806" w:type="dxa"/>
            <w:tcBorders>
              <w:top w:val="nil" w:sz="6" w:space="0" w:color="auto"/>
              <w:left w:val="single" w:sz="4" w:space="0" w:color="000000"/>
              <w:bottom w:val="nil" w:sz="6" w:space="0" w:color="auto"/>
              <w:right w:val="single" w:sz="4" w:space="0" w:color="000000"/>
            </w:tcBorders>
          </w:tcPr>
          <w:p>
            <w:pPr/>
          </w:p>
        </w:tc>
        <w:tc>
          <w:tcPr>
            <w:tcW w:w="574" w:type="dxa"/>
            <w:tcBorders>
              <w:top w:val="nil" w:sz="6" w:space="0" w:color="auto"/>
              <w:left w:val="single" w:sz="4" w:space="0" w:color="000000"/>
              <w:bottom w:val="nil" w:sz="6" w:space="0" w:color="auto"/>
              <w:right w:val="single" w:sz="4" w:space="0" w:color="000000"/>
            </w:tcBorders>
          </w:tcPr>
          <w:p>
            <w:pPr/>
          </w:p>
        </w:tc>
        <w:tc>
          <w:tcPr>
            <w:tcW w:w="720" w:type="dxa"/>
            <w:tcBorders>
              <w:top w:val="nil" w:sz="6" w:space="0" w:color="auto"/>
              <w:left w:val="single" w:sz="4" w:space="0" w:color="000000"/>
              <w:bottom w:val="nil" w:sz="6" w:space="0" w:color="auto"/>
              <w:right w:val="single" w:sz="4" w:space="0" w:color="000000"/>
            </w:tcBorders>
          </w:tcPr>
          <w:p>
            <w:pPr>
              <w:pStyle w:val="TableParagraph"/>
              <w:spacing w:line="153" w:lineRule="exact"/>
              <w:ind w:right="0"/>
              <w:jc w:val="left"/>
              <w:rPr>
                <w:rFonts w:ascii="宋体" w:hAnsi="宋体" w:cs="宋体" w:eastAsia="宋体" w:hint="default"/>
                <w:sz w:val="15"/>
                <w:szCs w:val="15"/>
              </w:rPr>
            </w:pPr>
            <w:r>
              <w:rPr>
                <w:rFonts w:ascii="宋体" w:hAnsi="宋体" w:cs="宋体" w:eastAsia="宋体" w:hint="default"/>
                <w:sz w:val="15"/>
                <w:szCs w:val="15"/>
              </w:rPr>
              <w:t>根据合同</w:t>
            </w:r>
          </w:p>
        </w:tc>
        <w:tc>
          <w:tcPr>
            <w:tcW w:w="886" w:type="dxa"/>
            <w:tcBorders>
              <w:top w:val="nil" w:sz="6" w:space="0" w:color="auto"/>
              <w:left w:val="single" w:sz="4" w:space="0" w:color="000000"/>
              <w:bottom w:val="nil" w:sz="6" w:space="0" w:color="auto"/>
              <w:right w:val="single" w:sz="4" w:space="0" w:color="000000"/>
            </w:tcBorders>
          </w:tcPr>
          <w:p>
            <w:pPr/>
          </w:p>
        </w:tc>
        <w:tc>
          <w:tcPr>
            <w:tcW w:w="866" w:type="dxa"/>
            <w:tcBorders>
              <w:top w:val="nil" w:sz="6" w:space="0" w:color="auto"/>
              <w:left w:val="single" w:sz="4" w:space="0" w:color="000000"/>
              <w:bottom w:val="nil" w:sz="6" w:space="0" w:color="auto"/>
              <w:right w:val="single" w:sz="4" w:space="0" w:color="000000"/>
            </w:tcBorders>
          </w:tcPr>
          <w:p>
            <w:pPr>
              <w:pStyle w:val="TableParagraph"/>
              <w:spacing w:line="164" w:lineRule="exact"/>
              <w:ind w:left="-1"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2018</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8</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月</w:t>
            </w:r>
          </w:p>
        </w:tc>
        <w:tc>
          <w:tcPr>
            <w:tcW w:w="755" w:type="dxa"/>
            <w:tcBorders>
              <w:top w:val="nil" w:sz="6" w:space="0" w:color="auto"/>
              <w:left w:val="single" w:sz="4" w:space="0" w:color="000000"/>
              <w:bottom w:val="nil" w:sz="6" w:space="0" w:color="auto"/>
              <w:right w:val="single" w:sz="4" w:space="0" w:color="000000"/>
            </w:tcBorders>
          </w:tcPr>
          <w:p>
            <w:pPr>
              <w:pStyle w:val="TableParagraph"/>
              <w:spacing w:line="164" w:lineRule="exact"/>
              <w:ind w:left="-1" w:right="-2"/>
              <w:jc w:val="left"/>
              <w:rPr>
                <w:rFonts w:ascii="宋体" w:hAnsi="宋体" w:cs="宋体" w:eastAsia="宋体" w:hint="default"/>
                <w:sz w:val="15"/>
                <w:szCs w:val="15"/>
              </w:rPr>
            </w:pPr>
            <w:r>
              <w:rPr>
                <w:rFonts w:ascii="Times New Roman" w:hAnsi="Times New Roman" w:cs="Times New Roman" w:eastAsia="Times New Roman" w:hint="default"/>
                <w:sz w:val="15"/>
                <w:szCs w:val="15"/>
              </w:rPr>
              <w:t>2018-078</w:t>
            </w:r>
            <w:r>
              <w:rPr>
                <w:rFonts w:ascii="Times New Roman" w:hAnsi="Times New Roman" w:cs="Times New Roman" w:eastAsia="Times New Roman" w:hint="default"/>
                <w:spacing w:val="-20"/>
                <w:sz w:val="15"/>
                <w:szCs w:val="15"/>
              </w:rPr>
              <w:t> </w:t>
            </w:r>
            <w:r>
              <w:rPr>
                <w:rFonts w:ascii="宋体" w:hAnsi="宋体" w:cs="宋体" w:eastAsia="宋体" w:hint="default"/>
                <w:sz w:val="15"/>
                <w:szCs w:val="15"/>
              </w:rPr>
              <w:t>号</w:t>
            </w:r>
          </w:p>
        </w:tc>
      </w:tr>
      <w:tr>
        <w:trPr>
          <w:trHeight w:val="155" w:hRule="exact"/>
        </w:trPr>
        <w:tc>
          <w:tcPr>
            <w:tcW w:w="1334" w:type="dxa"/>
            <w:tcBorders>
              <w:top w:val="nil" w:sz="6" w:space="0" w:color="auto"/>
              <w:left w:val="single" w:sz="4" w:space="0" w:color="000000"/>
              <w:bottom w:val="nil" w:sz="6" w:space="0" w:color="auto"/>
              <w:right w:val="single" w:sz="4" w:space="0" w:color="000000"/>
            </w:tcBorders>
          </w:tcPr>
          <w:p>
            <w:pPr/>
          </w:p>
        </w:tc>
        <w:tc>
          <w:tcPr>
            <w:tcW w:w="908"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0"/>
              <w:jc w:val="left"/>
              <w:rPr>
                <w:rFonts w:ascii="宋体" w:hAnsi="宋体" w:cs="宋体" w:eastAsia="宋体" w:hint="default"/>
                <w:sz w:val="15"/>
                <w:szCs w:val="15"/>
              </w:rPr>
            </w:pPr>
            <w:r>
              <w:rPr>
                <w:rFonts w:ascii="宋体" w:hAnsi="宋体" w:cs="宋体" w:eastAsia="宋体" w:hint="default"/>
                <w:sz w:val="15"/>
                <w:szCs w:val="15"/>
              </w:rPr>
              <w:t>联营企业</w:t>
            </w:r>
          </w:p>
        </w:tc>
        <w:tc>
          <w:tcPr>
            <w:tcW w:w="726"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1"/>
              <w:jc w:val="center"/>
              <w:rPr>
                <w:rFonts w:ascii="宋体" w:hAnsi="宋体" w:cs="宋体" w:eastAsia="宋体" w:hint="default"/>
                <w:sz w:val="15"/>
                <w:szCs w:val="15"/>
              </w:rPr>
            </w:pPr>
            <w:r>
              <w:rPr>
                <w:rFonts w:ascii="宋体" w:hAnsi="宋体" w:cs="宋体" w:eastAsia="宋体" w:hint="default"/>
                <w:sz w:val="15"/>
                <w:szCs w:val="15"/>
              </w:rPr>
              <w:t>采购</w:t>
            </w:r>
          </w:p>
        </w:tc>
        <w:tc>
          <w:tcPr>
            <w:tcW w:w="788"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0"/>
              <w:jc w:val="left"/>
              <w:rPr>
                <w:rFonts w:ascii="宋体" w:hAnsi="宋体" w:cs="宋体" w:eastAsia="宋体" w:hint="default"/>
                <w:sz w:val="15"/>
                <w:szCs w:val="15"/>
              </w:rPr>
            </w:pPr>
            <w:r>
              <w:rPr>
                <w:rFonts w:ascii="宋体" w:hAnsi="宋体" w:cs="宋体" w:eastAsia="宋体" w:hint="default"/>
                <w:sz w:val="15"/>
                <w:szCs w:val="15"/>
              </w:rPr>
              <w:t>部件及服务</w:t>
            </w:r>
          </w:p>
        </w:tc>
        <w:tc>
          <w:tcPr>
            <w:tcW w:w="846" w:type="dxa"/>
            <w:tcBorders>
              <w:top w:val="nil" w:sz="6" w:space="0" w:color="auto"/>
              <w:left w:val="single" w:sz="4" w:space="0" w:color="000000"/>
              <w:bottom w:val="nil" w:sz="6" w:space="0" w:color="auto"/>
              <w:right w:val="single" w:sz="4" w:space="0" w:color="000000"/>
            </w:tcBorders>
          </w:tcPr>
          <w:p>
            <w:pPr/>
          </w:p>
        </w:tc>
        <w:tc>
          <w:tcPr>
            <w:tcW w:w="590" w:type="dxa"/>
            <w:tcBorders>
              <w:top w:val="nil" w:sz="6" w:space="0" w:color="auto"/>
              <w:left w:val="single" w:sz="4" w:space="0" w:color="000000"/>
              <w:bottom w:val="nil" w:sz="6" w:space="0" w:color="auto"/>
              <w:right w:val="single" w:sz="4" w:space="0" w:color="000000"/>
            </w:tcBorders>
          </w:tcPr>
          <w:p>
            <w:pPr/>
          </w:p>
        </w:tc>
        <w:tc>
          <w:tcPr>
            <w:tcW w:w="726" w:type="dxa"/>
            <w:tcBorders>
              <w:top w:val="nil" w:sz="6" w:space="0" w:color="auto"/>
              <w:left w:val="single" w:sz="4" w:space="0" w:color="000000"/>
              <w:bottom w:val="nil" w:sz="6" w:space="0" w:color="auto"/>
              <w:right w:val="single" w:sz="4" w:space="0" w:color="000000"/>
            </w:tcBorders>
          </w:tcPr>
          <w:p>
            <w:pPr>
              <w:pStyle w:val="TableParagraph"/>
              <w:spacing w:line="159" w:lineRule="exact"/>
              <w:ind w:right="-2"/>
              <w:jc w:val="right"/>
              <w:rPr>
                <w:rFonts w:ascii="Times New Roman" w:hAnsi="Times New Roman" w:cs="Times New Roman" w:eastAsia="Times New Roman" w:hint="default"/>
                <w:sz w:val="15"/>
                <w:szCs w:val="15"/>
              </w:rPr>
            </w:pPr>
            <w:r>
              <w:rPr>
                <w:rFonts w:ascii="Times New Roman"/>
                <w:spacing w:val="-1"/>
                <w:sz w:val="15"/>
              </w:rPr>
              <w:t>668.19</w:t>
            </w:r>
          </w:p>
        </w:tc>
        <w:tc>
          <w:tcPr>
            <w:tcW w:w="908" w:type="dxa"/>
            <w:tcBorders>
              <w:top w:val="nil" w:sz="6" w:space="0" w:color="auto"/>
              <w:left w:val="single" w:sz="4" w:space="0" w:color="000000"/>
              <w:bottom w:val="nil" w:sz="6" w:space="0" w:color="auto"/>
              <w:right w:val="single" w:sz="4" w:space="0" w:color="000000"/>
            </w:tcBorders>
          </w:tcPr>
          <w:p>
            <w:pPr>
              <w:pStyle w:val="TableParagraph"/>
              <w:spacing w:line="159" w:lineRule="exact"/>
              <w:ind w:right="0"/>
              <w:jc w:val="center"/>
              <w:rPr>
                <w:rFonts w:ascii="Times New Roman" w:hAnsi="Times New Roman" w:cs="Times New Roman" w:eastAsia="Times New Roman" w:hint="default"/>
                <w:sz w:val="15"/>
                <w:szCs w:val="15"/>
              </w:rPr>
            </w:pPr>
            <w:r>
              <w:rPr>
                <w:rFonts w:ascii="Times New Roman"/>
                <w:sz w:val="15"/>
              </w:rPr>
              <w:t>0.08%</w:t>
            </w:r>
          </w:p>
        </w:tc>
        <w:tc>
          <w:tcPr>
            <w:tcW w:w="806" w:type="dxa"/>
            <w:tcBorders>
              <w:top w:val="nil" w:sz="6" w:space="0" w:color="auto"/>
              <w:left w:val="single" w:sz="4" w:space="0" w:color="000000"/>
              <w:bottom w:val="nil" w:sz="6" w:space="0" w:color="auto"/>
              <w:right w:val="single" w:sz="4" w:space="0" w:color="000000"/>
            </w:tcBorders>
          </w:tcPr>
          <w:p>
            <w:pPr>
              <w:pStyle w:val="TableParagraph"/>
              <w:spacing w:line="159" w:lineRule="exact"/>
              <w:ind w:right="-1"/>
              <w:jc w:val="right"/>
              <w:rPr>
                <w:rFonts w:ascii="Times New Roman" w:hAnsi="Times New Roman" w:cs="Times New Roman" w:eastAsia="Times New Roman" w:hint="default"/>
                <w:sz w:val="15"/>
                <w:szCs w:val="15"/>
              </w:rPr>
            </w:pPr>
            <w:r>
              <w:rPr>
                <w:rFonts w:ascii="Times New Roman"/>
                <w:spacing w:val="-1"/>
                <w:sz w:val="15"/>
              </w:rPr>
              <w:t>2,100.00</w:t>
            </w:r>
          </w:p>
        </w:tc>
        <w:tc>
          <w:tcPr>
            <w:tcW w:w="574"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0"/>
              <w:jc w:val="center"/>
              <w:rPr>
                <w:rFonts w:ascii="宋体" w:hAnsi="宋体" w:cs="宋体" w:eastAsia="宋体" w:hint="default"/>
                <w:sz w:val="15"/>
                <w:szCs w:val="15"/>
              </w:rPr>
            </w:pPr>
            <w:r>
              <w:rPr>
                <w:rFonts w:ascii="宋体" w:hAnsi="宋体" w:cs="宋体" w:eastAsia="宋体" w:hint="default"/>
                <w:sz w:val="15"/>
                <w:szCs w:val="15"/>
              </w:rPr>
              <w:t>否</w:t>
            </w:r>
          </w:p>
        </w:tc>
        <w:tc>
          <w:tcPr>
            <w:tcW w:w="720" w:type="dxa"/>
            <w:tcBorders>
              <w:top w:val="nil" w:sz="6" w:space="0" w:color="auto"/>
              <w:left w:val="single" w:sz="4" w:space="0" w:color="000000"/>
              <w:bottom w:val="nil" w:sz="6" w:space="0" w:color="auto"/>
              <w:right w:val="single" w:sz="4" w:space="0" w:color="000000"/>
            </w:tcBorders>
          </w:tcPr>
          <w:p>
            <w:pPr/>
          </w:p>
        </w:tc>
        <w:tc>
          <w:tcPr>
            <w:tcW w:w="886"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38" w:right="0"/>
              <w:jc w:val="left"/>
              <w:rPr>
                <w:rFonts w:ascii="宋体" w:hAnsi="宋体" w:cs="宋体" w:eastAsia="宋体" w:hint="default"/>
                <w:sz w:val="15"/>
                <w:szCs w:val="15"/>
              </w:rPr>
            </w:pPr>
            <w:r>
              <w:rPr>
                <w:rFonts w:ascii="宋体" w:hAnsi="宋体" w:cs="宋体" w:eastAsia="宋体" w:hint="default"/>
                <w:sz w:val="15"/>
                <w:szCs w:val="15"/>
              </w:rPr>
              <w:t>市场价格</w:t>
            </w:r>
          </w:p>
        </w:tc>
        <w:tc>
          <w:tcPr>
            <w:tcW w:w="866" w:type="dxa"/>
            <w:tcBorders>
              <w:top w:val="nil" w:sz="6" w:space="0" w:color="auto"/>
              <w:left w:val="single" w:sz="4" w:space="0" w:color="000000"/>
              <w:bottom w:val="nil" w:sz="6" w:space="0" w:color="auto"/>
              <w:right w:val="single" w:sz="4" w:space="0" w:color="000000"/>
            </w:tcBorders>
          </w:tcPr>
          <w:p>
            <w:pPr/>
          </w:p>
        </w:tc>
        <w:tc>
          <w:tcPr>
            <w:tcW w:w="755" w:type="dxa"/>
            <w:tcBorders>
              <w:top w:val="nil" w:sz="6" w:space="0" w:color="auto"/>
              <w:left w:val="single" w:sz="4" w:space="0" w:color="000000"/>
              <w:bottom w:val="nil" w:sz="6" w:space="0" w:color="auto"/>
              <w:right w:val="single" w:sz="4" w:space="0" w:color="000000"/>
            </w:tcBorders>
          </w:tcPr>
          <w:p>
            <w:pPr/>
          </w:p>
        </w:tc>
      </w:tr>
      <w:tr>
        <w:trPr>
          <w:trHeight w:val="157" w:hRule="exact"/>
        </w:trPr>
        <w:tc>
          <w:tcPr>
            <w:tcW w:w="1334"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0"/>
              <w:jc w:val="left"/>
              <w:rPr>
                <w:rFonts w:ascii="宋体" w:hAnsi="宋体" w:cs="宋体" w:eastAsia="宋体" w:hint="default"/>
                <w:sz w:val="15"/>
                <w:szCs w:val="15"/>
              </w:rPr>
            </w:pPr>
            <w:r>
              <w:rPr>
                <w:rFonts w:ascii="宋体" w:hAnsi="宋体" w:cs="宋体" w:eastAsia="宋体" w:hint="default"/>
                <w:sz w:val="15"/>
                <w:szCs w:val="15"/>
              </w:rPr>
              <w:t>技有限公司</w:t>
            </w:r>
          </w:p>
        </w:tc>
        <w:tc>
          <w:tcPr>
            <w:tcW w:w="908" w:type="dxa"/>
            <w:tcBorders>
              <w:top w:val="nil" w:sz="6" w:space="0" w:color="auto"/>
              <w:left w:val="single" w:sz="4" w:space="0" w:color="000000"/>
              <w:bottom w:val="nil" w:sz="6" w:space="0" w:color="auto"/>
              <w:right w:val="single" w:sz="4" w:space="0" w:color="000000"/>
            </w:tcBorders>
          </w:tcPr>
          <w:p>
            <w:pPr/>
          </w:p>
        </w:tc>
        <w:tc>
          <w:tcPr>
            <w:tcW w:w="726" w:type="dxa"/>
            <w:tcBorders>
              <w:top w:val="nil" w:sz="6" w:space="0" w:color="auto"/>
              <w:left w:val="single" w:sz="4" w:space="0" w:color="000000"/>
              <w:bottom w:val="nil" w:sz="6" w:space="0" w:color="auto"/>
              <w:right w:val="single" w:sz="4" w:space="0" w:color="000000"/>
            </w:tcBorders>
          </w:tcPr>
          <w:p>
            <w:pPr/>
          </w:p>
        </w:tc>
        <w:tc>
          <w:tcPr>
            <w:tcW w:w="788" w:type="dxa"/>
            <w:tcBorders>
              <w:top w:val="nil" w:sz="6" w:space="0" w:color="auto"/>
              <w:left w:val="single" w:sz="4" w:space="0" w:color="000000"/>
              <w:bottom w:val="nil" w:sz="6" w:space="0" w:color="auto"/>
              <w:right w:val="single" w:sz="4" w:space="0" w:color="000000"/>
            </w:tcBorders>
          </w:tcPr>
          <w:p>
            <w:pPr/>
          </w:p>
        </w:tc>
        <w:tc>
          <w:tcPr>
            <w:tcW w:w="846"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1"/>
              <w:jc w:val="center"/>
              <w:rPr>
                <w:rFonts w:ascii="宋体" w:hAnsi="宋体" w:cs="宋体" w:eastAsia="宋体" w:hint="default"/>
                <w:sz w:val="15"/>
                <w:szCs w:val="15"/>
              </w:rPr>
            </w:pPr>
            <w:r>
              <w:rPr>
                <w:rFonts w:ascii="宋体" w:hAnsi="宋体" w:cs="宋体" w:eastAsia="宋体" w:hint="default"/>
                <w:sz w:val="15"/>
                <w:szCs w:val="15"/>
              </w:rPr>
              <w:t>格</w:t>
            </w:r>
            <w:r>
              <w:rPr>
                <w:rFonts w:ascii="宋体" w:hAnsi="宋体" w:cs="宋体" w:eastAsia="宋体" w:hint="default"/>
                <w:spacing w:val="-64"/>
                <w:sz w:val="15"/>
                <w:szCs w:val="15"/>
              </w:rPr>
              <w:t>，</w:t>
            </w:r>
            <w:r>
              <w:rPr>
                <w:rFonts w:ascii="宋体" w:hAnsi="宋体" w:cs="宋体" w:eastAsia="宋体" w:hint="default"/>
                <w:sz w:val="15"/>
                <w:szCs w:val="15"/>
              </w:rPr>
              <w:t>协商确定</w:t>
            </w:r>
          </w:p>
        </w:tc>
        <w:tc>
          <w:tcPr>
            <w:tcW w:w="590"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1"/>
              <w:jc w:val="center"/>
              <w:rPr>
                <w:rFonts w:ascii="宋体" w:hAnsi="宋体" w:cs="宋体" w:eastAsia="宋体" w:hint="default"/>
                <w:sz w:val="15"/>
                <w:szCs w:val="15"/>
              </w:rPr>
            </w:pPr>
            <w:r>
              <w:rPr>
                <w:rFonts w:ascii="宋体" w:hAnsi="宋体" w:cs="宋体" w:eastAsia="宋体" w:hint="default"/>
                <w:sz w:val="15"/>
                <w:szCs w:val="15"/>
              </w:rPr>
              <w:t>场价格</w:t>
            </w:r>
          </w:p>
        </w:tc>
        <w:tc>
          <w:tcPr>
            <w:tcW w:w="726" w:type="dxa"/>
            <w:tcBorders>
              <w:top w:val="nil" w:sz="6" w:space="0" w:color="auto"/>
              <w:left w:val="single" w:sz="4" w:space="0" w:color="000000"/>
              <w:bottom w:val="nil" w:sz="6" w:space="0" w:color="auto"/>
              <w:right w:val="single" w:sz="4" w:space="0" w:color="000000"/>
            </w:tcBorders>
          </w:tcPr>
          <w:p>
            <w:pPr/>
          </w:p>
        </w:tc>
        <w:tc>
          <w:tcPr>
            <w:tcW w:w="908" w:type="dxa"/>
            <w:tcBorders>
              <w:top w:val="nil" w:sz="6" w:space="0" w:color="auto"/>
              <w:left w:val="single" w:sz="4" w:space="0" w:color="000000"/>
              <w:bottom w:val="nil" w:sz="6" w:space="0" w:color="auto"/>
              <w:right w:val="single" w:sz="4" w:space="0" w:color="000000"/>
            </w:tcBorders>
          </w:tcPr>
          <w:p>
            <w:pPr/>
          </w:p>
        </w:tc>
        <w:tc>
          <w:tcPr>
            <w:tcW w:w="806" w:type="dxa"/>
            <w:tcBorders>
              <w:top w:val="nil" w:sz="6" w:space="0" w:color="auto"/>
              <w:left w:val="single" w:sz="4" w:space="0" w:color="000000"/>
              <w:bottom w:val="nil" w:sz="6" w:space="0" w:color="auto"/>
              <w:right w:val="single" w:sz="4" w:space="0" w:color="000000"/>
            </w:tcBorders>
          </w:tcPr>
          <w:p>
            <w:pPr/>
          </w:p>
        </w:tc>
        <w:tc>
          <w:tcPr>
            <w:tcW w:w="574" w:type="dxa"/>
            <w:tcBorders>
              <w:top w:val="nil" w:sz="6" w:space="0" w:color="auto"/>
              <w:left w:val="single" w:sz="4" w:space="0" w:color="000000"/>
              <w:bottom w:val="nil" w:sz="6" w:space="0" w:color="auto"/>
              <w:right w:val="single" w:sz="4" w:space="0" w:color="000000"/>
            </w:tcBorders>
          </w:tcPr>
          <w:p>
            <w:pPr/>
          </w:p>
        </w:tc>
        <w:tc>
          <w:tcPr>
            <w:tcW w:w="720"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0"/>
              <w:jc w:val="left"/>
              <w:rPr>
                <w:rFonts w:ascii="宋体" w:hAnsi="宋体" w:cs="宋体" w:eastAsia="宋体" w:hint="default"/>
                <w:sz w:val="15"/>
                <w:szCs w:val="15"/>
              </w:rPr>
            </w:pPr>
            <w:r>
              <w:rPr>
                <w:rFonts w:ascii="宋体" w:hAnsi="宋体" w:cs="宋体" w:eastAsia="宋体" w:hint="default"/>
                <w:sz w:val="15"/>
                <w:szCs w:val="15"/>
              </w:rPr>
              <w:t>约定</w:t>
            </w:r>
          </w:p>
        </w:tc>
        <w:tc>
          <w:tcPr>
            <w:tcW w:w="886" w:type="dxa"/>
            <w:tcBorders>
              <w:top w:val="nil" w:sz="6" w:space="0" w:color="auto"/>
              <w:left w:val="single" w:sz="4" w:space="0" w:color="000000"/>
              <w:bottom w:val="nil" w:sz="6" w:space="0" w:color="auto"/>
              <w:right w:val="single" w:sz="4" w:space="0" w:color="000000"/>
            </w:tcBorders>
          </w:tcPr>
          <w:p>
            <w:pPr/>
          </w:p>
        </w:tc>
        <w:tc>
          <w:tcPr>
            <w:tcW w:w="866" w:type="dxa"/>
            <w:tcBorders>
              <w:top w:val="nil" w:sz="6" w:space="0" w:color="auto"/>
              <w:left w:val="single" w:sz="4" w:space="0" w:color="000000"/>
              <w:bottom w:val="nil" w:sz="6" w:space="0" w:color="auto"/>
              <w:right w:val="single" w:sz="4" w:space="0" w:color="000000"/>
            </w:tcBorders>
          </w:tcPr>
          <w:p>
            <w:pPr>
              <w:pStyle w:val="TableParagraph"/>
              <w:spacing w:line="161" w:lineRule="exact"/>
              <w:ind w:left="-1"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31 </w:t>
            </w:r>
            <w:r>
              <w:rPr>
                <w:rFonts w:ascii="宋体" w:hAnsi="宋体" w:cs="宋体" w:eastAsia="宋体" w:hint="default"/>
                <w:sz w:val="15"/>
                <w:szCs w:val="15"/>
              </w:rPr>
              <w:t>日</w:t>
            </w:r>
          </w:p>
        </w:tc>
        <w:tc>
          <w:tcPr>
            <w:tcW w:w="755"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0"/>
              <w:jc w:val="left"/>
              <w:rPr>
                <w:rFonts w:ascii="宋体" w:hAnsi="宋体" w:cs="宋体" w:eastAsia="宋体" w:hint="default"/>
                <w:sz w:val="15"/>
                <w:szCs w:val="15"/>
              </w:rPr>
            </w:pPr>
            <w:r>
              <w:rPr>
                <w:rFonts w:ascii="宋体" w:hAnsi="宋体" w:cs="宋体" w:eastAsia="宋体" w:hint="default"/>
                <w:sz w:val="15"/>
                <w:szCs w:val="15"/>
              </w:rPr>
              <w:t>公告</w:t>
            </w:r>
          </w:p>
        </w:tc>
      </w:tr>
      <w:tr>
        <w:trPr>
          <w:trHeight w:val="236" w:hRule="exact"/>
        </w:trPr>
        <w:tc>
          <w:tcPr>
            <w:tcW w:w="1334" w:type="dxa"/>
            <w:tcBorders>
              <w:top w:val="nil" w:sz="6" w:space="0" w:color="auto"/>
              <w:left w:val="single" w:sz="4" w:space="0" w:color="000000"/>
              <w:bottom w:val="single" w:sz="4" w:space="0" w:color="000000"/>
              <w:right w:val="single" w:sz="4" w:space="0" w:color="000000"/>
            </w:tcBorders>
          </w:tcPr>
          <w:p>
            <w:pPr/>
          </w:p>
        </w:tc>
        <w:tc>
          <w:tcPr>
            <w:tcW w:w="908" w:type="dxa"/>
            <w:tcBorders>
              <w:top w:val="nil" w:sz="6" w:space="0" w:color="auto"/>
              <w:left w:val="single" w:sz="4" w:space="0" w:color="000000"/>
              <w:bottom w:val="single" w:sz="4" w:space="0" w:color="000000"/>
              <w:right w:val="single" w:sz="4" w:space="0" w:color="000000"/>
            </w:tcBorders>
          </w:tcPr>
          <w:p>
            <w:pPr/>
          </w:p>
        </w:tc>
        <w:tc>
          <w:tcPr>
            <w:tcW w:w="726" w:type="dxa"/>
            <w:tcBorders>
              <w:top w:val="nil" w:sz="6" w:space="0" w:color="auto"/>
              <w:left w:val="single" w:sz="4" w:space="0" w:color="000000"/>
              <w:bottom w:val="single" w:sz="4" w:space="0" w:color="000000"/>
              <w:right w:val="single" w:sz="4" w:space="0" w:color="000000"/>
            </w:tcBorders>
          </w:tcPr>
          <w:p>
            <w:pPr/>
          </w:p>
        </w:tc>
        <w:tc>
          <w:tcPr>
            <w:tcW w:w="788" w:type="dxa"/>
            <w:tcBorders>
              <w:top w:val="nil" w:sz="6" w:space="0" w:color="auto"/>
              <w:left w:val="single" w:sz="4" w:space="0" w:color="000000"/>
              <w:bottom w:val="single" w:sz="4" w:space="0" w:color="000000"/>
              <w:right w:val="single" w:sz="4" w:space="0" w:color="000000"/>
            </w:tcBorders>
          </w:tcPr>
          <w:p>
            <w:pPr>
              <w:pStyle w:val="TableParagraph"/>
              <w:spacing w:line="149" w:lineRule="exact"/>
              <w:ind w:right="0"/>
              <w:jc w:val="left"/>
              <w:rPr>
                <w:rFonts w:ascii="宋体" w:hAnsi="宋体" w:cs="宋体" w:eastAsia="宋体" w:hint="default"/>
                <w:sz w:val="15"/>
                <w:szCs w:val="15"/>
              </w:rPr>
            </w:pPr>
            <w:r>
              <w:rPr>
                <w:rFonts w:ascii="宋体" w:hAnsi="宋体" w:cs="宋体" w:eastAsia="宋体" w:hint="default"/>
                <w:sz w:val="15"/>
                <w:szCs w:val="15"/>
              </w:rPr>
              <w:t>器</w:t>
            </w:r>
          </w:p>
        </w:tc>
        <w:tc>
          <w:tcPr>
            <w:tcW w:w="846" w:type="dxa"/>
            <w:tcBorders>
              <w:top w:val="nil" w:sz="6" w:space="0" w:color="auto"/>
              <w:left w:val="single" w:sz="4" w:space="0" w:color="000000"/>
              <w:bottom w:val="single" w:sz="4" w:space="0" w:color="000000"/>
              <w:right w:val="single" w:sz="4" w:space="0" w:color="000000"/>
            </w:tcBorders>
          </w:tcPr>
          <w:p>
            <w:pPr/>
          </w:p>
        </w:tc>
        <w:tc>
          <w:tcPr>
            <w:tcW w:w="590" w:type="dxa"/>
            <w:tcBorders>
              <w:top w:val="nil" w:sz="6" w:space="0" w:color="auto"/>
              <w:left w:val="single" w:sz="4" w:space="0" w:color="000000"/>
              <w:bottom w:val="single" w:sz="4" w:space="0" w:color="000000"/>
              <w:right w:val="single" w:sz="4" w:space="0" w:color="000000"/>
            </w:tcBorders>
          </w:tcPr>
          <w:p>
            <w:pPr/>
          </w:p>
        </w:tc>
        <w:tc>
          <w:tcPr>
            <w:tcW w:w="726" w:type="dxa"/>
            <w:tcBorders>
              <w:top w:val="nil" w:sz="6" w:space="0" w:color="auto"/>
              <w:left w:val="single" w:sz="4" w:space="0" w:color="000000"/>
              <w:bottom w:val="single" w:sz="4" w:space="0" w:color="000000"/>
              <w:right w:val="single" w:sz="4" w:space="0" w:color="000000"/>
            </w:tcBorders>
          </w:tcPr>
          <w:p>
            <w:pPr/>
          </w:p>
        </w:tc>
        <w:tc>
          <w:tcPr>
            <w:tcW w:w="908" w:type="dxa"/>
            <w:tcBorders>
              <w:top w:val="nil" w:sz="6" w:space="0" w:color="auto"/>
              <w:left w:val="single" w:sz="4" w:space="0" w:color="000000"/>
              <w:bottom w:val="single" w:sz="4" w:space="0" w:color="000000"/>
              <w:right w:val="single" w:sz="4" w:space="0" w:color="000000"/>
            </w:tcBorders>
          </w:tcPr>
          <w:p>
            <w:pPr/>
          </w:p>
        </w:tc>
        <w:tc>
          <w:tcPr>
            <w:tcW w:w="806" w:type="dxa"/>
            <w:tcBorders>
              <w:top w:val="nil" w:sz="6" w:space="0" w:color="auto"/>
              <w:left w:val="single" w:sz="4" w:space="0" w:color="000000"/>
              <w:bottom w:val="single" w:sz="4" w:space="0" w:color="000000"/>
              <w:right w:val="single" w:sz="4" w:space="0" w:color="000000"/>
            </w:tcBorders>
          </w:tcPr>
          <w:p>
            <w:pPr/>
          </w:p>
        </w:tc>
        <w:tc>
          <w:tcPr>
            <w:tcW w:w="574" w:type="dxa"/>
            <w:tcBorders>
              <w:top w:val="nil" w:sz="6" w:space="0" w:color="auto"/>
              <w:left w:val="single" w:sz="4" w:space="0" w:color="000000"/>
              <w:bottom w:val="single" w:sz="4" w:space="0" w:color="000000"/>
              <w:right w:val="single" w:sz="4" w:space="0" w:color="000000"/>
            </w:tcBorders>
          </w:tcPr>
          <w:p>
            <w:pPr/>
          </w:p>
        </w:tc>
        <w:tc>
          <w:tcPr>
            <w:tcW w:w="720" w:type="dxa"/>
            <w:tcBorders>
              <w:top w:val="nil" w:sz="6" w:space="0" w:color="auto"/>
              <w:left w:val="single" w:sz="4" w:space="0" w:color="000000"/>
              <w:bottom w:val="single" w:sz="4" w:space="0" w:color="000000"/>
              <w:right w:val="single" w:sz="4" w:space="0" w:color="000000"/>
            </w:tcBorders>
          </w:tcPr>
          <w:p>
            <w:pPr/>
          </w:p>
        </w:tc>
        <w:tc>
          <w:tcPr>
            <w:tcW w:w="886" w:type="dxa"/>
            <w:tcBorders>
              <w:top w:val="nil" w:sz="6" w:space="0" w:color="auto"/>
              <w:left w:val="single" w:sz="4" w:space="0" w:color="000000"/>
              <w:bottom w:val="single" w:sz="4" w:space="0" w:color="000000"/>
              <w:right w:val="single" w:sz="4" w:space="0" w:color="000000"/>
            </w:tcBorders>
          </w:tcPr>
          <w:p>
            <w:pPr/>
          </w:p>
        </w:tc>
        <w:tc>
          <w:tcPr>
            <w:tcW w:w="866" w:type="dxa"/>
            <w:tcBorders>
              <w:top w:val="nil" w:sz="6" w:space="0" w:color="auto"/>
              <w:left w:val="single" w:sz="4" w:space="0" w:color="000000"/>
              <w:bottom w:val="single" w:sz="4" w:space="0" w:color="000000"/>
              <w:right w:val="single" w:sz="4" w:space="0" w:color="000000"/>
            </w:tcBorders>
          </w:tcPr>
          <w:p>
            <w:pPr/>
          </w:p>
        </w:tc>
        <w:tc>
          <w:tcPr>
            <w:tcW w:w="755" w:type="dxa"/>
            <w:tcBorders>
              <w:top w:val="nil" w:sz="6" w:space="0" w:color="auto"/>
              <w:left w:val="single" w:sz="4" w:space="0" w:color="000000"/>
              <w:bottom w:val="single" w:sz="4" w:space="0" w:color="000000"/>
              <w:right w:val="single" w:sz="4" w:space="0" w:color="000000"/>
            </w:tcBorders>
          </w:tcPr>
          <w:p>
            <w:pPr/>
          </w:p>
        </w:tc>
      </w:tr>
      <w:tr>
        <w:trPr>
          <w:trHeight w:val="239" w:hRule="exact"/>
        </w:trPr>
        <w:tc>
          <w:tcPr>
            <w:tcW w:w="1334" w:type="dxa"/>
            <w:tcBorders>
              <w:top w:val="single" w:sz="4" w:space="0" w:color="000000"/>
              <w:left w:val="single" w:sz="4" w:space="0" w:color="000000"/>
              <w:bottom w:val="nil" w:sz="6" w:space="0" w:color="auto"/>
              <w:right w:val="single" w:sz="4" w:space="0" w:color="000000"/>
            </w:tcBorders>
          </w:tcPr>
          <w:p>
            <w:pPr/>
          </w:p>
        </w:tc>
        <w:tc>
          <w:tcPr>
            <w:tcW w:w="908" w:type="dxa"/>
            <w:tcBorders>
              <w:top w:val="single" w:sz="4" w:space="0" w:color="000000"/>
              <w:left w:val="single" w:sz="4" w:space="0" w:color="000000"/>
              <w:bottom w:val="nil" w:sz="6" w:space="0" w:color="auto"/>
              <w:right w:val="single" w:sz="4" w:space="0" w:color="000000"/>
            </w:tcBorders>
          </w:tcPr>
          <w:p>
            <w:pPr/>
          </w:p>
        </w:tc>
        <w:tc>
          <w:tcPr>
            <w:tcW w:w="726" w:type="dxa"/>
            <w:tcBorders>
              <w:top w:val="single" w:sz="4" w:space="0" w:color="000000"/>
              <w:left w:val="single" w:sz="4" w:space="0" w:color="000000"/>
              <w:bottom w:val="nil" w:sz="6" w:space="0" w:color="auto"/>
              <w:right w:val="single" w:sz="4" w:space="0" w:color="000000"/>
            </w:tcBorders>
          </w:tcPr>
          <w:p>
            <w:pPr/>
          </w:p>
        </w:tc>
        <w:tc>
          <w:tcPr>
            <w:tcW w:w="78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4"/>
              <w:ind w:right="0"/>
              <w:jc w:val="left"/>
              <w:rPr>
                <w:rFonts w:ascii="宋体" w:hAnsi="宋体" w:cs="宋体" w:eastAsia="宋体" w:hint="default"/>
                <w:sz w:val="15"/>
                <w:szCs w:val="15"/>
              </w:rPr>
            </w:pPr>
            <w:r>
              <w:rPr>
                <w:rFonts w:ascii="宋体" w:hAnsi="宋体" w:cs="宋体" w:eastAsia="宋体" w:hint="default"/>
                <w:sz w:val="15"/>
                <w:szCs w:val="15"/>
              </w:rPr>
              <w:t>采购计算</w:t>
            </w:r>
          </w:p>
        </w:tc>
        <w:tc>
          <w:tcPr>
            <w:tcW w:w="846" w:type="dxa"/>
            <w:tcBorders>
              <w:top w:val="single" w:sz="4" w:space="0" w:color="000000"/>
              <w:left w:val="single" w:sz="4" w:space="0" w:color="000000"/>
              <w:bottom w:val="nil" w:sz="6" w:space="0" w:color="auto"/>
              <w:right w:val="single" w:sz="4" w:space="0" w:color="000000"/>
            </w:tcBorders>
          </w:tcPr>
          <w:p>
            <w:pPr/>
          </w:p>
        </w:tc>
        <w:tc>
          <w:tcPr>
            <w:tcW w:w="590" w:type="dxa"/>
            <w:tcBorders>
              <w:top w:val="single" w:sz="4" w:space="0" w:color="000000"/>
              <w:left w:val="single" w:sz="4" w:space="0" w:color="000000"/>
              <w:bottom w:val="nil" w:sz="6" w:space="0" w:color="auto"/>
              <w:right w:val="single" w:sz="4" w:space="0" w:color="000000"/>
            </w:tcBorders>
          </w:tcPr>
          <w:p>
            <w:pPr/>
          </w:p>
        </w:tc>
        <w:tc>
          <w:tcPr>
            <w:tcW w:w="726" w:type="dxa"/>
            <w:tcBorders>
              <w:top w:val="single" w:sz="4" w:space="0" w:color="000000"/>
              <w:left w:val="single" w:sz="4" w:space="0" w:color="000000"/>
              <w:bottom w:val="nil" w:sz="6" w:space="0" w:color="auto"/>
              <w:right w:val="single" w:sz="4" w:space="0" w:color="000000"/>
            </w:tcBorders>
          </w:tcPr>
          <w:p>
            <w:pPr/>
          </w:p>
        </w:tc>
        <w:tc>
          <w:tcPr>
            <w:tcW w:w="908" w:type="dxa"/>
            <w:tcBorders>
              <w:top w:val="single" w:sz="4" w:space="0" w:color="000000"/>
              <w:left w:val="single" w:sz="4" w:space="0" w:color="000000"/>
              <w:bottom w:val="nil" w:sz="6" w:space="0" w:color="auto"/>
              <w:right w:val="single" w:sz="4" w:space="0" w:color="000000"/>
            </w:tcBorders>
          </w:tcPr>
          <w:p>
            <w:pPr/>
          </w:p>
        </w:tc>
        <w:tc>
          <w:tcPr>
            <w:tcW w:w="806" w:type="dxa"/>
            <w:tcBorders>
              <w:top w:val="single" w:sz="4" w:space="0" w:color="000000"/>
              <w:left w:val="single" w:sz="4" w:space="0" w:color="000000"/>
              <w:bottom w:val="nil" w:sz="6" w:space="0" w:color="auto"/>
              <w:right w:val="single" w:sz="4" w:space="0" w:color="000000"/>
            </w:tcBorders>
          </w:tcPr>
          <w:p>
            <w:pPr/>
          </w:p>
        </w:tc>
        <w:tc>
          <w:tcPr>
            <w:tcW w:w="574" w:type="dxa"/>
            <w:tcBorders>
              <w:top w:val="single" w:sz="4" w:space="0" w:color="000000"/>
              <w:left w:val="single" w:sz="4" w:space="0" w:color="000000"/>
              <w:bottom w:val="nil" w:sz="6" w:space="0" w:color="auto"/>
              <w:right w:val="single" w:sz="4" w:space="0" w:color="000000"/>
            </w:tcBorders>
          </w:tcPr>
          <w:p>
            <w:pPr/>
          </w:p>
        </w:tc>
        <w:tc>
          <w:tcPr>
            <w:tcW w:w="720" w:type="dxa"/>
            <w:tcBorders>
              <w:top w:val="single" w:sz="4" w:space="0" w:color="000000"/>
              <w:left w:val="single" w:sz="4" w:space="0" w:color="000000"/>
              <w:bottom w:val="nil" w:sz="6" w:space="0" w:color="auto"/>
              <w:right w:val="single" w:sz="4" w:space="0" w:color="000000"/>
            </w:tcBorders>
          </w:tcPr>
          <w:p>
            <w:pPr/>
          </w:p>
        </w:tc>
        <w:tc>
          <w:tcPr>
            <w:tcW w:w="886" w:type="dxa"/>
            <w:tcBorders>
              <w:top w:val="single" w:sz="4" w:space="0" w:color="000000"/>
              <w:left w:val="single" w:sz="4" w:space="0" w:color="000000"/>
              <w:bottom w:val="nil" w:sz="6" w:space="0" w:color="auto"/>
              <w:right w:val="single" w:sz="4" w:space="0" w:color="000000"/>
            </w:tcBorders>
          </w:tcPr>
          <w:p>
            <w:pPr/>
          </w:p>
        </w:tc>
        <w:tc>
          <w:tcPr>
            <w:tcW w:w="866" w:type="dxa"/>
            <w:tcBorders>
              <w:top w:val="single" w:sz="4" w:space="0" w:color="000000"/>
              <w:left w:val="single" w:sz="4" w:space="0" w:color="000000"/>
              <w:bottom w:val="nil" w:sz="6" w:space="0" w:color="auto"/>
              <w:right w:val="single" w:sz="4" w:space="0" w:color="000000"/>
            </w:tcBorders>
          </w:tcPr>
          <w:p>
            <w:pPr/>
          </w:p>
        </w:tc>
        <w:tc>
          <w:tcPr>
            <w:tcW w:w="755" w:type="dxa"/>
            <w:tcBorders>
              <w:top w:val="single" w:sz="4" w:space="0" w:color="000000"/>
              <w:left w:val="single" w:sz="4" w:space="0" w:color="000000"/>
              <w:bottom w:val="nil" w:sz="6" w:space="0" w:color="auto"/>
              <w:right w:val="single" w:sz="4" w:space="0" w:color="000000"/>
            </w:tcBorders>
          </w:tcPr>
          <w:p>
            <w:pPr/>
          </w:p>
        </w:tc>
      </w:tr>
      <w:tr>
        <w:trPr>
          <w:trHeight w:val="160" w:hRule="exact"/>
        </w:trPr>
        <w:tc>
          <w:tcPr>
            <w:tcW w:w="1334" w:type="dxa"/>
            <w:tcBorders>
              <w:top w:val="nil" w:sz="6" w:space="0" w:color="auto"/>
              <w:left w:val="single" w:sz="4" w:space="0" w:color="000000"/>
              <w:bottom w:val="nil" w:sz="6" w:space="0" w:color="auto"/>
              <w:right w:val="single" w:sz="4" w:space="0" w:color="000000"/>
            </w:tcBorders>
          </w:tcPr>
          <w:p>
            <w:pPr>
              <w:pStyle w:val="TableParagraph"/>
              <w:spacing w:line="153" w:lineRule="exact"/>
              <w:ind w:left="-1" w:right="0"/>
              <w:jc w:val="left"/>
              <w:rPr>
                <w:rFonts w:ascii="宋体" w:hAnsi="宋体" w:cs="宋体" w:eastAsia="宋体" w:hint="default"/>
                <w:sz w:val="15"/>
                <w:szCs w:val="15"/>
              </w:rPr>
            </w:pPr>
            <w:r>
              <w:rPr>
                <w:rFonts w:ascii="宋体" w:hAnsi="宋体" w:cs="宋体" w:eastAsia="宋体" w:hint="default"/>
                <w:sz w:val="15"/>
                <w:szCs w:val="15"/>
              </w:rPr>
              <w:t>天津麒麟信息技术</w:t>
            </w:r>
          </w:p>
        </w:tc>
        <w:tc>
          <w:tcPr>
            <w:tcW w:w="908" w:type="dxa"/>
            <w:tcBorders>
              <w:top w:val="nil" w:sz="6" w:space="0" w:color="auto"/>
              <w:left w:val="single" w:sz="4" w:space="0" w:color="000000"/>
              <w:bottom w:val="nil" w:sz="6" w:space="0" w:color="auto"/>
              <w:right w:val="single" w:sz="4" w:space="0" w:color="000000"/>
            </w:tcBorders>
          </w:tcPr>
          <w:p>
            <w:pPr>
              <w:pStyle w:val="TableParagraph"/>
              <w:spacing w:line="153" w:lineRule="exact"/>
              <w:ind w:left="1" w:right="0"/>
              <w:jc w:val="left"/>
              <w:rPr>
                <w:rFonts w:ascii="宋体" w:hAnsi="宋体" w:cs="宋体" w:eastAsia="宋体" w:hint="default"/>
                <w:sz w:val="15"/>
                <w:szCs w:val="15"/>
              </w:rPr>
            </w:pPr>
            <w:r>
              <w:rPr>
                <w:rFonts w:ascii="宋体" w:hAnsi="宋体" w:cs="宋体" w:eastAsia="宋体" w:hint="default"/>
                <w:sz w:val="15"/>
                <w:szCs w:val="15"/>
              </w:rPr>
              <w:t>受同一最终</w:t>
            </w:r>
          </w:p>
        </w:tc>
        <w:tc>
          <w:tcPr>
            <w:tcW w:w="726" w:type="dxa"/>
            <w:tcBorders>
              <w:top w:val="nil" w:sz="6" w:space="0" w:color="auto"/>
              <w:left w:val="single" w:sz="4" w:space="0" w:color="000000"/>
              <w:bottom w:val="nil" w:sz="6" w:space="0" w:color="auto"/>
              <w:right w:val="single" w:sz="4" w:space="0" w:color="000000"/>
            </w:tcBorders>
          </w:tcPr>
          <w:p>
            <w:pPr/>
          </w:p>
        </w:tc>
        <w:tc>
          <w:tcPr>
            <w:tcW w:w="788" w:type="dxa"/>
            <w:tcBorders>
              <w:top w:val="nil" w:sz="6" w:space="0" w:color="auto"/>
              <w:left w:val="single" w:sz="4" w:space="0" w:color="000000"/>
              <w:bottom w:val="nil" w:sz="6" w:space="0" w:color="auto"/>
              <w:right w:val="single" w:sz="4" w:space="0" w:color="000000"/>
            </w:tcBorders>
          </w:tcPr>
          <w:p>
            <w:pPr/>
          </w:p>
        </w:tc>
        <w:tc>
          <w:tcPr>
            <w:tcW w:w="846" w:type="dxa"/>
            <w:tcBorders>
              <w:top w:val="nil" w:sz="6" w:space="0" w:color="auto"/>
              <w:left w:val="single" w:sz="4" w:space="0" w:color="000000"/>
              <w:bottom w:val="nil" w:sz="6" w:space="0" w:color="auto"/>
              <w:right w:val="single" w:sz="4" w:space="0" w:color="000000"/>
            </w:tcBorders>
          </w:tcPr>
          <w:p>
            <w:pPr>
              <w:pStyle w:val="TableParagraph"/>
              <w:spacing w:line="153" w:lineRule="exact"/>
              <w:ind w:right="84"/>
              <w:jc w:val="center"/>
              <w:rPr>
                <w:rFonts w:ascii="宋体" w:hAnsi="宋体" w:cs="宋体" w:eastAsia="宋体" w:hint="default"/>
                <w:sz w:val="15"/>
                <w:szCs w:val="15"/>
              </w:rPr>
            </w:pPr>
            <w:r>
              <w:rPr>
                <w:rFonts w:ascii="宋体" w:hAnsi="宋体" w:cs="宋体" w:eastAsia="宋体" w:hint="default"/>
                <w:sz w:val="15"/>
                <w:szCs w:val="15"/>
              </w:rPr>
              <w:t>根据市场价</w:t>
            </w:r>
          </w:p>
        </w:tc>
        <w:tc>
          <w:tcPr>
            <w:tcW w:w="590" w:type="dxa"/>
            <w:tcBorders>
              <w:top w:val="nil" w:sz="6" w:space="0" w:color="auto"/>
              <w:left w:val="single" w:sz="4" w:space="0" w:color="000000"/>
              <w:bottom w:val="nil" w:sz="6" w:space="0" w:color="auto"/>
              <w:right w:val="single" w:sz="4" w:space="0" w:color="000000"/>
            </w:tcBorders>
          </w:tcPr>
          <w:p>
            <w:pPr>
              <w:pStyle w:val="TableParagraph"/>
              <w:spacing w:line="153" w:lineRule="exact"/>
              <w:ind w:right="1"/>
              <w:jc w:val="center"/>
              <w:rPr>
                <w:rFonts w:ascii="宋体" w:hAnsi="宋体" w:cs="宋体" w:eastAsia="宋体" w:hint="default"/>
                <w:sz w:val="15"/>
                <w:szCs w:val="15"/>
              </w:rPr>
            </w:pPr>
            <w:r>
              <w:rPr>
                <w:rFonts w:ascii="宋体" w:hAnsi="宋体" w:cs="宋体" w:eastAsia="宋体" w:hint="default"/>
                <w:sz w:val="15"/>
                <w:szCs w:val="15"/>
              </w:rPr>
              <w:t>参考市</w:t>
            </w:r>
          </w:p>
        </w:tc>
        <w:tc>
          <w:tcPr>
            <w:tcW w:w="726" w:type="dxa"/>
            <w:tcBorders>
              <w:top w:val="nil" w:sz="6" w:space="0" w:color="auto"/>
              <w:left w:val="single" w:sz="4" w:space="0" w:color="000000"/>
              <w:bottom w:val="nil" w:sz="6" w:space="0" w:color="auto"/>
              <w:right w:val="single" w:sz="4" w:space="0" w:color="000000"/>
            </w:tcBorders>
          </w:tcPr>
          <w:p>
            <w:pPr/>
          </w:p>
        </w:tc>
        <w:tc>
          <w:tcPr>
            <w:tcW w:w="908" w:type="dxa"/>
            <w:tcBorders>
              <w:top w:val="nil" w:sz="6" w:space="0" w:color="auto"/>
              <w:left w:val="single" w:sz="4" w:space="0" w:color="000000"/>
              <w:bottom w:val="nil" w:sz="6" w:space="0" w:color="auto"/>
              <w:right w:val="single" w:sz="4" w:space="0" w:color="000000"/>
            </w:tcBorders>
          </w:tcPr>
          <w:p>
            <w:pPr/>
          </w:p>
        </w:tc>
        <w:tc>
          <w:tcPr>
            <w:tcW w:w="806" w:type="dxa"/>
            <w:tcBorders>
              <w:top w:val="nil" w:sz="6" w:space="0" w:color="auto"/>
              <w:left w:val="single" w:sz="4" w:space="0" w:color="000000"/>
              <w:bottom w:val="nil" w:sz="6" w:space="0" w:color="auto"/>
              <w:right w:val="single" w:sz="4" w:space="0" w:color="000000"/>
            </w:tcBorders>
          </w:tcPr>
          <w:p>
            <w:pPr/>
          </w:p>
        </w:tc>
        <w:tc>
          <w:tcPr>
            <w:tcW w:w="574" w:type="dxa"/>
            <w:tcBorders>
              <w:top w:val="nil" w:sz="6" w:space="0" w:color="auto"/>
              <w:left w:val="single" w:sz="4" w:space="0" w:color="000000"/>
              <w:bottom w:val="nil" w:sz="6" w:space="0" w:color="auto"/>
              <w:right w:val="single" w:sz="4" w:space="0" w:color="000000"/>
            </w:tcBorders>
          </w:tcPr>
          <w:p>
            <w:pPr/>
          </w:p>
        </w:tc>
        <w:tc>
          <w:tcPr>
            <w:tcW w:w="720" w:type="dxa"/>
            <w:tcBorders>
              <w:top w:val="nil" w:sz="6" w:space="0" w:color="auto"/>
              <w:left w:val="single" w:sz="4" w:space="0" w:color="000000"/>
              <w:bottom w:val="nil" w:sz="6" w:space="0" w:color="auto"/>
              <w:right w:val="single" w:sz="4" w:space="0" w:color="000000"/>
            </w:tcBorders>
          </w:tcPr>
          <w:p>
            <w:pPr>
              <w:pStyle w:val="TableParagraph"/>
              <w:spacing w:line="153" w:lineRule="exact"/>
              <w:ind w:right="0"/>
              <w:jc w:val="left"/>
              <w:rPr>
                <w:rFonts w:ascii="宋体" w:hAnsi="宋体" w:cs="宋体" w:eastAsia="宋体" w:hint="default"/>
                <w:sz w:val="15"/>
                <w:szCs w:val="15"/>
              </w:rPr>
            </w:pPr>
            <w:r>
              <w:rPr>
                <w:rFonts w:ascii="宋体" w:hAnsi="宋体" w:cs="宋体" w:eastAsia="宋体" w:hint="default"/>
                <w:sz w:val="15"/>
                <w:szCs w:val="15"/>
              </w:rPr>
              <w:t>根据合同</w:t>
            </w:r>
          </w:p>
        </w:tc>
        <w:tc>
          <w:tcPr>
            <w:tcW w:w="886" w:type="dxa"/>
            <w:tcBorders>
              <w:top w:val="nil" w:sz="6" w:space="0" w:color="auto"/>
              <w:left w:val="single" w:sz="4" w:space="0" w:color="000000"/>
              <w:bottom w:val="nil" w:sz="6" w:space="0" w:color="auto"/>
              <w:right w:val="single" w:sz="4" w:space="0" w:color="000000"/>
            </w:tcBorders>
          </w:tcPr>
          <w:p>
            <w:pPr/>
          </w:p>
        </w:tc>
        <w:tc>
          <w:tcPr>
            <w:tcW w:w="866" w:type="dxa"/>
            <w:tcBorders>
              <w:top w:val="nil" w:sz="6" w:space="0" w:color="auto"/>
              <w:left w:val="single" w:sz="4" w:space="0" w:color="000000"/>
              <w:bottom w:val="nil" w:sz="6" w:space="0" w:color="auto"/>
              <w:right w:val="single" w:sz="4" w:space="0" w:color="000000"/>
            </w:tcBorders>
          </w:tcPr>
          <w:p>
            <w:pPr>
              <w:pStyle w:val="TableParagraph"/>
              <w:spacing w:line="164" w:lineRule="exact"/>
              <w:ind w:left="-1"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2018</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4</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月</w:t>
            </w:r>
          </w:p>
        </w:tc>
        <w:tc>
          <w:tcPr>
            <w:tcW w:w="755" w:type="dxa"/>
            <w:tcBorders>
              <w:top w:val="nil" w:sz="6" w:space="0" w:color="auto"/>
              <w:left w:val="single" w:sz="4" w:space="0" w:color="000000"/>
              <w:bottom w:val="nil" w:sz="6" w:space="0" w:color="auto"/>
              <w:right w:val="single" w:sz="4" w:space="0" w:color="000000"/>
            </w:tcBorders>
          </w:tcPr>
          <w:p>
            <w:pPr>
              <w:pStyle w:val="TableParagraph"/>
              <w:spacing w:line="164" w:lineRule="exact"/>
              <w:ind w:left="-1" w:right="-2"/>
              <w:jc w:val="left"/>
              <w:rPr>
                <w:rFonts w:ascii="宋体" w:hAnsi="宋体" w:cs="宋体" w:eastAsia="宋体" w:hint="default"/>
                <w:sz w:val="15"/>
                <w:szCs w:val="15"/>
              </w:rPr>
            </w:pPr>
            <w:r>
              <w:rPr>
                <w:rFonts w:ascii="Times New Roman" w:hAnsi="Times New Roman" w:cs="Times New Roman" w:eastAsia="Times New Roman" w:hint="default"/>
                <w:sz w:val="15"/>
                <w:szCs w:val="15"/>
              </w:rPr>
              <w:t>2018-051</w:t>
            </w:r>
            <w:r>
              <w:rPr>
                <w:rFonts w:ascii="Times New Roman" w:hAnsi="Times New Roman" w:cs="Times New Roman" w:eastAsia="Times New Roman" w:hint="default"/>
                <w:spacing w:val="-20"/>
                <w:sz w:val="15"/>
                <w:szCs w:val="15"/>
              </w:rPr>
              <w:t> </w:t>
            </w:r>
            <w:r>
              <w:rPr>
                <w:rFonts w:ascii="宋体" w:hAnsi="宋体" w:cs="宋体" w:eastAsia="宋体" w:hint="default"/>
                <w:sz w:val="15"/>
                <w:szCs w:val="15"/>
              </w:rPr>
              <w:t>号</w:t>
            </w:r>
          </w:p>
        </w:tc>
      </w:tr>
      <w:tr>
        <w:trPr>
          <w:trHeight w:val="155" w:hRule="exact"/>
        </w:trPr>
        <w:tc>
          <w:tcPr>
            <w:tcW w:w="1334" w:type="dxa"/>
            <w:tcBorders>
              <w:top w:val="nil" w:sz="6" w:space="0" w:color="auto"/>
              <w:left w:val="single" w:sz="4" w:space="0" w:color="000000"/>
              <w:bottom w:val="nil" w:sz="6" w:space="0" w:color="auto"/>
              <w:right w:val="single" w:sz="4" w:space="0" w:color="000000"/>
            </w:tcBorders>
          </w:tcPr>
          <w:p>
            <w:pPr/>
          </w:p>
        </w:tc>
        <w:tc>
          <w:tcPr>
            <w:tcW w:w="908" w:type="dxa"/>
            <w:tcBorders>
              <w:top w:val="nil" w:sz="6" w:space="0" w:color="auto"/>
              <w:left w:val="single" w:sz="4" w:space="0" w:color="000000"/>
              <w:bottom w:val="nil" w:sz="6" w:space="0" w:color="auto"/>
              <w:right w:val="single" w:sz="4" w:space="0" w:color="000000"/>
            </w:tcBorders>
          </w:tcPr>
          <w:p>
            <w:pPr/>
          </w:p>
        </w:tc>
        <w:tc>
          <w:tcPr>
            <w:tcW w:w="726"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1"/>
              <w:jc w:val="center"/>
              <w:rPr>
                <w:rFonts w:ascii="宋体" w:hAnsi="宋体" w:cs="宋体" w:eastAsia="宋体" w:hint="default"/>
                <w:sz w:val="15"/>
                <w:szCs w:val="15"/>
              </w:rPr>
            </w:pPr>
            <w:r>
              <w:rPr>
                <w:rFonts w:ascii="宋体" w:hAnsi="宋体" w:cs="宋体" w:eastAsia="宋体" w:hint="default"/>
                <w:sz w:val="15"/>
                <w:szCs w:val="15"/>
              </w:rPr>
              <w:t>采购</w:t>
            </w:r>
          </w:p>
        </w:tc>
        <w:tc>
          <w:tcPr>
            <w:tcW w:w="788"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0"/>
              <w:jc w:val="left"/>
              <w:rPr>
                <w:rFonts w:ascii="宋体" w:hAnsi="宋体" w:cs="宋体" w:eastAsia="宋体" w:hint="default"/>
                <w:sz w:val="15"/>
                <w:szCs w:val="15"/>
              </w:rPr>
            </w:pPr>
            <w:r>
              <w:rPr>
                <w:rFonts w:ascii="宋体" w:hAnsi="宋体" w:cs="宋体" w:eastAsia="宋体" w:hint="default"/>
                <w:sz w:val="15"/>
                <w:szCs w:val="15"/>
              </w:rPr>
              <w:t>机、服务器</w:t>
            </w:r>
          </w:p>
        </w:tc>
        <w:tc>
          <w:tcPr>
            <w:tcW w:w="846" w:type="dxa"/>
            <w:tcBorders>
              <w:top w:val="nil" w:sz="6" w:space="0" w:color="auto"/>
              <w:left w:val="single" w:sz="4" w:space="0" w:color="000000"/>
              <w:bottom w:val="nil" w:sz="6" w:space="0" w:color="auto"/>
              <w:right w:val="single" w:sz="4" w:space="0" w:color="000000"/>
            </w:tcBorders>
          </w:tcPr>
          <w:p>
            <w:pPr/>
          </w:p>
        </w:tc>
        <w:tc>
          <w:tcPr>
            <w:tcW w:w="590" w:type="dxa"/>
            <w:tcBorders>
              <w:top w:val="nil" w:sz="6" w:space="0" w:color="auto"/>
              <w:left w:val="single" w:sz="4" w:space="0" w:color="000000"/>
              <w:bottom w:val="nil" w:sz="6" w:space="0" w:color="auto"/>
              <w:right w:val="single" w:sz="4" w:space="0" w:color="000000"/>
            </w:tcBorders>
          </w:tcPr>
          <w:p>
            <w:pPr/>
          </w:p>
        </w:tc>
        <w:tc>
          <w:tcPr>
            <w:tcW w:w="726" w:type="dxa"/>
            <w:tcBorders>
              <w:top w:val="nil" w:sz="6" w:space="0" w:color="auto"/>
              <w:left w:val="single" w:sz="4" w:space="0" w:color="000000"/>
              <w:bottom w:val="nil" w:sz="6" w:space="0" w:color="auto"/>
              <w:right w:val="single" w:sz="4" w:space="0" w:color="000000"/>
            </w:tcBorders>
          </w:tcPr>
          <w:p>
            <w:pPr>
              <w:pStyle w:val="TableParagraph"/>
              <w:spacing w:line="159" w:lineRule="exact"/>
              <w:ind w:right="-2"/>
              <w:jc w:val="right"/>
              <w:rPr>
                <w:rFonts w:ascii="Times New Roman" w:hAnsi="Times New Roman" w:cs="Times New Roman" w:eastAsia="Times New Roman" w:hint="default"/>
                <w:sz w:val="15"/>
                <w:szCs w:val="15"/>
              </w:rPr>
            </w:pPr>
            <w:r>
              <w:rPr>
                <w:rFonts w:ascii="Times New Roman"/>
                <w:spacing w:val="-1"/>
                <w:sz w:val="15"/>
              </w:rPr>
              <w:t>632.24</w:t>
            </w:r>
          </w:p>
        </w:tc>
        <w:tc>
          <w:tcPr>
            <w:tcW w:w="908" w:type="dxa"/>
            <w:tcBorders>
              <w:top w:val="nil" w:sz="6" w:space="0" w:color="auto"/>
              <w:left w:val="single" w:sz="4" w:space="0" w:color="000000"/>
              <w:bottom w:val="nil" w:sz="6" w:space="0" w:color="auto"/>
              <w:right w:val="single" w:sz="4" w:space="0" w:color="000000"/>
            </w:tcBorders>
          </w:tcPr>
          <w:p>
            <w:pPr>
              <w:pStyle w:val="TableParagraph"/>
              <w:spacing w:line="159" w:lineRule="exact"/>
              <w:ind w:right="0"/>
              <w:jc w:val="center"/>
              <w:rPr>
                <w:rFonts w:ascii="Times New Roman" w:hAnsi="Times New Roman" w:cs="Times New Roman" w:eastAsia="Times New Roman" w:hint="default"/>
                <w:sz w:val="15"/>
                <w:szCs w:val="15"/>
              </w:rPr>
            </w:pPr>
            <w:r>
              <w:rPr>
                <w:rFonts w:ascii="Times New Roman"/>
                <w:sz w:val="15"/>
              </w:rPr>
              <w:t>0.08%</w:t>
            </w:r>
          </w:p>
        </w:tc>
        <w:tc>
          <w:tcPr>
            <w:tcW w:w="806"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72" w:right="0"/>
              <w:jc w:val="left"/>
              <w:rPr>
                <w:rFonts w:ascii="宋体" w:hAnsi="宋体" w:cs="宋体" w:eastAsia="宋体" w:hint="default"/>
                <w:sz w:val="15"/>
                <w:szCs w:val="15"/>
              </w:rPr>
            </w:pPr>
            <w:r>
              <w:rPr>
                <w:rFonts w:ascii="宋体" w:hAnsi="宋体" w:cs="宋体" w:eastAsia="宋体" w:hint="default"/>
                <w:sz w:val="15"/>
                <w:szCs w:val="15"/>
              </w:rPr>
              <w:t>不限额</w:t>
            </w:r>
          </w:p>
        </w:tc>
        <w:tc>
          <w:tcPr>
            <w:tcW w:w="574"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0"/>
              <w:jc w:val="center"/>
              <w:rPr>
                <w:rFonts w:ascii="宋体" w:hAnsi="宋体" w:cs="宋体" w:eastAsia="宋体" w:hint="default"/>
                <w:sz w:val="15"/>
                <w:szCs w:val="15"/>
              </w:rPr>
            </w:pPr>
            <w:r>
              <w:rPr>
                <w:rFonts w:ascii="宋体" w:hAnsi="宋体" w:cs="宋体" w:eastAsia="宋体" w:hint="default"/>
                <w:sz w:val="15"/>
                <w:szCs w:val="15"/>
              </w:rPr>
              <w:t>否</w:t>
            </w:r>
          </w:p>
        </w:tc>
        <w:tc>
          <w:tcPr>
            <w:tcW w:w="720" w:type="dxa"/>
            <w:tcBorders>
              <w:top w:val="nil" w:sz="6" w:space="0" w:color="auto"/>
              <w:left w:val="single" w:sz="4" w:space="0" w:color="000000"/>
              <w:bottom w:val="nil" w:sz="6" w:space="0" w:color="auto"/>
              <w:right w:val="single" w:sz="4" w:space="0" w:color="000000"/>
            </w:tcBorders>
          </w:tcPr>
          <w:p>
            <w:pPr/>
          </w:p>
        </w:tc>
        <w:tc>
          <w:tcPr>
            <w:tcW w:w="886"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38" w:right="0"/>
              <w:jc w:val="left"/>
              <w:rPr>
                <w:rFonts w:ascii="宋体" w:hAnsi="宋体" w:cs="宋体" w:eastAsia="宋体" w:hint="default"/>
                <w:sz w:val="15"/>
                <w:szCs w:val="15"/>
              </w:rPr>
            </w:pPr>
            <w:r>
              <w:rPr>
                <w:rFonts w:ascii="宋体" w:hAnsi="宋体" w:cs="宋体" w:eastAsia="宋体" w:hint="default"/>
                <w:sz w:val="15"/>
                <w:szCs w:val="15"/>
              </w:rPr>
              <w:t>市场价格</w:t>
            </w:r>
          </w:p>
        </w:tc>
        <w:tc>
          <w:tcPr>
            <w:tcW w:w="866" w:type="dxa"/>
            <w:tcBorders>
              <w:top w:val="nil" w:sz="6" w:space="0" w:color="auto"/>
              <w:left w:val="single" w:sz="4" w:space="0" w:color="000000"/>
              <w:bottom w:val="nil" w:sz="6" w:space="0" w:color="auto"/>
              <w:right w:val="single" w:sz="4" w:space="0" w:color="000000"/>
            </w:tcBorders>
          </w:tcPr>
          <w:p>
            <w:pPr/>
          </w:p>
        </w:tc>
        <w:tc>
          <w:tcPr>
            <w:tcW w:w="755" w:type="dxa"/>
            <w:tcBorders>
              <w:top w:val="nil" w:sz="6" w:space="0" w:color="auto"/>
              <w:left w:val="single" w:sz="4" w:space="0" w:color="000000"/>
              <w:bottom w:val="nil" w:sz="6" w:space="0" w:color="auto"/>
              <w:right w:val="single" w:sz="4" w:space="0" w:color="000000"/>
            </w:tcBorders>
          </w:tcPr>
          <w:p>
            <w:pPr/>
          </w:p>
        </w:tc>
      </w:tr>
      <w:tr>
        <w:trPr>
          <w:trHeight w:val="157" w:hRule="exact"/>
        </w:trPr>
        <w:tc>
          <w:tcPr>
            <w:tcW w:w="1334"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0"/>
              <w:jc w:val="left"/>
              <w:rPr>
                <w:rFonts w:ascii="宋体" w:hAnsi="宋体" w:cs="宋体" w:eastAsia="宋体" w:hint="default"/>
                <w:sz w:val="15"/>
                <w:szCs w:val="15"/>
              </w:rPr>
            </w:pPr>
            <w:r>
              <w:rPr>
                <w:rFonts w:ascii="宋体" w:hAnsi="宋体" w:cs="宋体" w:eastAsia="宋体" w:hint="default"/>
                <w:sz w:val="15"/>
                <w:szCs w:val="15"/>
              </w:rPr>
              <w:t>有限公司</w:t>
            </w:r>
          </w:p>
        </w:tc>
        <w:tc>
          <w:tcPr>
            <w:tcW w:w="908"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0"/>
              <w:jc w:val="left"/>
              <w:rPr>
                <w:rFonts w:ascii="宋体" w:hAnsi="宋体" w:cs="宋体" w:eastAsia="宋体" w:hint="default"/>
                <w:sz w:val="15"/>
                <w:szCs w:val="15"/>
              </w:rPr>
            </w:pPr>
            <w:r>
              <w:rPr>
                <w:rFonts w:ascii="宋体" w:hAnsi="宋体" w:cs="宋体" w:eastAsia="宋体" w:hint="default"/>
                <w:sz w:val="15"/>
                <w:szCs w:val="15"/>
              </w:rPr>
              <w:t>控制方控制</w:t>
            </w:r>
          </w:p>
        </w:tc>
        <w:tc>
          <w:tcPr>
            <w:tcW w:w="726" w:type="dxa"/>
            <w:tcBorders>
              <w:top w:val="nil" w:sz="6" w:space="0" w:color="auto"/>
              <w:left w:val="single" w:sz="4" w:space="0" w:color="000000"/>
              <w:bottom w:val="nil" w:sz="6" w:space="0" w:color="auto"/>
              <w:right w:val="single" w:sz="4" w:space="0" w:color="000000"/>
            </w:tcBorders>
          </w:tcPr>
          <w:p>
            <w:pPr/>
          </w:p>
        </w:tc>
        <w:tc>
          <w:tcPr>
            <w:tcW w:w="788" w:type="dxa"/>
            <w:tcBorders>
              <w:top w:val="nil" w:sz="6" w:space="0" w:color="auto"/>
              <w:left w:val="single" w:sz="4" w:space="0" w:color="000000"/>
              <w:bottom w:val="nil" w:sz="6" w:space="0" w:color="auto"/>
              <w:right w:val="single" w:sz="4" w:space="0" w:color="000000"/>
            </w:tcBorders>
          </w:tcPr>
          <w:p>
            <w:pPr/>
          </w:p>
        </w:tc>
        <w:tc>
          <w:tcPr>
            <w:tcW w:w="846"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1"/>
              <w:jc w:val="center"/>
              <w:rPr>
                <w:rFonts w:ascii="宋体" w:hAnsi="宋体" w:cs="宋体" w:eastAsia="宋体" w:hint="default"/>
                <w:sz w:val="15"/>
                <w:szCs w:val="15"/>
              </w:rPr>
            </w:pPr>
            <w:r>
              <w:rPr>
                <w:rFonts w:ascii="宋体" w:hAnsi="宋体" w:cs="宋体" w:eastAsia="宋体" w:hint="default"/>
                <w:sz w:val="15"/>
                <w:szCs w:val="15"/>
              </w:rPr>
              <w:t>格</w:t>
            </w:r>
            <w:r>
              <w:rPr>
                <w:rFonts w:ascii="宋体" w:hAnsi="宋体" w:cs="宋体" w:eastAsia="宋体" w:hint="default"/>
                <w:spacing w:val="-64"/>
                <w:sz w:val="15"/>
                <w:szCs w:val="15"/>
              </w:rPr>
              <w:t>，</w:t>
            </w:r>
            <w:r>
              <w:rPr>
                <w:rFonts w:ascii="宋体" w:hAnsi="宋体" w:cs="宋体" w:eastAsia="宋体" w:hint="default"/>
                <w:sz w:val="15"/>
                <w:szCs w:val="15"/>
              </w:rPr>
              <w:t>协商确定</w:t>
            </w:r>
          </w:p>
        </w:tc>
        <w:tc>
          <w:tcPr>
            <w:tcW w:w="590"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1"/>
              <w:jc w:val="center"/>
              <w:rPr>
                <w:rFonts w:ascii="宋体" w:hAnsi="宋体" w:cs="宋体" w:eastAsia="宋体" w:hint="default"/>
                <w:sz w:val="15"/>
                <w:szCs w:val="15"/>
              </w:rPr>
            </w:pPr>
            <w:r>
              <w:rPr>
                <w:rFonts w:ascii="宋体" w:hAnsi="宋体" w:cs="宋体" w:eastAsia="宋体" w:hint="default"/>
                <w:sz w:val="15"/>
                <w:szCs w:val="15"/>
              </w:rPr>
              <w:t>场价格</w:t>
            </w:r>
          </w:p>
        </w:tc>
        <w:tc>
          <w:tcPr>
            <w:tcW w:w="726" w:type="dxa"/>
            <w:tcBorders>
              <w:top w:val="nil" w:sz="6" w:space="0" w:color="auto"/>
              <w:left w:val="single" w:sz="4" w:space="0" w:color="000000"/>
              <w:bottom w:val="nil" w:sz="6" w:space="0" w:color="auto"/>
              <w:right w:val="single" w:sz="4" w:space="0" w:color="000000"/>
            </w:tcBorders>
          </w:tcPr>
          <w:p>
            <w:pPr/>
          </w:p>
        </w:tc>
        <w:tc>
          <w:tcPr>
            <w:tcW w:w="908" w:type="dxa"/>
            <w:tcBorders>
              <w:top w:val="nil" w:sz="6" w:space="0" w:color="auto"/>
              <w:left w:val="single" w:sz="4" w:space="0" w:color="000000"/>
              <w:bottom w:val="nil" w:sz="6" w:space="0" w:color="auto"/>
              <w:right w:val="single" w:sz="4" w:space="0" w:color="000000"/>
            </w:tcBorders>
          </w:tcPr>
          <w:p>
            <w:pPr/>
          </w:p>
        </w:tc>
        <w:tc>
          <w:tcPr>
            <w:tcW w:w="806" w:type="dxa"/>
            <w:tcBorders>
              <w:top w:val="nil" w:sz="6" w:space="0" w:color="auto"/>
              <w:left w:val="single" w:sz="4" w:space="0" w:color="000000"/>
              <w:bottom w:val="nil" w:sz="6" w:space="0" w:color="auto"/>
              <w:right w:val="single" w:sz="4" w:space="0" w:color="000000"/>
            </w:tcBorders>
          </w:tcPr>
          <w:p>
            <w:pPr/>
          </w:p>
        </w:tc>
        <w:tc>
          <w:tcPr>
            <w:tcW w:w="574" w:type="dxa"/>
            <w:tcBorders>
              <w:top w:val="nil" w:sz="6" w:space="0" w:color="auto"/>
              <w:left w:val="single" w:sz="4" w:space="0" w:color="000000"/>
              <w:bottom w:val="nil" w:sz="6" w:space="0" w:color="auto"/>
              <w:right w:val="single" w:sz="4" w:space="0" w:color="000000"/>
            </w:tcBorders>
          </w:tcPr>
          <w:p>
            <w:pPr/>
          </w:p>
        </w:tc>
        <w:tc>
          <w:tcPr>
            <w:tcW w:w="720"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0"/>
              <w:jc w:val="left"/>
              <w:rPr>
                <w:rFonts w:ascii="宋体" w:hAnsi="宋体" w:cs="宋体" w:eastAsia="宋体" w:hint="default"/>
                <w:sz w:val="15"/>
                <w:szCs w:val="15"/>
              </w:rPr>
            </w:pPr>
            <w:r>
              <w:rPr>
                <w:rFonts w:ascii="宋体" w:hAnsi="宋体" w:cs="宋体" w:eastAsia="宋体" w:hint="default"/>
                <w:sz w:val="15"/>
                <w:szCs w:val="15"/>
              </w:rPr>
              <w:t>约定</w:t>
            </w:r>
          </w:p>
        </w:tc>
        <w:tc>
          <w:tcPr>
            <w:tcW w:w="886" w:type="dxa"/>
            <w:tcBorders>
              <w:top w:val="nil" w:sz="6" w:space="0" w:color="auto"/>
              <w:left w:val="single" w:sz="4" w:space="0" w:color="000000"/>
              <w:bottom w:val="nil" w:sz="6" w:space="0" w:color="auto"/>
              <w:right w:val="single" w:sz="4" w:space="0" w:color="000000"/>
            </w:tcBorders>
          </w:tcPr>
          <w:p>
            <w:pPr/>
          </w:p>
        </w:tc>
        <w:tc>
          <w:tcPr>
            <w:tcW w:w="866" w:type="dxa"/>
            <w:tcBorders>
              <w:top w:val="nil" w:sz="6" w:space="0" w:color="auto"/>
              <w:left w:val="single" w:sz="4" w:space="0" w:color="000000"/>
              <w:bottom w:val="nil" w:sz="6" w:space="0" w:color="auto"/>
              <w:right w:val="single" w:sz="4" w:space="0" w:color="000000"/>
            </w:tcBorders>
          </w:tcPr>
          <w:p>
            <w:pPr>
              <w:pStyle w:val="TableParagraph"/>
              <w:spacing w:line="161" w:lineRule="exact"/>
              <w:ind w:left="-1"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28 </w:t>
            </w:r>
            <w:r>
              <w:rPr>
                <w:rFonts w:ascii="宋体" w:hAnsi="宋体" w:cs="宋体" w:eastAsia="宋体" w:hint="default"/>
                <w:sz w:val="15"/>
                <w:szCs w:val="15"/>
              </w:rPr>
              <w:t>日</w:t>
            </w:r>
          </w:p>
        </w:tc>
        <w:tc>
          <w:tcPr>
            <w:tcW w:w="755"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0"/>
              <w:jc w:val="left"/>
              <w:rPr>
                <w:rFonts w:ascii="宋体" w:hAnsi="宋体" w:cs="宋体" w:eastAsia="宋体" w:hint="default"/>
                <w:sz w:val="15"/>
                <w:szCs w:val="15"/>
              </w:rPr>
            </w:pPr>
            <w:r>
              <w:rPr>
                <w:rFonts w:ascii="宋体" w:hAnsi="宋体" w:cs="宋体" w:eastAsia="宋体" w:hint="default"/>
                <w:sz w:val="15"/>
                <w:szCs w:val="15"/>
              </w:rPr>
              <w:t>公告</w:t>
            </w:r>
          </w:p>
        </w:tc>
      </w:tr>
      <w:tr>
        <w:trPr>
          <w:trHeight w:val="236" w:hRule="exact"/>
        </w:trPr>
        <w:tc>
          <w:tcPr>
            <w:tcW w:w="1334" w:type="dxa"/>
            <w:tcBorders>
              <w:top w:val="nil" w:sz="6" w:space="0" w:color="auto"/>
              <w:left w:val="single" w:sz="4" w:space="0" w:color="000000"/>
              <w:bottom w:val="single" w:sz="4" w:space="0" w:color="000000"/>
              <w:right w:val="single" w:sz="4" w:space="0" w:color="000000"/>
            </w:tcBorders>
          </w:tcPr>
          <w:p>
            <w:pPr/>
          </w:p>
        </w:tc>
        <w:tc>
          <w:tcPr>
            <w:tcW w:w="908" w:type="dxa"/>
            <w:tcBorders>
              <w:top w:val="nil" w:sz="6" w:space="0" w:color="auto"/>
              <w:left w:val="single" w:sz="4" w:space="0" w:color="000000"/>
              <w:bottom w:val="single" w:sz="4" w:space="0" w:color="000000"/>
              <w:right w:val="single" w:sz="4" w:space="0" w:color="000000"/>
            </w:tcBorders>
          </w:tcPr>
          <w:p>
            <w:pPr/>
          </w:p>
        </w:tc>
        <w:tc>
          <w:tcPr>
            <w:tcW w:w="726" w:type="dxa"/>
            <w:tcBorders>
              <w:top w:val="nil" w:sz="6" w:space="0" w:color="auto"/>
              <w:left w:val="single" w:sz="4" w:space="0" w:color="000000"/>
              <w:bottom w:val="single" w:sz="4" w:space="0" w:color="000000"/>
              <w:right w:val="single" w:sz="4" w:space="0" w:color="000000"/>
            </w:tcBorders>
          </w:tcPr>
          <w:p>
            <w:pPr/>
          </w:p>
        </w:tc>
        <w:tc>
          <w:tcPr>
            <w:tcW w:w="788" w:type="dxa"/>
            <w:tcBorders>
              <w:top w:val="nil" w:sz="6" w:space="0" w:color="auto"/>
              <w:left w:val="single" w:sz="4" w:space="0" w:color="000000"/>
              <w:bottom w:val="single" w:sz="4" w:space="0" w:color="000000"/>
              <w:right w:val="single" w:sz="4" w:space="0" w:color="000000"/>
            </w:tcBorders>
          </w:tcPr>
          <w:p>
            <w:pPr>
              <w:pStyle w:val="TableParagraph"/>
              <w:spacing w:line="149" w:lineRule="exact"/>
              <w:ind w:right="0"/>
              <w:jc w:val="left"/>
              <w:rPr>
                <w:rFonts w:ascii="宋体" w:hAnsi="宋体" w:cs="宋体" w:eastAsia="宋体" w:hint="default"/>
                <w:sz w:val="15"/>
                <w:szCs w:val="15"/>
              </w:rPr>
            </w:pPr>
            <w:r>
              <w:rPr>
                <w:rFonts w:ascii="宋体" w:hAnsi="宋体" w:cs="宋体" w:eastAsia="宋体" w:hint="default"/>
                <w:sz w:val="15"/>
                <w:szCs w:val="15"/>
              </w:rPr>
              <w:t>操作系统</w:t>
            </w:r>
          </w:p>
        </w:tc>
        <w:tc>
          <w:tcPr>
            <w:tcW w:w="846" w:type="dxa"/>
            <w:tcBorders>
              <w:top w:val="nil" w:sz="6" w:space="0" w:color="auto"/>
              <w:left w:val="single" w:sz="4" w:space="0" w:color="000000"/>
              <w:bottom w:val="single" w:sz="4" w:space="0" w:color="000000"/>
              <w:right w:val="single" w:sz="4" w:space="0" w:color="000000"/>
            </w:tcBorders>
          </w:tcPr>
          <w:p>
            <w:pPr/>
          </w:p>
        </w:tc>
        <w:tc>
          <w:tcPr>
            <w:tcW w:w="590" w:type="dxa"/>
            <w:tcBorders>
              <w:top w:val="nil" w:sz="6" w:space="0" w:color="auto"/>
              <w:left w:val="single" w:sz="4" w:space="0" w:color="000000"/>
              <w:bottom w:val="single" w:sz="4" w:space="0" w:color="000000"/>
              <w:right w:val="single" w:sz="4" w:space="0" w:color="000000"/>
            </w:tcBorders>
          </w:tcPr>
          <w:p>
            <w:pPr/>
          </w:p>
        </w:tc>
        <w:tc>
          <w:tcPr>
            <w:tcW w:w="726" w:type="dxa"/>
            <w:tcBorders>
              <w:top w:val="nil" w:sz="6" w:space="0" w:color="auto"/>
              <w:left w:val="single" w:sz="4" w:space="0" w:color="000000"/>
              <w:bottom w:val="single" w:sz="4" w:space="0" w:color="000000"/>
              <w:right w:val="single" w:sz="4" w:space="0" w:color="000000"/>
            </w:tcBorders>
          </w:tcPr>
          <w:p>
            <w:pPr/>
          </w:p>
        </w:tc>
        <w:tc>
          <w:tcPr>
            <w:tcW w:w="908" w:type="dxa"/>
            <w:tcBorders>
              <w:top w:val="nil" w:sz="6" w:space="0" w:color="auto"/>
              <w:left w:val="single" w:sz="4" w:space="0" w:color="000000"/>
              <w:bottom w:val="single" w:sz="4" w:space="0" w:color="000000"/>
              <w:right w:val="single" w:sz="4" w:space="0" w:color="000000"/>
            </w:tcBorders>
          </w:tcPr>
          <w:p>
            <w:pPr/>
          </w:p>
        </w:tc>
        <w:tc>
          <w:tcPr>
            <w:tcW w:w="806" w:type="dxa"/>
            <w:tcBorders>
              <w:top w:val="nil" w:sz="6" w:space="0" w:color="auto"/>
              <w:left w:val="single" w:sz="4" w:space="0" w:color="000000"/>
              <w:bottom w:val="single" w:sz="4" w:space="0" w:color="000000"/>
              <w:right w:val="single" w:sz="4" w:space="0" w:color="000000"/>
            </w:tcBorders>
          </w:tcPr>
          <w:p>
            <w:pPr/>
          </w:p>
        </w:tc>
        <w:tc>
          <w:tcPr>
            <w:tcW w:w="574" w:type="dxa"/>
            <w:tcBorders>
              <w:top w:val="nil" w:sz="6" w:space="0" w:color="auto"/>
              <w:left w:val="single" w:sz="4" w:space="0" w:color="000000"/>
              <w:bottom w:val="single" w:sz="4" w:space="0" w:color="000000"/>
              <w:right w:val="single" w:sz="4" w:space="0" w:color="000000"/>
            </w:tcBorders>
          </w:tcPr>
          <w:p>
            <w:pPr/>
          </w:p>
        </w:tc>
        <w:tc>
          <w:tcPr>
            <w:tcW w:w="720" w:type="dxa"/>
            <w:tcBorders>
              <w:top w:val="nil" w:sz="6" w:space="0" w:color="auto"/>
              <w:left w:val="single" w:sz="4" w:space="0" w:color="000000"/>
              <w:bottom w:val="single" w:sz="4" w:space="0" w:color="000000"/>
              <w:right w:val="single" w:sz="4" w:space="0" w:color="000000"/>
            </w:tcBorders>
          </w:tcPr>
          <w:p>
            <w:pPr/>
          </w:p>
        </w:tc>
        <w:tc>
          <w:tcPr>
            <w:tcW w:w="886" w:type="dxa"/>
            <w:tcBorders>
              <w:top w:val="nil" w:sz="6" w:space="0" w:color="auto"/>
              <w:left w:val="single" w:sz="4" w:space="0" w:color="000000"/>
              <w:bottom w:val="single" w:sz="4" w:space="0" w:color="000000"/>
              <w:right w:val="single" w:sz="4" w:space="0" w:color="000000"/>
            </w:tcBorders>
          </w:tcPr>
          <w:p>
            <w:pPr/>
          </w:p>
        </w:tc>
        <w:tc>
          <w:tcPr>
            <w:tcW w:w="866" w:type="dxa"/>
            <w:tcBorders>
              <w:top w:val="nil" w:sz="6" w:space="0" w:color="auto"/>
              <w:left w:val="single" w:sz="4" w:space="0" w:color="000000"/>
              <w:bottom w:val="single" w:sz="4" w:space="0" w:color="000000"/>
              <w:right w:val="single" w:sz="4" w:space="0" w:color="000000"/>
            </w:tcBorders>
          </w:tcPr>
          <w:p>
            <w:pPr/>
          </w:p>
        </w:tc>
        <w:tc>
          <w:tcPr>
            <w:tcW w:w="755" w:type="dxa"/>
            <w:tcBorders>
              <w:top w:val="nil" w:sz="6" w:space="0" w:color="auto"/>
              <w:left w:val="single" w:sz="4" w:space="0" w:color="000000"/>
              <w:bottom w:val="single" w:sz="4" w:space="0" w:color="000000"/>
              <w:right w:val="single" w:sz="4" w:space="0" w:color="000000"/>
            </w:tcBorders>
          </w:tcPr>
          <w:p>
            <w:pPr/>
          </w:p>
        </w:tc>
      </w:tr>
      <w:tr>
        <w:trPr>
          <w:trHeight w:val="238" w:hRule="exact"/>
        </w:trPr>
        <w:tc>
          <w:tcPr>
            <w:tcW w:w="133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3"/>
              <w:ind w:left="-1" w:right="-1"/>
              <w:jc w:val="left"/>
              <w:rPr>
                <w:rFonts w:ascii="宋体" w:hAnsi="宋体" w:cs="宋体" w:eastAsia="宋体" w:hint="default"/>
                <w:sz w:val="15"/>
                <w:szCs w:val="15"/>
              </w:rPr>
            </w:pPr>
            <w:r>
              <w:rPr>
                <w:rFonts w:ascii="宋体" w:hAnsi="宋体" w:cs="宋体" w:eastAsia="宋体" w:hint="default"/>
                <w:spacing w:val="-3"/>
                <w:sz w:val="15"/>
                <w:szCs w:val="15"/>
              </w:rPr>
              <w:t>中国振华（集团）科</w:t>
            </w:r>
          </w:p>
        </w:tc>
        <w:tc>
          <w:tcPr>
            <w:tcW w:w="908" w:type="dxa"/>
            <w:tcBorders>
              <w:top w:val="single" w:sz="4" w:space="0" w:color="000000"/>
              <w:left w:val="single" w:sz="4" w:space="0" w:color="000000"/>
              <w:bottom w:val="nil" w:sz="6" w:space="0" w:color="auto"/>
              <w:right w:val="single" w:sz="4" w:space="0" w:color="000000"/>
            </w:tcBorders>
          </w:tcPr>
          <w:p>
            <w:pPr/>
          </w:p>
        </w:tc>
        <w:tc>
          <w:tcPr>
            <w:tcW w:w="726" w:type="dxa"/>
            <w:tcBorders>
              <w:top w:val="single" w:sz="4" w:space="0" w:color="000000"/>
              <w:left w:val="single" w:sz="4" w:space="0" w:color="000000"/>
              <w:bottom w:val="nil" w:sz="6" w:space="0" w:color="auto"/>
              <w:right w:val="single" w:sz="4" w:space="0" w:color="000000"/>
            </w:tcBorders>
          </w:tcPr>
          <w:p>
            <w:pPr/>
          </w:p>
        </w:tc>
        <w:tc>
          <w:tcPr>
            <w:tcW w:w="78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3"/>
              <w:ind w:right="0"/>
              <w:jc w:val="left"/>
              <w:rPr>
                <w:rFonts w:ascii="宋体" w:hAnsi="宋体" w:cs="宋体" w:eastAsia="宋体" w:hint="default"/>
                <w:sz w:val="15"/>
                <w:szCs w:val="15"/>
              </w:rPr>
            </w:pPr>
            <w:r>
              <w:rPr>
                <w:rFonts w:ascii="宋体" w:hAnsi="宋体" w:cs="宋体" w:eastAsia="宋体" w:hint="default"/>
                <w:sz w:val="15"/>
                <w:szCs w:val="15"/>
              </w:rPr>
              <w:t>采购电子元</w:t>
            </w:r>
          </w:p>
        </w:tc>
        <w:tc>
          <w:tcPr>
            <w:tcW w:w="846" w:type="dxa"/>
            <w:tcBorders>
              <w:top w:val="single" w:sz="4" w:space="0" w:color="000000"/>
              <w:left w:val="single" w:sz="4" w:space="0" w:color="000000"/>
              <w:bottom w:val="nil" w:sz="6" w:space="0" w:color="auto"/>
              <w:right w:val="single" w:sz="4" w:space="0" w:color="000000"/>
            </w:tcBorders>
          </w:tcPr>
          <w:p>
            <w:pPr/>
          </w:p>
        </w:tc>
        <w:tc>
          <w:tcPr>
            <w:tcW w:w="590" w:type="dxa"/>
            <w:tcBorders>
              <w:top w:val="single" w:sz="4" w:space="0" w:color="000000"/>
              <w:left w:val="single" w:sz="4" w:space="0" w:color="000000"/>
              <w:bottom w:val="nil" w:sz="6" w:space="0" w:color="auto"/>
              <w:right w:val="single" w:sz="4" w:space="0" w:color="000000"/>
            </w:tcBorders>
          </w:tcPr>
          <w:p>
            <w:pPr/>
          </w:p>
        </w:tc>
        <w:tc>
          <w:tcPr>
            <w:tcW w:w="726" w:type="dxa"/>
            <w:tcBorders>
              <w:top w:val="single" w:sz="4" w:space="0" w:color="000000"/>
              <w:left w:val="single" w:sz="4" w:space="0" w:color="000000"/>
              <w:bottom w:val="nil" w:sz="6" w:space="0" w:color="auto"/>
              <w:right w:val="single" w:sz="4" w:space="0" w:color="000000"/>
            </w:tcBorders>
          </w:tcPr>
          <w:p>
            <w:pPr/>
          </w:p>
        </w:tc>
        <w:tc>
          <w:tcPr>
            <w:tcW w:w="908" w:type="dxa"/>
            <w:tcBorders>
              <w:top w:val="single" w:sz="4" w:space="0" w:color="000000"/>
              <w:left w:val="single" w:sz="4" w:space="0" w:color="000000"/>
              <w:bottom w:val="nil" w:sz="6" w:space="0" w:color="auto"/>
              <w:right w:val="single" w:sz="4" w:space="0" w:color="000000"/>
            </w:tcBorders>
          </w:tcPr>
          <w:p>
            <w:pPr/>
          </w:p>
        </w:tc>
        <w:tc>
          <w:tcPr>
            <w:tcW w:w="806" w:type="dxa"/>
            <w:tcBorders>
              <w:top w:val="single" w:sz="4" w:space="0" w:color="000000"/>
              <w:left w:val="single" w:sz="4" w:space="0" w:color="000000"/>
              <w:bottom w:val="nil" w:sz="6" w:space="0" w:color="auto"/>
              <w:right w:val="single" w:sz="4" w:space="0" w:color="000000"/>
            </w:tcBorders>
          </w:tcPr>
          <w:p>
            <w:pPr/>
          </w:p>
        </w:tc>
        <w:tc>
          <w:tcPr>
            <w:tcW w:w="574" w:type="dxa"/>
            <w:tcBorders>
              <w:top w:val="single" w:sz="4" w:space="0" w:color="000000"/>
              <w:left w:val="single" w:sz="4" w:space="0" w:color="000000"/>
              <w:bottom w:val="nil" w:sz="6" w:space="0" w:color="auto"/>
              <w:right w:val="single" w:sz="4" w:space="0" w:color="000000"/>
            </w:tcBorders>
          </w:tcPr>
          <w:p>
            <w:pPr/>
          </w:p>
        </w:tc>
        <w:tc>
          <w:tcPr>
            <w:tcW w:w="720" w:type="dxa"/>
            <w:tcBorders>
              <w:top w:val="single" w:sz="4" w:space="0" w:color="000000"/>
              <w:left w:val="single" w:sz="4" w:space="0" w:color="000000"/>
              <w:bottom w:val="nil" w:sz="6" w:space="0" w:color="auto"/>
              <w:right w:val="single" w:sz="4" w:space="0" w:color="000000"/>
            </w:tcBorders>
          </w:tcPr>
          <w:p>
            <w:pPr/>
          </w:p>
        </w:tc>
        <w:tc>
          <w:tcPr>
            <w:tcW w:w="886" w:type="dxa"/>
            <w:tcBorders>
              <w:top w:val="single" w:sz="4" w:space="0" w:color="000000"/>
              <w:left w:val="single" w:sz="4" w:space="0" w:color="000000"/>
              <w:bottom w:val="nil" w:sz="6" w:space="0" w:color="auto"/>
              <w:right w:val="single" w:sz="4" w:space="0" w:color="000000"/>
            </w:tcBorders>
          </w:tcPr>
          <w:p>
            <w:pPr/>
          </w:p>
        </w:tc>
        <w:tc>
          <w:tcPr>
            <w:tcW w:w="866" w:type="dxa"/>
            <w:tcBorders>
              <w:top w:val="single" w:sz="4" w:space="0" w:color="000000"/>
              <w:left w:val="single" w:sz="4" w:space="0" w:color="000000"/>
              <w:bottom w:val="nil" w:sz="6" w:space="0" w:color="auto"/>
              <w:right w:val="single" w:sz="4" w:space="0" w:color="000000"/>
            </w:tcBorders>
          </w:tcPr>
          <w:p>
            <w:pPr/>
          </w:p>
        </w:tc>
        <w:tc>
          <w:tcPr>
            <w:tcW w:w="755" w:type="dxa"/>
            <w:tcBorders>
              <w:top w:val="single" w:sz="4" w:space="0" w:color="000000"/>
              <w:left w:val="single" w:sz="4" w:space="0" w:color="000000"/>
              <w:bottom w:val="nil" w:sz="6" w:space="0" w:color="auto"/>
              <w:right w:val="single" w:sz="4" w:space="0" w:color="000000"/>
            </w:tcBorders>
          </w:tcPr>
          <w:p>
            <w:pPr/>
          </w:p>
        </w:tc>
      </w:tr>
      <w:tr>
        <w:trPr>
          <w:trHeight w:val="160" w:hRule="exact"/>
        </w:trPr>
        <w:tc>
          <w:tcPr>
            <w:tcW w:w="1334" w:type="dxa"/>
            <w:tcBorders>
              <w:top w:val="nil" w:sz="6" w:space="0" w:color="auto"/>
              <w:left w:val="single" w:sz="4" w:space="0" w:color="000000"/>
              <w:bottom w:val="nil" w:sz="6" w:space="0" w:color="auto"/>
              <w:right w:val="single" w:sz="4" w:space="0" w:color="000000"/>
            </w:tcBorders>
          </w:tcPr>
          <w:p>
            <w:pPr/>
          </w:p>
        </w:tc>
        <w:tc>
          <w:tcPr>
            <w:tcW w:w="908" w:type="dxa"/>
            <w:tcBorders>
              <w:top w:val="nil" w:sz="6" w:space="0" w:color="auto"/>
              <w:left w:val="single" w:sz="4" w:space="0" w:color="000000"/>
              <w:bottom w:val="nil" w:sz="6" w:space="0" w:color="auto"/>
              <w:right w:val="single" w:sz="4" w:space="0" w:color="000000"/>
            </w:tcBorders>
          </w:tcPr>
          <w:p>
            <w:pPr>
              <w:pStyle w:val="TableParagraph"/>
              <w:spacing w:line="153" w:lineRule="exact"/>
              <w:ind w:left="1" w:right="0"/>
              <w:jc w:val="left"/>
              <w:rPr>
                <w:rFonts w:ascii="宋体" w:hAnsi="宋体" w:cs="宋体" w:eastAsia="宋体" w:hint="default"/>
                <w:sz w:val="15"/>
                <w:szCs w:val="15"/>
              </w:rPr>
            </w:pPr>
            <w:r>
              <w:rPr>
                <w:rFonts w:ascii="宋体" w:hAnsi="宋体" w:cs="宋体" w:eastAsia="宋体" w:hint="default"/>
                <w:sz w:val="15"/>
                <w:szCs w:val="15"/>
              </w:rPr>
              <w:t>受同一最终</w:t>
            </w:r>
          </w:p>
        </w:tc>
        <w:tc>
          <w:tcPr>
            <w:tcW w:w="726" w:type="dxa"/>
            <w:tcBorders>
              <w:top w:val="nil" w:sz="6" w:space="0" w:color="auto"/>
              <w:left w:val="single" w:sz="4" w:space="0" w:color="000000"/>
              <w:bottom w:val="nil" w:sz="6" w:space="0" w:color="auto"/>
              <w:right w:val="single" w:sz="4" w:space="0" w:color="000000"/>
            </w:tcBorders>
          </w:tcPr>
          <w:p>
            <w:pPr/>
          </w:p>
        </w:tc>
        <w:tc>
          <w:tcPr>
            <w:tcW w:w="788" w:type="dxa"/>
            <w:tcBorders>
              <w:top w:val="nil" w:sz="6" w:space="0" w:color="auto"/>
              <w:left w:val="single" w:sz="4" w:space="0" w:color="000000"/>
              <w:bottom w:val="nil" w:sz="6" w:space="0" w:color="auto"/>
              <w:right w:val="single" w:sz="4" w:space="0" w:color="000000"/>
            </w:tcBorders>
          </w:tcPr>
          <w:p>
            <w:pPr/>
          </w:p>
        </w:tc>
        <w:tc>
          <w:tcPr>
            <w:tcW w:w="846" w:type="dxa"/>
            <w:tcBorders>
              <w:top w:val="nil" w:sz="6" w:space="0" w:color="auto"/>
              <w:left w:val="single" w:sz="4" w:space="0" w:color="000000"/>
              <w:bottom w:val="nil" w:sz="6" w:space="0" w:color="auto"/>
              <w:right w:val="single" w:sz="4" w:space="0" w:color="000000"/>
            </w:tcBorders>
          </w:tcPr>
          <w:p>
            <w:pPr>
              <w:pStyle w:val="TableParagraph"/>
              <w:spacing w:line="153" w:lineRule="exact"/>
              <w:ind w:right="84"/>
              <w:jc w:val="center"/>
              <w:rPr>
                <w:rFonts w:ascii="宋体" w:hAnsi="宋体" w:cs="宋体" w:eastAsia="宋体" w:hint="default"/>
                <w:sz w:val="15"/>
                <w:szCs w:val="15"/>
              </w:rPr>
            </w:pPr>
            <w:r>
              <w:rPr>
                <w:rFonts w:ascii="宋体" w:hAnsi="宋体" w:cs="宋体" w:eastAsia="宋体" w:hint="default"/>
                <w:sz w:val="15"/>
                <w:szCs w:val="15"/>
              </w:rPr>
              <w:t>根据市场价</w:t>
            </w:r>
          </w:p>
        </w:tc>
        <w:tc>
          <w:tcPr>
            <w:tcW w:w="590" w:type="dxa"/>
            <w:tcBorders>
              <w:top w:val="nil" w:sz="6" w:space="0" w:color="auto"/>
              <w:left w:val="single" w:sz="4" w:space="0" w:color="000000"/>
              <w:bottom w:val="nil" w:sz="6" w:space="0" w:color="auto"/>
              <w:right w:val="single" w:sz="4" w:space="0" w:color="000000"/>
            </w:tcBorders>
          </w:tcPr>
          <w:p>
            <w:pPr>
              <w:pStyle w:val="TableParagraph"/>
              <w:spacing w:line="153" w:lineRule="exact"/>
              <w:ind w:right="1"/>
              <w:jc w:val="center"/>
              <w:rPr>
                <w:rFonts w:ascii="宋体" w:hAnsi="宋体" w:cs="宋体" w:eastAsia="宋体" w:hint="default"/>
                <w:sz w:val="15"/>
                <w:szCs w:val="15"/>
              </w:rPr>
            </w:pPr>
            <w:r>
              <w:rPr>
                <w:rFonts w:ascii="宋体" w:hAnsi="宋体" w:cs="宋体" w:eastAsia="宋体" w:hint="default"/>
                <w:sz w:val="15"/>
                <w:szCs w:val="15"/>
              </w:rPr>
              <w:t>参考市</w:t>
            </w:r>
          </w:p>
        </w:tc>
        <w:tc>
          <w:tcPr>
            <w:tcW w:w="726" w:type="dxa"/>
            <w:tcBorders>
              <w:top w:val="nil" w:sz="6" w:space="0" w:color="auto"/>
              <w:left w:val="single" w:sz="4" w:space="0" w:color="000000"/>
              <w:bottom w:val="nil" w:sz="6" w:space="0" w:color="auto"/>
              <w:right w:val="single" w:sz="4" w:space="0" w:color="000000"/>
            </w:tcBorders>
          </w:tcPr>
          <w:p>
            <w:pPr/>
          </w:p>
        </w:tc>
        <w:tc>
          <w:tcPr>
            <w:tcW w:w="908" w:type="dxa"/>
            <w:tcBorders>
              <w:top w:val="nil" w:sz="6" w:space="0" w:color="auto"/>
              <w:left w:val="single" w:sz="4" w:space="0" w:color="000000"/>
              <w:bottom w:val="nil" w:sz="6" w:space="0" w:color="auto"/>
              <w:right w:val="single" w:sz="4" w:space="0" w:color="000000"/>
            </w:tcBorders>
          </w:tcPr>
          <w:p>
            <w:pPr/>
          </w:p>
        </w:tc>
        <w:tc>
          <w:tcPr>
            <w:tcW w:w="806" w:type="dxa"/>
            <w:tcBorders>
              <w:top w:val="nil" w:sz="6" w:space="0" w:color="auto"/>
              <w:left w:val="single" w:sz="4" w:space="0" w:color="000000"/>
              <w:bottom w:val="nil" w:sz="6" w:space="0" w:color="auto"/>
              <w:right w:val="single" w:sz="4" w:space="0" w:color="000000"/>
            </w:tcBorders>
          </w:tcPr>
          <w:p>
            <w:pPr/>
          </w:p>
        </w:tc>
        <w:tc>
          <w:tcPr>
            <w:tcW w:w="574" w:type="dxa"/>
            <w:tcBorders>
              <w:top w:val="nil" w:sz="6" w:space="0" w:color="auto"/>
              <w:left w:val="single" w:sz="4" w:space="0" w:color="000000"/>
              <w:bottom w:val="nil" w:sz="6" w:space="0" w:color="auto"/>
              <w:right w:val="single" w:sz="4" w:space="0" w:color="000000"/>
            </w:tcBorders>
          </w:tcPr>
          <w:p>
            <w:pPr/>
          </w:p>
        </w:tc>
        <w:tc>
          <w:tcPr>
            <w:tcW w:w="720" w:type="dxa"/>
            <w:tcBorders>
              <w:top w:val="nil" w:sz="6" w:space="0" w:color="auto"/>
              <w:left w:val="single" w:sz="4" w:space="0" w:color="000000"/>
              <w:bottom w:val="nil" w:sz="6" w:space="0" w:color="auto"/>
              <w:right w:val="single" w:sz="4" w:space="0" w:color="000000"/>
            </w:tcBorders>
          </w:tcPr>
          <w:p>
            <w:pPr>
              <w:pStyle w:val="TableParagraph"/>
              <w:spacing w:line="153" w:lineRule="exact"/>
              <w:ind w:right="0"/>
              <w:jc w:val="left"/>
              <w:rPr>
                <w:rFonts w:ascii="宋体" w:hAnsi="宋体" w:cs="宋体" w:eastAsia="宋体" w:hint="default"/>
                <w:sz w:val="15"/>
                <w:szCs w:val="15"/>
              </w:rPr>
            </w:pPr>
            <w:r>
              <w:rPr>
                <w:rFonts w:ascii="宋体" w:hAnsi="宋体" w:cs="宋体" w:eastAsia="宋体" w:hint="default"/>
                <w:sz w:val="15"/>
                <w:szCs w:val="15"/>
              </w:rPr>
              <w:t>根据合同</w:t>
            </w:r>
          </w:p>
        </w:tc>
        <w:tc>
          <w:tcPr>
            <w:tcW w:w="886" w:type="dxa"/>
            <w:tcBorders>
              <w:top w:val="nil" w:sz="6" w:space="0" w:color="auto"/>
              <w:left w:val="single" w:sz="4" w:space="0" w:color="000000"/>
              <w:bottom w:val="nil" w:sz="6" w:space="0" w:color="auto"/>
              <w:right w:val="single" w:sz="4" w:space="0" w:color="000000"/>
            </w:tcBorders>
          </w:tcPr>
          <w:p>
            <w:pPr/>
          </w:p>
        </w:tc>
        <w:tc>
          <w:tcPr>
            <w:tcW w:w="866" w:type="dxa"/>
            <w:tcBorders>
              <w:top w:val="nil" w:sz="6" w:space="0" w:color="auto"/>
              <w:left w:val="single" w:sz="4" w:space="0" w:color="000000"/>
              <w:bottom w:val="nil" w:sz="6" w:space="0" w:color="auto"/>
              <w:right w:val="single" w:sz="4" w:space="0" w:color="000000"/>
            </w:tcBorders>
          </w:tcPr>
          <w:p>
            <w:pPr>
              <w:pStyle w:val="TableParagraph"/>
              <w:spacing w:line="164" w:lineRule="exact"/>
              <w:ind w:left="-1"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2018</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1</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月</w:t>
            </w:r>
          </w:p>
        </w:tc>
        <w:tc>
          <w:tcPr>
            <w:tcW w:w="755" w:type="dxa"/>
            <w:tcBorders>
              <w:top w:val="nil" w:sz="6" w:space="0" w:color="auto"/>
              <w:left w:val="single" w:sz="4" w:space="0" w:color="000000"/>
              <w:bottom w:val="nil" w:sz="6" w:space="0" w:color="auto"/>
              <w:right w:val="single" w:sz="4" w:space="0" w:color="000000"/>
            </w:tcBorders>
          </w:tcPr>
          <w:p>
            <w:pPr>
              <w:pStyle w:val="TableParagraph"/>
              <w:spacing w:line="164" w:lineRule="exact"/>
              <w:ind w:left="-1" w:right="-2"/>
              <w:jc w:val="left"/>
              <w:rPr>
                <w:rFonts w:ascii="宋体" w:hAnsi="宋体" w:cs="宋体" w:eastAsia="宋体" w:hint="default"/>
                <w:sz w:val="15"/>
                <w:szCs w:val="15"/>
              </w:rPr>
            </w:pPr>
            <w:r>
              <w:rPr>
                <w:rFonts w:ascii="Times New Roman" w:hAnsi="Times New Roman" w:cs="Times New Roman" w:eastAsia="Times New Roman" w:hint="default"/>
                <w:sz w:val="15"/>
                <w:szCs w:val="15"/>
              </w:rPr>
              <w:t>2018-010</w:t>
            </w:r>
            <w:r>
              <w:rPr>
                <w:rFonts w:ascii="Times New Roman" w:hAnsi="Times New Roman" w:cs="Times New Roman" w:eastAsia="Times New Roman" w:hint="default"/>
                <w:spacing w:val="-20"/>
                <w:sz w:val="15"/>
                <w:szCs w:val="15"/>
              </w:rPr>
              <w:t> </w:t>
            </w:r>
            <w:r>
              <w:rPr>
                <w:rFonts w:ascii="宋体" w:hAnsi="宋体" w:cs="宋体" w:eastAsia="宋体" w:hint="default"/>
                <w:sz w:val="15"/>
                <w:szCs w:val="15"/>
              </w:rPr>
              <w:t>号</w:t>
            </w:r>
          </w:p>
        </w:tc>
      </w:tr>
      <w:tr>
        <w:trPr>
          <w:trHeight w:val="155" w:hRule="exact"/>
        </w:trPr>
        <w:tc>
          <w:tcPr>
            <w:tcW w:w="1334"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1"/>
              <w:jc w:val="left"/>
              <w:rPr>
                <w:rFonts w:ascii="宋体" w:hAnsi="宋体" w:cs="宋体" w:eastAsia="宋体" w:hint="default"/>
                <w:sz w:val="15"/>
                <w:szCs w:val="15"/>
              </w:rPr>
            </w:pPr>
            <w:r>
              <w:rPr>
                <w:rFonts w:ascii="宋体" w:hAnsi="宋体" w:cs="宋体" w:eastAsia="宋体" w:hint="default"/>
                <w:spacing w:val="-3"/>
                <w:sz w:val="15"/>
                <w:szCs w:val="15"/>
              </w:rPr>
              <w:t>技股份有限公司（含</w:t>
            </w:r>
          </w:p>
        </w:tc>
        <w:tc>
          <w:tcPr>
            <w:tcW w:w="908" w:type="dxa"/>
            <w:tcBorders>
              <w:top w:val="nil" w:sz="6" w:space="0" w:color="auto"/>
              <w:left w:val="single" w:sz="4" w:space="0" w:color="000000"/>
              <w:bottom w:val="nil" w:sz="6" w:space="0" w:color="auto"/>
              <w:right w:val="single" w:sz="4" w:space="0" w:color="000000"/>
            </w:tcBorders>
          </w:tcPr>
          <w:p>
            <w:pPr/>
          </w:p>
        </w:tc>
        <w:tc>
          <w:tcPr>
            <w:tcW w:w="726"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1"/>
              <w:jc w:val="center"/>
              <w:rPr>
                <w:rFonts w:ascii="宋体" w:hAnsi="宋体" w:cs="宋体" w:eastAsia="宋体" w:hint="default"/>
                <w:sz w:val="15"/>
                <w:szCs w:val="15"/>
              </w:rPr>
            </w:pPr>
            <w:r>
              <w:rPr>
                <w:rFonts w:ascii="宋体" w:hAnsi="宋体" w:cs="宋体" w:eastAsia="宋体" w:hint="default"/>
                <w:sz w:val="15"/>
                <w:szCs w:val="15"/>
              </w:rPr>
              <w:t>采购</w:t>
            </w:r>
          </w:p>
        </w:tc>
        <w:tc>
          <w:tcPr>
            <w:tcW w:w="788"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0"/>
              <w:jc w:val="left"/>
              <w:rPr>
                <w:rFonts w:ascii="宋体" w:hAnsi="宋体" w:cs="宋体" w:eastAsia="宋体" w:hint="default"/>
                <w:sz w:val="15"/>
                <w:szCs w:val="15"/>
              </w:rPr>
            </w:pPr>
            <w:r>
              <w:rPr>
                <w:rFonts w:ascii="宋体" w:hAnsi="宋体" w:cs="宋体" w:eastAsia="宋体" w:hint="default"/>
                <w:sz w:val="15"/>
                <w:szCs w:val="15"/>
              </w:rPr>
              <w:t>器件及开关</w:t>
            </w:r>
          </w:p>
        </w:tc>
        <w:tc>
          <w:tcPr>
            <w:tcW w:w="846" w:type="dxa"/>
            <w:tcBorders>
              <w:top w:val="nil" w:sz="6" w:space="0" w:color="auto"/>
              <w:left w:val="single" w:sz="4" w:space="0" w:color="000000"/>
              <w:bottom w:val="nil" w:sz="6" w:space="0" w:color="auto"/>
              <w:right w:val="single" w:sz="4" w:space="0" w:color="000000"/>
            </w:tcBorders>
          </w:tcPr>
          <w:p>
            <w:pPr/>
          </w:p>
        </w:tc>
        <w:tc>
          <w:tcPr>
            <w:tcW w:w="590" w:type="dxa"/>
            <w:tcBorders>
              <w:top w:val="nil" w:sz="6" w:space="0" w:color="auto"/>
              <w:left w:val="single" w:sz="4" w:space="0" w:color="000000"/>
              <w:bottom w:val="nil" w:sz="6" w:space="0" w:color="auto"/>
              <w:right w:val="single" w:sz="4" w:space="0" w:color="000000"/>
            </w:tcBorders>
          </w:tcPr>
          <w:p>
            <w:pPr/>
          </w:p>
        </w:tc>
        <w:tc>
          <w:tcPr>
            <w:tcW w:w="726" w:type="dxa"/>
            <w:tcBorders>
              <w:top w:val="nil" w:sz="6" w:space="0" w:color="auto"/>
              <w:left w:val="single" w:sz="4" w:space="0" w:color="000000"/>
              <w:bottom w:val="nil" w:sz="6" w:space="0" w:color="auto"/>
              <w:right w:val="single" w:sz="4" w:space="0" w:color="000000"/>
            </w:tcBorders>
          </w:tcPr>
          <w:p>
            <w:pPr>
              <w:pStyle w:val="TableParagraph"/>
              <w:spacing w:line="159" w:lineRule="exact"/>
              <w:ind w:right="-2"/>
              <w:jc w:val="right"/>
              <w:rPr>
                <w:rFonts w:ascii="Times New Roman" w:hAnsi="Times New Roman" w:cs="Times New Roman" w:eastAsia="Times New Roman" w:hint="default"/>
                <w:sz w:val="15"/>
                <w:szCs w:val="15"/>
              </w:rPr>
            </w:pPr>
            <w:r>
              <w:rPr>
                <w:rFonts w:ascii="Times New Roman"/>
                <w:spacing w:val="-1"/>
                <w:sz w:val="15"/>
              </w:rPr>
              <w:t>595.50</w:t>
            </w:r>
          </w:p>
        </w:tc>
        <w:tc>
          <w:tcPr>
            <w:tcW w:w="908" w:type="dxa"/>
            <w:tcBorders>
              <w:top w:val="nil" w:sz="6" w:space="0" w:color="auto"/>
              <w:left w:val="single" w:sz="4" w:space="0" w:color="000000"/>
              <w:bottom w:val="nil" w:sz="6" w:space="0" w:color="auto"/>
              <w:right w:val="single" w:sz="4" w:space="0" w:color="000000"/>
            </w:tcBorders>
          </w:tcPr>
          <w:p>
            <w:pPr>
              <w:pStyle w:val="TableParagraph"/>
              <w:spacing w:line="159" w:lineRule="exact"/>
              <w:ind w:right="0"/>
              <w:jc w:val="center"/>
              <w:rPr>
                <w:rFonts w:ascii="Times New Roman" w:hAnsi="Times New Roman" w:cs="Times New Roman" w:eastAsia="Times New Roman" w:hint="default"/>
                <w:sz w:val="15"/>
                <w:szCs w:val="15"/>
              </w:rPr>
            </w:pPr>
            <w:r>
              <w:rPr>
                <w:rFonts w:ascii="Times New Roman"/>
                <w:sz w:val="15"/>
              </w:rPr>
              <w:t>0.07%</w:t>
            </w:r>
          </w:p>
        </w:tc>
        <w:tc>
          <w:tcPr>
            <w:tcW w:w="806" w:type="dxa"/>
            <w:tcBorders>
              <w:top w:val="nil" w:sz="6" w:space="0" w:color="auto"/>
              <w:left w:val="single" w:sz="4" w:space="0" w:color="000000"/>
              <w:bottom w:val="nil" w:sz="6" w:space="0" w:color="auto"/>
              <w:right w:val="single" w:sz="4" w:space="0" w:color="000000"/>
            </w:tcBorders>
          </w:tcPr>
          <w:p>
            <w:pPr>
              <w:pStyle w:val="TableParagraph"/>
              <w:spacing w:line="159" w:lineRule="exact"/>
              <w:ind w:right="-1"/>
              <w:jc w:val="right"/>
              <w:rPr>
                <w:rFonts w:ascii="Times New Roman" w:hAnsi="Times New Roman" w:cs="Times New Roman" w:eastAsia="Times New Roman" w:hint="default"/>
                <w:sz w:val="15"/>
                <w:szCs w:val="15"/>
              </w:rPr>
            </w:pPr>
            <w:r>
              <w:rPr>
                <w:rFonts w:ascii="Times New Roman"/>
                <w:spacing w:val="-1"/>
                <w:sz w:val="15"/>
              </w:rPr>
              <w:t>1,400.00</w:t>
            </w:r>
          </w:p>
        </w:tc>
        <w:tc>
          <w:tcPr>
            <w:tcW w:w="574"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0"/>
              <w:jc w:val="center"/>
              <w:rPr>
                <w:rFonts w:ascii="宋体" w:hAnsi="宋体" w:cs="宋体" w:eastAsia="宋体" w:hint="default"/>
                <w:sz w:val="15"/>
                <w:szCs w:val="15"/>
              </w:rPr>
            </w:pPr>
            <w:r>
              <w:rPr>
                <w:rFonts w:ascii="宋体" w:hAnsi="宋体" w:cs="宋体" w:eastAsia="宋体" w:hint="default"/>
                <w:sz w:val="15"/>
                <w:szCs w:val="15"/>
              </w:rPr>
              <w:t>否</w:t>
            </w:r>
          </w:p>
        </w:tc>
        <w:tc>
          <w:tcPr>
            <w:tcW w:w="720" w:type="dxa"/>
            <w:tcBorders>
              <w:top w:val="nil" w:sz="6" w:space="0" w:color="auto"/>
              <w:left w:val="single" w:sz="4" w:space="0" w:color="000000"/>
              <w:bottom w:val="nil" w:sz="6" w:space="0" w:color="auto"/>
              <w:right w:val="single" w:sz="4" w:space="0" w:color="000000"/>
            </w:tcBorders>
          </w:tcPr>
          <w:p>
            <w:pPr/>
          </w:p>
        </w:tc>
        <w:tc>
          <w:tcPr>
            <w:tcW w:w="886"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38" w:right="0"/>
              <w:jc w:val="left"/>
              <w:rPr>
                <w:rFonts w:ascii="宋体" w:hAnsi="宋体" w:cs="宋体" w:eastAsia="宋体" w:hint="default"/>
                <w:sz w:val="15"/>
                <w:szCs w:val="15"/>
              </w:rPr>
            </w:pPr>
            <w:r>
              <w:rPr>
                <w:rFonts w:ascii="宋体" w:hAnsi="宋体" w:cs="宋体" w:eastAsia="宋体" w:hint="default"/>
                <w:sz w:val="15"/>
                <w:szCs w:val="15"/>
              </w:rPr>
              <w:t>市场价格</w:t>
            </w:r>
          </w:p>
        </w:tc>
        <w:tc>
          <w:tcPr>
            <w:tcW w:w="866" w:type="dxa"/>
            <w:tcBorders>
              <w:top w:val="nil" w:sz="6" w:space="0" w:color="auto"/>
              <w:left w:val="single" w:sz="4" w:space="0" w:color="000000"/>
              <w:bottom w:val="nil" w:sz="6" w:space="0" w:color="auto"/>
              <w:right w:val="single" w:sz="4" w:space="0" w:color="000000"/>
            </w:tcBorders>
          </w:tcPr>
          <w:p>
            <w:pPr/>
          </w:p>
        </w:tc>
        <w:tc>
          <w:tcPr>
            <w:tcW w:w="755" w:type="dxa"/>
            <w:tcBorders>
              <w:top w:val="nil" w:sz="6" w:space="0" w:color="auto"/>
              <w:left w:val="single" w:sz="4" w:space="0" w:color="000000"/>
              <w:bottom w:val="nil" w:sz="6" w:space="0" w:color="auto"/>
              <w:right w:val="single" w:sz="4" w:space="0" w:color="000000"/>
            </w:tcBorders>
          </w:tcPr>
          <w:p>
            <w:pPr/>
          </w:p>
        </w:tc>
      </w:tr>
      <w:tr>
        <w:trPr>
          <w:trHeight w:val="157" w:hRule="exact"/>
        </w:trPr>
        <w:tc>
          <w:tcPr>
            <w:tcW w:w="1334" w:type="dxa"/>
            <w:tcBorders>
              <w:top w:val="nil" w:sz="6" w:space="0" w:color="auto"/>
              <w:left w:val="single" w:sz="4" w:space="0" w:color="000000"/>
              <w:bottom w:val="nil" w:sz="6" w:space="0" w:color="auto"/>
              <w:right w:val="single" w:sz="4" w:space="0" w:color="000000"/>
            </w:tcBorders>
          </w:tcPr>
          <w:p>
            <w:pPr/>
          </w:p>
        </w:tc>
        <w:tc>
          <w:tcPr>
            <w:tcW w:w="908"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0"/>
              <w:jc w:val="left"/>
              <w:rPr>
                <w:rFonts w:ascii="宋体" w:hAnsi="宋体" w:cs="宋体" w:eastAsia="宋体" w:hint="default"/>
                <w:sz w:val="15"/>
                <w:szCs w:val="15"/>
              </w:rPr>
            </w:pPr>
            <w:r>
              <w:rPr>
                <w:rFonts w:ascii="宋体" w:hAnsi="宋体" w:cs="宋体" w:eastAsia="宋体" w:hint="default"/>
                <w:sz w:val="15"/>
                <w:szCs w:val="15"/>
              </w:rPr>
              <w:t>控制方控制</w:t>
            </w:r>
          </w:p>
        </w:tc>
        <w:tc>
          <w:tcPr>
            <w:tcW w:w="726" w:type="dxa"/>
            <w:tcBorders>
              <w:top w:val="nil" w:sz="6" w:space="0" w:color="auto"/>
              <w:left w:val="single" w:sz="4" w:space="0" w:color="000000"/>
              <w:bottom w:val="nil" w:sz="6" w:space="0" w:color="auto"/>
              <w:right w:val="single" w:sz="4" w:space="0" w:color="000000"/>
            </w:tcBorders>
          </w:tcPr>
          <w:p>
            <w:pPr/>
          </w:p>
        </w:tc>
        <w:tc>
          <w:tcPr>
            <w:tcW w:w="788" w:type="dxa"/>
            <w:tcBorders>
              <w:top w:val="nil" w:sz="6" w:space="0" w:color="auto"/>
              <w:left w:val="single" w:sz="4" w:space="0" w:color="000000"/>
              <w:bottom w:val="nil" w:sz="6" w:space="0" w:color="auto"/>
              <w:right w:val="single" w:sz="4" w:space="0" w:color="000000"/>
            </w:tcBorders>
          </w:tcPr>
          <w:p>
            <w:pPr/>
          </w:p>
        </w:tc>
        <w:tc>
          <w:tcPr>
            <w:tcW w:w="846"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1"/>
              <w:jc w:val="center"/>
              <w:rPr>
                <w:rFonts w:ascii="宋体" w:hAnsi="宋体" w:cs="宋体" w:eastAsia="宋体" w:hint="default"/>
                <w:sz w:val="15"/>
                <w:szCs w:val="15"/>
              </w:rPr>
            </w:pPr>
            <w:r>
              <w:rPr>
                <w:rFonts w:ascii="宋体" w:hAnsi="宋体" w:cs="宋体" w:eastAsia="宋体" w:hint="default"/>
                <w:sz w:val="15"/>
                <w:szCs w:val="15"/>
              </w:rPr>
              <w:t>格</w:t>
            </w:r>
            <w:r>
              <w:rPr>
                <w:rFonts w:ascii="宋体" w:hAnsi="宋体" w:cs="宋体" w:eastAsia="宋体" w:hint="default"/>
                <w:spacing w:val="-64"/>
                <w:sz w:val="15"/>
                <w:szCs w:val="15"/>
              </w:rPr>
              <w:t>，</w:t>
            </w:r>
            <w:r>
              <w:rPr>
                <w:rFonts w:ascii="宋体" w:hAnsi="宋体" w:cs="宋体" w:eastAsia="宋体" w:hint="default"/>
                <w:sz w:val="15"/>
                <w:szCs w:val="15"/>
              </w:rPr>
              <w:t>协商确定</w:t>
            </w:r>
          </w:p>
        </w:tc>
        <w:tc>
          <w:tcPr>
            <w:tcW w:w="590"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1"/>
              <w:jc w:val="center"/>
              <w:rPr>
                <w:rFonts w:ascii="宋体" w:hAnsi="宋体" w:cs="宋体" w:eastAsia="宋体" w:hint="default"/>
                <w:sz w:val="15"/>
                <w:szCs w:val="15"/>
              </w:rPr>
            </w:pPr>
            <w:r>
              <w:rPr>
                <w:rFonts w:ascii="宋体" w:hAnsi="宋体" w:cs="宋体" w:eastAsia="宋体" w:hint="default"/>
                <w:sz w:val="15"/>
                <w:szCs w:val="15"/>
              </w:rPr>
              <w:t>场价格</w:t>
            </w:r>
          </w:p>
        </w:tc>
        <w:tc>
          <w:tcPr>
            <w:tcW w:w="726" w:type="dxa"/>
            <w:tcBorders>
              <w:top w:val="nil" w:sz="6" w:space="0" w:color="auto"/>
              <w:left w:val="single" w:sz="4" w:space="0" w:color="000000"/>
              <w:bottom w:val="nil" w:sz="6" w:space="0" w:color="auto"/>
              <w:right w:val="single" w:sz="4" w:space="0" w:color="000000"/>
            </w:tcBorders>
          </w:tcPr>
          <w:p>
            <w:pPr/>
          </w:p>
        </w:tc>
        <w:tc>
          <w:tcPr>
            <w:tcW w:w="908" w:type="dxa"/>
            <w:tcBorders>
              <w:top w:val="nil" w:sz="6" w:space="0" w:color="auto"/>
              <w:left w:val="single" w:sz="4" w:space="0" w:color="000000"/>
              <w:bottom w:val="nil" w:sz="6" w:space="0" w:color="auto"/>
              <w:right w:val="single" w:sz="4" w:space="0" w:color="000000"/>
            </w:tcBorders>
          </w:tcPr>
          <w:p>
            <w:pPr/>
          </w:p>
        </w:tc>
        <w:tc>
          <w:tcPr>
            <w:tcW w:w="806" w:type="dxa"/>
            <w:tcBorders>
              <w:top w:val="nil" w:sz="6" w:space="0" w:color="auto"/>
              <w:left w:val="single" w:sz="4" w:space="0" w:color="000000"/>
              <w:bottom w:val="nil" w:sz="6" w:space="0" w:color="auto"/>
              <w:right w:val="single" w:sz="4" w:space="0" w:color="000000"/>
            </w:tcBorders>
          </w:tcPr>
          <w:p>
            <w:pPr/>
          </w:p>
        </w:tc>
        <w:tc>
          <w:tcPr>
            <w:tcW w:w="574" w:type="dxa"/>
            <w:tcBorders>
              <w:top w:val="nil" w:sz="6" w:space="0" w:color="auto"/>
              <w:left w:val="single" w:sz="4" w:space="0" w:color="000000"/>
              <w:bottom w:val="nil" w:sz="6" w:space="0" w:color="auto"/>
              <w:right w:val="single" w:sz="4" w:space="0" w:color="000000"/>
            </w:tcBorders>
          </w:tcPr>
          <w:p>
            <w:pPr/>
          </w:p>
        </w:tc>
        <w:tc>
          <w:tcPr>
            <w:tcW w:w="720"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0"/>
              <w:jc w:val="left"/>
              <w:rPr>
                <w:rFonts w:ascii="宋体" w:hAnsi="宋体" w:cs="宋体" w:eastAsia="宋体" w:hint="default"/>
                <w:sz w:val="15"/>
                <w:szCs w:val="15"/>
              </w:rPr>
            </w:pPr>
            <w:r>
              <w:rPr>
                <w:rFonts w:ascii="宋体" w:hAnsi="宋体" w:cs="宋体" w:eastAsia="宋体" w:hint="default"/>
                <w:sz w:val="15"/>
                <w:szCs w:val="15"/>
              </w:rPr>
              <w:t>约定</w:t>
            </w:r>
          </w:p>
        </w:tc>
        <w:tc>
          <w:tcPr>
            <w:tcW w:w="886" w:type="dxa"/>
            <w:tcBorders>
              <w:top w:val="nil" w:sz="6" w:space="0" w:color="auto"/>
              <w:left w:val="single" w:sz="4" w:space="0" w:color="000000"/>
              <w:bottom w:val="nil" w:sz="6" w:space="0" w:color="auto"/>
              <w:right w:val="single" w:sz="4" w:space="0" w:color="000000"/>
            </w:tcBorders>
          </w:tcPr>
          <w:p>
            <w:pPr/>
          </w:p>
        </w:tc>
        <w:tc>
          <w:tcPr>
            <w:tcW w:w="866" w:type="dxa"/>
            <w:tcBorders>
              <w:top w:val="nil" w:sz="6" w:space="0" w:color="auto"/>
              <w:left w:val="single" w:sz="4" w:space="0" w:color="000000"/>
              <w:bottom w:val="nil" w:sz="6" w:space="0" w:color="auto"/>
              <w:right w:val="single" w:sz="4" w:space="0" w:color="000000"/>
            </w:tcBorders>
          </w:tcPr>
          <w:p>
            <w:pPr>
              <w:pStyle w:val="TableParagraph"/>
              <w:spacing w:line="161" w:lineRule="exact"/>
              <w:ind w:left="-1"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22 </w:t>
            </w:r>
            <w:r>
              <w:rPr>
                <w:rFonts w:ascii="宋体" w:hAnsi="宋体" w:cs="宋体" w:eastAsia="宋体" w:hint="default"/>
                <w:sz w:val="15"/>
                <w:szCs w:val="15"/>
              </w:rPr>
              <w:t>日</w:t>
            </w:r>
          </w:p>
        </w:tc>
        <w:tc>
          <w:tcPr>
            <w:tcW w:w="755"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0"/>
              <w:jc w:val="left"/>
              <w:rPr>
                <w:rFonts w:ascii="宋体" w:hAnsi="宋体" w:cs="宋体" w:eastAsia="宋体" w:hint="default"/>
                <w:sz w:val="15"/>
                <w:szCs w:val="15"/>
              </w:rPr>
            </w:pPr>
            <w:r>
              <w:rPr>
                <w:rFonts w:ascii="宋体" w:hAnsi="宋体" w:cs="宋体" w:eastAsia="宋体" w:hint="default"/>
                <w:sz w:val="15"/>
                <w:szCs w:val="15"/>
              </w:rPr>
              <w:t>公告</w:t>
            </w:r>
          </w:p>
        </w:tc>
      </w:tr>
      <w:tr>
        <w:trPr>
          <w:trHeight w:val="236" w:hRule="exact"/>
        </w:trPr>
        <w:tc>
          <w:tcPr>
            <w:tcW w:w="1334" w:type="dxa"/>
            <w:tcBorders>
              <w:top w:val="nil" w:sz="6" w:space="0" w:color="auto"/>
              <w:left w:val="single" w:sz="4" w:space="0" w:color="000000"/>
              <w:bottom w:val="single" w:sz="4" w:space="0" w:color="000000"/>
              <w:right w:val="single" w:sz="4" w:space="0" w:color="000000"/>
            </w:tcBorders>
          </w:tcPr>
          <w:p>
            <w:pPr>
              <w:pStyle w:val="TableParagraph"/>
              <w:spacing w:line="149" w:lineRule="exact"/>
              <w:ind w:left="-1" w:right="0"/>
              <w:jc w:val="left"/>
              <w:rPr>
                <w:rFonts w:ascii="宋体" w:hAnsi="宋体" w:cs="宋体" w:eastAsia="宋体" w:hint="default"/>
                <w:sz w:val="15"/>
                <w:szCs w:val="15"/>
              </w:rPr>
            </w:pPr>
            <w:r>
              <w:rPr>
                <w:rFonts w:ascii="宋体" w:hAnsi="宋体" w:cs="宋体" w:eastAsia="宋体" w:hint="default"/>
                <w:sz w:val="15"/>
                <w:szCs w:val="15"/>
              </w:rPr>
              <w:t>下属公司）</w:t>
            </w:r>
          </w:p>
        </w:tc>
        <w:tc>
          <w:tcPr>
            <w:tcW w:w="908" w:type="dxa"/>
            <w:tcBorders>
              <w:top w:val="nil" w:sz="6" w:space="0" w:color="auto"/>
              <w:left w:val="single" w:sz="4" w:space="0" w:color="000000"/>
              <w:bottom w:val="single" w:sz="4" w:space="0" w:color="000000"/>
              <w:right w:val="single" w:sz="4" w:space="0" w:color="000000"/>
            </w:tcBorders>
          </w:tcPr>
          <w:p>
            <w:pPr/>
          </w:p>
        </w:tc>
        <w:tc>
          <w:tcPr>
            <w:tcW w:w="726" w:type="dxa"/>
            <w:tcBorders>
              <w:top w:val="nil" w:sz="6" w:space="0" w:color="auto"/>
              <w:left w:val="single" w:sz="4" w:space="0" w:color="000000"/>
              <w:bottom w:val="single" w:sz="4" w:space="0" w:color="000000"/>
              <w:right w:val="single" w:sz="4" w:space="0" w:color="000000"/>
            </w:tcBorders>
          </w:tcPr>
          <w:p>
            <w:pPr/>
          </w:p>
        </w:tc>
        <w:tc>
          <w:tcPr>
            <w:tcW w:w="788" w:type="dxa"/>
            <w:tcBorders>
              <w:top w:val="nil" w:sz="6" w:space="0" w:color="auto"/>
              <w:left w:val="single" w:sz="4" w:space="0" w:color="000000"/>
              <w:bottom w:val="single" w:sz="4" w:space="0" w:color="000000"/>
              <w:right w:val="single" w:sz="4" w:space="0" w:color="000000"/>
            </w:tcBorders>
          </w:tcPr>
          <w:p>
            <w:pPr>
              <w:pStyle w:val="TableParagraph"/>
              <w:spacing w:line="149" w:lineRule="exact"/>
              <w:ind w:right="0"/>
              <w:jc w:val="left"/>
              <w:rPr>
                <w:rFonts w:ascii="宋体" w:hAnsi="宋体" w:cs="宋体" w:eastAsia="宋体" w:hint="default"/>
                <w:sz w:val="15"/>
                <w:szCs w:val="15"/>
              </w:rPr>
            </w:pPr>
            <w:r>
              <w:rPr>
                <w:rFonts w:ascii="宋体" w:hAnsi="宋体" w:cs="宋体" w:eastAsia="宋体" w:hint="default"/>
                <w:sz w:val="15"/>
                <w:szCs w:val="15"/>
              </w:rPr>
              <w:t>产品</w:t>
            </w:r>
          </w:p>
        </w:tc>
        <w:tc>
          <w:tcPr>
            <w:tcW w:w="846" w:type="dxa"/>
            <w:tcBorders>
              <w:top w:val="nil" w:sz="6" w:space="0" w:color="auto"/>
              <w:left w:val="single" w:sz="4" w:space="0" w:color="000000"/>
              <w:bottom w:val="single" w:sz="4" w:space="0" w:color="000000"/>
              <w:right w:val="single" w:sz="4" w:space="0" w:color="000000"/>
            </w:tcBorders>
          </w:tcPr>
          <w:p>
            <w:pPr/>
          </w:p>
        </w:tc>
        <w:tc>
          <w:tcPr>
            <w:tcW w:w="590" w:type="dxa"/>
            <w:tcBorders>
              <w:top w:val="nil" w:sz="6" w:space="0" w:color="auto"/>
              <w:left w:val="single" w:sz="4" w:space="0" w:color="000000"/>
              <w:bottom w:val="single" w:sz="4" w:space="0" w:color="000000"/>
              <w:right w:val="single" w:sz="4" w:space="0" w:color="000000"/>
            </w:tcBorders>
          </w:tcPr>
          <w:p>
            <w:pPr/>
          </w:p>
        </w:tc>
        <w:tc>
          <w:tcPr>
            <w:tcW w:w="726" w:type="dxa"/>
            <w:tcBorders>
              <w:top w:val="nil" w:sz="6" w:space="0" w:color="auto"/>
              <w:left w:val="single" w:sz="4" w:space="0" w:color="000000"/>
              <w:bottom w:val="single" w:sz="4" w:space="0" w:color="000000"/>
              <w:right w:val="single" w:sz="4" w:space="0" w:color="000000"/>
            </w:tcBorders>
          </w:tcPr>
          <w:p>
            <w:pPr/>
          </w:p>
        </w:tc>
        <w:tc>
          <w:tcPr>
            <w:tcW w:w="908" w:type="dxa"/>
            <w:tcBorders>
              <w:top w:val="nil" w:sz="6" w:space="0" w:color="auto"/>
              <w:left w:val="single" w:sz="4" w:space="0" w:color="000000"/>
              <w:bottom w:val="single" w:sz="4" w:space="0" w:color="000000"/>
              <w:right w:val="single" w:sz="4" w:space="0" w:color="000000"/>
            </w:tcBorders>
          </w:tcPr>
          <w:p>
            <w:pPr/>
          </w:p>
        </w:tc>
        <w:tc>
          <w:tcPr>
            <w:tcW w:w="806" w:type="dxa"/>
            <w:tcBorders>
              <w:top w:val="nil" w:sz="6" w:space="0" w:color="auto"/>
              <w:left w:val="single" w:sz="4" w:space="0" w:color="000000"/>
              <w:bottom w:val="single" w:sz="4" w:space="0" w:color="000000"/>
              <w:right w:val="single" w:sz="4" w:space="0" w:color="000000"/>
            </w:tcBorders>
          </w:tcPr>
          <w:p>
            <w:pPr/>
          </w:p>
        </w:tc>
        <w:tc>
          <w:tcPr>
            <w:tcW w:w="574" w:type="dxa"/>
            <w:tcBorders>
              <w:top w:val="nil" w:sz="6" w:space="0" w:color="auto"/>
              <w:left w:val="single" w:sz="4" w:space="0" w:color="000000"/>
              <w:bottom w:val="single" w:sz="4" w:space="0" w:color="000000"/>
              <w:right w:val="single" w:sz="4" w:space="0" w:color="000000"/>
            </w:tcBorders>
          </w:tcPr>
          <w:p>
            <w:pPr/>
          </w:p>
        </w:tc>
        <w:tc>
          <w:tcPr>
            <w:tcW w:w="720" w:type="dxa"/>
            <w:tcBorders>
              <w:top w:val="nil" w:sz="6" w:space="0" w:color="auto"/>
              <w:left w:val="single" w:sz="4" w:space="0" w:color="000000"/>
              <w:bottom w:val="single" w:sz="4" w:space="0" w:color="000000"/>
              <w:right w:val="single" w:sz="4" w:space="0" w:color="000000"/>
            </w:tcBorders>
          </w:tcPr>
          <w:p>
            <w:pPr/>
          </w:p>
        </w:tc>
        <w:tc>
          <w:tcPr>
            <w:tcW w:w="886" w:type="dxa"/>
            <w:tcBorders>
              <w:top w:val="nil" w:sz="6" w:space="0" w:color="auto"/>
              <w:left w:val="single" w:sz="4" w:space="0" w:color="000000"/>
              <w:bottom w:val="single" w:sz="4" w:space="0" w:color="000000"/>
              <w:right w:val="single" w:sz="4" w:space="0" w:color="000000"/>
            </w:tcBorders>
          </w:tcPr>
          <w:p>
            <w:pPr/>
          </w:p>
        </w:tc>
        <w:tc>
          <w:tcPr>
            <w:tcW w:w="866" w:type="dxa"/>
            <w:tcBorders>
              <w:top w:val="nil" w:sz="6" w:space="0" w:color="auto"/>
              <w:left w:val="single" w:sz="4" w:space="0" w:color="000000"/>
              <w:bottom w:val="single" w:sz="4" w:space="0" w:color="000000"/>
              <w:right w:val="single" w:sz="4" w:space="0" w:color="000000"/>
            </w:tcBorders>
          </w:tcPr>
          <w:p>
            <w:pPr/>
          </w:p>
        </w:tc>
        <w:tc>
          <w:tcPr>
            <w:tcW w:w="755" w:type="dxa"/>
            <w:tcBorders>
              <w:top w:val="nil" w:sz="6" w:space="0" w:color="auto"/>
              <w:left w:val="single" w:sz="4" w:space="0" w:color="000000"/>
              <w:bottom w:val="single" w:sz="4" w:space="0" w:color="000000"/>
              <w:right w:val="single" w:sz="4" w:space="0" w:color="000000"/>
            </w:tcBorders>
          </w:tcPr>
          <w:p>
            <w:pPr/>
          </w:p>
        </w:tc>
      </w:tr>
      <w:tr>
        <w:trPr>
          <w:trHeight w:val="238" w:hRule="exact"/>
        </w:trPr>
        <w:tc>
          <w:tcPr>
            <w:tcW w:w="1334" w:type="dxa"/>
            <w:tcBorders>
              <w:top w:val="single" w:sz="4" w:space="0" w:color="000000"/>
              <w:left w:val="single" w:sz="4" w:space="0" w:color="000000"/>
              <w:bottom w:val="nil" w:sz="6" w:space="0" w:color="auto"/>
              <w:right w:val="single" w:sz="4" w:space="0" w:color="000000"/>
            </w:tcBorders>
          </w:tcPr>
          <w:p>
            <w:pPr/>
          </w:p>
        </w:tc>
        <w:tc>
          <w:tcPr>
            <w:tcW w:w="908" w:type="dxa"/>
            <w:tcBorders>
              <w:top w:val="single" w:sz="4" w:space="0" w:color="000000"/>
              <w:left w:val="single" w:sz="4" w:space="0" w:color="000000"/>
              <w:bottom w:val="nil" w:sz="6" w:space="0" w:color="auto"/>
              <w:right w:val="single" w:sz="4" w:space="0" w:color="000000"/>
            </w:tcBorders>
          </w:tcPr>
          <w:p>
            <w:pPr/>
          </w:p>
        </w:tc>
        <w:tc>
          <w:tcPr>
            <w:tcW w:w="726" w:type="dxa"/>
            <w:tcBorders>
              <w:top w:val="single" w:sz="4" w:space="0" w:color="000000"/>
              <w:left w:val="single" w:sz="4" w:space="0" w:color="000000"/>
              <w:bottom w:val="nil" w:sz="6" w:space="0" w:color="auto"/>
              <w:right w:val="single" w:sz="4" w:space="0" w:color="000000"/>
            </w:tcBorders>
          </w:tcPr>
          <w:p>
            <w:pPr/>
          </w:p>
        </w:tc>
        <w:tc>
          <w:tcPr>
            <w:tcW w:w="78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3"/>
              <w:ind w:right="0"/>
              <w:jc w:val="left"/>
              <w:rPr>
                <w:rFonts w:ascii="宋体" w:hAnsi="宋体" w:cs="宋体" w:eastAsia="宋体" w:hint="default"/>
                <w:sz w:val="15"/>
                <w:szCs w:val="15"/>
              </w:rPr>
            </w:pPr>
            <w:r>
              <w:rPr>
                <w:rFonts w:ascii="宋体" w:hAnsi="宋体" w:cs="宋体" w:eastAsia="宋体" w:hint="default"/>
                <w:sz w:val="15"/>
                <w:szCs w:val="15"/>
              </w:rPr>
              <w:t>中电长城大</w:t>
            </w:r>
          </w:p>
        </w:tc>
        <w:tc>
          <w:tcPr>
            <w:tcW w:w="846" w:type="dxa"/>
            <w:tcBorders>
              <w:top w:val="single" w:sz="4" w:space="0" w:color="000000"/>
              <w:left w:val="single" w:sz="4" w:space="0" w:color="000000"/>
              <w:bottom w:val="nil" w:sz="6" w:space="0" w:color="auto"/>
              <w:right w:val="single" w:sz="4" w:space="0" w:color="000000"/>
            </w:tcBorders>
          </w:tcPr>
          <w:p>
            <w:pPr/>
          </w:p>
        </w:tc>
        <w:tc>
          <w:tcPr>
            <w:tcW w:w="590" w:type="dxa"/>
            <w:tcBorders>
              <w:top w:val="single" w:sz="4" w:space="0" w:color="000000"/>
              <w:left w:val="single" w:sz="4" w:space="0" w:color="000000"/>
              <w:bottom w:val="nil" w:sz="6" w:space="0" w:color="auto"/>
              <w:right w:val="single" w:sz="4" w:space="0" w:color="000000"/>
            </w:tcBorders>
          </w:tcPr>
          <w:p>
            <w:pPr/>
          </w:p>
        </w:tc>
        <w:tc>
          <w:tcPr>
            <w:tcW w:w="726" w:type="dxa"/>
            <w:tcBorders>
              <w:top w:val="single" w:sz="4" w:space="0" w:color="000000"/>
              <w:left w:val="single" w:sz="4" w:space="0" w:color="000000"/>
              <w:bottom w:val="nil" w:sz="6" w:space="0" w:color="auto"/>
              <w:right w:val="single" w:sz="4" w:space="0" w:color="000000"/>
            </w:tcBorders>
          </w:tcPr>
          <w:p>
            <w:pPr/>
          </w:p>
        </w:tc>
        <w:tc>
          <w:tcPr>
            <w:tcW w:w="908" w:type="dxa"/>
            <w:tcBorders>
              <w:top w:val="single" w:sz="4" w:space="0" w:color="000000"/>
              <w:left w:val="single" w:sz="4" w:space="0" w:color="000000"/>
              <w:bottom w:val="nil" w:sz="6" w:space="0" w:color="auto"/>
              <w:right w:val="single" w:sz="4" w:space="0" w:color="000000"/>
            </w:tcBorders>
          </w:tcPr>
          <w:p>
            <w:pPr/>
          </w:p>
        </w:tc>
        <w:tc>
          <w:tcPr>
            <w:tcW w:w="806" w:type="dxa"/>
            <w:tcBorders>
              <w:top w:val="single" w:sz="4" w:space="0" w:color="000000"/>
              <w:left w:val="single" w:sz="4" w:space="0" w:color="000000"/>
              <w:bottom w:val="nil" w:sz="6" w:space="0" w:color="auto"/>
              <w:right w:val="single" w:sz="4" w:space="0" w:color="000000"/>
            </w:tcBorders>
          </w:tcPr>
          <w:p>
            <w:pPr/>
          </w:p>
        </w:tc>
        <w:tc>
          <w:tcPr>
            <w:tcW w:w="574" w:type="dxa"/>
            <w:tcBorders>
              <w:top w:val="single" w:sz="4" w:space="0" w:color="000000"/>
              <w:left w:val="single" w:sz="4" w:space="0" w:color="000000"/>
              <w:bottom w:val="nil" w:sz="6" w:space="0" w:color="auto"/>
              <w:right w:val="single" w:sz="4" w:space="0" w:color="000000"/>
            </w:tcBorders>
          </w:tcPr>
          <w:p>
            <w:pPr/>
          </w:p>
        </w:tc>
        <w:tc>
          <w:tcPr>
            <w:tcW w:w="720" w:type="dxa"/>
            <w:tcBorders>
              <w:top w:val="single" w:sz="4" w:space="0" w:color="000000"/>
              <w:left w:val="single" w:sz="4" w:space="0" w:color="000000"/>
              <w:bottom w:val="nil" w:sz="6" w:space="0" w:color="auto"/>
              <w:right w:val="single" w:sz="4" w:space="0" w:color="000000"/>
            </w:tcBorders>
          </w:tcPr>
          <w:p>
            <w:pPr/>
          </w:p>
        </w:tc>
        <w:tc>
          <w:tcPr>
            <w:tcW w:w="886" w:type="dxa"/>
            <w:tcBorders>
              <w:top w:val="single" w:sz="4" w:space="0" w:color="000000"/>
              <w:left w:val="single" w:sz="4" w:space="0" w:color="000000"/>
              <w:bottom w:val="nil" w:sz="6" w:space="0" w:color="auto"/>
              <w:right w:val="single" w:sz="4" w:space="0" w:color="000000"/>
            </w:tcBorders>
          </w:tcPr>
          <w:p>
            <w:pPr/>
          </w:p>
        </w:tc>
        <w:tc>
          <w:tcPr>
            <w:tcW w:w="866" w:type="dxa"/>
            <w:tcBorders>
              <w:top w:val="single" w:sz="4" w:space="0" w:color="000000"/>
              <w:left w:val="single" w:sz="4" w:space="0" w:color="000000"/>
              <w:bottom w:val="nil" w:sz="6" w:space="0" w:color="auto"/>
              <w:right w:val="single" w:sz="4" w:space="0" w:color="000000"/>
            </w:tcBorders>
          </w:tcPr>
          <w:p>
            <w:pPr/>
          </w:p>
        </w:tc>
        <w:tc>
          <w:tcPr>
            <w:tcW w:w="755" w:type="dxa"/>
            <w:tcBorders>
              <w:top w:val="single" w:sz="4" w:space="0" w:color="000000"/>
              <w:left w:val="single" w:sz="4" w:space="0" w:color="000000"/>
              <w:bottom w:val="nil" w:sz="6" w:space="0" w:color="auto"/>
              <w:right w:val="single" w:sz="4" w:space="0" w:color="000000"/>
            </w:tcBorders>
          </w:tcPr>
          <w:p>
            <w:pPr/>
          </w:p>
        </w:tc>
      </w:tr>
      <w:tr>
        <w:trPr>
          <w:trHeight w:val="160" w:hRule="exact"/>
        </w:trPr>
        <w:tc>
          <w:tcPr>
            <w:tcW w:w="1334" w:type="dxa"/>
            <w:tcBorders>
              <w:top w:val="nil" w:sz="6" w:space="0" w:color="auto"/>
              <w:left w:val="single" w:sz="4" w:space="0" w:color="000000"/>
              <w:bottom w:val="nil" w:sz="6" w:space="0" w:color="auto"/>
              <w:right w:val="single" w:sz="4" w:space="0" w:color="000000"/>
            </w:tcBorders>
          </w:tcPr>
          <w:p>
            <w:pPr>
              <w:pStyle w:val="TableParagraph"/>
              <w:spacing w:line="153" w:lineRule="exact"/>
              <w:ind w:left="-1" w:right="0"/>
              <w:jc w:val="left"/>
              <w:rPr>
                <w:rFonts w:ascii="宋体" w:hAnsi="宋体" w:cs="宋体" w:eastAsia="宋体" w:hint="default"/>
                <w:sz w:val="15"/>
                <w:szCs w:val="15"/>
              </w:rPr>
            </w:pPr>
            <w:r>
              <w:rPr>
                <w:rFonts w:ascii="宋体" w:hAnsi="宋体" w:cs="宋体" w:eastAsia="宋体" w:hint="default"/>
                <w:sz w:val="15"/>
                <w:szCs w:val="15"/>
              </w:rPr>
              <w:t>中国电子系统技术</w:t>
            </w:r>
          </w:p>
        </w:tc>
        <w:tc>
          <w:tcPr>
            <w:tcW w:w="908" w:type="dxa"/>
            <w:tcBorders>
              <w:top w:val="nil" w:sz="6" w:space="0" w:color="auto"/>
              <w:left w:val="single" w:sz="4" w:space="0" w:color="000000"/>
              <w:bottom w:val="nil" w:sz="6" w:space="0" w:color="auto"/>
              <w:right w:val="single" w:sz="4" w:space="0" w:color="000000"/>
            </w:tcBorders>
          </w:tcPr>
          <w:p>
            <w:pPr>
              <w:pStyle w:val="TableParagraph"/>
              <w:spacing w:line="153" w:lineRule="exact"/>
              <w:ind w:left="1" w:right="0"/>
              <w:jc w:val="left"/>
              <w:rPr>
                <w:rFonts w:ascii="宋体" w:hAnsi="宋体" w:cs="宋体" w:eastAsia="宋体" w:hint="default"/>
                <w:sz w:val="15"/>
                <w:szCs w:val="15"/>
              </w:rPr>
            </w:pPr>
            <w:r>
              <w:rPr>
                <w:rFonts w:ascii="宋体" w:hAnsi="宋体" w:cs="宋体" w:eastAsia="宋体" w:hint="default"/>
                <w:sz w:val="15"/>
                <w:szCs w:val="15"/>
              </w:rPr>
              <w:t>受同一最终</w:t>
            </w:r>
          </w:p>
        </w:tc>
        <w:tc>
          <w:tcPr>
            <w:tcW w:w="726" w:type="dxa"/>
            <w:tcBorders>
              <w:top w:val="nil" w:sz="6" w:space="0" w:color="auto"/>
              <w:left w:val="single" w:sz="4" w:space="0" w:color="000000"/>
              <w:bottom w:val="nil" w:sz="6" w:space="0" w:color="auto"/>
              <w:right w:val="single" w:sz="4" w:space="0" w:color="000000"/>
            </w:tcBorders>
          </w:tcPr>
          <w:p>
            <w:pPr/>
          </w:p>
        </w:tc>
        <w:tc>
          <w:tcPr>
            <w:tcW w:w="788" w:type="dxa"/>
            <w:tcBorders>
              <w:top w:val="nil" w:sz="6" w:space="0" w:color="auto"/>
              <w:left w:val="single" w:sz="4" w:space="0" w:color="000000"/>
              <w:bottom w:val="nil" w:sz="6" w:space="0" w:color="auto"/>
              <w:right w:val="single" w:sz="4" w:space="0" w:color="000000"/>
            </w:tcBorders>
          </w:tcPr>
          <w:p>
            <w:pPr/>
          </w:p>
        </w:tc>
        <w:tc>
          <w:tcPr>
            <w:tcW w:w="846" w:type="dxa"/>
            <w:tcBorders>
              <w:top w:val="nil" w:sz="6" w:space="0" w:color="auto"/>
              <w:left w:val="single" w:sz="4" w:space="0" w:color="000000"/>
              <w:bottom w:val="nil" w:sz="6" w:space="0" w:color="auto"/>
              <w:right w:val="single" w:sz="4" w:space="0" w:color="000000"/>
            </w:tcBorders>
          </w:tcPr>
          <w:p>
            <w:pPr>
              <w:pStyle w:val="TableParagraph"/>
              <w:spacing w:line="153" w:lineRule="exact"/>
              <w:ind w:right="84"/>
              <w:jc w:val="center"/>
              <w:rPr>
                <w:rFonts w:ascii="宋体" w:hAnsi="宋体" w:cs="宋体" w:eastAsia="宋体" w:hint="default"/>
                <w:sz w:val="15"/>
                <w:szCs w:val="15"/>
              </w:rPr>
            </w:pPr>
            <w:r>
              <w:rPr>
                <w:rFonts w:ascii="宋体" w:hAnsi="宋体" w:cs="宋体" w:eastAsia="宋体" w:hint="default"/>
                <w:sz w:val="15"/>
                <w:szCs w:val="15"/>
              </w:rPr>
              <w:t>根据市场价</w:t>
            </w:r>
          </w:p>
        </w:tc>
        <w:tc>
          <w:tcPr>
            <w:tcW w:w="590" w:type="dxa"/>
            <w:tcBorders>
              <w:top w:val="nil" w:sz="6" w:space="0" w:color="auto"/>
              <w:left w:val="single" w:sz="4" w:space="0" w:color="000000"/>
              <w:bottom w:val="nil" w:sz="6" w:space="0" w:color="auto"/>
              <w:right w:val="single" w:sz="4" w:space="0" w:color="000000"/>
            </w:tcBorders>
          </w:tcPr>
          <w:p>
            <w:pPr>
              <w:pStyle w:val="TableParagraph"/>
              <w:spacing w:line="153" w:lineRule="exact"/>
              <w:ind w:right="1"/>
              <w:jc w:val="center"/>
              <w:rPr>
                <w:rFonts w:ascii="宋体" w:hAnsi="宋体" w:cs="宋体" w:eastAsia="宋体" w:hint="default"/>
                <w:sz w:val="15"/>
                <w:szCs w:val="15"/>
              </w:rPr>
            </w:pPr>
            <w:r>
              <w:rPr>
                <w:rFonts w:ascii="宋体" w:hAnsi="宋体" w:cs="宋体" w:eastAsia="宋体" w:hint="default"/>
                <w:sz w:val="15"/>
                <w:szCs w:val="15"/>
              </w:rPr>
              <w:t>公开招</w:t>
            </w:r>
          </w:p>
        </w:tc>
        <w:tc>
          <w:tcPr>
            <w:tcW w:w="726" w:type="dxa"/>
            <w:tcBorders>
              <w:top w:val="nil" w:sz="6" w:space="0" w:color="auto"/>
              <w:left w:val="single" w:sz="4" w:space="0" w:color="000000"/>
              <w:bottom w:val="nil" w:sz="6" w:space="0" w:color="auto"/>
              <w:right w:val="single" w:sz="4" w:space="0" w:color="000000"/>
            </w:tcBorders>
          </w:tcPr>
          <w:p>
            <w:pPr/>
          </w:p>
        </w:tc>
        <w:tc>
          <w:tcPr>
            <w:tcW w:w="908" w:type="dxa"/>
            <w:tcBorders>
              <w:top w:val="nil" w:sz="6" w:space="0" w:color="auto"/>
              <w:left w:val="single" w:sz="4" w:space="0" w:color="000000"/>
              <w:bottom w:val="nil" w:sz="6" w:space="0" w:color="auto"/>
              <w:right w:val="single" w:sz="4" w:space="0" w:color="000000"/>
            </w:tcBorders>
          </w:tcPr>
          <w:p>
            <w:pPr/>
          </w:p>
        </w:tc>
        <w:tc>
          <w:tcPr>
            <w:tcW w:w="806" w:type="dxa"/>
            <w:tcBorders>
              <w:top w:val="nil" w:sz="6" w:space="0" w:color="auto"/>
              <w:left w:val="single" w:sz="4" w:space="0" w:color="000000"/>
              <w:bottom w:val="nil" w:sz="6" w:space="0" w:color="auto"/>
              <w:right w:val="single" w:sz="4" w:space="0" w:color="000000"/>
            </w:tcBorders>
          </w:tcPr>
          <w:p>
            <w:pPr/>
          </w:p>
        </w:tc>
        <w:tc>
          <w:tcPr>
            <w:tcW w:w="574" w:type="dxa"/>
            <w:tcBorders>
              <w:top w:val="nil" w:sz="6" w:space="0" w:color="auto"/>
              <w:left w:val="single" w:sz="4" w:space="0" w:color="000000"/>
              <w:bottom w:val="nil" w:sz="6" w:space="0" w:color="auto"/>
              <w:right w:val="single" w:sz="4" w:space="0" w:color="000000"/>
            </w:tcBorders>
          </w:tcPr>
          <w:p>
            <w:pPr/>
          </w:p>
        </w:tc>
        <w:tc>
          <w:tcPr>
            <w:tcW w:w="720" w:type="dxa"/>
            <w:tcBorders>
              <w:top w:val="nil" w:sz="6" w:space="0" w:color="auto"/>
              <w:left w:val="single" w:sz="4" w:space="0" w:color="000000"/>
              <w:bottom w:val="nil" w:sz="6" w:space="0" w:color="auto"/>
              <w:right w:val="single" w:sz="4" w:space="0" w:color="000000"/>
            </w:tcBorders>
          </w:tcPr>
          <w:p>
            <w:pPr>
              <w:pStyle w:val="TableParagraph"/>
              <w:spacing w:line="153" w:lineRule="exact"/>
              <w:ind w:right="0"/>
              <w:jc w:val="left"/>
              <w:rPr>
                <w:rFonts w:ascii="宋体" w:hAnsi="宋体" w:cs="宋体" w:eastAsia="宋体" w:hint="default"/>
                <w:sz w:val="15"/>
                <w:szCs w:val="15"/>
              </w:rPr>
            </w:pPr>
            <w:r>
              <w:rPr>
                <w:rFonts w:ascii="宋体" w:hAnsi="宋体" w:cs="宋体" w:eastAsia="宋体" w:hint="default"/>
                <w:sz w:val="15"/>
                <w:szCs w:val="15"/>
              </w:rPr>
              <w:t>根据合同</w:t>
            </w:r>
          </w:p>
        </w:tc>
        <w:tc>
          <w:tcPr>
            <w:tcW w:w="886" w:type="dxa"/>
            <w:tcBorders>
              <w:top w:val="nil" w:sz="6" w:space="0" w:color="auto"/>
              <w:left w:val="single" w:sz="4" w:space="0" w:color="000000"/>
              <w:bottom w:val="nil" w:sz="6" w:space="0" w:color="auto"/>
              <w:right w:val="single" w:sz="4" w:space="0" w:color="000000"/>
            </w:tcBorders>
          </w:tcPr>
          <w:p>
            <w:pPr/>
          </w:p>
        </w:tc>
        <w:tc>
          <w:tcPr>
            <w:tcW w:w="866" w:type="dxa"/>
            <w:tcBorders>
              <w:top w:val="nil" w:sz="6" w:space="0" w:color="auto"/>
              <w:left w:val="single" w:sz="4" w:space="0" w:color="000000"/>
              <w:bottom w:val="nil" w:sz="6" w:space="0" w:color="auto"/>
              <w:right w:val="single" w:sz="4" w:space="0" w:color="000000"/>
            </w:tcBorders>
          </w:tcPr>
          <w:p>
            <w:pPr>
              <w:pStyle w:val="TableParagraph"/>
              <w:spacing w:line="164" w:lineRule="exact"/>
              <w:ind w:left="-1"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2018</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3</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月</w:t>
            </w:r>
          </w:p>
        </w:tc>
        <w:tc>
          <w:tcPr>
            <w:tcW w:w="755" w:type="dxa"/>
            <w:tcBorders>
              <w:top w:val="nil" w:sz="6" w:space="0" w:color="auto"/>
              <w:left w:val="single" w:sz="4" w:space="0" w:color="000000"/>
              <w:bottom w:val="nil" w:sz="6" w:space="0" w:color="auto"/>
              <w:right w:val="single" w:sz="4" w:space="0" w:color="000000"/>
            </w:tcBorders>
          </w:tcPr>
          <w:p>
            <w:pPr>
              <w:pStyle w:val="TableParagraph"/>
              <w:spacing w:line="164" w:lineRule="exact"/>
              <w:ind w:left="-1" w:right="-2"/>
              <w:jc w:val="left"/>
              <w:rPr>
                <w:rFonts w:ascii="宋体" w:hAnsi="宋体" w:cs="宋体" w:eastAsia="宋体" w:hint="default"/>
                <w:sz w:val="15"/>
                <w:szCs w:val="15"/>
              </w:rPr>
            </w:pPr>
            <w:r>
              <w:rPr>
                <w:rFonts w:ascii="Times New Roman" w:hAnsi="Times New Roman" w:cs="Times New Roman" w:eastAsia="Times New Roman" w:hint="default"/>
                <w:sz w:val="15"/>
                <w:szCs w:val="15"/>
              </w:rPr>
              <w:t>2018-034</w:t>
            </w:r>
            <w:r>
              <w:rPr>
                <w:rFonts w:ascii="Times New Roman" w:hAnsi="Times New Roman" w:cs="Times New Roman" w:eastAsia="Times New Roman" w:hint="default"/>
                <w:spacing w:val="-20"/>
                <w:sz w:val="15"/>
                <w:szCs w:val="15"/>
              </w:rPr>
              <w:t> </w:t>
            </w:r>
            <w:r>
              <w:rPr>
                <w:rFonts w:ascii="宋体" w:hAnsi="宋体" w:cs="宋体" w:eastAsia="宋体" w:hint="default"/>
                <w:sz w:val="15"/>
                <w:szCs w:val="15"/>
              </w:rPr>
              <w:t>号</w:t>
            </w:r>
          </w:p>
        </w:tc>
      </w:tr>
      <w:tr>
        <w:trPr>
          <w:trHeight w:val="155" w:hRule="exact"/>
        </w:trPr>
        <w:tc>
          <w:tcPr>
            <w:tcW w:w="1334" w:type="dxa"/>
            <w:tcBorders>
              <w:top w:val="nil" w:sz="6" w:space="0" w:color="auto"/>
              <w:left w:val="single" w:sz="4" w:space="0" w:color="000000"/>
              <w:bottom w:val="nil" w:sz="6" w:space="0" w:color="auto"/>
              <w:right w:val="single" w:sz="4" w:space="0" w:color="000000"/>
            </w:tcBorders>
          </w:tcPr>
          <w:p>
            <w:pPr/>
          </w:p>
        </w:tc>
        <w:tc>
          <w:tcPr>
            <w:tcW w:w="908" w:type="dxa"/>
            <w:tcBorders>
              <w:top w:val="nil" w:sz="6" w:space="0" w:color="auto"/>
              <w:left w:val="single" w:sz="4" w:space="0" w:color="000000"/>
              <w:bottom w:val="nil" w:sz="6" w:space="0" w:color="auto"/>
              <w:right w:val="single" w:sz="4" w:space="0" w:color="000000"/>
            </w:tcBorders>
          </w:tcPr>
          <w:p>
            <w:pPr/>
          </w:p>
        </w:tc>
        <w:tc>
          <w:tcPr>
            <w:tcW w:w="726"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1"/>
              <w:jc w:val="center"/>
              <w:rPr>
                <w:rFonts w:ascii="宋体" w:hAnsi="宋体" w:cs="宋体" w:eastAsia="宋体" w:hint="default"/>
                <w:sz w:val="15"/>
                <w:szCs w:val="15"/>
              </w:rPr>
            </w:pPr>
            <w:r>
              <w:rPr>
                <w:rFonts w:ascii="宋体" w:hAnsi="宋体" w:cs="宋体" w:eastAsia="宋体" w:hint="default"/>
                <w:sz w:val="15"/>
                <w:szCs w:val="15"/>
              </w:rPr>
              <w:t>接受劳务</w:t>
            </w:r>
          </w:p>
        </w:tc>
        <w:tc>
          <w:tcPr>
            <w:tcW w:w="788"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0"/>
              <w:jc w:val="left"/>
              <w:rPr>
                <w:rFonts w:ascii="宋体" w:hAnsi="宋体" w:cs="宋体" w:eastAsia="宋体" w:hint="default"/>
                <w:sz w:val="15"/>
                <w:szCs w:val="15"/>
              </w:rPr>
            </w:pPr>
            <w:r>
              <w:rPr>
                <w:rFonts w:ascii="宋体" w:hAnsi="宋体" w:cs="宋体" w:eastAsia="宋体" w:hint="default"/>
                <w:sz w:val="15"/>
                <w:szCs w:val="15"/>
              </w:rPr>
              <w:t>厦智能化工</w:t>
            </w:r>
          </w:p>
        </w:tc>
        <w:tc>
          <w:tcPr>
            <w:tcW w:w="846" w:type="dxa"/>
            <w:tcBorders>
              <w:top w:val="nil" w:sz="6" w:space="0" w:color="auto"/>
              <w:left w:val="single" w:sz="4" w:space="0" w:color="000000"/>
              <w:bottom w:val="nil" w:sz="6" w:space="0" w:color="auto"/>
              <w:right w:val="single" w:sz="4" w:space="0" w:color="000000"/>
            </w:tcBorders>
          </w:tcPr>
          <w:p>
            <w:pPr/>
          </w:p>
        </w:tc>
        <w:tc>
          <w:tcPr>
            <w:tcW w:w="590" w:type="dxa"/>
            <w:tcBorders>
              <w:top w:val="nil" w:sz="6" w:space="0" w:color="auto"/>
              <w:left w:val="single" w:sz="4" w:space="0" w:color="000000"/>
              <w:bottom w:val="nil" w:sz="6" w:space="0" w:color="auto"/>
              <w:right w:val="single" w:sz="4" w:space="0" w:color="000000"/>
            </w:tcBorders>
          </w:tcPr>
          <w:p>
            <w:pPr/>
          </w:p>
        </w:tc>
        <w:tc>
          <w:tcPr>
            <w:tcW w:w="726" w:type="dxa"/>
            <w:tcBorders>
              <w:top w:val="nil" w:sz="6" w:space="0" w:color="auto"/>
              <w:left w:val="single" w:sz="4" w:space="0" w:color="000000"/>
              <w:bottom w:val="nil" w:sz="6" w:space="0" w:color="auto"/>
              <w:right w:val="single" w:sz="4" w:space="0" w:color="000000"/>
            </w:tcBorders>
          </w:tcPr>
          <w:p>
            <w:pPr>
              <w:pStyle w:val="TableParagraph"/>
              <w:spacing w:line="159" w:lineRule="exact"/>
              <w:ind w:right="-1"/>
              <w:jc w:val="right"/>
              <w:rPr>
                <w:rFonts w:ascii="Times New Roman" w:hAnsi="Times New Roman" w:cs="Times New Roman" w:eastAsia="Times New Roman" w:hint="default"/>
                <w:sz w:val="15"/>
                <w:szCs w:val="15"/>
              </w:rPr>
            </w:pPr>
            <w:r>
              <w:rPr>
                <w:rFonts w:ascii="Times New Roman"/>
                <w:spacing w:val="-1"/>
                <w:sz w:val="15"/>
              </w:rPr>
              <w:t>1,967.40</w:t>
            </w:r>
          </w:p>
        </w:tc>
        <w:tc>
          <w:tcPr>
            <w:tcW w:w="908" w:type="dxa"/>
            <w:tcBorders>
              <w:top w:val="nil" w:sz="6" w:space="0" w:color="auto"/>
              <w:left w:val="single" w:sz="4" w:space="0" w:color="000000"/>
              <w:bottom w:val="nil" w:sz="6" w:space="0" w:color="auto"/>
              <w:right w:val="single" w:sz="4" w:space="0" w:color="000000"/>
            </w:tcBorders>
          </w:tcPr>
          <w:p>
            <w:pPr>
              <w:pStyle w:val="TableParagraph"/>
              <w:spacing w:line="159" w:lineRule="exact"/>
              <w:ind w:right="0"/>
              <w:jc w:val="center"/>
              <w:rPr>
                <w:rFonts w:ascii="Times New Roman" w:hAnsi="Times New Roman" w:cs="Times New Roman" w:eastAsia="Times New Roman" w:hint="default"/>
                <w:sz w:val="15"/>
                <w:szCs w:val="15"/>
              </w:rPr>
            </w:pPr>
            <w:r>
              <w:rPr>
                <w:rFonts w:ascii="Times New Roman"/>
                <w:sz w:val="15"/>
              </w:rPr>
              <w:t>0.25%</w:t>
            </w:r>
          </w:p>
        </w:tc>
        <w:tc>
          <w:tcPr>
            <w:tcW w:w="806" w:type="dxa"/>
            <w:tcBorders>
              <w:top w:val="nil" w:sz="6" w:space="0" w:color="auto"/>
              <w:left w:val="single" w:sz="4" w:space="0" w:color="000000"/>
              <w:bottom w:val="nil" w:sz="6" w:space="0" w:color="auto"/>
              <w:right w:val="single" w:sz="4" w:space="0" w:color="000000"/>
            </w:tcBorders>
          </w:tcPr>
          <w:p>
            <w:pPr>
              <w:pStyle w:val="TableParagraph"/>
              <w:spacing w:line="159" w:lineRule="exact"/>
              <w:ind w:right="-1"/>
              <w:jc w:val="right"/>
              <w:rPr>
                <w:rFonts w:ascii="Times New Roman" w:hAnsi="Times New Roman" w:cs="Times New Roman" w:eastAsia="Times New Roman" w:hint="default"/>
                <w:sz w:val="15"/>
                <w:szCs w:val="15"/>
              </w:rPr>
            </w:pPr>
            <w:r>
              <w:rPr>
                <w:rFonts w:ascii="Times New Roman"/>
                <w:spacing w:val="-1"/>
                <w:sz w:val="15"/>
              </w:rPr>
              <w:t>3,696.94</w:t>
            </w:r>
          </w:p>
        </w:tc>
        <w:tc>
          <w:tcPr>
            <w:tcW w:w="574"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0"/>
              <w:jc w:val="center"/>
              <w:rPr>
                <w:rFonts w:ascii="宋体" w:hAnsi="宋体" w:cs="宋体" w:eastAsia="宋体" w:hint="default"/>
                <w:sz w:val="15"/>
                <w:szCs w:val="15"/>
              </w:rPr>
            </w:pPr>
            <w:r>
              <w:rPr>
                <w:rFonts w:ascii="宋体" w:hAnsi="宋体" w:cs="宋体" w:eastAsia="宋体" w:hint="default"/>
                <w:sz w:val="15"/>
                <w:szCs w:val="15"/>
              </w:rPr>
              <w:t>否</w:t>
            </w:r>
          </w:p>
        </w:tc>
        <w:tc>
          <w:tcPr>
            <w:tcW w:w="720" w:type="dxa"/>
            <w:tcBorders>
              <w:top w:val="nil" w:sz="6" w:space="0" w:color="auto"/>
              <w:left w:val="single" w:sz="4" w:space="0" w:color="000000"/>
              <w:bottom w:val="nil" w:sz="6" w:space="0" w:color="auto"/>
              <w:right w:val="single" w:sz="4" w:space="0" w:color="000000"/>
            </w:tcBorders>
          </w:tcPr>
          <w:p>
            <w:pPr/>
          </w:p>
        </w:tc>
        <w:tc>
          <w:tcPr>
            <w:tcW w:w="886"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38" w:right="0"/>
              <w:jc w:val="left"/>
              <w:rPr>
                <w:rFonts w:ascii="宋体" w:hAnsi="宋体" w:cs="宋体" w:eastAsia="宋体" w:hint="default"/>
                <w:sz w:val="15"/>
                <w:szCs w:val="15"/>
              </w:rPr>
            </w:pPr>
            <w:r>
              <w:rPr>
                <w:rFonts w:ascii="宋体" w:hAnsi="宋体" w:cs="宋体" w:eastAsia="宋体" w:hint="default"/>
                <w:sz w:val="15"/>
                <w:szCs w:val="15"/>
              </w:rPr>
              <w:t>市场价格</w:t>
            </w:r>
          </w:p>
        </w:tc>
        <w:tc>
          <w:tcPr>
            <w:tcW w:w="866" w:type="dxa"/>
            <w:tcBorders>
              <w:top w:val="nil" w:sz="6" w:space="0" w:color="auto"/>
              <w:left w:val="single" w:sz="4" w:space="0" w:color="000000"/>
              <w:bottom w:val="nil" w:sz="6" w:space="0" w:color="auto"/>
              <w:right w:val="single" w:sz="4" w:space="0" w:color="000000"/>
            </w:tcBorders>
          </w:tcPr>
          <w:p>
            <w:pPr/>
          </w:p>
        </w:tc>
        <w:tc>
          <w:tcPr>
            <w:tcW w:w="755" w:type="dxa"/>
            <w:tcBorders>
              <w:top w:val="nil" w:sz="6" w:space="0" w:color="auto"/>
              <w:left w:val="single" w:sz="4" w:space="0" w:color="000000"/>
              <w:bottom w:val="nil" w:sz="6" w:space="0" w:color="auto"/>
              <w:right w:val="single" w:sz="4" w:space="0" w:color="000000"/>
            </w:tcBorders>
          </w:tcPr>
          <w:p>
            <w:pPr/>
          </w:p>
        </w:tc>
      </w:tr>
      <w:tr>
        <w:trPr>
          <w:trHeight w:val="157" w:hRule="exact"/>
        </w:trPr>
        <w:tc>
          <w:tcPr>
            <w:tcW w:w="1334"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0"/>
              <w:jc w:val="left"/>
              <w:rPr>
                <w:rFonts w:ascii="宋体" w:hAnsi="宋体" w:cs="宋体" w:eastAsia="宋体" w:hint="default"/>
                <w:sz w:val="15"/>
                <w:szCs w:val="15"/>
              </w:rPr>
            </w:pPr>
            <w:r>
              <w:rPr>
                <w:rFonts w:ascii="宋体" w:hAnsi="宋体" w:cs="宋体" w:eastAsia="宋体" w:hint="default"/>
                <w:sz w:val="15"/>
                <w:szCs w:val="15"/>
              </w:rPr>
              <w:t>有限公司</w:t>
            </w:r>
          </w:p>
        </w:tc>
        <w:tc>
          <w:tcPr>
            <w:tcW w:w="908"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0"/>
              <w:jc w:val="left"/>
              <w:rPr>
                <w:rFonts w:ascii="宋体" w:hAnsi="宋体" w:cs="宋体" w:eastAsia="宋体" w:hint="default"/>
                <w:sz w:val="15"/>
                <w:szCs w:val="15"/>
              </w:rPr>
            </w:pPr>
            <w:r>
              <w:rPr>
                <w:rFonts w:ascii="宋体" w:hAnsi="宋体" w:cs="宋体" w:eastAsia="宋体" w:hint="default"/>
                <w:sz w:val="15"/>
                <w:szCs w:val="15"/>
              </w:rPr>
              <w:t>控制方控制</w:t>
            </w:r>
          </w:p>
        </w:tc>
        <w:tc>
          <w:tcPr>
            <w:tcW w:w="726" w:type="dxa"/>
            <w:tcBorders>
              <w:top w:val="nil" w:sz="6" w:space="0" w:color="auto"/>
              <w:left w:val="single" w:sz="4" w:space="0" w:color="000000"/>
              <w:bottom w:val="nil" w:sz="6" w:space="0" w:color="auto"/>
              <w:right w:val="single" w:sz="4" w:space="0" w:color="000000"/>
            </w:tcBorders>
          </w:tcPr>
          <w:p>
            <w:pPr/>
          </w:p>
        </w:tc>
        <w:tc>
          <w:tcPr>
            <w:tcW w:w="788" w:type="dxa"/>
            <w:tcBorders>
              <w:top w:val="nil" w:sz="6" w:space="0" w:color="auto"/>
              <w:left w:val="single" w:sz="4" w:space="0" w:color="000000"/>
              <w:bottom w:val="nil" w:sz="6" w:space="0" w:color="auto"/>
              <w:right w:val="single" w:sz="4" w:space="0" w:color="000000"/>
            </w:tcBorders>
          </w:tcPr>
          <w:p>
            <w:pPr/>
          </w:p>
        </w:tc>
        <w:tc>
          <w:tcPr>
            <w:tcW w:w="846"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1"/>
              <w:jc w:val="center"/>
              <w:rPr>
                <w:rFonts w:ascii="宋体" w:hAnsi="宋体" w:cs="宋体" w:eastAsia="宋体" w:hint="default"/>
                <w:sz w:val="15"/>
                <w:szCs w:val="15"/>
              </w:rPr>
            </w:pPr>
            <w:r>
              <w:rPr>
                <w:rFonts w:ascii="宋体" w:hAnsi="宋体" w:cs="宋体" w:eastAsia="宋体" w:hint="default"/>
                <w:sz w:val="15"/>
                <w:szCs w:val="15"/>
              </w:rPr>
              <w:t>格</w:t>
            </w:r>
            <w:r>
              <w:rPr>
                <w:rFonts w:ascii="宋体" w:hAnsi="宋体" w:cs="宋体" w:eastAsia="宋体" w:hint="default"/>
                <w:spacing w:val="-64"/>
                <w:sz w:val="15"/>
                <w:szCs w:val="15"/>
              </w:rPr>
              <w:t>，</w:t>
            </w:r>
            <w:r>
              <w:rPr>
                <w:rFonts w:ascii="宋体" w:hAnsi="宋体" w:cs="宋体" w:eastAsia="宋体" w:hint="default"/>
                <w:sz w:val="15"/>
                <w:szCs w:val="15"/>
              </w:rPr>
              <w:t>协商确定</w:t>
            </w:r>
          </w:p>
        </w:tc>
        <w:tc>
          <w:tcPr>
            <w:tcW w:w="590"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1"/>
              <w:jc w:val="center"/>
              <w:rPr>
                <w:rFonts w:ascii="宋体" w:hAnsi="宋体" w:cs="宋体" w:eastAsia="宋体" w:hint="default"/>
                <w:sz w:val="15"/>
                <w:szCs w:val="15"/>
              </w:rPr>
            </w:pPr>
            <w:r>
              <w:rPr>
                <w:rFonts w:ascii="宋体" w:hAnsi="宋体" w:cs="宋体" w:eastAsia="宋体" w:hint="default"/>
                <w:sz w:val="15"/>
                <w:szCs w:val="15"/>
              </w:rPr>
              <w:t>标</w:t>
            </w:r>
          </w:p>
        </w:tc>
        <w:tc>
          <w:tcPr>
            <w:tcW w:w="726" w:type="dxa"/>
            <w:tcBorders>
              <w:top w:val="nil" w:sz="6" w:space="0" w:color="auto"/>
              <w:left w:val="single" w:sz="4" w:space="0" w:color="000000"/>
              <w:bottom w:val="nil" w:sz="6" w:space="0" w:color="auto"/>
              <w:right w:val="single" w:sz="4" w:space="0" w:color="000000"/>
            </w:tcBorders>
          </w:tcPr>
          <w:p>
            <w:pPr/>
          </w:p>
        </w:tc>
        <w:tc>
          <w:tcPr>
            <w:tcW w:w="908" w:type="dxa"/>
            <w:tcBorders>
              <w:top w:val="nil" w:sz="6" w:space="0" w:color="auto"/>
              <w:left w:val="single" w:sz="4" w:space="0" w:color="000000"/>
              <w:bottom w:val="nil" w:sz="6" w:space="0" w:color="auto"/>
              <w:right w:val="single" w:sz="4" w:space="0" w:color="000000"/>
            </w:tcBorders>
          </w:tcPr>
          <w:p>
            <w:pPr/>
          </w:p>
        </w:tc>
        <w:tc>
          <w:tcPr>
            <w:tcW w:w="806" w:type="dxa"/>
            <w:tcBorders>
              <w:top w:val="nil" w:sz="6" w:space="0" w:color="auto"/>
              <w:left w:val="single" w:sz="4" w:space="0" w:color="000000"/>
              <w:bottom w:val="nil" w:sz="6" w:space="0" w:color="auto"/>
              <w:right w:val="single" w:sz="4" w:space="0" w:color="000000"/>
            </w:tcBorders>
          </w:tcPr>
          <w:p>
            <w:pPr/>
          </w:p>
        </w:tc>
        <w:tc>
          <w:tcPr>
            <w:tcW w:w="574" w:type="dxa"/>
            <w:tcBorders>
              <w:top w:val="nil" w:sz="6" w:space="0" w:color="auto"/>
              <w:left w:val="single" w:sz="4" w:space="0" w:color="000000"/>
              <w:bottom w:val="nil" w:sz="6" w:space="0" w:color="auto"/>
              <w:right w:val="single" w:sz="4" w:space="0" w:color="000000"/>
            </w:tcBorders>
          </w:tcPr>
          <w:p>
            <w:pPr/>
          </w:p>
        </w:tc>
        <w:tc>
          <w:tcPr>
            <w:tcW w:w="720"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0"/>
              <w:jc w:val="left"/>
              <w:rPr>
                <w:rFonts w:ascii="宋体" w:hAnsi="宋体" w:cs="宋体" w:eastAsia="宋体" w:hint="default"/>
                <w:sz w:val="15"/>
                <w:szCs w:val="15"/>
              </w:rPr>
            </w:pPr>
            <w:r>
              <w:rPr>
                <w:rFonts w:ascii="宋体" w:hAnsi="宋体" w:cs="宋体" w:eastAsia="宋体" w:hint="default"/>
                <w:sz w:val="15"/>
                <w:szCs w:val="15"/>
              </w:rPr>
              <w:t>约定</w:t>
            </w:r>
          </w:p>
        </w:tc>
        <w:tc>
          <w:tcPr>
            <w:tcW w:w="886" w:type="dxa"/>
            <w:tcBorders>
              <w:top w:val="nil" w:sz="6" w:space="0" w:color="auto"/>
              <w:left w:val="single" w:sz="4" w:space="0" w:color="000000"/>
              <w:bottom w:val="nil" w:sz="6" w:space="0" w:color="auto"/>
              <w:right w:val="single" w:sz="4" w:space="0" w:color="000000"/>
            </w:tcBorders>
          </w:tcPr>
          <w:p>
            <w:pPr/>
          </w:p>
        </w:tc>
        <w:tc>
          <w:tcPr>
            <w:tcW w:w="866" w:type="dxa"/>
            <w:tcBorders>
              <w:top w:val="nil" w:sz="6" w:space="0" w:color="auto"/>
              <w:left w:val="single" w:sz="4" w:space="0" w:color="000000"/>
              <w:bottom w:val="nil" w:sz="6" w:space="0" w:color="auto"/>
              <w:right w:val="single" w:sz="4" w:space="0" w:color="000000"/>
            </w:tcBorders>
          </w:tcPr>
          <w:p>
            <w:pPr>
              <w:pStyle w:val="TableParagraph"/>
              <w:spacing w:line="161" w:lineRule="exact"/>
              <w:ind w:left="-1"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22 </w:t>
            </w:r>
            <w:r>
              <w:rPr>
                <w:rFonts w:ascii="宋体" w:hAnsi="宋体" w:cs="宋体" w:eastAsia="宋体" w:hint="default"/>
                <w:sz w:val="15"/>
                <w:szCs w:val="15"/>
              </w:rPr>
              <w:t>日</w:t>
            </w:r>
          </w:p>
        </w:tc>
        <w:tc>
          <w:tcPr>
            <w:tcW w:w="755"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0"/>
              <w:jc w:val="left"/>
              <w:rPr>
                <w:rFonts w:ascii="宋体" w:hAnsi="宋体" w:cs="宋体" w:eastAsia="宋体" w:hint="default"/>
                <w:sz w:val="15"/>
                <w:szCs w:val="15"/>
              </w:rPr>
            </w:pPr>
            <w:r>
              <w:rPr>
                <w:rFonts w:ascii="宋体" w:hAnsi="宋体" w:cs="宋体" w:eastAsia="宋体" w:hint="default"/>
                <w:sz w:val="15"/>
                <w:szCs w:val="15"/>
              </w:rPr>
              <w:t>公告</w:t>
            </w:r>
          </w:p>
        </w:tc>
      </w:tr>
      <w:tr>
        <w:trPr>
          <w:trHeight w:val="236" w:hRule="exact"/>
        </w:trPr>
        <w:tc>
          <w:tcPr>
            <w:tcW w:w="1334" w:type="dxa"/>
            <w:tcBorders>
              <w:top w:val="nil" w:sz="6" w:space="0" w:color="auto"/>
              <w:left w:val="single" w:sz="4" w:space="0" w:color="000000"/>
              <w:bottom w:val="single" w:sz="4" w:space="0" w:color="000000"/>
              <w:right w:val="single" w:sz="4" w:space="0" w:color="000000"/>
            </w:tcBorders>
          </w:tcPr>
          <w:p>
            <w:pPr/>
          </w:p>
        </w:tc>
        <w:tc>
          <w:tcPr>
            <w:tcW w:w="908" w:type="dxa"/>
            <w:tcBorders>
              <w:top w:val="nil" w:sz="6" w:space="0" w:color="auto"/>
              <w:left w:val="single" w:sz="4" w:space="0" w:color="000000"/>
              <w:bottom w:val="single" w:sz="4" w:space="0" w:color="000000"/>
              <w:right w:val="single" w:sz="4" w:space="0" w:color="000000"/>
            </w:tcBorders>
          </w:tcPr>
          <w:p>
            <w:pPr/>
          </w:p>
        </w:tc>
        <w:tc>
          <w:tcPr>
            <w:tcW w:w="726" w:type="dxa"/>
            <w:tcBorders>
              <w:top w:val="nil" w:sz="6" w:space="0" w:color="auto"/>
              <w:left w:val="single" w:sz="4" w:space="0" w:color="000000"/>
              <w:bottom w:val="single" w:sz="4" w:space="0" w:color="000000"/>
              <w:right w:val="single" w:sz="4" w:space="0" w:color="000000"/>
            </w:tcBorders>
          </w:tcPr>
          <w:p>
            <w:pPr/>
          </w:p>
        </w:tc>
        <w:tc>
          <w:tcPr>
            <w:tcW w:w="788" w:type="dxa"/>
            <w:tcBorders>
              <w:top w:val="nil" w:sz="6" w:space="0" w:color="auto"/>
              <w:left w:val="single" w:sz="4" w:space="0" w:color="000000"/>
              <w:bottom w:val="single" w:sz="4" w:space="0" w:color="000000"/>
              <w:right w:val="single" w:sz="4" w:space="0" w:color="000000"/>
            </w:tcBorders>
          </w:tcPr>
          <w:p>
            <w:pPr>
              <w:pStyle w:val="TableParagraph"/>
              <w:spacing w:line="149" w:lineRule="exact"/>
              <w:ind w:right="0"/>
              <w:jc w:val="left"/>
              <w:rPr>
                <w:rFonts w:ascii="宋体" w:hAnsi="宋体" w:cs="宋体" w:eastAsia="宋体" w:hint="default"/>
                <w:sz w:val="15"/>
                <w:szCs w:val="15"/>
              </w:rPr>
            </w:pPr>
            <w:r>
              <w:rPr>
                <w:rFonts w:ascii="宋体" w:hAnsi="宋体" w:cs="宋体" w:eastAsia="宋体" w:hint="default"/>
                <w:sz w:val="15"/>
                <w:szCs w:val="15"/>
              </w:rPr>
              <w:t>程</w:t>
            </w:r>
          </w:p>
        </w:tc>
        <w:tc>
          <w:tcPr>
            <w:tcW w:w="846" w:type="dxa"/>
            <w:tcBorders>
              <w:top w:val="nil" w:sz="6" w:space="0" w:color="auto"/>
              <w:left w:val="single" w:sz="4" w:space="0" w:color="000000"/>
              <w:bottom w:val="single" w:sz="4" w:space="0" w:color="000000"/>
              <w:right w:val="single" w:sz="4" w:space="0" w:color="000000"/>
            </w:tcBorders>
          </w:tcPr>
          <w:p>
            <w:pPr/>
          </w:p>
        </w:tc>
        <w:tc>
          <w:tcPr>
            <w:tcW w:w="590" w:type="dxa"/>
            <w:tcBorders>
              <w:top w:val="nil" w:sz="6" w:space="0" w:color="auto"/>
              <w:left w:val="single" w:sz="4" w:space="0" w:color="000000"/>
              <w:bottom w:val="single" w:sz="4" w:space="0" w:color="000000"/>
              <w:right w:val="single" w:sz="4" w:space="0" w:color="000000"/>
            </w:tcBorders>
          </w:tcPr>
          <w:p>
            <w:pPr/>
          </w:p>
        </w:tc>
        <w:tc>
          <w:tcPr>
            <w:tcW w:w="726" w:type="dxa"/>
            <w:tcBorders>
              <w:top w:val="nil" w:sz="6" w:space="0" w:color="auto"/>
              <w:left w:val="single" w:sz="4" w:space="0" w:color="000000"/>
              <w:bottom w:val="single" w:sz="4" w:space="0" w:color="000000"/>
              <w:right w:val="single" w:sz="4" w:space="0" w:color="000000"/>
            </w:tcBorders>
          </w:tcPr>
          <w:p>
            <w:pPr/>
          </w:p>
        </w:tc>
        <w:tc>
          <w:tcPr>
            <w:tcW w:w="908" w:type="dxa"/>
            <w:tcBorders>
              <w:top w:val="nil" w:sz="6" w:space="0" w:color="auto"/>
              <w:left w:val="single" w:sz="4" w:space="0" w:color="000000"/>
              <w:bottom w:val="single" w:sz="4" w:space="0" w:color="000000"/>
              <w:right w:val="single" w:sz="4" w:space="0" w:color="000000"/>
            </w:tcBorders>
          </w:tcPr>
          <w:p>
            <w:pPr/>
          </w:p>
        </w:tc>
        <w:tc>
          <w:tcPr>
            <w:tcW w:w="806" w:type="dxa"/>
            <w:tcBorders>
              <w:top w:val="nil" w:sz="6" w:space="0" w:color="auto"/>
              <w:left w:val="single" w:sz="4" w:space="0" w:color="000000"/>
              <w:bottom w:val="single" w:sz="4" w:space="0" w:color="000000"/>
              <w:right w:val="single" w:sz="4" w:space="0" w:color="000000"/>
            </w:tcBorders>
          </w:tcPr>
          <w:p>
            <w:pPr/>
          </w:p>
        </w:tc>
        <w:tc>
          <w:tcPr>
            <w:tcW w:w="574" w:type="dxa"/>
            <w:tcBorders>
              <w:top w:val="nil" w:sz="6" w:space="0" w:color="auto"/>
              <w:left w:val="single" w:sz="4" w:space="0" w:color="000000"/>
              <w:bottom w:val="single" w:sz="4" w:space="0" w:color="000000"/>
              <w:right w:val="single" w:sz="4" w:space="0" w:color="000000"/>
            </w:tcBorders>
          </w:tcPr>
          <w:p>
            <w:pPr/>
          </w:p>
        </w:tc>
        <w:tc>
          <w:tcPr>
            <w:tcW w:w="720" w:type="dxa"/>
            <w:tcBorders>
              <w:top w:val="nil" w:sz="6" w:space="0" w:color="auto"/>
              <w:left w:val="single" w:sz="4" w:space="0" w:color="000000"/>
              <w:bottom w:val="single" w:sz="4" w:space="0" w:color="000000"/>
              <w:right w:val="single" w:sz="4" w:space="0" w:color="000000"/>
            </w:tcBorders>
          </w:tcPr>
          <w:p>
            <w:pPr/>
          </w:p>
        </w:tc>
        <w:tc>
          <w:tcPr>
            <w:tcW w:w="886" w:type="dxa"/>
            <w:tcBorders>
              <w:top w:val="nil" w:sz="6" w:space="0" w:color="auto"/>
              <w:left w:val="single" w:sz="4" w:space="0" w:color="000000"/>
              <w:bottom w:val="single" w:sz="4" w:space="0" w:color="000000"/>
              <w:right w:val="single" w:sz="4" w:space="0" w:color="000000"/>
            </w:tcBorders>
          </w:tcPr>
          <w:p>
            <w:pPr/>
          </w:p>
        </w:tc>
        <w:tc>
          <w:tcPr>
            <w:tcW w:w="866" w:type="dxa"/>
            <w:tcBorders>
              <w:top w:val="nil" w:sz="6" w:space="0" w:color="auto"/>
              <w:left w:val="single" w:sz="4" w:space="0" w:color="000000"/>
              <w:bottom w:val="single" w:sz="4" w:space="0" w:color="000000"/>
              <w:right w:val="single" w:sz="4" w:space="0" w:color="000000"/>
            </w:tcBorders>
          </w:tcPr>
          <w:p>
            <w:pPr/>
          </w:p>
        </w:tc>
        <w:tc>
          <w:tcPr>
            <w:tcW w:w="755" w:type="dxa"/>
            <w:tcBorders>
              <w:top w:val="nil" w:sz="6" w:space="0" w:color="auto"/>
              <w:left w:val="single" w:sz="4" w:space="0" w:color="000000"/>
              <w:bottom w:val="single" w:sz="4" w:space="0" w:color="000000"/>
              <w:right w:val="single" w:sz="4" w:space="0" w:color="000000"/>
            </w:tcBorders>
          </w:tcPr>
          <w:p>
            <w:pPr/>
          </w:p>
        </w:tc>
      </w:tr>
      <w:tr>
        <w:trPr>
          <w:trHeight w:val="239" w:hRule="exact"/>
        </w:trPr>
        <w:tc>
          <w:tcPr>
            <w:tcW w:w="1334" w:type="dxa"/>
            <w:tcBorders>
              <w:top w:val="single" w:sz="4" w:space="0" w:color="000000"/>
              <w:left w:val="single" w:sz="4" w:space="0" w:color="000000"/>
              <w:bottom w:val="nil" w:sz="6" w:space="0" w:color="auto"/>
              <w:right w:val="single" w:sz="4" w:space="0" w:color="000000"/>
            </w:tcBorders>
          </w:tcPr>
          <w:p>
            <w:pPr/>
          </w:p>
        </w:tc>
        <w:tc>
          <w:tcPr>
            <w:tcW w:w="908" w:type="dxa"/>
            <w:tcBorders>
              <w:top w:val="single" w:sz="4" w:space="0" w:color="000000"/>
              <w:left w:val="single" w:sz="4" w:space="0" w:color="000000"/>
              <w:bottom w:val="nil" w:sz="6" w:space="0" w:color="auto"/>
              <w:right w:val="single" w:sz="4" w:space="0" w:color="000000"/>
            </w:tcBorders>
          </w:tcPr>
          <w:p>
            <w:pPr/>
          </w:p>
        </w:tc>
        <w:tc>
          <w:tcPr>
            <w:tcW w:w="726" w:type="dxa"/>
            <w:tcBorders>
              <w:top w:val="single" w:sz="4" w:space="0" w:color="000000"/>
              <w:left w:val="single" w:sz="4" w:space="0" w:color="000000"/>
              <w:bottom w:val="nil" w:sz="6" w:space="0" w:color="auto"/>
              <w:right w:val="single" w:sz="4" w:space="0" w:color="000000"/>
            </w:tcBorders>
          </w:tcPr>
          <w:p>
            <w:pPr/>
          </w:p>
        </w:tc>
        <w:tc>
          <w:tcPr>
            <w:tcW w:w="78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4"/>
              <w:ind w:right="0"/>
              <w:jc w:val="left"/>
              <w:rPr>
                <w:rFonts w:ascii="宋体" w:hAnsi="宋体" w:cs="宋体" w:eastAsia="宋体" w:hint="default"/>
                <w:sz w:val="15"/>
                <w:szCs w:val="15"/>
              </w:rPr>
            </w:pPr>
            <w:r>
              <w:rPr>
                <w:rFonts w:ascii="宋体" w:hAnsi="宋体" w:cs="宋体" w:eastAsia="宋体" w:hint="default"/>
                <w:sz w:val="15"/>
                <w:szCs w:val="15"/>
              </w:rPr>
              <w:t>销售电脑、</w:t>
            </w:r>
          </w:p>
        </w:tc>
        <w:tc>
          <w:tcPr>
            <w:tcW w:w="846" w:type="dxa"/>
            <w:tcBorders>
              <w:top w:val="single" w:sz="4" w:space="0" w:color="000000"/>
              <w:left w:val="single" w:sz="4" w:space="0" w:color="000000"/>
              <w:bottom w:val="nil" w:sz="6" w:space="0" w:color="auto"/>
              <w:right w:val="single" w:sz="4" w:space="0" w:color="000000"/>
            </w:tcBorders>
          </w:tcPr>
          <w:p>
            <w:pPr/>
          </w:p>
        </w:tc>
        <w:tc>
          <w:tcPr>
            <w:tcW w:w="590" w:type="dxa"/>
            <w:tcBorders>
              <w:top w:val="single" w:sz="4" w:space="0" w:color="000000"/>
              <w:left w:val="single" w:sz="4" w:space="0" w:color="000000"/>
              <w:bottom w:val="nil" w:sz="6" w:space="0" w:color="auto"/>
              <w:right w:val="single" w:sz="4" w:space="0" w:color="000000"/>
            </w:tcBorders>
          </w:tcPr>
          <w:p>
            <w:pPr/>
          </w:p>
        </w:tc>
        <w:tc>
          <w:tcPr>
            <w:tcW w:w="726" w:type="dxa"/>
            <w:tcBorders>
              <w:top w:val="single" w:sz="4" w:space="0" w:color="000000"/>
              <w:left w:val="single" w:sz="4" w:space="0" w:color="000000"/>
              <w:bottom w:val="nil" w:sz="6" w:space="0" w:color="auto"/>
              <w:right w:val="single" w:sz="4" w:space="0" w:color="000000"/>
            </w:tcBorders>
          </w:tcPr>
          <w:p>
            <w:pPr/>
          </w:p>
        </w:tc>
        <w:tc>
          <w:tcPr>
            <w:tcW w:w="908" w:type="dxa"/>
            <w:tcBorders>
              <w:top w:val="single" w:sz="4" w:space="0" w:color="000000"/>
              <w:left w:val="single" w:sz="4" w:space="0" w:color="000000"/>
              <w:bottom w:val="nil" w:sz="6" w:space="0" w:color="auto"/>
              <w:right w:val="single" w:sz="4" w:space="0" w:color="000000"/>
            </w:tcBorders>
          </w:tcPr>
          <w:p>
            <w:pPr/>
          </w:p>
        </w:tc>
        <w:tc>
          <w:tcPr>
            <w:tcW w:w="806" w:type="dxa"/>
            <w:tcBorders>
              <w:top w:val="single" w:sz="4" w:space="0" w:color="000000"/>
              <w:left w:val="single" w:sz="4" w:space="0" w:color="000000"/>
              <w:bottom w:val="nil" w:sz="6" w:space="0" w:color="auto"/>
              <w:right w:val="single" w:sz="4" w:space="0" w:color="000000"/>
            </w:tcBorders>
          </w:tcPr>
          <w:p>
            <w:pPr/>
          </w:p>
        </w:tc>
        <w:tc>
          <w:tcPr>
            <w:tcW w:w="574" w:type="dxa"/>
            <w:tcBorders>
              <w:top w:val="single" w:sz="4" w:space="0" w:color="000000"/>
              <w:left w:val="single" w:sz="4" w:space="0" w:color="000000"/>
              <w:bottom w:val="nil" w:sz="6" w:space="0" w:color="auto"/>
              <w:right w:val="single" w:sz="4" w:space="0" w:color="000000"/>
            </w:tcBorders>
          </w:tcPr>
          <w:p>
            <w:pPr/>
          </w:p>
        </w:tc>
        <w:tc>
          <w:tcPr>
            <w:tcW w:w="720" w:type="dxa"/>
            <w:tcBorders>
              <w:top w:val="single" w:sz="4" w:space="0" w:color="000000"/>
              <w:left w:val="single" w:sz="4" w:space="0" w:color="000000"/>
              <w:bottom w:val="nil" w:sz="6" w:space="0" w:color="auto"/>
              <w:right w:val="single" w:sz="4" w:space="0" w:color="000000"/>
            </w:tcBorders>
          </w:tcPr>
          <w:p>
            <w:pPr/>
          </w:p>
        </w:tc>
        <w:tc>
          <w:tcPr>
            <w:tcW w:w="886" w:type="dxa"/>
            <w:tcBorders>
              <w:top w:val="single" w:sz="4" w:space="0" w:color="000000"/>
              <w:left w:val="single" w:sz="4" w:space="0" w:color="000000"/>
              <w:bottom w:val="nil" w:sz="6" w:space="0" w:color="auto"/>
              <w:right w:val="single" w:sz="4" w:space="0" w:color="000000"/>
            </w:tcBorders>
          </w:tcPr>
          <w:p>
            <w:pPr/>
          </w:p>
        </w:tc>
        <w:tc>
          <w:tcPr>
            <w:tcW w:w="866" w:type="dxa"/>
            <w:tcBorders>
              <w:top w:val="single" w:sz="4" w:space="0" w:color="000000"/>
              <w:left w:val="single" w:sz="4" w:space="0" w:color="000000"/>
              <w:bottom w:val="nil" w:sz="6" w:space="0" w:color="auto"/>
              <w:right w:val="single" w:sz="4" w:space="0" w:color="000000"/>
            </w:tcBorders>
          </w:tcPr>
          <w:p>
            <w:pPr/>
          </w:p>
        </w:tc>
        <w:tc>
          <w:tcPr>
            <w:tcW w:w="755" w:type="dxa"/>
            <w:tcBorders>
              <w:top w:val="single" w:sz="4" w:space="0" w:color="000000"/>
              <w:left w:val="single" w:sz="4" w:space="0" w:color="000000"/>
              <w:bottom w:val="nil" w:sz="6" w:space="0" w:color="auto"/>
              <w:right w:val="single" w:sz="4" w:space="0" w:color="000000"/>
            </w:tcBorders>
          </w:tcPr>
          <w:p>
            <w:pPr/>
          </w:p>
        </w:tc>
      </w:tr>
      <w:tr>
        <w:trPr>
          <w:trHeight w:val="160" w:hRule="exact"/>
        </w:trPr>
        <w:tc>
          <w:tcPr>
            <w:tcW w:w="1334" w:type="dxa"/>
            <w:tcBorders>
              <w:top w:val="nil" w:sz="6" w:space="0" w:color="auto"/>
              <w:left w:val="single" w:sz="4" w:space="0" w:color="000000"/>
              <w:bottom w:val="nil" w:sz="6" w:space="0" w:color="auto"/>
              <w:right w:val="single" w:sz="4" w:space="0" w:color="000000"/>
            </w:tcBorders>
          </w:tcPr>
          <w:p>
            <w:pPr>
              <w:pStyle w:val="TableParagraph"/>
              <w:spacing w:line="153" w:lineRule="exact"/>
              <w:ind w:left="-1" w:right="0"/>
              <w:jc w:val="left"/>
              <w:rPr>
                <w:rFonts w:ascii="宋体" w:hAnsi="宋体" w:cs="宋体" w:eastAsia="宋体" w:hint="default"/>
                <w:sz w:val="15"/>
                <w:szCs w:val="15"/>
              </w:rPr>
            </w:pPr>
            <w:r>
              <w:rPr>
                <w:rFonts w:ascii="宋体" w:hAnsi="宋体" w:cs="宋体" w:eastAsia="宋体" w:hint="default"/>
                <w:sz w:val="15"/>
                <w:szCs w:val="15"/>
              </w:rPr>
              <w:t>桂林长海科技有限</w:t>
            </w:r>
          </w:p>
        </w:tc>
        <w:tc>
          <w:tcPr>
            <w:tcW w:w="908" w:type="dxa"/>
            <w:tcBorders>
              <w:top w:val="nil" w:sz="6" w:space="0" w:color="auto"/>
              <w:left w:val="single" w:sz="4" w:space="0" w:color="000000"/>
              <w:bottom w:val="nil" w:sz="6" w:space="0" w:color="auto"/>
              <w:right w:val="single" w:sz="4" w:space="0" w:color="000000"/>
            </w:tcBorders>
          </w:tcPr>
          <w:p>
            <w:pPr/>
          </w:p>
        </w:tc>
        <w:tc>
          <w:tcPr>
            <w:tcW w:w="726" w:type="dxa"/>
            <w:tcBorders>
              <w:top w:val="nil" w:sz="6" w:space="0" w:color="auto"/>
              <w:left w:val="single" w:sz="4" w:space="0" w:color="000000"/>
              <w:bottom w:val="nil" w:sz="6" w:space="0" w:color="auto"/>
              <w:right w:val="single" w:sz="4" w:space="0" w:color="000000"/>
            </w:tcBorders>
          </w:tcPr>
          <w:p>
            <w:pPr/>
          </w:p>
        </w:tc>
        <w:tc>
          <w:tcPr>
            <w:tcW w:w="788" w:type="dxa"/>
            <w:tcBorders>
              <w:top w:val="nil" w:sz="6" w:space="0" w:color="auto"/>
              <w:left w:val="single" w:sz="4" w:space="0" w:color="000000"/>
              <w:bottom w:val="nil" w:sz="6" w:space="0" w:color="auto"/>
              <w:right w:val="single" w:sz="4" w:space="0" w:color="000000"/>
            </w:tcBorders>
          </w:tcPr>
          <w:p>
            <w:pPr/>
          </w:p>
        </w:tc>
        <w:tc>
          <w:tcPr>
            <w:tcW w:w="846" w:type="dxa"/>
            <w:tcBorders>
              <w:top w:val="nil" w:sz="6" w:space="0" w:color="auto"/>
              <w:left w:val="single" w:sz="4" w:space="0" w:color="000000"/>
              <w:bottom w:val="nil" w:sz="6" w:space="0" w:color="auto"/>
              <w:right w:val="single" w:sz="4" w:space="0" w:color="000000"/>
            </w:tcBorders>
          </w:tcPr>
          <w:p>
            <w:pPr>
              <w:pStyle w:val="TableParagraph"/>
              <w:spacing w:line="153" w:lineRule="exact"/>
              <w:ind w:right="84"/>
              <w:jc w:val="center"/>
              <w:rPr>
                <w:rFonts w:ascii="宋体" w:hAnsi="宋体" w:cs="宋体" w:eastAsia="宋体" w:hint="default"/>
                <w:sz w:val="15"/>
                <w:szCs w:val="15"/>
              </w:rPr>
            </w:pPr>
            <w:r>
              <w:rPr>
                <w:rFonts w:ascii="宋体" w:hAnsi="宋体" w:cs="宋体" w:eastAsia="宋体" w:hint="default"/>
                <w:sz w:val="15"/>
                <w:szCs w:val="15"/>
              </w:rPr>
              <w:t>根据市场价</w:t>
            </w:r>
          </w:p>
        </w:tc>
        <w:tc>
          <w:tcPr>
            <w:tcW w:w="590" w:type="dxa"/>
            <w:tcBorders>
              <w:top w:val="nil" w:sz="6" w:space="0" w:color="auto"/>
              <w:left w:val="single" w:sz="4" w:space="0" w:color="000000"/>
              <w:bottom w:val="nil" w:sz="6" w:space="0" w:color="auto"/>
              <w:right w:val="single" w:sz="4" w:space="0" w:color="000000"/>
            </w:tcBorders>
          </w:tcPr>
          <w:p>
            <w:pPr>
              <w:pStyle w:val="TableParagraph"/>
              <w:spacing w:line="153" w:lineRule="exact"/>
              <w:ind w:right="1"/>
              <w:jc w:val="center"/>
              <w:rPr>
                <w:rFonts w:ascii="宋体" w:hAnsi="宋体" w:cs="宋体" w:eastAsia="宋体" w:hint="default"/>
                <w:sz w:val="15"/>
                <w:szCs w:val="15"/>
              </w:rPr>
            </w:pPr>
            <w:r>
              <w:rPr>
                <w:rFonts w:ascii="宋体" w:hAnsi="宋体" w:cs="宋体" w:eastAsia="宋体" w:hint="default"/>
                <w:sz w:val="15"/>
                <w:szCs w:val="15"/>
              </w:rPr>
              <w:t>参考市</w:t>
            </w:r>
          </w:p>
        </w:tc>
        <w:tc>
          <w:tcPr>
            <w:tcW w:w="726" w:type="dxa"/>
            <w:tcBorders>
              <w:top w:val="nil" w:sz="6" w:space="0" w:color="auto"/>
              <w:left w:val="single" w:sz="4" w:space="0" w:color="000000"/>
              <w:bottom w:val="nil" w:sz="6" w:space="0" w:color="auto"/>
              <w:right w:val="single" w:sz="4" w:space="0" w:color="000000"/>
            </w:tcBorders>
          </w:tcPr>
          <w:p>
            <w:pPr/>
          </w:p>
        </w:tc>
        <w:tc>
          <w:tcPr>
            <w:tcW w:w="908" w:type="dxa"/>
            <w:tcBorders>
              <w:top w:val="nil" w:sz="6" w:space="0" w:color="auto"/>
              <w:left w:val="single" w:sz="4" w:space="0" w:color="000000"/>
              <w:bottom w:val="nil" w:sz="6" w:space="0" w:color="auto"/>
              <w:right w:val="single" w:sz="4" w:space="0" w:color="000000"/>
            </w:tcBorders>
          </w:tcPr>
          <w:p>
            <w:pPr/>
          </w:p>
        </w:tc>
        <w:tc>
          <w:tcPr>
            <w:tcW w:w="806" w:type="dxa"/>
            <w:tcBorders>
              <w:top w:val="nil" w:sz="6" w:space="0" w:color="auto"/>
              <w:left w:val="single" w:sz="4" w:space="0" w:color="000000"/>
              <w:bottom w:val="nil" w:sz="6" w:space="0" w:color="auto"/>
              <w:right w:val="single" w:sz="4" w:space="0" w:color="000000"/>
            </w:tcBorders>
          </w:tcPr>
          <w:p>
            <w:pPr/>
          </w:p>
        </w:tc>
        <w:tc>
          <w:tcPr>
            <w:tcW w:w="574" w:type="dxa"/>
            <w:tcBorders>
              <w:top w:val="nil" w:sz="6" w:space="0" w:color="auto"/>
              <w:left w:val="single" w:sz="4" w:space="0" w:color="000000"/>
              <w:bottom w:val="nil" w:sz="6" w:space="0" w:color="auto"/>
              <w:right w:val="single" w:sz="4" w:space="0" w:color="000000"/>
            </w:tcBorders>
          </w:tcPr>
          <w:p>
            <w:pPr/>
          </w:p>
        </w:tc>
        <w:tc>
          <w:tcPr>
            <w:tcW w:w="720" w:type="dxa"/>
            <w:tcBorders>
              <w:top w:val="nil" w:sz="6" w:space="0" w:color="auto"/>
              <w:left w:val="single" w:sz="4" w:space="0" w:color="000000"/>
              <w:bottom w:val="nil" w:sz="6" w:space="0" w:color="auto"/>
              <w:right w:val="single" w:sz="4" w:space="0" w:color="000000"/>
            </w:tcBorders>
          </w:tcPr>
          <w:p>
            <w:pPr>
              <w:pStyle w:val="TableParagraph"/>
              <w:spacing w:line="153" w:lineRule="exact"/>
              <w:ind w:right="0"/>
              <w:jc w:val="left"/>
              <w:rPr>
                <w:rFonts w:ascii="宋体" w:hAnsi="宋体" w:cs="宋体" w:eastAsia="宋体" w:hint="default"/>
                <w:sz w:val="15"/>
                <w:szCs w:val="15"/>
              </w:rPr>
            </w:pPr>
            <w:r>
              <w:rPr>
                <w:rFonts w:ascii="宋体" w:hAnsi="宋体" w:cs="宋体" w:eastAsia="宋体" w:hint="default"/>
                <w:sz w:val="15"/>
                <w:szCs w:val="15"/>
              </w:rPr>
              <w:t>根据合同</w:t>
            </w:r>
          </w:p>
        </w:tc>
        <w:tc>
          <w:tcPr>
            <w:tcW w:w="886" w:type="dxa"/>
            <w:tcBorders>
              <w:top w:val="nil" w:sz="6" w:space="0" w:color="auto"/>
              <w:left w:val="single" w:sz="4" w:space="0" w:color="000000"/>
              <w:bottom w:val="nil" w:sz="6" w:space="0" w:color="auto"/>
              <w:right w:val="single" w:sz="4" w:space="0" w:color="000000"/>
            </w:tcBorders>
          </w:tcPr>
          <w:p>
            <w:pPr/>
          </w:p>
        </w:tc>
        <w:tc>
          <w:tcPr>
            <w:tcW w:w="866" w:type="dxa"/>
            <w:tcBorders>
              <w:top w:val="nil" w:sz="6" w:space="0" w:color="auto"/>
              <w:left w:val="single" w:sz="4" w:space="0" w:color="000000"/>
              <w:bottom w:val="nil" w:sz="6" w:space="0" w:color="auto"/>
              <w:right w:val="single" w:sz="4" w:space="0" w:color="000000"/>
            </w:tcBorders>
          </w:tcPr>
          <w:p>
            <w:pPr>
              <w:pStyle w:val="TableParagraph"/>
              <w:spacing w:line="164" w:lineRule="exact"/>
              <w:ind w:left="-1"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2018</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1</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月</w:t>
            </w:r>
          </w:p>
        </w:tc>
        <w:tc>
          <w:tcPr>
            <w:tcW w:w="755" w:type="dxa"/>
            <w:tcBorders>
              <w:top w:val="nil" w:sz="6" w:space="0" w:color="auto"/>
              <w:left w:val="single" w:sz="4" w:space="0" w:color="000000"/>
              <w:bottom w:val="nil" w:sz="6" w:space="0" w:color="auto"/>
              <w:right w:val="single" w:sz="4" w:space="0" w:color="000000"/>
            </w:tcBorders>
          </w:tcPr>
          <w:p>
            <w:pPr>
              <w:pStyle w:val="TableParagraph"/>
              <w:spacing w:line="164" w:lineRule="exact"/>
              <w:ind w:left="-1" w:right="-2"/>
              <w:jc w:val="left"/>
              <w:rPr>
                <w:rFonts w:ascii="宋体" w:hAnsi="宋体" w:cs="宋体" w:eastAsia="宋体" w:hint="default"/>
                <w:sz w:val="15"/>
                <w:szCs w:val="15"/>
              </w:rPr>
            </w:pPr>
            <w:r>
              <w:rPr>
                <w:rFonts w:ascii="Times New Roman" w:hAnsi="Times New Roman" w:cs="Times New Roman" w:eastAsia="Times New Roman" w:hint="default"/>
                <w:sz w:val="15"/>
                <w:szCs w:val="15"/>
              </w:rPr>
              <w:t>2018-010</w:t>
            </w:r>
            <w:r>
              <w:rPr>
                <w:rFonts w:ascii="Times New Roman" w:hAnsi="Times New Roman" w:cs="Times New Roman" w:eastAsia="Times New Roman" w:hint="default"/>
                <w:spacing w:val="-20"/>
                <w:sz w:val="15"/>
                <w:szCs w:val="15"/>
              </w:rPr>
              <w:t> </w:t>
            </w:r>
            <w:r>
              <w:rPr>
                <w:rFonts w:ascii="宋体" w:hAnsi="宋体" w:cs="宋体" w:eastAsia="宋体" w:hint="default"/>
                <w:sz w:val="15"/>
                <w:szCs w:val="15"/>
              </w:rPr>
              <w:t>号</w:t>
            </w:r>
          </w:p>
        </w:tc>
      </w:tr>
      <w:tr>
        <w:trPr>
          <w:trHeight w:val="155" w:hRule="exact"/>
        </w:trPr>
        <w:tc>
          <w:tcPr>
            <w:tcW w:w="1334" w:type="dxa"/>
            <w:tcBorders>
              <w:top w:val="nil" w:sz="6" w:space="0" w:color="auto"/>
              <w:left w:val="single" w:sz="4" w:space="0" w:color="000000"/>
              <w:bottom w:val="nil" w:sz="6" w:space="0" w:color="auto"/>
              <w:right w:val="single" w:sz="4" w:space="0" w:color="000000"/>
            </w:tcBorders>
          </w:tcPr>
          <w:p>
            <w:pPr/>
          </w:p>
        </w:tc>
        <w:tc>
          <w:tcPr>
            <w:tcW w:w="908"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0"/>
              <w:jc w:val="left"/>
              <w:rPr>
                <w:rFonts w:ascii="宋体" w:hAnsi="宋体" w:cs="宋体" w:eastAsia="宋体" w:hint="default"/>
                <w:sz w:val="15"/>
                <w:szCs w:val="15"/>
              </w:rPr>
            </w:pPr>
            <w:r>
              <w:rPr>
                <w:rFonts w:ascii="宋体" w:hAnsi="宋体" w:cs="宋体" w:eastAsia="宋体" w:hint="default"/>
                <w:sz w:val="15"/>
                <w:szCs w:val="15"/>
              </w:rPr>
              <w:t>联营企业</w:t>
            </w:r>
          </w:p>
        </w:tc>
        <w:tc>
          <w:tcPr>
            <w:tcW w:w="726"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1"/>
              <w:jc w:val="center"/>
              <w:rPr>
                <w:rFonts w:ascii="宋体" w:hAnsi="宋体" w:cs="宋体" w:eastAsia="宋体" w:hint="default"/>
                <w:sz w:val="15"/>
                <w:szCs w:val="15"/>
              </w:rPr>
            </w:pPr>
            <w:r>
              <w:rPr>
                <w:rFonts w:ascii="宋体" w:hAnsi="宋体" w:cs="宋体" w:eastAsia="宋体" w:hint="default"/>
                <w:sz w:val="15"/>
                <w:szCs w:val="15"/>
              </w:rPr>
              <w:t>销售</w:t>
            </w:r>
          </w:p>
        </w:tc>
        <w:tc>
          <w:tcPr>
            <w:tcW w:w="788"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0"/>
              <w:jc w:val="left"/>
              <w:rPr>
                <w:rFonts w:ascii="宋体" w:hAnsi="宋体" w:cs="宋体" w:eastAsia="宋体" w:hint="default"/>
                <w:sz w:val="15"/>
                <w:szCs w:val="15"/>
              </w:rPr>
            </w:pPr>
            <w:r>
              <w:rPr>
                <w:rFonts w:ascii="宋体" w:hAnsi="宋体" w:cs="宋体" w:eastAsia="宋体" w:hint="default"/>
                <w:sz w:val="15"/>
                <w:szCs w:val="15"/>
              </w:rPr>
              <w:t>外设、配件</w:t>
            </w:r>
          </w:p>
        </w:tc>
        <w:tc>
          <w:tcPr>
            <w:tcW w:w="846" w:type="dxa"/>
            <w:tcBorders>
              <w:top w:val="nil" w:sz="6" w:space="0" w:color="auto"/>
              <w:left w:val="single" w:sz="4" w:space="0" w:color="000000"/>
              <w:bottom w:val="nil" w:sz="6" w:space="0" w:color="auto"/>
              <w:right w:val="single" w:sz="4" w:space="0" w:color="000000"/>
            </w:tcBorders>
          </w:tcPr>
          <w:p>
            <w:pPr/>
          </w:p>
        </w:tc>
        <w:tc>
          <w:tcPr>
            <w:tcW w:w="590" w:type="dxa"/>
            <w:tcBorders>
              <w:top w:val="nil" w:sz="6" w:space="0" w:color="auto"/>
              <w:left w:val="single" w:sz="4" w:space="0" w:color="000000"/>
              <w:bottom w:val="nil" w:sz="6" w:space="0" w:color="auto"/>
              <w:right w:val="single" w:sz="4" w:space="0" w:color="000000"/>
            </w:tcBorders>
          </w:tcPr>
          <w:p>
            <w:pPr/>
          </w:p>
        </w:tc>
        <w:tc>
          <w:tcPr>
            <w:tcW w:w="726" w:type="dxa"/>
            <w:tcBorders>
              <w:top w:val="nil" w:sz="6" w:space="0" w:color="auto"/>
              <w:left w:val="single" w:sz="4" w:space="0" w:color="000000"/>
              <w:bottom w:val="nil" w:sz="6" w:space="0" w:color="auto"/>
              <w:right w:val="single" w:sz="4" w:space="0" w:color="000000"/>
            </w:tcBorders>
          </w:tcPr>
          <w:p>
            <w:pPr>
              <w:pStyle w:val="TableParagraph"/>
              <w:spacing w:line="159" w:lineRule="exact"/>
              <w:ind w:right="-2"/>
              <w:jc w:val="right"/>
              <w:rPr>
                <w:rFonts w:ascii="Times New Roman" w:hAnsi="Times New Roman" w:cs="Times New Roman" w:eastAsia="Times New Roman" w:hint="default"/>
                <w:sz w:val="15"/>
                <w:szCs w:val="15"/>
              </w:rPr>
            </w:pPr>
            <w:r>
              <w:rPr>
                <w:rFonts w:ascii="Times New Roman"/>
                <w:spacing w:val="-1"/>
                <w:sz w:val="15"/>
              </w:rPr>
              <w:t>29,580.42</w:t>
            </w:r>
          </w:p>
        </w:tc>
        <w:tc>
          <w:tcPr>
            <w:tcW w:w="908" w:type="dxa"/>
            <w:tcBorders>
              <w:top w:val="nil" w:sz="6" w:space="0" w:color="auto"/>
              <w:left w:val="single" w:sz="4" w:space="0" w:color="000000"/>
              <w:bottom w:val="nil" w:sz="6" w:space="0" w:color="auto"/>
              <w:right w:val="single" w:sz="4" w:space="0" w:color="000000"/>
            </w:tcBorders>
          </w:tcPr>
          <w:p>
            <w:pPr>
              <w:pStyle w:val="TableParagraph"/>
              <w:spacing w:line="159" w:lineRule="exact"/>
              <w:ind w:right="0"/>
              <w:jc w:val="center"/>
              <w:rPr>
                <w:rFonts w:ascii="Times New Roman" w:hAnsi="Times New Roman" w:cs="Times New Roman" w:eastAsia="Times New Roman" w:hint="default"/>
                <w:sz w:val="15"/>
                <w:szCs w:val="15"/>
              </w:rPr>
            </w:pPr>
            <w:r>
              <w:rPr>
                <w:rFonts w:ascii="Times New Roman"/>
                <w:sz w:val="15"/>
              </w:rPr>
              <w:t>3.25%</w:t>
            </w:r>
          </w:p>
        </w:tc>
        <w:tc>
          <w:tcPr>
            <w:tcW w:w="806" w:type="dxa"/>
            <w:tcBorders>
              <w:top w:val="nil" w:sz="6" w:space="0" w:color="auto"/>
              <w:left w:val="single" w:sz="4" w:space="0" w:color="000000"/>
              <w:bottom w:val="nil" w:sz="6" w:space="0" w:color="auto"/>
              <w:right w:val="single" w:sz="4" w:space="0" w:color="000000"/>
            </w:tcBorders>
          </w:tcPr>
          <w:p>
            <w:pPr>
              <w:pStyle w:val="TableParagraph"/>
              <w:spacing w:line="159" w:lineRule="exact"/>
              <w:ind w:right="-2"/>
              <w:jc w:val="right"/>
              <w:rPr>
                <w:rFonts w:ascii="Times New Roman" w:hAnsi="Times New Roman" w:cs="Times New Roman" w:eastAsia="Times New Roman" w:hint="default"/>
                <w:sz w:val="15"/>
                <w:szCs w:val="15"/>
              </w:rPr>
            </w:pPr>
            <w:r>
              <w:rPr>
                <w:rFonts w:ascii="Times New Roman"/>
                <w:spacing w:val="-1"/>
                <w:sz w:val="15"/>
              </w:rPr>
              <w:t>34,000.00</w:t>
            </w:r>
          </w:p>
        </w:tc>
        <w:tc>
          <w:tcPr>
            <w:tcW w:w="574"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0"/>
              <w:jc w:val="center"/>
              <w:rPr>
                <w:rFonts w:ascii="宋体" w:hAnsi="宋体" w:cs="宋体" w:eastAsia="宋体" w:hint="default"/>
                <w:sz w:val="15"/>
                <w:szCs w:val="15"/>
              </w:rPr>
            </w:pPr>
            <w:r>
              <w:rPr>
                <w:rFonts w:ascii="宋体" w:hAnsi="宋体" w:cs="宋体" w:eastAsia="宋体" w:hint="default"/>
                <w:sz w:val="15"/>
                <w:szCs w:val="15"/>
              </w:rPr>
              <w:t>否</w:t>
            </w:r>
          </w:p>
        </w:tc>
        <w:tc>
          <w:tcPr>
            <w:tcW w:w="720" w:type="dxa"/>
            <w:tcBorders>
              <w:top w:val="nil" w:sz="6" w:space="0" w:color="auto"/>
              <w:left w:val="single" w:sz="4" w:space="0" w:color="000000"/>
              <w:bottom w:val="nil" w:sz="6" w:space="0" w:color="auto"/>
              <w:right w:val="single" w:sz="4" w:space="0" w:color="000000"/>
            </w:tcBorders>
          </w:tcPr>
          <w:p>
            <w:pPr/>
          </w:p>
        </w:tc>
        <w:tc>
          <w:tcPr>
            <w:tcW w:w="886"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38" w:right="0"/>
              <w:jc w:val="left"/>
              <w:rPr>
                <w:rFonts w:ascii="宋体" w:hAnsi="宋体" w:cs="宋体" w:eastAsia="宋体" w:hint="default"/>
                <w:sz w:val="15"/>
                <w:szCs w:val="15"/>
              </w:rPr>
            </w:pPr>
            <w:r>
              <w:rPr>
                <w:rFonts w:ascii="宋体" w:hAnsi="宋体" w:cs="宋体" w:eastAsia="宋体" w:hint="default"/>
                <w:sz w:val="15"/>
                <w:szCs w:val="15"/>
              </w:rPr>
              <w:t>市场价格</w:t>
            </w:r>
          </w:p>
        </w:tc>
        <w:tc>
          <w:tcPr>
            <w:tcW w:w="866" w:type="dxa"/>
            <w:tcBorders>
              <w:top w:val="nil" w:sz="6" w:space="0" w:color="auto"/>
              <w:left w:val="single" w:sz="4" w:space="0" w:color="000000"/>
              <w:bottom w:val="nil" w:sz="6" w:space="0" w:color="auto"/>
              <w:right w:val="single" w:sz="4" w:space="0" w:color="000000"/>
            </w:tcBorders>
          </w:tcPr>
          <w:p>
            <w:pPr/>
          </w:p>
        </w:tc>
        <w:tc>
          <w:tcPr>
            <w:tcW w:w="755" w:type="dxa"/>
            <w:tcBorders>
              <w:top w:val="nil" w:sz="6" w:space="0" w:color="auto"/>
              <w:left w:val="single" w:sz="4" w:space="0" w:color="000000"/>
              <w:bottom w:val="nil" w:sz="6" w:space="0" w:color="auto"/>
              <w:right w:val="single" w:sz="4" w:space="0" w:color="000000"/>
            </w:tcBorders>
          </w:tcPr>
          <w:p>
            <w:pPr/>
          </w:p>
        </w:tc>
      </w:tr>
      <w:tr>
        <w:trPr>
          <w:trHeight w:val="157" w:hRule="exact"/>
        </w:trPr>
        <w:tc>
          <w:tcPr>
            <w:tcW w:w="1334"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0"/>
              <w:jc w:val="left"/>
              <w:rPr>
                <w:rFonts w:ascii="宋体" w:hAnsi="宋体" w:cs="宋体" w:eastAsia="宋体" w:hint="default"/>
                <w:sz w:val="15"/>
                <w:szCs w:val="15"/>
              </w:rPr>
            </w:pPr>
            <w:r>
              <w:rPr>
                <w:rFonts w:ascii="宋体" w:hAnsi="宋体" w:cs="宋体" w:eastAsia="宋体" w:hint="default"/>
                <w:sz w:val="15"/>
                <w:szCs w:val="15"/>
              </w:rPr>
              <w:t>责任公司</w:t>
            </w:r>
          </w:p>
        </w:tc>
        <w:tc>
          <w:tcPr>
            <w:tcW w:w="908" w:type="dxa"/>
            <w:tcBorders>
              <w:top w:val="nil" w:sz="6" w:space="0" w:color="auto"/>
              <w:left w:val="single" w:sz="4" w:space="0" w:color="000000"/>
              <w:bottom w:val="nil" w:sz="6" w:space="0" w:color="auto"/>
              <w:right w:val="single" w:sz="4" w:space="0" w:color="000000"/>
            </w:tcBorders>
          </w:tcPr>
          <w:p>
            <w:pPr/>
          </w:p>
        </w:tc>
        <w:tc>
          <w:tcPr>
            <w:tcW w:w="726" w:type="dxa"/>
            <w:tcBorders>
              <w:top w:val="nil" w:sz="6" w:space="0" w:color="auto"/>
              <w:left w:val="single" w:sz="4" w:space="0" w:color="000000"/>
              <w:bottom w:val="nil" w:sz="6" w:space="0" w:color="auto"/>
              <w:right w:val="single" w:sz="4" w:space="0" w:color="000000"/>
            </w:tcBorders>
          </w:tcPr>
          <w:p>
            <w:pPr/>
          </w:p>
        </w:tc>
        <w:tc>
          <w:tcPr>
            <w:tcW w:w="788" w:type="dxa"/>
            <w:tcBorders>
              <w:top w:val="nil" w:sz="6" w:space="0" w:color="auto"/>
              <w:left w:val="single" w:sz="4" w:space="0" w:color="000000"/>
              <w:bottom w:val="nil" w:sz="6" w:space="0" w:color="auto"/>
              <w:right w:val="single" w:sz="4" w:space="0" w:color="000000"/>
            </w:tcBorders>
          </w:tcPr>
          <w:p>
            <w:pPr/>
          </w:p>
        </w:tc>
        <w:tc>
          <w:tcPr>
            <w:tcW w:w="846"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1"/>
              <w:jc w:val="center"/>
              <w:rPr>
                <w:rFonts w:ascii="宋体" w:hAnsi="宋体" w:cs="宋体" w:eastAsia="宋体" w:hint="default"/>
                <w:sz w:val="15"/>
                <w:szCs w:val="15"/>
              </w:rPr>
            </w:pPr>
            <w:r>
              <w:rPr>
                <w:rFonts w:ascii="宋体" w:hAnsi="宋体" w:cs="宋体" w:eastAsia="宋体" w:hint="default"/>
                <w:sz w:val="15"/>
                <w:szCs w:val="15"/>
              </w:rPr>
              <w:t>格</w:t>
            </w:r>
            <w:r>
              <w:rPr>
                <w:rFonts w:ascii="宋体" w:hAnsi="宋体" w:cs="宋体" w:eastAsia="宋体" w:hint="default"/>
                <w:spacing w:val="-64"/>
                <w:sz w:val="15"/>
                <w:szCs w:val="15"/>
              </w:rPr>
              <w:t>，</w:t>
            </w:r>
            <w:r>
              <w:rPr>
                <w:rFonts w:ascii="宋体" w:hAnsi="宋体" w:cs="宋体" w:eastAsia="宋体" w:hint="default"/>
                <w:sz w:val="15"/>
                <w:szCs w:val="15"/>
              </w:rPr>
              <w:t>协商确定</w:t>
            </w:r>
          </w:p>
        </w:tc>
        <w:tc>
          <w:tcPr>
            <w:tcW w:w="590"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1"/>
              <w:jc w:val="center"/>
              <w:rPr>
                <w:rFonts w:ascii="宋体" w:hAnsi="宋体" w:cs="宋体" w:eastAsia="宋体" w:hint="default"/>
                <w:sz w:val="15"/>
                <w:szCs w:val="15"/>
              </w:rPr>
            </w:pPr>
            <w:r>
              <w:rPr>
                <w:rFonts w:ascii="宋体" w:hAnsi="宋体" w:cs="宋体" w:eastAsia="宋体" w:hint="default"/>
                <w:sz w:val="15"/>
                <w:szCs w:val="15"/>
              </w:rPr>
              <w:t>场价格</w:t>
            </w:r>
          </w:p>
        </w:tc>
        <w:tc>
          <w:tcPr>
            <w:tcW w:w="726" w:type="dxa"/>
            <w:tcBorders>
              <w:top w:val="nil" w:sz="6" w:space="0" w:color="auto"/>
              <w:left w:val="single" w:sz="4" w:space="0" w:color="000000"/>
              <w:bottom w:val="nil" w:sz="6" w:space="0" w:color="auto"/>
              <w:right w:val="single" w:sz="4" w:space="0" w:color="000000"/>
            </w:tcBorders>
          </w:tcPr>
          <w:p>
            <w:pPr/>
          </w:p>
        </w:tc>
        <w:tc>
          <w:tcPr>
            <w:tcW w:w="908" w:type="dxa"/>
            <w:tcBorders>
              <w:top w:val="nil" w:sz="6" w:space="0" w:color="auto"/>
              <w:left w:val="single" w:sz="4" w:space="0" w:color="000000"/>
              <w:bottom w:val="nil" w:sz="6" w:space="0" w:color="auto"/>
              <w:right w:val="single" w:sz="4" w:space="0" w:color="000000"/>
            </w:tcBorders>
          </w:tcPr>
          <w:p>
            <w:pPr/>
          </w:p>
        </w:tc>
        <w:tc>
          <w:tcPr>
            <w:tcW w:w="806" w:type="dxa"/>
            <w:tcBorders>
              <w:top w:val="nil" w:sz="6" w:space="0" w:color="auto"/>
              <w:left w:val="single" w:sz="4" w:space="0" w:color="000000"/>
              <w:bottom w:val="nil" w:sz="6" w:space="0" w:color="auto"/>
              <w:right w:val="single" w:sz="4" w:space="0" w:color="000000"/>
            </w:tcBorders>
          </w:tcPr>
          <w:p>
            <w:pPr/>
          </w:p>
        </w:tc>
        <w:tc>
          <w:tcPr>
            <w:tcW w:w="574" w:type="dxa"/>
            <w:tcBorders>
              <w:top w:val="nil" w:sz="6" w:space="0" w:color="auto"/>
              <w:left w:val="single" w:sz="4" w:space="0" w:color="000000"/>
              <w:bottom w:val="nil" w:sz="6" w:space="0" w:color="auto"/>
              <w:right w:val="single" w:sz="4" w:space="0" w:color="000000"/>
            </w:tcBorders>
          </w:tcPr>
          <w:p>
            <w:pPr/>
          </w:p>
        </w:tc>
        <w:tc>
          <w:tcPr>
            <w:tcW w:w="720"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0"/>
              <w:jc w:val="left"/>
              <w:rPr>
                <w:rFonts w:ascii="宋体" w:hAnsi="宋体" w:cs="宋体" w:eastAsia="宋体" w:hint="default"/>
                <w:sz w:val="15"/>
                <w:szCs w:val="15"/>
              </w:rPr>
            </w:pPr>
            <w:r>
              <w:rPr>
                <w:rFonts w:ascii="宋体" w:hAnsi="宋体" w:cs="宋体" w:eastAsia="宋体" w:hint="default"/>
                <w:sz w:val="15"/>
                <w:szCs w:val="15"/>
              </w:rPr>
              <w:t>约定</w:t>
            </w:r>
          </w:p>
        </w:tc>
        <w:tc>
          <w:tcPr>
            <w:tcW w:w="886" w:type="dxa"/>
            <w:tcBorders>
              <w:top w:val="nil" w:sz="6" w:space="0" w:color="auto"/>
              <w:left w:val="single" w:sz="4" w:space="0" w:color="000000"/>
              <w:bottom w:val="nil" w:sz="6" w:space="0" w:color="auto"/>
              <w:right w:val="single" w:sz="4" w:space="0" w:color="000000"/>
            </w:tcBorders>
          </w:tcPr>
          <w:p>
            <w:pPr/>
          </w:p>
        </w:tc>
        <w:tc>
          <w:tcPr>
            <w:tcW w:w="866" w:type="dxa"/>
            <w:tcBorders>
              <w:top w:val="nil" w:sz="6" w:space="0" w:color="auto"/>
              <w:left w:val="single" w:sz="4" w:space="0" w:color="000000"/>
              <w:bottom w:val="nil" w:sz="6" w:space="0" w:color="auto"/>
              <w:right w:val="single" w:sz="4" w:space="0" w:color="000000"/>
            </w:tcBorders>
          </w:tcPr>
          <w:p>
            <w:pPr>
              <w:pStyle w:val="TableParagraph"/>
              <w:spacing w:line="161" w:lineRule="exact"/>
              <w:ind w:left="-1"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22 </w:t>
            </w:r>
            <w:r>
              <w:rPr>
                <w:rFonts w:ascii="宋体" w:hAnsi="宋体" w:cs="宋体" w:eastAsia="宋体" w:hint="default"/>
                <w:sz w:val="15"/>
                <w:szCs w:val="15"/>
              </w:rPr>
              <w:t>日</w:t>
            </w:r>
          </w:p>
        </w:tc>
        <w:tc>
          <w:tcPr>
            <w:tcW w:w="755"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0"/>
              <w:jc w:val="left"/>
              <w:rPr>
                <w:rFonts w:ascii="宋体" w:hAnsi="宋体" w:cs="宋体" w:eastAsia="宋体" w:hint="default"/>
                <w:sz w:val="15"/>
                <w:szCs w:val="15"/>
              </w:rPr>
            </w:pPr>
            <w:r>
              <w:rPr>
                <w:rFonts w:ascii="宋体" w:hAnsi="宋体" w:cs="宋体" w:eastAsia="宋体" w:hint="default"/>
                <w:sz w:val="15"/>
                <w:szCs w:val="15"/>
              </w:rPr>
              <w:t>公告</w:t>
            </w:r>
          </w:p>
        </w:tc>
      </w:tr>
      <w:tr>
        <w:trPr>
          <w:trHeight w:val="236" w:hRule="exact"/>
        </w:trPr>
        <w:tc>
          <w:tcPr>
            <w:tcW w:w="1334" w:type="dxa"/>
            <w:tcBorders>
              <w:top w:val="nil" w:sz="6" w:space="0" w:color="auto"/>
              <w:left w:val="single" w:sz="4" w:space="0" w:color="000000"/>
              <w:bottom w:val="single" w:sz="4" w:space="0" w:color="000000"/>
              <w:right w:val="single" w:sz="4" w:space="0" w:color="000000"/>
            </w:tcBorders>
          </w:tcPr>
          <w:p>
            <w:pPr/>
          </w:p>
        </w:tc>
        <w:tc>
          <w:tcPr>
            <w:tcW w:w="908" w:type="dxa"/>
            <w:tcBorders>
              <w:top w:val="nil" w:sz="6" w:space="0" w:color="auto"/>
              <w:left w:val="single" w:sz="4" w:space="0" w:color="000000"/>
              <w:bottom w:val="single" w:sz="4" w:space="0" w:color="000000"/>
              <w:right w:val="single" w:sz="4" w:space="0" w:color="000000"/>
            </w:tcBorders>
          </w:tcPr>
          <w:p>
            <w:pPr/>
          </w:p>
        </w:tc>
        <w:tc>
          <w:tcPr>
            <w:tcW w:w="726" w:type="dxa"/>
            <w:tcBorders>
              <w:top w:val="nil" w:sz="6" w:space="0" w:color="auto"/>
              <w:left w:val="single" w:sz="4" w:space="0" w:color="000000"/>
              <w:bottom w:val="single" w:sz="4" w:space="0" w:color="000000"/>
              <w:right w:val="single" w:sz="4" w:space="0" w:color="000000"/>
            </w:tcBorders>
          </w:tcPr>
          <w:p>
            <w:pPr/>
          </w:p>
        </w:tc>
        <w:tc>
          <w:tcPr>
            <w:tcW w:w="788" w:type="dxa"/>
            <w:tcBorders>
              <w:top w:val="nil" w:sz="6" w:space="0" w:color="auto"/>
              <w:left w:val="single" w:sz="4" w:space="0" w:color="000000"/>
              <w:bottom w:val="single" w:sz="4" w:space="0" w:color="000000"/>
              <w:right w:val="single" w:sz="4" w:space="0" w:color="000000"/>
            </w:tcBorders>
          </w:tcPr>
          <w:p>
            <w:pPr>
              <w:pStyle w:val="TableParagraph"/>
              <w:spacing w:line="149" w:lineRule="exact"/>
              <w:ind w:right="0"/>
              <w:jc w:val="left"/>
              <w:rPr>
                <w:rFonts w:ascii="宋体" w:hAnsi="宋体" w:cs="宋体" w:eastAsia="宋体" w:hint="default"/>
                <w:sz w:val="15"/>
                <w:szCs w:val="15"/>
              </w:rPr>
            </w:pPr>
            <w:r>
              <w:rPr>
                <w:rFonts w:ascii="宋体" w:hAnsi="宋体" w:cs="宋体" w:eastAsia="宋体" w:hint="default"/>
                <w:sz w:val="15"/>
                <w:szCs w:val="15"/>
              </w:rPr>
              <w:t>及原材料</w:t>
            </w:r>
          </w:p>
        </w:tc>
        <w:tc>
          <w:tcPr>
            <w:tcW w:w="846" w:type="dxa"/>
            <w:tcBorders>
              <w:top w:val="nil" w:sz="6" w:space="0" w:color="auto"/>
              <w:left w:val="single" w:sz="4" w:space="0" w:color="000000"/>
              <w:bottom w:val="single" w:sz="4" w:space="0" w:color="000000"/>
              <w:right w:val="single" w:sz="4" w:space="0" w:color="000000"/>
            </w:tcBorders>
          </w:tcPr>
          <w:p>
            <w:pPr/>
          </w:p>
        </w:tc>
        <w:tc>
          <w:tcPr>
            <w:tcW w:w="590" w:type="dxa"/>
            <w:tcBorders>
              <w:top w:val="nil" w:sz="6" w:space="0" w:color="auto"/>
              <w:left w:val="single" w:sz="4" w:space="0" w:color="000000"/>
              <w:bottom w:val="single" w:sz="4" w:space="0" w:color="000000"/>
              <w:right w:val="single" w:sz="4" w:space="0" w:color="000000"/>
            </w:tcBorders>
          </w:tcPr>
          <w:p>
            <w:pPr/>
          </w:p>
        </w:tc>
        <w:tc>
          <w:tcPr>
            <w:tcW w:w="726" w:type="dxa"/>
            <w:tcBorders>
              <w:top w:val="nil" w:sz="6" w:space="0" w:color="auto"/>
              <w:left w:val="single" w:sz="4" w:space="0" w:color="000000"/>
              <w:bottom w:val="single" w:sz="4" w:space="0" w:color="000000"/>
              <w:right w:val="single" w:sz="4" w:space="0" w:color="000000"/>
            </w:tcBorders>
          </w:tcPr>
          <w:p>
            <w:pPr/>
          </w:p>
        </w:tc>
        <w:tc>
          <w:tcPr>
            <w:tcW w:w="908" w:type="dxa"/>
            <w:tcBorders>
              <w:top w:val="nil" w:sz="6" w:space="0" w:color="auto"/>
              <w:left w:val="single" w:sz="4" w:space="0" w:color="000000"/>
              <w:bottom w:val="single" w:sz="4" w:space="0" w:color="000000"/>
              <w:right w:val="single" w:sz="4" w:space="0" w:color="000000"/>
            </w:tcBorders>
          </w:tcPr>
          <w:p>
            <w:pPr/>
          </w:p>
        </w:tc>
        <w:tc>
          <w:tcPr>
            <w:tcW w:w="806" w:type="dxa"/>
            <w:tcBorders>
              <w:top w:val="nil" w:sz="6" w:space="0" w:color="auto"/>
              <w:left w:val="single" w:sz="4" w:space="0" w:color="000000"/>
              <w:bottom w:val="single" w:sz="4" w:space="0" w:color="000000"/>
              <w:right w:val="single" w:sz="4" w:space="0" w:color="000000"/>
            </w:tcBorders>
          </w:tcPr>
          <w:p>
            <w:pPr/>
          </w:p>
        </w:tc>
        <w:tc>
          <w:tcPr>
            <w:tcW w:w="574" w:type="dxa"/>
            <w:tcBorders>
              <w:top w:val="nil" w:sz="6" w:space="0" w:color="auto"/>
              <w:left w:val="single" w:sz="4" w:space="0" w:color="000000"/>
              <w:bottom w:val="single" w:sz="4" w:space="0" w:color="000000"/>
              <w:right w:val="single" w:sz="4" w:space="0" w:color="000000"/>
            </w:tcBorders>
          </w:tcPr>
          <w:p>
            <w:pPr/>
          </w:p>
        </w:tc>
        <w:tc>
          <w:tcPr>
            <w:tcW w:w="720" w:type="dxa"/>
            <w:tcBorders>
              <w:top w:val="nil" w:sz="6" w:space="0" w:color="auto"/>
              <w:left w:val="single" w:sz="4" w:space="0" w:color="000000"/>
              <w:bottom w:val="single" w:sz="4" w:space="0" w:color="000000"/>
              <w:right w:val="single" w:sz="4" w:space="0" w:color="000000"/>
            </w:tcBorders>
          </w:tcPr>
          <w:p>
            <w:pPr/>
          </w:p>
        </w:tc>
        <w:tc>
          <w:tcPr>
            <w:tcW w:w="886" w:type="dxa"/>
            <w:tcBorders>
              <w:top w:val="nil" w:sz="6" w:space="0" w:color="auto"/>
              <w:left w:val="single" w:sz="4" w:space="0" w:color="000000"/>
              <w:bottom w:val="single" w:sz="4" w:space="0" w:color="000000"/>
              <w:right w:val="single" w:sz="4" w:space="0" w:color="000000"/>
            </w:tcBorders>
          </w:tcPr>
          <w:p>
            <w:pPr/>
          </w:p>
        </w:tc>
        <w:tc>
          <w:tcPr>
            <w:tcW w:w="866" w:type="dxa"/>
            <w:tcBorders>
              <w:top w:val="nil" w:sz="6" w:space="0" w:color="auto"/>
              <w:left w:val="single" w:sz="4" w:space="0" w:color="000000"/>
              <w:bottom w:val="single" w:sz="4" w:space="0" w:color="000000"/>
              <w:right w:val="single" w:sz="4" w:space="0" w:color="000000"/>
            </w:tcBorders>
          </w:tcPr>
          <w:p>
            <w:pPr/>
          </w:p>
        </w:tc>
        <w:tc>
          <w:tcPr>
            <w:tcW w:w="755" w:type="dxa"/>
            <w:tcBorders>
              <w:top w:val="nil" w:sz="6" w:space="0" w:color="auto"/>
              <w:left w:val="single" w:sz="4" w:space="0" w:color="000000"/>
              <w:bottom w:val="single" w:sz="4" w:space="0" w:color="000000"/>
              <w:right w:val="single" w:sz="4" w:space="0" w:color="000000"/>
            </w:tcBorders>
          </w:tcPr>
          <w:p>
            <w:pPr/>
          </w:p>
        </w:tc>
      </w:tr>
    </w:tbl>
    <w:p>
      <w:pPr>
        <w:spacing w:after="0"/>
        <w:sectPr>
          <w:pgSz w:w="11910" w:h="16840"/>
          <w:pgMar w:header="787" w:footer="982" w:top="1100" w:bottom="1180" w:left="1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7"/>
          <w:szCs w:val="17"/>
        </w:rPr>
      </w:pPr>
    </w:p>
    <w:p>
      <w:pPr>
        <w:spacing w:before="53"/>
        <w:ind w:left="0" w:right="180" w:firstLine="0"/>
        <w:jc w:val="right"/>
        <w:rPr>
          <w:rFonts w:ascii="宋体" w:hAnsi="宋体" w:cs="宋体" w:eastAsia="宋体" w:hint="default"/>
          <w:sz w:val="15"/>
          <w:szCs w:val="15"/>
        </w:rPr>
      </w:pPr>
      <w:r>
        <w:rPr/>
        <w:pict>
          <v:shape style="position:absolute;margin-left:11.52pt;margin-top:-439.849884pt;width:572.5pt;height:504.2pt;mso-position-horizontal-relative:page;mso-position-vertical-relative:paragraph;z-index:208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334"/>
                    <w:gridCol w:w="908"/>
                    <w:gridCol w:w="726"/>
                    <w:gridCol w:w="788"/>
                    <w:gridCol w:w="846"/>
                    <w:gridCol w:w="590"/>
                    <w:gridCol w:w="726"/>
                    <w:gridCol w:w="908"/>
                    <w:gridCol w:w="806"/>
                    <w:gridCol w:w="574"/>
                    <w:gridCol w:w="720"/>
                    <w:gridCol w:w="886"/>
                    <w:gridCol w:w="866"/>
                    <w:gridCol w:w="755"/>
                  </w:tblGrid>
                  <w:tr>
                    <w:trPr>
                      <w:trHeight w:val="311" w:hRule="exact"/>
                    </w:trPr>
                    <w:tc>
                      <w:tcPr>
                        <w:tcW w:w="1334" w:type="dxa"/>
                        <w:tcBorders>
                          <w:top w:val="single" w:sz="4" w:space="0" w:color="000000"/>
                          <w:left w:val="single" w:sz="4" w:space="0" w:color="000000"/>
                          <w:bottom w:val="nil" w:sz="6" w:space="0" w:color="auto"/>
                          <w:right w:val="single" w:sz="4" w:space="0" w:color="000000"/>
                        </w:tcBorders>
                      </w:tcPr>
                      <w:p>
                        <w:pPr/>
                      </w:p>
                    </w:tc>
                    <w:tc>
                      <w:tcPr>
                        <w:tcW w:w="908" w:type="dxa"/>
                        <w:tcBorders>
                          <w:top w:val="single" w:sz="4" w:space="0" w:color="000000"/>
                          <w:left w:val="single" w:sz="4" w:space="0" w:color="000000"/>
                          <w:bottom w:val="nil" w:sz="6" w:space="0" w:color="auto"/>
                          <w:right w:val="single" w:sz="4" w:space="0" w:color="000000"/>
                        </w:tcBorders>
                      </w:tcPr>
                      <w:p>
                        <w:pPr/>
                      </w:p>
                    </w:tc>
                    <w:tc>
                      <w:tcPr>
                        <w:tcW w:w="726" w:type="dxa"/>
                        <w:tcBorders>
                          <w:top w:val="single" w:sz="4" w:space="0" w:color="000000"/>
                          <w:left w:val="single" w:sz="4" w:space="0" w:color="000000"/>
                          <w:bottom w:val="nil" w:sz="6" w:space="0" w:color="auto"/>
                          <w:right w:val="single" w:sz="4" w:space="0" w:color="000000"/>
                        </w:tcBorders>
                      </w:tcPr>
                      <w:p>
                        <w:pPr/>
                      </w:p>
                    </w:tc>
                    <w:tc>
                      <w:tcPr>
                        <w:tcW w:w="78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right="0"/>
                          <w:jc w:val="left"/>
                          <w:rPr>
                            <w:rFonts w:ascii="宋体" w:hAnsi="宋体" w:cs="宋体" w:eastAsia="宋体" w:hint="default"/>
                            <w:sz w:val="13"/>
                            <w:szCs w:val="13"/>
                          </w:rPr>
                        </w:pPr>
                        <w:r>
                          <w:rPr>
                            <w:rFonts w:ascii="宋体" w:hAnsi="宋体" w:cs="宋体" w:eastAsia="宋体" w:hint="default"/>
                            <w:sz w:val="13"/>
                            <w:szCs w:val="13"/>
                          </w:rPr>
                          <w:t>销售整机、服</w:t>
                        </w:r>
                      </w:p>
                    </w:tc>
                    <w:tc>
                      <w:tcPr>
                        <w:tcW w:w="846" w:type="dxa"/>
                        <w:tcBorders>
                          <w:top w:val="single" w:sz="4" w:space="0" w:color="000000"/>
                          <w:left w:val="single" w:sz="4" w:space="0" w:color="000000"/>
                          <w:bottom w:val="nil" w:sz="6" w:space="0" w:color="auto"/>
                          <w:right w:val="single" w:sz="4" w:space="0" w:color="000000"/>
                        </w:tcBorders>
                      </w:tcPr>
                      <w:p>
                        <w:pPr/>
                      </w:p>
                    </w:tc>
                    <w:tc>
                      <w:tcPr>
                        <w:tcW w:w="590" w:type="dxa"/>
                        <w:tcBorders>
                          <w:top w:val="single" w:sz="4" w:space="0" w:color="000000"/>
                          <w:left w:val="single" w:sz="4" w:space="0" w:color="000000"/>
                          <w:bottom w:val="nil" w:sz="6" w:space="0" w:color="auto"/>
                          <w:right w:val="single" w:sz="4" w:space="0" w:color="000000"/>
                        </w:tcBorders>
                      </w:tcPr>
                      <w:p>
                        <w:pPr/>
                      </w:p>
                    </w:tc>
                    <w:tc>
                      <w:tcPr>
                        <w:tcW w:w="726" w:type="dxa"/>
                        <w:tcBorders>
                          <w:top w:val="single" w:sz="4" w:space="0" w:color="000000"/>
                          <w:left w:val="single" w:sz="4" w:space="0" w:color="000000"/>
                          <w:bottom w:val="nil" w:sz="6" w:space="0" w:color="auto"/>
                          <w:right w:val="single" w:sz="4" w:space="0" w:color="000000"/>
                        </w:tcBorders>
                      </w:tcPr>
                      <w:p>
                        <w:pPr/>
                      </w:p>
                    </w:tc>
                    <w:tc>
                      <w:tcPr>
                        <w:tcW w:w="908" w:type="dxa"/>
                        <w:tcBorders>
                          <w:top w:val="single" w:sz="4" w:space="0" w:color="000000"/>
                          <w:left w:val="single" w:sz="4" w:space="0" w:color="000000"/>
                          <w:bottom w:val="nil" w:sz="6" w:space="0" w:color="auto"/>
                          <w:right w:val="single" w:sz="4" w:space="0" w:color="000000"/>
                        </w:tcBorders>
                      </w:tcPr>
                      <w:p>
                        <w:pPr/>
                      </w:p>
                    </w:tc>
                    <w:tc>
                      <w:tcPr>
                        <w:tcW w:w="806" w:type="dxa"/>
                        <w:tcBorders>
                          <w:top w:val="single" w:sz="4" w:space="0" w:color="000000"/>
                          <w:left w:val="single" w:sz="4" w:space="0" w:color="000000"/>
                          <w:bottom w:val="nil" w:sz="6" w:space="0" w:color="auto"/>
                          <w:right w:val="single" w:sz="4" w:space="0" w:color="000000"/>
                        </w:tcBorders>
                      </w:tcPr>
                      <w:p>
                        <w:pPr/>
                      </w:p>
                    </w:tc>
                    <w:tc>
                      <w:tcPr>
                        <w:tcW w:w="574" w:type="dxa"/>
                        <w:tcBorders>
                          <w:top w:val="single" w:sz="4" w:space="0" w:color="000000"/>
                          <w:left w:val="single" w:sz="4" w:space="0" w:color="000000"/>
                          <w:bottom w:val="nil" w:sz="6" w:space="0" w:color="auto"/>
                          <w:right w:val="single" w:sz="4" w:space="0" w:color="000000"/>
                        </w:tcBorders>
                      </w:tcPr>
                      <w:p>
                        <w:pPr/>
                      </w:p>
                    </w:tc>
                    <w:tc>
                      <w:tcPr>
                        <w:tcW w:w="720" w:type="dxa"/>
                        <w:tcBorders>
                          <w:top w:val="single" w:sz="4" w:space="0" w:color="000000"/>
                          <w:left w:val="single" w:sz="4" w:space="0" w:color="000000"/>
                          <w:bottom w:val="nil" w:sz="6" w:space="0" w:color="auto"/>
                          <w:right w:val="single" w:sz="4" w:space="0" w:color="000000"/>
                        </w:tcBorders>
                      </w:tcPr>
                      <w:p>
                        <w:pPr/>
                      </w:p>
                    </w:tc>
                    <w:tc>
                      <w:tcPr>
                        <w:tcW w:w="886" w:type="dxa"/>
                        <w:tcBorders>
                          <w:top w:val="single" w:sz="4" w:space="0" w:color="000000"/>
                          <w:left w:val="single" w:sz="4" w:space="0" w:color="000000"/>
                          <w:bottom w:val="nil" w:sz="6" w:space="0" w:color="auto"/>
                          <w:right w:val="single" w:sz="4" w:space="0" w:color="000000"/>
                        </w:tcBorders>
                      </w:tcPr>
                      <w:p>
                        <w:pPr/>
                      </w:p>
                    </w:tc>
                    <w:tc>
                      <w:tcPr>
                        <w:tcW w:w="866" w:type="dxa"/>
                        <w:tcBorders>
                          <w:top w:val="single" w:sz="4" w:space="0" w:color="000000"/>
                          <w:left w:val="single" w:sz="4" w:space="0" w:color="000000"/>
                          <w:bottom w:val="nil" w:sz="6" w:space="0" w:color="auto"/>
                          <w:right w:val="single" w:sz="4" w:space="0" w:color="000000"/>
                        </w:tcBorders>
                      </w:tcPr>
                      <w:p>
                        <w:pPr/>
                      </w:p>
                    </w:tc>
                    <w:tc>
                      <w:tcPr>
                        <w:tcW w:w="755" w:type="dxa"/>
                        <w:tcBorders>
                          <w:top w:val="single" w:sz="4" w:space="0" w:color="000000"/>
                          <w:left w:val="single" w:sz="4" w:space="0" w:color="000000"/>
                          <w:bottom w:val="nil" w:sz="6" w:space="0" w:color="auto"/>
                          <w:right w:val="single" w:sz="4" w:space="0" w:color="000000"/>
                        </w:tcBorders>
                      </w:tcPr>
                      <w:p>
                        <w:pPr/>
                      </w:p>
                    </w:tc>
                  </w:tr>
                  <w:tr>
                    <w:trPr>
                      <w:trHeight w:val="239" w:hRule="exact"/>
                    </w:trPr>
                    <w:tc>
                      <w:tcPr>
                        <w:tcW w:w="1334"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left="-1" w:right="0"/>
                          <w:jc w:val="left"/>
                          <w:rPr>
                            <w:rFonts w:ascii="宋体" w:hAnsi="宋体" w:cs="宋体" w:eastAsia="宋体" w:hint="default"/>
                            <w:sz w:val="15"/>
                            <w:szCs w:val="15"/>
                          </w:rPr>
                        </w:pPr>
                        <w:r>
                          <w:rPr>
                            <w:rFonts w:ascii="宋体" w:hAnsi="宋体" w:cs="宋体" w:eastAsia="宋体" w:hint="default"/>
                            <w:sz w:val="15"/>
                            <w:szCs w:val="15"/>
                          </w:rPr>
                          <w:t>中国软件与技术服</w:t>
                        </w:r>
                      </w:p>
                    </w:tc>
                    <w:tc>
                      <w:tcPr>
                        <w:tcW w:w="908" w:type="dxa"/>
                        <w:tcBorders>
                          <w:top w:val="nil" w:sz="6" w:space="0" w:color="auto"/>
                          <w:left w:val="single" w:sz="4" w:space="0" w:color="000000"/>
                          <w:bottom w:val="nil" w:sz="6" w:space="0" w:color="auto"/>
                          <w:right w:val="single" w:sz="4" w:space="0" w:color="000000"/>
                        </w:tcBorders>
                      </w:tcPr>
                      <w:p>
                        <w:pPr/>
                      </w:p>
                    </w:tc>
                    <w:tc>
                      <w:tcPr>
                        <w:tcW w:w="726" w:type="dxa"/>
                        <w:tcBorders>
                          <w:top w:val="nil" w:sz="6" w:space="0" w:color="auto"/>
                          <w:left w:val="single" w:sz="4" w:space="0" w:color="000000"/>
                          <w:bottom w:val="nil" w:sz="6" w:space="0" w:color="auto"/>
                          <w:right w:val="single" w:sz="4" w:space="0" w:color="000000"/>
                        </w:tcBorders>
                      </w:tcPr>
                      <w:p>
                        <w:pPr/>
                      </w:p>
                    </w:tc>
                    <w:tc>
                      <w:tcPr>
                        <w:tcW w:w="788"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
                          <w:jc w:val="left"/>
                          <w:rPr>
                            <w:rFonts w:ascii="宋体" w:hAnsi="宋体" w:cs="宋体" w:eastAsia="宋体" w:hint="default"/>
                            <w:sz w:val="13"/>
                            <w:szCs w:val="13"/>
                          </w:rPr>
                        </w:pPr>
                        <w:r>
                          <w:rPr>
                            <w:rFonts w:ascii="宋体" w:hAnsi="宋体" w:cs="宋体" w:eastAsia="宋体" w:hint="default"/>
                            <w:sz w:val="13"/>
                            <w:szCs w:val="13"/>
                          </w:rPr>
                          <w:t>务器、存储、</w:t>
                        </w:r>
                      </w:p>
                    </w:tc>
                    <w:tc>
                      <w:tcPr>
                        <w:tcW w:w="846" w:type="dxa"/>
                        <w:tcBorders>
                          <w:top w:val="nil" w:sz="6" w:space="0" w:color="auto"/>
                          <w:left w:val="single" w:sz="4" w:space="0" w:color="000000"/>
                          <w:bottom w:val="nil" w:sz="6" w:space="0" w:color="auto"/>
                          <w:right w:val="single" w:sz="4" w:space="0" w:color="000000"/>
                        </w:tcBorders>
                      </w:tcPr>
                      <w:p>
                        <w:pPr/>
                      </w:p>
                    </w:tc>
                    <w:tc>
                      <w:tcPr>
                        <w:tcW w:w="590" w:type="dxa"/>
                        <w:tcBorders>
                          <w:top w:val="nil" w:sz="6" w:space="0" w:color="auto"/>
                          <w:left w:val="single" w:sz="4" w:space="0" w:color="000000"/>
                          <w:bottom w:val="nil" w:sz="6" w:space="0" w:color="auto"/>
                          <w:right w:val="single" w:sz="4" w:space="0" w:color="000000"/>
                        </w:tcBorders>
                      </w:tcPr>
                      <w:p>
                        <w:pPr/>
                      </w:p>
                    </w:tc>
                    <w:tc>
                      <w:tcPr>
                        <w:tcW w:w="726" w:type="dxa"/>
                        <w:tcBorders>
                          <w:top w:val="nil" w:sz="6" w:space="0" w:color="auto"/>
                          <w:left w:val="single" w:sz="4" w:space="0" w:color="000000"/>
                          <w:bottom w:val="nil" w:sz="6" w:space="0" w:color="auto"/>
                          <w:right w:val="single" w:sz="4" w:space="0" w:color="000000"/>
                        </w:tcBorders>
                      </w:tcPr>
                      <w:p>
                        <w:pPr/>
                      </w:p>
                    </w:tc>
                    <w:tc>
                      <w:tcPr>
                        <w:tcW w:w="908" w:type="dxa"/>
                        <w:tcBorders>
                          <w:top w:val="nil" w:sz="6" w:space="0" w:color="auto"/>
                          <w:left w:val="single" w:sz="4" w:space="0" w:color="000000"/>
                          <w:bottom w:val="nil" w:sz="6" w:space="0" w:color="auto"/>
                          <w:right w:val="single" w:sz="4" w:space="0" w:color="000000"/>
                        </w:tcBorders>
                      </w:tcPr>
                      <w:p>
                        <w:pPr/>
                      </w:p>
                    </w:tc>
                    <w:tc>
                      <w:tcPr>
                        <w:tcW w:w="806" w:type="dxa"/>
                        <w:tcBorders>
                          <w:top w:val="nil" w:sz="6" w:space="0" w:color="auto"/>
                          <w:left w:val="single" w:sz="4" w:space="0" w:color="000000"/>
                          <w:bottom w:val="nil" w:sz="6" w:space="0" w:color="auto"/>
                          <w:right w:val="single" w:sz="4" w:space="0" w:color="000000"/>
                        </w:tcBorders>
                      </w:tcPr>
                      <w:p>
                        <w:pPr/>
                      </w:p>
                    </w:tc>
                    <w:tc>
                      <w:tcPr>
                        <w:tcW w:w="574" w:type="dxa"/>
                        <w:tcBorders>
                          <w:top w:val="nil" w:sz="6" w:space="0" w:color="auto"/>
                          <w:left w:val="single" w:sz="4" w:space="0" w:color="000000"/>
                          <w:bottom w:val="nil" w:sz="6" w:space="0" w:color="auto"/>
                          <w:right w:val="single" w:sz="4" w:space="0" w:color="000000"/>
                        </w:tcBorders>
                      </w:tcPr>
                      <w:p>
                        <w:pPr/>
                      </w:p>
                    </w:tc>
                    <w:tc>
                      <w:tcPr>
                        <w:tcW w:w="720" w:type="dxa"/>
                        <w:tcBorders>
                          <w:top w:val="nil" w:sz="6" w:space="0" w:color="auto"/>
                          <w:left w:val="single" w:sz="4" w:space="0" w:color="000000"/>
                          <w:bottom w:val="nil" w:sz="6" w:space="0" w:color="auto"/>
                          <w:right w:val="single" w:sz="4" w:space="0" w:color="000000"/>
                        </w:tcBorders>
                      </w:tcPr>
                      <w:p>
                        <w:pPr/>
                      </w:p>
                    </w:tc>
                    <w:tc>
                      <w:tcPr>
                        <w:tcW w:w="886" w:type="dxa"/>
                        <w:tcBorders>
                          <w:top w:val="nil" w:sz="6" w:space="0" w:color="auto"/>
                          <w:left w:val="single" w:sz="4" w:space="0" w:color="000000"/>
                          <w:bottom w:val="nil" w:sz="6" w:space="0" w:color="auto"/>
                          <w:right w:val="single" w:sz="4" w:space="0" w:color="000000"/>
                        </w:tcBorders>
                      </w:tcPr>
                      <w:p>
                        <w:pPr/>
                      </w:p>
                    </w:tc>
                    <w:tc>
                      <w:tcPr>
                        <w:tcW w:w="866" w:type="dxa"/>
                        <w:tcBorders>
                          <w:top w:val="nil" w:sz="6" w:space="0" w:color="auto"/>
                          <w:left w:val="single" w:sz="4" w:space="0" w:color="000000"/>
                          <w:bottom w:val="nil" w:sz="6" w:space="0" w:color="auto"/>
                          <w:right w:val="single" w:sz="4" w:space="0" w:color="000000"/>
                        </w:tcBorders>
                      </w:tcPr>
                      <w:p>
                        <w:pPr/>
                      </w:p>
                    </w:tc>
                    <w:tc>
                      <w:tcPr>
                        <w:tcW w:w="755" w:type="dxa"/>
                        <w:tcBorders>
                          <w:top w:val="nil" w:sz="6" w:space="0" w:color="auto"/>
                          <w:left w:val="single" w:sz="4" w:space="0" w:color="000000"/>
                          <w:bottom w:val="nil" w:sz="6" w:space="0" w:color="auto"/>
                          <w:right w:val="single" w:sz="4" w:space="0" w:color="000000"/>
                        </w:tcBorders>
                      </w:tcPr>
                      <w:p>
                        <w:pPr/>
                      </w:p>
                    </w:tc>
                  </w:tr>
                  <w:tr>
                    <w:trPr>
                      <w:trHeight w:val="160" w:hRule="exact"/>
                    </w:trPr>
                    <w:tc>
                      <w:tcPr>
                        <w:tcW w:w="1334" w:type="dxa"/>
                        <w:tcBorders>
                          <w:top w:val="nil" w:sz="6" w:space="0" w:color="auto"/>
                          <w:left w:val="single" w:sz="4" w:space="0" w:color="000000"/>
                          <w:bottom w:val="nil" w:sz="6" w:space="0" w:color="auto"/>
                          <w:right w:val="single" w:sz="4" w:space="0" w:color="000000"/>
                        </w:tcBorders>
                      </w:tcPr>
                      <w:p>
                        <w:pPr/>
                      </w:p>
                    </w:tc>
                    <w:tc>
                      <w:tcPr>
                        <w:tcW w:w="908" w:type="dxa"/>
                        <w:tcBorders>
                          <w:top w:val="nil" w:sz="6" w:space="0" w:color="auto"/>
                          <w:left w:val="single" w:sz="4" w:space="0" w:color="000000"/>
                          <w:bottom w:val="nil" w:sz="6" w:space="0" w:color="auto"/>
                          <w:right w:val="single" w:sz="4" w:space="0" w:color="000000"/>
                        </w:tcBorders>
                      </w:tcPr>
                      <w:p>
                        <w:pPr>
                          <w:pStyle w:val="TableParagraph"/>
                          <w:spacing w:line="153" w:lineRule="exact"/>
                          <w:ind w:left="1" w:right="0"/>
                          <w:jc w:val="left"/>
                          <w:rPr>
                            <w:rFonts w:ascii="宋体" w:hAnsi="宋体" w:cs="宋体" w:eastAsia="宋体" w:hint="default"/>
                            <w:sz w:val="15"/>
                            <w:szCs w:val="15"/>
                          </w:rPr>
                        </w:pPr>
                        <w:r>
                          <w:rPr>
                            <w:rFonts w:ascii="宋体" w:hAnsi="宋体" w:cs="宋体" w:eastAsia="宋体" w:hint="default"/>
                            <w:sz w:val="15"/>
                            <w:szCs w:val="15"/>
                          </w:rPr>
                          <w:t>受同一最终</w:t>
                        </w:r>
                      </w:p>
                    </w:tc>
                    <w:tc>
                      <w:tcPr>
                        <w:tcW w:w="726" w:type="dxa"/>
                        <w:tcBorders>
                          <w:top w:val="nil" w:sz="6" w:space="0" w:color="auto"/>
                          <w:left w:val="single" w:sz="4" w:space="0" w:color="000000"/>
                          <w:bottom w:val="nil" w:sz="6" w:space="0" w:color="auto"/>
                          <w:right w:val="single" w:sz="4" w:space="0" w:color="000000"/>
                        </w:tcBorders>
                      </w:tcPr>
                      <w:p>
                        <w:pPr/>
                      </w:p>
                    </w:tc>
                    <w:tc>
                      <w:tcPr>
                        <w:tcW w:w="788" w:type="dxa"/>
                        <w:tcBorders>
                          <w:top w:val="nil" w:sz="6" w:space="0" w:color="auto"/>
                          <w:left w:val="single" w:sz="4" w:space="0" w:color="000000"/>
                          <w:bottom w:val="nil" w:sz="6" w:space="0" w:color="auto"/>
                          <w:right w:val="single" w:sz="4" w:space="0" w:color="000000"/>
                        </w:tcBorders>
                      </w:tcPr>
                      <w:p>
                        <w:pPr/>
                      </w:p>
                    </w:tc>
                    <w:tc>
                      <w:tcPr>
                        <w:tcW w:w="846" w:type="dxa"/>
                        <w:tcBorders>
                          <w:top w:val="nil" w:sz="6" w:space="0" w:color="auto"/>
                          <w:left w:val="single" w:sz="4" w:space="0" w:color="000000"/>
                          <w:bottom w:val="nil" w:sz="6" w:space="0" w:color="auto"/>
                          <w:right w:val="single" w:sz="4" w:space="0" w:color="000000"/>
                        </w:tcBorders>
                      </w:tcPr>
                      <w:p>
                        <w:pPr>
                          <w:pStyle w:val="TableParagraph"/>
                          <w:spacing w:line="153" w:lineRule="exact"/>
                          <w:ind w:right="84"/>
                          <w:jc w:val="center"/>
                          <w:rPr>
                            <w:rFonts w:ascii="宋体" w:hAnsi="宋体" w:cs="宋体" w:eastAsia="宋体" w:hint="default"/>
                            <w:sz w:val="15"/>
                            <w:szCs w:val="15"/>
                          </w:rPr>
                        </w:pPr>
                        <w:r>
                          <w:rPr>
                            <w:rFonts w:ascii="宋体" w:hAnsi="宋体" w:cs="宋体" w:eastAsia="宋体" w:hint="default"/>
                            <w:sz w:val="15"/>
                            <w:szCs w:val="15"/>
                          </w:rPr>
                          <w:t>根据市场价</w:t>
                        </w:r>
                      </w:p>
                    </w:tc>
                    <w:tc>
                      <w:tcPr>
                        <w:tcW w:w="590" w:type="dxa"/>
                        <w:tcBorders>
                          <w:top w:val="nil" w:sz="6" w:space="0" w:color="auto"/>
                          <w:left w:val="single" w:sz="4" w:space="0" w:color="000000"/>
                          <w:bottom w:val="nil" w:sz="6" w:space="0" w:color="auto"/>
                          <w:right w:val="single" w:sz="4" w:space="0" w:color="000000"/>
                        </w:tcBorders>
                      </w:tcPr>
                      <w:p>
                        <w:pPr>
                          <w:pStyle w:val="TableParagraph"/>
                          <w:spacing w:line="153" w:lineRule="exact"/>
                          <w:ind w:right="1"/>
                          <w:jc w:val="center"/>
                          <w:rPr>
                            <w:rFonts w:ascii="宋体" w:hAnsi="宋体" w:cs="宋体" w:eastAsia="宋体" w:hint="default"/>
                            <w:sz w:val="15"/>
                            <w:szCs w:val="15"/>
                          </w:rPr>
                        </w:pPr>
                        <w:r>
                          <w:rPr>
                            <w:rFonts w:ascii="宋体" w:hAnsi="宋体" w:cs="宋体" w:eastAsia="宋体" w:hint="default"/>
                            <w:sz w:val="15"/>
                            <w:szCs w:val="15"/>
                          </w:rPr>
                          <w:t>参考市</w:t>
                        </w:r>
                      </w:p>
                    </w:tc>
                    <w:tc>
                      <w:tcPr>
                        <w:tcW w:w="726" w:type="dxa"/>
                        <w:tcBorders>
                          <w:top w:val="nil" w:sz="6" w:space="0" w:color="auto"/>
                          <w:left w:val="single" w:sz="4" w:space="0" w:color="000000"/>
                          <w:bottom w:val="nil" w:sz="6" w:space="0" w:color="auto"/>
                          <w:right w:val="single" w:sz="4" w:space="0" w:color="000000"/>
                        </w:tcBorders>
                      </w:tcPr>
                      <w:p>
                        <w:pPr/>
                      </w:p>
                    </w:tc>
                    <w:tc>
                      <w:tcPr>
                        <w:tcW w:w="908" w:type="dxa"/>
                        <w:tcBorders>
                          <w:top w:val="nil" w:sz="6" w:space="0" w:color="auto"/>
                          <w:left w:val="single" w:sz="4" w:space="0" w:color="000000"/>
                          <w:bottom w:val="nil" w:sz="6" w:space="0" w:color="auto"/>
                          <w:right w:val="single" w:sz="4" w:space="0" w:color="000000"/>
                        </w:tcBorders>
                      </w:tcPr>
                      <w:p>
                        <w:pPr/>
                      </w:p>
                    </w:tc>
                    <w:tc>
                      <w:tcPr>
                        <w:tcW w:w="806" w:type="dxa"/>
                        <w:tcBorders>
                          <w:top w:val="nil" w:sz="6" w:space="0" w:color="auto"/>
                          <w:left w:val="single" w:sz="4" w:space="0" w:color="000000"/>
                          <w:bottom w:val="nil" w:sz="6" w:space="0" w:color="auto"/>
                          <w:right w:val="single" w:sz="4" w:space="0" w:color="000000"/>
                        </w:tcBorders>
                      </w:tcPr>
                      <w:p>
                        <w:pPr/>
                      </w:p>
                    </w:tc>
                    <w:tc>
                      <w:tcPr>
                        <w:tcW w:w="574" w:type="dxa"/>
                        <w:tcBorders>
                          <w:top w:val="nil" w:sz="6" w:space="0" w:color="auto"/>
                          <w:left w:val="single" w:sz="4" w:space="0" w:color="000000"/>
                          <w:bottom w:val="nil" w:sz="6" w:space="0" w:color="auto"/>
                          <w:right w:val="single" w:sz="4" w:space="0" w:color="000000"/>
                        </w:tcBorders>
                      </w:tcPr>
                      <w:p>
                        <w:pPr/>
                      </w:p>
                    </w:tc>
                    <w:tc>
                      <w:tcPr>
                        <w:tcW w:w="720" w:type="dxa"/>
                        <w:tcBorders>
                          <w:top w:val="nil" w:sz="6" w:space="0" w:color="auto"/>
                          <w:left w:val="single" w:sz="4" w:space="0" w:color="000000"/>
                          <w:bottom w:val="nil" w:sz="6" w:space="0" w:color="auto"/>
                          <w:right w:val="single" w:sz="4" w:space="0" w:color="000000"/>
                        </w:tcBorders>
                      </w:tcPr>
                      <w:p>
                        <w:pPr>
                          <w:pStyle w:val="TableParagraph"/>
                          <w:spacing w:line="153" w:lineRule="exact"/>
                          <w:ind w:right="0"/>
                          <w:jc w:val="left"/>
                          <w:rPr>
                            <w:rFonts w:ascii="宋体" w:hAnsi="宋体" w:cs="宋体" w:eastAsia="宋体" w:hint="default"/>
                            <w:sz w:val="15"/>
                            <w:szCs w:val="15"/>
                          </w:rPr>
                        </w:pPr>
                        <w:r>
                          <w:rPr>
                            <w:rFonts w:ascii="宋体" w:hAnsi="宋体" w:cs="宋体" w:eastAsia="宋体" w:hint="default"/>
                            <w:sz w:val="15"/>
                            <w:szCs w:val="15"/>
                          </w:rPr>
                          <w:t>根据合同</w:t>
                        </w:r>
                      </w:p>
                    </w:tc>
                    <w:tc>
                      <w:tcPr>
                        <w:tcW w:w="886" w:type="dxa"/>
                        <w:tcBorders>
                          <w:top w:val="nil" w:sz="6" w:space="0" w:color="auto"/>
                          <w:left w:val="single" w:sz="4" w:space="0" w:color="000000"/>
                          <w:bottom w:val="nil" w:sz="6" w:space="0" w:color="auto"/>
                          <w:right w:val="single" w:sz="4" w:space="0" w:color="000000"/>
                        </w:tcBorders>
                      </w:tcPr>
                      <w:p>
                        <w:pPr/>
                      </w:p>
                    </w:tc>
                    <w:tc>
                      <w:tcPr>
                        <w:tcW w:w="866" w:type="dxa"/>
                        <w:tcBorders>
                          <w:top w:val="nil" w:sz="6" w:space="0" w:color="auto"/>
                          <w:left w:val="single" w:sz="4" w:space="0" w:color="000000"/>
                          <w:bottom w:val="nil" w:sz="6" w:space="0" w:color="auto"/>
                          <w:right w:val="single" w:sz="4" w:space="0" w:color="000000"/>
                        </w:tcBorders>
                      </w:tcPr>
                      <w:p>
                        <w:pPr>
                          <w:pStyle w:val="TableParagraph"/>
                          <w:spacing w:line="164" w:lineRule="exact"/>
                          <w:ind w:left="-1"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2018</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1</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月</w:t>
                        </w:r>
                      </w:p>
                    </w:tc>
                    <w:tc>
                      <w:tcPr>
                        <w:tcW w:w="755" w:type="dxa"/>
                        <w:tcBorders>
                          <w:top w:val="nil" w:sz="6" w:space="0" w:color="auto"/>
                          <w:left w:val="single" w:sz="4" w:space="0" w:color="000000"/>
                          <w:bottom w:val="nil" w:sz="6" w:space="0" w:color="auto"/>
                          <w:right w:val="single" w:sz="4" w:space="0" w:color="000000"/>
                        </w:tcBorders>
                      </w:tcPr>
                      <w:p>
                        <w:pPr>
                          <w:pStyle w:val="TableParagraph"/>
                          <w:spacing w:line="164" w:lineRule="exact"/>
                          <w:ind w:left="-1" w:right="-2"/>
                          <w:jc w:val="left"/>
                          <w:rPr>
                            <w:rFonts w:ascii="宋体" w:hAnsi="宋体" w:cs="宋体" w:eastAsia="宋体" w:hint="default"/>
                            <w:sz w:val="15"/>
                            <w:szCs w:val="15"/>
                          </w:rPr>
                        </w:pPr>
                        <w:r>
                          <w:rPr>
                            <w:rFonts w:ascii="Times New Roman" w:hAnsi="Times New Roman" w:cs="Times New Roman" w:eastAsia="Times New Roman" w:hint="default"/>
                            <w:sz w:val="15"/>
                            <w:szCs w:val="15"/>
                          </w:rPr>
                          <w:t>2018-010</w:t>
                        </w:r>
                        <w:r>
                          <w:rPr>
                            <w:rFonts w:ascii="Times New Roman" w:hAnsi="Times New Roman" w:cs="Times New Roman" w:eastAsia="Times New Roman" w:hint="default"/>
                            <w:spacing w:val="-20"/>
                            <w:sz w:val="15"/>
                            <w:szCs w:val="15"/>
                          </w:rPr>
                          <w:t> </w:t>
                        </w:r>
                        <w:r>
                          <w:rPr>
                            <w:rFonts w:ascii="宋体" w:hAnsi="宋体" w:cs="宋体" w:eastAsia="宋体" w:hint="default"/>
                            <w:sz w:val="15"/>
                            <w:szCs w:val="15"/>
                          </w:rPr>
                          <w:t>号</w:t>
                        </w:r>
                      </w:p>
                    </w:tc>
                  </w:tr>
                  <w:tr>
                    <w:trPr>
                      <w:trHeight w:val="155" w:hRule="exact"/>
                    </w:trPr>
                    <w:tc>
                      <w:tcPr>
                        <w:tcW w:w="1334"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1"/>
                          <w:jc w:val="left"/>
                          <w:rPr>
                            <w:rFonts w:ascii="宋体" w:hAnsi="宋体" w:cs="宋体" w:eastAsia="宋体" w:hint="default"/>
                            <w:sz w:val="15"/>
                            <w:szCs w:val="15"/>
                          </w:rPr>
                        </w:pPr>
                        <w:r>
                          <w:rPr>
                            <w:rFonts w:ascii="宋体" w:hAnsi="宋体" w:cs="宋体" w:eastAsia="宋体" w:hint="default"/>
                            <w:spacing w:val="-3"/>
                            <w:sz w:val="15"/>
                            <w:szCs w:val="15"/>
                          </w:rPr>
                          <w:t>务股份有限公司（含</w:t>
                        </w:r>
                      </w:p>
                    </w:tc>
                    <w:tc>
                      <w:tcPr>
                        <w:tcW w:w="908" w:type="dxa"/>
                        <w:tcBorders>
                          <w:top w:val="nil" w:sz="6" w:space="0" w:color="auto"/>
                          <w:left w:val="single" w:sz="4" w:space="0" w:color="000000"/>
                          <w:bottom w:val="nil" w:sz="6" w:space="0" w:color="auto"/>
                          <w:right w:val="single" w:sz="4" w:space="0" w:color="000000"/>
                        </w:tcBorders>
                      </w:tcPr>
                      <w:p>
                        <w:pPr/>
                      </w:p>
                    </w:tc>
                    <w:tc>
                      <w:tcPr>
                        <w:tcW w:w="726"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1"/>
                          <w:jc w:val="center"/>
                          <w:rPr>
                            <w:rFonts w:ascii="宋体" w:hAnsi="宋体" w:cs="宋体" w:eastAsia="宋体" w:hint="default"/>
                            <w:sz w:val="15"/>
                            <w:szCs w:val="15"/>
                          </w:rPr>
                        </w:pPr>
                        <w:r>
                          <w:rPr>
                            <w:rFonts w:ascii="宋体" w:hAnsi="宋体" w:cs="宋体" w:eastAsia="宋体" w:hint="default"/>
                            <w:sz w:val="15"/>
                            <w:szCs w:val="15"/>
                          </w:rPr>
                          <w:t>销售</w:t>
                        </w:r>
                      </w:p>
                    </w:tc>
                    <w:tc>
                      <w:tcPr>
                        <w:tcW w:w="788" w:type="dxa"/>
                        <w:tcBorders>
                          <w:top w:val="nil" w:sz="6" w:space="0" w:color="auto"/>
                          <w:left w:val="single" w:sz="4" w:space="0" w:color="000000"/>
                          <w:bottom w:val="nil" w:sz="6" w:space="0" w:color="auto"/>
                          <w:right w:val="single" w:sz="4" w:space="0" w:color="000000"/>
                        </w:tcBorders>
                      </w:tcPr>
                      <w:p>
                        <w:pPr>
                          <w:pStyle w:val="TableParagraph"/>
                          <w:spacing w:line="139" w:lineRule="exact"/>
                          <w:ind w:right="0"/>
                          <w:jc w:val="left"/>
                          <w:rPr>
                            <w:rFonts w:ascii="宋体" w:hAnsi="宋体" w:cs="宋体" w:eastAsia="宋体" w:hint="default"/>
                            <w:sz w:val="13"/>
                            <w:szCs w:val="13"/>
                          </w:rPr>
                        </w:pPr>
                        <w:r>
                          <w:rPr>
                            <w:rFonts w:ascii="宋体" w:hAnsi="宋体" w:cs="宋体" w:eastAsia="宋体" w:hint="default"/>
                            <w:sz w:val="13"/>
                            <w:szCs w:val="13"/>
                          </w:rPr>
                          <w:t>网络、外设等</w:t>
                        </w:r>
                      </w:p>
                    </w:tc>
                    <w:tc>
                      <w:tcPr>
                        <w:tcW w:w="846" w:type="dxa"/>
                        <w:tcBorders>
                          <w:top w:val="nil" w:sz="6" w:space="0" w:color="auto"/>
                          <w:left w:val="single" w:sz="4" w:space="0" w:color="000000"/>
                          <w:bottom w:val="nil" w:sz="6" w:space="0" w:color="auto"/>
                          <w:right w:val="single" w:sz="4" w:space="0" w:color="000000"/>
                        </w:tcBorders>
                      </w:tcPr>
                      <w:p>
                        <w:pPr/>
                      </w:p>
                    </w:tc>
                    <w:tc>
                      <w:tcPr>
                        <w:tcW w:w="590" w:type="dxa"/>
                        <w:tcBorders>
                          <w:top w:val="nil" w:sz="6" w:space="0" w:color="auto"/>
                          <w:left w:val="single" w:sz="4" w:space="0" w:color="000000"/>
                          <w:bottom w:val="nil" w:sz="6" w:space="0" w:color="auto"/>
                          <w:right w:val="single" w:sz="4" w:space="0" w:color="000000"/>
                        </w:tcBorders>
                      </w:tcPr>
                      <w:p>
                        <w:pPr/>
                      </w:p>
                    </w:tc>
                    <w:tc>
                      <w:tcPr>
                        <w:tcW w:w="726" w:type="dxa"/>
                        <w:tcBorders>
                          <w:top w:val="nil" w:sz="6" w:space="0" w:color="auto"/>
                          <w:left w:val="single" w:sz="4" w:space="0" w:color="000000"/>
                          <w:bottom w:val="nil" w:sz="6" w:space="0" w:color="auto"/>
                          <w:right w:val="single" w:sz="4" w:space="0" w:color="000000"/>
                        </w:tcBorders>
                      </w:tcPr>
                      <w:p>
                        <w:pPr>
                          <w:pStyle w:val="TableParagraph"/>
                          <w:spacing w:line="159" w:lineRule="exact"/>
                          <w:ind w:right="-1"/>
                          <w:jc w:val="right"/>
                          <w:rPr>
                            <w:rFonts w:ascii="Times New Roman" w:hAnsi="Times New Roman" w:cs="Times New Roman" w:eastAsia="Times New Roman" w:hint="default"/>
                            <w:sz w:val="15"/>
                            <w:szCs w:val="15"/>
                          </w:rPr>
                        </w:pPr>
                        <w:r>
                          <w:rPr>
                            <w:rFonts w:ascii="Times New Roman"/>
                            <w:spacing w:val="-1"/>
                            <w:sz w:val="15"/>
                          </w:rPr>
                          <w:t>3,228.22</w:t>
                        </w:r>
                      </w:p>
                    </w:tc>
                    <w:tc>
                      <w:tcPr>
                        <w:tcW w:w="908" w:type="dxa"/>
                        <w:tcBorders>
                          <w:top w:val="nil" w:sz="6" w:space="0" w:color="auto"/>
                          <w:left w:val="single" w:sz="4" w:space="0" w:color="000000"/>
                          <w:bottom w:val="nil" w:sz="6" w:space="0" w:color="auto"/>
                          <w:right w:val="single" w:sz="4" w:space="0" w:color="000000"/>
                        </w:tcBorders>
                      </w:tcPr>
                      <w:p>
                        <w:pPr>
                          <w:pStyle w:val="TableParagraph"/>
                          <w:spacing w:line="159" w:lineRule="exact"/>
                          <w:ind w:right="0"/>
                          <w:jc w:val="center"/>
                          <w:rPr>
                            <w:rFonts w:ascii="Times New Roman" w:hAnsi="Times New Roman" w:cs="Times New Roman" w:eastAsia="Times New Roman" w:hint="default"/>
                            <w:sz w:val="15"/>
                            <w:szCs w:val="15"/>
                          </w:rPr>
                        </w:pPr>
                        <w:r>
                          <w:rPr>
                            <w:rFonts w:ascii="Times New Roman"/>
                            <w:sz w:val="15"/>
                          </w:rPr>
                          <w:t>0.35%</w:t>
                        </w:r>
                      </w:p>
                    </w:tc>
                    <w:tc>
                      <w:tcPr>
                        <w:tcW w:w="806" w:type="dxa"/>
                        <w:tcBorders>
                          <w:top w:val="nil" w:sz="6" w:space="0" w:color="auto"/>
                          <w:left w:val="single" w:sz="4" w:space="0" w:color="000000"/>
                          <w:bottom w:val="nil" w:sz="6" w:space="0" w:color="auto"/>
                          <w:right w:val="single" w:sz="4" w:space="0" w:color="000000"/>
                        </w:tcBorders>
                      </w:tcPr>
                      <w:p>
                        <w:pPr>
                          <w:pStyle w:val="TableParagraph"/>
                          <w:spacing w:line="159" w:lineRule="exact"/>
                          <w:ind w:right="-2"/>
                          <w:jc w:val="right"/>
                          <w:rPr>
                            <w:rFonts w:ascii="Times New Roman" w:hAnsi="Times New Roman" w:cs="Times New Roman" w:eastAsia="Times New Roman" w:hint="default"/>
                            <w:sz w:val="15"/>
                            <w:szCs w:val="15"/>
                          </w:rPr>
                        </w:pPr>
                        <w:r>
                          <w:rPr>
                            <w:rFonts w:ascii="Times New Roman"/>
                            <w:spacing w:val="-1"/>
                            <w:sz w:val="15"/>
                          </w:rPr>
                          <w:t>10,500.00</w:t>
                        </w:r>
                      </w:p>
                    </w:tc>
                    <w:tc>
                      <w:tcPr>
                        <w:tcW w:w="574"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0"/>
                          <w:jc w:val="center"/>
                          <w:rPr>
                            <w:rFonts w:ascii="宋体" w:hAnsi="宋体" w:cs="宋体" w:eastAsia="宋体" w:hint="default"/>
                            <w:sz w:val="15"/>
                            <w:szCs w:val="15"/>
                          </w:rPr>
                        </w:pPr>
                        <w:r>
                          <w:rPr>
                            <w:rFonts w:ascii="宋体" w:hAnsi="宋体" w:cs="宋体" w:eastAsia="宋体" w:hint="default"/>
                            <w:sz w:val="15"/>
                            <w:szCs w:val="15"/>
                          </w:rPr>
                          <w:t>否</w:t>
                        </w:r>
                      </w:p>
                    </w:tc>
                    <w:tc>
                      <w:tcPr>
                        <w:tcW w:w="720" w:type="dxa"/>
                        <w:tcBorders>
                          <w:top w:val="nil" w:sz="6" w:space="0" w:color="auto"/>
                          <w:left w:val="single" w:sz="4" w:space="0" w:color="000000"/>
                          <w:bottom w:val="nil" w:sz="6" w:space="0" w:color="auto"/>
                          <w:right w:val="single" w:sz="4" w:space="0" w:color="000000"/>
                        </w:tcBorders>
                      </w:tcPr>
                      <w:p>
                        <w:pPr/>
                      </w:p>
                    </w:tc>
                    <w:tc>
                      <w:tcPr>
                        <w:tcW w:w="886"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0"/>
                          <w:jc w:val="center"/>
                          <w:rPr>
                            <w:rFonts w:ascii="宋体" w:hAnsi="宋体" w:cs="宋体" w:eastAsia="宋体" w:hint="default"/>
                            <w:sz w:val="15"/>
                            <w:szCs w:val="15"/>
                          </w:rPr>
                        </w:pPr>
                        <w:r>
                          <w:rPr>
                            <w:rFonts w:ascii="宋体" w:hAnsi="宋体" w:cs="宋体" w:eastAsia="宋体" w:hint="default"/>
                            <w:sz w:val="15"/>
                            <w:szCs w:val="15"/>
                          </w:rPr>
                          <w:t>市场价格</w:t>
                        </w:r>
                      </w:p>
                    </w:tc>
                    <w:tc>
                      <w:tcPr>
                        <w:tcW w:w="866" w:type="dxa"/>
                        <w:tcBorders>
                          <w:top w:val="nil" w:sz="6" w:space="0" w:color="auto"/>
                          <w:left w:val="single" w:sz="4" w:space="0" w:color="000000"/>
                          <w:bottom w:val="nil" w:sz="6" w:space="0" w:color="auto"/>
                          <w:right w:val="single" w:sz="4" w:space="0" w:color="000000"/>
                        </w:tcBorders>
                      </w:tcPr>
                      <w:p>
                        <w:pPr/>
                      </w:p>
                    </w:tc>
                    <w:tc>
                      <w:tcPr>
                        <w:tcW w:w="755" w:type="dxa"/>
                        <w:tcBorders>
                          <w:top w:val="nil" w:sz="6" w:space="0" w:color="auto"/>
                          <w:left w:val="single" w:sz="4" w:space="0" w:color="000000"/>
                          <w:bottom w:val="nil" w:sz="6" w:space="0" w:color="auto"/>
                          <w:right w:val="single" w:sz="4" w:space="0" w:color="000000"/>
                        </w:tcBorders>
                      </w:tcPr>
                      <w:p>
                        <w:pPr/>
                      </w:p>
                    </w:tc>
                  </w:tr>
                  <w:tr>
                    <w:trPr>
                      <w:trHeight w:val="157" w:hRule="exact"/>
                    </w:trPr>
                    <w:tc>
                      <w:tcPr>
                        <w:tcW w:w="1334" w:type="dxa"/>
                        <w:tcBorders>
                          <w:top w:val="nil" w:sz="6" w:space="0" w:color="auto"/>
                          <w:left w:val="single" w:sz="4" w:space="0" w:color="000000"/>
                          <w:bottom w:val="nil" w:sz="6" w:space="0" w:color="auto"/>
                          <w:right w:val="single" w:sz="4" w:space="0" w:color="000000"/>
                        </w:tcBorders>
                      </w:tcPr>
                      <w:p>
                        <w:pPr/>
                      </w:p>
                    </w:tc>
                    <w:tc>
                      <w:tcPr>
                        <w:tcW w:w="908"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0"/>
                          <w:jc w:val="left"/>
                          <w:rPr>
                            <w:rFonts w:ascii="宋体" w:hAnsi="宋体" w:cs="宋体" w:eastAsia="宋体" w:hint="default"/>
                            <w:sz w:val="15"/>
                            <w:szCs w:val="15"/>
                          </w:rPr>
                        </w:pPr>
                        <w:r>
                          <w:rPr>
                            <w:rFonts w:ascii="宋体" w:hAnsi="宋体" w:cs="宋体" w:eastAsia="宋体" w:hint="default"/>
                            <w:sz w:val="15"/>
                            <w:szCs w:val="15"/>
                          </w:rPr>
                          <w:t>控制方控制</w:t>
                        </w:r>
                      </w:p>
                    </w:tc>
                    <w:tc>
                      <w:tcPr>
                        <w:tcW w:w="726" w:type="dxa"/>
                        <w:tcBorders>
                          <w:top w:val="nil" w:sz="6" w:space="0" w:color="auto"/>
                          <w:left w:val="single" w:sz="4" w:space="0" w:color="000000"/>
                          <w:bottom w:val="nil" w:sz="6" w:space="0" w:color="auto"/>
                          <w:right w:val="single" w:sz="4" w:space="0" w:color="000000"/>
                        </w:tcBorders>
                      </w:tcPr>
                      <w:p>
                        <w:pPr/>
                      </w:p>
                    </w:tc>
                    <w:tc>
                      <w:tcPr>
                        <w:tcW w:w="788" w:type="dxa"/>
                        <w:tcBorders>
                          <w:top w:val="nil" w:sz="6" w:space="0" w:color="auto"/>
                          <w:left w:val="single" w:sz="4" w:space="0" w:color="000000"/>
                          <w:bottom w:val="nil" w:sz="6" w:space="0" w:color="auto"/>
                          <w:right w:val="single" w:sz="4" w:space="0" w:color="000000"/>
                        </w:tcBorders>
                      </w:tcPr>
                      <w:p>
                        <w:pPr/>
                      </w:p>
                    </w:tc>
                    <w:tc>
                      <w:tcPr>
                        <w:tcW w:w="846"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1"/>
                          <w:jc w:val="center"/>
                          <w:rPr>
                            <w:rFonts w:ascii="宋体" w:hAnsi="宋体" w:cs="宋体" w:eastAsia="宋体" w:hint="default"/>
                            <w:sz w:val="15"/>
                            <w:szCs w:val="15"/>
                          </w:rPr>
                        </w:pPr>
                        <w:r>
                          <w:rPr>
                            <w:rFonts w:ascii="宋体" w:hAnsi="宋体" w:cs="宋体" w:eastAsia="宋体" w:hint="default"/>
                            <w:sz w:val="15"/>
                            <w:szCs w:val="15"/>
                          </w:rPr>
                          <w:t>格</w:t>
                        </w:r>
                        <w:r>
                          <w:rPr>
                            <w:rFonts w:ascii="宋体" w:hAnsi="宋体" w:cs="宋体" w:eastAsia="宋体" w:hint="default"/>
                            <w:spacing w:val="-64"/>
                            <w:sz w:val="15"/>
                            <w:szCs w:val="15"/>
                          </w:rPr>
                          <w:t>，</w:t>
                        </w:r>
                        <w:r>
                          <w:rPr>
                            <w:rFonts w:ascii="宋体" w:hAnsi="宋体" w:cs="宋体" w:eastAsia="宋体" w:hint="default"/>
                            <w:sz w:val="15"/>
                            <w:szCs w:val="15"/>
                          </w:rPr>
                          <w:t>协商确定</w:t>
                        </w:r>
                      </w:p>
                    </w:tc>
                    <w:tc>
                      <w:tcPr>
                        <w:tcW w:w="590"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1"/>
                          <w:jc w:val="center"/>
                          <w:rPr>
                            <w:rFonts w:ascii="宋体" w:hAnsi="宋体" w:cs="宋体" w:eastAsia="宋体" w:hint="default"/>
                            <w:sz w:val="15"/>
                            <w:szCs w:val="15"/>
                          </w:rPr>
                        </w:pPr>
                        <w:r>
                          <w:rPr>
                            <w:rFonts w:ascii="宋体" w:hAnsi="宋体" w:cs="宋体" w:eastAsia="宋体" w:hint="default"/>
                            <w:sz w:val="15"/>
                            <w:szCs w:val="15"/>
                          </w:rPr>
                          <w:t>场价格</w:t>
                        </w:r>
                      </w:p>
                    </w:tc>
                    <w:tc>
                      <w:tcPr>
                        <w:tcW w:w="726" w:type="dxa"/>
                        <w:tcBorders>
                          <w:top w:val="nil" w:sz="6" w:space="0" w:color="auto"/>
                          <w:left w:val="single" w:sz="4" w:space="0" w:color="000000"/>
                          <w:bottom w:val="nil" w:sz="6" w:space="0" w:color="auto"/>
                          <w:right w:val="single" w:sz="4" w:space="0" w:color="000000"/>
                        </w:tcBorders>
                      </w:tcPr>
                      <w:p>
                        <w:pPr/>
                      </w:p>
                    </w:tc>
                    <w:tc>
                      <w:tcPr>
                        <w:tcW w:w="908" w:type="dxa"/>
                        <w:tcBorders>
                          <w:top w:val="nil" w:sz="6" w:space="0" w:color="auto"/>
                          <w:left w:val="single" w:sz="4" w:space="0" w:color="000000"/>
                          <w:bottom w:val="nil" w:sz="6" w:space="0" w:color="auto"/>
                          <w:right w:val="single" w:sz="4" w:space="0" w:color="000000"/>
                        </w:tcBorders>
                      </w:tcPr>
                      <w:p>
                        <w:pPr/>
                      </w:p>
                    </w:tc>
                    <w:tc>
                      <w:tcPr>
                        <w:tcW w:w="806" w:type="dxa"/>
                        <w:tcBorders>
                          <w:top w:val="nil" w:sz="6" w:space="0" w:color="auto"/>
                          <w:left w:val="single" w:sz="4" w:space="0" w:color="000000"/>
                          <w:bottom w:val="nil" w:sz="6" w:space="0" w:color="auto"/>
                          <w:right w:val="single" w:sz="4" w:space="0" w:color="000000"/>
                        </w:tcBorders>
                      </w:tcPr>
                      <w:p>
                        <w:pPr/>
                      </w:p>
                    </w:tc>
                    <w:tc>
                      <w:tcPr>
                        <w:tcW w:w="574" w:type="dxa"/>
                        <w:tcBorders>
                          <w:top w:val="nil" w:sz="6" w:space="0" w:color="auto"/>
                          <w:left w:val="single" w:sz="4" w:space="0" w:color="000000"/>
                          <w:bottom w:val="nil" w:sz="6" w:space="0" w:color="auto"/>
                          <w:right w:val="single" w:sz="4" w:space="0" w:color="000000"/>
                        </w:tcBorders>
                      </w:tcPr>
                      <w:p>
                        <w:pPr/>
                      </w:p>
                    </w:tc>
                    <w:tc>
                      <w:tcPr>
                        <w:tcW w:w="720"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0"/>
                          <w:jc w:val="left"/>
                          <w:rPr>
                            <w:rFonts w:ascii="宋体" w:hAnsi="宋体" w:cs="宋体" w:eastAsia="宋体" w:hint="default"/>
                            <w:sz w:val="15"/>
                            <w:szCs w:val="15"/>
                          </w:rPr>
                        </w:pPr>
                        <w:r>
                          <w:rPr>
                            <w:rFonts w:ascii="宋体" w:hAnsi="宋体" w:cs="宋体" w:eastAsia="宋体" w:hint="default"/>
                            <w:sz w:val="15"/>
                            <w:szCs w:val="15"/>
                          </w:rPr>
                          <w:t>约定</w:t>
                        </w:r>
                      </w:p>
                    </w:tc>
                    <w:tc>
                      <w:tcPr>
                        <w:tcW w:w="886" w:type="dxa"/>
                        <w:tcBorders>
                          <w:top w:val="nil" w:sz="6" w:space="0" w:color="auto"/>
                          <w:left w:val="single" w:sz="4" w:space="0" w:color="000000"/>
                          <w:bottom w:val="nil" w:sz="6" w:space="0" w:color="auto"/>
                          <w:right w:val="single" w:sz="4" w:space="0" w:color="000000"/>
                        </w:tcBorders>
                      </w:tcPr>
                      <w:p>
                        <w:pPr/>
                      </w:p>
                    </w:tc>
                    <w:tc>
                      <w:tcPr>
                        <w:tcW w:w="866" w:type="dxa"/>
                        <w:tcBorders>
                          <w:top w:val="nil" w:sz="6" w:space="0" w:color="auto"/>
                          <w:left w:val="single" w:sz="4" w:space="0" w:color="000000"/>
                          <w:bottom w:val="nil" w:sz="6" w:space="0" w:color="auto"/>
                          <w:right w:val="single" w:sz="4" w:space="0" w:color="000000"/>
                        </w:tcBorders>
                      </w:tcPr>
                      <w:p>
                        <w:pPr>
                          <w:pStyle w:val="TableParagraph"/>
                          <w:spacing w:line="161" w:lineRule="exact"/>
                          <w:ind w:left="-1"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22 </w:t>
                        </w:r>
                        <w:r>
                          <w:rPr>
                            <w:rFonts w:ascii="宋体" w:hAnsi="宋体" w:cs="宋体" w:eastAsia="宋体" w:hint="default"/>
                            <w:sz w:val="15"/>
                            <w:szCs w:val="15"/>
                          </w:rPr>
                          <w:t>日</w:t>
                        </w:r>
                      </w:p>
                    </w:tc>
                    <w:tc>
                      <w:tcPr>
                        <w:tcW w:w="755"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0"/>
                          <w:jc w:val="left"/>
                          <w:rPr>
                            <w:rFonts w:ascii="宋体" w:hAnsi="宋体" w:cs="宋体" w:eastAsia="宋体" w:hint="default"/>
                            <w:sz w:val="15"/>
                            <w:szCs w:val="15"/>
                          </w:rPr>
                        </w:pPr>
                        <w:r>
                          <w:rPr>
                            <w:rFonts w:ascii="宋体" w:hAnsi="宋体" w:cs="宋体" w:eastAsia="宋体" w:hint="default"/>
                            <w:sz w:val="15"/>
                            <w:szCs w:val="15"/>
                          </w:rPr>
                          <w:t>公告</w:t>
                        </w:r>
                      </w:p>
                    </w:tc>
                  </w:tr>
                  <w:tr>
                    <w:trPr>
                      <w:trHeight w:val="235" w:hRule="exact"/>
                    </w:trPr>
                    <w:tc>
                      <w:tcPr>
                        <w:tcW w:w="1334"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0"/>
                          <w:jc w:val="left"/>
                          <w:rPr>
                            <w:rFonts w:ascii="宋体" w:hAnsi="宋体" w:cs="宋体" w:eastAsia="宋体" w:hint="default"/>
                            <w:sz w:val="15"/>
                            <w:szCs w:val="15"/>
                          </w:rPr>
                        </w:pPr>
                        <w:r>
                          <w:rPr>
                            <w:rFonts w:ascii="宋体" w:hAnsi="宋体" w:cs="宋体" w:eastAsia="宋体" w:hint="default"/>
                            <w:sz w:val="15"/>
                            <w:szCs w:val="15"/>
                          </w:rPr>
                          <w:t>下属公司）</w:t>
                        </w:r>
                      </w:p>
                    </w:tc>
                    <w:tc>
                      <w:tcPr>
                        <w:tcW w:w="908" w:type="dxa"/>
                        <w:tcBorders>
                          <w:top w:val="nil" w:sz="6" w:space="0" w:color="auto"/>
                          <w:left w:val="single" w:sz="4" w:space="0" w:color="000000"/>
                          <w:bottom w:val="nil" w:sz="6" w:space="0" w:color="auto"/>
                          <w:right w:val="single" w:sz="4" w:space="0" w:color="000000"/>
                        </w:tcBorders>
                      </w:tcPr>
                      <w:p>
                        <w:pPr/>
                      </w:p>
                    </w:tc>
                    <w:tc>
                      <w:tcPr>
                        <w:tcW w:w="726" w:type="dxa"/>
                        <w:tcBorders>
                          <w:top w:val="nil" w:sz="6" w:space="0" w:color="auto"/>
                          <w:left w:val="single" w:sz="4" w:space="0" w:color="000000"/>
                          <w:bottom w:val="nil" w:sz="6" w:space="0" w:color="auto"/>
                          <w:right w:val="single" w:sz="4" w:space="0" w:color="000000"/>
                        </w:tcBorders>
                      </w:tcPr>
                      <w:p>
                        <w:pPr/>
                      </w:p>
                    </w:tc>
                    <w:tc>
                      <w:tcPr>
                        <w:tcW w:w="788" w:type="dxa"/>
                        <w:tcBorders>
                          <w:top w:val="nil" w:sz="6" w:space="0" w:color="auto"/>
                          <w:left w:val="single" w:sz="4" w:space="0" w:color="000000"/>
                          <w:bottom w:val="nil" w:sz="6" w:space="0" w:color="auto"/>
                          <w:right w:val="single" w:sz="4" w:space="0" w:color="000000"/>
                        </w:tcBorders>
                      </w:tcPr>
                      <w:p>
                        <w:pPr>
                          <w:pStyle w:val="TableParagraph"/>
                          <w:spacing w:line="139" w:lineRule="exact"/>
                          <w:ind w:right="0"/>
                          <w:jc w:val="left"/>
                          <w:rPr>
                            <w:rFonts w:ascii="宋体" w:hAnsi="宋体" w:cs="宋体" w:eastAsia="宋体" w:hint="default"/>
                            <w:sz w:val="13"/>
                            <w:szCs w:val="13"/>
                          </w:rPr>
                        </w:pPr>
                        <w:r>
                          <w:rPr>
                            <w:rFonts w:ascii="宋体" w:hAnsi="宋体" w:cs="宋体" w:eastAsia="宋体" w:hint="default"/>
                            <w:sz w:val="13"/>
                            <w:szCs w:val="13"/>
                          </w:rPr>
                          <w:t>相关产品及</w:t>
                        </w:r>
                      </w:p>
                    </w:tc>
                    <w:tc>
                      <w:tcPr>
                        <w:tcW w:w="846" w:type="dxa"/>
                        <w:tcBorders>
                          <w:top w:val="nil" w:sz="6" w:space="0" w:color="auto"/>
                          <w:left w:val="single" w:sz="4" w:space="0" w:color="000000"/>
                          <w:bottom w:val="nil" w:sz="6" w:space="0" w:color="auto"/>
                          <w:right w:val="single" w:sz="4" w:space="0" w:color="000000"/>
                        </w:tcBorders>
                      </w:tcPr>
                      <w:p>
                        <w:pPr/>
                      </w:p>
                    </w:tc>
                    <w:tc>
                      <w:tcPr>
                        <w:tcW w:w="590" w:type="dxa"/>
                        <w:tcBorders>
                          <w:top w:val="nil" w:sz="6" w:space="0" w:color="auto"/>
                          <w:left w:val="single" w:sz="4" w:space="0" w:color="000000"/>
                          <w:bottom w:val="nil" w:sz="6" w:space="0" w:color="auto"/>
                          <w:right w:val="single" w:sz="4" w:space="0" w:color="000000"/>
                        </w:tcBorders>
                      </w:tcPr>
                      <w:p>
                        <w:pPr/>
                      </w:p>
                    </w:tc>
                    <w:tc>
                      <w:tcPr>
                        <w:tcW w:w="726" w:type="dxa"/>
                        <w:tcBorders>
                          <w:top w:val="nil" w:sz="6" w:space="0" w:color="auto"/>
                          <w:left w:val="single" w:sz="4" w:space="0" w:color="000000"/>
                          <w:bottom w:val="nil" w:sz="6" w:space="0" w:color="auto"/>
                          <w:right w:val="single" w:sz="4" w:space="0" w:color="000000"/>
                        </w:tcBorders>
                      </w:tcPr>
                      <w:p>
                        <w:pPr/>
                      </w:p>
                    </w:tc>
                    <w:tc>
                      <w:tcPr>
                        <w:tcW w:w="908" w:type="dxa"/>
                        <w:tcBorders>
                          <w:top w:val="nil" w:sz="6" w:space="0" w:color="auto"/>
                          <w:left w:val="single" w:sz="4" w:space="0" w:color="000000"/>
                          <w:bottom w:val="nil" w:sz="6" w:space="0" w:color="auto"/>
                          <w:right w:val="single" w:sz="4" w:space="0" w:color="000000"/>
                        </w:tcBorders>
                      </w:tcPr>
                      <w:p>
                        <w:pPr/>
                      </w:p>
                    </w:tc>
                    <w:tc>
                      <w:tcPr>
                        <w:tcW w:w="806" w:type="dxa"/>
                        <w:tcBorders>
                          <w:top w:val="nil" w:sz="6" w:space="0" w:color="auto"/>
                          <w:left w:val="single" w:sz="4" w:space="0" w:color="000000"/>
                          <w:bottom w:val="nil" w:sz="6" w:space="0" w:color="auto"/>
                          <w:right w:val="single" w:sz="4" w:space="0" w:color="000000"/>
                        </w:tcBorders>
                      </w:tcPr>
                      <w:p>
                        <w:pPr/>
                      </w:p>
                    </w:tc>
                    <w:tc>
                      <w:tcPr>
                        <w:tcW w:w="574" w:type="dxa"/>
                        <w:tcBorders>
                          <w:top w:val="nil" w:sz="6" w:space="0" w:color="auto"/>
                          <w:left w:val="single" w:sz="4" w:space="0" w:color="000000"/>
                          <w:bottom w:val="nil" w:sz="6" w:space="0" w:color="auto"/>
                          <w:right w:val="single" w:sz="4" w:space="0" w:color="000000"/>
                        </w:tcBorders>
                      </w:tcPr>
                      <w:p>
                        <w:pPr/>
                      </w:p>
                    </w:tc>
                    <w:tc>
                      <w:tcPr>
                        <w:tcW w:w="720" w:type="dxa"/>
                        <w:tcBorders>
                          <w:top w:val="nil" w:sz="6" w:space="0" w:color="auto"/>
                          <w:left w:val="single" w:sz="4" w:space="0" w:color="000000"/>
                          <w:bottom w:val="nil" w:sz="6" w:space="0" w:color="auto"/>
                          <w:right w:val="single" w:sz="4" w:space="0" w:color="000000"/>
                        </w:tcBorders>
                      </w:tcPr>
                      <w:p>
                        <w:pPr/>
                      </w:p>
                    </w:tc>
                    <w:tc>
                      <w:tcPr>
                        <w:tcW w:w="886" w:type="dxa"/>
                        <w:tcBorders>
                          <w:top w:val="nil" w:sz="6" w:space="0" w:color="auto"/>
                          <w:left w:val="single" w:sz="4" w:space="0" w:color="000000"/>
                          <w:bottom w:val="nil" w:sz="6" w:space="0" w:color="auto"/>
                          <w:right w:val="single" w:sz="4" w:space="0" w:color="000000"/>
                        </w:tcBorders>
                      </w:tcPr>
                      <w:p>
                        <w:pPr/>
                      </w:p>
                    </w:tc>
                    <w:tc>
                      <w:tcPr>
                        <w:tcW w:w="866" w:type="dxa"/>
                        <w:tcBorders>
                          <w:top w:val="nil" w:sz="6" w:space="0" w:color="auto"/>
                          <w:left w:val="single" w:sz="4" w:space="0" w:color="000000"/>
                          <w:bottom w:val="nil" w:sz="6" w:space="0" w:color="auto"/>
                          <w:right w:val="single" w:sz="4" w:space="0" w:color="000000"/>
                        </w:tcBorders>
                      </w:tcPr>
                      <w:p>
                        <w:pPr/>
                      </w:p>
                    </w:tc>
                    <w:tc>
                      <w:tcPr>
                        <w:tcW w:w="755" w:type="dxa"/>
                        <w:tcBorders>
                          <w:top w:val="nil" w:sz="6" w:space="0" w:color="auto"/>
                          <w:left w:val="single" w:sz="4" w:space="0" w:color="000000"/>
                          <w:bottom w:val="nil" w:sz="6" w:space="0" w:color="auto"/>
                          <w:right w:val="single" w:sz="4" w:space="0" w:color="000000"/>
                        </w:tcBorders>
                      </w:tcPr>
                      <w:p>
                        <w:pPr/>
                      </w:p>
                    </w:tc>
                  </w:tr>
                  <w:tr>
                    <w:trPr>
                      <w:trHeight w:val="313" w:hRule="exact"/>
                    </w:trPr>
                    <w:tc>
                      <w:tcPr>
                        <w:tcW w:w="1334" w:type="dxa"/>
                        <w:tcBorders>
                          <w:top w:val="nil" w:sz="6" w:space="0" w:color="auto"/>
                          <w:left w:val="single" w:sz="4" w:space="0" w:color="000000"/>
                          <w:bottom w:val="single" w:sz="4" w:space="0" w:color="000000"/>
                          <w:right w:val="single" w:sz="4" w:space="0" w:color="000000"/>
                        </w:tcBorders>
                      </w:tcPr>
                      <w:p>
                        <w:pPr/>
                      </w:p>
                    </w:tc>
                    <w:tc>
                      <w:tcPr>
                        <w:tcW w:w="908" w:type="dxa"/>
                        <w:tcBorders>
                          <w:top w:val="nil" w:sz="6" w:space="0" w:color="auto"/>
                          <w:left w:val="single" w:sz="4" w:space="0" w:color="000000"/>
                          <w:bottom w:val="single" w:sz="4" w:space="0" w:color="000000"/>
                          <w:right w:val="single" w:sz="4" w:space="0" w:color="000000"/>
                        </w:tcBorders>
                      </w:tcPr>
                      <w:p>
                        <w:pPr/>
                      </w:p>
                    </w:tc>
                    <w:tc>
                      <w:tcPr>
                        <w:tcW w:w="726" w:type="dxa"/>
                        <w:tcBorders>
                          <w:top w:val="nil" w:sz="6" w:space="0" w:color="auto"/>
                          <w:left w:val="single" w:sz="4" w:space="0" w:color="000000"/>
                          <w:bottom w:val="single" w:sz="4" w:space="0" w:color="000000"/>
                          <w:right w:val="single" w:sz="4" w:space="0" w:color="000000"/>
                        </w:tcBorders>
                      </w:tcPr>
                      <w:p>
                        <w:pPr/>
                      </w:p>
                    </w:tc>
                    <w:tc>
                      <w:tcPr>
                        <w:tcW w:w="78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5"/>
                          <w:ind w:right="0"/>
                          <w:jc w:val="left"/>
                          <w:rPr>
                            <w:rFonts w:ascii="宋体" w:hAnsi="宋体" w:cs="宋体" w:eastAsia="宋体" w:hint="default"/>
                            <w:sz w:val="13"/>
                            <w:szCs w:val="13"/>
                          </w:rPr>
                        </w:pPr>
                        <w:r>
                          <w:rPr>
                            <w:rFonts w:ascii="宋体" w:hAnsi="宋体" w:cs="宋体" w:eastAsia="宋体" w:hint="default"/>
                            <w:sz w:val="13"/>
                            <w:szCs w:val="13"/>
                          </w:rPr>
                          <w:t>服务、软件</w:t>
                        </w:r>
                      </w:p>
                    </w:tc>
                    <w:tc>
                      <w:tcPr>
                        <w:tcW w:w="846" w:type="dxa"/>
                        <w:tcBorders>
                          <w:top w:val="nil" w:sz="6" w:space="0" w:color="auto"/>
                          <w:left w:val="single" w:sz="4" w:space="0" w:color="000000"/>
                          <w:bottom w:val="single" w:sz="4" w:space="0" w:color="000000"/>
                          <w:right w:val="single" w:sz="4" w:space="0" w:color="000000"/>
                        </w:tcBorders>
                      </w:tcPr>
                      <w:p>
                        <w:pPr/>
                      </w:p>
                    </w:tc>
                    <w:tc>
                      <w:tcPr>
                        <w:tcW w:w="590" w:type="dxa"/>
                        <w:tcBorders>
                          <w:top w:val="nil" w:sz="6" w:space="0" w:color="auto"/>
                          <w:left w:val="single" w:sz="4" w:space="0" w:color="000000"/>
                          <w:bottom w:val="single" w:sz="4" w:space="0" w:color="000000"/>
                          <w:right w:val="single" w:sz="4" w:space="0" w:color="000000"/>
                        </w:tcBorders>
                      </w:tcPr>
                      <w:p>
                        <w:pPr/>
                      </w:p>
                    </w:tc>
                    <w:tc>
                      <w:tcPr>
                        <w:tcW w:w="726" w:type="dxa"/>
                        <w:tcBorders>
                          <w:top w:val="nil" w:sz="6" w:space="0" w:color="auto"/>
                          <w:left w:val="single" w:sz="4" w:space="0" w:color="000000"/>
                          <w:bottom w:val="single" w:sz="4" w:space="0" w:color="000000"/>
                          <w:right w:val="single" w:sz="4" w:space="0" w:color="000000"/>
                        </w:tcBorders>
                      </w:tcPr>
                      <w:p>
                        <w:pPr/>
                      </w:p>
                    </w:tc>
                    <w:tc>
                      <w:tcPr>
                        <w:tcW w:w="908" w:type="dxa"/>
                        <w:tcBorders>
                          <w:top w:val="nil" w:sz="6" w:space="0" w:color="auto"/>
                          <w:left w:val="single" w:sz="4" w:space="0" w:color="000000"/>
                          <w:bottom w:val="single" w:sz="4" w:space="0" w:color="000000"/>
                          <w:right w:val="single" w:sz="4" w:space="0" w:color="000000"/>
                        </w:tcBorders>
                      </w:tcPr>
                      <w:p>
                        <w:pPr/>
                      </w:p>
                    </w:tc>
                    <w:tc>
                      <w:tcPr>
                        <w:tcW w:w="806" w:type="dxa"/>
                        <w:tcBorders>
                          <w:top w:val="nil" w:sz="6" w:space="0" w:color="auto"/>
                          <w:left w:val="single" w:sz="4" w:space="0" w:color="000000"/>
                          <w:bottom w:val="single" w:sz="4" w:space="0" w:color="000000"/>
                          <w:right w:val="single" w:sz="4" w:space="0" w:color="000000"/>
                        </w:tcBorders>
                      </w:tcPr>
                      <w:p>
                        <w:pPr/>
                      </w:p>
                    </w:tc>
                    <w:tc>
                      <w:tcPr>
                        <w:tcW w:w="574" w:type="dxa"/>
                        <w:tcBorders>
                          <w:top w:val="nil" w:sz="6" w:space="0" w:color="auto"/>
                          <w:left w:val="single" w:sz="4" w:space="0" w:color="000000"/>
                          <w:bottom w:val="single" w:sz="4" w:space="0" w:color="000000"/>
                          <w:right w:val="single" w:sz="4" w:space="0" w:color="000000"/>
                        </w:tcBorders>
                      </w:tcPr>
                      <w:p>
                        <w:pPr/>
                      </w:p>
                    </w:tc>
                    <w:tc>
                      <w:tcPr>
                        <w:tcW w:w="720" w:type="dxa"/>
                        <w:tcBorders>
                          <w:top w:val="nil" w:sz="6" w:space="0" w:color="auto"/>
                          <w:left w:val="single" w:sz="4" w:space="0" w:color="000000"/>
                          <w:bottom w:val="single" w:sz="4" w:space="0" w:color="000000"/>
                          <w:right w:val="single" w:sz="4" w:space="0" w:color="000000"/>
                        </w:tcBorders>
                      </w:tcPr>
                      <w:p>
                        <w:pPr/>
                      </w:p>
                    </w:tc>
                    <w:tc>
                      <w:tcPr>
                        <w:tcW w:w="886" w:type="dxa"/>
                        <w:tcBorders>
                          <w:top w:val="nil" w:sz="6" w:space="0" w:color="auto"/>
                          <w:left w:val="single" w:sz="4" w:space="0" w:color="000000"/>
                          <w:bottom w:val="single" w:sz="4" w:space="0" w:color="000000"/>
                          <w:right w:val="single" w:sz="4" w:space="0" w:color="000000"/>
                        </w:tcBorders>
                      </w:tcPr>
                      <w:p>
                        <w:pPr/>
                      </w:p>
                    </w:tc>
                    <w:tc>
                      <w:tcPr>
                        <w:tcW w:w="866" w:type="dxa"/>
                        <w:tcBorders>
                          <w:top w:val="nil" w:sz="6" w:space="0" w:color="auto"/>
                          <w:left w:val="single" w:sz="4" w:space="0" w:color="000000"/>
                          <w:bottom w:val="single" w:sz="4" w:space="0" w:color="000000"/>
                          <w:right w:val="single" w:sz="4" w:space="0" w:color="000000"/>
                        </w:tcBorders>
                      </w:tcPr>
                      <w:p>
                        <w:pPr/>
                      </w:p>
                    </w:tc>
                    <w:tc>
                      <w:tcPr>
                        <w:tcW w:w="755" w:type="dxa"/>
                        <w:tcBorders>
                          <w:top w:val="nil" w:sz="6" w:space="0" w:color="auto"/>
                          <w:left w:val="single" w:sz="4" w:space="0" w:color="000000"/>
                          <w:bottom w:val="single" w:sz="4" w:space="0" w:color="000000"/>
                          <w:right w:val="single" w:sz="4" w:space="0" w:color="000000"/>
                        </w:tcBorders>
                      </w:tcPr>
                      <w:p>
                        <w:pPr/>
                      </w:p>
                    </w:tc>
                  </w:tr>
                  <w:tr>
                    <w:trPr>
                      <w:trHeight w:val="239" w:hRule="exact"/>
                    </w:trPr>
                    <w:tc>
                      <w:tcPr>
                        <w:tcW w:w="1334" w:type="dxa"/>
                        <w:tcBorders>
                          <w:top w:val="single" w:sz="4" w:space="0" w:color="000000"/>
                          <w:left w:val="single" w:sz="4" w:space="0" w:color="000000"/>
                          <w:bottom w:val="nil" w:sz="6" w:space="0" w:color="auto"/>
                          <w:right w:val="single" w:sz="4" w:space="0" w:color="000000"/>
                        </w:tcBorders>
                      </w:tcPr>
                      <w:p>
                        <w:pPr/>
                      </w:p>
                    </w:tc>
                    <w:tc>
                      <w:tcPr>
                        <w:tcW w:w="908" w:type="dxa"/>
                        <w:tcBorders>
                          <w:top w:val="single" w:sz="4" w:space="0" w:color="000000"/>
                          <w:left w:val="single" w:sz="4" w:space="0" w:color="000000"/>
                          <w:bottom w:val="nil" w:sz="6" w:space="0" w:color="auto"/>
                          <w:right w:val="single" w:sz="4" w:space="0" w:color="000000"/>
                        </w:tcBorders>
                      </w:tcPr>
                      <w:p>
                        <w:pPr/>
                      </w:p>
                    </w:tc>
                    <w:tc>
                      <w:tcPr>
                        <w:tcW w:w="726" w:type="dxa"/>
                        <w:tcBorders>
                          <w:top w:val="single" w:sz="4" w:space="0" w:color="000000"/>
                          <w:left w:val="single" w:sz="4" w:space="0" w:color="000000"/>
                          <w:bottom w:val="nil" w:sz="6" w:space="0" w:color="auto"/>
                          <w:right w:val="single" w:sz="4" w:space="0" w:color="000000"/>
                        </w:tcBorders>
                      </w:tcPr>
                      <w:p>
                        <w:pPr/>
                      </w:p>
                    </w:tc>
                    <w:tc>
                      <w:tcPr>
                        <w:tcW w:w="78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4"/>
                          <w:ind w:right="0"/>
                          <w:jc w:val="left"/>
                          <w:rPr>
                            <w:rFonts w:ascii="宋体" w:hAnsi="宋体" w:cs="宋体" w:eastAsia="宋体" w:hint="default"/>
                            <w:sz w:val="15"/>
                            <w:szCs w:val="15"/>
                          </w:rPr>
                        </w:pPr>
                        <w:r>
                          <w:rPr>
                            <w:rFonts w:ascii="宋体" w:hAnsi="宋体" w:cs="宋体" w:eastAsia="宋体" w:hint="default"/>
                            <w:sz w:val="15"/>
                            <w:szCs w:val="15"/>
                          </w:rPr>
                          <w:t>销售整机、</w:t>
                        </w:r>
                      </w:p>
                    </w:tc>
                    <w:tc>
                      <w:tcPr>
                        <w:tcW w:w="846" w:type="dxa"/>
                        <w:tcBorders>
                          <w:top w:val="single" w:sz="4" w:space="0" w:color="000000"/>
                          <w:left w:val="single" w:sz="4" w:space="0" w:color="000000"/>
                          <w:bottom w:val="nil" w:sz="6" w:space="0" w:color="auto"/>
                          <w:right w:val="single" w:sz="4" w:space="0" w:color="000000"/>
                        </w:tcBorders>
                      </w:tcPr>
                      <w:p>
                        <w:pPr/>
                      </w:p>
                    </w:tc>
                    <w:tc>
                      <w:tcPr>
                        <w:tcW w:w="590" w:type="dxa"/>
                        <w:tcBorders>
                          <w:top w:val="single" w:sz="4" w:space="0" w:color="000000"/>
                          <w:left w:val="single" w:sz="4" w:space="0" w:color="000000"/>
                          <w:bottom w:val="nil" w:sz="6" w:space="0" w:color="auto"/>
                          <w:right w:val="single" w:sz="4" w:space="0" w:color="000000"/>
                        </w:tcBorders>
                      </w:tcPr>
                      <w:p>
                        <w:pPr/>
                      </w:p>
                    </w:tc>
                    <w:tc>
                      <w:tcPr>
                        <w:tcW w:w="726" w:type="dxa"/>
                        <w:tcBorders>
                          <w:top w:val="single" w:sz="4" w:space="0" w:color="000000"/>
                          <w:left w:val="single" w:sz="4" w:space="0" w:color="000000"/>
                          <w:bottom w:val="nil" w:sz="6" w:space="0" w:color="auto"/>
                          <w:right w:val="single" w:sz="4" w:space="0" w:color="000000"/>
                        </w:tcBorders>
                      </w:tcPr>
                      <w:p>
                        <w:pPr/>
                      </w:p>
                    </w:tc>
                    <w:tc>
                      <w:tcPr>
                        <w:tcW w:w="908" w:type="dxa"/>
                        <w:tcBorders>
                          <w:top w:val="single" w:sz="4" w:space="0" w:color="000000"/>
                          <w:left w:val="single" w:sz="4" w:space="0" w:color="000000"/>
                          <w:bottom w:val="nil" w:sz="6" w:space="0" w:color="auto"/>
                          <w:right w:val="single" w:sz="4" w:space="0" w:color="000000"/>
                        </w:tcBorders>
                      </w:tcPr>
                      <w:p>
                        <w:pPr/>
                      </w:p>
                    </w:tc>
                    <w:tc>
                      <w:tcPr>
                        <w:tcW w:w="806" w:type="dxa"/>
                        <w:tcBorders>
                          <w:top w:val="single" w:sz="4" w:space="0" w:color="000000"/>
                          <w:left w:val="single" w:sz="4" w:space="0" w:color="000000"/>
                          <w:bottom w:val="nil" w:sz="6" w:space="0" w:color="auto"/>
                          <w:right w:val="single" w:sz="4" w:space="0" w:color="000000"/>
                        </w:tcBorders>
                      </w:tcPr>
                      <w:p>
                        <w:pPr/>
                      </w:p>
                    </w:tc>
                    <w:tc>
                      <w:tcPr>
                        <w:tcW w:w="574" w:type="dxa"/>
                        <w:tcBorders>
                          <w:top w:val="single" w:sz="4" w:space="0" w:color="000000"/>
                          <w:left w:val="single" w:sz="4" w:space="0" w:color="000000"/>
                          <w:bottom w:val="nil" w:sz="6" w:space="0" w:color="auto"/>
                          <w:right w:val="single" w:sz="4" w:space="0" w:color="000000"/>
                        </w:tcBorders>
                      </w:tcPr>
                      <w:p>
                        <w:pPr/>
                      </w:p>
                    </w:tc>
                    <w:tc>
                      <w:tcPr>
                        <w:tcW w:w="720" w:type="dxa"/>
                        <w:tcBorders>
                          <w:top w:val="single" w:sz="4" w:space="0" w:color="000000"/>
                          <w:left w:val="single" w:sz="4" w:space="0" w:color="000000"/>
                          <w:bottom w:val="nil" w:sz="6" w:space="0" w:color="auto"/>
                          <w:right w:val="single" w:sz="4" w:space="0" w:color="000000"/>
                        </w:tcBorders>
                      </w:tcPr>
                      <w:p>
                        <w:pPr/>
                      </w:p>
                    </w:tc>
                    <w:tc>
                      <w:tcPr>
                        <w:tcW w:w="886" w:type="dxa"/>
                        <w:tcBorders>
                          <w:top w:val="single" w:sz="4" w:space="0" w:color="000000"/>
                          <w:left w:val="single" w:sz="4" w:space="0" w:color="000000"/>
                          <w:bottom w:val="nil" w:sz="6" w:space="0" w:color="auto"/>
                          <w:right w:val="single" w:sz="4" w:space="0" w:color="000000"/>
                        </w:tcBorders>
                      </w:tcPr>
                      <w:p>
                        <w:pPr/>
                      </w:p>
                    </w:tc>
                    <w:tc>
                      <w:tcPr>
                        <w:tcW w:w="866" w:type="dxa"/>
                        <w:tcBorders>
                          <w:top w:val="single" w:sz="4" w:space="0" w:color="000000"/>
                          <w:left w:val="single" w:sz="4" w:space="0" w:color="000000"/>
                          <w:bottom w:val="nil" w:sz="6" w:space="0" w:color="auto"/>
                          <w:right w:val="single" w:sz="4" w:space="0" w:color="000000"/>
                        </w:tcBorders>
                      </w:tcPr>
                      <w:p>
                        <w:pPr/>
                      </w:p>
                    </w:tc>
                    <w:tc>
                      <w:tcPr>
                        <w:tcW w:w="755" w:type="dxa"/>
                        <w:tcBorders>
                          <w:top w:val="single" w:sz="4" w:space="0" w:color="000000"/>
                          <w:left w:val="single" w:sz="4" w:space="0" w:color="000000"/>
                          <w:bottom w:val="nil" w:sz="6" w:space="0" w:color="auto"/>
                          <w:right w:val="single" w:sz="4" w:space="0" w:color="000000"/>
                        </w:tcBorders>
                      </w:tcPr>
                      <w:p>
                        <w:pPr/>
                      </w:p>
                    </w:tc>
                  </w:tr>
                  <w:tr>
                    <w:trPr>
                      <w:trHeight w:val="160" w:hRule="exact"/>
                    </w:trPr>
                    <w:tc>
                      <w:tcPr>
                        <w:tcW w:w="1334" w:type="dxa"/>
                        <w:tcBorders>
                          <w:top w:val="nil" w:sz="6" w:space="0" w:color="auto"/>
                          <w:left w:val="single" w:sz="4" w:space="0" w:color="000000"/>
                          <w:bottom w:val="nil" w:sz="6" w:space="0" w:color="auto"/>
                          <w:right w:val="single" w:sz="4" w:space="0" w:color="000000"/>
                        </w:tcBorders>
                      </w:tcPr>
                      <w:p>
                        <w:pPr>
                          <w:pStyle w:val="TableParagraph"/>
                          <w:spacing w:line="153" w:lineRule="exact"/>
                          <w:ind w:left="-1" w:right="0"/>
                          <w:jc w:val="left"/>
                          <w:rPr>
                            <w:rFonts w:ascii="宋体" w:hAnsi="宋体" w:cs="宋体" w:eastAsia="宋体" w:hint="default"/>
                            <w:sz w:val="15"/>
                            <w:szCs w:val="15"/>
                          </w:rPr>
                        </w:pPr>
                        <w:r>
                          <w:rPr>
                            <w:rFonts w:ascii="宋体" w:hAnsi="宋体" w:cs="宋体" w:eastAsia="宋体" w:hint="default"/>
                            <w:sz w:val="15"/>
                            <w:szCs w:val="15"/>
                          </w:rPr>
                          <w:t>桂林长海发展有限</w:t>
                        </w:r>
                      </w:p>
                    </w:tc>
                    <w:tc>
                      <w:tcPr>
                        <w:tcW w:w="908" w:type="dxa"/>
                        <w:tcBorders>
                          <w:top w:val="nil" w:sz="6" w:space="0" w:color="auto"/>
                          <w:left w:val="single" w:sz="4" w:space="0" w:color="000000"/>
                          <w:bottom w:val="nil" w:sz="6" w:space="0" w:color="auto"/>
                          <w:right w:val="single" w:sz="4" w:space="0" w:color="000000"/>
                        </w:tcBorders>
                      </w:tcPr>
                      <w:p>
                        <w:pPr>
                          <w:pStyle w:val="TableParagraph"/>
                          <w:spacing w:line="153" w:lineRule="exact"/>
                          <w:ind w:left="1" w:right="0"/>
                          <w:jc w:val="left"/>
                          <w:rPr>
                            <w:rFonts w:ascii="宋体" w:hAnsi="宋体" w:cs="宋体" w:eastAsia="宋体" w:hint="default"/>
                            <w:sz w:val="15"/>
                            <w:szCs w:val="15"/>
                          </w:rPr>
                        </w:pPr>
                        <w:r>
                          <w:rPr>
                            <w:rFonts w:ascii="宋体" w:hAnsi="宋体" w:cs="宋体" w:eastAsia="宋体" w:hint="default"/>
                            <w:sz w:val="15"/>
                            <w:szCs w:val="15"/>
                          </w:rPr>
                          <w:t>受同一最终</w:t>
                        </w:r>
                      </w:p>
                    </w:tc>
                    <w:tc>
                      <w:tcPr>
                        <w:tcW w:w="726" w:type="dxa"/>
                        <w:tcBorders>
                          <w:top w:val="nil" w:sz="6" w:space="0" w:color="auto"/>
                          <w:left w:val="single" w:sz="4" w:space="0" w:color="000000"/>
                          <w:bottom w:val="nil" w:sz="6" w:space="0" w:color="auto"/>
                          <w:right w:val="single" w:sz="4" w:space="0" w:color="000000"/>
                        </w:tcBorders>
                      </w:tcPr>
                      <w:p>
                        <w:pPr/>
                      </w:p>
                    </w:tc>
                    <w:tc>
                      <w:tcPr>
                        <w:tcW w:w="788" w:type="dxa"/>
                        <w:tcBorders>
                          <w:top w:val="nil" w:sz="6" w:space="0" w:color="auto"/>
                          <w:left w:val="single" w:sz="4" w:space="0" w:color="000000"/>
                          <w:bottom w:val="nil" w:sz="6" w:space="0" w:color="auto"/>
                          <w:right w:val="single" w:sz="4" w:space="0" w:color="000000"/>
                        </w:tcBorders>
                      </w:tcPr>
                      <w:p>
                        <w:pPr/>
                      </w:p>
                    </w:tc>
                    <w:tc>
                      <w:tcPr>
                        <w:tcW w:w="846" w:type="dxa"/>
                        <w:tcBorders>
                          <w:top w:val="nil" w:sz="6" w:space="0" w:color="auto"/>
                          <w:left w:val="single" w:sz="4" w:space="0" w:color="000000"/>
                          <w:bottom w:val="nil" w:sz="6" w:space="0" w:color="auto"/>
                          <w:right w:val="single" w:sz="4" w:space="0" w:color="000000"/>
                        </w:tcBorders>
                      </w:tcPr>
                      <w:p>
                        <w:pPr>
                          <w:pStyle w:val="TableParagraph"/>
                          <w:spacing w:line="153" w:lineRule="exact"/>
                          <w:ind w:right="84"/>
                          <w:jc w:val="center"/>
                          <w:rPr>
                            <w:rFonts w:ascii="宋体" w:hAnsi="宋体" w:cs="宋体" w:eastAsia="宋体" w:hint="default"/>
                            <w:sz w:val="15"/>
                            <w:szCs w:val="15"/>
                          </w:rPr>
                        </w:pPr>
                        <w:r>
                          <w:rPr>
                            <w:rFonts w:ascii="宋体" w:hAnsi="宋体" w:cs="宋体" w:eastAsia="宋体" w:hint="default"/>
                            <w:sz w:val="15"/>
                            <w:szCs w:val="15"/>
                          </w:rPr>
                          <w:t>根据市场价</w:t>
                        </w:r>
                      </w:p>
                    </w:tc>
                    <w:tc>
                      <w:tcPr>
                        <w:tcW w:w="590" w:type="dxa"/>
                        <w:tcBorders>
                          <w:top w:val="nil" w:sz="6" w:space="0" w:color="auto"/>
                          <w:left w:val="single" w:sz="4" w:space="0" w:color="000000"/>
                          <w:bottom w:val="nil" w:sz="6" w:space="0" w:color="auto"/>
                          <w:right w:val="single" w:sz="4" w:space="0" w:color="000000"/>
                        </w:tcBorders>
                      </w:tcPr>
                      <w:p>
                        <w:pPr>
                          <w:pStyle w:val="TableParagraph"/>
                          <w:spacing w:line="153" w:lineRule="exact"/>
                          <w:ind w:right="1"/>
                          <w:jc w:val="center"/>
                          <w:rPr>
                            <w:rFonts w:ascii="宋体" w:hAnsi="宋体" w:cs="宋体" w:eastAsia="宋体" w:hint="default"/>
                            <w:sz w:val="15"/>
                            <w:szCs w:val="15"/>
                          </w:rPr>
                        </w:pPr>
                        <w:r>
                          <w:rPr>
                            <w:rFonts w:ascii="宋体" w:hAnsi="宋体" w:cs="宋体" w:eastAsia="宋体" w:hint="default"/>
                            <w:sz w:val="15"/>
                            <w:szCs w:val="15"/>
                          </w:rPr>
                          <w:t>参考市</w:t>
                        </w:r>
                      </w:p>
                    </w:tc>
                    <w:tc>
                      <w:tcPr>
                        <w:tcW w:w="726" w:type="dxa"/>
                        <w:tcBorders>
                          <w:top w:val="nil" w:sz="6" w:space="0" w:color="auto"/>
                          <w:left w:val="single" w:sz="4" w:space="0" w:color="000000"/>
                          <w:bottom w:val="nil" w:sz="6" w:space="0" w:color="auto"/>
                          <w:right w:val="single" w:sz="4" w:space="0" w:color="000000"/>
                        </w:tcBorders>
                      </w:tcPr>
                      <w:p>
                        <w:pPr/>
                      </w:p>
                    </w:tc>
                    <w:tc>
                      <w:tcPr>
                        <w:tcW w:w="908" w:type="dxa"/>
                        <w:tcBorders>
                          <w:top w:val="nil" w:sz="6" w:space="0" w:color="auto"/>
                          <w:left w:val="single" w:sz="4" w:space="0" w:color="000000"/>
                          <w:bottom w:val="nil" w:sz="6" w:space="0" w:color="auto"/>
                          <w:right w:val="single" w:sz="4" w:space="0" w:color="000000"/>
                        </w:tcBorders>
                      </w:tcPr>
                      <w:p>
                        <w:pPr/>
                      </w:p>
                    </w:tc>
                    <w:tc>
                      <w:tcPr>
                        <w:tcW w:w="806" w:type="dxa"/>
                        <w:tcBorders>
                          <w:top w:val="nil" w:sz="6" w:space="0" w:color="auto"/>
                          <w:left w:val="single" w:sz="4" w:space="0" w:color="000000"/>
                          <w:bottom w:val="nil" w:sz="6" w:space="0" w:color="auto"/>
                          <w:right w:val="single" w:sz="4" w:space="0" w:color="000000"/>
                        </w:tcBorders>
                      </w:tcPr>
                      <w:p>
                        <w:pPr/>
                      </w:p>
                    </w:tc>
                    <w:tc>
                      <w:tcPr>
                        <w:tcW w:w="574" w:type="dxa"/>
                        <w:tcBorders>
                          <w:top w:val="nil" w:sz="6" w:space="0" w:color="auto"/>
                          <w:left w:val="single" w:sz="4" w:space="0" w:color="000000"/>
                          <w:bottom w:val="nil" w:sz="6" w:space="0" w:color="auto"/>
                          <w:right w:val="single" w:sz="4" w:space="0" w:color="000000"/>
                        </w:tcBorders>
                      </w:tcPr>
                      <w:p>
                        <w:pPr/>
                      </w:p>
                    </w:tc>
                    <w:tc>
                      <w:tcPr>
                        <w:tcW w:w="720" w:type="dxa"/>
                        <w:tcBorders>
                          <w:top w:val="nil" w:sz="6" w:space="0" w:color="auto"/>
                          <w:left w:val="single" w:sz="4" w:space="0" w:color="000000"/>
                          <w:bottom w:val="nil" w:sz="6" w:space="0" w:color="auto"/>
                          <w:right w:val="single" w:sz="4" w:space="0" w:color="000000"/>
                        </w:tcBorders>
                      </w:tcPr>
                      <w:p>
                        <w:pPr>
                          <w:pStyle w:val="TableParagraph"/>
                          <w:spacing w:line="153" w:lineRule="exact"/>
                          <w:ind w:right="0"/>
                          <w:jc w:val="left"/>
                          <w:rPr>
                            <w:rFonts w:ascii="宋体" w:hAnsi="宋体" w:cs="宋体" w:eastAsia="宋体" w:hint="default"/>
                            <w:sz w:val="15"/>
                            <w:szCs w:val="15"/>
                          </w:rPr>
                        </w:pPr>
                        <w:r>
                          <w:rPr>
                            <w:rFonts w:ascii="宋体" w:hAnsi="宋体" w:cs="宋体" w:eastAsia="宋体" w:hint="default"/>
                            <w:sz w:val="15"/>
                            <w:szCs w:val="15"/>
                          </w:rPr>
                          <w:t>根据合同</w:t>
                        </w:r>
                      </w:p>
                    </w:tc>
                    <w:tc>
                      <w:tcPr>
                        <w:tcW w:w="886" w:type="dxa"/>
                        <w:tcBorders>
                          <w:top w:val="nil" w:sz="6" w:space="0" w:color="auto"/>
                          <w:left w:val="single" w:sz="4" w:space="0" w:color="000000"/>
                          <w:bottom w:val="nil" w:sz="6" w:space="0" w:color="auto"/>
                          <w:right w:val="single" w:sz="4" w:space="0" w:color="000000"/>
                        </w:tcBorders>
                      </w:tcPr>
                      <w:p>
                        <w:pPr/>
                      </w:p>
                    </w:tc>
                    <w:tc>
                      <w:tcPr>
                        <w:tcW w:w="866" w:type="dxa"/>
                        <w:tcBorders>
                          <w:top w:val="nil" w:sz="6" w:space="0" w:color="auto"/>
                          <w:left w:val="single" w:sz="4" w:space="0" w:color="000000"/>
                          <w:bottom w:val="nil" w:sz="6" w:space="0" w:color="auto"/>
                          <w:right w:val="single" w:sz="4" w:space="0" w:color="000000"/>
                        </w:tcBorders>
                      </w:tcPr>
                      <w:p>
                        <w:pPr>
                          <w:pStyle w:val="TableParagraph"/>
                          <w:spacing w:line="164" w:lineRule="exact"/>
                          <w:ind w:left="-1"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2018</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1</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月</w:t>
                        </w:r>
                      </w:p>
                    </w:tc>
                    <w:tc>
                      <w:tcPr>
                        <w:tcW w:w="755" w:type="dxa"/>
                        <w:tcBorders>
                          <w:top w:val="nil" w:sz="6" w:space="0" w:color="auto"/>
                          <w:left w:val="single" w:sz="4" w:space="0" w:color="000000"/>
                          <w:bottom w:val="nil" w:sz="6" w:space="0" w:color="auto"/>
                          <w:right w:val="single" w:sz="4" w:space="0" w:color="000000"/>
                        </w:tcBorders>
                      </w:tcPr>
                      <w:p>
                        <w:pPr>
                          <w:pStyle w:val="TableParagraph"/>
                          <w:spacing w:line="164" w:lineRule="exact"/>
                          <w:ind w:left="-1" w:right="-2"/>
                          <w:jc w:val="left"/>
                          <w:rPr>
                            <w:rFonts w:ascii="宋体" w:hAnsi="宋体" w:cs="宋体" w:eastAsia="宋体" w:hint="default"/>
                            <w:sz w:val="15"/>
                            <w:szCs w:val="15"/>
                          </w:rPr>
                        </w:pPr>
                        <w:r>
                          <w:rPr>
                            <w:rFonts w:ascii="Times New Roman" w:hAnsi="Times New Roman" w:cs="Times New Roman" w:eastAsia="Times New Roman" w:hint="default"/>
                            <w:sz w:val="15"/>
                            <w:szCs w:val="15"/>
                          </w:rPr>
                          <w:t>2018-010</w:t>
                        </w:r>
                        <w:r>
                          <w:rPr>
                            <w:rFonts w:ascii="Times New Roman" w:hAnsi="Times New Roman" w:cs="Times New Roman" w:eastAsia="Times New Roman" w:hint="default"/>
                            <w:spacing w:val="-20"/>
                            <w:sz w:val="15"/>
                            <w:szCs w:val="15"/>
                          </w:rPr>
                          <w:t> </w:t>
                        </w:r>
                        <w:r>
                          <w:rPr>
                            <w:rFonts w:ascii="宋体" w:hAnsi="宋体" w:cs="宋体" w:eastAsia="宋体" w:hint="default"/>
                            <w:sz w:val="15"/>
                            <w:szCs w:val="15"/>
                          </w:rPr>
                          <w:t>号</w:t>
                        </w:r>
                      </w:p>
                    </w:tc>
                  </w:tr>
                  <w:tr>
                    <w:trPr>
                      <w:trHeight w:val="155" w:hRule="exact"/>
                    </w:trPr>
                    <w:tc>
                      <w:tcPr>
                        <w:tcW w:w="1334" w:type="dxa"/>
                        <w:tcBorders>
                          <w:top w:val="nil" w:sz="6" w:space="0" w:color="auto"/>
                          <w:left w:val="single" w:sz="4" w:space="0" w:color="000000"/>
                          <w:bottom w:val="nil" w:sz="6" w:space="0" w:color="auto"/>
                          <w:right w:val="single" w:sz="4" w:space="0" w:color="000000"/>
                        </w:tcBorders>
                      </w:tcPr>
                      <w:p>
                        <w:pPr/>
                      </w:p>
                    </w:tc>
                    <w:tc>
                      <w:tcPr>
                        <w:tcW w:w="908" w:type="dxa"/>
                        <w:tcBorders>
                          <w:top w:val="nil" w:sz="6" w:space="0" w:color="auto"/>
                          <w:left w:val="single" w:sz="4" w:space="0" w:color="000000"/>
                          <w:bottom w:val="nil" w:sz="6" w:space="0" w:color="auto"/>
                          <w:right w:val="single" w:sz="4" w:space="0" w:color="000000"/>
                        </w:tcBorders>
                      </w:tcPr>
                      <w:p>
                        <w:pPr/>
                      </w:p>
                    </w:tc>
                    <w:tc>
                      <w:tcPr>
                        <w:tcW w:w="726"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1"/>
                          <w:jc w:val="center"/>
                          <w:rPr>
                            <w:rFonts w:ascii="宋体" w:hAnsi="宋体" w:cs="宋体" w:eastAsia="宋体" w:hint="default"/>
                            <w:sz w:val="15"/>
                            <w:szCs w:val="15"/>
                          </w:rPr>
                        </w:pPr>
                        <w:r>
                          <w:rPr>
                            <w:rFonts w:ascii="宋体" w:hAnsi="宋体" w:cs="宋体" w:eastAsia="宋体" w:hint="default"/>
                            <w:sz w:val="15"/>
                            <w:szCs w:val="15"/>
                          </w:rPr>
                          <w:t>销售</w:t>
                        </w:r>
                      </w:p>
                    </w:tc>
                    <w:tc>
                      <w:tcPr>
                        <w:tcW w:w="788"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0"/>
                          <w:jc w:val="left"/>
                          <w:rPr>
                            <w:rFonts w:ascii="宋体" w:hAnsi="宋体" w:cs="宋体" w:eastAsia="宋体" w:hint="default"/>
                            <w:sz w:val="15"/>
                            <w:szCs w:val="15"/>
                          </w:rPr>
                        </w:pPr>
                        <w:r>
                          <w:rPr>
                            <w:rFonts w:ascii="宋体" w:hAnsi="宋体" w:cs="宋体" w:eastAsia="宋体" w:hint="default"/>
                            <w:sz w:val="15"/>
                            <w:szCs w:val="15"/>
                          </w:rPr>
                          <w:t>显示器、服</w:t>
                        </w:r>
                      </w:p>
                    </w:tc>
                    <w:tc>
                      <w:tcPr>
                        <w:tcW w:w="846" w:type="dxa"/>
                        <w:tcBorders>
                          <w:top w:val="nil" w:sz="6" w:space="0" w:color="auto"/>
                          <w:left w:val="single" w:sz="4" w:space="0" w:color="000000"/>
                          <w:bottom w:val="nil" w:sz="6" w:space="0" w:color="auto"/>
                          <w:right w:val="single" w:sz="4" w:space="0" w:color="000000"/>
                        </w:tcBorders>
                      </w:tcPr>
                      <w:p>
                        <w:pPr/>
                      </w:p>
                    </w:tc>
                    <w:tc>
                      <w:tcPr>
                        <w:tcW w:w="590" w:type="dxa"/>
                        <w:tcBorders>
                          <w:top w:val="nil" w:sz="6" w:space="0" w:color="auto"/>
                          <w:left w:val="single" w:sz="4" w:space="0" w:color="000000"/>
                          <w:bottom w:val="nil" w:sz="6" w:space="0" w:color="auto"/>
                          <w:right w:val="single" w:sz="4" w:space="0" w:color="000000"/>
                        </w:tcBorders>
                      </w:tcPr>
                      <w:p>
                        <w:pPr/>
                      </w:p>
                    </w:tc>
                    <w:tc>
                      <w:tcPr>
                        <w:tcW w:w="726" w:type="dxa"/>
                        <w:tcBorders>
                          <w:top w:val="nil" w:sz="6" w:space="0" w:color="auto"/>
                          <w:left w:val="single" w:sz="4" w:space="0" w:color="000000"/>
                          <w:bottom w:val="nil" w:sz="6" w:space="0" w:color="auto"/>
                          <w:right w:val="single" w:sz="4" w:space="0" w:color="000000"/>
                        </w:tcBorders>
                      </w:tcPr>
                      <w:p>
                        <w:pPr>
                          <w:pStyle w:val="TableParagraph"/>
                          <w:spacing w:line="159" w:lineRule="exact"/>
                          <w:ind w:right="-1"/>
                          <w:jc w:val="right"/>
                          <w:rPr>
                            <w:rFonts w:ascii="Times New Roman" w:hAnsi="Times New Roman" w:cs="Times New Roman" w:eastAsia="Times New Roman" w:hint="default"/>
                            <w:sz w:val="15"/>
                            <w:szCs w:val="15"/>
                          </w:rPr>
                        </w:pPr>
                        <w:r>
                          <w:rPr>
                            <w:rFonts w:ascii="Times New Roman"/>
                            <w:spacing w:val="-1"/>
                            <w:sz w:val="15"/>
                          </w:rPr>
                          <w:t>1,579.91</w:t>
                        </w:r>
                      </w:p>
                    </w:tc>
                    <w:tc>
                      <w:tcPr>
                        <w:tcW w:w="908" w:type="dxa"/>
                        <w:tcBorders>
                          <w:top w:val="nil" w:sz="6" w:space="0" w:color="auto"/>
                          <w:left w:val="single" w:sz="4" w:space="0" w:color="000000"/>
                          <w:bottom w:val="nil" w:sz="6" w:space="0" w:color="auto"/>
                          <w:right w:val="single" w:sz="4" w:space="0" w:color="000000"/>
                        </w:tcBorders>
                      </w:tcPr>
                      <w:p>
                        <w:pPr>
                          <w:pStyle w:val="TableParagraph"/>
                          <w:spacing w:line="159" w:lineRule="exact"/>
                          <w:ind w:right="0"/>
                          <w:jc w:val="center"/>
                          <w:rPr>
                            <w:rFonts w:ascii="Times New Roman" w:hAnsi="Times New Roman" w:cs="Times New Roman" w:eastAsia="Times New Roman" w:hint="default"/>
                            <w:sz w:val="15"/>
                            <w:szCs w:val="15"/>
                          </w:rPr>
                        </w:pPr>
                        <w:r>
                          <w:rPr>
                            <w:rFonts w:ascii="Times New Roman"/>
                            <w:sz w:val="15"/>
                          </w:rPr>
                          <w:t>0.17%</w:t>
                        </w:r>
                      </w:p>
                    </w:tc>
                    <w:tc>
                      <w:tcPr>
                        <w:tcW w:w="806" w:type="dxa"/>
                        <w:tcBorders>
                          <w:top w:val="nil" w:sz="6" w:space="0" w:color="auto"/>
                          <w:left w:val="single" w:sz="4" w:space="0" w:color="000000"/>
                          <w:bottom w:val="nil" w:sz="6" w:space="0" w:color="auto"/>
                          <w:right w:val="single" w:sz="4" w:space="0" w:color="000000"/>
                        </w:tcBorders>
                      </w:tcPr>
                      <w:p>
                        <w:pPr>
                          <w:pStyle w:val="TableParagraph"/>
                          <w:spacing w:line="159" w:lineRule="exact"/>
                          <w:ind w:right="-2"/>
                          <w:jc w:val="right"/>
                          <w:rPr>
                            <w:rFonts w:ascii="Times New Roman" w:hAnsi="Times New Roman" w:cs="Times New Roman" w:eastAsia="Times New Roman" w:hint="default"/>
                            <w:sz w:val="15"/>
                            <w:szCs w:val="15"/>
                          </w:rPr>
                        </w:pPr>
                        <w:r>
                          <w:rPr>
                            <w:rFonts w:ascii="Times New Roman"/>
                            <w:spacing w:val="-1"/>
                            <w:sz w:val="15"/>
                          </w:rPr>
                          <w:t>500.00</w:t>
                        </w:r>
                      </w:p>
                    </w:tc>
                    <w:tc>
                      <w:tcPr>
                        <w:tcW w:w="574"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0"/>
                          <w:jc w:val="center"/>
                          <w:rPr>
                            <w:rFonts w:ascii="宋体" w:hAnsi="宋体" w:cs="宋体" w:eastAsia="宋体" w:hint="default"/>
                            <w:sz w:val="15"/>
                            <w:szCs w:val="15"/>
                          </w:rPr>
                        </w:pPr>
                        <w:r>
                          <w:rPr>
                            <w:rFonts w:ascii="宋体" w:hAnsi="宋体" w:cs="宋体" w:eastAsia="宋体" w:hint="default"/>
                            <w:sz w:val="15"/>
                            <w:szCs w:val="15"/>
                          </w:rPr>
                          <w:t>否</w:t>
                        </w:r>
                      </w:p>
                    </w:tc>
                    <w:tc>
                      <w:tcPr>
                        <w:tcW w:w="720" w:type="dxa"/>
                        <w:tcBorders>
                          <w:top w:val="nil" w:sz="6" w:space="0" w:color="auto"/>
                          <w:left w:val="single" w:sz="4" w:space="0" w:color="000000"/>
                          <w:bottom w:val="nil" w:sz="6" w:space="0" w:color="auto"/>
                          <w:right w:val="single" w:sz="4" w:space="0" w:color="000000"/>
                        </w:tcBorders>
                      </w:tcPr>
                      <w:p>
                        <w:pPr/>
                      </w:p>
                    </w:tc>
                    <w:tc>
                      <w:tcPr>
                        <w:tcW w:w="886"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0"/>
                          <w:jc w:val="center"/>
                          <w:rPr>
                            <w:rFonts w:ascii="宋体" w:hAnsi="宋体" w:cs="宋体" w:eastAsia="宋体" w:hint="default"/>
                            <w:sz w:val="15"/>
                            <w:szCs w:val="15"/>
                          </w:rPr>
                        </w:pPr>
                        <w:r>
                          <w:rPr>
                            <w:rFonts w:ascii="宋体" w:hAnsi="宋体" w:cs="宋体" w:eastAsia="宋体" w:hint="default"/>
                            <w:sz w:val="15"/>
                            <w:szCs w:val="15"/>
                          </w:rPr>
                          <w:t>市场价格</w:t>
                        </w:r>
                      </w:p>
                    </w:tc>
                    <w:tc>
                      <w:tcPr>
                        <w:tcW w:w="866" w:type="dxa"/>
                        <w:tcBorders>
                          <w:top w:val="nil" w:sz="6" w:space="0" w:color="auto"/>
                          <w:left w:val="single" w:sz="4" w:space="0" w:color="000000"/>
                          <w:bottom w:val="nil" w:sz="6" w:space="0" w:color="auto"/>
                          <w:right w:val="single" w:sz="4" w:space="0" w:color="000000"/>
                        </w:tcBorders>
                      </w:tcPr>
                      <w:p>
                        <w:pPr/>
                      </w:p>
                    </w:tc>
                    <w:tc>
                      <w:tcPr>
                        <w:tcW w:w="755" w:type="dxa"/>
                        <w:tcBorders>
                          <w:top w:val="nil" w:sz="6" w:space="0" w:color="auto"/>
                          <w:left w:val="single" w:sz="4" w:space="0" w:color="000000"/>
                          <w:bottom w:val="nil" w:sz="6" w:space="0" w:color="auto"/>
                          <w:right w:val="single" w:sz="4" w:space="0" w:color="000000"/>
                        </w:tcBorders>
                      </w:tcPr>
                      <w:p>
                        <w:pPr/>
                      </w:p>
                    </w:tc>
                  </w:tr>
                  <w:tr>
                    <w:trPr>
                      <w:trHeight w:val="157" w:hRule="exact"/>
                    </w:trPr>
                    <w:tc>
                      <w:tcPr>
                        <w:tcW w:w="1334"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0"/>
                          <w:jc w:val="left"/>
                          <w:rPr>
                            <w:rFonts w:ascii="宋体" w:hAnsi="宋体" w:cs="宋体" w:eastAsia="宋体" w:hint="default"/>
                            <w:sz w:val="15"/>
                            <w:szCs w:val="15"/>
                          </w:rPr>
                        </w:pPr>
                        <w:r>
                          <w:rPr>
                            <w:rFonts w:ascii="宋体" w:hAnsi="宋体" w:cs="宋体" w:eastAsia="宋体" w:hint="default"/>
                            <w:sz w:val="15"/>
                            <w:szCs w:val="15"/>
                          </w:rPr>
                          <w:t>责任公司</w:t>
                        </w:r>
                      </w:p>
                    </w:tc>
                    <w:tc>
                      <w:tcPr>
                        <w:tcW w:w="908"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0"/>
                          <w:jc w:val="left"/>
                          <w:rPr>
                            <w:rFonts w:ascii="宋体" w:hAnsi="宋体" w:cs="宋体" w:eastAsia="宋体" w:hint="default"/>
                            <w:sz w:val="15"/>
                            <w:szCs w:val="15"/>
                          </w:rPr>
                        </w:pPr>
                        <w:r>
                          <w:rPr>
                            <w:rFonts w:ascii="宋体" w:hAnsi="宋体" w:cs="宋体" w:eastAsia="宋体" w:hint="default"/>
                            <w:sz w:val="15"/>
                            <w:szCs w:val="15"/>
                          </w:rPr>
                          <w:t>控制方控制</w:t>
                        </w:r>
                      </w:p>
                    </w:tc>
                    <w:tc>
                      <w:tcPr>
                        <w:tcW w:w="726" w:type="dxa"/>
                        <w:tcBorders>
                          <w:top w:val="nil" w:sz="6" w:space="0" w:color="auto"/>
                          <w:left w:val="single" w:sz="4" w:space="0" w:color="000000"/>
                          <w:bottom w:val="nil" w:sz="6" w:space="0" w:color="auto"/>
                          <w:right w:val="single" w:sz="4" w:space="0" w:color="000000"/>
                        </w:tcBorders>
                      </w:tcPr>
                      <w:p>
                        <w:pPr/>
                      </w:p>
                    </w:tc>
                    <w:tc>
                      <w:tcPr>
                        <w:tcW w:w="788" w:type="dxa"/>
                        <w:tcBorders>
                          <w:top w:val="nil" w:sz="6" w:space="0" w:color="auto"/>
                          <w:left w:val="single" w:sz="4" w:space="0" w:color="000000"/>
                          <w:bottom w:val="nil" w:sz="6" w:space="0" w:color="auto"/>
                          <w:right w:val="single" w:sz="4" w:space="0" w:color="000000"/>
                        </w:tcBorders>
                      </w:tcPr>
                      <w:p>
                        <w:pPr/>
                      </w:p>
                    </w:tc>
                    <w:tc>
                      <w:tcPr>
                        <w:tcW w:w="846"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1"/>
                          <w:jc w:val="center"/>
                          <w:rPr>
                            <w:rFonts w:ascii="宋体" w:hAnsi="宋体" w:cs="宋体" w:eastAsia="宋体" w:hint="default"/>
                            <w:sz w:val="15"/>
                            <w:szCs w:val="15"/>
                          </w:rPr>
                        </w:pPr>
                        <w:r>
                          <w:rPr>
                            <w:rFonts w:ascii="宋体" w:hAnsi="宋体" w:cs="宋体" w:eastAsia="宋体" w:hint="default"/>
                            <w:sz w:val="15"/>
                            <w:szCs w:val="15"/>
                          </w:rPr>
                          <w:t>格</w:t>
                        </w:r>
                        <w:r>
                          <w:rPr>
                            <w:rFonts w:ascii="宋体" w:hAnsi="宋体" w:cs="宋体" w:eastAsia="宋体" w:hint="default"/>
                            <w:spacing w:val="-64"/>
                            <w:sz w:val="15"/>
                            <w:szCs w:val="15"/>
                          </w:rPr>
                          <w:t>，</w:t>
                        </w:r>
                        <w:r>
                          <w:rPr>
                            <w:rFonts w:ascii="宋体" w:hAnsi="宋体" w:cs="宋体" w:eastAsia="宋体" w:hint="default"/>
                            <w:sz w:val="15"/>
                            <w:szCs w:val="15"/>
                          </w:rPr>
                          <w:t>协商确定</w:t>
                        </w:r>
                      </w:p>
                    </w:tc>
                    <w:tc>
                      <w:tcPr>
                        <w:tcW w:w="590"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1"/>
                          <w:jc w:val="center"/>
                          <w:rPr>
                            <w:rFonts w:ascii="宋体" w:hAnsi="宋体" w:cs="宋体" w:eastAsia="宋体" w:hint="default"/>
                            <w:sz w:val="15"/>
                            <w:szCs w:val="15"/>
                          </w:rPr>
                        </w:pPr>
                        <w:r>
                          <w:rPr>
                            <w:rFonts w:ascii="宋体" w:hAnsi="宋体" w:cs="宋体" w:eastAsia="宋体" w:hint="default"/>
                            <w:sz w:val="15"/>
                            <w:szCs w:val="15"/>
                          </w:rPr>
                          <w:t>场价格</w:t>
                        </w:r>
                      </w:p>
                    </w:tc>
                    <w:tc>
                      <w:tcPr>
                        <w:tcW w:w="726" w:type="dxa"/>
                        <w:tcBorders>
                          <w:top w:val="nil" w:sz="6" w:space="0" w:color="auto"/>
                          <w:left w:val="single" w:sz="4" w:space="0" w:color="000000"/>
                          <w:bottom w:val="nil" w:sz="6" w:space="0" w:color="auto"/>
                          <w:right w:val="single" w:sz="4" w:space="0" w:color="000000"/>
                        </w:tcBorders>
                      </w:tcPr>
                      <w:p>
                        <w:pPr/>
                      </w:p>
                    </w:tc>
                    <w:tc>
                      <w:tcPr>
                        <w:tcW w:w="908" w:type="dxa"/>
                        <w:tcBorders>
                          <w:top w:val="nil" w:sz="6" w:space="0" w:color="auto"/>
                          <w:left w:val="single" w:sz="4" w:space="0" w:color="000000"/>
                          <w:bottom w:val="nil" w:sz="6" w:space="0" w:color="auto"/>
                          <w:right w:val="single" w:sz="4" w:space="0" w:color="000000"/>
                        </w:tcBorders>
                      </w:tcPr>
                      <w:p>
                        <w:pPr/>
                      </w:p>
                    </w:tc>
                    <w:tc>
                      <w:tcPr>
                        <w:tcW w:w="806" w:type="dxa"/>
                        <w:tcBorders>
                          <w:top w:val="nil" w:sz="6" w:space="0" w:color="auto"/>
                          <w:left w:val="single" w:sz="4" w:space="0" w:color="000000"/>
                          <w:bottom w:val="nil" w:sz="6" w:space="0" w:color="auto"/>
                          <w:right w:val="single" w:sz="4" w:space="0" w:color="000000"/>
                        </w:tcBorders>
                      </w:tcPr>
                      <w:p>
                        <w:pPr/>
                      </w:p>
                    </w:tc>
                    <w:tc>
                      <w:tcPr>
                        <w:tcW w:w="574" w:type="dxa"/>
                        <w:tcBorders>
                          <w:top w:val="nil" w:sz="6" w:space="0" w:color="auto"/>
                          <w:left w:val="single" w:sz="4" w:space="0" w:color="000000"/>
                          <w:bottom w:val="nil" w:sz="6" w:space="0" w:color="auto"/>
                          <w:right w:val="single" w:sz="4" w:space="0" w:color="000000"/>
                        </w:tcBorders>
                      </w:tcPr>
                      <w:p>
                        <w:pPr/>
                      </w:p>
                    </w:tc>
                    <w:tc>
                      <w:tcPr>
                        <w:tcW w:w="720"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0"/>
                          <w:jc w:val="left"/>
                          <w:rPr>
                            <w:rFonts w:ascii="宋体" w:hAnsi="宋体" w:cs="宋体" w:eastAsia="宋体" w:hint="default"/>
                            <w:sz w:val="15"/>
                            <w:szCs w:val="15"/>
                          </w:rPr>
                        </w:pPr>
                        <w:r>
                          <w:rPr>
                            <w:rFonts w:ascii="宋体" w:hAnsi="宋体" w:cs="宋体" w:eastAsia="宋体" w:hint="default"/>
                            <w:sz w:val="15"/>
                            <w:szCs w:val="15"/>
                          </w:rPr>
                          <w:t>约定</w:t>
                        </w:r>
                      </w:p>
                    </w:tc>
                    <w:tc>
                      <w:tcPr>
                        <w:tcW w:w="886" w:type="dxa"/>
                        <w:tcBorders>
                          <w:top w:val="nil" w:sz="6" w:space="0" w:color="auto"/>
                          <w:left w:val="single" w:sz="4" w:space="0" w:color="000000"/>
                          <w:bottom w:val="nil" w:sz="6" w:space="0" w:color="auto"/>
                          <w:right w:val="single" w:sz="4" w:space="0" w:color="000000"/>
                        </w:tcBorders>
                      </w:tcPr>
                      <w:p>
                        <w:pPr/>
                      </w:p>
                    </w:tc>
                    <w:tc>
                      <w:tcPr>
                        <w:tcW w:w="866" w:type="dxa"/>
                        <w:tcBorders>
                          <w:top w:val="nil" w:sz="6" w:space="0" w:color="auto"/>
                          <w:left w:val="single" w:sz="4" w:space="0" w:color="000000"/>
                          <w:bottom w:val="nil" w:sz="6" w:space="0" w:color="auto"/>
                          <w:right w:val="single" w:sz="4" w:space="0" w:color="000000"/>
                        </w:tcBorders>
                      </w:tcPr>
                      <w:p>
                        <w:pPr>
                          <w:pStyle w:val="TableParagraph"/>
                          <w:spacing w:line="161" w:lineRule="exact"/>
                          <w:ind w:left="-1"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22 </w:t>
                        </w:r>
                        <w:r>
                          <w:rPr>
                            <w:rFonts w:ascii="宋体" w:hAnsi="宋体" w:cs="宋体" w:eastAsia="宋体" w:hint="default"/>
                            <w:sz w:val="15"/>
                            <w:szCs w:val="15"/>
                          </w:rPr>
                          <w:t>日</w:t>
                        </w:r>
                      </w:p>
                    </w:tc>
                    <w:tc>
                      <w:tcPr>
                        <w:tcW w:w="755"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0"/>
                          <w:jc w:val="left"/>
                          <w:rPr>
                            <w:rFonts w:ascii="宋体" w:hAnsi="宋体" w:cs="宋体" w:eastAsia="宋体" w:hint="default"/>
                            <w:sz w:val="15"/>
                            <w:szCs w:val="15"/>
                          </w:rPr>
                        </w:pPr>
                        <w:r>
                          <w:rPr>
                            <w:rFonts w:ascii="宋体" w:hAnsi="宋体" w:cs="宋体" w:eastAsia="宋体" w:hint="default"/>
                            <w:sz w:val="15"/>
                            <w:szCs w:val="15"/>
                          </w:rPr>
                          <w:t>公告</w:t>
                        </w:r>
                      </w:p>
                    </w:tc>
                  </w:tr>
                  <w:tr>
                    <w:trPr>
                      <w:trHeight w:val="236" w:hRule="exact"/>
                    </w:trPr>
                    <w:tc>
                      <w:tcPr>
                        <w:tcW w:w="1334" w:type="dxa"/>
                        <w:tcBorders>
                          <w:top w:val="nil" w:sz="6" w:space="0" w:color="auto"/>
                          <w:left w:val="single" w:sz="4" w:space="0" w:color="000000"/>
                          <w:bottom w:val="single" w:sz="4" w:space="0" w:color="000000"/>
                          <w:right w:val="single" w:sz="4" w:space="0" w:color="000000"/>
                        </w:tcBorders>
                      </w:tcPr>
                      <w:p>
                        <w:pPr/>
                      </w:p>
                    </w:tc>
                    <w:tc>
                      <w:tcPr>
                        <w:tcW w:w="908" w:type="dxa"/>
                        <w:tcBorders>
                          <w:top w:val="nil" w:sz="6" w:space="0" w:color="auto"/>
                          <w:left w:val="single" w:sz="4" w:space="0" w:color="000000"/>
                          <w:bottom w:val="single" w:sz="4" w:space="0" w:color="000000"/>
                          <w:right w:val="single" w:sz="4" w:space="0" w:color="000000"/>
                        </w:tcBorders>
                      </w:tcPr>
                      <w:p>
                        <w:pPr/>
                      </w:p>
                    </w:tc>
                    <w:tc>
                      <w:tcPr>
                        <w:tcW w:w="726" w:type="dxa"/>
                        <w:tcBorders>
                          <w:top w:val="nil" w:sz="6" w:space="0" w:color="auto"/>
                          <w:left w:val="single" w:sz="4" w:space="0" w:color="000000"/>
                          <w:bottom w:val="single" w:sz="4" w:space="0" w:color="000000"/>
                          <w:right w:val="single" w:sz="4" w:space="0" w:color="000000"/>
                        </w:tcBorders>
                      </w:tcPr>
                      <w:p>
                        <w:pPr/>
                      </w:p>
                    </w:tc>
                    <w:tc>
                      <w:tcPr>
                        <w:tcW w:w="788" w:type="dxa"/>
                        <w:tcBorders>
                          <w:top w:val="nil" w:sz="6" w:space="0" w:color="auto"/>
                          <w:left w:val="single" w:sz="4" w:space="0" w:color="000000"/>
                          <w:bottom w:val="single" w:sz="4" w:space="0" w:color="000000"/>
                          <w:right w:val="single" w:sz="4" w:space="0" w:color="000000"/>
                        </w:tcBorders>
                      </w:tcPr>
                      <w:p>
                        <w:pPr>
                          <w:pStyle w:val="TableParagraph"/>
                          <w:spacing w:line="160" w:lineRule="exact"/>
                          <w:ind w:right="0"/>
                          <w:jc w:val="left"/>
                          <w:rPr>
                            <w:rFonts w:ascii="Times New Roman" w:hAnsi="Times New Roman" w:cs="Times New Roman" w:eastAsia="Times New Roman" w:hint="default"/>
                            <w:sz w:val="15"/>
                            <w:szCs w:val="15"/>
                          </w:rPr>
                        </w:pPr>
                        <w:r>
                          <w:rPr>
                            <w:rFonts w:ascii="宋体" w:hAnsi="宋体" w:cs="宋体" w:eastAsia="宋体" w:hint="default"/>
                            <w:spacing w:val="-5"/>
                            <w:sz w:val="15"/>
                            <w:szCs w:val="15"/>
                          </w:rPr>
                          <w:t>务器、</w:t>
                        </w:r>
                        <w:r>
                          <w:rPr>
                            <w:rFonts w:ascii="Times New Roman" w:hAnsi="Times New Roman" w:cs="Times New Roman" w:eastAsia="Times New Roman" w:hint="default"/>
                            <w:spacing w:val="-5"/>
                            <w:sz w:val="15"/>
                            <w:szCs w:val="15"/>
                          </w:rPr>
                          <w:t>KVM</w:t>
                        </w:r>
                        <w:r>
                          <w:rPr>
                            <w:rFonts w:ascii="Times New Roman" w:hAnsi="Times New Roman" w:cs="Times New Roman" w:eastAsia="Times New Roman" w:hint="default"/>
                            <w:sz w:val="15"/>
                            <w:szCs w:val="15"/>
                          </w:rPr>
                        </w:r>
                      </w:p>
                    </w:tc>
                    <w:tc>
                      <w:tcPr>
                        <w:tcW w:w="846" w:type="dxa"/>
                        <w:tcBorders>
                          <w:top w:val="nil" w:sz="6" w:space="0" w:color="auto"/>
                          <w:left w:val="single" w:sz="4" w:space="0" w:color="000000"/>
                          <w:bottom w:val="single" w:sz="4" w:space="0" w:color="000000"/>
                          <w:right w:val="single" w:sz="4" w:space="0" w:color="000000"/>
                        </w:tcBorders>
                      </w:tcPr>
                      <w:p>
                        <w:pPr/>
                      </w:p>
                    </w:tc>
                    <w:tc>
                      <w:tcPr>
                        <w:tcW w:w="590" w:type="dxa"/>
                        <w:tcBorders>
                          <w:top w:val="nil" w:sz="6" w:space="0" w:color="auto"/>
                          <w:left w:val="single" w:sz="4" w:space="0" w:color="000000"/>
                          <w:bottom w:val="single" w:sz="4" w:space="0" w:color="000000"/>
                          <w:right w:val="single" w:sz="4" w:space="0" w:color="000000"/>
                        </w:tcBorders>
                      </w:tcPr>
                      <w:p>
                        <w:pPr/>
                      </w:p>
                    </w:tc>
                    <w:tc>
                      <w:tcPr>
                        <w:tcW w:w="726" w:type="dxa"/>
                        <w:tcBorders>
                          <w:top w:val="nil" w:sz="6" w:space="0" w:color="auto"/>
                          <w:left w:val="single" w:sz="4" w:space="0" w:color="000000"/>
                          <w:bottom w:val="single" w:sz="4" w:space="0" w:color="000000"/>
                          <w:right w:val="single" w:sz="4" w:space="0" w:color="000000"/>
                        </w:tcBorders>
                      </w:tcPr>
                      <w:p>
                        <w:pPr/>
                      </w:p>
                    </w:tc>
                    <w:tc>
                      <w:tcPr>
                        <w:tcW w:w="908" w:type="dxa"/>
                        <w:tcBorders>
                          <w:top w:val="nil" w:sz="6" w:space="0" w:color="auto"/>
                          <w:left w:val="single" w:sz="4" w:space="0" w:color="000000"/>
                          <w:bottom w:val="single" w:sz="4" w:space="0" w:color="000000"/>
                          <w:right w:val="single" w:sz="4" w:space="0" w:color="000000"/>
                        </w:tcBorders>
                      </w:tcPr>
                      <w:p>
                        <w:pPr/>
                      </w:p>
                    </w:tc>
                    <w:tc>
                      <w:tcPr>
                        <w:tcW w:w="806" w:type="dxa"/>
                        <w:tcBorders>
                          <w:top w:val="nil" w:sz="6" w:space="0" w:color="auto"/>
                          <w:left w:val="single" w:sz="4" w:space="0" w:color="000000"/>
                          <w:bottom w:val="single" w:sz="4" w:space="0" w:color="000000"/>
                          <w:right w:val="single" w:sz="4" w:space="0" w:color="000000"/>
                        </w:tcBorders>
                      </w:tcPr>
                      <w:p>
                        <w:pPr/>
                      </w:p>
                    </w:tc>
                    <w:tc>
                      <w:tcPr>
                        <w:tcW w:w="574" w:type="dxa"/>
                        <w:tcBorders>
                          <w:top w:val="nil" w:sz="6" w:space="0" w:color="auto"/>
                          <w:left w:val="single" w:sz="4" w:space="0" w:color="000000"/>
                          <w:bottom w:val="single" w:sz="4" w:space="0" w:color="000000"/>
                          <w:right w:val="single" w:sz="4" w:space="0" w:color="000000"/>
                        </w:tcBorders>
                      </w:tcPr>
                      <w:p>
                        <w:pPr/>
                      </w:p>
                    </w:tc>
                    <w:tc>
                      <w:tcPr>
                        <w:tcW w:w="720" w:type="dxa"/>
                        <w:tcBorders>
                          <w:top w:val="nil" w:sz="6" w:space="0" w:color="auto"/>
                          <w:left w:val="single" w:sz="4" w:space="0" w:color="000000"/>
                          <w:bottom w:val="single" w:sz="4" w:space="0" w:color="000000"/>
                          <w:right w:val="single" w:sz="4" w:space="0" w:color="000000"/>
                        </w:tcBorders>
                      </w:tcPr>
                      <w:p>
                        <w:pPr/>
                      </w:p>
                    </w:tc>
                    <w:tc>
                      <w:tcPr>
                        <w:tcW w:w="886" w:type="dxa"/>
                        <w:tcBorders>
                          <w:top w:val="nil" w:sz="6" w:space="0" w:color="auto"/>
                          <w:left w:val="single" w:sz="4" w:space="0" w:color="000000"/>
                          <w:bottom w:val="single" w:sz="4" w:space="0" w:color="000000"/>
                          <w:right w:val="single" w:sz="4" w:space="0" w:color="000000"/>
                        </w:tcBorders>
                      </w:tcPr>
                      <w:p>
                        <w:pPr/>
                      </w:p>
                    </w:tc>
                    <w:tc>
                      <w:tcPr>
                        <w:tcW w:w="866" w:type="dxa"/>
                        <w:tcBorders>
                          <w:top w:val="nil" w:sz="6" w:space="0" w:color="auto"/>
                          <w:left w:val="single" w:sz="4" w:space="0" w:color="000000"/>
                          <w:bottom w:val="single" w:sz="4" w:space="0" w:color="000000"/>
                          <w:right w:val="single" w:sz="4" w:space="0" w:color="000000"/>
                        </w:tcBorders>
                      </w:tcPr>
                      <w:p>
                        <w:pPr/>
                      </w:p>
                    </w:tc>
                    <w:tc>
                      <w:tcPr>
                        <w:tcW w:w="755" w:type="dxa"/>
                        <w:tcBorders>
                          <w:top w:val="nil" w:sz="6" w:space="0" w:color="auto"/>
                          <w:left w:val="single" w:sz="4" w:space="0" w:color="000000"/>
                          <w:bottom w:val="single" w:sz="4" w:space="0" w:color="000000"/>
                          <w:right w:val="single" w:sz="4" w:space="0" w:color="000000"/>
                        </w:tcBorders>
                      </w:tcPr>
                      <w:p>
                        <w:pPr/>
                      </w:p>
                    </w:tc>
                  </w:tr>
                  <w:tr>
                    <w:trPr>
                      <w:trHeight w:val="316" w:hRule="exact"/>
                    </w:trPr>
                    <w:tc>
                      <w:tcPr>
                        <w:tcW w:w="1334" w:type="dxa"/>
                        <w:tcBorders>
                          <w:top w:val="single" w:sz="4" w:space="0" w:color="000000"/>
                          <w:left w:val="single" w:sz="4" w:space="0" w:color="000000"/>
                          <w:bottom w:val="nil" w:sz="6" w:space="0" w:color="auto"/>
                          <w:right w:val="single" w:sz="4" w:space="0" w:color="000000"/>
                        </w:tcBorders>
                      </w:tcPr>
                      <w:p>
                        <w:pPr/>
                      </w:p>
                    </w:tc>
                    <w:tc>
                      <w:tcPr>
                        <w:tcW w:w="908" w:type="dxa"/>
                        <w:tcBorders>
                          <w:top w:val="single" w:sz="4" w:space="0" w:color="000000"/>
                          <w:left w:val="single" w:sz="4" w:space="0" w:color="000000"/>
                          <w:bottom w:val="nil" w:sz="6" w:space="0" w:color="auto"/>
                          <w:right w:val="single" w:sz="4" w:space="0" w:color="000000"/>
                        </w:tcBorders>
                      </w:tcPr>
                      <w:p>
                        <w:pPr/>
                      </w:p>
                    </w:tc>
                    <w:tc>
                      <w:tcPr>
                        <w:tcW w:w="726" w:type="dxa"/>
                        <w:tcBorders>
                          <w:top w:val="single" w:sz="4" w:space="0" w:color="000000"/>
                          <w:left w:val="single" w:sz="4" w:space="0" w:color="000000"/>
                          <w:bottom w:val="nil" w:sz="6" w:space="0" w:color="auto"/>
                          <w:right w:val="single" w:sz="4" w:space="0" w:color="000000"/>
                        </w:tcBorders>
                      </w:tcPr>
                      <w:p>
                        <w:pPr/>
                      </w:p>
                    </w:tc>
                    <w:tc>
                      <w:tcPr>
                        <w:tcW w:w="78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3"/>
                          <w:ind w:right="0"/>
                          <w:jc w:val="left"/>
                          <w:rPr>
                            <w:rFonts w:ascii="宋体" w:hAnsi="宋体" w:cs="宋体" w:eastAsia="宋体" w:hint="default"/>
                            <w:sz w:val="15"/>
                            <w:szCs w:val="15"/>
                          </w:rPr>
                        </w:pPr>
                        <w:r>
                          <w:rPr>
                            <w:rFonts w:ascii="宋体" w:hAnsi="宋体" w:cs="宋体" w:eastAsia="宋体" w:hint="default"/>
                            <w:sz w:val="15"/>
                            <w:szCs w:val="15"/>
                          </w:rPr>
                          <w:t>销售整机、</w:t>
                        </w:r>
                      </w:p>
                    </w:tc>
                    <w:tc>
                      <w:tcPr>
                        <w:tcW w:w="846" w:type="dxa"/>
                        <w:tcBorders>
                          <w:top w:val="single" w:sz="4" w:space="0" w:color="000000"/>
                          <w:left w:val="single" w:sz="4" w:space="0" w:color="000000"/>
                          <w:bottom w:val="nil" w:sz="6" w:space="0" w:color="auto"/>
                          <w:right w:val="single" w:sz="4" w:space="0" w:color="000000"/>
                        </w:tcBorders>
                      </w:tcPr>
                      <w:p>
                        <w:pPr/>
                      </w:p>
                    </w:tc>
                    <w:tc>
                      <w:tcPr>
                        <w:tcW w:w="590" w:type="dxa"/>
                        <w:tcBorders>
                          <w:top w:val="single" w:sz="4" w:space="0" w:color="000000"/>
                          <w:left w:val="single" w:sz="4" w:space="0" w:color="000000"/>
                          <w:bottom w:val="nil" w:sz="6" w:space="0" w:color="auto"/>
                          <w:right w:val="single" w:sz="4" w:space="0" w:color="000000"/>
                        </w:tcBorders>
                      </w:tcPr>
                      <w:p>
                        <w:pPr/>
                      </w:p>
                    </w:tc>
                    <w:tc>
                      <w:tcPr>
                        <w:tcW w:w="726" w:type="dxa"/>
                        <w:tcBorders>
                          <w:top w:val="single" w:sz="4" w:space="0" w:color="000000"/>
                          <w:left w:val="single" w:sz="4" w:space="0" w:color="000000"/>
                          <w:bottom w:val="nil" w:sz="6" w:space="0" w:color="auto"/>
                          <w:right w:val="single" w:sz="4" w:space="0" w:color="000000"/>
                        </w:tcBorders>
                      </w:tcPr>
                      <w:p>
                        <w:pPr/>
                      </w:p>
                    </w:tc>
                    <w:tc>
                      <w:tcPr>
                        <w:tcW w:w="908" w:type="dxa"/>
                        <w:tcBorders>
                          <w:top w:val="single" w:sz="4" w:space="0" w:color="000000"/>
                          <w:left w:val="single" w:sz="4" w:space="0" w:color="000000"/>
                          <w:bottom w:val="nil" w:sz="6" w:space="0" w:color="auto"/>
                          <w:right w:val="single" w:sz="4" w:space="0" w:color="000000"/>
                        </w:tcBorders>
                      </w:tcPr>
                      <w:p>
                        <w:pPr/>
                      </w:p>
                    </w:tc>
                    <w:tc>
                      <w:tcPr>
                        <w:tcW w:w="806" w:type="dxa"/>
                        <w:tcBorders>
                          <w:top w:val="single" w:sz="4" w:space="0" w:color="000000"/>
                          <w:left w:val="single" w:sz="4" w:space="0" w:color="000000"/>
                          <w:bottom w:val="nil" w:sz="6" w:space="0" w:color="auto"/>
                          <w:right w:val="single" w:sz="4" w:space="0" w:color="000000"/>
                        </w:tcBorders>
                      </w:tcPr>
                      <w:p>
                        <w:pPr/>
                      </w:p>
                    </w:tc>
                    <w:tc>
                      <w:tcPr>
                        <w:tcW w:w="574" w:type="dxa"/>
                        <w:tcBorders>
                          <w:top w:val="single" w:sz="4" w:space="0" w:color="000000"/>
                          <w:left w:val="single" w:sz="4" w:space="0" w:color="000000"/>
                          <w:bottom w:val="nil" w:sz="6" w:space="0" w:color="auto"/>
                          <w:right w:val="single" w:sz="4" w:space="0" w:color="000000"/>
                        </w:tcBorders>
                      </w:tcPr>
                      <w:p>
                        <w:pPr/>
                      </w:p>
                    </w:tc>
                    <w:tc>
                      <w:tcPr>
                        <w:tcW w:w="720" w:type="dxa"/>
                        <w:tcBorders>
                          <w:top w:val="single" w:sz="4" w:space="0" w:color="000000"/>
                          <w:left w:val="single" w:sz="4" w:space="0" w:color="000000"/>
                          <w:bottom w:val="nil" w:sz="6" w:space="0" w:color="auto"/>
                          <w:right w:val="single" w:sz="4" w:space="0" w:color="000000"/>
                        </w:tcBorders>
                      </w:tcPr>
                      <w:p>
                        <w:pPr/>
                      </w:p>
                    </w:tc>
                    <w:tc>
                      <w:tcPr>
                        <w:tcW w:w="886" w:type="dxa"/>
                        <w:tcBorders>
                          <w:top w:val="single" w:sz="4" w:space="0" w:color="000000"/>
                          <w:left w:val="single" w:sz="4" w:space="0" w:color="000000"/>
                          <w:bottom w:val="nil" w:sz="6" w:space="0" w:color="auto"/>
                          <w:right w:val="single" w:sz="4" w:space="0" w:color="000000"/>
                        </w:tcBorders>
                      </w:tcPr>
                      <w:p>
                        <w:pPr/>
                      </w:p>
                    </w:tc>
                    <w:tc>
                      <w:tcPr>
                        <w:tcW w:w="866" w:type="dxa"/>
                        <w:tcBorders>
                          <w:top w:val="single" w:sz="4" w:space="0" w:color="000000"/>
                          <w:left w:val="single" w:sz="4" w:space="0" w:color="000000"/>
                          <w:bottom w:val="nil" w:sz="6" w:space="0" w:color="auto"/>
                          <w:right w:val="single" w:sz="4" w:space="0" w:color="000000"/>
                        </w:tcBorders>
                      </w:tcPr>
                      <w:p>
                        <w:pPr/>
                      </w:p>
                    </w:tc>
                    <w:tc>
                      <w:tcPr>
                        <w:tcW w:w="755" w:type="dxa"/>
                        <w:tcBorders>
                          <w:top w:val="single" w:sz="4" w:space="0" w:color="000000"/>
                          <w:left w:val="single" w:sz="4" w:space="0" w:color="000000"/>
                          <w:bottom w:val="nil" w:sz="6" w:space="0" w:color="auto"/>
                          <w:right w:val="single" w:sz="4" w:space="0" w:color="000000"/>
                        </w:tcBorders>
                      </w:tcPr>
                      <w:p>
                        <w:pPr/>
                      </w:p>
                    </w:tc>
                  </w:tr>
                  <w:tr>
                    <w:trPr>
                      <w:trHeight w:val="234" w:hRule="exact"/>
                    </w:trPr>
                    <w:tc>
                      <w:tcPr>
                        <w:tcW w:w="1334" w:type="dxa"/>
                        <w:tcBorders>
                          <w:top w:val="nil" w:sz="6" w:space="0" w:color="auto"/>
                          <w:left w:val="single" w:sz="4" w:space="0" w:color="000000"/>
                          <w:bottom w:val="nil" w:sz="6" w:space="0" w:color="auto"/>
                          <w:right w:val="single" w:sz="4" w:space="0" w:color="000000"/>
                        </w:tcBorders>
                      </w:tcPr>
                      <w:p>
                        <w:pPr/>
                      </w:p>
                    </w:tc>
                    <w:tc>
                      <w:tcPr>
                        <w:tcW w:w="908" w:type="dxa"/>
                        <w:tcBorders>
                          <w:top w:val="nil" w:sz="6" w:space="0" w:color="auto"/>
                          <w:left w:val="single" w:sz="4" w:space="0" w:color="000000"/>
                          <w:bottom w:val="nil" w:sz="6" w:space="0" w:color="auto"/>
                          <w:right w:val="single" w:sz="4" w:space="0" w:color="000000"/>
                        </w:tcBorders>
                      </w:tcPr>
                      <w:p>
                        <w:pPr/>
                      </w:p>
                    </w:tc>
                    <w:tc>
                      <w:tcPr>
                        <w:tcW w:w="726" w:type="dxa"/>
                        <w:tcBorders>
                          <w:top w:val="nil" w:sz="6" w:space="0" w:color="auto"/>
                          <w:left w:val="single" w:sz="4" w:space="0" w:color="000000"/>
                          <w:bottom w:val="nil" w:sz="6" w:space="0" w:color="auto"/>
                          <w:right w:val="single" w:sz="4" w:space="0" w:color="000000"/>
                        </w:tcBorders>
                      </w:tcPr>
                      <w:p>
                        <w:pPr/>
                      </w:p>
                    </w:tc>
                    <w:tc>
                      <w:tcPr>
                        <w:tcW w:w="788"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0"/>
                          <w:jc w:val="left"/>
                          <w:rPr>
                            <w:rFonts w:ascii="宋体" w:hAnsi="宋体" w:cs="宋体" w:eastAsia="宋体" w:hint="default"/>
                            <w:sz w:val="15"/>
                            <w:szCs w:val="15"/>
                          </w:rPr>
                        </w:pPr>
                        <w:r>
                          <w:rPr>
                            <w:rFonts w:ascii="宋体" w:hAnsi="宋体" w:cs="宋体" w:eastAsia="宋体" w:hint="default"/>
                            <w:sz w:val="15"/>
                            <w:szCs w:val="15"/>
                          </w:rPr>
                          <w:t>服务器、存</w:t>
                        </w:r>
                      </w:p>
                    </w:tc>
                    <w:tc>
                      <w:tcPr>
                        <w:tcW w:w="846" w:type="dxa"/>
                        <w:tcBorders>
                          <w:top w:val="nil" w:sz="6" w:space="0" w:color="auto"/>
                          <w:left w:val="single" w:sz="4" w:space="0" w:color="000000"/>
                          <w:bottom w:val="nil" w:sz="6" w:space="0" w:color="auto"/>
                          <w:right w:val="single" w:sz="4" w:space="0" w:color="000000"/>
                        </w:tcBorders>
                      </w:tcPr>
                      <w:p>
                        <w:pPr/>
                      </w:p>
                    </w:tc>
                    <w:tc>
                      <w:tcPr>
                        <w:tcW w:w="590" w:type="dxa"/>
                        <w:tcBorders>
                          <w:top w:val="nil" w:sz="6" w:space="0" w:color="auto"/>
                          <w:left w:val="single" w:sz="4" w:space="0" w:color="000000"/>
                          <w:bottom w:val="nil" w:sz="6" w:space="0" w:color="auto"/>
                          <w:right w:val="single" w:sz="4" w:space="0" w:color="000000"/>
                        </w:tcBorders>
                      </w:tcPr>
                      <w:p>
                        <w:pPr/>
                      </w:p>
                    </w:tc>
                    <w:tc>
                      <w:tcPr>
                        <w:tcW w:w="726" w:type="dxa"/>
                        <w:tcBorders>
                          <w:top w:val="nil" w:sz="6" w:space="0" w:color="auto"/>
                          <w:left w:val="single" w:sz="4" w:space="0" w:color="000000"/>
                          <w:bottom w:val="nil" w:sz="6" w:space="0" w:color="auto"/>
                          <w:right w:val="single" w:sz="4" w:space="0" w:color="000000"/>
                        </w:tcBorders>
                      </w:tcPr>
                      <w:p>
                        <w:pPr/>
                      </w:p>
                    </w:tc>
                    <w:tc>
                      <w:tcPr>
                        <w:tcW w:w="908" w:type="dxa"/>
                        <w:tcBorders>
                          <w:top w:val="nil" w:sz="6" w:space="0" w:color="auto"/>
                          <w:left w:val="single" w:sz="4" w:space="0" w:color="000000"/>
                          <w:bottom w:val="nil" w:sz="6" w:space="0" w:color="auto"/>
                          <w:right w:val="single" w:sz="4" w:space="0" w:color="000000"/>
                        </w:tcBorders>
                      </w:tcPr>
                      <w:p>
                        <w:pPr/>
                      </w:p>
                    </w:tc>
                    <w:tc>
                      <w:tcPr>
                        <w:tcW w:w="806" w:type="dxa"/>
                        <w:tcBorders>
                          <w:top w:val="nil" w:sz="6" w:space="0" w:color="auto"/>
                          <w:left w:val="single" w:sz="4" w:space="0" w:color="000000"/>
                          <w:bottom w:val="nil" w:sz="6" w:space="0" w:color="auto"/>
                          <w:right w:val="single" w:sz="4" w:space="0" w:color="000000"/>
                        </w:tcBorders>
                      </w:tcPr>
                      <w:p>
                        <w:pPr/>
                      </w:p>
                    </w:tc>
                    <w:tc>
                      <w:tcPr>
                        <w:tcW w:w="574" w:type="dxa"/>
                        <w:tcBorders>
                          <w:top w:val="nil" w:sz="6" w:space="0" w:color="auto"/>
                          <w:left w:val="single" w:sz="4" w:space="0" w:color="000000"/>
                          <w:bottom w:val="nil" w:sz="6" w:space="0" w:color="auto"/>
                          <w:right w:val="single" w:sz="4" w:space="0" w:color="000000"/>
                        </w:tcBorders>
                      </w:tcPr>
                      <w:p>
                        <w:pPr/>
                      </w:p>
                    </w:tc>
                    <w:tc>
                      <w:tcPr>
                        <w:tcW w:w="720" w:type="dxa"/>
                        <w:tcBorders>
                          <w:top w:val="nil" w:sz="6" w:space="0" w:color="auto"/>
                          <w:left w:val="single" w:sz="4" w:space="0" w:color="000000"/>
                          <w:bottom w:val="nil" w:sz="6" w:space="0" w:color="auto"/>
                          <w:right w:val="single" w:sz="4" w:space="0" w:color="000000"/>
                        </w:tcBorders>
                      </w:tcPr>
                      <w:p>
                        <w:pPr/>
                      </w:p>
                    </w:tc>
                    <w:tc>
                      <w:tcPr>
                        <w:tcW w:w="886" w:type="dxa"/>
                        <w:tcBorders>
                          <w:top w:val="nil" w:sz="6" w:space="0" w:color="auto"/>
                          <w:left w:val="single" w:sz="4" w:space="0" w:color="000000"/>
                          <w:bottom w:val="nil" w:sz="6" w:space="0" w:color="auto"/>
                          <w:right w:val="single" w:sz="4" w:space="0" w:color="000000"/>
                        </w:tcBorders>
                      </w:tcPr>
                      <w:p>
                        <w:pPr/>
                      </w:p>
                    </w:tc>
                    <w:tc>
                      <w:tcPr>
                        <w:tcW w:w="866" w:type="dxa"/>
                        <w:tcBorders>
                          <w:top w:val="nil" w:sz="6" w:space="0" w:color="auto"/>
                          <w:left w:val="single" w:sz="4" w:space="0" w:color="000000"/>
                          <w:bottom w:val="nil" w:sz="6" w:space="0" w:color="auto"/>
                          <w:right w:val="single" w:sz="4" w:space="0" w:color="000000"/>
                        </w:tcBorders>
                      </w:tcPr>
                      <w:p>
                        <w:pPr/>
                      </w:p>
                    </w:tc>
                    <w:tc>
                      <w:tcPr>
                        <w:tcW w:w="755" w:type="dxa"/>
                        <w:tcBorders>
                          <w:top w:val="nil" w:sz="6" w:space="0" w:color="auto"/>
                          <w:left w:val="single" w:sz="4" w:space="0" w:color="000000"/>
                          <w:bottom w:val="nil" w:sz="6" w:space="0" w:color="auto"/>
                          <w:right w:val="single" w:sz="4" w:space="0" w:color="000000"/>
                        </w:tcBorders>
                      </w:tcPr>
                      <w:p>
                        <w:pPr/>
                      </w:p>
                    </w:tc>
                  </w:tr>
                  <w:tr>
                    <w:trPr>
                      <w:trHeight w:val="160" w:hRule="exact"/>
                    </w:trPr>
                    <w:tc>
                      <w:tcPr>
                        <w:tcW w:w="1334" w:type="dxa"/>
                        <w:tcBorders>
                          <w:top w:val="nil" w:sz="6" w:space="0" w:color="auto"/>
                          <w:left w:val="single" w:sz="4" w:space="0" w:color="000000"/>
                          <w:bottom w:val="nil" w:sz="6" w:space="0" w:color="auto"/>
                          <w:right w:val="single" w:sz="4" w:space="0" w:color="000000"/>
                        </w:tcBorders>
                      </w:tcPr>
                      <w:p>
                        <w:pPr>
                          <w:pStyle w:val="TableParagraph"/>
                          <w:spacing w:line="153" w:lineRule="exact"/>
                          <w:ind w:left="-1" w:right="0"/>
                          <w:jc w:val="left"/>
                          <w:rPr>
                            <w:rFonts w:ascii="宋体" w:hAnsi="宋体" w:cs="宋体" w:eastAsia="宋体" w:hint="default"/>
                            <w:sz w:val="15"/>
                            <w:szCs w:val="15"/>
                          </w:rPr>
                        </w:pPr>
                        <w:r>
                          <w:rPr>
                            <w:rFonts w:ascii="宋体" w:hAnsi="宋体" w:cs="宋体" w:eastAsia="宋体" w:hint="default"/>
                            <w:sz w:val="15"/>
                            <w:szCs w:val="15"/>
                          </w:rPr>
                          <w:t>湖南长城银河科技</w:t>
                        </w:r>
                      </w:p>
                    </w:tc>
                    <w:tc>
                      <w:tcPr>
                        <w:tcW w:w="908" w:type="dxa"/>
                        <w:tcBorders>
                          <w:top w:val="nil" w:sz="6" w:space="0" w:color="auto"/>
                          <w:left w:val="single" w:sz="4" w:space="0" w:color="000000"/>
                          <w:bottom w:val="nil" w:sz="6" w:space="0" w:color="auto"/>
                          <w:right w:val="single" w:sz="4" w:space="0" w:color="000000"/>
                        </w:tcBorders>
                      </w:tcPr>
                      <w:p>
                        <w:pPr/>
                      </w:p>
                    </w:tc>
                    <w:tc>
                      <w:tcPr>
                        <w:tcW w:w="726" w:type="dxa"/>
                        <w:tcBorders>
                          <w:top w:val="nil" w:sz="6" w:space="0" w:color="auto"/>
                          <w:left w:val="single" w:sz="4" w:space="0" w:color="000000"/>
                          <w:bottom w:val="nil" w:sz="6" w:space="0" w:color="auto"/>
                          <w:right w:val="single" w:sz="4" w:space="0" w:color="000000"/>
                        </w:tcBorders>
                      </w:tcPr>
                      <w:p>
                        <w:pPr/>
                      </w:p>
                    </w:tc>
                    <w:tc>
                      <w:tcPr>
                        <w:tcW w:w="788" w:type="dxa"/>
                        <w:tcBorders>
                          <w:top w:val="nil" w:sz="6" w:space="0" w:color="auto"/>
                          <w:left w:val="single" w:sz="4" w:space="0" w:color="000000"/>
                          <w:bottom w:val="nil" w:sz="6" w:space="0" w:color="auto"/>
                          <w:right w:val="single" w:sz="4" w:space="0" w:color="000000"/>
                        </w:tcBorders>
                      </w:tcPr>
                      <w:p>
                        <w:pPr/>
                      </w:p>
                    </w:tc>
                    <w:tc>
                      <w:tcPr>
                        <w:tcW w:w="846" w:type="dxa"/>
                        <w:tcBorders>
                          <w:top w:val="nil" w:sz="6" w:space="0" w:color="auto"/>
                          <w:left w:val="single" w:sz="4" w:space="0" w:color="000000"/>
                          <w:bottom w:val="nil" w:sz="6" w:space="0" w:color="auto"/>
                          <w:right w:val="single" w:sz="4" w:space="0" w:color="000000"/>
                        </w:tcBorders>
                      </w:tcPr>
                      <w:p>
                        <w:pPr>
                          <w:pStyle w:val="TableParagraph"/>
                          <w:spacing w:line="153" w:lineRule="exact"/>
                          <w:ind w:right="84"/>
                          <w:jc w:val="center"/>
                          <w:rPr>
                            <w:rFonts w:ascii="宋体" w:hAnsi="宋体" w:cs="宋体" w:eastAsia="宋体" w:hint="default"/>
                            <w:sz w:val="15"/>
                            <w:szCs w:val="15"/>
                          </w:rPr>
                        </w:pPr>
                        <w:r>
                          <w:rPr>
                            <w:rFonts w:ascii="宋体" w:hAnsi="宋体" w:cs="宋体" w:eastAsia="宋体" w:hint="default"/>
                            <w:sz w:val="15"/>
                            <w:szCs w:val="15"/>
                          </w:rPr>
                          <w:t>根据市场价</w:t>
                        </w:r>
                      </w:p>
                    </w:tc>
                    <w:tc>
                      <w:tcPr>
                        <w:tcW w:w="590" w:type="dxa"/>
                        <w:tcBorders>
                          <w:top w:val="nil" w:sz="6" w:space="0" w:color="auto"/>
                          <w:left w:val="single" w:sz="4" w:space="0" w:color="000000"/>
                          <w:bottom w:val="nil" w:sz="6" w:space="0" w:color="auto"/>
                          <w:right w:val="single" w:sz="4" w:space="0" w:color="000000"/>
                        </w:tcBorders>
                      </w:tcPr>
                      <w:p>
                        <w:pPr>
                          <w:pStyle w:val="TableParagraph"/>
                          <w:spacing w:line="153" w:lineRule="exact"/>
                          <w:ind w:right="1"/>
                          <w:jc w:val="center"/>
                          <w:rPr>
                            <w:rFonts w:ascii="宋体" w:hAnsi="宋体" w:cs="宋体" w:eastAsia="宋体" w:hint="default"/>
                            <w:sz w:val="15"/>
                            <w:szCs w:val="15"/>
                          </w:rPr>
                        </w:pPr>
                        <w:r>
                          <w:rPr>
                            <w:rFonts w:ascii="宋体" w:hAnsi="宋体" w:cs="宋体" w:eastAsia="宋体" w:hint="default"/>
                            <w:sz w:val="15"/>
                            <w:szCs w:val="15"/>
                          </w:rPr>
                          <w:t>参考市</w:t>
                        </w:r>
                      </w:p>
                    </w:tc>
                    <w:tc>
                      <w:tcPr>
                        <w:tcW w:w="726" w:type="dxa"/>
                        <w:tcBorders>
                          <w:top w:val="nil" w:sz="6" w:space="0" w:color="auto"/>
                          <w:left w:val="single" w:sz="4" w:space="0" w:color="000000"/>
                          <w:bottom w:val="nil" w:sz="6" w:space="0" w:color="auto"/>
                          <w:right w:val="single" w:sz="4" w:space="0" w:color="000000"/>
                        </w:tcBorders>
                      </w:tcPr>
                      <w:p>
                        <w:pPr/>
                      </w:p>
                    </w:tc>
                    <w:tc>
                      <w:tcPr>
                        <w:tcW w:w="908" w:type="dxa"/>
                        <w:tcBorders>
                          <w:top w:val="nil" w:sz="6" w:space="0" w:color="auto"/>
                          <w:left w:val="single" w:sz="4" w:space="0" w:color="000000"/>
                          <w:bottom w:val="nil" w:sz="6" w:space="0" w:color="auto"/>
                          <w:right w:val="single" w:sz="4" w:space="0" w:color="000000"/>
                        </w:tcBorders>
                      </w:tcPr>
                      <w:p>
                        <w:pPr/>
                      </w:p>
                    </w:tc>
                    <w:tc>
                      <w:tcPr>
                        <w:tcW w:w="806" w:type="dxa"/>
                        <w:tcBorders>
                          <w:top w:val="nil" w:sz="6" w:space="0" w:color="auto"/>
                          <w:left w:val="single" w:sz="4" w:space="0" w:color="000000"/>
                          <w:bottom w:val="nil" w:sz="6" w:space="0" w:color="auto"/>
                          <w:right w:val="single" w:sz="4" w:space="0" w:color="000000"/>
                        </w:tcBorders>
                      </w:tcPr>
                      <w:p>
                        <w:pPr/>
                      </w:p>
                    </w:tc>
                    <w:tc>
                      <w:tcPr>
                        <w:tcW w:w="574" w:type="dxa"/>
                        <w:tcBorders>
                          <w:top w:val="nil" w:sz="6" w:space="0" w:color="auto"/>
                          <w:left w:val="single" w:sz="4" w:space="0" w:color="000000"/>
                          <w:bottom w:val="nil" w:sz="6" w:space="0" w:color="auto"/>
                          <w:right w:val="single" w:sz="4" w:space="0" w:color="000000"/>
                        </w:tcBorders>
                      </w:tcPr>
                      <w:p>
                        <w:pPr/>
                      </w:p>
                    </w:tc>
                    <w:tc>
                      <w:tcPr>
                        <w:tcW w:w="720" w:type="dxa"/>
                        <w:tcBorders>
                          <w:top w:val="nil" w:sz="6" w:space="0" w:color="auto"/>
                          <w:left w:val="single" w:sz="4" w:space="0" w:color="000000"/>
                          <w:bottom w:val="nil" w:sz="6" w:space="0" w:color="auto"/>
                          <w:right w:val="single" w:sz="4" w:space="0" w:color="000000"/>
                        </w:tcBorders>
                      </w:tcPr>
                      <w:p>
                        <w:pPr>
                          <w:pStyle w:val="TableParagraph"/>
                          <w:spacing w:line="153" w:lineRule="exact"/>
                          <w:ind w:right="0"/>
                          <w:jc w:val="left"/>
                          <w:rPr>
                            <w:rFonts w:ascii="宋体" w:hAnsi="宋体" w:cs="宋体" w:eastAsia="宋体" w:hint="default"/>
                            <w:sz w:val="15"/>
                            <w:szCs w:val="15"/>
                          </w:rPr>
                        </w:pPr>
                        <w:r>
                          <w:rPr>
                            <w:rFonts w:ascii="宋体" w:hAnsi="宋体" w:cs="宋体" w:eastAsia="宋体" w:hint="default"/>
                            <w:sz w:val="15"/>
                            <w:szCs w:val="15"/>
                          </w:rPr>
                          <w:t>根据合同</w:t>
                        </w:r>
                      </w:p>
                    </w:tc>
                    <w:tc>
                      <w:tcPr>
                        <w:tcW w:w="886" w:type="dxa"/>
                        <w:tcBorders>
                          <w:top w:val="nil" w:sz="6" w:space="0" w:color="auto"/>
                          <w:left w:val="single" w:sz="4" w:space="0" w:color="000000"/>
                          <w:bottom w:val="nil" w:sz="6" w:space="0" w:color="auto"/>
                          <w:right w:val="single" w:sz="4" w:space="0" w:color="000000"/>
                        </w:tcBorders>
                      </w:tcPr>
                      <w:p>
                        <w:pPr/>
                      </w:p>
                    </w:tc>
                    <w:tc>
                      <w:tcPr>
                        <w:tcW w:w="866" w:type="dxa"/>
                        <w:tcBorders>
                          <w:top w:val="nil" w:sz="6" w:space="0" w:color="auto"/>
                          <w:left w:val="single" w:sz="4" w:space="0" w:color="000000"/>
                          <w:bottom w:val="nil" w:sz="6" w:space="0" w:color="auto"/>
                          <w:right w:val="single" w:sz="4" w:space="0" w:color="000000"/>
                        </w:tcBorders>
                      </w:tcPr>
                      <w:p>
                        <w:pPr>
                          <w:pStyle w:val="TableParagraph"/>
                          <w:spacing w:line="164" w:lineRule="exact"/>
                          <w:ind w:left="-1"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2018</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1</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月</w:t>
                        </w:r>
                      </w:p>
                    </w:tc>
                    <w:tc>
                      <w:tcPr>
                        <w:tcW w:w="755" w:type="dxa"/>
                        <w:tcBorders>
                          <w:top w:val="nil" w:sz="6" w:space="0" w:color="auto"/>
                          <w:left w:val="single" w:sz="4" w:space="0" w:color="000000"/>
                          <w:bottom w:val="nil" w:sz="6" w:space="0" w:color="auto"/>
                          <w:right w:val="single" w:sz="4" w:space="0" w:color="000000"/>
                        </w:tcBorders>
                      </w:tcPr>
                      <w:p>
                        <w:pPr>
                          <w:pStyle w:val="TableParagraph"/>
                          <w:spacing w:line="164" w:lineRule="exact"/>
                          <w:ind w:left="-1" w:right="-2"/>
                          <w:jc w:val="left"/>
                          <w:rPr>
                            <w:rFonts w:ascii="宋体" w:hAnsi="宋体" w:cs="宋体" w:eastAsia="宋体" w:hint="default"/>
                            <w:sz w:val="15"/>
                            <w:szCs w:val="15"/>
                          </w:rPr>
                        </w:pPr>
                        <w:r>
                          <w:rPr>
                            <w:rFonts w:ascii="Times New Roman" w:hAnsi="Times New Roman" w:cs="Times New Roman" w:eastAsia="Times New Roman" w:hint="default"/>
                            <w:sz w:val="15"/>
                            <w:szCs w:val="15"/>
                          </w:rPr>
                          <w:t>2018-010</w:t>
                        </w:r>
                        <w:r>
                          <w:rPr>
                            <w:rFonts w:ascii="Times New Roman" w:hAnsi="Times New Roman" w:cs="Times New Roman" w:eastAsia="Times New Roman" w:hint="default"/>
                            <w:spacing w:val="-20"/>
                            <w:sz w:val="15"/>
                            <w:szCs w:val="15"/>
                          </w:rPr>
                          <w:t> </w:t>
                        </w:r>
                        <w:r>
                          <w:rPr>
                            <w:rFonts w:ascii="宋体" w:hAnsi="宋体" w:cs="宋体" w:eastAsia="宋体" w:hint="default"/>
                            <w:sz w:val="15"/>
                            <w:szCs w:val="15"/>
                          </w:rPr>
                          <w:t>号</w:t>
                        </w:r>
                      </w:p>
                    </w:tc>
                  </w:tr>
                  <w:tr>
                    <w:trPr>
                      <w:trHeight w:val="155" w:hRule="exact"/>
                    </w:trPr>
                    <w:tc>
                      <w:tcPr>
                        <w:tcW w:w="1334" w:type="dxa"/>
                        <w:tcBorders>
                          <w:top w:val="nil" w:sz="6" w:space="0" w:color="auto"/>
                          <w:left w:val="single" w:sz="4" w:space="0" w:color="000000"/>
                          <w:bottom w:val="nil" w:sz="6" w:space="0" w:color="auto"/>
                          <w:right w:val="single" w:sz="4" w:space="0" w:color="000000"/>
                        </w:tcBorders>
                      </w:tcPr>
                      <w:p>
                        <w:pPr/>
                      </w:p>
                    </w:tc>
                    <w:tc>
                      <w:tcPr>
                        <w:tcW w:w="908"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0"/>
                          <w:jc w:val="left"/>
                          <w:rPr>
                            <w:rFonts w:ascii="宋体" w:hAnsi="宋体" w:cs="宋体" w:eastAsia="宋体" w:hint="default"/>
                            <w:sz w:val="15"/>
                            <w:szCs w:val="15"/>
                          </w:rPr>
                        </w:pPr>
                        <w:r>
                          <w:rPr>
                            <w:rFonts w:ascii="宋体" w:hAnsi="宋体" w:cs="宋体" w:eastAsia="宋体" w:hint="default"/>
                            <w:sz w:val="15"/>
                            <w:szCs w:val="15"/>
                          </w:rPr>
                          <w:t>联营企业</w:t>
                        </w:r>
                      </w:p>
                    </w:tc>
                    <w:tc>
                      <w:tcPr>
                        <w:tcW w:w="726"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1"/>
                          <w:jc w:val="center"/>
                          <w:rPr>
                            <w:rFonts w:ascii="宋体" w:hAnsi="宋体" w:cs="宋体" w:eastAsia="宋体" w:hint="default"/>
                            <w:sz w:val="15"/>
                            <w:szCs w:val="15"/>
                          </w:rPr>
                        </w:pPr>
                        <w:r>
                          <w:rPr>
                            <w:rFonts w:ascii="宋体" w:hAnsi="宋体" w:cs="宋体" w:eastAsia="宋体" w:hint="default"/>
                            <w:sz w:val="15"/>
                            <w:szCs w:val="15"/>
                          </w:rPr>
                          <w:t>销售</w:t>
                        </w:r>
                      </w:p>
                    </w:tc>
                    <w:tc>
                      <w:tcPr>
                        <w:tcW w:w="788"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0"/>
                          <w:jc w:val="left"/>
                          <w:rPr>
                            <w:rFonts w:ascii="宋体" w:hAnsi="宋体" w:cs="宋体" w:eastAsia="宋体" w:hint="default"/>
                            <w:sz w:val="15"/>
                            <w:szCs w:val="15"/>
                          </w:rPr>
                        </w:pPr>
                        <w:r>
                          <w:rPr>
                            <w:rFonts w:ascii="宋体" w:hAnsi="宋体" w:cs="宋体" w:eastAsia="宋体" w:hint="default"/>
                            <w:sz w:val="15"/>
                            <w:szCs w:val="15"/>
                          </w:rPr>
                          <w:t>储、网络、</w:t>
                        </w:r>
                      </w:p>
                    </w:tc>
                    <w:tc>
                      <w:tcPr>
                        <w:tcW w:w="846" w:type="dxa"/>
                        <w:tcBorders>
                          <w:top w:val="nil" w:sz="6" w:space="0" w:color="auto"/>
                          <w:left w:val="single" w:sz="4" w:space="0" w:color="000000"/>
                          <w:bottom w:val="nil" w:sz="6" w:space="0" w:color="auto"/>
                          <w:right w:val="single" w:sz="4" w:space="0" w:color="000000"/>
                        </w:tcBorders>
                      </w:tcPr>
                      <w:p>
                        <w:pPr/>
                      </w:p>
                    </w:tc>
                    <w:tc>
                      <w:tcPr>
                        <w:tcW w:w="590" w:type="dxa"/>
                        <w:tcBorders>
                          <w:top w:val="nil" w:sz="6" w:space="0" w:color="auto"/>
                          <w:left w:val="single" w:sz="4" w:space="0" w:color="000000"/>
                          <w:bottom w:val="nil" w:sz="6" w:space="0" w:color="auto"/>
                          <w:right w:val="single" w:sz="4" w:space="0" w:color="000000"/>
                        </w:tcBorders>
                      </w:tcPr>
                      <w:p>
                        <w:pPr/>
                      </w:p>
                    </w:tc>
                    <w:tc>
                      <w:tcPr>
                        <w:tcW w:w="726" w:type="dxa"/>
                        <w:tcBorders>
                          <w:top w:val="nil" w:sz="6" w:space="0" w:color="auto"/>
                          <w:left w:val="single" w:sz="4" w:space="0" w:color="000000"/>
                          <w:bottom w:val="nil" w:sz="6" w:space="0" w:color="auto"/>
                          <w:right w:val="single" w:sz="4" w:space="0" w:color="000000"/>
                        </w:tcBorders>
                      </w:tcPr>
                      <w:p>
                        <w:pPr>
                          <w:pStyle w:val="TableParagraph"/>
                          <w:spacing w:line="159" w:lineRule="exact"/>
                          <w:ind w:right="-1"/>
                          <w:jc w:val="right"/>
                          <w:rPr>
                            <w:rFonts w:ascii="Times New Roman" w:hAnsi="Times New Roman" w:cs="Times New Roman" w:eastAsia="Times New Roman" w:hint="default"/>
                            <w:sz w:val="15"/>
                            <w:szCs w:val="15"/>
                          </w:rPr>
                        </w:pPr>
                        <w:r>
                          <w:rPr>
                            <w:rFonts w:ascii="Times New Roman"/>
                            <w:spacing w:val="-2"/>
                            <w:sz w:val="15"/>
                          </w:rPr>
                          <w:t>1,202.11</w:t>
                        </w:r>
                      </w:p>
                    </w:tc>
                    <w:tc>
                      <w:tcPr>
                        <w:tcW w:w="908" w:type="dxa"/>
                        <w:tcBorders>
                          <w:top w:val="nil" w:sz="6" w:space="0" w:color="auto"/>
                          <w:left w:val="single" w:sz="4" w:space="0" w:color="000000"/>
                          <w:bottom w:val="nil" w:sz="6" w:space="0" w:color="auto"/>
                          <w:right w:val="single" w:sz="4" w:space="0" w:color="000000"/>
                        </w:tcBorders>
                      </w:tcPr>
                      <w:p>
                        <w:pPr>
                          <w:pStyle w:val="TableParagraph"/>
                          <w:spacing w:line="159" w:lineRule="exact"/>
                          <w:ind w:right="0"/>
                          <w:jc w:val="center"/>
                          <w:rPr>
                            <w:rFonts w:ascii="Times New Roman" w:hAnsi="Times New Roman" w:cs="Times New Roman" w:eastAsia="Times New Roman" w:hint="default"/>
                            <w:sz w:val="15"/>
                            <w:szCs w:val="15"/>
                          </w:rPr>
                        </w:pPr>
                        <w:r>
                          <w:rPr>
                            <w:rFonts w:ascii="Times New Roman"/>
                            <w:sz w:val="15"/>
                          </w:rPr>
                          <w:t>0.13%</w:t>
                        </w:r>
                      </w:p>
                    </w:tc>
                    <w:tc>
                      <w:tcPr>
                        <w:tcW w:w="806" w:type="dxa"/>
                        <w:tcBorders>
                          <w:top w:val="nil" w:sz="6" w:space="0" w:color="auto"/>
                          <w:left w:val="single" w:sz="4" w:space="0" w:color="000000"/>
                          <w:bottom w:val="nil" w:sz="6" w:space="0" w:color="auto"/>
                          <w:right w:val="single" w:sz="4" w:space="0" w:color="000000"/>
                        </w:tcBorders>
                      </w:tcPr>
                      <w:p>
                        <w:pPr>
                          <w:pStyle w:val="TableParagraph"/>
                          <w:spacing w:line="159" w:lineRule="exact"/>
                          <w:ind w:right="-1"/>
                          <w:jc w:val="right"/>
                          <w:rPr>
                            <w:rFonts w:ascii="Times New Roman" w:hAnsi="Times New Roman" w:cs="Times New Roman" w:eastAsia="Times New Roman" w:hint="default"/>
                            <w:sz w:val="15"/>
                            <w:szCs w:val="15"/>
                          </w:rPr>
                        </w:pPr>
                        <w:r>
                          <w:rPr>
                            <w:rFonts w:ascii="Times New Roman"/>
                            <w:spacing w:val="-1"/>
                            <w:sz w:val="15"/>
                          </w:rPr>
                          <w:t>3,300.00</w:t>
                        </w:r>
                      </w:p>
                    </w:tc>
                    <w:tc>
                      <w:tcPr>
                        <w:tcW w:w="574"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0"/>
                          <w:jc w:val="center"/>
                          <w:rPr>
                            <w:rFonts w:ascii="宋体" w:hAnsi="宋体" w:cs="宋体" w:eastAsia="宋体" w:hint="default"/>
                            <w:sz w:val="15"/>
                            <w:szCs w:val="15"/>
                          </w:rPr>
                        </w:pPr>
                        <w:r>
                          <w:rPr>
                            <w:rFonts w:ascii="宋体" w:hAnsi="宋体" w:cs="宋体" w:eastAsia="宋体" w:hint="default"/>
                            <w:sz w:val="15"/>
                            <w:szCs w:val="15"/>
                          </w:rPr>
                          <w:t>否</w:t>
                        </w:r>
                      </w:p>
                    </w:tc>
                    <w:tc>
                      <w:tcPr>
                        <w:tcW w:w="720" w:type="dxa"/>
                        <w:tcBorders>
                          <w:top w:val="nil" w:sz="6" w:space="0" w:color="auto"/>
                          <w:left w:val="single" w:sz="4" w:space="0" w:color="000000"/>
                          <w:bottom w:val="nil" w:sz="6" w:space="0" w:color="auto"/>
                          <w:right w:val="single" w:sz="4" w:space="0" w:color="000000"/>
                        </w:tcBorders>
                      </w:tcPr>
                      <w:p>
                        <w:pPr/>
                      </w:p>
                    </w:tc>
                    <w:tc>
                      <w:tcPr>
                        <w:tcW w:w="886"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0"/>
                          <w:jc w:val="center"/>
                          <w:rPr>
                            <w:rFonts w:ascii="宋体" w:hAnsi="宋体" w:cs="宋体" w:eastAsia="宋体" w:hint="default"/>
                            <w:sz w:val="15"/>
                            <w:szCs w:val="15"/>
                          </w:rPr>
                        </w:pPr>
                        <w:r>
                          <w:rPr>
                            <w:rFonts w:ascii="宋体" w:hAnsi="宋体" w:cs="宋体" w:eastAsia="宋体" w:hint="default"/>
                            <w:sz w:val="15"/>
                            <w:szCs w:val="15"/>
                          </w:rPr>
                          <w:t>市场价格</w:t>
                        </w:r>
                      </w:p>
                    </w:tc>
                    <w:tc>
                      <w:tcPr>
                        <w:tcW w:w="866" w:type="dxa"/>
                        <w:tcBorders>
                          <w:top w:val="nil" w:sz="6" w:space="0" w:color="auto"/>
                          <w:left w:val="single" w:sz="4" w:space="0" w:color="000000"/>
                          <w:bottom w:val="nil" w:sz="6" w:space="0" w:color="auto"/>
                          <w:right w:val="single" w:sz="4" w:space="0" w:color="000000"/>
                        </w:tcBorders>
                      </w:tcPr>
                      <w:p>
                        <w:pPr/>
                      </w:p>
                    </w:tc>
                    <w:tc>
                      <w:tcPr>
                        <w:tcW w:w="755" w:type="dxa"/>
                        <w:tcBorders>
                          <w:top w:val="nil" w:sz="6" w:space="0" w:color="auto"/>
                          <w:left w:val="single" w:sz="4" w:space="0" w:color="000000"/>
                          <w:bottom w:val="nil" w:sz="6" w:space="0" w:color="auto"/>
                          <w:right w:val="single" w:sz="4" w:space="0" w:color="000000"/>
                        </w:tcBorders>
                      </w:tcPr>
                      <w:p>
                        <w:pPr/>
                      </w:p>
                    </w:tc>
                  </w:tr>
                  <w:tr>
                    <w:trPr>
                      <w:trHeight w:val="157" w:hRule="exact"/>
                    </w:trPr>
                    <w:tc>
                      <w:tcPr>
                        <w:tcW w:w="1334"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0"/>
                          <w:jc w:val="left"/>
                          <w:rPr>
                            <w:rFonts w:ascii="宋体" w:hAnsi="宋体" w:cs="宋体" w:eastAsia="宋体" w:hint="default"/>
                            <w:sz w:val="15"/>
                            <w:szCs w:val="15"/>
                          </w:rPr>
                        </w:pPr>
                        <w:r>
                          <w:rPr>
                            <w:rFonts w:ascii="宋体" w:hAnsi="宋体" w:cs="宋体" w:eastAsia="宋体" w:hint="default"/>
                            <w:sz w:val="15"/>
                            <w:szCs w:val="15"/>
                          </w:rPr>
                          <w:t>有限公司</w:t>
                        </w:r>
                      </w:p>
                    </w:tc>
                    <w:tc>
                      <w:tcPr>
                        <w:tcW w:w="908" w:type="dxa"/>
                        <w:tcBorders>
                          <w:top w:val="nil" w:sz="6" w:space="0" w:color="auto"/>
                          <w:left w:val="single" w:sz="4" w:space="0" w:color="000000"/>
                          <w:bottom w:val="nil" w:sz="6" w:space="0" w:color="auto"/>
                          <w:right w:val="single" w:sz="4" w:space="0" w:color="000000"/>
                        </w:tcBorders>
                      </w:tcPr>
                      <w:p>
                        <w:pPr/>
                      </w:p>
                    </w:tc>
                    <w:tc>
                      <w:tcPr>
                        <w:tcW w:w="726" w:type="dxa"/>
                        <w:tcBorders>
                          <w:top w:val="nil" w:sz="6" w:space="0" w:color="auto"/>
                          <w:left w:val="single" w:sz="4" w:space="0" w:color="000000"/>
                          <w:bottom w:val="nil" w:sz="6" w:space="0" w:color="auto"/>
                          <w:right w:val="single" w:sz="4" w:space="0" w:color="000000"/>
                        </w:tcBorders>
                      </w:tcPr>
                      <w:p>
                        <w:pPr/>
                      </w:p>
                    </w:tc>
                    <w:tc>
                      <w:tcPr>
                        <w:tcW w:w="788" w:type="dxa"/>
                        <w:tcBorders>
                          <w:top w:val="nil" w:sz="6" w:space="0" w:color="auto"/>
                          <w:left w:val="single" w:sz="4" w:space="0" w:color="000000"/>
                          <w:bottom w:val="nil" w:sz="6" w:space="0" w:color="auto"/>
                          <w:right w:val="single" w:sz="4" w:space="0" w:color="000000"/>
                        </w:tcBorders>
                      </w:tcPr>
                      <w:p>
                        <w:pPr/>
                      </w:p>
                    </w:tc>
                    <w:tc>
                      <w:tcPr>
                        <w:tcW w:w="846"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1"/>
                          <w:jc w:val="center"/>
                          <w:rPr>
                            <w:rFonts w:ascii="宋体" w:hAnsi="宋体" w:cs="宋体" w:eastAsia="宋体" w:hint="default"/>
                            <w:sz w:val="15"/>
                            <w:szCs w:val="15"/>
                          </w:rPr>
                        </w:pPr>
                        <w:r>
                          <w:rPr>
                            <w:rFonts w:ascii="宋体" w:hAnsi="宋体" w:cs="宋体" w:eastAsia="宋体" w:hint="default"/>
                            <w:sz w:val="15"/>
                            <w:szCs w:val="15"/>
                          </w:rPr>
                          <w:t>格</w:t>
                        </w:r>
                        <w:r>
                          <w:rPr>
                            <w:rFonts w:ascii="宋体" w:hAnsi="宋体" w:cs="宋体" w:eastAsia="宋体" w:hint="default"/>
                            <w:spacing w:val="-64"/>
                            <w:sz w:val="15"/>
                            <w:szCs w:val="15"/>
                          </w:rPr>
                          <w:t>，</w:t>
                        </w:r>
                        <w:r>
                          <w:rPr>
                            <w:rFonts w:ascii="宋体" w:hAnsi="宋体" w:cs="宋体" w:eastAsia="宋体" w:hint="default"/>
                            <w:sz w:val="15"/>
                            <w:szCs w:val="15"/>
                          </w:rPr>
                          <w:t>协商确定</w:t>
                        </w:r>
                      </w:p>
                    </w:tc>
                    <w:tc>
                      <w:tcPr>
                        <w:tcW w:w="590"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1"/>
                          <w:jc w:val="center"/>
                          <w:rPr>
                            <w:rFonts w:ascii="宋体" w:hAnsi="宋体" w:cs="宋体" w:eastAsia="宋体" w:hint="default"/>
                            <w:sz w:val="15"/>
                            <w:szCs w:val="15"/>
                          </w:rPr>
                        </w:pPr>
                        <w:r>
                          <w:rPr>
                            <w:rFonts w:ascii="宋体" w:hAnsi="宋体" w:cs="宋体" w:eastAsia="宋体" w:hint="default"/>
                            <w:sz w:val="15"/>
                            <w:szCs w:val="15"/>
                          </w:rPr>
                          <w:t>场价格</w:t>
                        </w:r>
                      </w:p>
                    </w:tc>
                    <w:tc>
                      <w:tcPr>
                        <w:tcW w:w="726" w:type="dxa"/>
                        <w:tcBorders>
                          <w:top w:val="nil" w:sz="6" w:space="0" w:color="auto"/>
                          <w:left w:val="single" w:sz="4" w:space="0" w:color="000000"/>
                          <w:bottom w:val="nil" w:sz="6" w:space="0" w:color="auto"/>
                          <w:right w:val="single" w:sz="4" w:space="0" w:color="000000"/>
                        </w:tcBorders>
                      </w:tcPr>
                      <w:p>
                        <w:pPr/>
                      </w:p>
                    </w:tc>
                    <w:tc>
                      <w:tcPr>
                        <w:tcW w:w="908" w:type="dxa"/>
                        <w:tcBorders>
                          <w:top w:val="nil" w:sz="6" w:space="0" w:color="auto"/>
                          <w:left w:val="single" w:sz="4" w:space="0" w:color="000000"/>
                          <w:bottom w:val="nil" w:sz="6" w:space="0" w:color="auto"/>
                          <w:right w:val="single" w:sz="4" w:space="0" w:color="000000"/>
                        </w:tcBorders>
                      </w:tcPr>
                      <w:p>
                        <w:pPr/>
                      </w:p>
                    </w:tc>
                    <w:tc>
                      <w:tcPr>
                        <w:tcW w:w="806" w:type="dxa"/>
                        <w:tcBorders>
                          <w:top w:val="nil" w:sz="6" w:space="0" w:color="auto"/>
                          <w:left w:val="single" w:sz="4" w:space="0" w:color="000000"/>
                          <w:bottom w:val="nil" w:sz="6" w:space="0" w:color="auto"/>
                          <w:right w:val="single" w:sz="4" w:space="0" w:color="000000"/>
                        </w:tcBorders>
                      </w:tcPr>
                      <w:p>
                        <w:pPr/>
                      </w:p>
                    </w:tc>
                    <w:tc>
                      <w:tcPr>
                        <w:tcW w:w="574" w:type="dxa"/>
                        <w:tcBorders>
                          <w:top w:val="nil" w:sz="6" w:space="0" w:color="auto"/>
                          <w:left w:val="single" w:sz="4" w:space="0" w:color="000000"/>
                          <w:bottom w:val="nil" w:sz="6" w:space="0" w:color="auto"/>
                          <w:right w:val="single" w:sz="4" w:space="0" w:color="000000"/>
                        </w:tcBorders>
                      </w:tcPr>
                      <w:p>
                        <w:pPr/>
                      </w:p>
                    </w:tc>
                    <w:tc>
                      <w:tcPr>
                        <w:tcW w:w="720"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0"/>
                          <w:jc w:val="left"/>
                          <w:rPr>
                            <w:rFonts w:ascii="宋体" w:hAnsi="宋体" w:cs="宋体" w:eastAsia="宋体" w:hint="default"/>
                            <w:sz w:val="15"/>
                            <w:szCs w:val="15"/>
                          </w:rPr>
                        </w:pPr>
                        <w:r>
                          <w:rPr>
                            <w:rFonts w:ascii="宋体" w:hAnsi="宋体" w:cs="宋体" w:eastAsia="宋体" w:hint="default"/>
                            <w:sz w:val="15"/>
                            <w:szCs w:val="15"/>
                          </w:rPr>
                          <w:t>约定</w:t>
                        </w:r>
                      </w:p>
                    </w:tc>
                    <w:tc>
                      <w:tcPr>
                        <w:tcW w:w="886" w:type="dxa"/>
                        <w:tcBorders>
                          <w:top w:val="nil" w:sz="6" w:space="0" w:color="auto"/>
                          <w:left w:val="single" w:sz="4" w:space="0" w:color="000000"/>
                          <w:bottom w:val="nil" w:sz="6" w:space="0" w:color="auto"/>
                          <w:right w:val="single" w:sz="4" w:space="0" w:color="000000"/>
                        </w:tcBorders>
                      </w:tcPr>
                      <w:p>
                        <w:pPr/>
                      </w:p>
                    </w:tc>
                    <w:tc>
                      <w:tcPr>
                        <w:tcW w:w="866" w:type="dxa"/>
                        <w:tcBorders>
                          <w:top w:val="nil" w:sz="6" w:space="0" w:color="auto"/>
                          <w:left w:val="single" w:sz="4" w:space="0" w:color="000000"/>
                          <w:bottom w:val="nil" w:sz="6" w:space="0" w:color="auto"/>
                          <w:right w:val="single" w:sz="4" w:space="0" w:color="000000"/>
                        </w:tcBorders>
                      </w:tcPr>
                      <w:p>
                        <w:pPr>
                          <w:pStyle w:val="TableParagraph"/>
                          <w:spacing w:line="161" w:lineRule="exact"/>
                          <w:ind w:left="-1"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22 </w:t>
                        </w:r>
                        <w:r>
                          <w:rPr>
                            <w:rFonts w:ascii="宋体" w:hAnsi="宋体" w:cs="宋体" w:eastAsia="宋体" w:hint="default"/>
                            <w:sz w:val="15"/>
                            <w:szCs w:val="15"/>
                          </w:rPr>
                          <w:t>日</w:t>
                        </w:r>
                      </w:p>
                    </w:tc>
                    <w:tc>
                      <w:tcPr>
                        <w:tcW w:w="755"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0"/>
                          <w:jc w:val="left"/>
                          <w:rPr>
                            <w:rFonts w:ascii="宋体" w:hAnsi="宋体" w:cs="宋体" w:eastAsia="宋体" w:hint="default"/>
                            <w:sz w:val="15"/>
                            <w:szCs w:val="15"/>
                          </w:rPr>
                        </w:pPr>
                        <w:r>
                          <w:rPr>
                            <w:rFonts w:ascii="宋体" w:hAnsi="宋体" w:cs="宋体" w:eastAsia="宋体" w:hint="default"/>
                            <w:sz w:val="15"/>
                            <w:szCs w:val="15"/>
                          </w:rPr>
                          <w:t>公告</w:t>
                        </w:r>
                      </w:p>
                    </w:tc>
                  </w:tr>
                  <w:tr>
                    <w:trPr>
                      <w:trHeight w:val="230" w:hRule="exact"/>
                    </w:trPr>
                    <w:tc>
                      <w:tcPr>
                        <w:tcW w:w="1334" w:type="dxa"/>
                        <w:tcBorders>
                          <w:top w:val="nil" w:sz="6" w:space="0" w:color="auto"/>
                          <w:left w:val="single" w:sz="4" w:space="0" w:color="000000"/>
                          <w:bottom w:val="nil" w:sz="6" w:space="0" w:color="auto"/>
                          <w:right w:val="single" w:sz="4" w:space="0" w:color="000000"/>
                        </w:tcBorders>
                      </w:tcPr>
                      <w:p>
                        <w:pPr/>
                      </w:p>
                    </w:tc>
                    <w:tc>
                      <w:tcPr>
                        <w:tcW w:w="908" w:type="dxa"/>
                        <w:tcBorders>
                          <w:top w:val="nil" w:sz="6" w:space="0" w:color="auto"/>
                          <w:left w:val="single" w:sz="4" w:space="0" w:color="000000"/>
                          <w:bottom w:val="nil" w:sz="6" w:space="0" w:color="auto"/>
                          <w:right w:val="single" w:sz="4" w:space="0" w:color="000000"/>
                        </w:tcBorders>
                      </w:tcPr>
                      <w:p>
                        <w:pPr/>
                      </w:p>
                    </w:tc>
                    <w:tc>
                      <w:tcPr>
                        <w:tcW w:w="726" w:type="dxa"/>
                        <w:tcBorders>
                          <w:top w:val="nil" w:sz="6" w:space="0" w:color="auto"/>
                          <w:left w:val="single" w:sz="4" w:space="0" w:color="000000"/>
                          <w:bottom w:val="nil" w:sz="6" w:space="0" w:color="auto"/>
                          <w:right w:val="single" w:sz="4" w:space="0" w:color="000000"/>
                        </w:tcBorders>
                      </w:tcPr>
                      <w:p>
                        <w:pPr/>
                      </w:p>
                    </w:tc>
                    <w:tc>
                      <w:tcPr>
                        <w:tcW w:w="788"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0"/>
                          <w:jc w:val="left"/>
                          <w:rPr>
                            <w:rFonts w:ascii="宋体" w:hAnsi="宋体" w:cs="宋体" w:eastAsia="宋体" w:hint="default"/>
                            <w:sz w:val="15"/>
                            <w:szCs w:val="15"/>
                          </w:rPr>
                        </w:pPr>
                        <w:r>
                          <w:rPr>
                            <w:rFonts w:ascii="宋体" w:hAnsi="宋体" w:cs="宋体" w:eastAsia="宋体" w:hint="default"/>
                            <w:sz w:val="15"/>
                            <w:szCs w:val="15"/>
                          </w:rPr>
                          <w:t>外设等相关</w:t>
                        </w:r>
                      </w:p>
                    </w:tc>
                    <w:tc>
                      <w:tcPr>
                        <w:tcW w:w="846" w:type="dxa"/>
                        <w:tcBorders>
                          <w:top w:val="nil" w:sz="6" w:space="0" w:color="auto"/>
                          <w:left w:val="single" w:sz="4" w:space="0" w:color="000000"/>
                          <w:bottom w:val="nil" w:sz="6" w:space="0" w:color="auto"/>
                          <w:right w:val="single" w:sz="4" w:space="0" w:color="000000"/>
                        </w:tcBorders>
                      </w:tcPr>
                      <w:p>
                        <w:pPr/>
                      </w:p>
                    </w:tc>
                    <w:tc>
                      <w:tcPr>
                        <w:tcW w:w="590" w:type="dxa"/>
                        <w:tcBorders>
                          <w:top w:val="nil" w:sz="6" w:space="0" w:color="auto"/>
                          <w:left w:val="single" w:sz="4" w:space="0" w:color="000000"/>
                          <w:bottom w:val="nil" w:sz="6" w:space="0" w:color="auto"/>
                          <w:right w:val="single" w:sz="4" w:space="0" w:color="000000"/>
                        </w:tcBorders>
                      </w:tcPr>
                      <w:p>
                        <w:pPr/>
                      </w:p>
                    </w:tc>
                    <w:tc>
                      <w:tcPr>
                        <w:tcW w:w="726" w:type="dxa"/>
                        <w:tcBorders>
                          <w:top w:val="nil" w:sz="6" w:space="0" w:color="auto"/>
                          <w:left w:val="single" w:sz="4" w:space="0" w:color="000000"/>
                          <w:bottom w:val="nil" w:sz="6" w:space="0" w:color="auto"/>
                          <w:right w:val="single" w:sz="4" w:space="0" w:color="000000"/>
                        </w:tcBorders>
                      </w:tcPr>
                      <w:p>
                        <w:pPr/>
                      </w:p>
                    </w:tc>
                    <w:tc>
                      <w:tcPr>
                        <w:tcW w:w="908" w:type="dxa"/>
                        <w:tcBorders>
                          <w:top w:val="nil" w:sz="6" w:space="0" w:color="auto"/>
                          <w:left w:val="single" w:sz="4" w:space="0" w:color="000000"/>
                          <w:bottom w:val="nil" w:sz="6" w:space="0" w:color="auto"/>
                          <w:right w:val="single" w:sz="4" w:space="0" w:color="000000"/>
                        </w:tcBorders>
                      </w:tcPr>
                      <w:p>
                        <w:pPr/>
                      </w:p>
                    </w:tc>
                    <w:tc>
                      <w:tcPr>
                        <w:tcW w:w="806" w:type="dxa"/>
                        <w:tcBorders>
                          <w:top w:val="nil" w:sz="6" w:space="0" w:color="auto"/>
                          <w:left w:val="single" w:sz="4" w:space="0" w:color="000000"/>
                          <w:bottom w:val="nil" w:sz="6" w:space="0" w:color="auto"/>
                          <w:right w:val="single" w:sz="4" w:space="0" w:color="000000"/>
                        </w:tcBorders>
                      </w:tcPr>
                      <w:p>
                        <w:pPr/>
                      </w:p>
                    </w:tc>
                    <w:tc>
                      <w:tcPr>
                        <w:tcW w:w="574" w:type="dxa"/>
                        <w:tcBorders>
                          <w:top w:val="nil" w:sz="6" w:space="0" w:color="auto"/>
                          <w:left w:val="single" w:sz="4" w:space="0" w:color="000000"/>
                          <w:bottom w:val="nil" w:sz="6" w:space="0" w:color="auto"/>
                          <w:right w:val="single" w:sz="4" w:space="0" w:color="000000"/>
                        </w:tcBorders>
                      </w:tcPr>
                      <w:p>
                        <w:pPr/>
                      </w:p>
                    </w:tc>
                    <w:tc>
                      <w:tcPr>
                        <w:tcW w:w="720" w:type="dxa"/>
                        <w:tcBorders>
                          <w:top w:val="nil" w:sz="6" w:space="0" w:color="auto"/>
                          <w:left w:val="single" w:sz="4" w:space="0" w:color="000000"/>
                          <w:bottom w:val="nil" w:sz="6" w:space="0" w:color="auto"/>
                          <w:right w:val="single" w:sz="4" w:space="0" w:color="000000"/>
                        </w:tcBorders>
                      </w:tcPr>
                      <w:p>
                        <w:pPr/>
                      </w:p>
                    </w:tc>
                    <w:tc>
                      <w:tcPr>
                        <w:tcW w:w="886" w:type="dxa"/>
                        <w:tcBorders>
                          <w:top w:val="nil" w:sz="6" w:space="0" w:color="auto"/>
                          <w:left w:val="single" w:sz="4" w:space="0" w:color="000000"/>
                          <w:bottom w:val="nil" w:sz="6" w:space="0" w:color="auto"/>
                          <w:right w:val="single" w:sz="4" w:space="0" w:color="000000"/>
                        </w:tcBorders>
                      </w:tcPr>
                      <w:p>
                        <w:pPr/>
                      </w:p>
                    </w:tc>
                    <w:tc>
                      <w:tcPr>
                        <w:tcW w:w="866" w:type="dxa"/>
                        <w:tcBorders>
                          <w:top w:val="nil" w:sz="6" w:space="0" w:color="auto"/>
                          <w:left w:val="single" w:sz="4" w:space="0" w:color="000000"/>
                          <w:bottom w:val="nil" w:sz="6" w:space="0" w:color="auto"/>
                          <w:right w:val="single" w:sz="4" w:space="0" w:color="000000"/>
                        </w:tcBorders>
                      </w:tcPr>
                      <w:p>
                        <w:pPr/>
                      </w:p>
                    </w:tc>
                    <w:tc>
                      <w:tcPr>
                        <w:tcW w:w="755" w:type="dxa"/>
                        <w:tcBorders>
                          <w:top w:val="nil" w:sz="6" w:space="0" w:color="auto"/>
                          <w:left w:val="single" w:sz="4" w:space="0" w:color="000000"/>
                          <w:bottom w:val="nil" w:sz="6" w:space="0" w:color="auto"/>
                          <w:right w:val="single" w:sz="4" w:space="0" w:color="000000"/>
                        </w:tcBorders>
                      </w:tcPr>
                      <w:p>
                        <w:pPr/>
                      </w:p>
                    </w:tc>
                  </w:tr>
                  <w:tr>
                    <w:trPr>
                      <w:trHeight w:val="318" w:hRule="exact"/>
                    </w:trPr>
                    <w:tc>
                      <w:tcPr>
                        <w:tcW w:w="1334" w:type="dxa"/>
                        <w:tcBorders>
                          <w:top w:val="nil" w:sz="6" w:space="0" w:color="auto"/>
                          <w:left w:val="single" w:sz="4" w:space="0" w:color="000000"/>
                          <w:bottom w:val="single" w:sz="4" w:space="0" w:color="000000"/>
                          <w:right w:val="single" w:sz="4" w:space="0" w:color="000000"/>
                        </w:tcBorders>
                      </w:tcPr>
                      <w:p>
                        <w:pPr/>
                      </w:p>
                    </w:tc>
                    <w:tc>
                      <w:tcPr>
                        <w:tcW w:w="908" w:type="dxa"/>
                        <w:tcBorders>
                          <w:top w:val="nil" w:sz="6" w:space="0" w:color="auto"/>
                          <w:left w:val="single" w:sz="4" w:space="0" w:color="000000"/>
                          <w:bottom w:val="single" w:sz="4" w:space="0" w:color="000000"/>
                          <w:right w:val="single" w:sz="4" w:space="0" w:color="000000"/>
                        </w:tcBorders>
                      </w:tcPr>
                      <w:p>
                        <w:pPr/>
                      </w:p>
                    </w:tc>
                    <w:tc>
                      <w:tcPr>
                        <w:tcW w:w="726" w:type="dxa"/>
                        <w:tcBorders>
                          <w:top w:val="nil" w:sz="6" w:space="0" w:color="auto"/>
                          <w:left w:val="single" w:sz="4" w:space="0" w:color="000000"/>
                          <w:bottom w:val="single" w:sz="4" w:space="0" w:color="000000"/>
                          <w:right w:val="single" w:sz="4" w:space="0" w:color="000000"/>
                        </w:tcBorders>
                      </w:tcPr>
                      <w:p>
                        <w:pPr/>
                      </w:p>
                    </w:tc>
                    <w:tc>
                      <w:tcPr>
                        <w:tcW w:w="78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4"/>
                          <w:ind w:right="0"/>
                          <w:jc w:val="left"/>
                          <w:rPr>
                            <w:rFonts w:ascii="宋体" w:hAnsi="宋体" w:cs="宋体" w:eastAsia="宋体" w:hint="default"/>
                            <w:sz w:val="15"/>
                            <w:szCs w:val="15"/>
                          </w:rPr>
                        </w:pPr>
                        <w:r>
                          <w:rPr>
                            <w:rFonts w:ascii="宋体" w:hAnsi="宋体" w:cs="宋体" w:eastAsia="宋体" w:hint="default"/>
                            <w:sz w:val="15"/>
                            <w:szCs w:val="15"/>
                          </w:rPr>
                          <w:t>产品及软件</w:t>
                        </w:r>
                      </w:p>
                    </w:tc>
                    <w:tc>
                      <w:tcPr>
                        <w:tcW w:w="846" w:type="dxa"/>
                        <w:tcBorders>
                          <w:top w:val="nil" w:sz="6" w:space="0" w:color="auto"/>
                          <w:left w:val="single" w:sz="4" w:space="0" w:color="000000"/>
                          <w:bottom w:val="single" w:sz="4" w:space="0" w:color="000000"/>
                          <w:right w:val="single" w:sz="4" w:space="0" w:color="000000"/>
                        </w:tcBorders>
                      </w:tcPr>
                      <w:p>
                        <w:pPr/>
                      </w:p>
                    </w:tc>
                    <w:tc>
                      <w:tcPr>
                        <w:tcW w:w="590" w:type="dxa"/>
                        <w:tcBorders>
                          <w:top w:val="nil" w:sz="6" w:space="0" w:color="auto"/>
                          <w:left w:val="single" w:sz="4" w:space="0" w:color="000000"/>
                          <w:bottom w:val="single" w:sz="4" w:space="0" w:color="000000"/>
                          <w:right w:val="single" w:sz="4" w:space="0" w:color="000000"/>
                        </w:tcBorders>
                      </w:tcPr>
                      <w:p>
                        <w:pPr/>
                      </w:p>
                    </w:tc>
                    <w:tc>
                      <w:tcPr>
                        <w:tcW w:w="726" w:type="dxa"/>
                        <w:tcBorders>
                          <w:top w:val="nil" w:sz="6" w:space="0" w:color="auto"/>
                          <w:left w:val="single" w:sz="4" w:space="0" w:color="000000"/>
                          <w:bottom w:val="single" w:sz="4" w:space="0" w:color="000000"/>
                          <w:right w:val="single" w:sz="4" w:space="0" w:color="000000"/>
                        </w:tcBorders>
                      </w:tcPr>
                      <w:p>
                        <w:pPr/>
                      </w:p>
                    </w:tc>
                    <w:tc>
                      <w:tcPr>
                        <w:tcW w:w="908" w:type="dxa"/>
                        <w:tcBorders>
                          <w:top w:val="nil" w:sz="6" w:space="0" w:color="auto"/>
                          <w:left w:val="single" w:sz="4" w:space="0" w:color="000000"/>
                          <w:bottom w:val="single" w:sz="4" w:space="0" w:color="000000"/>
                          <w:right w:val="single" w:sz="4" w:space="0" w:color="000000"/>
                        </w:tcBorders>
                      </w:tcPr>
                      <w:p>
                        <w:pPr/>
                      </w:p>
                    </w:tc>
                    <w:tc>
                      <w:tcPr>
                        <w:tcW w:w="806" w:type="dxa"/>
                        <w:tcBorders>
                          <w:top w:val="nil" w:sz="6" w:space="0" w:color="auto"/>
                          <w:left w:val="single" w:sz="4" w:space="0" w:color="000000"/>
                          <w:bottom w:val="single" w:sz="4" w:space="0" w:color="000000"/>
                          <w:right w:val="single" w:sz="4" w:space="0" w:color="000000"/>
                        </w:tcBorders>
                      </w:tcPr>
                      <w:p>
                        <w:pPr/>
                      </w:p>
                    </w:tc>
                    <w:tc>
                      <w:tcPr>
                        <w:tcW w:w="574" w:type="dxa"/>
                        <w:tcBorders>
                          <w:top w:val="nil" w:sz="6" w:space="0" w:color="auto"/>
                          <w:left w:val="single" w:sz="4" w:space="0" w:color="000000"/>
                          <w:bottom w:val="single" w:sz="4" w:space="0" w:color="000000"/>
                          <w:right w:val="single" w:sz="4" w:space="0" w:color="000000"/>
                        </w:tcBorders>
                      </w:tcPr>
                      <w:p>
                        <w:pPr/>
                      </w:p>
                    </w:tc>
                    <w:tc>
                      <w:tcPr>
                        <w:tcW w:w="720" w:type="dxa"/>
                        <w:tcBorders>
                          <w:top w:val="nil" w:sz="6" w:space="0" w:color="auto"/>
                          <w:left w:val="single" w:sz="4" w:space="0" w:color="000000"/>
                          <w:bottom w:val="single" w:sz="4" w:space="0" w:color="000000"/>
                          <w:right w:val="single" w:sz="4" w:space="0" w:color="000000"/>
                        </w:tcBorders>
                      </w:tcPr>
                      <w:p>
                        <w:pPr/>
                      </w:p>
                    </w:tc>
                    <w:tc>
                      <w:tcPr>
                        <w:tcW w:w="886" w:type="dxa"/>
                        <w:tcBorders>
                          <w:top w:val="nil" w:sz="6" w:space="0" w:color="auto"/>
                          <w:left w:val="single" w:sz="4" w:space="0" w:color="000000"/>
                          <w:bottom w:val="single" w:sz="4" w:space="0" w:color="000000"/>
                          <w:right w:val="single" w:sz="4" w:space="0" w:color="000000"/>
                        </w:tcBorders>
                      </w:tcPr>
                      <w:p>
                        <w:pPr/>
                      </w:p>
                    </w:tc>
                    <w:tc>
                      <w:tcPr>
                        <w:tcW w:w="866" w:type="dxa"/>
                        <w:tcBorders>
                          <w:top w:val="nil" w:sz="6" w:space="0" w:color="auto"/>
                          <w:left w:val="single" w:sz="4" w:space="0" w:color="000000"/>
                          <w:bottom w:val="single" w:sz="4" w:space="0" w:color="000000"/>
                          <w:right w:val="single" w:sz="4" w:space="0" w:color="000000"/>
                        </w:tcBorders>
                      </w:tcPr>
                      <w:p>
                        <w:pPr/>
                      </w:p>
                    </w:tc>
                    <w:tc>
                      <w:tcPr>
                        <w:tcW w:w="755" w:type="dxa"/>
                        <w:tcBorders>
                          <w:top w:val="nil" w:sz="6" w:space="0" w:color="auto"/>
                          <w:left w:val="single" w:sz="4" w:space="0" w:color="000000"/>
                          <w:bottom w:val="single" w:sz="4" w:space="0" w:color="000000"/>
                          <w:right w:val="single" w:sz="4" w:space="0" w:color="000000"/>
                        </w:tcBorders>
                      </w:tcPr>
                      <w:p>
                        <w:pPr/>
                      </w:p>
                    </w:tc>
                  </w:tr>
                  <w:tr>
                    <w:trPr>
                      <w:trHeight w:val="238" w:hRule="exact"/>
                    </w:trPr>
                    <w:tc>
                      <w:tcPr>
                        <w:tcW w:w="133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3"/>
                          <w:ind w:left="-1" w:right="0"/>
                          <w:jc w:val="left"/>
                          <w:rPr>
                            <w:rFonts w:ascii="宋体" w:hAnsi="宋体" w:cs="宋体" w:eastAsia="宋体" w:hint="default"/>
                            <w:sz w:val="15"/>
                            <w:szCs w:val="15"/>
                          </w:rPr>
                        </w:pPr>
                        <w:r>
                          <w:rPr>
                            <w:rFonts w:ascii="宋体" w:hAnsi="宋体" w:cs="宋体" w:eastAsia="宋体" w:hint="default"/>
                            <w:sz w:val="15"/>
                            <w:szCs w:val="15"/>
                          </w:rPr>
                          <w:t>南京中电熊猫液晶</w:t>
                        </w:r>
                      </w:p>
                    </w:tc>
                    <w:tc>
                      <w:tcPr>
                        <w:tcW w:w="90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3"/>
                          <w:ind w:left="1" w:right="0"/>
                          <w:jc w:val="left"/>
                          <w:rPr>
                            <w:rFonts w:ascii="宋体" w:hAnsi="宋体" w:cs="宋体" w:eastAsia="宋体" w:hint="default"/>
                            <w:sz w:val="15"/>
                            <w:szCs w:val="15"/>
                          </w:rPr>
                        </w:pPr>
                        <w:r>
                          <w:rPr>
                            <w:rFonts w:ascii="宋体" w:hAnsi="宋体" w:cs="宋体" w:eastAsia="宋体" w:hint="default"/>
                            <w:sz w:val="15"/>
                            <w:szCs w:val="15"/>
                          </w:rPr>
                          <w:t>受同一最终</w:t>
                        </w:r>
                      </w:p>
                    </w:tc>
                    <w:tc>
                      <w:tcPr>
                        <w:tcW w:w="726" w:type="dxa"/>
                        <w:tcBorders>
                          <w:top w:val="single" w:sz="4" w:space="0" w:color="000000"/>
                          <w:left w:val="single" w:sz="4" w:space="0" w:color="000000"/>
                          <w:bottom w:val="nil" w:sz="6" w:space="0" w:color="auto"/>
                          <w:right w:val="single" w:sz="4" w:space="0" w:color="000000"/>
                        </w:tcBorders>
                      </w:tcPr>
                      <w:p>
                        <w:pPr/>
                      </w:p>
                    </w:tc>
                    <w:tc>
                      <w:tcPr>
                        <w:tcW w:w="788" w:type="dxa"/>
                        <w:tcBorders>
                          <w:top w:val="single" w:sz="4" w:space="0" w:color="000000"/>
                          <w:left w:val="single" w:sz="4" w:space="0" w:color="000000"/>
                          <w:bottom w:val="nil" w:sz="6" w:space="0" w:color="auto"/>
                          <w:right w:val="single" w:sz="4" w:space="0" w:color="000000"/>
                        </w:tcBorders>
                      </w:tcPr>
                      <w:p>
                        <w:pPr/>
                      </w:p>
                    </w:tc>
                    <w:tc>
                      <w:tcPr>
                        <w:tcW w:w="84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3"/>
                          <w:ind w:right="84"/>
                          <w:jc w:val="center"/>
                          <w:rPr>
                            <w:rFonts w:ascii="宋体" w:hAnsi="宋体" w:cs="宋体" w:eastAsia="宋体" w:hint="default"/>
                            <w:sz w:val="15"/>
                            <w:szCs w:val="15"/>
                          </w:rPr>
                        </w:pPr>
                        <w:r>
                          <w:rPr>
                            <w:rFonts w:ascii="宋体" w:hAnsi="宋体" w:cs="宋体" w:eastAsia="宋体" w:hint="default"/>
                            <w:sz w:val="15"/>
                            <w:szCs w:val="15"/>
                          </w:rPr>
                          <w:t>根据市场价</w:t>
                        </w:r>
                      </w:p>
                    </w:tc>
                    <w:tc>
                      <w:tcPr>
                        <w:tcW w:w="59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3"/>
                          <w:ind w:right="1"/>
                          <w:jc w:val="center"/>
                          <w:rPr>
                            <w:rFonts w:ascii="宋体" w:hAnsi="宋体" w:cs="宋体" w:eastAsia="宋体" w:hint="default"/>
                            <w:sz w:val="15"/>
                            <w:szCs w:val="15"/>
                          </w:rPr>
                        </w:pPr>
                        <w:r>
                          <w:rPr>
                            <w:rFonts w:ascii="宋体" w:hAnsi="宋体" w:cs="宋体" w:eastAsia="宋体" w:hint="default"/>
                            <w:sz w:val="15"/>
                            <w:szCs w:val="15"/>
                          </w:rPr>
                          <w:t>参考市</w:t>
                        </w:r>
                      </w:p>
                    </w:tc>
                    <w:tc>
                      <w:tcPr>
                        <w:tcW w:w="726" w:type="dxa"/>
                        <w:tcBorders>
                          <w:top w:val="single" w:sz="4" w:space="0" w:color="000000"/>
                          <w:left w:val="single" w:sz="4" w:space="0" w:color="000000"/>
                          <w:bottom w:val="nil" w:sz="6" w:space="0" w:color="auto"/>
                          <w:right w:val="single" w:sz="4" w:space="0" w:color="000000"/>
                        </w:tcBorders>
                      </w:tcPr>
                      <w:p>
                        <w:pPr/>
                      </w:p>
                    </w:tc>
                    <w:tc>
                      <w:tcPr>
                        <w:tcW w:w="908" w:type="dxa"/>
                        <w:tcBorders>
                          <w:top w:val="single" w:sz="4" w:space="0" w:color="000000"/>
                          <w:left w:val="single" w:sz="4" w:space="0" w:color="000000"/>
                          <w:bottom w:val="nil" w:sz="6" w:space="0" w:color="auto"/>
                          <w:right w:val="single" w:sz="4" w:space="0" w:color="000000"/>
                        </w:tcBorders>
                      </w:tcPr>
                      <w:p>
                        <w:pPr/>
                      </w:p>
                    </w:tc>
                    <w:tc>
                      <w:tcPr>
                        <w:tcW w:w="806" w:type="dxa"/>
                        <w:tcBorders>
                          <w:top w:val="single" w:sz="4" w:space="0" w:color="000000"/>
                          <w:left w:val="single" w:sz="4" w:space="0" w:color="000000"/>
                          <w:bottom w:val="nil" w:sz="6" w:space="0" w:color="auto"/>
                          <w:right w:val="single" w:sz="4" w:space="0" w:color="000000"/>
                        </w:tcBorders>
                      </w:tcPr>
                      <w:p>
                        <w:pPr/>
                      </w:p>
                    </w:tc>
                    <w:tc>
                      <w:tcPr>
                        <w:tcW w:w="574" w:type="dxa"/>
                        <w:tcBorders>
                          <w:top w:val="single" w:sz="4" w:space="0" w:color="000000"/>
                          <w:left w:val="single" w:sz="4" w:space="0" w:color="000000"/>
                          <w:bottom w:val="nil" w:sz="6" w:space="0" w:color="auto"/>
                          <w:right w:val="single" w:sz="4" w:space="0" w:color="000000"/>
                        </w:tcBorders>
                      </w:tcPr>
                      <w:p>
                        <w:pPr/>
                      </w:p>
                    </w:tc>
                    <w:tc>
                      <w:tcPr>
                        <w:tcW w:w="72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3"/>
                          <w:ind w:right="0"/>
                          <w:jc w:val="left"/>
                          <w:rPr>
                            <w:rFonts w:ascii="宋体" w:hAnsi="宋体" w:cs="宋体" w:eastAsia="宋体" w:hint="default"/>
                            <w:sz w:val="15"/>
                            <w:szCs w:val="15"/>
                          </w:rPr>
                        </w:pPr>
                        <w:r>
                          <w:rPr>
                            <w:rFonts w:ascii="宋体" w:hAnsi="宋体" w:cs="宋体" w:eastAsia="宋体" w:hint="default"/>
                            <w:sz w:val="15"/>
                            <w:szCs w:val="15"/>
                          </w:rPr>
                          <w:t>根据合同</w:t>
                        </w:r>
                      </w:p>
                    </w:tc>
                    <w:tc>
                      <w:tcPr>
                        <w:tcW w:w="886" w:type="dxa"/>
                        <w:tcBorders>
                          <w:top w:val="single" w:sz="4" w:space="0" w:color="000000"/>
                          <w:left w:val="single" w:sz="4" w:space="0" w:color="000000"/>
                          <w:bottom w:val="nil" w:sz="6" w:space="0" w:color="auto"/>
                          <w:right w:val="single" w:sz="4" w:space="0" w:color="000000"/>
                        </w:tcBorders>
                      </w:tcPr>
                      <w:p>
                        <w:pPr/>
                      </w:p>
                    </w:tc>
                    <w:tc>
                      <w:tcPr>
                        <w:tcW w:w="866" w:type="dxa"/>
                        <w:vMerge w:val="restart"/>
                        <w:tcBorders>
                          <w:top w:val="single" w:sz="4" w:space="0" w:color="000000"/>
                          <w:left w:val="single" w:sz="4" w:space="0" w:color="000000"/>
                          <w:right w:val="single" w:sz="4" w:space="0" w:color="000000"/>
                        </w:tcBorders>
                      </w:tcPr>
                      <w:p>
                        <w:pPr/>
                      </w:p>
                    </w:tc>
                    <w:tc>
                      <w:tcPr>
                        <w:tcW w:w="755" w:type="dxa"/>
                        <w:vMerge w:val="restart"/>
                        <w:tcBorders>
                          <w:top w:val="single" w:sz="4" w:space="0" w:color="000000"/>
                          <w:left w:val="single" w:sz="4" w:space="0" w:color="000000"/>
                          <w:right w:val="single" w:sz="4" w:space="0" w:color="000000"/>
                        </w:tcBorders>
                      </w:tcPr>
                      <w:p>
                        <w:pPr/>
                      </w:p>
                    </w:tc>
                  </w:tr>
                  <w:tr>
                    <w:trPr>
                      <w:trHeight w:val="160" w:hRule="exact"/>
                    </w:trPr>
                    <w:tc>
                      <w:tcPr>
                        <w:tcW w:w="1334" w:type="dxa"/>
                        <w:tcBorders>
                          <w:top w:val="nil" w:sz="6" w:space="0" w:color="auto"/>
                          <w:left w:val="single" w:sz="4" w:space="0" w:color="000000"/>
                          <w:bottom w:val="nil" w:sz="6" w:space="0" w:color="auto"/>
                          <w:right w:val="single" w:sz="4" w:space="0" w:color="000000"/>
                        </w:tcBorders>
                      </w:tcPr>
                      <w:p>
                        <w:pPr/>
                      </w:p>
                    </w:tc>
                    <w:tc>
                      <w:tcPr>
                        <w:tcW w:w="908" w:type="dxa"/>
                        <w:tcBorders>
                          <w:top w:val="nil" w:sz="6" w:space="0" w:color="auto"/>
                          <w:left w:val="single" w:sz="4" w:space="0" w:color="000000"/>
                          <w:bottom w:val="nil" w:sz="6" w:space="0" w:color="auto"/>
                          <w:right w:val="single" w:sz="4" w:space="0" w:color="000000"/>
                        </w:tcBorders>
                      </w:tcPr>
                      <w:p>
                        <w:pPr/>
                      </w:p>
                    </w:tc>
                    <w:tc>
                      <w:tcPr>
                        <w:tcW w:w="726" w:type="dxa"/>
                        <w:tcBorders>
                          <w:top w:val="nil" w:sz="6" w:space="0" w:color="auto"/>
                          <w:left w:val="single" w:sz="4" w:space="0" w:color="000000"/>
                          <w:bottom w:val="nil" w:sz="6" w:space="0" w:color="auto"/>
                          <w:right w:val="single" w:sz="4" w:space="0" w:color="000000"/>
                        </w:tcBorders>
                      </w:tcPr>
                      <w:p>
                        <w:pPr>
                          <w:pStyle w:val="TableParagraph"/>
                          <w:spacing w:line="153" w:lineRule="exact"/>
                          <w:ind w:right="1"/>
                          <w:jc w:val="center"/>
                          <w:rPr>
                            <w:rFonts w:ascii="宋体" w:hAnsi="宋体" w:cs="宋体" w:eastAsia="宋体" w:hint="default"/>
                            <w:sz w:val="15"/>
                            <w:szCs w:val="15"/>
                          </w:rPr>
                        </w:pPr>
                        <w:r>
                          <w:rPr>
                            <w:rFonts w:ascii="宋体" w:hAnsi="宋体" w:cs="宋体" w:eastAsia="宋体" w:hint="default"/>
                            <w:sz w:val="15"/>
                            <w:szCs w:val="15"/>
                          </w:rPr>
                          <w:t>销售</w:t>
                        </w:r>
                      </w:p>
                    </w:tc>
                    <w:tc>
                      <w:tcPr>
                        <w:tcW w:w="788" w:type="dxa"/>
                        <w:tcBorders>
                          <w:top w:val="nil" w:sz="6" w:space="0" w:color="auto"/>
                          <w:left w:val="single" w:sz="4" w:space="0" w:color="000000"/>
                          <w:bottom w:val="nil" w:sz="6" w:space="0" w:color="auto"/>
                          <w:right w:val="single" w:sz="4" w:space="0" w:color="000000"/>
                        </w:tcBorders>
                      </w:tcPr>
                      <w:p>
                        <w:pPr>
                          <w:pStyle w:val="TableParagraph"/>
                          <w:spacing w:line="153" w:lineRule="exact"/>
                          <w:ind w:right="0"/>
                          <w:jc w:val="left"/>
                          <w:rPr>
                            <w:rFonts w:ascii="宋体" w:hAnsi="宋体" w:cs="宋体" w:eastAsia="宋体" w:hint="default"/>
                            <w:sz w:val="15"/>
                            <w:szCs w:val="15"/>
                          </w:rPr>
                        </w:pPr>
                        <w:r>
                          <w:rPr>
                            <w:rFonts w:ascii="宋体" w:hAnsi="宋体" w:cs="宋体" w:eastAsia="宋体" w:hint="default"/>
                            <w:sz w:val="15"/>
                            <w:szCs w:val="15"/>
                          </w:rPr>
                          <w:t>销售商品</w:t>
                        </w:r>
                      </w:p>
                    </w:tc>
                    <w:tc>
                      <w:tcPr>
                        <w:tcW w:w="846" w:type="dxa"/>
                        <w:tcBorders>
                          <w:top w:val="nil" w:sz="6" w:space="0" w:color="auto"/>
                          <w:left w:val="single" w:sz="4" w:space="0" w:color="000000"/>
                          <w:bottom w:val="nil" w:sz="6" w:space="0" w:color="auto"/>
                          <w:right w:val="single" w:sz="4" w:space="0" w:color="000000"/>
                        </w:tcBorders>
                      </w:tcPr>
                      <w:p>
                        <w:pPr/>
                      </w:p>
                    </w:tc>
                    <w:tc>
                      <w:tcPr>
                        <w:tcW w:w="590" w:type="dxa"/>
                        <w:tcBorders>
                          <w:top w:val="nil" w:sz="6" w:space="0" w:color="auto"/>
                          <w:left w:val="single" w:sz="4" w:space="0" w:color="000000"/>
                          <w:bottom w:val="nil" w:sz="6" w:space="0" w:color="auto"/>
                          <w:right w:val="single" w:sz="4" w:space="0" w:color="000000"/>
                        </w:tcBorders>
                      </w:tcPr>
                      <w:p>
                        <w:pPr/>
                      </w:p>
                    </w:tc>
                    <w:tc>
                      <w:tcPr>
                        <w:tcW w:w="726" w:type="dxa"/>
                        <w:tcBorders>
                          <w:top w:val="nil" w:sz="6" w:space="0" w:color="auto"/>
                          <w:left w:val="single" w:sz="4" w:space="0" w:color="000000"/>
                          <w:bottom w:val="nil" w:sz="6" w:space="0" w:color="auto"/>
                          <w:right w:val="single" w:sz="4" w:space="0" w:color="000000"/>
                        </w:tcBorders>
                      </w:tcPr>
                      <w:p>
                        <w:pPr>
                          <w:pStyle w:val="TableParagraph"/>
                          <w:spacing w:line="163" w:lineRule="exact"/>
                          <w:ind w:right="-2"/>
                          <w:jc w:val="right"/>
                          <w:rPr>
                            <w:rFonts w:ascii="Times New Roman" w:hAnsi="Times New Roman" w:cs="Times New Roman" w:eastAsia="Times New Roman" w:hint="default"/>
                            <w:sz w:val="15"/>
                            <w:szCs w:val="15"/>
                          </w:rPr>
                        </w:pPr>
                        <w:r>
                          <w:rPr>
                            <w:rFonts w:ascii="Times New Roman"/>
                            <w:spacing w:val="-1"/>
                            <w:sz w:val="15"/>
                          </w:rPr>
                          <w:t>780.05</w:t>
                        </w:r>
                      </w:p>
                    </w:tc>
                    <w:tc>
                      <w:tcPr>
                        <w:tcW w:w="908" w:type="dxa"/>
                        <w:tcBorders>
                          <w:top w:val="nil" w:sz="6" w:space="0" w:color="auto"/>
                          <w:left w:val="single" w:sz="4" w:space="0" w:color="000000"/>
                          <w:bottom w:val="nil" w:sz="6" w:space="0" w:color="auto"/>
                          <w:right w:val="single" w:sz="4" w:space="0" w:color="000000"/>
                        </w:tcBorders>
                      </w:tcPr>
                      <w:p>
                        <w:pPr>
                          <w:pStyle w:val="TableParagraph"/>
                          <w:spacing w:line="163" w:lineRule="exact"/>
                          <w:ind w:right="0"/>
                          <w:jc w:val="center"/>
                          <w:rPr>
                            <w:rFonts w:ascii="Times New Roman" w:hAnsi="Times New Roman" w:cs="Times New Roman" w:eastAsia="Times New Roman" w:hint="default"/>
                            <w:sz w:val="15"/>
                            <w:szCs w:val="15"/>
                          </w:rPr>
                        </w:pPr>
                        <w:r>
                          <w:rPr>
                            <w:rFonts w:ascii="Times New Roman"/>
                            <w:sz w:val="15"/>
                          </w:rPr>
                          <w:t>0.09%</w:t>
                        </w:r>
                      </w:p>
                    </w:tc>
                    <w:tc>
                      <w:tcPr>
                        <w:tcW w:w="806" w:type="dxa"/>
                        <w:tcBorders>
                          <w:top w:val="nil" w:sz="6" w:space="0" w:color="auto"/>
                          <w:left w:val="single" w:sz="4" w:space="0" w:color="000000"/>
                          <w:bottom w:val="nil" w:sz="6" w:space="0" w:color="auto"/>
                          <w:right w:val="single" w:sz="4" w:space="0" w:color="000000"/>
                        </w:tcBorders>
                      </w:tcPr>
                      <w:p>
                        <w:pPr>
                          <w:pStyle w:val="TableParagraph"/>
                          <w:spacing w:line="153" w:lineRule="exact"/>
                          <w:ind w:left="172" w:right="0"/>
                          <w:jc w:val="left"/>
                          <w:rPr>
                            <w:rFonts w:ascii="宋体" w:hAnsi="宋体" w:cs="宋体" w:eastAsia="宋体" w:hint="default"/>
                            <w:sz w:val="15"/>
                            <w:szCs w:val="15"/>
                          </w:rPr>
                        </w:pPr>
                        <w:r>
                          <w:rPr>
                            <w:rFonts w:ascii="宋体" w:hAnsi="宋体" w:cs="宋体" w:eastAsia="宋体" w:hint="default"/>
                            <w:sz w:val="15"/>
                            <w:szCs w:val="15"/>
                          </w:rPr>
                          <w:t>见说明</w:t>
                        </w:r>
                      </w:p>
                    </w:tc>
                    <w:tc>
                      <w:tcPr>
                        <w:tcW w:w="574" w:type="dxa"/>
                        <w:tcBorders>
                          <w:top w:val="nil" w:sz="6" w:space="0" w:color="auto"/>
                          <w:left w:val="single" w:sz="4" w:space="0" w:color="000000"/>
                          <w:bottom w:val="nil" w:sz="6" w:space="0" w:color="auto"/>
                          <w:right w:val="single" w:sz="4" w:space="0" w:color="000000"/>
                        </w:tcBorders>
                      </w:tcPr>
                      <w:p>
                        <w:pPr>
                          <w:pStyle w:val="TableParagraph"/>
                          <w:spacing w:line="153" w:lineRule="exact"/>
                          <w:ind w:left="1" w:right="0"/>
                          <w:jc w:val="center"/>
                          <w:rPr>
                            <w:rFonts w:ascii="宋体" w:hAnsi="宋体" w:cs="宋体" w:eastAsia="宋体" w:hint="default"/>
                            <w:sz w:val="15"/>
                            <w:szCs w:val="15"/>
                          </w:rPr>
                        </w:pPr>
                        <w:r>
                          <w:rPr>
                            <w:rFonts w:ascii="宋体" w:hAnsi="宋体" w:cs="宋体" w:eastAsia="宋体" w:hint="default"/>
                            <w:sz w:val="15"/>
                            <w:szCs w:val="15"/>
                          </w:rPr>
                          <w:t>否</w:t>
                        </w:r>
                      </w:p>
                    </w:tc>
                    <w:tc>
                      <w:tcPr>
                        <w:tcW w:w="720" w:type="dxa"/>
                        <w:tcBorders>
                          <w:top w:val="nil" w:sz="6" w:space="0" w:color="auto"/>
                          <w:left w:val="single" w:sz="4" w:space="0" w:color="000000"/>
                          <w:bottom w:val="nil" w:sz="6" w:space="0" w:color="auto"/>
                          <w:right w:val="single" w:sz="4" w:space="0" w:color="000000"/>
                        </w:tcBorders>
                      </w:tcPr>
                      <w:p>
                        <w:pPr/>
                      </w:p>
                    </w:tc>
                    <w:tc>
                      <w:tcPr>
                        <w:tcW w:w="886" w:type="dxa"/>
                        <w:tcBorders>
                          <w:top w:val="nil" w:sz="6" w:space="0" w:color="auto"/>
                          <w:left w:val="single" w:sz="4" w:space="0" w:color="000000"/>
                          <w:bottom w:val="nil" w:sz="6" w:space="0" w:color="auto"/>
                          <w:right w:val="single" w:sz="4" w:space="0" w:color="000000"/>
                        </w:tcBorders>
                      </w:tcPr>
                      <w:p>
                        <w:pPr>
                          <w:pStyle w:val="TableParagraph"/>
                          <w:spacing w:line="153" w:lineRule="exact"/>
                          <w:ind w:right="0"/>
                          <w:jc w:val="center"/>
                          <w:rPr>
                            <w:rFonts w:ascii="宋体" w:hAnsi="宋体" w:cs="宋体" w:eastAsia="宋体" w:hint="default"/>
                            <w:sz w:val="15"/>
                            <w:szCs w:val="15"/>
                          </w:rPr>
                        </w:pPr>
                        <w:r>
                          <w:rPr>
                            <w:rFonts w:ascii="宋体" w:hAnsi="宋体" w:cs="宋体" w:eastAsia="宋体" w:hint="default"/>
                            <w:sz w:val="15"/>
                            <w:szCs w:val="15"/>
                          </w:rPr>
                          <w:t>市场价格</w:t>
                        </w:r>
                      </w:p>
                    </w:tc>
                    <w:tc>
                      <w:tcPr>
                        <w:tcW w:w="866" w:type="dxa"/>
                        <w:vMerge/>
                        <w:tcBorders>
                          <w:left w:val="single" w:sz="4" w:space="0" w:color="000000"/>
                          <w:right w:val="single" w:sz="4" w:space="0" w:color="000000"/>
                        </w:tcBorders>
                      </w:tcPr>
                      <w:p>
                        <w:pPr/>
                      </w:p>
                    </w:tc>
                    <w:tc>
                      <w:tcPr>
                        <w:tcW w:w="755" w:type="dxa"/>
                        <w:vMerge/>
                        <w:tcBorders>
                          <w:left w:val="single" w:sz="4" w:space="0" w:color="000000"/>
                          <w:right w:val="single" w:sz="4" w:space="0" w:color="000000"/>
                        </w:tcBorders>
                      </w:tcPr>
                      <w:p>
                        <w:pPr/>
                      </w:p>
                    </w:tc>
                  </w:tr>
                  <w:tr>
                    <w:trPr>
                      <w:trHeight w:val="236" w:hRule="exact"/>
                    </w:trPr>
                    <w:tc>
                      <w:tcPr>
                        <w:tcW w:w="1334" w:type="dxa"/>
                        <w:tcBorders>
                          <w:top w:val="nil" w:sz="6" w:space="0" w:color="auto"/>
                          <w:left w:val="single" w:sz="4" w:space="0" w:color="000000"/>
                          <w:bottom w:val="single" w:sz="4" w:space="0" w:color="000000"/>
                          <w:right w:val="single" w:sz="4" w:space="0" w:color="000000"/>
                        </w:tcBorders>
                      </w:tcPr>
                      <w:p>
                        <w:pPr>
                          <w:pStyle w:val="TableParagraph"/>
                          <w:spacing w:line="149" w:lineRule="exact"/>
                          <w:ind w:left="-1" w:right="0"/>
                          <w:jc w:val="left"/>
                          <w:rPr>
                            <w:rFonts w:ascii="宋体" w:hAnsi="宋体" w:cs="宋体" w:eastAsia="宋体" w:hint="default"/>
                            <w:sz w:val="15"/>
                            <w:szCs w:val="15"/>
                          </w:rPr>
                        </w:pPr>
                        <w:r>
                          <w:rPr>
                            <w:rFonts w:ascii="宋体" w:hAnsi="宋体" w:cs="宋体" w:eastAsia="宋体" w:hint="default"/>
                            <w:sz w:val="15"/>
                            <w:szCs w:val="15"/>
                          </w:rPr>
                          <w:t>显示科技有限公司</w:t>
                        </w:r>
                      </w:p>
                    </w:tc>
                    <w:tc>
                      <w:tcPr>
                        <w:tcW w:w="908" w:type="dxa"/>
                        <w:tcBorders>
                          <w:top w:val="nil" w:sz="6" w:space="0" w:color="auto"/>
                          <w:left w:val="single" w:sz="4" w:space="0" w:color="000000"/>
                          <w:bottom w:val="single" w:sz="4" w:space="0" w:color="000000"/>
                          <w:right w:val="single" w:sz="4" w:space="0" w:color="000000"/>
                        </w:tcBorders>
                      </w:tcPr>
                      <w:p>
                        <w:pPr>
                          <w:pStyle w:val="TableParagraph"/>
                          <w:spacing w:line="149" w:lineRule="exact"/>
                          <w:ind w:left="1" w:right="0"/>
                          <w:jc w:val="left"/>
                          <w:rPr>
                            <w:rFonts w:ascii="宋体" w:hAnsi="宋体" w:cs="宋体" w:eastAsia="宋体" w:hint="default"/>
                            <w:sz w:val="15"/>
                            <w:szCs w:val="15"/>
                          </w:rPr>
                        </w:pPr>
                        <w:r>
                          <w:rPr>
                            <w:rFonts w:ascii="宋体" w:hAnsi="宋体" w:cs="宋体" w:eastAsia="宋体" w:hint="default"/>
                            <w:sz w:val="15"/>
                            <w:szCs w:val="15"/>
                          </w:rPr>
                          <w:t>控制方控制</w:t>
                        </w:r>
                      </w:p>
                    </w:tc>
                    <w:tc>
                      <w:tcPr>
                        <w:tcW w:w="726" w:type="dxa"/>
                        <w:tcBorders>
                          <w:top w:val="nil" w:sz="6" w:space="0" w:color="auto"/>
                          <w:left w:val="single" w:sz="4" w:space="0" w:color="000000"/>
                          <w:bottom w:val="single" w:sz="4" w:space="0" w:color="000000"/>
                          <w:right w:val="single" w:sz="4" w:space="0" w:color="000000"/>
                        </w:tcBorders>
                      </w:tcPr>
                      <w:p>
                        <w:pPr/>
                      </w:p>
                    </w:tc>
                    <w:tc>
                      <w:tcPr>
                        <w:tcW w:w="788" w:type="dxa"/>
                        <w:tcBorders>
                          <w:top w:val="nil" w:sz="6" w:space="0" w:color="auto"/>
                          <w:left w:val="single" w:sz="4" w:space="0" w:color="000000"/>
                          <w:bottom w:val="single" w:sz="4" w:space="0" w:color="000000"/>
                          <w:right w:val="single" w:sz="4" w:space="0" w:color="000000"/>
                        </w:tcBorders>
                      </w:tcPr>
                      <w:p>
                        <w:pPr/>
                      </w:p>
                    </w:tc>
                    <w:tc>
                      <w:tcPr>
                        <w:tcW w:w="846" w:type="dxa"/>
                        <w:tcBorders>
                          <w:top w:val="nil" w:sz="6" w:space="0" w:color="auto"/>
                          <w:left w:val="single" w:sz="4" w:space="0" w:color="000000"/>
                          <w:bottom w:val="single" w:sz="4" w:space="0" w:color="000000"/>
                          <w:right w:val="single" w:sz="4" w:space="0" w:color="000000"/>
                        </w:tcBorders>
                      </w:tcPr>
                      <w:p>
                        <w:pPr>
                          <w:pStyle w:val="TableParagraph"/>
                          <w:spacing w:line="149" w:lineRule="exact"/>
                          <w:ind w:right="-1"/>
                          <w:jc w:val="center"/>
                          <w:rPr>
                            <w:rFonts w:ascii="宋体" w:hAnsi="宋体" w:cs="宋体" w:eastAsia="宋体" w:hint="default"/>
                            <w:sz w:val="15"/>
                            <w:szCs w:val="15"/>
                          </w:rPr>
                        </w:pPr>
                        <w:r>
                          <w:rPr>
                            <w:rFonts w:ascii="宋体" w:hAnsi="宋体" w:cs="宋体" w:eastAsia="宋体" w:hint="default"/>
                            <w:sz w:val="15"/>
                            <w:szCs w:val="15"/>
                          </w:rPr>
                          <w:t>格</w:t>
                        </w:r>
                        <w:r>
                          <w:rPr>
                            <w:rFonts w:ascii="宋体" w:hAnsi="宋体" w:cs="宋体" w:eastAsia="宋体" w:hint="default"/>
                            <w:spacing w:val="-64"/>
                            <w:sz w:val="15"/>
                            <w:szCs w:val="15"/>
                          </w:rPr>
                          <w:t>，</w:t>
                        </w:r>
                        <w:r>
                          <w:rPr>
                            <w:rFonts w:ascii="宋体" w:hAnsi="宋体" w:cs="宋体" w:eastAsia="宋体" w:hint="default"/>
                            <w:sz w:val="15"/>
                            <w:szCs w:val="15"/>
                          </w:rPr>
                          <w:t>协商确定</w:t>
                        </w:r>
                      </w:p>
                    </w:tc>
                    <w:tc>
                      <w:tcPr>
                        <w:tcW w:w="590" w:type="dxa"/>
                        <w:tcBorders>
                          <w:top w:val="nil" w:sz="6" w:space="0" w:color="auto"/>
                          <w:left w:val="single" w:sz="4" w:space="0" w:color="000000"/>
                          <w:bottom w:val="single" w:sz="4" w:space="0" w:color="000000"/>
                          <w:right w:val="single" w:sz="4" w:space="0" w:color="000000"/>
                        </w:tcBorders>
                      </w:tcPr>
                      <w:p>
                        <w:pPr>
                          <w:pStyle w:val="TableParagraph"/>
                          <w:spacing w:line="149" w:lineRule="exact"/>
                          <w:ind w:right="1"/>
                          <w:jc w:val="center"/>
                          <w:rPr>
                            <w:rFonts w:ascii="宋体" w:hAnsi="宋体" w:cs="宋体" w:eastAsia="宋体" w:hint="default"/>
                            <w:sz w:val="15"/>
                            <w:szCs w:val="15"/>
                          </w:rPr>
                        </w:pPr>
                        <w:r>
                          <w:rPr>
                            <w:rFonts w:ascii="宋体" w:hAnsi="宋体" w:cs="宋体" w:eastAsia="宋体" w:hint="default"/>
                            <w:sz w:val="15"/>
                            <w:szCs w:val="15"/>
                          </w:rPr>
                          <w:t>场价格</w:t>
                        </w:r>
                      </w:p>
                    </w:tc>
                    <w:tc>
                      <w:tcPr>
                        <w:tcW w:w="726" w:type="dxa"/>
                        <w:tcBorders>
                          <w:top w:val="nil" w:sz="6" w:space="0" w:color="auto"/>
                          <w:left w:val="single" w:sz="4" w:space="0" w:color="000000"/>
                          <w:bottom w:val="single" w:sz="4" w:space="0" w:color="000000"/>
                          <w:right w:val="single" w:sz="4" w:space="0" w:color="000000"/>
                        </w:tcBorders>
                      </w:tcPr>
                      <w:p>
                        <w:pPr/>
                      </w:p>
                    </w:tc>
                    <w:tc>
                      <w:tcPr>
                        <w:tcW w:w="908" w:type="dxa"/>
                        <w:tcBorders>
                          <w:top w:val="nil" w:sz="6" w:space="0" w:color="auto"/>
                          <w:left w:val="single" w:sz="4" w:space="0" w:color="000000"/>
                          <w:bottom w:val="single" w:sz="4" w:space="0" w:color="000000"/>
                          <w:right w:val="single" w:sz="4" w:space="0" w:color="000000"/>
                        </w:tcBorders>
                      </w:tcPr>
                      <w:p>
                        <w:pPr/>
                      </w:p>
                    </w:tc>
                    <w:tc>
                      <w:tcPr>
                        <w:tcW w:w="806" w:type="dxa"/>
                        <w:tcBorders>
                          <w:top w:val="nil" w:sz="6" w:space="0" w:color="auto"/>
                          <w:left w:val="single" w:sz="4" w:space="0" w:color="000000"/>
                          <w:bottom w:val="single" w:sz="4" w:space="0" w:color="000000"/>
                          <w:right w:val="single" w:sz="4" w:space="0" w:color="000000"/>
                        </w:tcBorders>
                      </w:tcPr>
                      <w:p>
                        <w:pPr/>
                      </w:p>
                    </w:tc>
                    <w:tc>
                      <w:tcPr>
                        <w:tcW w:w="574" w:type="dxa"/>
                        <w:tcBorders>
                          <w:top w:val="nil" w:sz="6" w:space="0" w:color="auto"/>
                          <w:left w:val="single" w:sz="4" w:space="0" w:color="000000"/>
                          <w:bottom w:val="single" w:sz="4" w:space="0" w:color="000000"/>
                          <w:right w:val="single" w:sz="4" w:space="0" w:color="000000"/>
                        </w:tcBorders>
                      </w:tcPr>
                      <w:p>
                        <w:pPr/>
                      </w:p>
                    </w:tc>
                    <w:tc>
                      <w:tcPr>
                        <w:tcW w:w="720" w:type="dxa"/>
                        <w:tcBorders>
                          <w:top w:val="nil" w:sz="6" w:space="0" w:color="auto"/>
                          <w:left w:val="single" w:sz="4" w:space="0" w:color="000000"/>
                          <w:bottom w:val="single" w:sz="4" w:space="0" w:color="000000"/>
                          <w:right w:val="single" w:sz="4" w:space="0" w:color="000000"/>
                        </w:tcBorders>
                      </w:tcPr>
                      <w:p>
                        <w:pPr>
                          <w:pStyle w:val="TableParagraph"/>
                          <w:spacing w:line="149" w:lineRule="exact"/>
                          <w:ind w:right="0"/>
                          <w:jc w:val="left"/>
                          <w:rPr>
                            <w:rFonts w:ascii="宋体" w:hAnsi="宋体" w:cs="宋体" w:eastAsia="宋体" w:hint="default"/>
                            <w:sz w:val="15"/>
                            <w:szCs w:val="15"/>
                          </w:rPr>
                        </w:pPr>
                        <w:r>
                          <w:rPr>
                            <w:rFonts w:ascii="宋体" w:hAnsi="宋体" w:cs="宋体" w:eastAsia="宋体" w:hint="default"/>
                            <w:sz w:val="15"/>
                            <w:szCs w:val="15"/>
                          </w:rPr>
                          <w:t>约定</w:t>
                        </w:r>
                      </w:p>
                    </w:tc>
                    <w:tc>
                      <w:tcPr>
                        <w:tcW w:w="886" w:type="dxa"/>
                        <w:tcBorders>
                          <w:top w:val="nil" w:sz="6" w:space="0" w:color="auto"/>
                          <w:left w:val="single" w:sz="4" w:space="0" w:color="000000"/>
                          <w:bottom w:val="single" w:sz="4" w:space="0" w:color="000000"/>
                          <w:right w:val="single" w:sz="4" w:space="0" w:color="000000"/>
                        </w:tcBorders>
                      </w:tcPr>
                      <w:p>
                        <w:pPr/>
                      </w:p>
                    </w:tc>
                    <w:tc>
                      <w:tcPr>
                        <w:tcW w:w="866" w:type="dxa"/>
                        <w:vMerge/>
                        <w:tcBorders>
                          <w:left w:val="single" w:sz="4" w:space="0" w:color="000000"/>
                          <w:bottom w:val="single" w:sz="4" w:space="0" w:color="000000"/>
                          <w:right w:val="single" w:sz="4" w:space="0" w:color="000000"/>
                        </w:tcBorders>
                      </w:tcPr>
                      <w:p>
                        <w:pPr/>
                      </w:p>
                    </w:tc>
                    <w:tc>
                      <w:tcPr>
                        <w:tcW w:w="755" w:type="dxa"/>
                        <w:vMerge/>
                        <w:tcBorders>
                          <w:left w:val="single" w:sz="4" w:space="0" w:color="000000"/>
                          <w:bottom w:val="single" w:sz="4" w:space="0" w:color="000000"/>
                          <w:right w:val="single" w:sz="4" w:space="0" w:color="000000"/>
                        </w:tcBorders>
                      </w:tcPr>
                      <w:p>
                        <w:pPr/>
                      </w:p>
                    </w:tc>
                  </w:tr>
                  <w:tr>
                    <w:trPr>
                      <w:trHeight w:val="239" w:hRule="exact"/>
                    </w:trPr>
                    <w:tc>
                      <w:tcPr>
                        <w:tcW w:w="1334" w:type="dxa"/>
                        <w:tcBorders>
                          <w:top w:val="single" w:sz="4" w:space="0" w:color="000000"/>
                          <w:left w:val="single" w:sz="4" w:space="0" w:color="000000"/>
                          <w:bottom w:val="nil" w:sz="6" w:space="0" w:color="auto"/>
                          <w:right w:val="single" w:sz="4" w:space="0" w:color="000000"/>
                        </w:tcBorders>
                      </w:tcPr>
                      <w:p>
                        <w:pPr/>
                      </w:p>
                    </w:tc>
                    <w:tc>
                      <w:tcPr>
                        <w:tcW w:w="908" w:type="dxa"/>
                        <w:tcBorders>
                          <w:top w:val="single" w:sz="4" w:space="0" w:color="000000"/>
                          <w:left w:val="single" w:sz="4" w:space="0" w:color="000000"/>
                          <w:bottom w:val="nil" w:sz="6" w:space="0" w:color="auto"/>
                          <w:right w:val="single" w:sz="4" w:space="0" w:color="000000"/>
                        </w:tcBorders>
                      </w:tcPr>
                      <w:p>
                        <w:pPr/>
                      </w:p>
                    </w:tc>
                    <w:tc>
                      <w:tcPr>
                        <w:tcW w:w="726" w:type="dxa"/>
                        <w:tcBorders>
                          <w:top w:val="single" w:sz="4" w:space="0" w:color="000000"/>
                          <w:left w:val="single" w:sz="4" w:space="0" w:color="000000"/>
                          <w:bottom w:val="nil" w:sz="6" w:space="0" w:color="auto"/>
                          <w:right w:val="single" w:sz="4" w:space="0" w:color="000000"/>
                        </w:tcBorders>
                      </w:tcPr>
                      <w:p>
                        <w:pPr/>
                      </w:p>
                    </w:tc>
                    <w:tc>
                      <w:tcPr>
                        <w:tcW w:w="78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4"/>
                          <w:ind w:right="0"/>
                          <w:jc w:val="left"/>
                          <w:rPr>
                            <w:rFonts w:ascii="宋体" w:hAnsi="宋体" w:cs="宋体" w:eastAsia="宋体" w:hint="default"/>
                            <w:sz w:val="15"/>
                            <w:szCs w:val="15"/>
                          </w:rPr>
                        </w:pPr>
                        <w:r>
                          <w:rPr>
                            <w:rFonts w:ascii="宋体" w:hAnsi="宋体" w:cs="宋体" w:eastAsia="宋体" w:hint="default"/>
                            <w:sz w:val="15"/>
                            <w:szCs w:val="15"/>
                          </w:rPr>
                          <w:t>销售模组、</w:t>
                        </w:r>
                      </w:p>
                    </w:tc>
                    <w:tc>
                      <w:tcPr>
                        <w:tcW w:w="846" w:type="dxa"/>
                        <w:tcBorders>
                          <w:top w:val="single" w:sz="4" w:space="0" w:color="000000"/>
                          <w:left w:val="single" w:sz="4" w:space="0" w:color="000000"/>
                          <w:bottom w:val="nil" w:sz="6" w:space="0" w:color="auto"/>
                          <w:right w:val="single" w:sz="4" w:space="0" w:color="000000"/>
                        </w:tcBorders>
                      </w:tcPr>
                      <w:p>
                        <w:pPr/>
                      </w:p>
                    </w:tc>
                    <w:tc>
                      <w:tcPr>
                        <w:tcW w:w="590" w:type="dxa"/>
                        <w:tcBorders>
                          <w:top w:val="single" w:sz="4" w:space="0" w:color="000000"/>
                          <w:left w:val="single" w:sz="4" w:space="0" w:color="000000"/>
                          <w:bottom w:val="nil" w:sz="6" w:space="0" w:color="auto"/>
                          <w:right w:val="single" w:sz="4" w:space="0" w:color="000000"/>
                        </w:tcBorders>
                      </w:tcPr>
                      <w:p>
                        <w:pPr/>
                      </w:p>
                    </w:tc>
                    <w:tc>
                      <w:tcPr>
                        <w:tcW w:w="726" w:type="dxa"/>
                        <w:tcBorders>
                          <w:top w:val="single" w:sz="4" w:space="0" w:color="000000"/>
                          <w:left w:val="single" w:sz="4" w:space="0" w:color="000000"/>
                          <w:bottom w:val="nil" w:sz="6" w:space="0" w:color="auto"/>
                          <w:right w:val="single" w:sz="4" w:space="0" w:color="000000"/>
                        </w:tcBorders>
                      </w:tcPr>
                      <w:p>
                        <w:pPr/>
                      </w:p>
                    </w:tc>
                    <w:tc>
                      <w:tcPr>
                        <w:tcW w:w="908" w:type="dxa"/>
                        <w:tcBorders>
                          <w:top w:val="single" w:sz="4" w:space="0" w:color="000000"/>
                          <w:left w:val="single" w:sz="4" w:space="0" w:color="000000"/>
                          <w:bottom w:val="nil" w:sz="6" w:space="0" w:color="auto"/>
                          <w:right w:val="single" w:sz="4" w:space="0" w:color="000000"/>
                        </w:tcBorders>
                      </w:tcPr>
                      <w:p>
                        <w:pPr/>
                      </w:p>
                    </w:tc>
                    <w:tc>
                      <w:tcPr>
                        <w:tcW w:w="806" w:type="dxa"/>
                        <w:tcBorders>
                          <w:top w:val="single" w:sz="4" w:space="0" w:color="000000"/>
                          <w:left w:val="single" w:sz="4" w:space="0" w:color="000000"/>
                          <w:bottom w:val="nil" w:sz="6" w:space="0" w:color="auto"/>
                          <w:right w:val="single" w:sz="4" w:space="0" w:color="000000"/>
                        </w:tcBorders>
                      </w:tcPr>
                      <w:p>
                        <w:pPr/>
                      </w:p>
                    </w:tc>
                    <w:tc>
                      <w:tcPr>
                        <w:tcW w:w="574" w:type="dxa"/>
                        <w:tcBorders>
                          <w:top w:val="single" w:sz="4" w:space="0" w:color="000000"/>
                          <w:left w:val="single" w:sz="4" w:space="0" w:color="000000"/>
                          <w:bottom w:val="nil" w:sz="6" w:space="0" w:color="auto"/>
                          <w:right w:val="single" w:sz="4" w:space="0" w:color="000000"/>
                        </w:tcBorders>
                      </w:tcPr>
                      <w:p>
                        <w:pPr/>
                      </w:p>
                    </w:tc>
                    <w:tc>
                      <w:tcPr>
                        <w:tcW w:w="720" w:type="dxa"/>
                        <w:tcBorders>
                          <w:top w:val="single" w:sz="4" w:space="0" w:color="000000"/>
                          <w:left w:val="single" w:sz="4" w:space="0" w:color="000000"/>
                          <w:bottom w:val="nil" w:sz="6" w:space="0" w:color="auto"/>
                          <w:right w:val="single" w:sz="4" w:space="0" w:color="000000"/>
                        </w:tcBorders>
                      </w:tcPr>
                      <w:p>
                        <w:pPr/>
                      </w:p>
                    </w:tc>
                    <w:tc>
                      <w:tcPr>
                        <w:tcW w:w="886" w:type="dxa"/>
                        <w:tcBorders>
                          <w:top w:val="single" w:sz="4" w:space="0" w:color="000000"/>
                          <w:left w:val="single" w:sz="4" w:space="0" w:color="000000"/>
                          <w:bottom w:val="nil" w:sz="6" w:space="0" w:color="auto"/>
                          <w:right w:val="single" w:sz="4" w:space="0" w:color="000000"/>
                        </w:tcBorders>
                      </w:tcPr>
                      <w:p>
                        <w:pPr/>
                      </w:p>
                    </w:tc>
                    <w:tc>
                      <w:tcPr>
                        <w:tcW w:w="866" w:type="dxa"/>
                        <w:tcBorders>
                          <w:top w:val="single" w:sz="4" w:space="0" w:color="000000"/>
                          <w:left w:val="single" w:sz="4" w:space="0" w:color="000000"/>
                          <w:bottom w:val="nil" w:sz="6" w:space="0" w:color="auto"/>
                          <w:right w:val="single" w:sz="4" w:space="0" w:color="000000"/>
                        </w:tcBorders>
                      </w:tcPr>
                      <w:p>
                        <w:pPr/>
                      </w:p>
                    </w:tc>
                    <w:tc>
                      <w:tcPr>
                        <w:tcW w:w="755" w:type="dxa"/>
                        <w:tcBorders>
                          <w:top w:val="single" w:sz="4" w:space="0" w:color="000000"/>
                          <w:left w:val="single" w:sz="4" w:space="0" w:color="000000"/>
                          <w:bottom w:val="nil" w:sz="6" w:space="0" w:color="auto"/>
                          <w:right w:val="single" w:sz="4" w:space="0" w:color="000000"/>
                        </w:tcBorders>
                      </w:tcPr>
                      <w:p>
                        <w:pPr/>
                      </w:p>
                    </w:tc>
                  </w:tr>
                  <w:tr>
                    <w:trPr>
                      <w:trHeight w:val="160" w:hRule="exact"/>
                    </w:trPr>
                    <w:tc>
                      <w:tcPr>
                        <w:tcW w:w="1334" w:type="dxa"/>
                        <w:tcBorders>
                          <w:top w:val="nil" w:sz="6" w:space="0" w:color="auto"/>
                          <w:left w:val="single" w:sz="4" w:space="0" w:color="000000"/>
                          <w:bottom w:val="nil" w:sz="6" w:space="0" w:color="auto"/>
                          <w:right w:val="single" w:sz="4" w:space="0" w:color="000000"/>
                        </w:tcBorders>
                      </w:tcPr>
                      <w:p>
                        <w:pPr>
                          <w:pStyle w:val="TableParagraph"/>
                          <w:spacing w:line="153" w:lineRule="exact"/>
                          <w:ind w:left="-1" w:right="0"/>
                          <w:jc w:val="left"/>
                          <w:rPr>
                            <w:rFonts w:ascii="宋体" w:hAnsi="宋体" w:cs="宋体" w:eastAsia="宋体" w:hint="default"/>
                            <w:sz w:val="15"/>
                            <w:szCs w:val="15"/>
                          </w:rPr>
                        </w:pPr>
                        <w:r>
                          <w:rPr>
                            <w:rFonts w:ascii="宋体" w:hAnsi="宋体" w:cs="宋体" w:eastAsia="宋体" w:hint="default"/>
                            <w:sz w:val="15"/>
                            <w:szCs w:val="15"/>
                          </w:rPr>
                          <w:t>南京中电熊猫平板</w:t>
                        </w:r>
                      </w:p>
                    </w:tc>
                    <w:tc>
                      <w:tcPr>
                        <w:tcW w:w="908" w:type="dxa"/>
                        <w:tcBorders>
                          <w:top w:val="nil" w:sz="6" w:space="0" w:color="auto"/>
                          <w:left w:val="single" w:sz="4" w:space="0" w:color="000000"/>
                          <w:bottom w:val="nil" w:sz="6" w:space="0" w:color="auto"/>
                          <w:right w:val="single" w:sz="4" w:space="0" w:color="000000"/>
                        </w:tcBorders>
                      </w:tcPr>
                      <w:p>
                        <w:pPr>
                          <w:pStyle w:val="TableParagraph"/>
                          <w:spacing w:line="153" w:lineRule="exact"/>
                          <w:ind w:left="1" w:right="0"/>
                          <w:jc w:val="left"/>
                          <w:rPr>
                            <w:rFonts w:ascii="宋体" w:hAnsi="宋体" w:cs="宋体" w:eastAsia="宋体" w:hint="default"/>
                            <w:sz w:val="15"/>
                            <w:szCs w:val="15"/>
                          </w:rPr>
                        </w:pPr>
                        <w:r>
                          <w:rPr>
                            <w:rFonts w:ascii="宋体" w:hAnsi="宋体" w:cs="宋体" w:eastAsia="宋体" w:hint="default"/>
                            <w:sz w:val="15"/>
                            <w:szCs w:val="15"/>
                          </w:rPr>
                          <w:t>受同一最终</w:t>
                        </w:r>
                      </w:p>
                    </w:tc>
                    <w:tc>
                      <w:tcPr>
                        <w:tcW w:w="726" w:type="dxa"/>
                        <w:tcBorders>
                          <w:top w:val="nil" w:sz="6" w:space="0" w:color="auto"/>
                          <w:left w:val="single" w:sz="4" w:space="0" w:color="000000"/>
                          <w:bottom w:val="nil" w:sz="6" w:space="0" w:color="auto"/>
                          <w:right w:val="single" w:sz="4" w:space="0" w:color="000000"/>
                        </w:tcBorders>
                      </w:tcPr>
                      <w:p>
                        <w:pPr/>
                      </w:p>
                    </w:tc>
                    <w:tc>
                      <w:tcPr>
                        <w:tcW w:w="788" w:type="dxa"/>
                        <w:tcBorders>
                          <w:top w:val="nil" w:sz="6" w:space="0" w:color="auto"/>
                          <w:left w:val="single" w:sz="4" w:space="0" w:color="000000"/>
                          <w:bottom w:val="nil" w:sz="6" w:space="0" w:color="auto"/>
                          <w:right w:val="single" w:sz="4" w:space="0" w:color="000000"/>
                        </w:tcBorders>
                      </w:tcPr>
                      <w:p>
                        <w:pPr/>
                      </w:p>
                    </w:tc>
                    <w:tc>
                      <w:tcPr>
                        <w:tcW w:w="846" w:type="dxa"/>
                        <w:tcBorders>
                          <w:top w:val="nil" w:sz="6" w:space="0" w:color="auto"/>
                          <w:left w:val="single" w:sz="4" w:space="0" w:color="000000"/>
                          <w:bottom w:val="nil" w:sz="6" w:space="0" w:color="auto"/>
                          <w:right w:val="single" w:sz="4" w:space="0" w:color="000000"/>
                        </w:tcBorders>
                      </w:tcPr>
                      <w:p>
                        <w:pPr>
                          <w:pStyle w:val="TableParagraph"/>
                          <w:spacing w:line="153" w:lineRule="exact"/>
                          <w:ind w:right="84"/>
                          <w:jc w:val="center"/>
                          <w:rPr>
                            <w:rFonts w:ascii="宋体" w:hAnsi="宋体" w:cs="宋体" w:eastAsia="宋体" w:hint="default"/>
                            <w:sz w:val="15"/>
                            <w:szCs w:val="15"/>
                          </w:rPr>
                        </w:pPr>
                        <w:r>
                          <w:rPr>
                            <w:rFonts w:ascii="宋体" w:hAnsi="宋体" w:cs="宋体" w:eastAsia="宋体" w:hint="default"/>
                            <w:sz w:val="15"/>
                            <w:szCs w:val="15"/>
                          </w:rPr>
                          <w:t>根据市场价</w:t>
                        </w:r>
                      </w:p>
                    </w:tc>
                    <w:tc>
                      <w:tcPr>
                        <w:tcW w:w="590" w:type="dxa"/>
                        <w:tcBorders>
                          <w:top w:val="nil" w:sz="6" w:space="0" w:color="auto"/>
                          <w:left w:val="single" w:sz="4" w:space="0" w:color="000000"/>
                          <w:bottom w:val="nil" w:sz="6" w:space="0" w:color="auto"/>
                          <w:right w:val="single" w:sz="4" w:space="0" w:color="000000"/>
                        </w:tcBorders>
                      </w:tcPr>
                      <w:p>
                        <w:pPr>
                          <w:pStyle w:val="TableParagraph"/>
                          <w:spacing w:line="153" w:lineRule="exact"/>
                          <w:ind w:right="1"/>
                          <w:jc w:val="center"/>
                          <w:rPr>
                            <w:rFonts w:ascii="宋体" w:hAnsi="宋体" w:cs="宋体" w:eastAsia="宋体" w:hint="default"/>
                            <w:sz w:val="15"/>
                            <w:szCs w:val="15"/>
                          </w:rPr>
                        </w:pPr>
                        <w:r>
                          <w:rPr>
                            <w:rFonts w:ascii="宋体" w:hAnsi="宋体" w:cs="宋体" w:eastAsia="宋体" w:hint="default"/>
                            <w:sz w:val="15"/>
                            <w:szCs w:val="15"/>
                          </w:rPr>
                          <w:t>参考市</w:t>
                        </w:r>
                      </w:p>
                    </w:tc>
                    <w:tc>
                      <w:tcPr>
                        <w:tcW w:w="726" w:type="dxa"/>
                        <w:tcBorders>
                          <w:top w:val="nil" w:sz="6" w:space="0" w:color="auto"/>
                          <w:left w:val="single" w:sz="4" w:space="0" w:color="000000"/>
                          <w:bottom w:val="nil" w:sz="6" w:space="0" w:color="auto"/>
                          <w:right w:val="single" w:sz="4" w:space="0" w:color="000000"/>
                        </w:tcBorders>
                      </w:tcPr>
                      <w:p>
                        <w:pPr/>
                      </w:p>
                    </w:tc>
                    <w:tc>
                      <w:tcPr>
                        <w:tcW w:w="908" w:type="dxa"/>
                        <w:tcBorders>
                          <w:top w:val="nil" w:sz="6" w:space="0" w:color="auto"/>
                          <w:left w:val="single" w:sz="4" w:space="0" w:color="000000"/>
                          <w:bottom w:val="nil" w:sz="6" w:space="0" w:color="auto"/>
                          <w:right w:val="single" w:sz="4" w:space="0" w:color="000000"/>
                        </w:tcBorders>
                      </w:tcPr>
                      <w:p>
                        <w:pPr/>
                      </w:p>
                    </w:tc>
                    <w:tc>
                      <w:tcPr>
                        <w:tcW w:w="806" w:type="dxa"/>
                        <w:tcBorders>
                          <w:top w:val="nil" w:sz="6" w:space="0" w:color="auto"/>
                          <w:left w:val="single" w:sz="4" w:space="0" w:color="000000"/>
                          <w:bottom w:val="nil" w:sz="6" w:space="0" w:color="auto"/>
                          <w:right w:val="single" w:sz="4" w:space="0" w:color="000000"/>
                        </w:tcBorders>
                      </w:tcPr>
                      <w:p>
                        <w:pPr/>
                      </w:p>
                    </w:tc>
                    <w:tc>
                      <w:tcPr>
                        <w:tcW w:w="574" w:type="dxa"/>
                        <w:tcBorders>
                          <w:top w:val="nil" w:sz="6" w:space="0" w:color="auto"/>
                          <w:left w:val="single" w:sz="4" w:space="0" w:color="000000"/>
                          <w:bottom w:val="nil" w:sz="6" w:space="0" w:color="auto"/>
                          <w:right w:val="single" w:sz="4" w:space="0" w:color="000000"/>
                        </w:tcBorders>
                      </w:tcPr>
                      <w:p>
                        <w:pPr/>
                      </w:p>
                    </w:tc>
                    <w:tc>
                      <w:tcPr>
                        <w:tcW w:w="720" w:type="dxa"/>
                        <w:tcBorders>
                          <w:top w:val="nil" w:sz="6" w:space="0" w:color="auto"/>
                          <w:left w:val="single" w:sz="4" w:space="0" w:color="000000"/>
                          <w:bottom w:val="nil" w:sz="6" w:space="0" w:color="auto"/>
                          <w:right w:val="single" w:sz="4" w:space="0" w:color="000000"/>
                        </w:tcBorders>
                      </w:tcPr>
                      <w:p>
                        <w:pPr>
                          <w:pStyle w:val="TableParagraph"/>
                          <w:spacing w:line="153" w:lineRule="exact"/>
                          <w:ind w:right="0"/>
                          <w:jc w:val="left"/>
                          <w:rPr>
                            <w:rFonts w:ascii="宋体" w:hAnsi="宋体" w:cs="宋体" w:eastAsia="宋体" w:hint="default"/>
                            <w:sz w:val="15"/>
                            <w:szCs w:val="15"/>
                          </w:rPr>
                        </w:pPr>
                        <w:r>
                          <w:rPr>
                            <w:rFonts w:ascii="宋体" w:hAnsi="宋体" w:cs="宋体" w:eastAsia="宋体" w:hint="default"/>
                            <w:sz w:val="15"/>
                            <w:szCs w:val="15"/>
                          </w:rPr>
                          <w:t>根据合同</w:t>
                        </w:r>
                      </w:p>
                    </w:tc>
                    <w:tc>
                      <w:tcPr>
                        <w:tcW w:w="886" w:type="dxa"/>
                        <w:tcBorders>
                          <w:top w:val="nil" w:sz="6" w:space="0" w:color="auto"/>
                          <w:left w:val="single" w:sz="4" w:space="0" w:color="000000"/>
                          <w:bottom w:val="nil" w:sz="6" w:space="0" w:color="auto"/>
                          <w:right w:val="single" w:sz="4" w:space="0" w:color="000000"/>
                        </w:tcBorders>
                      </w:tcPr>
                      <w:p>
                        <w:pPr/>
                      </w:p>
                    </w:tc>
                    <w:tc>
                      <w:tcPr>
                        <w:tcW w:w="866" w:type="dxa"/>
                        <w:tcBorders>
                          <w:top w:val="nil" w:sz="6" w:space="0" w:color="auto"/>
                          <w:left w:val="single" w:sz="4" w:space="0" w:color="000000"/>
                          <w:bottom w:val="nil" w:sz="6" w:space="0" w:color="auto"/>
                          <w:right w:val="single" w:sz="4" w:space="0" w:color="000000"/>
                        </w:tcBorders>
                      </w:tcPr>
                      <w:p>
                        <w:pPr>
                          <w:pStyle w:val="TableParagraph"/>
                          <w:spacing w:line="164" w:lineRule="exact"/>
                          <w:ind w:left="-1"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2018</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年</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1</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月</w:t>
                        </w:r>
                      </w:p>
                    </w:tc>
                    <w:tc>
                      <w:tcPr>
                        <w:tcW w:w="755" w:type="dxa"/>
                        <w:tcBorders>
                          <w:top w:val="nil" w:sz="6" w:space="0" w:color="auto"/>
                          <w:left w:val="single" w:sz="4" w:space="0" w:color="000000"/>
                          <w:bottom w:val="nil" w:sz="6" w:space="0" w:color="auto"/>
                          <w:right w:val="single" w:sz="4" w:space="0" w:color="000000"/>
                        </w:tcBorders>
                      </w:tcPr>
                      <w:p>
                        <w:pPr>
                          <w:pStyle w:val="TableParagraph"/>
                          <w:spacing w:line="164" w:lineRule="exact"/>
                          <w:ind w:left="-1" w:right="-2"/>
                          <w:jc w:val="left"/>
                          <w:rPr>
                            <w:rFonts w:ascii="宋体" w:hAnsi="宋体" w:cs="宋体" w:eastAsia="宋体" w:hint="default"/>
                            <w:sz w:val="15"/>
                            <w:szCs w:val="15"/>
                          </w:rPr>
                        </w:pPr>
                        <w:r>
                          <w:rPr>
                            <w:rFonts w:ascii="Times New Roman" w:hAnsi="Times New Roman" w:cs="Times New Roman" w:eastAsia="Times New Roman" w:hint="default"/>
                            <w:sz w:val="15"/>
                            <w:szCs w:val="15"/>
                          </w:rPr>
                          <w:t>2018-010</w:t>
                        </w:r>
                        <w:r>
                          <w:rPr>
                            <w:rFonts w:ascii="Times New Roman" w:hAnsi="Times New Roman" w:cs="Times New Roman" w:eastAsia="Times New Roman" w:hint="default"/>
                            <w:spacing w:val="-20"/>
                            <w:sz w:val="15"/>
                            <w:szCs w:val="15"/>
                          </w:rPr>
                          <w:t> </w:t>
                        </w:r>
                        <w:r>
                          <w:rPr>
                            <w:rFonts w:ascii="宋体" w:hAnsi="宋体" w:cs="宋体" w:eastAsia="宋体" w:hint="default"/>
                            <w:sz w:val="15"/>
                            <w:szCs w:val="15"/>
                          </w:rPr>
                          <w:t>号</w:t>
                        </w:r>
                      </w:p>
                    </w:tc>
                  </w:tr>
                  <w:tr>
                    <w:trPr>
                      <w:trHeight w:val="155" w:hRule="exact"/>
                    </w:trPr>
                    <w:tc>
                      <w:tcPr>
                        <w:tcW w:w="1334" w:type="dxa"/>
                        <w:tcBorders>
                          <w:top w:val="nil" w:sz="6" w:space="0" w:color="auto"/>
                          <w:left w:val="single" w:sz="4" w:space="0" w:color="000000"/>
                          <w:bottom w:val="nil" w:sz="6" w:space="0" w:color="auto"/>
                          <w:right w:val="single" w:sz="4" w:space="0" w:color="000000"/>
                        </w:tcBorders>
                      </w:tcPr>
                      <w:p>
                        <w:pPr/>
                      </w:p>
                    </w:tc>
                    <w:tc>
                      <w:tcPr>
                        <w:tcW w:w="908" w:type="dxa"/>
                        <w:tcBorders>
                          <w:top w:val="nil" w:sz="6" w:space="0" w:color="auto"/>
                          <w:left w:val="single" w:sz="4" w:space="0" w:color="000000"/>
                          <w:bottom w:val="nil" w:sz="6" w:space="0" w:color="auto"/>
                          <w:right w:val="single" w:sz="4" w:space="0" w:color="000000"/>
                        </w:tcBorders>
                      </w:tcPr>
                      <w:p>
                        <w:pPr/>
                      </w:p>
                    </w:tc>
                    <w:tc>
                      <w:tcPr>
                        <w:tcW w:w="726"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1"/>
                          <w:jc w:val="center"/>
                          <w:rPr>
                            <w:rFonts w:ascii="宋体" w:hAnsi="宋体" w:cs="宋体" w:eastAsia="宋体" w:hint="default"/>
                            <w:sz w:val="15"/>
                            <w:szCs w:val="15"/>
                          </w:rPr>
                        </w:pPr>
                        <w:r>
                          <w:rPr>
                            <w:rFonts w:ascii="宋体" w:hAnsi="宋体" w:cs="宋体" w:eastAsia="宋体" w:hint="default"/>
                            <w:sz w:val="15"/>
                            <w:szCs w:val="15"/>
                          </w:rPr>
                          <w:t>销售</w:t>
                        </w:r>
                      </w:p>
                    </w:tc>
                    <w:tc>
                      <w:tcPr>
                        <w:tcW w:w="788"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0"/>
                          <w:jc w:val="left"/>
                          <w:rPr>
                            <w:rFonts w:ascii="宋体" w:hAnsi="宋体" w:cs="宋体" w:eastAsia="宋体" w:hint="default"/>
                            <w:sz w:val="15"/>
                            <w:szCs w:val="15"/>
                          </w:rPr>
                        </w:pPr>
                        <w:r>
                          <w:rPr>
                            <w:rFonts w:ascii="宋体" w:hAnsi="宋体" w:cs="宋体" w:eastAsia="宋体" w:hint="default"/>
                            <w:sz w:val="15"/>
                            <w:szCs w:val="15"/>
                          </w:rPr>
                          <w:t>配件及系统</w:t>
                        </w:r>
                      </w:p>
                    </w:tc>
                    <w:tc>
                      <w:tcPr>
                        <w:tcW w:w="846" w:type="dxa"/>
                        <w:tcBorders>
                          <w:top w:val="nil" w:sz="6" w:space="0" w:color="auto"/>
                          <w:left w:val="single" w:sz="4" w:space="0" w:color="000000"/>
                          <w:bottom w:val="nil" w:sz="6" w:space="0" w:color="auto"/>
                          <w:right w:val="single" w:sz="4" w:space="0" w:color="000000"/>
                        </w:tcBorders>
                      </w:tcPr>
                      <w:p>
                        <w:pPr/>
                      </w:p>
                    </w:tc>
                    <w:tc>
                      <w:tcPr>
                        <w:tcW w:w="590" w:type="dxa"/>
                        <w:tcBorders>
                          <w:top w:val="nil" w:sz="6" w:space="0" w:color="auto"/>
                          <w:left w:val="single" w:sz="4" w:space="0" w:color="000000"/>
                          <w:bottom w:val="nil" w:sz="6" w:space="0" w:color="auto"/>
                          <w:right w:val="single" w:sz="4" w:space="0" w:color="000000"/>
                        </w:tcBorders>
                      </w:tcPr>
                      <w:p>
                        <w:pPr/>
                      </w:p>
                    </w:tc>
                    <w:tc>
                      <w:tcPr>
                        <w:tcW w:w="726" w:type="dxa"/>
                        <w:tcBorders>
                          <w:top w:val="nil" w:sz="6" w:space="0" w:color="auto"/>
                          <w:left w:val="single" w:sz="4" w:space="0" w:color="000000"/>
                          <w:bottom w:val="nil" w:sz="6" w:space="0" w:color="auto"/>
                          <w:right w:val="single" w:sz="4" w:space="0" w:color="000000"/>
                        </w:tcBorders>
                      </w:tcPr>
                      <w:p>
                        <w:pPr>
                          <w:pStyle w:val="TableParagraph"/>
                          <w:spacing w:line="159" w:lineRule="exact"/>
                          <w:ind w:right="-2"/>
                          <w:jc w:val="right"/>
                          <w:rPr>
                            <w:rFonts w:ascii="Times New Roman" w:hAnsi="Times New Roman" w:cs="Times New Roman" w:eastAsia="Times New Roman" w:hint="default"/>
                            <w:sz w:val="15"/>
                            <w:szCs w:val="15"/>
                          </w:rPr>
                        </w:pPr>
                        <w:r>
                          <w:rPr>
                            <w:rFonts w:ascii="Times New Roman"/>
                            <w:spacing w:val="-1"/>
                            <w:sz w:val="15"/>
                          </w:rPr>
                          <w:t>689.57</w:t>
                        </w:r>
                      </w:p>
                    </w:tc>
                    <w:tc>
                      <w:tcPr>
                        <w:tcW w:w="908" w:type="dxa"/>
                        <w:tcBorders>
                          <w:top w:val="nil" w:sz="6" w:space="0" w:color="auto"/>
                          <w:left w:val="single" w:sz="4" w:space="0" w:color="000000"/>
                          <w:bottom w:val="nil" w:sz="6" w:space="0" w:color="auto"/>
                          <w:right w:val="single" w:sz="4" w:space="0" w:color="000000"/>
                        </w:tcBorders>
                      </w:tcPr>
                      <w:p>
                        <w:pPr>
                          <w:pStyle w:val="TableParagraph"/>
                          <w:spacing w:line="159" w:lineRule="exact"/>
                          <w:ind w:right="0"/>
                          <w:jc w:val="center"/>
                          <w:rPr>
                            <w:rFonts w:ascii="Times New Roman" w:hAnsi="Times New Roman" w:cs="Times New Roman" w:eastAsia="Times New Roman" w:hint="default"/>
                            <w:sz w:val="15"/>
                            <w:szCs w:val="15"/>
                          </w:rPr>
                        </w:pPr>
                        <w:r>
                          <w:rPr>
                            <w:rFonts w:ascii="Times New Roman"/>
                            <w:sz w:val="15"/>
                          </w:rPr>
                          <w:t>0.08%</w:t>
                        </w:r>
                      </w:p>
                    </w:tc>
                    <w:tc>
                      <w:tcPr>
                        <w:tcW w:w="806" w:type="dxa"/>
                        <w:tcBorders>
                          <w:top w:val="nil" w:sz="6" w:space="0" w:color="auto"/>
                          <w:left w:val="single" w:sz="4" w:space="0" w:color="000000"/>
                          <w:bottom w:val="nil" w:sz="6" w:space="0" w:color="auto"/>
                          <w:right w:val="single" w:sz="4" w:space="0" w:color="000000"/>
                        </w:tcBorders>
                      </w:tcPr>
                      <w:p>
                        <w:pPr>
                          <w:pStyle w:val="TableParagraph"/>
                          <w:spacing w:line="159" w:lineRule="exact"/>
                          <w:ind w:right="-1"/>
                          <w:jc w:val="right"/>
                          <w:rPr>
                            <w:rFonts w:ascii="Times New Roman" w:hAnsi="Times New Roman" w:cs="Times New Roman" w:eastAsia="Times New Roman" w:hint="default"/>
                            <w:sz w:val="15"/>
                            <w:szCs w:val="15"/>
                          </w:rPr>
                        </w:pPr>
                        <w:r>
                          <w:rPr>
                            <w:rFonts w:ascii="Times New Roman"/>
                            <w:spacing w:val="-1"/>
                            <w:sz w:val="15"/>
                          </w:rPr>
                          <w:t>1,000.00</w:t>
                        </w:r>
                      </w:p>
                    </w:tc>
                    <w:tc>
                      <w:tcPr>
                        <w:tcW w:w="574"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0"/>
                          <w:jc w:val="center"/>
                          <w:rPr>
                            <w:rFonts w:ascii="宋体" w:hAnsi="宋体" w:cs="宋体" w:eastAsia="宋体" w:hint="default"/>
                            <w:sz w:val="15"/>
                            <w:szCs w:val="15"/>
                          </w:rPr>
                        </w:pPr>
                        <w:r>
                          <w:rPr>
                            <w:rFonts w:ascii="宋体" w:hAnsi="宋体" w:cs="宋体" w:eastAsia="宋体" w:hint="default"/>
                            <w:sz w:val="15"/>
                            <w:szCs w:val="15"/>
                          </w:rPr>
                          <w:t>否</w:t>
                        </w:r>
                      </w:p>
                    </w:tc>
                    <w:tc>
                      <w:tcPr>
                        <w:tcW w:w="720" w:type="dxa"/>
                        <w:tcBorders>
                          <w:top w:val="nil" w:sz="6" w:space="0" w:color="auto"/>
                          <w:left w:val="single" w:sz="4" w:space="0" w:color="000000"/>
                          <w:bottom w:val="nil" w:sz="6" w:space="0" w:color="auto"/>
                          <w:right w:val="single" w:sz="4" w:space="0" w:color="000000"/>
                        </w:tcBorders>
                      </w:tcPr>
                      <w:p>
                        <w:pPr/>
                      </w:p>
                    </w:tc>
                    <w:tc>
                      <w:tcPr>
                        <w:tcW w:w="886"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0"/>
                          <w:jc w:val="center"/>
                          <w:rPr>
                            <w:rFonts w:ascii="宋体" w:hAnsi="宋体" w:cs="宋体" w:eastAsia="宋体" w:hint="default"/>
                            <w:sz w:val="15"/>
                            <w:szCs w:val="15"/>
                          </w:rPr>
                        </w:pPr>
                        <w:r>
                          <w:rPr>
                            <w:rFonts w:ascii="宋体" w:hAnsi="宋体" w:cs="宋体" w:eastAsia="宋体" w:hint="default"/>
                            <w:sz w:val="15"/>
                            <w:szCs w:val="15"/>
                          </w:rPr>
                          <w:t>市场价格</w:t>
                        </w:r>
                      </w:p>
                    </w:tc>
                    <w:tc>
                      <w:tcPr>
                        <w:tcW w:w="866" w:type="dxa"/>
                        <w:tcBorders>
                          <w:top w:val="nil" w:sz="6" w:space="0" w:color="auto"/>
                          <w:left w:val="single" w:sz="4" w:space="0" w:color="000000"/>
                          <w:bottom w:val="nil" w:sz="6" w:space="0" w:color="auto"/>
                          <w:right w:val="single" w:sz="4" w:space="0" w:color="000000"/>
                        </w:tcBorders>
                      </w:tcPr>
                      <w:p>
                        <w:pPr/>
                      </w:p>
                    </w:tc>
                    <w:tc>
                      <w:tcPr>
                        <w:tcW w:w="755" w:type="dxa"/>
                        <w:tcBorders>
                          <w:top w:val="nil" w:sz="6" w:space="0" w:color="auto"/>
                          <w:left w:val="single" w:sz="4" w:space="0" w:color="000000"/>
                          <w:bottom w:val="nil" w:sz="6" w:space="0" w:color="auto"/>
                          <w:right w:val="single" w:sz="4" w:space="0" w:color="000000"/>
                        </w:tcBorders>
                      </w:tcPr>
                      <w:p>
                        <w:pPr/>
                      </w:p>
                    </w:tc>
                  </w:tr>
                  <w:tr>
                    <w:trPr>
                      <w:trHeight w:val="157" w:hRule="exact"/>
                    </w:trPr>
                    <w:tc>
                      <w:tcPr>
                        <w:tcW w:w="1334"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0"/>
                          <w:jc w:val="left"/>
                          <w:rPr>
                            <w:rFonts w:ascii="宋体" w:hAnsi="宋体" w:cs="宋体" w:eastAsia="宋体" w:hint="default"/>
                            <w:sz w:val="15"/>
                            <w:szCs w:val="15"/>
                          </w:rPr>
                        </w:pPr>
                        <w:r>
                          <w:rPr>
                            <w:rFonts w:ascii="宋体" w:hAnsi="宋体" w:cs="宋体" w:eastAsia="宋体" w:hint="default"/>
                            <w:sz w:val="15"/>
                            <w:szCs w:val="15"/>
                          </w:rPr>
                          <w:t>显示科技有限公司</w:t>
                        </w:r>
                      </w:p>
                    </w:tc>
                    <w:tc>
                      <w:tcPr>
                        <w:tcW w:w="908"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0"/>
                          <w:jc w:val="left"/>
                          <w:rPr>
                            <w:rFonts w:ascii="宋体" w:hAnsi="宋体" w:cs="宋体" w:eastAsia="宋体" w:hint="default"/>
                            <w:sz w:val="15"/>
                            <w:szCs w:val="15"/>
                          </w:rPr>
                        </w:pPr>
                        <w:r>
                          <w:rPr>
                            <w:rFonts w:ascii="宋体" w:hAnsi="宋体" w:cs="宋体" w:eastAsia="宋体" w:hint="default"/>
                            <w:sz w:val="15"/>
                            <w:szCs w:val="15"/>
                          </w:rPr>
                          <w:t>控制方控制</w:t>
                        </w:r>
                      </w:p>
                    </w:tc>
                    <w:tc>
                      <w:tcPr>
                        <w:tcW w:w="726" w:type="dxa"/>
                        <w:tcBorders>
                          <w:top w:val="nil" w:sz="6" w:space="0" w:color="auto"/>
                          <w:left w:val="single" w:sz="4" w:space="0" w:color="000000"/>
                          <w:bottom w:val="nil" w:sz="6" w:space="0" w:color="auto"/>
                          <w:right w:val="single" w:sz="4" w:space="0" w:color="000000"/>
                        </w:tcBorders>
                      </w:tcPr>
                      <w:p>
                        <w:pPr/>
                      </w:p>
                    </w:tc>
                    <w:tc>
                      <w:tcPr>
                        <w:tcW w:w="788" w:type="dxa"/>
                        <w:tcBorders>
                          <w:top w:val="nil" w:sz="6" w:space="0" w:color="auto"/>
                          <w:left w:val="single" w:sz="4" w:space="0" w:color="000000"/>
                          <w:bottom w:val="nil" w:sz="6" w:space="0" w:color="auto"/>
                          <w:right w:val="single" w:sz="4" w:space="0" w:color="000000"/>
                        </w:tcBorders>
                      </w:tcPr>
                      <w:p>
                        <w:pPr/>
                      </w:p>
                    </w:tc>
                    <w:tc>
                      <w:tcPr>
                        <w:tcW w:w="846"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1"/>
                          <w:jc w:val="center"/>
                          <w:rPr>
                            <w:rFonts w:ascii="宋体" w:hAnsi="宋体" w:cs="宋体" w:eastAsia="宋体" w:hint="default"/>
                            <w:sz w:val="15"/>
                            <w:szCs w:val="15"/>
                          </w:rPr>
                        </w:pPr>
                        <w:r>
                          <w:rPr>
                            <w:rFonts w:ascii="宋体" w:hAnsi="宋体" w:cs="宋体" w:eastAsia="宋体" w:hint="default"/>
                            <w:sz w:val="15"/>
                            <w:szCs w:val="15"/>
                          </w:rPr>
                          <w:t>格</w:t>
                        </w:r>
                        <w:r>
                          <w:rPr>
                            <w:rFonts w:ascii="宋体" w:hAnsi="宋体" w:cs="宋体" w:eastAsia="宋体" w:hint="default"/>
                            <w:spacing w:val="-64"/>
                            <w:sz w:val="15"/>
                            <w:szCs w:val="15"/>
                          </w:rPr>
                          <w:t>，</w:t>
                        </w:r>
                        <w:r>
                          <w:rPr>
                            <w:rFonts w:ascii="宋体" w:hAnsi="宋体" w:cs="宋体" w:eastAsia="宋体" w:hint="default"/>
                            <w:sz w:val="15"/>
                            <w:szCs w:val="15"/>
                          </w:rPr>
                          <w:t>协商确定</w:t>
                        </w:r>
                      </w:p>
                    </w:tc>
                    <w:tc>
                      <w:tcPr>
                        <w:tcW w:w="590"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1"/>
                          <w:jc w:val="center"/>
                          <w:rPr>
                            <w:rFonts w:ascii="宋体" w:hAnsi="宋体" w:cs="宋体" w:eastAsia="宋体" w:hint="default"/>
                            <w:sz w:val="15"/>
                            <w:szCs w:val="15"/>
                          </w:rPr>
                        </w:pPr>
                        <w:r>
                          <w:rPr>
                            <w:rFonts w:ascii="宋体" w:hAnsi="宋体" w:cs="宋体" w:eastAsia="宋体" w:hint="default"/>
                            <w:sz w:val="15"/>
                            <w:szCs w:val="15"/>
                          </w:rPr>
                          <w:t>场价格</w:t>
                        </w:r>
                      </w:p>
                    </w:tc>
                    <w:tc>
                      <w:tcPr>
                        <w:tcW w:w="726" w:type="dxa"/>
                        <w:tcBorders>
                          <w:top w:val="nil" w:sz="6" w:space="0" w:color="auto"/>
                          <w:left w:val="single" w:sz="4" w:space="0" w:color="000000"/>
                          <w:bottom w:val="nil" w:sz="6" w:space="0" w:color="auto"/>
                          <w:right w:val="single" w:sz="4" w:space="0" w:color="000000"/>
                        </w:tcBorders>
                      </w:tcPr>
                      <w:p>
                        <w:pPr/>
                      </w:p>
                    </w:tc>
                    <w:tc>
                      <w:tcPr>
                        <w:tcW w:w="908" w:type="dxa"/>
                        <w:tcBorders>
                          <w:top w:val="nil" w:sz="6" w:space="0" w:color="auto"/>
                          <w:left w:val="single" w:sz="4" w:space="0" w:color="000000"/>
                          <w:bottom w:val="nil" w:sz="6" w:space="0" w:color="auto"/>
                          <w:right w:val="single" w:sz="4" w:space="0" w:color="000000"/>
                        </w:tcBorders>
                      </w:tcPr>
                      <w:p>
                        <w:pPr/>
                      </w:p>
                    </w:tc>
                    <w:tc>
                      <w:tcPr>
                        <w:tcW w:w="806" w:type="dxa"/>
                        <w:tcBorders>
                          <w:top w:val="nil" w:sz="6" w:space="0" w:color="auto"/>
                          <w:left w:val="single" w:sz="4" w:space="0" w:color="000000"/>
                          <w:bottom w:val="nil" w:sz="6" w:space="0" w:color="auto"/>
                          <w:right w:val="single" w:sz="4" w:space="0" w:color="000000"/>
                        </w:tcBorders>
                      </w:tcPr>
                      <w:p>
                        <w:pPr/>
                      </w:p>
                    </w:tc>
                    <w:tc>
                      <w:tcPr>
                        <w:tcW w:w="574" w:type="dxa"/>
                        <w:tcBorders>
                          <w:top w:val="nil" w:sz="6" w:space="0" w:color="auto"/>
                          <w:left w:val="single" w:sz="4" w:space="0" w:color="000000"/>
                          <w:bottom w:val="nil" w:sz="6" w:space="0" w:color="auto"/>
                          <w:right w:val="single" w:sz="4" w:space="0" w:color="000000"/>
                        </w:tcBorders>
                      </w:tcPr>
                      <w:p>
                        <w:pPr/>
                      </w:p>
                    </w:tc>
                    <w:tc>
                      <w:tcPr>
                        <w:tcW w:w="720" w:type="dxa"/>
                        <w:tcBorders>
                          <w:top w:val="nil" w:sz="6" w:space="0" w:color="auto"/>
                          <w:left w:val="single" w:sz="4" w:space="0" w:color="000000"/>
                          <w:bottom w:val="nil" w:sz="6" w:space="0" w:color="auto"/>
                          <w:right w:val="single" w:sz="4" w:space="0" w:color="000000"/>
                        </w:tcBorders>
                      </w:tcPr>
                      <w:p>
                        <w:pPr>
                          <w:pStyle w:val="TableParagraph"/>
                          <w:spacing w:line="149" w:lineRule="exact"/>
                          <w:ind w:right="0"/>
                          <w:jc w:val="left"/>
                          <w:rPr>
                            <w:rFonts w:ascii="宋体" w:hAnsi="宋体" w:cs="宋体" w:eastAsia="宋体" w:hint="default"/>
                            <w:sz w:val="15"/>
                            <w:szCs w:val="15"/>
                          </w:rPr>
                        </w:pPr>
                        <w:r>
                          <w:rPr>
                            <w:rFonts w:ascii="宋体" w:hAnsi="宋体" w:cs="宋体" w:eastAsia="宋体" w:hint="default"/>
                            <w:sz w:val="15"/>
                            <w:szCs w:val="15"/>
                          </w:rPr>
                          <w:t>约定</w:t>
                        </w:r>
                      </w:p>
                    </w:tc>
                    <w:tc>
                      <w:tcPr>
                        <w:tcW w:w="886" w:type="dxa"/>
                        <w:tcBorders>
                          <w:top w:val="nil" w:sz="6" w:space="0" w:color="auto"/>
                          <w:left w:val="single" w:sz="4" w:space="0" w:color="000000"/>
                          <w:bottom w:val="nil" w:sz="6" w:space="0" w:color="auto"/>
                          <w:right w:val="single" w:sz="4" w:space="0" w:color="000000"/>
                        </w:tcBorders>
                      </w:tcPr>
                      <w:p>
                        <w:pPr/>
                      </w:p>
                    </w:tc>
                    <w:tc>
                      <w:tcPr>
                        <w:tcW w:w="866" w:type="dxa"/>
                        <w:tcBorders>
                          <w:top w:val="nil" w:sz="6" w:space="0" w:color="auto"/>
                          <w:left w:val="single" w:sz="4" w:space="0" w:color="000000"/>
                          <w:bottom w:val="nil" w:sz="6" w:space="0" w:color="auto"/>
                          <w:right w:val="single" w:sz="4" w:space="0" w:color="000000"/>
                        </w:tcBorders>
                      </w:tcPr>
                      <w:p>
                        <w:pPr>
                          <w:pStyle w:val="TableParagraph"/>
                          <w:spacing w:line="161" w:lineRule="exact"/>
                          <w:ind w:left="-1"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22 </w:t>
                        </w:r>
                        <w:r>
                          <w:rPr>
                            <w:rFonts w:ascii="宋体" w:hAnsi="宋体" w:cs="宋体" w:eastAsia="宋体" w:hint="default"/>
                            <w:sz w:val="15"/>
                            <w:szCs w:val="15"/>
                          </w:rPr>
                          <w:t>日</w:t>
                        </w:r>
                      </w:p>
                    </w:tc>
                    <w:tc>
                      <w:tcPr>
                        <w:tcW w:w="755" w:type="dxa"/>
                        <w:tcBorders>
                          <w:top w:val="nil" w:sz="6" w:space="0" w:color="auto"/>
                          <w:left w:val="single" w:sz="4" w:space="0" w:color="000000"/>
                          <w:bottom w:val="nil" w:sz="6" w:space="0" w:color="auto"/>
                          <w:right w:val="single" w:sz="4" w:space="0" w:color="000000"/>
                        </w:tcBorders>
                      </w:tcPr>
                      <w:p>
                        <w:pPr>
                          <w:pStyle w:val="TableParagraph"/>
                          <w:spacing w:line="149" w:lineRule="exact"/>
                          <w:ind w:left="-1" w:right="0"/>
                          <w:jc w:val="left"/>
                          <w:rPr>
                            <w:rFonts w:ascii="宋体" w:hAnsi="宋体" w:cs="宋体" w:eastAsia="宋体" w:hint="default"/>
                            <w:sz w:val="15"/>
                            <w:szCs w:val="15"/>
                          </w:rPr>
                        </w:pPr>
                        <w:r>
                          <w:rPr>
                            <w:rFonts w:ascii="宋体" w:hAnsi="宋体" w:cs="宋体" w:eastAsia="宋体" w:hint="default"/>
                            <w:sz w:val="15"/>
                            <w:szCs w:val="15"/>
                          </w:rPr>
                          <w:t>公告</w:t>
                        </w:r>
                      </w:p>
                    </w:tc>
                  </w:tr>
                  <w:tr>
                    <w:trPr>
                      <w:trHeight w:val="236" w:hRule="exact"/>
                    </w:trPr>
                    <w:tc>
                      <w:tcPr>
                        <w:tcW w:w="1334" w:type="dxa"/>
                        <w:tcBorders>
                          <w:top w:val="nil" w:sz="6" w:space="0" w:color="auto"/>
                          <w:left w:val="single" w:sz="4" w:space="0" w:color="000000"/>
                          <w:bottom w:val="single" w:sz="4" w:space="0" w:color="000000"/>
                          <w:right w:val="single" w:sz="4" w:space="0" w:color="000000"/>
                        </w:tcBorders>
                      </w:tcPr>
                      <w:p>
                        <w:pPr/>
                      </w:p>
                    </w:tc>
                    <w:tc>
                      <w:tcPr>
                        <w:tcW w:w="908" w:type="dxa"/>
                        <w:tcBorders>
                          <w:top w:val="nil" w:sz="6" w:space="0" w:color="auto"/>
                          <w:left w:val="single" w:sz="4" w:space="0" w:color="000000"/>
                          <w:bottom w:val="single" w:sz="4" w:space="0" w:color="000000"/>
                          <w:right w:val="single" w:sz="4" w:space="0" w:color="000000"/>
                        </w:tcBorders>
                      </w:tcPr>
                      <w:p>
                        <w:pPr/>
                      </w:p>
                    </w:tc>
                    <w:tc>
                      <w:tcPr>
                        <w:tcW w:w="726" w:type="dxa"/>
                        <w:tcBorders>
                          <w:top w:val="nil" w:sz="6" w:space="0" w:color="auto"/>
                          <w:left w:val="single" w:sz="4" w:space="0" w:color="000000"/>
                          <w:bottom w:val="single" w:sz="4" w:space="0" w:color="000000"/>
                          <w:right w:val="single" w:sz="4" w:space="0" w:color="000000"/>
                        </w:tcBorders>
                      </w:tcPr>
                      <w:p>
                        <w:pPr/>
                      </w:p>
                    </w:tc>
                    <w:tc>
                      <w:tcPr>
                        <w:tcW w:w="788" w:type="dxa"/>
                        <w:tcBorders>
                          <w:top w:val="nil" w:sz="6" w:space="0" w:color="auto"/>
                          <w:left w:val="single" w:sz="4" w:space="0" w:color="000000"/>
                          <w:bottom w:val="single" w:sz="4" w:space="0" w:color="000000"/>
                          <w:right w:val="single" w:sz="4" w:space="0" w:color="000000"/>
                        </w:tcBorders>
                      </w:tcPr>
                      <w:p>
                        <w:pPr>
                          <w:pStyle w:val="TableParagraph"/>
                          <w:spacing w:line="149" w:lineRule="exact"/>
                          <w:ind w:right="0"/>
                          <w:jc w:val="left"/>
                          <w:rPr>
                            <w:rFonts w:ascii="宋体" w:hAnsi="宋体" w:cs="宋体" w:eastAsia="宋体" w:hint="default"/>
                            <w:sz w:val="15"/>
                            <w:szCs w:val="15"/>
                          </w:rPr>
                        </w:pPr>
                        <w:r>
                          <w:rPr>
                            <w:rFonts w:ascii="宋体" w:hAnsi="宋体" w:cs="宋体" w:eastAsia="宋体" w:hint="default"/>
                            <w:sz w:val="15"/>
                            <w:szCs w:val="15"/>
                          </w:rPr>
                          <w:t>集成</w:t>
                        </w:r>
                      </w:p>
                    </w:tc>
                    <w:tc>
                      <w:tcPr>
                        <w:tcW w:w="846" w:type="dxa"/>
                        <w:tcBorders>
                          <w:top w:val="nil" w:sz="6" w:space="0" w:color="auto"/>
                          <w:left w:val="single" w:sz="4" w:space="0" w:color="000000"/>
                          <w:bottom w:val="single" w:sz="4" w:space="0" w:color="000000"/>
                          <w:right w:val="single" w:sz="4" w:space="0" w:color="000000"/>
                        </w:tcBorders>
                      </w:tcPr>
                      <w:p>
                        <w:pPr/>
                      </w:p>
                    </w:tc>
                    <w:tc>
                      <w:tcPr>
                        <w:tcW w:w="590" w:type="dxa"/>
                        <w:tcBorders>
                          <w:top w:val="nil" w:sz="6" w:space="0" w:color="auto"/>
                          <w:left w:val="single" w:sz="4" w:space="0" w:color="000000"/>
                          <w:bottom w:val="single" w:sz="4" w:space="0" w:color="000000"/>
                          <w:right w:val="single" w:sz="4" w:space="0" w:color="000000"/>
                        </w:tcBorders>
                      </w:tcPr>
                      <w:p>
                        <w:pPr/>
                      </w:p>
                    </w:tc>
                    <w:tc>
                      <w:tcPr>
                        <w:tcW w:w="726" w:type="dxa"/>
                        <w:tcBorders>
                          <w:top w:val="nil" w:sz="6" w:space="0" w:color="auto"/>
                          <w:left w:val="single" w:sz="4" w:space="0" w:color="000000"/>
                          <w:bottom w:val="single" w:sz="4" w:space="0" w:color="000000"/>
                          <w:right w:val="single" w:sz="4" w:space="0" w:color="000000"/>
                        </w:tcBorders>
                      </w:tcPr>
                      <w:p>
                        <w:pPr/>
                      </w:p>
                    </w:tc>
                    <w:tc>
                      <w:tcPr>
                        <w:tcW w:w="908" w:type="dxa"/>
                        <w:tcBorders>
                          <w:top w:val="nil" w:sz="6" w:space="0" w:color="auto"/>
                          <w:left w:val="single" w:sz="4" w:space="0" w:color="000000"/>
                          <w:bottom w:val="single" w:sz="4" w:space="0" w:color="000000"/>
                          <w:right w:val="single" w:sz="4" w:space="0" w:color="000000"/>
                        </w:tcBorders>
                      </w:tcPr>
                      <w:p>
                        <w:pPr/>
                      </w:p>
                    </w:tc>
                    <w:tc>
                      <w:tcPr>
                        <w:tcW w:w="806" w:type="dxa"/>
                        <w:tcBorders>
                          <w:top w:val="nil" w:sz="6" w:space="0" w:color="auto"/>
                          <w:left w:val="single" w:sz="4" w:space="0" w:color="000000"/>
                          <w:bottom w:val="single" w:sz="4" w:space="0" w:color="000000"/>
                          <w:right w:val="single" w:sz="4" w:space="0" w:color="000000"/>
                        </w:tcBorders>
                      </w:tcPr>
                      <w:p>
                        <w:pPr/>
                      </w:p>
                    </w:tc>
                    <w:tc>
                      <w:tcPr>
                        <w:tcW w:w="574" w:type="dxa"/>
                        <w:tcBorders>
                          <w:top w:val="nil" w:sz="6" w:space="0" w:color="auto"/>
                          <w:left w:val="single" w:sz="4" w:space="0" w:color="000000"/>
                          <w:bottom w:val="single" w:sz="4" w:space="0" w:color="000000"/>
                          <w:right w:val="single" w:sz="4" w:space="0" w:color="000000"/>
                        </w:tcBorders>
                      </w:tcPr>
                      <w:p>
                        <w:pPr/>
                      </w:p>
                    </w:tc>
                    <w:tc>
                      <w:tcPr>
                        <w:tcW w:w="720" w:type="dxa"/>
                        <w:tcBorders>
                          <w:top w:val="nil" w:sz="6" w:space="0" w:color="auto"/>
                          <w:left w:val="single" w:sz="4" w:space="0" w:color="000000"/>
                          <w:bottom w:val="single" w:sz="4" w:space="0" w:color="000000"/>
                          <w:right w:val="single" w:sz="4" w:space="0" w:color="000000"/>
                        </w:tcBorders>
                      </w:tcPr>
                      <w:p>
                        <w:pPr/>
                      </w:p>
                    </w:tc>
                    <w:tc>
                      <w:tcPr>
                        <w:tcW w:w="886" w:type="dxa"/>
                        <w:tcBorders>
                          <w:top w:val="nil" w:sz="6" w:space="0" w:color="auto"/>
                          <w:left w:val="single" w:sz="4" w:space="0" w:color="000000"/>
                          <w:bottom w:val="single" w:sz="4" w:space="0" w:color="000000"/>
                          <w:right w:val="single" w:sz="4" w:space="0" w:color="000000"/>
                        </w:tcBorders>
                      </w:tcPr>
                      <w:p>
                        <w:pPr/>
                      </w:p>
                    </w:tc>
                    <w:tc>
                      <w:tcPr>
                        <w:tcW w:w="866" w:type="dxa"/>
                        <w:tcBorders>
                          <w:top w:val="nil" w:sz="6" w:space="0" w:color="auto"/>
                          <w:left w:val="single" w:sz="4" w:space="0" w:color="000000"/>
                          <w:bottom w:val="single" w:sz="4" w:space="0" w:color="000000"/>
                          <w:right w:val="single" w:sz="4" w:space="0" w:color="000000"/>
                        </w:tcBorders>
                      </w:tcPr>
                      <w:p>
                        <w:pPr/>
                      </w:p>
                    </w:tc>
                    <w:tc>
                      <w:tcPr>
                        <w:tcW w:w="755" w:type="dxa"/>
                        <w:tcBorders>
                          <w:top w:val="nil" w:sz="6" w:space="0" w:color="auto"/>
                          <w:left w:val="single" w:sz="4" w:space="0" w:color="000000"/>
                          <w:bottom w:val="single" w:sz="4" w:space="0" w:color="000000"/>
                          <w:right w:val="single" w:sz="4" w:space="0" w:color="000000"/>
                        </w:tcBorders>
                      </w:tcPr>
                      <w:p>
                        <w:pPr/>
                      </w:p>
                    </w:tc>
                  </w:tr>
                  <w:tr>
                    <w:trPr>
                      <w:trHeight w:val="322" w:hRule="exact"/>
                    </w:trPr>
                    <w:tc>
                      <w:tcPr>
                        <w:tcW w:w="3757" w:type="dxa"/>
                        <w:gridSpan w:val="4"/>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3"/>
                          <w:ind w:left="-1" w:right="0"/>
                          <w:jc w:val="left"/>
                          <w:rPr>
                            <w:rFonts w:ascii="宋体" w:hAnsi="宋体" w:cs="宋体" w:eastAsia="宋体" w:hint="default"/>
                            <w:sz w:val="15"/>
                            <w:szCs w:val="15"/>
                          </w:rPr>
                        </w:pPr>
                        <w:r>
                          <w:rPr>
                            <w:rFonts w:ascii="宋体" w:hAnsi="宋体" w:cs="宋体" w:eastAsia="宋体" w:hint="default"/>
                            <w:sz w:val="15"/>
                            <w:szCs w:val="15"/>
                          </w:rPr>
                          <w:t>合计</w:t>
                        </w:r>
                      </w:p>
                    </w:tc>
                    <w:tc>
                      <w:tcPr>
                        <w:tcW w:w="84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67"/>
                          <w:ind w:left="1" w:right="0"/>
                          <w:jc w:val="center"/>
                          <w:rPr>
                            <w:rFonts w:ascii="Times New Roman" w:hAnsi="Times New Roman" w:cs="Times New Roman" w:eastAsia="Times New Roman" w:hint="default"/>
                            <w:sz w:val="15"/>
                            <w:szCs w:val="15"/>
                          </w:rPr>
                        </w:pPr>
                        <w:r>
                          <w:rPr>
                            <w:rFonts w:ascii="Times New Roman"/>
                            <w:sz w:val="15"/>
                          </w:rPr>
                          <w:t>--</w:t>
                        </w:r>
                      </w:p>
                    </w:tc>
                    <w:tc>
                      <w:tcPr>
                        <w:tcW w:w="5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67"/>
                          <w:ind w:right="0"/>
                          <w:jc w:val="center"/>
                          <w:rPr>
                            <w:rFonts w:ascii="Times New Roman" w:hAnsi="Times New Roman" w:cs="Times New Roman" w:eastAsia="Times New Roman" w:hint="default"/>
                            <w:sz w:val="15"/>
                            <w:szCs w:val="15"/>
                          </w:rPr>
                        </w:pPr>
                        <w:r>
                          <w:rPr>
                            <w:rFonts w:ascii="Times New Roman"/>
                            <w:sz w:val="15"/>
                          </w:rPr>
                          <w:t>--</w:t>
                        </w: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2"/>
                          <w:jc w:val="right"/>
                          <w:rPr>
                            <w:rFonts w:ascii="Times New Roman" w:hAnsi="Times New Roman" w:cs="Times New Roman" w:eastAsia="Times New Roman" w:hint="default"/>
                            <w:sz w:val="15"/>
                            <w:szCs w:val="15"/>
                          </w:rPr>
                        </w:pPr>
                        <w:r>
                          <w:rPr>
                            <w:rFonts w:ascii="Times New Roman"/>
                            <w:spacing w:val="-1"/>
                            <w:sz w:val="15"/>
                          </w:rPr>
                          <w:t>86,132.31</w:t>
                        </w:r>
                      </w:p>
                    </w:tc>
                    <w:tc>
                      <w:tcPr>
                        <w:tcW w:w="90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67"/>
                          <w:ind w:right="1"/>
                          <w:jc w:val="center"/>
                          <w:rPr>
                            <w:rFonts w:ascii="Times New Roman" w:hAnsi="Times New Roman" w:cs="Times New Roman" w:eastAsia="Times New Roman" w:hint="default"/>
                            <w:sz w:val="15"/>
                            <w:szCs w:val="15"/>
                          </w:rPr>
                        </w:pPr>
                        <w:r>
                          <w:rPr>
                            <w:rFonts w:ascii="Times New Roman"/>
                            <w:sz w:val="15"/>
                          </w:rPr>
                          <w:t>--</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1"/>
                          <w:jc w:val="right"/>
                          <w:rPr>
                            <w:rFonts w:ascii="Times New Roman" w:hAnsi="Times New Roman" w:cs="Times New Roman" w:eastAsia="Times New Roman" w:hint="default"/>
                            <w:sz w:val="15"/>
                            <w:szCs w:val="15"/>
                          </w:rPr>
                        </w:pPr>
                        <w:r>
                          <w:rPr>
                            <w:rFonts w:ascii="Times New Roman"/>
                            <w:spacing w:val="-1"/>
                            <w:sz w:val="15"/>
                          </w:rPr>
                          <w:t>125,880.18</w:t>
                        </w:r>
                      </w:p>
                    </w:tc>
                    <w:tc>
                      <w:tcPr>
                        <w:tcW w:w="57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67"/>
                          <w:ind w:left="2" w:right="0"/>
                          <w:jc w:val="center"/>
                          <w:rPr>
                            <w:rFonts w:ascii="Times New Roman" w:hAnsi="Times New Roman" w:cs="Times New Roman" w:eastAsia="Times New Roman" w:hint="default"/>
                            <w:sz w:val="15"/>
                            <w:szCs w:val="15"/>
                          </w:rPr>
                        </w:pPr>
                        <w:r>
                          <w:rPr>
                            <w:rFonts w:ascii="Times New Roman"/>
                            <w:sz w:val="15"/>
                          </w:rPr>
                          <w:t>--</w:t>
                        </w:r>
                      </w:p>
                    </w:tc>
                    <w:tc>
                      <w:tcPr>
                        <w:tcW w:w="72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67"/>
                          <w:ind w:right="0"/>
                          <w:jc w:val="center"/>
                          <w:rPr>
                            <w:rFonts w:ascii="Times New Roman" w:hAnsi="Times New Roman" w:cs="Times New Roman" w:eastAsia="Times New Roman" w:hint="default"/>
                            <w:sz w:val="15"/>
                            <w:szCs w:val="15"/>
                          </w:rPr>
                        </w:pPr>
                        <w:r>
                          <w:rPr>
                            <w:rFonts w:ascii="Times New Roman"/>
                            <w:sz w:val="15"/>
                          </w:rPr>
                          <w:t>--</w:t>
                        </w:r>
                      </w:p>
                    </w:tc>
                    <w:tc>
                      <w:tcPr>
                        <w:tcW w:w="88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67"/>
                          <w:ind w:right="0"/>
                          <w:jc w:val="center"/>
                          <w:rPr>
                            <w:rFonts w:ascii="Times New Roman" w:hAnsi="Times New Roman" w:cs="Times New Roman" w:eastAsia="Times New Roman" w:hint="default"/>
                            <w:sz w:val="15"/>
                            <w:szCs w:val="15"/>
                          </w:rPr>
                        </w:pPr>
                        <w:r>
                          <w:rPr>
                            <w:rFonts w:ascii="Times New Roman"/>
                            <w:sz w:val="15"/>
                          </w:rPr>
                          <w:t>--</w:t>
                        </w:r>
                      </w:p>
                    </w:tc>
                    <w:tc>
                      <w:tcPr>
                        <w:tcW w:w="86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67"/>
                          <w:ind w:right="0"/>
                          <w:jc w:val="center"/>
                          <w:rPr>
                            <w:rFonts w:ascii="Times New Roman" w:hAnsi="Times New Roman" w:cs="Times New Roman" w:eastAsia="Times New Roman" w:hint="default"/>
                            <w:sz w:val="15"/>
                            <w:szCs w:val="15"/>
                          </w:rPr>
                        </w:pPr>
                        <w:r>
                          <w:rPr>
                            <w:rFonts w:ascii="Times New Roman"/>
                            <w:sz w:val="15"/>
                          </w:rPr>
                          <w:t>--</w:t>
                        </w:r>
                      </w:p>
                    </w:tc>
                    <w:tc>
                      <w:tcPr>
                        <w:tcW w:w="75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67"/>
                          <w:ind w:left="1" w:right="0"/>
                          <w:jc w:val="center"/>
                          <w:rPr>
                            <w:rFonts w:ascii="Times New Roman" w:hAnsi="Times New Roman" w:cs="Times New Roman" w:eastAsia="Times New Roman" w:hint="default"/>
                            <w:sz w:val="15"/>
                            <w:szCs w:val="15"/>
                          </w:rPr>
                        </w:pPr>
                        <w:r>
                          <w:rPr>
                            <w:rFonts w:ascii="Times New Roman"/>
                            <w:sz w:val="15"/>
                          </w:rPr>
                          <w:t>--</w:t>
                        </w:r>
                      </w:p>
                    </w:tc>
                  </w:tr>
                  <w:tr>
                    <w:trPr>
                      <w:trHeight w:val="322" w:hRule="exact"/>
                    </w:trPr>
                    <w:tc>
                      <w:tcPr>
                        <w:tcW w:w="3757" w:type="dxa"/>
                        <w:gridSpan w:val="4"/>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3"/>
                          <w:ind w:left="-1" w:right="0"/>
                          <w:jc w:val="left"/>
                          <w:rPr>
                            <w:rFonts w:ascii="宋体" w:hAnsi="宋体" w:cs="宋体" w:eastAsia="宋体" w:hint="default"/>
                            <w:sz w:val="15"/>
                            <w:szCs w:val="15"/>
                          </w:rPr>
                        </w:pPr>
                        <w:r>
                          <w:rPr>
                            <w:rFonts w:ascii="宋体" w:hAnsi="宋体" w:cs="宋体" w:eastAsia="宋体" w:hint="default"/>
                            <w:sz w:val="15"/>
                            <w:szCs w:val="15"/>
                          </w:rPr>
                          <w:t>大额销货退回的详细情况</w:t>
                        </w:r>
                      </w:p>
                    </w:tc>
                    <w:tc>
                      <w:tcPr>
                        <w:tcW w:w="7678"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00" w:right="0"/>
                          <w:jc w:val="left"/>
                          <w:rPr>
                            <w:rFonts w:ascii="宋体" w:hAnsi="宋体" w:cs="宋体" w:eastAsia="宋体" w:hint="default"/>
                            <w:sz w:val="15"/>
                            <w:szCs w:val="15"/>
                          </w:rPr>
                        </w:pPr>
                        <w:r>
                          <w:rPr>
                            <w:rFonts w:ascii="宋体" w:hAnsi="宋体" w:cs="宋体" w:eastAsia="宋体" w:hint="default"/>
                            <w:sz w:val="15"/>
                            <w:szCs w:val="15"/>
                          </w:rPr>
                          <w:t>无。</w:t>
                        </w:r>
                      </w:p>
                    </w:tc>
                  </w:tr>
                  <w:tr>
                    <w:trPr>
                      <w:trHeight w:val="321" w:hRule="exact"/>
                    </w:trPr>
                    <w:tc>
                      <w:tcPr>
                        <w:tcW w:w="3757" w:type="dxa"/>
                        <w:gridSpan w:val="4"/>
                        <w:tcBorders>
                          <w:top w:val="single" w:sz="4" w:space="0" w:color="000000"/>
                          <w:left w:val="single" w:sz="4" w:space="0" w:color="000000"/>
                          <w:bottom w:val="nil" w:sz="6" w:space="0" w:color="auto"/>
                          <w:right w:val="single" w:sz="4" w:space="0" w:color="000000"/>
                        </w:tcBorders>
                        <w:shd w:val="clear" w:color="auto" w:fill="D3D3D3"/>
                      </w:tcPr>
                      <w:p>
                        <w:pPr/>
                      </w:p>
                    </w:tc>
                    <w:tc>
                      <w:tcPr>
                        <w:tcW w:w="7678" w:type="dxa"/>
                        <w:gridSpan w:val="10"/>
                        <w:tcBorders>
                          <w:top w:val="single" w:sz="4" w:space="0" w:color="000000"/>
                          <w:left w:val="single" w:sz="4" w:space="0" w:color="000000"/>
                          <w:bottom w:val="nil" w:sz="6" w:space="0" w:color="auto"/>
                          <w:right w:val="single" w:sz="4" w:space="0" w:color="000000"/>
                        </w:tcBorders>
                      </w:tcPr>
                      <w:p>
                        <w:pPr>
                          <w:pStyle w:val="TableParagraph"/>
                          <w:spacing w:line="240" w:lineRule="auto" w:before="34"/>
                          <w:ind w:left="300" w:right="-1"/>
                          <w:jc w:val="left"/>
                          <w:rPr>
                            <w:rFonts w:ascii="宋体" w:hAnsi="宋体" w:cs="宋体" w:eastAsia="宋体" w:hint="default"/>
                            <w:sz w:val="15"/>
                            <w:szCs w:val="15"/>
                          </w:rPr>
                        </w:pPr>
                        <w:r>
                          <w:rPr>
                            <w:rFonts w:ascii="宋体" w:hAnsi="宋体" w:cs="宋体" w:eastAsia="宋体" w:hint="default"/>
                            <w:spacing w:val="-5"/>
                            <w:sz w:val="15"/>
                            <w:szCs w:val="15"/>
                          </w:rPr>
                          <w:t>（</w:t>
                        </w:r>
                        <w:r>
                          <w:rPr>
                            <w:rFonts w:ascii="Times New Roman" w:hAnsi="Times New Roman" w:cs="Times New Roman" w:eastAsia="Times New Roman" w:hint="default"/>
                            <w:spacing w:val="-5"/>
                            <w:sz w:val="15"/>
                            <w:szCs w:val="15"/>
                          </w:rPr>
                          <w:t>1</w:t>
                        </w:r>
                        <w:r>
                          <w:rPr>
                            <w:rFonts w:ascii="宋体" w:hAnsi="宋体" w:cs="宋体" w:eastAsia="宋体" w:hint="default"/>
                            <w:spacing w:val="-5"/>
                            <w:sz w:val="15"/>
                            <w:szCs w:val="15"/>
                          </w:rPr>
                          <w:t>）经</w:t>
                        </w:r>
                        <w:r>
                          <w:rPr>
                            <w:rFonts w:ascii="宋体" w:hAnsi="宋体" w:cs="宋体" w:eastAsia="宋体" w:hint="default"/>
                            <w:spacing w:val="-40"/>
                            <w:sz w:val="15"/>
                            <w:szCs w:val="15"/>
                          </w:rPr>
                          <w:t> </w:t>
                        </w:r>
                        <w:r>
                          <w:rPr>
                            <w:rFonts w:ascii="Times New Roman" w:hAnsi="Times New Roman" w:cs="Times New Roman" w:eastAsia="Times New Roman" w:hint="default"/>
                            <w:sz w:val="15"/>
                            <w:szCs w:val="15"/>
                          </w:rPr>
                          <w:t>2017</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年</w:t>
                        </w:r>
                        <w:r>
                          <w:rPr>
                            <w:rFonts w:ascii="宋体" w:hAnsi="宋体" w:cs="宋体" w:eastAsia="宋体" w:hint="default"/>
                            <w:spacing w:val="-40"/>
                            <w:sz w:val="15"/>
                            <w:szCs w:val="15"/>
                          </w:rPr>
                          <w:t> </w:t>
                        </w:r>
                        <w:r>
                          <w:rPr>
                            <w:rFonts w:ascii="Times New Roman" w:hAnsi="Times New Roman" w:cs="Times New Roman" w:eastAsia="Times New Roman" w:hint="default"/>
                            <w:sz w:val="15"/>
                            <w:szCs w:val="15"/>
                          </w:rPr>
                          <w:t>12</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月</w:t>
                        </w:r>
                        <w:r>
                          <w:rPr>
                            <w:rFonts w:ascii="宋体" w:hAnsi="宋体" w:cs="宋体" w:eastAsia="宋体" w:hint="default"/>
                            <w:spacing w:val="-40"/>
                            <w:sz w:val="15"/>
                            <w:szCs w:val="15"/>
                          </w:rPr>
                          <w:t> </w:t>
                        </w:r>
                        <w:r>
                          <w:rPr>
                            <w:rFonts w:ascii="Times New Roman" w:hAnsi="Times New Roman" w:cs="Times New Roman" w:eastAsia="Times New Roman" w:hint="default"/>
                            <w:sz w:val="15"/>
                            <w:szCs w:val="15"/>
                          </w:rPr>
                          <w:t>18</w:t>
                        </w:r>
                        <w:r>
                          <w:rPr>
                            <w:rFonts w:ascii="Times New Roman" w:hAnsi="Times New Roman" w:cs="Times New Roman" w:eastAsia="Times New Roman" w:hint="default"/>
                            <w:spacing w:val="-2"/>
                            <w:sz w:val="15"/>
                            <w:szCs w:val="15"/>
                          </w:rPr>
                          <w:t> </w:t>
                        </w:r>
                        <w:r>
                          <w:rPr>
                            <w:rFonts w:ascii="宋体" w:hAnsi="宋体" w:cs="宋体" w:eastAsia="宋体" w:hint="default"/>
                            <w:spacing w:val="-4"/>
                            <w:sz w:val="15"/>
                            <w:szCs w:val="15"/>
                          </w:rPr>
                          <w:t>日、</w:t>
                        </w:r>
                        <w:r>
                          <w:rPr>
                            <w:rFonts w:ascii="Times New Roman" w:hAnsi="Times New Roman" w:cs="Times New Roman" w:eastAsia="Times New Roman" w:hint="default"/>
                            <w:spacing w:val="-4"/>
                            <w:sz w:val="15"/>
                            <w:szCs w:val="15"/>
                          </w:rPr>
                          <w:t>2018</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年</w:t>
                        </w:r>
                        <w:r>
                          <w:rPr>
                            <w:rFonts w:ascii="宋体" w:hAnsi="宋体" w:cs="宋体" w:eastAsia="宋体" w:hint="default"/>
                            <w:spacing w:val="-40"/>
                            <w:sz w:val="15"/>
                            <w:szCs w:val="15"/>
                          </w:rPr>
                          <w:t> </w:t>
                        </w:r>
                        <w:r>
                          <w:rPr>
                            <w:rFonts w:ascii="Times New Roman" w:hAnsi="Times New Roman" w:cs="Times New Roman" w:eastAsia="Times New Roman" w:hint="default"/>
                            <w:sz w:val="15"/>
                            <w:szCs w:val="15"/>
                          </w:rPr>
                          <w:t>1</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月</w:t>
                        </w:r>
                        <w:r>
                          <w:rPr>
                            <w:rFonts w:ascii="宋体" w:hAnsi="宋体" w:cs="宋体" w:eastAsia="宋体" w:hint="default"/>
                            <w:spacing w:val="-40"/>
                            <w:sz w:val="15"/>
                            <w:szCs w:val="15"/>
                          </w:rPr>
                          <w:t> </w:t>
                        </w:r>
                        <w:r>
                          <w:rPr>
                            <w:rFonts w:ascii="Times New Roman" w:hAnsi="Times New Roman" w:cs="Times New Roman" w:eastAsia="Times New Roman" w:hint="default"/>
                            <w:sz w:val="15"/>
                            <w:szCs w:val="15"/>
                          </w:rPr>
                          <w:t>19</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日公司第六届董事会、</w:t>
                        </w:r>
                        <w:r>
                          <w:rPr>
                            <w:rFonts w:ascii="Times New Roman" w:hAnsi="Times New Roman" w:cs="Times New Roman" w:eastAsia="Times New Roman" w:hint="default"/>
                            <w:sz w:val="15"/>
                            <w:szCs w:val="15"/>
                          </w:rPr>
                          <w:t>2018</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年</w:t>
                        </w:r>
                        <w:r>
                          <w:rPr>
                            <w:rFonts w:ascii="宋体" w:hAnsi="宋体" w:cs="宋体" w:eastAsia="宋体" w:hint="default"/>
                            <w:spacing w:val="-40"/>
                            <w:sz w:val="15"/>
                            <w:szCs w:val="15"/>
                          </w:rPr>
                          <w:t> </w:t>
                        </w:r>
                        <w:r>
                          <w:rPr>
                            <w:rFonts w:ascii="Times New Roman" w:hAnsi="Times New Roman" w:cs="Times New Roman" w:eastAsia="Times New Roman" w:hint="default"/>
                            <w:sz w:val="15"/>
                            <w:szCs w:val="15"/>
                          </w:rPr>
                          <w:t>4</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月</w:t>
                        </w:r>
                        <w:r>
                          <w:rPr>
                            <w:rFonts w:ascii="宋体" w:hAnsi="宋体" w:cs="宋体" w:eastAsia="宋体" w:hint="default"/>
                            <w:spacing w:val="-40"/>
                            <w:sz w:val="15"/>
                            <w:szCs w:val="15"/>
                          </w:rPr>
                          <w:t> </w:t>
                        </w:r>
                        <w:r>
                          <w:rPr>
                            <w:rFonts w:ascii="Times New Roman" w:hAnsi="Times New Roman" w:cs="Times New Roman" w:eastAsia="Times New Roman" w:hint="default"/>
                            <w:sz w:val="15"/>
                            <w:szCs w:val="15"/>
                          </w:rPr>
                          <w:t>26</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日公司第七届董事会第二次会</w:t>
                        </w:r>
                      </w:p>
                    </w:tc>
                  </w:tr>
                  <w:tr>
                    <w:trPr>
                      <w:trHeight w:val="312" w:hRule="exact"/>
                    </w:trPr>
                    <w:tc>
                      <w:tcPr>
                        <w:tcW w:w="3757" w:type="dxa"/>
                        <w:gridSpan w:val="4"/>
                        <w:tcBorders>
                          <w:top w:val="nil" w:sz="6" w:space="0" w:color="auto"/>
                          <w:left w:val="single" w:sz="4" w:space="0" w:color="000000"/>
                          <w:bottom w:val="nil" w:sz="6" w:space="0" w:color="auto"/>
                          <w:right w:val="single" w:sz="4" w:space="0" w:color="000000"/>
                        </w:tcBorders>
                        <w:shd w:val="clear" w:color="auto" w:fill="D3D3D3"/>
                      </w:tcPr>
                      <w:p>
                        <w:pPr/>
                      </w:p>
                    </w:tc>
                    <w:tc>
                      <w:tcPr>
                        <w:tcW w:w="7678" w:type="dxa"/>
                        <w:gridSpan w:val="10"/>
                        <w:tcBorders>
                          <w:top w:val="nil" w:sz="6" w:space="0" w:color="auto"/>
                          <w:left w:val="single" w:sz="4" w:space="0" w:color="000000"/>
                          <w:bottom w:val="nil" w:sz="6" w:space="0" w:color="auto"/>
                          <w:right w:val="single" w:sz="4" w:space="0" w:color="000000"/>
                        </w:tcBorders>
                      </w:tcPr>
                      <w:p>
                        <w:pPr>
                          <w:pStyle w:val="TableParagraph"/>
                          <w:spacing w:line="240" w:lineRule="auto" w:before="30"/>
                          <w:ind w:right="0"/>
                          <w:jc w:val="left"/>
                          <w:rPr>
                            <w:rFonts w:ascii="Times New Roman" w:hAnsi="Times New Roman" w:cs="Times New Roman" w:eastAsia="Times New Roman" w:hint="default"/>
                            <w:sz w:val="15"/>
                            <w:szCs w:val="15"/>
                          </w:rPr>
                        </w:pPr>
                        <w:r>
                          <w:rPr>
                            <w:rFonts w:ascii="宋体" w:hAnsi="宋体" w:cs="宋体" w:eastAsia="宋体" w:hint="default"/>
                            <w:spacing w:val="-4"/>
                            <w:sz w:val="15"/>
                            <w:szCs w:val="15"/>
                          </w:rPr>
                          <w:t>议、</w:t>
                        </w:r>
                        <w:r>
                          <w:rPr>
                            <w:rFonts w:ascii="Times New Roman" w:hAnsi="Times New Roman" w:cs="Times New Roman" w:eastAsia="Times New Roman" w:hint="default"/>
                            <w:spacing w:val="-4"/>
                            <w:sz w:val="15"/>
                            <w:szCs w:val="15"/>
                          </w:rPr>
                          <w:t>2018 </w:t>
                        </w:r>
                        <w:r>
                          <w:rPr>
                            <w:rFonts w:ascii="宋体" w:hAnsi="宋体" w:cs="宋体" w:eastAsia="宋体" w:hint="default"/>
                            <w:sz w:val="15"/>
                            <w:szCs w:val="15"/>
                          </w:rPr>
                          <w:t>年</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8</w:t>
                        </w:r>
                        <w:r>
                          <w:rPr>
                            <w:rFonts w:ascii="Times New Roman" w:hAnsi="Times New Roman" w:cs="Times New Roman" w:eastAsia="Times New Roman" w:hint="default"/>
                            <w:spacing w:val="-4"/>
                            <w:sz w:val="15"/>
                            <w:szCs w:val="15"/>
                          </w:rPr>
                          <w:t> </w:t>
                        </w:r>
                        <w:r>
                          <w:rPr>
                            <w:rFonts w:ascii="宋体" w:hAnsi="宋体" w:cs="宋体" w:eastAsia="宋体" w:hint="default"/>
                            <w:sz w:val="15"/>
                            <w:szCs w:val="15"/>
                          </w:rPr>
                          <w:t>月</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29</w:t>
                        </w:r>
                        <w:r>
                          <w:rPr>
                            <w:rFonts w:ascii="Times New Roman" w:hAnsi="Times New Roman" w:cs="Times New Roman" w:eastAsia="Times New Roman" w:hint="default"/>
                            <w:spacing w:val="-4"/>
                            <w:sz w:val="15"/>
                            <w:szCs w:val="15"/>
                          </w:rPr>
                          <w:t> </w:t>
                        </w:r>
                        <w:r>
                          <w:rPr>
                            <w:rFonts w:ascii="宋体" w:hAnsi="宋体" w:cs="宋体" w:eastAsia="宋体" w:hint="default"/>
                            <w:sz w:val="15"/>
                            <w:szCs w:val="15"/>
                          </w:rPr>
                          <w:t>日公司第七届董事会第五次会议、</w:t>
                        </w:r>
                        <w:r>
                          <w:rPr>
                            <w:rFonts w:ascii="Times New Roman" w:hAnsi="Times New Roman" w:cs="Times New Roman" w:eastAsia="Times New Roman" w:hint="default"/>
                            <w:sz w:val="15"/>
                            <w:szCs w:val="15"/>
                          </w:rPr>
                          <w:t>2018</w:t>
                        </w:r>
                        <w:r>
                          <w:rPr>
                            <w:rFonts w:ascii="Times New Roman" w:hAnsi="Times New Roman" w:cs="Times New Roman" w:eastAsia="Times New Roman" w:hint="default"/>
                            <w:spacing w:val="-4"/>
                            <w:sz w:val="15"/>
                            <w:szCs w:val="15"/>
                          </w:rPr>
                          <w:t> </w:t>
                        </w:r>
                        <w:r>
                          <w:rPr>
                            <w:rFonts w:ascii="宋体" w:hAnsi="宋体" w:cs="宋体" w:eastAsia="宋体" w:hint="default"/>
                            <w:sz w:val="15"/>
                            <w:szCs w:val="15"/>
                          </w:rPr>
                          <w:t>年</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2</w:t>
                        </w:r>
                        <w:r>
                          <w:rPr>
                            <w:rFonts w:ascii="Times New Roman" w:hAnsi="Times New Roman" w:cs="Times New Roman" w:eastAsia="Times New Roman" w:hint="default"/>
                            <w:spacing w:val="-4"/>
                            <w:sz w:val="15"/>
                            <w:szCs w:val="15"/>
                          </w:rPr>
                          <w:t> </w:t>
                        </w:r>
                        <w:r>
                          <w:rPr>
                            <w:rFonts w:ascii="宋体" w:hAnsi="宋体" w:cs="宋体" w:eastAsia="宋体" w:hint="default"/>
                            <w:sz w:val="15"/>
                            <w:szCs w:val="15"/>
                          </w:rPr>
                          <w:t>月</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7</w:t>
                        </w:r>
                        <w:r>
                          <w:rPr>
                            <w:rFonts w:ascii="Times New Roman" w:hAnsi="Times New Roman" w:cs="Times New Roman" w:eastAsia="Times New Roman" w:hint="default"/>
                            <w:spacing w:val="-4"/>
                            <w:sz w:val="15"/>
                            <w:szCs w:val="15"/>
                          </w:rPr>
                          <w:t> </w:t>
                        </w:r>
                        <w:r>
                          <w:rPr>
                            <w:rFonts w:ascii="宋体" w:hAnsi="宋体" w:cs="宋体" w:eastAsia="宋体" w:hint="default"/>
                            <w:sz w:val="15"/>
                            <w:szCs w:val="15"/>
                          </w:rPr>
                          <w:t>日公司</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2018</w:t>
                        </w:r>
                        <w:r>
                          <w:rPr>
                            <w:rFonts w:ascii="Times New Roman" w:hAnsi="Times New Roman" w:cs="Times New Roman" w:eastAsia="Times New Roman" w:hint="default"/>
                            <w:spacing w:val="-4"/>
                            <w:sz w:val="15"/>
                            <w:szCs w:val="15"/>
                          </w:rPr>
                          <w:t> </w:t>
                        </w:r>
                        <w:r>
                          <w:rPr>
                            <w:rFonts w:ascii="宋体" w:hAnsi="宋体" w:cs="宋体" w:eastAsia="宋体" w:hint="default"/>
                            <w:sz w:val="15"/>
                            <w:szCs w:val="15"/>
                          </w:rPr>
                          <w:t>年度第三次临时股东大会、</w:t>
                        </w:r>
                        <w:r>
                          <w:rPr>
                            <w:rFonts w:ascii="Times New Roman" w:hAnsi="Times New Roman" w:cs="Times New Roman" w:eastAsia="Times New Roman" w:hint="default"/>
                            <w:sz w:val="15"/>
                            <w:szCs w:val="15"/>
                          </w:rPr>
                          <w:t>2018</w:t>
                        </w:r>
                        <w:r>
                          <w:rPr>
                            <w:rFonts w:ascii="Times New Roman" w:hAnsi="Times New Roman" w:cs="Times New Roman" w:eastAsia="Times New Roman" w:hint="default"/>
                            <w:spacing w:val="-4"/>
                            <w:sz w:val="15"/>
                            <w:szCs w:val="15"/>
                          </w:rPr>
                          <w:t> </w:t>
                        </w:r>
                        <w:r>
                          <w:rPr>
                            <w:rFonts w:ascii="宋体" w:hAnsi="宋体" w:cs="宋体" w:eastAsia="宋体" w:hint="default"/>
                            <w:sz w:val="15"/>
                            <w:szCs w:val="15"/>
                          </w:rPr>
                          <w:t>年</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5</w:t>
                        </w:r>
                      </w:p>
                    </w:tc>
                  </w:tr>
                  <w:tr>
                    <w:trPr>
                      <w:trHeight w:val="312" w:hRule="exact"/>
                    </w:trPr>
                    <w:tc>
                      <w:tcPr>
                        <w:tcW w:w="3757" w:type="dxa"/>
                        <w:gridSpan w:val="4"/>
                        <w:tcBorders>
                          <w:top w:val="nil" w:sz="6" w:space="0" w:color="auto"/>
                          <w:left w:val="single" w:sz="4" w:space="0" w:color="000000"/>
                          <w:bottom w:val="nil" w:sz="6" w:space="0" w:color="auto"/>
                          <w:right w:val="single" w:sz="4" w:space="0" w:color="000000"/>
                        </w:tcBorders>
                        <w:shd w:val="clear" w:color="auto" w:fill="D3D3D3"/>
                      </w:tcPr>
                      <w:p>
                        <w:pPr/>
                      </w:p>
                    </w:tc>
                    <w:tc>
                      <w:tcPr>
                        <w:tcW w:w="7678" w:type="dxa"/>
                        <w:gridSpan w:val="10"/>
                        <w:tcBorders>
                          <w:top w:val="nil" w:sz="6" w:space="0" w:color="auto"/>
                          <w:left w:val="single" w:sz="4" w:space="0" w:color="000000"/>
                          <w:bottom w:val="nil" w:sz="6" w:space="0" w:color="auto"/>
                          <w:right w:val="single" w:sz="4" w:space="0" w:color="000000"/>
                        </w:tcBorders>
                      </w:tcPr>
                      <w:p>
                        <w:pPr>
                          <w:pStyle w:val="TableParagraph"/>
                          <w:spacing w:line="240" w:lineRule="auto" w:before="30"/>
                          <w:ind w:right="-1"/>
                          <w:jc w:val="left"/>
                          <w:rPr>
                            <w:rFonts w:ascii="宋体" w:hAnsi="宋体" w:cs="宋体" w:eastAsia="宋体" w:hint="default"/>
                            <w:sz w:val="15"/>
                            <w:szCs w:val="15"/>
                          </w:rPr>
                        </w:pPr>
                        <w:r>
                          <w:rPr>
                            <w:rFonts w:ascii="宋体" w:hAnsi="宋体" w:cs="宋体" w:eastAsia="宋体" w:hint="default"/>
                            <w:sz w:val="15"/>
                            <w:szCs w:val="15"/>
                          </w:rPr>
                          <w:t>月</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29</w:t>
                        </w:r>
                        <w:r>
                          <w:rPr>
                            <w:rFonts w:ascii="Times New Roman" w:hAnsi="Times New Roman" w:cs="Times New Roman" w:eastAsia="Times New Roman" w:hint="default"/>
                            <w:spacing w:val="-4"/>
                            <w:sz w:val="15"/>
                            <w:szCs w:val="15"/>
                          </w:rPr>
                          <w:t> </w:t>
                        </w:r>
                        <w:r>
                          <w:rPr>
                            <w:rFonts w:ascii="宋体" w:hAnsi="宋体" w:cs="宋体" w:eastAsia="宋体" w:hint="default"/>
                            <w:sz w:val="15"/>
                            <w:szCs w:val="15"/>
                          </w:rPr>
                          <w:t>日公司</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2017</w:t>
                        </w:r>
                        <w:r>
                          <w:rPr>
                            <w:rFonts w:ascii="Times New Roman" w:hAnsi="Times New Roman" w:cs="Times New Roman" w:eastAsia="Times New Roman" w:hint="default"/>
                            <w:spacing w:val="-5"/>
                            <w:sz w:val="15"/>
                            <w:szCs w:val="15"/>
                          </w:rPr>
                          <w:t> </w:t>
                        </w:r>
                        <w:r>
                          <w:rPr>
                            <w:rFonts w:ascii="宋体" w:hAnsi="宋体" w:cs="宋体" w:eastAsia="宋体" w:hint="default"/>
                            <w:spacing w:val="-3"/>
                            <w:sz w:val="15"/>
                            <w:szCs w:val="15"/>
                          </w:rPr>
                          <w:t>年度股东大会审议，通过公司</w:t>
                        </w:r>
                        <w:r>
                          <w:rPr>
                            <w:rFonts w:ascii="宋体" w:hAnsi="宋体" w:cs="宋体" w:eastAsia="宋体" w:hint="default"/>
                            <w:spacing w:val="-42"/>
                            <w:sz w:val="15"/>
                            <w:szCs w:val="15"/>
                          </w:rPr>
                          <w:t> </w:t>
                        </w:r>
                        <w:r>
                          <w:rPr>
                            <w:rFonts w:ascii="Times New Roman" w:hAnsi="Times New Roman" w:cs="Times New Roman" w:eastAsia="Times New Roman" w:hint="default"/>
                            <w:sz w:val="15"/>
                            <w:szCs w:val="15"/>
                          </w:rPr>
                          <w:t>2018</w:t>
                        </w:r>
                        <w:r>
                          <w:rPr>
                            <w:rFonts w:ascii="Times New Roman" w:hAnsi="Times New Roman" w:cs="Times New Roman" w:eastAsia="Times New Roman" w:hint="default"/>
                            <w:spacing w:val="-5"/>
                            <w:sz w:val="15"/>
                            <w:szCs w:val="15"/>
                          </w:rPr>
                          <w:t> </w:t>
                        </w:r>
                        <w:r>
                          <w:rPr>
                            <w:rFonts w:ascii="宋体" w:hAnsi="宋体" w:cs="宋体" w:eastAsia="宋体" w:hint="default"/>
                            <w:sz w:val="15"/>
                            <w:szCs w:val="15"/>
                          </w:rPr>
                          <w:t>年度日常关联交易预计事宜。鉴于中国长城及下属子公司开展日</w:t>
                        </w:r>
                      </w:p>
                    </w:tc>
                  </w:tr>
                  <w:tr>
                    <w:trPr>
                      <w:trHeight w:val="312" w:hRule="exact"/>
                    </w:trPr>
                    <w:tc>
                      <w:tcPr>
                        <w:tcW w:w="3757" w:type="dxa"/>
                        <w:gridSpan w:val="4"/>
                        <w:tcBorders>
                          <w:top w:val="nil" w:sz="6" w:space="0" w:color="auto"/>
                          <w:left w:val="single" w:sz="4" w:space="0" w:color="000000"/>
                          <w:bottom w:val="nil" w:sz="6" w:space="0" w:color="auto"/>
                          <w:right w:val="single" w:sz="4" w:space="0" w:color="000000"/>
                        </w:tcBorders>
                        <w:shd w:val="clear" w:color="auto" w:fill="D3D3D3"/>
                      </w:tcPr>
                      <w:p>
                        <w:pPr/>
                      </w:p>
                    </w:tc>
                    <w:tc>
                      <w:tcPr>
                        <w:tcW w:w="7678" w:type="dxa"/>
                        <w:gridSpan w:val="10"/>
                        <w:tcBorders>
                          <w:top w:val="nil" w:sz="6" w:space="0" w:color="auto"/>
                          <w:left w:val="single" w:sz="4" w:space="0" w:color="000000"/>
                          <w:bottom w:val="nil" w:sz="6" w:space="0" w:color="auto"/>
                          <w:right w:val="single" w:sz="4" w:space="0" w:color="000000"/>
                        </w:tcBorders>
                      </w:tcPr>
                      <w:p>
                        <w:pPr>
                          <w:pStyle w:val="TableParagraph"/>
                          <w:spacing w:line="240" w:lineRule="auto" w:before="30"/>
                          <w:ind w:right="-1"/>
                          <w:jc w:val="left"/>
                          <w:rPr>
                            <w:rFonts w:ascii="宋体" w:hAnsi="宋体" w:cs="宋体" w:eastAsia="宋体" w:hint="default"/>
                            <w:sz w:val="15"/>
                            <w:szCs w:val="15"/>
                          </w:rPr>
                        </w:pPr>
                        <w:r>
                          <w:rPr>
                            <w:rFonts w:ascii="宋体" w:hAnsi="宋体" w:cs="宋体" w:eastAsia="宋体" w:hint="default"/>
                            <w:spacing w:val="-2"/>
                            <w:sz w:val="15"/>
                            <w:szCs w:val="15"/>
                          </w:rPr>
                          <w:t>常生产运营的需要，预计</w:t>
                        </w:r>
                        <w:r>
                          <w:rPr>
                            <w:rFonts w:ascii="宋体" w:hAnsi="宋体" w:cs="宋体" w:eastAsia="宋体" w:hint="default"/>
                            <w:sz w:val="15"/>
                            <w:szCs w:val="15"/>
                          </w:rPr>
                          <w:t> </w:t>
                        </w:r>
                        <w:r>
                          <w:rPr>
                            <w:rFonts w:ascii="Times New Roman" w:hAnsi="Times New Roman" w:cs="Times New Roman" w:eastAsia="Times New Roman" w:hint="default"/>
                            <w:sz w:val="15"/>
                            <w:szCs w:val="15"/>
                          </w:rPr>
                          <w:t>2018</w:t>
                        </w:r>
                        <w:r>
                          <w:rPr>
                            <w:rFonts w:ascii="Times New Roman" w:hAnsi="Times New Roman" w:cs="Times New Roman" w:eastAsia="Times New Roman" w:hint="default"/>
                            <w:spacing w:val="-2"/>
                            <w:sz w:val="15"/>
                            <w:szCs w:val="15"/>
                          </w:rPr>
                          <w:t> </w:t>
                        </w:r>
                        <w:r>
                          <w:rPr>
                            <w:rFonts w:ascii="宋体" w:hAnsi="宋体" w:cs="宋体" w:eastAsia="宋体" w:hint="default"/>
                            <w:spacing w:val="-2"/>
                            <w:sz w:val="15"/>
                            <w:szCs w:val="15"/>
                          </w:rPr>
                          <w:t>年将涉及向关联方采购原材料及产成品、销售原材料及产成品、提供劳务、接受劳务等</w:t>
                        </w:r>
                      </w:p>
                    </w:tc>
                  </w:tr>
                  <w:tr>
                    <w:trPr>
                      <w:trHeight w:val="234" w:hRule="exact"/>
                    </w:trPr>
                    <w:tc>
                      <w:tcPr>
                        <w:tcW w:w="3757" w:type="dxa"/>
                        <w:gridSpan w:val="4"/>
                        <w:tcBorders>
                          <w:top w:val="nil" w:sz="6" w:space="0" w:color="auto"/>
                          <w:left w:val="single" w:sz="4" w:space="0" w:color="000000"/>
                          <w:bottom w:val="nil" w:sz="6" w:space="0" w:color="auto"/>
                          <w:right w:val="single" w:sz="4" w:space="0" w:color="000000"/>
                        </w:tcBorders>
                        <w:shd w:val="clear" w:color="auto" w:fill="D3D3D3"/>
                      </w:tcPr>
                      <w:p>
                        <w:pPr/>
                      </w:p>
                    </w:tc>
                    <w:tc>
                      <w:tcPr>
                        <w:tcW w:w="7678" w:type="dxa"/>
                        <w:gridSpan w:val="10"/>
                        <w:tcBorders>
                          <w:top w:val="nil" w:sz="6" w:space="0" w:color="auto"/>
                          <w:left w:val="single" w:sz="4" w:space="0" w:color="000000"/>
                          <w:bottom w:val="nil" w:sz="6" w:space="0" w:color="auto"/>
                          <w:right w:val="single" w:sz="4" w:space="0" w:color="000000"/>
                        </w:tcBorders>
                      </w:tcPr>
                      <w:p>
                        <w:pPr>
                          <w:pStyle w:val="TableParagraph"/>
                          <w:spacing w:line="240" w:lineRule="auto" w:before="30"/>
                          <w:ind w:right="0"/>
                          <w:jc w:val="left"/>
                          <w:rPr>
                            <w:rFonts w:ascii="宋体" w:hAnsi="宋体" w:cs="宋体" w:eastAsia="宋体" w:hint="default"/>
                            <w:sz w:val="15"/>
                            <w:szCs w:val="15"/>
                          </w:rPr>
                        </w:pPr>
                        <w:r>
                          <w:rPr>
                            <w:rFonts w:ascii="宋体" w:hAnsi="宋体" w:cs="宋体" w:eastAsia="宋体" w:hint="default"/>
                            <w:sz w:val="15"/>
                            <w:szCs w:val="15"/>
                          </w:rPr>
                          <w:t>（具体内容详见</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20</w:t>
                        </w:r>
                        <w:r>
                          <w:rPr>
                            <w:rFonts w:ascii="Times New Roman" w:hAnsi="Times New Roman" w:cs="Times New Roman" w:eastAsia="Times New Roman" w:hint="default"/>
                            <w:spacing w:val="-1"/>
                            <w:sz w:val="15"/>
                            <w:szCs w:val="15"/>
                          </w:rPr>
                          <w:t>1</w:t>
                        </w:r>
                        <w:r>
                          <w:rPr>
                            <w:rFonts w:ascii="Times New Roman" w:hAnsi="Times New Roman" w:cs="Times New Roman" w:eastAsia="Times New Roman" w:hint="default"/>
                            <w:sz w:val="15"/>
                            <w:szCs w:val="15"/>
                          </w:rPr>
                          <w:t>7-</w:t>
                        </w:r>
                        <w:r>
                          <w:rPr>
                            <w:rFonts w:ascii="Times New Roman" w:hAnsi="Times New Roman" w:cs="Times New Roman" w:eastAsia="Times New Roman" w:hint="default"/>
                            <w:spacing w:val="-7"/>
                            <w:sz w:val="15"/>
                            <w:szCs w:val="15"/>
                          </w:rPr>
                          <w:t>1</w:t>
                        </w:r>
                        <w:r>
                          <w:rPr>
                            <w:rFonts w:ascii="Times New Roman" w:hAnsi="Times New Roman" w:cs="Times New Roman" w:eastAsia="Times New Roman" w:hint="default"/>
                            <w:sz w:val="15"/>
                            <w:szCs w:val="15"/>
                          </w:rPr>
                          <w:t>14 </w:t>
                        </w:r>
                        <w:r>
                          <w:rPr>
                            <w:rFonts w:ascii="宋体" w:hAnsi="宋体" w:cs="宋体" w:eastAsia="宋体" w:hint="default"/>
                            <w:sz w:val="15"/>
                            <w:szCs w:val="15"/>
                          </w:rPr>
                          <w:t>号、</w:t>
                        </w:r>
                        <w:r>
                          <w:rPr>
                            <w:rFonts w:ascii="Times New Roman" w:hAnsi="Times New Roman" w:cs="Times New Roman" w:eastAsia="Times New Roman" w:hint="default"/>
                            <w:spacing w:val="-1"/>
                            <w:sz w:val="15"/>
                            <w:szCs w:val="15"/>
                          </w:rPr>
                          <w:t>2</w:t>
                        </w:r>
                        <w:r>
                          <w:rPr>
                            <w:rFonts w:ascii="Times New Roman" w:hAnsi="Times New Roman" w:cs="Times New Roman" w:eastAsia="Times New Roman" w:hint="default"/>
                            <w:sz w:val="15"/>
                            <w:szCs w:val="15"/>
                          </w:rPr>
                          <w:t>0</w:t>
                        </w:r>
                        <w:r>
                          <w:rPr>
                            <w:rFonts w:ascii="Times New Roman" w:hAnsi="Times New Roman" w:cs="Times New Roman" w:eastAsia="Times New Roman" w:hint="default"/>
                            <w:spacing w:val="-1"/>
                            <w:sz w:val="15"/>
                            <w:szCs w:val="15"/>
                          </w:rPr>
                          <w:t>1</w:t>
                        </w:r>
                        <w:r>
                          <w:rPr>
                            <w:rFonts w:ascii="Times New Roman" w:hAnsi="Times New Roman" w:cs="Times New Roman" w:eastAsia="Times New Roman" w:hint="default"/>
                            <w:sz w:val="15"/>
                            <w:szCs w:val="15"/>
                          </w:rPr>
                          <w:t>8</w:t>
                        </w:r>
                        <w:r>
                          <w:rPr>
                            <w:rFonts w:ascii="Times New Roman" w:hAnsi="Times New Roman" w:cs="Times New Roman" w:eastAsia="Times New Roman" w:hint="default"/>
                            <w:spacing w:val="-1"/>
                            <w:sz w:val="15"/>
                            <w:szCs w:val="15"/>
                          </w:rPr>
                          <w:t>-</w:t>
                        </w:r>
                        <w:r>
                          <w:rPr>
                            <w:rFonts w:ascii="Times New Roman" w:hAnsi="Times New Roman" w:cs="Times New Roman" w:eastAsia="Times New Roman" w:hint="default"/>
                            <w:sz w:val="15"/>
                            <w:szCs w:val="15"/>
                          </w:rPr>
                          <w:t>010 </w:t>
                        </w:r>
                        <w:r>
                          <w:rPr>
                            <w:rFonts w:ascii="宋体" w:hAnsi="宋体" w:cs="宋体" w:eastAsia="宋体" w:hint="default"/>
                            <w:sz w:val="15"/>
                            <w:szCs w:val="15"/>
                          </w:rPr>
                          <w:t>号公告</w:t>
                        </w:r>
                        <w:r>
                          <w:rPr>
                            <w:rFonts w:ascii="宋体" w:hAnsi="宋体" w:cs="宋体" w:eastAsia="宋体" w:hint="default"/>
                            <w:spacing w:val="-2"/>
                            <w:sz w:val="15"/>
                            <w:szCs w:val="15"/>
                          </w:rPr>
                          <w:t>、</w:t>
                        </w:r>
                        <w:r>
                          <w:rPr>
                            <w:rFonts w:ascii="Times New Roman" w:hAnsi="Times New Roman" w:cs="Times New Roman" w:eastAsia="Times New Roman" w:hint="default"/>
                            <w:sz w:val="15"/>
                            <w:szCs w:val="15"/>
                          </w:rPr>
                          <w:t>2</w:t>
                        </w:r>
                        <w:r>
                          <w:rPr>
                            <w:rFonts w:ascii="Times New Roman" w:hAnsi="Times New Roman" w:cs="Times New Roman" w:eastAsia="Times New Roman" w:hint="default"/>
                            <w:spacing w:val="-1"/>
                            <w:sz w:val="15"/>
                            <w:szCs w:val="15"/>
                          </w:rPr>
                          <w:t>0</w:t>
                        </w:r>
                        <w:r>
                          <w:rPr>
                            <w:rFonts w:ascii="Times New Roman" w:hAnsi="Times New Roman" w:cs="Times New Roman" w:eastAsia="Times New Roman" w:hint="default"/>
                            <w:sz w:val="15"/>
                            <w:szCs w:val="15"/>
                          </w:rPr>
                          <w:t>1</w:t>
                        </w:r>
                        <w:r>
                          <w:rPr>
                            <w:rFonts w:ascii="Times New Roman" w:hAnsi="Times New Roman" w:cs="Times New Roman" w:eastAsia="Times New Roman" w:hint="default"/>
                            <w:spacing w:val="-1"/>
                            <w:sz w:val="15"/>
                            <w:szCs w:val="15"/>
                          </w:rPr>
                          <w:t>8-</w:t>
                        </w:r>
                        <w:r>
                          <w:rPr>
                            <w:rFonts w:ascii="Times New Roman" w:hAnsi="Times New Roman" w:cs="Times New Roman" w:eastAsia="Times New Roman" w:hint="default"/>
                            <w:sz w:val="15"/>
                            <w:szCs w:val="15"/>
                          </w:rPr>
                          <w:t>051 </w:t>
                        </w:r>
                        <w:r>
                          <w:rPr>
                            <w:rFonts w:ascii="宋体" w:hAnsi="宋体" w:cs="宋体" w:eastAsia="宋体" w:hint="default"/>
                            <w:sz w:val="15"/>
                            <w:szCs w:val="15"/>
                          </w:rPr>
                          <w:t>号公告</w:t>
                        </w:r>
                        <w:r>
                          <w:rPr>
                            <w:rFonts w:ascii="宋体" w:hAnsi="宋体" w:cs="宋体" w:eastAsia="宋体" w:hint="default"/>
                            <w:spacing w:val="-2"/>
                            <w:sz w:val="15"/>
                            <w:szCs w:val="15"/>
                          </w:rPr>
                          <w:t>、</w:t>
                        </w:r>
                        <w:r>
                          <w:rPr>
                            <w:rFonts w:ascii="Times New Roman" w:hAnsi="Times New Roman" w:cs="Times New Roman" w:eastAsia="Times New Roman" w:hint="default"/>
                            <w:sz w:val="15"/>
                            <w:szCs w:val="15"/>
                          </w:rPr>
                          <w:t>2</w:t>
                        </w:r>
                        <w:r>
                          <w:rPr>
                            <w:rFonts w:ascii="Times New Roman" w:hAnsi="Times New Roman" w:cs="Times New Roman" w:eastAsia="Times New Roman" w:hint="default"/>
                            <w:spacing w:val="-1"/>
                            <w:sz w:val="15"/>
                            <w:szCs w:val="15"/>
                          </w:rPr>
                          <w:t>0</w:t>
                        </w:r>
                        <w:r>
                          <w:rPr>
                            <w:rFonts w:ascii="Times New Roman" w:hAnsi="Times New Roman" w:cs="Times New Roman" w:eastAsia="Times New Roman" w:hint="default"/>
                            <w:sz w:val="15"/>
                            <w:szCs w:val="15"/>
                          </w:rPr>
                          <w:t>1</w:t>
                        </w:r>
                        <w:r>
                          <w:rPr>
                            <w:rFonts w:ascii="Times New Roman" w:hAnsi="Times New Roman" w:cs="Times New Roman" w:eastAsia="Times New Roman" w:hint="default"/>
                            <w:spacing w:val="-1"/>
                            <w:sz w:val="15"/>
                            <w:szCs w:val="15"/>
                          </w:rPr>
                          <w:t>8-</w:t>
                        </w:r>
                        <w:r>
                          <w:rPr>
                            <w:rFonts w:ascii="Times New Roman" w:hAnsi="Times New Roman" w:cs="Times New Roman" w:eastAsia="Times New Roman" w:hint="default"/>
                            <w:sz w:val="15"/>
                            <w:szCs w:val="15"/>
                          </w:rPr>
                          <w:t>078 </w:t>
                        </w:r>
                        <w:r>
                          <w:rPr>
                            <w:rFonts w:ascii="宋体" w:hAnsi="宋体" w:cs="宋体" w:eastAsia="宋体" w:hint="default"/>
                            <w:sz w:val="15"/>
                            <w:szCs w:val="15"/>
                          </w:rPr>
                          <w:t>号公</w:t>
                        </w:r>
                        <w:r>
                          <w:rPr>
                            <w:rFonts w:ascii="宋体" w:hAnsi="宋体" w:cs="宋体" w:eastAsia="宋体" w:hint="default"/>
                            <w:spacing w:val="-2"/>
                            <w:sz w:val="15"/>
                            <w:szCs w:val="15"/>
                          </w:rPr>
                          <w:t>告</w:t>
                        </w:r>
                        <w:r>
                          <w:rPr>
                            <w:rFonts w:ascii="宋体" w:hAnsi="宋体" w:cs="宋体" w:eastAsia="宋体" w:hint="default"/>
                            <w:spacing w:val="-75"/>
                            <w:sz w:val="15"/>
                            <w:szCs w:val="15"/>
                          </w:rPr>
                          <w:t>）</w:t>
                        </w:r>
                        <w:r>
                          <w:rPr>
                            <w:rFonts w:ascii="宋体" w:hAnsi="宋体" w:cs="宋体" w:eastAsia="宋体" w:hint="default"/>
                            <w:sz w:val="15"/>
                            <w:szCs w:val="15"/>
                          </w:rPr>
                          <w:t>。</w:t>
                        </w:r>
                      </w:p>
                    </w:tc>
                  </w:tr>
                  <w:tr>
                    <w:trPr>
                      <w:trHeight w:val="152" w:hRule="exact"/>
                    </w:trPr>
                    <w:tc>
                      <w:tcPr>
                        <w:tcW w:w="3757" w:type="dxa"/>
                        <w:gridSpan w:val="4"/>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149" w:lineRule="exact"/>
                          <w:ind w:left="-1" w:right="-3"/>
                          <w:jc w:val="left"/>
                          <w:rPr>
                            <w:rFonts w:ascii="宋体" w:hAnsi="宋体" w:cs="宋体" w:eastAsia="宋体" w:hint="default"/>
                            <w:sz w:val="15"/>
                            <w:szCs w:val="15"/>
                          </w:rPr>
                        </w:pPr>
                        <w:r>
                          <w:rPr>
                            <w:rFonts w:ascii="宋体" w:hAnsi="宋体" w:cs="宋体" w:eastAsia="宋体" w:hint="default"/>
                            <w:sz w:val="15"/>
                            <w:szCs w:val="15"/>
                          </w:rPr>
                          <w:t>按类别对本期将发生的日常关联交易进行总金额预计的，</w:t>
                        </w:r>
                      </w:p>
                    </w:tc>
                    <w:tc>
                      <w:tcPr>
                        <w:tcW w:w="7678" w:type="dxa"/>
                        <w:gridSpan w:val="10"/>
                        <w:tcBorders>
                          <w:top w:val="nil" w:sz="6" w:space="0" w:color="auto"/>
                          <w:left w:val="single" w:sz="4" w:space="0" w:color="000000"/>
                          <w:bottom w:val="nil" w:sz="6" w:space="0" w:color="auto"/>
                          <w:right w:val="single" w:sz="4" w:space="0" w:color="000000"/>
                        </w:tcBorders>
                      </w:tcPr>
                      <w:p>
                        <w:pPr/>
                      </w:p>
                    </w:tc>
                  </w:tr>
                  <w:tr>
                    <w:trPr>
                      <w:trHeight w:val="160" w:hRule="exact"/>
                    </w:trPr>
                    <w:tc>
                      <w:tcPr>
                        <w:tcW w:w="3757" w:type="dxa"/>
                        <w:gridSpan w:val="4"/>
                        <w:tcBorders>
                          <w:top w:val="nil" w:sz="6" w:space="0" w:color="auto"/>
                          <w:left w:val="single" w:sz="4" w:space="0" w:color="000000"/>
                          <w:bottom w:val="nil" w:sz="6" w:space="0" w:color="auto"/>
                          <w:right w:val="single" w:sz="4" w:space="0" w:color="000000"/>
                        </w:tcBorders>
                        <w:shd w:val="clear" w:color="auto" w:fill="D3D3D3"/>
                      </w:tcPr>
                      <w:p>
                        <w:pPr/>
                      </w:p>
                    </w:tc>
                    <w:tc>
                      <w:tcPr>
                        <w:tcW w:w="7678" w:type="dxa"/>
                        <w:gridSpan w:val="10"/>
                        <w:tcBorders>
                          <w:top w:val="nil" w:sz="6" w:space="0" w:color="auto"/>
                          <w:left w:val="single" w:sz="4" w:space="0" w:color="000000"/>
                          <w:bottom w:val="nil" w:sz="6" w:space="0" w:color="auto"/>
                          <w:right w:val="single" w:sz="4" w:space="0" w:color="000000"/>
                        </w:tcBorders>
                      </w:tcPr>
                      <w:p>
                        <w:pPr>
                          <w:pStyle w:val="TableParagraph"/>
                          <w:spacing w:line="164" w:lineRule="exact"/>
                          <w:ind w:left="300" w:right="0"/>
                          <w:jc w:val="left"/>
                          <w:rPr>
                            <w:rFonts w:ascii="宋体" w:hAnsi="宋体" w:cs="宋体" w:eastAsia="宋体" w:hint="default"/>
                            <w:sz w:val="15"/>
                            <w:szCs w:val="15"/>
                          </w:rPr>
                        </w:pPr>
                        <w:r>
                          <w:rPr>
                            <w:rFonts w:ascii="宋体" w:hAnsi="宋体" w:cs="宋体" w:eastAsia="宋体" w:hint="default"/>
                            <w:sz w:val="15"/>
                            <w:szCs w:val="15"/>
                          </w:rPr>
                          <w:t>采购类日常关联交易全年预计</w:t>
                        </w:r>
                        <w:r>
                          <w:rPr>
                            <w:rFonts w:ascii="宋体" w:hAnsi="宋体" w:cs="宋体" w:eastAsia="宋体" w:hint="default"/>
                            <w:spacing w:val="-41"/>
                            <w:sz w:val="15"/>
                            <w:szCs w:val="15"/>
                          </w:rPr>
                          <w:t> </w:t>
                        </w:r>
                        <w:r>
                          <w:rPr>
                            <w:rFonts w:ascii="Times New Roman" w:hAnsi="Times New Roman" w:cs="Times New Roman" w:eastAsia="Times New Roman" w:hint="default"/>
                            <w:sz w:val="15"/>
                            <w:szCs w:val="15"/>
                          </w:rPr>
                          <w:t>60,500</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万元＋</w:t>
                        </w:r>
                        <w:r>
                          <w:rPr>
                            <w:rFonts w:ascii="Times New Roman" w:hAnsi="Times New Roman" w:cs="Times New Roman" w:eastAsia="Times New Roman" w:hint="default"/>
                            <w:sz w:val="15"/>
                            <w:szCs w:val="15"/>
                          </w:rPr>
                          <w:t>1,950</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万美元＋</w:t>
                        </w:r>
                        <w:r>
                          <w:rPr>
                            <w:rFonts w:ascii="Times New Roman" w:hAnsi="Times New Roman" w:cs="Times New Roman" w:eastAsia="Times New Roman" w:hint="default"/>
                            <w:sz w:val="15"/>
                            <w:szCs w:val="15"/>
                          </w:rPr>
                          <w:t>2,100</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万元，报告期实发金额</w:t>
                        </w:r>
                        <w:r>
                          <w:rPr>
                            <w:rFonts w:ascii="宋体" w:hAnsi="宋体" w:cs="宋体" w:eastAsia="宋体" w:hint="default"/>
                            <w:spacing w:val="-41"/>
                            <w:sz w:val="15"/>
                            <w:szCs w:val="15"/>
                          </w:rPr>
                          <w:t> </w:t>
                        </w:r>
                        <w:r>
                          <w:rPr>
                            <w:rFonts w:ascii="Times New Roman" w:hAnsi="Times New Roman" w:cs="Times New Roman" w:eastAsia="Times New Roman" w:hint="default"/>
                            <w:sz w:val="15"/>
                            <w:szCs w:val="15"/>
                          </w:rPr>
                          <w:t>48,135.98</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万元；</w:t>
                        </w:r>
                      </w:p>
                    </w:tc>
                  </w:tr>
                  <w:tr>
                    <w:trPr>
                      <w:trHeight w:val="152" w:hRule="exact"/>
                    </w:trPr>
                    <w:tc>
                      <w:tcPr>
                        <w:tcW w:w="3757" w:type="dxa"/>
                        <w:gridSpan w:val="4"/>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149" w:lineRule="exact"/>
                          <w:ind w:left="-1" w:right="0"/>
                          <w:jc w:val="left"/>
                          <w:rPr>
                            <w:rFonts w:ascii="宋体" w:hAnsi="宋体" w:cs="宋体" w:eastAsia="宋体" w:hint="default"/>
                            <w:sz w:val="15"/>
                            <w:szCs w:val="15"/>
                          </w:rPr>
                        </w:pPr>
                        <w:r>
                          <w:rPr>
                            <w:rFonts w:ascii="宋体" w:hAnsi="宋体" w:cs="宋体" w:eastAsia="宋体" w:hint="default"/>
                            <w:sz w:val="15"/>
                            <w:szCs w:val="15"/>
                          </w:rPr>
                          <w:t>在报告期内的实际履行情况（如有）</w:t>
                        </w:r>
                      </w:p>
                    </w:tc>
                    <w:tc>
                      <w:tcPr>
                        <w:tcW w:w="7678" w:type="dxa"/>
                        <w:gridSpan w:val="10"/>
                        <w:tcBorders>
                          <w:top w:val="nil" w:sz="6" w:space="0" w:color="auto"/>
                          <w:left w:val="single" w:sz="4" w:space="0" w:color="000000"/>
                          <w:bottom w:val="nil" w:sz="6" w:space="0" w:color="auto"/>
                          <w:right w:val="single" w:sz="4" w:space="0" w:color="000000"/>
                        </w:tcBorders>
                      </w:tcPr>
                      <w:p>
                        <w:pPr/>
                      </w:p>
                    </w:tc>
                  </w:tr>
                  <w:tr>
                    <w:trPr>
                      <w:trHeight w:val="238" w:hRule="exact"/>
                    </w:trPr>
                    <w:tc>
                      <w:tcPr>
                        <w:tcW w:w="3757" w:type="dxa"/>
                        <w:gridSpan w:val="4"/>
                        <w:tcBorders>
                          <w:top w:val="nil" w:sz="6" w:space="0" w:color="auto"/>
                          <w:left w:val="single" w:sz="4" w:space="0" w:color="000000"/>
                          <w:bottom w:val="nil" w:sz="6" w:space="0" w:color="auto"/>
                          <w:right w:val="single" w:sz="4" w:space="0" w:color="000000"/>
                        </w:tcBorders>
                        <w:shd w:val="clear" w:color="auto" w:fill="D3D3D3"/>
                      </w:tcPr>
                      <w:p>
                        <w:pPr/>
                      </w:p>
                    </w:tc>
                    <w:tc>
                      <w:tcPr>
                        <w:tcW w:w="7678" w:type="dxa"/>
                        <w:gridSpan w:val="10"/>
                        <w:tcBorders>
                          <w:top w:val="nil" w:sz="6" w:space="0" w:color="auto"/>
                          <w:left w:val="single" w:sz="4" w:space="0" w:color="000000"/>
                          <w:bottom w:val="nil" w:sz="6" w:space="0" w:color="auto"/>
                          <w:right w:val="single" w:sz="4" w:space="0" w:color="000000"/>
                        </w:tcBorders>
                      </w:tcPr>
                      <w:p>
                        <w:pPr>
                          <w:pStyle w:val="TableParagraph"/>
                          <w:spacing w:line="164" w:lineRule="exact"/>
                          <w:ind w:left="300" w:right="0"/>
                          <w:jc w:val="left"/>
                          <w:rPr>
                            <w:rFonts w:ascii="宋体" w:hAnsi="宋体" w:cs="宋体" w:eastAsia="宋体" w:hint="default"/>
                            <w:sz w:val="15"/>
                            <w:szCs w:val="15"/>
                          </w:rPr>
                        </w:pPr>
                        <w:r>
                          <w:rPr>
                            <w:rFonts w:ascii="宋体" w:hAnsi="宋体" w:cs="宋体" w:eastAsia="宋体" w:hint="default"/>
                            <w:sz w:val="15"/>
                            <w:szCs w:val="15"/>
                          </w:rPr>
                          <w:t>销售类日常关联交易全年预计</w:t>
                        </w:r>
                        <w:r>
                          <w:rPr>
                            <w:rFonts w:ascii="宋体" w:hAnsi="宋体" w:cs="宋体" w:eastAsia="宋体" w:hint="default"/>
                            <w:spacing w:val="-41"/>
                            <w:sz w:val="15"/>
                            <w:szCs w:val="15"/>
                          </w:rPr>
                          <w:t> </w:t>
                        </w:r>
                        <w:r>
                          <w:rPr>
                            <w:rFonts w:ascii="Times New Roman" w:hAnsi="Times New Roman" w:cs="Times New Roman" w:eastAsia="Times New Roman" w:hint="default"/>
                            <w:sz w:val="15"/>
                            <w:szCs w:val="15"/>
                          </w:rPr>
                          <w:t>70,000</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万元＋</w:t>
                        </w:r>
                        <w:r>
                          <w:rPr>
                            <w:rFonts w:ascii="Times New Roman" w:hAnsi="Times New Roman" w:cs="Times New Roman" w:eastAsia="Times New Roman" w:hint="default"/>
                            <w:sz w:val="15"/>
                            <w:szCs w:val="15"/>
                          </w:rPr>
                          <w:t>200</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万元，报告期实发金额</w:t>
                        </w:r>
                        <w:r>
                          <w:rPr>
                            <w:rFonts w:ascii="宋体" w:hAnsi="宋体" w:cs="宋体" w:eastAsia="宋体" w:hint="default"/>
                            <w:spacing w:val="-41"/>
                            <w:sz w:val="15"/>
                            <w:szCs w:val="15"/>
                          </w:rPr>
                          <w:t> </w:t>
                        </w:r>
                        <w:r>
                          <w:rPr>
                            <w:rFonts w:ascii="Times New Roman" w:hAnsi="Times New Roman" w:cs="Times New Roman" w:eastAsia="Times New Roman" w:hint="default"/>
                            <w:sz w:val="15"/>
                            <w:szCs w:val="15"/>
                          </w:rPr>
                          <w:t>38,144.65</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万元；</w:t>
                        </w:r>
                      </w:p>
                    </w:tc>
                  </w:tr>
                  <w:tr>
                    <w:trPr>
                      <w:trHeight w:val="312" w:hRule="exact"/>
                    </w:trPr>
                    <w:tc>
                      <w:tcPr>
                        <w:tcW w:w="3757" w:type="dxa"/>
                        <w:gridSpan w:val="4"/>
                        <w:tcBorders>
                          <w:top w:val="nil" w:sz="6" w:space="0" w:color="auto"/>
                          <w:left w:val="single" w:sz="4" w:space="0" w:color="000000"/>
                          <w:bottom w:val="nil" w:sz="6" w:space="0" w:color="auto"/>
                          <w:right w:val="single" w:sz="4" w:space="0" w:color="000000"/>
                        </w:tcBorders>
                        <w:shd w:val="clear" w:color="auto" w:fill="D3D3D3"/>
                      </w:tcPr>
                      <w:p>
                        <w:pPr/>
                      </w:p>
                    </w:tc>
                    <w:tc>
                      <w:tcPr>
                        <w:tcW w:w="7678" w:type="dxa"/>
                        <w:gridSpan w:val="10"/>
                        <w:tcBorders>
                          <w:top w:val="nil" w:sz="6" w:space="0" w:color="auto"/>
                          <w:left w:val="single" w:sz="4" w:space="0" w:color="000000"/>
                          <w:bottom w:val="nil" w:sz="6" w:space="0" w:color="auto"/>
                          <w:right w:val="single" w:sz="4" w:space="0" w:color="000000"/>
                        </w:tcBorders>
                      </w:tcPr>
                      <w:p>
                        <w:pPr>
                          <w:pStyle w:val="TableParagraph"/>
                          <w:spacing w:line="240" w:lineRule="auto" w:before="30"/>
                          <w:ind w:left="300" w:right="0"/>
                          <w:jc w:val="left"/>
                          <w:rPr>
                            <w:rFonts w:ascii="宋体" w:hAnsi="宋体" w:cs="宋体" w:eastAsia="宋体" w:hint="default"/>
                            <w:sz w:val="15"/>
                            <w:szCs w:val="15"/>
                          </w:rPr>
                        </w:pPr>
                        <w:r>
                          <w:rPr>
                            <w:rFonts w:ascii="宋体" w:hAnsi="宋体" w:cs="宋体" w:eastAsia="宋体" w:hint="default"/>
                            <w:sz w:val="15"/>
                            <w:szCs w:val="15"/>
                          </w:rPr>
                          <w:t>劳务类日常关联交易全年预计</w:t>
                        </w:r>
                        <w:r>
                          <w:rPr>
                            <w:rFonts w:ascii="宋体" w:hAnsi="宋体" w:cs="宋体" w:eastAsia="宋体" w:hint="default"/>
                            <w:spacing w:val="-40"/>
                            <w:sz w:val="15"/>
                            <w:szCs w:val="15"/>
                          </w:rPr>
                          <w:t> </w:t>
                        </w:r>
                        <w:r>
                          <w:rPr>
                            <w:rFonts w:ascii="Times New Roman" w:hAnsi="Times New Roman" w:cs="Times New Roman" w:eastAsia="Times New Roman" w:hint="default"/>
                            <w:sz w:val="15"/>
                            <w:szCs w:val="15"/>
                          </w:rPr>
                          <w:t>7,500</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万元，报告期实发金额</w:t>
                        </w:r>
                        <w:r>
                          <w:rPr>
                            <w:rFonts w:ascii="宋体" w:hAnsi="宋体" w:cs="宋体" w:eastAsia="宋体" w:hint="default"/>
                            <w:spacing w:val="-40"/>
                            <w:sz w:val="15"/>
                            <w:szCs w:val="15"/>
                          </w:rPr>
                          <w:t> </w:t>
                        </w:r>
                        <w:r>
                          <w:rPr>
                            <w:rFonts w:ascii="Times New Roman" w:hAnsi="Times New Roman" w:cs="Times New Roman" w:eastAsia="Times New Roman" w:hint="default"/>
                            <w:sz w:val="15"/>
                            <w:szCs w:val="15"/>
                          </w:rPr>
                          <w:t>2,893.75</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万元；</w:t>
                        </w:r>
                      </w:p>
                    </w:tc>
                  </w:tr>
                  <w:tr>
                    <w:trPr>
                      <w:trHeight w:val="312" w:hRule="exact"/>
                    </w:trPr>
                    <w:tc>
                      <w:tcPr>
                        <w:tcW w:w="3757" w:type="dxa"/>
                        <w:gridSpan w:val="4"/>
                        <w:tcBorders>
                          <w:top w:val="nil" w:sz="6" w:space="0" w:color="auto"/>
                          <w:left w:val="single" w:sz="4" w:space="0" w:color="000000"/>
                          <w:bottom w:val="nil" w:sz="6" w:space="0" w:color="auto"/>
                          <w:right w:val="single" w:sz="4" w:space="0" w:color="000000"/>
                        </w:tcBorders>
                        <w:shd w:val="clear" w:color="auto" w:fill="D3D3D3"/>
                      </w:tcPr>
                      <w:p>
                        <w:pPr/>
                      </w:p>
                    </w:tc>
                    <w:tc>
                      <w:tcPr>
                        <w:tcW w:w="7678" w:type="dxa"/>
                        <w:gridSpan w:val="10"/>
                        <w:tcBorders>
                          <w:top w:val="nil" w:sz="6" w:space="0" w:color="auto"/>
                          <w:left w:val="single" w:sz="4" w:space="0" w:color="000000"/>
                          <w:bottom w:val="nil" w:sz="6" w:space="0" w:color="auto"/>
                          <w:right w:val="single" w:sz="4" w:space="0" w:color="000000"/>
                        </w:tcBorders>
                      </w:tcPr>
                      <w:p>
                        <w:pPr>
                          <w:pStyle w:val="TableParagraph"/>
                          <w:spacing w:line="240" w:lineRule="auto" w:before="30"/>
                          <w:ind w:left="300" w:right="0"/>
                          <w:jc w:val="left"/>
                          <w:rPr>
                            <w:rFonts w:ascii="宋体" w:hAnsi="宋体" w:cs="宋体" w:eastAsia="宋体" w:hint="default"/>
                            <w:sz w:val="15"/>
                            <w:szCs w:val="15"/>
                          </w:rPr>
                        </w:pPr>
                        <w:r>
                          <w:rPr>
                            <w:rFonts w:ascii="宋体" w:hAnsi="宋体" w:cs="宋体" w:eastAsia="宋体" w:hint="default"/>
                            <w:sz w:val="15"/>
                            <w:szCs w:val="15"/>
                          </w:rPr>
                          <w:t>所发生的日常关联交易均在公司与中国电子的</w:t>
                        </w:r>
                        <w:r>
                          <w:rPr>
                            <w:rFonts w:ascii="宋体" w:hAnsi="宋体" w:cs="宋体" w:eastAsia="宋体" w:hint="default"/>
                            <w:spacing w:val="-40"/>
                            <w:sz w:val="15"/>
                            <w:szCs w:val="15"/>
                          </w:rPr>
                          <w:t> </w:t>
                        </w:r>
                        <w:r>
                          <w:rPr>
                            <w:rFonts w:ascii="Times New Roman" w:hAnsi="Times New Roman" w:cs="Times New Roman" w:eastAsia="Times New Roman" w:hint="default"/>
                            <w:sz w:val="15"/>
                            <w:szCs w:val="15"/>
                          </w:rPr>
                          <w:t>2018</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年度各类日常关联预计总金额内进行，未超全年预计总金额</w:t>
                        </w:r>
                      </w:p>
                    </w:tc>
                  </w:tr>
                  <w:tr>
                    <w:trPr>
                      <w:trHeight w:val="312" w:hRule="exact"/>
                    </w:trPr>
                    <w:tc>
                      <w:tcPr>
                        <w:tcW w:w="3757" w:type="dxa"/>
                        <w:gridSpan w:val="4"/>
                        <w:tcBorders>
                          <w:top w:val="nil" w:sz="6" w:space="0" w:color="auto"/>
                          <w:left w:val="single" w:sz="4" w:space="0" w:color="000000"/>
                          <w:bottom w:val="nil" w:sz="6" w:space="0" w:color="auto"/>
                          <w:right w:val="single" w:sz="4" w:space="0" w:color="000000"/>
                        </w:tcBorders>
                        <w:shd w:val="clear" w:color="auto" w:fill="D3D3D3"/>
                      </w:tcPr>
                      <w:p>
                        <w:pPr/>
                      </w:p>
                    </w:tc>
                    <w:tc>
                      <w:tcPr>
                        <w:tcW w:w="7678" w:type="dxa"/>
                        <w:gridSpan w:val="10"/>
                        <w:tcBorders>
                          <w:top w:val="nil" w:sz="6" w:space="0" w:color="auto"/>
                          <w:left w:val="single" w:sz="4" w:space="0" w:color="000000"/>
                          <w:bottom w:val="nil" w:sz="6" w:space="0" w:color="auto"/>
                          <w:right w:val="single" w:sz="4" w:space="0" w:color="000000"/>
                        </w:tcBorders>
                      </w:tcPr>
                      <w:p>
                        <w:pPr>
                          <w:pStyle w:val="TableParagraph"/>
                          <w:spacing w:line="240" w:lineRule="auto" w:before="30"/>
                          <w:ind w:left="300" w:right="-1"/>
                          <w:jc w:val="left"/>
                          <w:rPr>
                            <w:rFonts w:ascii="宋体" w:hAnsi="宋体" w:cs="宋体" w:eastAsia="宋体" w:hint="default"/>
                            <w:sz w:val="15"/>
                            <w:szCs w:val="15"/>
                          </w:rPr>
                        </w:pPr>
                        <w:r>
                          <w:rPr>
                            <w:rFonts w:ascii="宋体" w:hAnsi="宋体" w:cs="宋体" w:eastAsia="宋体" w:hint="default"/>
                            <w:sz w:val="15"/>
                            <w:szCs w:val="15"/>
                          </w:rPr>
                          <w:t>（</w:t>
                        </w:r>
                        <w:r>
                          <w:rPr>
                            <w:rFonts w:ascii="Times New Roman" w:hAnsi="Times New Roman" w:cs="Times New Roman" w:eastAsia="Times New Roman" w:hint="default"/>
                            <w:sz w:val="15"/>
                            <w:szCs w:val="15"/>
                          </w:rPr>
                          <w:t>2</w:t>
                        </w:r>
                        <w:r>
                          <w:rPr>
                            <w:rFonts w:ascii="宋体" w:hAnsi="宋体" w:cs="宋体" w:eastAsia="宋体" w:hint="default"/>
                            <w:spacing w:val="-70"/>
                            <w:sz w:val="15"/>
                            <w:szCs w:val="15"/>
                          </w:rPr>
                          <w:t>）</w:t>
                        </w:r>
                        <w:r>
                          <w:rPr>
                            <w:rFonts w:ascii="宋体" w:hAnsi="宋体" w:cs="宋体" w:eastAsia="宋体" w:hint="default"/>
                            <w:sz w:val="15"/>
                            <w:szCs w:val="15"/>
                          </w:rPr>
                          <w:t>上表列示的为报告期内累计金额较大的日常关联交易事项</w:t>
                        </w:r>
                        <w:r>
                          <w:rPr>
                            <w:rFonts w:ascii="宋体" w:hAnsi="宋体" w:cs="宋体" w:eastAsia="宋体" w:hint="default"/>
                            <w:spacing w:val="-69"/>
                            <w:sz w:val="15"/>
                            <w:szCs w:val="15"/>
                          </w:rPr>
                          <w:t>，</w:t>
                        </w:r>
                        <w:r>
                          <w:rPr>
                            <w:rFonts w:ascii="宋体" w:hAnsi="宋体" w:cs="宋体" w:eastAsia="宋体" w:hint="default"/>
                            <w:sz w:val="15"/>
                            <w:szCs w:val="15"/>
                          </w:rPr>
                          <w:t>关于其</w:t>
                        </w:r>
                        <w:r>
                          <w:rPr>
                            <w:rFonts w:ascii="宋体" w:hAnsi="宋体" w:cs="宋体" w:eastAsia="宋体" w:hint="default"/>
                            <w:spacing w:val="-2"/>
                            <w:sz w:val="15"/>
                            <w:szCs w:val="15"/>
                          </w:rPr>
                          <w:t>他</w:t>
                        </w:r>
                        <w:r>
                          <w:rPr>
                            <w:rFonts w:ascii="宋体" w:hAnsi="宋体" w:cs="宋体" w:eastAsia="宋体" w:hint="default"/>
                            <w:sz w:val="15"/>
                            <w:szCs w:val="15"/>
                          </w:rPr>
                          <w:t>关联交易的情况详见财务报表附注</w:t>
                        </w:r>
                        <w:r>
                          <w:rPr>
                            <w:rFonts w:ascii="宋体" w:hAnsi="宋体" w:cs="宋体" w:eastAsia="宋体" w:hint="default"/>
                            <w:spacing w:val="-69"/>
                            <w:sz w:val="15"/>
                            <w:szCs w:val="15"/>
                          </w:rPr>
                          <w:t>中</w:t>
                        </w:r>
                        <w:r>
                          <w:rPr>
                            <w:rFonts w:ascii="宋体" w:hAnsi="宋体" w:cs="宋体" w:eastAsia="宋体" w:hint="default"/>
                            <w:sz w:val="15"/>
                            <w:szCs w:val="15"/>
                          </w:rPr>
                          <w:t>“关</w:t>
                        </w:r>
                      </w:p>
                    </w:tc>
                  </w:tr>
                  <w:tr>
                    <w:trPr>
                      <w:trHeight w:val="314" w:hRule="exact"/>
                    </w:trPr>
                    <w:tc>
                      <w:tcPr>
                        <w:tcW w:w="3757" w:type="dxa"/>
                        <w:gridSpan w:val="4"/>
                        <w:tcBorders>
                          <w:top w:val="nil" w:sz="6" w:space="0" w:color="auto"/>
                          <w:left w:val="single" w:sz="4" w:space="0" w:color="000000"/>
                          <w:bottom w:val="single" w:sz="4" w:space="0" w:color="000000"/>
                          <w:right w:val="single" w:sz="4" w:space="0" w:color="000000"/>
                        </w:tcBorders>
                        <w:shd w:val="clear" w:color="auto" w:fill="D3D3D3"/>
                      </w:tcPr>
                      <w:p>
                        <w:pPr/>
                      </w:p>
                    </w:tc>
                    <w:tc>
                      <w:tcPr>
                        <w:tcW w:w="7678" w:type="dxa"/>
                        <w:gridSpan w:val="10"/>
                        <w:tcBorders>
                          <w:top w:val="nil" w:sz="6" w:space="0" w:color="auto"/>
                          <w:left w:val="single" w:sz="4" w:space="0" w:color="000000"/>
                          <w:bottom w:val="single" w:sz="4" w:space="0" w:color="000000"/>
                          <w:right w:val="single" w:sz="4" w:space="0" w:color="000000"/>
                        </w:tcBorders>
                      </w:tcPr>
                      <w:p>
                        <w:pPr>
                          <w:pStyle w:val="TableParagraph"/>
                          <w:spacing w:line="240" w:lineRule="auto" w:before="30"/>
                          <w:ind w:right="0"/>
                          <w:jc w:val="left"/>
                          <w:rPr>
                            <w:rFonts w:ascii="宋体" w:hAnsi="宋体" w:cs="宋体" w:eastAsia="宋体" w:hint="default"/>
                            <w:sz w:val="15"/>
                            <w:szCs w:val="15"/>
                          </w:rPr>
                        </w:pPr>
                        <w:r>
                          <w:rPr>
                            <w:rFonts w:ascii="宋体" w:hAnsi="宋体" w:cs="宋体" w:eastAsia="宋体" w:hint="default"/>
                            <w:sz w:val="15"/>
                            <w:szCs w:val="15"/>
                          </w:rPr>
                          <w:t>联方及关联交易</w:t>
                        </w:r>
                        <w:r>
                          <w:rPr>
                            <w:rFonts w:ascii="宋体" w:hAnsi="宋体" w:cs="宋体" w:eastAsia="宋体" w:hint="default"/>
                            <w:spacing w:val="-76"/>
                            <w:sz w:val="15"/>
                            <w:szCs w:val="15"/>
                          </w:rPr>
                          <w:t>”</w:t>
                        </w:r>
                        <w:r>
                          <w:rPr>
                            <w:rFonts w:ascii="宋体" w:hAnsi="宋体" w:cs="宋体" w:eastAsia="宋体" w:hint="default"/>
                            <w:sz w:val="15"/>
                            <w:szCs w:val="15"/>
                          </w:rPr>
                          <w:t>。</w:t>
                        </w:r>
                      </w:p>
                    </w:tc>
                  </w:tr>
                  <w:tr>
                    <w:trPr>
                      <w:trHeight w:val="322" w:hRule="exact"/>
                    </w:trPr>
                    <w:tc>
                      <w:tcPr>
                        <w:tcW w:w="3757" w:type="dxa"/>
                        <w:gridSpan w:val="4"/>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3"/>
                          <w:ind w:left="-1" w:right="0"/>
                          <w:jc w:val="left"/>
                          <w:rPr>
                            <w:rFonts w:ascii="宋体" w:hAnsi="宋体" w:cs="宋体" w:eastAsia="宋体" w:hint="default"/>
                            <w:sz w:val="15"/>
                            <w:szCs w:val="15"/>
                          </w:rPr>
                        </w:pPr>
                        <w:r>
                          <w:rPr>
                            <w:rFonts w:ascii="宋体" w:hAnsi="宋体" w:cs="宋体" w:eastAsia="宋体" w:hint="default"/>
                            <w:sz w:val="15"/>
                            <w:szCs w:val="15"/>
                          </w:rPr>
                          <w:t>交易价格与市场参考价格差异较大的原因（如适用）</w:t>
                        </w:r>
                      </w:p>
                    </w:tc>
                    <w:tc>
                      <w:tcPr>
                        <w:tcW w:w="7678"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00" w:right="0"/>
                          <w:jc w:val="left"/>
                          <w:rPr>
                            <w:rFonts w:ascii="宋体" w:hAnsi="宋体" w:cs="宋体" w:eastAsia="宋体" w:hint="default"/>
                            <w:sz w:val="15"/>
                            <w:szCs w:val="15"/>
                          </w:rPr>
                        </w:pPr>
                        <w:r>
                          <w:rPr>
                            <w:rFonts w:ascii="宋体" w:hAnsi="宋体" w:cs="宋体" w:eastAsia="宋体" w:hint="default"/>
                            <w:sz w:val="15"/>
                            <w:szCs w:val="15"/>
                          </w:rPr>
                          <w:t>不适用。</w:t>
                        </w:r>
                      </w:p>
                    </w:tc>
                  </w:tr>
                </w:tbl>
                <w:p>
                  <w:pPr/>
                </w:p>
              </w:txbxContent>
            </v:textbox>
            <w10:wrap type="none"/>
          </v:shape>
        </w:pict>
      </w:r>
      <w:r>
        <w:rPr>
          <w:rFonts w:ascii="宋体" w:hAnsi="宋体" w:cs="宋体" w:eastAsia="宋体" w:hint="default"/>
          <w:sz w:val="15"/>
          <w:szCs w:val="15"/>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9"/>
          <w:szCs w:val="29"/>
        </w:rPr>
      </w:pPr>
    </w:p>
    <w:p>
      <w:pPr>
        <w:pStyle w:val="Heading5"/>
        <w:spacing w:line="240" w:lineRule="auto"/>
        <w:ind w:left="1074" w:right="1027"/>
        <w:jc w:val="left"/>
        <w:rPr>
          <w:b w:val="0"/>
          <w:bCs w:val="0"/>
        </w:rPr>
      </w:pPr>
      <w:r>
        <w:rPr>
          <w:rFonts w:ascii="Times New Roman" w:hAnsi="Times New Roman" w:cs="Times New Roman" w:eastAsia="Times New Roman" w:hint="default"/>
        </w:rPr>
        <w:t>2</w:t>
      </w:r>
      <w:r>
        <w:rPr/>
        <w:t>、资产或股权收购、出售发生的关联交易</w:t>
      </w:r>
      <w:r>
        <w:rPr>
          <w:b w:val="0"/>
          <w:bCs w:val="0"/>
        </w:rPr>
      </w:r>
    </w:p>
    <w:p>
      <w:pPr>
        <w:spacing w:line="240" w:lineRule="auto" w:before="5"/>
        <w:rPr>
          <w:rFonts w:ascii="宋体" w:hAnsi="宋体" w:cs="宋体" w:eastAsia="宋体" w:hint="default"/>
          <w:b/>
          <w:bCs/>
          <w:sz w:val="17"/>
          <w:szCs w:val="17"/>
        </w:rPr>
      </w:pPr>
    </w:p>
    <w:p>
      <w:pPr>
        <w:spacing w:before="0"/>
        <w:ind w:left="1074" w:right="1027" w:firstLine="0"/>
        <w:jc w:val="left"/>
        <w:rPr>
          <w:rFonts w:ascii="宋体" w:hAnsi="宋体" w:cs="宋体" w:eastAsia="宋体" w:hint="default"/>
          <w:sz w:val="18"/>
          <w:szCs w:val="18"/>
        </w:rPr>
      </w:pPr>
      <w:r>
        <w:rPr/>
        <w:pict>
          <v:shape style="position:absolute;margin-left:333.299713pt;margin-top:17.532019pt;width:44.35pt;height:46.8pt;mso-position-horizontal-relative:page;mso-position-vertical-relative:paragraph;z-index:-1401832" type="#_x0000_t202" filled="false" stroked="false">
            <v:textbox inset="0,0,0,0">
              <w:txbxContent>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12"/>
                      <w:szCs w:val="12"/>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p>
              </w:txbxContent>
            </v:textbox>
            <w10:wrap type="none"/>
          </v:shape>
        </w:pict>
      </w:r>
      <w:r>
        <w:rPr/>
        <w:pict>
          <v:shape style="position:absolute;margin-left:373.140289pt;margin-top:17.532019pt;width:44.4pt;height:46.8pt;mso-position-horizontal-relative:page;mso-position-vertical-relative:paragraph;z-index:-1401808" type="#_x0000_t202" filled="false" stroked="false">
            <v:textbox inset="0,0,0,0">
              <w:txbxContent>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12"/>
                      <w:szCs w:val="12"/>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p>
              </w:txbxContent>
            </v:textbox>
            <w10:wrap type="none"/>
          </v:shape>
        </w:pict>
      </w:r>
      <w:r>
        <w:rPr>
          <w:rFonts w:ascii="宋体" w:hAnsi="宋体" w:cs="宋体" w:eastAsia="宋体" w:hint="default"/>
          <w:sz w:val="18"/>
          <w:szCs w:val="18"/>
        </w:rPr>
        <w:t>√ 适用 □ 不适用</w:t>
      </w:r>
    </w:p>
    <w:p>
      <w:pPr>
        <w:spacing w:line="240" w:lineRule="auto" w:before="1"/>
        <w:rPr>
          <w:rFonts w:ascii="宋体" w:hAnsi="宋体" w:cs="宋体" w:eastAsia="宋体" w:hint="default"/>
          <w:sz w:val="8"/>
          <w:szCs w:val="8"/>
        </w:rPr>
      </w:pPr>
    </w:p>
    <w:tbl>
      <w:tblPr>
        <w:tblW w:w="0" w:type="auto"/>
        <w:jc w:val="left"/>
        <w:tblInd w:w="105" w:type="dxa"/>
        <w:tblLayout w:type="fixed"/>
        <w:tblCellMar>
          <w:top w:w="0" w:type="dxa"/>
          <w:left w:w="0" w:type="dxa"/>
          <w:bottom w:w="0" w:type="dxa"/>
          <w:right w:w="0" w:type="dxa"/>
        </w:tblCellMar>
        <w:tblLook w:val="01E0"/>
      </w:tblPr>
      <w:tblGrid>
        <w:gridCol w:w="1099"/>
        <w:gridCol w:w="1001"/>
        <w:gridCol w:w="700"/>
        <w:gridCol w:w="1534"/>
        <w:gridCol w:w="1518"/>
        <w:gridCol w:w="740"/>
        <w:gridCol w:w="796"/>
        <w:gridCol w:w="798"/>
        <w:gridCol w:w="984"/>
        <w:gridCol w:w="740"/>
        <w:gridCol w:w="890"/>
        <w:gridCol w:w="764"/>
      </w:tblGrid>
      <w:tr>
        <w:trPr>
          <w:trHeight w:val="946" w:hRule="exact"/>
        </w:trPr>
        <w:tc>
          <w:tcPr>
            <w:tcW w:w="109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274"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100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315" w:right="313"/>
              <w:jc w:val="left"/>
              <w:rPr>
                <w:rFonts w:ascii="宋体" w:hAnsi="宋体" w:cs="宋体" w:eastAsia="宋体" w:hint="default"/>
                <w:sz w:val="18"/>
                <w:szCs w:val="18"/>
              </w:rPr>
            </w:pPr>
            <w:r>
              <w:rPr>
                <w:rFonts w:ascii="宋体" w:hAnsi="宋体" w:cs="宋体" w:eastAsia="宋体" w:hint="default"/>
                <w:sz w:val="18"/>
                <w:szCs w:val="18"/>
              </w:rPr>
              <w:t>关联 关系</w:t>
            </w:r>
          </w:p>
        </w:tc>
        <w:tc>
          <w:tcPr>
            <w:tcW w:w="70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74" w:right="73"/>
              <w:jc w:val="left"/>
              <w:rPr>
                <w:rFonts w:ascii="宋体" w:hAnsi="宋体" w:cs="宋体" w:eastAsia="宋体" w:hint="default"/>
                <w:sz w:val="18"/>
                <w:szCs w:val="18"/>
              </w:rPr>
            </w:pPr>
            <w:r>
              <w:rPr>
                <w:rFonts w:ascii="宋体" w:hAnsi="宋体" w:cs="宋体" w:eastAsia="宋体" w:hint="default"/>
                <w:sz w:val="18"/>
                <w:szCs w:val="18"/>
              </w:rPr>
              <w:t>关联交 易类型</w:t>
            </w:r>
          </w:p>
        </w:tc>
        <w:tc>
          <w:tcPr>
            <w:tcW w:w="153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220"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151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关联交易定价原则</w:t>
            </w:r>
          </w:p>
        </w:tc>
        <w:tc>
          <w:tcPr>
            <w:tcW w:w="74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10"/>
              <w:ind w:left="-1" w:right="5" w:firstLine="4"/>
              <w:jc w:val="both"/>
              <w:rPr>
                <w:rFonts w:ascii="宋体" w:hAnsi="宋体" w:cs="宋体" w:eastAsia="宋体" w:hint="default"/>
                <w:sz w:val="18"/>
                <w:szCs w:val="18"/>
              </w:rPr>
            </w:pPr>
            <w:r>
              <w:rPr>
                <w:rFonts w:ascii="宋体" w:hAnsi="宋体" w:cs="宋体" w:eastAsia="宋体" w:hint="default"/>
                <w:sz w:val="18"/>
                <w:szCs w:val="18"/>
              </w:rPr>
              <w:t>转让资产 的账面价 </w:t>
            </w:r>
            <w:r>
              <w:rPr>
                <w:rFonts w:ascii="宋体" w:hAnsi="宋体" w:cs="宋体" w:eastAsia="宋体" w:hint="default"/>
                <w:spacing w:val="-21"/>
                <w:sz w:val="18"/>
                <w:szCs w:val="18"/>
              </w:rPr>
              <w:t>值（万元</w:t>
            </w:r>
          </w:p>
        </w:tc>
        <w:tc>
          <w:tcPr>
            <w:tcW w:w="79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10"/>
              <w:ind w:right="31" w:firstLine="32"/>
              <w:jc w:val="both"/>
              <w:rPr>
                <w:rFonts w:ascii="宋体" w:hAnsi="宋体" w:cs="宋体" w:eastAsia="宋体" w:hint="default"/>
                <w:sz w:val="18"/>
                <w:szCs w:val="18"/>
              </w:rPr>
            </w:pPr>
            <w:r>
              <w:rPr>
                <w:rFonts w:ascii="宋体" w:hAnsi="宋体" w:cs="宋体" w:eastAsia="宋体" w:hint="default"/>
                <w:sz w:val="18"/>
                <w:szCs w:val="18"/>
              </w:rPr>
              <w:t>转让资产 的评估价 </w:t>
            </w:r>
            <w:r>
              <w:rPr>
                <w:rFonts w:ascii="宋体" w:hAnsi="宋体" w:cs="宋体" w:eastAsia="宋体" w:hint="default"/>
                <w:spacing w:val="-6"/>
                <w:sz w:val="18"/>
                <w:szCs w:val="18"/>
              </w:rPr>
              <w:t>值（万元</w:t>
            </w:r>
          </w:p>
        </w:tc>
        <w:tc>
          <w:tcPr>
            <w:tcW w:w="79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转让价格</w:t>
            </w:r>
          </w:p>
          <w:p>
            <w:pPr>
              <w:pStyle w:val="TableParagraph"/>
              <w:spacing w:line="240" w:lineRule="auto" w:before="76"/>
              <w:ind w:left="33"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9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218" w:right="35" w:hanging="180"/>
              <w:jc w:val="left"/>
              <w:rPr>
                <w:rFonts w:ascii="宋体" w:hAnsi="宋体" w:cs="宋体" w:eastAsia="宋体" w:hint="default"/>
                <w:sz w:val="18"/>
                <w:szCs w:val="18"/>
              </w:rPr>
            </w:pPr>
            <w:r>
              <w:rPr>
                <w:rFonts w:ascii="宋体" w:hAnsi="宋体" w:cs="宋体" w:eastAsia="宋体" w:hint="default"/>
                <w:sz w:val="18"/>
                <w:szCs w:val="18"/>
              </w:rPr>
              <w:t>关联交易结 算方式</w:t>
            </w:r>
          </w:p>
        </w:tc>
        <w:tc>
          <w:tcPr>
            <w:tcW w:w="74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6" w:right="0"/>
              <w:jc w:val="left"/>
              <w:rPr>
                <w:rFonts w:ascii="宋体" w:hAnsi="宋体" w:cs="宋体" w:eastAsia="宋体" w:hint="default"/>
                <w:sz w:val="18"/>
                <w:szCs w:val="18"/>
              </w:rPr>
            </w:pPr>
            <w:r>
              <w:rPr>
                <w:rFonts w:ascii="宋体" w:hAnsi="宋体" w:cs="宋体" w:eastAsia="宋体" w:hint="default"/>
                <w:sz w:val="18"/>
                <w:szCs w:val="18"/>
              </w:rPr>
              <w:t>交易损益</w:t>
            </w:r>
          </w:p>
          <w:p>
            <w:pPr>
              <w:pStyle w:val="TableParagraph"/>
              <w:spacing w:line="240" w:lineRule="auto" w:before="76"/>
              <w:ind w:left="6"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89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79" w:right="0"/>
              <w:jc w:val="left"/>
              <w:rPr>
                <w:rFonts w:ascii="宋体" w:hAnsi="宋体" w:cs="宋体" w:eastAsia="宋体" w:hint="default"/>
                <w:sz w:val="18"/>
                <w:szCs w:val="18"/>
              </w:rPr>
            </w:pPr>
            <w:r>
              <w:rPr>
                <w:rFonts w:ascii="宋体" w:hAnsi="宋体" w:cs="宋体" w:eastAsia="宋体" w:hint="default"/>
                <w:sz w:val="18"/>
                <w:szCs w:val="18"/>
              </w:rPr>
              <w:t>披露日期</w:t>
            </w:r>
          </w:p>
        </w:tc>
        <w:tc>
          <w:tcPr>
            <w:tcW w:w="76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6" w:right="0"/>
              <w:jc w:val="left"/>
              <w:rPr>
                <w:rFonts w:ascii="宋体" w:hAnsi="宋体" w:cs="宋体" w:eastAsia="宋体" w:hint="default"/>
                <w:sz w:val="18"/>
                <w:szCs w:val="18"/>
              </w:rPr>
            </w:pPr>
            <w:r>
              <w:rPr>
                <w:rFonts w:ascii="宋体" w:hAnsi="宋体" w:cs="宋体" w:eastAsia="宋体" w:hint="default"/>
                <w:sz w:val="18"/>
                <w:szCs w:val="18"/>
              </w:rPr>
              <w:t>披露索引</w:t>
            </w:r>
          </w:p>
        </w:tc>
      </w:tr>
      <w:tr>
        <w:trPr>
          <w:trHeight w:val="946" w:hRule="exact"/>
        </w:trPr>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357" w:lineRule="auto" w:before="25"/>
              <w:ind w:left="1" w:right="127"/>
              <w:jc w:val="both"/>
              <w:rPr>
                <w:rFonts w:ascii="宋体" w:hAnsi="宋体" w:cs="宋体" w:eastAsia="宋体" w:hint="default"/>
                <w:sz w:val="16"/>
                <w:szCs w:val="16"/>
              </w:rPr>
            </w:pPr>
            <w:r>
              <w:rPr>
                <w:rFonts w:ascii="宋体" w:hAnsi="宋体" w:cs="宋体" w:eastAsia="宋体" w:hint="default"/>
                <w:sz w:val="16"/>
                <w:szCs w:val="16"/>
              </w:rPr>
              <w:t>中国电子信息</w:t>
            </w:r>
            <w:r>
              <w:rPr>
                <w:rFonts w:ascii="宋体" w:hAnsi="宋体" w:cs="宋体" w:eastAsia="宋体" w:hint="default"/>
                <w:w w:val="99"/>
                <w:sz w:val="16"/>
                <w:szCs w:val="16"/>
              </w:rPr>
              <w:t> </w:t>
            </w:r>
            <w:r>
              <w:rPr>
                <w:rFonts w:ascii="宋体" w:hAnsi="宋体" w:cs="宋体" w:eastAsia="宋体" w:hint="default"/>
                <w:sz w:val="16"/>
                <w:szCs w:val="16"/>
              </w:rPr>
              <w:t>产业集团有限</w:t>
            </w:r>
            <w:r>
              <w:rPr>
                <w:rFonts w:ascii="宋体" w:hAnsi="宋体" w:cs="宋体" w:eastAsia="宋体" w:hint="default"/>
                <w:w w:val="99"/>
                <w:sz w:val="16"/>
                <w:szCs w:val="16"/>
              </w:rPr>
              <w:t> </w:t>
            </w:r>
            <w:r>
              <w:rPr>
                <w:rFonts w:ascii="宋体" w:hAnsi="宋体" w:cs="宋体" w:eastAsia="宋体" w:hint="default"/>
                <w:sz w:val="16"/>
                <w:szCs w:val="16"/>
              </w:rPr>
              <w:t>公司</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8"/>
              <w:ind w:left="1" w:right="0"/>
              <w:jc w:val="left"/>
              <w:rPr>
                <w:rFonts w:ascii="宋体" w:hAnsi="宋体" w:cs="宋体" w:eastAsia="宋体" w:hint="default"/>
                <w:sz w:val="16"/>
                <w:szCs w:val="16"/>
              </w:rPr>
            </w:pPr>
            <w:r>
              <w:rPr>
                <w:rFonts w:ascii="宋体" w:hAnsi="宋体" w:cs="宋体" w:eastAsia="宋体" w:hint="default"/>
                <w:sz w:val="16"/>
                <w:szCs w:val="16"/>
              </w:rPr>
              <w:t>实际控制人</w:t>
            </w:r>
          </w:p>
        </w:tc>
        <w:tc>
          <w:tcPr>
            <w:tcW w:w="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8"/>
              <w:ind w:right="24"/>
              <w:jc w:val="right"/>
              <w:rPr>
                <w:rFonts w:ascii="宋体" w:hAnsi="宋体" w:cs="宋体" w:eastAsia="宋体" w:hint="default"/>
                <w:sz w:val="16"/>
                <w:szCs w:val="16"/>
              </w:rPr>
            </w:pPr>
            <w:r>
              <w:rPr>
                <w:rFonts w:ascii="宋体" w:hAnsi="宋体" w:cs="宋体" w:eastAsia="宋体" w:hint="default"/>
                <w:w w:val="95"/>
                <w:sz w:val="16"/>
                <w:szCs w:val="16"/>
              </w:rPr>
              <w:t>股权收购</w:t>
            </w:r>
            <w:r>
              <w:rPr>
                <w:rFonts w:ascii="宋体" w:hAnsi="宋体" w:cs="宋体" w:eastAsia="宋体" w:hint="default"/>
                <w:sz w:val="16"/>
                <w:szCs w:val="16"/>
              </w:rPr>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357" w:lineRule="auto"/>
              <w:ind w:left="-1" w:right="83"/>
              <w:jc w:val="left"/>
              <w:rPr>
                <w:rFonts w:ascii="宋体" w:hAnsi="宋体" w:cs="宋体" w:eastAsia="宋体" w:hint="default"/>
                <w:sz w:val="16"/>
                <w:szCs w:val="16"/>
              </w:rPr>
            </w:pPr>
            <w:r>
              <w:rPr>
                <w:rFonts w:ascii="宋体" w:hAnsi="宋体" w:cs="宋体" w:eastAsia="宋体" w:hint="default"/>
                <w:sz w:val="16"/>
                <w:szCs w:val="16"/>
              </w:rPr>
              <w:t>中原电子收购中元股</w:t>
            </w:r>
            <w:r>
              <w:rPr>
                <w:rFonts w:ascii="宋体" w:hAnsi="宋体" w:cs="宋体" w:eastAsia="宋体" w:hint="default"/>
                <w:w w:val="99"/>
                <w:sz w:val="16"/>
                <w:szCs w:val="16"/>
              </w:rPr>
              <w:t> </w:t>
            </w:r>
            <w:r>
              <w:rPr>
                <w:rFonts w:ascii="宋体" w:hAnsi="宋体" w:cs="宋体" w:eastAsia="宋体" w:hint="default"/>
                <w:sz w:val="16"/>
                <w:szCs w:val="16"/>
              </w:rPr>
              <w:t>份</w:t>
            </w:r>
            <w:r>
              <w:rPr>
                <w:rFonts w:ascii="宋体" w:hAnsi="宋体" w:cs="宋体" w:eastAsia="宋体" w:hint="default"/>
                <w:spacing w:val="-45"/>
                <w:sz w:val="16"/>
                <w:szCs w:val="16"/>
              </w:rPr>
              <w:t> </w:t>
            </w:r>
            <w:r>
              <w:rPr>
                <w:rFonts w:ascii="Times New Roman" w:hAnsi="Times New Roman" w:cs="Times New Roman" w:eastAsia="Times New Roman" w:hint="default"/>
                <w:sz w:val="16"/>
                <w:szCs w:val="16"/>
              </w:rPr>
              <w:t>18.68%</w:t>
            </w:r>
            <w:r>
              <w:rPr>
                <w:rFonts w:ascii="宋体" w:hAnsi="宋体" w:cs="宋体" w:eastAsia="宋体" w:hint="default"/>
                <w:sz w:val="16"/>
                <w:szCs w:val="16"/>
              </w:rPr>
              <w:t>股权</w:t>
            </w:r>
          </w:p>
        </w:tc>
        <w:tc>
          <w:tcPr>
            <w:tcW w:w="15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 w:right="0"/>
              <w:jc w:val="left"/>
              <w:rPr>
                <w:rFonts w:ascii="宋体" w:hAnsi="宋体" w:cs="宋体" w:eastAsia="宋体" w:hint="default"/>
                <w:sz w:val="16"/>
                <w:szCs w:val="16"/>
              </w:rPr>
            </w:pPr>
            <w:r>
              <w:rPr>
                <w:rFonts w:ascii="宋体" w:hAnsi="宋体" w:cs="宋体" w:eastAsia="宋体" w:hint="default"/>
                <w:sz w:val="16"/>
                <w:szCs w:val="16"/>
              </w:rPr>
              <w:t>以基准日</w:t>
            </w:r>
            <w:r>
              <w:rPr>
                <w:rFonts w:ascii="宋体" w:hAnsi="宋体" w:cs="宋体" w:eastAsia="宋体" w:hint="default"/>
                <w:spacing w:val="-44"/>
                <w:sz w:val="16"/>
                <w:szCs w:val="16"/>
              </w:rPr>
              <w:t> </w:t>
            </w:r>
            <w:r>
              <w:rPr>
                <w:rFonts w:ascii="Times New Roman" w:hAnsi="Times New Roman" w:cs="Times New Roman" w:eastAsia="Times New Roman" w:hint="default"/>
                <w:sz w:val="16"/>
                <w:szCs w:val="16"/>
              </w:rPr>
              <w:t>2018</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年</w:t>
            </w:r>
            <w:r>
              <w:rPr>
                <w:rFonts w:ascii="宋体" w:hAnsi="宋体" w:cs="宋体" w:eastAsia="宋体" w:hint="default"/>
                <w:spacing w:val="-44"/>
                <w:sz w:val="16"/>
                <w:szCs w:val="16"/>
              </w:rPr>
              <w:t> </w:t>
            </w:r>
            <w:r>
              <w:rPr>
                <w:rFonts w:ascii="Times New Roman" w:hAnsi="Times New Roman" w:cs="Times New Roman" w:eastAsia="Times New Roman" w:hint="default"/>
                <w:sz w:val="16"/>
                <w:szCs w:val="16"/>
              </w:rPr>
              <w:t>9</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月</w:t>
            </w:r>
          </w:p>
          <w:p>
            <w:pPr>
              <w:pStyle w:val="TableParagraph"/>
              <w:spacing w:line="338" w:lineRule="auto" w:before="90"/>
              <w:ind w:left="-1" w:right="26"/>
              <w:jc w:val="left"/>
              <w:rPr>
                <w:rFonts w:ascii="宋体" w:hAnsi="宋体" w:cs="宋体" w:eastAsia="宋体" w:hint="default"/>
                <w:sz w:val="16"/>
                <w:szCs w:val="16"/>
              </w:rPr>
            </w:pPr>
            <w:r>
              <w:rPr>
                <w:rFonts w:ascii="Times New Roman" w:hAnsi="Times New Roman" w:cs="Times New Roman" w:eastAsia="Times New Roman" w:hint="default"/>
                <w:sz w:val="16"/>
                <w:szCs w:val="16"/>
              </w:rPr>
              <w:t>30</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日的审计、评估结</w:t>
            </w:r>
            <w:r>
              <w:rPr>
                <w:rFonts w:ascii="宋体" w:hAnsi="宋体" w:cs="宋体" w:eastAsia="宋体" w:hint="default"/>
                <w:w w:val="99"/>
                <w:sz w:val="16"/>
                <w:szCs w:val="16"/>
              </w:rPr>
              <w:t> </w:t>
            </w:r>
            <w:r>
              <w:rPr>
                <w:rFonts w:ascii="宋体" w:hAnsi="宋体" w:cs="宋体" w:eastAsia="宋体" w:hint="default"/>
                <w:sz w:val="16"/>
                <w:szCs w:val="16"/>
              </w:rPr>
              <w:t>果为基础协商确定</w:t>
            </w:r>
          </w:p>
        </w:tc>
        <w:tc>
          <w:tcPr>
            <w:tcW w:w="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89" w:right="0"/>
              <w:jc w:val="center"/>
              <w:rPr>
                <w:rFonts w:ascii="Times New Roman" w:hAnsi="Times New Roman" w:cs="Times New Roman" w:eastAsia="Times New Roman" w:hint="default"/>
                <w:sz w:val="16"/>
                <w:szCs w:val="16"/>
              </w:rPr>
            </w:pPr>
            <w:r>
              <w:rPr>
                <w:rFonts w:ascii="Times New Roman"/>
                <w:sz w:val="16"/>
              </w:rPr>
              <w:t>43,260.95</w:t>
            </w: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
              <w:jc w:val="right"/>
              <w:rPr>
                <w:rFonts w:ascii="Times New Roman" w:hAnsi="Times New Roman" w:cs="Times New Roman" w:eastAsia="Times New Roman" w:hint="default"/>
                <w:sz w:val="16"/>
                <w:szCs w:val="16"/>
              </w:rPr>
            </w:pPr>
            <w:r>
              <w:rPr>
                <w:rFonts w:ascii="Times New Roman"/>
                <w:spacing w:val="-1"/>
                <w:sz w:val="16"/>
              </w:rPr>
              <w:t>58,774.50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
              <w:jc w:val="right"/>
              <w:rPr>
                <w:rFonts w:ascii="Times New Roman" w:hAnsi="Times New Roman" w:cs="Times New Roman" w:eastAsia="Times New Roman" w:hint="default"/>
                <w:sz w:val="16"/>
                <w:szCs w:val="16"/>
              </w:rPr>
            </w:pPr>
            <w:r>
              <w:rPr>
                <w:rFonts w:ascii="Times New Roman"/>
                <w:spacing w:val="-1"/>
                <w:sz w:val="16"/>
              </w:rPr>
              <w:t>58,774.50</w:t>
            </w:r>
          </w:p>
        </w:tc>
        <w:tc>
          <w:tcPr>
            <w:tcW w:w="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8"/>
              <w:ind w:right="167"/>
              <w:jc w:val="right"/>
              <w:rPr>
                <w:rFonts w:ascii="宋体" w:hAnsi="宋体" w:cs="宋体" w:eastAsia="宋体" w:hint="default"/>
                <w:sz w:val="16"/>
                <w:szCs w:val="16"/>
              </w:rPr>
            </w:pPr>
            <w:r>
              <w:rPr>
                <w:rFonts w:ascii="宋体" w:hAnsi="宋体" w:cs="宋体" w:eastAsia="宋体" w:hint="default"/>
                <w:w w:val="95"/>
                <w:sz w:val="16"/>
                <w:szCs w:val="16"/>
              </w:rPr>
              <w:t>自筹资金</w:t>
            </w:r>
            <w:r>
              <w:rPr>
                <w:rFonts w:ascii="宋体" w:hAnsi="宋体" w:cs="宋体" w:eastAsia="宋体" w:hint="default"/>
                <w:sz w:val="16"/>
                <w:szCs w:val="16"/>
              </w:rPr>
            </w:r>
          </w:p>
        </w:tc>
        <w:tc>
          <w:tcPr>
            <w:tcW w:w="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 w:right="0"/>
              <w:jc w:val="center"/>
              <w:rPr>
                <w:rFonts w:ascii="Times New Roman" w:hAnsi="Times New Roman" w:cs="Times New Roman" w:eastAsia="Times New Roman" w:hint="default"/>
                <w:sz w:val="16"/>
                <w:szCs w:val="16"/>
              </w:rPr>
            </w:pPr>
            <w:r>
              <w:rPr>
                <w:rFonts w:ascii="Times New Roman"/>
                <w:sz w:val="16"/>
              </w:rPr>
              <w:t>3,310.76</w:t>
            </w:r>
          </w:p>
        </w:tc>
        <w:tc>
          <w:tcPr>
            <w:tcW w:w="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1" w:right="-1"/>
              <w:jc w:val="left"/>
              <w:rPr>
                <w:rFonts w:ascii="宋体" w:hAnsi="宋体" w:cs="宋体" w:eastAsia="宋体" w:hint="default"/>
                <w:sz w:val="16"/>
                <w:szCs w:val="16"/>
              </w:rPr>
            </w:pPr>
            <w:r>
              <w:rPr>
                <w:rFonts w:ascii="Times New Roman" w:hAnsi="Times New Roman" w:cs="Times New Roman" w:eastAsia="Times New Roman" w:hint="default"/>
                <w:sz w:val="16"/>
                <w:szCs w:val="16"/>
              </w:rPr>
              <w:t>2018</w:t>
            </w:r>
            <w:r>
              <w:rPr>
                <w:rFonts w:ascii="Times New Roman" w:hAnsi="Times New Roman" w:cs="Times New Roman" w:eastAsia="Times New Roman" w:hint="default"/>
                <w:spacing w:val="-12"/>
                <w:sz w:val="16"/>
                <w:szCs w:val="16"/>
              </w:rPr>
              <w:t> </w:t>
            </w:r>
            <w:r>
              <w:rPr>
                <w:rFonts w:ascii="宋体" w:hAnsi="宋体" w:cs="宋体" w:eastAsia="宋体" w:hint="default"/>
                <w:sz w:val="16"/>
                <w:szCs w:val="16"/>
              </w:rPr>
              <w:t>年</w:t>
            </w:r>
            <w:r>
              <w:rPr>
                <w:rFonts w:ascii="宋体" w:hAnsi="宋体" w:cs="宋体" w:eastAsia="宋体" w:hint="default"/>
                <w:spacing w:val="-54"/>
                <w:sz w:val="16"/>
                <w:szCs w:val="16"/>
              </w:rPr>
              <w:t> </w:t>
            </w:r>
            <w:r>
              <w:rPr>
                <w:rFonts w:ascii="Times New Roman" w:hAnsi="Times New Roman" w:cs="Times New Roman" w:eastAsia="Times New Roman" w:hint="default"/>
                <w:spacing w:val="-3"/>
                <w:sz w:val="16"/>
                <w:szCs w:val="16"/>
              </w:rPr>
              <w:t>11</w:t>
            </w:r>
            <w:r>
              <w:rPr>
                <w:rFonts w:ascii="Times New Roman" w:hAnsi="Times New Roman" w:cs="Times New Roman" w:eastAsia="Times New Roman" w:hint="default"/>
                <w:spacing w:val="-12"/>
                <w:sz w:val="16"/>
                <w:szCs w:val="16"/>
              </w:rPr>
              <w:t> </w:t>
            </w:r>
            <w:r>
              <w:rPr>
                <w:rFonts w:ascii="宋体" w:hAnsi="宋体" w:cs="宋体" w:eastAsia="宋体" w:hint="default"/>
                <w:sz w:val="16"/>
                <w:szCs w:val="16"/>
              </w:rPr>
              <w:t>月</w:t>
            </w:r>
          </w:p>
          <w:p>
            <w:pPr>
              <w:pStyle w:val="TableParagraph"/>
              <w:spacing w:line="240" w:lineRule="auto" w:before="90"/>
              <w:ind w:left="-1"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27</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日</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 w:right="0"/>
              <w:jc w:val="left"/>
              <w:rPr>
                <w:rFonts w:ascii="Times New Roman" w:hAnsi="Times New Roman" w:cs="Times New Roman" w:eastAsia="Times New Roman" w:hint="default"/>
                <w:sz w:val="16"/>
                <w:szCs w:val="16"/>
              </w:rPr>
            </w:pPr>
            <w:r>
              <w:rPr>
                <w:rFonts w:ascii="Times New Roman"/>
                <w:sz w:val="16"/>
              </w:rPr>
              <w:t>2018-099</w:t>
            </w:r>
          </w:p>
          <w:p>
            <w:pPr>
              <w:pStyle w:val="TableParagraph"/>
              <w:spacing w:line="240" w:lineRule="auto" w:before="91"/>
              <w:ind w:left="-1" w:right="0"/>
              <w:jc w:val="left"/>
              <w:rPr>
                <w:rFonts w:ascii="宋体" w:hAnsi="宋体" w:cs="宋体" w:eastAsia="宋体" w:hint="default"/>
                <w:sz w:val="16"/>
                <w:szCs w:val="16"/>
              </w:rPr>
            </w:pPr>
            <w:r>
              <w:rPr>
                <w:rFonts w:ascii="宋体" w:hAnsi="宋体" w:cs="宋体" w:eastAsia="宋体" w:hint="default"/>
                <w:sz w:val="16"/>
                <w:szCs w:val="16"/>
              </w:rPr>
              <w:t>号公告</w:t>
            </w:r>
          </w:p>
        </w:tc>
      </w:tr>
      <w:tr>
        <w:trPr>
          <w:trHeight w:val="947" w:hRule="exact"/>
        </w:trPr>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357" w:lineRule="auto"/>
              <w:ind w:left="1" w:right="127"/>
              <w:jc w:val="left"/>
              <w:rPr>
                <w:rFonts w:ascii="宋体" w:hAnsi="宋体" w:cs="宋体" w:eastAsia="宋体" w:hint="default"/>
                <w:sz w:val="16"/>
                <w:szCs w:val="16"/>
              </w:rPr>
            </w:pPr>
            <w:r>
              <w:rPr>
                <w:rFonts w:ascii="宋体" w:hAnsi="宋体" w:cs="宋体" w:eastAsia="宋体" w:hint="default"/>
                <w:sz w:val="16"/>
                <w:szCs w:val="16"/>
              </w:rPr>
              <w:t>武汉长江电源</w:t>
            </w:r>
            <w:r>
              <w:rPr>
                <w:rFonts w:ascii="宋体" w:hAnsi="宋体" w:cs="宋体" w:eastAsia="宋体" w:hint="default"/>
                <w:w w:val="99"/>
                <w:sz w:val="16"/>
                <w:szCs w:val="16"/>
              </w:rPr>
              <w:t> </w:t>
            </w:r>
            <w:r>
              <w:rPr>
                <w:rFonts w:ascii="宋体" w:hAnsi="宋体" w:cs="宋体" w:eastAsia="宋体" w:hint="default"/>
                <w:sz w:val="16"/>
                <w:szCs w:val="16"/>
              </w:rPr>
              <w:t>有限公司</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357" w:lineRule="auto"/>
              <w:ind w:left="1" w:right="29"/>
              <w:jc w:val="left"/>
              <w:rPr>
                <w:rFonts w:ascii="宋体" w:hAnsi="宋体" w:cs="宋体" w:eastAsia="宋体" w:hint="default"/>
                <w:sz w:val="16"/>
                <w:szCs w:val="16"/>
              </w:rPr>
            </w:pPr>
            <w:r>
              <w:rPr>
                <w:rFonts w:ascii="宋体" w:hAnsi="宋体" w:cs="宋体" w:eastAsia="宋体" w:hint="default"/>
                <w:sz w:val="16"/>
                <w:szCs w:val="16"/>
              </w:rPr>
              <w:t>与公司为同一</w:t>
            </w:r>
            <w:r>
              <w:rPr>
                <w:rFonts w:ascii="宋体" w:hAnsi="宋体" w:cs="宋体" w:eastAsia="宋体" w:hint="default"/>
                <w:w w:val="99"/>
                <w:sz w:val="16"/>
                <w:szCs w:val="16"/>
              </w:rPr>
              <w:t> </w:t>
            </w:r>
            <w:r>
              <w:rPr>
                <w:rFonts w:ascii="宋体" w:hAnsi="宋体" w:cs="宋体" w:eastAsia="宋体" w:hint="default"/>
                <w:sz w:val="16"/>
                <w:szCs w:val="16"/>
              </w:rPr>
              <w:t>实际控制人</w:t>
            </w:r>
          </w:p>
        </w:tc>
        <w:tc>
          <w:tcPr>
            <w:tcW w:w="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9"/>
              <w:ind w:right="24"/>
              <w:jc w:val="right"/>
              <w:rPr>
                <w:rFonts w:ascii="宋体" w:hAnsi="宋体" w:cs="宋体" w:eastAsia="宋体" w:hint="default"/>
                <w:sz w:val="16"/>
                <w:szCs w:val="16"/>
              </w:rPr>
            </w:pPr>
            <w:r>
              <w:rPr>
                <w:rFonts w:ascii="宋体" w:hAnsi="宋体" w:cs="宋体" w:eastAsia="宋体" w:hint="default"/>
                <w:w w:val="95"/>
                <w:sz w:val="16"/>
                <w:szCs w:val="16"/>
              </w:rPr>
              <w:t>资产购买</w:t>
            </w:r>
            <w:r>
              <w:rPr>
                <w:rFonts w:ascii="宋体" w:hAnsi="宋体" w:cs="宋体" w:eastAsia="宋体" w:hint="default"/>
                <w:sz w:val="16"/>
                <w:szCs w:val="16"/>
              </w:rPr>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357" w:lineRule="auto" w:before="26"/>
              <w:ind w:left="-1" w:right="0"/>
              <w:jc w:val="both"/>
              <w:rPr>
                <w:rFonts w:ascii="宋体" w:hAnsi="宋体" w:cs="宋体" w:eastAsia="宋体" w:hint="default"/>
                <w:sz w:val="16"/>
                <w:szCs w:val="16"/>
              </w:rPr>
            </w:pPr>
            <w:r>
              <w:rPr>
                <w:rFonts w:ascii="宋体" w:hAnsi="宋体" w:cs="宋体" w:eastAsia="宋体" w:hint="default"/>
                <w:sz w:val="16"/>
                <w:szCs w:val="16"/>
              </w:rPr>
              <w:t>长江科技购买长江电</w:t>
            </w:r>
            <w:r>
              <w:rPr>
                <w:rFonts w:ascii="宋体" w:hAnsi="宋体" w:cs="宋体" w:eastAsia="宋体" w:hint="default"/>
                <w:w w:val="99"/>
                <w:sz w:val="16"/>
                <w:szCs w:val="16"/>
              </w:rPr>
              <w:t> </w:t>
            </w:r>
            <w:r>
              <w:rPr>
                <w:rFonts w:ascii="宋体" w:hAnsi="宋体" w:cs="宋体" w:eastAsia="宋体" w:hint="default"/>
                <w:sz w:val="16"/>
                <w:szCs w:val="16"/>
              </w:rPr>
              <w:t>源所有的汉南土地及</w:t>
            </w:r>
            <w:r>
              <w:rPr>
                <w:rFonts w:ascii="宋体" w:hAnsi="宋体" w:cs="宋体" w:eastAsia="宋体" w:hint="default"/>
                <w:w w:val="99"/>
                <w:sz w:val="16"/>
                <w:szCs w:val="16"/>
              </w:rPr>
              <w:t> </w:t>
            </w:r>
            <w:r>
              <w:rPr>
                <w:rFonts w:ascii="宋体" w:hAnsi="宋体" w:cs="宋体" w:eastAsia="宋体" w:hint="default"/>
                <w:spacing w:val="-8"/>
                <w:sz w:val="16"/>
                <w:szCs w:val="16"/>
              </w:rPr>
              <w:t>地上房屋建（构）筑物</w:t>
            </w:r>
          </w:p>
        </w:tc>
        <w:tc>
          <w:tcPr>
            <w:tcW w:w="15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 w:right="0"/>
              <w:jc w:val="left"/>
              <w:rPr>
                <w:rFonts w:ascii="宋体" w:hAnsi="宋体" w:cs="宋体" w:eastAsia="宋体" w:hint="default"/>
                <w:sz w:val="16"/>
                <w:szCs w:val="16"/>
              </w:rPr>
            </w:pPr>
            <w:r>
              <w:rPr>
                <w:rFonts w:ascii="宋体" w:hAnsi="宋体" w:cs="宋体" w:eastAsia="宋体" w:hint="default"/>
                <w:sz w:val="16"/>
                <w:szCs w:val="16"/>
              </w:rPr>
              <w:t>以基准日</w:t>
            </w:r>
            <w:r>
              <w:rPr>
                <w:rFonts w:ascii="宋体" w:hAnsi="宋体" w:cs="宋体" w:eastAsia="宋体" w:hint="default"/>
                <w:spacing w:val="-44"/>
                <w:sz w:val="16"/>
                <w:szCs w:val="16"/>
              </w:rPr>
              <w:t> </w:t>
            </w:r>
            <w:r>
              <w:rPr>
                <w:rFonts w:ascii="Times New Roman" w:hAnsi="Times New Roman" w:cs="Times New Roman" w:eastAsia="Times New Roman" w:hint="default"/>
                <w:sz w:val="16"/>
                <w:szCs w:val="16"/>
              </w:rPr>
              <w:t>2018</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年</w:t>
            </w:r>
            <w:r>
              <w:rPr>
                <w:rFonts w:ascii="宋体" w:hAnsi="宋体" w:cs="宋体" w:eastAsia="宋体" w:hint="default"/>
                <w:spacing w:val="-44"/>
                <w:sz w:val="16"/>
                <w:szCs w:val="16"/>
              </w:rPr>
              <w:t> </w:t>
            </w:r>
            <w:r>
              <w:rPr>
                <w:rFonts w:ascii="Times New Roman" w:hAnsi="Times New Roman" w:cs="Times New Roman" w:eastAsia="Times New Roman" w:hint="default"/>
                <w:sz w:val="16"/>
                <w:szCs w:val="16"/>
              </w:rPr>
              <w:t>7</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月</w:t>
            </w:r>
          </w:p>
          <w:p>
            <w:pPr>
              <w:pStyle w:val="TableParagraph"/>
              <w:spacing w:line="338" w:lineRule="auto" w:before="90"/>
              <w:ind w:left="-1" w:right="26"/>
              <w:jc w:val="left"/>
              <w:rPr>
                <w:rFonts w:ascii="宋体" w:hAnsi="宋体" w:cs="宋体" w:eastAsia="宋体" w:hint="default"/>
                <w:sz w:val="16"/>
                <w:szCs w:val="16"/>
              </w:rPr>
            </w:pPr>
            <w:r>
              <w:rPr>
                <w:rFonts w:ascii="Times New Roman" w:hAnsi="Times New Roman" w:cs="Times New Roman" w:eastAsia="Times New Roman" w:hint="default"/>
                <w:sz w:val="16"/>
                <w:szCs w:val="16"/>
              </w:rPr>
              <w:t>31</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日的评估结果为基</w:t>
            </w:r>
            <w:r>
              <w:rPr>
                <w:rFonts w:ascii="宋体" w:hAnsi="宋体" w:cs="宋体" w:eastAsia="宋体" w:hint="default"/>
                <w:w w:val="99"/>
                <w:sz w:val="16"/>
                <w:szCs w:val="16"/>
              </w:rPr>
              <w:t> </w:t>
            </w:r>
            <w:r>
              <w:rPr>
                <w:rFonts w:ascii="宋体" w:hAnsi="宋体" w:cs="宋体" w:eastAsia="宋体" w:hint="default"/>
                <w:sz w:val="16"/>
                <w:szCs w:val="16"/>
              </w:rPr>
              <w:t>础协商确定</w:t>
            </w:r>
          </w:p>
        </w:tc>
        <w:tc>
          <w:tcPr>
            <w:tcW w:w="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69" w:right="-1"/>
              <w:jc w:val="center"/>
              <w:rPr>
                <w:rFonts w:ascii="Times New Roman" w:hAnsi="Times New Roman" w:cs="Times New Roman" w:eastAsia="Times New Roman" w:hint="default"/>
                <w:sz w:val="16"/>
                <w:szCs w:val="16"/>
              </w:rPr>
            </w:pPr>
            <w:r>
              <w:rPr>
                <w:rFonts w:ascii="Times New Roman"/>
                <w:sz w:val="16"/>
              </w:rPr>
              <w:t>3,923.97</w:t>
            </w: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
              <w:jc w:val="right"/>
              <w:rPr>
                <w:rFonts w:ascii="Times New Roman" w:hAnsi="Times New Roman" w:cs="Times New Roman" w:eastAsia="Times New Roman" w:hint="default"/>
                <w:sz w:val="16"/>
                <w:szCs w:val="16"/>
              </w:rPr>
            </w:pPr>
            <w:r>
              <w:rPr>
                <w:rFonts w:ascii="Times New Roman"/>
                <w:spacing w:val="-1"/>
                <w:sz w:val="16"/>
              </w:rPr>
              <w:t>4,277.20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
              <w:jc w:val="right"/>
              <w:rPr>
                <w:rFonts w:ascii="Times New Roman" w:hAnsi="Times New Roman" w:cs="Times New Roman" w:eastAsia="Times New Roman" w:hint="default"/>
                <w:sz w:val="16"/>
                <w:szCs w:val="16"/>
              </w:rPr>
            </w:pPr>
            <w:r>
              <w:rPr>
                <w:rFonts w:ascii="Times New Roman"/>
                <w:spacing w:val="-1"/>
                <w:sz w:val="16"/>
              </w:rPr>
              <w:t>4,277.20</w:t>
            </w:r>
          </w:p>
        </w:tc>
        <w:tc>
          <w:tcPr>
            <w:tcW w:w="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9"/>
              <w:ind w:right="167"/>
              <w:jc w:val="right"/>
              <w:rPr>
                <w:rFonts w:ascii="宋体" w:hAnsi="宋体" w:cs="宋体" w:eastAsia="宋体" w:hint="default"/>
                <w:sz w:val="16"/>
                <w:szCs w:val="16"/>
              </w:rPr>
            </w:pPr>
            <w:r>
              <w:rPr>
                <w:rFonts w:ascii="宋体" w:hAnsi="宋体" w:cs="宋体" w:eastAsia="宋体" w:hint="default"/>
                <w:w w:val="95"/>
                <w:sz w:val="16"/>
                <w:szCs w:val="16"/>
              </w:rPr>
              <w:t>自筹资金</w:t>
            </w:r>
            <w:r>
              <w:rPr>
                <w:rFonts w:ascii="宋体" w:hAnsi="宋体" w:cs="宋体" w:eastAsia="宋体" w:hint="default"/>
                <w:sz w:val="16"/>
                <w:szCs w:val="16"/>
              </w:rPr>
            </w:r>
          </w:p>
        </w:tc>
        <w:tc>
          <w:tcPr>
            <w:tcW w:w="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79"/>
              <w:ind w:left="1" w:right="0"/>
              <w:jc w:val="center"/>
              <w:rPr>
                <w:rFonts w:ascii="Times New Roman" w:hAnsi="Times New Roman" w:cs="Times New Roman" w:eastAsia="Times New Roman" w:hint="default"/>
                <w:sz w:val="13"/>
                <w:szCs w:val="13"/>
              </w:rPr>
            </w:pPr>
            <w:r>
              <w:rPr>
                <w:rFonts w:ascii="Times New Roman"/>
                <w:sz w:val="13"/>
              </w:rPr>
              <w:t>--</w:t>
            </w:r>
          </w:p>
        </w:tc>
        <w:tc>
          <w:tcPr>
            <w:tcW w:w="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left="-1" w:right="-1"/>
              <w:jc w:val="left"/>
              <w:rPr>
                <w:rFonts w:ascii="宋体" w:hAnsi="宋体" w:cs="宋体" w:eastAsia="宋体" w:hint="default"/>
                <w:sz w:val="16"/>
                <w:szCs w:val="16"/>
              </w:rPr>
            </w:pPr>
            <w:r>
              <w:rPr>
                <w:rFonts w:ascii="Times New Roman" w:hAnsi="Times New Roman" w:cs="Times New Roman" w:eastAsia="Times New Roman" w:hint="default"/>
                <w:sz w:val="16"/>
                <w:szCs w:val="16"/>
              </w:rPr>
              <w:t>2018</w:t>
            </w:r>
            <w:r>
              <w:rPr>
                <w:rFonts w:ascii="Times New Roman" w:hAnsi="Times New Roman" w:cs="Times New Roman" w:eastAsia="Times New Roman" w:hint="default"/>
                <w:spacing w:val="-14"/>
                <w:sz w:val="16"/>
                <w:szCs w:val="16"/>
              </w:rPr>
              <w:t> </w:t>
            </w:r>
            <w:r>
              <w:rPr>
                <w:rFonts w:ascii="宋体" w:hAnsi="宋体" w:cs="宋体" w:eastAsia="宋体" w:hint="default"/>
                <w:sz w:val="16"/>
                <w:szCs w:val="16"/>
              </w:rPr>
              <w:t>年</w:t>
            </w:r>
            <w:r>
              <w:rPr>
                <w:rFonts w:ascii="宋体" w:hAnsi="宋体" w:cs="宋体" w:eastAsia="宋体" w:hint="default"/>
                <w:spacing w:val="-55"/>
                <w:sz w:val="16"/>
                <w:szCs w:val="16"/>
              </w:rPr>
              <w:t> </w:t>
            </w:r>
            <w:r>
              <w:rPr>
                <w:rFonts w:ascii="Times New Roman" w:hAnsi="Times New Roman" w:cs="Times New Roman" w:eastAsia="Times New Roman" w:hint="default"/>
                <w:sz w:val="16"/>
                <w:szCs w:val="16"/>
              </w:rPr>
              <w:t>12</w:t>
            </w:r>
            <w:r>
              <w:rPr>
                <w:rFonts w:ascii="Times New Roman" w:hAnsi="Times New Roman" w:cs="Times New Roman" w:eastAsia="Times New Roman" w:hint="default"/>
                <w:spacing w:val="-14"/>
                <w:sz w:val="16"/>
                <w:szCs w:val="16"/>
              </w:rPr>
              <w:t> </w:t>
            </w:r>
            <w:r>
              <w:rPr>
                <w:rFonts w:ascii="宋体" w:hAnsi="宋体" w:cs="宋体" w:eastAsia="宋体" w:hint="default"/>
                <w:sz w:val="16"/>
                <w:szCs w:val="16"/>
              </w:rPr>
              <w:t>月</w:t>
            </w:r>
          </w:p>
          <w:p>
            <w:pPr>
              <w:pStyle w:val="TableParagraph"/>
              <w:spacing w:line="240" w:lineRule="auto" w:before="90"/>
              <w:ind w:left="-1"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22</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日</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1" w:right="0"/>
              <w:jc w:val="left"/>
              <w:rPr>
                <w:rFonts w:ascii="Times New Roman" w:hAnsi="Times New Roman" w:cs="Times New Roman" w:eastAsia="Times New Roman" w:hint="default"/>
                <w:sz w:val="16"/>
                <w:szCs w:val="16"/>
              </w:rPr>
            </w:pPr>
            <w:r>
              <w:rPr>
                <w:rFonts w:ascii="Times New Roman"/>
                <w:sz w:val="16"/>
              </w:rPr>
              <w:t>2018-110</w:t>
            </w:r>
          </w:p>
          <w:p>
            <w:pPr>
              <w:pStyle w:val="TableParagraph"/>
              <w:spacing w:line="240" w:lineRule="auto" w:before="91"/>
              <w:ind w:left="-1" w:right="0"/>
              <w:jc w:val="left"/>
              <w:rPr>
                <w:rFonts w:ascii="宋体" w:hAnsi="宋体" w:cs="宋体" w:eastAsia="宋体" w:hint="default"/>
                <w:sz w:val="16"/>
                <w:szCs w:val="16"/>
              </w:rPr>
            </w:pPr>
            <w:r>
              <w:rPr>
                <w:rFonts w:ascii="宋体" w:hAnsi="宋体" w:cs="宋体" w:eastAsia="宋体" w:hint="default"/>
                <w:sz w:val="16"/>
                <w:szCs w:val="16"/>
              </w:rPr>
              <w:t>号公告</w:t>
            </w:r>
          </w:p>
        </w:tc>
      </w:tr>
    </w:tbl>
    <w:p>
      <w:pPr>
        <w:spacing w:after="0" w:line="240" w:lineRule="auto"/>
        <w:jc w:val="left"/>
        <w:rPr>
          <w:rFonts w:ascii="宋体" w:hAnsi="宋体" w:cs="宋体" w:eastAsia="宋体" w:hint="default"/>
          <w:sz w:val="16"/>
          <w:szCs w:val="16"/>
        </w:rPr>
        <w:sectPr>
          <w:pgSz w:w="11910" w:h="16840"/>
          <w:pgMar w:header="787" w:footer="982" w:top="1100" w:bottom="1180" w:left="6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9"/>
          <w:szCs w:val="19"/>
        </w:rPr>
      </w:pPr>
    </w:p>
    <w:p>
      <w:pPr>
        <w:spacing w:before="44"/>
        <w:ind w:left="0" w:right="82" w:firstLine="0"/>
        <w:jc w:val="right"/>
        <w:rPr>
          <w:rFonts w:ascii="宋体" w:hAnsi="宋体" w:cs="宋体" w:eastAsia="宋体" w:hint="default"/>
          <w:sz w:val="18"/>
          <w:szCs w:val="18"/>
        </w:rPr>
      </w:pPr>
      <w:r>
        <w:rPr/>
        <w:pict>
          <v:shape style="position:absolute;margin-left:8.309995pt;margin-top:-61.748016pt;width:578.950pt;height:204.8pt;mso-position-horizontal-relative:page;mso-position-vertical-relative:paragraph;z-index:210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806"/>
                    <w:gridCol w:w="8758"/>
                  </w:tblGrid>
                  <w:tr>
                    <w:trPr>
                      <w:trHeight w:val="634" w:hRule="exact"/>
                    </w:trPr>
                    <w:tc>
                      <w:tcPr>
                        <w:tcW w:w="28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10"/>
                          <w:ind w:right="-8"/>
                          <w:jc w:val="left"/>
                          <w:rPr>
                            <w:rFonts w:ascii="宋体" w:hAnsi="宋体" w:cs="宋体" w:eastAsia="宋体" w:hint="default"/>
                            <w:sz w:val="18"/>
                            <w:szCs w:val="18"/>
                          </w:rPr>
                        </w:pPr>
                        <w:r>
                          <w:rPr>
                            <w:rFonts w:ascii="宋体" w:hAnsi="宋体" w:cs="宋体" w:eastAsia="宋体" w:hint="default"/>
                            <w:spacing w:val="6"/>
                            <w:sz w:val="18"/>
                            <w:szCs w:val="18"/>
                          </w:rPr>
                          <w:t>转让价格与账面价值或评估价值差</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异较大的原因（如有）</w:t>
                        </w:r>
                      </w:p>
                    </w:tc>
                    <w:tc>
                      <w:tcPr>
                        <w:tcW w:w="8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59" w:right="0"/>
                          <w:jc w:val="left"/>
                          <w:rPr>
                            <w:rFonts w:ascii="宋体" w:hAnsi="宋体" w:cs="宋体" w:eastAsia="宋体" w:hint="default"/>
                            <w:sz w:val="18"/>
                            <w:szCs w:val="18"/>
                          </w:rPr>
                        </w:pPr>
                        <w:r>
                          <w:rPr>
                            <w:rFonts w:ascii="宋体" w:hAnsi="宋体" w:cs="宋体" w:eastAsia="宋体" w:hint="default"/>
                            <w:sz w:val="18"/>
                            <w:szCs w:val="18"/>
                          </w:rPr>
                          <w:t>转让价格以评估价值作为协商定价基础。</w:t>
                        </w:r>
                      </w:p>
                    </w:tc>
                  </w:tr>
                  <w:tr>
                    <w:trPr>
                      <w:trHeight w:val="2819" w:hRule="exact"/>
                    </w:trPr>
                    <w:tc>
                      <w:tcPr>
                        <w:tcW w:w="28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61"/>
                          <w:ind w:right="-8"/>
                          <w:jc w:val="left"/>
                          <w:rPr>
                            <w:rFonts w:ascii="宋体" w:hAnsi="宋体" w:cs="宋体" w:eastAsia="宋体" w:hint="default"/>
                            <w:sz w:val="18"/>
                            <w:szCs w:val="18"/>
                          </w:rPr>
                        </w:pPr>
                        <w:r>
                          <w:rPr>
                            <w:rFonts w:ascii="宋体" w:hAnsi="宋体" w:cs="宋体" w:eastAsia="宋体" w:hint="default"/>
                            <w:spacing w:val="6"/>
                            <w:sz w:val="18"/>
                            <w:szCs w:val="18"/>
                          </w:rPr>
                          <w:t>对公司经营成果与财务状况的影响</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情况</w:t>
                        </w:r>
                      </w:p>
                    </w:tc>
                    <w:tc>
                      <w:tcPr>
                        <w:tcW w:w="8758"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11"/>
                          <w:ind w:left="-1" w:right="-1" w:firstLine="36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）中元股份为中原电子下属重要子企业，承担着军工科研生产任务，经营状况稳定，盈利能力较强。本 </w:t>
                        </w:r>
                        <w:r>
                          <w:rPr>
                            <w:rFonts w:ascii="宋体" w:hAnsi="宋体" w:cs="宋体" w:eastAsia="宋体" w:hint="default"/>
                            <w:spacing w:val="-2"/>
                            <w:sz w:val="18"/>
                            <w:szCs w:val="18"/>
                          </w:rPr>
                          <w:t>次股权收购是为了保障重大资产重组注入上市公司资产的完整性、独立性，提高经营管理效率，提升公司盈利能</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4"/>
                            <w:sz w:val="18"/>
                            <w:szCs w:val="18"/>
                          </w:rPr>
                          <w:t>力，且有利于中原电子在高新电子板块的军工战略目标实现，保持优势行业的主导地位，符合公司战略发展需要</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宋体" w:hAnsi="宋体" w:cs="宋体" w:eastAsia="宋体" w:hint="default"/>
                            <w:sz w:val="18"/>
                            <w:szCs w:val="18"/>
                          </w:rPr>
                          <w:t>参见第四节“重大股权投资情况说明”中的相关介绍。</w:t>
                        </w:r>
                      </w:p>
                      <w:p>
                        <w:pPr>
                          <w:pStyle w:val="TableParagraph"/>
                          <w:spacing w:line="314" w:lineRule="auto" w:before="22"/>
                          <w:ind w:left="-1" w:right="-1" w:firstLine="360"/>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）长江科技长期租用长江电源位于汉南区土地上的房屋建筑物作为生产经营场所，历年来陆续投资形成 </w:t>
                        </w:r>
                        <w:r>
                          <w:rPr>
                            <w:rFonts w:ascii="宋体" w:hAnsi="宋体" w:cs="宋体" w:eastAsia="宋体" w:hint="default"/>
                            <w:spacing w:val="-2"/>
                            <w:sz w:val="18"/>
                            <w:szCs w:val="18"/>
                          </w:rPr>
                          <w:t>较大金额的固定资产（不动产外），为避免因长江电源出售土地使用权及附属建筑物而造成的搬迁损失，同时为</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2"/>
                            <w:sz w:val="18"/>
                            <w:szCs w:val="18"/>
                          </w:rPr>
                          <w:t>保障下属企业生产经营场所的稳定，高效可持续健康发展，夯实资产基础，公司经研究后决定由长江科技购买长</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2"/>
                            <w:sz w:val="18"/>
                            <w:szCs w:val="18"/>
                          </w:rPr>
                          <w:t>江电源汉南区土地及房屋建（构）筑物。本次交易完成后，有助于解决下属公司生产经营场所的用地问题，优化</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z w:val="18"/>
                            <w:szCs w:val="18"/>
                          </w:rPr>
                          <w:t>资产结构，增强整体实力，符合公司战略发展需要。参见第四节“重大非股权投资情况说明”中的相关介绍。</w:t>
                        </w:r>
                      </w:p>
                    </w:tc>
                  </w:tr>
                  <w:tr>
                    <w:trPr>
                      <w:trHeight w:val="634" w:hRule="exact"/>
                    </w:trPr>
                    <w:tc>
                      <w:tcPr>
                        <w:tcW w:w="280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10"/>
                          <w:ind w:right="0"/>
                          <w:jc w:val="left"/>
                          <w:rPr>
                            <w:rFonts w:ascii="宋体" w:hAnsi="宋体" w:cs="宋体" w:eastAsia="宋体" w:hint="default"/>
                            <w:sz w:val="18"/>
                            <w:szCs w:val="18"/>
                          </w:rPr>
                        </w:pPr>
                        <w:r>
                          <w:rPr>
                            <w:rFonts w:ascii="宋体" w:hAnsi="宋体" w:cs="宋体" w:eastAsia="宋体" w:hint="default"/>
                            <w:spacing w:val="-6"/>
                            <w:sz w:val="18"/>
                            <w:szCs w:val="18"/>
                          </w:rPr>
                          <w:t>如相关交易涉及业绩约定的，报告期</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内的业绩实现情况</w:t>
                        </w:r>
                      </w:p>
                    </w:tc>
                    <w:tc>
                      <w:tcPr>
                        <w:tcW w:w="8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59"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p>
              </w:txbxContent>
            </v:textbox>
            <w10:wrap type="none"/>
          </v:shape>
        </w:pict>
      </w: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7"/>
          <w:szCs w:val="27"/>
        </w:rPr>
      </w:pPr>
    </w:p>
    <w:p>
      <w:pPr>
        <w:pStyle w:val="Heading5"/>
        <w:spacing w:line="240" w:lineRule="auto"/>
        <w:ind w:left="1074" w:right="1027"/>
        <w:jc w:val="left"/>
        <w:rPr>
          <w:b w:val="0"/>
          <w:bCs w:val="0"/>
        </w:rPr>
      </w:pPr>
      <w:r>
        <w:rPr>
          <w:rFonts w:ascii="Times New Roman" w:hAnsi="Times New Roman" w:cs="Times New Roman" w:eastAsia="Times New Roman" w:hint="default"/>
        </w:rPr>
        <w:t>3</w:t>
      </w:r>
      <w:r>
        <w:rPr/>
        <w:t>、共同对外投资的关联交易</w:t>
      </w:r>
      <w:r>
        <w:rPr>
          <w:b w:val="0"/>
          <w:bCs w:val="0"/>
        </w:rPr>
      </w:r>
    </w:p>
    <w:p>
      <w:pPr>
        <w:spacing w:line="240" w:lineRule="auto" w:before="5"/>
        <w:rPr>
          <w:rFonts w:ascii="宋体" w:hAnsi="宋体" w:cs="宋体" w:eastAsia="宋体" w:hint="default"/>
          <w:b/>
          <w:bCs/>
          <w:sz w:val="17"/>
          <w:szCs w:val="17"/>
        </w:rPr>
      </w:pPr>
    </w:p>
    <w:p>
      <w:pPr>
        <w:spacing w:line="360" w:lineRule="auto" w:before="0"/>
        <w:ind w:left="1433" w:right="7151" w:hanging="360"/>
        <w:jc w:val="left"/>
        <w:rPr>
          <w:rFonts w:ascii="宋体" w:hAnsi="宋体" w:cs="宋体" w:eastAsia="宋体" w:hint="default"/>
          <w:sz w:val="18"/>
          <w:szCs w:val="18"/>
        </w:rPr>
      </w:pPr>
      <w:r>
        <w:rPr>
          <w:rFonts w:ascii="宋体" w:hAnsi="宋体" w:cs="宋体" w:eastAsia="宋体" w:hint="default"/>
          <w:sz w:val="18"/>
          <w:szCs w:val="18"/>
        </w:rPr>
        <w:t>□ 适用 √ 不适用 与中电有限共同投资设立公司暨关联交易</w:t>
      </w:r>
    </w:p>
    <w:p>
      <w:pPr>
        <w:spacing w:before="25"/>
        <w:ind w:left="1433" w:right="1027" w:firstLine="0"/>
        <w:jc w:val="left"/>
        <w:rPr>
          <w:rFonts w:ascii="宋体" w:hAnsi="宋体" w:cs="宋体" w:eastAsia="宋体" w:hint="default"/>
          <w:sz w:val="18"/>
          <w:szCs w:val="18"/>
        </w:rPr>
      </w:pPr>
      <w:r>
        <w:rPr>
          <w:rFonts w:ascii="宋体" w:hAnsi="宋体" w:cs="宋体" w:eastAsia="宋体" w:hint="default"/>
          <w:sz w:val="18"/>
          <w:szCs w:val="18"/>
        </w:rPr>
        <w:t>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日公司第六届董事会审议</w:t>
      </w:r>
      <w:r>
        <w:rPr>
          <w:rFonts w:ascii="宋体" w:hAnsi="宋体" w:cs="宋体" w:eastAsia="宋体" w:hint="default"/>
          <w:spacing w:val="-21"/>
          <w:sz w:val="18"/>
          <w:szCs w:val="18"/>
        </w:rPr>
        <w:t>，</w:t>
      </w:r>
      <w:r>
        <w:rPr>
          <w:rFonts w:ascii="宋体" w:hAnsi="宋体" w:cs="宋体" w:eastAsia="宋体" w:hint="default"/>
          <w:sz w:val="18"/>
          <w:szCs w:val="18"/>
        </w:rPr>
        <w:t>同意公司与关联方中国电子有限公</w:t>
      </w:r>
      <w:r>
        <w:rPr>
          <w:rFonts w:ascii="宋体" w:hAnsi="宋体" w:cs="宋体" w:eastAsia="宋体" w:hint="default"/>
          <w:spacing w:val="-21"/>
          <w:sz w:val="18"/>
          <w:szCs w:val="18"/>
        </w:rPr>
        <w:t>司</w:t>
      </w:r>
      <w:r>
        <w:rPr>
          <w:rFonts w:ascii="宋体" w:hAnsi="宋体" w:cs="宋体" w:eastAsia="宋体" w:hint="default"/>
          <w:sz w:val="18"/>
          <w:szCs w:val="18"/>
        </w:rPr>
        <w:t>（简</w:t>
      </w:r>
      <w:r>
        <w:rPr>
          <w:rFonts w:ascii="宋体" w:hAnsi="宋体" w:cs="宋体" w:eastAsia="宋体" w:hint="default"/>
          <w:spacing w:val="-21"/>
          <w:sz w:val="18"/>
          <w:szCs w:val="18"/>
        </w:rPr>
        <w:t>称</w:t>
      </w:r>
      <w:r>
        <w:rPr>
          <w:rFonts w:ascii="宋体" w:hAnsi="宋体" w:cs="宋体" w:eastAsia="宋体" w:hint="default"/>
          <w:sz w:val="18"/>
          <w:szCs w:val="18"/>
        </w:rPr>
        <w:t>“中电有限</w:t>
      </w:r>
      <w:r>
        <w:rPr>
          <w:rFonts w:ascii="宋体" w:hAnsi="宋体" w:cs="宋体" w:eastAsia="宋体" w:hint="default"/>
          <w:spacing w:val="-90"/>
          <w:sz w:val="18"/>
          <w:szCs w:val="18"/>
        </w:rPr>
        <w:t>”</w:t>
      </w:r>
      <w:r>
        <w:rPr>
          <w:rFonts w:ascii="宋体" w:hAnsi="宋体" w:cs="宋体" w:eastAsia="宋体" w:hint="default"/>
          <w:spacing w:val="-21"/>
          <w:sz w:val="18"/>
          <w:szCs w:val="18"/>
        </w:rPr>
        <w:t>）</w:t>
      </w:r>
      <w:r>
        <w:rPr>
          <w:rFonts w:ascii="宋体" w:hAnsi="宋体" w:cs="宋体" w:eastAsia="宋体" w:hint="default"/>
          <w:sz w:val="18"/>
          <w:szCs w:val="18"/>
        </w:rPr>
        <w:t>共同投资设立合</w:t>
      </w:r>
    </w:p>
    <w:p>
      <w:pPr>
        <w:spacing w:line="302" w:lineRule="auto" w:before="63"/>
        <w:ind w:left="1074" w:right="1120" w:firstLine="0"/>
        <w:jc w:val="left"/>
        <w:rPr>
          <w:rFonts w:ascii="宋体" w:hAnsi="宋体" w:cs="宋体" w:eastAsia="宋体" w:hint="default"/>
          <w:sz w:val="18"/>
          <w:szCs w:val="18"/>
        </w:rPr>
      </w:pPr>
      <w:r>
        <w:rPr>
          <w:rFonts w:ascii="宋体" w:hAnsi="宋体" w:cs="宋体" w:eastAsia="宋体" w:hint="default"/>
          <w:sz w:val="18"/>
          <w:szCs w:val="18"/>
        </w:rPr>
        <w:t>资公司。合资公司注册资本为人民币</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2,000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万元，其中中国电子有限公司出资人民币</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1,020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万元，持股比例为</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51%</w:t>
      </w:r>
      <w:r>
        <w:rPr>
          <w:rFonts w:ascii="宋体" w:hAnsi="宋体" w:cs="宋体" w:eastAsia="宋体" w:hint="default"/>
          <w:sz w:val="18"/>
          <w:szCs w:val="18"/>
        </w:rPr>
        <w:t>；公司出 资人民币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980 </w:t>
      </w:r>
      <w:r>
        <w:rPr>
          <w:rFonts w:ascii="宋体" w:hAnsi="宋体" w:cs="宋体" w:eastAsia="宋体" w:hint="default"/>
          <w:sz w:val="18"/>
          <w:szCs w:val="18"/>
        </w:rPr>
        <w:t>万元，持股比例为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49%</w:t>
      </w:r>
      <w:r>
        <w:rPr>
          <w:rFonts w:ascii="宋体" w:hAnsi="宋体" w:cs="宋体" w:eastAsia="宋体" w:hint="default"/>
          <w:sz w:val="18"/>
          <w:szCs w:val="18"/>
        </w:rPr>
        <w:t>。</w:t>
      </w:r>
    </w:p>
    <w:p>
      <w:pPr>
        <w:spacing w:before="50"/>
        <w:ind w:left="1434" w:right="1027"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 </w:t>
      </w:r>
      <w:r>
        <w:rPr>
          <w:rFonts w:ascii="宋体" w:hAnsi="宋体" w:cs="宋体" w:eastAsia="宋体" w:hint="default"/>
          <w:sz w:val="18"/>
          <w:szCs w:val="18"/>
        </w:rPr>
        <w:t>日，合资公司深圳中电蓝海控股有限公司成立。</w:t>
      </w:r>
    </w:p>
    <w:p>
      <w:pPr>
        <w:spacing w:line="309" w:lineRule="auto" w:before="102"/>
        <w:ind w:left="1073" w:right="1131" w:firstLine="360"/>
        <w:jc w:val="both"/>
        <w:rPr>
          <w:rFonts w:ascii="宋体" w:hAnsi="宋体" w:cs="宋体" w:eastAsia="宋体" w:hint="default"/>
          <w:sz w:val="18"/>
          <w:szCs w:val="18"/>
        </w:rPr>
      </w:pPr>
      <w:r>
        <w:rPr>
          <w:rFonts w:ascii="宋体" w:hAnsi="宋体" w:cs="宋体" w:eastAsia="宋体" w:hint="default"/>
          <w:sz w:val="18"/>
          <w:szCs w:val="18"/>
        </w:rPr>
        <w:t>公司注册地、主要经营场所之一深圳市南山区科技园（土地面积约</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4.13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万平方米，地上建筑面积约</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8.36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万平方米、不 </w:t>
      </w:r>
      <w:r>
        <w:rPr>
          <w:rFonts w:ascii="宋体" w:hAnsi="宋体" w:cs="宋体" w:eastAsia="宋体" w:hint="default"/>
          <w:spacing w:val="-2"/>
          <w:sz w:val="18"/>
          <w:szCs w:val="18"/>
        </w:rPr>
        <w:t>包括在建中电长城大厦）拟将申报纳入深圳市城市更新改造计划，尚存在重大不确定性。共同投资设立的合资公司将开展前</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期项目申报、统一规划，及未来作为城市更新项目实施主体。</w:t>
      </w:r>
    </w:p>
    <w:p>
      <w:pPr>
        <w:spacing w:line="240" w:lineRule="auto" w:before="8"/>
        <w:rPr>
          <w:rFonts w:ascii="宋体" w:hAnsi="宋体" w:cs="宋体" w:eastAsia="宋体" w:hint="default"/>
          <w:sz w:val="13"/>
          <w:szCs w:val="13"/>
        </w:rPr>
      </w:pPr>
    </w:p>
    <w:p>
      <w:pPr>
        <w:pStyle w:val="Heading5"/>
        <w:spacing w:line="240" w:lineRule="auto" w:before="0"/>
        <w:ind w:left="1074" w:right="1027"/>
        <w:jc w:val="left"/>
        <w:rPr>
          <w:b w:val="0"/>
          <w:bCs w:val="0"/>
        </w:rPr>
      </w:pPr>
      <w:r>
        <w:rPr>
          <w:rFonts w:ascii="Times New Roman" w:hAnsi="Times New Roman" w:cs="Times New Roman" w:eastAsia="Times New Roman" w:hint="default"/>
        </w:rPr>
        <w:t>4</w:t>
      </w:r>
      <w:r>
        <w:rPr/>
        <w:t>、关联债权债务往来</w:t>
      </w:r>
      <w:r>
        <w:rPr>
          <w:b w:val="0"/>
          <w:bCs w:val="0"/>
        </w:rPr>
      </w:r>
    </w:p>
    <w:p>
      <w:pPr>
        <w:spacing w:line="240" w:lineRule="auto" w:before="5"/>
        <w:rPr>
          <w:rFonts w:ascii="宋体" w:hAnsi="宋体" w:cs="宋体" w:eastAsia="宋体" w:hint="default"/>
          <w:b/>
          <w:bCs/>
          <w:sz w:val="17"/>
          <w:szCs w:val="17"/>
        </w:rPr>
      </w:pPr>
    </w:p>
    <w:p>
      <w:pPr>
        <w:spacing w:line="357" w:lineRule="auto" w:before="0"/>
        <w:ind w:left="1073" w:right="7871" w:firstLine="0"/>
        <w:jc w:val="left"/>
        <w:rPr>
          <w:rFonts w:ascii="宋体" w:hAnsi="宋体" w:cs="宋体" w:eastAsia="宋体" w:hint="default"/>
          <w:sz w:val="18"/>
          <w:szCs w:val="18"/>
        </w:rPr>
      </w:pPr>
      <w:r>
        <w:rPr>
          <w:rFonts w:ascii="宋体" w:hAnsi="宋体" w:cs="宋体" w:eastAsia="宋体" w:hint="default"/>
          <w:sz w:val="18"/>
          <w:szCs w:val="18"/>
        </w:rPr>
        <w:t>√ 适用 □ 不适用 是否存在非经营性关联债权债务往来</w:t>
      </w:r>
    </w:p>
    <w:p>
      <w:pPr>
        <w:spacing w:line="360" w:lineRule="auto" w:before="28"/>
        <w:ind w:left="1073" w:right="8944" w:firstLine="0"/>
        <w:jc w:val="left"/>
        <w:rPr>
          <w:rFonts w:ascii="宋体" w:hAnsi="宋体" w:cs="宋体" w:eastAsia="宋体" w:hint="default"/>
          <w:sz w:val="18"/>
          <w:szCs w:val="18"/>
        </w:rPr>
      </w:pPr>
      <w:r>
        <w:rPr>
          <w:rFonts w:ascii="宋体" w:hAnsi="宋体" w:cs="宋体" w:eastAsia="宋体" w:hint="default"/>
          <w:sz w:val="18"/>
          <w:szCs w:val="18"/>
        </w:rPr>
        <w:t>□ 是 √ 否 </w:t>
      </w:r>
      <w:r>
        <w:rPr>
          <w:rFonts w:ascii="宋体" w:hAnsi="宋体" w:cs="宋体" w:eastAsia="宋体" w:hint="default"/>
          <w:b/>
          <w:bCs/>
          <w:sz w:val="18"/>
          <w:szCs w:val="18"/>
        </w:rPr>
        <w:t>关联债权债务往来说明</w:t>
      </w:r>
      <w:r>
        <w:rPr>
          <w:rFonts w:ascii="宋体" w:hAnsi="宋体" w:cs="宋体" w:eastAsia="宋体" w:hint="default"/>
          <w:sz w:val="18"/>
          <w:szCs w:val="18"/>
        </w:rPr>
      </w:r>
    </w:p>
    <w:p>
      <w:pPr>
        <w:spacing w:line="360" w:lineRule="auto" w:before="26"/>
        <w:ind w:left="1433" w:right="1669" w:firstLine="0"/>
        <w:jc w:val="left"/>
        <w:rPr>
          <w:rFonts w:ascii="宋体" w:hAnsi="宋体" w:cs="宋体" w:eastAsia="宋体" w:hint="default"/>
          <w:sz w:val="18"/>
          <w:szCs w:val="18"/>
        </w:rPr>
      </w:pPr>
      <w:r>
        <w:rPr>
          <w:rFonts w:ascii="宋体" w:hAnsi="宋体" w:cs="宋体" w:eastAsia="宋体" w:hint="default"/>
          <w:sz w:val="18"/>
          <w:szCs w:val="18"/>
        </w:rPr>
        <w:t>公司报告期不存在非经营性关联债权债务往来。 </w:t>
      </w:r>
      <w:r>
        <w:rPr>
          <w:rFonts w:ascii="宋体" w:hAnsi="宋体" w:cs="宋体" w:eastAsia="宋体" w:hint="default"/>
          <w:spacing w:val="-2"/>
          <w:sz w:val="18"/>
          <w:szCs w:val="18"/>
        </w:rPr>
        <w:t>因关联方存贷款所产生的关联债权债务往来请参见本节“关于与集团财务公司开展全面金融合作情况”。</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2"/>
          <w:sz w:val="18"/>
          <w:szCs w:val="18"/>
        </w:rPr>
        <w:t>其他因购销、物业租赁等经营业务所产生的关联债权债务往来请参见财务报表附注中“关联方应收应付款项”。</w:t>
      </w:r>
    </w:p>
    <w:p>
      <w:pPr>
        <w:pStyle w:val="Heading5"/>
        <w:spacing w:line="240" w:lineRule="auto" w:before="140"/>
        <w:ind w:left="1074" w:right="1027"/>
        <w:jc w:val="left"/>
        <w:rPr>
          <w:b w:val="0"/>
          <w:bCs w:val="0"/>
        </w:rPr>
      </w:pPr>
      <w:r>
        <w:rPr>
          <w:rFonts w:ascii="Times New Roman" w:hAnsi="Times New Roman" w:cs="Times New Roman" w:eastAsia="Times New Roman" w:hint="default"/>
        </w:rPr>
        <w:t>5</w:t>
      </w:r>
      <w:r>
        <w:rPr/>
        <w:t>、关于与集团财务公司开展全面金融合作情况</w:t>
      </w:r>
      <w:r>
        <w:rPr>
          <w:b w:val="0"/>
          <w:bCs w:val="0"/>
        </w:rPr>
      </w:r>
    </w:p>
    <w:p>
      <w:pPr>
        <w:spacing w:line="240" w:lineRule="auto" w:before="4"/>
        <w:rPr>
          <w:rFonts w:ascii="宋体" w:hAnsi="宋体" w:cs="宋体" w:eastAsia="宋体" w:hint="default"/>
          <w:b/>
          <w:bCs/>
          <w:sz w:val="17"/>
          <w:szCs w:val="17"/>
        </w:rPr>
      </w:pPr>
    </w:p>
    <w:p>
      <w:pPr>
        <w:spacing w:line="309" w:lineRule="auto" w:before="0"/>
        <w:ind w:left="1073" w:right="1031" w:firstLine="360"/>
        <w:jc w:val="left"/>
        <w:rPr>
          <w:rFonts w:ascii="宋体" w:hAnsi="宋体" w:cs="宋体" w:eastAsia="宋体" w:hint="default"/>
          <w:sz w:val="18"/>
          <w:szCs w:val="18"/>
        </w:rPr>
      </w:pPr>
      <w:r>
        <w:rPr>
          <w:rFonts w:ascii="宋体" w:hAnsi="宋体" w:cs="宋体" w:eastAsia="宋体" w:hint="default"/>
          <w:sz w:val="18"/>
          <w:szCs w:val="18"/>
        </w:rPr>
        <w:t>鉴于公司重大资产重组项目涉及的四家公司整合已于</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月实施完成，为了顺利衔接合并后新进三家公司原在中 国电子财务有限责任公司的授信额度，并综合考虑整合后新公司的财务状况、现金流状况及未来经营发展需要等实际情况， 经</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日公司第六届董事会、</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日公司</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年度第二次临时股东大会审议，同意公司与中电财务 </w:t>
      </w:r>
      <w:r>
        <w:rPr>
          <w:rFonts w:ascii="宋体" w:hAnsi="宋体" w:cs="宋体" w:eastAsia="宋体" w:hint="default"/>
          <w:spacing w:val="-2"/>
          <w:sz w:val="18"/>
          <w:szCs w:val="18"/>
        </w:rPr>
        <w:t>就调整存贷款额度及延长协议期限事宜重新签订《全面金融合作协议》，由中电财务为本公司及本公司下属公司提供资金结</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算、授信融资、资金管理、银行承兑汇票贴现等金融服务，其中办理资金结算日存款余额最高不超过人民币</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亿元（原协</w:t>
      </w:r>
    </w:p>
    <w:p>
      <w:pPr>
        <w:spacing w:before="5"/>
        <w:ind w:left="1073" w:right="1027" w:firstLine="0"/>
        <w:jc w:val="left"/>
        <w:rPr>
          <w:rFonts w:ascii="宋体" w:hAnsi="宋体" w:cs="宋体" w:eastAsia="宋体" w:hint="default"/>
          <w:sz w:val="18"/>
          <w:szCs w:val="18"/>
        </w:rPr>
      </w:pPr>
      <w:r>
        <w:rPr>
          <w:rFonts w:ascii="宋体" w:hAnsi="宋体" w:cs="宋体" w:eastAsia="宋体" w:hint="default"/>
          <w:sz w:val="18"/>
          <w:szCs w:val="18"/>
        </w:rPr>
        <w:t>议</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w:t>
      </w:r>
      <w:r>
        <w:rPr>
          <w:rFonts w:ascii="宋体" w:hAnsi="宋体" w:cs="宋体" w:eastAsia="宋体" w:hint="default"/>
          <w:spacing w:val="-90"/>
          <w:sz w:val="18"/>
          <w:szCs w:val="18"/>
        </w:rPr>
        <w:t>）</w:t>
      </w:r>
      <w:r>
        <w:rPr>
          <w:rFonts w:ascii="宋体" w:hAnsi="宋体" w:cs="宋体" w:eastAsia="宋体" w:hint="default"/>
          <w:sz w:val="18"/>
          <w:szCs w:val="18"/>
        </w:rPr>
        <w:t>，</w:t>
      </w:r>
      <w:r>
        <w:rPr>
          <w:rFonts w:ascii="宋体" w:hAnsi="宋体" w:cs="宋体" w:eastAsia="宋体" w:hint="default"/>
          <w:spacing w:val="-2"/>
          <w:sz w:val="18"/>
          <w:szCs w:val="18"/>
        </w:rPr>
        <w:t>以</w:t>
      </w:r>
      <w:r>
        <w:rPr>
          <w:rFonts w:ascii="宋体" w:hAnsi="宋体" w:cs="宋体" w:eastAsia="宋体" w:hint="default"/>
          <w:sz w:val="18"/>
          <w:szCs w:val="18"/>
        </w:rPr>
        <w:t>信用方式取得综合授信额度不超过人民币</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亿元（原协议</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w:t>
      </w:r>
      <w:r>
        <w:rPr>
          <w:rFonts w:ascii="宋体" w:hAnsi="宋体" w:cs="宋体" w:eastAsia="宋体" w:hint="default"/>
          <w:spacing w:val="-90"/>
          <w:sz w:val="18"/>
          <w:szCs w:val="18"/>
        </w:rPr>
        <w:t>）</w:t>
      </w:r>
      <w:r>
        <w:rPr>
          <w:rFonts w:ascii="宋体" w:hAnsi="宋体" w:cs="宋体" w:eastAsia="宋体" w:hint="default"/>
          <w:sz w:val="18"/>
          <w:szCs w:val="18"/>
        </w:rPr>
        <w:t>。</w:t>
      </w:r>
      <w:r>
        <w:rPr>
          <w:rFonts w:ascii="宋体" w:hAnsi="宋体" w:cs="宋体" w:eastAsia="宋体" w:hint="default"/>
          <w:spacing w:val="-2"/>
          <w:sz w:val="18"/>
          <w:szCs w:val="18"/>
        </w:rPr>
        <w:t>新</w:t>
      </w:r>
      <w:r>
        <w:rPr>
          <w:rFonts w:ascii="宋体" w:hAnsi="宋体" w:cs="宋体" w:eastAsia="宋体" w:hint="default"/>
          <w:sz w:val="18"/>
          <w:szCs w:val="18"/>
        </w:rPr>
        <w:t>协议自公司股东大会批准之日起替代</w:t>
      </w:r>
    </w:p>
    <w:p>
      <w:pPr>
        <w:spacing w:before="64"/>
        <w:ind w:left="1073" w:right="1027" w:firstLine="0"/>
        <w:jc w:val="left"/>
        <w:rPr>
          <w:rFonts w:ascii="宋体" w:hAnsi="宋体" w:cs="宋体" w:eastAsia="宋体" w:hint="default"/>
          <w:sz w:val="18"/>
          <w:szCs w:val="18"/>
        </w:rPr>
      </w:pPr>
      <w:r>
        <w:rPr>
          <w:rFonts w:ascii="宋体" w:hAnsi="宋体" w:cs="宋体" w:eastAsia="宋体" w:hint="default"/>
          <w:sz w:val="18"/>
          <w:szCs w:val="18"/>
        </w:rPr>
        <w:t>旧协议，有效期三年，其他协议条款不变（具体内容详见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2017-035</w:t>
      </w:r>
      <w:r>
        <w:rPr>
          <w:rFonts w:ascii="Times New Roman" w:hAnsi="Times New Roman" w:cs="Times New Roman" w:eastAsia="Times New Roman" w:hint="default"/>
          <w:spacing w:val="-1"/>
          <w:sz w:val="18"/>
          <w:szCs w:val="18"/>
        </w:rPr>
        <w:t> </w:t>
      </w:r>
      <w:r>
        <w:rPr>
          <w:rFonts w:ascii="宋体" w:hAnsi="宋体" w:cs="宋体" w:eastAsia="宋体" w:hint="default"/>
          <w:spacing w:val="1"/>
          <w:sz w:val="18"/>
          <w:szCs w:val="18"/>
        </w:rPr>
        <w:t>号</w:t>
      </w:r>
      <w:r>
        <w:rPr>
          <w:rFonts w:ascii="宋体" w:hAnsi="宋体" w:cs="宋体" w:eastAsia="宋体" w:hint="default"/>
          <w:sz w:val="18"/>
          <w:szCs w:val="18"/>
        </w:rPr>
        <w:t>公告</w:t>
      </w:r>
      <w:r>
        <w:rPr>
          <w:rFonts w:ascii="宋体" w:hAnsi="宋体" w:cs="宋体" w:eastAsia="宋体" w:hint="default"/>
          <w:spacing w:val="-90"/>
          <w:sz w:val="18"/>
          <w:szCs w:val="18"/>
        </w:rPr>
        <w:t>）</w:t>
      </w:r>
      <w:r>
        <w:rPr>
          <w:rFonts w:ascii="宋体" w:hAnsi="宋体" w:cs="宋体" w:eastAsia="宋体" w:hint="default"/>
          <w:sz w:val="18"/>
          <w:szCs w:val="18"/>
        </w:rPr>
        <w:t>。</w:t>
      </w:r>
    </w:p>
    <w:p>
      <w:pPr>
        <w:spacing w:after="0"/>
        <w:jc w:val="left"/>
        <w:rPr>
          <w:rFonts w:ascii="宋体" w:hAnsi="宋体" w:cs="宋体" w:eastAsia="宋体" w:hint="default"/>
          <w:sz w:val="18"/>
          <w:szCs w:val="18"/>
        </w:rPr>
        <w:sectPr>
          <w:pgSz w:w="11910" w:h="16840"/>
          <w:pgMar w:header="787" w:footer="982" w:top="1100" w:bottom="1180" w:left="60" w:right="0"/>
        </w:sectPr>
      </w:pPr>
    </w:p>
    <w:p>
      <w:pPr>
        <w:spacing w:line="240" w:lineRule="auto" w:before="11"/>
        <w:rPr>
          <w:rFonts w:ascii="宋体" w:hAnsi="宋体" w:cs="宋体" w:eastAsia="宋体" w:hint="default"/>
          <w:sz w:val="22"/>
          <w:szCs w:val="22"/>
        </w:rPr>
      </w:pPr>
    </w:p>
    <w:p>
      <w:pPr>
        <w:spacing w:before="44"/>
        <w:ind w:left="514"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）存贷款情况</w:t>
      </w:r>
    </w:p>
    <w:p>
      <w:pPr>
        <w:spacing w:before="101"/>
        <w:ind w:left="514" w:right="0" w:firstLine="0"/>
        <w:jc w:val="left"/>
        <w:rPr>
          <w:rFonts w:ascii="宋体" w:hAnsi="宋体" w:cs="宋体" w:eastAsia="宋体" w:hint="default"/>
          <w:sz w:val="18"/>
          <w:szCs w:val="18"/>
        </w:rPr>
      </w:pPr>
      <w:r>
        <w:rPr>
          <w:rFonts w:ascii="宋体" w:hAnsi="宋体" w:cs="宋体" w:eastAsia="宋体" w:hint="default"/>
          <w:sz w:val="18"/>
          <w:szCs w:val="18"/>
        </w:rPr>
        <w:t>截止</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 </w:t>
      </w:r>
      <w:r>
        <w:rPr>
          <w:rFonts w:ascii="宋体" w:hAnsi="宋体" w:cs="宋体" w:eastAsia="宋体" w:hint="default"/>
          <w:spacing w:val="-3"/>
          <w:sz w:val="18"/>
          <w:szCs w:val="18"/>
        </w:rPr>
        <w:t>日，公司在中电财务办理存款余额为</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220,295.77 </w:t>
      </w:r>
      <w:r>
        <w:rPr>
          <w:rFonts w:ascii="宋体" w:hAnsi="宋体" w:cs="宋体" w:eastAsia="宋体" w:hint="default"/>
          <w:spacing w:val="-4"/>
          <w:sz w:val="18"/>
          <w:szCs w:val="18"/>
        </w:rPr>
        <w:t>万元人民币，贷款余额为</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113,260.31 </w:t>
      </w:r>
      <w:r>
        <w:rPr>
          <w:rFonts w:ascii="宋体" w:hAnsi="宋体" w:cs="宋体" w:eastAsia="宋体" w:hint="default"/>
          <w:sz w:val="18"/>
          <w:szCs w:val="18"/>
        </w:rPr>
        <w:t>万元人民币，</w:t>
      </w:r>
    </w:p>
    <w:p>
      <w:pPr>
        <w:spacing w:before="64"/>
        <w:ind w:left="154" w:right="0" w:firstLine="0"/>
        <w:jc w:val="left"/>
        <w:rPr>
          <w:rFonts w:ascii="宋体" w:hAnsi="宋体" w:cs="宋体" w:eastAsia="宋体" w:hint="default"/>
          <w:sz w:val="18"/>
          <w:szCs w:val="18"/>
        </w:rPr>
      </w:pPr>
      <w:r>
        <w:rPr>
          <w:rFonts w:ascii="宋体" w:hAnsi="宋体" w:cs="宋体" w:eastAsia="宋体" w:hint="default"/>
          <w:sz w:val="18"/>
          <w:szCs w:val="18"/>
        </w:rPr>
        <w:t>委托贷款余额为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94,500.00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万元人民币，详见下表：</w:t>
      </w:r>
    </w:p>
    <w:p>
      <w:pPr>
        <w:spacing w:line="240" w:lineRule="auto" w:before="7"/>
        <w:rPr>
          <w:rFonts w:ascii="宋体" w:hAnsi="宋体" w:cs="宋体" w:eastAsia="宋体" w:hint="default"/>
          <w:sz w:val="10"/>
          <w:szCs w:val="10"/>
        </w:rPr>
      </w:pPr>
    </w:p>
    <w:p>
      <w:pPr>
        <w:spacing w:line="2404" w:lineRule="exact"/>
        <w:ind w:left="154" w:right="0" w:firstLine="0"/>
        <w:rPr>
          <w:rFonts w:ascii="宋体" w:hAnsi="宋体" w:cs="宋体" w:eastAsia="宋体" w:hint="default"/>
          <w:sz w:val="20"/>
          <w:szCs w:val="20"/>
        </w:rPr>
      </w:pPr>
      <w:r>
        <w:rPr>
          <w:rFonts w:ascii="宋体" w:hAnsi="宋体" w:cs="宋体" w:eastAsia="宋体" w:hint="default"/>
          <w:position w:val="-47"/>
          <w:sz w:val="20"/>
          <w:szCs w:val="20"/>
        </w:rPr>
        <w:drawing>
          <wp:inline distT="0" distB="0" distL="0" distR="0">
            <wp:extent cx="6121912" cy="1526857"/>
            <wp:effectExtent l="0" t="0" r="0" b="0"/>
            <wp:docPr id="5" name="image4.png" descr=""/>
            <wp:cNvGraphicFramePr>
              <a:graphicFrameLocks noChangeAspect="1"/>
            </wp:cNvGraphicFramePr>
            <a:graphic>
              <a:graphicData uri="http://schemas.openxmlformats.org/drawingml/2006/picture">
                <pic:pic>
                  <pic:nvPicPr>
                    <pic:cNvPr id="6" name="image4.png"/>
                    <pic:cNvPicPr/>
                  </pic:nvPicPr>
                  <pic:blipFill>
                    <a:blip r:embed="rId13" cstate="print"/>
                    <a:stretch>
                      <a:fillRect/>
                    </a:stretch>
                  </pic:blipFill>
                  <pic:spPr>
                    <a:xfrm>
                      <a:off x="0" y="0"/>
                      <a:ext cx="6121912" cy="1526857"/>
                    </a:xfrm>
                    <a:prstGeom prst="rect">
                      <a:avLst/>
                    </a:prstGeom>
                  </pic:spPr>
                </pic:pic>
              </a:graphicData>
            </a:graphic>
          </wp:inline>
        </w:drawing>
      </w:r>
      <w:r>
        <w:rPr>
          <w:rFonts w:ascii="宋体" w:hAnsi="宋体" w:cs="宋体" w:eastAsia="宋体" w:hint="default"/>
          <w:position w:val="-47"/>
          <w:sz w:val="20"/>
          <w:szCs w:val="20"/>
        </w:rPr>
      </w:r>
    </w:p>
    <w:p>
      <w:pPr>
        <w:spacing w:line="338" w:lineRule="auto" w:before="97"/>
        <w:ind w:left="513" w:right="1028"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）立信会计师事务所关于中国电子财务有限责任公司风险评估报告 立信会计师事务所对中国电子财务有限责任公司截止</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 </w:t>
      </w:r>
      <w:r>
        <w:rPr>
          <w:rFonts w:ascii="宋体" w:hAnsi="宋体" w:cs="宋体" w:eastAsia="宋体" w:hint="default"/>
          <w:spacing w:val="-4"/>
          <w:sz w:val="18"/>
          <w:szCs w:val="18"/>
        </w:rPr>
        <w:t>日与财务报表相关资金、信贷、中间业务、投资、</w:t>
      </w:r>
    </w:p>
    <w:p>
      <w:pPr>
        <w:spacing w:line="230" w:lineRule="exact"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稽核、信息管理风险控制体系制定及实施情况进行了审核，并出具了信会师报字</w:t>
      </w:r>
      <w:r>
        <w:rPr>
          <w:rFonts w:ascii="Times New Roman" w:hAnsi="Times New Roman" w:cs="Times New Roman" w:eastAsia="Times New Roman" w:hint="default"/>
          <w:sz w:val="18"/>
          <w:szCs w:val="18"/>
        </w:rPr>
        <w:t>[2019]</w:t>
      </w:r>
      <w:r>
        <w:rPr>
          <w:rFonts w:ascii="宋体" w:hAnsi="宋体" w:cs="宋体" w:eastAsia="宋体" w:hint="default"/>
          <w:sz w:val="18"/>
          <w:szCs w:val="18"/>
        </w:rPr>
        <w:t>第</w:t>
      </w:r>
      <w:r>
        <w:rPr>
          <w:rFonts w:ascii="宋体" w:hAnsi="宋体" w:cs="宋体" w:eastAsia="宋体" w:hint="default"/>
          <w:spacing w:val="-72"/>
          <w:sz w:val="18"/>
          <w:szCs w:val="18"/>
        </w:rPr>
        <w:t> </w:t>
      </w:r>
      <w:r>
        <w:rPr>
          <w:rFonts w:ascii="Times New Roman" w:hAnsi="Times New Roman" w:cs="Times New Roman" w:eastAsia="Times New Roman" w:hint="default"/>
          <w:sz w:val="18"/>
          <w:szCs w:val="18"/>
        </w:rPr>
        <w:t>ZG20883</w:t>
      </w:r>
      <w:r>
        <w:rPr>
          <w:rFonts w:ascii="Times New Roman" w:hAnsi="Times New Roman" w:cs="Times New Roman" w:eastAsia="Times New Roman" w:hint="default"/>
          <w:spacing w:val="-27"/>
          <w:sz w:val="18"/>
          <w:szCs w:val="18"/>
        </w:rPr>
        <w:t> </w:t>
      </w:r>
      <w:r>
        <w:rPr>
          <w:rFonts w:ascii="宋体" w:hAnsi="宋体" w:cs="宋体" w:eastAsia="宋体" w:hint="default"/>
          <w:spacing w:val="-3"/>
          <w:sz w:val="18"/>
          <w:szCs w:val="18"/>
        </w:rPr>
        <w:t>号《中国电子财务有限责</w:t>
      </w:r>
    </w:p>
    <w:p>
      <w:pPr>
        <w:spacing w:line="300" w:lineRule="auto" w:before="63"/>
        <w:ind w:left="154" w:right="1022" w:firstLine="0"/>
        <w:jc w:val="left"/>
        <w:rPr>
          <w:rFonts w:ascii="Times New Roman" w:hAnsi="Times New Roman" w:cs="Times New Roman" w:eastAsia="Times New Roman" w:hint="default"/>
          <w:sz w:val="18"/>
          <w:szCs w:val="18"/>
        </w:rPr>
      </w:pPr>
      <w:r>
        <w:rPr>
          <w:rFonts w:ascii="宋体" w:hAnsi="宋体" w:cs="宋体" w:eastAsia="宋体" w:hint="default"/>
          <w:spacing w:val="-7"/>
          <w:sz w:val="18"/>
          <w:szCs w:val="18"/>
        </w:rPr>
        <w:t>任公司风险评估报告》，认为：“中国电子财务有限责任公司严格按银监会《企业集团财务管理办法》（中国银监会令〔</w:t>
      </w:r>
      <w:r>
        <w:rPr>
          <w:rFonts w:ascii="Times New Roman" w:hAnsi="Times New Roman" w:cs="Times New Roman" w:eastAsia="Times New Roman" w:hint="default"/>
          <w:spacing w:val="-7"/>
          <w:sz w:val="18"/>
          <w:szCs w:val="18"/>
        </w:rPr>
        <w:t>2004</w:t>
      </w:r>
      <w:r>
        <w:rPr>
          <w:rFonts w:ascii="宋体" w:hAnsi="宋体" w:cs="宋体" w:eastAsia="宋体" w:hint="default"/>
          <w:spacing w:val="-7"/>
          <w:sz w:val="18"/>
          <w:szCs w:val="18"/>
        </w:rPr>
        <w:t>〕</w:t>
      </w:r>
      <w:r>
        <w:rPr>
          <w:rFonts w:ascii="宋体" w:hAnsi="宋体" w:cs="宋体" w:eastAsia="宋体" w:hint="default"/>
          <w:spacing w:val="-38"/>
          <w:sz w:val="18"/>
          <w:szCs w:val="18"/>
        </w:rPr>
        <w:t> </w:t>
      </w:r>
      <w:r>
        <w:rPr>
          <w:rFonts w:ascii="宋体" w:hAnsi="宋体" w:cs="宋体" w:eastAsia="宋体" w:hint="default"/>
          <w:sz w:val="18"/>
          <w:szCs w:val="18"/>
        </w:rPr>
        <w:t>第 </w:t>
      </w:r>
      <w:r>
        <w:rPr>
          <w:rFonts w:ascii="Times New Roman" w:hAnsi="Times New Roman" w:cs="Times New Roman" w:eastAsia="Times New Roman" w:hint="default"/>
          <w:sz w:val="18"/>
          <w:szCs w:val="18"/>
        </w:rPr>
        <w:t>5 </w:t>
      </w:r>
      <w:r>
        <w:rPr>
          <w:rFonts w:ascii="宋体" w:hAnsi="宋体" w:cs="宋体" w:eastAsia="宋体" w:hint="default"/>
          <w:sz w:val="18"/>
          <w:szCs w:val="18"/>
        </w:rPr>
        <w:t>号）规定经营，经营业绩良好，根据我们对风险管理的了解和评价，我们未发现中国电子财务有限责任公司截止</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2018</w:t>
      </w:r>
    </w:p>
    <w:p>
      <w:pPr>
        <w:spacing w:line="302" w:lineRule="auto" w:before="13"/>
        <w:ind w:left="154" w:right="1116" w:firstLine="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3"/>
          <w:sz w:val="18"/>
          <w:szCs w:val="18"/>
        </w:rPr>
        <w:t> </w:t>
      </w:r>
      <w:r>
        <w:rPr>
          <w:rFonts w:ascii="宋体" w:hAnsi="宋体" w:cs="宋体" w:eastAsia="宋体" w:hint="default"/>
          <w:spacing w:val="-2"/>
          <w:sz w:val="18"/>
          <w:szCs w:val="18"/>
        </w:rPr>
        <w:t>日与财务报表相关资金、信贷、中间业务、投资、稽核、信息管理风险控制体系存在重大缺陷。”报告全文详见</w:t>
      </w:r>
      <w:r>
        <w:rPr>
          <w:rFonts w:ascii="宋体" w:hAnsi="宋体" w:cs="宋体" w:eastAsia="宋体" w:hint="default"/>
          <w:sz w:val="18"/>
          <w:szCs w:val="18"/>
        </w:rPr>
        <w:t> 巨潮资讯网。</w:t>
      </w:r>
    </w:p>
    <w:p>
      <w:pPr>
        <w:spacing w:line="240" w:lineRule="auto" w:before="9"/>
        <w:rPr>
          <w:rFonts w:ascii="宋体" w:hAnsi="宋体" w:cs="宋体" w:eastAsia="宋体" w:hint="default"/>
          <w:sz w:val="18"/>
          <w:szCs w:val="18"/>
        </w:rPr>
      </w:pPr>
    </w:p>
    <w:p>
      <w:pPr>
        <w:pStyle w:val="Heading5"/>
        <w:spacing w:line="240" w:lineRule="auto" w:before="0"/>
        <w:ind w:left="154" w:right="0"/>
        <w:jc w:val="left"/>
        <w:rPr>
          <w:b w:val="0"/>
          <w:bCs w:val="0"/>
        </w:rPr>
      </w:pPr>
      <w:r>
        <w:rPr>
          <w:rFonts w:ascii="Times New Roman" w:hAnsi="Times New Roman" w:cs="Times New Roman" w:eastAsia="Times New Roman" w:hint="default"/>
        </w:rPr>
        <w:t>6</w:t>
      </w:r>
      <w:r>
        <w:rPr/>
        <w:t>、其他重大关联交易</w:t>
      </w:r>
      <w:r>
        <w:rPr>
          <w:b w:val="0"/>
          <w:bCs w:val="0"/>
        </w:rPr>
      </w:r>
    </w:p>
    <w:p>
      <w:pPr>
        <w:spacing w:line="240" w:lineRule="auto" w:before="11"/>
        <w:rPr>
          <w:rFonts w:ascii="宋体" w:hAnsi="宋体" w:cs="宋体" w:eastAsia="宋体" w:hint="default"/>
          <w:b/>
          <w:bCs/>
          <w:sz w:val="21"/>
          <w:szCs w:val="21"/>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338" w:lineRule="auto" w:before="117"/>
        <w:ind w:left="513" w:right="1114"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）与中电财务就国有资本金的继续使用签署展期协议暨关联交易 中国电子通过中电财务以委托贷款方式发放本公司使用的项目国有资本金 </w:t>
      </w:r>
      <w:r>
        <w:rPr>
          <w:rFonts w:ascii="Times New Roman" w:hAnsi="Times New Roman" w:cs="Times New Roman" w:eastAsia="Times New Roman" w:hint="default"/>
          <w:sz w:val="18"/>
          <w:szCs w:val="18"/>
        </w:rPr>
        <w:t>16,500</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万元（项目均已按投向完成投入）目</w:t>
      </w:r>
    </w:p>
    <w:p>
      <w:pPr>
        <w:spacing w:line="230" w:lineRule="exact"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前仍暂不具备国有资本金注资条件，且原借款合同期限即将届满，为保证资金的继续使用，经</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28 </w:t>
      </w:r>
      <w:r>
        <w:rPr>
          <w:rFonts w:ascii="宋体" w:hAnsi="宋体" w:cs="宋体" w:eastAsia="宋体" w:hint="default"/>
          <w:sz w:val="18"/>
          <w:szCs w:val="18"/>
        </w:rPr>
        <w:t>日公司第六</w:t>
      </w:r>
    </w:p>
    <w:p>
      <w:pPr>
        <w:spacing w:before="63"/>
        <w:ind w:left="153" w:right="0" w:firstLine="0"/>
        <w:jc w:val="left"/>
        <w:rPr>
          <w:rFonts w:ascii="宋体" w:hAnsi="宋体" w:cs="宋体" w:eastAsia="宋体" w:hint="default"/>
          <w:sz w:val="18"/>
          <w:szCs w:val="18"/>
        </w:rPr>
      </w:pPr>
      <w:r>
        <w:rPr>
          <w:rFonts w:ascii="宋体" w:hAnsi="宋体" w:cs="宋体" w:eastAsia="宋体" w:hint="default"/>
          <w:sz w:val="18"/>
          <w:szCs w:val="18"/>
        </w:rPr>
        <w:t>届董事会</w:t>
      </w:r>
      <w:r>
        <w:rPr>
          <w:rFonts w:ascii="宋体" w:hAnsi="宋体" w:cs="宋体" w:eastAsia="宋体" w:hint="default"/>
          <w:spacing w:val="-12"/>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宋体" w:hAnsi="宋体" w:cs="宋体" w:eastAsia="宋体" w:hint="default"/>
          <w:spacing w:val="1"/>
          <w:sz w:val="18"/>
          <w:szCs w:val="18"/>
        </w:rPr>
        <w:t>公</w:t>
      </w:r>
      <w:r>
        <w:rPr>
          <w:rFonts w:ascii="宋体" w:hAnsi="宋体" w:cs="宋体" w:eastAsia="宋体" w:hint="default"/>
          <w:sz w:val="18"/>
          <w:szCs w:val="18"/>
        </w:rPr>
        <w:t>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r>
        <w:rPr>
          <w:rFonts w:ascii="宋体" w:hAnsi="宋体" w:cs="宋体" w:eastAsia="宋体" w:hint="default"/>
          <w:spacing w:val="1"/>
          <w:sz w:val="18"/>
          <w:szCs w:val="18"/>
        </w:rPr>
        <w:t>第</w:t>
      </w:r>
      <w:r>
        <w:rPr>
          <w:rFonts w:ascii="宋体" w:hAnsi="宋体" w:cs="宋体" w:eastAsia="宋体" w:hint="default"/>
          <w:sz w:val="18"/>
          <w:szCs w:val="18"/>
        </w:rPr>
        <w:t>三次临时股东大会审议</w:t>
      </w:r>
      <w:r>
        <w:rPr>
          <w:rFonts w:ascii="宋体" w:hAnsi="宋体" w:cs="宋体" w:eastAsia="宋体" w:hint="default"/>
          <w:spacing w:val="-12"/>
          <w:sz w:val="18"/>
          <w:szCs w:val="18"/>
        </w:rPr>
        <w:t>，</w:t>
      </w:r>
      <w:r>
        <w:rPr>
          <w:rFonts w:ascii="宋体" w:hAnsi="宋体" w:cs="宋体" w:eastAsia="宋体" w:hint="default"/>
          <w:sz w:val="18"/>
          <w:szCs w:val="18"/>
        </w:rPr>
        <w:t>同意公司与中电财务签</w:t>
      </w:r>
      <w:r>
        <w:rPr>
          <w:rFonts w:ascii="宋体" w:hAnsi="宋体" w:cs="宋体" w:eastAsia="宋体" w:hint="default"/>
          <w:spacing w:val="-12"/>
          <w:sz w:val="18"/>
          <w:szCs w:val="18"/>
        </w:rPr>
        <w:t>署</w:t>
      </w:r>
      <w:r>
        <w:rPr>
          <w:rFonts w:ascii="宋体" w:hAnsi="宋体" w:cs="宋体" w:eastAsia="宋体" w:hint="default"/>
          <w:sz w:val="18"/>
          <w:szCs w:val="18"/>
        </w:rPr>
        <w:t>《委托贷款借款展期协议</w:t>
      </w:r>
      <w:r>
        <w:rPr>
          <w:rFonts w:ascii="宋体" w:hAnsi="宋体" w:cs="宋体" w:eastAsia="宋体" w:hint="default"/>
          <w:spacing w:val="-90"/>
          <w:sz w:val="18"/>
          <w:szCs w:val="18"/>
        </w:rPr>
        <w:t>》</w:t>
      </w:r>
      <w:r>
        <w:rPr>
          <w:rFonts w:ascii="宋体" w:hAnsi="宋体" w:cs="宋体" w:eastAsia="宋体" w:hint="default"/>
          <w:sz w:val="18"/>
          <w:szCs w:val="18"/>
        </w:rPr>
        <w:t>，</w:t>
      </w:r>
    </w:p>
    <w:p>
      <w:pPr>
        <w:spacing w:before="63"/>
        <w:ind w:left="153" w:right="0" w:firstLine="0"/>
        <w:jc w:val="left"/>
        <w:rPr>
          <w:rFonts w:ascii="宋体" w:hAnsi="宋体" w:cs="宋体" w:eastAsia="宋体" w:hint="default"/>
          <w:sz w:val="18"/>
          <w:szCs w:val="18"/>
        </w:rPr>
      </w:pPr>
      <w:r>
        <w:rPr>
          <w:rFonts w:ascii="宋体" w:hAnsi="宋体" w:cs="宋体" w:eastAsia="宋体" w:hint="default"/>
          <w:sz w:val="18"/>
          <w:szCs w:val="18"/>
        </w:rPr>
        <w:t>展期</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pacing w:val="1"/>
          <w:sz w:val="18"/>
          <w:szCs w:val="18"/>
        </w:rPr>
        <w:t>日</w:t>
      </w:r>
      <w:r>
        <w:rPr>
          <w:rFonts w:ascii="宋体" w:hAnsi="宋体" w:cs="宋体" w:eastAsia="宋体" w:hint="default"/>
          <w:spacing w:val="-88"/>
          <w:sz w:val="18"/>
          <w:szCs w:val="18"/>
        </w:rPr>
        <w:t>；</w:t>
      </w:r>
      <w:r>
        <w:rPr>
          <w:rFonts w:ascii="宋体" w:hAnsi="宋体" w:cs="宋体" w:eastAsia="宋体" w:hint="default"/>
          <w:sz w:val="18"/>
          <w:szCs w:val="18"/>
        </w:rPr>
        <w:t>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日公司</w:t>
      </w:r>
      <w:r>
        <w:rPr>
          <w:rFonts w:ascii="宋体" w:hAnsi="宋体" w:cs="宋体" w:eastAsia="宋体" w:hint="default"/>
          <w:spacing w:val="1"/>
          <w:sz w:val="18"/>
          <w:szCs w:val="18"/>
        </w:rPr>
        <w:t>第</w:t>
      </w:r>
      <w:r>
        <w:rPr>
          <w:rFonts w:ascii="宋体" w:hAnsi="宋体" w:cs="宋体" w:eastAsia="宋体" w:hint="default"/>
          <w:sz w:val="18"/>
          <w:szCs w:val="18"/>
        </w:rPr>
        <w:t>七届董事会第八次会议审议</w:t>
      </w:r>
      <w:r>
        <w:rPr>
          <w:rFonts w:ascii="宋体" w:hAnsi="宋体" w:cs="宋体" w:eastAsia="宋体" w:hint="default"/>
          <w:spacing w:val="-88"/>
          <w:sz w:val="18"/>
          <w:szCs w:val="18"/>
        </w:rPr>
        <w:t>，</w:t>
      </w:r>
      <w:r>
        <w:rPr>
          <w:rFonts w:ascii="宋体" w:hAnsi="宋体" w:cs="宋体" w:eastAsia="宋体" w:hint="default"/>
          <w:sz w:val="18"/>
          <w:szCs w:val="18"/>
        </w:rPr>
        <w:t>同意公司与中电财务继续签</w:t>
      </w:r>
      <w:r>
        <w:rPr>
          <w:rFonts w:ascii="宋体" w:hAnsi="宋体" w:cs="宋体" w:eastAsia="宋体" w:hint="default"/>
          <w:spacing w:val="-88"/>
          <w:sz w:val="18"/>
          <w:szCs w:val="18"/>
        </w:rPr>
        <w:t>署</w:t>
      </w:r>
      <w:r>
        <w:rPr>
          <w:rFonts w:ascii="宋体" w:hAnsi="宋体" w:cs="宋体" w:eastAsia="宋体" w:hint="default"/>
          <w:spacing w:val="1"/>
          <w:sz w:val="18"/>
          <w:szCs w:val="18"/>
        </w:rPr>
        <w:t>《委</w:t>
      </w:r>
      <w:r>
        <w:rPr>
          <w:rFonts w:ascii="宋体" w:hAnsi="宋体" w:cs="宋体" w:eastAsia="宋体" w:hint="default"/>
          <w:sz w:val="18"/>
          <w:szCs w:val="18"/>
        </w:rPr>
      </w:r>
    </w:p>
    <w:p>
      <w:pPr>
        <w:spacing w:line="302" w:lineRule="auto" w:before="63"/>
        <w:ind w:left="154" w:right="1121" w:firstLine="0"/>
        <w:jc w:val="left"/>
        <w:rPr>
          <w:rFonts w:ascii="宋体" w:hAnsi="宋体" w:cs="宋体" w:eastAsia="宋体" w:hint="default"/>
          <w:sz w:val="18"/>
          <w:szCs w:val="18"/>
        </w:rPr>
      </w:pPr>
      <w:r>
        <w:rPr>
          <w:rFonts w:ascii="宋体" w:hAnsi="宋体" w:cs="宋体" w:eastAsia="宋体" w:hint="default"/>
          <w:spacing w:val="-10"/>
          <w:sz w:val="18"/>
          <w:szCs w:val="18"/>
        </w:rPr>
        <w:t>托贷款借款展期协议》，展期</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年至</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pacing w:val="-2"/>
          <w:sz w:val="18"/>
          <w:szCs w:val="18"/>
        </w:rPr>
        <w:t>日；贷款基准利率保持不变，仍按人民银行公布的一年期贷款基准利率</w:t>
      </w:r>
      <w:r>
        <w:rPr>
          <w:rFonts w:ascii="宋体" w:hAnsi="宋体" w:cs="宋体" w:eastAsia="宋体" w:hint="default"/>
          <w:sz w:val="18"/>
          <w:szCs w:val="18"/>
        </w:rPr>
        <w:t> 执行。</w:t>
      </w:r>
    </w:p>
    <w:p>
      <w:pPr>
        <w:spacing w:before="69"/>
        <w:ind w:left="514"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）与中电系统签署《中电长城大厦智能化工程施工合同》暨关联交易</w:t>
      </w:r>
    </w:p>
    <w:p>
      <w:pPr>
        <w:spacing w:before="102"/>
        <w:ind w:left="514"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 </w:t>
      </w:r>
      <w:r>
        <w:rPr>
          <w:rFonts w:ascii="Times New Roman" w:hAnsi="Times New Roman" w:cs="Times New Roman" w:eastAsia="Times New Roman" w:hint="default"/>
          <w:spacing w:val="-3"/>
          <w:sz w:val="18"/>
          <w:szCs w:val="18"/>
        </w:rPr>
        <w:t>11  </w:t>
      </w:r>
      <w:r>
        <w:rPr>
          <w:rFonts w:ascii="宋体" w:hAnsi="宋体" w:cs="宋体" w:eastAsia="宋体" w:hint="default"/>
          <w:sz w:val="18"/>
          <w:szCs w:val="18"/>
        </w:rPr>
        <w:t>月，公司通过深圳市建设工程交易服务中心进行“中电长城大厦智能化工程”标段的公开招标。</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17"/>
          <w:sz w:val="18"/>
          <w:szCs w:val="18"/>
        </w:rPr>
        <w:t> </w:t>
      </w:r>
      <w:r>
        <w:rPr>
          <w:rFonts w:ascii="Times New Roman" w:hAnsi="Times New Roman" w:cs="Times New Roman" w:eastAsia="Times New Roman" w:hint="default"/>
          <w:sz w:val="18"/>
          <w:szCs w:val="18"/>
        </w:rPr>
        <w:t>2</w:t>
      </w:r>
    </w:p>
    <w:p>
      <w:pPr>
        <w:spacing w:before="63"/>
        <w:ind w:left="154"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月底完成招标流程</w:t>
      </w:r>
      <w:r>
        <w:rPr>
          <w:rFonts w:ascii="宋体" w:hAnsi="宋体" w:cs="宋体" w:eastAsia="宋体" w:hint="default"/>
          <w:spacing w:val="-21"/>
          <w:sz w:val="18"/>
          <w:szCs w:val="18"/>
        </w:rPr>
        <w:t>，</w:t>
      </w:r>
      <w:r>
        <w:rPr>
          <w:rFonts w:ascii="宋体" w:hAnsi="宋体" w:cs="宋体" w:eastAsia="宋体" w:hint="default"/>
          <w:sz w:val="18"/>
          <w:szCs w:val="18"/>
        </w:rPr>
        <w:t>由关联单位中国电子系统技术有限公</w:t>
      </w:r>
      <w:r>
        <w:rPr>
          <w:rFonts w:ascii="宋体" w:hAnsi="宋体" w:cs="宋体" w:eastAsia="宋体" w:hint="default"/>
          <w:spacing w:val="-21"/>
          <w:sz w:val="18"/>
          <w:szCs w:val="18"/>
        </w:rPr>
        <w:t>司</w:t>
      </w:r>
      <w:r>
        <w:rPr>
          <w:rFonts w:ascii="宋体" w:hAnsi="宋体" w:cs="宋体" w:eastAsia="宋体" w:hint="default"/>
          <w:sz w:val="18"/>
          <w:szCs w:val="18"/>
        </w:rPr>
        <w:t>（简</w:t>
      </w:r>
      <w:r>
        <w:rPr>
          <w:rFonts w:ascii="宋体" w:hAnsi="宋体" w:cs="宋体" w:eastAsia="宋体" w:hint="default"/>
          <w:spacing w:val="-21"/>
          <w:sz w:val="18"/>
          <w:szCs w:val="18"/>
        </w:rPr>
        <w:t>称</w:t>
      </w:r>
      <w:r>
        <w:rPr>
          <w:rFonts w:ascii="宋体" w:hAnsi="宋体" w:cs="宋体" w:eastAsia="宋体" w:hint="default"/>
          <w:sz w:val="18"/>
          <w:szCs w:val="18"/>
        </w:rPr>
        <w:t>“</w:t>
      </w:r>
      <w:r>
        <w:rPr>
          <w:rFonts w:ascii="宋体" w:hAnsi="宋体" w:cs="宋体" w:eastAsia="宋体" w:hint="default"/>
          <w:spacing w:val="1"/>
          <w:sz w:val="18"/>
          <w:szCs w:val="18"/>
        </w:rPr>
        <w:t>中</w:t>
      </w:r>
      <w:r>
        <w:rPr>
          <w:rFonts w:ascii="宋体" w:hAnsi="宋体" w:cs="宋体" w:eastAsia="宋体" w:hint="default"/>
          <w:sz w:val="18"/>
          <w:szCs w:val="18"/>
        </w:rPr>
        <w:t>电系统</w:t>
      </w:r>
      <w:r>
        <w:rPr>
          <w:rFonts w:ascii="宋体" w:hAnsi="宋体" w:cs="宋体" w:eastAsia="宋体" w:hint="default"/>
          <w:spacing w:val="-90"/>
          <w:sz w:val="18"/>
          <w:szCs w:val="18"/>
        </w:rPr>
        <w:t>”</w:t>
      </w:r>
      <w:r>
        <w:rPr>
          <w:rFonts w:ascii="宋体" w:hAnsi="宋体" w:cs="宋体" w:eastAsia="宋体" w:hint="default"/>
          <w:spacing w:val="-21"/>
          <w:sz w:val="18"/>
          <w:szCs w:val="18"/>
        </w:rPr>
        <w:t>）</w:t>
      </w:r>
      <w:r>
        <w:rPr>
          <w:rFonts w:ascii="宋体" w:hAnsi="宋体" w:cs="宋体" w:eastAsia="宋体" w:hint="default"/>
          <w:sz w:val="18"/>
          <w:szCs w:val="18"/>
        </w:rPr>
        <w:t>中</w:t>
      </w:r>
      <w:r>
        <w:rPr>
          <w:rFonts w:ascii="宋体" w:hAnsi="宋体" w:cs="宋体" w:eastAsia="宋体" w:hint="default"/>
          <w:spacing w:val="-21"/>
          <w:sz w:val="18"/>
          <w:szCs w:val="18"/>
        </w:rPr>
        <w:t>标</w:t>
      </w:r>
      <w:r>
        <w:rPr>
          <w:rFonts w:ascii="宋体" w:hAnsi="宋体" w:cs="宋体" w:eastAsia="宋体" w:hint="default"/>
          <w:sz w:val="18"/>
          <w:szCs w:val="18"/>
        </w:rPr>
        <w:t>（中标价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3,696.94</w:t>
      </w:r>
      <w:r>
        <w:rPr>
          <w:rFonts w:ascii="Times New Roman" w:hAnsi="Times New Roman" w:cs="Times New Roman" w:eastAsia="Times New Roman" w:hint="default"/>
          <w:spacing w:val="-8"/>
          <w:sz w:val="18"/>
          <w:szCs w:val="18"/>
        </w:rPr>
        <w:t>1</w:t>
      </w:r>
      <w:r>
        <w:rPr>
          <w:rFonts w:ascii="Times New Roman" w:hAnsi="Times New Roman" w:cs="Times New Roman" w:eastAsia="Times New Roman" w:hint="default"/>
          <w:sz w:val="18"/>
          <w:szCs w:val="18"/>
        </w:rPr>
        <w:t>107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r>
        <w:rPr>
          <w:rFonts w:ascii="宋体" w:hAnsi="宋体" w:cs="宋体" w:eastAsia="宋体" w:hint="default"/>
          <w:spacing w:val="-90"/>
          <w:sz w:val="18"/>
          <w:szCs w:val="18"/>
        </w:rPr>
        <w:t>）</w:t>
      </w:r>
      <w:r>
        <w:rPr>
          <w:rFonts w:ascii="宋体" w:hAnsi="宋体" w:cs="宋体" w:eastAsia="宋体" w:hint="default"/>
          <w:spacing w:val="-20"/>
          <w:sz w:val="18"/>
          <w:szCs w:val="18"/>
        </w:rPr>
        <w:t>，</w:t>
      </w:r>
      <w:r>
        <w:rPr>
          <w:rFonts w:ascii="宋体" w:hAnsi="宋体" w:cs="宋体" w:eastAsia="宋体" w:hint="default"/>
          <w:sz w:val="18"/>
          <w:szCs w:val="18"/>
        </w:rPr>
        <w:t>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p>
    <w:p>
      <w:pPr>
        <w:spacing w:before="64"/>
        <w:ind w:left="154" w:right="0" w:firstLine="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日公司第六届董事会审议，同意公司与其签订智能化工程施工合同。</w:t>
      </w:r>
    </w:p>
    <w:p>
      <w:pPr>
        <w:spacing w:line="338" w:lineRule="auto" w:before="102"/>
        <w:ind w:left="514"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）利用自有闲置资金进行理财增效暨关联交易 </w:t>
      </w:r>
      <w:r>
        <w:rPr>
          <w:rFonts w:ascii="宋体" w:hAnsi="宋体" w:cs="宋体" w:eastAsia="宋体" w:hint="default"/>
          <w:spacing w:val="-2"/>
          <w:sz w:val="18"/>
          <w:szCs w:val="18"/>
        </w:rPr>
        <w:t>公司利用自有闲置资金（不超过人民币陆亿元）通过中国银行业监督管理委员会批准和监管的金融机构和中电财务购买</w:t>
      </w:r>
    </w:p>
    <w:p>
      <w:pPr>
        <w:spacing w:line="319" w:lineRule="auto" w:before="2"/>
        <w:ind w:left="154" w:right="0" w:firstLine="0"/>
        <w:jc w:val="left"/>
        <w:rPr>
          <w:rFonts w:ascii="宋体" w:hAnsi="宋体" w:cs="宋体" w:eastAsia="宋体" w:hint="default"/>
          <w:sz w:val="18"/>
          <w:szCs w:val="18"/>
        </w:rPr>
      </w:pPr>
      <w:r>
        <w:rPr>
          <w:rFonts w:ascii="宋体" w:hAnsi="宋体" w:cs="宋体" w:eastAsia="宋体" w:hint="default"/>
          <w:spacing w:val="-2"/>
          <w:sz w:val="18"/>
          <w:szCs w:val="18"/>
        </w:rPr>
        <w:t>理财产品，资金在授权有效期内可以循环使用。鉴于公司与中电财务的实际控制人均为中国电子，部分理财事项将构成关联</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交易，具体内容详见本节“委托理财情况”中的相关介绍。</w:t>
      </w:r>
    </w:p>
    <w:p>
      <w:pPr>
        <w:spacing w:before="58"/>
        <w:ind w:left="514"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）变更银行贷款担保方式暨关联交易</w:t>
      </w:r>
    </w:p>
    <w:p>
      <w:pPr>
        <w:spacing w:before="101"/>
        <w:ind w:left="514"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公司在国家开发银行股份有限公司（国开发展基金有限公司）的贷款余额为 </w:t>
      </w:r>
      <w:r>
        <w:rPr>
          <w:rFonts w:ascii="Times New Roman" w:hAnsi="Times New Roman" w:cs="Times New Roman" w:eastAsia="Times New Roman" w:hint="default"/>
          <w:sz w:val="18"/>
          <w:szCs w:val="18"/>
        </w:rPr>
        <w:t>1.12  </w:t>
      </w:r>
      <w:r>
        <w:rPr>
          <w:rFonts w:ascii="宋体" w:hAnsi="宋体" w:cs="宋体" w:eastAsia="宋体" w:hint="default"/>
          <w:sz w:val="18"/>
          <w:szCs w:val="18"/>
        </w:rPr>
        <w:t>亿元，贷款利率 </w:t>
      </w:r>
      <w:r>
        <w:rPr>
          <w:rFonts w:ascii="Times New Roman" w:hAnsi="Times New Roman" w:cs="Times New Roman" w:eastAsia="Times New Roman" w:hint="default"/>
          <w:sz w:val="18"/>
          <w:szCs w:val="18"/>
        </w:rPr>
        <w:t>1.2%</w:t>
      </w:r>
      <w:r>
        <w:rPr>
          <w:rFonts w:ascii="宋体" w:hAnsi="宋体" w:cs="宋体" w:eastAsia="宋体" w:hint="default"/>
          <w:sz w:val="18"/>
          <w:szCs w:val="18"/>
        </w:rPr>
        <w:t>，期限至</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2028</w:t>
      </w:r>
    </w:p>
    <w:p>
      <w:pPr>
        <w:spacing w:before="64"/>
        <w:ind w:left="153" w:right="0" w:firstLine="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日止，质押物为所持东方证券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万股非限售流通股，签约主体为长城信息。</w:t>
      </w:r>
    </w:p>
    <w:p>
      <w:pPr>
        <w:spacing w:line="309" w:lineRule="auto" w:before="101"/>
        <w:ind w:left="153" w:right="0" w:firstLine="360"/>
        <w:jc w:val="left"/>
        <w:rPr>
          <w:rFonts w:ascii="宋体" w:hAnsi="宋体" w:cs="宋体" w:eastAsia="宋体" w:hint="default"/>
          <w:sz w:val="18"/>
          <w:szCs w:val="18"/>
        </w:rPr>
      </w:pPr>
      <w:r>
        <w:rPr>
          <w:rFonts w:ascii="宋体" w:hAnsi="宋体" w:cs="宋体" w:eastAsia="宋体" w:hint="default"/>
          <w:sz w:val="18"/>
          <w:szCs w:val="18"/>
        </w:rPr>
        <w:t>经</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25 </w:t>
      </w:r>
      <w:r>
        <w:rPr>
          <w:rFonts w:ascii="宋体" w:hAnsi="宋体" w:cs="宋体" w:eastAsia="宋体" w:hint="default"/>
          <w:sz w:val="18"/>
          <w:szCs w:val="18"/>
        </w:rPr>
        <w:t>日公司第七届董事会第八次会议审议，同意公司与国开行（国开基金）就前述贷款签署《债务转移 </w:t>
      </w:r>
      <w:r>
        <w:rPr>
          <w:rFonts w:ascii="宋体" w:hAnsi="宋体" w:cs="宋体" w:eastAsia="宋体" w:hint="default"/>
          <w:spacing w:val="-4"/>
          <w:sz w:val="18"/>
          <w:szCs w:val="18"/>
        </w:rPr>
        <w:t>协议》，将原借款合同项下全部债务转移给公司，应付利息和费用等，全部按照原借款合同的约定履行。同时变更担保方式，</w:t>
      </w:r>
      <w:r>
        <w:rPr>
          <w:rFonts w:ascii="宋体" w:hAnsi="宋体" w:cs="宋体" w:eastAsia="宋体" w:hint="default"/>
          <w:spacing w:val="-44"/>
          <w:sz w:val="18"/>
          <w:szCs w:val="18"/>
        </w:rPr>
        <w:t> </w:t>
      </w:r>
      <w:r>
        <w:rPr>
          <w:rFonts w:ascii="宋体" w:hAnsi="宋体" w:cs="宋体" w:eastAsia="宋体" w:hint="default"/>
          <w:spacing w:val="-44"/>
          <w:sz w:val="18"/>
          <w:szCs w:val="18"/>
        </w:rPr>
      </w:r>
      <w:r>
        <w:rPr>
          <w:rFonts w:ascii="宋体" w:hAnsi="宋体" w:cs="宋体" w:eastAsia="宋体" w:hint="default"/>
          <w:sz w:val="18"/>
          <w:szCs w:val="18"/>
        </w:rPr>
        <w:t>由所持东方证券</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2,000</w:t>
      </w:r>
      <w:r>
        <w:rPr>
          <w:rFonts w:ascii="Times New Roman" w:hAnsi="Times New Roman" w:cs="Times New Roman" w:eastAsia="Times New Roman" w:hint="default"/>
          <w:spacing w:val="3"/>
          <w:sz w:val="18"/>
          <w:szCs w:val="18"/>
        </w:rPr>
        <w:t> </w:t>
      </w:r>
      <w:r>
        <w:rPr>
          <w:rFonts w:ascii="宋体" w:hAnsi="宋体" w:cs="宋体" w:eastAsia="宋体" w:hint="default"/>
          <w:spacing w:val="-5"/>
          <w:sz w:val="18"/>
          <w:szCs w:val="18"/>
        </w:rPr>
        <w:t>万股非限售流通股质押变更为由中电财务为公司提供全额信用担保，公司与中电财务签署《反担保（存</w:t>
      </w:r>
    </w:p>
    <w:p>
      <w:pPr>
        <w:spacing w:after="0" w:line="309" w:lineRule="auto"/>
        <w:jc w:val="left"/>
        <w:rPr>
          <w:rFonts w:ascii="宋体" w:hAnsi="宋体" w:cs="宋体" w:eastAsia="宋体" w:hint="default"/>
          <w:sz w:val="18"/>
          <w:szCs w:val="18"/>
        </w:rPr>
        <w:sectPr>
          <w:pgSz w:w="11910" w:h="16840"/>
          <w:pgMar w:header="787" w:footer="982" w:top="1100" w:bottom="1180" w:left="980" w:right="0"/>
        </w:sectPr>
      </w:pPr>
    </w:p>
    <w:p>
      <w:pPr>
        <w:spacing w:line="240" w:lineRule="auto" w:before="10"/>
        <w:rPr>
          <w:rFonts w:ascii="宋体" w:hAnsi="宋体" w:cs="宋体" w:eastAsia="宋体" w:hint="default"/>
          <w:sz w:val="22"/>
          <w:szCs w:val="22"/>
        </w:rPr>
      </w:pPr>
    </w:p>
    <w:p>
      <w:pPr>
        <w:spacing w:line="309" w:lineRule="auto" w:before="44"/>
        <w:ind w:left="153" w:right="1128" w:firstLine="0"/>
        <w:jc w:val="both"/>
        <w:rPr>
          <w:rFonts w:ascii="宋体" w:hAnsi="宋体" w:cs="宋体" w:eastAsia="宋体" w:hint="default"/>
          <w:sz w:val="18"/>
          <w:szCs w:val="18"/>
        </w:rPr>
      </w:pPr>
      <w:r>
        <w:rPr>
          <w:rFonts w:ascii="宋体" w:hAnsi="宋体" w:cs="宋体" w:eastAsia="宋体" w:hint="default"/>
          <w:spacing w:val="-2"/>
          <w:sz w:val="18"/>
          <w:szCs w:val="18"/>
        </w:rPr>
        <w:t>单质押）协议书》。中电财务为公司提供全额信用担保收取的担保费用标准不高于同期境内商业银行对外担保所收取的担保</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费用标准，将按</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4.2</w:t>
      </w:r>
      <w:r>
        <w:rPr>
          <w:rFonts w:ascii="宋体" w:hAnsi="宋体" w:cs="宋体" w:eastAsia="宋体" w:hint="default"/>
          <w:sz w:val="18"/>
          <w:szCs w:val="18"/>
        </w:rPr>
        <w:t>‰的担保费率一次性支付。同时，公司将在中电财务开立的等额定期存单质押，作为中电财务提供上述 连带责任保证的反担保。</w:t>
      </w:r>
    </w:p>
    <w:p>
      <w:pPr>
        <w:spacing w:line="338" w:lineRule="auto" w:before="64"/>
        <w:ind w:left="513" w:right="1116"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z w:val="18"/>
          <w:szCs w:val="18"/>
        </w:rPr>
        <w:t>）以自有房产抵押担保的方式向中国电子申请委托贷款暨关联交易 为加大自主可控、高新电子、行业信息化、军民融合等项目投入，降低资金成本，拓宽融资渠道，经</w:t>
      </w:r>
      <w:r>
        <w:rPr>
          <w:rFonts w:ascii="宋体" w:hAnsi="宋体" w:cs="宋体" w:eastAsia="宋体" w:hint="default"/>
          <w:spacing w:val="-34"/>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年</w:t>
      </w:r>
      <w:r>
        <w:rPr>
          <w:rFonts w:ascii="宋体" w:hAnsi="宋体" w:cs="宋体" w:eastAsia="宋体" w:hint="default"/>
          <w:spacing w:val="-33"/>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月</w:t>
      </w:r>
      <w:r>
        <w:rPr>
          <w:rFonts w:ascii="宋体" w:hAnsi="宋体" w:cs="宋体" w:eastAsia="宋体" w:hint="default"/>
          <w:spacing w:val="-34"/>
          <w:sz w:val="18"/>
          <w:szCs w:val="18"/>
        </w:rPr>
        <w:t> </w:t>
      </w:r>
      <w:r>
        <w:rPr>
          <w:rFonts w:ascii="Times New Roman" w:hAnsi="Times New Roman" w:cs="Times New Roman" w:eastAsia="Times New Roman" w:hint="default"/>
          <w:sz w:val="18"/>
          <w:szCs w:val="18"/>
        </w:rPr>
        <w:t>26</w:t>
      </w:r>
    </w:p>
    <w:p>
      <w:pPr>
        <w:spacing w:line="230" w:lineRule="exact" w:before="0"/>
        <w:ind w:left="153" w:right="0" w:firstLine="0"/>
        <w:jc w:val="both"/>
        <w:rPr>
          <w:rFonts w:ascii="宋体" w:hAnsi="宋体" w:cs="宋体" w:eastAsia="宋体" w:hint="default"/>
          <w:sz w:val="18"/>
          <w:szCs w:val="18"/>
        </w:rPr>
      </w:pPr>
      <w:r>
        <w:rPr>
          <w:rFonts w:ascii="宋体" w:hAnsi="宋体" w:cs="宋体" w:eastAsia="宋体" w:hint="default"/>
          <w:sz w:val="18"/>
          <w:szCs w:val="18"/>
        </w:rPr>
        <w:t>日公司第七届董事会第十次会议、</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日公司</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年度第七次临时股东大会审议，同意公司向中国电子以自有</w:t>
      </w:r>
    </w:p>
    <w:p>
      <w:pPr>
        <w:spacing w:line="302" w:lineRule="auto" w:before="63"/>
        <w:ind w:left="153" w:right="1130" w:firstLine="0"/>
        <w:jc w:val="both"/>
        <w:rPr>
          <w:rFonts w:ascii="宋体" w:hAnsi="宋体" w:cs="宋体" w:eastAsia="宋体" w:hint="default"/>
          <w:sz w:val="18"/>
          <w:szCs w:val="18"/>
        </w:rPr>
      </w:pPr>
      <w:r>
        <w:rPr>
          <w:rFonts w:ascii="宋体" w:hAnsi="宋体" w:cs="宋体" w:eastAsia="宋体" w:hint="default"/>
          <w:sz w:val="18"/>
          <w:szCs w:val="18"/>
        </w:rPr>
        <w:t>房产抵押担保的方式申请</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亿元委托贷款；中国电子委托中电财务向公司分批发放委托贷款，贷款期限三年，委托贷款利 率为人民银行公布的同期贷款基准利率下浮</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w:t>
      </w:r>
    </w:p>
    <w:p>
      <w:pPr>
        <w:spacing w:line="302" w:lineRule="auto" w:before="49"/>
        <w:ind w:left="153" w:right="1120" w:firstLine="360"/>
        <w:jc w:val="left"/>
        <w:rPr>
          <w:rFonts w:ascii="宋体" w:hAnsi="宋体" w:cs="宋体" w:eastAsia="宋体" w:hint="default"/>
          <w:sz w:val="18"/>
          <w:szCs w:val="18"/>
        </w:rPr>
      </w:pPr>
      <w:r>
        <w:rPr>
          <w:rFonts w:ascii="宋体" w:hAnsi="宋体" w:cs="宋体" w:eastAsia="宋体" w:hint="default"/>
          <w:sz w:val="18"/>
          <w:szCs w:val="18"/>
        </w:rPr>
        <w:t>公司本次抵押的资产为位于北京市海淀区中关村东路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66 </w:t>
      </w:r>
      <w:r>
        <w:rPr>
          <w:rFonts w:ascii="宋体" w:hAnsi="宋体" w:cs="宋体" w:eastAsia="宋体" w:hint="default"/>
          <w:sz w:val="18"/>
          <w:szCs w:val="18"/>
        </w:rPr>
        <w:t>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pacing w:val="-3"/>
          <w:sz w:val="18"/>
          <w:szCs w:val="18"/>
        </w:rPr>
        <w:t>号楼、北京经济开发区同济中路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栋等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pacing w:val="-8"/>
          <w:sz w:val="18"/>
          <w:szCs w:val="18"/>
        </w:rPr>
        <w:t>栋、长沙星</w:t>
      </w:r>
      <w:r>
        <w:rPr>
          <w:rFonts w:ascii="宋体" w:hAnsi="宋体" w:cs="宋体" w:eastAsia="宋体" w:hint="default"/>
          <w:sz w:val="18"/>
          <w:szCs w:val="18"/>
        </w:rPr>
        <w:t> 沙科技园和武汉市东湖新技术开发区高新四路的房屋使用权，公司将根据实际分批贷款金额办理房产抵押担保。</w:t>
      </w:r>
    </w:p>
    <w:p>
      <w:pPr>
        <w:spacing w:line="338" w:lineRule="auto" w:before="69"/>
        <w:ind w:left="153" w:right="4361" w:firstLine="36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6</w:t>
      </w:r>
      <w:r>
        <w:rPr>
          <w:rFonts w:ascii="宋体" w:hAnsi="宋体" w:cs="宋体" w:eastAsia="宋体" w:hint="default"/>
          <w:sz w:val="18"/>
          <w:szCs w:val="18"/>
        </w:rPr>
        <w:t>）持续到报告期或报告期内完成的其他重大关联交易请见下表披露索引。 重大关联交易临时报告披露网站相关查询</w:t>
      </w:r>
    </w:p>
    <w:tbl>
      <w:tblPr>
        <w:tblW w:w="0" w:type="auto"/>
        <w:jc w:val="left"/>
        <w:tblInd w:w="183" w:type="dxa"/>
        <w:tblLayout w:type="fixed"/>
        <w:tblCellMar>
          <w:top w:w="0" w:type="dxa"/>
          <w:left w:w="0" w:type="dxa"/>
          <w:bottom w:w="0" w:type="dxa"/>
          <w:right w:w="0" w:type="dxa"/>
        </w:tblCellMar>
        <w:tblLook w:val="01E0"/>
      </w:tblPr>
      <w:tblGrid>
        <w:gridCol w:w="4643"/>
        <w:gridCol w:w="2462"/>
        <w:gridCol w:w="2464"/>
      </w:tblGrid>
      <w:tr>
        <w:trPr>
          <w:trHeight w:val="401" w:hRule="exact"/>
        </w:trPr>
        <w:tc>
          <w:tcPr>
            <w:tcW w:w="464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临时公告名称</w:t>
            </w:r>
          </w:p>
        </w:tc>
        <w:tc>
          <w:tcPr>
            <w:tcW w:w="24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临时公告披露日期</w:t>
            </w:r>
          </w:p>
        </w:tc>
        <w:tc>
          <w:tcPr>
            <w:tcW w:w="246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临时公告披露网站名称</w:t>
            </w:r>
          </w:p>
        </w:tc>
      </w:tr>
      <w:tr>
        <w:trPr>
          <w:trHeight w:val="402" w:hRule="exact"/>
        </w:trPr>
        <w:tc>
          <w:tcPr>
            <w:tcW w:w="4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2016-150  </w:t>
            </w:r>
            <w:r>
              <w:rPr>
                <w:rFonts w:ascii="宋体" w:hAnsi="宋体" w:cs="宋体" w:eastAsia="宋体" w:hint="default"/>
                <w:sz w:val="18"/>
                <w:szCs w:val="18"/>
              </w:rPr>
              <w:t>关联方房屋租赁公告</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714" w:hRule="exact"/>
        </w:trPr>
        <w:tc>
          <w:tcPr>
            <w:tcW w:w="4643"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2" w:right="48"/>
              <w:jc w:val="left"/>
              <w:rPr>
                <w:rFonts w:ascii="宋体" w:hAnsi="宋体" w:cs="宋体" w:eastAsia="宋体" w:hint="default"/>
                <w:sz w:val="18"/>
                <w:szCs w:val="18"/>
              </w:rPr>
            </w:pPr>
            <w:r>
              <w:rPr>
                <w:rFonts w:ascii="Times New Roman" w:hAnsi="Times New Roman" w:cs="Times New Roman" w:eastAsia="Times New Roman" w:hint="default"/>
                <w:sz w:val="18"/>
                <w:szCs w:val="18"/>
              </w:rPr>
              <w:t>2017-031 </w:t>
            </w:r>
            <w:r>
              <w:rPr>
                <w:rFonts w:ascii="宋体" w:hAnsi="宋体" w:cs="宋体" w:eastAsia="宋体" w:hint="default"/>
                <w:sz w:val="18"/>
                <w:szCs w:val="18"/>
              </w:rPr>
              <w:t>关于以自有资产抵押担保向控股股东及实际控制 人借款暨关联交易的公告</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714" w:hRule="exact"/>
        </w:trPr>
        <w:tc>
          <w:tcPr>
            <w:tcW w:w="4643"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2" w:right="48"/>
              <w:jc w:val="left"/>
              <w:rPr>
                <w:rFonts w:ascii="宋体" w:hAnsi="宋体" w:cs="宋体" w:eastAsia="宋体" w:hint="default"/>
                <w:sz w:val="18"/>
                <w:szCs w:val="18"/>
              </w:rPr>
            </w:pPr>
            <w:r>
              <w:rPr>
                <w:rFonts w:ascii="Times New Roman" w:hAnsi="Times New Roman" w:cs="Times New Roman" w:eastAsia="Times New Roman" w:hint="default"/>
                <w:sz w:val="18"/>
                <w:szCs w:val="18"/>
              </w:rPr>
              <w:t>2017-035 </w:t>
            </w:r>
            <w:r>
              <w:rPr>
                <w:rFonts w:ascii="宋体" w:hAnsi="宋体" w:cs="宋体" w:eastAsia="宋体" w:hint="default"/>
                <w:sz w:val="18"/>
                <w:szCs w:val="18"/>
              </w:rPr>
              <w:t>关于《全面金融合作协议》调整存贷款额度及延 长协议期限暨关联交易的公告</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714" w:hRule="exact"/>
        </w:trPr>
        <w:tc>
          <w:tcPr>
            <w:tcW w:w="4643"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2" w:right="48"/>
              <w:jc w:val="left"/>
              <w:rPr>
                <w:rFonts w:ascii="宋体" w:hAnsi="宋体" w:cs="宋体" w:eastAsia="宋体" w:hint="default"/>
                <w:sz w:val="18"/>
                <w:szCs w:val="18"/>
              </w:rPr>
            </w:pPr>
            <w:r>
              <w:rPr>
                <w:rFonts w:ascii="Times New Roman" w:hAnsi="Times New Roman" w:cs="Times New Roman" w:eastAsia="Times New Roman" w:hint="default"/>
                <w:sz w:val="18"/>
                <w:szCs w:val="18"/>
              </w:rPr>
              <w:t>2017-047 </w:t>
            </w:r>
            <w:r>
              <w:rPr>
                <w:rFonts w:ascii="宋体" w:hAnsi="宋体" w:cs="宋体" w:eastAsia="宋体" w:hint="default"/>
                <w:sz w:val="18"/>
                <w:szCs w:val="18"/>
              </w:rPr>
              <w:t>关于子公司中原电子收购中电财务部分股权暨关 联交易的公告</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402" w:hRule="exact"/>
        </w:trPr>
        <w:tc>
          <w:tcPr>
            <w:tcW w:w="4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2017-091  </w:t>
            </w:r>
            <w:r>
              <w:rPr>
                <w:rFonts w:ascii="宋体" w:hAnsi="宋体" w:cs="宋体" w:eastAsia="宋体" w:hint="default"/>
                <w:sz w:val="18"/>
                <w:szCs w:val="18"/>
              </w:rPr>
              <w:t>关联方房屋租赁公告（开发精密）</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714" w:hRule="exact"/>
        </w:trPr>
        <w:tc>
          <w:tcPr>
            <w:tcW w:w="4643"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2" w:right="55"/>
              <w:jc w:val="left"/>
              <w:rPr>
                <w:rFonts w:ascii="宋体" w:hAnsi="宋体" w:cs="宋体" w:eastAsia="宋体" w:hint="default"/>
                <w:sz w:val="18"/>
                <w:szCs w:val="18"/>
              </w:rPr>
            </w:pPr>
            <w:r>
              <w:rPr>
                <w:rFonts w:ascii="Times New Roman" w:hAnsi="Times New Roman" w:cs="Times New Roman" w:eastAsia="Times New Roman" w:hint="default"/>
                <w:sz w:val="18"/>
                <w:szCs w:val="18"/>
              </w:rPr>
              <w:t>2017-114</w:t>
            </w:r>
            <w:r>
              <w:rPr>
                <w:rFonts w:ascii="Times New Roman" w:hAnsi="Times New Roman" w:cs="Times New Roman" w:eastAsia="Times New Roman" w:hint="default"/>
                <w:spacing w:val="38"/>
                <w:sz w:val="18"/>
                <w:szCs w:val="18"/>
              </w:rPr>
              <w:t> </w:t>
            </w:r>
            <w:r>
              <w:rPr>
                <w:rFonts w:ascii="宋体" w:hAnsi="宋体" w:cs="宋体" w:eastAsia="宋体" w:hint="default"/>
                <w:sz w:val="18"/>
                <w:szCs w:val="18"/>
              </w:rPr>
              <w:t>关于与冠捷科技签署《采购（供货）框架协议》 暨日常关联交易的公告</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714" w:hRule="exact"/>
        </w:trPr>
        <w:tc>
          <w:tcPr>
            <w:tcW w:w="4643"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2" w:right="48"/>
              <w:jc w:val="left"/>
              <w:rPr>
                <w:rFonts w:ascii="宋体" w:hAnsi="宋体" w:cs="宋体" w:eastAsia="宋体" w:hint="default"/>
                <w:sz w:val="18"/>
                <w:szCs w:val="18"/>
              </w:rPr>
            </w:pPr>
            <w:r>
              <w:rPr>
                <w:rFonts w:ascii="Times New Roman" w:hAnsi="Times New Roman" w:cs="Times New Roman" w:eastAsia="Times New Roman" w:hint="default"/>
                <w:sz w:val="18"/>
                <w:szCs w:val="18"/>
              </w:rPr>
              <w:t>2017-128 </w:t>
            </w:r>
            <w:r>
              <w:rPr>
                <w:rFonts w:ascii="宋体" w:hAnsi="宋体" w:cs="宋体" w:eastAsia="宋体" w:hint="default"/>
                <w:sz w:val="18"/>
                <w:szCs w:val="18"/>
              </w:rPr>
              <w:t>关于拟与中电财务就国有资本金的继续使用签署 展期协议暨关联交易的公告</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402" w:hRule="exact"/>
        </w:trPr>
        <w:tc>
          <w:tcPr>
            <w:tcW w:w="4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2018-010 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年度日常关联交易预计公告</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714" w:hRule="exact"/>
        </w:trPr>
        <w:tc>
          <w:tcPr>
            <w:tcW w:w="4643"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2" w:right="48"/>
              <w:jc w:val="left"/>
              <w:rPr>
                <w:rFonts w:ascii="宋体" w:hAnsi="宋体" w:cs="宋体" w:eastAsia="宋体" w:hint="default"/>
                <w:sz w:val="18"/>
                <w:szCs w:val="18"/>
              </w:rPr>
            </w:pPr>
            <w:r>
              <w:rPr>
                <w:rFonts w:ascii="Times New Roman" w:hAnsi="Times New Roman" w:cs="Times New Roman" w:eastAsia="Times New Roman" w:hint="default"/>
                <w:sz w:val="18"/>
                <w:szCs w:val="18"/>
              </w:rPr>
              <w:t>2018-034 </w:t>
            </w:r>
            <w:r>
              <w:rPr>
                <w:rFonts w:ascii="宋体" w:hAnsi="宋体" w:cs="宋体" w:eastAsia="宋体" w:hint="default"/>
                <w:sz w:val="18"/>
                <w:szCs w:val="18"/>
              </w:rPr>
              <w:t>关于与中电系统签署《中电长城大厦智能化工程 施工合同》暨关联交易的公告</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714" w:hRule="exact"/>
        </w:trPr>
        <w:tc>
          <w:tcPr>
            <w:tcW w:w="4643"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2" w:right="48"/>
              <w:jc w:val="left"/>
              <w:rPr>
                <w:rFonts w:ascii="宋体" w:hAnsi="宋体" w:cs="宋体" w:eastAsia="宋体" w:hint="default"/>
                <w:sz w:val="18"/>
                <w:szCs w:val="18"/>
              </w:rPr>
            </w:pPr>
            <w:r>
              <w:rPr>
                <w:rFonts w:ascii="Times New Roman" w:hAnsi="Times New Roman" w:cs="Times New Roman" w:eastAsia="Times New Roman" w:hint="default"/>
                <w:sz w:val="18"/>
                <w:szCs w:val="18"/>
              </w:rPr>
              <w:t>2018-050 </w:t>
            </w:r>
            <w:r>
              <w:rPr>
                <w:rFonts w:ascii="宋体" w:hAnsi="宋体" w:cs="宋体" w:eastAsia="宋体" w:hint="default"/>
                <w:sz w:val="18"/>
                <w:szCs w:val="18"/>
              </w:rPr>
              <w:t>关于利用自有闲置资金进行理财增效暨关联交易 的公告</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714" w:hRule="exact"/>
        </w:trPr>
        <w:tc>
          <w:tcPr>
            <w:tcW w:w="4643"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2" w:right="79"/>
              <w:jc w:val="left"/>
              <w:rPr>
                <w:rFonts w:ascii="宋体" w:hAnsi="宋体" w:cs="宋体" w:eastAsia="宋体" w:hint="default"/>
                <w:sz w:val="18"/>
                <w:szCs w:val="18"/>
              </w:rPr>
            </w:pPr>
            <w:r>
              <w:rPr>
                <w:rFonts w:ascii="Times New Roman" w:hAnsi="Times New Roman" w:cs="Times New Roman" w:eastAsia="Times New Roman" w:hint="default"/>
                <w:sz w:val="18"/>
                <w:szCs w:val="18"/>
              </w:rPr>
              <w:t>2018-051 </w:t>
            </w:r>
            <w:r>
              <w:rPr>
                <w:rFonts w:ascii="宋体" w:hAnsi="宋体" w:cs="宋体" w:eastAsia="宋体" w:hint="default"/>
                <w:sz w:val="18"/>
                <w:szCs w:val="18"/>
              </w:rPr>
              <w:t>关于与天津麒麟、天津飞腾签署</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 关联交易框架协议暨日常关联交易的公告</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714" w:hRule="exact"/>
        </w:trPr>
        <w:tc>
          <w:tcPr>
            <w:tcW w:w="4643"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2" w:right="138"/>
              <w:jc w:val="left"/>
              <w:rPr>
                <w:rFonts w:ascii="宋体" w:hAnsi="宋体" w:cs="宋体" w:eastAsia="宋体" w:hint="default"/>
                <w:sz w:val="18"/>
                <w:szCs w:val="18"/>
              </w:rPr>
            </w:pPr>
            <w:r>
              <w:rPr>
                <w:rFonts w:ascii="Times New Roman" w:hAnsi="Times New Roman" w:cs="Times New Roman" w:eastAsia="Times New Roman" w:hint="default"/>
                <w:sz w:val="18"/>
                <w:szCs w:val="18"/>
              </w:rPr>
              <w:t>2018-078 </w:t>
            </w:r>
            <w:r>
              <w:rPr>
                <w:rFonts w:ascii="宋体" w:hAnsi="宋体" w:cs="宋体" w:eastAsia="宋体" w:hint="default"/>
                <w:sz w:val="18"/>
                <w:szCs w:val="18"/>
              </w:rPr>
              <w:t>关于与长城超云签署</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年度关联交易框架协 议及《商标许可使用合同》暨日常关联交易的公告</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402" w:hRule="exact"/>
        </w:trPr>
        <w:tc>
          <w:tcPr>
            <w:tcW w:w="4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2018-090  </w:t>
            </w:r>
            <w:r>
              <w:rPr>
                <w:rFonts w:ascii="宋体" w:hAnsi="宋体" w:cs="宋体" w:eastAsia="宋体" w:hint="default"/>
                <w:sz w:val="18"/>
                <w:szCs w:val="18"/>
              </w:rPr>
              <w:t>关于变更银行贷款担保方式暨关联交易的公告</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714" w:hRule="exact"/>
        </w:trPr>
        <w:tc>
          <w:tcPr>
            <w:tcW w:w="4643"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2" w:right="48"/>
              <w:jc w:val="left"/>
              <w:rPr>
                <w:rFonts w:ascii="宋体" w:hAnsi="宋体" w:cs="宋体" w:eastAsia="宋体" w:hint="default"/>
                <w:sz w:val="18"/>
                <w:szCs w:val="18"/>
              </w:rPr>
            </w:pPr>
            <w:r>
              <w:rPr>
                <w:rFonts w:ascii="Times New Roman" w:hAnsi="Times New Roman" w:cs="Times New Roman" w:eastAsia="Times New Roman" w:hint="default"/>
                <w:sz w:val="18"/>
                <w:szCs w:val="18"/>
              </w:rPr>
              <w:t>2018-091 </w:t>
            </w:r>
            <w:r>
              <w:rPr>
                <w:rFonts w:ascii="宋体" w:hAnsi="宋体" w:cs="宋体" w:eastAsia="宋体" w:hint="default"/>
                <w:sz w:val="18"/>
                <w:szCs w:val="18"/>
              </w:rPr>
              <w:t>关于拟与中电财务就国有资本金的继续使用签署 展期协议暨关联交易的公告</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715" w:hRule="exact"/>
        </w:trPr>
        <w:tc>
          <w:tcPr>
            <w:tcW w:w="4643"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2" w:right="168"/>
              <w:jc w:val="left"/>
              <w:rPr>
                <w:rFonts w:ascii="宋体" w:hAnsi="宋体" w:cs="宋体" w:eastAsia="宋体" w:hint="default"/>
                <w:sz w:val="18"/>
                <w:szCs w:val="18"/>
              </w:rPr>
            </w:pPr>
            <w:r>
              <w:rPr>
                <w:rFonts w:ascii="Times New Roman" w:hAnsi="Times New Roman" w:cs="Times New Roman" w:eastAsia="Times New Roman" w:hint="default"/>
                <w:sz w:val="18"/>
                <w:szCs w:val="18"/>
              </w:rPr>
              <w:t>2018-099 </w:t>
            </w:r>
            <w:r>
              <w:rPr>
                <w:rFonts w:ascii="宋体" w:hAnsi="宋体" w:cs="宋体" w:eastAsia="宋体" w:hint="default"/>
                <w:sz w:val="18"/>
                <w:szCs w:val="18"/>
              </w:rPr>
              <w:t>关于收购下属控股子公司少数股东</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18.68%</w:t>
            </w:r>
            <w:r>
              <w:rPr>
                <w:rFonts w:ascii="宋体" w:hAnsi="宋体" w:cs="宋体" w:eastAsia="宋体" w:hint="default"/>
                <w:sz w:val="18"/>
                <w:szCs w:val="18"/>
              </w:rPr>
              <w:t>股权 暨关联交易的公告</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巨潮资讯网</w:t>
            </w:r>
          </w:p>
        </w:tc>
      </w:tr>
    </w:tbl>
    <w:p>
      <w:pPr>
        <w:spacing w:after="0" w:line="240" w:lineRule="auto"/>
        <w:jc w:val="center"/>
        <w:rPr>
          <w:rFonts w:ascii="宋体" w:hAnsi="宋体" w:cs="宋体" w:eastAsia="宋体" w:hint="default"/>
          <w:sz w:val="18"/>
          <w:szCs w:val="18"/>
        </w:rPr>
        <w:sectPr>
          <w:pgSz w:w="11910" w:h="16840"/>
          <w:pgMar w:header="787" w:footer="982" w:top="1100" w:bottom="1180" w:left="980" w:right="0"/>
        </w:sectPr>
      </w:pPr>
    </w:p>
    <w:p>
      <w:pPr>
        <w:spacing w:line="240" w:lineRule="auto" w:before="5"/>
        <w:rPr>
          <w:rFonts w:ascii="宋体" w:hAnsi="宋体" w:cs="宋体" w:eastAsia="宋体" w:hint="default"/>
          <w:sz w:val="25"/>
          <w:szCs w:val="25"/>
        </w:rPr>
      </w:pPr>
    </w:p>
    <w:tbl>
      <w:tblPr>
        <w:tblW w:w="0" w:type="auto"/>
        <w:jc w:val="left"/>
        <w:tblInd w:w="964" w:type="dxa"/>
        <w:tblLayout w:type="fixed"/>
        <w:tblCellMar>
          <w:top w:w="0" w:type="dxa"/>
          <w:left w:w="0" w:type="dxa"/>
          <w:bottom w:w="0" w:type="dxa"/>
          <w:right w:w="0" w:type="dxa"/>
        </w:tblCellMar>
        <w:tblLook w:val="01E0"/>
      </w:tblPr>
      <w:tblGrid>
        <w:gridCol w:w="4643"/>
        <w:gridCol w:w="2462"/>
        <w:gridCol w:w="2464"/>
      </w:tblGrid>
      <w:tr>
        <w:trPr>
          <w:trHeight w:val="714" w:hRule="exact"/>
        </w:trPr>
        <w:tc>
          <w:tcPr>
            <w:tcW w:w="4643"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51"/>
              <w:ind w:left="22" w:right="48"/>
              <w:jc w:val="left"/>
              <w:rPr>
                <w:rFonts w:ascii="宋体" w:hAnsi="宋体" w:cs="宋体" w:eastAsia="宋体" w:hint="default"/>
                <w:sz w:val="18"/>
                <w:szCs w:val="18"/>
              </w:rPr>
            </w:pPr>
            <w:r>
              <w:rPr>
                <w:rFonts w:ascii="Times New Roman" w:hAnsi="Times New Roman" w:cs="Times New Roman" w:eastAsia="Times New Roman" w:hint="default"/>
                <w:sz w:val="18"/>
                <w:szCs w:val="18"/>
              </w:rPr>
              <w:t>2018-100 </w:t>
            </w:r>
            <w:r>
              <w:rPr>
                <w:rFonts w:ascii="宋体" w:hAnsi="宋体" w:cs="宋体" w:eastAsia="宋体" w:hint="default"/>
                <w:sz w:val="18"/>
                <w:szCs w:val="18"/>
              </w:rPr>
              <w:t>关于向控股股东申请委托贷款并涉及房产抵押担 保暨关联交易的公告</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714" w:hRule="exact"/>
        </w:trPr>
        <w:tc>
          <w:tcPr>
            <w:tcW w:w="4643"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51"/>
              <w:ind w:left="22" w:right="415"/>
              <w:jc w:val="left"/>
              <w:rPr>
                <w:rFonts w:ascii="宋体" w:hAnsi="宋体" w:cs="宋体" w:eastAsia="宋体" w:hint="default"/>
                <w:sz w:val="18"/>
                <w:szCs w:val="18"/>
              </w:rPr>
            </w:pPr>
            <w:r>
              <w:rPr>
                <w:rFonts w:ascii="Times New Roman" w:hAnsi="Times New Roman" w:cs="Times New Roman" w:eastAsia="Times New Roman" w:hint="default"/>
                <w:sz w:val="18"/>
                <w:szCs w:val="18"/>
              </w:rPr>
              <w:t>2018-110</w:t>
            </w:r>
            <w:r>
              <w:rPr>
                <w:rFonts w:ascii="Times New Roman" w:hAnsi="Times New Roman" w:cs="Times New Roman" w:eastAsia="Times New Roman" w:hint="default"/>
                <w:spacing w:val="38"/>
                <w:sz w:val="18"/>
                <w:szCs w:val="18"/>
              </w:rPr>
              <w:t> </w:t>
            </w:r>
            <w:r>
              <w:rPr>
                <w:rFonts w:ascii="宋体" w:hAnsi="宋体" w:cs="宋体" w:eastAsia="宋体" w:hint="default"/>
                <w:sz w:val="18"/>
                <w:szCs w:val="18"/>
              </w:rPr>
              <w:t>关于下属公司购买土地使用权及地上房屋建 筑物暨关联交易的公告</w:t>
            </w:r>
          </w:p>
        </w:tc>
        <w:tc>
          <w:tcPr>
            <w:tcW w:w="2462" w:type="dxa"/>
            <w:tcBorders>
              <w:top w:val="single" w:sz="4" w:space="0" w:color="000000"/>
              <w:left w:val="single" w:sz="4" w:space="0" w:color="000000"/>
              <w:bottom w:val="single" w:sz="4" w:space="0" w:color="000000"/>
              <w:right w:val="single" w:sz="4" w:space="0" w:color="000000"/>
            </w:tcBorders>
          </w:tcPr>
          <w:p>
            <w:pPr>
              <w:pStyle w:val="TableParagraph"/>
              <w:spacing w:line="156" w:lineRule="exact"/>
              <w:ind w:right="-51"/>
              <w:jc w:val="left"/>
              <w:rPr>
                <w:rFonts w:ascii="宋体" w:hAnsi="宋体" w:cs="宋体" w:eastAsia="宋体" w:hint="default"/>
                <w:sz w:val="15"/>
                <w:szCs w:val="15"/>
              </w:rPr>
            </w:pPr>
            <w:r>
              <w:rPr>
                <w:rFonts w:ascii="宋体" w:hAnsi="宋体" w:cs="宋体" w:eastAsia="宋体" w:hint="default"/>
                <w:position w:val="-2"/>
                <w:sz w:val="15"/>
                <w:szCs w:val="15"/>
              </w:rPr>
              <w:pict>
                <v:group style="width:122.65pt;height:7.8pt;mso-position-horizontal-relative:char;mso-position-vertical-relative:line" coordorigin="0,0" coordsize="2453,156">
                  <v:group style="position:absolute;left:0;top:0;width:2453;height:156" coordorigin="0,0" coordsize="2453,156">
                    <v:shape style="position:absolute;left:0;top:0;width:2453;height:156" coordorigin="0,0" coordsize="2453,156" path="m0,156l2453,156,2453,0,0,0,0,156xe" filled="true" fillcolor="#ffffff" stroked="false">
                      <v:path arrowok="t"/>
                      <v:fill type="solid"/>
                    </v:shape>
                  </v:group>
                </v:group>
              </w:pict>
            </w:r>
            <w:r>
              <w:rPr>
                <w:rFonts w:ascii="宋体" w:hAnsi="宋体" w:cs="宋体" w:eastAsia="宋体" w:hint="default"/>
                <w:position w:val="-2"/>
                <w:sz w:val="15"/>
                <w:szCs w:val="15"/>
              </w:rPr>
            </w:r>
          </w:p>
          <w:p>
            <w:pPr>
              <w:pStyle w:val="TableParagraph"/>
              <w:spacing w:line="240" w:lineRule="auto" w:before="51"/>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巨潮资讯网</w:t>
            </w:r>
          </w:p>
        </w:tc>
      </w:tr>
    </w:tbl>
    <w:p>
      <w:pPr>
        <w:spacing w:line="240" w:lineRule="auto" w:before="5"/>
        <w:rPr>
          <w:rFonts w:ascii="宋体" w:hAnsi="宋体" w:cs="宋体" w:eastAsia="宋体" w:hint="default"/>
          <w:sz w:val="13"/>
          <w:szCs w:val="13"/>
        </w:rPr>
      </w:pPr>
    </w:p>
    <w:p>
      <w:pPr>
        <w:pStyle w:val="Heading4"/>
        <w:spacing w:line="240" w:lineRule="auto" w:before="26"/>
        <w:ind w:left="934" w:right="3010"/>
        <w:jc w:val="left"/>
        <w:rPr>
          <w:b w:val="0"/>
          <w:bCs w:val="0"/>
        </w:rPr>
      </w:pPr>
      <w:r>
        <w:rPr/>
        <w:pict>
          <v:shape style="position:absolute;margin-left:266.640015pt;margin-top:-44.444073pt;width:146.85pt;height:35.25pt;mso-position-horizontal-relative:page;mso-position-vertical-relative:paragraph;z-index:-1401712" type="#_x0000_t202" filled="false" stroked="false">
            <v:textbox inset="0,0,0,0">
              <w:txbxContent>
                <w:p>
                  <w:pPr>
                    <w:spacing w:before="51"/>
                    <w:ind w:left="0" w:right="0" w:firstLine="0"/>
                    <w:jc w:val="left"/>
                    <w:rPr>
                      <w:rFonts w:ascii="宋体" w:hAnsi="宋体" w:cs="宋体" w:eastAsia="宋体" w:hint="default"/>
                      <w:sz w:val="18"/>
                      <w:szCs w:val="18"/>
                    </w:rPr>
                  </w:pPr>
                  <w:r>
                    <w:rPr>
                      <w:rFonts w:ascii="宋体" w:hAnsi="宋体" w:cs="宋体" w:eastAsia="宋体" w:hint="default"/>
                      <w:sz w:val="18"/>
                      <w:szCs w:val="18"/>
                    </w:rPr>
                    <w:t>（构）</w:t>
                  </w:r>
                </w:p>
              </w:txbxContent>
            </v:textbox>
            <w10:wrap type="none"/>
          </v:shape>
        </w:pict>
      </w:r>
      <w:r>
        <w:rPr/>
        <w:pict>
          <v:group style="position:absolute;margin-left:290.820007pt;margin-top:-17.024073pt;width:122.65pt;height:7.8pt;mso-position-horizontal-relative:page;mso-position-vertical-relative:paragraph;z-index:-1401688" coordorigin="5816,-340" coordsize="2453,156">
            <v:shape style="position:absolute;left:5816;top:-340;width:2453;height:156" coordorigin="5816,-340" coordsize="2453,156" path="m5816,-184l8269,-184,8269,-340,5816,-340,5816,-184xe" filled="true" fillcolor="#ffffff" stroked="false">
              <v:path arrowok="t"/>
              <v:fill type="solid"/>
            </v:shape>
            <w10:wrap type="none"/>
          </v:group>
        </w:pict>
      </w:r>
      <w:r>
        <w:rPr/>
        <w:t>十七、重大合同及其履行情况</w:t>
      </w:r>
      <w:r>
        <w:rPr>
          <w:b w:val="0"/>
          <w:bCs w:val="0"/>
        </w:rPr>
      </w:r>
    </w:p>
    <w:p>
      <w:pPr>
        <w:spacing w:line="240" w:lineRule="auto" w:before="0"/>
        <w:rPr>
          <w:rFonts w:ascii="宋体" w:hAnsi="宋体" w:cs="宋体" w:eastAsia="宋体" w:hint="default"/>
          <w:b/>
          <w:bCs/>
          <w:sz w:val="20"/>
          <w:szCs w:val="20"/>
        </w:rPr>
      </w:pPr>
    </w:p>
    <w:p>
      <w:pPr>
        <w:pStyle w:val="Heading5"/>
        <w:spacing w:line="240" w:lineRule="auto" w:before="0"/>
        <w:ind w:left="934" w:right="3010"/>
        <w:jc w:val="left"/>
        <w:rPr>
          <w:b w:val="0"/>
          <w:bCs w:val="0"/>
        </w:rPr>
      </w:pPr>
      <w:r>
        <w:rPr>
          <w:rFonts w:ascii="Times New Roman" w:hAnsi="Times New Roman" w:cs="Times New Roman" w:eastAsia="Times New Roman" w:hint="default"/>
        </w:rPr>
        <w:t>1</w:t>
      </w:r>
      <w:r>
        <w:rPr/>
        <w:t>、托管、承包、租赁事项情况</w:t>
      </w:r>
      <w:r>
        <w:rPr>
          <w:b w:val="0"/>
          <w:bCs w:val="0"/>
        </w:rPr>
      </w:r>
    </w:p>
    <w:p>
      <w:pPr>
        <w:spacing w:line="240" w:lineRule="auto" w:before="13"/>
        <w:rPr>
          <w:rFonts w:ascii="宋体" w:hAnsi="宋体" w:cs="宋体" w:eastAsia="宋体" w:hint="default"/>
          <w:b/>
          <w:bCs/>
          <w:sz w:val="19"/>
          <w:szCs w:val="19"/>
        </w:rPr>
      </w:pPr>
    </w:p>
    <w:p>
      <w:pPr>
        <w:pStyle w:val="Heading5"/>
        <w:spacing w:line="240" w:lineRule="auto" w:before="0"/>
        <w:ind w:left="934" w:right="3010"/>
        <w:jc w:val="left"/>
        <w:rPr>
          <w:b w:val="0"/>
          <w:bCs w:val="0"/>
        </w:rPr>
      </w:pPr>
      <w:r>
        <w:rPr/>
        <w:t>（</w:t>
      </w:r>
      <w:r>
        <w:rPr>
          <w:rFonts w:ascii="Times New Roman" w:hAnsi="Times New Roman" w:cs="Times New Roman" w:eastAsia="Times New Roman" w:hint="default"/>
        </w:rPr>
        <w:t>1</w:t>
      </w:r>
      <w:r>
        <w:rPr/>
        <w:t>）托管情况</w:t>
      </w:r>
      <w:r>
        <w:rPr>
          <w:b w:val="0"/>
          <w:bCs w:val="0"/>
        </w:rPr>
      </w:r>
    </w:p>
    <w:p>
      <w:pPr>
        <w:spacing w:line="240" w:lineRule="auto" w:before="0"/>
        <w:rPr>
          <w:rFonts w:ascii="宋体" w:hAnsi="宋体" w:cs="宋体" w:eastAsia="宋体" w:hint="default"/>
          <w:b/>
          <w:bCs/>
          <w:sz w:val="22"/>
          <w:szCs w:val="22"/>
        </w:rPr>
      </w:pPr>
    </w:p>
    <w:p>
      <w:pPr>
        <w:spacing w:line="360" w:lineRule="auto" w:before="0"/>
        <w:ind w:left="933" w:right="9221" w:firstLine="0"/>
        <w:jc w:val="left"/>
        <w:rPr>
          <w:rFonts w:ascii="宋体" w:hAnsi="宋体" w:cs="宋体" w:eastAsia="宋体" w:hint="default"/>
          <w:sz w:val="18"/>
          <w:szCs w:val="18"/>
        </w:rPr>
      </w:pPr>
      <w:r>
        <w:rPr>
          <w:rFonts w:ascii="宋体" w:hAnsi="宋体" w:cs="宋体" w:eastAsia="宋体" w:hint="default"/>
          <w:sz w:val="18"/>
          <w:szCs w:val="18"/>
        </w:rPr>
        <w:t>√ 适用 □ 不适用 </w:t>
      </w:r>
      <w:r>
        <w:rPr>
          <w:rFonts w:ascii="宋体" w:hAnsi="宋体" w:cs="宋体" w:eastAsia="宋体" w:hint="default"/>
          <w:b/>
          <w:bCs/>
          <w:sz w:val="18"/>
          <w:szCs w:val="18"/>
        </w:rPr>
        <w:t>托管情况说明</w:t>
      </w:r>
      <w:r>
        <w:rPr>
          <w:rFonts w:ascii="宋体" w:hAnsi="宋体" w:cs="宋体" w:eastAsia="宋体" w:hint="default"/>
          <w:sz w:val="18"/>
          <w:szCs w:val="18"/>
        </w:rPr>
      </w:r>
    </w:p>
    <w:p>
      <w:pPr>
        <w:spacing w:before="25"/>
        <w:ind w:left="1293" w:right="112" w:firstLine="0"/>
        <w:jc w:val="left"/>
        <w:rPr>
          <w:rFonts w:ascii="Times New Roman" w:hAnsi="Times New Roman" w:cs="Times New Roman" w:eastAsia="Times New Roman" w:hint="default"/>
          <w:sz w:val="18"/>
          <w:szCs w:val="18"/>
        </w:rPr>
      </w:pPr>
      <w:r>
        <w:rPr>
          <w:rFonts w:ascii="宋体" w:hAnsi="宋体" w:cs="宋体" w:eastAsia="宋体" w:hint="default"/>
          <w:spacing w:val="-1"/>
          <w:sz w:val="18"/>
          <w:szCs w:val="18"/>
        </w:rPr>
        <w:t>重大资产重组前中国电子将武汉中元物业发展有限公司（中国电子下属公司）委托中原电子管理，委托管理费每年</w:t>
      </w:r>
      <w:r>
        <w:rPr>
          <w:rFonts w:ascii="宋体" w:hAnsi="宋体" w:cs="宋体" w:eastAsia="宋体" w:hint="default"/>
          <w:spacing w:val="-32"/>
          <w:sz w:val="18"/>
          <w:szCs w:val="18"/>
        </w:rPr>
        <w:t> </w:t>
      </w:r>
      <w:r>
        <w:rPr>
          <w:rFonts w:ascii="Times New Roman" w:hAnsi="Times New Roman" w:cs="Times New Roman" w:eastAsia="Times New Roman" w:hint="default"/>
          <w:sz w:val="18"/>
          <w:szCs w:val="18"/>
        </w:rPr>
        <w:t>100</w:t>
      </w:r>
    </w:p>
    <w:p>
      <w:pPr>
        <w:spacing w:before="64"/>
        <w:ind w:left="934" w:right="3010" w:firstLine="0"/>
        <w:jc w:val="left"/>
        <w:rPr>
          <w:rFonts w:ascii="宋体" w:hAnsi="宋体" w:cs="宋体" w:eastAsia="宋体" w:hint="default"/>
          <w:sz w:val="18"/>
          <w:szCs w:val="18"/>
        </w:rPr>
      </w:pPr>
      <w:r>
        <w:rPr>
          <w:rFonts w:ascii="宋体" w:hAnsi="宋体" w:cs="宋体" w:eastAsia="宋体" w:hint="default"/>
          <w:sz w:val="18"/>
          <w:szCs w:val="18"/>
        </w:rPr>
        <w:t>万元。</w:t>
      </w:r>
    </w:p>
    <w:p>
      <w:pPr>
        <w:spacing w:before="116"/>
        <w:ind w:left="934" w:right="3010" w:firstLine="0"/>
        <w:jc w:val="left"/>
        <w:rPr>
          <w:rFonts w:ascii="宋体" w:hAnsi="宋体" w:cs="宋体" w:eastAsia="宋体" w:hint="default"/>
          <w:sz w:val="18"/>
          <w:szCs w:val="18"/>
        </w:rPr>
      </w:pPr>
      <w:r>
        <w:rPr>
          <w:rFonts w:ascii="宋体" w:hAnsi="宋体" w:cs="宋体" w:eastAsia="宋体" w:hint="default"/>
          <w:sz w:val="18"/>
          <w:szCs w:val="18"/>
        </w:rPr>
        <w:t>为公司带来的损益达到公司报告期利润总额</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以上的项目</w:t>
      </w:r>
    </w:p>
    <w:p>
      <w:pPr>
        <w:spacing w:before="103"/>
        <w:ind w:left="934" w:right="301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before="116"/>
        <w:ind w:left="1294" w:right="3010" w:firstLine="0"/>
        <w:jc w:val="left"/>
        <w:rPr>
          <w:rFonts w:ascii="宋体" w:hAnsi="宋体" w:cs="宋体" w:eastAsia="宋体" w:hint="default"/>
          <w:sz w:val="18"/>
          <w:szCs w:val="18"/>
        </w:rPr>
      </w:pPr>
      <w:r>
        <w:rPr>
          <w:rFonts w:ascii="宋体" w:hAnsi="宋体" w:cs="宋体" w:eastAsia="宋体" w:hint="default"/>
          <w:sz w:val="18"/>
          <w:szCs w:val="18"/>
        </w:rPr>
        <w:t>公司报告期不存在为公司带来的损益达到公司报告期利润总额</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以上的托管项目。</w:t>
      </w:r>
    </w:p>
    <w:p>
      <w:pPr>
        <w:spacing w:line="240" w:lineRule="auto" w:before="1"/>
        <w:rPr>
          <w:rFonts w:ascii="宋体" w:hAnsi="宋体" w:cs="宋体" w:eastAsia="宋体" w:hint="default"/>
          <w:sz w:val="21"/>
          <w:szCs w:val="21"/>
        </w:rPr>
      </w:pPr>
    </w:p>
    <w:p>
      <w:pPr>
        <w:pStyle w:val="Heading5"/>
        <w:spacing w:line="240" w:lineRule="auto" w:before="0"/>
        <w:ind w:left="934" w:right="3010"/>
        <w:jc w:val="left"/>
        <w:rPr>
          <w:b w:val="0"/>
          <w:bCs w:val="0"/>
        </w:rPr>
      </w:pPr>
      <w:r>
        <w:rPr/>
        <w:t>（</w:t>
      </w:r>
      <w:r>
        <w:rPr>
          <w:rFonts w:ascii="Times New Roman" w:hAnsi="Times New Roman" w:cs="Times New Roman" w:eastAsia="Times New Roman" w:hint="default"/>
        </w:rPr>
        <w:t>2</w:t>
      </w:r>
      <w:r>
        <w:rPr/>
        <w:t>）承包情况</w:t>
      </w:r>
      <w:r>
        <w:rPr>
          <w:b w:val="0"/>
          <w:bCs w:val="0"/>
        </w:rPr>
      </w:r>
    </w:p>
    <w:p>
      <w:pPr>
        <w:spacing w:line="240" w:lineRule="auto" w:before="0"/>
        <w:rPr>
          <w:rFonts w:ascii="宋体" w:hAnsi="宋体" w:cs="宋体" w:eastAsia="宋体" w:hint="default"/>
          <w:b/>
          <w:bCs/>
          <w:sz w:val="22"/>
          <w:szCs w:val="22"/>
        </w:rPr>
      </w:pPr>
    </w:p>
    <w:p>
      <w:pPr>
        <w:spacing w:line="357" w:lineRule="auto" w:before="0"/>
        <w:ind w:left="1293" w:right="8051" w:hanging="360"/>
        <w:jc w:val="left"/>
        <w:rPr>
          <w:rFonts w:ascii="宋体" w:hAnsi="宋体" w:cs="宋体" w:eastAsia="宋体" w:hint="default"/>
          <w:sz w:val="18"/>
          <w:szCs w:val="18"/>
        </w:rPr>
      </w:pPr>
      <w:r>
        <w:rPr>
          <w:rFonts w:ascii="宋体" w:hAnsi="宋体" w:cs="宋体" w:eastAsia="宋体" w:hint="default"/>
          <w:sz w:val="18"/>
          <w:szCs w:val="18"/>
        </w:rPr>
        <w:t>□ 适用 √ 不适用 公司报告期不存在承包情况。</w:t>
      </w:r>
    </w:p>
    <w:p>
      <w:pPr>
        <w:spacing w:line="240" w:lineRule="auto" w:before="7"/>
        <w:rPr>
          <w:rFonts w:ascii="宋体" w:hAnsi="宋体" w:cs="宋体" w:eastAsia="宋体" w:hint="default"/>
          <w:sz w:val="15"/>
          <w:szCs w:val="15"/>
        </w:rPr>
      </w:pPr>
    </w:p>
    <w:p>
      <w:pPr>
        <w:pStyle w:val="Heading5"/>
        <w:spacing w:line="240" w:lineRule="auto" w:before="0"/>
        <w:ind w:left="934" w:right="3010"/>
        <w:jc w:val="left"/>
        <w:rPr>
          <w:b w:val="0"/>
          <w:bCs w:val="0"/>
        </w:rPr>
      </w:pPr>
      <w:r>
        <w:rPr/>
        <w:t>（</w:t>
      </w:r>
      <w:r>
        <w:rPr>
          <w:rFonts w:ascii="Times New Roman" w:hAnsi="Times New Roman" w:cs="Times New Roman" w:eastAsia="Times New Roman" w:hint="default"/>
        </w:rPr>
        <w:t>3</w:t>
      </w:r>
      <w:r>
        <w:rPr/>
        <w:t>）租赁情况</w:t>
      </w:r>
      <w:r>
        <w:rPr>
          <w:b w:val="0"/>
          <w:bCs w:val="0"/>
        </w:rPr>
      </w:r>
    </w:p>
    <w:p>
      <w:pPr>
        <w:spacing w:line="240" w:lineRule="auto" w:before="12"/>
        <w:rPr>
          <w:rFonts w:ascii="宋体" w:hAnsi="宋体" w:cs="宋体" w:eastAsia="宋体" w:hint="default"/>
          <w:b/>
          <w:bCs/>
          <w:sz w:val="21"/>
          <w:szCs w:val="21"/>
        </w:rPr>
      </w:pPr>
    </w:p>
    <w:p>
      <w:pPr>
        <w:spacing w:line="360" w:lineRule="auto" w:before="0"/>
        <w:ind w:left="933" w:right="9221" w:firstLine="0"/>
        <w:jc w:val="left"/>
        <w:rPr>
          <w:rFonts w:ascii="宋体" w:hAnsi="宋体" w:cs="宋体" w:eastAsia="宋体" w:hint="default"/>
          <w:sz w:val="18"/>
          <w:szCs w:val="18"/>
        </w:rPr>
      </w:pPr>
      <w:r>
        <w:rPr>
          <w:rFonts w:ascii="宋体" w:hAnsi="宋体" w:cs="宋体" w:eastAsia="宋体" w:hint="default"/>
          <w:sz w:val="18"/>
          <w:szCs w:val="18"/>
        </w:rPr>
        <w:t>√ 适用 □ 不适用 </w:t>
      </w:r>
      <w:r>
        <w:rPr>
          <w:rFonts w:ascii="宋体" w:hAnsi="宋体" w:cs="宋体" w:eastAsia="宋体" w:hint="default"/>
          <w:b/>
          <w:bCs/>
          <w:sz w:val="18"/>
          <w:szCs w:val="18"/>
        </w:rPr>
        <w:t>租赁情况说明</w:t>
      </w:r>
      <w:r>
        <w:rPr>
          <w:rFonts w:ascii="宋体" w:hAnsi="宋体" w:cs="宋体" w:eastAsia="宋体" w:hint="default"/>
          <w:sz w:val="18"/>
          <w:szCs w:val="18"/>
        </w:rPr>
      </w:r>
    </w:p>
    <w:p>
      <w:pPr>
        <w:spacing w:before="26"/>
        <w:ind w:left="1293" w:right="1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）本公司历年来对外出租部分自有物业、设备，对关联方的出租详见财务报表附注中“关联交易情况”的相关介绍；</w:t>
      </w:r>
    </w:p>
    <w:p>
      <w:pPr>
        <w:spacing w:line="340" w:lineRule="auto" w:before="102"/>
        <w:ind w:left="934" w:right="1120"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）公司亦存在少量租赁厂房、宿舍的情况，向关联方承租的情况详见财务报表附注中“关联交易情况”的相关介绍。 为公司带来的损益达到公司报告期利润总额</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以上的项目</w:t>
      </w:r>
    </w:p>
    <w:p>
      <w:pPr>
        <w:spacing w:before="18"/>
        <w:ind w:left="934" w:right="301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before="116"/>
        <w:ind w:left="1294" w:right="3010" w:firstLine="0"/>
        <w:jc w:val="left"/>
        <w:rPr>
          <w:rFonts w:ascii="宋体" w:hAnsi="宋体" w:cs="宋体" w:eastAsia="宋体" w:hint="default"/>
          <w:sz w:val="18"/>
          <w:szCs w:val="18"/>
        </w:rPr>
      </w:pPr>
      <w:r>
        <w:rPr>
          <w:rFonts w:ascii="宋体" w:hAnsi="宋体" w:cs="宋体" w:eastAsia="宋体" w:hint="default"/>
          <w:sz w:val="18"/>
          <w:szCs w:val="18"/>
        </w:rPr>
        <w:t>公司报告期不存在为公司带来的损益达到公司报告期利润总额</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以上的租赁项目。</w:t>
      </w:r>
    </w:p>
    <w:p>
      <w:pPr>
        <w:spacing w:line="240" w:lineRule="auto" w:before="3"/>
        <w:rPr>
          <w:rFonts w:ascii="宋体" w:hAnsi="宋体" w:cs="宋体" w:eastAsia="宋体" w:hint="default"/>
          <w:sz w:val="21"/>
          <w:szCs w:val="21"/>
        </w:rPr>
      </w:pPr>
    </w:p>
    <w:p>
      <w:pPr>
        <w:pStyle w:val="Heading5"/>
        <w:spacing w:line="240" w:lineRule="auto" w:before="0"/>
        <w:ind w:left="934" w:right="3010"/>
        <w:jc w:val="left"/>
        <w:rPr>
          <w:b w:val="0"/>
          <w:bCs w:val="0"/>
        </w:rPr>
      </w:pPr>
      <w:r>
        <w:rPr>
          <w:rFonts w:ascii="Times New Roman" w:hAnsi="Times New Roman" w:cs="Times New Roman" w:eastAsia="Times New Roman" w:hint="default"/>
        </w:rPr>
        <w:t>2</w:t>
      </w:r>
      <w:r>
        <w:rPr/>
        <w:t>、重大担保</w:t>
      </w:r>
      <w:r>
        <w:rPr>
          <w:b w:val="0"/>
          <w:bCs w:val="0"/>
        </w:rPr>
      </w:r>
    </w:p>
    <w:p>
      <w:pPr>
        <w:spacing w:line="240" w:lineRule="auto" w:before="12"/>
        <w:rPr>
          <w:rFonts w:ascii="宋体" w:hAnsi="宋体" w:cs="宋体" w:eastAsia="宋体" w:hint="default"/>
          <w:b/>
          <w:bCs/>
          <w:sz w:val="21"/>
          <w:szCs w:val="21"/>
        </w:rPr>
      </w:pPr>
    </w:p>
    <w:p>
      <w:pPr>
        <w:spacing w:before="0"/>
        <w:ind w:left="934" w:right="301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3"/>
        <w:rPr>
          <w:rFonts w:ascii="宋体" w:hAnsi="宋体" w:cs="宋体" w:eastAsia="宋体" w:hint="default"/>
          <w:sz w:val="22"/>
          <w:szCs w:val="22"/>
        </w:rPr>
      </w:pPr>
    </w:p>
    <w:p>
      <w:pPr>
        <w:pStyle w:val="Heading5"/>
        <w:spacing w:line="240" w:lineRule="auto" w:before="0"/>
        <w:ind w:left="934" w:right="3010"/>
        <w:jc w:val="left"/>
        <w:rPr>
          <w:b w:val="0"/>
          <w:bCs w:val="0"/>
        </w:rPr>
      </w:pPr>
      <w:r>
        <w:rPr/>
        <w:t>（</w:t>
      </w:r>
      <w:r>
        <w:rPr>
          <w:rFonts w:ascii="Times New Roman" w:hAnsi="Times New Roman" w:cs="Times New Roman" w:eastAsia="Times New Roman" w:hint="default"/>
        </w:rPr>
        <w:t>1</w:t>
      </w:r>
      <w:r>
        <w:rPr/>
        <w:t>）担保情况</w:t>
      </w:r>
      <w:r>
        <w:rPr>
          <w:b w:val="0"/>
          <w:bCs w:val="0"/>
        </w:rPr>
      </w:r>
    </w:p>
    <w:p>
      <w:pPr>
        <w:spacing w:line="240" w:lineRule="auto" w:before="12"/>
        <w:rPr>
          <w:rFonts w:ascii="宋体" w:hAnsi="宋体" w:cs="宋体" w:eastAsia="宋体" w:hint="default"/>
          <w:b/>
          <w:bCs/>
          <w:sz w:val="21"/>
          <w:szCs w:val="21"/>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614"/>
        <w:gridCol w:w="1559"/>
        <w:gridCol w:w="851"/>
        <w:gridCol w:w="1560"/>
        <w:gridCol w:w="991"/>
        <w:gridCol w:w="1277"/>
        <w:gridCol w:w="968"/>
        <w:gridCol w:w="720"/>
        <w:gridCol w:w="738"/>
      </w:tblGrid>
      <w:tr>
        <w:trPr>
          <w:trHeight w:val="322" w:hRule="exact"/>
        </w:trPr>
        <w:tc>
          <w:tcPr>
            <w:tcW w:w="11278" w:type="dxa"/>
            <w:gridSpan w:val="9"/>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公司对外担保情况（不包括对子公司的担保）</w:t>
            </w:r>
          </w:p>
        </w:tc>
      </w:tr>
      <w:tr>
        <w:trPr>
          <w:trHeight w:val="634" w:hRule="exact"/>
        </w:trPr>
        <w:tc>
          <w:tcPr>
            <w:tcW w:w="26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761" w:right="0"/>
              <w:jc w:val="left"/>
              <w:rPr>
                <w:rFonts w:ascii="宋体" w:hAnsi="宋体" w:cs="宋体" w:eastAsia="宋体" w:hint="default"/>
                <w:sz w:val="18"/>
                <w:szCs w:val="18"/>
              </w:rPr>
            </w:pPr>
            <w:r>
              <w:rPr>
                <w:rFonts w:ascii="宋体" w:hAnsi="宋体" w:cs="宋体" w:eastAsia="宋体" w:hint="default"/>
                <w:sz w:val="18"/>
                <w:szCs w:val="18"/>
              </w:rPr>
              <w:t>担保对象名称</w:t>
            </w:r>
          </w:p>
        </w:tc>
        <w:tc>
          <w:tcPr>
            <w:tcW w:w="155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10"/>
              <w:ind w:left="414" w:right="53" w:hanging="360"/>
              <w:jc w:val="left"/>
              <w:rPr>
                <w:rFonts w:ascii="宋体" w:hAnsi="宋体" w:cs="宋体" w:eastAsia="宋体" w:hint="default"/>
                <w:sz w:val="18"/>
                <w:szCs w:val="18"/>
              </w:rPr>
            </w:pPr>
            <w:r>
              <w:rPr>
                <w:rFonts w:ascii="宋体" w:hAnsi="宋体" w:cs="宋体" w:eastAsia="宋体" w:hint="default"/>
                <w:sz w:val="18"/>
                <w:szCs w:val="18"/>
              </w:rPr>
              <w:t>担保额度相关公告 披露日期</w:t>
            </w:r>
          </w:p>
        </w:tc>
        <w:tc>
          <w:tcPr>
            <w:tcW w:w="85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60"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5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10"/>
              <w:ind w:left="415" w:right="0" w:hanging="416"/>
              <w:jc w:val="left"/>
              <w:rPr>
                <w:rFonts w:ascii="宋体" w:hAnsi="宋体" w:cs="宋体" w:eastAsia="宋体" w:hint="default"/>
                <w:sz w:val="18"/>
                <w:szCs w:val="18"/>
              </w:rPr>
            </w:pPr>
            <w:r>
              <w:rPr>
                <w:rFonts w:ascii="宋体" w:hAnsi="宋体" w:cs="宋体" w:eastAsia="宋体" w:hint="default"/>
                <w:spacing w:val="-8"/>
                <w:sz w:val="18"/>
                <w:szCs w:val="18"/>
              </w:rPr>
              <w:t>实际发生日期（协议</w:t>
            </w:r>
            <w:r>
              <w:rPr>
                <w:rFonts w:ascii="宋体" w:hAnsi="宋体" w:cs="宋体" w:eastAsia="宋体" w:hint="default"/>
                <w:sz w:val="18"/>
                <w:szCs w:val="18"/>
              </w:rPr>
              <w:t> 签署日）</w:t>
            </w:r>
          </w:p>
        </w:tc>
        <w:tc>
          <w:tcPr>
            <w:tcW w:w="9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10"/>
              <w:ind w:left="400" w:right="38" w:hanging="360"/>
              <w:jc w:val="left"/>
              <w:rPr>
                <w:rFonts w:ascii="宋体" w:hAnsi="宋体" w:cs="宋体" w:eastAsia="宋体" w:hint="default"/>
                <w:sz w:val="18"/>
                <w:szCs w:val="18"/>
              </w:rPr>
            </w:pPr>
            <w:r>
              <w:rPr>
                <w:rFonts w:ascii="宋体" w:hAnsi="宋体" w:cs="宋体" w:eastAsia="宋体" w:hint="default"/>
                <w:sz w:val="18"/>
                <w:szCs w:val="18"/>
              </w:rPr>
              <w:t>实际担保金 额</w:t>
            </w:r>
          </w:p>
        </w:tc>
        <w:tc>
          <w:tcPr>
            <w:tcW w:w="127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72" w:right="0"/>
              <w:jc w:val="left"/>
              <w:rPr>
                <w:rFonts w:ascii="宋体" w:hAnsi="宋体" w:cs="宋体" w:eastAsia="宋体" w:hint="default"/>
                <w:sz w:val="18"/>
                <w:szCs w:val="18"/>
              </w:rPr>
            </w:pPr>
            <w:r>
              <w:rPr>
                <w:rFonts w:ascii="宋体" w:hAnsi="宋体" w:cs="宋体" w:eastAsia="宋体" w:hint="default"/>
                <w:sz w:val="18"/>
                <w:szCs w:val="18"/>
              </w:rPr>
              <w:t>担保类型</w:t>
            </w:r>
          </w:p>
        </w:tc>
        <w:tc>
          <w:tcPr>
            <w:tcW w:w="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08" w:right="0"/>
              <w:jc w:val="left"/>
              <w:rPr>
                <w:rFonts w:ascii="宋体" w:hAnsi="宋体" w:cs="宋体" w:eastAsia="宋体" w:hint="default"/>
                <w:sz w:val="18"/>
                <w:szCs w:val="18"/>
              </w:rPr>
            </w:pPr>
            <w:r>
              <w:rPr>
                <w:rFonts w:ascii="宋体" w:hAnsi="宋体" w:cs="宋体" w:eastAsia="宋体" w:hint="default"/>
                <w:sz w:val="18"/>
                <w:szCs w:val="18"/>
              </w:rPr>
              <w:t>担保期</w:t>
            </w:r>
          </w:p>
        </w:tc>
        <w:tc>
          <w:tcPr>
            <w:tcW w:w="72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10"/>
              <w:ind w:left="85" w:right="83"/>
              <w:jc w:val="left"/>
              <w:rPr>
                <w:rFonts w:ascii="宋体" w:hAnsi="宋体" w:cs="宋体" w:eastAsia="宋体" w:hint="default"/>
                <w:sz w:val="18"/>
                <w:szCs w:val="18"/>
              </w:rPr>
            </w:pPr>
            <w:r>
              <w:rPr>
                <w:rFonts w:ascii="宋体" w:hAnsi="宋体" w:cs="宋体" w:eastAsia="宋体" w:hint="default"/>
                <w:sz w:val="18"/>
                <w:szCs w:val="18"/>
              </w:rPr>
              <w:t>是否履 行完毕</w:t>
            </w:r>
          </w:p>
        </w:tc>
        <w:tc>
          <w:tcPr>
            <w:tcW w:w="73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10"/>
              <w:ind w:left="3" w:right="2"/>
              <w:jc w:val="left"/>
              <w:rPr>
                <w:rFonts w:ascii="宋体" w:hAnsi="宋体" w:cs="宋体" w:eastAsia="宋体" w:hint="default"/>
                <w:sz w:val="18"/>
                <w:szCs w:val="18"/>
              </w:rPr>
            </w:pPr>
            <w:r>
              <w:rPr>
                <w:rFonts w:ascii="宋体" w:hAnsi="宋体" w:cs="宋体" w:eastAsia="宋体" w:hint="default"/>
                <w:sz w:val="18"/>
                <w:szCs w:val="18"/>
              </w:rPr>
              <w:t>是否为关 联方担保</w:t>
            </w:r>
          </w:p>
        </w:tc>
      </w:tr>
    </w:tbl>
    <w:p>
      <w:pPr>
        <w:spacing w:after="0" w:line="316" w:lineRule="auto"/>
        <w:jc w:val="left"/>
        <w:rPr>
          <w:rFonts w:ascii="宋体" w:hAnsi="宋体" w:cs="宋体" w:eastAsia="宋体" w:hint="default"/>
          <w:sz w:val="18"/>
          <w:szCs w:val="18"/>
        </w:rPr>
        <w:sectPr>
          <w:pgSz w:w="11910" w:h="16840"/>
          <w:pgMar w:header="787" w:footer="982" w:top="1100" w:bottom="1180" w:left="200" w:right="0"/>
        </w:sectPr>
      </w:pPr>
    </w:p>
    <w:p>
      <w:pPr>
        <w:spacing w:line="240" w:lineRule="auto" w:before="10"/>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2614"/>
        <w:gridCol w:w="1559"/>
        <w:gridCol w:w="851"/>
        <w:gridCol w:w="1560"/>
        <w:gridCol w:w="991"/>
        <w:gridCol w:w="1277"/>
        <w:gridCol w:w="968"/>
        <w:gridCol w:w="720"/>
        <w:gridCol w:w="738"/>
      </w:tblGrid>
      <w:tr>
        <w:trPr>
          <w:trHeight w:val="1026" w:hRule="exact"/>
        </w:trPr>
        <w:tc>
          <w:tcPr>
            <w:tcW w:w="2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1" w:right="83"/>
              <w:jc w:val="left"/>
              <w:rPr>
                <w:rFonts w:ascii="宋体" w:hAnsi="宋体" w:cs="宋体" w:eastAsia="宋体" w:hint="default"/>
                <w:sz w:val="18"/>
                <w:szCs w:val="18"/>
              </w:rPr>
            </w:pPr>
            <w:r>
              <w:rPr>
                <w:rFonts w:ascii="宋体" w:hAnsi="宋体" w:cs="宋体" w:eastAsia="宋体" w:hint="default"/>
                <w:sz w:val="18"/>
                <w:szCs w:val="18"/>
              </w:rPr>
              <w:t>“长沙中电软件园一期”项目按 揭贷款购房客户</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z w:val="18"/>
              </w:rPr>
              <w:t>14,000.00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Times New Roman" w:hAnsi="Times New Roman" w:cs="Times New Roman" w:eastAsia="Times New Roman" w:hint="default"/>
                <w:sz w:val="18"/>
                <w:szCs w:val="18"/>
              </w:rPr>
              <w:t>-2018</w:t>
            </w:r>
          </w:p>
          <w:p>
            <w:pPr>
              <w:pStyle w:val="TableParagraph"/>
              <w:spacing w:line="240" w:lineRule="auto" w:before="63"/>
              <w:ind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
              <w:jc w:val="right"/>
              <w:rPr>
                <w:rFonts w:ascii="Times New Roman" w:hAnsi="Times New Roman" w:cs="Times New Roman" w:eastAsia="Times New Roman" w:hint="default"/>
                <w:sz w:val="18"/>
                <w:szCs w:val="18"/>
              </w:rPr>
            </w:pPr>
            <w:r>
              <w:rPr>
                <w:rFonts w:ascii="Times New Roman"/>
                <w:sz w:val="18"/>
              </w:rPr>
              <w:t>3,640.21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0"/>
              <w:jc w:val="center"/>
              <w:rPr>
                <w:rFonts w:ascii="宋体" w:hAnsi="宋体" w:cs="宋体" w:eastAsia="宋体" w:hint="default"/>
                <w:sz w:val="18"/>
                <w:szCs w:val="18"/>
              </w:rPr>
            </w:pPr>
            <w:r>
              <w:rPr>
                <w:rFonts w:ascii="宋体" w:hAnsi="宋体" w:cs="宋体" w:eastAsia="宋体" w:hint="default"/>
                <w:sz w:val="18"/>
                <w:szCs w:val="18"/>
              </w:rPr>
              <w:t>连带责任保证</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right="56"/>
              <w:jc w:val="both"/>
              <w:rPr>
                <w:rFonts w:ascii="宋体" w:hAnsi="宋体" w:cs="宋体" w:eastAsia="宋体" w:hint="default"/>
                <w:sz w:val="18"/>
                <w:szCs w:val="18"/>
              </w:rPr>
            </w:pPr>
            <w:r>
              <w:rPr>
                <w:rFonts w:ascii="宋体" w:hAnsi="宋体" w:cs="宋体" w:eastAsia="宋体" w:hint="default"/>
                <w:sz w:val="18"/>
                <w:szCs w:val="18"/>
              </w:rPr>
              <w:t>购房客户办 妥不动产证 后担保结束</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65"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7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634" w:hRule="exact"/>
        </w:trPr>
        <w:tc>
          <w:tcPr>
            <w:tcW w:w="4172"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 w:right="0"/>
              <w:jc w:val="left"/>
              <w:rPr>
                <w:rFonts w:ascii="宋体" w:hAnsi="宋体" w:cs="宋体" w:eastAsia="宋体" w:hint="default"/>
                <w:sz w:val="18"/>
                <w:szCs w:val="18"/>
              </w:rPr>
            </w:pPr>
            <w:r>
              <w:rPr>
                <w:rFonts w:ascii="宋体" w:hAnsi="宋体" w:cs="宋体" w:eastAsia="宋体" w:hint="default"/>
                <w:sz w:val="18"/>
                <w:szCs w:val="18"/>
              </w:rPr>
              <w:t>报告期内审批的对外担保额度合计（</w:t>
            </w:r>
            <w:r>
              <w:rPr>
                <w:rFonts w:ascii="Times New Roman" w:hAnsi="Times New Roman" w:cs="Times New Roman" w:eastAsia="Times New Roman" w:hint="default"/>
                <w:sz w:val="18"/>
                <w:szCs w:val="18"/>
              </w:rPr>
              <w:t>A1</w:t>
            </w:r>
            <w:r>
              <w:rPr>
                <w:rFonts w:ascii="宋体" w:hAnsi="宋体" w:cs="宋体" w:eastAsia="宋体" w:hint="default"/>
                <w:sz w:val="18"/>
                <w:szCs w:val="18"/>
              </w:rPr>
              <w:t>）</w:t>
            </w:r>
          </w:p>
        </w:tc>
        <w:tc>
          <w:tcPr>
            <w:tcW w:w="24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z w:val="18"/>
              </w:rPr>
              <w:t>14,000.00</w:t>
            </w: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10"/>
              <w:ind w:left="-1" w:right="96"/>
              <w:jc w:val="left"/>
              <w:rPr>
                <w:rFonts w:ascii="宋体" w:hAnsi="宋体" w:cs="宋体" w:eastAsia="宋体" w:hint="default"/>
                <w:sz w:val="18"/>
                <w:szCs w:val="18"/>
              </w:rPr>
            </w:pPr>
            <w:r>
              <w:rPr>
                <w:rFonts w:ascii="宋体" w:hAnsi="宋体" w:cs="宋体" w:eastAsia="宋体" w:hint="default"/>
                <w:sz w:val="18"/>
                <w:szCs w:val="18"/>
              </w:rPr>
              <w:t>报告期内对外担保实际发生 额合计（</w:t>
            </w:r>
            <w:r>
              <w:rPr>
                <w:rFonts w:ascii="Times New Roman" w:hAnsi="Times New Roman" w:cs="Times New Roman" w:eastAsia="Times New Roman" w:hint="default"/>
                <w:sz w:val="18"/>
                <w:szCs w:val="18"/>
              </w:rPr>
              <w:t>A2</w:t>
            </w:r>
            <w:r>
              <w:rPr>
                <w:rFonts w:ascii="宋体" w:hAnsi="宋体" w:cs="宋体" w:eastAsia="宋体" w:hint="default"/>
                <w:sz w:val="18"/>
                <w:szCs w:val="18"/>
              </w:rPr>
              <w:t>）</w:t>
            </w:r>
          </w:p>
        </w:tc>
        <w:tc>
          <w:tcPr>
            <w:tcW w:w="242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2"/>
              <w:jc w:val="right"/>
              <w:rPr>
                <w:rFonts w:ascii="Times New Roman" w:hAnsi="Times New Roman" w:cs="Times New Roman" w:eastAsia="Times New Roman" w:hint="default"/>
                <w:sz w:val="18"/>
                <w:szCs w:val="18"/>
              </w:rPr>
            </w:pPr>
            <w:r>
              <w:rPr>
                <w:rFonts w:ascii="Times New Roman"/>
                <w:sz w:val="18"/>
              </w:rPr>
              <w:t>3,640.21</w:t>
            </w:r>
          </w:p>
        </w:tc>
      </w:tr>
      <w:tr>
        <w:trPr>
          <w:trHeight w:val="635" w:hRule="exact"/>
        </w:trPr>
        <w:tc>
          <w:tcPr>
            <w:tcW w:w="4172"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left="-1" w:right="0"/>
              <w:jc w:val="left"/>
              <w:rPr>
                <w:rFonts w:ascii="宋体" w:hAnsi="宋体" w:cs="宋体" w:eastAsia="宋体" w:hint="default"/>
                <w:sz w:val="18"/>
                <w:szCs w:val="18"/>
              </w:rPr>
            </w:pPr>
            <w:r>
              <w:rPr>
                <w:rFonts w:ascii="宋体" w:hAnsi="宋体" w:cs="宋体" w:eastAsia="宋体" w:hint="default"/>
                <w:sz w:val="18"/>
                <w:szCs w:val="18"/>
              </w:rPr>
              <w:t>报告期末已审批的对外担保额度合计（</w:t>
            </w:r>
            <w:r>
              <w:rPr>
                <w:rFonts w:ascii="Times New Roman" w:hAnsi="Times New Roman" w:cs="Times New Roman" w:eastAsia="Times New Roman" w:hint="default"/>
                <w:sz w:val="18"/>
                <w:szCs w:val="18"/>
              </w:rPr>
              <w:t>A3</w:t>
            </w:r>
            <w:r>
              <w:rPr>
                <w:rFonts w:ascii="宋体" w:hAnsi="宋体" w:cs="宋体" w:eastAsia="宋体" w:hint="default"/>
                <w:sz w:val="18"/>
                <w:szCs w:val="18"/>
              </w:rPr>
              <w:t>）</w:t>
            </w:r>
          </w:p>
        </w:tc>
        <w:tc>
          <w:tcPr>
            <w:tcW w:w="24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z w:val="18"/>
              </w:rPr>
              <w:t>14,000.00</w:t>
            </w: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11"/>
              <w:ind w:left="-1" w:right="96"/>
              <w:jc w:val="left"/>
              <w:rPr>
                <w:rFonts w:ascii="宋体" w:hAnsi="宋体" w:cs="宋体" w:eastAsia="宋体" w:hint="default"/>
                <w:sz w:val="18"/>
                <w:szCs w:val="18"/>
              </w:rPr>
            </w:pPr>
            <w:r>
              <w:rPr>
                <w:rFonts w:ascii="宋体" w:hAnsi="宋体" w:cs="宋体" w:eastAsia="宋体" w:hint="default"/>
                <w:sz w:val="18"/>
                <w:szCs w:val="18"/>
              </w:rPr>
              <w:t>报告期末实际对外担保余额 合计（</w:t>
            </w:r>
            <w:r>
              <w:rPr>
                <w:rFonts w:ascii="Times New Roman" w:hAnsi="Times New Roman" w:cs="Times New Roman" w:eastAsia="Times New Roman" w:hint="default"/>
                <w:sz w:val="18"/>
                <w:szCs w:val="18"/>
              </w:rPr>
              <w:t>A4</w:t>
            </w:r>
            <w:r>
              <w:rPr>
                <w:rFonts w:ascii="宋体" w:hAnsi="宋体" w:cs="宋体" w:eastAsia="宋体" w:hint="default"/>
                <w:sz w:val="18"/>
                <w:szCs w:val="18"/>
              </w:rPr>
              <w:t>）</w:t>
            </w:r>
          </w:p>
        </w:tc>
        <w:tc>
          <w:tcPr>
            <w:tcW w:w="242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2"/>
              <w:jc w:val="right"/>
              <w:rPr>
                <w:rFonts w:ascii="Times New Roman" w:hAnsi="Times New Roman" w:cs="Times New Roman" w:eastAsia="Times New Roman" w:hint="default"/>
                <w:sz w:val="18"/>
                <w:szCs w:val="18"/>
              </w:rPr>
            </w:pPr>
            <w:r>
              <w:rPr>
                <w:rFonts w:ascii="Times New Roman"/>
                <w:sz w:val="18"/>
              </w:rPr>
              <w:t>3,640.21</w:t>
            </w:r>
          </w:p>
        </w:tc>
      </w:tr>
      <w:tr>
        <w:trPr>
          <w:trHeight w:val="322" w:hRule="exact"/>
        </w:trPr>
        <w:tc>
          <w:tcPr>
            <w:tcW w:w="11278" w:type="dxa"/>
            <w:gridSpan w:val="9"/>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公司对子公司的担保情况</w:t>
            </w:r>
          </w:p>
        </w:tc>
      </w:tr>
      <w:tr>
        <w:trPr>
          <w:trHeight w:val="634" w:hRule="exact"/>
        </w:trPr>
        <w:tc>
          <w:tcPr>
            <w:tcW w:w="26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761" w:right="0"/>
              <w:jc w:val="left"/>
              <w:rPr>
                <w:rFonts w:ascii="宋体" w:hAnsi="宋体" w:cs="宋体" w:eastAsia="宋体" w:hint="default"/>
                <w:sz w:val="18"/>
                <w:szCs w:val="18"/>
              </w:rPr>
            </w:pPr>
            <w:r>
              <w:rPr>
                <w:rFonts w:ascii="宋体" w:hAnsi="宋体" w:cs="宋体" w:eastAsia="宋体" w:hint="default"/>
                <w:sz w:val="18"/>
                <w:szCs w:val="18"/>
              </w:rPr>
              <w:t>担保对象名称</w:t>
            </w:r>
          </w:p>
        </w:tc>
        <w:tc>
          <w:tcPr>
            <w:tcW w:w="155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10"/>
              <w:ind w:left="414" w:right="53" w:hanging="360"/>
              <w:jc w:val="left"/>
              <w:rPr>
                <w:rFonts w:ascii="宋体" w:hAnsi="宋体" w:cs="宋体" w:eastAsia="宋体" w:hint="default"/>
                <w:sz w:val="18"/>
                <w:szCs w:val="18"/>
              </w:rPr>
            </w:pPr>
            <w:r>
              <w:rPr>
                <w:rFonts w:ascii="宋体" w:hAnsi="宋体" w:cs="宋体" w:eastAsia="宋体" w:hint="default"/>
                <w:sz w:val="18"/>
                <w:szCs w:val="18"/>
              </w:rPr>
              <w:t>担保额度相关公告 披露日期</w:t>
            </w:r>
          </w:p>
        </w:tc>
        <w:tc>
          <w:tcPr>
            <w:tcW w:w="85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60"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5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实际发生日期</w:t>
            </w:r>
          </w:p>
        </w:tc>
        <w:tc>
          <w:tcPr>
            <w:tcW w:w="9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10"/>
              <w:ind w:left="400" w:right="38" w:hanging="360"/>
              <w:jc w:val="left"/>
              <w:rPr>
                <w:rFonts w:ascii="宋体" w:hAnsi="宋体" w:cs="宋体" w:eastAsia="宋体" w:hint="default"/>
                <w:sz w:val="18"/>
                <w:szCs w:val="18"/>
              </w:rPr>
            </w:pPr>
            <w:r>
              <w:rPr>
                <w:rFonts w:ascii="宋体" w:hAnsi="宋体" w:cs="宋体" w:eastAsia="宋体" w:hint="default"/>
                <w:sz w:val="18"/>
                <w:szCs w:val="18"/>
              </w:rPr>
              <w:t>实际担保金 额</w:t>
            </w:r>
          </w:p>
        </w:tc>
        <w:tc>
          <w:tcPr>
            <w:tcW w:w="127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担保类型</w:t>
            </w:r>
          </w:p>
        </w:tc>
        <w:tc>
          <w:tcPr>
            <w:tcW w:w="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担保期</w:t>
            </w:r>
          </w:p>
        </w:tc>
        <w:tc>
          <w:tcPr>
            <w:tcW w:w="72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10"/>
              <w:ind w:left="85" w:right="83"/>
              <w:jc w:val="left"/>
              <w:rPr>
                <w:rFonts w:ascii="宋体" w:hAnsi="宋体" w:cs="宋体" w:eastAsia="宋体" w:hint="default"/>
                <w:sz w:val="18"/>
                <w:szCs w:val="18"/>
              </w:rPr>
            </w:pPr>
            <w:r>
              <w:rPr>
                <w:rFonts w:ascii="宋体" w:hAnsi="宋体" w:cs="宋体" w:eastAsia="宋体" w:hint="default"/>
                <w:sz w:val="18"/>
                <w:szCs w:val="18"/>
              </w:rPr>
              <w:t>是否履 行完毕</w:t>
            </w:r>
          </w:p>
        </w:tc>
        <w:tc>
          <w:tcPr>
            <w:tcW w:w="73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10"/>
              <w:ind w:left="3" w:right="2"/>
              <w:jc w:val="left"/>
              <w:rPr>
                <w:rFonts w:ascii="宋体" w:hAnsi="宋体" w:cs="宋体" w:eastAsia="宋体" w:hint="default"/>
                <w:sz w:val="18"/>
                <w:szCs w:val="18"/>
              </w:rPr>
            </w:pPr>
            <w:r>
              <w:rPr>
                <w:rFonts w:ascii="宋体" w:hAnsi="宋体" w:cs="宋体" w:eastAsia="宋体" w:hint="default"/>
                <w:sz w:val="18"/>
                <w:szCs w:val="18"/>
              </w:rPr>
              <w:t>是否为关 联方担保</w:t>
            </w:r>
          </w:p>
        </w:tc>
      </w:tr>
      <w:tr>
        <w:trPr>
          <w:trHeight w:val="323" w:hRule="exact"/>
        </w:trPr>
        <w:tc>
          <w:tcPr>
            <w:tcW w:w="261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5"/>
                <w:szCs w:val="25"/>
              </w:rPr>
            </w:pPr>
          </w:p>
          <w:p>
            <w:pPr>
              <w:pStyle w:val="TableParagraph"/>
              <w:spacing w:line="316" w:lineRule="auto"/>
              <w:ind w:left="-1" w:right="83"/>
              <w:jc w:val="left"/>
              <w:rPr>
                <w:rFonts w:ascii="宋体" w:hAnsi="宋体" w:cs="宋体" w:eastAsia="宋体" w:hint="default"/>
                <w:sz w:val="18"/>
                <w:szCs w:val="18"/>
              </w:rPr>
            </w:pPr>
            <w:r>
              <w:rPr>
                <w:rFonts w:ascii="宋体" w:hAnsi="宋体" w:cs="宋体" w:eastAsia="宋体" w:hint="default"/>
                <w:sz w:val="18"/>
                <w:szCs w:val="18"/>
              </w:rPr>
              <w:t>湖南长城信息金融设备有限责任 公司</w:t>
            </w:r>
          </w:p>
        </w:tc>
        <w:tc>
          <w:tcPr>
            <w:tcW w:w="155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right"/>
              <w:rPr>
                <w:rFonts w:ascii="Times New Roman" w:hAnsi="Times New Roman" w:cs="Times New Roman" w:eastAsia="Times New Roman" w:hint="default"/>
                <w:sz w:val="18"/>
                <w:szCs w:val="18"/>
              </w:rPr>
            </w:pPr>
            <w:r>
              <w:rPr>
                <w:rFonts w:ascii="Times New Roman"/>
                <w:sz w:val="18"/>
              </w:rPr>
              <w:t>20,000.00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
              <w:jc w:val="right"/>
              <w:rPr>
                <w:rFonts w:ascii="Times New Roman" w:hAnsi="Times New Roman" w:cs="Times New Roman" w:eastAsia="Times New Roman" w:hint="default"/>
                <w:sz w:val="18"/>
                <w:szCs w:val="18"/>
              </w:rPr>
            </w:pPr>
            <w:r>
              <w:rPr>
                <w:rFonts w:ascii="Times New Roman"/>
                <w:sz w:val="18"/>
              </w:rPr>
              <w:t>13,849.77</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连带责任保证</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65"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7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2" w:hRule="exact"/>
        </w:trPr>
        <w:tc>
          <w:tcPr>
            <w:tcW w:w="2614" w:type="dxa"/>
            <w:vMerge/>
            <w:tcBorders>
              <w:left w:val="single" w:sz="4" w:space="0" w:color="000000"/>
              <w:right w:val="single" w:sz="4" w:space="0" w:color="000000"/>
            </w:tcBorders>
          </w:tcPr>
          <w:p>
            <w:pPr/>
          </w:p>
        </w:tc>
        <w:tc>
          <w:tcPr>
            <w:tcW w:w="1559" w:type="dxa"/>
            <w:vMerge/>
            <w:tcBorders>
              <w:left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right"/>
              <w:rPr>
                <w:rFonts w:ascii="Times New Roman" w:hAnsi="Times New Roman" w:cs="Times New Roman" w:eastAsia="Times New Roman" w:hint="default"/>
                <w:sz w:val="18"/>
                <w:szCs w:val="18"/>
              </w:rPr>
            </w:pPr>
            <w:r>
              <w:rPr>
                <w:rFonts w:ascii="Times New Roman"/>
                <w:sz w:val="18"/>
              </w:rPr>
              <w:t>56,000.00</w:t>
            </w:r>
          </w:p>
        </w:tc>
        <w:tc>
          <w:tcPr>
            <w:tcW w:w="1560"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
              <w:jc w:val="right"/>
              <w:rPr>
                <w:rFonts w:ascii="Times New Roman" w:hAnsi="Times New Roman" w:cs="Times New Roman" w:eastAsia="Times New Roman" w:hint="default"/>
                <w:sz w:val="18"/>
                <w:szCs w:val="18"/>
              </w:rPr>
            </w:pPr>
            <w:r>
              <w:rPr>
                <w:rFonts w:ascii="Times New Roman"/>
                <w:sz w:val="18"/>
              </w:rPr>
              <w:t>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连带责任保证</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20" w:type="dxa"/>
            <w:tcBorders>
              <w:top w:val="single" w:sz="4" w:space="0" w:color="000000"/>
              <w:left w:val="single" w:sz="4" w:space="0" w:color="000000"/>
              <w:bottom w:val="single" w:sz="4" w:space="0" w:color="000000"/>
              <w:right w:val="single" w:sz="4" w:space="0" w:color="000000"/>
            </w:tcBorders>
          </w:tcPr>
          <w:p>
            <w:pPr/>
          </w:p>
        </w:tc>
        <w:tc>
          <w:tcPr>
            <w:tcW w:w="73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614" w:type="dxa"/>
            <w:vMerge/>
            <w:tcBorders>
              <w:left w:val="single" w:sz="4" w:space="0" w:color="000000"/>
              <w:right w:val="single" w:sz="4" w:space="0" w:color="000000"/>
            </w:tcBorders>
          </w:tcPr>
          <w:p>
            <w:pPr/>
          </w:p>
        </w:tc>
        <w:tc>
          <w:tcPr>
            <w:tcW w:w="1559" w:type="dxa"/>
            <w:vMerge/>
            <w:tcBorders>
              <w:left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right"/>
              <w:rPr>
                <w:rFonts w:ascii="Times New Roman" w:hAnsi="Times New Roman" w:cs="Times New Roman" w:eastAsia="Times New Roman" w:hint="default"/>
                <w:sz w:val="18"/>
                <w:szCs w:val="18"/>
              </w:rPr>
            </w:pPr>
            <w:r>
              <w:rPr>
                <w:rFonts w:ascii="Times New Roman"/>
                <w:sz w:val="18"/>
              </w:rPr>
              <w:t>8,000.00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
              <w:jc w:val="right"/>
              <w:rPr>
                <w:rFonts w:ascii="Times New Roman" w:hAnsi="Times New Roman" w:cs="Times New Roman" w:eastAsia="Times New Roman" w:hint="default"/>
                <w:sz w:val="18"/>
                <w:szCs w:val="18"/>
              </w:rPr>
            </w:pPr>
            <w:r>
              <w:rPr>
                <w:rFonts w:ascii="Times New Roman"/>
                <w:sz w:val="18"/>
              </w:rPr>
              <w:t>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连带责任保证</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20" w:type="dxa"/>
            <w:tcBorders>
              <w:top w:val="single" w:sz="4" w:space="0" w:color="000000"/>
              <w:left w:val="single" w:sz="4" w:space="0" w:color="000000"/>
              <w:bottom w:val="single" w:sz="4" w:space="0" w:color="000000"/>
              <w:right w:val="single" w:sz="4" w:space="0" w:color="000000"/>
            </w:tcBorders>
          </w:tcPr>
          <w:p>
            <w:pPr/>
          </w:p>
        </w:tc>
        <w:tc>
          <w:tcPr>
            <w:tcW w:w="738"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2614" w:type="dxa"/>
            <w:vMerge/>
            <w:tcBorders>
              <w:left w:val="single" w:sz="4" w:space="0" w:color="000000"/>
              <w:right w:val="single" w:sz="4" w:space="0" w:color="000000"/>
            </w:tcBorders>
          </w:tcPr>
          <w:p>
            <w:pPr/>
          </w:p>
        </w:tc>
        <w:tc>
          <w:tcPr>
            <w:tcW w:w="1559" w:type="dxa"/>
            <w:vMerge/>
            <w:tcBorders>
              <w:left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right"/>
              <w:rPr>
                <w:rFonts w:ascii="Times New Roman" w:hAnsi="Times New Roman" w:cs="Times New Roman" w:eastAsia="Times New Roman" w:hint="default"/>
                <w:sz w:val="18"/>
                <w:szCs w:val="18"/>
              </w:rPr>
            </w:pPr>
            <w:r>
              <w:rPr>
                <w:rFonts w:ascii="Times New Roman"/>
                <w:sz w:val="18"/>
              </w:rPr>
              <w:t>5,000.00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
              <w:jc w:val="right"/>
              <w:rPr>
                <w:rFonts w:ascii="Times New Roman" w:hAnsi="Times New Roman" w:cs="Times New Roman" w:eastAsia="Times New Roman" w:hint="default"/>
                <w:sz w:val="18"/>
                <w:szCs w:val="18"/>
              </w:rPr>
            </w:pPr>
            <w:r>
              <w:rPr>
                <w:rFonts w:ascii="Times New Roman"/>
                <w:sz w:val="18"/>
              </w:rPr>
              <w:t>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连带责任保证</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20" w:type="dxa"/>
            <w:tcBorders>
              <w:top w:val="single" w:sz="4" w:space="0" w:color="000000"/>
              <w:left w:val="single" w:sz="4" w:space="0" w:color="000000"/>
              <w:bottom w:val="single" w:sz="4" w:space="0" w:color="000000"/>
              <w:right w:val="single" w:sz="4" w:space="0" w:color="000000"/>
            </w:tcBorders>
          </w:tcPr>
          <w:p>
            <w:pPr/>
          </w:p>
        </w:tc>
        <w:tc>
          <w:tcPr>
            <w:tcW w:w="73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614" w:type="dxa"/>
            <w:vMerge/>
            <w:tcBorders>
              <w:left w:val="single" w:sz="4" w:space="0" w:color="000000"/>
              <w:bottom w:val="single" w:sz="4" w:space="0" w:color="000000"/>
              <w:right w:val="single" w:sz="4" w:space="0" w:color="000000"/>
            </w:tcBorders>
          </w:tcPr>
          <w:p>
            <w:pPr/>
          </w:p>
        </w:tc>
        <w:tc>
          <w:tcPr>
            <w:tcW w:w="1559" w:type="dxa"/>
            <w:vMerge/>
            <w:tcBorders>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right"/>
              <w:rPr>
                <w:rFonts w:ascii="Times New Roman" w:hAnsi="Times New Roman" w:cs="Times New Roman" w:eastAsia="Times New Roman" w:hint="default"/>
                <w:sz w:val="18"/>
                <w:szCs w:val="18"/>
              </w:rPr>
            </w:pPr>
            <w:r>
              <w:rPr>
                <w:rFonts w:ascii="Times New Roman"/>
                <w:sz w:val="18"/>
              </w:rPr>
              <w:t>50,000.00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
              <w:jc w:val="right"/>
              <w:rPr>
                <w:rFonts w:ascii="Times New Roman" w:hAnsi="Times New Roman" w:cs="Times New Roman" w:eastAsia="Times New Roman" w:hint="default"/>
                <w:sz w:val="18"/>
                <w:szCs w:val="18"/>
              </w:rPr>
            </w:pPr>
            <w:r>
              <w:rPr>
                <w:rFonts w:ascii="Times New Roman"/>
                <w:sz w:val="18"/>
              </w:rPr>
              <w:t>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连带责任保证</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20" w:type="dxa"/>
            <w:tcBorders>
              <w:top w:val="single" w:sz="4" w:space="0" w:color="000000"/>
              <w:left w:val="single" w:sz="4" w:space="0" w:color="000000"/>
              <w:bottom w:val="single" w:sz="4" w:space="0" w:color="000000"/>
              <w:right w:val="single" w:sz="4" w:space="0" w:color="000000"/>
            </w:tcBorders>
          </w:tcPr>
          <w:p>
            <w:pPr/>
          </w:p>
        </w:tc>
        <w:tc>
          <w:tcPr>
            <w:tcW w:w="73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 w:right="0"/>
              <w:jc w:val="left"/>
              <w:rPr>
                <w:rFonts w:ascii="宋体" w:hAnsi="宋体" w:cs="宋体" w:eastAsia="宋体" w:hint="default"/>
                <w:sz w:val="18"/>
                <w:szCs w:val="18"/>
              </w:rPr>
            </w:pPr>
            <w:r>
              <w:rPr>
                <w:rFonts w:ascii="宋体" w:hAnsi="宋体" w:cs="宋体" w:eastAsia="宋体" w:hint="default"/>
                <w:sz w:val="18"/>
                <w:szCs w:val="18"/>
              </w:rPr>
              <w:t>湖南长城医疗科技有限公司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right"/>
              <w:rPr>
                <w:rFonts w:ascii="Times New Roman" w:hAnsi="Times New Roman" w:cs="Times New Roman" w:eastAsia="Times New Roman" w:hint="default"/>
                <w:sz w:val="18"/>
                <w:szCs w:val="18"/>
              </w:rPr>
            </w:pPr>
            <w:r>
              <w:rPr>
                <w:rFonts w:ascii="Times New Roman"/>
                <w:sz w:val="18"/>
              </w:rPr>
              <w:t>5,000.00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
              <w:jc w:val="right"/>
              <w:rPr>
                <w:rFonts w:ascii="Times New Roman" w:hAnsi="Times New Roman" w:cs="Times New Roman" w:eastAsia="Times New Roman" w:hint="default"/>
                <w:sz w:val="18"/>
                <w:szCs w:val="18"/>
              </w:rPr>
            </w:pPr>
            <w:r>
              <w:rPr>
                <w:rFonts w:ascii="Times New Roman"/>
                <w:sz w:val="18"/>
              </w:rPr>
              <w:t>1,851.17</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连带责任保证</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65"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7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3" w:hRule="exact"/>
        </w:trPr>
        <w:tc>
          <w:tcPr>
            <w:tcW w:w="2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 w:right="0"/>
              <w:jc w:val="left"/>
              <w:rPr>
                <w:rFonts w:ascii="宋体" w:hAnsi="宋体" w:cs="宋体" w:eastAsia="宋体" w:hint="default"/>
                <w:sz w:val="18"/>
                <w:szCs w:val="18"/>
              </w:rPr>
            </w:pPr>
            <w:r>
              <w:rPr>
                <w:rFonts w:ascii="宋体" w:hAnsi="宋体" w:cs="宋体" w:eastAsia="宋体" w:hint="default"/>
                <w:sz w:val="18"/>
                <w:szCs w:val="18"/>
              </w:rPr>
              <w:t>长沙湘计海盾科技有限公司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right"/>
              <w:rPr>
                <w:rFonts w:ascii="Times New Roman" w:hAnsi="Times New Roman" w:cs="Times New Roman" w:eastAsia="Times New Roman" w:hint="default"/>
                <w:sz w:val="18"/>
                <w:szCs w:val="18"/>
              </w:rPr>
            </w:pPr>
            <w:r>
              <w:rPr>
                <w:rFonts w:ascii="Times New Roman"/>
                <w:sz w:val="18"/>
              </w:rPr>
              <w:t>10,000.00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
              <w:jc w:val="right"/>
              <w:rPr>
                <w:rFonts w:ascii="Times New Roman" w:hAnsi="Times New Roman" w:cs="Times New Roman" w:eastAsia="Times New Roman" w:hint="default"/>
                <w:sz w:val="18"/>
                <w:szCs w:val="18"/>
              </w:rPr>
            </w:pPr>
            <w:r>
              <w:rPr>
                <w:rFonts w:ascii="Times New Roman"/>
                <w:sz w:val="18"/>
              </w:rPr>
              <w:t>2,396.00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连带责任保证</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65"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7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2" w:hRule="exact"/>
        </w:trPr>
        <w:tc>
          <w:tcPr>
            <w:tcW w:w="261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5"/>
              <w:ind w:left="-1" w:right="0"/>
              <w:jc w:val="left"/>
              <w:rPr>
                <w:rFonts w:ascii="宋体" w:hAnsi="宋体" w:cs="宋体" w:eastAsia="宋体" w:hint="default"/>
                <w:sz w:val="18"/>
                <w:szCs w:val="18"/>
              </w:rPr>
            </w:pPr>
            <w:r>
              <w:rPr>
                <w:rFonts w:ascii="宋体" w:hAnsi="宋体" w:cs="宋体" w:eastAsia="宋体" w:hint="default"/>
                <w:sz w:val="18"/>
                <w:szCs w:val="18"/>
              </w:rPr>
              <w:t>长沙中电软件园有限公司</w:t>
            </w:r>
          </w:p>
        </w:tc>
        <w:tc>
          <w:tcPr>
            <w:tcW w:w="155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5"/>
              <w:ind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right"/>
              <w:rPr>
                <w:rFonts w:ascii="Times New Roman" w:hAnsi="Times New Roman" w:cs="Times New Roman" w:eastAsia="Times New Roman" w:hint="default"/>
                <w:sz w:val="18"/>
                <w:szCs w:val="18"/>
              </w:rPr>
            </w:pPr>
            <w:r>
              <w:rPr>
                <w:rFonts w:ascii="Times New Roman"/>
                <w:sz w:val="18"/>
              </w:rPr>
              <w:t>7,000.00</w:t>
            </w:r>
          </w:p>
        </w:tc>
        <w:tc>
          <w:tcPr>
            <w:tcW w:w="1560"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
              <w:jc w:val="right"/>
              <w:rPr>
                <w:rFonts w:ascii="Times New Roman" w:hAnsi="Times New Roman" w:cs="Times New Roman" w:eastAsia="Times New Roman" w:hint="default"/>
                <w:sz w:val="18"/>
                <w:szCs w:val="18"/>
              </w:rPr>
            </w:pPr>
            <w:r>
              <w:rPr>
                <w:rFonts w:ascii="Times New Roman"/>
                <w:sz w:val="18"/>
              </w:rPr>
              <w:t>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连带责任保证</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20" w:type="dxa"/>
            <w:tcBorders>
              <w:top w:val="single" w:sz="4" w:space="0" w:color="000000"/>
              <w:left w:val="single" w:sz="4" w:space="0" w:color="000000"/>
              <w:bottom w:val="single" w:sz="4" w:space="0" w:color="000000"/>
              <w:right w:val="single" w:sz="4" w:space="0" w:color="000000"/>
            </w:tcBorders>
          </w:tcPr>
          <w:p>
            <w:pPr/>
          </w:p>
        </w:tc>
        <w:tc>
          <w:tcPr>
            <w:tcW w:w="73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614" w:type="dxa"/>
            <w:vMerge/>
            <w:tcBorders>
              <w:left w:val="single" w:sz="4" w:space="0" w:color="000000"/>
              <w:right w:val="single" w:sz="4" w:space="0" w:color="000000"/>
            </w:tcBorders>
          </w:tcPr>
          <w:p>
            <w:pPr/>
          </w:p>
        </w:tc>
        <w:tc>
          <w:tcPr>
            <w:tcW w:w="1559" w:type="dxa"/>
            <w:vMerge/>
            <w:tcBorders>
              <w:left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right"/>
              <w:rPr>
                <w:rFonts w:ascii="Times New Roman" w:hAnsi="Times New Roman" w:cs="Times New Roman" w:eastAsia="Times New Roman" w:hint="default"/>
                <w:sz w:val="18"/>
                <w:szCs w:val="18"/>
              </w:rPr>
            </w:pPr>
            <w:r>
              <w:rPr>
                <w:rFonts w:ascii="Times New Roman"/>
                <w:sz w:val="18"/>
              </w:rPr>
              <w:t>15,750.00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65"/>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
              <w:jc w:val="right"/>
              <w:rPr>
                <w:rFonts w:ascii="Times New Roman" w:hAnsi="Times New Roman" w:cs="Times New Roman" w:eastAsia="Times New Roman" w:hint="default"/>
                <w:sz w:val="18"/>
                <w:szCs w:val="18"/>
              </w:rPr>
            </w:pPr>
            <w:r>
              <w:rPr>
                <w:rFonts w:ascii="Times New Roman"/>
                <w:sz w:val="18"/>
              </w:rPr>
              <w:t>1,960.00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连带责任保证</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65"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7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3" w:hRule="exact"/>
        </w:trPr>
        <w:tc>
          <w:tcPr>
            <w:tcW w:w="2614" w:type="dxa"/>
            <w:vMerge/>
            <w:tcBorders>
              <w:left w:val="single" w:sz="4" w:space="0" w:color="000000"/>
              <w:bottom w:val="single" w:sz="4" w:space="0" w:color="000000"/>
              <w:right w:val="single" w:sz="4" w:space="0" w:color="000000"/>
            </w:tcBorders>
          </w:tcPr>
          <w:p>
            <w:pPr/>
          </w:p>
        </w:tc>
        <w:tc>
          <w:tcPr>
            <w:tcW w:w="1559" w:type="dxa"/>
            <w:vMerge/>
            <w:tcBorders>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right"/>
              <w:rPr>
                <w:rFonts w:ascii="Times New Roman" w:hAnsi="Times New Roman" w:cs="Times New Roman" w:eastAsia="Times New Roman" w:hint="default"/>
                <w:sz w:val="18"/>
                <w:szCs w:val="18"/>
              </w:rPr>
            </w:pPr>
            <w:r>
              <w:rPr>
                <w:rFonts w:ascii="Times New Roman"/>
                <w:sz w:val="18"/>
              </w:rPr>
              <w:t>3,500.00</w:t>
            </w:r>
          </w:p>
        </w:tc>
        <w:tc>
          <w:tcPr>
            <w:tcW w:w="1560"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
              <w:jc w:val="right"/>
              <w:rPr>
                <w:rFonts w:ascii="Times New Roman" w:hAnsi="Times New Roman" w:cs="Times New Roman" w:eastAsia="Times New Roman" w:hint="default"/>
                <w:sz w:val="18"/>
                <w:szCs w:val="18"/>
              </w:rPr>
            </w:pPr>
            <w:r>
              <w:rPr>
                <w:rFonts w:ascii="Times New Roman"/>
                <w:sz w:val="18"/>
              </w:rPr>
              <w:t>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连带责任保证</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20" w:type="dxa"/>
            <w:tcBorders>
              <w:top w:val="single" w:sz="4" w:space="0" w:color="000000"/>
              <w:left w:val="single" w:sz="4" w:space="0" w:color="000000"/>
              <w:bottom w:val="single" w:sz="4" w:space="0" w:color="000000"/>
              <w:right w:val="single" w:sz="4" w:space="0" w:color="000000"/>
            </w:tcBorders>
          </w:tcPr>
          <w:p>
            <w:pPr/>
          </w:p>
        </w:tc>
        <w:tc>
          <w:tcPr>
            <w:tcW w:w="738"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 w:right="0"/>
              <w:jc w:val="left"/>
              <w:rPr>
                <w:rFonts w:ascii="宋体" w:hAnsi="宋体" w:cs="宋体" w:eastAsia="宋体" w:hint="default"/>
                <w:sz w:val="18"/>
                <w:szCs w:val="18"/>
              </w:rPr>
            </w:pPr>
            <w:r>
              <w:rPr>
                <w:rFonts w:ascii="宋体" w:hAnsi="宋体" w:cs="宋体" w:eastAsia="宋体" w:hint="default"/>
                <w:sz w:val="18"/>
                <w:szCs w:val="18"/>
              </w:rPr>
              <w:t>湖南长城计算机系统有限公司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right"/>
              <w:rPr>
                <w:rFonts w:ascii="Times New Roman" w:hAnsi="Times New Roman" w:cs="Times New Roman" w:eastAsia="Times New Roman" w:hint="default"/>
                <w:sz w:val="18"/>
                <w:szCs w:val="18"/>
              </w:rPr>
            </w:pPr>
            <w:r>
              <w:rPr>
                <w:rFonts w:ascii="Times New Roman"/>
                <w:sz w:val="18"/>
              </w:rPr>
              <w:t>10,000.00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65"/>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
              <w:jc w:val="right"/>
              <w:rPr>
                <w:rFonts w:ascii="Times New Roman" w:hAnsi="Times New Roman" w:cs="Times New Roman" w:eastAsia="Times New Roman" w:hint="default"/>
                <w:sz w:val="18"/>
                <w:szCs w:val="18"/>
              </w:rPr>
            </w:pPr>
            <w:r>
              <w:rPr>
                <w:rFonts w:ascii="Times New Roman"/>
                <w:sz w:val="18"/>
              </w:rPr>
              <w:t>7,132.21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连带责任保证</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65"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7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634" w:hRule="exact"/>
        </w:trPr>
        <w:tc>
          <w:tcPr>
            <w:tcW w:w="4172"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 w:right="0"/>
              <w:jc w:val="left"/>
              <w:rPr>
                <w:rFonts w:ascii="宋体" w:hAnsi="宋体" w:cs="宋体" w:eastAsia="宋体" w:hint="default"/>
                <w:sz w:val="18"/>
                <w:szCs w:val="18"/>
              </w:rPr>
            </w:pPr>
            <w:r>
              <w:rPr>
                <w:rFonts w:ascii="宋体" w:hAnsi="宋体" w:cs="宋体" w:eastAsia="宋体" w:hint="default"/>
                <w:sz w:val="18"/>
                <w:szCs w:val="18"/>
              </w:rPr>
              <w:t>报告期内审批对子公司担保额度合计（</w:t>
            </w:r>
            <w:r>
              <w:rPr>
                <w:rFonts w:ascii="Times New Roman" w:hAnsi="Times New Roman" w:cs="Times New Roman" w:eastAsia="Times New Roman" w:hint="default"/>
                <w:sz w:val="18"/>
                <w:szCs w:val="18"/>
              </w:rPr>
              <w:t>B1</w:t>
            </w:r>
            <w:r>
              <w:rPr>
                <w:rFonts w:ascii="宋体" w:hAnsi="宋体" w:cs="宋体" w:eastAsia="宋体" w:hint="default"/>
                <w:sz w:val="18"/>
                <w:szCs w:val="18"/>
              </w:rPr>
              <w:t>）</w:t>
            </w:r>
          </w:p>
        </w:tc>
        <w:tc>
          <w:tcPr>
            <w:tcW w:w="24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1589" w:right="-1"/>
              <w:jc w:val="left"/>
              <w:rPr>
                <w:rFonts w:ascii="Times New Roman" w:hAnsi="Times New Roman" w:cs="Times New Roman" w:eastAsia="Times New Roman" w:hint="default"/>
                <w:sz w:val="18"/>
                <w:szCs w:val="18"/>
              </w:rPr>
            </w:pPr>
            <w:r>
              <w:rPr>
                <w:rFonts w:ascii="Times New Roman"/>
                <w:sz w:val="18"/>
              </w:rPr>
              <w:t>190,250.00</w:t>
            </w: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10"/>
              <w:ind w:left="-1" w:right="96"/>
              <w:jc w:val="left"/>
              <w:rPr>
                <w:rFonts w:ascii="宋体" w:hAnsi="宋体" w:cs="宋体" w:eastAsia="宋体" w:hint="default"/>
                <w:sz w:val="18"/>
                <w:szCs w:val="18"/>
              </w:rPr>
            </w:pPr>
            <w:r>
              <w:rPr>
                <w:rFonts w:ascii="宋体" w:hAnsi="宋体" w:cs="宋体" w:eastAsia="宋体" w:hint="default"/>
                <w:sz w:val="18"/>
                <w:szCs w:val="18"/>
              </w:rPr>
              <w:t>报告期内对子公司担保实际 发生额合计（</w:t>
            </w:r>
            <w:r>
              <w:rPr>
                <w:rFonts w:ascii="Times New Roman" w:hAnsi="Times New Roman" w:cs="Times New Roman" w:eastAsia="Times New Roman" w:hint="default"/>
                <w:sz w:val="18"/>
                <w:szCs w:val="18"/>
              </w:rPr>
              <w:t>B2</w:t>
            </w:r>
            <w:r>
              <w:rPr>
                <w:rFonts w:ascii="宋体" w:hAnsi="宋体" w:cs="宋体" w:eastAsia="宋体" w:hint="default"/>
                <w:sz w:val="18"/>
                <w:szCs w:val="18"/>
              </w:rPr>
              <w:t>）</w:t>
            </w:r>
          </w:p>
        </w:tc>
        <w:tc>
          <w:tcPr>
            <w:tcW w:w="242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2"/>
              <w:jc w:val="right"/>
              <w:rPr>
                <w:rFonts w:ascii="Times New Roman" w:hAnsi="Times New Roman" w:cs="Times New Roman" w:eastAsia="Times New Roman" w:hint="default"/>
                <w:sz w:val="18"/>
                <w:szCs w:val="18"/>
              </w:rPr>
            </w:pPr>
            <w:r>
              <w:rPr>
                <w:rFonts w:ascii="Times New Roman"/>
                <w:sz w:val="18"/>
              </w:rPr>
              <w:t>27,189.15</w:t>
            </w:r>
          </w:p>
        </w:tc>
      </w:tr>
      <w:tr>
        <w:trPr>
          <w:trHeight w:val="635" w:hRule="exact"/>
        </w:trPr>
        <w:tc>
          <w:tcPr>
            <w:tcW w:w="4172"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left="-1" w:right="0"/>
              <w:jc w:val="left"/>
              <w:rPr>
                <w:rFonts w:ascii="宋体" w:hAnsi="宋体" w:cs="宋体" w:eastAsia="宋体" w:hint="default"/>
                <w:sz w:val="18"/>
                <w:szCs w:val="18"/>
              </w:rPr>
            </w:pPr>
            <w:r>
              <w:rPr>
                <w:rFonts w:ascii="宋体" w:hAnsi="宋体" w:cs="宋体" w:eastAsia="宋体" w:hint="default"/>
                <w:sz w:val="18"/>
                <w:szCs w:val="18"/>
              </w:rPr>
              <w:t>报告期末已审批的对子公司担保额度合计（</w:t>
            </w:r>
            <w:r>
              <w:rPr>
                <w:rFonts w:ascii="Times New Roman" w:hAnsi="Times New Roman" w:cs="Times New Roman" w:eastAsia="Times New Roman" w:hint="default"/>
                <w:sz w:val="18"/>
                <w:szCs w:val="18"/>
              </w:rPr>
              <w:t>B3</w:t>
            </w:r>
            <w:r>
              <w:rPr>
                <w:rFonts w:ascii="宋体" w:hAnsi="宋体" w:cs="宋体" w:eastAsia="宋体" w:hint="default"/>
                <w:sz w:val="18"/>
                <w:szCs w:val="18"/>
              </w:rPr>
              <w:t>）</w:t>
            </w:r>
          </w:p>
        </w:tc>
        <w:tc>
          <w:tcPr>
            <w:tcW w:w="24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589" w:right="-1"/>
              <w:jc w:val="left"/>
              <w:rPr>
                <w:rFonts w:ascii="Times New Roman" w:hAnsi="Times New Roman" w:cs="Times New Roman" w:eastAsia="Times New Roman" w:hint="default"/>
                <w:sz w:val="18"/>
                <w:szCs w:val="18"/>
              </w:rPr>
            </w:pPr>
            <w:r>
              <w:rPr>
                <w:rFonts w:ascii="Times New Roman"/>
                <w:sz w:val="18"/>
              </w:rPr>
              <w:t>190,250.00</w:t>
            </w: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11"/>
              <w:ind w:left="-1" w:right="96"/>
              <w:jc w:val="left"/>
              <w:rPr>
                <w:rFonts w:ascii="宋体" w:hAnsi="宋体" w:cs="宋体" w:eastAsia="宋体" w:hint="default"/>
                <w:sz w:val="18"/>
                <w:szCs w:val="18"/>
              </w:rPr>
            </w:pPr>
            <w:r>
              <w:rPr>
                <w:rFonts w:ascii="宋体" w:hAnsi="宋体" w:cs="宋体" w:eastAsia="宋体" w:hint="default"/>
                <w:sz w:val="18"/>
                <w:szCs w:val="18"/>
              </w:rPr>
              <w:t>报告期末对子公司实际担保 余额合计（</w:t>
            </w:r>
            <w:r>
              <w:rPr>
                <w:rFonts w:ascii="Times New Roman" w:hAnsi="Times New Roman" w:cs="Times New Roman" w:eastAsia="Times New Roman" w:hint="default"/>
                <w:sz w:val="18"/>
                <w:szCs w:val="18"/>
              </w:rPr>
              <w:t>B4</w:t>
            </w:r>
            <w:r>
              <w:rPr>
                <w:rFonts w:ascii="宋体" w:hAnsi="宋体" w:cs="宋体" w:eastAsia="宋体" w:hint="default"/>
                <w:sz w:val="18"/>
                <w:szCs w:val="18"/>
              </w:rPr>
              <w:t>）</w:t>
            </w:r>
          </w:p>
        </w:tc>
        <w:tc>
          <w:tcPr>
            <w:tcW w:w="242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2"/>
              <w:jc w:val="right"/>
              <w:rPr>
                <w:rFonts w:ascii="Times New Roman" w:hAnsi="Times New Roman" w:cs="Times New Roman" w:eastAsia="Times New Roman" w:hint="default"/>
                <w:sz w:val="18"/>
                <w:szCs w:val="18"/>
              </w:rPr>
            </w:pPr>
            <w:r>
              <w:rPr>
                <w:rFonts w:ascii="Times New Roman"/>
                <w:sz w:val="18"/>
              </w:rPr>
              <w:t>27,189.15</w:t>
            </w:r>
          </w:p>
        </w:tc>
      </w:tr>
      <w:tr>
        <w:trPr>
          <w:trHeight w:val="322" w:hRule="exact"/>
        </w:trPr>
        <w:tc>
          <w:tcPr>
            <w:tcW w:w="11278" w:type="dxa"/>
            <w:gridSpan w:val="9"/>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子公司对子公司的担保情况</w:t>
            </w:r>
          </w:p>
        </w:tc>
      </w:tr>
      <w:tr>
        <w:trPr>
          <w:trHeight w:val="634" w:hRule="exact"/>
        </w:trPr>
        <w:tc>
          <w:tcPr>
            <w:tcW w:w="261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761" w:right="0"/>
              <w:jc w:val="left"/>
              <w:rPr>
                <w:rFonts w:ascii="宋体" w:hAnsi="宋体" w:cs="宋体" w:eastAsia="宋体" w:hint="default"/>
                <w:sz w:val="18"/>
                <w:szCs w:val="18"/>
              </w:rPr>
            </w:pPr>
            <w:r>
              <w:rPr>
                <w:rFonts w:ascii="宋体" w:hAnsi="宋体" w:cs="宋体" w:eastAsia="宋体" w:hint="default"/>
                <w:sz w:val="18"/>
                <w:szCs w:val="18"/>
              </w:rPr>
              <w:t>担保对象名称</w:t>
            </w:r>
          </w:p>
        </w:tc>
        <w:tc>
          <w:tcPr>
            <w:tcW w:w="155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10"/>
              <w:ind w:left="414" w:right="53" w:hanging="360"/>
              <w:jc w:val="left"/>
              <w:rPr>
                <w:rFonts w:ascii="宋体" w:hAnsi="宋体" w:cs="宋体" w:eastAsia="宋体" w:hint="default"/>
                <w:sz w:val="18"/>
                <w:szCs w:val="18"/>
              </w:rPr>
            </w:pPr>
            <w:r>
              <w:rPr>
                <w:rFonts w:ascii="宋体" w:hAnsi="宋体" w:cs="宋体" w:eastAsia="宋体" w:hint="default"/>
                <w:sz w:val="18"/>
                <w:szCs w:val="18"/>
              </w:rPr>
              <w:t>担保额度相关公告 披露日期</w:t>
            </w:r>
          </w:p>
        </w:tc>
        <w:tc>
          <w:tcPr>
            <w:tcW w:w="85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60"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5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实际发生日期</w:t>
            </w:r>
          </w:p>
        </w:tc>
        <w:tc>
          <w:tcPr>
            <w:tcW w:w="99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10"/>
              <w:ind w:left="400" w:right="38" w:hanging="360"/>
              <w:jc w:val="left"/>
              <w:rPr>
                <w:rFonts w:ascii="宋体" w:hAnsi="宋体" w:cs="宋体" w:eastAsia="宋体" w:hint="default"/>
                <w:sz w:val="18"/>
                <w:szCs w:val="18"/>
              </w:rPr>
            </w:pPr>
            <w:r>
              <w:rPr>
                <w:rFonts w:ascii="宋体" w:hAnsi="宋体" w:cs="宋体" w:eastAsia="宋体" w:hint="default"/>
                <w:sz w:val="18"/>
                <w:szCs w:val="18"/>
              </w:rPr>
              <w:t>实际担保金 额</w:t>
            </w:r>
          </w:p>
        </w:tc>
        <w:tc>
          <w:tcPr>
            <w:tcW w:w="127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担保类型</w:t>
            </w:r>
          </w:p>
        </w:tc>
        <w:tc>
          <w:tcPr>
            <w:tcW w:w="9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担保期</w:t>
            </w:r>
          </w:p>
        </w:tc>
        <w:tc>
          <w:tcPr>
            <w:tcW w:w="72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10"/>
              <w:ind w:left="85" w:right="83"/>
              <w:jc w:val="left"/>
              <w:rPr>
                <w:rFonts w:ascii="宋体" w:hAnsi="宋体" w:cs="宋体" w:eastAsia="宋体" w:hint="default"/>
                <w:sz w:val="18"/>
                <w:szCs w:val="18"/>
              </w:rPr>
            </w:pPr>
            <w:r>
              <w:rPr>
                <w:rFonts w:ascii="宋体" w:hAnsi="宋体" w:cs="宋体" w:eastAsia="宋体" w:hint="default"/>
                <w:sz w:val="18"/>
                <w:szCs w:val="18"/>
              </w:rPr>
              <w:t>是否履 行完毕</w:t>
            </w:r>
          </w:p>
        </w:tc>
        <w:tc>
          <w:tcPr>
            <w:tcW w:w="73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10"/>
              <w:ind w:left="3" w:right="2"/>
              <w:jc w:val="left"/>
              <w:rPr>
                <w:rFonts w:ascii="宋体" w:hAnsi="宋体" w:cs="宋体" w:eastAsia="宋体" w:hint="default"/>
                <w:sz w:val="18"/>
                <w:szCs w:val="18"/>
              </w:rPr>
            </w:pPr>
            <w:r>
              <w:rPr>
                <w:rFonts w:ascii="宋体" w:hAnsi="宋体" w:cs="宋体" w:eastAsia="宋体" w:hint="default"/>
                <w:sz w:val="18"/>
                <w:szCs w:val="18"/>
              </w:rPr>
              <w:t>是否为关 联方担保</w:t>
            </w:r>
          </w:p>
        </w:tc>
      </w:tr>
      <w:tr>
        <w:trPr>
          <w:trHeight w:val="362" w:hRule="exact"/>
        </w:trPr>
        <w:tc>
          <w:tcPr>
            <w:tcW w:w="261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left="-1" w:right="0"/>
              <w:jc w:val="left"/>
              <w:rPr>
                <w:rFonts w:ascii="宋体" w:hAnsi="宋体" w:cs="宋体" w:eastAsia="宋体" w:hint="default"/>
                <w:sz w:val="18"/>
                <w:szCs w:val="18"/>
              </w:rPr>
            </w:pPr>
            <w:r>
              <w:rPr>
                <w:rFonts w:ascii="宋体" w:hAnsi="宋体" w:cs="宋体" w:eastAsia="宋体" w:hint="default"/>
                <w:sz w:val="18"/>
                <w:szCs w:val="18"/>
              </w:rPr>
              <w:t>武汉中元通信股份有限公司</w:t>
            </w:r>
          </w:p>
        </w:tc>
        <w:tc>
          <w:tcPr>
            <w:tcW w:w="155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right"/>
              <w:rPr>
                <w:rFonts w:ascii="Times New Roman" w:hAnsi="Times New Roman" w:cs="Times New Roman" w:eastAsia="Times New Roman" w:hint="default"/>
                <w:sz w:val="18"/>
                <w:szCs w:val="18"/>
              </w:rPr>
            </w:pPr>
            <w:r>
              <w:rPr>
                <w:rFonts w:ascii="Times New Roman"/>
                <w:sz w:val="18"/>
              </w:rPr>
              <w:t>25,500.00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65"/>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2"/>
              <w:jc w:val="right"/>
              <w:rPr>
                <w:rFonts w:ascii="Times New Roman" w:hAnsi="Times New Roman" w:cs="Times New Roman" w:eastAsia="Times New Roman" w:hint="default"/>
                <w:sz w:val="18"/>
                <w:szCs w:val="18"/>
              </w:rPr>
            </w:pPr>
            <w:r>
              <w:rPr>
                <w:rFonts w:ascii="Times New Roman"/>
                <w:sz w:val="18"/>
              </w:rPr>
              <w:t>20,161.08</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连带责任保证</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65"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7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62" w:hRule="exact"/>
        </w:trPr>
        <w:tc>
          <w:tcPr>
            <w:tcW w:w="2614" w:type="dxa"/>
            <w:vMerge/>
            <w:tcBorders>
              <w:left w:val="single" w:sz="4" w:space="0" w:color="000000"/>
              <w:right w:val="single" w:sz="4" w:space="0" w:color="000000"/>
            </w:tcBorders>
          </w:tcPr>
          <w:p>
            <w:pPr/>
          </w:p>
        </w:tc>
        <w:tc>
          <w:tcPr>
            <w:tcW w:w="1559" w:type="dxa"/>
            <w:vMerge/>
            <w:tcBorders>
              <w:left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right"/>
              <w:rPr>
                <w:rFonts w:ascii="Times New Roman" w:hAnsi="Times New Roman" w:cs="Times New Roman" w:eastAsia="Times New Roman" w:hint="default"/>
                <w:sz w:val="18"/>
                <w:szCs w:val="18"/>
              </w:rPr>
            </w:pPr>
            <w:r>
              <w:rPr>
                <w:rFonts w:ascii="Times New Roman"/>
                <w:sz w:val="18"/>
              </w:rPr>
              <w:t>40,000.00</w:t>
            </w:r>
          </w:p>
        </w:tc>
        <w:tc>
          <w:tcPr>
            <w:tcW w:w="1560"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right"/>
              <w:rPr>
                <w:rFonts w:ascii="Times New Roman" w:hAnsi="Times New Roman" w:cs="Times New Roman" w:eastAsia="Times New Roman" w:hint="default"/>
                <w:sz w:val="18"/>
                <w:szCs w:val="18"/>
              </w:rPr>
            </w:pPr>
            <w:r>
              <w:rPr>
                <w:rFonts w:ascii="Times New Roman"/>
                <w:sz w:val="18"/>
              </w:rPr>
              <w:t>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连带责任保证</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20" w:type="dxa"/>
            <w:tcBorders>
              <w:top w:val="single" w:sz="4" w:space="0" w:color="000000"/>
              <w:left w:val="single" w:sz="4" w:space="0" w:color="000000"/>
              <w:bottom w:val="single" w:sz="4" w:space="0" w:color="000000"/>
              <w:right w:val="single" w:sz="4" w:space="0" w:color="000000"/>
            </w:tcBorders>
          </w:tcPr>
          <w:p>
            <w:pPr/>
          </w:p>
        </w:tc>
        <w:tc>
          <w:tcPr>
            <w:tcW w:w="738" w:type="dxa"/>
            <w:tcBorders>
              <w:top w:val="single" w:sz="4" w:space="0" w:color="000000"/>
              <w:left w:val="single" w:sz="4" w:space="0" w:color="000000"/>
              <w:bottom w:val="single" w:sz="4" w:space="0" w:color="000000"/>
              <w:right w:val="single" w:sz="4" w:space="0" w:color="000000"/>
            </w:tcBorders>
          </w:tcPr>
          <w:p>
            <w:pPr/>
          </w:p>
        </w:tc>
      </w:tr>
      <w:tr>
        <w:trPr>
          <w:trHeight w:val="361" w:hRule="exact"/>
        </w:trPr>
        <w:tc>
          <w:tcPr>
            <w:tcW w:w="2614" w:type="dxa"/>
            <w:vMerge/>
            <w:tcBorders>
              <w:left w:val="single" w:sz="4" w:space="0" w:color="000000"/>
              <w:bottom w:val="single" w:sz="4" w:space="0" w:color="000000"/>
              <w:right w:val="single" w:sz="4" w:space="0" w:color="000000"/>
            </w:tcBorders>
          </w:tcPr>
          <w:p>
            <w:pPr/>
          </w:p>
        </w:tc>
        <w:tc>
          <w:tcPr>
            <w:tcW w:w="1559" w:type="dxa"/>
            <w:vMerge/>
            <w:tcBorders>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right"/>
              <w:rPr>
                <w:rFonts w:ascii="Times New Roman" w:hAnsi="Times New Roman" w:cs="Times New Roman" w:eastAsia="Times New Roman" w:hint="default"/>
                <w:sz w:val="18"/>
                <w:szCs w:val="18"/>
              </w:rPr>
            </w:pPr>
            <w:r>
              <w:rPr>
                <w:rFonts w:ascii="Times New Roman"/>
                <w:sz w:val="18"/>
              </w:rPr>
              <w:t>18,000.00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65"/>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right"/>
              <w:rPr>
                <w:rFonts w:ascii="Times New Roman" w:hAnsi="Times New Roman" w:cs="Times New Roman" w:eastAsia="Times New Roman" w:hint="default"/>
                <w:sz w:val="18"/>
                <w:szCs w:val="18"/>
              </w:rPr>
            </w:pPr>
            <w:r>
              <w:rPr>
                <w:rFonts w:ascii="Times New Roman"/>
                <w:sz w:val="18"/>
              </w:rPr>
              <w:t>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连带责任保证</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65"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7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62" w:hRule="exact"/>
        </w:trPr>
        <w:tc>
          <w:tcPr>
            <w:tcW w:w="2614" w:type="dxa"/>
            <w:vMerge w:val="restart"/>
            <w:tcBorders>
              <w:top w:val="single" w:sz="4" w:space="0" w:color="000000"/>
              <w:left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 w:right="0"/>
              <w:jc w:val="left"/>
              <w:rPr>
                <w:rFonts w:ascii="宋体" w:hAnsi="宋体" w:cs="宋体" w:eastAsia="宋体" w:hint="default"/>
                <w:sz w:val="18"/>
                <w:szCs w:val="18"/>
              </w:rPr>
            </w:pPr>
            <w:r>
              <w:rPr>
                <w:rFonts w:ascii="宋体" w:hAnsi="宋体" w:cs="宋体" w:eastAsia="宋体" w:hint="default"/>
                <w:sz w:val="18"/>
                <w:szCs w:val="18"/>
              </w:rPr>
              <w:t>武汉长光电源有限公司</w:t>
            </w:r>
          </w:p>
        </w:tc>
        <w:tc>
          <w:tcPr>
            <w:tcW w:w="1559" w:type="dxa"/>
            <w:vMerge w:val="restart"/>
            <w:tcBorders>
              <w:top w:val="single" w:sz="4" w:space="0" w:color="000000"/>
              <w:left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right"/>
              <w:rPr>
                <w:rFonts w:ascii="Times New Roman" w:hAnsi="Times New Roman" w:cs="Times New Roman" w:eastAsia="Times New Roman" w:hint="default"/>
                <w:sz w:val="18"/>
                <w:szCs w:val="18"/>
              </w:rPr>
            </w:pPr>
            <w:r>
              <w:rPr>
                <w:rFonts w:ascii="Times New Roman"/>
                <w:sz w:val="18"/>
              </w:rPr>
              <w:t>8,000.00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65"/>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2"/>
              <w:jc w:val="right"/>
              <w:rPr>
                <w:rFonts w:ascii="Times New Roman" w:hAnsi="Times New Roman" w:cs="Times New Roman" w:eastAsia="Times New Roman" w:hint="default"/>
                <w:sz w:val="18"/>
                <w:szCs w:val="18"/>
              </w:rPr>
            </w:pPr>
            <w:r>
              <w:rPr>
                <w:rFonts w:ascii="Times New Roman"/>
                <w:sz w:val="18"/>
              </w:rPr>
              <w:t>5,900.00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连带责任保证</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65"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7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62" w:hRule="exact"/>
        </w:trPr>
        <w:tc>
          <w:tcPr>
            <w:tcW w:w="2614" w:type="dxa"/>
            <w:vMerge/>
            <w:tcBorders>
              <w:left w:val="single" w:sz="4" w:space="0" w:color="000000"/>
              <w:bottom w:val="single" w:sz="4" w:space="0" w:color="000000"/>
              <w:right w:val="single" w:sz="4" w:space="0" w:color="000000"/>
            </w:tcBorders>
          </w:tcPr>
          <w:p>
            <w:pPr/>
          </w:p>
        </w:tc>
        <w:tc>
          <w:tcPr>
            <w:tcW w:w="1559" w:type="dxa"/>
            <w:vMerge/>
            <w:tcBorders>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right"/>
              <w:rPr>
                <w:rFonts w:ascii="Times New Roman" w:hAnsi="Times New Roman" w:cs="Times New Roman" w:eastAsia="Times New Roman" w:hint="default"/>
                <w:sz w:val="18"/>
                <w:szCs w:val="18"/>
              </w:rPr>
            </w:pPr>
            <w:r>
              <w:rPr>
                <w:rFonts w:ascii="Times New Roman"/>
                <w:sz w:val="18"/>
              </w:rPr>
              <w:t>5,000.00</w:t>
            </w:r>
          </w:p>
        </w:tc>
        <w:tc>
          <w:tcPr>
            <w:tcW w:w="1560"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right"/>
              <w:rPr>
                <w:rFonts w:ascii="Times New Roman" w:hAnsi="Times New Roman" w:cs="Times New Roman" w:eastAsia="Times New Roman" w:hint="default"/>
                <w:sz w:val="18"/>
                <w:szCs w:val="18"/>
              </w:rPr>
            </w:pPr>
            <w:r>
              <w:rPr>
                <w:rFonts w:ascii="Times New Roman"/>
                <w:sz w:val="18"/>
              </w:rPr>
              <w:t>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连带责任保证</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20" w:type="dxa"/>
            <w:tcBorders>
              <w:top w:val="single" w:sz="4" w:space="0" w:color="000000"/>
              <w:left w:val="single" w:sz="4" w:space="0" w:color="000000"/>
              <w:bottom w:val="single" w:sz="4" w:space="0" w:color="000000"/>
              <w:right w:val="single" w:sz="4" w:space="0" w:color="000000"/>
            </w:tcBorders>
          </w:tcPr>
          <w:p>
            <w:pPr/>
          </w:p>
        </w:tc>
        <w:tc>
          <w:tcPr>
            <w:tcW w:w="738" w:type="dxa"/>
            <w:tcBorders>
              <w:top w:val="single" w:sz="4" w:space="0" w:color="000000"/>
              <w:left w:val="single" w:sz="4" w:space="0" w:color="000000"/>
              <w:bottom w:val="single" w:sz="4" w:space="0" w:color="000000"/>
              <w:right w:val="single" w:sz="4" w:space="0" w:color="000000"/>
            </w:tcBorders>
          </w:tcPr>
          <w:p>
            <w:pPr/>
          </w:p>
        </w:tc>
      </w:tr>
      <w:tr>
        <w:trPr>
          <w:trHeight w:val="361" w:hRule="exact"/>
        </w:trPr>
        <w:tc>
          <w:tcPr>
            <w:tcW w:w="2614" w:type="dxa"/>
            <w:vMerge w:val="restart"/>
            <w:tcBorders>
              <w:top w:val="single" w:sz="4" w:space="0" w:color="000000"/>
              <w:left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 w:right="0"/>
              <w:jc w:val="left"/>
              <w:rPr>
                <w:rFonts w:ascii="宋体" w:hAnsi="宋体" w:cs="宋体" w:eastAsia="宋体" w:hint="default"/>
                <w:sz w:val="18"/>
                <w:szCs w:val="18"/>
              </w:rPr>
            </w:pPr>
            <w:r>
              <w:rPr>
                <w:rFonts w:ascii="宋体" w:hAnsi="宋体" w:cs="宋体" w:eastAsia="宋体" w:hint="default"/>
                <w:sz w:val="18"/>
                <w:szCs w:val="18"/>
              </w:rPr>
              <w:t>武汉中原电子信息有限公司</w:t>
            </w:r>
          </w:p>
        </w:tc>
        <w:tc>
          <w:tcPr>
            <w:tcW w:w="1559" w:type="dxa"/>
            <w:vMerge w:val="restart"/>
            <w:tcBorders>
              <w:top w:val="single" w:sz="4" w:space="0" w:color="000000"/>
              <w:left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right"/>
              <w:rPr>
                <w:rFonts w:ascii="Times New Roman" w:hAnsi="Times New Roman" w:cs="Times New Roman" w:eastAsia="Times New Roman" w:hint="default"/>
                <w:sz w:val="18"/>
                <w:szCs w:val="18"/>
              </w:rPr>
            </w:pPr>
            <w:r>
              <w:rPr>
                <w:rFonts w:ascii="Times New Roman"/>
                <w:sz w:val="18"/>
              </w:rPr>
              <w:t>8,000.00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65"/>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right"/>
              <w:rPr>
                <w:rFonts w:ascii="Times New Roman" w:hAnsi="Times New Roman" w:cs="Times New Roman" w:eastAsia="Times New Roman" w:hint="default"/>
                <w:sz w:val="18"/>
                <w:szCs w:val="18"/>
              </w:rPr>
            </w:pPr>
            <w:r>
              <w:rPr>
                <w:rFonts w:ascii="Times New Roman"/>
                <w:sz w:val="18"/>
              </w:rPr>
              <w:t>1,978.48</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连带责任保证</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65"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7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62" w:hRule="exact"/>
        </w:trPr>
        <w:tc>
          <w:tcPr>
            <w:tcW w:w="2614" w:type="dxa"/>
            <w:vMerge/>
            <w:tcBorders>
              <w:left w:val="single" w:sz="4" w:space="0" w:color="000000"/>
              <w:bottom w:val="single" w:sz="4" w:space="0" w:color="000000"/>
              <w:right w:val="single" w:sz="4" w:space="0" w:color="000000"/>
            </w:tcBorders>
          </w:tcPr>
          <w:p>
            <w:pPr/>
          </w:p>
        </w:tc>
        <w:tc>
          <w:tcPr>
            <w:tcW w:w="1559" w:type="dxa"/>
            <w:vMerge/>
            <w:tcBorders>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right"/>
              <w:rPr>
                <w:rFonts w:ascii="Times New Roman" w:hAnsi="Times New Roman" w:cs="Times New Roman" w:eastAsia="Times New Roman" w:hint="default"/>
                <w:sz w:val="18"/>
                <w:szCs w:val="18"/>
              </w:rPr>
            </w:pPr>
            <w:r>
              <w:rPr>
                <w:rFonts w:ascii="Times New Roman"/>
                <w:sz w:val="18"/>
              </w:rPr>
              <w:t>6,000.00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7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right"/>
              <w:rPr>
                <w:rFonts w:ascii="Times New Roman" w:hAnsi="Times New Roman" w:cs="Times New Roman" w:eastAsia="Times New Roman" w:hint="default"/>
                <w:sz w:val="18"/>
                <w:szCs w:val="18"/>
              </w:rPr>
            </w:pPr>
            <w:r>
              <w:rPr>
                <w:rFonts w:ascii="Times New Roman"/>
                <w:sz w:val="18"/>
              </w:rPr>
              <w:t>657.46</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连带责任保证</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65"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7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62" w:hRule="exact"/>
        </w:trPr>
        <w:tc>
          <w:tcPr>
            <w:tcW w:w="2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 w:right="0"/>
              <w:jc w:val="left"/>
              <w:rPr>
                <w:rFonts w:ascii="宋体" w:hAnsi="宋体" w:cs="宋体" w:eastAsia="宋体" w:hint="default"/>
                <w:sz w:val="18"/>
                <w:szCs w:val="18"/>
              </w:rPr>
            </w:pPr>
            <w:r>
              <w:rPr>
                <w:rFonts w:ascii="宋体" w:hAnsi="宋体" w:cs="宋体" w:eastAsia="宋体" w:hint="default"/>
                <w:sz w:val="18"/>
                <w:szCs w:val="18"/>
              </w:rPr>
              <w:t>武汉中原长江科技发展有限公司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right"/>
              <w:rPr>
                <w:rFonts w:ascii="Times New Roman" w:hAnsi="Times New Roman" w:cs="Times New Roman" w:eastAsia="Times New Roman" w:hint="default"/>
                <w:sz w:val="18"/>
                <w:szCs w:val="18"/>
              </w:rPr>
            </w:pPr>
            <w:r>
              <w:rPr>
                <w:rFonts w:ascii="Times New Roman"/>
                <w:sz w:val="18"/>
              </w:rPr>
              <w:t>6,000.00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65"/>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right"/>
              <w:rPr>
                <w:rFonts w:ascii="Times New Roman" w:hAnsi="Times New Roman" w:cs="Times New Roman" w:eastAsia="Times New Roman" w:hint="default"/>
                <w:sz w:val="18"/>
                <w:szCs w:val="18"/>
              </w:rPr>
            </w:pPr>
            <w:r>
              <w:rPr>
                <w:rFonts w:ascii="Times New Roman"/>
                <w:sz w:val="18"/>
              </w:rPr>
              <w:t>1,500.00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连带责任保证</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65"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7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61" w:hRule="exact"/>
        </w:trPr>
        <w:tc>
          <w:tcPr>
            <w:tcW w:w="2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 w:right="0"/>
              <w:jc w:val="left"/>
              <w:rPr>
                <w:rFonts w:ascii="宋体" w:hAnsi="宋体" w:cs="宋体" w:eastAsia="宋体" w:hint="default"/>
                <w:sz w:val="18"/>
                <w:szCs w:val="18"/>
              </w:rPr>
            </w:pPr>
            <w:r>
              <w:rPr>
                <w:rFonts w:ascii="宋体" w:hAnsi="宋体" w:cs="宋体" w:eastAsia="宋体" w:hint="default"/>
                <w:sz w:val="18"/>
                <w:szCs w:val="18"/>
              </w:rPr>
              <w:t>湖南长城海盾光纤科技有限公司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right"/>
              <w:rPr>
                <w:rFonts w:ascii="Times New Roman" w:hAnsi="Times New Roman" w:cs="Times New Roman" w:eastAsia="Times New Roman" w:hint="default"/>
                <w:sz w:val="18"/>
                <w:szCs w:val="18"/>
              </w:rPr>
            </w:pPr>
            <w:r>
              <w:rPr>
                <w:rFonts w:ascii="Times New Roman"/>
                <w:sz w:val="18"/>
              </w:rPr>
              <w:t>5,000.00</w:t>
            </w:r>
          </w:p>
        </w:tc>
        <w:tc>
          <w:tcPr>
            <w:tcW w:w="1560"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right"/>
              <w:rPr>
                <w:rFonts w:ascii="Times New Roman" w:hAnsi="Times New Roman" w:cs="Times New Roman" w:eastAsia="Times New Roman" w:hint="default"/>
                <w:sz w:val="18"/>
                <w:szCs w:val="18"/>
              </w:rPr>
            </w:pPr>
            <w:r>
              <w:rPr>
                <w:rFonts w:ascii="Times New Roman"/>
                <w:sz w:val="18"/>
              </w:rPr>
              <w:t>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连带责任保证</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20" w:type="dxa"/>
            <w:tcBorders>
              <w:top w:val="single" w:sz="4" w:space="0" w:color="000000"/>
              <w:left w:val="single" w:sz="4" w:space="0" w:color="000000"/>
              <w:bottom w:val="single" w:sz="4" w:space="0" w:color="000000"/>
              <w:right w:val="single" w:sz="4" w:space="0" w:color="000000"/>
            </w:tcBorders>
          </w:tcPr>
          <w:p>
            <w:pPr/>
          </w:p>
        </w:tc>
        <w:tc>
          <w:tcPr>
            <w:tcW w:w="738" w:type="dxa"/>
            <w:tcBorders>
              <w:top w:val="single" w:sz="4" w:space="0" w:color="000000"/>
              <w:left w:val="single" w:sz="4" w:space="0" w:color="000000"/>
              <w:bottom w:val="single" w:sz="4" w:space="0" w:color="000000"/>
              <w:right w:val="single" w:sz="4" w:space="0" w:color="000000"/>
            </w:tcBorders>
          </w:tcPr>
          <w:p>
            <w:pPr/>
          </w:p>
        </w:tc>
      </w:tr>
      <w:tr>
        <w:trPr>
          <w:trHeight w:val="362" w:hRule="exact"/>
        </w:trPr>
        <w:tc>
          <w:tcPr>
            <w:tcW w:w="2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 w:right="0"/>
              <w:jc w:val="left"/>
              <w:rPr>
                <w:rFonts w:ascii="宋体" w:hAnsi="宋体" w:cs="宋体" w:eastAsia="宋体" w:hint="default"/>
                <w:sz w:val="18"/>
                <w:szCs w:val="18"/>
              </w:rPr>
            </w:pPr>
            <w:r>
              <w:rPr>
                <w:rFonts w:ascii="宋体" w:hAnsi="宋体" w:cs="宋体" w:eastAsia="宋体" w:hint="default"/>
                <w:sz w:val="18"/>
                <w:szCs w:val="18"/>
              </w:rPr>
              <w:t>柏怡电子有限公司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right"/>
              <w:rPr>
                <w:rFonts w:ascii="Times New Roman" w:hAnsi="Times New Roman" w:cs="Times New Roman" w:eastAsia="Times New Roman" w:hint="default"/>
                <w:sz w:val="18"/>
                <w:szCs w:val="18"/>
              </w:rPr>
            </w:pPr>
            <w:r>
              <w:rPr>
                <w:rFonts w:ascii="Times New Roman"/>
                <w:sz w:val="18"/>
              </w:rPr>
              <w:t>5,723.34</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65"/>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2"/>
              <w:jc w:val="right"/>
              <w:rPr>
                <w:rFonts w:ascii="Times New Roman" w:hAnsi="Times New Roman" w:cs="Times New Roman" w:eastAsia="Times New Roman" w:hint="default"/>
                <w:sz w:val="18"/>
                <w:szCs w:val="18"/>
              </w:rPr>
            </w:pPr>
            <w:r>
              <w:rPr>
                <w:rFonts w:ascii="Times New Roman"/>
                <w:sz w:val="18"/>
              </w:rPr>
              <w:t>1,865.88</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连带责任保证</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65"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7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634" w:hRule="exact"/>
        </w:trPr>
        <w:tc>
          <w:tcPr>
            <w:tcW w:w="4172"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 w:right="0"/>
              <w:jc w:val="left"/>
              <w:rPr>
                <w:rFonts w:ascii="宋体" w:hAnsi="宋体" w:cs="宋体" w:eastAsia="宋体" w:hint="default"/>
                <w:sz w:val="18"/>
                <w:szCs w:val="18"/>
              </w:rPr>
            </w:pPr>
            <w:r>
              <w:rPr>
                <w:rFonts w:ascii="宋体" w:hAnsi="宋体" w:cs="宋体" w:eastAsia="宋体" w:hint="default"/>
                <w:sz w:val="18"/>
                <w:szCs w:val="18"/>
              </w:rPr>
              <w:t>报告期内审批对子公司担保额度合计（</w:t>
            </w:r>
            <w:r>
              <w:rPr>
                <w:rFonts w:ascii="Times New Roman" w:hAnsi="Times New Roman" w:cs="Times New Roman" w:eastAsia="Times New Roman" w:hint="default"/>
                <w:sz w:val="18"/>
                <w:szCs w:val="18"/>
              </w:rPr>
              <w:t>C1</w:t>
            </w:r>
            <w:r>
              <w:rPr>
                <w:rFonts w:ascii="宋体" w:hAnsi="宋体" w:cs="宋体" w:eastAsia="宋体" w:hint="default"/>
                <w:sz w:val="18"/>
                <w:szCs w:val="18"/>
              </w:rPr>
              <w:t>）</w:t>
            </w:r>
          </w:p>
        </w:tc>
        <w:tc>
          <w:tcPr>
            <w:tcW w:w="24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1589" w:right="-1"/>
              <w:jc w:val="left"/>
              <w:rPr>
                <w:rFonts w:ascii="Times New Roman" w:hAnsi="Times New Roman" w:cs="Times New Roman" w:eastAsia="Times New Roman" w:hint="default"/>
                <w:sz w:val="18"/>
                <w:szCs w:val="18"/>
              </w:rPr>
            </w:pPr>
            <w:r>
              <w:rPr>
                <w:rFonts w:ascii="Times New Roman"/>
                <w:sz w:val="18"/>
              </w:rPr>
              <w:t>127,223.34</w:t>
            </w: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10"/>
              <w:ind w:left="-1" w:right="96"/>
              <w:jc w:val="left"/>
              <w:rPr>
                <w:rFonts w:ascii="宋体" w:hAnsi="宋体" w:cs="宋体" w:eastAsia="宋体" w:hint="default"/>
                <w:sz w:val="18"/>
                <w:szCs w:val="18"/>
              </w:rPr>
            </w:pPr>
            <w:r>
              <w:rPr>
                <w:rFonts w:ascii="宋体" w:hAnsi="宋体" w:cs="宋体" w:eastAsia="宋体" w:hint="default"/>
                <w:sz w:val="18"/>
                <w:szCs w:val="18"/>
              </w:rPr>
              <w:t>报告期内对子公司担保实际 发生额合计（</w:t>
            </w:r>
            <w:r>
              <w:rPr>
                <w:rFonts w:ascii="Times New Roman" w:hAnsi="Times New Roman" w:cs="Times New Roman" w:eastAsia="Times New Roman" w:hint="default"/>
                <w:sz w:val="18"/>
                <w:szCs w:val="18"/>
              </w:rPr>
              <w:t>C2</w:t>
            </w:r>
            <w:r>
              <w:rPr>
                <w:rFonts w:ascii="宋体" w:hAnsi="宋体" w:cs="宋体" w:eastAsia="宋体" w:hint="default"/>
                <w:sz w:val="18"/>
                <w:szCs w:val="18"/>
              </w:rPr>
              <w:t>）</w:t>
            </w:r>
          </w:p>
        </w:tc>
        <w:tc>
          <w:tcPr>
            <w:tcW w:w="242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2"/>
              <w:jc w:val="right"/>
              <w:rPr>
                <w:rFonts w:ascii="Times New Roman" w:hAnsi="Times New Roman" w:cs="Times New Roman" w:eastAsia="Times New Roman" w:hint="default"/>
                <w:sz w:val="18"/>
                <w:szCs w:val="18"/>
              </w:rPr>
            </w:pPr>
            <w:r>
              <w:rPr>
                <w:rFonts w:ascii="Times New Roman"/>
                <w:sz w:val="18"/>
              </w:rPr>
              <w:t>32,062.90</w:t>
            </w:r>
          </w:p>
        </w:tc>
      </w:tr>
      <w:tr>
        <w:trPr>
          <w:trHeight w:val="635" w:hRule="exact"/>
        </w:trPr>
        <w:tc>
          <w:tcPr>
            <w:tcW w:w="4172"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left="-1" w:right="0"/>
              <w:jc w:val="left"/>
              <w:rPr>
                <w:rFonts w:ascii="宋体" w:hAnsi="宋体" w:cs="宋体" w:eastAsia="宋体" w:hint="default"/>
                <w:sz w:val="18"/>
                <w:szCs w:val="18"/>
              </w:rPr>
            </w:pPr>
            <w:r>
              <w:rPr>
                <w:rFonts w:ascii="宋体" w:hAnsi="宋体" w:cs="宋体" w:eastAsia="宋体" w:hint="default"/>
                <w:sz w:val="18"/>
                <w:szCs w:val="18"/>
              </w:rPr>
              <w:t>报告期末已审批的对子公司担保额度合计（</w:t>
            </w:r>
            <w:r>
              <w:rPr>
                <w:rFonts w:ascii="Times New Roman" w:hAnsi="Times New Roman" w:cs="Times New Roman" w:eastAsia="Times New Roman" w:hint="default"/>
                <w:sz w:val="18"/>
                <w:szCs w:val="18"/>
              </w:rPr>
              <w:t>C3</w:t>
            </w:r>
            <w:r>
              <w:rPr>
                <w:rFonts w:ascii="宋体" w:hAnsi="宋体" w:cs="宋体" w:eastAsia="宋体" w:hint="default"/>
                <w:sz w:val="18"/>
                <w:szCs w:val="18"/>
              </w:rPr>
              <w:t>）</w:t>
            </w:r>
          </w:p>
        </w:tc>
        <w:tc>
          <w:tcPr>
            <w:tcW w:w="24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589" w:right="-1"/>
              <w:jc w:val="left"/>
              <w:rPr>
                <w:rFonts w:ascii="Times New Roman" w:hAnsi="Times New Roman" w:cs="Times New Roman" w:eastAsia="Times New Roman" w:hint="default"/>
                <w:sz w:val="18"/>
                <w:szCs w:val="18"/>
              </w:rPr>
            </w:pPr>
            <w:r>
              <w:rPr>
                <w:rFonts w:ascii="Times New Roman"/>
                <w:sz w:val="18"/>
              </w:rPr>
              <w:t>127,223.34</w:t>
            </w: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11"/>
              <w:ind w:left="-1" w:right="96"/>
              <w:jc w:val="left"/>
              <w:rPr>
                <w:rFonts w:ascii="宋体" w:hAnsi="宋体" w:cs="宋体" w:eastAsia="宋体" w:hint="default"/>
                <w:sz w:val="18"/>
                <w:szCs w:val="18"/>
              </w:rPr>
            </w:pPr>
            <w:r>
              <w:rPr>
                <w:rFonts w:ascii="宋体" w:hAnsi="宋体" w:cs="宋体" w:eastAsia="宋体" w:hint="default"/>
                <w:sz w:val="18"/>
                <w:szCs w:val="18"/>
              </w:rPr>
              <w:t>报告期末对子公司实际担保 余额合计（</w:t>
            </w:r>
            <w:r>
              <w:rPr>
                <w:rFonts w:ascii="Times New Roman" w:hAnsi="Times New Roman" w:cs="Times New Roman" w:eastAsia="Times New Roman" w:hint="default"/>
                <w:sz w:val="18"/>
                <w:szCs w:val="18"/>
              </w:rPr>
              <w:t>C4</w:t>
            </w:r>
            <w:r>
              <w:rPr>
                <w:rFonts w:ascii="宋体" w:hAnsi="宋体" w:cs="宋体" w:eastAsia="宋体" w:hint="default"/>
                <w:sz w:val="18"/>
                <w:szCs w:val="18"/>
              </w:rPr>
              <w:t>）</w:t>
            </w:r>
          </w:p>
        </w:tc>
        <w:tc>
          <w:tcPr>
            <w:tcW w:w="242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2"/>
              <w:jc w:val="right"/>
              <w:rPr>
                <w:rFonts w:ascii="Times New Roman" w:hAnsi="Times New Roman" w:cs="Times New Roman" w:eastAsia="Times New Roman" w:hint="default"/>
                <w:sz w:val="18"/>
                <w:szCs w:val="18"/>
              </w:rPr>
            </w:pPr>
            <w:r>
              <w:rPr>
                <w:rFonts w:ascii="Times New Roman"/>
                <w:sz w:val="18"/>
              </w:rPr>
              <w:t>32,062.90</w:t>
            </w:r>
          </w:p>
        </w:tc>
      </w:tr>
    </w:tbl>
    <w:p>
      <w:pPr>
        <w:spacing w:after="0" w:line="240" w:lineRule="auto"/>
        <w:jc w:val="right"/>
        <w:rPr>
          <w:rFonts w:ascii="Times New Roman" w:hAnsi="Times New Roman" w:cs="Times New Roman" w:eastAsia="Times New Roman" w:hint="default"/>
          <w:sz w:val="18"/>
          <w:szCs w:val="18"/>
        </w:rPr>
        <w:sectPr>
          <w:pgSz w:w="11910" w:h="16840"/>
          <w:pgMar w:header="787" w:footer="982" w:top="1100" w:bottom="1180" w:left="200" w:right="0"/>
        </w:sectPr>
      </w:pPr>
    </w:p>
    <w:p>
      <w:pPr>
        <w:spacing w:line="240" w:lineRule="auto" w:before="10"/>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4172"/>
        <w:gridCol w:w="2411"/>
        <w:gridCol w:w="2268"/>
        <w:gridCol w:w="2426"/>
      </w:tblGrid>
      <w:tr>
        <w:trPr>
          <w:trHeight w:val="322" w:hRule="exact"/>
        </w:trPr>
        <w:tc>
          <w:tcPr>
            <w:tcW w:w="11278" w:type="dxa"/>
            <w:gridSpan w:val="4"/>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left="-1" w:right="0"/>
              <w:jc w:val="left"/>
              <w:rPr>
                <w:rFonts w:ascii="宋体" w:hAnsi="宋体" w:cs="宋体" w:eastAsia="宋体" w:hint="default"/>
                <w:sz w:val="18"/>
                <w:szCs w:val="18"/>
              </w:rPr>
            </w:pPr>
            <w:r>
              <w:rPr>
                <w:rFonts w:ascii="宋体" w:hAnsi="宋体" w:cs="宋体" w:eastAsia="宋体" w:hint="default"/>
                <w:sz w:val="18"/>
                <w:szCs w:val="18"/>
              </w:rPr>
              <w:t>公司担保总额（即前三大项的合计）</w:t>
            </w:r>
          </w:p>
        </w:tc>
      </w:tr>
      <w:tr>
        <w:trPr>
          <w:trHeight w:val="635" w:hRule="exact"/>
        </w:trPr>
        <w:tc>
          <w:tcPr>
            <w:tcW w:w="417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left="-1" w:right="0"/>
              <w:jc w:val="left"/>
              <w:rPr>
                <w:rFonts w:ascii="宋体" w:hAnsi="宋体" w:cs="宋体" w:eastAsia="宋体" w:hint="default"/>
                <w:sz w:val="18"/>
                <w:szCs w:val="18"/>
              </w:rPr>
            </w:pPr>
            <w:r>
              <w:rPr>
                <w:rFonts w:ascii="宋体" w:hAnsi="宋体" w:cs="宋体" w:eastAsia="宋体" w:hint="default"/>
                <w:sz w:val="18"/>
                <w:szCs w:val="18"/>
              </w:rPr>
              <w:t>报告期内审批担保额度合计（</w:t>
            </w:r>
            <w:r>
              <w:rPr>
                <w:rFonts w:ascii="Times New Roman" w:hAnsi="Times New Roman" w:cs="Times New Roman" w:eastAsia="Times New Roman" w:hint="default"/>
                <w:sz w:val="18"/>
                <w:szCs w:val="18"/>
              </w:rPr>
              <w:t>A1+B1+C1</w:t>
            </w:r>
            <w:r>
              <w:rPr>
                <w:rFonts w:ascii="宋体" w:hAnsi="宋体" w:cs="宋体" w:eastAsia="宋体" w:hint="default"/>
                <w:sz w:val="18"/>
                <w:szCs w:val="18"/>
              </w:rPr>
              <w:t>）</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z w:val="18"/>
              </w:rPr>
              <w:t>331,473.34</w:t>
            </w:r>
          </w:p>
        </w:tc>
        <w:tc>
          <w:tcPr>
            <w:tcW w:w="22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11"/>
              <w:ind w:left="-1" w:right="96"/>
              <w:jc w:val="left"/>
              <w:rPr>
                <w:rFonts w:ascii="宋体" w:hAnsi="宋体" w:cs="宋体" w:eastAsia="宋体" w:hint="default"/>
                <w:sz w:val="18"/>
                <w:szCs w:val="18"/>
              </w:rPr>
            </w:pPr>
            <w:r>
              <w:rPr>
                <w:rFonts w:ascii="宋体" w:hAnsi="宋体" w:cs="宋体" w:eastAsia="宋体" w:hint="default"/>
                <w:sz w:val="18"/>
                <w:szCs w:val="18"/>
              </w:rPr>
              <w:t>报告期内担保实际发生额合 计（</w:t>
            </w:r>
            <w:r>
              <w:rPr>
                <w:rFonts w:ascii="Times New Roman" w:hAnsi="Times New Roman" w:cs="Times New Roman" w:eastAsia="Times New Roman" w:hint="default"/>
                <w:sz w:val="18"/>
                <w:szCs w:val="18"/>
              </w:rPr>
              <w:t>A2+B2+C2</w:t>
            </w:r>
            <w:r>
              <w:rPr>
                <w:rFonts w:ascii="宋体" w:hAnsi="宋体" w:cs="宋体" w:eastAsia="宋体" w:hint="default"/>
                <w:sz w:val="18"/>
                <w:szCs w:val="18"/>
              </w:rPr>
              <w:t>）</w:t>
            </w:r>
          </w:p>
        </w:tc>
        <w:tc>
          <w:tcPr>
            <w:tcW w:w="2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2"/>
              <w:jc w:val="right"/>
              <w:rPr>
                <w:rFonts w:ascii="Times New Roman" w:hAnsi="Times New Roman" w:cs="Times New Roman" w:eastAsia="Times New Roman" w:hint="default"/>
                <w:sz w:val="18"/>
                <w:szCs w:val="18"/>
              </w:rPr>
            </w:pPr>
            <w:r>
              <w:rPr>
                <w:rFonts w:ascii="Times New Roman"/>
                <w:sz w:val="18"/>
              </w:rPr>
              <w:t>62,892.26</w:t>
            </w:r>
          </w:p>
        </w:tc>
      </w:tr>
      <w:tr>
        <w:trPr>
          <w:trHeight w:val="634" w:hRule="exact"/>
        </w:trPr>
        <w:tc>
          <w:tcPr>
            <w:tcW w:w="417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 w:right="0"/>
              <w:jc w:val="left"/>
              <w:rPr>
                <w:rFonts w:ascii="宋体" w:hAnsi="宋体" w:cs="宋体" w:eastAsia="宋体" w:hint="default"/>
                <w:sz w:val="18"/>
                <w:szCs w:val="18"/>
              </w:rPr>
            </w:pPr>
            <w:r>
              <w:rPr>
                <w:rFonts w:ascii="宋体" w:hAnsi="宋体" w:cs="宋体" w:eastAsia="宋体" w:hint="default"/>
                <w:sz w:val="18"/>
                <w:szCs w:val="18"/>
              </w:rPr>
              <w:t>报告期末已审批的担保额度合计（</w:t>
            </w:r>
            <w:r>
              <w:rPr>
                <w:rFonts w:ascii="Times New Roman" w:hAnsi="Times New Roman" w:cs="Times New Roman" w:eastAsia="Times New Roman" w:hint="default"/>
                <w:sz w:val="18"/>
                <w:szCs w:val="18"/>
              </w:rPr>
              <w:t>A3+B3+C3</w:t>
            </w:r>
            <w:r>
              <w:rPr>
                <w:rFonts w:ascii="宋体" w:hAnsi="宋体" w:cs="宋体" w:eastAsia="宋体" w:hint="default"/>
                <w:sz w:val="18"/>
                <w:szCs w:val="18"/>
              </w:rPr>
              <w:t>）</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z w:val="18"/>
              </w:rPr>
              <w:t>331,473.34</w:t>
            </w:r>
          </w:p>
        </w:tc>
        <w:tc>
          <w:tcPr>
            <w:tcW w:w="22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left="-1" w:right="0"/>
              <w:jc w:val="left"/>
              <w:rPr>
                <w:rFonts w:ascii="宋体" w:hAnsi="宋体" w:cs="宋体" w:eastAsia="宋体" w:hint="default"/>
                <w:sz w:val="18"/>
                <w:szCs w:val="18"/>
              </w:rPr>
            </w:pPr>
            <w:r>
              <w:rPr>
                <w:rFonts w:ascii="宋体" w:hAnsi="宋体" w:cs="宋体" w:eastAsia="宋体" w:hint="default"/>
                <w:sz w:val="18"/>
                <w:szCs w:val="18"/>
              </w:rPr>
              <w:t>报告期末实际担保余额合计</w:t>
            </w:r>
          </w:p>
          <w:p>
            <w:pPr>
              <w:pStyle w:val="TableParagraph"/>
              <w:spacing w:line="240" w:lineRule="auto" w:before="76"/>
              <w:ind w:left="-1"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A4+B4+C4</w:t>
            </w:r>
            <w:r>
              <w:rPr>
                <w:rFonts w:ascii="宋体" w:hAnsi="宋体" w:cs="宋体" w:eastAsia="宋体" w:hint="default"/>
                <w:sz w:val="18"/>
                <w:szCs w:val="18"/>
              </w:rPr>
              <w:t>）</w:t>
            </w:r>
          </w:p>
        </w:tc>
        <w:tc>
          <w:tcPr>
            <w:tcW w:w="2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2"/>
              <w:jc w:val="right"/>
              <w:rPr>
                <w:rFonts w:ascii="Times New Roman" w:hAnsi="Times New Roman" w:cs="Times New Roman" w:eastAsia="Times New Roman" w:hint="default"/>
                <w:sz w:val="18"/>
                <w:szCs w:val="18"/>
              </w:rPr>
            </w:pPr>
            <w:r>
              <w:rPr>
                <w:rFonts w:ascii="Times New Roman"/>
                <w:sz w:val="18"/>
              </w:rPr>
              <w:t>62,892.26</w:t>
            </w:r>
          </w:p>
        </w:tc>
      </w:tr>
      <w:tr>
        <w:trPr>
          <w:trHeight w:val="328" w:hRule="exact"/>
        </w:trPr>
        <w:tc>
          <w:tcPr>
            <w:tcW w:w="6583"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left="-1" w:right="0"/>
              <w:jc w:val="left"/>
              <w:rPr>
                <w:rFonts w:ascii="宋体" w:hAnsi="宋体" w:cs="宋体" w:eastAsia="宋体" w:hint="default"/>
                <w:sz w:val="18"/>
                <w:szCs w:val="18"/>
              </w:rPr>
            </w:pPr>
            <w:r>
              <w:rPr>
                <w:rFonts w:ascii="宋体" w:hAnsi="宋体" w:cs="宋体" w:eastAsia="宋体" w:hint="default"/>
                <w:sz w:val="18"/>
                <w:szCs w:val="18"/>
              </w:rPr>
              <w:t>实际担保总额（即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A4+B4+C4</w:t>
            </w:r>
            <w:r>
              <w:rPr>
                <w:rFonts w:ascii="宋体" w:hAnsi="宋体" w:cs="宋体" w:eastAsia="宋体" w:hint="default"/>
                <w:sz w:val="18"/>
                <w:szCs w:val="18"/>
              </w:rPr>
              <w:t>）占公司净资产的比例</w:t>
            </w:r>
          </w:p>
        </w:tc>
        <w:tc>
          <w:tcPr>
            <w:tcW w:w="469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 w:right="0"/>
              <w:jc w:val="center"/>
              <w:rPr>
                <w:rFonts w:ascii="Times New Roman" w:hAnsi="Times New Roman" w:cs="Times New Roman" w:eastAsia="Times New Roman" w:hint="default"/>
                <w:sz w:val="18"/>
                <w:szCs w:val="18"/>
              </w:rPr>
            </w:pPr>
            <w:r>
              <w:rPr>
                <w:rFonts w:ascii="Times New Roman"/>
                <w:sz w:val="18"/>
              </w:rPr>
              <w:t>10.08%</w:t>
            </w:r>
          </w:p>
        </w:tc>
      </w:tr>
      <w:tr>
        <w:trPr>
          <w:trHeight w:val="312" w:hRule="exact"/>
        </w:trPr>
        <w:tc>
          <w:tcPr>
            <w:tcW w:w="11278" w:type="dxa"/>
            <w:gridSpan w:val="4"/>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
              <w:ind w:left="-1" w:right="0"/>
              <w:jc w:val="left"/>
              <w:rPr>
                <w:rFonts w:ascii="宋体" w:hAnsi="宋体" w:cs="宋体" w:eastAsia="宋体" w:hint="default"/>
                <w:sz w:val="18"/>
                <w:szCs w:val="18"/>
              </w:rPr>
            </w:pPr>
            <w:r>
              <w:rPr>
                <w:rFonts w:ascii="宋体" w:hAnsi="宋体" w:cs="宋体" w:eastAsia="宋体" w:hint="default"/>
                <w:sz w:val="18"/>
                <w:szCs w:val="18"/>
              </w:rPr>
              <w:t>其中：</w:t>
            </w:r>
          </w:p>
        </w:tc>
      </w:tr>
      <w:tr>
        <w:trPr>
          <w:trHeight w:val="326" w:hRule="exact"/>
        </w:trPr>
        <w:tc>
          <w:tcPr>
            <w:tcW w:w="6583"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5"/>
              <w:ind w:left="-1" w:right="0"/>
              <w:jc w:val="left"/>
              <w:rPr>
                <w:rFonts w:ascii="宋体" w:hAnsi="宋体" w:cs="宋体" w:eastAsia="宋体" w:hint="default"/>
                <w:sz w:val="18"/>
                <w:szCs w:val="18"/>
              </w:rPr>
            </w:pPr>
            <w:r>
              <w:rPr>
                <w:rFonts w:ascii="宋体" w:hAnsi="宋体" w:cs="宋体" w:eastAsia="宋体" w:hint="default"/>
                <w:sz w:val="18"/>
                <w:szCs w:val="18"/>
              </w:rPr>
              <w:t>为股东、实际控制人及其关联方提供担保的余额（</w:t>
            </w:r>
            <w:r>
              <w:rPr>
                <w:rFonts w:ascii="Times New Roman" w:hAnsi="Times New Roman" w:cs="Times New Roman" w:eastAsia="Times New Roman" w:hint="default"/>
                <w:position w:val="1"/>
                <w:sz w:val="18"/>
                <w:szCs w:val="18"/>
              </w:rPr>
              <w:t>D</w:t>
            </w:r>
            <w:r>
              <w:rPr>
                <w:rFonts w:ascii="宋体" w:hAnsi="宋体" w:cs="宋体" w:eastAsia="宋体" w:hint="default"/>
                <w:sz w:val="18"/>
                <w:szCs w:val="18"/>
              </w:rPr>
              <w:t>）</w:t>
            </w:r>
          </w:p>
        </w:tc>
        <w:tc>
          <w:tcPr>
            <w:tcW w:w="469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
              <w:jc w:val="center"/>
              <w:rPr>
                <w:rFonts w:ascii="Times New Roman" w:hAnsi="Times New Roman" w:cs="Times New Roman" w:eastAsia="Times New Roman" w:hint="default"/>
                <w:sz w:val="18"/>
                <w:szCs w:val="18"/>
              </w:rPr>
            </w:pPr>
            <w:r>
              <w:rPr>
                <w:rFonts w:ascii="Times New Roman"/>
                <w:sz w:val="18"/>
              </w:rPr>
              <w:t>0</w:t>
            </w:r>
          </w:p>
        </w:tc>
      </w:tr>
      <w:tr>
        <w:trPr>
          <w:trHeight w:val="322" w:hRule="exact"/>
        </w:trPr>
        <w:tc>
          <w:tcPr>
            <w:tcW w:w="6583"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left="-1" w:right="0"/>
              <w:jc w:val="left"/>
              <w:rPr>
                <w:rFonts w:ascii="宋体" w:hAnsi="宋体" w:cs="宋体" w:eastAsia="宋体" w:hint="default"/>
                <w:sz w:val="18"/>
                <w:szCs w:val="18"/>
              </w:rPr>
            </w:pPr>
            <w:r>
              <w:rPr>
                <w:rFonts w:ascii="宋体" w:hAnsi="宋体" w:cs="宋体" w:eastAsia="宋体" w:hint="default"/>
                <w:sz w:val="18"/>
                <w:szCs w:val="18"/>
              </w:rPr>
              <w:t>直接或间接为资产负债率超过</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70%</w:t>
            </w:r>
            <w:r>
              <w:rPr>
                <w:rFonts w:ascii="宋体" w:hAnsi="宋体" w:cs="宋体" w:eastAsia="宋体" w:hint="default"/>
                <w:sz w:val="18"/>
                <w:szCs w:val="18"/>
              </w:rPr>
              <w:t>的被担保对象提供的债务担保余额（</w:t>
            </w:r>
            <w:r>
              <w:rPr>
                <w:rFonts w:ascii="Times New Roman" w:hAnsi="Times New Roman" w:cs="Times New Roman" w:eastAsia="Times New Roman" w:hint="default"/>
                <w:position w:val="1"/>
                <w:sz w:val="18"/>
                <w:szCs w:val="18"/>
              </w:rPr>
              <w:t>E</w:t>
            </w:r>
            <w:r>
              <w:rPr>
                <w:rFonts w:ascii="宋体" w:hAnsi="宋体" w:cs="宋体" w:eastAsia="宋体" w:hint="default"/>
                <w:sz w:val="18"/>
                <w:szCs w:val="18"/>
              </w:rPr>
              <w:t>）</w:t>
            </w:r>
          </w:p>
        </w:tc>
        <w:tc>
          <w:tcPr>
            <w:tcW w:w="469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8,998.09</w:t>
            </w:r>
          </w:p>
        </w:tc>
      </w:tr>
      <w:tr>
        <w:trPr>
          <w:trHeight w:val="322" w:hRule="exact"/>
        </w:trPr>
        <w:tc>
          <w:tcPr>
            <w:tcW w:w="6583"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left="-1" w:right="0"/>
              <w:jc w:val="left"/>
              <w:rPr>
                <w:rFonts w:ascii="宋体" w:hAnsi="宋体" w:cs="宋体" w:eastAsia="宋体" w:hint="default"/>
                <w:sz w:val="18"/>
                <w:szCs w:val="18"/>
              </w:rPr>
            </w:pPr>
            <w:r>
              <w:rPr>
                <w:rFonts w:ascii="宋体" w:hAnsi="宋体" w:cs="宋体" w:eastAsia="宋体" w:hint="default"/>
                <w:sz w:val="18"/>
                <w:szCs w:val="18"/>
              </w:rPr>
              <w:t>担保总额超过净资产</w:t>
            </w:r>
            <w:r>
              <w:rPr>
                <w:rFonts w:ascii="宋体" w:hAnsi="宋体" w:cs="宋体" w:eastAsia="宋体" w:hint="default"/>
                <w:spacing w:val="-47"/>
                <w:sz w:val="18"/>
                <w:szCs w:val="18"/>
              </w:rPr>
              <w:t> </w:t>
            </w:r>
            <w:r>
              <w:rPr>
                <w:rFonts w:ascii="Times New Roman" w:hAnsi="Times New Roman" w:cs="Times New Roman" w:eastAsia="Times New Roman" w:hint="default"/>
                <w:position w:val="1"/>
                <w:sz w:val="18"/>
                <w:szCs w:val="18"/>
              </w:rPr>
              <w:t>50%</w:t>
            </w:r>
            <w:r>
              <w:rPr>
                <w:rFonts w:ascii="宋体" w:hAnsi="宋体" w:cs="宋体" w:eastAsia="宋体" w:hint="default"/>
                <w:sz w:val="18"/>
                <w:szCs w:val="18"/>
              </w:rPr>
              <w:t>部分的金额（</w:t>
            </w:r>
            <w:r>
              <w:rPr>
                <w:rFonts w:ascii="Times New Roman" w:hAnsi="Times New Roman" w:cs="Times New Roman" w:eastAsia="Times New Roman" w:hint="default"/>
                <w:position w:val="1"/>
                <w:sz w:val="18"/>
                <w:szCs w:val="18"/>
              </w:rPr>
              <w:t>F</w:t>
            </w:r>
            <w:r>
              <w:rPr>
                <w:rFonts w:ascii="宋体" w:hAnsi="宋体" w:cs="宋体" w:eastAsia="宋体" w:hint="default"/>
                <w:sz w:val="18"/>
                <w:szCs w:val="18"/>
              </w:rPr>
              <w:t>）</w:t>
            </w:r>
          </w:p>
        </w:tc>
        <w:tc>
          <w:tcPr>
            <w:tcW w:w="469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0</w:t>
            </w:r>
          </w:p>
        </w:tc>
      </w:tr>
      <w:tr>
        <w:trPr>
          <w:trHeight w:val="322" w:hRule="exact"/>
        </w:trPr>
        <w:tc>
          <w:tcPr>
            <w:tcW w:w="6583"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left="-1" w:right="0"/>
              <w:jc w:val="left"/>
              <w:rPr>
                <w:rFonts w:ascii="宋体" w:hAnsi="宋体" w:cs="宋体" w:eastAsia="宋体" w:hint="default"/>
                <w:sz w:val="18"/>
                <w:szCs w:val="18"/>
              </w:rPr>
            </w:pPr>
            <w:r>
              <w:rPr>
                <w:rFonts w:ascii="宋体" w:hAnsi="宋体" w:cs="宋体" w:eastAsia="宋体" w:hint="default"/>
                <w:sz w:val="18"/>
                <w:szCs w:val="18"/>
              </w:rPr>
              <w:t>上述三项担保金额合计（</w:t>
            </w:r>
            <w:r>
              <w:rPr>
                <w:rFonts w:ascii="Times New Roman" w:hAnsi="Times New Roman" w:cs="Times New Roman" w:eastAsia="Times New Roman" w:hint="default"/>
                <w:position w:val="1"/>
                <w:sz w:val="18"/>
                <w:szCs w:val="18"/>
              </w:rPr>
              <w:t>D+E+F</w:t>
            </w:r>
            <w:r>
              <w:rPr>
                <w:rFonts w:ascii="宋体" w:hAnsi="宋体" w:cs="宋体" w:eastAsia="宋体" w:hint="default"/>
                <w:sz w:val="18"/>
                <w:szCs w:val="18"/>
              </w:rPr>
              <w:t>）</w:t>
            </w:r>
          </w:p>
        </w:tc>
        <w:tc>
          <w:tcPr>
            <w:tcW w:w="469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8,998.09</w:t>
            </w:r>
          </w:p>
        </w:tc>
      </w:tr>
      <w:tr>
        <w:trPr>
          <w:trHeight w:val="322" w:hRule="exact"/>
        </w:trPr>
        <w:tc>
          <w:tcPr>
            <w:tcW w:w="6583"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left="-1" w:right="0"/>
              <w:jc w:val="left"/>
              <w:rPr>
                <w:rFonts w:ascii="宋体" w:hAnsi="宋体" w:cs="宋体" w:eastAsia="宋体" w:hint="default"/>
                <w:sz w:val="18"/>
                <w:szCs w:val="18"/>
              </w:rPr>
            </w:pPr>
            <w:r>
              <w:rPr>
                <w:rFonts w:ascii="宋体" w:hAnsi="宋体" w:cs="宋体" w:eastAsia="宋体" w:hint="default"/>
                <w:sz w:val="18"/>
                <w:szCs w:val="18"/>
              </w:rPr>
              <w:t>对未到期担保</w:t>
            </w:r>
            <w:r>
              <w:rPr>
                <w:rFonts w:ascii="宋体" w:hAnsi="宋体" w:cs="宋体" w:eastAsia="宋体" w:hint="default"/>
                <w:spacing w:val="-89"/>
                <w:sz w:val="18"/>
                <w:szCs w:val="18"/>
              </w:rPr>
              <w:t>，</w:t>
            </w:r>
            <w:r>
              <w:rPr>
                <w:rFonts w:ascii="宋体" w:hAnsi="宋体" w:cs="宋体" w:eastAsia="宋体" w:hint="default"/>
                <w:sz w:val="18"/>
                <w:szCs w:val="18"/>
              </w:rPr>
              <w:t>报告期内已发生担保责任或可能承担连带清偿责任的情况说</w:t>
            </w:r>
            <w:r>
              <w:rPr>
                <w:rFonts w:ascii="宋体" w:hAnsi="宋体" w:cs="宋体" w:eastAsia="宋体" w:hint="default"/>
                <w:spacing w:val="-89"/>
                <w:sz w:val="18"/>
                <w:szCs w:val="18"/>
              </w:rPr>
              <w:t>明</w:t>
            </w:r>
            <w:r>
              <w:rPr>
                <w:rFonts w:ascii="宋体" w:hAnsi="宋体" w:cs="宋体" w:eastAsia="宋体" w:hint="default"/>
                <w:sz w:val="18"/>
                <w:szCs w:val="18"/>
              </w:rPr>
              <w:t>（如有</w:t>
            </w:r>
          </w:p>
        </w:tc>
        <w:tc>
          <w:tcPr>
            <w:tcW w:w="469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59"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322" w:hRule="exact"/>
        </w:trPr>
        <w:tc>
          <w:tcPr>
            <w:tcW w:w="6583"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left="-1" w:right="0"/>
              <w:jc w:val="left"/>
              <w:rPr>
                <w:rFonts w:ascii="宋体" w:hAnsi="宋体" w:cs="宋体" w:eastAsia="宋体" w:hint="default"/>
                <w:sz w:val="18"/>
                <w:szCs w:val="18"/>
              </w:rPr>
            </w:pPr>
            <w:r>
              <w:rPr>
                <w:rFonts w:ascii="宋体" w:hAnsi="宋体" w:cs="宋体" w:eastAsia="宋体" w:hint="default"/>
                <w:sz w:val="18"/>
                <w:szCs w:val="18"/>
              </w:rPr>
              <w:t>违反规定程序对外提供担保的说明（如有）</w:t>
            </w:r>
          </w:p>
        </w:tc>
        <w:tc>
          <w:tcPr>
            <w:tcW w:w="469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359"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before="51"/>
        <w:ind w:left="1294" w:right="112" w:firstLine="0"/>
        <w:jc w:val="left"/>
        <w:rPr>
          <w:rFonts w:ascii="宋体" w:hAnsi="宋体" w:cs="宋体" w:eastAsia="宋体" w:hint="default"/>
          <w:sz w:val="18"/>
          <w:szCs w:val="18"/>
        </w:rPr>
      </w:pPr>
      <w:r>
        <w:rPr/>
        <w:pict>
          <v:shape style="position:absolute;margin-left:340.080597pt;margin-top:-32.237858pt;width:239.3pt;height:15.6pt;mso-position-horizontal-relative:page;mso-position-vertical-relative:paragraph;z-index:-1401664" type="#_x0000_t202" filled="false" stroked="false">
            <v:textbox inset="0,0,0,0">
              <w:txbxContent>
                <w:p>
                  <w:pPr>
                    <w:spacing w:before="10"/>
                    <w:ind w:left="0" w:right="0" w:firstLine="0"/>
                    <w:jc w:val="left"/>
                    <w:rPr>
                      <w:rFonts w:ascii="宋体" w:hAnsi="宋体" w:cs="宋体" w:eastAsia="宋体" w:hint="default"/>
                      <w:sz w:val="18"/>
                      <w:szCs w:val="18"/>
                    </w:rPr>
                  </w:pPr>
                  <w:r>
                    <w:rPr>
                      <w:rFonts w:ascii="宋体" w:hAnsi="宋体" w:cs="宋体" w:eastAsia="宋体" w:hint="default"/>
                      <w:sz w:val="18"/>
                      <w:szCs w:val="18"/>
                    </w:rPr>
                    <w:t>）</w:t>
                  </w:r>
                </w:p>
              </w:txbxContent>
            </v:textbox>
            <w10:wrap type="none"/>
          </v:shape>
        </w:pict>
      </w:r>
      <w:r>
        <w:rPr/>
        <w:pict>
          <v:group style="position:absolute;margin-left:345.119995pt;margin-top:-32.237858pt;width:234.25pt;height:15.6pt;mso-position-horizontal-relative:page;mso-position-vertical-relative:paragraph;z-index:-1401640" coordorigin="6902,-645" coordsize="4685,312">
            <v:shape style="position:absolute;left:6902;top:-645;width:4685;height:312" coordorigin="6902,-645" coordsize="4685,312" path="m6902,-645l11587,-645,11587,-333,6902,-333,6902,-645xe" filled="true" fillcolor="#ffffff" stroked="false">
              <v:path arrowok="t"/>
              <v:fill type="solid"/>
            </v:shape>
            <w10:wrap type="none"/>
          </v:group>
        </w:pict>
      </w:r>
      <w:r>
        <w:rPr>
          <w:rFonts w:ascii="Times New Roman" w:hAnsi="Times New Roman" w:cs="Times New Roman" w:eastAsia="Times New Roman" w:hint="default"/>
          <w:sz w:val="18"/>
          <w:szCs w:val="18"/>
        </w:rPr>
        <w:t>*</w:t>
      </w:r>
      <w:r>
        <w:rPr>
          <w:rFonts w:ascii="宋体" w:hAnsi="宋体" w:cs="宋体" w:eastAsia="宋体" w:hint="default"/>
          <w:sz w:val="18"/>
          <w:szCs w:val="18"/>
        </w:rPr>
        <w:t>担保事项已经公司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日第七届董事会第二次会议、</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 </w:t>
      </w:r>
      <w:r>
        <w:rPr>
          <w:rFonts w:ascii="宋体" w:hAnsi="宋体" w:cs="宋体" w:eastAsia="宋体" w:hint="default"/>
          <w:sz w:val="18"/>
          <w:szCs w:val="18"/>
        </w:rPr>
        <w:t>日</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年度股东大会审议通过。</w:t>
      </w:r>
    </w:p>
    <w:p>
      <w:pPr>
        <w:spacing w:before="103"/>
        <w:ind w:left="1294" w:right="301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担保协议由公司按照审批额度，在有效期限内决定与银行签订的具体方式。</w:t>
      </w:r>
    </w:p>
    <w:p>
      <w:pPr>
        <w:spacing w:line="338" w:lineRule="auto" w:before="102"/>
        <w:ind w:left="934" w:right="5260"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子公司担保情况以是否按持股比例承担担保责任进行相应折算。 </w:t>
      </w:r>
      <w:r>
        <w:rPr>
          <w:rFonts w:ascii="宋体" w:hAnsi="宋体" w:cs="宋体" w:eastAsia="宋体" w:hint="default"/>
          <w:b/>
          <w:bCs/>
          <w:sz w:val="18"/>
          <w:szCs w:val="18"/>
        </w:rPr>
        <w:t>担保情况说明</w:t>
      </w:r>
      <w:r>
        <w:rPr>
          <w:rFonts w:ascii="宋体" w:hAnsi="宋体" w:cs="宋体" w:eastAsia="宋体" w:hint="default"/>
          <w:sz w:val="18"/>
          <w:szCs w:val="18"/>
        </w:rPr>
      </w:r>
    </w:p>
    <w:p>
      <w:pPr>
        <w:spacing w:line="338" w:lineRule="auto" w:before="43"/>
        <w:ind w:left="1294" w:right="1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）对外担保 </w:t>
      </w:r>
      <w:r>
        <w:rPr>
          <w:rFonts w:ascii="宋体" w:hAnsi="宋体" w:cs="宋体" w:eastAsia="宋体" w:hint="default"/>
          <w:spacing w:val="-4"/>
          <w:sz w:val="18"/>
          <w:szCs w:val="18"/>
        </w:rPr>
        <w:t>中电软件园在每位贷款购买其房屋的购房人与贷款银行签订《固定资产借款合同》时与贷款银行签订相应的《保证合同》</w:t>
      </w:r>
    </w:p>
    <w:p>
      <w:pPr>
        <w:spacing w:line="338" w:lineRule="auto" w:before="4"/>
        <w:ind w:left="1294" w:right="3012" w:hanging="360"/>
        <w:jc w:val="left"/>
        <w:rPr>
          <w:rFonts w:ascii="宋体" w:hAnsi="宋体" w:cs="宋体" w:eastAsia="宋体" w:hint="default"/>
          <w:sz w:val="18"/>
          <w:szCs w:val="18"/>
        </w:rPr>
      </w:pPr>
      <w:r>
        <w:rPr>
          <w:rFonts w:ascii="宋体" w:hAnsi="宋体" w:cs="宋体" w:eastAsia="宋体" w:hint="default"/>
          <w:sz w:val="18"/>
          <w:szCs w:val="18"/>
        </w:rPr>
        <w:t>为购房人（借款人）向贷款银行申请的按揭贷款提供阶段性担保，担保总额不超过人民币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 </w:t>
      </w:r>
      <w:r>
        <w:rPr>
          <w:rFonts w:ascii="Times New Roman" w:hAnsi="Times New Roman" w:cs="Times New Roman" w:eastAsia="Times New Roman" w:hint="default"/>
          <w:sz w:val="18"/>
          <w:szCs w:val="18"/>
        </w:rPr>
        <w:t>2</w:t>
      </w:r>
      <w:r>
        <w:rPr>
          <w:rFonts w:ascii="宋体" w:hAnsi="宋体" w:cs="宋体" w:eastAsia="宋体" w:hint="default"/>
          <w:sz w:val="18"/>
          <w:szCs w:val="18"/>
        </w:rPr>
        <w:t>）为下属子公司提供担保及下属子公司之间的担保 </w:t>
      </w:r>
      <w:r>
        <w:rPr>
          <w:rFonts w:ascii="Times New Roman" w:hAnsi="Times New Roman" w:cs="Times New Roman" w:eastAsia="Times New Roman" w:hint="default"/>
          <w:sz w:val="18"/>
          <w:szCs w:val="18"/>
        </w:rPr>
        <w:t>A</w:t>
      </w:r>
      <w:r>
        <w:rPr>
          <w:rFonts w:ascii="宋体" w:hAnsi="宋体" w:cs="宋体" w:eastAsia="宋体" w:hint="default"/>
          <w:sz w:val="18"/>
          <w:szCs w:val="18"/>
        </w:rPr>
        <w:t>．因使用《全面金融合作协议》项下授信及贷款额度所涉及的担保</w:t>
      </w:r>
    </w:p>
    <w:p>
      <w:pPr>
        <w:spacing w:line="300" w:lineRule="auto" w:before="19"/>
        <w:ind w:left="933" w:right="1128" w:firstLine="360"/>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a</w:t>
      </w:r>
      <w:r>
        <w:rPr>
          <w:rFonts w:ascii="宋体" w:hAnsi="宋体" w:cs="宋体" w:eastAsia="宋体" w:hint="default"/>
          <w:sz w:val="18"/>
          <w:szCs w:val="18"/>
        </w:rPr>
        <w:t>）根据下属公司日常资金使用需求，中国长城为长城金融、长城医疗、湘计海盾、中电软件园、湖南长城使用《全 面金融合作协议》项下的综合授信额度分别提供不超过人民币 </w:t>
      </w:r>
      <w:r>
        <w:rPr>
          <w:rFonts w:ascii="Times New Roman" w:hAnsi="Times New Roman" w:cs="Times New Roman" w:eastAsia="Times New Roman" w:hint="default"/>
          <w:sz w:val="18"/>
          <w:szCs w:val="18"/>
        </w:rPr>
        <w:t>20,000 </w:t>
      </w:r>
      <w:r>
        <w:rPr>
          <w:rFonts w:ascii="宋体" w:hAnsi="宋体" w:cs="宋体" w:eastAsia="宋体" w:hint="default"/>
          <w:sz w:val="18"/>
          <w:szCs w:val="18"/>
        </w:rPr>
        <w:t>万元、</w:t>
      </w:r>
      <w:r>
        <w:rPr>
          <w:rFonts w:ascii="Times New Roman" w:hAnsi="Times New Roman" w:cs="Times New Roman" w:eastAsia="Times New Roman" w:hint="default"/>
          <w:sz w:val="18"/>
          <w:szCs w:val="18"/>
        </w:rPr>
        <w:t>5,000 </w:t>
      </w:r>
      <w:r>
        <w:rPr>
          <w:rFonts w:ascii="宋体" w:hAnsi="宋体" w:cs="宋体" w:eastAsia="宋体" w:hint="default"/>
          <w:sz w:val="18"/>
          <w:szCs w:val="18"/>
        </w:rPr>
        <w:t>万元、</w:t>
      </w:r>
      <w:r>
        <w:rPr>
          <w:rFonts w:ascii="Times New Roman" w:hAnsi="Times New Roman" w:cs="Times New Roman" w:eastAsia="Times New Roman" w:hint="default"/>
          <w:sz w:val="18"/>
          <w:szCs w:val="18"/>
        </w:rPr>
        <w:t>10,000 </w:t>
      </w:r>
      <w:r>
        <w:rPr>
          <w:rFonts w:ascii="宋体" w:hAnsi="宋体" w:cs="宋体" w:eastAsia="宋体" w:hint="default"/>
          <w:sz w:val="18"/>
          <w:szCs w:val="18"/>
        </w:rPr>
        <w:t>万元、</w:t>
      </w:r>
      <w:r>
        <w:rPr>
          <w:rFonts w:ascii="Times New Roman" w:hAnsi="Times New Roman" w:cs="Times New Roman" w:eastAsia="Times New Roman" w:hint="default"/>
          <w:sz w:val="18"/>
          <w:szCs w:val="18"/>
        </w:rPr>
        <w:t>7,000</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万元、</w:t>
      </w:r>
      <w:r>
        <w:rPr>
          <w:rFonts w:ascii="Times New Roman" w:hAnsi="Times New Roman" w:cs="Times New Roman" w:eastAsia="Times New Roman" w:hint="default"/>
          <w:sz w:val="18"/>
          <w:szCs w:val="18"/>
        </w:rPr>
        <w:t>10,000 </w:t>
      </w:r>
      <w:r>
        <w:rPr>
          <w:rFonts w:ascii="宋体" w:hAnsi="宋体" w:cs="宋体" w:eastAsia="宋体" w:hint="default"/>
          <w:spacing w:val="-4"/>
          <w:sz w:val="18"/>
          <w:szCs w:val="18"/>
        </w:rPr>
        <w:t>万元的信用担保；（</w:t>
      </w:r>
      <w:r>
        <w:rPr>
          <w:rFonts w:ascii="Times New Roman" w:hAnsi="Times New Roman" w:cs="Times New Roman" w:eastAsia="Times New Roman" w:hint="default"/>
          <w:spacing w:val="-4"/>
          <w:sz w:val="18"/>
          <w:szCs w:val="18"/>
        </w:rPr>
        <w:t>b</w:t>
      </w:r>
      <w:r>
        <w:rPr>
          <w:rFonts w:ascii="宋体" w:hAnsi="宋体" w:cs="宋体" w:eastAsia="宋体" w:hint="default"/>
          <w:spacing w:val="-4"/>
          <w:sz w:val="18"/>
          <w:szCs w:val="18"/>
        </w:rPr>
        <w:t>）根据中原电子下属公司日常资金使用需求，中原电子为中元股份、长光电源、中原电子信息、长江科</w:t>
      </w:r>
      <w:r>
        <w:rPr>
          <w:rFonts w:ascii="宋体" w:hAnsi="宋体" w:cs="宋体" w:eastAsia="宋体" w:hint="default"/>
          <w:spacing w:val="-46"/>
          <w:sz w:val="18"/>
          <w:szCs w:val="18"/>
        </w:rPr>
        <w:t> </w:t>
      </w:r>
      <w:r>
        <w:rPr>
          <w:rFonts w:ascii="宋体" w:hAnsi="宋体" w:cs="宋体" w:eastAsia="宋体" w:hint="default"/>
          <w:spacing w:val="-46"/>
          <w:sz w:val="18"/>
          <w:szCs w:val="18"/>
        </w:rPr>
      </w:r>
      <w:r>
        <w:rPr>
          <w:rFonts w:ascii="宋体" w:hAnsi="宋体" w:cs="宋体" w:eastAsia="宋体" w:hint="default"/>
          <w:sz w:val="18"/>
          <w:szCs w:val="18"/>
        </w:rPr>
        <w:t>技使用《全面金融合作协议》项下的综合授信额度分别提供不超过人民币</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25,500</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万元、</w:t>
      </w:r>
      <w:r>
        <w:rPr>
          <w:rFonts w:ascii="Times New Roman" w:hAnsi="Times New Roman" w:cs="Times New Roman" w:eastAsia="Times New Roman" w:hint="default"/>
          <w:sz w:val="18"/>
          <w:szCs w:val="18"/>
        </w:rPr>
        <w:t>8,000</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万元、</w:t>
      </w:r>
      <w:r>
        <w:rPr>
          <w:rFonts w:ascii="Times New Roman" w:hAnsi="Times New Roman" w:cs="Times New Roman" w:eastAsia="Times New Roman" w:hint="default"/>
          <w:sz w:val="18"/>
          <w:szCs w:val="18"/>
        </w:rPr>
        <w:t>8,000</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万元、</w:t>
      </w:r>
      <w:r>
        <w:rPr>
          <w:rFonts w:ascii="Times New Roman" w:hAnsi="Times New Roman" w:cs="Times New Roman" w:eastAsia="Times New Roman" w:hint="default"/>
          <w:sz w:val="18"/>
          <w:szCs w:val="18"/>
        </w:rPr>
        <w:t>6,000</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万元 的信用担保。</w:t>
      </w:r>
    </w:p>
    <w:p>
      <w:pPr>
        <w:spacing w:before="71"/>
        <w:ind w:left="1293" w:right="301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B</w:t>
      </w:r>
      <w:r>
        <w:rPr>
          <w:rFonts w:ascii="宋体" w:hAnsi="宋体" w:cs="宋体" w:eastAsia="宋体" w:hint="default"/>
          <w:sz w:val="18"/>
          <w:szCs w:val="18"/>
        </w:rPr>
        <w:t>．因向银行申请授信额度涉及的担保</w:t>
      </w:r>
    </w:p>
    <w:p>
      <w:pPr>
        <w:spacing w:line="300" w:lineRule="auto" w:before="102"/>
        <w:ind w:left="933" w:right="1129" w:firstLine="360"/>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a</w:t>
      </w:r>
      <w:r>
        <w:rPr>
          <w:rFonts w:ascii="宋体" w:hAnsi="宋体" w:cs="宋体" w:eastAsia="宋体" w:hint="default"/>
          <w:sz w:val="18"/>
          <w:szCs w:val="18"/>
        </w:rPr>
        <w:t>）基于柏怡香港正常经营业务的流动资金需求，柏怡香港通过债券质押和信用担保的复合担保方式向香港汇丰银行 申请综合授信额度 </w:t>
      </w:r>
      <w:r>
        <w:rPr>
          <w:rFonts w:ascii="Times New Roman" w:hAnsi="Times New Roman" w:cs="Times New Roman" w:eastAsia="Times New Roman" w:hint="default"/>
          <w:sz w:val="18"/>
          <w:szCs w:val="18"/>
        </w:rPr>
        <w:t>9,200 </w:t>
      </w:r>
      <w:r>
        <w:rPr>
          <w:rFonts w:ascii="宋体" w:hAnsi="宋体" w:cs="宋体" w:eastAsia="宋体" w:hint="default"/>
          <w:spacing w:val="-1"/>
          <w:sz w:val="18"/>
          <w:szCs w:val="18"/>
        </w:rPr>
        <w:t>万港币（含</w:t>
      </w:r>
      <w:r>
        <w:rPr>
          <w:rFonts w:ascii="宋体" w:hAnsi="宋体" w:cs="宋体" w:eastAsia="宋体" w:hint="default"/>
          <w:sz w:val="18"/>
          <w:szCs w:val="18"/>
        </w:rPr>
        <w:t> </w:t>
      </w:r>
      <w:r>
        <w:rPr>
          <w:rFonts w:ascii="Times New Roman" w:hAnsi="Times New Roman" w:cs="Times New Roman" w:eastAsia="Times New Roman" w:hint="default"/>
          <w:sz w:val="18"/>
          <w:szCs w:val="18"/>
        </w:rPr>
        <w:t>800</w:t>
      </w:r>
      <w:r>
        <w:rPr>
          <w:rFonts w:ascii="Times New Roman" w:hAnsi="Times New Roman" w:cs="Times New Roman" w:eastAsia="Times New Roman" w:hint="default"/>
          <w:spacing w:val="-20"/>
          <w:sz w:val="18"/>
          <w:szCs w:val="18"/>
        </w:rPr>
        <w:t> </w:t>
      </w:r>
      <w:r>
        <w:rPr>
          <w:rFonts w:ascii="宋体" w:hAnsi="宋体" w:cs="宋体" w:eastAsia="宋体" w:hint="default"/>
          <w:spacing w:val="-3"/>
          <w:sz w:val="18"/>
          <w:szCs w:val="18"/>
        </w:rPr>
        <w:t>万美元应收账款保理额度），具体内容详见“采用复合方式担保的具体情况说明”</w:t>
      </w:r>
      <w:r>
        <w:rPr>
          <w:rFonts w:ascii="宋体" w:hAnsi="宋体" w:cs="宋体" w:eastAsia="宋体" w:hint="default"/>
          <w:sz w:val="18"/>
          <w:szCs w:val="18"/>
        </w:rPr>
        <w:t> </w:t>
      </w:r>
      <w:r>
        <w:rPr>
          <w:rFonts w:ascii="宋体" w:hAnsi="宋体" w:cs="宋体" w:eastAsia="宋体" w:hint="default"/>
          <w:spacing w:val="-4"/>
          <w:sz w:val="18"/>
          <w:szCs w:val="18"/>
        </w:rPr>
        <w:t>中的相关介绍；（</w:t>
      </w:r>
      <w:r>
        <w:rPr>
          <w:rFonts w:ascii="Times New Roman" w:hAnsi="Times New Roman" w:cs="Times New Roman" w:eastAsia="Times New Roman" w:hint="default"/>
          <w:spacing w:val="-4"/>
          <w:sz w:val="18"/>
          <w:szCs w:val="18"/>
        </w:rPr>
        <w:t>b</w:t>
      </w:r>
      <w:r>
        <w:rPr>
          <w:rFonts w:ascii="宋体" w:hAnsi="宋体" w:cs="宋体" w:eastAsia="宋体" w:hint="default"/>
          <w:spacing w:val="-4"/>
          <w:sz w:val="18"/>
          <w:szCs w:val="18"/>
        </w:rPr>
        <w:t>）根据长城金融日常资金使用需求，长城金融通过母公司信用担保的方式向建设银行长沙芙蓉支行、招商</w:t>
      </w:r>
      <w:r>
        <w:rPr>
          <w:rFonts w:ascii="宋体" w:hAnsi="宋体" w:cs="宋体" w:eastAsia="宋体" w:hint="default"/>
          <w:spacing w:val="-44"/>
          <w:sz w:val="18"/>
          <w:szCs w:val="18"/>
        </w:rPr>
        <w:t> </w:t>
      </w:r>
      <w:r>
        <w:rPr>
          <w:rFonts w:ascii="宋体" w:hAnsi="宋体" w:cs="宋体" w:eastAsia="宋体" w:hint="default"/>
          <w:spacing w:val="-44"/>
          <w:sz w:val="18"/>
          <w:szCs w:val="18"/>
        </w:rPr>
      </w:r>
      <w:r>
        <w:rPr>
          <w:rFonts w:ascii="宋体" w:hAnsi="宋体" w:cs="宋体" w:eastAsia="宋体" w:hint="default"/>
          <w:sz w:val="18"/>
          <w:szCs w:val="18"/>
        </w:rPr>
        <w:t>银行长沙分行、中信银行长沙分行、中国银行长沙蔡锷支行分别申请人民币 </w:t>
      </w:r>
      <w:r>
        <w:rPr>
          <w:rFonts w:ascii="Times New Roman" w:hAnsi="Times New Roman" w:cs="Times New Roman" w:eastAsia="Times New Roman" w:hint="default"/>
          <w:sz w:val="18"/>
          <w:szCs w:val="18"/>
        </w:rPr>
        <w:t>56,000 </w:t>
      </w:r>
      <w:r>
        <w:rPr>
          <w:rFonts w:ascii="宋体" w:hAnsi="宋体" w:cs="宋体" w:eastAsia="宋体" w:hint="default"/>
          <w:sz w:val="18"/>
          <w:szCs w:val="18"/>
        </w:rPr>
        <w:t>万元、</w:t>
      </w:r>
      <w:r>
        <w:rPr>
          <w:rFonts w:ascii="Times New Roman" w:hAnsi="Times New Roman" w:cs="Times New Roman" w:eastAsia="Times New Roman" w:hint="default"/>
          <w:sz w:val="18"/>
          <w:szCs w:val="18"/>
        </w:rPr>
        <w:t>8,000 </w:t>
      </w:r>
      <w:r>
        <w:rPr>
          <w:rFonts w:ascii="宋体" w:hAnsi="宋体" w:cs="宋体" w:eastAsia="宋体" w:hint="default"/>
          <w:sz w:val="18"/>
          <w:szCs w:val="18"/>
        </w:rPr>
        <w:t>万元、</w:t>
      </w:r>
      <w:r>
        <w:rPr>
          <w:rFonts w:ascii="Times New Roman" w:hAnsi="Times New Roman" w:cs="Times New Roman" w:eastAsia="Times New Roman" w:hint="default"/>
          <w:sz w:val="18"/>
          <w:szCs w:val="18"/>
        </w:rPr>
        <w:t>5,000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w:t>
      </w:r>
      <w:r>
        <w:rPr>
          <w:rFonts w:ascii="Times New Roman" w:hAnsi="Times New Roman" w:cs="Times New Roman" w:eastAsia="Times New Roman" w:hint="default"/>
          <w:sz w:val="18"/>
          <w:szCs w:val="18"/>
        </w:rPr>
        <w:t>50,000 </w:t>
      </w:r>
      <w:r>
        <w:rPr>
          <w:rFonts w:ascii="宋体" w:hAnsi="宋体" w:cs="宋体" w:eastAsia="宋体" w:hint="default"/>
          <w:spacing w:val="-4"/>
          <w:sz w:val="18"/>
          <w:szCs w:val="18"/>
        </w:rPr>
        <w:t>万元的综合授信额度；（</w:t>
      </w:r>
      <w:r>
        <w:rPr>
          <w:rFonts w:ascii="Times New Roman" w:hAnsi="Times New Roman" w:cs="Times New Roman" w:eastAsia="Times New Roman" w:hint="default"/>
          <w:spacing w:val="-4"/>
          <w:sz w:val="18"/>
          <w:szCs w:val="18"/>
        </w:rPr>
        <w:t>c</w:t>
      </w:r>
      <w:r>
        <w:rPr>
          <w:rFonts w:ascii="宋体" w:hAnsi="宋体" w:cs="宋体" w:eastAsia="宋体" w:hint="default"/>
          <w:spacing w:val="-4"/>
          <w:sz w:val="18"/>
          <w:szCs w:val="18"/>
        </w:rPr>
        <w:t>）根据中电软件园日常资金使用及项目开展需求，中电软件园以其全部股东（公司持股</w:t>
      </w:r>
      <w:r>
        <w:rPr>
          <w:rFonts w:ascii="宋体" w:hAnsi="宋体" w:cs="宋体" w:eastAsia="宋体" w:hint="default"/>
          <w:spacing w:val="-16"/>
          <w:sz w:val="18"/>
          <w:szCs w:val="18"/>
        </w:rPr>
        <w:t> </w:t>
      </w:r>
      <w:r>
        <w:rPr>
          <w:rFonts w:ascii="Times New Roman" w:hAnsi="Times New Roman" w:cs="Times New Roman" w:eastAsia="Times New Roman" w:hint="default"/>
          <w:spacing w:val="-3"/>
          <w:sz w:val="18"/>
          <w:szCs w:val="18"/>
        </w:rPr>
        <w:t>70%</w:t>
      </w:r>
      <w:r>
        <w:rPr>
          <w:rFonts w:ascii="宋体" w:hAnsi="宋体" w:cs="宋体" w:eastAsia="宋体" w:hint="default"/>
          <w:spacing w:val="-3"/>
          <w:sz w:val="18"/>
          <w:szCs w:val="18"/>
        </w:rPr>
        <w:t>、长沙</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软件园持股</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30%</w:t>
      </w:r>
      <w:r>
        <w:rPr>
          <w:rFonts w:ascii="宋体" w:hAnsi="宋体" w:cs="宋体" w:eastAsia="宋体" w:hint="default"/>
          <w:sz w:val="18"/>
          <w:szCs w:val="18"/>
        </w:rPr>
        <w:t>）提供信用担保的方式向建设银行长沙芙蓉支行、长沙银行科技支行分别申请人民币</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22,500</w:t>
      </w:r>
      <w:r>
        <w:rPr>
          <w:rFonts w:ascii="Times New Roman" w:hAnsi="Times New Roman" w:cs="Times New Roman" w:eastAsia="Times New Roman" w:hint="default"/>
          <w:spacing w:val="-8"/>
          <w:sz w:val="18"/>
          <w:szCs w:val="18"/>
        </w:rPr>
        <w:t> </w:t>
      </w:r>
      <w:r>
        <w:rPr>
          <w:rFonts w:ascii="宋体" w:hAnsi="宋体" w:cs="宋体" w:eastAsia="宋体" w:hint="default"/>
          <w:spacing w:val="-3"/>
          <w:sz w:val="18"/>
          <w:szCs w:val="18"/>
        </w:rPr>
        <w:t>万元、</w:t>
      </w:r>
      <w:r>
        <w:rPr>
          <w:rFonts w:ascii="Times New Roman" w:hAnsi="Times New Roman" w:cs="Times New Roman" w:eastAsia="Times New Roman" w:hint="default"/>
          <w:spacing w:val="-3"/>
          <w:sz w:val="18"/>
          <w:szCs w:val="18"/>
        </w:rPr>
        <w:t>5,000</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万 </w:t>
      </w:r>
      <w:r>
        <w:rPr>
          <w:rFonts w:ascii="宋体" w:hAnsi="宋体" w:cs="宋体" w:eastAsia="宋体" w:hint="default"/>
          <w:spacing w:val="-4"/>
          <w:sz w:val="18"/>
          <w:szCs w:val="18"/>
        </w:rPr>
        <w:t>元的综合授信额度；（</w:t>
      </w:r>
      <w:r>
        <w:rPr>
          <w:rFonts w:ascii="Times New Roman" w:hAnsi="Times New Roman" w:cs="Times New Roman" w:eastAsia="Times New Roman" w:hint="default"/>
          <w:spacing w:val="-4"/>
          <w:sz w:val="18"/>
          <w:szCs w:val="18"/>
        </w:rPr>
        <w:t>d</w:t>
      </w:r>
      <w:r>
        <w:rPr>
          <w:rFonts w:ascii="宋体" w:hAnsi="宋体" w:cs="宋体" w:eastAsia="宋体" w:hint="default"/>
          <w:spacing w:val="-4"/>
          <w:sz w:val="18"/>
          <w:szCs w:val="18"/>
        </w:rPr>
        <w:t>）根据海盾光纤日常资金使用需求，湘计海盾为其在招商银行长沙大河西先导区支行申请的银行综合</w:t>
      </w:r>
      <w:r>
        <w:rPr>
          <w:rFonts w:ascii="宋体" w:hAnsi="宋体" w:cs="宋体" w:eastAsia="宋体" w:hint="default"/>
          <w:spacing w:val="-44"/>
          <w:sz w:val="18"/>
          <w:szCs w:val="18"/>
        </w:rPr>
        <w:t> </w:t>
      </w:r>
      <w:r>
        <w:rPr>
          <w:rFonts w:ascii="宋体" w:hAnsi="宋体" w:cs="宋体" w:eastAsia="宋体" w:hint="default"/>
          <w:spacing w:val="-44"/>
          <w:sz w:val="18"/>
          <w:szCs w:val="18"/>
        </w:rPr>
      </w:r>
      <w:r>
        <w:rPr>
          <w:rFonts w:ascii="宋体" w:hAnsi="宋体" w:cs="宋体" w:eastAsia="宋体" w:hint="default"/>
          <w:sz w:val="18"/>
          <w:szCs w:val="18"/>
        </w:rPr>
        <w:t>授信额度人民币</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5,000</w:t>
      </w:r>
      <w:r>
        <w:rPr>
          <w:rFonts w:ascii="Times New Roman" w:hAnsi="Times New Roman" w:cs="Times New Roman" w:eastAsia="Times New Roman" w:hint="default"/>
          <w:spacing w:val="6"/>
          <w:sz w:val="18"/>
          <w:szCs w:val="18"/>
        </w:rPr>
        <w:t> </w:t>
      </w:r>
      <w:r>
        <w:rPr>
          <w:rFonts w:ascii="宋体" w:hAnsi="宋体" w:cs="宋体" w:eastAsia="宋体" w:hint="default"/>
          <w:spacing w:val="-3"/>
          <w:sz w:val="18"/>
          <w:szCs w:val="18"/>
        </w:rPr>
        <w:t>万元提供信用担保；（</w:t>
      </w:r>
      <w:r>
        <w:rPr>
          <w:rFonts w:ascii="Times New Roman" w:hAnsi="Times New Roman" w:cs="Times New Roman" w:eastAsia="Times New Roman" w:hint="default"/>
          <w:spacing w:val="-3"/>
          <w:sz w:val="18"/>
          <w:szCs w:val="18"/>
        </w:rPr>
        <w:t>e</w:t>
      </w:r>
      <w:r>
        <w:rPr>
          <w:rFonts w:ascii="宋体" w:hAnsi="宋体" w:cs="宋体" w:eastAsia="宋体" w:hint="default"/>
          <w:spacing w:val="-3"/>
          <w:sz w:val="18"/>
          <w:szCs w:val="18"/>
        </w:rPr>
        <w:t>）根据日常资金使用需求，中原电子为中元股份共用其在邮储银行武汉分行申</w:t>
      </w:r>
    </w:p>
    <w:p>
      <w:pPr>
        <w:spacing w:before="13"/>
        <w:ind w:left="933" w:right="112" w:firstLine="0"/>
        <w:jc w:val="left"/>
        <w:rPr>
          <w:rFonts w:ascii="宋体" w:hAnsi="宋体" w:cs="宋体" w:eastAsia="宋体" w:hint="default"/>
          <w:sz w:val="18"/>
          <w:szCs w:val="18"/>
        </w:rPr>
      </w:pPr>
      <w:r>
        <w:rPr>
          <w:rFonts w:ascii="宋体" w:hAnsi="宋体" w:cs="宋体" w:eastAsia="宋体" w:hint="default"/>
          <w:sz w:val="18"/>
          <w:szCs w:val="18"/>
        </w:rPr>
        <w:t>请的银行综合授信额度人民币</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50,000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万元中的</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40,000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万元提供信用担保；为中元股份、长光电源共用其在招商银行武汉分</w:t>
      </w:r>
    </w:p>
    <w:p>
      <w:pPr>
        <w:spacing w:before="63"/>
        <w:ind w:left="933" w:right="112" w:firstLine="0"/>
        <w:jc w:val="left"/>
        <w:rPr>
          <w:rFonts w:ascii="宋体" w:hAnsi="宋体" w:cs="宋体" w:eastAsia="宋体" w:hint="default"/>
          <w:sz w:val="18"/>
          <w:szCs w:val="18"/>
        </w:rPr>
      </w:pPr>
      <w:r>
        <w:rPr>
          <w:rFonts w:ascii="宋体" w:hAnsi="宋体" w:cs="宋体" w:eastAsia="宋体" w:hint="default"/>
          <w:sz w:val="18"/>
          <w:szCs w:val="18"/>
        </w:rPr>
        <w:t>行申请的银行综合授信额度人民币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万元中的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r>
        <w:rPr>
          <w:rFonts w:ascii="宋体" w:hAnsi="宋体" w:cs="宋体" w:eastAsia="宋体" w:hint="default"/>
          <w:spacing w:val="-14"/>
          <w:sz w:val="18"/>
          <w:szCs w:val="18"/>
        </w:rPr>
        <w:t>、</w:t>
      </w:r>
      <w:r>
        <w:rPr>
          <w:rFonts w:ascii="Times New Roman" w:hAnsi="Times New Roman" w:cs="Times New Roman" w:eastAsia="Times New Roman" w:hint="default"/>
          <w:sz w:val="18"/>
          <w:szCs w:val="18"/>
        </w:rPr>
        <w:t>5,000 </w:t>
      </w:r>
      <w:r>
        <w:rPr>
          <w:rFonts w:ascii="宋体" w:hAnsi="宋体" w:cs="宋体" w:eastAsia="宋体" w:hint="default"/>
          <w:sz w:val="18"/>
          <w:szCs w:val="18"/>
        </w:rPr>
        <w:t>万元提供信用担保</w:t>
      </w:r>
      <w:r>
        <w:rPr>
          <w:rFonts w:ascii="宋体" w:hAnsi="宋体" w:cs="宋体" w:eastAsia="宋体" w:hint="default"/>
          <w:spacing w:val="-104"/>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f</w:t>
      </w:r>
      <w:r>
        <w:rPr>
          <w:rFonts w:ascii="宋体" w:hAnsi="宋体" w:cs="宋体" w:eastAsia="宋体" w:hint="default"/>
          <w:spacing w:val="-14"/>
          <w:sz w:val="18"/>
          <w:szCs w:val="18"/>
        </w:rPr>
        <w:t>）</w:t>
      </w:r>
      <w:r>
        <w:rPr>
          <w:rFonts w:ascii="宋体" w:hAnsi="宋体" w:cs="宋体" w:eastAsia="宋体" w:hint="default"/>
          <w:sz w:val="18"/>
          <w:szCs w:val="18"/>
        </w:rPr>
        <w:t>根据日常资金使用需求</w:t>
      </w:r>
      <w:r>
        <w:rPr>
          <w:rFonts w:ascii="宋体" w:hAnsi="宋体" w:cs="宋体" w:eastAsia="宋体" w:hint="default"/>
          <w:spacing w:val="-14"/>
          <w:sz w:val="18"/>
          <w:szCs w:val="18"/>
        </w:rPr>
        <w:t>，</w:t>
      </w:r>
      <w:r>
        <w:rPr>
          <w:rFonts w:ascii="宋体" w:hAnsi="宋体" w:cs="宋体" w:eastAsia="宋体" w:hint="default"/>
          <w:sz w:val="18"/>
          <w:szCs w:val="18"/>
        </w:rPr>
        <w:t>中</w:t>
      </w:r>
    </w:p>
    <w:p>
      <w:pPr>
        <w:spacing w:line="338" w:lineRule="auto" w:before="64"/>
        <w:ind w:left="933" w:right="2158" w:firstLine="0"/>
        <w:jc w:val="left"/>
        <w:rPr>
          <w:rFonts w:ascii="宋体" w:hAnsi="宋体" w:cs="宋体" w:eastAsia="宋体" w:hint="default"/>
          <w:sz w:val="18"/>
          <w:szCs w:val="18"/>
        </w:rPr>
      </w:pPr>
      <w:r>
        <w:rPr>
          <w:rFonts w:ascii="宋体" w:hAnsi="宋体" w:cs="宋体" w:eastAsia="宋体" w:hint="default"/>
          <w:sz w:val="18"/>
          <w:szCs w:val="18"/>
        </w:rPr>
        <w:t>元股份为中原电子信息共用其在民生银行武汉分行申请的银行综合授信额度人民币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万元提供信用担保。 </w:t>
      </w:r>
      <w:r>
        <w:rPr>
          <w:rFonts w:ascii="宋体" w:hAnsi="宋体" w:cs="宋体" w:eastAsia="宋体" w:hint="default"/>
          <w:b/>
          <w:bCs/>
          <w:sz w:val="18"/>
          <w:szCs w:val="18"/>
        </w:rPr>
        <w:t>采用复合方式担保的具体情况说明</w:t>
      </w:r>
      <w:r>
        <w:rPr>
          <w:rFonts w:ascii="宋体" w:hAnsi="宋体" w:cs="宋体" w:eastAsia="宋体" w:hint="default"/>
          <w:sz w:val="18"/>
          <w:szCs w:val="18"/>
        </w:rPr>
      </w:r>
    </w:p>
    <w:p>
      <w:pPr>
        <w:spacing w:line="319" w:lineRule="auto" w:before="41"/>
        <w:ind w:left="933" w:right="1131" w:firstLine="360"/>
        <w:jc w:val="both"/>
        <w:rPr>
          <w:rFonts w:ascii="宋体" w:hAnsi="宋体" w:cs="宋体" w:eastAsia="宋体" w:hint="default"/>
          <w:sz w:val="18"/>
          <w:szCs w:val="18"/>
        </w:rPr>
      </w:pPr>
      <w:r>
        <w:rPr>
          <w:rFonts w:ascii="宋体" w:hAnsi="宋体" w:cs="宋体" w:eastAsia="宋体" w:hint="default"/>
          <w:sz w:val="18"/>
          <w:szCs w:val="18"/>
        </w:rPr>
        <w:t>基于柏怡香港正常经营业务的流动资金需求</w:t>
      </w:r>
      <w:r>
        <w:rPr>
          <w:rFonts w:ascii="宋体" w:hAnsi="宋体" w:cs="宋体" w:eastAsia="宋体" w:hint="default"/>
          <w:spacing w:val="-82"/>
          <w:sz w:val="18"/>
          <w:szCs w:val="18"/>
        </w:rPr>
        <w:t>，</w:t>
      </w:r>
      <w:r>
        <w:rPr>
          <w:rFonts w:ascii="宋体" w:hAnsi="宋体" w:cs="宋体" w:eastAsia="宋体" w:hint="default"/>
          <w:sz w:val="18"/>
          <w:szCs w:val="18"/>
        </w:rPr>
        <w:t>柏怡香港通过债券资产质押和信用担保的方式向香港汇丰银行申请授信额</w:t>
      </w:r>
      <w:r>
        <w:rPr>
          <w:rFonts w:ascii="宋体" w:hAnsi="宋体" w:cs="宋体" w:eastAsia="宋体" w:hint="default"/>
          <w:sz w:val="18"/>
          <w:szCs w:val="18"/>
        </w:rPr>
        <w:t> 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9,200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万港币（含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w:t>
      </w:r>
      <w:r>
        <w:rPr>
          <w:rFonts w:ascii="宋体" w:hAnsi="宋体" w:cs="宋体" w:eastAsia="宋体" w:hint="default"/>
          <w:spacing w:val="1"/>
          <w:sz w:val="18"/>
          <w:szCs w:val="18"/>
        </w:rPr>
        <w:t>美</w:t>
      </w:r>
      <w:r>
        <w:rPr>
          <w:rFonts w:ascii="宋体" w:hAnsi="宋体" w:cs="宋体" w:eastAsia="宋体" w:hint="default"/>
          <w:sz w:val="18"/>
          <w:szCs w:val="18"/>
        </w:rPr>
        <w:t>元应收账款保理额度</w:t>
      </w:r>
      <w:r>
        <w:rPr>
          <w:rFonts w:ascii="宋体" w:hAnsi="宋体" w:cs="宋体" w:eastAsia="宋体" w:hint="default"/>
          <w:spacing w:val="-90"/>
          <w:sz w:val="18"/>
          <w:szCs w:val="18"/>
        </w:rPr>
        <w:t>）</w:t>
      </w:r>
      <w:r>
        <w:rPr>
          <w:rFonts w:ascii="宋体" w:hAnsi="宋体" w:cs="宋体" w:eastAsia="宋体" w:hint="default"/>
          <w:sz w:val="18"/>
          <w:szCs w:val="18"/>
        </w:rPr>
        <w:t>，授信有效期自协议签署日起为期一年。</w:t>
      </w:r>
    </w:p>
    <w:p>
      <w:pPr>
        <w:spacing w:after="0" w:line="319" w:lineRule="auto"/>
        <w:jc w:val="both"/>
        <w:rPr>
          <w:rFonts w:ascii="宋体" w:hAnsi="宋体" w:cs="宋体" w:eastAsia="宋体" w:hint="default"/>
          <w:sz w:val="18"/>
          <w:szCs w:val="18"/>
        </w:rPr>
        <w:sectPr>
          <w:pgSz w:w="11910" w:h="16840"/>
          <w:pgMar w:header="787" w:footer="982" w:top="1100" w:bottom="1180" w:left="200" w:right="0"/>
        </w:sectPr>
      </w:pPr>
    </w:p>
    <w:p>
      <w:pPr>
        <w:spacing w:line="240" w:lineRule="auto" w:before="10"/>
        <w:rPr>
          <w:rFonts w:ascii="宋体" w:hAnsi="宋体" w:cs="宋体" w:eastAsia="宋体" w:hint="default"/>
          <w:sz w:val="22"/>
          <w:szCs w:val="22"/>
        </w:rPr>
      </w:pPr>
    </w:p>
    <w:p>
      <w:pPr>
        <w:spacing w:line="300" w:lineRule="auto" w:before="44"/>
        <w:ind w:left="154" w:right="1128" w:firstLine="360"/>
        <w:jc w:val="both"/>
        <w:rPr>
          <w:rFonts w:ascii="宋体" w:hAnsi="宋体" w:cs="宋体" w:eastAsia="宋体" w:hint="default"/>
          <w:sz w:val="18"/>
          <w:szCs w:val="18"/>
        </w:rPr>
      </w:pPr>
      <w:r>
        <w:rPr>
          <w:rFonts w:ascii="宋体" w:hAnsi="宋体" w:cs="宋体" w:eastAsia="宋体" w:hint="default"/>
          <w:sz w:val="18"/>
          <w:szCs w:val="18"/>
        </w:rPr>
        <w:t>柏怡香港需</w:t>
      </w:r>
      <w:r>
        <w:rPr>
          <w:rFonts w:ascii="宋体" w:hAnsi="宋体" w:cs="宋体" w:eastAsia="宋体" w:hint="default"/>
          <w:spacing w:val="-107"/>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pacing w:val="-17"/>
          <w:sz w:val="18"/>
          <w:szCs w:val="18"/>
        </w:rPr>
        <w:t>）</w:t>
      </w:r>
      <w:r>
        <w:rPr>
          <w:rFonts w:ascii="宋体" w:hAnsi="宋体" w:cs="宋体" w:eastAsia="宋体" w:hint="default"/>
          <w:sz w:val="18"/>
          <w:szCs w:val="18"/>
        </w:rPr>
        <w:t>将其持有的面值</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w:t>
      </w:r>
      <w:r>
        <w:rPr>
          <w:rFonts w:ascii="宋体" w:hAnsi="宋体" w:cs="宋体" w:eastAsia="宋体" w:hint="default"/>
          <w:spacing w:val="1"/>
          <w:sz w:val="18"/>
          <w:szCs w:val="18"/>
        </w:rPr>
        <w:t>美</w:t>
      </w:r>
      <w:r>
        <w:rPr>
          <w:rFonts w:ascii="宋体" w:hAnsi="宋体" w:cs="宋体" w:eastAsia="宋体" w:hint="default"/>
          <w:sz w:val="18"/>
          <w:szCs w:val="18"/>
        </w:rPr>
        <w:t>元的债券提供质押担</w:t>
      </w:r>
      <w:r>
        <w:rPr>
          <w:rFonts w:ascii="宋体" w:hAnsi="宋体" w:cs="宋体" w:eastAsia="宋体" w:hint="default"/>
          <w:spacing w:val="-17"/>
          <w:sz w:val="18"/>
          <w:szCs w:val="18"/>
        </w:rPr>
        <w:t>保</w:t>
      </w:r>
      <w:r>
        <w:rPr>
          <w:rFonts w:ascii="宋体" w:hAnsi="宋体" w:cs="宋体" w:eastAsia="宋体" w:hint="default"/>
          <w:sz w:val="18"/>
          <w:szCs w:val="18"/>
        </w:rPr>
        <w:t>（担保范围为贷款本金</w:t>
      </w:r>
      <w:r>
        <w:rPr>
          <w:rFonts w:ascii="宋体" w:hAnsi="宋体" w:cs="宋体" w:eastAsia="宋体" w:hint="default"/>
          <w:spacing w:val="-17"/>
          <w:sz w:val="18"/>
          <w:szCs w:val="18"/>
        </w:rPr>
        <w:t>、</w:t>
      </w:r>
      <w:r>
        <w:rPr>
          <w:rFonts w:ascii="宋体" w:hAnsi="宋体" w:cs="宋体" w:eastAsia="宋体" w:hint="default"/>
          <w:sz w:val="18"/>
          <w:szCs w:val="18"/>
        </w:rPr>
        <w:t>利息</w:t>
      </w:r>
      <w:r>
        <w:rPr>
          <w:rFonts w:ascii="宋体" w:hAnsi="宋体" w:cs="宋体" w:eastAsia="宋体" w:hint="default"/>
          <w:spacing w:val="-17"/>
          <w:sz w:val="18"/>
          <w:szCs w:val="18"/>
        </w:rPr>
        <w:t>、</w:t>
      </w:r>
      <w:r>
        <w:rPr>
          <w:rFonts w:ascii="宋体" w:hAnsi="宋体" w:cs="宋体" w:eastAsia="宋体" w:hint="default"/>
          <w:spacing w:val="1"/>
          <w:sz w:val="18"/>
          <w:szCs w:val="18"/>
        </w:rPr>
        <w:t>违</w:t>
      </w:r>
      <w:r>
        <w:rPr>
          <w:rFonts w:ascii="宋体" w:hAnsi="宋体" w:cs="宋体" w:eastAsia="宋体" w:hint="default"/>
          <w:sz w:val="18"/>
          <w:szCs w:val="18"/>
        </w:rPr>
        <w:t>约金及其他相关费</w:t>
      </w:r>
      <w:r>
        <w:rPr>
          <w:rFonts w:ascii="宋体" w:hAnsi="宋体" w:cs="宋体" w:eastAsia="宋体" w:hint="default"/>
          <w:sz w:val="18"/>
          <w:szCs w:val="18"/>
        </w:rPr>
        <w:t> 用</w:t>
      </w:r>
      <w:r>
        <w:rPr>
          <w:rFonts w:ascii="宋体" w:hAnsi="宋体" w:cs="宋体" w:eastAsia="宋体" w:hint="default"/>
          <w:spacing w:val="-90"/>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）柏</w:t>
      </w:r>
      <w:r>
        <w:rPr>
          <w:rFonts w:ascii="宋体" w:hAnsi="宋体" w:cs="宋体" w:eastAsia="宋体" w:hint="default"/>
          <w:spacing w:val="1"/>
          <w:sz w:val="18"/>
          <w:szCs w:val="18"/>
        </w:rPr>
        <w:t>怡</w:t>
      </w:r>
      <w:r>
        <w:rPr>
          <w:rFonts w:ascii="宋体" w:hAnsi="宋体" w:cs="宋体" w:eastAsia="宋体" w:hint="default"/>
          <w:sz w:val="18"/>
          <w:szCs w:val="18"/>
        </w:rPr>
        <w:t>国际为柏怡</w:t>
      </w:r>
      <w:r>
        <w:rPr>
          <w:rFonts w:ascii="宋体" w:hAnsi="宋体" w:cs="宋体" w:eastAsia="宋体" w:hint="default"/>
          <w:spacing w:val="1"/>
          <w:sz w:val="18"/>
          <w:szCs w:val="18"/>
        </w:rPr>
        <w:t>香</w:t>
      </w:r>
      <w:r>
        <w:rPr>
          <w:rFonts w:ascii="宋体" w:hAnsi="宋体" w:cs="宋体" w:eastAsia="宋体" w:hint="default"/>
          <w:sz w:val="18"/>
          <w:szCs w:val="18"/>
        </w:rPr>
        <w:t>港在综合授</w:t>
      </w:r>
      <w:r>
        <w:rPr>
          <w:rFonts w:ascii="宋体" w:hAnsi="宋体" w:cs="宋体" w:eastAsia="宋体" w:hint="default"/>
          <w:spacing w:val="1"/>
          <w:sz w:val="18"/>
          <w:szCs w:val="18"/>
        </w:rPr>
        <w:t>信</w:t>
      </w:r>
      <w:r>
        <w:rPr>
          <w:rFonts w:ascii="宋体" w:hAnsi="宋体" w:cs="宋体" w:eastAsia="宋体" w:hint="default"/>
          <w:sz w:val="18"/>
          <w:szCs w:val="18"/>
        </w:rPr>
        <w:t>范围内的贷</w:t>
      </w:r>
      <w:r>
        <w:rPr>
          <w:rFonts w:ascii="宋体" w:hAnsi="宋体" w:cs="宋体" w:eastAsia="宋体" w:hint="default"/>
          <w:spacing w:val="1"/>
          <w:sz w:val="18"/>
          <w:szCs w:val="18"/>
        </w:rPr>
        <w:t>款</w:t>
      </w:r>
      <w:r>
        <w:rPr>
          <w:rFonts w:ascii="宋体" w:hAnsi="宋体" w:cs="宋体" w:eastAsia="宋体" w:hint="default"/>
          <w:sz w:val="18"/>
          <w:szCs w:val="18"/>
        </w:rPr>
        <w:t>提供无限额</w:t>
      </w:r>
      <w:r>
        <w:rPr>
          <w:rFonts w:ascii="宋体" w:hAnsi="宋体" w:cs="宋体" w:eastAsia="宋体" w:hint="default"/>
          <w:spacing w:val="1"/>
          <w:sz w:val="18"/>
          <w:szCs w:val="18"/>
        </w:rPr>
        <w:t>的</w:t>
      </w:r>
      <w:r>
        <w:rPr>
          <w:rFonts w:ascii="宋体" w:hAnsi="宋体" w:cs="宋体" w:eastAsia="宋体" w:hint="default"/>
          <w:sz w:val="18"/>
          <w:szCs w:val="18"/>
        </w:rPr>
        <w:t>信用担保（</w:t>
      </w:r>
      <w:r>
        <w:rPr>
          <w:rFonts w:ascii="宋体" w:hAnsi="宋体" w:cs="宋体" w:eastAsia="宋体" w:hint="default"/>
          <w:spacing w:val="1"/>
          <w:sz w:val="18"/>
          <w:szCs w:val="18"/>
        </w:rPr>
        <w:t>担</w:t>
      </w:r>
      <w:r>
        <w:rPr>
          <w:rFonts w:ascii="宋体" w:hAnsi="宋体" w:cs="宋体" w:eastAsia="宋体" w:hint="default"/>
          <w:sz w:val="18"/>
          <w:szCs w:val="18"/>
        </w:rPr>
        <w:t>保范围为贷</w:t>
      </w:r>
      <w:r>
        <w:rPr>
          <w:rFonts w:ascii="宋体" w:hAnsi="宋体" w:cs="宋体" w:eastAsia="宋体" w:hint="default"/>
          <w:spacing w:val="1"/>
          <w:sz w:val="18"/>
          <w:szCs w:val="18"/>
        </w:rPr>
        <w:t>款</w:t>
      </w:r>
      <w:r>
        <w:rPr>
          <w:rFonts w:ascii="宋体" w:hAnsi="宋体" w:cs="宋体" w:eastAsia="宋体" w:hint="default"/>
          <w:sz w:val="18"/>
          <w:szCs w:val="18"/>
        </w:rPr>
        <w:t>本金、利息</w:t>
      </w:r>
      <w:r>
        <w:rPr>
          <w:rFonts w:ascii="宋体" w:hAnsi="宋体" w:cs="宋体" w:eastAsia="宋体" w:hint="default"/>
          <w:spacing w:val="1"/>
          <w:sz w:val="18"/>
          <w:szCs w:val="18"/>
        </w:rPr>
        <w:t>、</w:t>
      </w:r>
      <w:r>
        <w:rPr>
          <w:rFonts w:ascii="宋体" w:hAnsi="宋体" w:cs="宋体" w:eastAsia="宋体" w:hint="default"/>
          <w:sz w:val="18"/>
          <w:szCs w:val="18"/>
        </w:rPr>
        <w:t>违约金及其</w:t>
      </w:r>
      <w:r>
        <w:rPr>
          <w:rFonts w:ascii="宋体" w:hAnsi="宋体" w:cs="宋体" w:eastAsia="宋体" w:hint="default"/>
          <w:sz w:val="18"/>
          <w:szCs w:val="18"/>
        </w:rPr>
        <w:t> 他相关费用</w:t>
      </w:r>
      <w:r>
        <w:rPr>
          <w:rFonts w:ascii="宋体" w:hAnsi="宋体" w:cs="宋体" w:eastAsia="宋体" w:hint="default"/>
          <w:spacing w:val="-90"/>
          <w:sz w:val="18"/>
          <w:szCs w:val="18"/>
        </w:rPr>
        <w:t>）</w:t>
      </w:r>
      <w:r>
        <w:rPr>
          <w:rFonts w:ascii="宋体" w:hAnsi="宋体" w:cs="宋体" w:eastAsia="宋体" w:hint="default"/>
          <w:sz w:val="18"/>
          <w:szCs w:val="18"/>
        </w:rPr>
        <w:t>。</w:t>
      </w:r>
    </w:p>
    <w:p>
      <w:pPr>
        <w:spacing w:line="240" w:lineRule="auto" w:before="2"/>
        <w:rPr>
          <w:rFonts w:ascii="宋体" w:hAnsi="宋体" w:cs="宋体" w:eastAsia="宋体" w:hint="default"/>
          <w:sz w:val="14"/>
          <w:szCs w:val="14"/>
        </w:rPr>
      </w:pPr>
    </w:p>
    <w:p>
      <w:pPr>
        <w:pStyle w:val="Heading5"/>
        <w:spacing w:line="240" w:lineRule="auto" w:before="0"/>
        <w:ind w:left="154" w:right="0"/>
        <w:jc w:val="left"/>
        <w:rPr>
          <w:b w:val="0"/>
          <w:bCs w:val="0"/>
        </w:rPr>
      </w:pPr>
      <w:r>
        <w:rPr/>
        <w:t>（</w:t>
      </w:r>
      <w:r>
        <w:rPr>
          <w:rFonts w:ascii="Times New Roman" w:hAnsi="Times New Roman" w:cs="Times New Roman" w:eastAsia="Times New Roman" w:hint="default"/>
        </w:rPr>
        <w:t>2</w:t>
      </w:r>
      <w:r>
        <w:rPr/>
        <w:t>）违规对外担保情况</w:t>
      </w:r>
      <w:r>
        <w:rPr>
          <w:b w:val="0"/>
          <w:bCs w:val="0"/>
        </w:rPr>
      </w:r>
    </w:p>
    <w:p>
      <w:pPr>
        <w:spacing w:line="240" w:lineRule="auto" w:before="5"/>
        <w:rPr>
          <w:rFonts w:ascii="宋体" w:hAnsi="宋体" w:cs="宋体" w:eastAsia="宋体" w:hint="default"/>
          <w:b/>
          <w:bCs/>
          <w:sz w:val="17"/>
          <w:szCs w:val="17"/>
        </w:rPr>
      </w:pPr>
    </w:p>
    <w:p>
      <w:pPr>
        <w:spacing w:line="357" w:lineRule="auto" w:before="0"/>
        <w:ind w:left="513" w:right="7691" w:hanging="360"/>
        <w:jc w:val="left"/>
        <w:rPr>
          <w:rFonts w:ascii="宋体" w:hAnsi="宋体" w:cs="宋体" w:eastAsia="宋体" w:hint="default"/>
          <w:sz w:val="18"/>
          <w:szCs w:val="18"/>
        </w:rPr>
      </w:pPr>
      <w:r>
        <w:rPr>
          <w:rFonts w:ascii="宋体" w:hAnsi="宋体" w:cs="宋体" w:eastAsia="宋体" w:hint="default"/>
          <w:sz w:val="18"/>
          <w:szCs w:val="18"/>
        </w:rPr>
        <w:t>□ 适用 √ 不适用 公司报告期无违规对外担保情况。</w:t>
      </w:r>
    </w:p>
    <w:p>
      <w:pPr>
        <w:pStyle w:val="Heading5"/>
        <w:spacing w:line="240" w:lineRule="auto" w:before="143"/>
        <w:ind w:left="154" w:right="0"/>
        <w:jc w:val="left"/>
        <w:rPr>
          <w:b w:val="0"/>
          <w:bCs w:val="0"/>
        </w:rPr>
      </w:pPr>
      <w:r>
        <w:rPr>
          <w:rFonts w:ascii="Times New Roman" w:hAnsi="Times New Roman" w:cs="Times New Roman" w:eastAsia="Times New Roman" w:hint="default"/>
        </w:rPr>
        <w:t>3</w:t>
      </w:r>
      <w:r>
        <w:rPr/>
        <w:t>、委托他人进行现金资产管理情况</w:t>
      </w:r>
      <w:r>
        <w:rPr>
          <w:b w:val="0"/>
          <w:bCs w:val="0"/>
        </w:rPr>
      </w:r>
    </w:p>
    <w:p>
      <w:pPr>
        <w:spacing w:line="240" w:lineRule="auto" w:before="4"/>
        <w:rPr>
          <w:rFonts w:ascii="宋体" w:hAnsi="宋体" w:cs="宋体" w:eastAsia="宋体" w:hint="default"/>
          <w:b/>
          <w:bCs/>
          <w:sz w:val="15"/>
          <w:szCs w:val="15"/>
        </w:rPr>
      </w:pPr>
    </w:p>
    <w:p>
      <w:pPr>
        <w:pStyle w:val="Heading5"/>
        <w:spacing w:line="240" w:lineRule="auto" w:before="0"/>
        <w:ind w:left="154" w:right="0"/>
        <w:jc w:val="left"/>
        <w:rPr>
          <w:b w:val="0"/>
          <w:bCs w:val="0"/>
        </w:rPr>
      </w:pPr>
      <w:r>
        <w:rPr/>
        <w:t>（</w:t>
      </w:r>
      <w:r>
        <w:rPr>
          <w:rFonts w:ascii="Times New Roman" w:hAnsi="Times New Roman" w:cs="Times New Roman" w:eastAsia="Times New Roman" w:hint="default"/>
        </w:rPr>
        <w:t>1</w:t>
      </w:r>
      <w:r>
        <w:rPr/>
        <w:t>）委托理财情况</w:t>
      </w:r>
      <w:r>
        <w:rPr>
          <w:b w:val="0"/>
          <w:bCs w:val="0"/>
        </w:rPr>
      </w:r>
    </w:p>
    <w:p>
      <w:pPr>
        <w:spacing w:line="240" w:lineRule="auto" w:before="0"/>
        <w:rPr>
          <w:rFonts w:ascii="宋体" w:hAnsi="宋体" w:cs="宋体" w:eastAsia="宋体" w:hint="default"/>
          <w:b/>
          <w:bCs/>
          <w:sz w:val="14"/>
          <w:szCs w:val="14"/>
        </w:rPr>
      </w:pPr>
    </w:p>
    <w:p>
      <w:pPr>
        <w:spacing w:after="0" w:line="240" w:lineRule="auto"/>
        <w:rPr>
          <w:rFonts w:ascii="宋体" w:hAnsi="宋体" w:cs="宋体" w:eastAsia="宋体" w:hint="default"/>
          <w:sz w:val="14"/>
          <w:szCs w:val="14"/>
        </w:rPr>
        <w:sectPr>
          <w:pgSz w:w="11910" w:h="16840"/>
          <w:pgMar w:header="787" w:footer="982" w:top="1100" w:bottom="1180" w:left="980" w:right="0"/>
        </w:sectPr>
      </w:pPr>
    </w:p>
    <w:p>
      <w:pPr>
        <w:spacing w:line="360" w:lineRule="auto" w:before="44"/>
        <w:ind w:left="153" w:right="-19" w:firstLine="0"/>
        <w:jc w:val="left"/>
        <w:rPr>
          <w:rFonts w:ascii="宋体" w:hAnsi="宋体" w:cs="宋体" w:eastAsia="宋体" w:hint="default"/>
          <w:sz w:val="18"/>
          <w:szCs w:val="18"/>
        </w:rPr>
      </w:pPr>
      <w:r>
        <w:rPr>
          <w:rFonts w:ascii="宋体" w:hAnsi="宋体" w:cs="宋体" w:eastAsia="宋体" w:hint="default"/>
          <w:sz w:val="18"/>
          <w:szCs w:val="18"/>
        </w:rPr>
        <w:t>√ 适用 □ 不适用 报告期内委托理财概况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spacing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单位：万元</w:t>
      </w:r>
    </w:p>
    <w:p>
      <w:pPr>
        <w:spacing w:after="0"/>
        <w:jc w:val="left"/>
        <w:rPr>
          <w:rFonts w:ascii="宋体" w:hAnsi="宋体" w:cs="宋体" w:eastAsia="宋体" w:hint="default"/>
          <w:sz w:val="18"/>
          <w:szCs w:val="18"/>
        </w:rPr>
        <w:sectPr>
          <w:type w:val="continuous"/>
          <w:pgSz w:w="11910" w:h="16840"/>
          <w:pgMar w:top="1100" w:bottom="700" w:left="980" w:right="0"/>
          <w:cols w:num="2" w:equalWidth="0">
            <w:col w:w="1955" w:space="6784"/>
            <w:col w:w="2191"/>
          </w:cols>
        </w:sectPr>
      </w:pPr>
    </w:p>
    <w:p>
      <w:pPr>
        <w:spacing w:line="240" w:lineRule="auto" w:before="0"/>
        <w:rPr>
          <w:rFonts w:ascii="宋体" w:hAnsi="宋体" w:cs="宋体" w:eastAsia="宋体" w:hint="default"/>
          <w:sz w:val="8"/>
          <w:szCs w:val="8"/>
        </w:rPr>
      </w:pPr>
    </w:p>
    <w:tbl>
      <w:tblPr>
        <w:tblW w:w="0" w:type="auto"/>
        <w:jc w:val="left"/>
        <w:tblInd w:w="183" w:type="dxa"/>
        <w:tblLayout w:type="fixed"/>
        <w:tblCellMar>
          <w:top w:w="0" w:type="dxa"/>
          <w:left w:w="0" w:type="dxa"/>
          <w:bottom w:w="0" w:type="dxa"/>
          <w:right w:w="0" w:type="dxa"/>
        </w:tblCellMar>
        <w:tblLook w:val="01E0"/>
      </w:tblPr>
      <w:tblGrid>
        <w:gridCol w:w="1868"/>
        <w:gridCol w:w="1958"/>
        <w:gridCol w:w="1981"/>
        <w:gridCol w:w="1909"/>
        <w:gridCol w:w="1850"/>
      </w:tblGrid>
      <w:tr>
        <w:trPr>
          <w:trHeight w:val="401" w:hRule="exact"/>
        </w:trPr>
        <w:tc>
          <w:tcPr>
            <w:tcW w:w="18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具体类型</w:t>
            </w:r>
          </w:p>
        </w:tc>
        <w:tc>
          <w:tcPr>
            <w:tcW w:w="195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委托理财的资金来源</w:t>
            </w:r>
          </w:p>
        </w:tc>
        <w:tc>
          <w:tcPr>
            <w:tcW w:w="198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356" w:right="0"/>
              <w:jc w:val="left"/>
              <w:rPr>
                <w:rFonts w:ascii="宋体" w:hAnsi="宋体" w:cs="宋体" w:eastAsia="宋体" w:hint="default"/>
                <w:sz w:val="18"/>
                <w:szCs w:val="18"/>
              </w:rPr>
            </w:pPr>
            <w:r>
              <w:rPr>
                <w:rFonts w:ascii="宋体" w:hAnsi="宋体" w:cs="宋体" w:eastAsia="宋体" w:hint="default"/>
                <w:sz w:val="18"/>
                <w:szCs w:val="18"/>
              </w:rPr>
              <w:t>委托理财发生额</w:t>
            </w:r>
          </w:p>
        </w:tc>
        <w:tc>
          <w:tcPr>
            <w:tcW w:w="190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499" w:right="0"/>
              <w:jc w:val="left"/>
              <w:rPr>
                <w:rFonts w:ascii="宋体" w:hAnsi="宋体" w:cs="宋体" w:eastAsia="宋体" w:hint="default"/>
                <w:sz w:val="18"/>
                <w:szCs w:val="18"/>
              </w:rPr>
            </w:pPr>
            <w:r>
              <w:rPr>
                <w:rFonts w:ascii="宋体" w:hAnsi="宋体" w:cs="宋体" w:eastAsia="宋体" w:hint="default"/>
                <w:sz w:val="18"/>
                <w:szCs w:val="18"/>
              </w:rPr>
              <w:t>未到期余额</w:t>
            </w:r>
          </w:p>
        </w:tc>
        <w:tc>
          <w:tcPr>
            <w:tcW w:w="185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199" w:right="0"/>
              <w:jc w:val="left"/>
              <w:rPr>
                <w:rFonts w:ascii="宋体" w:hAnsi="宋体" w:cs="宋体" w:eastAsia="宋体" w:hint="default"/>
                <w:sz w:val="18"/>
                <w:szCs w:val="18"/>
              </w:rPr>
            </w:pPr>
            <w:r>
              <w:rPr>
                <w:rFonts w:ascii="宋体" w:hAnsi="宋体" w:cs="宋体" w:eastAsia="宋体" w:hint="default"/>
                <w:sz w:val="18"/>
                <w:szCs w:val="18"/>
              </w:rPr>
              <w:t>逾期未收回的金额</w:t>
            </w:r>
          </w:p>
        </w:tc>
      </w:tr>
      <w:tr>
        <w:trPr>
          <w:trHeight w:val="402" w:hRule="exact"/>
        </w:trPr>
        <w:tc>
          <w:tcPr>
            <w:tcW w:w="18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银行理财产品</w:t>
            </w:r>
          </w:p>
        </w:tc>
        <w:tc>
          <w:tcPr>
            <w:tcW w:w="1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自有资金</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122,700.00</w:t>
            </w:r>
          </w:p>
        </w:tc>
        <w:tc>
          <w:tcPr>
            <w:tcW w:w="1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0.00</w:t>
            </w:r>
          </w:p>
        </w:tc>
        <w:tc>
          <w:tcPr>
            <w:tcW w:w="1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0.00</w:t>
            </w:r>
          </w:p>
        </w:tc>
      </w:tr>
      <w:tr>
        <w:trPr>
          <w:trHeight w:val="403" w:hRule="exact"/>
        </w:trPr>
        <w:tc>
          <w:tcPr>
            <w:tcW w:w="3827"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122,700.00</w:t>
            </w:r>
          </w:p>
        </w:tc>
        <w:tc>
          <w:tcPr>
            <w:tcW w:w="1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0.00</w:t>
            </w:r>
          </w:p>
        </w:tc>
        <w:tc>
          <w:tcPr>
            <w:tcW w:w="1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0.00</w:t>
            </w:r>
          </w:p>
        </w:tc>
      </w:tr>
    </w:tbl>
    <w:p>
      <w:pPr>
        <w:spacing w:before="51"/>
        <w:ind w:left="154" w:right="0" w:firstLine="0"/>
        <w:jc w:val="both"/>
        <w:rPr>
          <w:rFonts w:ascii="宋体" w:hAnsi="宋体" w:cs="宋体" w:eastAsia="宋体" w:hint="default"/>
          <w:sz w:val="18"/>
          <w:szCs w:val="18"/>
        </w:rPr>
      </w:pPr>
      <w:r>
        <w:rPr>
          <w:rFonts w:ascii="宋体" w:hAnsi="宋体" w:cs="宋体" w:eastAsia="宋体" w:hint="default"/>
          <w:sz w:val="18"/>
          <w:szCs w:val="18"/>
        </w:rPr>
        <w:t>单项金额重大或安全性较低、流动性较差、不保本的高风险委托理财具体情况</w:t>
      </w:r>
    </w:p>
    <w:p>
      <w:pPr>
        <w:spacing w:line="360" w:lineRule="auto" w:before="116"/>
        <w:ind w:left="153" w:right="5711" w:firstLine="0"/>
        <w:jc w:val="left"/>
        <w:rPr>
          <w:rFonts w:ascii="宋体" w:hAnsi="宋体" w:cs="宋体" w:eastAsia="宋体" w:hint="default"/>
          <w:sz w:val="18"/>
          <w:szCs w:val="18"/>
        </w:rPr>
      </w:pPr>
      <w:r>
        <w:rPr>
          <w:rFonts w:ascii="宋体" w:hAnsi="宋体" w:cs="宋体" w:eastAsia="宋体" w:hint="default"/>
          <w:sz w:val="18"/>
          <w:szCs w:val="18"/>
        </w:rPr>
        <w:t>□ 适用 √ 不适用 委托理财出现预期无法收回本金或存在其他可能导致减值的情形</w:t>
      </w:r>
    </w:p>
    <w:p>
      <w:pPr>
        <w:spacing w:line="357" w:lineRule="auto" w:before="26"/>
        <w:ind w:left="153" w:right="9221" w:firstLine="0"/>
        <w:jc w:val="left"/>
        <w:rPr>
          <w:rFonts w:ascii="宋体" w:hAnsi="宋体" w:cs="宋体" w:eastAsia="宋体" w:hint="default"/>
          <w:sz w:val="18"/>
          <w:szCs w:val="18"/>
        </w:rPr>
      </w:pPr>
      <w:r>
        <w:rPr>
          <w:rFonts w:ascii="宋体" w:hAnsi="宋体" w:cs="宋体" w:eastAsia="宋体" w:hint="default"/>
          <w:sz w:val="18"/>
          <w:szCs w:val="18"/>
        </w:rPr>
        <w:t>□ 适用 √ 不适用 </w:t>
      </w:r>
      <w:r>
        <w:rPr>
          <w:rFonts w:ascii="宋体" w:hAnsi="宋体" w:cs="宋体" w:eastAsia="宋体" w:hint="default"/>
          <w:b/>
          <w:bCs/>
          <w:sz w:val="18"/>
          <w:szCs w:val="18"/>
        </w:rPr>
        <w:t>委托理财情况说明</w:t>
      </w:r>
      <w:r>
        <w:rPr>
          <w:rFonts w:ascii="宋体" w:hAnsi="宋体" w:cs="宋体" w:eastAsia="宋体" w:hint="default"/>
          <w:sz w:val="18"/>
          <w:szCs w:val="18"/>
        </w:rPr>
      </w:r>
    </w:p>
    <w:p>
      <w:pPr>
        <w:spacing w:before="28"/>
        <w:ind w:left="513"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为提高整合完成后的公司资金使用效率，增加公司投资收益，经</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月</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日公司第七届董事会第二次会议、</w:t>
      </w:r>
      <w:r>
        <w:rPr>
          <w:rFonts w:ascii="Times New Roman" w:hAnsi="Times New Roman" w:cs="Times New Roman" w:eastAsia="Times New Roman" w:hint="default"/>
          <w:sz w:val="18"/>
          <w:szCs w:val="18"/>
        </w:rPr>
        <w:t>2018</w:t>
      </w:r>
    </w:p>
    <w:p>
      <w:pPr>
        <w:spacing w:line="300" w:lineRule="auto" w:before="63"/>
        <w:ind w:left="153" w:right="1128" w:firstLine="0"/>
        <w:jc w:val="both"/>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29 </w:t>
      </w:r>
      <w:r>
        <w:rPr>
          <w:rFonts w:ascii="宋体" w:hAnsi="宋体" w:cs="宋体" w:eastAsia="宋体" w:hint="default"/>
          <w:sz w:val="18"/>
          <w:szCs w:val="18"/>
        </w:rPr>
        <w:t>日公司</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2017 </w:t>
      </w:r>
      <w:r>
        <w:rPr>
          <w:rFonts w:ascii="宋体" w:hAnsi="宋体" w:cs="宋体" w:eastAsia="宋体" w:hint="default"/>
          <w:spacing w:val="-2"/>
          <w:sz w:val="18"/>
          <w:szCs w:val="18"/>
        </w:rPr>
        <w:t>年度股东大会审议，同意公司把合计不超过人民币陆亿元的自有闲置资金通过中国银行业监督管理委</w:t>
      </w:r>
      <w:r>
        <w:rPr>
          <w:rFonts w:ascii="宋体" w:hAnsi="宋体" w:cs="宋体" w:eastAsia="宋体" w:hint="default"/>
          <w:sz w:val="18"/>
          <w:szCs w:val="18"/>
        </w:rPr>
        <w:t> 员会批准和监管的金融机构及中电财务购买理财产品进行理财；在前述额度范围内，资金可以循环使用，期限壹年。</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34"/>
          <w:sz w:val="18"/>
          <w:szCs w:val="18"/>
        </w:rPr>
        <w:t> </w:t>
      </w:r>
      <w:r>
        <w:rPr>
          <w:rFonts w:ascii="Times New Roman" w:hAnsi="Times New Roman" w:cs="Times New Roman" w:eastAsia="Times New Roman" w:hint="default"/>
          <w:spacing w:val="34"/>
          <w:sz w:val="18"/>
          <w:szCs w:val="18"/>
        </w:rPr>
      </w:r>
      <w:r>
        <w:rPr>
          <w:rFonts w:ascii="宋体" w:hAnsi="宋体" w:cs="宋体" w:eastAsia="宋体" w:hint="default"/>
          <w:sz w:val="18"/>
          <w:szCs w:val="18"/>
        </w:rPr>
        <w:t>年度实现资金增效约</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3,357.92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w:t>
      </w:r>
    </w:p>
    <w:p>
      <w:pPr>
        <w:spacing w:line="240" w:lineRule="auto" w:before="9"/>
        <w:rPr>
          <w:rFonts w:ascii="宋体" w:hAnsi="宋体" w:cs="宋体" w:eastAsia="宋体" w:hint="default"/>
          <w:sz w:val="12"/>
          <w:szCs w:val="12"/>
        </w:rPr>
      </w:pPr>
    </w:p>
    <w:p>
      <w:pPr>
        <w:pStyle w:val="Heading5"/>
        <w:spacing w:line="240" w:lineRule="auto" w:before="0"/>
        <w:ind w:left="154" w:right="0"/>
        <w:jc w:val="both"/>
        <w:rPr>
          <w:b w:val="0"/>
          <w:bCs w:val="0"/>
        </w:rPr>
      </w:pPr>
      <w:r>
        <w:rPr/>
        <w:t>（</w:t>
      </w:r>
      <w:r>
        <w:rPr>
          <w:rFonts w:ascii="Times New Roman" w:hAnsi="Times New Roman" w:cs="Times New Roman" w:eastAsia="Times New Roman" w:hint="default"/>
        </w:rPr>
        <w:t>2</w:t>
      </w:r>
      <w:r>
        <w:rPr/>
        <w:t>）委托贷款情况</w:t>
      </w:r>
      <w:r>
        <w:rPr>
          <w:b w:val="0"/>
          <w:bCs w:val="0"/>
        </w:rPr>
      </w:r>
    </w:p>
    <w:p>
      <w:pPr>
        <w:spacing w:line="240" w:lineRule="auto" w:before="5"/>
        <w:rPr>
          <w:rFonts w:ascii="宋体" w:hAnsi="宋体" w:cs="宋体" w:eastAsia="宋体" w:hint="default"/>
          <w:b/>
          <w:bCs/>
          <w:sz w:val="17"/>
          <w:szCs w:val="17"/>
        </w:rPr>
      </w:pPr>
    </w:p>
    <w:p>
      <w:pPr>
        <w:spacing w:line="357" w:lineRule="auto" w:before="0"/>
        <w:ind w:left="513" w:right="7691" w:hanging="360"/>
        <w:jc w:val="left"/>
        <w:rPr>
          <w:rFonts w:ascii="宋体" w:hAnsi="宋体" w:cs="宋体" w:eastAsia="宋体" w:hint="default"/>
          <w:sz w:val="18"/>
          <w:szCs w:val="18"/>
        </w:rPr>
      </w:pPr>
      <w:r>
        <w:rPr>
          <w:rFonts w:ascii="宋体" w:hAnsi="宋体" w:cs="宋体" w:eastAsia="宋体" w:hint="default"/>
          <w:sz w:val="18"/>
          <w:szCs w:val="18"/>
        </w:rPr>
        <w:t>□ 适用 √ 不适用 公司报告期不存在发放委托贷款。</w:t>
      </w:r>
    </w:p>
    <w:p>
      <w:pPr>
        <w:spacing w:before="28"/>
        <w:ind w:left="153" w:right="0" w:firstLine="0"/>
        <w:jc w:val="both"/>
        <w:rPr>
          <w:rFonts w:ascii="宋体" w:hAnsi="宋体" w:cs="宋体" w:eastAsia="宋体" w:hint="default"/>
          <w:sz w:val="18"/>
          <w:szCs w:val="18"/>
        </w:rPr>
      </w:pPr>
      <w:r>
        <w:rPr>
          <w:rFonts w:ascii="宋体" w:hAnsi="宋体" w:cs="宋体" w:eastAsia="宋体" w:hint="default"/>
          <w:b/>
          <w:bCs/>
          <w:sz w:val="18"/>
          <w:szCs w:val="18"/>
        </w:rPr>
        <w:t>取得委托贷款的说明</w:t>
      </w:r>
      <w:r>
        <w:rPr>
          <w:rFonts w:ascii="宋体" w:hAnsi="宋体" w:cs="宋体" w:eastAsia="宋体" w:hint="default"/>
          <w:sz w:val="18"/>
          <w:szCs w:val="18"/>
        </w:rPr>
      </w:r>
    </w:p>
    <w:p>
      <w:pPr>
        <w:spacing w:before="116"/>
        <w:ind w:left="51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1"/>
          <w:sz w:val="18"/>
          <w:szCs w:val="18"/>
        </w:rPr>
        <w:t>中</w:t>
      </w:r>
      <w:r>
        <w:rPr>
          <w:rFonts w:ascii="宋体" w:hAnsi="宋体" w:cs="宋体" w:eastAsia="宋体" w:hint="default"/>
          <w:sz w:val="18"/>
          <w:szCs w:val="18"/>
        </w:rPr>
        <w:t>原电子与中电财务签</w:t>
      </w:r>
      <w:r>
        <w:rPr>
          <w:rFonts w:ascii="宋体" w:hAnsi="宋体" w:cs="宋体" w:eastAsia="宋体" w:hint="default"/>
          <w:spacing w:val="-12"/>
          <w:sz w:val="18"/>
          <w:szCs w:val="18"/>
        </w:rPr>
        <w:t>订</w:t>
      </w:r>
      <w:r>
        <w:rPr>
          <w:rFonts w:ascii="宋体" w:hAnsi="宋体" w:cs="宋体" w:eastAsia="宋体" w:hint="default"/>
          <w:sz w:val="18"/>
          <w:szCs w:val="18"/>
        </w:rPr>
        <w:t>《委托贷款借款合同</w:t>
      </w:r>
      <w:r>
        <w:rPr>
          <w:rFonts w:ascii="宋体" w:hAnsi="宋体" w:cs="宋体" w:eastAsia="宋体" w:hint="default"/>
          <w:spacing w:val="-90"/>
          <w:sz w:val="18"/>
          <w:szCs w:val="18"/>
        </w:rPr>
        <w:t>》</w:t>
      </w:r>
      <w:r>
        <w:rPr>
          <w:rFonts w:ascii="宋体" w:hAnsi="宋体" w:cs="宋体" w:eastAsia="宋体" w:hint="default"/>
          <w:spacing w:val="-12"/>
          <w:sz w:val="18"/>
          <w:szCs w:val="18"/>
        </w:rPr>
        <w:t>，</w:t>
      </w:r>
      <w:r>
        <w:rPr>
          <w:rFonts w:ascii="宋体" w:hAnsi="宋体" w:cs="宋体" w:eastAsia="宋体" w:hint="default"/>
          <w:sz w:val="18"/>
          <w:szCs w:val="18"/>
        </w:rPr>
        <w:t>中电财务接受中国电子委托</w:t>
      </w:r>
      <w:r>
        <w:rPr>
          <w:rFonts w:ascii="宋体" w:hAnsi="宋体" w:cs="宋体" w:eastAsia="宋体" w:hint="default"/>
          <w:spacing w:val="-12"/>
          <w:sz w:val="18"/>
          <w:szCs w:val="18"/>
        </w:rPr>
        <w:t>，</w:t>
      </w:r>
      <w:r>
        <w:rPr>
          <w:rFonts w:ascii="宋体" w:hAnsi="宋体" w:cs="宋体" w:eastAsia="宋体" w:hint="default"/>
          <w:sz w:val="18"/>
          <w:szCs w:val="18"/>
        </w:rPr>
        <w:t>向中原电子发放流动资金贷</w:t>
      </w:r>
    </w:p>
    <w:p>
      <w:pPr>
        <w:spacing w:line="300" w:lineRule="auto" w:before="63"/>
        <w:ind w:left="154" w:right="1128" w:firstLine="0"/>
        <w:jc w:val="both"/>
        <w:rPr>
          <w:rFonts w:ascii="宋体" w:hAnsi="宋体" w:cs="宋体" w:eastAsia="宋体" w:hint="default"/>
          <w:sz w:val="18"/>
          <w:szCs w:val="18"/>
        </w:rPr>
      </w:pPr>
      <w:r>
        <w:rPr>
          <w:rFonts w:ascii="宋体" w:hAnsi="宋体" w:cs="宋体" w:eastAsia="宋体" w:hint="default"/>
          <w:sz w:val="18"/>
          <w:szCs w:val="18"/>
        </w:rPr>
        <w:t>款</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28,000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万元，用于生产经营周转，期限两年。中原电子将所拥有的完全所有权的房地产抵押给中电财务，抵押期限为</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24 </w:t>
      </w:r>
      <w:r>
        <w:rPr>
          <w:rFonts w:ascii="宋体" w:hAnsi="宋体" w:cs="宋体" w:eastAsia="宋体" w:hint="default"/>
          <w:sz w:val="18"/>
          <w:szCs w:val="18"/>
        </w:rPr>
        <w:t>个月，抵押物为中原电子</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102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研发科技大楼、</w:t>
      </w:r>
      <w:r>
        <w:rPr>
          <w:rFonts w:ascii="Times New Roman" w:hAnsi="Times New Roman" w:cs="Times New Roman" w:eastAsia="Times New Roman" w:hint="default"/>
          <w:sz w:val="18"/>
          <w:szCs w:val="18"/>
        </w:rPr>
        <w:t>112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国家交流中心</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宿舍；</w:t>
      </w:r>
      <w:r>
        <w:rPr>
          <w:rFonts w:ascii="Times New Roman" w:hAnsi="Times New Roman" w:cs="Times New Roman" w:eastAsia="Times New Roman" w:hint="default"/>
          <w:sz w:val="18"/>
          <w:szCs w:val="18"/>
        </w:rPr>
        <w:t>112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国际交流中心</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酒店；</w:t>
      </w:r>
      <w:r>
        <w:rPr>
          <w:rFonts w:ascii="Times New Roman" w:hAnsi="Times New Roman" w:cs="Times New Roman" w:eastAsia="Times New Roman" w:hint="default"/>
          <w:sz w:val="18"/>
          <w:szCs w:val="18"/>
        </w:rPr>
        <w:t>103</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总装大楼</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层； </w:t>
      </w:r>
      <w:r>
        <w:rPr>
          <w:rFonts w:ascii="Times New Roman" w:hAnsi="Times New Roman" w:cs="Times New Roman" w:eastAsia="Times New Roman" w:hint="default"/>
          <w:spacing w:val="-6"/>
          <w:sz w:val="18"/>
          <w:szCs w:val="18"/>
        </w:rPr>
        <w:t>111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质检中心及计量站</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层；</w:t>
      </w:r>
      <w:r>
        <w:rPr>
          <w:rFonts w:ascii="Times New Roman" w:hAnsi="Times New Roman" w:cs="Times New Roman" w:eastAsia="Times New Roman" w:hint="default"/>
          <w:sz w:val="18"/>
          <w:szCs w:val="18"/>
        </w:rPr>
        <w:t>101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综合办公大楼</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层，</w:t>
      </w:r>
      <w:r>
        <w:rPr>
          <w:rFonts w:ascii="Times New Roman" w:hAnsi="Times New Roman" w:cs="Times New Roman" w:eastAsia="Times New Roman" w:hint="default"/>
          <w:sz w:val="18"/>
          <w:szCs w:val="18"/>
        </w:rPr>
        <w:t>101A</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会议室</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层，</w:t>
      </w:r>
      <w:r>
        <w:rPr>
          <w:rFonts w:ascii="Times New Roman" w:hAnsi="Times New Roman" w:cs="Times New Roman" w:eastAsia="Times New Roman" w:hint="default"/>
          <w:sz w:val="18"/>
          <w:szCs w:val="18"/>
        </w:rPr>
        <w:t>101B</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会议室</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层。</w:t>
      </w:r>
    </w:p>
    <w:p>
      <w:pPr>
        <w:spacing w:line="309" w:lineRule="auto" w:before="51"/>
        <w:ind w:left="153" w:right="1130" w:firstLine="360"/>
        <w:jc w:val="both"/>
        <w:rPr>
          <w:rFonts w:ascii="宋体" w:hAnsi="宋体" w:cs="宋体" w:eastAsia="宋体" w:hint="default"/>
          <w:sz w:val="18"/>
          <w:szCs w:val="18"/>
        </w:rPr>
      </w:pPr>
      <w:r>
        <w:rPr>
          <w:rFonts w:ascii="宋体" w:hAnsi="宋体" w:cs="宋体" w:eastAsia="宋体" w:hint="default"/>
          <w:sz w:val="18"/>
          <w:szCs w:val="18"/>
        </w:rPr>
        <w:t>中国电子拨付公司先行使用的国有资本金 </w:t>
      </w:r>
      <w:r>
        <w:rPr>
          <w:rFonts w:ascii="Times New Roman" w:hAnsi="Times New Roman" w:cs="Times New Roman" w:eastAsia="Times New Roman" w:hint="default"/>
          <w:sz w:val="18"/>
          <w:szCs w:val="18"/>
        </w:rPr>
        <w:t>16,500</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万元，目前暂不具备注资条件，根据财政部《关于印发加强企业财务 </w:t>
      </w:r>
      <w:r>
        <w:rPr>
          <w:rFonts w:ascii="宋体" w:hAnsi="宋体" w:cs="宋体" w:eastAsia="宋体" w:hint="default"/>
          <w:spacing w:val="-5"/>
          <w:sz w:val="18"/>
          <w:szCs w:val="18"/>
        </w:rPr>
        <w:t>信息管理暂行规定的通知》等的要求，中国电子通过中电财务以委托贷款的方式继续提供给公司使用，具体内容详见本节“其</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他重大关联交易”中的相关介绍。</w:t>
      </w:r>
    </w:p>
    <w:p>
      <w:pPr>
        <w:spacing w:line="302" w:lineRule="auto" w:before="62"/>
        <w:ind w:left="154" w:right="1131" w:firstLine="360"/>
        <w:jc w:val="both"/>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月公司向中国电子以自有房产抵押担保的方式申请</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亿元委托贷款；中国电子委托中电财务向公司分批发 放委托贷款，贷款期限三年，具体内容详见本节“其他重大关联交易”中的相关介绍。</w:t>
      </w:r>
    </w:p>
    <w:p>
      <w:pPr>
        <w:spacing w:after="0" w:line="302" w:lineRule="auto"/>
        <w:jc w:val="both"/>
        <w:rPr>
          <w:rFonts w:ascii="宋体" w:hAnsi="宋体" w:cs="宋体" w:eastAsia="宋体" w:hint="default"/>
          <w:sz w:val="18"/>
          <w:szCs w:val="18"/>
        </w:rPr>
        <w:sectPr>
          <w:type w:val="continuous"/>
          <w:pgSz w:w="11910" w:h="16840"/>
          <w:pgMar w:top="1100" w:bottom="700" w:left="980" w:right="0"/>
        </w:sectPr>
      </w:pPr>
    </w:p>
    <w:p>
      <w:pPr>
        <w:spacing w:line="240" w:lineRule="auto" w:before="7"/>
        <w:rPr>
          <w:rFonts w:ascii="宋体" w:hAnsi="宋体" w:cs="宋体" w:eastAsia="宋体" w:hint="default"/>
          <w:sz w:val="21"/>
          <w:szCs w:val="21"/>
        </w:rPr>
      </w:pPr>
    </w:p>
    <w:p>
      <w:pPr>
        <w:pStyle w:val="Heading5"/>
        <w:spacing w:line="240" w:lineRule="auto"/>
        <w:ind w:left="154" w:right="0"/>
        <w:jc w:val="left"/>
        <w:rPr>
          <w:b w:val="0"/>
          <w:bCs w:val="0"/>
        </w:rPr>
      </w:pPr>
      <w:r>
        <w:rPr>
          <w:rFonts w:ascii="Times New Roman" w:hAnsi="Times New Roman" w:cs="Times New Roman" w:eastAsia="Times New Roman" w:hint="default"/>
        </w:rPr>
        <w:t>4</w:t>
      </w:r>
      <w:r>
        <w:rPr/>
        <w:t>、其他重大合同</w:t>
      </w:r>
      <w:r>
        <w:rPr>
          <w:b w:val="0"/>
          <w:bCs w:val="0"/>
        </w:rPr>
      </w:r>
    </w:p>
    <w:p>
      <w:pPr>
        <w:spacing w:line="240" w:lineRule="auto" w:before="5"/>
        <w:rPr>
          <w:rFonts w:ascii="宋体" w:hAnsi="宋体" w:cs="宋体" w:eastAsia="宋体" w:hint="default"/>
          <w:b/>
          <w:bCs/>
          <w:sz w:val="17"/>
          <w:szCs w:val="17"/>
        </w:rPr>
      </w:pPr>
    </w:p>
    <w:p>
      <w:pPr>
        <w:spacing w:line="357" w:lineRule="auto" w:before="0"/>
        <w:ind w:left="513" w:right="7691" w:hanging="360"/>
        <w:jc w:val="left"/>
        <w:rPr>
          <w:rFonts w:ascii="宋体" w:hAnsi="宋体" w:cs="宋体" w:eastAsia="宋体" w:hint="default"/>
          <w:sz w:val="18"/>
          <w:szCs w:val="18"/>
        </w:rPr>
      </w:pPr>
      <w:r>
        <w:rPr>
          <w:rFonts w:ascii="宋体" w:hAnsi="宋体" w:cs="宋体" w:eastAsia="宋体" w:hint="default"/>
          <w:sz w:val="18"/>
          <w:szCs w:val="18"/>
        </w:rPr>
        <w:t>□ 适用 √ 不适用 公司报告期不存在其他重大合同。</w:t>
      </w:r>
    </w:p>
    <w:p>
      <w:pPr>
        <w:spacing w:line="240" w:lineRule="auto" w:before="7"/>
        <w:rPr>
          <w:rFonts w:ascii="宋体" w:hAnsi="宋体" w:cs="宋体" w:eastAsia="宋体" w:hint="default"/>
          <w:sz w:val="15"/>
          <w:szCs w:val="15"/>
        </w:rPr>
      </w:pPr>
    </w:p>
    <w:p>
      <w:pPr>
        <w:pStyle w:val="Heading5"/>
        <w:spacing w:line="240" w:lineRule="auto" w:before="0"/>
        <w:ind w:left="154" w:right="0"/>
        <w:jc w:val="left"/>
        <w:rPr>
          <w:b w:val="0"/>
          <w:bCs w:val="0"/>
        </w:rPr>
      </w:pPr>
      <w:r>
        <w:rPr>
          <w:rFonts w:ascii="Times New Roman" w:hAnsi="Times New Roman" w:cs="Times New Roman" w:eastAsia="Times New Roman" w:hint="default"/>
        </w:rPr>
        <w:t>5</w:t>
      </w:r>
      <w:r>
        <w:rPr/>
        <w:t>、报告期内获得金融机构综合授信及贷款的情况</w:t>
      </w:r>
      <w:r>
        <w:rPr>
          <w:b w:val="0"/>
          <w:bCs w:val="0"/>
        </w:rPr>
      </w:r>
    </w:p>
    <w:p>
      <w:pPr>
        <w:spacing w:line="240" w:lineRule="auto" w:before="11"/>
        <w:rPr>
          <w:rFonts w:ascii="宋体" w:hAnsi="宋体" w:cs="宋体" w:eastAsia="宋体" w:hint="default"/>
          <w:b/>
          <w:bCs/>
          <w:sz w:val="21"/>
          <w:szCs w:val="21"/>
        </w:rPr>
      </w:pPr>
    </w:p>
    <w:p>
      <w:pPr>
        <w:spacing w:before="0"/>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pacing w:val="-26"/>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宋体" w:hAnsi="宋体" w:cs="宋体" w:eastAsia="宋体" w:hint="default"/>
          <w:spacing w:val="-26"/>
          <w:sz w:val="18"/>
          <w:szCs w:val="18"/>
        </w:rPr>
        <w:t>，</w:t>
      </w:r>
      <w:r>
        <w:rPr>
          <w:rFonts w:ascii="宋体" w:hAnsi="宋体" w:cs="宋体" w:eastAsia="宋体" w:hint="default"/>
          <w:sz w:val="18"/>
          <w:szCs w:val="18"/>
        </w:rPr>
        <w:t>公</w:t>
      </w:r>
      <w:r>
        <w:rPr>
          <w:rFonts w:ascii="宋体" w:hAnsi="宋体" w:cs="宋体" w:eastAsia="宋体" w:hint="default"/>
          <w:spacing w:val="1"/>
          <w:sz w:val="18"/>
          <w:szCs w:val="18"/>
        </w:rPr>
        <w:t>司</w:t>
      </w:r>
      <w:r>
        <w:rPr>
          <w:rFonts w:ascii="宋体" w:hAnsi="宋体" w:cs="宋体" w:eastAsia="宋体" w:hint="default"/>
          <w:sz w:val="18"/>
          <w:szCs w:val="18"/>
        </w:rPr>
        <w:t>与中电财务签</w:t>
      </w:r>
      <w:r>
        <w:rPr>
          <w:rFonts w:ascii="宋体" w:hAnsi="宋体" w:cs="宋体" w:eastAsia="宋体" w:hint="default"/>
          <w:spacing w:val="-26"/>
          <w:sz w:val="18"/>
          <w:szCs w:val="18"/>
        </w:rPr>
        <w:t>订</w:t>
      </w:r>
      <w:r>
        <w:rPr>
          <w:rFonts w:ascii="宋体" w:hAnsi="宋体" w:cs="宋体" w:eastAsia="宋体" w:hint="default"/>
          <w:sz w:val="18"/>
          <w:szCs w:val="18"/>
        </w:rPr>
        <w:t>《借款合同</w:t>
      </w:r>
      <w:r>
        <w:rPr>
          <w:rFonts w:ascii="宋体" w:hAnsi="宋体" w:cs="宋体" w:eastAsia="宋体" w:hint="default"/>
          <w:spacing w:val="-90"/>
          <w:sz w:val="18"/>
          <w:szCs w:val="18"/>
        </w:rPr>
        <w:t>》</w:t>
      </w:r>
      <w:r>
        <w:rPr>
          <w:rFonts w:ascii="宋体" w:hAnsi="宋体" w:cs="宋体" w:eastAsia="宋体" w:hint="default"/>
          <w:spacing w:val="-26"/>
          <w:sz w:val="18"/>
          <w:szCs w:val="18"/>
        </w:rPr>
        <w:t>，</w:t>
      </w:r>
      <w:r>
        <w:rPr>
          <w:rFonts w:ascii="宋体" w:hAnsi="宋体" w:cs="宋体" w:eastAsia="宋体" w:hint="default"/>
          <w:sz w:val="18"/>
          <w:szCs w:val="18"/>
        </w:rPr>
        <w:t>以信用担保方式获得流动资金借款人民币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w:t>
      </w:r>
      <w:r>
        <w:rPr>
          <w:rFonts w:ascii="宋体" w:hAnsi="宋体" w:cs="宋体" w:eastAsia="宋体" w:hint="default"/>
          <w:spacing w:val="-26"/>
          <w:sz w:val="18"/>
          <w:szCs w:val="18"/>
        </w:rPr>
        <w:t>，</w:t>
      </w:r>
      <w:r>
        <w:rPr>
          <w:rFonts w:ascii="宋体" w:hAnsi="宋体" w:cs="宋体" w:eastAsia="宋体" w:hint="default"/>
          <w:spacing w:val="1"/>
          <w:sz w:val="18"/>
          <w:szCs w:val="18"/>
        </w:rPr>
        <w:t>期</w:t>
      </w:r>
      <w:r>
        <w:rPr>
          <w:rFonts w:ascii="宋体" w:hAnsi="宋体" w:cs="宋体" w:eastAsia="宋体" w:hint="default"/>
          <w:sz w:val="18"/>
          <w:szCs w:val="18"/>
        </w:rPr>
        <w:t>限壹年。</w:t>
      </w:r>
    </w:p>
    <w:p>
      <w:pPr>
        <w:spacing w:before="83"/>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pacing w:val="-26"/>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宋体" w:hAnsi="宋体" w:cs="宋体" w:eastAsia="宋体" w:hint="default"/>
          <w:spacing w:val="-26"/>
          <w:sz w:val="18"/>
          <w:szCs w:val="18"/>
        </w:rPr>
        <w:t>，</w:t>
      </w:r>
      <w:r>
        <w:rPr>
          <w:rFonts w:ascii="宋体" w:hAnsi="宋体" w:cs="宋体" w:eastAsia="宋体" w:hint="default"/>
          <w:sz w:val="18"/>
          <w:szCs w:val="18"/>
        </w:rPr>
        <w:t>公</w:t>
      </w:r>
      <w:r>
        <w:rPr>
          <w:rFonts w:ascii="宋体" w:hAnsi="宋体" w:cs="宋体" w:eastAsia="宋体" w:hint="default"/>
          <w:spacing w:val="1"/>
          <w:sz w:val="18"/>
          <w:szCs w:val="18"/>
        </w:rPr>
        <w:t>司</w:t>
      </w:r>
      <w:r>
        <w:rPr>
          <w:rFonts w:ascii="宋体" w:hAnsi="宋体" w:cs="宋体" w:eastAsia="宋体" w:hint="default"/>
          <w:sz w:val="18"/>
          <w:szCs w:val="18"/>
        </w:rPr>
        <w:t>与中电财务签</w:t>
      </w:r>
      <w:r>
        <w:rPr>
          <w:rFonts w:ascii="宋体" w:hAnsi="宋体" w:cs="宋体" w:eastAsia="宋体" w:hint="default"/>
          <w:spacing w:val="-26"/>
          <w:sz w:val="18"/>
          <w:szCs w:val="18"/>
        </w:rPr>
        <w:t>订</w:t>
      </w:r>
      <w:r>
        <w:rPr>
          <w:rFonts w:ascii="宋体" w:hAnsi="宋体" w:cs="宋体" w:eastAsia="宋体" w:hint="default"/>
          <w:sz w:val="18"/>
          <w:szCs w:val="18"/>
        </w:rPr>
        <w:t>《借款合同</w:t>
      </w:r>
      <w:r>
        <w:rPr>
          <w:rFonts w:ascii="宋体" w:hAnsi="宋体" w:cs="宋体" w:eastAsia="宋体" w:hint="default"/>
          <w:spacing w:val="-90"/>
          <w:sz w:val="18"/>
          <w:szCs w:val="18"/>
        </w:rPr>
        <w:t>》</w:t>
      </w:r>
      <w:r>
        <w:rPr>
          <w:rFonts w:ascii="宋体" w:hAnsi="宋体" w:cs="宋体" w:eastAsia="宋体" w:hint="default"/>
          <w:spacing w:val="-26"/>
          <w:sz w:val="18"/>
          <w:szCs w:val="18"/>
        </w:rPr>
        <w:t>，</w:t>
      </w:r>
      <w:r>
        <w:rPr>
          <w:rFonts w:ascii="宋体" w:hAnsi="宋体" w:cs="宋体" w:eastAsia="宋体" w:hint="default"/>
          <w:sz w:val="18"/>
          <w:szCs w:val="18"/>
        </w:rPr>
        <w:t>以信用担保方式获得流动资金借款人民币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w:t>
      </w:r>
      <w:r>
        <w:rPr>
          <w:rFonts w:ascii="宋体" w:hAnsi="宋体" w:cs="宋体" w:eastAsia="宋体" w:hint="default"/>
          <w:spacing w:val="-26"/>
          <w:sz w:val="18"/>
          <w:szCs w:val="18"/>
        </w:rPr>
        <w:t>，</w:t>
      </w:r>
      <w:r>
        <w:rPr>
          <w:rFonts w:ascii="宋体" w:hAnsi="宋体" w:cs="宋体" w:eastAsia="宋体" w:hint="default"/>
          <w:spacing w:val="1"/>
          <w:sz w:val="18"/>
          <w:szCs w:val="18"/>
        </w:rPr>
        <w:t>期</w:t>
      </w:r>
      <w:r>
        <w:rPr>
          <w:rFonts w:ascii="宋体" w:hAnsi="宋体" w:cs="宋体" w:eastAsia="宋体" w:hint="default"/>
          <w:sz w:val="18"/>
          <w:szCs w:val="18"/>
        </w:rPr>
        <w:t>限壹年。</w:t>
      </w:r>
    </w:p>
    <w:p>
      <w:pPr>
        <w:spacing w:line="300" w:lineRule="auto" w:before="83"/>
        <w:ind w:left="154" w:right="1123"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2"/>
          <w:sz w:val="18"/>
          <w:szCs w:val="18"/>
        </w:rPr>
        <w:t> </w:t>
      </w:r>
      <w:r>
        <w:rPr>
          <w:rFonts w:ascii="宋体" w:hAnsi="宋体" w:cs="宋体" w:eastAsia="宋体" w:hint="default"/>
          <w:spacing w:val="-3"/>
          <w:sz w:val="18"/>
          <w:szCs w:val="18"/>
        </w:rPr>
        <w:t>日，公司与中电财务签订《借款合同》，以信用担保方式获得流动资金借款人民币</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5,000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万元，期限 壹年。</w:t>
      </w:r>
    </w:p>
    <w:p>
      <w:pPr>
        <w:spacing w:line="300" w:lineRule="auto" w:before="50"/>
        <w:ind w:left="154" w:right="1127" w:firstLine="359"/>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4</w:t>
      </w: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2018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3"/>
          <w:sz w:val="18"/>
          <w:szCs w:val="18"/>
        </w:rPr>
        <w:t> </w:t>
      </w:r>
      <w:r>
        <w:rPr>
          <w:rFonts w:ascii="宋体" w:hAnsi="宋体" w:cs="宋体" w:eastAsia="宋体" w:hint="default"/>
          <w:spacing w:val="-4"/>
          <w:sz w:val="18"/>
          <w:szCs w:val="18"/>
        </w:rPr>
        <w:t>日，公司与中电财务签订《借款合同》，以信用担保方式获得流动资金借款人民币</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3"/>
          <w:sz w:val="18"/>
          <w:szCs w:val="18"/>
        </w:rPr>
        <w:t> </w:t>
      </w:r>
      <w:r>
        <w:rPr>
          <w:rFonts w:ascii="宋体" w:hAnsi="宋体" w:cs="宋体" w:eastAsia="宋体" w:hint="default"/>
          <w:spacing w:val="-1"/>
          <w:sz w:val="18"/>
          <w:szCs w:val="18"/>
        </w:rPr>
        <w:t>亿元，期限玖个</w:t>
      </w:r>
      <w:r>
        <w:rPr>
          <w:rFonts w:ascii="宋体" w:hAnsi="宋体" w:cs="宋体" w:eastAsia="宋体" w:hint="default"/>
          <w:sz w:val="18"/>
          <w:szCs w:val="18"/>
        </w:rPr>
        <w:t> 月。</w:t>
      </w:r>
    </w:p>
    <w:p>
      <w:pPr>
        <w:spacing w:line="300" w:lineRule="auto" w:before="52"/>
        <w:ind w:left="154" w:right="1123" w:firstLine="36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5</w:t>
      </w: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2018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pacing w:val="-3"/>
          <w:sz w:val="18"/>
          <w:szCs w:val="18"/>
        </w:rPr>
        <w:t>日，公司与中电财务签订《综合授信合同》，以信用担保方式获得综合授信额度人民币</w:t>
      </w:r>
      <w:r>
        <w:rPr>
          <w:rFonts w:ascii="宋体" w:hAnsi="宋体" w:cs="宋体" w:eastAsia="宋体" w:hint="default"/>
          <w:spacing w:val="-46"/>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pacing w:val="-1"/>
          <w:sz w:val="18"/>
          <w:szCs w:val="18"/>
        </w:rPr>
        <w:t>亿元，期限</w:t>
      </w:r>
      <w:r>
        <w:rPr>
          <w:rFonts w:ascii="宋体" w:hAnsi="宋体" w:cs="宋体" w:eastAsia="宋体" w:hint="default"/>
          <w:sz w:val="18"/>
          <w:szCs w:val="18"/>
        </w:rPr>
        <w:t> 壹年。</w:t>
      </w:r>
    </w:p>
    <w:p>
      <w:pPr>
        <w:spacing w:before="52"/>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pacing w:val="-35"/>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宋体" w:hAnsi="宋体" w:cs="宋体" w:eastAsia="宋体" w:hint="default"/>
          <w:spacing w:val="-35"/>
          <w:sz w:val="18"/>
          <w:szCs w:val="18"/>
        </w:rPr>
        <w:t>，</w:t>
      </w:r>
      <w:r>
        <w:rPr>
          <w:rFonts w:ascii="宋体" w:hAnsi="宋体" w:cs="宋体" w:eastAsia="宋体" w:hint="default"/>
          <w:sz w:val="18"/>
          <w:szCs w:val="18"/>
        </w:rPr>
        <w:t>公司与</w:t>
      </w:r>
      <w:r>
        <w:rPr>
          <w:rFonts w:ascii="宋体" w:hAnsi="宋体" w:cs="宋体" w:eastAsia="宋体" w:hint="default"/>
          <w:spacing w:val="1"/>
          <w:sz w:val="18"/>
          <w:szCs w:val="18"/>
        </w:rPr>
        <w:t>中</w:t>
      </w:r>
      <w:r>
        <w:rPr>
          <w:rFonts w:ascii="宋体" w:hAnsi="宋体" w:cs="宋体" w:eastAsia="宋体" w:hint="default"/>
          <w:sz w:val="18"/>
          <w:szCs w:val="18"/>
        </w:rPr>
        <w:t>电财务签</w:t>
      </w:r>
      <w:r>
        <w:rPr>
          <w:rFonts w:ascii="宋体" w:hAnsi="宋体" w:cs="宋体" w:eastAsia="宋体" w:hint="default"/>
          <w:spacing w:val="-35"/>
          <w:sz w:val="18"/>
          <w:szCs w:val="18"/>
        </w:rPr>
        <w:t>订</w:t>
      </w:r>
      <w:r>
        <w:rPr>
          <w:rFonts w:ascii="宋体" w:hAnsi="宋体" w:cs="宋体" w:eastAsia="宋体" w:hint="default"/>
          <w:sz w:val="18"/>
          <w:szCs w:val="18"/>
        </w:rPr>
        <w:t>《借款合同</w:t>
      </w:r>
      <w:r>
        <w:rPr>
          <w:rFonts w:ascii="宋体" w:hAnsi="宋体" w:cs="宋体" w:eastAsia="宋体" w:hint="default"/>
          <w:spacing w:val="-90"/>
          <w:sz w:val="18"/>
          <w:szCs w:val="18"/>
        </w:rPr>
        <w:t>》</w:t>
      </w:r>
      <w:r>
        <w:rPr>
          <w:rFonts w:ascii="宋体" w:hAnsi="宋体" w:cs="宋体" w:eastAsia="宋体" w:hint="default"/>
          <w:spacing w:val="-35"/>
          <w:sz w:val="18"/>
          <w:szCs w:val="18"/>
        </w:rPr>
        <w:t>，</w:t>
      </w:r>
      <w:r>
        <w:rPr>
          <w:rFonts w:ascii="宋体" w:hAnsi="宋体" w:cs="宋体" w:eastAsia="宋体" w:hint="default"/>
          <w:sz w:val="18"/>
          <w:szCs w:val="18"/>
        </w:rPr>
        <w:t>以信用担保方式获得流动资金借款人民币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w:t>
      </w:r>
      <w:r>
        <w:rPr>
          <w:rFonts w:ascii="宋体" w:hAnsi="宋体" w:cs="宋体" w:eastAsia="宋体" w:hint="default"/>
          <w:spacing w:val="-35"/>
          <w:sz w:val="18"/>
          <w:szCs w:val="18"/>
        </w:rPr>
        <w:t>，</w:t>
      </w:r>
      <w:r>
        <w:rPr>
          <w:rFonts w:ascii="宋体" w:hAnsi="宋体" w:cs="宋体" w:eastAsia="宋体" w:hint="default"/>
          <w:sz w:val="18"/>
          <w:szCs w:val="18"/>
        </w:rPr>
        <w:t>期限壹</w:t>
      </w:r>
      <w:r>
        <w:rPr>
          <w:rFonts w:ascii="宋体" w:hAnsi="宋体" w:cs="宋体" w:eastAsia="宋体" w:hint="default"/>
          <w:spacing w:val="1"/>
          <w:sz w:val="18"/>
          <w:szCs w:val="18"/>
        </w:rPr>
        <w:t>年</w:t>
      </w:r>
      <w:r>
        <w:rPr>
          <w:rFonts w:ascii="宋体" w:hAnsi="宋体" w:cs="宋体" w:eastAsia="宋体" w:hint="default"/>
          <w:sz w:val="18"/>
          <w:szCs w:val="18"/>
        </w:rPr>
        <w:t>。</w:t>
      </w:r>
    </w:p>
    <w:p>
      <w:pPr>
        <w:spacing w:before="82"/>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pacing w:val="-26"/>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宋体" w:hAnsi="宋体" w:cs="宋体" w:eastAsia="宋体" w:hint="default"/>
          <w:spacing w:val="-26"/>
          <w:sz w:val="18"/>
          <w:szCs w:val="18"/>
        </w:rPr>
        <w:t>，</w:t>
      </w:r>
      <w:r>
        <w:rPr>
          <w:rFonts w:ascii="宋体" w:hAnsi="宋体" w:cs="宋体" w:eastAsia="宋体" w:hint="default"/>
          <w:sz w:val="18"/>
          <w:szCs w:val="18"/>
        </w:rPr>
        <w:t>公</w:t>
      </w:r>
      <w:r>
        <w:rPr>
          <w:rFonts w:ascii="宋体" w:hAnsi="宋体" w:cs="宋体" w:eastAsia="宋体" w:hint="default"/>
          <w:spacing w:val="1"/>
          <w:sz w:val="18"/>
          <w:szCs w:val="18"/>
        </w:rPr>
        <w:t>司</w:t>
      </w:r>
      <w:r>
        <w:rPr>
          <w:rFonts w:ascii="宋体" w:hAnsi="宋体" w:cs="宋体" w:eastAsia="宋体" w:hint="default"/>
          <w:sz w:val="18"/>
          <w:szCs w:val="18"/>
        </w:rPr>
        <w:t>与中电财务签</w:t>
      </w:r>
      <w:r>
        <w:rPr>
          <w:rFonts w:ascii="宋体" w:hAnsi="宋体" w:cs="宋体" w:eastAsia="宋体" w:hint="default"/>
          <w:spacing w:val="-26"/>
          <w:sz w:val="18"/>
          <w:szCs w:val="18"/>
        </w:rPr>
        <w:t>订</w:t>
      </w:r>
      <w:r>
        <w:rPr>
          <w:rFonts w:ascii="宋体" w:hAnsi="宋体" w:cs="宋体" w:eastAsia="宋体" w:hint="default"/>
          <w:sz w:val="18"/>
          <w:szCs w:val="18"/>
        </w:rPr>
        <w:t>《借款合同</w:t>
      </w:r>
      <w:r>
        <w:rPr>
          <w:rFonts w:ascii="宋体" w:hAnsi="宋体" w:cs="宋体" w:eastAsia="宋体" w:hint="default"/>
          <w:spacing w:val="-90"/>
          <w:sz w:val="18"/>
          <w:szCs w:val="18"/>
        </w:rPr>
        <w:t>》</w:t>
      </w:r>
      <w:r>
        <w:rPr>
          <w:rFonts w:ascii="宋体" w:hAnsi="宋体" w:cs="宋体" w:eastAsia="宋体" w:hint="default"/>
          <w:spacing w:val="-26"/>
          <w:sz w:val="18"/>
          <w:szCs w:val="18"/>
        </w:rPr>
        <w:t>，</w:t>
      </w:r>
      <w:r>
        <w:rPr>
          <w:rFonts w:ascii="宋体" w:hAnsi="宋体" w:cs="宋体" w:eastAsia="宋体" w:hint="default"/>
          <w:sz w:val="18"/>
          <w:szCs w:val="18"/>
        </w:rPr>
        <w:t>以信用担保方式获得流动资金借款人民币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w:t>
      </w:r>
      <w:r>
        <w:rPr>
          <w:rFonts w:ascii="宋体" w:hAnsi="宋体" w:cs="宋体" w:eastAsia="宋体" w:hint="default"/>
          <w:spacing w:val="-26"/>
          <w:sz w:val="18"/>
          <w:szCs w:val="18"/>
        </w:rPr>
        <w:t>，</w:t>
      </w:r>
      <w:r>
        <w:rPr>
          <w:rFonts w:ascii="宋体" w:hAnsi="宋体" w:cs="宋体" w:eastAsia="宋体" w:hint="default"/>
          <w:spacing w:val="1"/>
          <w:sz w:val="18"/>
          <w:szCs w:val="18"/>
        </w:rPr>
        <w:t>期</w:t>
      </w:r>
      <w:r>
        <w:rPr>
          <w:rFonts w:ascii="宋体" w:hAnsi="宋体" w:cs="宋体" w:eastAsia="宋体" w:hint="default"/>
          <w:sz w:val="18"/>
          <w:szCs w:val="18"/>
        </w:rPr>
        <w:t>限壹年。</w:t>
      </w:r>
    </w:p>
    <w:p>
      <w:pPr>
        <w:spacing w:line="300" w:lineRule="auto" w:before="83"/>
        <w:ind w:left="154" w:right="1036" w:firstLine="360"/>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8</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pacing w:val="-4"/>
          <w:sz w:val="18"/>
          <w:szCs w:val="18"/>
        </w:rPr>
        <w:t>日，公司与建设银行长沙芙蓉支行签订《透支业务合同》，以信用担保方式获得透支借款</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 期限壹年。</w:t>
      </w:r>
    </w:p>
    <w:p>
      <w:pPr>
        <w:spacing w:before="52"/>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日，公司以信用担保方式获得建设银行深圳分行流动资金借款人民币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亿元，期限壹年。</w:t>
      </w:r>
    </w:p>
    <w:p>
      <w:pPr>
        <w:spacing w:before="82"/>
        <w:ind w:left="514"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6"/>
          <w:sz w:val="18"/>
          <w:szCs w:val="18"/>
        </w:rPr>
        <w:t> </w:t>
      </w:r>
      <w:r>
        <w:rPr>
          <w:rFonts w:ascii="宋体" w:hAnsi="宋体" w:cs="宋体" w:eastAsia="宋体" w:hint="default"/>
          <w:sz w:val="18"/>
          <w:szCs w:val="18"/>
        </w:rPr>
        <w:t>年</w:t>
      </w:r>
      <w:r>
        <w:rPr>
          <w:rFonts w:ascii="宋体" w:hAnsi="宋体" w:cs="宋体" w:eastAsia="宋体" w:hint="default"/>
          <w:spacing w:val="-29"/>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6"/>
          <w:sz w:val="18"/>
          <w:szCs w:val="18"/>
        </w:rPr>
        <w:t> </w:t>
      </w:r>
      <w:r>
        <w:rPr>
          <w:rFonts w:ascii="宋体" w:hAnsi="宋体" w:cs="宋体" w:eastAsia="宋体" w:hint="default"/>
          <w:sz w:val="18"/>
          <w:szCs w:val="18"/>
        </w:rPr>
        <w:t>月</w:t>
      </w:r>
      <w:r>
        <w:rPr>
          <w:rFonts w:ascii="宋体" w:hAnsi="宋体" w:cs="宋体" w:eastAsia="宋体" w:hint="default"/>
          <w:spacing w:val="-29"/>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6"/>
          <w:sz w:val="18"/>
          <w:szCs w:val="18"/>
        </w:rPr>
        <w:t> </w:t>
      </w:r>
      <w:r>
        <w:rPr>
          <w:rFonts w:ascii="宋体" w:hAnsi="宋体" w:cs="宋体" w:eastAsia="宋体" w:hint="default"/>
          <w:sz w:val="18"/>
          <w:szCs w:val="18"/>
        </w:rPr>
        <w:t>日，公司与光大银行深圳分行签订《综合授信协议</w:t>
      </w:r>
      <w:r>
        <w:rPr>
          <w:rFonts w:ascii="宋体" w:hAnsi="宋体" w:cs="宋体" w:eastAsia="宋体" w:hint="default"/>
          <w:spacing w:val="-90"/>
          <w:sz w:val="18"/>
          <w:szCs w:val="18"/>
        </w:rPr>
        <w:t>》</w:t>
      </w:r>
      <w:r>
        <w:rPr>
          <w:rFonts w:ascii="宋体" w:hAnsi="宋体" w:cs="宋体" w:eastAsia="宋体" w:hint="default"/>
          <w:sz w:val="18"/>
          <w:szCs w:val="18"/>
        </w:rPr>
        <w:t>，以信用担保方式获得综合授信额度人民币</w:t>
      </w:r>
      <w:r>
        <w:rPr>
          <w:rFonts w:ascii="宋体" w:hAnsi="宋体" w:cs="宋体" w:eastAsia="宋体" w:hint="default"/>
          <w:spacing w:val="-29"/>
          <w:sz w:val="18"/>
          <w:szCs w:val="18"/>
        </w:rPr>
        <w:t> </w:t>
      </w:r>
      <w:r>
        <w:rPr>
          <w:rFonts w:ascii="Times New Roman" w:hAnsi="Times New Roman" w:cs="Times New Roman" w:eastAsia="Times New Roman" w:hint="default"/>
          <w:sz w:val="18"/>
          <w:szCs w:val="18"/>
        </w:rPr>
        <w:t>2</w:t>
      </w:r>
    </w:p>
    <w:p>
      <w:pPr>
        <w:spacing w:before="63"/>
        <w:ind w:left="154" w:right="0" w:firstLine="0"/>
        <w:jc w:val="left"/>
        <w:rPr>
          <w:rFonts w:ascii="宋体" w:hAnsi="宋体" w:cs="宋体" w:eastAsia="宋体" w:hint="default"/>
          <w:sz w:val="18"/>
          <w:szCs w:val="18"/>
        </w:rPr>
      </w:pPr>
      <w:r>
        <w:rPr>
          <w:rFonts w:ascii="宋体" w:hAnsi="宋体" w:cs="宋体" w:eastAsia="宋体" w:hint="default"/>
          <w:sz w:val="18"/>
          <w:szCs w:val="18"/>
        </w:rPr>
        <w:t>亿元，期限壹年。</w:t>
      </w:r>
    </w:p>
    <w:p>
      <w:pPr>
        <w:spacing w:before="97"/>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11</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日，公司以信用担保方式获得建设银行深圳分行流动资金借款人民币</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亿元，期限壹年。</w:t>
      </w:r>
    </w:p>
    <w:p>
      <w:pPr>
        <w:spacing w:before="83"/>
        <w:ind w:left="514" w:right="0" w:firstLine="0"/>
        <w:jc w:val="left"/>
        <w:rPr>
          <w:rFonts w:ascii="宋体" w:hAnsi="宋体" w:cs="宋体" w:eastAsia="宋体" w:hint="default"/>
          <w:sz w:val="18"/>
          <w:szCs w:val="18"/>
        </w:rPr>
      </w:pPr>
      <w:r>
        <w:rPr>
          <w:rFonts w:ascii="Times New Roman" w:hAnsi="Times New Roman" w:cs="Times New Roman" w:eastAsia="Times New Roman" w:hint="default"/>
          <w:spacing w:val="-8"/>
          <w:sz w:val="18"/>
          <w:szCs w:val="18"/>
        </w:rPr>
        <w:t>12</w:t>
      </w:r>
      <w:r>
        <w:rPr>
          <w:rFonts w:ascii="宋体" w:hAnsi="宋体" w:cs="宋体" w:eastAsia="宋体" w:hint="default"/>
          <w:spacing w:val="-8"/>
          <w:sz w:val="18"/>
          <w:szCs w:val="18"/>
        </w:rPr>
        <w:t>、</w:t>
      </w:r>
      <w:r>
        <w:rPr>
          <w:rFonts w:ascii="Times New Roman" w:hAnsi="Times New Roman" w:cs="Times New Roman" w:eastAsia="Times New Roman" w:hint="default"/>
          <w:spacing w:val="-8"/>
          <w:sz w:val="18"/>
          <w:szCs w:val="18"/>
        </w:rPr>
        <w:t>2018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日，公司以房地产抵押担保方式获得建设银行深圳分行固定资产借款人民币</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11,556</w:t>
      </w:r>
      <w:r>
        <w:rPr>
          <w:rFonts w:ascii="Times New Roman" w:hAnsi="Times New Roman" w:cs="Times New Roman" w:eastAsia="Times New Roman" w:hint="default"/>
          <w:spacing w:val="-10"/>
          <w:sz w:val="18"/>
          <w:szCs w:val="18"/>
        </w:rPr>
        <w:t> </w:t>
      </w:r>
      <w:r>
        <w:rPr>
          <w:rFonts w:ascii="宋体" w:hAnsi="宋体" w:cs="宋体" w:eastAsia="宋体" w:hint="default"/>
          <w:spacing w:val="-7"/>
          <w:sz w:val="18"/>
          <w:szCs w:val="18"/>
        </w:rPr>
        <w:t>万元，期限捌年。</w:t>
      </w:r>
    </w:p>
    <w:p>
      <w:pPr>
        <w:spacing w:before="82"/>
        <w:ind w:left="514"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13</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日，公司与进出口银行深圳分行签订《借款合同</w:t>
      </w:r>
      <w:r>
        <w:rPr>
          <w:rFonts w:ascii="宋体" w:hAnsi="宋体" w:cs="宋体" w:eastAsia="宋体" w:hint="default"/>
          <w:spacing w:val="-90"/>
          <w:sz w:val="18"/>
          <w:szCs w:val="18"/>
        </w:rPr>
        <w:t>》</w:t>
      </w:r>
      <w:r>
        <w:rPr>
          <w:rFonts w:ascii="宋体" w:hAnsi="宋体" w:cs="宋体" w:eastAsia="宋体" w:hint="default"/>
          <w:sz w:val="18"/>
          <w:szCs w:val="18"/>
        </w:rPr>
        <w:t>，以信用担保方式获得流动资金借款人民币</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2.5</w:t>
      </w:r>
    </w:p>
    <w:p>
      <w:pPr>
        <w:spacing w:before="63"/>
        <w:ind w:left="154" w:right="0" w:firstLine="0"/>
        <w:jc w:val="left"/>
        <w:rPr>
          <w:rFonts w:ascii="宋体" w:hAnsi="宋体" w:cs="宋体" w:eastAsia="宋体" w:hint="default"/>
          <w:sz w:val="18"/>
          <w:szCs w:val="18"/>
        </w:rPr>
      </w:pPr>
      <w:r>
        <w:rPr>
          <w:rFonts w:ascii="宋体" w:hAnsi="宋体" w:cs="宋体" w:eastAsia="宋体" w:hint="default"/>
          <w:sz w:val="18"/>
          <w:szCs w:val="18"/>
        </w:rPr>
        <w:t>亿元，期限壹年。</w:t>
      </w:r>
    </w:p>
    <w:p>
      <w:pPr>
        <w:spacing w:before="97"/>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14</w:t>
      </w:r>
      <w:r>
        <w:rPr>
          <w:rFonts w:ascii="宋体" w:hAnsi="宋体" w:cs="宋体" w:eastAsia="宋体" w:hint="default"/>
          <w:spacing w:val="-8"/>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6"/>
          <w:sz w:val="18"/>
          <w:szCs w:val="18"/>
        </w:rPr>
        <w:t>1</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宋体" w:hAnsi="宋体" w:cs="宋体" w:eastAsia="宋体" w:hint="default"/>
          <w:spacing w:val="-8"/>
          <w:sz w:val="18"/>
          <w:szCs w:val="18"/>
        </w:rPr>
        <w:t>，</w:t>
      </w:r>
      <w:r>
        <w:rPr>
          <w:rFonts w:ascii="宋体" w:hAnsi="宋体" w:cs="宋体" w:eastAsia="宋体" w:hint="default"/>
          <w:sz w:val="18"/>
          <w:szCs w:val="18"/>
        </w:rPr>
        <w:t>公</w:t>
      </w:r>
      <w:r>
        <w:rPr>
          <w:rFonts w:ascii="宋体" w:hAnsi="宋体" w:cs="宋体" w:eastAsia="宋体" w:hint="default"/>
          <w:spacing w:val="1"/>
          <w:sz w:val="18"/>
          <w:szCs w:val="18"/>
        </w:rPr>
        <w:t>司</w:t>
      </w:r>
      <w:r>
        <w:rPr>
          <w:rFonts w:ascii="宋体" w:hAnsi="宋体" w:cs="宋体" w:eastAsia="宋体" w:hint="default"/>
          <w:sz w:val="18"/>
          <w:szCs w:val="18"/>
        </w:rPr>
        <w:t>与平安银行深圳分行签</w:t>
      </w:r>
      <w:r>
        <w:rPr>
          <w:rFonts w:ascii="宋体" w:hAnsi="宋体" w:cs="宋体" w:eastAsia="宋体" w:hint="default"/>
          <w:spacing w:val="-8"/>
          <w:sz w:val="18"/>
          <w:szCs w:val="18"/>
        </w:rPr>
        <w:t>订</w:t>
      </w:r>
      <w:r>
        <w:rPr>
          <w:rFonts w:ascii="宋体" w:hAnsi="宋体" w:cs="宋体" w:eastAsia="宋体" w:hint="default"/>
          <w:sz w:val="18"/>
          <w:szCs w:val="18"/>
        </w:rPr>
        <w:t>《综合授信额度合同</w:t>
      </w:r>
      <w:r>
        <w:rPr>
          <w:rFonts w:ascii="宋体" w:hAnsi="宋体" w:cs="宋体" w:eastAsia="宋体" w:hint="default"/>
          <w:spacing w:val="-90"/>
          <w:sz w:val="18"/>
          <w:szCs w:val="18"/>
        </w:rPr>
        <w:t>》</w:t>
      </w:r>
      <w:r>
        <w:rPr>
          <w:rFonts w:ascii="宋体" w:hAnsi="宋体" w:cs="宋体" w:eastAsia="宋体" w:hint="default"/>
          <w:spacing w:val="-8"/>
          <w:sz w:val="18"/>
          <w:szCs w:val="18"/>
        </w:rPr>
        <w:t>，</w:t>
      </w:r>
      <w:r>
        <w:rPr>
          <w:rFonts w:ascii="宋体" w:hAnsi="宋体" w:cs="宋体" w:eastAsia="宋体" w:hint="default"/>
          <w:sz w:val="18"/>
          <w:szCs w:val="18"/>
        </w:rPr>
        <w:t>以信用担保方式获得综合授信额度人民</w:t>
      </w:r>
    </w:p>
    <w:p>
      <w:pPr>
        <w:spacing w:before="63"/>
        <w:ind w:left="154" w:right="0" w:firstLine="0"/>
        <w:jc w:val="left"/>
        <w:rPr>
          <w:rFonts w:ascii="宋体" w:hAnsi="宋体" w:cs="宋体" w:eastAsia="宋体" w:hint="default"/>
          <w:sz w:val="18"/>
          <w:szCs w:val="18"/>
        </w:rPr>
      </w:pPr>
      <w:r>
        <w:rPr>
          <w:rFonts w:ascii="宋体" w:hAnsi="宋体" w:cs="宋体" w:eastAsia="宋体" w:hint="default"/>
          <w:sz w:val="18"/>
          <w:szCs w:val="18"/>
        </w:rPr>
        <w:t>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亿元，期限壹年。</w:t>
      </w:r>
    </w:p>
    <w:p>
      <w:pPr>
        <w:spacing w:before="83"/>
        <w:ind w:left="514"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15</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35"/>
          <w:sz w:val="18"/>
          <w:szCs w:val="18"/>
        </w:rPr>
        <w:t> </w:t>
      </w:r>
      <w:r>
        <w:rPr>
          <w:rFonts w:ascii="Times New Roman" w:hAnsi="Times New Roman" w:cs="Times New Roman" w:eastAsia="Times New Roman" w:hint="default"/>
          <w:spacing w:val="-8"/>
          <w:sz w:val="18"/>
          <w:szCs w:val="18"/>
        </w:rPr>
        <w:t>1</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r>
        <w:rPr>
          <w:rFonts w:ascii="宋体" w:hAnsi="宋体" w:cs="宋体" w:eastAsia="宋体" w:hint="default"/>
          <w:spacing w:val="-2"/>
          <w:sz w:val="18"/>
          <w:szCs w:val="18"/>
        </w:rPr>
        <w:t>公</w:t>
      </w:r>
      <w:r>
        <w:rPr>
          <w:rFonts w:ascii="宋体" w:hAnsi="宋体" w:cs="宋体" w:eastAsia="宋体" w:hint="default"/>
          <w:sz w:val="18"/>
          <w:szCs w:val="18"/>
        </w:rPr>
        <w:t>司与进出口银行深圳分行签订《借款合同</w:t>
      </w:r>
      <w:r>
        <w:rPr>
          <w:rFonts w:ascii="宋体" w:hAnsi="宋体" w:cs="宋体" w:eastAsia="宋体" w:hint="default"/>
          <w:spacing w:val="-90"/>
          <w:sz w:val="18"/>
          <w:szCs w:val="18"/>
        </w:rPr>
        <w:t>》</w:t>
      </w:r>
      <w:r>
        <w:rPr>
          <w:rFonts w:ascii="宋体" w:hAnsi="宋体" w:cs="宋体" w:eastAsia="宋体" w:hint="default"/>
          <w:sz w:val="18"/>
          <w:szCs w:val="18"/>
        </w:rPr>
        <w:t>，以信用担保方式获得流动资金借款人民币</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2.5</w:t>
      </w:r>
    </w:p>
    <w:p>
      <w:pPr>
        <w:spacing w:before="63"/>
        <w:ind w:left="154" w:right="0" w:firstLine="0"/>
        <w:jc w:val="left"/>
        <w:rPr>
          <w:rFonts w:ascii="宋体" w:hAnsi="宋体" w:cs="宋体" w:eastAsia="宋体" w:hint="default"/>
          <w:sz w:val="18"/>
          <w:szCs w:val="18"/>
        </w:rPr>
      </w:pPr>
      <w:r>
        <w:rPr>
          <w:rFonts w:ascii="宋体" w:hAnsi="宋体" w:cs="宋体" w:eastAsia="宋体" w:hint="default"/>
          <w:sz w:val="18"/>
          <w:szCs w:val="18"/>
        </w:rPr>
        <w:t>亿元，期限壹年。</w:t>
      </w:r>
    </w:p>
    <w:p>
      <w:pPr>
        <w:spacing w:before="95"/>
        <w:ind w:left="514"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16</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Times New Roman" w:hAnsi="Times New Roman" w:cs="Times New Roman" w:eastAsia="Times New Roman" w:hint="default"/>
          <w:spacing w:val="-8"/>
          <w:sz w:val="18"/>
          <w:szCs w:val="18"/>
        </w:rPr>
        <w:t>1</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日，公</w:t>
      </w:r>
      <w:r>
        <w:rPr>
          <w:rFonts w:ascii="宋体" w:hAnsi="宋体" w:cs="宋体" w:eastAsia="宋体" w:hint="default"/>
          <w:spacing w:val="-2"/>
          <w:sz w:val="18"/>
          <w:szCs w:val="18"/>
        </w:rPr>
        <w:t>司</w:t>
      </w:r>
      <w:r>
        <w:rPr>
          <w:rFonts w:ascii="宋体" w:hAnsi="宋体" w:cs="宋体" w:eastAsia="宋体" w:hint="default"/>
          <w:sz w:val="18"/>
          <w:szCs w:val="18"/>
        </w:rPr>
        <w:t>与中国银行深圳分行签订《授信额度协议</w:t>
      </w:r>
      <w:r>
        <w:rPr>
          <w:rFonts w:ascii="宋体" w:hAnsi="宋体" w:cs="宋体" w:eastAsia="宋体" w:hint="default"/>
          <w:spacing w:val="-90"/>
          <w:sz w:val="18"/>
          <w:szCs w:val="18"/>
        </w:rPr>
        <w:t>》</w:t>
      </w:r>
      <w:r>
        <w:rPr>
          <w:rFonts w:ascii="宋体" w:hAnsi="宋体" w:cs="宋体" w:eastAsia="宋体" w:hint="default"/>
          <w:sz w:val="18"/>
          <w:szCs w:val="18"/>
        </w:rPr>
        <w:t>，以信用担保方式获得综合授信额度人民币</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8</w:t>
      </w:r>
    </w:p>
    <w:p>
      <w:pPr>
        <w:spacing w:before="63"/>
        <w:ind w:left="154" w:right="0" w:firstLine="0"/>
        <w:jc w:val="left"/>
        <w:rPr>
          <w:rFonts w:ascii="宋体" w:hAnsi="宋体" w:cs="宋体" w:eastAsia="宋体" w:hint="default"/>
          <w:sz w:val="18"/>
          <w:szCs w:val="18"/>
        </w:rPr>
      </w:pPr>
      <w:r>
        <w:rPr>
          <w:rFonts w:ascii="宋体" w:hAnsi="宋体" w:cs="宋体" w:eastAsia="宋体" w:hint="default"/>
          <w:sz w:val="18"/>
          <w:szCs w:val="18"/>
        </w:rPr>
        <w:t>亿元，期限壹年。</w:t>
      </w:r>
    </w:p>
    <w:p>
      <w:pPr>
        <w:spacing w:before="97"/>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17</w:t>
      </w:r>
      <w:r>
        <w:rPr>
          <w:rFonts w:ascii="宋体" w:hAnsi="宋体" w:cs="宋体" w:eastAsia="宋体" w:hint="default"/>
          <w:spacing w:val="-8"/>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6"/>
          <w:sz w:val="18"/>
          <w:szCs w:val="18"/>
        </w:rPr>
        <w:t>1</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宋体" w:hAnsi="宋体" w:cs="宋体" w:eastAsia="宋体" w:hint="default"/>
          <w:spacing w:val="-8"/>
          <w:sz w:val="18"/>
          <w:szCs w:val="18"/>
        </w:rPr>
        <w:t>，</w:t>
      </w:r>
      <w:r>
        <w:rPr>
          <w:rFonts w:ascii="宋体" w:hAnsi="宋体" w:cs="宋体" w:eastAsia="宋体" w:hint="default"/>
          <w:sz w:val="18"/>
          <w:szCs w:val="18"/>
        </w:rPr>
        <w:t>公</w:t>
      </w:r>
      <w:r>
        <w:rPr>
          <w:rFonts w:ascii="宋体" w:hAnsi="宋体" w:cs="宋体" w:eastAsia="宋体" w:hint="default"/>
          <w:spacing w:val="1"/>
          <w:sz w:val="18"/>
          <w:szCs w:val="18"/>
        </w:rPr>
        <w:t>司</w:t>
      </w:r>
      <w:r>
        <w:rPr>
          <w:rFonts w:ascii="宋体" w:hAnsi="宋体" w:cs="宋体" w:eastAsia="宋体" w:hint="default"/>
          <w:sz w:val="18"/>
          <w:szCs w:val="18"/>
        </w:rPr>
        <w:t>与中国银行深圳分行签</w:t>
      </w:r>
      <w:r>
        <w:rPr>
          <w:rFonts w:ascii="宋体" w:hAnsi="宋体" w:cs="宋体" w:eastAsia="宋体" w:hint="default"/>
          <w:spacing w:val="-8"/>
          <w:sz w:val="18"/>
          <w:szCs w:val="18"/>
        </w:rPr>
        <w:t>订</w:t>
      </w:r>
      <w:r>
        <w:rPr>
          <w:rFonts w:ascii="宋体" w:hAnsi="宋体" w:cs="宋体" w:eastAsia="宋体" w:hint="default"/>
          <w:sz w:val="18"/>
          <w:szCs w:val="18"/>
        </w:rPr>
        <w:t>《流动资金借款合同</w:t>
      </w:r>
      <w:r>
        <w:rPr>
          <w:rFonts w:ascii="宋体" w:hAnsi="宋体" w:cs="宋体" w:eastAsia="宋体" w:hint="default"/>
          <w:spacing w:val="-90"/>
          <w:sz w:val="18"/>
          <w:szCs w:val="18"/>
        </w:rPr>
        <w:t>》</w:t>
      </w:r>
      <w:r>
        <w:rPr>
          <w:rFonts w:ascii="宋体" w:hAnsi="宋体" w:cs="宋体" w:eastAsia="宋体" w:hint="default"/>
          <w:spacing w:val="-8"/>
          <w:sz w:val="18"/>
          <w:szCs w:val="18"/>
        </w:rPr>
        <w:t>，</w:t>
      </w:r>
      <w:r>
        <w:rPr>
          <w:rFonts w:ascii="宋体" w:hAnsi="宋体" w:cs="宋体" w:eastAsia="宋体" w:hint="default"/>
          <w:sz w:val="18"/>
          <w:szCs w:val="18"/>
        </w:rPr>
        <w:t>以信用担保方式获得流动资金借款人民</w:t>
      </w:r>
    </w:p>
    <w:p>
      <w:pPr>
        <w:spacing w:before="63"/>
        <w:ind w:left="154" w:right="0" w:firstLine="0"/>
        <w:jc w:val="left"/>
        <w:rPr>
          <w:rFonts w:ascii="宋体" w:hAnsi="宋体" w:cs="宋体" w:eastAsia="宋体" w:hint="default"/>
          <w:sz w:val="18"/>
          <w:szCs w:val="18"/>
        </w:rPr>
      </w:pPr>
      <w:r>
        <w:rPr>
          <w:rFonts w:ascii="宋体" w:hAnsi="宋体" w:cs="宋体" w:eastAsia="宋体" w:hint="default"/>
          <w:sz w:val="18"/>
          <w:szCs w:val="18"/>
        </w:rPr>
        <w:t>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亿元，期限壹年。</w:t>
      </w:r>
    </w:p>
    <w:p>
      <w:pPr>
        <w:spacing w:before="83"/>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18</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35"/>
          <w:sz w:val="18"/>
          <w:szCs w:val="18"/>
        </w:rPr>
        <w:t> </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r>
        <w:rPr>
          <w:rFonts w:ascii="宋体" w:hAnsi="宋体" w:cs="宋体" w:eastAsia="宋体" w:hint="default"/>
          <w:spacing w:val="1"/>
          <w:sz w:val="18"/>
          <w:szCs w:val="18"/>
        </w:rPr>
        <w:t>公</w:t>
      </w:r>
      <w:r>
        <w:rPr>
          <w:rFonts w:ascii="宋体" w:hAnsi="宋体" w:cs="宋体" w:eastAsia="宋体" w:hint="default"/>
          <w:sz w:val="18"/>
          <w:szCs w:val="18"/>
        </w:rPr>
        <w:t>司与中电财务签订《委托贷款借款合同</w:t>
      </w:r>
      <w:r>
        <w:rPr>
          <w:rFonts w:ascii="宋体" w:hAnsi="宋体" w:cs="宋体" w:eastAsia="宋体" w:hint="default"/>
          <w:spacing w:val="-90"/>
          <w:sz w:val="18"/>
          <w:szCs w:val="18"/>
        </w:rPr>
        <w:t>》</w:t>
      </w:r>
      <w:r>
        <w:rPr>
          <w:rFonts w:ascii="宋体" w:hAnsi="宋体" w:cs="宋体" w:eastAsia="宋体" w:hint="default"/>
          <w:sz w:val="18"/>
          <w:szCs w:val="18"/>
        </w:rPr>
        <w:t>，以房地产抵押担保方式获得委托贷款额度人民币</w:t>
      </w:r>
    </w:p>
    <w:p>
      <w:pPr>
        <w:spacing w:before="63"/>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亿元，期限叁年。</w:t>
      </w:r>
    </w:p>
    <w:p>
      <w:pPr>
        <w:spacing w:line="300" w:lineRule="auto" w:before="82"/>
        <w:ind w:left="154" w:right="1120" w:firstLine="36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19</w:t>
      </w: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2018</w:t>
      </w:r>
      <w:r>
        <w:rPr>
          <w:rFonts w:ascii="Times New Roman" w:hAnsi="Times New Roman" w:cs="Times New Roman" w:eastAsia="Times New Roman" w:hint="default"/>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 </w:t>
      </w:r>
      <w:r>
        <w:rPr>
          <w:rFonts w:ascii="宋体" w:hAnsi="宋体" w:cs="宋体" w:eastAsia="宋体" w:hint="default"/>
          <w:spacing w:val="-3"/>
          <w:sz w:val="18"/>
          <w:szCs w:val="18"/>
        </w:rPr>
        <w:t>日，公司与中电财务签订《委托贷款借款展期协议书》，以信用担保方式获得委托贷款人民币</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 元，期限壹年。</w:t>
      </w:r>
    </w:p>
    <w:p>
      <w:pPr>
        <w:spacing w:before="52"/>
        <w:ind w:left="514"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w:t>
      </w:r>
      <w:r>
        <w:rPr>
          <w:rFonts w:ascii="宋体" w:hAnsi="宋体" w:cs="宋体" w:eastAsia="宋体" w:hint="default"/>
          <w:spacing w:val="-32"/>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宋体" w:hAnsi="宋体" w:cs="宋体" w:eastAsia="宋体" w:hint="default"/>
          <w:spacing w:val="-32"/>
          <w:sz w:val="18"/>
          <w:szCs w:val="18"/>
        </w:rPr>
        <w:t>，</w:t>
      </w:r>
      <w:r>
        <w:rPr>
          <w:rFonts w:ascii="宋体" w:hAnsi="宋体" w:cs="宋体" w:eastAsia="宋体" w:hint="default"/>
          <w:sz w:val="18"/>
          <w:szCs w:val="18"/>
        </w:rPr>
        <w:t>公</w:t>
      </w:r>
      <w:r>
        <w:rPr>
          <w:rFonts w:ascii="宋体" w:hAnsi="宋体" w:cs="宋体" w:eastAsia="宋体" w:hint="default"/>
          <w:spacing w:val="1"/>
          <w:sz w:val="18"/>
          <w:szCs w:val="18"/>
        </w:rPr>
        <w:t>司</w:t>
      </w:r>
      <w:r>
        <w:rPr>
          <w:rFonts w:ascii="宋体" w:hAnsi="宋体" w:cs="宋体" w:eastAsia="宋体" w:hint="default"/>
          <w:sz w:val="18"/>
          <w:szCs w:val="18"/>
        </w:rPr>
        <w:t>与中电财务签</w:t>
      </w:r>
      <w:r>
        <w:rPr>
          <w:rFonts w:ascii="宋体" w:hAnsi="宋体" w:cs="宋体" w:eastAsia="宋体" w:hint="default"/>
          <w:spacing w:val="-32"/>
          <w:sz w:val="18"/>
          <w:szCs w:val="18"/>
        </w:rPr>
        <w:t>订</w:t>
      </w:r>
      <w:r>
        <w:rPr>
          <w:rFonts w:ascii="宋体" w:hAnsi="宋体" w:cs="宋体" w:eastAsia="宋体" w:hint="default"/>
          <w:sz w:val="18"/>
          <w:szCs w:val="18"/>
        </w:rPr>
        <w:t>《委托贷款借款展期协议书</w:t>
      </w:r>
      <w:r>
        <w:rPr>
          <w:rFonts w:ascii="宋体" w:hAnsi="宋体" w:cs="宋体" w:eastAsia="宋体" w:hint="default"/>
          <w:spacing w:val="-90"/>
          <w:sz w:val="18"/>
          <w:szCs w:val="18"/>
        </w:rPr>
        <w:t>》</w:t>
      </w:r>
      <w:r>
        <w:rPr>
          <w:rFonts w:ascii="宋体" w:hAnsi="宋体" w:cs="宋体" w:eastAsia="宋体" w:hint="default"/>
          <w:spacing w:val="-32"/>
          <w:sz w:val="18"/>
          <w:szCs w:val="18"/>
        </w:rPr>
        <w:t>，</w:t>
      </w:r>
      <w:r>
        <w:rPr>
          <w:rFonts w:ascii="宋体" w:hAnsi="宋体" w:cs="宋体" w:eastAsia="宋体" w:hint="default"/>
          <w:sz w:val="18"/>
          <w:szCs w:val="18"/>
        </w:rPr>
        <w:t>以信用担保方式获得委托贷款人民币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4,500</w:t>
      </w:r>
    </w:p>
    <w:p>
      <w:pPr>
        <w:spacing w:before="63"/>
        <w:ind w:left="154" w:right="0" w:firstLine="0"/>
        <w:jc w:val="left"/>
        <w:rPr>
          <w:rFonts w:ascii="宋体" w:hAnsi="宋体" w:cs="宋体" w:eastAsia="宋体" w:hint="default"/>
          <w:sz w:val="18"/>
          <w:szCs w:val="18"/>
        </w:rPr>
      </w:pPr>
      <w:r>
        <w:rPr>
          <w:rFonts w:ascii="宋体" w:hAnsi="宋体" w:cs="宋体" w:eastAsia="宋体" w:hint="default"/>
          <w:sz w:val="18"/>
          <w:szCs w:val="18"/>
        </w:rPr>
        <w:t>万元，期限壹年。</w:t>
      </w:r>
    </w:p>
    <w:p>
      <w:pPr>
        <w:spacing w:before="97"/>
        <w:ind w:left="514"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21</w:t>
      </w:r>
      <w:r>
        <w:rPr>
          <w:rFonts w:ascii="宋体" w:hAnsi="宋体" w:cs="宋体" w:eastAsia="宋体" w:hint="default"/>
          <w:spacing w:val="-32"/>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宋体" w:hAnsi="宋体" w:cs="宋体" w:eastAsia="宋体" w:hint="default"/>
          <w:spacing w:val="-32"/>
          <w:sz w:val="18"/>
          <w:szCs w:val="18"/>
        </w:rPr>
        <w:t>，</w:t>
      </w:r>
      <w:r>
        <w:rPr>
          <w:rFonts w:ascii="宋体" w:hAnsi="宋体" w:cs="宋体" w:eastAsia="宋体" w:hint="default"/>
          <w:sz w:val="18"/>
          <w:szCs w:val="18"/>
        </w:rPr>
        <w:t>公</w:t>
      </w:r>
      <w:r>
        <w:rPr>
          <w:rFonts w:ascii="宋体" w:hAnsi="宋体" w:cs="宋体" w:eastAsia="宋体" w:hint="default"/>
          <w:spacing w:val="1"/>
          <w:sz w:val="18"/>
          <w:szCs w:val="18"/>
        </w:rPr>
        <w:t>司</w:t>
      </w:r>
      <w:r>
        <w:rPr>
          <w:rFonts w:ascii="宋体" w:hAnsi="宋体" w:cs="宋体" w:eastAsia="宋体" w:hint="default"/>
          <w:sz w:val="18"/>
          <w:szCs w:val="18"/>
        </w:rPr>
        <w:t>与中电财务签</w:t>
      </w:r>
      <w:r>
        <w:rPr>
          <w:rFonts w:ascii="宋体" w:hAnsi="宋体" w:cs="宋体" w:eastAsia="宋体" w:hint="default"/>
          <w:spacing w:val="-32"/>
          <w:sz w:val="18"/>
          <w:szCs w:val="18"/>
        </w:rPr>
        <w:t>订</w:t>
      </w:r>
      <w:r>
        <w:rPr>
          <w:rFonts w:ascii="宋体" w:hAnsi="宋体" w:cs="宋体" w:eastAsia="宋体" w:hint="default"/>
          <w:sz w:val="18"/>
          <w:szCs w:val="18"/>
        </w:rPr>
        <w:t>《委托贷款借款展期协议书</w:t>
      </w:r>
      <w:r>
        <w:rPr>
          <w:rFonts w:ascii="宋体" w:hAnsi="宋体" w:cs="宋体" w:eastAsia="宋体" w:hint="default"/>
          <w:spacing w:val="-90"/>
          <w:sz w:val="18"/>
          <w:szCs w:val="18"/>
        </w:rPr>
        <w:t>》</w:t>
      </w:r>
      <w:r>
        <w:rPr>
          <w:rFonts w:ascii="宋体" w:hAnsi="宋体" w:cs="宋体" w:eastAsia="宋体" w:hint="default"/>
          <w:spacing w:val="-32"/>
          <w:sz w:val="18"/>
          <w:szCs w:val="18"/>
        </w:rPr>
        <w:t>，</w:t>
      </w:r>
      <w:r>
        <w:rPr>
          <w:rFonts w:ascii="宋体" w:hAnsi="宋体" w:cs="宋体" w:eastAsia="宋体" w:hint="default"/>
          <w:sz w:val="18"/>
          <w:szCs w:val="18"/>
        </w:rPr>
        <w:t>以信用担保方式获得委托贷款人民币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2,000</w:t>
      </w:r>
    </w:p>
    <w:p>
      <w:pPr>
        <w:spacing w:before="63"/>
        <w:ind w:left="154" w:right="0" w:firstLine="0"/>
        <w:jc w:val="left"/>
        <w:rPr>
          <w:rFonts w:ascii="宋体" w:hAnsi="宋体" w:cs="宋体" w:eastAsia="宋体" w:hint="default"/>
          <w:sz w:val="18"/>
          <w:szCs w:val="18"/>
        </w:rPr>
      </w:pPr>
      <w:r>
        <w:rPr>
          <w:rFonts w:ascii="宋体" w:hAnsi="宋体" w:cs="宋体" w:eastAsia="宋体" w:hint="default"/>
          <w:sz w:val="18"/>
          <w:szCs w:val="18"/>
        </w:rPr>
        <w:t>万元，期限壹年。</w:t>
      </w:r>
    </w:p>
    <w:p>
      <w:pPr>
        <w:spacing w:before="95"/>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22</w:t>
      </w:r>
      <w:r>
        <w:rPr>
          <w:rFonts w:ascii="宋体" w:hAnsi="宋体" w:cs="宋体" w:eastAsia="宋体" w:hint="default"/>
          <w:spacing w:val="-10"/>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宋体" w:hAnsi="宋体" w:cs="宋体" w:eastAsia="宋体" w:hint="default"/>
          <w:spacing w:val="-10"/>
          <w:sz w:val="18"/>
          <w:szCs w:val="18"/>
        </w:rPr>
        <w:t>，</w:t>
      </w:r>
      <w:r>
        <w:rPr>
          <w:rFonts w:ascii="宋体" w:hAnsi="宋体" w:cs="宋体" w:eastAsia="宋体" w:hint="default"/>
          <w:sz w:val="18"/>
          <w:szCs w:val="18"/>
        </w:rPr>
        <w:t>湖</w:t>
      </w:r>
      <w:r>
        <w:rPr>
          <w:rFonts w:ascii="宋体" w:hAnsi="宋体" w:cs="宋体" w:eastAsia="宋体" w:hint="default"/>
          <w:spacing w:val="1"/>
          <w:sz w:val="18"/>
          <w:szCs w:val="18"/>
        </w:rPr>
        <w:t>南</w:t>
      </w:r>
      <w:r>
        <w:rPr>
          <w:rFonts w:ascii="宋体" w:hAnsi="宋体" w:cs="宋体" w:eastAsia="宋体" w:hint="default"/>
          <w:sz w:val="18"/>
          <w:szCs w:val="18"/>
        </w:rPr>
        <w:t>长城计算机系统有限公司与建设银行签</w:t>
      </w:r>
      <w:r>
        <w:rPr>
          <w:rFonts w:ascii="宋体" w:hAnsi="宋体" w:cs="宋体" w:eastAsia="宋体" w:hint="default"/>
          <w:spacing w:val="-10"/>
          <w:sz w:val="18"/>
          <w:szCs w:val="18"/>
        </w:rPr>
        <w:t>订</w:t>
      </w:r>
      <w:r>
        <w:rPr>
          <w:rFonts w:ascii="宋体" w:hAnsi="宋体" w:cs="宋体" w:eastAsia="宋体" w:hint="default"/>
          <w:sz w:val="18"/>
          <w:szCs w:val="18"/>
        </w:rPr>
        <w:t>《综合授信合同</w:t>
      </w:r>
      <w:r>
        <w:rPr>
          <w:rFonts w:ascii="宋体" w:hAnsi="宋体" w:cs="宋体" w:eastAsia="宋体" w:hint="default"/>
          <w:spacing w:val="-90"/>
          <w:sz w:val="18"/>
          <w:szCs w:val="18"/>
        </w:rPr>
        <w:t>》</w:t>
      </w:r>
      <w:r>
        <w:rPr>
          <w:rFonts w:ascii="宋体" w:hAnsi="宋体" w:cs="宋体" w:eastAsia="宋体" w:hint="default"/>
          <w:spacing w:val="-10"/>
          <w:sz w:val="18"/>
          <w:szCs w:val="18"/>
        </w:rPr>
        <w:t>，</w:t>
      </w:r>
      <w:r>
        <w:rPr>
          <w:rFonts w:ascii="宋体" w:hAnsi="宋体" w:cs="宋体" w:eastAsia="宋体" w:hint="default"/>
          <w:sz w:val="18"/>
          <w:szCs w:val="18"/>
        </w:rPr>
        <w:t>以信用担保方式获得综合授信</w:t>
      </w:r>
    </w:p>
    <w:p>
      <w:pPr>
        <w:spacing w:before="63"/>
        <w:ind w:left="154" w:right="0" w:firstLine="0"/>
        <w:jc w:val="left"/>
        <w:rPr>
          <w:rFonts w:ascii="宋体" w:hAnsi="宋体" w:cs="宋体" w:eastAsia="宋体" w:hint="default"/>
          <w:sz w:val="18"/>
          <w:szCs w:val="18"/>
        </w:rPr>
      </w:pPr>
      <w:r>
        <w:rPr>
          <w:rFonts w:ascii="宋体" w:hAnsi="宋体" w:cs="宋体" w:eastAsia="宋体" w:hint="default"/>
          <w:sz w:val="18"/>
          <w:szCs w:val="18"/>
        </w:rPr>
        <w:t>额度人民币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亿元，期限壹年。</w:t>
      </w:r>
    </w:p>
    <w:p>
      <w:pPr>
        <w:spacing w:after="0"/>
        <w:jc w:val="left"/>
        <w:rPr>
          <w:rFonts w:ascii="宋体" w:hAnsi="宋体" w:cs="宋体" w:eastAsia="宋体" w:hint="default"/>
          <w:sz w:val="18"/>
          <w:szCs w:val="18"/>
        </w:rPr>
        <w:sectPr>
          <w:pgSz w:w="11910" w:h="16840"/>
          <w:pgMar w:header="787" w:footer="982" w:top="1100" w:bottom="1180" w:left="980" w:right="0"/>
        </w:sectPr>
      </w:pPr>
    </w:p>
    <w:p>
      <w:pPr>
        <w:spacing w:line="240" w:lineRule="auto" w:before="10"/>
        <w:rPr>
          <w:rFonts w:ascii="宋体" w:hAnsi="宋体" w:cs="宋体" w:eastAsia="宋体" w:hint="default"/>
          <w:sz w:val="22"/>
          <w:szCs w:val="22"/>
        </w:rPr>
      </w:pPr>
    </w:p>
    <w:p>
      <w:pPr>
        <w:spacing w:before="44"/>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日，湖</w:t>
      </w:r>
      <w:r>
        <w:rPr>
          <w:rFonts w:ascii="宋体" w:hAnsi="宋体" w:cs="宋体" w:eastAsia="宋体" w:hint="default"/>
          <w:spacing w:val="1"/>
          <w:sz w:val="18"/>
          <w:szCs w:val="18"/>
        </w:rPr>
        <w:t>南</w:t>
      </w:r>
      <w:r>
        <w:rPr>
          <w:rFonts w:ascii="宋体" w:hAnsi="宋体" w:cs="宋体" w:eastAsia="宋体" w:hint="default"/>
          <w:sz w:val="18"/>
          <w:szCs w:val="18"/>
        </w:rPr>
        <w:t>长城计算机系统有限公司与中电财务签订《借款合同</w:t>
      </w:r>
      <w:r>
        <w:rPr>
          <w:rFonts w:ascii="宋体" w:hAnsi="宋体" w:cs="宋体" w:eastAsia="宋体" w:hint="default"/>
          <w:spacing w:val="-90"/>
          <w:sz w:val="18"/>
          <w:szCs w:val="18"/>
        </w:rPr>
        <w:t>》</w:t>
      </w:r>
      <w:r>
        <w:rPr>
          <w:rFonts w:ascii="宋体" w:hAnsi="宋体" w:cs="宋体" w:eastAsia="宋体" w:hint="default"/>
          <w:sz w:val="18"/>
          <w:szCs w:val="18"/>
        </w:rPr>
        <w:t>，以本公司提供信用担保的方式获</w:t>
      </w:r>
    </w:p>
    <w:p>
      <w:pPr>
        <w:spacing w:before="63"/>
        <w:ind w:left="154" w:right="0" w:firstLine="0"/>
        <w:jc w:val="left"/>
        <w:rPr>
          <w:rFonts w:ascii="宋体" w:hAnsi="宋体" w:cs="宋体" w:eastAsia="宋体" w:hint="default"/>
          <w:sz w:val="18"/>
          <w:szCs w:val="18"/>
        </w:rPr>
      </w:pPr>
      <w:r>
        <w:rPr>
          <w:rFonts w:ascii="宋体" w:hAnsi="宋体" w:cs="宋体" w:eastAsia="宋体" w:hint="default"/>
          <w:sz w:val="18"/>
          <w:szCs w:val="18"/>
        </w:rPr>
        <w:t>得流动资金借款人民币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万元，期限壹年。</w:t>
      </w:r>
    </w:p>
    <w:p>
      <w:pPr>
        <w:spacing w:before="83"/>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24</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日，湖</w:t>
      </w:r>
      <w:r>
        <w:rPr>
          <w:rFonts w:ascii="宋体" w:hAnsi="宋体" w:cs="宋体" w:eastAsia="宋体" w:hint="default"/>
          <w:spacing w:val="1"/>
          <w:sz w:val="18"/>
          <w:szCs w:val="18"/>
        </w:rPr>
        <w:t>南</w:t>
      </w:r>
      <w:r>
        <w:rPr>
          <w:rFonts w:ascii="宋体" w:hAnsi="宋体" w:cs="宋体" w:eastAsia="宋体" w:hint="default"/>
          <w:sz w:val="18"/>
          <w:szCs w:val="18"/>
        </w:rPr>
        <w:t>长城计算机系统有限公司与中电财务签订《借款合同</w:t>
      </w:r>
      <w:r>
        <w:rPr>
          <w:rFonts w:ascii="宋体" w:hAnsi="宋体" w:cs="宋体" w:eastAsia="宋体" w:hint="default"/>
          <w:spacing w:val="-90"/>
          <w:sz w:val="18"/>
          <w:szCs w:val="18"/>
        </w:rPr>
        <w:t>》</w:t>
      </w:r>
      <w:r>
        <w:rPr>
          <w:rFonts w:ascii="宋体" w:hAnsi="宋体" w:cs="宋体" w:eastAsia="宋体" w:hint="default"/>
          <w:sz w:val="18"/>
          <w:szCs w:val="18"/>
        </w:rPr>
        <w:t>，以本公司提供信用担保的方式获</w:t>
      </w:r>
    </w:p>
    <w:p>
      <w:pPr>
        <w:spacing w:before="63"/>
        <w:ind w:left="154" w:right="0" w:firstLine="0"/>
        <w:jc w:val="left"/>
        <w:rPr>
          <w:rFonts w:ascii="宋体" w:hAnsi="宋体" w:cs="宋体" w:eastAsia="宋体" w:hint="default"/>
          <w:sz w:val="18"/>
          <w:szCs w:val="18"/>
        </w:rPr>
      </w:pPr>
      <w:r>
        <w:rPr>
          <w:rFonts w:ascii="宋体" w:hAnsi="宋体" w:cs="宋体" w:eastAsia="宋体" w:hint="default"/>
          <w:sz w:val="18"/>
          <w:szCs w:val="18"/>
        </w:rPr>
        <w:t>得流动资金借款人民币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万元，期限壹年。</w:t>
      </w:r>
    </w:p>
    <w:p>
      <w:pPr>
        <w:spacing w:before="82"/>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25</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日，湖</w:t>
      </w:r>
      <w:r>
        <w:rPr>
          <w:rFonts w:ascii="宋体" w:hAnsi="宋体" w:cs="宋体" w:eastAsia="宋体" w:hint="default"/>
          <w:spacing w:val="1"/>
          <w:sz w:val="18"/>
          <w:szCs w:val="18"/>
        </w:rPr>
        <w:t>南</w:t>
      </w:r>
      <w:r>
        <w:rPr>
          <w:rFonts w:ascii="宋体" w:hAnsi="宋体" w:cs="宋体" w:eastAsia="宋体" w:hint="default"/>
          <w:sz w:val="18"/>
          <w:szCs w:val="18"/>
        </w:rPr>
        <w:t>长城计算机系统有限公司与建设银行签订《借款合同</w:t>
      </w:r>
      <w:r>
        <w:rPr>
          <w:rFonts w:ascii="宋体" w:hAnsi="宋体" w:cs="宋体" w:eastAsia="宋体" w:hint="default"/>
          <w:spacing w:val="-90"/>
          <w:sz w:val="18"/>
          <w:szCs w:val="18"/>
        </w:rPr>
        <w:t>》</w:t>
      </w:r>
      <w:r>
        <w:rPr>
          <w:rFonts w:ascii="宋体" w:hAnsi="宋体" w:cs="宋体" w:eastAsia="宋体" w:hint="default"/>
          <w:sz w:val="18"/>
          <w:szCs w:val="18"/>
        </w:rPr>
        <w:t>，以信用担保方式获得流动资金借</w:t>
      </w:r>
    </w:p>
    <w:p>
      <w:pPr>
        <w:spacing w:before="63"/>
        <w:ind w:left="154" w:right="0" w:firstLine="0"/>
        <w:jc w:val="left"/>
        <w:rPr>
          <w:rFonts w:ascii="宋体" w:hAnsi="宋体" w:cs="宋体" w:eastAsia="宋体" w:hint="default"/>
          <w:sz w:val="18"/>
          <w:szCs w:val="18"/>
        </w:rPr>
      </w:pPr>
      <w:r>
        <w:rPr>
          <w:rFonts w:ascii="宋体" w:hAnsi="宋体" w:cs="宋体" w:eastAsia="宋体" w:hint="default"/>
          <w:sz w:val="18"/>
          <w:szCs w:val="18"/>
        </w:rPr>
        <w:t>款人民币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万元，期限壹年。</w:t>
      </w:r>
    </w:p>
    <w:p>
      <w:pPr>
        <w:spacing w:before="83"/>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26</w:t>
      </w:r>
      <w:r>
        <w:rPr>
          <w:rFonts w:ascii="宋体" w:hAnsi="宋体" w:cs="宋体" w:eastAsia="宋体" w:hint="default"/>
          <w:spacing w:val="-10"/>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宋体" w:hAnsi="宋体" w:cs="宋体" w:eastAsia="宋体" w:hint="default"/>
          <w:spacing w:val="-10"/>
          <w:sz w:val="18"/>
          <w:szCs w:val="18"/>
        </w:rPr>
        <w:t>，</w:t>
      </w:r>
      <w:r>
        <w:rPr>
          <w:rFonts w:ascii="宋体" w:hAnsi="宋体" w:cs="宋体" w:eastAsia="宋体" w:hint="default"/>
          <w:sz w:val="18"/>
          <w:szCs w:val="18"/>
        </w:rPr>
        <w:t>湖</w:t>
      </w:r>
      <w:r>
        <w:rPr>
          <w:rFonts w:ascii="宋体" w:hAnsi="宋体" w:cs="宋体" w:eastAsia="宋体" w:hint="default"/>
          <w:spacing w:val="1"/>
          <w:sz w:val="18"/>
          <w:szCs w:val="18"/>
        </w:rPr>
        <w:t>南</w:t>
      </w:r>
      <w:r>
        <w:rPr>
          <w:rFonts w:ascii="宋体" w:hAnsi="宋体" w:cs="宋体" w:eastAsia="宋体" w:hint="default"/>
          <w:sz w:val="18"/>
          <w:szCs w:val="18"/>
        </w:rPr>
        <w:t>长城计算机系统有限公司与建设银行签</w:t>
      </w:r>
      <w:r>
        <w:rPr>
          <w:rFonts w:ascii="宋体" w:hAnsi="宋体" w:cs="宋体" w:eastAsia="宋体" w:hint="default"/>
          <w:spacing w:val="-10"/>
          <w:sz w:val="18"/>
          <w:szCs w:val="18"/>
        </w:rPr>
        <w:t>订</w:t>
      </w:r>
      <w:r>
        <w:rPr>
          <w:rFonts w:ascii="宋体" w:hAnsi="宋体" w:cs="宋体" w:eastAsia="宋体" w:hint="default"/>
          <w:sz w:val="18"/>
          <w:szCs w:val="18"/>
        </w:rPr>
        <w:t>《借款合同</w:t>
      </w:r>
      <w:r>
        <w:rPr>
          <w:rFonts w:ascii="宋体" w:hAnsi="宋体" w:cs="宋体" w:eastAsia="宋体" w:hint="default"/>
          <w:spacing w:val="-90"/>
          <w:sz w:val="18"/>
          <w:szCs w:val="18"/>
        </w:rPr>
        <w:t>》</w:t>
      </w:r>
      <w:r>
        <w:rPr>
          <w:rFonts w:ascii="宋体" w:hAnsi="宋体" w:cs="宋体" w:eastAsia="宋体" w:hint="default"/>
          <w:spacing w:val="-9"/>
          <w:sz w:val="18"/>
          <w:szCs w:val="18"/>
        </w:rPr>
        <w:t>，</w:t>
      </w:r>
      <w:r>
        <w:rPr>
          <w:rFonts w:ascii="宋体" w:hAnsi="宋体" w:cs="宋体" w:eastAsia="宋体" w:hint="default"/>
          <w:sz w:val="18"/>
          <w:szCs w:val="18"/>
        </w:rPr>
        <w:t>以信用担保方式获得流动资金借款</w:t>
      </w:r>
    </w:p>
    <w:p>
      <w:pPr>
        <w:spacing w:before="63"/>
        <w:ind w:left="154" w:right="0" w:firstLine="0"/>
        <w:jc w:val="left"/>
        <w:rPr>
          <w:rFonts w:ascii="宋体" w:hAnsi="宋体" w:cs="宋体" w:eastAsia="宋体" w:hint="default"/>
          <w:sz w:val="18"/>
          <w:szCs w:val="18"/>
        </w:rPr>
      </w:pPr>
      <w:r>
        <w:rPr>
          <w:rFonts w:ascii="宋体" w:hAnsi="宋体" w:cs="宋体" w:eastAsia="宋体" w:hint="default"/>
          <w:sz w:val="18"/>
          <w:szCs w:val="18"/>
        </w:rPr>
        <w:t>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万元，期限壹年。</w:t>
      </w:r>
    </w:p>
    <w:p>
      <w:pPr>
        <w:spacing w:before="83"/>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27</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年</w:t>
      </w:r>
      <w:r>
        <w:rPr>
          <w:rFonts w:ascii="宋体" w:hAnsi="宋体" w:cs="宋体" w:eastAsia="宋体" w:hint="default"/>
          <w:spacing w:val="-34"/>
          <w:sz w:val="18"/>
          <w:szCs w:val="18"/>
        </w:rPr>
        <w:t> </w:t>
      </w:r>
      <w:r>
        <w:rPr>
          <w:rFonts w:ascii="Times New Roman" w:hAnsi="Times New Roman" w:cs="Times New Roman" w:eastAsia="Times New Roman" w:hint="default"/>
          <w:spacing w:val="-6"/>
          <w:sz w:val="18"/>
          <w:szCs w:val="18"/>
        </w:rPr>
        <w:t>1</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月</w:t>
      </w:r>
      <w:r>
        <w:rPr>
          <w:rFonts w:ascii="宋体" w:hAnsi="宋体" w:cs="宋体" w:eastAsia="宋体" w:hint="default"/>
          <w:spacing w:val="-34"/>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日，</w:t>
      </w:r>
      <w:r>
        <w:rPr>
          <w:rFonts w:ascii="宋体" w:hAnsi="宋体" w:cs="宋体" w:eastAsia="宋体" w:hint="default"/>
          <w:spacing w:val="1"/>
          <w:sz w:val="18"/>
          <w:szCs w:val="18"/>
        </w:rPr>
        <w:t>湖</w:t>
      </w:r>
      <w:r>
        <w:rPr>
          <w:rFonts w:ascii="宋体" w:hAnsi="宋体" w:cs="宋体" w:eastAsia="宋体" w:hint="default"/>
          <w:sz w:val="18"/>
          <w:szCs w:val="18"/>
        </w:rPr>
        <w:t>南长城计算机系统有限公司与中电财务签订《综合授信合同</w:t>
      </w:r>
      <w:r>
        <w:rPr>
          <w:rFonts w:ascii="宋体" w:hAnsi="宋体" w:cs="宋体" w:eastAsia="宋体" w:hint="default"/>
          <w:spacing w:val="-90"/>
          <w:sz w:val="18"/>
          <w:szCs w:val="18"/>
        </w:rPr>
        <w:t>》</w:t>
      </w:r>
      <w:r>
        <w:rPr>
          <w:rFonts w:ascii="宋体" w:hAnsi="宋体" w:cs="宋体" w:eastAsia="宋体" w:hint="default"/>
          <w:sz w:val="18"/>
          <w:szCs w:val="18"/>
        </w:rPr>
        <w:t>，以本公司提供信用担保方式</w:t>
      </w:r>
    </w:p>
    <w:p>
      <w:pPr>
        <w:spacing w:before="63"/>
        <w:ind w:left="154" w:right="0" w:firstLine="0"/>
        <w:jc w:val="left"/>
        <w:rPr>
          <w:rFonts w:ascii="宋体" w:hAnsi="宋体" w:cs="宋体" w:eastAsia="宋体" w:hint="default"/>
          <w:sz w:val="18"/>
          <w:szCs w:val="18"/>
        </w:rPr>
      </w:pPr>
      <w:r>
        <w:rPr>
          <w:rFonts w:ascii="宋体" w:hAnsi="宋体" w:cs="宋体" w:eastAsia="宋体" w:hint="default"/>
          <w:sz w:val="18"/>
          <w:szCs w:val="18"/>
        </w:rPr>
        <w:t>获得综合授信额度人民币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亿元，期限壹年。</w:t>
      </w:r>
    </w:p>
    <w:p>
      <w:pPr>
        <w:spacing w:before="82"/>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28</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日，长</w:t>
      </w:r>
      <w:r>
        <w:rPr>
          <w:rFonts w:ascii="宋体" w:hAnsi="宋体" w:cs="宋体" w:eastAsia="宋体" w:hint="default"/>
          <w:spacing w:val="1"/>
          <w:sz w:val="18"/>
          <w:szCs w:val="18"/>
        </w:rPr>
        <w:t>沙</w:t>
      </w:r>
      <w:r>
        <w:rPr>
          <w:rFonts w:ascii="宋体" w:hAnsi="宋体" w:cs="宋体" w:eastAsia="宋体" w:hint="default"/>
          <w:sz w:val="18"/>
          <w:szCs w:val="18"/>
        </w:rPr>
        <w:t>湘计海盾科技有限公司与中电财务签订《商业汇票贴现合同</w:t>
      </w:r>
      <w:r>
        <w:rPr>
          <w:rFonts w:ascii="宋体" w:hAnsi="宋体" w:cs="宋体" w:eastAsia="宋体" w:hint="default"/>
          <w:spacing w:val="-90"/>
          <w:sz w:val="18"/>
          <w:szCs w:val="18"/>
        </w:rPr>
        <w:t>》</w:t>
      </w:r>
      <w:r>
        <w:rPr>
          <w:rFonts w:ascii="宋体" w:hAnsi="宋体" w:cs="宋体" w:eastAsia="宋体" w:hint="default"/>
          <w:sz w:val="18"/>
          <w:szCs w:val="18"/>
        </w:rPr>
        <w:t>，获得流动资金借款人民币</w:t>
      </w:r>
    </w:p>
    <w:p>
      <w:pPr>
        <w:spacing w:before="63"/>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547.52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万元，期限柒个月。</w:t>
      </w:r>
    </w:p>
    <w:p>
      <w:pPr>
        <w:spacing w:before="83"/>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29</w:t>
      </w:r>
      <w:r>
        <w:rPr>
          <w:rFonts w:ascii="宋体" w:hAnsi="宋体" w:cs="宋体" w:eastAsia="宋体" w:hint="default"/>
          <w:spacing w:val="-10"/>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宋体" w:hAnsi="宋体" w:cs="宋体" w:eastAsia="宋体" w:hint="default"/>
          <w:spacing w:val="-10"/>
          <w:sz w:val="18"/>
          <w:szCs w:val="18"/>
        </w:rPr>
        <w:t>，</w:t>
      </w:r>
      <w:r>
        <w:rPr>
          <w:rFonts w:ascii="宋体" w:hAnsi="宋体" w:cs="宋体" w:eastAsia="宋体" w:hint="default"/>
          <w:sz w:val="18"/>
          <w:szCs w:val="18"/>
        </w:rPr>
        <w:t>长</w:t>
      </w:r>
      <w:r>
        <w:rPr>
          <w:rFonts w:ascii="宋体" w:hAnsi="宋体" w:cs="宋体" w:eastAsia="宋体" w:hint="default"/>
          <w:spacing w:val="1"/>
          <w:sz w:val="18"/>
          <w:szCs w:val="18"/>
        </w:rPr>
        <w:t>沙</w:t>
      </w:r>
      <w:r>
        <w:rPr>
          <w:rFonts w:ascii="宋体" w:hAnsi="宋体" w:cs="宋体" w:eastAsia="宋体" w:hint="default"/>
          <w:sz w:val="18"/>
          <w:szCs w:val="18"/>
        </w:rPr>
        <w:t>湘计海盾科技有限公司与中电财务签</w:t>
      </w:r>
      <w:r>
        <w:rPr>
          <w:rFonts w:ascii="宋体" w:hAnsi="宋体" w:cs="宋体" w:eastAsia="宋体" w:hint="default"/>
          <w:spacing w:val="-10"/>
          <w:sz w:val="18"/>
          <w:szCs w:val="18"/>
        </w:rPr>
        <w:t>订</w:t>
      </w:r>
      <w:r>
        <w:rPr>
          <w:rFonts w:ascii="宋体" w:hAnsi="宋体" w:cs="宋体" w:eastAsia="宋体" w:hint="default"/>
          <w:sz w:val="18"/>
          <w:szCs w:val="18"/>
        </w:rPr>
        <w:t>《综合授信合同</w:t>
      </w:r>
      <w:r>
        <w:rPr>
          <w:rFonts w:ascii="宋体" w:hAnsi="宋体" w:cs="宋体" w:eastAsia="宋体" w:hint="default"/>
          <w:spacing w:val="-90"/>
          <w:sz w:val="18"/>
          <w:szCs w:val="18"/>
        </w:rPr>
        <w:t>》</w:t>
      </w:r>
      <w:r>
        <w:rPr>
          <w:rFonts w:ascii="宋体" w:hAnsi="宋体" w:cs="宋体" w:eastAsia="宋体" w:hint="default"/>
          <w:spacing w:val="-10"/>
          <w:sz w:val="18"/>
          <w:szCs w:val="18"/>
        </w:rPr>
        <w:t>，</w:t>
      </w:r>
      <w:r>
        <w:rPr>
          <w:rFonts w:ascii="宋体" w:hAnsi="宋体" w:cs="宋体" w:eastAsia="宋体" w:hint="default"/>
          <w:sz w:val="18"/>
          <w:szCs w:val="18"/>
        </w:rPr>
        <w:t>以本公司提供信用担保的方式获</w:t>
      </w:r>
    </w:p>
    <w:p>
      <w:pPr>
        <w:spacing w:before="63"/>
        <w:ind w:left="154" w:right="0" w:firstLine="0"/>
        <w:jc w:val="left"/>
        <w:rPr>
          <w:rFonts w:ascii="宋体" w:hAnsi="宋体" w:cs="宋体" w:eastAsia="宋体" w:hint="default"/>
          <w:sz w:val="18"/>
          <w:szCs w:val="18"/>
        </w:rPr>
      </w:pPr>
      <w:r>
        <w:rPr>
          <w:rFonts w:ascii="宋体" w:hAnsi="宋体" w:cs="宋体" w:eastAsia="宋体" w:hint="default"/>
          <w:sz w:val="18"/>
          <w:szCs w:val="18"/>
        </w:rPr>
        <w:t>得综合授信额度人民币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亿元，期限壹年。</w:t>
      </w:r>
    </w:p>
    <w:p>
      <w:pPr>
        <w:spacing w:before="83"/>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日，长</w:t>
      </w:r>
      <w:r>
        <w:rPr>
          <w:rFonts w:ascii="宋体" w:hAnsi="宋体" w:cs="宋体" w:eastAsia="宋体" w:hint="default"/>
          <w:spacing w:val="1"/>
          <w:sz w:val="18"/>
          <w:szCs w:val="18"/>
        </w:rPr>
        <w:t>沙</w:t>
      </w:r>
      <w:r>
        <w:rPr>
          <w:rFonts w:ascii="宋体" w:hAnsi="宋体" w:cs="宋体" w:eastAsia="宋体" w:hint="default"/>
          <w:sz w:val="18"/>
          <w:szCs w:val="18"/>
        </w:rPr>
        <w:t>湘计海盾科技有限公司与中电财务签订《商业汇票贴现合同</w:t>
      </w:r>
      <w:r>
        <w:rPr>
          <w:rFonts w:ascii="宋体" w:hAnsi="宋体" w:cs="宋体" w:eastAsia="宋体" w:hint="default"/>
          <w:spacing w:val="-90"/>
          <w:sz w:val="18"/>
          <w:szCs w:val="18"/>
        </w:rPr>
        <w:t>》</w:t>
      </w:r>
      <w:r>
        <w:rPr>
          <w:rFonts w:ascii="宋体" w:hAnsi="宋体" w:cs="宋体" w:eastAsia="宋体" w:hint="default"/>
          <w:sz w:val="18"/>
          <w:szCs w:val="18"/>
        </w:rPr>
        <w:t>，获得流动资金借款人民币</w:t>
      </w:r>
    </w:p>
    <w:p>
      <w:pPr>
        <w:spacing w:before="63"/>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692.08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万元，期限贰个月。</w:t>
      </w:r>
    </w:p>
    <w:p>
      <w:pPr>
        <w:spacing w:before="82"/>
        <w:ind w:left="51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日，长</w:t>
      </w:r>
      <w:r>
        <w:rPr>
          <w:rFonts w:ascii="宋体" w:hAnsi="宋体" w:cs="宋体" w:eastAsia="宋体" w:hint="default"/>
          <w:spacing w:val="1"/>
          <w:sz w:val="18"/>
          <w:szCs w:val="18"/>
        </w:rPr>
        <w:t>沙</w:t>
      </w:r>
      <w:r>
        <w:rPr>
          <w:rFonts w:ascii="宋体" w:hAnsi="宋体" w:cs="宋体" w:eastAsia="宋体" w:hint="default"/>
          <w:sz w:val="18"/>
          <w:szCs w:val="18"/>
        </w:rPr>
        <w:t>湘计海盾科技有限公司与中电财务签订《商业汇票贴现合同</w:t>
      </w:r>
      <w:r>
        <w:rPr>
          <w:rFonts w:ascii="宋体" w:hAnsi="宋体" w:cs="宋体" w:eastAsia="宋体" w:hint="default"/>
          <w:spacing w:val="-90"/>
          <w:sz w:val="18"/>
          <w:szCs w:val="18"/>
        </w:rPr>
        <w:t>》</w:t>
      </w:r>
      <w:r>
        <w:rPr>
          <w:rFonts w:ascii="宋体" w:hAnsi="宋体" w:cs="宋体" w:eastAsia="宋体" w:hint="default"/>
          <w:sz w:val="18"/>
          <w:szCs w:val="18"/>
        </w:rPr>
        <w:t>，获得流动资金借款人民币</w:t>
      </w:r>
    </w:p>
    <w:p>
      <w:pPr>
        <w:spacing w:before="63"/>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226.36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万元，期限陆个月。</w:t>
      </w:r>
    </w:p>
    <w:p>
      <w:pPr>
        <w:spacing w:before="83"/>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32</w:t>
      </w:r>
      <w:r>
        <w:rPr>
          <w:rFonts w:ascii="宋体" w:hAnsi="宋体" w:cs="宋体" w:eastAsia="宋体" w:hint="default"/>
          <w:spacing w:val="-8"/>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6"/>
          <w:sz w:val="18"/>
          <w:szCs w:val="18"/>
        </w:rPr>
        <w:t>1</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宋体" w:hAnsi="宋体" w:cs="宋体" w:eastAsia="宋体" w:hint="default"/>
          <w:spacing w:val="-8"/>
          <w:sz w:val="18"/>
          <w:szCs w:val="18"/>
        </w:rPr>
        <w:t>，</w:t>
      </w:r>
      <w:r>
        <w:rPr>
          <w:rFonts w:ascii="宋体" w:hAnsi="宋体" w:cs="宋体" w:eastAsia="宋体" w:hint="default"/>
          <w:sz w:val="18"/>
          <w:szCs w:val="18"/>
        </w:rPr>
        <w:t>长</w:t>
      </w:r>
      <w:r>
        <w:rPr>
          <w:rFonts w:ascii="宋体" w:hAnsi="宋体" w:cs="宋体" w:eastAsia="宋体" w:hint="default"/>
          <w:spacing w:val="1"/>
          <w:sz w:val="18"/>
          <w:szCs w:val="18"/>
        </w:rPr>
        <w:t>沙</w:t>
      </w:r>
      <w:r>
        <w:rPr>
          <w:rFonts w:ascii="宋体" w:hAnsi="宋体" w:cs="宋体" w:eastAsia="宋体" w:hint="default"/>
          <w:sz w:val="18"/>
          <w:szCs w:val="18"/>
        </w:rPr>
        <w:t>湘计海盾科技有限公司与中电财务签</w:t>
      </w:r>
      <w:r>
        <w:rPr>
          <w:rFonts w:ascii="宋体" w:hAnsi="宋体" w:cs="宋体" w:eastAsia="宋体" w:hint="default"/>
          <w:spacing w:val="-8"/>
          <w:sz w:val="18"/>
          <w:szCs w:val="18"/>
        </w:rPr>
        <w:t>订</w:t>
      </w:r>
      <w:r>
        <w:rPr>
          <w:rFonts w:ascii="宋体" w:hAnsi="宋体" w:cs="宋体" w:eastAsia="宋体" w:hint="default"/>
          <w:sz w:val="18"/>
          <w:szCs w:val="18"/>
        </w:rPr>
        <w:t>《商业汇票贴现合同</w:t>
      </w:r>
      <w:r>
        <w:rPr>
          <w:rFonts w:ascii="宋体" w:hAnsi="宋体" w:cs="宋体" w:eastAsia="宋体" w:hint="default"/>
          <w:spacing w:val="-90"/>
          <w:sz w:val="18"/>
          <w:szCs w:val="18"/>
        </w:rPr>
        <w:t>》</w:t>
      </w:r>
      <w:r>
        <w:rPr>
          <w:rFonts w:ascii="宋体" w:hAnsi="宋体" w:cs="宋体" w:eastAsia="宋体" w:hint="default"/>
          <w:spacing w:val="-8"/>
          <w:sz w:val="18"/>
          <w:szCs w:val="18"/>
        </w:rPr>
        <w:t>，</w:t>
      </w:r>
      <w:r>
        <w:rPr>
          <w:rFonts w:ascii="宋体" w:hAnsi="宋体" w:cs="宋体" w:eastAsia="宋体" w:hint="default"/>
          <w:sz w:val="18"/>
          <w:szCs w:val="18"/>
        </w:rPr>
        <w:t>获得流动资金借款人民币</w:t>
      </w:r>
    </w:p>
    <w:p>
      <w:pPr>
        <w:spacing w:before="63"/>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633.95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万元，期限肆个月。</w:t>
      </w:r>
    </w:p>
    <w:p>
      <w:pPr>
        <w:spacing w:before="83"/>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33</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日，长</w:t>
      </w:r>
      <w:r>
        <w:rPr>
          <w:rFonts w:ascii="宋体" w:hAnsi="宋体" w:cs="宋体" w:eastAsia="宋体" w:hint="default"/>
          <w:spacing w:val="1"/>
          <w:sz w:val="18"/>
          <w:szCs w:val="18"/>
        </w:rPr>
        <w:t>沙</w:t>
      </w:r>
      <w:r>
        <w:rPr>
          <w:rFonts w:ascii="宋体" w:hAnsi="宋体" w:cs="宋体" w:eastAsia="宋体" w:hint="default"/>
          <w:sz w:val="18"/>
          <w:szCs w:val="18"/>
        </w:rPr>
        <w:t>中电软件园有限公司与中国银行签订《固定资产借款合同</w:t>
      </w:r>
      <w:r>
        <w:rPr>
          <w:rFonts w:ascii="宋体" w:hAnsi="宋体" w:cs="宋体" w:eastAsia="宋体" w:hint="default"/>
          <w:spacing w:val="-90"/>
          <w:sz w:val="18"/>
          <w:szCs w:val="18"/>
        </w:rPr>
        <w:t>》</w:t>
      </w:r>
      <w:r>
        <w:rPr>
          <w:rFonts w:ascii="宋体" w:hAnsi="宋体" w:cs="宋体" w:eastAsia="宋体" w:hint="default"/>
          <w:sz w:val="18"/>
          <w:szCs w:val="18"/>
        </w:rPr>
        <w:t>，以房地产抵押方式获得固定</w:t>
      </w:r>
    </w:p>
    <w:p>
      <w:pPr>
        <w:spacing w:before="63"/>
        <w:ind w:left="154" w:right="0" w:firstLine="0"/>
        <w:jc w:val="left"/>
        <w:rPr>
          <w:rFonts w:ascii="宋体" w:hAnsi="宋体" w:cs="宋体" w:eastAsia="宋体" w:hint="default"/>
          <w:sz w:val="18"/>
          <w:szCs w:val="18"/>
        </w:rPr>
      </w:pPr>
      <w:r>
        <w:rPr>
          <w:rFonts w:ascii="宋体" w:hAnsi="宋体" w:cs="宋体" w:eastAsia="宋体" w:hint="default"/>
          <w:sz w:val="18"/>
          <w:szCs w:val="18"/>
        </w:rPr>
        <w:t>资产借款人民币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亿元，期限壹年。</w:t>
      </w:r>
    </w:p>
    <w:p>
      <w:pPr>
        <w:spacing w:before="82"/>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34</w:t>
      </w:r>
      <w:r>
        <w:rPr>
          <w:rFonts w:ascii="宋体" w:hAnsi="宋体" w:cs="宋体" w:eastAsia="宋体" w:hint="default"/>
          <w:spacing w:val="-10"/>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宋体" w:hAnsi="宋体" w:cs="宋体" w:eastAsia="宋体" w:hint="default"/>
          <w:spacing w:val="-10"/>
          <w:sz w:val="18"/>
          <w:szCs w:val="18"/>
        </w:rPr>
        <w:t>，</w:t>
      </w:r>
      <w:r>
        <w:rPr>
          <w:rFonts w:ascii="宋体" w:hAnsi="宋体" w:cs="宋体" w:eastAsia="宋体" w:hint="default"/>
          <w:sz w:val="18"/>
          <w:szCs w:val="18"/>
        </w:rPr>
        <w:t>湖</w:t>
      </w:r>
      <w:r>
        <w:rPr>
          <w:rFonts w:ascii="宋体" w:hAnsi="宋体" w:cs="宋体" w:eastAsia="宋体" w:hint="default"/>
          <w:spacing w:val="1"/>
          <w:sz w:val="18"/>
          <w:szCs w:val="18"/>
        </w:rPr>
        <w:t>南</w:t>
      </w:r>
      <w:r>
        <w:rPr>
          <w:rFonts w:ascii="宋体" w:hAnsi="宋体" w:cs="宋体" w:eastAsia="宋体" w:hint="default"/>
          <w:sz w:val="18"/>
          <w:szCs w:val="18"/>
        </w:rPr>
        <w:t>长城信息金融设备有限责任公司与光大银行签</w:t>
      </w:r>
      <w:r>
        <w:rPr>
          <w:rFonts w:ascii="宋体" w:hAnsi="宋体" w:cs="宋体" w:eastAsia="宋体" w:hint="default"/>
          <w:spacing w:val="-10"/>
          <w:sz w:val="18"/>
          <w:szCs w:val="18"/>
        </w:rPr>
        <w:t>订</w:t>
      </w:r>
      <w:r>
        <w:rPr>
          <w:rFonts w:ascii="宋体" w:hAnsi="宋体" w:cs="宋体" w:eastAsia="宋体" w:hint="default"/>
          <w:sz w:val="18"/>
          <w:szCs w:val="18"/>
        </w:rPr>
        <w:t>《综合授信合同</w:t>
      </w:r>
      <w:r>
        <w:rPr>
          <w:rFonts w:ascii="宋体" w:hAnsi="宋体" w:cs="宋体" w:eastAsia="宋体" w:hint="default"/>
          <w:spacing w:val="-90"/>
          <w:sz w:val="18"/>
          <w:szCs w:val="18"/>
        </w:rPr>
        <w:t>》</w:t>
      </w:r>
      <w:r>
        <w:rPr>
          <w:rFonts w:ascii="宋体" w:hAnsi="宋体" w:cs="宋体" w:eastAsia="宋体" w:hint="default"/>
          <w:spacing w:val="-10"/>
          <w:sz w:val="18"/>
          <w:szCs w:val="18"/>
        </w:rPr>
        <w:t>，</w:t>
      </w:r>
      <w:r>
        <w:rPr>
          <w:rFonts w:ascii="宋体" w:hAnsi="宋体" w:cs="宋体" w:eastAsia="宋体" w:hint="default"/>
          <w:sz w:val="18"/>
          <w:szCs w:val="18"/>
        </w:rPr>
        <w:t>以信用担保方式获得综</w:t>
      </w:r>
    </w:p>
    <w:p>
      <w:pPr>
        <w:spacing w:before="63"/>
        <w:ind w:left="154" w:right="0" w:firstLine="0"/>
        <w:jc w:val="left"/>
        <w:rPr>
          <w:rFonts w:ascii="宋体" w:hAnsi="宋体" w:cs="宋体" w:eastAsia="宋体" w:hint="default"/>
          <w:sz w:val="18"/>
          <w:szCs w:val="18"/>
        </w:rPr>
      </w:pPr>
      <w:r>
        <w:rPr>
          <w:rFonts w:ascii="宋体" w:hAnsi="宋体" w:cs="宋体" w:eastAsia="宋体" w:hint="default"/>
          <w:sz w:val="18"/>
          <w:szCs w:val="18"/>
        </w:rPr>
        <w:t>合授信额度人民币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万元，期限壹年。</w:t>
      </w:r>
    </w:p>
    <w:p>
      <w:pPr>
        <w:spacing w:before="83"/>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35</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日，湖</w:t>
      </w:r>
      <w:r>
        <w:rPr>
          <w:rFonts w:ascii="宋体" w:hAnsi="宋体" w:cs="宋体" w:eastAsia="宋体" w:hint="default"/>
          <w:spacing w:val="1"/>
          <w:sz w:val="18"/>
          <w:szCs w:val="18"/>
        </w:rPr>
        <w:t>南</w:t>
      </w:r>
      <w:r>
        <w:rPr>
          <w:rFonts w:ascii="宋体" w:hAnsi="宋体" w:cs="宋体" w:eastAsia="宋体" w:hint="default"/>
          <w:sz w:val="18"/>
          <w:szCs w:val="18"/>
        </w:rPr>
        <w:t>长城信息金融设备有限责任公司与招商银行签订《综合授信合同</w:t>
      </w:r>
      <w:r>
        <w:rPr>
          <w:rFonts w:ascii="宋体" w:hAnsi="宋体" w:cs="宋体" w:eastAsia="宋体" w:hint="default"/>
          <w:spacing w:val="-90"/>
          <w:sz w:val="18"/>
          <w:szCs w:val="18"/>
        </w:rPr>
        <w:t>》</w:t>
      </w:r>
      <w:r>
        <w:rPr>
          <w:rFonts w:ascii="宋体" w:hAnsi="宋体" w:cs="宋体" w:eastAsia="宋体" w:hint="default"/>
          <w:sz w:val="18"/>
          <w:szCs w:val="18"/>
        </w:rPr>
        <w:t>，以本公司提供信用担</w:t>
      </w:r>
    </w:p>
    <w:p>
      <w:pPr>
        <w:spacing w:before="63"/>
        <w:ind w:left="154" w:right="0" w:firstLine="0"/>
        <w:jc w:val="left"/>
        <w:rPr>
          <w:rFonts w:ascii="宋体" w:hAnsi="宋体" w:cs="宋体" w:eastAsia="宋体" w:hint="default"/>
          <w:sz w:val="18"/>
          <w:szCs w:val="18"/>
        </w:rPr>
      </w:pPr>
      <w:r>
        <w:rPr>
          <w:rFonts w:ascii="宋体" w:hAnsi="宋体" w:cs="宋体" w:eastAsia="宋体" w:hint="default"/>
          <w:sz w:val="18"/>
          <w:szCs w:val="18"/>
        </w:rPr>
        <w:t>保的方式获得综合授信额度人民币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万元，期限壹年。</w:t>
      </w:r>
    </w:p>
    <w:p>
      <w:pPr>
        <w:spacing w:before="83"/>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36</w:t>
      </w:r>
      <w:r>
        <w:rPr>
          <w:rFonts w:ascii="宋体" w:hAnsi="宋体" w:cs="宋体" w:eastAsia="宋体" w:hint="default"/>
          <w:spacing w:val="-10"/>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宋体" w:hAnsi="宋体" w:cs="宋体" w:eastAsia="宋体" w:hint="default"/>
          <w:spacing w:val="-10"/>
          <w:sz w:val="18"/>
          <w:szCs w:val="18"/>
        </w:rPr>
        <w:t>，</w:t>
      </w:r>
      <w:r>
        <w:rPr>
          <w:rFonts w:ascii="宋体" w:hAnsi="宋体" w:cs="宋体" w:eastAsia="宋体" w:hint="default"/>
          <w:sz w:val="18"/>
          <w:szCs w:val="18"/>
        </w:rPr>
        <w:t>湖</w:t>
      </w:r>
      <w:r>
        <w:rPr>
          <w:rFonts w:ascii="宋体" w:hAnsi="宋体" w:cs="宋体" w:eastAsia="宋体" w:hint="default"/>
          <w:spacing w:val="1"/>
          <w:sz w:val="18"/>
          <w:szCs w:val="18"/>
        </w:rPr>
        <w:t>南</w:t>
      </w:r>
      <w:r>
        <w:rPr>
          <w:rFonts w:ascii="宋体" w:hAnsi="宋体" w:cs="宋体" w:eastAsia="宋体" w:hint="default"/>
          <w:sz w:val="18"/>
          <w:szCs w:val="18"/>
        </w:rPr>
        <w:t>长城信息金融设备有限责任公司与中电财务签</w:t>
      </w:r>
      <w:r>
        <w:rPr>
          <w:rFonts w:ascii="宋体" w:hAnsi="宋体" w:cs="宋体" w:eastAsia="宋体" w:hint="default"/>
          <w:spacing w:val="-10"/>
          <w:sz w:val="18"/>
          <w:szCs w:val="18"/>
        </w:rPr>
        <w:t>订</w:t>
      </w:r>
      <w:r>
        <w:rPr>
          <w:rFonts w:ascii="宋体" w:hAnsi="宋体" w:cs="宋体" w:eastAsia="宋体" w:hint="default"/>
          <w:sz w:val="18"/>
          <w:szCs w:val="18"/>
        </w:rPr>
        <w:t>《综合授信合同</w:t>
      </w:r>
      <w:r>
        <w:rPr>
          <w:rFonts w:ascii="宋体" w:hAnsi="宋体" w:cs="宋体" w:eastAsia="宋体" w:hint="default"/>
          <w:spacing w:val="-90"/>
          <w:sz w:val="18"/>
          <w:szCs w:val="18"/>
        </w:rPr>
        <w:t>》</w:t>
      </w:r>
      <w:r>
        <w:rPr>
          <w:rFonts w:ascii="宋体" w:hAnsi="宋体" w:cs="宋体" w:eastAsia="宋体" w:hint="default"/>
          <w:spacing w:val="-10"/>
          <w:sz w:val="18"/>
          <w:szCs w:val="18"/>
        </w:rPr>
        <w:t>，</w:t>
      </w:r>
      <w:r>
        <w:rPr>
          <w:rFonts w:ascii="宋体" w:hAnsi="宋体" w:cs="宋体" w:eastAsia="宋体" w:hint="default"/>
          <w:sz w:val="18"/>
          <w:szCs w:val="18"/>
        </w:rPr>
        <w:t>以本公司提供信用担保</w:t>
      </w:r>
    </w:p>
    <w:p>
      <w:pPr>
        <w:spacing w:before="63"/>
        <w:ind w:left="154" w:right="0" w:firstLine="0"/>
        <w:jc w:val="left"/>
        <w:rPr>
          <w:rFonts w:ascii="宋体" w:hAnsi="宋体" w:cs="宋体" w:eastAsia="宋体" w:hint="default"/>
          <w:sz w:val="18"/>
          <w:szCs w:val="18"/>
        </w:rPr>
      </w:pPr>
      <w:r>
        <w:rPr>
          <w:rFonts w:ascii="宋体" w:hAnsi="宋体" w:cs="宋体" w:eastAsia="宋体" w:hint="default"/>
          <w:sz w:val="18"/>
          <w:szCs w:val="18"/>
        </w:rPr>
        <w:t>的方式获得综合授信额度人民币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亿元，期限壹年。</w:t>
      </w:r>
    </w:p>
    <w:p>
      <w:pPr>
        <w:spacing w:before="82"/>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37</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日，湖</w:t>
      </w:r>
      <w:r>
        <w:rPr>
          <w:rFonts w:ascii="宋体" w:hAnsi="宋体" w:cs="宋体" w:eastAsia="宋体" w:hint="default"/>
          <w:spacing w:val="1"/>
          <w:sz w:val="18"/>
          <w:szCs w:val="18"/>
        </w:rPr>
        <w:t>南</w:t>
      </w:r>
      <w:r>
        <w:rPr>
          <w:rFonts w:ascii="宋体" w:hAnsi="宋体" w:cs="宋体" w:eastAsia="宋体" w:hint="default"/>
          <w:sz w:val="18"/>
          <w:szCs w:val="18"/>
        </w:rPr>
        <w:t>长城信息金融设备有限责任公司与中国银行签订《综合授信合同</w:t>
      </w:r>
      <w:r>
        <w:rPr>
          <w:rFonts w:ascii="宋体" w:hAnsi="宋体" w:cs="宋体" w:eastAsia="宋体" w:hint="default"/>
          <w:spacing w:val="-90"/>
          <w:sz w:val="18"/>
          <w:szCs w:val="18"/>
        </w:rPr>
        <w:t>》</w:t>
      </w:r>
      <w:r>
        <w:rPr>
          <w:rFonts w:ascii="宋体" w:hAnsi="宋体" w:cs="宋体" w:eastAsia="宋体" w:hint="default"/>
          <w:sz w:val="18"/>
          <w:szCs w:val="18"/>
        </w:rPr>
        <w:t>，以本公司提供信用担</w:t>
      </w:r>
    </w:p>
    <w:p>
      <w:pPr>
        <w:spacing w:before="63"/>
        <w:ind w:left="154" w:right="0" w:firstLine="0"/>
        <w:jc w:val="left"/>
        <w:rPr>
          <w:rFonts w:ascii="宋体" w:hAnsi="宋体" w:cs="宋体" w:eastAsia="宋体" w:hint="default"/>
          <w:sz w:val="18"/>
          <w:szCs w:val="18"/>
        </w:rPr>
      </w:pPr>
      <w:r>
        <w:rPr>
          <w:rFonts w:ascii="宋体" w:hAnsi="宋体" w:cs="宋体" w:eastAsia="宋体" w:hint="default"/>
          <w:sz w:val="18"/>
          <w:szCs w:val="18"/>
        </w:rPr>
        <w:t>保的方式获得综合授信额度人民币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亿元，期限壹年。</w:t>
      </w:r>
    </w:p>
    <w:p>
      <w:pPr>
        <w:spacing w:before="83"/>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38</w:t>
      </w:r>
      <w:r>
        <w:rPr>
          <w:rFonts w:ascii="宋体" w:hAnsi="宋体" w:cs="宋体" w:eastAsia="宋体" w:hint="default"/>
          <w:spacing w:val="-8"/>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6"/>
          <w:sz w:val="18"/>
          <w:szCs w:val="18"/>
        </w:rPr>
        <w:t>1</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宋体" w:hAnsi="宋体" w:cs="宋体" w:eastAsia="宋体" w:hint="default"/>
          <w:spacing w:val="-8"/>
          <w:sz w:val="18"/>
          <w:szCs w:val="18"/>
        </w:rPr>
        <w:t>，</w:t>
      </w:r>
      <w:r>
        <w:rPr>
          <w:rFonts w:ascii="宋体" w:hAnsi="宋体" w:cs="宋体" w:eastAsia="宋体" w:hint="default"/>
          <w:sz w:val="18"/>
          <w:szCs w:val="18"/>
        </w:rPr>
        <w:t>湖</w:t>
      </w:r>
      <w:r>
        <w:rPr>
          <w:rFonts w:ascii="宋体" w:hAnsi="宋体" w:cs="宋体" w:eastAsia="宋体" w:hint="default"/>
          <w:spacing w:val="1"/>
          <w:sz w:val="18"/>
          <w:szCs w:val="18"/>
        </w:rPr>
        <w:t>南</w:t>
      </w:r>
      <w:r>
        <w:rPr>
          <w:rFonts w:ascii="宋体" w:hAnsi="宋体" w:cs="宋体" w:eastAsia="宋体" w:hint="default"/>
          <w:sz w:val="18"/>
          <w:szCs w:val="18"/>
        </w:rPr>
        <w:t>长城信息金融设备有限责任公司与上海浦东发展银行签</w:t>
      </w:r>
      <w:r>
        <w:rPr>
          <w:rFonts w:ascii="宋体" w:hAnsi="宋体" w:cs="宋体" w:eastAsia="宋体" w:hint="default"/>
          <w:spacing w:val="-8"/>
          <w:sz w:val="18"/>
          <w:szCs w:val="18"/>
        </w:rPr>
        <w:t>订</w:t>
      </w:r>
      <w:r>
        <w:rPr>
          <w:rFonts w:ascii="宋体" w:hAnsi="宋体" w:cs="宋体" w:eastAsia="宋体" w:hint="default"/>
          <w:sz w:val="18"/>
          <w:szCs w:val="18"/>
        </w:rPr>
        <w:t>《综合授信合同</w:t>
      </w:r>
      <w:r>
        <w:rPr>
          <w:rFonts w:ascii="宋体" w:hAnsi="宋体" w:cs="宋体" w:eastAsia="宋体" w:hint="default"/>
          <w:spacing w:val="-90"/>
          <w:sz w:val="18"/>
          <w:szCs w:val="18"/>
        </w:rPr>
        <w:t>》</w:t>
      </w:r>
      <w:r>
        <w:rPr>
          <w:rFonts w:ascii="宋体" w:hAnsi="宋体" w:cs="宋体" w:eastAsia="宋体" w:hint="default"/>
          <w:spacing w:val="-8"/>
          <w:sz w:val="18"/>
          <w:szCs w:val="18"/>
        </w:rPr>
        <w:t>，</w:t>
      </w:r>
      <w:r>
        <w:rPr>
          <w:rFonts w:ascii="宋体" w:hAnsi="宋体" w:cs="宋体" w:eastAsia="宋体" w:hint="default"/>
          <w:sz w:val="18"/>
          <w:szCs w:val="18"/>
        </w:rPr>
        <w:t>以信用担保</w:t>
      </w:r>
    </w:p>
    <w:p>
      <w:pPr>
        <w:spacing w:before="63"/>
        <w:ind w:left="154" w:right="0" w:firstLine="0"/>
        <w:jc w:val="left"/>
        <w:rPr>
          <w:rFonts w:ascii="宋体" w:hAnsi="宋体" w:cs="宋体" w:eastAsia="宋体" w:hint="default"/>
          <w:sz w:val="18"/>
          <w:szCs w:val="18"/>
        </w:rPr>
      </w:pPr>
      <w:r>
        <w:rPr>
          <w:rFonts w:ascii="宋体" w:hAnsi="宋体" w:cs="宋体" w:eastAsia="宋体" w:hint="default"/>
          <w:sz w:val="18"/>
          <w:szCs w:val="18"/>
        </w:rPr>
        <w:t>方式获得综合授信额度人民币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万元，期限壹年。</w:t>
      </w:r>
    </w:p>
    <w:p>
      <w:pPr>
        <w:spacing w:before="83"/>
        <w:ind w:left="51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39</w:t>
      </w:r>
      <w:r>
        <w:rPr>
          <w:rFonts w:ascii="宋体" w:hAnsi="宋体" w:cs="宋体" w:eastAsia="宋体" w:hint="default"/>
          <w:spacing w:val="-10"/>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宋体" w:hAnsi="宋体" w:cs="宋体" w:eastAsia="宋体" w:hint="default"/>
          <w:spacing w:val="-10"/>
          <w:sz w:val="18"/>
          <w:szCs w:val="18"/>
        </w:rPr>
        <w:t>，</w:t>
      </w:r>
      <w:r>
        <w:rPr>
          <w:rFonts w:ascii="宋体" w:hAnsi="宋体" w:cs="宋体" w:eastAsia="宋体" w:hint="default"/>
          <w:sz w:val="18"/>
          <w:szCs w:val="18"/>
        </w:rPr>
        <w:t>湖</w:t>
      </w:r>
      <w:r>
        <w:rPr>
          <w:rFonts w:ascii="宋体" w:hAnsi="宋体" w:cs="宋体" w:eastAsia="宋体" w:hint="default"/>
          <w:spacing w:val="1"/>
          <w:sz w:val="18"/>
          <w:szCs w:val="18"/>
        </w:rPr>
        <w:t>南</w:t>
      </w:r>
      <w:r>
        <w:rPr>
          <w:rFonts w:ascii="宋体" w:hAnsi="宋体" w:cs="宋体" w:eastAsia="宋体" w:hint="default"/>
          <w:sz w:val="18"/>
          <w:szCs w:val="18"/>
        </w:rPr>
        <w:t>长城医疗科技有限公司与中电财务签</w:t>
      </w:r>
      <w:r>
        <w:rPr>
          <w:rFonts w:ascii="宋体" w:hAnsi="宋体" w:cs="宋体" w:eastAsia="宋体" w:hint="default"/>
          <w:spacing w:val="-10"/>
          <w:sz w:val="18"/>
          <w:szCs w:val="18"/>
        </w:rPr>
        <w:t>订</w:t>
      </w:r>
      <w:r>
        <w:rPr>
          <w:rFonts w:ascii="宋体" w:hAnsi="宋体" w:cs="宋体" w:eastAsia="宋体" w:hint="default"/>
          <w:sz w:val="18"/>
          <w:szCs w:val="18"/>
        </w:rPr>
        <w:t>《综合授信合同</w:t>
      </w:r>
      <w:r>
        <w:rPr>
          <w:rFonts w:ascii="宋体" w:hAnsi="宋体" w:cs="宋体" w:eastAsia="宋体" w:hint="default"/>
          <w:spacing w:val="-90"/>
          <w:sz w:val="18"/>
          <w:szCs w:val="18"/>
        </w:rPr>
        <w:t>》</w:t>
      </w:r>
      <w:r>
        <w:rPr>
          <w:rFonts w:ascii="宋体" w:hAnsi="宋体" w:cs="宋体" w:eastAsia="宋体" w:hint="default"/>
          <w:spacing w:val="-10"/>
          <w:sz w:val="18"/>
          <w:szCs w:val="18"/>
        </w:rPr>
        <w:t>，</w:t>
      </w:r>
      <w:r>
        <w:rPr>
          <w:rFonts w:ascii="宋体" w:hAnsi="宋体" w:cs="宋体" w:eastAsia="宋体" w:hint="default"/>
          <w:sz w:val="18"/>
          <w:szCs w:val="18"/>
        </w:rPr>
        <w:t>以本公司提供信用担保的方式获</w:t>
      </w:r>
    </w:p>
    <w:p>
      <w:pPr>
        <w:spacing w:before="63"/>
        <w:ind w:left="154" w:right="0" w:firstLine="0"/>
        <w:jc w:val="left"/>
        <w:rPr>
          <w:rFonts w:ascii="宋体" w:hAnsi="宋体" w:cs="宋体" w:eastAsia="宋体" w:hint="default"/>
          <w:sz w:val="18"/>
          <w:szCs w:val="18"/>
        </w:rPr>
      </w:pPr>
      <w:r>
        <w:rPr>
          <w:rFonts w:ascii="宋体" w:hAnsi="宋体" w:cs="宋体" w:eastAsia="宋体" w:hint="default"/>
          <w:sz w:val="18"/>
          <w:szCs w:val="18"/>
        </w:rPr>
        <w:t>得综合授信额度人民币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万元，期限壹年。</w:t>
      </w:r>
    </w:p>
    <w:p>
      <w:pPr>
        <w:spacing w:before="82"/>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40</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日，中</w:t>
      </w:r>
      <w:r>
        <w:rPr>
          <w:rFonts w:ascii="宋体" w:hAnsi="宋体" w:cs="宋体" w:eastAsia="宋体" w:hint="default"/>
          <w:spacing w:val="1"/>
          <w:sz w:val="18"/>
          <w:szCs w:val="18"/>
        </w:rPr>
        <w:t>原</w:t>
      </w:r>
      <w:r>
        <w:rPr>
          <w:rFonts w:ascii="宋体" w:hAnsi="宋体" w:cs="宋体" w:eastAsia="宋体" w:hint="default"/>
          <w:sz w:val="18"/>
          <w:szCs w:val="18"/>
        </w:rPr>
        <w:t>电子控股子公司武汉长光电源有限公司与中电财务签订《借款合同</w:t>
      </w:r>
      <w:r>
        <w:rPr>
          <w:rFonts w:ascii="宋体" w:hAnsi="宋体" w:cs="宋体" w:eastAsia="宋体" w:hint="default"/>
          <w:spacing w:val="-90"/>
          <w:sz w:val="18"/>
          <w:szCs w:val="18"/>
        </w:rPr>
        <w:t>》</w:t>
      </w:r>
      <w:r>
        <w:rPr>
          <w:rFonts w:ascii="宋体" w:hAnsi="宋体" w:cs="宋体" w:eastAsia="宋体" w:hint="default"/>
          <w:sz w:val="18"/>
          <w:szCs w:val="18"/>
        </w:rPr>
        <w:t>，以中原电子提供信</w:t>
      </w:r>
    </w:p>
    <w:p>
      <w:pPr>
        <w:spacing w:before="63"/>
        <w:ind w:left="154" w:right="0" w:firstLine="0"/>
        <w:jc w:val="left"/>
        <w:rPr>
          <w:rFonts w:ascii="宋体" w:hAnsi="宋体" w:cs="宋体" w:eastAsia="宋体" w:hint="default"/>
          <w:sz w:val="18"/>
          <w:szCs w:val="18"/>
        </w:rPr>
      </w:pPr>
      <w:r>
        <w:rPr>
          <w:rFonts w:ascii="宋体" w:hAnsi="宋体" w:cs="宋体" w:eastAsia="宋体" w:hint="default"/>
          <w:sz w:val="18"/>
          <w:szCs w:val="18"/>
        </w:rPr>
        <w:t>用担保的方式获得流动资金借款人民币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万元，期限壹年。</w:t>
      </w:r>
    </w:p>
    <w:p>
      <w:pPr>
        <w:spacing w:before="83"/>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41</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日，中</w:t>
      </w:r>
      <w:r>
        <w:rPr>
          <w:rFonts w:ascii="宋体" w:hAnsi="宋体" w:cs="宋体" w:eastAsia="宋体" w:hint="default"/>
          <w:spacing w:val="1"/>
          <w:sz w:val="18"/>
          <w:szCs w:val="18"/>
        </w:rPr>
        <w:t>原</w:t>
      </w:r>
      <w:r>
        <w:rPr>
          <w:rFonts w:ascii="宋体" w:hAnsi="宋体" w:cs="宋体" w:eastAsia="宋体" w:hint="default"/>
          <w:sz w:val="18"/>
          <w:szCs w:val="18"/>
        </w:rPr>
        <w:t>电子控股子公司武汉长光电源有限公司与中电财务签订《借款合同</w:t>
      </w:r>
      <w:r>
        <w:rPr>
          <w:rFonts w:ascii="宋体" w:hAnsi="宋体" w:cs="宋体" w:eastAsia="宋体" w:hint="default"/>
          <w:spacing w:val="-90"/>
          <w:sz w:val="18"/>
          <w:szCs w:val="18"/>
        </w:rPr>
        <w:t>》</w:t>
      </w:r>
      <w:r>
        <w:rPr>
          <w:rFonts w:ascii="宋体" w:hAnsi="宋体" w:cs="宋体" w:eastAsia="宋体" w:hint="default"/>
          <w:sz w:val="18"/>
          <w:szCs w:val="18"/>
        </w:rPr>
        <w:t>，以中原电子提供信</w:t>
      </w:r>
    </w:p>
    <w:p>
      <w:pPr>
        <w:spacing w:before="63"/>
        <w:ind w:left="154" w:right="0" w:firstLine="0"/>
        <w:jc w:val="left"/>
        <w:rPr>
          <w:rFonts w:ascii="宋体" w:hAnsi="宋体" w:cs="宋体" w:eastAsia="宋体" w:hint="default"/>
          <w:sz w:val="18"/>
          <w:szCs w:val="18"/>
        </w:rPr>
      </w:pPr>
      <w:r>
        <w:rPr>
          <w:rFonts w:ascii="宋体" w:hAnsi="宋体" w:cs="宋体" w:eastAsia="宋体" w:hint="default"/>
          <w:sz w:val="18"/>
          <w:szCs w:val="18"/>
        </w:rPr>
        <w:t>用担保的方式获得流动资金借款人民币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万元，期限壹年。</w:t>
      </w:r>
    </w:p>
    <w:p>
      <w:pPr>
        <w:spacing w:before="83"/>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42</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日，中</w:t>
      </w:r>
      <w:r>
        <w:rPr>
          <w:rFonts w:ascii="宋体" w:hAnsi="宋体" w:cs="宋体" w:eastAsia="宋体" w:hint="default"/>
          <w:spacing w:val="1"/>
          <w:sz w:val="18"/>
          <w:szCs w:val="18"/>
        </w:rPr>
        <w:t>原</w:t>
      </w:r>
      <w:r>
        <w:rPr>
          <w:rFonts w:ascii="宋体" w:hAnsi="宋体" w:cs="宋体" w:eastAsia="宋体" w:hint="default"/>
          <w:sz w:val="18"/>
          <w:szCs w:val="18"/>
        </w:rPr>
        <w:t>电子控股子公司武汉长光电源有限公司与中电财务签订《借款合同</w:t>
      </w:r>
      <w:r>
        <w:rPr>
          <w:rFonts w:ascii="宋体" w:hAnsi="宋体" w:cs="宋体" w:eastAsia="宋体" w:hint="default"/>
          <w:spacing w:val="-90"/>
          <w:sz w:val="18"/>
          <w:szCs w:val="18"/>
        </w:rPr>
        <w:t>》</w:t>
      </w:r>
      <w:r>
        <w:rPr>
          <w:rFonts w:ascii="宋体" w:hAnsi="宋体" w:cs="宋体" w:eastAsia="宋体" w:hint="default"/>
          <w:sz w:val="18"/>
          <w:szCs w:val="18"/>
        </w:rPr>
        <w:t>，以中原电子提供信</w:t>
      </w:r>
    </w:p>
    <w:p>
      <w:pPr>
        <w:spacing w:before="63"/>
        <w:ind w:left="154" w:right="0" w:firstLine="0"/>
        <w:jc w:val="left"/>
        <w:rPr>
          <w:rFonts w:ascii="宋体" w:hAnsi="宋体" w:cs="宋体" w:eastAsia="宋体" w:hint="default"/>
          <w:sz w:val="18"/>
          <w:szCs w:val="18"/>
        </w:rPr>
      </w:pPr>
      <w:r>
        <w:rPr>
          <w:rFonts w:ascii="宋体" w:hAnsi="宋体" w:cs="宋体" w:eastAsia="宋体" w:hint="default"/>
          <w:sz w:val="18"/>
          <w:szCs w:val="18"/>
        </w:rPr>
        <w:t>用担保的方式获得流动资金借款人民币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万元，期限壹年。</w:t>
      </w:r>
    </w:p>
    <w:p>
      <w:pPr>
        <w:spacing w:before="82"/>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43</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日，中</w:t>
      </w:r>
      <w:r>
        <w:rPr>
          <w:rFonts w:ascii="宋体" w:hAnsi="宋体" w:cs="宋体" w:eastAsia="宋体" w:hint="default"/>
          <w:spacing w:val="1"/>
          <w:sz w:val="18"/>
          <w:szCs w:val="18"/>
        </w:rPr>
        <w:t>原</w:t>
      </w:r>
      <w:r>
        <w:rPr>
          <w:rFonts w:ascii="宋体" w:hAnsi="宋体" w:cs="宋体" w:eastAsia="宋体" w:hint="default"/>
          <w:sz w:val="18"/>
          <w:szCs w:val="18"/>
        </w:rPr>
        <w:t>电子控股子公司武汉长光电源有限公司与中电财务签订《借款合同</w:t>
      </w:r>
      <w:r>
        <w:rPr>
          <w:rFonts w:ascii="宋体" w:hAnsi="宋体" w:cs="宋体" w:eastAsia="宋体" w:hint="default"/>
          <w:spacing w:val="-90"/>
          <w:sz w:val="18"/>
          <w:szCs w:val="18"/>
        </w:rPr>
        <w:t>》</w:t>
      </w:r>
      <w:r>
        <w:rPr>
          <w:rFonts w:ascii="宋体" w:hAnsi="宋体" w:cs="宋体" w:eastAsia="宋体" w:hint="default"/>
          <w:sz w:val="18"/>
          <w:szCs w:val="18"/>
        </w:rPr>
        <w:t>，以中原电子提供信</w:t>
      </w:r>
    </w:p>
    <w:p>
      <w:pPr>
        <w:spacing w:before="63"/>
        <w:ind w:left="154" w:right="0" w:firstLine="0"/>
        <w:jc w:val="left"/>
        <w:rPr>
          <w:rFonts w:ascii="宋体" w:hAnsi="宋体" w:cs="宋体" w:eastAsia="宋体" w:hint="default"/>
          <w:sz w:val="18"/>
          <w:szCs w:val="18"/>
        </w:rPr>
      </w:pPr>
      <w:r>
        <w:rPr>
          <w:rFonts w:ascii="宋体" w:hAnsi="宋体" w:cs="宋体" w:eastAsia="宋体" w:hint="default"/>
          <w:sz w:val="18"/>
          <w:szCs w:val="18"/>
        </w:rPr>
        <w:t>用担保的方式获得流动资金借款人民币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万元，期限壹年。</w:t>
      </w:r>
    </w:p>
    <w:p>
      <w:pPr>
        <w:spacing w:before="83"/>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44</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日，中</w:t>
      </w:r>
      <w:r>
        <w:rPr>
          <w:rFonts w:ascii="宋体" w:hAnsi="宋体" w:cs="宋体" w:eastAsia="宋体" w:hint="default"/>
          <w:spacing w:val="1"/>
          <w:sz w:val="18"/>
          <w:szCs w:val="18"/>
        </w:rPr>
        <w:t>原</w:t>
      </w:r>
      <w:r>
        <w:rPr>
          <w:rFonts w:ascii="宋体" w:hAnsi="宋体" w:cs="宋体" w:eastAsia="宋体" w:hint="default"/>
          <w:sz w:val="18"/>
          <w:szCs w:val="18"/>
        </w:rPr>
        <w:t>电子控股子公司武汉长光电源有限公司与中电财务签订《借款合同</w:t>
      </w:r>
      <w:r>
        <w:rPr>
          <w:rFonts w:ascii="宋体" w:hAnsi="宋体" w:cs="宋体" w:eastAsia="宋体" w:hint="default"/>
          <w:spacing w:val="-90"/>
          <w:sz w:val="18"/>
          <w:szCs w:val="18"/>
        </w:rPr>
        <w:t>》</w:t>
      </w:r>
      <w:r>
        <w:rPr>
          <w:rFonts w:ascii="宋体" w:hAnsi="宋体" w:cs="宋体" w:eastAsia="宋体" w:hint="default"/>
          <w:sz w:val="18"/>
          <w:szCs w:val="18"/>
        </w:rPr>
        <w:t>，以中原电子提供信</w:t>
      </w:r>
    </w:p>
    <w:p>
      <w:pPr>
        <w:spacing w:after="0"/>
        <w:jc w:val="left"/>
        <w:rPr>
          <w:rFonts w:ascii="宋体" w:hAnsi="宋体" w:cs="宋体" w:eastAsia="宋体" w:hint="default"/>
          <w:sz w:val="18"/>
          <w:szCs w:val="18"/>
        </w:rPr>
        <w:sectPr>
          <w:pgSz w:w="11910" w:h="16840"/>
          <w:pgMar w:header="787" w:footer="982" w:top="1100" w:bottom="1180" w:left="980" w:right="0"/>
        </w:sectPr>
      </w:pPr>
    </w:p>
    <w:p>
      <w:pPr>
        <w:spacing w:line="240" w:lineRule="auto" w:before="10"/>
        <w:rPr>
          <w:rFonts w:ascii="宋体" w:hAnsi="宋体" w:cs="宋体" w:eastAsia="宋体" w:hint="default"/>
          <w:sz w:val="22"/>
          <w:szCs w:val="22"/>
        </w:rPr>
      </w:pPr>
    </w:p>
    <w:p>
      <w:pPr>
        <w:spacing w:before="44"/>
        <w:ind w:left="154" w:right="0" w:firstLine="0"/>
        <w:jc w:val="left"/>
        <w:rPr>
          <w:rFonts w:ascii="宋体" w:hAnsi="宋体" w:cs="宋体" w:eastAsia="宋体" w:hint="default"/>
          <w:sz w:val="18"/>
          <w:szCs w:val="18"/>
        </w:rPr>
      </w:pPr>
      <w:r>
        <w:rPr>
          <w:rFonts w:ascii="宋体" w:hAnsi="宋体" w:cs="宋体" w:eastAsia="宋体" w:hint="default"/>
          <w:sz w:val="18"/>
          <w:szCs w:val="18"/>
        </w:rPr>
        <w:t>用担保的方式获得流动资金借款人民币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万元，期限壹年。</w:t>
      </w:r>
    </w:p>
    <w:p>
      <w:pPr>
        <w:spacing w:before="83"/>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45</w:t>
      </w:r>
      <w:r>
        <w:rPr>
          <w:rFonts w:ascii="宋体" w:hAnsi="宋体" w:cs="宋体" w:eastAsia="宋体" w:hint="default"/>
          <w:spacing w:val="-10"/>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宋体" w:hAnsi="宋体" w:cs="宋体" w:eastAsia="宋体" w:hint="default"/>
          <w:spacing w:val="-10"/>
          <w:sz w:val="18"/>
          <w:szCs w:val="18"/>
        </w:rPr>
        <w:t>，</w:t>
      </w:r>
      <w:r>
        <w:rPr>
          <w:rFonts w:ascii="宋体" w:hAnsi="宋体" w:cs="宋体" w:eastAsia="宋体" w:hint="default"/>
          <w:sz w:val="18"/>
          <w:szCs w:val="18"/>
        </w:rPr>
        <w:t>中</w:t>
      </w:r>
      <w:r>
        <w:rPr>
          <w:rFonts w:ascii="宋体" w:hAnsi="宋体" w:cs="宋体" w:eastAsia="宋体" w:hint="default"/>
          <w:spacing w:val="1"/>
          <w:sz w:val="18"/>
          <w:szCs w:val="18"/>
        </w:rPr>
        <w:t>原</w:t>
      </w:r>
      <w:r>
        <w:rPr>
          <w:rFonts w:ascii="宋体" w:hAnsi="宋体" w:cs="宋体" w:eastAsia="宋体" w:hint="default"/>
          <w:sz w:val="18"/>
          <w:szCs w:val="18"/>
        </w:rPr>
        <w:t>电子控股子公司武汉长光电源有限公司与中电财务签</w:t>
      </w:r>
      <w:r>
        <w:rPr>
          <w:rFonts w:ascii="宋体" w:hAnsi="宋体" w:cs="宋体" w:eastAsia="宋体" w:hint="default"/>
          <w:spacing w:val="-10"/>
          <w:sz w:val="18"/>
          <w:szCs w:val="18"/>
        </w:rPr>
        <w:t>订</w:t>
      </w:r>
      <w:r>
        <w:rPr>
          <w:rFonts w:ascii="宋体" w:hAnsi="宋体" w:cs="宋体" w:eastAsia="宋体" w:hint="default"/>
          <w:sz w:val="18"/>
          <w:szCs w:val="18"/>
        </w:rPr>
        <w:t>《借款合同</w:t>
      </w:r>
      <w:r>
        <w:rPr>
          <w:rFonts w:ascii="宋体" w:hAnsi="宋体" w:cs="宋体" w:eastAsia="宋体" w:hint="default"/>
          <w:spacing w:val="-90"/>
          <w:sz w:val="18"/>
          <w:szCs w:val="18"/>
        </w:rPr>
        <w:t>》</w:t>
      </w:r>
      <w:r>
        <w:rPr>
          <w:rFonts w:ascii="宋体" w:hAnsi="宋体" w:cs="宋体" w:eastAsia="宋体" w:hint="default"/>
          <w:spacing w:val="-9"/>
          <w:sz w:val="18"/>
          <w:szCs w:val="18"/>
        </w:rPr>
        <w:t>，</w:t>
      </w:r>
      <w:r>
        <w:rPr>
          <w:rFonts w:ascii="宋体" w:hAnsi="宋体" w:cs="宋体" w:eastAsia="宋体" w:hint="default"/>
          <w:sz w:val="18"/>
          <w:szCs w:val="18"/>
        </w:rPr>
        <w:t>以中原电子提供信用</w:t>
      </w:r>
    </w:p>
    <w:p>
      <w:pPr>
        <w:spacing w:before="63"/>
        <w:ind w:left="154" w:right="0" w:firstLine="0"/>
        <w:jc w:val="left"/>
        <w:rPr>
          <w:rFonts w:ascii="宋体" w:hAnsi="宋体" w:cs="宋体" w:eastAsia="宋体" w:hint="default"/>
          <w:sz w:val="18"/>
          <w:szCs w:val="18"/>
        </w:rPr>
      </w:pPr>
      <w:r>
        <w:rPr>
          <w:rFonts w:ascii="宋体" w:hAnsi="宋体" w:cs="宋体" w:eastAsia="宋体" w:hint="default"/>
          <w:sz w:val="18"/>
          <w:szCs w:val="18"/>
        </w:rPr>
        <w:t>担保的方式获得流动资金借款人民币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400 </w:t>
      </w:r>
      <w:r>
        <w:rPr>
          <w:rFonts w:ascii="宋体" w:hAnsi="宋体" w:cs="宋体" w:eastAsia="宋体" w:hint="default"/>
          <w:sz w:val="18"/>
          <w:szCs w:val="18"/>
        </w:rPr>
        <w:t>万元，期限壹年。</w:t>
      </w:r>
    </w:p>
    <w:p>
      <w:pPr>
        <w:spacing w:before="82"/>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46</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日，中</w:t>
      </w:r>
      <w:r>
        <w:rPr>
          <w:rFonts w:ascii="宋体" w:hAnsi="宋体" w:cs="宋体" w:eastAsia="宋体" w:hint="default"/>
          <w:spacing w:val="1"/>
          <w:sz w:val="18"/>
          <w:szCs w:val="18"/>
        </w:rPr>
        <w:t>原</w:t>
      </w:r>
      <w:r>
        <w:rPr>
          <w:rFonts w:ascii="宋体" w:hAnsi="宋体" w:cs="宋体" w:eastAsia="宋体" w:hint="default"/>
          <w:sz w:val="18"/>
          <w:szCs w:val="18"/>
        </w:rPr>
        <w:t>电子控股子公司武汉长光电源有限公司与中电财务签订《借款合同</w:t>
      </w:r>
      <w:r>
        <w:rPr>
          <w:rFonts w:ascii="宋体" w:hAnsi="宋体" w:cs="宋体" w:eastAsia="宋体" w:hint="default"/>
          <w:spacing w:val="-90"/>
          <w:sz w:val="18"/>
          <w:szCs w:val="18"/>
        </w:rPr>
        <w:t>》</w:t>
      </w:r>
      <w:r>
        <w:rPr>
          <w:rFonts w:ascii="宋体" w:hAnsi="宋体" w:cs="宋体" w:eastAsia="宋体" w:hint="default"/>
          <w:sz w:val="18"/>
          <w:szCs w:val="18"/>
        </w:rPr>
        <w:t>，以中原电子提供信</w:t>
      </w:r>
    </w:p>
    <w:p>
      <w:pPr>
        <w:spacing w:before="63"/>
        <w:ind w:left="154" w:right="0" w:firstLine="0"/>
        <w:jc w:val="left"/>
        <w:rPr>
          <w:rFonts w:ascii="宋体" w:hAnsi="宋体" w:cs="宋体" w:eastAsia="宋体" w:hint="default"/>
          <w:sz w:val="18"/>
          <w:szCs w:val="18"/>
        </w:rPr>
      </w:pPr>
      <w:r>
        <w:rPr>
          <w:rFonts w:ascii="宋体" w:hAnsi="宋体" w:cs="宋体" w:eastAsia="宋体" w:hint="default"/>
          <w:sz w:val="18"/>
          <w:szCs w:val="18"/>
        </w:rPr>
        <w:t>用担保的方式获得流动资金借款人民币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万元，期限壹年。</w:t>
      </w:r>
    </w:p>
    <w:p>
      <w:pPr>
        <w:spacing w:before="83"/>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47</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日，中</w:t>
      </w:r>
      <w:r>
        <w:rPr>
          <w:rFonts w:ascii="宋体" w:hAnsi="宋体" w:cs="宋体" w:eastAsia="宋体" w:hint="default"/>
          <w:spacing w:val="1"/>
          <w:sz w:val="18"/>
          <w:szCs w:val="18"/>
        </w:rPr>
        <w:t>原</w:t>
      </w:r>
      <w:r>
        <w:rPr>
          <w:rFonts w:ascii="宋体" w:hAnsi="宋体" w:cs="宋体" w:eastAsia="宋体" w:hint="default"/>
          <w:sz w:val="18"/>
          <w:szCs w:val="18"/>
        </w:rPr>
        <w:t>电子控股子公司武汉长光电源有限公司与中电财务签订《借款合同</w:t>
      </w:r>
      <w:r>
        <w:rPr>
          <w:rFonts w:ascii="宋体" w:hAnsi="宋体" w:cs="宋体" w:eastAsia="宋体" w:hint="default"/>
          <w:spacing w:val="-90"/>
          <w:sz w:val="18"/>
          <w:szCs w:val="18"/>
        </w:rPr>
        <w:t>》</w:t>
      </w:r>
      <w:r>
        <w:rPr>
          <w:rFonts w:ascii="宋体" w:hAnsi="宋体" w:cs="宋体" w:eastAsia="宋体" w:hint="default"/>
          <w:sz w:val="18"/>
          <w:szCs w:val="18"/>
        </w:rPr>
        <w:t>，以中原电子提供信</w:t>
      </w:r>
    </w:p>
    <w:p>
      <w:pPr>
        <w:spacing w:before="63"/>
        <w:ind w:left="154" w:right="0" w:firstLine="0"/>
        <w:jc w:val="left"/>
        <w:rPr>
          <w:rFonts w:ascii="宋体" w:hAnsi="宋体" w:cs="宋体" w:eastAsia="宋体" w:hint="default"/>
          <w:sz w:val="18"/>
          <w:szCs w:val="18"/>
        </w:rPr>
      </w:pPr>
      <w:r>
        <w:rPr>
          <w:rFonts w:ascii="宋体" w:hAnsi="宋体" w:cs="宋体" w:eastAsia="宋体" w:hint="default"/>
          <w:sz w:val="18"/>
          <w:szCs w:val="18"/>
        </w:rPr>
        <w:t>用担保的方式获得流动资金借款人民币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万元，期限壹年。</w:t>
      </w:r>
    </w:p>
    <w:p>
      <w:pPr>
        <w:spacing w:before="83"/>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48</w:t>
      </w:r>
      <w:r>
        <w:rPr>
          <w:rFonts w:ascii="宋体" w:hAnsi="宋体" w:cs="宋体" w:eastAsia="宋体" w:hint="default"/>
          <w:spacing w:val="-10"/>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宋体" w:hAnsi="宋体" w:cs="宋体" w:eastAsia="宋体" w:hint="default"/>
          <w:spacing w:val="-10"/>
          <w:sz w:val="18"/>
          <w:szCs w:val="18"/>
        </w:rPr>
        <w:t>，</w:t>
      </w:r>
      <w:r>
        <w:rPr>
          <w:rFonts w:ascii="宋体" w:hAnsi="宋体" w:cs="宋体" w:eastAsia="宋体" w:hint="default"/>
          <w:sz w:val="18"/>
          <w:szCs w:val="18"/>
        </w:rPr>
        <w:t>中</w:t>
      </w:r>
      <w:r>
        <w:rPr>
          <w:rFonts w:ascii="宋体" w:hAnsi="宋体" w:cs="宋体" w:eastAsia="宋体" w:hint="default"/>
          <w:spacing w:val="1"/>
          <w:sz w:val="18"/>
          <w:szCs w:val="18"/>
        </w:rPr>
        <w:t>原</w:t>
      </w:r>
      <w:r>
        <w:rPr>
          <w:rFonts w:ascii="宋体" w:hAnsi="宋体" w:cs="宋体" w:eastAsia="宋体" w:hint="default"/>
          <w:sz w:val="18"/>
          <w:szCs w:val="18"/>
        </w:rPr>
        <w:t>电子控股子公司武汉长光电源有限公司与中电财务签</w:t>
      </w:r>
      <w:r>
        <w:rPr>
          <w:rFonts w:ascii="宋体" w:hAnsi="宋体" w:cs="宋体" w:eastAsia="宋体" w:hint="default"/>
          <w:spacing w:val="-10"/>
          <w:sz w:val="18"/>
          <w:szCs w:val="18"/>
        </w:rPr>
        <w:t>订</w:t>
      </w:r>
      <w:r>
        <w:rPr>
          <w:rFonts w:ascii="宋体" w:hAnsi="宋体" w:cs="宋体" w:eastAsia="宋体" w:hint="default"/>
          <w:sz w:val="18"/>
          <w:szCs w:val="18"/>
        </w:rPr>
        <w:t>《借款合同</w:t>
      </w:r>
      <w:r>
        <w:rPr>
          <w:rFonts w:ascii="宋体" w:hAnsi="宋体" w:cs="宋体" w:eastAsia="宋体" w:hint="default"/>
          <w:spacing w:val="-90"/>
          <w:sz w:val="18"/>
          <w:szCs w:val="18"/>
        </w:rPr>
        <w:t>》</w:t>
      </w:r>
      <w:r>
        <w:rPr>
          <w:rFonts w:ascii="宋体" w:hAnsi="宋体" w:cs="宋体" w:eastAsia="宋体" w:hint="default"/>
          <w:spacing w:val="-9"/>
          <w:sz w:val="18"/>
          <w:szCs w:val="18"/>
        </w:rPr>
        <w:t>，</w:t>
      </w:r>
      <w:r>
        <w:rPr>
          <w:rFonts w:ascii="宋体" w:hAnsi="宋体" w:cs="宋体" w:eastAsia="宋体" w:hint="default"/>
          <w:sz w:val="18"/>
          <w:szCs w:val="18"/>
        </w:rPr>
        <w:t>以中原电子提供信用</w:t>
      </w:r>
    </w:p>
    <w:p>
      <w:pPr>
        <w:spacing w:before="63"/>
        <w:ind w:left="154" w:right="0" w:firstLine="0"/>
        <w:jc w:val="left"/>
        <w:rPr>
          <w:rFonts w:ascii="宋体" w:hAnsi="宋体" w:cs="宋体" w:eastAsia="宋体" w:hint="default"/>
          <w:sz w:val="18"/>
          <w:szCs w:val="18"/>
        </w:rPr>
      </w:pPr>
      <w:r>
        <w:rPr>
          <w:rFonts w:ascii="宋体" w:hAnsi="宋体" w:cs="宋体" w:eastAsia="宋体" w:hint="default"/>
          <w:sz w:val="18"/>
          <w:szCs w:val="18"/>
        </w:rPr>
        <w:t>担保的方式获得流动资金借款人民币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400 </w:t>
      </w:r>
      <w:r>
        <w:rPr>
          <w:rFonts w:ascii="宋体" w:hAnsi="宋体" w:cs="宋体" w:eastAsia="宋体" w:hint="default"/>
          <w:sz w:val="18"/>
          <w:szCs w:val="18"/>
        </w:rPr>
        <w:t>万元，期限壹年。</w:t>
      </w:r>
    </w:p>
    <w:p>
      <w:pPr>
        <w:spacing w:before="82"/>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49</w:t>
      </w:r>
      <w:r>
        <w:rPr>
          <w:rFonts w:ascii="宋体" w:hAnsi="宋体" w:cs="宋体" w:eastAsia="宋体" w:hint="default"/>
          <w:spacing w:val="-10"/>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宋体" w:hAnsi="宋体" w:cs="宋体" w:eastAsia="宋体" w:hint="default"/>
          <w:spacing w:val="-10"/>
          <w:sz w:val="18"/>
          <w:szCs w:val="18"/>
        </w:rPr>
        <w:t>，</w:t>
      </w:r>
      <w:r>
        <w:rPr>
          <w:rFonts w:ascii="宋体" w:hAnsi="宋体" w:cs="宋体" w:eastAsia="宋体" w:hint="default"/>
          <w:sz w:val="18"/>
          <w:szCs w:val="18"/>
        </w:rPr>
        <w:t>中</w:t>
      </w:r>
      <w:r>
        <w:rPr>
          <w:rFonts w:ascii="宋体" w:hAnsi="宋体" w:cs="宋体" w:eastAsia="宋体" w:hint="default"/>
          <w:spacing w:val="1"/>
          <w:sz w:val="18"/>
          <w:szCs w:val="18"/>
        </w:rPr>
        <w:t>原</w:t>
      </w:r>
      <w:r>
        <w:rPr>
          <w:rFonts w:ascii="宋体" w:hAnsi="宋体" w:cs="宋体" w:eastAsia="宋体" w:hint="default"/>
          <w:sz w:val="18"/>
          <w:szCs w:val="18"/>
        </w:rPr>
        <w:t>电子控股子公司武汉长光电源有限公司与中电财务签</w:t>
      </w:r>
      <w:r>
        <w:rPr>
          <w:rFonts w:ascii="宋体" w:hAnsi="宋体" w:cs="宋体" w:eastAsia="宋体" w:hint="default"/>
          <w:spacing w:val="-10"/>
          <w:sz w:val="18"/>
          <w:szCs w:val="18"/>
        </w:rPr>
        <w:t>订</w:t>
      </w:r>
      <w:r>
        <w:rPr>
          <w:rFonts w:ascii="宋体" w:hAnsi="宋体" w:cs="宋体" w:eastAsia="宋体" w:hint="default"/>
          <w:sz w:val="18"/>
          <w:szCs w:val="18"/>
        </w:rPr>
        <w:t>《借款合同</w:t>
      </w:r>
      <w:r>
        <w:rPr>
          <w:rFonts w:ascii="宋体" w:hAnsi="宋体" w:cs="宋体" w:eastAsia="宋体" w:hint="default"/>
          <w:spacing w:val="-90"/>
          <w:sz w:val="18"/>
          <w:szCs w:val="18"/>
        </w:rPr>
        <w:t>》</w:t>
      </w:r>
      <w:r>
        <w:rPr>
          <w:rFonts w:ascii="宋体" w:hAnsi="宋体" w:cs="宋体" w:eastAsia="宋体" w:hint="default"/>
          <w:spacing w:val="-9"/>
          <w:sz w:val="18"/>
          <w:szCs w:val="18"/>
        </w:rPr>
        <w:t>，</w:t>
      </w:r>
      <w:r>
        <w:rPr>
          <w:rFonts w:ascii="宋体" w:hAnsi="宋体" w:cs="宋体" w:eastAsia="宋体" w:hint="default"/>
          <w:sz w:val="18"/>
          <w:szCs w:val="18"/>
        </w:rPr>
        <w:t>以中原电子提供信用</w:t>
      </w:r>
    </w:p>
    <w:p>
      <w:pPr>
        <w:spacing w:before="63"/>
        <w:ind w:left="154" w:right="0" w:firstLine="0"/>
        <w:jc w:val="left"/>
        <w:rPr>
          <w:rFonts w:ascii="宋体" w:hAnsi="宋体" w:cs="宋体" w:eastAsia="宋体" w:hint="default"/>
          <w:sz w:val="18"/>
          <w:szCs w:val="18"/>
        </w:rPr>
      </w:pPr>
      <w:r>
        <w:rPr>
          <w:rFonts w:ascii="宋体" w:hAnsi="宋体" w:cs="宋体" w:eastAsia="宋体" w:hint="default"/>
          <w:sz w:val="18"/>
          <w:szCs w:val="18"/>
        </w:rPr>
        <w:t>担保的方式获得流动资金借款人民币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500 </w:t>
      </w:r>
      <w:r>
        <w:rPr>
          <w:rFonts w:ascii="宋体" w:hAnsi="宋体" w:cs="宋体" w:eastAsia="宋体" w:hint="default"/>
          <w:sz w:val="18"/>
          <w:szCs w:val="18"/>
        </w:rPr>
        <w:t>万元，期限壹年。</w:t>
      </w:r>
    </w:p>
    <w:p>
      <w:pPr>
        <w:spacing w:before="83"/>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50</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日，中</w:t>
      </w:r>
      <w:r>
        <w:rPr>
          <w:rFonts w:ascii="宋体" w:hAnsi="宋体" w:cs="宋体" w:eastAsia="宋体" w:hint="default"/>
          <w:spacing w:val="1"/>
          <w:sz w:val="18"/>
          <w:szCs w:val="18"/>
        </w:rPr>
        <w:t>原</w:t>
      </w:r>
      <w:r>
        <w:rPr>
          <w:rFonts w:ascii="宋体" w:hAnsi="宋体" w:cs="宋体" w:eastAsia="宋体" w:hint="default"/>
          <w:sz w:val="18"/>
          <w:szCs w:val="18"/>
        </w:rPr>
        <w:t>电子控股子公司武汉长光电源有限公司与中电财务签订《借款合同</w:t>
      </w:r>
      <w:r>
        <w:rPr>
          <w:rFonts w:ascii="宋体" w:hAnsi="宋体" w:cs="宋体" w:eastAsia="宋体" w:hint="default"/>
          <w:spacing w:val="-90"/>
          <w:sz w:val="18"/>
          <w:szCs w:val="18"/>
        </w:rPr>
        <w:t>》</w:t>
      </w:r>
      <w:r>
        <w:rPr>
          <w:rFonts w:ascii="宋体" w:hAnsi="宋体" w:cs="宋体" w:eastAsia="宋体" w:hint="default"/>
          <w:sz w:val="18"/>
          <w:szCs w:val="18"/>
        </w:rPr>
        <w:t>，以中原电子提供信</w:t>
      </w:r>
    </w:p>
    <w:p>
      <w:pPr>
        <w:spacing w:before="63"/>
        <w:ind w:left="154" w:right="0" w:firstLine="0"/>
        <w:jc w:val="left"/>
        <w:rPr>
          <w:rFonts w:ascii="宋体" w:hAnsi="宋体" w:cs="宋体" w:eastAsia="宋体" w:hint="default"/>
          <w:sz w:val="18"/>
          <w:szCs w:val="18"/>
        </w:rPr>
      </w:pPr>
      <w:r>
        <w:rPr>
          <w:rFonts w:ascii="宋体" w:hAnsi="宋体" w:cs="宋体" w:eastAsia="宋体" w:hint="default"/>
          <w:sz w:val="18"/>
          <w:szCs w:val="18"/>
        </w:rPr>
        <w:t>用担保的方式获得流动资金借款人民币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万元，期限壹年。</w:t>
      </w:r>
    </w:p>
    <w:p>
      <w:pPr>
        <w:spacing w:before="83"/>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51</w:t>
      </w:r>
      <w:r>
        <w:rPr>
          <w:rFonts w:ascii="宋体" w:hAnsi="宋体" w:cs="宋体" w:eastAsia="宋体" w:hint="default"/>
          <w:spacing w:val="-10"/>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宋体" w:hAnsi="宋体" w:cs="宋体" w:eastAsia="宋体" w:hint="default"/>
          <w:spacing w:val="-10"/>
          <w:sz w:val="18"/>
          <w:szCs w:val="18"/>
        </w:rPr>
        <w:t>，</w:t>
      </w:r>
      <w:r>
        <w:rPr>
          <w:rFonts w:ascii="宋体" w:hAnsi="宋体" w:cs="宋体" w:eastAsia="宋体" w:hint="default"/>
          <w:sz w:val="18"/>
          <w:szCs w:val="18"/>
        </w:rPr>
        <w:t>中</w:t>
      </w:r>
      <w:r>
        <w:rPr>
          <w:rFonts w:ascii="宋体" w:hAnsi="宋体" w:cs="宋体" w:eastAsia="宋体" w:hint="default"/>
          <w:spacing w:val="1"/>
          <w:sz w:val="18"/>
          <w:szCs w:val="18"/>
        </w:rPr>
        <w:t>原</w:t>
      </w:r>
      <w:r>
        <w:rPr>
          <w:rFonts w:ascii="宋体" w:hAnsi="宋体" w:cs="宋体" w:eastAsia="宋体" w:hint="default"/>
          <w:sz w:val="18"/>
          <w:szCs w:val="18"/>
        </w:rPr>
        <w:t>电子控股子公司武汉长光电源有限公司与中电财务签</w:t>
      </w:r>
      <w:r>
        <w:rPr>
          <w:rFonts w:ascii="宋体" w:hAnsi="宋体" w:cs="宋体" w:eastAsia="宋体" w:hint="default"/>
          <w:spacing w:val="-10"/>
          <w:sz w:val="18"/>
          <w:szCs w:val="18"/>
        </w:rPr>
        <w:t>订</w:t>
      </w:r>
      <w:r>
        <w:rPr>
          <w:rFonts w:ascii="宋体" w:hAnsi="宋体" w:cs="宋体" w:eastAsia="宋体" w:hint="default"/>
          <w:sz w:val="18"/>
          <w:szCs w:val="18"/>
        </w:rPr>
        <w:t>《借款合同</w:t>
      </w:r>
      <w:r>
        <w:rPr>
          <w:rFonts w:ascii="宋体" w:hAnsi="宋体" w:cs="宋体" w:eastAsia="宋体" w:hint="default"/>
          <w:spacing w:val="-90"/>
          <w:sz w:val="18"/>
          <w:szCs w:val="18"/>
        </w:rPr>
        <w:t>》</w:t>
      </w:r>
      <w:r>
        <w:rPr>
          <w:rFonts w:ascii="宋体" w:hAnsi="宋体" w:cs="宋体" w:eastAsia="宋体" w:hint="default"/>
          <w:spacing w:val="-9"/>
          <w:sz w:val="18"/>
          <w:szCs w:val="18"/>
        </w:rPr>
        <w:t>，</w:t>
      </w:r>
      <w:r>
        <w:rPr>
          <w:rFonts w:ascii="宋体" w:hAnsi="宋体" w:cs="宋体" w:eastAsia="宋体" w:hint="default"/>
          <w:sz w:val="18"/>
          <w:szCs w:val="18"/>
        </w:rPr>
        <w:t>以中原电子提供信</w:t>
      </w:r>
    </w:p>
    <w:p>
      <w:pPr>
        <w:spacing w:before="63"/>
        <w:ind w:left="154" w:right="0" w:firstLine="0"/>
        <w:jc w:val="left"/>
        <w:rPr>
          <w:rFonts w:ascii="宋体" w:hAnsi="宋体" w:cs="宋体" w:eastAsia="宋体" w:hint="default"/>
          <w:sz w:val="18"/>
          <w:szCs w:val="18"/>
        </w:rPr>
      </w:pPr>
      <w:r>
        <w:rPr>
          <w:rFonts w:ascii="宋体" w:hAnsi="宋体" w:cs="宋体" w:eastAsia="宋体" w:hint="default"/>
          <w:sz w:val="18"/>
          <w:szCs w:val="18"/>
        </w:rPr>
        <w:t>用担保的方式获得流动资金借款人民币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万元，期限壹年。</w:t>
      </w:r>
    </w:p>
    <w:p>
      <w:pPr>
        <w:spacing w:before="82"/>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52</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年</w:t>
      </w:r>
      <w:r>
        <w:rPr>
          <w:rFonts w:ascii="宋体" w:hAnsi="宋体" w:cs="宋体" w:eastAsia="宋体" w:hint="default"/>
          <w:spacing w:val="-34"/>
          <w:sz w:val="18"/>
          <w:szCs w:val="18"/>
        </w:rPr>
        <w:t> </w:t>
      </w:r>
      <w:r>
        <w:rPr>
          <w:rFonts w:ascii="Times New Roman" w:hAnsi="Times New Roman" w:cs="Times New Roman" w:eastAsia="Times New Roman" w:hint="default"/>
          <w:spacing w:val="-6"/>
          <w:sz w:val="18"/>
          <w:szCs w:val="18"/>
        </w:rPr>
        <w:t>1</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月</w:t>
      </w:r>
      <w:r>
        <w:rPr>
          <w:rFonts w:ascii="宋体" w:hAnsi="宋体" w:cs="宋体" w:eastAsia="宋体" w:hint="default"/>
          <w:spacing w:val="-34"/>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日，</w:t>
      </w:r>
      <w:r>
        <w:rPr>
          <w:rFonts w:ascii="宋体" w:hAnsi="宋体" w:cs="宋体" w:eastAsia="宋体" w:hint="default"/>
          <w:spacing w:val="1"/>
          <w:sz w:val="18"/>
          <w:szCs w:val="18"/>
        </w:rPr>
        <w:t>中</w:t>
      </w:r>
      <w:r>
        <w:rPr>
          <w:rFonts w:ascii="宋体" w:hAnsi="宋体" w:cs="宋体" w:eastAsia="宋体" w:hint="default"/>
          <w:sz w:val="18"/>
          <w:szCs w:val="18"/>
        </w:rPr>
        <w:t>原电子控股子公司武汉长光电源有限公司与中电财务签订《借款合同</w:t>
      </w:r>
      <w:r>
        <w:rPr>
          <w:rFonts w:ascii="宋体" w:hAnsi="宋体" w:cs="宋体" w:eastAsia="宋体" w:hint="default"/>
          <w:spacing w:val="-90"/>
          <w:sz w:val="18"/>
          <w:szCs w:val="18"/>
        </w:rPr>
        <w:t>》</w:t>
      </w:r>
      <w:r>
        <w:rPr>
          <w:rFonts w:ascii="宋体" w:hAnsi="宋体" w:cs="宋体" w:eastAsia="宋体" w:hint="default"/>
          <w:sz w:val="18"/>
          <w:szCs w:val="18"/>
        </w:rPr>
        <w:t>，以中原电子提供信</w:t>
      </w:r>
    </w:p>
    <w:p>
      <w:pPr>
        <w:spacing w:before="63"/>
        <w:ind w:left="153" w:right="0" w:firstLine="0"/>
        <w:jc w:val="left"/>
        <w:rPr>
          <w:rFonts w:ascii="宋体" w:hAnsi="宋体" w:cs="宋体" w:eastAsia="宋体" w:hint="default"/>
          <w:sz w:val="18"/>
          <w:szCs w:val="18"/>
        </w:rPr>
      </w:pPr>
      <w:r>
        <w:rPr>
          <w:rFonts w:ascii="宋体" w:hAnsi="宋体" w:cs="宋体" w:eastAsia="宋体" w:hint="default"/>
          <w:sz w:val="18"/>
          <w:szCs w:val="18"/>
        </w:rPr>
        <w:t>用担保的方式获得流动资金借款人民币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万元，期限壹年。</w:t>
      </w:r>
    </w:p>
    <w:p>
      <w:pPr>
        <w:spacing w:before="83"/>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53</w:t>
      </w:r>
      <w:r>
        <w:rPr>
          <w:rFonts w:ascii="宋体" w:hAnsi="宋体" w:cs="宋体" w:eastAsia="宋体" w:hint="default"/>
          <w:spacing w:val="-10"/>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宋体" w:hAnsi="宋体" w:cs="宋体" w:eastAsia="宋体" w:hint="default"/>
          <w:spacing w:val="-10"/>
          <w:sz w:val="18"/>
          <w:szCs w:val="18"/>
        </w:rPr>
        <w:t>，</w:t>
      </w:r>
      <w:r>
        <w:rPr>
          <w:rFonts w:ascii="宋体" w:hAnsi="宋体" w:cs="宋体" w:eastAsia="宋体" w:hint="default"/>
          <w:sz w:val="18"/>
          <w:szCs w:val="18"/>
        </w:rPr>
        <w:t>中</w:t>
      </w:r>
      <w:r>
        <w:rPr>
          <w:rFonts w:ascii="宋体" w:hAnsi="宋体" w:cs="宋体" w:eastAsia="宋体" w:hint="default"/>
          <w:spacing w:val="1"/>
          <w:sz w:val="18"/>
          <w:szCs w:val="18"/>
        </w:rPr>
        <w:t>原</w:t>
      </w:r>
      <w:r>
        <w:rPr>
          <w:rFonts w:ascii="宋体" w:hAnsi="宋体" w:cs="宋体" w:eastAsia="宋体" w:hint="default"/>
          <w:sz w:val="18"/>
          <w:szCs w:val="18"/>
        </w:rPr>
        <w:t>电子控股子公司武汉中原长江科技发展有限公司与中电财务签</w:t>
      </w:r>
      <w:r>
        <w:rPr>
          <w:rFonts w:ascii="宋体" w:hAnsi="宋体" w:cs="宋体" w:eastAsia="宋体" w:hint="default"/>
          <w:spacing w:val="-10"/>
          <w:sz w:val="18"/>
          <w:szCs w:val="18"/>
        </w:rPr>
        <w:t>订</w:t>
      </w:r>
      <w:r>
        <w:rPr>
          <w:rFonts w:ascii="宋体" w:hAnsi="宋体" w:cs="宋体" w:eastAsia="宋体" w:hint="default"/>
          <w:sz w:val="18"/>
          <w:szCs w:val="18"/>
        </w:rPr>
        <w:t>《借款合同</w:t>
      </w:r>
      <w:r>
        <w:rPr>
          <w:rFonts w:ascii="宋体" w:hAnsi="宋体" w:cs="宋体" w:eastAsia="宋体" w:hint="default"/>
          <w:spacing w:val="-90"/>
          <w:sz w:val="18"/>
          <w:szCs w:val="18"/>
        </w:rPr>
        <w:t>》</w:t>
      </w:r>
      <w:r>
        <w:rPr>
          <w:rFonts w:ascii="宋体" w:hAnsi="宋体" w:cs="宋体" w:eastAsia="宋体" w:hint="default"/>
          <w:spacing w:val="-10"/>
          <w:sz w:val="18"/>
          <w:szCs w:val="18"/>
        </w:rPr>
        <w:t>，</w:t>
      </w:r>
      <w:r>
        <w:rPr>
          <w:rFonts w:ascii="宋体" w:hAnsi="宋体" w:cs="宋体" w:eastAsia="宋体" w:hint="default"/>
          <w:sz w:val="18"/>
          <w:szCs w:val="18"/>
        </w:rPr>
        <w:t>以中原电</w:t>
      </w:r>
    </w:p>
    <w:p>
      <w:pPr>
        <w:spacing w:before="63"/>
        <w:ind w:left="154" w:right="0" w:firstLine="0"/>
        <w:jc w:val="left"/>
        <w:rPr>
          <w:rFonts w:ascii="宋体" w:hAnsi="宋体" w:cs="宋体" w:eastAsia="宋体" w:hint="default"/>
          <w:sz w:val="18"/>
          <w:szCs w:val="18"/>
        </w:rPr>
      </w:pPr>
      <w:r>
        <w:rPr>
          <w:rFonts w:ascii="宋体" w:hAnsi="宋体" w:cs="宋体" w:eastAsia="宋体" w:hint="default"/>
          <w:sz w:val="18"/>
          <w:szCs w:val="18"/>
        </w:rPr>
        <w:t>子提供信用担保的方式获得流动资金借款人民币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万元，期限壹年。</w:t>
      </w:r>
    </w:p>
    <w:p>
      <w:pPr>
        <w:spacing w:before="83"/>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54</w:t>
      </w:r>
      <w:r>
        <w:rPr>
          <w:rFonts w:ascii="宋体" w:hAnsi="宋体" w:cs="宋体" w:eastAsia="宋体" w:hint="default"/>
          <w:spacing w:val="-10"/>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宋体" w:hAnsi="宋体" w:cs="宋体" w:eastAsia="宋体" w:hint="default"/>
          <w:spacing w:val="-10"/>
          <w:sz w:val="18"/>
          <w:szCs w:val="18"/>
        </w:rPr>
        <w:t>，</w:t>
      </w:r>
      <w:r>
        <w:rPr>
          <w:rFonts w:ascii="宋体" w:hAnsi="宋体" w:cs="宋体" w:eastAsia="宋体" w:hint="default"/>
          <w:sz w:val="18"/>
          <w:szCs w:val="18"/>
        </w:rPr>
        <w:t>北</w:t>
      </w:r>
      <w:r>
        <w:rPr>
          <w:rFonts w:ascii="宋体" w:hAnsi="宋体" w:cs="宋体" w:eastAsia="宋体" w:hint="default"/>
          <w:spacing w:val="1"/>
          <w:sz w:val="18"/>
          <w:szCs w:val="18"/>
        </w:rPr>
        <w:t>京</w:t>
      </w:r>
      <w:r>
        <w:rPr>
          <w:rFonts w:ascii="宋体" w:hAnsi="宋体" w:cs="宋体" w:eastAsia="宋体" w:hint="default"/>
          <w:sz w:val="18"/>
          <w:szCs w:val="18"/>
        </w:rPr>
        <w:t>圣非凡电子系统技术开发有限公司与中电财务签</w:t>
      </w:r>
      <w:r>
        <w:rPr>
          <w:rFonts w:ascii="宋体" w:hAnsi="宋体" w:cs="宋体" w:eastAsia="宋体" w:hint="default"/>
          <w:spacing w:val="-10"/>
          <w:sz w:val="18"/>
          <w:szCs w:val="18"/>
        </w:rPr>
        <w:t>订</w:t>
      </w:r>
      <w:r>
        <w:rPr>
          <w:rFonts w:ascii="宋体" w:hAnsi="宋体" w:cs="宋体" w:eastAsia="宋体" w:hint="default"/>
          <w:sz w:val="18"/>
          <w:szCs w:val="18"/>
        </w:rPr>
        <w:t>《借款合同</w:t>
      </w:r>
      <w:r>
        <w:rPr>
          <w:rFonts w:ascii="宋体" w:hAnsi="宋体" w:cs="宋体" w:eastAsia="宋体" w:hint="default"/>
          <w:spacing w:val="-90"/>
          <w:sz w:val="18"/>
          <w:szCs w:val="18"/>
        </w:rPr>
        <w:t>》</w:t>
      </w:r>
      <w:r>
        <w:rPr>
          <w:rFonts w:ascii="宋体" w:hAnsi="宋体" w:cs="宋体" w:eastAsia="宋体" w:hint="default"/>
          <w:spacing w:val="-10"/>
          <w:sz w:val="18"/>
          <w:szCs w:val="18"/>
        </w:rPr>
        <w:t>，</w:t>
      </w:r>
      <w:r>
        <w:rPr>
          <w:rFonts w:ascii="宋体" w:hAnsi="宋体" w:cs="宋体" w:eastAsia="宋体" w:hint="default"/>
          <w:sz w:val="18"/>
          <w:szCs w:val="18"/>
        </w:rPr>
        <w:t>以信用担保方式获得流动</w:t>
      </w:r>
    </w:p>
    <w:p>
      <w:pPr>
        <w:spacing w:before="63"/>
        <w:ind w:left="154" w:right="0" w:firstLine="0"/>
        <w:jc w:val="left"/>
        <w:rPr>
          <w:rFonts w:ascii="宋体" w:hAnsi="宋体" w:cs="宋体" w:eastAsia="宋体" w:hint="default"/>
          <w:sz w:val="18"/>
          <w:szCs w:val="18"/>
        </w:rPr>
      </w:pPr>
      <w:r>
        <w:rPr>
          <w:rFonts w:ascii="宋体" w:hAnsi="宋体" w:cs="宋体" w:eastAsia="宋体" w:hint="default"/>
          <w:sz w:val="18"/>
          <w:szCs w:val="18"/>
        </w:rPr>
        <w:t>资金借款人民币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万元，期限玖个月。</w:t>
      </w:r>
    </w:p>
    <w:p>
      <w:pPr>
        <w:spacing w:line="240" w:lineRule="auto" w:before="5"/>
        <w:rPr>
          <w:rFonts w:ascii="宋体" w:hAnsi="宋体" w:cs="宋体" w:eastAsia="宋体" w:hint="default"/>
          <w:sz w:val="19"/>
          <w:szCs w:val="19"/>
        </w:rPr>
      </w:pPr>
    </w:p>
    <w:p>
      <w:pPr>
        <w:pStyle w:val="Heading4"/>
        <w:spacing w:line="240" w:lineRule="auto"/>
        <w:ind w:right="0"/>
        <w:jc w:val="left"/>
        <w:rPr>
          <w:b w:val="0"/>
          <w:bCs w:val="0"/>
        </w:rPr>
      </w:pPr>
      <w:r>
        <w:rPr/>
        <w:t>十八、社会责任情况</w:t>
      </w:r>
      <w:r>
        <w:rPr>
          <w:b w:val="0"/>
          <w:bCs w:val="0"/>
        </w:rPr>
      </w:r>
    </w:p>
    <w:p>
      <w:pPr>
        <w:spacing w:line="240" w:lineRule="auto" w:before="0"/>
        <w:rPr>
          <w:rFonts w:ascii="宋体" w:hAnsi="宋体" w:cs="宋体" w:eastAsia="宋体" w:hint="default"/>
          <w:b/>
          <w:bCs/>
          <w:sz w:val="20"/>
          <w:szCs w:val="20"/>
        </w:rPr>
      </w:pPr>
    </w:p>
    <w:p>
      <w:pPr>
        <w:pStyle w:val="Heading5"/>
        <w:spacing w:line="240" w:lineRule="auto" w:before="0"/>
        <w:ind w:left="154" w:right="0"/>
        <w:jc w:val="left"/>
        <w:rPr>
          <w:b w:val="0"/>
          <w:bCs w:val="0"/>
        </w:rPr>
      </w:pPr>
      <w:r>
        <w:rPr>
          <w:rFonts w:ascii="Times New Roman" w:hAnsi="Times New Roman" w:cs="Times New Roman" w:eastAsia="Times New Roman" w:hint="default"/>
        </w:rPr>
        <w:t>1</w:t>
      </w:r>
      <w:r>
        <w:rPr/>
        <w:t>、履行社会责任情况</w:t>
      </w:r>
      <w:r>
        <w:rPr>
          <w:b w:val="0"/>
          <w:bCs w:val="0"/>
        </w:rPr>
      </w:r>
    </w:p>
    <w:p>
      <w:pPr>
        <w:spacing w:line="240" w:lineRule="auto" w:before="12"/>
        <w:rPr>
          <w:rFonts w:ascii="宋体" w:hAnsi="宋体" w:cs="宋体" w:eastAsia="宋体" w:hint="default"/>
          <w:b/>
          <w:bCs/>
          <w:sz w:val="21"/>
          <w:szCs w:val="21"/>
        </w:rPr>
      </w:pPr>
    </w:p>
    <w:p>
      <w:pPr>
        <w:spacing w:line="319" w:lineRule="auto" w:before="0"/>
        <w:ind w:left="154" w:right="1030" w:firstLine="360"/>
        <w:jc w:val="left"/>
        <w:rPr>
          <w:rFonts w:ascii="宋体" w:hAnsi="宋体" w:cs="宋体" w:eastAsia="宋体" w:hint="default"/>
          <w:sz w:val="18"/>
          <w:szCs w:val="18"/>
        </w:rPr>
      </w:pPr>
      <w:r>
        <w:rPr>
          <w:rFonts w:ascii="宋体" w:hAnsi="宋体" w:cs="宋体" w:eastAsia="宋体" w:hint="default"/>
          <w:sz w:val="18"/>
          <w:szCs w:val="18"/>
        </w:rPr>
        <w:t>报告期内，公司在股东和债权人权益保护、职工权益保护、供应商、客户和消费者权益保护、环境保护与可持续发展、 </w:t>
      </w:r>
      <w:r>
        <w:rPr>
          <w:rFonts w:ascii="宋体" w:hAnsi="宋体" w:cs="宋体" w:eastAsia="宋体" w:hint="default"/>
          <w:spacing w:val="-2"/>
          <w:sz w:val="18"/>
          <w:szCs w:val="18"/>
        </w:rPr>
        <w:t>社会公益等方面积极履行和承担了社会责任，未来公司将一如既往地把履行社会责任视作一项应尽的义务和职责，接受社会</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各界的监督，不断完善公司社会责任管理体系建设，加强与各利益相关方的沟通与交流，促进公司与社会的协调和谐发展。</w:t>
      </w:r>
    </w:p>
    <w:p>
      <w:pPr>
        <w:spacing w:before="55"/>
        <w:ind w:left="514" w:right="0" w:firstLine="0"/>
        <w:jc w:val="left"/>
        <w:rPr>
          <w:rFonts w:ascii="宋体" w:hAnsi="宋体" w:cs="宋体" w:eastAsia="宋体" w:hint="default"/>
          <w:sz w:val="18"/>
          <w:szCs w:val="18"/>
        </w:rPr>
      </w:pPr>
      <w:r>
        <w:rPr>
          <w:rFonts w:ascii="宋体" w:hAnsi="宋体" w:cs="宋体" w:eastAsia="宋体" w:hint="default"/>
          <w:sz w:val="18"/>
          <w:szCs w:val="18"/>
        </w:rPr>
        <w:t>社会责任报告全文具体详见公司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日在巨潮资讯网（</w:t>
      </w:r>
      <w:hyperlink r:id="rId9">
        <w:r>
          <w:rPr>
            <w:rFonts w:ascii="Times New Roman" w:hAnsi="Times New Roman" w:cs="Times New Roman" w:eastAsia="Times New Roman" w:hint="default"/>
            <w:sz w:val="18"/>
            <w:szCs w:val="18"/>
          </w:rPr>
          <w:t>http://www.cninfo.com.cn</w:t>
        </w:r>
      </w:hyperlink>
      <w:r>
        <w:rPr>
          <w:rFonts w:ascii="宋体" w:hAnsi="宋体" w:cs="宋体" w:eastAsia="宋体" w:hint="default"/>
          <w:sz w:val="18"/>
          <w:szCs w:val="18"/>
        </w:rPr>
        <w:t>）披露的《中国长城科技集</w:t>
      </w:r>
    </w:p>
    <w:p>
      <w:pPr>
        <w:spacing w:before="64"/>
        <w:ind w:left="154" w:right="0" w:firstLine="0"/>
        <w:jc w:val="left"/>
        <w:rPr>
          <w:rFonts w:ascii="宋体" w:hAnsi="宋体" w:cs="宋体" w:eastAsia="宋体" w:hint="default"/>
          <w:sz w:val="18"/>
          <w:szCs w:val="18"/>
        </w:rPr>
      </w:pPr>
      <w:r>
        <w:rPr>
          <w:rFonts w:ascii="宋体" w:hAnsi="宋体" w:cs="宋体" w:eastAsia="宋体" w:hint="default"/>
          <w:sz w:val="18"/>
          <w:szCs w:val="18"/>
        </w:rPr>
        <w:t>团股份有限公司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r>
        <w:rPr>
          <w:rFonts w:ascii="宋体" w:hAnsi="宋体" w:cs="宋体" w:eastAsia="宋体" w:hint="default"/>
          <w:spacing w:val="1"/>
          <w:sz w:val="18"/>
          <w:szCs w:val="18"/>
        </w:rPr>
        <w:t>社</w:t>
      </w:r>
      <w:r>
        <w:rPr>
          <w:rFonts w:ascii="宋体" w:hAnsi="宋体" w:cs="宋体" w:eastAsia="宋体" w:hint="default"/>
          <w:sz w:val="18"/>
          <w:szCs w:val="18"/>
        </w:rPr>
        <w:t>会责任报告</w:t>
      </w:r>
      <w:r>
        <w:rPr>
          <w:rFonts w:ascii="宋体" w:hAnsi="宋体" w:cs="宋体" w:eastAsia="宋体" w:hint="default"/>
          <w:spacing w:val="-90"/>
          <w:sz w:val="18"/>
          <w:szCs w:val="18"/>
        </w:rPr>
        <w:t>》</w:t>
      </w:r>
      <w:r>
        <w:rPr>
          <w:rFonts w:ascii="宋体" w:hAnsi="宋体" w:cs="宋体" w:eastAsia="宋体" w:hint="default"/>
          <w:sz w:val="18"/>
          <w:szCs w:val="18"/>
        </w:rPr>
        <w:t>。</w:t>
      </w:r>
    </w:p>
    <w:p>
      <w:pPr>
        <w:spacing w:line="240" w:lineRule="auto" w:before="1"/>
        <w:rPr>
          <w:rFonts w:ascii="宋体" w:hAnsi="宋体" w:cs="宋体" w:eastAsia="宋体" w:hint="default"/>
          <w:sz w:val="21"/>
          <w:szCs w:val="21"/>
        </w:rPr>
      </w:pPr>
    </w:p>
    <w:p>
      <w:pPr>
        <w:pStyle w:val="Heading5"/>
        <w:spacing w:line="240" w:lineRule="auto" w:before="0"/>
        <w:ind w:left="154" w:right="0"/>
        <w:jc w:val="left"/>
        <w:rPr>
          <w:b w:val="0"/>
          <w:bCs w:val="0"/>
        </w:rPr>
      </w:pPr>
      <w:r>
        <w:rPr>
          <w:rFonts w:ascii="Times New Roman" w:hAnsi="Times New Roman" w:cs="Times New Roman" w:eastAsia="Times New Roman" w:hint="default"/>
        </w:rPr>
        <w:t>2</w:t>
      </w:r>
      <w:r>
        <w:rPr/>
        <w:t>、履行精准扶贫社会责任情况</w:t>
      </w:r>
      <w:r>
        <w:rPr>
          <w:b w:val="0"/>
          <w:bCs w:val="0"/>
        </w:rPr>
      </w:r>
    </w:p>
    <w:p>
      <w:pPr>
        <w:spacing w:line="240" w:lineRule="auto" w:before="13"/>
        <w:rPr>
          <w:rFonts w:ascii="宋体" w:hAnsi="宋体" w:cs="宋体" w:eastAsia="宋体" w:hint="default"/>
          <w:b/>
          <w:bCs/>
          <w:sz w:val="19"/>
          <w:szCs w:val="19"/>
        </w:rPr>
      </w:pPr>
    </w:p>
    <w:p>
      <w:pPr>
        <w:pStyle w:val="Heading5"/>
        <w:spacing w:line="240" w:lineRule="auto" w:before="0"/>
        <w:ind w:left="154" w:right="0"/>
        <w:jc w:val="left"/>
        <w:rPr>
          <w:b w:val="0"/>
          <w:bCs w:val="0"/>
        </w:rPr>
      </w:pPr>
      <w:r>
        <w:rPr/>
        <w:t>（</w:t>
      </w:r>
      <w:r>
        <w:rPr>
          <w:rFonts w:ascii="Times New Roman" w:hAnsi="Times New Roman" w:cs="Times New Roman" w:eastAsia="Times New Roman" w:hint="default"/>
        </w:rPr>
        <w:t>1</w:t>
      </w:r>
      <w:r>
        <w:rPr/>
        <w:t>）精准扶贫规划</w:t>
      </w:r>
      <w:r>
        <w:rPr>
          <w:b w:val="0"/>
          <w:bCs w:val="0"/>
        </w:rPr>
      </w:r>
    </w:p>
    <w:p>
      <w:pPr>
        <w:spacing w:line="240" w:lineRule="auto" w:before="12"/>
        <w:rPr>
          <w:rFonts w:ascii="宋体" w:hAnsi="宋体" w:cs="宋体" w:eastAsia="宋体" w:hint="default"/>
          <w:b/>
          <w:bCs/>
          <w:sz w:val="21"/>
          <w:szCs w:val="21"/>
        </w:rPr>
      </w:pPr>
    </w:p>
    <w:p>
      <w:pPr>
        <w:spacing w:line="319" w:lineRule="auto" w:before="0"/>
        <w:ind w:left="154" w:right="0" w:firstLine="360"/>
        <w:jc w:val="left"/>
        <w:rPr>
          <w:rFonts w:ascii="宋体" w:hAnsi="宋体" w:cs="宋体" w:eastAsia="宋体" w:hint="default"/>
          <w:sz w:val="18"/>
          <w:szCs w:val="18"/>
        </w:rPr>
      </w:pPr>
      <w:r>
        <w:rPr>
          <w:rFonts w:ascii="宋体" w:hAnsi="宋体" w:cs="宋体" w:eastAsia="宋体" w:hint="default"/>
          <w:spacing w:val="-2"/>
          <w:sz w:val="18"/>
          <w:szCs w:val="18"/>
        </w:rPr>
        <w:t>持续关注公益慈善领域，发挥企业优势，奉献爱心，指导所属企业开展公益活动，践行企业社会责任，助力更多贫困地</w:t>
      </w:r>
      <w:r>
        <w:rPr>
          <w:rFonts w:ascii="宋体" w:hAnsi="宋体" w:cs="宋体" w:eastAsia="宋体" w:hint="default"/>
          <w:sz w:val="18"/>
          <w:szCs w:val="18"/>
        </w:rPr>
        <w:t> 区学生圆求学梦。</w:t>
      </w:r>
    </w:p>
    <w:p>
      <w:pPr>
        <w:spacing w:line="240" w:lineRule="auto" w:before="0"/>
        <w:rPr>
          <w:rFonts w:ascii="宋体" w:hAnsi="宋体" w:cs="宋体" w:eastAsia="宋体" w:hint="default"/>
          <w:sz w:val="13"/>
          <w:szCs w:val="13"/>
        </w:rPr>
      </w:pPr>
    </w:p>
    <w:p>
      <w:pPr>
        <w:pStyle w:val="Heading5"/>
        <w:spacing w:line="240" w:lineRule="auto" w:before="0"/>
        <w:ind w:left="154" w:right="0"/>
        <w:jc w:val="left"/>
        <w:rPr>
          <w:b w:val="0"/>
          <w:bCs w:val="0"/>
        </w:rPr>
      </w:pPr>
      <w:r>
        <w:rPr/>
        <w:t>（</w:t>
      </w:r>
      <w:r>
        <w:rPr>
          <w:rFonts w:ascii="Times New Roman" w:hAnsi="Times New Roman" w:cs="Times New Roman" w:eastAsia="Times New Roman" w:hint="default"/>
        </w:rPr>
        <w:t>2</w:t>
      </w:r>
      <w:r>
        <w:rPr/>
        <w:t>）年度精准扶贫概要</w:t>
      </w:r>
      <w:r>
        <w:rPr>
          <w:b w:val="0"/>
          <w:bCs w:val="0"/>
        </w:rPr>
      </w:r>
    </w:p>
    <w:p>
      <w:pPr>
        <w:spacing w:line="240" w:lineRule="auto" w:before="4"/>
        <w:rPr>
          <w:rFonts w:ascii="宋体" w:hAnsi="宋体" w:cs="宋体" w:eastAsia="宋体" w:hint="default"/>
          <w:b/>
          <w:bCs/>
          <w:sz w:val="17"/>
          <w:szCs w:val="17"/>
        </w:rPr>
      </w:pPr>
    </w:p>
    <w:p>
      <w:pPr>
        <w:spacing w:line="312" w:lineRule="auto" w:before="0"/>
        <w:ind w:left="154" w:right="1129" w:firstLine="360"/>
        <w:jc w:val="both"/>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月，为响应工业和信息化部对张家口宣化区的扶贫攻坚工作，回报社会，公司联合天津飞腾信息技术有限公 </w:t>
      </w:r>
      <w:r>
        <w:rPr>
          <w:rFonts w:ascii="宋体" w:hAnsi="宋体" w:cs="宋体" w:eastAsia="宋体" w:hint="default"/>
          <w:spacing w:val="-2"/>
          <w:sz w:val="18"/>
          <w:szCs w:val="18"/>
        </w:rPr>
        <w:t>司、天津麒麟信息技术有限公司、中软信息系统工程有限公司、北京金山办公软件股份有限公司签署对张家口宣化区深井九</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年制学校的捐赠协议。自协议签署以来，公司连同其他单位积极谋划，严格按照协议中各项条款，联合各单位为深井九年制</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学校捐赠市值</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万元的网络教室相关信息设备和软件，其中包含长城飞腾分体台式机（世恒</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KF510</w:t>
      </w:r>
      <w:r>
        <w:rPr>
          <w:rFonts w:ascii="宋体" w:hAnsi="宋体" w:cs="宋体" w:eastAsia="宋体" w:hint="default"/>
          <w:sz w:val="18"/>
          <w:szCs w:val="18"/>
        </w:rPr>
        <w:t>）</w:t>
      </w:r>
      <w:r>
        <w:rPr>
          <w:rFonts w:ascii="Times New Roman" w:hAnsi="Times New Roman" w:cs="Times New Roman" w:eastAsia="Times New Roman" w:hint="default"/>
          <w:sz w:val="18"/>
          <w:szCs w:val="18"/>
        </w:rPr>
        <w:t>40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台套。</w:t>
      </w:r>
    </w:p>
    <w:p>
      <w:pPr>
        <w:spacing w:before="41"/>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pacing w:val="-3"/>
          <w:sz w:val="18"/>
          <w:szCs w:val="18"/>
        </w:rPr>
        <w:t>月，公司下属单位长城医疗组织公司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40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余名爱心人士带着分工会的助学金</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35,904</w:t>
      </w:r>
      <w:r>
        <w:rPr>
          <w:rFonts w:ascii="Times New Roman" w:hAnsi="Times New Roman" w:cs="Times New Roman" w:eastAsia="Times New Roman" w:hint="default"/>
          <w:spacing w:val="1"/>
          <w:sz w:val="18"/>
          <w:szCs w:val="18"/>
        </w:rPr>
        <w:t> </w:t>
      </w:r>
      <w:r>
        <w:rPr>
          <w:rFonts w:ascii="宋体" w:hAnsi="宋体" w:cs="宋体" w:eastAsia="宋体" w:hint="default"/>
          <w:spacing w:val="-4"/>
          <w:sz w:val="18"/>
          <w:szCs w:val="18"/>
        </w:rPr>
        <w:t>元，前往益阳桃江石井中学</w:t>
      </w:r>
    </w:p>
    <w:p>
      <w:pPr>
        <w:spacing w:after="0"/>
        <w:jc w:val="left"/>
        <w:rPr>
          <w:rFonts w:ascii="宋体" w:hAnsi="宋体" w:cs="宋体" w:eastAsia="宋体" w:hint="default"/>
          <w:sz w:val="18"/>
          <w:szCs w:val="18"/>
        </w:rPr>
        <w:sectPr>
          <w:pgSz w:w="11910" w:h="16840"/>
          <w:pgMar w:header="787" w:footer="982" w:top="1100" w:bottom="1180" w:left="980" w:right="0"/>
        </w:sectPr>
      </w:pPr>
    </w:p>
    <w:p>
      <w:pPr>
        <w:spacing w:line="240" w:lineRule="auto" w:before="11"/>
        <w:rPr>
          <w:rFonts w:ascii="宋体" w:hAnsi="宋体" w:cs="宋体" w:eastAsia="宋体" w:hint="default"/>
          <w:sz w:val="22"/>
          <w:szCs w:val="22"/>
        </w:rPr>
      </w:pPr>
    </w:p>
    <w:p>
      <w:pPr>
        <w:spacing w:before="44"/>
        <w:ind w:left="674" w:right="5" w:firstLine="0"/>
        <w:jc w:val="left"/>
        <w:rPr>
          <w:rFonts w:ascii="宋体" w:hAnsi="宋体" w:cs="宋体" w:eastAsia="宋体" w:hint="default"/>
          <w:sz w:val="18"/>
          <w:szCs w:val="18"/>
        </w:rPr>
      </w:pPr>
      <w:r>
        <w:rPr>
          <w:rFonts w:ascii="宋体" w:hAnsi="宋体" w:cs="宋体" w:eastAsia="宋体" w:hint="default"/>
          <w:sz w:val="18"/>
          <w:szCs w:val="18"/>
        </w:rPr>
        <w:t>礼堂，对当地</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名贫困学子进行一对一帮扶。</w:t>
      </w:r>
    </w:p>
    <w:p>
      <w:pPr>
        <w:spacing w:before="102"/>
        <w:ind w:left="1034" w:right="5"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月，公司按照上级统一要求支付</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万元扶贫专项资金，以实际行动支持扶贫工作的开展。</w:t>
      </w:r>
    </w:p>
    <w:p>
      <w:pPr>
        <w:spacing w:line="240" w:lineRule="auto" w:before="8"/>
        <w:rPr>
          <w:rFonts w:ascii="宋体" w:hAnsi="宋体" w:cs="宋体" w:eastAsia="宋体" w:hint="default"/>
          <w:sz w:val="16"/>
          <w:szCs w:val="16"/>
        </w:rPr>
      </w:pPr>
    </w:p>
    <w:p>
      <w:pPr>
        <w:pStyle w:val="Heading5"/>
        <w:spacing w:line="240" w:lineRule="auto" w:before="0"/>
        <w:ind w:left="674" w:right="5"/>
        <w:jc w:val="left"/>
        <w:rPr>
          <w:b w:val="0"/>
          <w:bCs w:val="0"/>
        </w:rPr>
      </w:pPr>
      <w:r>
        <w:rPr/>
        <w:t>（</w:t>
      </w:r>
      <w:r>
        <w:rPr>
          <w:rFonts w:ascii="Times New Roman" w:hAnsi="Times New Roman" w:cs="Times New Roman" w:eastAsia="Times New Roman" w:hint="default"/>
        </w:rPr>
        <w:t>3</w:t>
      </w:r>
      <w:r>
        <w:rPr/>
        <w:t>）精准扶贫成效</w:t>
      </w:r>
      <w:r>
        <w:rPr>
          <w:b w:val="0"/>
          <w:bCs w:val="0"/>
        </w:rPr>
      </w:r>
    </w:p>
    <w:p>
      <w:pPr>
        <w:spacing w:line="240" w:lineRule="auto" w:before="6"/>
        <w:rPr>
          <w:rFonts w:ascii="宋体" w:hAnsi="宋体" w:cs="宋体" w:eastAsia="宋体" w:hint="default"/>
          <w:b/>
          <w:bCs/>
          <w:sz w:val="16"/>
          <w:szCs w:val="16"/>
        </w:rPr>
      </w:pPr>
    </w:p>
    <w:tbl>
      <w:tblPr>
        <w:tblW w:w="0" w:type="auto"/>
        <w:jc w:val="left"/>
        <w:tblInd w:w="704" w:type="dxa"/>
        <w:tblLayout w:type="fixed"/>
        <w:tblCellMar>
          <w:top w:w="0" w:type="dxa"/>
          <w:left w:w="0" w:type="dxa"/>
          <w:bottom w:w="0" w:type="dxa"/>
          <w:right w:w="0" w:type="dxa"/>
        </w:tblCellMar>
        <w:tblLook w:val="01E0"/>
      </w:tblPr>
      <w:tblGrid>
        <w:gridCol w:w="3935"/>
        <w:gridCol w:w="1560"/>
        <w:gridCol w:w="4074"/>
      </w:tblGrid>
      <w:tr>
        <w:trPr>
          <w:trHeight w:val="322" w:hRule="exact"/>
        </w:trPr>
        <w:tc>
          <w:tcPr>
            <w:tcW w:w="39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指标</w:t>
            </w:r>
          </w:p>
        </w:tc>
        <w:tc>
          <w:tcPr>
            <w:tcW w:w="15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计量单位</w:t>
            </w:r>
          </w:p>
        </w:tc>
        <w:tc>
          <w:tcPr>
            <w:tcW w:w="407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数量</w:t>
            </w:r>
            <w:r>
              <w:rPr>
                <w:rFonts w:ascii="Times New Roman" w:hAnsi="Times New Roman" w:cs="Times New Roman" w:eastAsia="Times New Roman" w:hint="default"/>
                <w:sz w:val="18"/>
                <w:szCs w:val="18"/>
              </w:rPr>
              <w:t>/</w:t>
            </w:r>
            <w:r>
              <w:rPr>
                <w:rFonts w:ascii="宋体" w:hAnsi="宋体" w:cs="宋体" w:eastAsia="宋体" w:hint="default"/>
                <w:sz w:val="18"/>
                <w:szCs w:val="18"/>
              </w:rPr>
              <w:t>开展情况</w:t>
            </w:r>
          </w:p>
        </w:tc>
      </w:tr>
      <w:tr>
        <w:trPr>
          <w:trHeight w:val="322" w:hRule="exact"/>
        </w:trPr>
        <w:tc>
          <w:tcPr>
            <w:tcW w:w="39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一、总体情况</w:t>
            </w:r>
          </w:p>
        </w:tc>
        <w:tc>
          <w:tcPr>
            <w:tcW w:w="15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07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322" w:hRule="exact"/>
        </w:trPr>
        <w:tc>
          <w:tcPr>
            <w:tcW w:w="39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left="202" w:right="0"/>
              <w:jc w:val="left"/>
              <w:rPr>
                <w:rFonts w:ascii="宋体" w:hAnsi="宋体" w:cs="宋体" w:eastAsia="宋体" w:hint="default"/>
                <w:sz w:val="18"/>
                <w:szCs w:val="18"/>
              </w:rPr>
            </w:pPr>
            <w:r>
              <w:rPr>
                <w:rFonts w:ascii="宋体" w:hAnsi="宋体" w:cs="宋体" w:eastAsia="宋体" w:hint="default"/>
                <w:sz w:val="18"/>
                <w:szCs w:val="18"/>
              </w:rPr>
              <w:t>其中：</w:t>
            </w:r>
            <w:r>
              <w:rPr>
                <w:rFonts w:ascii="宋体" w:hAnsi="宋体" w:cs="宋体" w:eastAsia="宋体" w:hint="default"/>
                <w:spacing w:val="86"/>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资金</w:t>
            </w:r>
          </w:p>
        </w:tc>
        <w:tc>
          <w:tcPr>
            <w:tcW w:w="15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万元</w:t>
            </w:r>
          </w:p>
        </w:tc>
        <w:tc>
          <w:tcPr>
            <w:tcW w:w="4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sz w:val="18"/>
              </w:rPr>
              <w:t>73.59</w:t>
            </w:r>
          </w:p>
        </w:tc>
      </w:tr>
      <w:tr>
        <w:trPr>
          <w:trHeight w:val="323" w:hRule="exact"/>
        </w:trPr>
        <w:tc>
          <w:tcPr>
            <w:tcW w:w="39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left="9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物资折款</w:t>
            </w:r>
          </w:p>
        </w:tc>
        <w:tc>
          <w:tcPr>
            <w:tcW w:w="15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万元</w:t>
            </w:r>
          </w:p>
        </w:tc>
        <w:tc>
          <w:tcPr>
            <w:tcW w:w="4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5.00</w:t>
            </w:r>
          </w:p>
        </w:tc>
      </w:tr>
      <w:tr>
        <w:trPr>
          <w:trHeight w:val="322" w:hRule="exact"/>
        </w:trPr>
        <w:tc>
          <w:tcPr>
            <w:tcW w:w="39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二、分项投入</w:t>
            </w:r>
          </w:p>
        </w:tc>
        <w:tc>
          <w:tcPr>
            <w:tcW w:w="15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07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322" w:hRule="exact"/>
        </w:trPr>
        <w:tc>
          <w:tcPr>
            <w:tcW w:w="39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产业发展脱贫</w:t>
            </w:r>
          </w:p>
        </w:tc>
        <w:tc>
          <w:tcPr>
            <w:tcW w:w="15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07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322" w:hRule="exact"/>
        </w:trPr>
        <w:tc>
          <w:tcPr>
            <w:tcW w:w="39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转移就业脱贫</w:t>
            </w:r>
          </w:p>
        </w:tc>
        <w:tc>
          <w:tcPr>
            <w:tcW w:w="15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07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322" w:hRule="exact"/>
        </w:trPr>
        <w:tc>
          <w:tcPr>
            <w:tcW w:w="39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易地搬迁脱贫</w:t>
            </w:r>
          </w:p>
        </w:tc>
        <w:tc>
          <w:tcPr>
            <w:tcW w:w="15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07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322" w:hRule="exact"/>
        </w:trPr>
        <w:tc>
          <w:tcPr>
            <w:tcW w:w="39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教育扶贫</w:t>
            </w:r>
          </w:p>
        </w:tc>
        <w:tc>
          <w:tcPr>
            <w:tcW w:w="15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07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323" w:hRule="exact"/>
        </w:trPr>
        <w:tc>
          <w:tcPr>
            <w:tcW w:w="39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tabs>
                <w:tab w:pos="922" w:val="left" w:leader="none"/>
              </w:tabs>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其中：</w:t>
              <w:tab/>
            </w:r>
            <w:r>
              <w:rPr>
                <w:rFonts w:ascii="Times New Roman" w:hAnsi="Times New Roman" w:cs="Times New Roman" w:eastAsia="Times New Roman" w:hint="default"/>
                <w:sz w:val="18"/>
                <w:szCs w:val="18"/>
              </w:rPr>
              <w:t>4.1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资助贫困学生投入金额</w:t>
            </w:r>
          </w:p>
        </w:tc>
        <w:tc>
          <w:tcPr>
            <w:tcW w:w="15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万元</w:t>
            </w:r>
          </w:p>
        </w:tc>
        <w:tc>
          <w:tcPr>
            <w:tcW w:w="4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3.59</w:t>
            </w:r>
          </w:p>
        </w:tc>
      </w:tr>
      <w:tr>
        <w:trPr>
          <w:trHeight w:val="322" w:hRule="exact"/>
        </w:trPr>
        <w:tc>
          <w:tcPr>
            <w:tcW w:w="39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left="9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改善贫困地区教育资源投入金额</w:t>
            </w:r>
          </w:p>
        </w:tc>
        <w:tc>
          <w:tcPr>
            <w:tcW w:w="15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万元</w:t>
            </w:r>
          </w:p>
        </w:tc>
        <w:tc>
          <w:tcPr>
            <w:tcW w:w="4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5.00</w:t>
            </w:r>
          </w:p>
        </w:tc>
      </w:tr>
      <w:tr>
        <w:trPr>
          <w:trHeight w:val="322" w:hRule="exact"/>
        </w:trPr>
        <w:tc>
          <w:tcPr>
            <w:tcW w:w="39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健康扶贫</w:t>
            </w:r>
          </w:p>
        </w:tc>
        <w:tc>
          <w:tcPr>
            <w:tcW w:w="15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07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322" w:hRule="exact"/>
        </w:trPr>
        <w:tc>
          <w:tcPr>
            <w:tcW w:w="39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生态保护扶贫</w:t>
            </w:r>
          </w:p>
        </w:tc>
        <w:tc>
          <w:tcPr>
            <w:tcW w:w="15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07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322" w:hRule="exact"/>
        </w:trPr>
        <w:tc>
          <w:tcPr>
            <w:tcW w:w="39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兜底保障</w:t>
            </w:r>
          </w:p>
        </w:tc>
        <w:tc>
          <w:tcPr>
            <w:tcW w:w="15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07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322" w:hRule="exact"/>
        </w:trPr>
        <w:tc>
          <w:tcPr>
            <w:tcW w:w="39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8.</w:t>
            </w:r>
            <w:r>
              <w:rPr>
                <w:rFonts w:ascii="宋体" w:hAnsi="宋体" w:cs="宋体" w:eastAsia="宋体" w:hint="default"/>
                <w:sz w:val="18"/>
                <w:szCs w:val="18"/>
              </w:rPr>
              <w:t>社会扶贫</w:t>
            </w:r>
          </w:p>
        </w:tc>
        <w:tc>
          <w:tcPr>
            <w:tcW w:w="15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07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323" w:hRule="exact"/>
        </w:trPr>
        <w:tc>
          <w:tcPr>
            <w:tcW w:w="39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left="9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8.2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定点扶贫工作投入金额</w:t>
            </w:r>
          </w:p>
        </w:tc>
        <w:tc>
          <w:tcPr>
            <w:tcW w:w="15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万元</w:t>
            </w:r>
          </w:p>
        </w:tc>
        <w:tc>
          <w:tcPr>
            <w:tcW w:w="4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70.00</w:t>
            </w:r>
          </w:p>
        </w:tc>
      </w:tr>
      <w:tr>
        <w:trPr>
          <w:trHeight w:val="322" w:hRule="exact"/>
        </w:trPr>
        <w:tc>
          <w:tcPr>
            <w:tcW w:w="39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宋体" w:hAnsi="宋体" w:cs="宋体" w:eastAsia="宋体" w:hint="default"/>
                <w:sz w:val="18"/>
                <w:szCs w:val="18"/>
              </w:rPr>
              <w:t>其他项目</w:t>
            </w:r>
          </w:p>
        </w:tc>
        <w:tc>
          <w:tcPr>
            <w:tcW w:w="15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07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322" w:hRule="exact"/>
        </w:trPr>
        <w:tc>
          <w:tcPr>
            <w:tcW w:w="39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三、所获奖项（内容、级别）</w:t>
            </w:r>
          </w:p>
        </w:tc>
        <w:tc>
          <w:tcPr>
            <w:tcW w:w="15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07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0"/>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bl>
    <w:p>
      <w:pPr>
        <w:spacing w:line="240" w:lineRule="auto" w:before="13"/>
        <w:rPr>
          <w:rFonts w:ascii="宋体" w:hAnsi="宋体" w:cs="宋体" w:eastAsia="宋体" w:hint="default"/>
          <w:b/>
          <w:bCs/>
          <w:sz w:val="9"/>
          <w:szCs w:val="9"/>
        </w:rPr>
      </w:pPr>
    </w:p>
    <w:p>
      <w:pPr>
        <w:pStyle w:val="Heading5"/>
        <w:spacing w:line="240" w:lineRule="auto"/>
        <w:ind w:left="674" w:right="5"/>
        <w:jc w:val="left"/>
        <w:rPr>
          <w:b w:val="0"/>
          <w:bCs w:val="0"/>
        </w:rPr>
      </w:pPr>
      <w:r>
        <w:rPr/>
        <w:t>（</w:t>
      </w:r>
      <w:r>
        <w:rPr>
          <w:rFonts w:ascii="Times New Roman" w:hAnsi="Times New Roman" w:cs="Times New Roman" w:eastAsia="Times New Roman" w:hint="default"/>
        </w:rPr>
        <w:t>4</w:t>
      </w:r>
      <w:r>
        <w:rPr/>
        <w:t>）后续精准扶贫计划</w:t>
      </w:r>
      <w:r>
        <w:rPr>
          <w:b w:val="0"/>
          <w:bCs w:val="0"/>
        </w:rPr>
      </w:r>
    </w:p>
    <w:p>
      <w:pPr>
        <w:spacing w:line="240" w:lineRule="auto" w:before="4"/>
        <w:rPr>
          <w:rFonts w:ascii="宋体" w:hAnsi="宋体" w:cs="宋体" w:eastAsia="宋体" w:hint="default"/>
          <w:b/>
          <w:bCs/>
          <w:sz w:val="17"/>
          <w:szCs w:val="17"/>
        </w:rPr>
      </w:pPr>
    </w:p>
    <w:p>
      <w:pPr>
        <w:spacing w:line="319" w:lineRule="auto" w:before="0"/>
        <w:ind w:left="674" w:right="1128" w:firstLine="360"/>
        <w:jc w:val="both"/>
        <w:rPr>
          <w:rFonts w:ascii="宋体" w:hAnsi="宋体" w:cs="宋体" w:eastAsia="宋体" w:hint="default"/>
          <w:sz w:val="18"/>
          <w:szCs w:val="18"/>
        </w:rPr>
      </w:pPr>
      <w:r>
        <w:rPr>
          <w:rFonts w:ascii="宋体" w:hAnsi="宋体" w:cs="宋体" w:eastAsia="宋体" w:hint="default"/>
          <w:spacing w:val="-2"/>
          <w:sz w:val="18"/>
          <w:szCs w:val="18"/>
        </w:rPr>
        <w:t>公司将严格按照对外捐赠管理相关要求，严格按照预算支出，继续整合相关资源，一如既往的关注公益慈善领域，发挥</w:t>
      </w:r>
      <w:r>
        <w:rPr>
          <w:rFonts w:ascii="宋体" w:hAnsi="宋体" w:cs="宋体" w:eastAsia="宋体" w:hint="default"/>
          <w:sz w:val="18"/>
          <w:szCs w:val="18"/>
        </w:rPr>
        <w:t> </w:t>
      </w:r>
      <w:r>
        <w:rPr>
          <w:rFonts w:ascii="宋体" w:hAnsi="宋体" w:cs="宋体" w:eastAsia="宋体" w:hint="default"/>
          <w:spacing w:val="-2"/>
          <w:sz w:val="18"/>
          <w:szCs w:val="18"/>
        </w:rPr>
        <w:t>企业优势，奉献爱心，践行企业社会责任。后续公司将持续开展“点亮爱”公益活动，各级党群组织持续资助贫困学生圆求</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学梦。</w:t>
      </w:r>
    </w:p>
    <w:p>
      <w:pPr>
        <w:spacing w:line="240" w:lineRule="auto" w:before="8"/>
        <w:rPr>
          <w:rFonts w:ascii="宋体" w:hAnsi="宋体" w:cs="宋体" w:eastAsia="宋体" w:hint="default"/>
          <w:sz w:val="17"/>
          <w:szCs w:val="17"/>
        </w:rPr>
      </w:pPr>
    </w:p>
    <w:p>
      <w:pPr>
        <w:pStyle w:val="Heading5"/>
        <w:spacing w:line="240" w:lineRule="auto" w:before="0"/>
        <w:ind w:left="674" w:right="5"/>
        <w:jc w:val="left"/>
        <w:rPr>
          <w:b w:val="0"/>
          <w:bCs w:val="0"/>
        </w:rPr>
      </w:pPr>
      <w:r>
        <w:rPr>
          <w:rFonts w:ascii="Times New Roman" w:hAnsi="Times New Roman" w:cs="Times New Roman" w:eastAsia="Times New Roman" w:hint="default"/>
        </w:rPr>
        <w:t>3</w:t>
      </w:r>
      <w:r>
        <w:rPr/>
        <w:t>、环境保护相关的情况</w:t>
      </w:r>
      <w:r>
        <w:rPr>
          <w:b w:val="0"/>
          <w:bCs w:val="0"/>
        </w:rPr>
      </w:r>
    </w:p>
    <w:p>
      <w:pPr>
        <w:spacing w:line="240" w:lineRule="auto" w:before="1"/>
        <w:rPr>
          <w:rFonts w:ascii="宋体" w:hAnsi="宋体" w:cs="宋体" w:eastAsia="宋体" w:hint="default"/>
          <w:b/>
          <w:bCs/>
          <w:sz w:val="21"/>
          <w:szCs w:val="21"/>
        </w:rPr>
      </w:pPr>
    </w:p>
    <w:tbl>
      <w:tblPr>
        <w:tblW w:w="0" w:type="auto"/>
        <w:jc w:val="left"/>
        <w:tblInd w:w="101" w:type="dxa"/>
        <w:tblLayout w:type="fixed"/>
        <w:tblCellMar>
          <w:top w:w="0" w:type="dxa"/>
          <w:left w:w="0" w:type="dxa"/>
          <w:bottom w:w="0" w:type="dxa"/>
          <w:right w:w="0" w:type="dxa"/>
        </w:tblCellMar>
        <w:tblLook w:val="01E0"/>
      </w:tblPr>
      <w:tblGrid>
        <w:gridCol w:w="992"/>
        <w:gridCol w:w="992"/>
        <w:gridCol w:w="992"/>
        <w:gridCol w:w="708"/>
        <w:gridCol w:w="1985"/>
        <w:gridCol w:w="1134"/>
        <w:gridCol w:w="1134"/>
        <w:gridCol w:w="992"/>
        <w:gridCol w:w="992"/>
        <w:gridCol w:w="850"/>
      </w:tblGrid>
      <w:tr>
        <w:trPr>
          <w:trHeight w:val="985" w:hRule="exact"/>
        </w:trPr>
        <w:tc>
          <w:tcPr>
            <w:tcW w:w="9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316" w:lineRule="auto"/>
              <w:ind w:left="220" w:right="41" w:hanging="180"/>
              <w:jc w:val="left"/>
              <w:rPr>
                <w:rFonts w:ascii="宋体" w:hAnsi="宋体" w:cs="宋体" w:eastAsia="宋体" w:hint="default"/>
                <w:sz w:val="18"/>
                <w:szCs w:val="18"/>
              </w:rPr>
            </w:pPr>
            <w:r>
              <w:rPr>
                <w:rFonts w:ascii="宋体" w:hAnsi="宋体" w:cs="宋体" w:eastAsia="宋体" w:hint="default"/>
                <w:sz w:val="18"/>
                <w:szCs w:val="18"/>
              </w:rPr>
              <w:t>公司或子公 司名称</w:t>
            </w:r>
          </w:p>
        </w:tc>
        <w:tc>
          <w:tcPr>
            <w:tcW w:w="9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31"/>
              <w:ind w:left="40" w:right="41"/>
              <w:jc w:val="both"/>
              <w:rPr>
                <w:rFonts w:ascii="宋体" w:hAnsi="宋体" w:cs="宋体" w:eastAsia="宋体" w:hint="default"/>
                <w:sz w:val="18"/>
                <w:szCs w:val="18"/>
              </w:rPr>
            </w:pPr>
            <w:r>
              <w:rPr>
                <w:rFonts w:ascii="宋体" w:hAnsi="宋体" w:cs="宋体" w:eastAsia="宋体" w:hint="default"/>
                <w:sz w:val="18"/>
                <w:szCs w:val="18"/>
              </w:rPr>
              <w:t>主要污染物 及特征污染 物的名称</w:t>
            </w:r>
          </w:p>
        </w:tc>
        <w:tc>
          <w:tcPr>
            <w:tcW w:w="9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b/>
                <w:bCs/>
                <w:sz w:val="26"/>
                <w:szCs w:val="2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排放方式</w:t>
            </w:r>
          </w:p>
        </w:tc>
        <w:tc>
          <w:tcPr>
            <w:tcW w:w="70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316" w:lineRule="auto"/>
              <w:ind w:left="169" w:right="77" w:hanging="90"/>
              <w:jc w:val="left"/>
              <w:rPr>
                <w:rFonts w:ascii="宋体" w:hAnsi="宋体" w:cs="宋体" w:eastAsia="宋体" w:hint="default"/>
                <w:sz w:val="18"/>
                <w:szCs w:val="18"/>
              </w:rPr>
            </w:pPr>
            <w:r>
              <w:rPr>
                <w:rFonts w:ascii="宋体" w:hAnsi="宋体" w:cs="宋体" w:eastAsia="宋体" w:hint="default"/>
                <w:sz w:val="18"/>
                <w:szCs w:val="18"/>
              </w:rPr>
              <w:t>排放口 数量</w:t>
            </w:r>
          </w:p>
        </w:tc>
        <w:tc>
          <w:tcPr>
            <w:tcW w:w="198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b/>
                <w:bCs/>
                <w:sz w:val="26"/>
                <w:szCs w:val="26"/>
              </w:rPr>
            </w:pPr>
          </w:p>
          <w:p>
            <w:pPr>
              <w:pStyle w:val="TableParagraph"/>
              <w:spacing w:line="240" w:lineRule="auto"/>
              <w:ind w:left="357" w:right="0"/>
              <w:jc w:val="left"/>
              <w:rPr>
                <w:rFonts w:ascii="宋体" w:hAnsi="宋体" w:cs="宋体" w:eastAsia="宋体" w:hint="default"/>
                <w:sz w:val="18"/>
                <w:szCs w:val="18"/>
              </w:rPr>
            </w:pPr>
            <w:r>
              <w:rPr>
                <w:rFonts w:ascii="宋体" w:hAnsi="宋体" w:cs="宋体" w:eastAsia="宋体" w:hint="default"/>
                <w:sz w:val="18"/>
                <w:szCs w:val="18"/>
              </w:rPr>
              <w:t>排放口分布情况</w:t>
            </w:r>
          </w:p>
        </w:tc>
        <w:tc>
          <w:tcPr>
            <w:tcW w:w="113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b/>
                <w:bCs/>
                <w:sz w:val="26"/>
                <w:szCs w:val="2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排放浓度</w:t>
            </w:r>
          </w:p>
        </w:tc>
        <w:tc>
          <w:tcPr>
            <w:tcW w:w="113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316" w:lineRule="auto"/>
              <w:ind w:left="111" w:right="110"/>
              <w:jc w:val="left"/>
              <w:rPr>
                <w:rFonts w:ascii="宋体" w:hAnsi="宋体" w:cs="宋体" w:eastAsia="宋体" w:hint="default"/>
                <w:sz w:val="18"/>
                <w:szCs w:val="18"/>
              </w:rPr>
            </w:pPr>
            <w:r>
              <w:rPr>
                <w:rFonts w:ascii="宋体" w:hAnsi="宋体" w:cs="宋体" w:eastAsia="宋体" w:hint="default"/>
                <w:sz w:val="18"/>
                <w:szCs w:val="18"/>
              </w:rPr>
              <w:t>执行的污染 物排放标准</w:t>
            </w:r>
          </w:p>
        </w:tc>
        <w:tc>
          <w:tcPr>
            <w:tcW w:w="9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b/>
                <w:bCs/>
                <w:sz w:val="26"/>
                <w:szCs w:val="2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排放总量</w:t>
            </w:r>
          </w:p>
        </w:tc>
        <w:tc>
          <w:tcPr>
            <w:tcW w:w="99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
              <w:ind w:right="0"/>
              <w:jc w:val="left"/>
              <w:rPr>
                <w:rFonts w:ascii="宋体" w:hAnsi="宋体" w:cs="宋体" w:eastAsia="宋体" w:hint="default"/>
                <w:b/>
                <w:bCs/>
                <w:sz w:val="13"/>
                <w:szCs w:val="13"/>
              </w:rPr>
            </w:pPr>
          </w:p>
          <w:p>
            <w:pPr>
              <w:pStyle w:val="TableParagraph"/>
              <w:spacing w:line="338" w:lineRule="auto"/>
              <w:ind w:left="130" w:right="131" w:firstLine="90"/>
              <w:jc w:val="left"/>
              <w:rPr>
                <w:rFonts w:ascii="宋体" w:hAnsi="宋体" w:cs="宋体" w:eastAsia="宋体" w:hint="default"/>
                <w:sz w:val="18"/>
                <w:szCs w:val="18"/>
              </w:rPr>
            </w:pPr>
            <w:r>
              <w:rPr>
                <w:rFonts w:ascii="宋体" w:hAnsi="宋体" w:cs="宋体" w:eastAsia="宋体" w:hint="default"/>
                <w:sz w:val="18"/>
                <w:szCs w:val="18"/>
              </w:rPr>
              <w:t>核定的 排放总量</w:t>
            </w:r>
          </w:p>
        </w:tc>
        <w:tc>
          <w:tcPr>
            <w:tcW w:w="85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316" w:lineRule="auto"/>
              <w:ind w:left="240" w:right="59" w:hanging="180"/>
              <w:jc w:val="left"/>
              <w:rPr>
                <w:rFonts w:ascii="宋体" w:hAnsi="宋体" w:cs="宋体" w:eastAsia="宋体" w:hint="default"/>
                <w:sz w:val="18"/>
                <w:szCs w:val="18"/>
              </w:rPr>
            </w:pPr>
            <w:r>
              <w:rPr>
                <w:rFonts w:ascii="宋体" w:hAnsi="宋体" w:cs="宋体" w:eastAsia="宋体" w:hint="default"/>
                <w:sz w:val="18"/>
                <w:szCs w:val="18"/>
              </w:rPr>
              <w:t>超标排放 情况</w:t>
            </w:r>
          </w:p>
        </w:tc>
      </w:tr>
      <w:tr>
        <w:trPr>
          <w:trHeight w:val="297" w:hRule="exact"/>
        </w:trPr>
        <w:tc>
          <w:tcPr>
            <w:tcW w:w="992" w:type="dxa"/>
            <w:tcBorders>
              <w:top w:val="single" w:sz="4" w:space="0" w:color="000000"/>
              <w:left w:val="single" w:sz="4" w:space="0" w:color="000000"/>
              <w:bottom w:val="nil" w:sz="6" w:space="0" w:color="auto"/>
              <w:right w:val="single" w:sz="4" w:space="0" w:color="000000"/>
            </w:tcBorders>
          </w:tcPr>
          <w:p>
            <w:pPr/>
          </w:p>
        </w:tc>
        <w:tc>
          <w:tcPr>
            <w:tcW w:w="99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2"/>
              <w:ind w:right="1"/>
              <w:jc w:val="center"/>
              <w:rPr>
                <w:rFonts w:ascii="Times New Roman" w:hAnsi="Times New Roman" w:cs="Times New Roman" w:eastAsia="Times New Roman" w:hint="default"/>
                <w:sz w:val="18"/>
                <w:szCs w:val="18"/>
              </w:rPr>
            </w:pPr>
            <w:r>
              <w:rPr>
                <w:rFonts w:ascii="Times New Roman"/>
                <w:sz w:val="18"/>
              </w:rPr>
              <w:t>COD</w:t>
            </w:r>
          </w:p>
        </w:tc>
        <w:tc>
          <w:tcPr>
            <w:tcW w:w="99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有组织排放</w:t>
            </w:r>
          </w:p>
        </w:tc>
        <w:tc>
          <w:tcPr>
            <w:tcW w:w="708" w:type="dxa"/>
            <w:tcBorders>
              <w:top w:val="single" w:sz="4" w:space="0" w:color="000000"/>
              <w:left w:val="single" w:sz="4" w:space="0" w:color="000000"/>
              <w:bottom w:val="nil" w:sz="6" w:space="0" w:color="auto"/>
              <w:right w:val="single" w:sz="4" w:space="0" w:color="000000"/>
            </w:tcBorders>
          </w:tcPr>
          <w:p>
            <w:pPr/>
          </w:p>
        </w:tc>
        <w:tc>
          <w:tcPr>
            <w:tcW w:w="1985" w:type="dxa"/>
            <w:tcBorders>
              <w:top w:val="single" w:sz="4" w:space="0" w:color="000000"/>
              <w:left w:val="single" w:sz="4" w:space="0" w:color="000000"/>
              <w:bottom w:val="nil" w:sz="6" w:space="0" w:color="auto"/>
              <w:right w:val="single" w:sz="4" w:space="0" w:color="000000"/>
            </w:tcBorders>
          </w:tcPr>
          <w:p>
            <w:pPr/>
          </w:p>
        </w:tc>
        <w:tc>
          <w:tcPr>
            <w:tcW w:w="113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2"/>
              <w:ind w:right="0"/>
              <w:jc w:val="center"/>
              <w:rPr>
                <w:rFonts w:ascii="Times New Roman" w:hAnsi="Times New Roman" w:cs="Times New Roman" w:eastAsia="Times New Roman" w:hint="default"/>
                <w:sz w:val="18"/>
                <w:szCs w:val="18"/>
              </w:rPr>
            </w:pPr>
            <w:r>
              <w:rPr>
                <w:rFonts w:ascii="Times New Roman"/>
                <w:sz w:val="18"/>
              </w:rPr>
              <w:t>22.9225mg/L</w:t>
            </w:r>
          </w:p>
        </w:tc>
        <w:tc>
          <w:tcPr>
            <w:tcW w:w="113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2"/>
              <w:ind w:right="0"/>
              <w:jc w:val="center"/>
              <w:rPr>
                <w:rFonts w:ascii="Times New Roman" w:hAnsi="Times New Roman" w:cs="Times New Roman" w:eastAsia="Times New Roman" w:hint="default"/>
                <w:sz w:val="18"/>
                <w:szCs w:val="18"/>
              </w:rPr>
            </w:pPr>
            <w:r>
              <w:rPr>
                <w:rFonts w:ascii="Times New Roman"/>
                <w:sz w:val="18"/>
              </w:rPr>
              <w:t>150mg/L</w:t>
            </w:r>
          </w:p>
        </w:tc>
        <w:tc>
          <w:tcPr>
            <w:tcW w:w="99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2"/>
              <w:ind w:left="1" w:right="0"/>
              <w:jc w:val="center"/>
              <w:rPr>
                <w:rFonts w:ascii="Times New Roman" w:hAnsi="Times New Roman" w:cs="Times New Roman" w:eastAsia="Times New Roman" w:hint="default"/>
                <w:sz w:val="18"/>
                <w:szCs w:val="18"/>
              </w:rPr>
            </w:pPr>
            <w:r>
              <w:rPr>
                <w:rFonts w:ascii="Times New Roman"/>
                <w:sz w:val="18"/>
              </w:rPr>
              <w:t>1236.98kg</w:t>
            </w:r>
          </w:p>
        </w:tc>
        <w:tc>
          <w:tcPr>
            <w:tcW w:w="99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2"/>
              <w:ind w:right="1"/>
              <w:jc w:val="center"/>
              <w:rPr>
                <w:rFonts w:ascii="Times New Roman" w:hAnsi="Times New Roman" w:cs="Times New Roman" w:eastAsia="Times New Roman" w:hint="default"/>
                <w:sz w:val="18"/>
                <w:szCs w:val="18"/>
              </w:rPr>
            </w:pPr>
            <w:r>
              <w:rPr>
                <w:rFonts w:ascii="Times New Roman"/>
                <w:sz w:val="18"/>
              </w:rPr>
              <w:t>5490kg</w:t>
            </w:r>
          </w:p>
        </w:tc>
        <w:tc>
          <w:tcPr>
            <w:tcW w:w="85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66" w:hRule="exact"/>
        </w:trPr>
        <w:tc>
          <w:tcPr>
            <w:tcW w:w="992" w:type="dxa"/>
            <w:vMerge w:val="restart"/>
            <w:tcBorders>
              <w:top w:val="nil" w:sz="6" w:space="0" w:color="auto"/>
              <w:left w:val="single" w:sz="4" w:space="0" w:color="000000"/>
              <w:right w:val="single" w:sz="4" w:space="0" w:color="000000"/>
            </w:tcBorders>
          </w:tcPr>
          <w:p>
            <w:pPr/>
          </w:p>
        </w:tc>
        <w:tc>
          <w:tcPr>
            <w:tcW w:w="992" w:type="dxa"/>
            <w:tcBorders>
              <w:top w:val="nil" w:sz="6" w:space="0" w:color="auto"/>
              <w:left w:val="single" w:sz="4" w:space="0" w:color="000000"/>
              <w:bottom w:val="single" w:sz="4" w:space="0" w:color="000000"/>
              <w:right w:val="single" w:sz="4" w:space="0" w:color="000000"/>
            </w:tcBorders>
          </w:tcPr>
          <w:p>
            <w:pPr/>
          </w:p>
        </w:tc>
        <w:tc>
          <w:tcPr>
            <w:tcW w:w="992" w:type="dxa"/>
            <w:tcBorders>
              <w:top w:val="nil" w:sz="6" w:space="0" w:color="auto"/>
              <w:left w:val="single" w:sz="4" w:space="0" w:color="000000"/>
              <w:bottom w:val="single" w:sz="4" w:space="0" w:color="000000"/>
              <w:right w:val="single" w:sz="4" w:space="0" w:color="000000"/>
            </w:tcBorders>
          </w:tcPr>
          <w:p>
            <w:pPr/>
          </w:p>
        </w:tc>
        <w:tc>
          <w:tcPr>
            <w:tcW w:w="708" w:type="dxa"/>
            <w:vMerge w:val="restart"/>
            <w:tcBorders>
              <w:top w:val="nil" w:sz="6" w:space="0" w:color="auto"/>
              <w:left w:val="single" w:sz="4" w:space="0" w:color="000000"/>
              <w:right w:val="single" w:sz="4" w:space="0" w:color="000000"/>
            </w:tcBorders>
          </w:tcPr>
          <w:p>
            <w:pPr/>
          </w:p>
        </w:tc>
        <w:tc>
          <w:tcPr>
            <w:tcW w:w="1985" w:type="dxa"/>
            <w:vMerge w:val="restart"/>
            <w:tcBorders>
              <w:top w:val="nil" w:sz="6" w:space="0" w:color="auto"/>
              <w:left w:val="single" w:sz="4" w:space="0" w:color="000000"/>
              <w:right w:val="single" w:sz="4" w:space="0" w:color="000000"/>
            </w:tcBorders>
          </w:tcPr>
          <w:p>
            <w:pPr>
              <w:pStyle w:val="TableParagraph"/>
              <w:spacing w:line="197" w:lineRule="exact"/>
              <w:ind w:left="24" w:right="0"/>
              <w:jc w:val="left"/>
              <w:rPr>
                <w:rFonts w:ascii="宋体" w:hAnsi="宋体" w:cs="宋体" w:eastAsia="宋体" w:hint="default"/>
                <w:sz w:val="18"/>
                <w:szCs w:val="18"/>
              </w:rPr>
            </w:pPr>
            <w:r>
              <w:rPr>
                <w:rFonts w:ascii="宋体" w:hAnsi="宋体" w:cs="宋体" w:eastAsia="宋体" w:hint="default"/>
                <w:sz w:val="18"/>
                <w:szCs w:val="18"/>
              </w:rPr>
              <w:t>厂区东面</w:t>
            </w:r>
          </w:p>
        </w:tc>
        <w:tc>
          <w:tcPr>
            <w:tcW w:w="1134" w:type="dxa"/>
            <w:tcBorders>
              <w:top w:val="nil" w:sz="6" w:space="0" w:color="auto"/>
              <w:left w:val="single" w:sz="4" w:space="0" w:color="000000"/>
              <w:bottom w:val="single" w:sz="4" w:space="0" w:color="000000"/>
              <w:right w:val="single" w:sz="4" w:space="0" w:color="000000"/>
            </w:tcBorders>
          </w:tcPr>
          <w:p>
            <w:pPr/>
          </w:p>
        </w:tc>
        <w:tc>
          <w:tcPr>
            <w:tcW w:w="1134" w:type="dxa"/>
            <w:tcBorders>
              <w:top w:val="nil" w:sz="6" w:space="0" w:color="auto"/>
              <w:left w:val="single" w:sz="4" w:space="0" w:color="000000"/>
              <w:bottom w:val="single" w:sz="4" w:space="0" w:color="000000"/>
              <w:right w:val="single" w:sz="4" w:space="0" w:color="000000"/>
            </w:tcBorders>
          </w:tcPr>
          <w:p>
            <w:pPr/>
          </w:p>
        </w:tc>
        <w:tc>
          <w:tcPr>
            <w:tcW w:w="992" w:type="dxa"/>
            <w:tcBorders>
              <w:top w:val="nil" w:sz="6" w:space="0" w:color="auto"/>
              <w:left w:val="single" w:sz="4" w:space="0" w:color="000000"/>
              <w:bottom w:val="single" w:sz="4" w:space="0" w:color="000000"/>
              <w:right w:val="single" w:sz="4" w:space="0" w:color="000000"/>
            </w:tcBorders>
          </w:tcPr>
          <w:p>
            <w:pPr/>
          </w:p>
        </w:tc>
        <w:tc>
          <w:tcPr>
            <w:tcW w:w="992"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r>
      <w:tr>
        <w:trPr>
          <w:trHeight w:val="205" w:hRule="exact"/>
        </w:trPr>
        <w:tc>
          <w:tcPr>
            <w:tcW w:w="992" w:type="dxa"/>
            <w:vMerge/>
            <w:tcBorders>
              <w:left w:val="single" w:sz="4" w:space="0" w:color="000000"/>
              <w:bottom w:val="nil" w:sz="6" w:space="0" w:color="auto"/>
              <w:right w:val="single" w:sz="4" w:space="0" w:color="000000"/>
            </w:tcBorders>
          </w:tcPr>
          <w:p>
            <w:pPr/>
          </w:p>
        </w:tc>
        <w:tc>
          <w:tcPr>
            <w:tcW w:w="992" w:type="dxa"/>
            <w:vMerge w:val="restart"/>
            <w:tcBorders>
              <w:top w:val="single" w:sz="4" w:space="0" w:color="000000"/>
              <w:left w:val="single" w:sz="4" w:space="0" w:color="000000"/>
              <w:right w:val="single" w:sz="4" w:space="0" w:color="000000"/>
            </w:tcBorders>
          </w:tcPr>
          <w:p>
            <w:pPr>
              <w:pStyle w:val="TableParagraph"/>
              <w:spacing w:line="240" w:lineRule="auto" w:before="31"/>
              <w:ind w:left="310" w:right="0"/>
              <w:jc w:val="left"/>
              <w:rPr>
                <w:rFonts w:ascii="宋体" w:hAnsi="宋体" w:cs="宋体" w:eastAsia="宋体" w:hint="default"/>
                <w:sz w:val="18"/>
                <w:szCs w:val="18"/>
              </w:rPr>
            </w:pPr>
            <w:r>
              <w:rPr>
                <w:rFonts w:ascii="宋体" w:hAnsi="宋体" w:cs="宋体" w:eastAsia="宋体" w:hint="default"/>
                <w:sz w:val="18"/>
                <w:szCs w:val="18"/>
              </w:rPr>
              <w:t>总铅</w:t>
            </w:r>
          </w:p>
        </w:tc>
        <w:tc>
          <w:tcPr>
            <w:tcW w:w="992" w:type="dxa"/>
            <w:vMerge w:val="restart"/>
            <w:tcBorders>
              <w:top w:val="single" w:sz="4" w:space="0" w:color="000000"/>
              <w:left w:val="single" w:sz="4" w:space="0" w:color="000000"/>
              <w:right w:val="single" w:sz="4" w:space="0" w:color="000000"/>
            </w:tcBorders>
          </w:tcPr>
          <w:p>
            <w:pPr>
              <w:pStyle w:val="TableParagraph"/>
              <w:spacing w:line="240" w:lineRule="auto" w:before="31"/>
              <w:ind w:left="40" w:right="0"/>
              <w:jc w:val="left"/>
              <w:rPr>
                <w:rFonts w:ascii="宋体" w:hAnsi="宋体" w:cs="宋体" w:eastAsia="宋体" w:hint="default"/>
                <w:sz w:val="18"/>
                <w:szCs w:val="18"/>
              </w:rPr>
            </w:pPr>
            <w:r>
              <w:rPr>
                <w:rFonts w:ascii="宋体" w:hAnsi="宋体" w:cs="宋体" w:eastAsia="宋体" w:hint="default"/>
                <w:sz w:val="18"/>
                <w:szCs w:val="18"/>
              </w:rPr>
              <w:t>有组织排放</w:t>
            </w:r>
          </w:p>
        </w:tc>
        <w:tc>
          <w:tcPr>
            <w:tcW w:w="708" w:type="dxa"/>
            <w:vMerge/>
            <w:tcBorders>
              <w:left w:val="single" w:sz="4" w:space="0" w:color="000000"/>
              <w:bottom w:val="nil" w:sz="6" w:space="0" w:color="auto"/>
              <w:right w:val="single" w:sz="4" w:space="0" w:color="000000"/>
            </w:tcBorders>
          </w:tcPr>
          <w:p>
            <w:pPr/>
          </w:p>
        </w:tc>
        <w:tc>
          <w:tcPr>
            <w:tcW w:w="1985" w:type="dxa"/>
            <w:vMerge/>
            <w:tcBorders>
              <w:left w:val="single" w:sz="4" w:space="0" w:color="000000"/>
              <w:bottom w:val="nil" w:sz="6" w:space="0" w:color="auto"/>
              <w:right w:val="single" w:sz="4" w:space="0" w:color="000000"/>
            </w:tcBorders>
          </w:tcPr>
          <w:p>
            <w:pPr/>
          </w:p>
        </w:tc>
        <w:tc>
          <w:tcPr>
            <w:tcW w:w="1134" w:type="dxa"/>
            <w:vMerge w:val="restart"/>
            <w:tcBorders>
              <w:top w:val="single" w:sz="4" w:space="0" w:color="000000"/>
              <w:left w:val="single" w:sz="4" w:space="0" w:color="000000"/>
              <w:right w:val="single" w:sz="4" w:space="0" w:color="000000"/>
            </w:tcBorders>
          </w:tcPr>
          <w:p>
            <w:pPr>
              <w:pStyle w:val="TableParagraph"/>
              <w:spacing w:line="240" w:lineRule="auto" w:before="70"/>
              <w:ind w:left="254" w:right="0"/>
              <w:jc w:val="left"/>
              <w:rPr>
                <w:rFonts w:ascii="Times New Roman" w:hAnsi="Times New Roman" w:cs="Times New Roman" w:eastAsia="Times New Roman" w:hint="default"/>
                <w:sz w:val="18"/>
                <w:szCs w:val="18"/>
              </w:rPr>
            </w:pPr>
            <w:r>
              <w:rPr>
                <w:rFonts w:ascii="Times New Roman"/>
                <w:sz w:val="18"/>
              </w:rPr>
              <w:t>0.2mg/L</w:t>
            </w:r>
          </w:p>
        </w:tc>
        <w:tc>
          <w:tcPr>
            <w:tcW w:w="1134" w:type="dxa"/>
            <w:vMerge w:val="restart"/>
            <w:tcBorders>
              <w:top w:val="single" w:sz="4" w:space="0" w:color="000000"/>
              <w:left w:val="single" w:sz="4" w:space="0" w:color="000000"/>
              <w:right w:val="single" w:sz="4" w:space="0" w:color="000000"/>
            </w:tcBorders>
          </w:tcPr>
          <w:p>
            <w:pPr>
              <w:pStyle w:val="TableParagraph"/>
              <w:spacing w:line="240" w:lineRule="auto" w:before="70"/>
              <w:ind w:left="254" w:right="0"/>
              <w:jc w:val="left"/>
              <w:rPr>
                <w:rFonts w:ascii="Times New Roman" w:hAnsi="Times New Roman" w:cs="Times New Roman" w:eastAsia="Times New Roman" w:hint="default"/>
                <w:sz w:val="18"/>
                <w:szCs w:val="18"/>
              </w:rPr>
            </w:pPr>
            <w:r>
              <w:rPr>
                <w:rFonts w:ascii="Times New Roman"/>
                <w:sz w:val="18"/>
              </w:rPr>
              <w:t>0.5mg/L</w:t>
            </w:r>
          </w:p>
        </w:tc>
        <w:tc>
          <w:tcPr>
            <w:tcW w:w="992" w:type="dxa"/>
            <w:vMerge w:val="restart"/>
            <w:tcBorders>
              <w:top w:val="single" w:sz="4" w:space="0" w:color="000000"/>
              <w:left w:val="single" w:sz="4" w:space="0" w:color="000000"/>
              <w:right w:val="single" w:sz="4" w:space="0" w:color="000000"/>
            </w:tcBorders>
          </w:tcPr>
          <w:p>
            <w:pPr>
              <w:pStyle w:val="TableParagraph"/>
              <w:spacing w:line="240" w:lineRule="auto" w:before="70"/>
              <w:ind w:left="199" w:right="0"/>
              <w:jc w:val="left"/>
              <w:rPr>
                <w:rFonts w:ascii="Times New Roman" w:hAnsi="Times New Roman" w:cs="Times New Roman" w:eastAsia="Times New Roman" w:hint="default"/>
                <w:sz w:val="18"/>
                <w:szCs w:val="18"/>
              </w:rPr>
            </w:pPr>
            <w:r>
              <w:rPr>
                <w:rFonts w:ascii="Times New Roman"/>
                <w:sz w:val="18"/>
              </w:rPr>
              <w:t>10.79kg</w:t>
            </w:r>
          </w:p>
        </w:tc>
        <w:tc>
          <w:tcPr>
            <w:tcW w:w="992" w:type="dxa"/>
            <w:vMerge w:val="restart"/>
            <w:tcBorders>
              <w:top w:val="single" w:sz="4" w:space="0" w:color="000000"/>
              <w:left w:val="single" w:sz="4" w:space="0" w:color="000000"/>
              <w:right w:val="single" w:sz="4" w:space="0" w:color="000000"/>
            </w:tcBorders>
          </w:tcPr>
          <w:p>
            <w:pPr>
              <w:pStyle w:val="TableParagraph"/>
              <w:spacing w:line="240" w:lineRule="auto" w:before="70"/>
              <w:ind w:left="243" w:right="0"/>
              <w:jc w:val="left"/>
              <w:rPr>
                <w:rFonts w:ascii="Times New Roman" w:hAnsi="Times New Roman" w:cs="Times New Roman" w:eastAsia="Times New Roman" w:hint="default"/>
                <w:sz w:val="18"/>
                <w:szCs w:val="18"/>
              </w:rPr>
            </w:pPr>
            <w:r>
              <w:rPr>
                <w:rFonts w:ascii="Times New Roman"/>
                <w:sz w:val="18"/>
              </w:rPr>
              <w:t>12.4kg</w:t>
            </w:r>
          </w:p>
        </w:tc>
        <w:tc>
          <w:tcPr>
            <w:tcW w:w="850" w:type="dxa"/>
            <w:vMerge w:val="restart"/>
            <w:tcBorders>
              <w:top w:val="single" w:sz="4" w:space="0" w:color="000000"/>
              <w:left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157" w:hRule="exact"/>
        </w:trPr>
        <w:tc>
          <w:tcPr>
            <w:tcW w:w="992" w:type="dxa"/>
            <w:vMerge w:val="restart"/>
            <w:tcBorders>
              <w:top w:val="nil" w:sz="6" w:space="0" w:color="auto"/>
              <w:left w:val="single" w:sz="4" w:space="0" w:color="000000"/>
              <w:right w:val="single" w:sz="4" w:space="0" w:color="000000"/>
            </w:tcBorders>
          </w:tcPr>
          <w:p>
            <w:pPr/>
          </w:p>
        </w:tc>
        <w:tc>
          <w:tcPr>
            <w:tcW w:w="992" w:type="dxa"/>
            <w:vMerge/>
            <w:tcBorders>
              <w:left w:val="single" w:sz="4" w:space="0" w:color="000000"/>
              <w:bottom w:val="single" w:sz="4" w:space="0" w:color="000000"/>
              <w:right w:val="single" w:sz="4" w:space="0" w:color="000000"/>
            </w:tcBorders>
          </w:tcPr>
          <w:p>
            <w:pPr/>
          </w:p>
        </w:tc>
        <w:tc>
          <w:tcPr>
            <w:tcW w:w="992" w:type="dxa"/>
            <w:vMerge/>
            <w:tcBorders>
              <w:left w:val="single" w:sz="4" w:space="0" w:color="000000"/>
              <w:bottom w:val="single" w:sz="4" w:space="0" w:color="000000"/>
              <w:right w:val="single" w:sz="4" w:space="0" w:color="000000"/>
            </w:tcBorders>
          </w:tcPr>
          <w:p>
            <w:pPr/>
          </w:p>
        </w:tc>
        <w:tc>
          <w:tcPr>
            <w:tcW w:w="708" w:type="dxa"/>
            <w:vMerge w:val="restart"/>
            <w:tcBorders>
              <w:top w:val="nil" w:sz="6" w:space="0" w:color="auto"/>
              <w:left w:val="single" w:sz="4" w:space="0" w:color="000000"/>
              <w:right w:val="single" w:sz="4"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1</w:t>
            </w:r>
          </w:p>
        </w:tc>
        <w:tc>
          <w:tcPr>
            <w:tcW w:w="1985" w:type="dxa"/>
            <w:vMerge w:val="restart"/>
            <w:tcBorders>
              <w:top w:val="nil" w:sz="6" w:space="0" w:color="auto"/>
              <w:left w:val="single" w:sz="4" w:space="0" w:color="000000"/>
              <w:right w:val="single" w:sz="4" w:space="0" w:color="000000"/>
            </w:tcBorders>
          </w:tcPr>
          <w:p>
            <w:pPr>
              <w:pStyle w:val="TableParagraph"/>
              <w:spacing w:line="240" w:lineRule="auto" w:before="21"/>
              <w:ind w:left="24" w:right="0"/>
              <w:jc w:val="left"/>
              <w:rPr>
                <w:rFonts w:ascii="宋体" w:hAnsi="宋体" w:cs="宋体" w:eastAsia="宋体" w:hint="default"/>
                <w:sz w:val="18"/>
                <w:szCs w:val="18"/>
              </w:rPr>
            </w:pPr>
            <w:r>
              <w:rPr>
                <w:rFonts w:ascii="宋体" w:hAnsi="宋体" w:cs="宋体" w:eastAsia="宋体" w:hint="default"/>
                <w:sz w:val="18"/>
                <w:szCs w:val="18"/>
              </w:rPr>
              <w:t>（经度</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114</w:t>
            </w:r>
            <w:r>
              <w:rPr>
                <w:rFonts w:ascii="宋体" w:hAnsi="宋体" w:cs="宋体" w:eastAsia="宋体" w:hint="default"/>
                <w:sz w:val="18"/>
                <w:szCs w:val="18"/>
              </w:rPr>
              <w:t>°</w:t>
            </w:r>
            <w:r>
              <w:rPr>
                <w:rFonts w:ascii="Times New Roman" w:hAnsi="Times New Roman" w:cs="Times New Roman" w:eastAsia="Times New Roman" w:hint="default"/>
                <w:sz w:val="18"/>
                <w:szCs w:val="18"/>
              </w:rPr>
              <w:t>10</w:t>
            </w:r>
            <w:r>
              <w:rPr>
                <w:rFonts w:ascii="宋体" w:hAnsi="宋体" w:cs="宋体" w:eastAsia="宋体" w:hint="default"/>
                <w:sz w:val="18"/>
                <w:szCs w:val="18"/>
              </w:rPr>
              <w:t>′</w:t>
            </w:r>
            <w:r>
              <w:rPr>
                <w:rFonts w:ascii="Times New Roman" w:hAnsi="Times New Roman" w:cs="Times New Roman" w:eastAsia="Times New Roman" w:hint="default"/>
                <w:sz w:val="18"/>
                <w:szCs w:val="18"/>
              </w:rPr>
              <w:t>30</w:t>
            </w:r>
            <w:r>
              <w:rPr>
                <w:rFonts w:ascii="宋体" w:hAnsi="宋体" w:cs="宋体" w:eastAsia="宋体" w:hint="default"/>
                <w:sz w:val="18"/>
                <w:szCs w:val="18"/>
              </w:rPr>
              <w:t>″，</w:t>
            </w:r>
          </w:p>
        </w:tc>
        <w:tc>
          <w:tcPr>
            <w:tcW w:w="1134"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992" w:type="dxa"/>
            <w:vMerge/>
            <w:tcBorders>
              <w:left w:val="single" w:sz="4" w:space="0" w:color="000000"/>
              <w:bottom w:val="single" w:sz="4" w:space="0" w:color="000000"/>
              <w:right w:val="single" w:sz="4" w:space="0" w:color="000000"/>
            </w:tcBorders>
          </w:tcPr>
          <w:p>
            <w:pPr/>
          </w:p>
        </w:tc>
        <w:tc>
          <w:tcPr>
            <w:tcW w:w="992" w:type="dxa"/>
            <w:vMerge/>
            <w:tcBorders>
              <w:left w:val="single" w:sz="4" w:space="0" w:color="000000"/>
              <w:bottom w:val="single" w:sz="4" w:space="0" w:color="000000"/>
              <w:right w:val="single" w:sz="4" w:space="0" w:color="000000"/>
            </w:tcBorders>
          </w:tcPr>
          <w:p>
            <w:pPr/>
          </w:p>
        </w:tc>
        <w:tc>
          <w:tcPr>
            <w:tcW w:w="850" w:type="dxa"/>
            <w:vMerge/>
            <w:tcBorders>
              <w:left w:val="single" w:sz="4" w:space="0" w:color="000000"/>
              <w:bottom w:val="single" w:sz="4" w:space="0" w:color="000000"/>
              <w:right w:val="single" w:sz="4" w:space="0" w:color="000000"/>
            </w:tcBorders>
          </w:tcPr>
          <w:p>
            <w:pPr/>
          </w:p>
        </w:tc>
      </w:tr>
      <w:tr>
        <w:trPr>
          <w:trHeight w:val="113" w:hRule="exact"/>
        </w:trPr>
        <w:tc>
          <w:tcPr>
            <w:tcW w:w="992" w:type="dxa"/>
            <w:vMerge/>
            <w:tcBorders>
              <w:left w:val="single" w:sz="4" w:space="0" w:color="000000"/>
              <w:bottom w:val="nil" w:sz="6" w:space="0" w:color="auto"/>
              <w:right w:val="single" w:sz="4" w:space="0" w:color="000000"/>
            </w:tcBorders>
          </w:tcPr>
          <w:p>
            <w:pPr/>
          </w:p>
        </w:tc>
        <w:tc>
          <w:tcPr>
            <w:tcW w:w="992" w:type="dxa"/>
            <w:vMerge w:val="restart"/>
            <w:tcBorders>
              <w:top w:val="single" w:sz="4" w:space="0" w:color="000000"/>
              <w:left w:val="single" w:sz="4" w:space="0" w:color="000000"/>
              <w:right w:val="single" w:sz="4" w:space="0" w:color="000000"/>
            </w:tcBorders>
          </w:tcPr>
          <w:p>
            <w:pPr>
              <w:pStyle w:val="TableParagraph"/>
              <w:spacing w:line="240" w:lineRule="auto" w:before="70"/>
              <w:ind w:right="1"/>
              <w:jc w:val="center"/>
              <w:rPr>
                <w:rFonts w:ascii="Times New Roman" w:hAnsi="Times New Roman" w:cs="Times New Roman" w:eastAsia="Times New Roman" w:hint="default"/>
                <w:sz w:val="18"/>
                <w:szCs w:val="18"/>
              </w:rPr>
            </w:pPr>
            <w:r>
              <w:rPr>
                <w:rFonts w:ascii="Times New Roman"/>
                <w:sz w:val="18"/>
              </w:rPr>
              <w:t>SS</w:t>
            </w:r>
          </w:p>
        </w:tc>
        <w:tc>
          <w:tcPr>
            <w:tcW w:w="992" w:type="dxa"/>
            <w:vMerge w:val="restart"/>
            <w:tcBorders>
              <w:top w:val="single" w:sz="4" w:space="0" w:color="000000"/>
              <w:left w:val="single" w:sz="4" w:space="0" w:color="000000"/>
              <w:right w:val="single" w:sz="4" w:space="0" w:color="000000"/>
            </w:tcBorders>
          </w:tcPr>
          <w:p>
            <w:pPr>
              <w:pStyle w:val="TableParagraph"/>
              <w:spacing w:line="240" w:lineRule="auto" w:before="31"/>
              <w:ind w:left="40" w:right="0"/>
              <w:jc w:val="left"/>
              <w:rPr>
                <w:rFonts w:ascii="宋体" w:hAnsi="宋体" w:cs="宋体" w:eastAsia="宋体" w:hint="default"/>
                <w:sz w:val="18"/>
                <w:szCs w:val="18"/>
              </w:rPr>
            </w:pPr>
            <w:r>
              <w:rPr>
                <w:rFonts w:ascii="宋体" w:hAnsi="宋体" w:cs="宋体" w:eastAsia="宋体" w:hint="default"/>
                <w:sz w:val="18"/>
                <w:szCs w:val="18"/>
              </w:rPr>
              <w:t>有组织排放</w:t>
            </w:r>
          </w:p>
        </w:tc>
        <w:tc>
          <w:tcPr>
            <w:tcW w:w="708" w:type="dxa"/>
            <w:vMerge/>
            <w:tcBorders>
              <w:left w:val="single" w:sz="4" w:space="0" w:color="000000"/>
              <w:bottom w:val="nil" w:sz="6" w:space="0" w:color="auto"/>
              <w:right w:val="single" w:sz="4" w:space="0" w:color="000000"/>
            </w:tcBorders>
          </w:tcPr>
          <w:p>
            <w:pPr/>
          </w:p>
        </w:tc>
        <w:tc>
          <w:tcPr>
            <w:tcW w:w="1985" w:type="dxa"/>
            <w:vMerge/>
            <w:tcBorders>
              <w:left w:val="single" w:sz="4" w:space="0" w:color="000000"/>
              <w:bottom w:val="nil" w:sz="6" w:space="0" w:color="auto"/>
              <w:right w:val="single" w:sz="4" w:space="0" w:color="000000"/>
            </w:tcBorders>
          </w:tcPr>
          <w:p>
            <w:pPr/>
          </w:p>
        </w:tc>
        <w:tc>
          <w:tcPr>
            <w:tcW w:w="1134" w:type="dxa"/>
            <w:vMerge w:val="restart"/>
            <w:tcBorders>
              <w:top w:val="single" w:sz="4" w:space="0" w:color="000000"/>
              <w:left w:val="single" w:sz="4" w:space="0" w:color="000000"/>
              <w:right w:val="single" w:sz="4" w:space="0" w:color="000000"/>
            </w:tcBorders>
          </w:tcPr>
          <w:p>
            <w:pPr>
              <w:pStyle w:val="TableParagraph"/>
              <w:spacing w:line="240" w:lineRule="auto" w:before="70"/>
              <w:ind w:left="321" w:right="0"/>
              <w:jc w:val="left"/>
              <w:rPr>
                <w:rFonts w:ascii="Times New Roman" w:hAnsi="Times New Roman" w:cs="Times New Roman" w:eastAsia="Times New Roman" w:hint="default"/>
                <w:sz w:val="18"/>
                <w:szCs w:val="18"/>
              </w:rPr>
            </w:pPr>
            <w:r>
              <w:rPr>
                <w:rFonts w:ascii="Times New Roman"/>
                <w:sz w:val="18"/>
              </w:rPr>
              <w:t>9mg/L</w:t>
            </w:r>
          </w:p>
        </w:tc>
        <w:tc>
          <w:tcPr>
            <w:tcW w:w="1134" w:type="dxa"/>
            <w:vMerge w:val="restart"/>
            <w:tcBorders>
              <w:top w:val="single" w:sz="4" w:space="0" w:color="000000"/>
              <w:left w:val="single" w:sz="4" w:space="0" w:color="000000"/>
              <w:right w:val="single" w:sz="4" w:space="0" w:color="000000"/>
            </w:tcBorders>
          </w:tcPr>
          <w:p>
            <w:pPr>
              <w:pStyle w:val="TableParagraph"/>
              <w:spacing w:line="240" w:lineRule="auto" w:before="70"/>
              <w:ind w:left="231" w:right="0"/>
              <w:jc w:val="left"/>
              <w:rPr>
                <w:rFonts w:ascii="Times New Roman" w:hAnsi="Times New Roman" w:cs="Times New Roman" w:eastAsia="Times New Roman" w:hint="default"/>
                <w:sz w:val="18"/>
                <w:szCs w:val="18"/>
              </w:rPr>
            </w:pPr>
            <w:r>
              <w:rPr>
                <w:rFonts w:ascii="Times New Roman"/>
                <w:sz w:val="18"/>
              </w:rPr>
              <w:t>140mg/L</w:t>
            </w:r>
          </w:p>
        </w:tc>
        <w:tc>
          <w:tcPr>
            <w:tcW w:w="992" w:type="dxa"/>
            <w:vMerge w:val="restart"/>
            <w:tcBorders>
              <w:top w:val="single" w:sz="4" w:space="0" w:color="000000"/>
              <w:left w:val="single" w:sz="4" w:space="0" w:color="000000"/>
              <w:right w:val="single" w:sz="4" w:space="0" w:color="000000"/>
            </w:tcBorders>
          </w:tcPr>
          <w:p>
            <w:pPr>
              <w:pStyle w:val="TableParagraph"/>
              <w:spacing w:line="240" w:lineRule="auto" w:before="70"/>
              <w:ind w:left="153" w:right="0"/>
              <w:jc w:val="left"/>
              <w:rPr>
                <w:rFonts w:ascii="Times New Roman" w:hAnsi="Times New Roman" w:cs="Times New Roman" w:eastAsia="Times New Roman" w:hint="default"/>
                <w:sz w:val="18"/>
                <w:szCs w:val="18"/>
              </w:rPr>
            </w:pPr>
            <w:r>
              <w:rPr>
                <w:rFonts w:ascii="Times New Roman"/>
                <w:sz w:val="18"/>
              </w:rPr>
              <w:t>480.95kg</w:t>
            </w:r>
          </w:p>
        </w:tc>
        <w:tc>
          <w:tcPr>
            <w:tcW w:w="992" w:type="dxa"/>
            <w:vMerge w:val="restart"/>
            <w:tcBorders>
              <w:top w:val="single" w:sz="4" w:space="0" w:color="000000"/>
              <w:left w:val="single" w:sz="4" w:space="0" w:color="000000"/>
              <w:right w:val="single" w:sz="4" w:space="0" w:color="000000"/>
            </w:tcBorders>
          </w:tcPr>
          <w:p>
            <w:pPr>
              <w:pStyle w:val="TableParagraph"/>
              <w:spacing w:line="240" w:lineRule="auto" w:before="31"/>
              <w:ind w:left="40" w:right="0"/>
              <w:jc w:val="left"/>
              <w:rPr>
                <w:rFonts w:ascii="宋体" w:hAnsi="宋体" w:cs="宋体" w:eastAsia="宋体" w:hint="default"/>
                <w:sz w:val="18"/>
                <w:szCs w:val="18"/>
              </w:rPr>
            </w:pPr>
            <w:r>
              <w:rPr>
                <w:rFonts w:ascii="宋体" w:hAnsi="宋体" w:cs="宋体" w:eastAsia="宋体" w:hint="default"/>
                <w:sz w:val="18"/>
                <w:szCs w:val="18"/>
              </w:rPr>
              <w:t>无核定总量</w:t>
            </w:r>
          </w:p>
        </w:tc>
        <w:tc>
          <w:tcPr>
            <w:tcW w:w="850" w:type="dxa"/>
            <w:vMerge w:val="restart"/>
            <w:tcBorders>
              <w:top w:val="single" w:sz="4" w:space="0" w:color="000000"/>
              <w:left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248" w:hRule="exact"/>
        </w:trPr>
        <w:tc>
          <w:tcPr>
            <w:tcW w:w="992" w:type="dxa"/>
            <w:vMerge w:val="restart"/>
            <w:tcBorders>
              <w:top w:val="nil" w:sz="6" w:space="0" w:color="auto"/>
              <w:left w:val="single" w:sz="4" w:space="0" w:color="000000"/>
              <w:right w:val="single" w:sz="4" w:space="0" w:color="000000"/>
            </w:tcBorders>
          </w:tcPr>
          <w:p>
            <w:pPr>
              <w:pStyle w:val="TableParagraph"/>
              <w:spacing w:line="183" w:lineRule="exact"/>
              <w:ind w:left="22" w:right="0"/>
              <w:jc w:val="left"/>
              <w:rPr>
                <w:rFonts w:ascii="宋体" w:hAnsi="宋体" w:cs="宋体" w:eastAsia="宋体" w:hint="default"/>
                <w:sz w:val="18"/>
                <w:szCs w:val="18"/>
              </w:rPr>
            </w:pPr>
            <w:r>
              <w:rPr>
                <w:rFonts w:ascii="宋体" w:hAnsi="宋体" w:cs="宋体" w:eastAsia="宋体" w:hint="default"/>
                <w:sz w:val="18"/>
                <w:szCs w:val="18"/>
              </w:rPr>
              <w:t>武汉长光电</w:t>
            </w:r>
          </w:p>
        </w:tc>
        <w:tc>
          <w:tcPr>
            <w:tcW w:w="992" w:type="dxa"/>
            <w:vMerge/>
            <w:tcBorders>
              <w:left w:val="single" w:sz="4" w:space="0" w:color="000000"/>
              <w:bottom w:val="single" w:sz="4" w:space="0" w:color="000000"/>
              <w:right w:val="single" w:sz="4" w:space="0" w:color="000000"/>
            </w:tcBorders>
          </w:tcPr>
          <w:p>
            <w:pPr/>
          </w:p>
        </w:tc>
        <w:tc>
          <w:tcPr>
            <w:tcW w:w="992" w:type="dxa"/>
            <w:vMerge/>
            <w:tcBorders>
              <w:left w:val="single" w:sz="4" w:space="0" w:color="000000"/>
              <w:bottom w:val="single" w:sz="4" w:space="0" w:color="000000"/>
              <w:right w:val="single" w:sz="4" w:space="0" w:color="000000"/>
            </w:tcBorders>
          </w:tcPr>
          <w:p>
            <w:pPr/>
          </w:p>
        </w:tc>
        <w:tc>
          <w:tcPr>
            <w:tcW w:w="708" w:type="dxa"/>
            <w:vMerge w:val="restart"/>
            <w:tcBorders>
              <w:top w:val="nil" w:sz="6" w:space="0" w:color="auto"/>
              <w:left w:val="single" w:sz="4" w:space="0" w:color="000000"/>
              <w:right w:val="single" w:sz="4" w:space="0" w:color="000000"/>
            </w:tcBorders>
          </w:tcPr>
          <w:p>
            <w:pPr/>
          </w:p>
        </w:tc>
        <w:tc>
          <w:tcPr>
            <w:tcW w:w="1985" w:type="dxa"/>
            <w:vMerge w:val="restart"/>
            <w:tcBorders>
              <w:top w:val="nil" w:sz="6" w:space="0" w:color="auto"/>
              <w:left w:val="single" w:sz="4" w:space="0" w:color="000000"/>
              <w:right w:val="single" w:sz="4" w:space="0" w:color="000000"/>
            </w:tcBorders>
          </w:tcPr>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纬度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宋体" w:hAnsi="宋体" w:cs="宋体" w:eastAsia="宋体" w:hint="default"/>
                <w:sz w:val="18"/>
                <w:szCs w:val="18"/>
              </w:rPr>
              <w:t>°</w:t>
            </w:r>
            <w:r>
              <w:rPr>
                <w:rFonts w:ascii="Times New Roman" w:hAnsi="Times New Roman" w:cs="Times New Roman" w:eastAsia="Times New Roman" w:hint="default"/>
                <w:sz w:val="18"/>
                <w:szCs w:val="18"/>
              </w:rPr>
              <w:t>28</w:t>
            </w:r>
            <w:r>
              <w:rPr>
                <w:rFonts w:ascii="宋体" w:hAnsi="宋体" w:cs="宋体" w:eastAsia="宋体" w:hint="default"/>
                <w:sz w:val="18"/>
                <w:szCs w:val="18"/>
              </w:rPr>
              <w:t>′</w:t>
            </w:r>
            <w:r>
              <w:rPr>
                <w:rFonts w:ascii="Times New Roman" w:hAnsi="Times New Roman" w:cs="Times New Roman" w:eastAsia="Times New Roman" w:hint="default"/>
                <w:sz w:val="18"/>
                <w:szCs w:val="18"/>
              </w:rPr>
              <w:t>58</w:t>
            </w:r>
            <w:r>
              <w:rPr>
                <w:rFonts w:ascii="宋体" w:hAnsi="宋体" w:cs="宋体" w:eastAsia="宋体" w:hint="default"/>
                <w:sz w:val="18"/>
                <w:szCs w:val="18"/>
              </w:rPr>
              <w:t>″）</w:t>
            </w:r>
          </w:p>
        </w:tc>
        <w:tc>
          <w:tcPr>
            <w:tcW w:w="1134"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992" w:type="dxa"/>
            <w:vMerge/>
            <w:tcBorders>
              <w:left w:val="single" w:sz="4" w:space="0" w:color="000000"/>
              <w:bottom w:val="single" w:sz="4" w:space="0" w:color="000000"/>
              <w:right w:val="single" w:sz="4" w:space="0" w:color="000000"/>
            </w:tcBorders>
          </w:tcPr>
          <w:p>
            <w:pPr/>
          </w:p>
        </w:tc>
        <w:tc>
          <w:tcPr>
            <w:tcW w:w="992" w:type="dxa"/>
            <w:vMerge/>
            <w:tcBorders>
              <w:left w:val="single" w:sz="4" w:space="0" w:color="000000"/>
              <w:bottom w:val="single" w:sz="4" w:space="0" w:color="000000"/>
              <w:right w:val="single" w:sz="4" w:space="0" w:color="000000"/>
            </w:tcBorders>
          </w:tcPr>
          <w:p>
            <w:pPr/>
          </w:p>
        </w:tc>
        <w:tc>
          <w:tcPr>
            <w:tcW w:w="850" w:type="dxa"/>
            <w:vMerge/>
            <w:tcBorders>
              <w:left w:val="single" w:sz="4" w:space="0" w:color="000000"/>
              <w:bottom w:val="single" w:sz="4" w:space="0" w:color="000000"/>
              <w:right w:val="single" w:sz="4" w:space="0" w:color="000000"/>
            </w:tcBorders>
          </w:tcPr>
          <w:p>
            <w:pPr/>
          </w:p>
        </w:tc>
      </w:tr>
      <w:tr>
        <w:trPr>
          <w:trHeight w:val="63" w:hRule="exact"/>
        </w:trPr>
        <w:tc>
          <w:tcPr>
            <w:tcW w:w="992" w:type="dxa"/>
            <w:vMerge/>
            <w:tcBorders>
              <w:left w:val="single" w:sz="4" w:space="0" w:color="000000"/>
              <w:bottom w:val="nil" w:sz="6" w:space="0" w:color="auto"/>
              <w:right w:val="single" w:sz="4" w:space="0" w:color="000000"/>
            </w:tcBorders>
          </w:tcPr>
          <w:p>
            <w:pPr/>
          </w:p>
        </w:tc>
        <w:tc>
          <w:tcPr>
            <w:tcW w:w="992" w:type="dxa"/>
            <w:vMerge w:val="restart"/>
            <w:tcBorders>
              <w:top w:val="single" w:sz="4" w:space="0" w:color="000000"/>
              <w:left w:val="single" w:sz="4" w:space="0" w:color="000000"/>
              <w:right w:val="single" w:sz="4" w:space="0" w:color="000000"/>
            </w:tcBorders>
          </w:tcPr>
          <w:p>
            <w:pPr>
              <w:pStyle w:val="TableParagraph"/>
              <w:spacing w:line="240" w:lineRule="auto" w:before="32"/>
              <w:ind w:left="310" w:right="0"/>
              <w:jc w:val="left"/>
              <w:rPr>
                <w:rFonts w:ascii="宋体" w:hAnsi="宋体" w:cs="宋体" w:eastAsia="宋体" w:hint="default"/>
                <w:sz w:val="18"/>
                <w:szCs w:val="18"/>
              </w:rPr>
            </w:pPr>
            <w:r>
              <w:rPr>
                <w:rFonts w:ascii="宋体" w:hAnsi="宋体" w:cs="宋体" w:eastAsia="宋体" w:hint="default"/>
                <w:sz w:val="18"/>
                <w:szCs w:val="18"/>
              </w:rPr>
              <w:t>氨氮</w:t>
            </w:r>
          </w:p>
        </w:tc>
        <w:tc>
          <w:tcPr>
            <w:tcW w:w="992" w:type="dxa"/>
            <w:vMerge w:val="restart"/>
            <w:tcBorders>
              <w:top w:val="single" w:sz="4" w:space="0" w:color="000000"/>
              <w:left w:val="single" w:sz="4" w:space="0" w:color="000000"/>
              <w:right w:val="single" w:sz="4" w:space="0" w:color="000000"/>
            </w:tcBorders>
          </w:tcPr>
          <w:p>
            <w:pPr>
              <w:pStyle w:val="TableParagraph"/>
              <w:spacing w:line="240" w:lineRule="auto" w:before="32"/>
              <w:ind w:left="40" w:right="0"/>
              <w:jc w:val="left"/>
              <w:rPr>
                <w:rFonts w:ascii="宋体" w:hAnsi="宋体" w:cs="宋体" w:eastAsia="宋体" w:hint="default"/>
                <w:sz w:val="18"/>
                <w:szCs w:val="18"/>
              </w:rPr>
            </w:pPr>
            <w:r>
              <w:rPr>
                <w:rFonts w:ascii="宋体" w:hAnsi="宋体" w:cs="宋体" w:eastAsia="宋体" w:hint="default"/>
                <w:sz w:val="18"/>
                <w:szCs w:val="18"/>
              </w:rPr>
              <w:t>有组织排放</w:t>
            </w:r>
          </w:p>
        </w:tc>
        <w:tc>
          <w:tcPr>
            <w:tcW w:w="708" w:type="dxa"/>
            <w:vMerge/>
            <w:tcBorders>
              <w:left w:val="single" w:sz="4" w:space="0" w:color="000000"/>
              <w:bottom w:val="nil" w:sz="6" w:space="0" w:color="auto"/>
              <w:right w:val="single" w:sz="4" w:space="0" w:color="000000"/>
            </w:tcBorders>
          </w:tcPr>
          <w:p>
            <w:pPr/>
          </w:p>
        </w:tc>
        <w:tc>
          <w:tcPr>
            <w:tcW w:w="1985" w:type="dxa"/>
            <w:vMerge/>
            <w:tcBorders>
              <w:left w:val="single" w:sz="4" w:space="0" w:color="000000"/>
              <w:bottom w:val="nil" w:sz="6" w:space="0" w:color="auto"/>
              <w:right w:val="single" w:sz="4" w:space="0" w:color="000000"/>
            </w:tcBorders>
          </w:tcPr>
          <w:p>
            <w:pPr/>
          </w:p>
        </w:tc>
        <w:tc>
          <w:tcPr>
            <w:tcW w:w="1134" w:type="dxa"/>
            <w:vMerge w:val="restart"/>
            <w:tcBorders>
              <w:top w:val="single" w:sz="4" w:space="0" w:color="000000"/>
              <w:left w:val="single" w:sz="4" w:space="0" w:color="000000"/>
              <w:right w:val="single" w:sz="4" w:space="0" w:color="000000"/>
            </w:tcBorders>
          </w:tcPr>
          <w:p>
            <w:pPr>
              <w:pStyle w:val="TableParagraph"/>
              <w:spacing w:line="240" w:lineRule="auto" w:before="72"/>
              <w:ind w:left="118" w:right="0"/>
              <w:jc w:val="left"/>
              <w:rPr>
                <w:rFonts w:ascii="Times New Roman" w:hAnsi="Times New Roman" w:cs="Times New Roman" w:eastAsia="Times New Roman" w:hint="default"/>
                <w:sz w:val="18"/>
                <w:szCs w:val="18"/>
              </w:rPr>
            </w:pPr>
            <w:r>
              <w:rPr>
                <w:rFonts w:ascii="Times New Roman"/>
                <w:sz w:val="18"/>
              </w:rPr>
              <w:t>0.9095mg/L</w:t>
            </w:r>
          </w:p>
        </w:tc>
        <w:tc>
          <w:tcPr>
            <w:tcW w:w="1134" w:type="dxa"/>
            <w:vMerge w:val="restart"/>
            <w:tcBorders>
              <w:top w:val="single" w:sz="4" w:space="0" w:color="000000"/>
              <w:left w:val="single" w:sz="4" w:space="0" w:color="000000"/>
              <w:right w:val="single" w:sz="4" w:space="0" w:color="000000"/>
            </w:tcBorders>
          </w:tcPr>
          <w:p>
            <w:pPr>
              <w:pStyle w:val="TableParagraph"/>
              <w:spacing w:line="240" w:lineRule="auto" w:before="72"/>
              <w:ind w:left="275" w:right="0"/>
              <w:jc w:val="left"/>
              <w:rPr>
                <w:rFonts w:ascii="Times New Roman" w:hAnsi="Times New Roman" w:cs="Times New Roman" w:eastAsia="Times New Roman" w:hint="default"/>
                <w:sz w:val="18"/>
                <w:szCs w:val="18"/>
              </w:rPr>
            </w:pPr>
            <w:r>
              <w:rPr>
                <w:rFonts w:ascii="Times New Roman"/>
                <w:sz w:val="18"/>
              </w:rPr>
              <w:t>30mg/L</w:t>
            </w:r>
          </w:p>
        </w:tc>
        <w:tc>
          <w:tcPr>
            <w:tcW w:w="992" w:type="dxa"/>
            <w:vMerge w:val="restart"/>
            <w:tcBorders>
              <w:top w:val="single" w:sz="4" w:space="0" w:color="000000"/>
              <w:left w:val="single" w:sz="4" w:space="0" w:color="000000"/>
              <w:right w:val="single" w:sz="4" w:space="0" w:color="000000"/>
            </w:tcBorders>
          </w:tcPr>
          <w:p>
            <w:pPr>
              <w:pStyle w:val="TableParagraph"/>
              <w:spacing w:line="240" w:lineRule="auto" w:before="72"/>
              <w:ind w:left="199" w:right="0"/>
              <w:jc w:val="left"/>
              <w:rPr>
                <w:rFonts w:ascii="Times New Roman" w:hAnsi="Times New Roman" w:cs="Times New Roman" w:eastAsia="Times New Roman" w:hint="default"/>
                <w:sz w:val="18"/>
                <w:szCs w:val="18"/>
              </w:rPr>
            </w:pPr>
            <w:r>
              <w:rPr>
                <w:rFonts w:ascii="Times New Roman"/>
                <w:sz w:val="18"/>
              </w:rPr>
              <w:t>49.08kg</w:t>
            </w:r>
          </w:p>
        </w:tc>
        <w:tc>
          <w:tcPr>
            <w:tcW w:w="992" w:type="dxa"/>
            <w:vMerge w:val="restart"/>
            <w:tcBorders>
              <w:top w:val="single" w:sz="4" w:space="0" w:color="000000"/>
              <w:left w:val="single" w:sz="4" w:space="0" w:color="000000"/>
              <w:right w:val="single" w:sz="4" w:space="0" w:color="000000"/>
            </w:tcBorders>
          </w:tcPr>
          <w:p>
            <w:pPr>
              <w:pStyle w:val="TableParagraph"/>
              <w:spacing w:line="240" w:lineRule="auto" w:before="72"/>
              <w:ind w:left="265" w:right="0"/>
              <w:jc w:val="left"/>
              <w:rPr>
                <w:rFonts w:ascii="Times New Roman" w:hAnsi="Times New Roman" w:cs="Times New Roman" w:eastAsia="Times New Roman" w:hint="default"/>
                <w:sz w:val="18"/>
                <w:szCs w:val="18"/>
              </w:rPr>
            </w:pPr>
            <w:r>
              <w:rPr>
                <w:rFonts w:ascii="Times New Roman"/>
                <w:sz w:val="18"/>
              </w:rPr>
              <w:t>732kg</w:t>
            </w:r>
          </w:p>
        </w:tc>
        <w:tc>
          <w:tcPr>
            <w:tcW w:w="850" w:type="dxa"/>
            <w:vMerge w:val="restart"/>
            <w:tcBorders>
              <w:top w:val="single" w:sz="4" w:space="0" w:color="000000"/>
              <w:left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299" w:hRule="exact"/>
        </w:trPr>
        <w:tc>
          <w:tcPr>
            <w:tcW w:w="992" w:type="dxa"/>
            <w:tcBorders>
              <w:top w:val="nil" w:sz="6" w:space="0" w:color="auto"/>
              <w:left w:val="single" w:sz="4" w:space="0" w:color="000000"/>
              <w:bottom w:val="nil" w:sz="6" w:space="0" w:color="auto"/>
              <w:right w:val="single" w:sz="4" w:space="0" w:color="000000"/>
            </w:tcBorders>
          </w:tcPr>
          <w:p>
            <w:pPr>
              <w:pStyle w:val="TableParagraph"/>
              <w:spacing w:line="183" w:lineRule="exact"/>
              <w:ind w:left="22" w:right="0"/>
              <w:jc w:val="left"/>
              <w:rPr>
                <w:rFonts w:ascii="宋体" w:hAnsi="宋体" w:cs="宋体" w:eastAsia="宋体" w:hint="default"/>
                <w:sz w:val="18"/>
                <w:szCs w:val="18"/>
              </w:rPr>
            </w:pPr>
            <w:r>
              <w:rPr>
                <w:rFonts w:ascii="宋体" w:hAnsi="宋体" w:cs="宋体" w:eastAsia="宋体" w:hint="default"/>
                <w:sz w:val="18"/>
                <w:szCs w:val="18"/>
              </w:rPr>
              <w:t>源有限公司</w:t>
            </w:r>
          </w:p>
        </w:tc>
        <w:tc>
          <w:tcPr>
            <w:tcW w:w="992" w:type="dxa"/>
            <w:vMerge/>
            <w:tcBorders>
              <w:left w:val="single" w:sz="4" w:space="0" w:color="000000"/>
              <w:bottom w:val="single" w:sz="4" w:space="0" w:color="000000"/>
              <w:right w:val="single" w:sz="4" w:space="0" w:color="000000"/>
            </w:tcBorders>
          </w:tcPr>
          <w:p>
            <w:pPr/>
          </w:p>
        </w:tc>
        <w:tc>
          <w:tcPr>
            <w:tcW w:w="992" w:type="dxa"/>
            <w:vMerge/>
            <w:tcBorders>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1985" w:type="dxa"/>
            <w:tcBorders>
              <w:top w:val="nil" w:sz="6" w:space="0" w:color="auto"/>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992" w:type="dxa"/>
            <w:vMerge/>
            <w:tcBorders>
              <w:left w:val="single" w:sz="4" w:space="0" w:color="000000"/>
              <w:bottom w:val="single" w:sz="4" w:space="0" w:color="000000"/>
              <w:right w:val="single" w:sz="4" w:space="0" w:color="000000"/>
            </w:tcBorders>
          </w:tcPr>
          <w:p>
            <w:pPr/>
          </w:p>
        </w:tc>
        <w:tc>
          <w:tcPr>
            <w:tcW w:w="992" w:type="dxa"/>
            <w:vMerge/>
            <w:tcBorders>
              <w:left w:val="single" w:sz="4" w:space="0" w:color="000000"/>
              <w:bottom w:val="single" w:sz="4" w:space="0" w:color="000000"/>
              <w:right w:val="single" w:sz="4" w:space="0" w:color="000000"/>
            </w:tcBorders>
          </w:tcPr>
          <w:p>
            <w:pPr/>
          </w:p>
        </w:tc>
        <w:tc>
          <w:tcPr>
            <w:tcW w:w="850" w:type="dxa"/>
            <w:vMerge/>
            <w:tcBorders>
              <w:left w:val="single" w:sz="4" w:space="0" w:color="000000"/>
              <w:bottom w:val="single" w:sz="4" w:space="0" w:color="000000"/>
              <w:right w:val="single" w:sz="4" w:space="0" w:color="000000"/>
            </w:tcBorders>
          </w:tcPr>
          <w:p>
            <w:pPr/>
          </w:p>
        </w:tc>
      </w:tr>
      <w:tr>
        <w:trPr>
          <w:trHeight w:val="362" w:hRule="exact"/>
        </w:trPr>
        <w:tc>
          <w:tcPr>
            <w:tcW w:w="992" w:type="dxa"/>
            <w:tcBorders>
              <w:top w:val="nil" w:sz="6" w:space="0" w:color="auto"/>
              <w:left w:val="single" w:sz="4" w:space="0" w:color="000000"/>
              <w:bottom w:val="nil" w:sz="6" w:space="0" w:color="auto"/>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硫酸雾</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有组织排放</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center"/>
              <w:rPr>
                <w:rFonts w:ascii="Times New Roman" w:hAnsi="Times New Roman" w:cs="Times New Roman" w:eastAsia="Times New Roman" w:hint="default"/>
                <w:sz w:val="18"/>
                <w:szCs w:val="18"/>
              </w:rPr>
            </w:pPr>
            <w:r>
              <w:rPr>
                <w:rFonts w:ascii="Times New Roman"/>
                <w:sz w:val="18"/>
              </w:rPr>
              <w:t>4</w:t>
            </w:r>
          </w:p>
        </w:tc>
        <w:tc>
          <w:tcPr>
            <w:tcW w:w="1985" w:type="dxa"/>
            <w:vMerge w:val="restart"/>
            <w:tcBorders>
              <w:top w:val="single" w:sz="4" w:space="0" w:color="000000"/>
              <w:left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位于厂区内</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center"/>
              <w:rPr>
                <w:rFonts w:ascii="Times New Roman" w:hAnsi="Times New Roman" w:cs="Times New Roman" w:eastAsia="Times New Roman" w:hint="default"/>
                <w:sz w:val="18"/>
                <w:szCs w:val="18"/>
              </w:rPr>
            </w:pPr>
            <w:r>
              <w:rPr>
                <w:rFonts w:ascii="Times New Roman"/>
                <w:sz w:val="18"/>
              </w:rPr>
              <w:t>1.1625mg/m?</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center"/>
              <w:rPr>
                <w:rFonts w:ascii="Times New Roman" w:hAnsi="Times New Roman" w:cs="Times New Roman" w:eastAsia="Times New Roman" w:hint="default"/>
                <w:sz w:val="18"/>
                <w:szCs w:val="18"/>
              </w:rPr>
            </w:pPr>
            <w:r>
              <w:rPr>
                <w:rFonts w:ascii="Times New Roman"/>
                <w:sz w:val="18"/>
              </w:rPr>
              <w:t>5mg/m?</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Times New Roman" w:hAnsi="Times New Roman" w:cs="Times New Roman" w:eastAsia="Times New Roman" w:hint="default"/>
                <w:sz w:val="18"/>
                <w:szCs w:val="18"/>
              </w:rPr>
            </w:pPr>
            <w:r>
              <w:rPr>
                <w:rFonts w:ascii="Times New Roman"/>
                <w:sz w:val="18"/>
              </w:rPr>
              <w:t>927.36kg</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无核定总量</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362" w:hRule="exact"/>
        </w:trPr>
        <w:tc>
          <w:tcPr>
            <w:tcW w:w="992" w:type="dxa"/>
            <w:tcBorders>
              <w:top w:val="nil" w:sz="6" w:space="0" w:color="auto"/>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铅及化合物</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有组织排放</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center"/>
              <w:rPr>
                <w:rFonts w:ascii="Times New Roman" w:hAnsi="Times New Roman" w:cs="Times New Roman" w:eastAsia="Times New Roman" w:hint="default"/>
                <w:sz w:val="18"/>
                <w:szCs w:val="18"/>
              </w:rPr>
            </w:pPr>
            <w:r>
              <w:rPr>
                <w:rFonts w:ascii="Times New Roman"/>
                <w:sz w:val="18"/>
              </w:rPr>
              <w:t>9</w:t>
            </w:r>
          </w:p>
        </w:tc>
        <w:tc>
          <w:tcPr>
            <w:tcW w:w="1985" w:type="dxa"/>
            <w:vMerge/>
            <w:tcBorders>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Times New Roman" w:hAnsi="Times New Roman" w:cs="Times New Roman" w:eastAsia="Times New Roman" w:hint="default"/>
                <w:sz w:val="18"/>
                <w:szCs w:val="18"/>
              </w:rPr>
            </w:pPr>
            <w:r>
              <w:rPr>
                <w:rFonts w:ascii="Times New Roman"/>
                <w:sz w:val="18"/>
              </w:rPr>
              <w:t>0.026mg/m?</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Times New Roman" w:hAnsi="Times New Roman" w:cs="Times New Roman" w:eastAsia="Times New Roman" w:hint="default"/>
                <w:sz w:val="18"/>
                <w:szCs w:val="18"/>
              </w:rPr>
            </w:pPr>
            <w:r>
              <w:rPr>
                <w:rFonts w:ascii="Times New Roman"/>
                <w:sz w:val="18"/>
              </w:rPr>
              <w:t>0.5mg/m?</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1" w:right="0"/>
              <w:jc w:val="center"/>
              <w:rPr>
                <w:rFonts w:ascii="Times New Roman" w:hAnsi="Times New Roman" w:cs="Times New Roman" w:eastAsia="Times New Roman" w:hint="default"/>
                <w:sz w:val="18"/>
                <w:szCs w:val="18"/>
              </w:rPr>
            </w:pPr>
            <w:r>
              <w:rPr>
                <w:rFonts w:ascii="Times New Roman"/>
                <w:sz w:val="18"/>
              </w:rPr>
              <w:t>37.49kg</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center"/>
              <w:rPr>
                <w:rFonts w:ascii="Times New Roman" w:hAnsi="Times New Roman" w:cs="Times New Roman" w:eastAsia="Times New Roman" w:hint="default"/>
                <w:sz w:val="18"/>
                <w:szCs w:val="18"/>
              </w:rPr>
            </w:pPr>
            <w:r>
              <w:rPr>
                <w:rFonts w:ascii="Times New Roman"/>
                <w:sz w:val="18"/>
              </w:rPr>
              <w:t>56.62kg</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无</w:t>
            </w:r>
          </w:p>
        </w:tc>
      </w:tr>
    </w:tbl>
    <w:p>
      <w:pPr>
        <w:spacing w:line="338" w:lineRule="auto" w:before="51"/>
        <w:ind w:left="1033" w:right="5" w:hanging="36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）防治污染设施的建设和运行情况 </w:t>
      </w:r>
      <w:r>
        <w:rPr>
          <w:rFonts w:ascii="宋体" w:hAnsi="宋体" w:cs="宋体" w:eastAsia="宋体" w:hint="default"/>
          <w:spacing w:val="-2"/>
          <w:sz w:val="18"/>
          <w:szCs w:val="18"/>
        </w:rPr>
        <w:t>武汉长光电源有限公司（简称“长光电源”）根据环评等要求，配套建设了各项环保治理设施，对生产过程中产生的废</w:t>
      </w:r>
    </w:p>
    <w:p>
      <w:pPr>
        <w:spacing w:before="2"/>
        <w:ind w:left="673" w:right="5" w:firstLine="0"/>
        <w:jc w:val="left"/>
        <w:rPr>
          <w:rFonts w:ascii="宋体" w:hAnsi="宋体" w:cs="宋体" w:eastAsia="宋体" w:hint="default"/>
          <w:sz w:val="18"/>
          <w:szCs w:val="18"/>
        </w:rPr>
      </w:pPr>
      <w:r>
        <w:rPr>
          <w:rFonts w:ascii="宋体" w:hAnsi="宋体" w:cs="宋体" w:eastAsia="宋体" w:hint="default"/>
          <w:sz w:val="18"/>
          <w:szCs w:val="18"/>
        </w:rPr>
        <w:t>气、废水、固废等污染物进行有效处理，并按规定进行了环保设施竣工验收；同时，长光电源加大了环保投入，对环保治污</w:t>
      </w:r>
    </w:p>
    <w:p>
      <w:pPr>
        <w:spacing w:after="0"/>
        <w:jc w:val="left"/>
        <w:rPr>
          <w:rFonts w:ascii="宋体" w:hAnsi="宋体" w:cs="宋体" w:eastAsia="宋体" w:hint="default"/>
          <w:sz w:val="18"/>
          <w:szCs w:val="18"/>
        </w:rPr>
        <w:sectPr>
          <w:pgSz w:w="11910" w:h="16840"/>
          <w:pgMar w:header="787" w:footer="982" w:top="1100" w:bottom="1180" w:left="460" w:right="0"/>
        </w:sectPr>
      </w:pPr>
    </w:p>
    <w:p>
      <w:pPr>
        <w:spacing w:line="240" w:lineRule="auto" w:before="11"/>
        <w:rPr>
          <w:rFonts w:ascii="宋体" w:hAnsi="宋体" w:cs="宋体" w:eastAsia="宋体" w:hint="default"/>
          <w:sz w:val="22"/>
          <w:szCs w:val="22"/>
        </w:rPr>
      </w:pPr>
    </w:p>
    <w:p>
      <w:pPr>
        <w:spacing w:line="357" w:lineRule="auto" w:before="44"/>
        <w:ind w:left="514" w:right="1114" w:hanging="360"/>
        <w:jc w:val="left"/>
        <w:rPr>
          <w:rFonts w:ascii="宋体" w:hAnsi="宋体" w:cs="宋体" w:eastAsia="宋体" w:hint="default"/>
          <w:sz w:val="18"/>
          <w:szCs w:val="18"/>
        </w:rPr>
      </w:pPr>
      <w:r>
        <w:rPr>
          <w:rFonts w:ascii="宋体" w:hAnsi="宋体" w:cs="宋体" w:eastAsia="宋体" w:hint="default"/>
          <w:sz w:val="18"/>
          <w:szCs w:val="18"/>
        </w:rPr>
        <w:t>设施和工艺进行了升级改造，努力提升环保水平。 长光电源不断加强环保管理、落实环保责任；有专人负责环保治污设施的运行、巡查、维护保养等工作。</w:t>
      </w:r>
      <w:r>
        <w:rPr>
          <w:rFonts w:ascii="Times New Roman" w:hAnsi="Times New Roman" w:cs="Times New Roman" w:eastAsia="Times New Roman" w:hint="default"/>
          <w:sz w:val="18"/>
          <w:szCs w:val="18"/>
        </w:rPr>
        <w:t>2018 </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年，长</w:t>
      </w:r>
    </w:p>
    <w:p>
      <w:pPr>
        <w:spacing w:line="202" w:lineRule="exact"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光电源各类环保设施稳定运行，污染物实现达标排放。</w:t>
      </w:r>
    </w:p>
    <w:p>
      <w:pPr>
        <w:spacing w:line="338" w:lineRule="auto" w:before="117"/>
        <w:ind w:left="514" w:right="0" w:hanging="36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）建设项目环境影响评价及其他环境保护行政许可情况 </w:t>
      </w:r>
      <w:r>
        <w:rPr>
          <w:rFonts w:ascii="宋体" w:hAnsi="宋体" w:cs="宋体" w:eastAsia="宋体" w:hint="default"/>
          <w:spacing w:val="-2"/>
          <w:sz w:val="18"/>
          <w:szCs w:val="18"/>
        </w:rPr>
        <w:t>一直以来，长光电源都严格按照环保有关法律法规要求做好建设项目环境影响评价；项目竣工后，严格按照要求进行环</w:t>
      </w:r>
    </w:p>
    <w:p>
      <w:pPr>
        <w:spacing w:before="4"/>
        <w:ind w:left="154" w:right="0" w:firstLine="0"/>
        <w:jc w:val="left"/>
        <w:rPr>
          <w:rFonts w:ascii="宋体" w:hAnsi="宋体" w:cs="宋体" w:eastAsia="宋体" w:hint="default"/>
          <w:sz w:val="18"/>
          <w:szCs w:val="18"/>
        </w:rPr>
      </w:pPr>
      <w:r>
        <w:rPr>
          <w:rFonts w:ascii="宋体" w:hAnsi="宋体" w:cs="宋体" w:eastAsia="宋体" w:hint="default"/>
          <w:sz w:val="18"/>
          <w:szCs w:val="18"/>
        </w:rPr>
        <w:t>保设施的竣工验收工作。</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年，长光电源的建设项目环境影响评价和有关环境保护行政许可申请等均按规定严格执行。</w:t>
      </w:r>
    </w:p>
    <w:p>
      <w:pPr>
        <w:spacing w:before="102"/>
        <w:ind w:left="154"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）突发环境事件应急预案</w:t>
      </w:r>
    </w:p>
    <w:p>
      <w:pPr>
        <w:spacing w:line="302" w:lineRule="auto" w:before="102"/>
        <w:ind w:left="154" w:right="1119" w:firstLine="360"/>
        <w:jc w:val="left"/>
        <w:rPr>
          <w:rFonts w:ascii="宋体" w:hAnsi="宋体" w:cs="宋体" w:eastAsia="宋体" w:hint="default"/>
          <w:sz w:val="18"/>
          <w:szCs w:val="18"/>
        </w:rPr>
      </w:pPr>
      <w:r>
        <w:rPr>
          <w:rFonts w:ascii="宋体" w:hAnsi="宋体" w:cs="宋体" w:eastAsia="宋体" w:hint="default"/>
          <w:spacing w:val="-5"/>
          <w:sz w:val="18"/>
          <w:szCs w:val="18"/>
        </w:rPr>
        <w:t>长光电源编制了《突发环境事件应急预案》，</w:t>
      </w:r>
      <w:r>
        <w:rPr>
          <w:rFonts w:ascii="Times New Roman" w:hAnsi="Times New Roman" w:cs="Times New Roman" w:eastAsia="Times New Roman" w:hint="default"/>
          <w:spacing w:val="-5"/>
          <w:sz w:val="18"/>
          <w:szCs w:val="18"/>
        </w:rPr>
        <w:t>2018</w:t>
      </w:r>
      <w:r>
        <w:rPr>
          <w:rFonts w:ascii="Times New Roman" w:hAnsi="Times New Roman" w:cs="Times New Roman" w:eastAsia="Times New Roman" w:hint="default"/>
          <w:spacing w:val="16"/>
          <w:sz w:val="18"/>
          <w:szCs w:val="18"/>
        </w:rPr>
        <w:t> </w:t>
      </w:r>
      <w:r>
        <w:rPr>
          <w:rFonts w:ascii="宋体" w:hAnsi="宋体" w:cs="宋体" w:eastAsia="宋体" w:hint="default"/>
          <w:spacing w:val="-1"/>
          <w:sz w:val="18"/>
          <w:szCs w:val="18"/>
        </w:rPr>
        <w:t>年组织了相关环保事件应急演练，并对演练情况进行了总结评价，以</w:t>
      </w:r>
      <w:r>
        <w:rPr>
          <w:rFonts w:ascii="宋体" w:hAnsi="宋体" w:cs="宋体" w:eastAsia="宋体" w:hint="default"/>
          <w:sz w:val="18"/>
          <w:szCs w:val="18"/>
        </w:rPr>
        <w:t> 提高处理突发环境事故的能力。</w:t>
      </w:r>
    </w:p>
    <w:p>
      <w:pPr>
        <w:spacing w:before="69"/>
        <w:ind w:left="154"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）环境自行监测方案</w:t>
      </w:r>
    </w:p>
    <w:p>
      <w:pPr>
        <w:spacing w:before="102"/>
        <w:ind w:left="514" w:right="0" w:firstLine="0"/>
        <w:jc w:val="left"/>
        <w:rPr>
          <w:rFonts w:ascii="宋体" w:hAnsi="宋体" w:cs="宋体" w:eastAsia="宋体" w:hint="default"/>
          <w:sz w:val="18"/>
          <w:szCs w:val="18"/>
        </w:rPr>
      </w:pPr>
      <w:r>
        <w:rPr>
          <w:rFonts w:ascii="宋体" w:hAnsi="宋体" w:cs="宋体" w:eastAsia="宋体" w:hint="default"/>
          <w:sz w:val="18"/>
          <w:szCs w:val="18"/>
        </w:rPr>
        <w:t>每年委托第三方对长光电源进行环境监测，安装在线监测系统，对污水中</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COD</w:t>
      </w:r>
      <w:r>
        <w:rPr>
          <w:rFonts w:ascii="宋体" w:hAnsi="宋体" w:cs="宋体" w:eastAsia="宋体" w:hint="default"/>
          <w:sz w:val="18"/>
          <w:szCs w:val="18"/>
        </w:rPr>
        <w:t>、氨氮进行监测。</w:t>
      </w:r>
    </w:p>
    <w:p>
      <w:pPr>
        <w:spacing w:line="338" w:lineRule="auto" w:before="103"/>
        <w:ind w:left="514" w:right="4090" w:hanging="36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z w:val="18"/>
          <w:szCs w:val="18"/>
        </w:rPr>
        <w:t>）其他应当公开的环境信息 长光电源环境信息在其官网及湖北省环保厅企业自行监测信息发布平台上披露。</w:t>
      </w:r>
    </w:p>
    <w:p>
      <w:pPr>
        <w:spacing w:line="338" w:lineRule="auto" w:before="42"/>
        <w:ind w:left="514" w:right="0" w:hanging="36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6</w:t>
      </w:r>
      <w:r>
        <w:rPr>
          <w:rFonts w:ascii="宋体" w:hAnsi="宋体" w:cs="宋体" w:eastAsia="宋体" w:hint="default"/>
          <w:sz w:val="18"/>
          <w:szCs w:val="18"/>
        </w:rPr>
        <w:t>）其他环保相关信息 </w:t>
      </w:r>
      <w:r>
        <w:rPr>
          <w:rFonts w:ascii="宋体" w:hAnsi="宋体" w:cs="宋体" w:eastAsia="宋体" w:hint="default"/>
          <w:spacing w:val="-2"/>
          <w:sz w:val="18"/>
          <w:szCs w:val="18"/>
        </w:rPr>
        <w:t>公司已通过环境管理体系认证，在日常生产经营过程中按照体系管理要求对公司各事业部环境保护情况进行监督，对公</w:t>
      </w:r>
    </w:p>
    <w:p>
      <w:pPr>
        <w:spacing w:line="319" w:lineRule="auto" w:before="2"/>
        <w:ind w:left="154" w:right="0" w:firstLine="0"/>
        <w:jc w:val="left"/>
        <w:rPr>
          <w:rFonts w:ascii="宋体" w:hAnsi="宋体" w:cs="宋体" w:eastAsia="宋体" w:hint="default"/>
          <w:sz w:val="18"/>
          <w:szCs w:val="18"/>
        </w:rPr>
      </w:pPr>
      <w:r>
        <w:rPr>
          <w:rFonts w:ascii="宋体" w:hAnsi="宋体" w:cs="宋体" w:eastAsia="宋体" w:hint="default"/>
          <w:spacing w:val="-2"/>
          <w:sz w:val="18"/>
          <w:szCs w:val="18"/>
        </w:rPr>
        <w:t>司在废水处理，废气检测，噪音控制，危险废弃物处理等方面的情况进行督察，发现问题及时解决处理，确保环境管理体系</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的正常运作。中国长城集团仅下属公司长光电源涉及铅酸蓄电池生产属于环保部门公布的重点排污单位。</w:t>
      </w:r>
    </w:p>
    <w:p>
      <w:pPr>
        <w:spacing w:line="240" w:lineRule="auto" w:before="10"/>
        <w:rPr>
          <w:rFonts w:ascii="宋体" w:hAnsi="宋体" w:cs="宋体" w:eastAsia="宋体" w:hint="default"/>
          <w:sz w:val="15"/>
          <w:szCs w:val="15"/>
        </w:rPr>
      </w:pPr>
    </w:p>
    <w:p>
      <w:pPr>
        <w:pStyle w:val="Heading4"/>
        <w:spacing w:line="240" w:lineRule="auto"/>
        <w:ind w:right="0"/>
        <w:jc w:val="left"/>
        <w:rPr>
          <w:b w:val="0"/>
          <w:bCs w:val="0"/>
        </w:rPr>
      </w:pPr>
      <w:r>
        <w:rPr/>
        <w:t>十九、其他重大事项的说明</w:t>
      </w:r>
      <w:r>
        <w:rPr>
          <w:b w:val="0"/>
          <w:bCs w:val="0"/>
        </w:rPr>
      </w:r>
    </w:p>
    <w:p>
      <w:pPr>
        <w:spacing w:line="240" w:lineRule="auto" w:before="1"/>
        <w:rPr>
          <w:rFonts w:ascii="宋体" w:hAnsi="宋体" w:cs="宋体" w:eastAsia="宋体" w:hint="default"/>
          <w:b/>
          <w:bCs/>
          <w:sz w:val="22"/>
          <w:szCs w:val="22"/>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338" w:lineRule="auto" w:before="116"/>
        <w:ind w:left="51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、增加党建工作内容修订《公司章程》 </w:t>
      </w:r>
      <w:r>
        <w:rPr>
          <w:rFonts w:ascii="宋体" w:hAnsi="宋体" w:cs="宋体" w:eastAsia="宋体" w:hint="default"/>
          <w:spacing w:val="-2"/>
          <w:sz w:val="18"/>
          <w:szCs w:val="18"/>
        </w:rPr>
        <w:t>为贯彻落实中共中央关于在深化国有企业改革中坚持党的领导，加强党的建设，将党建工作总体要求纳入国有企业章程</w:t>
      </w:r>
    </w:p>
    <w:p>
      <w:pPr>
        <w:spacing w:line="300" w:lineRule="auto" w:before="2"/>
        <w:ind w:left="153" w:right="1128" w:firstLine="0"/>
        <w:jc w:val="both"/>
        <w:rPr>
          <w:rFonts w:ascii="宋体" w:hAnsi="宋体" w:cs="宋体" w:eastAsia="宋体" w:hint="default"/>
          <w:sz w:val="18"/>
          <w:szCs w:val="18"/>
        </w:rPr>
      </w:pPr>
      <w:r>
        <w:rPr>
          <w:rFonts w:ascii="宋体" w:hAnsi="宋体" w:cs="宋体" w:eastAsia="宋体" w:hint="default"/>
          <w:sz w:val="18"/>
          <w:szCs w:val="18"/>
        </w:rPr>
        <w:t>的精神，根</w:t>
      </w:r>
      <w:r>
        <w:rPr>
          <w:rFonts w:ascii="宋体" w:hAnsi="宋体" w:cs="宋体" w:eastAsia="宋体" w:hint="default"/>
          <w:spacing w:val="1"/>
          <w:sz w:val="18"/>
          <w:szCs w:val="18"/>
        </w:rPr>
        <w:t>据</w:t>
      </w:r>
      <w:r>
        <w:rPr>
          <w:rFonts w:ascii="宋体" w:hAnsi="宋体" w:cs="宋体" w:eastAsia="宋体" w:hint="default"/>
          <w:sz w:val="18"/>
          <w:szCs w:val="18"/>
        </w:rPr>
        <w:t>国务院国资</w:t>
      </w:r>
      <w:r>
        <w:rPr>
          <w:rFonts w:ascii="宋体" w:hAnsi="宋体" w:cs="宋体" w:eastAsia="宋体" w:hint="default"/>
          <w:spacing w:val="1"/>
          <w:sz w:val="18"/>
          <w:szCs w:val="18"/>
        </w:rPr>
        <w:t>委</w:t>
      </w:r>
      <w:r>
        <w:rPr>
          <w:rFonts w:ascii="宋体" w:hAnsi="宋体" w:cs="宋体" w:eastAsia="宋体" w:hint="default"/>
          <w:sz w:val="18"/>
          <w:szCs w:val="18"/>
        </w:rPr>
        <w:t>党委《关于</w:t>
      </w:r>
      <w:r>
        <w:rPr>
          <w:rFonts w:ascii="宋体" w:hAnsi="宋体" w:cs="宋体" w:eastAsia="宋体" w:hint="default"/>
          <w:spacing w:val="1"/>
          <w:sz w:val="18"/>
          <w:szCs w:val="18"/>
        </w:rPr>
        <w:t>将</w:t>
      </w:r>
      <w:r>
        <w:rPr>
          <w:rFonts w:ascii="宋体" w:hAnsi="宋体" w:cs="宋体" w:eastAsia="宋体" w:hint="default"/>
          <w:sz w:val="18"/>
          <w:szCs w:val="18"/>
        </w:rPr>
        <w:t>中央企业党</w:t>
      </w:r>
      <w:r>
        <w:rPr>
          <w:rFonts w:ascii="宋体" w:hAnsi="宋体" w:cs="宋体" w:eastAsia="宋体" w:hint="default"/>
          <w:spacing w:val="1"/>
          <w:sz w:val="18"/>
          <w:szCs w:val="18"/>
        </w:rPr>
        <w:t>建</w:t>
      </w:r>
      <w:r>
        <w:rPr>
          <w:rFonts w:ascii="宋体" w:hAnsi="宋体" w:cs="宋体" w:eastAsia="宋体" w:hint="default"/>
          <w:sz w:val="18"/>
          <w:szCs w:val="18"/>
        </w:rPr>
        <w:t>工作要求纳</w:t>
      </w:r>
      <w:r>
        <w:rPr>
          <w:rFonts w:ascii="宋体" w:hAnsi="宋体" w:cs="宋体" w:eastAsia="宋体" w:hint="default"/>
          <w:spacing w:val="1"/>
          <w:sz w:val="18"/>
          <w:szCs w:val="18"/>
        </w:rPr>
        <w:t>入</w:t>
      </w:r>
      <w:r>
        <w:rPr>
          <w:rFonts w:ascii="宋体" w:hAnsi="宋体" w:cs="宋体" w:eastAsia="宋体" w:hint="default"/>
          <w:sz w:val="18"/>
          <w:szCs w:val="18"/>
        </w:rPr>
        <w:t>公司章程有</w:t>
      </w:r>
      <w:r>
        <w:rPr>
          <w:rFonts w:ascii="宋体" w:hAnsi="宋体" w:cs="宋体" w:eastAsia="宋体" w:hint="default"/>
          <w:spacing w:val="1"/>
          <w:sz w:val="18"/>
          <w:szCs w:val="18"/>
        </w:rPr>
        <w:t>关</w:t>
      </w:r>
      <w:r>
        <w:rPr>
          <w:rFonts w:ascii="宋体" w:hAnsi="宋体" w:cs="宋体" w:eastAsia="宋体" w:hint="default"/>
          <w:sz w:val="18"/>
          <w:szCs w:val="18"/>
        </w:rPr>
        <w:t>事项的通知</w:t>
      </w:r>
      <w:r>
        <w:rPr>
          <w:rFonts w:ascii="宋体" w:hAnsi="宋体" w:cs="宋体" w:eastAsia="宋体" w:hint="default"/>
          <w:spacing w:val="-91"/>
          <w:sz w:val="18"/>
          <w:szCs w:val="18"/>
        </w:rPr>
        <w:t>》</w:t>
      </w:r>
      <w:r>
        <w:rPr>
          <w:rFonts w:ascii="宋体" w:hAnsi="宋体" w:cs="宋体" w:eastAsia="宋体" w:hint="default"/>
          <w:spacing w:val="1"/>
          <w:sz w:val="18"/>
          <w:szCs w:val="18"/>
        </w:rPr>
        <w:t>（</w:t>
      </w:r>
      <w:r>
        <w:rPr>
          <w:rFonts w:ascii="宋体" w:hAnsi="宋体" w:cs="宋体" w:eastAsia="宋体" w:hint="default"/>
          <w:sz w:val="18"/>
          <w:szCs w:val="18"/>
        </w:rPr>
        <w:t>国资党办组</w:t>
      </w:r>
      <w:r>
        <w:rPr>
          <w:rFonts w:ascii="宋体" w:hAnsi="宋体" w:cs="宋体" w:eastAsia="宋体" w:hint="default"/>
          <w:spacing w:val="1"/>
          <w:sz w:val="18"/>
          <w:szCs w:val="18"/>
        </w:rPr>
        <w:t>织</w:t>
      </w:r>
      <w:r>
        <w:rPr>
          <w:rFonts w:ascii="宋体" w:hAnsi="宋体" w:cs="宋体" w:eastAsia="宋体" w:hint="default"/>
          <w:sz w:val="18"/>
          <w:szCs w:val="18"/>
        </w:rPr>
        <w:t>〔</w:t>
      </w:r>
      <w:r>
        <w:rPr>
          <w:rFonts w:ascii="Times New Roman" w:hAnsi="Times New Roman" w:cs="Times New Roman" w:eastAsia="Times New Roman" w:hint="default"/>
          <w:sz w:val="18"/>
          <w:szCs w:val="18"/>
        </w:rPr>
        <w:t>2016</w:t>
      </w:r>
      <w:r>
        <w:rPr>
          <w:rFonts w:ascii="宋体" w:hAnsi="宋体" w:cs="宋体" w:eastAsia="宋体" w:hint="default"/>
          <w:sz w:val="18"/>
          <w:szCs w:val="18"/>
        </w:rPr>
        <w:t>〕</w:t>
      </w:r>
      <w:r>
        <w:rPr>
          <w:rFonts w:ascii="Times New Roman" w:hAnsi="Times New Roman" w:cs="Times New Roman" w:eastAsia="Times New Roman" w:hint="default"/>
          <w:sz w:val="18"/>
          <w:szCs w:val="18"/>
        </w:rPr>
        <w:t>38 </w:t>
      </w:r>
      <w:r>
        <w:rPr>
          <w:rFonts w:ascii="宋体" w:hAnsi="宋体" w:cs="宋体" w:eastAsia="宋体" w:hint="default"/>
          <w:sz w:val="18"/>
          <w:szCs w:val="18"/>
        </w:rPr>
        <w:t>号）和《关</w:t>
      </w:r>
      <w:r>
        <w:rPr>
          <w:rFonts w:ascii="宋体" w:hAnsi="宋体" w:cs="宋体" w:eastAsia="宋体" w:hint="default"/>
          <w:spacing w:val="1"/>
          <w:sz w:val="18"/>
          <w:szCs w:val="18"/>
        </w:rPr>
        <w:t>于</w:t>
      </w:r>
      <w:r>
        <w:rPr>
          <w:rFonts w:ascii="宋体" w:hAnsi="宋体" w:cs="宋体" w:eastAsia="宋体" w:hint="default"/>
          <w:sz w:val="18"/>
          <w:szCs w:val="18"/>
        </w:rPr>
        <w:t>加快推进中</w:t>
      </w:r>
      <w:r>
        <w:rPr>
          <w:rFonts w:ascii="宋体" w:hAnsi="宋体" w:cs="宋体" w:eastAsia="宋体" w:hint="default"/>
          <w:spacing w:val="1"/>
          <w:sz w:val="18"/>
          <w:szCs w:val="18"/>
        </w:rPr>
        <w:t>央</w:t>
      </w:r>
      <w:r>
        <w:rPr>
          <w:rFonts w:ascii="宋体" w:hAnsi="宋体" w:cs="宋体" w:eastAsia="宋体" w:hint="default"/>
          <w:sz w:val="18"/>
          <w:szCs w:val="18"/>
        </w:rPr>
        <w:t>企业党建工</w:t>
      </w:r>
      <w:r>
        <w:rPr>
          <w:rFonts w:ascii="宋体" w:hAnsi="宋体" w:cs="宋体" w:eastAsia="宋体" w:hint="default"/>
          <w:spacing w:val="1"/>
          <w:sz w:val="18"/>
          <w:szCs w:val="18"/>
        </w:rPr>
        <w:t>作</w:t>
      </w:r>
      <w:r>
        <w:rPr>
          <w:rFonts w:ascii="宋体" w:hAnsi="宋体" w:cs="宋体" w:eastAsia="宋体" w:hint="default"/>
          <w:sz w:val="18"/>
          <w:szCs w:val="18"/>
        </w:rPr>
        <w:t>总体要求纳</w:t>
      </w:r>
      <w:r>
        <w:rPr>
          <w:rFonts w:ascii="宋体" w:hAnsi="宋体" w:cs="宋体" w:eastAsia="宋体" w:hint="default"/>
          <w:spacing w:val="1"/>
          <w:sz w:val="18"/>
          <w:szCs w:val="18"/>
        </w:rPr>
        <w:t>入</w:t>
      </w:r>
      <w:r>
        <w:rPr>
          <w:rFonts w:ascii="宋体" w:hAnsi="宋体" w:cs="宋体" w:eastAsia="宋体" w:hint="default"/>
          <w:sz w:val="18"/>
          <w:szCs w:val="18"/>
        </w:rPr>
        <w:t>公司章程有</w:t>
      </w:r>
      <w:r>
        <w:rPr>
          <w:rFonts w:ascii="宋体" w:hAnsi="宋体" w:cs="宋体" w:eastAsia="宋体" w:hint="default"/>
          <w:spacing w:val="1"/>
          <w:sz w:val="18"/>
          <w:szCs w:val="18"/>
        </w:rPr>
        <w:t>关</w:t>
      </w:r>
      <w:r>
        <w:rPr>
          <w:rFonts w:ascii="宋体" w:hAnsi="宋体" w:cs="宋体" w:eastAsia="宋体" w:hint="default"/>
          <w:sz w:val="18"/>
          <w:szCs w:val="18"/>
        </w:rPr>
        <w:t>事项的通知</w:t>
      </w:r>
      <w:r>
        <w:rPr>
          <w:rFonts w:ascii="宋体" w:hAnsi="宋体" w:cs="宋体" w:eastAsia="宋体" w:hint="default"/>
          <w:spacing w:val="-91"/>
          <w:sz w:val="18"/>
          <w:szCs w:val="18"/>
        </w:rPr>
        <w:t>》</w:t>
      </w:r>
      <w:r>
        <w:rPr>
          <w:rFonts w:ascii="宋体" w:hAnsi="宋体" w:cs="宋体" w:eastAsia="宋体" w:hint="default"/>
          <w:spacing w:val="1"/>
          <w:sz w:val="18"/>
          <w:szCs w:val="18"/>
        </w:rPr>
        <w:t>（</w:t>
      </w:r>
      <w:r>
        <w:rPr>
          <w:rFonts w:ascii="宋体" w:hAnsi="宋体" w:cs="宋体" w:eastAsia="宋体" w:hint="default"/>
          <w:sz w:val="18"/>
          <w:szCs w:val="18"/>
        </w:rPr>
        <w:t>国资党委党</w:t>
      </w:r>
      <w:r>
        <w:rPr>
          <w:rFonts w:ascii="宋体" w:hAnsi="宋体" w:cs="宋体" w:eastAsia="宋体" w:hint="default"/>
          <w:spacing w:val="1"/>
          <w:sz w:val="18"/>
          <w:szCs w:val="18"/>
        </w:rPr>
        <w:t>建</w:t>
      </w:r>
      <w:r>
        <w:rPr>
          <w:rFonts w:ascii="宋体" w:hAnsi="宋体" w:cs="宋体" w:eastAsia="宋体" w:hint="default"/>
          <w:sz w:val="18"/>
          <w:szCs w:val="18"/>
        </w:rPr>
        <w:t>〔</w:t>
      </w:r>
      <w:r>
        <w:rPr>
          <w:rFonts w:ascii="Times New Roman" w:hAnsi="Times New Roman" w:cs="Times New Roman" w:eastAsia="Times New Roman" w:hint="default"/>
          <w:sz w:val="18"/>
          <w:szCs w:val="18"/>
        </w:rPr>
        <w:t>2017</w:t>
      </w:r>
      <w:r>
        <w:rPr>
          <w:rFonts w:ascii="宋体" w:hAnsi="宋体" w:cs="宋体" w:eastAsia="宋体" w:hint="default"/>
          <w:sz w:val="18"/>
          <w:szCs w:val="18"/>
        </w:rPr>
        <w:t>〕</w:t>
      </w:r>
      <w:r>
        <w:rPr>
          <w:rFonts w:ascii="Times New Roman" w:hAnsi="Times New Roman" w:cs="Times New Roman" w:eastAsia="Times New Roman" w:hint="default"/>
          <w:sz w:val="18"/>
          <w:szCs w:val="18"/>
        </w:rPr>
        <w:t>1  </w:t>
      </w:r>
      <w:r>
        <w:rPr>
          <w:rFonts w:ascii="宋体" w:hAnsi="宋体" w:cs="宋体" w:eastAsia="宋体" w:hint="default"/>
          <w:spacing w:val="1"/>
          <w:sz w:val="18"/>
          <w:szCs w:val="18"/>
        </w:rPr>
        <w:t>号</w:t>
      </w:r>
      <w:r>
        <w:rPr>
          <w:rFonts w:ascii="宋体" w:hAnsi="宋体" w:cs="宋体" w:eastAsia="宋体" w:hint="default"/>
          <w:sz w:val="18"/>
          <w:szCs w:val="18"/>
        </w:rPr>
        <w:t>）的要求以</w:t>
      </w:r>
      <w:r>
        <w:rPr>
          <w:rFonts w:ascii="宋体" w:hAnsi="宋体" w:cs="宋体" w:eastAsia="宋体" w:hint="default"/>
          <w:sz w:val="18"/>
          <w:szCs w:val="18"/>
        </w:rPr>
        <w:t> </w:t>
      </w:r>
      <w:r>
        <w:rPr>
          <w:rFonts w:ascii="宋体" w:hAnsi="宋体" w:cs="宋体" w:eastAsia="宋体" w:hint="default"/>
          <w:spacing w:val="-8"/>
          <w:sz w:val="18"/>
          <w:szCs w:val="18"/>
        </w:rPr>
        <w:t>及</w:t>
      </w:r>
      <w:r>
        <w:rPr>
          <w:rFonts w:ascii="宋体" w:hAnsi="宋体" w:cs="宋体" w:eastAsia="宋体" w:hint="default"/>
          <w:sz w:val="18"/>
          <w:szCs w:val="18"/>
        </w:rPr>
        <w:t>《中国共产党章程</w:t>
      </w:r>
      <w:r>
        <w:rPr>
          <w:rFonts w:ascii="宋体" w:hAnsi="宋体" w:cs="宋体" w:eastAsia="宋体" w:hint="default"/>
          <w:spacing w:val="-98"/>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pacing w:val="1"/>
          <w:sz w:val="18"/>
          <w:szCs w:val="18"/>
        </w:rPr>
        <w:t>日</w:t>
      </w:r>
      <w:r>
        <w:rPr>
          <w:rFonts w:ascii="宋体" w:hAnsi="宋体" w:cs="宋体" w:eastAsia="宋体" w:hint="default"/>
          <w:spacing w:val="-8"/>
          <w:sz w:val="18"/>
          <w:szCs w:val="18"/>
        </w:rPr>
        <w:t>）</w:t>
      </w:r>
      <w:r>
        <w:rPr>
          <w:rFonts w:ascii="宋体" w:hAnsi="宋体" w:cs="宋体" w:eastAsia="宋体" w:hint="default"/>
          <w:sz w:val="18"/>
          <w:szCs w:val="18"/>
        </w:rPr>
        <w:t>的内容</w:t>
      </w:r>
      <w:r>
        <w:rPr>
          <w:rFonts w:ascii="宋体" w:hAnsi="宋体" w:cs="宋体" w:eastAsia="宋体" w:hint="default"/>
          <w:spacing w:val="-8"/>
          <w:sz w:val="18"/>
          <w:szCs w:val="18"/>
        </w:rPr>
        <w:t>，</w:t>
      </w:r>
      <w:r>
        <w:rPr>
          <w:rFonts w:ascii="宋体" w:hAnsi="宋体" w:cs="宋体" w:eastAsia="宋体" w:hint="default"/>
          <w:sz w:val="18"/>
          <w:szCs w:val="18"/>
        </w:rPr>
        <w:t>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日公司第六届董事会</w:t>
      </w:r>
      <w:r>
        <w:rPr>
          <w:rFonts w:ascii="宋体" w:hAnsi="宋体" w:cs="宋体" w:eastAsia="宋体" w:hint="default"/>
          <w:spacing w:val="-8"/>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宋体" w:hAnsi="宋体" w:cs="宋体" w:eastAsia="宋体" w:hint="default"/>
          <w:spacing w:val="1"/>
          <w:sz w:val="18"/>
          <w:szCs w:val="18"/>
        </w:rPr>
        <w:t>公</w:t>
      </w:r>
      <w:r>
        <w:rPr>
          <w:rFonts w:ascii="宋体" w:hAnsi="宋体" w:cs="宋体" w:eastAsia="宋体" w:hint="default"/>
          <w:sz w:val="18"/>
          <w:szCs w:val="18"/>
        </w:rPr>
        <w:t>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z w:val="18"/>
          <w:szCs w:val="18"/>
        </w:rPr>
        <w:t> </w:t>
      </w:r>
      <w:r>
        <w:rPr>
          <w:rFonts w:ascii="宋体" w:hAnsi="宋体" w:cs="宋体" w:eastAsia="宋体" w:hint="default"/>
          <w:sz w:val="18"/>
          <w:szCs w:val="18"/>
        </w:rPr>
        <w:t>年度第一次临时股东大会审议，同意增加党建工作内容修订《公司章程</w:t>
      </w:r>
      <w:r>
        <w:rPr>
          <w:rFonts w:ascii="宋体" w:hAnsi="宋体" w:cs="宋体" w:eastAsia="宋体" w:hint="default"/>
          <w:spacing w:val="-90"/>
          <w:sz w:val="18"/>
          <w:szCs w:val="18"/>
        </w:rPr>
        <w:t>》</w:t>
      </w:r>
      <w:r>
        <w:rPr>
          <w:rFonts w:ascii="宋体" w:hAnsi="宋体" w:cs="宋体" w:eastAsia="宋体" w:hint="default"/>
          <w:sz w:val="18"/>
          <w:szCs w:val="18"/>
        </w:rPr>
        <w:t>。</w:t>
      </w:r>
    </w:p>
    <w:p>
      <w:pPr>
        <w:spacing w:line="338" w:lineRule="auto" w:before="72"/>
        <w:ind w:left="514" w:right="1114"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、控股股东及实际控制人中国电子增持计划实施情况 中国电子基于对资本市场形势的认识和公司未来持续发展前景的信心，为进一步维护公司及全体股东的利益，于</w:t>
      </w:r>
      <w:r>
        <w:rPr>
          <w:rFonts w:ascii="宋体" w:hAnsi="宋体" w:cs="宋体" w:eastAsia="宋体" w:hint="default"/>
          <w:spacing w:val="6"/>
          <w:sz w:val="18"/>
          <w:szCs w:val="18"/>
        </w:rPr>
        <w:t> </w:t>
      </w:r>
      <w:r>
        <w:rPr>
          <w:rFonts w:ascii="Times New Roman" w:hAnsi="Times New Roman" w:cs="Times New Roman" w:eastAsia="Times New Roman" w:hint="default"/>
          <w:sz w:val="18"/>
          <w:szCs w:val="18"/>
        </w:rPr>
        <w:t>2017</w:t>
      </w:r>
    </w:p>
    <w:p>
      <w:pPr>
        <w:spacing w:line="230" w:lineRule="exact"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日增持了公司部分股份，并计划不排除自此次增持之日起未来十二个月内通过深圳证券交易所允许的方式，累计</w:t>
      </w:r>
    </w:p>
    <w:p>
      <w:pPr>
        <w:spacing w:before="64"/>
        <w:ind w:left="154" w:right="0" w:firstLine="0"/>
        <w:jc w:val="left"/>
        <w:rPr>
          <w:rFonts w:ascii="宋体" w:hAnsi="宋体" w:cs="宋体" w:eastAsia="宋体" w:hint="default"/>
          <w:sz w:val="18"/>
          <w:szCs w:val="18"/>
        </w:rPr>
      </w:pPr>
      <w:r>
        <w:rPr>
          <w:rFonts w:ascii="宋体" w:hAnsi="宋体" w:cs="宋体" w:eastAsia="宋体" w:hint="default"/>
          <w:sz w:val="18"/>
          <w:szCs w:val="18"/>
        </w:rPr>
        <w:t>增持不超过公司总股本的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w:t>
      </w:r>
    </w:p>
    <w:p>
      <w:pPr>
        <w:spacing w:line="302" w:lineRule="auto" w:before="101"/>
        <w:ind w:left="154" w:right="1122" w:firstLine="359"/>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日增持计划期限届满，在增持计划期间，中国电子于</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日至</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日通过深圳证 券交易所交易系统竞价交易方式累计增持公司股份</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32,591,900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股，占当时公司总股本的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1.107%</w:t>
      </w:r>
      <w:r>
        <w:rPr>
          <w:rFonts w:ascii="宋体" w:hAnsi="宋体" w:cs="宋体" w:eastAsia="宋体" w:hint="default"/>
          <w:sz w:val="18"/>
          <w:szCs w:val="18"/>
        </w:rPr>
        <w:t>。</w:t>
      </w:r>
    </w:p>
    <w:p>
      <w:pPr>
        <w:spacing w:line="338" w:lineRule="auto" w:before="52"/>
        <w:ind w:left="514" w:right="103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、与百度在线网络技术（北京）有限公司签署《在自主可控人工智能平台战略合作的框架协议》 为更好利用各自优势资源，共同推进网络安全和信息化产业平台创新、成果孵化和行业应用生态发展，本着互惠互利、</w:t>
      </w:r>
    </w:p>
    <w:p>
      <w:pPr>
        <w:spacing w:line="302" w:lineRule="auto" w:before="2"/>
        <w:ind w:left="154" w:right="1121" w:firstLine="0"/>
        <w:jc w:val="left"/>
        <w:rPr>
          <w:rFonts w:ascii="宋体" w:hAnsi="宋体" w:cs="宋体" w:eastAsia="宋体" w:hint="default"/>
          <w:sz w:val="18"/>
          <w:szCs w:val="18"/>
        </w:rPr>
      </w:pPr>
      <w:r>
        <w:rPr>
          <w:rFonts w:ascii="宋体" w:hAnsi="宋体" w:cs="宋体" w:eastAsia="宋体" w:hint="default"/>
          <w:spacing w:val="-3"/>
          <w:sz w:val="18"/>
          <w:szCs w:val="18"/>
        </w:rPr>
        <w:t>长期合作、共同发展的原则，公司与百度在线网络技术（北京）有限公司于</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日签订了《在自主可控人工智能 </w:t>
      </w:r>
      <w:r>
        <w:rPr>
          <w:rFonts w:ascii="宋体" w:hAnsi="宋体" w:cs="宋体" w:eastAsia="宋体" w:hint="default"/>
          <w:spacing w:val="-5"/>
          <w:sz w:val="18"/>
          <w:szCs w:val="18"/>
        </w:rPr>
        <w:t>平台战略合作的框架协议》，有效期三年。</w:t>
      </w:r>
    </w:p>
    <w:p>
      <w:pPr>
        <w:spacing w:line="302" w:lineRule="auto" w:before="68"/>
        <w:ind w:left="154" w:right="0" w:firstLine="360"/>
        <w:jc w:val="left"/>
        <w:rPr>
          <w:rFonts w:ascii="宋体" w:hAnsi="宋体" w:cs="宋体" w:eastAsia="宋体" w:hint="default"/>
          <w:sz w:val="18"/>
          <w:szCs w:val="18"/>
        </w:rPr>
      </w:pPr>
      <w:r>
        <w:rPr>
          <w:rFonts w:ascii="宋体" w:hAnsi="宋体" w:cs="宋体" w:eastAsia="宋体" w:hint="default"/>
          <w:sz w:val="18"/>
          <w:szCs w:val="18"/>
        </w:rPr>
        <w:t>合作内容包括：</w:t>
      </w:r>
      <w:r>
        <w:rPr>
          <w:rFonts w:ascii="Times New Roman" w:hAnsi="Times New Roman" w:cs="Times New Roman" w:eastAsia="Times New Roman" w:hint="default"/>
          <w:sz w:val="18"/>
          <w:szCs w:val="18"/>
        </w:rPr>
        <w:t>1</w:t>
      </w:r>
      <w:r>
        <w:rPr>
          <w:rFonts w:ascii="宋体" w:hAnsi="宋体" w:cs="宋体" w:eastAsia="宋体" w:hint="default"/>
          <w:sz w:val="18"/>
          <w:szCs w:val="18"/>
        </w:rPr>
        <w:t>）基于自主可控基础架构的人工智能</w:t>
      </w:r>
      <w:r>
        <w:rPr>
          <w:rFonts w:ascii="Times New Roman" w:hAnsi="Times New Roman" w:cs="Times New Roman" w:eastAsia="Times New Roman" w:hint="default"/>
          <w:sz w:val="18"/>
          <w:szCs w:val="18"/>
        </w:rPr>
        <w:t>/</w:t>
      </w:r>
      <w:r>
        <w:rPr>
          <w:rFonts w:ascii="宋体" w:hAnsi="宋体" w:cs="宋体" w:eastAsia="宋体" w:hint="default"/>
          <w:sz w:val="18"/>
          <w:szCs w:val="18"/>
        </w:rPr>
        <w:t>大数据平台移植与落地；</w:t>
      </w:r>
      <w:r>
        <w:rPr>
          <w:rFonts w:ascii="Times New Roman" w:hAnsi="Times New Roman" w:cs="Times New Roman" w:eastAsia="Times New Roman" w:hint="default"/>
          <w:sz w:val="18"/>
          <w:szCs w:val="18"/>
        </w:rPr>
        <w:t>2</w:t>
      </w:r>
      <w:r>
        <w:rPr>
          <w:rFonts w:ascii="宋体" w:hAnsi="宋体" w:cs="宋体" w:eastAsia="宋体" w:hint="default"/>
          <w:sz w:val="18"/>
          <w:szCs w:val="18"/>
        </w:rPr>
        <w:t>）新型智慧城市、智能制造及其他关</w:t>
      </w:r>
      <w:r>
        <w:rPr>
          <w:rFonts w:ascii="宋体" w:hAnsi="宋体" w:cs="宋体" w:eastAsia="宋体" w:hint="default"/>
          <w:spacing w:val="1"/>
          <w:sz w:val="18"/>
          <w:szCs w:val="18"/>
        </w:rPr>
        <w:t> </w:t>
      </w:r>
      <w:r>
        <w:rPr>
          <w:rFonts w:ascii="宋体" w:hAnsi="宋体" w:cs="宋体" w:eastAsia="宋体" w:hint="default"/>
          <w:sz w:val="18"/>
          <w:szCs w:val="18"/>
        </w:rPr>
        <w:t>键行业的合作；</w:t>
      </w:r>
      <w:r>
        <w:rPr>
          <w:rFonts w:ascii="Times New Roman" w:hAnsi="Times New Roman" w:cs="Times New Roman" w:eastAsia="Times New Roman" w:hint="default"/>
          <w:sz w:val="18"/>
          <w:szCs w:val="18"/>
        </w:rPr>
        <w:t>3</w:t>
      </w:r>
      <w:r>
        <w:rPr>
          <w:rFonts w:ascii="宋体" w:hAnsi="宋体" w:cs="宋体" w:eastAsia="宋体" w:hint="default"/>
          <w:sz w:val="18"/>
          <w:szCs w:val="18"/>
        </w:rPr>
        <w:t>）人工智能相关领域创新中心的建设合作。</w:t>
      </w:r>
    </w:p>
    <w:p>
      <w:pPr>
        <w:spacing w:before="52"/>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、修订《股东大会议事规则》</w:t>
      </w:r>
    </w:p>
    <w:p>
      <w:pPr>
        <w:spacing w:line="302" w:lineRule="auto" w:before="101"/>
        <w:ind w:left="154" w:right="1122" w:firstLine="360"/>
        <w:jc w:val="left"/>
        <w:rPr>
          <w:rFonts w:ascii="宋体" w:hAnsi="宋体" w:cs="宋体" w:eastAsia="宋体" w:hint="default"/>
          <w:sz w:val="18"/>
          <w:szCs w:val="18"/>
        </w:rPr>
      </w:pPr>
      <w:r>
        <w:rPr>
          <w:rFonts w:ascii="宋体" w:hAnsi="宋体" w:cs="宋体" w:eastAsia="宋体" w:hint="default"/>
          <w:sz w:val="18"/>
          <w:szCs w:val="18"/>
        </w:rPr>
        <w:t>经</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日公司第六届董事会审议、</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日公司</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年度第四次临时股东大会审议，同意修订《股 </w:t>
      </w:r>
      <w:r>
        <w:rPr>
          <w:rFonts w:ascii="宋体" w:hAnsi="宋体" w:cs="宋体" w:eastAsia="宋体" w:hint="default"/>
          <w:spacing w:val="-10"/>
          <w:sz w:val="18"/>
          <w:szCs w:val="18"/>
        </w:rPr>
        <w:t>东大会议事规则》。</w:t>
      </w:r>
    </w:p>
    <w:p>
      <w:pPr>
        <w:spacing w:after="0" w:line="302" w:lineRule="auto"/>
        <w:jc w:val="left"/>
        <w:rPr>
          <w:rFonts w:ascii="宋体" w:hAnsi="宋体" w:cs="宋体" w:eastAsia="宋体" w:hint="default"/>
          <w:sz w:val="18"/>
          <w:szCs w:val="18"/>
        </w:rPr>
        <w:sectPr>
          <w:pgSz w:w="11910" w:h="16840"/>
          <w:pgMar w:header="787" w:footer="982" w:top="1100" w:bottom="1180" w:left="980" w:right="0"/>
        </w:sectPr>
      </w:pPr>
    </w:p>
    <w:p>
      <w:pPr>
        <w:spacing w:line="240" w:lineRule="auto" w:before="11"/>
        <w:rPr>
          <w:rFonts w:ascii="宋体" w:hAnsi="宋体" w:cs="宋体" w:eastAsia="宋体" w:hint="default"/>
          <w:sz w:val="22"/>
          <w:szCs w:val="22"/>
        </w:rPr>
      </w:pPr>
    </w:p>
    <w:p>
      <w:pPr>
        <w:spacing w:before="44"/>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、修订《公司章程》</w:t>
      </w:r>
    </w:p>
    <w:p>
      <w:pPr>
        <w:spacing w:before="101"/>
        <w:ind w:left="514" w:right="0" w:firstLine="0"/>
        <w:jc w:val="left"/>
        <w:rPr>
          <w:rFonts w:ascii="宋体" w:hAnsi="宋体" w:cs="宋体" w:eastAsia="宋体" w:hint="default"/>
          <w:sz w:val="18"/>
          <w:szCs w:val="18"/>
        </w:rPr>
      </w:pPr>
      <w:r>
        <w:rPr>
          <w:rFonts w:ascii="宋体" w:hAnsi="宋体" w:cs="宋体" w:eastAsia="宋体" w:hint="default"/>
          <w:sz w:val="18"/>
          <w:szCs w:val="18"/>
        </w:rPr>
        <w:t>按照证券监管法规有关保护中小投资者权益的要求</w:t>
      </w:r>
      <w:r>
        <w:rPr>
          <w:rFonts w:ascii="宋体" w:hAnsi="宋体" w:cs="宋体" w:eastAsia="宋体" w:hint="default"/>
          <w:spacing w:val="-87"/>
          <w:sz w:val="18"/>
          <w:szCs w:val="18"/>
        </w:rPr>
        <w:t>，</w:t>
      </w:r>
      <w:r>
        <w:rPr>
          <w:rFonts w:ascii="宋体" w:hAnsi="宋体" w:cs="宋体" w:eastAsia="宋体" w:hint="default"/>
          <w:sz w:val="18"/>
          <w:szCs w:val="18"/>
        </w:rPr>
        <w:t>结合公司的实际情况</w:t>
      </w:r>
      <w:r>
        <w:rPr>
          <w:rFonts w:ascii="宋体" w:hAnsi="宋体" w:cs="宋体" w:eastAsia="宋体" w:hint="default"/>
          <w:spacing w:val="-87"/>
          <w:sz w:val="18"/>
          <w:szCs w:val="18"/>
        </w:rPr>
        <w:t>，</w:t>
      </w:r>
      <w:r>
        <w:rPr>
          <w:rFonts w:ascii="宋体" w:hAnsi="宋体" w:cs="宋体" w:eastAsia="宋体" w:hint="default"/>
          <w:sz w:val="18"/>
          <w:szCs w:val="18"/>
        </w:rPr>
        <w:t>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日公</w:t>
      </w:r>
      <w:r>
        <w:rPr>
          <w:rFonts w:ascii="宋体" w:hAnsi="宋体" w:cs="宋体" w:eastAsia="宋体" w:hint="default"/>
          <w:spacing w:val="1"/>
          <w:sz w:val="18"/>
          <w:szCs w:val="18"/>
        </w:rPr>
        <w:t>司</w:t>
      </w:r>
      <w:r>
        <w:rPr>
          <w:rFonts w:ascii="宋体" w:hAnsi="宋体" w:cs="宋体" w:eastAsia="宋体" w:hint="default"/>
          <w:sz w:val="18"/>
          <w:szCs w:val="18"/>
        </w:rPr>
        <w:t>第六届董事会审议、</w:t>
      </w:r>
    </w:p>
    <w:p>
      <w:pPr>
        <w:spacing w:before="64"/>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日公司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pacing w:val="1"/>
          <w:sz w:val="18"/>
          <w:szCs w:val="18"/>
        </w:rPr>
        <w:t>年</w:t>
      </w:r>
      <w:r>
        <w:rPr>
          <w:rFonts w:ascii="宋体" w:hAnsi="宋体" w:cs="宋体" w:eastAsia="宋体" w:hint="default"/>
          <w:sz w:val="18"/>
          <w:szCs w:val="18"/>
        </w:rPr>
        <w:t>度第四次临时股东大会审议，同意修订《公司章程</w:t>
      </w:r>
      <w:r>
        <w:rPr>
          <w:rFonts w:ascii="宋体" w:hAnsi="宋体" w:cs="宋体" w:eastAsia="宋体" w:hint="default"/>
          <w:spacing w:val="-90"/>
          <w:sz w:val="18"/>
          <w:szCs w:val="18"/>
        </w:rPr>
        <w:t>》</w:t>
      </w:r>
      <w:r>
        <w:rPr>
          <w:rFonts w:ascii="宋体" w:hAnsi="宋体" w:cs="宋体" w:eastAsia="宋体" w:hint="default"/>
          <w:sz w:val="18"/>
          <w:szCs w:val="18"/>
        </w:rPr>
        <w:t>。</w:t>
      </w:r>
    </w:p>
    <w:p>
      <w:pPr>
        <w:spacing w:before="103"/>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、中电长城大厦银团贷款更换抵押担保物</w:t>
      </w:r>
    </w:p>
    <w:p>
      <w:pPr>
        <w:spacing w:line="309" w:lineRule="auto" w:before="101"/>
        <w:ind w:left="153" w:right="1130" w:firstLine="360"/>
        <w:jc w:val="both"/>
        <w:rPr>
          <w:rFonts w:ascii="宋体" w:hAnsi="宋体" w:cs="宋体" w:eastAsia="宋体" w:hint="default"/>
          <w:sz w:val="18"/>
          <w:szCs w:val="18"/>
        </w:rPr>
      </w:pPr>
      <w:r>
        <w:rPr>
          <w:rFonts w:ascii="宋体" w:hAnsi="宋体" w:cs="宋体" w:eastAsia="宋体" w:hint="default"/>
          <w:sz w:val="18"/>
          <w:szCs w:val="18"/>
        </w:rPr>
        <w:t>经</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日公司第六届董事会第二次会议、</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日公司</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年度股东大会审议，同意公司以抵押 </w:t>
      </w:r>
      <w:r>
        <w:rPr>
          <w:rFonts w:ascii="宋体" w:hAnsi="宋体" w:cs="宋体" w:eastAsia="宋体" w:hint="default"/>
          <w:spacing w:val="-2"/>
          <w:sz w:val="18"/>
          <w:szCs w:val="18"/>
        </w:rPr>
        <w:t>担保方式向中国建设银行股份有限公司、平安银行股份有限公司申请授信额度，即由建设银行深圳分行和平安银行深圳分行</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组成的银团为中电长城大厦基建项目提供固定资产银团贷款额度人民币</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亿元，期限</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年，抵押的资产为公司拥有的位于</w:t>
      </w:r>
    </w:p>
    <w:p>
      <w:pPr>
        <w:spacing w:before="6"/>
        <w:ind w:left="153" w:right="0" w:firstLine="0"/>
        <w:jc w:val="left"/>
        <w:rPr>
          <w:rFonts w:ascii="宋体" w:hAnsi="宋体" w:cs="宋体" w:eastAsia="宋体" w:hint="default"/>
          <w:sz w:val="18"/>
          <w:szCs w:val="18"/>
        </w:rPr>
      </w:pPr>
      <w:r>
        <w:rPr>
          <w:rFonts w:ascii="宋体" w:hAnsi="宋体" w:cs="宋体" w:eastAsia="宋体" w:hint="default"/>
          <w:sz w:val="18"/>
          <w:szCs w:val="18"/>
        </w:rPr>
        <w:t>深圳市科技工业园内</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号食堂整栋的房屋和土地使用权。</w:t>
      </w:r>
    </w:p>
    <w:p>
      <w:pPr>
        <w:spacing w:line="302" w:lineRule="auto" w:before="101"/>
        <w:ind w:left="153" w:right="1131" w:firstLine="360"/>
        <w:jc w:val="both"/>
        <w:rPr>
          <w:rFonts w:ascii="宋体" w:hAnsi="宋体" w:cs="宋体" w:eastAsia="宋体" w:hint="default"/>
          <w:sz w:val="18"/>
          <w:szCs w:val="18"/>
        </w:rPr>
      </w:pPr>
      <w:r>
        <w:rPr>
          <w:rFonts w:ascii="宋体" w:hAnsi="宋体" w:cs="宋体" w:eastAsia="宋体" w:hint="default"/>
          <w:sz w:val="18"/>
          <w:szCs w:val="18"/>
        </w:rPr>
        <w:t>鉴于公司未来对</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pacing w:val="-3"/>
          <w:sz w:val="18"/>
          <w:szCs w:val="18"/>
        </w:rPr>
        <w:t>号食堂整栋的使用改造规划，需提前解除抵押登记，经公司与银团协商，并经</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日公司 第七届董事会第二次会议审议，同意更换中电长城大厦基建项目银团贷款抵押物，并签订补充贷款协议。</w:t>
      </w:r>
    </w:p>
    <w:p>
      <w:pPr>
        <w:spacing w:before="69"/>
        <w:ind w:left="513"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本次更换抵押的资产为位于深圳市宝安区石岩街道长城计算机厂区 </w:t>
      </w:r>
      <w:r>
        <w:rPr>
          <w:rFonts w:ascii="Times New Roman" w:hAnsi="Times New Roman" w:cs="Times New Roman" w:eastAsia="Times New Roman" w:hint="default"/>
          <w:sz w:val="18"/>
          <w:szCs w:val="18"/>
        </w:rPr>
        <w:t>1 </w:t>
      </w:r>
      <w:r>
        <w:rPr>
          <w:rFonts w:ascii="宋体" w:hAnsi="宋体" w:cs="宋体" w:eastAsia="宋体" w:hint="default"/>
          <w:sz w:val="18"/>
          <w:szCs w:val="18"/>
        </w:rPr>
        <w:t>号厂房的房屋和土地使用权，建筑面积</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49,683.51</w:t>
      </w:r>
    </w:p>
    <w:p>
      <w:pPr>
        <w:spacing w:before="64"/>
        <w:ind w:left="154" w:right="0" w:firstLine="0"/>
        <w:jc w:val="left"/>
        <w:rPr>
          <w:rFonts w:ascii="宋体" w:hAnsi="宋体" w:cs="宋体" w:eastAsia="宋体" w:hint="default"/>
          <w:sz w:val="18"/>
          <w:szCs w:val="18"/>
        </w:rPr>
      </w:pPr>
      <w:r>
        <w:rPr>
          <w:rFonts w:ascii="宋体" w:hAnsi="宋体" w:cs="宋体" w:eastAsia="宋体" w:hint="default"/>
          <w:sz w:val="18"/>
          <w:szCs w:val="18"/>
        </w:rPr>
        <w:t>平方米，土地用途为工业用地。</w:t>
      </w:r>
    </w:p>
    <w:p>
      <w:pPr>
        <w:spacing w:before="116"/>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、重大资产重组业绩补偿股份回购并注销</w:t>
      </w:r>
    </w:p>
    <w:p>
      <w:pPr>
        <w:spacing w:line="309" w:lineRule="auto" w:before="101"/>
        <w:ind w:left="153" w:right="1130" w:firstLine="360"/>
        <w:jc w:val="both"/>
        <w:rPr>
          <w:rFonts w:ascii="Times New Roman" w:hAnsi="Times New Roman" w:cs="Times New Roman" w:eastAsia="Times New Roman" w:hint="default"/>
          <w:sz w:val="18"/>
          <w:szCs w:val="18"/>
        </w:rPr>
      </w:pPr>
      <w:r>
        <w:rPr>
          <w:rFonts w:ascii="宋体" w:hAnsi="宋体" w:cs="宋体" w:eastAsia="宋体" w:hint="default"/>
          <w:sz w:val="18"/>
          <w:szCs w:val="18"/>
        </w:rPr>
        <w:t>因公司重大资产重组购入资产圣非凡</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年度扣除非经常性损益归属于母公司所有者的净利润未达业绩承诺，资产注 </w:t>
      </w:r>
      <w:r>
        <w:rPr>
          <w:rFonts w:ascii="宋体" w:hAnsi="宋体" w:cs="宋体" w:eastAsia="宋体" w:hint="default"/>
          <w:spacing w:val="-5"/>
          <w:sz w:val="18"/>
          <w:szCs w:val="18"/>
        </w:rPr>
        <w:t>入方中国电子需向公司进行股份补偿，根据双方签署的《盈利预测补偿协议》、《盈利预测补偿协议之补充协议》约定，公司</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以</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元的价格回购中国电子</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7,903,899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股并注销。业绩补偿方案已经公司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 </w:t>
      </w:r>
      <w:r>
        <w:rPr>
          <w:rFonts w:ascii="宋体" w:hAnsi="宋体" w:cs="宋体" w:eastAsia="宋体" w:hint="default"/>
          <w:sz w:val="18"/>
          <w:szCs w:val="18"/>
        </w:rPr>
        <w:t>日第七届董事会第二次会议、</w:t>
      </w:r>
      <w:r>
        <w:rPr>
          <w:rFonts w:ascii="Times New Roman" w:hAnsi="Times New Roman" w:cs="Times New Roman" w:eastAsia="Times New Roman" w:hint="default"/>
          <w:sz w:val="18"/>
          <w:szCs w:val="18"/>
        </w:rPr>
        <w:t>2018</w:t>
      </w:r>
    </w:p>
    <w:p>
      <w:pPr>
        <w:spacing w:before="6"/>
        <w:ind w:left="153" w:right="0" w:firstLine="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年度股东大会审议通过。</w:t>
      </w:r>
    </w:p>
    <w:p>
      <w:pPr>
        <w:spacing w:before="102"/>
        <w:ind w:left="513" w:right="0" w:firstLine="0"/>
        <w:jc w:val="left"/>
        <w:rPr>
          <w:rFonts w:ascii="宋体" w:hAnsi="宋体" w:cs="宋体" w:eastAsia="宋体" w:hint="default"/>
          <w:sz w:val="18"/>
          <w:szCs w:val="18"/>
        </w:rPr>
      </w:pPr>
      <w:r>
        <w:rPr>
          <w:rFonts w:ascii="宋体" w:hAnsi="宋体" w:cs="宋体" w:eastAsia="宋体" w:hint="default"/>
          <w:sz w:val="18"/>
          <w:szCs w:val="18"/>
        </w:rPr>
        <w:t>业绩补偿股份于 </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 </w:t>
      </w:r>
      <w:r>
        <w:rPr>
          <w:rFonts w:ascii="Times New Roman" w:hAnsi="Times New Roman" w:cs="Times New Roman" w:eastAsia="Times New Roman" w:hint="default"/>
          <w:sz w:val="18"/>
          <w:szCs w:val="18"/>
        </w:rPr>
        <w:t>8 </w:t>
      </w:r>
      <w:r>
        <w:rPr>
          <w:rFonts w:ascii="宋体" w:hAnsi="宋体" w:cs="宋体" w:eastAsia="宋体" w:hint="default"/>
          <w:sz w:val="18"/>
          <w:szCs w:val="18"/>
        </w:rPr>
        <w:t>月 </w:t>
      </w:r>
      <w:r>
        <w:rPr>
          <w:rFonts w:ascii="Times New Roman" w:hAnsi="Times New Roman" w:cs="Times New Roman" w:eastAsia="Times New Roman" w:hint="default"/>
          <w:sz w:val="18"/>
          <w:szCs w:val="18"/>
        </w:rPr>
        <w:t>8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日在中国证券登记结算有限责任公司深圳分公司完成注销手续，公司股本总额变更为</w:t>
      </w:r>
    </w:p>
    <w:p>
      <w:pPr>
        <w:spacing w:before="64"/>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2,936,165,560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股，中国电子持有公司</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1,196,466,010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股，占公司股本总额的</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40.75%</w:t>
      </w:r>
      <w:r>
        <w:rPr>
          <w:rFonts w:ascii="宋体" w:hAnsi="宋体" w:cs="宋体" w:eastAsia="宋体" w:hint="default"/>
          <w:sz w:val="18"/>
          <w:szCs w:val="18"/>
        </w:rPr>
        <w:t>，仍为公司控股股东及实际控制人。</w:t>
      </w:r>
    </w:p>
    <w:p>
      <w:pPr>
        <w:spacing w:before="101"/>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日公司实施</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年度权益分派，以</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年末总股本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2,944,069,459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股为基数，向全体股东每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股派发</w:t>
      </w:r>
    </w:p>
    <w:p>
      <w:pPr>
        <w:spacing w:line="302" w:lineRule="auto" w:before="63"/>
        <w:ind w:left="153" w:right="1116" w:firstLine="0"/>
        <w:jc w:val="left"/>
        <w:rPr>
          <w:rFonts w:ascii="宋体" w:hAnsi="宋体" w:cs="宋体" w:eastAsia="宋体" w:hint="default"/>
          <w:sz w:val="18"/>
          <w:szCs w:val="18"/>
        </w:rPr>
      </w:pPr>
      <w:r>
        <w:rPr>
          <w:rFonts w:ascii="宋体" w:hAnsi="宋体" w:cs="宋体" w:eastAsia="宋体" w:hint="default"/>
          <w:sz w:val="18"/>
          <w:szCs w:val="18"/>
        </w:rPr>
        <w:t>现金股利人民币</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0.60</w:t>
      </w:r>
      <w:r>
        <w:rPr>
          <w:rFonts w:ascii="Times New Roman" w:hAnsi="Times New Roman" w:cs="Times New Roman" w:eastAsia="Times New Roman" w:hint="default"/>
          <w:spacing w:val="6"/>
          <w:sz w:val="18"/>
          <w:szCs w:val="18"/>
        </w:rPr>
        <w:t> </w:t>
      </w:r>
      <w:r>
        <w:rPr>
          <w:rFonts w:ascii="宋体" w:hAnsi="宋体" w:cs="宋体" w:eastAsia="宋体" w:hint="default"/>
          <w:spacing w:val="-7"/>
          <w:sz w:val="18"/>
          <w:szCs w:val="18"/>
        </w:rPr>
        <w:t>元（含税）。根据《盈利预测补偿协议》、《盈利预测补偿协议之补充协议》约定，公司在补偿期限内实</w:t>
      </w:r>
      <w:r>
        <w:rPr>
          <w:rFonts w:ascii="宋体" w:hAnsi="宋体" w:cs="宋体" w:eastAsia="宋体" w:hint="default"/>
          <w:sz w:val="18"/>
          <w:szCs w:val="18"/>
        </w:rPr>
        <w:t> 施现金分配，现金分配的部分应作相应返还，公司在向中国电子派发现金红利时已经直接扣减应返还部分。</w:t>
      </w:r>
    </w:p>
    <w:p>
      <w:pPr>
        <w:spacing w:line="338" w:lineRule="auto" w:before="69"/>
        <w:ind w:left="51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8</w:t>
      </w:r>
      <w:r>
        <w:rPr>
          <w:rFonts w:ascii="宋体" w:hAnsi="宋体" w:cs="宋体" w:eastAsia="宋体" w:hint="default"/>
          <w:sz w:val="18"/>
          <w:szCs w:val="18"/>
        </w:rPr>
        <w:t>、与金蝶软件（中国）有限公司签署《战略合作框架协议》 </w:t>
      </w:r>
      <w:r>
        <w:rPr>
          <w:rFonts w:ascii="宋体" w:hAnsi="宋体" w:cs="宋体" w:eastAsia="宋体" w:hint="default"/>
          <w:spacing w:val="-2"/>
          <w:sz w:val="18"/>
          <w:szCs w:val="18"/>
        </w:rPr>
        <w:t>本着通过自主创新，发展自主技术和产业，推进国产自主可控替代计划和构建安全可控的信息技术体系的初衷，在“平</w:t>
      </w:r>
    </w:p>
    <w:p>
      <w:pPr>
        <w:spacing w:line="302" w:lineRule="auto" w:before="2"/>
        <w:ind w:left="154" w:right="1122" w:firstLine="0"/>
        <w:jc w:val="left"/>
        <w:rPr>
          <w:rFonts w:ascii="宋体" w:hAnsi="宋体" w:cs="宋体" w:eastAsia="宋体" w:hint="default"/>
          <w:sz w:val="18"/>
          <w:szCs w:val="18"/>
        </w:rPr>
      </w:pPr>
      <w:r>
        <w:rPr>
          <w:rFonts w:ascii="宋体" w:hAnsi="宋体" w:cs="宋体" w:eastAsia="宋体" w:hint="default"/>
          <w:spacing w:val="-3"/>
          <w:sz w:val="18"/>
          <w:szCs w:val="18"/>
        </w:rPr>
        <w:t>等互利、合作共赢、共谋发展”的原则下，公司与金蝶软件（中国）有限公司于</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日签订了《战略合作框架协 </w:t>
      </w:r>
      <w:r>
        <w:rPr>
          <w:rFonts w:ascii="宋体" w:hAnsi="宋体" w:cs="宋体" w:eastAsia="宋体" w:hint="default"/>
          <w:spacing w:val="-10"/>
          <w:sz w:val="18"/>
          <w:szCs w:val="18"/>
        </w:rPr>
        <w:t>议》，有效期三年。</w:t>
      </w:r>
    </w:p>
    <w:p>
      <w:pPr>
        <w:spacing w:line="302" w:lineRule="auto" w:before="68"/>
        <w:ind w:left="154" w:right="1048" w:firstLine="360"/>
        <w:jc w:val="both"/>
        <w:rPr>
          <w:rFonts w:ascii="宋体" w:hAnsi="宋体" w:cs="宋体" w:eastAsia="宋体" w:hint="default"/>
          <w:sz w:val="18"/>
          <w:szCs w:val="18"/>
        </w:rPr>
      </w:pPr>
      <w:r>
        <w:rPr>
          <w:rFonts w:ascii="宋体" w:hAnsi="宋体" w:cs="宋体" w:eastAsia="宋体" w:hint="default"/>
          <w:sz w:val="18"/>
          <w:szCs w:val="18"/>
        </w:rPr>
        <w:t>合作内容包括：</w:t>
      </w:r>
      <w:r>
        <w:rPr>
          <w:rFonts w:ascii="Times New Roman" w:hAnsi="Times New Roman" w:cs="Times New Roman" w:eastAsia="Times New Roman" w:hint="default"/>
          <w:sz w:val="18"/>
          <w:szCs w:val="18"/>
        </w:rPr>
        <w:t>1</w:t>
      </w:r>
      <w:r>
        <w:rPr>
          <w:rFonts w:ascii="宋体" w:hAnsi="宋体" w:cs="宋体" w:eastAsia="宋体" w:hint="default"/>
          <w:sz w:val="18"/>
          <w:szCs w:val="18"/>
        </w:rPr>
        <w:t>）设立自主可控联合实验室；</w:t>
      </w:r>
      <w:r>
        <w:rPr>
          <w:rFonts w:ascii="Times New Roman" w:hAnsi="Times New Roman" w:cs="Times New Roman" w:eastAsia="Times New Roman" w:hint="default"/>
          <w:sz w:val="18"/>
          <w:szCs w:val="18"/>
        </w:rPr>
        <w:t>2</w:t>
      </w:r>
      <w:r>
        <w:rPr>
          <w:rFonts w:ascii="宋体" w:hAnsi="宋体" w:cs="宋体" w:eastAsia="宋体" w:hint="default"/>
          <w:sz w:val="18"/>
          <w:szCs w:val="18"/>
        </w:rPr>
        <w:t>）开展联合市场开拓；</w:t>
      </w:r>
      <w:r>
        <w:rPr>
          <w:rFonts w:ascii="Times New Roman" w:hAnsi="Times New Roman" w:cs="Times New Roman" w:eastAsia="Times New Roman" w:hint="default"/>
          <w:sz w:val="18"/>
          <w:szCs w:val="18"/>
        </w:rPr>
        <w:t>3</w:t>
      </w:r>
      <w:r>
        <w:rPr>
          <w:rFonts w:ascii="宋体" w:hAnsi="宋体" w:cs="宋体" w:eastAsia="宋体" w:hint="default"/>
          <w:sz w:val="18"/>
          <w:szCs w:val="18"/>
        </w:rPr>
        <w:t>）共同打造自主可控适配应用的标杆示范；</w:t>
      </w:r>
      <w:r>
        <w:rPr>
          <w:rFonts w:ascii="Times New Roman" w:hAnsi="Times New Roman" w:cs="Times New Roman" w:eastAsia="Times New Roman" w:hint="default"/>
          <w:sz w:val="18"/>
          <w:szCs w:val="18"/>
        </w:rPr>
        <w:t>4</w:t>
      </w:r>
      <w:r>
        <w:rPr>
          <w:rFonts w:ascii="宋体" w:hAnsi="宋体" w:cs="宋体" w:eastAsia="宋体" w:hint="default"/>
          <w:sz w:val="18"/>
          <w:szCs w:val="18"/>
        </w:rPr>
        <w:t>） 共同承担国家自主可控方面的课题研究。</w:t>
      </w:r>
    </w:p>
    <w:p>
      <w:pPr>
        <w:spacing w:line="338" w:lineRule="auto" w:before="69"/>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宋体" w:hAnsi="宋体" w:cs="宋体" w:eastAsia="宋体" w:hint="default"/>
          <w:sz w:val="18"/>
          <w:szCs w:val="18"/>
        </w:rPr>
        <w:t>、变更独立财务顾问主办人 </w:t>
      </w:r>
      <w:r>
        <w:rPr>
          <w:rFonts w:ascii="宋体" w:hAnsi="宋体" w:cs="宋体" w:eastAsia="宋体" w:hint="default"/>
          <w:spacing w:val="-2"/>
          <w:sz w:val="18"/>
          <w:szCs w:val="18"/>
        </w:rPr>
        <w:t>海通证券原指定的独立财务顾问主办人李世文先生因工作变动，不再担任公司独立财务顾问主办人；由岑平一先生接替</w:t>
      </w:r>
    </w:p>
    <w:p>
      <w:pPr>
        <w:spacing w:before="4"/>
        <w:ind w:left="154" w:right="0" w:firstLine="0"/>
        <w:jc w:val="left"/>
        <w:rPr>
          <w:rFonts w:ascii="宋体" w:hAnsi="宋体" w:cs="宋体" w:eastAsia="宋体" w:hint="default"/>
          <w:sz w:val="18"/>
          <w:szCs w:val="18"/>
        </w:rPr>
      </w:pPr>
      <w:r>
        <w:rPr>
          <w:rFonts w:ascii="宋体" w:hAnsi="宋体" w:cs="宋体" w:eastAsia="宋体" w:hint="default"/>
          <w:sz w:val="18"/>
          <w:szCs w:val="18"/>
        </w:rPr>
        <w:t>李世文先生担任公司独立财务顾问主办人。</w:t>
      </w:r>
    </w:p>
    <w:p>
      <w:pPr>
        <w:spacing w:line="338" w:lineRule="auto" w:before="116"/>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宋体" w:hAnsi="宋体" w:cs="宋体" w:eastAsia="宋体" w:hint="default"/>
          <w:sz w:val="18"/>
          <w:szCs w:val="18"/>
        </w:rPr>
        <w:t>、公司被纳入本次国企改革“双百企业”名单 报告期内，国务院国有资产监督管理委员会下发《关于印发</w:t>
      </w:r>
      <w:r>
        <w:rPr>
          <w:rFonts w:ascii="Times New Roman" w:hAnsi="Times New Roman" w:cs="Times New Roman" w:eastAsia="Times New Roman" w:hint="default"/>
          <w:sz w:val="18"/>
          <w:szCs w:val="18"/>
        </w:rPr>
        <w:t>&lt;</w:t>
      </w:r>
      <w:r>
        <w:rPr>
          <w:rFonts w:ascii="宋体" w:hAnsi="宋体" w:cs="宋体" w:eastAsia="宋体" w:hint="default"/>
          <w:sz w:val="18"/>
          <w:szCs w:val="18"/>
        </w:rPr>
        <w:t>国企改革“双百行动”工作方案</w:t>
      </w:r>
      <w:r>
        <w:rPr>
          <w:rFonts w:ascii="Times New Roman" w:hAnsi="Times New Roman" w:cs="Times New Roman" w:eastAsia="Times New Roman" w:hint="default"/>
          <w:sz w:val="18"/>
          <w:szCs w:val="18"/>
        </w:rPr>
        <w:t>&gt;</w:t>
      </w:r>
      <w:r>
        <w:rPr>
          <w:rFonts w:ascii="宋体" w:hAnsi="宋体" w:cs="宋体" w:eastAsia="宋体" w:hint="default"/>
          <w:sz w:val="18"/>
          <w:szCs w:val="18"/>
        </w:rPr>
        <w:t>的通知》（国资发研究</w:t>
      </w:r>
    </w:p>
    <w:p>
      <w:pPr>
        <w:spacing w:line="230" w:lineRule="exact"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[2018]70</w:t>
      </w:r>
      <w:r>
        <w:rPr>
          <w:rFonts w:ascii="Times New Roman" w:hAnsi="Times New Roman" w:cs="Times New Roman" w:eastAsia="Times New Roman" w:hint="default"/>
          <w:spacing w:val="38"/>
          <w:sz w:val="18"/>
          <w:szCs w:val="18"/>
        </w:rPr>
        <w:t> </w:t>
      </w:r>
      <w:r>
        <w:rPr>
          <w:rFonts w:ascii="宋体" w:hAnsi="宋体" w:cs="宋体" w:eastAsia="宋体" w:hint="default"/>
          <w:spacing w:val="-2"/>
          <w:sz w:val="18"/>
          <w:szCs w:val="18"/>
        </w:rPr>
        <w:t>号）及相关附件，国务院国有企业改革领导小组决定选取百余户中央企业子企业和百余户地方国有骨干企业（以下</w:t>
      </w:r>
    </w:p>
    <w:p>
      <w:pPr>
        <w:spacing w:line="302" w:lineRule="auto" w:before="63"/>
        <w:ind w:left="154" w:right="1118" w:firstLine="0"/>
        <w:jc w:val="left"/>
        <w:rPr>
          <w:rFonts w:ascii="宋体" w:hAnsi="宋体" w:cs="宋体" w:eastAsia="宋体" w:hint="default"/>
          <w:sz w:val="18"/>
          <w:szCs w:val="18"/>
        </w:rPr>
      </w:pPr>
      <w:r>
        <w:rPr>
          <w:rFonts w:ascii="宋体" w:hAnsi="宋体" w:cs="宋体" w:eastAsia="宋体" w:hint="default"/>
          <w:spacing w:val="-17"/>
          <w:sz w:val="18"/>
          <w:szCs w:val="18"/>
        </w:rPr>
        <w:t>简称“双百企业”），在</w:t>
      </w:r>
      <w:r>
        <w:rPr>
          <w:rFonts w:ascii="宋体" w:hAnsi="宋体" w:cs="宋体" w:eastAsia="宋体" w:hint="default"/>
          <w:spacing w:val="-12"/>
          <w:sz w:val="18"/>
          <w:szCs w:val="18"/>
        </w:rPr>
        <w:t> </w:t>
      </w:r>
      <w:r>
        <w:rPr>
          <w:rFonts w:ascii="Times New Roman" w:hAnsi="Times New Roman" w:cs="Times New Roman" w:eastAsia="Times New Roman" w:hint="default"/>
          <w:sz w:val="18"/>
          <w:szCs w:val="18"/>
        </w:rPr>
        <w:t>2018-2020</w:t>
      </w:r>
      <w:r>
        <w:rPr>
          <w:rFonts w:ascii="Times New Roman" w:hAnsi="Times New Roman" w:cs="Times New Roman" w:eastAsia="Times New Roman" w:hint="default"/>
          <w:spacing w:val="33"/>
          <w:sz w:val="18"/>
          <w:szCs w:val="18"/>
        </w:rPr>
        <w:t> </w:t>
      </w:r>
      <w:r>
        <w:rPr>
          <w:rFonts w:ascii="宋体" w:hAnsi="宋体" w:cs="宋体" w:eastAsia="宋体" w:hint="default"/>
          <w:spacing w:val="-3"/>
          <w:sz w:val="18"/>
          <w:szCs w:val="18"/>
        </w:rPr>
        <w:t>年期间实施国企改革“双百行动”。根据通知，公司被纳入本次国企改革“双百企业”名</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单。</w:t>
      </w:r>
    </w:p>
    <w:p>
      <w:pPr>
        <w:spacing w:line="319" w:lineRule="auto" w:before="69"/>
        <w:ind w:left="154" w:right="1131" w:firstLine="360"/>
        <w:jc w:val="both"/>
        <w:rPr>
          <w:rFonts w:ascii="宋体" w:hAnsi="宋体" w:cs="宋体" w:eastAsia="宋体" w:hint="default"/>
          <w:sz w:val="18"/>
          <w:szCs w:val="18"/>
        </w:rPr>
      </w:pPr>
      <w:r>
        <w:rPr>
          <w:rFonts w:ascii="宋体" w:hAnsi="宋体" w:cs="宋体" w:eastAsia="宋体" w:hint="default"/>
          <w:spacing w:val="-2"/>
          <w:sz w:val="18"/>
          <w:szCs w:val="18"/>
        </w:rPr>
        <w:t>公司将按照国资委关于国企改革“双百行动”的具体部署，结合本公司实际，积极组织制订本次综合改革实施方案，明</w:t>
      </w:r>
      <w:r>
        <w:rPr>
          <w:rFonts w:ascii="宋体" w:hAnsi="宋体" w:cs="宋体" w:eastAsia="宋体" w:hint="default"/>
          <w:sz w:val="18"/>
          <w:szCs w:val="18"/>
        </w:rPr>
        <w:t> 确具体改革目标、改革举措、责任分工等，制定工作计划和目标，并履行相应申报与审批程序。</w:t>
      </w:r>
    </w:p>
    <w:p>
      <w:pPr>
        <w:spacing w:line="338" w:lineRule="auto" w:before="56"/>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11</w:t>
      </w:r>
      <w:r>
        <w:rPr>
          <w:rFonts w:ascii="宋体" w:hAnsi="宋体" w:cs="宋体" w:eastAsia="宋体" w:hint="default"/>
          <w:sz w:val="18"/>
          <w:szCs w:val="18"/>
        </w:rPr>
        <w:t>、增加法治建设内容修订《公司章程》 </w:t>
      </w:r>
      <w:r>
        <w:rPr>
          <w:rFonts w:ascii="宋体" w:hAnsi="宋体" w:cs="宋体" w:eastAsia="宋体" w:hint="default"/>
          <w:spacing w:val="-2"/>
          <w:sz w:val="18"/>
          <w:szCs w:val="18"/>
        </w:rPr>
        <w:t>为贯彻落实党中央关于全面依法治国的战略部署，进一步推动国有企业法治建设，保障公司深化改革、健康发展，根据</w:t>
      </w:r>
    </w:p>
    <w:p>
      <w:pPr>
        <w:spacing w:before="2"/>
        <w:ind w:left="154"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国务院国资</w:t>
      </w:r>
      <w:r>
        <w:rPr>
          <w:rFonts w:ascii="宋体" w:hAnsi="宋体" w:cs="宋体" w:eastAsia="宋体" w:hint="default"/>
          <w:spacing w:val="-29"/>
          <w:sz w:val="18"/>
          <w:szCs w:val="18"/>
        </w:rPr>
        <w:t>委</w:t>
      </w:r>
      <w:r>
        <w:rPr>
          <w:rFonts w:ascii="宋体" w:hAnsi="宋体" w:cs="宋体" w:eastAsia="宋体" w:hint="default"/>
          <w:sz w:val="18"/>
          <w:szCs w:val="18"/>
        </w:rPr>
        <w:t>《中央企业主要负责人履行推进法治建设第一责任人职责规定</w:t>
      </w:r>
      <w:r>
        <w:rPr>
          <w:rFonts w:ascii="宋体" w:hAnsi="宋体" w:cs="宋体" w:eastAsia="宋体" w:hint="default"/>
          <w:spacing w:val="-119"/>
          <w:sz w:val="18"/>
          <w:szCs w:val="18"/>
        </w:rPr>
        <w:t>》</w:t>
      </w:r>
      <w:r>
        <w:rPr>
          <w:rFonts w:ascii="宋体" w:hAnsi="宋体" w:cs="宋体" w:eastAsia="宋体" w:hint="default"/>
          <w:sz w:val="18"/>
          <w:szCs w:val="18"/>
        </w:rPr>
        <w:t>（国资党发法</w:t>
      </w:r>
      <w:r>
        <w:rPr>
          <w:rFonts w:ascii="宋体" w:hAnsi="宋体" w:cs="宋体" w:eastAsia="宋体" w:hint="default"/>
          <w:spacing w:val="-29"/>
          <w:sz w:val="18"/>
          <w:szCs w:val="18"/>
        </w:rPr>
        <w:t>规</w:t>
      </w:r>
      <w:r>
        <w:rPr>
          <w:rFonts w:ascii="宋体" w:hAnsi="宋体" w:cs="宋体" w:eastAsia="宋体" w:hint="default"/>
          <w:sz w:val="18"/>
          <w:szCs w:val="18"/>
        </w:rPr>
        <w:t>〔</w:t>
      </w:r>
      <w:r>
        <w:rPr>
          <w:rFonts w:ascii="Times New Roman" w:hAnsi="Times New Roman" w:cs="Times New Roman" w:eastAsia="Times New Roman" w:hint="default"/>
          <w:sz w:val="18"/>
          <w:szCs w:val="18"/>
        </w:rPr>
        <w:t>2017</w:t>
      </w:r>
      <w:r>
        <w:rPr>
          <w:rFonts w:ascii="宋体" w:hAnsi="宋体" w:cs="宋体" w:eastAsia="宋体" w:hint="default"/>
          <w:spacing w:val="-29"/>
          <w:sz w:val="18"/>
          <w:szCs w:val="18"/>
        </w:rPr>
        <w:t>〕</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宋体" w:hAnsi="宋体" w:cs="宋体" w:eastAsia="宋体" w:hint="default"/>
          <w:spacing w:val="-29"/>
          <w:sz w:val="18"/>
          <w:szCs w:val="18"/>
        </w:rPr>
        <w:t>）</w:t>
      </w:r>
      <w:r>
        <w:rPr>
          <w:rFonts w:ascii="宋体" w:hAnsi="宋体" w:cs="宋体" w:eastAsia="宋体" w:hint="default"/>
          <w:sz w:val="18"/>
          <w:szCs w:val="18"/>
        </w:rPr>
        <w:t>的</w:t>
      </w:r>
      <w:r>
        <w:rPr>
          <w:rFonts w:ascii="宋体" w:hAnsi="宋体" w:cs="宋体" w:eastAsia="宋体" w:hint="default"/>
          <w:spacing w:val="1"/>
          <w:sz w:val="18"/>
          <w:szCs w:val="18"/>
        </w:rPr>
        <w:t>要</w:t>
      </w:r>
      <w:r>
        <w:rPr>
          <w:rFonts w:ascii="宋体" w:hAnsi="宋体" w:cs="宋体" w:eastAsia="宋体" w:hint="default"/>
          <w:sz w:val="18"/>
          <w:szCs w:val="18"/>
        </w:rPr>
        <w:t>求</w:t>
      </w:r>
      <w:r>
        <w:rPr>
          <w:rFonts w:ascii="宋体" w:hAnsi="宋体" w:cs="宋体" w:eastAsia="宋体" w:hint="default"/>
          <w:spacing w:val="-29"/>
          <w:sz w:val="18"/>
          <w:szCs w:val="18"/>
        </w:rPr>
        <w:t>，</w:t>
      </w:r>
      <w:r>
        <w:rPr>
          <w:rFonts w:ascii="宋体" w:hAnsi="宋体" w:cs="宋体" w:eastAsia="宋体" w:hint="default"/>
          <w:sz w:val="18"/>
          <w:szCs w:val="18"/>
        </w:rPr>
        <w:t>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p>
    <w:p>
      <w:pPr>
        <w:spacing w:before="63"/>
        <w:ind w:left="154" w:right="0" w:firstLine="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日公司第七届董事会第五次会议、</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日公司</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年度第六次临时股东大会审议，同意增加法治建</w:t>
      </w:r>
    </w:p>
    <w:p>
      <w:pPr>
        <w:spacing w:after="0"/>
        <w:jc w:val="left"/>
        <w:rPr>
          <w:rFonts w:ascii="宋体" w:hAnsi="宋体" w:cs="宋体" w:eastAsia="宋体" w:hint="default"/>
          <w:sz w:val="18"/>
          <w:szCs w:val="18"/>
        </w:rPr>
        <w:sectPr>
          <w:pgSz w:w="11910" w:h="16840"/>
          <w:pgMar w:header="787" w:footer="982" w:top="1100" w:bottom="1180" w:left="980" w:right="0"/>
        </w:sectPr>
      </w:pPr>
    </w:p>
    <w:p>
      <w:pPr>
        <w:spacing w:line="240" w:lineRule="auto" w:before="11"/>
        <w:rPr>
          <w:rFonts w:ascii="宋体" w:hAnsi="宋体" w:cs="宋体" w:eastAsia="宋体" w:hint="default"/>
          <w:sz w:val="22"/>
          <w:szCs w:val="22"/>
        </w:rPr>
      </w:pPr>
    </w:p>
    <w:p>
      <w:pPr>
        <w:spacing w:before="44"/>
        <w:ind w:left="154" w:right="0" w:firstLine="0"/>
        <w:jc w:val="left"/>
        <w:rPr>
          <w:rFonts w:ascii="宋体" w:hAnsi="宋体" w:cs="宋体" w:eastAsia="宋体" w:hint="default"/>
          <w:sz w:val="18"/>
          <w:szCs w:val="18"/>
        </w:rPr>
      </w:pPr>
      <w:r>
        <w:rPr>
          <w:rFonts w:ascii="宋体" w:hAnsi="宋体" w:cs="宋体" w:eastAsia="宋体" w:hint="default"/>
          <w:sz w:val="18"/>
          <w:szCs w:val="18"/>
        </w:rPr>
        <w:t>设内容修订《公司章程</w:t>
      </w:r>
      <w:r>
        <w:rPr>
          <w:rFonts w:ascii="宋体" w:hAnsi="宋体" w:cs="宋体" w:eastAsia="宋体" w:hint="default"/>
          <w:spacing w:val="-90"/>
          <w:sz w:val="18"/>
          <w:szCs w:val="18"/>
        </w:rPr>
        <w:t>》</w:t>
      </w:r>
      <w:r>
        <w:rPr>
          <w:rFonts w:ascii="宋体" w:hAnsi="宋体" w:cs="宋体" w:eastAsia="宋体" w:hint="default"/>
          <w:sz w:val="18"/>
          <w:szCs w:val="18"/>
        </w:rPr>
        <w:t>。</w:t>
      </w:r>
    </w:p>
    <w:p>
      <w:pPr>
        <w:spacing w:before="116"/>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宋体" w:hAnsi="宋体" w:cs="宋体" w:eastAsia="宋体" w:hint="default"/>
          <w:sz w:val="18"/>
          <w:szCs w:val="18"/>
        </w:rPr>
        <w:t>、变更法定代表人修订《公司章程》</w:t>
      </w:r>
    </w:p>
    <w:p>
      <w:pPr>
        <w:spacing w:line="300" w:lineRule="auto" w:before="102"/>
        <w:ind w:left="153" w:right="1130" w:firstLine="360"/>
        <w:jc w:val="both"/>
        <w:rPr>
          <w:rFonts w:ascii="宋体" w:hAnsi="宋体" w:cs="宋体" w:eastAsia="宋体" w:hint="default"/>
          <w:sz w:val="18"/>
          <w:szCs w:val="18"/>
        </w:rPr>
      </w:pPr>
      <w:r>
        <w:rPr>
          <w:rFonts w:ascii="宋体" w:hAnsi="宋体" w:cs="宋体" w:eastAsia="宋体" w:hint="default"/>
          <w:sz w:val="18"/>
          <w:szCs w:val="18"/>
        </w:rPr>
        <w:t>因公司经营及管理的需要，经</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1"/>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日公司第七届董事会第七次会议、</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日公司</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年度第 </w:t>
      </w:r>
      <w:r>
        <w:rPr>
          <w:rFonts w:ascii="宋体" w:hAnsi="宋体" w:cs="宋体" w:eastAsia="宋体" w:hint="default"/>
          <w:spacing w:val="-3"/>
          <w:sz w:val="18"/>
          <w:szCs w:val="18"/>
        </w:rPr>
        <w:t>六次临时股东大会审议，同意变更法定代表人修订《公司章程》。</w:t>
      </w:r>
      <w:r>
        <w:rPr>
          <w:rFonts w:ascii="Times New Roman" w:hAnsi="Times New Roman" w:cs="Times New Roman" w:eastAsia="Times New Roman" w:hint="default"/>
          <w:spacing w:val="-3"/>
          <w:sz w:val="18"/>
          <w:szCs w:val="18"/>
        </w:rPr>
        <w:t>2018</w:t>
      </w:r>
      <w:r>
        <w:rPr>
          <w:rFonts w:ascii="Times New Roman" w:hAnsi="Times New Roman" w:cs="Times New Roman" w:eastAsia="Times New Roman" w:hint="default"/>
          <w:sz w:val="18"/>
          <w:szCs w:val="18"/>
        </w:rPr>
        <w:t> </w:t>
      </w:r>
      <w:r>
        <w:rPr>
          <w:rFonts w:ascii="宋体" w:hAnsi="宋体" w:cs="宋体" w:eastAsia="宋体" w:hint="default"/>
          <w:sz w:val="18"/>
          <w:szCs w:val="18"/>
        </w:rPr>
        <w:t>年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21"/>
          <w:sz w:val="18"/>
          <w:szCs w:val="18"/>
        </w:rPr>
        <w:t> </w:t>
      </w:r>
      <w:r>
        <w:rPr>
          <w:rFonts w:ascii="宋体" w:hAnsi="宋体" w:cs="宋体" w:eastAsia="宋体" w:hint="default"/>
          <w:sz w:val="18"/>
          <w:szCs w:val="18"/>
        </w:rPr>
        <w:t>月，公司完成工商变更登记，公司法定代表人 变更为总裁徐刚先生。</w:t>
      </w:r>
    </w:p>
    <w:p>
      <w:pPr>
        <w:spacing w:line="338" w:lineRule="auto" w:before="71"/>
        <w:ind w:left="51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13</w:t>
      </w:r>
      <w:r>
        <w:rPr>
          <w:rFonts w:ascii="宋体" w:hAnsi="宋体" w:cs="宋体" w:eastAsia="宋体" w:hint="default"/>
          <w:sz w:val="18"/>
          <w:szCs w:val="18"/>
        </w:rPr>
        <w:t>、签署系列网络安全和信息化产业《战略合作协议》 </w:t>
      </w:r>
      <w:r>
        <w:rPr>
          <w:rFonts w:ascii="宋体" w:hAnsi="宋体" w:cs="宋体" w:eastAsia="宋体" w:hint="default"/>
          <w:spacing w:val="-2"/>
          <w:sz w:val="18"/>
          <w:szCs w:val="18"/>
        </w:rPr>
        <w:t>为了发展网络安全和信息化产业，更好利用各自优势资源，共同打造基于国产软硬件生态体系，推进网络安全和信息化</w:t>
      </w:r>
    </w:p>
    <w:p>
      <w:pPr>
        <w:spacing w:line="314" w:lineRule="auto" w:before="2"/>
        <w:ind w:left="153" w:right="0" w:firstLine="0"/>
        <w:jc w:val="left"/>
        <w:rPr>
          <w:rFonts w:ascii="宋体" w:hAnsi="宋体" w:cs="宋体" w:eastAsia="宋体" w:hint="default"/>
          <w:sz w:val="18"/>
          <w:szCs w:val="18"/>
        </w:rPr>
      </w:pPr>
      <w:r>
        <w:rPr>
          <w:rFonts w:ascii="宋体" w:hAnsi="宋体" w:cs="宋体" w:eastAsia="宋体" w:hint="default"/>
          <w:sz w:val="18"/>
          <w:szCs w:val="18"/>
        </w:rPr>
        <w:t>产业发展，本着互惠互利、长期合作、共同发展的原则，公司及下属公司于</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日分别与湖南国科微电子股份 </w:t>
      </w:r>
      <w:r>
        <w:rPr>
          <w:rFonts w:ascii="宋体" w:hAnsi="宋体" w:cs="宋体" w:eastAsia="宋体" w:hint="default"/>
          <w:spacing w:val="-4"/>
          <w:sz w:val="18"/>
          <w:szCs w:val="18"/>
        </w:rPr>
        <w:t>有限公司、深圳中电国际信息科技有限公司、深圳云天励飞技术有限公司、深信服科技股份有限公司、星环信息科技（上海）</w:t>
      </w:r>
      <w:r>
        <w:rPr>
          <w:rFonts w:ascii="宋体" w:hAnsi="宋体" w:cs="宋体" w:eastAsia="宋体" w:hint="default"/>
          <w:spacing w:val="-44"/>
          <w:sz w:val="18"/>
          <w:szCs w:val="18"/>
        </w:rPr>
        <w:t> </w:t>
      </w:r>
      <w:r>
        <w:rPr>
          <w:rFonts w:ascii="宋体" w:hAnsi="宋体" w:cs="宋体" w:eastAsia="宋体" w:hint="default"/>
          <w:spacing w:val="-44"/>
          <w:sz w:val="18"/>
          <w:szCs w:val="18"/>
        </w:rPr>
      </w:r>
      <w:r>
        <w:rPr>
          <w:rFonts w:ascii="宋体" w:hAnsi="宋体" w:cs="宋体" w:eastAsia="宋体" w:hint="default"/>
          <w:spacing w:val="-2"/>
          <w:sz w:val="18"/>
          <w:szCs w:val="18"/>
        </w:rPr>
        <w:t>有限公司、创智和宇信息技术股份有限公司、北京神州云联科技有限公司、湖南雨人网络安全技术股份有限公司、长沙景嘉</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5"/>
          <w:sz w:val="18"/>
          <w:szCs w:val="18"/>
        </w:rPr>
        <w:t>微电子股份有限公司、上海融达信息科技有限公司、长沙富格伦信息科技有限公司、长沙市卫生和计划生育委员会签订了《战</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pacing w:val="-13"/>
          <w:sz w:val="18"/>
          <w:szCs w:val="18"/>
        </w:rPr>
        <w:t>略合作协议》。</w:t>
      </w:r>
    </w:p>
    <w:p>
      <w:pPr>
        <w:spacing w:line="319" w:lineRule="auto" w:before="60"/>
        <w:ind w:left="153" w:right="1131" w:firstLine="360"/>
        <w:jc w:val="both"/>
        <w:rPr>
          <w:rFonts w:ascii="宋体" w:hAnsi="宋体" w:cs="宋体" w:eastAsia="宋体" w:hint="default"/>
          <w:sz w:val="18"/>
          <w:szCs w:val="18"/>
        </w:rPr>
      </w:pPr>
      <w:r>
        <w:rPr>
          <w:rFonts w:ascii="宋体" w:hAnsi="宋体" w:cs="宋体" w:eastAsia="宋体" w:hint="default"/>
          <w:spacing w:val="-2"/>
          <w:sz w:val="18"/>
          <w:szCs w:val="18"/>
        </w:rPr>
        <w:t>主要合作内容：充分利用各自优势，以市场带动研发和适配，聚集资源，共同推进网络安全产业能力提升。将在国产软</w:t>
      </w:r>
      <w:r>
        <w:rPr>
          <w:rFonts w:ascii="宋体" w:hAnsi="宋体" w:cs="宋体" w:eastAsia="宋体" w:hint="default"/>
          <w:sz w:val="18"/>
          <w:szCs w:val="18"/>
        </w:rPr>
        <w:t> </w:t>
      </w:r>
      <w:r>
        <w:rPr>
          <w:rFonts w:ascii="宋体" w:hAnsi="宋体" w:cs="宋体" w:eastAsia="宋体" w:hint="default"/>
          <w:spacing w:val="-2"/>
          <w:sz w:val="18"/>
          <w:szCs w:val="18"/>
        </w:rPr>
        <w:t>硬件、信息安全、大数据、人工智能、芯片、存储等领域进行合作，推动合作领域的生态应用、平台业务的创新升级和成果</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孵化，提升市场拓展效率，创造更大的商业价值。</w:t>
      </w:r>
    </w:p>
    <w:p>
      <w:pPr>
        <w:spacing w:line="338" w:lineRule="auto" w:before="56"/>
        <w:ind w:left="513" w:right="112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14</w:t>
      </w:r>
      <w:r>
        <w:rPr>
          <w:rFonts w:ascii="宋体" w:hAnsi="宋体" w:cs="宋体" w:eastAsia="宋体" w:hint="default"/>
          <w:sz w:val="18"/>
          <w:szCs w:val="18"/>
        </w:rPr>
        <w:t>、总部基地及产业化项目（北地块） 为满足公司信息安全自主研发体系以及军民融合等新兴业务的建设和发展的场地需要，经</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6"/>
          <w:sz w:val="18"/>
          <w:szCs w:val="18"/>
        </w:rPr>
        <w:t> </w:t>
      </w:r>
      <w:r>
        <w:rPr>
          <w:rFonts w:ascii="宋体" w:hAnsi="宋体" w:cs="宋体" w:eastAsia="宋体" w:hint="default"/>
          <w:spacing w:val="-7"/>
          <w:sz w:val="18"/>
          <w:szCs w:val="18"/>
        </w:rPr>
        <w:t>日、</w:t>
      </w:r>
      <w:r>
        <w:rPr>
          <w:rFonts w:ascii="Times New Roman" w:hAnsi="Times New Roman" w:cs="Times New Roman" w:eastAsia="Times New Roman" w:hint="default"/>
          <w:spacing w:val="-7"/>
          <w:sz w:val="18"/>
          <w:szCs w:val="18"/>
        </w:rPr>
        <w:t>2019</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1</w:t>
      </w:r>
    </w:p>
    <w:p>
      <w:pPr>
        <w:spacing w:line="230" w:lineRule="exact"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日公司第七届董事会审议，同意公司在湖南省长沙市岳麓区麓谷产业基地自有地块投资建设“总部基地及产业化项目</w:t>
      </w:r>
    </w:p>
    <w:p>
      <w:pPr>
        <w:spacing w:before="63"/>
        <w:ind w:left="153" w:right="0" w:firstLine="0"/>
        <w:jc w:val="left"/>
        <w:rPr>
          <w:rFonts w:ascii="宋体" w:hAnsi="宋体" w:cs="宋体" w:eastAsia="宋体" w:hint="default"/>
          <w:sz w:val="18"/>
          <w:szCs w:val="18"/>
        </w:rPr>
      </w:pPr>
      <w:r>
        <w:rPr>
          <w:rFonts w:ascii="宋体" w:hAnsi="宋体" w:cs="宋体" w:eastAsia="宋体" w:hint="default"/>
          <w:sz w:val="18"/>
          <w:szCs w:val="18"/>
        </w:rPr>
        <w:t>（北地块</w:t>
      </w:r>
      <w:r>
        <w:rPr>
          <w:rFonts w:ascii="宋体" w:hAnsi="宋体" w:cs="宋体" w:eastAsia="宋体" w:hint="default"/>
          <w:spacing w:val="-90"/>
          <w:sz w:val="18"/>
          <w:szCs w:val="18"/>
        </w:rPr>
        <w:t>）”</w:t>
      </w:r>
      <w:r>
        <w:rPr>
          <w:rFonts w:ascii="宋体" w:hAnsi="宋体" w:cs="宋体" w:eastAsia="宋体" w:hint="default"/>
          <w:spacing w:val="-14"/>
          <w:sz w:val="18"/>
          <w:szCs w:val="18"/>
        </w:rPr>
        <w:t>，</w:t>
      </w:r>
      <w:r>
        <w:rPr>
          <w:rFonts w:ascii="宋体" w:hAnsi="宋体" w:cs="宋体" w:eastAsia="宋体" w:hint="default"/>
          <w:sz w:val="18"/>
          <w:szCs w:val="18"/>
        </w:rPr>
        <w:t>建设内容为中国长城集团总部基地</w:t>
      </w:r>
      <w:r>
        <w:rPr>
          <w:rFonts w:ascii="宋体" w:hAnsi="宋体" w:cs="宋体" w:eastAsia="宋体" w:hint="default"/>
          <w:spacing w:val="-14"/>
          <w:sz w:val="18"/>
          <w:szCs w:val="18"/>
        </w:rPr>
        <w:t>、</w:t>
      </w:r>
      <w:r>
        <w:rPr>
          <w:rFonts w:ascii="宋体" w:hAnsi="宋体" w:cs="宋体" w:eastAsia="宋体" w:hint="default"/>
          <w:sz w:val="18"/>
          <w:szCs w:val="18"/>
        </w:rPr>
        <w:t>研发</w:t>
      </w:r>
      <w:r>
        <w:rPr>
          <w:rFonts w:ascii="宋体" w:hAnsi="宋体" w:cs="宋体" w:eastAsia="宋体" w:hint="default"/>
          <w:spacing w:val="-14"/>
          <w:sz w:val="18"/>
          <w:szCs w:val="18"/>
        </w:rPr>
        <w:t>、</w:t>
      </w:r>
      <w:r>
        <w:rPr>
          <w:rFonts w:ascii="宋体" w:hAnsi="宋体" w:cs="宋体" w:eastAsia="宋体" w:hint="default"/>
          <w:sz w:val="18"/>
          <w:szCs w:val="18"/>
        </w:rPr>
        <w:t>办公及配套</w:t>
      </w:r>
      <w:r>
        <w:rPr>
          <w:rFonts w:ascii="宋体" w:hAnsi="宋体" w:cs="宋体" w:eastAsia="宋体" w:hint="default"/>
          <w:spacing w:val="-14"/>
          <w:sz w:val="18"/>
          <w:szCs w:val="18"/>
        </w:rPr>
        <w:t>，</w:t>
      </w:r>
      <w:r>
        <w:rPr>
          <w:rFonts w:ascii="宋体" w:hAnsi="宋体" w:cs="宋体" w:eastAsia="宋体" w:hint="default"/>
          <w:sz w:val="18"/>
          <w:szCs w:val="18"/>
        </w:rPr>
        <w:t>计划建设</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栋研发楼</w:t>
      </w:r>
      <w:r>
        <w:rPr>
          <w:rFonts w:ascii="宋体" w:hAnsi="宋体" w:cs="宋体" w:eastAsia="宋体" w:hint="default"/>
          <w:spacing w:val="-14"/>
          <w:sz w:val="18"/>
          <w:szCs w:val="18"/>
        </w:rPr>
        <w:t>、</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栋食堂</w:t>
      </w:r>
      <w:r>
        <w:rPr>
          <w:rFonts w:ascii="宋体" w:hAnsi="宋体" w:cs="宋体" w:eastAsia="宋体" w:hint="default"/>
          <w:spacing w:val="-14"/>
          <w:sz w:val="18"/>
          <w:szCs w:val="18"/>
        </w:rPr>
        <w:t>、</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栋会议活动中心、</w:t>
      </w:r>
    </w:p>
    <w:p>
      <w:pPr>
        <w:spacing w:before="63"/>
        <w:ind w:left="15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栋总部大楼和地下车库，建筑总面积约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万平方米（其中地上建筑面积约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万平方米，地下建筑面积约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w:t>
      </w:r>
      <w:r>
        <w:rPr>
          <w:rFonts w:ascii="宋体" w:hAnsi="宋体" w:cs="宋体" w:eastAsia="宋体" w:hint="default"/>
          <w:spacing w:val="1"/>
          <w:sz w:val="18"/>
          <w:szCs w:val="18"/>
        </w:rPr>
        <w:t>平</w:t>
      </w:r>
      <w:r>
        <w:rPr>
          <w:rFonts w:ascii="宋体" w:hAnsi="宋体" w:cs="宋体" w:eastAsia="宋体" w:hint="default"/>
          <w:sz w:val="18"/>
          <w:szCs w:val="18"/>
        </w:rPr>
        <w:t>方米</w:t>
      </w:r>
      <w:r>
        <w:rPr>
          <w:rFonts w:ascii="宋体" w:hAnsi="宋体" w:cs="宋体" w:eastAsia="宋体" w:hint="default"/>
          <w:spacing w:val="-89"/>
          <w:sz w:val="18"/>
          <w:szCs w:val="18"/>
        </w:rPr>
        <w:t>）</w:t>
      </w:r>
      <w:r>
        <w:rPr>
          <w:rFonts w:ascii="宋体" w:hAnsi="宋体" w:cs="宋体" w:eastAsia="宋体" w:hint="default"/>
          <w:sz w:val="18"/>
          <w:szCs w:val="18"/>
        </w:rPr>
        <w:t>，</w:t>
      </w:r>
    </w:p>
    <w:p>
      <w:pPr>
        <w:spacing w:before="64"/>
        <w:ind w:left="154" w:right="0" w:firstLine="0"/>
        <w:jc w:val="left"/>
        <w:rPr>
          <w:rFonts w:ascii="宋体" w:hAnsi="宋体" w:cs="宋体" w:eastAsia="宋体" w:hint="default"/>
          <w:sz w:val="18"/>
          <w:szCs w:val="18"/>
        </w:rPr>
      </w:pPr>
      <w:r>
        <w:rPr>
          <w:rFonts w:ascii="宋体" w:hAnsi="宋体" w:cs="宋体" w:eastAsia="宋体" w:hint="default"/>
          <w:sz w:val="18"/>
          <w:szCs w:val="18"/>
        </w:rPr>
        <w:t>预计项目建设总投资约人民币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5.63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w:t>
      </w:r>
    </w:p>
    <w:p>
      <w:pPr>
        <w:spacing w:before="103"/>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15</w:t>
      </w:r>
      <w:r>
        <w:rPr>
          <w:rFonts w:ascii="宋体" w:hAnsi="宋体" w:cs="宋体" w:eastAsia="宋体" w:hint="default"/>
          <w:sz w:val="18"/>
          <w:szCs w:val="18"/>
        </w:rPr>
        <w:t>、收购天津飞腾部分股权的意向</w:t>
      </w:r>
    </w:p>
    <w:p>
      <w:pPr>
        <w:spacing w:line="307" w:lineRule="auto" w:before="101"/>
        <w:ind w:left="153" w:right="1131" w:firstLine="360"/>
        <w:jc w:val="both"/>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日，为进一步将公司打造为中国电子网络安全和信息化专业子集团及国家信息安全领域领军企业，实现 </w:t>
      </w:r>
      <w:r>
        <w:rPr>
          <w:rFonts w:ascii="宋体" w:hAnsi="宋体" w:cs="宋体" w:eastAsia="宋体" w:hint="default"/>
          <w:spacing w:val="-2"/>
          <w:sz w:val="18"/>
          <w:szCs w:val="18"/>
        </w:rPr>
        <w:t>核心关键技术、整机与服务相结合的产业链经营模式，经公司董事会审议，同意公司与华大半导体有限公司（简称“华大半</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3"/>
          <w:sz w:val="18"/>
          <w:szCs w:val="18"/>
        </w:rPr>
        <w:t>导体”，为中国电子下属全资企业）签署《关于转让天津飞腾信息技术有限公司</w:t>
      </w:r>
      <w:r>
        <w:rPr>
          <w:rFonts w:ascii="宋体" w:hAnsi="宋体" w:cs="宋体" w:eastAsia="宋体" w:hint="default"/>
          <w:spacing w:val="23"/>
          <w:sz w:val="18"/>
          <w:szCs w:val="18"/>
        </w:rPr>
        <w:t> </w:t>
      </w:r>
      <w:r>
        <w:rPr>
          <w:rFonts w:ascii="Times New Roman" w:hAnsi="Times New Roman" w:cs="Times New Roman" w:eastAsia="Times New Roman" w:hint="default"/>
          <w:spacing w:val="-5"/>
          <w:sz w:val="18"/>
          <w:szCs w:val="18"/>
        </w:rPr>
        <w:t>13.54%</w:t>
      </w:r>
      <w:r>
        <w:rPr>
          <w:rFonts w:ascii="宋体" w:hAnsi="宋体" w:cs="宋体" w:eastAsia="宋体" w:hint="default"/>
          <w:spacing w:val="-5"/>
          <w:sz w:val="18"/>
          <w:szCs w:val="18"/>
        </w:rPr>
        <w:t>股权之股权转让框架协议》，就收购</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2"/>
          <w:sz w:val="18"/>
          <w:szCs w:val="18"/>
        </w:rPr>
        <w:t>华大半导体所持有的天津飞腾信息技术有限公司（简称“天津飞腾”）</w:t>
      </w:r>
      <w:r>
        <w:rPr>
          <w:rFonts w:ascii="Times New Roman" w:hAnsi="Times New Roman" w:cs="Times New Roman" w:eastAsia="Times New Roman" w:hint="default"/>
          <w:spacing w:val="-2"/>
          <w:sz w:val="18"/>
          <w:szCs w:val="18"/>
        </w:rPr>
        <w:t>13.54%</w:t>
      </w:r>
      <w:r>
        <w:rPr>
          <w:rFonts w:ascii="宋体" w:hAnsi="宋体" w:cs="宋体" w:eastAsia="宋体" w:hint="default"/>
          <w:spacing w:val="-2"/>
          <w:sz w:val="18"/>
          <w:szCs w:val="18"/>
        </w:rPr>
        <w:t>股权事宜双方达成了初步意向；在框架协议签</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pacing w:val="-2"/>
          <w:sz w:val="18"/>
          <w:szCs w:val="18"/>
        </w:rPr>
        <w:t>署后，拟交易的双方及天津飞腾相关股东方就收购标的的定价进行了反复沟通以求开展并完成评估定价事宜，目前仍在进行</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中，双方尚未签署正式的股权转让协议。未来各方将加大协商力度，尽快确定交易标的价格。</w:t>
      </w:r>
    </w:p>
    <w:p>
      <w:pPr>
        <w:spacing w:before="65"/>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16</w:t>
      </w:r>
      <w:r>
        <w:rPr>
          <w:rFonts w:ascii="宋体" w:hAnsi="宋体" w:cs="宋体" w:eastAsia="宋体" w:hint="default"/>
          <w:sz w:val="18"/>
          <w:szCs w:val="18"/>
        </w:rPr>
        <w:t>、独立董事关于控股股东及其他关联方占用公司资金、公司对外担保情况的专项说明和独立意见</w:t>
      </w:r>
    </w:p>
    <w:p>
      <w:pPr>
        <w:spacing w:line="309" w:lineRule="auto" w:before="102"/>
        <w:ind w:left="154" w:right="1129" w:firstLine="360"/>
        <w:jc w:val="both"/>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）在防范资金占用方面，公司定有《防范控股股东及关联方资金占用管理办法》，严格防范控股股东及关联方资金占</w:t>
      </w:r>
      <w:r>
        <w:rPr>
          <w:rFonts w:ascii="宋体" w:hAnsi="宋体" w:cs="宋体" w:eastAsia="宋体" w:hint="default"/>
          <w:sz w:val="18"/>
          <w:szCs w:val="18"/>
        </w:rPr>
        <w:t> </w:t>
      </w:r>
      <w:r>
        <w:rPr>
          <w:rFonts w:ascii="宋体" w:hAnsi="宋体" w:cs="宋体" w:eastAsia="宋体" w:hint="default"/>
          <w:spacing w:val="-2"/>
          <w:sz w:val="18"/>
          <w:szCs w:val="18"/>
        </w:rPr>
        <w:t>用的风险，目前不存在因控股股东及其关联方占用或转移公司资金、资产或其他资源而给公司造成损失或可能造成损失的情</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形。</w:t>
      </w:r>
    </w:p>
    <w:p>
      <w:pPr>
        <w:spacing w:line="309" w:lineRule="auto" w:before="62"/>
        <w:ind w:left="153" w:right="1128" w:firstLine="360"/>
        <w:jc w:val="both"/>
        <w:rPr>
          <w:rFonts w:ascii="宋体" w:hAnsi="宋体" w:cs="宋体" w:eastAsia="宋体" w:hint="default"/>
          <w:sz w:val="18"/>
          <w:szCs w:val="18"/>
        </w:rPr>
      </w:pPr>
      <w:r>
        <w:rPr>
          <w:rFonts w:ascii="宋体" w:hAnsi="宋体" w:cs="宋体" w:eastAsia="宋体" w:hint="default"/>
          <w:sz w:val="18"/>
          <w:szCs w:val="18"/>
        </w:rPr>
        <w:t>根据立信会计师事务所（特殊普通合伙）在</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年财务报告审计过程中出具的《关于对中国长城控股股东及其他关联 </w:t>
      </w:r>
      <w:r>
        <w:rPr>
          <w:rFonts w:ascii="宋体" w:hAnsi="宋体" w:cs="宋体" w:eastAsia="宋体" w:hint="default"/>
          <w:spacing w:val="-2"/>
          <w:sz w:val="18"/>
          <w:szCs w:val="18"/>
        </w:rPr>
        <w:t>方占用资金情况的专项审计说明》，公司已真实反映了在正常经营中关联方资金占用的情况，均为经营性占用，公司不存在</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控股股东及其他关联方非经营性占用公司资金的情形。</w:t>
      </w:r>
    </w:p>
    <w:p>
      <w:pPr>
        <w:spacing w:line="309" w:lineRule="auto" w:before="62"/>
        <w:ind w:left="153" w:right="1129" w:firstLine="360"/>
        <w:jc w:val="both"/>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）在公司对外担保方面，公司定有《对外担保管理制度》，严格按照有关规定规范公司对外担保行为，控制公司对外</w:t>
      </w:r>
      <w:r>
        <w:rPr>
          <w:rFonts w:ascii="宋体" w:hAnsi="宋体" w:cs="宋体" w:eastAsia="宋体" w:hint="default"/>
          <w:sz w:val="18"/>
          <w:szCs w:val="18"/>
        </w:rPr>
        <w:t> </w:t>
      </w:r>
      <w:r>
        <w:rPr>
          <w:rFonts w:ascii="宋体" w:hAnsi="宋体" w:cs="宋体" w:eastAsia="宋体" w:hint="default"/>
          <w:spacing w:val="-2"/>
          <w:sz w:val="18"/>
          <w:szCs w:val="18"/>
        </w:rPr>
        <w:t>担保风险，没有违反《关于规范上市公司对外担保行为的通知》的事项发生，目前未有明显迹象表明公司可能因对外担保中</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的被担保方违约而需承担担保责任。</w:t>
      </w:r>
    </w:p>
    <w:p>
      <w:pPr>
        <w:spacing w:before="64"/>
        <w:ind w:left="513" w:right="0" w:firstLine="0"/>
        <w:jc w:val="left"/>
        <w:rPr>
          <w:rFonts w:ascii="宋体" w:hAnsi="宋体" w:cs="宋体" w:eastAsia="宋体" w:hint="default"/>
          <w:sz w:val="18"/>
          <w:szCs w:val="18"/>
        </w:rPr>
      </w:pPr>
      <w:r>
        <w:rPr>
          <w:rFonts w:ascii="宋体" w:hAnsi="宋体" w:cs="宋体" w:eastAsia="宋体" w:hint="default"/>
          <w:sz w:val="18"/>
          <w:szCs w:val="18"/>
        </w:rPr>
        <w:t>截至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日，公司及控股子公司没有为公司控股股东及其他关联方、任何个人提供担保的情况，公司对外</w:t>
      </w:r>
    </w:p>
    <w:p>
      <w:pPr>
        <w:spacing w:line="300" w:lineRule="auto" w:before="63"/>
        <w:ind w:left="153" w:right="1032" w:firstLine="0"/>
        <w:jc w:val="left"/>
        <w:rPr>
          <w:rFonts w:ascii="宋体" w:hAnsi="宋体" w:cs="宋体" w:eastAsia="宋体" w:hint="default"/>
          <w:sz w:val="18"/>
          <w:szCs w:val="18"/>
        </w:rPr>
      </w:pPr>
      <w:r>
        <w:rPr>
          <w:rFonts w:ascii="宋体" w:hAnsi="宋体" w:cs="宋体" w:eastAsia="宋体" w:hint="default"/>
          <w:sz w:val="18"/>
          <w:szCs w:val="18"/>
        </w:rPr>
        <w:t>担保余额约为</w:t>
      </w:r>
      <w:r>
        <w:rPr>
          <w:rFonts w:ascii="宋体" w:hAnsi="宋体" w:cs="宋体" w:eastAsia="宋体" w:hint="default"/>
          <w:spacing w:val="-32"/>
          <w:sz w:val="18"/>
          <w:szCs w:val="18"/>
        </w:rPr>
        <w:t> </w:t>
      </w:r>
      <w:r>
        <w:rPr>
          <w:rFonts w:ascii="Times New Roman" w:hAnsi="Times New Roman" w:cs="Times New Roman" w:eastAsia="Times New Roman" w:hint="default"/>
          <w:sz w:val="18"/>
          <w:szCs w:val="18"/>
        </w:rPr>
        <w:t>3,640.21</w:t>
      </w:r>
      <w:r>
        <w:rPr>
          <w:rFonts w:ascii="Times New Roman" w:hAnsi="Times New Roman" w:cs="Times New Roman" w:eastAsia="Times New Roman" w:hint="default"/>
          <w:spacing w:val="13"/>
          <w:sz w:val="18"/>
          <w:szCs w:val="18"/>
        </w:rPr>
        <w:t> </w:t>
      </w:r>
      <w:r>
        <w:rPr>
          <w:rFonts w:ascii="宋体" w:hAnsi="宋体" w:cs="宋体" w:eastAsia="宋体" w:hint="default"/>
          <w:spacing w:val="-3"/>
          <w:sz w:val="18"/>
          <w:szCs w:val="18"/>
        </w:rPr>
        <w:t>万元（不含公司为子公司提供的担保、下属子公司之间或子公司为其下属公司提供的担保），约占公</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司报告期末净资产的比例</w:t>
      </w:r>
      <w:r>
        <w:rPr>
          <w:rFonts w:ascii="宋体" w:hAnsi="宋体" w:cs="宋体" w:eastAsia="宋体" w:hint="default"/>
          <w:spacing w:val="-46"/>
          <w:sz w:val="18"/>
          <w:szCs w:val="18"/>
        </w:rPr>
        <w:t> </w:t>
      </w:r>
      <w:r>
        <w:rPr>
          <w:rFonts w:ascii="Times New Roman" w:hAnsi="Times New Roman" w:cs="Times New Roman" w:eastAsia="Times New Roman" w:hint="default"/>
          <w:spacing w:val="-5"/>
          <w:sz w:val="18"/>
          <w:szCs w:val="18"/>
        </w:rPr>
        <w:t>0.58%</w:t>
      </w:r>
      <w:r>
        <w:rPr>
          <w:rFonts w:ascii="宋体" w:hAnsi="宋体" w:cs="宋体" w:eastAsia="宋体" w:hint="default"/>
          <w:spacing w:val="-5"/>
          <w:sz w:val="18"/>
          <w:szCs w:val="18"/>
        </w:rPr>
        <w:t>；公司为子公司提供的担保余额约为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27,189.15</w:t>
      </w:r>
      <w:r>
        <w:rPr>
          <w:rFonts w:ascii="Times New Roman" w:hAnsi="Times New Roman" w:cs="Times New Roman" w:eastAsia="Times New Roman" w:hint="default"/>
          <w:spacing w:val="-1"/>
          <w:sz w:val="18"/>
          <w:szCs w:val="18"/>
        </w:rPr>
        <w:t> </w:t>
      </w:r>
      <w:r>
        <w:rPr>
          <w:rFonts w:ascii="宋体" w:hAnsi="宋体" w:cs="宋体" w:eastAsia="宋体" w:hint="default"/>
          <w:spacing w:val="-6"/>
          <w:sz w:val="18"/>
          <w:szCs w:val="18"/>
        </w:rPr>
        <w:t>万元，约占公司报告期末净资产的比例</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4.36%</w:t>
      </w:r>
      <w:r>
        <w:rPr>
          <w:rFonts w:ascii="宋体" w:hAnsi="宋体" w:cs="宋体" w:eastAsia="宋体" w:hint="default"/>
          <w:sz w:val="18"/>
          <w:szCs w:val="18"/>
        </w:rPr>
        <w:t>； 下属子公司之间或子公司为其下属公司提供的担保余额约为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32,062.90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万元，约占公司报告期末净资产的比例</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5.14%</w:t>
      </w:r>
      <w:r>
        <w:rPr>
          <w:rFonts w:ascii="宋体" w:hAnsi="宋体" w:cs="宋体" w:eastAsia="宋体" w:hint="default"/>
          <w:sz w:val="18"/>
          <w:szCs w:val="18"/>
        </w:rPr>
        <w:t>。</w:t>
      </w:r>
    </w:p>
    <w:p>
      <w:pPr>
        <w:spacing w:after="0" w:line="300" w:lineRule="auto"/>
        <w:jc w:val="left"/>
        <w:rPr>
          <w:rFonts w:ascii="宋体" w:hAnsi="宋体" w:cs="宋体" w:eastAsia="宋体" w:hint="default"/>
          <w:sz w:val="18"/>
          <w:szCs w:val="18"/>
        </w:rPr>
        <w:sectPr>
          <w:pgSz w:w="11910" w:h="16840"/>
          <w:pgMar w:header="787" w:footer="982" w:top="1100" w:bottom="1180" w:left="980" w:right="0"/>
        </w:sectPr>
      </w:pPr>
    </w:p>
    <w:p>
      <w:pPr>
        <w:spacing w:line="240" w:lineRule="auto" w:before="10"/>
        <w:rPr>
          <w:rFonts w:ascii="宋体" w:hAnsi="宋体" w:cs="宋体" w:eastAsia="宋体" w:hint="default"/>
          <w:sz w:val="22"/>
          <w:szCs w:val="22"/>
        </w:rPr>
      </w:pPr>
    </w:p>
    <w:p>
      <w:pPr>
        <w:spacing w:line="302" w:lineRule="auto" w:before="44"/>
        <w:ind w:left="154" w:right="1120" w:firstLine="36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）综上，我们认为公司能够按照有关规定控制对外担保及资金占用的风险，没有损害公司及公司股东尤其是中小股 东的利益。</w:t>
      </w:r>
    </w:p>
    <w:p>
      <w:pPr>
        <w:spacing w:line="240" w:lineRule="auto" w:before="9"/>
        <w:rPr>
          <w:rFonts w:ascii="宋体" w:hAnsi="宋体" w:cs="宋体" w:eastAsia="宋体" w:hint="default"/>
          <w:sz w:val="16"/>
          <w:szCs w:val="16"/>
        </w:rPr>
      </w:pPr>
    </w:p>
    <w:p>
      <w:pPr>
        <w:pStyle w:val="Heading4"/>
        <w:spacing w:line="240" w:lineRule="auto"/>
        <w:ind w:right="0"/>
        <w:jc w:val="left"/>
        <w:rPr>
          <w:b w:val="0"/>
          <w:bCs w:val="0"/>
        </w:rPr>
      </w:pPr>
      <w:r>
        <w:rPr/>
        <w:t>二十、公司子公司重大事项</w:t>
      </w:r>
      <w:r>
        <w:rPr>
          <w:b w:val="0"/>
          <w:bCs w:val="0"/>
        </w:rPr>
      </w:r>
    </w:p>
    <w:p>
      <w:pPr>
        <w:spacing w:line="240" w:lineRule="auto" w:before="1"/>
        <w:rPr>
          <w:rFonts w:ascii="宋体" w:hAnsi="宋体" w:cs="宋体" w:eastAsia="宋体" w:hint="default"/>
          <w:b/>
          <w:bCs/>
          <w:sz w:val="22"/>
          <w:szCs w:val="22"/>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before="116"/>
        <w:ind w:left="51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、长城香港收购柏怡 国际管理层股东</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宋体" w:hAnsi="宋体" w:cs="宋体" w:eastAsia="宋体" w:hint="default"/>
          <w:sz w:val="18"/>
          <w:szCs w:val="18"/>
        </w:rPr>
        <w:t>股权</w:t>
      </w:r>
    </w:p>
    <w:p>
      <w:pPr>
        <w:spacing w:line="300" w:lineRule="auto" w:before="102"/>
        <w:ind w:left="153" w:right="1127" w:firstLine="360"/>
        <w:jc w:val="both"/>
        <w:rPr>
          <w:rFonts w:ascii="宋体" w:hAnsi="宋体" w:cs="宋体" w:eastAsia="宋体" w:hint="default"/>
          <w:sz w:val="18"/>
          <w:szCs w:val="18"/>
        </w:rPr>
      </w:pPr>
      <w:r>
        <w:rPr>
          <w:rFonts w:ascii="宋体" w:hAnsi="宋体" w:cs="宋体" w:eastAsia="宋体" w:hint="default"/>
          <w:sz w:val="18"/>
          <w:szCs w:val="18"/>
        </w:rPr>
        <w:t>柏怡国际管理层股东意向出让其持有的</w:t>
      </w:r>
      <w:r>
        <w:rPr>
          <w:rFonts w:ascii="宋体" w:hAnsi="宋体" w:cs="宋体" w:eastAsia="宋体" w:hint="default"/>
          <w:spacing w:val="27"/>
          <w:sz w:val="18"/>
          <w:szCs w:val="18"/>
        </w:rPr>
        <w:t> </w:t>
      </w:r>
      <w:r>
        <w:rPr>
          <w:rFonts w:ascii="Times New Roman" w:hAnsi="Times New Roman" w:cs="Times New Roman" w:eastAsia="Times New Roman" w:hint="default"/>
          <w:sz w:val="18"/>
          <w:szCs w:val="18"/>
        </w:rPr>
        <w:t>20%</w:t>
      </w:r>
      <w:r>
        <w:rPr>
          <w:rFonts w:ascii="宋体" w:hAnsi="宋体" w:cs="宋体" w:eastAsia="宋体" w:hint="default"/>
          <w:sz w:val="18"/>
          <w:szCs w:val="18"/>
        </w:rPr>
        <w:t>股权，考虑到加强对柏怡国际的控制权有利于为进一步整合电源业务板块</w:t>
      </w:r>
      <w:r>
        <w:rPr>
          <w:rFonts w:ascii="宋体" w:hAnsi="宋体" w:cs="宋体" w:eastAsia="宋体" w:hint="default"/>
          <w:spacing w:val="1"/>
          <w:sz w:val="18"/>
          <w:szCs w:val="18"/>
        </w:rPr>
        <w:t> </w:t>
      </w:r>
      <w:r>
        <w:rPr>
          <w:rFonts w:ascii="宋体" w:hAnsi="宋体" w:cs="宋体" w:eastAsia="宋体" w:hint="default"/>
          <w:sz w:val="18"/>
          <w:szCs w:val="18"/>
        </w:rPr>
        <w:t>创造良好条件，以及收购资金过境便捷有利于加快推进收购事项完成，经</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8 </w:t>
      </w:r>
      <w:r>
        <w:rPr>
          <w:rFonts w:ascii="宋体" w:hAnsi="宋体" w:cs="宋体" w:eastAsia="宋体" w:hint="default"/>
          <w:sz w:val="18"/>
          <w:szCs w:val="18"/>
        </w:rPr>
        <w:t>日公司第七届董事会审议，同意长 城香港收购柏怡国际管理层股东持有的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宋体" w:hAnsi="宋体" w:cs="宋体" w:eastAsia="宋体" w:hint="default"/>
          <w:sz w:val="18"/>
          <w:szCs w:val="18"/>
        </w:rPr>
        <w:t>股权。</w:t>
      </w:r>
    </w:p>
    <w:p>
      <w:pPr>
        <w:spacing w:before="52"/>
        <w:ind w:left="51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月，收购事项已完成，公司直接及间接合计持有柏怡国际</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71%</w:t>
      </w:r>
      <w:r>
        <w:rPr>
          <w:rFonts w:ascii="宋体" w:hAnsi="宋体" w:cs="宋体" w:eastAsia="宋体" w:hint="default"/>
          <w:sz w:val="18"/>
          <w:szCs w:val="18"/>
        </w:rPr>
        <w:t>股权。</w:t>
      </w:r>
    </w:p>
    <w:p>
      <w:pPr>
        <w:spacing w:line="338" w:lineRule="auto" w:before="102"/>
        <w:ind w:left="513" w:right="103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、中原电子对长江科技进行增资 为支持中原电子下属全资子公司长江科技的业务发展，在增加其资本金、降低资产负债率以满足市场竞争中公司规模、</w:t>
      </w:r>
    </w:p>
    <w:p>
      <w:pPr>
        <w:spacing w:before="2"/>
        <w:ind w:left="153" w:right="0" w:firstLine="0"/>
        <w:jc w:val="left"/>
        <w:rPr>
          <w:rFonts w:ascii="宋体" w:hAnsi="宋体" w:cs="宋体" w:eastAsia="宋体" w:hint="default"/>
          <w:sz w:val="18"/>
          <w:szCs w:val="18"/>
        </w:rPr>
      </w:pPr>
      <w:r>
        <w:rPr>
          <w:rFonts w:ascii="宋体" w:hAnsi="宋体" w:cs="宋体" w:eastAsia="宋体" w:hint="default"/>
          <w:sz w:val="18"/>
          <w:szCs w:val="18"/>
        </w:rPr>
        <w:t>资产质地需要的同时，解决其改善工艺、提高生产效能的技改资金需求，经</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月</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日公司第七届董事会审议，同意</w:t>
      </w:r>
    </w:p>
    <w:p>
      <w:pPr>
        <w:spacing w:before="64"/>
        <w:ind w:left="153" w:right="0" w:firstLine="0"/>
        <w:jc w:val="left"/>
        <w:rPr>
          <w:rFonts w:ascii="宋体" w:hAnsi="宋体" w:cs="宋体" w:eastAsia="宋体" w:hint="default"/>
          <w:sz w:val="18"/>
          <w:szCs w:val="18"/>
        </w:rPr>
      </w:pPr>
      <w:r>
        <w:rPr>
          <w:rFonts w:ascii="宋体" w:hAnsi="宋体" w:cs="宋体" w:eastAsia="宋体" w:hint="default"/>
          <w:sz w:val="18"/>
          <w:szCs w:val="18"/>
        </w:rPr>
        <w:t>中原电子对长江科技增资人民币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万元。长江科技注册资本由原来的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万元增至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p>
      <w:pPr>
        <w:spacing w:before="102"/>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、中原电子收购瀚兴日月外方股东</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w:t>
      </w:r>
      <w:r>
        <w:rPr>
          <w:rFonts w:ascii="宋体" w:hAnsi="宋体" w:cs="宋体" w:eastAsia="宋体" w:hint="default"/>
          <w:sz w:val="18"/>
          <w:szCs w:val="18"/>
        </w:rPr>
        <w:t>股权</w:t>
      </w:r>
    </w:p>
    <w:p>
      <w:pPr>
        <w:spacing w:line="307" w:lineRule="auto" w:before="101"/>
        <w:ind w:left="154" w:right="1030" w:firstLine="360"/>
        <w:jc w:val="left"/>
        <w:rPr>
          <w:rFonts w:ascii="宋体" w:hAnsi="宋体" w:cs="宋体" w:eastAsia="宋体" w:hint="default"/>
          <w:sz w:val="18"/>
          <w:szCs w:val="18"/>
        </w:rPr>
      </w:pPr>
      <w:r>
        <w:rPr>
          <w:rFonts w:ascii="宋体" w:hAnsi="宋体" w:cs="宋体" w:eastAsia="宋体" w:hint="default"/>
          <w:spacing w:val="-4"/>
          <w:sz w:val="18"/>
          <w:szCs w:val="18"/>
        </w:rPr>
        <w:t>武汉瀚兴日月电源有限公司（简称“瀚兴日月”，为中原电子持股</w:t>
      </w:r>
      <w:r>
        <w:rPr>
          <w:rFonts w:ascii="宋体" w:hAnsi="宋体" w:cs="宋体" w:eastAsia="宋体" w:hint="default"/>
          <w:spacing w:val="-40"/>
          <w:sz w:val="18"/>
          <w:szCs w:val="18"/>
        </w:rPr>
        <w:t> </w:t>
      </w:r>
      <w:r>
        <w:rPr>
          <w:rFonts w:ascii="Times New Roman" w:hAnsi="Times New Roman" w:cs="Times New Roman" w:eastAsia="Times New Roman" w:hint="default"/>
          <w:spacing w:val="-1"/>
          <w:sz w:val="18"/>
          <w:szCs w:val="18"/>
        </w:rPr>
        <w:t>50%</w:t>
      </w:r>
      <w:r>
        <w:rPr>
          <w:rFonts w:ascii="宋体" w:hAnsi="宋体" w:cs="宋体" w:eastAsia="宋体" w:hint="default"/>
          <w:spacing w:val="-1"/>
          <w:sz w:val="18"/>
          <w:szCs w:val="18"/>
        </w:rPr>
        <w:t>的控股子公司，台商持股</w:t>
      </w:r>
      <w:r>
        <w:rPr>
          <w:rFonts w:ascii="宋体" w:hAnsi="宋体" w:cs="宋体" w:eastAsia="宋体" w:hint="default"/>
          <w:spacing w:val="-40"/>
          <w:sz w:val="18"/>
          <w:szCs w:val="18"/>
        </w:rPr>
        <w:t> </w:t>
      </w:r>
      <w:r>
        <w:rPr>
          <w:rFonts w:ascii="Times New Roman" w:hAnsi="Times New Roman" w:cs="Times New Roman" w:eastAsia="Times New Roman" w:hint="default"/>
          <w:spacing w:val="-1"/>
          <w:sz w:val="18"/>
          <w:szCs w:val="18"/>
        </w:rPr>
        <w:t>50%</w:t>
      </w:r>
      <w:r>
        <w:rPr>
          <w:rFonts w:ascii="宋体" w:hAnsi="宋体" w:cs="宋体" w:eastAsia="宋体" w:hint="default"/>
          <w:spacing w:val="-1"/>
          <w:sz w:val="18"/>
          <w:szCs w:val="18"/>
        </w:rPr>
        <w:t>）主要生产销售民</w:t>
      </w:r>
      <w:r>
        <w:rPr>
          <w:rFonts w:ascii="宋体" w:hAnsi="宋体" w:cs="宋体" w:eastAsia="宋体" w:hint="default"/>
          <w:sz w:val="18"/>
          <w:szCs w:val="18"/>
        </w:rPr>
        <w:t> 品锂电池，近年来发展稳定，在一次锂电池行业享有较高知名度。为进一步实现中原电子在电池能源领域的军工战略目标， 增加公司整体收益，同时助力瀚兴日月扩大生产经营规模，提升行业竞争力，经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日公司第七届董事会审议， 同意中原电子收购台商持有的瀚兴日月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w:t>
      </w:r>
      <w:r>
        <w:rPr>
          <w:rFonts w:ascii="宋体" w:hAnsi="宋体" w:cs="宋体" w:eastAsia="宋体" w:hint="default"/>
          <w:sz w:val="18"/>
          <w:szCs w:val="18"/>
        </w:rPr>
        <w:t>股权。</w:t>
      </w:r>
    </w:p>
    <w:p>
      <w:pPr>
        <w:spacing w:before="48"/>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月收购完成，瀚兴日月成为中原电子全资子公司。</w:t>
      </w:r>
    </w:p>
    <w:p>
      <w:pPr>
        <w:spacing w:before="102"/>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、对全资子公司股权结构调整</w:t>
      </w:r>
    </w:p>
    <w:p>
      <w:pPr>
        <w:spacing w:before="101"/>
        <w:ind w:left="514" w:right="0" w:firstLine="0"/>
        <w:jc w:val="left"/>
        <w:rPr>
          <w:rFonts w:ascii="宋体" w:hAnsi="宋体" w:cs="宋体" w:eastAsia="宋体" w:hint="default"/>
          <w:sz w:val="18"/>
          <w:szCs w:val="18"/>
        </w:rPr>
      </w:pPr>
      <w:r>
        <w:rPr>
          <w:rFonts w:ascii="宋体" w:hAnsi="宋体" w:cs="宋体" w:eastAsia="宋体" w:hint="default"/>
          <w:sz w:val="18"/>
          <w:szCs w:val="18"/>
        </w:rPr>
        <w:t>中原电子、圣非凡和湖南长城科技同为公司全资子公司。经</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日公司第七届董事会第七次会议审议，为</w:t>
      </w:r>
    </w:p>
    <w:p>
      <w:pPr>
        <w:spacing w:before="63"/>
        <w:ind w:left="154" w:right="0" w:firstLine="0"/>
        <w:jc w:val="left"/>
        <w:rPr>
          <w:rFonts w:ascii="Times New Roman" w:hAnsi="Times New Roman" w:cs="Times New Roman" w:eastAsia="Times New Roman" w:hint="default"/>
          <w:sz w:val="18"/>
          <w:szCs w:val="18"/>
        </w:rPr>
      </w:pPr>
      <w:r>
        <w:rPr>
          <w:rFonts w:ascii="宋体" w:hAnsi="宋体" w:cs="宋体" w:eastAsia="宋体" w:hint="default"/>
          <w:spacing w:val="-3"/>
          <w:sz w:val="18"/>
          <w:szCs w:val="18"/>
        </w:rPr>
        <w:t>优化管理体系，促进板块业务协同，提高经营效率，公司从战略发展角度出发，将持有的中原电子 </w:t>
      </w:r>
      <w:r>
        <w:rPr>
          <w:rFonts w:ascii="Times New Roman" w:hAnsi="Times New Roman" w:cs="Times New Roman" w:eastAsia="Times New Roman" w:hint="default"/>
          <w:spacing w:val="-3"/>
          <w:sz w:val="18"/>
          <w:szCs w:val="18"/>
        </w:rPr>
        <w:t>100%</w:t>
      </w:r>
      <w:r>
        <w:rPr>
          <w:rFonts w:ascii="宋体" w:hAnsi="宋体" w:cs="宋体" w:eastAsia="宋体" w:hint="default"/>
          <w:spacing w:val="-3"/>
          <w:sz w:val="18"/>
          <w:szCs w:val="18"/>
        </w:rPr>
        <w:t>股权、圣非凡</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100%</w:t>
      </w:r>
    </w:p>
    <w:p>
      <w:pPr>
        <w:spacing w:before="64"/>
        <w:ind w:left="154" w:right="0" w:firstLine="0"/>
        <w:jc w:val="left"/>
        <w:rPr>
          <w:rFonts w:ascii="宋体" w:hAnsi="宋体" w:cs="宋体" w:eastAsia="宋体" w:hint="default"/>
          <w:sz w:val="18"/>
          <w:szCs w:val="18"/>
        </w:rPr>
      </w:pPr>
      <w:r>
        <w:rPr>
          <w:rFonts w:ascii="宋体" w:hAnsi="宋体" w:cs="宋体" w:eastAsia="宋体" w:hint="default"/>
          <w:sz w:val="18"/>
          <w:szCs w:val="18"/>
        </w:rPr>
        <w:t>股权转让给湖南长城科技。</w:t>
      </w:r>
    </w:p>
    <w:p>
      <w:pPr>
        <w:spacing w:line="338" w:lineRule="auto" w:before="117"/>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、湖南长城自主可控整机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万台年产能提升项目 </w:t>
      </w:r>
      <w:r>
        <w:rPr>
          <w:rFonts w:ascii="宋体" w:hAnsi="宋体" w:cs="宋体" w:eastAsia="宋体" w:hint="default"/>
          <w:spacing w:val="-2"/>
          <w:sz w:val="18"/>
          <w:szCs w:val="18"/>
        </w:rPr>
        <w:t>湖南长城计算机系统有限公司（简称“湖南长城”）是公司与株洲市人民政府、株洲高新技术产业开发区管委会合作，</w:t>
      </w:r>
    </w:p>
    <w:p>
      <w:pPr>
        <w:spacing w:line="319" w:lineRule="auto" w:before="2"/>
        <w:ind w:left="154" w:right="0" w:firstLine="0"/>
        <w:jc w:val="left"/>
        <w:rPr>
          <w:rFonts w:ascii="宋体" w:hAnsi="宋体" w:cs="宋体" w:eastAsia="宋体" w:hint="default"/>
          <w:sz w:val="18"/>
          <w:szCs w:val="18"/>
        </w:rPr>
      </w:pPr>
      <w:r>
        <w:rPr>
          <w:rFonts w:ascii="宋体" w:hAnsi="宋体" w:cs="宋体" w:eastAsia="宋体" w:hint="default"/>
          <w:spacing w:val="-2"/>
          <w:sz w:val="18"/>
          <w:szCs w:val="18"/>
        </w:rPr>
        <w:t>为推进自主可控计算机产业化、加快株洲电子信息产业发展而于湖南省株洲市天元区投资设立的全资子公司，是公司重要的</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自主可控生产基地，目前已具备年产能</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 </w:t>
      </w:r>
      <w:r>
        <w:rPr>
          <w:rFonts w:ascii="宋体" w:hAnsi="宋体" w:cs="宋体" w:eastAsia="宋体" w:hint="default"/>
          <w:sz w:val="18"/>
          <w:szCs w:val="18"/>
        </w:rPr>
        <w:t>万台自主可控整机的生产能力。</w:t>
      </w:r>
    </w:p>
    <w:p>
      <w:pPr>
        <w:spacing w:line="316" w:lineRule="auto" w:before="35"/>
        <w:ind w:left="154" w:right="1121" w:firstLine="360"/>
        <w:jc w:val="left"/>
        <w:rPr>
          <w:rFonts w:ascii="宋体" w:hAnsi="宋体" w:cs="宋体" w:eastAsia="宋体" w:hint="default"/>
          <w:sz w:val="18"/>
          <w:szCs w:val="18"/>
        </w:rPr>
      </w:pPr>
      <w:r>
        <w:rPr>
          <w:rFonts w:ascii="宋体" w:hAnsi="宋体" w:cs="宋体" w:eastAsia="宋体" w:hint="default"/>
          <w:spacing w:val="-2"/>
          <w:sz w:val="18"/>
          <w:szCs w:val="18"/>
        </w:rPr>
        <w:t>自主可控作为国家实现网信安全的重要途径，同时也是公司核心战略发展方向，未来将迎来广阔的市场发展机遇。为进</w:t>
      </w:r>
      <w:r>
        <w:rPr>
          <w:rFonts w:ascii="宋体" w:hAnsi="宋体" w:cs="宋体" w:eastAsia="宋体" w:hint="default"/>
          <w:sz w:val="18"/>
          <w:szCs w:val="18"/>
        </w:rPr>
        <w:t> 一步提高湖南长城的生产能力，经</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日公司第七届董事会审议，同意公司在湖南长城现有产能基础上进行提</w:t>
      </w: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升项目，实现湖南长城自主可控整机达到</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万台年产能的项目目标，也为后续进一步扩充做好充足准备。</w:t>
      </w:r>
    </w:p>
    <w:p>
      <w:pPr>
        <w:spacing w:before="103"/>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、湖南长城科技与麓谷创服、中电朝云共同组建长沙军民融合先进技术研究院</w:t>
      </w:r>
    </w:p>
    <w:p>
      <w:pPr>
        <w:spacing w:line="309" w:lineRule="auto" w:before="101"/>
        <w:ind w:left="154" w:right="1128" w:firstLine="360"/>
        <w:jc w:val="both"/>
        <w:rPr>
          <w:rFonts w:ascii="宋体" w:hAnsi="宋体" w:cs="宋体" w:eastAsia="宋体" w:hint="default"/>
          <w:sz w:val="18"/>
          <w:szCs w:val="18"/>
        </w:rPr>
      </w:pPr>
      <w:r>
        <w:rPr>
          <w:rFonts w:ascii="宋体" w:hAnsi="宋体" w:cs="宋体" w:eastAsia="宋体" w:hint="default"/>
          <w:sz w:val="18"/>
          <w:szCs w:val="18"/>
        </w:rPr>
        <w:t>经</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26 </w:t>
      </w:r>
      <w:r>
        <w:rPr>
          <w:rFonts w:ascii="宋体" w:hAnsi="宋体" w:cs="宋体" w:eastAsia="宋体" w:hint="default"/>
          <w:sz w:val="18"/>
          <w:szCs w:val="18"/>
        </w:rPr>
        <w:t>日公司第七届董事会审议，同意湖南长城科技与长沙高新开发区麓谷创业服务有限公司（简称“麓 </w:t>
      </w:r>
      <w:r>
        <w:rPr>
          <w:rFonts w:ascii="宋体" w:hAnsi="宋体" w:cs="宋体" w:eastAsia="宋体" w:hint="default"/>
          <w:spacing w:val="-9"/>
          <w:sz w:val="18"/>
          <w:szCs w:val="18"/>
        </w:rPr>
        <w:t>谷创服”，代表长沙市政府出资）、嘉兴中电朝云投资管理有限公司（简称“中电朝云”，为社会资本）签署《出资协议》，在</w:t>
      </w:r>
      <w:r>
        <w:rPr>
          <w:rFonts w:ascii="宋体" w:hAnsi="宋体" w:cs="宋体" w:eastAsia="宋体" w:hint="default"/>
          <w:spacing w:val="-41"/>
          <w:sz w:val="18"/>
          <w:szCs w:val="18"/>
        </w:rPr>
        <w:t> </w:t>
      </w:r>
      <w:r>
        <w:rPr>
          <w:rFonts w:ascii="宋体" w:hAnsi="宋体" w:cs="宋体" w:eastAsia="宋体" w:hint="default"/>
          <w:spacing w:val="-41"/>
          <w:sz w:val="18"/>
          <w:szCs w:val="18"/>
        </w:rPr>
      </w:r>
      <w:r>
        <w:rPr>
          <w:rFonts w:ascii="宋体" w:hAnsi="宋体" w:cs="宋体" w:eastAsia="宋体" w:hint="default"/>
          <w:spacing w:val="-2"/>
          <w:sz w:val="18"/>
          <w:szCs w:val="18"/>
        </w:rPr>
        <w:t>湖南省长沙市共同投资设立“长沙军民先进技术研究有限公司”。主要从事于军民融合领域协同创新、成果转化和产业孵化</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等，注册资本为人民币</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1,000</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万元，其中湖南长城科技出资人民币</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400</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万元，持股比例为</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40%</w:t>
      </w:r>
      <w:r>
        <w:rPr>
          <w:rFonts w:ascii="宋体" w:hAnsi="宋体" w:cs="宋体" w:eastAsia="宋体" w:hint="default"/>
          <w:sz w:val="18"/>
          <w:szCs w:val="18"/>
        </w:rPr>
        <w:t>；麓谷创服出资人民币</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300</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万 元，持股比例为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宋体" w:hAnsi="宋体" w:cs="宋体" w:eastAsia="宋体" w:hint="default"/>
          <w:sz w:val="18"/>
          <w:szCs w:val="18"/>
        </w:rPr>
        <w:t>；中电朝云出资人民币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万元，持股比例为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宋体" w:hAnsi="宋体" w:cs="宋体" w:eastAsia="宋体" w:hint="default"/>
          <w:sz w:val="18"/>
          <w:szCs w:val="18"/>
        </w:rPr>
        <w:t>。</w:t>
      </w:r>
    </w:p>
    <w:p>
      <w:pPr>
        <w:spacing w:before="44"/>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日，合资公司长沙军民先进技术研究有限公司成立。</w:t>
      </w:r>
    </w:p>
    <w:p>
      <w:pPr>
        <w:spacing w:before="103"/>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、柏怡国际投资建设“柏怡越南生产项目一期”</w:t>
      </w:r>
    </w:p>
    <w:p>
      <w:pPr>
        <w:spacing w:line="302" w:lineRule="auto" w:before="101"/>
        <w:ind w:left="153" w:right="1122" w:firstLine="360"/>
        <w:jc w:val="left"/>
        <w:rPr>
          <w:rFonts w:ascii="宋体" w:hAnsi="宋体" w:cs="宋体" w:eastAsia="宋体" w:hint="default"/>
          <w:sz w:val="18"/>
          <w:szCs w:val="18"/>
        </w:rPr>
      </w:pPr>
      <w:r>
        <w:rPr>
          <w:rFonts w:ascii="宋体" w:hAnsi="宋体" w:cs="宋体" w:eastAsia="宋体" w:hint="default"/>
          <w:sz w:val="18"/>
          <w:szCs w:val="18"/>
        </w:rPr>
        <w:t>为降低中美贸易摩擦影响，避免国际客户流失，经</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26 </w:t>
      </w:r>
      <w:r>
        <w:rPr>
          <w:rFonts w:ascii="宋体" w:hAnsi="宋体" w:cs="宋体" w:eastAsia="宋体" w:hint="default"/>
          <w:sz w:val="18"/>
          <w:szCs w:val="18"/>
        </w:rPr>
        <w:t>日公司第七届董事会审议，同意柏怡国际在越南北 江省分期投资建设境外生产基地。</w:t>
      </w:r>
    </w:p>
    <w:p>
      <w:pPr>
        <w:spacing w:after="0" w:line="302" w:lineRule="auto"/>
        <w:jc w:val="left"/>
        <w:rPr>
          <w:rFonts w:ascii="宋体" w:hAnsi="宋体" w:cs="宋体" w:eastAsia="宋体" w:hint="default"/>
          <w:sz w:val="18"/>
          <w:szCs w:val="18"/>
        </w:rPr>
        <w:sectPr>
          <w:pgSz w:w="11910" w:h="16840"/>
          <w:pgMar w:header="787" w:footer="982" w:top="1100" w:bottom="1180" w:left="980" w:right="0"/>
        </w:sectPr>
      </w:pPr>
    </w:p>
    <w:p>
      <w:pPr>
        <w:spacing w:line="240" w:lineRule="auto" w:before="11"/>
        <w:rPr>
          <w:rFonts w:ascii="宋体" w:hAnsi="宋体" w:cs="宋体" w:eastAsia="宋体" w:hint="default"/>
          <w:sz w:val="22"/>
          <w:szCs w:val="22"/>
        </w:rPr>
      </w:pPr>
    </w:p>
    <w:p>
      <w:pPr>
        <w:spacing w:line="348" w:lineRule="auto" w:before="44"/>
        <w:ind w:left="514" w:right="508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8</w:t>
      </w:r>
      <w:r>
        <w:rPr>
          <w:rFonts w:ascii="宋体" w:hAnsi="宋体" w:cs="宋体" w:eastAsia="宋体" w:hint="default"/>
          <w:sz w:val="18"/>
          <w:szCs w:val="18"/>
        </w:rPr>
        <w:t>、中原电子收购中电财务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w:t>
      </w:r>
      <w:r>
        <w:rPr>
          <w:rFonts w:ascii="宋体" w:hAnsi="宋体" w:cs="宋体" w:eastAsia="宋体" w:hint="default"/>
          <w:sz w:val="18"/>
          <w:szCs w:val="18"/>
        </w:rPr>
        <w:t>股权 参见第四节“重大股权投资情况说明”中的相关介绍。 </w:t>
      </w:r>
      <w:r>
        <w:rPr>
          <w:rFonts w:ascii="Times New Roman" w:hAnsi="Times New Roman" w:cs="Times New Roman" w:eastAsia="Times New Roman" w:hint="default"/>
          <w:sz w:val="18"/>
          <w:szCs w:val="18"/>
        </w:rPr>
        <w:t>9</w:t>
      </w:r>
      <w:r>
        <w:rPr>
          <w:rFonts w:ascii="宋体" w:hAnsi="宋体" w:cs="宋体" w:eastAsia="宋体" w:hint="default"/>
          <w:sz w:val="18"/>
          <w:szCs w:val="18"/>
        </w:rPr>
        <w:t>、圣非凡与天易集团共同投资设立湖南长城非凡信息科技有限公司 参见第四节“重大股权投资情况说明”中的相关介绍。 </w:t>
      </w:r>
      <w:r>
        <w:rPr>
          <w:rFonts w:ascii="Times New Roman" w:hAnsi="Times New Roman" w:cs="Times New Roman" w:eastAsia="Times New Roman" w:hint="default"/>
          <w:sz w:val="18"/>
          <w:szCs w:val="18"/>
        </w:rPr>
        <w:t>10</w:t>
      </w:r>
      <w:r>
        <w:rPr>
          <w:rFonts w:ascii="宋体" w:hAnsi="宋体" w:cs="宋体" w:eastAsia="宋体" w:hint="default"/>
          <w:sz w:val="18"/>
          <w:szCs w:val="18"/>
        </w:rPr>
        <w:t>、中原电子收购中元股份</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18.68%</w:t>
      </w:r>
      <w:r>
        <w:rPr>
          <w:rFonts w:ascii="宋体" w:hAnsi="宋体" w:cs="宋体" w:eastAsia="宋体" w:hint="default"/>
          <w:sz w:val="18"/>
          <w:szCs w:val="18"/>
        </w:rPr>
        <w:t>股权 参见第四节“重大股权投资情况说明”中的相关介绍。 </w:t>
      </w:r>
      <w:r>
        <w:rPr>
          <w:rFonts w:ascii="Times New Roman" w:hAnsi="Times New Roman" w:cs="Times New Roman" w:eastAsia="Times New Roman" w:hint="default"/>
          <w:sz w:val="18"/>
          <w:szCs w:val="18"/>
        </w:rPr>
        <w:t>11</w:t>
      </w:r>
      <w:r>
        <w:rPr>
          <w:rFonts w:ascii="宋体" w:hAnsi="宋体" w:cs="宋体" w:eastAsia="宋体" w:hint="default"/>
          <w:sz w:val="18"/>
          <w:szCs w:val="18"/>
        </w:rPr>
        <w:t>、长江科技购买土地使用权及地上房屋建（构）筑物 参见第四节“重大非股权投资情况说明”中的相关介绍。 </w:t>
      </w:r>
      <w:r>
        <w:rPr>
          <w:rFonts w:ascii="Times New Roman" w:hAnsi="Times New Roman" w:cs="Times New Roman" w:eastAsia="Times New Roman" w:hint="default"/>
          <w:sz w:val="18"/>
          <w:szCs w:val="18"/>
        </w:rPr>
        <w:t>12</w:t>
      </w:r>
      <w:r>
        <w:rPr>
          <w:rFonts w:ascii="宋体" w:hAnsi="宋体" w:cs="宋体" w:eastAsia="宋体" w:hint="default"/>
          <w:sz w:val="18"/>
          <w:szCs w:val="18"/>
        </w:rPr>
        <w:t>、下属公司之间担保</w:t>
      </w:r>
    </w:p>
    <w:p>
      <w:pPr>
        <w:spacing w:before="12"/>
        <w:ind w:left="514" w:right="0" w:firstLine="0"/>
        <w:jc w:val="left"/>
        <w:rPr>
          <w:rFonts w:ascii="宋体" w:hAnsi="宋体" w:cs="宋体" w:eastAsia="宋体" w:hint="default"/>
          <w:sz w:val="18"/>
          <w:szCs w:val="18"/>
        </w:rPr>
      </w:pPr>
      <w:r>
        <w:rPr>
          <w:rFonts w:ascii="宋体" w:hAnsi="宋体" w:cs="宋体" w:eastAsia="宋体" w:hint="default"/>
          <w:sz w:val="18"/>
          <w:szCs w:val="18"/>
        </w:rPr>
        <w:t>参见本节“担保情况说明”中的相关介绍。</w:t>
      </w:r>
    </w:p>
    <w:p>
      <w:pPr>
        <w:spacing w:after="0"/>
        <w:jc w:val="left"/>
        <w:rPr>
          <w:rFonts w:ascii="宋体" w:hAnsi="宋体" w:cs="宋体" w:eastAsia="宋体" w:hint="default"/>
          <w:sz w:val="18"/>
          <w:szCs w:val="18"/>
        </w:rPr>
        <w:sectPr>
          <w:pgSz w:w="11910" w:h="16840"/>
          <w:pgMar w:header="787" w:footer="982" w:top="1100" w:bottom="118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pStyle w:val="Heading1"/>
        <w:spacing w:line="240" w:lineRule="auto"/>
        <w:ind w:left="3385" w:right="3551"/>
        <w:jc w:val="left"/>
        <w:rPr>
          <w:b w:val="0"/>
          <w:bCs w:val="0"/>
        </w:rPr>
      </w:pPr>
      <w:bookmarkStart w:name="_TOC_250006" w:id="6"/>
      <w:r>
        <w:rPr/>
        <w:t>第六节</w:t>
      </w:r>
      <w:r>
        <w:rPr>
          <w:spacing w:val="-10"/>
        </w:rPr>
        <w:t> </w:t>
      </w:r>
      <w:r>
        <w:rPr/>
        <w:t>股份变动及股东情况</w:t>
      </w:r>
      <w:bookmarkEnd w:id="6"/>
      <w:r>
        <w:rPr>
          <w:b w:val="0"/>
          <w:bCs w:val="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6"/>
          <w:szCs w:val="16"/>
        </w:rPr>
      </w:pPr>
    </w:p>
    <w:p>
      <w:pPr>
        <w:pStyle w:val="Heading4"/>
        <w:spacing w:line="240" w:lineRule="auto" w:before="26"/>
        <w:ind w:left="574" w:right="3551"/>
        <w:jc w:val="left"/>
        <w:rPr>
          <w:b w:val="0"/>
          <w:bCs w:val="0"/>
        </w:rPr>
      </w:pPr>
      <w:r>
        <w:rPr/>
        <w:t>一、股份变动情况</w:t>
      </w:r>
      <w:r>
        <w:rPr>
          <w:b w:val="0"/>
          <w:bCs w:val="0"/>
        </w:rPr>
      </w:r>
    </w:p>
    <w:p>
      <w:pPr>
        <w:spacing w:line="240" w:lineRule="auto" w:before="8"/>
        <w:rPr>
          <w:rFonts w:ascii="宋体" w:hAnsi="宋体" w:cs="宋体" w:eastAsia="宋体" w:hint="default"/>
          <w:b/>
          <w:bCs/>
          <w:sz w:val="24"/>
          <w:szCs w:val="24"/>
        </w:rPr>
      </w:pPr>
    </w:p>
    <w:p>
      <w:pPr>
        <w:pStyle w:val="Heading5"/>
        <w:spacing w:line="240" w:lineRule="auto" w:before="0"/>
        <w:ind w:left="574" w:right="3551"/>
        <w:jc w:val="left"/>
        <w:rPr>
          <w:b w:val="0"/>
          <w:bCs w:val="0"/>
        </w:rPr>
      </w:pPr>
      <w:r>
        <w:rPr>
          <w:rFonts w:ascii="Times New Roman" w:hAnsi="Times New Roman" w:cs="Times New Roman" w:eastAsia="Times New Roman" w:hint="default"/>
        </w:rPr>
        <w:t>1</w:t>
      </w:r>
      <w:r>
        <w:rPr/>
        <w:t>、股份变动情况</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1"/>
        <w:rPr>
          <w:rFonts w:ascii="宋体" w:hAnsi="宋体" w:cs="宋体" w:eastAsia="宋体" w:hint="default"/>
          <w:sz w:val="8"/>
          <w:szCs w:val="8"/>
        </w:rPr>
      </w:pPr>
    </w:p>
    <w:tbl>
      <w:tblPr>
        <w:tblW w:w="0" w:type="auto"/>
        <w:jc w:val="left"/>
        <w:tblInd w:w="110" w:type="dxa"/>
        <w:tblLayout w:type="fixed"/>
        <w:tblCellMar>
          <w:top w:w="0" w:type="dxa"/>
          <w:left w:w="0" w:type="dxa"/>
          <w:bottom w:w="0" w:type="dxa"/>
          <w:right w:w="0" w:type="dxa"/>
        </w:tblCellMar>
        <w:tblLook w:val="01E0"/>
      </w:tblPr>
      <w:tblGrid>
        <w:gridCol w:w="1620"/>
        <w:gridCol w:w="1135"/>
        <w:gridCol w:w="821"/>
        <w:gridCol w:w="1157"/>
        <w:gridCol w:w="720"/>
        <w:gridCol w:w="1039"/>
        <w:gridCol w:w="856"/>
        <w:gridCol w:w="938"/>
        <w:gridCol w:w="1157"/>
        <w:gridCol w:w="1111"/>
      </w:tblGrid>
      <w:tr>
        <w:trPr>
          <w:trHeight w:val="402" w:hRule="exact"/>
        </w:trPr>
        <w:tc>
          <w:tcPr>
            <w:tcW w:w="1620" w:type="dxa"/>
            <w:vMerge w:val="restart"/>
            <w:tcBorders>
              <w:top w:val="single" w:sz="4" w:space="0" w:color="000000"/>
              <w:left w:val="single" w:sz="4" w:space="0" w:color="000000"/>
              <w:right w:val="single" w:sz="4" w:space="0" w:color="000000"/>
            </w:tcBorders>
            <w:shd w:val="clear" w:color="auto" w:fill="D3D3D3"/>
          </w:tcPr>
          <w:p>
            <w:pPr/>
          </w:p>
        </w:tc>
        <w:tc>
          <w:tcPr>
            <w:tcW w:w="1956"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523"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4710" w:type="dxa"/>
            <w:gridSpan w:val="5"/>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1360" w:right="0"/>
              <w:jc w:val="left"/>
              <w:rPr>
                <w:rFonts w:ascii="宋体" w:hAnsi="宋体" w:cs="宋体" w:eastAsia="宋体" w:hint="default"/>
                <w:sz w:val="18"/>
                <w:szCs w:val="18"/>
              </w:rPr>
            </w:pPr>
            <w:r>
              <w:rPr>
                <w:rFonts w:ascii="宋体" w:hAnsi="宋体" w:cs="宋体" w:eastAsia="宋体" w:hint="default"/>
                <w:sz w:val="18"/>
                <w:szCs w:val="18"/>
              </w:rPr>
              <w:t>本次变动增减（＋，－）</w:t>
            </w:r>
          </w:p>
        </w:tc>
        <w:tc>
          <w:tcPr>
            <w:tcW w:w="2268"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679"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402" w:hRule="exact"/>
        </w:trPr>
        <w:tc>
          <w:tcPr>
            <w:tcW w:w="1620" w:type="dxa"/>
            <w:vMerge/>
            <w:tcBorders>
              <w:left w:val="single" w:sz="4" w:space="0" w:color="000000"/>
              <w:bottom w:val="single" w:sz="4" w:space="0" w:color="000000"/>
              <w:right w:val="single" w:sz="4" w:space="0" w:color="000000"/>
            </w:tcBorders>
            <w:shd w:val="clear" w:color="auto" w:fill="D3D3D3"/>
          </w:tcPr>
          <w:p>
            <w:pPr/>
          </w:p>
        </w:tc>
        <w:tc>
          <w:tcPr>
            <w:tcW w:w="1135"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数量</w:t>
            </w:r>
          </w:p>
        </w:tc>
        <w:tc>
          <w:tcPr>
            <w:tcW w:w="82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115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13"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72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173"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103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63" w:right="0"/>
              <w:jc w:val="left"/>
              <w:rPr>
                <w:rFonts w:ascii="宋体" w:hAnsi="宋体" w:cs="宋体" w:eastAsia="宋体" w:hint="default"/>
                <w:sz w:val="18"/>
                <w:szCs w:val="18"/>
              </w:rPr>
            </w:pPr>
            <w:r>
              <w:rPr>
                <w:rFonts w:ascii="宋体" w:hAnsi="宋体" w:cs="宋体" w:eastAsia="宋体" w:hint="default"/>
                <w:sz w:val="18"/>
                <w:szCs w:val="18"/>
              </w:rPr>
              <w:t>公积金转股</w:t>
            </w:r>
          </w:p>
        </w:tc>
        <w:tc>
          <w:tcPr>
            <w:tcW w:w="85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4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93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84"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15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数量</w:t>
            </w:r>
          </w:p>
        </w:tc>
        <w:tc>
          <w:tcPr>
            <w:tcW w:w="111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比例</w:t>
            </w:r>
          </w:p>
        </w:tc>
      </w:tr>
      <w:tr>
        <w:trPr>
          <w:trHeight w:val="402" w:hRule="exact"/>
        </w:trPr>
        <w:tc>
          <w:tcPr>
            <w:tcW w:w="162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7"/>
                <w:sz w:val="18"/>
                <w:szCs w:val="18"/>
              </w:rPr>
              <w:t>一、有限售条件股份</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453,041,650</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15.388%</w:t>
            </w:r>
          </w:p>
        </w:tc>
        <w:tc>
          <w:tcPr>
            <w:tcW w:w="1157"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039" w:type="dxa"/>
            <w:tcBorders>
              <w:top w:val="single" w:sz="4" w:space="0" w:color="000000"/>
              <w:left w:val="single" w:sz="4" w:space="0" w:color="000000"/>
              <w:bottom w:val="single" w:sz="4" w:space="0" w:color="000000"/>
              <w:right w:val="single" w:sz="4" w:space="0" w:color="000000"/>
            </w:tcBorders>
          </w:tcPr>
          <w:p>
            <w:pPr/>
          </w:p>
        </w:tc>
        <w:tc>
          <w:tcPr>
            <w:tcW w:w="8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-7,593,399</w:t>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-7,593,399</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445,448,251</w:t>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15.171%</w:t>
            </w:r>
          </w:p>
        </w:tc>
      </w:tr>
      <w:tr>
        <w:trPr>
          <w:trHeight w:val="402" w:hRule="exact"/>
        </w:trPr>
        <w:tc>
          <w:tcPr>
            <w:tcW w:w="162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、国有法人持股</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453,017,890</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15.387%</w:t>
            </w:r>
          </w:p>
        </w:tc>
        <w:tc>
          <w:tcPr>
            <w:tcW w:w="1157"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039" w:type="dxa"/>
            <w:tcBorders>
              <w:top w:val="single" w:sz="4" w:space="0" w:color="000000"/>
              <w:left w:val="single" w:sz="4" w:space="0" w:color="000000"/>
              <w:bottom w:val="single" w:sz="4" w:space="0" w:color="000000"/>
              <w:right w:val="single" w:sz="4" w:space="0" w:color="000000"/>
            </w:tcBorders>
          </w:tcPr>
          <w:p>
            <w:pPr/>
          </w:p>
        </w:tc>
        <w:tc>
          <w:tcPr>
            <w:tcW w:w="8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-7,903,899</w:t>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-7,903,899</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445,113,991</w:t>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15.160%</w:t>
            </w:r>
          </w:p>
        </w:tc>
      </w:tr>
      <w:tr>
        <w:trPr>
          <w:trHeight w:val="402" w:hRule="exact"/>
        </w:trPr>
        <w:tc>
          <w:tcPr>
            <w:tcW w:w="162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23,760</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0.001%</w:t>
            </w:r>
          </w:p>
        </w:tc>
        <w:tc>
          <w:tcPr>
            <w:tcW w:w="1157"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039" w:type="dxa"/>
            <w:tcBorders>
              <w:top w:val="single" w:sz="4" w:space="0" w:color="000000"/>
              <w:left w:val="single" w:sz="4" w:space="0" w:color="000000"/>
              <w:bottom w:val="single" w:sz="4" w:space="0" w:color="000000"/>
              <w:right w:val="single" w:sz="4" w:space="0" w:color="000000"/>
            </w:tcBorders>
          </w:tcPr>
          <w:p>
            <w:pPr/>
          </w:p>
        </w:tc>
        <w:tc>
          <w:tcPr>
            <w:tcW w:w="8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310,500</w:t>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310,500</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334,260</w:t>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0.011%</w:t>
            </w:r>
          </w:p>
        </w:tc>
      </w:tr>
      <w:tr>
        <w:trPr>
          <w:trHeight w:val="402" w:hRule="exact"/>
        </w:trPr>
        <w:tc>
          <w:tcPr>
            <w:tcW w:w="162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94" w:right="0"/>
              <w:jc w:val="left"/>
              <w:rPr>
                <w:rFonts w:ascii="宋体" w:hAnsi="宋体" w:cs="宋体" w:eastAsia="宋体" w:hint="default"/>
                <w:sz w:val="18"/>
                <w:szCs w:val="18"/>
              </w:rPr>
            </w:pPr>
            <w:r>
              <w:rPr>
                <w:rFonts w:ascii="宋体" w:hAnsi="宋体" w:cs="宋体" w:eastAsia="宋体" w:hint="default"/>
                <w:sz w:val="18"/>
                <w:szCs w:val="18"/>
              </w:rPr>
              <w:t>境内自然人持股</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23,760</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0.001%</w:t>
            </w:r>
          </w:p>
        </w:tc>
        <w:tc>
          <w:tcPr>
            <w:tcW w:w="1157"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039" w:type="dxa"/>
            <w:tcBorders>
              <w:top w:val="single" w:sz="4" w:space="0" w:color="000000"/>
              <w:left w:val="single" w:sz="4" w:space="0" w:color="000000"/>
              <w:bottom w:val="single" w:sz="4" w:space="0" w:color="000000"/>
              <w:right w:val="single" w:sz="4" w:space="0" w:color="000000"/>
            </w:tcBorders>
          </w:tcPr>
          <w:p>
            <w:pPr/>
          </w:p>
        </w:tc>
        <w:tc>
          <w:tcPr>
            <w:tcW w:w="8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310,500</w:t>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310,500</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334,260</w:t>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0.011%</w:t>
            </w:r>
          </w:p>
        </w:tc>
      </w:tr>
      <w:tr>
        <w:trPr>
          <w:trHeight w:val="402" w:hRule="exact"/>
        </w:trPr>
        <w:tc>
          <w:tcPr>
            <w:tcW w:w="162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7"/>
                <w:sz w:val="18"/>
                <w:szCs w:val="18"/>
              </w:rPr>
              <w:t>二、无限售条件股份</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2,491,027,809</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84.612%</w:t>
            </w:r>
          </w:p>
        </w:tc>
        <w:tc>
          <w:tcPr>
            <w:tcW w:w="1157"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039" w:type="dxa"/>
            <w:tcBorders>
              <w:top w:val="single" w:sz="4" w:space="0" w:color="000000"/>
              <w:left w:val="single" w:sz="4" w:space="0" w:color="000000"/>
              <w:bottom w:val="single" w:sz="4" w:space="0" w:color="000000"/>
              <w:right w:val="single" w:sz="4" w:space="0" w:color="000000"/>
            </w:tcBorders>
          </w:tcPr>
          <w:p>
            <w:pPr/>
          </w:p>
        </w:tc>
        <w:tc>
          <w:tcPr>
            <w:tcW w:w="8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-310,500</w:t>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-310,500</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2,490,717,309</w:t>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84.829%</w:t>
            </w:r>
          </w:p>
        </w:tc>
      </w:tr>
      <w:tr>
        <w:trPr>
          <w:trHeight w:val="402" w:hRule="exact"/>
        </w:trPr>
        <w:tc>
          <w:tcPr>
            <w:tcW w:w="162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2,491,027,809</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84.612%</w:t>
            </w:r>
          </w:p>
        </w:tc>
        <w:tc>
          <w:tcPr>
            <w:tcW w:w="1157"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039" w:type="dxa"/>
            <w:tcBorders>
              <w:top w:val="single" w:sz="4" w:space="0" w:color="000000"/>
              <w:left w:val="single" w:sz="4" w:space="0" w:color="000000"/>
              <w:bottom w:val="single" w:sz="4" w:space="0" w:color="000000"/>
              <w:right w:val="single" w:sz="4" w:space="0" w:color="000000"/>
            </w:tcBorders>
          </w:tcPr>
          <w:p>
            <w:pPr/>
          </w:p>
        </w:tc>
        <w:tc>
          <w:tcPr>
            <w:tcW w:w="8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-310,500</w:t>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-310,500</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2,490,717,309</w:t>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84.829%</w:t>
            </w:r>
          </w:p>
        </w:tc>
      </w:tr>
      <w:tr>
        <w:trPr>
          <w:trHeight w:val="402" w:hRule="exact"/>
        </w:trPr>
        <w:tc>
          <w:tcPr>
            <w:tcW w:w="162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2,944,069,459</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c>
          <w:tcPr>
            <w:tcW w:w="1157"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039" w:type="dxa"/>
            <w:tcBorders>
              <w:top w:val="single" w:sz="4" w:space="0" w:color="000000"/>
              <w:left w:val="single" w:sz="4" w:space="0" w:color="000000"/>
              <w:bottom w:val="single" w:sz="4" w:space="0" w:color="000000"/>
              <w:right w:val="single" w:sz="4" w:space="0" w:color="000000"/>
            </w:tcBorders>
          </w:tcPr>
          <w:p>
            <w:pPr/>
          </w:p>
        </w:tc>
        <w:tc>
          <w:tcPr>
            <w:tcW w:w="8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-7,903,899</w:t>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-7,903,899</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2,936,165,560</w:t>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100.00%</w:t>
            </w:r>
          </w:p>
        </w:tc>
      </w:tr>
    </w:tbl>
    <w:p>
      <w:pPr>
        <w:spacing w:before="51"/>
        <w:ind w:left="574" w:right="3551" w:firstLine="0"/>
        <w:jc w:val="left"/>
        <w:rPr>
          <w:rFonts w:ascii="宋体" w:hAnsi="宋体" w:cs="宋体" w:eastAsia="宋体" w:hint="default"/>
          <w:sz w:val="18"/>
          <w:szCs w:val="18"/>
        </w:rPr>
      </w:pPr>
      <w:r>
        <w:rPr>
          <w:rFonts w:ascii="宋体" w:hAnsi="宋体" w:cs="宋体" w:eastAsia="宋体" w:hint="default"/>
          <w:sz w:val="18"/>
          <w:szCs w:val="18"/>
        </w:rPr>
        <w:t>股份变动的原因</w:t>
      </w:r>
    </w:p>
    <w:p>
      <w:pPr>
        <w:spacing w:line="357" w:lineRule="auto" w:before="117"/>
        <w:ind w:left="933" w:right="3551" w:hanging="360"/>
        <w:jc w:val="left"/>
        <w:rPr>
          <w:rFonts w:ascii="宋体" w:hAnsi="宋体" w:cs="宋体" w:eastAsia="宋体" w:hint="default"/>
          <w:sz w:val="18"/>
          <w:szCs w:val="18"/>
        </w:rPr>
      </w:pPr>
      <w:r>
        <w:rPr>
          <w:rFonts w:ascii="宋体" w:hAnsi="宋体" w:cs="宋体" w:eastAsia="宋体" w:hint="default"/>
          <w:sz w:val="18"/>
          <w:szCs w:val="18"/>
        </w:rPr>
        <w:t>√ 适用 □ 不适用 报告期内，部分董事、高级管理人员增持了公司股份，并根据相关规定自动予以锁定。</w:t>
      </w:r>
    </w:p>
    <w:p>
      <w:pPr>
        <w:spacing w:line="309" w:lineRule="auto" w:before="26"/>
        <w:ind w:left="573" w:right="1130" w:firstLine="360"/>
        <w:jc w:val="both"/>
        <w:rPr>
          <w:rFonts w:ascii="宋体" w:hAnsi="宋体" w:cs="宋体" w:eastAsia="宋体" w:hint="default"/>
          <w:sz w:val="18"/>
          <w:szCs w:val="18"/>
        </w:rPr>
      </w:pPr>
      <w:r>
        <w:rPr>
          <w:rFonts w:ascii="宋体" w:hAnsi="宋体" w:cs="宋体" w:eastAsia="宋体" w:hint="default"/>
          <w:sz w:val="18"/>
          <w:szCs w:val="18"/>
        </w:rPr>
        <w:t>因公司重大资产重组购入资产圣非凡</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年度扣除非经常性损益归属于母公司所有者的净利润未达业绩承诺，资产注 </w:t>
      </w:r>
      <w:r>
        <w:rPr>
          <w:rFonts w:ascii="宋体" w:hAnsi="宋体" w:cs="宋体" w:eastAsia="宋体" w:hint="default"/>
          <w:spacing w:val="-5"/>
          <w:sz w:val="18"/>
          <w:szCs w:val="18"/>
        </w:rPr>
        <w:t>入方中国电子需向公司进行股份补偿，根据双方签署的《盈利预测补偿协议》、《盈利预测补偿协议之补充协议》约定，公司</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以</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元的价格回购中国电子</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7,903,899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股并注销。</w:t>
      </w:r>
    </w:p>
    <w:p>
      <w:pPr>
        <w:spacing w:before="46"/>
        <w:ind w:left="573" w:right="3551" w:firstLine="0"/>
        <w:jc w:val="left"/>
        <w:rPr>
          <w:rFonts w:ascii="宋体" w:hAnsi="宋体" w:cs="宋体" w:eastAsia="宋体" w:hint="default"/>
          <w:sz w:val="18"/>
          <w:szCs w:val="18"/>
        </w:rPr>
      </w:pPr>
      <w:r>
        <w:rPr>
          <w:rFonts w:ascii="宋体" w:hAnsi="宋体" w:cs="宋体" w:eastAsia="宋体" w:hint="default"/>
          <w:sz w:val="18"/>
          <w:szCs w:val="18"/>
        </w:rPr>
        <w:t>股份变动的批准情况</w:t>
      </w:r>
    </w:p>
    <w:p>
      <w:pPr>
        <w:spacing w:before="116"/>
        <w:ind w:left="573" w:right="3551"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before="115"/>
        <w:ind w:left="933" w:right="0" w:firstLine="0"/>
        <w:jc w:val="left"/>
        <w:rPr>
          <w:rFonts w:ascii="宋体" w:hAnsi="宋体" w:cs="宋体" w:eastAsia="宋体" w:hint="default"/>
          <w:sz w:val="18"/>
          <w:szCs w:val="18"/>
        </w:rPr>
      </w:pPr>
      <w:r>
        <w:rPr>
          <w:rFonts w:ascii="宋体" w:hAnsi="宋体" w:cs="宋体" w:eastAsia="宋体" w:hint="default"/>
          <w:sz w:val="18"/>
          <w:szCs w:val="18"/>
        </w:rPr>
        <w:t>经</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日公司第七届董事会第二次会议、</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日公司</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年度股东大会审议，通过《重大资产</w:t>
      </w:r>
    </w:p>
    <w:p>
      <w:pPr>
        <w:spacing w:line="302" w:lineRule="auto" w:before="63"/>
        <w:ind w:left="573" w:right="1113" w:firstLine="0"/>
        <w:jc w:val="left"/>
        <w:rPr>
          <w:rFonts w:ascii="宋体" w:hAnsi="宋体" w:cs="宋体" w:eastAsia="宋体" w:hint="default"/>
          <w:sz w:val="18"/>
          <w:szCs w:val="18"/>
        </w:rPr>
      </w:pPr>
      <w:r>
        <w:rPr>
          <w:rFonts w:ascii="宋体" w:hAnsi="宋体" w:cs="宋体" w:eastAsia="宋体" w:hint="default"/>
          <w:sz w:val="18"/>
          <w:szCs w:val="18"/>
        </w:rPr>
        <w:t>重组购入资产</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年度业绩承诺实现情况及业绩补偿方案》和《提请股东大会授权董事会全权办理补偿股份回购、注销相 </w:t>
      </w:r>
      <w:r>
        <w:rPr>
          <w:rFonts w:ascii="宋体" w:hAnsi="宋体" w:cs="宋体" w:eastAsia="宋体" w:hint="default"/>
          <w:spacing w:val="-5"/>
          <w:sz w:val="18"/>
          <w:szCs w:val="18"/>
        </w:rPr>
        <w:t>关事宜并因注册资本变更修订</w:t>
      </w:r>
      <w:r>
        <w:rPr>
          <w:rFonts w:ascii="Times New Roman" w:hAnsi="Times New Roman" w:cs="Times New Roman" w:eastAsia="Times New Roman" w:hint="default"/>
          <w:spacing w:val="-5"/>
          <w:sz w:val="18"/>
          <w:szCs w:val="18"/>
        </w:rPr>
        <w:t>&lt;</w:t>
      </w:r>
      <w:r>
        <w:rPr>
          <w:rFonts w:ascii="宋体" w:hAnsi="宋体" w:cs="宋体" w:eastAsia="宋体" w:hint="default"/>
          <w:spacing w:val="-5"/>
          <w:sz w:val="18"/>
          <w:szCs w:val="18"/>
        </w:rPr>
        <w:t>公司章程</w:t>
      </w:r>
      <w:r>
        <w:rPr>
          <w:rFonts w:ascii="Times New Roman" w:hAnsi="Times New Roman" w:cs="Times New Roman" w:eastAsia="Times New Roman" w:hint="default"/>
          <w:spacing w:val="-5"/>
          <w:sz w:val="18"/>
          <w:szCs w:val="18"/>
        </w:rPr>
        <w:t>&gt;</w:t>
      </w:r>
      <w:r>
        <w:rPr>
          <w:rFonts w:ascii="宋体" w:hAnsi="宋体" w:cs="宋体" w:eastAsia="宋体" w:hint="default"/>
          <w:spacing w:val="-5"/>
          <w:sz w:val="18"/>
          <w:szCs w:val="18"/>
        </w:rPr>
        <w:t>》。</w:t>
      </w:r>
    </w:p>
    <w:p>
      <w:pPr>
        <w:spacing w:before="52"/>
        <w:ind w:left="573" w:right="3551" w:firstLine="0"/>
        <w:jc w:val="left"/>
        <w:rPr>
          <w:rFonts w:ascii="宋体" w:hAnsi="宋体" w:cs="宋体" w:eastAsia="宋体" w:hint="default"/>
          <w:sz w:val="18"/>
          <w:szCs w:val="18"/>
        </w:rPr>
      </w:pPr>
      <w:r>
        <w:rPr>
          <w:rFonts w:ascii="宋体" w:hAnsi="宋体" w:cs="宋体" w:eastAsia="宋体" w:hint="default"/>
          <w:sz w:val="18"/>
          <w:szCs w:val="18"/>
        </w:rPr>
        <w:t>股份变动的过户情况</w:t>
      </w:r>
    </w:p>
    <w:p>
      <w:pPr>
        <w:spacing w:before="116"/>
        <w:ind w:left="573" w:right="3551"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before="115"/>
        <w:ind w:left="933" w:right="0" w:firstLine="0"/>
        <w:jc w:val="left"/>
        <w:rPr>
          <w:rFonts w:ascii="宋体" w:hAnsi="宋体" w:cs="宋体" w:eastAsia="宋体" w:hint="default"/>
          <w:sz w:val="18"/>
          <w:szCs w:val="18"/>
        </w:rPr>
      </w:pPr>
      <w:r>
        <w:rPr>
          <w:rFonts w:ascii="宋体" w:hAnsi="宋体" w:cs="宋体" w:eastAsia="宋体" w:hint="default"/>
          <w:sz w:val="18"/>
          <w:szCs w:val="18"/>
        </w:rPr>
        <w:t>业绩补偿股份于 </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 </w:t>
      </w:r>
      <w:r>
        <w:rPr>
          <w:rFonts w:ascii="Times New Roman" w:hAnsi="Times New Roman" w:cs="Times New Roman" w:eastAsia="Times New Roman" w:hint="default"/>
          <w:sz w:val="18"/>
          <w:szCs w:val="18"/>
        </w:rPr>
        <w:t>8 </w:t>
      </w:r>
      <w:r>
        <w:rPr>
          <w:rFonts w:ascii="宋体" w:hAnsi="宋体" w:cs="宋体" w:eastAsia="宋体" w:hint="default"/>
          <w:sz w:val="18"/>
          <w:szCs w:val="18"/>
        </w:rPr>
        <w:t>月 </w:t>
      </w:r>
      <w:r>
        <w:rPr>
          <w:rFonts w:ascii="Times New Roman" w:hAnsi="Times New Roman" w:cs="Times New Roman" w:eastAsia="Times New Roman" w:hint="default"/>
          <w:sz w:val="18"/>
          <w:szCs w:val="18"/>
        </w:rPr>
        <w:t>8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日在中国证券登记结算有限责任公司深圳分公司完成注销手续，公司股本总额变更为</w:t>
      </w:r>
    </w:p>
    <w:p>
      <w:pPr>
        <w:spacing w:before="64"/>
        <w:ind w:left="573" w:right="355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2,936,165,560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股。</w:t>
      </w:r>
    </w:p>
    <w:p>
      <w:pPr>
        <w:spacing w:before="103"/>
        <w:ind w:left="573" w:right="3551" w:firstLine="0"/>
        <w:jc w:val="left"/>
        <w:rPr>
          <w:rFonts w:ascii="宋体" w:hAnsi="宋体" w:cs="宋体" w:eastAsia="宋体" w:hint="default"/>
          <w:sz w:val="18"/>
          <w:szCs w:val="18"/>
        </w:rPr>
      </w:pPr>
      <w:r>
        <w:rPr>
          <w:rFonts w:ascii="宋体" w:hAnsi="宋体" w:cs="宋体" w:eastAsia="宋体" w:hint="default"/>
          <w:sz w:val="18"/>
          <w:szCs w:val="18"/>
        </w:rPr>
        <w:t>股份回购的实施进展情况</w:t>
      </w:r>
    </w:p>
    <w:p>
      <w:pPr>
        <w:spacing w:line="357" w:lineRule="auto" w:before="116"/>
        <w:ind w:left="573" w:right="6971" w:firstLine="0"/>
        <w:jc w:val="left"/>
        <w:rPr>
          <w:rFonts w:ascii="宋体" w:hAnsi="宋体" w:cs="宋体" w:eastAsia="宋体" w:hint="default"/>
          <w:sz w:val="18"/>
          <w:szCs w:val="18"/>
        </w:rPr>
      </w:pPr>
      <w:r>
        <w:rPr>
          <w:rFonts w:ascii="宋体" w:hAnsi="宋体" w:cs="宋体" w:eastAsia="宋体" w:hint="default"/>
          <w:sz w:val="18"/>
          <w:szCs w:val="18"/>
        </w:rPr>
        <w:t>□ 适用 √ 不适用 采用集中竞价方式减持回购股份的实施进展情况</w:t>
      </w:r>
    </w:p>
    <w:p>
      <w:pPr>
        <w:spacing w:line="357" w:lineRule="auto" w:before="29"/>
        <w:ind w:left="573" w:right="1391" w:firstLine="0"/>
        <w:jc w:val="left"/>
        <w:rPr>
          <w:rFonts w:ascii="宋体" w:hAnsi="宋体" w:cs="宋体" w:eastAsia="宋体" w:hint="default"/>
          <w:sz w:val="18"/>
          <w:szCs w:val="18"/>
        </w:rPr>
      </w:pPr>
      <w:r>
        <w:rPr>
          <w:rFonts w:ascii="宋体" w:hAnsi="宋体" w:cs="宋体" w:eastAsia="宋体" w:hint="default"/>
          <w:sz w:val="18"/>
          <w:szCs w:val="18"/>
        </w:rPr>
        <w:t>□ 适用 √ 不适用 股份变动对最近一年和最近一期基本每股收益和稀释每股收益、归属于公司普通股股东的每股净资产等财务指标的影响</w:t>
      </w:r>
    </w:p>
    <w:p>
      <w:pPr>
        <w:spacing w:before="28"/>
        <w:ind w:left="574" w:right="3551"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after="0"/>
        <w:jc w:val="left"/>
        <w:rPr>
          <w:rFonts w:ascii="宋体" w:hAnsi="宋体" w:cs="宋体" w:eastAsia="宋体" w:hint="default"/>
          <w:sz w:val="18"/>
          <w:szCs w:val="18"/>
        </w:rPr>
        <w:sectPr>
          <w:pgSz w:w="11910" w:h="16840"/>
          <w:pgMar w:header="787" w:footer="982" w:top="1100" w:bottom="1180" w:left="560" w:right="0"/>
        </w:sectPr>
      </w:pPr>
    </w:p>
    <w:p>
      <w:pPr>
        <w:spacing w:line="240" w:lineRule="auto" w:before="10"/>
        <w:rPr>
          <w:rFonts w:ascii="宋体" w:hAnsi="宋体" w:cs="宋体" w:eastAsia="宋体" w:hint="default"/>
          <w:sz w:val="22"/>
          <w:szCs w:val="22"/>
        </w:rPr>
      </w:pPr>
    </w:p>
    <w:p>
      <w:pPr>
        <w:spacing w:line="307" w:lineRule="auto" w:before="44"/>
        <w:ind w:left="273" w:right="1130" w:firstLine="360"/>
        <w:jc w:val="both"/>
        <w:rPr>
          <w:rFonts w:ascii="宋体" w:hAnsi="宋体" w:cs="宋体" w:eastAsia="宋体" w:hint="default"/>
          <w:sz w:val="18"/>
          <w:szCs w:val="18"/>
        </w:rPr>
      </w:pPr>
      <w:r>
        <w:rPr>
          <w:rFonts w:ascii="宋体" w:hAnsi="宋体" w:cs="宋体" w:eastAsia="宋体" w:hint="default"/>
          <w:sz w:val="18"/>
          <w:szCs w:val="18"/>
        </w:rPr>
        <w:t>报告期内，因完成回购并注销业绩补偿股份，公司的总股本由</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2,944,069,459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股减至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2,936,165,560 </w:t>
      </w:r>
      <w:r>
        <w:rPr>
          <w:rFonts w:ascii="宋体" w:hAnsi="宋体" w:cs="宋体" w:eastAsia="宋体" w:hint="default"/>
          <w:sz w:val="18"/>
          <w:szCs w:val="18"/>
        </w:rPr>
        <w:t>股。为使数据具有可 比性，根据《公开发行证券的公司信息披露编报规则第 </w:t>
      </w:r>
      <w:r>
        <w:rPr>
          <w:rFonts w:ascii="Times New Roman" w:hAnsi="Times New Roman" w:cs="Times New Roman" w:eastAsia="Times New Roman" w:hint="default"/>
          <w:sz w:val="18"/>
          <w:szCs w:val="18"/>
        </w:rPr>
        <w:t>9 </w:t>
      </w:r>
      <w:r>
        <w:rPr>
          <w:rFonts w:ascii="宋体" w:hAnsi="宋体" w:cs="宋体" w:eastAsia="宋体" w:hint="default"/>
          <w:spacing w:val="-4"/>
          <w:sz w:val="18"/>
          <w:szCs w:val="18"/>
        </w:rPr>
        <w:t>号</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净资产收益率和每股收益的计算及披露》（</w:t>
      </w:r>
      <w:r>
        <w:rPr>
          <w:rFonts w:ascii="Times New Roman" w:hAnsi="Times New Roman" w:cs="Times New Roman" w:eastAsia="Times New Roman" w:hint="default"/>
          <w:spacing w:val="-4"/>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年修订）的相 </w:t>
      </w:r>
      <w:r>
        <w:rPr>
          <w:rFonts w:ascii="宋体" w:hAnsi="宋体" w:cs="宋体" w:eastAsia="宋体" w:hint="default"/>
          <w:spacing w:val="16"/>
          <w:sz w:val="18"/>
          <w:szCs w:val="18"/>
        </w:rPr>
        <w:t>关规定，公司需按照新股本重新计算各比较期的每股收益，因此上年同期每股收益计算的股本基础已相应调整为</w:t>
      </w:r>
      <w:r>
        <w:rPr>
          <w:rFonts w:ascii="宋体" w:hAnsi="宋体" w:cs="宋体" w:eastAsia="宋体" w:hint="default"/>
          <w:sz w:val="18"/>
          <w:szCs w:val="18"/>
        </w:rPr>
        <w:t> </w:t>
      </w:r>
      <w:r>
        <w:rPr>
          <w:rFonts w:ascii="Times New Roman" w:hAnsi="Times New Roman" w:cs="Times New Roman" w:eastAsia="Times New Roman" w:hint="default"/>
          <w:sz w:val="18"/>
          <w:szCs w:val="18"/>
        </w:rPr>
        <w:t>2,936,165,560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股。</w:t>
      </w:r>
    </w:p>
    <w:p>
      <w:pPr>
        <w:spacing w:line="340" w:lineRule="auto" w:before="46"/>
        <w:ind w:left="274" w:right="4454" w:firstLine="360"/>
        <w:jc w:val="left"/>
        <w:rPr>
          <w:rFonts w:ascii="宋体" w:hAnsi="宋体" w:cs="宋体" w:eastAsia="宋体" w:hint="default"/>
          <w:sz w:val="18"/>
          <w:szCs w:val="18"/>
        </w:rPr>
      </w:pPr>
      <w:r>
        <w:rPr>
          <w:rFonts w:ascii="宋体" w:hAnsi="宋体" w:cs="宋体" w:eastAsia="宋体" w:hint="default"/>
          <w:sz w:val="18"/>
          <w:szCs w:val="18"/>
        </w:rPr>
        <w:t>按照新股本计算后的上年同期每股收益为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元、每股净资产为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 公司认为必要或证券监管机构要求披露的其他内容</w:t>
      </w:r>
    </w:p>
    <w:p>
      <w:pPr>
        <w:spacing w:before="40"/>
        <w:ind w:left="274" w:right="1029"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2"/>
        <w:rPr>
          <w:rFonts w:ascii="宋体" w:hAnsi="宋体" w:cs="宋体" w:eastAsia="宋体" w:hint="default"/>
          <w:sz w:val="22"/>
          <w:szCs w:val="22"/>
        </w:rPr>
      </w:pPr>
    </w:p>
    <w:p>
      <w:pPr>
        <w:pStyle w:val="Heading5"/>
        <w:spacing w:line="240" w:lineRule="auto" w:before="0"/>
        <w:ind w:left="274" w:right="1029"/>
        <w:jc w:val="left"/>
        <w:rPr>
          <w:b w:val="0"/>
          <w:bCs w:val="0"/>
        </w:rPr>
      </w:pPr>
      <w:r>
        <w:rPr>
          <w:rFonts w:ascii="Times New Roman" w:hAnsi="Times New Roman" w:cs="Times New Roman" w:eastAsia="Times New Roman" w:hint="default"/>
        </w:rPr>
        <w:t>2</w:t>
      </w:r>
      <w:r>
        <w:rPr/>
        <w:t>、限售股份变动情况</w:t>
      </w:r>
      <w:r>
        <w:rPr>
          <w:b w:val="0"/>
          <w:bCs w:val="0"/>
        </w:rPr>
      </w:r>
    </w:p>
    <w:p>
      <w:pPr>
        <w:spacing w:line="240" w:lineRule="auto" w:before="8"/>
        <w:rPr>
          <w:rFonts w:ascii="宋体" w:hAnsi="宋体" w:cs="宋体" w:eastAsia="宋体" w:hint="default"/>
          <w:b/>
          <w:bCs/>
          <w:sz w:val="18"/>
          <w:szCs w:val="18"/>
        </w:rPr>
      </w:pPr>
    </w:p>
    <w:p>
      <w:pPr>
        <w:spacing w:before="44"/>
        <w:ind w:left="274" w:right="1029"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before="116"/>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1"/>
        <w:rPr>
          <w:rFonts w:ascii="宋体" w:hAnsi="宋体" w:cs="宋体" w:eastAsia="宋体" w:hint="default"/>
          <w:sz w:val="8"/>
          <w:szCs w:val="8"/>
        </w:rPr>
      </w:pPr>
    </w:p>
    <w:tbl>
      <w:tblPr>
        <w:tblW w:w="0" w:type="auto"/>
        <w:jc w:val="left"/>
        <w:tblInd w:w="104" w:type="dxa"/>
        <w:tblLayout w:type="fixed"/>
        <w:tblCellMar>
          <w:top w:w="0" w:type="dxa"/>
          <w:left w:w="0" w:type="dxa"/>
          <w:bottom w:w="0" w:type="dxa"/>
          <w:right w:w="0" w:type="dxa"/>
        </w:tblCellMar>
        <w:tblLook w:val="01E0"/>
      </w:tblPr>
      <w:tblGrid>
        <w:gridCol w:w="1369"/>
        <w:gridCol w:w="1154"/>
        <w:gridCol w:w="1050"/>
        <w:gridCol w:w="1140"/>
        <w:gridCol w:w="1244"/>
        <w:gridCol w:w="1936"/>
        <w:gridCol w:w="2072"/>
      </w:tblGrid>
      <w:tr>
        <w:trPr>
          <w:trHeight w:val="634" w:hRule="exact"/>
        </w:trPr>
        <w:tc>
          <w:tcPr>
            <w:tcW w:w="136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20"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15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31"/>
              <w:jc w:val="right"/>
              <w:rPr>
                <w:rFonts w:ascii="宋体" w:hAnsi="宋体" w:cs="宋体" w:eastAsia="宋体" w:hint="default"/>
                <w:sz w:val="18"/>
                <w:szCs w:val="18"/>
              </w:rPr>
            </w:pPr>
            <w:r>
              <w:rPr>
                <w:rFonts w:ascii="宋体" w:hAnsi="宋体" w:cs="宋体" w:eastAsia="宋体" w:hint="default"/>
                <w:sz w:val="18"/>
                <w:szCs w:val="18"/>
              </w:rPr>
              <w:t>期初限售股数</w:t>
            </w:r>
          </w:p>
        </w:tc>
        <w:tc>
          <w:tcPr>
            <w:tcW w:w="105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10"/>
              <w:ind w:left="159" w:right="158"/>
              <w:jc w:val="left"/>
              <w:rPr>
                <w:rFonts w:ascii="宋体" w:hAnsi="宋体" w:cs="宋体" w:eastAsia="宋体" w:hint="default"/>
                <w:sz w:val="18"/>
                <w:szCs w:val="18"/>
              </w:rPr>
            </w:pPr>
            <w:r>
              <w:rPr>
                <w:rFonts w:ascii="宋体" w:hAnsi="宋体" w:cs="宋体" w:eastAsia="宋体" w:hint="default"/>
                <w:sz w:val="18"/>
                <w:szCs w:val="18"/>
              </w:rPr>
              <w:t>本期解除 限售股数</w:t>
            </w:r>
          </w:p>
        </w:tc>
        <w:tc>
          <w:tcPr>
            <w:tcW w:w="114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10"/>
              <w:ind w:left="383" w:right="24" w:hanging="360"/>
              <w:jc w:val="left"/>
              <w:rPr>
                <w:rFonts w:ascii="宋体" w:hAnsi="宋体" w:cs="宋体" w:eastAsia="宋体" w:hint="default"/>
                <w:sz w:val="18"/>
                <w:szCs w:val="18"/>
              </w:rPr>
            </w:pPr>
            <w:r>
              <w:rPr>
                <w:rFonts w:ascii="宋体" w:hAnsi="宋体" w:cs="宋体" w:eastAsia="宋体" w:hint="default"/>
                <w:sz w:val="18"/>
                <w:szCs w:val="18"/>
              </w:rPr>
              <w:t>本期增加限售 股数</w:t>
            </w:r>
          </w:p>
        </w:tc>
        <w:tc>
          <w:tcPr>
            <w:tcW w:w="124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77"/>
              <w:jc w:val="right"/>
              <w:rPr>
                <w:rFonts w:ascii="宋体" w:hAnsi="宋体" w:cs="宋体" w:eastAsia="宋体" w:hint="default"/>
                <w:sz w:val="18"/>
                <w:szCs w:val="18"/>
              </w:rPr>
            </w:pPr>
            <w:r>
              <w:rPr>
                <w:rFonts w:ascii="宋体" w:hAnsi="宋体" w:cs="宋体" w:eastAsia="宋体" w:hint="default"/>
                <w:sz w:val="18"/>
                <w:szCs w:val="18"/>
              </w:rPr>
              <w:t>期末限售股数</w:t>
            </w:r>
          </w:p>
        </w:tc>
        <w:tc>
          <w:tcPr>
            <w:tcW w:w="193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603" w:right="0"/>
              <w:jc w:val="left"/>
              <w:rPr>
                <w:rFonts w:ascii="宋体" w:hAnsi="宋体" w:cs="宋体" w:eastAsia="宋体" w:hint="default"/>
                <w:sz w:val="18"/>
                <w:szCs w:val="18"/>
              </w:rPr>
            </w:pPr>
            <w:r>
              <w:rPr>
                <w:rFonts w:ascii="宋体" w:hAnsi="宋体" w:cs="宋体" w:eastAsia="宋体" w:hint="default"/>
                <w:sz w:val="18"/>
                <w:szCs w:val="18"/>
              </w:rPr>
              <w:t>限售原因</w:t>
            </w:r>
          </w:p>
        </w:tc>
        <w:tc>
          <w:tcPr>
            <w:tcW w:w="207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解除限售日期</w:t>
            </w:r>
          </w:p>
        </w:tc>
      </w:tr>
      <w:tr>
        <w:trPr>
          <w:trHeight w:val="634"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3" w:right="73"/>
              <w:jc w:val="left"/>
              <w:rPr>
                <w:rFonts w:ascii="宋体" w:hAnsi="宋体" w:cs="宋体" w:eastAsia="宋体" w:hint="default"/>
                <w:sz w:val="18"/>
                <w:szCs w:val="18"/>
              </w:rPr>
            </w:pPr>
            <w:r>
              <w:rPr>
                <w:rFonts w:ascii="宋体" w:hAnsi="宋体" w:cs="宋体" w:eastAsia="宋体" w:hint="default"/>
                <w:sz w:val="18"/>
                <w:szCs w:val="18"/>
              </w:rPr>
              <w:t>中国电子信息产 业集团有限公司</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328,580,158</w:t>
            </w:r>
          </w:p>
        </w:tc>
        <w:tc>
          <w:tcPr>
            <w:tcW w:w="1050"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328,580,158</w:t>
            </w:r>
          </w:p>
        </w:tc>
        <w:tc>
          <w:tcPr>
            <w:tcW w:w="193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3" w:right="101"/>
              <w:jc w:val="left"/>
              <w:rPr>
                <w:rFonts w:ascii="宋体" w:hAnsi="宋体" w:cs="宋体" w:eastAsia="宋体" w:hint="default"/>
                <w:sz w:val="18"/>
                <w:szCs w:val="18"/>
              </w:rPr>
            </w:pPr>
            <w:r>
              <w:rPr>
                <w:rFonts w:ascii="宋体" w:hAnsi="宋体" w:cs="宋体" w:eastAsia="宋体" w:hint="default"/>
                <w:sz w:val="18"/>
                <w:szCs w:val="18"/>
              </w:rPr>
              <w:t>换股合并长城信息锁定 期三年，并延长</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c>
          <w:tcPr>
            <w:tcW w:w="2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 </w:t>
            </w:r>
            <w:r>
              <w:rPr>
                <w:rFonts w:ascii="宋体" w:hAnsi="宋体" w:cs="宋体" w:eastAsia="宋体" w:hint="default"/>
                <w:sz w:val="18"/>
                <w:szCs w:val="18"/>
              </w:rPr>
              <w:t>日</w:t>
            </w:r>
          </w:p>
        </w:tc>
      </w:tr>
      <w:tr>
        <w:trPr>
          <w:trHeight w:val="635"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23" w:right="73"/>
              <w:jc w:val="left"/>
              <w:rPr>
                <w:rFonts w:ascii="宋体" w:hAnsi="宋体" w:cs="宋体" w:eastAsia="宋体" w:hint="default"/>
                <w:sz w:val="18"/>
                <w:szCs w:val="18"/>
              </w:rPr>
            </w:pPr>
            <w:r>
              <w:rPr>
                <w:rFonts w:ascii="宋体" w:hAnsi="宋体" w:cs="宋体" w:eastAsia="宋体" w:hint="default"/>
                <w:sz w:val="18"/>
                <w:szCs w:val="18"/>
              </w:rPr>
              <w:t>中国电子信息产 业集团有限公司</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118,309,984</w:t>
            </w:r>
          </w:p>
        </w:tc>
        <w:tc>
          <w:tcPr>
            <w:tcW w:w="1050"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-7,903,899</w:t>
            </w:r>
          </w:p>
        </w:tc>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110,406,085</w:t>
            </w:r>
          </w:p>
        </w:tc>
        <w:tc>
          <w:tcPr>
            <w:tcW w:w="193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23" w:right="101"/>
              <w:jc w:val="left"/>
              <w:rPr>
                <w:rFonts w:ascii="宋体" w:hAnsi="宋体" w:cs="宋体" w:eastAsia="宋体" w:hint="default"/>
                <w:sz w:val="18"/>
                <w:szCs w:val="18"/>
              </w:rPr>
            </w:pPr>
            <w:r>
              <w:rPr>
                <w:rFonts w:ascii="宋体" w:hAnsi="宋体" w:cs="宋体" w:eastAsia="宋体" w:hint="default"/>
                <w:sz w:val="18"/>
                <w:szCs w:val="18"/>
              </w:rPr>
              <w:t>发行股份购买资产锁定 期三年，并延长</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c>
          <w:tcPr>
            <w:tcW w:w="2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r>
      <w:tr>
        <w:trPr>
          <w:trHeight w:val="634"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3" w:right="73"/>
              <w:jc w:val="left"/>
              <w:rPr>
                <w:rFonts w:ascii="宋体" w:hAnsi="宋体" w:cs="宋体" w:eastAsia="宋体" w:hint="default"/>
                <w:sz w:val="18"/>
                <w:szCs w:val="18"/>
              </w:rPr>
            </w:pPr>
            <w:r>
              <w:rPr>
                <w:rFonts w:ascii="宋体" w:hAnsi="宋体" w:cs="宋体" w:eastAsia="宋体" w:hint="default"/>
                <w:sz w:val="18"/>
                <w:szCs w:val="18"/>
              </w:rPr>
              <w:t>湖南计算机厂有 限公司</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6,127,748</w:t>
            </w:r>
          </w:p>
        </w:tc>
        <w:tc>
          <w:tcPr>
            <w:tcW w:w="1050"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6,127,748</w:t>
            </w:r>
          </w:p>
        </w:tc>
        <w:tc>
          <w:tcPr>
            <w:tcW w:w="193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3" w:right="101"/>
              <w:jc w:val="left"/>
              <w:rPr>
                <w:rFonts w:ascii="宋体" w:hAnsi="宋体" w:cs="宋体" w:eastAsia="宋体" w:hint="default"/>
                <w:sz w:val="18"/>
                <w:szCs w:val="18"/>
              </w:rPr>
            </w:pPr>
            <w:r>
              <w:rPr>
                <w:rFonts w:ascii="宋体" w:hAnsi="宋体" w:cs="宋体" w:eastAsia="宋体" w:hint="default"/>
                <w:sz w:val="18"/>
                <w:szCs w:val="18"/>
              </w:rPr>
              <w:t>换股合并长城信息锁定 期三年，并延长</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c>
          <w:tcPr>
            <w:tcW w:w="2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 </w:t>
            </w:r>
            <w:r>
              <w:rPr>
                <w:rFonts w:ascii="宋体" w:hAnsi="宋体" w:cs="宋体" w:eastAsia="宋体" w:hint="default"/>
                <w:sz w:val="18"/>
                <w:szCs w:val="18"/>
              </w:rPr>
              <w:t>日</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陈小军</w:t>
            </w:r>
          </w:p>
        </w:tc>
        <w:tc>
          <w:tcPr>
            <w:tcW w:w="1154"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45,000</w:t>
            </w:r>
          </w:p>
        </w:tc>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45,000</w:t>
            </w:r>
          </w:p>
        </w:tc>
        <w:tc>
          <w:tcPr>
            <w:tcW w:w="1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高管持股</w:t>
            </w:r>
          </w:p>
        </w:tc>
        <w:tc>
          <w:tcPr>
            <w:tcW w:w="2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35"/>
              <w:jc w:val="center"/>
              <w:rPr>
                <w:rFonts w:ascii="宋体" w:hAnsi="宋体" w:cs="宋体" w:eastAsia="宋体" w:hint="default"/>
                <w:sz w:val="18"/>
                <w:szCs w:val="18"/>
              </w:rPr>
            </w:pPr>
            <w:r>
              <w:rPr>
                <w:rFonts w:ascii="宋体" w:hAnsi="宋体" w:cs="宋体" w:eastAsia="宋体" w:hint="default"/>
                <w:sz w:val="18"/>
                <w:szCs w:val="18"/>
              </w:rPr>
              <w:t>按高管持股相关规定解限</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徐刚</w:t>
            </w:r>
          </w:p>
        </w:tc>
        <w:tc>
          <w:tcPr>
            <w:tcW w:w="1154"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45,000</w:t>
            </w:r>
          </w:p>
        </w:tc>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45,000</w:t>
            </w:r>
          </w:p>
        </w:tc>
        <w:tc>
          <w:tcPr>
            <w:tcW w:w="1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高管持股</w:t>
            </w:r>
          </w:p>
        </w:tc>
        <w:tc>
          <w:tcPr>
            <w:tcW w:w="2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35"/>
              <w:jc w:val="center"/>
              <w:rPr>
                <w:rFonts w:ascii="宋体" w:hAnsi="宋体" w:cs="宋体" w:eastAsia="宋体" w:hint="default"/>
                <w:sz w:val="18"/>
                <w:szCs w:val="18"/>
              </w:rPr>
            </w:pPr>
            <w:r>
              <w:rPr>
                <w:rFonts w:ascii="宋体" w:hAnsi="宋体" w:cs="宋体" w:eastAsia="宋体" w:hint="default"/>
                <w:sz w:val="18"/>
                <w:szCs w:val="18"/>
              </w:rPr>
              <w:t>按高管持股相关规定解限</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周庚申</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23,760</w:t>
            </w:r>
          </w:p>
        </w:tc>
        <w:tc>
          <w:tcPr>
            <w:tcW w:w="1050"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49,500</w:t>
            </w:r>
          </w:p>
        </w:tc>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73,260</w:t>
            </w:r>
          </w:p>
        </w:tc>
        <w:tc>
          <w:tcPr>
            <w:tcW w:w="1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高管持股</w:t>
            </w:r>
          </w:p>
        </w:tc>
        <w:tc>
          <w:tcPr>
            <w:tcW w:w="2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35"/>
              <w:jc w:val="center"/>
              <w:rPr>
                <w:rFonts w:ascii="宋体" w:hAnsi="宋体" w:cs="宋体" w:eastAsia="宋体" w:hint="default"/>
                <w:sz w:val="18"/>
                <w:szCs w:val="18"/>
              </w:rPr>
            </w:pPr>
            <w:r>
              <w:rPr>
                <w:rFonts w:ascii="宋体" w:hAnsi="宋体" w:cs="宋体" w:eastAsia="宋体" w:hint="default"/>
                <w:sz w:val="18"/>
                <w:szCs w:val="18"/>
              </w:rPr>
              <w:t>按高管持股相关规定解限</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戴湘桃</w:t>
            </w:r>
          </w:p>
        </w:tc>
        <w:tc>
          <w:tcPr>
            <w:tcW w:w="1154"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45,000</w:t>
            </w:r>
          </w:p>
        </w:tc>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45,000</w:t>
            </w:r>
          </w:p>
        </w:tc>
        <w:tc>
          <w:tcPr>
            <w:tcW w:w="1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高管持股</w:t>
            </w:r>
          </w:p>
        </w:tc>
        <w:tc>
          <w:tcPr>
            <w:tcW w:w="2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35"/>
              <w:jc w:val="center"/>
              <w:rPr>
                <w:rFonts w:ascii="宋体" w:hAnsi="宋体" w:cs="宋体" w:eastAsia="宋体" w:hint="default"/>
                <w:sz w:val="18"/>
                <w:szCs w:val="18"/>
              </w:rPr>
            </w:pPr>
            <w:r>
              <w:rPr>
                <w:rFonts w:ascii="宋体" w:hAnsi="宋体" w:cs="宋体" w:eastAsia="宋体" w:hint="default"/>
                <w:sz w:val="18"/>
                <w:szCs w:val="18"/>
              </w:rPr>
              <w:t>按高管持股相关规定解限</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周在龙</w:t>
            </w:r>
          </w:p>
        </w:tc>
        <w:tc>
          <w:tcPr>
            <w:tcW w:w="1154"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45,000</w:t>
            </w:r>
          </w:p>
        </w:tc>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45,000</w:t>
            </w:r>
          </w:p>
        </w:tc>
        <w:tc>
          <w:tcPr>
            <w:tcW w:w="1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高管持股</w:t>
            </w:r>
          </w:p>
        </w:tc>
        <w:tc>
          <w:tcPr>
            <w:tcW w:w="2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35"/>
              <w:jc w:val="center"/>
              <w:rPr>
                <w:rFonts w:ascii="宋体" w:hAnsi="宋体" w:cs="宋体" w:eastAsia="宋体" w:hint="default"/>
                <w:sz w:val="18"/>
                <w:szCs w:val="18"/>
              </w:rPr>
            </w:pPr>
            <w:r>
              <w:rPr>
                <w:rFonts w:ascii="宋体" w:hAnsi="宋体" w:cs="宋体" w:eastAsia="宋体" w:hint="default"/>
                <w:sz w:val="18"/>
                <w:szCs w:val="18"/>
              </w:rPr>
              <w:t>按高管持股相关规定解限</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段军</w:t>
            </w:r>
          </w:p>
        </w:tc>
        <w:tc>
          <w:tcPr>
            <w:tcW w:w="1154"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15,000</w:t>
            </w:r>
          </w:p>
        </w:tc>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15,000</w:t>
            </w:r>
          </w:p>
        </w:tc>
        <w:tc>
          <w:tcPr>
            <w:tcW w:w="1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高管持股</w:t>
            </w:r>
          </w:p>
        </w:tc>
        <w:tc>
          <w:tcPr>
            <w:tcW w:w="2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35"/>
              <w:jc w:val="center"/>
              <w:rPr>
                <w:rFonts w:ascii="宋体" w:hAnsi="宋体" w:cs="宋体" w:eastAsia="宋体" w:hint="default"/>
                <w:sz w:val="18"/>
                <w:szCs w:val="18"/>
              </w:rPr>
            </w:pPr>
            <w:r>
              <w:rPr>
                <w:rFonts w:ascii="宋体" w:hAnsi="宋体" w:cs="宋体" w:eastAsia="宋体" w:hint="default"/>
                <w:sz w:val="18"/>
                <w:szCs w:val="18"/>
              </w:rPr>
              <w:t>按高管持股相关规定解限</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刘文彬</w:t>
            </w:r>
          </w:p>
        </w:tc>
        <w:tc>
          <w:tcPr>
            <w:tcW w:w="1154"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45,000</w:t>
            </w:r>
          </w:p>
        </w:tc>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45,000</w:t>
            </w:r>
          </w:p>
        </w:tc>
        <w:tc>
          <w:tcPr>
            <w:tcW w:w="1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高管持股</w:t>
            </w:r>
          </w:p>
        </w:tc>
        <w:tc>
          <w:tcPr>
            <w:tcW w:w="2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35"/>
              <w:jc w:val="center"/>
              <w:rPr>
                <w:rFonts w:ascii="宋体" w:hAnsi="宋体" w:cs="宋体" w:eastAsia="宋体" w:hint="default"/>
                <w:sz w:val="18"/>
                <w:szCs w:val="18"/>
              </w:rPr>
            </w:pPr>
            <w:r>
              <w:rPr>
                <w:rFonts w:ascii="宋体" w:hAnsi="宋体" w:cs="宋体" w:eastAsia="宋体" w:hint="default"/>
                <w:sz w:val="18"/>
                <w:szCs w:val="18"/>
              </w:rPr>
              <w:t>按高管持股相关规定解限</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郭镇</w:t>
            </w:r>
          </w:p>
        </w:tc>
        <w:tc>
          <w:tcPr>
            <w:tcW w:w="1154" w:type="dxa"/>
            <w:tcBorders>
              <w:top w:val="single" w:sz="4" w:space="0" w:color="000000"/>
              <w:left w:val="single" w:sz="4" w:space="0" w:color="000000"/>
              <w:bottom w:val="single" w:sz="4" w:space="0" w:color="000000"/>
              <w:right w:val="single" w:sz="4" w:space="0" w:color="000000"/>
            </w:tcBorders>
          </w:tcPr>
          <w:p>
            <w:pPr/>
          </w:p>
        </w:tc>
        <w:tc>
          <w:tcPr>
            <w:tcW w:w="1050"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21,000</w:t>
            </w:r>
          </w:p>
        </w:tc>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21,000</w:t>
            </w:r>
          </w:p>
        </w:tc>
        <w:tc>
          <w:tcPr>
            <w:tcW w:w="1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高管持股</w:t>
            </w:r>
          </w:p>
        </w:tc>
        <w:tc>
          <w:tcPr>
            <w:tcW w:w="2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35"/>
              <w:jc w:val="center"/>
              <w:rPr>
                <w:rFonts w:ascii="宋体" w:hAnsi="宋体" w:cs="宋体" w:eastAsia="宋体" w:hint="default"/>
                <w:sz w:val="18"/>
                <w:szCs w:val="18"/>
              </w:rPr>
            </w:pPr>
            <w:r>
              <w:rPr>
                <w:rFonts w:ascii="宋体" w:hAnsi="宋体" w:cs="宋体" w:eastAsia="宋体" w:hint="default"/>
                <w:sz w:val="18"/>
                <w:szCs w:val="18"/>
              </w:rPr>
              <w:t>按高管持股相关规定解限</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453,041,650</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-7,593,399</w:t>
            </w:r>
          </w:p>
        </w:tc>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445,448,251</w:t>
            </w:r>
          </w:p>
        </w:tc>
        <w:tc>
          <w:tcPr>
            <w:tcW w:w="193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c>
          <w:tcPr>
            <w:tcW w:w="207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5"/>
        <w:rPr>
          <w:rFonts w:ascii="宋体" w:hAnsi="宋体" w:cs="宋体" w:eastAsia="宋体" w:hint="default"/>
          <w:sz w:val="13"/>
          <w:szCs w:val="13"/>
        </w:rPr>
      </w:pPr>
    </w:p>
    <w:p>
      <w:pPr>
        <w:pStyle w:val="Heading4"/>
        <w:spacing w:line="240" w:lineRule="auto" w:before="26"/>
        <w:ind w:left="274" w:right="1029"/>
        <w:jc w:val="left"/>
        <w:rPr>
          <w:b w:val="0"/>
          <w:bCs w:val="0"/>
        </w:rPr>
      </w:pPr>
      <w:r>
        <w:rPr/>
        <w:t>二、证券发行与上市情况</w:t>
      </w:r>
      <w:r>
        <w:rPr>
          <w:b w:val="0"/>
          <w:bCs w:val="0"/>
        </w:rPr>
      </w:r>
    </w:p>
    <w:p>
      <w:pPr>
        <w:spacing w:line="240" w:lineRule="auto" w:before="0"/>
        <w:rPr>
          <w:rFonts w:ascii="宋体" w:hAnsi="宋体" w:cs="宋体" w:eastAsia="宋体" w:hint="default"/>
          <w:b/>
          <w:bCs/>
          <w:sz w:val="20"/>
          <w:szCs w:val="20"/>
        </w:rPr>
      </w:pPr>
    </w:p>
    <w:p>
      <w:pPr>
        <w:pStyle w:val="Heading5"/>
        <w:spacing w:line="240" w:lineRule="auto" w:before="0"/>
        <w:ind w:left="274" w:right="1029"/>
        <w:jc w:val="left"/>
        <w:rPr>
          <w:b w:val="0"/>
          <w:bCs w:val="0"/>
        </w:rPr>
      </w:pPr>
      <w:r>
        <w:rPr>
          <w:rFonts w:ascii="Times New Roman" w:hAnsi="Times New Roman" w:cs="Times New Roman" w:eastAsia="Times New Roman" w:hint="default"/>
        </w:rPr>
        <w:t>1</w:t>
      </w:r>
      <w:r>
        <w:rPr/>
        <w:t>、报告期内证券发行（不含优先股）情况</w:t>
      </w:r>
      <w:r>
        <w:rPr>
          <w:b w:val="0"/>
          <w:bCs w:val="0"/>
        </w:rPr>
      </w:r>
    </w:p>
    <w:p>
      <w:pPr>
        <w:spacing w:line="240" w:lineRule="auto" w:before="0"/>
        <w:rPr>
          <w:rFonts w:ascii="宋体" w:hAnsi="宋体" w:cs="宋体" w:eastAsia="宋体" w:hint="default"/>
          <w:b/>
          <w:bCs/>
          <w:sz w:val="22"/>
          <w:szCs w:val="22"/>
        </w:rPr>
      </w:pPr>
    </w:p>
    <w:p>
      <w:pPr>
        <w:spacing w:before="0"/>
        <w:ind w:left="274" w:right="1029"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3"/>
        <w:rPr>
          <w:rFonts w:ascii="宋体" w:hAnsi="宋体" w:cs="宋体" w:eastAsia="宋体" w:hint="default"/>
          <w:sz w:val="22"/>
          <w:szCs w:val="22"/>
        </w:rPr>
      </w:pPr>
    </w:p>
    <w:p>
      <w:pPr>
        <w:pStyle w:val="Heading5"/>
        <w:spacing w:line="240" w:lineRule="auto" w:before="0"/>
        <w:ind w:left="274" w:right="1029"/>
        <w:jc w:val="left"/>
        <w:rPr>
          <w:b w:val="0"/>
          <w:bCs w:val="0"/>
        </w:rPr>
      </w:pPr>
      <w:r>
        <w:rPr>
          <w:rFonts w:ascii="Times New Roman" w:hAnsi="Times New Roman" w:cs="Times New Roman" w:eastAsia="Times New Roman" w:hint="default"/>
        </w:rPr>
        <w:t>2</w:t>
      </w:r>
      <w:r>
        <w:rPr/>
        <w:t>、公司股份总数及股东结构的变动、公司资产和负债结构的变动情况说明</w:t>
      </w:r>
      <w:r>
        <w:rPr>
          <w:b w:val="0"/>
          <w:bCs w:val="0"/>
        </w:rPr>
      </w:r>
    </w:p>
    <w:p>
      <w:pPr>
        <w:spacing w:line="240" w:lineRule="auto" w:before="12"/>
        <w:rPr>
          <w:rFonts w:ascii="宋体" w:hAnsi="宋体" w:cs="宋体" w:eastAsia="宋体" w:hint="default"/>
          <w:b/>
          <w:bCs/>
          <w:sz w:val="21"/>
          <w:szCs w:val="21"/>
        </w:rPr>
      </w:pPr>
    </w:p>
    <w:p>
      <w:pPr>
        <w:spacing w:line="360" w:lineRule="auto" w:before="0"/>
        <w:ind w:left="633" w:right="4811" w:hanging="360"/>
        <w:jc w:val="left"/>
        <w:rPr>
          <w:rFonts w:ascii="宋体" w:hAnsi="宋体" w:cs="宋体" w:eastAsia="宋体" w:hint="default"/>
          <w:sz w:val="18"/>
          <w:szCs w:val="18"/>
        </w:rPr>
      </w:pPr>
      <w:r>
        <w:rPr>
          <w:rFonts w:ascii="宋体" w:hAnsi="宋体" w:cs="宋体" w:eastAsia="宋体" w:hint="default"/>
          <w:sz w:val="18"/>
          <w:szCs w:val="18"/>
        </w:rPr>
        <w:t>√ 适用 □ 不适用 股份总数及股东结构的变动参见本节“股份变动情况”中的相关介绍；</w:t>
      </w:r>
    </w:p>
    <w:p>
      <w:pPr>
        <w:spacing w:line="302" w:lineRule="auto" w:before="25"/>
        <w:ind w:left="273" w:right="1029" w:firstLine="360"/>
        <w:jc w:val="left"/>
        <w:rPr>
          <w:rFonts w:ascii="宋体" w:hAnsi="宋体" w:cs="宋体" w:eastAsia="宋体" w:hint="default"/>
          <w:sz w:val="18"/>
          <w:szCs w:val="18"/>
        </w:rPr>
      </w:pPr>
      <w:r>
        <w:rPr>
          <w:rFonts w:ascii="宋体" w:hAnsi="宋体" w:cs="宋体" w:eastAsia="宋体" w:hint="default"/>
          <w:sz w:val="18"/>
          <w:szCs w:val="18"/>
        </w:rPr>
        <w:t>本次回购并注销业绩补偿股份完成后，公司股本总额变更为</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2,936,165,560</w:t>
      </w:r>
      <w:r>
        <w:rPr>
          <w:rFonts w:ascii="Times New Roman" w:hAnsi="Times New Roman" w:cs="Times New Roman" w:eastAsia="Times New Roman" w:hint="default"/>
          <w:spacing w:val="-10"/>
          <w:sz w:val="18"/>
          <w:szCs w:val="18"/>
        </w:rPr>
        <w:t> </w:t>
      </w:r>
      <w:r>
        <w:rPr>
          <w:rFonts w:ascii="宋体" w:hAnsi="宋体" w:cs="宋体" w:eastAsia="宋体" w:hint="default"/>
          <w:spacing w:val="-4"/>
          <w:sz w:val="18"/>
          <w:szCs w:val="18"/>
        </w:rPr>
        <w:t>股，中国电子直接持有公司</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1,196,466,010</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股， 占公司股本总额的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40.75%</w:t>
      </w:r>
      <w:r>
        <w:rPr>
          <w:rFonts w:ascii="宋体" w:hAnsi="宋体" w:cs="宋体" w:eastAsia="宋体" w:hint="default"/>
          <w:sz w:val="18"/>
          <w:szCs w:val="18"/>
        </w:rPr>
        <w:t>，仍为公司控股股东及实际控制人。</w:t>
      </w:r>
    </w:p>
    <w:p>
      <w:pPr>
        <w:spacing w:after="0" w:line="302" w:lineRule="auto"/>
        <w:jc w:val="left"/>
        <w:rPr>
          <w:rFonts w:ascii="宋体" w:hAnsi="宋体" w:cs="宋体" w:eastAsia="宋体" w:hint="default"/>
          <w:sz w:val="18"/>
          <w:szCs w:val="18"/>
        </w:rPr>
        <w:sectPr>
          <w:pgSz w:w="11910" w:h="16840"/>
          <w:pgMar w:header="787" w:footer="982" w:top="1100" w:bottom="1180" w:left="860" w:right="0"/>
        </w:sectPr>
      </w:pPr>
    </w:p>
    <w:p>
      <w:pPr>
        <w:spacing w:line="240" w:lineRule="auto" w:before="7"/>
        <w:rPr>
          <w:rFonts w:ascii="宋体" w:hAnsi="宋体" w:cs="宋体" w:eastAsia="宋体" w:hint="default"/>
          <w:sz w:val="21"/>
          <w:szCs w:val="21"/>
        </w:rPr>
      </w:pPr>
    </w:p>
    <w:p>
      <w:pPr>
        <w:pStyle w:val="Heading5"/>
        <w:spacing w:line="240" w:lineRule="auto"/>
        <w:ind w:left="514" w:right="0"/>
        <w:jc w:val="left"/>
        <w:rPr>
          <w:b w:val="0"/>
          <w:bCs w:val="0"/>
        </w:rPr>
      </w:pPr>
      <w:r>
        <w:rPr>
          <w:rFonts w:ascii="Times New Roman" w:hAnsi="Times New Roman" w:cs="Times New Roman" w:eastAsia="Times New Roman" w:hint="default"/>
        </w:rPr>
        <w:t>3</w:t>
      </w:r>
      <w:r>
        <w:rPr/>
        <w:t>、现存的内部职工股情况</w:t>
      </w:r>
      <w:r>
        <w:rPr>
          <w:b w:val="0"/>
          <w:bCs w:val="0"/>
        </w:rPr>
      </w:r>
    </w:p>
    <w:p>
      <w:pPr>
        <w:spacing w:line="240" w:lineRule="auto" w:before="0"/>
        <w:rPr>
          <w:rFonts w:ascii="宋体" w:hAnsi="宋体" w:cs="宋体" w:eastAsia="宋体" w:hint="default"/>
          <w:b/>
          <w:bCs/>
          <w:sz w:val="22"/>
          <w:szCs w:val="22"/>
        </w:rPr>
      </w:pPr>
    </w:p>
    <w:p>
      <w:pPr>
        <w:spacing w:before="0"/>
        <w:ind w:left="5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4"/>
        <w:rPr>
          <w:rFonts w:ascii="宋体" w:hAnsi="宋体" w:cs="宋体" w:eastAsia="宋体" w:hint="default"/>
          <w:sz w:val="20"/>
          <w:szCs w:val="20"/>
        </w:rPr>
      </w:pPr>
    </w:p>
    <w:p>
      <w:pPr>
        <w:pStyle w:val="Heading4"/>
        <w:spacing w:line="240" w:lineRule="auto"/>
        <w:ind w:left="514" w:right="0"/>
        <w:jc w:val="left"/>
        <w:rPr>
          <w:b w:val="0"/>
          <w:bCs w:val="0"/>
        </w:rPr>
      </w:pPr>
      <w:r>
        <w:rPr/>
        <w:t>三、股东和实际控制人情况</w:t>
      </w:r>
      <w:r>
        <w:rPr>
          <w:b w:val="0"/>
          <w:bCs w:val="0"/>
        </w:rPr>
      </w:r>
    </w:p>
    <w:p>
      <w:pPr>
        <w:spacing w:line="240" w:lineRule="auto" w:before="0"/>
        <w:rPr>
          <w:rFonts w:ascii="宋体" w:hAnsi="宋体" w:cs="宋体" w:eastAsia="宋体" w:hint="default"/>
          <w:b/>
          <w:bCs/>
          <w:sz w:val="20"/>
          <w:szCs w:val="20"/>
        </w:rPr>
      </w:pPr>
    </w:p>
    <w:p>
      <w:pPr>
        <w:pStyle w:val="Heading5"/>
        <w:spacing w:line="240" w:lineRule="auto" w:before="0"/>
        <w:ind w:left="514" w:right="0"/>
        <w:jc w:val="left"/>
        <w:rPr>
          <w:b w:val="0"/>
          <w:bCs w:val="0"/>
        </w:rPr>
      </w:pPr>
      <w:r>
        <w:rPr>
          <w:rFonts w:ascii="Times New Roman" w:hAnsi="Times New Roman" w:cs="Times New Roman" w:eastAsia="Times New Roman" w:hint="default"/>
        </w:rPr>
        <w:t>1</w:t>
      </w:r>
      <w:r>
        <w:rPr/>
        <w:t>、公司股东数量及持股情况</w:t>
      </w:r>
      <w:r>
        <w:rPr>
          <w:b w:val="0"/>
          <w:bCs w:val="0"/>
        </w:rPr>
      </w:r>
    </w:p>
    <w:p>
      <w:pPr>
        <w:spacing w:line="240" w:lineRule="auto" w:before="8"/>
        <w:rPr>
          <w:rFonts w:ascii="宋体" w:hAnsi="宋体" w:cs="宋体" w:eastAsia="宋体" w:hint="default"/>
          <w:b/>
          <w:bCs/>
          <w:sz w:val="18"/>
          <w:szCs w:val="18"/>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13"/>
        <w:rPr>
          <w:rFonts w:ascii="宋体" w:hAnsi="宋体" w:cs="宋体" w:eastAsia="宋体" w:hint="default"/>
          <w:sz w:val="7"/>
          <w:szCs w:val="7"/>
        </w:rPr>
      </w:pPr>
    </w:p>
    <w:tbl>
      <w:tblPr>
        <w:tblW w:w="0" w:type="auto"/>
        <w:jc w:val="left"/>
        <w:tblInd w:w="103" w:type="dxa"/>
        <w:tblLayout w:type="fixed"/>
        <w:tblCellMar>
          <w:top w:w="0" w:type="dxa"/>
          <w:left w:w="0" w:type="dxa"/>
          <w:bottom w:w="0" w:type="dxa"/>
          <w:right w:w="0" w:type="dxa"/>
        </w:tblCellMar>
        <w:tblLook w:val="01E0"/>
      </w:tblPr>
      <w:tblGrid>
        <w:gridCol w:w="2311"/>
        <w:gridCol w:w="852"/>
        <w:gridCol w:w="425"/>
        <w:gridCol w:w="709"/>
        <w:gridCol w:w="140"/>
        <w:gridCol w:w="994"/>
        <w:gridCol w:w="1134"/>
        <w:gridCol w:w="140"/>
        <w:gridCol w:w="994"/>
        <w:gridCol w:w="140"/>
        <w:gridCol w:w="994"/>
        <w:gridCol w:w="707"/>
        <w:gridCol w:w="142"/>
        <w:gridCol w:w="764"/>
      </w:tblGrid>
      <w:tr>
        <w:trPr>
          <w:trHeight w:val="986" w:hRule="exact"/>
        </w:trPr>
        <w:tc>
          <w:tcPr>
            <w:tcW w:w="231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left="1" w:right="0"/>
              <w:jc w:val="left"/>
              <w:rPr>
                <w:rFonts w:ascii="宋体" w:hAnsi="宋体" w:cs="宋体" w:eastAsia="宋体" w:hint="default"/>
                <w:sz w:val="18"/>
                <w:szCs w:val="18"/>
              </w:rPr>
            </w:pPr>
            <w:r>
              <w:rPr>
                <w:rFonts w:ascii="宋体" w:hAnsi="宋体" w:cs="宋体" w:eastAsia="宋体" w:hint="default"/>
                <w:sz w:val="18"/>
                <w:szCs w:val="18"/>
              </w:rPr>
              <w:t>报告期末普通股股东总数</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left="1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149,762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户</w:t>
            </w:r>
          </w:p>
        </w:tc>
        <w:tc>
          <w:tcPr>
            <w:tcW w:w="1274" w:type="dxa"/>
            <w:gridSpan w:val="3"/>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32"/>
              <w:ind w:right="2"/>
              <w:jc w:val="both"/>
              <w:rPr>
                <w:rFonts w:ascii="宋体" w:hAnsi="宋体" w:cs="宋体" w:eastAsia="宋体" w:hint="default"/>
                <w:sz w:val="18"/>
                <w:szCs w:val="18"/>
              </w:rPr>
            </w:pPr>
            <w:r>
              <w:rPr>
                <w:rFonts w:ascii="宋体" w:hAnsi="宋体" w:cs="宋体" w:eastAsia="宋体" w:hint="default"/>
                <w:sz w:val="18"/>
                <w:szCs w:val="18"/>
              </w:rPr>
              <w:t>年度报告披露日 前上一月末普通 股股东总数</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left="8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145,998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户</w:t>
            </w:r>
          </w:p>
        </w:tc>
        <w:tc>
          <w:tcPr>
            <w:tcW w:w="1274"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32"/>
              <w:ind w:right="2"/>
              <w:jc w:val="both"/>
              <w:rPr>
                <w:rFonts w:ascii="宋体" w:hAnsi="宋体" w:cs="宋体" w:eastAsia="宋体" w:hint="default"/>
                <w:sz w:val="18"/>
                <w:szCs w:val="18"/>
              </w:rPr>
            </w:pPr>
            <w:r>
              <w:rPr>
                <w:rFonts w:ascii="宋体" w:hAnsi="宋体" w:cs="宋体" w:eastAsia="宋体" w:hint="default"/>
                <w:sz w:val="18"/>
                <w:szCs w:val="18"/>
              </w:rPr>
              <w:t>报告期末表决权 恢复的优先股股 东总数</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left="291"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1701"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32"/>
              <w:ind w:left="-1" w:right="69"/>
              <w:jc w:val="both"/>
              <w:rPr>
                <w:rFonts w:ascii="宋体" w:hAnsi="宋体" w:cs="宋体" w:eastAsia="宋体" w:hint="default"/>
                <w:sz w:val="18"/>
                <w:szCs w:val="18"/>
              </w:rPr>
            </w:pPr>
            <w:r>
              <w:rPr>
                <w:rFonts w:ascii="宋体" w:hAnsi="宋体" w:cs="宋体" w:eastAsia="宋体" w:hint="default"/>
                <w:sz w:val="18"/>
                <w:szCs w:val="18"/>
              </w:rPr>
              <w:t>年度报告披露日前上 一月末表决权恢复的 优先股股东总数</w:t>
            </w:r>
          </w:p>
        </w:tc>
        <w:tc>
          <w:tcPr>
            <w:tcW w:w="90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left="179"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362" w:hRule="exact"/>
        </w:trPr>
        <w:tc>
          <w:tcPr>
            <w:tcW w:w="10447" w:type="dxa"/>
            <w:gridSpan w:val="14"/>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2" w:right="0"/>
              <w:jc w:val="center"/>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以上的股东或前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名股东持股情况</w:t>
            </w:r>
          </w:p>
        </w:tc>
      </w:tr>
      <w:tr>
        <w:trPr>
          <w:trHeight w:val="362" w:hRule="exact"/>
        </w:trPr>
        <w:tc>
          <w:tcPr>
            <w:tcW w:w="2311"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1277" w:type="dxa"/>
            <w:gridSpan w:val="2"/>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273" w:right="0"/>
              <w:jc w:val="left"/>
              <w:rPr>
                <w:rFonts w:ascii="宋体" w:hAnsi="宋体" w:cs="宋体" w:eastAsia="宋体" w:hint="default"/>
                <w:sz w:val="18"/>
                <w:szCs w:val="18"/>
              </w:rPr>
            </w:pPr>
            <w:r>
              <w:rPr>
                <w:rFonts w:ascii="宋体" w:hAnsi="宋体" w:cs="宋体" w:eastAsia="宋体" w:hint="default"/>
                <w:sz w:val="18"/>
                <w:szCs w:val="18"/>
              </w:rPr>
              <w:t>股东性质</w:t>
            </w:r>
          </w:p>
        </w:tc>
        <w:tc>
          <w:tcPr>
            <w:tcW w:w="709" w:type="dxa"/>
            <w:vMerge w:val="restart"/>
            <w:tcBorders>
              <w:top w:val="single" w:sz="4" w:space="0" w:color="000000"/>
              <w:left w:val="single" w:sz="4" w:space="0" w:color="000000"/>
              <w:right w:val="single" w:sz="4" w:space="0" w:color="000000"/>
            </w:tcBorders>
            <w:shd w:val="clear" w:color="auto" w:fill="D3D3D3"/>
          </w:tcPr>
          <w:p>
            <w:pPr>
              <w:pStyle w:val="TableParagraph"/>
              <w:spacing w:line="316" w:lineRule="auto" w:before="56"/>
              <w:ind w:left="259" w:right="78" w:hanging="180"/>
              <w:jc w:val="left"/>
              <w:rPr>
                <w:rFonts w:ascii="宋体" w:hAnsi="宋体" w:cs="宋体" w:eastAsia="宋体" w:hint="default"/>
                <w:sz w:val="18"/>
                <w:szCs w:val="18"/>
              </w:rPr>
            </w:pPr>
            <w:r>
              <w:rPr>
                <w:rFonts w:ascii="宋体" w:hAnsi="宋体" w:cs="宋体" w:eastAsia="宋体" w:hint="default"/>
                <w:sz w:val="18"/>
                <w:szCs w:val="18"/>
              </w:rPr>
              <w:t>持股比 例</w:t>
            </w:r>
          </w:p>
        </w:tc>
        <w:tc>
          <w:tcPr>
            <w:tcW w:w="1134" w:type="dxa"/>
            <w:gridSpan w:val="2"/>
            <w:vMerge w:val="restart"/>
            <w:tcBorders>
              <w:top w:val="single" w:sz="4" w:space="0" w:color="000000"/>
              <w:left w:val="single" w:sz="4" w:space="0" w:color="000000"/>
              <w:right w:val="single" w:sz="4" w:space="0" w:color="000000"/>
            </w:tcBorders>
            <w:shd w:val="clear" w:color="auto" w:fill="D3D3D3"/>
          </w:tcPr>
          <w:p>
            <w:pPr>
              <w:pStyle w:val="TableParagraph"/>
              <w:spacing w:line="316" w:lineRule="auto" w:before="56"/>
              <w:ind w:left="381" w:right="20" w:hanging="360"/>
              <w:jc w:val="left"/>
              <w:rPr>
                <w:rFonts w:ascii="宋体" w:hAnsi="宋体" w:cs="宋体" w:eastAsia="宋体" w:hint="default"/>
                <w:sz w:val="18"/>
                <w:szCs w:val="18"/>
              </w:rPr>
            </w:pPr>
            <w:r>
              <w:rPr>
                <w:rFonts w:ascii="宋体" w:hAnsi="宋体" w:cs="宋体" w:eastAsia="宋体" w:hint="default"/>
                <w:sz w:val="18"/>
                <w:szCs w:val="18"/>
              </w:rPr>
              <w:t>报告期末持股 数量</w:t>
            </w:r>
          </w:p>
        </w:tc>
        <w:tc>
          <w:tcPr>
            <w:tcW w:w="1134" w:type="dxa"/>
            <w:vMerge w:val="restart"/>
            <w:tcBorders>
              <w:top w:val="single" w:sz="4" w:space="0" w:color="000000"/>
              <w:left w:val="single" w:sz="4" w:space="0" w:color="000000"/>
              <w:right w:val="single" w:sz="4" w:space="0" w:color="000000"/>
            </w:tcBorders>
            <w:shd w:val="clear" w:color="auto" w:fill="D3D3D3"/>
          </w:tcPr>
          <w:p>
            <w:pPr>
              <w:pStyle w:val="TableParagraph"/>
              <w:spacing w:line="316" w:lineRule="auto" w:before="56"/>
              <w:ind w:left="201" w:right="20" w:hanging="180"/>
              <w:jc w:val="left"/>
              <w:rPr>
                <w:rFonts w:ascii="宋体" w:hAnsi="宋体" w:cs="宋体" w:eastAsia="宋体" w:hint="default"/>
                <w:sz w:val="18"/>
                <w:szCs w:val="18"/>
              </w:rPr>
            </w:pPr>
            <w:r>
              <w:rPr>
                <w:rFonts w:ascii="宋体" w:hAnsi="宋体" w:cs="宋体" w:eastAsia="宋体" w:hint="default"/>
                <w:sz w:val="18"/>
                <w:szCs w:val="18"/>
              </w:rPr>
              <w:t>报告期内增减 变动情况</w:t>
            </w:r>
          </w:p>
        </w:tc>
        <w:tc>
          <w:tcPr>
            <w:tcW w:w="1134" w:type="dxa"/>
            <w:gridSpan w:val="2"/>
            <w:vMerge w:val="restart"/>
            <w:tcBorders>
              <w:top w:val="single" w:sz="4" w:space="0" w:color="000000"/>
              <w:left w:val="single" w:sz="4" w:space="0" w:color="000000"/>
              <w:right w:val="single" w:sz="4" w:space="0" w:color="000000"/>
            </w:tcBorders>
            <w:shd w:val="clear" w:color="auto" w:fill="D3D3D3"/>
          </w:tcPr>
          <w:p>
            <w:pPr>
              <w:pStyle w:val="TableParagraph"/>
              <w:spacing w:line="316" w:lineRule="auto" w:before="56"/>
              <w:ind w:left="21" w:right="20"/>
              <w:jc w:val="left"/>
              <w:rPr>
                <w:rFonts w:ascii="宋体" w:hAnsi="宋体" w:cs="宋体" w:eastAsia="宋体" w:hint="default"/>
                <w:sz w:val="18"/>
                <w:szCs w:val="18"/>
              </w:rPr>
            </w:pPr>
            <w:r>
              <w:rPr>
                <w:rFonts w:ascii="宋体" w:hAnsi="宋体" w:cs="宋体" w:eastAsia="宋体" w:hint="default"/>
                <w:sz w:val="18"/>
                <w:szCs w:val="18"/>
              </w:rPr>
              <w:t>持有有限售条 件的股份数量</w:t>
            </w:r>
          </w:p>
        </w:tc>
        <w:tc>
          <w:tcPr>
            <w:tcW w:w="1134" w:type="dxa"/>
            <w:gridSpan w:val="2"/>
            <w:vMerge w:val="restart"/>
            <w:tcBorders>
              <w:top w:val="single" w:sz="4" w:space="0" w:color="000000"/>
              <w:left w:val="single" w:sz="4" w:space="0" w:color="000000"/>
              <w:right w:val="single" w:sz="4" w:space="0" w:color="000000"/>
            </w:tcBorders>
            <w:shd w:val="clear" w:color="auto" w:fill="D3D3D3"/>
          </w:tcPr>
          <w:p>
            <w:pPr>
              <w:pStyle w:val="TableParagraph"/>
              <w:spacing w:line="316" w:lineRule="auto" w:before="56"/>
              <w:ind w:left="21" w:right="20"/>
              <w:jc w:val="left"/>
              <w:rPr>
                <w:rFonts w:ascii="宋体" w:hAnsi="宋体" w:cs="宋体" w:eastAsia="宋体" w:hint="default"/>
                <w:sz w:val="18"/>
                <w:szCs w:val="18"/>
              </w:rPr>
            </w:pPr>
            <w:r>
              <w:rPr>
                <w:rFonts w:ascii="宋体" w:hAnsi="宋体" w:cs="宋体" w:eastAsia="宋体" w:hint="default"/>
                <w:sz w:val="18"/>
                <w:szCs w:val="18"/>
              </w:rPr>
              <w:t>持有无限售条 件的股份数量</w:t>
            </w:r>
          </w:p>
        </w:tc>
        <w:tc>
          <w:tcPr>
            <w:tcW w:w="1614" w:type="dxa"/>
            <w:gridSpan w:val="3"/>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172" w:right="0"/>
              <w:jc w:val="left"/>
              <w:rPr>
                <w:rFonts w:ascii="宋体" w:hAnsi="宋体" w:cs="宋体" w:eastAsia="宋体" w:hint="default"/>
                <w:sz w:val="18"/>
                <w:szCs w:val="18"/>
              </w:rPr>
            </w:pPr>
            <w:r>
              <w:rPr>
                <w:rFonts w:ascii="宋体" w:hAnsi="宋体" w:cs="宋体" w:eastAsia="宋体" w:hint="default"/>
                <w:sz w:val="18"/>
                <w:szCs w:val="18"/>
              </w:rPr>
              <w:t>质押或冻结情况</w:t>
            </w:r>
          </w:p>
        </w:tc>
      </w:tr>
      <w:tr>
        <w:trPr>
          <w:trHeight w:val="362" w:hRule="exact"/>
        </w:trPr>
        <w:tc>
          <w:tcPr>
            <w:tcW w:w="2311" w:type="dxa"/>
            <w:vMerge/>
            <w:tcBorders>
              <w:left w:val="single" w:sz="4" w:space="0" w:color="000000"/>
              <w:bottom w:val="single" w:sz="4" w:space="0" w:color="000000"/>
              <w:right w:val="single" w:sz="4" w:space="0" w:color="000000"/>
            </w:tcBorders>
            <w:shd w:val="clear" w:color="auto" w:fill="D3D3D3"/>
          </w:tcPr>
          <w:p>
            <w:pPr/>
          </w:p>
        </w:tc>
        <w:tc>
          <w:tcPr>
            <w:tcW w:w="1277" w:type="dxa"/>
            <w:gridSpan w:val="2"/>
            <w:vMerge/>
            <w:tcBorders>
              <w:left w:val="single" w:sz="4" w:space="0" w:color="000000"/>
              <w:bottom w:val="single" w:sz="4" w:space="0" w:color="000000"/>
              <w:right w:val="single" w:sz="4" w:space="0" w:color="000000"/>
            </w:tcBorders>
            <w:shd w:val="clear" w:color="auto" w:fill="D3D3D3"/>
          </w:tcPr>
          <w:p>
            <w:pPr/>
          </w:p>
        </w:tc>
        <w:tc>
          <w:tcPr>
            <w:tcW w:w="709" w:type="dxa"/>
            <w:vMerge/>
            <w:tcBorders>
              <w:left w:val="single" w:sz="4" w:space="0" w:color="000000"/>
              <w:bottom w:val="single" w:sz="4" w:space="0" w:color="000000"/>
              <w:right w:val="single" w:sz="4" w:space="0" w:color="000000"/>
            </w:tcBorders>
            <w:shd w:val="clear" w:color="auto" w:fill="D3D3D3"/>
          </w:tcPr>
          <w:p>
            <w:pPr/>
          </w:p>
        </w:tc>
        <w:tc>
          <w:tcPr>
            <w:tcW w:w="1134" w:type="dxa"/>
            <w:gridSpan w:val="2"/>
            <w:vMerge/>
            <w:tcBorders>
              <w:left w:val="single" w:sz="4" w:space="0" w:color="000000"/>
              <w:bottom w:val="single" w:sz="4" w:space="0" w:color="000000"/>
              <w:right w:val="single" w:sz="4" w:space="0" w:color="000000"/>
            </w:tcBorders>
            <w:shd w:val="clear" w:color="auto" w:fill="D3D3D3"/>
          </w:tcPr>
          <w:p>
            <w:pPr/>
          </w:p>
        </w:tc>
        <w:tc>
          <w:tcPr>
            <w:tcW w:w="1134" w:type="dxa"/>
            <w:vMerge/>
            <w:tcBorders>
              <w:left w:val="single" w:sz="4" w:space="0" w:color="000000"/>
              <w:bottom w:val="single" w:sz="4" w:space="0" w:color="000000"/>
              <w:right w:val="single" w:sz="4" w:space="0" w:color="000000"/>
            </w:tcBorders>
            <w:shd w:val="clear" w:color="auto" w:fill="D3D3D3"/>
          </w:tcPr>
          <w:p>
            <w:pPr/>
          </w:p>
        </w:tc>
        <w:tc>
          <w:tcPr>
            <w:tcW w:w="1134" w:type="dxa"/>
            <w:gridSpan w:val="2"/>
            <w:vMerge/>
            <w:tcBorders>
              <w:left w:val="single" w:sz="4" w:space="0" w:color="000000"/>
              <w:bottom w:val="single" w:sz="4" w:space="0" w:color="000000"/>
              <w:right w:val="single" w:sz="4" w:space="0" w:color="000000"/>
            </w:tcBorders>
            <w:shd w:val="clear" w:color="auto" w:fill="D3D3D3"/>
          </w:tcPr>
          <w:p>
            <w:pPr/>
          </w:p>
        </w:tc>
        <w:tc>
          <w:tcPr>
            <w:tcW w:w="1134" w:type="dxa"/>
            <w:gridSpan w:val="2"/>
            <w:vMerge/>
            <w:tcBorders>
              <w:left w:val="single" w:sz="4" w:space="0" w:color="000000"/>
              <w:bottom w:val="single" w:sz="4" w:space="0" w:color="000000"/>
              <w:right w:val="single" w:sz="4" w:space="0" w:color="000000"/>
            </w:tcBorders>
            <w:shd w:val="clear" w:color="auto" w:fill="D3D3D3"/>
          </w:tcPr>
          <w:p>
            <w:pPr/>
          </w:p>
        </w:tc>
        <w:tc>
          <w:tcPr>
            <w:tcW w:w="850"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59" w:right="0"/>
              <w:jc w:val="left"/>
              <w:rPr>
                <w:rFonts w:ascii="宋体" w:hAnsi="宋体" w:cs="宋体" w:eastAsia="宋体" w:hint="default"/>
                <w:sz w:val="18"/>
                <w:szCs w:val="18"/>
              </w:rPr>
            </w:pPr>
            <w:r>
              <w:rPr>
                <w:rFonts w:ascii="宋体" w:hAnsi="宋体" w:cs="宋体" w:eastAsia="宋体" w:hint="default"/>
                <w:sz w:val="18"/>
                <w:szCs w:val="18"/>
              </w:rPr>
              <w:t>股份状态</w:t>
            </w:r>
          </w:p>
        </w:tc>
        <w:tc>
          <w:tcPr>
            <w:tcW w:w="76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数量</w:t>
            </w:r>
          </w:p>
        </w:tc>
      </w:tr>
      <w:tr>
        <w:trPr>
          <w:trHeight w:val="674" w:hRule="exact"/>
        </w:trPr>
        <w:tc>
          <w:tcPr>
            <w:tcW w:w="231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31"/>
              <w:ind w:left="1" w:right="138"/>
              <w:jc w:val="left"/>
              <w:rPr>
                <w:rFonts w:ascii="宋体" w:hAnsi="宋体" w:cs="宋体" w:eastAsia="宋体" w:hint="default"/>
                <w:sz w:val="18"/>
                <w:szCs w:val="18"/>
              </w:rPr>
            </w:pPr>
            <w:r>
              <w:rPr>
                <w:rFonts w:ascii="宋体" w:hAnsi="宋体" w:cs="宋体" w:eastAsia="宋体" w:hint="default"/>
                <w:sz w:val="18"/>
                <w:szCs w:val="18"/>
              </w:rPr>
              <w:t>中国电子信息产业集团有限 公司</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 w:right="0"/>
              <w:jc w:val="left"/>
              <w:rPr>
                <w:rFonts w:ascii="宋体" w:hAnsi="宋体" w:cs="宋体" w:eastAsia="宋体" w:hint="default"/>
                <w:sz w:val="18"/>
                <w:szCs w:val="18"/>
              </w:rPr>
            </w:pPr>
            <w:r>
              <w:rPr>
                <w:rFonts w:ascii="宋体" w:hAnsi="宋体" w:cs="宋体" w:eastAsia="宋体" w:hint="default"/>
                <w:sz w:val="18"/>
                <w:szCs w:val="18"/>
              </w:rPr>
              <w:t>国有法人</w:t>
            </w:r>
          </w:p>
        </w:tc>
        <w:tc>
          <w:tcPr>
            <w:tcW w:w="709" w:type="dxa"/>
            <w:tcBorders>
              <w:top w:val="single" w:sz="14" w:space="0" w:color="D3D3D3"/>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z w:val="18"/>
              </w:rPr>
              <w:t>40.75%</w:t>
            </w:r>
          </w:p>
        </w:tc>
        <w:tc>
          <w:tcPr>
            <w:tcW w:w="1134" w:type="dxa"/>
            <w:gridSpan w:val="2"/>
            <w:tcBorders>
              <w:top w:val="single" w:sz="14" w:space="0" w:color="D3D3D3"/>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90" w:right="-2"/>
              <w:jc w:val="left"/>
              <w:rPr>
                <w:rFonts w:ascii="Times New Roman" w:hAnsi="Times New Roman" w:cs="Times New Roman" w:eastAsia="Times New Roman" w:hint="default"/>
                <w:sz w:val="18"/>
                <w:szCs w:val="18"/>
              </w:rPr>
            </w:pPr>
            <w:r>
              <w:rPr>
                <w:rFonts w:ascii="Times New Roman"/>
                <w:sz w:val="18"/>
              </w:rPr>
              <w:t>1,196,466,010</w:t>
            </w:r>
          </w:p>
        </w:tc>
        <w:tc>
          <w:tcPr>
            <w:tcW w:w="1134" w:type="dxa"/>
            <w:tcBorders>
              <w:top w:val="single" w:sz="14" w:space="0" w:color="D3D3D3"/>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2"/>
              <w:jc w:val="right"/>
              <w:rPr>
                <w:rFonts w:ascii="Times New Roman" w:hAnsi="Times New Roman" w:cs="Times New Roman" w:eastAsia="Times New Roman" w:hint="default"/>
                <w:sz w:val="18"/>
                <w:szCs w:val="18"/>
              </w:rPr>
            </w:pPr>
            <w:r>
              <w:rPr>
                <w:rFonts w:ascii="Times New Roman"/>
                <w:sz w:val="18"/>
              </w:rPr>
              <w:t>-7,903,899</w:t>
            </w:r>
          </w:p>
        </w:tc>
        <w:tc>
          <w:tcPr>
            <w:tcW w:w="1134" w:type="dxa"/>
            <w:gridSpan w:val="2"/>
            <w:tcBorders>
              <w:top w:val="single" w:sz="14" w:space="0" w:color="D3D3D3"/>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224" w:right="-2"/>
              <w:jc w:val="left"/>
              <w:rPr>
                <w:rFonts w:ascii="Times New Roman" w:hAnsi="Times New Roman" w:cs="Times New Roman" w:eastAsia="Times New Roman" w:hint="default"/>
                <w:sz w:val="18"/>
                <w:szCs w:val="18"/>
              </w:rPr>
            </w:pPr>
            <w:r>
              <w:rPr>
                <w:rFonts w:ascii="Times New Roman"/>
                <w:sz w:val="18"/>
              </w:rPr>
              <w:t>438,986,243</w:t>
            </w:r>
          </w:p>
        </w:tc>
        <w:tc>
          <w:tcPr>
            <w:tcW w:w="1134" w:type="dxa"/>
            <w:gridSpan w:val="2"/>
            <w:tcBorders>
              <w:top w:val="single" w:sz="14" w:space="0" w:color="D3D3D3"/>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224" w:right="-2"/>
              <w:jc w:val="left"/>
              <w:rPr>
                <w:rFonts w:ascii="Times New Roman" w:hAnsi="Times New Roman" w:cs="Times New Roman" w:eastAsia="Times New Roman" w:hint="default"/>
                <w:sz w:val="18"/>
                <w:szCs w:val="18"/>
              </w:rPr>
            </w:pPr>
            <w:r>
              <w:rPr>
                <w:rFonts w:ascii="Times New Roman"/>
                <w:sz w:val="18"/>
              </w:rPr>
              <w:t>757,479,767</w:t>
            </w:r>
          </w:p>
        </w:tc>
        <w:tc>
          <w:tcPr>
            <w:tcW w:w="850"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31"/>
              <w:ind w:left="239" w:right="59" w:hanging="180"/>
              <w:jc w:val="left"/>
              <w:rPr>
                <w:rFonts w:ascii="宋体" w:hAnsi="宋体" w:cs="宋体" w:eastAsia="宋体" w:hint="default"/>
                <w:sz w:val="18"/>
                <w:szCs w:val="18"/>
              </w:rPr>
            </w:pPr>
            <w:r>
              <w:rPr>
                <w:rFonts w:ascii="宋体" w:hAnsi="宋体" w:cs="宋体" w:eastAsia="宋体" w:hint="default"/>
                <w:sz w:val="18"/>
                <w:szCs w:val="18"/>
              </w:rPr>
              <w:t>无质押或 冻结</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0</w:t>
            </w:r>
          </w:p>
        </w:tc>
      </w:tr>
      <w:tr>
        <w:trPr>
          <w:trHeight w:val="985" w:hRule="exact"/>
        </w:trPr>
        <w:tc>
          <w:tcPr>
            <w:tcW w:w="2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 w:right="0"/>
              <w:jc w:val="left"/>
              <w:rPr>
                <w:rFonts w:ascii="宋体" w:hAnsi="宋体" w:cs="宋体" w:eastAsia="宋体" w:hint="default"/>
                <w:sz w:val="18"/>
                <w:szCs w:val="18"/>
              </w:rPr>
            </w:pPr>
            <w:r>
              <w:rPr>
                <w:rFonts w:ascii="宋体" w:hAnsi="宋体" w:cs="宋体" w:eastAsia="宋体" w:hint="default"/>
                <w:sz w:val="18"/>
                <w:szCs w:val="18"/>
              </w:rPr>
              <w:t>中国农业银行股份有限公司</w:t>
            </w:r>
          </w:p>
          <w:p>
            <w:pPr>
              <w:pStyle w:val="TableParagraph"/>
              <w:spacing w:line="316" w:lineRule="auto" w:before="76"/>
              <w:ind w:left="1" w:right="138"/>
              <w:jc w:val="left"/>
              <w:rPr>
                <w:rFonts w:ascii="宋体" w:hAnsi="宋体" w:cs="宋体" w:eastAsia="宋体" w:hint="default"/>
                <w:sz w:val="18"/>
                <w:szCs w:val="18"/>
              </w:rPr>
            </w:pPr>
            <w:r>
              <w:rPr>
                <w:rFonts w:ascii="宋体" w:hAnsi="宋体" w:cs="宋体" w:eastAsia="宋体" w:hint="default"/>
                <w:sz w:val="18"/>
                <w:szCs w:val="18"/>
              </w:rPr>
              <w:t>－万家品质生活灵活配置混 合型证券投资基金</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left="1"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7"/>
              <w:ind w:right="0"/>
              <w:jc w:val="right"/>
              <w:rPr>
                <w:rFonts w:ascii="Times New Roman" w:hAnsi="Times New Roman" w:cs="Times New Roman" w:eastAsia="Times New Roman" w:hint="default"/>
                <w:sz w:val="18"/>
                <w:szCs w:val="18"/>
              </w:rPr>
            </w:pPr>
            <w:r>
              <w:rPr>
                <w:rFonts w:ascii="Times New Roman"/>
                <w:sz w:val="18"/>
              </w:rPr>
              <w:t>0.90%</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7"/>
              <w:ind w:left="314" w:right="-2"/>
              <w:jc w:val="left"/>
              <w:rPr>
                <w:rFonts w:ascii="Times New Roman" w:hAnsi="Times New Roman" w:cs="Times New Roman" w:eastAsia="Times New Roman" w:hint="default"/>
                <w:sz w:val="18"/>
                <w:szCs w:val="18"/>
              </w:rPr>
            </w:pPr>
            <w:r>
              <w:rPr>
                <w:rFonts w:ascii="Times New Roman"/>
                <w:sz w:val="18"/>
              </w:rPr>
              <w:t>26,496,586</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left="381" w:right="0"/>
              <w:jc w:val="left"/>
              <w:rPr>
                <w:rFonts w:ascii="宋体" w:hAnsi="宋体" w:cs="宋体" w:eastAsia="宋体" w:hint="default"/>
                <w:sz w:val="18"/>
                <w:szCs w:val="18"/>
              </w:rPr>
            </w:pPr>
            <w:r>
              <w:rPr>
                <w:rFonts w:ascii="宋体" w:hAnsi="宋体" w:cs="宋体" w:eastAsia="宋体" w:hint="default"/>
                <w:sz w:val="18"/>
                <w:szCs w:val="18"/>
              </w:rPr>
              <w:t>未知</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7"/>
              <w:ind w:right="0"/>
              <w:jc w:val="center"/>
              <w:rPr>
                <w:rFonts w:ascii="Times New Roman" w:hAnsi="Times New Roman" w:cs="Times New Roman" w:eastAsia="Times New Roman" w:hint="default"/>
                <w:sz w:val="18"/>
                <w:szCs w:val="18"/>
              </w:rPr>
            </w:pPr>
            <w:r>
              <w:rPr>
                <w:rFonts w:ascii="Times New Roman"/>
                <w:sz w:val="18"/>
              </w:rPr>
              <w:t>0</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7"/>
              <w:ind w:left="314" w:right="-2"/>
              <w:jc w:val="left"/>
              <w:rPr>
                <w:rFonts w:ascii="Times New Roman" w:hAnsi="Times New Roman" w:cs="Times New Roman" w:eastAsia="Times New Roman" w:hint="default"/>
                <w:sz w:val="18"/>
                <w:szCs w:val="18"/>
              </w:rPr>
            </w:pPr>
            <w:r>
              <w:rPr>
                <w:rFonts w:ascii="Times New Roman"/>
                <w:sz w:val="18"/>
              </w:rPr>
              <w:t>26,496,586</w:t>
            </w:r>
          </w:p>
        </w:tc>
        <w:tc>
          <w:tcPr>
            <w:tcW w:w="8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316" w:lineRule="auto"/>
              <w:ind w:left="239" w:right="59" w:hanging="180"/>
              <w:jc w:val="left"/>
              <w:rPr>
                <w:rFonts w:ascii="宋体" w:hAnsi="宋体" w:cs="宋体" w:eastAsia="宋体" w:hint="default"/>
                <w:sz w:val="18"/>
                <w:szCs w:val="18"/>
              </w:rPr>
            </w:pPr>
            <w:r>
              <w:rPr>
                <w:rFonts w:ascii="宋体" w:hAnsi="宋体" w:cs="宋体" w:eastAsia="宋体" w:hint="default"/>
                <w:sz w:val="18"/>
                <w:szCs w:val="18"/>
              </w:rPr>
              <w:t>无质押或 冻结</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7"/>
              <w:ind w:right="0"/>
              <w:jc w:val="center"/>
              <w:rPr>
                <w:rFonts w:ascii="Times New Roman" w:hAnsi="Times New Roman" w:cs="Times New Roman" w:eastAsia="Times New Roman" w:hint="default"/>
                <w:sz w:val="18"/>
                <w:szCs w:val="18"/>
              </w:rPr>
            </w:pPr>
            <w:r>
              <w:rPr>
                <w:rFonts w:ascii="Times New Roman"/>
                <w:sz w:val="18"/>
              </w:rPr>
              <w:t>0</w:t>
            </w:r>
          </w:p>
        </w:tc>
      </w:tr>
      <w:tr>
        <w:trPr>
          <w:trHeight w:val="674" w:hRule="exact"/>
        </w:trPr>
        <w:tc>
          <w:tcPr>
            <w:tcW w:w="2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1" w:right="0"/>
              <w:jc w:val="left"/>
              <w:rPr>
                <w:rFonts w:ascii="宋体" w:hAnsi="宋体" w:cs="宋体" w:eastAsia="宋体" w:hint="default"/>
                <w:sz w:val="18"/>
                <w:szCs w:val="18"/>
              </w:rPr>
            </w:pPr>
            <w:r>
              <w:rPr>
                <w:rFonts w:ascii="宋体" w:hAnsi="宋体" w:cs="宋体" w:eastAsia="宋体" w:hint="default"/>
                <w:sz w:val="18"/>
                <w:szCs w:val="18"/>
              </w:rPr>
              <w:t>孙伟</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1"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z w:val="18"/>
              </w:rPr>
              <w:t>0.69%</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314" w:right="-2"/>
              <w:jc w:val="left"/>
              <w:rPr>
                <w:rFonts w:ascii="Times New Roman" w:hAnsi="Times New Roman" w:cs="Times New Roman" w:eastAsia="Times New Roman" w:hint="default"/>
                <w:sz w:val="18"/>
                <w:szCs w:val="18"/>
              </w:rPr>
            </w:pPr>
            <w:r>
              <w:rPr>
                <w:rFonts w:ascii="Times New Roman"/>
                <w:sz w:val="18"/>
              </w:rPr>
              <w:t>20,330,069</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381" w:right="0"/>
              <w:jc w:val="left"/>
              <w:rPr>
                <w:rFonts w:ascii="宋体" w:hAnsi="宋体" w:cs="宋体" w:eastAsia="宋体" w:hint="default"/>
                <w:sz w:val="18"/>
                <w:szCs w:val="18"/>
              </w:rPr>
            </w:pPr>
            <w:r>
              <w:rPr>
                <w:rFonts w:ascii="宋体" w:hAnsi="宋体" w:cs="宋体" w:eastAsia="宋体" w:hint="default"/>
                <w:sz w:val="18"/>
                <w:szCs w:val="18"/>
              </w:rPr>
              <w:t>未知</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0</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314" w:right="-2"/>
              <w:jc w:val="left"/>
              <w:rPr>
                <w:rFonts w:ascii="Times New Roman" w:hAnsi="Times New Roman" w:cs="Times New Roman" w:eastAsia="Times New Roman" w:hint="default"/>
                <w:sz w:val="18"/>
                <w:szCs w:val="18"/>
              </w:rPr>
            </w:pPr>
            <w:r>
              <w:rPr>
                <w:rFonts w:ascii="Times New Roman"/>
                <w:sz w:val="18"/>
              </w:rPr>
              <w:t>20,330,069</w:t>
            </w:r>
          </w:p>
        </w:tc>
        <w:tc>
          <w:tcPr>
            <w:tcW w:w="850"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32"/>
              <w:ind w:left="239" w:right="59" w:hanging="180"/>
              <w:jc w:val="left"/>
              <w:rPr>
                <w:rFonts w:ascii="宋体" w:hAnsi="宋体" w:cs="宋体" w:eastAsia="宋体" w:hint="default"/>
                <w:sz w:val="18"/>
                <w:szCs w:val="18"/>
              </w:rPr>
            </w:pPr>
            <w:r>
              <w:rPr>
                <w:rFonts w:ascii="宋体" w:hAnsi="宋体" w:cs="宋体" w:eastAsia="宋体" w:hint="default"/>
                <w:sz w:val="18"/>
                <w:szCs w:val="18"/>
              </w:rPr>
              <w:t>无质押或 冻结</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0</w:t>
            </w:r>
          </w:p>
        </w:tc>
      </w:tr>
      <w:tr>
        <w:trPr>
          <w:trHeight w:val="674" w:hRule="exact"/>
        </w:trPr>
        <w:tc>
          <w:tcPr>
            <w:tcW w:w="2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 w:right="0"/>
              <w:jc w:val="left"/>
              <w:rPr>
                <w:rFonts w:ascii="宋体" w:hAnsi="宋体" w:cs="宋体" w:eastAsia="宋体" w:hint="default"/>
                <w:sz w:val="18"/>
                <w:szCs w:val="18"/>
              </w:rPr>
            </w:pPr>
            <w:r>
              <w:rPr>
                <w:rFonts w:ascii="宋体" w:hAnsi="宋体" w:cs="宋体" w:eastAsia="宋体" w:hint="default"/>
                <w:sz w:val="18"/>
                <w:szCs w:val="18"/>
              </w:rPr>
              <w:t>全国社保基金一零三组合</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z w:val="18"/>
              </w:rPr>
              <w:t>0.68%</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314" w:right="-2"/>
              <w:jc w:val="left"/>
              <w:rPr>
                <w:rFonts w:ascii="Times New Roman" w:hAnsi="Times New Roman" w:cs="Times New Roman" w:eastAsia="Times New Roman" w:hint="default"/>
                <w:sz w:val="18"/>
                <w:szCs w:val="18"/>
              </w:rPr>
            </w:pPr>
            <w:r>
              <w:rPr>
                <w:rFonts w:ascii="Times New Roman"/>
                <w:sz w:val="18"/>
              </w:rPr>
              <w:t>20,000,000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381" w:right="0"/>
              <w:jc w:val="left"/>
              <w:rPr>
                <w:rFonts w:ascii="宋体" w:hAnsi="宋体" w:cs="宋体" w:eastAsia="宋体" w:hint="default"/>
                <w:sz w:val="18"/>
                <w:szCs w:val="18"/>
              </w:rPr>
            </w:pPr>
            <w:r>
              <w:rPr>
                <w:rFonts w:ascii="宋体" w:hAnsi="宋体" w:cs="宋体" w:eastAsia="宋体" w:hint="default"/>
                <w:sz w:val="18"/>
                <w:szCs w:val="18"/>
              </w:rPr>
              <w:t>未知</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0</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314" w:right="-2"/>
              <w:jc w:val="left"/>
              <w:rPr>
                <w:rFonts w:ascii="Times New Roman" w:hAnsi="Times New Roman" w:cs="Times New Roman" w:eastAsia="Times New Roman" w:hint="default"/>
                <w:sz w:val="18"/>
                <w:szCs w:val="18"/>
              </w:rPr>
            </w:pPr>
            <w:r>
              <w:rPr>
                <w:rFonts w:ascii="Times New Roman"/>
                <w:sz w:val="18"/>
              </w:rPr>
              <w:t>20,000,000</w:t>
            </w:r>
          </w:p>
        </w:tc>
        <w:tc>
          <w:tcPr>
            <w:tcW w:w="850"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31"/>
              <w:ind w:left="239" w:right="59" w:hanging="180"/>
              <w:jc w:val="left"/>
              <w:rPr>
                <w:rFonts w:ascii="宋体" w:hAnsi="宋体" w:cs="宋体" w:eastAsia="宋体" w:hint="default"/>
                <w:sz w:val="18"/>
                <w:szCs w:val="18"/>
              </w:rPr>
            </w:pPr>
            <w:r>
              <w:rPr>
                <w:rFonts w:ascii="宋体" w:hAnsi="宋体" w:cs="宋体" w:eastAsia="宋体" w:hint="default"/>
                <w:sz w:val="18"/>
                <w:szCs w:val="18"/>
              </w:rPr>
              <w:t>无质押或 冻结</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0</w:t>
            </w:r>
          </w:p>
        </w:tc>
      </w:tr>
      <w:tr>
        <w:trPr>
          <w:trHeight w:val="985" w:hRule="exact"/>
        </w:trPr>
        <w:tc>
          <w:tcPr>
            <w:tcW w:w="2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 w:right="0"/>
              <w:jc w:val="left"/>
              <w:rPr>
                <w:rFonts w:ascii="宋体" w:hAnsi="宋体" w:cs="宋体" w:eastAsia="宋体" w:hint="default"/>
                <w:sz w:val="18"/>
                <w:szCs w:val="18"/>
              </w:rPr>
            </w:pPr>
            <w:r>
              <w:rPr>
                <w:rFonts w:ascii="宋体" w:hAnsi="宋体" w:cs="宋体" w:eastAsia="宋体" w:hint="default"/>
                <w:sz w:val="18"/>
                <w:szCs w:val="18"/>
              </w:rPr>
              <w:t>中国农业银行股份有限公司</w:t>
            </w:r>
          </w:p>
          <w:p>
            <w:pPr>
              <w:pStyle w:val="TableParagraph"/>
              <w:spacing w:line="300" w:lineRule="auto" w:before="76"/>
              <w:ind w:left="1" w:right="-1"/>
              <w:jc w:val="left"/>
              <w:rPr>
                <w:rFonts w:ascii="宋体" w:hAnsi="宋体" w:cs="宋体" w:eastAsia="宋体" w:hint="default"/>
                <w:sz w:val="18"/>
                <w:szCs w:val="18"/>
              </w:rPr>
            </w:pPr>
            <w:r>
              <w:rPr>
                <w:rFonts w:ascii="宋体" w:hAnsi="宋体" w:cs="宋体" w:eastAsia="宋体" w:hint="default"/>
                <w:sz w:val="18"/>
                <w:szCs w:val="18"/>
              </w:rPr>
              <w:t>－中证</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500</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交易型开放式指数 证券投资基金</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left="1"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7"/>
              <w:ind w:right="0"/>
              <w:jc w:val="right"/>
              <w:rPr>
                <w:rFonts w:ascii="Times New Roman" w:hAnsi="Times New Roman" w:cs="Times New Roman" w:eastAsia="Times New Roman" w:hint="default"/>
                <w:sz w:val="18"/>
                <w:szCs w:val="18"/>
              </w:rPr>
            </w:pPr>
            <w:r>
              <w:rPr>
                <w:rFonts w:ascii="Times New Roman"/>
                <w:sz w:val="18"/>
              </w:rPr>
              <w:t>0.64%</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7"/>
              <w:ind w:left="314" w:right="-2"/>
              <w:jc w:val="left"/>
              <w:rPr>
                <w:rFonts w:ascii="Times New Roman" w:hAnsi="Times New Roman" w:cs="Times New Roman" w:eastAsia="Times New Roman" w:hint="default"/>
                <w:sz w:val="18"/>
                <w:szCs w:val="18"/>
              </w:rPr>
            </w:pPr>
            <w:r>
              <w:rPr>
                <w:rFonts w:ascii="Times New Roman"/>
                <w:sz w:val="18"/>
              </w:rPr>
              <w:t>18,932,752</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7"/>
              <w:ind w:right="-1"/>
              <w:jc w:val="right"/>
              <w:rPr>
                <w:rFonts w:ascii="Times New Roman" w:hAnsi="Times New Roman" w:cs="Times New Roman" w:eastAsia="Times New Roman" w:hint="default"/>
                <w:sz w:val="18"/>
                <w:szCs w:val="18"/>
              </w:rPr>
            </w:pPr>
            <w:r>
              <w:rPr>
                <w:rFonts w:ascii="Times New Roman"/>
                <w:spacing w:val="-1"/>
                <w:sz w:val="18"/>
              </w:rPr>
              <w:t>11,471,500</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7"/>
              <w:ind w:right="0"/>
              <w:jc w:val="center"/>
              <w:rPr>
                <w:rFonts w:ascii="Times New Roman" w:hAnsi="Times New Roman" w:cs="Times New Roman" w:eastAsia="Times New Roman" w:hint="default"/>
                <w:sz w:val="18"/>
                <w:szCs w:val="18"/>
              </w:rPr>
            </w:pPr>
            <w:r>
              <w:rPr>
                <w:rFonts w:ascii="Times New Roman"/>
                <w:sz w:val="18"/>
              </w:rPr>
              <w:t>0</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7"/>
              <w:ind w:left="314" w:right="-1"/>
              <w:jc w:val="left"/>
              <w:rPr>
                <w:rFonts w:ascii="Times New Roman" w:hAnsi="Times New Roman" w:cs="Times New Roman" w:eastAsia="Times New Roman" w:hint="default"/>
                <w:sz w:val="18"/>
                <w:szCs w:val="18"/>
              </w:rPr>
            </w:pPr>
            <w:r>
              <w:rPr>
                <w:rFonts w:ascii="Times New Roman"/>
                <w:sz w:val="18"/>
              </w:rPr>
              <w:t>18,932,752</w:t>
            </w:r>
          </w:p>
        </w:tc>
        <w:tc>
          <w:tcPr>
            <w:tcW w:w="8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316" w:lineRule="auto"/>
              <w:ind w:left="239" w:right="59" w:hanging="180"/>
              <w:jc w:val="left"/>
              <w:rPr>
                <w:rFonts w:ascii="宋体" w:hAnsi="宋体" w:cs="宋体" w:eastAsia="宋体" w:hint="default"/>
                <w:sz w:val="18"/>
                <w:szCs w:val="18"/>
              </w:rPr>
            </w:pPr>
            <w:r>
              <w:rPr>
                <w:rFonts w:ascii="宋体" w:hAnsi="宋体" w:cs="宋体" w:eastAsia="宋体" w:hint="default"/>
                <w:sz w:val="18"/>
                <w:szCs w:val="18"/>
              </w:rPr>
              <w:t>无质押或 冻结</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7"/>
              <w:ind w:right="0"/>
              <w:jc w:val="center"/>
              <w:rPr>
                <w:rFonts w:ascii="Times New Roman" w:hAnsi="Times New Roman" w:cs="Times New Roman" w:eastAsia="Times New Roman" w:hint="default"/>
                <w:sz w:val="18"/>
                <w:szCs w:val="18"/>
              </w:rPr>
            </w:pPr>
            <w:r>
              <w:rPr>
                <w:rFonts w:ascii="Times New Roman"/>
                <w:sz w:val="18"/>
              </w:rPr>
              <w:t>0</w:t>
            </w:r>
          </w:p>
        </w:tc>
      </w:tr>
      <w:tr>
        <w:trPr>
          <w:trHeight w:val="674" w:hRule="exact"/>
        </w:trPr>
        <w:tc>
          <w:tcPr>
            <w:tcW w:w="231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32"/>
              <w:ind w:left="1" w:right="138"/>
              <w:jc w:val="left"/>
              <w:rPr>
                <w:rFonts w:ascii="宋体" w:hAnsi="宋体" w:cs="宋体" w:eastAsia="宋体" w:hint="default"/>
                <w:sz w:val="18"/>
                <w:szCs w:val="18"/>
              </w:rPr>
            </w:pPr>
            <w:r>
              <w:rPr>
                <w:rFonts w:ascii="宋体" w:hAnsi="宋体" w:cs="宋体" w:eastAsia="宋体" w:hint="default"/>
                <w:sz w:val="18"/>
                <w:szCs w:val="18"/>
              </w:rPr>
              <w:t>东方基金－民生银行－民生 加银资产管理有限公司</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1"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z w:val="18"/>
              </w:rPr>
              <w:t>0.58%</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314" w:right="-1"/>
              <w:jc w:val="left"/>
              <w:rPr>
                <w:rFonts w:ascii="Times New Roman" w:hAnsi="Times New Roman" w:cs="Times New Roman" w:eastAsia="Times New Roman" w:hint="default"/>
                <w:sz w:val="18"/>
                <w:szCs w:val="18"/>
              </w:rPr>
            </w:pPr>
            <w:r>
              <w:rPr>
                <w:rFonts w:ascii="Times New Roman"/>
                <w:sz w:val="18"/>
              </w:rPr>
              <w:t>17,034,571</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0</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0</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314" w:right="-1"/>
              <w:jc w:val="left"/>
              <w:rPr>
                <w:rFonts w:ascii="Times New Roman" w:hAnsi="Times New Roman" w:cs="Times New Roman" w:eastAsia="Times New Roman" w:hint="default"/>
                <w:sz w:val="18"/>
                <w:szCs w:val="18"/>
              </w:rPr>
            </w:pPr>
            <w:r>
              <w:rPr>
                <w:rFonts w:ascii="Times New Roman"/>
                <w:sz w:val="18"/>
              </w:rPr>
              <w:t>17,034,571</w:t>
            </w:r>
          </w:p>
        </w:tc>
        <w:tc>
          <w:tcPr>
            <w:tcW w:w="850"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32"/>
              <w:ind w:left="239" w:right="59" w:hanging="180"/>
              <w:jc w:val="left"/>
              <w:rPr>
                <w:rFonts w:ascii="宋体" w:hAnsi="宋体" w:cs="宋体" w:eastAsia="宋体" w:hint="default"/>
                <w:sz w:val="18"/>
                <w:szCs w:val="18"/>
              </w:rPr>
            </w:pPr>
            <w:r>
              <w:rPr>
                <w:rFonts w:ascii="宋体" w:hAnsi="宋体" w:cs="宋体" w:eastAsia="宋体" w:hint="default"/>
                <w:sz w:val="18"/>
                <w:szCs w:val="18"/>
              </w:rPr>
              <w:t>无质押或 冻结</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0</w:t>
            </w:r>
          </w:p>
        </w:tc>
      </w:tr>
      <w:tr>
        <w:trPr>
          <w:trHeight w:val="674" w:hRule="exact"/>
        </w:trPr>
        <w:tc>
          <w:tcPr>
            <w:tcW w:w="2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 w:right="0"/>
              <w:jc w:val="left"/>
              <w:rPr>
                <w:rFonts w:ascii="宋体" w:hAnsi="宋体" w:cs="宋体" w:eastAsia="宋体" w:hint="default"/>
                <w:sz w:val="18"/>
                <w:szCs w:val="18"/>
              </w:rPr>
            </w:pPr>
            <w:r>
              <w:rPr>
                <w:rFonts w:ascii="宋体" w:hAnsi="宋体" w:cs="宋体" w:eastAsia="宋体" w:hint="default"/>
                <w:sz w:val="18"/>
                <w:szCs w:val="18"/>
              </w:rPr>
              <w:t>中国电子有限公司</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 w:right="0"/>
              <w:jc w:val="left"/>
              <w:rPr>
                <w:rFonts w:ascii="宋体" w:hAnsi="宋体" w:cs="宋体" w:eastAsia="宋体" w:hint="default"/>
                <w:sz w:val="18"/>
                <w:szCs w:val="18"/>
              </w:rPr>
            </w:pPr>
            <w:r>
              <w:rPr>
                <w:rFonts w:ascii="宋体" w:hAnsi="宋体" w:cs="宋体" w:eastAsia="宋体" w:hint="default"/>
                <w:sz w:val="18"/>
                <w:szCs w:val="18"/>
              </w:rPr>
              <w:t>国有法人</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z w:val="18"/>
              </w:rPr>
              <w:t>0.32%</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404" w:right="-2"/>
              <w:jc w:val="left"/>
              <w:rPr>
                <w:rFonts w:ascii="Times New Roman" w:hAnsi="Times New Roman" w:cs="Times New Roman" w:eastAsia="Times New Roman" w:hint="default"/>
                <w:sz w:val="18"/>
                <w:szCs w:val="18"/>
              </w:rPr>
            </w:pPr>
            <w:r>
              <w:rPr>
                <w:rFonts w:ascii="Times New Roman"/>
                <w:sz w:val="18"/>
              </w:rPr>
              <w:t>9,468,665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z w:val="18"/>
              </w:rPr>
              <w:t>9,468,665</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0</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404" w:right="-1"/>
              <w:jc w:val="left"/>
              <w:rPr>
                <w:rFonts w:ascii="Times New Roman" w:hAnsi="Times New Roman" w:cs="Times New Roman" w:eastAsia="Times New Roman" w:hint="default"/>
                <w:sz w:val="18"/>
                <w:szCs w:val="18"/>
              </w:rPr>
            </w:pPr>
            <w:r>
              <w:rPr>
                <w:rFonts w:ascii="Times New Roman"/>
                <w:sz w:val="18"/>
              </w:rPr>
              <w:t>9,468,665</w:t>
            </w:r>
          </w:p>
        </w:tc>
        <w:tc>
          <w:tcPr>
            <w:tcW w:w="850"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31"/>
              <w:ind w:left="239" w:right="59" w:hanging="180"/>
              <w:jc w:val="left"/>
              <w:rPr>
                <w:rFonts w:ascii="宋体" w:hAnsi="宋体" w:cs="宋体" w:eastAsia="宋体" w:hint="default"/>
                <w:sz w:val="18"/>
                <w:szCs w:val="18"/>
              </w:rPr>
            </w:pPr>
            <w:r>
              <w:rPr>
                <w:rFonts w:ascii="宋体" w:hAnsi="宋体" w:cs="宋体" w:eastAsia="宋体" w:hint="default"/>
                <w:sz w:val="18"/>
                <w:szCs w:val="18"/>
              </w:rPr>
              <w:t>无质押或 冻结</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0</w:t>
            </w:r>
          </w:p>
        </w:tc>
      </w:tr>
      <w:tr>
        <w:trPr>
          <w:trHeight w:val="673" w:hRule="exact"/>
        </w:trPr>
        <w:tc>
          <w:tcPr>
            <w:tcW w:w="231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31"/>
              <w:ind w:left="1" w:right="138"/>
              <w:jc w:val="left"/>
              <w:rPr>
                <w:rFonts w:ascii="宋体" w:hAnsi="宋体" w:cs="宋体" w:eastAsia="宋体" w:hint="default"/>
                <w:sz w:val="18"/>
                <w:szCs w:val="18"/>
              </w:rPr>
            </w:pPr>
            <w:r>
              <w:rPr>
                <w:rFonts w:ascii="宋体" w:hAnsi="宋体" w:cs="宋体" w:eastAsia="宋体" w:hint="default"/>
                <w:sz w:val="18"/>
                <w:szCs w:val="18"/>
              </w:rPr>
              <w:t>中国人民财产保险股份有限 公司－传统－普通保险产品</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z w:val="18"/>
              </w:rPr>
              <w:t>0.32%</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404" w:right="-2"/>
              <w:jc w:val="left"/>
              <w:rPr>
                <w:rFonts w:ascii="Times New Roman" w:hAnsi="Times New Roman" w:cs="Times New Roman" w:eastAsia="Times New Roman" w:hint="default"/>
                <w:sz w:val="18"/>
                <w:szCs w:val="18"/>
              </w:rPr>
            </w:pPr>
            <w:r>
              <w:rPr>
                <w:rFonts w:ascii="Times New Roman"/>
                <w:sz w:val="18"/>
              </w:rPr>
              <w:t>9,418,594</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381" w:right="0"/>
              <w:jc w:val="left"/>
              <w:rPr>
                <w:rFonts w:ascii="宋体" w:hAnsi="宋体" w:cs="宋体" w:eastAsia="宋体" w:hint="default"/>
                <w:sz w:val="18"/>
                <w:szCs w:val="18"/>
              </w:rPr>
            </w:pPr>
            <w:r>
              <w:rPr>
                <w:rFonts w:ascii="宋体" w:hAnsi="宋体" w:cs="宋体" w:eastAsia="宋体" w:hint="default"/>
                <w:sz w:val="18"/>
                <w:szCs w:val="18"/>
              </w:rPr>
              <w:t>未知</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0</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404" w:right="-2"/>
              <w:jc w:val="left"/>
              <w:rPr>
                <w:rFonts w:ascii="Times New Roman" w:hAnsi="Times New Roman" w:cs="Times New Roman" w:eastAsia="Times New Roman" w:hint="default"/>
                <w:sz w:val="18"/>
                <w:szCs w:val="18"/>
              </w:rPr>
            </w:pPr>
            <w:r>
              <w:rPr>
                <w:rFonts w:ascii="Times New Roman"/>
                <w:sz w:val="18"/>
              </w:rPr>
              <w:t>9,418,594</w:t>
            </w:r>
          </w:p>
        </w:tc>
        <w:tc>
          <w:tcPr>
            <w:tcW w:w="850"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31"/>
              <w:ind w:left="239" w:right="59" w:hanging="180"/>
              <w:jc w:val="left"/>
              <w:rPr>
                <w:rFonts w:ascii="宋体" w:hAnsi="宋体" w:cs="宋体" w:eastAsia="宋体" w:hint="default"/>
                <w:sz w:val="18"/>
                <w:szCs w:val="18"/>
              </w:rPr>
            </w:pPr>
            <w:r>
              <w:rPr>
                <w:rFonts w:ascii="宋体" w:hAnsi="宋体" w:cs="宋体" w:eastAsia="宋体" w:hint="default"/>
                <w:sz w:val="18"/>
                <w:szCs w:val="18"/>
              </w:rPr>
              <w:t>无质押或 冻结</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0</w:t>
            </w:r>
          </w:p>
        </w:tc>
      </w:tr>
      <w:tr>
        <w:trPr>
          <w:trHeight w:val="674" w:hRule="exact"/>
        </w:trPr>
        <w:tc>
          <w:tcPr>
            <w:tcW w:w="2311" w:type="dxa"/>
            <w:tcBorders>
              <w:top w:val="single" w:sz="4" w:space="0" w:color="000000"/>
              <w:left w:val="single" w:sz="4" w:space="0" w:color="000000"/>
              <w:bottom w:val="single" w:sz="4" w:space="0" w:color="000000"/>
              <w:right w:val="single" w:sz="4" w:space="0" w:color="000000"/>
            </w:tcBorders>
          </w:tcPr>
          <w:p>
            <w:pPr>
              <w:pStyle w:val="TableParagraph"/>
              <w:spacing w:line="379" w:lineRule="auto" w:before="55"/>
              <w:ind w:left="1" w:right="48"/>
              <w:jc w:val="left"/>
              <w:rPr>
                <w:rFonts w:ascii="宋体" w:hAnsi="宋体" w:cs="宋体" w:eastAsia="宋体" w:hint="default"/>
                <w:sz w:val="15"/>
                <w:szCs w:val="15"/>
              </w:rPr>
            </w:pPr>
            <w:r>
              <w:rPr>
                <w:rFonts w:ascii="宋体" w:hAnsi="宋体" w:cs="宋体" w:eastAsia="宋体" w:hint="default"/>
                <w:sz w:val="15"/>
                <w:szCs w:val="15"/>
              </w:rPr>
              <w:t>中国农业银行股份有限公司－交银 施罗德先锋混合型证券投资基金</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1"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z w:val="18"/>
              </w:rPr>
              <w:t>0.29%</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404" w:right="-2"/>
              <w:jc w:val="left"/>
              <w:rPr>
                <w:rFonts w:ascii="Times New Roman" w:hAnsi="Times New Roman" w:cs="Times New Roman" w:eastAsia="Times New Roman" w:hint="default"/>
                <w:sz w:val="18"/>
                <w:szCs w:val="18"/>
              </w:rPr>
            </w:pPr>
            <w:r>
              <w:rPr>
                <w:rFonts w:ascii="Times New Roman"/>
                <w:sz w:val="18"/>
              </w:rPr>
              <w:t>8,521,273</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381" w:right="0"/>
              <w:jc w:val="left"/>
              <w:rPr>
                <w:rFonts w:ascii="宋体" w:hAnsi="宋体" w:cs="宋体" w:eastAsia="宋体" w:hint="default"/>
                <w:sz w:val="18"/>
                <w:szCs w:val="18"/>
              </w:rPr>
            </w:pPr>
            <w:r>
              <w:rPr>
                <w:rFonts w:ascii="宋体" w:hAnsi="宋体" w:cs="宋体" w:eastAsia="宋体" w:hint="default"/>
                <w:sz w:val="18"/>
                <w:szCs w:val="18"/>
              </w:rPr>
              <w:t>未知</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0</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404" w:right="-2"/>
              <w:jc w:val="left"/>
              <w:rPr>
                <w:rFonts w:ascii="Times New Roman" w:hAnsi="Times New Roman" w:cs="Times New Roman" w:eastAsia="Times New Roman" w:hint="default"/>
                <w:sz w:val="18"/>
                <w:szCs w:val="18"/>
              </w:rPr>
            </w:pPr>
            <w:r>
              <w:rPr>
                <w:rFonts w:ascii="Times New Roman"/>
                <w:sz w:val="18"/>
              </w:rPr>
              <w:t>8,521,273</w:t>
            </w:r>
          </w:p>
        </w:tc>
        <w:tc>
          <w:tcPr>
            <w:tcW w:w="850"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32"/>
              <w:ind w:left="239" w:right="59" w:hanging="180"/>
              <w:jc w:val="left"/>
              <w:rPr>
                <w:rFonts w:ascii="宋体" w:hAnsi="宋体" w:cs="宋体" w:eastAsia="宋体" w:hint="default"/>
                <w:sz w:val="18"/>
                <w:szCs w:val="18"/>
              </w:rPr>
            </w:pPr>
            <w:r>
              <w:rPr>
                <w:rFonts w:ascii="宋体" w:hAnsi="宋体" w:cs="宋体" w:eastAsia="宋体" w:hint="default"/>
                <w:sz w:val="18"/>
                <w:szCs w:val="18"/>
              </w:rPr>
              <w:t>无质押或 冻结</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0</w:t>
            </w:r>
          </w:p>
        </w:tc>
      </w:tr>
      <w:tr>
        <w:trPr>
          <w:trHeight w:val="674" w:hRule="exact"/>
        </w:trPr>
        <w:tc>
          <w:tcPr>
            <w:tcW w:w="2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 w:right="0"/>
              <w:jc w:val="left"/>
              <w:rPr>
                <w:rFonts w:ascii="宋体" w:hAnsi="宋体" w:cs="宋体" w:eastAsia="宋体" w:hint="default"/>
                <w:sz w:val="18"/>
                <w:szCs w:val="18"/>
              </w:rPr>
            </w:pPr>
            <w:r>
              <w:rPr>
                <w:rFonts w:ascii="宋体" w:hAnsi="宋体" w:cs="宋体" w:eastAsia="宋体" w:hint="default"/>
                <w:sz w:val="18"/>
                <w:szCs w:val="18"/>
              </w:rPr>
              <w:t>建投华科投资股份有限公司</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 w:right="0"/>
              <w:jc w:val="left"/>
              <w:rPr>
                <w:rFonts w:ascii="宋体" w:hAnsi="宋体" w:cs="宋体" w:eastAsia="宋体" w:hint="default"/>
                <w:sz w:val="18"/>
                <w:szCs w:val="18"/>
              </w:rPr>
            </w:pPr>
            <w:r>
              <w:rPr>
                <w:rFonts w:ascii="宋体" w:hAnsi="宋体" w:cs="宋体" w:eastAsia="宋体" w:hint="default"/>
                <w:sz w:val="18"/>
                <w:szCs w:val="18"/>
              </w:rPr>
              <w:t>国有法人</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z w:val="18"/>
              </w:rPr>
              <w:t>0.28%</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404" w:right="-1"/>
              <w:jc w:val="left"/>
              <w:rPr>
                <w:rFonts w:ascii="Times New Roman" w:hAnsi="Times New Roman" w:cs="Times New Roman" w:eastAsia="Times New Roman" w:hint="default"/>
                <w:sz w:val="18"/>
                <w:szCs w:val="18"/>
              </w:rPr>
            </w:pPr>
            <w:r>
              <w:rPr>
                <w:rFonts w:ascii="Times New Roman"/>
                <w:sz w:val="18"/>
              </w:rPr>
              <w:t>8,229,371</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0</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0</w:t>
            </w:r>
          </w:p>
        </w:tc>
        <w:tc>
          <w:tcPr>
            <w:tcW w:w="113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404" w:right="-1"/>
              <w:jc w:val="left"/>
              <w:rPr>
                <w:rFonts w:ascii="Times New Roman" w:hAnsi="Times New Roman" w:cs="Times New Roman" w:eastAsia="Times New Roman" w:hint="default"/>
                <w:sz w:val="18"/>
                <w:szCs w:val="18"/>
              </w:rPr>
            </w:pPr>
            <w:r>
              <w:rPr>
                <w:rFonts w:ascii="Times New Roman"/>
                <w:sz w:val="18"/>
              </w:rPr>
              <w:t>8,229,371</w:t>
            </w:r>
          </w:p>
        </w:tc>
        <w:tc>
          <w:tcPr>
            <w:tcW w:w="850"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31"/>
              <w:ind w:left="239" w:right="59" w:hanging="180"/>
              <w:jc w:val="left"/>
              <w:rPr>
                <w:rFonts w:ascii="宋体" w:hAnsi="宋体" w:cs="宋体" w:eastAsia="宋体" w:hint="default"/>
                <w:sz w:val="18"/>
                <w:szCs w:val="18"/>
              </w:rPr>
            </w:pPr>
            <w:r>
              <w:rPr>
                <w:rFonts w:ascii="宋体" w:hAnsi="宋体" w:cs="宋体" w:eastAsia="宋体" w:hint="default"/>
                <w:sz w:val="18"/>
                <w:szCs w:val="18"/>
              </w:rPr>
              <w:t>无质押或 冻结</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0</w:t>
            </w:r>
          </w:p>
        </w:tc>
      </w:tr>
      <w:tr>
        <w:trPr>
          <w:trHeight w:val="673" w:hRule="exact"/>
        </w:trPr>
        <w:tc>
          <w:tcPr>
            <w:tcW w:w="3588" w:type="dxa"/>
            <w:gridSpan w:val="3"/>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战略投资者或一般法人因配售新股成为前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1" w:right="0"/>
              <w:jc w:val="left"/>
              <w:rPr>
                <w:rFonts w:ascii="宋体" w:hAnsi="宋体" w:cs="宋体" w:eastAsia="宋体" w:hint="default"/>
                <w:sz w:val="18"/>
                <w:szCs w:val="18"/>
              </w:rPr>
            </w:pPr>
            <w:r>
              <w:rPr>
                <w:rFonts w:ascii="宋体" w:hAnsi="宋体" w:cs="宋体" w:eastAsia="宋体" w:hint="default"/>
                <w:sz w:val="18"/>
                <w:szCs w:val="18"/>
              </w:rPr>
              <w:t>名股东的情况（如有</w:t>
            </w:r>
            <w:r>
              <w:rPr>
                <w:rFonts w:ascii="宋体" w:hAnsi="宋体" w:cs="宋体" w:eastAsia="宋体" w:hint="default"/>
                <w:spacing w:val="-90"/>
                <w:sz w:val="18"/>
                <w:szCs w:val="18"/>
              </w:rPr>
              <w:t>）</w:t>
            </w:r>
            <w:r>
              <w:rPr>
                <w:rFonts w:ascii="宋体" w:hAnsi="宋体" w:cs="宋体" w:eastAsia="宋体" w:hint="default"/>
                <w:sz w:val="18"/>
                <w:szCs w:val="18"/>
              </w:rPr>
              <w:t>（参见注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w:t>
            </w:r>
          </w:p>
        </w:tc>
        <w:tc>
          <w:tcPr>
            <w:tcW w:w="6859" w:type="dxa"/>
            <w:gridSpan w:val="11"/>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359"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986" w:hRule="exact"/>
        </w:trPr>
        <w:tc>
          <w:tcPr>
            <w:tcW w:w="3588" w:type="dxa"/>
            <w:gridSpan w:val="3"/>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left="1" w:right="0"/>
              <w:jc w:val="left"/>
              <w:rPr>
                <w:rFonts w:ascii="宋体" w:hAnsi="宋体" w:cs="宋体" w:eastAsia="宋体" w:hint="default"/>
                <w:sz w:val="18"/>
                <w:szCs w:val="18"/>
              </w:rPr>
            </w:pPr>
            <w:r>
              <w:rPr>
                <w:rFonts w:ascii="宋体" w:hAnsi="宋体" w:cs="宋体" w:eastAsia="宋体" w:hint="default"/>
                <w:sz w:val="18"/>
                <w:szCs w:val="18"/>
              </w:rPr>
              <w:t>上述股东关联关系或一致行动的说明</w:t>
            </w:r>
          </w:p>
        </w:tc>
        <w:tc>
          <w:tcPr>
            <w:tcW w:w="6859" w:type="dxa"/>
            <w:gridSpan w:val="11"/>
            <w:tcBorders>
              <w:top w:val="single" w:sz="4" w:space="0" w:color="000000"/>
              <w:left w:val="single" w:sz="4" w:space="0" w:color="000000"/>
              <w:bottom w:val="single" w:sz="4" w:space="0" w:color="000000"/>
              <w:right w:val="single" w:sz="4" w:space="0" w:color="000000"/>
            </w:tcBorders>
          </w:tcPr>
          <w:p>
            <w:pPr>
              <w:pStyle w:val="TableParagraph"/>
              <w:spacing w:line="316" w:lineRule="auto" w:before="32"/>
              <w:ind w:left="-1" w:right="7" w:firstLine="360"/>
              <w:jc w:val="both"/>
              <w:rPr>
                <w:rFonts w:ascii="宋体" w:hAnsi="宋体" w:cs="宋体" w:eastAsia="宋体" w:hint="default"/>
                <w:sz w:val="18"/>
                <w:szCs w:val="18"/>
              </w:rPr>
            </w:pPr>
            <w:r>
              <w:rPr>
                <w:rFonts w:ascii="宋体" w:hAnsi="宋体" w:cs="宋体" w:eastAsia="宋体" w:hint="default"/>
                <w:sz w:val="18"/>
                <w:szCs w:val="18"/>
              </w:rPr>
              <w:t>中国电子有限公司由中国电子控制，为中国电子一致行动人；中国电子、中国电子 有限公司与上述其它股东不存在关联关系和一致行动人；公司未知上述其它股东之间是 否存在关联关系，也未知其是否属于一致行动人。</w:t>
            </w:r>
          </w:p>
        </w:tc>
      </w:tr>
    </w:tbl>
    <w:p>
      <w:pPr>
        <w:spacing w:after="0" w:line="316" w:lineRule="auto"/>
        <w:jc w:val="both"/>
        <w:rPr>
          <w:rFonts w:ascii="宋体" w:hAnsi="宋体" w:cs="宋体" w:eastAsia="宋体" w:hint="default"/>
          <w:sz w:val="18"/>
          <w:szCs w:val="18"/>
        </w:rPr>
        <w:sectPr>
          <w:pgSz w:w="11910" w:h="16840"/>
          <w:pgMar w:header="787" w:footer="982" w:top="1100" w:bottom="1180" w:left="620" w:right="0"/>
        </w:sectPr>
      </w:pPr>
    </w:p>
    <w:p>
      <w:pPr>
        <w:spacing w:line="240" w:lineRule="auto" w:before="5"/>
        <w:rPr>
          <w:rFonts w:ascii="宋体" w:hAnsi="宋体" w:cs="宋体" w:eastAsia="宋体" w:hint="default"/>
          <w:sz w:val="25"/>
          <w:szCs w:val="25"/>
        </w:rPr>
      </w:pPr>
    </w:p>
    <w:tbl>
      <w:tblPr>
        <w:tblW w:w="0" w:type="auto"/>
        <w:jc w:val="left"/>
        <w:tblInd w:w="323" w:type="dxa"/>
        <w:tblLayout w:type="fixed"/>
        <w:tblCellMar>
          <w:top w:w="0" w:type="dxa"/>
          <w:left w:w="0" w:type="dxa"/>
          <w:bottom w:w="0" w:type="dxa"/>
          <w:right w:w="0" w:type="dxa"/>
        </w:tblCellMar>
        <w:tblLook w:val="01E0"/>
      </w:tblPr>
      <w:tblGrid>
        <w:gridCol w:w="3588"/>
        <w:gridCol w:w="4111"/>
        <w:gridCol w:w="1374"/>
        <w:gridCol w:w="1374"/>
      </w:tblGrid>
      <w:tr>
        <w:trPr>
          <w:trHeight w:val="362" w:hRule="exact"/>
        </w:trPr>
        <w:tc>
          <w:tcPr>
            <w:tcW w:w="10447" w:type="dxa"/>
            <w:gridSpan w:val="4"/>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1" w:right="0"/>
              <w:jc w:val="center"/>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名无限售条件股东持股情况</w:t>
            </w:r>
          </w:p>
        </w:tc>
      </w:tr>
      <w:tr>
        <w:trPr>
          <w:trHeight w:val="362" w:hRule="exact"/>
        </w:trPr>
        <w:tc>
          <w:tcPr>
            <w:tcW w:w="3588"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4111" w:type="dxa"/>
            <w:vMerge w:val="restart"/>
            <w:tcBorders>
              <w:top w:val="single" w:sz="4" w:space="0" w:color="000000"/>
              <w:left w:val="single" w:sz="4" w:space="0" w:color="000000"/>
              <w:right w:val="single" w:sz="4" w:space="0" w:color="000000"/>
            </w:tcBorders>
            <w:shd w:val="clear" w:color="auto" w:fill="D3D3D3"/>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700" w:right="0"/>
              <w:jc w:val="left"/>
              <w:rPr>
                <w:rFonts w:ascii="宋体" w:hAnsi="宋体" w:cs="宋体" w:eastAsia="宋体" w:hint="default"/>
                <w:sz w:val="18"/>
                <w:szCs w:val="18"/>
              </w:rPr>
            </w:pPr>
            <w:r>
              <w:rPr>
                <w:rFonts w:ascii="宋体" w:hAnsi="宋体" w:cs="宋体" w:eastAsia="宋体" w:hint="default"/>
                <w:sz w:val="18"/>
                <w:szCs w:val="18"/>
              </w:rPr>
              <w:t>报告期末持有无限售条件股份数量</w:t>
            </w:r>
          </w:p>
        </w:tc>
        <w:tc>
          <w:tcPr>
            <w:tcW w:w="2748"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股份种类</w:t>
            </w:r>
          </w:p>
        </w:tc>
      </w:tr>
      <w:tr>
        <w:trPr>
          <w:trHeight w:val="362" w:hRule="exact"/>
        </w:trPr>
        <w:tc>
          <w:tcPr>
            <w:tcW w:w="3588" w:type="dxa"/>
            <w:vMerge/>
            <w:tcBorders>
              <w:left w:val="single" w:sz="4" w:space="0" w:color="000000"/>
              <w:bottom w:val="single" w:sz="4" w:space="0" w:color="000000"/>
              <w:right w:val="single" w:sz="4" w:space="0" w:color="000000"/>
            </w:tcBorders>
            <w:shd w:val="clear" w:color="auto" w:fill="D3D3D3"/>
          </w:tcPr>
          <w:p>
            <w:pPr/>
          </w:p>
        </w:tc>
        <w:tc>
          <w:tcPr>
            <w:tcW w:w="4111" w:type="dxa"/>
            <w:vMerge/>
            <w:tcBorders>
              <w:left w:val="single" w:sz="4" w:space="0" w:color="000000"/>
              <w:bottom w:val="single" w:sz="4" w:space="0" w:color="000000"/>
              <w:right w:val="single" w:sz="4" w:space="0" w:color="000000"/>
            </w:tcBorders>
            <w:shd w:val="clear" w:color="auto" w:fill="D3D3D3"/>
          </w:tcPr>
          <w:p>
            <w:pPr/>
          </w:p>
        </w:tc>
        <w:tc>
          <w:tcPr>
            <w:tcW w:w="137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股份种类</w:t>
            </w:r>
          </w:p>
        </w:tc>
        <w:tc>
          <w:tcPr>
            <w:tcW w:w="137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1" w:right="0"/>
              <w:jc w:val="center"/>
              <w:rPr>
                <w:rFonts w:ascii="宋体" w:hAnsi="宋体" w:cs="宋体" w:eastAsia="宋体" w:hint="default"/>
                <w:sz w:val="18"/>
                <w:szCs w:val="18"/>
              </w:rPr>
            </w:pPr>
            <w:r>
              <w:rPr>
                <w:rFonts w:ascii="宋体" w:hAnsi="宋体" w:cs="宋体" w:eastAsia="宋体" w:hint="default"/>
                <w:sz w:val="18"/>
                <w:szCs w:val="18"/>
              </w:rPr>
              <w:t>数量</w:t>
            </w:r>
          </w:p>
        </w:tc>
      </w:tr>
      <w:tr>
        <w:trPr>
          <w:trHeight w:val="362" w:hRule="exact"/>
        </w:trPr>
        <w:tc>
          <w:tcPr>
            <w:tcW w:w="3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 w:right="0"/>
              <w:jc w:val="left"/>
              <w:rPr>
                <w:rFonts w:ascii="宋体" w:hAnsi="宋体" w:cs="宋体" w:eastAsia="宋体" w:hint="default"/>
                <w:sz w:val="18"/>
                <w:szCs w:val="18"/>
              </w:rPr>
            </w:pPr>
            <w:r>
              <w:rPr>
                <w:rFonts w:ascii="宋体" w:hAnsi="宋体" w:cs="宋体" w:eastAsia="宋体" w:hint="default"/>
                <w:sz w:val="18"/>
                <w:szCs w:val="18"/>
              </w:rPr>
              <w:t>中国电子信息产业集团有限公司</w:t>
            </w:r>
          </w:p>
        </w:tc>
        <w:tc>
          <w:tcPr>
            <w:tcW w:w="4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right"/>
              <w:rPr>
                <w:rFonts w:ascii="Times New Roman" w:hAnsi="Times New Roman" w:cs="Times New Roman" w:eastAsia="Times New Roman" w:hint="default"/>
                <w:sz w:val="18"/>
                <w:szCs w:val="18"/>
              </w:rPr>
            </w:pPr>
            <w:r>
              <w:rPr>
                <w:rFonts w:ascii="Times New Roman"/>
                <w:sz w:val="18"/>
              </w:rPr>
              <w:t>757,479,767</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3"/>
              <w:jc w:val="right"/>
              <w:rPr>
                <w:rFonts w:ascii="Times New Roman" w:hAnsi="Times New Roman" w:cs="Times New Roman" w:eastAsia="Times New Roman" w:hint="default"/>
                <w:sz w:val="18"/>
                <w:szCs w:val="18"/>
              </w:rPr>
            </w:pPr>
            <w:r>
              <w:rPr>
                <w:rFonts w:ascii="Times New Roman"/>
                <w:sz w:val="18"/>
              </w:rPr>
              <w:t>757,479,767</w:t>
            </w:r>
          </w:p>
        </w:tc>
      </w:tr>
      <w:tr>
        <w:trPr>
          <w:trHeight w:val="673" w:hRule="exact"/>
        </w:trPr>
        <w:tc>
          <w:tcPr>
            <w:tcW w:w="358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31"/>
              <w:ind w:left="1" w:right="155"/>
              <w:jc w:val="left"/>
              <w:rPr>
                <w:rFonts w:ascii="宋体" w:hAnsi="宋体" w:cs="宋体" w:eastAsia="宋体" w:hint="default"/>
                <w:sz w:val="18"/>
                <w:szCs w:val="18"/>
              </w:rPr>
            </w:pPr>
            <w:r>
              <w:rPr>
                <w:rFonts w:ascii="宋体" w:hAnsi="宋体" w:cs="宋体" w:eastAsia="宋体" w:hint="default"/>
                <w:sz w:val="18"/>
                <w:szCs w:val="18"/>
              </w:rPr>
              <w:t>中国农业银行股份有限公司－万家品质生活 灵活配置混合型证券投资基金</w:t>
            </w:r>
          </w:p>
        </w:tc>
        <w:tc>
          <w:tcPr>
            <w:tcW w:w="4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2"/>
              <w:jc w:val="right"/>
              <w:rPr>
                <w:rFonts w:ascii="Times New Roman" w:hAnsi="Times New Roman" w:cs="Times New Roman" w:eastAsia="Times New Roman" w:hint="default"/>
                <w:sz w:val="18"/>
                <w:szCs w:val="18"/>
              </w:rPr>
            </w:pPr>
            <w:r>
              <w:rPr>
                <w:rFonts w:ascii="Times New Roman"/>
                <w:sz w:val="18"/>
              </w:rPr>
              <w:t>26,496,586</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3"/>
              <w:jc w:val="right"/>
              <w:rPr>
                <w:rFonts w:ascii="Times New Roman" w:hAnsi="Times New Roman" w:cs="Times New Roman" w:eastAsia="Times New Roman" w:hint="default"/>
                <w:sz w:val="18"/>
                <w:szCs w:val="18"/>
              </w:rPr>
            </w:pPr>
            <w:r>
              <w:rPr>
                <w:rFonts w:ascii="Times New Roman"/>
                <w:sz w:val="18"/>
              </w:rPr>
              <w:t>26,496,586</w:t>
            </w:r>
          </w:p>
        </w:tc>
      </w:tr>
      <w:tr>
        <w:trPr>
          <w:trHeight w:val="362" w:hRule="exact"/>
        </w:trPr>
        <w:tc>
          <w:tcPr>
            <w:tcW w:w="3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 w:right="0"/>
              <w:jc w:val="left"/>
              <w:rPr>
                <w:rFonts w:ascii="宋体" w:hAnsi="宋体" w:cs="宋体" w:eastAsia="宋体" w:hint="default"/>
                <w:sz w:val="18"/>
                <w:szCs w:val="18"/>
              </w:rPr>
            </w:pPr>
            <w:r>
              <w:rPr>
                <w:rFonts w:ascii="宋体" w:hAnsi="宋体" w:cs="宋体" w:eastAsia="宋体" w:hint="default"/>
                <w:sz w:val="18"/>
                <w:szCs w:val="18"/>
              </w:rPr>
              <w:t>孙伟</w:t>
            </w:r>
          </w:p>
        </w:tc>
        <w:tc>
          <w:tcPr>
            <w:tcW w:w="4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2"/>
              <w:jc w:val="right"/>
              <w:rPr>
                <w:rFonts w:ascii="Times New Roman" w:hAnsi="Times New Roman" w:cs="Times New Roman" w:eastAsia="Times New Roman" w:hint="default"/>
                <w:sz w:val="18"/>
                <w:szCs w:val="18"/>
              </w:rPr>
            </w:pPr>
            <w:r>
              <w:rPr>
                <w:rFonts w:ascii="Times New Roman"/>
                <w:sz w:val="18"/>
              </w:rPr>
              <w:t>20,330,069</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3"/>
              <w:jc w:val="right"/>
              <w:rPr>
                <w:rFonts w:ascii="Times New Roman" w:hAnsi="Times New Roman" w:cs="Times New Roman" w:eastAsia="Times New Roman" w:hint="default"/>
                <w:sz w:val="18"/>
                <w:szCs w:val="18"/>
              </w:rPr>
            </w:pPr>
            <w:r>
              <w:rPr>
                <w:rFonts w:ascii="Times New Roman"/>
                <w:sz w:val="18"/>
              </w:rPr>
              <w:t>20,330,069</w:t>
            </w:r>
          </w:p>
        </w:tc>
      </w:tr>
      <w:tr>
        <w:trPr>
          <w:trHeight w:val="362" w:hRule="exact"/>
        </w:trPr>
        <w:tc>
          <w:tcPr>
            <w:tcW w:w="3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 w:right="0"/>
              <w:jc w:val="left"/>
              <w:rPr>
                <w:rFonts w:ascii="宋体" w:hAnsi="宋体" w:cs="宋体" w:eastAsia="宋体" w:hint="default"/>
                <w:sz w:val="18"/>
                <w:szCs w:val="18"/>
              </w:rPr>
            </w:pPr>
            <w:r>
              <w:rPr>
                <w:rFonts w:ascii="宋体" w:hAnsi="宋体" w:cs="宋体" w:eastAsia="宋体" w:hint="default"/>
                <w:sz w:val="18"/>
                <w:szCs w:val="18"/>
              </w:rPr>
              <w:t>全国社保基金一零三组合</w:t>
            </w:r>
          </w:p>
        </w:tc>
        <w:tc>
          <w:tcPr>
            <w:tcW w:w="4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right"/>
              <w:rPr>
                <w:rFonts w:ascii="Times New Roman" w:hAnsi="Times New Roman" w:cs="Times New Roman" w:eastAsia="Times New Roman" w:hint="default"/>
                <w:sz w:val="18"/>
                <w:szCs w:val="18"/>
              </w:rPr>
            </w:pPr>
            <w:r>
              <w:rPr>
                <w:rFonts w:ascii="Times New Roman"/>
                <w:sz w:val="18"/>
              </w:rPr>
              <w:t>20,000,000</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3"/>
              <w:jc w:val="right"/>
              <w:rPr>
                <w:rFonts w:ascii="Times New Roman" w:hAnsi="Times New Roman" w:cs="Times New Roman" w:eastAsia="Times New Roman" w:hint="default"/>
                <w:sz w:val="18"/>
                <w:szCs w:val="18"/>
              </w:rPr>
            </w:pPr>
            <w:r>
              <w:rPr>
                <w:rFonts w:ascii="Times New Roman"/>
                <w:sz w:val="18"/>
              </w:rPr>
              <w:t>20,000,000</w:t>
            </w:r>
          </w:p>
        </w:tc>
      </w:tr>
      <w:tr>
        <w:trPr>
          <w:trHeight w:val="673" w:hRule="exact"/>
        </w:trPr>
        <w:tc>
          <w:tcPr>
            <w:tcW w:w="3588"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31"/>
              <w:ind w:left="1" w:right="-1"/>
              <w:jc w:val="left"/>
              <w:rPr>
                <w:rFonts w:ascii="宋体" w:hAnsi="宋体" w:cs="宋体" w:eastAsia="宋体" w:hint="default"/>
                <w:sz w:val="18"/>
                <w:szCs w:val="18"/>
              </w:rPr>
            </w:pPr>
            <w:r>
              <w:rPr>
                <w:rFonts w:ascii="宋体" w:hAnsi="宋体" w:cs="宋体" w:eastAsia="宋体" w:hint="default"/>
                <w:sz w:val="18"/>
                <w:szCs w:val="18"/>
              </w:rPr>
              <w:t>中国农业银行股份有限公司－中证</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500</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交易型 开放式指数证券投资基金</w:t>
            </w:r>
          </w:p>
        </w:tc>
        <w:tc>
          <w:tcPr>
            <w:tcW w:w="4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2"/>
              <w:jc w:val="right"/>
              <w:rPr>
                <w:rFonts w:ascii="Times New Roman" w:hAnsi="Times New Roman" w:cs="Times New Roman" w:eastAsia="Times New Roman" w:hint="default"/>
                <w:sz w:val="18"/>
                <w:szCs w:val="18"/>
              </w:rPr>
            </w:pPr>
            <w:r>
              <w:rPr>
                <w:rFonts w:ascii="Times New Roman"/>
                <w:sz w:val="18"/>
              </w:rPr>
              <w:t>18,932,752</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3"/>
              <w:jc w:val="right"/>
              <w:rPr>
                <w:rFonts w:ascii="Times New Roman" w:hAnsi="Times New Roman" w:cs="Times New Roman" w:eastAsia="Times New Roman" w:hint="default"/>
                <w:sz w:val="18"/>
                <w:szCs w:val="18"/>
              </w:rPr>
            </w:pPr>
            <w:r>
              <w:rPr>
                <w:rFonts w:ascii="Times New Roman"/>
                <w:sz w:val="18"/>
              </w:rPr>
              <w:t>18,932,752</w:t>
            </w:r>
          </w:p>
        </w:tc>
      </w:tr>
      <w:tr>
        <w:trPr>
          <w:trHeight w:val="674" w:hRule="exact"/>
        </w:trPr>
        <w:tc>
          <w:tcPr>
            <w:tcW w:w="358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32"/>
              <w:ind w:left="1" w:right="155"/>
              <w:jc w:val="left"/>
              <w:rPr>
                <w:rFonts w:ascii="宋体" w:hAnsi="宋体" w:cs="宋体" w:eastAsia="宋体" w:hint="default"/>
                <w:sz w:val="18"/>
                <w:szCs w:val="18"/>
              </w:rPr>
            </w:pPr>
            <w:r>
              <w:rPr>
                <w:rFonts w:ascii="宋体" w:hAnsi="宋体" w:cs="宋体" w:eastAsia="宋体" w:hint="default"/>
                <w:sz w:val="18"/>
                <w:szCs w:val="18"/>
              </w:rPr>
              <w:t>东方基金－民生银行－民生加银资产管理有 限公司</w:t>
            </w:r>
          </w:p>
        </w:tc>
        <w:tc>
          <w:tcPr>
            <w:tcW w:w="4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
              <w:jc w:val="right"/>
              <w:rPr>
                <w:rFonts w:ascii="Times New Roman" w:hAnsi="Times New Roman" w:cs="Times New Roman" w:eastAsia="Times New Roman" w:hint="default"/>
                <w:sz w:val="18"/>
                <w:szCs w:val="18"/>
              </w:rPr>
            </w:pPr>
            <w:r>
              <w:rPr>
                <w:rFonts w:ascii="Times New Roman"/>
                <w:sz w:val="18"/>
              </w:rPr>
              <w:t>17,034,571</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3"/>
              <w:jc w:val="right"/>
              <w:rPr>
                <w:rFonts w:ascii="Times New Roman" w:hAnsi="Times New Roman" w:cs="Times New Roman" w:eastAsia="Times New Roman" w:hint="default"/>
                <w:sz w:val="18"/>
                <w:szCs w:val="18"/>
              </w:rPr>
            </w:pPr>
            <w:r>
              <w:rPr>
                <w:rFonts w:ascii="Times New Roman"/>
                <w:sz w:val="18"/>
              </w:rPr>
              <w:t>17,034,571</w:t>
            </w:r>
          </w:p>
        </w:tc>
      </w:tr>
      <w:tr>
        <w:trPr>
          <w:trHeight w:val="362" w:hRule="exact"/>
        </w:trPr>
        <w:tc>
          <w:tcPr>
            <w:tcW w:w="3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 w:right="0"/>
              <w:jc w:val="left"/>
              <w:rPr>
                <w:rFonts w:ascii="宋体" w:hAnsi="宋体" w:cs="宋体" w:eastAsia="宋体" w:hint="default"/>
                <w:sz w:val="18"/>
                <w:szCs w:val="18"/>
              </w:rPr>
            </w:pPr>
            <w:r>
              <w:rPr>
                <w:rFonts w:ascii="宋体" w:hAnsi="宋体" w:cs="宋体" w:eastAsia="宋体" w:hint="default"/>
                <w:sz w:val="18"/>
                <w:szCs w:val="18"/>
              </w:rPr>
              <w:t>中国电子有限公司</w:t>
            </w:r>
          </w:p>
        </w:tc>
        <w:tc>
          <w:tcPr>
            <w:tcW w:w="4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right"/>
              <w:rPr>
                <w:rFonts w:ascii="Times New Roman" w:hAnsi="Times New Roman" w:cs="Times New Roman" w:eastAsia="Times New Roman" w:hint="default"/>
                <w:sz w:val="18"/>
                <w:szCs w:val="18"/>
              </w:rPr>
            </w:pPr>
            <w:r>
              <w:rPr>
                <w:rFonts w:ascii="Times New Roman"/>
                <w:sz w:val="18"/>
              </w:rPr>
              <w:t>9,468,665</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3"/>
              <w:jc w:val="right"/>
              <w:rPr>
                <w:rFonts w:ascii="Times New Roman" w:hAnsi="Times New Roman" w:cs="Times New Roman" w:eastAsia="Times New Roman" w:hint="default"/>
                <w:sz w:val="18"/>
                <w:szCs w:val="18"/>
              </w:rPr>
            </w:pPr>
            <w:r>
              <w:rPr>
                <w:rFonts w:ascii="Times New Roman"/>
                <w:sz w:val="18"/>
              </w:rPr>
              <w:t>9,468,665</w:t>
            </w:r>
          </w:p>
        </w:tc>
      </w:tr>
      <w:tr>
        <w:trPr>
          <w:trHeight w:val="673" w:hRule="exact"/>
        </w:trPr>
        <w:tc>
          <w:tcPr>
            <w:tcW w:w="358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31"/>
              <w:ind w:left="1" w:right="155"/>
              <w:jc w:val="left"/>
              <w:rPr>
                <w:rFonts w:ascii="宋体" w:hAnsi="宋体" w:cs="宋体" w:eastAsia="宋体" w:hint="default"/>
                <w:sz w:val="18"/>
                <w:szCs w:val="18"/>
              </w:rPr>
            </w:pPr>
            <w:r>
              <w:rPr>
                <w:rFonts w:ascii="宋体" w:hAnsi="宋体" w:cs="宋体" w:eastAsia="宋体" w:hint="default"/>
                <w:sz w:val="18"/>
                <w:szCs w:val="18"/>
              </w:rPr>
              <w:t>中国人民财产保险股份有限公司－传统－普 通保险产品</w:t>
            </w:r>
          </w:p>
        </w:tc>
        <w:tc>
          <w:tcPr>
            <w:tcW w:w="4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2"/>
              <w:jc w:val="right"/>
              <w:rPr>
                <w:rFonts w:ascii="Times New Roman" w:hAnsi="Times New Roman" w:cs="Times New Roman" w:eastAsia="Times New Roman" w:hint="default"/>
                <w:sz w:val="18"/>
                <w:szCs w:val="18"/>
              </w:rPr>
            </w:pPr>
            <w:r>
              <w:rPr>
                <w:rFonts w:ascii="Times New Roman"/>
                <w:sz w:val="18"/>
              </w:rPr>
              <w:t>9,418,594</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3"/>
              <w:jc w:val="right"/>
              <w:rPr>
                <w:rFonts w:ascii="Times New Roman" w:hAnsi="Times New Roman" w:cs="Times New Roman" w:eastAsia="Times New Roman" w:hint="default"/>
                <w:sz w:val="18"/>
                <w:szCs w:val="18"/>
              </w:rPr>
            </w:pPr>
            <w:r>
              <w:rPr>
                <w:rFonts w:ascii="Times New Roman"/>
                <w:sz w:val="18"/>
              </w:rPr>
              <w:t>9,418,594</w:t>
            </w:r>
          </w:p>
        </w:tc>
      </w:tr>
      <w:tr>
        <w:trPr>
          <w:trHeight w:val="674" w:hRule="exact"/>
        </w:trPr>
        <w:tc>
          <w:tcPr>
            <w:tcW w:w="358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32"/>
              <w:ind w:left="1" w:right="155"/>
              <w:jc w:val="left"/>
              <w:rPr>
                <w:rFonts w:ascii="宋体" w:hAnsi="宋体" w:cs="宋体" w:eastAsia="宋体" w:hint="default"/>
                <w:sz w:val="18"/>
                <w:szCs w:val="18"/>
              </w:rPr>
            </w:pPr>
            <w:r>
              <w:rPr>
                <w:rFonts w:ascii="宋体" w:hAnsi="宋体" w:cs="宋体" w:eastAsia="宋体" w:hint="default"/>
                <w:sz w:val="18"/>
                <w:szCs w:val="18"/>
              </w:rPr>
              <w:t>中国农业银行股份有限公司－交银施罗德先 锋混合型证券投资基金</w:t>
            </w:r>
          </w:p>
        </w:tc>
        <w:tc>
          <w:tcPr>
            <w:tcW w:w="4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
              <w:jc w:val="right"/>
              <w:rPr>
                <w:rFonts w:ascii="Times New Roman" w:hAnsi="Times New Roman" w:cs="Times New Roman" w:eastAsia="Times New Roman" w:hint="default"/>
                <w:sz w:val="18"/>
                <w:szCs w:val="18"/>
              </w:rPr>
            </w:pPr>
            <w:r>
              <w:rPr>
                <w:rFonts w:ascii="Times New Roman"/>
                <w:sz w:val="18"/>
              </w:rPr>
              <w:t>8,521,273</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3"/>
              <w:jc w:val="right"/>
              <w:rPr>
                <w:rFonts w:ascii="Times New Roman" w:hAnsi="Times New Roman" w:cs="Times New Roman" w:eastAsia="Times New Roman" w:hint="default"/>
                <w:sz w:val="18"/>
                <w:szCs w:val="18"/>
              </w:rPr>
            </w:pPr>
            <w:r>
              <w:rPr>
                <w:rFonts w:ascii="Times New Roman"/>
                <w:sz w:val="18"/>
              </w:rPr>
              <w:t>8,521,273</w:t>
            </w:r>
          </w:p>
        </w:tc>
      </w:tr>
      <w:tr>
        <w:trPr>
          <w:trHeight w:val="362" w:hRule="exact"/>
        </w:trPr>
        <w:tc>
          <w:tcPr>
            <w:tcW w:w="3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 w:right="0"/>
              <w:jc w:val="left"/>
              <w:rPr>
                <w:rFonts w:ascii="宋体" w:hAnsi="宋体" w:cs="宋体" w:eastAsia="宋体" w:hint="default"/>
                <w:sz w:val="18"/>
                <w:szCs w:val="18"/>
              </w:rPr>
            </w:pPr>
            <w:r>
              <w:rPr>
                <w:rFonts w:ascii="宋体" w:hAnsi="宋体" w:cs="宋体" w:eastAsia="宋体" w:hint="default"/>
                <w:sz w:val="18"/>
                <w:szCs w:val="18"/>
              </w:rPr>
              <w:t>建投华科投资股份有限公司</w:t>
            </w:r>
          </w:p>
        </w:tc>
        <w:tc>
          <w:tcPr>
            <w:tcW w:w="4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right"/>
              <w:rPr>
                <w:rFonts w:ascii="Times New Roman" w:hAnsi="Times New Roman" w:cs="Times New Roman" w:eastAsia="Times New Roman" w:hint="default"/>
                <w:sz w:val="18"/>
                <w:szCs w:val="18"/>
              </w:rPr>
            </w:pPr>
            <w:r>
              <w:rPr>
                <w:rFonts w:ascii="Times New Roman"/>
                <w:sz w:val="18"/>
              </w:rPr>
              <w:t>8,229,371</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3"/>
              <w:jc w:val="right"/>
              <w:rPr>
                <w:rFonts w:ascii="Times New Roman" w:hAnsi="Times New Roman" w:cs="Times New Roman" w:eastAsia="Times New Roman" w:hint="default"/>
                <w:sz w:val="18"/>
                <w:szCs w:val="18"/>
              </w:rPr>
            </w:pPr>
            <w:r>
              <w:rPr>
                <w:rFonts w:ascii="Times New Roman"/>
                <w:sz w:val="18"/>
              </w:rPr>
              <w:t>8,229,371</w:t>
            </w:r>
          </w:p>
        </w:tc>
      </w:tr>
      <w:tr>
        <w:trPr>
          <w:trHeight w:val="985" w:hRule="exact"/>
        </w:trPr>
        <w:tc>
          <w:tcPr>
            <w:tcW w:w="35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1" w:right="-1"/>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名无限售流通股股东之间，以及前</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名</w:t>
            </w:r>
          </w:p>
          <w:p>
            <w:pPr>
              <w:pStyle w:val="TableParagraph"/>
              <w:spacing w:line="300" w:lineRule="auto" w:before="63"/>
              <w:ind w:left="1" w:right="65"/>
              <w:jc w:val="left"/>
              <w:rPr>
                <w:rFonts w:ascii="宋体" w:hAnsi="宋体" w:cs="宋体" w:eastAsia="宋体" w:hint="default"/>
                <w:sz w:val="18"/>
                <w:szCs w:val="18"/>
              </w:rPr>
            </w:pPr>
            <w:r>
              <w:rPr>
                <w:rFonts w:ascii="宋体" w:hAnsi="宋体" w:cs="宋体" w:eastAsia="宋体" w:hint="default"/>
                <w:sz w:val="18"/>
                <w:szCs w:val="18"/>
              </w:rPr>
              <w:t>无限售流通股股东和前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名股东之间关联关 系或一致行动的说明</w:t>
            </w:r>
          </w:p>
        </w:tc>
        <w:tc>
          <w:tcPr>
            <w:tcW w:w="6859" w:type="dxa"/>
            <w:gridSpan w:val="3"/>
            <w:tcBorders>
              <w:top w:val="single" w:sz="4" w:space="0" w:color="000000"/>
              <w:left w:val="single" w:sz="4" w:space="0" w:color="000000"/>
              <w:bottom w:val="single" w:sz="4" w:space="0" w:color="000000"/>
              <w:right w:val="single" w:sz="4" w:space="0" w:color="000000"/>
            </w:tcBorders>
          </w:tcPr>
          <w:p>
            <w:pPr>
              <w:pStyle w:val="TableParagraph"/>
              <w:spacing w:line="316" w:lineRule="auto" w:before="31"/>
              <w:ind w:left="-1" w:right="7" w:firstLine="360"/>
              <w:jc w:val="both"/>
              <w:rPr>
                <w:rFonts w:ascii="宋体" w:hAnsi="宋体" w:cs="宋体" w:eastAsia="宋体" w:hint="default"/>
                <w:sz w:val="18"/>
                <w:szCs w:val="18"/>
              </w:rPr>
            </w:pPr>
            <w:r>
              <w:rPr>
                <w:rFonts w:ascii="宋体" w:hAnsi="宋体" w:cs="宋体" w:eastAsia="宋体" w:hint="default"/>
                <w:sz w:val="18"/>
                <w:szCs w:val="18"/>
              </w:rPr>
              <w:t>中国电子有限公司由中国电子控制，为中国电子一致行动人；中国电子、中国电子 有限公司与上述其它股东不存在关联关系和一致行动人；公司未知上述其它股东之间是 否存在关联关系，也未知其是否属于一致行动人。</w:t>
            </w:r>
          </w:p>
        </w:tc>
      </w:tr>
      <w:tr>
        <w:trPr>
          <w:trHeight w:val="674" w:hRule="exact"/>
        </w:trPr>
        <w:tc>
          <w:tcPr>
            <w:tcW w:w="35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32"/>
              <w:ind w:left="1" w:right="65"/>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名普通股股东参与融资融券业务情况说 明（如有）</w:t>
            </w:r>
          </w:p>
        </w:tc>
        <w:tc>
          <w:tcPr>
            <w:tcW w:w="685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359"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before="51"/>
        <w:ind w:left="734" w:right="2291" w:firstLine="0"/>
        <w:jc w:val="left"/>
        <w:rPr>
          <w:rFonts w:ascii="宋体" w:hAnsi="宋体" w:cs="宋体" w:eastAsia="宋体" w:hint="default"/>
          <w:sz w:val="18"/>
          <w:szCs w:val="18"/>
        </w:rPr>
      </w:pPr>
      <w:r>
        <w:rPr>
          <w:rFonts w:ascii="宋体" w:hAnsi="宋体" w:cs="宋体" w:eastAsia="宋体" w:hint="default"/>
          <w:sz w:val="18"/>
          <w:szCs w:val="18"/>
        </w:rPr>
        <w:t>公司前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名普通股股东、前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名无限售条件普通股股东在报告期内是否进行约定购回交易</w:t>
      </w:r>
    </w:p>
    <w:p>
      <w:pPr>
        <w:spacing w:before="103"/>
        <w:ind w:left="734" w:right="2291" w:firstLine="0"/>
        <w:jc w:val="left"/>
        <w:rPr>
          <w:rFonts w:ascii="宋体" w:hAnsi="宋体" w:cs="宋体" w:eastAsia="宋体" w:hint="default"/>
          <w:sz w:val="18"/>
          <w:szCs w:val="18"/>
        </w:rPr>
      </w:pPr>
      <w:r>
        <w:rPr>
          <w:rFonts w:ascii="宋体" w:hAnsi="宋体" w:cs="宋体" w:eastAsia="宋体" w:hint="default"/>
          <w:sz w:val="18"/>
          <w:szCs w:val="18"/>
        </w:rPr>
        <w:t>□ 是 √ 否</w:t>
      </w:r>
    </w:p>
    <w:p>
      <w:pPr>
        <w:spacing w:before="116"/>
        <w:ind w:left="1094" w:right="2291" w:firstLine="0"/>
        <w:jc w:val="left"/>
        <w:rPr>
          <w:rFonts w:ascii="宋体" w:hAnsi="宋体" w:cs="宋体" w:eastAsia="宋体" w:hint="default"/>
          <w:sz w:val="18"/>
          <w:szCs w:val="18"/>
        </w:rPr>
      </w:pPr>
      <w:r>
        <w:rPr>
          <w:rFonts w:ascii="宋体" w:hAnsi="宋体" w:cs="宋体" w:eastAsia="宋体" w:hint="default"/>
          <w:sz w:val="18"/>
          <w:szCs w:val="18"/>
        </w:rPr>
        <w:t>公司前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名普通股股东、前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名无限售条件普通股股东在报告期内未进行约定购回交易。</w:t>
      </w:r>
    </w:p>
    <w:p>
      <w:pPr>
        <w:spacing w:line="240" w:lineRule="auto" w:before="3"/>
        <w:rPr>
          <w:rFonts w:ascii="宋体" w:hAnsi="宋体" w:cs="宋体" w:eastAsia="宋体" w:hint="default"/>
          <w:sz w:val="21"/>
          <w:szCs w:val="21"/>
        </w:rPr>
      </w:pPr>
    </w:p>
    <w:p>
      <w:pPr>
        <w:pStyle w:val="Heading5"/>
        <w:spacing w:line="240" w:lineRule="auto" w:before="0"/>
        <w:ind w:left="734" w:right="2291"/>
        <w:jc w:val="left"/>
        <w:rPr>
          <w:b w:val="0"/>
          <w:bCs w:val="0"/>
        </w:rPr>
      </w:pPr>
      <w:r>
        <w:rPr>
          <w:rFonts w:ascii="Times New Roman" w:hAnsi="Times New Roman" w:cs="Times New Roman" w:eastAsia="Times New Roman" w:hint="default"/>
        </w:rPr>
        <w:t>2</w:t>
      </w:r>
      <w:r>
        <w:rPr/>
        <w:t>、公司控股股东情况</w:t>
      </w:r>
      <w:r>
        <w:rPr>
          <w:b w:val="0"/>
          <w:bCs w:val="0"/>
        </w:rPr>
      </w:r>
    </w:p>
    <w:p>
      <w:pPr>
        <w:spacing w:line="240" w:lineRule="auto" w:before="12"/>
        <w:rPr>
          <w:rFonts w:ascii="宋体" w:hAnsi="宋体" w:cs="宋体" w:eastAsia="宋体" w:hint="default"/>
          <w:b/>
          <w:bCs/>
          <w:sz w:val="21"/>
          <w:szCs w:val="21"/>
        </w:rPr>
      </w:pPr>
    </w:p>
    <w:p>
      <w:pPr>
        <w:spacing w:line="360" w:lineRule="auto" w:before="0"/>
        <w:ind w:left="733" w:right="8411" w:firstLine="0"/>
        <w:jc w:val="left"/>
        <w:rPr>
          <w:rFonts w:ascii="宋体" w:hAnsi="宋体" w:cs="宋体" w:eastAsia="宋体" w:hint="default"/>
          <w:sz w:val="18"/>
          <w:szCs w:val="18"/>
        </w:rPr>
      </w:pPr>
      <w:r>
        <w:rPr>
          <w:rFonts w:ascii="宋体" w:hAnsi="宋体" w:cs="宋体" w:eastAsia="宋体" w:hint="default"/>
          <w:sz w:val="18"/>
          <w:szCs w:val="18"/>
        </w:rPr>
        <w:t>控股股东性质：中央国有控股 控股股东类型：法人</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8"/>
          <w:szCs w:val="28"/>
        </w:rPr>
      </w:pPr>
    </w:p>
    <w:p>
      <w:pPr>
        <w:spacing w:before="53"/>
        <w:ind w:left="0" w:right="461" w:firstLine="0"/>
        <w:jc w:val="right"/>
        <w:rPr>
          <w:rFonts w:ascii="宋体" w:hAnsi="宋体" w:cs="宋体" w:eastAsia="宋体" w:hint="default"/>
          <w:sz w:val="15"/>
          <w:szCs w:val="15"/>
        </w:rPr>
      </w:pPr>
      <w:r>
        <w:rPr/>
        <w:pict>
          <v:shape style="position:absolute;margin-left:25.08pt;margin-top:-31.249928pt;width:545.3pt;height:157.5pt;mso-position-horizontal-relative:page;mso-position-vertical-relative:paragraph;z-index:224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671"/>
                    <w:gridCol w:w="1008"/>
                    <w:gridCol w:w="1478"/>
                    <w:gridCol w:w="1849"/>
                    <w:gridCol w:w="3884"/>
                  </w:tblGrid>
                  <w:tr>
                    <w:trPr>
                      <w:trHeight w:val="634" w:hRule="exact"/>
                    </w:trPr>
                    <w:tc>
                      <w:tcPr>
                        <w:tcW w:w="267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790" w:right="0"/>
                          <w:jc w:val="left"/>
                          <w:rPr>
                            <w:rFonts w:ascii="宋体" w:hAnsi="宋体" w:cs="宋体" w:eastAsia="宋体" w:hint="default"/>
                            <w:sz w:val="18"/>
                            <w:szCs w:val="18"/>
                          </w:rPr>
                        </w:pPr>
                        <w:r>
                          <w:rPr>
                            <w:rFonts w:ascii="宋体" w:hAnsi="宋体" w:cs="宋体" w:eastAsia="宋体" w:hint="default"/>
                            <w:sz w:val="18"/>
                            <w:szCs w:val="18"/>
                          </w:rPr>
                          <w:t>控股股东名称</w:t>
                        </w:r>
                      </w:p>
                    </w:tc>
                    <w:tc>
                      <w:tcPr>
                        <w:tcW w:w="100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00" w:lineRule="auto" w:before="10"/>
                          <w:ind w:left="49" w:right="22" w:hanging="26"/>
                          <w:jc w:val="left"/>
                          <w:rPr>
                            <w:rFonts w:ascii="宋体" w:hAnsi="宋体" w:cs="宋体" w:eastAsia="宋体" w:hint="default"/>
                            <w:sz w:val="18"/>
                            <w:szCs w:val="18"/>
                          </w:rPr>
                        </w:pPr>
                        <w:r>
                          <w:rPr>
                            <w:rFonts w:ascii="宋体" w:hAnsi="宋体" w:cs="宋体" w:eastAsia="宋体" w:hint="default"/>
                            <w:sz w:val="18"/>
                            <w:szCs w:val="18"/>
                          </w:rPr>
                          <w:t>法定代表人</w:t>
                        </w:r>
                        <w:r>
                          <w:rPr>
                            <w:rFonts w:ascii="Times New Roman" w:hAnsi="Times New Roman" w:cs="Times New Roman" w:eastAsia="Times New Roman" w:hint="default"/>
                            <w:sz w:val="18"/>
                            <w:szCs w:val="18"/>
                          </w:rPr>
                          <w:t>/ </w:t>
                        </w:r>
                        <w:r>
                          <w:rPr>
                            <w:rFonts w:ascii="宋体" w:hAnsi="宋体" w:cs="宋体" w:eastAsia="宋体" w:hint="default"/>
                            <w:sz w:val="18"/>
                            <w:szCs w:val="18"/>
                          </w:rPr>
                          <w:t>单位负责人</w:t>
                        </w:r>
                      </w:p>
                    </w:tc>
                    <w:tc>
                      <w:tcPr>
                        <w:tcW w:w="147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成立日期</w:t>
                        </w:r>
                      </w:p>
                    </w:tc>
                    <w:tc>
                      <w:tcPr>
                        <w:tcW w:w="184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组织机构代码</w:t>
                        </w:r>
                      </w:p>
                    </w:tc>
                    <w:tc>
                      <w:tcPr>
                        <w:tcW w:w="38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主要经营业务</w:t>
                        </w:r>
                      </w:p>
                    </w:tc>
                  </w:tr>
                  <w:tr>
                    <w:trPr>
                      <w:trHeight w:val="317" w:hRule="exact"/>
                    </w:trPr>
                    <w:tc>
                      <w:tcPr>
                        <w:tcW w:w="2671" w:type="dxa"/>
                        <w:tcBorders>
                          <w:top w:val="single" w:sz="4" w:space="0" w:color="000000"/>
                          <w:left w:val="single" w:sz="4" w:space="0" w:color="000000"/>
                          <w:bottom w:val="nil" w:sz="6" w:space="0" w:color="auto"/>
                          <w:right w:val="single" w:sz="4" w:space="0" w:color="000000"/>
                        </w:tcBorders>
                      </w:tcPr>
                      <w:p>
                        <w:pPr/>
                      </w:p>
                    </w:tc>
                    <w:tc>
                      <w:tcPr>
                        <w:tcW w:w="1008" w:type="dxa"/>
                        <w:tcBorders>
                          <w:top w:val="single" w:sz="4" w:space="0" w:color="000000"/>
                          <w:left w:val="single" w:sz="4" w:space="0" w:color="000000"/>
                          <w:bottom w:val="nil" w:sz="6" w:space="0" w:color="auto"/>
                          <w:right w:val="single" w:sz="4" w:space="0" w:color="000000"/>
                        </w:tcBorders>
                      </w:tcPr>
                      <w:p>
                        <w:pPr/>
                      </w:p>
                    </w:tc>
                    <w:tc>
                      <w:tcPr>
                        <w:tcW w:w="1478" w:type="dxa"/>
                        <w:tcBorders>
                          <w:top w:val="single" w:sz="4" w:space="0" w:color="000000"/>
                          <w:left w:val="single" w:sz="4" w:space="0" w:color="000000"/>
                          <w:bottom w:val="nil" w:sz="6" w:space="0" w:color="auto"/>
                          <w:right w:val="single" w:sz="4" w:space="0" w:color="000000"/>
                        </w:tcBorders>
                      </w:tcPr>
                      <w:p>
                        <w:pPr/>
                      </w:p>
                    </w:tc>
                    <w:tc>
                      <w:tcPr>
                        <w:tcW w:w="1849" w:type="dxa"/>
                        <w:tcBorders>
                          <w:top w:val="single" w:sz="4" w:space="0" w:color="000000"/>
                          <w:left w:val="single" w:sz="4" w:space="0" w:color="000000"/>
                          <w:bottom w:val="nil" w:sz="6" w:space="0" w:color="auto"/>
                          <w:right w:val="single" w:sz="4" w:space="0" w:color="000000"/>
                        </w:tcBorders>
                      </w:tcPr>
                      <w:p>
                        <w:pPr/>
                      </w:p>
                    </w:tc>
                    <w:tc>
                      <w:tcPr>
                        <w:tcW w:w="388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34"/>
                          <w:ind w:left="22" w:right="0"/>
                          <w:jc w:val="left"/>
                          <w:rPr>
                            <w:rFonts w:ascii="宋体" w:hAnsi="宋体" w:cs="宋体" w:eastAsia="宋体" w:hint="default"/>
                            <w:sz w:val="15"/>
                            <w:szCs w:val="15"/>
                          </w:rPr>
                        </w:pPr>
                        <w:r>
                          <w:rPr>
                            <w:rFonts w:ascii="宋体" w:hAnsi="宋体" w:cs="宋体" w:eastAsia="宋体" w:hint="default"/>
                            <w:sz w:val="15"/>
                            <w:szCs w:val="15"/>
                          </w:rPr>
                          <w:t>电子原材料、电子元器件、电子仪器仪表、电子整机产品</w:t>
                        </w:r>
                      </w:p>
                    </w:tc>
                  </w:tr>
                  <w:tr>
                    <w:trPr>
                      <w:trHeight w:val="312" w:hRule="exact"/>
                    </w:trPr>
                    <w:tc>
                      <w:tcPr>
                        <w:tcW w:w="2671" w:type="dxa"/>
                        <w:tcBorders>
                          <w:top w:val="nil" w:sz="6" w:space="0" w:color="auto"/>
                          <w:left w:val="single" w:sz="4" w:space="0" w:color="000000"/>
                          <w:bottom w:val="nil" w:sz="6" w:space="0" w:color="auto"/>
                          <w:right w:val="single" w:sz="4" w:space="0" w:color="000000"/>
                        </w:tcBorders>
                      </w:tcPr>
                      <w:p>
                        <w:pPr/>
                      </w:p>
                    </w:tc>
                    <w:tc>
                      <w:tcPr>
                        <w:tcW w:w="1008" w:type="dxa"/>
                        <w:tcBorders>
                          <w:top w:val="nil" w:sz="6" w:space="0" w:color="auto"/>
                          <w:left w:val="single" w:sz="4" w:space="0" w:color="000000"/>
                          <w:bottom w:val="nil" w:sz="6" w:space="0" w:color="auto"/>
                          <w:right w:val="single" w:sz="4" w:space="0" w:color="000000"/>
                        </w:tcBorders>
                      </w:tcPr>
                      <w:p>
                        <w:pPr/>
                      </w:p>
                    </w:tc>
                    <w:tc>
                      <w:tcPr>
                        <w:tcW w:w="1478" w:type="dxa"/>
                        <w:tcBorders>
                          <w:top w:val="nil" w:sz="6" w:space="0" w:color="auto"/>
                          <w:left w:val="single" w:sz="4" w:space="0" w:color="000000"/>
                          <w:bottom w:val="nil" w:sz="6" w:space="0" w:color="auto"/>
                          <w:right w:val="single" w:sz="4" w:space="0" w:color="000000"/>
                        </w:tcBorders>
                      </w:tcPr>
                      <w:p>
                        <w:pPr/>
                      </w:p>
                    </w:tc>
                    <w:tc>
                      <w:tcPr>
                        <w:tcW w:w="1849" w:type="dxa"/>
                        <w:tcBorders>
                          <w:top w:val="nil" w:sz="6" w:space="0" w:color="auto"/>
                          <w:left w:val="single" w:sz="4" w:space="0" w:color="000000"/>
                          <w:bottom w:val="nil" w:sz="6" w:space="0" w:color="auto"/>
                          <w:right w:val="single" w:sz="4" w:space="0" w:color="000000"/>
                        </w:tcBorders>
                      </w:tcPr>
                      <w:p>
                        <w:pPr/>
                      </w:p>
                    </w:tc>
                    <w:tc>
                      <w:tcPr>
                        <w:tcW w:w="3884"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22" w:right="0"/>
                          <w:jc w:val="left"/>
                          <w:rPr>
                            <w:rFonts w:ascii="宋体" w:hAnsi="宋体" w:cs="宋体" w:eastAsia="宋体" w:hint="default"/>
                            <w:sz w:val="15"/>
                            <w:szCs w:val="15"/>
                          </w:rPr>
                        </w:pPr>
                        <w:r>
                          <w:rPr>
                            <w:rFonts w:ascii="宋体" w:hAnsi="宋体" w:cs="宋体" w:eastAsia="宋体" w:hint="default"/>
                            <w:spacing w:val="-3"/>
                            <w:sz w:val="15"/>
                            <w:szCs w:val="15"/>
                          </w:rPr>
                          <w:t>电子应用产品与应用系统、电子专用设备、配套产品、软件</w:t>
                        </w:r>
                      </w:p>
                    </w:tc>
                  </w:tr>
                  <w:tr>
                    <w:trPr>
                      <w:trHeight w:val="312" w:hRule="exact"/>
                    </w:trPr>
                    <w:tc>
                      <w:tcPr>
                        <w:tcW w:w="2671" w:type="dxa"/>
                        <w:tcBorders>
                          <w:top w:val="nil" w:sz="6" w:space="0" w:color="auto"/>
                          <w:left w:val="single" w:sz="4" w:space="0" w:color="000000"/>
                          <w:bottom w:val="nil" w:sz="6" w:space="0" w:color="auto"/>
                          <w:right w:val="single" w:sz="4" w:space="0" w:color="000000"/>
                        </w:tcBorders>
                      </w:tcPr>
                      <w:p>
                        <w:pPr/>
                      </w:p>
                    </w:tc>
                    <w:tc>
                      <w:tcPr>
                        <w:tcW w:w="1008" w:type="dxa"/>
                        <w:tcBorders>
                          <w:top w:val="nil" w:sz="6" w:space="0" w:color="auto"/>
                          <w:left w:val="single" w:sz="4" w:space="0" w:color="000000"/>
                          <w:bottom w:val="nil" w:sz="6" w:space="0" w:color="auto"/>
                          <w:right w:val="single" w:sz="4" w:space="0" w:color="000000"/>
                        </w:tcBorders>
                      </w:tcPr>
                      <w:p>
                        <w:pPr/>
                      </w:p>
                    </w:tc>
                    <w:tc>
                      <w:tcPr>
                        <w:tcW w:w="1478" w:type="dxa"/>
                        <w:tcBorders>
                          <w:top w:val="nil" w:sz="6" w:space="0" w:color="auto"/>
                          <w:left w:val="single" w:sz="4" w:space="0" w:color="000000"/>
                          <w:bottom w:val="nil" w:sz="6" w:space="0" w:color="auto"/>
                          <w:right w:val="single" w:sz="4" w:space="0" w:color="000000"/>
                        </w:tcBorders>
                      </w:tcPr>
                      <w:p>
                        <w:pPr/>
                      </w:p>
                    </w:tc>
                    <w:tc>
                      <w:tcPr>
                        <w:tcW w:w="1849" w:type="dxa"/>
                        <w:tcBorders>
                          <w:top w:val="nil" w:sz="6" w:space="0" w:color="auto"/>
                          <w:left w:val="single" w:sz="4" w:space="0" w:color="000000"/>
                          <w:bottom w:val="nil" w:sz="6" w:space="0" w:color="auto"/>
                          <w:right w:val="single" w:sz="4" w:space="0" w:color="000000"/>
                        </w:tcBorders>
                      </w:tcPr>
                      <w:p>
                        <w:pPr/>
                      </w:p>
                    </w:tc>
                    <w:tc>
                      <w:tcPr>
                        <w:tcW w:w="3884"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22" w:right="0"/>
                          <w:jc w:val="left"/>
                          <w:rPr>
                            <w:rFonts w:ascii="宋体" w:hAnsi="宋体" w:cs="宋体" w:eastAsia="宋体" w:hint="default"/>
                            <w:sz w:val="15"/>
                            <w:szCs w:val="15"/>
                          </w:rPr>
                        </w:pPr>
                        <w:r>
                          <w:rPr>
                            <w:rFonts w:ascii="宋体" w:hAnsi="宋体" w:cs="宋体" w:eastAsia="宋体" w:hint="default"/>
                            <w:spacing w:val="-3"/>
                            <w:sz w:val="15"/>
                            <w:szCs w:val="15"/>
                          </w:rPr>
                          <w:t>的科研、开发、设计、制造、产品配套销售；电子应用系统</w:t>
                        </w:r>
                      </w:p>
                    </w:tc>
                  </w:tr>
                  <w:tr>
                    <w:trPr>
                      <w:trHeight w:val="624" w:hRule="exact"/>
                    </w:trPr>
                    <w:tc>
                      <w:tcPr>
                        <w:tcW w:w="2671"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中国电子信息产业集团有限公司</w:t>
                        </w:r>
                      </w:p>
                    </w:tc>
                    <w:tc>
                      <w:tcPr>
                        <w:tcW w:w="100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芮晓武</w:t>
                        </w:r>
                      </w:p>
                    </w:tc>
                    <w:tc>
                      <w:tcPr>
                        <w:tcW w:w="147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1989</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年</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月</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日</w:t>
                        </w:r>
                      </w:p>
                    </w:tc>
                    <w:tc>
                      <w:tcPr>
                        <w:tcW w:w="1849"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5"/>
                          <w:jc w:val="center"/>
                          <w:rPr>
                            <w:rFonts w:ascii="Times New Roman" w:hAnsi="Times New Roman" w:cs="Times New Roman" w:eastAsia="Times New Roman" w:hint="default"/>
                            <w:sz w:val="18"/>
                            <w:szCs w:val="18"/>
                          </w:rPr>
                        </w:pPr>
                        <w:r>
                          <w:rPr>
                            <w:rFonts w:ascii="Times New Roman"/>
                            <w:sz w:val="18"/>
                          </w:rPr>
                          <w:t>91110000100010249W</w:t>
                        </w:r>
                      </w:p>
                    </w:tc>
                    <w:tc>
                      <w:tcPr>
                        <w:tcW w:w="3884" w:type="dxa"/>
                        <w:tcBorders>
                          <w:top w:val="nil" w:sz="6" w:space="0" w:color="auto"/>
                          <w:left w:val="single" w:sz="4" w:space="0" w:color="000000"/>
                          <w:bottom w:val="nil" w:sz="6" w:space="0" w:color="auto"/>
                          <w:right w:val="single" w:sz="4" w:space="0" w:color="000000"/>
                        </w:tcBorders>
                      </w:tcPr>
                      <w:p>
                        <w:pPr>
                          <w:pStyle w:val="TableParagraph"/>
                          <w:spacing w:line="381" w:lineRule="auto" w:before="34"/>
                          <w:ind w:left="22" w:right="20"/>
                          <w:jc w:val="left"/>
                          <w:rPr>
                            <w:rFonts w:ascii="宋体" w:hAnsi="宋体" w:cs="宋体" w:eastAsia="宋体" w:hint="default"/>
                            <w:sz w:val="15"/>
                            <w:szCs w:val="15"/>
                          </w:rPr>
                        </w:pPr>
                        <w:r>
                          <w:rPr>
                            <w:rFonts w:ascii="宋体" w:hAnsi="宋体" w:cs="宋体" w:eastAsia="宋体" w:hint="default"/>
                            <w:spacing w:val="-3"/>
                            <w:sz w:val="15"/>
                            <w:szCs w:val="15"/>
                          </w:rPr>
                          <w:t>工程、建筑工程、通讯工程、水处理工程的总承包与组织管</w:t>
                        </w:r>
                        <w:r>
                          <w:rPr>
                            <w:rFonts w:ascii="宋体" w:hAnsi="宋体" w:cs="宋体" w:eastAsia="宋体" w:hint="default"/>
                            <w:spacing w:val="-68"/>
                            <w:sz w:val="15"/>
                            <w:szCs w:val="15"/>
                          </w:rPr>
                          <w:t> </w:t>
                        </w:r>
                        <w:r>
                          <w:rPr>
                            <w:rFonts w:ascii="宋体" w:hAnsi="宋体" w:cs="宋体" w:eastAsia="宋体" w:hint="default"/>
                            <w:spacing w:val="-68"/>
                            <w:sz w:val="15"/>
                            <w:szCs w:val="15"/>
                          </w:rPr>
                        </w:r>
                        <w:r>
                          <w:rPr>
                            <w:rFonts w:ascii="宋体" w:hAnsi="宋体" w:cs="宋体" w:eastAsia="宋体" w:hint="default"/>
                            <w:spacing w:val="-3"/>
                            <w:sz w:val="15"/>
                            <w:szCs w:val="15"/>
                          </w:rPr>
                          <w:t>理；环保和节能技术的开发、推广、应用；房地产开发、经</w:t>
                        </w:r>
                      </w:p>
                    </w:tc>
                  </w:tr>
                  <w:tr>
                    <w:trPr>
                      <w:trHeight w:val="312" w:hRule="exact"/>
                    </w:trPr>
                    <w:tc>
                      <w:tcPr>
                        <w:tcW w:w="2671" w:type="dxa"/>
                        <w:tcBorders>
                          <w:top w:val="nil" w:sz="6" w:space="0" w:color="auto"/>
                          <w:left w:val="single" w:sz="4" w:space="0" w:color="000000"/>
                          <w:bottom w:val="nil" w:sz="6" w:space="0" w:color="auto"/>
                          <w:right w:val="single" w:sz="4" w:space="0" w:color="000000"/>
                        </w:tcBorders>
                      </w:tcPr>
                      <w:p>
                        <w:pPr/>
                      </w:p>
                    </w:tc>
                    <w:tc>
                      <w:tcPr>
                        <w:tcW w:w="1008" w:type="dxa"/>
                        <w:tcBorders>
                          <w:top w:val="nil" w:sz="6" w:space="0" w:color="auto"/>
                          <w:left w:val="single" w:sz="4" w:space="0" w:color="000000"/>
                          <w:bottom w:val="nil" w:sz="6" w:space="0" w:color="auto"/>
                          <w:right w:val="single" w:sz="4" w:space="0" w:color="000000"/>
                        </w:tcBorders>
                      </w:tcPr>
                      <w:p>
                        <w:pPr/>
                      </w:p>
                    </w:tc>
                    <w:tc>
                      <w:tcPr>
                        <w:tcW w:w="1478" w:type="dxa"/>
                        <w:tcBorders>
                          <w:top w:val="nil" w:sz="6" w:space="0" w:color="auto"/>
                          <w:left w:val="single" w:sz="4" w:space="0" w:color="000000"/>
                          <w:bottom w:val="nil" w:sz="6" w:space="0" w:color="auto"/>
                          <w:right w:val="single" w:sz="4" w:space="0" w:color="000000"/>
                        </w:tcBorders>
                      </w:tcPr>
                      <w:p>
                        <w:pPr/>
                      </w:p>
                    </w:tc>
                    <w:tc>
                      <w:tcPr>
                        <w:tcW w:w="1849" w:type="dxa"/>
                        <w:tcBorders>
                          <w:top w:val="nil" w:sz="6" w:space="0" w:color="auto"/>
                          <w:left w:val="single" w:sz="4" w:space="0" w:color="000000"/>
                          <w:bottom w:val="nil" w:sz="6" w:space="0" w:color="auto"/>
                          <w:right w:val="single" w:sz="4" w:space="0" w:color="000000"/>
                        </w:tcBorders>
                      </w:tcPr>
                      <w:p>
                        <w:pPr/>
                      </w:p>
                    </w:tc>
                    <w:tc>
                      <w:tcPr>
                        <w:tcW w:w="3884"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22" w:right="0"/>
                          <w:jc w:val="left"/>
                          <w:rPr>
                            <w:rFonts w:ascii="宋体" w:hAnsi="宋体" w:cs="宋体" w:eastAsia="宋体" w:hint="default"/>
                            <w:sz w:val="15"/>
                            <w:szCs w:val="15"/>
                          </w:rPr>
                        </w:pPr>
                        <w:r>
                          <w:rPr>
                            <w:rFonts w:ascii="宋体" w:hAnsi="宋体" w:cs="宋体" w:eastAsia="宋体" w:hint="default"/>
                            <w:sz w:val="15"/>
                            <w:szCs w:val="15"/>
                          </w:rPr>
                          <w:t>营；汽车、汽车零配件、五金交电、照像器材、建筑材料</w:t>
                        </w:r>
                      </w:p>
                    </w:tc>
                  </w:tr>
                  <w:tr>
                    <w:trPr>
                      <w:trHeight w:val="312" w:hRule="exact"/>
                    </w:trPr>
                    <w:tc>
                      <w:tcPr>
                        <w:tcW w:w="2671" w:type="dxa"/>
                        <w:tcBorders>
                          <w:top w:val="nil" w:sz="6" w:space="0" w:color="auto"/>
                          <w:left w:val="single" w:sz="4" w:space="0" w:color="000000"/>
                          <w:bottom w:val="nil" w:sz="6" w:space="0" w:color="auto"/>
                          <w:right w:val="single" w:sz="4" w:space="0" w:color="000000"/>
                        </w:tcBorders>
                      </w:tcPr>
                      <w:p>
                        <w:pPr/>
                      </w:p>
                    </w:tc>
                    <w:tc>
                      <w:tcPr>
                        <w:tcW w:w="1008" w:type="dxa"/>
                        <w:tcBorders>
                          <w:top w:val="nil" w:sz="6" w:space="0" w:color="auto"/>
                          <w:left w:val="single" w:sz="4" w:space="0" w:color="000000"/>
                          <w:bottom w:val="nil" w:sz="6" w:space="0" w:color="auto"/>
                          <w:right w:val="single" w:sz="4" w:space="0" w:color="000000"/>
                        </w:tcBorders>
                      </w:tcPr>
                      <w:p>
                        <w:pPr/>
                      </w:p>
                    </w:tc>
                    <w:tc>
                      <w:tcPr>
                        <w:tcW w:w="1478" w:type="dxa"/>
                        <w:tcBorders>
                          <w:top w:val="nil" w:sz="6" w:space="0" w:color="auto"/>
                          <w:left w:val="single" w:sz="4" w:space="0" w:color="000000"/>
                          <w:bottom w:val="nil" w:sz="6" w:space="0" w:color="auto"/>
                          <w:right w:val="single" w:sz="4" w:space="0" w:color="000000"/>
                        </w:tcBorders>
                      </w:tcPr>
                      <w:p>
                        <w:pPr/>
                      </w:p>
                    </w:tc>
                    <w:tc>
                      <w:tcPr>
                        <w:tcW w:w="1849" w:type="dxa"/>
                        <w:tcBorders>
                          <w:top w:val="nil" w:sz="6" w:space="0" w:color="auto"/>
                          <w:left w:val="single" w:sz="4" w:space="0" w:color="000000"/>
                          <w:bottom w:val="nil" w:sz="6" w:space="0" w:color="auto"/>
                          <w:right w:val="single" w:sz="4" w:space="0" w:color="000000"/>
                        </w:tcBorders>
                      </w:tcPr>
                      <w:p>
                        <w:pPr/>
                      </w:p>
                    </w:tc>
                    <w:tc>
                      <w:tcPr>
                        <w:tcW w:w="3884"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22" w:right="0"/>
                          <w:jc w:val="left"/>
                          <w:rPr>
                            <w:rFonts w:ascii="宋体" w:hAnsi="宋体" w:cs="宋体" w:eastAsia="宋体" w:hint="default"/>
                            <w:sz w:val="15"/>
                            <w:szCs w:val="15"/>
                          </w:rPr>
                        </w:pPr>
                        <w:r>
                          <w:rPr>
                            <w:rFonts w:ascii="宋体" w:hAnsi="宋体" w:cs="宋体" w:eastAsia="宋体" w:hint="default"/>
                            <w:spacing w:val="-3"/>
                            <w:sz w:val="15"/>
                            <w:szCs w:val="15"/>
                          </w:rPr>
                          <w:t>装饰材料、服装的销售；承办展览；房屋修缮业务；咨询服</w:t>
                        </w:r>
                      </w:p>
                    </w:tc>
                  </w:tr>
                  <w:tr>
                    <w:trPr>
                      <w:trHeight w:val="318" w:hRule="exact"/>
                    </w:trPr>
                    <w:tc>
                      <w:tcPr>
                        <w:tcW w:w="2671" w:type="dxa"/>
                        <w:tcBorders>
                          <w:top w:val="nil" w:sz="6" w:space="0" w:color="auto"/>
                          <w:left w:val="single" w:sz="4" w:space="0" w:color="000000"/>
                          <w:bottom w:val="single" w:sz="4" w:space="0" w:color="000000"/>
                          <w:right w:val="single" w:sz="4" w:space="0" w:color="000000"/>
                        </w:tcBorders>
                      </w:tcPr>
                      <w:p>
                        <w:pPr/>
                      </w:p>
                    </w:tc>
                    <w:tc>
                      <w:tcPr>
                        <w:tcW w:w="1008" w:type="dxa"/>
                        <w:tcBorders>
                          <w:top w:val="nil" w:sz="6" w:space="0" w:color="auto"/>
                          <w:left w:val="single" w:sz="4" w:space="0" w:color="000000"/>
                          <w:bottom w:val="single" w:sz="4" w:space="0" w:color="000000"/>
                          <w:right w:val="single" w:sz="4" w:space="0" w:color="000000"/>
                        </w:tcBorders>
                      </w:tcPr>
                      <w:p>
                        <w:pPr/>
                      </w:p>
                    </w:tc>
                    <w:tc>
                      <w:tcPr>
                        <w:tcW w:w="1478" w:type="dxa"/>
                        <w:tcBorders>
                          <w:top w:val="nil" w:sz="6" w:space="0" w:color="auto"/>
                          <w:left w:val="single" w:sz="4" w:space="0" w:color="000000"/>
                          <w:bottom w:val="single" w:sz="4" w:space="0" w:color="000000"/>
                          <w:right w:val="single" w:sz="4" w:space="0" w:color="000000"/>
                        </w:tcBorders>
                      </w:tcPr>
                      <w:p>
                        <w:pPr/>
                      </w:p>
                    </w:tc>
                    <w:tc>
                      <w:tcPr>
                        <w:tcW w:w="1849" w:type="dxa"/>
                        <w:tcBorders>
                          <w:top w:val="nil" w:sz="6" w:space="0" w:color="auto"/>
                          <w:left w:val="single" w:sz="4" w:space="0" w:color="000000"/>
                          <w:bottom w:val="single" w:sz="4" w:space="0" w:color="000000"/>
                          <w:right w:val="single" w:sz="4" w:space="0" w:color="000000"/>
                        </w:tcBorders>
                      </w:tcPr>
                      <w:p>
                        <w:pPr/>
                      </w:p>
                    </w:tc>
                    <w:tc>
                      <w:tcPr>
                        <w:tcW w:w="388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4"/>
                          <w:ind w:left="22" w:right="0"/>
                          <w:jc w:val="left"/>
                          <w:rPr>
                            <w:rFonts w:ascii="宋体" w:hAnsi="宋体" w:cs="宋体" w:eastAsia="宋体" w:hint="default"/>
                            <w:sz w:val="15"/>
                            <w:szCs w:val="15"/>
                          </w:rPr>
                        </w:pPr>
                        <w:r>
                          <w:rPr>
                            <w:rFonts w:ascii="宋体" w:hAnsi="宋体" w:cs="宋体" w:eastAsia="宋体" w:hint="default"/>
                            <w:sz w:val="15"/>
                            <w:szCs w:val="15"/>
                          </w:rPr>
                          <w:t>务、技术服务及转让；家用电器的维修和销售。</w:t>
                        </w:r>
                      </w:p>
                    </w:tc>
                  </w:tr>
                </w:tbl>
                <w:p>
                  <w:pPr/>
                </w:p>
              </w:txbxContent>
            </v:textbox>
            <w10:wrap type="none"/>
          </v:shape>
        </w:pict>
      </w:r>
      <w:r>
        <w:rPr>
          <w:rFonts w:ascii="宋体" w:hAnsi="宋体" w:cs="宋体" w:eastAsia="宋体" w:hint="default"/>
          <w:sz w:val="15"/>
          <w:szCs w:val="15"/>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spacing w:before="53"/>
        <w:ind w:left="0" w:right="461" w:firstLine="0"/>
        <w:jc w:val="right"/>
        <w:rPr>
          <w:rFonts w:ascii="宋体" w:hAnsi="宋体" w:cs="宋体" w:eastAsia="宋体" w:hint="default"/>
          <w:sz w:val="15"/>
          <w:szCs w:val="15"/>
        </w:rPr>
      </w:pPr>
      <w:r>
        <w:rPr>
          <w:rFonts w:ascii="宋体" w:hAnsi="宋体" w:cs="宋体" w:eastAsia="宋体" w:hint="default"/>
          <w:sz w:val="15"/>
          <w:szCs w:val="15"/>
        </w:rPr>
        <w:t>、</w:t>
      </w:r>
    </w:p>
    <w:p>
      <w:pPr>
        <w:spacing w:after="0"/>
        <w:jc w:val="right"/>
        <w:rPr>
          <w:rFonts w:ascii="宋体" w:hAnsi="宋体" w:cs="宋体" w:eastAsia="宋体" w:hint="default"/>
          <w:sz w:val="15"/>
          <w:szCs w:val="15"/>
        </w:rPr>
        <w:sectPr>
          <w:pgSz w:w="11910" w:h="16840"/>
          <w:pgMar w:header="787" w:footer="982" w:top="1100" w:bottom="1180" w:left="400" w:right="0"/>
        </w:sectPr>
      </w:pPr>
    </w:p>
    <w:p>
      <w:pPr>
        <w:spacing w:line="240" w:lineRule="auto" w:before="5"/>
        <w:rPr>
          <w:rFonts w:ascii="宋体" w:hAnsi="宋体" w:cs="宋体" w:eastAsia="宋体" w:hint="default"/>
          <w:sz w:val="25"/>
          <w:szCs w:val="25"/>
        </w:rPr>
      </w:pPr>
    </w:p>
    <w:tbl>
      <w:tblPr>
        <w:tblW w:w="0" w:type="auto"/>
        <w:jc w:val="left"/>
        <w:tblInd w:w="102" w:type="dxa"/>
        <w:tblLayout w:type="fixed"/>
        <w:tblCellMar>
          <w:top w:w="0" w:type="dxa"/>
          <w:left w:w="0" w:type="dxa"/>
          <w:bottom w:w="0" w:type="dxa"/>
          <w:right w:w="0" w:type="dxa"/>
        </w:tblCellMar>
        <w:tblLook w:val="01E0"/>
      </w:tblPr>
      <w:tblGrid>
        <w:gridCol w:w="2670"/>
        <w:gridCol w:w="8221"/>
      </w:tblGrid>
      <w:tr>
        <w:trPr>
          <w:trHeight w:val="322" w:hRule="exact"/>
        </w:trPr>
        <w:tc>
          <w:tcPr>
            <w:tcW w:w="2670" w:type="dxa"/>
            <w:tcBorders>
              <w:top w:val="single" w:sz="4" w:space="0" w:color="000000"/>
              <w:left w:val="single" w:sz="4" w:space="0" w:color="000000"/>
              <w:bottom w:val="nil" w:sz="6" w:space="0" w:color="auto"/>
              <w:right w:val="single" w:sz="4" w:space="0" w:color="000000"/>
            </w:tcBorders>
            <w:shd w:val="clear" w:color="auto" w:fill="D3D3D3"/>
          </w:tcPr>
          <w:p>
            <w:pPr/>
          </w:p>
        </w:tc>
        <w:tc>
          <w:tcPr>
            <w:tcW w:w="822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383" w:right="0"/>
              <w:jc w:val="left"/>
              <w:rPr>
                <w:rFonts w:ascii="宋体" w:hAnsi="宋体" w:cs="宋体" w:eastAsia="宋体" w:hint="default"/>
                <w:sz w:val="18"/>
                <w:szCs w:val="18"/>
              </w:rPr>
            </w:pPr>
            <w:r>
              <w:rPr>
                <w:rFonts w:ascii="宋体" w:hAnsi="宋体" w:cs="宋体" w:eastAsia="宋体" w:hint="default"/>
                <w:sz w:val="18"/>
                <w:szCs w:val="18"/>
              </w:rPr>
              <w:t>截止</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312" w:hRule="exact"/>
        </w:trPr>
        <w:tc>
          <w:tcPr>
            <w:tcW w:w="2670" w:type="dxa"/>
            <w:tcBorders>
              <w:top w:val="nil" w:sz="6" w:space="0" w:color="auto"/>
              <w:left w:val="single" w:sz="4" w:space="0" w:color="000000"/>
              <w:bottom w:val="nil" w:sz="6" w:space="0" w:color="auto"/>
              <w:right w:val="single" w:sz="4" w:space="0" w:color="000000"/>
            </w:tcBorders>
            <w:shd w:val="clear" w:color="auto" w:fill="D3D3D3"/>
          </w:tcPr>
          <w:p>
            <w:pPr/>
          </w:p>
        </w:tc>
        <w:tc>
          <w:tcPr>
            <w:tcW w:w="822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383" w:right="0"/>
              <w:jc w:val="left"/>
              <w:rPr>
                <w:rFonts w:ascii="宋体" w:hAnsi="宋体" w:cs="宋体" w:eastAsia="宋体" w:hint="default"/>
                <w:sz w:val="18"/>
                <w:szCs w:val="18"/>
              </w:rPr>
            </w:pPr>
            <w:r>
              <w:rPr>
                <w:rFonts w:ascii="宋体" w:hAnsi="宋体" w:cs="宋体" w:eastAsia="宋体" w:hint="default"/>
                <w:sz w:val="18"/>
                <w:szCs w:val="18"/>
              </w:rPr>
              <w:t>持有深科技</w:t>
            </w:r>
            <w:r>
              <w:rPr>
                <w:rFonts w:ascii="Times New Roman" w:hAnsi="Times New Roman" w:cs="Times New Roman" w:eastAsia="Times New Roman" w:hint="default"/>
                <w:sz w:val="18"/>
                <w:szCs w:val="18"/>
              </w:rPr>
              <w:t>(000021)44.51%</w:t>
            </w:r>
            <w:r>
              <w:rPr>
                <w:rFonts w:ascii="宋体" w:hAnsi="宋体" w:cs="宋体" w:eastAsia="宋体" w:hint="default"/>
                <w:sz w:val="18"/>
                <w:szCs w:val="18"/>
              </w:rPr>
              <w:t>股权</w:t>
            </w:r>
          </w:p>
        </w:tc>
      </w:tr>
      <w:tr>
        <w:trPr>
          <w:trHeight w:val="312" w:hRule="exact"/>
        </w:trPr>
        <w:tc>
          <w:tcPr>
            <w:tcW w:w="2670" w:type="dxa"/>
            <w:tcBorders>
              <w:top w:val="nil" w:sz="6" w:space="0" w:color="auto"/>
              <w:left w:val="single" w:sz="4" w:space="0" w:color="000000"/>
              <w:bottom w:val="nil" w:sz="6" w:space="0" w:color="auto"/>
              <w:right w:val="single" w:sz="4" w:space="0" w:color="000000"/>
            </w:tcBorders>
            <w:shd w:val="clear" w:color="auto" w:fill="D3D3D3"/>
          </w:tcPr>
          <w:p>
            <w:pPr/>
          </w:p>
        </w:tc>
        <w:tc>
          <w:tcPr>
            <w:tcW w:w="822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383" w:right="0"/>
              <w:jc w:val="left"/>
              <w:rPr>
                <w:rFonts w:ascii="宋体" w:hAnsi="宋体" w:cs="宋体" w:eastAsia="宋体" w:hint="default"/>
                <w:sz w:val="18"/>
                <w:szCs w:val="18"/>
              </w:rPr>
            </w:pPr>
            <w:r>
              <w:rPr>
                <w:rFonts w:ascii="宋体" w:hAnsi="宋体" w:cs="宋体" w:eastAsia="宋体" w:hint="default"/>
                <w:sz w:val="18"/>
                <w:szCs w:val="18"/>
              </w:rPr>
              <w:t>持有深桑达</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A(000032)58.33%</w:t>
            </w:r>
            <w:r>
              <w:rPr>
                <w:rFonts w:ascii="宋体" w:hAnsi="宋体" w:cs="宋体" w:eastAsia="宋体" w:hint="default"/>
                <w:sz w:val="18"/>
                <w:szCs w:val="18"/>
              </w:rPr>
              <w:t>股权</w:t>
            </w:r>
          </w:p>
        </w:tc>
      </w:tr>
      <w:tr>
        <w:trPr>
          <w:trHeight w:val="312" w:hRule="exact"/>
        </w:trPr>
        <w:tc>
          <w:tcPr>
            <w:tcW w:w="2670" w:type="dxa"/>
            <w:tcBorders>
              <w:top w:val="nil" w:sz="6" w:space="0" w:color="auto"/>
              <w:left w:val="single" w:sz="4" w:space="0" w:color="000000"/>
              <w:bottom w:val="nil" w:sz="6" w:space="0" w:color="auto"/>
              <w:right w:val="single" w:sz="4" w:space="0" w:color="000000"/>
            </w:tcBorders>
            <w:shd w:val="clear" w:color="auto" w:fill="D3D3D3"/>
          </w:tcPr>
          <w:p>
            <w:pPr/>
          </w:p>
        </w:tc>
        <w:tc>
          <w:tcPr>
            <w:tcW w:w="822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383" w:right="0"/>
              <w:jc w:val="left"/>
              <w:rPr>
                <w:rFonts w:ascii="宋体" w:hAnsi="宋体" w:cs="宋体" w:eastAsia="宋体" w:hint="default"/>
                <w:sz w:val="18"/>
                <w:szCs w:val="18"/>
              </w:rPr>
            </w:pPr>
            <w:r>
              <w:rPr>
                <w:rFonts w:ascii="宋体" w:hAnsi="宋体" w:cs="宋体" w:eastAsia="宋体" w:hint="default"/>
                <w:sz w:val="18"/>
                <w:szCs w:val="18"/>
              </w:rPr>
              <w:t>持有振华科技</w:t>
            </w:r>
            <w:r>
              <w:rPr>
                <w:rFonts w:ascii="Times New Roman" w:hAnsi="Times New Roman" w:cs="Times New Roman" w:eastAsia="Times New Roman" w:hint="default"/>
                <w:sz w:val="18"/>
                <w:szCs w:val="18"/>
              </w:rPr>
              <w:t>(000733)32.94%</w:t>
            </w:r>
            <w:r>
              <w:rPr>
                <w:rFonts w:ascii="宋体" w:hAnsi="宋体" w:cs="宋体" w:eastAsia="宋体" w:hint="default"/>
                <w:sz w:val="18"/>
                <w:szCs w:val="18"/>
              </w:rPr>
              <w:t>股权</w:t>
            </w:r>
          </w:p>
        </w:tc>
      </w:tr>
      <w:tr>
        <w:trPr>
          <w:trHeight w:val="312" w:hRule="exact"/>
        </w:trPr>
        <w:tc>
          <w:tcPr>
            <w:tcW w:w="2670" w:type="dxa"/>
            <w:tcBorders>
              <w:top w:val="nil" w:sz="6" w:space="0" w:color="auto"/>
              <w:left w:val="single" w:sz="4" w:space="0" w:color="000000"/>
              <w:bottom w:val="nil" w:sz="6" w:space="0" w:color="auto"/>
              <w:right w:val="single" w:sz="4" w:space="0" w:color="000000"/>
            </w:tcBorders>
            <w:shd w:val="clear" w:color="auto" w:fill="D3D3D3"/>
          </w:tcPr>
          <w:p>
            <w:pPr/>
          </w:p>
        </w:tc>
        <w:tc>
          <w:tcPr>
            <w:tcW w:w="822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383" w:right="0"/>
              <w:jc w:val="left"/>
              <w:rPr>
                <w:rFonts w:ascii="宋体" w:hAnsi="宋体" w:cs="宋体" w:eastAsia="宋体" w:hint="default"/>
                <w:sz w:val="18"/>
                <w:szCs w:val="18"/>
              </w:rPr>
            </w:pPr>
            <w:r>
              <w:rPr>
                <w:rFonts w:ascii="宋体" w:hAnsi="宋体" w:cs="宋体" w:eastAsia="宋体" w:hint="default"/>
                <w:sz w:val="18"/>
                <w:szCs w:val="18"/>
              </w:rPr>
              <w:t>持有上海贝岭</w:t>
            </w:r>
            <w:r>
              <w:rPr>
                <w:rFonts w:ascii="Times New Roman" w:hAnsi="Times New Roman" w:cs="Times New Roman" w:eastAsia="Times New Roman" w:hint="default"/>
                <w:sz w:val="18"/>
                <w:szCs w:val="18"/>
              </w:rPr>
              <w:t>(600171)25.47%</w:t>
            </w:r>
            <w:r>
              <w:rPr>
                <w:rFonts w:ascii="宋体" w:hAnsi="宋体" w:cs="宋体" w:eastAsia="宋体" w:hint="default"/>
                <w:sz w:val="18"/>
                <w:szCs w:val="18"/>
              </w:rPr>
              <w:t>股权</w:t>
            </w:r>
          </w:p>
        </w:tc>
      </w:tr>
      <w:tr>
        <w:trPr>
          <w:trHeight w:val="312" w:hRule="exact"/>
        </w:trPr>
        <w:tc>
          <w:tcPr>
            <w:tcW w:w="2670" w:type="dxa"/>
            <w:tcBorders>
              <w:top w:val="nil" w:sz="6" w:space="0" w:color="auto"/>
              <w:left w:val="single" w:sz="4" w:space="0" w:color="000000"/>
              <w:bottom w:val="nil" w:sz="6" w:space="0" w:color="auto"/>
              <w:right w:val="single" w:sz="4" w:space="0" w:color="000000"/>
            </w:tcBorders>
            <w:shd w:val="clear" w:color="auto" w:fill="D3D3D3"/>
          </w:tcPr>
          <w:p>
            <w:pPr/>
          </w:p>
        </w:tc>
        <w:tc>
          <w:tcPr>
            <w:tcW w:w="822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383" w:right="0"/>
              <w:jc w:val="left"/>
              <w:rPr>
                <w:rFonts w:ascii="宋体" w:hAnsi="宋体" w:cs="宋体" w:eastAsia="宋体" w:hint="default"/>
                <w:sz w:val="18"/>
                <w:szCs w:val="18"/>
              </w:rPr>
            </w:pPr>
            <w:r>
              <w:rPr>
                <w:rFonts w:ascii="宋体" w:hAnsi="宋体" w:cs="宋体" w:eastAsia="宋体" w:hint="default"/>
                <w:sz w:val="18"/>
                <w:szCs w:val="18"/>
              </w:rPr>
              <w:t>持有中国软件</w:t>
            </w:r>
            <w:r>
              <w:rPr>
                <w:rFonts w:ascii="Times New Roman" w:hAnsi="Times New Roman" w:cs="Times New Roman" w:eastAsia="Times New Roman" w:hint="default"/>
                <w:sz w:val="18"/>
                <w:szCs w:val="18"/>
              </w:rPr>
              <w:t>(600536)45.38%</w:t>
            </w:r>
            <w:r>
              <w:rPr>
                <w:rFonts w:ascii="宋体" w:hAnsi="宋体" w:cs="宋体" w:eastAsia="宋体" w:hint="default"/>
                <w:sz w:val="18"/>
                <w:szCs w:val="18"/>
              </w:rPr>
              <w:t>股权</w:t>
            </w:r>
          </w:p>
        </w:tc>
      </w:tr>
      <w:tr>
        <w:trPr>
          <w:trHeight w:val="312" w:hRule="exact"/>
        </w:trPr>
        <w:tc>
          <w:tcPr>
            <w:tcW w:w="2670" w:type="dxa"/>
            <w:tcBorders>
              <w:top w:val="nil" w:sz="6" w:space="0" w:color="auto"/>
              <w:left w:val="single" w:sz="4" w:space="0" w:color="000000"/>
              <w:bottom w:val="nil" w:sz="6" w:space="0" w:color="auto"/>
              <w:right w:val="single" w:sz="4" w:space="0" w:color="000000"/>
            </w:tcBorders>
            <w:shd w:val="clear" w:color="auto" w:fill="D3D3D3"/>
          </w:tcPr>
          <w:p>
            <w:pPr/>
          </w:p>
        </w:tc>
        <w:tc>
          <w:tcPr>
            <w:tcW w:w="822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383" w:right="0"/>
              <w:jc w:val="left"/>
              <w:rPr>
                <w:rFonts w:ascii="宋体" w:hAnsi="宋体" w:cs="宋体" w:eastAsia="宋体" w:hint="default"/>
                <w:sz w:val="18"/>
                <w:szCs w:val="18"/>
              </w:rPr>
            </w:pPr>
            <w:r>
              <w:rPr>
                <w:rFonts w:ascii="宋体" w:hAnsi="宋体" w:cs="宋体" w:eastAsia="宋体" w:hint="default"/>
                <w:sz w:val="18"/>
                <w:szCs w:val="18"/>
              </w:rPr>
              <w:t>持有彩虹股份</w:t>
            </w:r>
            <w:r>
              <w:rPr>
                <w:rFonts w:ascii="Times New Roman" w:hAnsi="Times New Roman" w:cs="Times New Roman" w:eastAsia="Times New Roman" w:hint="default"/>
                <w:sz w:val="18"/>
                <w:szCs w:val="18"/>
              </w:rPr>
              <w:t>(600707)24.64%</w:t>
            </w:r>
            <w:r>
              <w:rPr>
                <w:rFonts w:ascii="宋体" w:hAnsi="宋体" w:cs="宋体" w:eastAsia="宋体" w:hint="default"/>
                <w:sz w:val="18"/>
                <w:szCs w:val="18"/>
              </w:rPr>
              <w:t>股权</w:t>
            </w:r>
          </w:p>
        </w:tc>
      </w:tr>
      <w:tr>
        <w:trPr>
          <w:trHeight w:val="312" w:hRule="exact"/>
        </w:trPr>
        <w:tc>
          <w:tcPr>
            <w:tcW w:w="2670"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控股股东报告期内控股和参股的</w:t>
            </w:r>
          </w:p>
        </w:tc>
        <w:tc>
          <w:tcPr>
            <w:tcW w:w="822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383" w:right="0"/>
              <w:jc w:val="left"/>
              <w:rPr>
                <w:rFonts w:ascii="宋体" w:hAnsi="宋体" w:cs="宋体" w:eastAsia="宋体" w:hint="default"/>
                <w:sz w:val="18"/>
                <w:szCs w:val="18"/>
              </w:rPr>
            </w:pPr>
            <w:r>
              <w:rPr>
                <w:rFonts w:ascii="宋体" w:hAnsi="宋体" w:cs="宋体" w:eastAsia="宋体" w:hint="default"/>
                <w:sz w:val="18"/>
                <w:szCs w:val="18"/>
              </w:rPr>
              <w:t>持有华东科技</w:t>
            </w:r>
            <w:r>
              <w:rPr>
                <w:rFonts w:ascii="Times New Roman" w:hAnsi="Times New Roman" w:cs="Times New Roman" w:eastAsia="Times New Roman" w:hint="default"/>
                <w:sz w:val="18"/>
                <w:szCs w:val="18"/>
              </w:rPr>
              <w:t>(000727)28.13%</w:t>
            </w:r>
            <w:r>
              <w:rPr>
                <w:rFonts w:ascii="宋体" w:hAnsi="宋体" w:cs="宋体" w:eastAsia="宋体" w:hint="default"/>
                <w:sz w:val="18"/>
                <w:szCs w:val="18"/>
              </w:rPr>
              <w:t>股权</w:t>
            </w:r>
          </w:p>
        </w:tc>
      </w:tr>
      <w:tr>
        <w:trPr>
          <w:trHeight w:val="312" w:hRule="exact"/>
        </w:trPr>
        <w:tc>
          <w:tcPr>
            <w:tcW w:w="2670"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其他境内外上市公司的股权情况</w:t>
            </w:r>
          </w:p>
        </w:tc>
        <w:tc>
          <w:tcPr>
            <w:tcW w:w="822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383" w:right="0"/>
              <w:jc w:val="left"/>
              <w:rPr>
                <w:rFonts w:ascii="宋体" w:hAnsi="宋体" w:cs="宋体" w:eastAsia="宋体" w:hint="default"/>
                <w:sz w:val="18"/>
                <w:szCs w:val="18"/>
              </w:rPr>
            </w:pPr>
            <w:r>
              <w:rPr>
                <w:rFonts w:ascii="宋体" w:hAnsi="宋体" w:cs="宋体" w:eastAsia="宋体" w:hint="default"/>
                <w:sz w:val="18"/>
                <w:szCs w:val="18"/>
              </w:rPr>
              <w:t>持有南京熊猫</w:t>
            </w:r>
            <w:r>
              <w:rPr>
                <w:rFonts w:ascii="Times New Roman" w:hAnsi="Times New Roman" w:cs="Times New Roman" w:eastAsia="Times New Roman" w:hint="default"/>
                <w:sz w:val="18"/>
                <w:szCs w:val="18"/>
              </w:rPr>
              <w:t>(600775/00553HK)29.98%</w:t>
            </w:r>
            <w:r>
              <w:rPr>
                <w:rFonts w:ascii="宋体" w:hAnsi="宋体" w:cs="宋体" w:eastAsia="宋体" w:hint="default"/>
                <w:sz w:val="18"/>
                <w:szCs w:val="18"/>
              </w:rPr>
              <w:t>股权</w:t>
            </w:r>
          </w:p>
        </w:tc>
      </w:tr>
      <w:tr>
        <w:trPr>
          <w:trHeight w:val="312" w:hRule="exact"/>
        </w:trPr>
        <w:tc>
          <w:tcPr>
            <w:tcW w:w="2670" w:type="dxa"/>
            <w:tcBorders>
              <w:top w:val="nil" w:sz="6" w:space="0" w:color="auto"/>
              <w:left w:val="single" w:sz="4" w:space="0" w:color="000000"/>
              <w:bottom w:val="nil" w:sz="6" w:space="0" w:color="auto"/>
              <w:right w:val="single" w:sz="4" w:space="0" w:color="000000"/>
            </w:tcBorders>
            <w:shd w:val="clear" w:color="auto" w:fill="D3D3D3"/>
          </w:tcPr>
          <w:p>
            <w:pPr/>
          </w:p>
        </w:tc>
        <w:tc>
          <w:tcPr>
            <w:tcW w:w="822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383" w:right="0"/>
              <w:jc w:val="left"/>
              <w:rPr>
                <w:rFonts w:ascii="宋体" w:hAnsi="宋体" w:cs="宋体" w:eastAsia="宋体" w:hint="default"/>
                <w:sz w:val="18"/>
                <w:szCs w:val="18"/>
              </w:rPr>
            </w:pPr>
            <w:r>
              <w:rPr>
                <w:rFonts w:ascii="宋体" w:hAnsi="宋体" w:cs="宋体" w:eastAsia="宋体" w:hint="default"/>
                <w:sz w:val="18"/>
                <w:szCs w:val="18"/>
              </w:rPr>
              <w:t>持有中电华大科技</w:t>
            </w:r>
            <w:r>
              <w:rPr>
                <w:rFonts w:ascii="Times New Roman" w:hAnsi="Times New Roman" w:cs="Times New Roman" w:eastAsia="Times New Roman" w:hint="default"/>
                <w:sz w:val="18"/>
                <w:szCs w:val="18"/>
              </w:rPr>
              <w:t>(00085HK)59.42%</w:t>
            </w:r>
            <w:r>
              <w:rPr>
                <w:rFonts w:ascii="宋体" w:hAnsi="宋体" w:cs="宋体" w:eastAsia="宋体" w:hint="default"/>
                <w:sz w:val="18"/>
                <w:szCs w:val="18"/>
              </w:rPr>
              <w:t>股权</w:t>
            </w:r>
          </w:p>
        </w:tc>
      </w:tr>
      <w:tr>
        <w:trPr>
          <w:trHeight w:val="312" w:hRule="exact"/>
        </w:trPr>
        <w:tc>
          <w:tcPr>
            <w:tcW w:w="2670" w:type="dxa"/>
            <w:tcBorders>
              <w:top w:val="nil" w:sz="6" w:space="0" w:color="auto"/>
              <w:left w:val="single" w:sz="4" w:space="0" w:color="000000"/>
              <w:bottom w:val="nil" w:sz="6" w:space="0" w:color="auto"/>
              <w:right w:val="single" w:sz="4" w:space="0" w:color="000000"/>
            </w:tcBorders>
            <w:shd w:val="clear" w:color="auto" w:fill="D3D3D3"/>
          </w:tcPr>
          <w:p>
            <w:pPr/>
          </w:p>
        </w:tc>
        <w:tc>
          <w:tcPr>
            <w:tcW w:w="822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383" w:right="0"/>
              <w:jc w:val="left"/>
              <w:rPr>
                <w:rFonts w:ascii="宋体" w:hAnsi="宋体" w:cs="宋体" w:eastAsia="宋体" w:hint="default"/>
                <w:sz w:val="18"/>
                <w:szCs w:val="18"/>
              </w:rPr>
            </w:pPr>
            <w:r>
              <w:rPr>
                <w:rFonts w:ascii="宋体" w:hAnsi="宋体" w:cs="宋体" w:eastAsia="宋体" w:hint="default"/>
                <w:sz w:val="18"/>
                <w:szCs w:val="18"/>
              </w:rPr>
              <w:t>持有彩虹新能源</w:t>
            </w:r>
            <w:r>
              <w:rPr>
                <w:rFonts w:ascii="Times New Roman" w:hAnsi="Times New Roman" w:cs="Times New Roman" w:eastAsia="Times New Roman" w:hint="default"/>
                <w:sz w:val="18"/>
                <w:szCs w:val="18"/>
              </w:rPr>
              <w:t>(00438HK)73.15%</w:t>
            </w:r>
            <w:r>
              <w:rPr>
                <w:rFonts w:ascii="宋体" w:hAnsi="宋体" w:cs="宋体" w:eastAsia="宋体" w:hint="default"/>
                <w:sz w:val="18"/>
                <w:szCs w:val="18"/>
              </w:rPr>
              <w:t>股权</w:t>
            </w:r>
          </w:p>
        </w:tc>
      </w:tr>
      <w:tr>
        <w:trPr>
          <w:trHeight w:val="312" w:hRule="exact"/>
        </w:trPr>
        <w:tc>
          <w:tcPr>
            <w:tcW w:w="2670" w:type="dxa"/>
            <w:tcBorders>
              <w:top w:val="nil" w:sz="6" w:space="0" w:color="auto"/>
              <w:left w:val="single" w:sz="4" w:space="0" w:color="000000"/>
              <w:bottom w:val="nil" w:sz="6" w:space="0" w:color="auto"/>
              <w:right w:val="single" w:sz="4" w:space="0" w:color="000000"/>
            </w:tcBorders>
            <w:shd w:val="clear" w:color="auto" w:fill="D3D3D3"/>
          </w:tcPr>
          <w:p>
            <w:pPr/>
          </w:p>
        </w:tc>
        <w:tc>
          <w:tcPr>
            <w:tcW w:w="822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383" w:right="0"/>
              <w:jc w:val="left"/>
              <w:rPr>
                <w:rFonts w:ascii="宋体" w:hAnsi="宋体" w:cs="宋体" w:eastAsia="宋体" w:hint="default"/>
                <w:sz w:val="18"/>
                <w:szCs w:val="18"/>
              </w:rPr>
            </w:pPr>
            <w:r>
              <w:rPr>
                <w:rFonts w:ascii="宋体" w:hAnsi="宋体" w:cs="宋体" w:eastAsia="宋体" w:hint="default"/>
                <w:sz w:val="18"/>
                <w:szCs w:val="18"/>
              </w:rPr>
              <w:t>持有中电光谷</w:t>
            </w:r>
            <w:r>
              <w:rPr>
                <w:rFonts w:ascii="Times New Roman" w:hAnsi="Times New Roman" w:cs="Times New Roman" w:eastAsia="Times New Roman" w:hint="default"/>
                <w:sz w:val="18"/>
                <w:szCs w:val="18"/>
              </w:rPr>
              <w:t>(00798HK)33.47%</w:t>
            </w:r>
            <w:r>
              <w:rPr>
                <w:rFonts w:ascii="宋体" w:hAnsi="宋体" w:cs="宋体" w:eastAsia="宋体" w:hint="default"/>
                <w:sz w:val="18"/>
                <w:szCs w:val="18"/>
              </w:rPr>
              <w:t>股权</w:t>
            </w:r>
          </w:p>
        </w:tc>
      </w:tr>
      <w:tr>
        <w:trPr>
          <w:trHeight w:val="312" w:hRule="exact"/>
        </w:trPr>
        <w:tc>
          <w:tcPr>
            <w:tcW w:w="2670" w:type="dxa"/>
            <w:tcBorders>
              <w:top w:val="nil" w:sz="6" w:space="0" w:color="auto"/>
              <w:left w:val="single" w:sz="4" w:space="0" w:color="000000"/>
              <w:bottom w:val="nil" w:sz="6" w:space="0" w:color="auto"/>
              <w:right w:val="single" w:sz="4" w:space="0" w:color="000000"/>
            </w:tcBorders>
            <w:shd w:val="clear" w:color="auto" w:fill="D3D3D3"/>
          </w:tcPr>
          <w:p>
            <w:pPr/>
          </w:p>
        </w:tc>
        <w:tc>
          <w:tcPr>
            <w:tcW w:w="822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383" w:right="0"/>
              <w:jc w:val="left"/>
              <w:rPr>
                <w:rFonts w:ascii="宋体" w:hAnsi="宋体" w:cs="宋体" w:eastAsia="宋体" w:hint="default"/>
                <w:sz w:val="18"/>
                <w:szCs w:val="18"/>
              </w:rPr>
            </w:pPr>
            <w:r>
              <w:rPr>
                <w:rFonts w:ascii="宋体" w:hAnsi="宋体" w:cs="宋体" w:eastAsia="宋体" w:hint="default"/>
                <w:sz w:val="18"/>
                <w:szCs w:val="18"/>
              </w:rPr>
              <w:t>持有冠捷科技</w:t>
            </w:r>
            <w:r>
              <w:rPr>
                <w:rFonts w:ascii="Times New Roman" w:hAnsi="Times New Roman" w:cs="Times New Roman" w:eastAsia="Times New Roman" w:hint="default"/>
                <w:sz w:val="18"/>
                <w:szCs w:val="18"/>
              </w:rPr>
              <w:t>(00903HK)37.05%</w:t>
            </w:r>
            <w:r>
              <w:rPr>
                <w:rFonts w:ascii="宋体" w:hAnsi="宋体" w:cs="宋体" w:eastAsia="宋体" w:hint="default"/>
                <w:sz w:val="18"/>
                <w:szCs w:val="18"/>
              </w:rPr>
              <w:t>股权</w:t>
            </w:r>
          </w:p>
        </w:tc>
      </w:tr>
      <w:tr>
        <w:trPr>
          <w:trHeight w:val="312" w:hRule="exact"/>
        </w:trPr>
        <w:tc>
          <w:tcPr>
            <w:tcW w:w="2670" w:type="dxa"/>
            <w:tcBorders>
              <w:top w:val="nil" w:sz="6" w:space="0" w:color="auto"/>
              <w:left w:val="single" w:sz="4" w:space="0" w:color="000000"/>
              <w:bottom w:val="nil" w:sz="6" w:space="0" w:color="auto"/>
              <w:right w:val="single" w:sz="4" w:space="0" w:color="000000"/>
            </w:tcBorders>
            <w:shd w:val="clear" w:color="auto" w:fill="D3D3D3"/>
          </w:tcPr>
          <w:p>
            <w:pPr/>
          </w:p>
        </w:tc>
        <w:tc>
          <w:tcPr>
            <w:tcW w:w="822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383" w:right="0"/>
              <w:jc w:val="left"/>
              <w:rPr>
                <w:rFonts w:ascii="宋体" w:hAnsi="宋体" w:cs="宋体" w:eastAsia="宋体" w:hint="default"/>
                <w:sz w:val="18"/>
                <w:szCs w:val="18"/>
              </w:rPr>
            </w:pPr>
            <w:r>
              <w:rPr>
                <w:rFonts w:ascii="宋体" w:hAnsi="宋体" w:cs="宋体" w:eastAsia="宋体" w:hint="default"/>
                <w:sz w:val="18"/>
                <w:szCs w:val="18"/>
              </w:rPr>
              <w:t>持有晶门科技</w:t>
            </w:r>
            <w:r>
              <w:rPr>
                <w:rFonts w:ascii="Times New Roman" w:hAnsi="Times New Roman" w:cs="Times New Roman" w:eastAsia="Times New Roman" w:hint="default"/>
                <w:sz w:val="18"/>
                <w:szCs w:val="18"/>
              </w:rPr>
              <w:t>(02878HK)28.50%</w:t>
            </w:r>
            <w:r>
              <w:rPr>
                <w:rFonts w:ascii="宋体" w:hAnsi="宋体" w:cs="宋体" w:eastAsia="宋体" w:hint="default"/>
                <w:sz w:val="18"/>
                <w:szCs w:val="18"/>
              </w:rPr>
              <w:t>股权</w:t>
            </w:r>
          </w:p>
        </w:tc>
      </w:tr>
      <w:tr>
        <w:trPr>
          <w:trHeight w:val="307" w:hRule="exact"/>
        </w:trPr>
        <w:tc>
          <w:tcPr>
            <w:tcW w:w="2670" w:type="dxa"/>
            <w:tcBorders>
              <w:top w:val="nil" w:sz="6" w:space="0" w:color="auto"/>
              <w:left w:val="single" w:sz="4" w:space="0" w:color="000000"/>
              <w:bottom w:val="nil" w:sz="6" w:space="0" w:color="auto"/>
              <w:right w:val="single" w:sz="4" w:space="0" w:color="000000"/>
            </w:tcBorders>
            <w:shd w:val="clear" w:color="auto" w:fill="D3D3D3"/>
          </w:tcPr>
          <w:p>
            <w:pPr/>
          </w:p>
        </w:tc>
        <w:tc>
          <w:tcPr>
            <w:tcW w:w="822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383" w:right="0"/>
              <w:jc w:val="left"/>
              <w:rPr>
                <w:rFonts w:ascii="宋体" w:hAnsi="宋体" w:cs="宋体" w:eastAsia="宋体" w:hint="default"/>
                <w:sz w:val="18"/>
                <w:szCs w:val="18"/>
              </w:rPr>
            </w:pPr>
            <w:r>
              <w:rPr>
                <w:rFonts w:ascii="宋体" w:hAnsi="宋体" w:cs="宋体" w:eastAsia="宋体" w:hint="default"/>
                <w:sz w:val="18"/>
                <w:szCs w:val="18"/>
              </w:rPr>
              <w:t>注：中国电子持股比例为中国电子通过上市公司股东中的相关关联方及一致行动人持有上市公司股</w:t>
            </w:r>
          </w:p>
        </w:tc>
      </w:tr>
      <w:tr>
        <w:trPr>
          <w:trHeight w:val="318" w:hRule="exact"/>
        </w:trPr>
        <w:tc>
          <w:tcPr>
            <w:tcW w:w="2670" w:type="dxa"/>
            <w:tcBorders>
              <w:top w:val="nil" w:sz="6" w:space="0" w:color="auto"/>
              <w:left w:val="single" w:sz="4" w:space="0" w:color="000000"/>
              <w:bottom w:val="single" w:sz="4" w:space="0" w:color="000000"/>
              <w:right w:val="single" w:sz="4" w:space="0" w:color="000000"/>
            </w:tcBorders>
            <w:shd w:val="clear" w:color="auto" w:fill="D3D3D3"/>
          </w:tcPr>
          <w:p>
            <w:pPr/>
          </w:p>
        </w:tc>
        <w:tc>
          <w:tcPr>
            <w:tcW w:w="822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份的合计数。</w:t>
            </w:r>
          </w:p>
        </w:tc>
      </w:tr>
    </w:tbl>
    <w:p>
      <w:pPr>
        <w:spacing w:before="51"/>
        <w:ind w:left="734" w:right="2291" w:firstLine="0"/>
        <w:jc w:val="left"/>
        <w:rPr>
          <w:rFonts w:ascii="宋体" w:hAnsi="宋体" w:cs="宋体" w:eastAsia="宋体" w:hint="default"/>
          <w:sz w:val="18"/>
          <w:szCs w:val="18"/>
        </w:rPr>
      </w:pPr>
      <w:r>
        <w:rPr>
          <w:rFonts w:ascii="宋体" w:hAnsi="宋体" w:cs="宋体" w:eastAsia="宋体" w:hint="default"/>
          <w:sz w:val="18"/>
          <w:szCs w:val="18"/>
        </w:rPr>
        <w:t>控股股东报告期内变更</w:t>
      </w:r>
    </w:p>
    <w:p>
      <w:pPr>
        <w:spacing w:line="360" w:lineRule="auto" w:before="116"/>
        <w:ind w:left="1093" w:right="7691" w:hanging="360"/>
        <w:jc w:val="left"/>
        <w:rPr>
          <w:rFonts w:ascii="宋体" w:hAnsi="宋体" w:cs="宋体" w:eastAsia="宋体" w:hint="default"/>
          <w:sz w:val="18"/>
          <w:szCs w:val="18"/>
        </w:rPr>
      </w:pPr>
      <w:r>
        <w:rPr>
          <w:rFonts w:ascii="宋体" w:hAnsi="宋体" w:cs="宋体" w:eastAsia="宋体" w:hint="default"/>
          <w:sz w:val="18"/>
          <w:szCs w:val="18"/>
        </w:rPr>
        <w:t>□ 适用 √ 不适用 公司报告期控股股东未发生变更。</w:t>
      </w:r>
    </w:p>
    <w:p>
      <w:pPr>
        <w:spacing w:line="240" w:lineRule="auto" w:before="4"/>
        <w:rPr>
          <w:rFonts w:ascii="宋体" w:hAnsi="宋体" w:cs="宋体" w:eastAsia="宋体" w:hint="default"/>
          <w:sz w:val="15"/>
          <w:szCs w:val="15"/>
        </w:rPr>
      </w:pPr>
    </w:p>
    <w:p>
      <w:pPr>
        <w:pStyle w:val="Heading5"/>
        <w:spacing w:line="240" w:lineRule="auto" w:before="0"/>
        <w:ind w:left="734" w:right="2291"/>
        <w:jc w:val="left"/>
        <w:rPr>
          <w:b w:val="0"/>
          <w:bCs w:val="0"/>
        </w:rPr>
      </w:pPr>
      <w:r>
        <w:rPr>
          <w:rFonts w:ascii="Times New Roman" w:hAnsi="Times New Roman" w:cs="Times New Roman" w:eastAsia="Times New Roman" w:hint="default"/>
        </w:rPr>
        <w:t>3</w:t>
      </w:r>
      <w:r>
        <w:rPr/>
        <w:t>、公司实际控制人及其一致行动人</w:t>
      </w:r>
      <w:r>
        <w:rPr>
          <w:b w:val="0"/>
          <w:bCs w:val="0"/>
        </w:rPr>
      </w:r>
    </w:p>
    <w:p>
      <w:pPr>
        <w:spacing w:line="240" w:lineRule="auto" w:before="0"/>
        <w:rPr>
          <w:rFonts w:ascii="宋体" w:hAnsi="宋体" w:cs="宋体" w:eastAsia="宋体" w:hint="default"/>
          <w:b/>
          <w:bCs/>
          <w:sz w:val="22"/>
          <w:szCs w:val="22"/>
        </w:rPr>
      </w:pPr>
    </w:p>
    <w:p>
      <w:pPr>
        <w:spacing w:line="357" w:lineRule="auto" w:before="0"/>
        <w:ind w:left="733" w:right="7871" w:firstLine="0"/>
        <w:jc w:val="left"/>
        <w:rPr>
          <w:rFonts w:ascii="宋体" w:hAnsi="宋体" w:cs="宋体" w:eastAsia="宋体" w:hint="default"/>
          <w:sz w:val="18"/>
          <w:szCs w:val="18"/>
        </w:rPr>
      </w:pPr>
      <w:r>
        <w:rPr>
          <w:rFonts w:ascii="宋体" w:hAnsi="宋体" w:cs="宋体" w:eastAsia="宋体" w:hint="default"/>
          <w:sz w:val="18"/>
          <w:szCs w:val="18"/>
        </w:rPr>
        <w:t>实际控制人性质：中央国资管理机构 实际控制人类型：法人</w:t>
      </w:r>
    </w:p>
    <w:p>
      <w:pPr>
        <w:spacing w:line="360" w:lineRule="auto" w:before="28"/>
        <w:ind w:left="1093" w:right="2291" w:firstLine="0"/>
        <w:jc w:val="left"/>
        <w:rPr>
          <w:rFonts w:ascii="宋体" w:hAnsi="宋体" w:cs="宋体" w:eastAsia="宋体" w:hint="default"/>
          <w:sz w:val="18"/>
          <w:szCs w:val="18"/>
        </w:rPr>
      </w:pPr>
      <w:r>
        <w:rPr>
          <w:rFonts w:ascii="宋体" w:hAnsi="宋体" w:cs="宋体" w:eastAsia="宋体" w:hint="default"/>
          <w:sz w:val="18"/>
          <w:szCs w:val="18"/>
        </w:rPr>
        <w:t>公司控股股东、实际控制人同为中国电子信息产业集团有限公司，请参见“公司控股股东情况”介绍。 公司报告期实际控制人未发生变更。</w:t>
      </w:r>
    </w:p>
    <w:p>
      <w:pPr>
        <w:spacing w:before="26"/>
        <w:ind w:left="734" w:right="2291" w:firstLine="0"/>
        <w:jc w:val="left"/>
        <w:rPr>
          <w:rFonts w:ascii="宋体" w:hAnsi="宋体" w:cs="宋体" w:eastAsia="宋体" w:hint="default"/>
          <w:sz w:val="18"/>
          <w:szCs w:val="18"/>
        </w:rPr>
      </w:pPr>
      <w:r>
        <w:rPr>
          <w:rFonts w:ascii="宋体" w:hAnsi="宋体" w:cs="宋体" w:eastAsia="宋体" w:hint="default"/>
          <w:sz w:val="18"/>
          <w:szCs w:val="18"/>
        </w:rPr>
        <w:t>公司与实际控制人之间的产权及控制关系的方框图</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0"/>
          <w:szCs w:val="10"/>
        </w:rPr>
      </w:pPr>
    </w:p>
    <w:p>
      <w:pPr>
        <w:spacing w:line="3797" w:lineRule="exact"/>
        <w:ind w:left="764" w:right="0" w:firstLine="0"/>
        <w:rPr>
          <w:rFonts w:ascii="宋体" w:hAnsi="宋体" w:cs="宋体" w:eastAsia="宋体" w:hint="default"/>
          <w:sz w:val="20"/>
          <w:szCs w:val="20"/>
        </w:rPr>
      </w:pPr>
      <w:r>
        <w:rPr>
          <w:rFonts w:ascii="宋体" w:hAnsi="宋体" w:cs="宋体" w:eastAsia="宋体" w:hint="default"/>
          <w:position w:val="-75"/>
          <w:sz w:val="20"/>
          <w:szCs w:val="20"/>
        </w:rPr>
        <w:drawing>
          <wp:inline distT="0" distB="0" distL="0" distR="0">
            <wp:extent cx="6101526" cy="2411253"/>
            <wp:effectExtent l="0" t="0" r="0" b="0"/>
            <wp:docPr id="7" name="image5.png" descr=""/>
            <wp:cNvGraphicFramePr>
              <a:graphicFrameLocks noChangeAspect="1"/>
            </wp:cNvGraphicFramePr>
            <a:graphic>
              <a:graphicData uri="http://schemas.openxmlformats.org/drawingml/2006/picture">
                <pic:pic>
                  <pic:nvPicPr>
                    <pic:cNvPr id="8" name="image5.png"/>
                    <pic:cNvPicPr/>
                  </pic:nvPicPr>
                  <pic:blipFill>
                    <a:blip r:embed="rId14" cstate="print"/>
                    <a:stretch>
                      <a:fillRect/>
                    </a:stretch>
                  </pic:blipFill>
                  <pic:spPr>
                    <a:xfrm>
                      <a:off x="0" y="0"/>
                      <a:ext cx="6101526" cy="2411253"/>
                    </a:xfrm>
                    <a:prstGeom prst="rect">
                      <a:avLst/>
                    </a:prstGeom>
                  </pic:spPr>
                </pic:pic>
              </a:graphicData>
            </a:graphic>
          </wp:inline>
        </w:drawing>
      </w:r>
      <w:r>
        <w:rPr>
          <w:rFonts w:ascii="宋体" w:hAnsi="宋体" w:cs="宋体" w:eastAsia="宋体" w:hint="default"/>
          <w:position w:val="-75"/>
          <w:sz w:val="20"/>
          <w:szCs w:val="20"/>
        </w:rPr>
      </w:r>
    </w:p>
    <w:p>
      <w:pPr>
        <w:spacing w:line="240" w:lineRule="auto" w:before="7"/>
        <w:rPr>
          <w:rFonts w:ascii="宋体" w:hAnsi="宋体" w:cs="宋体" w:eastAsia="宋体" w:hint="default"/>
          <w:sz w:val="25"/>
          <w:szCs w:val="25"/>
        </w:rPr>
      </w:pPr>
    </w:p>
    <w:p>
      <w:pPr>
        <w:spacing w:before="0"/>
        <w:ind w:left="734" w:right="2291" w:firstLine="0"/>
        <w:jc w:val="left"/>
        <w:rPr>
          <w:rFonts w:ascii="宋体" w:hAnsi="宋体" w:cs="宋体" w:eastAsia="宋体" w:hint="default"/>
          <w:sz w:val="18"/>
          <w:szCs w:val="18"/>
        </w:rPr>
      </w:pPr>
      <w:r>
        <w:rPr>
          <w:rFonts w:ascii="宋体" w:hAnsi="宋体" w:cs="宋体" w:eastAsia="宋体" w:hint="default"/>
          <w:sz w:val="18"/>
          <w:szCs w:val="18"/>
        </w:rPr>
        <w:t>实际控制人通过信托或其他资产管理方式控制公司</w:t>
      </w:r>
    </w:p>
    <w:p>
      <w:pPr>
        <w:spacing w:before="76"/>
        <w:ind w:left="733" w:right="2291"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after="0"/>
        <w:jc w:val="left"/>
        <w:rPr>
          <w:rFonts w:ascii="宋体" w:hAnsi="宋体" w:cs="宋体" w:eastAsia="宋体" w:hint="default"/>
          <w:sz w:val="18"/>
          <w:szCs w:val="18"/>
        </w:rPr>
        <w:sectPr>
          <w:pgSz w:w="11910" w:h="16840"/>
          <w:pgMar w:header="787" w:footer="982" w:top="1100" w:bottom="1180" w:left="400" w:right="0"/>
        </w:sectPr>
      </w:pPr>
    </w:p>
    <w:p>
      <w:pPr>
        <w:spacing w:line="240" w:lineRule="auto" w:before="7"/>
        <w:rPr>
          <w:rFonts w:ascii="宋体" w:hAnsi="宋体" w:cs="宋体" w:eastAsia="宋体" w:hint="default"/>
          <w:sz w:val="21"/>
          <w:szCs w:val="21"/>
        </w:rPr>
      </w:pPr>
    </w:p>
    <w:p>
      <w:pPr>
        <w:pStyle w:val="Heading5"/>
        <w:spacing w:line="240" w:lineRule="auto"/>
        <w:ind w:left="154" w:right="0"/>
        <w:jc w:val="left"/>
        <w:rPr>
          <w:b w:val="0"/>
          <w:bCs w:val="0"/>
        </w:rPr>
      </w:pPr>
      <w:r>
        <w:rPr>
          <w:rFonts w:ascii="Times New Roman" w:hAnsi="Times New Roman" w:cs="Times New Roman" w:eastAsia="Times New Roman" w:hint="default"/>
        </w:rPr>
        <w:t>4</w:t>
      </w:r>
      <w:r>
        <w:rPr/>
        <w:t>、其他持股在</w:t>
      </w:r>
      <w:r>
        <w:rPr>
          <w:spacing w:val="-58"/>
        </w:rPr>
        <w:t> </w:t>
      </w:r>
      <w:r>
        <w:rPr>
          <w:rFonts w:ascii="Times New Roman" w:hAnsi="Times New Roman" w:cs="Times New Roman" w:eastAsia="Times New Roman" w:hint="default"/>
        </w:rPr>
        <w:t>10%</w:t>
      </w:r>
      <w:r>
        <w:rPr/>
        <w:t>以上的法人股东</w:t>
      </w:r>
      <w:r>
        <w:rPr>
          <w:b w:val="0"/>
          <w:bCs w:val="0"/>
        </w:rPr>
      </w:r>
    </w:p>
    <w:p>
      <w:pPr>
        <w:spacing w:line="240" w:lineRule="auto" w:before="0"/>
        <w:rPr>
          <w:rFonts w:ascii="宋体" w:hAnsi="宋体" w:cs="宋体" w:eastAsia="宋体" w:hint="default"/>
          <w:b/>
          <w:bCs/>
          <w:sz w:val="22"/>
          <w:szCs w:val="22"/>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2"/>
        <w:rPr>
          <w:rFonts w:ascii="宋体" w:hAnsi="宋体" w:cs="宋体" w:eastAsia="宋体" w:hint="default"/>
          <w:sz w:val="22"/>
          <w:szCs w:val="22"/>
        </w:rPr>
      </w:pPr>
    </w:p>
    <w:p>
      <w:pPr>
        <w:pStyle w:val="Heading5"/>
        <w:spacing w:line="240" w:lineRule="auto" w:before="0"/>
        <w:ind w:left="154" w:right="0"/>
        <w:jc w:val="left"/>
        <w:rPr>
          <w:b w:val="0"/>
          <w:bCs w:val="0"/>
        </w:rPr>
      </w:pPr>
      <w:r>
        <w:rPr>
          <w:rFonts w:ascii="Times New Roman" w:hAnsi="Times New Roman" w:cs="Times New Roman" w:eastAsia="Times New Roman" w:hint="default"/>
        </w:rPr>
        <w:t>5</w:t>
      </w:r>
      <w:r>
        <w:rPr/>
        <w:t>、控股股东、实际控制人、重组方及其他承诺主体股份限制减持情况</w:t>
      </w:r>
      <w:r>
        <w:rPr>
          <w:b w:val="0"/>
          <w:bCs w:val="0"/>
        </w:rPr>
      </w:r>
    </w:p>
    <w:p>
      <w:pPr>
        <w:spacing w:line="240" w:lineRule="auto" w:before="0"/>
        <w:rPr>
          <w:rFonts w:ascii="宋体" w:hAnsi="宋体" w:cs="宋体" w:eastAsia="宋体" w:hint="default"/>
          <w:b/>
          <w:bCs/>
          <w:sz w:val="22"/>
          <w:szCs w:val="22"/>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21"/>
          <w:szCs w:val="21"/>
        </w:rPr>
      </w:pPr>
    </w:p>
    <w:p>
      <w:pPr>
        <w:pStyle w:val="Heading1"/>
        <w:spacing w:line="240" w:lineRule="auto" w:before="0"/>
        <w:ind w:left="3286" w:right="0"/>
        <w:jc w:val="left"/>
        <w:rPr>
          <w:b w:val="0"/>
          <w:bCs w:val="0"/>
        </w:rPr>
      </w:pPr>
      <w:bookmarkStart w:name="_TOC_250005" w:id="7"/>
      <w:r>
        <w:rPr/>
        <w:t>第七节</w:t>
      </w:r>
      <w:r>
        <w:rPr>
          <w:spacing w:val="-8"/>
        </w:rPr>
        <w:t> </w:t>
      </w:r>
      <w:r>
        <w:rPr/>
        <w:t>优先股相关情况</w:t>
      </w:r>
      <w:bookmarkEnd w:id="7"/>
      <w:r>
        <w:rPr>
          <w:b w:val="0"/>
          <w:bCs w:val="0"/>
        </w:rPr>
      </w:r>
    </w:p>
    <w:p>
      <w:pPr>
        <w:spacing w:line="240" w:lineRule="auto" w:before="8"/>
        <w:rPr>
          <w:rFonts w:ascii="宋体" w:hAnsi="宋体" w:cs="宋体" w:eastAsia="宋体" w:hint="default"/>
          <w:b/>
          <w:bCs/>
          <w:sz w:val="42"/>
          <w:szCs w:val="42"/>
        </w:rPr>
      </w:pPr>
    </w:p>
    <w:p>
      <w:pPr>
        <w:spacing w:line="360" w:lineRule="auto" w:before="0"/>
        <w:ind w:left="513" w:right="8231" w:hanging="360"/>
        <w:jc w:val="left"/>
        <w:rPr>
          <w:rFonts w:ascii="宋体" w:hAnsi="宋体" w:cs="宋体" w:eastAsia="宋体" w:hint="default"/>
          <w:sz w:val="18"/>
          <w:szCs w:val="18"/>
        </w:rPr>
      </w:pPr>
      <w:r>
        <w:rPr>
          <w:rFonts w:ascii="宋体" w:hAnsi="宋体" w:cs="宋体" w:eastAsia="宋体" w:hint="default"/>
          <w:sz w:val="18"/>
          <w:szCs w:val="18"/>
        </w:rPr>
        <w:t>□ 适用 √ 不适用 报告期公司不存在优先股。</w:t>
      </w:r>
    </w:p>
    <w:p>
      <w:pPr>
        <w:spacing w:after="0" w:line="360" w:lineRule="auto"/>
        <w:jc w:val="left"/>
        <w:rPr>
          <w:rFonts w:ascii="宋体" w:hAnsi="宋体" w:cs="宋体" w:eastAsia="宋体" w:hint="default"/>
          <w:sz w:val="18"/>
          <w:szCs w:val="18"/>
        </w:rPr>
        <w:sectPr>
          <w:pgSz w:w="11910" w:h="16840"/>
          <w:pgMar w:header="787" w:footer="982" w:top="1100" w:bottom="118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7"/>
          <w:szCs w:val="17"/>
        </w:rPr>
      </w:pPr>
    </w:p>
    <w:p>
      <w:pPr>
        <w:pStyle w:val="Heading1"/>
        <w:spacing w:line="240" w:lineRule="auto"/>
        <w:ind w:left="2520" w:right="0"/>
        <w:jc w:val="left"/>
        <w:rPr>
          <w:b w:val="0"/>
          <w:bCs w:val="0"/>
        </w:rPr>
      </w:pPr>
      <w:bookmarkStart w:name="_TOC_250004" w:id="8"/>
      <w:r>
        <w:rPr/>
        <w:t>第八节</w:t>
      </w:r>
      <w:r>
        <w:rPr>
          <w:spacing w:val="-17"/>
        </w:rPr>
        <w:t> </w:t>
      </w:r>
      <w:r>
        <w:rPr/>
        <w:t>董事、监事、高级管理人员和员工情况</w:t>
      </w:r>
      <w:bookmarkEnd w:id="8"/>
      <w:r>
        <w:rPr>
          <w:b w:val="0"/>
          <w:bCs w:val="0"/>
        </w:rPr>
      </w:r>
    </w:p>
    <w:p>
      <w:pPr>
        <w:spacing w:line="240" w:lineRule="auto" w:before="9"/>
        <w:rPr>
          <w:rFonts w:ascii="宋体" w:hAnsi="宋体" w:cs="宋体" w:eastAsia="宋体" w:hint="default"/>
          <w:b/>
          <w:bCs/>
          <w:sz w:val="38"/>
          <w:szCs w:val="38"/>
        </w:rPr>
      </w:pPr>
    </w:p>
    <w:p>
      <w:pPr>
        <w:pStyle w:val="Heading4"/>
        <w:spacing w:line="240" w:lineRule="auto"/>
        <w:ind w:left="994" w:right="0"/>
        <w:jc w:val="left"/>
        <w:rPr>
          <w:b w:val="0"/>
          <w:bCs w:val="0"/>
        </w:rPr>
      </w:pPr>
      <w:r>
        <w:rPr/>
        <w:t>一、董事、监事和高级管理人员持股变动</w:t>
      </w:r>
      <w:r>
        <w:rPr>
          <w:b w:val="0"/>
          <w:bCs w:val="0"/>
        </w:rPr>
      </w:r>
    </w:p>
    <w:p>
      <w:pPr>
        <w:spacing w:line="240" w:lineRule="auto" w:before="8"/>
        <w:rPr>
          <w:rFonts w:ascii="宋体" w:hAnsi="宋体" w:cs="宋体" w:eastAsia="宋体" w:hint="default"/>
          <w:b/>
          <w:bCs/>
          <w:sz w:val="16"/>
          <w:szCs w:val="16"/>
        </w:rPr>
      </w:pPr>
    </w:p>
    <w:tbl>
      <w:tblPr>
        <w:tblW w:w="0" w:type="auto"/>
        <w:jc w:val="left"/>
        <w:tblInd w:w="111" w:type="dxa"/>
        <w:tblLayout w:type="fixed"/>
        <w:tblCellMar>
          <w:top w:w="0" w:type="dxa"/>
          <w:left w:w="0" w:type="dxa"/>
          <w:bottom w:w="0" w:type="dxa"/>
          <w:right w:w="0" w:type="dxa"/>
        </w:tblCellMar>
        <w:tblLook w:val="01E0"/>
      </w:tblPr>
      <w:tblGrid>
        <w:gridCol w:w="720"/>
        <w:gridCol w:w="1136"/>
        <w:gridCol w:w="664"/>
        <w:gridCol w:w="540"/>
        <w:gridCol w:w="540"/>
        <w:gridCol w:w="1440"/>
        <w:gridCol w:w="1493"/>
        <w:gridCol w:w="900"/>
        <w:gridCol w:w="1080"/>
        <w:gridCol w:w="1080"/>
        <w:gridCol w:w="900"/>
        <w:gridCol w:w="900"/>
      </w:tblGrid>
      <w:tr>
        <w:trPr>
          <w:trHeight w:val="634" w:hRule="exact"/>
        </w:trPr>
        <w:tc>
          <w:tcPr>
            <w:tcW w:w="72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75"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113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职务</w:t>
            </w:r>
          </w:p>
        </w:tc>
        <w:tc>
          <w:tcPr>
            <w:tcW w:w="66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10"/>
              <w:ind w:left="146" w:right="145"/>
              <w:jc w:val="left"/>
              <w:rPr>
                <w:rFonts w:ascii="宋体" w:hAnsi="宋体" w:cs="宋体" w:eastAsia="宋体" w:hint="default"/>
                <w:sz w:val="18"/>
                <w:szCs w:val="18"/>
              </w:rPr>
            </w:pPr>
            <w:r>
              <w:rPr>
                <w:rFonts w:ascii="宋体" w:hAnsi="宋体" w:cs="宋体" w:eastAsia="宋体" w:hint="default"/>
                <w:sz w:val="18"/>
                <w:szCs w:val="18"/>
              </w:rPr>
              <w:t>任职 状态</w:t>
            </w:r>
          </w:p>
        </w:tc>
        <w:tc>
          <w:tcPr>
            <w:tcW w:w="54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性别</w:t>
            </w:r>
          </w:p>
        </w:tc>
        <w:tc>
          <w:tcPr>
            <w:tcW w:w="54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年龄</w:t>
            </w:r>
          </w:p>
        </w:tc>
        <w:tc>
          <w:tcPr>
            <w:tcW w:w="144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任期起始日期</w:t>
            </w:r>
          </w:p>
        </w:tc>
        <w:tc>
          <w:tcPr>
            <w:tcW w:w="14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任期终止日期</w:t>
            </w:r>
          </w:p>
        </w:tc>
        <w:tc>
          <w:tcPr>
            <w:tcW w:w="90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10"/>
              <w:ind w:left="85" w:right="83"/>
              <w:jc w:val="left"/>
              <w:rPr>
                <w:rFonts w:ascii="宋体" w:hAnsi="宋体" w:cs="宋体" w:eastAsia="宋体" w:hint="default"/>
                <w:sz w:val="18"/>
                <w:szCs w:val="18"/>
              </w:rPr>
            </w:pPr>
            <w:r>
              <w:rPr>
                <w:rFonts w:ascii="宋体" w:hAnsi="宋体" w:cs="宋体" w:eastAsia="宋体" w:hint="default"/>
                <w:sz w:val="18"/>
                <w:szCs w:val="18"/>
              </w:rPr>
              <w:t>期初持股 数（股）</w:t>
            </w:r>
          </w:p>
        </w:tc>
        <w:tc>
          <w:tcPr>
            <w:tcW w:w="1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10"/>
              <w:ind w:right="-10" w:firstLine="85"/>
              <w:jc w:val="left"/>
              <w:rPr>
                <w:rFonts w:ascii="宋体" w:hAnsi="宋体" w:cs="宋体" w:eastAsia="宋体" w:hint="default"/>
                <w:sz w:val="18"/>
                <w:szCs w:val="18"/>
              </w:rPr>
            </w:pPr>
            <w:r>
              <w:rPr>
                <w:rFonts w:ascii="宋体" w:hAnsi="宋体" w:cs="宋体" w:eastAsia="宋体" w:hint="default"/>
                <w:sz w:val="18"/>
                <w:szCs w:val="18"/>
              </w:rPr>
              <w:t>本期增持股 份数量（股）</w:t>
            </w:r>
          </w:p>
        </w:tc>
        <w:tc>
          <w:tcPr>
            <w:tcW w:w="108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10"/>
              <w:ind w:right="-10" w:firstLine="85"/>
              <w:jc w:val="left"/>
              <w:rPr>
                <w:rFonts w:ascii="宋体" w:hAnsi="宋体" w:cs="宋体" w:eastAsia="宋体" w:hint="default"/>
                <w:sz w:val="18"/>
                <w:szCs w:val="18"/>
              </w:rPr>
            </w:pPr>
            <w:r>
              <w:rPr>
                <w:rFonts w:ascii="宋体" w:hAnsi="宋体" w:cs="宋体" w:eastAsia="宋体" w:hint="default"/>
                <w:sz w:val="18"/>
                <w:szCs w:val="18"/>
              </w:rPr>
              <w:t>本期减持股 份数量（股）</w:t>
            </w:r>
          </w:p>
        </w:tc>
        <w:tc>
          <w:tcPr>
            <w:tcW w:w="90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10"/>
              <w:ind w:left="-1" w:right="-10" w:firstLine="85"/>
              <w:jc w:val="left"/>
              <w:rPr>
                <w:rFonts w:ascii="宋体" w:hAnsi="宋体" w:cs="宋体" w:eastAsia="宋体" w:hint="default"/>
                <w:sz w:val="18"/>
                <w:szCs w:val="18"/>
              </w:rPr>
            </w:pPr>
            <w:r>
              <w:rPr>
                <w:rFonts w:ascii="宋体" w:hAnsi="宋体" w:cs="宋体" w:eastAsia="宋体" w:hint="default"/>
                <w:sz w:val="18"/>
                <w:szCs w:val="18"/>
              </w:rPr>
              <w:t>其他增减 变动（股）</w:t>
            </w:r>
          </w:p>
        </w:tc>
        <w:tc>
          <w:tcPr>
            <w:tcW w:w="90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10"/>
              <w:ind w:left="85" w:right="83"/>
              <w:jc w:val="left"/>
              <w:rPr>
                <w:rFonts w:ascii="宋体" w:hAnsi="宋体" w:cs="宋体" w:eastAsia="宋体" w:hint="default"/>
                <w:sz w:val="18"/>
                <w:szCs w:val="18"/>
              </w:rPr>
            </w:pPr>
            <w:r>
              <w:rPr>
                <w:rFonts w:ascii="宋体" w:hAnsi="宋体" w:cs="宋体" w:eastAsia="宋体" w:hint="default"/>
                <w:sz w:val="18"/>
                <w:szCs w:val="18"/>
              </w:rPr>
              <w:t>期末持股 数（股）</w:t>
            </w:r>
          </w:p>
        </w:tc>
      </w:tr>
      <w:tr>
        <w:trPr>
          <w:trHeight w:val="362"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83"/>
              <w:jc w:val="right"/>
              <w:rPr>
                <w:rFonts w:ascii="宋体" w:hAnsi="宋体" w:cs="宋体" w:eastAsia="宋体" w:hint="default"/>
                <w:sz w:val="18"/>
                <w:szCs w:val="18"/>
              </w:rPr>
            </w:pPr>
            <w:r>
              <w:rPr>
                <w:rFonts w:ascii="宋体" w:hAnsi="宋体" w:cs="宋体" w:eastAsia="宋体" w:hint="default"/>
                <w:sz w:val="18"/>
                <w:szCs w:val="18"/>
              </w:rPr>
              <w:t>宋黎定</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董事长</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center"/>
              <w:rPr>
                <w:rFonts w:ascii="Times New Roman" w:hAnsi="Times New Roman" w:cs="Times New Roman" w:eastAsia="Times New Roman" w:hint="default"/>
                <w:sz w:val="18"/>
                <w:szCs w:val="18"/>
              </w:rPr>
            </w:pPr>
            <w:r>
              <w:rPr>
                <w:rFonts w:ascii="Times New Roman"/>
                <w:sz w:val="18"/>
              </w:rPr>
              <w:t>56</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r>
      <w:tr>
        <w:trPr>
          <w:trHeight w:val="362"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75" w:right="0"/>
              <w:jc w:val="left"/>
              <w:rPr>
                <w:rFonts w:ascii="宋体" w:hAnsi="宋体" w:cs="宋体" w:eastAsia="宋体" w:hint="default"/>
                <w:sz w:val="18"/>
                <w:szCs w:val="18"/>
              </w:rPr>
            </w:pPr>
            <w:r>
              <w:rPr>
                <w:rFonts w:ascii="宋体" w:hAnsi="宋体" w:cs="宋体" w:eastAsia="宋体" w:hint="default"/>
                <w:sz w:val="18"/>
                <w:szCs w:val="18"/>
              </w:rPr>
              <w:t>徐刚</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董事兼总裁</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Times New Roman" w:hAnsi="Times New Roman" w:cs="Times New Roman" w:eastAsia="Times New Roman" w:hint="default"/>
                <w:sz w:val="18"/>
                <w:szCs w:val="18"/>
              </w:rPr>
            </w:pPr>
            <w:r>
              <w:rPr>
                <w:rFonts w:ascii="Times New Roman"/>
                <w:sz w:val="18"/>
              </w:rPr>
              <w:t>57</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right"/>
              <w:rPr>
                <w:rFonts w:ascii="Times New Roman" w:hAnsi="Times New Roman" w:cs="Times New Roman" w:eastAsia="Times New Roman" w:hint="default"/>
                <w:sz w:val="18"/>
                <w:szCs w:val="18"/>
              </w:rPr>
            </w:pPr>
            <w:r>
              <w:rPr>
                <w:rFonts w:ascii="Times New Roman"/>
                <w:sz w:val="18"/>
              </w:rPr>
              <w:t>60,000</w:t>
            </w:r>
          </w:p>
        </w:tc>
        <w:tc>
          <w:tcPr>
            <w:tcW w:w="108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right"/>
              <w:rPr>
                <w:rFonts w:ascii="Times New Roman" w:hAnsi="Times New Roman" w:cs="Times New Roman" w:eastAsia="Times New Roman" w:hint="default"/>
                <w:sz w:val="18"/>
                <w:szCs w:val="18"/>
              </w:rPr>
            </w:pPr>
            <w:r>
              <w:rPr>
                <w:rFonts w:ascii="Times New Roman"/>
                <w:sz w:val="18"/>
              </w:rPr>
              <w:t>60,000</w:t>
            </w:r>
          </w:p>
        </w:tc>
      </w:tr>
      <w:tr>
        <w:trPr>
          <w:trHeight w:val="361"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75" w:right="0"/>
              <w:jc w:val="left"/>
              <w:rPr>
                <w:rFonts w:ascii="宋体" w:hAnsi="宋体" w:cs="宋体" w:eastAsia="宋体" w:hint="default"/>
                <w:sz w:val="18"/>
                <w:szCs w:val="18"/>
              </w:rPr>
            </w:pPr>
            <w:r>
              <w:rPr>
                <w:rFonts w:ascii="宋体" w:hAnsi="宋体" w:cs="宋体" w:eastAsia="宋体" w:hint="default"/>
                <w:sz w:val="18"/>
                <w:szCs w:val="18"/>
              </w:rPr>
              <w:t>李峻</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Times New Roman" w:hAnsi="Times New Roman" w:cs="Times New Roman" w:eastAsia="Times New Roman" w:hint="default"/>
                <w:sz w:val="18"/>
                <w:szCs w:val="18"/>
              </w:rPr>
            </w:pPr>
            <w:r>
              <w:rPr>
                <w:rFonts w:ascii="Times New Roman"/>
                <w:sz w:val="18"/>
              </w:rPr>
              <w:t>44</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r>
      <w:tr>
        <w:trPr>
          <w:trHeight w:val="362"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83"/>
              <w:jc w:val="right"/>
              <w:rPr>
                <w:rFonts w:ascii="宋体" w:hAnsi="宋体" w:cs="宋体" w:eastAsia="宋体" w:hint="default"/>
                <w:sz w:val="18"/>
                <w:szCs w:val="18"/>
              </w:rPr>
            </w:pPr>
            <w:r>
              <w:rPr>
                <w:rFonts w:ascii="宋体" w:hAnsi="宋体" w:cs="宋体" w:eastAsia="宋体" w:hint="default"/>
                <w:sz w:val="18"/>
                <w:szCs w:val="18"/>
              </w:rPr>
              <w:t>孔雪屏</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center"/>
              <w:rPr>
                <w:rFonts w:ascii="Times New Roman" w:hAnsi="Times New Roman" w:cs="Times New Roman" w:eastAsia="Times New Roman" w:hint="default"/>
                <w:sz w:val="18"/>
                <w:szCs w:val="18"/>
              </w:rPr>
            </w:pPr>
            <w:r>
              <w:rPr>
                <w:rFonts w:ascii="Times New Roman"/>
                <w:sz w:val="18"/>
              </w:rPr>
              <w:t>50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r>
      <w:tr>
        <w:trPr>
          <w:trHeight w:val="362"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83"/>
              <w:jc w:val="right"/>
              <w:rPr>
                <w:rFonts w:ascii="宋体" w:hAnsi="宋体" w:cs="宋体" w:eastAsia="宋体" w:hint="default"/>
                <w:sz w:val="18"/>
                <w:szCs w:val="18"/>
              </w:rPr>
            </w:pPr>
            <w:r>
              <w:rPr>
                <w:rFonts w:ascii="宋体" w:hAnsi="宋体" w:cs="宋体" w:eastAsia="宋体" w:hint="default"/>
                <w:sz w:val="18"/>
                <w:szCs w:val="18"/>
              </w:rPr>
              <w:t>吕宝利</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Times New Roman" w:hAnsi="Times New Roman" w:cs="Times New Roman" w:eastAsia="Times New Roman" w:hint="default"/>
                <w:sz w:val="18"/>
                <w:szCs w:val="18"/>
              </w:rPr>
            </w:pPr>
            <w:r>
              <w:rPr>
                <w:rFonts w:ascii="Times New Roman"/>
                <w:sz w:val="18"/>
              </w:rPr>
              <w:t>48</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r>
      <w:tr>
        <w:trPr>
          <w:trHeight w:val="361"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83"/>
              <w:jc w:val="right"/>
              <w:rPr>
                <w:rFonts w:ascii="宋体" w:hAnsi="宋体" w:cs="宋体" w:eastAsia="宋体" w:hint="default"/>
                <w:sz w:val="18"/>
                <w:szCs w:val="18"/>
              </w:rPr>
            </w:pPr>
            <w:r>
              <w:rPr>
                <w:rFonts w:ascii="宋体" w:hAnsi="宋体" w:cs="宋体" w:eastAsia="宋体" w:hint="default"/>
                <w:sz w:val="18"/>
                <w:szCs w:val="18"/>
              </w:rPr>
              <w:t>张志勇</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Times New Roman" w:hAnsi="Times New Roman" w:cs="Times New Roman" w:eastAsia="Times New Roman" w:hint="default"/>
                <w:sz w:val="18"/>
                <w:szCs w:val="18"/>
              </w:rPr>
            </w:pPr>
            <w:r>
              <w:rPr>
                <w:rFonts w:ascii="Times New Roman"/>
                <w:sz w:val="18"/>
              </w:rPr>
              <w:t>40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r>
      <w:tr>
        <w:trPr>
          <w:trHeight w:val="362"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83"/>
              <w:jc w:val="right"/>
              <w:rPr>
                <w:rFonts w:ascii="宋体" w:hAnsi="宋体" w:cs="宋体" w:eastAsia="宋体" w:hint="default"/>
                <w:sz w:val="18"/>
                <w:szCs w:val="18"/>
              </w:rPr>
            </w:pPr>
            <w:r>
              <w:rPr>
                <w:rFonts w:ascii="宋体" w:hAnsi="宋体" w:cs="宋体" w:eastAsia="宋体" w:hint="default"/>
                <w:sz w:val="18"/>
                <w:szCs w:val="18"/>
              </w:rPr>
              <w:t>虞世全</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center"/>
              <w:rPr>
                <w:rFonts w:ascii="Times New Roman" w:hAnsi="Times New Roman" w:cs="Times New Roman" w:eastAsia="Times New Roman" w:hint="default"/>
                <w:sz w:val="18"/>
                <w:szCs w:val="18"/>
              </w:rPr>
            </w:pPr>
            <w:r>
              <w:rPr>
                <w:rFonts w:ascii="Times New Roman"/>
                <w:sz w:val="18"/>
              </w:rPr>
              <w:t>53</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r>
      <w:tr>
        <w:trPr>
          <w:trHeight w:val="362"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83"/>
              <w:jc w:val="right"/>
              <w:rPr>
                <w:rFonts w:ascii="宋体" w:hAnsi="宋体" w:cs="宋体" w:eastAsia="宋体" w:hint="default"/>
                <w:sz w:val="18"/>
                <w:szCs w:val="18"/>
              </w:rPr>
            </w:pPr>
            <w:r>
              <w:rPr>
                <w:rFonts w:ascii="宋体" w:hAnsi="宋体" w:cs="宋体" w:eastAsia="宋体" w:hint="default"/>
                <w:sz w:val="18"/>
                <w:szCs w:val="18"/>
              </w:rPr>
              <w:t>蓝庆新</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Times New Roman" w:hAnsi="Times New Roman" w:cs="Times New Roman" w:eastAsia="Times New Roman" w:hint="default"/>
                <w:sz w:val="18"/>
                <w:szCs w:val="18"/>
              </w:rPr>
            </w:pPr>
            <w:r>
              <w:rPr>
                <w:rFonts w:ascii="Times New Roman"/>
                <w:sz w:val="18"/>
              </w:rPr>
              <w:t>43</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r>
      <w:tr>
        <w:trPr>
          <w:trHeight w:val="361"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83"/>
              <w:jc w:val="right"/>
              <w:rPr>
                <w:rFonts w:ascii="宋体" w:hAnsi="宋体" w:cs="宋体" w:eastAsia="宋体" w:hint="default"/>
                <w:sz w:val="18"/>
                <w:szCs w:val="18"/>
              </w:rPr>
            </w:pPr>
            <w:r>
              <w:rPr>
                <w:rFonts w:ascii="宋体" w:hAnsi="宋体" w:cs="宋体" w:eastAsia="宋体" w:hint="default"/>
                <w:sz w:val="18"/>
                <w:szCs w:val="18"/>
              </w:rPr>
              <w:t>吴中海</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Times New Roman" w:hAnsi="Times New Roman" w:cs="Times New Roman" w:eastAsia="Times New Roman" w:hint="default"/>
                <w:sz w:val="18"/>
                <w:szCs w:val="18"/>
              </w:rPr>
            </w:pPr>
            <w:r>
              <w:rPr>
                <w:rFonts w:ascii="Times New Roman"/>
                <w:sz w:val="18"/>
              </w:rPr>
              <w:t>51</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r>
      <w:tr>
        <w:trPr>
          <w:trHeight w:val="362"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75" w:right="0"/>
              <w:jc w:val="left"/>
              <w:rPr>
                <w:rFonts w:ascii="宋体" w:hAnsi="宋体" w:cs="宋体" w:eastAsia="宋体" w:hint="default"/>
                <w:sz w:val="18"/>
                <w:szCs w:val="18"/>
              </w:rPr>
            </w:pPr>
            <w:r>
              <w:rPr>
                <w:rFonts w:ascii="宋体" w:hAnsi="宋体" w:cs="宋体" w:eastAsia="宋体" w:hint="default"/>
                <w:sz w:val="18"/>
                <w:szCs w:val="18"/>
              </w:rPr>
              <w:t>马跃</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监事会主席</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center"/>
              <w:rPr>
                <w:rFonts w:ascii="Times New Roman" w:hAnsi="Times New Roman" w:cs="Times New Roman" w:eastAsia="Times New Roman" w:hint="default"/>
                <w:sz w:val="18"/>
                <w:szCs w:val="18"/>
              </w:rPr>
            </w:pPr>
            <w:r>
              <w:rPr>
                <w:rFonts w:ascii="Times New Roman"/>
                <w:sz w:val="18"/>
              </w:rPr>
              <w:t>60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2001</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r>
      <w:tr>
        <w:trPr>
          <w:trHeight w:val="362"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83"/>
              <w:jc w:val="right"/>
              <w:rPr>
                <w:rFonts w:ascii="宋体" w:hAnsi="宋体" w:cs="宋体" w:eastAsia="宋体" w:hint="default"/>
                <w:sz w:val="18"/>
                <w:szCs w:val="18"/>
              </w:rPr>
            </w:pPr>
            <w:r>
              <w:rPr>
                <w:rFonts w:ascii="宋体" w:hAnsi="宋体" w:cs="宋体" w:eastAsia="宋体" w:hint="default"/>
                <w:sz w:val="18"/>
                <w:szCs w:val="18"/>
              </w:rPr>
              <w:t>李福江</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监事</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Times New Roman" w:hAnsi="Times New Roman" w:cs="Times New Roman" w:eastAsia="Times New Roman" w:hint="default"/>
                <w:sz w:val="18"/>
                <w:szCs w:val="18"/>
              </w:rPr>
            </w:pPr>
            <w:r>
              <w:rPr>
                <w:rFonts w:ascii="Times New Roman"/>
                <w:sz w:val="18"/>
              </w:rPr>
              <w:t>51</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r>
      <w:tr>
        <w:trPr>
          <w:trHeight w:val="361"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75" w:right="0"/>
              <w:jc w:val="left"/>
              <w:rPr>
                <w:rFonts w:ascii="宋体" w:hAnsi="宋体" w:cs="宋体" w:eastAsia="宋体" w:hint="default"/>
                <w:sz w:val="18"/>
                <w:szCs w:val="18"/>
              </w:rPr>
            </w:pPr>
            <w:r>
              <w:rPr>
                <w:rFonts w:ascii="宋体" w:hAnsi="宋体" w:cs="宋体" w:eastAsia="宋体" w:hint="default"/>
                <w:sz w:val="18"/>
                <w:szCs w:val="18"/>
              </w:rPr>
              <w:t>李斌</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监事</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Times New Roman" w:hAnsi="Times New Roman" w:cs="Times New Roman" w:eastAsia="Times New Roman" w:hint="default"/>
                <w:sz w:val="18"/>
                <w:szCs w:val="18"/>
              </w:rPr>
            </w:pPr>
            <w:r>
              <w:rPr>
                <w:rFonts w:ascii="Times New Roman"/>
                <w:sz w:val="18"/>
              </w:rPr>
              <w:t>57</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r>
      <w:tr>
        <w:trPr>
          <w:trHeight w:val="362"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83"/>
              <w:jc w:val="right"/>
              <w:rPr>
                <w:rFonts w:ascii="宋体" w:hAnsi="宋体" w:cs="宋体" w:eastAsia="宋体" w:hint="default"/>
                <w:sz w:val="18"/>
                <w:szCs w:val="18"/>
              </w:rPr>
            </w:pPr>
            <w:r>
              <w:rPr>
                <w:rFonts w:ascii="宋体" w:hAnsi="宋体" w:cs="宋体" w:eastAsia="宋体" w:hint="default"/>
                <w:sz w:val="18"/>
                <w:szCs w:val="18"/>
              </w:rPr>
              <w:t>周庚申</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高级副总裁</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center"/>
              <w:rPr>
                <w:rFonts w:ascii="Times New Roman" w:hAnsi="Times New Roman" w:cs="Times New Roman" w:eastAsia="Times New Roman" w:hint="default"/>
                <w:sz w:val="18"/>
                <w:szCs w:val="18"/>
              </w:rPr>
            </w:pPr>
            <w:r>
              <w:rPr>
                <w:rFonts w:ascii="Times New Roman"/>
                <w:sz w:val="18"/>
              </w:rPr>
              <w:t>52</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2003</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2"/>
              <w:jc w:val="right"/>
              <w:rPr>
                <w:rFonts w:ascii="Times New Roman" w:hAnsi="Times New Roman" w:cs="Times New Roman" w:eastAsia="Times New Roman" w:hint="default"/>
                <w:sz w:val="18"/>
                <w:szCs w:val="18"/>
              </w:rPr>
            </w:pPr>
            <w:r>
              <w:rPr>
                <w:rFonts w:ascii="Times New Roman"/>
                <w:sz w:val="18"/>
              </w:rPr>
              <w:t>31,680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2"/>
              <w:jc w:val="right"/>
              <w:rPr>
                <w:rFonts w:ascii="Times New Roman" w:hAnsi="Times New Roman" w:cs="Times New Roman" w:eastAsia="Times New Roman" w:hint="default"/>
                <w:sz w:val="18"/>
                <w:szCs w:val="18"/>
              </w:rPr>
            </w:pPr>
            <w:r>
              <w:rPr>
                <w:rFonts w:ascii="Times New Roman"/>
                <w:sz w:val="18"/>
              </w:rPr>
              <w:t>66,000</w:t>
            </w:r>
          </w:p>
        </w:tc>
        <w:tc>
          <w:tcPr>
            <w:tcW w:w="108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2"/>
              <w:jc w:val="right"/>
              <w:rPr>
                <w:rFonts w:ascii="Times New Roman" w:hAnsi="Times New Roman" w:cs="Times New Roman" w:eastAsia="Times New Roman" w:hint="default"/>
                <w:sz w:val="18"/>
                <w:szCs w:val="18"/>
              </w:rPr>
            </w:pPr>
            <w:r>
              <w:rPr>
                <w:rFonts w:ascii="Times New Roman"/>
                <w:sz w:val="18"/>
              </w:rPr>
              <w:t>97,680</w:t>
            </w:r>
          </w:p>
        </w:tc>
      </w:tr>
      <w:tr>
        <w:trPr>
          <w:trHeight w:val="362"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83"/>
              <w:jc w:val="right"/>
              <w:rPr>
                <w:rFonts w:ascii="宋体" w:hAnsi="宋体" w:cs="宋体" w:eastAsia="宋体" w:hint="default"/>
                <w:sz w:val="18"/>
                <w:szCs w:val="18"/>
              </w:rPr>
            </w:pPr>
            <w:r>
              <w:rPr>
                <w:rFonts w:ascii="宋体" w:hAnsi="宋体" w:cs="宋体" w:eastAsia="宋体" w:hint="default"/>
                <w:sz w:val="18"/>
                <w:szCs w:val="18"/>
              </w:rPr>
              <w:t>戴湘桃</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高级副总裁</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Times New Roman" w:hAnsi="Times New Roman" w:cs="Times New Roman" w:eastAsia="Times New Roman" w:hint="default"/>
                <w:sz w:val="18"/>
                <w:szCs w:val="18"/>
              </w:rPr>
            </w:pPr>
            <w:r>
              <w:rPr>
                <w:rFonts w:ascii="Times New Roman"/>
                <w:sz w:val="18"/>
              </w:rPr>
              <w:t>52</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right"/>
              <w:rPr>
                <w:rFonts w:ascii="Times New Roman" w:hAnsi="Times New Roman" w:cs="Times New Roman" w:eastAsia="Times New Roman" w:hint="default"/>
                <w:sz w:val="18"/>
                <w:szCs w:val="18"/>
              </w:rPr>
            </w:pPr>
            <w:r>
              <w:rPr>
                <w:rFonts w:ascii="Times New Roman"/>
                <w:sz w:val="18"/>
              </w:rPr>
              <w:t>60,000</w:t>
            </w:r>
          </w:p>
        </w:tc>
        <w:tc>
          <w:tcPr>
            <w:tcW w:w="108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right"/>
              <w:rPr>
                <w:rFonts w:ascii="Times New Roman" w:hAnsi="Times New Roman" w:cs="Times New Roman" w:eastAsia="Times New Roman" w:hint="default"/>
                <w:sz w:val="18"/>
                <w:szCs w:val="18"/>
              </w:rPr>
            </w:pPr>
            <w:r>
              <w:rPr>
                <w:rFonts w:ascii="Times New Roman"/>
                <w:sz w:val="18"/>
              </w:rPr>
              <w:t>60,000</w:t>
            </w:r>
          </w:p>
        </w:tc>
      </w:tr>
      <w:tr>
        <w:trPr>
          <w:trHeight w:val="361"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83"/>
              <w:jc w:val="right"/>
              <w:rPr>
                <w:rFonts w:ascii="宋体" w:hAnsi="宋体" w:cs="宋体" w:eastAsia="宋体" w:hint="default"/>
                <w:sz w:val="18"/>
                <w:szCs w:val="18"/>
              </w:rPr>
            </w:pPr>
            <w:r>
              <w:rPr>
                <w:rFonts w:ascii="宋体" w:hAnsi="宋体" w:cs="宋体" w:eastAsia="宋体" w:hint="default"/>
                <w:sz w:val="18"/>
                <w:szCs w:val="18"/>
              </w:rPr>
              <w:t>周在龙</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高级副总裁</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Times New Roman" w:hAnsi="Times New Roman" w:cs="Times New Roman" w:eastAsia="Times New Roman" w:hint="default"/>
                <w:sz w:val="18"/>
                <w:szCs w:val="18"/>
              </w:rPr>
            </w:pPr>
            <w:r>
              <w:rPr>
                <w:rFonts w:ascii="Times New Roman"/>
                <w:sz w:val="18"/>
              </w:rPr>
              <w:t>45</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right"/>
              <w:rPr>
                <w:rFonts w:ascii="Times New Roman" w:hAnsi="Times New Roman" w:cs="Times New Roman" w:eastAsia="Times New Roman" w:hint="default"/>
                <w:sz w:val="18"/>
                <w:szCs w:val="18"/>
              </w:rPr>
            </w:pPr>
            <w:r>
              <w:rPr>
                <w:rFonts w:ascii="Times New Roman"/>
                <w:sz w:val="18"/>
              </w:rPr>
              <w:t>60,000</w:t>
            </w:r>
          </w:p>
        </w:tc>
        <w:tc>
          <w:tcPr>
            <w:tcW w:w="108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right"/>
              <w:rPr>
                <w:rFonts w:ascii="Times New Roman" w:hAnsi="Times New Roman" w:cs="Times New Roman" w:eastAsia="Times New Roman" w:hint="default"/>
                <w:sz w:val="18"/>
                <w:szCs w:val="18"/>
              </w:rPr>
            </w:pPr>
            <w:r>
              <w:rPr>
                <w:rFonts w:ascii="Times New Roman"/>
                <w:sz w:val="18"/>
              </w:rPr>
              <w:t>60,000</w:t>
            </w:r>
          </w:p>
        </w:tc>
      </w:tr>
      <w:tr>
        <w:trPr>
          <w:trHeight w:val="674"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175" w:right="0"/>
              <w:jc w:val="left"/>
              <w:rPr>
                <w:rFonts w:ascii="宋体" w:hAnsi="宋体" w:cs="宋体" w:eastAsia="宋体" w:hint="default"/>
                <w:sz w:val="18"/>
                <w:szCs w:val="18"/>
              </w:rPr>
            </w:pPr>
            <w:r>
              <w:rPr>
                <w:rFonts w:ascii="宋体" w:hAnsi="宋体" w:cs="宋体" w:eastAsia="宋体" w:hint="default"/>
                <w:sz w:val="18"/>
                <w:szCs w:val="18"/>
              </w:rPr>
              <w:t>段军</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32"/>
              <w:ind w:left="112" w:right="23" w:hanging="90"/>
              <w:jc w:val="left"/>
              <w:rPr>
                <w:rFonts w:ascii="宋体" w:hAnsi="宋体" w:cs="宋体" w:eastAsia="宋体" w:hint="default"/>
                <w:sz w:val="18"/>
                <w:szCs w:val="18"/>
              </w:rPr>
            </w:pPr>
            <w:r>
              <w:rPr>
                <w:rFonts w:ascii="宋体" w:hAnsi="宋体" w:cs="宋体" w:eastAsia="宋体" w:hint="default"/>
                <w:sz w:val="18"/>
                <w:szCs w:val="18"/>
              </w:rPr>
              <w:t>高级副总裁、 总法律顾问</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7"/>
                <w:szCs w:val="17"/>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49</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1"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7"/>
                <w:szCs w:val="17"/>
              </w:rPr>
            </w:pPr>
          </w:p>
          <w:p>
            <w:pPr>
              <w:pStyle w:val="TableParagraph"/>
              <w:spacing w:line="240" w:lineRule="auto"/>
              <w:ind w:right="-2"/>
              <w:jc w:val="right"/>
              <w:rPr>
                <w:rFonts w:ascii="Times New Roman" w:hAnsi="Times New Roman" w:cs="Times New Roman" w:eastAsia="Times New Roman" w:hint="default"/>
                <w:sz w:val="18"/>
                <w:szCs w:val="18"/>
              </w:rPr>
            </w:pPr>
            <w:r>
              <w:rPr>
                <w:rFonts w:ascii="Times New Roman"/>
                <w:sz w:val="18"/>
              </w:rPr>
              <w:t>20,000</w:t>
            </w:r>
          </w:p>
        </w:tc>
        <w:tc>
          <w:tcPr>
            <w:tcW w:w="108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7"/>
                <w:szCs w:val="17"/>
              </w:rPr>
            </w:pPr>
          </w:p>
          <w:p>
            <w:pPr>
              <w:pStyle w:val="TableParagraph"/>
              <w:spacing w:line="240" w:lineRule="auto"/>
              <w:ind w:right="-2"/>
              <w:jc w:val="right"/>
              <w:rPr>
                <w:rFonts w:ascii="Times New Roman" w:hAnsi="Times New Roman" w:cs="Times New Roman" w:eastAsia="Times New Roman" w:hint="default"/>
                <w:sz w:val="18"/>
                <w:szCs w:val="18"/>
              </w:rPr>
            </w:pPr>
            <w:r>
              <w:rPr>
                <w:rFonts w:ascii="Times New Roman"/>
                <w:sz w:val="18"/>
              </w:rPr>
              <w:t>20,000</w:t>
            </w:r>
          </w:p>
        </w:tc>
      </w:tr>
      <w:tr>
        <w:trPr>
          <w:trHeight w:val="362"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83"/>
              <w:jc w:val="right"/>
              <w:rPr>
                <w:rFonts w:ascii="宋体" w:hAnsi="宋体" w:cs="宋体" w:eastAsia="宋体" w:hint="default"/>
                <w:sz w:val="18"/>
                <w:szCs w:val="18"/>
              </w:rPr>
            </w:pPr>
            <w:r>
              <w:rPr>
                <w:rFonts w:ascii="宋体" w:hAnsi="宋体" w:cs="宋体" w:eastAsia="宋体" w:hint="default"/>
                <w:sz w:val="18"/>
                <w:szCs w:val="18"/>
              </w:rPr>
              <w:t>刘文彬</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财务总监</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Times New Roman" w:hAnsi="Times New Roman" w:cs="Times New Roman" w:eastAsia="Times New Roman" w:hint="default"/>
                <w:sz w:val="18"/>
                <w:szCs w:val="18"/>
              </w:rPr>
            </w:pPr>
            <w:r>
              <w:rPr>
                <w:rFonts w:ascii="Times New Roman"/>
                <w:sz w:val="18"/>
              </w:rPr>
              <w:t>44</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right"/>
              <w:rPr>
                <w:rFonts w:ascii="Times New Roman" w:hAnsi="Times New Roman" w:cs="Times New Roman" w:eastAsia="Times New Roman" w:hint="default"/>
                <w:sz w:val="18"/>
                <w:szCs w:val="18"/>
              </w:rPr>
            </w:pPr>
            <w:r>
              <w:rPr>
                <w:rFonts w:ascii="Times New Roman"/>
                <w:sz w:val="18"/>
              </w:rPr>
              <w:t>60,000</w:t>
            </w:r>
          </w:p>
        </w:tc>
        <w:tc>
          <w:tcPr>
            <w:tcW w:w="108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right"/>
              <w:rPr>
                <w:rFonts w:ascii="Times New Roman" w:hAnsi="Times New Roman" w:cs="Times New Roman" w:eastAsia="Times New Roman" w:hint="default"/>
                <w:sz w:val="18"/>
                <w:szCs w:val="18"/>
              </w:rPr>
            </w:pPr>
            <w:r>
              <w:rPr>
                <w:rFonts w:ascii="Times New Roman"/>
                <w:sz w:val="18"/>
              </w:rPr>
              <w:t>60,000</w:t>
            </w:r>
          </w:p>
        </w:tc>
      </w:tr>
      <w:tr>
        <w:trPr>
          <w:trHeight w:val="361"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75" w:right="0"/>
              <w:jc w:val="left"/>
              <w:rPr>
                <w:rFonts w:ascii="宋体" w:hAnsi="宋体" w:cs="宋体" w:eastAsia="宋体" w:hint="default"/>
                <w:sz w:val="18"/>
                <w:szCs w:val="18"/>
              </w:rPr>
            </w:pPr>
            <w:r>
              <w:rPr>
                <w:rFonts w:ascii="宋体" w:hAnsi="宋体" w:cs="宋体" w:eastAsia="宋体" w:hint="default"/>
                <w:sz w:val="18"/>
                <w:szCs w:val="18"/>
              </w:rPr>
              <w:t>郭镇</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董事会秘书</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Times New Roman" w:hAnsi="Times New Roman" w:cs="Times New Roman" w:eastAsia="Times New Roman" w:hint="default"/>
                <w:sz w:val="18"/>
                <w:szCs w:val="18"/>
              </w:rPr>
            </w:pPr>
            <w:r>
              <w:rPr>
                <w:rFonts w:ascii="Times New Roman"/>
                <w:sz w:val="18"/>
              </w:rPr>
              <w:t>44</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right"/>
              <w:rPr>
                <w:rFonts w:ascii="Times New Roman" w:hAnsi="Times New Roman" w:cs="Times New Roman" w:eastAsia="Times New Roman" w:hint="default"/>
                <w:sz w:val="18"/>
                <w:szCs w:val="18"/>
              </w:rPr>
            </w:pPr>
            <w:r>
              <w:rPr>
                <w:rFonts w:ascii="Times New Roman"/>
                <w:sz w:val="18"/>
              </w:rPr>
              <w:t>28,000</w:t>
            </w:r>
          </w:p>
        </w:tc>
        <w:tc>
          <w:tcPr>
            <w:tcW w:w="108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right"/>
              <w:rPr>
                <w:rFonts w:ascii="Times New Roman" w:hAnsi="Times New Roman" w:cs="Times New Roman" w:eastAsia="Times New Roman" w:hint="default"/>
                <w:sz w:val="18"/>
                <w:szCs w:val="18"/>
              </w:rPr>
            </w:pPr>
            <w:r>
              <w:rPr>
                <w:rFonts w:ascii="Times New Roman"/>
                <w:sz w:val="18"/>
              </w:rPr>
              <w:t>28,000</w:t>
            </w:r>
          </w:p>
        </w:tc>
      </w:tr>
      <w:tr>
        <w:trPr>
          <w:trHeight w:val="362"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83"/>
              <w:jc w:val="right"/>
              <w:rPr>
                <w:rFonts w:ascii="宋体" w:hAnsi="宋体" w:cs="宋体" w:eastAsia="宋体" w:hint="default"/>
                <w:sz w:val="18"/>
                <w:szCs w:val="18"/>
              </w:rPr>
            </w:pPr>
            <w:r>
              <w:rPr>
                <w:rFonts w:ascii="宋体" w:hAnsi="宋体" w:cs="宋体" w:eastAsia="宋体" w:hint="default"/>
                <w:sz w:val="18"/>
                <w:szCs w:val="18"/>
              </w:rPr>
              <w:t>靳宏荣</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董事长</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离任</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center"/>
              <w:rPr>
                <w:rFonts w:ascii="Times New Roman" w:hAnsi="Times New Roman" w:cs="Times New Roman" w:eastAsia="Times New Roman" w:hint="default"/>
                <w:sz w:val="18"/>
                <w:szCs w:val="18"/>
              </w:rPr>
            </w:pPr>
            <w:r>
              <w:rPr>
                <w:rFonts w:ascii="Times New Roman"/>
                <w:sz w:val="18"/>
              </w:rPr>
              <w:t>53</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r>
      <w:tr>
        <w:trPr>
          <w:trHeight w:val="362"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83"/>
              <w:jc w:val="right"/>
              <w:rPr>
                <w:rFonts w:ascii="宋体" w:hAnsi="宋体" w:cs="宋体" w:eastAsia="宋体" w:hint="default"/>
                <w:sz w:val="18"/>
                <w:szCs w:val="18"/>
              </w:rPr>
            </w:pPr>
            <w:r>
              <w:rPr>
                <w:rFonts w:ascii="宋体" w:hAnsi="宋体" w:cs="宋体" w:eastAsia="宋体" w:hint="default"/>
                <w:sz w:val="18"/>
                <w:szCs w:val="18"/>
              </w:rPr>
              <w:t>陈小军</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董事长、总裁</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离任</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Times New Roman" w:hAnsi="Times New Roman" w:cs="Times New Roman" w:eastAsia="Times New Roman" w:hint="default"/>
                <w:sz w:val="18"/>
                <w:szCs w:val="18"/>
              </w:rPr>
            </w:pPr>
            <w:r>
              <w:rPr>
                <w:rFonts w:ascii="Times New Roman"/>
                <w:sz w:val="18"/>
              </w:rPr>
              <w:t>53</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日</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right"/>
              <w:rPr>
                <w:rFonts w:ascii="Times New Roman" w:hAnsi="Times New Roman" w:cs="Times New Roman" w:eastAsia="Times New Roman" w:hint="default"/>
                <w:sz w:val="18"/>
                <w:szCs w:val="18"/>
              </w:rPr>
            </w:pPr>
            <w:r>
              <w:rPr>
                <w:rFonts w:ascii="Times New Roman"/>
                <w:sz w:val="18"/>
              </w:rPr>
              <w:t>60,000</w:t>
            </w:r>
          </w:p>
        </w:tc>
        <w:tc>
          <w:tcPr>
            <w:tcW w:w="108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right"/>
              <w:rPr>
                <w:rFonts w:ascii="Times New Roman" w:hAnsi="Times New Roman" w:cs="Times New Roman" w:eastAsia="Times New Roman" w:hint="default"/>
                <w:sz w:val="18"/>
                <w:szCs w:val="18"/>
              </w:rPr>
            </w:pPr>
            <w:r>
              <w:rPr>
                <w:rFonts w:ascii="Times New Roman"/>
                <w:sz w:val="18"/>
              </w:rPr>
              <w:t>60,000</w:t>
            </w:r>
          </w:p>
        </w:tc>
      </w:tr>
      <w:tr>
        <w:trPr>
          <w:trHeight w:val="361"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75" w:right="0"/>
              <w:jc w:val="left"/>
              <w:rPr>
                <w:rFonts w:ascii="宋体" w:hAnsi="宋体" w:cs="宋体" w:eastAsia="宋体" w:hint="default"/>
                <w:sz w:val="18"/>
                <w:szCs w:val="18"/>
              </w:rPr>
            </w:pPr>
            <w:r>
              <w:rPr>
                <w:rFonts w:ascii="宋体" w:hAnsi="宋体" w:cs="宋体" w:eastAsia="宋体" w:hint="default"/>
                <w:sz w:val="18"/>
                <w:szCs w:val="18"/>
              </w:rPr>
              <w:t>孙劼</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离任</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Times New Roman" w:hAnsi="Times New Roman" w:cs="Times New Roman" w:eastAsia="Times New Roman" w:hint="default"/>
                <w:sz w:val="18"/>
                <w:szCs w:val="18"/>
              </w:rPr>
            </w:pPr>
            <w:r>
              <w:rPr>
                <w:rFonts w:ascii="Times New Roman"/>
                <w:sz w:val="18"/>
              </w:rPr>
              <w:t>53</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r>
      <w:tr>
        <w:trPr>
          <w:trHeight w:val="362"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75" w:right="0"/>
              <w:jc w:val="left"/>
              <w:rPr>
                <w:rFonts w:ascii="宋体" w:hAnsi="宋体" w:cs="宋体" w:eastAsia="宋体" w:hint="default"/>
                <w:sz w:val="18"/>
                <w:szCs w:val="18"/>
              </w:rPr>
            </w:pPr>
            <w:r>
              <w:rPr>
                <w:rFonts w:ascii="宋体" w:hAnsi="宋体" w:cs="宋体" w:eastAsia="宋体" w:hint="default"/>
                <w:sz w:val="18"/>
                <w:szCs w:val="18"/>
              </w:rPr>
              <w:t>冯科</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离任</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center"/>
              <w:rPr>
                <w:rFonts w:ascii="Times New Roman" w:hAnsi="Times New Roman" w:cs="Times New Roman" w:eastAsia="Times New Roman" w:hint="default"/>
                <w:sz w:val="18"/>
                <w:szCs w:val="18"/>
              </w:rPr>
            </w:pPr>
            <w:r>
              <w:rPr>
                <w:rFonts w:ascii="Times New Roman"/>
                <w:sz w:val="18"/>
              </w:rPr>
              <w:t>48</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日</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0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r>
      <w:tr>
        <w:trPr>
          <w:trHeight w:val="362" w:hRule="exact"/>
        </w:trPr>
        <w:tc>
          <w:tcPr>
            <w:tcW w:w="72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3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0"/>
              <w:ind w:right="1"/>
              <w:jc w:val="center"/>
              <w:rPr>
                <w:rFonts w:ascii="Times New Roman" w:hAnsi="Times New Roman" w:cs="Times New Roman" w:eastAsia="Times New Roman" w:hint="default"/>
                <w:sz w:val="18"/>
                <w:szCs w:val="18"/>
              </w:rPr>
            </w:pPr>
            <w:r>
              <w:rPr>
                <w:rFonts w:ascii="Times New Roman"/>
                <w:sz w:val="18"/>
              </w:rPr>
              <w:t>--</w:t>
            </w:r>
          </w:p>
        </w:tc>
        <w:tc>
          <w:tcPr>
            <w:tcW w:w="66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0"/>
              <w:ind w:right="1"/>
              <w:jc w:val="center"/>
              <w:rPr>
                <w:rFonts w:ascii="Times New Roman" w:hAnsi="Times New Roman" w:cs="Times New Roman" w:eastAsia="Times New Roman" w:hint="default"/>
                <w:sz w:val="18"/>
                <w:szCs w:val="18"/>
              </w:rPr>
            </w:pPr>
            <w:r>
              <w:rPr>
                <w:rFonts w:ascii="Times New Roman"/>
                <w:sz w:val="18"/>
              </w:rPr>
              <w:t>--</w:t>
            </w:r>
          </w:p>
        </w:tc>
        <w:tc>
          <w:tcPr>
            <w:tcW w:w="54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0"/>
              <w:ind w:right="0"/>
              <w:jc w:val="center"/>
              <w:rPr>
                <w:rFonts w:ascii="Times New Roman" w:hAnsi="Times New Roman" w:cs="Times New Roman" w:eastAsia="Times New Roman" w:hint="default"/>
                <w:sz w:val="18"/>
                <w:szCs w:val="18"/>
              </w:rPr>
            </w:pPr>
            <w:r>
              <w:rPr>
                <w:rFonts w:ascii="Times New Roman"/>
                <w:sz w:val="18"/>
              </w:rPr>
              <w:t>--</w:t>
            </w:r>
          </w:p>
        </w:tc>
        <w:tc>
          <w:tcPr>
            <w:tcW w:w="54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0"/>
              <w:ind w:right="0"/>
              <w:jc w:val="center"/>
              <w:rPr>
                <w:rFonts w:ascii="Times New Roman" w:hAnsi="Times New Roman" w:cs="Times New Roman" w:eastAsia="Times New Roman" w:hint="default"/>
                <w:sz w:val="18"/>
                <w:szCs w:val="18"/>
              </w:rPr>
            </w:pPr>
            <w:r>
              <w:rPr>
                <w:rFonts w:ascii="Times New Roman"/>
                <w:sz w:val="18"/>
              </w:rPr>
              <w:t>--</w:t>
            </w:r>
          </w:p>
        </w:tc>
        <w:tc>
          <w:tcPr>
            <w:tcW w:w="144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0"/>
              <w:ind w:right="0"/>
              <w:jc w:val="center"/>
              <w:rPr>
                <w:rFonts w:ascii="Times New Roman" w:hAnsi="Times New Roman" w:cs="Times New Roman" w:eastAsia="Times New Roman" w:hint="default"/>
                <w:sz w:val="18"/>
                <w:szCs w:val="18"/>
              </w:rPr>
            </w:pPr>
            <w:r>
              <w:rPr>
                <w:rFonts w:ascii="Times New Roman"/>
                <w:sz w:val="18"/>
              </w:rPr>
              <w:t>--</w:t>
            </w:r>
          </w:p>
        </w:tc>
        <w:tc>
          <w:tcPr>
            <w:tcW w:w="149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0"/>
              <w:ind w:right="0"/>
              <w:jc w:val="center"/>
              <w:rPr>
                <w:rFonts w:ascii="Times New Roman" w:hAnsi="Times New Roman" w:cs="Times New Roman" w:eastAsia="Times New Roman" w:hint="default"/>
                <w:sz w:val="18"/>
                <w:szCs w:val="18"/>
              </w:rPr>
            </w:pPr>
            <w:r>
              <w:rPr>
                <w:rFonts w:ascii="Times New Roman"/>
                <w:sz w:val="18"/>
              </w:rPr>
              <w:t>--</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right"/>
              <w:rPr>
                <w:rFonts w:ascii="Times New Roman" w:hAnsi="Times New Roman" w:cs="Times New Roman" w:eastAsia="Times New Roman" w:hint="default"/>
                <w:sz w:val="18"/>
                <w:szCs w:val="18"/>
              </w:rPr>
            </w:pPr>
            <w:r>
              <w:rPr>
                <w:rFonts w:ascii="Times New Roman"/>
                <w:sz w:val="18"/>
              </w:rPr>
              <w:t>31,680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right"/>
              <w:rPr>
                <w:rFonts w:ascii="Times New Roman" w:hAnsi="Times New Roman" w:cs="Times New Roman" w:eastAsia="Times New Roman" w:hint="default"/>
                <w:sz w:val="18"/>
                <w:szCs w:val="18"/>
              </w:rPr>
            </w:pPr>
            <w:r>
              <w:rPr>
                <w:rFonts w:ascii="Times New Roman"/>
                <w:sz w:val="18"/>
              </w:rPr>
              <w:t>414,000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right"/>
              <w:rPr>
                <w:rFonts w:ascii="Times New Roman" w:hAnsi="Times New Roman" w:cs="Times New Roman" w:eastAsia="Times New Roman" w:hint="default"/>
                <w:sz w:val="18"/>
                <w:szCs w:val="18"/>
              </w:rPr>
            </w:pPr>
            <w:r>
              <w:rPr>
                <w:rFonts w:ascii="Times New Roman"/>
                <w:sz w:val="18"/>
              </w:rPr>
              <w:t>0</w:t>
            </w:r>
          </w:p>
        </w:tc>
        <w:tc>
          <w:tcPr>
            <w:tcW w:w="900"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
              <w:jc w:val="right"/>
              <w:rPr>
                <w:rFonts w:ascii="Times New Roman" w:hAnsi="Times New Roman" w:cs="Times New Roman" w:eastAsia="Times New Roman" w:hint="default"/>
                <w:sz w:val="18"/>
                <w:szCs w:val="18"/>
              </w:rPr>
            </w:pPr>
            <w:r>
              <w:rPr>
                <w:rFonts w:ascii="Times New Roman"/>
                <w:sz w:val="18"/>
              </w:rPr>
              <w:t>445,680</w:t>
            </w:r>
          </w:p>
        </w:tc>
      </w:tr>
    </w:tbl>
    <w:p>
      <w:pPr>
        <w:spacing w:line="240" w:lineRule="auto" w:before="10"/>
        <w:rPr>
          <w:rFonts w:ascii="宋体" w:hAnsi="宋体" w:cs="宋体" w:eastAsia="宋体" w:hint="default"/>
          <w:b/>
          <w:bCs/>
          <w:sz w:val="8"/>
          <w:szCs w:val="8"/>
        </w:rPr>
      </w:pPr>
    </w:p>
    <w:p>
      <w:pPr>
        <w:pStyle w:val="Heading4"/>
        <w:spacing w:line="240" w:lineRule="auto" w:before="26"/>
        <w:ind w:left="994" w:right="0"/>
        <w:jc w:val="left"/>
        <w:rPr>
          <w:b w:val="0"/>
          <w:bCs w:val="0"/>
        </w:rPr>
      </w:pPr>
      <w:r>
        <w:rPr/>
        <w:t>二、公司董事、监事、高级管理人员变动情况</w:t>
      </w:r>
      <w:r>
        <w:rPr>
          <w:b w:val="0"/>
          <w:bCs w:val="0"/>
        </w:rPr>
      </w:r>
    </w:p>
    <w:p>
      <w:pPr>
        <w:spacing w:line="240" w:lineRule="auto" w:before="6"/>
        <w:rPr>
          <w:rFonts w:ascii="宋体" w:hAnsi="宋体" w:cs="宋体" w:eastAsia="宋体" w:hint="default"/>
          <w:b/>
          <w:bCs/>
          <w:sz w:val="17"/>
          <w:szCs w:val="17"/>
        </w:rPr>
      </w:pPr>
    </w:p>
    <w:p>
      <w:pPr>
        <w:spacing w:before="0"/>
        <w:ind w:left="99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0"/>
        <w:rPr>
          <w:rFonts w:ascii="宋体" w:hAnsi="宋体" w:cs="宋体" w:eastAsia="宋体" w:hint="default"/>
          <w:sz w:val="8"/>
          <w:szCs w:val="8"/>
        </w:rPr>
      </w:pPr>
    </w:p>
    <w:tbl>
      <w:tblPr>
        <w:tblW w:w="0" w:type="auto"/>
        <w:jc w:val="left"/>
        <w:tblInd w:w="1024" w:type="dxa"/>
        <w:tblLayout w:type="fixed"/>
        <w:tblCellMar>
          <w:top w:w="0" w:type="dxa"/>
          <w:left w:w="0" w:type="dxa"/>
          <w:bottom w:w="0" w:type="dxa"/>
          <w:right w:w="0" w:type="dxa"/>
        </w:tblCellMar>
        <w:tblLook w:val="01E0"/>
      </w:tblPr>
      <w:tblGrid>
        <w:gridCol w:w="1260"/>
        <w:gridCol w:w="1260"/>
        <w:gridCol w:w="1260"/>
        <w:gridCol w:w="1541"/>
        <w:gridCol w:w="4247"/>
      </w:tblGrid>
      <w:tr>
        <w:trPr>
          <w:trHeight w:val="322" w:hRule="exact"/>
        </w:trPr>
        <w:tc>
          <w:tcPr>
            <w:tcW w:w="12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2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担任的职务</w:t>
            </w:r>
          </w:p>
        </w:tc>
        <w:tc>
          <w:tcPr>
            <w:tcW w:w="12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类型</w:t>
            </w:r>
          </w:p>
        </w:tc>
        <w:tc>
          <w:tcPr>
            <w:tcW w:w="154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日期</w:t>
            </w:r>
          </w:p>
        </w:tc>
        <w:tc>
          <w:tcPr>
            <w:tcW w:w="424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原因</w:t>
            </w:r>
          </w:p>
        </w:tc>
      </w:tr>
      <w:tr>
        <w:trPr>
          <w:trHeight w:val="322" w:hRule="exact"/>
        </w:trPr>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吕宝利</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被选举</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42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董事会换届</w:t>
            </w:r>
          </w:p>
        </w:tc>
      </w:tr>
      <w:tr>
        <w:trPr>
          <w:trHeight w:val="322" w:hRule="exact"/>
        </w:trPr>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吴中海</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被选举</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42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董事会换届</w:t>
            </w:r>
          </w:p>
        </w:tc>
      </w:tr>
      <w:tr>
        <w:trPr>
          <w:trHeight w:val="323" w:hRule="exact"/>
        </w:trPr>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陈小军</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被选举</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42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第七届董事会第三次会议选举</w:t>
            </w:r>
          </w:p>
        </w:tc>
      </w:tr>
      <w:tr>
        <w:trPr>
          <w:trHeight w:val="322" w:hRule="exact"/>
        </w:trPr>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徐刚</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总裁</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聘任</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42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第七届董事会第三次会议聘任</w:t>
            </w:r>
          </w:p>
        </w:tc>
      </w:tr>
    </w:tbl>
    <w:p>
      <w:pPr>
        <w:spacing w:after="0" w:line="240" w:lineRule="auto"/>
        <w:jc w:val="left"/>
        <w:rPr>
          <w:rFonts w:ascii="宋体" w:hAnsi="宋体" w:cs="宋体" w:eastAsia="宋体" w:hint="default"/>
          <w:sz w:val="18"/>
          <w:szCs w:val="18"/>
        </w:rPr>
        <w:sectPr>
          <w:pgSz w:w="11910" w:h="16840"/>
          <w:pgMar w:header="787" w:footer="982" w:top="1100" w:bottom="1180" w:left="140" w:right="0"/>
        </w:sectPr>
      </w:pPr>
    </w:p>
    <w:p>
      <w:pPr>
        <w:spacing w:line="240" w:lineRule="auto" w:before="5"/>
        <w:rPr>
          <w:rFonts w:ascii="宋体" w:hAnsi="宋体" w:cs="宋体" w:eastAsia="宋体" w:hint="default"/>
          <w:sz w:val="25"/>
          <w:szCs w:val="25"/>
        </w:rPr>
      </w:pPr>
    </w:p>
    <w:tbl>
      <w:tblPr>
        <w:tblW w:w="0" w:type="auto"/>
        <w:jc w:val="left"/>
        <w:tblInd w:w="183" w:type="dxa"/>
        <w:tblLayout w:type="fixed"/>
        <w:tblCellMar>
          <w:top w:w="0" w:type="dxa"/>
          <w:left w:w="0" w:type="dxa"/>
          <w:bottom w:w="0" w:type="dxa"/>
          <w:right w:w="0" w:type="dxa"/>
        </w:tblCellMar>
        <w:tblLook w:val="01E0"/>
      </w:tblPr>
      <w:tblGrid>
        <w:gridCol w:w="1260"/>
        <w:gridCol w:w="1260"/>
        <w:gridCol w:w="1260"/>
        <w:gridCol w:w="1541"/>
        <w:gridCol w:w="4247"/>
      </w:tblGrid>
      <w:tr>
        <w:trPr>
          <w:trHeight w:val="322" w:hRule="exact"/>
        </w:trPr>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徐刚</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被选举</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42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年度第五次临时股东大会选举</w:t>
            </w:r>
          </w:p>
        </w:tc>
      </w:tr>
      <w:tr>
        <w:trPr>
          <w:trHeight w:val="367" w:hRule="exact"/>
        </w:trPr>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8"/>
                <w:szCs w:val="18"/>
              </w:rPr>
            </w:pPr>
            <w:r>
              <w:rPr>
                <w:rFonts w:ascii="宋体" w:hAnsi="宋体" w:cs="宋体" w:eastAsia="宋体" w:hint="default"/>
                <w:sz w:val="18"/>
                <w:szCs w:val="18"/>
              </w:rPr>
              <w:t>段军</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8"/>
                <w:szCs w:val="18"/>
              </w:rPr>
            </w:pPr>
            <w:r>
              <w:rPr>
                <w:rFonts w:ascii="宋体" w:hAnsi="宋体" w:cs="宋体" w:eastAsia="宋体" w:hint="default"/>
                <w:sz w:val="18"/>
                <w:szCs w:val="18"/>
              </w:rPr>
              <w:t>总法律顾问</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8"/>
                <w:szCs w:val="18"/>
              </w:rPr>
            </w:pPr>
            <w:r>
              <w:rPr>
                <w:rFonts w:ascii="宋体" w:hAnsi="宋体" w:cs="宋体" w:eastAsia="宋体" w:hint="default"/>
                <w:sz w:val="18"/>
                <w:szCs w:val="18"/>
              </w:rPr>
              <w:t>聘任</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42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2" w:right="0"/>
              <w:jc w:val="left"/>
              <w:rPr>
                <w:rFonts w:ascii="宋体" w:hAnsi="宋体" w:cs="宋体" w:eastAsia="宋体" w:hint="default"/>
                <w:sz w:val="18"/>
                <w:szCs w:val="18"/>
              </w:rPr>
            </w:pPr>
            <w:r>
              <w:rPr>
                <w:rFonts w:ascii="宋体" w:hAnsi="宋体" w:cs="宋体" w:eastAsia="宋体" w:hint="default"/>
                <w:sz w:val="18"/>
                <w:szCs w:val="18"/>
              </w:rPr>
              <w:t>第七届董事会第九次会议聘任</w:t>
            </w:r>
          </w:p>
        </w:tc>
      </w:tr>
      <w:tr>
        <w:trPr>
          <w:trHeight w:val="322" w:hRule="exact"/>
        </w:trPr>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宋黎定</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被选举</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42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年度第二次临时股东大会选举</w:t>
            </w:r>
          </w:p>
        </w:tc>
      </w:tr>
      <w:tr>
        <w:trPr>
          <w:trHeight w:val="323" w:hRule="exact"/>
        </w:trPr>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宋黎定</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被选举</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42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第七届董事会第十五次会议选举</w:t>
            </w:r>
          </w:p>
        </w:tc>
      </w:tr>
      <w:tr>
        <w:trPr>
          <w:trHeight w:val="322" w:hRule="exact"/>
        </w:trPr>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孙劼</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任期满离任</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42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董事会换届</w:t>
            </w:r>
          </w:p>
        </w:tc>
      </w:tr>
      <w:tr>
        <w:trPr>
          <w:trHeight w:val="322" w:hRule="exact"/>
        </w:trPr>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冯科</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任期满离任</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42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董事会换届</w:t>
            </w:r>
          </w:p>
        </w:tc>
      </w:tr>
      <w:tr>
        <w:trPr>
          <w:trHeight w:val="323" w:hRule="exact"/>
        </w:trPr>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靳宏荣</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42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工作调整变动</w:t>
            </w:r>
          </w:p>
        </w:tc>
      </w:tr>
      <w:tr>
        <w:trPr>
          <w:trHeight w:val="322" w:hRule="exact"/>
        </w:trPr>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陈小军</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总裁</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解聘</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42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职位变动</w:t>
            </w:r>
          </w:p>
        </w:tc>
      </w:tr>
      <w:tr>
        <w:trPr>
          <w:trHeight w:val="322" w:hRule="exact"/>
        </w:trPr>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徐刚</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高级副总裁</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解聘</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42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职位变动</w:t>
            </w:r>
          </w:p>
        </w:tc>
      </w:tr>
      <w:tr>
        <w:trPr>
          <w:trHeight w:val="323" w:hRule="exact"/>
        </w:trPr>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陈小军</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42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工作调整变动</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b/>
          <w:bCs/>
          <w:sz w:val="18"/>
          <w:szCs w:val="18"/>
        </w:rPr>
        <w:t>董事、监事、高级管理人员变动情况说明</w:t>
      </w:r>
      <w:r>
        <w:rPr>
          <w:rFonts w:ascii="宋体" w:hAnsi="宋体" w:cs="宋体" w:eastAsia="宋体" w:hint="default"/>
          <w:sz w:val="18"/>
          <w:szCs w:val="18"/>
        </w:rPr>
      </w:r>
    </w:p>
    <w:p>
      <w:pPr>
        <w:spacing w:line="309" w:lineRule="auto" w:before="116"/>
        <w:ind w:left="153" w:right="1128" w:firstLine="360"/>
        <w:jc w:val="both"/>
        <w:rPr>
          <w:rFonts w:ascii="宋体" w:hAnsi="宋体" w:cs="宋体" w:eastAsia="宋体" w:hint="default"/>
          <w:sz w:val="18"/>
          <w:szCs w:val="18"/>
        </w:rPr>
      </w:pPr>
      <w:r>
        <w:rPr>
          <w:rFonts w:ascii="宋体" w:hAnsi="宋体" w:cs="宋体" w:eastAsia="宋体" w:hint="default"/>
          <w:sz w:val="18"/>
          <w:szCs w:val="18"/>
        </w:rPr>
        <w:t>经</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日公司第六届董事会第二十一次会议、第六届监事会第二十次会议、</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日公司</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年度 </w:t>
      </w:r>
      <w:r>
        <w:rPr>
          <w:rFonts w:ascii="宋体" w:hAnsi="宋体" w:cs="宋体" w:eastAsia="宋体" w:hint="default"/>
          <w:spacing w:val="-2"/>
          <w:sz w:val="18"/>
          <w:szCs w:val="18"/>
        </w:rPr>
        <w:t>第四次临时股东大会审议通过，公司完成第七届董事会、第七届监事会换届选举工作，吕宝利先生新任公司董事，吴中海先</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生新任公司独立董事；孙劼先生、冯科先生任期届满，不再担任公司任何职务。</w:t>
      </w:r>
    </w:p>
    <w:p>
      <w:pPr>
        <w:spacing w:line="309" w:lineRule="auto" w:before="62"/>
        <w:ind w:left="153" w:right="1130" w:firstLine="360"/>
        <w:jc w:val="both"/>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月</w:t>
      </w:r>
      <w:r>
        <w:rPr>
          <w:rFonts w:ascii="宋体" w:hAnsi="宋体" w:cs="宋体" w:eastAsia="宋体" w:hint="default"/>
          <w:spacing w:val="-34"/>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日，因工作调整变动原因，靳宏荣先生辞去公司董事长职务，不再担任公司任何职务。同日，经公司第 </w:t>
      </w:r>
      <w:r>
        <w:rPr>
          <w:rFonts w:ascii="宋体" w:hAnsi="宋体" w:cs="宋体" w:eastAsia="宋体" w:hint="default"/>
          <w:spacing w:val="-2"/>
          <w:sz w:val="18"/>
          <w:szCs w:val="18"/>
        </w:rPr>
        <w:t>七届董事会第三次会议审议，选举陈小军先生为公司董事长，并同时解聘其公司总裁职务；提名徐刚先生为公司第七届董事</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会董事候选人；聘任徐刚先生为公司总裁，并同时解聘其公司高级副总裁职务。</w:t>
      </w:r>
    </w:p>
    <w:p>
      <w:pPr>
        <w:spacing w:before="64"/>
        <w:ind w:left="513" w:right="0" w:firstLine="0"/>
        <w:jc w:val="left"/>
        <w:rPr>
          <w:rFonts w:ascii="宋体" w:hAnsi="宋体" w:cs="宋体" w:eastAsia="宋体" w:hint="default"/>
          <w:sz w:val="18"/>
          <w:szCs w:val="18"/>
        </w:rPr>
      </w:pPr>
      <w:r>
        <w:rPr>
          <w:rFonts w:ascii="宋体" w:hAnsi="宋体" w:cs="宋体" w:eastAsia="宋体" w:hint="default"/>
          <w:sz w:val="18"/>
          <w:szCs w:val="18"/>
        </w:rPr>
        <w:t>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年度第五次临时股东大会审议，选举徐刚先生为公司第七届董事会董事。</w:t>
      </w:r>
    </w:p>
    <w:p>
      <w:pPr>
        <w:spacing w:before="103"/>
        <w:ind w:left="513" w:right="0" w:firstLine="0"/>
        <w:jc w:val="left"/>
        <w:rPr>
          <w:rFonts w:ascii="宋体" w:hAnsi="宋体" w:cs="宋体" w:eastAsia="宋体" w:hint="default"/>
          <w:sz w:val="18"/>
          <w:szCs w:val="18"/>
        </w:rPr>
      </w:pPr>
      <w:r>
        <w:rPr>
          <w:rFonts w:ascii="宋体" w:hAnsi="宋体" w:cs="宋体" w:eastAsia="宋体" w:hint="default"/>
          <w:sz w:val="18"/>
          <w:szCs w:val="18"/>
        </w:rPr>
        <w:t>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日公司第七届董事会第九次会议审议，聘任段军先生为公司总法律顾问。</w:t>
      </w:r>
    </w:p>
    <w:p>
      <w:pPr>
        <w:spacing w:line="302" w:lineRule="auto" w:before="101"/>
        <w:ind w:left="153" w:right="1130" w:firstLine="360"/>
        <w:jc w:val="both"/>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日，因工作调整变动原因，陈小军先生辞去公司董事长职务，不再担任公司任何职务；同日，经公司第 七届董事会第十四次会议审议，提名宋黎定先生为公司第七届董事会董事候选人。</w:t>
      </w:r>
    </w:p>
    <w:p>
      <w:pPr>
        <w:spacing w:line="302" w:lineRule="auto" w:before="68"/>
        <w:ind w:left="153" w:right="1130" w:firstLine="360"/>
        <w:jc w:val="both"/>
        <w:rPr>
          <w:rFonts w:ascii="宋体" w:hAnsi="宋体" w:cs="宋体" w:eastAsia="宋体" w:hint="default"/>
          <w:sz w:val="18"/>
          <w:szCs w:val="18"/>
        </w:rPr>
      </w:pPr>
      <w:r>
        <w:rPr>
          <w:rFonts w:ascii="宋体" w:hAnsi="宋体" w:cs="宋体" w:eastAsia="宋体" w:hint="default"/>
          <w:sz w:val="18"/>
          <w:szCs w:val="18"/>
        </w:rPr>
        <w:t>经</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日公司</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年度第二次临时股东大会审议，选举宋黎定先生为公司第七届董事会董事；同日，经公 司第七届董事会第十五次会议审议，选举宋黎定先生为公司董事长。</w:t>
      </w:r>
    </w:p>
    <w:p>
      <w:pPr>
        <w:pStyle w:val="Heading4"/>
        <w:spacing w:line="240" w:lineRule="auto" w:before="160"/>
        <w:ind w:right="0"/>
        <w:jc w:val="left"/>
        <w:rPr>
          <w:b w:val="0"/>
          <w:bCs w:val="0"/>
        </w:rPr>
      </w:pPr>
      <w:r>
        <w:rPr/>
        <w:t>三、任职情况</w:t>
      </w:r>
      <w:r>
        <w:rPr>
          <w:b w:val="0"/>
          <w:bCs w:val="0"/>
        </w:rPr>
      </w:r>
    </w:p>
    <w:p>
      <w:pPr>
        <w:spacing w:line="240" w:lineRule="auto" w:before="5"/>
        <w:rPr>
          <w:rFonts w:ascii="宋体" w:hAnsi="宋体" w:cs="宋体" w:eastAsia="宋体" w:hint="default"/>
          <w:b/>
          <w:bCs/>
          <w:sz w:val="17"/>
          <w:szCs w:val="17"/>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公司现任董事、监事、高级管理人员专业背景、主要工作经历以及目前在公司的主要职责</w:t>
      </w:r>
    </w:p>
    <w:p>
      <w:pPr>
        <w:spacing w:before="117"/>
        <w:ind w:left="515"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1</w:t>
      </w:r>
      <w:r>
        <w:rPr>
          <w:rFonts w:ascii="宋体" w:hAnsi="宋体" w:cs="宋体" w:eastAsia="宋体" w:hint="default"/>
          <w:b/>
          <w:bCs/>
          <w:sz w:val="18"/>
          <w:szCs w:val="18"/>
        </w:rPr>
        <w:t>、董事主要工作经历</w:t>
      </w:r>
      <w:r>
        <w:rPr>
          <w:rFonts w:ascii="宋体" w:hAnsi="宋体" w:cs="宋体" w:eastAsia="宋体" w:hint="default"/>
          <w:sz w:val="18"/>
          <w:szCs w:val="18"/>
        </w:rPr>
      </w:r>
    </w:p>
    <w:p>
      <w:pPr>
        <w:spacing w:line="312" w:lineRule="auto" w:before="101"/>
        <w:ind w:left="154" w:right="0" w:firstLine="36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）宋黎定先生，本公司董事长、党委书记，中国国籍，毕业于西北电讯工程学院电子工程系信息处理专业，大学本 </w:t>
      </w:r>
      <w:r>
        <w:rPr>
          <w:rFonts w:ascii="宋体" w:hAnsi="宋体" w:cs="宋体" w:eastAsia="宋体" w:hint="default"/>
          <w:spacing w:val="-4"/>
          <w:sz w:val="18"/>
          <w:szCs w:val="18"/>
        </w:rPr>
        <w:t>科学历；西安电子科技大学电子与通信工程专业，工程硕士学位；研究员。现任中国电子信息产业集团有限公司总经理助理；</w:t>
      </w:r>
      <w:r>
        <w:rPr>
          <w:rFonts w:ascii="宋体" w:hAnsi="宋体" w:cs="宋体" w:eastAsia="宋体" w:hint="default"/>
          <w:spacing w:val="-46"/>
          <w:sz w:val="18"/>
          <w:szCs w:val="18"/>
        </w:rPr>
        <w:t> </w:t>
      </w:r>
      <w:r>
        <w:rPr>
          <w:rFonts w:ascii="宋体" w:hAnsi="宋体" w:cs="宋体" w:eastAsia="宋体" w:hint="default"/>
          <w:spacing w:val="-46"/>
          <w:sz w:val="18"/>
          <w:szCs w:val="18"/>
        </w:rPr>
      </w:r>
      <w:r>
        <w:rPr>
          <w:rFonts w:ascii="宋体" w:hAnsi="宋体" w:cs="宋体" w:eastAsia="宋体" w:hint="default"/>
          <w:spacing w:val="-2"/>
          <w:sz w:val="18"/>
          <w:szCs w:val="18"/>
        </w:rPr>
        <w:t>兼任华北计算机系统工程研究所所长兼党委副书记。曾任中国电子信息产业集团有限公司系统装备部主任，中国乐凯集团有</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2"/>
          <w:sz w:val="18"/>
          <w:szCs w:val="18"/>
        </w:rPr>
        <w:t>限公司董事、党委书记兼乐凯胶片股份有限公司董事长，中国空间技术研究院副院长、党委委员兼中国东方红卫星股份有限</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公司总裁，山东航天电子技术研究所所长、副所长。曾获国防科技进步奖一等奖、中国载人航天工程突出贡献奖和首次月球</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探测工程突出贡献奖；</w:t>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年山东年度十大新闻人物之一，</w:t>
      </w:r>
      <w:r>
        <w:rPr>
          <w:rFonts w:ascii="Times New Roman" w:hAnsi="Times New Roman" w:cs="Times New Roman" w:eastAsia="Times New Roman" w:hint="default"/>
          <w:sz w:val="18"/>
          <w:szCs w:val="18"/>
        </w:rPr>
        <w:t>2003</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年首届感动中国暨感动烟台人物之一。</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月首次担 任本公司董事、董事长。</w:t>
      </w:r>
    </w:p>
    <w:p>
      <w:pPr>
        <w:spacing w:line="307" w:lineRule="auto" w:before="61"/>
        <w:ind w:left="153" w:right="1128" w:firstLine="360"/>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）徐刚先生，本公司董事兼总裁，党委副书记，中国国籍，毕业于西北电讯工程学院无线电通信专业，大学本科学 </w:t>
      </w:r>
      <w:r>
        <w:rPr>
          <w:rFonts w:ascii="宋体" w:hAnsi="宋体" w:cs="宋体" w:eastAsia="宋体" w:hint="default"/>
          <w:spacing w:val="-2"/>
          <w:sz w:val="18"/>
          <w:szCs w:val="18"/>
        </w:rPr>
        <w:t>历；华中科技大学电子与信息工程专业，工程硕士学位；研究员级高级工程师。曾任本公司高级副总裁，武汉中原电子集团</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有限公司董事兼总经理、副总经理、总经理助理兼制造部部长等职。</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7 </w:t>
      </w:r>
      <w:r>
        <w:rPr>
          <w:rFonts w:ascii="宋体" w:hAnsi="宋体" w:cs="宋体" w:eastAsia="宋体" w:hint="default"/>
          <w:sz w:val="18"/>
          <w:szCs w:val="18"/>
        </w:rPr>
        <w:t>月起任本公司总裁，</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8 </w:t>
      </w:r>
      <w:r>
        <w:rPr>
          <w:rFonts w:ascii="宋体" w:hAnsi="宋体" w:cs="宋体" w:eastAsia="宋体" w:hint="default"/>
          <w:sz w:val="18"/>
          <w:szCs w:val="18"/>
        </w:rPr>
        <w:t>月首次担任本 公司董事。</w:t>
      </w:r>
    </w:p>
    <w:p>
      <w:pPr>
        <w:spacing w:line="312" w:lineRule="auto" w:before="65"/>
        <w:ind w:left="153" w:right="1128" w:firstLine="360"/>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）李峻先生，本公司董事，中国国籍，毕业于武汉大学遥感信息工程学院，博士，高级工程师。现任中国电子信息 </w:t>
      </w:r>
      <w:r>
        <w:rPr>
          <w:rFonts w:ascii="宋体" w:hAnsi="宋体" w:cs="宋体" w:eastAsia="宋体" w:hint="default"/>
          <w:spacing w:val="-2"/>
          <w:sz w:val="18"/>
          <w:szCs w:val="18"/>
        </w:rPr>
        <w:t>产业集团有限公司规划科技部主任、科技委办公室主任；兼任冠捷科技有限公司董事、晶门科技有限公司董事、华大半导体</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有限公司董事、彩虹集团有限公司董事。曾任中国电子信息产业集团有限公司规划科技部副主任兼科技处处长、中国电子信</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息产业发展研究院副总工程师、赛迪顾问股份有限公司总裁等职。</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月首次担任本公司董事，</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月换届选举</w:t>
      </w:r>
    </w:p>
    <w:p>
      <w:pPr>
        <w:spacing w:after="0" w:line="312" w:lineRule="auto"/>
        <w:jc w:val="both"/>
        <w:rPr>
          <w:rFonts w:ascii="宋体" w:hAnsi="宋体" w:cs="宋体" w:eastAsia="宋体" w:hint="default"/>
          <w:sz w:val="18"/>
          <w:szCs w:val="18"/>
        </w:rPr>
        <w:sectPr>
          <w:pgSz w:w="11910" w:h="16840"/>
          <w:pgMar w:header="787" w:footer="982" w:top="1100" w:bottom="1180" w:left="980" w:right="0"/>
        </w:sectPr>
      </w:pPr>
    </w:p>
    <w:p>
      <w:pPr>
        <w:spacing w:line="240" w:lineRule="auto" w:before="11"/>
        <w:rPr>
          <w:rFonts w:ascii="宋体" w:hAnsi="宋体" w:cs="宋体" w:eastAsia="宋体" w:hint="default"/>
          <w:sz w:val="22"/>
          <w:szCs w:val="22"/>
        </w:rPr>
      </w:pPr>
    </w:p>
    <w:p>
      <w:pPr>
        <w:spacing w:before="44"/>
        <w:ind w:left="154" w:right="0" w:firstLine="0"/>
        <w:jc w:val="left"/>
        <w:rPr>
          <w:rFonts w:ascii="宋体" w:hAnsi="宋体" w:cs="宋体" w:eastAsia="宋体" w:hint="default"/>
          <w:sz w:val="18"/>
          <w:szCs w:val="18"/>
        </w:rPr>
      </w:pPr>
      <w:r>
        <w:rPr>
          <w:rFonts w:ascii="宋体" w:hAnsi="宋体" w:cs="宋体" w:eastAsia="宋体" w:hint="default"/>
          <w:sz w:val="18"/>
          <w:szCs w:val="18"/>
        </w:rPr>
        <w:t>时连任本公司第七届董事会董事。</w:t>
      </w:r>
    </w:p>
    <w:p>
      <w:pPr>
        <w:spacing w:line="307" w:lineRule="auto" w:before="115"/>
        <w:ind w:left="154" w:right="1095" w:firstLine="360"/>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）孔雪屏女士，本公司董事，中国国籍，毕业于北京大学法律系，硕士研究生学历，拥有企业法律顾问执业资格、 </w:t>
      </w:r>
      <w:r>
        <w:rPr>
          <w:rFonts w:ascii="宋体" w:hAnsi="宋体" w:cs="宋体" w:eastAsia="宋体" w:hint="default"/>
          <w:spacing w:val="-2"/>
          <w:sz w:val="18"/>
          <w:szCs w:val="18"/>
        </w:rPr>
        <w:t>律师执业资格、高级风险管理师资格。现任中国电子信息产业集团有限公司法律事务部主任。曾任中国电子信息产业集团有</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限公司法律事务部负责人、办公厅法律事务处处长，长城科技股份有限公司监事等职。</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月首次担任本公司董事，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月换届选举时连任本公司第七届董事会董事。</w:t>
      </w:r>
    </w:p>
    <w:p>
      <w:pPr>
        <w:spacing w:line="312" w:lineRule="auto" w:before="46"/>
        <w:ind w:left="154" w:right="1022" w:firstLine="36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z w:val="18"/>
          <w:szCs w:val="18"/>
        </w:rPr>
        <w:t>）吕宝利先生，本公司董事，中国国籍，毕业于西安建筑科技大学管理工程专业，大学本科学历，高级工程师。现 </w:t>
      </w:r>
      <w:r>
        <w:rPr>
          <w:rFonts w:ascii="宋体" w:hAnsi="宋体" w:cs="宋体" w:eastAsia="宋体" w:hint="default"/>
          <w:spacing w:val="-2"/>
          <w:sz w:val="18"/>
          <w:szCs w:val="18"/>
        </w:rPr>
        <w:t>任中国电子信息产业集团有限公司军工事业部（系统装备部）副主任；兼任盛科网络（苏州）有限公司董事长、南京中电熊</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4"/>
          <w:sz w:val="18"/>
          <w:szCs w:val="18"/>
        </w:rPr>
        <w:t>猫信息产业集团有限公司董事、中软信息系统工程有限公司董事。曾任陕西长岭电子科技有限责任公司综合计划处处长等职。</w:t>
      </w:r>
      <w:r>
        <w:rPr>
          <w:rFonts w:ascii="宋体" w:hAnsi="宋体" w:cs="宋体" w:eastAsia="宋体" w:hint="default"/>
          <w:spacing w:val="-44"/>
          <w:sz w:val="18"/>
          <w:szCs w:val="18"/>
        </w:rPr>
        <w:t> </w:t>
      </w:r>
      <w:r>
        <w:rPr>
          <w:rFonts w:ascii="宋体" w:hAnsi="宋体" w:cs="宋体" w:eastAsia="宋体" w:hint="default"/>
          <w:spacing w:val="-44"/>
          <w:sz w:val="18"/>
          <w:szCs w:val="18"/>
        </w:rPr>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月首次担任本公司董事。</w:t>
      </w:r>
    </w:p>
    <w:p>
      <w:pPr>
        <w:spacing w:line="312" w:lineRule="auto" w:before="41"/>
        <w:ind w:left="154" w:right="1128" w:firstLine="360"/>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6</w:t>
      </w:r>
      <w:r>
        <w:rPr>
          <w:rFonts w:ascii="宋体" w:hAnsi="宋体" w:cs="宋体" w:eastAsia="宋体" w:hint="default"/>
          <w:sz w:val="18"/>
          <w:szCs w:val="18"/>
        </w:rPr>
        <w:t>）张志勇先生，本公司董事，中国国籍，毕业于中央财经大学金融学院，经济学硕士，高级经济师。现任中国电子 </w:t>
      </w:r>
      <w:r>
        <w:rPr>
          <w:rFonts w:ascii="宋体" w:hAnsi="宋体" w:cs="宋体" w:eastAsia="宋体" w:hint="default"/>
          <w:spacing w:val="-2"/>
          <w:sz w:val="18"/>
          <w:szCs w:val="18"/>
        </w:rPr>
        <w:t>信息产业集团有限公司资产经营部副主任；兼任华电有限公司董事长、中电长城网际系统应用有限公司董事、上海浦东软件</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园股份有限公司董事、中国电子投资控股有限公司董事、成都中电锦江信息产业有限公司董事。曾任中国钢研科技集团有限</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公司财务部预算信息处副处长、处长，北京纳克检测技术有限公司总经理助理，中国电子信息产业集团有限公司资产经营部</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改革重组处处长、资本运营处处长等职。</w:t>
      </w: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月首次担任本公司董事，</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月换届选举时连任本公司第七届董事 会董事。</w:t>
      </w:r>
    </w:p>
    <w:p>
      <w:pPr>
        <w:spacing w:line="314" w:lineRule="auto" w:before="61"/>
        <w:ind w:left="154" w:right="1128" w:firstLine="360"/>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7</w:t>
      </w:r>
      <w:r>
        <w:rPr>
          <w:rFonts w:ascii="宋体" w:hAnsi="宋体" w:cs="宋体" w:eastAsia="宋体" w:hint="default"/>
          <w:sz w:val="18"/>
          <w:szCs w:val="18"/>
        </w:rPr>
        <w:t>）虞世全先生，本公司独立董事，中国国籍，中国民主建国会会员，四川省新的社会阶层人士联谊会第一届理事会 </w:t>
      </w:r>
      <w:r>
        <w:rPr>
          <w:rFonts w:ascii="宋体" w:hAnsi="宋体" w:cs="宋体" w:eastAsia="宋体" w:hint="default"/>
          <w:spacing w:val="-2"/>
          <w:sz w:val="18"/>
          <w:szCs w:val="18"/>
        </w:rPr>
        <w:t>常务理事，毕业于澳门城市大学，工商管理硕士，注册会计师、注册税务师、高级会计师。曾在四川省华蓥市税务局、华蓥</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pacing w:val="-2"/>
          <w:sz w:val="18"/>
          <w:szCs w:val="18"/>
        </w:rPr>
        <w:t>市国家税务局、四川华蓥会计师事务所、四川兴广会计师事务所等单位任职，曾被国有企业监事会工作办公室聘为国务院派</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出国有企业监事会工作人员，曾任华纺股份有限公司独立董事、经纬纺织机械股份有限公司独立董事和中国服装股份有限公</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2"/>
          <w:sz w:val="18"/>
          <w:szCs w:val="18"/>
        </w:rPr>
        <w:t>司独立董事。现任四川国财税务师事务所有限公司执行董事、成都中财国政会计师事务所有限公司执行董事、华蓥市金汇建</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材有限公司执行董事、华蓥市金建砂石有限公司执行董事；兼任广安巨丰司法鉴定所司法会计鉴定人、四川华蓥农村商业银</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行股份有限公司外部监事、四川邻水农村商业银行股份有限公司外部监事、经纬纺织机械股份有限公司独立董事、宁夏中银</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3"/>
          <w:sz w:val="18"/>
          <w:szCs w:val="18"/>
        </w:rPr>
        <w:t>绒业股份有限公司独立董事。</w:t>
      </w:r>
      <w:r>
        <w:rPr>
          <w:rFonts w:ascii="Times New Roman" w:hAnsi="Times New Roman" w:cs="Times New Roman" w:eastAsia="Times New Roman" w:hint="default"/>
          <w:spacing w:val="-3"/>
          <w:sz w:val="18"/>
          <w:szCs w:val="18"/>
        </w:rPr>
        <w:t>2014</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月换届选举时担任本公司第六届董事会独立董事，</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月换届选举时再次连任 本公司第七届董事会独立董事。</w:t>
      </w:r>
    </w:p>
    <w:p>
      <w:pPr>
        <w:spacing w:line="312" w:lineRule="auto" w:before="60"/>
        <w:ind w:left="154" w:right="1128" w:firstLine="360"/>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8</w:t>
      </w:r>
      <w:r>
        <w:rPr>
          <w:rFonts w:ascii="宋体" w:hAnsi="宋体" w:cs="宋体" w:eastAsia="宋体" w:hint="default"/>
          <w:sz w:val="18"/>
          <w:szCs w:val="18"/>
        </w:rPr>
        <w:t>）蓝庆新先生，本公司独立董事，中国国籍，毕业于南开大学，经济学博士。现任对外经济贸易大学教授、博士生 </w:t>
      </w:r>
      <w:r>
        <w:rPr>
          <w:rFonts w:ascii="宋体" w:hAnsi="宋体" w:cs="宋体" w:eastAsia="宋体" w:hint="default"/>
          <w:spacing w:val="-2"/>
          <w:sz w:val="18"/>
          <w:szCs w:val="18"/>
        </w:rPr>
        <w:t>导师，美国密歇根州立大学、日本中央大学高级访问学者，兼任中联部金砖国家智库理事会理事、中国城乡发展国际交流协</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会理事、中国工业经济学会常务理事、日本中央大学经济研究所客座研究员、澳门科技大学访问教授。曾任天津市政工程局</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职员。</w:t>
      </w: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月首次担任本公司独立董事，</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月换届选举时再次连任本公司第七届董事会独立董事。</w:t>
      </w:r>
    </w:p>
    <w:p>
      <w:pPr>
        <w:spacing w:line="312" w:lineRule="auto" w:before="41"/>
        <w:ind w:left="154" w:right="1128" w:firstLine="360"/>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9</w:t>
      </w:r>
      <w:r>
        <w:rPr>
          <w:rFonts w:ascii="宋体" w:hAnsi="宋体" w:cs="宋体" w:eastAsia="宋体" w:hint="default"/>
          <w:sz w:val="18"/>
          <w:szCs w:val="18"/>
        </w:rPr>
        <w:t>）吴中海先生，本公司独立董事，中国国籍，毕业于浙江大学计算机系计算机专业，工学博士，北京大学计算机专 </w:t>
      </w:r>
      <w:r>
        <w:rPr>
          <w:rFonts w:ascii="宋体" w:hAnsi="宋体" w:cs="宋体" w:eastAsia="宋体" w:hint="default"/>
          <w:spacing w:val="-2"/>
          <w:sz w:val="18"/>
          <w:szCs w:val="18"/>
        </w:rPr>
        <w:t>业博士后。现任北京大学软件与微电子学院教授、常务副院长、大数据技术研究室主任；兼任中国计算机学会理事、嵌入式</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系统专业委员会主任，教育部高等学校软件工程专业教学指导委员会副主任，《电子学报》编委。曾任北京大学计算机研究</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所副教授，北京大学软件与微电子学院院长助理、副院长。</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月首次担任本公司独立董事。</w:t>
      </w:r>
    </w:p>
    <w:p>
      <w:pPr>
        <w:spacing w:before="42"/>
        <w:ind w:left="515"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w:t>
      </w:r>
      <w:r>
        <w:rPr>
          <w:rFonts w:ascii="宋体" w:hAnsi="宋体" w:cs="宋体" w:eastAsia="宋体" w:hint="default"/>
          <w:b/>
          <w:bCs/>
          <w:sz w:val="18"/>
          <w:szCs w:val="18"/>
        </w:rPr>
        <w:t>、监事主要工作经历</w:t>
      </w:r>
      <w:r>
        <w:rPr>
          <w:rFonts w:ascii="宋体" w:hAnsi="宋体" w:cs="宋体" w:eastAsia="宋体" w:hint="default"/>
          <w:sz w:val="18"/>
          <w:szCs w:val="18"/>
        </w:rPr>
      </w:r>
    </w:p>
    <w:p>
      <w:pPr>
        <w:spacing w:line="307" w:lineRule="auto" w:before="102"/>
        <w:ind w:left="154" w:right="1024" w:firstLine="36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）马跃先生，本公司监事会主席。中国国籍，毕业于武汉大学，大学学历，学士学位，高级经济师。历任国营二七 </w:t>
      </w:r>
      <w:r>
        <w:rPr>
          <w:rFonts w:ascii="宋体" w:hAnsi="宋体" w:cs="宋体" w:eastAsia="宋体" w:hint="default"/>
          <w:spacing w:val="-5"/>
          <w:sz w:val="18"/>
          <w:szCs w:val="18"/>
        </w:rPr>
        <w:t>二厂总厂团委书记（正处级）、劳资处副处长、劳动人事教育处副处长（主管干部工作），中国长城计算机深圳股份有限公司</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人力资源部经理、党委办公室主任，</w:t>
      </w:r>
      <w:r>
        <w:rPr>
          <w:rFonts w:ascii="Times New Roman" w:hAnsi="Times New Roman" w:cs="Times New Roman" w:eastAsia="Times New Roman" w:hint="default"/>
          <w:sz w:val="18"/>
          <w:szCs w:val="18"/>
        </w:rPr>
        <w:t>1998</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年</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月起任中国长城计算机深圳股份有限公司党委副书记、纪委书记、工会主席， </w:t>
      </w:r>
      <w:r>
        <w:rPr>
          <w:rFonts w:ascii="Times New Roman" w:hAnsi="Times New Roman" w:cs="Times New Roman" w:eastAsia="Times New Roman" w:hint="default"/>
          <w:sz w:val="18"/>
          <w:szCs w:val="18"/>
        </w:rPr>
        <w:t>2001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pacing w:val="-3"/>
          <w:sz w:val="18"/>
          <w:szCs w:val="18"/>
        </w:rPr>
        <w:t>月起任中国长城计算机深圳股份有限公司监事会主席，</w:t>
      </w:r>
      <w:r>
        <w:rPr>
          <w:rFonts w:ascii="Times New Roman" w:hAnsi="Times New Roman" w:cs="Times New Roman" w:eastAsia="Times New Roman" w:hint="default"/>
          <w:spacing w:val="-3"/>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月任中国长城计算机深圳股份有限</w:t>
      </w:r>
    </w:p>
    <w:p>
      <w:pPr>
        <w:spacing w:before="7"/>
        <w:ind w:left="154" w:right="0" w:firstLine="0"/>
        <w:jc w:val="left"/>
        <w:rPr>
          <w:rFonts w:ascii="宋体" w:hAnsi="宋体" w:cs="宋体" w:eastAsia="宋体" w:hint="default"/>
          <w:sz w:val="18"/>
          <w:szCs w:val="18"/>
        </w:rPr>
      </w:pPr>
      <w:r>
        <w:rPr>
          <w:rFonts w:ascii="宋体" w:hAnsi="宋体" w:cs="宋体" w:eastAsia="宋体" w:hint="default"/>
          <w:sz w:val="18"/>
          <w:szCs w:val="18"/>
        </w:rPr>
        <w:t>公司党委副书</w:t>
      </w:r>
      <w:r>
        <w:rPr>
          <w:rFonts w:ascii="宋体" w:hAnsi="宋体" w:cs="宋体" w:eastAsia="宋体" w:hint="default"/>
          <w:spacing w:val="-28"/>
          <w:sz w:val="18"/>
          <w:szCs w:val="18"/>
        </w:rPr>
        <w:t>记</w:t>
      </w:r>
      <w:r>
        <w:rPr>
          <w:rFonts w:ascii="宋体" w:hAnsi="宋体" w:cs="宋体" w:eastAsia="宋体" w:hint="default"/>
          <w:sz w:val="18"/>
          <w:szCs w:val="18"/>
        </w:rPr>
        <w:t>（主持工作</w:t>
      </w:r>
      <w:r>
        <w:rPr>
          <w:rFonts w:ascii="宋体" w:hAnsi="宋体" w:cs="宋体" w:eastAsia="宋体" w:hint="default"/>
          <w:spacing w:val="-90"/>
          <w:sz w:val="18"/>
          <w:szCs w:val="18"/>
        </w:rPr>
        <w:t>）</w:t>
      </w:r>
      <w:r>
        <w:rPr>
          <w:rFonts w:ascii="宋体" w:hAnsi="宋体" w:cs="宋体" w:eastAsia="宋体" w:hint="default"/>
          <w:spacing w:val="-28"/>
          <w:sz w:val="18"/>
          <w:szCs w:val="18"/>
        </w:rPr>
        <w:t>，</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pacing w:val="1"/>
          <w:sz w:val="18"/>
          <w:szCs w:val="18"/>
        </w:rPr>
        <w:t>月</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2 </w:t>
      </w:r>
      <w:r>
        <w:rPr>
          <w:rFonts w:ascii="宋体" w:hAnsi="宋体" w:cs="宋体" w:eastAsia="宋体" w:hint="default"/>
          <w:sz w:val="18"/>
          <w:szCs w:val="18"/>
        </w:rPr>
        <w:t>月任中国长城科技集团股份有限公司党委副书记</w:t>
      </w:r>
      <w:r>
        <w:rPr>
          <w:rFonts w:ascii="宋体" w:hAnsi="宋体" w:cs="宋体" w:eastAsia="宋体" w:hint="default"/>
          <w:spacing w:val="-28"/>
          <w:sz w:val="18"/>
          <w:szCs w:val="18"/>
        </w:rPr>
        <w:t>，</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月起任</w:t>
      </w:r>
    </w:p>
    <w:p>
      <w:pPr>
        <w:spacing w:before="63"/>
        <w:ind w:left="154" w:right="0" w:firstLine="0"/>
        <w:jc w:val="left"/>
        <w:rPr>
          <w:rFonts w:ascii="Times New Roman" w:hAnsi="Times New Roman" w:cs="Times New Roman" w:eastAsia="Times New Roman" w:hint="default"/>
          <w:sz w:val="18"/>
          <w:szCs w:val="18"/>
        </w:rPr>
      </w:pPr>
      <w:r>
        <w:rPr>
          <w:rFonts w:ascii="宋体" w:hAnsi="宋体" w:cs="宋体" w:eastAsia="宋体" w:hint="default"/>
          <w:spacing w:val="-3"/>
          <w:sz w:val="18"/>
          <w:szCs w:val="18"/>
        </w:rPr>
        <w:t>中国长城科技集团股份有限公司监事会主席、工会主席，</w:t>
      </w:r>
      <w:r>
        <w:rPr>
          <w:rFonts w:ascii="Times New Roman" w:hAnsi="Times New Roman" w:cs="Times New Roman" w:eastAsia="Times New Roman" w:hint="default"/>
          <w:spacing w:val="-3"/>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月至</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pacing w:val="-3"/>
          <w:sz w:val="18"/>
          <w:szCs w:val="18"/>
        </w:rPr>
        <w:t>月兼任中国长城深圳地区党委书记。</w:t>
      </w:r>
      <w:r>
        <w:rPr>
          <w:rFonts w:ascii="Times New Roman" w:hAnsi="Times New Roman" w:cs="Times New Roman" w:eastAsia="Times New Roman" w:hint="default"/>
          <w:spacing w:val="-3"/>
          <w:sz w:val="18"/>
          <w:szCs w:val="18"/>
        </w:rPr>
        <w:t>2018</w:t>
      </w:r>
    </w:p>
    <w:p>
      <w:pPr>
        <w:spacing w:before="64"/>
        <w:ind w:left="154" w:right="0" w:firstLine="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月换届选举时连任第七届监事会主席。</w:t>
      </w:r>
    </w:p>
    <w:p>
      <w:pPr>
        <w:spacing w:line="309" w:lineRule="auto" w:before="101"/>
        <w:ind w:left="154" w:right="1128" w:firstLine="360"/>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）李福江女士，本公司监事，中国国籍，毕业于中央财政金融学院，大学本科学历，会计师。现任中国电子信息产 </w:t>
      </w:r>
      <w:r>
        <w:rPr>
          <w:rFonts w:ascii="宋体" w:hAnsi="宋体" w:cs="宋体" w:eastAsia="宋体" w:hint="default"/>
          <w:spacing w:val="-2"/>
          <w:sz w:val="18"/>
          <w:szCs w:val="18"/>
        </w:rPr>
        <w:t>业集团有限公司审计部主任；兼任中国软件与技术服务股份有限公司监事、中国振华电子集团有限公司监事、中软信息系统</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工程有限公司监事、中国电子系统技术有限公司监事、中国电子有限公司监事。曾任中国电子信息产业集团有限公司财务部</w:t>
      </w:r>
    </w:p>
    <w:p>
      <w:pPr>
        <w:spacing w:after="0" w:line="309" w:lineRule="auto"/>
        <w:jc w:val="both"/>
        <w:rPr>
          <w:rFonts w:ascii="宋体" w:hAnsi="宋体" w:cs="宋体" w:eastAsia="宋体" w:hint="default"/>
          <w:sz w:val="18"/>
          <w:szCs w:val="18"/>
        </w:rPr>
        <w:sectPr>
          <w:pgSz w:w="11910" w:h="16840"/>
          <w:pgMar w:header="787" w:footer="982" w:top="1100" w:bottom="1180" w:left="980" w:right="0"/>
        </w:sectPr>
      </w:pPr>
    </w:p>
    <w:p>
      <w:pPr>
        <w:spacing w:line="240" w:lineRule="auto" w:before="10"/>
        <w:rPr>
          <w:rFonts w:ascii="宋体" w:hAnsi="宋体" w:cs="宋体" w:eastAsia="宋体" w:hint="default"/>
          <w:sz w:val="22"/>
          <w:szCs w:val="22"/>
        </w:rPr>
      </w:pPr>
    </w:p>
    <w:p>
      <w:pPr>
        <w:spacing w:line="319" w:lineRule="auto" w:before="44"/>
        <w:ind w:left="154" w:right="1035" w:firstLine="0"/>
        <w:jc w:val="left"/>
        <w:rPr>
          <w:rFonts w:ascii="宋体" w:hAnsi="宋体" w:cs="宋体" w:eastAsia="宋体" w:hint="default"/>
          <w:sz w:val="18"/>
          <w:szCs w:val="18"/>
        </w:rPr>
      </w:pPr>
      <w:r>
        <w:rPr>
          <w:rFonts w:ascii="宋体" w:hAnsi="宋体" w:cs="宋体" w:eastAsia="宋体" w:hint="default"/>
          <w:spacing w:val="-2"/>
          <w:sz w:val="18"/>
          <w:szCs w:val="18"/>
        </w:rPr>
        <w:t>副主任、财务部财税处处长、财务部综合部处长、财务会计信息处处长，中国长城计算机集团公司资财部副经理，本公司第</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三届、第四届董事会董事等职。</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月首次担任本公司监事，</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月换届选举时连任本公司第七届监事会监事。</w:t>
      </w:r>
    </w:p>
    <w:p>
      <w:pPr>
        <w:spacing w:line="307" w:lineRule="auto" w:before="35"/>
        <w:ind w:left="154" w:right="1128" w:firstLine="360"/>
        <w:jc w:val="both"/>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3</w:t>
      </w:r>
      <w:r>
        <w:rPr>
          <w:rFonts w:ascii="宋体" w:hAnsi="宋体" w:cs="宋体" w:eastAsia="宋体" w:hint="default"/>
          <w:spacing w:val="-4"/>
          <w:sz w:val="18"/>
          <w:szCs w:val="18"/>
        </w:rPr>
        <w:t>）李斌先生，本公司职工监事，中国国籍，毕业于大连工学院（现大连理工大学），研究生学历，硕士学位，高级工</w:t>
      </w:r>
      <w:r>
        <w:rPr>
          <w:rFonts w:ascii="宋体" w:hAnsi="宋体" w:cs="宋体" w:eastAsia="宋体" w:hint="default"/>
          <w:sz w:val="18"/>
          <w:szCs w:val="18"/>
        </w:rPr>
        <w:t> </w:t>
      </w:r>
      <w:r>
        <w:rPr>
          <w:rFonts w:ascii="宋体" w:hAnsi="宋体" w:cs="宋体" w:eastAsia="宋体" w:hint="default"/>
          <w:spacing w:val="-2"/>
          <w:sz w:val="18"/>
          <w:szCs w:val="18"/>
        </w:rPr>
        <w:t>程师。现任本公司工会副主席、公司派出专职监事。曾任本公司科技部软件开发部软件工程师、副主任，生产办主任，计划</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发展部经理，信息总监兼信息中心总经理，党委委员，纪委副书记。</w:t>
      </w: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年</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月首次担任本公司职工监事，</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年</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月换 届选举时连任本公司第七届监事会职工监事。</w:t>
      </w:r>
    </w:p>
    <w:p>
      <w:pPr>
        <w:spacing w:before="67"/>
        <w:ind w:left="515"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3</w:t>
      </w:r>
      <w:r>
        <w:rPr>
          <w:rFonts w:ascii="宋体" w:hAnsi="宋体" w:cs="宋体" w:eastAsia="宋体" w:hint="default"/>
          <w:b/>
          <w:bCs/>
          <w:sz w:val="18"/>
          <w:szCs w:val="18"/>
        </w:rPr>
        <w:t>、高级管理人员主要工作经历</w:t>
      </w:r>
      <w:r>
        <w:rPr>
          <w:rFonts w:ascii="宋体" w:hAnsi="宋体" w:cs="宋体" w:eastAsia="宋体" w:hint="default"/>
          <w:sz w:val="18"/>
          <w:szCs w:val="18"/>
        </w:rPr>
      </w:r>
    </w:p>
    <w:p>
      <w:pPr>
        <w:spacing w:line="300" w:lineRule="auto" w:before="101"/>
        <w:ind w:left="154" w:right="1128" w:firstLine="360"/>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）周庚申先生，本公司高级副总裁，中国国籍，毕业于清华大学精密仪器系、清华大学经济管理学院，获工学学士 和工商管理硕士学位，教授级高级工程师。兼任工业和信息化部电子科学技术委员会委员。</w:t>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年</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5"/>
          <w:sz w:val="18"/>
          <w:szCs w:val="18"/>
        </w:rPr>
        <w:t> </w:t>
      </w:r>
      <w:r>
        <w:rPr>
          <w:rFonts w:ascii="宋体" w:hAnsi="宋体" w:cs="宋体" w:eastAsia="宋体" w:hint="default"/>
          <w:spacing w:val="-3"/>
          <w:sz w:val="18"/>
          <w:szCs w:val="18"/>
        </w:rPr>
        <w:t>月当选“</w:t>
      </w:r>
      <w:r>
        <w:rPr>
          <w:rFonts w:ascii="Times New Roman" w:hAnsi="Times New Roman" w:cs="Times New Roman" w:eastAsia="Times New Roman" w:hint="default"/>
          <w:spacing w:val="-3"/>
          <w:sz w:val="18"/>
          <w:szCs w:val="18"/>
        </w:rPr>
        <w:t>2007</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品牌中 </w:t>
      </w:r>
      <w:r>
        <w:rPr>
          <w:rFonts w:ascii="宋体" w:hAnsi="宋体" w:cs="宋体" w:eastAsia="宋体" w:hint="default"/>
          <w:spacing w:val="-9"/>
          <w:sz w:val="18"/>
          <w:szCs w:val="18"/>
        </w:rPr>
        <w:t>国年度人物”，</w:t>
      </w:r>
      <w:r>
        <w:rPr>
          <w:rFonts w:ascii="Times New Roman" w:hAnsi="Times New Roman" w:cs="Times New Roman" w:eastAsia="Times New Roman" w:hint="default"/>
          <w:spacing w:val="-9"/>
          <w:sz w:val="18"/>
          <w:szCs w:val="18"/>
        </w:rPr>
        <w:t>2008</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年、</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23"/>
          <w:sz w:val="18"/>
          <w:szCs w:val="18"/>
        </w:rPr>
        <w:t> </w:t>
      </w:r>
      <w:r>
        <w:rPr>
          <w:rFonts w:ascii="宋体" w:hAnsi="宋体" w:cs="宋体" w:eastAsia="宋体" w:hint="default"/>
          <w:spacing w:val="-3"/>
          <w:sz w:val="18"/>
          <w:szCs w:val="18"/>
        </w:rPr>
        <w:t>年两次当选“中国信息产业年度经济人物”。曾任本公司董事兼总裁、副总裁，打印机事业部</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总经理，显示器事业部总经理等职。</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月起任本公司高级副总裁。</w:t>
      </w:r>
    </w:p>
    <w:p>
      <w:pPr>
        <w:spacing w:line="300" w:lineRule="auto" w:before="51"/>
        <w:ind w:left="154" w:right="1128" w:firstLine="360"/>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）戴湘桃先生，本公司高级副总裁，中国国籍，毕业于湖南大学电气工程系工业电气自动化专业，大学本科学历， </w:t>
      </w:r>
      <w:r>
        <w:rPr>
          <w:rFonts w:ascii="宋体" w:hAnsi="宋体" w:cs="宋体" w:eastAsia="宋体" w:hint="default"/>
          <w:spacing w:val="-2"/>
          <w:sz w:val="18"/>
          <w:szCs w:val="18"/>
        </w:rPr>
        <w:t>工学学士，工程师。曾任长城信息产业股份有限公司董事兼总经理、副总经理、总裁助理兼终端本部总经理等职。</w:t>
      </w:r>
      <w:r>
        <w:rPr>
          <w:rFonts w:ascii="Times New Roman" w:hAnsi="Times New Roman" w:cs="Times New Roman" w:eastAsia="Times New Roman" w:hint="default"/>
          <w:spacing w:val="-2"/>
          <w:sz w:val="18"/>
          <w:szCs w:val="18"/>
        </w:rPr>
        <w:t>2017</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月起任本公司高级副总裁。</w:t>
      </w:r>
    </w:p>
    <w:p>
      <w:pPr>
        <w:spacing w:line="312" w:lineRule="auto" w:before="71"/>
        <w:ind w:left="154" w:right="1030" w:firstLine="36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）周在龙先生，本公司高级副总裁，中国国籍，毕业于长江商学院工商管理专业，硕士研究生。曾任中国电子信息 产业集团有限公司第六研究所副所长、浪潮集团公司大客户部副总经理，中国软件与技术服务股份有限公司政府行业总监、 </w:t>
      </w:r>
      <w:r>
        <w:rPr>
          <w:rFonts w:ascii="宋体" w:hAnsi="宋体" w:cs="宋体" w:eastAsia="宋体" w:hint="default"/>
          <w:spacing w:val="-4"/>
          <w:sz w:val="18"/>
          <w:szCs w:val="18"/>
        </w:rPr>
        <w:t>税务事业部总经理、总经理助理兼重大工程部总经理、高级副总经理，长城计算机软件与系统有限公司总经理、董事长等职。</w:t>
      </w:r>
      <w:r>
        <w:rPr>
          <w:rFonts w:ascii="宋体" w:hAnsi="宋体" w:cs="宋体" w:eastAsia="宋体" w:hint="default"/>
          <w:spacing w:val="-46"/>
          <w:sz w:val="18"/>
          <w:szCs w:val="18"/>
        </w:rPr>
        <w:t> </w:t>
      </w:r>
      <w:r>
        <w:rPr>
          <w:rFonts w:ascii="宋体" w:hAnsi="宋体" w:cs="宋体" w:eastAsia="宋体" w:hint="default"/>
          <w:spacing w:val="-46"/>
          <w:sz w:val="18"/>
          <w:szCs w:val="18"/>
        </w:rPr>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月起任本公司高级副总裁。</w:t>
      </w:r>
    </w:p>
    <w:p>
      <w:pPr>
        <w:spacing w:line="300" w:lineRule="auto" w:before="41"/>
        <w:ind w:left="154" w:right="1128" w:firstLine="360"/>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）段军先生，本公司高级副总裁、总法律顾问，中国国籍，毕业于电子科技大学电子工程系，大学本科学历，工学 学士；曾任华为技术有限公司运营商 </w:t>
      </w:r>
      <w:r>
        <w:rPr>
          <w:rFonts w:ascii="Times New Roman" w:hAnsi="Times New Roman" w:cs="Times New Roman" w:eastAsia="Times New Roman" w:hint="default"/>
          <w:sz w:val="18"/>
          <w:szCs w:val="18"/>
        </w:rPr>
        <w:t>BGMarketing</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营销总监、上海傲蓝信息科技有限公司董事兼副总经理、上海贝尔</w:t>
      </w:r>
      <w:r>
        <w:rPr>
          <w:rFonts w:ascii="Times New Roman" w:hAnsi="Times New Roman" w:cs="Times New Roman" w:eastAsia="Times New Roman" w:hint="default"/>
          <w:sz w:val="18"/>
          <w:szCs w:val="18"/>
        </w:rPr>
        <w:t>-</w:t>
      </w:r>
      <w:r>
        <w:rPr>
          <w:rFonts w:ascii="宋体" w:hAnsi="宋体" w:cs="宋体" w:eastAsia="宋体" w:hint="default"/>
          <w:sz w:val="18"/>
          <w:szCs w:val="18"/>
        </w:rPr>
        <w:t>阿尔 卡特朗讯移动事业集团首席技术官、通广北电有限公司市场总监等职。</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月起任本公司高级副总裁，</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 起任本公司总法律顾问。</w:t>
      </w:r>
    </w:p>
    <w:p>
      <w:pPr>
        <w:spacing w:line="309" w:lineRule="auto" w:before="70"/>
        <w:ind w:left="154" w:right="1022" w:firstLine="36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z w:val="18"/>
          <w:szCs w:val="18"/>
        </w:rPr>
        <w:t>）刘文彬先生，本公司财务总监，中国国籍，毕业于湖南大学，会计硕士学位；全国会计领军人才；高级会计师、 </w:t>
      </w:r>
      <w:r>
        <w:rPr>
          <w:rFonts w:ascii="宋体" w:hAnsi="宋体" w:cs="宋体" w:eastAsia="宋体" w:hint="default"/>
          <w:spacing w:val="-4"/>
          <w:sz w:val="18"/>
          <w:szCs w:val="18"/>
        </w:rPr>
        <w:t>国际注册高级会计师、注册理财规划师。曾任长城信息产业股份有限公司财务总监、副总会计师、财务部部长、副部长等职。</w:t>
      </w:r>
      <w:r>
        <w:rPr>
          <w:rFonts w:ascii="宋体" w:hAnsi="宋体" w:cs="宋体" w:eastAsia="宋体" w:hint="default"/>
          <w:spacing w:val="-44"/>
          <w:sz w:val="18"/>
          <w:szCs w:val="18"/>
        </w:rPr>
        <w:t> </w:t>
      </w:r>
      <w:r>
        <w:rPr>
          <w:rFonts w:ascii="宋体" w:hAnsi="宋体" w:cs="宋体" w:eastAsia="宋体" w:hint="default"/>
          <w:spacing w:val="-44"/>
          <w:sz w:val="18"/>
          <w:szCs w:val="18"/>
        </w:rPr>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月起任本公司财务总监。</w:t>
      </w:r>
    </w:p>
    <w:p>
      <w:pPr>
        <w:spacing w:line="307" w:lineRule="auto" w:before="44"/>
        <w:ind w:left="154" w:right="1030" w:firstLine="36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6</w:t>
      </w:r>
      <w:r>
        <w:rPr>
          <w:rFonts w:ascii="宋体" w:hAnsi="宋体" w:cs="宋体" w:eastAsia="宋体" w:hint="default"/>
          <w:sz w:val="18"/>
          <w:szCs w:val="18"/>
        </w:rPr>
        <w:t>）郭镇先生，本公司董事会秘书，中国国籍，毕业于东北财经大学，工商管理硕士。曾任深圳鲁发实业有限公司财 务主管、采购主管，长城科技股份有限公司及下属公司采购部采购工程师，长城科技股份有限公司董事会办公室工作人员， 深圳长城开发科技股份有限公司董事会办公室业务主办，长城科技股份有限公司董事长秘书及本公司办公室主任。</w:t>
      </w: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7"/>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月起任本公司董事会秘书。</w:t>
      </w:r>
    </w:p>
    <w:p>
      <w:pPr>
        <w:spacing w:before="65"/>
        <w:ind w:left="154" w:right="0" w:firstLine="0"/>
        <w:jc w:val="left"/>
        <w:rPr>
          <w:rFonts w:ascii="宋体" w:hAnsi="宋体" w:cs="宋体" w:eastAsia="宋体" w:hint="default"/>
          <w:sz w:val="18"/>
          <w:szCs w:val="18"/>
        </w:rPr>
      </w:pPr>
      <w:r>
        <w:rPr>
          <w:rFonts w:ascii="宋体" w:hAnsi="宋体" w:cs="宋体" w:eastAsia="宋体" w:hint="default"/>
          <w:sz w:val="18"/>
          <w:szCs w:val="18"/>
        </w:rPr>
        <w:t>在股东单位任职情况</w:t>
      </w:r>
    </w:p>
    <w:p>
      <w:pPr>
        <w:spacing w:before="116"/>
        <w:ind w:left="15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
        <w:rPr>
          <w:rFonts w:ascii="宋体" w:hAnsi="宋体" w:cs="宋体" w:eastAsia="宋体" w:hint="default"/>
          <w:sz w:val="8"/>
          <w:szCs w:val="8"/>
        </w:rPr>
      </w:pPr>
    </w:p>
    <w:tbl>
      <w:tblPr>
        <w:tblW w:w="0" w:type="auto"/>
        <w:jc w:val="left"/>
        <w:tblInd w:w="305" w:type="dxa"/>
        <w:tblLayout w:type="fixed"/>
        <w:tblCellMar>
          <w:top w:w="0" w:type="dxa"/>
          <w:left w:w="0" w:type="dxa"/>
          <w:bottom w:w="0" w:type="dxa"/>
          <w:right w:w="0" w:type="dxa"/>
        </w:tblCellMar>
        <w:tblLook w:val="01E0"/>
      </w:tblPr>
      <w:tblGrid>
        <w:gridCol w:w="1201"/>
        <w:gridCol w:w="2729"/>
        <w:gridCol w:w="1524"/>
        <w:gridCol w:w="1279"/>
        <w:gridCol w:w="1152"/>
        <w:gridCol w:w="1440"/>
      </w:tblGrid>
      <w:tr>
        <w:trPr>
          <w:trHeight w:val="634" w:hRule="exact"/>
        </w:trPr>
        <w:tc>
          <w:tcPr>
            <w:tcW w:w="120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任职人员姓名</w:t>
            </w:r>
          </w:p>
        </w:tc>
        <w:tc>
          <w:tcPr>
            <w:tcW w:w="272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818" w:right="0"/>
              <w:jc w:val="left"/>
              <w:rPr>
                <w:rFonts w:ascii="宋体" w:hAnsi="宋体" w:cs="宋体" w:eastAsia="宋体" w:hint="default"/>
                <w:sz w:val="18"/>
                <w:szCs w:val="18"/>
              </w:rPr>
            </w:pPr>
            <w:r>
              <w:rPr>
                <w:rFonts w:ascii="宋体" w:hAnsi="宋体" w:cs="宋体" w:eastAsia="宋体" w:hint="default"/>
                <w:sz w:val="18"/>
                <w:szCs w:val="18"/>
              </w:rPr>
              <w:t>股东单位名称</w:t>
            </w:r>
          </w:p>
        </w:tc>
        <w:tc>
          <w:tcPr>
            <w:tcW w:w="152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10"/>
              <w:ind w:left="575" w:right="36" w:hanging="540"/>
              <w:jc w:val="left"/>
              <w:rPr>
                <w:rFonts w:ascii="宋体" w:hAnsi="宋体" w:cs="宋体" w:eastAsia="宋体" w:hint="default"/>
                <w:sz w:val="18"/>
                <w:szCs w:val="18"/>
              </w:rPr>
            </w:pPr>
            <w:r>
              <w:rPr>
                <w:rFonts w:ascii="宋体" w:hAnsi="宋体" w:cs="宋体" w:eastAsia="宋体" w:hint="default"/>
                <w:sz w:val="18"/>
                <w:szCs w:val="18"/>
              </w:rPr>
              <w:t>在股东单位担任的 职务</w:t>
            </w:r>
          </w:p>
        </w:tc>
        <w:tc>
          <w:tcPr>
            <w:tcW w:w="127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5"/>
              <w:jc w:val="right"/>
              <w:rPr>
                <w:rFonts w:ascii="宋体" w:hAnsi="宋体" w:cs="宋体" w:eastAsia="宋体" w:hint="default"/>
                <w:sz w:val="18"/>
                <w:szCs w:val="18"/>
              </w:rPr>
            </w:pPr>
            <w:r>
              <w:rPr>
                <w:rFonts w:ascii="宋体" w:hAnsi="宋体" w:cs="宋体" w:eastAsia="宋体" w:hint="default"/>
                <w:sz w:val="18"/>
                <w:szCs w:val="18"/>
              </w:rPr>
              <w:t>任期起始日期</w:t>
            </w:r>
          </w:p>
        </w:tc>
        <w:tc>
          <w:tcPr>
            <w:tcW w:w="115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任期终止日期</w:t>
            </w:r>
          </w:p>
        </w:tc>
        <w:tc>
          <w:tcPr>
            <w:tcW w:w="144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10"/>
              <w:ind w:left="173" w:right="84" w:hanging="90"/>
              <w:jc w:val="left"/>
              <w:rPr>
                <w:rFonts w:ascii="宋体" w:hAnsi="宋体" w:cs="宋体" w:eastAsia="宋体" w:hint="default"/>
                <w:sz w:val="18"/>
                <w:szCs w:val="18"/>
              </w:rPr>
            </w:pPr>
            <w:r>
              <w:rPr>
                <w:rFonts w:ascii="宋体" w:hAnsi="宋体" w:cs="宋体" w:eastAsia="宋体" w:hint="default"/>
                <w:sz w:val="18"/>
                <w:szCs w:val="18"/>
              </w:rPr>
              <w:t>在股东单位是否 领取报酬津贴</w:t>
            </w:r>
          </w:p>
        </w:tc>
      </w:tr>
      <w:tr>
        <w:trPr>
          <w:trHeight w:val="322"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宋黎定</w:t>
            </w:r>
          </w:p>
        </w:tc>
        <w:tc>
          <w:tcPr>
            <w:tcW w:w="2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中国电子信息产业集团有限公司</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总经理助理</w:t>
            </w: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9"/>
              <w:jc w:val="righ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635"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李峻</w:t>
            </w:r>
          </w:p>
        </w:tc>
        <w:tc>
          <w:tcPr>
            <w:tcW w:w="2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中国电子信息产业集团有限公司</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35" w:right="36" w:firstLine="90"/>
              <w:jc w:val="left"/>
              <w:rPr>
                <w:rFonts w:ascii="宋体" w:hAnsi="宋体" w:cs="宋体" w:eastAsia="宋体" w:hint="default"/>
                <w:sz w:val="18"/>
                <w:szCs w:val="18"/>
              </w:rPr>
            </w:pPr>
            <w:r>
              <w:rPr>
                <w:rFonts w:ascii="宋体" w:hAnsi="宋体" w:cs="宋体" w:eastAsia="宋体" w:hint="default"/>
                <w:sz w:val="18"/>
                <w:szCs w:val="18"/>
              </w:rPr>
              <w:t>规划科技部主任 科技委办公室主任</w:t>
            </w: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19"/>
              <w:jc w:val="righ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22"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孔雪屏</w:t>
            </w:r>
          </w:p>
        </w:tc>
        <w:tc>
          <w:tcPr>
            <w:tcW w:w="2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中国电子信息产业集团有限公司</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法律事务部主任</w:t>
            </w: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9"/>
              <w:jc w:val="righ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634"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吕宝利</w:t>
            </w:r>
          </w:p>
        </w:tc>
        <w:tc>
          <w:tcPr>
            <w:tcW w:w="2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中国电子信息产业集团有限公司</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25" w:right="36" w:hanging="90"/>
              <w:jc w:val="left"/>
              <w:rPr>
                <w:rFonts w:ascii="宋体" w:hAnsi="宋体" w:cs="宋体" w:eastAsia="宋体" w:hint="default"/>
                <w:sz w:val="18"/>
                <w:szCs w:val="18"/>
              </w:rPr>
            </w:pPr>
            <w:r>
              <w:rPr>
                <w:rFonts w:ascii="宋体" w:hAnsi="宋体" w:cs="宋体" w:eastAsia="宋体" w:hint="default"/>
                <w:sz w:val="18"/>
                <w:szCs w:val="18"/>
              </w:rPr>
              <w:t>军工事业部（系统 装备部）副主任</w:t>
            </w: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19"/>
              <w:jc w:val="righ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23"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张志勇</w:t>
            </w:r>
          </w:p>
        </w:tc>
        <w:tc>
          <w:tcPr>
            <w:tcW w:w="2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中国电子信息产业集团有限公司</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资产经营部副主任</w:t>
            </w: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19"/>
              <w:jc w:val="righ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22"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李福江</w:t>
            </w:r>
          </w:p>
        </w:tc>
        <w:tc>
          <w:tcPr>
            <w:tcW w:w="2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中国电子信息产业集团有限公司</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审计部主任</w:t>
            </w: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9"/>
              <w:jc w:val="righ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23"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李福江</w:t>
            </w:r>
          </w:p>
        </w:tc>
        <w:tc>
          <w:tcPr>
            <w:tcW w:w="2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中国电子有限公司</w:t>
            </w:r>
          </w:p>
        </w:tc>
        <w:tc>
          <w:tcPr>
            <w:tcW w:w="1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9"/>
              <w:jc w:val="righ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center"/>
        <w:rPr>
          <w:rFonts w:ascii="宋体" w:hAnsi="宋体" w:cs="宋体" w:eastAsia="宋体" w:hint="default"/>
          <w:sz w:val="18"/>
          <w:szCs w:val="18"/>
        </w:rPr>
        <w:sectPr>
          <w:pgSz w:w="11910" w:h="16840"/>
          <w:pgMar w:header="787" w:footer="982" w:top="1100" w:bottom="1180" w:left="980" w:right="0"/>
        </w:sectPr>
      </w:pPr>
    </w:p>
    <w:p>
      <w:pPr>
        <w:spacing w:line="240" w:lineRule="auto" w:before="11"/>
        <w:rPr>
          <w:rFonts w:ascii="宋体" w:hAnsi="宋体" w:cs="宋体" w:eastAsia="宋体" w:hint="default"/>
          <w:sz w:val="22"/>
          <w:szCs w:val="22"/>
        </w:rPr>
      </w:pPr>
    </w:p>
    <w:p>
      <w:pPr>
        <w:spacing w:before="44"/>
        <w:ind w:left="154" w:right="0" w:firstLine="0"/>
        <w:jc w:val="left"/>
        <w:rPr>
          <w:rFonts w:ascii="宋体" w:hAnsi="宋体" w:cs="宋体" w:eastAsia="宋体" w:hint="default"/>
          <w:sz w:val="18"/>
          <w:szCs w:val="18"/>
        </w:rPr>
      </w:pPr>
      <w:r>
        <w:rPr>
          <w:rFonts w:ascii="宋体" w:hAnsi="宋体" w:cs="宋体" w:eastAsia="宋体" w:hint="default"/>
          <w:sz w:val="18"/>
          <w:szCs w:val="18"/>
        </w:rPr>
        <w:t>在其他单位任职情况</w:t>
      </w:r>
    </w:p>
    <w:p>
      <w:pPr>
        <w:spacing w:before="116"/>
        <w:ind w:left="15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
        <w:rPr>
          <w:rFonts w:ascii="宋体" w:hAnsi="宋体" w:cs="宋体" w:eastAsia="宋体" w:hint="default"/>
          <w:sz w:val="8"/>
          <w:szCs w:val="8"/>
        </w:rPr>
      </w:pPr>
    </w:p>
    <w:tbl>
      <w:tblPr>
        <w:tblW w:w="0" w:type="auto"/>
        <w:jc w:val="left"/>
        <w:tblInd w:w="305" w:type="dxa"/>
        <w:tblLayout w:type="fixed"/>
        <w:tblCellMar>
          <w:top w:w="0" w:type="dxa"/>
          <w:left w:w="0" w:type="dxa"/>
          <w:bottom w:w="0" w:type="dxa"/>
          <w:right w:w="0" w:type="dxa"/>
        </w:tblCellMar>
        <w:tblLook w:val="01E0"/>
      </w:tblPr>
      <w:tblGrid>
        <w:gridCol w:w="1201"/>
        <w:gridCol w:w="3038"/>
        <w:gridCol w:w="1559"/>
        <w:gridCol w:w="1134"/>
        <w:gridCol w:w="953"/>
        <w:gridCol w:w="1440"/>
      </w:tblGrid>
      <w:tr>
        <w:trPr>
          <w:trHeight w:val="673" w:hRule="exact"/>
        </w:trPr>
        <w:tc>
          <w:tcPr>
            <w:tcW w:w="1201"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任职人员姓名</w:t>
            </w:r>
          </w:p>
        </w:tc>
        <w:tc>
          <w:tcPr>
            <w:tcW w:w="303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973" w:right="0"/>
              <w:jc w:val="left"/>
              <w:rPr>
                <w:rFonts w:ascii="宋体" w:hAnsi="宋体" w:cs="宋体" w:eastAsia="宋体" w:hint="default"/>
                <w:sz w:val="18"/>
                <w:szCs w:val="18"/>
              </w:rPr>
            </w:pPr>
            <w:r>
              <w:rPr>
                <w:rFonts w:ascii="宋体" w:hAnsi="宋体" w:cs="宋体" w:eastAsia="宋体" w:hint="default"/>
                <w:sz w:val="18"/>
                <w:szCs w:val="18"/>
              </w:rPr>
              <w:t>其他单位名称</w:t>
            </w:r>
          </w:p>
        </w:tc>
        <w:tc>
          <w:tcPr>
            <w:tcW w:w="1559"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31"/>
              <w:ind w:left="594" w:right="53" w:hanging="540"/>
              <w:jc w:val="left"/>
              <w:rPr>
                <w:rFonts w:ascii="宋体" w:hAnsi="宋体" w:cs="宋体" w:eastAsia="宋体" w:hint="default"/>
                <w:sz w:val="18"/>
                <w:szCs w:val="18"/>
              </w:rPr>
            </w:pPr>
            <w:r>
              <w:rPr>
                <w:rFonts w:ascii="宋体" w:hAnsi="宋体" w:cs="宋体" w:eastAsia="宋体" w:hint="default"/>
                <w:sz w:val="18"/>
                <w:szCs w:val="18"/>
              </w:rPr>
              <w:t>在其他单位担任的 职务</w:t>
            </w:r>
          </w:p>
        </w:tc>
        <w:tc>
          <w:tcPr>
            <w:tcW w:w="113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31"/>
              <w:ind w:left="471" w:right="110" w:hanging="360"/>
              <w:jc w:val="left"/>
              <w:rPr>
                <w:rFonts w:ascii="宋体" w:hAnsi="宋体" w:cs="宋体" w:eastAsia="宋体" w:hint="default"/>
                <w:sz w:val="18"/>
                <w:szCs w:val="18"/>
              </w:rPr>
            </w:pPr>
            <w:r>
              <w:rPr>
                <w:rFonts w:ascii="宋体" w:hAnsi="宋体" w:cs="宋体" w:eastAsia="宋体" w:hint="default"/>
                <w:sz w:val="18"/>
                <w:szCs w:val="18"/>
              </w:rPr>
              <w:t>任期起始日 期</w:t>
            </w:r>
          </w:p>
        </w:tc>
        <w:tc>
          <w:tcPr>
            <w:tcW w:w="95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31"/>
              <w:ind w:left="291" w:right="109" w:hanging="180"/>
              <w:jc w:val="left"/>
              <w:rPr>
                <w:rFonts w:ascii="宋体" w:hAnsi="宋体" w:cs="宋体" w:eastAsia="宋体" w:hint="default"/>
                <w:sz w:val="18"/>
                <w:szCs w:val="18"/>
              </w:rPr>
            </w:pPr>
            <w:r>
              <w:rPr>
                <w:rFonts w:ascii="宋体" w:hAnsi="宋体" w:cs="宋体" w:eastAsia="宋体" w:hint="default"/>
                <w:sz w:val="18"/>
                <w:szCs w:val="18"/>
              </w:rPr>
              <w:t>任期终止 日期</w:t>
            </w:r>
          </w:p>
        </w:tc>
        <w:tc>
          <w:tcPr>
            <w:tcW w:w="144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31"/>
              <w:ind w:left="173" w:right="84" w:hanging="90"/>
              <w:jc w:val="left"/>
              <w:rPr>
                <w:rFonts w:ascii="宋体" w:hAnsi="宋体" w:cs="宋体" w:eastAsia="宋体" w:hint="default"/>
                <w:sz w:val="18"/>
                <w:szCs w:val="18"/>
              </w:rPr>
            </w:pPr>
            <w:r>
              <w:rPr>
                <w:rFonts w:ascii="宋体" w:hAnsi="宋体" w:cs="宋体" w:eastAsia="宋体" w:hint="default"/>
                <w:sz w:val="18"/>
                <w:szCs w:val="18"/>
              </w:rPr>
              <w:t>在其他单位是否 领取报酬津贴</w:t>
            </w:r>
          </w:p>
        </w:tc>
      </w:tr>
      <w:tr>
        <w:trPr>
          <w:trHeight w:val="362"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宋黎定</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华北计算机系统工程研究所</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所长兼党委副书记</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2014</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8</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2"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徐刚</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中国质量协会理事会</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理事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2012</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1"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李峻</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冠捷科技有限公司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2014</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3</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2"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李峻</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华大半导体有限公司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2014</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9</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2"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李峻</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晶门科技有限公司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2014</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10</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1"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李峻</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彩虹集团有限公司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2017</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8</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2"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孔雪屏</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中国电子进出口有限公司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监事会主席</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2017</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10</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2"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吕宝利</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中软信息系统工程有限公司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2013</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1</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1"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吕宝利</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南京中电熊猫信息产业集团有限公司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2016</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3</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2"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吕宝利</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盛科网络（苏州）有限公司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2016</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6</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2"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张志勇</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成都中电锦江信息产业有限公司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1"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张志勇</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中电长城网际系统应用有限公司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2018</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8</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2"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张志勇</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上海浦东软件园股份有限公司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2018</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10</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2"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张志勇</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中国电子投资控股有限公司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2019</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1</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1"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张志勇</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华电有限公司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2"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虞世全</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成都中财国政会计师事务所有限公司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执行董事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2006</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11</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62"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虞世全</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四川国财税务师事务所有限公司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执行董事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2009</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10</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61"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虞世全</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广安巨丰司法鉴定所</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司法会计鉴定人</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2011</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9</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2"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虞世全</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四川华蓥农村商业银行股份有限公司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外部监事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2015</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11</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62"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虞世全</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四川邻水农村商业银行股份有限公司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外部监事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2015</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12</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61"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虞世全</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华蓥市金汇建材有限公司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执行董事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2018</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4</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62"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虞世全</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华蓥市金建砂石有限公司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执行董事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2018</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8</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62"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虞世全</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经纬纺织机械股份有限公司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2016</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8</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2019</w:t>
            </w:r>
            <w:r>
              <w:rPr>
                <w:rFonts w:ascii="Times New Roman" w:hAnsi="Times New Roman" w:cs="Times New Roman" w:eastAsia="Times New Roman" w:hint="default"/>
                <w:spacing w:val="-17"/>
                <w:position w:val="1"/>
                <w:sz w:val="18"/>
                <w:szCs w:val="18"/>
              </w:rPr>
              <w:t> </w:t>
            </w: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Times New Roman" w:hAnsi="Times New Roman" w:cs="Times New Roman" w:eastAsia="Times New Roman" w:hint="default"/>
                <w:position w:val="1"/>
                <w:sz w:val="18"/>
                <w:szCs w:val="18"/>
              </w:rPr>
              <w:t>8</w:t>
            </w:r>
            <w:r>
              <w:rPr>
                <w:rFonts w:ascii="Times New Roman" w:hAnsi="Times New Roman" w:cs="Times New Roman" w:eastAsia="Times New Roman" w:hint="default"/>
                <w:spacing w:val="-17"/>
                <w:position w:val="1"/>
                <w:sz w:val="18"/>
                <w:szCs w:val="18"/>
              </w:rPr>
              <w:t> </w:t>
            </w:r>
            <w:r>
              <w:rPr>
                <w:rFonts w:ascii="宋体" w:hAnsi="宋体" w:cs="宋体" w:eastAsia="宋体" w:hint="default"/>
                <w:sz w:val="18"/>
                <w:szCs w:val="18"/>
              </w:rPr>
              <w:t>月</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61"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虞世全</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宁夏中银绒业股份有限公司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2018</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1</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2021</w:t>
            </w:r>
            <w:r>
              <w:rPr>
                <w:rFonts w:ascii="Times New Roman" w:hAnsi="Times New Roman" w:cs="Times New Roman" w:eastAsia="Times New Roman" w:hint="default"/>
                <w:spacing w:val="-17"/>
                <w:position w:val="1"/>
                <w:sz w:val="18"/>
                <w:szCs w:val="18"/>
              </w:rPr>
              <w:t> </w:t>
            </w: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Times New Roman" w:hAnsi="Times New Roman" w:cs="Times New Roman" w:eastAsia="Times New Roman" w:hint="default"/>
                <w:position w:val="1"/>
                <w:sz w:val="18"/>
                <w:szCs w:val="18"/>
              </w:rPr>
              <w:t>1</w:t>
            </w:r>
            <w:r>
              <w:rPr>
                <w:rFonts w:ascii="Times New Roman" w:hAnsi="Times New Roman" w:cs="Times New Roman" w:eastAsia="Times New Roman" w:hint="default"/>
                <w:spacing w:val="-17"/>
                <w:position w:val="1"/>
                <w:sz w:val="18"/>
                <w:szCs w:val="18"/>
              </w:rPr>
              <w:t> </w:t>
            </w:r>
            <w:r>
              <w:rPr>
                <w:rFonts w:ascii="宋体" w:hAnsi="宋体" w:cs="宋体" w:eastAsia="宋体" w:hint="default"/>
                <w:sz w:val="18"/>
                <w:szCs w:val="18"/>
              </w:rPr>
              <w:t>月</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62"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蓝庆新</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对外经济贸易大学</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教授</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2005</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8</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62"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蓝庆新</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中国城乡发展国际交流协会</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理事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2015</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3</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1"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蓝庆新</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日本中央大学经济研究所</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客座研究员</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2015</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10</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2"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蓝庆新</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中联部金砖国家智库理事会</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理事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2017</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1</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2"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蓝庆新</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中国工业经济学会</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常务理事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2017</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9</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1"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蓝庆新</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澳门科技大学</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访问教授</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2018</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1</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2"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吴中海</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北京大学软件与微电子学院</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教授、常务副院长</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2015</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10</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674"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吴中海</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31"/>
              <w:ind w:left="22" w:right="125"/>
              <w:jc w:val="left"/>
              <w:rPr>
                <w:rFonts w:ascii="宋体" w:hAnsi="宋体" w:cs="宋体" w:eastAsia="宋体" w:hint="default"/>
                <w:sz w:val="18"/>
                <w:szCs w:val="18"/>
              </w:rPr>
            </w:pPr>
            <w:r>
              <w:rPr>
                <w:rFonts w:ascii="宋体" w:hAnsi="宋体" w:cs="宋体" w:eastAsia="宋体" w:hint="default"/>
                <w:sz w:val="18"/>
                <w:szCs w:val="18"/>
              </w:rPr>
              <w:t>教育部高等学校软件工程专业教学指 导委员会</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副主任</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2018</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11</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674"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吴中海</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中国计算机学会</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31"/>
              <w:ind w:left="144" w:right="53" w:hanging="90"/>
              <w:jc w:val="left"/>
              <w:rPr>
                <w:rFonts w:ascii="宋体" w:hAnsi="宋体" w:cs="宋体" w:eastAsia="宋体" w:hint="default"/>
                <w:sz w:val="18"/>
                <w:szCs w:val="18"/>
              </w:rPr>
            </w:pPr>
            <w:r>
              <w:rPr>
                <w:rFonts w:ascii="宋体" w:hAnsi="宋体" w:cs="宋体" w:eastAsia="宋体" w:hint="default"/>
                <w:sz w:val="18"/>
                <w:szCs w:val="18"/>
              </w:rPr>
              <w:t>理事、嵌入式系统 专业委员会主任</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2016</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1</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center"/>
        <w:rPr>
          <w:rFonts w:ascii="宋体" w:hAnsi="宋体" w:cs="宋体" w:eastAsia="宋体" w:hint="default"/>
          <w:sz w:val="18"/>
          <w:szCs w:val="18"/>
        </w:rPr>
        <w:sectPr>
          <w:pgSz w:w="11910" w:h="16840"/>
          <w:pgMar w:header="787" w:footer="982" w:top="1100" w:bottom="1180" w:left="980" w:right="0"/>
        </w:sectPr>
      </w:pPr>
    </w:p>
    <w:p>
      <w:pPr>
        <w:spacing w:line="240" w:lineRule="auto" w:before="5"/>
        <w:rPr>
          <w:rFonts w:ascii="宋体" w:hAnsi="宋体" w:cs="宋体" w:eastAsia="宋体" w:hint="default"/>
          <w:sz w:val="25"/>
          <w:szCs w:val="25"/>
        </w:rPr>
      </w:pPr>
    </w:p>
    <w:tbl>
      <w:tblPr>
        <w:tblW w:w="0" w:type="auto"/>
        <w:jc w:val="left"/>
        <w:tblInd w:w="305" w:type="dxa"/>
        <w:tblLayout w:type="fixed"/>
        <w:tblCellMar>
          <w:top w:w="0" w:type="dxa"/>
          <w:left w:w="0" w:type="dxa"/>
          <w:bottom w:w="0" w:type="dxa"/>
          <w:right w:w="0" w:type="dxa"/>
        </w:tblCellMar>
        <w:tblLook w:val="01E0"/>
      </w:tblPr>
      <w:tblGrid>
        <w:gridCol w:w="1201"/>
        <w:gridCol w:w="3038"/>
        <w:gridCol w:w="1559"/>
        <w:gridCol w:w="1134"/>
        <w:gridCol w:w="953"/>
        <w:gridCol w:w="1440"/>
      </w:tblGrid>
      <w:tr>
        <w:trPr>
          <w:trHeight w:val="362"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吴中海</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《电子学报》</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编委</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2016</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1</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1"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李福江</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中国振华电子集团有限公司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监事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2014</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8</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2"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李福江</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中软信息系统工程有限公司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监事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2015</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8</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2"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李福江</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中国软件与技术服务股份有限公司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监事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2016</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3</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1"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李福江</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中国电子系统技术有限公司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监事会主席</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2016</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7</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2"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李斌</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武汉中原电子集团有限公司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监事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2017</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9</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2"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周庚申</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广州鼎甲计算机科技有限公司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2014</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5</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1"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周庚申</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湖南长城非凡信息科技有限公司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2018</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7</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2"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周庚申</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工业和信息化部电子科学技术委员会</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委员</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2012</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3</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674"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周庚申</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全国信息技术标准化技术委员会</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SOA</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分技术委员会</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委员</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2013</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12</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1"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周庚申</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中国电子协会</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会员</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2017</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9</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2"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周庚申</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深圳市计算机行业协会</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会长</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2018</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12</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2"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戴湘桃</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长沙中电软件园有限公司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2017</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7</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1"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戴湘桃</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湖南长城科技信息有限公司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执行董事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2017</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10</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2"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戴湘桃</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湖南省卫生信息与医学装备学会</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副会长</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2016</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3</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986"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戴湘桃</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31"/>
              <w:ind w:left="22" w:right="23"/>
              <w:jc w:val="left"/>
              <w:rPr>
                <w:rFonts w:ascii="宋体" w:hAnsi="宋体" w:cs="宋体" w:eastAsia="宋体" w:hint="default"/>
                <w:sz w:val="18"/>
                <w:szCs w:val="18"/>
              </w:rPr>
            </w:pPr>
            <w:r>
              <w:rPr>
                <w:rFonts w:ascii="宋体" w:hAnsi="宋体" w:cs="宋体" w:eastAsia="宋体" w:hint="default"/>
                <w:sz w:val="18"/>
                <w:szCs w:val="18"/>
              </w:rPr>
              <w:t>中国卫生信息学会健康医疗大数据产 </w:t>
            </w:r>
            <w:r>
              <w:rPr>
                <w:rFonts w:ascii="宋体" w:hAnsi="宋体" w:cs="宋体" w:eastAsia="宋体" w:hint="default"/>
                <w:spacing w:val="-5"/>
                <w:sz w:val="18"/>
                <w:szCs w:val="18"/>
              </w:rPr>
              <w:t>业发展与信息安全专业委员会（中国健</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康医疗大数据产业联盟）</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理事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2016</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8</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1"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戴湘桃</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中国电子协会</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会员</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2017</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9</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674"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戴湘桃</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中国信息产业商会</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32"/>
              <w:ind w:left="144" w:right="53" w:hanging="90"/>
              <w:jc w:val="left"/>
              <w:rPr>
                <w:rFonts w:ascii="宋体" w:hAnsi="宋体" w:cs="宋体" w:eastAsia="宋体" w:hint="default"/>
                <w:sz w:val="18"/>
                <w:szCs w:val="18"/>
              </w:rPr>
            </w:pPr>
            <w:r>
              <w:rPr>
                <w:rFonts w:ascii="宋体" w:hAnsi="宋体" w:cs="宋体" w:eastAsia="宋体" w:hint="default"/>
                <w:sz w:val="18"/>
                <w:szCs w:val="18"/>
              </w:rPr>
              <w:t>常务理事兼工业互 联网分会理事长</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2018</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6</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2"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周在龙</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湖南长城银河科技有限公司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2017</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3</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1"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周在龙</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深圳中电长城信息安全系统有限公司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执行董事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2018</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4</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2"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周在龙</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长城超云（北京）科技有限公司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2018</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5</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674"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周在龙</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中国计算机行业协会</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31"/>
              <w:ind w:left="504" w:right="53" w:hanging="450"/>
              <w:jc w:val="left"/>
              <w:rPr>
                <w:rFonts w:ascii="宋体" w:hAnsi="宋体" w:cs="宋体" w:eastAsia="宋体" w:hint="default"/>
                <w:sz w:val="18"/>
                <w:szCs w:val="18"/>
              </w:rPr>
            </w:pPr>
            <w:r>
              <w:rPr>
                <w:rFonts w:ascii="宋体" w:hAnsi="宋体" w:cs="宋体" w:eastAsia="宋体" w:hint="default"/>
                <w:sz w:val="18"/>
                <w:szCs w:val="18"/>
              </w:rPr>
              <w:t>副会长兼电脑专委 会会长</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2017</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5</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1"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段军</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湖南长城银河科技有限公司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2018</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7</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2"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段军</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长沙军民先进技术研究有限公司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2019</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1</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2"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刘文彬</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东方证券股份有限公司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监事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2011</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position w:val="1"/>
                <w:sz w:val="18"/>
                <w:szCs w:val="18"/>
              </w:rPr>
              <w:t>3</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月</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2021</w:t>
            </w:r>
            <w:r>
              <w:rPr>
                <w:rFonts w:ascii="Times New Roman" w:hAnsi="Times New Roman" w:cs="Times New Roman" w:eastAsia="Times New Roman" w:hint="default"/>
                <w:spacing w:val="-17"/>
                <w:position w:val="1"/>
                <w:sz w:val="18"/>
                <w:szCs w:val="18"/>
              </w:rPr>
              <w:t> </w:t>
            </w: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Times New Roman" w:hAnsi="Times New Roman" w:cs="Times New Roman" w:eastAsia="Times New Roman" w:hint="default"/>
                <w:position w:val="1"/>
                <w:sz w:val="18"/>
                <w:szCs w:val="18"/>
              </w:rPr>
              <w:t>3</w:t>
            </w:r>
            <w:r>
              <w:rPr>
                <w:rFonts w:ascii="Times New Roman" w:hAnsi="Times New Roman" w:cs="Times New Roman" w:eastAsia="Times New Roman" w:hint="default"/>
                <w:spacing w:val="-17"/>
                <w:position w:val="1"/>
                <w:sz w:val="18"/>
                <w:szCs w:val="18"/>
              </w:rPr>
              <w:t> </w:t>
            </w:r>
            <w:r>
              <w:rPr>
                <w:rFonts w:ascii="宋体" w:hAnsi="宋体" w:cs="宋体" w:eastAsia="宋体" w:hint="default"/>
                <w:sz w:val="18"/>
                <w:szCs w:val="18"/>
              </w:rPr>
              <w:t>月</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1"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刘文彬</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湖南省会计协会、总会计师协会</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理事、常务理事</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2016</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2"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刘文彬</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湖南商学院</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校外兼职硕士导师</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2015</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2" w:hRule="exact"/>
        </w:trPr>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刘文彬</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湖南省高级会计师职称评审委员会</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评委</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Times New Roman" w:hAnsi="Times New Roman" w:cs="Times New Roman" w:eastAsia="Times New Roman" w:hint="default"/>
                <w:position w:val="1"/>
                <w:sz w:val="18"/>
                <w:szCs w:val="18"/>
              </w:rPr>
              <w:t>2012</w:t>
            </w:r>
            <w:r>
              <w:rPr>
                <w:rFonts w:ascii="Times New Roman" w:hAnsi="Times New Roman" w:cs="Times New Roman" w:eastAsia="Times New Roman" w:hint="default"/>
                <w:spacing w:val="-1"/>
                <w:position w:val="1"/>
                <w:sz w:val="18"/>
                <w:szCs w:val="18"/>
              </w:rPr>
              <w:t> </w:t>
            </w:r>
            <w:r>
              <w:rPr>
                <w:rFonts w:ascii="宋体" w:hAnsi="宋体" w:cs="宋体" w:eastAsia="宋体" w:hint="default"/>
                <w:sz w:val="18"/>
                <w:szCs w:val="18"/>
              </w:rPr>
              <w:t>年</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否</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公司现任及报告期内离任董事、监事和高级管理人员近三年证券监管机构处罚的情况</w:t>
      </w:r>
    </w:p>
    <w:p>
      <w:pPr>
        <w:spacing w:before="117"/>
        <w:ind w:left="153"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2"/>
        <w:rPr>
          <w:rFonts w:ascii="宋体" w:hAnsi="宋体" w:cs="宋体" w:eastAsia="宋体" w:hint="default"/>
          <w:sz w:val="24"/>
          <w:szCs w:val="24"/>
        </w:rPr>
      </w:pPr>
    </w:p>
    <w:p>
      <w:pPr>
        <w:pStyle w:val="Heading4"/>
        <w:spacing w:line="240" w:lineRule="auto"/>
        <w:ind w:right="0"/>
        <w:jc w:val="left"/>
        <w:rPr>
          <w:b w:val="0"/>
          <w:bCs w:val="0"/>
        </w:rPr>
      </w:pPr>
      <w:r>
        <w:rPr/>
        <w:t>四、董事、监事、高级管理人员报酬情况</w:t>
      </w:r>
      <w:r>
        <w:rPr>
          <w:b w:val="0"/>
          <w:bCs w:val="0"/>
        </w:rPr>
      </w:r>
    </w:p>
    <w:p>
      <w:pPr>
        <w:spacing w:line="240" w:lineRule="auto" w:before="9"/>
        <w:rPr>
          <w:rFonts w:ascii="宋体" w:hAnsi="宋体" w:cs="宋体" w:eastAsia="宋体" w:hint="default"/>
          <w:b/>
          <w:bCs/>
          <w:sz w:val="26"/>
          <w:szCs w:val="26"/>
        </w:rPr>
      </w:pPr>
    </w:p>
    <w:p>
      <w:pPr>
        <w:spacing w:line="357" w:lineRule="auto" w:before="0"/>
        <w:ind w:left="513" w:right="2471" w:hanging="360"/>
        <w:jc w:val="left"/>
        <w:rPr>
          <w:rFonts w:ascii="宋体" w:hAnsi="宋体" w:cs="宋体" w:eastAsia="宋体" w:hint="default"/>
          <w:sz w:val="18"/>
          <w:szCs w:val="18"/>
        </w:rPr>
      </w:pPr>
      <w:r>
        <w:rPr>
          <w:rFonts w:ascii="宋体" w:hAnsi="宋体" w:cs="宋体" w:eastAsia="宋体" w:hint="default"/>
          <w:sz w:val="18"/>
          <w:szCs w:val="18"/>
        </w:rPr>
        <w:t>董事、监事、高级管理人员报酬的决策程序、确定依据、实际支付情况 根据《公司章程》的规定，董事、监事的报酬由股东大会决定，高级管理人员的报酬由董事会决定。</w:t>
      </w:r>
    </w:p>
    <w:p>
      <w:pPr>
        <w:spacing w:after="0" w:line="357" w:lineRule="auto"/>
        <w:jc w:val="left"/>
        <w:rPr>
          <w:rFonts w:ascii="宋体" w:hAnsi="宋体" w:cs="宋体" w:eastAsia="宋体" w:hint="default"/>
          <w:sz w:val="18"/>
          <w:szCs w:val="18"/>
        </w:rPr>
        <w:sectPr>
          <w:pgSz w:w="11910" w:h="16840"/>
          <w:pgMar w:header="787" w:footer="982" w:top="1100" w:bottom="1180" w:left="980" w:right="0"/>
        </w:sectPr>
      </w:pPr>
    </w:p>
    <w:p>
      <w:pPr>
        <w:spacing w:line="240" w:lineRule="auto" w:before="10"/>
        <w:rPr>
          <w:rFonts w:ascii="宋体" w:hAnsi="宋体" w:cs="宋体" w:eastAsia="宋体" w:hint="default"/>
          <w:sz w:val="22"/>
          <w:szCs w:val="22"/>
        </w:rPr>
      </w:pPr>
    </w:p>
    <w:p>
      <w:pPr>
        <w:spacing w:before="44"/>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日召开的公司</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年度第四次临时股东大会审议通过了第七届董事会董事津贴标准的议案及第七届监事</w:t>
      </w:r>
    </w:p>
    <w:p>
      <w:pPr>
        <w:spacing w:before="63"/>
        <w:ind w:left="154" w:right="0" w:firstLine="0"/>
        <w:jc w:val="both"/>
        <w:rPr>
          <w:rFonts w:ascii="宋体" w:hAnsi="宋体" w:cs="宋体" w:eastAsia="宋体" w:hint="default"/>
          <w:sz w:val="18"/>
          <w:szCs w:val="18"/>
        </w:rPr>
      </w:pPr>
      <w:r>
        <w:rPr>
          <w:rFonts w:ascii="宋体" w:hAnsi="宋体" w:cs="宋体" w:eastAsia="宋体" w:hint="default"/>
          <w:sz w:val="18"/>
          <w:szCs w:val="18"/>
        </w:rPr>
        <w:t>会监事津贴标准的议案</w:t>
      </w:r>
      <w:r>
        <w:rPr>
          <w:rFonts w:ascii="宋体" w:hAnsi="宋体" w:cs="宋体" w:eastAsia="宋体" w:hint="default"/>
          <w:spacing w:val="-21"/>
          <w:sz w:val="18"/>
          <w:szCs w:val="18"/>
        </w:rPr>
        <w:t>。</w:t>
      </w:r>
      <w:r>
        <w:rPr>
          <w:rFonts w:ascii="宋体" w:hAnsi="宋体" w:cs="宋体" w:eastAsia="宋体" w:hint="default"/>
          <w:sz w:val="18"/>
          <w:szCs w:val="18"/>
        </w:rPr>
        <w:t>任期内</w:t>
      </w:r>
      <w:r>
        <w:rPr>
          <w:rFonts w:ascii="宋体" w:hAnsi="宋体" w:cs="宋体" w:eastAsia="宋体" w:hint="default"/>
          <w:spacing w:val="-21"/>
          <w:sz w:val="18"/>
          <w:szCs w:val="18"/>
        </w:rPr>
        <w:t>，</w:t>
      </w:r>
      <w:r>
        <w:rPr>
          <w:rFonts w:ascii="宋体" w:hAnsi="宋体" w:cs="宋体" w:eastAsia="宋体" w:hint="default"/>
          <w:sz w:val="18"/>
          <w:szCs w:val="18"/>
        </w:rPr>
        <w:t>公司支付每人每年董事津贴人民币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w:t>
      </w:r>
      <w:r>
        <w:rPr>
          <w:rFonts w:ascii="宋体" w:hAnsi="宋体" w:cs="宋体" w:eastAsia="宋体" w:hint="default"/>
          <w:spacing w:val="-21"/>
          <w:sz w:val="18"/>
          <w:szCs w:val="18"/>
        </w:rPr>
        <w:t>元</w:t>
      </w:r>
      <w:r>
        <w:rPr>
          <w:rFonts w:ascii="宋体" w:hAnsi="宋体" w:cs="宋体" w:eastAsia="宋体" w:hint="default"/>
          <w:sz w:val="18"/>
          <w:szCs w:val="18"/>
        </w:rPr>
        <w:t>（含税</w:t>
      </w:r>
      <w:r>
        <w:rPr>
          <w:rFonts w:ascii="宋体" w:hAnsi="宋体" w:cs="宋体" w:eastAsia="宋体" w:hint="default"/>
          <w:spacing w:val="-90"/>
          <w:sz w:val="18"/>
          <w:szCs w:val="18"/>
        </w:rPr>
        <w:t>）</w:t>
      </w:r>
      <w:r>
        <w:rPr>
          <w:rFonts w:ascii="宋体" w:hAnsi="宋体" w:cs="宋体" w:eastAsia="宋体" w:hint="default"/>
          <w:spacing w:val="-21"/>
          <w:sz w:val="18"/>
          <w:szCs w:val="18"/>
        </w:rPr>
        <w:t>，</w:t>
      </w:r>
      <w:r>
        <w:rPr>
          <w:rFonts w:ascii="宋体" w:hAnsi="宋体" w:cs="宋体" w:eastAsia="宋体" w:hint="default"/>
          <w:sz w:val="18"/>
          <w:szCs w:val="18"/>
        </w:rPr>
        <w:t>支付监事会主席每年监事津贴人民币</w:t>
      </w:r>
    </w:p>
    <w:p>
      <w:pPr>
        <w:spacing w:line="309" w:lineRule="auto" w:before="63"/>
        <w:ind w:left="154" w:right="1131"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pacing w:val="-5"/>
          <w:sz w:val="18"/>
          <w:szCs w:val="18"/>
        </w:rPr>
        <w:t>万元（含税）、其他监事每人每年监事津贴人民币</w:t>
      </w:r>
      <w:r>
        <w:rPr>
          <w:rFonts w:ascii="宋体" w:hAnsi="宋体" w:cs="宋体" w:eastAsia="宋体" w:hint="default"/>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20"/>
          <w:sz w:val="18"/>
          <w:szCs w:val="18"/>
        </w:rPr>
        <w:t> </w:t>
      </w:r>
      <w:r>
        <w:rPr>
          <w:rFonts w:ascii="宋体" w:hAnsi="宋体" w:cs="宋体" w:eastAsia="宋体" w:hint="default"/>
          <w:spacing w:val="-3"/>
          <w:sz w:val="18"/>
          <w:szCs w:val="18"/>
        </w:rPr>
        <w:t>万元（含税），出席公司董事会、监事会、股东大会会议的差旅费及</w:t>
      </w:r>
      <w:r>
        <w:rPr>
          <w:rFonts w:ascii="宋体" w:hAnsi="宋体" w:cs="宋体" w:eastAsia="宋体" w:hint="default"/>
          <w:sz w:val="18"/>
          <w:szCs w:val="18"/>
        </w:rPr>
        <w:t> </w:t>
      </w:r>
      <w:r>
        <w:rPr>
          <w:rFonts w:ascii="宋体" w:hAnsi="宋体" w:cs="宋体" w:eastAsia="宋体" w:hint="default"/>
          <w:spacing w:val="-2"/>
          <w:sz w:val="18"/>
          <w:szCs w:val="18"/>
        </w:rPr>
        <w:t>根据《公司章程》和相关法律、法规行使职权所需费用由公司承担，除此之外，非公司员工的董事、监事，公司在其任期内</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不支付其他报酬。</w:t>
      </w:r>
    </w:p>
    <w:p>
      <w:pPr>
        <w:spacing w:line="319" w:lineRule="auto" w:before="62"/>
        <w:ind w:left="154" w:right="0" w:firstLine="360"/>
        <w:jc w:val="left"/>
        <w:rPr>
          <w:rFonts w:ascii="宋体" w:hAnsi="宋体" w:cs="宋体" w:eastAsia="宋体" w:hint="default"/>
          <w:sz w:val="18"/>
          <w:szCs w:val="18"/>
        </w:rPr>
      </w:pPr>
      <w:r>
        <w:rPr>
          <w:rFonts w:ascii="宋体" w:hAnsi="宋体" w:cs="宋体" w:eastAsia="宋体" w:hint="default"/>
          <w:spacing w:val="-2"/>
          <w:sz w:val="18"/>
          <w:szCs w:val="18"/>
        </w:rPr>
        <w:t>公司高级管理人员实行岗位工资制，其报酬根据公司工资管理制度，以及参照同行业标准，根据公司经营情况及个人工</w:t>
      </w:r>
      <w:r>
        <w:rPr>
          <w:rFonts w:ascii="宋体" w:hAnsi="宋体" w:cs="宋体" w:eastAsia="宋体" w:hint="default"/>
          <w:sz w:val="18"/>
          <w:szCs w:val="18"/>
        </w:rPr>
        <w:t> 作业绩来综合确定，按照薪酬管理制度支付基本工资，根据年度业绩考核支付绩效工资。</w:t>
      </w:r>
    </w:p>
    <w:p>
      <w:pPr>
        <w:tabs>
          <w:tab w:pos="8883" w:val="left" w:leader="none"/>
        </w:tabs>
        <w:spacing w:line="338" w:lineRule="auto" w:before="58"/>
        <w:ind w:left="154" w:right="1138" w:firstLine="360"/>
        <w:jc w:val="left"/>
        <w:rPr>
          <w:rFonts w:ascii="宋体" w:hAnsi="宋体" w:cs="宋体" w:eastAsia="宋体" w:hint="default"/>
          <w:sz w:val="18"/>
          <w:szCs w:val="18"/>
        </w:rPr>
      </w:pPr>
      <w:r>
        <w:rPr>
          <w:rFonts w:ascii="宋体" w:hAnsi="宋体" w:cs="宋体" w:eastAsia="宋体" w:hint="default"/>
          <w:sz w:val="18"/>
          <w:szCs w:val="18"/>
        </w:rPr>
        <w:t>报告期内，公司董事、监事及高级管理人员应付报酬总额为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1,197.19</w:t>
      </w:r>
      <w:r>
        <w:rPr>
          <w:rFonts w:ascii="Times New Roman" w:hAnsi="Times New Roman" w:cs="Times New Roman" w:eastAsia="Times New Roman" w:hint="default"/>
          <w:spacing w:val="-1"/>
          <w:sz w:val="18"/>
          <w:szCs w:val="18"/>
        </w:rPr>
        <w:t> </w:t>
      </w:r>
      <w:r>
        <w:rPr>
          <w:rFonts w:ascii="宋体" w:hAnsi="宋体" w:cs="宋体" w:eastAsia="宋体" w:hint="default"/>
          <w:spacing w:val="-13"/>
          <w:sz w:val="18"/>
          <w:szCs w:val="18"/>
        </w:rPr>
        <w:t>万元（含税）。</w:t>
      </w:r>
      <w:r>
        <w:rPr>
          <w:rFonts w:ascii="宋体" w:hAnsi="宋体" w:cs="宋体" w:eastAsia="宋体" w:hint="default"/>
          <w:sz w:val="18"/>
          <w:szCs w:val="18"/>
        </w:rPr>
        <w:t> 公司报告期内董事、监事和高级管理人员报酬情况</w:t>
        <w:tab/>
        <w:t>单位：万元</w:t>
      </w:r>
    </w:p>
    <w:p>
      <w:pPr>
        <w:spacing w:line="240" w:lineRule="auto" w:before="5"/>
        <w:rPr>
          <w:rFonts w:ascii="宋体" w:hAnsi="宋体" w:cs="宋体" w:eastAsia="宋体" w:hint="default"/>
          <w:sz w:val="2"/>
          <w:szCs w:val="2"/>
        </w:rPr>
      </w:pPr>
    </w:p>
    <w:tbl>
      <w:tblPr>
        <w:tblW w:w="0" w:type="auto"/>
        <w:jc w:val="left"/>
        <w:tblInd w:w="182" w:type="dxa"/>
        <w:tblLayout w:type="fixed"/>
        <w:tblCellMar>
          <w:top w:w="0" w:type="dxa"/>
          <w:left w:w="0" w:type="dxa"/>
          <w:bottom w:w="0" w:type="dxa"/>
          <w:right w:w="0" w:type="dxa"/>
        </w:tblCellMar>
        <w:tblLook w:val="01E0"/>
      </w:tblPr>
      <w:tblGrid>
        <w:gridCol w:w="1368"/>
        <w:gridCol w:w="1368"/>
        <w:gridCol w:w="1367"/>
        <w:gridCol w:w="1367"/>
        <w:gridCol w:w="1367"/>
        <w:gridCol w:w="1367"/>
        <w:gridCol w:w="1367"/>
      </w:tblGrid>
      <w:tr>
        <w:trPr>
          <w:trHeight w:val="674" w:hRule="exact"/>
        </w:trPr>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职务</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性别</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年龄</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任职状态</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31"/>
              <w:ind w:left="228" w:right="47" w:hanging="180"/>
              <w:jc w:val="left"/>
              <w:rPr>
                <w:rFonts w:ascii="宋体" w:hAnsi="宋体" w:cs="宋体" w:eastAsia="宋体" w:hint="default"/>
                <w:sz w:val="18"/>
                <w:szCs w:val="18"/>
              </w:rPr>
            </w:pPr>
            <w:r>
              <w:rPr>
                <w:rFonts w:ascii="宋体" w:hAnsi="宋体" w:cs="宋体" w:eastAsia="宋体" w:hint="default"/>
                <w:sz w:val="18"/>
                <w:szCs w:val="18"/>
              </w:rPr>
              <w:t>从公司获得的税 前报酬总额</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31"/>
              <w:ind w:left="228" w:right="47" w:hanging="180"/>
              <w:jc w:val="left"/>
              <w:rPr>
                <w:rFonts w:ascii="宋体" w:hAnsi="宋体" w:cs="宋体" w:eastAsia="宋体" w:hint="default"/>
                <w:sz w:val="18"/>
                <w:szCs w:val="18"/>
              </w:rPr>
            </w:pPr>
            <w:r>
              <w:rPr>
                <w:rFonts w:ascii="宋体" w:hAnsi="宋体" w:cs="宋体" w:eastAsia="宋体" w:hint="default"/>
                <w:sz w:val="18"/>
                <w:szCs w:val="18"/>
              </w:rPr>
              <w:t>是否在公司关联 方获取报酬</w:t>
            </w:r>
          </w:p>
        </w:tc>
      </w:tr>
      <w:tr>
        <w:trPr>
          <w:trHeight w:val="362"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407"/>
              <w:jc w:val="right"/>
              <w:rPr>
                <w:rFonts w:ascii="宋体" w:hAnsi="宋体" w:cs="宋体" w:eastAsia="宋体" w:hint="default"/>
                <w:sz w:val="18"/>
                <w:szCs w:val="18"/>
              </w:rPr>
            </w:pPr>
            <w:r>
              <w:rPr>
                <w:rFonts w:ascii="宋体" w:hAnsi="宋体" w:cs="宋体" w:eastAsia="宋体" w:hint="default"/>
                <w:sz w:val="18"/>
                <w:szCs w:val="18"/>
              </w:rPr>
              <w:t>宋黎定</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center"/>
              <w:rPr>
                <w:rFonts w:ascii="Times New Roman" w:hAnsi="Times New Roman" w:cs="Times New Roman" w:eastAsia="Times New Roman" w:hint="default"/>
                <w:sz w:val="18"/>
                <w:szCs w:val="18"/>
              </w:rPr>
            </w:pPr>
            <w:r>
              <w:rPr>
                <w:rFonts w:ascii="Times New Roman"/>
                <w:sz w:val="18"/>
              </w:rPr>
              <w:t>56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6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徐刚</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董事兼总裁</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center"/>
              <w:rPr>
                <w:rFonts w:ascii="Times New Roman" w:hAnsi="Times New Roman" w:cs="Times New Roman" w:eastAsia="Times New Roman" w:hint="default"/>
                <w:sz w:val="18"/>
                <w:szCs w:val="18"/>
              </w:rPr>
            </w:pPr>
            <w:r>
              <w:rPr>
                <w:rFonts w:ascii="Times New Roman"/>
                <w:sz w:val="18"/>
              </w:rPr>
              <w:t>57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18"/>
                <w:szCs w:val="18"/>
              </w:rPr>
            </w:pPr>
            <w:r>
              <w:rPr>
                <w:rFonts w:ascii="Times New Roman"/>
                <w:sz w:val="18"/>
              </w:rPr>
              <w:t>124.43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2"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李峻</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1"/>
              <w:jc w:val="center"/>
              <w:rPr>
                <w:rFonts w:ascii="Times New Roman" w:hAnsi="Times New Roman" w:cs="Times New Roman" w:eastAsia="Times New Roman" w:hint="default"/>
                <w:sz w:val="18"/>
                <w:szCs w:val="18"/>
              </w:rPr>
            </w:pPr>
            <w:r>
              <w:rPr>
                <w:rFonts w:ascii="Times New Roman"/>
                <w:sz w:val="18"/>
              </w:rPr>
              <w:t>44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62"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407"/>
              <w:jc w:val="right"/>
              <w:rPr>
                <w:rFonts w:ascii="宋体" w:hAnsi="宋体" w:cs="宋体" w:eastAsia="宋体" w:hint="default"/>
                <w:sz w:val="18"/>
                <w:szCs w:val="18"/>
              </w:rPr>
            </w:pPr>
            <w:r>
              <w:rPr>
                <w:rFonts w:ascii="宋体" w:hAnsi="宋体" w:cs="宋体" w:eastAsia="宋体" w:hint="default"/>
                <w:sz w:val="18"/>
                <w:szCs w:val="18"/>
              </w:rPr>
              <w:t>孔雪屏</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center"/>
              <w:rPr>
                <w:rFonts w:ascii="Times New Roman" w:hAnsi="Times New Roman" w:cs="Times New Roman" w:eastAsia="Times New Roman" w:hint="default"/>
                <w:sz w:val="18"/>
                <w:szCs w:val="18"/>
              </w:rPr>
            </w:pPr>
            <w:r>
              <w:rPr>
                <w:rFonts w:ascii="Times New Roman"/>
                <w:sz w:val="18"/>
              </w:rPr>
              <w:t>50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6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407"/>
              <w:jc w:val="right"/>
              <w:rPr>
                <w:rFonts w:ascii="宋体" w:hAnsi="宋体" w:cs="宋体" w:eastAsia="宋体" w:hint="default"/>
                <w:sz w:val="18"/>
                <w:szCs w:val="18"/>
              </w:rPr>
            </w:pPr>
            <w:r>
              <w:rPr>
                <w:rFonts w:ascii="宋体" w:hAnsi="宋体" w:cs="宋体" w:eastAsia="宋体" w:hint="default"/>
                <w:sz w:val="18"/>
                <w:szCs w:val="18"/>
              </w:rPr>
              <w:t>吕宝利</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center"/>
              <w:rPr>
                <w:rFonts w:ascii="Times New Roman" w:hAnsi="Times New Roman" w:cs="Times New Roman" w:eastAsia="Times New Roman" w:hint="default"/>
                <w:sz w:val="18"/>
                <w:szCs w:val="18"/>
              </w:rPr>
            </w:pPr>
            <w:r>
              <w:rPr>
                <w:rFonts w:ascii="Times New Roman"/>
                <w:sz w:val="18"/>
              </w:rPr>
              <w:t>48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62"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407"/>
              <w:jc w:val="right"/>
              <w:rPr>
                <w:rFonts w:ascii="宋体" w:hAnsi="宋体" w:cs="宋体" w:eastAsia="宋体" w:hint="default"/>
                <w:sz w:val="18"/>
                <w:szCs w:val="18"/>
              </w:rPr>
            </w:pPr>
            <w:r>
              <w:rPr>
                <w:rFonts w:ascii="宋体" w:hAnsi="宋体" w:cs="宋体" w:eastAsia="宋体" w:hint="default"/>
                <w:sz w:val="18"/>
                <w:szCs w:val="18"/>
              </w:rPr>
              <w:t>张志勇</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1"/>
              <w:jc w:val="center"/>
              <w:rPr>
                <w:rFonts w:ascii="Times New Roman" w:hAnsi="Times New Roman" w:cs="Times New Roman" w:eastAsia="Times New Roman" w:hint="default"/>
                <w:sz w:val="18"/>
                <w:szCs w:val="18"/>
              </w:rPr>
            </w:pPr>
            <w:r>
              <w:rPr>
                <w:rFonts w:ascii="Times New Roman"/>
                <w:sz w:val="18"/>
              </w:rPr>
              <w:t>40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62"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407"/>
              <w:jc w:val="right"/>
              <w:rPr>
                <w:rFonts w:ascii="宋体" w:hAnsi="宋体" w:cs="宋体" w:eastAsia="宋体" w:hint="default"/>
                <w:sz w:val="18"/>
                <w:szCs w:val="18"/>
              </w:rPr>
            </w:pPr>
            <w:r>
              <w:rPr>
                <w:rFonts w:ascii="宋体" w:hAnsi="宋体" w:cs="宋体" w:eastAsia="宋体" w:hint="default"/>
                <w:sz w:val="18"/>
                <w:szCs w:val="18"/>
              </w:rPr>
              <w:t>虞世全</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center"/>
              <w:rPr>
                <w:rFonts w:ascii="Times New Roman" w:hAnsi="Times New Roman" w:cs="Times New Roman" w:eastAsia="Times New Roman" w:hint="default"/>
                <w:sz w:val="18"/>
                <w:szCs w:val="18"/>
              </w:rPr>
            </w:pPr>
            <w:r>
              <w:rPr>
                <w:rFonts w:ascii="Times New Roman"/>
                <w:sz w:val="18"/>
              </w:rPr>
              <w:t>53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18"/>
                <w:szCs w:val="18"/>
              </w:rPr>
            </w:pPr>
            <w:r>
              <w:rPr>
                <w:rFonts w:ascii="Times New Roman"/>
                <w:sz w:val="18"/>
              </w:rPr>
              <w:t>9.50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407"/>
              <w:jc w:val="right"/>
              <w:rPr>
                <w:rFonts w:ascii="宋体" w:hAnsi="宋体" w:cs="宋体" w:eastAsia="宋体" w:hint="default"/>
                <w:sz w:val="18"/>
                <w:szCs w:val="18"/>
              </w:rPr>
            </w:pPr>
            <w:r>
              <w:rPr>
                <w:rFonts w:ascii="宋体" w:hAnsi="宋体" w:cs="宋体" w:eastAsia="宋体" w:hint="default"/>
                <w:sz w:val="18"/>
                <w:szCs w:val="18"/>
              </w:rPr>
              <w:t>蓝庆新</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center"/>
              <w:rPr>
                <w:rFonts w:ascii="Times New Roman" w:hAnsi="Times New Roman" w:cs="Times New Roman" w:eastAsia="Times New Roman" w:hint="default"/>
                <w:sz w:val="18"/>
                <w:szCs w:val="18"/>
              </w:rPr>
            </w:pPr>
            <w:r>
              <w:rPr>
                <w:rFonts w:ascii="Times New Roman"/>
                <w:sz w:val="18"/>
              </w:rPr>
              <w:t>43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18"/>
                <w:szCs w:val="18"/>
              </w:rPr>
            </w:pPr>
            <w:r>
              <w:rPr>
                <w:rFonts w:ascii="Times New Roman"/>
                <w:sz w:val="18"/>
              </w:rPr>
              <w:t>9.50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2"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407"/>
              <w:jc w:val="right"/>
              <w:rPr>
                <w:rFonts w:ascii="宋体" w:hAnsi="宋体" w:cs="宋体" w:eastAsia="宋体" w:hint="default"/>
                <w:sz w:val="18"/>
                <w:szCs w:val="18"/>
              </w:rPr>
            </w:pPr>
            <w:r>
              <w:rPr>
                <w:rFonts w:ascii="宋体" w:hAnsi="宋体" w:cs="宋体" w:eastAsia="宋体" w:hint="default"/>
                <w:sz w:val="18"/>
                <w:szCs w:val="18"/>
              </w:rPr>
              <w:t>吴中海</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1"/>
              <w:jc w:val="center"/>
              <w:rPr>
                <w:rFonts w:ascii="Times New Roman" w:hAnsi="Times New Roman" w:cs="Times New Roman" w:eastAsia="Times New Roman" w:hint="default"/>
                <w:sz w:val="18"/>
                <w:szCs w:val="18"/>
              </w:rPr>
            </w:pPr>
            <w:r>
              <w:rPr>
                <w:rFonts w:ascii="Times New Roman"/>
                <w:sz w:val="18"/>
              </w:rPr>
              <w:t>51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19"/>
              <w:jc w:val="right"/>
              <w:rPr>
                <w:rFonts w:ascii="Times New Roman" w:hAnsi="Times New Roman" w:cs="Times New Roman" w:eastAsia="Times New Roman" w:hint="default"/>
                <w:sz w:val="18"/>
                <w:szCs w:val="18"/>
              </w:rPr>
            </w:pPr>
            <w:r>
              <w:rPr>
                <w:rFonts w:ascii="Times New Roman"/>
                <w:sz w:val="18"/>
              </w:rPr>
              <w:t>7.50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2"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马跃</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监事会主席</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center"/>
              <w:rPr>
                <w:rFonts w:ascii="Times New Roman" w:hAnsi="Times New Roman" w:cs="Times New Roman" w:eastAsia="Times New Roman" w:hint="default"/>
                <w:sz w:val="18"/>
                <w:szCs w:val="18"/>
              </w:rPr>
            </w:pPr>
            <w:r>
              <w:rPr>
                <w:rFonts w:ascii="Times New Roman"/>
                <w:sz w:val="18"/>
              </w:rPr>
              <w:t>60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18"/>
                <w:szCs w:val="18"/>
              </w:rPr>
            </w:pPr>
            <w:r>
              <w:rPr>
                <w:rFonts w:ascii="Times New Roman"/>
                <w:sz w:val="18"/>
              </w:rPr>
              <w:t>128.83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407"/>
              <w:jc w:val="right"/>
              <w:rPr>
                <w:rFonts w:ascii="宋体" w:hAnsi="宋体" w:cs="宋体" w:eastAsia="宋体" w:hint="default"/>
                <w:sz w:val="18"/>
                <w:szCs w:val="18"/>
              </w:rPr>
            </w:pPr>
            <w:r>
              <w:rPr>
                <w:rFonts w:ascii="宋体" w:hAnsi="宋体" w:cs="宋体" w:eastAsia="宋体" w:hint="default"/>
                <w:sz w:val="18"/>
                <w:szCs w:val="18"/>
              </w:rPr>
              <w:t>李福江</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center"/>
              <w:rPr>
                <w:rFonts w:ascii="Times New Roman" w:hAnsi="Times New Roman" w:cs="Times New Roman" w:eastAsia="Times New Roman" w:hint="default"/>
                <w:sz w:val="18"/>
                <w:szCs w:val="18"/>
              </w:rPr>
            </w:pPr>
            <w:r>
              <w:rPr>
                <w:rFonts w:ascii="Times New Roman"/>
                <w:sz w:val="18"/>
              </w:rPr>
              <w:t>51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62"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李斌</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1"/>
              <w:jc w:val="center"/>
              <w:rPr>
                <w:rFonts w:ascii="Times New Roman" w:hAnsi="Times New Roman" w:cs="Times New Roman" w:eastAsia="Times New Roman" w:hint="default"/>
                <w:sz w:val="18"/>
                <w:szCs w:val="18"/>
              </w:rPr>
            </w:pPr>
            <w:r>
              <w:rPr>
                <w:rFonts w:ascii="Times New Roman"/>
                <w:sz w:val="18"/>
              </w:rPr>
              <w:t>57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19"/>
              <w:jc w:val="right"/>
              <w:rPr>
                <w:rFonts w:ascii="Times New Roman" w:hAnsi="Times New Roman" w:cs="Times New Roman" w:eastAsia="Times New Roman" w:hint="default"/>
                <w:sz w:val="18"/>
                <w:szCs w:val="18"/>
              </w:rPr>
            </w:pPr>
            <w:r>
              <w:rPr>
                <w:rFonts w:ascii="Times New Roman"/>
                <w:sz w:val="18"/>
              </w:rPr>
              <w:t>42.77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2"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407"/>
              <w:jc w:val="right"/>
              <w:rPr>
                <w:rFonts w:ascii="宋体" w:hAnsi="宋体" w:cs="宋体" w:eastAsia="宋体" w:hint="default"/>
                <w:sz w:val="18"/>
                <w:szCs w:val="18"/>
              </w:rPr>
            </w:pPr>
            <w:r>
              <w:rPr>
                <w:rFonts w:ascii="宋体" w:hAnsi="宋体" w:cs="宋体" w:eastAsia="宋体" w:hint="default"/>
                <w:sz w:val="18"/>
                <w:szCs w:val="18"/>
              </w:rPr>
              <w:t>周庚申</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高级副总裁</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center"/>
              <w:rPr>
                <w:rFonts w:ascii="Times New Roman" w:hAnsi="Times New Roman" w:cs="Times New Roman" w:eastAsia="Times New Roman" w:hint="default"/>
                <w:sz w:val="18"/>
                <w:szCs w:val="18"/>
              </w:rPr>
            </w:pPr>
            <w:r>
              <w:rPr>
                <w:rFonts w:ascii="Times New Roman"/>
                <w:sz w:val="18"/>
              </w:rPr>
              <w:t>52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18"/>
                <w:szCs w:val="18"/>
              </w:rPr>
            </w:pPr>
            <w:r>
              <w:rPr>
                <w:rFonts w:ascii="Times New Roman"/>
                <w:sz w:val="18"/>
              </w:rPr>
              <w:t>124.03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407"/>
              <w:jc w:val="right"/>
              <w:rPr>
                <w:rFonts w:ascii="宋体" w:hAnsi="宋体" w:cs="宋体" w:eastAsia="宋体" w:hint="default"/>
                <w:sz w:val="18"/>
                <w:szCs w:val="18"/>
              </w:rPr>
            </w:pPr>
            <w:r>
              <w:rPr>
                <w:rFonts w:ascii="宋体" w:hAnsi="宋体" w:cs="宋体" w:eastAsia="宋体" w:hint="default"/>
                <w:sz w:val="18"/>
                <w:szCs w:val="18"/>
              </w:rPr>
              <w:t>戴湘桃</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高级副总裁</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center"/>
              <w:rPr>
                <w:rFonts w:ascii="Times New Roman" w:hAnsi="Times New Roman" w:cs="Times New Roman" w:eastAsia="Times New Roman" w:hint="default"/>
                <w:sz w:val="18"/>
                <w:szCs w:val="18"/>
              </w:rPr>
            </w:pPr>
            <w:r>
              <w:rPr>
                <w:rFonts w:ascii="Times New Roman"/>
                <w:sz w:val="18"/>
              </w:rPr>
              <w:t>52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18"/>
                <w:szCs w:val="18"/>
              </w:rPr>
            </w:pPr>
            <w:r>
              <w:rPr>
                <w:rFonts w:ascii="Times New Roman"/>
                <w:sz w:val="18"/>
              </w:rPr>
              <w:t>124.06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2"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407"/>
              <w:jc w:val="right"/>
              <w:rPr>
                <w:rFonts w:ascii="宋体" w:hAnsi="宋体" w:cs="宋体" w:eastAsia="宋体" w:hint="default"/>
                <w:sz w:val="18"/>
                <w:szCs w:val="18"/>
              </w:rPr>
            </w:pPr>
            <w:r>
              <w:rPr>
                <w:rFonts w:ascii="宋体" w:hAnsi="宋体" w:cs="宋体" w:eastAsia="宋体" w:hint="default"/>
                <w:sz w:val="18"/>
                <w:szCs w:val="18"/>
              </w:rPr>
              <w:t>周在龙</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高级副总裁</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1"/>
              <w:jc w:val="center"/>
              <w:rPr>
                <w:rFonts w:ascii="Times New Roman" w:hAnsi="Times New Roman" w:cs="Times New Roman" w:eastAsia="Times New Roman" w:hint="default"/>
                <w:sz w:val="18"/>
                <w:szCs w:val="18"/>
              </w:rPr>
            </w:pPr>
            <w:r>
              <w:rPr>
                <w:rFonts w:ascii="Times New Roman"/>
                <w:sz w:val="18"/>
              </w:rPr>
              <w:t>45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19"/>
              <w:jc w:val="right"/>
              <w:rPr>
                <w:rFonts w:ascii="Times New Roman" w:hAnsi="Times New Roman" w:cs="Times New Roman" w:eastAsia="Times New Roman" w:hint="default"/>
                <w:sz w:val="18"/>
                <w:szCs w:val="18"/>
              </w:rPr>
            </w:pPr>
            <w:r>
              <w:rPr>
                <w:rFonts w:ascii="Times New Roman"/>
                <w:sz w:val="18"/>
              </w:rPr>
              <w:t>124.13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674"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段军</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31"/>
              <w:ind w:left="319" w:right="47" w:hanging="270"/>
              <w:jc w:val="left"/>
              <w:rPr>
                <w:rFonts w:ascii="宋体" w:hAnsi="宋体" w:cs="宋体" w:eastAsia="宋体" w:hint="default"/>
                <w:sz w:val="18"/>
                <w:szCs w:val="18"/>
              </w:rPr>
            </w:pPr>
            <w:r>
              <w:rPr>
                <w:rFonts w:ascii="宋体" w:hAnsi="宋体" w:cs="宋体" w:eastAsia="宋体" w:hint="default"/>
                <w:sz w:val="18"/>
                <w:szCs w:val="18"/>
              </w:rPr>
              <w:t>高级副总裁、总 法律顾问</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49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168.05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407"/>
              <w:jc w:val="right"/>
              <w:rPr>
                <w:rFonts w:ascii="宋体" w:hAnsi="宋体" w:cs="宋体" w:eastAsia="宋体" w:hint="default"/>
                <w:sz w:val="18"/>
                <w:szCs w:val="18"/>
              </w:rPr>
            </w:pPr>
            <w:r>
              <w:rPr>
                <w:rFonts w:ascii="宋体" w:hAnsi="宋体" w:cs="宋体" w:eastAsia="宋体" w:hint="default"/>
                <w:sz w:val="18"/>
                <w:szCs w:val="18"/>
              </w:rPr>
              <w:t>刘文彬</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财务总监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center"/>
              <w:rPr>
                <w:rFonts w:ascii="Times New Roman" w:hAnsi="Times New Roman" w:cs="Times New Roman" w:eastAsia="Times New Roman" w:hint="default"/>
                <w:sz w:val="18"/>
                <w:szCs w:val="18"/>
              </w:rPr>
            </w:pPr>
            <w:r>
              <w:rPr>
                <w:rFonts w:ascii="Times New Roman"/>
                <w:sz w:val="18"/>
              </w:rPr>
              <w:t>44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18"/>
                <w:szCs w:val="18"/>
              </w:rPr>
            </w:pPr>
            <w:r>
              <w:rPr>
                <w:rFonts w:ascii="Times New Roman"/>
                <w:sz w:val="18"/>
              </w:rPr>
              <w:t>124.53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2"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郭镇</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董事会秘书</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1"/>
              <w:jc w:val="center"/>
              <w:rPr>
                <w:rFonts w:ascii="Times New Roman" w:hAnsi="Times New Roman" w:cs="Times New Roman" w:eastAsia="Times New Roman" w:hint="default"/>
                <w:sz w:val="18"/>
                <w:szCs w:val="18"/>
              </w:rPr>
            </w:pPr>
            <w:r>
              <w:rPr>
                <w:rFonts w:ascii="Times New Roman"/>
                <w:sz w:val="18"/>
              </w:rPr>
              <w:t>44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19"/>
              <w:jc w:val="right"/>
              <w:rPr>
                <w:rFonts w:ascii="Times New Roman" w:hAnsi="Times New Roman" w:cs="Times New Roman" w:eastAsia="Times New Roman" w:hint="default"/>
                <w:sz w:val="18"/>
                <w:szCs w:val="18"/>
              </w:rPr>
            </w:pPr>
            <w:r>
              <w:rPr>
                <w:rFonts w:ascii="Times New Roman"/>
                <w:sz w:val="18"/>
              </w:rPr>
              <w:t>87.07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2"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407"/>
              <w:jc w:val="right"/>
              <w:rPr>
                <w:rFonts w:ascii="宋体" w:hAnsi="宋体" w:cs="宋体" w:eastAsia="宋体" w:hint="default"/>
                <w:sz w:val="18"/>
                <w:szCs w:val="18"/>
              </w:rPr>
            </w:pPr>
            <w:r>
              <w:rPr>
                <w:rFonts w:ascii="宋体" w:hAnsi="宋体" w:cs="宋体" w:eastAsia="宋体" w:hint="default"/>
                <w:sz w:val="18"/>
                <w:szCs w:val="18"/>
              </w:rPr>
              <w:t>靳宏荣</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center"/>
              <w:rPr>
                <w:rFonts w:ascii="Times New Roman" w:hAnsi="Times New Roman" w:cs="Times New Roman" w:eastAsia="Times New Roman" w:hint="default"/>
                <w:sz w:val="18"/>
                <w:szCs w:val="18"/>
              </w:rPr>
            </w:pPr>
            <w:r>
              <w:rPr>
                <w:rFonts w:ascii="Times New Roman"/>
                <w:sz w:val="18"/>
              </w:rPr>
              <w:t>53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离任</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6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407"/>
              <w:jc w:val="right"/>
              <w:rPr>
                <w:rFonts w:ascii="宋体" w:hAnsi="宋体" w:cs="宋体" w:eastAsia="宋体" w:hint="default"/>
                <w:sz w:val="18"/>
                <w:szCs w:val="18"/>
              </w:rPr>
            </w:pPr>
            <w:r>
              <w:rPr>
                <w:rFonts w:ascii="宋体" w:hAnsi="宋体" w:cs="宋体" w:eastAsia="宋体" w:hint="default"/>
                <w:sz w:val="18"/>
                <w:szCs w:val="18"/>
              </w:rPr>
              <w:t>陈小军</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董事长、总裁</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center"/>
              <w:rPr>
                <w:rFonts w:ascii="Times New Roman" w:hAnsi="Times New Roman" w:cs="Times New Roman" w:eastAsia="Times New Roman" w:hint="default"/>
                <w:sz w:val="18"/>
                <w:szCs w:val="18"/>
              </w:rPr>
            </w:pPr>
            <w:r>
              <w:rPr>
                <w:rFonts w:ascii="Times New Roman"/>
                <w:sz w:val="18"/>
              </w:rPr>
              <w:t>53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离任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18"/>
                <w:szCs w:val="18"/>
              </w:rPr>
            </w:pPr>
            <w:r>
              <w:rPr>
                <w:rFonts w:ascii="Times New Roman"/>
                <w:sz w:val="18"/>
              </w:rPr>
              <w:t>120.80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62"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孙劼</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1"/>
              <w:jc w:val="center"/>
              <w:rPr>
                <w:rFonts w:ascii="Times New Roman" w:hAnsi="Times New Roman" w:cs="Times New Roman" w:eastAsia="Times New Roman" w:hint="default"/>
                <w:sz w:val="18"/>
                <w:szCs w:val="18"/>
              </w:rPr>
            </w:pPr>
            <w:r>
              <w:rPr>
                <w:rFonts w:ascii="Times New Roman"/>
                <w:sz w:val="18"/>
              </w:rPr>
              <w:t>53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离任</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62"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冯科</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center"/>
              <w:rPr>
                <w:rFonts w:ascii="Times New Roman" w:hAnsi="Times New Roman" w:cs="Times New Roman" w:eastAsia="Times New Roman" w:hint="default"/>
                <w:sz w:val="18"/>
                <w:szCs w:val="18"/>
              </w:rPr>
            </w:pPr>
            <w:r>
              <w:rPr>
                <w:rFonts w:ascii="Times New Roman"/>
                <w:sz w:val="18"/>
              </w:rPr>
              <w:t>48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离任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18"/>
                <w:szCs w:val="18"/>
              </w:rPr>
            </w:pPr>
            <w:r>
              <w:rPr>
                <w:rFonts w:ascii="Times New Roman"/>
                <w:sz w:val="18"/>
              </w:rPr>
              <w:t>2.00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2" w:hRule="exact"/>
        </w:trPr>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0"/>
              <w:ind w:right="0"/>
              <w:jc w:val="center"/>
              <w:rPr>
                <w:rFonts w:ascii="Times New Roman" w:hAnsi="Times New Roman" w:cs="Times New Roman" w:eastAsia="Times New Roman" w:hint="default"/>
                <w:sz w:val="18"/>
                <w:szCs w:val="18"/>
              </w:rPr>
            </w:pPr>
            <w:r>
              <w:rPr>
                <w:rFonts w:ascii="Times New Roman"/>
                <w:sz w:val="18"/>
              </w:rPr>
              <w:t>--</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0"/>
              <w:ind w:right="1"/>
              <w:jc w:val="center"/>
              <w:rPr>
                <w:rFonts w:ascii="Times New Roman" w:hAnsi="Times New Roman" w:cs="Times New Roman" w:eastAsia="Times New Roman" w:hint="default"/>
                <w:sz w:val="18"/>
                <w:szCs w:val="18"/>
              </w:rPr>
            </w:pPr>
            <w:r>
              <w:rPr>
                <w:rFonts w:ascii="Times New Roman"/>
                <w:sz w:val="18"/>
              </w:rPr>
              <w:t>--</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0"/>
              <w:ind w:right="1"/>
              <w:jc w:val="center"/>
              <w:rPr>
                <w:rFonts w:ascii="Times New Roman" w:hAnsi="Times New Roman" w:cs="Times New Roman" w:eastAsia="Times New Roman" w:hint="default"/>
                <w:sz w:val="18"/>
                <w:szCs w:val="18"/>
              </w:rPr>
            </w:pPr>
            <w:r>
              <w:rPr>
                <w:rFonts w:ascii="Times New Roman"/>
                <w:sz w:val="18"/>
              </w:rPr>
              <w:t>--</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0"/>
              <w:ind w:right="1"/>
              <w:jc w:val="center"/>
              <w:rPr>
                <w:rFonts w:ascii="Times New Roman" w:hAnsi="Times New Roman" w:cs="Times New Roman" w:eastAsia="Times New Roman" w:hint="default"/>
                <w:sz w:val="18"/>
                <w:szCs w:val="18"/>
              </w:rPr>
            </w:pPr>
            <w:r>
              <w:rPr>
                <w:rFonts w:ascii="Times New Roman"/>
                <w:sz w:val="18"/>
              </w:rPr>
              <w:t>--</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18"/>
                <w:szCs w:val="18"/>
              </w:rPr>
            </w:pPr>
            <w:r>
              <w:rPr>
                <w:rFonts w:ascii="Times New Roman"/>
                <w:sz w:val="18"/>
              </w:rPr>
              <w:t>1,197.19</w:t>
            </w:r>
          </w:p>
        </w:tc>
        <w:tc>
          <w:tcPr>
            <w:tcW w:w="136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0"/>
              <w:ind w:right="1"/>
              <w:jc w:val="center"/>
              <w:rPr>
                <w:rFonts w:ascii="Times New Roman" w:hAnsi="Times New Roman" w:cs="Times New Roman" w:eastAsia="Times New Roman" w:hint="default"/>
                <w:sz w:val="18"/>
                <w:szCs w:val="18"/>
              </w:rPr>
            </w:pPr>
            <w:r>
              <w:rPr>
                <w:rFonts w:ascii="Times New Roman"/>
                <w:sz w:val="18"/>
              </w:rPr>
              <w:t>--</w:t>
            </w:r>
          </w:p>
        </w:tc>
      </w:tr>
    </w:tbl>
    <w:p>
      <w:pPr>
        <w:spacing w:before="52"/>
        <w:ind w:left="154" w:right="0" w:firstLine="0"/>
        <w:jc w:val="left"/>
        <w:rPr>
          <w:rFonts w:ascii="宋体" w:hAnsi="宋体" w:cs="宋体" w:eastAsia="宋体" w:hint="default"/>
          <w:sz w:val="18"/>
          <w:szCs w:val="18"/>
        </w:rPr>
      </w:pPr>
      <w:r>
        <w:rPr>
          <w:rFonts w:ascii="宋体" w:hAnsi="宋体" w:cs="宋体" w:eastAsia="宋体" w:hint="default"/>
          <w:sz w:val="18"/>
          <w:szCs w:val="18"/>
        </w:rPr>
        <w:t>公司董事、高级管理人员报告期内被授予的股权激励情况</w:t>
      </w:r>
    </w:p>
    <w:p>
      <w:pPr>
        <w:spacing w:line="357" w:lineRule="auto" w:before="116"/>
        <w:ind w:left="513" w:right="1022" w:hanging="360"/>
        <w:jc w:val="left"/>
        <w:rPr>
          <w:rFonts w:ascii="宋体" w:hAnsi="宋体" w:cs="宋体" w:eastAsia="宋体" w:hint="default"/>
          <w:sz w:val="18"/>
          <w:szCs w:val="18"/>
        </w:rPr>
      </w:pPr>
      <w:r>
        <w:rPr>
          <w:rFonts w:ascii="宋体" w:hAnsi="宋体" w:cs="宋体" w:eastAsia="宋体" w:hint="default"/>
          <w:sz w:val="18"/>
          <w:szCs w:val="18"/>
        </w:rPr>
        <w:t>√ 适用 □ 不适用 </w:t>
      </w:r>
      <w:r>
        <w:rPr>
          <w:rFonts w:ascii="宋体" w:hAnsi="宋体" w:cs="宋体" w:eastAsia="宋体" w:hint="default"/>
          <w:spacing w:val="-2"/>
          <w:sz w:val="18"/>
          <w:szCs w:val="18"/>
        </w:rPr>
        <w:t>公司已实施的股票期权激励计划具体内容详见第五节“公司股权激励计划、员工持股计划或其他员工激励措施的实施情</w:t>
      </w:r>
    </w:p>
    <w:p>
      <w:pPr>
        <w:spacing w:line="239" w:lineRule="exact"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况”中的相关介绍，股票期权激励计划授予日为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日，等待期</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个月，董事、高级管理人员获授情况如下：</w:t>
      </w:r>
    </w:p>
    <w:p>
      <w:pPr>
        <w:spacing w:after="0" w:line="239" w:lineRule="exact"/>
        <w:jc w:val="left"/>
        <w:rPr>
          <w:rFonts w:ascii="宋体" w:hAnsi="宋体" w:cs="宋体" w:eastAsia="宋体" w:hint="default"/>
          <w:sz w:val="18"/>
          <w:szCs w:val="18"/>
        </w:rPr>
        <w:sectPr>
          <w:pgSz w:w="11910" w:h="16840"/>
          <w:pgMar w:header="787" w:footer="982" w:top="1100" w:bottom="1180" w:left="980" w:right="0"/>
        </w:sectPr>
      </w:pPr>
    </w:p>
    <w:p>
      <w:pPr>
        <w:spacing w:line="240" w:lineRule="auto" w:before="6"/>
        <w:rPr>
          <w:rFonts w:ascii="宋体" w:hAnsi="宋体" w:cs="宋体" w:eastAsia="宋体" w:hint="default"/>
          <w:sz w:val="25"/>
          <w:szCs w:val="25"/>
        </w:rPr>
      </w:pPr>
    </w:p>
    <w:tbl>
      <w:tblPr>
        <w:tblW w:w="0" w:type="auto"/>
        <w:jc w:val="left"/>
        <w:tblInd w:w="904" w:type="dxa"/>
        <w:tblLayout w:type="fixed"/>
        <w:tblCellMar>
          <w:top w:w="0" w:type="dxa"/>
          <w:left w:w="0" w:type="dxa"/>
          <w:bottom w:w="0" w:type="dxa"/>
          <w:right w:w="0" w:type="dxa"/>
        </w:tblCellMar>
        <w:tblLook w:val="01E0"/>
      </w:tblPr>
      <w:tblGrid>
        <w:gridCol w:w="1314"/>
        <w:gridCol w:w="2106"/>
        <w:gridCol w:w="2322"/>
        <w:gridCol w:w="2376"/>
      </w:tblGrid>
      <w:tr>
        <w:trPr>
          <w:trHeight w:val="332" w:hRule="exact"/>
        </w:trPr>
        <w:tc>
          <w:tcPr>
            <w:tcW w:w="1314" w:type="dxa"/>
            <w:tcBorders>
              <w:top w:val="single" w:sz="8" w:space="0" w:color="000000"/>
              <w:left w:val="single" w:sz="8" w:space="0" w:color="000000"/>
              <w:bottom w:val="single" w:sz="8" w:space="0" w:color="000000"/>
              <w:right w:val="single" w:sz="8" w:space="0" w:color="000000"/>
            </w:tcBorders>
            <w:shd w:val="clear" w:color="auto" w:fill="C0C0C0"/>
          </w:tcPr>
          <w:p>
            <w:pPr>
              <w:pStyle w:val="TableParagraph"/>
              <w:spacing w:line="240" w:lineRule="auto" w:before="11"/>
              <w:ind w:left="1"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2106" w:type="dxa"/>
            <w:tcBorders>
              <w:top w:val="single" w:sz="8" w:space="0" w:color="000000"/>
              <w:left w:val="single" w:sz="8" w:space="0" w:color="000000"/>
              <w:bottom w:val="single" w:sz="8" w:space="0" w:color="000000"/>
              <w:right w:val="single" w:sz="8" w:space="0" w:color="000000"/>
            </w:tcBorders>
            <w:shd w:val="clear" w:color="auto" w:fill="C0C0C0"/>
          </w:tcPr>
          <w:p>
            <w:pPr>
              <w:pStyle w:val="TableParagraph"/>
              <w:spacing w:line="240" w:lineRule="auto" w:before="11"/>
              <w:ind w:left="1" w:right="0"/>
              <w:jc w:val="center"/>
              <w:rPr>
                <w:rFonts w:ascii="宋体" w:hAnsi="宋体" w:cs="宋体" w:eastAsia="宋体" w:hint="default"/>
                <w:sz w:val="18"/>
                <w:szCs w:val="18"/>
              </w:rPr>
            </w:pPr>
            <w:r>
              <w:rPr>
                <w:rFonts w:ascii="宋体" w:hAnsi="宋体" w:cs="宋体" w:eastAsia="宋体" w:hint="default"/>
                <w:sz w:val="18"/>
                <w:szCs w:val="18"/>
              </w:rPr>
              <w:t>职务</w:t>
            </w:r>
          </w:p>
        </w:tc>
        <w:tc>
          <w:tcPr>
            <w:tcW w:w="2322" w:type="dxa"/>
            <w:tcBorders>
              <w:top w:val="single" w:sz="8" w:space="0" w:color="000000"/>
              <w:left w:val="single" w:sz="8" w:space="0" w:color="000000"/>
              <w:bottom w:val="single" w:sz="8" w:space="0" w:color="000000"/>
              <w:right w:val="single" w:sz="8" w:space="0" w:color="000000"/>
            </w:tcBorders>
            <w:shd w:val="clear" w:color="auto" w:fill="C0C0C0"/>
          </w:tcPr>
          <w:p>
            <w:pPr>
              <w:pStyle w:val="TableParagraph"/>
              <w:spacing w:line="240" w:lineRule="auto" w:before="11"/>
              <w:ind w:left="1" w:right="0"/>
              <w:jc w:val="center"/>
              <w:rPr>
                <w:rFonts w:ascii="宋体" w:hAnsi="宋体" w:cs="宋体" w:eastAsia="宋体" w:hint="default"/>
                <w:sz w:val="18"/>
                <w:szCs w:val="18"/>
              </w:rPr>
            </w:pPr>
            <w:r>
              <w:rPr>
                <w:rFonts w:ascii="宋体" w:hAnsi="宋体" w:cs="宋体" w:eastAsia="宋体" w:hint="default"/>
                <w:sz w:val="18"/>
                <w:szCs w:val="18"/>
              </w:rPr>
              <w:t>授予股票期权数量（万份）</w:t>
            </w:r>
          </w:p>
        </w:tc>
        <w:tc>
          <w:tcPr>
            <w:tcW w:w="2376" w:type="dxa"/>
            <w:tcBorders>
              <w:top w:val="single" w:sz="8" w:space="0" w:color="000000"/>
              <w:left w:val="single" w:sz="8" w:space="0" w:color="000000"/>
              <w:bottom w:val="single" w:sz="8" w:space="0" w:color="000000"/>
              <w:right w:val="single" w:sz="8" w:space="0" w:color="000000"/>
            </w:tcBorders>
            <w:shd w:val="clear" w:color="auto" w:fill="C0C0C0"/>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占授予股票期权总量比例</w:t>
            </w:r>
          </w:p>
        </w:tc>
      </w:tr>
      <w:tr>
        <w:trPr>
          <w:trHeight w:val="331" w:hRule="exact"/>
        </w:trPr>
        <w:tc>
          <w:tcPr>
            <w:tcW w:w="131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left="1" w:right="0"/>
              <w:jc w:val="center"/>
              <w:rPr>
                <w:rFonts w:ascii="宋体" w:hAnsi="宋体" w:cs="宋体" w:eastAsia="宋体" w:hint="default"/>
                <w:sz w:val="18"/>
                <w:szCs w:val="18"/>
              </w:rPr>
            </w:pPr>
            <w:r>
              <w:rPr>
                <w:rFonts w:ascii="宋体" w:hAnsi="宋体" w:cs="宋体" w:eastAsia="宋体" w:hint="default"/>
                <w:sz w:val="18"/>
                <w:szCs w:val="18"/>
              </w:rPr>
              <w:t>徐刚</w:t>
            </w:r>
          </w:p>
        </w:tc>
        <w:tc>
          <w:tcPr>
            <w:tcW w:w="21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left="1" w:right="0"/>
              <w:jc w:val="center"/>
              <w:rPr>
                <w:rFonts w:ascii="宋体" w:hAnsi="宋体" w:cs="宋体" w:eastAsia="宋体" w:hint="default"/>
                <w:sz w:val="18"/>
                <w:szCs w:val="18"/>
              </w:rPr>
            </w:pPr>
            <w:r>
              <w:rPr>
                <w:rFonts w:ascii="宋体" w:hAnsi="宋体" w:cs="宋体" w:eastAsia="宋体" w:hint="default"/>
                <w:sz w:val="18"/>
                <w:szCs w:val="18"/>
              </w:rPr>
              <w:t>董事兼总裁</w:t>
            </w:r>
          </w:p>
        </w:tc>
        <w:tc>
          <w:tcPr>
            <w:tcW w:w="232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left="1" w:right="0"/>
              <w:jc w:val="center"/>
              <w:rPr>
                <w:rFonts w:ascii="Times New Roman" w:hAnsi="Times New Roman" w:cs="Times New Roman" w:eastAsia="Times New Roman" w:hint="default"/>
                <w:sz w:val="18"/>
                <w:szCs w:val="18"/>
              </w:rPr>
            </w:pPr>
            <w:r>
              <w:rPr>
                <w:rFonts w:ascii="Times New Roman"/>
                <w:sz w:val="18"/>
              </w:rPr>
              <w:t>36</w:t>
            </w:r>
          </w:p>
        </w:tc>
        <w:tc>
          <w:tcPr>
            <w:tcW w:w="23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0.84%</w:t>
            </w:r>
          </w:p>
        </w:tc>
      </w:tr>
      <w:tr>
        <w:trPr>
          <w:trHeight w:val="332" w:hRule="exact"/>
        </w:trPr>
        <w:tc>
          <w:tcPr>
            <w:tcW w:w="131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left="1" w:right="0"/>
              <w:jc w:val="center"/>
              <w:rPr>
                <w:rFonts w:ascii="宋体" w:hAnsi="宋体" w:cs="宋体" w:eastAsia="宋体" w:hint="default"/>
                <w:sz w:val="18"/>
                <w:szCs w:val="18"/>
              </w:rPr>
            </w:pPr>
            <w:r>
              <w:rPr>
                <w:rFonts w:ascii="宋体" w:hAnsi="宋体" w:cs="宋体" w:eastAsia="宋体" w:hint="default"/>
                <w:sz w:val="18"/>
                <w:szCs w:val="18"/>
              </w:rPr>
              <w:t>周庚申</w:t>
            </w:r>
          </w:p>
        </w:tc>
        <w:tc>
          <w:tcPr>
            <w:tcW w:w="21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left="1" w:right="0"/>
              <w:jc w:val="center"/>
              <w:rPr>
                <w:rFonts w:ascii="宋体" w:hAnsi="宋体" w:cs="宋体" w:eastAsia="宋体" w:hint="default"/>
                <w:sz w:val="18"/>
                <w:szCs w:val="18"/>
              </w:rPr>
            </w:pPr>
            <w:r>
              <w:rPr>
                <w:rFonts w:ascii="宋体" w:hAnsi="宋体" w:cs="宋体" w:eastAsia="宋体" w:hint="default"/>
                <w:sz w:val="18"/>
                <w:szCs w:val="18"/>
              </w:rPr>
              <w:t>高级副总裁</w:t>
            </w:r>
          </w:p>
        </w:tc>
        <w:tc>
          <w:tcPr>
            <w:tcW w:w="232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left="1" w:right="0"/>
              <w:jc w:val="center"/>
              <w:rPr>
                <w:rFonts w:ascii="Times New Roman" w:hAnsi="Times New Roman" w:cs="Times New Roman" w:eastAsia="Times New Roman" w:hint="default"/>
                <w:sz w:val="18"/>
                <w:szCs w:val="18"/>
              </w:rPr>
            </w:pPr>
            <w:r>
              <w:rPr>
                <w:rFonts w:ascii="Times New Roman"/>
                <w:sz w:val="18"/>
              </w:rPr>
              <w:t>36</w:t>
            </w:r>
          </w:p>
        </w:tc>
        <w:tc>
          <w:tcPr>
            <w:tcW w:w="23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0.84%</w:t>
            </w:r>
          </w:p>
        </w:tc>
      </w:tr>
      <w:tr>
        <w:trPr>
          <w:trHeight w:val="332" w:hRule="exact"/>
        </w:trPr>
        <w:tc>
          <w:tcPr>
            <w:tcW w:w="131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left="1" w:right="0"/>
              <w:jc w:val="center"/>
              <w:rPr>
                <w:rFonts w:ascii="宋体" w:hAnsi="宋体" w:cs="宋体" w:eastAsia="宋体" w:hint="default"/>
                <w:sz w:val="18"/>
                <w:szCs w:val="18"/>
              </w:rPr>
            </w:pPr>
            <w:r>
              <w:rPr>
                <w:rFonts w:ascii="宋体" w:hAnsi="宋体" w:cs="宋体" w:eastAsia="宋体" w:hint="default"/>
                <w:sz w:val="18"/>
                <w:szCs w:val="18"/>
              </w:rPr>
              <w:t>戴湘桃</w:t>
            </w:r>
          </w:p>
        </w:tc>
        <w:tc>
          <w:tcPr>
            <w:tcW w:w="21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left="1" w:right="0"/>
              <w:jc w:val="center"/>
              <w:rPr>
                <w:rFonts w:ascii="宋体" w:hAnsi="宋体" w:cs="宋体" w:eastAsia="宋体" w:hint="default"/>
                <w:sz w:val="18"/>
                <w:szCs w:val="18"/>
              </w:rPr>
            </w:pPr>
            <w:r>
              <w:rPr>
                <w:rFonts w:ascii="宋体" w:hAnsi="宋体" w:cs="宋体" w:eastAsia="宋体" w:hint="default"/>
                <w:sz w:val="18"/>
                <w:szCs w:val="18"/>
              </w:rPr>
              <w:t>高级副总裁</w:t>
            </w:r>
          </w:p>
        </w:tc>
        <w:tc>
          <w:tcPr>
            <w:tcW w:w="232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left="1" w:right="0"/>
              <w:jc w:val="center"/>
              <w:rPr>
                <w:rFonts w:ascii="Times New Roman" w:hAnsi="Times New Roman" w:cs="Times New Roman" w:eastAsia="Times New Roman" w:hint="default"/>
                <w:sz w:val="18"/>
                <w:szCs w:val="18"/>
              </w:rPr>
            </w:pPr>
            <w:r>
              <w:rPr>
                <w:rFonts w:ascii="Times New Roman"/>
                <w:sz w:val="18"/>
              </w:rPr>
              <w:t>36</w:t>
            </w:r>
          </w:p>
        </w:tc>
        <w:tc>
          <w:tcPr>
            <w:tcW w:w="23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0.84%</w:t>
            </w:r>
          </w:p>
        </w:tc>
      </w:tr>
      <w:tr>
        <w:trPr>
          <w:trHeight w:val="331" w:hRule="exact"/>
        </w:trPr>
        <w:tc>
          <w:tcPr>
            <w:tcW w:w="131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left="1" w:right="0"/>
              <w:jc w:val="center"/>
              <w:rPr>
                <w:rFonts w:ascii="宋体" w:hAnsi="宋体" w:cs="宋体" w:eastAsia="宋体" w:hint="default"/>
                <w:sz w:val="18"/>
                <w:szCs w:val="18"/>
              </w:rPr>
            </w:pPr>
            <w:r>
              <w:rPr>
                <w:rFonts w:ascii="宋体" w:hAnsi="宋体" w:cs="宋体" w:eastAsia="宋体" w:hint="default"/>
                <w:sz w:val="18"/>
                <w:szCs w:val="18"/>
              </w:rPr>
              <w:t>周在龙</w:t>
            </w:r>
          </w:p>
        </w:tc>
        <w:tc>
          <w:tcPr>
            <w:tcW w:w="21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left="1" w:right="0"/>
              <w:jc w:val="center"/>
              <w:rPr>
                <w:rFonts w:ascii="宋体" w:hAnsi="宋体" w:cs="宋体" w:eastAsia="宋体" w:hint="default"/>
                <w:sz w:val="18"/>
                <w:szCs w:val="18"/>
              </w:rPr>
            </w:pPr>
            <w:r>
              <w:rPr>
                <w:rFonts w:ascii="宋体" w:hAnsi="宋体" w:cs="宋体" w:eastAsia="宋体" w:hint="default"/>
                <w:sz w:val="18"/>
                <w:szCs w:val="18"/>
              </w:rPr>
              <w:t>高级副总裁</w:t>
            </w:r>
          </w:p>
        </w:tc>
        <w:tc>
          <w:tcPr>
            <w:tcW w:w="232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left="1" w:right="0"/>
              <w:jc w:val="center"/>
              <w:rPr>
                <w:rFonts w:ascii="Times New Roman" w:hAnsi="Times New Roman" w:cs="Times New Roman" w:eastAsia="Times New Roman" w:hint="default"/>
                <w:sz w:val="18"/>
                <w:szCs w:val="18"/>
              </w:rPr>
            </w:pPr>
            <w:r>
              <w:rPr>
                <w:rFonts w:ascii="Times New Roman"/>
                <w:sz w:val="18"/>
              </w:rPr>
              <w:t>36</w:t>
            </w:r>
          </w:p>
        </w:tc>
        <w:tc>
          <w:tcPr>
            <w:tcW w:w="23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0.84%</w:t>
            </w:r>
          </w:p>
        </w:tc>
      </w:tr>
      <w:tr>
        <w:trPr>
          <w:trHeight w:val="332" w:hRule="exact"/>
        </w:trPr>
        <w:tc>
          <w:tcPr>
            <w:tcW w:w="131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left="1" w:right="0"/>
              <w:jc w:val="center"/>
              <w:rPr>
                <w:rFonts w:ascii="宋体" w:hAnsi="宋体" w:cs="宋体" w:eastAsia="宋体" w:hint="default"/>
                <w:sz w:val="18"/>
                <w:szCs w:val="18"/>
              </w:rPr>
            </w:pPr>
            <w:r>
              <w:rPr>
                <w:rFonts w:ascii="宋体" w:hAnsi="宋体" w:cs="宋体" w:eastAsia="宋体" w:hint="default"/>
                <w:sz w:val="18"/>
                <w:szCs w:val="18"/>
              </w:rPr>
              <w:t>段军</w:t>
            </w:r>
          </w:p>
        </w:tc>
        <w:tc>
          <w:tcPr>
            <w:tcW w:w="21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left="1" w:right="0"/>
              <w:jc w:val="center"/>
              <w:rPr>
                <w:rFonts w:ascii="宋体" w:hAnsi="宋体" w:cs="宋体" w:eastAsia="宋体" w:hint="default"/>
                <w:sz w:val="18"/>
                <w:szCs w:val="18"/>
              </w:rPr>
            </w:pPr>
            <w:r>
              <w:rPr>
                <w:rFonts w:ascii="宋体" w:hAnsi="宋体" w:cs="宋体" w:eastAsia="宋体" w:hint="default"/>
                <w:sz w:val="18"/>
                <w:szCs w:val="18"/>
              </w:rPr>
              <w:t>高级副总裁、总法律顾问</w:t>
            </w:r>
          </w:p>
        </w:tc>
        <w:tc>
          <w:tcPr>
            <w:tcW w:w="232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left="1" w:right="0"/>
              <w:jc w:val="center"/>
              <w:rPr>
                <w:rFonts w:ascii="Times New Roman" w:hAnsi="Times New Roman" w:cs="Times New Roman" w:eastAsia="Times New Roman" w:hint="default"/>
                <w:sz w:val="18"/>
                <w:szCs w:val="18"/>
              </w:rPr>
            </w:pPr>
            <w:r>
              <w:rPr>
                <w:rFonts w:ascii="Times New Roman"/>
                <w:sz w:val="18"/>
              </w:rPr>
              <w:t>36</w:t>
            </w:r>
          </w:p>
        </w:tc>
        <w:tc>
          <w:tcPr>
            <w:tcW w:w="23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0.84%</w:t>
            </w:r>
          </w:p>
        </w:tc>
      </w:tr>
      <w:tr>
        <w:trPr>
          <w:trHeight w:val="332" w:hRule="exact"/>
        </w:trPr>
        <w:tc>
          <w:tcPr>
            <w:tcW w:w="131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left="1" w:right="0"/>
              <w:jc w:val="center"/>
              <w:rPr>
                <w:rFonts w:ascii="宋体" w:hAnsi="宋体" w:cs="宋体" w:eastAsia="宋体" w:hint="default"/>
                <w:sz w:val="18"/>
                <w:szCs w:val="18"/>
              </w:rPr>
            </w:pPr>
            <w:r>
              <w:rPr>
                <w:rFonts w:ascii="宋体" w:hAnsi="宋体" w:cs="宋体" w:eastAsia="宋体" w:hint="default"/>
                <w:sz w:val="18"/>
                <w:szCs w:val="18"/>
              </w:rPr>
              <w:t>刘文彬</w:t>
            </w:r>
          </w:p>
        </w:tc>
        <w:tc>
          <w:tcPr>
            <w:tcW w:w="21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left="1" w:right="0"/>
              <w:jc w:val="center"/>
              <w:rPr>
                <w:rFonts w:ascii="宋体" w:hAnsi="宋体" w:cs="宋体" w:eastAsia="宋体" w:hint="default"/>
                <w:sz w:val="18"/>
                <w:szCs w:val="18"/>
              </w:rPr>
            </w:pPr>
            <w:r>
              <w:rPr>
                <w:rFonts w:ascii="宋体" w:hAnsi="宋体" w:cs="宋体" w:eastAsia="宋体" w:hint="default"/>
                <w:sz w:val="18"/>
                <w:szCs w:val="18"/>
              </w:rPr>
              <w:t>财务总监</w:t>
            </w:r>
          </w:p>
        </w:tc>
        <w:tc>
          <w:tcPr>
            <w:tcW w:w="232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left="1" w:right="0"/>
              <w:jc w:val="center"/>
              <w:rPr>
                <w:rFonts w:ascii="Times New Roman" w:hAnsi="Times New Roman" w:cs="Times New Roman" w:eastAsia="Times New Roman" w:hint="default"/>
                <w:sz w:val="18"/>
                <w:szCs w:val="18"/>
              </w:rPr>
            </w:pPr>
            <w:r>
              <w:rPr>
                <w:rFonts w:ascii="Times New Roman"/>
                <w:sz w:val="18"/>
              </w:rPr>
              <w:t>36</w:t>
            </w:r>
          </w:p>
        </w:tc>
        <w:tc>
          <w:tcPr>
            <w:tcW w:w="23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0.84%</w:t>
            </w:r>
          </w:p>
        </w:tc>
      </w:tr>
      <w:tr>
        <w:trPr>
          <w:trHeight w:val="331" w:hRule="exact"/>
        </w:trPr>
        <w:tc>
          <w:tcPr>
            <w:tcW w:w="131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left="1" w:right="0"/>
              <w:jc w:val="center"/>
              <w:rPr>
                <w:rFonts w:ascii="宋体" w:hAnsi="宋体" w:cs="宋体" w:eastAsia="宋体" w:hint="default"/>
                <w:sz w:val="18"/>
                <w:szCs w:val="18"/>
              </w:rPr>
            </w:pPr>
            <w:r>
              <w:rPr>
                <w:rFonts w:ascii="宋体" w:hAnsi="宋体" w:cs="宋体" w:eastAsia="宋体" w:hint="default"/>
                <w:sz w:val="18"/>
                <w:szCs w:val="18"/>
              </w:rPr>
              <w:t>郭镇</w:t>
            </w:r>
          </w:p>
        </w:tc>
        <w:tc>
          <w:tcPr>
            <w:tcW w:w="21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left="1" w:right="0"/>
              <w:jc w:val="center"/>
              <w:rPr>
                <w:rFonts w:ascii="宋体" w:hAnsi="宋体" w:cs="宋体" w:eastAsia="宋体" w:hint="default"/>
                <w:sz w:val="18"/>
                <w:szCs w:val="18"/>
              </w:rPr>
            </w:pPr>
            <w:r>
              <w:rPr>
                <w:rFonts w:ascii="宋体" w:hAnsi="宋体" w:cs="宋体" w:eastAsia="宋体" w:hint="default"/>
                <w:sz w:val="18"/>
                <w:szCs w:val="18"/>
              </w:rPr>
              <w:t>董事会秘书</w:t>
            </w:r>
          </w:p>
        </w:tc>
        <w:tc>
          <w:tcPr>
            <w:tcW w:w="232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left="1" w:right="0"/>
              <w:jc w:val="center"/>
              <w:rPr>
                <w:rFonts w:ascii="Times New Roman" w:hAnsi="Times New Roman" w:cs="Times New Roman" w:eastAsia="Times New Roman" w:hint="default"/>
                <w:sz w:val="18"/>
                <w:szCs w:val="18"/>
              </w:rPr>
            </w:pPr>
            <w:r>
              <w:rPr>
                <w:rFonts w:ascii="Times New Roman"/>
                <w:sz w:val="18"/>
              </w:rPr>
              <w:t>26</w:t>
            </w:r>
          </w:p>
        </w:tc>
        <w:tc>
          <w:tcPr>
            <w:tcW w:w="23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0.61%</w:t>
            </w:r>
          </w:p>
        </w:tc>
      </w:tr>
      <w:tr>
        <w:trPr>
          <w:trHeight w:val="332" w:hRule="exact"/>
        </w:trPr>
        <w:tc>
          <w:tcPr>
            <w:tcW w:w="131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left="1" w:right="0"/>
              <w:jc w:val="center"/>
              <w:rPr>
                <w:rFonts w:ascii="宋体" w:hAnsi="宋体" w:cs="宋体" w:eastAsia="宋体" w:hint="default"/>
                <w:sz w:val="18"/>
                <w:szCs w:val="18"/>
              </w:rPr>
            </w:pPr>
            <w:r>
              <w:rPr>
                <w:rFonts w:ascii="宋体" w:hAnsi="宋体" w:cs="宋体" w:eastAsia="宋体" w:hint="default"/>
                <w:sz w:val="18"/>
                <w:szCs w:val="18"/>
              </w:rPr>
              <w:t>陈小军</w:t>
            </w:r>
          </w:p>
        </w:tc>
        <w:tc>
          <w:tcPr>
            <w:tcW w:w="21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left="1" w:right="0"/>
              <w:jc w:val="center"/>
              <w:rPr>
                <w:rFonts w:ascii="宋体" w:hAnsi="宋体" w:cs="宋体" w:eastAsia="宋体" w:hint="default"/>
                <w:sz w:val="18"/>
                <w:szCs w:val="18"/>
              </w:rPr>
            </w:pPr>
            <w:r>
              <w:rPr>
                <w:rFonts w:ascii="宋体" w:hAnsi="宋体" w:cs="宋体" w:eastAsia="宋体" w:hint="default"/>
                <w:sz w:val="18"/>
                <w:szCs w:val="18"/>
              </w:rPr>
              <w:t>原董事长、原董事兼总裁</w:t>
            </w:r>
          </w:p>
        </w:tc>
        <w:tc>
          <w:tcPr>
            <w:tcW w:w="232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left="1" w:right="0"/>
              <w:jc w:val="center"/>
              <w:rPr>
                <w:rFonts w:ascii="Times New Roman" w:hAnsi="Times New Roman" w:cs="Times New Roman" w:eastAsia="Times New Roman" w:hint="default"/>
                <w:sz w:val="18"/>
                <w:szCs w:val="18"/>
              </w:rPr>
            </w:pPr>
            <w:r>
              <w:rPr>
                <w:rFonts w:ascii="Times New Roman"/>
                <w:sz w:val="18"/>
              </w:rPr>
              <w:t>42</w:t>
            </w:r>
          </w:p>
        </w:tc>
        <w:tc>
          <w:tcPr>
            <w:tcW w:w="23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0.98%</w:t>
            </w:r>
          </w:p>
        </w:tc>
      </w:tr>
    </w:tbl>
    <w:p>
      <w:pPr>
        <w:spacing w:before="52"/>
        <w:ind w:left="514" w:right="0" w:firstLine="0"/>
        <w:jc w:val="left"/>
        <w:rPr>
          <w:rFonts w:ascii="宋体" w:hAnsi="宋体" w:cs="宋体" w:eastAsia="宋体" w:hint="default"/>
          <w:sz w:val="18"/>
          <w:szCs w:val="18"/>
        </w:rPr>
      </w:pPr>
      <w:r>
        <w:rPr>
          <w:rFonts w:ascii="宋体" w:hAnsi="宋体" w:cs="宋体" w:eastAsia="宋体" w:hint="default"/>
          <w:sz w:val="18"/>
          <w:szCs w:val="18"/>
        </w:rPr>
        <w:t>因公司实施</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年度权益分派方案，股票期权的行权价格由</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份调整为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份。</w:t>
      </w:r>
    </w:p>
    <w:p>
      <w:pPr>
        <w:spacing w:line="240" w:lineRule="auto" w:before="9"/>
        <w:rPr>
          <w:rFonts w:ascii="宋体" w:hAnsi="宋体" w:cs="宋体" w:eastAsia="宋体" w:hint="default"/>
          <w:sz w:val="14"/>
          <w:szCs w:val="14"/>
        </w:rPr>
      </w:pPr>
    </w:p>
    <w:p>
      <w:pPr>
        <w:pStyle w:val="Heading4"/>
        <w:spacing w:line="240" w:lineRule="auto"/>
        <w:ind w:right="0"/>
        <w:jc w:val="left"/>
        <w:rPr>
          <w:b w:val="0"/>
          <w:bCs w:val="0"/>
        </w:rPr>
      </w:pPr>
      <w:r>
        <w:rPr/>
        <w:t>五、公司员工情况</w:t>
      </w:r>
      <w:r>
        <w:rPr>
          <w:b w:val="0"/>
          <w:bCs w:val="0"/>
        </w:rPr>
      </w:r>
    </w:p>
    <w:p>
      <w:pPr>
        <w:pStyle w:val="Heading5"/>
        <w:spacing w:line="240" w:lineRule="auto" w:before="202"/>
        <w:ind w:left="154" w:right="0"/>
        <w:jc w:val="left"/>
        <w:rPr>
          <w:b w:val="0"/>
          <w:bCs w:val="0"/>
        </w:rPr>
      </w:pPr>
      <w:r>
        <w:rPr>
          <w:rFonts w:ascii="Times New Roman" w:hAnsi="Times New Roman" w:cs="Times New Roman" w:eastAsia="Times New Roman" w:hint="default"/>
        </w:rPr>
        <w:t>1</w:t>
      </w:r>
      <w:r>
        <w:rPr/>
        <w:t>、员工数量、专业构成及教育程度</w:t>
      </w:r>
      <w:r>
        <w:rPr>
          <w:b w:val="0"/>
          <w:bCs w:val="0"/>
        </w:rPr>
      </w:r>
    </w:p>
    <w:p>
      <w:pPr>
        <w:spacing w:line="240" w:lineRule="auto" w:before="7"/>
        <w:rPr>
          <w:rFonts w:ascii="宋体" w:hAnsi="宋体" w:cs="宋体" w:eastAsia="宋体" w:hint="default"/>
          <w:b/>
          <w:bCs/>
          <w:sz w:val="16"/>
          <w:szCs w:val="16"/>
        </w:rPr>
      </w:pPr>
    </w:p>
    <w:tbl>
      <w:tblPr>
        <w:tblW w:w="0" w:type="auto"/>
        <w:jc w:val="left"/>
        <w:tblInd w:w="229" w:type="dxa"/>
        <w:tblLayout w:type="fixed"/>
        <w:tblCellMar>
          <w:top w:w="0" w:type="dxa"/>
          <w:left w:w="0" w:type="dxa"/>
          <w:bottom w:w="0" w:type="dxa"/>
          <w:right w:w="0" w:type="dxa"/>
        </w:tblCellMar>
        <w:tblLook w:val="01E0"/>
      </w:tblPr>
      <w:tblGrid>
        <w:gridCol w:w="4783"/>
        <w:gridCol w:w="4784"/>
      </w:tblGrid>
      <w:tr>
        <w:trPr>
          <w:trHeight w:val="362" w:hRule="exact"/>
        </w:trPr>
        <w:tc>
          <w:tcPr>
            <w:tcW w:w="478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母公司在职员工的数量（人）</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18"/>
                <w:szCs w:val="18"/>
              </w:rPr>
            </w:pPr>
            <w:r>
              <w:rPr>
                <w:rFonts w:ascii="Times New Roman"/>
                <w:sz w:val="18"/>
              </w:rPr>
              <w:t>2,371</w:t>
            </w:r>
          </w:p>
        </w:tc>
      </w:tr>
      <w:tr>
        <w:trPr>
          <w:trHeight w:val="361" w:hRule="exact"/>
        </w:trPr>
        <w:tc>
          <w:tcPr>
            <w:tcW w:w="478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主要子公司在职员工的数量（人）</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0"/>
              <w:jc w:val="right"/>
              <w:rPr>
                <w:rFonts w:ascii="Times New Roman" w:hAnsi="Times New Roman" w:cs="Times New Roman" w:eastAsia="Times New Roman" w:hint="default"/>
                <w:sz w:val="18"/>
                <w:szCs w:val="18"/>
              </w:rPr>
            </w:pPr>
            <w:r>
              <w:rPr>
                <w:rFonts w:ascii="Times New Roman"/>
                <w:spacing w:val="-2"/>
                <w:sz w:val="18"/>
              </w:rPr>
              <w:t>11,475</w:t>
            </w:r>
          </w:p>
        </w:tc>
      </w:tr>
      <w:tr>
        <w:trPr>
          <w:trHeight w:val="362" w:hRule="exact"/>
        </w:trPr>
        <w:tc>
          <w:tcPr>
            <w:tcW w:w="478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在职员工的数量合计（人）</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19"/>
              <w:jc w:val="right"/>
              <w:rPr>
                <w:rFonts w:ascii="Times New Roman" w:hAnsi="Times New Roman" w:cs="Times New Roman" w:eastAsia="Times New Roman" w:hint="default"/>
                <w:sz w:val="18"/>
                <w:szCs w:val="18"/>
              </w:rPr>
            </w:pPr>
            <w:r>
              <w:rPr>
                <w:rFonts w:ascii="Times New Roman"/>
                <w:sz w:val="18"/>
              </w:rPr>
              <w:t>13,846</w:t>
            </w:r>
          </w:p>
        </w:tc>
      </w:tr>
      <w:tr>
        <w:trPr>
          <w:trHeight w:val="362" w:hRule="exact"/>
        </w:trPr>
        <w:tc>
          <w:tcPr>
            <w:tcW w:w="478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当期领取薪酬员工总人数（人）</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18"/>
                <w:szCs w:val="18"/>
              </w:rPr>
            </w:pPr>
            <w:r>
              <w:rPr>
                <w:rFonts w:ascii="Times New Roman"/>
                <w:sz w:val="18"/>
              </w:rPr>
              <w:t>13,846</w:t>
            </w:r>
          </w:p>
        </w:tc>
      </w:tr>
      <w:tr>
        <w:trPr>
          <w:trHeight w:val="362" w:hRule="exact"/>
        </w:trPr>
        <w:tc>
          <w:tcPr>
            <w:tcW w:w="478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母公司及主要子公司需承担费用的离退休职工人数（人）</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18"/>
                <w:szCs w:val="18"/>
              </w:rPr>
            </w:pPr>
            <w:r>
              <w:rPr>
                <w:rFonts w:ascii="Times New Roman"/>
                <w:sz w:val="18"/>
              </w:rPr>
              <w:t>2,274</w:t>
            </w:r>
          </w:p>
        </w:tc>
      </w:tr>
      <w:tr>
        <w:trPr>
          <w:trHeight w:val="362" w:hRule="exact"/>
        </w:trPr>
        <w:tc>
          <w:tcPr>
            <w:tcW w:w="9568"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1" w:right="1"/>
              <w:jc w:val="center"/>
              <w:rPr>
                <w:rFonts w:ascii="宋体" w:hAnsi="宋体" w:cs="宋体" w:eastAsia="宋体" w:hint="default"/>
                <w:sz w:val="18"/>
                <w:szCs w:val="18"/>
              </w:rPr>
            </w:pPr>
            <w:r>
              <w:rPr>
                <w:rFonts w:ascii="宋体" w:hAnsi="宋体" w:cs="宋体" w:eastAsia="宋体" w:hint="default"/>
                <w:sz w:val="18"/>
                <w:szCs w:val="18"/>
              </w:rPr>
              <w:t>专业构成</w:t>
            </w:r>
          </w:p>
        </w:tc>
      </w:tr>
      <w:tr>
        <w:trPr>
          <w:trHeight w:val="362" w:hRule="exact"/>
        </w:trPr>
        <w:tc>
          <w:tcPr>
            <w:tcW w:w="478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专业构成类别</w:t>
            </w:r>
          </w:p>
        </w:tc>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1578" w:right="0"/>
              <w:jc w:val="left"/>
              <w:rPr>
                <w:rFonts w:ascii="宋体" w:hAnsi="宋体" w:cs="宋体" w:eastAsia="宋体" w:hint="default"/>
                <w:sz w:val="18"/>
                <w:szCs w:val="18"/>
              </w:rPr>
            </w:pPr>
            <w:r>
              <w:rPr>
                <w:rFonts w:ascii="宋体" w:hAnsi="宋体" w:cs="宋体" w:eastAsia="宋体" w:hint="default"/>
                <w:sz w:val="18"/>
                <w:szCs w:val="18"/>
              </w:rPr>
              <w:t>专业构成人数（人）</w:t>
            </w:r>
          </w:p>
        </w:tc>
      </w:tr>
      <w:tr>
        <w:trPr>
          <w:trHeight w:val="361" w:hRule="exact"/>
        </w:trPr>
        <w:tc>
          <w:tcPr>
            <w:tcW w:w="478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生产人员</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18"/>
                <w:szCs w:val="18"/>
              </w:rPr>
            </w:pPr>
            <w:r>
              <w:rPr>
                <w:rFonts w:ascii="Times New Roman"/>
                <w:sz w:val="18"/>
              </w:rPr>
              <w:t>7,961</w:t>
            </w:r>
          </w:p>
        </w:tc>
      </w:tr>
      <w:tr>
        <w:trPr>
          <w:trHeight w:val="362" w:hRule="exact"/>
        </w:trPr>
        <w:tc>
          <w:tcPr>
            <w:tcW w:w="478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销售人员</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20"/>
              <w:jc w:val="right"/>
              <w:rPr>
                <w:rFonts w:ascii="Times New Roman" w:hAnsi="Times New Roman" w:cs="Times New Roman" w:eastAsia="Times New Roman" w:hint="default"/>
                <w:sz w:val="18"/>
                <w:szCs w:val="18"/>
              </w:rPr>
            </w:pPr>
            <w:r>
              <w:rPr>
                <w:rFonts w:ascii="Times New Roman"/>
                <w:sz w:val="18"/>
              </w:rPr>
              <w:t>449</w:t>
            </w:r>
          </w:p>
        </w:tc>
      </w:tr>
      <w:tr>
        <w:trPr>
          <w:trHeight w:val="362" w:hRule="exact"/>
        </w:trPr>
        <w:tc>
          <w:tcPr>
            <w:tcW w:w="478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技术人员</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18"/>
                <w:szCs w:val="18"/>
              </w:rPr>
            </w:pPr>
            <w:r>
              <w:rPr>
                <w:rFonts w:ascii="Times New Roman"/>
                <w:sz w:val="18"/>
              </w:rPr>
              <w:t>3,577</w:t>
            </w:r>
          </w:p>
        </w:tc>
      </w:tr>
      <w:tr>
        <w:trPr>
          <w:trHeight w:val="361" w:hRule="exact"/>
        </w:trPr>
        <w:tc>
          <w:tcPr>
            <w:tcW w:w="478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财务人员</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0"/>
              <w:jc w:val="right"/>
              <w:rPr>
                <w:rFonts w:ascii="Times New Roman" w:hAnsi="Times New Roman" w:cs="Times New Roman" w:eastAsia="Times New Roman" w:hint="default"/>
                <w:sz w:val="18"/>
                <w:szCs w:val="18"/>
              </w:rPr>
            </w:pPr>
            <w:r>
              <w:rPr>
                <w:rFonts w:ascii="Times New Roman"/>
                <w:sz w:val="18"/>
              </w:rPr>
              <w:t>201</w:t>
            </w:r>
          </w:p>
        </w:tc>
      </w:tr>
      <w:tr>
        <w:trPr>
          <w:trHeight w:val="362" w:hRule="exact"/>
        </w:trPr>
        <w:tc>
          <w:tcPr>
            <w:tcW w:w="478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行政人员</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19"/>
              <w:jc w:val="right"/>
              <w:rPr>
                <w:rFonts w:ascii="Times New Roman" w:hAnsi="Times New Roman" w:cs="Times New Roman" w:eastAsia="Times New Roman" w:hint="default"/>
                <w:sz w:val="18"/>
                <w:szCs w:val="18"/>
              </w:rPr>
            </w:pPr>
            <w:r>
              <w:rPr>
                <w:rFonts w:ascii="Times New Roman"/>
                <w:sz w:val="18"/>
              </w:rPr>
              <w:t>1,658</w:t>
            </w:r>
          </w:p>
        </w:tc>
      </w:tr>
      <w:tr>
        <w:trPr>
          <w:trHeight w:val="362" w:hRule="exact"/>
        </w:trPr>
        <w:tc>
          <w:tcPr>
            <w:tcW w:w="478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18"/>
                <w:szCs w:val="18"/>
              </w:rPr>
            </w:pPr>
            <w:r>
              <w:rPr>
                <w:rFonts w:ascii="Times New Roman"/>
                <w:sz w:val="18"/>
              </w:rPr>
              <w:t>13,846</w:t>
            </w:r>
          </w:p>
        </w:tc>
      </w:tr>
      <w:tr>
        <w:trPr>
          <w:trHeight w:val="362" w:hRule="exact"/>
        </w:trPr>
        <w:tc>
          <w:tcPr>
            <w:tcW w:w="9568"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1" w:right="1"/>
              <w:jc w:val="center"/>
              <w:rPr>
                <w:rFonts w:ascii="宋体" w:hAnsi="宋体" w:cs="宋体" w:eastAsia="宋体" w:hint="default"/>
                <w:sz w:val="18"/>
                <w:szCs w:val="18"/>
              </w:rPr>
            </w:pPr>
            <w:r>
              <w:rPr>
                <w:rFonts w:ascii="宋体" w:hAnsi="宋体" w:cs="宋体" w:eastAsia="宋体" w:hint="default"/>
                <w:sz w:val="18"/>
                <w:szCs w:val="18"/>
              </w:rPr>
              <w:t>教育程度</w:t>
            </w:r>
          </w:p>
        </w:tc>
      </w:tr>
      <w:tr>
        <w:trPr>
          <w:trHeight w:val="362" w:hRule="exact"/>
        </w:trPr>
        <w:tc>
          <w:tcPr>
            <w:tcW w:w="478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教育程度类别</w:t>
            </w:r>
          </w:p>
        </w:tc>
        <w:tc>
          <w:tcPr>
            <w:tcW w:w="478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24" w:right="0"/>
              <w:jc w:val="left"/>
              <w:rPr>
                <w:rFonts w:ascii="宋体" w:hAnsi="宋体" w:cs="宋体" w:eastAsia="宋体" w:hint="default"/>
                <w:sz w:val="18"/>
                <w:szCs w:val="18"/>
              </w:rPr>
            </w:pPr>
            <w:r>
              <w:rPr>
                <w:rFonts w:ascii="宋体" w:hAnsi="宋体" w:cs="宋体" w:eastAsia="宋体" w:hint="default"/>
                <w:sz w:val="18"/>
                <w:szCs w:val="18"/>
              </w:rPr>
              <w:t>数量（人）</w:t>
            </w:r>
          </w:p>
        </w:tc>
      </w:tr>
      <w:tr>
        <w:trPr>
          <w:trHeight w:val="36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研究生及以上</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0"/>
              <w:jc w:val="right"/>
              <w:rPr>
                <w:rFonts w:ascii="Times New Roman" w:hAnsi="Times New Roman" w:cs="Times New Roman" w:eastAsia="Times New Roman" w:hint="default"/>
                <w:sz w:val="18"/>
                <w:szCs w:val="18"/>
              </w:rPr>
            </w:pPr>
            <w:r>
              <w:rPr>
                <w:rFonts w:ascii="Times New Roman"/>
                <w:sz w:val="18"/>
              </w:rPr>
              <w:t>891</w:t>
            </w:r>
          </w:p>
        </w:tc>
      </w:tr>
      <w:tr>
        <w:trPr>
          <w:trHeight w:val="361"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本科</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18"/>
                <w:szCs w:val="18"/>
              </w:rPr>
            </w:pPr>
            <w:r>
              <w:rPr>
                <w:rFonts w:ascii="Times New Roman"/>
                <w:sz w:val="18"/>
              </w:rPr>
              <w:t>2,818</w:t>
            </w:r>
          </w:p>
        </w:tc>
      </w:tr>
      <w:tr>
        <w:trPr>
          <w:trHeight w:val="36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大专</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20"/>
              <w:jc w:val="right"/>
              <w:rPr>
                <w:rFonts w:ascii="Times New Roman" w:hAnsi="Times New Roman" w:cs="Times New Roman" w:eastAsia="Times New Roman" w:hint="default"/>
                <w:sz w:val="18"/>
                <w:szCs w:val="18"/>
              </w:rPr>
            </w:pPr>
            <w:r>
              <w:rPr>
                <w:rFonts w:ascii="Times New Roman"/>
                <w:spacing w:val="-2"/>
                <w:sz w:val="18"/>
              </w:rPr>
              <w:t>2,211</w:t>
            </w:r>
          </w:p>
        </w:tc>
      </w:tr>
      <w:tr>
        <w:trPr>
          <w:trHeight w:val="36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中专及以下</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18"/>
                <w:szCs w:val="18"/>
              </w:rPr>
            </w:pPr>
            <w:r>
              <w:rPr>
                <w:rFonts w:ascii="Times New Roman"/>
                <w:sz w:val="18"/>
              </w:rPr>
              <w:t>7,926</w:t>
            </w:r>
          </w:p>
        </w:tc>
      </w:tr>
      <w:tr>
        <w:trPr>
          <w:trHeight w:val="362" w:hRule="exact"/>
        </w:trPr>
        <w:tc>
          <w:tcPr>
            <w:tcW w:w="478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3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Times New Roman" w:hAnsi="Times New Roman" w:cs="Times New Roman" w:eastAsia="Times New Roman" w:hint="default"/>
                <w:sz w:val="18"/>
                <w:szCs w:val="18"/>
              </w:rPr>
            </w:pPr>
            <w:r>
              <w:rPr>
                <w:rFonts w:ascii="Times New Roman"/>
                <w:sz w:val="18"/>
              </w:rPr>
              <w:t>13,846</w:t>
            </w:r>
          </w:p>
        </w:tc>
      </w:tr>
    </w:tbl>
    <w:p>
      <w:pPr>
        <w:spacing w:line="316" w:lineRule="auto" w:before="51"/>
        <w:ind w:left="154" w:right="0" w:firstLine="360"/>
        <w:jc w:val="left"/>
        <w:rPr>
          <w:rFonts w:ascii="宋体" w:hAnsi="宋体" w:cs="宋体" w:eastAsia="宋体" w:hint="default"/>
          <w:sz w:val="18"/>
          <w:szCs w:val="18"/>
        </w:rPr>
      </w:pPr>
      <w:r>
        <w:rPr>
          <w:rFonts w:ascii="宋体" w:hAnsi="宋体" w:cs="宋体" w:eastAsia="宋体" w:hint="default"/>
          <w:spacing w:val="-2"/>
          <w:sz w:val="18"/>
          <w:szCs w:val="18"/>
        </w:rPr>
        <w:t>注：公司不承担离退休人员的离退休工资，上表所列为报告期内领取公司发放节假日慰问费、补充养老保险金等费用的</w:t>
      </w:r>
      <w:r>
        <w:rPr>
          <w:rFonts w:ascii="宋体" w:hAnsi="宋体" w:cs="宋体" w:eastAsia="宋体" w:hint="default"/>
          <w:sz w:val="18"/>
          <w:szCs w:val="18"/>
        </w:rPr>
        <w:t> 离退休职工人数。</w:t>
      </w:r>
    </w:p>
    <w:p>
      <w:pPr>
        <w:spacing w:line="240" w:lineRule="auto" w:before="4"/>
        <w:rPr>
          <w:rFonts w:ascii="宋体" w:hAnsi="宋体" w:cs="宋体" w:eastAsia="宋体" w:hint="default"/>
          <w:sz w:val="22"/>
          <w:szCs w:val="22"/>
        </w:rPr>
      </w:pPr>
    </w:p>
    <w:p>
      <w:pPr>
        <w:pStyle w:val="Heading5"/>
        <w:spacing w:line="240" w:lineRule="auto" w:before="0"/>
        <w:ind w:left="154" w:right="0"/>
        <w:jc w:val="left"/>
        <w:rPr>
          <w:b w:val="0"/>
          <w:bCs w:val="0"/>
        </w:rPr>
      </w:pPr>
      <w:r>
        <w:rPr>
          <w:rFonts w:ascii="Times New Roman" w:hAnsi="Times New Roman" w:cs="Times New Roman" w:eastAsia="Times New Roman" w:hint="default"/>
        </w:rPr>
        <w:t>2</w:t>
      </w:r>
      <w:r>
        <w:rPr/>
        <w:t>、薪酬政策</w:t>
      </w:r>
      <w:r>
        <w:rPr>
          <w:b w:val="0"/>
          <w:bCs w:val="0"/>
        </w:rPr>
      </w:r>
    </w:p>
    <w:p>
      <w:pPr>
        <w:spacing w:line="240" w:lineRule="auto" w:before="8"/>
        <w:rPr>
          <w:rFonts w:ascii="宋体" w:hAnsi="宋体" w:cs="宋体" w:eastAsia="宋体" w:hint="default"/>
          <w:b/>
          <w:bCs/>
          <w:sz w:val="26"/>
          <w:szCs w:val="26"/>
        </w:rPr>
      </w:pPr>
    </w:p>
    <w:p>
      <w:pPr>
        <w:spacing w:line="316" w:lineRule="auto" w:before="0"/>
        <w:ind w:left="154" w:right="0" w:firstLine="360"/>
        <w:jc w:val="left"/>
        <w:rPr>
          <w:rFonts w:ascii="宋体" w:hAnsi="宋体" w:cs="宋体" w:eastAsia="宋体" w:hint="default"/>
          <w:sz w:val="18"/>
          <w:szCs w:val="18"/>
        </w:rPr>
      </w:pPr>
      <w:r>
        <w:rPr>
          <w:rFonts w:ascii="宋体" w:hAnsi="宋体" w:cs="宋体" w:eastAsia="宋体" w:hint="default"/>
          <w:spacing w:val="-2"/>
          <w:sz w:val="18"/>
          <w:szCs w:val="18"/>
        </w:rPr>
        <w:t>公司薪酬策略是以战略导向、市场导向、业绩导向、岗位价值导向为原则，围绕公司战略目标设立具有外部竞争力与内</w:t>
      </w:r>
      <w:r>
        <w:rPr>
          <w:rFonts w:ascii="宋体" w:hAnsi="宋体" w:cs="宋体" w:eastAsia="宋体" w:hint="default"/>
          <w:sz w:val="18"/>
          <w:szCs w:val="18"/>
        </w:rPr>
        <w:t> </w:t>
      </w:r>
      <w:r>
        <w:rPr>
          <w:rFonts w:ascii="宋体" w:hAnsi="宋体" w:cs="宋体" w:eastAsia="宋体" w:hint="default"/>
          <w:spacing w:val="-2"/>
          <w:sz w:val="18"/>
          <w:szCs w:val="18"/>
        </w:rPr>
        <w:t>部公平性的薪酬福利体系，并且结合公司实际，通过外部薪酬调查等方式不断完善薪酬福利政策，确保公司最大限度地吸引</w:t>
      </w:r>
    </w:p>
    <w:p>
      <w:pPr>
        <w:spacing w:after="0" w:line="316" w:lineRule="auto"/>
        <w:jc w:val="left"/>
        <w:rPr>
          <w:rFonts w:ascii="宋体" w:hAnsi="宋体" w:cs="宋体" w:eastAsia="宋体" w:hint="default"/>
          <w:sz w:val="18"/>
          <w:szCs w:val="18"/>
        </w:rPr>
        <w:sectPr>
          <w:pgSz w:w="11910" w:h="16840"/>
          <w:pgMar w:header="787" w:footer="982" w:top="1100" w:bottom="1180" w:left="980" w:right="0"/>
        </w:sectPr>
      </w:pPr>
    </w:p>
    <w:p>
      <w:pPr>
        <w:spacing w:line="240" w:lineRule="auto" w:before="11"/>
        <w:rPr>
          <w:rFonts w:ascii="宋体" w:hAnsi="宋体" w:cs="宋体" w:eastAsia="宋体" w:hint="default"/>
          <w:sz w:val="22"/>
          <w:szCs w:val="22"/>
        </w:rPr>
      </w:pPr>
    </w:p>
    <w:p>
      <w:pPr>
        <w:spacing w:before="44"/>
        <w:ind w:left="154" w:right="0" w:firstLine="0"/>
        <w:jc w:val="left"/>
        <w:rPr>
          <w:rFonts w:ascii="宋体" w:hAnsi="宋体" w:cs="宋体" w:eastAsia="宋体" w:hint="default"/>
          <w:sz w:val="18"/>
          <w:szCs w:val="18"/>
        </w:rPr>
      </w:pPr>
      <w:r>
        <w:rPr>
          <w:rFonts w:ascii="宋体" w:hAnsi="宋体" w:cs="宋体" w:eastAsia="宋体" w:hint="default"/>
          <w:sz w:val="18"/>
          <w:szCs w:val="18"/>
        </w:rPr>
        <w:t>人才、培养人才、激励人才、留住人才，提高员工的凝聚力、战斗力、创造力，从而提升公司核心竞争力。</w:t>
      </w:r>
    </w:p>
    <w:p>
      <w:pPr>
        <w:spacing w:line="240" w:lineRule="auto" w:before="10"/>
        <w:rPr>
          <w:rFonts w:ascii="宋体" w:hAnsi="宋体" w:cs="宋体" w:eastAsia="宋体" w:hint="default"/>
          <w:sz w:val="26"/>
          <w:szCs w:val="26"/>
        </w:rPr>
      </w:pPr>
    </w:p>
    <w:p>
      <w:pPr>
        <w:pStyle w:val="Heading5"/>
        <w:spacing w:line="240" w:lineRule="auto" w:before="0"/>
        <w:ind w:left="154" w:right="0"/>
        <w:jc w:val="left"/>
        <w:rPr>
          <w:b w:val="0"/>
          <w:bCs w:val="0"/>
        </w:rPr>
      </w:pPr>
      <w:r>
        <w:rPr>
          <w:rFonts w:ascii="Times New Roman" w:hAnsi="Times New Roman" w:cs="Times New Roman" w:eastAsia="Times New Roman" w:hint="default"/>
        </w:rPr>
        <w:t>3</w:t>
      </w:r>
      <w:r>
        <w:rPr/>
        <w:t>、培训计划</w:t>
      </w:r>
      <w:r>
        <w:rPr>
          <w:b w:val="0"/>
          <w:bCs w:val="0"/>
        </w:rPr>
      </w:r>
    </w:p>
    <w:p>
      <w:pPr>
        <w:spacing w:line="240" w:lineRule="auto" w:before="8"/>
        <w:rPr>
          <w:rFonts w:ascii="宋体" w:hAnsi="宋体" w:cs="宋体" w:eastAsia="宋体" w:hint="default"/>
          <w:b/>
          <w:bCs/>
          <w:sz w:val="26"/>
          <w:szCs w:val="26"/>
        </w:rPr>
      </w:pPr>
    </w:p>
    <w:p>
      <w:pPr>
        <w:spacing w:line="319" w:lineRule="auto" w:before="0"/>
        <w:ind w:left="154" w:right="1129" w:firstLine="360"/>
        <w:jc w:val="both"/>
        <w:rPr>
          <w:rFonts w:ascii="宋体" w:hAnsi="宋体" w:cs="宋体" w:eastAsia="宋体" w:hint="default"/>
          <w:sz w:val="18"/>
          <w:szCs w:val="18"/>
        </w:rPr>
      </w:pPr>
      <w:r>
        <w:rPr>
          <w:rFonts w:ascii="宋体" w:hAnsi="宋体" w:cs="宋体" w:eastAsia="宋体" w:hint="default"/>
          <w:spacing w:val="-2"/>
          <w:sz w:val="18"/>
          <w:szCs w:val="18"/>
        </w:rPr>
        <w:t>为满足公司战略发展需要，公司为员工制定详细的培训计划，满足员工专业技能提升的要求，通过内部研讨会、外派专</w:t>
      </w:r>
      <w:r>
        <w:rPr>
          <w:rFonts w:ascii="宋体" w:hAnsi="宋体" w:cs="宋体" w:eastAsia="宋体" w:hint="default"/>
          <w:sz w:val="18"/>
          <w:szCs w:val="18"/>
        </w:rPr>
        <w:t> </w:t>
      </w:r>
      <w:r>
        <w:rPr>
          <w:rFonts w:ascii="宋体" w:hAnsi="宋体" w:cs="宋体" w:eastAsia="宋体" w:hint="default"/>
          <w:spacing w:val="-2"/>
          <w:sz w:val="18"/>
          <w:szCs w:val="18"/>
        </w:rPr>
        <w:t>业培训、外请专家授课等多种方式综合提升员工素质。同时为满足公司人才梯队建设的要求，公司规划了专业技术及管理人</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员双通道发展路径，并针对性的建立了分层级的领导力培养体系和技术人员培养体系，为公司的发展培养优秀的管理及技术</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人才，全面提升公司的竞争力及可持续发展能力。</w:t>
      </w:r>
    </w:p>
    <w:p>
      <w:pPr>
        <w:spacing w:line="240" w:lineRule="auto" w:before="3"/>
        <w:rPr>
          <w:rFonts w:ascii="宋体" w:hAnsi="宋体" w:cs="宋体" w:eastAsia="宋体" w:hint="default"/>
          <w:sz w:val="22"/>
          <w:szCs w:val="22"/>
        </w:rPr>
      </w:pPr>
    </w:p>
    <w:p>
      <w:pPr>
        <w:pStyle w:val="Heading5"/>
        <w:spacing w:line="240" w:lineRule="auto" w:before="0"/>
        <w:ind w:left="154" w:right="0"/>
        <w:jc w:val="left"/>
        <w:rPr>
          <w:b w:val="0"/>
          <w:bCs w:val="0"/>
        </w:rPr>
      </w:pPr>
      <w:r>
        <w:rPr>
          <w:rFonts w:ascii="Times New Roman" w:hAnsi="Times New Roman" w:cs="Times New Roman" w:eastAsia="Times New Roman" w:hint="default"/>
        </w:rPr>
        <w:t>4</w:t>
      </w:r>
      <w:r>
        <w:rPr/>
        <w:t>、劳务外包情况</w:t>
      </w:r>
      <w:r>
        <w:rPr>
          <w:b w:val="0"/>
          <w:bCs w:val="0"/>
        </w:rPr>
      </w:r>
    </w:p>
    <w:p>
      <w:pPr>
        <w:spacing w:line="240" w:lineRule="auto" w:before="9"/>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after="0"/>
        <w:jc w:val="left"/>
        <w:rPr>
          <w:rFonts w:ascii="宋体" w:hAnsi="宋体" w:cs="宋体" w:eastAsia="宋体" w:hint="default"/>
          <w:sz w:val="18"/>
          <w:szCs w:val="18"/>
        </w:rPr>
        <w:sectPr>
          <w:pgSz w:w="11910" w:h="16840"/>
          <w:pgMar w:header="787" w:footer="982" w:top="1100" w:bottom="118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7"/>
          <w:szCs w:val="17"/>
        </w:rPr>
      </w:pPr>
    </w:p>
    <w:p>
      <w:pPr>
        <w:pStyle w:val="Heading1"/>
        <w:spacing w:line="240" w:lineRule="auto"/>
        <w:ind w:right="1131"/>
        <w:jc w:val="center"/>
        <w:rPr>
          <w:b w:val="0"/>
          <w:bCs w:val="0"/>
        </w:rPr>
      </w:pPr>
      <w:bookmarkStart w:name="_TOC_250003" w:id="9"/>
      <w:r>
        <w:rPr/>
        <w:t>第九节</w:t>
      </w:r>
      <w:r>
        <w:rPr>
          <w:spacing w:val="-5"/>
        </w:rPr>
        <w:t> </w:t>
      </w:r>
      <w:r>
        <w:rPr/>
        <w:t>公司治理</w:t>
      </w:r>
      <w:bookmarkEnd w:id="9"/>
      <w:r>
        <w:rPr>
          <w:b w:val="0"/>
          <w:bCs w:val="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6"/>
          <w:szCs w:val="16"/>
        </w:rPr>
      </w:pPr>
    </w:p>
    <w:p>
      <w:pPr>
        <w:pStyle w:val="Heading4"/>
        <w:spacing w:line="240" w:lineRule="auto" w:before="26"/>
        <w:ind w:right="0"/>
        <w:jc w:val="left"/>
        <w:rPr>
          <w:b w:val="0"/>
          <w:bCs w:val="0"/>
        </w:rPr>
      </w:pPr>
      <w:r>
        <w:rPr/>
        <w:t>一、公司治理的基本状况</w:t>
      </w:r>
      <w:r>
        <w:rPr>
          <w:b w:val="0"/>
          <w:bCs w:val="0"/>
        </w:rPr>
      </w:r>
    </w:p>
    <w:p>
      <w:pPr>
        <w:spacing w:line="240" w:lineRule="auto" w:before="9"/>
        <w:rPr>
          <w:rFonts w:ascii="宋体" w:hAnsi="宋体" w:cs="宋体" w:eastAsia="宋体" w:hint="default"/>
          <w:b/>
          <w:bCs/>
          <w:sz w:val="26"/>
          <w:szCs w:val="26"/>
        </w:rPr>
      </w:pPr>
    </w:p>
    <w:p>
      <w:pPr>
        <w:spacing w:line="338" w:lineRule="auto" w:before="0"/>
        <w:ind w:left="514" w:right="102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、概况 </w:t>
      </w:r>
      <w:r>
        <w:rPr>
          <w:rFonts w:ascii="宋体" w:hAnsi="宋体" w:cs="宋体" w:eastAsia="宋体" w:hint="default"/>
          <w:spacing w:val="-12"/>
          <w:sz w:val="18"/>
          <w:szCs w:val="18"/>
        </w:rPr>
        <w:t>公司始终坚持按照《公司法》、《证券法》、《上市公司治理准则》、《深圳证券交易所股票上市规则》和其它有关上市公司</w:t>
      </w:r>
    </w:p>
    <w:p>
      <w:pPr>
        <w:spacing w:line="319" w:lineRule="auto" w:before="2"/>
        <w:ind w:left="154" w:right="0" w:firstLine="0"/>
        <w:jc w:val="left"/>
        <w:rPr>
          <w:rFonts w:ascii="宋体" w:hAnsi="宋体" w:cs="宋体" w:eastAsia="宋体" w:hint="default"/>
          <w:sz w:val="18"/>
          <w:szCs w:val="18"/>
        </w:rPr>
      </w:pPr>
      <w:r>
        <w:rPr>
          <w:rFonts w:ascii="宋体" w:hAnsi="宋体" w:cs="宋体" w:eastAsia="宋体" w:hint="default"/>
          <w:spacing w:val="-2"/>
          <w:sz w:val="18"/>
          <w:szCs w:val="18"/>
        </w:rPr>
        <w:t>治理的法律法规及规范性文件的要求，持续完善法人治理结构，结合公司实际情况不断健全内部控制体系，努力推进法人治</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理进程和提升公司规范运作水平。</w:t>
      </w:r>
    </w:p>
    <w:p>
      <w:pPr>
        <w:spacing w:line="319" w:lineRule="auto" w:before="56"/>
        <w:ind w:left="154" w:right="1131" w:firstLine="360"/>
        <w:jc w:val="both"/>
        <w:rPr>
          <w:rFonts w:ascii="宋体" w:hAnsi="宋体" w:cs="宋体" w:eastAsia="宋体" w:hint="default"/>
          <w:sz w:val="18"/>
          <w:szCs w:val="18"/>
        </w:rPr>
      </w:pPr>
      <w:r>
        <w:rPr>
          <w:rFonts w:ascii="宋体" w:hAnsi="宋体" w:cs="宋体" w:eastAsia="宋体" w:hint="default"/>
          <w:spacing w:val="-2"/>
          <w:sz w:val="18"/>
          <w:szCs w:val="18"/>
        </w:rPr>
        <w:t>公司建有与上市公司法人治理结构相适应的各项规章制度，并严格执行；股东大会、董事会、监事会运作规范有效，董</w:t>
      </w:r>
      <w:r>
        <w:rPr>
          <w:rFonts w:ascii="宋体" w:hAnsi="宋体" w:cs="宋体" w:eastAsia="宋体" w:hint="default"/>
          <w:sz w:val="18"/>
          <w:szCs w:val="18"/>
        </w:rPr>
        <w:t> 事、监事和高级管理人员勤勉尽职，按照法律法规和公司章程的规定履行职权。</w:t>
      </w:r>
    </w:p>
    <w:p>
      <w:pPr>
        <w:spacing w:line="319" w:lineRule="auto" w:before="55"/>
        <w:ind w:left="154" w:right="1048" w:firstLine="360"/>
        <w:jc w:val="both"/>
        <w:rPr>
          <w:rFonts w:ascii="宋体" w:hAnsi="宋体" w:cs="宋体" w:eastAsia="宋体" w:hint="default"/>
          <w:sz w:val="18"/>
          <w:szCs w:val="18"/>
        </w:rPr>
      </w:pPr>
      <w:r>
        <w:rPr>
          <w:rFonts w:ascii="宋体" w:hAnsi="宋体" w:cs="宋体" w:eastAsia="宋体" w:hint="default"/>
          <w:spacing w:val="-4"/>
          <w:sz w:val="18"/>
          <w:szCs w:val="18"/>
        </w:rPr>
        <w:t>截止报告期末，公司内部治理结构完整、健全、清晰，符合《公司法》、《公司章程》等法律法规及规范性文件的要求，</w:t>
      </w:r>
      <w:r>
        <w:rPr>
          <w:rFonts w:ascii="宋体" w:hAnsi="宋体" w:cs="宋体" w:eastAsia="宋体" w:hint="default"/>
          <w:sz w:val="18"/>
          <w:szCs w:val="18"/>
        </w:rPr>
        <w:t> 公司治理与中国证监会发布的有关上市公司治理的规范性文件的要求基本一致。</w:t>
      </w:r>
    </w:p>
    <w:p>
      <w:pPr>
        <w:spacing w:line="338" w:lineRule="auto" w:before="56"/>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、内幕信息知情人登记管理制度的执行情况 </w:t>
      </w:r>
      <w:r>
        <w:rPr>
          <w:rFonts w:ascii="宋体" w:hAnsi="宋体" w:cs="宋体" w:eastAsia="宋体" w:hint="default"/>
          <w:spacing w:val="-2"/>
          <w:sz w:val="18"/>
          <w:szCs w:val="18"/>
        </w:rPr>
        <w:t>公司定有《内幕信息知情人登记管理制度》，并按照制度和相关法律、法规要求在涉及定期报告等重大事项披露前，整</w:t>
      </w:r>
    </w:p>
    <w:p>
      <w:pPr>
        <w:spacing w:line="357" w:lineRule="auto" w:before="4"/>
        <w:ind w:left="514" w:right="0" w:hanging="360"/>
        <w:jc w:val="left"/>
        <w:rPr>
          <w:rFonts w:ascii="宋体" w:hAnsi="宋体" w:cs="宋体" w:eastAsia="宋体" w:hint="default"/>
          <w:sz w:val="18"/>
          <w:szCs w:val="18"/>
        </w:rPr>
      </w:pPr>
      <w:r>
        <w:rPr>
          <w:rFonts w:ascii="宋体" w:hAnsi="宋体" w:cs="宋体" w:eastAsia="宋体" w:hint="default"/>
          <w:sz w:val="18"/>
          <w:szCs w:val="18"/>
        </w:rPr>
        <w:t>理登记知情人员相关信息并按监管机构要求进行报备，严格控制内幕信息传递范围，加强内幕信息保密工作。 </w:t>
      </w:r>
      <w:r>
        <w:rPr>
          <w:rFonts w:ascii="宋体" w:hAnsi="宋体" w:cs="宋体" w:eastAsia="宋体" w:hint="default"/>
          <w:spacing w:val="-2"/>
          <w:sz w:val="18"/>
          <w:szCs w:val="18"/>
        </w:rPr>
        <w:t>报告期内，公司持续加强内幕交易防控工作，以各种形式强化公司全体董事、监事、高级管理人员以及关键岗位人员的</w:t>
      </w:r>
    </w:p>
    <w:p>
      <w:pPr>
        <w:spacing w:line="224" w:lineRule="exact"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内幕交易防控意识。公司不存在董、监、高及其相关亲属利用内幕消息违规买卖本公司股票的情况，未发生重大敏感信息提</w:t>
      </w:r>
    </w:p>
    <w:p>
      <w:pPr>
        <w:spacing w:line="357" w:lineRule="auto" w:before="77"/>
        <w:ind w:left="154" w:right="3550" w:firstLine="0"/>
        <w:jc w:val="left"/>
        <w:rPr>
          <w:rFonts w:ascii="宋体" w:hAnsi="宋体" w:cs="宋体" w:eastAsia="宋体" w:hint="default"/>
          <w:sz w:val="18"/>
          <w:szCs w:val="18"/>
        </w:rPr>
      </w:pPr>
      <w:r>
        <w:rPr>
          <w:rFonts w:ascii="宋体" w:hAnsi="宋体" w:cs="宋体" w:eastAsia="宋体" w:hint="default"/>
          <w:sz w:val="18"/>
          <w:szCs w:val="18"/>
        </w:rPr>
        <w:t>前泄露或被不当利用情形，也不存在因涉嫌内幕交易被监管部门行政处罚的情况。 公司治理的实际状况与中国证监会发布的有关上市公司治理的规范性文件是否存在重大差异</w:t>
      </w:r>
    </w:p>
    <w:p>
      <w:pPr>
        <w:spacing w:before="29"/>
        <w:ind w:left="154" w:right="0" w:firstLine="0"/>
        <w:jc w:val="left"/>
        <w:rPr>
          <w:rFonts w:ascii="宋体" w:hAnsi="宋体" w:cs="宋体" w:eastAsia="宋体" w:hint="default"/>
          <w:sz w:val="18"/>
          <w:szCs w:val="18"/>
        </w:rPr>
      </w:pPr>
      <w:r>
        <w:rPr>
          <w:rFonts w:ascii="宋体" w:hAnsi="宋体" w:cs="宋体" w:eastAsia="宋体" w:hint="default"/>
          <w:sz w:val="18"/>
          <w:szCs w:val="18"/>
        </w:rPr>
        <w:t>□ 是 √ 否</w:t>
      </w:r>
    </w:p>
    <w:p>
      <w:pPr>
        <w:spacing w:before="116"/>
        <w:ind w:left="514" w:right="0" w:firstLine="0"/>
        <w:jc w:val="left"/>
        <w:rPr>
          <w:rFonts w:ascii="宋体" w:hAnsi="宋体" w:cs="宋体" w:eastAsia="宋体" w:hint="default"/>
          <w:sz w:val="18"/>
          <w:szCs w:val="18"/>
        </w:rPr>
      </w:pPr>
      <w:r>
        <w:rPr>
          <w:rFonts w:ascii="宋体" w:hAnsi="宋体" w:cs="宋体" w:eastAsia="宋体" w:hint="default"/>
          <w:sz w:val="18"/>
          <w:szCs w:val="18"/>
        </w:rPr>
        <w:t>公司治理的实际状况与中国证监会发布的有关上市公司治理的规范性文件不存在重大差异。</w:t>
      </w:r>
    </w:p>
    <w:p>
      <w:pPr>
        <w:spacing w:line="240" w:lineRule="auto" w:before="13"/>
        <w:rPr>
          <w:rFonts w:ascii="宋体" w:hAnsi="宋体" w:cs="宋体" w:eastAsia="宋体" w:hint="default"/>
          <w:sz w:val="24"/>
          <w:szCs w:val="24"/>
        </w:rPr>
      </w:pPr>
    </w:p>
    <w:p>
      <w:pPr>
        <w:pStyle w:val="Heading4"/>
        <w:spacing w:line="240" w:lineRule="auto"/>
        <w:ind w:right="0"/>
        <w:jc w:val="left"/>
        <w:rPr>
          <w:b w:val="0"/>
          <w:bCs w:val="0"/>
        </w:rPr>
      </w:pPr>
      <w:r>
        <w:rPr/>
        <w:t>二、公司相对于控股股东在业务、人员、资产、机构、财务等方面的独立情况</w:t>
      </w:r>
      <w:r>
        <w:rPr>
          <w:b w:val="0"/>
          <w:bCs w:val="0"/>
        </w:rPr>
      </w:r>
    </w:p>
    <w:p>
      <w:pPr>
        <w:spacing w:line="240" w:lineRule="auto" w:before="7"/>
        <w:rPr>
          <w:rFonts w:ascii="宋体" w:hAnsi="宋体" w:cs="宋体" w:eastAsia="宋体" w:hint="default"/>
          <w:b/>
          <w:bCs/>
          <w:sz w:val="26"/>
          <w:szCs w:val="26"/>
        </w:rPr>
      </w:pPr>
    </w:p>
    <w:p>
      <w:pPr>
        <w:spacing w:line="319" w:lineRule="auto" w:before="0"/>
        <w:ind w:left="154" w:right="1128" w:firstLine="360"/>
        <w:jc w:val="both"/>
        <w:rPr>
          <w:rFonts w:ascii="宋体" w:hAnsi="宋体" w:cs="宋体" w:eastAsia="宋体" w:hint="default"/>
          <w:sz w:val="18"/>
          <w:szCs w:val="18"/>
        </w:rPr>
      </w:pPr>
      <w:r>
        <w:rPr>
          <w:rFonts w:ascii="宋体" w:hAnsi="宋体" w:cs="宋体" w:eastAsia="宋体" w:hint="default"/>
          <w:spacing w:val="-2"/>
          <w:sz w:val="18"/>
          <w:szCs w:val="18"/>
        </w:rPr>
        <w:t>公司在业务、人员、资产、机构、财务等方面均独立于控股股东，享有独立法人地位和市场竞争主体地位，具有独立完</w:t>
      </w:r>
      <w:r>
        <w:rPr>
          <w:rFonts w:ascii="宋体" w:hAnsi="宋体" w:cs="宋体" w:eastAsia="宋体" w:hint="default"/>
          <w:sz w:val="18"/>
          <w:szCs w:val="18"/>
        </w:rPr>
        <w:t> 整的业务体系和直接面向市场自主经营的能力。</w:t>
      </w:r>
    </w:p>
    <w:p>
      <w:pPr>
        <w:spacing w:line="309" w:lineRule="auto" w:before="56"/>
        <w:ind w:left="153" w:right="1128" w:firstLine="360"/>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、在业务方面，公司拥有独立完整的生产、销售、售后服务系统，依照法定经营范围独立从事经营管理活动，不受公 </w:t>
      </w:r>
      <w:r>
        <w:rPr>
          <w:rFonts w:ascii="宋体" w:hAnsi="宋体" w:cs="宋体" w:eastAsia="宋体" w:hint="default"/>
          <w:spacing w:val="-2"/>
          <w:sz w:val="18"/>
          <w:szCs w:val="18"/>
        </w:rPr>
        <w:t>司控股股东的干涉与控制，未因与公司控股股东及其控制的其他企业之间存在关联关系而使公司经营自主权的完整性、独立</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性受到不良影响。</w:t>
      </w:r>
    </w:p>
    <w:p>
      <w:pPr>
        <w:spacing w:line="309" w:lineRule="auto" w:before="62"/>
        <w:ind w:left="153" w:right="1128" w:firstLine="360"/>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、在人员方面，公司在劳动、人事及工资管理等方面独立运作，管理体系完整，具有独立的劳动人事管理部门，定有 </w:t>
      </w:r>
      <w:r>
        <w:rPr>
          <w:rFonts w:ascii="宋体" w:hAnsi="宋体" w:cs="宋体" w:eastAsia="宋体" w:hint="default"/>
          <w:spacing w:val="-2"/>
          <w:sz w:val="18"/>
          <w:szCs w:val="18"/>
        </w:rPr>
        <w:t>独立的劳动、人事及薪酬管理制度。公司高级管理人员均在公司工作并领取薪酬，不存在在股东单位双重任职的情况，未在</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控股股东、实际控制人及其控制的其他企业领取薪酬。</w:t>
      </w:r>
    </w:p>
    <w:p>
      <w:pPr>
        <w:spacing w:line="302" w:lineRule="auto" w:before="62"/>
        <w:ind w:left="153" w:right="1128" w:firstLine="360"/>
        <w:jc w:val="both"/>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、在资产方面，公司与控股股东产权关系明晰，拥有独立的生产系统、辅助生产系统和配套设施、工业产权、非专利 技术等资产及产、供、销体系。</w:t>
      </w:r>
    </w:p>
    <w:p>
      <w:pPr>
        <w:spacing w:line="302" w:lineRule="auto" w:before="69"/>
        <w:ind w:left="153" w:right="1128" w:firstLine="360"/>
        <w:jc w:val="both"/>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、在机构设置方面，公司依照《公司法》等有关法律法规，设立了包括股东大会、董事会、监事会等组织机构在内的 完整独立的法人治理结构，生产经营和办公机构与控股股东分开，不存在混合经营、合署办公的情况。</w:t>
      </w:r>
    </w:p>
    <w:p>
      <w:pPr>
        <w:spacing w:line="302" w:lineRule="auto" w:before="68"/>
        <w:ind w:left="153" w:right="1128" w:firstLine="360"/>
        <w:jc w:val="both"/>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、在财务方面，公司设有独立的财务部门，建立了独立的财务核算体系和财务管理制度，开立独立的银行账户，依法 独立纳税。</w:t>
      </w:r>
    </w:p>
    <w:p>
      <w:pPr>
        <w:spacing w:after="0" w:line="302" w:lineRule="auto"/>
        <w:jc w:val="both"/>
        <w:rPr>
          <w:rFonts w:ascii="宋体" w:hAnsi="宋体" w:cs="宋体" w:eastAsia="宋体" w:hint="default"/>
          <w:sz w:val="18"/>
          <w:szCs w:val="18"/>
        </w:rPr>
        <w:sectPr>
          <w:pgSz w:w="11910" w:h="16840"/>
          <w:pgMar w:header="787" w:footer="982" w:top="1100" w:bottom="1180" w:left="980" w:right="0"/>
        </w:sectPr>
      </w:pPr>
    </w:p>
    <w:p>
      <w:pPr>
        <w:spacing w:line="240" w:lineRule="auto" w:before="6"/>
        <w:rPr>
          <w:rFonts w:ascii="宋体" w:hAnsi="宋体" w:cs="宋体" w:eastAsia="宋体" w:hint="default"/>
          <w:sz w:val="20"/>
          <w:szCs w:val="20"/>
        </w:rPr>
      </w:pPr>
    </w:p>
    <w:p>
      <w:pPr>
        <w:pStyle w:val="Heading4"/>
        <w:spacing w:line="240" w:lineRule="auto" w:before="26"/>
        <w:ind w:left="674" w:right="5"/>
        <w:jc w:val="left"/>
        <w:rPr>
          <w:b w:val="0"/>
          <w:bCs w:val="0"/>
        </w:rPr>
      </w:pPr>
      <w:r>
        <w:rPr/>
        <w:t>三、同业竞争情况</w:t>
      </w:r>
      <w:r>
        <w:rPr>
          <w:b w:val="0"/>
          <w:bCs w:val="0"/>
        </w:rPr>
      </w:r>
    </w:p>
    <w:p>
      <w:pPr>
        <w:spacing w:line="240" w:lineRule="auto" w:before="9"/>
        <w:rPr>
          <w:rFonts w:ascii="宋体" w:hAnsi="宋体" w:cs="宋体" w:eastAsia="宋体" w:hint="default"/>
          <w:b/>
          <w:bCs/>
          <w:sz w:val="26"/>
          <w:szCs w:val="26"/>
        </w:rPr>
      </w:pPr>
    </w:p>
    <w:p>
      <w:pPr>
        <w:spacing w:line="357" w:lineRule="auto" w:before="0"/>
        <w:ind w:left="1033" w:right="5" w:hanging="360"/>
        <w:jc w:val="left"/>
        <w:rPr>
          <w:rFonts w:ascii="宋体" w:hAnsi="宋体" w:cs="宋体" w:eastAsia="宋体" w:hint="default"/>
          <w:sz w:val="18"/>
          <w:szCs w:val="18"/>
        </w:rPr>
      </w:pPr>
      <w:r>
        <w:rPr>
          <w:rFonts w:ascii="宋体" w:hAnsi="宋体" w:cs="宋体" w:eastAsia="宋体" w:hint="default"/>
          <w:sz w:val="18"/>
          <w:szCs w:val="18"/>
        </w:rPr>
        <w:t>□ 适用 √ 不适用 </w:t>
      </w:r>
      <w:r>
        <w:rPr>
          <w:rFonts w:ascii="宋体" w:hAnsi="宋体" w:cs="宋体" w:eastAsia="宋体" w:hint="default"/>
          <w:spacing w:val="-2"/>
          <w:sz w:val="18"/>
          <w:szCs w:val="18"/>
        </w:rPr>
        <w:t>为确认同业竞争现状及避免潜在的同业竞争情形，公司实际控制人中国电子已作出相关承诺并认真遵守，具体内容详见</w:t>
      </w:r>
    </w:p>
    <w:p>
      <w:pPr>
        <w:spacing w:line="225" w:lineRule="exact" w:before="0"/>
        <w:ind w:left="673" w:right="5" w:firstLine="0"/>
        <w:jc w:val="left"/>
        <w:rPr>
          <w:rFonts w:ascii="宋体" w:hAnsi="宋体" w:cs="宋体" w:eastAsia="宋体" w:hint="default"/>
          <w:sz w:val="18"/>
          <w:szCs w:val="18"/>
        </w:rPr>
      </w:pPr>
      <w:r>
        <w:rPr>
          <w:rFonts w:ascii="宋体" w:hAnsi="宋体" w:cs="宋体" w:eastAsia="宋体" w:hint="default"/>
          <w:sz w:val="18"/>
          <w:szCs w:val="18"/>
        </w:rPr>
        <w:t>第五节“承诺事项履行情况”的相关介绍。目前，公司与控股股东、实际控制人及其下属其他企业不存在同业竞争情况。</w:t>
      </w:r>
    </w:p>
    <w:p>
      <w:pPr>
        <w:spacing w:line="240" w:lineRule="auto" w:before="13"/>
        <w:rPr>
          <w:rFonts w:ascii="宋体" w:hAnsi="宋体" w:cs="宋体" w:eastAsia="宋体" w:hint="default"/>
          <w:sz w:val="24"/>
          <w:szCs w:val="24"/>
        </w:rPr>
      </w:pPr>
    </w:p>
    <w:p>
      <w:pPr>
        <w:pStyle w:val="Heading4"/>
        <w:spacing w:line="240" w:lineRule="auto"/>
        <w:ind w:left="674" w:right="5"/>
        <w:jc w:val="left"/>
        <w:rPr>
          <w:b w:val="0"/>
          <w:bCs w:val="0"/>
        </w:rPr>
      </w:pPr>
      <w:r>
        <w:rPr/>
        <w:t>四、报告期内召开的年度股东大会和临时股东大会的有关情况</w:t>
      </w:r>
      <w:r>
        <w:rPr>
          <w:b w:val="0"/>
          <w:bCs w:val="0"/>
        </w:rPr>
      </w:r>
    </w:p>
    <w:p>
      <w:pPr>
        <w:spacing w:line="240" w:lineRule="auto" w:before="7"/>
        <w:rPr>
          <w:rFonts w:ascii="宋体" w:hAnsi="宋体" w:cs="宋体" w:eastAsia="宋体" w:hint="default"/>
          <w:b/>
          <w:bCs/>
          <w:sz w:val="24"/>
          <w:szCs w:val="24"/>
        </w:rPr>
      </w:pPr>
    </w:p>
    <w:p>
      <w:pPr>
        <w:pStyle w:val="Heading5"/>
        <w:spacing w:line="240" w:lineRule="auto" w:before="0"/>
        <w:ind w:left="674" w:right="5"/>
        <w:jc w:val="left"/>
        <w:rPr>
          <w:b w:val="0"/>
          <w:bCs w:val="0"/>
        </w:rPr>
      </w:pPr>
      <w:r>
        <w:rPr>
          <w:rFonts w:ascii="Times New Roman" w:hAnsi="Times New Roman" w:cs="Times New Roman" w:eastAsia="Times New Roman" w:hint="default"/>
        </w:rPr>
        <w:t>1</w:t>
      </w:r>
      <w:r>
        <w:rPr/>
        <w:t>、本报告期股东大会情况</w:t>
      </w:r>
      <w:r>
        <w:rPr>
          <w:b w:val="0"/>
          <w:bCs w:val="0"/>
        </w:rPr>
      </w:r>
    </w:p>
    <w:p>
      <w:pPr>
        <w:spacing w:line="240" w:lineRule="auto" w:before="2"/>
        <w:rPr>
          <w:rFonts w:ascii="宋体" w:hAnsi="宋体" w:cs="宋体" w:eastAsia="宋体" w:hint="default"/>
          <w:b/>
          <w:bCs/>
          <w:sz w:val="21"/>
          <w:szCs w:val="21"/>
        </w:rPr>
      </w:pPr>
    </w:p>
    <w:tbl>
      <w:tblPr>
        <w:tblW w:w="0" w:type="auto"/>
        <w:jc w:val="left"/>
        <w:tblInd w:w="112" w:type="dxa"/>
        <w:tblLayout w:type="fixed"/>
        <w:tblCellMar>
          <w:top w:w="0" w:type="dxa"/>
          <w:left w:w="0" w:type="dxa"/>
          <w:bottom w:w="0" w:type="dxa"/>
          <w:right w:w="0" w:type="dxa"/>
        </w:tblCellMar>
        <w:tblLook w:val="01E0"/>
      </w:tblPr>
      <w:tblGrid>
        <w:gridCol w:w="2588"/>
        <w:gridCol w:w="1260"/>
        <w:gridCol w:w="1440"/>
        <w:gridCol w:w="1597"/>
        <w:gridCol w:w="1620"/>
        <w:gridCol w:w="2246"/>
      </w:tblGrid>
      <w:tr>
        <w:trPr>
          <w:trHeight w:val="401" w:hRule="exact"/>
        </w:trPr>
        <w:tc>
          <w:tcPr>
            <w:tcW w:w="258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会议届次</w:t>
            </w:r>
          </w:p>
        </w:tc>
        <w:tc>
          <w:tcPr>
            <w:tcW w:w="126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会议类型</w:t>
            </w:r>
          </w:p>
        </w:tc>
        <w:tc>
          <w:tcPr>
            <w:tcW w:w="144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投资者参与比例</w:t>
            </w:r>
          </w:p>
        </w:tc>
        <w:tc>
          <w:tcPr>
            <w:tcW w:w="1597"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召开日期</w:t>
            </w:r>
          </w:p>
        </w:tc>
        <w:tc>
          <w:tcPr>
            <w:tcW w:w="1620"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披露日期</w:t>
            </w:r>
          </w:p>
        </w:tc>
        <w:tc>
          <w:tcPr>
            <w:tcW w:w="2246"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披露索引</w:t>
            </w:r>
          </w:p>
        </w:tc>
      </w:tr>
      <w:tr>
        <w:trPr>
          <w:trHeight w:val="714" w:hRule="exact"/>
        </w:trPr>
        <w:tc>
          <w:tcPr>
            <w:tcW w:w="2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年度第一次临时股东大会</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临时股东大会</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41.33%</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2018-002 </w:t>
            </w:r>
            <w:r>
              <w:rPr>
                <w:rFonts w:ascii="宋体" w:hAnsi="宋体" w:cs="宋体" w:eastAsia="宋体" w:hint="default"/>
                <w:sz w:val="18"/>
                <w:szCs w:val="18"/>
              </w:rPr>
              <w:t>号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年度第一</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次临时股东大会决议公告</w:t>
            </w:r>
          </w:p>
        </w:tc>
      </w:tr>
      <w:tr>
        <w:trPr>
          <w:trHeight w:val="714" w:hRule="exact"/>
        </w:trPr>
        <w:tc>
          <w:tcPr>
            <w:tcW w:w="2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年度第二次临时股东大会</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临时股东大会</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42.01%</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2018-004 </w:t>
            </w:r>
            <w:r>
              <w:rPr>
                <w:rFonts w:ascii="宋体" w:hAnsi="宋体" w:cs="宋体" w:eastAsia="宋体" w:hint="default"/>
                <w:sz w:val="18"/>
                <w:szCs w:val="18"/>
              </w:rPr>
              <w:t>号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年度第二</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次临时股东大会决议公告</w:t>
            </w:r>
          </w:p>
        </w:tc>
      </w:tr>
      <w:tr>
        <w:trPr>
          <w:trHeight w:val="714" w:hRule="exact"/>
        </w:trPr>
        <w:tc>
          <w:tcPr>
            <w:tcW w:w="2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年度第三次临时股东大会</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临时股东大会</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42.36%</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2018-017 </w:t>
            </w:r>
            <w:r>
              <w:rPr>
                <w:rFonts w:ascii="宋体" w:hAnsi="宋体" w:cs="宋体" w:eastAsia="宋体" w:hint="default"/>
                <w:sz w:val="18"/>
                <w:szCs w:val="18"/>
              </w:rPr>
              <w:t>号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年度第三</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次临时股东大会决议公告</w:t>
            </w:r>
          </w:p>
        </w:tc>
      </w:tr>
      <w:tr>
        <w:trPr>
          <w:trHeight w:val="714" w:hRule="exact"/>
        </w:trPr>
        <w:tc>
          <w:tcPr>
            <w:tcW w:w="2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年度第四次临时股东大会</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临时股东大会</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42.04%</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2018-038 </w:t>
            </w:r>
            <w:r>
              <w:rPr>
                <w:rFonts w:ascii="宋体" w:hAnsi="宋体" w:cs="宋体" w:eastAsia="宋体" w:hint="default"/>
                <w:sz w:val="18"/>
                <w:szCs w:val="18"/>
              </w:rPr>
              <w:t>号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年度第四</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次临时股东大会决议公告</w:t>
            </w:r>
          </w:p>
        </w:tc>
      </w:tr>
      <w:tr>
        <w:trPr>
          <w:trHeight w:val="714" w:hRule="exact"/>
        </w:trPr>
        <w:tc>
          <w:tcPr>
            <w:tcW w:w="2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年度股东大会</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年度股东大会</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43.11%</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2018-059 </w:t>
            </w:r>
            <w:r>
              <w:rPr>
                <w:rFonts w:ascii="宋体" w:hAnsi="宋体" w:cs="宋体" w:eastAsia="宋体" w:hint="default"/>
                <w:sz w:val="18"/>
                <w:szCs w:val="18"/>
              </w:rPr>
              <w:t>号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年度股东</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大会决议公告</w:t>
            </w:r>
          </w:p>
        </w:tc>
      </w:tr>
      <w:tr>
        <w:trPr>
          <w:trHeight w:val="714" w:hRule="exact"/>
        </w:trPr>
        <w:tc>
          <w:tcPr>
            <w:tcW w:w="2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年度第五次临时股东大会</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临时股东大会</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41.91%</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2018-070 </w:t>
            </w:r>
            <w:r>
              <w:rPr>
                <w:rFonts w:ascii="宋体" w:hAnsi="宋体" w:cs="宋体" w:eastAsia="宋体" w:hint="default"/>
                <w:sz w:val="18"/>
                <w:szCs w:val="18"/>
              </w:rPr>
              <w:t>号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年度第五</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次临时股东大会决议公告</w:t>
            </w:r>
          </w:p>
        </w:tc>
      </w:tr>
      <w:tr>
        <w:trPr>
          <w:trHeight w:val="714" w:hRule="exact"/>
        </w:trPr>
        <w:tc>
          <w:tcPr>
            <w:tcW w:w="2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年度第六次临时股东大会</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临时股东大会</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41.12%</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2018-092 </w:t>
            </w:r>
            <w:r>
              <w:rPr>
                <w:rFonts w:ascii="宋体" w:hAnsi="宋体" w:cs="宋体" w:eastAsia="宋体" w:hint="default"/>
                <w:sz w:val="18"/>
                <w:szCs w:val="18"/>
              </w:rPr>
              <w:t>号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年度第六</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次临时股东大会决议公告</w:t>
            </w:r>
          </w:p>
        </w:tc>
      </w:tr>
      <w:tr>
        <w:trPr>
          <w:trHeight w:val="715" w:hRule="exact"/>
        </w:trPr>
        <w:tc>
          <w:tcPr>
            <w:tcW w:w="2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年度第七次临时股东大会</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临时股东大会</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44.39%</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2018-105 </w:t>
            </w:r>
            <w:r>
              <w:rPr>
                <w:rFonts w:ascii="宋体" w:hAnsi="宋体" w:cs="宋体" w:eastAsia="宋体" w:hint="default"/>
                <w:sz w:val="18"/>
                <w:szCs w:val="18"/>
              </w:rPr>
              <w:t>号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年度第七</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次临时股东大会决议公告</w:t>
            </w:r>
          </w:p>
        </w:tc>
      </w:tr>
    </w:tbl>
    <w:p>
      <w:pPr>
        <w:spacing w:line="240" w:lineRule="auto" w:before="7"/>
        <w:rPr>
          <w:rFonts w:ascii="宋体" w:hAnsi="宋体" w:cs="宋体" w:eastAsia="宋体" w:hint="default"/>
          <w:b/>
          <w:bCs/>
          <w:sz w:val="14"/>
          <w:szCs w:val="14"/>
        </w:rPr>
      </w:pPr>
    </w:p>
    <w:p>
      <w:pPr>
        <w:pStyle w:val="Heading5"/>
        <w:spacing w:line="240" w:lineRule="auto"/>
        <w:ind w:left="674" w:right="5"/>
        <w:jc w:val="left"/>
        <w:rPr>
          <w:b w:val="0"/>
          <w:bCs w:val="0"/>
        </w:rPr>
      </w:pPr>
      <w:r>
        <w:rPr>
          <w:rFonts w:ascii="Times New Roman" w:hAnsi="Times New Roman" w:cs="Times New Roman" w:eastAsia="Times New Roman" w:hint="default"/>
        </w:rPr>
        <w:t>2</w:t>
      </w:r>
      <w:r>
        <w:rPr/>
        <w:t>、表决权恢复的优先股股东请求召开临时股东大会</w:t>
      </w:r>
      <w:r>
        <w:rPr>
          <w:b w:val="0"/>
          <w:bCs w:val="0"/>
        </w:rPr>
      </w:r>
    </w:p>
    <w:p>
      <w:pPr>
        <w:spacing w:line="240" w:lineRule="auto" w:before="0"/>
        <w:rPr>
          <w:rFonts w:ascii="宋体" w:hAnsi="宋体" w:cs="宋体" w:eastAsia="宋体" w:hint="default"/>
          <w:b/>
          <w:bCs/>
          <w:sz w:val="22"/>
          <w:szCs w:val="22"/>
        </w:rPr>
      </w:pPr>
    </w:p>
    <w:p>
      <w:pPr>
        <w:spacing w:before="0"/>
        <w:ind w:left="674" w:right="5"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2"/>
        <w:rPr>
          <w:rFonts w:ascii="宋体" w:hAnsi="宋体" w:cs="宋体" w:eastAsia="宋体" w:hint="default"/>
          <w:sz w:val="24"/>
          <w:szCs w:val="24"/>
        </w:rPr>
      </w:pPr>
    </w:p>
    <w:p>
      <w:pPr>
        <w:pStyle w:val="Heading4"/>
        <w:spacing w:line="240" w:lineRule="auto"/>
        <w:ind w:left="674" w:right="5"/>
        <w:jc w:val="left"/>
        <w:rPr>
          <w:b w:val="0"/>
          <w:bCs w:val="0"/>
        </w:rPr>
      </w:pPr>
      <w:r>
        <w:rPr/>
        <w:t>五、董事会工作情况</w:t>
      </w:r>
      <w:r>
        <w:rPr>
          <w:b w:val="0"/>
          <w:bCs w:val="0"/>
        </w:rPr>
      </w:r>
    </w:p>
    <w:p>
      <w:pPr>
        <w:spacing w:line="240" w:lineRule="auto" w:before="7"/>
        <w:rPr>
          <w:rFonts w:ascii="宋体" w:hAnsi="宋体" w:cs="宋体" w:eastAsia="宋体" w:hint="default"/>
          <w:b/>
          <w:bCs/>
          <w:sz w:val="26"/>
          <w:szCs w:val="26"/>
        </w:rPr>
      </w:pPr>
    </w:p>
    <w:p>
      <w:pPr>
        <w:spacing w:line="319" w:lineRule="auto" w:before="0"/>
        <w:ind w:left="674" w:right="1128" w:firstLine="360"/>
        <w:jc w:val="both"/>
        <w:rPr>
          <w:rFonts w:ascii="宋体" w:hAnsi="宋体" w:cs="宋体" w:eastAsia="宋体" w:hint="default"/>
          <w:sz w:val="18"/>
          <w:szCs w:val="18"/>
        </w:rPr>
      </w:pPr>
      <w:r>
        <w:rPr>
          <w:rFonts w:ascii="宋体" w:hAnsi="宋体" w:cs="宋体" w:eastAsia="宋体" w:hint="default"/>
          <w:spacing w:val="-5"/>
          <w:sz w:val="18"/>
          <w:szCs w:val="18"/>
        </w:rPr>
        <w:t>报告期内，公司董事会认真履行《公司法》、《公司章程》等法律、法规赋予的职责，充分发挥董事会决策和战略管理职</w:t>
      </w:r>
      <w:r>
        <w:rPr>
          <w:rFonts w:ascii="宋体" w:hAnsi="宋体" w:cs="宋体" w:eastAsia="宋体" w:hint="default"/>
          <w:sz w:val="18"/>
          <w:szCs w:val="18"/>
        </w:rPr>
        <w:t> </w:t>
      </w:r>
      <w:r>
        <w:rPr>
          <w:rFonts w:ascii="宋体" w:hAnsi="宋体" w:cs="宋体" w:eastAsia="宋体" w:hint="default"/>
          <w:spacing w:val="-2"/>
          <w:sz w:val="18"/>
          <w:szCs w:val="18"/>
        </w:rPr>
        <w:t>能，严格执行股东大会决议，积极推进董事会决议的实施，在决策过程中，公司董事会能够充分发挥各专门委员会及独立董</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事在公司发展中的履职作用，为董事会的科学决策提供了有力的保障。</w:t>
      </w:r>
    </w:p>
    <w:p>
      <w:pPr>
        <w:spacing w:line="319" w:lineRule="auto" w:before="55"/>
        <w:ind w:left="674" w:right="1131" w:firstLine="360"/>
        <w:jc w:val="both"/>
        <w:rPr>
          <w:rFonts w:ascii="宋体" w:hAnsi="宋体" w:cs="宋体" w:eastAsia="宋体" w:hint="default"/>
          <w:sz w:val="18"/>
          <w:szCs w:val="18"/>
        </w:rPr>
      </w:pPr>
      <w:r>
        <w:rPr>
          <w:rFonts w:ascii="宋体" w:hAnsi="宋体" w:cs="宋体" w:eastAsia="宋体" w:hint="default"/>
          <w:spacing w:val="-2"/>
          <w:sz w:val="18"/>
          <w:szCs w:val="18"/>
        </w:rPr>
        <w:t>报告期内，公司董事勤勉尽责，认真审议各项议案，明确表达自己的意见。在董事会闭会期间，各位董事能够认真阅读</w:t>
      </w:r>
      <w:r>
        <w:rPr>
          <w:rFonts w:ascii="宋体" w:hAnsi="宋体" w:cs="宋体" w:eastAsia="宋体" w:hint="default"/>
          <w:sz w:val="18"/>
          <w:szCs w:val="18"/>
        </w:rPr>
        <w:t> 公司提供的各类文件、报告，及时了解公司的经营管理状况。</w:t>
      </w:r>
    </w:p>
    <w:p>
      <w:pPr>
        <w:spacing w:before="56"/>
        <w:ind w:left="1034" w:right="5" w:firstLine="0"/>
        <w:jc w:val="left"/>
        <w:rPr>
          <w:rFonts w:ascii="宋体" w:hAnsi="宋体" w:cs="宋体" w:eastAsia="宋体" w:hint="default"/>
          <w:sz w:val="18"/>
          <w:szCs w:val="18"/>
        </w:rPr>
      </w:pPr>
      <w:r>
        <w:rPr>
          <w:rFonts w:ascii="宋体" w:hAnsi="宋体" w:cs="宋体" w:eastAsia="宋体" w:hint="default"/>
          <w:sz w:val="18"/>
          <w:szCs w:val="18"/>
        </w:rPr>
        <w:t>（一）董事会主要会议情况</w:t>
      </w:r>
    </w:p>
    <w:p>
      <w:pPr>
        <w:spacing w:line="302" w:lineRule="auto" w:before="116"/>
        <w:ind w:left="674" w:right="1129" w:firstLine="360"/>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日，公司以通讯方式召开第六届董事会第二十次会议，审议通过了调整公司股票期权激励计划授予 激励对象人员名单及授予数量、公司股票期权激励计划授予相关事项等议案。</w:t>
      </w:r>
    </w:p>
    <w:p>
      <w:pPr>
        <w:spacing w:after="0" w:line="302" w:lineRule="auto"/>
        <w:jc w:val="both"/>
        <w:rPr>
          <w:rFonts w:ascii="宋体" w:hAnsi="宋体" w:cs="宋体" w:eastAsia="宋体" w:hint="default"/>
          <w:sz w:val="18"/>
          <w:szCs w:val="18"/>
        </w:rPr>
        <w:sectPr>
          <w:pgSz w:w="11910" w:h="16840"/>
          <w:pgMar w:header="787" w:footer="982" w:top="1100" w:bottom="1180" w:left="460" w:right="0"/>
        </w:sectPr>
      </w:pPr>
    </w:p>
    <w:p>
      <w:pPr>
        <w:spacing w:line="240" w:lineRule="auto" w:before="10"/>
        <w:rPr>
          <w:rFonts w:ascii="宋体" w:hAnsi="宋体" w:cs="宋体" w:eastAsia="宋体" w:hint="default"/>
          <w:sz w:val="22"/>
          <w:szCs w:val="22"/>
        </w:rPr>
      </w:pPr>
    </w:p>
    <w:p>
      <w:pPr>
        <w:spacing w:line="302" w:lineRule="auto" w:before="44"/>
        <w:ind w:left="154" w:right="1131" w:firstLine="360"/>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日，公司以通讯方式召开第六届董事会第二十一次会议，审议通过了董事会换届选举、第七届董事会 董事津贴标准等议案。</w:t>
      </w:r>
    </w:p>
    <w:p>
      <w:pPr>
        <w:spacing w:line="309" w:lineRule="auto" w:before="68"/>
        <w:ind w:left="154" w:right="1128" w:firstLine="360"/>
        <w:jc w:val="both"/>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日，公司以现场方式召开第七届董事会第一次会议，审议通过了选举第七届董事会董事长、第七届 </w:t>
      </w:r>
      <w:r>
        <w:rPr>
          <w:rFonts w:ascii="宋体" w:hAnsi="宋体" w:cs="宋体" w:eastAsia="宋体" w:hint="default"/>
          <w:spacing w:val="-2"/>
          <w:sz w:val="18"/>
          <w:szCs w:val="18"/>
        </w:rPr>
        <w:t>董事会各专门委员会组织架构、聘任总裁、聘任高级副总裁、聘任财务总监、聘任董事会秘书、聘任证券事务代表、收购及</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增资天地超云等议案。</w:t>
      </w:r>
    </w:p>
    <w:p>
      <w:pPr>
        <w:spacing w:line="314" w:lineRule="auto" w:before="64"/>
        <w:ind w:left="154" w:right="1128" w:firstLine="360"/>
        <w:jc w:val="both"/>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日，公司以现场方式召开第七届董事会第二次会议，审议通过了</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年度报告和</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年一季度报 </w:t>
      </w:r>
      <w:r>
        <w:rPr>
          <w:rFonts w:ascii="宋体" w:hAnsi="宋体" w:cs="宋体" w:eastAsia="宋体" w:hint="default"/>
          <w:spacing w:val="-2"/>
          <w:sz w:val="18"/>
          <w:szCs w:val="18"/>
        </w:rPr>
        <w:t>告相关议案，包括经营报告、董事会工作报告、财务决算报告、财务预算报告、利润分配预案、会计政策变更、计提资产减</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pacing w:val="-2"/>
          <w:sz w:val="18"/>
          <w:szCs w:val="18"/>
        </w:rPr>
        <w:t>值准备及核销、中电长城大厦银团贷款更换抵押担保物、申请融资和授信、担保、委托理财、日常关联交易、业绩承诺实现</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pacing w:val="-2"/>
          <w:sz w:val="18"/>
          <w:szCs w:val="18"/>
        </w:rPr>
        <w:t>情况及业绩补偿方案、授权董事会办理补偿股份回购注销并因注册资本变更修订《公司章程》、原长城信息募集资金存放与</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使用情况、内部控制评价报告、社会责任报告、合并范围变化及追溯调整、中介机构报告等议案。</w:t>
      </w:r>
    </w:p>
    <w:p>
      <w:pPr>
        <w:spacing w:line="302" w:lineRule="auto" w:before="59"/>
        <w:ind w:left="154" w:right="1131" w:firstLine="360"/>
        <w:jc w:val="both"/>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日，公司以通讯方式召开第七届董事会第三次会议，审议通过了选举第七届董事会董事长、提名董事 候选人、聘任总裁等议案。</w:t>
      </w:r>
    </w:p>
    <w:p>
      <w:pPr>
        <w:spacing w:line="302" w:lineRule="auto" w:before="68"/>
        <w:ind w:left="154" w:right="1129" w:firstLine="360"/>
        <w:jc w:val="both"/>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日，公司以通讯方式召开第七届董事会第四次会议，审议通过了对外合作投资海洋信息安全产业化 项目并设立配套项目公司等议案。</w:t>
      </w:r>
    </w:p>
    <w:p>
      <w:pPr>
        <w:spacing w:line="309" w:lineRule="auto" w:before="69"/>
        <w:ind w:left="154" w:right="1131" w:firstLine="360"/>
        <w:jc w:val="both"/>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日，公司以现场方式召开第七届董事会第五次会议，审议通过了</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年半年度报告、合并范围变化 </w:t>
      </w:r>
      <w:r>
        <w:rPr>
          <w:rFonts w:ascii="宋体" w:hAnsi="宋体" w:cs="宋体" w:eastAsia="宋体" w:hint="default"/>
          <w:spacing w:val="-2"/>
          <w:sz w:val="18"/>
          <w:szCs w:val="18"/>
        </w:rPr>
        <w:t>及追溯调整、申请授信、石岩基地三期项目变更及追加投资预算、日常关联交易、增加法治建设内容修订《公司章程》、修</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订制度、原长城信息募集资金存放与使用、中介机构报告等议案。</w:t>
      </w:r>
    </w:p>
    <w:p>
      <w:pPr>
        <w:spacing w:before="64"/>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8</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日，公司以通讯方式召开第七届董事会第六次会议，审议通过了对全资子公司进行增资的议案。</w:t>
      </w:r>
    </w:p>
    <w:p>
      <w:pPr>
        <w:spacing w:line="302" w:lineRule="auto" w:before="101"/>
        <w:ind w:left="154" w:right="1039" w:firstLine="360"/>
        <w:jc w:val="both"/>
        <w:rPr>
          <w:rFonts w:ascii="宋体" w:hAnsi="宋体" w:cs="宋体" w:eastAsia="宋体" w:hint="default"/>
          <w:sz w:val="18"/>
          <w:szCs w:val="18"/>
        </w:rPr>
      </w:pPr>
      <w:r>
        <w:rPr>
          <w:rFonts w:ascii="Times New Roman" w:hAnsi="Times New Roman" w:cs="Times New Roman" w:eastAsia="Times New Roman" w:hint="default"/>
          <w:spacing w:val="-2"/>
          <w:sz w:val="18"/>
          <w:szCs w:val="18"/>
        </w:rPr>
        <w:t>9</w:t>
      </w: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2018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3"/>
          <w:sz w:val="18"/>
          <w:szCs w:val="18"/>
        </w:rPr>
        <w:t> </w:t>
      </w:r>
      <w:r>
        <w:rPr>
          <w:rFonts w:ascii="宋体" w:hAnsi="宋体" w:cs="宋体" w:eastAsia="宋体" w:hint="default"/>
          <w:spacing w:val="-3"/>
          <w:sz w:val="18"/>
          <w:szCs w:val="18"/>
        </w:rPr>
        <w:t>日，公司以通讯方式召开第七届董事会第七次会议，审议通过了变更法定代表人修订《公司章程》、</w:t>
      </w:r>
      <w:r>
        <w:rPr>
          <w:rFonts w:ascii="宋体" w:hAnsi="宋体" w:cs="宋体" w:eastAsia="宋体" w:hint="default"/>
          <w:sz w:val="18"/>
          <w:szCs w:val="18"/>
        </w:rPr>
        <w:t> 变更部分募集资金投资项目、新增募集资金专户、对全资子公司股权结构调整等议案。</w:t>
      </w:r>
    </w:p>
    <w:p>
      <w:pPr>
        <w:spacing w:line="302" w:lineRule="auto" w:before="69"/>
        <w:ind w:left="154" w:right="1129" w:firstLine="360"/>
        <w:jc w:val="both"/>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日，公司以通讯方式召开第七届董事会第八次会议，审议通过了变更银行贷款担保方式暨关联交 易、国有资本金继续使用展期暨关联交易等议案。</w:t>
      </w:r>
    </w:p>
    <w:p>
      <w:pPr>
        <w:spacing w:line="302" w:lineRule="auto" w:before="68"/>
        <w:ind w:left="154" w:right="1129" w:firstLine="360"/>
        <w:jc w:val="both"/>
        <w:rPr>
          <w:rFonts w:ascii="宋体" w:hAnsi="宋体" w:cs="宋体" w:eastAsia="宋体" w:hint="default"/>
          <w:sz w:val="18"/>
          <w:szCs w:val="18"/>
        </w:rPr>
      </w:pPr>
      <w:r>
        <w:rPr>
          <w:rFonts w:ascii="Times New Roman" w:hAnsi="Times New Roman" w:cs="Times New Roman" w:eastAsia="Times New Roman" w:hint="default"/>
          <w:spacing w:val="-3"/>
          <w:sz w:val="18"/>
          <w:szCs w:val="18"/>
        </w:rPr>
        <w:t>11</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2018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日，公司以通讯方式召开第七届董事会第九次会议，审议通过了</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年三季度报告、会计政策变 更、聘任公司总法律顾问、基本制度修订、中介机构报告等议案。</w:t>
      </w:r>
    </w:p>
    <w:p>
      <w:pPr>
        <w:spacing w:before="68"/>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年</w:t>
      </w:r>
      <w:r>
        <w:rPr>
          <w:rFonts w:ascii="宋体" w:hAnsi="宋体" w:cs="宋体" w:eastAsia="宋体" w:hint="default"/>
          <w:spacing w:val="-34"/>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月</w:t>
      </w:r>
      <w:r>
        <w:rPr>
          <w:rFonts w:ascii="宋体" w:hAnsi="宋体" w:cs="宋体" w:eastAsia="宋体" w:hint="default"/>
          <w:spacing w:val="-34"/>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日，公司以通讯方式召开第七届董事会第十次会议，审议通过了中原电子收购中元股份少数股东</w:t>
      </w:r>
    </w:p>
    <w:p>
      <w:pPr>
        <w:spacing w:before="64"/>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18.68%</w:t>
      </w:r>
      <w:r>
        <w:rPr>
          <w:rFonts w:ascii="宋体" w:hAnsi="宋体" w:cs="宋体" w:eastAsia="宋体" w:hint="default"/>
          <w:sz w:val="18"/>
          <w:szCs w:val="18"/>
        </w:rPr>
        <w:t>股权暨关联交易、以自有房产抵押担保的方式向中国电子申请委托贷款暨关联交易等议案。</w:t>
      </w:r>
    </w:p>
    <w:p>
      <w:pPr>
        <w:spacing w:line="302" w:lineRule="auto" w:before="102"/>
        <w:ind w:left="154" w:right="1129" w:firstLine="360"/>
        <w:jc w:val="both"/>
        <w:rPr>
          <w:rFonts w:ascii="宋体" w:hAnsi="宋体" w:cs="宋体" w:eastAsia="宋体" w:hint="default"/>
          <w:sz w:val="18"/>
          <w:szCs w:val="18"/>
        </w:rPr>
      </w:pPr>
      <w:r>
        <w:rPr>
          <w:rFonts w:ascii="Times New Roman" w:hAnsi="Times New Roman" w:cs="Times New Roman" w:eastAsia="Times New Roman" w:hint="default"/>
          <w:sz w:val="18"/>
          <w:szCs w:val="18"/>
        </w:rPr>
        <w:t>13</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日，公司以通讯方式召开第七届董事会第十一次会议，审议通过了聘请年度财务审计单位及内部 控制审计单位、长江科技购买汉南土地及地上房屋建（构）筑物暨关联交易等议案。</w:t>
      </w:r>
    </w:p>
    <w:p>
      <w:pPr>
        <w:spacing w:line="302" w:lineRule="auto" w:before="68"/>
        <w:ind w:left="154" w:right="1129" w:firstLine="360"/>
        <w:jc w:val="both"/>
        <w:rPr>
          <w:rFonts w:ascii="宋体" w:hAnsi="宋体" w:cs="宋体" w:eastAsia="宋体" w:hint="default"/>
          <w:sz w:val="18"/>
          <w:szCs w:val="18"/>
        </w:rPr>
      </w:pPr>
      <w:r>
        <w:rPr>
          <w:rFonts w:ascii="Times New Roman" w:hAnsi="Times New Roman" w:cs="Times New Roman" w:eastAsia="Times New Roman" w:hint="default"/>
          <w:sz w:val="18"/>
          <w:szCs w:val="18"/>
        </w:rPr>
        <w:t>14</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日，公司以通讯方式召开第七届董事会第十二次会议，审议通过了使用部分闲置募集资金暂时补 充流动资金的议案。</w:t>
      </w:r>
    </w:p>
    <w:p>
      <w:pPr>
        <w:spacing w:before="69"/>
        <w:ind w:left="514" w:right="0" w:firstLine="0"/>
        <w:jc w:val="left"/>
        <w:rPr>
          <w:rFonts w:ascii="宋体" w:hAnsi="宋体" w:cs="宋体" w:eastAsia="宋体" w:hint="default"/>
          <w:sz w:val="18"/>
          <w:szCs w:val="18"/>
        </w:rPr>
      </w:pPr>
      <w:r>
        <w:rPr>
          <w:rFonts w:ascii="宋体" w:hAnsi="宋体" w:cs="宋体" w:eastAsia="宋体" w:hint="default"/>
          <w:sz w:val="18"/>
          <w:szCs w:val="18"/>
        </w:rPr>
        <w:t>（二）董事会对股东大会决议的执行情况</w:t>
      </w:r>
    </w:p>
    <w:p>
      <w:pPr>
        <w:spacing w:line="302" w:lineRule="auto" w:before="116"/>
        <w:ind w:left="154" w:right="1128" w:firstLine="360"/>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、报告期内，董事会根据法律法规及公司章程的规定，认真履行股东大会召集人职责，并严格按照股东大会的决议和 授权，认真执行股东大会各项决议。</w:t>
      </w:r>
    </w:p>
    <w:p>
      <w:pPr>
        <w:spacing w:before="69"/>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年度，公司董事会召集召开股东大会</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次，相关各项决议在报告期内积极落实推进。</w:t>
      </w:r>
    </w:p>
    <w:p>
      <w:pPr>
        <w:spacing w:before="102"/>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、报告期内公司利润分配方案执行情况</w:t>
      </w:r>
    </w:p>
    <w:p>
      <w:pPr>
        <w:spacing w:line="302" w:lineRule="auto" w:before="102"/>
        <w:ind w:left="154" w:right="1127" w:firstLine="360"/>
        <w:jc w:val="both"/>
        <w:rPr>
          <w:rFonts w:ascii="宋体" w:hAnsi="宋体" w:cs="宋体" w:eastAsia="宋体" w:hint="default"/>
          <w:sz w:val="18"/>
          <w:szCs w:val="18"/>
        </w:rPr>
      </w:pPr>
      <w:r>
        <w:rPr>
          <w:rFonts w:ascii="宋体" w:hAnsi="宋体" w:cs="宋体" w:eastAsia="宋体" w:hint="default"/>
          <w:spacing w:val="-3"/>
          <w:sz w:val="18"/>
          <w:szCs w:val="18"/>
        </w:rPr>
        <w:t>公司实行持续、稳健的利润分配政策，定有《股东回报规划（</w:t>
      </w:r>
      <w:r>
        <w:rPr>
          <w:rFonts w:ascii="Times New Roman" w:hAnsi="Times New Roman" w:cs="Times New Roman" w:eastAsia="Times New Roman" w:hint="default"/>
          <w:spacing w:val="-3"/>
          <w:sz w:val="18"/>
          <w:szCs w:val="18"/>
        </w:rPr>
        <w:t>2018-2020</w:t>
      </w:r>
      <w:r>
        <w:rPr>
          <w:rFonts w:ascii="宋体" w:hAnsi="宋体" w:cs="宋体" w:eastAsia="宋体" w:hint="default"/>
          <w:spacing w:val="-3"/>
          <w:sz w:val="18"/>
          <w:szCs w:val="18"/>
        </w:rPr>
        <w:t>）》，在综合考虑公司经营状况和发展目标等因</w:t>
      </w:r>
      <w:r>
        <w:rPr>
          <w:rFonts w:ascii="宋体" w:hAnsi="宋体" w:cs="宋体" w:eastAsia="宋体" w:hint="default"/>
          <w:spacing w:val="1"/>
          <w:sz w:val="18"/>
          <w:szCs w:val="18"/>
        </w:rPr>
        <w:t> </w:t>
      </w:r>
      <w:r>
        <w:rPr>
          <w:rFonts w:ascii="宋体" w:hAnsi="宋体" w:cs="宋体" w:eastAsia="宋体" w:hint="default"/>
          <w:sz w:val="18"/>
          <w:szCs w:val="18"/>
        </w:rPr>
        <w:t>素的同时重视对投资者的合理投资回报。</w:t>
      </w:r>
    </w:p>
    <w:p>
      <w:pPr>
        <w:spacing w:before="68"/>
        <w:ind w:left="514"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月</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日，公司</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年度股东大会审议通过了</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年度利润分配方案；</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日，公司实施</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2017</w:t>
      </w:r>
    </w:p>
    <w:p>
      <w:pPr>
        <w:spacing w:before="64"/>
        <w:ind w:left="154" w:right="0" w:firstLine="0"/>
        <w:jc w:val="left"/>
        <w:rPr>
          <w:rFonts w:ascii="宋体" w:hAnsi="宋体" w:cs="宋体" w:eastAsia="宋体" w:hint="default"/>
          <w:sz w:val="18"/>
          <w:szCs w:val="18"/>
        </w:rPr>
      </w:pPr>
      <w:r>
        <w:rPr>
          <w:rFonts w:ascii="宋体" w:hAnsi="宋体" w:cs="宋体" w:eastAsia="宋体" w:hint="default"/>
          <w:sz w:val="18"/>
          <w:szCs w:val="18"/>
        </w:rPr>
        <w:t>年度每</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股派发现金股利人民币</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元（含税）的利润分配方案，共计向全体股东分配现金股利</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176,644,167.54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w:t>
      </w:r>
    </w:p>
    <w:p>
      <w:pPr>
        <w:spacing w:after="0"/>
        <w:jc w:val="left"/>
        <w:rPr>
          <w:rFonts w:ascii="宋体" w:hAnsi="宋体" w:cs="宋体" w:eastAsia="宋体" w:hint="default"/>
          <w:sz w:val="18"/>
          <w:szCs w:val="18"/>
        </w:rPr>
        <w:sectPr>
          <w:pgSz w:w="11910" w:h="16840"/>
          <w:pgMar w:header="787" w:footer="982" w:top="1100" w:bottom="1180" w:left="980" w:right="0"/>
        </w:sectPr>
      </w:pPr>
    </w:p>
    <w:p>
      <w:pPr>
        <w:spacing w:line="240" w:lineRule="auto" w:before="5"/>
        <w:rPr>
          <w:rFonts w:ascii="宋体" w:hAnsi="宋体" w:cs="宋体" w:eastAsia="宋体" w:hint="default"/>
          <w:sz w:val="20"/>
          <w:szCs w:val="20"/>
        </w:rPr>
      </w:pPr>
    </w:p>
    <w:p>
      <w:pPr>
        <w:pStyle w:val="Heading4"/>
        <w:spacing w:line="240" w:lineRule="auto" w:before="26"/>
        <w:ind w:right="0"/>
        <w:jc w:val="left"/>
        <w:rPr>
          <w:b w:val="0"/>
          <w:bCs w:val="0"/>
        </w:rPr>
      </w:pPr>
      <w:r>
        <w:rPr/>
        <w:t>六、报告期内独立董事履行职责的情况</w:t>
      </w:r>
      <w:r>
        <w:rPr>
          <w:b w:val="0"/>
          <w:bCs w:val="0"/>
        </w:rPr>
      </w:r>
    </w:p>
    <w:p>
      <w:pPr>
        <w:spacing w:line="240" w:lineRule="auto" w:before="0"/>
        <w:rPr>
          <w:rFonts w:ascii="宋体" w:hAnsi="宋体" w:cs="宋体" w:eastAsia="宋体" w:hint="default"/>
          <w:b/>
          <w:bCs/>
          <w:sz w:val="20"/>
          <w:szCs w:val="20"/>
        </w:rPr>
      </w:pPr>
    </w:p>
    <w:p>
      <w:pPr>
        <w:pStyle w:val="Heading5"/>
        <w:spacing w:line="240" w:lineRule="auto" w:before="0"/>
        <w:ind w:left="154" w:right="0"/>
        <w:jc w:val="left"/>
        <w:rPr>
          <w:b w:val="0"/>
          <w:bCs w:val="0"/>
        </w:rPr>
      </w:pPr>
      <w:r>
        <w:rPr>
          <w:rFonts w:ascii="Times New Roman" w:hAnsi="Times New Roman" w:cs="Times New Roman" w:eastAsia="Times New Roman" w:hint="default"/>
        </w:rPr>
        <w:t>1</w:t>
      </w:r>
      <w:r>
        <w:rPr/>
        <w:t>、独立董事出席董事会及股东大会的情况</w:t>
      </w:r>
      <w:r>
        <w:rPr>
          <w:b w:val="0"/>
          <w:bCs w:val="0"/>
        </w:rPr>
      </w:r>
    </w:p>
    <w:p>
      <w:pPr>
        <w:spacing w:line="240" w:lineRule="auto" w:before="1"/>
        <w:rPr>
          <w:rFonts w:ascii="宋体" w:hAnsi="宋体" w:cs="宋体" w:eastAsia="宋体" w:hint="default"/>
          <w:b/>
          <w:bCs/>
          <w:sz w:val="21"/>
          <w:szCs w:val="21"/>
        </w:rPr>
      </w:pPr>
    </w:p>
    <w:tbl>
      <w:tblPr>
        <w:tblW w:w="0" w:type="auto"/>
        <w:jc w:val="left"/>
        <w:tblInd w:w="182" w:type="dxa"/>
        <w:tblLayout w:type="fixed"/>
        <w:tblCellMar>
          <w:top w:w="0" w:type="dxa"/>
          <w:left w:w="0" w:type="dxa"/>
          <w:bottom w:w="0" w:type="dxa"/>
          <w:right w:w="0" w:type="dxa"/>
        </w:tblCellMar>
        <w:tblLook w:val="01E0"/>
      </w:tblPr>
      <w:tblGrid>
        <w:gridCol w:w="1428"/>
        <w:gridCol w:w="1164"/>
        <w:gridCol w:w="1164"/>
        <w:gridCol w:w="1163"/>
        <w:gridCol w:w="1163"/>
        <w:gridCol w:w="1163"/>
        <w:gridCol w:w="1163"/>
        <w:gridCol w:w="1163"/>
      </w:tblGrid>
      <w:tr>
        <w:trPr>
          <w:trHeight w:val="402" w:hRule="exact"/>
        </w:trPr>
        <w:tc>
          <w:tcPr>
            <w:tcW w:w="9570" w:type="dxa"/>
            <w:gridSpan w:val="8"/>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独立董事出席董事会及股东大会的情况</w:t>
            </w:r>
          </w:p>
        </w:tc>
      </w:tr>
      <w:tr>
        <w:trPr>
          <w:trHeight w:val="1026" w:hRule="exact"/>
        </w:trPr>
        <w:tc>
          <w:tcPr>
            <w:tcW w:w="1428"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独立董事姓名</w:t>
            </w:r>
          </w:p>
        </w:tc>
        <w:tc>
          <w:tcPr>
            <w:tcW w:w="116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9" w:lineRule="auto"/>
              <w:ind w:left="35" w:right="36"/>
              <w:jc w:val="left"/>
              <w:rPr>
                <w:rFonts w:ascii="宋体" w:hAnsi="宋体" w:cs="宋体" w:eastAsia="宋体" w:hint="default"/>
                <w:sz w:val="18"/>
                <w:szCs w:val="18"/>
              </w:rPr>
            </w:pPr>
            <w:r>
              <w:rPr>
                <w:rFonts w:ascii="宋体" w:hAnsi="宋体" w:cs="宋体" w:eastAsia="宋体" w:hint="default"/>
                <w:sz w:val="18"/>
                <w:szCs w:val="18"/>
              </w:rPr>
              <w:t>本报告期应参 加董事会次数</w:t>
            </w:r>
          </w:p>
        </w:tc>
        <w:tc>
          <w:tcPr>
            <w:tcW w:w="116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9" w:lineRule="auto"/>
              <w:ind w:left="305" w:right="36" w:hanging="270"/>
              <w:jc w:val="left"/>
              <w:rPr>
                <w:rFonts w:ascii="宋体" w:hAnsi="宋体" w:cs="宋体" w:eastAsia="宋体" w:hint="default"/>
                <w:sz w:val="18"/>
                <w:szCs w:val="18"/>
              </w:rPr>
            </w:pPr>
            <w:r>
              <w:rPr>
                <w:rFonts w:ascii="宋体" w:hAnsi="宋体" w:cs="宋体" w:eastAsia="宋体" w:hint="default"/>
                <w:sz w:val="18"/>
                <w:szCs w:val="18"/>
              </w:rPr>
              <w:t>现场出席董事 会次数</w:t>
            </w:r>
          </w:p>
        </w:tc>
        <w:tc>
          <w:tcPr>
            <w:tcW w:w="11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9" w:lineRule="auto"/>
              <w:ind w:left="35" w:right="35"/>
              <w:jc w:val="left"/>
              <w:rPr>
                <w:rFonts w:ascii="宋体" w:hAnsi="宋体" w:cs="宋体" w:eastAsia="宋体" w:hint="default"/>
                <w:sz w:val="18"/>
                <w:szCs w:val="18"/>
              </w:rPr>
            </w:pPr>
            <w:r>
              <w:rPr>
                <w:rFonts w:ascii="宋体" w:hAnsi="宋体" w:cs="宋体" w:eastAsia="宋体" w:hint="default"/>
                <w:sz w:val="18"/>
                <w:szCs w:val="18"/>
              </w:rPr>
              <w:t>以通讯方式参 加董事会次数</w:t>
            </w:r>
          </w:p>
        </w:tc>
        <w:tc>
          <w:tcPr>
            <w:tcW w:w="11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9" w:lineRule="auto"/>
              <w:ind w:left="306" w:right="35" w:hanging="270"/>
              <w:jc w:val="left"/>
              <w:rPr>
                <w:rFonts w:ascii="宋体" w:hAnsi="宋体" w:cs="宋体" w:eastAsia="宋体" w:hint="default"/>
                <w:sz w:val="18"/>
                <w:szCs w:val="18"/>
              </w:rPr>
            </w:pPr>
            <w:r>
              <w:rPr>
                <w:rFonts w:ascii="宋体" w:hAnsi="宋体" w:cs="宋体" w:eastAsia="宋体" w:hint="default"/>
                <w:sz w:val="18"/>
                <w:szCs w:val="18"/>
              </w:rPr>
              <w:t>委托出席董事 会次数</w:t>
            </w:r>
          </w:p>
        </w:tc>
        <w:tc>
          <w:tcPr>
            <w:tcW w:w="11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9" w:lineRule="auto"/>
              <w:ind w:left="485" w:right="35" w:hanging="450"/>
              <w:jc w:val="left"/>
              <w:rPr>
                <w:rFonts w:ascii="宋体" w:hAnsi="宋体" w:cs="宋体" w:eastAsia="宋体" w:hint="default"/>
                <w:sz w:val="18"/>
                <w:szCs w:val="18"/>
              </w:rPr>
            </w:pPr>
            <w:r>
              <w:rPr>
                <w:rFonts w:ascii="宋体" w:hAnsi="宋体" w:cs="宋体" w:eastAsia="宋体" w:hint="default"/>
                <w:sz w:val="18"/>
                <w:szCs w:val="18"/>
              </w:rPr>
              <w:t>缺席董事会次 数</w:t>
            </w:r>
          </w:p>
        </w:tc>
        <w:tc>
          <w:tcPr>
            <w:tcW w:w="11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9" w:lineRule="auto" w:before="51"/>
              <w:ind w:left="36" w:right="35"/>
              <w:jc w:val="center"/>
              <w:rPr>
                <w:rFonts w:ascii="宋体" w:hAnsi="宋体" w:cs="宋体" w:eastAsia="宋体" w:hint="default"/>
                <w:sz w:val="18"/>
                <w:szCs w:val="18"/>
              </w:rPr>
            </w:pPr>
            <w:r>
              <w:rPr>
                <w:rFonts w:ascii="宋体" w:hAnsi="宋体" w:cs="宋体" w:eastAsia="宋体" w:hint="default"/>
                <w:sz w:val="18"/>
                <w:szCs w:val="18"/>
              </w:rPr>
              <w:t>是否连续两次 未亲自参加董 事会会议</w:t>
            </w:r>
          </w:p>
        </w:tc>
        <w:tc>
          <w:tcPr>
            <w:tcW w:w="116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9" w:lineRule="auto"/>
              <w:ind w:left="396" w:right="35" w:hanging="360"/>
              <w:jc w:val="left"/>
              <w:rPr>
                <w:rFonts w:ascii="宋体" w:hAnsi="宋体" w:cs="宋体" w:eastAsia="宋体" w:hint="default"/>
                <w:sz w:val="18"/>
                <w:szCs w:val="18"/>
              </w:rPr>
            </w:pPr>
            <w:r>
              <w:rPr>
                <w:rFonts w:ascii="宋体" w:hAnsi="宋体" w:cs="宋体" w:eastAsia="宋体" w:hint="default"/>
                <w:sz w:val="18"/>
                <w:szCs w:val="18"/>
              </w:rPr>
              <w:t>出席股东大会 次数</w:t>
            </w:r>
          </w:p>
        </w:tc>
      </w:tr>
      <w:tr>
        <w:trPr>
          <w:trHeight w:val="402" w:hRule="exact"/>
        </w:trPr>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虞世全</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486"/>
              <w:jc w:val="right"/>
              <w:rPr>
                <w:rFonts w:ascii="Times New Roman" w:hAnsi="Times New Roman" w:cs="Times New Roman" w:eastAsia="Times New Roman" w:hint="default"/>
                <w:sz w:val="18"/>
                <w:szCs w:val="18"/>
              </w:rPr>
            </w:pPr>
            <w:r>
              <w:rPr>
                <w:rFonts w:ascii="Times New Roman"/>
                <w:sz w:val="18"/>
              </w:rPr>
              <w:t>38</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3</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35</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31" w:right="0"/>
              <w:jc w:val="lef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1</w:t>
            </w:r>
          </w:p>
        </w:tc>
      </w:tr>
      <w:tr>
        <w:trPr>
          <w:trHeight w:val="402" w:hRule="exact"/>
        </w:trPr>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蓝庆新</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486"/>
              <w:jc w:val="right"/>
              <w:rPr>
                <w:rFonts w:ascii="Times New Roman" w:hAnsi="Times New Roman" w:cs="Times New Roman" w:eastAsia="Times New Roman" w:hint="default"/>
                <w:sz w:val="18"/>
                <w:szCs w:val="18"/>
              </w:rPr>
            </w:pPr>
            <w:r>
              <w:rPr>
                <w:rFonts w:ascii="Times New Roman"/>
                <w:sz w:val="18"/>
              </w:rPr>
              <w:t>38</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3</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35</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31" w:right="0"/>
              <w:jc w:val="lef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5</w:t>
            </w:r>
          </w:p>
        </w:tc>
      </w:tr>
      <w:tr>
        <w:trPr>
          <w:trHeight w:val="402" w:hRule="exact"/>
        </w:trPr>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吴中海</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486"/>
              <w:jc w:val="right"/>
              <w:rPr>
                <w:rFonts w:ascii="Times New Roman" w:hAnsi="Times New Roman" w:cs="Times New Roman" w:eastAsia="Times New Roman" w:hint="default"/>
                <w:sz w:val="18"/>
                <w:szCs w:val="18"/>
              </w:rPr>
            </w:pPr>
            <w:r>
              <w:rPr>
                <w:rFonts w:ascii="Times New Roman"/>
                <w:sz w:val="18"/>
              </w:rPr>
              <w:t>27</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3</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24</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31" w:right="0"/>
              <w:jc w:val="lef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2</w:t>
            </w:r>
          </w:p>
        </w:tc>
      </w:tr>
      <w:tr>
        <w:trPr>
          <w:trHeight w:val="402" w:hRule="exact"/>
        </w:trPr>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冯科（已离任）</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497"/>
              <w:jc w:val="right"/>
              <w:rPr>
                <w:rFonts w:ascii="Times New Roman" w:hAnsi="Times New Roman" w:cs="Times New Roman" w:eastAsia="Times New Roman" w:hint="default"/>
                <w:sz w:val="18"/>
                <w:szCs w:val="18"/>
              </w:rPr>
            </w:pPr>
            <w:r>
              <w:rPr>
                <w:rFonts w:ascii="Times New Roman"/>
                <w:spacing w:val="-8"/>
                <w:sz w:val="18"/>
              </w:rPr>
              <w:t>11</w:t>
            </w:r>
            <w:r>
              <w:rPr>
                <w:rFonts w:ascii="Times New Roman"/>
                <w:sz w:val="18"/>
              </w:rPr>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6"/>
              <w:jc w:val="center"/>
              <w:rPr>
                <w:rFonts w:ascii="Times New Roman" w:hAnsi="Times New Roman" w:cs="Times New Roman" w:eastAsia="Times New Roman" w:hint="default"/>
                <w:sz w:val="18"/>
                <w:szCs w:val="18"/>
              </w:rPr>
            </w:pPr>
            <w:r>
              <w:rPr>
                <w:rFonts w:ascii="Times New Roman"/>
                <w:spacing w:val="-8"/>
                <w:sz w:val="18"/>
              </w:rPr>
              <w:t>11</w:t>
            </w:r>
            <w:r>
              <w:rPr>
                <w:rFonts w:ascii="Times New Roman"/>
                <w:sz w:val="18"/>
              </w:rPr>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31" w:right="0"/>
              <w:jc w:val="lef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1</w:t>
            </w:r>
          </w:p>
        </w:tc>
      </w:tr>
    </w:tbl>
    <w:p>
      <w:pPr>
        <w:spacing w:line="360" w:lineRule="auto" w:before="51"/>
        <w:ind w:left="513" w:right="8051" w:hanging="360"/>
        <w:jc w:val="left"/>
        <w:rPr>
          <w:rFonts w:ascii="宋体" w:hAnsi="宋体" w:cs="宋体" w:eastAsia="宋体" w:hint="default"/>
          <w:sz w:val="18"/>
          <w:szCs w:val="18"/>
        </w:rPr>
      </w:pPr>
      <w:r>
        <w:rPr>
          <w:rFonts w:ascii="宋体" w:hAnsi="宋体" w:cs="宋体" w:eastAsia="宋体" w:hint="default"/>
          <w:sz w:val="18"/>
          <w:szCs w:val="18"/>
        </w:rPr>
        <w:t>连续两次未亲自出席董事会的说明 不适用。</w:t>
      </w:r>
    </w:p>
    <w:p>
      <w:pPr>
        <w:spacing w:line="240" w:lineRule="auto" w:before="4"/>
        <w:rPr>
          <w:rFonts w:ascii="宋体" w:hAnsi="宋体" w:cs="宋体" w:eastAsia="宋体" w:hint="default"/>
          <w:sz w:val="15"/>
          <w:szCs w:val="15"/>
        </w:rPr>
      </w:pPr>
    </w:p>
    <w:p>
      <w:pPr>
        <w:pStyle w:val="Heading5"/>
        <w:spacing w:line="240" w:lineRule="auto" w:before="0"/>
        <w:ind w:left="154" w:right="0"/>
        <w:jc w:val="left"/>
        <w:rPr>
          <w:b w:val="0"/>
          <w:bCs w:val="0"/>
        </w:rPr>
      </w:pPr>
      <w:r>
        <w:rPr>
          <w:rFonts w:ascii="Times New Roman" w:hAnsi="Times New Roman" w:cs="Times New Roman" w:eastAsia="Times New Roman" w:hint="default"/>
        </w:rPr>
        <w:t>2</w:t>
      </w:r>
      <w:r>
        <w:rPr/>
        <w:t>、独立董事对公司有关事项提出异议的情况</w:t>
      </w:r>
      <w:r>
        <w:rPr>
          <w:b w:val="0"/>
          <w:bCs w:val="0"/>
        </w:rPr>
      </w:r>
    </w:p>
    <w:p>
      <w:pPr>
        <w:spacing w:line="240" w:lineRule="auto" w:before="0"/>
        <w:rPr>
          <w:rFonts w:ascii="宋体" w:hAnsi="宋体" w:cs="宋体" w:eastAsia="宋体" w:hint="default"/>
          <w:b/>
          <w:bCs/>
          <w:sz w:val="22"/>
          <w:szCs w:val="22"/>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独立董事对公司有关事项是否提出异议</w:t>
      </w:r>
    </w:p>
    <w:p>
      <w:pPr>
        <w:spacing w:before="116"/>
        <w:ind w:left="153" w:right="0" w:firstLine="0"/>
        <w:jc w:val="left"/>
        <w:rPr>
          <w:rFonts w:ascii="宋体" w:hAnsi="宋体" w:cs="宋体" w:eastAsia="宋体" w:hint="default"/>
          <w:sz w:val="18"/>
          <w:szCs w:val="18"/>
        </w:rPr>
      </w:pPr>
      <w:r>
        <w:rPr>
          <w:rFonts w:ascii="宋体" w:hAnsi="宋体" w:cs="宋体" w:eastAsia="宋体" w:hint="default"/>
          <w:sz w:val="18"/>
          <w:szCs w:val="18"/>
        </w:rPr>
        <w:t>□ 是 √ 否</w:t>
      </w:r>
    </w:p>
    <w:p>
      <w:pPr>
        <w:spacing w:before="117"/>
        <w:ind w:left="513" w:right="0" w:firstLine="0"/>
        <w:jc w:val="left"/>
        <w:rPr>
          <w:rFonts w:ascii="宋体" w:hAnsi="宋体" w:cs="宋体" w:eastAsia="宋体" w:hint="default"/>
          <w:sz w:val="18"/>
          <w:szCs w:val="18"/>
        </w:rPr>
      </w:pPr>
      <w:r>
        <w:rPr>
          <w:rFonts w:ascii="宋体" w:hAnsi="宋体" w:cs="宋体" w:eastAsia="宋体" w:hint="default"/>
          <w:sz w:val="18"/>
          <w:szCs w:val="18"/>
        </w:rPr>
        <w:t>报告期内独立董事对公司有关事项未提出异议。</w:t>
      </w:r>
    </w:p>
    <w:p>
      <w:pPr>
        <w:spacing w:line="240" w:lineRule="auto" w:before="2"/>
        <w:rPr>
          <w:rFonts w:ascii="宋体" w:hAnsi="宋体" w:cs="宋体" w:eastAsia="宋体" w:hint="default"/>
          <w:sz w:val="22"/>
          <w:szCs w:val="22"/>
        </w:rPr>
      </w:pPr>
    </w:p>
    <w:p>
      <w:pPr>
        <w:pStyle w:val="Heading5"/>
        <w:spacing w:line="240" w:lineRule="auto" w:before="0"/>
        <w:ind w:left="154" w:right="0"/>
        <w:jc w:val="left"/>
        <w:rPr>
          <w:b w:val="0"/>
          <w:bCs w:val="0"/>
        </w:rPr>
      </w:pPr>
      <w:r>
        <w:rPr>
          <w:rFonts w:ascii="Times New Roman" w:hAnsi="Times New Roman" w:cs="Times New Roman" w:eastAsia="Times New Roman" w:hint="default"/>
        </w:rPr>
        <w:t>3</w:t>
      </w:r>
      <w:r>
        <w:rPr/>
        <w:t>、独立董事履行职责的其他说明</w:t>
      </w:r>
      <w:r>
        <w:rPr>
          <w:b w:val="0"/>
          <w:bCs w:val="0"/>
        </w:rPr>
      </w:r>
    </w:p>
    <w:p>
      <w:pPr>
        <w:spacing w:line="240" w:lineRule="auto" w:before="0"/>
        <w:rPr>
          <w:rFonts w:ascii="宋体" w:hAnsi="宋体" w:cs="宋体" w:eastAsia="宋体" w:hint="default"/>
          <w:b/>
          <w:bCs/>
          <w:sz w:val="22"/>
          <w:szCs w:val="22"/>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独立董事对公司有关建议是否被采纳</w:t>
      </w:r>
    </w:p>
    <w:p>
      <w:pPr>
        <w:spacing w:line="357" w:lineRule="auto" w:before="116"/>
        <w:ind w:left="153" w:right="6791" w:firstLine="0"/>
        <w:jc w:val="left"/>
        <w:rPr>
          <w:rFonts w:ascii="宋体" w:hAnsi="宋体" w:cs="宋体" w:eastAsia="宋体" w:hint="default"/>
          <w:sz w:val="18"/>
          <w:szCs w:val="18"/>
        </w:rPr>
      </w:pPr>
      <w:r>
        <w:rPr>
          <w:rFonts w:ascii="宋体" w:hAnsi="宋体" w:cs="宋体" w:eastAsia="宋体" w:hint="default"/>
          <w:sz w:val="18"/>
          <w:szCs w:val="18"/>
        </w:rPr>
        <w:t>√ 是 □ 否 独立董事对公司有关建议被采纳或未被采纳的说明</w:t>
      </w:r>
    </w:p>
    <w:p>
      <w:pPr>
        <w:spacing w:line="314" w:lineRule="auto" w:before="28"/>
        <w:ind w:left="153" w:right="1041" w:firstLine="360"/>
        <w:jc w:val="left"/>
        <w:rPr>
          <w:rFonts w:ascii="宋体" w:hAnsi="宋体" w:cs="宋体" w:eastAsia="宋体" w:hint="default"/>
          <w:sz w:val="18"/>
          <w:szCs w:val="18"/>
        </w:rPr>
      </w:pPr>
      <w:r>
        <w:rPr>
          <w:rFonts w:ascii="宋体" w:hAnsi="宋体" w:cs="宋体" w:eastAsia="宋体" w:hint="default"/>
          <w:spacing w:val="-2"/>
          <w:sz w:val="18"/>
          <w:szCs w:val="18"/>
        </w:rPr>
        <w:t>报告期内，独立董事认真参加董事会和列席股东大会，积极了解公司的运作情况，为公司管理层出谋划策，就公司股权</w:t>
      </w:r>
      <w:r>
        <w:rPr>
          <w:rFonts w:ascii="宋体" w:hAnsi="宋体" w:cs="宋体" w:eastAsia="宋体" w:hint="default"/>
          <w:sz w:val="18"/>
          <w:szCs w:val="18"/>
        </w:rPr>
        <w:t> </w:t>
      </w:r>
      <w:r>
        <w:rPr>
          <w:rFonts w:ascii="宋体" w:hAnsi="宋体" w:cs="宋体" w:eastAsia="宋体" w:hint="default"/>
          <w:spacing w:val="-4"/>
          <w:sz w:val="18"/>
          <w:szCs w:val="18"/>
        </w:rPr>
        <w:t>激励、关联交易、股权收购、股权出售、资产购买、董事候选人、聘任及任免高级管理人员、董事及高级管理人员薪酬待遇、</w:t>
      </w:r>
      <w:r>
        <w:rPr>
          <w:rFonts w:ascii="宋体" w:hAnsi="宋体" w:cs="宋体" w:eastAsia="宋体" w:hint="default"/>
          <w:spacing w:val="-48"/>
          <w:sz w:val="18"/>
          <w:szCs w:val="18"/>
        </w:rPr>
        <w:t> </w:t>
      </w:r>
      <w:r>
        <w:rPr>
          <w:rFonts w:ascii="宋体" w:hAnsi="宋体" w:cs="宋体" w:eastAsia="宋体" w:hint="default"/>
          <w:spacing w:val="-48"/>
          <w:sz w:val="18"/>
          <w:szCs w:val="18"/>
        </w:rPr>
      </w:r>
      <w:r>
        <w:rPr>
          <w:rFonts w:ascii="宋体" w:hAnsi="宋体" w:cs="宋体" w:eastAsia="宋体" w:hint="default"/>
          <w:spacing w:val="-2"/>
          <w:sz w:val="18"/>
          <w:szCs w:val="18"/>
        </w:rPr>
        <w:t>股东回报规划（</w:t>
      </w:r>
      <w:r>
        <w:rPr>
          <w:rFonts w:ascii="Times New Roman" w:hAnsi="Times New Roman" w:cs="Times New Roman" w:eastAsia="Times New Roman" w:hint="default"/>
          <w:spacing w:val="-2"/>
          <w:sz w:val="18"/>
          <w:szCs w:val="18"/>
        </w:rPr>
        <w:t>2018-2020</w:t>
      </w:r>
      <w:r>
        <w:rPr>
          <w:rFonts w:ascii="宋体" w:hAnsi="宋体" w:cs="宋体" w:eastAsia="宋体" w:hint="default"/>
          <w:spacing w:val="-2"/>
          <w:sz w:val="18"/>
          <w:szCs w:val="18"/>
        </w:rPr>
        <w:t>）、担保、内部控制评价、计提资产减值准备及核销、委托理财、业绩承诺实现情况及补偿方案、</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pacing w:val="-2"/>
          <w:sz w:val="18"/>
          <w:szCs w:val="18"/>
        </w:rPr>
        <w:t>利润分配、原长城信息募集资金存放与使用以及变更募集资金投资项目、合并范围变化及追溯调整、会计政策变更、证券投</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资、关联方资金占用、聘任审计单位等方面发表了独立的专业意见，为促进公司董事会科学决策、维护社会公众股东权益发</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挥了积极作用。</w:t>
      </w:r>
    </w:p>
    <w:p>
      <w:pPr>
        <w:spacing w:before="60"/>
        <w:ind w:left="514" w:right="0" w:firstLine="0"/>
        <w:jc w:val="left"/>
        <w:rPr>
          <w:rFonts w:ascii="宋体" w:hAnsi="宋体" w:cs="宋体" w:eastAsia="宋体" w:hint="default"/>
          <w:sz w:val="18"/>
          <w:szCs w:val="18"/>
        </w:rPr>
      </w:pPr>
      <w:r>
        <w:rPr>
          <w:rFonts w:ascii="宋体" w:hAnsi="宋体" w:cs="宋体" w:eastAsia="宋体" w:hint="default"/>
          <w:sz w:val="18"/>
          <w:szCs w:val="18"/>
        </w:rPr>
        <w:t>公司对独立董事关于经营发展及公司治理等各方面意见均积极听取，并予以采纳。</w:t>
      </w:r>
    </w:p>
    <w:p>
      <w:pPr>
        <w:spacing w:line="240" w:lineRule="auto" w:before="13"/>
        <w:rPr>
          <w:rFonts w:ascii="宋体" w:hAnsi="宋体" w:cs="宋体" w:eastAsia="宋体" w:hint="default"/>
          <w:sz w:val="24"/>
          <w:szCs w:val="24"/>
        </w:rPr>
      </w:pPr>
    </w:p>
    <w:p>
      <w:pPr>
        <w:pStyle w:val="Heading4"/>
        <w:spacing w:line="240" w:lineRule="auto"/>
        <w:ind w:right="0"/>
        <w:jc w:val="left"/>
        <w:rPr>
          <w:b w:val="0"/>
          <w:bCs w:val="0"/>
        </w:rPr>
      </w:pPr>
      <w:r>
        <w:rPr/>
        <w:t>七、董事会下设专门委员会在报告期内履行职责情况</w:t>
      </w:r>
      <w:r>
        <w:rPr>
          <w:b w:val="0"/>
          <w:bCs w:val="0"/>
        </w:rPr>
      </w:r>
    </w:p>
    <w:p>
      <w:pPr>
        <w:spacing w:line="240" w:lineRule="auto" w:before="7"/>
        <w:rPr>
          <w:rFonts w:ascii="宋体" w:hAnsi="宋体" w:cs="宋体" w:eastAsia="宋体" w:hint="default"/>
          <w:b/>
          <w:bCs/>
          <w:sz w:val="26"/>
          <w:szCs w:val="26"/>
        </w:rPr>
      </w:pPr>
    </w:p>
    <w:p>
      <w:pPr>
        <w:spacing w:line="312" w:lineRule="auto" w:before="0"/>
        <w:ind w:left="154" w:right="0" w:firstLine="360"/>
        <w:jc w:val="left"/>
        <w:rPr>
          <w:rFonts w:ascii="宋体" w:hAnsi="宋体" w:cs="宋体" w:eastAsia="宋体" w:hint="default"/>
          <w:sz w:val="18"/>
          <w:szCs w:val="18"/>
        </w:rPr>
      </w:pPr>
      <w:r>
        <w:rPr>
          <w:rFonts w:ascii="宋体" w:hAnsi="宋体" w:cs="宋体" w:eastAsia="宋体" w:hint="default"/>
          <w:spacing w:val="-2"/>
          <w:sz w:val="18"/>
          <w:szCs w:val="18"/>
        </w:rPr>
        <w:t>董事会各专门委员会充分发挥其专业职能，在董事会闭会期间或会议前对相关事项积极进行研究和讨论，为董事会科学</w:t>
      </w:r>
      <w:r>
        <w:rPr>
          <w:rFonts w:ascii="宋体" w:hAnsi="宋体" w:cs="宋体" w:eastAsia="宋体" w:hint="default"/>
          <w:sz w:val="18"/>
          <w:szCs w:val="18"/>
        </w:rPr>
        <w:t> 高效地决策提供了有力保障。</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年度，公司持续加强董事会专门委员会与董事会之间、董事会专门委员会与经营班子之</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4"/>
          <w:sz w:val="18"/>
          <w:szCs w:val="18"/>
        </w:rPr>
        <w:t>间、各专门委员会成员之间的沟通和交流，董事会专门委员会在公司章程和相关议事规则规定的职权范围内，发挥专业所长，</w:t>
      </w:r>
      <w:r>
        <w:rPr>
          <w:rFonts w:ascii="宋体" w:hAnsi="宋体" w:cs="宋体" w:eastAsia="宋体" w:hint="default"/>
          <w:spacing w:val="-44"/>
          <w:sz w:val="18"/>
          <w:szCs w:val="18"/>
        </w:rPr>
        <w:t> </w:t>
      </w:r>
      <w:r>
        <w:rPr>
          <w:rFonts w:ascii="宋体" w:hAnsi="宋体" w:cs="宋体" w:eastAsia="宋体" w:hint="default"/>
          <w:spacing w:val="-44"/>
          <w:sz w:val="18"/>
          <w:szCs w:val="18"/>
        </w:rPr>
      </w:r>
      <w:r>
        <w:rPr>
          <w:rFonts w:ascii="宋体" w:hAnsi="宋体" w:cs="宋体" w:eastAsia="宋体" w:hint="default"/>
          <w:sz w:val="18"/>
          <w:szCs w:val="18"/>
        </w:rPr>
        <w:t>协助董事会开展工作，积极建言献策。</w:t>
      </w:r>
    </w:p>
    <w:p>
      <w:pPr>
        <w:spacing w:before="62"/>
        <w:ind w:left="514" w:right="0" w:firstLine="0"/>
        <w:jc w:val="left"/>
        <w:rPr>
          <w:rFonts w:ascii="宋体" w:hAnsi="宋体" w:cs="宋体" w:eastAsia="宋体" w:hint="default"/>
          <w:sz w:val="18"/>
          <w:szCs w:val="18"/>
        </w:rPr>
      </w:pPr>
      <w:r>
        <w:rPr>
          <w:rFonts w:ascii="宋体" w:hAnsi="宋体" w:cs="宋体" w:eastAsia="宋体" w:hint="default"/>
          <w:sz w:val="18"/>
          <w:szCs w:val="18"/>
        </w:rPr>
        <w:t>（一）董事会审计委员会履职情况</w:t>
      </w:r>
    </w:p>
    <w:p>
      <w:pPr>
        <w:spacing w:line="302" w:lineRule="auto" w:before="116"/>
        <w:ind w:left="153" w:right="1119" w:firstLine="360"/>
        <w:jc w:val="left"/>
        <w:rPr>
          <w:rFonts w:ascii="宋体" w:hAnsi="宋体" w:cs="宋体" w:eastAsia="宋体" w:hint="default"/>
          <w:sz w:val="18"/>
          <w:szCs w:val="18"/>
        </w:rPr>
      </w:pPr>
      <w:r>
        <w:rPr>
          <w:rFonts w:ascii="宋体" w:hAnsi="宋体" w:cs="宋体" w:eastAsia="宋体" w:hint="default"/>
          <w:sz w:val="18"/>
          <w:szCs w:val="18"/>
        </w:rPr>
        <w:t>董事会审计委员会成立于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2008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月，由</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名董事组成，其中</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名为独立董事，主任委员由专业会计人士担任。报告 </w:t>
      </w:r>
      <w:r>
        <w:rPr>
          <w:rFonts w:ascii="宋体" w:hAnsi="宋体" w:cs="宋体" w:eastAsia="宋体" w:hint="default"/>
          <w:spacing w:val="-3"/>
          <w:sz w:val="18"/>
          <w:szCs w:val="18"/>
        </w:rPr>
        <w:t>期内，公司董事会审计委员会的成员为虞世全先生（主任委员）、张志勇先生、蓝庆新先生。</w:t>
      </w:r>
    </w:p>
    <w:p>
      <w:pPr>
        <w:spacing w:after="0" w:line="302" w:lineRule="auto"/>
        <w:jc w:val="left"/>
        <w:rPr>
          <w:rFonts w:ascii="宋体" w:hAnsi="宋体" w:cs="宋体" w:eastAsia="宋体" w:hint="default"/>
          <w:sz w:val="18"/>
          <w:szCs w:val="18"/>
        </w:rPr>
        <w:sectPr>
          <w:pgSz w:w="11910" w:h="16840"/>
          <w:pgMar w:header="787" w:footer="982" w:top="1100" w:bottom="1180" w:left="980" w:right="0"/>
        </w:sectPr>
      </w:pPr>
    </w:p>
    <w:p>
      <w:pPr>
        <w:spacing w:line="240" w:lineRule="auto" w:before="10"/>
        <w:rPr>
          <w:rFonts w:ascii="宋体" w:hAnsi="宋体" w:cs="宋体" w:eastAsia="宋体" w:hint="default"/>
          <w:sz w:val="22"/>
          <w:szCs w:val="22"/>
        </w:rPr>
      </w:pPr>
    </w:p>
    <w:p>
      <w:pPr>
        <w:spacing w:line="319" w:lineRule="auto" w:before="44"/>
        <w:ind w:left="154" w:right="0" w:firstLine="360"/>
        <w:jc w:val="left"/>
        <w:rPr>
          <w:rFonts w:ascii="宋体" w:hAnsi="宋体" w:cs="宋体" w:eastAsia="宋体" w:hint="default"/>
          <w:sz w:val="18"/>
          <w:szCs w:val="18"/>
        </w:rPr>
      </w:pPr>
      <w:r>
        <w:rPr>
          <w:rFonts w:ascii="宋体" w:hAnsi="宋体" w:cs="宋体" w:eastAsia="宋体" w:hint="default"/>
          <w:spacing w:val="-2"/>
          <w:sz w:val="18"/>
          <w:szCs w:val="18"/>
        </w:rPr>
        <w:t>报告期内，董事会审计委员会根据中国证监会、深交所及公司《董事会审计委员会工作条例》等相关规定，本着勤勉尽</w:t>
      </w:r>
      <w:r>
        <w:rPr>
          <w:rFonts w:ascii="宋体" w:hAnsi="宋体" w:cs="宋体" w:eastAsia="宋体" w:hint="default"/>
          <w:sz w:val="18"/>
          <w:szCs w:val="18"/>
        </w:rPr>
        <w:t> 责的原则，认真履职和开展工作，履行了以下工作职责：</w:t>
      </w:r>
    </w:p>
    <w:p>
      <w:pPr>
        <w:spacing w:before="56"/>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、在财务报告方面</w:t>
      </w:r>
    </w:p>
    <w:p>
      <w:pPr>
        <w:spacing w:before="102"/>
        <w:ind w:left="514" w:right="0" w:firstLine="0"/>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）认真审阅了公司</w:t>
      </w:r>
      <w:r>
        <w:rPr>
          <w:rFonts w:ascii="宋体" w:hAnsi="宋体" w:cs="宋体" w:eastAsia="宋体" w:hint="default"/>
          <w:spacing w:val="-73"/>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8"/>
          <w:sz w:val="18"/>
          <w:szCs w:val="18"/>
        </w:rPr>
        <w:t> </w:t>
      </w:r>
      <w:r>
        <w:rPr>
          <w:rFonts w:ascii="宋体" w:hAnsi="宋体" w:cs="宋体" w:eastAsia="宋体" w:hint="default"/>
          <w:sz w:val="18"/>
          <w:szCs w:val="18"/>
        </w:rPr>
        <w:t>年度审计工作计划及相关资料，与负责公司年度审计工作的大信会计师事务所（特殊普通合</w:t>
      </w:r>
    </w:p>
    <w:p>
      <w:pPr>
        <w:spacing w:before="64"/>
        <w:ind w:left="154" w:right="0" w:firstLine="0"/>
        <w:jc w:val="both"/>
        <w:rPr>
          <w:rFonts w:ascii="宋体" w:hAnsi="宋体" w:cs="宋体" w:eastAsia="宋体" w:hint="default"/>
          <w:sz w:val="18"/>
          <w:szCs w:val="18"/>
        </w:rPr>
      </w:pPr>
      <w:r>
        <w:rPr>
          <w:rFonts w:ascii="宋体" w:hAnsi="宋体" w:cs="宋体" w:eastAsia="宋体" w:hint="default"/>
          <w:sz w:val="18"/>
          <w:szCs w:val="18"/>
        </w:rPr>
        <w:t>伙）商定了公司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年度财务报告审计工作的时间安排；</w:t>
      </w:r>
    </w:p>
    <w:p>
      <w:pPr>
        <w:spacing w:before="102"/>
        <w:ind w:left="514"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）审阅了公司编制的未经审计的财务会计报告，并出具了书面意见；</w:t>
      </w:r>
    </w:p>
    <w:p>
      <w:pPr>
        <w:spacing w:before="102"/>
        <w:ind w:left="514"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）不断加强与年审会计师的沟通，曾两次发函督促其在约定时限内提交审计报告；</w:t>
      </w:r>
    </w:p>
    <w:p>
      <w:pPr>
        <w:spacing w:before="103"/>
        <w:ind w:left="514"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）听取了公司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年度财务工作总结并作了相关评价；</w:t>
      </w:r>
    </w:p>
    <w:p>
      <w:pPr>
        <w:spacing w:line="302" w:lineRule="auto" w:before="101"/>
        <w:ind w:left="154" w:right="1112" w:firstLine="36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z w:val="18"/>
          <w:szCs w:val="18"/>
        </w:rPr>
        <w:t>）公司年审注册会计师出具初步审计意见后，董事会审计委员会再一次审阅了公司</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3"/>
          <w:sz w:val="18"/>
          <w:szCs w:val="18"/>
        </w:rPr>
        <w:t> </w:t>
      </w:r>
      <w:r>
        <w:rPr>
          <w:rFonts w:ascii="宋体" w:hAnsi="宋体" w:cs="宋体" w:eastAsia="宋体" w:hint="default"/>
          <w:spacing w:val="-3"/>
          <w:sz w:val="18"/>
          <w:szCs w:val="18"/>
        </w:rPr>
        <w:t>年度财务会计报告，并形成</w:t>
      </w:r>
      <w:r>
        <w:rPr>
          <w:rFonts w:ascii="宋体" w:hAnsi="宋体" w:cs="宋体" w:eastAsia="宋体" w:hint="default"/>
          <w:sz w:val="18"/>
          <w:szCs w:val="18"/>
        </w:rPr>
        <w:t> 了书面意见；</w:t>
      </w:r>
    </w:p>
    <w:p>
      <w:pPr>
        <w:spacing w:line="302" w:lineRule="auto" w:before="68"/>
        <w:ind w:left="154" w:right="1116" w:firstLine="36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6</w:t>
      </w:r>
      <w:r>
        <w:rPr>
          <w:rFonts w:ascii="宋体" w:hAnsi="宋体" w:cs="宋体" w:eastAsia="宋体" w:hint="default"/>
          <w:sz w:val="18"/>
          <w:szCs w:val="18"/>
        </w:rPr>
        <w:t>）在大信出具</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年度审计报告后，董事会审计委员会召开会议，对大信从事</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年度公司的审计工作进行了总 结，并就公司年度财务会计报表进行表决并形成决议；</w:t>
      </w:r>
    </w:p>
    <w:p>
      <w:pPr>
        <w:spacing w:before="70"/>
        <w:ind w:left="514"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7</w:t>
      </w:r>
      <w:r>
        <w:rPr>
          <w:rFonts w:ascii="宋体" w:hAnsi="宋体" w:cs="宋体" w:eastAsia="宋体" w:hint="default"/>
          <w:sz w:val="18"/>
          <w:szCs w:val="18"/>
        </w:rPr>
        <w:t>）对公司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年一季报、半年报、三季报进行审阅并发表意见；</w:t>
      </w:r>
    </w:p>
    <w:p>
      <w:pPr>
        <w:spacing w:line="309" w:lineRule="auto" w:before="101"/>
        <w:ind w:left="154" w:right="1041" w:firstLine="360"/>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8</w:t>
      </w:r>
      <w:r>
        <w:rPr>
          <w:rFonts w:ascii="宋体" w:hAnsi="宋体" w:cs="宋体" w:eastAsia="宋体" w:hint="default"/>
          <w:sz w:val="18"/>
          <w:szCs w:val="18"/>
        </w:rPr>
        <w:t>）对公司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年度财务决算报告、</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年度财务预算报告、计提资产减值准备及核销、合并范围变化及相关数据 </w:t>
      </w:r>
      <w:r>
        <w:rPr>
          <w:rFonts w:ascii="宋体" w:hAnsi="宋体" w:cs="宋体" w:eastAsia="宋体" w:hint="default"/>
          <w:spacing w:val="-2"/>
          <w:sz w:val="18"/>
          <w:szCs w:val="18"/>
        </w:rPr>
        <w:t>追溯调整、业绩承诺实现情况、根据财政部规定进行会计政策变更、募集资金存放与使用、聘请财务审计单位及内部控制审</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4"/>
          <w:sz w:val="18"/>
          <w:szCs w:val="18"/>
        </w:rPr>
        <w:t>计单位、部分闲置募集资金暂时补充流动资金、修订《资产减值准备计提与资产核销管理办法》等事项分别形成了书面决议。</w:t>
      </w:r>
    </w:p>
    <w:p>
      <w:pPr>
        <w:spacing w:before="64"/>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、在内部控制方面</w:t>
      </w:r>
    </w:p>
    <w:p>
      <w:pPr>
        <w:spacing w:before="103"/>
        <w:ind w:left="514"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）听取了公司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年度内部审计工作总结并作了相关评价，审议了公司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年度内部审计工作计划；</w:t>
      </w:r>
    </w:p>
    <w:p>
      <w:pPr>
        <w:spacing w:line="302" w:lineRule="auto" w:before="101"/>
        <w:ind w:left="154" w:right="1120" w:firstLine="36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）保持与内部控制建设部门和评价部门的沟通，通过电话、见面会的方式了解公司内部控制体系建设的进展、自查 和整改情况，审议了公司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年度内部控制评价报告、</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年度内部控制评价工作方案。</w:t>
      </w:r>
    </w:p>
    <w:p>
      <w:pPr>
        <w:spacing w:line="338" w:lineRule="auto" w:before="50"/>
        <w:ind w:left="514" w:right="4816" w:firstLine="0"/>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）根据公司实际情况，同意修订了公司《内部控制评价管理办法》。</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Times New Roman" w:hAnsi="Times New Roman" w:cs="Times New Roman" w:eastAsia="Times New Roman" w:hint="default"/>
          <w:sz w:val="18"/>
          <w:szCs w:val="18"/>
        </w:rPr>
        <w:t>3</w:t>
      </w:r>
      <w:r>
        <w:rPr>
          <w:rFonts w:ascii="宋体" w:hAnsi="宋体" w:cs="宋体" w:eastAsia="宋体" w:hint="default"/>
          <w:sz w:val="18"/>
          <w:szCs w:val="18"/>
        </w:rPr>
        <w:t>、在委员会工作方面 完成了新一届审计委员会的构建并选举了主任委员。</w:t>
      </w:r>
    </w:p>
    <w:p>
      <w:pPr>
        <w:spacing w:before="42"/>
        <w:ind w:left="514" w:right="0" w:firstLine="0"/>
        <w:jc w:val="left"/>
        <w:rPr>
          <w:rFonts w:ascii="宋体" w:hAnsi="宋体" w:cs="宋体" w:eastAsia="宋体" w:hint="default"/>
          <w:sz w:val="18"/>
          <w:szCs w:val="18"/>
        </w:rPr>
      </w:pPr>
      <w:r>
        <w:rPr>
          <w:rFonts w:ascii="宋体" w:hAnsi="宋体" w:cs="宋体" w:eastAsia="宋体" w:hint="default"/>
          <w:sz w:val="18"/>
          <w:szCs w:val="18"/>
        </w:rPr>
        <w:t>（二）董事会战略委员会履职情况</w:t>
      </w:r>
    </w:p>
    <w:p>
      <w:pPr>
        <w:spacing w:before="116"/>
        <w:ind w:left="514" w:right="0" w:firstLine="0"/>
        <w:jc w:val="left"/>
        <w:rPr>
          <w:rFonts w:ascii="宋体" w:hAnsi="宋体" w:cs="宋体" w:eastAsia="宋体" w:hint="default"/>
          <w:sz w:val="18"/>
          <w:szCs w:val="18"/>
        </w:rPr>
      </w:pPr>
      <w:r>
        <w:rPr>
          <w:rFonts w:ascii="宋体" w:hAnsi="宋体" w:cs="宋体" w:eastAsia="宋体" w:hint="default"/>
          <w:sz w:val="18"/>
          <w:szCs w:val="18"/>
        </w:rPr>
        <w:t>董事会战略委员会成立于</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4"/>
          <w:sz w:val="18"/>
          <w:szCs w:val="18"/>
        </w:rPr>
        <w:t> </w:t>
      </w:r>
      <w:r>
        <w:rPr>
          <w:rFonts w:ascii="宋体" w:hAnsi="宋体" w:cs="宋体" w:eastAsia="宋体" w:hint="default"/>
          <w:spacing w:val="-3"/>
          <w:sz w:val="18"/>
          <w:szCs w:val="18"/>
        </w:rPr>
        <w:t>月，由</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名董事组成，其中</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名为独立董事，主任委员由董事长担任。</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p>
    <w:p>
      <w:pPr>
        <w:spacing w:line="307" w:lineRule="auto" w:before="63"/>
        <w:ind w:left="153" w:right="1128" w:firstLine="0"/>
        <w:jc w:val="both"/>
        <w:rPr>
          <w:rFonts w:ascii="宋体" w:hAnsi="宋体" w:cs="宋体" w:eastAsia="宋体" w:hint="default"/>
          <w:sz w:val="18"/>
          <w:szCs w:val="18"/>
        </w:rPr>
      </w:pPr>
      <w:r>
        <w:rPr>
          <w:rFonts w:ascii="宋体" w:hAnsi="宋体" w:cs="宋体" w:eastAsia="宋体" w:hint="default"/>
          <w:spacing w:val="-2"/>
          <w:sz w:val="18"/>
          <w:szCs w:val="18"/>
        </w:rPr>
        <w:t>董事会换届选举后，董事会战略委员会的成员为靳宏荣先生（主任委员）、陈小军先生、李峻先生、吴中海先生；</w:t>
      </w:r>
      <w:r>
        <w:rPr>
          <w:rFonts w:ascii="Times New Roman" w:hAnsi="Times New Roman" w:cs="Times New Roman" w:eastAsia="Times New Roman" w:hint="default"/>
          <w:spacing w:val="-2"/>
          <w:sz w:val="18"/>
          <w:szCs w:val="18"/>
        </w:rPr>
        <w:t>2018</w:t>
      </w:r>
      <w:r>
        <w:rPr>
          <w:rFonts w:ascii="Times New Roman" w:hAnsi="Times New Roman" w:cs="Times New Roman" w:eastAsia="Times New Roman" w:hint="default"/>
          <w:sz w:val="18"/>
          <w:szCs w:val="18"/>
        </w:rPr>
        <w:t> </w:t>
      </w:r>
      <w:r>
        <w:rPr>
          <w:rFonts w:ascii="宋体" w:hAnsi="宋体" w:cs="宋体" w:eastAsia="宋体" w:hint="default"/>
          <w:sz w:val="18"/>
          <w:szCs w:val="18"/>
        </w:rPr>
        <w:t>年</w:t>
      </w:r>
      <w:r>
        <w:rPr>
          <w:rFonts w:ascii="宋体" w:hAnsi="宋体" w:cs="宋体" w:eastAsia="宋体" w:hint="default"/>
          <w:spacing w:val="-21"/>
          <w:sz w:val="18"/>
          <w:szCs w:val="18"/>
        </w:rPr>
        <w:t> </w:t>
      </w:r>
      <w:r>
        <w:rPr>
          <w:rFonts w:ascii="Times New Roman" w:hAnsi="Times New Roman" w:cs="Times New Roman" w:eastAsia="Times New Roman" w:hint="default"/>
          <w:sz w:val="18"/>
          <w:szCs w:val="18"/>
        </w:rPr>
        <w:t>8 </w:t>
      </w:r>
      <w:r>
        <w:rPr>
          <w:rFonts w:ascii="宋体" w:hAnsi="宋体" w:cs="宋体" w:eastAsia="宋体" w:hint="default"/>
          <w:spacing w:val="-2"/>
          <w:sz w:val="18"/>
          <w:szCs w:val="18"/>
        </w:rPr>
        <w:t>月鉴于公司部分董事人员变动，公司董事会选举陈小军先生（主任委员）、徐刚先生、李峻先生、吴中海先生为战略委员会</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委员；</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月鉴于公司部分董事人员变动，公司董事会选举宋黎定先生、徐刚先生、李峻先生、吴中海先生为战略委 员会委员，主任委员由新任董事长宋黎定先生担任。</w:t>
      </w:r>
    </w:p>
    <w:p>
      <w:pPr>
        <w:spacing w:line="319" w:lineRule="auto" w:before="64"/>
        <w:ind w:left="154" w:right="0" w:firstLine="360"/>
        <w:jc w:val="left"/>
        <w:rPr>
          <w:rFonts w:ascii="宋体" w:hAnsi="宋体" w:cs="宋体" w:eastAsia="宋体" w:hint="default"/>
          <w:sz w:val="18"/>
          <w:szCs w:val="18"/>
        </w:rPr>
      </w:pPr>
      <w:r>
        <w:rPr>
          <w:rFonts w:ascii="宋体" w:hAnsi="宋体" w:cs="宋体" w:eastAsia="宋体" w:hint="default"/>
          <w:spacing w:val="-2"/>
          <w:sz w:val="18"/>
          <w:szCs w:val="18"/>
        </w:rPr>
        <w:t>报告期内，董事会战略委员会根据中国证监会、深交所及公司《董事会战略委员会工作条例》等相关规定，本着勤勉尽</w:t>
      </w:r>
      <w:r>
        <w:rPr>
          <w:rFonts w:ascii="宋体" w:hAnsi="宋体" w:cs="宋体" w:eastAsia="宋体" w:hint="default"/>
          <w:sz w:val="18"/>
          <w:szCs w:val="18"/>
        </w:rPr>
        <w:t> 责的原则，认真履职和开展工作，履行了以下工作职责：</w:t>
      </w:r>
    </w:p>
    <w:p>
      <w:pPr>
        <w:spacing w:line="302" w:lineRule="auto" w:before="55"/>
        <w:ind w:left="154" w:right="1120"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、为更好地保护公司权益，满足深圳地区未来业务发展需要，审议通过了公司与中电有限共同投资设立深圳中电蓝海 控股有限公司开展城市更新改造计划前期申报、统一规划的事宜。</w:t>
      </w:r>
    </w:p>
    <w:p>
      <w:pPr>
        <w:spacing w:line="302" w:lineRule="auto" w:before="69"/>
        <w:ind w:left="154" w:right="1114"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、为加强对柏怡国际的控制权，进一步整合电源业务板块，审议通过了长城香港收购柏怡国际管理层股东</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20%</w:t>
      </w:r>
      <w:r>
        <w:rPr>
          <w:rFonts w:ascii="宋体" w:hAnsi="宋体" w:cs="宋体" w:eastAsia="宋体" w:hint="default"/>
          <w:sz w:val="18"/>
          <w:szCs w:val="18"/>
        </w:rPr>
        <w:t>股权的 事宜。</w:t>
      </w:r>
    </w:p>
    <w:p>
      <w:pPr>
        <w:spacing w:line="302" w:lineRule="auto" w:before="68"/>
        <w:ind w:left="154" w:right="1120"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、为满足公司信息安全自主研发体系以及军民融合等新兴业务的建设和发展的场地需要，审议通过了公司在湖南省长 </w:t>
      </w:r>
      <w:r>
        <w:rPr>
          <w:rFonts w:ascii="宋体" w:hAnsi="宋体" w:cs="宋体" w:eastAsia="宋体" w:hint="default"/>
          <w:spacing w:val="-3"/>
          <w:sz w:val="18"/>
          <w:szCs w:val="18"/>
        </w:rPr>
        <w:t>沙市岳麓区麓谷产业基地自有地块投资建设“总部基地及产业化项目（北地块）”的事宜。</w:t>
      </w:r>
    </w:p>
    <w:p>
      <w:pPr>
        <w:spacing w:line="302" w:lineRule="auto" w:before="68"/>
        <w:ind w:left="154" w:right="1120"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、为推进公司海洋信息安全产业化，促进军民融合产业发展，扩大科研生产保障条件，实现公司海洋信息安全设计和 装备制造发展战略，审议通过了对外合作投资海洋信息安全产业化项目事宜。</w:t>
      </w:r>
    </w:p>
    <w:p>
      <w:pPr>
        <w:spacing w:before="70"/>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、及时研究国家政策，结合海南未来发展潜力，向董事会建议保留海南长城系统科技有限公司，终止清理工作。</w:t>
      </w:r>
    </w:p>
    <w:p>
      <w:pPr>
        <w:spacing w:before="101"/>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、为配合重组后的公司业务发展定位与需要，最大发挥公司所持有的深圳地区稀缺土地资源优势，创造更大综合效益，</w:t>
      </w:r>
    </w:p>
    <w:p>
      <w:pPr>
        <w:spacing w:after="0"/>
        <w:jc w:val="left"/>
        <w:rPr>
          <w:rFonts w:ascii="宋体" w:hAnsi="宋体" w:cs="宋体" w:eastAsia="宋体" w:hint="default"/>
          <w:sz w:val="18"/>
          <w:szCs w:val="18"/>
        </w:rPr>
        <w:sectPr>
          <w:pgSz w:w="11910" w:h="16840"/>
          <w:pgMar w:header="787" w:footer="982" w:top="1100" w:bottom="1180" w:left="980" w:right="0"/>
        </w:sectPr>
      </w:pPr>
    </w:p>
    <w:p>
      <w:pPr>
        <w:spacing w:line="240" w:lineRule="auto" w:before="11"/>
        <w:rPr>
          <w:rFonts w:ascii="宋体" w:hAnsi="宋体" w:cs="宋体" w:eastAsia="宋体" w:hint="default"/>
          <w:sz w:val="22"/>
          <w:szCs w:val="22"/>
        </w:rPr>
      </w:pPr>
    </w:p>
    <w:p>
      <w:pPr>
        <w:spacing w:before="44"/>
        <w:ind w:left="154" w:right="0" w:firstLine="0"/>
        <w:jc w:val="left"/>
        <w:rPr>
          <w:rFonts w:ascii="宋体" w:hAnsi="宋体" w:cs="宋体" w:eastAsia="宋体" w:hint="default"/>
          <w:sz w:val="18"/>
          <w:szCs w:val="18"/>
        </w:rPr>
      </w:pPr>
      <w:r>
        <w:rPr>
          <w:rFonts w:ascii="宋体" w:hAnsi="宋体" w:cs="宋体" w:eastAsia="宋体" w:hint="default"/>
          <w:sz w:val="18"/>
          <w:szCs w:val="18"/>
        </w:rPr>
        <w:t>提升核心竞争力，审议通过了更新重启石岩基地三期项目并追加投资预算的事宜。</w:t>
      </w:r>
    </w:p>
    <w:p>
      <w:pPr>
        <w:spacing w:line="302" w:lineRule="auto" w:before="115"/>
        <w:ind w:left="154" w:right="1120"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、基于公司初始投资目的考虑，审议通过了参股公司广州鼎甲计算机科技有限公司股东股权转让、引入战略投资者及 公司放弃对应股份优先购买权的事宜。</w:t>
      </w:r>
    </w:p>
    <w:p>
      <w:pPr>
        <w:spacing w:line="302" w:lineRule="auto" w:before="69"/>
        <w:ind w:left="154" w:right="0" w:firstLine="36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8</w:t>
      </w:r>
      <w:r>
        <w:rPr>
          <w:rFonts w:ascii="宋体" w:hAnsi="宋体" w:cs="宋体" w:eastAsia="宋体" w:hint="default"/>
          <w:spacing w:val="-2"/>
          <w:sz w:val="18"/>
          <w:szCs w:val="18"/>
        </w:rPr>
        <w:t>、为进一步实现中原电子在电池能源领域的军工战略目标，增加公司整体收益，同时助力瀚兴日月扩大生产经营规模，</w:t>
      </w:r>
      <w:r>
        <w:rPr>
          <w:rFonts w:ascii="宋体" w:hAnsi="宋体" w:cs="宋体" w:eastAsia="宋体" w:hint="default"/>
          <w:sz w:val="18"/>
          <w:szCs w:val="18"/>
        </w:rPr>
        <w:t> 提升行业竞争力，审议通过了中原电子收购瀚兴日月外方股东</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w:t>
      </w:r>
      <w:r>
        <w:rPr>
          <w:rFonts w:ascii="宋体" w:hAnsi="宋体" w:cs="宋体" w:eastAsia="宋体" w:hint="default"/>
          <w:sz w:val="18"/>
          <w:szCs w:val="18"/>
        </w:rPr>
        <w:t>股权的事宜。</w:t>
      </w:r>
    </w:p>
    <w:p>
      <w:pPr>
        <w:spacing w:line="302" w:lineRule="auto" w:before="49"/>
        <w:ind w:left="154" w:right="1120"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宋体" w:hAnsi="宋体" w:cs="宋体" w:eastAsia="宋体" w:hint="default"/>
          <w:sz w:val="18"/>
          <w:szCs w:val="18"/>
        </w:rPr>
        <w:t>、为提高募集资金使用效率，提高募投项目收益水平，保护全体股东利益，更好地满足公司未来发展的需要，审议通 过了变更部分募集资金投资项目的事宜。</w:t>
      </w:r>
    </w:p>
    <w:p>
      <w:pPr>
        <w:spacing w:line="302" w:lineRule="auto" w:before="68"/>
        <w:ind w:left="154" w:right="0" w:firstLine="36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10</w:t>
      </w:r>
      <w:r>
        <w:rPr>
          <w:rFonts w:ascii="宋体" w:hAnsi="宋体" w:cs="宋体" w:eastAsia="宋体" w:hint="default"/>
          <w:spacing w:val="-2"/>
          <w:sz w:val="18"/>
          <w:szCs w:val="18"/>
        </w:rPr>
        <w:t>、为进一步实现中原电子在高新电子板块的军工战略目标，强化经营管理效率，增加公司整体收益，同时以适应装备</w:t>
      </w:r>
      <w:r>
        <w:rPr>
          <w:rFonts w:ascii="宋体" w:hAnsi="宋体" w:cs="宋体" w:eastAsia="宋体" w:hint="default"/>
          <w:sz w:val="18"/>
          <w:szCs w:val="18"/>
        </w:rPr>
        <w:t> 采购机制改革，提升行业竞争力，审议通过了中原电子收购中元股份少数股东</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18.68%</w:t>
      </w:r>
      <w:r>
        <w:rPr>
          <w:rFonts w:ascii="宋体" w:hAnsi="宋体" w:cs="宋体" w:eastAsia="宋体" w:hint="default"/>
          <w:sz w:val="18"/>
          <w:szCs w:val="18"/>
        </w:rPr>
        <w:t>股权的事宜。</w:t>
      </w:r>
    </w:p>
    <w:p>
      <w:pPr>
        <w:spacing w:before="52"/>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11</w:t>
      </w:r>
      <w:r>
        <w:rPr>
          <w:rFonts w:ascii="宋体" w:hAnsi="宋体" w:cs="宋体" w:eastAsia="宋体" w:hint="default"/>
          <w:sz w:val="18"/>
          <w:szCs w:val="18"/>
        </w:rPr>
        <w:t>、为提高公司自主可控整机的生产能力，审议通过了湖南长城自主可控整机</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100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万台年产能提升项目的事宜。</w:t>
      </w:r>
    </w:p>
    <w:p>
      <w:pPr>
        <w:spacing w:before="102"/>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宋体" w:hAnsi="宋体" w:cs="宋体" w:eastAsia="宋体" w:hint="default"/>
          <w:sz w:val="18"/>
          <w:szCs w:val="18"/>
        </w:rPr>
        <w:t>、为保障生产经营场所的稳定，夯实资产基础，审议通过了长江科技购买汉南土地及地上房屋建（构）筑物的事宜。</w:t>
      </w:r>
    </w:p>
    <w:p>
      <w:pPr>
        <w:spacing w:line="302" w:lineRule="auto" w:before="101"/>
        <w:ind w:left="154" w:right="1022" w:firstLine="36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13</w:t>
      </w:r>
      <w:r>
        <w:rPr>
          <w:rFonts w:ascii="宋体" w:hAnsi="宋体" w:cs="宋体" w:eastAsia="宋体" w:hint="default"/>
          <w:spacing w:val="-2"/>
          <w:sz w:val="18"/>
          <w:szCs w:val="18"/>
        </w:rPr>
        <w:t>、为降低中美贸易摩擦影响，避免国际客户流失，审议通过了柏怡国际在越南北江省分期投资建设境外生产基地的事</w:t>
      </w:r>
      <w:r>
        <w:rPr>
          <w:rFonts w:ascii="宋体" w:hAnsi="宋体" w:cs="宋体" w:eastAsia="宋体" w:hint="default"/>
          <w:sz w:val="18"/>
          <w:szCs w:val="18"/>
        </w:rPr>
        <w:t> 宜。</w:t>
      </w:r>
    </w:p>
    <w:p>
      <w:pPr>
        <w:spacing w:line="302" w:lineRule="auto" w:before="69"/>
        <w:ind w:left="154" w:right="0" w:firstLine="36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14</w:t>
      </w:r>
      <w:r>
        <w:rPr>
          <w:rFonts w:ascii="宋体" w:hAnsi="宋体" w:cs="宋体" w:eastAsia="宋体" w:hint="default"/>
          <w:spacing w:val="-2"/>
          <w:sz w:val="18"/>
          <w:szCs w:val="18"/>
        </w:rPr>
        <w:t>、为利用各方优势资源，结合社会资本，共同推进军民融合发展战略实施，探索科技成果转移转化新模式，审议通过</w:t>
      </w:r>
      <w:r>
        <w:rPr>
          <w:rFonts w:ascii="宋体" w:hAnsi="宋体" w:cs="宋体" w:eastAsia="宋体" w:hint="default"/>
          <w:sz w:val="18"/>
          <w:szCs w:val="18"/>
        </w:rPr>
        <w:t> 了湖南长城科技与麓谷创服、中电朝云共同组建长沙军民融合先进技术研究院的事宜。</w:t>
      </w:r>
    </w:p>
    <w:p>
      <w:pPr>
        <w:spacing w:line="302" w:lineRule="auto" w:before="68"/>
        <w:ind w:left="154" w:right="0" w:firstLine="36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15</w:t>
      </w:r>
      <w:r>
        <w:rPr>
          <w:rFonts w:ascii="宋体" w:hAnsi="宋体" w:cs="宋体" w:eastAsia="宋体" w:hint="default"/>
          <w:spacing w:val="-2"/>
          <w:sz w:val="18"/>
          <w:szCs w:val="18"/>
        </w:rPr>
        <w:t>、为支持下属公司发展、改善资产结构、解决资金需求，审议通过了对长江科技、湖南长城信息金融设备有限责任公</w:t>
      </w:r>
      <w:r>
        <w:rPr>
          <w:rFonts w:ascii="宋体" w:hAnsi="宋体" w:cs="宋体" w:eastAsia="宋体" w:hint="default"/>
          <w:sz w:val="18"/>
          <w:szCs w:val="18"/>
        </w:rPr>
        <w:t> 司、中原电子进行增资的事宜。</w:t>
      </w:r>
    </w:p>
    <w:p>
      <w:pPr>
        <w:spacing w:line="302" w:lineRule="auto" w:before="68"/>
        <w:ind w:left="154" w:right="0" w:firstLine="36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16</w:t>
      </w:r>
      <w:r>
        <w:rPr>
          <w:rFonts w:ascii="宋体" w:hAnsi="宋体" w:cs="宋体" w:eastAsia="宋体" w:hint="default"/>
          <w:spacing w:val="-2"/>
          <w:sz w:val="18"/>
          <w:szCs w:val="18"/>
        </w:rPr>
        <w:t>、为加快推进低效无效资产的清理整合，优化资源配置，提高公司资产利用效率，审议通过了对长城信息海南系统技</w:t>
      </w:r>
      <w:r>
        <w:rPr>
          <w:rFonts w:ascii="宋体" w:hAnsi="宋体" w:cs="宋体" w:eastAsia="宋体" w:hint="default"/>
          <w:sz w:val="18"/>
          <w:szCs w:val="18"/>
        </w:rPr>
        <w:t> 术有限公司、北海长城能源科技有限公司进行清理事宜。</w:t>
      </w:r>
    </w:p>
    <w:p>
      <w:pPr>
        <w:spacing w:before="70"/>
        <w:ind w:left="514" w:right="0" w:firstLine="0"/>
        <w:jc w:val="left"/>
        <w:rPr>
          <w:rFonts w:ascii="宋体" w:hAnsi="宋体" w:cs="宋体" w:eastAsia="宋体" w:hint="default"/>
          <w:sz w:val="18"/>
          <w:szCs w:val="18"/>
        </w:rPr>
      </w:pPr>
      <w:r>
        <w:rPr>
          <w:rFonts w:ascii="宋体" w:hAnsi="宋体" w:cs="宋体" w:eastAsia="宋体" w:hint="default"/>
          <w:sz w:val="18"/>
          <w:szCs w:val="18"/>
        </w:rPr>
        <w:t>（三）董事会薪酬与考核委员会履职情况</w:t>
      </w:r>
    </w:p>
    <w:p>
      <w:pPr>
        <w:spacing w:before="115"/>
        <w:ind w:left="514" w:right="0" w:firstLine="0"/>
        <w:jc w:val="left"/>
        <w:rPr>
          <w:rFonts w:ascii="宋体" w:hAnsi="宋体" w:cs="宋体" w:eastAsia="宋体" w:hint="default"/>
          <w:sz w:val="18"/>
          <w:szCs w:val="18"/>
        </w:rPr>
      </w:pPr>
      <w:r>
        <w:rPr>
          <w:rFonts w:ascii="宋体" w:hAnsi="宋体" w:cs="宋体" w:eastAsia="宋体" w:hint="default"/>
          <w:sz w:val="18"/>
          <w:szCs w:val="18"/>
        </w:rPr>
        <w:t>董事会薪酬与考核委员会成立于</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月，主要负责制定公司董事及经理人员的考核标准，制定、审查公司董事及</w:t>
      </w:r>
    </w:p>
    <w:p>
      <w:pPr>
        <w:spacing w:line="302" w:lineRule="auto" w:before="63"/>
        <w:ind w:left="154" w:right="1114" w:firstLine="0"/>
        <w:jc w:val="left"/>
        <w:rPr>
          <w:rFonts w:ascii="宋体" w:hAnsi="宋体" w:cs="宋体" w:eastAsia="宋体" w:hint="default"/>
          <w:sz w:val="18"/>
          <w:szCs w:val="18"/>
        </w:rPr>
      </w:pPr>
      <w:r>
        <w:rPr>
          <w:rFonts w:ascii="宋体" w:hAnsi="宋体" w:cs="宋体" w:eastAsia="宋体" w:hint="default"/>
          <w:sz w:val="18"/>
          <w:szCs w:val="18"/>
        </w:rPr>
        <w:t>经理人员的薪酬政策与方案。董事会薪酬与考核委员会成员由</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3"/>
          <w:sz w:val="18"/>
          <w:szCs w:val="18"/>
        </w:rPr>
        <w:t> </w:t>
      </w:r>
      <w:r>
        <w:rPr>
          <w:rFonts w:ascii="宋体" w:hAnsi="宋体" w:cs="宋体" w:eastAsia="宋体" w:hint="default"/>
          <w:spacing w:val="-4"/>
          <w:sz w:val="18"/>
          <w:szCs w:val="18"/>
        </w:rPr>
        <w:t>名董事组成，其中</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名为独立董事，主任委员由独立董事担 </w:t>
      </w:r>
      <w:r>
        <w:rPr>
          <w:rFonts w:ascii="宋体" w:hAnsi="宋体" w:cs="宋体" w:eastAsia="宋体" w:hint="default"/>
          <w:spacing w:val="-2"/>
          <w:sz w:val="18"/>
          <w:szCs w:val="18"/>
        </w:rPr>
        <w:t>任。报告期内，公司董事会薪酬与考核委员会的成员为蓝庆新先生（主任委员）、孔雪屏女士、虞世全先生。</w:t>
      </w:r>
    </w:p>
    <w:p>
      <w:pPr>
        <w:spacing w:line="319" w:lineRule="auto" w:before="68"/>
        <w:ind w:left="154" w:right="0" w:firstLine="360"/>
        <w:jc w:val="left"/>
        <w:rPr>
          <w:rFonts w:ascii="宋体" w:hAnsi="宋体" w:cs="宋体" w:eastAsia="宋体" w:hint="default"/>
          <w:sz w:val="18"/>
          <w:szCs w:val="18"/>
        </w:rPr>
      </w:pPr>
      <w:r>
        <w:rPr>
          <w:rFonts w:ascii="宋体" w:hAnsi="宋体" w:cs="宋体" w:eastAsia="宋体" w:hint="default"/>
          <w:spacing w:val="-4"/>
          <w:sz w:val="18"/>
          <w:szCs w:val="18"/>
        </w:rPr>
        <w:t>报告期内，董事会薪酬与考核委员会根据中国证监会、深交所及公司《董事会薪酬与考核委员会工作条例》等相关规定，</w:t>
      </w:r>
      <w:r>
        <w:rPr>
          <w:rFonts w:ascii="宋体" w:hAnsi="宋体" w:cs="宋体" w:eastAsia="宋体" w:hint="default"/>
          <w:sz w:val="18"/>
          <w:szCs w:val="18"/>
        </w:rPr>
        <w:t> 本着勤勉尽责的原则，认真履职和开展工作，履行了以下工作职责：</w:t>
      </w:r>
    </w:p>
    <w:p>
      <w:pPr>
        <w:spacing w:before="58"/>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、本着责任、权力和利益相统一的原则，并根据公司的实际情况，提出了第七届董事会董事津贴标准建议。</w:t>
      </w:r>
    </w:p>
    <w:p>
      <w:pPr>
        <w:spacing w:line="302" w:lineRule="auto" w:before="101"/>
        <w:ind w:left="154" w:right="1120"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、为建立激励与约束并重的业绩考核机制，充分调动公司经营者的积极性和创造性，修订《中国长城科技集团股份有 </w:t>
      </w:r>
      <w:r>
        <w:rPr>
          <w:rFonts w:ascii="宋体" w:hAnsi="宋体" w:cs="宋体" w:eastAsia="宋体" w:hint="default"/>
          <w:spacing w:val="-6"/>
          <w:sz w:val="18"/>
          <w:szCs w:val="18"/>
        </w:rPr>
        <w:t>限公司经营业绩考核评价办法》。</w:t>
      </w:r>
    </w:p>
    <w:p>
      <w:pPr>
        <w:spacing w:before="69"/>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、完成了新一届薪酬与考核委员会的构建并选举了主任委员。</w:t>
      </w:r>
    </w:p>
    <w:p>
      <w:pPr>
        <w:spacing w:before="103"/>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、仔细核查了年度报告所披露的公司董事及经理人员的薪酬情况并发表意见。</w:t>
      </w:r>
    </w:p>
    <w:p>
      <w:pPr>
        <w:spacing w:before="102"/>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、经综合衡量和研究，提出高级副总裁转正后的薪资、福利、履职待遇标准等建议。</w:t>
      </w:r>
    </w:p>
    <w:p>
      <w:pPr>
        <w:spacing w:before="101"/>
        <w:ind w:left="514"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、结合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年度公司经营情况和公司经营班子成员工作表现及任务完成情况，经综合衡量和研究，谨慎提出了</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2017</w:t>
      </w:r>
    </w:p>
    <w:p>
      <w:pPr>
        <w:spacing w:before="64"/>
        <w:ind w:left="154" w:right="0" w:firstLine="0"/>
        <w:jc w:val="left"/>
        <w:rPr>
          <w:rFonts w:ascii="宋体" w:hAnsi="宋体" w:cs="宋体" w:eastAsia="宋体" w:hint="default"/>
          <w:sz w:val="18"/>
          <w:szCs w:val="18"/>
        </w:rPr>
      </w:pPr>
      <w:r>
        <w:rPr>
          <w:rFonts w:ascii="宋体" w:hAnsi="宋体" w:cs="宋体" w:eastAsia="宋体" w:hint="default"/>
          <w:sz w:val="18"/>
          <w:szCs w:val="18"/>
        </w:rPr>
        <w:t>年度经营班子考核奖励建议。</w:t>
      </w:r>
    </w:p>
    <w:p>
      <w:pPr>
        <w:spacing w:before="117"/>
        <w:ind w:left="514" w:right="0" w:firstLine="0"/>
        <w:jc w:val="left"/>
        <w:rPr>
          <w:rFonts w:ascii="宋体" w:hAnsi="宋体" w:cs="宋体" w:eastAsia="宋体" w:hint="default"/>
          <w:sz w:val="18"/>
          <w:szCs w:val="18"/>
        </w:rPr>
      </w:pPr>
      <w:r>
        <w:rPr>
          <w:rFonts w:ascii="宋体" w:hAnsi="宋体" w:cs="宋体" w:eastAsia="宋体" w:hint="default"/>
          <w:sz w:val="18"/>
          <w:szCs w:val="18"/>
        </w:rPr>
        <w:t>（四）董事会提名委员会履职情况</w:t>
      </w:r>
    </w:p>
    <w:p>
      <w:pPr>
        <w:spacing w:line="309" w:lineRule="auto" w:before="115"/>
        <w:ind w:left="153" w:right="1128" w:firstLine="360"/>
        <w:jc w:val="both"/>
        <w:rPr>
          <w:rFonts w:ascii="宋体" w:hAnsi="宋体" w:cs="宋体" w:eastAsia="宋体" w:hint="default"/>
          <w:sz w:val="18"/>
          <w:szCs w:val="18"/>
        </w:rPr>
      </w:pPr>
      <w:r>
        <w:rPr>
          <w:rFonts w:ascii="宋体" w:hAnsi="宋体" w:cs="宋体" w:eastAsia="宋体" w:hint="default"/>
          <w:sz w:val="18"/>
          <w:szCs w:val="18"/>
        </w:rPr>
        <w:t>董事会提名委员会成立于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2008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月，由</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名董事组成，其中</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名为独立董事，主任委员由独立董事担任。</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 </w:t>
      </w:r>
      <w:r>
        <w:rPr>
          <w:rFonts w:ascii="宋体" w:hAnsi="宋体" w:cs="宋体" w:eastAsia="宋体" w:hint="default"/>
          <w:spacing w:val="-2"/>
          <w:sz w:val="18"/>
          <w:szCs w:val="18"/>
        </w:rPr>
        <w:t>月，鉴于原独立董事冯科先生（原提名委员会主任委员）、孙劼先生（原提名委员会委员）任期已满，公司董事会选举吴中</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海先生、吕宝利先生及虞世全先生为提名委员会委员，其中吴中海先生任提名委员会主任委员。</w:t>
      </w:r>
    </w:p>
    <w:p>
      <w:pPr>
        <w:spacing w:line="319" w:lineRule="auto" w:before="62"/>
        <w:ind w:left="153" w:right="1130" w:firstLine="360"/>
        <w:jc w:val="both"/>
        <w:rPr>
          <w:rFonts w:ascii="宋体" w:hAnsi="宋体" w:cs="宋体" w:eastAsia="宋体" w:hint="default"/>
          <w:sz w:val="18"/>
          <w:szCs w:val="18"/>
        </w:rPr>
      </w:pPr>
      <w:r>
        <w:rPr>
          <w:rFonts w:ascii="宋体" w:hAnsi="宋体" w:cs="宋体" w:eastAsia="宋体" w:hint="default"/>
          <w:spacing w:val="-2"/>
          <w:sz w:val="18"/>
          <w:szCs w:val="18"/>
        </w:rPr>
        <w:t>报告期内，董事会提名委员会根据中国证监会、深交所及公司《董事会提名委员会工作条例》等相关规定，本着勤勉尽</w:t>
      </w:r>
      <w:r>
        <w:rPr>
          <w:rFonts w:ascii="宋体" w:hAnsi="宋体" w:cs="宋体" w:eastAsia="宋体" w:hint="default"/>
          <w:sz w:val="18"/>
          <w:szCs w:val="18"/>
        </w:rPr>
        <w:t> </w:t>
      </w:r>
      <w:r>
        <w:rPr>
          <w:rFonts w:ascii="宋体" w:hAnsi="宋体" w:cs="宋体" w:eastAsia="宋体" w:hint="default"/>
          <w:spacing w:val="-2"/>
          <w:sz w:val="18"/>
          <w:szCs w:val="18"/>
        </w:rPr>
        <w:t>责的原则认真履职，在提名公司董事候选人、高级管理人员的过程中按照中国证监会、深圳证券交易所任职相关规定对人选</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资格进行了严格的审查考核后再将相关名单提报至公司董事会进行审批，配合公司董事会完成了换届选举以及董事、高级管</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理人员变更的工作。此外，提名委员会还完成了新一届提名委员会的构建并选举了主任委员。</w:t>
      </w:r>
    </w:p>
    <w:p>
      <w:pPr>
        <w:spacing w:after="0" w:line="319" w:lineRule="auto"/>
        <w:jc w:val="both"/>
        <w:rPr>
          <w:rFonts w:ascii="宋体" w:hAnsi="宋体" w:cs="宋体" w:eastAsia="宋体" w:hint="default"/>
          <w:sz w:val="18"/>
          <w:szCs w:val="18"/>
        </w:rPr>
        <w:sectPr>
          <w:pgSz w:w="11910" w:h="16840"/>
          <w:pgMar w:header="787" w:footer="982" w:top="1100" w:bottom="1180" w:left="980" w:right="0"/>
        </w:sectPr>
      </w:pPr>
    </w:p>
    <w:p>
      <w:pPr>
        <w:spacing w:line="240" w:lineRule="auto" w:before="6"/>
        <w:rPr>
          <w:rFonts w:ascii="宋体" w:hAnsi="宋体" w:cs="宋体" w:eastAsia="宋体" w:hint="default"/>
          <w:sz w:val="20"/>
          <w:szCs w:val="20"/>
        </w:rPr>
      </w:pPr>
    </w:p>
    <w:p>
      <w:pPr>
        <w:pStyle w:val="Heading4"/>
        <w:spacing w:line="240" w:lineRule="auto" w:before="26"/>
        <w:ind w:right="0"/>
        <w:jc w:val="left"/>
        <w:rPr>
          <w:b w:val="0"/>
          <w:bCs w:val="0"/>
        </w:rPr>
      </w:pPr>
      <w:r>
        <w:rPr/>
        <w:t>八、监事会工作情况</w:t>
      </w:r>
      <w:r>
        <w:rPr>
          <w:b w:val="0"/>
          <w:bCs w:val="0"/>
        </w:rPr>
      </w:r>
    </w:p>
    <w:p>
      <w:pPr>
        <w:spacing w:line="240" w:lineRule="auto" w:before="9"/>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监事会在报告期内的监督活动中发现公司是否存在风险</w:t>
      </w:r>
    </w:p>
    <w:p>
      <w:pPr>
        <w:spacing w:before="116"/>
        <w:ind w:left="153" w:right="0" w:firstLine="0"/>
        <w:jc w:val="left"/>
        <w:rPr>
          <w:rFonts w:ascii="宋体" w:hAnsi="宋体" w:cs="宋体" w:eastAsia="宋体" w:hint="default"/>
          <w:sz w:val="18"/>
          <w:szCs w:val="18"/>
        </w:rPr>
      </w:pPr>
      <w:r>
        <w:rPr>
          <w:rFonts w:ascii="宋体" w:hAnsi="宋体" w:cs="宋体" w:eastAsia="宋体" w:hint="default"/>
          <w:sz w:val="18"/>
          <w:szCs w:val="18"/>
        </w:rPr>
        <w:t>□ 是 √ 否</w:t>
      </w:r>
    </w:p>
    <w:p>
      <w:pPr>
        <w:spacing w:before="117"/>
        <w:ind w:left="513" w:right="0" w:firstLine="0"/>
        <w:jc w:val="left"/>
        <w:rPr>
          <w:rFonts w:ascii="宋体" w:hAnsi="宋体" w:cs="宋体" w:eastAsia="宋体" w:hint="default"/>
          <w:sz w:val="18"/>
          <w:szCs w:val="18"/>
        </w:rPr>
      </w:pPr>
      <w:r>
        <w:rPr>
          <w:rFonts w:ascii="宋体" w:hAnsi="宋体" w:cs="宋体" w:eastAsia="宋体" w:hint="default"/>
          <w:sz w:val="18"/>
          <w:szCs w:val="18"/>
        </w:rPr>
        <w:t>监事会对报告期内的监督事项无异议。</w:t>
      </w:r>
    </w:p>
    <w:p>
      <w:pPr>
        <w:spacing w:line="302" w:lineRule="auto" w:before="115"/>
        <w:ind w:left="153" w:right="0"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4"/>
          <w:sz w:val="18"/>
          <w:szCs w:val="18"/>
        </w:rPr>
        <w:t> </w:t>
      </w:r>
      <w:r>
        <w:rPr>
          <w:rFonts w:ascii="宋体" w:hAnsi="宋体" w:cs="宋体" w:eastAsia="宋体" w:hint="default"/>
          <w:spacing w:val="-7"/>
          <w:sz w:val="18"/>
          <w:szCs w:val="18"/>
        </w:rPr>
        <w:t>年度，公司监事会根据《公司法》、《公司章程》、《监事会议事规则》及有关法律、法规规定，依法认真履行了监</w:t>
      </w:r>
      <w:r>
        <w:rPr>
          <w:rFonts w:ascii="宋体" w:hAnsi="宋体" w:cs="宋体" w:eastAsia="宋体" w:hint="default"/>
          <w:sz w:val="18"/>
          <w:szCs w:val="18"/>
        </w:rPr>
        <w:t> 督及其他各项职能，在维护公司整体利益、股东合法权益、建立健全法人治理结构等方面发挥了应有的作用。</w:t>
      </w:r>
    </w:p>
    <w:p>
      <w:pPr>
        <w:spacing w:line="360" w:lineRule="auto" w:before="69"/>
        <w:ind w:left="513" w:right="6613" w:firstLine="0"/>
        <w:jc w:val="left"/>
        <w:rPr>
          <w:rFonts w:ascii="宋体" w:hAnsi="宋体" w:cs="宋体" w:eastAsia="宋体" w:hint="default"/>
          <w:sz w:val="18"/>
          <w:szCs w:val="18"/>
        </w:rPr>
      </w:pPr>
      <w:r>
        <w:rPr>
          <w:rFonts w:ascii="宋体" w:hAnsi="宋体" w:cs="宋体" w:eastAsia="宋体" w:hint="default"/>
          <w:sz w:val="18"/>
          <w:szCs w:val="18"/>
        </w:rPr>
        <w:t>（一）报告期内监事会会议情况 本报告期内监事会共召开了</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次会议，分别是：</w:t>
      </w:r>
    </w:p>
    <w:p>
      <w:pPr>
        <w:spacing w:line="302" w:lineRule="auto" w:before="1"/>
        <w:ind w:left="154" w:right="1114"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日，公司以通讯方式召开第六届监事会第十九次会议，审议通过了调整公司股票期权激励计划授予 激励对象人员名单及授予数量、公司股票期权激励计划授予相关事项等议案。</w:t>
      </w:r>
    </w:p>
    <w:p>
      <w:pPr>
        <w:spacing w:line="302" w:lineRule="auto" w:before="68"/>
        <w:ind w:left="154" w:right="1118"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日，公司以通讯方式召开第六届监事会第二十次会议，审议通过了监事会换届选举、第七届监事会监 事津贴标准等议案。</w:t>
      </w:r>
    </w:p>
    <w:p>
      <w:pPr>
        <w:spacing w:before="70"/>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日，公司以现场方式召开第七届监事会第一次会议，审议通过了选举第七届监事会主席的议案。</w:t>
      </w:r>
    </w:p>
    <w:p>
      <w:pPr>
        <w:spacing w:line="309" w:lineRule="auto" w:before="101"/>
        <w:ind w:left="154" w:right="1131" w:firstLine="360"/>
        <w:jc w:val="both"/>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日，公司以现场方式召开第七届监事会第二次会议，审议通过了</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年度报告和</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年一季度报 </w:t>
      </w:r>
      <w:r>
        <w:rPr>
          <w:rFonts w:ascii="宋体" w:hAnsi="宋体" w:cs="宋体" w:eastAsia="宋体" w:hint="default"/>
          <w:spacing w:val="-2"/>
          <w:sz w:val="18"/>
          <w:szCs w:val="18"/>
        </w:rPr>
        <w:t>告相关议案，包括监事会工作报告、会计政策变更、计提资产减值准备及核销、业绩承诺实现情况及业绩补偿方案、原长城</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信息募集资金存放与使用情况、内部控制评价报告、关联方资金占用、合并范围变化及追溯调整等议案。</w:t>
      </w:r>
    </w:p>
    <w:p>
      <w:pPr>
        <w:spacing w:line="302" w:lineRule="auto" w:before="62"/>
        <w:ind w:left="154" w:right="1122"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日，公司以现场方式召开第七届监事会第三次会议，审议通过了</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年半年度报告、合并范围变化 及追溯调整、原长城信息募集资金存放与使用等议案。</w:t>
      </w:r>
    </w:p>
    <w:p>
      <w:pPr>
        <w:spacing w:before="70"/>
        <w:ind w:left="514" w:right="0" w:firstLine="0"/>
        <w:jc w:val="left"/>
        <w:rPr>
          <w:rFonts w:ascii="宋体" w:hAnsi="宋体" w:cs="宋体" w:eastAsia="宋体" w:hint="default"/>
          <w:sz w:val="18"/>
          <w:szCs w:val="18"/>
        </w:rPr>
      </w:pPr>
      <w:r>
        <w:rPr>
          <w:rFonts w:ascii="Times New Roman" w:hAnsi="Times New Roman" w:cs="Times New Roman" w:eastAsia="Times New Roman" w:hint="default"/>
          <w:spacing w:val="-7"/>
          <w:sz w:val="18"/>
          <w:szCs w:val="18"/>
        </w:rPr>
        <w:t>6</w:t>
      </w:r>
      <w:r>
        <w:rPr>
          <w:rFonts w:ascii="宋体" w:hAnsi="宋体" w:cs="宋体" w:eastAsia="宋体" w:hint="default"/>
          <w:spacing w:val="-7"/>
          <w:sz w:val="18"/>
          <w:szCs w:val="18"/>
        </w:rPr>
        <w:t>、</w:t>
      </w:r>
      <w:r>
        <w:rPr>
          <w:rFonts w:ascii="Times New Roman" w:hAnsi="Times New Roman" w:cs="Times New Roman" w:eastAsia="Times New Roman" w:hint="default"/>
          <w:spacing w:val="-7"/>
          <w:sz w:val="18"/>
          <w:szCs w:val="18"/>
        </w:rPr>
        <w:t>2018</w:t>
      </w:r>
      <w:r>
        <w:rPr>
          <w:rFonts w:ascii="Times New Roman" w:hAnsi="Times New Roman" w:cs="Times New Roman" w:eastAsia="Times New Roman" w:hint="default"/>
          <w:spacing w:val="-17"/>
          <w:sz w:val="18"/>
          <w:szCs w:val="18"/>
        </w:rPr>
        <w:t> </w:t>
      </w: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6"/>
          <w:sz w:val="18"/>
          <w:szCs w:val="18"/>
        </w:rPr>
        <w:t> </w:t>
      </w:r>
      <w:r>
        <w:rPr>
          <w:rFonts w:ascii="宋体" w:hAnsi="宋体" w:cs="宋体" w:eastAsia="宋体" w:hint="default"/>
          <w:sz w:val="18"/>
          <w:szCs w:val="18"/>
        </w:rPr>
        <w:t>月</w:t>
      </w:r>
      <w:r>
        <w:rPr>
          <w:rFonts w:ascii="宋体" w:hAnsi="宋体" w:cs="宋体" w:eastAsia="宋体" w:hint="default"/>
          <w:spacing w:val="-62"/>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7"/>
          <w:sz w:val="18"/>
          <w:szCs w:val="18"/>
        </w:rPr>
        <w:t> </w:t>
      </w:r>
      <w:r>
        <w:rPr>
          <w:rFonts w:ascii="宋体" w:hAnsi="宋体" w:cs="宋体" w:eastAsia="宋体" w:hint="default"/>
          <w:sz w:val="18"/>
          <w:szCs w:val="18"/>
        </w:rPr>
        <w:t>日，公司以通讯方式召开第七届监事会第四次会议，审议通过了变更部分募集资金投资项目的议案。</w:t>
      </w:r>
    </w:p>
    <w:p>
      <w:pPr>
        <w:spacing w:line="302" w:lineRule="auto" w:before="101"/>
        <w:ind w:left="154" w:right="1117"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日，公司以通讯方式召开第七届监事会第五次会议，审议通过了</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年三季度报告、会计政策变 更等议案。</w:t>
      </w:r>
    </w:p>
    <w:p>
      <w:pPr>
        <w:spacing w:line="302" w:lineRule="auto" w:before="68"/>
        <w:ind w:left="154" w:right="1114"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8</w:t>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日，公司以通讯方式召开第七届监事会第六次会议，审议通过了使用部分闲置募集资金暂时补充流 动资金的议案。</w:t>
      </w:r>
    </w:p>
    <w:p>
      <w:pPr>
        <w:spacing w:before="70"/>
        <w:ind w:left="514" w:right="0" w:firstLine="0"/>
        <w:jc w:val="left"/>
        <w:rPr>
          <w:rFonts w:ascii="宋体" w:hAnsi="宋体" w:cs="宋体" w:eastAsia="宋体" w:hint="default"/>
          <w:sz w:val="18"/>
          <w:szCs w:val="18"/>
        </w:rPr>
      </w:pPr>
      <w:r>
        <w:rPr>
          <w:rFonts w:ascii="宋体" w:hAnsi="宋体" w:cs="宋体" w:eastAsia="宋体" w:hint="default"/>
          <w:sz w:val="18"/>
          <w:szCs w:val="18"/>
        </w:rPr>
        <w:t>（二）监事会对公司有关经营运作情况的意见</w:t>
      </w:r>
    </w:p>
    <w:p>
      <w:pPr>
        <w:spacing w:line="338" w:lineRule="auto" w:before="116"/>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、公司依法运作情况 </w:t>
      </w:r>
      <w:r>
        <w:rPr>
          <w:rFonts w:ascii="宋体" w:hAnsi="宋体" w:cs="宋体" w:eastAsia="宋体" w:hint="default"/>
          <w:spacing w:val="-2"/>
          <w:sz w:val="18"/>
          <w:szCs w:val="18"/>
        </w:rPr>
        <w:t>报告期内，公司监事会根据国家有关法律、法规，认真履行职责，对公司股东大会和董事会的召开程序及决议事项、董</w:t>
      </w:r>
    </w:p>
    <w:p>
      <w:pPr>
        <w:spacing w:line="319" w:lineRule="auto" w:before="2"/>
        <w:ind w:left="154" w:right="1128" w:firstLine="0"/>
        <w:jc w:val="both"/>
        <w:rPr>
          <w:rFonts w:ascii="宋体" w:hAnsi="宋体" w:cs="宋体" w:eastAsia="宋体" w:hint="default"/>
          <w:sz w:val="18"/>
          <w:szCs w:val="18"/>
        </w:rPr>
      </w:pPr>
      <w:r>
        <w:rPr>
          <w:rFonts w:ascii="宋体" w:hAnsi="宋体" w:cs="宋体" w:eastAsia="宋体" w:hint="default"/>
          <w:spacing w:val="-2"/>
          <w:sz w:val="18"/>
          <w:szCs w:val="18"/>
        </w:rPr>
        <w:t>事会对股东大会决议执行情况、公司董事和高级管理人员的执行职务情况及公司管理制度执行情况等进行了监督。监事会认</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14"/>
          <w:sz w:val="18"/>
          <w:szCs w:val="18"/>
        </w:rPr>
        <w:t>为，公司董事会在报告期内能按照《公司法》、《证券法》、《公司章程》、《上市公司治理准则》、《深圳证券交易所股票上市规</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2"/>
          <w:sz w:val="18"/>
          <w:szCs w:val="18"/>
        </w:rPr>
        <w:t>则》等相关法律、法规进行规范运作，能够严格执行股东大会的各项决议和授权，决策程序科学、合法，公司各项管理制度</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2"/>
          <w:sz w:val="18"/>
          <w:szCs w:val="18"/>
        </w:rPr>
        <w:t>较为健全并得到了执行。公司董事会成员、经营班子成员及其它高级管理人员在执行职务时没有发现违反国家法律法规、公</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司章程和损害公司利益、股东权益的情况。</w:t>
      </w:r>
    </w:p>
    <w:p>
      <w:pPr>
        <w:spacing w:line="338" w:lineRule="auto" w:before="58"/>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、检查公司财务情况 </w:t>
      </w:r>
      <w:r>
        <w:rPr>
          <w:rFonts w:ascii="宋体" w:hAnsi="宋体" w:cs="宋体" w:eastAsia="宋体" w:hint="default"/>
          <w:spacing w:val="-2"/>
          <w:sz w:val="18"/>
          <w:szCs w:val="18"/>
        </w:rPr>
        <w:t>报告期内，公司监事会及时了解公司经营和财务状况，认真核查了公司季度、半年度、年度财务报告及有关文件，并对</w:t>
      </w:r>
    </w:p>
    <w:p>
      <w:pPr>
        <w:spacing w:line="312" w:lineRule="auto" w:before="2"/>
        <w:ind w:left="154" w:right="1030" w:firstLine="0"/>
        <w:jc w:val="left"/>
        <w:rPr>
          <w:rFonts w:ascii="宋体" w:hAnsi="宋体" w:cs="宋体" w:eastAsia="宋体" w:hint="default"/>
          <w:sz w:val="18"/>
          <w:szCs w:val="18"/>
        </w:rPr>
      </w:pPr>
      <w:r>
        <w:rPr>
          <w:rFonts w:ascii="宋体" w:hAnsi="宋体" w:cs="宋体" w:eastAsia="宋体" w:hint="default"/>
          <w:sz w:val="18"/>
          <w:szCs w:val="18"/>
        </w:rPr>
        <w:t>各定期报告出具了审核意见；公司</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6"/>
          <w:sz w:val="18"/>
          <w:szCs w:val="18"/>
        </w:rPr>
        <w:t> </w:t>
      </w:r>
      <w:r>
        <w:rPr>
          <w:rFonts w:ascii="宋体" w:hAnsi="宋体" w:cs="宋体" w:eastAsia="宋体" w:hint="default"/>
          <w:spacing w:val="-4"/>
          <w:sz w:val="18"/>
          <w:szCs w:val="18"/>
        </w:rPr>
        <w:t>年度、</w:t>
      </w:r>
      <w:r>
        <w:rPr>
          <w:rFonts w:ascii="Times New Roman" w:hAnsi="Times New Roman" w:cs="Times New Roman" w:eastAsia="Times New Roman" w:hint="default"/>
          <w:spacing w:val="-4"/>
          <w:sz w:val="18"/>
          <w:szCs w:val="18"/>
        </w:rPr>
        <w:t>2018</w:t>
      </w:r>
      <w:r>
        <w:rPr>
          <w:rFonts w:ascii="Times New Roman" w:hAnsi="Times New Roman" w:cs="Times New Roman" w:eastAsia="Times New Roman" w:hint="default"/>
          <w:spacing w:val="-6"/>
          <w:sz w:val="18"/>
          <w:szCs w:val="18"/>
        </w:rPr>
        <w:t> </w:t>
      </w:r>
      <w:r>
        <w:rPr>
          <w:rFonts w:ascii="宋体" w:hAnsi="宋体" w:cs="宋体" w:eastAsia="宋体" w:hint="default"/>
          <w:spacing w:val="-3"/>
          <w:sz w:val="18"/>
          <w:szCs w:val="18"/>
        </w:rPr>
        <w:t>年一季度、</w:t>
      </w:r>
      <w:r>
        <w:rPr>
          <w:rFonts w:ascii="Times New Roman" w:hAnsi="Times New Roman" w:cs="Times New Roman" w:eastAsia="Times New Roman" w:hint="default"/>
          <w:spacing w:val="-3"/>
          <w:sz w:val="18"/>
          <w:szCs w:val="18"/>
        </w:rPr>
        <w:t>2018</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年半年度财务报表合并范围变化及追溯调整可比期间的 </w:t>
      </w:r>
      <w:r>
        <w:rPr>
          <w:rFonts w:ascii="宋体" w:hAnsi="宋体" w:cs="宋体" w:eastAsia="宋体" w:hint="default"/>
          <w:spacing w:val="-2"/>
          <w:sz w:val="18"/>
          <w:szCs w:val="18"/>
        </w:rPr>
        <w:t>合并报表数据的事项符合企业会计准则的规定，公司因执行财政部最新规定调整财务报表的列报对可比期间的比较数据进行</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调整符合相关规定，没有损害公司和全体股东的利益；公司计提资产减值准备及核销，决策程序符合法律法规的有关规定， 符合上市公司监管机构的有关要求。</w:t>
      </w:r>
    </w:p>
    <w:p>
      <w:pPr>
        <w:spacing w:line="309" w:lineRule="auto" w:before="61"/>
        <w:ind w:left="154" w:right="1028" w:firstLine="360"/>
        <w:jc w:val="left"/>
        <w:rPr>
          <w:rFonts w:ascii="宋体" w:hAnsi="宋体" w:cs="宋体" w:eastAsia="宋体" w:hint="default"/>
          <w:sz w:val="18"/>
          <w:szCs w:val="18"/>
        </w:rPr>
      </w:pPr>
      <w:r>
        <w:rPr>
          <w:rFonts w:ascii="宋体" w:hAnsi="宋体" w:cs="宋体" w:eastAsia="宋体" w:hint="default"/>
          <w:spacing w:val="-4"/>
          <w:sz w:val="18"/>
          <w:szCs w:val="18"/>
        </w:rPr>
        <w:t>公司根据财政部《关于修订印发</w:t>
      </w:r>
      <w:r>
        <w:rPr>
          <w:rFonts w:ascii="宋体" w:hAnsi="宋体" w:cs="宋体" w:eastAsia="宋体" w:hint="default"/>
          <w:sz w:val="18"/>
          <w:szCs w:val="18"/>
        </w:rPr>
        <w:t> </w:t>
      </w:r>
      <w:r>
        <w:rPr>
          <w:rFonts w:ascii="Times New Roman" w:hAnsi="Times New Roman" w:cs="Times New Roman" w:eastAsia="Times New Roman" w:hint="default"/>
          <w:sz w:val="18"/>
          <w:szCs w:val="18"/>
        </w:rPr>
        <w:t>2018 </w:t>
      </w:r>
      <w:r>
        <w:rPr>
          <w:rFonts w:ascii="宋体" w:hAnsi="宋体" w:cs="宋体" w:eastAsia="宋体" w:hint="default"/>
          <w:spacing w:val="-6"/>
          <w:sz w:val="18"/>
          <w:szCs w:val="18"/>
        </w:rPr>
        <w:t>年度一般企业财务报表格式的通知》（财会</w:t>
      </w:r>
      <w:r>
        <w:rPr>
          <w:rFonts w:ascii="Times New Roman" w:hAnsi="Times New Roman" w:cs="Times New Roman" w:eastAsia="Times New Roman" w:hint="default"/>
          <w:spacing w:val="-6"/>
          <w:sz w:val="18"/>
          <w:szCs w:val="18"/>
        </w:rPr>
        <w:t>[2018]15</w:t>
      </w:r>
      <w:r>
        <w:rPr>
          <w:rFonts w:ascii="Times New Roman" w:hAnsi="Times New Roman" w:cs="Times New Roman" w:eastAsia="Times New Roman" w:hint="default"/>
          <w:spacing w:val="-24"/>
          <w:sz w:val="18"/>
          <w:szCs w:val="18"/>
        </w:rPr>
        <w:t> </w:t>
      </w:r>
      <w:r>
        <w:rPr>
          <w:rFonts w:ascii="宋体" w:hAnsi="宋体" w:cs="宋体" w:eastAsia="宋体" w:hint="default"/>
          <w:spacing w:val="-4"/>
          <w:sz w:val="18"/>
          <w:szCs w:val="18"/>
        </w:rPr>
        <w:t>号）的要求进行会计政策变更，</w:t>
      </w:r>
      <w:r>
        <w:rPr>
          <w:rFonts w:ascii="宋体" w:hAnsi="宋体" w:cs="宋体" w:eastAsia="宋体" w:hint="default"/>
          <w:sz w:val="18"/>
          <w:szCs w:val="18"/>
        </w:rPr>
        <w:t> </w:t>
      </w:r>
      <w:r>
        <w:rPr>
          <w:rFonts w:ascii="宋体" w:hAnsi="宋体" w:cs="宋体" w:eastAsia="宋体" w:hint="default"/>
          <w:spacing w:val="-2"/>
          <w:sz w:val="18"/>
          <w:szCs w:val="18"/>
        </w:rPr>
        <w:t>符合相关规定和公司实际情况，会计政策变更的审批程序符合法律、法规以及《公司章程》的规定，不存在损害公司及全体</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股东利益的情形。</w:t>
      </w:r>
    </w:p>
    <w:p>
      <w:pPr>
        <w:spacing w:before="64"/>
        <w:ind w:left="514" w:right="0" w:firstLine="0"/>
        <w:jc w:val="left"/>
        <w:rPr>
          <w:rFonts w:ascii="宋体" w:hAnsi="宋体" w:cs="宋体" w:eastAsia="宋体" w:hint="default"/>
          <w:sz w:val="18"/>
          <w:szCs w:val="18"/>
        </w:rPr>
      </w:pPr>
      <w:r>
        <w:rPr>
          <w:rFonts w:ascii="宋体" w:hAnsi="宋体" w:cs="宋体" w:eastAsia="宋体" w:hint="default"/>
          <w:sz w:val="18"/>
          <w:szCs w:val="18"/>
        </w:rPr>
        <w:t>总体来说，公司财务运作规范，财务报告真实地反映了公司的财务状况和经营成果。监事会认为，大信会计师事务所审</w:t>
      </w:r>
    </w:p>
    <w:p>
      <w:pPr>
        <w:spacing w:after="0"/>
        <w:jc w:val="left"/>
        <w:rPr>
          <w:rFonts w:ascii="宋体" w:hAnsi="宋体" w:cs="宋体" w:eastAsia="宋体" w:hint="default"/>
          <w:sz w:val="18"/>
          <w:szCs w:val="18"/>
        </w:rPr>
        <w:sectPr>
          <w:pgSz w:w="11910" w:h="16840"/>
          <w:pgMar w:header="787" w:footer="982" w:top="1100" w:bottom="1180" w:left="980" w:right="0"/>
        </w:sectPr>
      </w:pPr>
    </w:p>
    <w:p>
      <w:pPr>
        <w:spacing w:line="240" w:lineRule="auto" w:before="11"/>
        <w:rPr>
          <w:rFonts w:ascii="宋体" w:hAnsi="宋体" w:cs="宋体" w:eastAsia="宋体" w:hint="default"/>
          <w:sz w:val="22"/>
          <w:szCs w:val="22"/>
        </w:rPr>
      </w:pPr>
    </w:p>
    <w:p>
      <w:pPr>
        <w:spacing w:line="348" w:lineRule="auto" w:before="44"/>
        <w:ind w:left="514" w:right="0" w:hanging="360"/>
        <w:jc w:val="left"/>
        <w:rPr>
          <w:rFonts w:ascii="宋体" w:hAnsi="宋体" w:cs="宋体" w:eastAsia="宋体" w:hint="default"/>
          <w:sz w:val="18"/>
          <w:szCs w:val="18"/>
        </w:rPr>
      </w:pPr>
      <w:r>
        <w:rPr>
          <w:rFonts w:ascii="宋体" w:hAnsi="宋体" w:cs="宋体" w:eastAsia="宋体" w:hint="default"/>
          <w:sz w:val="18"/>
          <w:szCs w:val="18"/>
        </w:rPr>
        <w:t>计后出具的标准无保留意见年度财务审计报告真实、客观反映了公司的财务状况和经营成果。 </w:t>
      </w:r>
      <w:r>
        <w:rPr>
          <w:rFonts w:ascii="Times New Roman" w:hAnsi="Times New Roman" w:cs="Times New Roman" w:eastAsia="Times New Roman" w:hint="default"/>
          <w:sz w:val="18"/>
          <w:szCs w:val="18"/>
        </w:rPr>
        <w:t>3</w:t>
      </w:r>
      <w:r>
        <w:rPr>
          <w:rFonts w:ascii="宋体" w:hAnsi="宋体" w:cs="宋体" w:eastAsia="宋体" w:hint="default"/>
          <w:sz w:val="18"/>
          <w:szCs w:val="18"/>
        </w:rPr>
        <w:t>、对股票期权激励计划激励对象人员名单核实 </w:t>
      </w:r>
      <w:r>
        <w:rPr>
          <w:rFonts w:ascii="宋体" w:hAnsi="宋体" w:cs="宋体" w:eastAsia="宋体" w:hint="default"/>
          <w:spacing w:val="-2"/>
          <w:sz w:val="18"/>
          <w:szCs w:val="18"/>
        </w:rPr>
        <w:t>公司监事会结合公示情况对激励对象人员名单进行核查，认为本次列入激励计划的激励对象均符合相关法律、法规及规</w:t>
      </w:r>
    </w:p>
    <w:p>
      <w:pPr>
        <w:spacing w:line="232" w:lineRule="exact"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范性文件所规定的条件，其作为本次股票期权激励计划的激励对象合法、有效。</w:t>
      </w:r>
    </w:p>
    <w:p>
      <w:pPr>
        <w:spacing w:line="338" w:lineRule="auto" w:before="116"/>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、对募集资金使用情况的意见 </w:t>
      </w:r>
      <w:r>
        <w:rPr>
          <w:rFonts w:ascii="宋体" w:hAnsi="宋体" w:cs="宋体" w:eastAsia="宋体" w:hint="default"/>
          <w:spacing w:val="-2"/>
          <w:sz w:val="18"/>
          <w:szCs w:val="18"/>
        </w:rPr>
        <w:t>公司监事会及时了解原长城信息募集资金投资项目情况，认真审核募集资金存放与使用情况专项报告、变更部分募集资</w:t>
      </w:r>
    </w:p>
    <w:p>
      <w:pPr>
        <w:spacing w:line="319" w:lineRule="auto" w:before="2"/>
        <w:ind w:left="154" w:right="1131" w:firstLine="0"/>
        <w:jc w:val="both"/>
        <w:rPr>
          <w:rFonts w:ascii="宋体" w:hAnsi="宋体" w:cs="宋体" w:eastAsia="宋体" w:hint="default"/>
          <w:sz w:val="18"/>
          <w:szCs w:val="18"/>
        </w:rPr>
      </w:pPr>
      <w:r>
        <w:rPr>
          <w:rFonts w:ascii="宋体" w:hAnsi="宋体" w:cs="宋体" w:eastAsia="宋体" w:hint="default"/>
          <w:spacing w:val="-2"/>
          <w:sz w:val="18"/>
          <w:szCs w:val="18"/>
        </w:rPr>
        <w:t>金投资项目、使用部分闲置募集资金暂时补充流动资金等事项，并出具了意见。公司募集资金存放、使用、管理符合中国证</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监会、深圳证券交易所及公司规章制度的相关规定，不存在募集资金存放与使用违规的情形，不存在损害公司股东特别是中</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小股东利益的情形。</w:t>
      </w:r>
    </w:p>
    <w:p>
      <w:pPr>
        <w:spacing w:before="58"/>
        <w:ind w:left="5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、对业绩承诺实现情况及业绩补偿方案的意见</w:t>
      </w:r>
    </w:p>
    <w:p>
      <w:pPr>
        <w:spacing w:line="309" w:lineRule="auto" w:before="101"/>
        <w:ind w:left="153" w:right="1128" w:firstLine="360"/>
        <w:jc w:val="both"/>
        <w:rPr>
          <w:rFonts w:ascii="宋体" w:hAnsi="宋体" w:cs="宋体" w:eastAsia="宋体" w:hint="default"/>
          <w:sz w:val="18"/>
          <w:szCs w:val="18"/>
        </w:rPr>
      </w:pPr>
      <w:r>
        <w:rPr>
          <w:rFonts w:ascii="宋体" w:hAnsi="宋体" w:cs="宋体" w:eastAsia="宋体" w:hint="default"/>
          <w:sz w:val="18"/>
          <w:szCs w:val="18"/>
        </w:rPr>
        <w:t>公司董事会对重大资产重组购入资产</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年度业绩承诺实现情况、未达业绩承诺补偿方案的决议程序符合法律法规的 </w:t>
      </w:r>
      <w:r>
        <w:rPr>
          <w:rFonts w:ascii="宋体" w:hAnsi="宋体" w:cs="宋体" w:eastAsia="宋体" w:hint="default"/>
          <w:spacing w:val="-2"/>
          <w:sz w:val="18"/>
          <w:szCs w:val="18"/>
        </w:rPr>
        <w:t>有关规定，符合《上市公司重大资产重组管理办法》的要求；业绩补偿方案符合协议约定，能充分保障公司的利益；公司监</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事会将督促重组相关方履行承诺。报告期内，业绩补偿承诺已严格执行。</w:t>
      </w:r>
    </w:p>
    <w:p>
      <w:pPr>
        <w:spacing w:line="338" w:lineRule="auto" w:before="64"/>
        <w:ind w:left="51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、对收购、出售资产的意见 </w:t>
      </w:r>
      <w:r>
        <w:rPr>
          <w:rFonts w:ascii="宋体" w:hAnsi="宋体" w:cs="宋体" w:eastAsia="宋体" w:hint="default"/>
          <w:spacing w:val="-2"/>
          <w:sz w:val="18"/>
          <w:szCs w:val="18"/>
        </w:rPr>
        <w:t>报告期内，公司在收购股权、出售可供出售金融资产、对外投资、购买资产等有关资产购处置的行为时，均严格按照相</w:t>
      </w:r>
    </w:p>
    <w:p>
      <w:pPr>
        <w:spacing w:line="319" w:lineRule="auto" w:before="2"/>
        <w:ind w:left="153" w:right="0" w:firstLine="0"/>
        <w:jc w:val="left"/>
        <w:rPr>
          <w:rFonts w:ascii="宋体" w:hAnsi="宋体" w:cs="宋体" w:eastAsia="宋体" w:hint="default"/>
          <w:sz w:val="18"/>
          <w:szCs w:val="18"/>
        </w:rPr>
      </w:pPr>
      <w:r>
        <w:rPr>
          <w:rFonts w:ascii="宋体" w:hAnsi="宋体" w:cs="宋体" w:eastAsia="宋体" w:hint="default"/>
          <w:spacing w:val="-2"/>
          <w:sz w:val="18"/>
          <w:szCs w:val="18"/>
        </w:rPr>
        <w:t>关法律法规履行了必要的审批程序和信息披露义务。董事会、股东大会的表决程序合法合规，交易公开、公平、合理，不存</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在内幕交易损害部分股东权益或造成公司资产流失的情况。</w:t>
      </w:r>
    </w:p>
    <w:p>
      <w:pPr>
        <w:spacing w:line="338" w:lineRule="auto" w:before="56"/>
        <w:ind w:left="51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、对公司关联交易的意见 </w:t>
      </w:r>
      <w:r>
        <w:rPr>
          <w:rFonts w:ascii="宋体" w:hAnsi="宋体" w:cs="宋体" w:eastAsia="宋体" w:hint="default"/>
          <w:spacing w:val="-2"/>
          <w:sz w:val="18"/>
          <w:szCs w:val="18"/>
        </w:rPr>
        <w:t>报告期内，公司在进行关联交易事项时，均能够遵守有关关联交易的操作程序，交易过程遵循公平、合理的原则，未发</w:t>
      </w:r>
    </w:p>
    <w:p>
      <w:pPr>
        <w:spacing w:before="4"/>
        <w:ind w:left="153" w:right="0" w:firstLine="0"/>
        <w:jc w:val="left"/>
        <w:rPr>
          <w:rFonts w:ascii="宋体" w:hAnsi="宋体" w:cs="宋体" w:eastAsia="宋体" w:hint="default"/>
          <w:sz w:val="18"/>
          <w:szCs w:val="18"/>
        </w:rPr>
      </w:pPr>
      <w:r>
        <w:rPr>
          <w:rFonts w:ascii="宋体" w:hAnsi="宋体" w:cs="宋体" w:eastAsia="宋体" w:hint="default"/>
          <w:sz w:val="18"/>
          <w:szCs w:val="18"/>
        </w:rPr>
        <w:t>现有损害公司利益的情况。</w:t>
      </w:r>
    </w:p>
    <w:p>
      <w:pPr>
        <w:spacing w:line="302" w:lineRule="auto" w:before="116"/>
        <w:ind w:left="153" w:right="1128" w:firstLine="360"/>
        <w:jc w:val="both"/>
        <w:rPr>
          <w:rFonts w:ascii="宋体" w:hAnsi="宋体" w:cs="宋体" w:eastAsia="宋体" w:hint="default"/>
          <w:sz w:val="18"/>
          <w:szCs w:val="18"/>
        </w:rPr>
      </w:pPr>
      <w:r>
        <w:rPr>
          <w:rFonts w:ascii="宋体" w:hAnsi="宋体" w:cs="宋体" w:eastAsia="宋体" w:hint="default"/>
          <w:sz w:val="18"/>
          <w:szCs w:val="18"/>
        </w:rPr>
        <w:t>公司严格防范控股股东及关联方资金占用的风险，</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年度不存在因控股股东及其关联方占用或转移公司资金、资产 或其他资源而给公司造成损失或可能造成损失的情形。</w:t>
      </w:r>
    </w:p>
    <w:p>
      <w:pPr>
        <w:spacing w:line="357" w:lineRule="auto" w:before="69"/>
        <w:ind w:left="513" w:right="0" w:firstLine="0"/>
        <w:jc w:val="left"/>
        <w:rPr>
          <w:rFonts w:ascii="宋体" w:hAnsi="宋体" w:cs="宋体" w:eastAsia="宋体" w:hint="default"/>
          <w:sz w:val="18"/>
          <w:szCs w:val="18"/>
        </w:rPr>
      </w:pPr>
      <w:r>
        <w:rPr>
          <w:rFonts w:ascii="宋体" w:hAnsi="宋体" w:cs="宋体" w:eastAsia="宋体" w:hint="default"/>
          <w:sz w:val="18"/>
          <w:szCs w:val="18"/>
        </w:rPr>
        <w:t>（三）监事会对公司内部控制评价报告的意见 </w:t>
      </w:r>
      <w:r>
        <w:rPr>
          <w:rFonts w:ascii="宋体" w:hAnsi="宋体" w:cs="宋体" w:eastAsia="宋体" w:hint="default"/>
          <w:spacing w:val="-2"/>
          <w:sz w:val="18"/>
          <w:szCs w:val="18"/>
        </w:rPr>
        <w:t>公司监事会认为：公司已建立了较为健全的内部控制体系，制订了较为完善、合理的内部控制制度，公司的内控制度符</w:t>
      </w:r>
    </w:p>
    <w:p>
      <w:pPr>
        <w:spacing w:line="224" w:lineRule="exact"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合国家有关法规和证券监管部门的要求，并在公司运营的各个环节中予以执行和落实，不存在重大缺陷。董事会出具的公司</w:t>
      </w:r>
    </w:p>
    <w:p>
      <w:pPr>
        <w:spacing w:before="77"/>
        <w:ind w:left="153"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年度内部控制评价报告》评价客观真实，同意公司董事会按此披露</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年度公司内部控制情况及相关评价。</w:t>
      </w:r>
    </w:p>
    <w:p>
      <w:pPr>
        <w:spacing w:line="240" w:lineRule="auto" w:before="0"/>
        <w:rPr>
          <w:rFonts w:ascii="宋体" w:hAnsi="宋体" w:cs="宋体" w:eastAsia="宋体" w:hint="default"/>
          <w:sz w:val="24"/>
          <w:szCs w:val="24"/>
        </w:rPr>
      </w:pPr>
    </w:p>
    <w:p>
      <w:pPr>
        <w:pStyle w:val="Heading4"/>
        <w:spacing w:line="240" w:lineRule="auto"/>
        <w:ind w:right="0"/>
        <w:jc w:val="left"/>
        <w:rPr>
          <w:b w:val="0"/>
          <w:bCs w:val="0"/>
        </w:rPr>
      </w:pPr>
      <w:r>
        <w:rPr/>
        <w:t>九、高级管理人员的考评及激励情况</w:t>
      </w:r>
      <w:r>
        <w:rPr>
          <w:b w:val="0"/>
          <w:bCs w:val="0"/>
        </w:rPr>
      </w:r>
    </w:p>
    <w:p>
      <w:pPr>
        <w:spacing w:line="240" w:lineRule="auto" w:before="6"/>
        <w:rPr>
          <w:rFonts w:ascii="宋体" w:hAnsi="宋体" w:cs="宋体" w:eastAsia="宋体" w:hint="default"/>
          <w:b/>
          <w:bCs/>
          <w:sz w:val="26"/>
          <w:szCs w:val="26"/>
        </w:rPr>
      </w:pPr>
    </w:p>
    <w:p>
      <w:pPr>
        <w:spacing w:line="319" w:lineRule="auto" w:before="0"/>
        <w:ind w:left="154" w:right="1130" w:firstLine="360"/>
        <w:jc w:val="both"/>
        <w:rPr>
          <w:rFonts w:ascii="宋体" w:hAnsi="宋体" w:cs="宋体" w:eastAsia="宋体" w:hint="default"/>
          <w:sz w:val="18"/>
          <w:szCs w:val="18"/>
        </w:rPr>
      </w:pPr>
      <w:r>
        <w:rPr>
          <w:rFonts w:ascii="宋体" w:hAnsi="宋体" w:cs="宋体" w:eastAsia="宋体" w:hint="default"/>
          <w:spacing w:val="-2"/>
          <w:sz w:val="18"/>
          <w:szCs w:val="18"/>
        </w:rPr>
        <w:t>公司董事会按照经营指标、企业发展及重点工作任务指标等的完成情况等对高级管理人员进行考评，按照考评结果决定</w:t>
      </w:r>
      <w:r>
        <w:rPr>
          <w:rFonts w:ascii="宋体" w:hAnsi="宋体" w:cs="宋体" w:eastAsia="宋体" w:hint="default"/>
          <w:sz w:val="18"/>
          <w:szCs w:val="18"/>
        </w:rPr>
        <w:t> 其报酬、留用与否、晋升或降级。</w:t>
      </w:r>
    </w:p>
    <w:p>
      <w:pPr>
        <w:spacing w:line="319" w:lineRule="auto" w:before="56"/>
        <w:ind w:left="153" w:right="1131" w:firstLine="360"/>
        <w:jc w:val="both"/>
        <w:rPr>
          <w:rFonts w:ascii="宋体" w:hAnsi="宋体" w:cs="宋体" w:eastAsia="宋体" w:hint="default"/>
          <w:sz w:val="18"/>
          <w:szCs w:val="18"/>
        </w:rPr>
      </w:pPr>
      <w:r>
        <w:rPr>
          <w:rFonts w:ascii="宋体" w:hAnsi="宋体" w:cs="宋体" w:eastAsia="宋体" w:hint="default"/>
          <w:spacing w:val="-2"/>
          <w:sz w:val="18"/>
          <w:szCs w:val="18"/>
        </w:rPr>
        <w:t>公司将按照市场化原则不断完善考评及激励机制，对高级管理人员实行薪酬收入与管理水平、经营业绩挂钩，充分调动</w:t>
      </w:r>
      <w:r>
        <w:rPr>
          <w:rFonts w:ascii="宋体" w:hAnsi="宋体" w:cs="宋体" w:eastAsia="宋体" w:hint="default"/>
          <w:sz w:val="18"/>
          <w:szCs w:val="18"/>
        </w:rPr>
        <w:t> 高级管理人员的积极性和创新能力，切实推动公司效益提升。</w:t>
      </w:r>
    </w:p>
    <w:p>
      <w:pPr>
        <w:spacing w:line="240" w:lineRule="auto" w:before="6"/>
        <w:rPr>
          <w:rFonts w:ascii="宋体" w:hAnsi="宋体" w:cs="宋体" w:eastAsia="宋体" w:hint="default"/>
          <w:sz w:val="20"/>
          <w:szCs w:val="20"/>
        </w:rPr>
      </w:pPr>
    </w:p>
    <w:p>
      <w:pPr>
        <w:pStyle w:val="Heading4"/>
        <w:spacing w:line="240" w:lineRule="auto"/>
        <w:ind w:right="0"/>
        <w:jc w:val="left"/>
        <w:rPr>
          <w:b w:val="0"/>
          <w:bCs w:val="0"/>
        </w:rPr>
      </w:pPr>
      <w:r>
        <w:rPr/>
        <w:t>十、内部控制情况</w:t>
      </w:r>
      <w:r>
        <w:rPr>
          <w:b w:val="0"/>
          <w:bCs w:val="0"/>
        </w:rPr>
      </w:r>
    </w:p>
    <w:p>
      <w:pPr>
        <w:spacing w:line="240" w:lineRule="auto" w:before="9"/>
        <w:rPr>
          <w:rFonts w:ascii="宋体" w:hAnsi="宋体" w:cs="宋体" w:eastAsia="宋体" w:hint="default"/>
          <w:b/>
          <w:bCs/>
          <w:sz w:val="24"/>
          <w:szCs w:val="24"/>
        </w:rPr>
      </w:pPr>
    </w:p>
    <w:p>
      <w:pPr>
        <w:pStyle w:val="Heading5"/>
        <w:spacing w:line="240" w:lineRule="auto" w:before="0"/>
        <w:ind w:left="154" w:right="0"/>
        <w:jc w:val="left"/>
        <w:rPr>
          <w:b w:val="0"/>
          <w:bCs w:val="0"/>
        </w:rPr>
      </w:pPr>
      <w:r>
        <w:rPr>
          <w:rFonts w:ascii="Times New Roman" w:hAnsi="Times New Roman" w:cs="Times New Roman" w:eastAsia="Times New Roman" w:hint="default"/>
        </w:rPr>
        <w:t>1</w:t>
      </w:r>
      <w:r>
        <w:rPr/>
        <w:t>、报告期内发现的内部控制重大缺陷的具体情况</w:t>
      </w:r>
      <w:r>
        <w:rPr>
          <w:b w:val="0"/>
          <w:bCs w:val="0"/>
        </w:rPr>
      </w:r>
    </w:p>
    <w:p>
      <w:pPr>
        <w:spacing w:line="240" w:lineRule="auto" w:before="8"/>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 是 √ 否</w:t>
      </w:r>
    </w:p>
    <w:p>
      <w:pPr>
        <w:spacing w:after="0"/>
        <w:jc w:val="left"/>
        <w:rPr>
          <w:rFonts w:ascii="宋体" w:hAnsi="宋体" w:cs="宋体" w:eastAsia="宋体" w:hint="default"/>
          <w:sz w:val="18"/>
          <w:szCs w:val="18"/>
        </w:rPr>
        <w:sectPr>
          <w:pgSz w:w="11910" w:h="16840"/>
          <w:pgMar w:header="787" w:footer="982" w:top="1100" w:bottom="1180" w:left="980" w:right="0"/>
        </w:sectPr>
      </w:pPr>
    </w:p>
    <w:p>
      <w:pPr>
        <w:spacing w:line="240" w:lineRule="auto" w:before="7"/>
        <w:rPr>
          <w:rFonts w:ascii="宋体" w:hAnsi="宋体" w:cs="宋体" w:eastAsia="宋体" w:hint="default"/>
          <w:sz w:val="21"/>
          <w:szCs w:val="21"/>
        </w:rPr>
      </w:pPr>
    </w:p>
    <w:p>
      <w:pPr>
        <w:pStyle w:val="Heading5"/>
        <w:spacing w:line="240" w:lineRule="auto"/>
        <w:ind w:left="154" w:right="0"/>
        <w:jc w:val="left"/>
        <w:rPr>
          <w:b w:val="0"/>
          <w:bCs w:val="0"/>
        </w:rPr>
      </w:pPr>
      <w:r>
        <w:rPr>
          <w:rFonts w:ascii="Times New Roman" w:hAnsi="Times New Roman" w:cs="Times New Roman" w:eastAsia="Times New Roman" w:hint="default"/>
        </w:rPr>
        <w:t>2</w:t>
      </w:r>
      <w:r>
        <w:rPr/>
        <w:t>、内控自我评价报告</w:t>
      </w:r>
      <w:r>
        <w:rPr>
          <w:b w:val="0"/>
          <w:bCs w:val="0"/>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0"/>
          <w:szCs w:val="10"/>
        </w:rPr>
      </w:pPr>
    </w:p>
    <w:tbl>
      <w:tblPr>
        <w:tblW w:w="0" w:type="auto"/>
        <w:jc w:val="left"/>
        <w:tblInd w:w="183" w:type="dxa"/>
        <w:tblLayout w:type="fixed"/>
        <w:tblCellMar>
          <w:top w:w="0" w:type="dxa"/>
          <w:left w:w="0" w:type="dxa"/>
          <w:bottom w:w="0" w:type="dxa"/>
          <w:right w:w="0" w:type="dxa"/>
        </w:tblCellMar>
        <w:tblLook w:val="01E0"/>
      </w:tblPr>
      <w:tblGrid>
        <w:gridCol w:w="3194"/>
        <w:gridCol w:w="3323"/>
        <w:gridCol w:w="3052"/>
      </w:tblGrid>
      <w:tr>
        <w:trPr>
          <w:trHeight w:val="442" w:hRule="exact"/>
        </w:trPr>
        <w:tc>
          <w:tcPr>
            <w:tcW w:w="31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0"/>
              <w:ind w:left="22"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内部控制评价报告全文披露日期</w:t>
            </w:r>
          </w:p>
        </w:tc>
        <w:tc>
          <w:tcPr>
            <w:tcW w:w="63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162" w:hRule="exact"/>
        </w:trPr>
        <w:tc>
          <w:tcPr>
            <w:tcW w:w="3194" w:type="dxa"/>
            <w:tcBorders>
              <w:top w:val="single" w:sz="4" w:space="0" w:color="000000"/>
              <w:left w:val="single" w:sz="4" w:space="0" w:color="000000"/>
              <w:bottom w:val="nil" w:sz="6" w:space="0" w:color="auto"/>
              <w:right w:val="single" w:sz="4" w:space="0" w:color="000000"/>
            </w:tcBorders>
            <w:shd w:val="clear" w:color="auto" w:fill="D3D3D3"/>
          </w:tcPr>
          <w:p>
            <w:pPr/>
          </w:p>
        </w:tc>
        <w:tc>
          <w:tcPr>
            <w:tcW w:w="6374" w:type="dxa"/>
            <w:gridSpan w:val="2"/>
            <w:vMerge w:val="restart"/>
            <w:tcBorders>
              <w:top w:val="single" w:sz="4" w:space="0" w:color="000000"/>
              <w:left w:val="single" w:sz="4" w:space="0" w:color="000000"/>
              <w:right w:val="single" w:sz="4" w:space="0" w:color="000000"/>
            </w:tcBorders>
          </w:tcPr>
          <w:p>
            <w:pPr>
              <w:pStyle w:val="TableParagraph"/>
              <w:spacing w:line="300" w:lineRule="auto" w:before="71"/>
              <w:ind w:left="22" w:right="23" w:firstLine="360"/>
              <w:jc w:val="left"/>
              <w:rPr>
                <w:rFonts w:ascii="Times New Roman" w:hAnsi="Times New Roman" w:cs="Times New Roman" w:eastAsia="Times New Roman" w:hint="default"/>
                <w:sz w:val="18"/>
                <w:szCs w:val="18"/>
              </w:rPr>
            </w:pPr>
            <w:r>
              <w:rPr>
                <w:rFonts w:ascii="宋体" w:hAnsi="宋体" w:cs="宋体" w:eastAsia="宋体" w:hint="default"/>
                <w:sz w:val="18"/>
                <w:szCs w:val="18"/>
              </w:rPr>
              <w:t>公告名称：中国长城科技集团股份有限公司</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7"/>
                <w:sz w:val="18"/>
                <w:szCs w:val="18"/>
              </w:rPr>
              <w:t> </w:t>
            </w:r>
            <w:r>
              <w:rPr>
                <w:rFonts w:ascii="宋体" w:hAnsi="宋体" w:cs="宋体" w:eastAsia="宋体" w:hint="default"/>
                <w:spacing w:val="-3"/>
                <w:sz w:val="18"/>
                <w:szCs w:val="18"/>
              </w:rPr>
              <w:t>年度内部控制评价报告；披</w:t>
            </w:r>
            <w:r>
              <w:rPr>
                <w:rFonts w:ascii="宋体" w:hAnsi="宋体" w:cs="宋体" w:eastAsia="宋体" w:hint="default"/>
                <w:sz w:val="18"/>
                <w:szCs w:val="18"/>
              </w:rPr>
              <w:t> 露网址：</w:t>
            </w:r>
            <w:hyperlink r:id="rId9">
              <w:r>
                <w:rPr>
                  <w:rFonts w:ascii="Times New Roman" w:hAnsi="Times New Roman" w:cs="Times New Roman" w:eastAsia="Times New Roman" w:hint="default"/>
                  <w:sz w:val="18"/>
                  <w:szCs w:val="18"/>
                </w:rPr>
                <w:t>www.cninfo.com.cn</w:t>
              </w:r>
            </w:hyperlink>
          </w:p>
        </w:tc>
      </w:tr>
      <w:tr>
        <w:trPr>
          <w:trHeight w:val="432" w:hRule="exact"/>
        </w:trPr>
        <w:tc>
          <w:tcPr>
            <w:tcW w:w="3194" w:type="dxa"/>
            <w:tcBorders>
              <w:top w:val="nil" w:sz="6" w:space="0" w:color="auto"/>
              <w:left w:val="single" w:sz="4" w:space="0" w:color="000000"/>
              <w:bottom w:val="nil" w:sz="6" w:space="0" w:color="auto"/>
              <w:right w:val="single" w:sz="4" w:space="0" w:color="000000"/>
            </w:tcBorders>
            <w:shd w:val="clear" w:color="auto" w:fill="D3D3D3"/>
          </w:tcPr>
          <w:p>
            <w:pPr>
              <w:pStyle w:val="TableParagraph"/>
              <w:spacing w:line="240" w:lineRule="auto" w:before="70"/>
              <w:ind w:left="22"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内部控制评价报告全文披露索引</w:t>
            </w:r>
          </w:p>
        </w:tc>
        <w:tc>
          <w:tcPr>
            <w:tcW w:w="6374" w:type="dxa"/>
            <w:gridSpan w:val="2"/>
            <w:vMerge/>
            <w:tcBorders>
              <w:left w:val="single" w:sz="4" w:space="0" w:color="000000"/>
              <w:right w:val="single" w:sz="4" w:space="0" w:color="000000"/>
            </w:tcBorders>
          </w:tcPr>
          <w:p>
            <w:pPr/>
          </w:p>
        </w:tc>
      </w:tr>
      <w:tr>
        <w:trPr>
          <w:trHeight w:val="161" w:hRule="exact"/>
        </w:trPr>
        <w:tc>
          <w:tcPr>
            <w:tcW w:w="3194" w:type="dxa"/>
            <w:tcBorders>
              <w:top w:val="nil" w:sz="6" w:space="0" w:color="auto"/>
              <w:left w:val="single" w:sz="4" w:space="0" w:color="000000"/>
              <w:bottom w:val="single" w:sz="4" w:space="0" w:color="000000"/>
              <w:right w:val="single" w:sz="4" w:space="0" w:color="000000"/>
            </w:tcBorders>
            <w:shd w:val="clear" w:color="auto" w:fill="D3D3D3"/>
          </w:tcPr>
          <w:p>
            <w:pPr/>
          </w:p>
        </w:tc>
        <w:tc>
          <w:tcPr>
            <w:tcW w:w="6374" w:type="dxa"/>
            <w:gridSpan w:val="2"/>
            <w:vMerge/>
            <w:tcBorders>
              <w:left w:val="single" w:sz="4" w:space="0" w:color="000000"/>
              <w:bottom w:val="single" w:sz="4" w:space="0" w:color="000000"/>
              <w:right w:val="single" w:sz="4" w:space="0" w:color="000000"/>
            </w:tcBorders>
          </w:tcPr>
          <w:p>
            <w:pPr/>
          </w:p>
        </w:tc>
      </w:tr>
      <w:tr>
        <w:trPr>
          <w:trHeight w:val="754" w:hRule="exact"/>
        </w:trPr>
        <w:tc>
          <w:tcPr>
            <w:tcW w:w="31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70"/>
              <w:ind w:left="22" w:right="101"/>
              <w:jc w:val="left"/>
              <w:rPr>
                <w:rFonts w:ascii="宋体" w:hAnsi="宋体" w:cs="宋体" w:eastAsia="宋体" w:hint="default"/>
                <w:sz w:val="18"/>
                <w:szCs w:val="18"/>
              </w:rPr>
            </w:pPr>
            <w:r>
              <w:rPr>
                <w:rFonts w:ascii="宋体" w:hAnsi="宋体" w:cs="宋体" w:eastAsia="宋体" w:hint="default"/>
                <w:sz w:val="18"/>
                <w:szCs w:val="18"/>
              </w:rPr>
              <w:t>纳入评价范围单位资产总额占公司合并 财务报表资产总额的比例</w:t>
            </w:r>
          </w:p>
        </w:tc>
        <w:tc>
          <w:tcPr>
            <w:tcW w:w="6374" w:type="dxa"/>
            <w:gridSpan w:val="2"/>
            <w:tcBorders>
              <w:top w:val="single" w:sz="4" w:space="0" w:color="000000"/>
              <w:left w:val="single" w:sz="10" w:space="0" w:color="D3D3D3"/>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0"/>
                <w:szCs w:val="20"/>
              </w:rPr>
            </w:pPr>
          </w:p>
          <w:p>
            <w:pPr>
              <w:pStyle w:val="TableParagraph"/>
              <w:spacing w:line="240" w:lineRule="auto"/>
              <w:ind w:right="6"/>
              <w:jc w:val="center"/>
              <w:rPr>
                <w:rFonts w:ascii="Times New Roman" w:hAnsi="Times New Roman" w:cs="Times New Roman" w:eastAsia="Times New Roman" w:hint="default"/>
                <w:sz w:val="18"/>
                <w:szCs w:val="18"/>
              </w:rPr>
            </w:pPr>
            <w:r>
              <w:rPr>
                <w:rFonts w:ascii="Times New Roman"/>
                <w:sz w:val="18"/>
              </w:rPr>
              <w:t>98.15%</w:t>
            </w:r>
          </w:p>
        </w:tc>
      </w:tr>
      <w:tr>
        <w:trPr>
          <w:trHeight w:val="754" w:hRule="exact"/>
        </w:trPr>
        <w:tc>
          <w:tcPr>
            <w:tcW w:w="31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70"/>
              <w:ind w:left="22" w:right="101"/>
              <w:jc w:val="left"/>
              <w:rPr>
                <w:rFonts w:ascii="宋体" w:hAnsi="宋体" w:cs="宋体" w:eastAsia="宋体" w:hint="default"/>
                <w:sz w:val="18"/>
                <w:szCs w:val="18"/>
              </w:rPr>
            </w:pPr>
            <w:r>
              <w:rPr>
                <w:rFonts w:ascii="宋体" w:hAnsi="宋体" w:cs="宋体" w:eastAsia="宋体" w:hint="default"/>
                <w:sz w:val="18"/>
                <w:szCs w:val="18"/>
              </w:rPr>
              <w:t>纳入评价范围单位营业收入占公司合并 财务报表营业收入的比例</w:t>
            </w:r>
          </w:p>
        </w:tc>
        <w:tc>
          <w:tcPr>
            <w:tcW w:w="6374" w:type="dxa"/>
            <w:gridSpan w:val="2"/>
            <w:tcBorders>
              <w:top w:val="single" w:sz="4" w:space="0" w:color="000000"/>
              <w:left w:val="single" w:sz="10" w:space="0" w:color="D3D3D3"/>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0"/>
                <w:szCs w:val="20"/>
              </w:rPr>
            </w:pPr>
          </w:p>
          <w:p>
            <w:pPr>
              <w:pStyle w:val="TableParagraph"/>
              <w:spacing w:line="240" w:lineRule="auto"/>
              <w:ind w:right="6"/>
              <w:jc w:val="center"/>
              <w:rPr>
                <w:rFonts w:ascii="Times New Roman" w:hAnsi="Times New Roman" w:cs="Times New Roman" w:eastAsia="Times New Roman" w:hint="default"/>
                <w:sz w:val="18"/>
                <w:szCs w:val="18"/>
              </w:rPr>
            </w:pPr>
            <w:r>
              <w:rPr>
                <w:rFonts w:ascii="Times New Roman"/>
                <w:sz w:val="18"/>
              </w:rPr>
              <w:t>99.31%</w:t>
            </w:r>
          </w:p>
        </w:tc>
      </w:tr>
      <w:tr>
        <w:trPr>
          <w:trHeight w:val="442" w:hRule="exact"/>
        </w:trPr>
        <w:tc>
          <w:tcPr>
            <w:tcW w:w="9569" w:type="dxa"/>
            <w:gridSpan w:val="3"/>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1"/>
              <w:ind w:right="0"/>
              <w:jc w:val="center"/>
              <w:rPr>
                <w:rFonts w:ascii="宋体" w:hAnsi="宋体" w:cs="宋体" w:eastAsia="宋体" w:hint="default"/>
                <w:sz w:val="18"/>
                <w:szCs w:val="18"/>
              </w:rPr>
            </w:pPr>
            <w:r>
              <w:rPr>
                <w:rFonts w:ascii="宋体" w:hAnsi="宋体" w:cs="宋体" w:eastAsia="宋体" w:hint="default"/>
                <w:sz w:val="18"/>
                <w:szCs w:val="18"/>
              </w:rPr>
              <w:t>缺陷认定标准</w:t>
            </w:r>
          </w:p>
        </w:tc>
      </w:tr>
      <w:tr>
        <w:trPr>
          <w:trHeight w:val="442" w:hRule="exact"/>
        </w:trPr>
        <w:tc>
          <w:tcPr>
            <w:tcW w:w="31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332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0"/>
              <w:ind w:right="1"/>
              <w:jc w:val="center"/>
              <w:rPr>
                <w:rFonts w:ascii="宋体" w:hAnsi="宋体" w:cs="宋体" w:eastAsia="宋体" w:hint="default"/>
                <w:sz w:val="18"/>
                <w:szCs w:val="18"/>
              </w:rPr>
            </w:pPr>
            <w:r>
              <w:rPr>
                <w:rFonts w:ascii="宋体" w:hAnsi="宋体" w:cs="宋体" w:eastAsia="宋体" w:hint="default"/>
                <w:sz w:val="18"/>
                <w:szCs w:val="18"/>
              </w:rPr>
              <w:t>财务报告</w:t>
            </w:r>
          </w:p>
        </w:tc>
        <w:tc>
          <w:tcPr>
            <w:tcW w:w="305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0"/>
              <w:ind w:right="1"/>
              <w:jc w:val="center"/>
              <w:rPr>
                <w:rFonts w:ascii="宋体" w:hAnsi="宋体" w:cs="宋体" w:eastAsia="宋体" w:hint="default"/>
                <w:sz w:val="18"/>
                <w:szCs w:val="18"/>
              </w:rPr>
            </w:pPr>
            <w:r>
              <w:rPr>
                <w:rFonts w:ascii="宋体" w:hAnsi="宋体" w:cs="宋体" w:eastAsia="宋体" w:hint="default"/>
                <w:sz w:val="18"/>
                <w:szCs w:val="18"/>
              </w:rPr>
              <w:t>非财务报告</w:t>
            </w:r>
          </w:p>
        </w:tc>
      </w:tr>
      <w:tr>
        <w:trPr>
          <w:trHeight w:val="442" w:hRule="exact"/>
        </w:trPr>
        <w:tc>
          <w:tcPr>
            <w:tcW w:w="31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0"/>
              <w:ind w:left="22" w:right="0"/>
              <w:jc w:val="left"/>
              <w:rPr>
                <w:rFonts w:ascii="宋体" w:hAnsi="宋体" w:cs="宋体" w:eastAsia="宋体" w:hint="default"/>
                <w:sz w:val="18"/>
                <w:szCs w:val="18"/>
              </w:rPr>
            </w:pPr>
            <w:r>
              <w:rPr>
                <w:rFonts w:ascii="宋体" w:hAnsi="宋体" w:cs="宋体" w:eastAsia="宋体" w:hint="default"/>
                <w:sz w:val="18"/>
                <w:szCs w:val="18"/>
              </w:rPr>
              <w:t>定性标准</w:t>
            </w:r>
          </w:p>
        </w:tc>
        <w:tc>
          <w:tcPr>
            <w:tcW w:w="3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center"/>
              <w:rPr>
                <w:rFonts w:ascii="宋体" w:hAnsi="宋体" w:cs="宋体" w:eastAsia="宋体" w:hint="default"/>
                <w:sz w:val="18"/>
                <w:szCs w:val="18"/>
              </w:rPr>
            </w:pPr>
            <w:r>
              <w:rPr>
                <w:rFonts w:ascii="宋体" w:hAnsi="宋体" w:cs="宋体" w:eastAsia="宋体" w:hint="default"/>
                <w:sz w:val="18"/>
                <w:szCs w:val="18"/>
              </w:rPr>
              <w:t>详见以下说明</w:t>
            </w:r>
          </w:p>
        </w:tc>
        <w:tc>
          <w:tcPr>
            <w:tcW w:w="3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
              <w:jc w:val="center"/>
              <w:rPr>
                <w:rFonts w:ascii="宋体" w:hAnsi="宋体" w:cs="宋体" w:eastAsia="宋体" w:hint="default"/>
                <w:sz w:val="18"/>
                <w:szCs w:val="18"/>
              </w:rPr>
            </w:pPr>
            <w:r>
              <w:rPr>
                <w:rFonts w:ascii="宋体" w:hAnsi="宋体" w:cs="宋体" w:eastAsia="宋体" w:hint="default"/>
                <w:sz w:val="18"/>
                <w:szCs w:val="18"/>
              </w:rPr>
              <w:t>详见以下说明</w:t>
            </w:r>
          </w:p>
        </w:tc>
      </w:tr>
      <w:tr>
        <w:trPr>
          <w:trHeight w:val="443" w:hRule="exact"/>
        </w:trPr>
        <w:tc>
          <w:tcPr>
            <w:tcW w:w="31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定量标准</w:t>
            </w:r>
          </w:p>
        </w:tc>
        <w:tc>
          <w:tcPr>
            <w:tcW w:w="3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
              <w:jc w:val="center"/>
              <w:rPr>
                <w:rFonts w:ascii="宋体" w:hAnsi="宋体" w:cs="宋体" w:eastAsia="宋体" w:hint="default"/>
                <w:sz w:val="18"/>
                <w:szCs w:val="18"/>
              </w:rPr>
            </w:pPr>
            <w:r>
              <w:rPr>
                <w:rFonts w:ascii="宋体" w:hAnsi="宋体" w:cs="宋体" w:eastAsia="宋体" w:hint="default"/>
                <w:sz w:val="18"/>
                <w:szCs w:val="18"/>
              </w:rPr>
              <w:t>详见以下说明</w:t>
            </w:r>
          </w:p>
        </w:tc>
        <w:tc>
          <w:tcPr>
            <w:tcW w:w="3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
              <w:jc w:val="center"/>
              <w:rPr>
                <w:rFonts w:ascii="宋体" w:hAnsi="宋体" w:cs="宋体" w:eastAsia="宋体" w:hint="default"/>
                <w:sz w:val="18"/>
                <w:szCs w:val="18"/>
              </w:rPr>
            </w:pPr>
            <w:r>
              <w:rPr>
                <w:rFonts w:ascii="宋体" w:hAnsi="宋体" w:cs="宋体" w:eastAsia="宋体" w:hint="default"/>
                <w:sz w:val="18"/>
                <w:szCs w:val="18"/>
              </w:rPr>
              <w:t>详见以下说明</w:t>
            </w:r>
          </w:p>
        </w:tc>
      </w:tr>
      <w:tr>
        <w:trPr>
          <w:trHeight w:val="442" w:hRule="exact"/>
        </w:trPr>
        <w:tc>
          <w:tcPr>
            <w:tcW w:w="31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0"/>
              <w:ind w:left="22" w:right="0"/>
              <w:jc w:val="left"/>
              <w:rPr>
                <w:rFonts w:ascii="宋体" w:hAnsi="宋体" w:cs="宋体" w:eastAsia="宋体" w:hint="default"/>
                <w:sz w:val="18"/>
                <w:szCs w:val="18"/>
              </w:rPr>
            </w:pPr>
            <w:r>
              <w:rPr>
                <w:rFonts w:ascii="宋体" w:hAnsi="宋体" w:cs="宋体" w:eastAsia="宋体" w:hint="default"/>
                <w:sz w:val="18"/>
                <w:szCs w:val="18"/>
              </w:rPr>
              <w:t>财务报告重大缺陷数量（个）</w:t>
            </w:r>
          </w:p>
        </w:tc>
        <w:tc>
          <w:tcPr>
            <w:tcW w:w="63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
              <w:jc w:val="center"/>
              <w:rPr>
                <w:rFonts w:ascii="Times New Roman" w:hAnsi="Times New Roman" w:cs="Times New Roman" w:eastAsia="Times New Roman" w:hint="default"/>
                <w:sz w:val="18"/>
                <w:szCs w:val="18"/>
              </w:rPr>
            </w:pPr>
            <w:r>
              <w:rPr>
                <w:rFonts w:ascii="Times New Roman"/>
                <w:sz w:val="18"/>
              </w:rPr>
              <w:t>0</w:t>
            </w:r>
          </w:p>
        </w:tc>
      </w:tr>
      <w:tr>
        <w:trPr>
          <w:trHeight w:val="442" w:hRule="exact"/>
        </w:trPr>
        <w:tc>
          <w:tcPr>
            <w:tcW w:w="31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0"/>
              <w:ind w:left="22" w:right="0"/>
              <w:jc w:val="left"/>
              <w:rPr>
                <w:rFonts w:ascii="宋体" w:hAnsi="宋体" w:cs="宋体" w:eastAsia="宋体" w:hint="default"/>
                <w:sz w:val="18"/>
                <w:szCs w:val="18"/>
              </w:rPr>
            </w:pPr>
            <w:r>
              <w:rPr>
                <w:rFonts w:ascii="宋体" w:hAnsi="宋体" w:cs="宋体" w:eastAsia="宋体" w:hint="default"/>
                <w:sz w:val="18"/>
                <w:szCs w:val="18"/>
              </w:rPr>
              <w:t>非财务报告重大缺陷数量（个）</w:t>
            </w:r>
          </w:p>
        </w:tc>
        <w:tc>
          <w:tcPr>
            <w:tcW w:w="63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
              <w:jc w:val="center"/>
              <w:rPr>
                <w:rFonts w:ascii="Times New Roman" w:hAnsi="Times New Roman" w:cs="Times New Roman" w:eastAsia="Times New Roman" w:hint="default"/>
                <w:sz w:val="18"/>
                <w:szCs w:val="18"/>
              </w:rPr>
            </w:pPr>
            <w:r>
              <w:rPr>
                <w:rFonts w:ascii="Times New Roman"/>
                <w:sz w:val="18"/>
              </w:rPr>
              <w:t>0</w:t>
            </w:r>
          </w:p>
        </w:tc>
      </w:tr>
      <w:tr>
        <w:trPr>
          <w:trHeight w:val="443" w:hRule="exact"/>
        </w:trPr>
        <w:tc>
          <w:tcPr>
            <w:tcW w:w="31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财务报告重要缺陷数量（个）</w:t>
            </w:r>
          </w:p>
        </w:tc>
        <w:tc>
          <w:tcPr>
            <w:tcW w:w="63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1"/>
              <w:jc w:val="center"/>
              <w:rPr>
                <w:rFonts w:ascii="Times New Roman" w:hAnsi="Times New Roman" w:cs="Times New Roman" w:eastAsia="Times New Roman" w:hint="default"/>
                <w:sz w:val="18"/>
                <w:szCs w:val="18"/>
              </w:rPr>
            </w:pPr>
            <w:r>
              <w:rPr>
                <w:rFonts w:ascii="Times New Roman"/>
                <w:sz w:val="18"/>
              </w:rPr>
              <w:t>0</w:t>
            </w:r>
          </w:p>
        </w:tc>
      </w:tr>
      <w:tr>
        <w:trPr>
          <w:trHeight w:val="442" w:hRule="exact"/>
        </w:trPr>
        <w:tc>
          <w:tcPr>
            <w:tcW w:w="3194"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70"/>
              <w:ind w:left="22" w:right="0"/>
              <w:jc w:val="left"/>
              <w:rPr>
                <w:rFonts w:ascii="宋体" w:hAnsi="宋体" w:cs="宋体" w:eastAsia="宋体" w:hint="default"/>
                <w:sz w:val="18"/>
                <w:szCs w:val="18"/>
              </w:rPr>
            </w:pPr>
            <w:r>
              <w:rPr>
                <w:rFonts w:ascii="宋体" w:hAnsi="宋体" w:cs="宋体" w:eastAsia="宋体" w:hint="default"/>
                <w:sz w:val="18"/>
                <w:szCs w:val="18"/>
              </w:rPr>
              <w:t>非财务报告重要缺陷数量（个）</w:t>
            </w:r>
          </w:p>
        </w:tc>
        <w:tc>
          <w:tcPr>
            <w:tcW w:w="63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
              <w:jc w:val="center"/>
              <w:rPr>
                <w:rFonts w:ascii="Times New Roman" w:hAnsi="Times New Roman" w:cs="Times New Roman" w:eastAsia="Times New Roman" w:hint="default"/>
                <w:sz w:val="18"/>
                <w:szCs w:val="18"/>
              </w:rPr>
            </w:pPr>
            <w:r>
              <w:rPr>
                <w:rFonts w:ascii="Times New Roman"/>
                <w:sz w:val="18"/>
              </w:rPr>
              <w:t>0</w:t>
            </w:r>
          </w:p>
        </w:tc>
      </w:tr>
    </w:tbl>
    <w:p>
      <w:pPr>
        <w:spacing w:line="240" w:lineRule="auto" w:before="9"/>
        <w:rPr>
          <w:rFonts w:ascii="宋体" w:hAnsi="宋体" w:cs="宋体" w:eastAsia="宋体" w:hint="default"/>
          <w:b/>
          <w:bCs/>
          <w:sz w:val="23"/>
          <w:szCs w:val="23"/>
        </w:rPr>
      </w:pPr>
    </w:p>
    <w:p>
      <w:pPr>
        <w:pStyle w:val="Heading5"/>
        <w:spacing w:line="240" w:lineRule="auto"/>
        <w:ind w:left="154" w:right="0"/>
        <w:jc w:val="left"/>
        <w:rPr>
          <w:b w:val="0"/>
          <w:bCs w:val="0"/>
        </w:rPr>
      </w:pPr>
      <w:r>
        <w:rPr>
          <w:rFonts w:ascii="Times New Roman" w:hAnsi="Times New Roman" w:cs="Times New Roman" w:eastAsia="Times New Roman" w:hint="default"/>
        </w:rPr>
        <w:t>3</w:t>
      </w:r>
      <w:r>
        <w:rPr/>
        <w:t>、缺陷认定标准说明</w:t>
      </w:r>
      <w:r>
        <w:rPr>
          <w:b w:val="0"/>
          <w:bCs w:val="0"/>
        </w:rPr>
      </w:r>
    </w:p>
    <w:p>
      <w:pPr>
        <w:spacing w:line="240" w:lineRule="auto" w:before="2"/>
        <w:rPr>
          <w:rFonts w:ascii="宋体" w:hAnsi="宋体" w:cs="宋体" w:eastAsia="宋体" w:hint="default"/>
          <w:b/>
          <w:bCs/>
          <w:sz w:val="31"/>
          <w:szCs w:val="31"/>
        </w:rPr>
      </w:pPr>
    </w:p>
    <w:p>
      <w:pPr>
        <w:spacing w:before="0"/>
        <w:ind w:left="514" w:right="0" w:firstLine="0"/>
        <w:jc w:val="left"/>
        <w:rPr>
          <w:rFonts w:ascii="宋体" w:hAnsi="宋体" w:cs="宋体" w:eastAsia="宋体" w:hint="default"/>
          <w:sz w:val="18"/>
          <w:szCs w:val="18"/>
        </w:rPr>
      </w:pPr>
      <w:r>
        <w:rPr>
          <w:rFonts w:ascii="宋体" w:hAnsi="宋体" w:cs="宋体" w:eastAsia="宋体" w:hint="default"/>
          <w:sz w:val="18"/>
          <w:szCs w:val="18"/>
        </w:rPr>
        <w:t>公司确定的内部控制缺陷认定标准如下：</w:t>
      </w:r>
    </w:p>
    <w:p>
      <w:pPr>
        <w:spacing w:line="338" w:lineRule="auto" w:before="117"/>
        <w:ind w:left="513" w:right="1931"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）财务报告内部控制缺陷认定标准 以资产总额和利润总额为定量指标，分别针对资产负债表层面错报和损益表层面错报对缺陷等级进行划分。</w:t>
      </w:r>
    </w:p>
    <w:p>
      <w:pPr>
        <w:spacing w:line="240" w:lineRule="auto" w:before="8"/>
        <w:rPr>
          <w:rFonts w:ascii="宋体" w:hAnsi="宋体" w:cs="宋体" w:eastAsia="宋体" w:hint="default"/>
          <w:sz w:val="13"/>
          <w:szCs w:val="13"/>
        </w:rPr>
      </w:pPr>
    </w:p>
    <w:p>
      <w:pPr>
        <w:spacing w:line="3135" w:lineRule="exact"/>
        <w:ind w:left="2437" w:right="0" w:firstLine="0"/>
        <w:rPr>
          <w:rFonts w:ascii="宋体" w:hAnsi="宋体" w:cs="宋体" w:eastAsia="宋体" w:hint="default"/>
          <w:sz w:val="20"/>
          <w:szCs w:val="20"/>
        </w:rPr>
      </w:pPr>
      <w:r>
        <w:rPr>
          <w:rFonts w:ascii="宋体" w:hAnsi="宋体" w:cs="宋体" w:eastAsia="宋体" w:hint="default"/>
          <w:position w:val="-62"/>
          <w:sz w:val="20"/>
          <w:szCs w:val="20"/>
        </w:rPr>
        <w:drawing>
          <wp:inline distT="0" distB="0" distL="0" distR="0">
            <wp:extent cx="3218833" cy="1990725"/>
            <wp:effectExtent l="0" t="0" r="0" b="0"/>
            <wp:docPr id="9" name="image6.png" descr=""/>
            <wp:cNvGraphicFramePr>
              <a:graphicFrameLocks noChangeAspect="1"/>
            </wp:cNvGraphicFramePr>
            <a:graphic>
              <a:graphicData uri="http://schemas.openxmlformats.org/drawingml/2006/picture">
                <pic:pic>
                  <pic:nvPicPr>
                    <pic:cNvPr id="10" name="image6.png"/>
                    <pic:cNvPicPr/>
                  </pic:nvPicPr>
                  <pic:blipFill>
                    <a:blip r:embed="rId15" cstate="print"/>
                    <a:stretch>
                      <a:fillRect/>
                    </a:stretch>
                  </pic:blipFill>
                  <pic:spPr>
                    <a:xfrm>
                      <a:off x="0" y="0"/>
                      <a:ext cx="3218833" cy="1990725"/>
                    </a:xfrm>
                    <a:prstGeom prst="rect">
                      <a:avLst/>
                    </a:prstGeom>
                  </pic:spPr>
                </pic:pic>
              </a:graphicData>
            </a:graphic>
          </wp:inline>
        </w:drawing>
      </w:r>
      <w:r>
        <w:rPr>
          <w:rFonts w:ascii="宋体" w:hAnsi="宋体" w:cs="宋体" w:eastAsia="宋体" w:hint="default"/>
          <w:position w:val="-62"/>
          <w:sz w:val="20"/>
          <w:szCs w:val="20"/>
        </w:rPr>
      </w:r>
    </w:p>
    <w:p>
      <w:pPr>
        <w:spacing w:line="240" w:lineRule="auto" w:before="4"/>
        <w:rPr>
          <w:rFonts w:ascii="宋体" w:hAnsi="宋体" w:cs="宋体" w:eastAsia="宋体" w:hint="default"/>
          <w:sz w:val="15"/>
          <w:szCs w:val="15"/>
        </w:rPr>
      </w:pPr>
    </w:p>
    <w:p>
      <w:pPr>
        <w:spacing w:before="0"/>
        <w:ind w:left="514"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）非财务报告内部控制缺陷认定标准</w:t>
      </w:r>
    </w:p>
    <w:p>
      <w:pPr>
        <w:spacing w:line="319" w:lineRule="auto" w:before="102"/>
        <w:ind w:left="154" w:right="0" w:firstLine="360"/>
        <w:jc w:val="left"/>
        <w:rPr>
          <w:rFonts w:ascii="宋体" w:hAnsi="宋体" w:cs="宋体" w:eastAsia="宋体" w:hint="default"/>
          <w:sz w:val="18"/>
          <w:szCs w:val="18"/>
        </w:rPr>
      </w:pPr>
      <w:r>
        <w:rPr>
          <w:rFonts w:ascii="宋体" w:hAnsi="宋体" w:cs="宋体" w:eastAsia="宋体" w:hint="default"/>
          <w:spacing w:val="-2"/>
          <w:sz w:val="18"/>
          <w:szCs w:val="18"/>
        </w:rPr>
        <w:t>①结合《企业内部控制基本规范》及国家相关法律法规要求，同时考虑公司现状，通过直接财产净损失和负面影响两方</w:t>
      </w:r>
      <w:r>
        <w:rPr>
          <w:rFonts w:ascii="宋体" w:hAnsi="宋体" w:cs="宋体" w:eastAsia="宋体" w:hint="default"/>
          <w:sz w:val="18"/>
          <w:szCs w:val="18"/>
        </w:rPr>
        <w:t> 面，制定非财务报告内控缺陷定量标准。</w:t>
      </w:r>
    </w:p>
    <w:p>
      <w:pPr>
        <w:spacing w:after="0" w:line="319" w:lineRule="auto"/>
        <w:jc w:val="left"/>
        <w:rPr>
          <w:rFonts w:ascii="宋体" w:hAnsi="宋体" w:cs="宋体" w:eastAsia="宋体" w:hint="default"/>
          <w:sz w:val="18"/>
          <w:szCs w:val="18"/>
        </w:rPr>
        <w:sectPr>
          <w:pgSz w:w="11910" w:h="16840"/>
          <w:pgMar w:header="787" w:footer="982" w:top="1100" w:bottom="1180" w:left="980" w:right="0"/>
        </w:sect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p>
      <w:pPr>
        <w:spacing w:line="4768" w:lineRule="exact"/>
        <w:ind w:left="1834" w:right="0" w:firstLine="0"/>
        <w:rPr>
          <w:rFonts w:ascii="宋体" w:hAnsi="宋体" w:cs="宋体" w:eastAsia="宋体" w:hint="default"/>
          <w:sz w:val="20"/>
          <w:szCs w:val="20"/>
        </w:rPr>
      </w:pPr>
      <w:r>
        <w:rPr>
          <w:rFonts w:ascii="宋体" w:hAnsi="宋体" w:cs="宋体" w:eastAsia="宋体" w:hint="default"/>
          <w:position w:val="-94"/>
          <w:sz w:val="20"/>
          <w:szCs w:val="20"/>
        </w:rPr>
        <w:drawing>
          <wp:inline distT="0" distB="0" distL="0" distR="0">
            <wp:extent cx="3983400" cy="3027902"/>
            <wp:effectExtent l="0" t="0" r="0" b="0"/>
            <wp:docPr id="11" name="image7.png" descr=""/>
            <wp:cNvGraphicFramePr>
              <a:graphicFrameLocks noChangeAspect="1"/>
            </wp:cNvGraphicFramePr>
            <a:graphic>
              <a:graphicData uri="http://schemas.openxmlformats.org/drawingml/2006/picture">
                <pic:pic>
                  <pic:nvPicPr>
                    <pic:cNvPr id="12" name="image7.png"/>
                    <pic:cNvPicPr/>
                  </pic:nvPicPr>
                  <pic:blipFill>
                    <a:blip r:embed="rId16" cstate="print"/>
                    <a:stretch>
                      <a:fillRect/>
                    </a:stretch>
                  </pic:blipFill>
                  <pic:spPr>
                    <a:xfrm>
                      <a:off x="0" y="0"/>
                      <a:ext cx="3983400" cy="3027902"/>
                    </a:xfrm>
                    <a:prstGeom prst="rect">
                      <a:avLst/>
                    </a:prstGeom>
                  </pic:spPr>
                </pic:pic>
              </a:graphicData>
            </a:graphic>
          </wp:inline>
        </w:drawing>
      </w:r>
      <w:r>
        <w:rPr>
          <w:rFonts w:ascii="宋体" w:hAnsi="宋体" w:cs="宋体" w:eastAsia="宋体" w:hint="default"/>
          <w:position w:val="-94"/>
          <w:sz w:val="20"/>
          <w:szCs w:val="20"/>
        </w:rPr>
      </w:r>
    </w:p>
    <w:p>
      <w:pPr>
        <w:spacing w:line="240" w:lineRule="auto" w:before="3"/>
        <w:rPr>
          <w:rFonts w:ascii="宋体" w:hAnsi="宋体" w:cs="宋体" w:eastAsia="宋体" w:hint="default"/>
          <w:sz w:val="9"/>
          <w:szCs w:val="9"/>
        </w:rPr>
      </w:pPr>
    </w:p>
    <w:p>
      <w:pPr>
        <w:spacing w:line="316" w:lineRule="auto" w:before="44"/>
        <w:ind w:left="154" w:right="1129" w:firstLine="360"/>
        <w:jc w:val="both"/>
        <w:rPr>
          <w:rFonts w:ascii="宋体" w:hAnsi="宋体" w:cs="宋体" w:eastAsia="宋体" w:hint="default"/>
          <w:sz w:val="18"/>
          <w:szCs w:val="18"/>
        </w:rPr>
      </w:pPr>
      <w:r>
        <w:rPr>
          <w:rFonts w:ascii="宋体" w:hAnsi="宋体" w:cs="宋体" w:eastAsia="宋体" w:hint="default"/>
          <w:spacing w:val="-2"/>
          <w:sz w:val="18"/>
          <w:szCs w:val="18"/>
        </w:rPr>
        <w:t>②针对战略、经营及合规目标，采取定性指标来确定内控缺陷标准。由于战略、经营和合规目标实现往往受到不可控的</w:t>
      </w:r>
      <w:r>
        <w:rPr>
          <w:rFonts w:ascii="宋体" w:hAnsi="宋体" w:cs="宋体" w:eastAsia="宋体" w:hint="default"/>
          <w:sz w:val="18"/>
          <w:szCs w:val="18"/>
        </w:rPr>
        <w:t> </w:t>
      </w:r>
      <w:r>
        <w:rPr>
          <w:rFonts w:ascii="宋体" w:hAnsi="宋体" w:cs="宋体" w:eastAsia="宋体" w:hint="default"/>
          <w:spacing w:val="-2"/>
          <w:sz w:val="18"/>
          <w:szCs w:val="18"/>
        </w:rPr>
        <w:t>诸多外部因素影响，在认定针对这些控制目标的内控缺陷时，不仅考虑最终结果，还重点考虑公司制定战略、开展经营活动</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的机制和程序是否符合内控要求。</w:t>
      </w:r>
    </w:p>
    <w:p>
      <w:pPr>
        <w:spacing w:line="319" w:lineRule="auto" w:before="58"/>
        <w:ind w:left="154" w:right="1131" w:firstLine="360"/>
        <w:jc w:val="both"/>
        <w:rPr>
          <w:rFonts w:ascii="宋体" w:hAnsi="宋体" w:cs="宋体" w:eastAsia="宋体" w:hint="default"/>
          <w:sz w:val="18"/>
          <w:szCs w:val="18"/>
        </w:rPr>
      </w:pPr>
      <w:r>
        <w:rPr>
          <w:rFonts w:ascii="宋体" w:hAnsi="宋体" w:cs="宋体" w:eastAsia="宋体" w:hint="default"/>
          <w:spacing w:val="-2"/>
          <w:sz w:val="18"/>
          <w:szCs w:val="18"/>
        </w:rPr>
        <w:t>重大缺陷：缺乏内部控制，导致经营行为严重违反国家法律、法规的禁止性规定，出现重大失泄密案件、受到重大经济</w:t>
      </w:r>
      <w:r>
        <w:rPr>
          <w:rFonts w:ascii="宋体" w:hAnsi="宋体" w:cs="宋体" w:eastAsia="宋体" w:hint="default"/>
          <w:sz w:val="18"/>
          <w:szCs w:val="18"/>
        </w:rPr>
        <w:t> 处罚或产生重大财产损失；重要业务缺乏制度控制或制度系统性失效；内部控制评价确定的“重大缺陷”未得到整改。</w:t>
      </w:r>
    </w:p>
    <w:p>
      <w:pPr>
        <w:spacing w:line="319" w:lineRule="auto" w:before="55"/>
        <w:ind w:left="154" w:right="1131" w:firstLine="360"/>
        <w:jc w:val="both"/>
        <w:rPr>
          <w:rFonts w:ascii="宋体" w:hAnsi="宋体" w:cs="宋体" w:eastAsia="宋体" w:hint="default"/>
          <w:sz w:val="18"/>
          <w:szCs w:val="18"/>
        </w:rPr>
      </w:pPr>
      <w:r>
        <w:rPr>
          <w:rFonts w:ascii="宋体" w:hAnsi="宋体" w:cs="宋体" w:eastAsia="宋体" w:hint="default"/>
          <w:spacing w:val="-2"/>
          <w:sz w:val="18"/>
          <w:szCs w:val="18"/>
        </w:rPr>
        <w:t>重要缺陷：缺乏内部控制，导致经营行为违反国家法律、法规的禁止性规定，出现较大失泄密案件、受到较大经济处罚</w:t>
      </w:r>
      <w:r>
        <w:rPr>
          <w:rFonts w:ascii="宋体" w:hAnsi="宋体" w:cs="宋体" w:eastAsia="宋体" w:hint="default"/>
          <w:sz w:val="18"/>
          <w:szCs w:val="18"/>
        </w:rPr>
        <w:t> 或产生较大财产损失；主要业务缺乏制度控制或重要制度失效；内部控制评价确定的“重要缺陷”未得到整改。</w:t>
      </w:r>
    </w:p>
    <w:p>
      <w:pPr>
        <w:spacing w:before="56"/>
        <w:ind w:left="514" w:right="0" w:firstLine="0"/>
        <w:jc w:val="left"/>
        <w:rPr>
          <w:rFonts w:ascii="宋体" w:hAnsi="宋体" w:cs="宋体" w:eastAsia="宋体" w:hint="default"/>
          <w:sz w:val="18"/>
          <w:szCs w:val="18"/>
        </w:rPr>
      </w:pPr>
      <w:r>
        <w:rPr>
          <w:rFonts w:ascii="宋体" w:hAnsi="宋体" w:cs="宋体" w:eastAsia="宋体" w:hint="default"/>
          <w:sz w:val="18"/>
          <w:szCs w:val="18"/>
        </w:rPr>
        <w:t>一般缺陷为除重大缺陷、重要缺陷以外的其他控制缺陷。</w:t>
      </w:r>
    </w:p>
    <w:p>
      <w:pPr>
        <w:spacing w:line="240" w:lineRule="auto" w:before="5"/>
        <w:rPr>
          <w:rFonts w:ascii="宋体" w:hAnsi="宋体" w:cs="宋体" w:eastAsia="宋体" w:hint="default"/>
          <w:sz w:val="20"/>
          <w:szCs w:val="20"/>
        </w:rPr>
      </w:pPr>
    </w:p>
    <w:p>
      <w:pPr>
        <w:pStyle w:val="Heading4"/>
        <w:spacing w:line="240" w:lineRule="auto"/>
        <w:ind w:right="0"/>
        <w:jc w:val="left"/>
        <w:rPr>
          <w:b w:val="0"/>
          <w:bCs w:val="0"/>
        </w:rPr>
      </w:pPr>
      <w:r>
        <w:rPr/>
        <w:t>十一、内部控制审计报告</w:t>
      </w:r>
      <w:r>
        <w:rPr>
          <w:b w:val="0"/>
          <w:bCs w:val="0"/>
        </w:rPr>
      </w:r>
    </w:p>
    <w:p>
      <w:pPr>
        <w:spacing w:line="240" w:lineRule="auto" w:before="13"/>
        <w:rPr>
          <w:rFonts w:ascii="宋体" w:hAnsi="宋体" w:cs="宋体" w:eastAsia="宋体" w:hint="default"/>
          <w:b/>
          <w:bCs/>
          <w:sz w:val="21"/>
          <w:szCs w:val="21"/>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662"/>
        <w:gridCol w:w="6906"/>
      </w:tblGrid>
      <w:tr>
        <w:trPr>
          <w:trHeight w:val="402" w:hRule="exact"/>
        </w:trPr>
        <w:tc>
          <w:tcPr>
            <w:tcW w:w="9568" w:type="dxa"/>
            <w:gridSpan w:val="2"/>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内部控制审计报告中的审议意见段</w:t>
            </w:r>
          </w:p>
        </w:tc>
      </w:tr>
      <w:tr>
        <w:trPr>
          <w:trHeight w:val="714" w:hRule="exact"/>
        </w:trPr>
        <w:tc>
          <w:tcPr>
            <w:tcW w:w="9568" w:type="dxa"/>
            <w:gridSpan w:val="2"/>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103" w:right="183" w:firstLine="360"/>
              <w:jc w:val="left"/>
              <w:rPr>
                <w:rFonts w:ascii="宋体" w:hAnsi="宋体" w:cs="宋体" w:eastAsia="宋体" w:hint="default"/>
                <w:sz w:val="18"/>
                <w:szCs w:val="18"/>
              </w:rPr>
            </w:pPr>
            <w:r>
              <w:rPr>
                <w:rFonts w:ascii="宋体" w:hAnsi="宋体" w:cs="宋体" w:eastAsia="宋体" w:hint="default"/>
                <w:sz w:val="18"/>
                <w:szCs w:val="18"/>
              </w:rPr>
              <w:t>中国长城于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日按照《企业内部控制基本规范》和相关规定在所有重大方面保持了有效的财务报告 内部控制。</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内控审计报告披露情况</w:t>
            </w:r>
          </w:p>
        </w:tc>
        <w:tc>
          <w:tcPr>
            <w:tcW w:w="6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披露</w:t>
            </w:r>
          </w:p>
        </w:tc>
      </w:tr>
      <w:tr>
        <w:trPr>
          <w:trHeight w:val="714" w:hRule="exact"/>
        </w:trPr>
        <w:tc>
          <w:tcPr>
            <w:tcW w:w="26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103" w:right="206"/>
              <w:jc w:val="left"/>
              <w:rPr>
                <w:rFonts w:ascii="宋体" w:hAnsi="宋体" w:cs="宋体" w:eastAsia="宋体" w:hint="default"/>
                <w:sz w:val="18"/>
                <w:szCs w:val="18"/>
              </w:rPr>
            </w:pPr>
            <w:r>
              <w:rPr>
                <w:rFonts w:ascii="宋体" w:hAnsi="宋体" w:cs="宋体" w:eastAsia="宋体" w:hint="default"/>
                <w:sz w:val="18"/>
                <w:szCs w:val="18"/>
              </w:rPr>
              <w:t>内部控制审计报告全文披露日 期</w:t>
            </w:r>
          </w:p>
        </w:tc>
        <w:tc>
          <w:tcPr>
            <w:tcW w:w="6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714" w:hRule="exact"/>
        </w:trPr>
        <w:tc>
          <w:tcPr>
            <w:tcW w:w="26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316" w:lineRule="auto" w:before="51"/>
              <w:ind w:left="103" w:right="206"/>
              <w:jc w:val="left"/>
              <w:rPr>
                <w:rFonts w:ascii="宋体" w:hAnsi="宋体" w:cs="宋体" w:eastAsia="宋体" w:hint="default"/>
                <w:sz w:val="18"/>
                <w:szCs w:val="18"/>
              </w:rPr>
            </w:pPr>
            <w:r>
              <w:rPr>
                <w:rFonts w:ascii="宋体" w:hAnsi="宋体" w:cs="宋体" w:eastAsia="宋体" w:hint="default"/>
                <w:sz w:val="18"/>
                <w:szCs w:val="18"/>
              </w:rPr>
              <w:t>内部控制审计报告全文披露索 引</w:t>
            </w:r>
          </w:p>
        </w:tc>
        <w:tc>
          <w:tcPr>
            <w:tcW w:w="6906"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103" w:right="101" w:firstLine="360"/>
              <w:jc w:val="left"/>
              <w:rPr>
                <w:rFonts w:ascii="Times New Roman" w:hAnsi="Times New Roman" w:cs="Times New Roman" w:eastAsia="Times New Roman" w:hint="default"/>
                <w:sz w:val="18"/>
                <w:szCs w:val="18"/>
              </w:rPr>
            </w:pPr>
            <w:r>
              <w:rPr>
                <w:rFonts w:ascii="宋体" w:hAnsi="宋体" w:cs="宋体" w:eastAsia="宋体" w:hint="default"/>
                <w:sz w:val="18"/>
                <w:szCs w:val="18"/>
              </w:rPr>
              <w:t>公告名称：中国长城科技集团股份有限公司</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9"/>
                <w:sz w:val="18"/>
                <w:szCs w:val="18"/>
              </w:rPr>
              <w:t> </w:t>
            </w:r>
            <w:r>
              <w:rPr>
                <w:rFonts w:ascii="宋体" w:hAnsi="宋体" w:cs="宋体" w:eastAsia="宋体" w:hint="default"/>
                <w:spacing w:val="-3"/>
                <w:sz w:val="18"/>
                <w:szCs w:val="18"/>
              </w:rPr>
              <w:t>年度内部控制审计报告；披露网</w:t>
            </w:r>
            <w:r>
              <w:rPr>
                <w:rFonts w:ascii="宋体" w:hAnsi="宋体" w:cs="宋体" w:eastAsia="宋体" w:hint="default"/>
                <w:sz w:val="18"/>
                <w:szCs w:val="18"/>
              </w:rPr>
              <w:t> 址：</w:t>
            </w:r>
            <w:hyperlink r:id="rId9">
              <w:r>
                <w:rPr>
                  <w:rFonts w:ascii="Times New Roman" w:hAnsi="Times New Roman" w:cs="Times New Roman" w:eastAsia="Times New Roman" w:hint="default"/>
                  <w:sz w:val="18"/>
                  <w:szCs w:val="18"/>
                </w:rPr>
                <w:t>www.cninfo.com.cn</w:t>
              </w:r>
            </w:hyperlink>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内控审计报告意见类型</w:t>
            </w:r>
          </w:p>
        </w:tc>
        <w:tc>
          <w:tcPr>
            <w:tcW w:w="6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标准无保留意见</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非财务报告是否存在重大缺陷</w:t>
            </w:r>
          </w:p>
        </w:tc>
        <w:tc>
          <w:tcPr>
            <w:tcW w:w="6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否</w:t>
            </w:r>
          </w:p>
        </w:tc>
      </w:tr>
    </w:tbl>
    <w:p>
      <w:pPr>
        <w:spacing w:before="51"/>
        <w:ind w:left="154" w:right="0" w:firstLine="0"/>
        <w:jc w:val="left"/>
        <w:rPr>
          <w:rFonts w:ascii="宋体" w:hAnsi="宋体" w:cs="宋体" w:eastAsia="宋体" w:hint="default"/>
          <w:sz w:val="18"/>
          <w:szCs w:val="18"/>
        </w:rPr>
      </w:pPr>
      <w:r>
        <w:rPr>
          <w:rFonts w:ascii="宋体" w:hAnsi="宋体" w:cs="宋体" w:eastAsia="宋体" w:hint="default"/>
          <w:sz w:val="18"/>
          <w:szCs w:val="18"/>
        </w:rPr>
        <w:t>会计师事务所是否出具非标准意见的内部控制审计报告</w:t>
      </w:r>
    </w:p>
    <w:p>
      <w:pPr>
        <w:spacing w:line="357" w:lineRule="auto" w:before="117"/>
        <w:ind w:left="153" w:right="4631" w:firstLine="0"/>
        <w:jc w:val="left"/>
        <w:rPr>
          <w:rFonts w:ascii="宋体" w:hAnsi="宋体" w:cs="宋体" w:eastAsia="宋体" w:hint="default"/>
          <w:sz w:val="18"/>
          <w:szCs w:val="18"/>
        </w:rPr>
      </w:pPr>
      <w:r>
        <w:rPr>
          <w:rFonts w:ascii="宋体" w:hAnsi="宋体" w:cs="宋体" w:eastAsia="宋体" w:hint="default"/>
          <w:sz w:val="18"/>
          <w:szCs w:val="18"/>
        </w:rPr>
        <w:t>□ 是 √ 否 会计师事务所出具的内部控制审计报告与董事会的自我评价报告意见是否一致</w:t>
      </w:r>
    </w:p>
    <w:p>
      <w:pPr>
        <w:spacing w:before="28"/>
        <w:ind w:left="153" w:right="0" w:firstLine="0"/>
        <w:jc w:val="left"/>
        <w:rPr>
          <w:rFonts w:ascii="宋体" w:hAnsi="宋体" w:cs="宋体" w:eastAsia="宋体" w:hint="default"/>
          <w:sz w:val="18"/>
          <w:szCs w:val="18"/>
        </w:rPr>
      </w:pPr>
      <w:r>
        <w:rPr>
          <w:rFonts w:ascii="宋体" w:hAnsi="宋体" w:cs="宋体" w:eastAsia="宋体" w:hint="default"/>
          <w:sz w:val="18"/>
          <w:szCs w:val="18"/>
        </w:rPr>
        <w:t>√ 是 □ 否</w:t>
      </w:r>
    </w:p>
    <w:p>
      <w:pPr>
        <w:spacing w:after="0"/>
        <w:jc w:val="left"/>
        <w:rPr>
          <w:rFonts w:ascii="宋体" w:hAnsi="宋体" w:cs="宋体" w:eastAsia="宋体" w:hint="default"/>
          <w:sz w:val="18"/>
          <w:szCs w:val="18"/>
        </w:rPr>
        <w:sectPr>
          <w:pgSz w:w="11910" w:h="16840"/>
          <w:pgMar w:header="787" w:footer="982" w:top="1100" w:bottom="118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7"/>
          <w:szCs w:val="17"/>
        </w:rPr>
      </w:pPr>
    </w:p>
    <w:p>
      <w:pPr>
        <w:pStyle w:val="Heading1"/>
        <w:spacing w:line="240" w:lineRule="auto"/>
        <w:ind w:left="157" w:right="1131"/>
        <w:jc w:val="center"/>
        <w:rPr>
          <w:b w:val="0"/>
          <w:bCs w:val="0"/>
        </w:rPr>
      </w:pPr>
      <w:bookmarkStart w:name="_TOC_250002" w:id="10"/>
      <w:r>
        <w:rPr/>
        <w:t>第十节</w:t>
      </w:r>
      <w:r>
        <w:rPr>
          <w:spacing w:val="-9"/>
        </w:rPr>
        <w:t> </w:t>
      </w:r>
      <w:r>
        <w:rPr/>
        <w:t>公司债券相关情况</w:t>
      </w:r>
      <w:bookmarkEnd w:id="10"/>
      <w:r>
        <w:rPr>
          <w:b w:val="0"/>
          <w:bCs w:val="0"/>
        </w:rPr>
      </w:r>
    </w:p>
    <w:p>
      <w:pPr>
        <w:spacing w:line="240" w:lineRule="auto" w:before="8"/>
        <w:rPr>
          <w:rFonts w:ascii="宋体" w:hAnsi="宋体" w:cs="宋体" w:eastAsia="宋体" w:hint="default"/>
          <w:b/>
          <w:bCs/>
          <w:sz w:val="42"/>
          <w:szCs w:val="42"/>
        </w:rPr>
      </w:pPr>
    </w:p>
    <w:p>
      <w:pPr>
        <w:spacing w:before="0"/>
        <w:ind w:left="514" w:right="0" w:firstLine="0"/>
        <w:jc w:val="left"/>
        <w:rPr>
          <w:rFonts w:ascii="宋体" w:hAnsi="宋体" w:cs="宋体" w:eastAsia="宋体" w:hint="default"/>
          <w:sz w:val="18"/>
          <w:szCs w:val="18"/>
        </w:rPr>
      </w:pPr>
      <w:r>
        <w:rPr>
          <w:rFonts w:ascii="宋体" w:hAnsi="宋体" w:cs="宋体" w:eastAsia="宋体" w:hint="default"/>
          <w:sz w:val="18"/>
          <w:szCs w:val="18"/>
        </w:rPr>
        <w:t>公司不存在公开发行并在证券交易所上市，且在年度报告批准报出日未到期或到期未能全额兑付的公司债券。</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21"/>
          <w:szCs w:val="21"/>
        </w:rPr>
      </w:pPr>
    </w:p>
    <w:p>
      <w:pPr>
        <w:pStyle w:val="Heading1"/>
        <w:spacing w:line="240" w:lineRule="auto" w:before="0"/>
        <w:ind w:right="1131"/>
        <w:jc w:val="center"/>
        <w:rPr>
          <w:b w:val="0"/>
          <w:bCs w:val="0"/>
        </w:rPr>
      </w:pPr>
      <w:bookmarkStart w:name="_TOC_250001" w:id="11"/>
      <w:r>
        <w:rPr/>
        <w:t>第十一节</w:t>
      </w:r>
      <w:r>
        <w:rPr>
          <w:spacing w:val="-7"/>
        </w:rPr>
        <w:t> </w:t>
      </w:r>
      <w:r>
        <w:rPr/>
        <w:t>财务报告</w:t>
      </w:r>
      <w:bookmarkEnd w:id="11"/>
      <w:r>
        <w:rPr>
          <w:b w:val="0"/>
          <w:bCs w:val="0"/>
        </w:rPr>
      </w:r>
    </w:p>
    <w:p>
      <w:pPr>
        <w:spacing w:line="240" w:lineRule="auto" w:before="10"/>
        <w:rPr>
          <w:rFonts w:ascii="宋体" w:hAnsi="宋体" w:cs="宋体" w:eastAsia="宋体" w:hint="default"/>
          <w:b/>
          <w:bCs/>
          <w:sz w:val="38"/>
          <w:szCs w:val="38"/>
        </w:rPr>
      </w:pPr>
    </w:p>
    <w:p>
      <w:pPr>
        <w:pStyle w:val="Heading4"/>
        <w:spacing w:line="240" w:lineRule="auto"/>
        <w:ind w:right="0"/>
        <w:jc w:val="left"/>
        <w:rPr>
          <w:b w:val="0"/>
          <w:bCs w:val="0"/>
        </w:rPr>
      </w:pPr>
      <w:r>
        <w:rPr/>
        <w:t>一、审计报告</w:t>
      </w:r>
      <w:r>
        <w:rPr>
          <w:b w:val="0"/>
          <w:bCs w:val="0"/>
        </w:rPr>
      </w:r>
    </w:p>
    <w:p>
      <w:pPr>
        <w:spacing w:line="240" w:lineRule="auto" w:before="10"/>
        <w:rPr>
          <w:rFonts w:ascii="宋体" w:hAnsi="宋体" w:cs="宋体" w:eastAsia="宋体" w:hint="default"/>
          <w:b/>
          <w:bCs/>
          <w:sz w:val="25"/>
          <w:szCs w:val="25"/>
        </w:rPr>
      </w:pPr>
    </w:p>
    <w:tbl>
      <w:tblPr>
        <w:tblW w:w="0" w:type="auto"/>
        <w:jc w:val="left"/>
        <w:tblInd w:w="183" w:type="dxa"/>
        <w:tblLayout w:type="fixed"/>
        <w:tblCellMar>
          <w:top w:w="0" w:type="dxa"/>
          <w:left w:w="0" w:type="dxa"/>
          <w:bottom w:w="0" w:type="dxa"/>
          <w:right w:w="0" w:type="dxa"/>
        </w:tblCellMar>
        <w:tblLook w:val="01E0"/>
      </w:tblPr>
      <w:tblGrid>
        <w:gridCol w:w="4783"/>
        <w:gridCol w:w="4786"/>
      </w:tblGrid>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审计意见类型</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标准的无保留意见</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审计报告签署日期</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审计机构名称</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立信会计师事务所（特殊普通合伙）</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审计报告文号</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信会师报字</w:t>
            </w:r>
            <w:r>
              <w:rPr>
                <w:rFonts w:ascii="Times New Roman" w:hAnsi="Times New Roman" w:cs="Times New Roman" w:eastAsia="Times New Roman" w:hint="default"/>
                <w:sz w:val="18"/>
                <w:szCs w:val="18"/>
              </w:rPr>
              <w:t>[2019]</w:t>
            </w:r>
            <w:r>
              <w:rPr>
                <w:rFonts w:ascii="宋体" w:hAnsi="宋体" w:cs="宋体" w:eastAsia="宋体" w:hint="default"/>
                <w:sz w:val="18"/>
                <w:szCs w:val="18"/>
              </w:rPr>
              <w:t>第</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ZG24426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3D3D3"/>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注册会计师姓名</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许培梅、顾欣</w:t>
            </w:r>
          </w:p>
        </w:tc>
      </w:tr>
    </w:tbl>
    <w:p>
      <w:pPr>
        <w:spacing w:line="240" w:lineRule="auto" w:before="2"/>
        <w:rPr>
          <w:rFonts w:ascii="宋体" w:hAnsi="宋体" w:cs="宋体" w:eastAsia="宋体" w:hint="default"/>
          <w:b/>
          <w:bCs/>
          <w:sz w:val="18"/>
          <w:szCs w:val="18"/>
        </w:rPr>
      </w:pPr>
    </w:p>
    <w:p>
      <w:pPr>
        <w:pStyle w:val="Heading4"/>
        <w:spacing w:line="468" w:lineRule="auto" w:before="26"/>
        <w:ind w:left="153" w:right="7619"/>
        <w:jc w:val="left"/>
        <w:rPr>
          <w:b w:val="0"/>
          <w:bCs w:val="0"/>
        </w:rPr>
      </w:pPr>
      <w:r>
        <w:rPr/>
        <w:t>二、经审计财务报表（附后）</w:t>
      </w:r>
      <w:r>
        <w:rPr>
          <w:spacing w:val="1"/>
          <w:w w:val="99"/>
        </w:rPr>
        <w:t> </w:t>
      </w:r>
      <w:r>
        <w:rPr/>
        <w:t>三、财务报表附注（附后）</w:t>
      </w:r>
      <w:r>
        <w:rPr>
          <w:b w:val="0"/>
          <w:bCs w:val="0"/>
        </w:rPr>
      </w:r>
    </w:p>
    <w:p>
      <w:pPr>
        <w:spacing w:line="240" w:lineRule="auto" w:before="3"/>
        <w:rPr>
          <w:rFonts w:ascii="宋体" w:hAnsi="宋体" w:cs="宋体" w:eastAsia="宋体" w:hint="default"/>
          <w:b/>
          <w:bCs/>
          <w:sz w:val="20"/>
          <w:szCs w:val="20"/>
        </w:rPr>
      </w:pPr>
    </w:p>
    <w:p>
      <w:pPr>
        <w:pStyle w:val="Heading1"/>
        <w:spacing w:line="240" w:lineRule="auto" w:before="0"/>
        <w:ind w:left="154" w:right="1131"/>
        <w:jc w:val="center"/>
        <w:rPr>
          <w:b w:val="0"/>
          <w:bCs w:val="0"/>
        </w:rPr>
      </w:pPr>
      <w:bookmarkStart w:name="_TOC_250000" w:id="12"/>
      <w:r>
        <w:rPr/>
        <w:t>第十二节</w:t>
      </w:r>
      <w:r>
        <w:rPr>
          <w:spacing w:val="-9"/>
        </w:rPr>
        <w:t> </w:t>
      </w:r>
      <w:r>
        <w:rPr/>
        <w:t>备查文件目录</w:t>
      </w:r>
      <w:bookmarkEnd w:id="12"/>
      <w:r>
        <w:rPr>
          <w:b w:val="0"/>
          <w:bCs w:val="0"/>
        </w:rPr>
      </w:r>
    </w:p>
    <w:p>
      <w:pPr>
        <w:spacing w:line="240" w:lineRule="auto" w:before="9"/>
        <w:rPr>
          <w:rFonts w:ascii="宋体" w:hAnsi="宋体" w:cs="宋体" w:eastAsia="宋体" w:hint="default"/>
          <w:b/>
          <w:bCs/>
          <w:sz w:val="42"/>
          <w:szCs w:val="42"/>
        </w:rPr>
      </w:pPr>
    </w:p>
    <w:p>
      <w:pPr>
        <w:spacing w:before="0"/>
        <w:ind w:left="514" w:right="0" w:firstLine="0"/>
        <w:jc w:val="left"/>
        <w:rPr>
          <w:rFonts w:ascii="宋体" w:hAnsi="宋体" w:cs="宋体" w:eastAsia="宋体" w:hint="default"/>
          <w:sz w:val="18"/>
          <w:szCs w:val="18"/>
        </w:rPr>
      </w:pPr>
      <w:r>
        <w:rPr>
          <w:rFonts w:ascii="宋体" w:hAnsi="宋体" w:cs="宋体" w:eastAsia="宋体" w:hint="default"/>
          <w:sz w:val="18"/>
          <w:szCs w:val="18"/>
        </w:rPr>
        <w:t>（一）载有公司负责人、主管会计工作负责人、会计机构负责人（会计主管人员）签名并盖章的年度财务报表；</w:t>
      </w:r>
    </w:p>
    <w:p>
      <w:pPr>
        <w:spacing w:before="116"/>
        <w:ind w:left="514" w:right="0" w:firstLine="0"/>
        <w:jc w:val="left"/>
        <w:rPr>
          <w:rFonts w:ascii="宋体" w:hAnsi="宋体" w:cs="宋体" w:eastAsia="宋体" w:hint="default"/>
          <w:sz w:val="18"/>
          <w:szCs w:val="18"/>
        </w:rPr>
      </w:pPr>
      <w:r>
        <w:rPr>
          <w:rFonts w:ascii="宋体" w:hAnsi="宋体" w:cs="宋体" w:eastAsia="宋体" w:hint="default"/>
          <w:sz w:val="18"/>
          <w:szCs w:val="18"/>
        </w:rPr>
        <w:t>（二）载有会计师事务所盖章、注册会计师签名并盖章的审计报告原件；</w:t>
      </w:r>
    </w:p>
    <w:p>
      <w:pPr>
        <w:spacing w:line="319" w:lineRule="auto" w:before="115"/>
        <w:ind w:left="154" w:right="1132" w:firstLine="360"/>
        <w:jc w:val="left"/>
        <w:rPr>
          <w:rFonts w:ascii="宋体" w:hAnsi="宋体" w:cs="宋体" w:eastAsia="宋体" w:hint="default"/>
          <w:sz w:val="18"/>
          <w:szCs w:val="18"/>
        </w:rPr>
      </w:pPr>
      <w:r>
        <w:rPr>
          <w:rFonts w:ascii="宋体" w:hAnsi="宋体" w:cs="宋体" w:eastAsia="宋体" w:hint="default"/>
          <w:spacing w:val="-9"/>
          <w:sz w:val="18"/>
          <w:szCs w:val="18"/>
        </w:rPr>
        <w:t>（三）报告期内在《中国证券报》、《证券时报》、《上海证券报》及巨潮资讯网公开披露过的公司所有文件正本及公告原</w:t>
      </w:r>
      <w:r>
        <w:rPr>
          <w:rFonts w:ascii="宋体" w:hAnsi="宋体" w:cs="宋体" w:eastAsia="宋体" w:hint="default"/>
          <w:sz w:val="18"/>
          <w:szCs w:val="18"/>
        </w:rPr>
        <w:t> 稿；</w:t>
      </w:r>
    </w:p>
    <w:p>
      <w:pPr>
        <w:spacing w:before="58"/>
        <w:ind w:left="514" w:right="0" w:firstLine="0"/>
        <w:jc w:val="left"/>
        <w:rPr>
          <w:rFonts w:ascii="宋体" w:hAnsi="宋体" w:cs="宋体" w:eastAsia="宋体" w:hint="default"/>
          <w:sz w:val="18"/>
          <w:szCs w:val="18"/>
        </w:rPr>
      </w:pPr>
      <w:r>
        <w:rPr>
          <w:rFonts w:ascii="宋体" w:hAnsi="宋体" w:cs="宋体" w:eastAsia="宋体" w:hint="default"/>
          <w:sz w:val="18"/>
          <w:szCs w:val="18"/>
        </w:rPr>
        <w:t>（四）载有董事长亲笔签名的年度报告文本；</w:t>
      </w:r>
    </w:p>
    <w:p>
      <w:pPr>
        <w:spacing w:before="116"/>
        <w:ind w:left="514" w:right="0" w:firstLine="0"/>
        <w:jc w:val="left"/>
        <w:rPr>
          <w:rFonts w:ascii="宋体" w:hAnsi="宋体" w:cs="宋体" w:eastAsia="宋体" w:hint="default"/>
          <w:sz w:val="18"/>
          <w:szCs w:val="18"/>
        </w:rPr>
      </w:pPr>
      <w:r>
        <w:rPr>
          <w:rFonts w:ascii="宋体" w:hAnsi="宋体" w:cs="宋体" w:eastAsia="宋体" w:hint="default"/>
          <w:sz w:val="18"/>
          <w:szCs w:val="18"/>
        </w:rPr>
        <w:t>（五）文件存放地点：公司董事会办公室、深圳证券交易所。</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21"/>
          <w:szCs w:val="21"/>
        </w:rPr>
      </w:pPr>
    </w:p>
    <w:p>
      <w:pPr>
        <w:pStyle w:val="BodyText"/>
        <w:spacing w:line="408" w:lineRule="auto" w:before="0"/>
        <w:ind w:left="6852" w:right="1131"/>
        <w:jc w:val="center"/>
      </w:pPr>
      <w:r>
        <w:rPr/>
        <w:t>中国长城科技集团股份有限公司 董事会</w:t>
      </w:r>
    </w:p>
    <w:p>
      <w:pPr>
        <w:pStyle w:val="BodyText"/>
        <w:spacing w:line="240" w:lineRule="auto" w:before="46"/>
        <w:ind w:left="0" w:right="1865"/>
        <w:jc w:val="right"/>
      </w:pPr>
      <w:r>
        <w:rPr/>
        <w:t>二〇一九年四月</w:t>
      </w:r>
    </w:p>
    <w:p>
      <w:pPr>
        <w:spacing w:after="0" w:line="240" w:lineRule="auto"/>
        <w:jc w:val="right"/>
        <w:sectPr>
          <w:pgSz w:w="11910" w:h="16840"/>
          <w:pgMar w:header="787" w:footer="982" w:top="1100" w:bottom="118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5"/>
          <w:szCs w:val="15"/>
        </w:rPr>
      </w:pPr>
    </w:p>
    <w:p>
      <w:pPr>
        <w:pStyle w:val="Heading1"/>
        <w:spacing w:line="482" w:lineRule="auto"/>
        <w:ind w:left="3021" w:right="2685"/>
        <w:jc w:val="left"/>
        <w:rPr>
          <w:b w:val="0"/>
          <w:bCs w:val="0"/>
        </w:rPr>
      </w:pPr>
      <w:r>
        <w:rPr/>
        <w:t>中国长城科技集团股份有限公司</w:t>
      </w:r>
      <w:r>
        <w:rPr>
          <w:w w:val="99"/>
        </w:rPr>
        <w:t> </w:t>
      </w:r>
      <w:r>
        <w:rPr/>
        <w:t>审计报告及财务报表</w:t>
      </w:r>
      <w:r>
        <w:rPr>
          <w:b w:val="0"/>
          <w:bCs w:val="0"/>
        </w:rPr>
      </w:r>
    </w:p>
    <w:p>
      <w:pPr>
        <w:spacing w:before="98"/>
        <w:ind w:left="3021" w:right="2685" w:firstLine="0"/>
        <w:jc w:val="left"/>
        <w:rPr>
          <w:rFonts w:ascii="宋体" w:hAnsi="宋体" w:cs="宋体" w:eastAsia="宋体" w:hint="default"/>
          <w:sz w:val="32"/>
          <w:szCs w:val="32"/>
        </w:rPr>
      </w:pPr>
      <w:r>
        <w:rPr>
          <w:rFonts w:ascii="Times New Roman" w:hAnsi="Times New Roman" w:cs="Times New Roman" w:eastAsia="Times New Roman" w:hint="default"/>
          <w:b/>
          <w:bCs/>
          <w:sz w:val="32"/>
          <w:szCs w:val="32"/>
        </w:rPr>
        <w:t>2018</w:t>
      </w:r>
      <w:r>
        <w:rPr>
          <w:rFonts w:ascii="Times New Roman" w:hAnsi="Times New Roman" w:cs="Times New Roman" w:eastAsia="Times New Roman" w:hint="default"/>
          <w:b/>
          <w:bCs/>
          <w:spacing w:val="-3"/>
          <w:sz w:val="32"/>
          <w:szCs w:val="32"/>
        </w:rPr>
        <w:t> </w:t>
      </w:r>
      <w:r>
        <w:rPr>
          <w:rFonts w:ascii="宋体" w:hAnsi="宋体" w:cs="宋体" w:eastAsia="宋体" w:hint="default"/>
          <w:b/>
          <w:bCs/>
          <w:sz w:val="32"/>
          <w:szCs w:val="32"/>
        </w:rPr>
        <w:t>年度</w:t>
      </w:r>
      <w:r>
        <w:rPr>
          <w:rFonts w:ascii="宋体" w:hAnsi="宋体" w:cs="宋体" w:eastAsia="宋体" w:hint="default"/>
          <w:sz w:val="32"/>
          <w:szCs w:val="32"/>
        </w:rPr>
      </w:r>
    </w:p>
    <w:p>
      <w:pPr>
        <w:spacing w:line="240" w:lineRule="auto" w:before="4"/>
        <w:rPr>
          <w:rFonts w:ascii="宋体" w:hAnsi="宋体" w:cs="宋体" w:eastAsia="宋体" w:hint="default"/>
          <w:b/>
          <w:bCs/>
          <w:sz w:val="30"/>
          <w:szCs w:val="30"/>
        </w:rPr>
      </w:pPr>
    </w:p>
    <w:p>
      <w:pPr>
        <w:spacing w:before="0"/>
        <w:ind w:left="3021" w:right="0" w:firstLine="0"/>
        <w:jc w:val="left"/>
        <w:rPr>
          <w:rFonts w:ascii="宋体" w:hAnsi="宋体" w:cs="宋体" w:eastAsia="宋体" w:hint="default"/>
          <w:sz w:val="32"/>
          <w:szCs w:val="32"/>
        </w:rPr>
      </w:pPr>
      <w:r>
        <w:rPr>
          <w:rFonts w:ascii="宋体" w:hAnsi="宋体" w:cs="宋体" w:eastAsia="宋体" w:hint="default"/>
          <w:b/>
          <w:bCs/>
          <w:sz w:val="32"/>
          <w:szCs w:val="32"/>
        </w:rPr>
        <w:t>信会师报字</w:t>
      </w:r>
      <w:r>
        <w:rPr>
          <w:rFonts w:ascii="Times New Roman" w:hAnsi="Times New Roman" w:cs="Times New Roman" w:eastAsia="Times New Roman" w:hint="default"/>
          <w:b/>
          <w:bCs/>
          <w:sz w:val="32"/>
          <w:szCs w:val="32"/>
        </w:rPr>
        <w:t>[2019]</w:t>
      </w:r>
      <w:r>
        <w:rPr>
          <w:rFonts w:ascii="宋体" w:hAnsi="宋体" w:cs="宋体" w:eastAsia="宋体" w:hint="default"/>
          <w:b/>
          <w:bCs/>
          <w:sz w:val="32"/>
          <w:szCs w:val="32"/>
        </w:rPr>
        <w:t>第</w:t>
      </w:r>
      <w:r>
        <w:rPr>
          <w:rFonts w:ascii="宋体" w:hAnsi="宋体" w:cs="宋体" w:eastAsia="宋体" w:hint="default"/>
          <w:b/>
          <w:bCs/>
          <w:spacing w:val="-88"/>
          <w:sz w:val="32"/>
          <w:szCs w:val="32"/>
        </w:rPr>
        <w:t> </w:t>
      </w:r>
      <w:r>
        <w:rPr>
          <w:rFonts w:ascii="Times New Roman" w:hAnsi="Times New Roman" w:cs="Times New Roman" w:eastAsia="Times New Roman" w:hint="default"/>
          <w:b/>
          <w:bCs/>
          <w:sz w:val="32"/>
          <w:szCs w:val="32"/>
        </w:rPr>
        <w:t>ZG24426</w:t>
      </w:r>
      <w:r>
        <w:rPr>
          <w:rFonts w:ascii="Times New Roman" w:hAnsi="Times New Roman" w:cs="Times New Roman" w:eastAsia="Times New Roman" w:hint="default"/>
          <w:b/>
          <w:bCs/>
          <w:spacing w:val="-8"/>
          <w:sz w:val="32"/>
          <w:szCs w:val="32"/>
        </w:rPr>
        <w:t> </w:t>
      </w:r>
      <w:r>
        <w:rPr>
          <w:rFonts w:ascii="宋体" w:hAnsi="宋体" w:cs="宋体" w:eastAsia="宋体" w:hint="default"/>
          <w:b/>
          <w:bCs/>
          <w:sz w:val="32"/>
          <w:szCs w:val="32"/>
        </w:rPr>
        <w:t>号</w:t>
      </w:r>
      <w:r>
        <w:rPr>
          <w:rFonts w:ascii="宋体" w:hAnsi="宋体" w:cs="宋体" w:eastAsia="宋体" w:hint="default"/>
          <w:sz w:val="32"/>
          <w:szCs w:val="32"/>
        </w:rPr>
      </w:r>
    </w:p>
    <w:p>
      <w:pPr>
        <w:spacing w:after="0"/>
        <w:jc w:val="left"/>
        <w:rPr>
          <w:rFonts w:ascii="宋体" w:hAnsi="宋体" w:cs="宋体" w:eastAsia="宋体" w:hint="default"/>
          <w:sz w:val="32"/>
          <w:szCs w:val="32"/>
        </w:rPr>
        <w:sectPr>
          <w:headerReference w:type="default" r:id="rId17"/>
          <w:footerReference w:type="default" r:id="rId18"/>
          <w:pgSz w:w="11910" w:h="16840"/>
          <w:pgMar w:header="0" w:footer="504" w:top="1600" w:bottom="700" w:left="1680" w:right="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4"/>
          <w:szCs w:val="24"/>
        </w:rPr>
      </w:pPr>
    </w:p>
    <w:p>
      <w:pPr>
        <w:spacing w:before="1"/>
        <w:ind w:left="0" w:right="1653" w:firstLine="0"/>
        <w:jc w:val="center"/>
        <w:rPr>
          <w:rFonts w:ascii="宋体" w:hAnsi="宋体" w:cs="宋体" w:eastAsia="宋体" w:hint="default"/>
          <w:sz w:val="32"/>
          <w:szCs w:val="32"/>
        </w:rPr>
      </w:pPr>
      <w:r>
        <w:rPr>
          <w:rFonts w:ascii="宋体" w:hAnsi="宋体" w:cs="宋体" w:eastAsia="宋体" w:hint="default"/>
          <w:b/>
          <w:bCs/>
          <w:sz w:val="32"/>
          <w:szCs w:val="32"/>
        </w:rPr>
        <w:t>中国长城科技集团股份有限公司</w:t>
      </w:r>
      <w:r>
        <w:rPr>
          <w:rFonts w:ascii="宋体" w:hAnsi="宋体" w:cs="宋体" w:eastAsia="宋体" w:hint="default"/>
          <w:sz w:val="32"/>
          <w:szCs w:val="32"/>
        </w:rPr>
      </w:r>
    </w:p>
    <w:p>
      <w:pPr>
        <w:spacing w:line="240" w:lineRule="auto" w:before="7"/>
        <w:rPr>
          <w:rFonts w:ascii="宋体" w:hAnsi="宋体" w:cs="宋体" w:eastAsia="宋体" w:hint="default"/>
          <w:b/>
          <w:bCs/>
          <w:sz w:val="40"/>
          <w:szCs w:val="40"/>
        </w:rPr>
      </w:pPr>
    </w:p>
    <w:p>
      <w:pPr>
        <w:spacing w:before="0"/>
        <w:ind w:left="0" w:right="1653" w:firstLine="0"/>
        <w:jc w:val="center"/>
        <w:rPr>
          <w:rFonts w:ascii="宋体" w:hAnsi="宋体" w:cs="宋体" w:eastAsia="宋体" w:hint="default"/>
          <w:sz w:val="32"/>
          <w:szCs w:val="32"/>
        </w:rPr>
      </w:pPr>
      <w:r>
        <w:rPr>
          <w:rFonts w:ascii="宋体" w:hAnsi="宋体" w:cs="宋体" w:eastAsia="宋体" w:hint="default"/>
          <w:b/>
          <w:bCs/>
          <w:sz w:val="32"/>
          <w:szCs w:val="32"/>
        </w:rPr>
        <w:t>审计报告及财务报表</w:t>
      </w:r>
      <w:r>
        <w:rPr>
          <w:rFonts w:ascii="宋体" w:hAnsi="宋体" w:cs="宋体" w:eastAsia="宋体" w:hint="default"/>
          <w:sz w:val="32"/>
          <w:szCs w:val="32"/>
        </w:rPr>
      </w:r>
    </w:p>
    <w:p>
      <w:pPr>
        <w:spacing w:before="176"/>
        <w:ind w:left="0" w:right="1657" w:firstLine="0"/>
        <w:jc w:val="center"/>
        <w:rPr>
          <w:rFonts w:ascii="宋体" w:hAnsi="宋体" w:cs="宋体" w:eastAsia="宋体" w:hint="default"/>
          <w:sz w:val="24"/>
          <w:szCs w:val="24"/>
        </w:rPr>
      </w:pPr>
      <w:r>
        <w:rPr>
          <w:rFonts w:ascii="宋体" w:hAnsi="宋体" w:cs="宋体" w:eastAsia="宋体" w:hint="default"/>
          <w:sz w:val="24"/>
          <w:szCs w:val="24"/>
        </w:rPr>
        <w:t>（</w:t>
      </w:r>
      <w:r>
        <w:rPr>
          <w:rFonts w:ascii="Times New Roman" w:hAnsi="Times New Roman" w:cs="Times New Roman" w:eastAsia="Times New Roman" w:hint="default"/>
          <w:sz w:val="24"/>
          <w:szCs w:val="24"/>
        </w:rPr>
        <w:t>2018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1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1 </w:t>
      </w:r>
      <w:r>
        <w:rPr>
          <w:rFonts w:ascii="宋体" w:hAnsi="宋体" w:cs="宋体" w:eastAsia="宋体" w:hint="default"/>
          <w:sz w:val="24"/>
          <w:szCs w:val="24"/>
        </w:rPr>
        <w:t>日至</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2018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12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31 </w:t>
      </w:r>
      <w:r>
        <w:rPr>
          <w:rFonts w:ascii="宋体" w:hAnsi="宋体" w:cs="宋体" w:eastAsia="宋体" w:hint="default"/>
          <w:sz w:val="24"/>
          <w:szCs w:val="24"/>
        </w:rPr>
        <w:t>日止）</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9"/>
          <w:szCs w:val="29"/>
        </w:rPr>
      </w:pPr>
    </w:p>
    <w:tbl>
      <w:tblPr>
        <w:tblW w:w="0" w:type="auto"/>
        <w:jc w:val="left"/>
        <w:tblInd w:w="102" w:type="dxa"/>
        <w:tblLayout w:type="fixed"/>
        <w:tblCellMar>
          <w:top w:w="0" w:type="dxa"/>
          <w:left w:w="0" w:type="dxa"/>
          <w:bottom w:w="0" w:type="dxa"/>
          <w:right w:w="0" w:type="dxa"/>
        </w:tblCellMar>
        <w:tblLook w:val="01E0"/>
      </w:tblPr>
      <w:tblGrid>
        <w:gridCol w:w="1109"/>
        <w:gridCol w:w="5512"/>
        <w:gridCol w:w="258"/>
        <w:gridCol w:w="1577"/>
      </w:tblGrid>
      <w:tr>
        <w:trPr>
          <w:trHeight w:val="773" w:hRule="exact"/>
        </w:trPr>
        <w:tc>
          <w:tcPr>
            <w:tcW w:w="1109" w:type="dxa"/>
            <w:tcBorders>
              <w:top w:val="nil" w:sz="6" w:space="0" w:color="auto"/>
              <w:left w:val="nil" w:sz="6" w:space="0" w:color="auto"/>
              <w:bottom w:val="nil" w:sz="6" w:space="0" w:color="auto"/>
              <w:right w:val="nil" w:sz="6" w:space="0" w:color="auto"/>
            </w:tcBorders>
          </w:tcPr>
          <w:p>
            <w:pPr/>
          </w:p>
        </w:tc>
        <w:tc>
          <w:tcPr>
            <w:tcW w:w="5512" w:type="dxa"/>
            <w:tcBorders>
              <w:top w:val="nil" w:sz="6" w:space="0" w:color="auto"/>
              <w:left w:val="nil" w:sz="6" w:space="0" w:color="auto"/>
              <w:bottom w:val="single" w:sz="4" w:space="0" w:color="000000"/>
              <w:right w:val="nil" w:sz="6" w:space="0" w:color="auto"/>
            </w:tcBorders>
          </w:tcPr>
          <w:p>
            <w:pPr>
              <w:pStyle w:val="TableParagraph"/>
              <w:spacing w:line="240" w:lineRule="auto" w:before="26"/>
              <w:ind w:right="1"/>
              <w:jc w:val="center"/>
              <w:rPr>
                <w:rFonts w:ascii="宋体" w:hAnsi="宋体" w:cs="宋体" w:eastAsia="宋体" w:hint="default"/>
                <w:sz w:val="24"/>
                <w:szCs w:val="24"/>
              </w:rPr>
            </w:pPr>
            <w:r>
              <w:rPr>
                <w:rFonts w:ascii="宋体" w:hAnsi="宋体" w:cs="宋体" w:eastAsia="宋体" w:hint="default"/>
                <w:sz w:val="24"/>
                <w:szCs w:val="24"/>
              </w:rPr>
              <w:t>目录</w:t>
            </w:r>
          </w:p>
        </w:tc>
        <w:tc>
          <w:tcPr>
            <w:tcW w:w="258" w:type="dxa"/>
            <w:tcBorders>
              <w:top w:val="nil" w:sz="6" w:space="0" w:color="auto"/>
              <w:left w:val="nil" w:sz="6" w:space="0" w:color="auto"/>
              <w:bottom w:val="nil" w:sz="6" w:space="0" w:color="auto"/>
              <w:right w:val="nil" w:sz="6" w:space="0" w:color="auto"/>
            </w:tcBorders>
          </w:tcPr>
          <w:p>
            <w:pPr/>
          </w:p>
        </w:tc>
        <w:tc>
          <w:tcPr>
            <w:tcW w:w="1577" w:type="dxa"/>
            <w:tcBorders>
              <w:top w:val="nil" w:sz="6" w:space="0" w:color="auto"/>
              <w:left w:val="nil" w:sz="6" w:space="0" w:color="auto"/>
              <w:bottom w:val="single" w:sz="4" w:space="0" w:color="000000"/>
              <w:right w:val="nil" w:sz="6" w:space="0" w:color="auto"/>
            </w:tcBorders>
          </w:tcPr>
          <w:p>
            <w:pPr>
              <w:pStyle w:val="TableParagraph"/>
              <w:spacing w:line="240" w:lineRule="auto" w:before="26"/>
              <w:ind w:right="0"/>
              <w:jc w:val="center"/>
              <w:rPr>
                <w:rFonts w:ascii="宋体" w:hAnsi="宋体" w:cs="宋体" w:eastAsia="宋体" w:hint="default"/>
                <w:sz w:val="24"/>
                <w:szCs w:val="24"/>
              </w:rPr>
            </w:pPr>
            <w:r>
              <w:rPr>
                <w:rFonts w:ascii="宋体" w:hAnsi="宋体" w:cs="宋体" w:eastAsia="宋体" w:hint="default"/>
                <w:sz w:val="24"/>
                <w:szCs w:val="24"/>
              </w:rPr>
              <w:t>页次</w:t>
            </w:r>
          </w:p>
        </w:tc>
      </w:tr>
      <w:tr>
        <w:trPr>
          <w:trHeight w:val="1317" w:hRule="exact"/>
        </w:trPr>
        <w:tc>
          <w:tcPr>
            <w:tcW w:w="1109" w:type="dxa"/>
            <w:tcBorders>
              <w:top w:val="nil" w:sz="6" w:space="0" w:color="auto"/>
              <w:left w:val="nil" w:sz="6" w:space="0" w:color="auto"/>
              <w:bottom w:val="nil" w:sz="6" w:space="0" w:color="auto"/>
              <w:right w:val="nil" w:sz="6" w:space="0" w:color="auto"/>
            </w:tcBorders>
          </w:tcPr>
          <w:p>
            <w:pPr>
              <w:pStyle w:val="TableParagraph"/>
              <w:spacing w:line="240" w:lineRule="auto" w:before="6"/>
              <w:ind w:left="35" w:right="0"/>
              <w:jc w:val="left"/>
              <w:rPr>
                <w:rFonts w:ascii="宋体" w:hAnsi="宋体" w:cs="宋体" w:eastAsia="宋体" w:hint="default"/>
                <w:sz w:val="24"/>
                <w:szCs w:val="24"/>
              </w:rPr>
            </w:pPr>
            <w:r>
              <w:rPr>
                <w:rFonts w:ascii="宋体" w:hAnsi="宋体" w:cs="宋体" w:eastAsia="宋体" w:hint="default"/>
                <w:sz w:val="24"/>
                <w:szCs w:val="24"/>
              </w:rPr>
              <w:t>一、</w:t>
            </w:r>
          </w:p>
          <w:p>
            <w:pPr>
              <w:pStyle w:val="TableParagraph"/>
              <w:spacing w:line="240" w:lineRule="auto" w:before="11"/>
              <w:ind w:right="0"/>
              <w:jc w:val="left"/>
              <w:rPr>
                <w:rFonts w:ascii="宋体" w:hAnsi="宋体" w:cs="宋体" w:eastAsia="宋体" w:hint="default"/>
                <w:sz w:val="32"/>
                <w:szCs w:val="32"/>
              </w:rPr>
            </w:pPr>
          </w:p>
          <w:p>
            <w:pPr>
              <w:pStyle w:val="TableParagraph"/>
              <w:spacing w:line="240" w:lineRule="auto"/>
              <w:ind w:left="35" w:right="0"/>
              <w:jc w:val="left"/>
              <w:rPr>
                <w:rFonts w:ascii="宋体" w:hAnsi="宋体" w:cs="宋体" w:eastAsia="宋体" w:hint="default"/>
                <w:sz w:val="24"/>
                <w:szCs w:val="24"/>
              </w:rPr>
            </w:pPr>
            <w:r>
              <w:rPr>
                <w:rFonts w:ascii="宋体" w:hAnsi="宋体" w:cs="宋体" w:eastAsia="宋体" w:hint="default"/>
                <w:sz w:val="24"/>
                <w:szCs w:val="24"/>
              </w:rPr>
              <w:t>二、</w:t>
            </w:r>
          </w:p>
        </w:tc>
        <w:tc>
          <w:tcPr>
            <w:tcW w:w="5512" w:type="dxa"/>
            <w:tcBorders>
              <w:top w:val="single" w:sz="4" w:space="0" w:color="000000"/>
              <w:left w:val="nil" w:sz="6" w:space="0" w:color="auto"/>
              <w:bottom w:val="nil" w:sz="6" w:space="0" w:color="auto"/>
              <w:right w:val="nil" w:sz="6" w:space="0" w:color="auto"/>
            </w:tcBorders>
          </w:tcPr>
          <w:p>
            <w:pPr>
              <w:pStyle w:val="TableParagraph"/>
              <w:spacing w:line="240" w:lineRule="auto" w:before="1"/>
              <w:ind w:left="106" w:right="0"/>
              <w:jc w:val="left"/>
              <w:rPr>
                <w:rFonts w:ascii="宋体" w:hAnsi="宋体" w:cs="宋体" w:eastAsia="宋体" w:hint="default"/>
                <w:sz w:val="24"/>
                <w:szCs w:val="24"/>
              </w:rPr>
            </w:pPr>
            <w:r>
              <w:rPr>
                <w:rFonts w:ascii="宋体" w:hAnsi="宋体" w:cs="宋体" w:eastAsia="宋体" w:hint="default"/>
                <w:sz w:val="24"/>
                <w:szCs w:val="24"/>
              </w:rPr>
              <w:t>审计报告</w:t>
            </w:r>
          </w:p>
          <w:p>
            <w:pPr>
              <w:pStyle w:val="TableParagraph"/>
              <w:spacing w:line="240" w:lineRule="auto" w:before="11"/>
              <w:ind w:right="0"/>
              <w:jc w:val="left"/>
              <w:rPr>
                <w:rFonts w:ascii="宋体" w:hAnsi="宋体" w:cs="宋体" w:eastAsia="宋体" w:hint="default"/>
                <w:sz w:val="32"/>
                <w:szCs w:val="32"/>
              </w:rPr>
            </w:pPr>
          </w:p>
          <w:p>
            <w:pPr>
              <w:pStyle w:val="TableParagraph"/>
              <w:spacing w:line="240" w:lineRule="auto"/>
              <w:ind w:left="106" w:right="0"/>
              <w:jc w:val="left"/>
              <w:rPr>
                <w:rFonts w:ascii="宋体" w:hAnsi="宋体" w:cs="宋体" w:eastAsia="宋体" w:hint="default"/>
                <w:sz w:val="24"/>
                <w:szCs w:val="24"/>
              </w:rPr>
            </w:pPr>
            <w:r>
              <w:rPr>
                <w:rFonts w:ascii="宋体" w:hAnsi="宋体" w:cs="宋体" w:eastAsia="宋体" w:hint="default"/>
                <w:sz w:val="24"/>
                <w:szCs w:val="24"/>
              </w:rPr>
              <w:t>财务报表</w:t>
            </w:r>
          </w:p>
        </w:tc>
        <w:tc>
          <w:tcPr>
            <w:tcW w:w="258" w:type="dxa"/>
            <w:tcBorders>
              <w:top w:val="nil" w:sz="6" w:space="0" w:color="auto"/>
              <w:left w:val="nil" w:sz="6" w:space="0" w:color="auto"/>
              <w:bottom w:val="nil" w:sz="6" w:space="0" w:color="auto"/>
              <w:right w:val="nil" w:sz="6" w:space="0" w:color="auto"/>
            </w:tcBorders>
          </w:tcPr>
          <w:p>
            <w:pPr/>
          </w:p>
        </w:tc>
        <w:tc>
          <w:tcPr>
            <w:tcW w:w="1577" w:type="dxa"/>
            <w:tcBorders>
              <w:top w:val="single" w:sz="4" w:space="0" w:color="000000"/>
              <w:left w:val="nil" w:sz="6" w:space="0" w:color="auto"/>
              <w:bottom w:val="nil" w:sz="6" w:space="0" w:color="auto"/>
              <w:right w:val="nil" w:sz="6" w:space="0" w:color="auto"/>
            </w:tcBorders>
          </w:tcPr>
          <w:p>
            <w:pPr>
              <w:pStyle w:val="TableParagraph"/>
              <w:spacing w:line="240" w:lineRule="auto" w:before="58"/>
              <w:ind w:right="106"/>
              <w:jc w:val="right"/>
              <w:rPr>
                <w:rFonts w:ascii="Times New Roman" w:hAnsi="Times New Roman" w:cs="Times New Roman" w:eastAsia="Times New Roman" w:hint="default"/>
                <w:sz w:val="24"/>
                <w:szCs w:val="24"/>
              </w:rPr>
            </w:pPr>
            <w:r>
              <w:rPr>
                <w:rFonts w:ascii="Times New Roman"/>
                <w:sz w:val="24"/>
              </w:rPr>
              <w:t>1-5</w:t>
            </w:r>
          </w:p>
        </w:tc>
      </w:tr>
      <w:tr>
        <w:trPr>
          <w:trHeight w:val="751" w:hRule="exact"/>
        </w:trPr>
        <w:tc>
          <w:tcPr>
            <w:tcW w:w="1109" w:type="dxa"/>
            <w:tcBorders>
              <w:top w:val="nil" w:sz="6" w:space="0" w:color="auto"/>
              <w:left w:val="nil" w:sz="6" w:space="0" w:color="auto"/>
              <w:bottom w:val="nil" w:sz="6" w:space="0" w:color="auto"/>
              <w:right w:val="nil" w:sz="6" w:space="0" w:color="auto"/>
            </w:tcBorders>
          </w:tcPr>
          <w:p>
            <w:pPr/>
          </w:p>
        </w:tc>
        <w:tc>
          <w:tcPr>
            <w:tcW w:w="5512" w:type="dxa"/>
            <w:tcBorders>
              <w:top w:val="nil" w:sz="6" w:space="0" w:color="auto"/>
              <w:left w:val="nil" w:sz="6" w:space="0" w:color="auto"/>
              <w:bottom w:val="nil" w:sz="6" w:space="0" w:color="auto"/>
              <w:right w:val="nil" w:sz="6" w:space="0" w:color="auto"/>
            </w:tcBorders>
          </w:tcPr>
          <w:p>
            <w:pPr>
              <w:pStyle w:val="TableParagraph"/>
              <w:spacing w:line="240" w:lineRule="auto" w:before="178"/>
              <w:ind w:left="106" w:right="0"/>
              <w:jc w:val="left"/>
              <w:rPr>
                <w:rFonts w:ascii="宋体" w:hAnsi="宋体" w:cs="宋体" w:eastAsia="宋体" w:hint="default"/>
                <w:sz w:val="24"/>
                <w:szCs w:val="24"/>
              </w:rPr>
            </w:pPr>
            <w:r>
              <w:rPr>
                <w:rFonts w:ascii="宋体" w:hAnsi="宋体" w:cs="宋体" w:eastAsia="宋体" w:hint="default"/>
                <w:sz w:val="24"/>
                <w:szCs w:val="24"/>
              </w:rPr>
              <w:t>合并资产负债表和公司资产负债表</w:t>
            </w:r>
          </w:p>
        </w:tc>
        <w:tc>
          <w:tcPr>
            <w:tcW w:w="258" w:type="dxa"/>
            <w:tcBorders>
              <w:top w:val="nil" w:sz="6" w:space="0" w:color="auto"/>
              <w:left w:val="nil" w:sz="6" w:space="0" w:color="auto"/>
              <w:bottom w:val="nil" w:sz="6" w:space="0" w:color="auto"/>
              <w:right w:val="nil" w:sz="6" w:space="0" w:color="auto"/>
            </w:tcBorders>
          </w:tcPr>
          <w:p>
            <w:pP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106"/>
              <w:jc w:val="right"/>
              <w:rPr>
                <w:rFonts w:ascii="Times New Roman" w:hAnsi="Times New Roman" w:cs="Times New Roman" w:eastAsia="Times New Roman" w:hint="default"/>
                <w:sz w:val="24"/>
                <w:szCs w:val="24"/>
              </w:rPr>
            </w:pPr>
            <w:r>
              <w:rPr>
                <w:rFonts w:ascii="Times New Roman"/>
                <w:sz w:val="24"/>
              </w:rPr>
              <w:t>1-4</w:t>
            </w:r>
          </w:p>
        </w:tc>
      </w:tr>
      <w:tr>
        <w:trPr>
          <w:trHeight w:val="744" w:hRule="exact"/>
        </w:trPr>
        <w:tc>
          <w:tcPr>
            <w:tcW w:w="1109" w:type="dxa"/>
            <w:tcBorders>
              <w:top w:val="nil" w:sz="6" w:space="0" w:color="auto"/>
              <w:left w:val="nil" w:sz="6" w:space="0" w:color="auto"/>
              <w:bottom w:val="nil" w:sz="6" w:space="0" w:color="auto"/>
              <w:right w:val="nil" w:sz="6" w:space="0" w:color="auto"/>
            </w:tcBorders>
          </w:tcPr>
          <w:p>
            <w:pPr/>
          </w:p>
        </w:tc>
        <w:tc>
          <w:tcPr>
            <w:tcW w:w="5512" w:type="dxa"/>
            <w:tcBorders>
              <w:top w:val="nil" w:sz="6" w:space="0" w:color="auto"/>
              <w:left w:val="nil" w:sz="6" w:space="0" w:color="auto"/>
              <w:bottom w:val="nil" w:sz="6" w:space="0" w:color="auto"/>
              <w:right w:val="nil" w:sz="6" w:space="0" w:color="auto"/>
            </w:tcBorders>
          </w:tcPr>
          <w:p>
            <w:pPr>
              <w:pStyle w:val="TableParagraph"/>
              <w:spacing w:line="240" w:lineRule="auto" w:before="171"/>
              <w:ind w:left="106" w:right="0"/>
              <w:jc w:val="left"/>
              <w:rPr>
                <w:rFonts w:ascii="宋体" w:hAnsi="宋体" w:cs="宋体" w:eastAsia="宋体" w:hint="default"/>
                <w:sz w:val="24"/>
                <w:szCs w:val="24"/>
              </w:rPr>
            </w:pPr>
            <w:r>
              <w:rPr>
                <w:rFonts w:ascii="宋体" w:hAnsi="宋体" w:cs="宋体" w:eastAsia="宋体" w:hint="default"/>
                <w:sz w:val="24"/>
                <w:szCs w:val="24"/>
              </w:rPr>
              <w:t>合并利润表和公司利润表</w:t>
            </w:r>
          </w:p>
        </w:tc>
        <w:tc>
          <w:tcPr>
            <w:tcW w:w="258" w:type="dxa"/>
            <w:tcBorders>
              <w:top w:val="nil" w:sz="6" w:space="0" w:color="auto"/>
              <w:left w:val="nil" w:sz="6" w:space="0" w:color="auto"/>
              <w:bottom w:val="nil" w:sz="6" w:space="0" w:color="auto"/>
              <w:right w:val="nil" w:sz="6" w:space="0" w:color="auto"/>
            </w:tcBorders>
          </w:tcPr>
          <w:p>
            <w:pP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6"/>
              <w:jc w:val="right"/>
              <w:rPr>
                <w:rFonts w:ascii="Times New Roman" w:hAnsi="Times New Roman" w:cs="Times New Roman" w:eastAsia="Times New Roman" w:hint="default"/>
                <w:sz w:val="24"/>
                <w:szCs w:val="24"/>
              </w:rPr>
            </w:pPr>
            <w:r>
              <w:rPr>
                <w:rFonts w:ascii="Times New Roman"/>
                <w:sz w:val="24"/>
              </w:rPr>
              <w:t>5-6</w:t>
            </w:r>
          </w:p>
        </w:tc>
      </w:tr>
      <w:tr>
        <w:trPr>
          <w:trHeight w:val="744" w:hRule="exact"/>
        </w:trPr>
        <w:tc>
          <w:tcPr>
            <w:tcW w:w="1109" w:type="dxa"/>
            <w:tcBorders>
              <w:top w:val="nil" w:sz="6" w:space="0" w:color="auto"/>
              <w:left w:val="nil" w:sz="6" w:space="0" w:color="auto"/>
              <w:bottom w:val="nil" w:sz="6" w:space="0" w:color="auto"/>
              <w:right w:val="nil" w:sz="6" w:space="0" w:color="auto"/>
            </w:tcBorders>
          </w:tcPr>
          <w:p>
            <w:pPr/>
          </w:p>
        </w:tc>
        <w:tc>
          <w:tcPr>
            <w:tcW w:w="5512" w:type="dxa"/>
            <w:tcBorders>
              <w:top w:val="nil" w:sz="6" w:space="0" w:color="auto"/>
              <w:left w:val="nil" w:sz="6" w:space="0" w:color="auto"/>
              <w:bottom w:val="nil" w:sz="6" w:space="0" w:color="auto"/>
              <w:right w:val="nil" w:sz="6" w:space="0" w:color="auto"/>
            </w:tcBorders>
          </w:tcPr>
          <w:p>
            <w:pPr>
              <w:pStyle w:val="TableParagraph"/>
              <w:spacing w:line="240" w:lineRule="auto" w:before="171"/>
              <w:ind w:left="106" w:right="0"/>
              <w:jc w:val="left"/>
              <w:rPr>
                <w:rFonts w:ascii="宋体" w:hAnsi="宋体" w:cs="宋体" w:eastAsia="宋体" w:hint="default"/>
                <w:sz w:val="24"/>
                <w:szCs w:val="24"/>
              </w:rPr>
            </w:pPr>
            <w:r>
              <w:rPr>
                <w:rFonts w:ascii="宋体" w:hAnsi="宋体" w:cs="宋体" w:eastAsia="宋体" w:hint="default"/>
                <w:sz w:val="24"/>
                <w:szCs w:val="24"/>
              </w:rPr>
              <w:t>合并现金流量表和公司现金流量表</w:t>
            </w:r>
          </w:p>
        </w:tc>
        <w:tc>
          <w:tcPr>
            <w:tcW w:w="258" w:type="dxa"/>
            <w:tcBorders>
              <w:top w:val="nil" w:sz="6" w:space="0" w:color="auto"/>
              <w:left w:val="nil" w:sz="6" w:space="0" w:color="auto"/>
              <w:bottom w:val="nil" w:sz="6" w:space="0" w:color="auto"/>
              <w:right w:val="nil" w:sz="6" w:space="0" w:color="auto"/>
            </w:tcBorders>
          </w:tcPr>
          <w:p>
            <w:pP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6"/>
              <w:jc w:val="right"/>
              <w:rPr>
                <w:rFonts w:ascii="Times New Roman" w:hAnsi="Times New Roman" w:cs="Times New Roman" w:eastAsia="Times New Roman" w:hint="default"/>
                <w:sz w:val="24"/>
                <w:szCs w:val="24"/>
              </w:rPr>
            </w:pPr>
            <w:r>
              <w:rPr>
                <w:rFonts w:ascii="Times New Roman"/>
                <w:sz w:val="24"/>
              </w:rPr>
              <w:t>7-8</w:t>
            </w:r>
          </w:p>
        </w:tc>
      </w:tr>
      <w:tr>
        <w:trPr>
          <w:trHeight w:val="744" w:hRule="exact"/>
        </w:trPr>
        <w:tc>
          <w:tcPr>
            <w:tcW w:w="1109" w:type="dxa"/>
            <w:tcBorders>
              <w:top w:val="nil" w:sz="6" w:space="0" w:color="auto"/>
              <w:left w:val="nil" w:sz="6" w:space="0" w:color="auto"/>
              <w:bottom w:val="nil" w:sz="6" w:space="0" w:color="auto"/>
              <w:right w:val="nil" w:sz="6" w:space="0" w:color="auto"/>
            </w:tcBorders>
          </w:tcPr>
          <w:p>
            <w:pPr/>
          </w:p>
        </w:tc>
        <w:tc>
          <w:tcPr>
            <w:tcW w:w="5512" w:type="dxa"/>
            <w:tcBorders>
              <w:top w:val="nil" w:sz="6" w:space="0" w:color="auto"/>
              <w:left w:val="nil" w:sz="6" w:space="0" w:color="auto"/>
              <w:bottom w:val="nil" w:sz="6" w:space="0" w:color="auto"/>
              <w:right w:val="nil" w:sz="6" w:space="0" w:color="auto"/>
            </w:tcBorders>
          </w:tcPr>
          <w:p>
            <w:pPr>
              <w:pStyle w:val="TableParagraph"/>
              <w:spacing w:line="240" w:lineRule="auto" w:before="171"/>
              <w:ind w:left="106" w:right="0"/>
              <w:jc w:val="left"/>
              <w:rPr>
                <w:rFonts w:ascii="宋体" w:hAnsi="宋体" w:cs="宋体" w:eastAsia="宋体" w:hint="default"/>
                <w:sz w:val="24"/>
                <w:szCs w:val="24"/>
              </w:rPr>
            </w:pPr>
            <w:r>
              <w:rPr>
                <w:rFonts w:ascii="宋体" w:hAnsi="宋体" w:cs="宋体" w:eastAsia="宋体" w:hint="default"/>
                <w:sz w:val="24"/>
                <w:szCs w:val="24"/>
              </w:rPr>
              <w:t>合并股东权益变动表和公司股东权益变动表</w:t>
            </w:r>
          </w:p>
        </w:tc>
        <w:tc>
          <w:tcPr>
            <w:tcW w:w="258" w:type="dxa"/>
            <w:tcBorders>
              <w:top w:val="nil" w:sz="6" w:space="0" w:color="auto"/>
              <w:left w:val="nil" w:sz="6" w:space="0" w:color="auto"/>
              <w:bottom w:val="nil" w:sz="6" w:space="0" w:color="auto"/>
              <w:right w:val="nil" w:sz="6" w:space="0" w:color="auto"/>
            </w:tcBorders>
          </w:tcPr>
          <w:p>
            <w:pP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7"/>
              <w:jc w:val="right"/>
              <w:rPr>
                <w:rFonts w:ascii="Times New Roman" w:hAnsi="Times New Roman" w:cs="Times New Roman" w:eastAsia="Times New Roman" w:hint="default"/>
                <w:sz w:val="24"/>
                <w:szCs w:val="24"/>
              </w:rPr>
            </w:pPr>
            <w:r>
              <w:rPr>
                <w:rFonts w:ascii="Times New Roman"/>
                <w:sz w:val="24"/>
              </w:rPr>
              <w:t>9-12</w:t>
            </w:r>
          </w:p>
        </w:tc>
      </w:tr>
      <w:tr>
        <w:trPr>
          <w:trHeight w:val="599" w:hRule="exact"/>
        </w:trPr>
        <w:tc>
          <w:tcPr>
            <w:tcW w:w="1109" w:type="dxa"/>
            <w:tcBorders>
              <w:top w:val="nil" w:sz="6" w:space="0" w:color="auto"/>
              <w:left w:val="nil" w:sz="6" w:space="0" w:color="auto"/>
              <w:bottom w:val="nil" w:sz="6" w:space="0" w:color="auto"/>
              <w:right w:val="nil" w:sz="6" w:space="0" w:color="auto"/>
            </w:tcBorders>
          </w:tcPr>
          <w:p>
            <w:pPr/>
          </w:p>
        </w:tc>
        <w:tc>
          <w:tcPr>
            <w:tcW w:w="5512" w:type="dxa"/>
            <w:tcBorders>
              <w:top w:val="nil" w:sz="6" w:space="0" w:color="auto"/>
              <w:left w:val="nil" w:sz="6" w:space="0" w:color="auto"/>
              <w:bottom w:val="nil" w:sz="6" w:space="0" w:color="auto"/>
              <w:right w:val="nil" w:sz="6" w:space="0" w:color="auto"/>
            </w:tcBorders>
          </w:tcPr>
          <w:p>
            <w:pPr>
              <w:pStyle w:val="TableParagraph"/>
              <w:spacing w:line="240" w:lineRule="auto" w:before="171"/>
              <w:ind w:left="106" w:right="0"/>
              <w:jc w:val="left"/>
              <w:rPr>
                <w:rFonts w:ascii="宋体" w:hAnsi="宋体" w:cs="宋体" w:eastAsia="宋体" w:hint="default"/>
                <w:sz w:val="24"/>
                <w:szCs w:val="24"/>
              </w:rPr>
            </w:pPr>
            <w:r>
              <w:rPr>
                <w:rFonts w:ascii="宋体" w:hAnsi="宋体" w:cs="宋体" w:eastAsia="宋体" w:hint="default"/>
                <w:sz w:val="24"/>
                <w:szCs w:val="24"/>
              </w:rPr>
              <w:t>财务报表附注</w:t>
            </w:r>
          </w:p>
        </w:tc>
        <w:tc>
          <w:tcPr>
            <w:tcW w:w="258" w:type="dxa"/>
            <w:tcBorders>
              <w:top w:val="nil" w:sz="6" w:space="0" w:color="auto"/>
              <w:left w:val="nil" w:sz="6" w:space="0" w:color="auto"/>
              <w:bottom w:val="nil" w:sz="6" w:space="0" w:color="auto"/>
              <w:right w:val="nil" w:sz="6" w:space="0" w:color="auto"/>
            </w:tcBorders>
          </w:tcPr>
          <w:p>
            <w:pP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7"/>
              <w:jc w:val="right"/>
              <w:rPr>
                <w:rFonts w:ascii="Times New Roman" w:hAnsi="Times New Roman" w:cs="Times New Roman" w:eastAsia="Times New Roman" w:hint="default"/>
                <w:sz w:val="24"/>
                <w:szCs w:val="24"/>
              </w:rPr>
            </w:pPr>
            <w:r>
              <w:rPr>
                <w:rFonts w:ascii="Times New Roman"/>
                <w:sz w:val="24"/>
              </w:rPr>
              <w:t>1-124</w:t>
            </w:r>
          </w:p>
        </w:tc>
      </w:tr>
    </w:tbl>
    <w:p>
      <w:pPr>
        <w:spacing w:after="0" w:line="240" w:lineRule="auto"/>
        <w:jc w:val="right"/>
        <w:rPr>
          <w:rFonts w:ascii="Times New Roman" w:hAnsi="Times New Roman" w:cs="Times New Roman" w:eastAsia="Times New Roman" w:hint="default"/>
          <w:sz w:val="24"/>
          <w:szCs w:val="24"/>
        </w:rPr>
        <w:sectPr>
          <w:headerReference w:type="default" r:id="rId19"/>
          <w:footerReference w:type="default" r:id="rId20"/>
          <w:pgSz w:w="11910" w:h="16840"/>
          <w:pgMar w:header="0" w:footer="504" w:top="1600" w:bottom="700" w:left="1660" w:right="0"/>
        </w:sect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7"/>
          <w:szCs w:val="27"/>
        </w:rPr>
      </w:pPr>
    </w:p>
    <w:p>
      <w:pPr>
        <w:spacing w:line="460" w:lineRule="exact" w:before="0"/>
        <w:ind w:left="4091" w:right="5207" w:firstLine="0"/>
        <w:jc w:val="center"/>
        <w:rPr>
          <w:rFonts w:ascii="宋体" w:hAnsi="宋体" w:cs="宋体" w:eastAsia="宋体" w:hint="default"/>
          <w:sz w:val="36"/>
          <w:szCs w:val="36"/>
        </w:rPr>
      </w:pPr>
      <w:r>
        <w:rPr>
          <w:rFonts w:ascii="宋体" w:hAnsi="宋体" w:cs="宋体" w:eastAsia="宋体" w:hint="default"/>
          <w:b/>
          <w:bCs/>
          <w:sz w:val="36"/>
          <w:szCs w:val="36"/>
        </w:rPr>
        <w:t>审计报告</w:t>
      </w:r>
      <w:r>
        <w:rPr>
          <w:rFonts w:ascii="宋体" w:hAnsi="宋体" w:cs="宋体" w:eastAsia="宋体" w:hint="default"/>
          <w:sz w:val="36"/>
          <w:szCs w:val="36"/>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6"/>
          <w:szCs w:val="16"/>
        </w:rPr>
      </w:pPr>
    </w:p>
    <w:p>
      <w:pPr>
        <w:spacing w:before="0"/>
        <w:ind w:left="6546" w:right="0" w:firstLine="0"/>
        <w:jc w:val="left"/>
        <w:rPr>
          <w:rFonts w:ascii="宋体" w:hAnsi="宋体" w:cs="宋体" w:eastAsia="宋体" w:hint="default"/>
          <w:sz w:val="20"/>
          <w:szCs w:val="20"/>
        </w:rPr>
      </w:pPr>
      <w:r>
        <w:rPr>
          <w:rFonts w:ascii="宋体" w:hAnsi="宋体" w:cs="宋体" w:eastAsia="宋体" w:hint="default"/>
          <w:sz w:val="20"/>
          <w:szCs w:val="20"/>
        </w:rPr>
        <w:t>信会师报字</w:t>
      </w:r>
      <w:r>
        <w:rPr>
          <w:rFonts w:ascii="Times New Roman" w:hAnsi="Times New Roman" w:cs="Times New Roman" w:eastAsia="Times New Roman" w:hint="default"/>
          <w:sz w:val="20"/>
          <w:szCs w:val="20"/>
        </w:rPr>
        <w:t>[2019]</w:t>
      </w:r>
      <w:r>
        <w:rPr>
          <w:rFonts w:ascii="宋体" w:hAnsi="宋体" w:cs="宋体" w:eastAsia="宋体" w:hint="default"/>
          <w:sz w:val="20"/>
          <w:szCs w:val="20"/>
        </w:rPr>
        <w:t>第</w:t>
      </w:r>
      <w:r>
        <w:rPr>
          <w:rFonts w:ascii="宋体" w:hAnsi="宋体" w:cs="宋体" w:eastAsia="宋体" w:hint="default"/>
          <w:spacing w:val="-53"/>
          <w:sz w:val="20"/>
          <w:szCs w:val="20"/>
        </w:rPr>
        <w:t> </w:t>
      </w:r>
      <w:r>
        <w:rPr>
          <w:rFonts w:ascii="Times New Roman" w:hAnsi="Times New Roman" w:cs="Times New Roman" w:eastAsia="Times New Roman" w:hint="default"/>
          <w:sz w:val="20"/>
          <w:szCs w:val="20"/>
        </w:rPr>
        <w:t>ZG24426</w:t>
      </w:r>
      <w:r>
        <w:rPr>
          <w:rFonts w:ascii="Times New Roman" w:hAnsi="Times New Roman" w:cs="Times New Roman" w:eastAsia="Times New Roman" w:hint="default"/>
          <w:spacing w:val="-3"/>
          <w:sz w:val="20"/>
          <w:szCs w:val="20"/>
        </w:rPr>
        <w:t> </w:t>
      </w:r>
      <w:r>
        <w:rPr>
          <w:rFonts w:ascii="宋体" w:hAnsi="宋体" w:cs="宋体" w:eastAsia="宋体" w:hint="default"/>
          <w:sz w:val="20"/>
          <w:szCs w:val="20"/>
        </w:rPr>
        <w:t>号</w:t>
      </w:r>
    </w:p>
    <w:p>
      <w:pPr>
        <w:spacing w:line="240" w:lineRule="auto" w:before="0"/>
        <w:rPr>
          <w:rFonts w:ascii="宋体" w:hAnsi="宋体" w:cs="宋体" w:eastAsia="宋体" w:hint="default"/>
          <w:sz w:val="20"/>
          <w:szCs w:val="20"/>
        </w:rPr>
      </w:pPr>
    </w:p>
    <w:p>
      <w:pPr>
        <w:pStyle w:val="Heading2"/>
        <w:spacing w:line="556" w:lineRule="auto" w:before="156"/>
        <w:ind w:left="887" w:right="5104" w:hanging="568"/>
        <w:jc w:val="left"/>
        <w:rPr>
          <w:b w:val="0"/>
          <w:bCs w:val="0"/>
        </w:rPr>
      </w:pPr>
      <w:r>
        <w:rPr/>
        <w:t>中国长城科技集团股份有限公司全体股东：</w:t>
      </w:r>
      <w:r>
        <w:rPr>
          <w:spacing w:val="1"/>
          <w:w w:val="99"/>
        </w:rPr>
        <w:t> </w:t>
      </w:r>
      <w:r>
        <w:rPr/>
        <w:t>一、</w:t>
      </w:r>
      <w:r>
        <w:rPr>
          <w:spacing w:val="-14"/>
        </w:rPr>
        <w:t> </w:t>
      </w:r>
      <w:r>
        <w:rPr/>
        <w:t>审计意见</w:t>
      </w:r>
      <w:r>
        <w:rPr>
          <w:b w:val="0"/>
          <w:bCs w:val="0"/>
        </w:rPr>
      </w:r>
    </w:p>
    <w:p>
      <w:pPr>
        <w:pStyle w:val="Heading3"/>
        <w:spacing w:line="268" w:lineRule="auto" w:before="76"/>
        <w:ind w:right="1359"/>
        <w:jc w:val="both"/>
      </w:pPr>
      <w:r>
        <w:rPr>
          <w:spacing w:val="-5"/>
          <w:w w:val="99"/>
        </w:rPr>
        <w:t>我们审计了中国长城科技集团股份有限公司（以下简称“中国长城”）</w:t>
      </w:r>
      <w:r>
        <w:rPr>
          <w:w w:val="99"/>
        </w:rPr>
        <w:t> </w:t>
      </w:r>
      <w:r>
        <w:rPr/>
        <w:t>财务报表，包括</w:t>
      </w:r>
      <w:r>
        <w:rPr>
          <w:spacing w:val="-52"/>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8"/>
        </w:rPr>
        <w:t> </w:t>
      </w: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17"/>
        </w:rPr>
        <w:t> </w:t>
      </w:r>
      <w:r>
        <w:rPr/>
        <w:t>月</w:t>
      </w:r>
      <w:r>
        <w:rPr>
          <w:spacing w:val="-52"/>
        </w:rPr>
        <w:t> </w:t>
      </w:r>
      <w:r>
        <w:rPr>
          <w:rFonts w:ascii="Times New Roman" w:hAnsi="Times New Roman" w:cs="Times New Roman" w:eastAsia="Times New Roman" w:hint="default"/>
        </w:rPr>
        <w:t>31</w:t>
      </w:r>
      <w:r>
        <w:rPr>
          <w:rFonts w:ascii="Times New Roman" w:hAnsi="Times New Roman" w:cs="Times New Roman" w:eastAsia="Times New Roman" w:hint="default"/>
          <w:spacing w:val="18"/>
        </w:rPr>
        <w:t> </w:t>
      </w:r>
      <w:r>
        <w:rPr/>
        <w:t>日的合并及母公司资产负债表，</w:t>
      </w:r>
      <w:r>
        <w:rPr>
          <w:rFonts w:ascii="Times New Roman" w:hAnsi="Times New Roman" w:cs="Times New Roman" w:eastAsia="Times New Roman" w:hint="default"/>
        </w:rPr>
        <w:t>2018</w:t>
      </w:r>
      <w:r>
        <w:rPr>
          <w:rFonts w:ascii="Times New Roman" w:hAnsi="Times New Roman" w:cs="Times New Roman" w:eastAsia="Times New Roman" w:hint="default"/>
          <w:spacing w:val="18"/>
        </w:rPr>
        <w:t> </w:t>
      </w:r>
      <w:r>
        <w:rPr/>
        <w:t>年</w:t>
      </w:r>
      <w:r>
        <w:rPr>
          <w:w w:val="99"/>
        </w:rPr>
        <w:t> </w:t>
      </w:r>
      <w:r>
        <w:rPr/>
        <w:t>度的合并及母公司利润表、合并及母公司现金流量表、合并及母公司股东</w:t>
      </w:r>
      <w:r>
        <w:rPr>
          <w:spacing w:val="-90"/>
        </w:rPr>
        <w:t> </w:t>
      </w:r>
      <w:r>
        <w:rPr>
          <w:spacing w:val="-90"/>
        </w:rPr>
      </w:r>
      <w:r>
        <w:rPr/>
        <w:t>权益变动表以及相关财务报表附注。</w:t>
      </w:r>
    </w:p>
    <w:p>
      <w:pPr>
        <w:pStyle w:val="Heading3"/>
        <w:spacing w:line="273" w:lineRule="auto" w:before="57"/>
        <w:ind w:right="1434"/>
        <w:jc w:val="both"/>
      </w:pPr>
      <w:r>
        <w:rPr/>
        <w:t>我们认为，后附的财务报表在所有重大方面按照企业会计准则的规定</w:t>
      </w:r>
      <w:r>
        <w:rPr>
          <w:spacing w:val="2"/>
          <w:w w:val="99"/>
        </w:rPr>
        <w:t> </w:t>
      </w:r>
      <w:r>
        <w:rPr>
          <w:spacing w:val="-7"/>
        </w:rPr>
        <w:t>编制，公允反映了中国长城</w:t>
      </w:r>
      <w:r>
        <w:rPr>
          <w:spacing w:val="-71"/>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72"/>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72"/>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日的合并及母公司财务状况以</w:t>
      </w:r>
    </w:p>
    <w:p>
      <w:pPr>
        <w:spacing w:line="559" w:lineRule="auto" w:before="0"/>
        <w:ind w:left="887" w:right="4154" w:hanging="568"/>
        <w:jc w:val="left"/>
        <w:rPr>
          <w:rFonts w:ascii="宋体" w:hAnsi="宋体" w:cs="宋体" w:eastAsia="宋体" w:hint="default"/>
          <w:sz w:val="28"/>
          <w:szCs w:val="28"/>
        </w:rPr>
      </w:pPr>
      <w:r>
        <w:rPr>
          <w:rFonts w:ascii="宋体" w:hAnsi="宋体" w:cs="宋体" w:eastAsia="宋体" w:hint="default"/>
          <w:sz w:val="28"/>
          <w:szCs w:val="28"/>
        </w:rPr>
        <w:t>及</w:t>
      </w:r>
      <w:r>
        <w:rPr>
          <w:rFonts w:ascii="宋体" w:hAnsi="宋体" w:cs="宋体" w:eastAsia="宋体" w:hint="default"/>
          <w:spacing w:val="-75"/>
          <w:sz w:val="28"/>
          <w:szCs w:val="28"/>
        </w:rPr>
        <w:t> </w:t>
      </w:r>
      <w:r>
        <w:rPr>
          <w:rFonts w:ascii="Times New Roman" w:hAnsi="Times New Roman" w:cs="Times New Roman" w:eastAsia="Times New Roman" w:hint="default"/>
          <w:sz w:val="28"/>
          <w:szCs w:val="28"/>
        </w:rPr>
        <w:t>2018</w:t>
      </w:r>
      <w:r>
        <w:rPr>
          <w:rFonts w:ascii="Times New Roman" w:hAnsi="Times New Roman" w:cs="Times New Roman" w:eastAsia="Times New Roman" w:hint="default"/>
          <w:spacing w:val="-4"/>
          <w:sz w:val="28"/>
          <w:szCs w:val="28"/>
        </w:rPr>
        <w:t> </w:t>
      </w:r>
      <w:r>
        <w:rPr>
          <w:rFonts w:ascii="宋体" w:hAnsi="宋体" w:cs="宋体" w:eastAsia="宋体" w:hint="default"/>
          <w:sz w:val="28"/>
          <w:szCs w:val="28"/>
        </w:rPr>
        <w:t>年度的合并及母公司经营成果和现金流量。</w:t>
      </w:r>
      <w:r>
        <w:rPr>
          <w:rFonts w:ascii="宋体" w:hAnsi="宋体" w:cs="宋体" w:eastAsia="宋体" w:hint="default"/>
          <w:w w:val="99"/>
          <w:sz w:val="28"/>
          <w:szCs w:val="28"/>
        </w:rPr>
        <w:t> </w:t>
      </w:r>
      <w:r>
        <w:rPr>
          <w:rFonts w:ascii="宋体" w:hAnsi="宋体" w:cs="宋体" w:eastAsia="宋体" w:hint="default"/>
          <w:b/>
          <w:bCs/>
          <w:sz w:val="28"/>
          <w:szCs w:val="28"/>
        </w:rPr>
        <w:t>二、</w:t>
      </w:r>
      <w:r>
        <w:rPr>
          <w:rFonts w:ascii="宋体" w:hAnsi="宋体" w:cs="宋体" w:eastAsia="宋体" w:hint="default"/>
          <w:b/>
          <w:bCs/>
          <w:spacing w:val="-16"/>
          <w:sz w:val="28"/>
          <w:szCs w:val="28"/>
        </w:rPr>
        <w:t> </w:t>
      </w:r>
      <w:r>
        <w:rPr>
          <w:rFonts w:ascii="宋体" w:hAnsi="宋体" w:cs="宋体" w:eastAsia="宋体" w:hint="default"/>
          <w:b/>
          <w:bCs/>
          <w:sz w:val="28"/>
          <w:szCs w:val="28"/>
        </w:rPr>
        <w:t>形成审计意见的基础</w:t>
      </w:r>
      <w:r>
        <w:rPr>
          <w:rFonts w:ascii="宋体" w:hAnsi="宋体" w:cs="宋体" w:eastAsia="宋体" w:hint="default"/>
          <w:sz w:val="28"/>
          <w:szCs w:val="28"/>
        </w:rPr>
      </w:r>
    </w:p>
    <w:p>
      <w:pPr>
        <w:pStyle w:val="Heading3"/>
        <w:spacing w:line="237" w:lineRule="auto" w:before="77"/>
        <w:ind w:right="1434"/>
        <w:jc w:val="both"/>
      </w:pPr>
      <w:r>
        <w:rPr/>
        <w:t>我们按照中国注册会计师审计准则的规定执行了审计工作。审计报告</w:t>
      </w:r>
      <w:r>
        <w:rPr>
          <w:spacing w:val="2"/>
          <w:w w:val="99"/>
        </w:rPr>
        <w:t> </w:t>
      </w:r>
      <w:r>
        <w:rPr/>
        <w:t>的“注册会计师对财务报表审计的责任”部分进一步阐述了我们在这些准</w:t>
      </w:r>
      <w:r>
        <w:rPr>
          <w:spacing w:val="-90"/>
        </w:rPr>
        <w:t> </w:t>
      </w:r>
      <w:r>
        <w:rPr/>
        <w:t>则下的责任。按照中国注册会计师职业道德守则，我们独立于中国长城，</w:t>
      </w:r>
      <w:r>
        <w:rPr>
          <w:spacing w:val="-90"/>
        </w:rPr>
        <w:t> </w:t>
      </w:r>
      <w:r>
        <w:rPr/>
        <w:t>并履行了职业道德方面的其他责任。我们相信，我们获取的审计证据是充</w:t>
      </w:r>
      <w:r>
        <w:rPr>
          <w:spacing w:val="-90"/>
        </w:rPr>
        <w:t> </w:t>
      </w:r>
      <w:r>
        <w:rPr/>
        <w:t>分、适当的，为发表审计意见提供了基础。</w:t>
      </w:r>
    </w:p>
    <w:p>
      <w:pPr>
        <w:spacing w:line="810" w:lineRule="atLeast" w:before="41"/>
        <w:ind w:left="887" w:right="0" w:firstLine="0"/>
        <w:jc w:val="left"/>
        <w:rPr>
          <w:rFonts w:ascii="宋体" w:hAnsi="宋体" w:cs="宋体" w:eastAsia="宋体" w:hint="default"/>
          <w:sz w:val="28"/>
          <w:szCs w:val="28"/>
        </w:rPr>
      </w:pPr>
      <w:r>
        <w:rPr>
          <w:rFonts w:ascii="宋体" w:hAnsi="宋体" w:cs="宋体" w:eastAsia="宋体" w:hint="default"/>
          <w:b/>
          <w:bCs/>
          <w:sz w:val="28"/>
          <w:szCs w:val="28"/>
        </w:rPr>
        <w:t>三、</w:t>
      </w:r>
      <w:r>
        <w:rPr>
          <w:rFonts w:ascii="宋体" w:hAnsi="宋体" w:cs="宋体" w:eastAsia="宋体" w:hint="default"/>
          <w:b/>
          <w:bCs/>
          <w:spacing w:val="-10"/>
          <w:sz w:val="28"/>
          <w:szCs w:val="28"/>
        </w:rPr>
        <w:t> </w:t>
      </w:r>
      <w:r>
        <w:rPr>
          <w:rFonts w:ascii="宋体" w:hAnsi="宋体" w:cs="宋体" w:eastAsia="宋体" w:hint="default"/>
          <w:b/>
          <w:bCs/>
          <w:sz w:val="28"/>
          <w:szCs w:val="28"/>
        </w:rPr>
        <w:t>关键审计事项</w:t>
      </w:r>
      <w:r>
        <w:rPr>
          <w:rFonts w:ascii="宋体" w:hAnsi="宋体" w:cs="宋体" w:eastAsia="宋体" w:hint="default"/>
          <w:b/>
          <w:bCs/>
          <w:spacing w:val="1"/>
          <w:w w:val="99"/>
          <w:sz w:val="28"/>
          <w:szCs w:val="28"/>
        </w:rPr>
        <w:t> </w:t>
      </w:r>
      <w:r>
        <w:rPr>
          <w:rFonts w:ascii="宋体" w:hAnsi="宋体" w:cs="宋体" w:eastAsia="宋体" w:hint="default"/>
          <w:sz w:val="28"/>
          <w:szCs w:val="28"/>
        </w:rPr>
        <w:t>关键审计事项是我们根据职业判断，认为对本期财务报表审计最为重</w:t>
      </w:r>
    </w:p>
    <w:p>
      <w:pPr>
        <w:pStyle w:val="Heading3"/>
        <w:spacing w:line="237" w:lineRule="auto"/>
        <w:ind w:right="1434" w:firstLine="0"/>
        <w:jc w:val="both"/>
      </w:pPr>
      <w:r>
        <w:rPr/>
        <w:t>要的事项。这些事项的应对以对财务报表整体进行审计并形成审计意见为</w:t>
      </w:r>
      <w:r>
        <w:rPr>
          <w:spacing w:val="-90"/>
        </w:rPr>
        <w:t> </w:t>
      </w:r>
      <w:r>
        <w:rPr/>
        <w:t>背景，我们不对这些事项单独发表意见。我们确定下列事项是需要在审计</w:t>
      </w:r>
      <w:r>
        <w:rPr>
          <w:spacing w:val="-90"/>
        </w:rPr>
        <w:t> </w:t>
      </w:r>
      <w:r>
        <w:rPr/>
        <w:t>报告中沟通的关键审计事项。</w:t>
      </w:r>
    </w:p>
    <w:p>
      <w:pPr>
        <w:spacing w:after="0" w:line="237" w:lineRule="auto"/>
        <w:jc w:val="both"/>
        <w:sectPr>
          <w:headerReference w:type="default" r:id="rId21"/>
          <w:footerReference w:type="default" r:id="rId22"/>
          <w:pgSz w:w="11910" w:h="16840"/>
          <w:pgMar w:header="679" w:footer="983" w:top="1620" w:bottom="1180" w:left="1120" w:right="0"/>
          <w:pgNumType w:start="1"/>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15"/>
          <w:szCs w:val="15"/>
        </w:rPr>
      </w:pPr>
    </w:p>
    <w:tbl>
      <w:tblPr>
        <w:tblW w:w="0" w:type="auto"/>
        <w:jc w:val="left"/>
        <w:tblInd w:w="315" w:type="dxa"/>
        <w:tblLayout w:type="fixed"/>
        <w:tblCellMar>
          <w:top w:w="0" w:type="dxa"/>
          <w:left w:w="0" w:type="dxa"/>
          <w:bottom w:w="0" w:type="dxa"/>
          <w:right w:w="0" w:type="dxa"/>
        </w:tblCellMar>
        <w:tblLook w:val="01E0"/>
      </w:tblPr>
      <w:tblGrid>
        <w:gridCol w:w="4153"/>
        <w:gridCol w:w="4069"/>
      </w:tblGrid>
      <w:tr>
        <w:trPr>
          <w:trHeight w:val="413" w:hRule="exact"/>
        </w:trPr>
        <w:tc>
          <w:tcPr>
            <w:tcW w:w="4153" w:type="dxa"/>
            <w:tcBorders>
              <w:top w:val="single" w:sz="4" w:space="0" w:color="000000"/>
              <w:left w:val="single" w:sz="4" w:space="0" w:color="000000"/>
              <w:bottom w:val="single" w:sz="4" w:space="0" w:color="000000"/>
              <w:right w:val="single" w:sz="4" w:space="0" w:color="000000"/>
            </w:tcBorders>
          </w:tcPr>
          <w:p>
            <w:pPr>
              <w:pStyle w:val="TableParagraph"/>
              <w:spacing w:line="339" w:lineRule="exact"/>
              <w:ind w:left="1228" w:right="0"/>
              <w:jc w:val="left"/>
              <w:rPr>
                <w:rFonts w:ascii="宋体" w:hAnsi="宋体" w:cs="宋体" w:eastAsia="宋体" w:hint="default"/>
                <w:sz w:val="28"/>
                <w:szCs w:val="28"/>
              </w:rPr>
            </w:pPr>
            <w:r>
              <w:rPr>
                <w:rFonts w:ascii="宋体" w:hAnsi="宋体" w:cs="宋体" w:eastAsia="宋体" w:hint="default"/>
                <w:b/>
                <w:bCs/>
                <w:sz w:val="28"/>
                <w:szCs w:val="28"/>
              </w:rPr>
              <w:t>关键审计事项</w:t>
            </w:r>
            <w:r>
              <w:rPr>
                <w:rFonts w:ascii="宋体" w:hAnsi="宋体" w:cs="宋体" w:eastAsia="宋体" w:hint="default"/>
                <w:sz w:val="28"/>
                <w:szCs w:val="28"/>
              </w:rPr>
            </w:r>
          </w:p>
        </w:tc>
        <w:tc>
          <w:tcPr>
            <w:tcW w:w="4069" w:type="dxa"/>
            <w:tcBorders>
              <w:top w:val="single" w:sz="4" w:space="0" w:color="000000"/>
              <w:left w:val="single" w:sz="4" w:space="0" w:color="000000"/>
              <w:bottom w:val="single" w:sz="4" w:space="0" w:color="000000"/>
              <w:right w:val="single" w:sz="4" w:space="0" w:color="000000"/>
            </w:tcBorders>
          </w:tcPr>
          <w:p>
            <w:pPr>
              <w:pStyle w:val="TableParagraph"/>
              <w:spacing w:line="339" w:lineRule="exact"/>
              <w:ind w:left="202" w:right="0"/>
              <w:jc w:val="left"/>
              <w:rPr>
                <w:rFonts w:ascii="宋体" w:hAnsi="宋体" w:cs="宋体" w:eastAsia="宋体" w:hint="default"/>
                <w:sz w:val="28"/>
                <w:szCs w:val="28"/>
              </w:rPr>
            </w:pPr>
            <w:r>
              <w:rPr>
                <w:rFonts w:ascii="宋体" w:hAnsi="宋体" w:cs="宋体" w:eastAsia="宋体" w:hint="default"/>
                <w:b/>
                <w:bCs/>
                <w:sz w:val="28"/>
                <w:szCs w:val="28"/>
              </w:rPr>
              <w:t>该事项在审计中是如何应对的</w:t>
            </w:r>
            <w:r>
              <w:rPr>
                <w:rFonts w:ascii="宋体" w:hAnsi="宋体" w:cs="宋体" w:eastAsia="宋体" w:hint="default"/>
                <w:sz w:val="28"/>
                <w:szCs w:val="28"/>
              </w:rPr>
            </w:r>
          </w:p>
        </w:tc>
      </w:tr>
      <w:tr>
        <w:trPr>
          <w:trHeight w:val="414" w:hRule="exact"/>
        </w:trPr>
        <w:tc>
          <w:tcPr>
            <w:tcW w:w="8222" w:type="dxa"/>
            <w:gridSpan w:val="2"/>
            <w:tcBorders>
              <w:top w:val="single" w:sz="4" w:space="0" w:color="000000"/>
              <w:left w:val="single" w:sz="4" w:space="0" w:color="000000"/>
              <w:bottom w:val="single" w:sz="4" w:space="0" w:color="000000"/>
              <w:right w:val="single" w:sz="4" w:space="0" w:color="000000"/>
            </w:tcBorders>
          </w:tcPr>
          <w:p>
            <w:pPr>
              <w:pStyle w:val="TableParagraph"/>
              <w:spacing w:line="341" w:lineRule="exact"/>
              <w:ind w:left="103" w:right="0"/>
              <w:jc w:val="left"/>
              <w:rPr>
                <w:rFonts w:ascii="宋体" w:hAnsi="宋体" w:cs="宋体" w:eastAsia="宋体" w:hint="default"/>
                <w:sz w:val="28"/>
                <w:szCs w:val="28"/>
              </w:rPr>
            </w:pPr>
            <w:r>
              <w:rPr>
                <w:rFonts w:ascii="宋体" w:hAnsi="宋体" w:cs="宋体" w:eastAsia="宋体" w:hint="default"/>
                <w:b/>
                <w:bCs/>
                <w:sz w:val="28"/>
                <w:szCs w:val="28"/>
              </w:rPr>
              <w:t>收入确认</w:t>
            </w:r>
            <w:r>
              <w:rPr>
                <w:rFonts w:ascii="宋体" w:hAnsi="宋体" w:cs="宋体" w:eastAsia="宋体" w:hint="default"/>
                <w:sz w:val="28"/>
                <w:szCs w:val="28"/>
              </w:rPr>
            </w:r>
          </w:p>
        </w:tc>
      </w:tr>
      <w:tr>
        <w:trPr>
          <w:trHeight w:val="387" w:hRule="exact"/>
        </w:trPr>
        <w:tc>
          <w:tcPr>
            <w:tcW w:w="4153" w:type="dxa"/>
            <w:tcBorders>
              <w:top w:val="single" w:sz="4" w:space="0" w:color="000000"/>
              <w:left w:val="single" w:sz="4" w:space="0" w:color="000000"/>
              <w:bottom w:val="nil" w:sz="6" w:space="0" w:color="auto"/>
              <w:right w:val="single" w:sz="4" w:space="0" w:color="000000"/>
            </w:tcBorders>
          </w:tcPr>
          <w:p>
            <w:pPr>
              <w:pStyle w:val="TableParagraph"/>
              <w:spacing w:line="341" w:lineRule="exact"/>
              <w:ind w:left="103" w:right="0"/>
              <w:jc w:val="left"/>
              <w:rPr>
                <w:rFonts w:ascii="宋体" w:hAnsi="宋体" w:cs="宋体" w:eastAsia="宋体" w:hint="default"/>
                <w:sz w:val="28"/>
                <w:szCs w:val="28"/>
              </w:rPr>
            </w:pPr>
            <w:r>
              <w:rPr>
                <w:rFonts w:ascii="宋体" w:hAnsi="宋体" w:cs="宋体" w:eastAsia="宋体" w:hint="default"/>
                <w:sz w:val="28"/>
                <w:szCs w:val="28"/>
              </w:rPr>
              <w:t>关于收入确认会计政策详见附注</w:t>
            </w:r>
          </w:p>
        </w:tc>
        <w:tc>
          <w:tcPr>
            <w:tcW w:w="4069" w:type="dxa"/>
            <w:tcBorders>
              <w:top w:val="single" w:sz="4" w:space="0" w:color="000000"/>
              <w:left w:val="single" w:sz="4" w:space="0" w:color="000000"/>
              <w:bottom w:val="nil" w:sz="6" w:space="0" w:color="auto"/>
              <w:right w:val="single" w:sz="4" w:space="0" w:color="000000"/>
            </w:tcBorders>
          </w:tcPr>
          <w:p>
            <w:pPr>
              <w:pStyle w:val="TableParagraph"/>
              <w:spacing w:line="340" w:lineRule="exact"/>
              <w:ind w:left="103" w:right="0"/>
              <w:jc w:val="left"/>
              <w:rPr>
                <w:rFonts w:ascii="宋体" w:hAnsi="宋体" w:cs="宋体" w:eastAsia="宋体" w:hint="default"/>
                <w:sz w:val="28"/>
                <w:szCs w:val="28"/>
              </w:rPr>
            </w:pPr>
            <w:r>
              <w:rPr>
                <w:rFonts w:ascii="宋体" w:hAnsi="宋体" w:cs="宋体" w:eastAsia="宋体" w:hint="default"/>
                <w:spacing w:val="18"/>
                <w:sz w:val="28"/>
                <w:szCs w:val="28"/>
              </w:rPr>
              <w:t>我们针对收入确认执行的审计</w:t>
            </w:r>
            <w:r>
              <w:rPr>
                <w:rFonts w:ascii="宋体" w:hAnsi="宋体" w:cs="宋体" w:eastAsia="宋体" w:hint="default"/>
                <w:sz w:val="28"/>
                <w:szCs w:val="28"/>
              </w:rPr>
            </w:r>
          </w:p>
        </w:tc>
      </w:tr>
      <w:tr>
        <w:trPr>
          <w:trHeight w:val="363" w:hRule="exact"/>
        </w:trPr>
        <w:tc>
          <w:tcPr>
            <w:tcW w:w="4153" w:type="dxa"/>
            <w:tcBorders>
              <w:top w:val="nil" w:sz="6" w:space="0" w:color="auto"/>
              <w:left w:val="single" w:sz="4" w:space="0" w:color="000000"/>
              <w:bottom w:val="nil" w:sz="6" w:space="0" w:color="auto"/>
              <w:right w:val="single" w:sz="4" w:space="0" w:color="000000"/>
            </w:tcBorders>
          </w:tcPr>
          <w:p>
            <w:pPr>
              <w:pStyle w:val="TableParagraph"/>
              <w:spacing w:line="321" w:lineRule="exact"/>
              <w:ind w:left="103" w:right="0"/>
              <w:jc w:val="left"/>
              <w:rPr>
                <w:rFonts w:ascii="宋体" w:hAnsi="宋体" w:cs="宋体" w:eastAsia="宋体" w:hint="default"/>
                <w:sz w:val="28"/>
                <w:szCs w:val="28"/>
              </w:rPr>
            </w:pPr>
            <w:r>
              <w:rPr>
                <w:rFonts w:ascii="宋体" w:hAnsi="宋体" w:cs="宋体" w:eastAsia="宋体" w:hint="default"/>
                <w:spacing w:val="1"/>
                <w:w w:val="99"/>
                <w:sz w:val="28"/>
                <w:szCs w:val="28"/>
              </w:rPr>
              <w:t>三</w:t>
            </w:r>
            <w:r>
              <w:rPr>
                <w:rFonts w:ascii="宋体" w:hAnsi="宋体" w:cs="宋体" w:eastAsia="宋体" w:hint="default"/>
                <w:spacing w:val="-140"/>
                <w:w w:val="99"/>
                <w:sz w:val="28"/>
                <w:szCs w:val="28"/>
              </w:rPr>
              <w:t>、</w:t>
            </w:r>
            <w:r>
              <w:rPr>
                <w:rFonts w:ascii="宋体" w:hAnsi="宋体" w:cs="宋体" w:eastAsia="宋体" w:hint="default"/>
                <w:spacing w:val="1"/>
                <w:w w:val="99"/>
                <w:sz w:val="28"/>
                <w:szCs w:val="28"/>
              </w:rPr>
              <w:t>（二十五</w:t>
            </w:r>
            <w:r>
              <w:rPr>
                <w:rFonts w:ascii="宋体" w:hAnsi="宋体" w:cs="宋体" w:eastAsia="宋体" w:hint="default"/>
                <w:spacing w:val="-138"/>
                <w:w w:val="99"/>
                <w:sz w:val="28"/>
                <w:szCs w:val="28"/>
              </w:rPr>
              <w:t>）</w:t>
            </w:r>
            <w:r>
              <w:rPr>
                <w:rFonts w:ascii="宋体" w:hAnsi="宋体" w:cs="宋体" w:eastAsia="宋体" w:hint="default"/>
                <w:spacing w:val="1"/>
                <w:w w:val="99"/>
                <w:sz w:val="28"/>
                <w:szCs w:val="28"/>
              </w:rPr>
              <w:t>；关于收入的披露</w:t>
            </w:r>
            <w:r>
              <w:rPr>
                <w:rFonts w:ascii="宋体" w:hAnsi="宋体" w:cs="宋体" w:eastAsia="宋体" w:hint="default"/>
                <w:sz w:val="28"/>
                <w:szCs w:val="28"/>
              </w:rPr>
            </w:r>
          </w:p>
        </w:tc>
        <w:tc>
          <w:tcPr>
            <w:tcW w:w="4069" w:type="dxa"/>
            <w:tcBorders>
              <w:top w:val="nil" w:sz="6" w:space="0" w:color="auto"/>
              <w:left w:val="single" w:sz="4" w:space="0" w:color="000000"/>
              <w:bottom w:val="nil" w:sz="6" w:space="0" w:color="auto"/>
              <w:right w:val="single" w:sz="4" w:space="0" w:color="000000"/>
            </w:tcBorders>
          </w:tcPr>
          <w:p>
            <w:pPr>
              <w:pStyle w:val="TableParagraph"/>
              <w:spacing w:line="321" w:lineRule="exact"/>
              <w:ind w:left="103" w:right="0"/>
              <w:jc w:val="left"/>
              <w:rPr>
                <w:rFonts w:ascii="宋体" w:hAnsi="宋体" w:cs="宋体" w:eastAsia="宋体" w:hint="default"/>
                <w:sz w:val="28"/>
                <w:szCs w:val="28"/>
              </w:rPr>
            </w:pPr>
            <w:r>
              <w:rPr>
                <w:rFonts w:ascii="宋体" w:hAnsi="宋体" w:cs="宋体" w:eastAsia="宋体" w:hint="default"/>
                <w:sz w:val="28"/>
                <w:szCs w:val="28"/>
              </w:rPr>
              <w:t>程序主要有：</w:t>
            </w:r>
          </w:p>
        </w:tc>
      </w:tr>
      <w:tr>
        <w:trPr>
          <w:trHeight w:val="390" w:hRule="exact"/>
        </w:trPr>
        <w:tc>
          <w:tcPr>
            <w:tcW w:w="4153" w:type="dxa"/>
            <w:tcBorders>
              <w:top w:val="nil" w:sz="6" w:space="0" w:color="auto"/>
              <w:left w:val="single" w:sz="4" w:space="0" w:color="000000"/>
              <w:bottom w:val="nil" w:sz="6" w:space="0" w:color="auto"/>
              <w:right w:val="single" w:sz="4" w:space="0" w:color="000000"/>
            </w:tcBorders>
          </w:tcPr>
          <w:p>
            <w:pPr>
              <w:pStyle w:val="TableParagraph"/>
              <w:spacing w:line="322" w:lineRule="exact"/>
              <w:ind w:left="103" w:right="0"/>
              <w:jc w:val="left"/>
              <w:rPr>
                <w:rFonts w:ascii="宋体" w:hAnsi="宋体" w:cs="宋体" w:eastAsia="宋体" w:hint="default"/>
                <w:sz w:val="28"/>
                <w:szCs w:val="28"/>
              </w:rPr>
            </w:pPr>
            <w:r>
              <w:rPr>
                <w:rFonts w:ascii="宋体" w:hAnsi="宋体" w:cs="宋体" w:eastAsia="宋体" w:hint="default"/>
                <w:w w:val="99"/>
                <w:sz w:val="28"/>
                <w:szCs w:val="28"/>
              </w:rPr>
              <w:t>详见附注五</w:t>
            </w:r>
            <w:r>
              <w:rPr>
                <w:rFonts w:ascii="宋体" w:hAnsi="宋体" w:cs="宋体" w:eastAsia="宋体" w:hint="default"/>
                <w:spacing w:val="-141"/>
                <w:w w:val="99"/>
                <w:sz w:val="28"/>
                <w:szCs w:val="28"/>
              </w:rPr>
              <w:t>、</w:t>
            </w:r>
            <w:r>
              <w:rPr>
                <w:rFonts w:ascii="宋体" w:hAnsi="宋体" w:cs="宋体" w:eastAsia="宋体" w:hint="default"/>
                <w:w w:val="99"/>
                <w:sz w:val="28"/>
                <w:szCs w:val="28"/>
              </w:rPr>
              <w:t>（四十</w:t>
            </w:r>
            <w:r>
              <w:rPr>
                <w:rFonts w:ascii="宋体" w:hAnsi="宋体" w:cs="宋体" w:eastAsia="宋体" w:hint="default"/>
                <w:spacing w:val="-141"/>
                <w:w w:val="99"/>
                <w:sz w:val="28"/>
                <w:szCs w:val="28"/>
              </w:rPr>
              <w:t>）</w:t>
            </w:r>
            <w:r>
              <w:rPr>
                <w:rFonts w:ascii="宋体" w:hAnsi="宋体" w:cs="宋体" w:eastAsia="宋体" w:hint="default"/>
                <w:w w:val="99"/>
                <w:sz w:val="28"/>
                <w:szCs w:val="28"/>
              </w:rPr>
              <w:t>。</w:t>
            </w:r>
            <w:r>
              <w:rPr>
                <w:rFonts w:ascii="宋体" w:hAnsi="宋体" w:cs="宋体" w:eastAsia="宋体" w:hint="default"/>
                <w:sz w:val="28"/>
                <w:szCs w:val="28"/>
              </w:rPr>
            </w:r>
          </w:p>
        </w:tc>
        <w:tc>
          <w:tcPr>
            <w:tcW w:w="4069" w:type="dxa"/>
            <w:tcBorders>
              <w:top w:val="nil" w:sz="6" w:space="0" w:color="auto"/>
              <w:left w:val="single" w:sz="4" w:space="0" w:color="000000"/>
              <w:bottom w:val="nil" w:sz="6" w:space="0" w:color="auto"/>
              <w:right w:val="single" w:sz="4" w:space="0" w:color="000000"/>
            </w:tcBorders>
          </w:tcPr>
          <w:p>
            <w:pPr>
              <w:pStyle w:val="TableParagraph"/>
              <w:spacing w:line="362" w:lineRule="exact"/>
              <w:ind w:left="103" w:right="0"/>
              <w:jc w:val="left"/>
              <w:rPr>
                <w:rFonts w:ascii="宋体" w:hAnsi="宋体" w:cs="宋体" w:eastAsia="宋体" w:hint="default"/>
                <w:sz w:val="28"/>
                <w:szCs w:val="28"/>
              </w:rPr>
            </w:pPr>
            <w:r>
              <w:rPr>
                <w:rFonts w:ascii="Times New Roman" w:hAnsi="Times New Roman" w:cs="Times New Roman" w:eastAsia="Times New Roman" w:hint="default"/>
                <w:sz w:val="28"/>
                <w:szCs w:val="28"/>
              </w:rPr>
              <w:t>1.</w:t>
            </w:r>
            <w:r>
              <w:rPr>
                <w:rFonts w:ascii="宋体" w:hAnsi="宋体" w:cs="宋体" w:eastAsia="宋体" w:hint="default"/>
                <w:sz w:val="28"/>
                <w:szCs w:val="28"/>
              </w:rPr>
              <w:t>了解和评价管理层与收入确认</w:t>
            </w:r>
          </w:p>
        </w:tc>
      </w:tr>
      <w:tr>
        <w:trPr>
          <w:trHeight w:val="345" w:hRule="exact"/>
        </w:trPr>
        <w:tc>
          <w:tcPr>
            <w:tcW w:w="4153" w:type="dxa"/>
            <w:tcBorders>
              <w:top w:val="nil" w:sz="6" w:space="0" w:color="auto"/>
              <w:left w:val="single" w:sz="4" w:space="0" w:color="000000"/>
              <w:bottom w:val="nil" w:sz="6" w:space="0" w:color="auto"/>
              <w:right w:val="single" w:sz="4" w:space="0" w:color="000000"/>
            </w:tcBorders>
          </w:tcPr>
          <w:p>
            <w:pPr/>
          </w:p>
        </w:tc>
        <w:tc>
          <w:tcPr>
            <w:tcW w:w="4069" w:type="dxa"/>
            <w:tcBorders>
              <w:top w:val="nil" w:sz="6" w:space="0" w:color="auto"/>
              <w:left w:val="single" w:sz="4" w:space="0" w:color="000000"/>
              <w:bottom w:val="nil" w:sz="6" w:space="0" w:color="auto"/>
              <w:right w:val="single" w:sz="4" w:space="0" w:color="000000"/>
            </w:tcBorders>
          </w:tcPr>
          <w:p>
            <w:pPr>
              <w:pStyle w:val="TableParagraph"/>
              <w:spacing w:line="314" w:lineRule="exact"/>
              <w:ind w:left="103" w:right="0"/>
              <w:jc w:val="left"/>
              <w:rPr>
                <w:rFonts w:ascii="宋体" w:hAnsi="宋体" w:cs="宋体" w:eastAsia="宋体" w:hint="default"/>
                <w:sz w:val="28"/>
                <w:szCs w:val="28"/>
              </w:rPr>
            </w:pPr>
            <w:r>
              <w:rPr>
                <w:rFonts w:ascii="宋体" w:hAnsi="宋体" w:cs="宋体" w:eastAsia="宋体" w:hint="default"/>
                <w:spacing w:val="18"/>
                <w:sz w:val="28"/>
                <w:szCs w:val="28"/>
              </w:rPr>
              <w:t>相关的关键内部控制的设计和</w:t>
            </w:r>
            <w:r>
              <w:rPr>
                <w:rFonts w:ascii="宋体" w:hAnsi="宋体" w:cs="宋体" w:eastAsia="宋体" w:hint="default"/>
                <w:sz w:val="28"/>
                <w:szCs w:val="28"/>
              </w:rPr>
            </w:r>
          </w:p>
        </w:tc>
      </w:tr>
      <w:tr>
        <w:trPr>
          <w:trHeight w:val="364" w:hRule="exact"/>
        </w:trPr>
        <w:tc>
          <w:tcPr>
            <w:tcW w:w="4153" w:type="dxa"/>
            <w:tcBorders>
              <w:top w:val="nil" w:sz="6" w:space="0" w:color="auto"/>
              <w:left w:val="single" w:sz="4" w:space="0" w:color="000000"/>
              <w:bottom w:val="nil" w:sz="6" w:space="0" w:color="auto"/>
              <w:right w:val="single" w:sz="4" w:space="0" w:color="000000"/>
            </w:tcBorders>
          </w:tcPr>
          <w:p>
            <w:pPr>
              <w:pStyle w:val="TableParagraph"/>
              <w:spacing w:line="332" w:lineRule="exact"/>
              <w:ind w:left="103" w:right="0"/>
              <w:jc w:val="left"/>
              <w:rPr>
                <w:rFonts w:ascii="宋体" w:hAnsi="宋体" w:cs="宋体" w:eastAsia="宋体" w:hint="default"/>
                <w:sz w:val="28"/>
                <w:szCs w:val="28"/>
              </w:rPr>
            </w:pPr>
            <w:r>
              <w:rPr>
                <w:rFonts w:ascii="Times New Roman" w:hAnsi="Times New Roman" w:cs="Times New Roman" w:eastAsia="Times New Roman" w:hint="default"/>
                <w:sz w:val="28"/>
                <w:szCs w:val="28"/>
              </w:rPr>
              <w:t>2018</w:t>
            </w:r>
            <w:r>
              <w:rPr>
                <w:rFonts w:ascii="Times New Roman" w:hAnsi="Times New Roman" w:cs="Times New Roman" w:eastAsia="Times New Roman" w:hint="default"/>
                <w:spacing w:val="1"/>
                <w:sz w:val="28"/>
                <w:szCs w:val="28"/>
              </w:rPr>
              <w:t> </w:t>
            </w:r>
            <w:r>
              <w:rPr>
                <w:rFonts w:ascii="宋体" w:hAnsi="宋体" w:cs="宋体" w:eastAsia="宋体" w:hint="default"/>
                <w:spacing w:val="-5"/>
                <w:sz w:val="28"/>
                <w:szCs w:val="28"/>
              </w:rPr>
              <w:t>年度，中国长城合并口径营</w:t>
            </w:r>
          </w:p>
        </w:tc>
        <w:tc>
          <w:tcPr>
            <w:tcW w:w="4069" w:type="dxa"/>
            <w:tcBorders>
              <w:top w:val="nil" w:sz="6" w:space="0" w:color="auto"/>
              <w:left w:val="single" w:sz="4" w:space="0" w:color="000000"/>
              <w:bottom w:val="nil" w:sz="6" w:space="0" w:color="auto"/>
              <w:right w:val="single" w:sz="4" w:space="0" w:color="000000"/>
            </w:tcBorders>
          </w:tcPr>
          <w:p>
            <w:pPr>
              <w:pStyle w:val="TableParagraph"/>
              <w:spacing w:line="332" w:lineRule="exact"/>
              <w:ind w:left="103" w:right="0"/>
              <w:jc w:val="left"/>
              <w:rPr>
                <w:rFonts w:ascii="宋体" w:hAnsi="宋体" w:cs="宋体" w:eastAsia="宋体" w:hint="default"/>
                <w:sz w:val="28"/>
                <w:szCs w:val="28"/>
              </w:rPr>
            </w:pPr>
            <w:r>
              <w:rPr>
                <w:rFonts w:ascii="宋体" w:hAnsi="宋体" w:cs="宋体" w:eastAsia="宋体" w:hint="default"/>
                <w:sz w:val="28"/>
                <w:szCs w:val="28"/>
              </w:rPr>
              <w:t>运行有效性；</w:t>
            </w:r>
          </w:p>
        </w:tc>
      </w:tr>
      <w:tr>
        <w:trPr>
          <w:trHeight w:val="380" w:hRule="exact"/>
        </w:trPr>
        <w:tc>
          <w:tcPr>
            <w:tcW w:w="4153" w:type="dxa"/>
            <w:tcBorders>
              <w:top w:val="nil" w:sz="6" w:space="0" w:color="auto"/>
              <w:left w:val="single" w:sz="4" w:space="0" w:color="000000"/>
              <w:bottom w:val="nil" w:sz="6" w:space="0" w:color="auto"/>
              <w:right w:val="single" w:sz="4" w:space="0" w:color="000000"/>
            </w:tcBorders>
          </w:tcPr>
          <w:p>
            <w:pPr>
              <w:pStyle w:val="TableParagraph"/>
              <w:spacing w:line="332" w:lineRule="exact"/>
              <w:ind w:left="103" w:right="0"/>
              <w:jc w:val="left"/>
              <w:rPr>
                <w:rFonts w:ascii="宋体" w:hAnsi="宋体" w:cs="宋体" w:eastAsia="宋体" w:hint="default"/>
                <w:sz w:val="28"/>
                <w:szCs w:val="28"/>
              </w:rPr>
            </w:pPr>
            <w:r>
              <w:rPr>
                <w:rFonts w:ascii="宋体" w:hAnsi="宋体" w:cs="宋体" w:eastAsia="宋体" w:hint="default"/>
                <w:sz w:val="28"/>
                <w:szCs w:val="28"/>
              </w:rPr>
              <w:t>业收入</w:t>
            </w:r>
            <w:r>
              <w:rPr>
                <w:rFonts w:ascii="宋体" w:hAnsi="宋体" w:cs="宋体" w:eastAsia="宋体" w:hint="default"/>
                <w:spacing w:val="-73"/>
                <w:sz w:val="28"/>
                <w:szCs w:val="28"/>
              </w:rPr>
              <w:t> </w:t>
            </w:r>
            <w:r>
              <w:rPr>
                <w:rFonts w:ascii="Times New Roman" w:hAnsi="Times New Roman" w:cs="Times New Roman" w:eastAsia="Times New Roman" w:hint="default"/>
                <w:sz w:val="28"/>
                <w:szCs w:val="28"/>
              </w:rPr>
              <w:t>100.09</w:t>
            </w:r>
            <w:r>
              <w:rPr>
                <w:rFonts w:ascii="Times New Roman" w:hAnsi="Times New Roman" w:cs="Times New Roman" w:eastAsia="Times New Roman" w:hint="default"/>
                <w:spacing w:val="-2"/>
                <w:sz w:val="28"/>
                <w:szCs w:val="28"/>
              </w:rPr>
              <w:t> </w:t>
            </w:r>
            <w:r>
              <w:rPr>
                <w:rFonts w:ascii="宋体" w:hAnsi="宋体" w:cs="宋体" w:eastAsia="宋体" w:hint="default"/>
                <w:spacing w:val="-7"/>
                <w:sz w:val="28"/>
                <w:szCs w:val="28"/>
              </w:rPr>
              <w:t>亿元，主要来源于</w:t>
            </w:r>
          </w:p>
        </w:tc>
        <w:tc>
          <w:tcPr>
            <w:tcW w:w="4069" w:type="dxa"/>
            <w:tcBorders>
              <w:top w:val="nil" w:sz="6" w:space="0" w:color="auto"/>
              <w:left w:val="single" w:sz="4" w:space="0" w:color="000000"/>
              <w:bottom w:val="nil" w:sz="6" w:space="0" w:color="auto"/>
              <w:right w:val="single" w:sz="4" w:space="0" w:color="000000"/>
            </w:tcBorders>
          </w:tcPr>
          <w:p>
            <w:pPr>
              <w:pStyle w:val="TableParagraph"/>
              <w:spacing w:line="373" w:lineRule="exact"/>
              <w:ind w:left="103" w:right="0"/>
              <w:jc w:val="left"/>
              <w:rPr>
                <w:rFonts w:ascii="宋体" w:hAnsi="宋体" w:cs="宋体" w:eastAsia="宋体" w:hint="default"/>
                <w:sz w:val="28"/>
                <w:szCs w:val="28"/>
              </w:rPr>
            </w:pPr>
            <w:r>
              <w:rPr>
                <w:rFonts w:ascii="Times New Roman" w:hAnsi="Times New Roman" w:cs="Times New Roman" w:eastAsia="Times New Roman" w:hint="default"/>
                <w:sz w:val="28"/>
                <w:szCs w:val="28"/>
              </w:rPr>
              <w:t>2.</w:t>
            </w:r>
            <w:r>
              <w:rPr>
                <w:rFonts w:ascii="宋体" w:hAnsi="宋体" w:cs="宋体" w:eastAsia="宋体" w:hint="default"/>
                <w:sz w:val="28"/>
                <w:szCs w:val="28"/>
              </w:rPr>
              <w:t>选取样本检查销售合同，识别</w:t>
            </w:r>
          </w:p>
        </w:tc>
      </w:tr>
      <w:tr>
        <w:trPr>
          <w:trHeight w:val="355" w:hRule="exact"/>
        </w:trPr>
        <w:tc>
          <w:tcPr>
            <w:tcW w:w="4153" w:type="dxa"/>
            <w:tcBorders>
              <w:top w:val="nil" w:sz="6" w:space="0" w:color="auto"/>
              <w:left w:val="single" w:sz="4" w:space="0" w:color="000000"/>
              <w:bottom w:val="nil" w:sz="6" w:space="0" w:color="auto"/>
              <w:right w:val="single" w:sz="4" w:space="0" w:color="000000"/>
            </w:tcBorders>
          </w:tcPr>
          <w:p>
            <w:pPr>
              <w:pStyle w:val="TableParagraph"/>
              <w:spacing w:line="293" w:lineRule="exact"/>
              <w:ind w:left="103" w:right="0"/>
              <w:jc w:val="left"/>
              <w:rPr>
                <w:rFonts w:ascii="宋体" w:hAnsi="宋体" w:cs="宋体" w:eastAsia="宋体" w:hint="default"/>
                <w:sz w:val="28"/>
                <w:szCs w:val="28"/>
              </w:rPr>
            </w:pPr>
            <w:r>
              <w:rPr>
                <w:rFonts w:ascii="宋体" w:hAnsi="宋体" w:cs="宋体" w:eastAsia="宋体" w:hint="default"/>
                <w:sz w:val="28"/>
                <w:szCs w:val="28"/>
              </w:rPr>
              <w:t>高新电子、电源、信息安全整机</w:t>
            </w:r>
          </w:p>
        </w:tc>
        <w:tc>
          <w:tcPr>
            <w:tcW w:w="4069" w:type="dxa"/>
            <w:tcBorders>
              <w:top w:val="nil" w:sz="6" w:space="0" w:color="auto"/>
              <w:left w:val="single" w:sz="4" w:space="0" w:color="000000"/>
              <w:bottom w:val="nil" w:sz="6" w:space="0" w:color="auto"/>
              <w:right w:val="single" w:sz="4" w:space="0" w:color="000000"/>
            </w:tcBorders>
          </w:tcPr>
          <w:p>
            <w:pPr>
              <w:pStyle w:val="TableParagraph"/>
              <w:spacing w:line="334" w:lineRule="exact"/>
              <w:ind w:left="103" w:right="0"/>
              <w:jc w:val="left"/>
              <w:rPr>
                <w:rFonts w:ascii="宋体" w:hAnsi="宋体" w:cs="宋体" w:eastAsia="宋体" w:hint="default"/>
                <w:sz w:val="28"/>
                <w:szCs w:val="28"/>
              </w:rPr>
            </w:pPr>
            <w:r>
              <w:rPr>
                <w:rFonts w:ascii="宋体" w:hAnsi="宋体" w:cs="宋体" w:eastAsia="宋体" w:hint="default"/>
                <w:spacing w:val="18"/>
                <w:sz w:val="28"/>
                <w:szCs w:val="28"/>
              </w:rPr>
              <w:t>与商品所有权上的风险和报酬</w:t>
            </w:r>
            <w:r>
              <w:rPr>
                <w:rFonts w:ascii="宋体" w:hAnsi="宋体" w:cs="宋体" w:eastAsia="宋体" w:hint="default"/>
                <w:sz w:val="28"/>
                <w:szCs w:val="28"/>
              </w:rPr>
            </w:r>
          </w:p>
        </w:tc>
      </w:tr>
      <w:tr>
        <w:trPr>
          <w:trHeight w:val="373" w:hRule="exact"/>
        </w:trPr>
        <w:tc>
          <w:tcPr>
            <w:tcW w:w="4153" w:type="dxa"/>
            <w:tcBorders>
              <w:top w:val="nil" w:sz="6" w:space="0" w:color="auto"/>
              <w:left w:val="single" w:sz="4" w:space="0" w:color="000000"/>
              <w:bottom w:val="nil" w:sz="6" w:space="0" w:color="auto"/>
              <w:right w:val="single" w:sz="4" w:space="0" w:color="000000"/>
            </w:tcBorders>
          </w:tcPr>
          <w:p>
            <w:pPr>
              <w:pStyle w:val="TableParagraph"/>
              <w:spacing w:line="301" w:lineRule="exact"/>
              <w:ind w:left="103" w:right="0"/>
              <w:jc w:val="left"/>
              <w:rPr>
                <w:rFonts w:ascii="宋体" w:hAnsi="宋体" w:cs="宋体" w:eastAsia="宋体" w:hint="default"/>
                <w:sz w:val="28"/>
                <w:szCs w:val="28"/>
              </w:rPr>
            </w:pPr>
            <w:r>
              <w:rPr>
                <w:rFonts w:ascii="宋体" w:hAnsi="宋体" w:cs="宋体" w:eastAsia="宋体" w:hint="default"/>
                <w:sz w:val="28"/>
                <w:szCs w:val="28"/>
              </w:rPr>
              <w:t>及解决方案和园区及物业服务。</w:t>
            </w:r>
          </w:p>
        </w:tc>
        <w:tc>
          <w:tcPr>
            <w:tcW w:w="4069" w:type="dxa"/>
            <w:tcBorders>
              <w:top w:val="nil" w:sz="6" w:space="0" w:color="auto"/>
              <w:left w:val="single" w:sz="4" w:space="0" w:color="000000"/>
              <w:bottom w:val="nil" w:sz="6" w:space="0" w:color="auto"/>
              <w:right w:val="single" w:sz="4" w:space="0" w:color="000000"/>
            </w:tcBorders>
          </w:tcPr>
          <w:p>
            <w:pPr>
              <w:pStyle w:val="TableParagraph"/>
              <w:spacing w:line="342" w:lineRule="exact"/>
              <w:ind w:left="103" w:right="0"/>
              <w:jc w:val="left"/>
              <w:rPr>
                <w:rFonts w:ascii="宋体" w:hAnsi="宋体" w:cs="宋体" w:eastAsia="宋体" w:hint="default"/>
                <w:sz w:val="28"/>
                <w:szCs w:val="28"/>
              </w:rPr>
            </w:pPr>
            <w:r>
              <w:rPr>
                <w:rFonts w:ascii="宋体" w:hAnsi="宋体" w:cs="宋体" w:eastAsia="宋体" w:hint="default"/>
                <w:spacing w:val="-5"/>
                <w:sz w:val="28"/>
                <w:szCs w:val="28"/>
              </w:rPr>
              <w:t>转移相关的合同条款与条件，评</w:t>
            </w:r>
          </w:p>
        </w:tc>
      </w:tr>
      <w:tr>
        <w:trPr>
          <w:trHeight w:val="364" w:hRule="exact"/>
        </w:trPr>
        <w:tc>
          <w:tcPr>
            <w:tcW w:w="4153" w:type="dxa"/>
            <w:tcBorders>
              <w:top w:val="nil" w:sz="6" w:space="0" w:color="auto"/>
              <w:left w:val="single" w:sz="4" w:space="0" w:color="000000"/>
              <w:bottom w:val="nil" w:sz="6" w:space="0" w:color="auto"/>
              <w:right w:val="single" w:sz="4" w:space="0" w:color="000000"/>
            </w:tcBorders>
          </w:tcPr>
          <w:p>
            <w:pPr>
              <w:pStyle w:val="TableParagraph"/>
              <w:spacing w:line="311" w:lineRule="exact"/>
              <w:ind w:left="103" w:right="0"/>
              <w:jc w:val="left"/>
              <w:rPr>
                <w:rFonts w:ascii="宋体" w:hAnsi="宋体" w:cs="宋体" w:eastAsia="宋体" w:hint="default"/>
                <w:sz w:val="28"/>
                <w:szCs w:val="28"/>
              </w:rPr>
            </w:pPr>
            <w:r>
              <w:rPr>
                <w:rFonts w:ascii="宋体" w:hAnsi="宋体" w:cs="宋体" w:eastAsia="宋体" w:hint="default"/>
                <w:spacing w:val="23"/>
                <w:sz w:val="28"/>
                <w:szCs w:val="28"/>
              </w:rPr>
              <w:t>中国长城确认收入的具体原则</w:t>
            </w:r>
            <w:r>
              <w:rPr>
                <w:rFonts w:ascii="宋体" w:hAnsi="宋体" w:cs="宋体" w:eastAsia="宋体" w:hint="default"/>
                <w:spacing w:val="-115"/>
                <w:sz w:val="28"/>
                <w:szCs w:val="28"/>
              </w:rPr>
              <w:t> </w:t>
            </w:r>
            <w:r>
              <w:rPr>
                <w:rFonts w:ascii="宋体" w:hAnsi="宋体" w:cs="宋体" w:eastAsia="宋体" w:hint="default"/>
                <w:sz w:val="28"/>
                <w:szCs w:val="28"/>
              </w:rPr>
            </w:r>
          </w:p>
        </w:tc>
        <w:tc>
          <w:tcPr>
            <w:tcW w:w="4069" w:type="dxa"/>
            <w:tcBorders>
              <w:top w:val="nil" w:sz="6" w:space="0" w:color="auto"/>
              <w:left w:val="single" w:sz="4" w:space="0" w:color="000000"/>
              <w:bottom w:val="nil" w:sz="6" w:space="0" w:color="auto"/>
              <w:right w:val="single" w:sz="4" w:space="0" w:color="000000"/>
            </w:tcBorders>
          </w:tcPr>
          <w:p>
            <w:pPr>
              <w:pStyle w:val="TableParagraph"/>
              <w:spacing w:line="332" w:lineRule="exact"/>
              <w:ind w:left="103" w:right="0"/>
              <w:jc w:val="left"/>
              <w:rPr>
                <w:rFonts w:ascii="宋体" w:hAnsi="宋体" w:cs="宋体" w:eastAsia="宋体" w:hint="default"/>
                <w:sz w:val="28"/>
                <w:szCs w:val="28"/>
              </w:rPr>
            </w:pPr>
            <w:r>
              <w:rPr>
                <w:rFonts w:ascii="宋体" w:hAnsi="宋体" w:cs="宋体" w:eastAsia="宋体" w:hint="default"/>
                <w:spacing w:val="18"/>
                <w:sz w:val="28"/>
                <w:szCs w:val="28"/>
              </w:rPr>
              <w:t>价收入确认时点是否符合企业</w:t>
            </w:r>
            <w:r>
              <w:rPr>
                <w:rFonts w:ascii="宋体" w:hAnsi="宋体" w:cs="宋体" w:eastAsia="宋体" w:hint="default"/>
                <w:sz w:val="28"/>
                <w:szCs w:val="28"/>
              </w:rPr>
            </w:r>
          </w:p>
        </w:tc>
      </w:tr>
      <w:tr>
        <w:trPr>
          <w:trHeight w:val="362" w:hRule="exact"/>
        </w:trPr>
        <w:tc>
          <w:tcPr>
            <w:tcW w:w="4153" w:type="dxa"/>
            <w:tcBorders>
              <w:top w:val="nil" w:sz="6" w:space="0" w:color="auto"/>
              <w:left w:val="single" w:sz="4" w:space="0" w:color="000000"/>
              <w:bottom w:val="nil" w:sz="6" w:space="0" w:color="auto"/>
              <w:right w:val="single" w:sz="4" w:space="0" w:color="000000"/>
            </w:tcBorders>
          </w:tcPr>
          <w:p>
            <w:pPr>
              <w:pStyle w:val="TableParagraph"/>
              <w:spacing w:line="311" w:lineRule="exact"/>
              <w:ind w:left="103" w:right="-35"/>
              <w:jc w:val="left"/>
              <w:rPr>
                <w:rFonts w:ascii="宋体" w:hAnsi="宋体" w:cs="宋体" w:eastAsia="宋体" w:hint="default"/>
                <w:sz w:val="28"/>
                <w:szCs w:val="28"/>
              </w:rPr>
            </w:pPr>
            <w:r>
              <w:rPr>
                <w:rFonts w:ascii="宋体" w:hAnsi="宋体" w:cs="宋体" w:eastAsia="宋体" w:hint="default"/>
                <w:spacing w:val="-9"/>
                <w:sz w:val="28"/>
                <w:szCs w:val="28"/>
              </w:rPr>
              <w:t>为：对于产品销售（含材料销售）</w:t>
            </w:r>
          </w:p>
        </w:tc>
        <w:tc>
          <w:tcPr>
            <w:tcW w:w="4069" w:type="dxa"/>
            <w:tcBorders>
              <w:top w:val="nil" w:sz="6" w:space="0" w:color="auto"/>
              <w:left w:val="single" w:sz="4" w:space="0" w:color="000000"/>
              <w:bottom w:val="nil" w:sz="6" w:space="0" w:color="auto"/>
              <w:right w:val="single" w:sz="4" w:space="0" w:color="000000"/>
            </w:tcBorders>
          </w:tcPr>
          <w:p>
            <w:pPr>
              <w:pStyle w:val="TableParagraph"/>
              <w:spacing w:line="331" w:lineRule="exact"/>
              <w:ind w:left="103" w:right="0"/>
              <w:jc w:val="left"/>
              <w:rPr>
                <w:rFonts w:ascii="宋体" w:hAnsi="宋体" w:cs="宋体" w:eastAsia="宋体" w:hint="default"/>
                <w:sz w:val="28"/>
                <w:szCs w:val="28"/>
              </w:rPr>
            </w:pPr>
            <w:r>
              <w:rPr>
                <w:rFonts w:ascii="宋体" w:hAnsi="宋体" w:cs="宋体" w:eastAsia="宋体" w:hint="default"/>
                <w:sz w:val="28"/>
                <w:szCs w:val="28"/>
              </w:rPr>
              <w:t>会计准则的要求；</w:t>
            </w:r>
          </w:p>
        </w:tc>
      </w:tr>
      <w:tr>
        <w:trPr>
          <w:trHeight w:val="381" w:hRule="exact"/>
        </w:trPr>
        <w:tc>
          <w:tcPr>
            <w:tcW w:w="4153" w:type="dxa"/>
            <w:tcBorders>
              <w:top w:val="nil" w:sz="6" w:space="0" w:color="auto"/>
              <w:left w:val="single" w:sz="4" w:space="0" w:color="000000"/>
              <w:bottom w:val="nil" w:sz="6" w:space="0" w:color="auto"/>
              <w:right w:val="single" w:sz="4" w:space="0" w:color="000000"/>
            </w:tcBorders>
          </w:tcPr>
          <w:p>
            <w:pPr>
              <w:pStyle w:val="TableParagraph"/>
              <w:spacing w:line="311" w:lineRule="exact"/>
              <w:ind w:left="103" w:right="0"/>
              <w:jc w:val="left"/>
              <w:rPr>
                <w:rFonts w:ascii="宋体" w:hAnsi="宋体" w:cs="宋体" w:eastAsia="宋体" w:hint="default"/>
                <w:sz w:val="28"/>
                <w:szCs w:val="28"/>
              </w:rPr>
            </w:pPr>
            <w:r>
              <w:rPr>
                <w:rFonts w:ascii="宋体" w:hAnsi="宋体" w:cs="宋体" w:eastAsia="宋体" w:hint="default"/>
                <w:sz w:val="28"/>
                <w:szCs w:val="28"/>
              </w:rPr>
              <w:t>的收入是公司在已将产品所有权</w:t>
            </w:r>
          </w:p>
        </w:tc>
        <w:tc>
          <w:tcPr>
            <w:tcW w:w="4069" w:type="dxa"/>
            <w:tcBorders>
              <w:top w:val="nil" w:sz="6" w:space="0" w:color="auto"/>
              <w:left w:val="single" w:sz="4" w:space="0" w:color="000000"/>
              <w:bottom w:val="nil" w:sz="6" w:space="0" w:color="auto"/>
              <w:right w:val="single" w:sz="4" w:space="0" w:color="000000"/>
            </w:tcBorders>
          </w:tcPr>
          <w:p>
            <w:pPr>
              <w:pStyle w:val="TableParagraph"/>
              <w:spacing w:line="374" w:lineRule="exact"/>
              <w:ind w:left="103" w:right="0"/>
              <w:jc w:val="left"/>
              <w:rPr>
                <w:rFonts w:ascii="宋体" w:hAnsi="宋体" w:cs="宋体" w:eastAsia="宋体" w:hint="default"/>
                <w:sz w:val="28"/>
                <w:szCs w:val="28"/>
              </w:rPr>
            </w:pPr>
            <w:r>
              <w:rPr>
                <w:rFonts w:ascii="Times New Roman" w:hAnsi="Times New Roman" w:cs="Times New Roman" w:eastAsia="Times New Roman" w:hint="default"/>
                <w:sz w:val="28"/>
                <w:szCs w:val="28"/>
              </w:rPr>
              <w:t>3.</w:t>
            </w:r>
            <w:r>
              <w:rPr>
                <w:rFonts w:ascii="宋体" w:hAnsi="宋体" w:cs="宋体" w:eastAsia="宋体" w:hint="default"/>
                <w:sz w:val="28"/>
                <w:szCs w:val="28"/>
              </w:rPr>
              <w:t>结合应收账款函证程序，对本</w:t>
            </w:r>
          </w:p>
        </w:tc>
      </w:tr>
      <w:tr>
        <w:trPr>
          <w:trHeight w:val="355" w:hRule="exact"/>
        </w:trPr>
        <w:tc>
          <w:tcPr>
            <w:tcW w:w="4153" w:type="dxa"/>
            <w:tcBorders>
              <w:top w:val="nil" w:sz="6" w:space="0" w:color="auto"/>
              <w:left w:val="single" w:sz="4" w:space="0" w:color="000000"/>
              <w:bottom w:val="nil" w:sz="6" w:space="0" w:color="auto"/>
              <w:right w:val="single" w:sz="4" w:space="0" w:color="000000"/>
            </w:tcBorders>
          </w:tcPr>
          <w:p>
            <w:pPr>
              <w:pStyle w:val="TableParagraph"/>
              <w:spacing w:line="293" w:lineRule="exact"/>
              <w:ind w:left="103" w:right="0"/>
              <w:jc w:val="left"/>
              <w:rPr>
                <w:rFonts w:ascii="宋体" w:hAnsi="宋体" w:cs="宋体" w:eastAsia="宋体" w:hint="default"/>
                <w:sz w:val="28"/>
                <w:szCs w:val="28"/>
              </w:rPr>
            </w:pPr>
            <w:r>
              <w:rPr>
                <w:rFonts w:ascii="宋体" w:hAnsi="宋体" w:cs="宋体" w:eastAsia="宋体" w:hint="default"/>
                <w:sz w:val="28"/>
                <w:szCs w:val="28"/>
              </w:rPr>
              <w:t>上的主要风险和报酬转移给购货</w:t>
            </w:r>
          </w:p>
        </w:tc>
        <w:tc>
          <w:tcPr>
            <w:tcW w:w="4069" w:type="dxa"/>
            <w:tcBorders>
              <w:top w:val="nil" w:sz="6" w:space="0" w:color="auto"/>
              <w:left w:val="single" w:sz="4" w:space="0" w:color="000000"/>
              <w:bottom w:val="nil" w:sz="6" w:space="0" w:color="auto"/>
              <w:right w:val="single" w:sz="4" w:space="0" w:color="000000"/>
            </w:tcBorders>
          </w:tcPr>
          <w:p>
            <w:pPr>
              <w:pStyle w:val="TableParagraph"/>
              <w:spacing w:line="334" w:lineRule="exact"/>
              <w:ind w:left="103" w:right="0"/>
              <w:jc w:val="left"/>
              <w:rPr>
                <w:rFonts w:ascii="宋体" w:hAnsi="宋体" w:cs="宋体" w:eastAsia="宋体" w:hint="default"/>
                <w:sz w:val="28"/>
                <w:szCs w:val="28"/>
              </w:rPr>
            </w:pPr>
            <w:r>
              <w:rPr>
                <w:rFonts w:ascii="宋体" w:hAnsi="宋体" w:cs="宋体" w:eastAsia="宋体" w:hint="default"/>
                <w:spacing w:val="-5"/>
                <w:sz w:val="28"/>
                <w:szCs w:val="28"/>
              </w:rPr>
              <w:t>年记录的收入交易选取样本，核</w:t>
            </w:r>
          </w:p>
        </w:tc>
      </w:tr>
      <w:tr>
        <w:trPr>
          <w:trHeight w:val="364" w:hRule="exact"/>
        </w:trPr>
        <w:tc>
          <w:tcPr>
            <w:tcW w:w="4153" w:type="dxa"/>
            <w:tcBorders>
              <w:top w:val="nil" w:sz="6" w:space="0" w:color="auto"/>
              <w:left w:val="single" w:sz="4" w:space="0" w:color="000000"/>
              <w:bottom w:val="nil" w:sz="6" w:space="0" w:color="auto"/>
              <w:right w:val="single" w:sz="4" w:space="0" w:color="000000"/>
            </w:tcBorders>
          </w:tcPr>
          <w:p>
            <w:pPr>
              <w:pStyle w:val="TableParagraph"/>
              <w:spacing w:line="301" w:lineRule="exact"/>
              <w:ind w:left="103" w:right="0"/>
              <w:jc w:val="left"/>
              <w:rPr>
                <w:rFonts w:ascii="宋体" w:hAnsi="宋体" w:cs="宋体" w:eastAsia="宋体" w:hint="default"/>
                <w:sz w:val="28"/>
                <w:szCs w:val="28"/>
              </w:rPr>
            </w:pPr>
            <w:r>
              <w:rPr>
                <w:rFonts w:ascii="宋体" w:hAnsi="宋体" w:cs="宋体" w:eastAsia="宋体" w:hint="default"/>
                <w:sz w:val="28"/>
                <w:szCs w:val="28"/>
              </w:rPr>
              <w:t>方、公司既没有保留通常与所有</w:t>
            </w:r>
          </w:p>
        </w:tc>
        <w:tc>
          <w:tcPr>
            <w:tcW w:w="4069" w:type="dxa"/>
            <w:tcBorders>
              <w:top w:val="nil" w:sz="6" w:space="0" w:color="auto"/>
              <w:left w:val="single" w:sz="4" w:space="0" w:color="000000"/>
              <w:bottom w:val="nil" w:sz="6" w:space="0" w:color="auto"/>
              <w:right w:val="single" w:sz="4" w:space="0" w:color="000000"/>
            </w:tcBorders>
          </w:tcPr>
          <w:p>
            <w:pPr>
              <w:pStyle w:val="TableParagraph"/>
              <w:spacing w:line="343" w:lineRule="exact"/>
              <w:ind w:left="103" w:right="0"/>
              <w:jc w:val="left"/>
              <w:rPr>
                <w:rFonts w:ascii="宋体" w:hAnsi="宋体" w:cs="宋体" w:eastAsia="宋体" w:hint="default"/>
                <w:sz w:val="28"/>
                <w:szCs w:val="28"/>
              </w:rPr>
            </w:pPr>
            <w:r>
              <w:rPr>
                <w:rFonts w:ascii="宋体" w:hAnsi="宋体" w:cs="宋体" w:eastAsia="宋体" w:hint="default"/>
                <w:spacing w:val="-5"/>
                <w:sz w:val="28"/>
                <w:szCs w:val="28"/>
              </w:rPr>
              <w:t>对发票、销售合同及发货单等单</w:t>
            </w:r>
          </w:p>
        </w:tc>
      </w:tr>
      <w:tr>
        <w:trPr>
          <w:trHeight w:val="363" w:hRule="exact"/>
        </w:trPr>
        <w:tc>
          <w:tcPr>
            <w:tcW w:w="4153" w:type="dxa"/>
            <w:tcBorders>
              <w:top w:val="nil" w:sz="6" w:space="0" w:color="auto"/>
              <w:left w:val="single" w:sz="4" w:space="0" w:color="000000"/>
              <w:bottom w:val="nil" w:sz="6" w:space="0" w:color="auto"/>
              <w:right w:val="single" w:sz="4" w:space="0" w:color="000000"/>
            </w:tcBorders>
          </w:tcPr>
          <w:p>
            <w:pPr>
              <w:pStyle w:val="TableParagraph"/>
              <w:spacing w:line="301" w:lineRule="exact"/>
              <w:ind w:left="103" w:right="0"/>
              <w:jc w:val="left"/>
              <w:rPr>
                <w:rFonts w:ascii="宋体" w:hAnsi="宋体" w:cs="宋体" w:eastAsia="宋体" w:hint="default"/>
                <w:sz w:val="28"/>
                <w:szCs w:val="28"/>
              </w:rPr>
            </w:pPr>
            <w:r>
              <w:rPr>
                <w:rFonts w:ascii="宋体" w:hAnsi="宋体" w:cs="宋体" w:eastAsia="宋体" w:hint="default"/>
                <w:sz w:val="28"/>
                <w:szCs w:val="28"/>
              </w:rPr>
              <w:t>权相联系的继续管理权、也没有</w:t>
            </w:r>
          </w:p>
        </w:tc>
        <w:tc>
          <w:tcPr>
            <w:tcW w:w="4069" w:type="dxa"/>
            <w:tcBorders>
              <w:top w:val="nil" w:sz="6" w:space="0" w:color="auto"/>
              <w:left w:val="single" w:sz="4" w:space="0" w:color="000000"/>
              <w:bottom w:val="nil" w:sz="6" w:space="0" w:color="auto"/>
              <w:right w:val="single" w:sz="4" w:space="0" w:color="000000"/>
            </w:tcBorders>
          </w:tcPr>
          <w:p>
            <w:pPr>
              <w:pStyle w:val="TableParagraph"/>
              <w:spacing w:line="341" w:lineRule="exact"/>
              <w:ind w:left="103" w:right="0"/>
              <w:jc w:val="left"/>
              <w:rPr>
                <w:rFonts w:ascii="宋体" w:hAnsi="宋体" w:cs="宋体" w:eastAsia="宋体" w:hint="default"/>
                <w:sz w:val="28"/>
                <w:szCs w:val="28"/>
              </w:rPr>
            </w:pPr>
            <w:r>
              <w:rPr>
                <w:rFonts w:ascii="宋体" w:hAnsi="宋体" w:cs="宋体" w:eastAsia="宋体" w:hint="default"/>
                <w:sz w:val="28"/>
                <w:szCs w:val="28"/>
              </w:rPr>
              <w:t>据，检查已确认收入的真实性；</w:t>
            </w:r>
          </w:p>
        </w:tc>
      </w:tr>
      <w:tr>
        <w:trPr>
          <w:trHeight w:val="363" w:hRule="exact"/>
        </w:trPr>
        <w:tc>
          <w:tcPr>
            <w:tcW w:w="4153" w:type="dxa"/>
            <w:tcBorders>
              <w:top w:val="nil" w:sz="6" w:space="0" w:color="auto"/>
              <w:left w:val="single" w:sz="4" w:space="0" w:color="000000"/>
              <w:bottom w:val="nil" w:sz="6" w:space="0" w:color="auto"/>
              <w:right w:val="single" w:sz="4" w:space="0" w:color="000000"/>
            </w:tcBorders>
          </w:tcPr>
          <w:p>
            <w:pPr>
              <w:pStyle w:val="TableParagraph"/>
              <w:spacing w:line="301" w:lineRule="exact"/>
              <w:ind w:left="103" w:right="0"/>
              <w:jc w:val="left"/>
              <w:rPr>
                <w:rFonts w:ascii="宋体" w:hAnsi="宋体" w:cs="宋体" w:eastAsia="宋体" w:hint="default"/>
                <w:sz w:val="28"/>
                <w:szCs w:val="28"/>
              </w:rPr>
            </w:pPr>
            <w:r>
              <w:rPr>
                <w:rFonts w:ascii="宋体" w:hAnsi="宋体" w:cs="宋体" w:eastAsia="宋体" w:hint="default"/>
                <w:sz w:val="28"/>
                <w:szCs w:val="28"/>
              </w:rPr>
              <w:t>对已售出的产品实施有效控制、</w:t>
            </w:r>
          </w:p>
        </w:tc>
        <w:tc>
          <w:tcPr>
            <w:tcW w:w="4069" w:type="dxa"/>
            <w:tcBorders>
              <w:top w:val="nil" w:sz="6" w:space="0" w:color="auto"/>
              <w:left w:val="single" w:sz="4" w:space="0" w:color="000000"/>
              <w:bottom w:val="nil" w:sz="6" w:space="0" w:color="auto"/>
              <w:right w:val="single" w:sz="4" w:space="0" w:color="000000"/>
            </w:tcBorders>
          </w:tcPr>
          <w:p>
            <w:pPr>
              <w:pStyle w:val="TableParagraph"/>
              <w:spacing w:line="342" w:lineRule="exact"/>
              <w:ind w:left="103" w:right="0"/>
              <w:jc w:val="left"/>
              <w:rPr>
                <w:rFonts w:ascii="宋体" w:hAnsi="宋体" w:cs="宋体" w:eastAsia="宋体" w:hint="default"/>
                <w:sz w:val="28"/>
                <w:szCs w:val="28"/>
              </w:rPr>
            </w:pPr>
            <w:r>
              <w:rPr>
                <w:rFonts w:ascii="宋体" w:hAnsi="宋体" w:cs="宋体" w:eastAsia="宋体" w:hint="default"/>
                <w:spacing w:val="-5"/>
                <w:sz w:val="28"/>
                <w:szCs w:val="28"/>
              </w:rPr>
              <w:t>结合产成品监盘程序，增加从实</w:t>
            </w:r>
          </w:p>
        </w:tc>
      </w:tr>
      <w:tr>
        <w:trPr>
          <w:trHeight w:val="364" w:hRule="exact"/>
        </w:trPr>
        <w:tc>
          <w:tcPr>
            <w:tcW w:w="4153" w:type="dxa"/>
            <w:tcBorders>
              <w:top w:val="nil" w:sz="6" w:space="0" w:color="auto"/>
              <w:left w:val="single" w:sz="4" w:space="0" w:color="000000"/>
              <w:bottom w:val="nil" w:sz="6" w:space="0" w:color="auto"/>
              <w:right w:val="single" w:sz="4" w:space="0" w:color="000000"/>
            </w:tcBorders>
          </w:tcPr>
          <w:p>
            <w:pPr>
              <w:pStyle w:val="TableParagraph"/>
              <w:spacing w:line="301" w:lineRule="exact"/>
              <w:ind w:left="103" w:right="0"/>
              <w:jc w:val="left"/>
              <w:rPr>
                <w:rFonts w:ascii="宋体" w:hAnsi="宋体" w:cs="宋体" w:eastAsia="宋体" w:hint="default"/>
                <w:sz w:val="28"/>
                <w:szCs w:val="28"/>
              </w:rPr>
            </w:pPr>
            <w:r>
              <w:rPr>
                <w:rFonts w:ascii="宋体" w:hAnsi="宋体" w:cs="宋体" w:eastAsia="宋体" w:hint="default"/>
                <w:sz w:val="28"/>
                <w:szCs w:val="28"/>
              </w:rPr>
              <w:t>而客户已接受产品或不存在其他</w:t>
            </w:r>
          </w:p>
        </w:tc>
        <w:tc>
          <w:tcPr>
            <w:tcW w:w="4069" w:type="dxa"/>
            <w:tcBorders>
              <w:top w:val="nil" w:sz="6" w:space="0" w:color="auto"/>
              <w:left w:val="single" w:sz="4" w:space="0" w:color="000000"/>
              <w:bottom w:val="nil" w:sz="6" w:space="0" w:color="auto"/>
              <w:right w:val="single" w:sz="4" w:space="0" w:color="000000"/>
            </w:tcBorders>
          </w:tcPr>
          <w:p>
            <w:pPr>
              <w:pStyle w:val="TableParagraph"/>
              <w:spacing w:line="343" w:lineRule="exact"/>
              <w:ind w:left="103" w:right="0"/>
              <w:jc w:val="left"/>
              <w:rPr>
                <w:rFonts w:ascii="宋体" w:hAnsi="宋体" w:cs="宋体" w:eastAsia="宋体" w:hint="default"/>
                <w:sz w:val="28"/>
                <w:szCs w:val="28"/>
              </w:rPr>
            </w:pPr>
            <w:r>
              <w:rPr>
                <w:rFonts w:ascii="宋体" w:hAnsi="宋体" w:cs="宋体" w:eastAsia="宋体" w:hint="default"/>
                <w:spacing w:val="-5"/>
                <w:sz w:val="28"/>
                <w:szCs w:val="28"/>
              </w:rPr>
              <w:t>物到账的抽查比例，以识别产成</w:t>
            </w:r>
          </w:p>
        </w:tc>
      </w:tr>
      <w:tr>
        <w:trPr>
          <w:trHeight w:val="363" w:hRule="exact"/>
        </w:trPr>
        <w:tc>
          <w:tcPr>
            <w:tcW w:w="4153" w:type="dxa"/>
            <w:tcBorders>
              <w:top w:val="nil" w:sz="6" w:space="0" w:color="auto"/>
              <w:left w:val="single" w:sz="4" w:space="0" w:color="000000"/>
              <w:bottom w:val="nil" w:sz="6" w:space="0" w:color="auto"/>
              <w:right w:val="single" w:sz="4" w:space="0" w:color="000000"/>
            </w:tcBorders>
          </w:tcPr>
          <w:p>
            <w:pPr>
              <w:pStyle w:val="TableParagraph"/>
              <w:spacing w:line="301" w:lineRule="exact"/>
              <w:ind w:left="103" w:right="0"/>
              <w:jc w:val="left"/>
              <w:rPr>
                <w:rFonts w:ascii="宋体" w:hAnsi="宋体" w:cs="宋体" w:eastAsia="宋体" w:hint="default"/>
                <w:sz w:val="28"/>
                <w:szCs w:val="28"/>
              </w:rPr>
            </w:pPr>
            <w:r>
              <w:rPr>
                <w:rFonts w:ascii="宋体" w:hAnsi="宋体" w:cs="宋体" w:eastAsia="宋体" w:hint="default"/>
                <w:sz w:val="28"/>
                <w:szCs w:val="28"/>
              </w:rPr>
              <w:t>影响客户接受产品的未履行责任</w:t>
            </w:r>
          </w:p>
        </w:tc>
        <w:tc>
          <w:tcPr>
            <w:tcW w:w="4069" w:type="dxa"/>
            <w:tcBorders>
              <w:top w:val="nil" w:sz="6" w:space="0" w:color="auto"/>
              <w:left w:val="single" w:sz="4" w:space="0" w:color="000000"/>
              <w:bottom w:val="nil" w:sz="6" w:space="0" w:color="auto"/>
              <w:right w:val="single" w:sz="4" w:space="0" w:color="000000"/>
            </w:tcBorders>
          </w:tcPr>
          <w:p>
            <w:pPr>
              <w:pStyle w:val="TableParagraph"/>
              <w:spacing w:line="341" w:lineRule="exact"/>
              <w:ind w:left="103" w:right="0"/>
              <w:jc w:val="left"/>
              <w:rPr>
                <w:rFonts w:ascii="宋体" w:hAnsi="宋体" w:cs="宋体" w:eastAsia="宋体" w:hint="default"/>
                <w:sz w:val="28"/>
                <w:szCs w:val="28"/>
              </w:rPr>
            </w:pPr>
            <w:r>
              <w:rPr>
                <w:rFonts w:ascii="宋体" w:hAnsi="宋体" w:cs="宋体" w:eastAsia="宋体" w:hint="default"/>
                <w:spacing w:val="18"/>
                <w:sz w:val="28"/>
                <w:szCs w:val="28"/>
              </w:rPr>
              <w:t>品是否有未发出而确认收入情</w:t>
            </w:r>
            <w:r>
              <w:rPr>
                <w:rFonts w:ascii="宋体" w:hAnsi="宋体" w:cs="宋体" w:eastAsia="宋体" w:hint="default"/>
                <w:sz w:val="28"/>
                <w:szCs w:val="28"/>
              </w:rPr>
            </w:r>
          </w:p>
        </w:tc>
      </w:tr>
      <w:tr>
        <w:trPr>
          <w:trHeight w:val="363" w:hRule="exact"/>
        </w:trPr>
        <w:tc>
          <w:tcPr>
            <w:tcW w:w="4153" w:type="dxa"/>
            <w:tcBorders>
              <w:top w:val="nil" w:sz="6" w:space="0" w:color="auto"/>
              <w:left w:val="single" w:sz="4" w:space="0" w:color="000000"/>
              <w:bottom w:val="nil" w:sz="6" w:space="0" w:color="auto"/>
              <w:right w:val="single" w:sz="4" w:space="0" w:color="000000"/>
            </w:tcBorders>
          </w:tcPr>
          <w:p>
            <w:pPr>
              <w:pStyle w:val="TableParagraph"/>
              <w:spacing w:line="301" w:lineRule="exact"/>
              <w:ind w:left="103" w:right="0"/>
              <w:jc w:val="left"/>
              <w:rPr>
                <w:rFonts w:ascii="宋体" w:hAnsi="宋体" w:cs="宋体" w:eastAsia="宋体" w:hint="default"/>
                <w:sz w:val="28"/>
                <w:szCs w:val="28"/>
              </w:rPr>
            </w:pPr>
            <w:r>
              <w:rPr>
                <w:rFonts w:ascii="宋体" w:hAnsi="宋体" w:cs="宋体" w:eastAsia="宋体" w:hint="default"/>
                <w:sz w:val="28"/>
                <w:szCs w:val="28"/>
              </w:rPr>
              <w:t>时确认；对于租金的收入是按照</w:t>
            </w:r>
          </w:p>
        </w:tc>
        <w:tc>
          <w:tcPr>
            <w:tcW w:w="4069" w:type="dxa"/>
            <w:tcBorders>
              <w:top w:val="nil" w:sz="6" w:space="0" w:color="auto"/>
              <w:left w:val="single" w:sz="4" w:space="0" w:color="000000"/>
              <w:bottom w:val="nil" w:sz="6" w:space="0" w:color="auto"/>
              <w:right w:val="single" w:sz="4" w:space="0" w:color="000000"/>
            </w:tcBorders>
          </w:tcPr>
          <w:p>
            <w:pPr>
              <w:pStyle w:val="TableParagraph"/>
              <w:spacing w:line="342" w:lineRule="exact"/>
              <w:ind w:left="103" w:right="0"/>
              <w:jc w:val="left"/>
              <w:rPr>
                <w:rFonts w:ascii="宋体" w:hAnsi="宋体" w:cs="宋体" w:eastAsia="宋体" w:hint="default"/>
                <w:sz w:val="28"/>
                <w:szCs w:val="28"/>
              </w:rPr>
            </w:pPr>
            <w:r>
              <w:rPr>
                <w:rFonts w:ascii="宋体" w:hAnsi="宋体" w:cs="宋体" w:eastAsia="宋体" w:hint="default"/>
                <w:sz w:val="28"/>
                <w:szCs w:val="28"/>
              </w:rPr>
              <w:t>况；</w:t>
            </w:r>
          </w:p>
        </w:tc>
      </w:tr>
      <w:tr>
        <w:trPr>
          <w:trHeight w:val="381" w:hRule="exact"/>
        </w:trPr>
        <w:tc>
          <w:tcPr>
            <w:tcW w:w="4153" w:type="dxa"/>
            <w:tcBorders>
              <w:top w:val="nil" w:sz="6" w:space="0" w:color="auto"/>
              <w:left w:val="single" w:sz="4" w:space="0" w:color="000000"/>
              <w:bottom w:val="nil" w:sz="6" w:space="0" w:color="auto"/>
              <w:right w:val="single" w:sz="4" w:space="0" w:color="000000"/>
            </w:tcBorders>
          </w:tcPr>
          <w:p>
            <w:pPr>
              <w:pStyle w:val="TableParagraph"/>
              <w:spacing w:line="301" w:lineRule="exact"/>
              <w:ind w:left="103" w:right="0"/>
              <w:jc w:val="left"/>
              <w:rPr>
                <w:rFonts w:ascii="宋体" w:hAnsi="宋体" w:cs="宋体" w:eastAsia="宋体" w:hint="default"/>
                <w:sz w:val="28"/>
                <w:szCs w:val="28"/>
              </w:rPr>
            </w:pPr>
            <w:r>
              <w:rPr>
                <w:rFonts w:ascii="宋体" w:hAnsi="宋体" w:cs="宋体" w:eastAsia="宋体" w:hint="default"/>
                <w:sz w:val="28"/>
                <w:szCs w:val="28"/>
              </w:rPr>
              <w:t>租赁合同在约定的租赁期限内确</w:t>
            </w:r>
          </w:p>
        </w:tc>
        <w:tc>
          <w:tcPr>
            <w:tcW w:w="4069" w:type="dxa"/>
            <w:tcBorders>
              <w:top w:val="nil" w:sz="6" w:space="0" w:color="auto"/>
              <w:left w:val="single" w:sz="4" w:space="0" w:color="000000"/>
              <w:bottom w:val="nil" w:sz="6" w:space="0" w:color="auto"/>
              <w:right w:val="single" w:sz="4" w:space="0" w:color="000000"/>
            </w:tcBorders>
          </w:tcPr>
          <w:p>
            <w:pPr>
              <w:pStyle w:val="TableParagraph"/>
              <w:spacing w:line="383" w:lineRule="exact"/>
              <w:ind w:left="103" w:right="0"/>
              <w:jc w:val="left"/>
              <w:rPr>
                <w:rFonts w:ascii="宋体" w:hAnsi="宋体" w:cs="宋体" w:eastAsia="宋体" w:hint="default"/>
                <w:sz w:val="28"/>
                <w:szCs w:val="28"/>
              </w:rPr>
            </w:pPr>
            <w:r>
              <w:rPr>
                <w:rFonts w:ascii="Times New Roman" w:hAnsi="Times New Roman" w:cs="Times New Roman" w:eastAsia="Times New Roman" w:hint="default"/>
                <w:spacing w:val="22"/>
                <w:sz w:val="28"/>
                <w:szCs w:val="28"/>
              </w:rPr>
              <w:t>4.</w:t>
            </w:r>
            <w:r>
              <w:rPr>
                <w:rFonts w:ascii="宋体" w:hAnsi="宋体" w:cs="宋体" w:eastAsia="宋体" w:hint="default"/>
                <w:spacing w:val="22"/>
                <w:sz w:val="28"/>
                <w:szCs w:val="28"/>
              </w:rPr>
              <w:t>对收入和成本执行分析性程</w:t>
            </w:r>
            <w:r>
              <w:rPr>
                <w:rFonts w:ascii="宋体" w:hAnsi="宋体" w:cs="宋体" w:eastAsia="宋体" w:hint="default"/>
                <w:sz w:val="28"/>
                <w:szCs w:val="28"/>
              </w:rPr>
            </w:r>
          </w:p>
        </w:tc>
      </w:tr>
      <w:tr>
        <w:trPr>
          <w:trHeight w:val="355" w:hRule="exact"/>
        </w:trPr>
        <w:tc>
          <w:tcPr>
            <w:tcW w:w="4153" w:type="dxa"/>
            <w:tcBorders>
              <w:top w:val="nil" w:sz="6" w:space="0" w:color="auto"/>
              <w:left w:val="single" w:sz="4" w:space="0" w:color="000000"/>
              <w:bottom w:val="nil" w:sz="6" w:space="0" w:color="auto"/>
              <w:right w:val="single" w:sz="4" w:space="0" w:color="000000"/>
            </w:tcBorders>
          </w:tcPr>
          <w:p>
            <w:pPr>
              <w:pStyle w:val="TableParagraph"/>
              <w:spacing w:line="284" w:lineRule="exact"/>
              <w:ind w:left="103" w:right="0"/>
              <w:jc w:val="left"/>
              <w:rPr>
                <w:rFonts w:ascii="宋体" w:hAnsi="宋体" w:cs="宋体" w:eastAsia="宋体" w:hint="default"/>
                <w:sz w:val="28"/>
                <w:szCs w:val="28"/>
              </w:rPr>
            </w:pPr>
            <w:r>
              <w:rPr>
                <w:rFonts w:ascii="宋体" w:hAnsi="宋体" w:cs="宋体" w:eastAsia="宋体" w:hint="default"/>
                <w:sz w:val="28"/>
                <w:szCs w:val="28"/>
              </w:rPr>
              <w:t>认；对于技术服务的收入按照合</w:t>
            </w:r>
          </w:p>
        </w:tc>
        <w:tc>
          <w:tcPr>
            <w:tcW w:w="4069" w:type="dxa"/>
            <w:tcBorders>
              <w:top w:val="nil" w:sz="6" w:space="0" w:color="auto"/>
              <w:left w:val="single" w:sz="4" w:space="0" w:color="000000"/>
              <w:bottom w:val="nil" w:sz="6" w:space="0" w:color="auto"/>
              <w:right w:val="single" w:sz="4" w:space="0" w:color="000000"/>
            </w:tcBorders>
          </w:tcPr>
          <w:p>
            <w:pPr>
              <w:pStyle w:val="TableParagraph"/>
              <w:spacing w:line="344" w:lineRule="exact"/>
              <w:ind w:left="103" w:right="0"/>
              <w:jc w:val="left"/>
              <w:rPr>
                <w:rFonts w:ascii="宋体" w:hAnsi="宋体" w:cs="宋体" w:eastAsia="宋体" w:hint="default"/>
                <w:sz w:val="28"/>
                <w:szCs w:val="28"/>
              </w:rPr>
            </w:pPr>
            <w:r>
              <w:rPr>
                <w:rFonts w:ascii="宋体" w:hAnsi="宋体" w:cs="宋体" w:eastAsia="宋体" w:hint="default"/>
                <w:spacing w:val="-6"/>
                <w:sz w:val="28"/>
                <w:szCs w:val="28"/>
              </w:rPr>
              <w:t>序，包括：本期各月份收入、成</w:t>
            </w:r>
          </w:p>
        </w:tc>
      </w:tr>
      <w:tr>
        <w:trPr>
          <w:trHeight w:val="363" w:hRule="exact"/>
        </w:trPr>
        <w:tc>
          <w:tcPr>
            <w:tcW w:w="4153" w:type="dxa"/>
            <w:tcBorders>
              <w:top w:val="nil" w:sz="6" w:space="0" w:color="auto"/>
              <w:left w:val="single" w:sz="4" w:space="0" w:color="000000"/>
              <w:bottom w:val="nil" w:sz="6" w:space="0" w:color="auto"/>
              <w:right w:val="single" w:sz="4" w:space="0" w:color="000000"/>
            </w:tcBorders>
          </w:tcPr>
          <w:p>
            <w:pPr>
              <w:pStyle w:val="TableParagraph"/>
              <w:spacing w:line="291" w:lineRule="exact"/>
              <w:ind w:left="103" w:right="0"/>
              <w:jc w:val="left"/>
              <w:rPr>
                <w:rFonts w:ascii="宋体" w:hAnsi="宋体" w:cs="宋体" w:eastAsia="宋体" w:hint="default"/>
                <w:sz w:val="28"/>
                <w:szCs w:val="28"/>
              </w:rPr>
            </w:pPr>
            <w:r>
              <w:rPr>
                <w:rFonts w:ascii="宋体" w:hAnsi="宋体" w:cs="宋体" w:eastAsia="宋体" w:hint="default"/>
                <w:sz w:val="28"/>
                <w:szCs w:val="28"/>
              </w:rPr>
              <w:t>同约定条款，在提供技术服务并</w:t>
            </w:r>
          </w:p>
        </w:tc>
        <w:tc>
          <w:tcPr>
            <w:tcW w:w="4069" w:type="dxa"/>
            <w:tcBorders>
              <w:top w:val="nil" w:sz="6" w:space="0" w:color="auto"/>
              <w:left w:val="single" w:sz="4" w:space="0" w:color="000000"/>
              <w:bottom w:val="nil" w:sz="6" w:space="0" w:color="auto"/>
              <w:right w:val="single" w:sz="4" w:space="0" w:color="000000"/>
            </w:tcBorders>
          </w:tcPr>
          <w:p>
            <w:pPr>
              <w:pStyle w:val="TableParagraph"/>
              <w:spacing w:line="352" w:lineRule="exact"/>
              <w:ind w:left="103" w:right="0"/>
              <w:jc w:val="left"/>
              <w:rPr>
                <w:rFonts w:ascii="宋体" w:hAnsi="宋体" w:cs="宋体" w:eastAsia="宋体" w:hint="default"/>
                <w:sz w:val="28"/>
                <w:szCs w:val="28"/>
              </w:rPr>
            </w:pPr>
            <w:r>
              <w:rPr>
                <w:rFonts w:ascii="宋体" w:hAnsi="宋体" w:cs="宋体" w:eastAsia="宋体" w:hint="default"/>
                <w:spacing w:val="-5"/>
                <w:sz w:val="28"/>
                <w:szCs w:val="28"/>
              </w:rPr>
              <w:t>本、毛利率波动分析，主要产品</w:t>
            </w:r>
          </w:p>
        </w:tc>
      </w:tr>
      <w:tr>
        <w:trPr>
          <w:trHeight w:val="364" w:hRule="exact"/>
        </w:trPr>
        <w:tc>
          <w:tcPr>
            <w:tcW w:w="4153" w:type="dxa"/>
            <w:tcBorders>
              <w:top w:val="nil" w:sz="6" w:space="0" w:color="auto"/>
              <w:left w:val="single" w:sz="4" w:space="0" w:color="000000"/>
              <w:bottom w:val="nil" w:sz="6" w:space="0" w:color="auto"/>
              <w:right w:val="single" w:sz="4" w:space="0" w:color="000000"/>
            </w:tcBorders>
          </w:tcPr>
          <w:p>
            <w:pPr>
              <w:pStyle w:val="TableParagraph"/>
              <w:spacing w:line="291" w:lineRule="exact"/>
              <w:ind w:left="103" w:right="0"/>
              <w:jc w:val="left"/>
              <w:rPr>
                <w:rFonts w:ascii="宋体" w:hAnsi="宋体" w:cs="宋体" w:eastAsia="宋体" w:hint="default"/>
                <w:sz w:val="28"/>
                <w:szCs w:val="28"/>
              </w:rPr>
            </w:pPr>
            <w:r>
              <w:rPr>
                <w:rFonts w:ascii="宋体" w:hAnsi="宋体" w:cs="宋体" w:eastAsia="宋体" w:hint="default"/>
                <w:sz w:val="28"/>
                <w:szCs w:val="28"/>
              </w:rPr>
              <w:t>开具发票后确认收入实现；对于</w:t>
            </w:r>
          </w:p>
        </w:tc>
        <w:tc>
          <w:tcPr>
            <w:tcW w:w="4069" w:type="dxa"/>
            <w:tcBorders>
              <w:top w:val="nil" w:sz="6" w:space="0" w:color="auto"/>
              <w:left w:val="single" w:sz="4" w:space="0" w:color="000000"/>
              <w:bottom w:val="nil" w:sz="6" w:space="0" w:color="auto"/>
              <w:right w:val="single" w:sz="4" w:space="0" w:color="000000"/>
            </w:tcBorders>
          </w:tcPr>
          <w:p>
            <w:pPr>
              <w:pStyle w:val="TableParagraph"/>
              <w:spacing w:line="352" w:lineRule="exact"/>
              <w:ind w:left="103" w:right="0"/>
              <w:jc w:val="left"/>
              <w:rPr>
                <w:rFonts w:ascii="宋体" w:hAnsi="宋体" w:cs="宋体" w:eastAsia="宋体" w:hint="default"/>
                <w:sz w:val="28"/>
                <w:szCs w:val="28"/>
              </w:rPr>
            </w:pPr>
            <w:r>
              <w:rPr>
                <w:rFonts w:ascii="宋体" w:hAnsi="宋体" w:cs="宋体" w:eastAsia="宋体" w:hint="default"/>
                <w:spacing w:val="-5"/>
                <w:sz w:val="28"/>
                <w:szCs w:val="28"/>
              </w:rPr>
              <w:t>本期收入、成本、毛利率与上期</w:t>
            </w:r>
          </w:p>
        </w:tc>
      </w:tr>
      <w:tr>
        <w:trPr>
          <w:trHeight w:val="362" w:hRule="exact"/>
        </w:trPr>
        <w:tc>
          <w:tcPr>
            <w:tcW w:w="4153" w:type="dxa"/>
            <w:tcBorders>
              <w:top w:val="nil" w:sz="6" w:space="0" w:color="auto"/>
              <w:left w:val="single" w:sz="4" w:space="0" w:color="000000"/>
              <w:bottom w:val="nil" w:sz="6" w:space="0" w:color="auto"/>
              <w:right w:val="single" w:sz="4" w:space="0" w:color="000000"/>
            </w:tcBorders>
          </w:tcPr>
          <w:p>
            <w:pPr>
              <w:pStyle w:val="TableParagraph"/>
              <w:spacing w:line="291" w:lineRule="exact"/>
              <w:ind w:left="103" w:right="0"/>
              <w:jc w:val="left"/>
              <w:rPr>
                <w:rFonts w:ascii="宋体" w:hAnsi="宋体" w:cs="宋体" w:eastAsia="宋体" w:hint="default"/>
                <w:sz w:val="28"/>
                <w:szCs w:val="28"/>
              </w:rPr>
            </w:pPr>
            <w:r>
              <w:rPr>
                <w:rFonts w:ascii="宋体" w:hAnsi="宋体" w:cs="宋体" w:eastAsia="宋体" w:hint="default"/>
                <w:sz w:val="28"/>
                <w:szCs w:val="28"/>
              </w:rPr>
              <w:t>维修服务的收入在执行维修业务</w:t>
            </w:r>
          </w:p>
        </w:tc>
        <w:tc>
          <w:tcPr>
            <w:tcW w:w="4069" w:type="dxa"/>
            <w:tcBorders>
              <w:top w:val="nil" w:sz="6" w:space="0" w:color="auto"/>
              <w:left w:val="single" w:sz="4" w:space="0" w:color="000000"/>
              <w:bottom w:val="nil" w:sz="6" w:space="0" w:color="auto"/>
              <w:right w:val="single" w:sz="4" w:space="0" w:color="000000"/>
            </w:tcBorders>
          </w:tcPr>
          <w:p>
            <w:pPr>
              <w:pStyle w:val="TableParagraph"/>
              <w:spacing w:line="351" w:lineRule="exact"/>
              <w:ind w:left="103" w:right="0"/>
              <w:jc w:val="left"/>
              <w:rPr>
                <w:rFonts w:ascii="宋体" w:hAnsi="宋体" w:cs="宋体" w:eastAsia="宋体" w:hint="default"/>
                <w:sz w:val="28"/>
                <w:szCs w:val="28"/>
              </w:rPr>
            </w:pPr>
            <w:r>
              <w:rPr>
                <w:rFonts w:ascii="宋体" w:hAnsi="宋体" w:cs="宋体" w:eastAsia="宋体" w:hint="default"/>
                <w:spacing w:val="-5"/>
                <w:sz w:val="28"/>
                <w:szCs w:val="28"/>
              </w:rPr>
              <w:t>比较分析等分析性程序，检查已</w:t>
            </w:r>
          </w:p>
        </w:tc>
      </w:tr>
      <w:tr>
        <w:trPr>
          <w:trHeight w:val="364" w:hRule="exact"/>
        </w:trPr>
        <w:tc>
          <w:tcPr>
            <w:tcW w:w="4153" w:type="dxa"/>
            <w:tcBorders>
              <w:top w:val="nil" w:sz="6" w:space="0" w:color="auto"/>
              <w:left w:val="single" w:sz="4" w:space="0" w:color="000000"/>
              <w:bottom w:val="nil" w:sz="6" w:space="0" w:color="auto"/>
              <w:right w:val="single" w:sz="4" w:space="0" w:color="000000"/>
            </w:tcBorders>
          </w:tcPr>
          <w:p>
            <w:pPr>
              <w:pStyle w:val="TableParagraph"/>
              <w:spacing w:line="291" w:lineRule="exact"/>
              <w:ind w:left="103" w:right="0"/>
              <w:jc w:val="left"/>
              <w:rPr>
                <w:rFonts w:ascii="宋体" w:hAnsi="宋体" w:cs="宋体" w:eastAsia="宋体" w:hint="default"/>
                <w:sz w:val="28"/>
                <w:szCs w:val="28"/>
              </w:rPr>
            </w:pPr>
            <w:r>
              <w:rPr>
                <w:rFonts w:ascii="宋体" w:hAnsi="宋体" w:cs="宋体" w:eastAsia="宋体" w:hint="default"/>
                <w:spacing w:val="23"/>
                <w:sz w:val="28"/>
                <w:szCs w:val="28"/>
              </w:rPr>
              <w:t>并交付产品时确认维修服务收</w:t>
            </w:r>
            <w:r>
              <w:rPr>
                <w:rFonts w:ascii="宋体" w:hAnsi="宋体" w:cs="宋体" w:eastAsia="宋体" w:hint="default"/>
                <w:spacing w:val="-115"/>
                <w:sz w:val="28"/>
                <w:szCs w:val="28"/>
              </w:rPr>
              <w:t> </w:t>
            </w:r>
            <w:r>
              <w:rPr>
                <w:rFonts w:ascii="宋体" w:hAnsi="宋体" w:cs="宋体" w:eastAsia="宋体" w:hint="default"/>
                <w:sz w:val="28"/>
                <w:szCs w:val="28"/>
              </w:rPr>
            </w:r>
          </w:p>
        </w:tc>
        <w:tc>
          <w:tcPr>
            <w:tcW w:w="4069" w:type="dxa"/>
            <w:tcBorders>
              <w:top w:val="nil" w:sz="6" w:space="0" w:color="auto"/>
              <w:left w:val="single" w:sz="4" w:space="0" w:color="000000"/>
              <w:bottom w:val="nil" w:sz="6" w:space="0" w:color="auto"/>
              <w:right w:val="single" w:sz="4" w:space="0" w:color="000000"/>
            </w:tcBorders>
          </w:tcPr>
          <w:p>
            <w:pPr>
              <w:pStyle w:val="TableParagraph"/>
              <w:spacing w:line="352" w:lineRule="exact"/>
              <w:ind w:left="103" w:right="0"/>
              <w:jc w:val="left"/>
              <w:rPr>
                <w:rFonts w:ascii="宋体" w:hAnsi="宋体" w:cs="宋体" w:eastAsia="宋体" w:hint="default"/>
                <w:sz w:val="28"/>
                <w:szCs w:val="28"/>
              </w:rPr>
            </w:pPr>
            <w:r>
              <w:rPr>
                <w:rFonts w:ascii="宋体" w:hAnsi="宋体" w:cs="宋体" w:eastAsia="宋体" w:hint="default"/>
                <w:sz w:val="28"/>
                <w:szCs w:val="28"/>
              </w:rPr>
              <w:t>确认收入的准确性；</w:t>
            </w:r>
          </w:p>
        </w:tc>
      </w:tr>
      <w:tr>
        <w:trPr>
          <w:trHeight w:val="390" w:hRule="exact"/>
        </w:trPr>
        <w:tc>
          <w:tcPr>
            <w:tcW w:w="4153" w:type="dxa"/>
            <w:tcBorders>
              <w:top w:val="nil" w:sz="6" w:space="0" w:color="auto"/>
              <w:left w:val="single" w:sz="4" w:space="0" w:color="000000"/>
              <w:bottom w:val="nil" w:sz="6" w:space="0" w:color="auto"/>
              <w:right w:val="single" w:sz="4" w:space="0" w:color="000000"/>
            </w:tcBorders>
          </w:tcPr>
          <w:p>
            <w:pPr>
              <w:pStyle w:val="TableParagraph"/>
              <w:spacing w:line="291" w:lineRule="exact"/>
              <w:ind w:left="103" w:right="0"/>
              <w:jc w:val="left"/>
              <w:rPr>
                <w:rFonts w:ascii="宋体" w:hAnsi="宋体" w:cs="宋体" w:eastAsia="宋体" w:hint="default"/>
                <w:sz w:val="28"/>
                <w:szCs w:val="28"/>
              </w:rPr>
            </w:pPr>
            <w:r>
              <w:rPr>
                <w:rFonts w:ascii="宋体" w:hAnsi="宋体" w:cs="宋体" w:eastAsia="宋体" w:hint="default"/>
                <w:sz w:val="28"/>
                <w:szCs w:val="28"/>
              </w:rPr>
              <w:t>入。</w:t>
            </w:r>
          </w:p>
        </w:tc>
        <w:tc>
          <w:tcPr>
            <w:tcW w:w="406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28"/>
                <w:szCs w:val="28"/>
              </w:rPr>
            </w:pPr>
            <w:r>
              <w:rPr>
                <w:rFonts w:ascii="Times New Roman" w:hAnsi="Times New Roman" w:cs="Times New Roman" w:eastAsia="Times New Roman" w:hint="default"/>
                <w:sz w:val="28"/>
                <w:szCs w:val="28"/>
              </w:rPr>
              <w:t>5.</w:t>
            </w:r>
            <w:r>
              <w:rPr>
                <w:rFonts w:ascii="宋体" w:hAnsi="宋体" w:cs="宋体" w:eastAsia="宋体" w:hint="default"/>
                <w:sz w:val="28"/>
                <w:szCs w:val="28"/>
              </w:rPr>
              <w:t>查询公司前十大客户及其他重</w:t>
            </w:r>
          </w:p>
        </w:tc>
      </w:tr>
      <w:tr>
        <w:trPr>
          <w:trHeight w:val="356" w:hRule="exact"/>
        </w:trPr>
        <w:tc>
          <w:tcPr>
            <w:tcW w:w="4153" w:type="dxa"/>
            <w:tcBorders>
              <w:top w:val="nil" w:sz="6" w:space="0" w:color="auto"/>
              <w:left w:val="single" w:sz="4" w:space="0" w:color="000000"/>
              <w:bottom w:val="nil" w:sz="6" w:space="0" w:color="auto"/>
              <w:right w:val="single" w:sz="4" w:space="0" w:color="000000"/>
            </w:tcBorders>
          </w:tcPr>
          <w:p>
            <w:pPr>
              <w:pStyle w:val="TableParagraph"/>
              <w:spacing w:line="284" w:lineRule="exact"/>
              <w:ind w:left="103" w:right="0"/>
              <w:jc w:val="left"/>
              <w:rPr>
                <w:rFonts w:ascii="宋体" w:hAnsi="宋体" w:cs="宋体" w:eastAsia="宋体" w:hint="default"/>
                <w:sz w:val="28"/>
                <w:szCs w:val="28"/>
              </w:rPr>
            </w:pPr>
            <w:r>
              <w:rPr>
                <w:rFonts w:ascii="宋体" w:hAnsi="宋体" w:cs="宋体" w:eastAsia="宋体" w:hint="default"/>
                <w:sz w:val="28"/>
                <w:szCs w:val="28"/>
              </w:rPr>
              <w:t>由于收入是中国长城的关键绩效</w:t>
            </w:r>
          </w:p>
        </w:tc>
        <w:tc>
          <w:tcPr>
            <w:tcW w:w="4069" w:type="dxa"/>
            <w:tcBorders>
              <w:top w:val="nil" w:sz="6" w:space="0" w:color="auto"/>
              <w:left w:val="single" w:sz="4" w:space="0" w:color="000000"/>
              <w:bottom w:val="nil" w:sz="6" w:space="0" w:color="auto"/>
              <w:right w:val="single" w:sz="4" w:space="0" w:color="000000"/>
            </w:tcBorders>
          </w:tcPr>
          <w:p>
            <w:pPr>
              <w:pStyle w:val="TableParagraph"/>
              <w:spacing w:line="344" w:lineRule="exact"/>
              <w:ind w:left="103" w:right="0"/>
              <w:jc w:val="left"/>
              <w:rPr>
                <w:rFonts w:ascii="宋体" w:hAnsi="宋体" w:cs="宋体" w:eastAsia="宋体" w:hint="default"/>
                <w:sz w:val="28"/>
                <w:szCs w:val="28"/>
              </w:rPr>
            </w:pPr>
            <w:r>
              <w:rPr>
                <w:rFonts w:ascii="宋体" w:hAnsi="宋体" w:cs="宋体" w:eastAsia="宋体" w:hint="default"/>
                <w:spacing w:val="-5"/>
                <w:sz w:val="28"/>
                <w:szCs w:val="28"/>
              </w:rPr>
              <w:t>大客户工商资料，识别是否与公</w:t>
            </w:r>
          </w:p>
        </w:tc>
      </w:tr>
      <w:tr>
        <w:trPr>
          <w:trHeight w:val="363" w:hRule="exact"/>
        </w:trPr>
        <w:tc>
          <w:tcPr>
            <w:tcW w:w="4153" w:type="dxa"/>
            <w:tcBorders>
              <w:top w:val="nil" w:sz="6" w:space="0" w:color="auto"/>
              <w:left w:val="single" w:sz="4" w:space="0" w:color="000000"/>
              <w:bottom w:val="nil" w:sz="6" w:space="0" w:color="auto"/>
              <w:right w:val="single" w:sz="4" w:space="0" w:color="000000"/>
            </w:tcBorders>
          </w:tcPr>
          <w:p>
            <w:pPr>
              <w:pStyle w:val="TableParagraph"/>
              <w:spacing w:line="291" w:lineRule="exact"/>
              <w:ind w:left="103" w:right="-35"/>
              <w:jc w:val="left"/>
              <w:rPr>
                <w:rFonts w:ascii="宋体" w:hAnsi="宋体" w:cs="宋体" w:eastAsia="宋体" w:hint="default"/>
                <w:sz w:val="28"/>
                <w:szCs w:val="28"/>
              </w:rPr>
            </w:pPr>
            <w:r>
              <w:rPr>
                <w:rFonts w:ascii="宋体" w:hAnsi="宋体" w:cs="宋体" w:eastAsia="宋体" w:hint="default"/>
                <w:w w:val="99"/>
                <w:sz w:val="28"/>
                <w:szCs w:val="28"/>
              </w:rPr>
              <w:t>指标之一</w:t>
            </w:r>
            <w:r>
              <w:rPr>
                <w:rFonts w:ascii="宋体" w:hAnsi="宋体" w:cs="宋体" w:eastAsia="宋体" w:hint="default"/>
                <w:spacing w:val="-123"/>
                <w:w w:val="99"/>
                <w:sz w:val="28"/>
                <w:szCs w:val="28"/>
              </w:rPr>
              <w:t>，</w:t>
            </w:r>
            <w:r>
              <w:rPr>
                <w:rFonts w:ascii="宋体" w:hAnsi="宋体" w:cs="宋体" w:eastAsia="宋体" w:hint="default"/>
                <w:w w:val="99"/>
                <w:sz w:val="28"/>
                <w:szCs w:val="28"/>
              </w:rPr>
              <w:t>且其涉及管理层判断，</w:t>
            </w:r>
            <w:r>
              <w:rPr>
                <w:rFonts w:ascii="宋体" w:hAnsi="宋体" w:cs="宋体" w:eastAsia="宋体" w:hint="default"/>
                <w:sz w:val="28"/>
                <w:szCs w:val="28"/>
              </w:rPr>
            </w:r>
          </w:p>
        </w:tc>
        <w:tc>
          <w:tcPr>
            <w:tcW w:w="4069" w:type="dxa"/>
            <w:tcBorders>
              <w:top w:val="nil" w:sz="6" w:space="0" w:color="auto"/>
              <w:left w:val="single" w:sz="4" w:space="0" w:color="000000"/>
              <w:bottom w:val="nil" w:sz="6" w:space="0" w:color="auto"/>
              <w:right w:val="single" w:sz="4" w:space="0" w:color="000000"/>
            </w:tcBorders>
          </w:tcPr>
          <w:p>
            <w:pPr>
              <w:pStyle w:val="TableParagraph"/>
              <w:spacing w:line="352" w:lineRule="exact"/>
              <w:ind w:left="103" w:right="0"/>
              <w:jc w:val="left"/>
              <w:rPr>
                <w:rFonts w:ascii="宋体" w:hAnsi="宋体" w:cs="宋体" w:eastAsia="宋体" w:hint="default"/>
                <w:sz w:val="28"/>
                <w:szCs w:val="28"/>
              </w:rPr>
            </w:pPr>
            <w:r>
              <w:rPr>
                <w:rFonts w:ascii="宋体" w:hAnsi="宋体" w:cs="宋体" w:eastAsia="宋体" w:hint="default"/>
                <w:sz w:val="28"/>
                <w:szCs w:val="28"/>
              </w:rPr>
              <w:t>司存在关联关系；</w:t>
            </w:r>
          </w:p>
        </w:tc>
      </w:tr>
      <w:tr>
        <w:trPr>
          <w:trHeight w:val="736" w:hRule="exact"/>
        </w:trPr>
        <w:tc>
          <w:tcPr>
            <w:tcW w:w="4153" w:type="dxa"/>
            <w:tcBorders>
              <w:top w:val="nil" w:sz="6" w:space="0" w:color="auto"/>
              <w:left w:val="single" w:sz="4" w:space="0" w:color="000000"/>
              <w:bottom w:val="nil" w:sz="6" w:space="0" w:color="auto"/>
              <w:right w:val="single" w:sz="4" w:space="0" w:color="000000"/>
            </w:tcBorders>
          </w:tcPr>
          <w:p>
            <w:pPr>
              <w:pStyle w:val="TableParagraph"/>
              <w:spacing w:line="289" w:lineRule="exact"/>
              <w:ind w:left="103" w:right="0"/>
              <w:jc w:val="left"/>
              <w:rPr>
                <w:rFonts w:ascii="宋体" w:hAnsi="宋体" w:cs="宋体" w:eastAsia="宋体" w:hint="default"/>
                <w:sz w:val="28"/>
                <w:szCs w:val="28"/>
              </w:rPr>
            </w:pPr>
            <w:r>
              <w:rPr>
                <w:rFonts w:ascii="宋体" w:hAnsi="宋体" w:cs="宋体" w:eastAsia="宋体" w:hint="default"/>
                <w:sz w:val="28"/>
                <w:szCs w:val="28"/>
              </w:rPr>
              <w:t>使得收入存在可能被确认不正确</w:t>
            </w:r>
          </w:p>
          <w:p>
            <w:pPr>
              <w:pStyle w:val="TableParagraph"/>
              <w:spacing w:line="365" w:lineRule="exact"/>
              <w:ind w:left="103" w:right="0"/>
              <w:jc w:val="left"/>
              <w:rPr>
                <w:rFonts w:ascii="宋体" w:hAnsi="宋体" w:cs="宋体" w:eastAsia="宋体" w:hint="default"/>
                <w:sz w:val="28"/>
                <w:szCs w:val="28"/>
              </w:rPr>
            </w:pPr>
            <w:r>
              <w:rPr>
                <w:rFonts w:ascii="宋体" w:hAnsi="宋体" w:cs="宋体" w:eastAsia="宋体" w:hint="default"/>
                <w:sz w:val="28"/>
                <w:szCs w:val="28"/>
              </w:rPr>
              <w:t>的期间或被操纵以达到目标或预</w:t>
            </w:r>
          </w:p>
        </w:tc>
        <w:tc>
          <w:tcPr>
            <w:tcW w:w="4069" w:type="dxa"/>
            <w:tcBorders>
              <w:top w:val="nil" w:sz="6" w:space="0" w:color="auto"/>
              <w:left w:val="single" w:sz="4" w:space="0" w:color="000000"/>
              <w:bottom w:val="nil" w:sz="6" w:space="0" w:color="auto"/>
              <w:right w:val="single" w:sz="4" w:space="0" w:color="000000"/>
            </w:tcBorders>
          </w:tcPr>
          <w:p>
            <w:pPr>
              <w:pStyle w:val="TableParagraph"/>
              <w:spacing w:line="362" w:lineRule="exact" w:before="43"/>
              <w:ind w:left="103" w:right="101"/>
              <w:jc w:val="left"/>
              <w:rPr>
                <w:rFonts w:ascii="宋体" w:hAnsi="宋体" w:cs="宋体" w:eastAsia="宋体" w:hint="default"/>
                <w:sz w:val="28"/>
                <w:szCs w:val="28"/>
              </w:rPr>
            </w:pPr>
            <w:r>
              <w:rPr>
                <w:rFonts w:ascii="Times New Roman" w:hAnsi="Times New Roman" w:cs="Times New Roman" w:eastAsia="Times New Roman" w:hint="default"/>
                <w:sz w:val="28"/>
                <w:szCs w:val="28"/>
              </w:rPr>
              <w:t>6.</w:t>
            </w:r>
            <w:r>
              <w:rPr>
                <w:rFonts w:ascii="宋体" w:hAnsi="宋体" w:cs="宋体" w:eastAsia="宋体" w:hint="default"/>
                <w:sz w:val="28"/>
                <w:szCs w:val="28"/>
              </w:rPr>
              <w:t>就资产负债表日前后记录的收</w:t>
            </w:r>
            <w:r>
              <w:rPr>
                <w:rFonts w:ascii="宋体" w:hAnsi="宋体" w:cs="宋体" w:eastAsia="宋体" w:hint="default"/>
                <w:w w:val="99"/>
                <w:sz w:val="28"/>
                <w:szCs w:val="28"/>
              </w:rPr>
              <w:t> </w:t>
            </w:r>
            <w:r>
              <w:rPr>
                <w:rFonts w:ascii="宋体" w:hAnsi="宋体" w:cs="宋体" w:eastAsia="宋体" w:hint="default"/>
                <w:spacing w:val="-5"/>
                <w:sz w:val="28"/>
                <w:szCs w:val="28"/>
              </w:rPr>
              <w:t>入交易，选取样本，核对发货单</w:t>
            </w:r>
          </w:p>
        </w:tc>
      </w:tr>
      <w:tr>
        <w:trPr>
          <w:trHeight w:val="364" w:hRule="exact"/>
        </w:trPr>
        <w:tc>
          <w:tcPr>
            <w:tcW w:w="4153" w:type="dxa"/>
            <w:tcBorders>
              <w:top w:val="nil" w:sz="6" w:space="0" w:color="auto"/>
              <w:left w:val="single" w:sz="4" w:space="0" w:color="000000"/>
              <w:bottom w:val="nil" w:sz="6" w:space="0" w:color="auto"/>
              <w:right w:val="single" w:sz="4" w:space="0" w:color="000000"/>
            </w:tcBorders>
          </w:tcPr>
          <w:p>
            <w:pPr>
              <w:pStyle w:val="TableParagraph"/>
              <w:spacing w:line="281" w:lineRule="exact"/>
              <w:ind w:left="103" w:right="0"/>
              <w:jc w:val="left"/>
              <w:rPr>
                <w:rFonts w:ascii="宋体" w:hAnsi="宋体" w:cs="宋体" w:eastAsia="宋体" w:hint="default"/>
                <w:sz w:val="28"/>
                <w:szCs w:val="28"/>
              </w:rPr>
            </w:pPr>
            <w:r>
              <w:rPr>
                <w:rFonts w:ascii="宋体" w:hAnsi="宋体" w:cs="宋体" w:eastAsia="宋体" w:hint="default"/>
                <w:sz w:val="28"/>
                <w:szCs w:val="28"/>
              </w:rPr>
              <w:t>期水平的固有风险，因此我们将</w:t>
            </w:r>
          </w:p>
        </w:tc>
        <w:tc>
          <w:tcPr>
            <w:tcW w:w="4069" w:type="dxa"/>
            <w:tcBorders>
              <w:top w:val="nil" w:sz="6" w:space="0" w:color="auto"/>
              <w:left w:val="single" w:sz="4" w:space="0" w:color="000000"/>
              <w:bottom w:val="nil" w:sz="6" w:space="0" w:color="auto"/>
              <w:right w:val="single" w:sz="4" w:space="0" w:color="000000"/>
            </w:tcBorders>
          </w:tcPr>
          <w:p>
            <w:pPr>
              <w:pStyle w:val="TableParagraph"/>
              <w:spacing w:line="362" w:lineRule="exact"/>
              <w:ind w:left="103" w:right="0"/>
              <w:jc w:val="left"/>
              <w:rPr>
                <w:rFonts w:ascii="宋体" w:hAnsi="宋体" w:cs="宋体" w:eastAsia="宋体" w:hint="default"/>
                <w:sz w:val="28"/>
                <w:szCs w:val="28"/>
              </w:rPr>
            </w:pPr>
            <w:r>
              <w:rPr>
                <w:rFonts w:ascii="宋体" w:hAnsi="宋体" w:cs="宋体" w:eastAsia="宋体" w:hint="default"/>
                <w:spacing w:val="-5"/>
                <w:sz w:val="28"/>
                <w:szCs w:val="28"/>
              </w:rPr>
              <w:t>及其他支持性文件，以评价收入</w:t>
            </w:r>
          </w:p>
        </w:tc>
      </w:tr>
      <w:tr>
        <w:trPr>
          <w:trHeight w:val="430" w:hRule="exact"/>
        </w:trPr>
        <w:tc>
          <w:tcPr>
            <w:tcW w:w="4153" w:type="dxa"/>
            <w:tcBorders>
              <w:top w:val="nil" w:sz="6" w:space="0" w:color="auto"/>
              <w:left w:val="single" w:sz="4" w:space="0" w:color="000000"/>
              <w:bottom w:val="single" w:sz="4" w:space="0" w:color="000000"/>
              <w:right w:val="single" w:sz="4" w:space="0" w:color="000000"/>
            </w:tcBorders>
          </w:tcPr>
          <w:p>
            <w:pPr>
              <w:pStyle w:val="TableParagraph"/>
              <w:spacing w:line="281" w:lineRule="exact"/>
              <w:ind w:left="103" w:right="0"/>
              <w:jc w:val="left"/>
              <w:rPr>
                <w:rFonts w:ascii="宋体" w:hAnsi="宋体" w:cs="宋体" w:eastAsia="宋体" w:hint="default"/>
                <w:sz w:val="28"/>
                <w:szCs w:val="28"/>
              </w:rPr>
            </w:pPr>
            <w:r>
              <w:rPr>
                <w:rFonts w:ascii="宋体" w:hAnsi="宋体" w:cs="宋体" w:eastAsia="宋体" w:hint="default"/>
                <w:sz w:val="28"/>
                <w:szCs w:val="28"/>
              </w:rPr>
              <w:t>收入确认识别为关键审计事项。</w:t>
            </w:r>
          </w:p>
        </w:tc>
        <w:tc>
          <w:tcPr>
            <w:tcW w:w="4069" w:type="dxa"/>
            <w:tcBorders>
              <w:top w:val="nil" w:sz="6" w:space="0" w:color="auto"/>
              <w:left w:val="single" w:sz="4" w:space="0" w:color="000000"/>
              <w:bottom w:val="single" w:sz="4" w:space="0" w:color="000000"/>
              <w:right w:val="single" w:sz="4" w:space="0" w:color="000000"/>
            </w:tcBorders>
          </w:tcPr>
          <w:p>
            <w:pPr>
              <w:pStyle w:val="TableParagraph"/>
              <w:spacing w:line="362" w:lineRule="exact"/>
              <w:ind w:left="103" w:right="0"/>
              <w:jc w:val="left"/>
              <w:rPr>
                <w:rFonts w:ascii="宋体" w:hAnsi="宋体" w:cs="宋体" w:eastAsia="宋体" w:hint="default"/>
                <w:sz w:val="28"/>
                <w:szCs w:val="28"/>
              </w:rPr>
            </w:pPr>
            <w:r>
              <w:rPr>
                <w:rFonts w:ascii="宋体" w:hAnsi="宋体" w:cs="宋体" w:eastAsia="宋体" w:hint="default"/>
                <w:sz w:val="28"/>
                <w:szCs w:val="28"/>
              </w:rPr>
              <w:t>是否被记录于恰当的会计期间。</w:t>
            </w:r>
          </w:p>
        </w:tc>
      </w:tr>
    </w:tbl>
    <w:p>
      <w:pPr>
        <w:spacing w:after="0" w:line="362" w:lineRule="exact"/>
        <w:jc w:val="left"/>
        <w:rPr>
          <w:rFonts w:ascii="宋体" w:hAnsi="宋体" w:cs="宋体" w:eastAsia="宋体" w:hint="default"/>
          <w:sz w:val="28"/>
          <w:szCs w:val="28"/>
        </w:rPr>
        <w:sectPr>
          <w:headerReference w:type="default" r:id="rId23"/>
          <w:pgSz w:w="11910" w:h="16840"/>
          <w:pgMar w:header="679" w:footer="983" w:top="1620" w:bottom="1180" w:left="1120" w:right="0"/>
        </w:sect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29"/>
          <w:szCs w:val="29"/>
        </w:rPr>
      </w:pPr>
    </w:p>
    <w:p>
      <w:pPr>
        <w:pStyle w:val="Heading2"/>
        <w:spacing w:line="240" w:lineRule="auto" w:before="13"/>
        <w:ind w:left="887" w:right="0"/>
        <w:jc w:val="left"/>
        <w:rPr>
          <w:b w:val="0"/>
          <w:bCs w:val="0"/>
        </w:rPr>
      </w:pPr>
      <w:r>
        <w:rPr/>
        <w:t>四、</w:t>
      </w:r>
      <w:r>
        <w:rPr>
          <w:spacing w:val="-14"/>
        </w:rPr>
        <w:t> </w:t>
      </w:r>
      <w:r>
        <w:rPr/>
        <w:t>其他信息</w:t>
      </w:r>
      <w:r>
        <w:rPr>
          <w:b w:val="0"/>
          <w:bCs w:val="0"/>
        </w:rPr>
      </w:r>
    </w:p>
    <w:p>
      <w:pPr>
        <w:spacing w:line="240" w:lineRule="auto" w:before="10"/>
        <w:rPr>
          <w:rFonts w:ascii="宋体" w:hAnsi="宋体" w:cs="宋体" w:eastAsia="宋体" w:hint="default"/>
          <w:b/>
          <w:bCs/>
          <w:sz w:val="35"/>
          <w:szCs w:val="35"/>
        </w:rPr>
      </w:pPr>
    </w:p>
    <w:p>
      <w:pPr>
        <w:pStyle w:val="Heading3"/>
        <w:spacing w:line="254" w:lineRule="auto"/>
        <w:ind w:right="1434"/>
        <w:jc w:val="both"/>
      </w:pPr>
      <w:r>
        <w:rPr/>
        <w:t>中国长城管理层（以下简称管理层）对其他信息负责。其他信息包括</w:t>
      </w:r>
      <w:r>
        <w:rPr>
          <w:spacing w:val="2"/>
          <w:w w:val="99"/>
        </w:rPr>
        <w:t> </w:t>
      </w:r>
      <w:r>
        <w:rPr/>
        <w:t>中国长城</w:t>
      </w:r>
      <w:r>
        <w:rPr>
          <w:spacing w:val="-75"/>
        </w:rPr>
        <w:t> </w:t>
      </w:r>
      <w:r>
        <w:rPr>
          <w:rFonts w:ascii="Times New Roman" w:hAnsi="Times New Roman" w:cs="Times New Roman" w:eastAsia="Times New Roman" w:hint="default"/>
        </w:rPr>
        <w:t>2018</w:t>
      </w:r>
      <w:r>
        <w:rPr>
          <w:rFonts w:ascii="Times New Roman" w:hAnsi="Times New Roman" w:cs="Times New Roman" w:eastAsia="Times New Roman" w:hint="default"/>
          <w:spacing w:val="-5"/>
        </w:rPr>
        <w:t> </w:t>
      </w:r>
      <w:r>
        <w:rPr>
          <w:spacing w:val="-3"/>
        </w:rPr>
        <w:t>年年度报告中涵盖的信息，但不包括财务报表和我们的审计</w:t>
      </w:r>
      <w:r>
        <w:rPr>
          <w:w w:val="99"/>
        </w:rPr>
        <w:t> </w:t>
      </w:r>
      <w:r>
        <w:rPr/>
        <w:t>报告。</w:t>
      </w:r>
    </w:p>
    <w:p>
      <w:pPr>
        <w:pStyle w:val="Heading3"/>
        <w:spacing w:line="261" w:lineRule="auto" w:before="56"/>
        <w:ind w:right="1434"/>
        <w:jc w:val="both"/>
      </w:pPr>
      <w:r>
        <w:rPr/>
        <w:t>我们对财务报表发表的审计意见不涵盖其他信息，我们也不对其他信</w:t>
      </w:r>
      <w:r>
        <w:rPr>
          <w:spacing w:val="2"/>
          <w:w w:val="99"/>
        </w:rPr>
        <w:t> </w:t>
      </w:r>
      <w:r>
        <w:rPr/>
        <w:t>息发表任何形式的鉴证结论。</w:t>
      </w:r>
    </w:p>
    <w:p>
      <w:pPr>
        <w:pStyle w:val="Heading3"/>
        <w:spacing w:line="261" w:lineRule="auto" w:before="47"/>
        <w:ind w:right="1434"/>
        <w:jc w:val="both"/>
      </w:pPr>
      <w:r>
        <w:rPr/>
        <w:t>结合我们对财务报表的审计，我们的责任是阅读其他信息，在此过程</w:t>
      </w:r>
      <w:r>
        <w:rPr>
          <w:spacing w:val="2"/>
          <w:w w:val="99"/>
        </w:rPr>
        <w:t> </w:t>
      </w:r>
      <w:r>
        <w:rPr/>
        <w:t>中，考虑其他信息是否与财务报表或我们在审计过程中了解到的情况存在</w:t>
      </w:r>
      <w:r>
        <w:rPr>
          <w:spacing w:val="-90"/>
        </w:rPr>
        <w:t> </w:t>
      </w:r>
      <w:r>
        <w:rPr/>
        <w:t>重大不一致或者似乎存在重大错报。</w:t>
      </w:r>
    </w:p>
    <w:p>
      <w:pPr>
        <w:pStyle w:val="Heading3"/>
        <w:spacing w:line="261" w:lineRule="auto" w:before="47"/>
        <w:ind w:right="1434"/>
        <w:jc w:val="both"/>
      </w:pPr>
      <w:r>
        <w:rPr/>
        <w:t>基于我们已执行的工作，如果我们确定其他信息存在重大错报，我们</w:t>
      </w:r>
      <w:r>
        <w:rPr>
          <w:spacing w:val="2"/>
          <w:w w:val="99"/>
        </w:rPr>
        <w:t> </w:t>
      </w:r>
      <w:r>
        <w:rPr/>
        <w:t>应当报告该事实。在这方面，我们无任何事项需要报告。</w:t>
      </w:r>
    </w:p>
    <w:p>
      <w:pPr>
        <w:spacing w:line="834" w:lineRule="exact" w:before="101"/>
        <w:ind w:left="887" w:right="0" w:firstLine="0"/>
        <w:jc w:val="left"/>
        <w:rPr>
          <w:rFonts w:ascii="宋体" w:hAnsi="宋体" w:cs="宋体" w:eastAsia="宋体" w:hint="default"/>
          <w:sz w:val="28"/>
          <w:szCs w:val="28"/>
        </w:rPr>
      </w:pPr>
      <w:r>
        <w:rPr>
          <w:rFonts w:ascii="宋体" w:hAnsi="宋体" w:cs="宋体" w:eastAsia="宋体" w:hint="default"/>
          <w:b/>
          <w:bCs/>
          <w:sz w:val="28"/>
          <w:szCs w:val="28"/>
        </w:rPr>
        <w:t>五、</w:t>
      </w:r>
      <w:r>
        <w:rPr>
          <w:rFonts w:ascii="宋体" w:hAnsi="宋体" w:cs="宋体" w:eastAsia="宋体" w:hint="default"/>
          <w:b/>
          <w:bCs/>
          <w:spacing w:val="-10"/>
          <w:sz w:val="28"/>
          <w:szCs w:val="28"/>
        </w:rPr>
        <w:t> </w:t>
      </w:r>
      <w:r>
        <w:rPr>
          <w:rFonts w:ascii="宋体" w:hAnsi="宋体" w:cs="宋体" w:eastAsia="宋体" w:hint="default"/>
          <w:b/>
          <w:bCs/>
          <w:sz w:val="28"/>
          <w:szCs w:val="28"/>
        </w:rPr>
        <w:t>管理层和治理层对财务报表的责任</w:t>
      </w:r>
      <w:r>
        <w:rPr>
          <w:rFonts w:ascii="宋体" w:hAnsi="宋体" w:cs="宋体" w:eastAsia="宋体" w:hint="default"/>
          <w:b/>
          <w:bCs/>
          <w:spacing w:val="1"/>
          <w:w w:val="99"/>
          <w:sz w:val="28"/>
          <w:szCs w:val="28"/>
        </w:rPr>
        <w:t> </w:t>
      </w:r>
      <w:r>
        <w:rPr>
          <w:rFonts w:ascii="宋体" w:hAnsi="宋体" w:cs="宋体" w:eastAsia="宋体" w:hint="default"/>
          <w:sz w:val="28"/>
          <w:szCs w:val="28"/>
        </w:rPr>
        <w:t>管理层负责按照企业会计准则的规定编制财务报表，使其实现公允反</w:t>
      </w:r>
    </w:p>
    <w:p>
      <w:pPr>
        <w:pStyle w:val="Heading3"/>
        <w:spacing w:line="272" w:lineRule="exact"/>
        <w:ind w:right="0" w:firstLine="0"/>
        <w:jc w:val="left"/>
      </w:pPr>
      <w:r>
        <w:rPr/>
        <w:t>映，并设计、执行和维护必要的内部控制，以使财务报表不存在由于舞弊</w:t>
      </w:r>
    </w:p>
    <w:p>
      <w:pPr>
        <w:pStyle w:val="Heading3"/>
        <w:spacing w:line="288" w:lineRule="auto" w:before="34"/>
        <w:ind w:left="887" w:right="0" w:hanging="568"/>
        <w:jc w:val="left"/>
      </w:pPr>
      <w:r>
        <w:rPr/>
        <w:t>或错误导致的重大错报。</w:t>
      </w:r>
      <w:r>
        <w:rPr>
          <w:w w:val="99"/>
        </w:rPr>
        <w:t> </w:t>
      </w:r>
      <w:r>
        <w:rPr/>
        <w:t>在编制财务报表时，管理层负责评估中国长城的持续经营能力，披露</w:t>
      </w:r>
    </w:p>
    <w:p>
      <w:pPr>
        <w:pStyle w:val="Heading3"/>
        <w:spacing w:line="344" w:lineRule="exact"/>
        <w:ind w:right="0" w:firstLine="0"/>
        <w:jc w:val="left"/>
      </w:pPr>
      <w:r>
        <w:rPr>
          <w:w w:val="99"/>
        </w:rPr>
        <w:t>与持续经营相关的事</w:t>
      </w:r>
      <w:r>
        <w:rPr>
          <w:spacing w:val="-26"/>
          <w:w w:val="99"/>
        </w:rPr>
        <w:t>项</w:t>
      </w:r>
      <w:r>
        <w:rPr>
          <w:w w:val="99"/>
        </w:rPr>
        <w:t>（如适用</w:t>
      </w:r>
      <w:r>
        <w:rPr>
          <w:spacing w:val="-139"/>
          <w:w w:val="99"/>
        </w:rPr>
        <w:t>）</w:t>
      </w:r>
      <w:r>
        <w:rPr>
          <w:spacing w:val="-24"/>
          <w:w w:val="99"/>
        </w:rPr>
        <w:t>，</w:t>
      </w:r>
      <w:r>
        <w:rPr>
          <w:w w:val="99"/>
        </w:rPr>
        <w:t>并运用持续经营假设</w:t>
      </w:r>
      <w:r>
        <w:rPr>
          <w:spacing w:val="-26"/>
          <w:w w:val="99"/>
        </w:rPr>
        <w:t>，</w:t>
      </w:r>
      <w:r>
        <w:rPr>
          <w:w w:val="99"/>
        </w:rPr>
        <w:t>除非计划进</w:t>
      </w:r>
      <w:r>
        <w:rPr>
          <w:spacing w:val="2"/>
          <w:w w:val="99"/>
        </w:rPr>
        <w:t>行</w:t>
      </w:r>
      <w:r>
        <w:rPr>
          <w:w w:val="99"/>
        </w:rPr>
        <w:t>清</w:t>
      </w:r>
      <w:r>
        <w:rPr/>
      </w:r>
    </w:p>
    <w:p>
      <w:pPr>
        <w:pStyle w:val="Heading3"/>
        <w:spacing w:line="288" w:lineRule="auto" w:before="33"/>
        <w:ind w:left="887" w:right="4557" w:hanging="568"/>
        <w:jc w:val="left"/>
      </w:pPr>
      <w:r>
        <w:rPr/>
        <w:t>算、终止运营或别无其他现实的选择。</w:t>
      </w:r>
      <w:r>
        <w:rPr>
          <w:w w:val="99"/>
        </w:rPr>
        <w:t> </w:t>
      </w:r>
      <w:r>
        <w:rPr/>
        <w:t>治理层负责监督中国长城的财务报告过程。</w:t>
      </w:r>
    </w:p>
    <w:p>
      <w:pPr>
        <w:spacing w:line="834" w:lineRule="exact" w:before="69"/>
        <w:ind w:left="887" w:right="0" w:firstLine="0"/>
        <w:jc w:val="left"/>
        <w:rPr>
          <w:rFonts w:ascii="宋体" w:hAnsi="宋体" w:cs="宋体" w:eastAsia="宋体" w:hint="default"/>
          <w:sz w:val="28"/>
          <w:szCs w:val="28"/>
        </w:rPr>
      </w:pPr>
      <w:r>
        <w:rPr>
          <w:rFonts w:ascii="宋体" w:hAnsi="宋体" w:cs="宋体" w:eastAsia="宋体" w:hint="default"/>
          <w:b/>
          <w:bCs/>
          <w:sz w:val="28"/>
          <w:szCs w:val="28"/>
        </w:rPr>
        <w:t>六、</w:t>
      </w:r>
      <w:r>
        <w:rPr>
          <w:rFonts w:ascii="宋体" w:hAnsi="宋体" w:cs="宋体" w:eastAsia="宋体" w:hint="default"/>
          <w:b/>
          <w:bCs/>
          <w:spacing w:val="-10"/>
          <w:sz w:val="28"/>
          <w:szCs w:val="28"/>
        </w:rPr>
        <w:t> </w:t>
      </w:r>
      <w:r>
        <w:rPr>
          <w:rFonts w:ascii="宋体" w:hAnsi="宋体" w:cs="宋体" w:eastAsia="宋体" w:hint="default"/>
          <w:b/>
          <w:bCs/>
          <w:sz w:val="28"/>
          <w:szCs w:val="28"/>
        </w:rPr>
        <w:t>注册会计师对财务报表审计的责任</w:t>
      </w:r>
      <w:r>
        <w:rPr>
          <w:rFonts w:ascii="宋体" w:hAnsi="宋体" w:cs="宋体" w:eastAsia="宋体" w:hint="default"/>
          <w:b/>
          <w:bCs/>
          <w:spacing w:val="1"/>
          <w:w w:val="99"/>
          <w:sz w:val="28"/>
          <w:szCs w:val="28"/>
        </w:rPr>
        <w:t> </w:t>
      </w:r>
      <w:r>
        <w:rPr>
          <w:rFonts w:ascii="宋体" w:hAnsi="宋体" w:cs="宋体" w:eastAsia="宋体" w:hint="default"/>
          <w:sz w:val="28"/>
          <w:szCs w:val="28"/>
        </w:rPr>
        <w:t>我们的目标是对财务报表整体是否不存在由于舞弊或错误导致的重大</w:t>
      </w:r>
    </w:p>
    <w:p>
      <w:pPr>
        <w:pStyle w:val="Heading3"/>
        <w:spacing w:line="272" w:lineRule="exact"/>
        <w:ind w:right="0" w:firstLine="0"/>
        <w:jc w:val="left"/>
      </w:pPr>
      <w:r>
        <w:rPr/>
        <w:t>错报获取合理保证，并出具包含审计意见的审计报告。合理保证是高水平</w:t>
      </w:r>
    </w:p>
    <w:p>
      <w:pPr>
        <w:pStyle w:val="Heading3"/>
        <w:spacing w:line="261" w:lineRule="auto" w:before="33"/>
        <w:ind w:right="1434" w:firstLine="0"/>
        <w:jc w:val="both"/>
      </w:pPr>
      <w:r>
        <w:rPr/>
        <w:t>的保证，但并不能保证按照审计准则执行的审计在某一重大错报存在时总</w:t>
      </w:r>
      <w:r>
        <w:rPr>
          <w:spacing w:val="-90"/>
        </w:rPr>
        <w:t> </w:t>
      </w:r>
      <w:r>
        <w:rPr/>
        <w:t>能发现。错报可能由于舞弊或错误导致，如果合理预期错报单独或汇总起</w:t>
      </w:r>
      <w:r>
        <w:rPr>
          <w:spacing w:val="-90"/>
        </w:rPr>
        <w:t> </w:t>
      </w:r>
      <w:r>
        <w:rPr/>
        <w:t>来可能影响财务报表使用者依据财务报表作出的经济决策，则通常认为错</w:t>
      </w:r>
      <w:r>
        <w:rPr>
          <w:spacing w:val="-90"/>
        </w:rPr>
        <w:t> </w:t>
      </w:r>
      <w:r>
        <w:rPr/>
        <w:t>报是重大的。</w:t>
      </w:r>
    </w:p>
    <w:p>
      <w:pPr>
        <w:spacing w:after="0" w:line="261" w:lineRule="auto"/>
        <w:jc w:val="both"/>
        <w:sectPr>
          <w:pgSz w:w="11910" w:h="16840"/>
          <w:pgMar w:header="679" w:footer="983" w:top="1620" w:bottom="1180" w:left="1120" w:right="0"/>
        </w:sect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3"/>
          <w:szCs w:val="23"/>
        </w:rPr>
      </w:pPr>
    </w:p>
    <w:p>
      <w:pPr>
        <w:pStyle w:val="Heading3"/>
        <w:spacing w:line="261" w:lineRule="auto" w:before="13"/>
        <w:ind w:right="1434"/>
        <w:jc w:val="both"/>
      </w:pPr>
      <w:r>
        <w:rPr/>
        <w:t>在按照审计准则执行审计工作的过程中，我们运用职业判断，并保持</w:t>
      </w:r>
      <w:r>
        <w:rPr>
          <w:spacing w:val="2"/>
          <w:w w:val="99"/>
        </w:rPr>
        <w:t> </w:t>
      </w:r>
      <w:r>
        <w:rPr/>
        <w:t>职业怀疑。同时，我们也执行以下工作：</w:t>
      </w:r>
    </w:p>
    <w:p>
      <w:pPr>
        <w:pStyle w:val="Heading3"/>
        <w:spacing w:line="259" w:lineRule="auto" w:before="46"/>
        <w:ind w:right="1434"/>
        <w:jc w:val="both"/>
      </w:pPr>
      <w:r>
        <w:rPr>
          <w:spacing w:val="-3"/>
        </w:rPr>
        <w:t>（</w:t>
      </w:r>
      <w:r>
        <w:rPr>
          <w:rFonts w:ascii="Times New Roman" w:hAnsi="Times New Roman" w:cs="Times New Roman" w:eastAsia="Times New Roman" w:hint="default"/>
          <w:spacing w:val="-3"/>
        </w:rPr>
        <w:t>1</w:t>
      </w:r>
      <w:r>
        <w:rPr>
          <w:spacing w:val="-3"/>
        </w:rPr>
        <w:t>）识别和评估由于舞弊或错误导致的财务报表重大错报风险，设计</w:t>
      </w:r>
      <w:r>
        <w:rPr>
          <w:w w:val="99"/>
        </w:rPr>
        <w:t> </w:t>
      </w:r>
      <w:r>
        <w:rPr/>
        <w:t>和实施审计程序以应对这些风险，并获取充分、适当的审计证据，作为发</w:t>
      </w:r>
      <w:r>
        <w:rPr>
          <w:spacing w:val="-90"/>
        </w:rPr>
        <w:t> </w:t>
      </w:r>
      <w:r>
        <w:rPr>
          <w:spacing w:val="-90"/>
        </w:rPr>
      </w:r>
      <w:r>
        <w:rPr/>
        <w:t>表审计意见的基础。由于舞弊可能涉及串通、伪造、故意遗漏、虚假陈述</w:t>
      </w:r>
      <w:r>
        <w:rPr>
          <w:spacing w:val="-90"/>
        </w:rPr>
        <w:t> </w:t>
      </w:r>
      <w:r>
        <w:rPr/>
        <w:t>或凌驾于内部控制之上，未能发现由于舞弊导致的重大错报的风险高于未</w:t>
      </w:r>
      <w:r>
        <w:rPr>
          <w:spacing w:val="-90"/>
        </w:rPr>
        <w:t> </w:t>
      </w:r>
      <w:r>
        <w:rPr/>
        <w:t>能发现由于错误导致的重大错报的风险。</w:t>
      </w:r>
    </w:p>
    <w:p>
      <w:pPr>
        <w:pStyle w:val="Heading3"/>
        <w:spacing w:line="240" w:lineRule="auto" w:before="50"/>
        <w:ind w:left="887" w:right="0" w:firstLine="0"/>
        <w:jc w:val="left"/>
      </w:pPr>
      <w:r>
        <w:rPr/>
        <w:t>（</w:t>
      </w:r>
      <w:r>
        <w:rPr>
          <w:rFonts w:ascii="Times New Roman" w:hAnsi="Times New Roman" w:cs="Times New Roman" w:eastAsia="Times New Roman" w:hint="default"/>
        </w:rPr>
        <w:t>2</w:t>
      </w:r>
      <w:r>
        <w:rPr/>
        <w:t>）了解与审计相关的内部控制，以设计恰当的审计程序。</w:t>
      </w:r>
    </w:p>
    <w:p>
      <w:pPr>
        <w:pStyle w:val="Heading3"/>
        <w:spacing w:line="247" w:lineRule="auto" w:before="50"/>
        <w:ind w:left="319" w:right="1437"/>
        <w:jc w:val="both"/>
      </w:pPr>
      <w:r>
        <w:rPr>
          <w:spacing w:val="-3"/>
        </w:rPr>
        <w:t>（</w:t>
      </w:r>
      <w:r>
        <w:rPr>
          <w:rFonts w:ascii="Times New Roman" w:hAnsi="Times New Roman" w:cs="Times New Roman" w:eastAsia="Times New Roman" w:hint="default"/>
          <w:spacing w:val="-3"/>
        </w:rPr>
        <w:t>3</w:t>
      </w:r>
      <w:r>
        <w:rPr>
          <w:spacing w:val="-3"/>
        </w:rPr>
        <w:t>）评价管理层选用会计政策的恰当性和作出会计估计及相关披露的</w:t>
      </w:r>
      <w:r>
        <w:rPr>
          <w:w w:val="99"/>
        </w:rPr>
        <w:t> </w:t>
      </w:r>
      <w:r>
        <w:rPr/>
        <w:t>合理性。</w:t>
      </w:r>
    </w:p>
    <w:p>
      <w:pPr>
        <w:pStyle w:val="Heading3"/>
        <w:spacing w:line="259" w:lineRule="auto" w:before="63"/>
        <w:ind w:left="319" w:right="1434"/>
        <w:jc w:val="both"/>
      </w:pPr>
      <w:r>
        <w:rPr>
          <w:spacing w:val="-3"/>
        </w:rPr>
        <w:t>（</w:t>
      </w:r>
      <w:r>
        <w:rPr>
          <w:rFonts w:ascii="Times New Roman" w:hAnsi="Times New Roman" w:cs="Times New Roman" w:eastAsia="Times New Roman" w:hint="default"/>
          <w:spacing w:val="-3"/>
        </w:rPr>
        <w:t>4</w:t>
      </w:r>
      <w:r>
        <w:rPr>
          <w:spacing w:val="-3"/>
        </w:rPr>
        <w:t>）对管理层使用持续经营假设的恰当性得出结论。同时，根据获取</w:t>
      </w:r>
      <w:r>
        <w:rPr>
          <w:w w:val="99"/>
        </w:rPr>
        <w:t> </w:t>
      </w:r>
      <w:r>
        <w:rPr/>
        <w:t>的审计证据，就可能导致对中国长城持续经营能力产生重大疑虑的事项或</w:t>
      </w:r>
      <w:r>
        <w:rPr>
          <w:spacing w:val="-90"/>
        </w:rPr>
        <w:t> </w:t>
      </w:r>
      <w:r>
        <w:rPr>
          <w:spacing w:val="-90"/>
        </w:rPr>
      </w:r>
      <w:r>
        <w:rPr/>
        <w:t>情况是否存在重大不确定性得出结论。如果我们得出结论认为存在重大不</w:t>
      </w:r>
      <w:r>
        <w:rPr>
          <w:spacing w:val="-90"/>
        </w:rPr>
        <w:t> </w:t>
      </w:r>
      <w:r>
        <w:rPr/>
        <w:t>确定性，审计准则要求我们在审计报告中提请报表使用者注意财务报表中</w:t>
      </w:r>
      <w:r>
        <w:rPr>
          <w:spacing w:val="-90"/>
        </w:rPr>
        <w:t> </w:t>
      </w:r>
      <w:r>
        <w:rPr/>
        <w:t>的相关披露；如果披露不充分，我们应当发表非无保留意见。我们的结论</w:t>
      </w:r>
      <w:r>
        <w:rPr>
          <w:spacing w:val="-90"/>
        </w:rPr>
        <w:t> </w:t>
      </w:r>
      <w:r>
        <w:rPr/>
        <w:t>基于截至审计报告日可获得的信息。然而，未来的事项或情况可能导致中</w:t>
      </w:r>
      <w:r>
        <w:rPr>
          <w:spacing w:val="-90"/>
        </w:rPr>
        <w:t> </w:t>
      </w:r>
      <w:r>
        <w:rPr/>
        <w:t>国长城不能持续经营。</w:t>
      </w:r>
    </w:p>
    <w:p>
      <w:pPr>
        <w:pStyle w:val="Heading3"/>
        <w:spacing w:line="247" w:lineRule="auto" w:before="49"/>
        <w:ind w:right="1433"/>
        <w:jc w:val="both"/>
      </w:pPr>
      <w:r>
        <w:rPr>
          <w:spacing w:val="-3"/>
          <w:w w:val="99"/>
        </w:rPr>
        <w:t>（</w:t>
      </w:r>
      <w:r>
        <w:rPr>
          <w:rFonts w:ascii="Times New Roman" w:hAnsi="Times New Roman" w:cs="Times New Roman" w:eastAsia="Times New Roman" w:hint="default"/>
          <w:spacing w:val="-3"/>
          <w:w w:val="99"/>
        </w:rPr>
        <w:t>5</w:t>
      </w:r>
      <w:r>
        <w:rPr>
          <w:spacing w:val="-3"/>
          <w:w w:val="99"/>
        </w:rPr>
        <w:t>）评价财务报表的总体列报、结构和内容（包括披露），并评价财</w:t>
      </w:r>
      <w:r>
        <w:rPr>
          <w:spacing w:val="2"/>
          <w:w w:val="99"/>
        </w:rPr>
        <w:t> </w:t>
      </w:r>
      <w:r>
        <w:rPr/>
        <w:t>务报表是否公允反映相关交易和事项。</w:t>
      </w:r>
    </w:p>
    <w:p>
      <w:pPr>
        <w:pStyle w:val="Heading3"/>
        <w:spacing w:line="254" w:lineRule="auto" w:before="63"/>
        <w:ind w:right="0"/>
        <w:jc w:val="left"/>
      </w:pPr>
      <w:r>
        <w:rPr>
          <w:spacing w:val="-3"/>
        </w:rPr>
        <w:t>（</w:t>
      </w:r>
      <w:r>
        <w:rPr>
          <w:rFonts w:ascii="Times New Roman" w:hAnsi="Times New Roman" w:cs="Times New Roman" w:eastAsia="Times New Roman" w:hint="default"/>
          <w:spacing w:val="-3"/>
        </w:rPr>
        <w:t>6</w:t>
      </w:r>
      <w:r>
        <w:rPr>
          <w:spacing w:val="-3"/>
        </w:rPr>
        <w:t>）就中国长城中实体或业务活动的财务信息获取充分、适当的审计</w:t>
      </w:r>
      <w:r>
        <w:rPr>
          <w:w w:val="99"/>
        </w:rPr>
        <w:t> </w:t>
      </w:r>
      <w:r>
        <w:rPr>
          <w:spacing w:val="-3"/>
        </w:rPr>
        <w:t>证据，以对财务报表发表审计意见。我们负责指导、监督和执行集团审计，</w:t>
      </w:r>
      <w:r>
        <w:rPr>
          <w:spacing w:val="-127"/>
        </w:rPr>
        <w:t> </w:t>
      </w:r>
      <w:r>
        <w:rPr>
          <w:spacing w:val="-127"/>
        </w:rPr>
      </w:r>
      <w:r>
        <w:rPr/>
        <w:t>并对审计意见承担全部责任。</w:t>
      </w:r>
    </w:p>
    <w:p>
      <w:pPr>
        <w:pStyle w:val="Heading3"/>
        <w:spacing w:line="261" w:lineRule="auto" w:before="54"/>
        <w:ind w:right="1434"/>
        <w:jc w:val="both"/>
      </w:pPr>
      <w:r>
        <w:rPr/>
        <w:t>我们与治理层就计划的审计范围、时间安排和重大审计发现等事项进</w:t>
      </w:r>
      <w:r>
        <w:rPr>
          <w:spacing w:val="2"/>
          <w:w w:val="99"/>
        </w:rPr>
        <w:t> </w:t>
      </w:r>
      <w:r>
        <w:rPr/>
        <w:t>行沟通，包括沟通我们在审计中识别出的值得关注的内部控制缺陷。</w:t>
      </w:r>
    </w:p>
    <w:p>
      <w:pPr>
        <w:pStyle w:val="Heading3"/>
        <w:spacing w:line="261" w:lineRule="auto" w:before="46"/>
        <w:ind w:right="1434"/>
        <w:jc w:val="both"/>
      </w:pPr>
      <w:r>
        <w:rPr/>
        <w:t>我们还就已遵守与独立性相关的职业道德要求向治理层提供声明，并</w:t>
      </w:r>
      <w:r>
        <w:rPr>
          <w:spacing w:val="2"/>
          <w:w w:val="99"/>
        </w:rPr>
        <w:t> </w:t>
      </w:r>
      <w:r>
        <w:rPr/>
        <w:t>与治理层沟通可能被合理认为影响我们独立性的所有关系和其他事项，以</w:t>
      </w:r>
      <w:r>
        <w:rPr>
          <w:spacing w:val="-90"/>
        </w:rPr>
        <w:t> </w:t>
      </w:r>
      <w:r>
        <w:rPr>
          <w:spacing w:val="-11"/>
          <w:w w:val="99"/>
        </w:rPr>
        <w:t>及相关的防范措施（如适用）。</w:t>
      </w:r>
      <w:r>
        <w:rPr>
          <w:spacing w:val="-11"/>
        </w:rPr>
      </w:r>
    </w:p>
    <w:p>
      <w:pPr>
        <w:spacing w:after="0" w:line="261" w:lineRule="auto"/>
        <w:jc w:val="both"/>
        <w:sectPr>
          <w:pgSz w:w="11910" w:h="16840"/>
          <w:pgMar w:header="679" w:footer="983" w:top="1620" w:bottom="1180" w:left="1120" w:right="0"/>
        </w:sect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3"/>
          <w:szCs w:val="23"/>
        </w:rPr>
      </w:pPr>
    </w:p>
    <w:p>
      <w:pPr>
        <w:pStyle w:val="Heading3"/>
        <w:spacing w:line="261" w:lineRule="auto" w:before="13"/>
        <w:ind w:right="1434"/>
        <w:jc w:val="both"/>
      </w:pPr>
      <w:r>
        <w:rPr/>
        <w:t>从与治理层沟通过的事项中，我们确定哪些事项对本期财务报表审计</w:t>
      </w:r>
      <w:r>
        <w:rPr>
          <w:spacing w:val="2"/>
          <w:w w:val="99"/>
        </w:rPr>
        <w:t> </w:t>
      </w:r>
      <w:r>
        <w:rPr/>
        <w:t>最为重要，因而构成关键审计事项。我们在审计报告中描述这些事项，除</w:t>
      </w:r>
      <w:r>
        <w:rPr>
          <w:spacing w:val="-90"/>
        </w:rPr>
        <w:t> </w:t>
      </w:r>
      <w:r>
        <w:rPr/>
        <w:t>非法律法规禁止公开披露这些事项，或在极少数情形下，如果合理预期在</w:t>
      </w:r>
      <w:r>
        <w:rPr>
          <w:spacing w:val="-90"/>
        </w:rPr>
        <w:t> </w:t>
      </w:r>
      <w:r>
        <w:rPr/>
        <w:t>审计报告中沟通某事项造成的负面后果超过在公众利益方面产生的益处，</w:t>
      </w:r>
      <w:r>
        <w:rPr>
          <w:spacing w:val="-90"/>
        </w:rPr>
        <w:t> </w:t>
      </w:r>
      <w:r>
        <w:rPr/>
        <w:t>我们确定不应在审计报告中沟通该事项。</w:t>
      </w: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5"/>
        <w:rPr>
          <w:rFonts w:ascii="宋体" w:hAnsi="宋体" w:cs="宋体" w:eastAsia="宋体" w:hint="default"/>
          <w:sz w:val="30"/>
          <w:szCs w:val="30"/>
        </w:rPr>
      </w:pPr>
    </w:p>
    <w:p>
      <w:pPr>
        <w:pStyle w:val="Heading2"/>
        <w:tabs>
          <w:tab w:pos="4715" w:val="left" w:leader="none"/>
        </w:tabs>
        <w:spacing w:line="240" w:lineRule="auto"/>
        <w:ind w:left="594" w:right="0"/>
        <w:jc w:val="left"/>
        <w:rPr>
          <w:b w:val="0"/>
          <w:bCs w:val="0"/>
        </w:rPr>
      </w:pPr>
      <w:r>
        <w:rPr>
          <w:w w:val="95"/>
        </w:rPr>
        <w:t>立信会计师事务所</w:t>
        <w:tab/>
      </w:r>
      <w:r>
        <w:rPr/>
        <w:t>中国注册会计师：许培梅</w:t>
      </w:r>
      <w:r>
        <w:rPr>
          <w:b w:val="0"/>
          <w:bCs w:val="0"/>
        </w:rPr>
      </w:r>
    </w:p>
    <w:p>
      <w:pPr>
        <w:pStyle w:val="Heading2"/>
        <w:spacing w:line="240" w:lineRule="auto" w:before="37"/>
        <w:ind w:left="594" w:right="0"/>
        <w:jc w:val="left"/>
        <w:rPr>
          <w:b w:val="0"/>
          <w:bCs w:val="0"/>
        </w:rPr>
      </w:pPr>
      <w:r>
        <w:rPr>
          <w:spacing w:val="1"/>
          <w:w w:val="99"/>
        </w:rPr>
        <w:t>（特殊普通合伙</w:t>
      </w:r>
      <w:r>
        <w:rPr>
          <w:spacing w:val="-138"/>
          <w:w w:val="99"/>
        </w:rPr>
        <w:t>）</w:t>
      </w:r>
      <w:r>
        <w:rPr>
          <w:spacing w:val="1"/>
          <w:w w:val="99"/>
        </w:rPr>
        <w:t>（项目合伙人）</w:t>
      </w:r>
      <w:r>
        <w:rPr>
          <w:b w:val="0"/>
          <w:bCs w:val="0"/>
        </w:rPr>
      </w:r>
    </w:p>
    <w:p>
      <w:pPr>
        <w:spacing w:line="240" w:lineRule="auto" w:before="0"/>
        <w:rPr>
          <w:rFonts w:ascii="宋体" w:hAnsi="宋体" w:cs="宋体" w:eastAsia="宋体" w:hint="default"/>
          <w:b/>
          <w:bCs/>
          <w:sz w:val="28"/>
          <w:szCs w:val="28"/>
        </w:rPr>
      </w:pPr>
    </w:p>
    <w:p>
      <w:pPr>
        <w:spacing w:line="240" w:lineRule="auto" w:before="1"/>
        <w:rPr>
          <w:rFonts w:ascii="宋体" w:hAnsi="宋体" w:cs="宋体" w:eastAsia="宋体" w:hint="default"/>
          <w:b/>
          <w:bCs/>
          <w:sz w:val="30"/>
          <w:szCs w:val="30"/>
        </w:rPr>
      </w:pPr>
    </w:p>
    <w:p>
      <w:pPr>
        <w:pStyle w:val="Heading2"/>
        <w:spacing w:line="240" w:lineRule="auto"/>
        <w:ind w:left="4715" w:right="0"/>
        <w:jc w:val="left"/>
        <w:rPr>
          <w:b w:val="0"/>
          <w:bCs w:val="0"/>
        </w:rPr>
      </w:pPr>
      <w:r>
        <w:rPr/>
        <w:t>中国注册会计师：顾欣</w:t>
      </w:r>
      <w:r>
        <w:rPr>
          <w:b w:val="0"/>
          <w:bCs w:val="0"/>
        </w:rPr>
      </w:r>
    </w:p>
    <w:p>
      <w:pPr>
        <w:spacing w:line="240" w:lineRule="auto" w:before="0"/>
        <w:rPr>
          <w:rFonts w:ascii="宋体" w:hAnsi="宋体" w:cs="宋体" w:eastAsia="宋体" w:hint="default"/>
          <w:b/>
          <w:bCs/>
          <w:sz w:val="28"/>
          <w:szCs w:val="28"/>
        </w:rPr>
      </w:pPr>
    </w:p>
    <w:p>
      <w:pPr>
        <w:spacing w:line="240" w:lineRule="auto" w:before="1"/>
        <w:rPr>
          <w:rFonts w:ascii="宋体" w:hAnsi="宋体" w:cs="宋体" w:eastAsia="宋体" w:hint="default"/>
          <w:b/>
          <w:bCs/>
          <w:sz w:val="30"/>
          <w:szCs w:val="30"/>
        </w:rPr>
      </w:pPr>
    </w:p>
    <w:p>
      <w:pPr>
        <w:pStyle w:val="Heading2"/>
        <w:tabs>
          <w:tab w:pos="4997" w:val="left" w:leader="none"/>
        </w:tabs>
        <w:spacing w:line="240" w:lineRule="auto"/>
        <w:ind w:left="1017" w:right="0"/>
        <w:jc w:val="left"/>
        <w:rPr>
          <w:b w:val="0"/>
          <w:bCs w:val="0"/>
        </w:rPr>
      </w:pPr>
      <w:r>
        <w:rPr>
          <w:w w:val="95"/>
        </w:rPr>
        <w:t>中国</w:t>
      </w:r>
      <w:r>
        <w:rPr>
          <w:rFonts w:ascii="Times New Roman" w:hAnsi="Times New Roman" w:cs="Times New Roman" w:eastAsia="Times New Roman" w:hint="default"/>
          <w:w w:val="95"/>
        </w:rPr>
        <w:t>•</w:t>
      </w:r>
      <w:r>
        <w:rPr>
          <w:w w:val="95"/>
        </w:rPr>
        <w:t>上海</w:t>
        <w:tab/>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w:t>
      </w:r>
      <w:r>
        <w:rPr>
          <w:spacing w:val="-73"/>
        </w:rPr>
        <w:t> </w:t>
      </w:r>
      <w:r>
        <w:rPr>
          <w:rFonts w:ascii="Times New Roman" w:hAnsi="Times New Roman" w:cs="Times New Roman" w:eastAsia="Times New Roman" w:hint="default"/>
        </w:rPr>
        <w:t>4</w:t>
      </w:r>
      <w:r>
        <w:rPr>
          <w:rFonts w:ascii="Times New Roman" w:hAnsi="Times New Roman" w:cs="Times New Roman" w:eastAsia="Times New Roman" w:hint="default"/>
          <w:spacing w:val="-2"/>
        </w:rPr>
        <w:t> </w:t>
      </w:r>
      <w:r>
        <w:rPr/>
        <w:t>月</w:t>
      </w:r>
      <w:r>
        <w:rPr>
          <w:spacing w:val="-72"/>
        </w:rPr>
        <w:t> </w:t>
      </w:r>
      <w:r>
        <w:rPr>
          <w:rFonts w:ascii="Times New Roman" w:hAnsi="Times New Roman" w:cs="Times New Roman" w:eastAsia="Times New Roman" w:hint="default"/>
        </w:rPr>
        <w:t>29</w:t>
      </w:r>
      <w:r>
        <w:rPr>
          <w:rFonts w:ascii="Times New Roman" w:hAnsi="Times New Roman" w:cs="Times New Roman" w:eastAsia="Times New Roman" w:hint="default"/>
          <w:spacing w:val="-1"/>
        </w:rPr>
        <w:t> </w:t>
      </w:r>
      <w:r>
        <w:rPr/>
        <w:t>日</w:t>
      </w:r>
      <w:r>
        <w:rPr>
          <w:b w:val="0"/>
          <w:bCs w:val="0"/>
        </w:rPr>
      </w:r>
    </w:p>
    <w:p>
      <w:pPr>
        <w:spacing w:after="0" w:line="240" w:lineRule="auto"/>
        <w:jc w:val="left"/>
        <w:sectPr>
          <w:pgSz w:w="11910" w:h="16840"/>
          <w:pgMar w:header="679" w:footer="983" w:top="1620" w:bottom="1180" w:left="1120" w:right="0"/>
        </w:sectPr>
      </w:pPr>
    </w:p>
    <w:p>
      <w:pPr>
        <w:spacing w:before="32"/>
        <w:ind w:left="2637" w:right="4214" w:firstLine="0"/>
        <w:jc w:val="center"/>
        <w:rPr>
          <w:rFonts w:ascii="宋体" w:hAnsi="宋体" w:cs="宋体" w:eastAsia="宋体" w:hint="default"/>
          <w:sz w:val="18"/>
          <w:szCs w:val="18"/>
        </w:rPr>
      </w:pPr>
      <w:r>
        <w:rPr>
          <w:rFonts w:ascii="宋体" w:hAnsi="宋体" w:cs="宋体" w:eastAsia="宋体" w:hint="default"/>
          <w:b/>
          <w:bCs/>
          <w:sz w:val="18"/>
          <w:szCs w:val="18"/>
        </w:rPr>
        <w:t>合并资产负债表</w:t>
      </w:r>
      <w:r>
        <w:rPr>
          <w:rFonts w:ascii="宋体" w:hAnsi="宋体" w:cs="宋体" w:eastAsia="宋体" w:hint="default"/>
          <w:sz w:val="18"/>
          <w:szCs w:val="18"/>
        </w:rPr>
      </w:r>
    </w:p>
    <w:p>
      <w:pPr>
        <w:spacing w:before="38"/>
        <w:ind w:left="2637" w:right="4214" w:firstLine="0"/>
        <w:jc w:val="center"/>
        <w:rPr>
          <w:rFonts w:ascii="宋体" w:hAnsi="宋体" w:cs="宋体" w:eastAsia="宋体" w:hint="default"/>
          <w:sz w:val="18"/>
          <w:szCs w:val="18"/>
        </w:rPr>
      </w:pPr>
      <w:r>
        <w:rPr>
          <w:rFonts w:ascii="Times New Roman" w:hAnsi="Times New Roman" w:cs="Times New Roman" w:eastAsia="Times New Roman" w:hint="default"/>
          <w:b/>
          <w:bCs/>
          <w:sz w:val="18"/>
          <w:szCs w:val="18"/>
        </w:rPr>
        <w:t>2018</w:t>
      </w:r>
      <w:r>
        <w:rPr>
          <w:rFonts w:ascii="宋体" w:hAnsi="宋体" w:cs="宋体" w:eastAsia="宋体" w:hint="default"/>
          <w:b/>
          <w:bCs/>
          <w:sz w:val="18"/>
          <w:szCs w:val="18"/>
        </w:rPr>
        <w:t>年</w:t>
      </w:r>
      <w:r>
        <w:rPr>
          <w:rFonts w:ascii="Times New Roman" w:hAnsi="Times New Roman" w:cs="Times New Roman" w:eastAsia="Times New Roman" w:hint="default"/>
          <w:b/>
          <w:bCs/>
          <w:sz w:val="18"/>
          <w:szCs w:val="18"/>
        </w:rPr>
        <w:t>12</w:t>
      </w:r>
      <w:r>
        <w:rPr>
          <w:rFonts w:ascii="宋体" w:hAnsi="宋体" w:cs="宋体" w:eastAsia="宋体" w:hint="default"/>
          <w:b/>
          <w:bCs/>
          <w:sz w:val="18"/>
          <w:szCs w:val="18"/>
        </w:rPr>
        <w:t>月</w:t>
      </w:r>
      <w:r>
        <w:rPr>
          <w:rFonts w:ascii="Times New Roman" w:hAnsi="Times New Roman" w:cs="Times New Roman" w:eastAsia="Times New Roman" w:hint="default"/>
          <w:b/>
          <w:bCs/>
          <w:sz w:val="18"/>
          <w:szCs w:val="18"/>
        </w:rPr>
        <w:t>31</w:t>
      </w:r>
      <w:r>
        <w:rPr>
          <w:rFonts w:ascii="宋体" w:hAnsi="宋体" w:cs="宋体" w:eastAsia="宋体" w:hint="default"/>
          <w:b/>
          <w:bCs/>
          <w:sz w:val="18"/>
          <w:szCs w:val="18"/>
        </w:rPr>
        <w:t>日</w:t>
      </w:r>
      <w:r>
        <w:rPr>
          <w:rFonts w:ascii="宋体" w:hAnsi="宋体" w:cs="宋体" w:eastAsia="宋体" w:hint="default"/>
          <w:sz w:val="18"/>
          <w:szCs w:val="18"/>
        </w:rPr>
      </w:r>
    </w:p>
    <w:p>
      <w:pPr>
        <w:spacing w:before="71"/>
        <w:ind w:left="2637" w:right="4214" w:firstLine="0"/>
        <w:jc w:val="center"/>
        <w:rPr>
          <w:rFonts w:ascii="宋体" w:hAnsi="宋体" w:cs="宋体" w:eastAsia="宋体" w:hint="default"/>
          <w:sz w:val="18"/>
          <w:szCs w:val="18"/>
        </w:rPr>
      </w:pPr>
      <w:r>
        <w:rPr>
          <w:rFonts w:ascii="宋体" w:hAnsi="宋体" w:cs="宋体" w:eastAsia="宋体" w:hint="default"/>
          <w:b/>
          <w:bCs/>
          <w:sz w:val="18"/>
          <w:szCs w:val="18"/>
        </w:rPr>
        <w:t>（除特别注明外，金额单位均为人民币元）</w:t>
      </w:r>
      <w:r>
        <w:rPr>
          <w:rFonts w:ascii="宋体" w:hAnsi="宋体" w:cs="宋体" w:eastAsia="宋体" w:hint="default"/>
          <w:sz w:val="18"/>
          <w:szCs w:val="18"/>
        </w:rPr>
      </w:r>
    </w:p>
    <w:p>
      <w:pPr>
        <w:spacing w:line="240" w:lineRule="auto" w:before="13"/>
        <w:rPr>
          <w:rFonts w:ascii="宋体" w:hAnsi="宋体" w:cs="宋体" w:eastAsia="宋体" w:hint="default"/>
          <w:b/>
          <w:bCs/>
          <w:sz w:val="16"/>
          <w:szCs w:val="16"/>
        </w:rPr>
      </w:pPr>
    </w:p>
    <w:tbl>
      <w:tblPr>
        <w:tblW w:w="0" w:type="auto"/>
        <w:jc w:val="left"/>
        <w:tblInd w:w="104" w:type="dxa"/>
        <w:tblLayout w:type="fixed"/>
        <w:tblCellMar>
          <w:top w:w="0" w:type="dxa"/>
          <w:left w:w="0" w:type="dxa"/>
          <w:bottom w:w="0" w:type="dxa"/>
          <w:right w:w="0" w:type="dxa"/>
        </w:tblCellMar>
        <w:tblLook w:val="01E0"/>
      </w:tblPr>
      <w:tblGrid>
        <w:gridCol w:w="4361"/>
        <w:gridCol w:w="850"/>
        <w:gridCol w:w="1700"/>
        <w:gridCol w:w="1618"/>
      </w:tblGrid>
      <w:tr>
        <w:trPr>
          <w:trHeight w:val="31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资产</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附注五</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484"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444" w:right="0"/>
              <w:jc w:val="left"/>
              <w:rPr>
                <w:rFonts w:ascii="宋体" w:hAnsi="宋体" w:cs="宋体" w:eastAsia="宋体" w:hint="default"/>
                <w:sz w:val="18"/>
                <w:szCs w:val="18"/>
              </w:rPr>
            </w:pPr>
            <w:r>
              <w:rPr>
                <w:rFonts w:ascii="宋体" w:hAnsi="宋体" w:cs="宋体" w:eastAsia="宋体" w:hint="default"/>
                <w:sz w:val="18"/>
                <w:szCs w:val="18"/>
              </w:rPr>
              <w:t>年初余额</w:t>
            </w:r>
          </w:p>
        </w:tc>
      </w:tr>
      <w:tr>
        <w:trPr>
          <w:trHeight w:val="311"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103"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850"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618"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（一）</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1"/>
              <w:jc w:val="right"/>
              <w:rPr>
                <w:rFonts w:ascii="Times New Roman" w:hAnsi="Times New Roman" w:cs="Times New Roman" w:eastAsia="Times New Roman" w:hint="default"/>
                <w:sz w:val="18"/>
                <w:szCs w:val="18"/>
              </w:rPr>
            </w:pPr>
            <w:r>
              <w:rPr>
                <w:rFonts w:ascii="Times New Roman"/>
                <w:spacing w:val="-1"/>
                <w:sz w:val="18"/>
              </w:rPr>
              <w:t>3,376,391,277.69</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1"/>
              <w:jc w:val="right"/>
              <w:rPr>
                <w:rFonts w:ascii="Times New Roman" w:hAnsi="Times New Roman" w:cs="Times New Roman" w:eastAsia="Times New Roman" w:hint="default"/>
                <w:sz w:val="18"/>
                <w:szCs w:val="18"/>
              </w:rPr>
            </w:pPr>
            <w:r>
              <w:rPr>
                <w:rFonts w:ascii="Times New Roman"/>
                <w:spacing w:val="-1"/>
                <w:sz w:val="18"/>
              </w:rPr>
              <w:t>3,002,427,102.36</w:t>
            </w:r>
          </w:p>
        </w:tc>
      </w:tr>
      <w:tr>
        <w:trPr>
          <w:trHeight w:val="31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850"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618" w:type="dxa"/>
            <w:tcBorders>
              <w:top w:val="single" w:sz="4" w:space="0" w:color="000000"/>
              <w:left w:val="single" w:sz="4" w:space="0" w:color="000000"/>
              <w:bottom w:val="single" w:sz="4" w:space="0" w:color="000000"/>
              <w:right w:val="single" w:sz="4" w:space="0" w:color="000000"/>
            </w:tcBorders>
          </w:tcPr>
          <w:p>
            <w:pPr/>
          </w:p>
        </w:tc>
      </w:tr>
      <w:tr>
        <w:trPr>
          <w:trHeight w:val="311"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103"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850"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618"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以公允价值计量且其变动计入当期损益的金融资产</w:t>
            </w:r>
          </w:p>
        </w:tc>
        <w:tc>
          <w:tcPr>
            <w:tcW w:w="850"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618"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（二）</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0"/>
              <w:jc w:val="right"/>
              <w:rPr>
                <w:rFonts w:ascii="Times New Roman" w:hAnsi="Times New Roman" w:cs="Times New Roman" w:eastAsia="Times New Roman" w:hint="default"/>
                <w:sz w:val="18"/>
                <w:szCs w:val="18"/>
              </w:rPr>
            </w:pPr>
            <w:r>
              <w:rPr>
                <w:rFonts w:ascii="Times New Roman"/>
                <w:spacing w:val="-1"/>
                <w:sz w:val="18"/>
              </w:rPr>
              <w:t>2,731,217.74</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0"/>
              <w:jc w:val="right"/>
              <w:rPr>
                <w:rFonts w:ascii="Times New Roman" w:hAnsi="Times New Roman" w:cs="Times New Roman" w:eastAsia="Times New Roman" w:hint="default"/>
                <w:sz w:val="18"/>
                <w:szCs w:val="18"/>
              </w:rPr>
            </w:pPr>
            <w:r>
              <w:rPr>
                <w:rFonts w:ascii="Times New Roman"/>
                <w:spacing w:val="-1"/>
                <w:sz w:val="18"/>
              </w:rPr>
              <w:t>2,039,548.65</w:t>
            </w:r>
          </w:p>
        </w:tc>
      </w:tr>
      <w:tr>
        <w:trPr>
          <w:trHeight w:val="311"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103" w:right="0"/>
              <w:jc w:val="left"/>
              <w:rPr>
                <w:rFonts w:ascii="宋体" w:hAnsi="宋体" w:cs="宋体" w:eastAsia="宋体" w:hint="default"/>
                <w:sz w:val="18"/>
                <w:szCs w:val="18"/>
              </w:rPr>
            </w:pPr>
            <w:r>
              <w:rPr>
                <w:rFonts w:ascii="宋体" w:hAnsi="宋体" w:cs="宋体" w:eastAsia="宋体" w:hint="default"/>
                <w:sz w:val="18"/>
                <w:szCs w:val="18"/>
              </w:rPr>
              <w:t>应收票据及应收账款</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0"/>
              <w:jc w:val="center"/>
              <w:rPr>
                <w:rFonts w:ascii="宋体" w:hAnsi="宋体" w:cs="宋体" w:eastAsia="宋体" w:hint="default"/>
                <w:sz w:val="18"/>
                <w:szCs w:val="18"/>
              </w:rPr>
            </w:pPr>
            <w:r>
              <w:rPr>
                <w:rFonts w:ascii="宋体" w:hAnsi="宋体" w:cs="宋体" w:eastAsia="宋体" w:hint="default"/>
                <w:sz w:val="18"/>
                <w:szCs w:val="18"/>
              </w:rPr>
              <w:t>（三）</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3,722,140,083.37</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2,861,245,505.21</w:t>
            </w:r>
          </w:p>
        </w:tc>
      </w:tr>
      <w:tr>
        <w:trPr>
          <w:trHeight w:val="31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（四）</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99"/>
              <w:jc w:val="right"/>
              <w:rPr>
                <w:rFonts w:ascii="Times New Roman" w:hAnsi="Times New Roman" w:cs="Times New Roman" w:eastAsia="Times New Roman" w:hint="default"/>
                <w:sz w:val="18"/>
                <w:szCs w:val="18"/>
              </w:rPr>
            </w:pPr>
            <w:r>
              <w:rPr>
                <w:rFonts w:ascii="Times New Roman"/>
                <w:spacing w:val="-1"/>
                <w:sz w:val="18"/>
              </w:rPr>
              <w:t>218,555,146.95</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0"/>
              <w:jc w:val="right"/>
              <w:rPr>
                <w:rFonts w:ascii="Times New Roman" w:hAnsi="Times New Roman" w:cs="Times New Roman" w:eastAsia="Times New Roman" w:hint="default"/>
                <w:sz w:val="18"/>
                <w:szCs w:val="18"/>
              </w:rPr>
            </w:pPr>
            <w:r>
              <w:rPr>
                <w:rFonts w:ascii="Times New Roman"/>
                <w:spacing w:val="-1"/>
                <w:sz w:val="18"/>
              </w:rPr>
              <w:t>281,270,183.88</w:t>
            </w:r>
          </w:p>
        </w:tc>
      </w:tr>
      <w:tr>
        <w:trPr>
          <w:trHeight w:val="31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850"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618" w:type="dxa"/>
            <w:tcBorders>
              <w:top w:val="single" w:sz="4" w:space="0" w:color="000000"/>
              <w:left w:val="single" w:sz="4" w:space="0" w:color="000000"/>
              <w:bottom w:val="single" w:sz="4" w:space="0" w:color="000000"/>
              <w:right w:val="single" w:sz="4" w:space="0" w:color="000000"/>
            </w:tcBorders>
          </w:tcPr>
          <w:p>
            <w:pPr/>
          </w:p>
        </w:tc>
      </w:tr>
      <w:tr>
        <w:trPr>
          <w:trHeight w:val="311"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103"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850"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618"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应收分保合同准备金</w:t>
            </w:r>
          </w:p>
        </w:tc>
        <w:tc>
          <w:tcPr>
            <w:tcW w:w="850"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618"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（五）</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0"/>
              <w:jc w:val="right"/>
              <w:rPr>
                <w:rFonts w:ascii="Times New Roman" w:hAnsi="Times New Roman" w:cs="Times New Roman" w:eastAsia="Times New Roman" w:hint="default"/>
                <w:sz w:val="18"/>
                <w:szCs w:val="18"/>
              </w:rPr>
            </w:pPr>
            <w:r>
              <w:rPr>
                <w:rFonts w:ascii="Times New Roman"/>
                <w:spacing w:val="-1"/>
                <w:sz w:val="18"/>
              </w:rPr>
              <w:t>63,984,192.12</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0"/>
              <w:jc w:val="right"/>
              <w:rPr>
                <w:rFonts w:ascii="Times New Roman" w:hAnsi="Times New Roman" w:cs="Times New Roman" w:eastAsia="Times New Roman" w:hint="default"/>
                <w:sz w:val="18"/>
                <w:szCs w:val="18"/>
              </w:rPr>
            </w:pPr>
            <w:r>
              <w:rPr>
                <w:rFonts w:ascii="Times New Roman"/>
                <w:spacing w:val="-1"/>
                <w:sz w:val="18"/>
              </w:rPr>
              <w:t>85,112,283.41</w:t>
            </w:r>
          </w:p>
        </w:tc>
      </w:tr>
      <w:tr>
        <w:trPr>
          <w:trHeight w:val="311"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103"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850"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618"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（六）</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1"/>
              <w:jc w:val="right"/>
              <w:rPr>
                <w:rFonts w:ascii="Times New Roman" w:hAnsi="Times New Roman" w:cs="Times New Roman" w:eastAsia="Times New Roman" w:hint="default"/>
                <w:sz w:val="18"/>
                <w:szCs w:val="18"/>
              </w:rPr>
            </w:pPr>
            <w:r>
              <w:rPr>
                <w:rFonts w:ascii="Times New Roman"/>
                <w:spacing w:val="-1"/>
                <w:sz w:val="18"/>
              </w:rPr>
              <w:t>1,984,172,857.87</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1"/>
              <w:jc w:val="right"/>
              <w:rPr>
                <w:rFonts w:ascii="Times New Roman" w:hAnsi="Times New Roman" w:cs="Times New Roman" w:eastAsia="Times New Roman" w:hint="default"/>
                <w:sz w:val="18"/>
                <w:szCs w:val="18"/>
              </w:rPr>
            </w:pPr>
            <w:r>
              <w:rPr>
                <w:rFonts w:ascii="Times New Roman"/>
                <w:spacing w:val="-1"/>
                <w:sz w:val="18"/>
              </w:rPr>
              <w:t>1,629,894,970.19</w:t>
            </w:r>
          </w:p>
        </w:tc>
      </w:tr>
      <w:tr>
        <w:trPr>
          <w:trHeight w:val="31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持有待售资产</w:t>
            </w:r>
          </w:p>
        </w:tc>
        <w:tc>
          <w:tcPr>
            <w:tcW w:w="850"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618" w:type="dxa"/>
            <w:tcBorders>
              <w:top w:val="single" w:sz="4" w:space="0" w:color="000000"/>
              <w:left w:val="single" w:sz="4" w:space="0" w:color="000000"/>
              <w:bottom w:val="single" w:sz="4" w:space="0" w:color="000000"/>
              <w:right w:val="single" w:sz="4" w:space="0" w:color="000000"/>
            </w:tcBorders>
          </w:tcPr>
          <w:p>
            <w:pPr/>
          </w:p>
        </w:tc>
      </w:tr>
      <w:tr>
        <w:trPr>
          <w:trHeight w:val="311"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103"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850"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618"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（七）</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0"/>
              <w:jc w:val="right"/>
              <w:rPr>
                <w:rFonts w:ascii="Times New Roman" w:hAnsi="Times New Roman" w:cs="Times New Roman" w:eastAsia="Times New Roman" w:hint="default"/>
                <w:sz w:val="18"/>
                <w:szCs w:val="18"/>
              </w:rPr>
            </w:pPr>
            <w:r>
              <w:rPr>
                <w:rFonts w:ascii="Times New Roman"/>
                <w:spacing w:val="-1"/>
                <w:sz w:val="18"/>
              </w:rPr>
              <w:t>93,721,225.44</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0"/>
              <w:jc w:val="right"/>
              <w:rPr>
                <w:rFonts w:ascii="Times New Roman" w:hAnsi="Times New Roman" w:cs="Times New Roman" w:eastAsia="Times New Roman" w:hint="default"/>
                <w:sz w:val="18"/>
                <w:szCs w:val="18"/>
              </w:rPr>
            </w:pPr>
            <w:r>
              <w:rPr>
                <w:rFonts w:ascii="Times New Roman"/>
                <w:spacing w:val="-1"/>
                <w:sz w:val="18"/>
              </w:rPr>
              <w:t>61,789,435.83</w:t>
            </w:r>
          </w:p>
        </w:tc>
      </w:tr>
      <w:tr>
        <w:trPr>
          <w:trHeight w:val="31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b/>
                <w:bCs/>
                <w:sz w:val="18"/>
                <w:szCs w:val="18"/>
              </w:rPr>
              <w:t>流动资产合计</w:t>
            </w:r>
            <w:r>
              <w:rPr>
                <w:rFonts w:ascii="宋体" w:hAnsi="宋体" w:cs="宋体" w:eastAsia="宋体" w:hint="default"/>
                <w:sz w:val="18"/>
                <w:szCs w:val="18"/>
              </w:rPr>
            </w:r>
          </w:p>
        </w:tc>
        <w:tc>
          <w:tcPr>
            <w:tcW w:w="850"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1"/>
              <w:jc w:val="right"/>
              <w:rPr>
                <w:rFonts w:ascii="Times New Roman" w:hAnsi="Times New Roman" w:cs="Times New Roman" w:eastAsia="Times New Roman" w:hint="default"/>
                <w:sz w:val="18"/>
                <w:szCs w:val="18"/>
              </w:rPr>
            </w:pPr>
            <w:r>
              <w:rPr>
                <w:rFonts w:ascii="Times New Roman"/>
                <w:spacing w:val="-1"/>
                <w:sz w:val="18"/>
              </w:rPr>
              <w:t>9,461,696,001.18</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1"/>
              <w:jc w:val="right"/>
              <w:rPr>
                <w:rFonts w:ascii="Times New Roman" w:hAnsi="Times New Roman" w:cs="Times New Roman" w:eastAsia="Times New Roman" w:hint="default"/>
                <w:sz w:val="18"/>
                <w:szCs w:val="18"/>
              </w:rPr>
            </w:pPr>
            <w:r>
              <w:rPr>
                <w:rFonts w:ascii="Times New Roman"/>
                <w:spacing w:val="-1"/>
                <w:sz w:val="18"/>
              </w:rPr>
              <w:t>7,923,779,029.53</w:t>
            </w:r>
          </w:p>
        </w:tc>
      </w:tr>
      <w:tr>
        <w:trPr>
          <w:trHeight w:val="311"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103"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850"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618"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发放贷款和垫款</w:t>
            </w:r>
          </w:p>
        </w:tc>
        <w:tc>
          <w:tcPr>
            <w:tcW w:w="850"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618"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（八）</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99"/>
              <w:jc w:val="right"/>
              <w:rPr>
                <w:rFonts w:ascii="Times New Roman" w:hAnsi="Times New Roman" w:cs="Times New Roman" w:eastAsia="Times New Roman" w:hint="default"/>
                <w:sz w:val="18"/>
                <w:szCs w:val="18"/>
              </w:rPr>
            </w:pPr>
            <w:r>
              <w:rPr>
                <w:rFonts w:ascii="Times New Roman"/>
                <w:spacing w:val="-1"/>
                <w:sz w:val="18"/>
              </w:rPr>
              <w:t>371,503,216.42</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1"/>
              <w:jc w:val="right"/>
              <w:rPr>
                <w:rFonts w:ascii="Times New Roman" w:hAnsi="Times New Roman" w:cs="Times New Roman" w:eastAsia="Times New Roman" w:hint="default"/>
                <w:sz w:val="18"/>
                <w:szCs w:val="18"/>
              </w:rPr>
            </w:pPr>
            <w:r>
              <w:rPr>
                <w:rFonts w:ascii="Times New Roman"/>
                <w:spacing w:val="-1"/>
                <w:sz w:val="18"/>
              </w:rPr>
              <w:t>1,865,922,030.69</w:t>
            </w:r>
          </w:p>
        </w:tc>
      </w:tr>
      <w:tr>
        <w:trPr>
          <w:trHeight w:val="311"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103"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850"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618"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（九）</w:t>
            </w:r>
          </w:p>
        </w:tc>
        <w:tc>
          <w:tcPr>
            <w:tcW w:w="1700" w:type="dxa"/>
            <w:tcBorders>
              <w:top w:val="single" w:sz="4" w:space="0" w:color="000000"/>
              <w:left w:val="single" w:sz="4" w:space="0" w:color="000000"/>
              <w:bottom w:val="single" w:sz="4" w:space="0" w:color="000000"/>
              <w:right w:val="single" w:sz="4" w:space="0" w:color="000000"/>
            </w:tcBorders>
          </w:tcPr>
          <w:p>
            <w:pP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99"/>
              <w:jc w:val="right"/>
              <w:rPr>
                <w:rFonts w:ascii="Times New Roman" w:hAnsi="Times New Roman" w:cs="Times New Roman" w:eastAsia="Times New Roman" w:hint="default"/>
                <w:sz w:val="18"/>
                <w:szCs w:val="18"/>
              </w:rPr>
            </w:pPr>
            <w:r>
              <w:rPr>
                <w:rFonts w:ascii="Times New Roman"/>
                <w:sz w:val="18"/>
              </w:rPr>
              <w:t>500,000.00</w:t>
            </w:r>
          </w:p>
        </w:tc>
      </w:tr>
      <w:tr>
        <w:trPr>
          <w:trHeight w:val="31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（十）</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99"/>
              <w:jc w:val="right"/>
              <w:rPr>
                <w:rFonts w:ascii="Times New Roman" w:hAnsi="Times New Roman" w:cs="Times New Roman" w:eastAsia="Times New Roman" w:hint="default"/>
                <w:sz w:val="18"/>
                <w:szCs w:val="18"/>
              </w:rPr>
            </w:pPr>
            <w:r>
              <w:rPr>
                <w:rFonts w:ascii="Times New Roman"/>
                <w:spacing w:val="-1"/>
                <w:sz w:val="18"/>
              </w:rPr>
              <w:t>309,387,196.78</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0"/>
              <w:jc w:val="right"/>
              <w:rPr>
                <w:rFonts w:ascii="Times New Roman" w:hAnsi="Times New Roman" w:cs="Times New Roman" w:eastAsia="Times New Roman" w:hint="default"/>
                <w:sz w:val="18"/>
                <w:szCs w:val="18"/>
              </w:rPr>
            </w:pPr>
            <w:r>
              <w:rPr>
                <w:rFonts w:ascii="Times New Roman"/>
                <w:spacing w:val="-1"/>
                <w:sz w:val="18"/>
              </w:rPr>
              <w:t>70,873,381.15</w:t>
            </w:r>
          </w:p>
        </w:tc>
      </w:tr>
      <w:tr>
        <w:trPr>
          <w:trHeight w:val="311"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103"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86" w:right="0"/>
              <w:jc w:val="center"/>
              <w:rPr>
                <w:rFonts w:ascii="宋体" w:hAnsi="宋体" w:cs="宋体" w:eastAsia="宋体" w:hint="default"/>
                <w:sz w:val="18"/>
                <w:szCs w:val="18"/>
              </w:rPr>
            </w:pPr>
            <w:r>
              <w:rPr>
                <w:rFonts w:ascii="宋体" w:hAnsi="宋体" w:cs="宋体" w:eastAsia="宋体" w:hint="default"/>
                <w:sz w:val="18"/>
                <w:szCs w:val="18"/>
              </w:rPr>
              <w:t>（十一）</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922,710,593.67</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963,243,503.44</w:t>
            </w:r>
          </w:p>
        </w:tc>
      </w:tr>
      <w:tr>
        <w:trPr>
          <w:trHeight w:val="31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86" w:right="0"/>
              <w:jc w:val="center"/>
              <w:rPr>
                <w:rFonts w:ascii="宋体" w:hAnsi="宋体" w:cs="宋体" w:eastAsia="宋体" w:hint="default"/>
                <w:sz w:val="18"/>
                <w:szCs w:val="18"/>
              </w:rPr>
            </w:pPr>
            <w:r>
              <w:rPr>
                <w:rFonts w:ascii="宋体" w:hAnsi="宋体" w:cs="宋体" w:eastAsia="宋体" w:hint="default"/>
                <w:sz w:val="18"/>
                <w:szCs w:val="18"/>
              </w:rPr>
              <w:t>（十二）</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1"/>
              <w:jc w:val="right"/>
              <w:rPr>
                <w:rFonts w:ascii="Times New Roman" w:hAnsi="Times New Roman" w:cs="Times New Roman" w:eastAsia="Times New Roman" w:hint="default"/>
                <w:sz w:val="18"/>
                <w:szCs w:val="18"/>
              </w:rPr>
            </w:pPr>
            <w:r>
              <w:rPr>
                <w:rFonts w:ascii="Times New Roman"/>
                <w:spacing w:val="-1"/>
                <w:sz w:val="18"/>
              </w:rPr>
              <w:t>1,919,589,092.85</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1"/>
              <w:jc w:val="right"/>
              <w:rPr>
                <w:rFonts w:ascii="Times New Roman" w:hAnsi="Times New Roman" w:cs="Times New Roman" w:eastAsia="Times New Roman" w:hint="default"/>
                <w:sz w:val="18"/>
                <w:szCs w:val="18"/>
              </w:rPr>
            </w:pPr>
            <w:r>
              <w:rPr>
                <w:rFonts w:ascii="Times New Roman"/>
                <w:spacing w:val="-1"/>
                <w:sz w:val="18"/>
              </w:rPr>
              <w:t>1,859,729,621.07</w:t>
            </w:r>
          </w:p>
        </w:tc>
      </w:tr>
      <w:tr>
        <w:trPr>
          <w:trHeight w:val="31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86" w:right="0"/>
              <w:jc w:val="center"/>
              <w:rPr>
                <w:rFonts w:ascii="宋体" w:hAnsi="宋体" w:cs="宋体" w:eastAsia="宋体" w:hint="default"/>
                <w:sz w:val="18"/>
                <w:szCs w:val="18"/>
              </w:rPr>
            </w:pPr>
            <w:r>
              <w:rPr>
                <w:rFonts w:ascii="宋体" w:hAnsi="宋体" w:cs="宋体" w:eastAsia="宋体" w:hint="default"/>
                <w:sz w:val="18"/>
                <w:szCs w:val="18"/>
              </w:rPr>
              <w:t>（十三）</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1"/>
              <w:jc w:val="right"/>
              <w:rPr>
                <w:rFonts w:ascii="Times New Roman" w:hAnsi="Times New Roman" w:cs="Times New Roman" w:eastAsia="Times New Roman" w:hint="default"/>
                <w:sz w:val="18"/>
                <w:szCs w:val="18"/>
              </w:rPr>
            </w:pPr>
            <w:r>
              <w:rPr>
                <w:rFonts w:ascii="Times New Roman"/>
                <w:spacing w:val="-1"/>
                <w:sz w:val="18"/>
              </w:rPr>
              <w:t>2,208,899,418.95</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1"/>
              <w:jc w:val="right"/>
              <w:rPr>
                <w:rFonts w:ascii="Times New Roman" w:hAnsi="Times New Roman" w:cs="Times New Roman" w:eastAsia="Times New Roman" w:hint="default"/>
                <w:sz w:val="18"/>
                <w:szCs w:val="18"/>
              </w:rPr>
            </w:pPr>
            <w:r>
              <w:rPr>
                <w:rFonts w:ascii="Times New Roman"/>
                <w:spacing w:val="-1"/>
                <w:sz w:val="18"/>
              </w:rPr>
              <w:t>1,779,694,872.54</w:t>
            </w:r>
          </w:p>
        </w:tc>
      </w:tr>
      <w:tr>
        <w:trPr>
          <w:trHeight w:val="311"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103"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850"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618"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850"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618"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86" w:right="0"/>
              <w:jc w:val="center"/>
              <w:rPr>
                <w:rFonts w:ascii="宋体" w:hAnsi="宋体" w:cs="宋体" w:eastAsia="宋体" w:hint="default"/>
                <w:sz w:val="18"/>
                <w:szCs w:val="18"/>
              </w:rPr>
            </w:pPr>
            <w:r>
              <w:rPr>
                <w:rFonts w:ascii="宋体" w:hAnsi="宋体" w:cs="宋体" w:eastAsia="宋体" w:hint="default"/>
                <w:sz w:val="18"/>
                <w:szCs w:val="18"/>
              </w:rPr>
              <w:t>（十四）</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99"/>
              <w:jc w:val="right"/>
              <w:rPr>
                <w:rFonts w:ascii="Times New Roman" w:hAnsi="Times New Roman" w:cs="Times New Roman" w:eastAsia="Times New Roman" w:hint="default"/>
                <w:sz w:val="18"/>
                <w:szCs w:val="18"/>
              </w:rPr>
            </w:pPr>
            <w:r>
              <w:rPr>
                <w:rFonts w:ascii="Times New Roman"/>
                <w:spacing w:val="-1"/>
                <w:sz w:val="18"/>
              </w:rPr>
              <w:t>472,734,221.17</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0"/>
              <w:jc w:val="right"/>
              <w:rPr>
                <w:rFonts w:ascii="Times New Roman" w:hAnsi="Times New Roman" w:cs="Times New Roman" w:eastAsia="Times New Roman" w:hint="default"/>
                <w:sz w:val="18"/>
                <w:szCs w:val="18"/>
              </w:rPr>
            </w:pPr>
            <w:r>
              <w:rPr>
                <w:rFonts w:ascii="Times New Roman"/>
                <w:spacing w:val="-1"/>
                <w:sz w:val="18"/>
              </w:rPr>
              <w:t>402,822,251.74</w:t>
            </w:r>
          </w:p>
        </w:tc>
      </w:tr>
      <w:tr>
        <w:trPr>
          <w:trHeight w:val="311"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103"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86" w:right="0"/>
              <w:jc w:val="center"/>
              <w:rPr>
                <w:rFonts w:ascii="宋体" w:hAnsi="宋体" w:cs="宋体" w:eastAsia="宋体" w:hint="default"/>
                <w:sz w:val="18"/>
                <w:szCs w:val="18"/>
              </w:rPr>
            </w:pPr>
            <w:r>
              <w:rPr>
                <w:rFonts w:ascii="宋体" w:hAnsi="宋体" w:cs="宋体" w:eastAsia="宋体" w:hint="default"/>
                <w:sz w:val="18"/>
                <w:szCs w:val="18"/>
              </w:rPr>
              <w:t>（十五）</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65,681,230.31</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93,421,875.76</w:t>
            </w:r>
          </w:p>
        </w:tc>
      </w:tr>
      <w:tr>
        <w:trPr>
          <w:trHeight w:val="31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86" w:right="0"/>
              <w:jc w:val="center"/>
              <w:rPr>
                <w:rFonts w:ascii="宋体" w:hAnsi="宋体" w:cs="宋体" w:eastAsia="宋体" w:hint="default"/>
                <w:sz w:val="18"/>
                <w:szCs w:val="18"/>
              </w:rPr>
            </w:pPr>
            <w:r>
              <w:rPr>
                <w:rFonts w:ascii="宋体" w:hAnsi="宋体" w:cs="宋体" w:eastAsia="宋体" w:hint="default"/>
                <w:sz w:val="18"/>
                <w:szCs w:val="18"/>
              </w:rPr>
              <w:t>（十六）</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0"/>
              <w:jc w:val="right"/>
              <w:rPr>
                <w:rFonts w:ascii="Times New Roman" w:hAnsi="Times New Roman" w:cs="Times New Roman" w:eastAsia="Times New Roman" w:hint="default"/>
                <w:sz w:val="18"/>
                <w:szCs w:val="18"/>
              </w:rPr>
            </w:pPr>
            <w:r>
              <w:rPr>
                <w:rFonts w:ascii="Times New Roman"/>
                <w:spacing w:val="-1"/>
                <w:sz w:val="18"/>
              </w:rPr>
              <w:t>24,144,802.73</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0"/>
              <w:jc w:val="right"/>
              <w:rPr>
                <w:rFonts w:ascii="Times New Roman" w:hAnsi="Times New Roman" w:cs="Times New Roman" w:eastAsia="Times New Roman" w:hint="default"/>
                <w:sz w:val="18"/>
                <w:szCs w:val="18"/>
              </w:rPr>
            </w:pPr>
            <w:r>
              <w:rPr>
                <w:rFonts w:ascii="Times New Roman"/>
                <w:spacing w:val="-1"/>
                <w:sz w:val="18"/>
              </w:rPr>
              <w:t>23,034,560.66</w:t>
            </w:r>
          </w:p>
        </w:tc>
      </w:tr>
      <w:tr>
        <w:trPr>
          <w:trHeight w:val="31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86" w:right="0"/>
              <w:jc w:val="center"/>
              <w:rPr>
                <w:rFonts w:ascii="宋体" w:hAnsi="宋体" w:cs="宋体" w:eastAsia="宋体" w:hint="default"/>
                <w:sz w:val="18"/>
                <w:szCs w:val="18"/>
              </w:rPr>
            </w:pPr>
            <w:r>
              <w:rPr>
                <w:rFonts w:ascii="宋体" w:hAnsi="宋体" w:cs="宋体" w:eastAsia="宋体" w:hint="default"/>
                <w:sz w:val="18"/>
                <w:szCs w:val="18"/>
              </w:rPr>
              <w:t>（十七）</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99"/>
              <w:jc w:val="right"/>
              <w:rPr>
                <w:rFonts w:ascii="Times New Roman" w:hAnsi="Times New Roman" w:cs="Times New Roman" w:eastAsia="Times New Roman" w:hint="default"/>
                <w:sz w:val="18"/>
                <w:szCs w:val="18"/>
              </w:rPr>
            </w:pPr>
            <w:r>
              <w:rPr>
                <w:rFonts w:ascii="Times New Roman"/>
                <w:spacing w:val="-1"/>
                <w:sz w:val="18"/>
              </w:rPr>
              <w:t>15,392,609.03</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0"/>
              <w:jc w:val="right"/>
              <w:rPr>
                <w:rFonts w:ascii="Times New Roman" w:hAnsi="Times New Roman" w:cs="Times New Roman" w:eastAsia="Times New Roman" w:hint="default"/>
                <w:sz w:val="18"/>
                <w:szCs w:val="18"/>
              </w:rPr>
            </w:pPr>
            <w:r>
              <w:rPr>
                <w:rFonts w:ascii="Times New Roman"/>
                <w:spacing w:val="-1"/>
                <w:sz w:val="18"/>
              </w:rPr>
              <w:t>11,528,482.04</w:t>
            </w:r>
          </w:p>
        </w:tc>
      </w:tr>
      <w:tr>
        <w:trPr>
          <w:trHeight w:val="311"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103"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86" w:right="0"/>
              <w:jc w:val="center"/>
              <w:rPr>
                <w:rFonts w:ascii="宋体" w:hAnsi="宋体" w:cs="宋体" w:eastAsia="宋体" w:hint="default"/>
                <w:sz w:val="18"/>
                <w:szCs w:val="18"/>
              </w:rPr>
            </w:pPr>
            <w:r>
              <w:rPr>
                <w:rFonts w:ascii="宋体" w:hAnsi="宋体" w:cs="宋体" w:eastAsia="宋体" w:hint="default"/>
                <w:sz w:val="18"/>
                <w:szCs w:val="18"/>
              </w:rPr>
              <w:t>（十八）</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95,675,220.94</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84,541,061.62</w:t>
            </w:r>
          </w:p>
        </w:tc>
      </w:tr>
      <w:tr>
        <w:trPr>
          <w:trHeight w:val="31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86" w:right="0"/>
              <w:jc w:val="center"/>
              <w:rPr>
                <w:rFonts w:ascii="宋体" w:hAnsi="宋体" w:cs="宋体" w:eastAsia="宋体" w:hint="default"/>
                <w:sz w:val="18"/>
                <w:szCs w:val="18"/>
              </w:rPr>
            </w:pPr>
            <w:r>
              <w:rPr>
                <w:rFonts w:ascii="宋体" w:hAnsi="宋体" w:cs="宋体" w:eastAsia="宋体" w:hint="default"/>
                <w:sz w:val="18"/>
                <w:szCs w:val="18"/>
              </w:rPr>
              <w:t>（十九）</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99"/>
              <w:jc w:val="right"/>
              <w:rPr>
                <w:rFonts w:ascii="Times New Roman" w:hAnsi="Times New Roman" w:cs="Times New Roman" w:eastAsia="Times New Roman" w:hint="default"/>
                <w:sz w:val="18"/>
                <w:szCs w:val="18"/>
              </w:rPr>
            </w:pPr>
            <w:r>
              <w:rPr>
                <w:rFonts w:ascii="Times New Roman"/>
                <w:spacing w:val="-1"/>
                <w:sz w:val="18"/>
              </w:rPr>
              <w:t>134,809,668.52</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0"/>
              <w:jc w:val="right"/>
              <w:rPr>
                <w:rFonts w:ascii="Times New Roman" w:hAnsi="Times New Roman" w:cs="Times New Roman" w:eastAsia="Times New Roman" w:hint="default"/>
                <w:sz w:val="18"/>
                <w:szCs w:val="18"/>
              </w:rPr>
            </w:pPr>
            <w:r>
              <w:rPr>
                <w:rFonts w:ascii="Times New Roman"/>
                <w:spacing w:val="-1"/>
                <w:sz w:val="18"/>
              </w:rPr>
              <w:t>122,493,198.31</w:t>
            </w:r>
          </w:p>
        </w:tc>
      </w:tr>
      <w:tr>
        <w:trPr>
          <w:trHeight w:val="31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b/>
                <w:bCs/>
                <w:sz w:val="18"/>
                <w:szCs w:val="18"/>
              </w:rPr>
              <w:t>非流动资产合计</w:t>
            </w:r>
            <w:r>
              <w:rPr>
                <w:rFonts w:ascii="宋体" w:hAnsi="宋体" w:cs="宋体" w:eastAsia="宋体" w:hint="default"/>
                <w:sz w:val="18"/>
                <w:szCs w:val="18"/>
              </w:rPr>
            </w:r>
          </w:p>
        </w:tc>
        <w:tc>
          <w:tcPr>
            <w:tcW w:w="850"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1"/>
              <w:jc w:val="right"/>
              <w:rPr>
                <w:rFonts w:ascii="Times New Roman" w:hAnsi="Times New Roman" w:cs="Times New Roman" w:eastAsia="Times New Roman" w:hint="default"/>
                <w:sz w:val="18"/>
                <w:szCs w:val="18"/>
              </w:rPr>
            </w:pPr>
            <w:r>
              <w:rPr>
                <w:rFonts w:ascii="Times New Roman"/>
                <w:spacing w:val="-1"/>
                <w:sz w:val="18"/>
              </w:rPr>
              <w:t>6,540,527,271.37</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1"/>
              <w:jc w:val="right"/>
              <w:rPr>
                <w:rFonts w:ascii="Times New Roman" w:hAnsi="Times New Roman" w:cs="Times New Roman" w:eastAsia="Times New Roman" w:hint="default"/>
                <w:sz w:val="18"/>
                <w:szCs w:val="18"/>
              </w:rPr>
            </w:pPr>
            <w:r>
              <w:rPr>
                <w:rFonts w:ascii="Times New Roman"/>
                <w:spacing w:val="-1"/>
                <w:sz w:val="18"/>
              </w:rPr>
              <w:t>7,277,804,839.02</w:t>
            </w:r>
          </w:p>
        </w:tc>
      </w:tr>
      <w:tr>
        <w:trPr>
          <w:trHeight w:val="311"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103" w:right="0"/>
              <w:jc w:val="left"/>
              <w:rPr>
                <w:rFonts w:ascii="宋体" w:hAnsi="宋体" w:cs="宋体" w:eastAsia="宋体" w:hint="default"/>
                <w:sz w:val="18"/>
                <w:szCs w:val="18"/>
              </w:rPr>
            </w:pPr>
            <w:r>
              <w:rPr>
                <w:rFonts w:ascii="宋体" w:hAnsi="宋体" w:cs="宋体" w:eastAsia="宋体" w:hint="default"/>
                <w:b/>
                <w:bCs/>
                <w:sz w:val="18"/>
                <w:szCs w:val="18"/>
              </w:rPr>
              <w:t>资产总计</w:t>
            </w:r>
            <w:r>
              <w:rPr>
                <w:rFonts w:ascii="宋体" w:hAnsi="宋体" w:cs="宋体" w:eastAsia="宋体" w:hint="default"/>
                <w:sz w:val="18"/>
                <w:szCs w:val="18"/>
              </w:rPr>
            </w:r>
          </w:p>
        </w:tc>
        <w:tc>
          <w:tcPr>
            <w:tcW w:w="850"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16,002,223,272.55</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15,201,583,868.55</w:t>
            </w:r>
          </w:p>
        </w:tc>
      </w:tr>
    </w:tbl>
    <w:p>
      <w:pPr>
        <w:spacing w:before="91"/>
        <w:ind w:left="217"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tabs>
          <w:tab w:pos="2453" w:val="left" w:leader="none"/>
          <w:tab w:pos="3968" w:val="left" w:leader="none"/>
          <w:tab w:pos="6564" w:val="left" w:leader="none"/>
        </w:tabs>
        <w:spacing w:before="75"/>
        <w:ind w:left="217" w:right="0" w:firstLine="0"/>
        <w:jc w:val="left"/>
        <w:rPr>
          <w:rFonts w:ascii="宋体" w:hAnsi="宋体" w:cs="宋体" w:eastAsia="宋体" w:hint="default"/>
          <w:sz w:val="18"/>
          <w:szCs w:val="18"/>
        </w:rPr>
      </w:pPr>
      <w:r>
        <w:rPr>
          <w:rFonts w:ascii="宋体" w:hAnsi="宋体" w:cs="宋体" w:eastAsia="宋体" w:hint="default"/>
          <w:spacing w:val="-2"/>
          <w:sz w:val="18"/>
          <w:szCs w:val="18"/>
        </w:rPr>
        <w:t>企业法定代表人：宋黎定</w:t>
        <w:tab/>
      </w:r>
      <w:r>
        <w:rPr>
          <w:rFonts w:ascii="宋体" w:hAnsi="宋体" w:cs="宋体" w:eastAsia="宋体" w:hint="default"/>
          <w:spacing w:val="-3"/>
          <w:sz w:val="18"/>
          <w:szCs w:val="18"/>
        </w:rPr>
        <w:t>公司总裁：徐刚</w:t>
        <w:tab/>
      </w:r>
      <w:r>
        <w:rPr>
          <w:rFonts w:ascii="宋体" w:hAnsi="宋体" w:cs="宋体" w:eastAsia="宋体" w:hint="default"/>
          <w:spacing w:val="-2"/>
          <w:sz w:val="18"/>
          <w:szCs w:val="18"/>
        </w:rPr>
        <w:t>主管会计工作负责人：刘文彬</w:t>
        <w:tab/>
        <w:t>会计机构负责人：许少霞</w:t>
      </w:r>
    </w:p>
    <w:p>
      <w:pPr>
        <w:spacing w:after="0"/>
        <w:jc w:val="left"/>
        <w:rPr>
          <w:rFonts w:ascii="宋体" w:hAnsi="宋体" w:cs="宋体" w:eastAsia="宋体" w:hint="default"/>
          <w:sz w:val="18"/>
          <w:szCs w:val="18"/>
        </w:rPr>
        <w:sectPr>
          <w:headerReference w:type="default" r:id="rId24"/>
          <w:footerReference w:type="default" r:id="rId25"/>
          <w:pgSz w:w="11910" w:h="16840"/>
          <w:pgMar w:header="969" w:footer="784" w:top="1160" w:bottom="980" w:left="1580" w:right="0"/>
          <w:pgNumType w:start="1"/>
        </w:sectPr>
      </w:pPr>
    </w:p>
    <w:p>
      <w:pPr>
        <w:spacing w:before="38"/>
        <w:ind w:left="2637" w:right="4211" w:firstLine="0"/>
        <w:jc w:val="center"/>
        <w:rPr>
          <w:rFonts w:ascii="宋体" w:hAnsi="宋体" w:cs="宋体" w:eastAsia="宋体" w:hint="default"/>
          <w:sz w:val="18"/>
          <w:szCs w:val="18"/>
        </w:rPr>
      </w:pPr>
      <w:r>
        <w:rPr>
          <w:rFonts w:ascii="宋体" w:hAnsi="宋体" w:cs="宋体" w:eastAsia="宋体" w:hint="default"/>
          <w:b/>
          <w:bCs/>
          <w:sz w:val="18"/>
          <w:szCs w:val="18"/>
        </w:rPr>
        <w:t>合并资产负债表（续）</w:t>
      </w:r>
      <w:r>
        <w:rPr>
          <w:rFonts w:ascii="宋体" w:hAnsi="宋体" w:cs="宋体" w:eastAsia="宋体" w:hint="default"/>
          <w:sz w:val="18"/>
          <w:szCs w:val="18"/>
        </w:rPr>
      </w:r>
    </w:p>
    <w:p>
      <w:pPr>
        <w:spacing w:before="38"/>
        <w:ind w:left="2637" w:right="4212" w:firstLine="0"/>
        <w:jc w:val="center"/>
        <w:rPr>
          <w:rFonts w:ascii="宋体" w:hAnsi="宋体" w:cs="宋体" w:eastAsia="宋体" w:hint="default"/>
          <w:sz w:val="18"/>
          <w:szCs w:val="18"/>
        </w:rPr>
      </w:pPr>
      <w:r>
        <w:rPr>
          <w:rFonts w:ascii="Times New Roman" w:hAnsi="Times New Roman" w:cs="Times New Roman" w:eastAsia="Times New Roman" w:hint="default"/>
          <w:b/>
          <w:bCs/>
          <w:sz w:val="18"/>
          <w:szCs w:val="18"/>
        </w:rPr>
        <w:t>2018</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年</w:t>
      </w:r>
      <w:r>
        <w:rPr>
          <w:rFonts w:ascii="宋体" w:hAnsi="宋体" w:cs="宋体" w:eastAsia="宋体" w:hint="default"/>
          <w:b/>
          <w:bCs/>
          <w:spacing w:val="-46"/>
          <w:sz w:val="18"/>
          <w:szCs w:val="18"/>
        </w:rPr>
        <w:t> </w:t>
      </w:r>
      <w:r>
        <w:rPr>
          <w:rFonts w:ascii="Times New Roman" w:hAnsi="Times New Roman" w:cs="Times New Roman" w:eastAsia="Times New Roman" w:hint="default"/>
          <w:b/>
          <w:bCs/>
          <w:sz w:val="18"/>
          <w:szCs w:val="18"/>
        </w:rPr>
        <w:t>12</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月</w:t>
      </w:r>
      <w:r>
        <w:rPr>
          <w:rFonts w:ascii="宋体" w:hAnsi="宋体" w:cs="宋体" w:eastAsia="宋体" w:hint="default"/>
          <w:b/>
          <w:bCs/>
          <w:spacing w:val="-46"/>
          <w:sz w:val="18"/>
          <w:szCs w:val="18"/>
        </w:rPr>
        <w:t> </w:t>
      </w:r>
      <w:r>
        <w:rPr>
          <w:rFonts w:ascii="Times New Roman" w:hAnsi="Times New Roman" w:cs="Times New Roman" w:eastAsia="Times New Roman" w:hint="default"/>
          <w:b/>
          <w:bCs/>
          <w:sz w:val="18"/>
          <w:szCs w:val="18"/>
        </w:rPr>
        <w:t>31</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日</w:t>
      </w:r>
      <w:r>
        <w:rPr>
          <w:rFonts w:ascii="宋体" w:hAnsi="宋体" w:cs="宋体" w:eastAsia="宋体" w:hint="default"/>
          <w:sz w:val="18"/>
          <w:szCs w:val="18"/>
        </w:rPr>
      </w:r>
    </w:p>
    <w:p>
      <w:pPr>
        <w:spacing w:before="65"/>
        <w:ind w:left="2637" w:right="4214" w:firstLine="0"/>
        <w:jc w:val="center"/>
        <w:rPr>
          <w:rFonts w:ascii="宋体" w:hAnsi="宋体" w:cs="宋体" w:eastAsia="宋体" w:hint="default"/>
          <w:sz w:val="18"/>
          <w:szCs w:val="18"/>
        </w:rPr>
      </w:pPr>
      <w:r>
        <w:rPr>
          <w:rFonts w:ascii="宋体" w:hAnsi="宋体" w:cs="宋体" w:eastAsia="宋体" w:hint="default"/>
          <w:b/>
          <w:bCs/>
          <w:sz w:val="18"/>
          <w:szCs w:val="18"/>
        </w:rPr>
        <w:t>（除特别注明外，金额单位均为人民币元）</w:t>
      </w:r>
      <w:r>
        <w:rPr>
          <w:rFonts w:ascii="宋体" w:hAnsi="宋体" w:cs="宋体" w:eastAsia="宋体" w:hint="default"/>
          <w:sz w:val="18"/>
          <w:szCs w:val="18"/>
        </w:rPr>
      </w:r>
    </w:p>
    <w:p>
      <w:pPr>
        <w:spacing w:line="240" w:lineRule="auto" w:before="13"/>
        <w:rPr>
          <w:rFonts w:ascii="宋体" w:hAnsi="宋体" w:cs="宋体" w:eastAsia="宋体" w:hint="default"/>
          <w:b/>
          <w:bCs/>
          <w:sz w:val="16"/>
          <w:szCs w:val="16"/>
        </w:rPr>
      </w:pPr>
    </w:p>
    <w:tbl>
      <w:tblPr>
        <w:tblW w:w="0" w:type="auto"/>
        <w:jc w:val="left"/>
        <w:tblInd w:w="104" w:type="dxa"/>
        <w:tblLayout w:type="fixed"/>
        <w:tblCellMar>
          <w:top w:w="0" w:type="dxa"/>
          <w:left w:w="0" w:type="dxa"/>
          <w:bottom w:w="0" w:type="dxa"/>
          <w:right w:w="0" w:type="dxa"/>
        </w:tblCellMar>
        <w:tblLook w:val="01E0"/>
      </w:tblPr>
      <w:tblGrid>
        <w:gridCol w:w="4218"/>
        <w:gridCol w:w="992"/>
        <w:gridCol w:w="1700"/>
        <w:gridCol w:w="1618"/>
      </w:tblGrid>
      <w:tr>
        <w:trPr>
          <w:trHeight w:val="230"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负债和所有者权益</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附注五</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544" w:right="0"/>
              <w:jc w:val="left"/>
              <w:rPr>
                <w:rFonts w:ascii="宋体" w:hAnsi="宋体" w:cs="宋体" w:eastAsia="宋体" w:hint="default"/>
                <w:sz w:val="15"/>
                <w:szCs w:val="15"/>
              </w:rPr>
            </w:pPr>
            <w:r>
              <w:rPr>
                <w:rFonts w:ascii="宋体" w:hAnsi="宋体" w:cs="宋体" w:eastAsia="宋体" w:hint="default"/>
                <w:sz w:val="15"/>
                <w:szCs w:val="15"/>
              </w:rPr>
              <w:t>期末余额</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503" w:right="0"/>
              <w:jc w:val="left"/>
              <w:rPr>
                <w:rFonts w:ascii="宋体" w:hAnsi="宋体" w:cs="宋体" w:eastAsia="宋体" w:hint="default"/>
                <w:sz w:val="15"/>
                <w:szCs w:val="15"/>
              </w:rPr>
            </w:pPr>
            <w:r>
              <w:rPr>
                <w:rFonts w:ascii="宋体" w:hAnsi="宋体" w:cs="宋体" w:eastAsia="宋体" w:hint="default"/>
                <w:sz w:val="15"/>
                <w:szCs w:val="15"/>
              </w:rPr>
              <w:t>年初余额</w:t>
            </w:r>
          </w:p>
        </w:tc>
      </w:tr>
      <w:tr>
        <w:trPr>
          <w:trHeight w:val="229"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流动负债：</w:t>
            </w:r>
          </w:p>
        </w:tc>
        <w:tc>
          <w:tcPr>
            <w:tcW w:w="992"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618"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5"/>
                <w:szCs w:val="15"/>
              </w:rPr>
            </w:pPr>
            <w:r>
              <w:rPr>
                <w:rFonts w:ascii="宋体" w:hAnsi="宋体" w:cs="宋体" w:eastAsia="宋体" w:hint="default"/>
                <w:sz w:val="15"/>
                <w:szCs w:val="15"/>
              </w:rPr>
              <w:t>短期借款</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
              <w:jc w:val="center"/>
              <w:rPr>
                <w:rFonts w:ascii="宋体" w:hAnsi="宋体" w:cs="宋体" w:eastAsia="宋体" w:hint="default"/>
                <w:sz w:val="15"/>
                <w:szCs w:val="15"/>
              </w:rPr>
            </w:pPr>
            <w:r>
              <w:rPr>
                <w:rFonts w:ascii="宋体" w:hAnsi="宋体" w:cs="宋体" w:eastAsia="宋体" w:hint="default"/>
                <w:sz w:val="15"/>
                <w:szCs w:val="15"/>
              </w:rPr>
              <w:t>（二十）</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Times New Roman" w:hAnsi="Times New Roman" w:cs="Times New Roman" w:eastAsia="Times New Roman" w:hint="default"/>
                <w:sz w:val="15"/>
                <w:szCs w:val="15"/>
              </w:rPr>
            </w:pPr>
            <w:r>
              <w:rPr>
                <w:rFonts w:ascii="Times New Roman"/>
                <w:spacing w:val="-1"/>
                <w:sz w:val="15"/>
              </w:rPr>
              <w:t>2,023,011,798.95</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Times New Roman" w:hAnsi="Times New Roman" w:cs="Times New Roman" w:eastAsia="Times New Roman" w:hint="default"/>
                <w:sz w:val="15"/>
                <w:szCs w:val="15"/>
              </w:rPr>
            </w:pPr>
            <w:r>
              <w:rPr>
                <w:rFonts w:ascii="Times New Roman"/>
                <w:spacing w:val="-1"/>
                <w:sz w:val="15"/>
              </w:rPr>
              <w:t>1,407,408,234.53</w:t>
            </w:r>
          </w:p>
        </w:tc>
      </w:tr>
      <w:tr>
        <w:trPr>
          <w:trHeight w:val="230"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向中央银行借款</w:t>
            </w:r>
          </w:p>
        </w:tc>
        <w:tc>
          <w:tcPr>
            <w:tcW w:w="992"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618" w:type="dxa"/>
            <w:tcBorders>
              <w:top w:val="single" w:sz="4" w:space="0" w:color="000000"/>
              <w:left w:val="single" w:sz="4" w:space="0" w:color="000000"/>
              <w:bottom w:val="single" w:sz="4" w:space="0" w:color="000000"/>
              <w:right w:val="single" w:sz="4" w:space="0" w:color="000000"/>
            </w:tcBorders>
          </w:tcPr>
          <w:p>
            <w:pPr/>
          </w:p>
        </w:tc>
      </w:tr>
      <w:tr>
        <w:trPr>
          <w:trHeight w:val="229"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吸收存款及同业存放</w:t>
            </w:r>
          </w:p>
        </w:tc>
        <w:tc>
          <w:tcPr>
            <w:tcW w:w="992"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618"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5"/>
                <w:szCs w:val="15"/>
              </w:rPr>
            </w:pPr>
            <w:r>
              <w:rPr>
                <w:rFonts w:ascii="宋体" w:hAnsi="宋体" w:cs="宋体" w:eastAsia="宋体" w:hint="default"/>
                <w:sz w:val="15"/>
                <w:szCs w:val="15"/>
              </w:rPr>
              <w:t>拆入资金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618"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以公允价值计量且其变动计入当期损益的金融负债</w:t>
            </w:r>
          </w:p>
        </w:tc>
        <w:tc>
          <w:tcPr>
            <w:tcW w:w="992"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618" w:type="dxa"/>
            <w:tcBorders>
              <w:top w:val="single" w:sz="4" w:space="0" w:color="000000"/>
              <w:left w:val="single" w:sz="4" w:space="0" w:color="000000"/>
              <w:bottom w:val="single" w:sz="4" w:space="0" w:color="000000"/>
              <w:right w:val="single" w:sz="4" w:space="0" w:color="000000"/>
            </w:tcBorders>
          </w:tcPr>
          <w:p>
            <w:pPr/>
          </w:p>
        </w:tc>
      </w:tr>
      <w:tr>
        <w:trPr>
          <w:trHeight w:val="229"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衍生金融负债</w:t>
            </w:r>
          </w:p>
        </w:tc>
        <w:tc>
          <w:tcPr>
            <w:tcW w:w="992"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618"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5"/>
                <w:szCs w:val="15"/>
              </w:rPr>
            </w:pPr>
            <w:r>
              <w:rPr>
                <w:rFonts w:ascii="宋体" w:hAnsi="宋体" w:cs="宋体" w:eastAsia="宋体" w:hint="default"/>
                <w:sz w:val="15"/>
                <w:szCs w:val="15"/>
              </w:rPr>
              <w:t>应付票据及应付账款</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center"/>
              <w:rPr>
                <w:rFonts w:ascii="宋体" w:hAnsi="宋体" w:cs="宋体" w:eastAsia="宋体" w:hint="default"/>
                <w:sz w:val="15"/>
                <w:szCs w:val="15"/>
              </w:rPr>
            </w:pPr>
            <w:r>
              <w:rPr>
                <w:rFonts w:ascii="宋体" w:hAnsi="宋体" w:cs="宋体" w:eastAsia="宋体" w:hint="default"/>
                <w:sz w:val="15"/>
                <w:szCs w:val="15"/>
              </w:rPr>
              <w:t>（二十一）</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Times New Roman" w:hAnsi="Times New Roman" w:cs="Times New Roman" w:eastAsia="Times New Roman" w:hint="default"/>
                <w:sz w:val="15"/>
                <w:szCs w:val="15"/>
              </w:rPr>
            </w:pPr>
            <w:r>
              <w:rPr>
                <w:rFonts w:ascii="Times New Roman"/>
                <w:spacing w:val="-1"/>
                <w:sz w:val="15"/>
              </w:rPr>
              <w:t>2,713,528,408.36</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Times New Roman" w:hAnsi="Times New Roman" w:cs="Times New Roman" w:eastAsia="Times New Roman" w:hint="default"/>
                <w:sz w:val="15"/>
                <w:szCs w:val="15"/>
              </w:rPr>
            </w:pPr>
            <w:r>
              <w:rPr>
                <w:rFonts w:ascii="Times New Roman"/>
                <w:spacing w:val="-1"/>
                <w:sz w:val="15"/>
              </w:rPr>
              <w:t>2,164,220,970.69</w:t>
            </w:r>
          </w:p>
        </w:tc>
      </w:tr>
      <w:tr>
        <w:trPr>
          <w:trHeight w:val="230"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预收款项</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（二十二）</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0"/>
              <w:jc w:val="right"/>
              <w:rPr>
                <w:rFonts w:ascii="Times New Roman" w:hAnsi="Times New Roman" w:cs="Times New Roman" w:eastAsia="Times New Roman" w:hint="default"/>
                <w:sz w:val="15"/>
                <w:szCs w:val="15"/>
              </w:rPr>
            </w:pPr>
            <w:r>
              <w:rPr>
                <w:rFonts w:ascii="Times New Roman"/>
                <w:spacing w:val="-1"/>
                <w:sz w:val="15"/>
              </w:rPr>
              <w:t>146,425,887.90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0"/>
              <w:jc w:val="right"/>
              <w:rPr>
                <w:rFonts w:ascii="Times New Roman" w:hAnsi="Times New Roman" w:cs="Times New Roman" w:eastAsia="Times New Roman" w:hint="default"/>
                <w:sz w:val="15"/>
                <w:szCs w:val="15"/>
              </w:rPr>
            </w:pPr>
            <w:r>
              <w:rPr>
                <w:rFonts w:ascii="Times New Roman"/>
                <w:spacing w:val="-1"/>
                <w:sz w:val="15"/>
              </w:rPr>
              <w:t>352,836,845.95</w:t>
            </w:r>
          </w:p>
        </w:tc>
      </w:tr>
      <w:tr>
        <w:trPr>
          <w:trHeight w:val="229"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卖出回购金融资产款</w:t>
            </w:r>
          </w:p>
        </w:tc>
        <w:tc>
          <w:tcPr>
            <w:tcW w:w="992"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618"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5"/>
                <w:szCs w:val="15"/>
              </w:rPr>
            </w:pPr>
            <w:r>
              <w:rPr>
                <w:rFonts w:ascii="宋体" w:hAnsi="宋体" w:cs="宋体" w:eastAsia="宋体" w:hint="default"/>
                <w:sz w:val="15"/>
                <w:szCs w:val="15"/>
              </w:rPr>
              <w:t>应付手续费及佣金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618"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应付职工薪酬</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（二十三）</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0"/>
              <w:jc w:val="right"/>
              <w:rPr>
                <w:rFonts w:ascii="Times New Roman" w:hAnsi="Times New Roman" w:cs="Times New Roman" w:eastAsia="Times New Roman" w:hint="default"/>
                <w:sz w:val="15"/>
                <w:szCs w:val="15"/>
              </w:rPr>
            </w:pPr>
            <w:r>
              <w:rPr>
                <w:rFonts w:ascii="Times New Roman"/>
                <w:spacing w:val="-1"/>
                <w:sz w:val="15"/>
              </w:rPr>
              <w:t>319,352,106.66</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0"/>
              <w:jc w:val="right"/>
              <w:rPr>
                <w:rFonts w:ascii="Times New Roman" w:hAnsi="Times New Roman" w:cs="Times New Roman" w:eastAsia="Times New Roman" w:hint="default"/>
                <w:sz w:val="15"/>
                <w:szCs w:val="15"/>
              </w:rPr>
            </w:pPr>
            <w:r>
              <w:rPr>
                <w:rFonts w:ascii="Times New Roman"/>
                <w:spacing w:val="-1"/>
                <w:sz w:val="15"/>
              </w:rPr>
              <w:t>319,774,867.04</w:t>
            </w:r>
          </w:p>
        </w:tc>
      </w:tr>
      <w:tr>
        <w:trPr>
          <w:trHeight w:val="229"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应交税费</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（二十四）</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0"/>
              <w:jc w:val="right"/>
              <w:rPr>
                <w:rFonts w:ascii="Times New Roman" w:hAnsi="Times New Roman" w:cs="Times New Roman" w:eastAsia="Times New Roman" w:hint="default"/>
                <w:sz w:val="15"/>
                <w:szCs w:val="15"/>
              </w:rPr>
            </w:pPr>
            <w:r>
              <w:rPr>
                <w:rFonts w:ascii="Times New Roman"/>
                <w:spacing w:val="-1"/>
                <w:sz w:val="15"/>
              </w:rPr>
              <w:t>297,031,187.42</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1"/>
              <w:jc w:val="right"/>
              <w:rPr>
                <w:rFonts w:ascii="Times New Roman" w:hAnsi="Times New Roman" w:cs="Times New Roman" w:eastAsia="Times New Roman" w:hint="default"/>
                <w:sz w:val="15"/>
                <w:szCs w:val="15"/>
              </w:rPr>
            </w:pPr>
            <w:r>
              <w:rPr>
                <w:rFonts w:ascii="Times New Roman"/>
                <w:spacing w:val="-1"/>
                <w:sz w:val="15"/>
              </w:rPr>
              <w:t>118,714,750.32</w:t>
            </w:r>
          </w:p>
        </w:tc>
      </w:tr>
      <w:tr>
        <w:trPr>
          <w:trHeight w:val="230"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5"/>
                <w:szCs w:val="15"/>
              </w:rPr>
            </w:pPr>
            <w:r>
              <w:rPr>
                <w:rFonts w:ascii="宋体" w:hAnsi="宋体" w:cs="宋体" w:eastAsia="宋体" w:hint="default"/>
                <w:sz w:val="15"/>
                <w:szCs w:val="15"/>
              </w:rPr>
              <w:t>其他应付款</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center"/>
              <w:rPr>
                <w:rFonts w:ascii="宋体" w:hAnsi="宋体" w:cs="宋体" w:eastAsia="宋体" w:hint="default"/>
                <w:sz w:val="15"/>
                <w:szCs w:val="15"/>
              </w:rPr>
            </w:pPr>
            <w:r>
              <w:rPr>
                <w:rFonts w:ascii="宋体" w:hAnsi="宋体" w:cs="宋体" w:eastAsia="宋体" w:hint="default"/>
                <w:sz w:val="15"/>
                <w:szCs w:val="15"/>
              </w:rPr>
              <w:t>（二十五）</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Times New Roman" w:hAnsi="Times New Roman" w:cs="Times New Roman" w:eastAsia="Times New Roman" w:hint="default"/>
                <w:sz w:val="15"/>
                <w:szCs w:val="15"/>
              </w:rPr>
            </w:pPr>
            <w:r>
              <w:rPr>
                <w:rFonts w:ascii="Times New Roman"/>
                <w:spacing w:val="-1"/>
                <w:sz w:val="15"/>
              </w:rPr>
              <w:t>767,776,029.14</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Times New Roman" w:hAnsi="Times New Roman" w:cs="Times New Roman" w:eastAsia="Times New Roman" w:hint="default"/>
                <w:sz w:val="15"/>
                <w:szCs w:val="15"/>
              </w:rPr>
            </w:pPr>
            <w:r>
              <w:rPr>
                <w:rFonts w:ascii="Times New Roman"/>
                <w:spacing w:val="-1"/>
                <w:sz w:val="15"/>
              </w:rPr>
              <w:t>568,893,378.24</w:t>
            </w:r>
          </w:p>
        </w:tc>
      </w:tr>
      <w:tr>
        <w:trPr>
          <w:trHeight w:val="230"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应付分保账款</w:t>
            </w:r>
          </w:p>
        </w:tc>
        <w:tc>
          <w:tcPr>
            <w:tcW w:w="992"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618" w:type="dxa"/>
            <w:tcBorders>
              <w:top w:val="single" w:sz="4" w:space="0" w:color="000000"/>
              <w:left w:val="single" w:sz="4" w:space="0" w:color="000000"/>
              <w:bottom w:val="single" w:sz="4" w:space="0" w:color="000000"/>
              <w:right w:val="single" w:sz="4" w:space="0" w:color="000000"/>
            </w:tcBorders>
          </w:tcPr>
          <w:p>
            <w:pPr/>
          </w:p>
        </w:tc>
      </w:tr>
      <w:tr>
        <w:trPr>
          <w:trHeight w:val="229"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保险合同准备金</w:t>
            </w:r>
          </w:p>
        </w:tc>
        <w:tc>
          <w:tcPr>
            <w:tcW w:w="992"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618"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5"/>
                <w:szCs w:val="15"/>
              </w:rPr>
            </w:pPr>
            <w:r>
              <w:rPr>
                <w:rFonts w:ascii="宋体" w:hAnsi="宋体" w:cs="宋体" w:eastAsia="宋体" w:hint="default"/>
                <w:sz w:val="15"/>
                <w:szCs w:val="15"/>
              </w:rPr>
              <w:t>代理买卖证券款</w:t>
            </w:r>
          </w:p>
        </w:tc>
        <w:tc>
          <w:tcPr>
            <w:tcW w:w="992"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618"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代理承销证券款</w:t>
            </w:r>
          </w:p>
        </w:tc>
        <w:tc>
          <w:tcPr>
            <w:tcW w:w="992"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618" w:type="dxa"/>
            <w:tcBorders>
              <w:top w:val="single" w:sz="4" w:space="0" w:color="000000"/>
              <w:left w:val="single" w:sz="4" w:space="0" w:color="000000"/>
              <w:bottom w:val="single" w:sz="4" w:space="0" w:color="000000"/>
              <w:right w:val="single" w:sz="4" w:space="0" w:color="000000"/>
            </w:tcBorders>
          </w:tcPr>
          <w:p>
            <w:pPr/>
          </w:p>
        </w:tc>
      </w:tr>
      <w:tr>
        <w:trPr>
          <w:trHeight w:val="229"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持有待售负债</w:t>
            </w:r>
          </w:p>
        </w:tc>
        <w:tc>
          <w:tcPr>
            <w:tcW w:w="992"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618"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5"/>
                <w:szCs w:val="15"/>
              </w:rPr>
            </w:pPr>
            <w:r>
              <w:rPr>
                <w:rFonts w:ascii="宋体" w:hAnsi="宋体" w:cs="宋体" w:eastAsia="宋体" w:hint="default"/>
                <w:sz w:val="15"/>
                <w:szCs w:val="15"/>
              </w:rPr>
              <w:t>一年内到期的非流动负债</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center"/>
              <w:rPr>
                <w:rFonts w:ascii="宋体" w:hAnsi="宋体" w:cs="宋体" w:eastAsia="宋体" w:hint="default"/>
                <w:sz w:val="15"/>
                <w:szCs w:val="15"/>
              </w:rPr>
            </w:pPr>
            <w:r>
              <w:rPr>
                <w:rFonts w:ascii="宋体" w:hAnsi="宋体" w:cs="宋体" w:eastAsia="宋体" w:hint="default"/>
                <w:sz w:val="15"/>
                <w:szCs w:val="15"/>
              </w:rPr>
              <w:t>（二十六）</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Times New Roman" w:hAnsi="Times New Roman" w:cs="Times New Roman" w:eastAsia="Times New Roman" w:hint="default"/>
                <w:sz w:val="15"/>
                <w:szCs w:val="15"/>
              </w:rPr>
            </w:pPr>
            <w:r>
              <w:rPr>
                <w:rFonts w:ascii="Times New Roman"/>
                <w:spacing w:val="-1"/>
                <w:sz w:val="15"/>
              </w:rPr>
              <w:t>784,000,000.00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Times New Roman" w:hAnsi="Times New Roman" w:cs="Times New Roman" w:eastAsia="Times New Roman" w:hint="default"/>
                <w:sz w:val="15"/>
                <w:szCs w:val="15"/>
              </w:rPr>
            </w:pPr>
            <w:r>
              <w:rPr>
                <w:rFonts w:ascii="Times New Roman"/>
                <w:spacing w:val="-1"/>
                <w:sz w:val="15"/>
              </w:rPr>
              <w:t>401,250,000.00</w:t>
            </w:r>
          </w:p>
        </w:tc>
      </w:tr>
      <w:tr>
        <w:trPr>
          <w:trHeight w:val="230"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其他流动负债</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（二十七）</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1"/>
              <w:jc w:val="right"/>
              <w:rPr>
                <w:rFonts w:ascii="Times New Roman" w:hAnsi="Times New Roman" w:cs="Times New Roman" w:eastAsia="Times New Roman" w:hint="default"/>
                <w:sz w:val="15"/>
                <w:szCs w:val="15"/>
              </w:rPr>
            </w:pPr>
            <w:r>
              <w:rPr>
                <w:rFonts w:ascii="Times New Roman"/>
                <w:spacing w:val="-1"/>
                <w:sz w:val="15"/>
              </w:rPr>
              <w:t>119,597,821.33</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1"/>
              <w:jc w:val="right"/>
              <w:rPr>
                <w:rFonts w:ascii="Times New Roman" w:hAnsi="Times New Roman" w:cs="Times New Roman" w:eastAsia="Times New Roman" w:hint="default"/>
                <w:sz w:val="15"/>
                <w:szCs w:val="15"/>
              </w:rPr>
            </w:pPr>
            <w:r>
              <w:rPr>
                <w:rFonts w:ascii="Times New Roman"/>
                <w:spacing w:val="-1"/>
                <w:sz w:val="15"/>
              </w:rPr>
              <w:t>35,472,735.86</w:t>
            </w:r>
          </w:p>
        </w:tc>
      </w:tr>
      <w:tr>
        <w:trPr>
          <w:trHeight w:val="229"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b/>
                <w:bCs/>
                <w:sz w:val="15"/>
                <w:szCs w:val="15"/>
              </w:rPr>
              <w:t>流动负债合计</w:t>
            </w:r>
            <w:r>
              <w:rPr>
                <w:rFonts w:ascii="宋体" w:hAnsi="宋体" w:cs="宋体" w:eastAsia="宋体" w:hint="default"/>
                <w:sz w:val="15"/>
                <w:szCs w:val="15"/>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1"/>
              <w:jc w:val="right"/>
              <w:rPr>
                <w:rFonts w:ascii="Times New Roman" w:hAnsi="Times New Roman" w:cs="Times New Roman" w:eastAsia="Times New Roman" w:hint="default"/>
                <w:sz w:val="15"/>
                <w:szCs w:val="15"/>
              </w:rPr>
            </w:pPr>
            <w:r>
              <w:rPr>
                <w:rFonts w:ascii="Times New Roman"/>
                <w:spacing w:val="-1"/>
                <w:sz w:val="15"/>
              </w:rPr>
              <w:t>7,170,723,239.76</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1"/>
              <w:jc w:val="right"/>
              <w:rPr>
                <w:rFonts w:ascii="Times New Roman" w:hAnsi="Times New Roman" w:cs="Times New Roman" w:eastAsia="Times New Roman" w:hint="default"/>
                <w:sz w:val="15"/>
                <w:szCs w:val="15"/>
              </w:rPr>
            </w:pPr>
            <w:r>
              <w:rPr>
                <w:rFonts w:ascii="Times New Roman"/>
                <w:spacing w:val="-1"/>
                <w:sz w:val="15"/>
              </w:rPr>
              <w:t>5,368,571,782.63</w:t>
            </w:r>
          </w:p>
        </w:tc>
      </w:tr>
      <w:tr>
        <w:trPr>
          <w:trHeight w:val="230"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5"/>
                <w:szCs w:val="15"/>
              </w:rPr>
            </w:pPr>
            <w:r>
              <w:rPr>
                <w:rFonts w:ascii="宋体" w:hAnsi="宋体" w:cs="宋体" w:eastAsia="宋体" w:hint="default"/>
                <w:sz w:val="15"/>
                <w:szCs w:val="15"/>
              </w:rPr>
              <w:t>非流动负债：</w:t>
            </w:r>
          </w:p>
        </w:tc>
        <w:tc>
          <w:tcPr>
            <w:tcW w:w="992"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618"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长期借款</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（二十八）</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1"/>
              <w:jc w:val="right"/>
              <w:rPr>
                <w:rFonts w:ascii="Times New Roman" w:hAnsi="Times New Roman" w:cs="Times New Roman" w:eastAsia="Times New Roman" w:hint="default"/>
                <w:sz w:val="15"/>
                <w:szCs w:val="15"/>
              </w:rPr>
            </w:pPr>
            <w:r>
              <w:rPr>
                <w:rFonts w:ascii="Times New Roman"/>
                <w:spacing w:val="-1"/>
                <w:sz w:val="15"/>
              </w:rPr>
              <w:t>1,243,584,695.47</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1"/>
              <w:jc w:val="right"/>
              <w:rPr>
                <w:rFonts w:ascii="Times New Roman" w:hAnsi="Times New Roman" w:cs="Times New Roman" w:eastAsia="Times New Roman" w:hint="default"/>
                <w:sz w:val="15"/>
                <w:szCs w:val="15"/>
              </w:rPr>
            </w:pPr>
            <w:r>
              <w:rPr>
                <w:rFonts w:ascii="Times New Roman"/>
                <w:spacing w:val="-1"/>
                <w:sz w:val="15"/>
              </w:rPr>
              <w:t>1,162,990,872.15</w:t>
            </w:r>
          </w:p>
        </w:tc>
      </w:tr>
      <w:tr>
        <w:trPr>
          <w:trHeight w:val="229"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应付债券</w:t>
            </w:r>
          </w:p>
        </w:tc>
        <w:tc>
          <w:tcPr>
            <w:tcW w:w="992"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618"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5"/>
                <w:szCs w:val="15"/>
              </w:rPr>
            </w:pPr>
            <w:r>
              <w:rPr>
                <w:rFonts w:ascii="宋体" w:hAnsi="宋体" w:cs="宋体" w:eastAsia="宋体" w:hint="default"/>
                <w:sz w:val="15"/>
                <w:szCs w:val="15"/>
              </w:rPr>
              <w:t>其中：优先股</w:t>
            </w:r>
          </w:p>
        </w:tc>
        <w:tc>
          <w:tcPr>
            <w:tcW w:w="992"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618"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永续债</w:t>
            </w:r>
          </w:p>
        </w:tc>
        <w:tc>
          <w:tcPr>
            <w:tcW w:w="992"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618" w:type="dxa"/>
            <w:tcBorders>
              <w:top w:val="single" w:sz="4" w:space="0" w:color="000000"/>
              <w:left w:val="single" w:sz="4" w:space="0" w:color="000000"/>
              <w:bottom w:val="single" w:sz="4" w:space="0" w:color="000000"/>
              <w:right w:val="single" w:sz="4" w:space="0" w:color="000000"/>
            </w:tcBorders>
          </w:tcPr>
          <w:p>
            <w:pPr/>
          </w:p>
        </w:tc>
      </w:tr>
      <w:tr>
        <w:trPr>
          <w:trHeight w:val="229"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长期应付款</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（二十九）</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0"/>
              <w:jc w:val="right"/>
              <w:rPr>
                <w:rFonts w:ascii="Times New Roman" w:hAnsi="Times New Roman" w:cs="Times New Roman" w:eastAsia="Times New Roman" w:hint="default"/>
                <w:sz w:val="15"/>
                <w:szCs w:val="15"/>
              </w:rPr>
            </w:pPr>
            <w:r>
              <w:rPr>
                <w:rFonts w:ascii="Times New Roman"/>
                <w:spacing w:val="-1"/>
                <w:sz w:val="15"/>
              </w:rPr>
              <w:t>535,381,362.88</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0"/>
              <w:jc w:val="right"/>
              <w:rPr>
                <w:rFonts w:ascii="Times New Roman" w:hAnsi="Times New Roman" w:cs="Times New Roman" w:eastAsia="Times New Roman" w:hint="default"/>
                <w:sz w:val="15"/>
                <w:szCs w:val="15"/>
              </w:rPr>
            </w:pPr>
            <w:r>
              <w:rPr>
                <w:rFonts w:ascii="Times New Roman"/>
                <w:spacing w:val="-1"/>
                <w:sz w:val="15"/>
              </w:rPr>
              <w:t>532,301,362.88</w:t>
            </w:r>
          </w:p>
        </w:tc>
      </w:tr>
      <w:tr>
        <w:trPr>
          <w:trHeight w:val="230"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5"/>
                <w:szCs w:val="15"/>
              </w:rPr>
            </w:pPr>
            <w:r>
              <w:rPr>
                <w:rFonts w:ascii="宋体" w:hAnsi="宋体" w:cs="宋体" w:eastAsia="宋体" w:hint="default"/>
                <w:sz w:val="15"/>
                <w:szCs w:val="15"/>
              </w:rPr>
              <w:t>长期应付职工薪酬</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
              <w:jc w:val="center"/>
              <w:rPr>
                <w:rFonts w:ascii="宋体" w:hAnsi="宋体" w:cs="宋体" w:eastAsia="宋体" w:hint="default"/>
                <w:sz w:val="15"/>
                <w:szCs w:val="15"/>
              </w:rPr>
            </w:pPr>
            <w:r>
              <w:rPr>
                <w:rFonts w:ascii="宋体" w:hAnsi="宋体" w:cs="宋体" w:eastAsia="宋体" w:hint="default"/>
                <w:sz w:val="15"/>
                <w:szCs w:val="15"/>
              </w:rPr>
              <w:t>（三十）</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Times New Roman" w:hAnsi="Times New Roman" w:cs="Times New Roman" w:eastAsia="Times New Roman" w:hint="default"/>
                <w:sz w:val="15"/>
                <w:szCs w:val="15"/>
              </w:rPr>
            </w:pPr>
            <w:r>
              <w:rPr>
                <w:rFonts w:ascii="Times New Roman"/>
                <w:spacing w:val="-1"/>
                <w:sz w:val="15"/>
              </w:rPr>
              <w:t>721,678.96</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Times New Roman" w:hAnsi="Times New Roman" w:cs="Times New Roman" w:eastAsia="Times New Roman" w:hint="default"/>
                <w:sz w:val="15"/>
                <w:szCs w:val="15"/>
              </w:rPr>
            </w:pPr>
            <w:r>
              <w:rPr>
                <w:rFonts w:ascii="Times New Roman"/>
                <w:spacing w:val="-1"/>
                <w:sz w:val="15"/>
              </w:rPr>
              <w:t>240,081.27</w:t>
            </w:r>
          </w:p>
        </w:tc>
      </w:tr>
      <w:tr>
        <w:trPr>
          <w:trHeight w:val="230"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预计负债</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（三十一）</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1"/>
              <w:jc w:val="right"/>
              <w:rPr>
                <w:rFonts w:ascii="Times New Roman" w:hAnsi="Times New Roman" w:cs="Times New Roman" w:eastAsia="Times New Roman" w:hint="default"/>
                <w:sz w:val="15"/>
                <w:szCs w:val="15"/>
              </w:rPr>
            </w:pPr>
            <w:r>
              <w:rPr>
                <w:rFonts w:ascii="Times New Roman"/>
                <w:spacing w:val="-1"/>
                <w:sz w:val="15"/>
              </w:rPr>
              <w:t>22,427,073.43</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1"/>
              <w:jc w:val="right"/>
              <w:rPr>
                <w:rFonts w:ascii="Times New Roman" w:hAnsi="Times New Roman" w:cs="Times New Roman" w:eastAsia="Times New Roman" w:hint="default"/>
                <w:sz w:val="15"/>
                <w:szCs w:val="15"/>
              </w:rPr>
            </w:pPr>
            <w:r>
              <w:rPr>
                <w:rFonts w:ascii="Times New Roman"/>
                <w:spacing w:val="-1"/>
                <w:sz w:val="15"/>
              </w:rPr>
              <w:t>28,968,122.49</w:t>
            </w:r>
          </w:p>
        </w:tc>
      </w:tr>
      <w:tr>
        <w:trPr>
          <w:trHeight w:val="229"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递延收益</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（三十二）</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0"/>
              <w:jc w:val="right"/>
              <w:rPr>
                <w:rFonts w:ascii="Times New Roman" w:hAnsi="Times New Roman" w:cs="Times New Roman" w:eastAsia="Times New Roman" w:hint="default"/>
                <w:sz w:val="15"/>
                <w:szCs w:val="15"/>
              </w:rPr>
            </w:pPr>
            <w:r>
              <w:rPr>
                <w:rFonts w:ascii="Times New Roman"/>
                <w:spacing w:val="-1"/>
                <w:sz w:val="15"/>
              </w:rPr>
              <w:t>340,164,188.73</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0"/>
              <w:jc w:val="right"/>
              <w:rPr>
                <w:rFonts w:ascii="Times New Roman" w:hAnsi="Times New Roman" w:cs="Times New Roman" w:eastAsia="Times New Roman" w:hint="default"/>
                <w:sz w:val="15"/>
                <w:szCs w:val="15"/>
              </w:rPr>
            </w:pPr>
            <w:r>
              <w:rPr>
                <w:rFonts w:ascii="Times New Roman"/>
                <w:spacing w:val="-1"/>
                <w:sz w:val="15"/>
              </w:rPr>
              <w:t>329,004,231.26</w:t>
            </w:r>
          </w:p>
        </w:tc>
      </w:tr>
      <w:tr>
        <w:trPr>
          <w:trHeight w:val="230"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5"/>
                <w:szCs w:val="15"/>
              </w:rPr>
            </w:pPr>
            <w:r>
              <w:rPr>
                <w:rFonts w:ascii="宋体" w:hAnsi="宋体" w:cs="宋体" w:eastAsia="宋体" w:hint="default"/>
                <w:sz w:val="15"/>
                <w:szCs w:val="15"/>
              </w:rPr>
              <w:t>递延所得税负债</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
              <w:jc w:val="center"/>
              <w:rPr>
                <w:rFonts w:ascii="宋体" w:hAnsi="宋体" w:cs="宋体" w:eastAsia="宋体" w:hint="default"/>
                <w:sz w:val="15"/>
                <w:szCs w:val="15"/>
              </w:rPr>
            </w:pPr>
            <w:r>
              <w:rPr>
                <w:rFonts w:ascii="宋体" w:hAnsi="宋体" w:cs="宋体" w:eastAsia="宋体" w:hint="default"/>
                <w:sz w:val="15"/>
                <w:szCs w:val="15"/>
              </w:rPr>
              <w:t>（十八）</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Times New Roman" w:hAnsi="Times New Roman" w:cs="Times New Roman" w:eastAsia="Times New Roman" w:hint="default"/>
                <w:sz w:val="15"/>
                <w:szCs w:val="15"/>
              </w:rPr>
            </w:pPr>
            <w:r>
              <w:rPr>
                <w:rFonts w:ascii="Times New Roman"/>
                <w:spacing w:val="-1"/>
                <w:sz w:val="15"/>
              </w:rPr>
              <w:t>38,795,101.50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Times New Roman" w:hAnsi="Times New Roman" w:cs="Times New Roman" w:eastAsia="Times New Roman" w:hint="default"/>
                <w:sz w:val="15"/>
                <w:szCs w:val="15"/>
              </w:rPr>
            </w:pPr>
            <w:r>
              <w:rPr>
                <w:rFonts w:ascii="Times New Roman"/>
                <w:spacing w:val="-1"/>
                <w:sz w:val="15"/>
              </w:rPr>
              <w:t>220,924,384.39</w:t>
            </w:r>
          </w:p>
        </w:tc>
      </w:tr>
      <w:tr>
        <w:trPr>
          <w:trHeight w:val="230"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其他非流动负债</w:t>
            </w:r>
          </w:p>
        </w:tc>
        <w:tc>
          <w:tcPr>
            <w:tcW w:w="992"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618" w:type="dxa"/>
            <w:tcBorders>
              <w:top w:val="single" w:sz="4" w:space="0" w:color="000000"/>
              <w:left w:val="single" w:sz="4" w:space="0" w:color="000000"/>
              <w:bottom w:val="single" w:sz="4" w:space="0" w:color="000000"/>
              <w:right w:val="single" w:sz="4" w:space="0" w:color="000000"/>
            </w:tcBorders>
          </w:tcPr>
          <w:p>
            <w:pPr/>
          </w:p>
        </w:tc>
      </w:tr>
      <w:tr>
        <w:trPr>
          <w:trHeight w:val="229"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b/>
                <w:bCs/>
                <w:sz w:val="15"/>
                <w:szCs w:val="15"/>
              </w:rPr>
              <w:t>非流动负债合计</w:t>
            </w:r>
            <w:r>
              <w:rPr>
                <w:rFonts w:ascii="宋体" w:hAnsi="宋体" w:cs="宋体" w:eastAsia="宋体" w:hint="default"/>
                <w:sz w:val="15"/>
                <w:szCs w:val="15"/>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1"/>
              <w:jc w:val="right"/>
              <w:rPr>
                <w:rFonts w:ascii="Times New Roman" w:hAnsi="Times New Roman" w:cs="Times New Roman" w:eastAsia="Times New Roman" w:hint="default"/>
                <w:sz w:val="15"/>
                <w:szCs w:val="15"/>
              </w:rPr>
            </w:pPr>
            <w:r>
              <w:rPr>
                <w:rFonts w:ascii="Times New Roman"/>
                <w:spacing w:val="-1"/>
                <w:sz w:val="15"/>
              </w:rPr>
              <w:t>2,181,074,100.97</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1"/>
              <w:jc w:val="right"/>
              <w:rPr>
                <w:rFonts w:ascii="Times New Roman" w:hAnsi="Times New Roman" w:cs="Times New Roman" w:eastAsia="Times New Roman" w:hint="default"/>
                <w:sz w:val="15"/>
                <w:szCs w:val="15"/>
              </w:rPr>
            </w:pPr>
            <w:r>
              <w:rPr>
                <w:rFonts w:ascii="Times New Roman"/>
                <w:spacing w:val="-1"/>
                <w:sz w:val="15"/>
              </w:rPr>
              <w:t>2,274,429,054.44</w:t>
            </w:r>
          </w:p>
        </w:tc>
      </w:tr>
      <w:tr>
        <w:trPr>
          <w:trHeight w:val="230"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5"/>
                <w:szCs w:val="15"/>
              </w:rPr>
            </w:pPr>
            <w:r>
              <w:rPr>
                <w:rFonts w:ascii="宋体" w:hAnsi="宋体" w:cs="宋体" w:eastAsia="宋体" w:hint="default"/>
                <w:b/>
                <w:bCs/>
                <w:sz w:val="15"/>
                <w:szCs w:val="15"/>
              </w:rPr>
              <w:t>负债合计</w:t>
            </w:r>
            <w:r>
              <w:rPr>
                <w:rFonts w:ascii="宋体" w:hAnsi="宋体" w:cs="宋体" w:eastAsia="宋体" w:hint="default"/>
                <w:sz w:val="15"/>
                <w:szCs w:val="15"/>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Times New Roman" w:hAnsi="Times New Roman" w:cs="Times New Roman" w:eastAsia="Times New Roman" w:hint="default"/>
                <w:sz w:val="15"/>
                <w:szCs w:val="15"/>
              </w:rPr>
            </w:pPr>
            <w:r>
              <w:rPr>
                <w:rFonts w:ascii="Times New Roman"/>
                <w:spacing w:val="-1"/>
                <w:sz w:val="15"/>
              </w:rPr>
              <w:t>9,351,797,340.73</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Times New Roman" w:hAnsi="Times New Roman" w:cs="Times New Roman" w:eastAsia="Times New Roman" w:hint="default"/>
                <w:sz w:val="15"/>
                <w:szCs w:val="15"/>
              </w:rPr>
            </w:pPr>
            <w:r>
              <w:rPr>
                <w:rFonts w:ascii="Times New Roman"/>
                <w:spacing w:val="-1"/>
                <w:sz w:val="15"/>
              </w:rPr>
              <w:t>7,643,000,837.07</w:t>
            </w:r>
          </w:p>
        </w:tc>
      </w:tr>
      <w:tr>
        <w:trPr>
          <w:trHeight w:val="230"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所有者权益：</w:t>
            </w:r>
          </w:p>
        </w:tc>
        <w:tc>
          <w:tcPr>
            <w:tcW w:w="992"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618" w:type="dxa"/>
            <w:tcBorders>
              <w:top w:val="single" w:sz="4" w:space="0" w:color="000000"/>
              <w:left w:val="single" w:sz="4" w:space="0" w:color="000000"/>
              <w:bottom w:val="single" w:sz="4" w:space="0" w:color="000000"/>
              <w:right w:val="single" w:sz="4" w:space="0" w:color="000000"/>
            </w:tcBorders>
          </w:tcPr>
          <w:p>
            <w:pPr/>
          </w:p>
        </w:tc>
      </w:tr>
      <w:tr>
        <w:trPr>
          <w:trHeight w:val="229"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股本</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（三十三）</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1"/>
              <w:jc w:val="right"/>
              <w:rPr>
                <w:rFonts w:ascii="Times New Roman" w:hAnsi="Times New Roman" w:cs="Times New Roman" w:eastAsia="Times New Roman" w:hint="default"/>
                <w:sz w:val="15"/>
                <w:szCs w:val="15"/>
              </w:rPr>
            </w:pPr>
            <w:r>
              <w:rPr>
                <w:rFonts w:ascii="Times New Roman"/>
                <w:spacing w:val="-1"/>
                <w:sz w:val="15"/>
              </w:rPr>
              <w:t>2,936,165,560.00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1"/>
              <w:jc w:val="right"/>
              <w:rPr>
                <w:rFonts w:ascii="Times New Roman" w:hAnsi="Times New Roman" w:cs="Times New Roman" w:eastAsia="Times New Roman" w:hint="default"/>
                <w:sz w:val="15"/>
                <w:szCs w:val="15"/>
              </w:rPr>
            </w:pPr>
            <w:r>
              <w:rPr>
                <w:rFonts w:ascii="Times New Roman"/>
                <w:spacing w:val="-1"/>
                <w:sz w:val="15"/>
              </w:rPr>
              <w:t>2,944,069,459.00</w:t>
            </w:r>
          </w:p>
        </w:tc>
      </w:tr>
      <w:tr>
        <w:trPr>
          <w:trHeight w:val="230"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5"/>
                <w:szCs w:val="15"/>
              </w:rPr>
            </w:pPr>
            <w:r>
              <w:rPr>
                <w:rFonts w:ascii="宋体" w:hAnsi="宋体" w:cs="宋体" w:eastAsia="宋体" w:hint="default"/>
                <w:sz w:val="15"/>
                <w:szCs w:val="15"/>
              </w:rPr>
              <w:t>其他权益工具</w:t>
            </w:r>
          </w:p>
        </w:tc>
        <w:tc>
          <w:tcPr>
            <w:tcW w:w="992"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618"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其中：优先股</w:t>
            </w:r>
          </w:p>
        </w:tc>
        <w:tc>
          <w:tcPr>
            <w:tcW w:w="992"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618" w:type="dxa"/>
            <w:tcBorders>
              <w:top w:val="single" w:sz="4" w:space="0" w:color="000000"/>
              <w:left w:val="single" w:sz="4" w:space="0" w:color="000000"/>
              <w:bottom w:val="single" w:sz="4" w:space="0" w:color="000000"/>
              <w:right w:val="single" w:sz="4" w:space="0" w:color="000000"/>
            </w:tcBorders>
          </w:tcPr>
          <w:p>
            <w:pPr/>
          </w:p>
        </w:tc>
      </w:tr>
      <w:tr>
        <w:trPr>
          <w:trHeight w:val="229"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永续债</w:t>
            </w:r>
          </w:p>
        </w:tc>
        <w:tc>
          <w:tcPr>
            <w:tcW w:w="992"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618"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5"/>
                <w:szCs w:val="15"/>
              </w:rPr>
            </w:pPr>
            <w:r>
              <w:rPr>
                <w:rFonts w:ascii="宋体" w:hAnsi="宋体" w:cs="宋体" w:eastAsia="宋体" w:hint="default"/>
                <w:sz w:val="15"/>
                <w:szCs w:val="15"/>
              </w:rPr>
              <w:t>资本公积</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center"/>
              <w:rPr>
                <w:rFonts w:ascii="宋体" w:hAnsi="宋体" w:cs="宋体" w:eastAsia="宋体" w:hint="default"/>
                <w:sz w:val="15"/>
                <w:szCs w:val="15"/>
              </w:rPr>
            </w:pPr>
            <w:r>
              <w:rPr>
                <w:rFonts w:ascii="宋体" w:hAnsi="宋体" w:cs="宋体" w:eastAsia="宋体" w:hint="default"/>
                <w:sz w:val="15"/>
                <w:szCs w:val="15"/>
              </w:rPr>
              <w:t>（三十四）</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Times New Roman" w:hAnsi="Times New Roman" w:cs="Times New Roman" w:eastAsia="Times New Roman" w:hint="default"/>
                <w:sz w:val="15"/>
                <w:szCs w:val="15"/>
              </w:rPr>
            </w:pPr>
            <w:r>
              <w:rPr>
                <w:rFonts w:ascii="Times New Roman"/>
                <w:spacing w:val="-1"/>
                <w:sz w:val="15"/>
              </w:rPr>
              <w:t>556,164,360.16</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Times New Roman" w:hAnsi="Times New Roman" w:cs="Times New Roman" w:eastAsia="Times New Roman" w:hint="default"/>
                <w:sz w:val="15"/>
                <w:szCs w:val="15"/>
              </w:rPr>
            </w:pPr>
            <w:r>
              <w:rPr>
                <w:rFonts w:ascii="Times New Roman"/>
                <w:spacing w:val="-1"/>
                <w:sz w:val="15"/>
              </w:rPr>
              <w:t>393,823,634.91</w:t>
            </w:r>
          </w:p>
        </w:tc>
      </w:tr>
      <w:tr>
        <w:trPr>
          <w:trHeight w:val="230"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减：库存股</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（三十五）</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0"/>
              <w:jc w:val="right"/>
              <w:rPr>
                <w:rFonts w:ascii="Times New Roman" w:hAnsi="Times New Roman" w:cs="Times New Roman" w:eastAsia="Times New Roman" w:hint="default"/>
                <w:sz w:val="15"/>
                <w:szCs w:val="15"/>
              </w:rPr>
            </w:pPr>
            <w:r>
              <w:rPr>
                <w:rFonts w:ascii="Times New Roman"/>
                <w:spacing w:val="-1"/>
                <w:sz w:val="15"/>
              </w:rPr>
              <w:t>7,983,507.00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0"/>
              <w:jc w:val="right"/>
              <w:rPr>
                <w:rFonts w:ascii="Times New Roman" w:hAnsi="Times New Roman" w:cs="Times New Roman" w:eastAsia="Times New Roman" w:hint="default"/>
                <w:sz w:val="15"/>
                <w:szCs w:val="15"/>
              </w:rPr>
            </w:pPr>
            <w:r>
              <w:rPr>
                <w:rFonts w:ascii="Times New Roman"/>
                <w:spacing w:val="-1"/>
                <w:sz w:val="15"/>
              </w:rPr>
              <w:t>7,903,899.00</w:t>
            </w:r>
          </w:p>
        </w:tc>
      </w:tr>
      <w:tr>
        <w:trPr>
          <w:trHeight w:val="229"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其他综合收益</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（三十六）</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1"/>
              <w:jc w:val="right"/>
              <w:rPr>
                <w:rFonts w:ascii="Times New Roman" w:hAnsi="Times New Roman" w:cs="Times New Roman" w:eastAsia="Times New Roman" w:hint="default"/>
                <w:sz w:val="15"/>
                <w:szCs w:val="15"/>
              </w:rPr>
            </w:pPr>
            <w:r>
              <w:rPr>
                <w:rFonts w:ascii="Times New Roman"/>
                <w:spacing w:val="-1"/>
                <w:sz w:val="15"/>
              </w:rPr>
              <w:t>88,764,092.23</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1"/>
              <w:jc w:val="right"/>
              <w:rPr>
                <w:rFonts w:ascii="Times New Roman" w:hAnsi="Times New Roman" w:cs="Times New Roman" w:eastAsia="Times New Roman" w:hint="default"/>
                <w:sz w:val="15"/>
                <w:szCs w:val="15"/>
              </w:rPr>
            </w:pPr>
            <w:r>
              <w:rPr>
                <w:rFonts w:ascii="Times New Roman"/>
                <w:spacing w:val="-1"/>
                <w:sz w:val="15"/>
              </w:rPr>
              <w:t>1,219,420,299.88</w:t>
            </w:r>
          </w:p>
        </w:tc>
      </w:tr>
      <w:tr>
        <w:trPr>
          <w:trHeight w:val="230"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5"/>
                <w:szCs w:val="15"/>
              </w:rPr>
            </w:pPr>
            <w:r>
              <w:rPr>
                <w:rFonts w:ascii="宋体" w:hAnsi="宋体" w:cs="宋体" w:eastAsia="宋体" w:hint="default"/>
                <w:sz w:val="15"/>
                <w:szCs w:val="15"/>
              </w:rPr>
              <w:t>专项储备</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center"/>
              <w:rPr>
                <w:rFonts w:ascii="宋体" w:hAnsi="宋体" w:cs="宋体" w:eastAsia="宋体" w:hint="default"/>
                <w:sz w:val="15"/>
                <w:szCs w:val="15"/>
              </w:rPr>
            </w:pPr>
            <w:r>
              <w:rPr>
                <w:rFonts w:ascii="宋体" w:hAnsi="宋体" w:cs="宋体" w:eastAsia="宋体" w:hint="default"/>
                <w:sz w:val="15"/>
                <w:szCs w:val="15"/>
              </w:rPr>
              <w:t>（三十七）</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Times New Roman" w:hAnsi="Times New Roman" w:cs="Times New Roman" w:eastAsia="Times New Roman" w:hint="default"/>
                <w:sz w:val="15"/>
                <w:szCs w:val="15"/>
              </w:rPr>
            </w:pPr>
            <w:r>
              <w:rPr>
                <w:rFonts w:ascii="Times New Roman"/>
                <w:spacing w:val="-1"/>
                <w:sz w:val="15"/>
              </w:rPr>
              <w:t>1,235,782.10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Times New Roman" w:hAnsi="Times New Roman" w:cs="Times New Roman" w:eastAsia="Times New Roman" w:hint="default"/>
                <w:sz w:val="15"/>
                <w:szCs w:val="15"/>
              </w:rPr>
            </w:pPr>
            <w:r>
              <w:rPr>
                <w:rFonts w:ascii="Times New Roman"/>
                <w:spacing w:val="-1"/>
                <w:sz w:val="15"/>
              </w:rPr>
              <w:t>3,746,671.08</w:t>
            </w:r>
          </w:p>
        </w:tc>
      </w:tr>
      <w:tr>
        <w:trPr>
          <w:trHeight w:val="230"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盈余公积</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（三十八）</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0"/>
              <w:jc w:val="right"/>
              <w:rPr>
                <w:rFonts w:ascii="Times New Roman" w:hAnsi="Times New Roman" w:cs="Times New Roman" w:eastAsia="Times New Roman" w:hint="default"/>
                <w:sz w:val="15"/>
                <w:szCs w:val="15"/>
              </w:rPr>
            </w:pPr>
            <w:r>
              <w:rPr>
                <w:rFonts w:ascii="Times New Roman"/>
                <w:spacing w:val="-1"/>
                <w:sz w:val="15"/>
              </w:rPr>
              <w:t>248,783,392.67</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0"/>
              <w:jc w:val="right"/>
              <w:rPr>
                <w:rFonts w:ascii="Times New Roman" w:hAnsi="Times New Roman" w:cs="Times New Roman" w:eastAsia="Times New Roman" w:hint="default"/>
                <w:sz w:val="15"/>
                <w:szCs w:val="15"/>
              </w:rPr>
            </w:pPr>
            <w:r>
              <w:rPr>
                <w:rFonts w:ascii="Times New Roman"/>
                <w:spacing w:val="-1"/>
                <w:sz w:val="15"/>
              </w:rPr>
              <w:t>291,388,571.45</w:t>
            </w:r>
          </w:p>
        </w:tc>
      </w:tr>
      <w:tr>
        <w:trPr>
          <w:trHeight w:val="229"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一般风险准备</w:t>
            </w:r>
          </w:p>
        </w:tc>
        <w:tc>
          <w:tcPr>
            <w:tcW w:w="992"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618"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5"/>
                <w:szCs w:val="15"/>
              </w:rPr>
            </w:pPr>
            <w:r>
              <w:rPr>
                <w:rFonts w:ascii="宋体" w:hAnsi="宋体" w:cs="宋体" w:eastAsia="宋体" w:hint="default"/>
                <w:sz w:val="15"/>
                <w:szCs w:val="15"/>
              </w:rPr>
              <w:t>未分配利润</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center"/>
              <w:rPr>
                <w:rFonts w:ascii="宋体" w:hAnsi="宋体" w:cs="宋体" w:eastAsia="宋体" w:hint="default"/>
                <w:sz w:val="15"/>
                <w:szCs w:val="15"/>
              </w:rPr>
            </w:pPr>
            <w:r>
              <w:rPr>
                <w:rFonts w:ascii="宋体" w:hAnsi="宋体" w:cs="宋体" w:eastAsia="宋体" w:hint="default"/>
                <w:sz w:val="15"/>
                <w:szCs w:val="15"/>
              </w:rPr>
              <w:t>（三十九）</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Times New Roman" w:hAnsi="Times New Roman" w:cs="Times New Roman" w:eastAsia="Times New Roman" w:hint="default"/>
                <w:sz w:val="15"/>
                <w:szCs w:val="15"/>
              </w:rPr>
            </w:pPr>
            <w:r>
              <w:rPr>
                <w:rFonts w:ascii="Times New Roman"/>
                <w:spacing w:val="-1"/>
                <w:sz w:val="15"/>
              </w:rPr>
              <w:t>2,417,354,105.06</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Times New Roman" w:hAnsi="Times New Roman" w:cs="Times New Roman" w:eastAsia="Times New Roman" w:hint="default"/>
                <w:sz w:val="15"/>
                <w:szCs w:val="15"/>
              </w:rPr>
            </w:pPr>
            <w:r>
              <w:rPr>
                <w:rFonts w:ascii="Times New Roman"/>
                <w:spacing w:val="-1"/>
                <w:sz w:val="15"/>
              </w:rPr>
              <w:t>1,829,793,778.08</w:t>
            </w:r>
          </w:p>
        </w:tc>
      </w:tr>
      <w:tr>
        <w:trPr>
          <w:trHeight w:val="230"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归属于母公司所有者权益合计</w:t>
            </w:r>
          </w:p>
        </w:tc>
        <w:tc>
          <w:tcPr>
            <w:tcW w:w="992"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1"/>
              <w:jc w:val="right"/>
              <w:rPr>
                <w:rFonts w:ascii="Times New Roman" w:hAnsi="Times New Roman" w:cs="Times New Roman" w:eastAsia="Times New Roman" w:hint="default"/>
                <w:sz w:val="15"/>
                <w:szCs w:val="15"/>
              </w:rPr>
            </w:pPr>
            <w:r>
              <w:rPr>
                <w:rFonts w:ascii="Times New Roman"/>
                <w:spacing w:val="-1"/>
                <w:sz w:val="15"/>
              </w:rPr>
              <w:t>6,240,483,785.22</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1"/>
              <w:jc w:val="right"/>
              <w:rPr>
                <w:rFonts w:ascii="Times New Roman" w:hAnsi="Times New Roman" w:cs="Times New Roman" w:eastAsia="Times New Roman" w:hint="default"/>
                <w:sz w:val="15"/>
                <w:szCs w:val="15"/>
              </w:rPr>
            </w:pPr>
            <w:r>
              <w:rPr>
                <w:rFonts w:ascii="Times New Roman"/>
                <w:spacing w:val="-1"/>
                <w:sz w:val="15"/>
              </w:rPr>
              <w:t>6,674,338,515.40</w:t>
            </w:r>
          </w:p>
        </w:tc>
      </w:tr>
      <w:tr>
        <w:trPr>
          <w:trHeight w:val="229"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少数股东权益</w:t>
            </w:r>
          </w:p>
        </w:tc>
        <w:tc>
          <w:tcPr>
            <w:tcW w:w="992"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0"/>
              <w:jc w:val="right"/>
              <w:rPr>
                <w:rFonts w:ascii="Times New Roman" w:hAnsi="Times New Roman" w:cs="Times New Roman" w:eastAsia="Times New Roman" w:hint="default"/>
                <w:sz w:val="15"/>
                <w:szCs w:val="15"/>
              </w:rPr>
            </w:pPr>
            <w:r>
              <w:rPr>
                <w:rFonts w:ascii="Times New Roman"/>
                <w:spacing w:val="-1"/>
                <w:sz w:val="15"/>
              </w:rPr>
              <w:t>409,942,146.60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0"/>
              <w:jc w:val="right"/>
              <w:rPr>
                <w:rFonts w:ascii="Times New Roman" w:hAnsi="Times New Roman" w:cs="Times New Roman" w:eastAsia="Times New Roman" w:hint="default"/>
                <w:sz w:val="15"/>
                <w:szCs w:val="15"/>
              </w:rPr>
            </w:pPr>
            <w:r>
              <w:rPr>
                <w:rFonts w:ascii="Times New Roman"/>
                <w:spacing w:val="-1"/>
                <w:sz w:val="15"/>
              </w:rPr>
              <w:t>884,244,516.08</w:t>
            </w:r>
          </w:p>
        </w:tc>
      </w:tr>
      <w:tr>
        <w:trPr>
          <w:trHeight w:val="230"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5"/>
                <w:szCs w:val="15"/>
              </w:rPr>
            </w:pPr>
            <w:r>
              <w:rPr>
                <w:rFonts w:ascii="宋体" w:hAnsi="宋体" w:cs="宋体" w:eastAsia="宋体" w:hint="default"/>
                <w:b/>
                <w:bCs/>
                <w:sz w:val="15"/>
                <w:szCs w:val="15"/>
              </w:rPr>
              <w:t>所有者权益合计</w:t>
            </w:r>
            <w:r>
              <w:rPr>
                <w:rFonts w:ascii="宋体" w:hAnsi="宋体" w:cs="宋体" w:eastAsia="宋体" w:hint="default"/>
                <w:sz w:val="15"/>
                <w:szCs w:val="15"/>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Times New Roman" w:hAnsi="Times New Roman" w:cs="Times New Roman" w:eastAsia="Times New Roman" w:hint="default"/>
                <w:sz w:val="15"/>
                <w:szCs w:val="15"/>
              </w:rPr>
            </w:pPr>
            <w:r>
              <w:rPr>
                <w:rFonts w:ascii="Times New Roman"/>
                <w:spacing w:val="-1"/>
                <w:sz w:val="15"/>
              </w:rPr>
              <w:t>6,650,425,931.82</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Times New Roman" w:hAnsi="Times New Roman" w:cs="Times New Roman" w:eastAsia="Times New Roman" w:hint="default"/>
                <w:sz w:val="15"/>
                <w:szCs w:val="15"/>
              </w:rPr>
            </w:pPr>
            <w:r>
              <w:rPr>
                <w:rFonts w:ascii="Times New Roman"/>
                <w:spacing w:val="-1"/>
                <w:sz w:val="15"/>
              </w:rPr>
              <w:t>7,558,583,031.48</w:t>
            </w:r>
          </w:p>
        </w:tc>
      </w:tr>
      <w:tr>
        <w:trPr>
          <w:trHeight w:val="230" w:hRule="exact"/>
        </w:trPr>
        <w:tc>
          <w:tcPr>
            <w:tcW w:w="4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b/>
                <w:bCs/>
                <w:sz w:val="15"/>
                <w:szCs w:val="15"/>
              </w:rPr>
              <w:t>负债和所有者权益总计</w:t>
            </w:r>
            <w:r>
              <w:rPr>
                <w:rFonts w:ascii="宋体" w:hAnsi="宋体" w:cs="宋体" w:eastAsia="宋体" w:hint="default"/>
                <w:sz w:val="15"/>
                <w:szCs w:val="15"/>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0"/>
              <w:jc w:val="right"/>
              <w:rPr>
                <w:rFonts w:ascii="Times New Roman" w:hAnsi="Times New Roman" w:cs="Times New Roman" w:eastAsia="Times New Roman" w:hint="default"/>
                <w:sz w:val="15"/>
                <w:szCs w:val="15"/>
              </w:rPr>
            </w:pPr>
            <w:r>
              <w:rPr>
                <w:rFonts w:ascii="Times New Roman"/>
                <w:spacing w:val="-1"/>
                <w:sz w:val="15"/>
              </w:rPr>
              <w:t>16,002,223,272.55</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0"/>
              <w:jc w:val="right"/>
              <w:rPr>
                <w:rFonts w:ascii="Times New Roman" w:hAnsi="Times New Roman" w:cs="Times New Roman" w:eastAsia="Times New Roman" w:hint="default"/>
                <w:sz w:val="15"/>
                <w:szCs w:val="15"/>
              </w:rPr>
            </w:pPr>
            <w:r>
              <w:rPr>
                <w:rFonts w:ascii="Times New Roman"/>
                <w:spacing w:val="-1"/>
                <w:sz w:val="15"/>
              </w:rPr>
              <w:t>15,201,583,868.55</w:t>
            </w:r>
          </w:p>
        </w:tc>
      </w:tr>
    </w:tbl>
    <w:p>
      <w:pPr>
        <w:spacing w:before="91"/>
        <w:ind w:left="217"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tabs>
          <w:tab w:pos="2453" w:val="left" w:leader="none"/>
          <w:tab w:pos="3968" w:val="left" w:leader="none"/>
          <w:tab w:pos="6564" w:val="left" w:leader="none"/>
        </w:tabs>
        <w:spacing w:before="75"/>
        <w:ind w:left="217" w:right="0" w:firstLine="0"/>
        <w:jc w:val="left"/>
        <w:rPr>
          <w:rFonts w:ascii="宋体" w:hAnsi="宋体" w:cs="宋体" w:eastAsia="宋体" w:hint="default"/>
          <w:sz w:val="18"/>
          <w:szCs w:val="18"/>
        </w:rPr>
      </w:pPr>
      <w:r>
        <w:rPr>
          <w:rFonts w:ascii="宋体" w:hAnsi="宋体" w:cs="宋体" w:eastAsia="宋体" w:hint="default"/>
          <w:spacing w:val="-2"/>
          <w:sz w:val="18"/>
          <w:szCs w:val="18"/>
        </w:rPr>
        <w:t>企业法定代表人：宋黎定</w:t>
        <w:tab/>
      </w:r>
      <w:r>
        <w:rPr>
          <w:rFonts w:ascii="宋体" w:hAnsi="宋体" w:cs="宋体" w:eastAsia="宋体" w:hint="default"/>
          <w:spacing w:val="-3"/>
          <w:sz w:val="18"/>
          <w:szCs w:val="18"/>
        </w:rPr>
        <w:t>公司总裁：徐刚</w:t>
        <w:tab/>
      </w:r>
      <w:r>
        <w:rPr>
          <w:rFonts w:ascii="宋体" w:hAnsi="宋体" w:cs="宋体" w:eastAsia="宋体" w:hint="default"/>
          <w:spacing w:val="-2"/>
          <w:sz w:val="18"/>
          <w:szCs w:val="18"/>
        </w:rPr>
        <w:t>主管会计工作负责人：刘文彬</w:t>
        <w:tab/>
        <w:t>会计机构负责人：许少霞</w:t>
      </w:r>
    </w:p>
    <w:p>
      <w:pPr>
        <w:spacing w:after="0"/>
        <w:jc w:val="left"/>
        <w:rPr>
          <w:rFonts w:ascii="宋体" w:hAnsi="宋体" w:cs="宋体" w:eastAsia="宋体" w:hint="default"/>
          <w:sz w:val="18"/>
          <w:szCs w:val="18"/>
        </w:rPr>
        <w:sectPr>
          <w:pgSz w:w="11910" w:h="16840"/>
          <w:pgMar w:header="969" w:footer="784" w:top="1160" w:bottom="980" w:left="1580" w:right="0"/>
        </w:sectPr>
      </w:pPr>
    </w:p>
    <w:p>
      <w:pPr>
        <w:spacing w:before="38"/>
        <w:ind w:left="2637" w:right="4210" w:firstLine="0"/>
        <w:jc w:val="center"/>
        <w:rPr>
          <w:rFonts w:ascii="宋体" w:hAnsi="宋体" w:cs="宋体" w:eastAsia="宋体" w:hint="default"/>
          <w:sz w:val="18"/>
          <w:szCs w:val="18"/>
        </w:rPr>
      </w:pPr>
      <w:r>
        <w:rPr>
          <w:rFonts w:ascii="宋体" w:hAnsi="宋体" w:cs="宋体" w:eastAsia="宋体" w:hint="default"/>
          <w:b/>
          <w:bCs/>
          <w:sz w:val="18"/>
          <w:szCs w:val="18"/>
        </w:rPr>
        <w:t>资产负债表</w:t>
      </w:r>
      <w:r>
        <w:rPr>
          <w:rFonts w:ascii="宋体" w:hAnsi="宋体" w:cs="宋体" w:eastAsia="宋体" w:hint="default"/>
          <w:sz w:val="18"/>
          <w:szCs w:val="18"/>
        </w:rPr>
      </w:r>
    </w:p>
    <w:p>
      <w:pPr>
        <w:spacing w:before="38"/>
        <w:ind w:left="2637" w:right="4212" w:firstLine="0"/>
        <w:jc w:val="center"/>
        <w:rPr>
          <w:rFonts w:ascii="宋体" w:hAnsi="宋体" w:cs="宋体" w:eastAsia="宋体" w:hint="default"/>
          <w:sz w:val="18"/>
          <w:szCs w:val="18"/>
        </w:rPr>
      </w:pPr>
      <w:r>
        <w:rPr>
          <w:rFonts w:ascii="Times New Roman" w:hAnsi="Times New Roman" w:cs="Times New Roman" w:eastAsia="Times New Roman" w:hint="default"/>
          <w:b/>
          <w:bCs/>
          <w:sz w:val="18"/>
          <w:szCs w:val="18"/>
        </w:rPr>
        <w:t>2018</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年</w:t>
      </w:r>
      <w:r>
        <w:rPr>
          <w:rFonts w:ascii="宋体" w:hAnsi="宋体" w:cs="宋体" w:eastAsia="宋体" w:hint="default"/>
          <w:b/>
          <w:bCs/>
          <w:spacing w:val="-46"/>
          <w:sz w:val="18"/>
          <w:szCs w:val="18"/>
        </w:rPr>
        <w:t> </w:t>
      </w:r>
      <w:r>
        <w:rPr>
          <w:rFonts w:ascii="Times New Roman" w:hAnsi="Times New Roman" w:cs="Times New Roman" w:eastAsia="Times New Roman" w:hint="default"/>
          <w:b/>
          <w:bCs/>
          <w:sz w:val="18"/>
          <w:szCs w:val="18"/>
        </w:rPr>
        <w:t>12</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月</w:t>
      </w:r>
      <w:r>
        <w:rPr>
          <w:rFonts w:ascii="宋体" w:hAnsi="宋体" w:cs="宋体" w:eastAsia="宋体" w:hint="default"/>
          <w:b/>
          <w:bCs/>
          <w:spacing w:val="-46"/>
          <w:sz w:val="18"/>
          <w:szCs w:val="18"/>
        </w:rPr>
        <w:t> </w:t>
      </w:r>
      <w:r>
        <w:rPr>
          <w:rFonts w:ascii="Times New Roman" w:hAnsi="Times New Roman" w:cs="Times New Roman" w:eastAsia="Times New Roman" w:hint="default"/>
          <w:b/>
          <w:bCs/>
          <w:sz w:val="18"/>
          <w:szCs w:val="18"/>
        </w:rPr>
        <w:t>31</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日</w:t>
      </w:r>
      <w:r>
        <w:rPr>
          <w:rFonts w:ascii="宋体" w:hAnsi="宋体" w:cs="宋体" w:eastAsia="宋体" w:hint="default"/>
          <w:sz w:val="18"/>
          <w:szCs w:val="18"/>
        </w:rPr>
      </w:r>
    </w:p>
    <w:p>
      <w:pPr>
        <w:spacing w:before="24"/>
        <w:ind w:left="2637" w:right="4214" w:firstLine="0"/>
        <w:jc w:val="center"/>
        <w:rPr>
          <w:rFonts w:ascii="宋体" w:hAnsi="宋体" w:cs="宋体" w:eastAsia="宋体" w:hint="default"/>
          <w:sz w:val="18"/>
          <w:szCs w:val="18"/>
        </w:rPr>
      </w:pPr>
      <w:r>
        <w:rPr>
          <w:rFonts w:ascii="宋体" w:hAnsi="宋体" w:cs="宋体" w:eastAsia="宋体" w:hint="default"/>
          <w:b/>
          <w:bCs/>
          <w:sz w:val="18"/>
          <w:szCs w:val="18"/>
        </w:rPr>
        <w:t>（除特别注明外，金额单位均为人民币元）</w:t>
      </w:r>
      <w:r>
        <w:rPr>
          <w:rFonts w:ascii="宋体" w:hAnsi="宋体" w:cs="宋体" w:eastAsia="宋体" w:hint="default"/>
          <w:sz w:val="18"/>
          <w:szCs w:val="18"/>
        </w:rPr>
      </w:r>
    </w:p>
    <w:p>
      <w:pPr>
        <w:spacing w:line="240" w:lineRule="auto" w:before="0"/>
        <w:rPr>
          <w:rFonts w:ascii="宋体" w:hAnsi="宋体" w:cs="宋体" w:eastAsia="宋体" w:hint="default"/>
          <w:b/>
          <w:bCs/>
          <w:sz w:val="14"/>
          <w:szCs w:val="14"/>
        </w:rPr>
      </w:pPr>
    </w:p>
    <w:tbl>
      <w:tblPr>
        <w:tblW w:w="0" w:type="auto"/>
        <w:jc w:val="left"/>
        <w:tblInd w:w="104" w:type="dxa"/>
        <w:tblLayout w:type="fixed"/>
        <w:tblCellMar>
          <w:top w:w="0" w:type="dxa"/>
          <w:left w:w="0" w:type="dxa"/>
          <w:bottom w:w="0" w:type="dxa"/>
          <w:right w:w="0" w:type="dxa"/>
        </w:tblCellMar>
        <w:tblLook w:val="01E0"/>
      </w:tblPr>
      <w:tblGrid>
        <w:gridCol w:w="4360"/>
        <w:gridCol w:w="991"/>
        <w:gridCol w:w="1844"/>
        <w:gridCol w:w="1558"/>
      </w:tblGrid>
      <w:tr>
        <w:trPr>
          <w:trHeight w:val="390" w:hRule="exact"/>
        </w:trPr>
        <w:tc>
          <w:tcPr>
            <w:tcW w:w="4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
              <w:jc w:val="center"/>
              <w:rPr>
                <w:rFonts w:ascii="宋体" w:hAnsi="宋体" w:cs="宋体" w:eastAsia="宋体" w:hint="default"/>
                <w:sz w:val="18"/>
                <w:szCs w:val="18"/>
              </w:rPr>
            </w:pPr>
            <w:r>
              <w:rPr>
                <w:rFonts w:ascii="宋体" w:hAnsi="宋体" w:cs="宋体" w:eastAsia="宋体" w:hint="default"/>
                <w:sz w:val="18"/>
                <w:szCs w:val="18"/>
              </w:rPr>
              <w:t>资产</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0"/>
              <w:jc w:val="center"/>
              <w:rPr>
                <w:rFonts w:ascii="宋体" w:hAnsi="宋体" w:cs="宋体" w:eastAsia="宋体" w:hint="default"/>
                <w:sz w:val="18"/>
                <w:szCs w:val="18"/>
              </w:rPr>
            </w:pPr>
            <w:r>
              <w:rPr>
                <w:rFonts w:ascii="宋体" w:hAnsi="宋体" w:cs="宋体" w:eastAsia="宋体" w:hint="default"/>
                <w:sz w:val="18"/>
                <w:szCs w:val="18"/>
              </w:rPr>
              <w:t>附注十六</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556"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412" w:right="0"/>
              <w:jc w:val="left"/>
              <w:rPr>
                <w:rFonts w:ascii="宋体" w:hAnsi="宋体" w:cs="宋体" w:eastAsia="宋体" w:hint="default"/>
                <w:sz w:val="18"/>
                <w:szCs w:val="18"/>
              </w:rPr>
            </w:pPr>
            <w:r>
              <w:rPr>
                <w:rFonts w:ascii="宋体" w:hAnsi="宋体" w:cs="宋体" w:eastAsia="宋体" w:hint="default"/>
                <w:sz w:val="18"/>
                <w:szCs w:val="18"/>
              </w:rPr>
              <w:t>年初余额</w:t>
            </w:r>
          </w:p>
        </w:tc>
      </w:tr>
      <w:tr>
        <w:trPr>
          <w:trHeight w:val="390" w:hRule="exact"/>
        </w:trPr>
        <w:tc>
          <w:tcPr>
            <w:tcW w:w="4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03"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r>
      <w:tr>
        <w:trPr>
          <w:trHeight w:val="390" w:hRule="exact"/>
        </w:trPr>
        <w:tc>
          <w:tcPr>
            <w:tcW w:w="4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03"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1,004,581,514.25</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572,386,667.52</w:t>
            </w:r>
          </w:p>
        </w:tc>
      </w:tr>
      <w:tr>
        <w:trPr>
          <w:trHeight w:val="390" w:hRule="exact"/>
        </w:trPr>
        <w:tc>
          <w:tcPr>
            <w:tcW w:w="4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03" w:right="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以公允价值计量且其变动计入当期损益的金融资产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r>
      <w:tr>
        <w:trPr>
          <w:trHeight w:val="390" w:hRule="exact"/>
        </w:trPr>
        <w:tc>
          <w:tcPr>
            <w:tcW w:w="4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03"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r>
      <w:tr>
        <w:trPr>
          <w:trHeight w:val="390" w:hRule="exact"/>
        </w:trPr>
        <w:tc>
          <w:tcPr>
            <w:tcW w:w="4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03" w:right="0"/>
              <w:jc w:val="left"/>
              <w:rPr>
                <w:rFonts w:ascii="宋体" w:hAnsi="宋体" w:cs="宋体" w:eastAsia="宋体" w:hint="default"/>
                <w:sz w:val="18"/>
                <w:szCs w:val="18"/>
              </w:rPr>
            </w:pPr>
            <w:r>
              <w:rPr>
                <w:rFonts w:ascii="宋体" w:hAnsi="宋体" w:cs="宋体" w:eastAsia="宋体" w:hint="default"/>
                <w:sz w:val="18"/>
                <w:szCs w:val="18"/>
              </w:rPr>
              <w:t>应收票据及应收账款</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0"/>
              <w:jc w:val="center"/>
              <w:rPr>
                <w:rFonts w:ascii="宋体" w:hAnsi="宋体" w:cs="宋体" w:eastAsia="宋体" w:hint="default"/>
                <w:sz w:val="18"/>
                <w:szCs w:val="18"/>
              </w:rPr>
            </w:pPr>
            <w:r>
              <w:rPr>
                <w:rFonts w:ascii="宋体" w:hAnsi="宋体" w:cs="宋体" w:eastAsia="宋体" w:hint="default"/>
                <w:sz w:val="18"/>
                <w:szCs w:val="18"/>
              </w:rPr>
              <w:t>（一）</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499,263,423.06</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450,042,636.22</w:t>
            </w:r>
          </w:p>
        </w:tc>
      </w:tr>
      <w:tr>
        <w:trPr>
          <w:trHeight w:val="390" w:hRule="exact"/>
        </w:trPr>
        <w:tc>
          <w:tcPr>
            <w:tcW w:w="4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03"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36,230,360.65</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68,083,019.80</w:t>
            </w:r>
          </w:p>
        </w:tc>
      </w:tr>
      <w:tr>
        <w:trPr>
          <w:trHeight w:val="390" w:hRule="exact"/>
        </w:trPr>
        <w:tc>
          <w:tcPr>
            <w:tcW w:w="4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0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0"/>
              <w:jc w:val="center"/>
              <w:rPr>
                <w:rFonts w:ascii="宋体" w:hAnsi="宋体" w:cs="宋体" w:eastAsia="宋体" w:hint="default"/>
                <w:sz w:val="18"/>
                <w:szCs w:val="18"/>
              </w:rPr>
            </w:pPr>
            <w:r>
              <w:rPr>
                <w:rFonts w:ascii="宋体" w:hAnsi="宋体" w:cs="宋体" w:eastAsia="宋体" w:hint="default"/>
                <w:sz w:val="18"/>
                <w:szCs w:val="18"/>
              </w:rPr>
              <w:t>（二）</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437,181,743.46</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504,138,813.86</w:t>
            </w:r>
          </w:p>
        </w:tc>
      </w:tr>
      <w:tr>
        <w:trPr>
          <w:trHeight w:val="390" w:hRule="exact"/>
        </w:trPr>
        <w:tc>
          <w:tcPr>
            <w:tcW w:w="4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03"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192,559,192.98</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148,564,142.56</w:t>
            </w:r>
          </w:p>
        </w:tc>
      </w:tr>
      <w:tr>
        <w:trPr>
          <w:trHeight w:val="390" w:hRule="exact"/>
        </w:trPr>
        <w:tc>
          <w:tcPr>
            <w:tcW w:w="4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03" w:right="0"/>
              <w:jc w:val="left"/>
              <w:rPr>
                <w:rFonts w:ascii="宋体" w:hAnsi="宋体" w:cs="宋体" w:eastAsia="宋体" w:hint="default"/>
                <w:sz w:val="18"/>
                <w:szCs w:val="18"/>
              </w:rPr>
            </w:pPr>
            <w:r>
              <w:rPr>
                <w:rFonts w:ascii="宋体" w:hAnsi="宋体" w:cs="宋体" w:eastAsia="宋体" w:hint="default"/>
                <w:sz w:val="18"/>
                <w:szCs w:val="18"/>
              </w:rPr>
              <w:t>持有待售资产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r>
      <w:tr>
        <w:trPr>
          <w:trHeight w:val="390" w:hRule="exact"/>
        </w:trPr>
        <w:tc>
          <w:tcPr>
            <w:tcW w:w="4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03"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r>
      <w:tr>
        <w:trPr>
          <w:trHeight w:val="390" w:hRule="exact"/>
        </w:trPr>
        <w:tc>
          <w:tcPr>
            <w:tcW w:w="4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03"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14,058,186.51</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17,029,406.54</w:t>
            </w:r>
          </w:p>
        </w:tc>
      </w:tr>
      <w:tr>
        <w:trPr>
          <w:trHeight w:val="390" w:hRule="exact"/>
        </w:trPr>
        <w:tc>
          <w:tcPr>
            <w:tcW w:w="4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03" w:right="0"/>
              <w:jc w:val="left"/>
              <w:rPr>
                <w:rFonts w:ascii="宋体" w:hAnsi="宋体" w:cs="宋体" w:eastAsia="宋体" w:hint="default"/>
                <w:sz w:val="18"/>
                <w:szCs w:val="18"/>
              </w:rPr>
            </w:pPr>
            <w:r>
              <w:rPr>
                <w:rFonts w:ascii="宋体" w:hAnsi="宋体" w:cs="宋体" w:eastAsia="宋体" w:hint="default"/>
                <w:b/>
                <w:bCs/>
                <w:sz w:val="18"/>
                <w:szCs w:val="18"/>
              </w:rPr>
              <w:t>流动资产合计</w:t>
            </w:r>
            <w:r>
              <w:rPr>
                <w:rFonts w:ascii="宋体" w:hAnsi="宋体" w:cs="宋体" w:eastAsia="宋体" w:hint="default"/>
                <w:sz w:val="18"/>
                <w:szCs w:val="18"/>
              </w:rPr>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2,183,874,420.91</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1,760,244,686.50</w:t>
            </w:r>
          </w:p>
        </w:tc>
      </w:tr>
      <w:tr>
        <w:trPr>
          <w:trHeight w:val="390" w:hRule="exact"/>
        </w:trPr>
        <w:tc>
          <w:tcPr>
            <w:tcW w:w="4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03"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r>
      <w:tr>
        <w:trPr>
          <w:trHeight w:val="390" w:hRule="exact"/>
        </w:trPr>
        <w:tc>
          <w:tcPr>
            <w:tcW w:w="4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03"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211,787,459.16</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1,705,580,600.00</w:t>
            </w:r>
          </w:p>
        </w:tc>
      </w:tr>
      <w:tr>
        <w:trPr>
          <w:trHeight w:val="390" w:hRule="exact"/>
        </w:trPr>
        <w:tc>
          <w:tcPr>
            <w:tcW w:w="4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03"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r>
      <w:tr>
        <w:trPr>
          <w:trHeight w:val="390" w:hRule="exact"/>
        </w:trPr>
        <w:tc>
          <w:tcPr>
            <w:tcW w:w="4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03"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675,000,000.00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110,000,000.00</w:t>
            </w:r>
          </w:p>
        </w:tc>
      </w:tr>
      <w:tr>
        <w:trPr>
          <w:trHeight w:val="390" w:hRule="exact"/>
        </w:trPr>
        <w:tc>
          <w:tcPr>
            <w:tcW w:w="4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03"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0"/>
              <w:jc w:val="center"/>
              <w:rPr>
                <w:rFonts w:ascii="宋体" w:hAnsi="宋体" w:cs="宋体" w:eastAsia="宋体" w:hint="default"/>
                <w:sz w:val="18"/>
                <w:szCs w:val="18"/>
              </w:rPr>
            </w:pPr>
            <w:r>
              <w:rPr>
                <w:rFonts w:ascii="宋体" w:hAnsi="宋体" w:cs="宋体" w:eastAsia="宋体" w:hint="default"/>
                <w:sz w:val="18"/>
                <w:szCs w:val="18"/>
              </w:rPr>
              <w:t>（三）</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4,538,290,408.70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3,422,298,501.99</w:t>
            </w:r>
          </w:p>
        </w:tc>
      </w:tr>
      <w:tr>
        <w:trPr>
          <w:trHeight w:val="390" w:hRule="exact"/>
        </w:trPr>
        <w:tc>
          <w:tcPr>
            <w:tcW w:w="4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03"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475,002,162.86</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419,992,309.07</w:t>
            </w:r>
          </w:p>
        </w:tc>
      </w:tr>
      <w:tr>
        <w:trPr>
          <w:trHeight w:val="390" w:hRule="exact"/>
        </w:trPr>
        <w:tc>
          <w:tcPr>
            <w:tcW w:w="4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03"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476,534,953.95</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559,615,958.07</w:t>
            </w:r>
          </w:p>
        </w:tc>
      </w:tr>
      <w:tr>
        <w:trPr>
          <w:trHeight w:val="390" w:hRule="exact"/>
        </w:trPr>
        <w:tc>
          <w:tcPr>
            <w:tcW w:w="4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03"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1,542,384,441.25</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1,205,416,522.50</w:t>
            </w:r>
          </w:p>
        </w:tc>
      </w:tr>
      <w:tr>
        <w:trPr>
          <w:trHeight w:val="390" w:hRule="exact"/>
        </w:trPr>
        <w:tc>
          <w:tcPr>
            <w:tcW w:w="4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03"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r>
      <w:tr>
        <w:trPr>
          <w:trHeight w:val="390" w:hRule="exact"/>
        </w:trPr>
        <w:tc>
          <w:tcPr>
            <w:tcW w:w="4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03"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r>
      <w:tr>
        <w:trPr>
          <w:trHeight w:val="390" w:hRule="exact"/>
        </w:trPr>
        <w:tc>
          <w:tcPr>
            <w:tcW w:w="4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03"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121,347,720.95</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129,517,201.77</w:t>
            </w:r>
          </w:p>
        </w:tc>
      </w:tr>
      <w:tr>
        <w:trPr>
          <w:trHeight w:val="390" w:hRule="exact"/>
        </w:trPr>
        <w:tc>
          <w:tcPr>
            <w:tcW w:w="4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03"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r>
      <w:tr>
        <w:trPr>
          <w:trHeight w:val="390" w:hRule="exact"/>
        </w:trPr>
        <w:tc>
          <w:tcPr>
            <w:tcW w:w="4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03"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r>
      <w:tr>
        <w:trPr>
          <w:trHeight w:val="390" w:hRule="exact"/>
        </w:trPr>
        <w:tc>
          <w:tcPr>
            <w:tcW w:w="4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03"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1,691,334.30</w:t>
            </w:r>
          </w:p>
        </w:tc>
        <w:tc>
          <w:tcPr>
            <w:tcW w:w="1558" w:type="dxa"/>
            <w:tcBorders>
              <w:top w:val="single" w:sz="4" w:space="0" w:color="000000"/>
              <w:left w:val="single" w:sz="4" w:space="0" w:color="000000"/>
              <w:bottom w:val="single" w:sz="4" w:space="0" w:color="000000"/>
              <w:right w:val="single" w:sz="4" w:space="0" w:color="000000"/>
            </w:tcBorders>
          </w:tcPr>
          <w:p>
            <w:pPr/>
          </w:p>
        </w:tc>
      </w:tr>
      <w:tr>
        <w:trPr>
          <w:trHeight w:val="390" w:hRule="exact"/>
        </w:trPr>
        <w:tc>
          <w:tcPr>
            <w:tcW w:w="4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03"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45,798,238.33</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39,130,446.50</w:t>
            </w:r>
          </w:p>
        </w:tc>
      </w:tr>
      <w:tr>
        <w:trPr>
          <w:trHeight w:val="390" w:hRule="exact"/>
        </w:trPr>
        <w:tc>
          <w:tcPr>
            <w:tcW w:w="4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03"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76,295,317.40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38,387,134.82</w:t>
            </w:r>
          </w:p>
        </w:tc>
      </w:tr>
      <w:tr>
        <w:trPr>
          <w:trHeight w:val="390" w:hRule="exact"/>
        </w:trPr>
        <w:tc>
          <w:tcPr>
            <w:tcW w:w="4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03" w:right="0"/>
              <w:jc w:val="left"/>
              <w:rPr>
                <w:rFonts w:ascii="宋体" w:hAnsi="宋体" w:cs="宋体" w:eastAsia="宋体" w:hint="default"/>
                <w:sz w:val="18"/>
                <w:szCs w:val="18"/>
              </w:rPr>
            </w:pPr>
            <w:r>
              <w:rPr>
                <w:rFonts w:ascii="宋体" w:hAnsi="宋体" w:cs="宋体" w:eastAsia="宋体" w:hint="default"/>
                <w:b/>
                <w:bCs/>
                <w:sz w:val="18"/>
                <w:szCs w:val="18"/>
              </w:rPr>
              <w:t>非流动资产合计</w:t>
            </w:r>
            <w:r>
              <w:rPr>
                <w:rFonts w:ascii="宋体" w:hAnsi="宋体" w:cs="宋体" w:eastAsia="宋体" w:hint="default"/>
                <w:sz w:val="18"/>
                <w:szCs w:val="18"/>
              </w:rPr>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8,164,132,036.90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7,629,938,674.72</w:t>
            </w:r>
          </w:p>
        </w:tc>
      </w:tr>
      <w:tr>
        <w:trPr>
          <w:trHeight w:val="391" w:hRule="exact"/>
        </w:trPr>
        <w:tc>
          <w:tcPr>
            <w:tcW w:w="4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03" w:right="0"/>
              <w:jc w:val="left"/>
              <w:rPr>
                <w:rFonts w:ascii="宋体" w:hAnsi="宋体" w:cs="宋体" w:eastAsia="宋体" w:hint="default"/>
                <w:sz w:val="18"/>
                <w:szCs w:val="18"/>
              </w:rPr>
            </w:pPr>
            <w:r>
              <w:rPr>
                <w:rFonts w:ascii="宋体" w:hAnsi="宋体" w:cs="宋体" w:eastAsia="宋体" w:hint="default"/>
                <w:b/>
                <w:bCs/>
                <w:sz w:val="18"/>
                <w:szCs w:val="18"/>
              </w:rPr>
              <w:t>资产总计</w:t>
            </w:r>
            <w:r>
              <w:rPr>
                <w:rFonts w:ascii="宋体" w:hAnsi="宋体" w:cs="宋体" w:eastAsia="宋体" w:hint="default"/>
                <w:sz w:val="18"/>
                <w:szCs w:val="18"/>
              </w:rPr>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10,348,006,457.81</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9,390,183,361.22</w:t>
            </w:r>
          </w:p>
        </w:tc>
      </w:tr>
    </w:tbl>
    <w:p>
      <w:pPr>
        <w:spacing w:before="91"/>
        <w:ind w:left="217"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tabs>
          <w:tab w:pos="2453" w:val="left" w:leader="none"/>
          <w:tab w:pos="3968" w:val="left" w:leader="none"/>
          <w:tab w:pos="6564" w:val="left" w:leader="none"/>
        </w:tabs>
        <w:spacing w:before="75"/>
        <w:ind w:left="217" w:right="0" w:firstLine="0"/>
        <w:jc w:val="left"/>
        <w:rPr>
          <w:rFonts w:ascii="宋体" w:hAnsi="宋体" w:cs="宋体" w:eastAsia="宋体" w:hint="default"/>
          <w:sz w:val="18"/>
          <w:szCs w:val="18"/>
        </w:rPr>
      </w:pPr>
      <w:r>
        <w:rPr>
          <w:rFonts w:ascii="宋体" w:hAnsi="宋体" w:cs="宋体" w:eastAsia="宋体" w:hint="default"/>
          <w:spacing w:val="-2"/>
          <w:sz w:val="18"/>
          <w:szCs w:val="18"/>
        </w:rPr>
        <w:t>企业法定代表人：宋黎定</w:t>
        <w:tab/>
      </w:r>
      <w:r>
        <w:rPr>
          <w:rFonts w:ascii="宋体" w:hAnsi="宋体" w:cs="宋体" w:eastAsia="宋体" w:hint="default"/>
          <w:spacing w:val="-3"/>
          <w:sz w:val="18"/>
          <w:szCs w:val="18"/>
        </w:rPr>
        <w:t>公司总裁：徐刚</w:t>
        <w:tab/>
      </w:r>
      <w:r>
        <w:rPr>
          <w:rFonts w:ascii="宋体" w:hAnsi="宋体" w:cs="宋体" w:eastAsia="宋体" w:hint="default"/>
          <w:spacing w:val="-2"/>
          <w:sz w:val="18"/>
          <w:szCs w:val="18"/>
        </w:rPr>
        <w:t>主管会计工作负责人：刘文彬</w:t>
        <w:tab/>
        <w:t>会计机构负责人：许少霞</w:t>
      </w:r>
    </w:p>
    <w:p>
      <w:pPr>
        <w:spacing w:after="0"/>
        <w:jc w:val="left"/>
        <w:rPr>
          <w:rFonts w:ascii="宋体" w:hAnsi="宋体" w:cs="宋体" w:eastAsia="宋体" w:hint="default"/>
          <w:sz w:val="18"/>
          <w:szCs w:val="18"/>
        </w:rPr>
        <w:sectPr>
          <w:pgSz w:w="11910" w:h="16840"/>
          <w:pgMar w:header="969" w:footer="784" w:top="1160" w:bottom="980" w:left="1580" w:right="0"/>
        </w:sectPr>
      </w:pPr>
    </w:p>
    <w:p>
      <w:pPr>
        <w:spacing w:before="38"/>
        <w:ind w:left="2637" w:right="4212" w:firstLine="0"/>
        <w:jc w:val="center"/>
        <w:rPr>
          <w:rFonts w:ascii="宋体" w:hAnsi="宋体" w:cs="宋体" w:eastAsia="宋体" w:hint="default"/>
          <w:sz w:val="18"/>
          <w:szCs w:val="18"/>
        </w:rPr>
      </w:pPr>
      <w:r>
        <w:rPr>
          <w:rFonts w:ascii="宋体" w:hAnsi="宋体" w:cs="宋体" w:eastAsia="宋体" w:hint="default"/>
          <w:b/>
          <w:bCs/>
          <w:sz w:val="18"/>
          <w:szCs w:val="18"/>
        </w:rPr>
        <w:t>资产负债表（续）</w:t>
      </w:r>
      <w:r>
        <w:rPr>
          <w:rFonts w:ascii="宋体" w:hAnsi="宋体" w:cs="宋体" w:eastAsia="宋体" w:hint="default"/>
          <w:sz w:val="18"/>
          <w:szCs w:val="18"/>
        </w:rPr>
      </w:r>
    </w:p>
    <w:p>
      <w:pPr>
        <w:spacing w:before="38"/>
        <w:ind w:left="2637" w:right="4212" w:firstLine="0"/>
        <w:jc w:val="center"/>
        <w:rPr>
          <w:rFonts w:ascii="宋体" w:hAnsi="宋体" w:cs="宋体" w:eastAsia="宋体" w:hint="default"/>
          <w:sz w:val="18"/>
          <w:szCs w:val="18"/>
        </w:rPr>
      </w:pPr>
      <w:r>
        <w:rPr>
          <w:rFonts w:ascii="Times New Roman" w:hAnsi="Times New Roman" w:cs="Times New Roman" w:eastAsia="Times New Roman" w:hint="default"/>
          <w:b/>
          <w:bCs/>
          <w:sz w:val="18"/>
          <w:szCs w:val="18"/>
        </w:rPr>
        <w:t>2018</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年</w:t>
      </w:r>
      <w:r>
        <w:rPr>
          <w:rFonts w:ascii="宋体" w:hAnsi="宋体" w:cs="宋体" w:eastAsia="宋体" w:hint="default"/>
          <w:b/>
          <w:bCs/>
          <w:spacing w:val="-46"/>
          <w:sz w:val="18"/>
          <w:szCs w:val="18"/>
        </w:rPr>
        <w:t> </w:t>
      </w:r>
      <w:r>
        <w:rPr>
          <w:rFonts w:ascii="Times New Roman" w:hAnsi="Times New Roman" w:cs="Times New Roman" w:eastAsia="Times New Roman" w:hint="default"/>
          <w:b/>
          <w:bCs/>
          <w:sz w:val="18"/>
          <w:szCs w:val="18"/>
        </w:rPr>
        <w:t>12</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月</w:t>
      </w:r>
      <w:r>
        <w:rPr>
          <w:rFonts w:ascii="宋体" w:hAnsi="宋体" w:cs="宋体" w:eastAsia="宋体" w:hint="default"/>
          <w:b/>
          <w:bCs/>
          <w:spacing w:val="-46"/>
          <w:sz w:val="18"/>
          <w:szCs w:val="18"/>
        </w:rPr>
        <w:t> </w:t>
      </w:r>
      <w:r>
        <w:rPr>
          <w:rFonts w:ascii="Times New Roman" w:hAnsi="Times New Roman" w:cs="Times New Roman" w:eastAsia="Times New Roman" w:hint="default"/>
          <w:b/>
          <w:bCs/>
          <w:sz w:val="18"/>
          <w:szCs w:val="18"/>
        </w:rPr>
        <w:t>31</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日</w:t>
      </w:r>
      <w:r>
        <w:rPr>
          <w:rFonts w:ascii="宋体" w:hAnsi="宋体" w:cs="宋体" w:eastAsia="宋体" w:hint="default"/>
          <w:sz w:val="18"/>
          <w:szCs w:val="18"/>
        </w:rPr>
      </w:r>
    </w:p>
    <w:p>
      <w:pPr>
        <w:spacing w:before="24"/>
        <w:ind w:left="2637" w:right="4214" w:firstLine="0"/>
        <w:jc w:val="center"/>
        <w:rPr>
          <w:rFonts w:ascii="宋体" w:hAnsi="宋体" w:cs="宋体" w:eastAsia="宋体" w:hint="default"/>
          <w:sz w:val="18"/>
          <w:szCs w:val="18"/>
        </w:rPr>
      </w:pPr>
      <w:r>
        <w:rPr>
          <w:rFonts w:ascii="宋体" w:hAnsi="宋体" w:cs="宋体" w:eastAsia="宋体" w:hint="default"/>
          <w:b/>
          <w:bCs/>
          <w:sz w:val="18"/>
          <w:szCs w:val="18"/>
        </w:rPr>
        <w:t>（除特别注明外，金额单位均为人民币元）</w:t>
      </w:r>
      <w:r>
        <w:rPr>
          <w:rFonts w:ascii="宋体" w:hAnsi="宋体" w:cs="宋体" w:eastAsia="宋体" w:hint="default"/>
          <w:sz w:val="18"/>
          <w:szCs w:val="18"/>
        </w:rPr>
      </w:r>
    </w:p>
    <w:p>
      <w:pPr>
        <w:spacing w:line="240" w:lineRule="auto" w:before="0"/>
        <w:rPr>
          <w:rFonts w:ascii="宋体" w:hAnsi="宋体" w:cs="宋体" w:eastAsia="宋体" w:hint="default"/>
          <w:b/>
          <w:bCs/>
          <w:sz w:val="14"/>
          <w:szCs w:val="14"/>
        </w:rPr>
      </w:pPr>
    </w:p>
    <w:tbl>
      <w:tblPr>
        <w:tblW w:w="0" w:type="auto"/>
        <w:jc w:val="left"/>
        <w:tblInd w:w="104" w:type="dxa"/>
        <w:tblLayout w:type="fixed"/>
        <w:tblCellMar>
          <w:top w:w="0" w:type="dxa"/>
          <w:left w:w="0" w:type="dxa"/>
          <w:bottom w:w="0" w:type="dxa"/>
          <w:right w:w="0" w:type="dxa"/>
        </w:tblCellMar>
        <w:tblLook w:val="01E0"/>
      </w:tblPr>
      <w:tblGrid>
        <w:gridCol w:w="4361"/>
        <w:gridCol w:w="991"/>
        <w:gridCol w:w="1702"/>
        <w:gridCol w:w="1559"/>
      </w:tblGrid>
      <w:tr>
        <w:trPr>
          <w:trHeight w:val="29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负债和所有者权益</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310" w:right="0"/>
              <w:jc w:val="left"/>
              <w:rPr>
                <w:rFonts w:ascii="宋体" w:hAnsi="宋体" w:cs="宋体" w:eastAsia="宋体" w:hint="default"/>
                <w:sz w:val="18"/>
                <w:szCs w:val="18"/>
              </w:rPr>
            </w:pPr>
            <w:r>
              <w:rPr>
                <w:rFonts w:ascii="宋体" w:hAnsi="宋体" w:cs="宋体" w:eastAsia="宋体" w:hint="default"/>
                <w:sz w:val="18"/>
                <w:szCs w:val="18"/>
              </w:rPr>
              <w:t>附注</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84"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412" w:right="0"/>
              <w:jc w:val="left"/>
              <w:rPr>
                <w:rFonts w:ascii="宋体" w:hAnsi="宋体" w:cs="宋体" w:eastAsia="宋体" w:hint="default"/>
                <w:sz w:val="18"/>
                <w:szCs w:val="18"/>
              </w:rPr>
            </w:pPr>
            <w:r>
              <w:rPr>
                <w:rFonts w:ascii="宋体" w:hAnsi="宋体" w:cs="宋体" w:eastAsia="宋体" w:hint="default"/>
                <w:sz w:val="18"/>
                <w:szCs w:val="18"/>
              </w:rPr>
              <w:t>年初余额</w:t>
            </w:r>
          </w:p>
        </w:tc>
      </w:tr>
      <w:tr>
        <w:trPr>
          <w:trHeight w:val="29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289"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2"/>
              <w:jc w:val="right"/>
              <w:rPr>
                <w:rFonts w:ascii="Times New Roman" w:hAnsi="Times New Roman" w:cs="Times New Roman" w:eastAsia="Times New Roman" w:hint="default"/>
                <w:sz w:val="18"/>
                <w:szCs w:val="18"/>
              </w:rPr>
            </w:pPr>
            <w:r>
              <w:rPr>
                <w:rFonts w:ascii="Times New Roman"/>
                <w:spacing w:val="-1"/>
                <w:sz w:val="18"/>
              </w:rPr>
              <w:t>1,665,000,000.00</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8"/>
                <w:szCs w:val="18"/>
              </w:rPr>
            </w:pPr>
            <w:r>
              <w:rPr>
                <w:rFonts w:ascii="Times New Roman"/>
                <w:spacing w:val="-1"/>
                <w:sz w:val="18"/>
              </w:rPr>
              <w:t>665,000,000.00</w:t>
            </w:r>
          </w:p>
        </w:tc>
      </w:tr>
      <w:tr>
        <w:trPr>
          <w:trHeight w:val="29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以公允价值计量且其变动计入当期损益的金融负债</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289"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sz w:val="18"/>
                <w:szCs w:val="18"/>
              </w:rPr>
              <w:t>应付票据及应付账款</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8"/>
                <w:szCs w:val="18"/>
              </w:rPr>
            </w:pPr>
            <w:r>
              <w:rPr>
                <w:rFonts w:ascii="Times New Roman"/>
                <w:spacing w:val="-1"/>
                <w:sz w:val="18"/>
              </w:rPr>
              <w:t>495,026,638.34</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8"/>
                <w:szCs w:val="18"/>
              </w:rPr>
            </w:pPr>
            <w:r>
              <w:rPr>
                <w:rFonts w:ascii="Times New Roman"/>
                <w:spacing w:val="-1"/>
                <w:sz w:val="18"/>
              </w:rPr>
              <w:t>471,229,681.53</w:t>
            </w:r>
          </w:p>
        </w:tc>
      </w:tr>
      <w:tr>
        <w:trPr>
          <w:trHeight w:val="29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01"/>
              <w:jc w:val="right"/>
              <w:rPr>
                <w:rFonts w:ascii="Times New Roman" w:hAnsi="Times New Roman" w:cs="Times New Roman" w:eastAsia="Times New Roman" w:hint="default"/>
                <w:sz w:val="18"/>
                <w:szCs w:val="18"/>
              </w:rPr>
            </w:pPr>
            <w:r>
              <w:rPr>
                <w:rFonts w:ascii="Times New Roman"/>
                <w:spacing w:val="-1"/>
                <w:sz w:val="18"/>
              </w:rPr>
              <w:t>55,659,405.89</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01"/>
              <w:jc w:val="right"/>
              <w:rPr>
                <w:rFonts w:ascii="Times New Roman" w:hAnsi="Times New Roman" w:cs="Times New Roman" w:eastAsia="Times New Roman" w:hint="default"/>
                <w:sz w:val="18"/>
                <w:szCs w:val="18"/>
              </w:rPr>
            </w:pPr>
            <w:r>
              <w:rPr>
                <w:rFonts w:ascii="Times New Roman"/>
                <w:spacing w:val="-1"/>
                <w:sz w:val="18"/>
              </w:rPr>
              <w:t>78,080,353.62</w:t>
            </w:r>
          </w:p>
        </w:tc>
      </w:tr>
      <w:tr>
        <w:trPr>
          <w:trHeight w:val="29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8"/>
                <w:szCs w:val="18"/>
              </w:rPr>
            </w:pPr>
            <w:r>
              <w:rPr>
                <w:rFonts w:ascii="Times New Roman"/>
                <w:spacing w:val="-1"/>
                <w:sz w:val="18"/>
              </w:rPr>
              <w:t>100,293,954.37</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8"/>
                <w:szCs w:val="18"/>
              </w:rPr>
            </w:pPr>
            <w:r>
              <w:rPr>
                <w:rFonts w:ascii="Times New Roman"/>
                <w:spacing w:val="-1"/>
                <w:sz w:val="18"/>
              </w:rPr>
              <w:t>80,838,900.31</w:t>
            </w:r>
          </w:p>
        </w:tc>
      </w:tr>
      <w:tr>
        <w:trPr>
          <w:trHeight w:val="289"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8"/>
                <w:szCs w:val="18"/>
              </w:rPr>
            </w:pPr>
            <w:r>
              <w:rPr>
                <w:rFonts w:ascii="Times New Roman"/>
                <w:spacing w:val="-1"/>
                <w:sz w:val="18"/>
              </w:rPr>
              <w:t>174,780,122.75</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8"/>
                <w:szCs w:val="18"/>
              </w:rPr>
            </w:pPr>
            <w:r>
              <w:rPr>
                <w:rFonts w:ascii="Times New Roman"/>
                <w:spacing w:val="-1"/>
                <w:sz w:val="18"/>
              </w:rPr>
              <w:t>31,973,962.56</w:t>
            </w:r>
          </w:p>
        </w:tc>
      </w:tr>
      <w:tr>
        <w:trPr>
          <w:trHeight w:val="29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01"/>
              <w:jc w:val="right"/>
              <w:rPr>
                <w:rFonts w:ascii="Times New Roman" w:hAnsi="Times New Roman" w:cs="Times New Roman" w:eastAsia="Times New Roman" w:hint="default"/>
                <w:sz w:val="18"/>
                <w:szCs w:val="18"/>
              </w:rPr>
            </w:pPr>
            <w:r>
              <w:rPr>
                <w:rFonts w:ascii="Times New Roman"/>
                <w:spacing w:val="-1"/>
                <w:sz w:val="18"/>
              </w:rPr>
              <w:t>621,528,167.51</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01"/>
              <w:jc w:val="right"/>
              <w:rPr>
                <w:rFonts w:ascii="Times New Roman" w:hAnsi="Times New Roman" w:cs="Times New Roman" w:eastAsia="Times New Roman" w:hint="default"/>
                <w:sz w:val="18"/>
                <w:szCs w:val="18"/>
              </w:rPr>
            </w:pPr>
            <w:r>
              <w:rPr>
                <w:rFonts w:ascii="Times New Roman"/>
                <w:spacing w:val="-1"/>
                <w:sz w:val="18"/>
              </w:rPr>
              <w:t>493,996,018.31</w:t>
            </w:r>
          </w:p>
        </w:tc>
      </w:tr>
      <w:tr>
        <w:trPr>
          <w:trHeight w:val="29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sz w:val="18"/>
                <w:szCs w:val="18"/>
              </w:rPr>
              <w:t>持有待售负债</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289"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8"/>
                <w:szCs w:val="18"/>
              </w:rPr>
            </w:pPr>
            <w:r>
              <w:rPr>
                <w:rFonts w:ascii="Times New Roman"/>
                <w:spacing w:val="-1"/>
                <w:sz w:val="18"/>
              </w:rPr>
              <w:t>504,000,000.00</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8"/>
                <w:szCs w:val="18"/>
              </w:rPr>
            </w:pPr>
            <w:r>
              <w:rPr>
                <w:rFonts w:ascii="Times New Roman"/>
                <w:spacing w:val="-1"/>
                <w:sz w:val="18"/>
              </w:rPr>
              <w:t>400,000,000.00</w:t>
            </w:r>
          </w:p>
        </w:tc>
      </w:tr>
      <w:tr>
        <w:trPr>
          <w:trHeight w:val="29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01"/>
              <w:jc w:val="right"/>
              <w:rPr>
                <w:rFonts w:ascii="Times New Roman" w:hAnsi="Times New Roman" w:cs="Times New Roman" w:eastAsia="Times New Roman" w:hint="default"/>
                <w:sz w:val="18"/>
                <w:szCs w:val="18"/>
              </w:rPr>
            </w:pPr>
            <w:r>
              <w:rPr>
                <w:rFonts w:ascii="Times New Roman"/>
                <w:spacing w:val="-1"/>
                <w:sz w:val="18"/>
              </w:rPr>
              <w:t>44,989,825.45</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01"/>
              <w:jc w:val="right"/>
              <w:rPr>
                <w:rFonts w:ascii="Times New Roman" w:hAnsi="Times New Roman" w:cs="Times New Roman" w:eastAsia="Times New Roman" w:hint="default"/>
                <w:sz w:val="18"/>
                <w:szCs w:val="18"/>
              </w:rPr>
            </w:pPr>
            <w:r>
              <w:rPr>
                <w:rFonts w:ascii="Times New Roman"/>
                <w:spacing w:val="-1"/>
                <w:sz w:val="18"/>
              </w:rPr>
              <w:t>35,472,735.86</w:t>
            </w:r>
          </w:p>
        </w:tc>
      </w:tr>
      <w:tr>
        <w:trPr>
          <w:trHeight w:val="29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b/>
                <w:bCs/>
                <w:sz w:val="18"/>
                <w:szCs w:val="18"/>
              </w:rPr>
              <w:t>流动负债合计</w:t>
            </w:r>
            <w:r>
              <w:rPr>
                <w:rFonts w:ascii="宋体" w:hAnsi="宋体" w:cs="宋体" w:eastAsia="宋体" w:hint="default"/>
                <w:sz w:val="18"/>
                <w:szCs w:val="18"/>
              </w:rPr>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2"/>
              <w:jc w:val="right"/>
              <w:rPr>
                <w:rFonts w:ascii="Times New Roman" w:hAnsi="Times New Roman" w:cs="Times New Roman" w:eastAsia="Times New Roman" w:hint="default"/>
                <w:sz w:val="18"/>
                <w:szCs w:val="18"/>
              </w:rPr>
            </w:pPr>
            <w:r>
              <w:rPr>
                <w:rFonts w:ascii="Times New Roman"/>
                <w:spacing w:val="-1"/>
                <w:sz w:val="18"/>
              </w:rPr>
              <w:t>3,661,278,114.31</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2"/>
              <w:jc w:val="right"/>
              <w:rPr>
                <w:rFonts w:ascii="Times New Roman" w:hAnsi="Times New Roman" w:cs="Times New Roman" w:eastAsia="Times New Roman" w:hint="default"/>
                <w:sz w:val="18"/>
                <w:szCs w:val="18"/>
              </w:rPr>
            </w:pPr>
            <w:r>
              <w:rPr>
                <w:rFonts w:ascii="Times New Roman"/>
                <w:spacing w:val="-1"/>
                <w:sz w:val="18"/>
              </w:rPr>
              <w:t>2,256,591,652.19</w:t>
            </w:r>
          </w:p>
        </w:tc>
      </w:tr>
      <w:tr>
        <w:trPr>
          <w:trHeight w:val="289"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02"/>
              <w:jc w:val="right"/>
              <w:rPr>
                <w:rFonts w:ascii="Times New Roman" w:hAnsi="Times New Roman" w:cs="Times New Roman" w:eastAsia="Times New Roman" w:hint="default"/>
                <w:sz w:val="18"/>
                <w:szCs w:val="18"/>
              </w:rPr>
            </w:pPr>
            <w:r>
              <w:rPr>
                <w:rFonts w:ascii="Times New Roman"/>
                <w:spacing w:val="-1"/>
                <w:sz w:val="18"/>
              </w:rPr>
              <w:t>1,203,584,695.47</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01"/>
              <w:jc w:val="right"/>
              <w:rPr>
                <w:rFonts w:ascii="Times New Roman" w:hAnsi="Times New Roman" w:cs="Times New Roman" w:eastAsia="Times New Roman" w:hint="default"/>
                <w:sz w:val="18"/>
                <w:szCs w:val="18"/>
              </w:rPr>
            </w:pPr>
            <w:r>
              <w:rPr>
                <w:rFonts w:ascii="Times New Roman"/>
                <w:spacing w:val="-1"/>
                <w:sz w:val="18"/>
              </w:rPr>
              <w:t>842,990,872.15</w:t>
            </w:r>
          </w:p>
        </w:tc>
      </w:tr>
      <w:tr>
        <w:trPr>
          <w:trHeight w:val="29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289"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8"/>
                <w:szCs w:val="18"/>
              </w:rPr>
            </w:pPr>
            <w:r>
              <w:rPr>
                <w:rFonts w:ascii="Times New Roman"/>
                <w:spacing w:val="-1"/>
                <w:sz w:val="18"/>
              </w:rPr>
              <w:t>100,000,000.00</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8"/>
                <w:szCs w:val="18"/>
              </w:rPr>
            </w:pPr>
            <w:r>
              <w:rPr>
                <w:rFonts w:ascii="Times New Roman"/>
                <w:spacing w:val="-1"/>
                <w:sz w:val="18"/>
              </w:rPr>
              <w:t>100,000,000.00</w:t>
            </w:r>
          </w:p>
        </w:tc>
      </w:tr>
      <w:tr>
        <w:trPr>
          <w:trHeight w:val="289"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8"/>
                <w:szCs w:val="18"/>
              </w:rPr>
            </w:pPr>
            <w:r>
              <w:rPr>
                <w:rFonts w:ascii="Times New Roman"/>
                <w:sz w:val="18"/>
              </w:rPr>
              <w:t>721,678.96</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8"/>
                <w:szCs w:val="18"/>
              </w:rPr>
            </w:pPr>
            <w:r>
              <w:rPr>
                <w:rFonts w:ascii="Times New Roman"/>
                <w:sz w:val="18"/>
              </w:rPr>
              <w:t>240,081.27</w:t>
            </w:r>
          </w:p>
        </w:tc>
      </w:tr>
      <w:tr>
        <w:trPr>
          <w:trHeight w:val="29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01"/>
              <w:jc w:val="right"/>
              <w:rPr>
                <w:rFonts w:ascii="Times New Roman" w:hAnsi="Times New Roman" w:cs="Times New Roman" w:eastAsia="Times New Roman" w:hint="default"/>
                <w:sz w:val="18"/>
                <w:szCs w:val="18"/>
              </w:rPr>
            </w:pPr>
            <w:r>
              <w:rPr>
                <w:rFonts w:ascii="Times New Roman"/>
                <w:spacing w:val="-1"/>
                <w:sz w:val="18"/>
              </w:rPr>
              <w:t>79,848,338.26</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01"/>
              <w:jc w:val="right"/>
              <w:rPr>
                <w:rFonts w:ascii="Times New Roman" w:hAnsi="Times New Roman" w:cs="Times New Roman" w:eastAsia="Times New Roman" w:hint="default"/>
                <w:sz w:val="18"/>
                <w:szCs w:val="18"/>
              </w:rPr>
            </w:pPr>
            <w:r>
              <w:rPr>
                <w:rFonts w:ascii="Times New Roman"/>
                <w:spacing w:val="-1"/>
                <w:sz w:val="18"/>
              </w:rPr>
              <w:t>79,848,338.26</w:t>
            </w:r>
          </w:p>
        </w:tc>
      </w:tr>
      <w:tr>
        <w:trPr>
          <w:trHeight w:val="29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8"/>
                <w:szCs w:val="18"/>
              </w:rPr>
            </w:pPr>
            <w:r>
              <w:rPr>
                <w:rFonts w:ascii="Times New Roman"/>
                <w:spacing w:val="-1"/>
                <w:sz w:val="18"/>
              </w:rPr>
              <w:t>187,202,956.31</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8"/>
                <w:szCs w:val="18"/>
              </w:rPr>
            </w:pPr>
            <w:r>
              <w:rPr>
                <w:rFonts w:ascii="Times New Roman"/>
                <w:spacing w:val="-1"/>
                <w:sz w:val="18"/>
              </w:rPr>
              <w:t>143,650,202.43</w:t>
            </w:r>
          </w:p>
        </w:tc>
      </w:tr>
      <w:tr>
        <w:trPr>
          <w:trHeight w:val="289"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8"/>
                <w:szCs w:val="18"/>
              </w:rPr>
            </w:pPr>
            <w:r>
              <w:rPr>
                <w:rFonts w:ascii="Times New Roman"/>
                <w:spacing w:val="-1"/>
                <w:sz w:val="18"/>
              </w:rPr>
              <w:t>37,813,651.16</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8"/>
                <w:szCs w:val="18"/>
              </w:rPr>
            </w:pPr>
            <w:r>
              <w:rPr>
                <w:rFonts w:ascii="Times New Roman"/>
                <w:spacing w:val="-1"/>
                <w:sz w:val="18"/>
              </w:rPr>
              <w:t>219,817,488.60</w:t>
            </w:r>
          </w:p>
        </w:tc>
      </w:tr>
      <w:tr>
        <w:trPr>
          <w:trHeight w:val="29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b/>
                <w:bCs/>
                <w:sz w:val="18"/>
                <w:szCs w:val="18"/>
              </w:rPr>
              <w:t>非流动负债合计</w:t>
            </w:r>
            <w:r>
              <w:rPr>
                <w:rFonts w:ascii="宋体" w:hAnsi="宋体" w:cs="宋体" w:eastAsia="宋体" w:hint="default"/>
                <w:sz w:val="18"/>
                <w:szCs w:val="18"/>
              </w:rPr>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2"/>
              <w:jc w:val="right"/>
              <w:rPr>
                <w:rFonts w:ascii="Times New Roman" w:hAnsi="Times New Roman" w:cs="Times New Roman" w:eastAsia="Times New Roman" w:hint="default"/>
                <w:sz w:val="18"/>
                <w:szCs w:val="18"/>
              </w:rPr>
            </w:pPr>
            <w:r>
              <w:rPr>
                <w:rFonts w:ascii="Times New Roman"/>
                <w:spacing w:val="-1"/>
                <w:sz w:val="18"/>
              </w:rPr>
              <w:t>1,609,171,320.16</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3"/>
              <w:jc w:val="right"/>
              <w:rPr>
                <w:rFonts w:ascii="Times New Roman" w:hAnsi="Times New Roman" w:cs="Times New Roman" w:eastAsia="Times New Roman" w:hint="default"/>
                <w:sz w:val="18"/>
                <w:szCs w:val="18"/>
              </w:rPr>
            </w:pPr>
            <w:r>
              <w:rPr>
                <w:rFonts w:ascii="Times New Roman"/>
                <w:spacing w:val="-1"/>
                <w:sz w:val="18"/>
              </w:rPr>
              <w:t>1,386,546,982.71</w:t>
            </w:r>
          </w:p>
        </w:tc>
      </w:tr>
      <w:tr>
        <w:trPr>
          <w:trHeight w:val="289"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b/>
                <w:bCs/>
                <w:sz w:val="18"/>
                <w:szCs w:val="18"/>
              </w:rPr>
              <w:t>负债合计</w:t>
            </w:r>
            <w:r>
              <w:rPr>
                <w:rFonts w:ascii="宋体" w:hAnsi="宋体" w:cs="宋体" w:eastAsia="宋体" w:hint="default"/>
                <w:sz w:val="18"/>
                <w:szCs w:val="18"/>
              </w:rPr>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2"/>
              <w:jc w:val="right"/>
              <w:rPr>
                <w:rFonts w:ascii="Times New Roman" w:hAnsi="Times New Roman" w:cs="Times New Roman" w:eastAsia="Times New Roman" w:hint="default"/>
                <w:sz w:val="18"/>
                <w:szCs w:val="18"/>
              </w:rPr>
            </w:pPr>
            <w:r>
              <w:rPr>
                <w:rFonts w:ascii="Times New Roman"/>
                <w:spacing w:val="-1"/>
                <w:sz w:val="18"/>
              </w:rPr>
              <w:t>5,270,449,434.47</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3"/>
              <w:jc w:val="right"/>
              <w:rPr>
                <w:rFonts w:ascii="Times New Roman" w:hAnsi="Times New Roman" w:cs="Times New Roman" w:eastAsia="Times New Roman" w:hint="default"/>
                <w:sz w:val="18"/>
                <w:szCs w:val="18"/>
              </w:rPr>
            </w:pPr>
            <w:r>
              <w:rPr>
                <w:rFonts w:ascii="Times New Roman"/>
                <w:spacing w:val="-1"/>
                <w:sz w:val="18"/>
              </w:rPr>
              <w:t>3,643,138,634.90</w:t>
            </w:r>
          </w:p>
        </w:tc>
      </w:tr>
      <w:tr>
        <w:trPr>
          <w:trHeight w:val="29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2"/>
              <w:jc w:val="right"/>
              <w:rPr>
                <w:rFonts w:ascii="Times New Roman" w:hAnsi="Times New Roman" w:cs="Times New Roman" w:eastAsia="Times New Roman" w:hint="default"/>
                <w:sz w:val="18"/>
                <w:szCs w:val="18"/>
              </w:rPr>
            </w:pPr>
            <w:r>
              <w:rPr>
                <w:rFonts w:ascii="Times New Roman"/>
                <w:spacing w:val="-1"/>
                <w:sz w:val="18"/>
              </w:rPr>
              <w:t>2,936,165,560.00</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3"/>
              <w:jc w:val="right"/>
              <w:rPr>
                <w:rFonts w:ascii="Times New Roman" w:hAnsi="Times New Roman" w:cs="Times New Roman" w:eastAsia="Times New Roman" w:hint="default"/>
                <w:sz w:val="18"/>
                <w:szCs w:val="18"/>
              </w:rPr>
            </w:pPr>
            <w:r>
              <w:rPr>
                <w:rFonts w:ascii="Times New Roman"/>
                <w:spacing w:val="-1"/>
                <w:sz w:val="18"/>
              </w:rPr>
              <w:t>2,944,069,459.00</w:t>
            </w:r>
          </w:p>
        </w:tc>
      </w:tr>
      <w:tr>
        <w:trPr>
          <w:trHeight w:val="289"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289"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8"/>
                <w:szCs w:val="18"/>
              </w:rPr>
            </w:pPr>
            <w:r>
              <w:rPr>
                <w:rFonts w:ascii="Times New Roman"/>
                <w:spacing w:val="-1"/>
                <w:sz w:val="18"/>
              </w:rPr>
              <w:t>776,973,337.42</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8"/>
                <w:szCs w:val="18"/>
              </w:rPr>
            </w:pPr>
            <w:r>
              <w:rPr>
                <w:rFonts w:ascii="Times New Roman"/>
                <w:spacing w:val="-1"/>
                <w:sz w:val="18"/>
              </w:rPr>
              <w:t>745,351,384.17</w:t>
            </w:r>
          </w:p>
        </w:tc>
      </w:tr>
      <w:tr>
        <w:trPr>
          <w:trHeight w:val="29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01"/>
              <w:jc w:val="right"/>
              <w:rPr>
                <w:rFonts w:ascii="Times New Roman" w:hAnsi="Times New Roman" w:cs="Times New Roman" w:eastAsia="Times New Roman" w:hint="default"/>
                <w:sz w:val="18"/>
                <w:szCs w:val="18"/>
              </w:rPr>
            </w:pPr>
            <w:r>
              <w:rPr>
                <w:rFonts w:ascii="Times New Roman"/>
                <w:spacing w:val="-1"/>
                <w:sz w:val="18"/>
              </w:rPr>
              <w:t>7,983,507.00</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01"/>
              <w:jc w:val="right"/>
              <w:rPr>
                <w:rFonts w:ascii="Times New Roman" w:hAnsi="Times New Roman" w:cs="Times New Roman" w:eastAsia="Times New Roman" w:hint="default"/>
                <w:sz w:val="18"/>
                <w:szCs w:val="18"/>
              </w:rPr>
            </w:pPr>
            <w:r>
              <w:rPr>
                <w:rFonts w:ascii="Times New Roman"/>
                <w:spacing w:val="-1"/>
                <w:sz w:val="18"/>
              </w:rPr>
              <w:t>7,903,899.00</w:t>
            </w:r>
          </w:p>
        </w:tc>
      </w:tr>
      <w:tr>
        <w:trPr>
          <w:trHeight w:val="29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0"/>
              <w:jc w:val="right"/>
              <w:rPr>
                <w:rFonts w:ascii="Times New Roman" w:hAnsi="Times New Roman" w:cs="Times New Roman" w:eastAsia="Times New Roman" w:hint="default"/>
                <w:sz w:val="18"/>
                <w:szCs w:val="18"/>
              </w:rPr>
            </w:pPr>
            <w:r>
              <w:rPr>
                <w:rFonts w:ascii="Times New Roman"/>
                <w:spacing w:val="-1"/>
                <w:sz w:val="18"/>
              </w:rPr>
              <w:t>113,440,953.45</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2"/>
              <w:jc w:val="right"/>
              <w:rPr>
                <w:rFonts w:ascii="Times New Roman" w:hAnsi="Times New Roman" w:cs="Times New Roman" w:eastAsia="Times New Roman" w:hint="default"/>
                <w:sz w:val="18"/>
                <w:szCs w:val="18"/>
              </w:rPr>
            </w:pPr>
            <w:r>
              <w:rPr>
                <w:rFonts w:ascii="Times New Roman"/>
                <w:spacing w:val="-1"/>
                <w:sz w:val="18"/>
              </w:rPr>
              <w:t>1,245,632,435.40</w:t>
            </w:r>
          </w:p>
        </w:tc>
      </w:tr>
      <w:tr>
        <w:trPr>
          <w:trHeight w:val="289"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01"/>
              <w:jc w:val="right"/>
              <w:rPr>
                <w:rFonts w:ascii="Times New Roman" w:hAnsi="Times New Roman" w:cs="Times New Roman" w:eastAsia="Times New Roman" w:hint="default"/>
                <w:sz w:val="18"/>
                <w:szCs w:val="18"/>
              </w:rPr>
            </w:pPr>
            <w:r>
              <w:rPr>
                <w:rFonts w:ascii="Times New Roman"/>
                <w:spacing w:val="-1"/>
                <w:sz w:val="18"/>
              </w:rPr>
              <w:t>518,612,614.41</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01"/>
              <w:jc w:val="right"/>
              <w:rPr>
                <w:rFonts w:ascii="Times New Roman" w:hAnsi="Times New Roman" w:cs="Times New Roman" w:eastAsia="Times New Roman" w:hint="default"/>
                <w:sz w:val="18"/>
                <w:szCs w:val="18"/>
              </w:rPr>
            </w:pPr>
            <w:r>
              <w:rPr>
                <w:rFonts w:ascii="Times New Roman"/>
                <w:spacing w:val="-1"/>
                <w:sz w:val="18"/>
              </w:rPr>
              <w:t>457,041,664.38</w:t>
            </w:r>
          </w:p>
        </w:tc>
      </w:tr>
      <w:tr>
        <w:trPr>
          <w:trHeight w:val="29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8"/>
                <w:szCs w:val="18"/>
              </w:rPr>
            </w:pPr>
            <w:r>
              <w:rPr>
                <w:rFonts w:ascii="Times New Roman"/>
                <w:spacing w:val="-1"/>
                <w:sz w:val="18"/>
              </w:rPr>
              <w:t>740,348,065.06</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8"/>
                <w:szCs w:val="18"/>
              </w:rPr>
            </w:pPr>
            <w:r>
              <w:rPr>
                <w:rFonts w:ascii="Times New Roman"/>
                <w:spacing w:val="-1"/>
                <w:sz w:val="18"/>
              </w:rPr>
              <w:t>362,853,682.37</w:t>
            </w:r>
          </w:p>
        </w:tc>
      </w:tr>
      <w:tr>
        <w:trPr>
          <w:trHeight w:val="289"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b/>
                <w:bCs/>
                <w:sz w:val="18"/>
                <w:szCs w:val="18"/>
              </w:rPr>
              <w:t>所有者权益合计</w:t>
            </w:r>
            <w:r>
              <w:rPr>
                <w:rFonts w:ascii="宋体" w:hAnsi="宋体" w:cs="宋体" w:eastAsia="宋体" w:hint="default"/>
                <w:sz w:val="18"/>
                <w:szCs w:val="18"/>
              </w:rPr>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2"/>
              <w:jc w:val="right"/>
              <w:rPr>
                <w:rFonts w:ascii="Times New Roman" w:hAnsi="Times New Roman" w:cs="Times New Roman" w:eastAsia="Times New Roman" w:hint="default"/>
                <w:sz w:val="18"/>
                <w:szCs w:val="18"/>
              </w:rPr>
            </w:pPr>
            <w:r>
              <w:rPr>
                <w:rFonts w:ascii="Times New Roman"/>
                <w:spacing w:val="-1"/>
                <w:sz w:val="18"/>
              </w:rPr>
              <w:t>5,077,557,023.34</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3"/>
              <w:jc w:val="right"/>
              <w:rPr>
                <w:rFonts w:ascii="Times New Roman" w:hAnsi="Times New Roman" w:cs="Times New Roman" w:eastAsia="Times New Roman" w:hint="default"/>
                <w:sz w:val="18"/>
                <w:szCs w:val="18"/>
              </w:rPr>
            </w:pPr>
            <w:r>
              <w:rPr>
                <w:rFonts w:ascii="Times New Roman"/>
                <w:spacing w:val="-1"/>
                <w:sz w:val="18"/>
              </w:rPr>
              <w:t>5,747,044,726.32</w:t>
            </w:r>
          </w:p>
        </w:tc>
      </w:tr>
      <w:tr>
        <w:trPr>
          <w:trHeight w:val="290" w:hRule="exact"/>
        </w:trPr>
        <w:tc>
          <w:tcPr>
            <w:tcW w:w="4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b/>
                <w:bCs/>
                <w:sz w:val="18"/>
                <w:szCs w:val="18"/>
              </w:rPr>
              <w:t>负债和所有者权益总计</w:t>
            </w:r>
            <w:r>
              <w:rPr>
                <w:rFonts w:ascii="宋体" w:hAnsi="宋体" w:cs="宋体" w:eastAsia="宋体" w:hint="default"/>
                <w:sz w:val="18"/>
                <w:szCs w:val="18"/>
              </w:rPr>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01"/>
              <w:jc w:val="right"/>
              <w:rPr>
                <w:rFonts w:ascii="Times New Roman" w:hAnsi="Times New Roman" w:cs="Times New Roman" w:eastAsia="Times New Roman" w:hint="default"/>
                <w:sz w:val="18"/>
                <w:szCs w:val="18"/>
              </w:rPr>
            </w:pPr>
            <w:r>
              <w:rPr>
                <w:rFonts w:ascii="Times New Roman"/>
                <w:spacing w:val="-1"/>
                <w:sz w:val="18"/>
              </w:rPr>
              <w:t>10,348,006,457.81</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02"/>
              <w:jc w:val="right"/>
              <w:rPr>
                <w:rFonts w:ascii="Times New Roman" w:hAnsi="Times New Roman" w:cs="Times New Roman" w:eastAsia="Times New Roman" w:hint="default"/>
                <w:sz w:val="18"/>
                <w:szCs w:val="18"/>
              </w:rPr>
            </w:pPr>
            <w:r>
              <w:rPr>
                <w:rFonts w:ascii="Times New Roman"/>
                <w:spacing w:val="-1"/>
                <w:sz w:val="18"/>
              </w:rPr>
              <w:t>9,390,183,361.22</w:t>
            </w:r>
          </w:p>
        </w:tc>
      </w:tr>
    </w:tbl>
    <w:p>
      <w:pPr>
        <w:spacing w:before="91"/>
        <w:ind w:left="217"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tabs>
          <w:tab w:pos="2453" w:val="left" w:leader="none"/>
          <w:tab w:pos="3968" w:val="left" w:leader="none"/>
          <w:tab w:pos="6564" w:val="left" w:leader="none"/>
        </w:tabs>
        <w:spacing w:before="82"/>
        <w:ind w:left="217" w:right="0" w:firstLine="0"/>
        <w:jc w:val="left"/>
        <w:rPr>
          <w:rFonts w:ascii="宋体" w:hAnsi="宋体" w:cs="宋体" w:eastAsia="宋体" w:hint="default"/>
          <w:sz w:val="18"/>
          <w:szCs w:val="18"/>
        </w:rPr>
      </w:pPr>
      <w:r>
        <w:rPr>
          <w:rFonts w:ascii="宋体" w:hAnsi="宋体" w:cs="宋体" w:eastAsia="宋体" w:hint="default"/>
          <w:spacing w:val="-2"/>
          <w:sz w:val="18"/>
          <w:szCs w:val="18"/>
        </w:rPr>
        <w:t>企业法定代表人：宋黎定</w:t>
        <w:tab/>
      </w:r>
      <w:r>
        <w:rPr>
          <w:rFonts w:ascii="宋体" w:hAnsi="宋体" w:cs="宋体" w:eastAsia="宋体" w:hint="default"/>
          <w:spacing w:val="-3"/>
          <w:sz w:val="18"/>
          <w:szCs w:val="18"/>
        </w:rPr>
        <w:t>公司总裁：徐刚</w:t>
        <w:tab/>
      </w:r>
      <w:r>
        <w:rPr>
          <w:rFonts w:ascii="宋体" w:hAnsi="宋体" w:cs="宋体" w:eastAsia="宋体" w:hint="default"/>
          <w:spacing w:val="-2"/>
          <w:sz w:val="18"/>
          <w:szCs w:val="18"/>
        </w:rPr>
        <w:t>主管会计工作负责人：刘文彬</w:t>
        <w:tab/>
        <w:t>会计机构负责人：许少霞</w:t>
      </w:r>
    </w:p>
    <w:p>
      <w:pPr>
        <w:spacing w:after="0"/>
        <w:jc w:val="left"/>
        <w:rPr>
          <w:rFonts w:ascii="宋体" w:hAnsi="宋体" w:cs="宋体" w:eastAsia="宋体" w:hint="default"/>
          <w:sz w:val="18"/>
          <w:szCs w:val="18"/>
        </w:rPr>
        <w:sectPr>
          <w:pgSz w:w="11910" w:h="16840"/>
          <w:pgMar w:header="969" w:footer="784" w:top="1160" w:bottom="980" w:left="1580" w:right="0"/>
        </w:sectPr>
      </w:pPr>
    </w:p>
    <w:p>
      <w:pPr>
        <w:spacing w:before="45"/>
        <w:ind w:left="2637" w:right="4210" w:firstLine="0"/>
        <w:jc w:val="center"/>
        <w:rPr>
          <w:rFonts w:ascii="宋体" w:hAnsi="宋体" w:cs="宋体" w:eastAsia="宋体" w:hint="default"/>
          <w:sz w:val="18"/>
          <w:szCs w:val="18"/>
        </w:rPr>
      </w:pPr>
      <w:r>
        <w:rPr>
          <w:rFonts w:ascii="宋体" w:hAnsi="宋体" w:cs="宋体" w:eastAsia="宋体" w:hint="default"/>
          <w:b/>
          <w:bCs/>
          <w:sz w:val="18"/>
          <w:szCs w:val="18"/>
        </w:rPr>
        <w:t>合并利润表</w:t>
      </w:r>
      <w:r>
        <w:rPr>
          <w:rFonts w:ascii="宋体" w:hAnsi="宋体" w:cs="宋体" w:eastAsia="宋体" w:hint="default"/>
          <w:sz w:val="18"/>
          <w:szCs w:val="18"/>
        </w:rPr>
      </w:r>
    </w:p>
    <w:p>
      <w:pPr>
        <w:spacing w:before="38"/>
        <w:ind w:left="2637" w:right="4210" w:firstLine="0"/>
        <w:jc w:val="center"/>
        <w:rPr>
          <w:rFonts w:ascii="宋体" w:hAnsi="宋体" w:cs="宋体" w:eastAsia="宋体" w:hint="default"/>
          <w:sz w:val="18"/>
          <w:szCs w:val="18"/>
        </w:rPr>
      </w:pPr>
      <w:r>
        <w:rPr>
          <w:rFonts w:ascii="Times New Roman" w:hAnsi="Times New Roman" w:cs="Times New Roman" w:eastAsia="Times New Roman" w:hint="default"/>
          <w:b/>
          <w:bCs/>
          <w:sz w:val="18"/>
          <w:szCs w:val="18"/>
        </w:rPr>
        <w:t>2018 </w:t>
      </w:r>
      <w:r>
        <w:rPr>
          <w:rFonts w:ascii="宋体" w:hAnsi="宋体" w:cs="宋体" w:eastAsia="宋体" w:hint="default"/>
          <w:b/>
          <w:bCs/>
          <w:sz w:val="18"/>
          <w:szCs w:val="18"/>
        </w:rPr>
        <w:t>年度</w:t>
      </w:r>
      <w:r>
        <w:rPr>
          <w:rFonts w:ascii="宋体" w:hAnsi="宋体" w:cs="宋体" w:eastAsia="宋体" w:hint="default"/>
          <w:sz w:val="18"/>
          <w:szCs w:val="18"/>
        </w:rPr>
      </w:r>
    </w:p>
    <w:p>
      <w:pPr>
        <w:spacing w:before="23"/>
        <w:ind w:left="2637" w:right="4214" w:firstLine="0"/>
        <w:jc w:val="center"/>
        <w:rPr>
          <w:rFonts w:ascii="宋体" w:hAnsi="宋体" w:cs="宋体" w:eastAsia="宋体" w:hint="default"/>
          <w:sz w:val="18"/>
          <w:szCs w:val="18"/>
        </w:rPr>
      </w:pPr>
      <w:r>
        <w:rPr>
          <w:rFonts w:ascii="宋体" w:hAnsi="宋体" w:cs="宋体" w:eastAsia="宋体" w:hint="default"/>
          <w:b/>
          <w:bCs/>
          <w:sz w:val="18"/>
          <w:szCs w:val="18"/>
        </w:rPr>
        <w:t>（除特别注明外，金额单位均为人民币元）</w:t>
      </w:r>
      <w:r>
        <w:rPr>
          <w:rFonts w:ascii="宋体" w:hAnsi="宋体" w:cs="宋体" w:eastAsia="宋体" w:hint="default"/>
          <w:sz w:val="18"/>
          <w:szCs w:val="18"/>
        </w:rPr>
      </w:r>
    </w:p>
    <w:p>
      <w:pPr>
        <w:spacing w:line="240" w:lineRule="auto" w:before="1"/>
        <w:rPr>
          <w:rFonts w:ascii="宋体" w:hAnsi="宋体" w:cs="宋体" w:eastAsia="宋体" w:hint="default"/>
          <w:b/>
          <w:bCs/>
          <w:sz w:val="14"/>
          <w:szCs w:val="14"/>
        </w:rPr>
      </w:pPr>
    </w:p>
    <w:tbl>
      <w:tblPr>
        <w:tblW w:w="0" w:type="auto"/>
        <w:jc w:val="left"/>
        <w:tblInd w:w="104" w:type="dxa"/>
        <w:tblLayout w:type="fixed"/>
        <w:tblCellMar>
          <w:top w:w="0" w:type="dxa"/>
          <w:left w:w="0" w:type="dxa"/>
          <w:bottom w:w="0" w:type="dxa"/>
          <w:right w:w="0" w:type="dxa"/>
        </w:tblCellMar>
        <w:tblLook w:val="01E0"/>
      </w:tblPr>
      <w:tblGrid>
        <w:gridCol w:w="3936"/>
        <w:gridCol w:w="1134"/>
        <w:gridCol w:w="1729"/>
        <w:gridCol w:w="1729"/>
      </w:tblGrid>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center"/>
              <w:rPr>
                <w:rFonts w:ascii="宋体" w:hAnsi="宋体" w:cs="宋体" w:eastAsia="宋体" w:hint="default"/>
                <w:sz w:val="13"/>
                <w:szCs w:val="13"/>
              </w:rPr>
            </w:pPr>
            <w:r>
              <w:rPr>
                <w:rFonts w:ascii="宋体" w:hAnsi="宋体" w:cs="宋体" w:eastAsia="宋体" w:hint="default"/>
                <w:sz w:val="13"/>
                <w:szCs w:val="13"/>
              </w:rPr>
              <w:t>项目</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
              <w:jc w:val="center"/>
              <w:rPr>
                <w:rFonts w:ascii="宋体" w:hAnsi="宋体" w:cs="宋体" w:eastAsia="宋体" w:hint="default"/>
                <w:sz w:val="13"/>
                <w:szCs w:val="13"/>
              </w:rPr>
            </w:pPr>
            <w:r>
              <w:rPr>
                <w:rFonts w:ascii="宋体" w:hAnsi="宋体" w:cs="宋体" w:eastAsia="宋体" w:hint="default"/>
                <w:sz w:val="13"/>
                <w:szCs w:val="13"/>
              </w:rPr>
              <w:t>附注五</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534" w:right="0"/>
              <w:jc w:val="left"/>
              <w:rPr>
                <w:rFonts w:ascii="宋体" w:hAnsi="宋体" w:cs="宋体" w:eastAsia="宋体" w:hint="default"/>
                <w:sz w:val="13"/>
                <w:szCs w:val="13"/>
              </w:rPr>
            </w:pPr>
            <w:r>
              <w:rPr>
                <w:rFonts w:ascii="宋体" w:hAnsi="宋体" w:cs="宋体" w:eastAsia="宋体" w:hint="default"/>
                <w:sz w:val="13"/>
                <w:szCs w:val="13"/>
              </w:rPr>
              <w:t>本期发生额</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532" w:right="0"/>
              <w:jc w:val="left"/>
              <w:rPr>
                <w:rFonts w:ascii="宋体" w:hAnsi="宋体" w:cs="宋体" w:eastAsia="宋体" w:hint="default"/>
                <w:sz w:val="13"/>
                <w:szCs w:val="13"/>
              </w:rPr>
            </w:pPr>
            <w:r>
              <w:rPr>
                <w:rFonts w:ascii="宋体" w:hAnsi="宋体" w:cs="宋体" w:eastAsia="宋体" w:hint="default"/>
                <w:sz w:val="13"/>
                <w:szCs w:val="13"/>
              </w:rPr>
              <w:t>上期发生额</w:t>
            </w: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一、营业总收入</w:t>
            </w:r>
          </w:p>
        </w:tc>
        <w:tc>
          <w:tcPr>
            <w:tcW w:w="1134"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10,009,483,496.74</w:t>
            </w:r>
            <w:r>
              <w:rPr>
                <w:rFonts w:ascii="Times New Roman"/>
                <w:sz w:val="13"/>
              </w:rPr>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w w:val="95"/>
                <w:sz w:val="13"/>
              </w:rPr>
              <w:t>9,506,838,836.12</w:t>
            </w:r>
            <w:r>
              <w:rPr>
                <w:rFonts w:ascii="Times New Roman"/>
                <w:sz w:val="13"/>
              </w:rPr>
            </w: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其中：营业收入</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
              <w:jc w:val="center"/>
              <w:rPr>
                <w:rFonts w:ascii="宋体" w:hAnsi="宋体" w:cs="宋体" w:eastAsia="宋体" w:hint="default"/>
                <w:sz w:val="13"/>
                <w:szCs w:val="13"/>
              </w:rPr>
            </w:pPr>
            <w:r>
              <w:rPr>
                <w:rFonts w:ascii="宋体" w:hAnsi="宋体" w:cs="宋体" w:eastAsia="宋体" w:hint="default"/>
                <w:sz w:val="13"/>
                <w:szCs w:val="13"/>
              </w:rPr>
              <w:t>（四十）</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10,009,483,496.74</w:t>
            </w:r>
            <w:r>
              <w:rPr>
                <w:rFonts w:ascii="Times New Roman"/>
                <w:sz w:val="13"/>
              </w:rPr>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w w:val="95"/>
                <w:sz w:val="13"/>
              </w:rPr>
              <w:t>9,506,838,836.12</w:t>
            </w:r>
            <w:r>
              <w:rPr>
                <w:rFonts w:ascii="Times New Roman"/>
                <w:sz w:val="13"/>
              </w:rPr>
            </w: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利息收入</w:t>
            </w:r>
          </w:p>
        </w:tc>
        <w:tc>
          <w:tcPr>
            <w:tcW w:w="1134"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已赚保费</w:t>
            </w:r>
          </w:p>
        </w:tc>
        <w:tc>
          <w:tcPr>
            <w:tcW w:w="1134"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手续费及佣金收入</w:t>
            </w:r>
          </w:p>
        </w:tc>
        <w:tc>
          <w:tcPr>
            <w:tcW w:w="1134"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二、营业总成本</w:t>
            </w:r>
          </w:p>
        </w:tc>
        <w:tc>
          <w:tcPr>
            <w:tcW w:w="1134"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9,654,472,519.82</w:t>
            </w:r>
            <w:r>
              <w:rPr>
                <w:rFonts w:ascii="Times New Roman"/>
                <w:sz w:val="13"/>
              </w:rPr>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w w:val="95"/>
                <w:sz w:val="13"/>
              </w:rPr>
              <w:t>9,172,162,174.67</w:t>
            </w:r>
            <w:r>
              <w:rPr>
                <w:rFonts w:ascii="Times New Roman"/>
                <w:sz w:val="13"/>
              </w:rPr>
            </w: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其中：营业成本</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
              <w:jc w:val="center"/>
              <w:rPr>
                <w:rFonts w:ascii="宋体" w:hAnsi="宋体" w:cs="宋体" w:eastAsia="宋体" w:hint="default"/>
                <w:sz w:val="13"/>
                <w:szCs w:val="13"/>
              </w:rPr>
            </w:pPr>
            <w:r>
              <w:rPr>
                <w:rFonts w:ascii="宋体" w:hAnsi="宋体" w:cs="宋体" w:eastAsia="宋体" w:hint="default"/>
                <w:sz w:val="13"/>
                <w:szCs w:val="13"/>
              </w:rPr>
              <w:t>（四十）</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7,814,685,360.28</w:t>
            </w:r>
            <w:r>
              <w:rPr>
                <w:rFonts w:ascii="Times New Roman"/>
                <w:sz w:val="13"/>
              </w:rPr>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w w:val="95"/>
                <w:sz w:val="13"/>
              </w:rPr>
              <w:t>7,446,796,109.10</w:t>
            </w:r>
            <w:r>
              <w:rPr>
                <w:rFonts w:ascii="Times New Roman"/>
                <w:sz w:val="13"/>
              </w:rPr>
            </w: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利息支出</w:t>
            </w:r>
          </w:p>
        </w:tc>
        <w:tc>
          <w:tcPr>
            <w:tcW w:w="1134"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手续费及佣金支出</w:t>
            </w:r>
          </w:p>
        </w:tc>
        <w:tc>
          <w:tcPr>
            <w:tcW w:w="1134"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退保金</w:t>
            </w:r>
          </w:p>
        </w:tc>
        <w:tc>
          <w:tcPr>
            <w:tcW w:w="1134"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赔付支出净额</w:t>
            </w:r>
          </w:p>
        </w:tc>
        <w:tc>
          <w:tcPr>
            <w:tcW w:w="1134"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提取保险合同准备金净额</w:t>
            </w:r>
          </w:p>
        </w:tc>
        <w:tc>
          <w:tcPr>
            <w:tcW w:w="1134"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保单红利支出</w:t>
            </w:r>
          </w:p>
        </w:tc>
        <w:tc>
          <w:tcPr>
            <w:tcW w:w="1134"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分保费用</w:t>
            </w:r>
          </w:p>
        </w:tc>
        <w:tc>
          <w:tcPr>
            <w:tcW w:w="1134"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税金及附加</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
              <w:jc w:val="center"/>
              <w:rPr>
                <w:rFonts w:ascii="宋体" w:hAnsi="宋体" w:cs="宋体" w:eastAsia="宋体" w:hint="default"/>
                <w:sz w:val="13"/>
                <w:szCs w:val="13"/>
              </w:rPr>
            </w:pPr>
            <w:r>
              <w:rPr>
                <w:rFonts w:ascii="宋体" w:hAnsi="宋体" w:cs="宋体" w:eastAsia="宋体" w:hint="default"/>
                <w:sz w:val="13"/>
                <w:szCs w:val="13"/>
              </w:rPr>
              <w:t>（四十一）</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73,426,645.34</w:t>
            </w:r>
            <w:r>
              <w:rPr>
                <w:rFonts w:ascii="Times New Roman"/>
                <w:sz w:val="13"/>
              </w:rPr>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w w:val="95"/>
                <w:sz w:val="13"/>
              </w:rPr>
              <w:t>77,401,713.35</w:t>
            </w:r>
            <w:r>
              <w:rPr>
                <w:rFonts w:ascii="Times New Roman"/>
                <w:sz w:val="13"/>
              </w:rPr>
            </w: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销售费用</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
              <w:jc w:val="center"/>
              <w:rPr>
                <w:rFonts w:ascii="宋体" w:hAnsi="宋体" w:cs="宋体" w:eastAsia="宋体" w:hint="default"/>
                <w:sz w:val="13"/>
                <w:szCs w:val="13"/>
              </w:rPr>
            </w:pPr>
            <w:r>
              <w:rPr>
                <w:rFonts w:ascii="宋体" w:hAnsi="宋体" w:cs="宋体" w:eastAsia="宋体" w:hint="default"/>
                <w:sz w:val="13"/>
                <w:szCs w:val="13"/>
              </w:rPr>
              <w:t>（四十二）</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377,184,892.46</w:t>
            </w:r>
            <w:r>
              <w:rPr>
                <w:rFonts w:ascii="Times New Roman"/>
                <w:sz w:val="13"/>
              </w:rPr>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w w:val="95"/>
                <w:sz w:val="13"/>
              </w:rPr>
              <w:t>394,567,831.35</w:t>
            </w:r>
            <w:r>
              <w:rPr>
                <w:rFonts w:ascii="Times New Roman"/>
                <w:sz w:val="13"/>
              </w:rPr>
            </w: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管理费用</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
              <w:jc w:val="center"/>
              <w:rPr>
                <w:rFonts w:ascii="宋体" w:hAnsi="宋体" w:cs="宋体" w:eastAsia="宋体" w:hint="default"/>
                <w:sz w:val="13"/>
                <w:szCs w:val="13"/>
              </w:rPr>
            </w:pPr>
            <w:r>
              <w:rPr>
                <w:rFonts w:ascii="宋体" w:hAnsi="宋体" w:cs="宋体" w:eastAsia="宋体" w:hint="default"/>
                <w:sz w:val="13"/>
                <w:szCs w:val="13"/>
              </w:rPr>
              <w:t>（四十三）</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606,310,012.86</w:t>
            </w:r>
            <w:r>
              <w:rPr>
                <w:rFonts w:ascii="Times New Roman"/>
                <w:sz w:val="13"/>
              </w:rPr>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w w:val="95"/>
                <w:sz w:val="13"/>
              </w:rPr>
              <w:t>568,270,893.41</w:t>
            </w:r>
            <w:r>
              <w:rPr>
                <w:rFonts w:ascii="Times New Roman"/>
                <w:sz w:val="13"/>
              </w:rPr>
            </w: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研发费用</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
              <w:jc w:val="center"/>
              <w:rPr>
                <w:rFonts w:ascii="宋体" w:hAnsi="宋体" w:cs="宋体" w:eastAsia="宋体" w:hint="default"/>
                <w:sz w:val="13"/>
                <w:szCs w:val="13"/>
              </w:rPr>
            </w:pPr>
            <w:r>
              <w:rPr>
                <w:rFonts w:ascii="宋体" w:hAnsi="宋体" w:cs="宋体" w:eastAsia="宋体" w:hint="default"/>
                <w:sz w:val="13"/>
                <w:szCs w:val="13"/>
              </w:rPr>
              <w:t>（四十四）</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644,718,337.98</w:t>
            </w:r>
            <w:r>
              <w:rPr>
                <w:rFonts w:ascii="Times New Roman"/>
                <w:sz w:val="13"/>
              </w:rPr>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w w:val="95"/>
                <w:sz w:val="13"/>
              </w:rPr>
              <w:t>537,932,446.49</w:t>
            </w:r>
            <w:r>
              <w:rPr>
                <w:rFonts w:ascii="Times New Roman"/>
                <w:sz w:val="13"/>
              </w:rPr>
            </w: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财务费用</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
              <w:jc w:val="center"/>
              <w:rPr>
                <w:rFonts w:ascii="宋体" w:hAnsi="宋体" w:cs="宋体" w:eastAsia="宋体" w:hint="default"/>
                <w:sz w:val="13"/>
                <w:szCs w:val="13"/>
              </w:rPr>
            </w:pPr>
            <w:r>
              <w:rPr>
                <w:rFonts w:ascii="宋体" w:hAnsi="宋体" w:cs="宋体" w:eastAsia="宋体" w:hint="default"/>
                <w:sz w:val="13"/>
                <w:szCs w:val="13"/>
              </w:rPr>
              <w:t>（四十五）</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42,664,100.82</w:t>
            </w:r>
            <w:r>
              <w:rPr>
                <w:rFonts w:ascii="Times New Roman"/>
                <w:sz w:val="13"/>
              </w:rPr>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w w:val="95"/>
                <w:sz w:val="13"/>
              </w:rPr>
              <w:t>46,827,312.54</w:t>
            </w:r>
            <w:r>
              <w:rPr>
                <w:rFonts w:ascii="Times New Roman"/>
                <w:sz w:val="13"/>
              </w:rPr>
            </w: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其中：利息费用</w:t>
            </w:r>
          </w:p>
        </w:tc>
        <w:tc>
          <w:tcPr>
            <w:tcW w:w="1134"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80,751,865.69</w:t>
            </w:r>
            <w:r>
              <w:rPr>
                <w:rFonts w:ascii="Times New Roman"/>
                <w:sz w:val="13"/>
              </w:rPr>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w w:val="95"/>
                <w:sz w:val="13"/>
              </w:rPr>
              <w:t>59,828,500.68</w:t>
            </w:r>
            <w:r>
              <w:rPr>
                <w:rFonts w:ascii="Times New Roman"/>
                <w:sz w:val="13"/>
              </w:rPr>
            </w: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利息收入</w:t>
            </w:r>
          </w:p>
        </w:tc>
        <w:tc>
          <w:tcPr>
            <w:tcW w:w="1134"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36,783,438.92</w:t>
            </w:r>
            <w:r>
              <w:rPr>
                <w:rFonts w:ascii="Times New Roman"/>
                <w:sz w:val="13"/>
              </w:rPr>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w w:val="95"/>
                <w:sz w:val="13"/>
              </w:rPr>
              <w:t>27,293,029.68</w:t>
            </w:r>
            <w:r>
              <w:rPr>
                <w:rFonts w:ascii="Times New Roman"/>
                <w:sz w:val="13"/>
              </w:rPr>
            </w: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资产减值损失</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
              <w:jc w:val="center"/>
              <w:rPr>
                <w:rFonts w:ascii="宋体" w:hAnsi="宋体" w:cs="宋体" w:eastAsia="宋体" w:hint="default"/>
                <w:sz w:val="13"/>
                <w:szCs w:val="13"/>
              </w:rPr>
            </w:pPr>
            <w:r>
              <w:rPr>
                <w:rFonts w:ascii="宋体" w:hAnsi="宋体" w:cs="宋体" w:eastAsia="宋体" w:hint="default"/>
                <w:sz w:val="13"/>
                <w:szCs w:val="13"/>
              </w:rPr>
              <w:t>（四十六）</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95,483,170.08</w:t>
            </w:r>
            <w:r>
              <w:rPr>
                <w:rFonts w:ascii="Times New Roman"/>
                <w:sz w:val="13"/>
              </w:rPr>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w w:val="95"/>
                <w:sz w:val="13"/>
              </w:rPr>
              <w:t>100,365,868.43</w:t>
            </w:r>
            <w:r>
              <w:rPr>
                <w:rFonts w:ascii="Times New Roman"/>
                <w:sz w:val="13"/>
              </w:rPr>
            </w: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加：其他收益</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
              <w:jc w:val="center"/>
              <w:rPr>
                <w:rFonts w:ascii="宋体" w:hAnsi="宋体" w:cs="宋体" w:eastAsia="宋体" w:hint="default"/>
                <w:sz w:val="13"/>
                <w:szCs w:val="13"/>
              </w:rPr>
            </w:pPr>
            <w:r>
              <w:rPr>
                <w:rFonts w:ascii="宋体" w:hAnsi="宋体" w:cs="宋体" w:eastAsia="宋体" w:hint="default"/>
                <w:sz w:val="13"/>
                <w:szCs w:val="13"/>
              </w:rPr>
              <w:t>（四十七）</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162,492,770.47</w:t>
            </w:r>
            <w:r>
              <w:rPr>
                <w:rFonts w:ascii="Times New Roman"/>
                <w:sz w:val="13"/>
              </w:rPr>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w w:val="95"/>
                <w:sz w:val="13"/>
              </w:rPr>
              <w:t>142,312,100.16</w:t>
            </w:r>
            <w:r>
              <w:rPr>
                <w:rFonts w:ascii="Times New Roman"/>
                <w:sz w:val="13"/>
              </w:rPr>
            </w: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投资收益（损失以</w:t>
            </w:r>
            <w:r>
              <w:rPr>
                <w:rFonts w:ascii="Times New Roman" w:hAnsi="Times New Roman" w:cs="Times New Roman" w:eastAsia="Times New Roman" w:hint="default"/>
                <w:sz w:val="13"/>
                <w:szCs w:val="13"/>
              </w:rPr>
              <w:t>“-”</w:t>
            </w:r>
            <w:r>
              <w:rPr>
                <w:rFonts w:ascii="宋体" w:hAnsi="宋体" w:cs="宋体" w:eastAsia="宋体" w:hint="default"/>
                <w:sz w:val="13"/>
                <w:szCs w:val="13"/>
              </w:rPr>
              <w:t>号填列）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
              <w:jc w:val="center"/>
              <w:rPr>
                <w:rFonts w:ascii="宋体" w:hAnsi="宋体" w:cs="宋体" w:eastAsia="宋体" w:hint="default"/>
                <w:sz w:val="13"/>
                <w:szCs w:val="13"/>
              </w:rPr>
            </w:pPr>
            <w:r>
              <w:rPr>
                <w:rFonts w:ascii="宋体" w:hAnsi="宋体" w:cs="宋体" w:eastAsia="宋体" w:hint="default"/>
                <w:sz w:val="13"/>
                <w:szCs w:val="13"/>
              </w:rPr>
              <w:t>（四十八）</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812,526,935.32</w:t>
            </w:r>
            <w:r>
              <w:rPr>
                <w:rFonts w:ascii="Times New Roman"/>
                <w:sz w:val="13"/>
              </w:rPr>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w w:val="95"/>
                <w:sz w:val="13"/>
              </w:rPr>
              <w:t>308,287,176.15</w:t>
            </w:r>
            <w:r>
              <w:rPr>
                <w:rFonts w:ascii="Times New Roman"/>
                <w:sz w:val="13"/>
              </w:rPr>
            </w: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其中：对联营企业和合营企业的投资收益</w:t>
            </w:r>
          </w:p>
        </w:tc>
        <w:tc>
          <w:tcPr>
            <w:tcW w:w="1134"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-2,545,048.37</w:t>
            </w:r>
            <w:r>
              <w:rPr>
                <w:rFonts w:ascii="Times New Roman"/>
                <w:sz w:val="13"/>
              </w:rPr>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w w:val="95"/>
                <w:sz w:val="13"/>
              </w:rPr>
              <w:t>9,125,183.29</w:t>
            </w:r>
            <w:r>
              <w:rPr>
                <w:rFonts w:ascii="Times New Roman"/>
                <w:sz w:val="13"/>
              </w:rPr>
            </w: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公允价值变动收益（损失以</w:t>
            </w:r>
            <w:r>
              <w:rPr>
                <w:rFonts w:ascii="Times New Roman" w:hAnsi="Times New Roman" w:cs="Times New Roman" w:eastAsia="Times New Roman" w:hint="default"/>
                <w:sz w:val="13"/>
                <w:szCs w:val="13"/>
              </w:rPr>
              <w:t>“-”</w:t>
            </w:r>
            <w:r>
              <w:rPr>
                <w:rFonts w:ascii="宋体" w:hAnsi="宋体" w:cs="宋体" w:eastAsia="宋体" w:hint="default"/>
                <w:sz w:val="13"/>
                <w:szCs w:val="13"/>
              </w:rPr>
              <w:t>号填列）</w:t>
            </w:r>
          </w:p>
        </w:tc>
        <w:tc>
          <w:tcPr>
            <w:tcW w:w="1134"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资产处置收益（损失以</w:t>
            </w:r>
            <w:r>
              <w:rPr>
                <w:rFonts w:ascii="Times New Roman" w:hAnsi="Times New Roman" w:cs="Times New Roman" w:eastAsia="Times New Roman" w:hint="default"/>
                <w:sz w:val="13"/>
                <w:szCs w:val="13"/>
              </w:rPr>
              <w:t>“-”</w:t>
            </w:r>
            <w:r>
              <w:rPr>
                <w:rFonts w:ascii="宋体" w:hAnsi="宋体" w:cs="宋体" w:eastAsia="宋体" w:hint="default"/>
                <w:sz w:val="13"/>
                <w:szCs w:val="13"/>
              </w:rPr>
              <w:t>号填列）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
              <w:jc w:val="center"/>
              <w:rPr>
                <w:rFonts w:ascii="宋体" w:hAnsi="宋体" w:cs="宋体" w:eastAsia="宋体" w:hint="default"/>
                <w:sz w:val="13"/>
                <w:szCs w:val="13"/>
              </w:rPr>
            </w:pPr>
            <w:r>
              <w:rPr>
                <w:rFonts w:ascii="宋体" w:hAnsi="宋体" w:cs="宋体" w:eastAsia="宋体" w:hint="default"/>
                <w:sz w:val="13"/>
                <w:szCs w:val="13"/>
              </w:rPr>
              <w:t>（四十九）</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-2,295,823.91</w:t>
            </w:r>
            <w:r>
              <w:rPr>
                <w:rFonts w:ascii="Times New Roman"/>
                <w:sz w:val="13"/>
              </w:rPr>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w w:val="95"/>
                <w:sz w:val="13"/>
              </w:rPr>
              <w:t>7,034,133.86</w:t>
            </w:r>
            <w:r>
              <w:rPr>
                <w:rFonts w:ascii="Times New Roman"/>
                <w:sz w:val="13"/>
              </w:rPr>
            </w: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汇兑收益（损失以</w:t>
            </w:r>
            <w:r>
              <w:rPr>
                <w:rFonts w:ascii="Times New Roman" w:hAnsi="Times New Roman" w:cs="Times New Roman" w:eastAsia="Times New Roman" w:hint="default"/>
                <w:sz w:val="13"/>
                <w:szCs w:val="13"/>
              </w:rPr>
              <w:t>“-”</w:t>
            </w:r>
            <w:r>
              <w:rPr>
                <w:rFonts w:ascii="宋体" w:hAnsi="宋体" w:cs="宋体" w:eastAsia="宋体" w:hint="default"/>
                <w:sz w:val="13"/>
                <w:szCs w:val="13"/>
              </w:rPr>
              <w:t>号填列）</w:t>
            </w:r>
          </w:p>
        </w:tc>
        <w:tc>
          <w:tcPr>
            <w:tcW w:w="1134"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三、营业利润（亏损以</w:t>
            </w:r>
            <w:r>
              <w:rPr>
                <w:rFonts w:ascii="Times New Roman" w:hAnsi="Times New Roman" w:cs="Times New Roman" w:eastAsia="Times New Roman" w:hint="default"/>
                <w:sz w:val="13"/>
                <w:szCs w:val="13"/>
              </w:rPr>
              <w:t>“-”</w:t>
            </w:r>
            <w:r>
              <w:rPr>
                <w:rFonts w:ascii="宋体" w:hAnsi="宋体" w:cs="宋体" w:eastAsia="宋体" w:hint="default"/>
                <w:sz w:val="13"/>
                <w:szCs w:val="13"/>
              </w:rPr>
              <w:t>号填列）</w:t>
            </w:r>
          </w:p>
        </w:tc>
        <w:tc>
          <w:tcPr>
            <w:tcW w:w="1134"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1,327,734,858.80</w:t>
            </w:r>
            <w:r>
              <w:rPr>
                <w:rFonts w:ascii="Times New Roman"/>
                <w:sz w:val="13"/>
              </w:rPr>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w w:val="95"/>
                <w:sz w:val="13"/>
              </w:rPr>
              <w:t>792,310,071.62</w:t>
            </w:r>
            <w:r>
              <w:rPr>
                <w:rFonts w:ascii="Times New Roman"/>
                <w:sz w:val="13"/>
              </w:rPr>
            </w: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加：营业外收入</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
              <w:jc w:val="center"/>
              <w:rPr>
                <w:rFonts w:ascii="宋体" w:hAnsi="宋体" w:cs="宋体" w:eastAsia="宋体" w:hint="default"/>
                <w:sz w:val="13"/>
                <w:szCs w:val="13"/>
              </w:rPr>
            </w:pPr>
            <w:r>
              <w:rPr>
                <w:rFonts w:ascii="宋体" w:hAnsi="宋体" w:cs="宋体" w:eastAsia="宋体" w:hint="default"/>
                <w:sz w:val="13"/>
                <w:szCs w:val="13"/>
              </w:rPr>
              <w:t>（五十）</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3,853,351.86</w:t>
            </w:r>
            <w:r>
              <w:rPr>
                <w:rFonts w:ascii="Times New Roman"/>
                <w:sz w:val="13"/>
              </w:rPr>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w w:val="95"/>
                <w:sz w:val="13"/>
              </w:rPr>
              <w:t>9,277,109.06</w:t>
            </w:r>
            <w:r>
              <w:rPr>
                <w:rFonts w:ascii="Times New Roman"/>
                <w:sz w:val="13"/>
              </w:rPr>
            </w: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减：营业外支出</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
              <w:jc w:val="center"/>
              <w:rPr>
                <w:rFonts w:ascii="宋体" w:hAnsi="宋体" w:cs="宋体" w:eastAsia="宋体" w:hint="default"/>
                <w:sz w:val="13"/>
                <w:szCs w:val="13"/>
              </w:rPr>
            </w:pPr>
            <w:r>
              <w:rPr>
                <w:rFonts w:ascii="宋体" w:hAnsi="宋体" w:cs="宋体" w:eastAsia="宋体" w:hint="default"/>
                <w:sz w:val="13"/>
                <w:szCs w:val="13"/>
              </w:rPr>
              <w:t>（五十一）</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10,980,645.74</w:t>
            </w:r>
            <w:r>
              <w:rPr>
                <w:rFonts w:ascii="Times New Roman"/>
                <w:sz w:val="13"/>
              </w:rPr>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w w:val="95"/>
                <w:sz w:val="13"/>
              </w:rPr>
              <w:t>20,001,539.53</w:t>
            </w:r>
            <w:r>
              <w:rPr>
                <w:rFonts w:ascii="Times New Roman"/>
                <w:sz w:val="13"/>
              </w:rPr>
            </w: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四、利润总额（亏损总额以</w:t>
            </w:r>
            <w:r>
              <w:rPr>
                <w:rFonts w:ascii="Times New Roman" w:hAnsi="Times New Roman" w:cs="Times New Roman" w:eastAsia="Times New Roman" w:hint="default"/>
                <w:sz w:val="13"/>
                <w:szCs w:val="13"/>
              </w:rPr>
              <w:t>“-”</w:t>
            </w:r>
            <w:r>
              <w:rPr>
                <w:rFonts w:ascii="宋体" w:hAnsi="宋体" w:cs="宋体" w:eastAsia="宋体" w:hint="default"/>
                <w:sz w:val="13"/>
                <w:szCs w:val="13"/>
              </w:rPr>
              <w:t>号填列）</w:t>
            </w:r>
          </w:p>
        </w:tc>
        <w:tc>
          <w:tcPr>
            <w:tcW w:w="1134"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1,320,607,564.92</w:t>
            </w:r>
            <w:r>
              <w:rPr>
                <w:rFonts w:ascii="Times New Roman"/>
                <w:sz w:val="13"/>
              </w:rPr>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w w:val="95"/>
                <w:sz w:val="13"/>
              </w:rPr>
              <w:t>781,585,641.15</w:t>
            </w:r>
            <w:r>
              <w:rPr>
                <w:rFonts w:ascii="Times New Roman"/>
                <w:sz w:val="13"/>
              </w:rPr>
            </w: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减：所得税费用</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
              <w:jc w:val="center"/>
              <w:rPr>
                <w:rFonts w:ascii="宋体" w:hAnsi="宋体" w:cs="宋体" w:eastAsia="宋体" w:hint="default"/>
                <w:sz w:val="13"/>
                <w:szCs w:val="13"/>
              </w:rPr>
            </w:pPr>
            <w:r>
              <w:rPr>
                <w:rFonts w:ascii="宋体" w:hAnsi="宋体" w:cs="宋体" w:eastAsia="宋体" w:hint="default"/>
                <w:sz w:val="13"/>
                <w:szCs w:val="13"/>
              </w:rPr>
              <w:t>（五十二）</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264,241,963.08</w:t>
            </w:r>
            <w:r>
              <w:rPr>
                <w:rFonts w:ascii="Times New Roman"/>
                <w:sz w:val="13"/>
              </w:rPr>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w w:val="95"/>
                <w:sz w:val="13"/>
              </w:rPr>
              <w:t>85,500,863.20</w:t>
            </w:r>
            <w:r>
              <w:rPr>
                <w:rFonts w:ascii="Times New Roman"/>
                <w:sz w:val="13"/>
              </w:rPr>
            </w: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五、净利润（净亏损以</w:t>
            </w:r>
            <w:r>
              <w:rPr>
                <w:rFonts w:ascii="Times New Roman" w:hAnsi="Times New Roman" w:cs="Times New Roman" w:eastAsia="Times New Roman" w:hint="default"/>
                <w:sz w:val="13"/>
                <w:szCs w:val="13"/>
              </w:rPr>
              <w:t>“-”</w:t>
            </w:r>
            <w:r>
              <w:rPr>
                <w:rFonts w:ascii="宋体" w:hAnsi="宋体" w:cs="宋体" w:eastAsia="宋体" w:hint="default"/>
                <w:sz w:val="13"/>
                <w:szCs w:val="13"/>
              </w:rPr>
              <w:t>号填列）</w:t>
            </w:r>
          </w:p>
        </w:tc>
        <w:tc>
          <w:tcPr>
            <w:tcW w:w="1134"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1,056,365,601.84</w:t>
            </w:r>
            <w:r>
              <w:rPr>
                <w:rFonts w:ascii="Times New Roman"/>
                <w:sz w:val="13"/>
              </w:rPr>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w w:val="95"/>
                <w:sz w:val="13"/>
              </w:rPr>
              <w:t>696,084,777.95</w:t>
            </w:r>
            <w:r>
              <w:rPr>
                <w:rFonts w:ascii="Times New Roman"/>
                <w:sz w:val="13"/>
              </w:rPr>
            </w: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（一）按经营持续性分类</w:t>
            </w:r>
          </w:p>
        </w:tc>
        <w:tc>
          <w:tcPr>
            <w:tcW w:w="1134"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556"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1</w:t>
            </w:r>
            <w:r>
              <w:rPr>
                <w:rFonts w:ascii="宋体" w:hAnsi="宋体" w:cs="宋体" w:eastAsia="宋体" w:hint="default"/>
                <w:sz w:val="13"/>
                <w:szCs w:val="13"/>
              </w:rPr>
              <w:t>．持续经营净利润（净亏损以</w:t>
            </w:r>
            <w:r>
              <w:rPr>
                <w:rFonts w:ascii="Times New Roman" w:hAnsi="Times New Roman" w:cs="Times New Roman" w:eastAsia="Times New Roman" w:hint="default"/>
                <w:sz w:val="13"/>
                <w:szCs w:val="13"/>
              </w:rPr>
              <w:t>“-”</w:t>
            </w:r>
            <w:r>
              <w:rPr>
                <w:rFonts w:ascii="宋体" w:hAnsi="宋体" w:cs="宋体" w:eastAsia="宋体" w:hint="default"/>
                <w:sz w:val="13"/>
                <w:szCs w:val="13"/>
              </w:rPr>
              <w:t>号填列）</w:t>
            </w:r>
          </w:p>
        </w:tc>
        <w:tc>
          <w:tcPr>
            <w:tcW w:w="1134"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1,056,365,601.84</w:t>
            </w:r>
            <w:r>
              <w:rPr>
                <w:rFonts w:ascii="Times New Roman"/>
                <w:sz w:val="13"/>
              </w:rPr>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w w:val="95"/>
                <w:sz w:val="13"/>
              </w:rPr>
              <w:t>696,084,777.95</w:t>
            </w:r>
            <w:r>
              <w:rPr>
                <w:rFonts w:ascii="Times New Roman"/>
                <w:sz w:val="13"/>
              </w:rPr>
            </w: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556"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2</w:t>
            </w:r>
            <w:r>
              <w:rPr>
                <w:rFonts w:ascii="宋体" w:hAnsi="宋体" w:cs="宋体" w:eastAsia="宋体" w:hint="default"/>
                <w:sz w:val="13"/>
                <w:szCs w:val="13"/>
              </w:rPr>
              <w:t>．终止经营净利润（净亏损以</w:t>
            </w:r>
            <w:r>
              <w:rPr>
                <w:rFonts w:ascii="Times New Roman" w:hAnsi="Times New Roman" w:cs="Times New Roman" w:eastAsia="Times New Roman" w:hint="default"/>
                <w:sz w:val="13"/>
                <w:szCs w:val="13"/>
              </w:rPr>
              <w:t>“-”</w:t>
            </w:r>
            <w:r>
              <w:rPr>
                <w:rFonts w:ascii="宋体" w:hAnsi="宋体" w:cs="宋体" w:eastAsia="宋体" w:hint="default"/>
                <w:sz w:val="13"/>
                <w:szCs w:val="13"/>
              </w:rPr>
              <w:t>号填列）</w:t>
            </w:r>
          </w:p>
        </w:tc>
        <w:tc>
          <w:tcPr>
            <w:tcW w:w="1134"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（二）按所有权归属分类</w:t>
            </w:r>
          </w:p>
        </w:tc>
        <w:tc>
          <w:tcPr>
            <w:tcW w:w="1134"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556"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1</w:t>
            </w:r>
            <w:r>
              <w:rPr>
                <w:rFonts w:ascii="宋体" w:hAnsi="宋体" w:cs="宋体" w:eastAsia="宋体" w:hint="default"/>
                <w:sz w:val="13"/>
                <w:szCs w:val="13"/>
              </w:rPr>
              <w:t>．归属于母公司股东的净利润（净亏损以</w:t>
            </w:r>
            <w:r>
              <w:rPr>
                <w:rFonts w:ascii="Times New Roman" w:hAnsi="Times New Roman" w:cs="Times New Roman" w:eastAsia="Times New Roman" w:hint="default"/>
                <w:sz w:val="13"/>
                <w:szCs w:val="13"/>
              </w:rPr>
              <w:t>“-”</w:t>
            </w:r>
            <w:r>
              <w:rPr>
                <w:rFonts w:ascii="宋体" w:hAnsi="宋体" w:cs="宋体" w:eastAsia="宋体" w:hint="default"/>
                <w:sz w:val="13"/>
                <w:szCs w:val="13"/>
              </w:rPr>
              <w:t>号填列）</w:t>
            </w:r>
          </w:p>
        </w:tc>
        <w:tc>
          <w:tcPr>
            <w:tcW w:w="1134"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987,100,274.54</w:t>
            </w:r>
            <w:r>
              <w:rPr>
                <w:rFonts w:ascii="Times New Roman"/>
                <w:sz w:val="13"/>
              </w:rPr>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w w:val="95"/>
                <w:sz w:val="13"/>
              </w:rPr>
              <w:t>581,043,323.65</w:t>
            </w:r>
            <w:r>
              <w:rPr>
                <w:rFonts w:ascii="Times New Roman"/>
                <w:sz w:val="13"/>
              </w:rPr>
            </w: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556"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2</w:t>
            </w:r>
            <w:r>
              <w:rPr>
                <w:rFonts w:ascii="宋体" w:hAnsi="宋体" w:cs="宋体" w:eastAsia="宋体" w:hint="default"/>
                <w:sz w:val="13"/>
                <w:szCs w:val="13"/>
              </w:rPr>
              <w:t>．少数股东损益（净亏损以</w:t>
            </w:r>
            <w:r>
              <w:rPr>
                <w:rFonts w:ascii="Times New Roman" w:hAnsi="Times New Roman" w:cs="Times New Roman" w:eastAsia="Times New Roman" w:hint="default"/>
                <w:sz w:val="13"/>
                <w:szCs w:val="13"/>
              </w:rPr>
              <w:t>“-”</w:t>
            </w:r>
            <w:r>
              <w:rPr>
                <w:rFonts w:ascii="宋体" w:hAnsi="宋体" w:cs="宋体" w:eastAsia="宋体" w:hint="default"/>
                <w:sz w:val="13"/>
                <w:szCs w:val="13"/>
              </w:rPr>
              <w:t>号填列）</w:t>
            </w:r>
          </w:p>
        </w:tc>
        <w:tc>
          <w:tcPr>
            <w:tcW w:w="1134"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69,265,327.30</w:t>
            </w:r>
            <w:r>
              <w:rPr>
                <w:rFonts w:ascii="Times New Roman"/>
                <w:sz w:val="13"/>
              </w:rPr>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spacing w:val="-1"/>
                <w:sz w:val="13"/>
              </w:rPr>
              <w:t>115,041,454.30</w:t>
            </w: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六、其他综合收益的税后净额</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2"/>
              <w:jc w:val="center"/>
              <w:rPr>
                <w:rFonts w:ascii="宋体" w:hAnsi="宋体" w:cs="宋体" w:eastAsia="宋体" w:hint="default"/>
                <w:sz w:val="13"/>
                <w:szCs w:val="13"/>
              </w:rPr>
            </w:pPr>
            <w:r>
              <w:rPr>
                <w:rFonts w:ascii="宋体" w:hAnsi="宋体" w:cs="宋体" w:eastAsia="宋体" w:hint="default"/>
                <w:sz w:val="13"/>
                <w:szCs w:val="13"/>
              </w:rPr>
              <w:t>（三十六）</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-1,130,314,091.04</w:t>
            </w:r>
            <w:r>
              <w:rPr>
                <w:rFonts w:ascii="Times New Roman"/>
                <w:sz w:val="13"/>
              </w:rPr>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w w:val="95"/>
                <w:sz w:val="13"/>
              </w:rPr>
              <w:t>-416,680,705.53</w:t>
            </w:r>
            <w:r>
              <w:rPr>
                <w:rFonts w:ascii="Times New Roman"/>
                <w:sz w:val="13"/>
              </w:rPr>
            </w: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归属于母公司所有者的其他综合收益的税后净额</w:t>
            </w:r>
          </w:p>
        </w:tc>
        <w:tc>
          <w:tcPr>
            <w:tcW w:w="1134"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-1,130,656,207.65</w:t>
            </w:r>
            <w:r>
              <w:rPr>
                <w:rFonts w:ascii="Times New Roman"/>
                <w:sz w:val="13"/>
              </w:rPr>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w w:val="95"/>
                <w:sz w:val="13"/>
              </w:rPr>
              <w:t>1,059,565,600.54</w:t>
            </w:r>
            <w:r>
              <w:rPr>
                <w:rFonts w:ascii="Times New Roman"/>
                <w:sz w:val="13"/>
              </w:rPr>
            </w: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（一）不能重分类进损益的其他综合收益</w:t>
            </w:r>
          </w:p>
        </w:tc>
        <w:tc>
          <w:tcPr>
            <w:tcW w:w="1134"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w w:val="95"/>
                <w:sz w:val="13"/>
              </w:rPr>
              <w:t>14,448,251.43</w:t>
            </w:r>
            <w:r>
              <w:rPr>
                <w:rFonts w:ascii="Times New Roman"/>
                <w:sz w:val="13"/>
              </w:rPr>
            </w: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556"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1</w:t>
            </w:r>
            <w:r>
              <w:rPr>
                <w:rFonts w:ascii="宋体" w:hAnsi="宋体" w:cs="宋体" w:eastAsia="宋体" w:hint="default"/>
                <w:sz w:val="13"/>
                <w:szCs w:val="13"/>
              </w:rPr>
              <w:t>．重新计量设定受益计划变动额</w:t>
            </w:r>
          </w:p>
        </w:tc>
        <w:tc>
          <w:tcPr>
            <w:tcW w:w="1134"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w w:val="95"/>
                <w:sz w:val="13"/>
              </w:rPr>
              <w:t>14,448,251.43</w:t>
            </w:r>
            <w:r>
              <w:rPr>
                <w:rFonts w:ascii="Times New Roman"/>
                <w:sz w:val="13"/>
              </w:rPr>
            </w: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556"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2</w:t>
            </w:r>
            <w:r>
              <w:rPr>
                <w:rFonts w:ascii="宋体" w:hAnsi="宋体" w:cs="宋体" w:eastAsia="宋体" w:hint="default"/>
                <w:sz w:val="13"/>
                <w:szCs w:val="13"/>
              </w:rPr>
              <w:t>．权益法下不能转损益的其他综合收益</w:t>
            </w:r>
          </w:p>
        </w:tc>
        <w:tc>
          <w:tcPr>
            <w:tcW w:w="1134"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（二）将重分类进损益的其他综合收益</w:t>
            </w:r>
          </w:p>
        </w:tc>
        <w:tc>
          <w:tcPr>
            <w:tcW w:w="1134"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-1,130,656,207.65</w:t>
            </w:r>
            <w:r>
              <w:rPr>
                <w:rFonts w:ascii="Times New Roman"/>
                <w:sz w:val="13"/>
              </w:rPr>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spacing w:val="-1"/>
                <w:sz w:val="13"/>
              </w:rPr>
              <w:t>1,045,117,349.11</w:t>
            </w: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556"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1</w:t>
            </w:r>
            <w:r>
              <w:rPr>
                <w:rFonts w:ascii="宋体" w:hAnsi="宋体" w:cs="宋体" w:eastAsia="宋体" w:hint="default"/>
                <w:sz w:val="13"/>
                <w:szCs w:val="13"/>
              </w:rPr>
              <w:t>．权益法下可转损益的其他综合收益</w:t>
            </w:r>
          </w:p>
        </w:tc>
        <w:tc>
          <w:tcPr>
            <w:tcW w:w="1134"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556"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2</w:t>
            </w:r>
            <w:r>
              <w:rPr>
                <w:rFonts w:ascii="宋体" w:hAnsi="宋体" w:cs="宋体" w:eastAsia="宋体" w:hint="default"/>
                <w:sz w:val="13"/>
                <w:szCs w:val="13"/>
              </w:rPr>
              <w:t>．可供出售金融资产公允价值变动损益</w:t>
            </w:r>
          </w:p>
        </w:tc>
        <w:tc>
          <w:tcPr>
            <w:tcW w:w="1134"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-1,133,449,602.53</w:t>
            </w:r>
            <w:r>
              <w:rPr>
                <w:rFonts w:ascii="Times New Roman"/>
                <w:sz w:val="13"/>
              </w:rPr>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w w:val="95"/>
                <w:sz w:val="13"/>
              </w:rPr>
              <w:t>867,408,619.70</w:t>
            </w:r>
            <w:r>
              <w:rPr>
                <w:rFonts w:ascii="Times New Roman"/>
                <w:sz w:val="13"/>
              </w:rPr>
            </w: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556"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3</w:t>
            </w:r>
            <w:r>
              <w:rPr>
                <w:rFonts w:ascii="宋体" w:hAnsi="宋体" w:cs="宋体" w:eastAsia="宋体" w:hint="default"/>
                <w:sz w:val="13"/>
                <w:szCs w:val="13"/>
              </w:rPr>
              <w:t>．持有至到期投资重分类为可供出售金融资产损益</w:t>
            </w:r>
          </w:p>
        </w:tc>
        <w:tc>
          <w:tcPr>
            <w:tcW w:w="1134"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556"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4</w:t>
            </w:r>
            <w:r>
              <w:rPr>
                <w:rFonts w:ascii="宋体" w:hAnsi="宋体" w:cs="宋体" w:eastAsia="宋体" w:hint="default"/>
                <w:sz w:val="13"/>
                <w:szCs w:val="13"/>
              </w:rPr>
              <w:t>．现金流量套期损益的有效部分</w:t>
            </w:r>
          </w:p>
        </w:tc>
        <w:tc>
          <w:tcPr>
            <w:tcW w:w="1134"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556"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5</w:t>
            </w:r>
            <w:r>
              <w:rPr>
                <w:rFonts w:ascii="宋体" w:hAnsi="宋体" w:cs="宋体" w:eastAsia="宋体" w:hint="default"/>
                <w:sz w:val="13"/>
                <w:szCs w:val="13"/>
              </w:rPr>
              <w:t>．外币财务报表折算差额</w:t>
            </w:r>
          </w:p>
        </w:tc>
        <w:tc>
          <w:tcPr>
            <w:tcW w:w="1134"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2,793,394.88</w:t>
            </w:r>
            <w:r>
              <w:rPr>
                <w:rFonts w:ascii="Times New Roman"/>
                <w:sz w:val="13"/>
              </w:rPr>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w w:val="95"/>
                <w:sz w:val="13"/>
              </w:rPr>
              <w:t>177,708,729.41</w:t>
            </w:r>
            <w:r>
              <w:rPr>
                <w:rFonts w:ascii="Times New Roman"/>
                <w:sz w:val="13"/>
              </w:rPr>
            </w: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556"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6</w:t>
            </w:r>
            <w:r>
              <w:rPr>
                <w:rFonts w:ascii="宋体" w:hAnsi="宋体" w:cs="宋体" w:eastAsia="宋体" w:hint="default"/>
                <w:sz w:val="13"/>
                <w:szCs w:val="13"/>
              </w:rPr>
              <w:t>．其他</w:t>
            </w:r>
          </w:p>
        </w:tc>
        <w:tc>
          <w:tcPr>
            <w:tcW w:w="1134"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归属于少数股东的其他综合收益的税后净额</w:t>
            </w:r>
          </w:p>
        </w:tc>
        <w:tc>
          <w:tcPr>
            <w:tcW w:w="1134"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spacing w:val="-1"/>
                <w:sz w:val="13"/>
              </w:rPr>
              <w:t>342,116.61</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w w:val="95"/>
                <w:sz w:val="13"/>
              </w:rPr>
              <w:t>-1,476,246,306.07</w:t>
            </w:r>
            <w:r>
              <w:rPr>
                <w:rFonts w:ascii="Times New Roman"/>
                <w:sz w:val="13"/>
              </w:rPr>
            </w: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七、综合收益总额</w:t>
            </w:r>
          </w:p>
        </w:tc>
        <w:tc>
          <w:tcPr>
            <w:tcW w:w="1134"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-73,948,489.20</w:t>
            </w:r>
            <w:r>
              <w:rPr>
                <w:rFonts w:ascii="Times New Roman"/>
                <w:sz w:val="13"/>
              </w:rPr>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w w:val="95"/>
                <w:sz w:val="13"/>
              </w:rPr>
              <w:t>279,404,072.42</w:t>
            </w:r>
            <w:r>
              <w:rPr>
                <w:rFonts w:ascii="Times New Roman"/>
                <w:sz w:val="13"/>
              </w:rPr>
            </w: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归属于母公司所有者的综合收益总额</w:t>
            </w:r>
          </w:p>
        </w:tc>
        <w:tc>
          <w:tcPr>
            <w:tcW w:w="1134"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spacing w:val="-1"/>
                <w:sz w:val="13"/>
              </w:rPr>
              <w:t>-143,555,933.11</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w w:val="95"/>
                <w:sz w:val="13"/>
              </w:rPr>
              <w:t>1,640,608,924.19</w:t>
            </w:r>
            <w:r>
              <w:rPr>
                <w:rFonts w:ascii="Times New Roman"/>
                <w:sz w:val="13"/>
              </w:rPr>
            </w: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归属于少数股东的综合收益总额</w:t>
            </w:r>
          </w:p>
        </w:tc>
        <w:tc>
          <w:tcPr>
            <w:tcW w:w="1134"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69,607,443.91</w:t>
            </w:r>
            <w:r>
              <w:rPr>
                <w:rFonts w:ascii="Times New Roman"/>
                <w:sz w:val="13"/>
              </w:rPr>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w w:val="95"/>
                <w:sz w:val="13"/>
              </w:rPr>
              <w:t>-1,361,204,851.77</w:t>
            </w:r>
            <w:r>
              <w:rPr>
                <w:rFonts w:ascii="Times New Roman"/>
                <w:sz w:val="13"/>
              </w:rPr>
            </w: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八、每股收益：</w:t>
            </w:r>
          </w:p>
        </w:tc>
        <w:tc>
          <w:tcPr>
            <w:tcW w:w="1134"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（一）基本每股收益（元</w:t>
            </w:r>
            <w:r>
              <w:rPr>
                <w:rFonts w:ascii="Times New Roman" w:hAnsi="Times New Roman" w:cs="Times New Roman" w:eastAsia="Times New Roman" w:hint="default"/>
                <w:sz w:val="13"/>
                <w:szCs w:val="13"/>
              </w:rPr>
              <w:t>/</w:t>
            </w:r>
            <w:r>
              <w:rPr>
                <w:rFonts w:ascii="宋体" w:hAnsi="宋体" w:cs="宋体" w:eastAsia="宋体" w:hint="default"/>
                <w:sz w:val="13"/>
                <w:szCs w:val="13"/>
              </w:rPr>
              <w:t>股）</w:t>
            </w:r>
          </w:p>
        </w:tc>
        <w:tc>
          <w:tcPr>
            <w:tcW w:w="1134"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0.336</w:t>
            </w:r>
            <w:r>
              <w:rPr>
                <w:rFonts w:ascii="Times New Roman"/>
                <w:sz w:val="13"/>
              </w:rPr>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w w:val="95"/>
                <w:sz w:val="13"/>
              </w:rPr>
              <w:t>0.204</w:t>
            </w:r>
            <w:r>
              <w:rPr>
                <w:rFonts w:ascii="Times New Roman"/>
                <w:sz w:val="13"/>
              </w:rPr>
            </w:r>
          </w:p>
        </w:tc>
      </w:tr>
      <w:tr>
        <w:trPr>
          <w:trHeight w:val="210" w:hRule="exact"/>
        </w:trPr>
        <w:tc>
          <w:tcPr>
            <w:tcW w:w="3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（二）稀释每股收益（元</w:t>
            </w:r>
            <w:r>
              <w:rPr>
                <w:rFonts w:ascii="Times New Roman" w:hAnsi="Times New Roman" w:cs="Times New Roman" w:eastAsia="Times New Roman" w:hint="default"/>
                <w:sz w:val="13"/>
                <w:szCs w:val="13"/>
              </w:rPr>
              <w:t>/</w:t>
            </w:r>
            <w:r>
              <w:rPr>
                <w:rFonts w:ascii="宋体" w:hAnsi="宋体" w:cs="宋体" w:eastAsia="宋体" w:hint="default"/>
                <w:sz w:val="13"/>
                <w:szCs w:val="13"/>
              </w:rPr>
              <w:t>股）</w:t>
            </w:r>
          </w:p>
        </w:tc>
        <w:tc>
          <w:tcPr>
            <w:tcW w:w="1134" w:type="dxa"/>
            <w:tcBorders>
              <w:top w:val="single" w:sz="4" w:space="0" w:color="000000"/>
              <w:left w:val="single" w:sz="4" w:space="0" w:color="000000"/>
              <w:bottom w:val="single" w:sz="4" w:space="0" w:color="000000"/>
              <w:right w:val="single" w:sz="4" w:space="0" w:color="000000"/>
            </w:tcBorders>
          </w:tcPr>
          <w:p>
            <w:pP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0.336</w:t>
            </w:r>
            <w:r>
              <w:rPr>
                <w:rFonts w:ascii="Times New Roman"/>
                <w:sz w:val="13"/>
              </w:rPr>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w w:val="95"/>
                <w:sz w:val="13"/>
              </w:rPr>
              <w:t>0.204</w:t>
            </w:r>
            <w:r>
              <w:rPr>
                <w:rFonts w:ascii="Times New Roman"/>
                <w:sz w:val="13"/>
              </w:rPr>
            </w:r>
          </w:p>
        </w:tc>
      </w:tr>
    </w:tbl>
    <w:p>
      <w:pPr>
        <w:tabs>
          <w:tab w:pos="2453" w:val="left" w:leader="none"/>
          <w:tab w:pos="3968" w:val="left" w:leader="none"/>
          <w:tab w:pos="6564" w:val="left" w:leader="none"/>
        </w:tabs>
        <w:spacing w:before="91"/>
        <w:ind w:left="217" w:right="0" w:firstLine="0"/>
        <w:jc w:val="left"/>
        <w:rPr>
          <w:rFonts w:ascii="宋体" w:hAnsi="宋体" w:cs="宋体" w:eastAsia="宋体" w:hint="default"/>
          <w:sz w:val="18"/>
          <w:szCs w:val="18"/>
        </w:rPr>
      </w:pPr>
      <w:r>
        <w:rPr>
          <w:rFonts w:ascii="宋体" w:hAnsi="宋体" w:cs="宋体" w:eastAsia="宋体" w:hint="default"/>
          <w:spacing w:val="-2"/>
          <w:sz w:val="18"/>
          <w:szCs w:val="18"/>
        </w:rPr>
        <w:t>企业法定代表人：宋黎定</w:t>
        <w:tab/>
      </w:r>
      <w:r>
        <w:rPr>
          <w:rFonts w:ascii="宋体" w:hAnsi="宋体" w:cs="宋体" w:eastAsia="宋体" w:hint="default"/>
          <w:spacing w:val="-3"/>
          <w:sz w:val="18"/>
          <w:szCs w:val="18"/>
        </w:rPr>
        <w:t>公司总裁：徐刚</w:t>
        <w:tab/>
      </w:r>
      <w:r>
        <w:rPr>
          <w:rFonts w:ascii="宋体" w:hAnsi="宋体" w:cs="宋体" w:eastAsia="宋体" w:hint="default"/>
          <w:spacing w:val="-2"/>
          <w:sz w:val="18"/>
          <w:szCs w:val="18"/>
        </w:rPr>
        <w:t>主管会计工作负责人：刘文彬</w:t>
        <w:tab/>
        <w:t>会计机构负责人：许少霞</w:t>
      </w:r>
    </w:p>
    <w:p>
      <w:pPr>
        <w:spacing w:after="0"/>
        <w:jc w:val="left"/>
        <w:rPr>
          <w:rFonts w:ascii="宋体" w:hAnsi="宋体" w:cs="宋体" w:eastAsia="宋体" w:hint="default"/>
          <w:sz w:val="18"/>
          <w:szCs w:val="18"/>
        </w:rPr>
        <w:sectPr>
          <w:pgSz w:w="11910" w:h="16840"/>
          <w:pgMar w:header="969" w:footer="784" w:top="1160" w:bottom="980" w:left="1580" w:right="0"/>
        </w:sectPr>
      </w:pPr>
    </w:p>
    <w:p>
      <w:pPr>
        <w:spacing w:before="117"/>
        <w:ind w:left="2637" w:right="4211" w:firstLine="0"/>
        <w:jc w:val="center"/>
        <w:rPr>
          <w:rFonts w:ascii="宋体" w:hAnsi="宋体" w:cs="宋体" w:eastAsia="宋体" w:hint="default"/>
          <w:sz w:val="18"/>
          <w:szCs w:val="18"/>
        </w:rPr>
      </w:pPr>
      <w:r>
        <w:rPr>
          <w:rFonts w:ascii="宋体" w:hAnsi="宋体" w:cs="宋体" w:eastAsia="宋体" w:hint="default"/>
          <w:b/>
          <w:bCs/>
          <w:sz w:val="18"/>
          <w:szCs w:val="18"/>
        </w:rPr>
        <w:t>利润表</w:t>
      </w:r>
      <w:r>
        <w:rPr>
          <w:rFonts w:ascii="宋体" w:hAnsi="宋体" w:cs="宋体" w:eastAsia="宋体" w:hint="default"/>
          <w:sz w:val="18"/>
          <w:szCs w:val="18"/>
        </w:rPr>
      </w:r>
    </w:p>
    <w:p>
      <w:pPr>
        <w:spacing w:before="38"/>
        <w:ind w:left="2637" w:right="4210" w:firstLine="0"/>
        <w:jc w:val="center"/>
        <w:rPr>
          <w:rFonts w:ascii="宋体" w:hAnsi="宋体" w:cs="宋体" w:eastAsia="宋体" w:hint="default"/>
          <w:sz w:val="18"/>
          <w:szCs w:val="18"/>
        </w:rPr>
      </w:pPr>
      <w:r>
        <w:rPr>
          <w:rFonts w:ascii="Times New Roman" w:hAnsi="Times New Roman" w:cs="Times New Roman" w:eastAsia="Times New Roman" w:hint="default"/>
          <w:b/>
          <w:bCs/>
          <w:sz w:val="18"/>
          <w:szCs w:val="18"/>
        </w:rPr>
        <w:t>2018 </w:t>
      </w:r>
      <w:r>
        <w:rPr>
          <w:rFonts w:ascii="宋体" w:hAnsi="宋体" w:cs="宋体" w:eastAsia="宋体" w:hint="default"/>
          <w:b/>
          <w:bCs/>
          <w:sz w:val="18"/>
          <w:szCs w:val="18"/>
        </w:rPr>
        <w:t>年度</w:t>
      </w:r>
      <w:r>
        <w:rPr>
          <w:rFonts w:ascii="宋体" w:hAnsi="宋体" w:cs="宋体" w:eastAsia="宋体" w:hint="default"/>
          <w:sz w:val="18"/>
          <w:szCs w:val="18"/>
        </w:rPr>
      </w:r>
    </w:p>
    <w:p>
      <w:pPr>
        <w:spacing w:before="23"/>
        <w:ind w:left="2637" w:right="4214" w:firstLine="0"/>
        <w:jc w:val="center"/>
        <w:rPr>
          <w:rFonts w:ascii="宋体" w:hAnsi="宋体" w:cs="宋体" w:eastAsia="宋体" w:hint="default"/>
          <w:sz w:val="18"/>
          <w:szCs w:val="18"/>
        </w:rPr>
      </w:pPr>
      <w:r>
        <w:rPr>
          <w:rFonts w:ascii="宋体" w:hAnsi="宋体" w:cs="宋体" w:eastAsia="宋体" w:hint="default"/>
          <w:b/>
          <w:bCs/>
          <w:sz w:val="18"/>
          <w:szCs w:val="18"/>
        </w:rPr>
        <w:t>（除特别注明外，金额单位均为人民币元）</w:t>
      </w:r>
      <w:r>
        <w:rPr>
          <w:rFonts w:ascii="宋体" w:hAnsi="宋体" w:cs="宋体" w:eastAsia="宋体" w:hint="default"/>
          <w:sz w:val="18"/>
          <w:szCs w:val="18"/>
        </w:rPr>
      </w:r>
    </w:p>
    <w:p>
      <w:pPr>
        <w:spacing w:line="240" w:lineRule="auto" w:before="1"/>
        <w:rPr>
          <w:rFonts w:ascii="宋体" w:hAnsi="宋体" w:cs="宋体" w:eastAsia="宋体" w:hint="default"/>
          <w:b/>
          <w:bCs/>
          <w:sz w:val="14"/>
          <w:szCs w:val="14"/>
        </w:rPr>
      </w:pPr>
    </w:p>
    <w:tbl>
      <w:tblPr>
        <w:tblW w:w="0" w:type="auto"/>
        <w:jc w:val="left"/>
        <w:tblInd w:w="104" w:type="dxa"/>
        <w:tblLayout w:type="fixed"/>
        <w:tblCellMar>
          <w:top w:w="0" w:type="dxa"/>
          <w:left w:w="0" w:type="dxa"/>
          <w:bottom w:w="0" w:type="dxa"/>
          <w:right w:w="0" w:type="dxa"/>
        </w:tblCellMar>
        <w:tblLook w:val="01E0"/>
      </w:tblPr>
      <w:tblGrid>
        <w:gridCol w:w="4219"/>
        <w:gridCol w:w="992"/>
        <w:gridCol w:w="1657"/>
        <w:gridCol w:w="1660"/>
      </w:tblGrid>
      <w:tr>
        <w:trPr>
          <w:trHeight w:val="310"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
              <w:jc w:val="center"/>
              <w:rPr>
                <w:rFonts w:ascii="宋体" w:hAnsi="宋体" w:cs="宋体" w:eastAsia="宋体" w:hint="default"/>
                <w:sz w:val="18"/>
                <w:szCs w:val="18"/>
              </w:rPr>
            </w:pPr>
            <w:r>
              <w:rPr>
                <w:rFonts w:ascii="宋体" w:hAnsi="宋体" w:cs="宋体" w:eastAsia="宋体" w:hint="default"/>
                <w:sz w:val="18"/>
                <w:szCs w:val="18"/>
              </w:rPr>
              <w:t>附注十六</w:t>
            </w:r>
          </w:p>
        </w:tc>
        <w:tc>
          <w:tcPr>
            <w:tcW w:w="1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373"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374"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11"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103" w:right="0"/>
              <w:jc w:val="left"/>
              <w:rPr>
                <w:rFonts w:ascii="宋体" w:hAnsi="宋体" w:cs="宋体" w:eastAsia="宋体" w:hint="default"/>
                <w:sz w:val="18"/>
                <w:szCs w:val="18"/>
              </w:rPr>
            </w:pPr>
            <w:r>
              <w:rPr>
                <w:rFonts w:ascii="宋体" w:hAnsi="宋体" w:cs="宋体" w:eastAsia="宋体" w:hint="default"/>
                <w:sz w:val="18"/>
                <w:szCs w:val="18"/>
              </w:rPr>
              <w:t>一、营业收入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
              <w:jc w:val="center"/>
              <w:rPr>
                <w:rFonts w:ascii="宋体" w:hAnsi="宋体" w:cs="宋体" w:eastAsia="宋体" w:hint="default"/>
                <w:sz w:val="18"/>
                <w:szCs w:val="18"/>
              </w:rPr>
            </w:pPr>
            <w:r>
              <w:rPr>
                <w:rFonts w:ascii="宋体" w:hAnsi="宋体" w:cs="宋体" w:eastAsia="宋体" w:hint="default"/>
                <w:sz w:val="18"/>
                <w:szCs w:val="18"/>
              </w:rPr>
              <w:t>（四）</w:t>
            </w:r>
          </w:p>
        </w:tc>
        <w:tc>
          <w:tcPr>
            <w:tcW w:w="1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2,634,839,349.87</w:t>
            </w:r>
          </w:p>
        </w:tc>
        <w:tc>
          <w:tcPr>
            <w:tcW w:w="1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3"/>
              <w:jc w:val="right"/>
              <w:rPr>
                <w:rFonts w:ascii="Times New Roman" w:hAnsi="Times New Roman" w:cs="Times New Roman" w:eastAsia="Times New Roman" w:hint="default"/>
                <w:sz w:val="18"/>
                <w:szCs w:val="18"/>
              </w:rPr>
            </w:pPr>
            <w:r>
              <w:rPr>
                <w:rFonts w:ascii="Times New Roman"/>
                <w:spacing w:val="-1"/>
                <w:sz w:val="18"/>
              </w:rPr>
              <w:t>2,515,347,441.79</w:t>
            </w:r>
          </w:p>
        </w:tc>
      </w:tr>
      <w:tr>
        <w:trPr>
          <w:trHeight w:val="310"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减：营业成本</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
              <w:jc w:val="center"/>
              <w:rPr>
                <w:rFonts w:ascii="宋体" w:hAnsi="宋体" w:cs="宋体" w:eastAsia="宋体" w:hint="default"/>
                <w:sz w:val="18"/>
                <w:szCs w:val="18"/>
              </w:rPr>
            </w:pPr>
            <w:r>
              <w:rPr>
                <w:rFonts w:ascii="宋体" w:hAnsi="宋体" w:cs="宋体" w:eastAsia="宋体" w:hint="default"/>
                <w:sz w:val="18"/>
                <w:szCs w:val="18"/>
              </w:rPr>
              <w:t>（四）</w:t>
            </w:r>
          </w:p>
        </w:tc>
        <w:tc>
          <w:tcPr>
            <w:tcW w:w="1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1"/>
              <w:jc w:val="right"/>
              <w:rPr>
                <w:rFonts w:ascii="Times New Roman" w:hAnsi="Times New Roman" w:cs="Times New Roman" w:eastAsia="Times New Roman" w:hint="default"/>
                <w:sz w:val="18"/>
                <w:szCs w:val="18"/>
              </w:rPr>
            </w:pPr>
            <w:r>
              <w:rPr>
                <w:rFonts w:ascii="Times New Roman"/>
                <w:spacing w:val="-1"/>
                <w:sz w:val="18"/>
              </w:rPr>
              <w:t>2,233,481,894.52</w:t>
            </w:r>
          </w:p>
        </w:tc>
        <w:tc>
          <w:tcPr>
            <w:tcW w:w="1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3"/>
              <w:jc w:val="right"/>
              <w:rPr>
                <w:rFonts w:ascii="Times New Roman" w:hAnsi="Times New Roman" w:cs="Times New Roman" w:eastAsia="Times New Roman" w:hint="default"/>
                <w:sz w:val="18"/>
                <w:szCs w:val="18"/>
              </w:rPr>
            </w:pPr>
            <w:r>
              <w:rPr>
                <w:rFonts w:ascii="Times New Roman"/>
                <w:spacing w:val="-1"/>
                <w:sz w:val="18"/>
              </w:rPr>
              <w:t>2,129,501,035.27</w:t>
            </w:r>
          </w:p>
        </w:tc>
      </w:tr>
      <w:tr>
        <w:trPr>
          <w:trHeight w:val="310"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税金及附加</w:t>
            </w:r>
          </w:p>
        </w:tc>
        <w:tc>
          <w:tcPr>
            <w:tcW w:w="992" w:type="dxa"/>
            <w:tcBorders>
              <w:top w:val="single" w:sz="4" w:space="0" w:color="000000"/>
              <w:left w:val="single" w:sz="4" w:space="0" w:color="000000"/>
              <w:bottom w:val="single" w:sz="4" w:space="0" w:color="000000"/>
              <w:right w:val="single" w:sz="4" w:space="0" w:color="000000"/>
            </w:tcBorders>
          </w:tcPr>
          <w:p>
            <w:pPr/>
          </w:p>
        </w:tc>
        <w:tc>
          <w:tcPr>
            <w:tcW w:w="1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0"/>
              <w:jc w:val="right"/>
              <w:rPr>
                <w:rFonts w:ascii="Times New Roman" w:hAnsi="Times New Roman" w:cs="Times New Roman" w:eastAsia="Times New Roman" w:hint="default"/>
                <w:sz w:val="18"/>
                <w:szCs w:val="18"/>
              </w:rPr>
            </w:pPr>
            <w:r>
              <w:rPr>
                <w:rFonts w:ascii="Times New Roman"/>
                <w:spacing w:val="-1"/>
                <w:sz w:val="18"/>
              </w:rPr>
              <w:t>24,313,505.37</w:t>
            </w:r>
          </w:p>
        </w:tc>
        <w:tc>
          <w:tcPr>
            <w:tcW w:w="1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1"/>
              <w:jc w:val="right"/>
              <w:rPr>
                <w:rFonts w:ascii="Times New Roman" w:hAnsi="Times New Roman" w:cs="Times New Roman" w:eastAsia="Times New Roman" w:hint="default"/>
                <w:sz w:val="18"/>
                <w:szCs w:val="18"/>
              </w:rPr>
            </w:pPr>
            <w:r>
              <w:rPr>
                <w:rFonts w:ascii="Times New Roman"/>
                <w:spacing w:val="-1"/>
                <w:sz w:val="18"/>
              </w:rPr>
              <w:t>24,415,657.74</w:t>
            </w:r>
          </w:p>
        </w:tc>
      </w:tr>
      <w:tr>
        <w:trPr>
          <w:trHeight w:val="311"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10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992" w:type="dxa"/>
            <w:tcBorders>
              <w:top w:val="single" w:sz="4" w:space="0" w:color="000000"/>
              <w:left w:val="single" w:sz="4" w:space="0" w:color="000000"/>
              <w:bottom w:val="single" w:sz="4" w:space="0" w:color="000000"/>
              <w:right w:val="single" w:sz="4" w:space="0" w:color="000000"/>
            </w:tcBorders>
          </w:tcPr>
          <w:p>
            <w:pPr/>
          </w:p>
        </w:tc>
        <w:tc>
          <w:tcPr>
            <w:tcW w:w="1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96,805,180.45</w:t>
            </w:r>
          </w:p>
        </w:tc>
        <w:tc>
          <w:tcPr>
            <w:tcW w:w="1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103,664,803.16</w:t>
            </w:r>
          </w:p>
        </w:tc>
      </w:tr>
      <w:tr>
        <w:trPr>
          <w:trHeight w:val="310"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992" w:type="dxa"/>
            <w:tcBorders>
              <w:top w:val="single" w:sz="4" w:space="0" w:color="000000"/>
              <w:left w:val="single" w:sz="4" w:space="0" w:color="000000"/>
              <w:bottom w:val="single" w:sz="4" w:space="0" w:color="000000"/>
              <w:right w:val="single" w:sz="4" w:space="0" w:color="000000"/>
            </w:tcBorders>
          </w:tcPr>
          <w:p>
            <w:pPr/>
          </w:p>
        </w:tc>
        <w:tc>
          <w:tcPr>
            <w:tcW w:w="1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99"/>
              <w:jc w:val="right"/>
              <w:rPr>
                <w:rFonts w:ascii="Times New Roman" w:hAnsi="Times New Roman" w:cs="Times New Roman" w:eastAsia="Times New Roman" w:hint="default"/>
                <w:sz w:val="18"/>
                <w:szCs w:val="18"/>
              </w:rPr>
            </w:pPr>
            <w:r>
              <w:rPr>
                <w:rFonts w:ascii="Times New Roman"/>
                <w:spacing w:val="-1"/>
                <w:sz w:val="18"/>
              </w:rPr>
              <w:t>164,071,429.03</w:t>
            </w:r>
          </w:p>
        </w:tc>
        <w:tc>
          <w:tcPr>
            <w:tcW w:w="1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1"/>
              <w:jc w:val="right"/>
              <w:rPr>
                <w:rFonts w:ascii="Times New Roman" w:hAnsi="Times New Roman" w:cs="Times New Roman" w:eastAsia="Times New Roman" w:hint="default"/>
                <w:sz w:val="18"/>
                <w:szCs w:val="18"/>
              </w:rPr>
            </w:pPr>
            <w:r>
              <w:rPr>
                <w:rFonts w:ascii="Times New Roman"/>
                <w:spacing w:val="-1"/>
                <w:sz w:val="18"/>
              </w:rPr>
              <w:t>133,705,681.63</w:t>
            </w:r>
          </w:p>
        </w:tc>
      </w:tr>
      <w:tr>
        <w:trPr>
          <w:trHeight w:val="310"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992" w:type="dxa"/>
            <w:tcBorders>
              <w:top w:val="single" w:sz="4" w:space="0" w:color="000000"/>
              <w:left w:val="single" w:sz="4" w:space="0" w:color="000000"/>
              <w:bottom w:val="single" w:sz="4" w:space="0" w:color="000000"/>
              <w:right w:val="single" w:sz="4" w:space="0" w:color="000000"/>
            </w:tcBorders>
          </w:tcPr>
          <w:p>
            <w:pPr/>
          </w:p>
        </w:tc>
        <w:tc>
          <w:tcPr>
            <w:tcW w:w="1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99"/>
              <w:jc w:val="right"/>
              <w:rPr>
                <w:rFonts w:ascii="Times New Roman" w:hAnsi="Times New Roman" w:cs="Times New Roman" w:eastAsia="Times New Roman" w:hint="default"/>
                <w:sz w:val="18"/>
                <w:szCs w:val="18"/>
              </w:rPr>
            </w:pPr>
            <w:r>
              <w:rPr>
                <w:rFonts w:ascii="Times New Roman"/>
                <w:spacing w:val="-1"/>
                <w:sz w:val="18"/>
              </w:rPr>
              <w:t>165,718,488.72</w:t>
            </w:r>
          </w:p>
        </w:tc>
        <w:tc>
          <w:tcPr>
            <w:tcW w:w="1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1"/>
              <w:jc w:val="right"/>
              <w:rPr>
                <w:rFonts w:ascii="Times New Roman" w:hAnsi="Times New Roman" w:cs="Times New Roman" w:eastAsia="Times New Roman" w:hint="default"/>
                <w:sz w:val="18"/>
                <w:szCs w:val="18"/>
              </w:rPr>
            </w:pPr>
            <w:r>
              <w:rPr>
                <w:rFonts w:ascii="Times New Roman"/>
                <w:spacing w:val="-1"/>
                <w:sz w:val="18"/>
              </w:rPr>
              <w:t>117,742,578.64</w:t>
            </w:r>
          </w:p>
        </w:tc>
      </w:tr>
      <w:tr>
        <w:trPr>
          <w:trHeight w:val="311"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10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992" w:type="dxa"/>
            <w:tcBorders>
              <w:top w:val="single" w:sz="4" w:space="0" w:color="000000"/>
              <w:left w:val="single" w:sz="4" w:space="0" w:color="000000"/>
              <w:bottom w:val="single" w:sz="4" w:space="0" w:color="000000"/>
              <w:right w:val="single" w:sz="4" w:space="0" w:color="000000"/>
            </w:tcBorders>
          </w:tcPr>
          <w:p>
            <w:pPr/>
          </w:p>
        </w:tc>
        <w:tc>
          <w:tcPr>
            <w:tcW w:w="1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42,962,929.53</w:t>
            </w:r>
          </w:p>
        </w:tc>
        <w:tc>
          <w:tcPr>
            <w:tcW w:w="1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28,317,669.68</w:t>
            </w:r>
          </w:p>
        </w:tc>
      </w:tr>
      <w:tr>
        <w:trPr>
          <w:trHeight w:val="310"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其中：利息费用</w:t>
            </w:r>
          </w:p>
        </w:tc>
        <w:tc>
          <w:tcPr>
            <w:tcW w:w="992" w:type="dxa"/>
            <w:tcBorders>
              <w:top w:val="single" w:sz="4" w:space="0" w:color="000000"/>
              <w:left w:val="single" w:sz="4" w:space="0" w:color="000000"/>
              <w:bottom w:val="single" w:sz="4" w:space="0" w:color="000000"/>
              <w:right w:val="single" w:sz="4" w:space="0" w:color="000000"/>
            </w:tcBorders>
          </w:tcPr>
          <w:p>
            <w:pPr/>
          </w:p>
        </w:tc>
        <w:tc>
          <w:tcPr>
            <w:tcW w:w="1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0"/>
              <w:jc w:val="right"/>
              <w:rPr>
                <w:rFonts w:ascii="Times New Roman" w:hAnsi="Times New Roman" w:cs="Times New Roman" w:eastAsia="Times New Roman" w:hint="default"/>
                <w:sz w:val="18"/>
                <w:szCs w:val="18"/>
              </w:rPr>
            </w:pPr>
            <w:r>
              <w:rPr>
                <w:rFonts w:ascii="Times New Roman"/>
                <w:spacing w:val="-1"/>
                <w:sz w:val="18"/>
              </w:rPr>
              <w:t>47,384,451.99</w:t>
            </w:r>
          </w:p>
        </w:tc>
        <w:tc>
          <w:tcPr>
            <w:tcW w:w="1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1"/>
              <w:jc w:val="right"/>
              <w:rPr>
                <w:rFonts w:ascii="Times New Roman" w:hAnsi="Times New Roman" w:cs="Times New Roman" w:eastAsia="Times New Roman" w:hint="default"/>
                <w:sz w:val="18"/>
                <w:szCs w:val="18"/>
              </w:rPr>
            </w:pPr>
            <w:r>
              <w:rPr>
                <w:rFonts w:ascii="Times New Roman"/>
                <w:spacing w:val="-1"/>
                <w:sz w:val="18"/>
              </w:rPr>
              <w:t>34,828,922.61</w:t>
            </w:r>
          </w:p>
        </w:tc>
      </w:tr>
      <w:tr>
        <w:trPr>
          <w:trHeight w:val="310"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992" w:type="dxa"/>
            <w:tcBorders>
              <w:top w:val="single" w:sz="4" w:space="0" w:color="000000"/>
              <w:left w:val="single" w:sz="4" w:space="0" w:color="000000"/>
              <w:bottom w:val="single" w:sz="4" w:space="0" w:color="000000"/>
              <w:right w:val="single" w:sz="4" w:space="0" w:color="000000"/>
            </w:tcBorders>
          </w:tcPr>
          <w:p>
            <w:pPr/>
          </w:p>
        </w:tc>
        <w:tc>
          <w:tcPr>
            <w:tcW w:w="1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0"/>
              <w:jc w:val="right"/>
              <w:rPr>
                <w:rFonts w:ascii="Times New Roman" w:hAnsi="Times New Roman" w:cs="Times New Roman" w:eastAsia="Times New Roman" w:hint="default"/>
                <w:sz w:val="18"/>
                <w:szCs w:val="18"/>
              </w:rPr>
            </w:pPr>
            <w:r>
              <w:rPr>
                <w:rFonts w:ascii="Times New Roman"/>
                <w:spacing w:val="-1"/>
                <w:sz w:val="18"/>
              </w:rPr>
              <w:t>5,116,671.99</w:t>
            </w:r>
          </w:p>
        </w:tc>
        <w:tc>
          <w:tcPr>
            <w:tcW w:w="1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1"/>
              <w:jc w:val="right"/>
              <w:rPr>
                <w:rFonts w:ascii="Times New Roman" w:hAnsi="Times New Roman" w:cs="Times New Roman" w:eastAsia="Times New Roman" w:hint="default"/>
                <w:sz w:val="18"/>
                <w:szCs w:val="18"/>
              </w:rPr>
            </w:pPr>
            <w:r>
              <w:rPr>
                <w:rFonts w:ascii="Times New Roman"/>
                <w:spacing w:val="-1"/>
                <w:sz w:val="18"/>
              </w:rPr>
              <w:t>8,804,956.79</w:t>
            </w:r>
          </w:p>
        </w:tc>
      </w:tr>
      <w:tr>
        <w:trPr>
          <w:trHeight w:val="311"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103"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992" w:type="dxa"/>
            <w:tcBorders>
              <w:top w:val="single" w:sz="4" w:space="0" w:color="000000"/>
              <w:left w:val="single" w:sz="4" w:space="0" w:color="000000"/>
              <w:bottom w:val="single" w:sz="4" w:space="0" w:color="000000"/>
              <w:right w:val="single" w:sz="4" w:space="0" w:color="000000"/>
            </w:tcBorders>
          </w:tcPr>
          <w:p>
            <w:pPr/>
          </w:p>
        </w:tc>
        <w:tc>
          <w:tcPr>
            <w:tcW w:w="1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31,267,140.53</w:t>
            </w:r>
          </w:p>
        </w:tc>
        <w:tc>
          <w:tcPr>
            <w:tcW w:w="1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64,619,776.07</w:t>
            </w:r>
          </w:p>
        </w:tc>
      </w:tr>
      <w:tr>
        <w:trPr>
          <w:trHeight w:val="310"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加：其他收益</w:t>
            </w:r>
          </w:p>
        </w:tc>
        <w:tc>
          <w:tcPr>
            <w:tcW w:w="992" w:type="dxa"/>
            <w:tcBorders>
              <w:top w:val="single" w:sz="4" w:space="0" w:color="000000"/>
              <w:left w:val="single" w:sz="4" w:space="0" w:color="000000"/>
              <w:bottom w:val="single" w:sz="4" w:space="0" w:color="000000"/>
              <w:right w:val="single" w:sz="4" w:space="0" w:color="000000"/>
            </w:tcBorders>
          </w:tcPr>
          <w:p>
            <w:pPr/>
          </w:p>
        </w:tc>
        <w:tc>
          <w:tcPr>
            <w:tcW w:w="1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99"/>
              <w:jc w:val="right"/>
              <w:rPr>
                <w:rFonts w:ascii="Times New Roman" w:hAnsi="Times New Roman" w:cs="Times New Roman" w:eastAsia="Times New Roman" w:hint="default"/>
                <w:sz w:val="18"/>
                <w:szCs w:val="18"/>
              </w:rPr>
            </w:pPr>
            <w:r>
              <w:rPr>
                <w:rFonts w:ascii="Times New Roman"/>
                <w:spacing w:val="-1"/>
                <w:sz w:val="18"/>
              </w:rPr>
              <w:t>21,155,435.73</w:t>
            </w:r>
          </w:p>
        </w:tc>
        <w:tc>
          <w:tcPr>
            <w:tcW w:w="1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1"/>
              <w:jc w:val="right"/>
              <w:rPr>
                <w:rFonts w:ascii="Times New Roman" w:hAnsi="Times New Roman" w:cs="Times New Roman" w:eastAsia="Times New Roman" w:hint="default"/>
                <w:sz w:val="18"/>
                <w:szCs w:val="18"/>
              </w:rPr>
            </w:pPr>
            <w:r>
              <w:rPr>
                <w:rFonts w:ascii="Times New Roman"/>
                <w:spacing w:val="-1"/>
                <w:sz w:val="18"/>
              </w:rPr>
              <w:t>6,609,276.80</w:t>
            </w:r>
          </w:p>
        </w:tc>
      </w:tr>
      <w:tr>
        <w:trPr>
          <w:trHeight w:val="310"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
              <w:jc w:val="center"/>
              <w:rPr>
                <w:rFonts w:ascii="宋体" w:hAnsi="宋体" w:cs="宋体" w:eastAsia="宋体" w:hint="default"/>
                <w:sz w:val="18"/>
                <w:szCs w:val="18"/>
              </w:rPr>
            </w:pPr>
            <w:r>
              <w:rPr>
                <w:rFonts w:ascii="宋体" w:hAnsi="宋体" w:cs="宋体" w:eastAsia="宋体" w:hint="default"/>
                <w:sz w:val="18"/>
                <w:szCs w:val="18"/>
              </w:rPr>
              <w:t>（五）</w:t>
            </w:r>
          </w:p>
        </w:tc>
        <w:tc>
          <w:tcPr>
            <w:tcW w:w="1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99"/>
              <w:jc w:val="right"/>
              <w:rPr>
                <w:rFonts w:ascii="Times New Roman" w:hAnsi="Times New Roman" w:cs="Times New Roman" w:eastAsia="Times New Roman" w:hint="default"/>
                <w:sz w:val="18"/>
                <w:szCs w:val="18"/>
              </w:rPr>
            </w:pPr>
            <w:r>
              <w:rPr>
                <w:rFonts w:ascii="Times New Roman"/>
                <w:spacing w:val="-1"/>
                <w:sz w:val="18"/>
              </w:rPr>
              <w:t>916,579,318.91</w:t>
            </w:r>
          </w:p>
        </w:tc>
        <w:tc>
          <w:tcPr>
            <w:tcW w:w="1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1"/>
              <w:jc w:val="right"/>
              <w:rPr>
                <w:rFonts w:ascii="Times New Roman" w:hAnsi="Times New Roman" w:cs="Times New Roman" w:eastAsia="Times New Roman" w:hint="default"/>
                <w:sz w:val="18"/>
                <w:szCs w:val="18"/>
              </w:rPr>
            </w:pPr>
            <w:r>
              <w:rPr>
                <w:rFonts w:ascii="Times New Roman"/>
                <w:spacing w:val="-1"/>
                <w:sz w:val="18"/>
              </w:rPr>
              <w:t>376,498,656.59</w:t>
            </w:r>
          </w:p>
        </w:tc>
      </w:tr>
      <w:tr>
        <w:trPr>
          <w:trHeight w:val="311"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103" w:right="0"/>
              <w:jc w:val="left"/>
              <w:rPr>
                <w:rFonts w:ascii="宋体" w:hAnsi="宋体" w:cs="宋体" w:eastAsia="宋体" w:hint="default"/>
                <w:sz w:val="18"/>
                <w:szCs w:val="18"/>
              </w:rPr>
            </w:pPr>
            <w:r>
              <w:rPr>
                <w:rFonts w:ascii="宋体" w:hAnsi="宋体" w:cs="宋体" w:eastAsia="宋体" w:hint="default"/>
                <w:sz w:val="18"/>
                <w:szCs w:val="18"/>
              </w:rPr>
              <w:t>其中：对联营企业和合营企业的投资收益</w:t>
            </w:r>
          </w:p>
        </w:tc>
        <w:tc>
          <w:tcPr>
            <w:tcW w:w="992" w:type="dxa"/>
            <w:tcBorders>
              <w:top w:val="single" w:sz="4" w:space="0" w:color="000000"/>
              <w:left w:val="single" w:sz="4" w:space="0" w:color="000000"/>
              <w:bottom w:val="single" w:sz="4" w:space="0" w:color="000000"/>
              <w:right w:val="single" w:sz="4" w:space="0" w:color="000000"/>
            </w:tcBorders>
          </w:tcPr>
          <w:p>
            <w:pPr/>
          </w:p>
        </w:tc>
        <w:tc>
          <w:tcPr>
            <w:tcW w:w="1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-2,408,230.35</w:t>
            </w:r>
          </w:p>
        </w:tc>
        <w:tc>
          <w:tcPr>
            <w:tcW w:w="1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1,434,578.71</w:t>
            </w:r>
          </w:p>
        </w:tc>
      </w:tr>
      <w:tr>
        <w:trPr>
          <w:trHeight w:val="310"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公允价值变动收益（损失以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992" w:type="dxa"/>
            <w:tcBorders>
              <w:top w:val="single" w:sz="4" w:space="0" w:color="000000"/>
              <w:left w:val="single" w:sz="4" w:space="0" w:color="000000"/>
              <w:bottom w:val="single" w:sz="4" w:space="0" w:color="000000"/>
              <w:right w:val="single" w:sz="4" w:space="0" w:color="000000"/>
            </w:tcBorders>
          </w:tcPr>
          <w:p>
            <w:pPr/>
          </w:p>
        </w:tc>
        <w:tc>
          <w:tcPr>
            <w:tcW w:w="1657" w:type="dxa"/>
            <w:tcBorders>
              <w:top w:val="single" w:sz="4" w:space="0" w:color="000000"/>
              <w:left w:val="single" w:sz="4" w:space="0" w:color="000000"/>
              <w:bottom w:val="single" w:sz="4" w:space="0" w:color="000000"/>
              <w:right w:val="single" w:sz="4" w:space="0" w:color="000000"/>
            </w:tcBorders>
          </w:tcPr>
          <w:p>
            <w:pPr/>
          </w:p>
        </w:tc>
        <w:tc>
          <w:tcPr>
            <w:tcW w:w="1660"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资产处置收益（损失以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992" w:type="dxa"/>
            <w:tcBorders>
              <w:top w:val="single" w:sz="4" w:space="0" w:color="000000"/>
              <w:left w:val="single" w:sz="4" w:space="0" w:color="000000"/>
              <w:bottom w:val="single" w:sz="4" w:space="0" w:color="000000"/>
              <w:right w:val="single" w:sz="4" w:space="0" w:color="000000"/>
            </w:tcBorders>
          </w:tcPr>
          <w:p>
            <w:pPr/>
          </w:p>
        </w:tc>
        <w:tc>
          <w:tcPr>
            <w:tcW w:w="1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99"/>
              <w:jc w:val="right"/>
              <w:rPr>
                <w:rFonts w:ascii="Times New Roman" w:hAnsi="Times New Roman" w:cs="Times New Roman" w:eastAsia="Times New Roman" w:hint="default"/>
                <w:sz w:val="18"/>
                <w:szCs w:val="18"/>
              </w:rPr>
            </w:pPr>
            <w:r>
              <w:rPr>
                <w:rFonts w:ascii="Times New Roman"/>
                <w:spacing w:val="-1"/>
                <w:sz w:val="18"/>
              </w:rPr>
              <w:t>-1,196,698.07</w:t>
            </w:r>
          </w:p>
        </w:tc>
        <w:tc>
          <w:tcPr>
            <w:tcW w:w="1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1"/>
              <w:jc w:val="right"/>
              <w:rPr>
                <w:rFonts w:ascii="Times New Roman" w:hAnsi="Times New Roman" w:cs="Times New Roman" w:eastAsia="Times New Roman" w:hint="default"/>
                <w:sz w:val="18"/>
                <w:szCs w:val="18"/>
              </w:rPr>
            </w:pPr>
            <w:r>
              <w:rPr>
                <w:rFonts w:ascii="Times New Roman"/>
                <w:spacing w:val="-1"/>
                <w:sz w:val="18"/>
              </w:rPr>
              <w:t>5,161,057.84</w:t>
            </w:r>
          </w:p>
        </w:tc>
      </w:tr>
      <w:tr>
        <w:trPr>
          <w:trHeight w:val="311"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103" w:right="0"/>
              <w:jc w:val="left"/>
              <w:rPr>
                <w:rFonts w:ascii="宋体" w:hAnsi="宋体" w:cs="宋体" w:eastAsia="宋体" w:hint="default"/>
                <w:sz w:val="18"/>
                <w:szCs w:val="18"/>
              </w:rPr>
            </w:pPr>
            <w:r>
              <w:rPr>
                <w:rFonts w:ascii="宋体" w:hAnsi="宋体" w:cs="宋体" w:eastAsia="宋体" w:hint="default"/>
                <w:sz w:val="18"/>
                <w:szCs w:val="18"/>
              </w:rPr>
              <w:t>二、营业利润（亏损以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填列）</w:t>
            </w:r>
          </w:p>
        </w:tc>
        <w:tc>
          <w:tcPr>
            <w:tcW w:w="992" w:type="dxa"/>
            <w:tcBorders>
              <w:top w:val="single" w:sz="4" w:space="0" w:color="000000"/>
              <w:left w:val="single" w:sz="4" w:space="0" w:color="000000"/>
              <w:bottom w:val="single" w:sz="4" w:space="0" w:color="000000"/>
              <w:right w:val="single" w:sz="4" w:space="0" w:color="000000"/>
            </w:tcBorders>
          </w:tcPr>
          <w:p>
            <w:pPr/>
          </w:p>
        </w:tc>
        <w:tc>
          <w:tcPr>
            <w:tcW w:w="1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812,756,838.29</w:t>
            </w:r>
          </w:p>
        </w:tc>
        <w:tc>
          <w:tcPr>
            <w:tcW w:w="1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301,649,230.83</w:t>
            </w:r>
          </w:p>
        </w:tc>
      </w:tr>
      <w:tr>
        <w:trPr>
          <w:trHeight w:val="310"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992" w:type="dxa"/>
            <w:tcBorders>
              <w:top w:val="single" w:sz="4" w:space="0" w:color="000000"/>
              <w:left w:val="single" w:sz="4" w:space="0" w:color="000000"/>
              <w:bottom w:val="single" w:sz="4" w:space="0" w:color="000000"/>
              <w:right w:val="single" w:sz="4" w:space="0" w:color="000000"/>
            </w:tcBorders>
          </w:tcPr>
          <w:p>
            <w:pPr/>
          </w:p>
        </w:tc>
        <w:tc>
          <w:tcPr>
            <w:tcW w:w="1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0"/>
              <w:jc w:val="right"/>
              <w:rPr>
                <w:rFonts w:ascii="Times New Roman" w:hAnsi="Times New Roman" w:cs="Times New Roman" w:eastAsia="Times New Roman" w:hint="default"/>
                <w:sz w:val="18"/>
                <w:szCs w:val="18"/>
              </w:rPr>
            </w:pPr>
            <w:r>
              <w:rPr>
                <w:rFonts w:ascii="Times New Roman"/>
                <w:spacing w:val="-1"/>
                <w:sz w:val="18"/>
              </w:rPr>
              <w:t>3,126,959.93</w:t>
            </w:r>
          </w:p>
        </w:tc>
        <w:tc>
          <w:tcPr>
            <w:tcW w:w="1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1"/>
              <w:jc w:val="right"/>
              <w:rPr>
                <w:rFonts w:ascii="Times New Roman" w:hAnsi="Times New Roman" w:cs="Times New Roman" w:eastAsia="Times New Roman" w:hint="default"/>
                <w:sz w:val="18"/>
                <w:szCs w:val="18"/>
              </w:rPr>
            </w:pPr>
            <w:r>
              <w:rPr>
                <w:rFonts w:ascii="Times New Roman"/>
                <w:spacing w:val="-1"/>
                <w:sz w:val="18"/>
              </w:rPr>
              <w:t>1,625,166.84</w:t>
            </w:r>
          </w:p>
        </w:tc>
      </w:tr>
      <w:tr>
        <w:trPr>
          <w:trHeight w:val="310"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992" w:type="dxa"/>
            <w:tcBorders>
              <w:top w:val="single" w:sz="4" w:space="0" w:color="000000"/>
              <w:left w:val="single" w:sz="4" w:space="0" w:color="000000"/>
              <w:bottom w:val="single" w:sz="4" w:space="0" w:color="000000"/>
              <w:right w:val="single" w:sz="4" w:space="0" w:color="000000"/>
            </w:tcBorders>
          </w:tcPr>
          <w:p>
            <w:pPr/>
          </w:p>
        </w:tc>
        <w:tc>
          <w:tcPr>
            <w:tcW w:w="1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0"/>
              <w:jc w:val="right"/>
              <w:rPr>
                <w:rFonts w:ascii="Times New Roman" w:hAnsi="Times New Roman" w:cs="Times New Roman" w:eastAsia="Times New Roman" w:hint="default"/>
                <w:sz w:val="18"/>
                <w:szCs w:val="18"/>
              </w:rPr>
            </w:pPr>
            <w:r>
              <w:rPr>
                <w:rFonts w:ascii="Times New Roman"/>
                <w:spacing w:val="-1"/>
                <w:sz w:val="18"/>
              </w:rPr>
              <w:t>8,264,424.41</w:t>
            </w:r>
          </w:p>
        </w:tc>
        <w:tc>
          <w:tcPr>
            <w:tcW w:w="1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1"/>
              <w:jc w:val="right"/>
              <w:rPr>
                <w:rFonts w:ascii="Times New Roman" w:hAnsi="Times New Roman" w:cs="Times New Roman" w:eastAsia="Times New Roman" w:hint="default"/>
                <w:sz w:val="18"/>
                <w:szCs w:val="18"/>
              </w:rPr>
            </w:pPr>
            <w:r>
              <w:rPr>
                <w:rFonts w:ascii="Times New Roman"/>
                <w:sz w:val="18"/>
              </w:rPr>
              <w:t>492,986.38</w:t>
            </w:r>
          </w:p>
        </w:tc>
      </w:tr>
      <w:tr>
        <w:trPr>
          <w:trHeight w:val="311"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103" w:right="0"/>
              <w:jc w:val="left"/>
              <w:rPr>
                <w:rFonts w:ascii="宋体" w:hAnsi="宋体" w:cs="宋体" w:eastAsia="宋体" w:hint="default"/>
                <w:sz w:val="18"/>
                <w:szCs w:val="18"/>
              </w:rPr>
            </w:pPr>
            <w:r>
              <w:rPr>
                <w:rFonts w:ascii="宋体" w:hAnsi="宋体" w:cs="宋体" w:eastAsia="宋体" w:hint="default"/>
                <w:sz w:val="18"/>
                <w:szCs w:val="18"/>
              </w:rPr>
              <w:t>三、利润总额（亏损总额以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992" w:type="dxa"/>
            <w:tcBorders>
              <w:top w:val="single" w:sz="4" w:space="0" w:color="000000"/>
              <w:left w:val="single" w:sz="4" w:space="0" w:color="000000"/>
              <w:bottom w:val="single" w:sz="4" w:space="0" w:color="000000"/>
              <w:right w:val="single" w:sz="4" w:space="0" w:color="000000"/>
            </w:tcBorders>
          </w:tcPr>
          <w:p>
            <w:pPr/>
          </w:p>
        </w:tc>
        <w:tc>
          <w:tcPr>
            <w:tcW w:w="1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807,619,373.81</w:t>
            </w:r>
          </w:p>
        </w:tc>
        <w:tc>
          <w:tcPr>
            <w:tcW w:w="1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302,781,411.29</w:t>
            </w:r>
          </w:p>
        </w:tc>
      </w:tr>
      <w:tr>
        <w:trPr>
          <w:trHeight w:val="310"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992" w:type="dxa"/>
            <w:tcBorders>
              <w:top w:val="single" w:sz="4" w:space="0" w:color="000000"/>
              <w:left w:val="single" w:sz="4" w:space="0" w:color="000000"/>
              <w:bottom w:val="single" w:sz="4" w:space="0" w:color="000000"/>
              <w:right w:val="single" w:sz="4" w:space="0" w:color="000000"/>
            </w:tcBorders>
          </w:tcPr>
          <w:p>
            <w:pPr/>
          </w:p>
        </w:tc>
        <w:tc>
          <w:tcPr>
            <w:tcW w:w="1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99"/>
              <w:jc w:val="right"/>
              <w:rPr>
                <w:rFonts w:ascii="Times New Roman" w:hAnsi="Times New Roman" w:cs="Times New Roman" w:eastAsia="Times New Roman" w:hint="default"/>
                <w:sz w:val="18"/>
                <w:szCs w:val="18"/>
              </w:rPr>
            </w:pPr>
            <w:r>
              <w:rPr>
                <w:rFonts w:ascii="Times New Roman"/>
                <w:spacing w:val="-1"/>
                <w:sz w:val="18"/>
              </w:rPr>
              <w:t>191,909,873.55</w:t>
            </w:r>
          </w:p>
        </w:tc>
        <w:tc>
          <w:tcPr>
            <w:tcW w:w="1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1"/>
              <w:jc w:val="right"/>
              <w:rPr>
                <w:rFonts w:ascii="Times New Roman" w:hAnsi="Times New Roman" w:cs="Times New Roman" w:eastAsia="Times New Roman" w:hint="default"/>
                <w:sz w:val="18"/>
                <w:szCs w:val="18"/>
              </w:rPr>
            </w:pPr>
            <w:r>
              <w:rPr>
                <w:rFonts w:ascii="Times New Roman"/>
                <w:spacing w:val="-1"/>
                <w:sz w:val="18"/>
              </w:rPr>
              <w:t>10,719,141.93</w:t>
            </w:r>
          </w:p>
        </w:tc>
      </w:tr>
      <w:tr>
        <w:trPr>
          <w:trHeight w:val="310"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四、净利润（净亏损以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992" w:type="dxa"/>
            <w:tcBorders>
              <w:top w:val="single" w:sz="4" w:space="0" w:color="000000"/>
              <w:left w:val="single" w:sz="4" w:space="0" w:color="000000"/>
              <w:bottom w:val="single" w:sz="4" w:space="0" w:color="000000"/>
              <w:right w:val="single" w:sz="4" w:space="0" w:color="000000"/>
            </w:tcBorders>
          </w:tcPr>
          <w:p>
            <w:pPr/>
          </w:p>
        </w:tc>
        <w:tc>
          <w:tcPr>
            <w:tcW w:w="1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99"/>
              <w:jc w:val="right"/>
              <w:rPr>
                <w:rFonts w:ascii="Times New Roman" w:hAnsi="Times New Roman" w:cs="Times New Roman" w:eastAsia="Times New Roman" w:hint="default"/>
                <w:sz w:val="18"/>
                <w:szCs w:val="18"/>
              </w:rPr>
            </w:pPr>
            <w:r>
              <w:rPr>
                <w:rFonts w:ascii="Times New Roman"/>
                <w:spacing w:val="-1"/>
                <w:sz w:val="18"/>
              </w:rPr>
              <w:t>615,709,500.26</w:t>
            </w:r>
          </w:p>
        </w:tc>
        <w:tc>
          <w:tcPr>
            <w:tcW w:w="1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1"/>
              <w:jc w:val="right"/>
              <w:rPr>
                <w:rFonts w:ascii="Times New Roman" w:hAnsi="Times New Roman" w:cs="Times New Roman" w:eastAsia="Times New Roman" w:hint="default"/>
                <w:sz w:val="18"/>
                <w:szCs w:val="18"/>
              </w:rPr>
            </w:pPr>
            <w:r>
              <w:rPr>
                <w:rFonts w:ascii="Times New Roman"/>
                <w:spacing w:val="-1"/>
                <w:sz w:val="18"/>
              </w:rPr>
              <w:t>292,062,269.36</w:t>
            </w:r>
          </w:p>
        </w:tc>
      </w:tr>
      <w:tr>
        <w:trPr>
          <w:trHeight w:val="311"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103" w:right="0"/>
              <w:jc w:val="left"/>
              <w:rPr>
                <w:rFonts w:ascii="宋体" w:hAnsi="宋体" w:cs="宋体" w:eastAsia="宋体" w:hint="default"/>
                <w:sz w:val="18"/>
                <w:szCs w:val="18"/>
              </w:rPr>
            </w:pPr>
            <w:r>
              <w:rPr>
                <w:rFonts w:ascii="宋体" w:hAnsi="宋体" w:cs="宋体" w:eastAsia="宋体" w:hint="default"/>
                <w:sz w:val="18"/>
                <w:szCs w:val="18"/>
              </w:rPr>
              <w:t>（一）持续经营净利润（净亏损以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992" w:type="dxa"/>
            <w:tcBorders>
              <w:top w:val="single" w:sz="4" w:space="0" w:color="000000"/>
              <w:left w:val="single" w:sz="4" w:space="0" w:color="000000"/>
              <w:bottom w:val="single" w:sz="4" w:space="0" w:color="000000"/>
              <w:right w:val="single" w:sz="4" w:space="0" w:color="000000"/>
            </w:tcBorders>
          </w:tcPr>
          <w:p>
            <w:pPr/>
          </w:p>
        </w:tc>
        <w:tc>
          <w:tcPr>
            <w:tcW w:w="1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615,709,500.26</w:t>
            </w:r>
          </w:p>
        </w:tc>
        <w:tc>
          <w:tcPr>
            <w:tcW w:w="1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292,062,269.36</w:t>
            </w:r>
          </w:p>
        </w:tc>
      </w:tr>
      <w:tr>
        <w:trPr>
          <w:trHeight w:val="310"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（二）终止经营净利润（净亏损以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992" w:type="dxa"/>
            <w:tcBorders>
              <w:top w:val="single" w:sz="4" w:space="0" w:color="000000"/>
              <w:left w:val="single" w:sz="4" w:space="0" w:color="000000"/>
              <w:bottom w:val="single" w:sz="4" w:space="0" w:color="000000"/>
              <w:right w:val="single" w:sz="4" w:space="0" w:color="000000"/>
            </w:tcBorders>
          </w:tcPr>
          <w:p>
            <w:pPr/>
          </w:p>
        </w:tc>
        <w:tc>
          <w:tcPr>
            <w:tcW w:w="1657" w:type="dxa"/>
            <w:tcBorders>
              <w:top w:val="single" w:sz="4" w:space="0" w:color="000000"/>
              <w:left w:val="single" w:sz="4" w:space="0" w:color="000000"/>
              <w:bottom w:val="single" w:sz="4" w:space="0" w:color="000000"/>
              <w:right w:val="single" w:sz="4" w:space="0" w:color="000000"/>
            </w:tcBorders>
          </w:tcPr>
          <w:p>
            <w:pPr/>
          </w:p>
        </w:tc>
        <w:tc>
          <w:tcPr>
            <w:tcW w:w="1660"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五、其他综合收益的税后净额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1"/>
              <w:jc w:val="right"/>
              <w:rPr>
                <w:rFonts w:ascii="Times New Roman" w:hAnsi="Times New Roman" w:cs="Times New Roman" w:eastAsia="Times New Roman" w:hint="default"/>
                <w:sz w:val="18"/>
                <w:szCs w:val="18"/>
              </w:rPr>
            </w:pPr>
            <w:r>
              <w:rPr>
                <w:rFonts w:ascii="Times New Roman"/>
                <w:spacing w:val="-1"/>
                <w:sz w:val="18"/>
              </w:rPr>
              <w:t>-1,132,191,481.95</w:t>
            </w:r>
          </w:p>
        </w:tc>
        <w:tc>
          <w:tcPr>
            <w:tcW w:w="1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1"/>
              <w:jc w:val="right"/>
              <w:rPr>
                <w:rFonts w:ascii="Times New Roman" w:hAnsi="Times New Roman" w:cs="Times New Roman" w:eastAsia="Times New Roman" w:hint="default"/>
                <w:sz w:val="18"/>
                <w:szCs w:val="18"/>
              </w:rPr>
            </w:pPr>
            <w:r>
              <w:rPr>
                <w:rFonts w:ascii="Times New Roman"/>
                <w:spacing w:val="-1"/>
                <w:sz w:val="18"/>
              </w:rPr>
              <w:t>-417,639,064.60</w:t>
            </w:r>
          </w:p>
        </w:tc>
      </w:tr>
      <w:tr>
        <w:trPr>
          <w:trHeight w:val="311"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103" w:right="0"/>
              <w:jc w:val="left"/>
              <w:rPr>
                <w:rFonts w:ascii="宋体" w:hAnsi="宋体" w:cs="宋体" w:eastAsia="宋体" w:hint="default"/>
                <w:sz w:val="18"/>
                <w:szCs w:val="18"/>
              </w:rPr>
            </w:pPr>
            <w:r>
              <w:rPr>
                <w:rFonts w:ascii="宋体" w:hAnsi="宋体" w:cs="宋体" w:eastAsia="宋体" w:hint="default"/>
                <w:sz w:val="18"/>
                <w:szCs w:val="18"/>
              </w:rPr>
              <w:t>（一）不能重分类进损益的其他综合收益</w:t>
            </w:r>
          </w:p>
        </w:tc>
        <w:tc>
          <w:tcPr>
            <w:tcW w:w="992" w:type="dxa"/>
            <w:tcBorders>
              <w:top w:val="single" w:sz="4" w:space="0" w:color="000000"/>
              <w:left w:val="single" w:sz="4" w:space="0" w:color="000000"/>
              <w:bottom w:val="single" w:sz="4" w:space="0" w:color="000000"/>
              <w:right w:val="single" w:sz="4" w:space="0" w:color="000000"/>
            </w:tcBorders>
          </w:tcPr>
          <w:p>
            <w:pPr/>
          </w:p>
        </w:tc>
        <w:tc>
          <w:tcPr>
            <w:tcW w:w="1657" w:type="dxa"/>
            <w:tcBorders>
              <w:top w:val="single" w:sz="4" w:space="0" w:color="000000"/>
              <w:left w:val="single" w:sz="4" w:space="0" w:color="000000"/>
              <w:bottom w:val="single" w:sz="4" w:space="0" w:color="000000"/>
              <w:right w:val="single" w:sz="4" w:space="0" w:color="000000"/>
            </w:tcBorders>
          </w:tcPr>
          <w:p>
            <w:pPr/>
          </w:p>
        </w:tc>
        <w:tc>
          <w:tcPr>
            <w:tcW w:w="1660"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3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．重新计量设定受益计划变动额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657" w:type="dxa"/>
            <w:tcBorders>
              <w:top w:val="single" w:sz="4" w:space="0" w:color="000000"/>
              <w:left w:val="single" w:sz="4" w:space="0" w:color="000000"/>
              <w:bottom w:val="single" w:sz="4" w:space="0" w:color="000000"/>
              <w:right w:val="single" w:sz="4" w:space="0" w:color="000000"/>
            </w:tcBorders>
          </w:tcPr>
          <w:p>
            <w:pPr/>
          </w:p>
        </w:tc>
        <w:tc>
          <w:tcPr>
            <w:tcW w:w="1660"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324"/>
              <w:jc w:val="righ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．权益法下不能转损益的其他综合收益</w:t>
            </w:r>
          </w:p>
        </w:tc>
        <w:tc>
          <w:tcPr>
            <w:tcW w:w="992" w:type="dxa"/>
            <w:tcBorders>
              <w:top w:val="single" w:sz="4" w:space="0" w:color="000000"/>
              <w:left w:val="single" w:sz="4" w:space="0" w:color="000000"/>
              <w:bottom w:val="single" w:sz="4" w:space="0" w:color="000000"/>
              <w:right w:val="single" w:sz="4" w:space="0" w:color="000000"/>
            </w:tcBorders>
          </w:tcPr>
          <w:p>
            <w:pPr/>
          </w:p>
        </w:tc>
        <w:tc>
          <w:tcPr>
            <w:tcW w:w="1657" w:type="dxa"/>
            <w:tcBorders>
              <w:top w:val="single" w:sz="4" w:space="0" w:color="000000"/>
              <w:left w:val="single" w:sz="4" w:space="0" w:color="000000"/>
              <w:bottom w:val="single" w:sz="4" w:space="0" w:color="000000"/>
              <w:right w:val="single" w:sz="4" w:space="0" w:color="000000"/>
            </w:tcBorders>
          </w:tcPr>
          <w:p>
            <w:pPr/>
          </w:p>
        </w:tc>
        <w:tc>
          <w:tcPr>
            <w:tcW w:w="1660" w:type="dxa"/>
            <w:tcBorders>
              <w:top w:val="single" w:sz="4" w:space="0" w:color="000000"/>
              <w:left w:val="single" w:sz="4" w:space="0" w:color="000000"/>
              <w:bottom w:val="single" w:sz="4" w:space="0" w:color="000000"/>
              <w:right w:val="single" w:sz="4" w:space="0" w:color="000000"/>
            </w:tcBorders>
          </w:tcPr>
          <w:p>
            <w:pPr/>
          </w:p>
        </w:tc>
      </w:tr>
      <w:tr>
        <w:trPr>
          <w:trHeight w:val="311"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103" w:right="0"/>
              <w:jc w:val="left"/>
              <w:rPr>
                <w:rFonts w:ascii="宋体" w:hAnsi="宋体" w:cs="宋体" w:eastAsia="宋体" w:hint="default"/>
                <w:sz w:val="18"/>
                <w:szCs w:val="18"/>
              </w:rPr>
            </w:pPr>
            <w:r>
              <w:rPr>
                <w:rFonts w:ascii="宋体" w:hAnsi="宋体" w:cs="宋体" w:eastAsia="宋体" w:hint="default"/>
                <w:sz w:val="18"/>
                <w:szCs w:val="18"/>
              </w:rPr>
              <w:t>（二）将重分类进损益的其他综合收益</w:t>
            </w:r>
          </w:p>
        </w:tc>
        <w:tc>
          <w:tcPr>
            <w:tcW w:w="992" w:type="dxa"/>
            <w:tcBorders>
              <w:top w:val="single" w:sz="4" w:space="0" w:color="000000"/>
              <w:left w:val="single" w:sz="4" w:space="0" w:color="000000"/>
              <w:bottom w:val="single" w:sz="4" w:space="0" w:color="000000"/>
              <w:right w:val="single" w:sz="4" w:space="0" w:color="000000"/>
            </w:tcBorders>
          </w:tcPr>
          <w:p>
            <w:pPr/>
          </w:p>
        </w:tc>
        <w:tc>
          <w:tcPr>
            <w:tcW w:w="1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-1,132,191,481.95</w:t>
            </w:r>
          </w:p>
        </w:tc>
        <w:tc>
          <w:tcPr>
            <w:tcW w:w="1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-417,639,064.60</w:t>
            </w:r>
          </w:p>
        </w:tc>
      </w:tr>
      <w:tr>
        <w:trPr>
          <w:trHeight w:val="310"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3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．权益法下可转损益的其他综合收益</w:t>
            </w:r>
          </w:p>
        </w:tc>
        <w:tc>
          <w:tcPr>
            <w:tcW w:w="992" w:type="dxa"/>
            <w:tcBorders>
              <w:top w:val="single" w:sz="4" w:space="0" w:color="000000"/>
              <w:left w:val="single" w:sz="4" w:space="0" w:color="000000"/>
              <w:bottom w:val="single" w:sz="4" w:space="0" w:color="000000"/>
              <w:right w:val="single" w:sz="4" w:space="0" w:color="000000"/>
            </w:tcBorders>
          </w:tcPr>
          <w:p>
            <w:pPr/>
          </w:p>
        </w:tc>
        <w:tc>
          <w:tcPr>
            <w:tcW w:w="1657" w:type="dxa"/>
            <w:tcBorders>
              <w:top w:val="single" w:sz="4" w:space="0" w:color="000000"/>
              <w:left w:val="single" w:sz="4" w:space="0" w:color="000000"/>
              <w:bottom w:val="single" w:sz="4" w:space="0" w:color="000000"/>
              <w:right w:val="single" w:sz="4" w:space="0" w:color="000000"/>
            </w:tcBorders>
          </w:tcPr>
          <w:p>
            <w:pPr/>
          </w:p>
        </w:tc>
        <w:tc>
          <w:tcPr>
            <w:tcW w:w="1660"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324"/>
              <w:jc w:val="righ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．可供出售金融资产公允价值变动损益</w:t>
            </w:r>
          </w:p>
        </w:tc>
        <w:tc>
          <w:tcPr>
            <w:tcW w:w="992" w:type="dxa"/>
            <w:tcBorders>
              <w:top w:val="single" w:sz="4" w:space="0" w:color="000000"/>
              <w:left w:val="single" w:sz="4" w:space="0" w:color="000000"/>
              <w:bottom w:val="single" w:sz="4" w:space="0" w:color="000000"/>
              <w:right w:val="single" w:sz="4" w:space="0" w:color="000000"/>
            </w:tcBorders>
          </w:tcPr>
          <w:p>
            <w:pPr/>
          </w:p>
        </w:tc>
        <w:tc>
          <w:tcPr>
            <w:tcW w:w="1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1"/>
              <w:jc w:val="right"/>
              <w:rPr>
                <w:rFonts w:ascii="Times New Roman" w:hAnsi="Times New Roman" w:cs="Times New Roman" w:eastAsia="Times New Roman" w:hint="default"/>
                <w:sz w:val="18"/>
                <w:szCs w:val="18"/>
              </w:rPr>
            </w:pPr>
            <w:r>
              <w:rPr>
                <w:rFonts w:ascii="Times New Roman"/>
                <w:spacing w:val="-1"/>
                <w:sz w:val="18"/>
              </w:rPr>
              <w:t>-1,132,191,481.95</w:t>
            </w:r>
          </w:p>
        </w:tc>
        <w:tc>
          <w:tcPr>
            <w:tcW w:w="1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1"/>
              <w:jc w:val="right"/>
              <w:rPr>
                <w:rFonts w:ascii="Times New Roman" w:hAnsi="Times New Roman" w:cs="Times New Roman" w:eastAsia="Times New Roman" w:hint="default"/>
                <w:sz w:val="18"/>
                <w:szCs w:val="18"/>
              </w:rPr>
            </w:pPr>
            <w:r>
              <w:rPr>
                <w:rFonts w:ascii="Times New Roman"/>
                <w:spacing w:val="-1"/>
                <w:sz w:val="18"/>
              </w:rPr>
              <w:t>-417,639,064.60</w:t>
            </w:r>
          </w:p>
        </w:tc>
      </w:tr>
      <w:tr>
        <w:trPr>
          <w:trHeight w:val="611"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88" w:lineRule="auto" w:before="38"/>
              <w:ind w:left="103" w:right="98" w:firstLine="63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．持有至到期投资重分类为可供出售金融</w:t>
            </w:r>
            <w:r>
              <w:rPr>
                <w:rFonts w:ascii="宋体" w:hAnsi="宋体" w:cs="宋体" w:eastAsia="宋体" w:hint="default"/>
                <w:spacing w:val="2"/>
                <w:sz w:val="18"/>
                <w:szCs w:val="18"/>
              </w:rPr>
              <w:t> </w:t>
            </w:r>
            <w:r>
              <w:rPr>
                <w:rFonts w:ascii="宋体" w:hAnsi="宋体" w:cs="宋体" w:eastAsia="宋体" w:hint="default"/>
                <w:sz w:val="18"/>
                <w:szCs w:val="18"/>
              </w:rPr>
              <w:t>资产损益</w:t>
            </w:r>
          </w:p>
        </w:tc>
        <w:tc>
          <w:tcPr>
            <w:tcW w:w="992" w:type="dxa"/>
            <w:tcBorders>
              <w:top w:val="single" w:sz="4" w:space="0" w:color="000000"/>
              <w:left w:val="single" w:sz="4" w:space="0" w:color="000000"/>
              <w:bottom w:val="single" w:sz="4" w:space="0" w:color="000000"/>
              <w:right w:val="single" w:sz="4" w:space="0" w:color="000000"/>
            </w:tcBorders>
          </w:tcPr>
          <w:p>
            <w:pPr/>
          </w:p>
        </w:tc>
        <w:tc>
          <w:tcPr>
            <w:tcW w:w="1657" w:type="dxa"/>
            <w:tcBorders>
              <w:top w:val="single" w:sz="4" w:space="0" w:color="000000"/>
              <w:left w:val="single" w:sz="4" w:space="0" w:color="000000"/>
              <w:bottom w:val="single" w:sz="4" w:space="0" w:color="000000"/>
              <w:right w:val="single" w:sz="4" w:space="0" w:color="000000"/>
            </w:tcBorders>
          </w:tcPr>
          <w:p>
            <w:pPr/>
          </w:p>
        </w:tc>
        <w:tc>
          <w:tcPr>
            <w:tcW w:w="1660"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3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．现金流量套期损益的有效部分</w:t>
            </w:r>
          </w:p>
        </w:tc>
        <w:tc>
          <w:tcPr>
            <w:tcW w:w="992" w:type="dxa"/>
            <w:tcBorders>
              <w:top w:val="single" w:sz="4" w:space="0" w:color="000000"/>
              <w:left w:val="single" w:sz="4" w:space="0" w:color="000000"/>
              <w:bottom w:val="single" w:sz="4" w:space="0" w:color="000000"/>
              <w:right w:val="single" w:sz="4" w:space="0" w:color="000000"/>
            </w:tcBorders>
          </w:tcPr>
          <w:p>
            <w:pPr/>
          </w:p>
        </w:tc>
        <w:tc>
          <w:tcPr>
            <w:tcW w:w="1657" w:type="dxa"/>
            <w:tcBorders>
              <w:top w:val="single" w:sz="4" w:space="0" w:color="000000"/>
              <w:left w:val="single" w:sz="4" w:space="0" w:color="000000"/>
              <w:bottom w:val="single" w:sz="4" w:space="0" w:color="000000"/>
              <w:right w:val="single" w:sz="4" w:space="0" w:color="000000"/>
            </w:tcBorders>
          </w:tcPr>
          <w:p>
            <w:pPr/>
          </w:p>
        </w:tc>
        <w:tc>
          <w:tcPr>
            <w:tcW w:w="1660"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3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．外币财务报表折算差额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657" w:type="dxa"/>
            <w:tcBorders>
              <w:top w:val="single" w:sz="4" w:space="0" w:color="000000"/>
              <w:left w:val="single" w:sz="4" w:space="0" w:color="000000"/>
              <w:bottom w:val="single" w:sz="4" w:space="0" w:color="000000"/>
              <w:right w:val="single" w:sz="4" w:space="0" w:color="000000"/>
            </w:tcBorders>
          </w:tcPr>
          <w:p>
            <w:pPr/>
          </w:p>
        </w:tc>
        <w:tc>
          <w:tcPr>
            <w:tcW w:w="1660" w:type="dxa"/>
            <w:tcBorders>
              <w:top w:val="single" w:sz="4" w:space="0" w:color="000000"/>
              <w:left w:val="single" w:sz="4" w:space="0" w:color="000000"/>
              <w:bottom w:val="single" w:sz="4" w:space="0" w:color="000000"/>
              <w:right w:val="single" w:sz="4" w:space="0" w:color="000000"/>
            </w:tcBorders>
          </w:tcPr>
          <w:p>
            <w:pPr/>
          </w:p>
        </w:tc>
      </w:tr>
      <w:tr>
        <w:trPr>
          <w:trHeight w:val="311"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73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992" w:type="dxa"/>
            <w:tcBorders>
              <w:top w:val="single" w:sz="4" w:space="0" w:color="000000"/>
              <w:left w:val="single" w:sz="4" w:space="0" w:color="000000"/>
              <w:bottom w:val="single" w:sz="4" w:space="0" w:color="000000"/>
              <w:right w:val="single" w:sz="4" w:space="0" w:color="000000"/>
            </w:tcBorders>
          </w:tcPr>
          <w:p>
            <w:pPr/>
          </w:p>
        </w:tc>
        <w:tc>
          <w:tcPr>
            <w:tcW w:w="1657" w:type="dxa"/>
            <w:tcBorders>
              <w:top w:val="single" w:sz="4" w:space="0" w:color="000000"/>
              <w:left w:val="single" w:sz="4" w:space="0" w:color="000000"/>
              <w:bottom w:val="single" w:sz="4" w:space="0" w:color="000000"/>
              <w:right w:val="single" w:sz="4" w:space="0" w:color="000000"/>
            </w:tcBorders>
          </w:tcPr>
          <w:p>
            <w:pPr/>
          </w:p>
        </w:tc>
        <w:tc>
          <w:tcPr>
            <w:tcW w:w="1660"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六、综合收益总额</w:t>
            </w:r>
          </w:p>
        </w:tc>
        <w:tc>
          <w:tcPr>
            <w:tcW w:w="992" w:type="dxa"/>
            <w:tcBorders>
              <w:top w:val="single" w:sz="4" w:space="0" w:color="000000"/>
              <w:left w:val="single" w:sz="4" w:space="0" w:color="000000"/>
              <w:bottom w:val="single" w:sz="4" w:space="0" w:color="000000"/>
              <w:right w:val="single" w:sz="4" w:space="0" w:color="000000"/>
            </w:tcBorders>
          </w:tcPr>
          <w:p>
            <w:pPr/>
          </w:p>
        </w:tc>
        <w:tc>
          <w:tcPr>
            <w:tcW w:w="1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0"/>
              <w:jc w:val="right"/>
              <w:rPr>
                <w:rFonts w:ascii="Times New Roman" w:hAnsi="Times New Roman" w:cs="Times New Roman" w:eastAsia="Times New Roman" w:hint="default"/>
                <w:sz w:val="18"/>
                <w:szCs w:val="18"/>
              </w:rPr>
            </w:pPr>
            <w:r>
              <w:rPr>
                <w:rFonts w:ascii="Times New Roman"/>
                <w:spacing w:val="-1"/>
                <w:sz w:val="18"/>
              </w:rPr>
              <w:t>-516,481,981.69</w:t>
            </w:r>
          </w:p>
        </w:tc>
        <w:tc>
          <w:tcPr>
            <w:tcW w:w="1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1"/>
              <w:jc w:val="right"/>
              <w:rPr>
                <w:rFonts w:ascii="Times New Roman" w:hAnsi="Times New Roman" w:cs="Times New Roman" w:eastAsia="Times New Roman" w:hint="default"/>
                <w:sz w:val="18"/>
                <w:szCs w:val="18"/>
              </w:rPr>
            </w:pPr>
            <w:r>
              <w:rPr>
                <w:rFonts w:ascii="Times New Roman"/>
                <w:spacing w:val="-1"/>
                <w:sz w:val="18"/>
              </w:rPr>
              <w:t>-125,576,795.24</w:t>
            </w:r>
          </w:p>
        </w:tc>
      </w:tr>
      <w:tr>
        <w:trPr>
          <w:trHeight w:val="310"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七、每股收益：</w:t>
            </w:r>
          </w:p>
        </w:tc>
        <w:tc>
          <w:tcPr>
            <w:tcW w:w="992" w:type="dxa"/>
            <w:tcBorders>
              <w:top w:val="single" w:sz="4" w:space="0" w:color="000000"/>
              <w:left w:val="single" w:sz="4" w:space="0" w:color="000000"/>
              <w:bottom w:val="single" w:sz="4" w:space="0" w:color="000000"/>
              <w:right w:val="single" w:sz="4" w:space="0" w:color="000000"/>
            </w:tcBorders>
          </w:tcPr>
          <w:p>
            <w:pPr/>
          </w:p>
        </w:tc>
        <w:tc>
          <w:tcPr>
            <w:tcW w:w="1657" w:type="dxa"/>
            <w:tcBorders>
              <w:top w:val="single" w:sz="4" w:space="0" w:color="000000"/>
              <w:left w:val="single" w:sz="4" w:space="0" w:color="000000"/>
              <w:bottom w:val="single" w:sz="4" w:space="0" w:color="000000"/>
              <w:right w:val="single" w:sz="4" w:space="0" w:color="000000"/>
            </w:tcBorders>
          </w:tcPr>
          <w:p>
            <w:pPr/>
          </w:p>
        </w:tc>
        <w:tc>
          <w:tcPr>
            <w:tcW w:w="1660" w:type="dxa"/>
            <w:tcBorders>
              <w:top w:val="single" w:sz="4" w:space="0" w:color="000000"/>
              <w:left w:val="single" w:sz="4" w:space="0" w:color="000000"/>
              <w:bottom w:val="single" w:sz="4" w:space="0" w:color="000000"/>
              <w:right w:val="single" w:sz="4" w:space="0" w:color="000000"/>
            </w:tcBorders>
          </w:tcPr>
          <w:p>
            <w:pPr/>
          </w:p>
        </w:tc>
      </w:tr>
      <w:tr>
        <w:trPr>
          <w:trHeight w:val="311"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103" w:right="0"/>
              <w:jc w:val="left"/>
              <w:rPr>
                <w:rFonts w:ascii="宋体" w:hAnsi="宋体" w:cs="宋体" w:eastAsia="宋体" w:hint="default"/>
                <w:sz w:val="18"/>
                <w:szCs w:val="18"/>
              </w:rPr>
            </w:pPr>
            <w:r>
              <w:rPr>
                <w:rFonts w:ascii="宋体" w:hAnsi="宋体" w:cs="宋体" w:eastAsia="宋体" w:hint="default"/>
                <w:sz w:val="18"/>
                <w:szCs w:val="18"/>
              </w:rPr>
              <w:t>（一）基本每股收益（元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992" w:type="dxa"/>
            <w:tcBorders>
              <w:top w:val="single" w:sz="4" w:space="0" w:color="000000"/>
              <w:left w:val="single" w:sz="4" w:space="0" w:color="000000"/>
              <w:bottom w:val="single" w:sz="4" w:space="0" w:color="000000"/>
              <w:right w:val="single" w:sz="4" w:space="0" w:color="000000"/>
            </w:tcBorders>
          </w:tcPr>
          <w:p>
            <w:pPr/>
          </w:p>
        </w:tc>
        <w:tc>
          <w:tcPr>
            <w:tcW w:w="1657" w:type="dxa"/>
            <w:tcBorders>
              <w:top w:val="single" w:sz="4" w:space="0" w:color="000000"/>
              <w:left w:val="single" w:sz="4" w:space="0" w:color="000000"/>
              <w:bottom w:val="single" w:sz="4" w:space="0" w:color="000000"/>
              <w:right w:val="single" w:sz="4" w:space="0" w:color="000000"/>
            </w:tcBorders>
          </w:tcPr>
          <w:p>
            <w:pPr/>
          </w:p>
        </w:tc>
        <w:tc>
          <w:tcPr>
            <w:tcW w:w="1660"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4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（二）稀释每股收益（元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992" w:type="dxa"/>
            <w:tcBorders>
              <w:top w:val="single" w:sz="4" w:space="0" w:color="000000"/>
              <w:left w:val="single" w:sz="4" w:space="0" w:color="000000"/>
              <w:bottom w:val="single" w:sz="4" w:space="0" w:color="000000"/>
              <w:right w:val="single" w:sz="4" w:space="0" w:color="000000"/>
            </w:tcBorders>
          </w:tcPr>
          <w:p>
            <w:pPr/>
          </w:p>
        </w:tc>
        <w:tc>
          <w:tcPr>
            <w:tcW w:w="1657" w:type="dxa"/>
            <w:tcBorders>
              <w:top w:val="single" w:sz="4" w:space="0" w:color="000000"/>
              <w:left w:val="single" w:sz="4" w:space="0" w:color="000000"/>
              <w:bottom w:val="single" w:sz="4" w:space="0" w:color="000000"/>
              <w:right w:val="single" w:sz="4" w:space="0" w:color="000000"/>
            </w:tcBorders>
          </w:tcPr>
          <w:p>
            <w:pPr/>
          </w:p>
        </w:tc>
        <w:tc>
          <w:tcPr>
            <w:tcW w:w="1660" w:type="dxa"/>
            <w:tcBorders>
              <w:top w:val="single" w:sz="4" w:space="0" w:color="000000"/>
              <w:left w:val="single" w:sz="4" w:space="0" w:color="000000"/>
              <w:bottom w:val="single" w:sz="4" w:space="0" w:color="000000"/>
              <w:right w:val="single" w:sz="4" w:space="0" w:color="000000"/>
            </w:tcBorders>
          </w:tcPr>
          <w:p>
            <w:pPr/>
          </w:p>
        </w:tc>
      </w:tr>
    </w:tbl>
    <w:p>
      <w:pPr>
        <w:spacing w:before="91"/>
        <w:ind w:left="217"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tabs>
          <w:tab w:pos="2453" w:val="left" w:leader="none"/>
          <w:tab w:pos="3968" w:val="left" w:leader="none"/>
          <w:tab w:pos="6564" w:val="left" w:leader="none"/>
        </w:tabs>
        <w:spacing w:before="82"/>
        <w:ind w:left="217" w:right="0" w:firstLine="0"/>
        <w:jc w:val="left"/>
        <w:rPr>
          <w:rFonts w:ascii="宋体" w:hAnsi="宋体" w:cs="宋体" w:eastAsia="宋体" w:hint="default"/>
          <w:sz w:val="18"/>
          <w:szCs w:val="18"/>
        </w:rPr>
      </w:pPr>
      <w:r>
        <w:rPr>
          <w:rFonts w:ascii="宋体" w:hAnsi="宋体" w:cs="宋体" w:eastAsia="宋体" w:hint="default"/>
          <w:spacing w:val="-2"/>
          <w:sz w:val="18"/>
          <w:szCs w:val="18"/>
        </w:rPr>
        <w:t>企业法定代表人：宋黎定</w:t>
        <w:tab/>
      </w:r>
      <w:r>
        <w:rPr>
          <w:rFonts w:ascii="宋体" w:hAnsi="宋体" w:cs="宋体" w:eastAsia="宋体" w:hint="default"/>
          <w:spacing w:val="-3"/>
          <w:sz w:val="18"/>
          <w:szCs w:val="18"/>
        </w:rPr>
        <w:t>公司总裁：徐刚</w:t>
        <w:tab/>
      </w:r>
      <w:r>
        <w:rPr>
          <w:rFonts w:ascii="宋体" w:hAnsi="宋体" w:cs="宋体" w:eastAsia="宋体" w:hint="default"/>
          <w:spacing w:val="-2"/>
          <w:sz w:val="18"/>
          <w:szCs w:val="18"/>
        </w:rPr>
        <w:t>主管会计工作负责人：刘文彬</w:t>
        <w:tab/>
        <w:t>会计机构负责人：许少霞</w:t>
      </w:r>
    </w:p>
    <w:p>
      <w:pPr>
        <w:spacing w:after="0"/>
        <w:jc w:val="left"/>
        <w:rPr>
          <w:rFonts w:ascii="宋体" w:hAnsi="宋体" w:cs="宋体" w:eastAsia="宋体" w:hint="default"/>
          <w:sz w:val="18"/>
          <w:szCs w:val="18"/>
        </w:rPr>
        <w:sectPr>
          <w:pgSz w:w="11910" w:h="16840"/>
          <w:pgMar w:header="969" w:footer="784" w:top="1160" w:bottom="980" w:left="1580" w:right="0"/>
        </w:sectPr>
      </w:pPr>
    </w:p>
    <w:p>
      <w:pPr>
        <w:spacing w:before="45"/>
        <w:ind w:left="2637" w:right="4214" w:firstLine="0"/>
        <w:jc w:val="center"/>
        <w:rPr>
          <w:rFonts w:ascii="宋体" w:hAnsi="宋体" w:cs="宋体" w:eastAsia="宋体" w:hint="default"/>
          <w:sz w:val="18"/>
          <w:szCs w:val="18"/>
        </w:rPr>
      </w:pPr>
      <w:r>
        <w:rPr>
          <w:rFonts w:ascii="宋体" w:hAnsi="宋体" w:cs="宋体" w:eastAsia="宋体" w:hint="default"/>
          <w:b/>
          <w:bCs/>
          <w:sz w:val="18"/>
          <w:szCs w:val="18"/>
        </w:rPr>
        <w:t>合并现金流量表</w:t>
      </w:r>
      <w:r>
        <w:rPr>
          <w:rFonts w:ascii="宋体" w:hAnsi="宋体" w:cs="宋体" w:eastAsia="宋体" w:hint="default"/>
          <w:sz w:val="18"/>
          <w:szCs w:val="18"/>
        </w:rPr>
      </w:r>
    </w:p>
    <w:p>
      <w:pPr>
        <w:spacing w:before="38"/>
        <w:ind w:left="2637" w:right="4210" w:firstLine="0"/>
        <w:jc w:val="center"/>
        <w:rPr>
          <w:rFonts w:ascii="宋体" w:hAnsi="宋体" w:cs="宋体" w:eastAsia="宋体" w:hint="default"/>
          <w:sz w:val="18"/>
          <w:szCs w:val="18"/>
        </w:rPr>
      </w:pPr>
      <w:r>
        <w:rPr>
          <w:rFonts w:ascii="Times New Roman" w:hAnsi="Times New Roman" w:cs="Times New Roman" w:eastAsia="Times New Roman" w:hint="default"/>
          <w:b/>
          <w:bCs/>
          <w:sz w:val="18"/>
          <w:szCs w:val="18"/>
        </w:rPr>
        <w:t>2018 </w:t>
      </w:r>
      <w:r>
        <w:rPr>
          <w:rFonts w:ascii="宋体" w:hAnsi="宋体" w:cs="宋体" w:eastAsia="宋体" w:hint="default"/>
          <w:b/>
          <w:bCs/>
          <w:sz w:val="18"/>
          <w:szCs w:val="18"/>
        </w:rPr>
        <w:t>年度</w:t>
      </w:r>
      <w:r>
        <w:rPr>
          <w:rFonts w:ascii="宋体" w:hAnsi="宋体" w:cs="宋体" w:eastAsia="宋体" w:hint="default"/>
          <w:sz w:val="18"/>
          <w:szCs w:val="18"/>
        </w:rPr>
      </w:r>
    </w:p>
    <w:p>
      <w:pPr>
        <w:spacing w:before="23"/>
        <w:ind w:left="2637" w:right="4214" w:firstLine="0"/>
        <w:jc w:val="center"/>
        <w:rPr>
          <w:rFonts w:ascii="宋体" w:hAnsi="宋体" w:cs="宋体" w:eastAsia="宋体" w:hint="default"/>
          <w:sz w:val="18"/>
          <w:szCs w:val="18"/>
        </w:rPr>
      </w:pPr>
      <w:r>
        <w:rPr>
          <w:rFonts w:ascii="宋体" w:hAnsi="宋体" w:cs="宋体" w:eastAsia="宋体" w:hint="default"/>
          <w:b/>
          <w:bCs/>
          <w:sz w:val="18"/>
          <w:szCs w:val="18"/>
        </w:rPr>
        <w:t>（除特别注明外，金额单位均为人民币元）</w:t>
      </w:r>
      <w:r>
        <w:rPr>
          <w:rFonts w:ascii="宋体" w:hAnsi="宋体" w:cs="宋体" w:eastAsia="宋体" w:hint="default"/>
          <w:sz w:val="18"/>
          <w:szCs w:val="18"/>
        </w:rPr>
      </w:r>
    </w:p>
    <w:p>
      <w:pPr>
        <w:spacing w:line="240" w:lineRule="auto" w:before="1"/>
        <w:rPr>
          <w:rFonts w:ascii="宋体" w:hAnsi="宋体" w:cs="宋体" w:eastAsia="宋体" w:hint="default"/>
          <w:b/>
          <w:bCs/>
          <w:sz w:val="14"/>
          <w:szCs w:val="14"/>
        </w:rPr>
      </w:pPr>
    </w:p>
    <w:tbl>
      <w:tblPr>
        <w:tblW w:w="0" w:type="auto"/>
        <w:jc w:val="left"/>
        <w:tblInd w:w="104" w:type="dxa"/>
        <w:tblLayout w:type="fixed"/>
        <w:tblCellMar>
          <w:top w:w="0" w:type="dxa"/>
          <w:left w:w="0" w:type="dxa"/>
          <w:bottom w:w="0" w:type="dxa"/>
          <w:right w:w="0" w:type="dxa"/>
        </w:tblCellMar>
        <w:tblLook w:val="01E0"/>
      </w:tblPr>
      <w:tblGrid>
        <w:gridCol w:w="4076"/>
        <w:gridCol w:w="991"/>
        <w:gridCol w:w="1702"/>
        <w:gridCol w:w="1759"/>
      </w:tblGrid>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right="1"/>
              <w:jc w:val="center"/>
              <w:rPr>
                <w:rFonts w:ascii="宋体" w:hAnsi="宋体" w:cs="宋体" w:eastAsia="宋体" w:hint="default"/>
                <w:sz w:val="15"/>
                <w:szCs w:val="15"/>
              </w:rPr>
            </w:pPr>
            <w:r>
              <w:rPr>
                <w:rFonts w:ascii="宋体" w:hAnsi="宋体" w:cs="宋体" w:eastAsia="宋体" w:hint="default"/>
                <w:sz w:val="15"/>
                <w:szCs w:val="15"/>
              </w:rPr>
              <w:t>项目</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right="1"/>
              <w:jc w:val="center"/>
              <w:rPr>
                <w:rFonts w:ascii="宋体" w:hAnsi="宋体" w:cs="宋体" w:eastAsia="宋体" w:hint="default"/>
                <w:sz w:val="15"/>
                <w:szCs w:val="15"/>
              </w:rPr>
            </w:pPr>
            <w:r>
              <w:rPr>
                <w:rFonts w:ascii="宋体" w:hAnsi="宋体" w:cs="宋体" w:eastAsia="宋体" w:hint="default"/>
                <w:sz w:val="15"/>
                <w:szCs w:val="15"/>
              </w:rPr>
              <w:t>附注五</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469" w:right="0"/>
              <w:jc w:val="left"/>
              <w:rPr>
                <w:rFonts w:ascii="宋体" w:hAnsi="宋体" w:cs="宋体" w:eastAsia="宋体" w:hint="default"/>
                <w:sz w:val="15"/>
                <w:szCs w:val="15"/>
              </w:rPr>
            </w:pPr>
            <w:r>
              <w:rPr>
                <w:rFonts w:ascii="宋体" w:hAnsi="宋体" w:cs="宋体" w:eastAsia="宋体" w:hint="default"/>
                <w:sz w:val="15"/>
                <w:szCs w:val="15"/>
              </w:rPr>
              <w:t>本期发生额</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497" w:right="0"/>
              <w:jc w:val="left"/>
              <w:rPr>
                <w:rFonts w:ascii="宋体" w:hAnsi="宋体" w:cs="宋体" w:eastAsia="宋体" w:hint="default"/>
                <w:sz w:val="15"/>
                <w:szCs w:val="15"/>
              </w:rPr>
            </w:pPr>
            <w:r>
              <w:rPr>
                <w:rFonts w:ascii="宋体" w:hAnsi="宋体" w:cs="宋体" w:eastAsia="宋体" w:hint="default"/>
                <w:sz w:val="15"/>
                <w:szCs w:val="15"/>
              </w:rPr>
              <w:t>上期发生额</w:t>
            </w: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一、经营活动产生的现金流量</w:t>
            </w:r>
            <w:r>
              <w:rPr>
                <w:rFonts w:ascii="宋体" w:hAnsi="宋体" w:cs="宋体" w:eastAsia="宋体" w:hint="default"/>
                <w:sz w:val="15"/>
                <w:szCs w:val="15"/>
              </w:rPr>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759"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销售商品、提供劳务收到的现金</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9,311,577,456.61</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9,531,096,838.79</w:t>
            </w: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客户存款和同业存放款项净增加额</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759"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向中央银行借款净增加额</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759"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向其他金融机构拆入资金净增加额</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759"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收到原保险合同保费取得的现金</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759"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收到再保险业务现金净额</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759"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保户储金及投资款净增加额</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759" w:type="dxa"/>
            <w:tcBorders>
              <w:top w:val="single" w:sz="4" w:space="0" w:color="000000"/>
              <w:left w:val="single" w:sz="4" w:space="0" w:color="000000"/>
              <w:bottom w:val="single" w:sz="4" w:space="0" w:color="000000"/>
              <w:right w:val="single" w:sz="4" w:space="0" w:color="000000"/>
            </w:tcBorders>
          </w:tcPr>
          <w:p>
            <w:pPr/>
          </w:p>
        </w:tc>
      </w:tr>
      <w:tr>
        <w:trPr>
          <w:trHeight w:val="4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pacing w:val="3"/>
                <w:sz w:val="15"/>
                <w:szCs w:val="15"/>
              </w:rPr>
              <w:t>处置以公允价值计量且其变动计入当期损益的金融资产净</w:t>
            </w:r>
            <w:r>
              <w:rPr>
                <w:rFonts w:ascii="宋体" w:hAnsi="宋体" w:cs="宋体" w:eastAsia="宋体" w:hint="default"/>
                <w:sz w:val="15"/>
                <w:szCs w:val="15"/>
              </w:rPr>
            </w:r>
          </w:p>
          <w:p>
            <w:pPr>
              <w:pStyle w:val="TableParagraph"/>
              <w:spacing w:line="240" w:lineRule="auto" w:before="4"/>
              <w:ind w:left="103" w:right="0"/>
              <w:jc w:val="left"/>
              <w:rPr>
                <w:rFonts w:ascii="宋体" w:hAnsi="宋体" w:cs="宋体" w:eastAsia="宋体" w:hint="default"/>
                <w:sz w:val="15"/>
                <w:szCs w:val="15"/>
              </w:rPr>
            </w:pPr>
            <w:r>
              <w:rPr>
                <w:rFonts w:ascii="宋体" w:hAnsi="宋体" w:cs="宋体" w:eastAsia="宋体" w:hint="default"/>
                <w:sz w:val="15"/>
                <w:szCs w:val="15"/>
              </w:rPr>
              <w:t>增加额</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759"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收取利息、手续费及佣金的现金</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759"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拆入资金净增加额</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759"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回购业务资金净增加额</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759"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收到的税费返还</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126,723,057.81</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61,212,730.91</w:t>
            </w: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收到其他与经营活动有关的现金</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right="1"/>
              <w:jc w:val="center"/>
              <w:rPr>
                <w:rFonts w:ascii="宋体" w:hAnsi="宋体" w:cs="宋体" w:eastAsia="宋体" w:hint="default"/>
                <w:sz w:val="15"/>
                <w:szCs w:val="15"/>
              </w:rPr>
            </w:pPr>
            <w:r>
              <w:rPr>
                <w:rFonts w:ascii="宋体" w:hAnsi="宋体" w:cs="宋体" w:eastAsia="宋体" w:hint="default"/>
                <w:sz w:val="15"/>
                <w:szCs w:val="15"/>
              </w:rPr>
              <w:t>（五十三）</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398,591,276.01</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691,892,468.43</w:t>
            </w: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经营活动现金流入小计</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9,836,891,790.43</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10,284,202,038.13</w:t>
            </w: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购买商品、接受劳务支付的现金</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7,076,930,199.40</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7,815,041,658.18</w:t>
            </w: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客户贷款及垫款净增加额</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759"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存放中央银行和同业款项净增加额</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759"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支付原保险合同赔付款项的现金</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759"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支付利息、手续费及佣金的现金</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759"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支付保单红利的现金</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759"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支付给职工以及为职工支付的现金</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1,659,802,971.67</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1,448,450,167.72</w:t>
            </w: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支付的各项税费</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264,062,727.03</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353,258,317.16</w:t>
            </w: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支付其他与经营活动有关的现金</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right="1"/>
              <w:jc w:val="center"/>
              <w:rPr>
                <w:rFonts w:ascii="宋体" w:hAnsi="宋体" w:cs="宋体" w:eastAsia="宋体" w:hint="default"/>
                <w:sz w:val="15"/>
                <w:szCs w:val="15"/>
              </w:rPr>
            </w:pPr>
            <w:r>
              <w:rPr>
                <w:rFonts w:ascii="宋体" w:hAnsi="宋体" w:cs="宋体" w:eastAsia="宋体" w:hint="default"/>
                <w:sz w:val="15"/>
                <w:szCs w:val="15"/>
              </w:rPr>
              <w:t>（五十三）</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791,235,904.59</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1,070,112,816.91</w:t>
            </w: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经营活动现金流出小计</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9,792,031,802.69</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10,686,862,959.97</w:t>
            </w: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经营活动产生的现金流量净额</w:t>
            </w:r>
            <w:r>
              <w:rPr>
                <w:rFonts w:ascii="宋体" w:hAnsi="宋体" w:cs="宋体" w:eastAsia="宋体" w:hint="default"/>
                <w:sz w:val="15"/>
                <w:szCs w:val="15"/>
              </w:rPr>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44,859,987.74</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-402,660,921.84</w:t>
            </w: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二、投资活动产生的现金流量</w:t>
            </w:r>
            <w:r>
              <w:rPr>
                <w:rFonts w:ascii="宋体" w:hAnsi="宋体" w:cs="宋体" w:eastAsia="宋体" w:hint="default"/>
                <w:sz w:val="15"/>
                <w:szCs w:val="15"/>
              </w:rPr>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759"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收回投资收到的现金</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1,800,461,549.37</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1,454,405,724.81</w:t>
            </w: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取得投资收益收到的现金</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21,012,811.04</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49,632,672.22</w:t>
            </w: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处置固定资产、无形资产和其他长期资产收回的现金净额</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78,948,873.13</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117,856,559.90</w:t>
            </w: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处置子公司及其他营业单位收到的现金净额</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50,766,936.18</w:t>
            </w:r>
          </w:p>
        </w:tc>
        <w:tc>
          <w:tcPr>
            <w:tcW w:w="1759"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收到其他与投资活动有关的现金</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right="1"/>
              <w:jc w:val="center"/>
              <w:rPr>
                <w:rFonts w:ascii="宋体" w:hAnsi="宋体" w:cs="宋体" w:eastAsia="宋体" w:hint="default"/>
                <w:sz w:val="15"/>
                <w:szCs w:val="15"/>
              </w:rPr>
            </w:pPr>
            <w:r>
              <w:rPr>
                <w:rFonts w:ascii="宋体" w:hAnsi="宋体" w:cs="宋体" w:eastAsia="宋体" w:hint="default"/>
                <w:sz w:val="15"/>
                <w:szCs w:val="15"/>
              </w:rPr>
              <w:t>（五十三）</w:t>
            </w:r>
          </w:p>
        </w:tc>
        <w:tc>
          <w:tcPr>
            <w:tcW w:w="1702" w:type="dxa"/>
            <w:tcBorders>
              <w:top w:val="single" w:sz="4" w:space="0" w:color="000000"/>
              <w:left w:val="single" w:sz="4" w:space="0" w:color="000000"/>
              <w:bottom w:val="single" w:sz="4" w:space="0" w:color="000000"/>
              <w:right w:val="single" w:sz="4" w:space="0" w:color="000000"/>
            </w:tcBorders>
          </w:tcPr>
          <w:p>
            <w:pP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9,562,514.10</w:t>
            </w: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投资活动现金流入小计</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1,951,190,169.72</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1,631,457,471.03</w:t>
            </w: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购建固定资产、无形资产和其他长期资产支付的现金</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825,185,656.51</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690,762,243.86</w:t>
            </w: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投资支付的现金</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1,534,461,787.86</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1,217,679,000.00</w:t>
            </w: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质押贷款净增加额</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759"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取得子公司及其他营业单位支付的现金净额</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759"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支付其他与投资活动有关的现金</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right="1"/>
              <w:jc w:val="center"/>
              <w:rPr>
                <w:rFonts w:ascii="宋体" w:hAnsi="宋体" w:cs="宋体" w:eastAsia="宋体" w:hint="default"/>
                <w:sz w:val="15"/>
                <w:szCs w:val="15"/>
              </w:rPr>
            </w:pPr>
            <w:r>
              <w:rPr>
                <w:rFonts w:ascii="宋体" w:hAnsi="宋体" w:cs="宋体" w:eastAsia="宋体" w:hint="default"/>
                <w:sz w:val="15"/>
                <w:szCs w:val="15"/>
              </w:rPr>
              <w:t>（五十三）</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81,246,980.01</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4,542,806,778.40</w:t>
            </w: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投资活动现金流出小计</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2,440,894,424.38</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6,451,248,022.26</w:t>
            </w: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投资活动产生的现金流量净额</w:t>
            </w:r>
            <w:r>
              <w:rPr>
                <w:rFonts w:ascii="宋体" w:hAnsi="宋体" w:cs="宋体" w:eastAsia="宋体" w:hint="default"/>
                <w:sz w:val="15"/>
                <w:szCs w:val="15"/>
              </w:rPr>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-489,704,254.66</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-4,819,790,551.23</w:t>
            </w: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三、筹资活动产生的现金流量</w:t>
            </w:r>
            <w:r>
              <w:rPr>
                <w:rFonts w:ascii="宋体" w:hAnsi="宋体" w:cs="宋体" w:eastAsia="宋体" w:hint="default"/>
                <w:sz w:val="15"/>
                <w:szCs w:val="15"/>
              </w:rPr>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759"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吸收投资收到的现金</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24,000,000.00</w:t>
            </w:r>
          </w:p>
        </w:tc>
        <w:tc>
          <w:tcPr>
            <w:tcW w:w="1759"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其中：子公司吸收少数股东投资收到的现金</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24,000,000.00</w:t>
            </w:r>
          </w:p>
        </w:tc>
        <w:tc>
          <w:tcPr>
            <w:tcW w:w="1759"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取得借款收到的现金</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3,495,636,715.46</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2,114,068,837.99</w:t>
            </w: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发行债券收到的现金</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759"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收到其他与筹资活动有关的现金</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right="1"/>
              <w:jc w:val="center"/>
              <w:rPr>
                <w:rFonts w:ascii="宋体" w:hAnsi="宋体" w:cs="宋体" w:eastAsia="宋体" w:hint="default"/>
                <w:sz w:val="15"/>
                <w:szCs w:val="15"/>
              </w:rPr>
            </w:pPr>
            <w:r>
              <w:rPr>
                <w:rFonts w:ascii="宋体" w:hAnsi="宋体" w:cs="宋体" w:eastAsia="宋体" w:hint="default"/>
                <w:sz w:val="15"/>
                <w:szCs w:val="15"/>
              </w:rPr>
              <w:t>（五十三）</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46,980,000.00</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82,900,000.00</w:t>
            </w: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筹资活动现金流入小计</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3,566,616,715.46</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2,196,968,837.99</w:t>
            </w: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偿还债务支付的现金</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2,417,723,410.51</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1,271,237,938.61</w:t>
            </w: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分配股利、利润或偿付利息支付的现金</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339,886,240.29</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119,262,543.48</w:t>
            </w: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其中：子公司支付给少数股东的股利、利润</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3,433,696.19</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5,050,985.03</w:t>
            </w: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支付其他与筹资活动有关的现金</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right="1"/>
              <w:jc w:val="center"/>
              <w:rPr>
                <w:rFonts w:ascii="宋体" w:hAnsi="宋体" w:cs="宋体" w:eastAsia="宋体" w:hint="default"/>
                <w:sz w:val="15"/>
                <w:szCs w:val="15"/>
              </w:rPr>
            </w:pPr>
            <w:r>
              <w:rPr>
                <w:rFonts w:ascii="宋体" w:hAnsi="宋体" w:cs="宋体" w:eastAsia="宋体" w:hint="default"/>
                <w:sz w:val="15"/>
                <w:szCs w:val="15"/>
              </w:rPr>
              <w:t>（五十三）</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121,134,131.59</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5,124,309.98</w:t>
            </w: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筹资活动现金流出小计</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2,878,743,782.39</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1,395,624,792.07</w:t>
            </w: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筹资活动产生的现金流量净额</w:t>
            </w:r>
            <w:r>
              <w:rPr>
                <w:rFonts w:ascii="宋体" w:hAnsi="宋体" w:cs="宋体" w:eastAsia="宋体" w:hint="default"/>
                <w:sz w:val="15"/>
                <w:szCs w:val="15"/>
              </w:rPr>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687,872,933.07</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801,344,045.92</w:t>
            </w: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四、汇率变动对现金及现金等价物的影响</w:t>
            </w:r>
            <w:r>
              <w:rPr>
                <w:rFonts w:ascii="宋体" w:hAnsi="宋体" w:cs="宋体" w:eastAsia="宋体" w:hint="default"/>
                <w:sz w:val="15"/>
                <w:szCs w:val="15"/>
              </w:rPr>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16,006,154.15</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-3,663,587.18</w:t>
            </w: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五、现金及现金等价物净增加额</w:t>
            </w:r>
            <w:r>
              <w:rPr>
                <w:rFonts w:ascii="宋体" w:hAnsi="宋体" w:cs="宋体" w:eastAsia="宋体" w:hint="default"/>
                <w:sz w:val="15"/>
                <w:szCs w:val="15"/>
              </w:rPr>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259,034,820.30</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-4,424,771,014.33</w:t>
            </w: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sz w:val="15"/>
                <w:szCs w:val="15"/>
              </w:rPr>
              <w:t>加：期初现金及现金等价物余额</w:t>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2,943,664,838.40</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7,368,435,852.73</w:t>
            </w:r>
          </w:p>
        </w:tc>
      </w:tr>
      <w:tr>
        <w:trPr>
          <w:trHeight w:val="210" w:hRule="exact"/>
        </w:trPr>
        <w:tc>
          <w:tcPr>
            <w:tcW w:w="4076" w:type="dxa"/>
            <w:tcBorders>
              <w:top w:val="single" w:sz="4" w:space="0" w:color="000000"/>
              <w:left w:val="single" w:sz="4" w:space="0" w:color="000000"/>
              <w:bottom w:val="single" w:sz="4" w:space="0" w:color="000000"/>
              <w:right w:val="single" w:sz="4" w:space="0" w:color="000000"/>
            </w:tcBorders>
          </w:tcPr>
          <w:p>
            <w:pPr>
              <w:pStyle w:val="TableParagraph"/>
              <w:spacing w:line="176"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六、期末现金及现金等价物余额</w:t>
            </w:r>
            <w:r>
              <w:rPr>
                <w:rFonts w:ascii="宋体" w:hAnsi="宋体" w:cs="宋体" w:eastAsia="宋体" w:hint="default"/>
                <w:sz w:val="15"/>
                <w:szCs w:val="15"/>
              </w:rPr>
            </w:r>
          </w:p>
        </w:tc>
        <w:tc>
          <w:tcPr>
            <w:tcW w:w="99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3,202,699,658.70</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Times New Roman" w:hAnsi="Times New Roman" w:cs="Times New Roman" w:eastAsia="Times New Roman" w:hint="default"/>
                <w:sz w:val="15"/>
                <w:szCs w:val="15"/>
              </w:rPr>
            </w:pPr>
            <w:r>
              <w:rPr>
                <w:rFonts w:ascii="Times New Roman"/>
                <w:spacing w:val="-1"/>
                <w:sz w:val="15"/>
              </w:rPr>
              <w:t>2,943,664,838.40</w:t>
            </w:r>
          </w:p>
        </w:tc>
      </w:tr>
    </w:tbl>
    <w:p>
      <w:pPr>
        <w:spacing w:before="91"/>
        <w:ind w:left="217"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tabs>
          <w:tab w:pos="2453" w:val="left" w:leader="none"/>
          <w:tab w:pos="3968" w:val="left" w:leader="none"/>
          <w:tab w:pos="6564" w:val="left" w:leader="none"/>
        </w:tabs>
        <w:spacing w:before="82"/>
        <w:ind w:left="217" w:right="0" w:firstLine="0"/>
        <w:jc w:val="left"/>
        <w:rPr>
          <w:rFonts w:ascii="宋体" w:hAnsi="宋体" w:cs="宋体" w:eastAsia="宋体" w:hint="default"/>
          <w:sz w:val="18"/>
          <w:szCs w:val="18"/>
        </w:rPr>
      </w:pPr>
      <w:r>
        <w:rPr>
          <w:rFonts w:ascii="宋体" w:hAnsi="宋体" w:cs="宋体" w:eastAsia="宋体" w:hint="default"/>
          <w:spacing w:val="-2"/>
          <w:sz w:val="18"/>
          <w:szCs w:val="18"/>
        </w:rPr>
        <w:t>企业法定代表人：宋黎定</w:t>
        <w:tab/>
      </w:r>
      <w:r>
        <w:rPr>
          <w:rFonts w:ascii="宋体" w:hAnsi="宋体" w:cs="宋体" w:eastAsia="宋体" w:hint="default"/>
          <w:spacing w:val="-3"/>
          <w:sz w:val="18"/>
          <w:szCs w:val="18"/>
        </w:rPr>
        <w:t>公司总裁：徐刚</w:t>
        <w:tab/>
      </w:r>
      <w:r>
        <w:rPr>
          <w:rFonts w:ascii="宋体" w:hAnsi="宋体" w:cs="宋体" w:eastAsia="宋体" w:hint="default"/>
          <w:spacing w:val="-2"/>
          <w:sz w:val="18"/>
          <w:szCs w:val="18"/>
        </w:rPr>
        <w:t>主管会计工作负责人：刘文彬</w:t>
        <w:tab/>
        <w:t>会计机构负责人：许少霞</w:t>
      </w:r>
    </w:p>
    <w:p>
      <w:pPr>
        <w:spacing w:after="0"/>
        <w:jc w:val="left"/>
        <w:rPr>
          <w:rFonts w:ascii="宋体" w:hAnsi="宋体" w:cs="宋体" w:eastAsia="宋体" w:hint="default"/>
          <w:sz w:val="18"/>
          <w:szCs w:val="18"/>
        </w:rPr>
        <w:sectPr>
          <w:pgSz w:w="11910" w:h="16840"/>
          <w:pgMar w:header="969" w:footer="784" w:top="1160" w:bottom="980" w:left="1580" w:right="0"/>
        </w:sectPr>
      </w:pPr>
    </w:p>
    <w:p>
      <w:pPr>
        <w:spacing w:before="45"/>
        <w:ind w:left="2637" w:right="4210" w:firstLine="0"/>
        <w:jc w:val="center"/>
        <w:rPr>
          <w:rFonts w:ascii="宋体" w:hAnsi="宋体" w:cs="宋体" w:eastAsia="宋体" w:hint="default"/>
          <w:sz w:val="18"/>
          <w:szCs w:val="18"/>
        </w:rPr>
      </w:pPr>
      <w:r>
        <w:rPr>
          <w:rFonts w:ascii="宋体" w:hAnsi="宋体" w:cs="宋体" w:eastAsia="宋体" w:hint="default"/>
          <w:b/>
          <w:bCs/>
          <w:sz w:val="18"/>
          <w:szCs w:val="18"/>
        </w:rPr>
        <w:t>现金流量表</w:t>
      </w:r>
      <w:r>
        <w:rPr>
          <w:rFonts w:ascii="宋体" w:hAnsi="宋体" w:cs="宋体" w:eastAsia="宋体" w:hint="default"/>
          <w:sz w:val="18"/>
          <w:szCs w:val="18"/>
        </w:rPr>
      </w:r>
    </w:p>
    <w:p>
      <w:pPr>
        <w:spacing w:before="38"/>
        <w:ind w:left="2637" w:right="4210" w:firstLine="0"/>
        <w:jc w:val="center"/>
        <w:rPr>
          <w:rFonts w:ascii="宋体" w:hAnsi="宋体" w:cs="宋体" w:eastAsia="宋体" w:hint="default"/>
          <w:sz w:val="18"/>
          <w:szCs w:val="18"/>
        </w:rPr>
      </w:pPr>
      <w:r>
        <w:rPr>
          <w:rFonts w:ascii="Times New Roman" w:hAnsi="Times New Roman" w:cs="Times New Roman" w:eastAsia="Times New Roman" w:hint="default"/>
          <w:b/>
          <w:bCs/>
          <w:sz w:val="18"/>
          <w:szCs w:val="18"/>
        </w:rPr>
        <w:t>2018 </w:t>
      </w:r>
      <w:r>
        <w:rPr>
          <w:rFonts w:ascii="宋体" w:hAnsi="宋体" w:cs="宋体" w:eastAsia="宋体" w:hint="default"/>
          <w:b/>
          <w:bCs/>
          <w:sz w:val="18"/>
          <w:szCs w:val="18"/>
        </w:rPr>
        <w:t>年度</w:t>
      </w:r>
      <w:r>
        <w:rPr>
          <w:rFonts w:ascii="宋体" w:hAnsi="宋体" w:cs="宋体" w:eastAsia="宋体" w:hint="default"/>
          <w:sz w:val="18"/>
          <w:szCs w:val="18"/>
        </w:rPr>
      </w:r>
    </w:p>
    <w:p>
      <w:pPr>
        <w:spacing w:before="23"/>
        <w:ind w:left="2637" w:right="4214" w:firstLine="0"/>
        <w:jc w:val="center"/>
        <w:rPr>
          <w:rFonts w:ascii="宋体" w:hAnsi="宋体" w:cs="宋体" w:eastAsia="宋体" w:hint="default"/>
          <w:sz w:val="18"/>
          <w:szCs w:val="18"/>
        </w:rPr>
      </w:pPr>
      <w:r>
        <w:rPr>
          <w:rFonts w:ascii="宋体" w:hAnsi="宋体" w:cs="宋体" w:eastAsia="宋体" w:hint="default"/>
          <w:b/>
          <w:bCs/>
          <w:sz w:val="18"/>
          <w:szCs w:val="18"/>
        </w:rPr>
        <w:t>（除特别注明外，金额单位均为人民币元）</w:t>
      </w:r>
      <w:r>
        <w:rPr>
          <w:rFonts w:ascii="宋体" w:hAnsi="宋体" w:cs="宋体" w:eastAsia="宋体" w:hint="default"/>
          <w:sz w:val="18"/>
          <w:szCs w:val="18"/>
        </w:rPr>
      </w:r>
    </w:p>
    <w:p>
      <w:pPr>
        <w:spacing w:line="240" w:lineRule="auto" w:before="1"/>
        <w:rPr>
          <w:rFonts w:ascii="宋体" w:hAnsi="宋体" w:cs="宋体" w:eastAsia="宋体" w:hint="default"/>
          <w:b/>
          <w:bCs/>
          <w:sz w:val="14"/>
          <w:szCs w:val="14"/>
        </w:rPr>
      </w:pPr>
    </w:p>
    <w:tbl>
      <w:tblPr>
        <w:tblW w:w="0" w:type="auto"/>
        <w:jc w:val="left"/>
        <w:tblInd w:w="104" w:type="dxa"/>
        <w:tblLayout w:type="fixed"/>
        <w:tblCellMar>
          <w:top w:w="0" w:type="dxa"/>
          <w:left w:w="0" w:type="dxa"/>
          <w:bottom w:w="0" w:type="dxa"/>
          <w:right w:w="0" w:type="dxa"/>
        </w:tblCellMar>
        <w:tblLook w:val="01E0"/>
      </w:tblPr>
      <w:tblGrid>
        <w:gridCol w:w="4217"/>
        <w:gridCol w:w="851"/>
        <w:gridCol w:w="1702"/>
        <w:gridCol w:w="1759"/>
      </w:tblGrid>
      <w:tr>
        <w:trPr>
          <w:trHeight w:val="290" w:hRule="exact"/>
        </w:trPr>
        <w:tc>
          <w:tcPr>
            <w:tcW w:w="4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240" w:right="0"/>
              <w:jc w:val="left"/>
              <w:rPr>
                <w:rFonts w:ascii="宋体" w:hAnsi="宋体" w:cs="宋体" w:eastAsia="宋体" w:hint="default"/>
                <w:sz w:val="18"/>
                <w:szCs w:val="18"/>
              </w:rPr>
            </w:pPr>
            <w:r>
              <w:rPr>
                <w:rFonts w:ascii="宋体" w:hAnsi="宋体" w:cs="宋体" w:eastAsia="宋体" w:hint="default"/>
                <w:sz w:val="18"/>
                <w:szCs w:val="18"/>
              </w:rPr>
              <w:t>附注</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396"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423"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289" w:hRule="exact"/>
        </w:trPr>
        <w:tc>
          <w:tcPr>
            <w:tcW w:w="4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b/>
                <w:bCs/>
                <w:sz w:val="18"/>
                <w:szCs w:val="18"/>
              </w:rPr>
              <w:t>一、经营活动产生的现金流量</w:t>
            </w:r>
            <w:r>
              <w:rPr>
                <w:rFonts w:ascii="宋体" w:hAnsi="宋体" w:cs="宋体" w:eastAsia="宋体" w:hint="default"/>
                <w:sz w:val="18"/>
                <w:szCs w:val="18"/>
              </w:rPr>
            </w:r>
          </w:p>
        </w:tc>
        <w:tc>
          <w:tcPr>
            <w:tcW w:w="85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759"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4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85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01"/>
              <w:jc w:val="right"/>
              <w:rPr>
                <w:rFonts w:ascii="Times New Roman" w:hAnsi="Times New Roman" w:cs="Times New Roman" w:eastAsia="Times New Roman" w:hint="default"/>
                <w:sz w:val="18"/>
                <w:szCs w:val="18"/>
              </w:rPr>
            </w:pPr>
            <w:r>
              <w:rPr>
                <w:rFonts w:ascii="Times New Roman"/>
                <w:spacing w:val="-1"/>
                <w:sz w:val="18"/>
              </w:rPr>
              <w:t>3,109,293,702.55</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04"/>
              <w:jc w:val="right"/>
              <w:rPr>
                <w:rFonts w:ascii="Times New Roman" w:hAnsi="Times New Roman" w:cs="Times New Roman" w:eastAsia="Times New Roman" w:hint="default"/>
                <w:sz w:val="18"/>
                <w:szCs w:val="18"/>
              </w:rPr>
            </w:pPr>
            <w:r>
              <w:rPr>
                <w:rFonts w:ascii="Times New Roman"/>
                <w:spacing w:val="-1"/>
                <w:sz w:val="18"/>
              </w:rPr>
              <w:t>3,088,024,507.74</w:t>
            </w:r>
          </w:p>
        </w:tc>
      </w:tr>
      <w:tr>
        <w:trPr>
          <w:trHeight w:val="290" w:hRule="exact"/>
        </w:trPr>
        <w:tc>
          <w:tcPr>
            <w:tcW w:w="4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85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0"/>
              <w:jc w:val="right"/>
              <w:rPr>
                <w:rFonts w:ascii="Times New Roman" w:hAnsi="Times New Roman" w:cs="Times New Roman" w:eastAsia="Times New Roman" w:hint="default"/>
                <w:sz w:val="18"/>
                <w:szCs w:val="18"/>
              </w:rPr>
            </w:pPr>
            <w:r>
              <w:rPr>
                <w:rFonts w:ascii="Times New Roman"/>
                <w:spacing w:val="-1"/>
                <w:sz w:val="18"/>
              </w:rPr>
              <w:t>49,550,879.60</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8"/>
                <w:szCs w:val="18"/>
              </w:rPr>
            </w:pPr>
            <w:r>
              <w:rPr>
                <w:rFonts w:ascii="Times New Roman"/>
                <w:spacing w:val="-1"/>
                <w:sz w:val="18"/>
              </w:rPr>
              <w:t>17,980,241.57</w:t>
            </w:r>
          </w:p>
        </w:tc>
      </w:tr>
      <w:tr>
        <w:trPr>
          <w:trHeight w:val="289" w:hRule="exact"/>
        </w:trPr>
        <w:tc>
          <w:tcPr>
            <w:tcW w:w="4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85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99"/>
              <w:jc w:val="right"/>
              <w:rPr>
                <w:rFonts w:ascii="Times New Roman" w:hAnsi="Times New Roman" w:cs="Times New Roman" w:eastAsia="Times New Roman" w:hint="default"/>
                <w:sz w:val="18"/>
                <w:szCs w:val="18"/>
              </w:rPr>
            </w:pPr>
            <w:r>
              <w:rPr>
                <w:rFonts w:ascii="Times New Roman"/>
                <w:spacing w:val="-1"/>
                <w:sz w:val="18"/>
              </w:rPr>
              <w:t>758,716,154.40</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8"/>
                <w:szCs w:val="18"/>
              </w:rPr>
            </w:pPr>
            <w:r>
              <w:rPr>
                <w:rFonts w:ascii="Times New Roman"/>
                <w:spacing w:val="-1"/>
                <w:sz w:val="18"/>
              </w:rPr>
              <w:t>283,082,696.63</w:t>
            </w:r>
          </w:p>
        </w:tc>
      </w:tr>
      <w:tr>
        <w:trPr>
          <w:trHeight w:val="290" w:hRule="exact"/>
        </w:trPr>
        <w:tc>
          <w:tcPr>
            <w:tcW w:w="4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85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01"/>
              <w:jc w:val="right"/>
              <w:rPr>
                <w:rFonts w:ascii="Times New Roman" w:hAnsi="Times New Roman" w:cs="Times New Roman" w:eastAsia="Times New Roman" w:hint="default"/>
                <w:sz w:val="18"/>
                <w:szCs w:val="18"/>
              </w:rPr>
            </w:pPr>
            <w:r>
              <w:rPr>
                <w:rFonts w:ascii="Times New Roman"/>
                <w:spacing w:val="-1"/>
                <w:sz w:val="18"/>
              </w:rPr>
              <w:t>3,917,560,736.55</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04"/>
              <w:jc w:val="right"/>
              <w:rPr>
                <w:rFonts w:ascii="Times New Roman" w:hAnsi="Times New Roman" w:cs="Times New Roman" w:eastAsia="Times New Roman" w:hint="default"/>
                <w:sz w:val="18"/>
                <w:szCs w:val="18"/>
              </w:rPr>
            </w:pPr>
            <w:r>
              <w:rPr>
                <w:rFonts w:ascii="Times New Roman"/>
                <w:spacing w:val="-1"/>
                <w:sz w:val="18"/>
              </w:rPr>
              <w:t>3,389,087,445.94</w:t>
            </w:r>
          </w:p>
        </w:tc>
      </w:tr>
      <w:tr>
        <w:trPr>
          <w:trHeight w:val="290" w:hRule="exact"/>
        </w:trPr>
        <w:tc>
          <w:tcPr>
            <w:tcW w:w="4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85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8"/>
                <w:szCs w:val="18"/>
              </w:rPr>
            </w:pPr>
            <w:r>
              <w:rPr>
                <w:rFonts w:ascii="Times New Roman"/>
                <w:spacing w:val="-1"/>
                <w:sz w:val="18"/>
              </w:rPr>
              <w:t>2,616,155,946.70</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4"/>
              <w:jc w:val="right"/>
              <w:rPr>
                <w:rFonts w:ascii="Times New Roman" w:hAnsi="Times New Roman" w:cs="Times New Roman" w:eastAsia="Times New Roman" w:hint="default"/>
                <w:sz w:val="18"/>
                <w:szCs w:val="18"/>
              </w:rPr>
            </w:pPr>
            <w:r>
              <w:rPr>
                <w:rFonts w:ascii="Times New Roman"/>
                <w:spacing w:val="-1"/>
                <w:sz w:val="18"/>
              </w:rPr>
              <w:t>2,509,400,766.02</w:t>
            </w:r>
          </w:p>
        </w:tc>
      </w:tr>
      <w:tr>
        <w:trPr>
          <w:trHeight w:val="289" w:hRule="exact"/>
        </w:trPr>
        <w:tc>
          <w:tcPr>
            <w:tcW w:w="4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支付给职工以及为职工支付的现金</w:t>
            </w:r>
          </w:p>
        </w:tc>
        <w:tc>
          <w:tcPr>
            <w:tcW w:w="85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99"/>
              <w:jc w:val="right"/>
              <w:rPr>
                <w:rFonts w:ascii="Times New Roman" w:hAnsi="Times New Roman" w:cs="Times New Roman" w:eastAsia="Times New Roman" w:hint="default"/>
                <w:sz w:val="18"/>
                <w:szCs w:val="18"/>
              </w:rPr>
            </w:pPr>
            <w:r>
              <w:rPr>
                <w:rFonts w:ascii="Times New Roman"/>
                <w:spacing w:val="-1"/>
                <w:sz w:val="18"/>
              </w:rPr>
              <w:t>389,926,180.29</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8"/>
                <w:szCs w:val="18"/>
              </w:rPr>
            </w:pPr>
            <w:r>
              <w:rPr>
                <w:rFonts w:ascii="Times New Roman"/>
                <w:spacing w:val="-1"/>
                <w:sz w:val="18"/>
              </w:rPr>
              <w:t>310,629,406.20</w:t>
            </w:r>
          </w:p>
        </w:tc>
      </w:tr>
      <w:tr>
        <w:trPr>
          <w:trHeight w:val="290" w:hRule="exact"/>
        </w:trPr>
        <w:tc>
          <w:tcPr>
            <w:tcW w:w="4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85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00"/>
              <w:jc w:val="right"/>
              <w:rPr>
                <w:rFonts w:ascii="Times New Roman" w:hAnsi="Times New Roman" w:cs="Times New Roman" w:eastAsia="Times New Roman" w:hint="default"/>
                <w:sz w:val="18"/>
                <w:szCs w:val="18"/>
              </w:rPr>
            </w:pPr>
            <w:r>
              <w:rPr>
                <w:rFonts w:ascii="Times New Roman"/>
                <w:spacing w:val="-1"/>
                <w:sz w:val="18"/>
              </w:rPr>
              <w:t>81,226,921.95</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01"/>
              <w:jc w:val="right"/>
              <w:rPr>
                <w:rFonts w:ascii="Times New Roman" w:hAnsi="Times New Roman" w:cs="Times New Roman" w:eastAsia="Times New Roman" w:hint="default"/>
                <w:sz w:val="18"/>
                <w:szCs w:val="18"/>
              </w:rPr>
            </w:pPr>
            <w:r>
              <w:rPr>
                <w:rFonts w:ascii="Times New Roman"/>
                <w:spacing w:val="-1"/>
                <w:sz w:val="18"/>
              </w:rPr>
              <w:t>67,219,797.94</w:t>
            </w:r>
          </w:p>
        </w:tc>
      </w:tr>
      <w:tr>
        <w:trPr>
          <w:trHeight w:val="290" w:hRule="exact"/>
        </w:trPr>
        <w:tc>
          <w:tcPr>
            <w:tcW w:w="4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85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99"/>
              <w:jc w:val="right"/>
              <w:rPr>
                <w:rFonts w:ascii="Times New Roman" w:hAnsi="Times New Roman" w:cs="Times New Roman" w:eastAsia="Times New Roman" w:hint="default"/>
                <w:sz w:val="18"/>
                <w:szCs w:val="18"/>
              </w:rPr>
            </w:pPr>
            <w:r>
              <w:rPr>
                <w:rFonts w:ascii="Times New Roman"/>
                <w:spacing w:val="-1"/>
                <w:sz w:val="18"/>
              </w:rPr>
              <w:t>468,613,547.35</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8"/>
                <w:szCs w:val="18"/>
              </w:rPr>
            </w:pPr>
            <w:r>
              <w:rPr>
                <w:rFonts w:ascii="Times New Roman"/>
                <w:spacing w:val="-1"/>
                <w:sz w:val="18"/>
              </w:rPr>
              <w:t>496,152,413.48</w:t>
            </w:r>
          </w:p>
        </w:tc>
      </w:tr>
      <w:tr>
        <w:trPr>
          <w:trHeight w:val="289" w:hRule="exact"/>
        </w:trPr>
        <w:tc>
          <w:tcPr>
            <w:tcW w:w="4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85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8"/>
                <w:szCs w:val="18"/>
              </w:rPr>
            </w:pPr>
            <w:r>
              <w:rPr>
                <w:rFonts w:ascii="Times New Roman"/>
                <w:spacing w:val="-1"/>
                <w:sz w:val="18"/>
              </w:rPr>
              <w:t>3,555,922,596.29</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4"/>
              <w:jc w:val="right"/>
              <w:rPr>
                <w:rFonts w:ascii="Times New Roman" w:hAnsi="Times New Roman" w:cs="Times New Roman" w:eastAsia="Times New Roman" w:hint="default"/>
                <w:sz w:val="18"/>
                <w:szCs w:val="18"/>
              </w:rPr>
            </w:pPr>
            <w:r>
              <w:rPr>
                <w:rFonts w:ascii="Times New Roman"/>
                <w:spacing w:val="-1"/>
                <w:sz w:val="18"/>
              </w:rPr>
              <w:t>3,383,402,383.64</w:t>
            </w:r>
          </w:p>
        </w:tc>
      </w:tr>
      <w:tr>
        <w:trPr>
          <w:trHeight w:val="290" w:hRule="exact"/>
        </w:trPr>
        <w:tc>
          <w:tcPr>
            <w:tcW w:w="4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b/>
                <w:bCs/>
                <w:sz w:val="18"/>
                <w:szCs w:val="18"/>
              </w:rPr>
              <w:t>经营活动产生的现金流量净额</w:t>
            </w:r>
            <w:r>
              <w:rPr>
                <w:rFonts w:ascii="宋体" w:hAnsi="宋体" w:cs="宋体" w:eastAsia="宋体" w:hint="default"/>
                <w:sz w:val="18"/>
                <w:szCs w:val="18"/>
              </w:rPr>
            </w:r>
          </w:p>
        </w:tc>
        <w:tc>
          <w:tcPr>
            <w:tcW w:w="85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99"/>
              <w:jc w:val="right"/>
              <w:rPr>
                <w:rFonts w:ascii="Times New Roman" w:hAnsi="Times New Roman" w:cs="Times New Roman" w:eastAsia="Times New Roman" w:hint="default"/>
                <w:sz w:val="18"/>
                <w:szCs w:val="18"/>
              </w:rPr>
            </w:pPr>
            <w:r>
              <w:rPr>
                <w:rFonts w:ascii="Times New Roman"/>
                <w:spacing w:val="-1"/>
                <w:sz w:val="18"/>
              </w:rPr>
              <w:t>361,638,140.26</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01"/>
              <w:jc w:val="right"/>
              <w:rPr>
                <w:rFonts w:ascii="Times New Roman" w:hAnsi="Times New Roman" w:cs="Times New Roman" w:eastAsia="Times New Roman" w:hint="default"/>
                <w:sz w:val="18"/>
                <w:szCs w:val="18"/>
              </w:rPr>
            </w:pPr>
            <w:r>
              <w:rPr>
                <w:rFonts w:ascii="Times New Roman"/>
                <w:spacing w:val="-1"/>
                <w:sz w:val="18"/>
              </w:rPr>
              <w:t>5,685,062.30</w:t>
            </w:r>
          </w:p>
        </w:tc>
      </w:tr>
      <w:tr>
        <w:trPr>
          <w:trHeight w:val="290" w:hRule="exact"/>
        </w:trPr>
        <w:tc>
          <w:tcPr>
            <w:tcW w:w="4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b/>
                <w:bCs/>
                <w:sz w:val="18"/>
                <w:szCs w:val="18"/>
              </w:rPr>
              <w:t>二、投资活动产生的现金流量</w:t>
            </w:r>
            <w:r>
              <w:rPr>
                <w:rFonts w:ascii="宋体" w:hAnsi="宋体" w:cs="宋体" w:eastAsia="宋体" w:hint="default"/>
                <w:sz w:val="18"/>
                <w:szCs w:val="18"/>
              </w:rPr>
            </w:r>
          </w:p>
        </w:tc>
        <w:tc>
          <w:tcPr>
            <w:tcW w:w="85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759" w:type="dxa"/>
            <w:tcBorders>
              <w:top w:val="single" w:sz="4" w:space="0" w:color="000000"/>
              <w:left w:val="single" w:sz="4" w:space="0" w:color="000000"/>
              <w:bottom w:val="single" w:sz="4" w:space="0" w:color="000000"/>
              <w:right w:val="single" w:sz="4" w:space="0" w:color="000000"/>
            </w:tcBorders>
          </w:tcPr>
          <w:p>
            <w:pPr/>
          </w:p>
        </w:tc>
      </w:tr>
      <w:tr>
        <w:trPr>
          <w:trHeight w:val="289" w:hRule="exact"/>
        </w:trPr>
        <w:tc>
          <w:tcPr>
            <w:tcW w:w="4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85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8"/>
                <w:szCs w:val="18"/>
              </w:rPr>
            </w:pPr>
            <w:r>
              <w:rPr>
                <w:rFonts w:ascii="Times New Roman"/>
                <w:spacing w:val="-1"/>
                <w:sz w:val="18"/>
              </w:rPr>
              <w:t>1,105,842,790.75</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8"/>
                <w:szCs w:val="18"/>
              </w:rPr>
            </w:pPr>
            <w:r>
              <w:rPr>
                <w:rFonts w:ascii="Times New Roman"/>
                <w:spacing w:val="-1"/>
                <w:sz w:val="18"/>
              </w:rPr>
              <w:t>671,463,194.14</w:t>
            </w:r>
          </w:p>
        </w:tc>
      </w:tr>
      <w:tr>
        <w:trPr>
          <w:trHeight w:val="290" w:hRule="exact"/>
        </w:trPr>
        <w:tc>
          <w:tcPr>
            <w:tcW w:w="4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85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99"/>
              <w:jc w:val="right"/>
              <w:rPr>
                <w:rFonts w:ascii="Times New Roman" w:hAnsi="Times New Roman" w:cs="Times New Roman" w:eastAsia="Times New Roman" w:hint="default"/>
                <w:sz w:val="18"/>
                <w:szCs w:val="18"/>
              </w:rPr>
            </w:pPr>
            <w:r>
              <w:rPr>
                <w:rFonts w:ascii="Times New Roman"/>
                <w:spacing w:val="-1"/>
                <w:sz w:val="18"/>
              </w:rPr>
              <w:t>119,503,948.70</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01"/>
              <w:jc w:val="right"/>
              <w:rPr>
                <w:rFonts w:ascii="Times New Roman" w:hAnsi="Times New Roman" w:cs="Times New Roman" w:eastAsia="Times New Roman" w:hint="default"/>
                <w:sz w:val="18"/>
                <w:szCs w:val="18"/>
              </w:rPr>
            </w:pPr>
            <w:r>
              <w:rPr>
                <w:rFonts w:ascii="Times New Roman"/>
                <w:spacing w:val="-1"/>
                <w:sz w:val="18"/>
              </w:rPr>
              <w:t>157,912,903.79</w:t>
            </w:r>
          </w:p>
        </w:tc>
      </w:tr>
      <w:tr>
        <w:trPr>
          <w:trHeight w:val="570" w:hRule="exact"/>
        </w:trPr>
        <w:tc>
          <w:tcPr>
            <w:tcW w:w="4217"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before="16"/>
              <w:ind w:left="103" w:right="96"/>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处置固定资产、无形资产和其他长期资产收回的现</w:t>
            </w:r>
            <w:r>
              <w:rPr>
                <w:rFonts w:ascii="宋体" w:hAnsi="宋体" w:cs="宋体" w:eastAsia="宋体" w:hint="default"/>
                <w:spacing w:val="-53"/>
                <w:sz w:val="18"/>
                <w:szCs w:val="18"/>
              </w:rPr>
              <w:t> </w:t>
            </w:r>
            <w:r>
              <w:rPr>
                <w:rFonts w:ascii="宋体" w:hAnsi="宋体" w:cs="宋体" w:eastAsia="宋体" w:hint="default"/>
                <w:spacing w:val="-53"/>
                <w:sz w:val="18"/>
                <w:szCs w:val="18"/>
              </w:rPr>
            </w:r>
            <w:r>
              <w:rPr>
                <w:rFonts w:ascii="宋体" w:hAnsi="宋体" w:cs="宋体" w:eastAsia="宋体" w:hint="default"/>
                <w:sz w:val="18"/>
                <w:szCs w:val="18"/>
              </w:rPr>
              <w:t>金净额</w:t>
            </w:r>
          </w:p>
        </w:tc>
        <w:tc>
          <w:tcPr>
            <w:tcW w:w="85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762,359.19</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6,817,250.37</w:t>
            </w:r>
          </w:p>
        </w:tc>
      </w:tr>
      <w:tr>
        <w:trPr>
          <w:trHeight w:val="290" w:hRule="exact"/>
        </w:trPr>
        <w:tc>
          <w:tcPr>
            <w:tcW w:w="4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处置子公司及其他营业单位收到的现金净额</w:t>
            </w:r>
          </w:p>
        </w:tc>
        <w:tc>
          <w:tcPr>
            <w:tcW w:w="85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0"/>
              <w:jc w:val="right"/>
              <w:rPr>
                <w:rFonts w:ascii="Times New Roman" w:hAnsi="Times New Roman" w:cs="Times New Roman" w:eastAsia="Times New Roman" w:hint="default"/>
                <w:sz w:val="18"/>
                <w:szCs w:val="18"/>
              </w:rPr>
            </w:pPr>
            <w:r>
              <w:rPr>
                <w:rFonts w:ascii="Times New Roman"/>
                <w:spacing w:val="-1"/>
                <w:sz w:val="18"/>
              </w:rPr>
              <w:t>51,508,800.00</w:t>
            </w:r>
          </w:p>
        </w:tc>
        <w:tc>
          <w:tcPr>
            <w:tcW w:w="1759" w:type="dxa"/>
            <w:tcBorders>
              <w:top w:val="single" w:sz="4" w:space="0" w:color="000000"/>
              <w:left w:val="single" w:sz="4" w:space="0" w:color="000000"/>
              <w:bottom w:val="single" w:sz="4" w:space="0" w:color="000000"/>
              <w:right w:val="single" w:sz="4" w:space="0" w:color="000000"/>
            </w:tcBorders>
          </w:tcPr>
          <w:p>
            <w:pPr/>
          </w:p>
        </w:tc>
      </w:tr>
      <w:tr>
        <w:trPr>
          <w:trHeight w:val="289" w:hRule="exact"/>
        </w:trPr>
        <w:tc>
          <w:tcPr>
            <w:tcW w:w="4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85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99"/>
              <w:jc w:val="right"/>
              <w:rPr>
                <w:rFonts w:ascii="Times New Roman" w:hAnsi="Times New Roman" w:cs="Times New Roman" w:eastAsia="Times New Roman" w:hint="default"/>
                <w:sz w:val="18"/>
                <w:szCs w:val="18"/>
              </w:rPr>
            </w:pPr>
            <w:r>
              <w:rPr>
                <w:rFonts w:ascii="Times New Roman"/>
                <w:spacing w:val="-1"/>
                <w:sz w:val="18"/>
              </w:rPr>
              <w:t>154,000,000.00</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8"/>
                <w:szCs w:val="18"/>
              </w:rPr>
            </w:pPr>
            <w:r>
              <w:rPr>
                <w:rFonts w:ascii="Times New Roman"/>
                <w:spacing w:val="-1"/>
                <w:sz w:val="18"/>
              </w:rPr>
              <w:t>578,849,589.20</w:t>
            </w:r>
          </w:p>
        </w:tc>
      </w:tr>
      <w:tr>
        <w:trPr>
          <w:trHeight w:val="290" w:hRule="exact"/>
        </w:trPr>
        <w:tc>
          <w:tcPr>
            <w:tcW w:w="4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85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01"/>
              <w:jc w:val="right"/>
              <w:rPr>
                <w:rFonts w:ascii="Times New Roman" w:hAnsi="Times New Roman" w:cs="Times New Roman" w:eastAsia="Times New Roman" w:hint="default"/>
                <w:sz w:val="18"/>
                <w:szCs w:val="18"/>
              </w:rPr>
            </w:pPr>
            <w:r>
              <w:rPr>
                <w:rFonts w:ascii="Times New Roman"/>
                <w:spacing w:val="-1"/>
                <w:sz w:val="18"/>
              </w:rPr>
              <w:t>1,431,617,898.64</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04"/>
              <w:jc w:val="right"/>
              <w:rPr>
                <w:rFonts w:ascii="Times New Roman" w:hAnsi="Times New Roman" w:cs="Times New Roman" w:eastAsia="Times New Roman" w:hint="default"/>
                <w:sz w:val="18"/>
                <w:szCs w:val="18"/>
              </w:rPr>
            </w:pPr>
            <w:r>
              <w:rPr>
                <w:rFonts w:ascii="Times New Roman"/>
                <w:spacing w:val="-1"/>
                <w:sz w:val="18"/>
              </w:rPr>
              <w:t>1,415,042,937.50</w:t>
            </w:r>
          </w:p>
        </w:tc>
      </w:tr>
      <w:tr>
        <w:trPr>
          <w:trHeight w:val="570" w:hRule="exact"/>
        </w:trPr>
        <w:tc>
          <w:tcPr>
            <w:tcW w:w="4217" w:type="dxa"/>
            <w:tcBorders>
              <w:top w:val="single" w:sz="4" w:space="0" w:color="000000"/>
              <w:left w:val="single" w:sz="4" w:space="0" w:color="000000"/>
              <w:bottom w:val="single" w:sz="4" w:space="0" w:color="000000"/>
              <w:right w:val="single" w:sz="4" w:space="0" w:color="000000"/>
            </w:tcBorders>
          </w:tcPr>
          <w:p>
            <w:pPr>
              <w:pStyle w:val="TableParagraph"/>
              <w:spacing w:line="285" w:lineRule="auto" w:before="16"/>
              <w:ind w:left="103" w:right="96"/>
              <w:jc w:val="left"/>
              <w:rPr>
                <w:rFonts w:ascii="宋体" w:hAnsi="宋体" w:cs="宋体" w:eastAsia="宋体" w:hint="default"/>
                <w:sz w:val="18"/>
                <w:szCs w:val="18"/>
              </w:rPr>
            </w:pPr>
            <w:r>
              <w:rPr>
                <w:rFonts w:ascii="宋体" w:hAnsi="宋体" w:cs="宋体" w:eastAsia="宋体" w:hint="default"/>
                <w:sz w:val="18"/>
                <w:szCs w:val="18"/>
              </w:rPr>
              <w:t>购建固定资产、无形资产和其他长期资产支付的现</w:t>
            </w:r>
            <w:r>
              <w:rPr>
                <w:rFonts w:ascii="宋体" w:hAnsi="宋体" w:cs="宋体" w:eastAsia="宋体" w:hint="default"/>
                <w:spacing w:val="-53"/>
                <w:sz w:val="18"/>
                <w:szCs w:val="18"/>
              </w:rPr>
              <w:t> </w:t>
            </w:r>
            <w:r>
              <w:rPr>
                <w:rFonts w:ascii="宋体" w:hAnsi="宋体" w:cs="宋体" w:eastAsia="宋体" w:hint="default"/>
                <w:spacing w:val="-53"/>
                <w:sz w:val="18"/>
                <w:szCs w:val="18"/>
              </w:rPr>
            </w:r>
            <w:r>
              <w:rPr>
                <w:rFonts w:ascii="宋体" w:hAnsi="宋体" w:cs="宋体" w:eastAsia="宋体" w:hint="default"/>
                <w:sz w:val="18"/>
                <w:szCs w:val="18"/>
              </w:rPr>
              <w:t>金</w:t>
            </w:r>
          </w:p>
        </w:tc>
        <w:tc>
          <w:tcPr>
            <w:tcW w:w="85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407,148,392.36</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253,941,158.11</w:t>
            </w:r>
          </w:p>
        </w:tc>
      </w:tr>
      <w:tr>
        <w:trPr>
          <w:trHeight w:val="290" w:hRule="exact"/>
        </w:trPr>
        <w:tc>
          <w:tcPr>
            <w:tcW w:w="4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85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8"/>
                <w:szCs w:val="18"/>
              </w:rPr>
            </w:pPr>
            <w:r>
              <w:rPr>
                <w:rFonts w:ascii="Times New Roman"/>
                <w:spacing w:val="-1"/>
                <w:sz w:val="18"/>
              </w:rPr>
              <w:t>1,267,834,800.00</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8"/>
                <w:szCs w:val="18"/>
              </w:rPr>
            </w:pPr>
            <w:r>
              <w:rPr>
                <w:rFonts w:ascii="Times New Roman"/>
                <w:spacing w:val="-1"/>
                <w:sz w:val="18"/>
              </w:rPr>
              <w:t>701,335,000.00</w:t>
            </w:r>
          </w:p>
        </w:tc>
      </w:tr>
      <w:tr>
        <w:trPr>
          <w:trHeight w:val="289" w:hRule="exact"/>
        </w:trPr>
        <w:tc>
          <w:tcPr>
            <w:tcW w:w="4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取得子公司及其他营业单位支付的现金净额</w:t>
            </w:r>
          </w:p>
        </w:tc>
        <w:tc>
          <w:tcPr>
            <w:tcW w:w="85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759"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4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85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99"/>
              <w:jc w:val="right"/>
              <w:rPr>
                <w:rFonts w:ascii="Times New Roman" w:hAnsi="Times New Roman" w:cs="Times New Roman" w:eastAsia="Times New Roman" w:hint="default"/>
                <w:sz w:val="18"/>
                <w:szCs w:val="18"/>
              </w:rPr>
            </w:pPr>
            <w:r>
              <w:rPr>
                <w:rFonts w:ascii="Times New Roman"/>
                <w:spacing w:val="-1"/>
                <w:sz w:val="18"/>
              </w:rPr>
              <w:t>871,246,980.01</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01"/>
              <w:jc w:val="right"/>
              <w:rPr>
                <w:rFonts w:ascii="Times New Roman" w:hAnsi="Times New Roman" w:cs="Times New Roman" w:eastAsia="Times New Roman" w:hint="default"/>
                <w:sz w:val="18"/>
                <w:szCs w:val="18"/>
              </w:rPr>
            </w:pPr>
            <w:r>
              <w:rPr>
                <w:rFonts w:ascii="Times New Roman"/>
                <w:spacing w:val="-1"/>
                <w:sz w:val="18"/>
              </w:rPr>
              <w:t>342,257,778.37</w:t>
            </w:r>
          </w:p>
        </w:tc>
      </w:tr>
      <w:tr>
        <w:trPr>
          <w:trHeight w:val="290" w:hRule="exact"/>
        </w:trPr>
        <w:tc>
          <w:tcPr>
            <w:tcW w:w="4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85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8"/>
                <w:szCs w:val="18"/>
              </w:rPr>
            </w:pPr>
            <w:r>
              <w:rPr>
                <w:rFonts w:ascii="Times New Roman"/>
                <w:spacing w:val="-1"/>
                <w:sz w:val="18"/>
              </w:rPr>
              <w:t>2,546,230,172.37</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4"/>
              <w:jc w:val="right"/>
              <w:rPr>
                <w:rFonts w:ascii="Times New Roman" w:hAnsi="Times New Roman" w:cs="Times New Roman" w:eastAsia="Times New Roman" w:hint="default"/>
                <w:sz w:val="18"/>
                <w:szCs w:val="18"/>
              </w:rPr>
            </w:pPr>
            <w:r>
              <w:rPr>
                <w:rFonts w:ascii="Times New Roman"/>
                <w:spacing w:val="-1"/>
                <w:sz w:val="18"/>
              </w:rPr>
              <w:t>1,297,533,936.48</w:t>
            </w:r>
          </w:p>
        </w:tc>
      </w:tr>
      <w:tr>
        <w:trPr>
          <w:trHeight w:val="289" w:hRule="exact"/>
        </w:trPr>
        <w:tc>
          <w:tcPr>
            <w:tcW w:w="4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b/>
                <w:bCs/>
                <w:sz w:val="18"/>
                <w:szCs w:val="18"/>
              </w:rPr>
              <w:t>投资活动产生的现金流量净额</w:t>
            </w:r>
            <w:r>
              <w:rPr>
                <w:rFonts w:ascii="宋体" w:hAnsi="宋体" w:cs="宋体" w:eastAsia="宋体" w:hint="default"/>
                <w:sz w:val="18"/>
                <w:szCs w:val="18"/>
              </w:rPr>
            </w:r>
          </w:p>
        </w:tc>
        <w:tc>
          <w:tcPr>
            <w:tcW w:w="85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8"/>
                <w:szCs w:val="18"/>
              </w:rPr>
            </w:pPr>
            <w:r>
              <w:rPr>
                <w:rFonts w:ascii="Times New Roman"/>
                <w:spacing w:val="-1"/>
                <w:sz w:val="18"/>
              </w:rPr>
              <w:t>-1,114,612,273.73</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0"/>
              <w:jc w:val="right"/>
              <w:rPr>
                <w:rFonts w:ascii="Times New Roman" w:hAnsi="Times New Roman" w:cs="Times New Roman" w:eastAsia="Times New Roman" w:hint="default"/>
                <w:sz w:val="18"/>
                <w:szCs w:val="18"/>
              </w:rPr>
            </w:pPr>
            <w:r>
              <w:rPr>
                <w:rFonts w:ascii="Times New Roman"/>
                <w:spacing w:val="-1"/>
                <w:sz w:val="18"/>
              </w:rPr>
              <w:t>117,509,001.02</w:t>
            </w:r>
          </w:p>
        </w:tc>
      </w:tr>
      <w:tr>
        <w:trPr>
          <w:trHeight w:val="290" w:hRule="exact"/>
        </w:trPr>
        <w:tc>
          <w:tcPr>
            <w:tcW w:w="4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b/>
                <w:bCs/>
                <w:sz w:val="18"/>
                <w:szCs w:val="18"/>
              </w:rPr>
              <w:t>三、筹资活动产生的现金流量</w:t>
            </w:r>
            <w:r>
              <w:rPr>
                <w:rFonts w:ascii="宋体" w:hAnsi="宋体" w:cs="宋体" w:eastAsia="宋体" w:hint="default"/>
                <w:sz w:val="18"/>
                <w:szCs w:val="18"/>
              </w:rPr>
            </w:r>
          </w:p>
        </w:tc>
        <w:tc>
          <w:tcPr>
            <w:tcW w:w="85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759"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4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85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759" w:type="dxa"/>
            <w:tcBorders>
              <w:top w:val="single" w:sz="4" w:space="0" w:color="000000"/>
              <w:left w:val="single" w:sz="4" w:space="0" w:color="000000"/>
              <w:bottom w:val="single" w:sz="4" w:space="0" w:color="000000"/>
              <w:right w:val="single" w:sz="4" w:space="0" w:color="000000"/>
            </w:tcBorders>
          </w:tcPr>
          <w:p>
            <w:pPr/>
          </w:p>
        </w:tc>
      </w:tr>
      <w:tr>
        <w:trPr>
          <w:trHeight w:val="289" w:hRule="exact"/>
        </w:trPr>
        <w:tc>
          <w:tcPr>
            <w:tcW w:w="4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85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8"/>
                <w:szCs w:val="18"/>
              </w:rPr>
            </w:pPr>
            <w:r>
              <w:rPr>
                <w:rFonts w:ascii="Times New Roman"/>
                <w:spacing w:val="-1"/>
                <w:sz w:val="18"/>
              </w:rPr>
              <w:t>2,838,342,324.81</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8"/>
                <w:szCs w:val="18"/>
              </w:rPr>
            </w:pPr>
            <w:r>
              <w:rPr>
                <w:rFonts w:ascii="Times New Roman"/>
                <w:spacing w:val="-1"/>
                <w:sz w:val="18"/>
              </w:rPr>
              <w:t>755,846,429.56</w:t>
            </w:r>
          </w:p>
        </w:tc>
      </w:tr>
      <w:tr>
        <w:trPr>
          <w:trHeight w:val="290" w:hRule="exact"/>
        </w:trPr>
        <w:tc>
          <w:tcPr>
            <w:tcW w:w="4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85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759"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4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85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c>
          <w:tcPr>
            <w:tcW w:w="1759" w:type="dxa"/>
            <w:tcBorders>
              <w:top w:val="single" w:sz="4" w:space="0" w:color="000000"/>
              <w:left w:val="single" w:sz="4" w:space="0" w:color="000000"/>
              <w:bottom w:val="single" w:sz="4" w:space="0" w:color="000000"/>
              <w:right w:val="single" w:sz="4" w:space="0" w:color="000000"/>
            </w:tcBorders>
          </w:tcPr>
          <w:p>
            <w:pPr/>
          </w:p>
        </w:tc>
      </w:tr>
      <w:tr>
        <w:trPr>
          <w:trHeight w:val="289" w:hRule="exact"/>
        </w:trPr>
        <w:tc>
          <w:tcPr>
            <w:tcW w:w="4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85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8"/>
                <w:szCs w:val="18"/>
              </w:rPr>
            </w:pPr>
            <w:r>
              <w:rPr>
                <w:rFonts w:ascii="Times New Roman"/>
                <w:spacing w:val="-1"/>
                <w:sz w:val="18"/>
              </w:rPr>
              <w:t>2,838,342,324.81</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8"/>
                <w:szCs w:val="18"/>
              </w:rPr>
            </w:pPr>
            <w:r>
              <w:rPr>
                <w:rFonts w:ascii="Times New Roman"/>
                <w:spacing w:val="-1"/>
                <w:sz w:val="18"/>
              </w:rPr>
              <w:t>755,846,429.56</w:t>
            </w:r>
          </w:p>
        </w:tc>
      </w:tr>
      <w:tr>
        <w:trPr>
          <w:trHeight w:val="290" w:hRule="exact"/>
        </w:trPr>
        <w:tc>
          <w:tcPr>
            <w:tcW w:w="4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85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01"/>
              <w:jc w:val="right"/>
              <w:rPr>
                <w:rFonts w:ascii="Times New Roman" w:hAnsi="Times New Roman" w:cs="Times New Roman" w:eastAsia="Times New Roman" w:hint="default"/>
                <w:sz w:val="18"/>
                <w:szCs w:val="18"/>
              </w:rPr>
            </w:pPr>
            <w:r>
              <w:rPr>
                <w:rFonts w:ascii="Times New Roman"/>
                <w:spacing w:val="-1"/>
                <w:sz w:val="18"/>
              </w:rPr>
              <w:t>1,373,748,501.49</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01"/>
              <w:jc w:val="right"/>
              <w:rPr>
                <w:rFonts w:ascii="Times New Roman" w:hAnsi="Times New Roman" w:cs="Times New Roman" w:eastAsia="Times New Roman" w:hint="default"/>
                <w:sz w:val="18"/>
                <w:szCs w:val="18"/>
              </w:rPr>
            </w:pPr>
            <w:r>
              <w:rPr>
                <w:rFonts w:ascii="Times New Roman"/>
                <w:spacing w:val="-1"/>
                <w:sz w:val="18"/>
              </w:rPr>
              <w:t>450,000,000.00</w:t>
            </w:r>
          </w:p>
        </w:tc>
      </w:tr>
      <w:tr>
        <w:trPr>
          <w:trHeight w:val="290" w:hRule="exact"/>
        </w:trPr>
        <w:tc>
          <w:tcPr>
            <w:tcW w:w="4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sz w:val="18"/>
                <w:szCs w:val="18"/>
              </w:rPr>
              <w:t>分配股利、利润或偿付利息支付的现金</w:t>
            </w:r>
          </w:p>
        </w:tc>
        <w:tc>
          <w:tcPr>
            <w:tcW w:w="85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99"/>
              <w:jc w:val="right"/>
              <w:rPr>
                <w:rFonts w:ascii="Times New Roman" w:hAnsi="Times New Roman" w:cs="Times New Roman" w:eastAsia="Times New Roman" w:hint="default"/>
                <w:sz w:val="18"/>
                <w:szCs w:val="18"/>
              </w:rPr>
            </w:pPr>
            <w:r>
              <w:rPr>
                <w:rFonts w:ascii="Times New Roman"/>
                <w:spacing w:val="-1"/>
                <w:sz w:val="18"/>
              </w:rPr>
              <w:t>278,260,754.29</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8"/>
                <w:szCs w:val="18"/>
              </w:rPr>
            </w:pPr>
            <w:r>
              <w:rPr>
                <w:rFonts w:ascii="Times New Roman"/>
                <w:spacing w:val="-1"/>
                <w:sz w:val="18"/>
              </w:rPr>
              <w:t>71,875,047.56</w:t>
            </w:r>
          </w:p>
        </w:tc>
      </w:tr>
      <w:tr>
        <w:trPr>
          <w:trHeight w:val="289" w:hRule="exact"/>
        </w:trPr>
        <w:tc>
          <w:tcPr>
            <w:tcW w:w="4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85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0"/>
              <w:jc w:val="right"/>
              <w:rPr>
                <w:rFonts w:ascii="Times New Roman" w:hAnsi="Times New Roman" w:cs="Times New Roman" w:eastAsia="Times New Roman" w:hint="default"/>
                <w:sz w:val="18"/>
                <w:szCs w:val="18"/>
              </w:rPr>
            </w:pPr>
            <w:r>
              <w:rPr>
                <w:rFonts w:ascii="Times New Roman"/>
                <w:spacing w:val="-1"/>
                <w:sz w:val="18"/>
              </w:rPr>
              <w:t>112,000,000.00</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8"/>
                <w:szCs w:val="18"/>
              </w:rPr>
            </w:pPr>
            <w:r>
              <w:rPr>
                <w:rFonts w:ascii="Times New Roman"/>
                <w:sz w:val="18"/>
              </w:rPr>
              <w:t>124,309.98</w:t>
            </w:r>
          </w:p>
        </w:tc>
      </w:tr>
      <w:tr>
        <w:trPr>
          <w:trHeight w:val="290" w:hRule="exact"/>
        </w:trPr>
        <w:tc>
          <w:tcPr>
            <w:tcW w:w="4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85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01"/>
              <w:jc w:val="right"/>
              <w:rPr>
                <w:rFonts w:ascii="Times New Roman" w:hAnsi="Times New Roman" w:cs="Times New Roman" w:eastAsia="Times New Roman" w:hint="default"/>
                <w:sz w:val="18"/>
                <w:szCs w:val="18"/>
              </w:rPr>
            </w:pPr>
            <w:r>
              <w:rPr>
                <w:rFonts w:ascii="Times New Roman"/>
                <w:spacing w:val="-1"/>
                <w:sz w:val="18"/>
              </w:rPr>
              <w:t>1,764,009,255.78</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01"/>
              <w:jc w:val="right"/>
              <w:rPr>
                <w:rFonts w:ascii="Times New Roman" w:hAnsi="Times New Roman" w:cs="Times New Roman" w:eastAsia="Times New Roman" w:hint="default"/>
                <w:sz w:val="18"/>
                <w:szCs w:val="18"/>
              </w:rPr>
            </w:pPr>
            <w:r>
              <w:rPr>
                <w:rFonts w:ascii="Times New Roman"/>
                <w:spacing w:val="-1"/>
                <w:sz w:val="18"/>
              </w:rPr>
              <w:t>521,999,357.54</w:t>
            </w:r>
          </w:p>
        </w:tc>
      </w:tr>
      <w:tr>
        <w:trPr>
          <w:trHeight w:val="290" w:hRule="exact"/>
        </w:trPr>
        <w:tc>
          <w:tcPr>
            <w:tcW w:w="4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b/>
                <w:bCs/>
                <w:sz w:val="18"/>
                <w:szCs w:val="18"/>
              </w:rPr>
              <w:t>筹资活动产生的现金流量净额</w:t>
            </w:r>
            <w:r>
              <w:rPr>
                <w:rFonts w:ascii="宋体" w:hAnsi="宋体" w:cs="宋体" w:eastAsia="宋体" w:hint="default"/>
                <w:sz w:val="18"/>
                <w:szCs w:val="18"/>
              </w:rPr>
            </w:r>
          </w:p>
        </w:tc>
        <w:tc>
          <w:tcPr>
            <w:tcW w:w="85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8"/>
                <w:szCs w:val="18"/>
              </w:rPr>
            </w:pPr>
            <w:r>
              <w:rPr>
                <w:rFonts w:ascii="Times New Roman"/>
                <w:spacing w:val="-1"/>
                <w:sz w:val="18"/>
              </w:rPr>
              <w:t>1,074,333,069.03</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8"/>
                <w:szCs w:val="18"/>
              </w:rPr>
            </w:pPr>
            <w:r>
              <w:rPr>
                <w:rFonts w:ascii="Times New Roman"/>
                <w:spacing w:val="-1"/>
                <w:sz w:val="18"/>
              </w:rPr>
              <w:t>233,847,072.02</w:t>
            </w:r>
          </w:p>
        </w:tc>
      </w:tr>
      <w:tr>
        <w:trPr>
          <w:trHeight w:val="289" w:hRule="exact"/>
        </w:trPr>
        <w:tc>
          <w:tcPr>
            <w:tcW w:w="4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b/>
                <w:bCs/>
                <w:sz w:val="18"/>
                <w:szCs w:val="18"/>
              </w:rPr>
              <w:t>四、汇率变动对现金及现金等价物的影响</w:t>
            </w:r>
            <w:r>
              <w:rPr>
                <w:rFonts w:ascii="宋体" w:hAnsi="宋体" w:cs="宋体" w:eastAsia="宋体" w:hint="default"/>
                <w:sz w:val="18"/>
                <w:szCs w:val="18"/>
              </w:rPr>
            </w:r>
          </w:p>
        </w:tc>
        <w:tc>
          <w:tcPr>
            <w:tcW w:w="85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99"/>
              <w:jc w:val="right"/>
              <w:rPr>
                <w:rFonts w:ascii="Times New Roman" w:hAnsi="Times New Roman" w:cs="Times New Roman" w:eastAsia="Times New Roman" w:hint="default"/>
                <w:sz w:val="18"/>
                <w:szCs w:val="18"/>
              </w:rPr>
            </w:pPr>
            <w:r>
              <w:rPr>
                <w:rFonts w:ascii="Times New Roman"/>
                <w:spacing w:val="-1"/>
                <w:sz w:val="18"/>
              </w:rPr>
              <w:t>-1,184,088.83</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8"/>
                <w:szCs w:val="18"/>
              </w:rPr>
            </w:pPr>
            <w:r>
              <w:rPr>
                <w:rFonts w:ascii="Times New Roman"/>
                <w:spacing w:val="-1"/>
                <w:sz w:val="18"/>
              </w:rPr>
              <w:t>1,665,371.99</w:t>
            </w:r>
          </w:p>
        </w:tc>
      </w:tr>
      <w:tr>
        <w:trPr>
          <w:trHeight w:val="290" w:hRule="exact"/>
        </w:trPr>
        <w:tc>
          <w:tcPr>
            <w:tcW w:w="4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b/>
                <w:bCs/>
                <w:sz w:val="18"/>
                <w:szCs w:val="18"/>
              </w:rPr>
              <w:t>五、现金及现金等价物净增加额</w:t>
            </w:r>
            <w:r>
              <w:rPr>
                <w:rFonts w:ascii="宋体" w:hAnsi="宋体" w:cs="宋体" w:eastAsia="宋体" w:hint="default"/>
                <w:sz w:val="18"/>
                <w:szCs w:val="18"/>
              </w:rPr>
            </w:r>
          </w:p>
        </w:tc>
        <w:tc>
          <w:tcPr>
            <w:tcW w:w="85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99"/>
              <w:jc w:val="right"/>
              <w:rPr>
                <w:rFonts w:ascii="Times New Roman" w:hAnsi="Times New Roman" w:cs="Times New Roman" w:eastAsia="Times New Roman" w:hint="default"/>
                <w:sz w:val="18"/>
                <w:szCs w:val="18"/>
              </w:rPr>
            </w:pPr>
            <w:r>
              <w:rPr>
                <w:rFonts w:ascii="Times New Roman"/>
                <w:spacing w:val="-1"/>
                <w:sz w:val="18"/>
              </w:rPr>
              <w:t>320,174,846.73</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101"/>
              <w:jc w:val="right"/>
              <w:rPr>
                <w:rFonts w:ascii="Times New Roman" w:hAnsi="Times New Roman" w:cs="Times New Roman" w:eastAsia="Times New Roman" w:hint="default"/>
                <w:sz w:val="18"/>
                <w:szCs w:val="18"/>
              </w:rPr>
            </w:pPr>
            <w:r>
              <w:rPr>
                <w:rFonts w:ascii="Times New Roman"/>
                <w:spacing w:val="-1"/>
                <w:sz w:val="18"/>
              </w:rPr>
              <w:t>358,706,507.33</w:t>
            </w:r>
          </w:p>
        </w:tc>
      </w:tr>
      <w:tr>
        <w:trPr>
          <w:trHeight w:val="290" w:hRule="exact"/>
        </w:trPr>
        <w:tc>
          <w:tcPr>
            <w:tcW w:w="4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85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99"/>
              <w:jc w:val="right"/>
              <w:rPr>
                <w:rFonts w:ascii="Times New Roman" w:hAnsi="Times New Roman" w:cs="Times New Roman" w:eastAsia="Times New Roman" w:hint="default"/>
                <w:sz w:val="18"/>
                <w:szCs w:val="18"/>
              </w:rPr>
            </w:pPr>
            <w:r>
              <w:rPr>
                <w:rFonts w:ascii="Times New Roman"/>
                <w:spacing w:val="-1"/>
                <w:sz w:val="18"/>
              </w:rPr>
              <w:t>572,386,667.52</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8"/>
                <w:szCs w:val="18"/>
              </w:rPr>
            </w:pPr>
            <w:r>
              <w:rPr>
                <w:rFonts w:ascii="Times New Roman"/>
                <w:spacing w:val="-1"/>
                <w:sz w:val="18"/>
              </w:rPr>
              <w:t>213,680,160.19</w:t>
            </w:r>
          </w:p>
        </w:tc>
      </w:tr>
      <w:tr>
        <w:trPr>
          <w:trHeight w:val="290" w:hRule="exact"/>
        </w:trPr>
        <w:tc>
          <w:tcPr>
            <w:tcW w:w="4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18"/>
                <w:szCs w:val="18"/>
              </w:rPr>
            </w:pPr>
            <w:r>
              <w:rPr>
                <w:rFonts w:ascii="宋体" w:hAnsi="宋体" w:cs="宋体" w:eastAsia="宋体" w:hint="default"/>
                <w:b/>
                <w:bCs/>
                <w:sz w:val="18"/>
                <w:szCs w:val="18"/>
              </w:rPr>
              <w:t>六、期末现金及现金等价物余额</w:t>
            </w:r>
            <w:r>
              <w:rPr>
                <w:rFonts w:ascii="宋体" w:hAnsi="宋体" w:cs="宋体" w:eastAsia="宋体" w:hint="default"/>
                <w:sz w:val="18"/>
                <w:szCs w:val="18"/>
              </w:rPr>
            </w:r>
          </w:p>
        </w:tc>
        <w:tc>
          <w:tcPr>
            <w:tcW w:w="85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99"/>
              <w:jc w:val="right"/>
              <w:rPr>
                <w:rFonts w:ascii="Times New Roman" w:hAnsi="Times New Roman" w:cs="Times New Roman" w:eastAsia="Times New Roman" w:hint="default"/>
                <w:sz w:val="18"/>
                <w:szCs w:val="18"/>
              </w:rPr>
            </w:pPr>
            <w:r>
              <w:rPr>
                <w:rFonts w:ascii="Times New Roman"/>
                <w:spacing w:val="-1"/>
                <w:sz w:val="18"/>
              </w:rPr>
              <w:t>892,561,514.25</w:t>
            </w:r>
          </w:p>
        </w:tc>
        <w:tc>
          <w:tcPr>
            <w:tcW w:w="1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18"/>
                <w:szCs w:val="18"/>
              </w:rPr>
            </w:pPr>
            <w:r>
              <w:rPr>
                <w:rFonts w:ascii="Times New Roman"/>
                <w:spacing w:val="-1"/>
                <w:sz w:val="18"/>
              </w:rPr>
              <w:t>572,386,667.52</w:t>
            </w:r>
          </w:p>
        </w:tc>
      </w:tr>
    </w:tbl>
    <w:p>
      <w:pPr>
        <w:spacing w:before="91"/>
        <w:ind w:left="217"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tabs>
          <w:tab w:pos="2453" w:val="left" w:leader="none"/>
          <w:tab w:pos="3968" w:val="left" w:leader="none"/>
          <w:tab w:pos="6564" w:val="left" w:leader="none"/>
        </w:tabs>
        <w:spacing w:before="82"/>
        <w:ind w:left="217" w:right="0" w:firstLine="0"/>
        <w:jc w:val="left"/>
        <w:rPr>
          <w:rFonts w:ascii="宋体" w:hAnsi="宋体" w:cs="宋体" w:eastAsia="宋体" w:hint="default"/>
          <w:sz w:val="18"/>
          <w:szCs w:val="18"/>
        </w:rPr>
      </w:pPr>
      <w:r>
        <w:rPr>
          <w:rFonts w:ascii="宋体" w:hAnsi="宋体" w:cs="宋体" w:eastAsia="宋体" w:hint="default"/>
          <w:spacing w:val="-2"/>
          <w:sz w:val="18"/>
          <w:szCs w:val="18"/>
        </w:rPr>
        <w:t>企业法定代表人：宋黎定</w:t>
        <w:tab/>
      </w:r>
      <w:r>
        <w:rPr>
          <w:rFonts w:ascii="宋体" w:hAnsi="宋体" w:cs="宋体" w:eastAsia="宋体" w:hint="default"/>
          <w:spacing w:val="-3"/>
          <w:sz w:val="18"/>
          <w:szCs w:val="18"/>
        </w:rPr>
        <w:t>公司总裁：徐刚</w:t>
        <w:tab/>
      </w:r>
      <w:r>
        <w:rPr>
          <w:rFonts w:ascii="宋体" w:hAnsi="宋体" w:cs="宋体" w:eastAsia="宋体" w:hint="default"/>
          <w:spacing w:val="-2"/>
          <w:sz w:val="18"/>
          <w:szCs w:val="18"/>
        </w:rPr>
        <w:t>主管会计工作负责人：刘文彬</w:t>
        <w:tab/>
        <w:t>会计机构负责人：许少霞</w:t>
      </w:r>
    </w:p>
    <w:p>
      <w:pPr>
        <w:spacing w:after="0"/>
        <w:jc w:val="left"/>
        <w:rPr>
          <w:rFonts w:ascii="宋体" w:hAnsi="宋体" w:cs="宋体" w:eastAsia="宋体" w:hint="default"/>
          <w:sz w:val="18"/>
          <w:szCs w:val="18"/>
        </w:rPr>
        <w:sectPr>
          <w:pgSz w:w="11910" w:h="16840"/>
          <w:pgMar w:header="969" w:footer="784" w:top="1160" w:bottom="980" w:left="1580" w:right="0"/>
        </w:sectPr>
      </w:pPr>
    </w:p>
    <w:p>
      <w:pPr>
        <w:spacing w:before="31"/>
        <w:ind w:left="6121" w:right="6240" w:firstLine="0"/>
        <w:jc w:val="center"/>
        <w:rPr>
          <w:rFonts w:ascii="宋体" w:hAnsi="宋体" w:cs="宋体" w:eastAsia="宋体" w:hint="default"/>
          <w:sz w:val="18"/>
          <w:szCs w:val="18"/>
        </w:rPr>
      </w:pPr>
      <w:r>
        <w:rPr>
          <w:rFonts w:ascii="宋体" w:hAnsi="宋体" w:cs="宋体" w:eastAsia="宋体" w:hint="default"/>
          <w:b/>
          <w:bCs/>
          <w:sz w:val="18"/>
          <w:szCs w:val="18"/>
        </w:rPr>
        <w:t>合并股东权益变动表</w:t>
      </w:r>
      <w:r>
        <w:rPr>
          <w:rFonts w:ascii="宋体" w:hAnsi="宋体" w:cs="宋体" w:eastAsia="宋体" w:hint="default"/>
          <w:sz w:val="18"/>
          <w:szCs w:val="18"/>
        </w:rPr>
      </w:r>
    </w:p>
    <w:p>
      <w:pPr>
        <w:spacing w:before="38"/>
        <w:ind w:left="6121" w:right="6240" w:firstLine="0"/>
        <w:jc w:val="center"/>
        <w:rPr>
          <w:rFonts w:ascii="宋体" w:hAnsi="宋体" w:cs="宋体" w:eastAsia="宋体" w:hint="default"/>
          <w:sz w:val="18"/>
          <w:szCs w:val="18"/>
        </w:rPr>
      </w:pPr>
      <w:r>
        <w:rPr>
          <w:rFonts w:ascii="Times New Roman" w:hAnsi="Times New Roman" w:cs="Times New Roman" w:eastAsia="Times New Roman" w:hint="default"/>
          <w:b/>
          <w:bCs/>
          <w:sz w:val="18"/>
          <w:szCs w:val="18"/>
        </w:rPr>
        <w:t>2018 </w:t>
      </w:r>
      <w:r>
        <w:rPr>
          <w:rFonts w:ascii="宋体" w:hAnsi="宋体" w:cs="宋体" w:eastAsia="宋体" w:hint="default"/>
          <w:b/>
          <w:bCs/>
          <w:sz w:val="18"/>
          <w:szCs w:val="18"/>
        </w:rPr>
        <w:t>年度</w:t>
      </w:r>
      <w:r>
        <w:rPr>
          <w:rFonts w:ascii="宋体" w:hAnsi="宋体" w:cs="宋体" w:eastAsia="宋体" w:hint="default"/>
          <w:sz w:val="18"/>
          <w:szCs w:val="18"/>
        </w:rPr>
      </w:r>
    </w:p>
    <w:p>
      <w:pPr>
        <w:spacing w:before="24"/>
        <w:ind w:left="6121" w:right="6244" w:firstLine="0"/>
        <w:jc w:val="center"/>
        <w:rPr>
          <w:rFonts w:ascii="宋体" w:hAnsi="宋体" w:cs="宋体" w:eastAsia="宋体" w:hint="default"/>
          <w:sz w:val="18"/>
          <w:szCs w:val="18"/>
        </w:rPr>
      </w:pPr>
      <w:r>
        <w:rPr>
          <w:rFonts w:ascii="宋体" w:hAnsi="宋体" w:cs="宋体" w:eastAsia="宋体" w:hint="default"/>
          <w:b/>
          <w:bCs/>
          <w:sz w:val="18"/>
          <w:szCs w:val="18"/>
        </w:rPr>
        <w:t>（除特别注明外，金额单位均为人民币元）</w:t>
      </w:r>
      <w:r>
        <w:rPr>
          <w:rFonts w:ascii="宋体" w:hAnsi="宋体" w:cs="宋体" w:eastAsia="宋体" w:hint="default"/>
          <w:sz w:val="18"/>
          <w:szCs w:val="18"/>
        </w:rPr>
      </w:r>
    </w:p>
    <w:p>
      <w:pPr>
        <w:spacing w:line="240" w:lineRule="auto" w:before="0"/>
        <w:rPr>
          <w:rFonts w:ascii="宋体" w:hAnsi="宋体" w:cs="宋体" w:eastAsia="宋体" w:hint="default"/>
          <w:b/>
          <w:bCs/>
          <w:sz w:val="14"/>
          <w:szCs w:val="14"/>
        </w:rPr>
      </w:pPr>
    </w:p>
    <w:tbl>
      <w:tblPr>
        <w:tblW w:w="0" w:type="auto"/>
        <w:jc w:val="left"/>
        <w:tblInd w:w="114" w:type="dxa"/>
        <w:tblLayout w:type="fixed"/>
        <w:tblCellMar>
          <w:top w:w="0" w:type="dxa"/>
          <w:left w:w="0" w:type="dxa"/>
          <w:bottom w:w="0" w:type="dxa"/>
          <w:right w:w="0" w:type="dxa"/>
        </w:tblCellMar>
        <w:tblLook w:val="01E0"/>
      </w:tblPr>
      <w:tblGrid>
        <w:gridCol w:w="2551"/>
        <w:gridCol w:w="1134"/>
        <w:gridCol w:w="709"/>
        <w:gridCol w:w="709"/>
        <w:gridCol w:w="566"/>
        <w:gridCol w:w="1134"/>
        <w:gridCol w:w="991"/>
        <w:gridCol w:w="1277"/>
        <w:gridCol w:w="992"/>
        <w:gridCol w:w="1134"/>
        <w:gridCol w:w="709"/>
        <w:gridCol w:w="1134"/>
        <w:gridCol w:w="1134"/>
        <w:gridCol w:w="1417"/>
      </w:tblGrid>
      <w:tr>
        <w:trPr>
          <w:trHeight w:val="210" w:hRule="exact"/>
        </w:trPr>
        <w:tc>
          <w:tcPr>
            <w:tcW w:w="255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3"/>
                <w:szCs w:val="13"/>
              </w:rPr>
            </w:pPr>
            <w:r>
              <w:rPr>
                <w:rFonts w:ascii="宋体" w:hAnsi="宋体" w:cs="宋体" w:eastAsia="宋体" w:hint="default"/>
                <w:sz w:val="13"/>
                <w:szCs w:val="13"/>
              </w:rPr>
              <w:t>项目</w:t>
            </w:r>
          </w:p>
        </w:tc>
        <w:tc>
          <w:tcPr>
            <w:tcW w:w="13042" w:type="dxa"/>
            <w:gridSpan w:val="13"/>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center"/>
              <w:rPr>
                <w:rFonts w:ascii="宋体" w:hAnsi="宋体" w:cs="宋体" w:eastAsia="宋体" w:hint="default"/>
                <w:sz w:val="13"/>
                <w:szCs w:val="13"/>
              </w:rPr>
            </w:pPr>
            <w:r>
              <w:rPr>
                <w:rFonts w:ascii="宋体" w:hAnsi="宋体" w:cs="宋体" w:eastAsia="宋体" w:hint="default"/>
                <w:sz w:val="13"/>
                <w:szCs w:val="13"/>
              </w:rPr>
              <w:t>本期</w:t>
            </w:r>
          </w:p>
        </w:tc>
      </w:tr>
      <w:tr>
        <w:trPr>
          <w:trHeight w:val="210" w:hRule="exact"/>
        </w:trPr>
        <w:tc>
          <w:tcPr>
            <w:tcW w:w="2551" w:type="dxa"/>
            <w:vMerge/>
            <w:tcBorders>
              <w:left w:val="single" w:sz="4" w:space="0" w:color="000000"/>
              <w:right w:val="single" w:sz="4" w:space="0" w:color="000000"/>
            </w:tcBorders>
          </w:tcPr>
          <w:p>
            <w:pPr/>
          </w:p>
        </w:tc>
        <w:tc>
          <w:tcPr>
            <w:tcW w:w="10490" w:type="dxa"/>
            <w:gridSpan w:val="11"/>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
              <w:jc w:val="center"/>
              <w:rPr>
                <w:rFonts w:ascii="宋体" w:hAnsi="宋体" w:cs="宋体" w:eastAsia="宋体" w:hint="default"/>
                <w:sz w:val="13"/>
                <w:szCs w:val="13"/>
              </w:rPr>
            </w:pPr>
            <w:r>
              <w:rPr>
                <w:rFonts w:ascii="宋体" w:hAnsi="宋体" w:cs="宋体" w:eastAsia="宋体" w:hint="default"/>
                <w:sz w:val="13"/>
                <w:szCs w:val="13"/>
              </w:rPr>
              <w:t>归属于母公司所有者权益</w:t>
            </w:r>
          </w:p>
        </w:tc>
        <w:tc>
          <w:tcPr>
            <w:tcW w:w="1134"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6"/>
                <w:szCs w:val="16"/>
              </w:rPr>
            </w:pPr>
          </w:p>
          <w:p>
            <w:pPr>
              <w:pStyle w:val="TableParagraph"/>
              <w:spacing w:line="240" w:lineRule="auto"/>
              <w:ind w:left="171" w:right="0"/>
              <w:jc w:val="left"/>
              <w:rPr>
                <w:rFonts w:ascii="宋体" w:hAnsi="宋体" w:cs="宋体" w:eastAsia="宋体" w:hint="default"/>
                <w:sz w:val="13"/>
                <w:szCs w:val="13"/>
              </w:rPr>
            </w:pPr>
            <w:r>
              <w:rPr>
                <w:rFonts w:ascii="宋体" w:hAnsi="宋体" w:cs="宋体" w:eastAsia="宋体" w:hint="default"/>
                <w:sz w:val="13"/>
                <w:szCs w:val="13"/>
              </w:rPr>
              <w:t>少数股东权益</w:t>
            </w:r>
          </w:p>
        </w:tc>
        <w:tc>
          <w:tcPr>
            <w:tcW w:w="1417"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6"/>
                <w:szCs w:val="16"/>
              </w:rPr>
            </w:pPr>
          </w:p>
          <w:p>
            <w:pPr>
              <w:pStyle w:val="TableParagraph"/>
              <w:spacing w:line="240" w:lineRule="auto"/>
              <w:ind w:left="248" w:right="0"/>
              <w:jc w:val="left"/>
              <w:rPr>
                <w:rFonts w:ascii="宋体" w:hAnsi="宋体" w:cs="宋体" w:eastAsia="宋体" w:hint="default"/>
                <w:sz w:val="13"/>
                <w:szCs w:val="13"/>
              </w:rPr>
            </w:pPr>
            <w:r>
              <w:rPr>
                <w:rFonts w:ascii="宋体" w:hAnsi="宋体" w:cs="宋体" w:eastAsia="宋体" w:hint="default"/>
                <w:sz w:val="13"/>
                <w:szCs w:val="13"/>
              </w:rPr>
              <w:t>所有者权益合计</w:t>
            </w:r>
          </w:p>
        </w:tc>
      </w:tr>
      <w:tr>
        <w:trPr>
          <w:trHeight w:val="210" w:hRule="exact"/>
        </w:trPr>
        <w:tc>
          <w:tcPr>
            <w:tcW w:w="2551" w:type="dxa"/>
            <w:vMerge/>
            <w:tcBorders>
              <w:left w:val="single" w:sz="4" w:space="0" w:color="000000"/>
              <w:right w:val="single" w:sz="4" w:space="0" w:color="000000"/>
            </w:tcBorders>
          </w:tcPr>
          <w:p>
            <w:pPr/>
          </w:p>
        </w:tc>
        <w:tc>
          <w:tcPr>
            <w:tcW w:w="1134"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8"/>
                <w:szCs w:val="8"/>
              </w:rPr>
            </w:pPr>
          </w:p>
          <w:p>
            <w:pPr>
              <w:pStyle w:val="TableParagraph"/>
              <w:spacing w:line="240" w:lineRule="auto"/>
              <w:ind w:right="1"/>
              <w:jc w:val="center"/>
              <w:rPr>
                <w:rFonts w:ascii="宋体" w:hAnsi="宋体" w:cs="宋体" w:eastAsia="宋体" w:hint="default"/>
                <w:sz w:val="13"/>
                <w:szCs w:val="13"/>
              </w:rPr>
            </w:pPr>
            <w:r>
              <w:rPr>
                <w:rFonts w:ascii="宋体" w:hAnsi="宋体" w:cs="宋体" w:eastAsia="宋体" w:hint="default"/>
                <w:sz w:val="13"/>
                <w:szCs w:val="13"/>
              </w:rPr>
              <w:t>股本</w:t>
            </w:r>
          </w:p>
        </w:tc>
        <w:tc>
          <w:tcPr>
            <w:tcW w:w="19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597" w:right="0"/>
              <w:jc w:val="left"/>
              <w:rPr>
                <w:rFonts w:ascii="宋体" w:hAnsi="宋体" w:cs="宋体" w:eastAsia="宋体" w:hint="default"/>
                <w:sz w:val="13"/>
                <w:szCs w:val="13"/>
              </w:rPr>
            </w:pPr>
            <w:r>
              <w:rPr>
                <w:rFonts w:ascii="宋体" w:hAnsi="宋体" w:cs="宋体" w:eastAsia="宋体" w:hint="default"/>
                <w:sz w:val="13"/>
                <w:szCs w:val="13"/>
              </w:rPr>
              <w:t>其他权益工具</w:t>
            </w:r>
          </w:p>
        </w:tc>
        <w:tc>
          <w:tcPr>
            <w:tcW w:w="1134"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8"/>
                <w:szCs w:val="8"/>
              </w:rPr>
            </w:pPr>
          </w:p>
          <w:p>
            <w:pPr>
              <w:pStyle w:val="TableParagraph"/>
              <w:spacing w:line="240" w:lineRule="auto"/>
              <w:ind w:left="303" w:right="0"/>
              <w:jc w:val="left"/>
              <w:rPr>
                <w:rFonts w:ascii="宋体" w:hAnsi="宋体" w:cs="宋体" w:eastAsia="宋体" w:hint="default"/>
                <w:sz w:val="13"/>
                <w:szCs w:val="13"/>
              </w:rPr>
            </w:pPr>
            <w:r>
              <w:rPr>
                <w:rFonts w:ascii="宋体" w:hAnsi="宋体" w:cs="宋体" w:eastAsia="宋体" w:hint="default"/>
                <w:sz w:val="13"/>
                <w:szCs w:val="13"/>
              </w:rPr>
              <w:t>资本公积</w:t>
            </w:r>
          </w:p>
        </w:tc>
        <w:tc>
          <w:tcPr>
            <w:tcW w:w="991"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8"/>
                <w:szCs w:val="8"/>
              </w:rPr>
            </w:pPr>
          </w:p>
          <w:p>
            <w:pPr>
              <w:pStyle w:val="TableParagraph"/>
              <w:spacing w:line="240" w:lineRule="auto"/>
              <w:ind w:left="166" w:right="0"/>
              <w:jc w:val="left"/>
              <w:rPr>
                <w:rFonts w:ascii="宋体" w:hAnsi="宋体" w:cs="宋体" w:eastAsia="宋体" w:hint="default"/>
                <w:sz w:val="13"/>
                <w:szCs w:val="13"/>
              </w:rPr>
            </w:pPr>
            <w:r>
              <w:rPr>
                <w:rFonts w:ascii="宋体" w:hAnsi="宋体" w:cs="宋体" w:eastAsia="宋体" w:hint="default"/>
                <w:sz w:val="13"/>
                <w:szCs w:val="13"/>
              </w:rPr>
              <w:t>减：库存股</w:t>
            </w:r>
          </w:p>
        </w:tc>
        <w:tc>
          <w:tcPr>
            <w:tcW w:w="1277"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8"/>
                <w:szCs w:val="8"/>
              </w:rPr>
            </w:pPr>
          </w:p>
          <w:p>
            <w:pPr>
              <w:pStyle w:val="TableParagraph"/>
              <w:spacing w:line="240" w:lineRule="auto"/>
              <w:ind w:left="243" w:right="0"/>
              <w:jc w:val="left"/>
              <w:rPr>
                <w:rFonts w:ascii="宋体" w:hAnsi="宋体" w:cs="宋体" w:eastAsia="宋体" w:hint="default"/>
                <w:sz w:val="13"/>
                <w:szCs w:val="13"/>
              </w:rPr>
            </w:pPr>
            <w:r>
              <w:rPr>
                <w:rFonts w:ascii="宋体" w:hAnsi="宋体" w:cs="宋体" w:eastAsia="宋体" w:hint="default"/>
                <w:sz w:val="13"/>
                <w:szCs w:val="13"/>
              </w:rPr>
              <w:t>其他综合收益</w:t>
            </w:r>
          </w:p>
        </w:tc>
        <w:tc>
          <w:tcPr>
            <w:tcW w:w="992"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8"/>
                <w:szCs w:val="8"/>
              </w:rPr>
            </w:pPr>
          </w:p>
          <w:p>
            <w:pPr>
              <w:pStyle w:val="TableParagraph"/>
              <w:spacing w:line="240" w:lineRule="auto"/>
              <w:ind w:left="232" w:right="0"/>
              <w:jc w:val="left"/>
              <w:rPr>
                <w:rFonts w:ascii="宋体" w:hAnsi="宋体" w:cs="宋体" w:eastAsia="宋体" w:hint="default"/>
                <w:sz w:val="13"/>
                <w:szCs w:val="13"/>
              </w:rPr>
            </w:pPr>
            <w:r>
              <w:rPr>
                <w:rFonts w:ascii="宋体" w:hAnsi="宋体" w:cs="宋体" w:eastAsia="宋体" w:hint="default"/>
                <w:sz w:val="13"/>
                <w:szCs w:val="13"/>
              </w:rPr>
              <w:t>专项储备</w:t>
            </w:r>
          </w:p>
        </w:tc>
        <w:tc>
          <w:tcPr>
            <w:tcW w:w="1134"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8"/>
                <w:szCs w:val="8"/>
              </w:rPr>
            </w:pPr>
          </w:p>
          <w:p>
            <w:pPr>
              <w:pStyle w:val="TableParagraph"/>
              <w:spacing w:line="240" w:lineRule="auto"/>
              <w:ind w:left="302" w:right="0"/>
              <w:jc w:val="left"/>
              <w:rPr>
                <w:rFonts w:ascii="宋体" w:hAnsi="宋体" w:cs="宋体" w:eastAsia="宋体" w:hint="default"/>
                <w:sz w:val="13"/>
                <w:szCs w:val="13"/>
              </w:rPr>
            </w:pPr>
            <w:r>
              <w:rPr>
                <w:rFonts w:ascii="宋体" w:hAnsi="宋体" w:cs="宋体" w:eastAsia="宋体" w:hint="default"/>
                <w:sz w:val="13"/>
                <w:szCs w:val="13"/>
              </w:rPr>
              <w:t>盈余公积</w:t>
            </w:r>
          </w:p>
        </w:tc>
        <w:tc>
          <w:tcPr>
            <w:tcW w:w="709" w:type="dxa"/>
            <w:vMerge w:val="restart"/>
            <w:tcBorders>
              <w:top w:val="single" w:sz="4" w:space="0" w:color="000000"/>
              <w:left w:val="single" w:sz="4" w:space="0" w:color="000000"/>
              <w:right w:val="single" w:sz="4" w:space="0" w:color="000000"/>
            </w:tcBorders>
          </w:tcPr>
          <w:p>
            <w:pPr>
              <w:pStyle w:val="TableParagraph"/>
              <w:spacing w:line="280" w:lineRule="auto" w:before="13"/>
              <w:ind w:left="154" w:right="155"/>
              <w:jc w:val="left"/>
              <w:rPr>
                <w:rFonts w:ascii="宋体" w:hAnsi="宋体" w:cs="宋体" w:eastAsia="宋体" w:hint="default"/>
                <w:sz w:val="13"/>
                <w:szCs w:val="13"/>
              </w:rPr>
            </w:pPr>
            <w:r>
              <w:rPr>
                <w:rFonts w:ascii="宋体" w:hAnsi="宋体" w:cs="宋体" w:eastAsia="宋体" w:hint="default"/>
                <w:sz w:val="13"/>
                <w:szCs w:val="13"/>
              </w:rPr>
              <w:t>一般风</w:t>
            </w:r>
            <w:r>
              <w:rPr>
                <w:rFonts w:ascii="宋体" w:hAnsi="宋体" w:cs="宋体" w:eastAsia="宋体" w:hint="default"/>
                <w:w w:val="99"/>
                <w:sz w:val="13"/>
                <w:szCs w:val="13"/>
              </w:rPr>
              <w:t> </w:t>
            </w:r>
            <w:r>
              <w:rPr>
                <w:rFonts w:ascii="宋体" w:hAnsi="宋体" w:cs="宋体" w:eastAsia="宋体" w:hint="default"/>
                <w:sz w:val="13"/>
                <w:szCs w:val="13"/>
              </w:rPr>
              <w:t>险准备</w:t>
            </w:r>
          </w:p>
        </w:tc>
        <w:tc>
          <w:tcPr>
            <w:tcW w:w="1134"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8"/>
                <w:szCs w:val="8"/>
              </w:rPr>
            </w:pPr>
          </w:p>
          <w:p>
            <w:pPr>
              <w:pStyle w:val="TableParagraph"/>
              <w:spacing w:line="240" w:lineRule="auto"/>
              <w:ind w:left="236" w:right="0"/>
              <w:jc w:val="left"/>
              <w:rPr>
                <w:rFonts w:ascii="宋体" w:hAnsi="宋体" w:cs="宋体" w:eastAsia="宋体" w:hint="default"/>
                <w:sz w:val="13"/>
                <w:szCs w:val="13"/>
              </w:rPr>
            </w:pPr>
            <w:r>
              <w:rPr>
                <w:rFonts w:ascii="宋体" w:hAnsi="宋体" w:cs="宋体" w:eastAsia="宋体" w:hint="default"/>
                <w:sz w:val="13"/>
                <w:szCs w:val="13"/>
              </w:rPr>
              <w:t>未分配利润</w:t>
            </w:r>
          </w:p>
        </w:tc>
        <w:tc>
          <w:tcPr>
            <w:tcW w:w="1134" w:type="dxa"/>
            <w:vMerge/>
            <w:tcBorders>
              <w:left w:val="single" w:sz="4" w:space="0" w:color="000000"/>
              <w:right w:val="single" w:sz="4" w:space="0" w:color="000000"/>
            </w:tcBorders>
          </w:tcPr>
          <w:p>
            <w:pPr/>
          </w:p>
        </w:tc>
        <w:tc>
          <w:tcPr>
            <w:tcW w:w="1417" w:type="dxa"/>
            <w:vMerge/>
            <w:tcBorders>
              <w:left w:val="single" w:sz="4" w:space="0" w:color="000000"/>
              <w:right w:val="single" w:sz="4" w:space="0" w:color="000000"/>
            </w:tcBorders>
          </w:tcPr>
          <w:p>
            <w:pPr/>
          </w:p>
        </w:tc>
      </w:tr>
      <w:tr>
        <w:trPr>
          <w:trHeight w:val="210" w:hRule="exact"/>
        </w:trPr>
        <w:tc>
          <w:tcPr>
            <w:tcW w:w="2551"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54" w:right="0"/>
              <w:jc w:val="left"/>
              <w:rPr>
                <w:rFonts w:ascii="宋体" w:hAnsi="宋体" w:cs="宋体" w:eastAsia="宋体" w:hint="default"/>
                <w:sz w:val="13"/>
                <w:szCs w:val="13"/>
              </w:rPr>
            </w:pPr>
            <w:r>
              <w:rPr>
                <w:rFonts w:ascii="宋体" w:hAnsi="宋体" w:cs="宋体" w:eastAsia="宋体" w:hint="default"/>
                <w:sz w:val="13"/>
                <w:szCs w:val="13"/>
              </w:rPr>
              <w:t>优先股</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54" w:right="0"/>
              <w:jc w:val="left"/>
              <w:rPr>
                <w:rFonts w:ascii="宋体" w:hAnsi="宋体" w:cs="宋体" w:eastAsia="宋体" w:hint="default"/>
                <w:sz w:val="13"/>
                <w:szCs w:val="13"/>
              </w:rPr>
            </w:pPr>
            <w:r>
              <w:rPr>
                <w:rFonts w:ascii="宋体" w:hAnsi="宋体" w:cs="宋体" w:eastAsia="宋体" w:hint="default"/>
                <w:sz w:val="13"/>
                <w:szCs w:val="13"/>
              </w:rPr>
              <w:t>永续债</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48" w:right="0"/>
              <w:jc w:val="left"/>
              <w:rPr>
                <w:rFonts w:ascii="宋体" w:hAnsi="宋体" w:cs="宋体" w:eastAsia="宋体" w:hint="default"/>
                <w:sz w:val="13"/>
                <w:szCs w:val="13"/>
              </w:rPr>
            </w:pPr>
            <w:r>
              <w:rPr>
                <w:rFonts w:ascii="宋体" w:hAnsi="宋体" w:cs="宋体" w:eastAsia="宋体" w:hint="default"/>
                <w:sz w:val="13"/>
                <w:szCs w:val="13"/>
              </w:rPr>
              <w:t>其他</w:t>
            </w:r>
          </w:p>
        </w:tc>
        <w:tc>
          <w:tcPr>
            <w:tcW w:w="1134" w:type="dxa"/>
            <w:vMerge/>
            <w:tcBorders>
              <w:left w:val="single" w:sz="4" w:space="0" w:color="000000"/>
              <w:bottom w:val="single" w:sz="4" w:space="0" w:color="000000"/>
              <w:right w:val="single" w:sz="4" w:space="0" w:color="000000"/>
            </w:tcBorders>
          </w:tcPr>
          <w:p>
            <w:pPr/>
          </w:p>
        </w:tc>
        <w:tc>
          <w:tcPr>
            <w:tcW w:w="991" w:type="dxa"/>
            <w:vMerge/>
            <w:tcBorders>
              <w:left w:val="single" w:sz="4" w:space="0" w:color="000000"/>
              <w:bottom w:val="single" w:sz="4" w:space="0" w:color="000000"/>
              <w:right w:val="single" w:sz="4" w:space="0" w:color="000000"/>
            </w:tcBorders>
          </w:tcPr>
          <w:p>
            <w:pPr/>
          </w:p>
        </w:tc>
        <w:tc>
          <w:tcPr>
            <w:tcW w:w="1277" w:type="dxa"/>
            <w:vMerge/>
            <w:tcBorders>
              <w:left w:val="single" w:sz="4" w:space="0" w:color="000000"/>
              <w:bottom w:val="single" w:sz="4" w:space="0" w:color="000000"/>
              <w:right w:val="single" w:sz="4" w:space="0" w:color="000000"/>
            </w:tcBorders>
          </w:tcPr>
          <w:p>
            <w:pPr/>
          </w:p>
        </w:tc>
        <w:tc>
          <w:tcPr>
            <w:tcW w:w="992"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709"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1417" w:type="dxa"/>
            <w:vMerge/>
            <w:tcBorders>
              <w:left w:val="single" w:sz="4" w:space="0" w:color="000000"/>
              <w:bottom w:val="single" w:sz="4" w:space="0" w:color="000000"/>
              <w:right w:val="single" w:sz="4" w:space="0" w:color="000000"/>
            </w:tcBorders>
          </w:tcPr>
          <w:p>
            <w:pPr/>
          </w:p>
        </w:tc>
      </w:tr>
      <w:tr>
        <w:trPr>
          <w:trHeight w:val="210" w:hRule="exact"/>
        </w:trPr>
        <w:tc>
          <w:tcPr>
            <w:tcW w:w="2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4" w:right="0"/>
              <w:jc w:val="left"/>
              <w:rPr>
                <w:rFonts w:ascii="宋体" w:hAnsi="宋体" w:cs="宋体" w:eastAsia="宋体" w:hint="default"/>
                <w:sz w:val="13"/>
                <w:szCs w:val="13"/>
              </w:rPr>
            </w:pPr>
            <w:r>
              <w:rPr>
                <w:rFonts w:ascii="宋体" w:hAnsi="宋体" w:cs="宋体" w:eastAsia="宋体" w:hint="default"/>
                <w:sz w:val="13"/>
                <w:szCs w:val="13"/>
              </w:rPr>
              <w:t>一、上年年末余额</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2,944,069,459.00</w:t>
            </w:r>
            <w:r>
              <w:rPr>
                <w:rFonts w:ascii="Times New Roman"/>
                <w:sz w:val="13"/>
              </w:rPr>
            </w: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Times New Roman" w:hAnsi="Times New Roman" w:cs="Times New Roman" w:eastAsia="Times New Roman" w:hint="default"/>
                <w:sz w:val="13"/>
                <w:szCs w:val="13"/>
              </w:rPr>
            </w:pPr>
            <w:r>
              <w:rPr>
                <w:rFonts w:ascii="Times New Roman"/>
                <w:w w:val="95"/>
                <w:sz w:val="13"/>
              </w:rPr>
              <w:t>393,823,634.91</w:t>
            </w:r>
            <w:r>
              <w:rPr>
                <w:rFonts w:ascii="Times New Roman"/>
                <w:sz w:val="13"/>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Times New Roman" w:hAnsi="Times New Roman" w:cs="Times New Roman" w:eastAsia="Times New Roman" w:hint="default"/>
                <w:sz w:val="13"/>
                <w:szCs w:val="13"/>
              </w:rPr>
            </w:pPr>
            <w:r>
              <w:rPr>
                <w:rFonts w:ascii="Times New Roman"/>
                <w:w w:val="95"/>
                <w:sz w:val="13"/>
              </w:rPr>
              <w:t>7,903,899.00</w:t>
            </w:r>
            <w:r>
              <w:rPr>
                <w:rFonts w:ascii="Times New Roman"/>
                <w:sz w:val="13"/>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1,219,420,299.88</w:t>
            </w:r>
            <w:r>
              <w:rPr>
                <w:rFonts w:ascii="Times New Roman"/>
                <w:sz w:val="13"/>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Times New Roman" w:hAnsi="Times New Roman" w:cs="Times New Roman" w:eastAsia="Times New Roman" w:hint="default"/>
                <w:sz w:val="13"/>
                <w:szCs w:val="13"/>
              </w:rPr>
            </w:pPr>
            <w:r>
              <w:rPr>
                <w:rFonts w:ascii="Times New Roman"/>
                <w:w w:val="95"/>
                <w:sz w:val="13"/>
              </w:rPr>
              <w:t>3,746,671.08</w:t>
            </w:r>
            <w:r>
              <w:rPr>
                <w:rFonts w:ascii="Times New Roman"/>
                <w:sz w:val="13"/>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291,388,571.45</w:t>
            </w:r>
            <w:r>
              <w:rPr>
                <w:rFonts w:ascii="Times New Roman"/>
                <w:sz w:val="13"/>
              </w:rPr>
            </w: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1,829,793,778.08</w:t>
            </w:r>
            <w:r>
              <w:rPr>
                <w:rFonts w:ascii="Times New Roman"/>
                <w:sz w:val="13"/>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884,244,516.08</w:t>
            </w:r>
            <w:r>
              <w:rPr>
                <w:rFonts w:ascii="Times New Roman"/>
                <w:sz w:val="13"/>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7,558,583,031.48</w:t>
            </w:r>
            <w:r>
              <w:rPr>
                <w:rFonts w:ascii="Times New Roman"/>
                <w:sz w:val="13"/>
              </w:rPr>
            </w:r>
          </w:p>
        </w:tc>
      </w:tr>
      <w:tr>
        <w:trPr>
          <w:trHeight w:val="210" w:hRule="exact"/>
        </w:trPr>
        <w:tc>
          <w:tcPr>
            <w:tcW w:w="2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4" w:right="0"/>
              <w:jc w:val="left"/>
              <w:rPr>
                <w:rFonts w:ascii="宋体" w:hAnsi="宋体" w:cs="宋体" w:eastAsia="宋体" w:hint="default"/>
                <w:sz w:val="13"/>
                <w:szCs w:val="13"/>
              </w:rPr>
            </w:pPr>
            <w:r>
              <w:rPr>
                <w:rFonts w:ascii="宋体" w:hAnsi="宋体" w:cs="宋体" w:eastAsia="宋体" w:hint="default"/>
                <w:sz w:val="13"/>
                <w:szCs w:val="13"/>
              </w:rPr>
              <w:t>加：会计政策变更</w:t>
            </w: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2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4" w:right="0"/>
              <w:jc w:val="left"/>
              <w:rPr>
                <w:rFonts w:ascii="宋体" w:hAnsi="宋体" w:cs="宋体" w:eastAsia="宋体" w:hint="default"/>
                <w:sz w:val="13"/>
                <w:szCs w:val="13"/>
              </w:rPr>
            </w:pPr>
            <w:r>
              <w:rPr>
                <w:rFonts w:ascii="宋体" w:hAnsi="宋体" w:cs="宋体" w:eastAsia="宋体" w:hint="default"/>
                <w:sz w:val="13"/>
                <w:szCs w:val="13"/>
              </w:rPr>
              <w:t>前期差错更正</w:t>
            </w: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2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4" w:right="0"/>
              <w:jc w:val="left"/>
              <w:rPr>
                <w:rFonts w:ascii="宋体" w:hAnsi="宋体" w:cs="宋体" w:eastAsia="宋体" w:hint="default"/>
                <w:sz w:val="13"/>
                <w:szCs w:val="13"/>
              </w:rPr>
            </w:pPr>
            <w:r>
              <w:rPr>
                <w:rFonts w:ascii="宋体" w:hAnsi="宋体" w:cs="宋体" w:eastAsia="宋体" w:hint="default"/>
                <w:sz w:val="13"/>
                <w:szCs w:val="13"/>
              </w:rPr>
              <w:t>同一控制下企业合并</w:t>
            </w: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2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4" w:right="0"/>
              <w:jc w:val="left"/>
              <w:rPr>
                <w:rFonts w:ascii="宋体" w:hAnsi="宋体" w:cs="宋体" w:eastAsia="宋体" w:hint="default"/>
                <w:sz w:val="13"/>
                <w:szCs w:val="13"/>
              </w:rPr>
            </w:pPr>
            <w:r>
              <w:rPr>
                <w:rFonts w:ascii="宋体" w:hAnsi="宋体" w:cs="宋体" w:eastAsia="宋体" w:hint="default"/>
                <w:sz w:val="13"/>
                <w:szCs w:val="13"/>
              </w:rPr>
              <w:t>其他</w:t>
            </w: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2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4" w:right="0"/>
              <w:jc w:val="left"/>
              <w:rPr>
                <w:rFonts w:ascii="宋体" w:hAnsi="宋体" w:cs="宋体" w:eastAsia="宋体" w:hint="default"/>
                <w:sz w:val="13"/>
                <w:szCs w:val="13"/>
              </w:rPr>
            </w:pPr>
            <w:r>
              <w:rPr>
                <w:rFonts w:ascii="宋体" w:hAnsi="宋体" w:cs="宋体" w:eastAsia="宋体" w:hint="default"/>
                <w:sz w:val="13"/>
                <w:szCs w:val="13"/>
              </w:rPr>
              <w:t>二、本年年初余额</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2,944,069,459.00</w:t>
            </w:r>
            <w:r>
              <w:rPr>
                <w:rFonts w:ascii="Times New Roman"/>
                <w:sz w:val="13"/>
              </w:rPr>
            </w: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Times New Roman" w:hAnsi="Times New Roman" w:cs="Times New Roman" w:eastAsia="Times New Roman" w:hint="default"/>
                <w:sz w:val="13"/>
                <w:szCs w:val="13"/>
              </w:rPr>
            </w:pPr>
            <w:r>
              <w:rPr>
                <w:rFonts w:ascii="Times New Roman"/>
                <w:w w:val="95"/>
                <w:sz w:val="13"/>
              </w:rPr>
              <w:t>393,823,634.91</w:t>
            </w:r>
            <w:r>
              <w:rPr>
                <w:rFonts w:ascii="Times New Roman"/>
                <w:sz w:val="13"/>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Times New Roman" w:hAnsi="Times New Roman" w:cs="Times New Roman" w:eastAsia="Times New Roman" w:hint="default"/>
                <w:sz w:val="13"/>
                <w:szCs w:val="13"/>
              </w:rPr>
            </w:pPr>
            <w:r>
              <w:rPr>
                <w:rFonts w:ascii="Times New Roman"/>
                <w:w w:val="95"/>
                <w:sz w:val="13"/>
              </w:rPr>
              <w:t>7,903,899.00</w:t>
            </w:r>
            <w:r>
              <w:rPr>
                <w:rFonts w:ascii="Times New Roman"/>
                <w:sz w:val="13"/>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1,219,420,299.88</w:t>
            </w:r>
            <w:r>
              <w:rPr>
                <w:rFonts w:ascii="Times New Roman"/>
                <w:sz w:val="13"/>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Times New Roman" w:hAnsi="Times New Roman" w:cs="Times New Roman" w:eastAsia="Times New Roman" w:hint="default"/>
                <w:sz w:val="13"/>
                <w:szCs w:val="13"/>
              </w:rPr>
            </w:pPr>
            <w:r>
              <w:rPr>
                <w:rFonts w:ascii="Times New Roman"/>
                <w:w w:val="95"/>
                <w:sz w:val="13"/>
              </w:rPr>
              <w:t>3,746,671.08</w:t>
            </w:r>
            <w:r>
              <w:rPr>
                <w:rFonts w:ascii="Times New Roman"/>
                <w:sz w:val="13"/>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291,388,571.45</w:t>
            </w:r>
            <w:r>
              <w:rPr>
                <w:rFonts w:ascii="Times New Roman"/>
                <w:sz w:val="13"/>
              </w:rPr>
            </w: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1,829,793,778.08</w:t>
            </w:r>
            <w:r>
              <w:rPr>
                <w:rFonts w:ascii="Times New Roman"/>
                <w:sz w:val="13"/>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884,244,516.08</w:t>
            </w:r>
            <w:r>
              <w:rPr>
                <w:rFonts w:ascii="Times New Roman"/>
                <w:sz w:val="13"/>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7,558,583,031.48</w:t>
            </w:r>
            <w:r>
              <w:rPr>
                <w:rFonts w:ascii="Times New Roman"/>
                <w:sz w:val="13"/>
              </w:rPr>
            </w:r>
          </w:p>
        </w:tc>
      </w:tr>
      <w:tr>
        <w:trPr>
          <w:trHeight w:val="210" w:hRule="exact"/>
        </w:trPr>
        <w:tc>
          <w:tcPr>
            <w:tcW w:w="2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36"/>
              <w:jc w:val="right"/>
              <w:rPr>
                <w:rFonts w:ascii="宋体" w:hAnsi="宋体" w:cs="宋体" w:eastAsia="宋体" w:hint="default"/>
                <w:sz w:val="13"/>
                <w:szCs w:val="13"/>
              </w:rPr>
            </w:pPr>
            <w:r>
              <w:rPr>
                <w:rFonts w:ascii="宋体" w:hAnsi="宋体" w:cs="宋体" w:eastAsia="宋体" w:hint="default"/>
                <w:spacing w:val="-5"/>
                <w:sz w:val="13"/>
                <w:szCs w:val="13"/>
              </w:rPr>
              <w:t>三、本期增减变动金额（减少以</w:t>
            </w:r>
            <w:r>
              <w:rPr>
                <w:rFonts w:ascii="Times New Roman" w:hAnsi="Times New Roman" w:cs="Times New Roman" w:eastAsia="Times New Roman" w:hint="default"/>
                <w:spacing w:val="-5"/>
                <w:sz w:val="13"/>
                <w:szCs w:val="13"/>
              </w:rPr>
              <w:t>“-”</w:t>
            </w:r>
            <w:r>
              <w:rPr>
                <w:rFonts w:ascii="宋体" w:hAnsi="宋体" w:cs="宋体" w:eastAsia="宋体" w:hint="default"/>
                <w:spacing w:val="-5"/>
                <w:sz w:val="13"/>
                <w:szCs w:val="13"/>
              </w:rPr>
              <w:t>号填列）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-7,903,899.00</w:t>
            </w:r>
            <w:r>
              <w:rPr>
                <w:rFonts w:ascii="Times New Roman"/>
                <w:sz w:val="13"/>
              </w:rPr>
            </w: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Times New Roman" w:hAnsi="Times New Roman" w:cs="Times New Roman" w:eastAsia="Times New Roman" w:hint="default"/>
                <w:sz w:val="13"/>
                <w:szCs w:val="13"/>
              </w:rPr>
            </w:pPr>
            <w:r>
              <w:rPr>
                <w:rFonts w:ascii="Times New Roman"/>
                <w:w w:val="95"/>
                <w:sz w:val="13"/>
              </w:rPr>
              <w:t>162,340,725.25</w:t>
            </w:r>
            <w:r>
              <w:rPr>
                <w:rFonts w:ascii="Times New Roman"/>
                <w:sz w:val="13"/>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Times New Roman" w:hAnsi="Times New Roman" w:cs="Times New Roman" w:eastAsia="Times New Roman" w:hint="default"/>
                <w:sz w:val="13"/>
                <w:szCs w:val="13"/>
              </w:rPr>
            </w:pPr>
            <w:r>
              <w:rPr>
                <w:rFonts w:ascii="Times New Roman"/>
                <w:w w:val="95"/>
                <w:sz w:val="13"/>
              </w:rPr>
              <w:t>79,608.00</w:t>
            </w:r>
            <w:r>
              <w:rPr>
                <w:rFonts w:ascii="Times New Roman"/>
                <w:sz w:val="13"/>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-1,130,656,207.65</w:t>
            </w:r>
            <w:r>
              <w:rPr>
                <w:rFonts w:ascii="Times New Roman"/>
                <w:sz w:val="13"/>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Times New Roman" w:hAnsi="Times New Roman" w:cs="Times New Roman" w:eastAsia="Times New Roman" w:hint="default"/>
                <w:sz w:val="13"/>
                <w:szCs w:val="13"/>
              </w:rPr>
            </w:pPr>
            <w:r>
              <w:rPr>
                <w:rFonts w:ascii="Times New Roman"/>
                <w:w w:val="95"/>
                <w:sz w:val="13"/>
              </w:rPr>
              <w:t>-2,510,888.98</w:t>
            </w:r>
            <w:r>
              <w:rPr>
                <w:rFonts w:ascii="Times New Roman"/>
                <w:sz w:val="13"/>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-42,605,178.78</w:t>
            </w:r>
            <w:r>
              <w:rPr>
                <w:rFonts w:ascii="Times New Roman"/>
                <w:sz w:val="13"/>
              </w:rPr>
            </w: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587,560,326.98</w:t>
            </w:r>
            <w:r>
              <w:rPr>
                <w:rFonts w:ascii="Times New Roman"/>
                <w:sz w:val="13"/>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-474,302,369.48</w:t>
            </w:r>
            <w:r>
              <w:rPr>
                <w:rFonts w:ascii="Times New Roman"/>
                <w:sz w:val="13"/>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-908,157,099.66</w:t>
            </w:r>
            <w:r>
              <w:rPr>
                <w:rFonts w:ascii="Times New Roman"/>
                <w:sz w:val="13"/>
              </w:rPr>
            </w:r>
          </w:p>
        </w:tc>
      </w:tr>
      <w:tr>
        <w:trPr>
          <w:trHeight w:val="210" w:hRule="exact"/>
        </w:trPr>
        <w:tc>
          <w:tcPr>
            <w:tcW w:w="2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4" w:right="0"/>
              <w:jc w:val="left"/>
              <w:rPr>
                <w:rFonts w:ascii="宋体" w:hAnsi="宋体" w:cs="宋体" w:eastAsia="宋体" w:hint="default"/>
                <w:sz w:val="13"/>
                <w:szCs w:val="13"/>
              </w:rPr>
            </w:pPr>
            <w:r>
              <w:rPr>
                <w:rFonts w:ascii="宋体" w:hAnsi="宋体" w:cs="宋体" w:eastAsia="宋体" w:hint="default"/>
                <w:sz w:val="13"/>
                <w:szCs w:val="13"/>
              </w:rPr>
              <w:t>（一）综合收益总额</w:t>
            </w: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-1,130,656,207.65</w:t>
            </w:r>
            <w:r>
              <w:rPr>
                <w:rFonts w:ascii="Times New Roman"/>
                <w:sz w:val="13"/>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987,100,274.54</w:t>
            </w:r>
            <w:r>
              <w:rPr>
                <w:rFonts w:ascii="Times New Roman"/>
                <w:sz w:val="13"/>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69,607,443.91</w:t>
            </w:r>
            <w:r>
              <w:rPr>
                <w:rFonts w:ascii="Times New Roman"/>
                <w:sz w:val="13"/>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-73,948,489.20</w:t>
            </w:r>
            <w:r>
              <w:rPr>
                <w:rFonts w:ascii="Times New Roman"/>
                <w:sz w:val="13"/>
              </w:rPr>
            </w:r>
          </w:p>
        </w:tc>
      </w:tr>
      <w:tr>
        <w:trPr>
          <w:trHeight w:val="210" w:hRule="exact"/>
        </w:trPr>
        <w:tc>
          <w:tcPr>
            <w:tcW w:w="2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4" w:right="0"/>
              <w:jc w:val="left"/>
              <w:rPr>
                <w:rFonts w:ascii="宋体" w:hAnsi="宋体" w:cs="宋体" w:eastAsia="宋体" w:hint="default"/>
                <w:sz w:val="13"/>
                <w:szCs w:val="13"/>
              </w:rPr>
            </w:pPr>
            <w:r>
              <w:rPr>
                <w:rFonts w:ascii="宋体" w:hAnsi="宋体" w:cs="宋体" w:eastAsia="宋体" w:hint="default"/>
                <w:sz w:val="13"/>
                <w:szCs w:val="13"/>
              </w:rPr>
              <w:t>（二）所有者投入和减少资本</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-7,903,899.00</w:t>
            </w:r>
            <w:r>
              <w:rPr>
                <w:rFonts w:ascii="Times New Roman"/>
                <w:sz w:val="13"/>
              </w:rPr>
            </w: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Times New Roman" w:hAnsi="Times New Roman" w:cs="Times New Roman" w:eastAsia="Times New Roman" w:hint="default"/>
                <w:sz w:val="13"/>
                <w:szCs w:val="13"/>
              </w:rPr>
            </w:pPr>
            <w:r>
              <w:rPr>
                <w:rFonts w:ascii="Times New Roman"/>
                <w:w w:val="95"/>
                <w:sz w:val="13"/>
              </w:rPr>
              <w:t>162,340,725.25</w:t>
            </w:r>
            <w:r>
              <w:rPr>
                <w:rFonts w:ascii="Times New Roman"/>
                <w:sz w:val="13"/>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Times New Roman" w:hAnsi="Times New Roman" w:cs="Times New Roman" w:eastAsia="Times New Roman" w:hint="default"/>
                <w:sz w:val="13"/>
                <w:szCs w:val="13"/>
              </w:rPr>
            </w:pPr>
            <w:r>
              <w:rPr>
                <w:rFonts w:ascii="Times New Roman"/>
                <w:w w:val="95"/>
                <w:sz w:val="13"/>
              </w:rPr>
              <w:t>79,608.00</w:t>
            </w:r>
            <w:r>
              <w:rPr>
                <w:rFonts w:ascii="Times New Roman"/>
                <w:sz w:val="13"/>
              </w:rPr>
            </w:r>
          </w:p>
        </w:tc>
        <w:tc>
          <w:tcPr>
            <w:tcW w:w="1277"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-104,176,128.81</w:t>
            </w:r>
            <w:r>
              <w:rPr>
                <w:rFonts w:ascii="Times New Roman"/>
                <w:sz w:val="13"/>
              </w:rPr>
            </w: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-161,324,829.99</w:t>
            </w:r>
            <w:r>
              <w:rPr>
                <w:rFonts w:ascii="Times New Roman"/>
                <w:sz w:val="13"/>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spacing w:val="-1"/>
                <w:sz w:val="13"/>
              </w:rPr>
              <w:t>-518,592,622.11</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-629,736,362.66</w:t>
            </w:r>
            <w:r>
              <w:rPr>
                <w:rFonts w:ascii="Times New Roman"/>
                <w:sz w:val="13"/>
              </w:rPr>
            </w:r>
          </w:p>
        </w:tc>
      </w:tr>
      <w:tr>
        <w:trPr>
          <w:trHeight w:val="210" w:hRule="exact"/>
        </w:trPr>
        <w:tc>
          <w:tcPr>
            <w:tcW w:w="2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98"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1</w:t>
            </w:r>
            <w:r>
              <w:rPr>
                <w:rFonts w:ascii="宋体" w:hAnsi="宋体" w:cs="宋体" w:eastAsia="宋体" w:hint="default"/>
                <w:sz w:val="13"/>
                <w:szCs w:val="13"/>
              </w:rPr>
              <w:t>．所有者投入的普通股</w:t>
            </w: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24,000,000.00</w:t>
            </w:r>
            <w:r>
              <w:rPr>
                <w:rFonts w:ascii="Times New Roman"/>
                <w:sz w:val="13"/>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24,000,000.00</w:t>
            </w:r>
            <w:r>
              <w:rPr>
                <w:rFonts w:ascii="Times New Roman"/>
                <w:sz w:val="13"/>
              </w:rPr>
            </w:r>
          </w:p>
        </w:tc>
      </w:tr>
      <w:tr>
        <w:trPr>
          <w:trHeight w:val="210" w:hRule="exact"/>
        </w:trPr>
        <w:tc>
          <w:tcPr>
            <w:tcW w:w="2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98"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2</w:t>
            </w:r>
            <w:r>
              <w:rPr>
                <w:rFonts w:ascii="宋体" w:hAnsi="宋体" w:cs="宋体" w:eastAsia="宋体" w:hint="default"/>
                <w:sz w:val="13"/>
                <w:szCs w:val="13"/>
              </w:rPr>
              <w:t>．其他权益工具持有者投入资本</w:t>
            </w: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2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98"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3</w:t>
            </w:r>
            <w:r>
              <w:rPr>
                <w:rFonts w:ascii="宋体" w:hAnsi="宋体" w:cs="宋体" w:eastAsia="宋体" w:hint="default"/>
                <w:sz w:val="13"/>
                <w:szCs w:val="13"/>
              </w:rPr>
              <w:t>．股份支付计入所有者权益的金额</w:t>
            </w: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Times New Roman" w:hAnsi="Times New Roman" w:cs="Times New Roman" w:eastAsia="Times New Roman" w:hint="default"/>
                <w:sz w:val="13"/>
                <w:szCs w:val="13"/>
              </w:rPr>
            </w:pPr>
            <w:r>
              <w:rPr>
                <w:rFonts w:ascii="Times New Roman"/>
                <w:w w:val="95"/>
                <w:sz w:val="13"/>
              </w:rPr>
              <w:t>22,239,692.97</w:t>
            </w:r>
            <w:r>
              <w:rPr>
                <w:rFonts w:ascii="Times New Roman"/>
                <w:sz w:val="13"/>
              </w:rPr>
            </w: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924,520.34</w:t>
            </w:r>
            <w:r>
              <w:rPr>
                <w:rFonts w:ascii="Times New Roman"/>
                <w:sz w:val="13"/>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23,164,213.31</w:t>
            </w:r>
            <w:r>
              <w:rPr>
                <w:rFonts w:ascii="Times New Roman"/>
                <w:sz w:val="13"/>
              </w:rPr>
            </w:r>
          </w:p>
        </w:tc>
      </w:tr>
      <w:tr>
        <w:trPr>
          <w:trHeight w:val="210" w:hRule="exact"/>
        </w:trPr>
        <w:tc>
          <w:tcPr>
            <w:tcW w:w="2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98"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4</w:t>
            </w:r>
            <w:r>
              <w:rPr>
                <w:rFonts w:ascii="宋体" w:hAnsi="宋体" w:cs="宋体" w:eastAsia="宋体" w:hint="default"/>
                <w:sz w:val="13"/>
                <w:szCs w:val="13"/>
              </w:rPr>
              <w:t>．其他</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-7,903,899.00</w:t>
            </w:r>
            <w:r>
              <w:rPr>
                <w:rFonts w:ascii="Times New Roman"/>
                <w:sz w:val="13"/>
              </w:rPr>
            </w: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Times New Roman" w:hAnsi="Times New Roman" w:cs="Times New Roman" w:eastAsia="Times New Roman" w:hint="default"/>
                <w:sz w:val="13"/>
                <w:szCs w:val="13"/>
              </w:rPr>
            </w:pPr>
            <w:r>
              <w:rPr>
                <w:rFonts w:ascii="Times New Roman"/>
                <w:w w:val="95"/>
                <w:sz w:val="13"/>
              </w:rPr>
              <w:t>140,101,032.28</w:t>
            </w:r>
            <w:r>
              <w:rPr>
                <w:rFonts w:ascii="Times New Roman"/>
                <w:sz w:val="13"/>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Times New Roman" w:hAnsi="Times New Roman" w:cs="Times New Roman" w:eastAsia="Times New Roman" w:hint="default"/>
                <w:sz w:val="13"/>
                <w:szCs w:val="13"/>
              </w:rPr>
            </w:pPr>
            <w:r>
              <w:rPr>
                <w:rFonts w:ascii="Times New Roman"/>
                <w:w w:val="95"/>
                <w:sz w:val="13"/>
              </w:rPr>
              <w:t>79,608.00</w:t>
            </w:r>
            <w:r>
              <w:rPr>
                <w:rFonts w:ascii="Times New Roman"/>
                <w:sz w:val="13"/>
              </w:rPr>
            </w:r>
          </w:p>
        </w:tc>
        <w:tc>
          <w:tcPr>
            <w:tcW w:w="1277"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-104,176,128.81</w:t>
            </w:r>
            <w:r>
              <w:rPr>
                <w:rFonts w:ascii="Times New Roman"/>
                <w:sz w:val="13"/>
              </w:rPr>
            </w: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-161,324,829.99</w:t>
            </w:r>
            <w:r>
              <w:rPr>
                <w:rFonts w:ascii="Times New Roman"/>
                <w:sz w:val="13"/>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-543,517,142.45</w:t>
            </w:r>
            <w:r>
              <w:rPr>
                <w:rFonts w:ascii="Times New Roman"/>
                <w:sz w:val="13"/>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-676,900,575.97</w:t>
            </w:r>
            <w:r>
              <w:rPr>
                <w:rFonts w:ascii="Times New Roman"/>
                <w:sz w:val="13"/>
              </w:rPr>
            </w:r>
          </w:p>
        </w:tc>
      </w:tr>
      <w:tr>
        <w:trPr>
          <w:trHeight w:val="210" w:hRule="exact"/>
        </w:trPr>
        <w:tc>
          <w:tcPr>
            <w:tcW w:w="2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4" w:right="0"/>
              <w:jc w:val="left"/>
              <w:rPr>
                <w:rFonts w:ascii="宋体" w:hAnsi="宋体" w:cs="宋体" w:eastAsia="宋体" w:hint="default"/>
                <w:sz w:val="13"/>
                <w:szCs w:val="13"/>
              </w:rPr>
            </w:pPr>
            <w:r>
              <w:rPr>
                <w:rFonts w:ascii="宋体" w:hAnsi="宋体" w:cs="宋体" w:eastAsia="宋体" w:hint="default"/>
                <w:sz w:val="13"/>
                <w:szCs w:val="13"/>
              </w:rPr>
              <w:t>（三）利润分配</w:t>
            </w: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61,570,950.03</w:t>
            </w:r>
            <w:r>
              <w:rPr>
                <w:rFonts w:ascii="Times New Roman"/>
                <w:sz w:val="13"/>
              </w:rPr>
            </w: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spacing w:val="-1"/>
                <w:sz w:val="13"/>
              </w:rPr>
              <w:t>-238,215,117.57</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-25,473,870.89</w:t>
            </w:r>
            <w:r>
              <w:rPr>
                <w:rFonts w:ascii="Times New Roman"/>
                <w:sz w:val="13"/>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spacing w:val="-1"/>
                <w:sz w:val="13"/>
              </w:rPr>
              <w:t>-202,118,038.43</w:t>
            </w:r>
          </w:p>
        </w:tc>
      </w:tr>
      <w:tr>
        <w:trPr>
          <w:trHeight w:val="210" w:hRule="exact"/>
        </w:trPr>
        <w:tc>
          <w:tcPr>
            <w:tcW w:w="2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98"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1</w:t>
            </w:r>
            <w:r>
              <w:rPr>
                <w:rFonts w:ascii="宋体" w:hAnsi="宋体" w:cs="宋体" w:eastAsia="宋体" w:hint="default"/>
                <w:sz w:val="13"/>
                <w:szCs w:val="13"/>
              </w:rPr>
              <w:t>．提取盈余公积</w:t>
            </w: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61,570,950.03</w:t>
            </w:r>
            <w:r>
              <w:rPr>
                <w:rFonts w:ascii="Times New Roman"/>
                <w:sz w:val="13"/>
              </w:rPr>
            </w: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-61,570,950.03</w:t>
            </w:r>
            <w:r>
              <w:rPr>
                <w:rFonts w:ascii="Times New Roman"/>
                <w:sz w:val="13"/>
              </w:rPr>
            </w:r>
          </w:p>
        </w:tc>
        <w:tc>
          <w:tcPr>
            <w:tcW w:w="1134"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2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98"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2</w:t>
            </w:r>
            <w:r>
              <w:rPr>
                <w:rFonts w:ascii="宋体" w:hAnsi="宋体" w:cs="宋体" w:eastAsia="宋体" w:hint="default"/>
                <w:sz w:val="13"/>
                <w:szCs w:val="13"/>
              </w:rPr>
              <w:t>．提取一般风险准备</w:t>
            </w: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2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98"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3</w:t>
            </w:r>
            <w:r>
              <w:rPr>
                <w:rFonts w:ascii="宋体" w:hAnsi="宋体" w:cs="宋体" w:eastAsia="宋体" w:hint="default"/>
                <w:sz w:val="13"/>
                <w:szCs w:val="13"/>
              </w:rPr>
              <w:t>．对所有者（或股东）的分配</w:t>
            </w: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-176,644,167.54</w:t>
            </w:r>
            <w:r>
              <w:rPr>
                <w:rFonts w:ascii="Times New Roman"/>
                <w:sz w:val="13"/>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-25,473,870.89</w:t>
            </w:r>
            <w:r>
              <w:rPr>
                <w:rFonts w:ascii="Times New Roman"/>
                <w:sz w:val="13"/>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spacing w:val="-1"/>
                <w:sz w:val="13"/>
              </w:rPr>
              <w:t>-202,118,038.43</w:t>
            </w:r>
          </w:p>
        </w:tc>
      </w:tr>
      <w:tr>
        <w:trPr>
          <w:trHeight w:val="210" w:hRule="exact"/>
        </w:trPr>
        <w:tc>
          <w:tcPr>
            <w:tcW w:w="2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98"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4</w:t>
            </w:r>
            <w:r>
              <w:rPr>
                <w:rFonts w:ascii="宋体" w:hAnsi="宋体" w:cs="宋体" w:eastAsia="宋体" w:hint="default"/>
                <w:sz w:val="13"/>
                <w:szCs w:val="13"/>
              </w:rPr>
              <w:t>．其他</w:t>
            </w: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2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4" w:right="0"/>
              <w:jc w:val="left"/>
              <w:rPr>
                <w:rFonts w:ascii="宋体" w:hAnsi="宋体" w:cs="宋体" w:eastAsia="宋体" w:hint="default"/>
                <w:sz w:val="13"/>
                <w:szCs w:val="13"/>
              </w:rPr>
            </w:pPr>
            <w:r>
              <w:rPr>
                <w:rFonts w:ascii="宋体" w:hAnsi="宋体" w:cs="宋体" w:eastAsia="宋体" w:hint="default"/>
                <w:sz w:val="13"/>
                <w:szCs w:val="13"/>
              </w:rPr>
              <w:t>（四）所有者权益内部结转</w:t>
            </w: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2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98"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1</w:t>
            </w:r>
            <w:r>
              <w:rPr>
                <w:rFonts w:ascii="宋体" w:hAnsi="宋体" w:cs="宋体" w:eastAsia="宋体" w:hint="default"/>
                <w:sz w:val="13"/>
                <w:szCs w:val="13"/>
              </w:rPr>
              <w:t>．资本公积转增资本（或股本）</w:t>
            </w: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2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98"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2</w:t>
            </w:r>
            <w:r>
              <w:rPr>
                <w:rFonts w:ascii="宋体" w:hAnsi="宋体" w:cs="宋体" w:eastAsia="宋体" w:hint="default"/>
                <w:sz w:val="13"/>
                <w:szCs w:val="13"/>
              </w:rPr>
              <w:t>．盈余公积转增资本（或股本）</w:t>
            </w: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2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98"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3</w:t>
            </w:r>
            <w:r>
              <w:rPr>
                <w:rFonts w:ascii="宋体" w:hAnsi="宋体" w:cs="宋体" w:eastAsia="宋体" w:hint="default"/>
                <w:sz w:val="13"/>
                <w:szCs w:val="13"/>
              </w:rPr>
              <w:t>．盈余公积弥补亏损</w:t>
            </w: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2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宋体" w:hAnsi="宋体" w:cs="宋体" w:eastAsia="宋体" w:hint="default"/>
                <w:sz w:val="13"/>
                <w:szCs w:val="13"/>
              </w:rPr>
            </w:pPr>
            <w:r>
              <w:rPr>
                <w:rFonts w:ascii="Times New Roman" w:hAnsi="Times New Roman" w:cs="Times New Roman" w:eastAsia="Times New Roman" w:hint="default"/>
                <w:w w:val="95"/>
                <w:sz w:val="13"/>
                <w:szCs w:val="13"/>
              </w:rPr>
              <w:t>4</w:t>
            </w:r>
            <w:r>
              <w:rPr>
                <w:rFonts w:ascii="宋体" w:hAnsi="宋体" w:cs="宋体" w:eastAsia="宋体" w:hint="default"/>
                <w:w w:val="95"/>
                <w:sz w:val="13"/>
                <w:szCs w:val="13"/>
              </w:rPr>
              <w:t>．设定受益计划变动额结转留存收益</w:t>
            </w:r>
            <w:r>
              <w:rPr>
                <w:rFonts w:ascii="宋体" w:hAnsi="宋体" w:cs="宋体" w:eastAsia="宋体" w:hint="default"/>
                <w:sz w:val="13"/>
                <w:szCs w:val="13"/>
              </w:rPr>
            </w: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2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98"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5</w:t>
            </w:r>
            <w:r>
              <w:rPr>
                <w:rFonts w:ascii="宋体" w:hAnsi="宋体" w:cs="宋体" w:eastAsia="宋体" w:hint="default"/>
                <w:sz w:val="13"/>
                <w:szCs w:val="13"/>
              </w:rPr>
              <w:t>．其他</w:t>
            </w: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2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4" w:right="0"/>
              <w:jc w:val="left"/>
              <w:rPr>
                <w:rFonts w:ascii="宋体" w:hAnsi="宋体" w:cs="宋体" w:eastAsia="宋体" w:hint="default"/>
                <w:sz w:val="13"/>
                <w:szCs w:val="13"/>
              </w:rPr>
            </w:pPr>
            <w:r>
              <w:rPr>
                <w:rFonts w:ascii="宋体" w:hAnsi="宋体" w:cs="宋体" w:eastAsia="宋体" w:hint="default"/>
                <w:sz w:val="13"/>
                <w:szCs w:val="13"/>
              </w:rPr>
              <w:t>（五）专项储备</w:t>
            </w: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Times New Roman" w:hAnsi="Times New Roman" w:cs="Times New Roman" w:eastAsia="Times New Roman" w:hint="default"/>
                <w:sz w:val="13"/>
                <w:szCs w:val="13"/>
              </w:rPr>
            </w:pPr>
            <w:r>
              <w:rPr>
                <w:rFonts w:ascii="Times New Roman"/>
                <w:w w:val="95"/>
                <w:sz w:val="13"/>
              </w:rPr>
              <w:t>-2,510,888.98</w:t>
            </w:r>
            <w:r>
              <w:rPr>
                <w:rFonts w:ascii="Times New Roman"/>
                <w:sz w:val="13"/>
              </w:rPr>
            </w: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156,679.61</w:t>
            </w:r>
            <w:r>
              <w:rPr>
                <w:rFonts w:ascii="Times New Roman"/>
                <w:sz w:val="13"/>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-2,354,209.37</w:t>
            </w:r>
            <w:r>
              <w:rPr>
                <w:rFonts w:ascii="Times New Roman"/>
                <w:sz w:val="13"/>
              </w:rPr>
            </w:r>
          </w:p>
        </w:tc>
      </w:tr>
      <w:tr>
        <w:trPr>
          <w:trHeight w:val="210" w:hRule="exact"/>
        </w:trPr>
        <w:tc>
          <w:tcPr>
            <w:tcW w:w="2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98"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1</w:t>
            </w:r>
            <w:r>
              <w:rPr>
                <w:rFonts w:ascii="宋体" w:hAnsi="宋体" w:cs="宋体" w:eastAsia="宋体" w:hint="default"/>
                <w:sz w:val="13"/>
                <w:szCs w:val="13"/>
              </w:rPr>
              <w:t>．本期提取</w:t>
            </w: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Times New Roman" w:hAnsi="Times New Roman" w:cs="Times New Roman" w:eastAsia="Times New Roman" w:hint="default"/>
                <w:sz w:val="13"/>
                <w:szCs w:val="13"/>
              </w:rPr>
            </w:pPr>
            <w:r>
              <w:rPr>
                <w:rFonts w:ascii="Times New Roman"/>
                <w:w w:val="95"/>
                <w:sz w:val="13"/>
              </w:rPr>
              <w:t>3,840,465.35</w:t>
            </w:r>
            <w:r>
              <w:rPr>
                <w:rFonts w:ascii="Times New Roman"/>
                <w:sz w:val="13"/>
              </w:rPr>
            </w: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1,474,524.97</w:t>
            </w:r>
            <w:r>
              <w:rPr>
                <w:rFonts w:ascii="Times New Roman"/>
                <w:sz w:val="13"/>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5,314,990.32</w:t>
            </w:r>
            <w:r>
              <w:rPr>
                <w:rFonts w:ascii="Times New Roman"/>
                <w:sz w:val="13"/>
              </w:rPr>
            </w:r>
          </w:p>
        </w:tc>
      </w:tr>
      <w:tr>
        <w:trPr>
          <w:trHeight w:val="210" w:hRule="exact"/>
        </w:trPr>
        <w:tc>
          <w:tcPr>
            <w:tcW w:w="2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98"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2</w:t>
            </w:r>
            <w:r>
              <w:rPr>
                <w:rFonts w:ascii="宋体" w:hAnsi="宋体" w:cs="宋体" w:eastAsia="宋体" w:hint="default"/>
                <w:sz w:val="13"/>
                <w:szCs w:val="13"/>
              </w:rPr>
              <w:t>．本期使用</w:t>
            </w: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Times New Roman" w:hAnsi="Times New Roman" w:cs="Times New Roman" w:eastAsia="Times New Roman" w:hint="default"/>
                <w:sz w:val="13"/>
                <w:szCs w:val="13"/>
              </w:rPr>
            </w:pPr>
            <w:r>
              <w:rPr>
                <w:rFonts w:ascii="Times New Roman"/>
                <w:w w:val="95"/>
                <w:sz w:val="13"/>
              </w:rPr>
              <w:t>6,351,354.33</w:t>
            </w:r>
            <w:r>
              <w:rPr>
                <w:rFonts w:ascii="Times New Roman"/>
                <w:sz w:val="13"/>
              </w:rPr>
            </w: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1,317,845.36</w:t>
            </w:r>
            <w:r>
              <w:rPr>
                <w:rFonts w:ascii="Times New Roman"/>
                <w:sz w:val="13"/>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7,669,199.69</w:t>
            </w:r>
            <w:r>
              <w:rPr>
                <w:rFonts w:ascii="Times New Roman"/>
                <w:sz w:val="13"/>
              </w:rPr>
            </w:r>
          </w:p>
        </w:tc>
      </w:tr>
      <w:tr>
        <w:trPr>
          <w:trHeight w:val="210" w:hRule="exact"/>
        </w:trPr>
        <w:tc>
          <w:tcPr>
            <w:tcW w:w="2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4" w:right="0"/>
              <w:jc w:val="left"/>
              <w:rPr>
                <w:rFonts w:ascii="宋体" w:hAnsi="宋体" w:cs="宋体" w:eastAsia="宋体" w:hint="default"/>
                <w:sz w:val="13"/>
                <w:szCs w:val="13"/>
              </w:rPr>
            </w:pPr>
            <w:r>
              <w:rPr>
                <w:rFonts w:ascii="宋体" w:hAnsi="宋体" w:cs="宋体" w:eastAsia="宋体" w:hint="default"/>
                <w:sz w:val="13"/>
                <w:szCs w:val="13"/>
              </w:rPr>
              <w:t>（六）其他</w:t>
            </w: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417"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2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4" w:right="0"/>
              <w:jc w:val="left"/>
              <w:rPr>
                <w:rFonts w:ascii="宋体" w:hAnsi="宋体" w:cs="宋体" w:eastAsia="宋体" w:hint="default"/>
                <w:sz w:val="13"/>
                <w:szCs w:val="13"/>
              </w:rPr>
            </w:pPr>
            <w:r>
              <w:rPr>
                <w:rFonts w:ascii="宋体" w:hAnsi="宋体" w:cs="宋体" w:eastAsia="宋体" w:hint="default"/>
                <w:sz w:val="13"/>
                <w:szCs w:val="13"/>
              </w:rPr>
              <w:t>四、本期期末余额</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2,936,165,560.00</w:t>
            </w:r>
            <w:r>
              <w:rPr>
                <w:rFonts w:ascii="Times New Roman"/>
                <w:sz w:val="13"/>
              </w:rPr>
            </w: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Times New Roman" w:hAnsi="Times New Roman" w:cs="Times New Roman" w:eastAsia="Times New Roman" w:hint="default"/>
                <w:sz w:val="13"/>
                <w:szCs w:val="13"/>
              </w:rPr>
            </w:pPr>
            <w:r>
              <w:rPr>
                <w:rFonts w:ascii="Times New Roman"/>
                <w:w w:val="95"/>
                <w:sz w:val="13"/>
              </w:rPr>
              <w:t>556,164,360.16</w:t>
            </w:r>
            <w:r>
              <w:rPr>
                <w:rFonts w:ascii="Times New Roman"/>
                <w:sz w:val="13"/>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Times New Roman" w:hAnsi="Times New Roman" w:cs="Times New Roman" w:eastAsia="Times New Roman" w:hint="default"/>
                <w:sz w:val="13"/>
                <w:szCs w:val="13"/>
              </w:rPr>
            </w:pPr>
            <w:r>
              <w:rPr>
                <w:rFonts w:ascii="Times New Roman"/>
                <w:w w:val="95"/>
                <w:sz w:val="13"/>
              </w:rPr>
              <w:t>7,983,507.00</w:t>
            </w:r>
            <w:r>
              <w:rPr>
                <w:rFonts w:ascii="Times New Roman"/>
                <w:sz w:val="13"/>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88,764,092.23</w:t>
            </w:r>
            <w:r>
              <w:rPr>
                <w:rFonts w:ascii="Times New Roman"/>
                <w:sz w:val="13"/>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Times New Roman" w:hAnsi="Times New Roman" w:cs="Times New Roman" w:eastAsia="Times New Roman" w:hint="default"/>
                <w:sz w:val="13"/>
                <w:szCs w:val="13"/>
              </w:rPr>
            </w:pPr>
            <w:r>
              <w:rPr>
                <w:rFonts w:ascii="Times New Roman"/>
                <w:w w:val="95"/>
                <w:sz w:val="13"/>
              </w:rPr>
              <w:t>1,235,782.10</w:t>
            </w:r>
            <w:r>
              <w:rPr>
                <w:rFonts w:ascii="Times New Roman"/>
                <w:sz w:val="13"/>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248,783,392.67</w:t>
            </w:r>
            <w:r>
              <w:rPr>
                <w:rFonts w:ascii="Times New Roman"/>
                <w:sz w:val="13"/>
              </w:rPr>
            </w: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2,417,354,105.06</w:t>
            </w:r>
            <w:r>
              <w:rPr>
                <w:rFonts w:ascii="Times New Roman"/>
                <w:sz w:val="13"/>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409,942,146.60</w:t>
            </w:r>
            <w:r>
              <w:rPr>
                <w:rFonts w:ascii="Times New Roman"/>
                <w:sz w:val="13"/>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6,650,425,931.82</w:t>
            </w:r>
            <w:r>
              <w:rPr>
                <w:rFonts w:ascii="Times New Roman"/>
                <w:sz w:val="13"/>
              </w:rPr>
            </w:r>
          </w:p>
        </w:tc>
      </w:tr>
    </w:tbl>
    <w:p>
      <w:pPr>
        <w:spacing w:before="91"/>
        <w:ind w:left="403"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tabs>
          <w:tab w:pos="4363" w:val="left" w:leader="none"/>
          <w:tab w:pos="7603" w:val="left" w:leader="none"/>
          <w:tab w:pos="11923" w:val="left" w:leader="none"/>
        </w:tabs>
        <w:spacing w:before="82"/>
        <w:ind w:left="403" w:right="0" w:firstLine="0"/>
        <w:jc w:val="left"/>
        <w:rPr>
          <w:rFonts w:ascii="宋体" w:hAnsi="宋体" w:cs="宋体" w:eastAsia="宋体" w:hint="default"/>
          <w:sz w:val="18"/>
          <w:szCs w:val="18"/>
        </w:rPr>
      </w:pPr>
      <w:r>
        <w:rPr>
          <w:rFonts w:ascii="宋体" w:hAnsi="宋体" w:cs="宋体" w:eastAsia="宋体" w:hint="default"/>
          <w:sz w:val="18"/>
          <w:szCs w:val="18"/>
        </w:rPr>
        <w:t>企业法定代表人：宋黎定</w:t>
        <w:tab/>
        <w:t>公司总裁：徐刚</w:t>
        <w:tab/>
        <w:t>主管会计工作负责人：刘文彬</w:t>
        <w:tab/>
        <w:t>会计机构负责人：许少霞</w:t>
      </w:r>
    </w:p>
    <w:p>
      <w:pPr>
        <w:spacing w:after="0"/>
        <w:jc w:val="left"/>
        <w:rPr>
          <w:rFonts w:ascii="宋体" w:hAnsi="宋体" w:cs="宋体" w:eastAsia="宋体" w:hint="default"/>
          <w:sz w:val="18"/>
          <w:szCs w:val="18"/>
        </w:rPr>
        <w:sectPr>
          <w:headerReference w:type="default" r:id="rId26"/>
          <w:footerReference w:type="default" r:id="rId27"/>
          <w:pgSz w:w="16840" w:h="11910" w:orient="landscape"/>
          <w:pgMar w:header="1453" w:footer="781" w:top="1640" w:bottom="980" w:left="560" w:right="440"/>
          <w:pgNumType w:start="9"/>
        </w:sectPr>
      </w:pPr>
    </w:p>
    <w:p>
      <w:pPr>
        <w:spacing w:before="37"/>
        <w:ind w:left="6260" w:right="6245" w:firstLine="0"/>
        <w:jc w:val="center"/>
        <w:rPr>
          <w:rFonts w:ascii="宋体" w:hAnsi="宋体" w:cs="宋体" w:eastAsia="宋体" w:hint="default"/>
          <w:sz w:val="18"/>
          <w:szCs w:val="18"/>
        </w:rPr>
      </w:pPr>
      <w:r>
        <w:rPr>
          <w:rFonts w:ascii="宋体" w:hAnsi="宋体" w:cs="宋体" w:eastAsia="宋体" w:hint="default"/>
          <w:b/>
          <w:bCs/>
          <w:sz w:val="18"/>
          <w:szCs w:val="18"/>
        </w:rPr>
        <w:t>合并股东权益变动表（续）</w:t>
      </w:r>
      <w:r>
        <w:rPr>
          <w:rFonts w:ascii="宋体" w:hAnsi="宋体" w:cs="宋体" w:eastAsia="宋体" w:hint="default"/>
          <w:sz w:val="18"/>
          <w:szCs w:val="18"/>
        </w:rPr>
      </w:r>
    </w:p>
    <w:p>
      <w:pPr>
        <w:spacing w:before="38"/>
        <w:ind w:left="6260" w:right="6242" w:firstLine="0"/>
        <w:jc w:val="center"/>
        <w:rPr>
          <w:rFonts w:ascii="宋体" w:hAnsi="宋体" w:cs="宋体" w:eastAsia="宋体" w:hint="default"/>
          <w:sz w:val="18"/>
          <w:szCs w:val="18"/>
        </w:rPr>
      </w:pPr>
      <w:r>
        <w:rPr>
          <w:rFonts w:ascii="Times New Roman" w:hAnsi="Times New Roman" w:cs="Times New Roman" w:eastAsia="Times New Roman" w:hint="default"/>
          <w:b/>
          <w:bCs/>
          <w:sz w:val="18"/>
          <w:szCs w:val="18"/>
        </w:rPr>
        <w:t>2018 </w:t>
      </w:r>
      <w:r>
        <w:rPr>
          <w:rFonts w:ascii="宋体" w:hAnsi="宋体" w:cs="宋体" w:eastAsia="宋体" w:hint="default"/>
          <w:b/>
          <w:bCs/>
          <w:sz w:val="18"/>
          <w:szCs w:val="18"/>
        </w:rPr>
        <w:t>年度</w:t>
      </w:r>
      <w:r>
        <w:rPr>
          <w:rFonts w:ascii="宋体" w:hAnsi="宋体" w:cs="宋体" w:eastAsia="宋体" w:hint="default"/>
          <w:sz w:val="18"/>
          <w:szCs w:val="18"/>
        </w:rPr>
      </w:r>
    </w:p>
    <w:p>
      <w:pPr>
        <w:spacing w:before="24"/>
        <w:ind w:left="6260" w:right="6246" w:firstLine="0"/>
        <w:jc w:val="center"/>
        <w:rPr>
          <w:rFonts w:ascii="宋体" w:hAnsi="宋体" w:cs="宋体" w:eastAsia="宋体" w:hint="default"/>
          <w:sz w:val="18"/>
          <w:szCs w:val="18"/>
        </w:rPr>
      </w:pPr>
      <w:r>
        <w:rPr>
          <w:rFonts w:ascii="宋体" w:hAnsi="宋体" w:cs="宋体" w:eastAsia="宋体" w:hint="default"/>
          <w:b/>
          <w:bCs/>
          <w:sz w:val="18"/>
          <w:szCs w:val="18"/>
        </w:rPr>
        <w:t>（除特别注明外，金额单位均为人民币元）</w:t>
      </w:r>
      <w:r>
        <w:rPr>
          <w:rFonts w:ascii="宋体" w:hAnsi="宋体" w:cs="宋体" w:eastAsia="宋体" w:hint="default"/>
          <w:sz w:val="18"/>
          <w:szCs w:val="18"/>
        </w:rPr>
      </w:r>
    </w:p>
    <w:p>
      <w:pPr>
        <w:spacing w:line="240" w:lineRule="auto" w:before="1"/>
        <w:rPr>
          <w:rFonts w:ascii="宋体" w:hAnsi="宋体" w:cs="宋体" w:eastAsia="宋体" w:hint="default"/>
          <w:b/>
          <w:bCs/>
          <w:sz w:val="14"/>
          <w:szCs w:val="14"/>
        </w:rPr>
      </w:pPr>
    </w:p>
    <w:tbl>
      <w:tblPr>
        <w:tblW w:w="0" w:type="auto"/>
        <w:jc w:val="left"/>
        <w:tblInd w:w="112" w:type="dxa"/>
        <w:tblLayout w:type="fixed"/>
        <w:tblCellMar>
          <w:top w:w="0" w:type="dxa"/>
          <w:left w:w="0" w:type="dxa"/>
          <w:bottom w:w="0" w:type="dxa"/>
          <w:right w:w="0" w:type="dxa"/>
        </w:tblCellMar>
        <w:tblLook w:val="01E0"/>
      </w:tblPr>
      <w:tblGrid>
        <w:gridCol w:w="2552"/>
        <w:gridCol w:w="1134"/>
        <w:gridCol w:w="708"/>
        <w:gridCol w:w="709"/>
        <w:gridCol w:w="566"/>
        <w:gridCol w:w="1276"/>
        <w:gridCol w:w="992"/>
        <w:gridCol w:w="1276"/>
        <w:gridCol w:w="992"/>
        <w:gridCol w:w="1134"/>
        <w:gridCol w:w="709"/>
        <w:gridCol w:w="1134"/>
        <w:gridCol w:w="1276"/>
        <w:gridCol w:w="1276"/>
      </w:tblGrid>
      <w:tr>
        <w:trPr>
          <w:trHeight w:val="210" w:hRule="exact"/>
        </w:trPr>
        <w:tc>
          <w:tcPr>
            <w:tcW w:w="255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right="1"/>
              <w:jc w:val="center"/>
              <w:rPr>
                <w:rFonts w:ascii="宋体" w:hAnsi="宋体" w:cs="宋体" w:eastAsia="宋体" w:hint="default"/>
                <w:sz w:val="13"/>
                <w:szCs w:val="13"/>
              </w:rPr>
            </w:pPr>
            <w:r>
              <w:rPr>
                <w:rFonts w:ascii="宋体" w:hAnsi="宋体" w:cs="宋体" w:eastAsia="宋体" w:hint="default"/>
                <w:sz w:val="13"/>
                <w:szCs w:val="13"/>
              </w:rPr>
              <w:t>项目</w:t>
            </w:r>
          </w:p>
        </w:tc>
        <w:tc>
          <w:tcPr>
            <w:tcW w:w="13182" w:type="dxa"/>
            <w:gridSpan w:val="13"/>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
              <w:jc w:val="center"/>
              <w:rPr>
                <w:rFonts w:ascii="宋体" w:hAnsi="宋体" w:cs="宋体" w:eastAsia="宋体" w:hint="default"/>
                <w:sz w:val="13"/>
                <w:szCs w:val="13"/>
              </w:rPr>
            </w:pPr>
            <w:r>
              <w:rPr>
                <w:rFonts w:ascii="宋体" w:hAnsi="宋体" w:cs="宋体" w:eastAsia="宋体" w:hint="default"/>
                <w:sz w:val="13"/>
                <w:szCs w:val="13"/>
              </w:rPr>
              <w:t>上期</w:t>
            </w:r>
          </w:p>
        </w:tc>
      </w:tr>
      <w:tr>
        <w:trPr>
          <w:trHeight w:val="210" w:hRule="exact"/>
        </w:trPr>
        <w:tc>
          <w:tcPr>
            <w:tcW w:w="2552" w:type="dxa"/>
            <w:vMerge/>
            <w:tcBorders>
              <w:left w:val="single" w:sz="4" w:space="0" w:color="000000"/>
              <w:right w:val="single" w:sz="4" w:space="0" w:color="000000"/>
            </w:tcBorders>
          </w:tcPr>
          <w:p>
            <w:pPr/>
          </w:p>
        </w:tc>
        <w:tc>
          <w:tcPr>
            <w:tcW w:w="10631" w:type="dxa"/>
            <w:gridSpan w:val="11"/>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center"/>
              <w:rPr>
                <w:rFonts w:ascii="宋体" w:hAnsi="宋体" w:cs="宋体" w:eastAsia="宋体" w:hint="default"/>
                <w:sz w:val="13"/>
                <w:szCs w:val="13"/>
              </w:rPr>
            </w:pPr>
            <w:r>
              <w:rPr>
                <w:rFonts w:ascii="宋体" w:hAnsi="宋体" w:cs="宋体" w:eastAsia="宋体" w:hint="default"/>
                <w:sz w:val="13"/>
                <w:szCs w:val="13"/>
              </w:rPr>
              <w:t>归属于母公司所有者权益</w:t>
            </w:r>
          </w:p>
        </w:tc>
        <w:tc>
          <w:tcPr>
            <w:tcW w:w="1276"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6"/>
                <w:szCs w:val="16"/>
              </w:rPr>
            </w:pPr>
          </w:p>
          <w:p>
            <w:pPr>
              <w:pStyle w:val="TableParagraph"/>
              <w:spacing w:line="240" w:lineRule="auto"/>
              <w:ind w:left="242" w:right="0"/>
              <w:jc w:val="left"/>
              <w:rPr>
                <w:rFonts w:ascii="宋体" w:hAnsi="宋体" w:cs="宋体" w:eastAsia="宋体" w:hint="default"/>
                <w:sz w:val="13"/>
                <w:szCs w:val="13"/>
              </w:rPr>
            </w:pPr>
            <w:r>
              <w:rPr>
                <w:rFonts w:ascii="宋体" w:hAnsi="宋体" w:cs="宋体" w:eastAsia="宋体" w:hint="default"/>
                <w:sz w:val="13"/>
                <w:szCs w:val="13"/>
              </w:rPr>
              <w:t>少数股东权益</w:t>
            </w:r>
          </w:p>
        </w:tc>
        <w:tc>
          <w:tcPr>
            <w:tcW w:w="1276"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6"/>
                <w:szCs w:val="16"/>
              </w:rPr>
            </w:pPr>
          </w:p>
          <w:p>
            <w:pPr>
              <w:pStyle w:val="TableParagraph"/>
              <w:spacing w:line="240" w:lineRule="auto"/>
              <w:ind w:left="177" w:right="0"/>
              <w:jc w:val="left"/>
              <w:rPr>
                <w:rFonts w:ascii="宋体" w:hAnsi="宋体" w:cs="宋体" w:eastAsia="宋体" w:hint="default"/>
                <w:sz w:val="13"/>
                <w:szCs w:val="13"/>
              </w:rPr>
            </w:pPr>
            <w:r>
              <w:rPr>
                <w:rFonts w:ascii="宋体" w:hAnsi="宋体" w:cs="宋体" w:eastAsia="宋体" w:hint="default"/>
                <w:sz w:val="13"/>
                <w:szCs w:val="13"/>
              </w:rPr>
              <w:t>所有者权益合计</w:t>
            </w:r>
          </w:p>
        </w:tc>
      </w:tr>
      <w:tr>
        <w:trPr>
          <w:trHeight w:val="210" w:hRule="exact"/>
        </w:trPr>
        <w:tc>
          <w:tcPr>
            <w:tcW w:w="2552" w:type="dxa"/>
            <w:vMerge/>
            <w:tcBorders>
              <w:left w:val="single" w:sz="4" w:space="0" w:color="000000"/>
              <w:right w:val="single" w:sz="4" w:space="0" w:color="000000"/>
            </w:tcBorders>
          </w:tcPr>
          <w:p>
            <w:pPr/>
          </w:p>
        </w:tc>
        <w:tc>
          <w:tcPr>
            <w:tcW w:w="1134"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8"/>
                <w:szCs w:val="8"/>
              </w:rPr>
            </w:pPr>
          </w:p>
          <w:p>
            <w:pPr>
              <w:pStyle w:val="TableParagraph"/>
              <w:spacing w:line="240" w:lineRule="auto"/>
              <w:ind w:right="1"/>
              <w:jc w:val="center"/>
              <w:rPr>
                <w:rFonts w:ascii="宋体" w:hAnsi="宋体" w:cs="宋体" w:eastAsia="宋体" w:hint="default"/>
                <w:sz w:val="13"/>
                <w:szCs w:val="13"/>
              </w:rPr>
            </w:pPr>
            <w:r>
              <w:rPr>
                <w:rFonts w:ascii="宋体" w:hAnsi="宋体" w:cs="宋体" w:eastAsia="宋体" w:hint="default"/>
                <w:sz w:val="13"/>
                <w:szCs w:val="13"/>
              </w:rPr>
              <w:t>股本</w:t>
            </w:r>
          </w:p>
        </w:tc>
        <w:tc>
          <w:tcPr>
            <w:tcW w:w="1984"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596" w:right="0"/>
              <w:jc w:val="left"/>
              <w:rPr>
                <w:rFonts w:ascii="宋体" w:hAnsi="宋体" w:cs="宋体" w:eastAsia="宋体" w:hint="default"/>
                <w:sz w:val="13"/>
                <w:szCs w:val="13"/>
              </w:rPr>
            </w:pPr>
            <w:r>
              <w:rPr>
                <w:rFonts w:ascii="宋体" w:hAnsi="宋体" w:cs="宋体" w:eastAsia="宋体" w:hint="default"/>
                <w:sz w:val="13"/>
                <w:szCs w:val="13"/>
              </w:rPr>
              <w:t>其他权益工具</w:t>
            </w:r>
          </w:p>
        </w:tc>
        <w:tc>
          <w:tcPr>
            <w:tcW w:w="1276"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8"/>
                <w:szCs w:val="8"/>
              </w:rPr>
            </w:pPr>
          </w:p>
          <w:p>
            <w:pPr>
              <w:pStyle w:val="TableParagraph"/>
              <w:spacing w:line="240" w:lineRule="auto"/>
              <w:ind w:left="373" w:right="0"/>
              <w:jc w:val="left"/>
              <w:rPr>
                <w:rFonts w:ascii="宋体" w:hAnsi="宋体" w:cs="宋体" w:eastAsia="宋体" w:hint="default"/>
                <w:sz w:val="13"/>
                <w:szCs w:val="13"/>
              </w:rPr>
            </w:pPr>
            <w:r>
              <w:rPr>
                <w:rFonts w:ascii="宋体" w:hAnsi="宋体" w:cs="宋体" w:eastAsia="宋体" w:hint="default"/>
                <w:sz w:val="13"/>
                <w:szCs w:val="13"/>
              </w:rPr>
              <w:t>资本公积</w:t>
            </w:r>
          </w:p>
        </w:tc>
        <w:tc>
          <w:tcPr>
            <w:tcW w:w="992"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8"/>
                <w:szCs w:val="8"/>
              </w:rPr>
            </w:pPr>
          </w:p>
          <w:p>
            <w:pPr>
              <w:pStyle w:val="TableParagraph"/>
              <w:spacing w:line="240" w:lineRule="auto"/>
              <w:ind w:left="166" w:right="0"/>
              <w:jc w:val="left"/>
              <w:rPr>
                <w:rFonts w:ascii="宋体" w:hAnsi="宋体" w:cs="宋体" w:eastAsia="宋体" w:hint="default"/>
                <w:sz w:val="13"/>
                <w:szCs w:val="13"/>
              </w:rPr>
            </w:pPr>
            <w:r>
              <w:rPr>
                <w:rFonts w:ascii="宋体" w:hAnsi="宋体" w:cs="宋体" w:eastAsia="宋体" w:hint="default"/>
                <w:sz w:val="13"/>
                <w:szCs w:val="13"/>
              </w:rPr>
              <w:t>减：库存股</w:t>
            </w:r>
          </w:p>
        </w:tc>
        <w:tc>
          <w:tcPr>
            <w:tcW w:w="1276"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8"/>
                <w:szCs w:val="8"/>
              </w:rPr>
            </w:pPr>
          </w:p>
          <w:p>
            <w:pPr>
              <w:pStyle w:val="TableParagraph"/>
              <w:spacing w:line="240" w:lineRule="auto"/>
              <w:ind w:left="242" w:right="0"/>
              <w:jc w:val="left"/>
              <w:rPr>
                <w:rFonts w:ascii="宋体" w:hAnsi="宋体" w:cs="宋体" w:eastAsia="宋体" w:hint="default"/>
                <w:sz w:val="13"/>
                <w:szCs w:val="13"/>
              </w:rPr>
            </w:pPr>
            <w:r>
              <w:rPr>
                <w:rFonts w:ascii="宋体" w:hAnsi="宋体" w:cs="宋体" w:eastAsia="宋体" w:hint="default"/>
                <w:sz w:val="13"/>
                <w:szCs w:val="13"/>
              </w:rPr>
              <w:t>其他综合收益</w:t>
            </w:r>
          </w:p>
        </w:tc>
        <w:tc>
          <w:tcPr>
            <w:tcW w:w="992"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8"/>
                <w:szCs w:val="8"/>
              </w:rPr>
            </w:pPr>
          </w:p>
          <w:p>
            <w:pPr>
              <w:pStyle w:val="TableParagraph"/>
              <w:spacing w:line="240" w:lineRule="auto"/>
              <w:ind w:left="232" w:right="0"/>
              <w:jc w:val="left"/>
              <w:rPr>
                <w:rFonts w:ascii="宋体" w:hAnsi="宋体" w:cs="宋体" w:eastAsia="宋体" w:hint="default"/>
                <w:sz w:val="13"/>
                <w:szCs w:val="13"/>
              </w:rPr>
            </w:pPr>
            <w:r>
              <w:rPr>
                <w:rFonts w:ascii="宋体" w:hAnsi="宋体" w:cs="宋体" w:eastAsia="宋体" w:hint="default"/>
                <w:sz w:val="13"/>
                <w:szCs w:val="13"/>
              </w:rPr>
              <w:t>专项储备</w:t>
            </w:r>
          </w:p>
        </w:tc>
        <w:tc>
          <w:tcPr>
            <w:tcW w:w="1134"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8"/>
                <w:szCs w:val="8"/>
              </w:rPr>
            </w:pPr>
          </w:p>
          <w:p>
            <w:pPr>
              <w:pStyle w:val="TableParagraph"/>
              <w:spacing w:line="240" w:lineRule="auto"/>
              <w:ind w:left="302" w:right="0"/>
              <w:jc w:val="left"/>
              <w:rPr>
                <w:rFonts w:ascii="宋体" w:hAnsi="宋体" w:cs="宋体" w:eastAsia="宋体" w:hint="default"/>
                <w:sz w:val="13"/>
                <w:szCs w:val="13"/>
              </w:rPr>
            </w:pPr>
            <w:r>
              <w:rPr>
                <w:rFonts w:ascii="宋体" w:hAnsi="宋体" w:cs="宋体" w:eastAsia="宋体" w:hint="default"/>
                <w:sz w:val="13"/>
                <w:szCs w:val="13"/>
              </w:rPr>
              <w:t>盈余公积</w:t>
            </w:r>
          </w:p>
        </w:tc>
        <w:tc>
          <w:tcPr>
            <w:tcW w:w="709" w:type="dxa"/>
            <w:vMerge w:val="restart"/>
            <w:tcBorders>
              <w:top w:val="single" w:sz="4" w:space="0" w:color="000000"/>
              <w:left w:val="single" w:sz="4" w:space="0" w:color="000000"/>
              <w:right w:val="single" w:sz="4" w:space="0" w:color="000000"/>
            </w:tcBorders>
          </w:tcPr>
          <w:p>
            <w:pPr>
              <w:pStyle w:val="TableParagraph"/>
              <w:spacing w:line="283" w:lineRule="auto" w:before="12"/>
              <w:ind w:left="154" w:right="155"/>
              <w:jc w:val="left"/>
              <w:rPr>
                <w:rFonts w:ascii="宋体" w:hAnsi="宋体" w:cs="宋体" w:eastAsia="宋体" w:hint="default"/>
                <w:sz w:val="13"/>
                <w:szCs w:val="13"/>
              </w:rPr>
            </w:pPr>
            <w:r>
              <w:rPr>
                <w:rFonts w:ascii="宋体" w:hAnsi="宋体" w:cs="宋体" w:eastAsia="宋体" w:hint="default"/>
                <w:sz w:val="13"/>
                <w:szCs w:val="13"/>
              </w:rPr>
              <w:t>一般风</w:t>
            </w:r>
            <w:r>
              <w:rPr>
                <w:rFonts w:ascii="宋体" w:hAnsi="宋体" w:cs="宋体" w:eastAsia="宋体" w:hint="default"/>
                <w:w w:val="99"/>
                <w:sz w:val="13"/>
                <w:szCs w:val="13"/>
              </w:rPr>
              <w:t> </w:t>
            </w:r>
            <w:r>
              <w:rPr>
                <w:rFonts w:ascii="宋体" w:hAnsi="宋体" w:cs="宋体" w:eastAsia="宋体" w:hint="default"/>
                <w:sz w:val="13"/>
                <w:szCs w:val="13"/>
              </w:rPr>
              <w:t>险准备</w:t>
            </w:r>
          </w:p>
        </w:tc>
        <w:tc>
          <w:tcPr>
            <w:tcW w:w="1134"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8"/>
                <w:szCs w:val="8"/>
              </w:rPr>
            </w:pPr>
          </w:p>
          <w:p>
            <w:pPr>
              <w:pStyle w:val="TableParagraph"/>
              <w:spacing w:line="240" w:lineRule="auto"/>
              <w:ind w:left="236" w:right="0"/>
              <w:jc w:val="left"/>
              <w:rPr>
                <w:rFonts w:ascii="宋体" w:hAnsi="宋体" w:cs="宋体" w:eastAsia="宋体" w:hint="default"/>
                <w:sz w:val="13"/>
                <w:szCs w:val="13"/>
              </w:rPr>
            </w:pPr>
            <w:r>
              <w:rPr>
                <w:rFonts w:ascii="宋体" w:hAnsi="宋体" w:cs="宋体" w:eastAsia="宋体" w:hint="default"/>
                <w:sz w:val="13"/>
                <w:szCs w:val="13"/>
              </w:rPr>
              <w:t>未分配利润</w:t>
            </w:r>
          </w:p>
        </w:tc>
        <w:tc>
          <w:tcPr>
            <w:tcW w:w="1276" w:type="dxa"/>
            <w:vMerge/>
            <w:tcBorders>
              <w:left w:val="single" w:sz="4" w:space="0" w:color="000000"/>
              <w:right w:val="single" w:sz="4" w:space="0" w:color="000000"/>
            </w:tcBorders>
          </w:tcPr>
          <w:p>
            <w:pPr/>
          </w:p>
        </w:tc>
        <w:tc>
          <w:tcPr>
            <w:tcW w:w="1276" w:type="dxa"/>
            <w:vMerge/>
            <w:tcBorders>
              <w:left w:val="single" w:sz="4" w:space="0" w:color="000000"/>
              <w:right w:val="single" w:sz="4" w:space="0" w:color="000000"/>
            </w:tcBorders>
          </w:tcPr>
          <w:p>
            <w:pPr/>
          </w:p>
        </w:tc>
      </w:tr>
      <w:tr>
        <w:trPr>
          <w:trHeight w:val="210" w:hRule="exact"/>
        </w:trPr>
        <w:tc>
          <w:tcPr>
            <w:tcW w:w="2552"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53" w:right="0"/>
              <w:jc w:val="left"/>
              <w:rPr>
                <w:rFonts w:ascii="宋体" w:hAnsi="宋体" w:cs="宋体" w:eastAsia="宋体" w:hint="default"/>
                <w:sz w:val="13"/>
                <w:szCs w:val="13"/>
              </w:rPr>
            </w:pPr>
            <w:r>
              <w:rPr>
                <w:rFonts w:ascii="宋体" w:hAnsi="宋体" w:cs="宋体" w:eastAsia="宋体" w:hint="default"/>
                <w:sz w:val="13"/>
                <w:szCs w:val="13"/>
              </w:rPr>
              <w:t>优先股</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54" w:right="0"/>
              <w:jc w:val="left"/>
              <w:rPr>
                <w:rFonts w:ascii="宋体" w:hAnsi="宋体" w:cs="宋体" w:eastAsia="宋体" w:hint="default"/>
                <w:sz w:val="13"/>
                <w:szCs w:val="13"/>
              </w:rPr>
            </w:pPr>
            <w:r>
              <w:rPr>
                <w:rFonts w:ascii="宋体" w:hAnsi="宋体" w:cs="宋体" w:eastAsia="宋体" w:hint="default"/>
                <w:sz w:val="13"/>
                <w:szCs w:val="13"/>
              </w:rPr>
              <w:t>永续债</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48" w:right="0"/>
              <w:jc w:val="left"/>
              <w:rPr>
                <w:rFonts w:ascii="宋体" w:hAnsi="宋体" w:cs="宋体" w:eastAsia="宋体" w:hint="default"/>
                <w:sz w:val="13"/>
                <w:szCs w:val="13"/>
              </w:rPr>
            </w:pPr>
            <w:r>
              <w:rPr>
                <w:rFonts w:ascii="宋体" w:hAnsi="宋体" w:cs="宋体" w:eastAsia="宋体" w:hint="default"/>
                <w:sz w:val="13"/>
                <w:szCs w:val="13"/>
              </w:rPr>
              <w:t>其他</w:t>
            </w:r>
          </w:p>
        </w:tc>
        <w:tc>
          <w:tcPr>
            <w:tcW w:w="1276" w:type="dxa"/>
            <w:vMerge/>
            <w:tcBorders>
              <w:left w:val="single" w:sz="4" w:space="0" w:color="000000"/>
              <w:bottom w:val="single" w:sz="4" w:space="0" w:color="000000"/>
              <w:right w:val="single" w:sz="4" w:space="0" w:color="000000"/>
            </w:tcBorders>
          </w:tcPr>
          <w:p>
            <w:pPr/>
          </w:p>
        </w:tc>
        <w:tc>
          <w:tcPr>
            <w:tcW w:w="992" w:type="dxa"/>
            <w:vMerge/>
            <w:tcBorders>
              <w:left w:val="single" w:sz="4" w:space="0" w:color="000000"/>
              <w:bottom w:val="single" w:sz="4" w:space="0" w:color="000000"/>
              <w:right w:val="single" w:sz="4" w:space="0" w:color="000000"/>
            </w:tcBorders>
          </w:tcPr>
          <w:p>
            <w:pPr/>
          </w:p>
        </w:tc>
        <w:tc>
          <w:tcPr>
            <w:tcW w:w="1276" w:type="dxa"/>
            <w:vMerge/>
            <w:tcBorders>
              <w:left w:val="single" w:sz="4" w:space="0" w:color="000000"/>
              <w:bottom w:val="single" w:sz="4" w:space="0" w:color="000000"/>
              <w:right w:val="single" w:sz="4" w:space="0" w:color="000000"/>
            </w:tcBorders>
          </w:tcPr>
          <w:p>
            <w:pPr/>
          </w:p>
        </w:tc>
        <w:tc>
          <w:tcPr>
            <w:tcW w:w="992"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709"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1276" w:type="dxa"/>
            <w:vMerge/>
            <w:tcBorders>
              <w:left w:val="single" w:sz="4" w:space="0" w:color="000000"/>
              <w:bottom w:val="single" w:sz="4" w:space="0" w:color="000000"/>
              <w:right w:val="single" w:sz="4" w:space="0" w:color="000000"/>
            </w:tcBorders>
          </w:tcPr>
          <w:p>
            <w:pPr/>
          </w:p>
        </w:tc>
        <w:tc>
          <w:tcPr>
            <w:tcW w:w="1276" w:type="dxa"/>
            <w:vMerge/>
            <w:tcBorders>
              <w:left w:val="single" w:sz="4" w:space="0" w:color="000000"/>
              <w:bottom w:val="single" w:sz="4" w:space="0" w:color="000000"/>
              <w:right w:val="single" w:sz="4" w:space="0" w:color="000000"/>
            </w:tcBorders>
          </w:tcPr>
          <w:p>
            <w:pPr/>
          </w:p>
        </w:tc>
      </w:tr>
      <w:tr>
        <w:trPr>
          <w:trHeight w:val="210"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一、上年年末余额</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11" w:right="0"/>
              <w:jc w:val="left"/>
              <w:rPr>
                <w:rFonts w:ascii="Times New Roman" w:hAnsi="Times New Roman" w:cs="Times New Roman" w:eastAsia="Times New Roman" w:hint="default"/>
                <w:sz w:val="13"/>
                <w:szCs w:val="13"/>
              </w:rPr>
            </w:pPr>
            <w:r>
              <w:rPr>
                <w:rFonts w:ascii="Times New Roman"/>
                <w:sz w:val="13"/>
              </w:rPr>
              <w:t>1,323,593,886.00</w:t>
            </w: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698,581,594.25</w:t>
            </w:r>
            <w:r>
              <w:rPr>
                <w:rFonts w:ascii="Times New Roman"/>
                <w:sz w:val="13"/>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spacing w:val="-1"/>
                <w:sz w:val="13"/>
              </w:rPr>
              <w:t>-214,011,976.92</w:t>
            </w:r>
          </w:p>
        </w:tc>
        <w:tc>
          <w:tcPr>
            <w:tcW w:w="99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348,069,166.91</w:t>
            </w:r>
            <w:r>
              <w:rPr>
                <w:rFonts w:ascii="Times New Roman"/>
                <w:sz w:val="13"/>
              </w:rPr>
            </w: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614,227,560.87</w:t>
            </w:r>
            <w:r>
              <w:rPr>
                <w:rFonts w:ascii="Times New Roman"/>
                <w:sz w:val="13"/>
              </w:rPr>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6,734,688,961.73</w:t>
            </w:r>
            <w:r>
              <w:rPr>
                <w:rFonts w:ascii="Times New Roman"/>
                <w:sz w:val="13"/>
              </w:rPr>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w w:val="95"/>
                <w:sz w:val="13"/>
              </w:rPr>
              <w:t>9,505,149,192.84</w:t>
            </w:r>
            <w:r>
              <w:rPr>
                <w:rFonts w:ascii="Times New Roman"/>
                <w:sz w:val="13"/>
              </w:rPr>
            </w:r>
          </w:p>
        </w:tc>
      </w:tr>
      <w:tr>
        <w:trPr>
          <w:trHeight w:val="210"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加：会计政策变更</w:t>
            </w:r>
          </w:p>
        </w:tc>
        <w:tc>
          <w:tcPr>
            <w:tcW w:w="1134"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前期差错更正</w:t>
            </w:r>
          </w:p>
        </w:tc>
        <w:tc>
          <w:tcPr>
            <w:tcW w:w="1134"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同一控制下企业合并</w:t>
            </w:r>
          </w:p>
        </w:tc>
        <w:tc>
          <w:tcPr>
            <w:tcW w:w="1134"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973,373,878.37</w:t>
            </w:r>
            <w:r>
              <w:rPr>
                <w:rFonts w:ascii="Times New Roman"/>
                <w:sz w:val="13"/>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373,866,676.26</w:t>
            </w:r>
            <w:r>
              <w:rPr>
                <w:rFonts w:ascii="Times New Roman"/>
                <w:sz w:val="13"/>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Times New Roman" w:hAnsi="Times New Roman" w:cs="Times New Roman" w:eastAsia="Times New Roman" w:hint="default"/>
                <w:sz w:val="13"/>
                <w:szCs w:val="13"/>
              </w:rPr>
            </w:pPr>
            <w:r>
              <w:rPr>
                <w:rFonts w:ascii="Times New Roman"/>
                <w:w w:val="95"/>
                <w:sz w:val="13"/>
              </w:rPr>
              <w:t>550,970.99</w:t>
            </w:r>
            <w:r>
              <w:rPr>
                <w:rFonts w:ascii="Times New Roman"/>
                <w:sz w:val="13"/>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43,603,947.85</w:t>
            </w:r>
            <w:r>
              <w:rPr>
                <w:rFonts w:ascii="Times New Roman"/>
                <w:sz w:val="13"/>
              </w:rPr>
            </w: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spacing w:val="-1"/>
                <w:sz w:val="13"/>
              </w:rPr>
              <w:t>1,116,829,284.35</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3,896,732,355.92</w:t>
            </w:r>
            <w:r>
              <w:rPr>
                <w:rFonts w:ascii="Times New Roman"/>
                <w:sz w:val="13"/>
              </w:rPr>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spacing w:val="-1"/>
                <w:sz w:val="13"/>
              </w:rPr>
              <w:t>6,404,957,113.74</w:t>
            </w:r>
          </w:p>
        </w:tc>
      </w:tr>
      <w:tr>
        <w:trPr>
          <w:trHeight w:val="210"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其他</w:t>
            </w:r>
          </w:p>
        </w:tc>
        <w:tc>
          <w:tcPr>
            <w:tcW w:w="1134"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二、本年年初余额</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11" w:right="0"/>
              <w:jc w:val="left"/>
              <w:rPr>
                <w:rFonts w:ascii="Times New Roman" w:hAnsi="Times New Roman" w:cs="Times New Roman" w:eastAsia="Times New Roman" w:hint="default"/>
                <w:sz w:val="13"/>
                <w:szCs w:val="13"/>
              </w:rPr>
            </w:pPr>
            <w:r>
              <w:rPr>
                <w:rFonts w:ascii="Times New Roman"/>
                <w:sz w:val="13"/>
              </w:rPr>
              <w:t>1,323,593,886.00</w:t>
            </w: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1,671,955,472.62</w:t>
            </w:r>
            <w:r>
              <w:rPr>
                <w:rFonts w:ascii="Times New Roman"/>
                <w:sz w:val="13"/>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159,854,699.34</w:t>
            </w:r>
            <w:r>
              <w:rPr>
                <w:rFonts w:ascii="Times New Roman"/>
                <w:sz w:val="13"/>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Times New Roman" w:hAnsi="Times New Roman" w:cs="Times New Roman" w:eastAsia="Times New Roman" w:hint="default"/>
                <w:sz w:val="13"/>
                <w:szCs w:val="13"/>
              </w:rPr>
            </w:pPr>
            <w:r>
              <w:rPr>
                <w:rFonts w:ascii="Times New Roman"/>
                <w:w w:val="95"/>
                <w:sz w:val="13"/>
              </w:rPr>
              <w:t>550,970.99</w:t>
            </w:r>
            <w:r>
              <w:rPr>
                <w:rFonts w:ascii="Times New Roman"/>
                <w:sz w:val="13"/>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spacing w:val="-1"/>
                <w:sz w:val="13"/>
              </w:rPr>
              <w:t>391,673,114.76</w:t>
            </w: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1,731,056,845.22</w:t>
            </w:r>
            <w:r>
              <w:rPr>
                <w:rFonts w:ascii="Times New Roman"/>
                <w:sz w:val="13"/>
              </w:rPr>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10,631,421,317.65</w:t>
            </w:r>
            <w:r>
              <w:rPr>
                <w:rFonts w:ascii="Times New Roman"/>
                <w:sz w:val="13"/>
              </w:rPr>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w w:val="95"/>
                <w:sz w:val="13"/>
              </w:rPr>
              <w:t>15,910,106,306.58</w:t>
            </w:r>
            <w:r>
              <w:rPr>
                <w:rFonts w:ascii="Times New Roman"/>
                <w:sz w:val="13"/>
              </w:rPr>
            </w:r>
          </w:p>
        </w:tc>
      </w:tr>
      <w:tr>
        <w:trPr>
          <w:trHeight w:val="210"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pacing w:val="-5"/>
                <w:sz w:val="13"/>
                <w:szCs w:val="13"/>
              </w:rPr>
              <w:t>三、本期增减变动金额（减少以</w:t>
            </w:r>
            <w:r>
              <w:rPr>
                <w:rFonts w:ascii="Times New Roman" w:hAnsi="Times New Roman" w:cs="Times New Roman" w:eastAsia="Times New Roman" w:hint="default"/>
                <w:spacing w:val="-5"/>
                <w:sz w:val="13"/>
                <w:szCs w:val="13"/>
              </w:rPr>
              <w:t>“-”</w:t>
            </w:r>
            <w:r>
              <w:rPr>
                <w:rFonts w:ascii="宋体" w:hAnsi="宋体" w:cs="宋体" w:eastAsia="宋体" w:hint="default"/>
                <w:spacing w:val="-5"/>
                <w:sz w:val="13"/>
                <w:szCs w:val="13"/>
              </w:rPr>
              <w:t>号填列）</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11" w:right="0"/>
              <w:jc w:val="left"/>
              <w:rPr>
                <w:rFonts w:ascii="Times New Roman" w:hAnsi="Times New Roman" w:cs="Times New Roman" w:eastAsia="Times New Roman" w:hint="default"/>
                <w:sz w:val="13"/>
                <w:szCs w:val="13"/>
              </w:rPr>
            </w:pPr>
            <w:r>
              <w:rPr>
                <w:rFonts w:ascii="Times New Roman"/>
                <w:sz w:val="13"/>
              </w:rPr>
              <w:t>1,620,475,573.00</w:t>
            </w: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-1,278,131,837.71</w:t>
            </w:r>
            <w:r>
              <w:rPr>
                <w:rFonts w:ascii="Times New Roman"/>
                <w:sz w:val="13"/>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Times New Roman" w:hAnsi="Times New Roman" w:cs="Times New Roman" w:eastAsia="Times New Roman" w:hint="default"/>
                <w:sz w:val="13"/>
                <w:szCs w:val="13"/>
              </w:rPr>
            </w:pPr>
            <w:r>
              <w:rPr>
                <w:rFonts w:ascii="Times New Roman"/>
                <w:w w:val="95"/>
                <w:sz w:val="13"/>
              </w:rPr>
              <w:t>7,903,899.00</w:t>
            </w:r>
            <w:r>
              <w:rPr>
                <w:rFonts w:ascii="Times New Roman"/>
                <w:sz w:val="13"/>
              </w:rPr>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1,059,565,600.54</w:t>
            </w:r>
            <w:r>
              <w:rPr>
                <w:rFonts w:ascii="Times New Roman"/>
                <w:sz w:val="13"/>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Times New Roman" w:hAnsi="Times New Roman" w:cs="Times New Roman" w:eastAsia="Times New Roman" w:hint="default"/>
                <w:sz w:val="13"/>
                <w:szCs w:val="13"/>
              </w:rPr>
            </w:pPr>
            <w:r>
              <w:rPr>
                <w:rFonts w:ascii="Times New Roman"/>
                <w:w w:val="95"/>
                <w:sz w:val="13"/>
              </w:rPr>
              <w:t>3,195,700.09</w:t>
            </w:r>
            <w:r>
              <w:rPr>
                <w:rFonts w:ascii="Times New Roman"/>
                <w:sz w:val="13"/>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-100,284,543.31</w:t>
            </w:r>
            <w:r>
              <w:rPr>
                <w:rFonts w:ascii="Times New Roman"/>
                <w:sz w:val="13"/>
              </w:rPr>
            </w: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98,736,932.86</w:t>
            </w:r>
            <w:r>
              <w:rPr>
                <w:rFonts w:ascii="Times New Roman"/>
                <w:sz w:val="13"/>
              </w:rPr>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-9,747,176,801.57</w:t>
            </w:r>
            <w:r>
              <w:rPr>
                <w:rFonts w:ascii="Times New Roman"/>
                <w:sz w:val="13"/>
              </w:rPr>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w w:val="95"/>
                <w:sz w:val="13"/>
              </w:rPr>
              <w:t>-8,351,523,275.10</w:t>
            </w:r>
            <w:r>
              <w:rPr>
                <w:rFonts w:ascii="Times New Roman"/>
                <w:sz w:val="13"/>
              </w:rPr>
            </w:r>
          </w:p>
        </w:tc>
      </w:tr>
      <w:tr>
        <w:trPr>
          <w:trHeight w:val="210"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（一）综合收益总额</w:t>
            </w:r>
          </w:p>
        </w:tc>
        <w:tc>
          <w:tcPr>
            <w:tcW w:w="1134"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1,059,565,600.54</w:t>
            </w:r>
            <w:r>
              <w:rPr>
                <w:rFonts w:ascii="Times New Roman"/>
                <w:sz w:val="13"/>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581,043,323.65</w:t>
            </w:r>
            <w:r>
              <w:rPr>
                <w:rFonts w:ascii="Times New Roman"/>
                <w:sz w:val="13"/>
              </w:rPr>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-1,361,204,851.77</w:t>
            </w:r>
            <w:r>
              <w:rPr>
                <w:rFonts w:ascii="Times New Roman"/>
                <w:sz w:val="13"/>
              </w:rPr>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w w:val="95"/>
                <w:sz w:val="13"/>
              </w:rPr>
              <w:t>279,404,072.42</w:t>
            </w:r>
            <w:r>
              <w:rPr>
                <w:rFonts w:ascii="Times New Roman"/>
                <w:sz w:val="13"/>
              </w:rPr>
            </w:r>
          </w:p>
        </w:tc>
      </w:tr>
      <w:tr>
        <w:trPr>
          <w:trHeight w:val="210"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（二）所有者投入和减少资本</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11" w:right="0"/>
              <w:jc w:val="left"/>
              <w:rPr>
                <w:rFonts w:ascii="Times New Roman" w:hAnsi="Times New Roman" w:cs="Times New Roman" w:eastAsia="Times New Roman" w:hint="default"/>
                <w:sz w:val="13"/>
                <w:szCs w:val="13"/>
              </w:rPr>
            </w:pPr>
            <w:r>
              <w:rPr>
                <w:rFonts w:ascii="Times New Roman"/>
                <w:sz w:val="13"/>
              </w:rPr>
              <w:t>1,620,475,573.00</w:t>
            </w: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-1,278,131,837.71</w:t>
            </w:r>
            <w:r>
              <w:rPr>
                <w:rFonts w:ascii="Times New Roman"/>
                <w:sz w:val="13"/>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Times New Roman" w:hAnsi="Times New Roman" w:cs="Times New Roman" w:eastAsia="Times New Roman" w:hint="default"/>
                <w:sz w:val="13"/>
                <w:szCs w:val="13"/>
              </w:rPr>
            </w:pPr>
            <w:r>
              <w:rPr>
                <w:rFonts w:ascii="Times New Roman"/>
                <w:w w:val="95"/>
                <w:sz w:val="13"/>
              </w:rPr>
              <w:t>7,903,899.00</w:t>
            </w:r>
            <w:r>
              <w:rPr>
                <w:rFonts w:ascii="Times New Roman"/>
                <w:sz w:val="13"/>
              </w:rPr>
            </w:r>
          </w:p>
        </w:tc>
        <w:tc>
          <w:tcPr>
            <w:tcW w:w="127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-129,490,770.25</w:t>
            </w:r>
            <w:r>
              <w:rPr>
                <w:rFonts w:ascii="Times New Roman"/>
                <w:sz w:val="13"/>
              </w:rPr>
            </w: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-453,100,163.85</w:t>
            </w:r>
            <w:r>
              <w:rPr>
                <w:rFonts w:ascii="Times New Roman"/>
                <w:sz w:val="13"/>
              </w:rPr>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-8,373,228,533.72</w:t>
            </w:r>
            <w:r>
              <w:rPr>
                <w:rFonts w:ascii="Times New Roman"/>
                <w:sz w:val="13"/>
              </w:rPr>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w w:val="95"/>
                <w:sz w:val="13"/>
              </w:rPr>
              <w:t>-8,621,379,631.53</w:t>
            </w:r>
            <w:r>
              <w:rPr>
                <w:rFonts w:ascii="Times New Roman"/>
                <w:sz w:val="13"/>
              </w:rPr>
            </w:r>
          </w:p>
        </w:tc>
      </w:tr>
      <w:tr>
        <w:trPr>
          <w:trHeight w:val="210"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97"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1</w:t>
            </w:r>
            <w:r>
              <w:rPr>
                <w:rFonts w:ascii="宋体" w:hAnsi="宋体" w:cs="宋体" w:eastAsia="宋体" w:hint="default"/>
                <w:sz w:val="13"/>
                <w:szCs w:val="13"/>
              </w:rPr>
              <w:t>．所有者投入的普通股</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11" w:right="0"/>
              <w:jc w:val="left"/>
              <w:rPr>
                <w:rFonts w:ascii="Times New Roman" w:hAnsi="Times New Roman" w:cs="Times New Roman" w:eastAsia="Times New Roman" w:hint="default"/>
                <w:sz w:val="13"/>
                <w:szCs w:val="13"/>
              </w:rPr>
            </w:pPr>
            <w:r>
              <w:rPr>
                <w:rFonts w:ascii="Times New Roman"/>
                <w:sz w:val="13"/>
              </w:rPr>
              <w:t>1,620,475,573.00</w:t>
            </w: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976,210,010.31</w:t>
            </w:r>
            <w:r>
              <w:rPr>
                <w:rFonts w:ascii="Times New Roman"/>
                <w:sz w:val="13"/>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Times New Roman" w:hAnsi="Times New Roman" w:cs="Times New Roman" w:eastAsia="Times New Roman" w:hint="default"/>
                <w:sz w:val="13"/>
                <w:szCs w:val="13"/>
              </w:rPr>
            </w:pPr>
            <w:r>
              <w:rPr>
                <w:rFonts w:ascii="Times New Roman"/>
                <w:w w:val="95"/>
                <w:sz w:val="13"/>
              </w:rPr>
              <w:t>7,903,899.00</w:t>
            </w:r>
            <w:r>
              <w:rPr>
                <w:rFonts w:ascii="Times New Roman"/>
                <w:sz w:val="13"/>
              </w:rPr>
            </w:r>
          </w:p>
        </w:tc>
        <w:tc>
          <w:tcPr>
            <w:tcW w:w="127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-1,992,233,946.42</w:t>
            </w:r>
            <w:r>
              <w:rPr>
                <w:rFonts w:ascii="Times New Roman"/>
                <w:sz w:val="13"/>
              </w:rPr>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w w:val="95"/>
                <w:sz w:val="13"/>
              </w:rPr>
              <w:t>596,547,737.89</w:t>
            </w:r>
            <w:r>
              <w:rPr>
                <w:rFonts w:ascii="Times New Roman"/>
                <w:sz w:val="13"/>
              </w:rPr>
            </w:r>
          </w:p>
        </w:tc>
      </w:tr>
      <w:tr>
        <w:trPr>
          <w:trHeight w:val="210"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97"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2</w:t>
            </w:r>
            <w:r>
              <w:rPr>
                <w:rFonts w:ascii="宋体" w:hAnsi="宋体" w:cs="宋体" w:eastAsia="宋体" w:hint="default"/>
                <w:sz w:val="13"/>
                <w:szCs w:val="13"/>
              </w:rPr>
              <w:t>．其他权益工具持有者投入资本</w:t>
            </w:r>
          </w:p>
        </w:tc>
        <w:tc>
          <w:tcPr>
            <w:tcW w:w="1134"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97"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3</w:t>
            </w:r>
            <w:r>
              <w:rPr>
                <w:rFonts w:ascii="宋体" w:hAnsi="宋体" w:cs="宋体" w:eastAsia="宋体" w:hint="default"/>
                <w:sz w:val="13"/>
                <w:szCs w:val="13"/>
              </w:rPr>
              <w:t>．股份支付计入所有者权益的金额</w:t>
            </w:r>
          </w:p>
        </w:tc>
        <w:tc>
          <w:tcPr>
            <w:tcW w:w="1134"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97"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4</w:t>
            </w:r>
            <w:r>
              <w:rPr>
                <w:rFonts w:ascii="宋体" w:hAnsi="宋体" w:cs="宋体" w:eastAsia="宋体" w:hint="default"/>
                <w:sz w:val="13"/>
                <w:szCs w:val="13"/>
              </w:rPr>
              <w:t>．其他</w:t>
            </w:r>
          </w:p>
        </w:tc>
        <w:tc>
          <w:tcPr>
            <w:tcW w:w="1134"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-2,254,341,848.02</w:t>
            </w:r>
            <w:r>
              <w:rPr>
                <w:rFonts w:ascii="Times New Roman"/>
                <w:sz w:val="13"/>
              </w:rPr>
            </w:r>
          </w:p>
        </w:tc>
        <w:tc>
          <w:tcPr>
            <w:tcW w:w="992"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-129,490,770.25</w:t>
            </w:r>
            <w:r>
              <w:rPr>
                <w:rFonts w:ascii="Times New Roman"/>
                <w:sz w:val="13"/>
              </w:rPr>
            </w: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-453,100,163.85</w:t>
            </w:r>
            <w:r>
              <w:rPr>
                <w:rFonts w:ascii="Times New Roman"/>
                <w:sz w:val="13"/>
              </w:rPr>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-6,380,994,587.30</w:t>
            </w:r>
            <w:r>
              <w:rPr>
                <w:rFonts w:ascii="Times New Roman"/>
                <w:sz w:val="13"/>
              </w:rPr>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w w:val="95"/>
                <w:sz w:val="13"/>
              </w:rPr>
              <w:t>-9,217,927,369.42</w:t>
            </w:r>
            <w:r>
              <w:rPr>
                <w:rFonts w:ascii="Times New Roman"/>
                <w:sz w:val="13"/>
              </w:rPr>
            </w:r>
          </w:p>
        </w:tc>
      </w:tr>
      <w:tr>
        <w:trPr>
          <w:trHeight w:val="210"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（三）利润分配</w:t>
            </w:r>
          </w:p>
        </w:tc>
        <w:tc>
          <w:tcPr>
            <w:tcW w:w="1134"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29,206,226.94</w:t>
            </w:r>
            <w:r>
              <w:rPr>
                <w:rFonts w:ascii="Times New Roman"/>
                <w:sz w:val="13"/>
              </w:rPr>
            </w: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-29,206,226.94</w:t>
            </w:r>
            <w:r>
              <w:rPr>
                <w:rFonts w:ascii="Times New Roman"/>
                <w:sz w:val="13"/>
              </w:rPr>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-12,783,370.41</w:t>
            </w:r>
            <w:r>
              <w:rPr>
                <w:rFonts w:ascii="Times New Roman"/>
                <w:sz w:val="13"/>
              </w:rPr>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w w:val="95"/>
                <w:sz w:val="13"/>
              </w:rPr>
              <w:t>-12,783,370.41</w:t>
            </w:r>
            <w:r>
              <w:rPr>
                <w:rFonts w:ascii="Times New Roman"/>
                <w:sz w:val="13"/>
              </w:rPr>
            </w:r>
          </w:p>
        </w:tc>
      </w:tr>
      <w:tr>
        <w:trPr>
          <w:trHeight w:val="210"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97"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1</w:t>
            </w:r>
            <w:r>
              <w:rPr>
                <w:rFonts w:ascii="宋体" w:hAnsi="宋体" w:cs="宋体" w:eastAsia="宋体" w:hint="default"/>
                <w:sz w:val="13"/>
                <w:szCs w:val="13"/>
              </w:rPr>
              <w:t>．提取盈余公积</w:t>
            </w:r>
          </w:p>
        </w:tc>
        <w:tc>
          <w:tcPr>
            <w:tcW w:w="1134"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29,206,226.94</w:t>
            </w:r>
            <w:r>
              <w:rPr>
                <w:rFonts w:ascii="Times New Roman"/>
                <w:sz w:val="13"/>
              </w:rPr>
            </w: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-29,206,226.94</w:t>
            </w:r>
            <w:r>
              <w:rPr>
                <w:rFonts w:ascii="Times New Roman"/>
                <w:sz w:val="13"/>
              </w:rPr>
            </w: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97"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2</w:t>
            </w:r>
            <w:r>
              <w:rPr>
                <w:rFonts w:ascii="宋体" w:hAnsi="宋体" w:cs="宋体" w:eastAsia="宋体" w:hint="default"/>
                <w:sz w:val="13"/>
                <w:szCs w:val="13"/>
              </w:rPr>
              <w:t>．提取一般风险准备</w:t>
            </w:r>
          </w:p>
        </w:tc>
        <w:tc>
          <w:tcPr>
            <w:tcW w:w="1134"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97"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3</w:t>
            </w:r>
            <w:r>
              <w:rPr>
                <w:rFonts w:ascii="宋体" w:hAnsi="宋体" w:cs="宋体" w:eastAsia="宋体" w:hint="default"/>
                <w:sz w:val="13"/>
                <w:szCs w:val="13"/>
              </w:rPr>
              <w:t>．对所有者（或股东）的分配</w:t>
            </w:r>
          </w:p>
        </w:tc>
        <w:tc>
          <w:tcPr>
            <w:tcW w:w="1134"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-12,783,370.41</w:t>
            </w:r>
            <w:r>
              <w:rPr>
                <w:rFonts w:ascii="Times New Roman"/>
                <w:sz w:val="13"/>
              </w:rPr>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w w:val="95"/>
                <w:sz w:val="13"/>
              </w:rPr>
              <w:t>-12,783,370.41</w:t>
            </w:r>
            <w:r>
              <w:rPr>
                <w:rFonts w:ascii="Times New Roman"/>
                <w:sz w:val="13"/>
              </w:rPr>
            </w:r>
          </w:p>
        </w:tc>
      </w:tr>
      <w:tr>
        <w:trPr>
          <w:trHeight w:val="210"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97"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4</w:t>
            </w:r>
            <w:r>
              <w:rPr>
                <w:rFonts w:ascii="宋体" w:hAnsi="宋体" w:cs="宋体" w:eastAsia="宋体" w:hint="default"/>
                <w:sz w:val="13"/>
                <w:szCs w:val="13"/>
              </w:rPr>
              <w:t>．其他</w:t>
            </w:r>
          </w:p>
        </w:tc>
        <w:tc>
          <w:tcPr>
            <w:tcW w:w="1134"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（四）所有者权益内部结转</w:t>
            </w:r>
          </w:p>
        </w:tc>
        <w:tc>
          <w:tcPr>
            <w:tcW w:w="1134"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97"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1</w:t>
            </w:r>
            <w:r>
              <w:rPr>
                <w:rFonts w:ascii="宋体" w:hAnsi="宋体" w:cs="宋体" w:eastAsia="宋体" w:hint="default"/>
                <w:sz w:val="13"/>
                <w:szCs w:val="13"/>
              </w:rPr>
              <w:t>．资本公积转增资本（或股本）</w:t>
            </w:r>
          </w:p>
        </w:tc>
        <w:tc>
          <w:tcPr>
            <w:tcW w:w="1134"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97"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2</w:t>
            </w:r>
            <w:r>
              <w:rPr>
                <w:rFonts w:ascii="宋体" w:hAnsi="宋体" w:cs="宋体" w:eastAsia="宋体" w:hint="default"/>
                <w:sz w:val="13"/>
                <w:szCs w:val="13"/>
              </w:rPr>
              <w:t>．盈余公积转增资本（或股本）</w:t>
            </w:r>
          </w:p>
        </w:tc>
        <w:tc>
          <w:tcPr>
            <w:tcW w:w="1134"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97"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3</w:t>
            </w:r>
            <w:r>
              <w:rPr>
                <w:rFonts w:ascii="宋体" w:hAnsi="宋体" w:cs="宋体" w:eastAsia="宋体" w:hint="default"/>
                <w:sz w:val="13"/>
                <w:szCs w:val="13"/>
              </w:rPr>
              <w:t>．盈余公积弥补亏损</w:t>
            </w:r>
          </w:p>
        </w:tc>
        <w:tc>
          <w:tcPr>
            <w:tcW w:w="1134"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97"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4</w:t>
            </w:r>
            <w:r>
              <w:rPr>
                <w:rFonts w:ascii="宋体" w:hAnsi="宋体" w:cs="宋体" w:eastAsia="宋体" w:hint="default"/>
                <w:sz w:val="13"/>
                <w:szCs w:val="13"/>
              </w:rPr>
              <w:t>．设定受益计划变动额结转留存收益</w:t>
            </w:r>
          </w:p>
        </w:tc>
        <w:tc>
          <w:tcPr>
            <w:tcW w:w="1134"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97"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5</w:t>
            </w:r>
            <w:r>
              <w:rPr>
                <w:rFonts w:ascii="宋体" w:hAnsi="宋体" w:cs="宋体" w:eastAsia="宋体" w:hint="default"/>
                <w:sz w:val="13"/>
                <w:szCs w:val="13"/>
              </w:rPr>
              <w:t>．其他</w:t>
            </w:r>
          </w:p>
        </w:tc>
        <w:tc>
          <w:tcPr>
            <w:tcW w:w="1134"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（五）专项储备</w:t>
            </w:r>
          </w:p>
        </w:tc>
        <w:tc>
          <w:tcPr>
            <w:tcW w:w="1134"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Times New Roman" w:hAnsi="Times New Roman" w:cs="Times New Roman" w:eastAsia="Times New Roman" w:hint="default"/>
                <w:sz w:val="13"/>
                <w:szCs w:val="13"/>
              </w:rPr>
            </w:pPr>
            <w:r>
              <w:rPr>
                <w:rFonts w:ascii="Times New Roman"/>
                <w:w w:val="95"/>
                <w:sz w:val="13"/>
              </w:rPr>
              <w:t>3,195,700.09</w:t>
            </w:r>
            <w:r>
              <w:rPr>
                <w:rFonts w:ascii="Times New Roman"/>
                <w:sz w:val="13"/>
              </w:rPr>
            </w: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39,954.33</w:t>
            </w:r>
            <w:r>
              <w:rPr>
                <w:rFonts w:ascii="Times New Roman"/>
                <w:sz w:val="13"/>
              </w:rPr>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w w:val="95"/>
                <w:sz w:val="13"/>
              </w:rPr>
              <w:t>3,235,654.42</w:t>
            </w:r>
            <w:r>
              <w:rPr>
                <w:rFonts w:ascii="Times New Roman"/>
                <w:sz w:val="13"/>
              </w:rPr>
            </w:r>
          </w:p>
        </w:tc>
      </w:tr>
      <w:tr>
        <w:trPr>
          <w:trHeight w:val="210"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97"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1</w:t>
            </w:r>
            <w:r>
              <w:rPr>
                <w:rFonts w:ascii="宋体" w:hAnsi="宋体" w:cs="宋体" w:eastAsia="宋体" w:hint="default"/>
                <w:sz w:val="13"/>
                <w:szCs w:val="13"/>
              </w:rPr>
              <w:t>．本期提取</w:t>
            </w:r>
          </w:p>
        </w:tc>
        <w:tc>
          <w:tcPr>
            <w:tcW w:w="1134"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Times New Roman" w:hAnsi="Times New Roman" w:cs="Times New Roman" w:eastAsia="Times New Roman" w:hint="default"/>
                <w:sz w:val="13"/>
                <w:szCs w:val="13"/>
              </w:rPr>
            </w:pPr>
            <w:r>
              <w:rPr>
                <w:rFonts w:ascii="Times New Roman"/>
                <w:w w:val="95"/>
                <w:sz w:val="13"/>
              </w:rPr>
              <w:t>5,591,054.00</w:t>
            </w:r>
            <w:r>
              <w:rPr>
                <w:rFonts w:ascii="Times New Roman"/>
                <w:sz w:val="13"/>
              </w:rPr>
            </w: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768,924.98</w:t>
            </w:r>
            <w:r>
              <w:rPr>
                <w:rFonts w:ascii="Times New Roman"/>
                <w:sz w:val="13"/>
              </w:rPr>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w w:val="95"/>
                <w:sz w:val="13"/>
              </w:rPr>
              <w:t>6,359,978.98</w:t>
            </w:r>
            <w:r>
              <w:rPr>
                <w:rFonts w:ascii="Times New Roman"/>
                <w:sz w:val="13"/>
              </w:rPr>
            </w:r>
          </w:p>
        </w:tc>
      </w:tr>
      <w:tr>
        <w:trPr>
          <w:trHeight w:val="210"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297" w:right="0"/>
              <w:jc w:val="left"/>
              <w:rPr>
                <w:rFonts w:ascii="宋体" w:hAnsi="宋体" w:cs="宋体" w:eastAsia="宋体" w:hint="default"/>
                <w:sz w:val="13"/>
                <w:szCs w:val="13"/>
              </w:rPr>
            </w:pPr>
            <w:r>
              <w:rPr>
                <w:rFonts w:ascii="Times New Roman" w:hAnsi="Times New Roman" w:cs="Times New Roman" w:eastAsia="Times New Roman" w:hint="default"/>
                <w:sz w:val="13"/>
                <w:szCs w:val="13"/>
              </w:rPr>
              <w:t>2</w:t>
            </w:r>
            <w:r>
              <w:rPr>
                <w:rFonts w:ascii="宋体" w:hAnsi="宋体" w:cs="宋体" w:eastAsia="宋体" w:hint="default"/>
                <w:sz w:val="13"/>
                <w:szCs w:val="13"/>
              </w:rPr>
              <w:t>．本期使用</w:t>
            </w:r>
          </w:p>
        </w:tc>
        <w:tc>
          <w:tcPr>
            <w:tcW w:w="1134"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Times New Roman" w:hAnsi="Times New Roman" w:cs="Times New Roman" w:eastAsia="Times New Roman" w:hint="default"/>
                <w:sz w:val="13"/>
                <w:szCs w:val="13"/>
              </w:rPr>
            </w:pPr>
            <w:r>
              <w:rPr>
                <w:rFonts w:ascii="Times New Roman"/>
                <w:w w:val="95"/>
                <w:sz w:val="13"/>
              </w:rPr>
              <w:t>2,395,353.91</w:t>
            </w:r>
            <w:r>
              <w:rPr>
                <w:rFonts w:ascii="Times New Roman"/>
                <w:sz w:val="13"/>
              </w:rPr>
            </w: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728,970.65</w:t>
            </w:r>
            <w:r>
              <w:rPr>
                <w:rFonts w:ascii="Times New Roman"/>
                <w:sz w:val="13"/>
              </w:rPr>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w w:val="95"/>
                <w:sz w:val="13"/>
              </w:rPr>
              <w:t>3,124,324.56</w:t>
            </w:r>
            <w:r>
              <w:rPr>
                <w:rFonts w:ascii="Times New Roman"/>
                <w:sz w:val="13"/>
              </w:rPr>
            </w:r>
          </w:p>
        </w:tc>
      </w:tr>
      <w:tr>
        <w:trPr>
          <w:trHeight w:val="210"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（六）其他</w:t>
            </w:r>
          </w:p>
        </w:tc>
        <w:tc>
          <w:tcPr>
            <w:tcW w:w="1134"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r>
      <w:tr>
        <w:trPr>
          <w:trHeight w:val="210"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03" w:right="0"/>
              <w:jc w:val="left"/>
              <w:rPr>
                <w:rFonts w:ascii="宋体" w:hAnsi="宋体" w:cs="宋体" w:eastAsia="宋体" w:hint="default"/>
                <w:sz w:val="13"/>
                <w:szCs w:val="13"/>
              </w:rPr>
            </w:pPr>
            <w:r>
              <w:rPr>
                <w:rFonts w:ascii="宋体" w:hAnsi="宋体" w:cs="宋体" w:eastAsia="宋体" w:hint="default"/>
                <w:sz w:val="13"/>
                <w:szCs w:val="13"/>
              </w:rPr>
              <w:t>四、本期期末余额</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11" w:right="0"/>
              <w:jc w:val="left"/>
              <w:rPr>
                <w:rFonts w:ascii="Times New Roman" w:hAnsi="Times New Roman" w:cs="Times New Roman" w:eastAsia="Times New Roman" w:hint="default"/>
                <w:sz w:val="13"/>
                <w:szCs w:val="13"/>
              </w:rPr>
            </w:pPr>
            <w:r>
              <w:rPr>
                <w:rFonts w:ascii="Times New Roman"/>
                <w:sz w:val="13"/>
              </w:rPr>
              <w:t>2,944,069,459.00</w:t>
            </w: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393,823,634.91</w:t>
            </w:r>
            <w:r>
              <w:rPr>
                <w:rFonts w:ascii="Times New Roman"/>
                <w:sz w:val="13"/>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Times New Roman" w:hAnsi="Times New Roman" w:cs="Times New Roman" w:eastAsia="Times New Roman" w:hint="default"/>
                <w:sz w:val="13"/>
                <w:szCs w:val="13"/>
              </w:rPr>
            </w:pPr>
            <w:r>
              <w:rPr>
                <w:rFonts w:ascii="Times New Roman"/>
                <w:w w:val="95"/>
                <w:sz w:val="13"/>
              </w:rPr>
              <w:t>7,903,899.00</w:t>
            </w:r>
            <w:r>
              <w:rPr>
                <w:rFonts w:ascii="Times New Roman"/>
                <w:sz w:val="13"/>
              </w:rPr>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1,219,420,299.88</w:t>
            </w:r>
            <w:r>
              <w:rPr>
                <w:rFonts w:ascii="Times New Roman"/>
                <w:sz w:val="13"/>
              </w:rPr>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1"/>
              <w:jc w:val="right"/>
              <w:rPr>
                <w:rFonts w:ascii="Times New Roman" w:hAnsi="Times New Roman" w:cs="Times New Roman" w:eastAsia="Times New Roman" w:hint="default"/>
                <w:sz w:val="13"/>
                <w:szCs w:val="13"/>
              </w:rPr>
            </w:pPr>
            <w:r>
              <w:rPr>
                <w:rFonts w:ascii="Times New Roman"/>
                <w:w w:val="95"/>
                <w:sz w:val="13"/>
              </w:rPr>
              <w:t>3,746,671.08</w:t>
            </w:r>
            <w:r>
              <w:rPr>
                <w:rFonts w:ascii="Times New Roman"/>
                <w:sz w:val="13"/>
              </w:rPr>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291,388,571.45</w:t>
            </w:r>
            <w:r>
              <w:rPr>
                <w:rFonts w:ascii="Times New Roman"/>
                <w:sz w:val="13"/>
              </w:rPr>
            </w: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1,829,793,778.08</w:t>
            </w:r>
            <w:r>
              <w:rPr>
                <w:rFonts w:ascii="Times New Roman"/>
                <w:sz w:val="13"/>
              </w:rPr>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3"/>
                <w:szCs w:val="13"/>
              </w:rPr>
            </w:pPr>
            <w:r>
              <w:rPr>
                <w:rFonts w:ascii="Times New Roman"/>
                <w:w w:val="95"/>
                <w:sz w:val="13"/>
              </w:rPr>
              <w:t>884,244,516.08</w:t>
            </w:r>
            <w:r>
              <w:rPr>
                <w:rFonts w:ascii="Times New Roman"/>
                <w:sz w:val="13"/>
              </w:rPr>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3"/>
              <w:jc w:val="right"/>
              <w:rPr>
                <w:rFonts w:ascii="Times New Roman" w:hAnsi="Times New Roman" w:cs="Times New Roman" w:eastAsia="Times New Roman" w:hint="default"/>
                <w:sz w:val="13"/>
                <w:szCs w:val="13"/>
              </w:rPr>
            </w:pPr>
            <w:r>
              <w:rPr>
                <w:rFonts w:ascii="Times New Roman"/>
                <w:w w:val="95"/>
                <w:sz w:val="13"/>
              </w:rPr>
              <w:t>7,558,583,031.48</w:t>
            </w:r>
            <w:r>
              <w:rPr>
                <w:rFonts w:ascii="Times New Roman"/>
                <w:sz w:val="13"/>
              </w:rPr>
            </w:r>
          </w:p>
        </w:tc>
      </w:tr>
    </w:tbl>
    <w:p>
      <w:pPr>
        <w:spacing w:before="91"/>
        <w:ind w:left="543"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tabs>
          <w:tab w:pos="4503" w:val="left" w:leader="none"/>
          <w:tab w:pos="7743" w:val="left" w:leader="none"/>
          <w:tab w:pos="12063" w:val="left" w:leader="none"/>
        </w:tabs>
        <w:spacing w:before="82"/>
        <w:ind w:left="543" w:right="0" w:firstLine="0"/>
        <w:jc w:val="left"/>
        <w:rPr>
          <w:rFonts w:ascii="宋体" w:hAnsi="宋体" w:cs="宋体" w:eastAsia="宋体" w:hint="default"/>
          <w:sz w:val="18"/>
          <w:szCs w:val="18"/>
        </w:rPr>
      </w:pPr>
      <w:r>
        <w:rPr>
          <w:rFonts w:ascii="宋体" w:hAnsi="宋体" w:cs="宋体" w:eastAsia="宋体" w:hint="default"/>
          <w:sz w:val="18"/>
          <w:szCs w:val="18"/>
        </w:rPr>
        <w:t>企业法定代表人：宋黎定</w:t>
        <w:tab/>
        <w:t>公司总裁：徐刚</w:t>
        <w:tab/>
        <w:t>主管会计工作负责人：刘文彬</w:t>
        <w:tab/>
        <w:t>会计机构负责人：许少霞</w:t>
      </w:r>
    </w:p>
    <w:p>
      <w:pPr>
        <w:spacing w:after="0"/>
        <w:jc w:val="left"/>
        <w:rPr>
          <w:rFonts w:ascii="宋体" w:hAnsi="宋体" w:cs="宋体" w:eastAsia="宋体" w:hint="default"/>
          <w:sz w:val="18"/>
          <w:szCs w:val="18"/>
        </w:rPr>
        <w:sectPr>
          <w:pgSz w:w="16840" w:h="11910" w:orient="landscape"/>
          <w:pgMar w:header="1453" w:footer="781" w:top="1640" w:bottom="980" w:left="420" w:right="440"/>
        </w:sectPr>
      </w:pPr>
    </w:p>
    <w:p>
      <w:pPr>
        <w:spacing w:before="37"/>
        <w:ind w:left="5941" w:right="5944" w:firstLine="0"/>
        <w:jc w:val="center"/>
        <w:rPr>
          <w:rFonts w:ascii="宋体" w:hAnsi="宋体" w:cs="宋体" w:eastAsia="宋体" w:hint="default"/>
          <w:sz w:val="18"/>
          <w:szCs w:val="18"/>
        </w:rPr>
      </w:pPr>
      <w:r>
        <w:rPr>
          <w:rFonts w:ascii="宋体" w:hAnsi="宋体" w:cs="宋体" w:eastAsia="宋体" w:hint="default"/>
          <w:b/>
          <w:bCs/>
          <w:sz w:val="18"/>
          <w:szCs w:val="18"/>
        </w:rPr>
        <w:t>股东权益变动表</w:t>
      </w:r>
      <w:r>
        <w:rPr>
          <w:rFonts w:ascii="宋体" w:hAnsi="宋体" w:cs="宋体" w:eastAsia="宋体" w:hint="default"/>
          <w:sz w:val="18"/>
          <w:szCs w:val="18"/>
        </w:rPr>
      </w:r>
    </w:p>
    <w:p>
      <w:pPr>
        <w:spacing w:before="38"/>
        <w:ind w:left="5941" w:right="5942" w:firstLine="0"/>
        <w:jc w:val="center"/>
        <w:rPr>
          <w:rFonts w:ascii="宋体" w:hAnsi="宋体" w:cs="宋体" w:eastAsia="宋体" w:hint="default"/>
          <w:sz w:val="18"/>
          <w:szCs w:val="18"/>
        </w:rPr>
      </w:pPr>
      <w:r>
        <w:rPr>
          <w:rFonts w:ascii="Times New Roman" w:hAnsi="Times New Roman" w:cs="Times New Roman" w:eastAsia="Times New Roman" w:hint="default"/>
          <w:b/>
          <w:bCs/>
          <w:sz w:val="18"/>
          <w:szCs w:val="18"/>
        </w:rPr>
        <w:t>2018 </w:t>
      </w:r>
      <w:r>
        <w:rPr>
          <w:rFonts w:ascii="宋体" w:hAnsi="宋体" w:cs="宋体" w:eastAsia="宋体" w:hint="default"/>
          <w:b/>
          <w:bCs/>
          <w:sz w:val="18"/>
          <w:szCs w:val="18"/>
        </w:rPr>
        <w:t>年度</w:t>
      </w:r>
      <w:r>
        <w:rPr>
          <w:rFonts w:ascii="宋体" w:hAnsi="宋体" w:cs="宋体" w:eastAsia="宋体" w:hint="default"/>
          <w:sz w:val="18"/>
          <w:szCs w:val="18"/>
        </w:rPr>
      </w:r>
    </w:p>
    <w:p>
      <w:pPr>
        <w:spacing w:before="24"/>
        <w:ind w:left="5941" w:right="5944" w:firstLine="0"/>
        <w:jc w:val="center"/>
        <w:rPr>
          <w:rFonts w:ascii="宋体" w:hAnsi="宋体" w:cs="宋体" w:eastAsia="宋体" w:hint="default"/>
          <w:sz w:val="18"/>
          <w:szCs w:val="18"/>
        </w:rPr>
      </w:pPr>
      <w:r>
        <w:rPr>
          <w:rFonts w:ascii="宋体" w:hAnsi="宋体" w:cs="宋体" w:eastAsia="宋体" w:hint="default"/>
          <w:b/>
          <w:bCs/>
          <w:sz w:val="18"/>
          <w:szCs w:val="18"/>
        </w:rPr>
        <w:t>（除特别注明外，金额单位均为人民币元）</w:t>
      </w:r>
      <w:r>
        <w:rPr>
          <w:rFonts w:ascii="宋体" w:hAnsi="宋体" w:cs="宋体" w:eastAsia="宋体" w:hint="default"/>
          <w:sz w:val="18"/>
          <w:szCs w:val="18"/>
        </w:rPr>
      </w:r>
    </w:p>
    <w:p>
      <w:pPr>
        <w:spacing w:line="240" w:lineRule="auto" w:before="1"/>
        <w:rPr>
          <w:rFonts w:ascii="宋体" w:hAnsi="宋体" w:cs="宋体" w:eastAsia="宋体" w:hint="default"/>
          <w:b/>
          <w:bCs/>
          <w:sz w:val="14"/>
          <w:szCs w:val="14"/>
        </w:rPr>
      </w:pPr>
    </w:p>
    <w:tbl>
      <w:tblPr>
        <w:tblW w:w="0" w:type="auto"/>
        <w:jc w:val="left"/>
        <w:tblInd w:w="110" w:type="dxa"/>
        <w:tblLayout w:type="fixed"/>
        <w:tblCellMar>
          <w:top w:w="0" w:type="dxa"/>
          <w:left w:w="0" w:type="dxa"/>
          <w:bottom w:w="0" w:type="dxa"/>
          <w:right w:w="0" w:type="dxa"/>
        </w:tblCellMar>
        <w:tblLook w:val="01E0"/>
      </w:tblPr>
      <w:tblGrid>
        <w:gridCol w:w="2942"/>
        <w:gridCol w:w="1276"/>
        <w:gridCol w:w="709"/>
        <w:gridCol w:w="709"/>
        <w:gridCol w:w="708"/>
        <w:gridCol w:w="1276"/>
        <w:gridCol w:w="1026"/>
        <w:gridCol w:w="1384"/>
        <w:gridCol w:w="1066"/>
        <w:gridCol w:w="1154"/>
        <w:gridCol w:w="1296"/>
        <w:gridCol w:w="1580"/>
      </w:tblGrid>
      <w:tr>
        <w:trPr>
          <w:trHeight w:val="229" w:hRule="exact"/>
        </w:trPr>
        <w:tc>
          <w:tcPr>
            <w:tcW w:w="2942"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项目</w:t>
            </w:r>
          </w:p>
        </w:tc>
        <w:tc>
          <w:tcPr>
            <w:tcW w:w="12184" w:type="dxa"/>
            <w:gridSpan w:val="11"/>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
              <w:jc w:val="center"/>
              <w:rPr>
                <w:rFonts w:ascii="宋体" w:hAnsi="宋体" w:cs="宋体" w:eastAsia="宋体" w:hint="default"/>
                <w:sz w:val="15"/>
                <w:szCs w:val="15"/>
              </w:rPr>
            </w:pPr>
            <w:r>
              <w:rPr>
                <w:rFonts w:ascii="宋体" w:hAnsi="宋体" w:cs="宋体" w:eastAsia="宋体" w:hint="default"/>
                <w:sz w:val="15"/>
                <w:szCs w:val="15"/>
              </w:rPr>
              <w:t>本期</w:t>
            </w:r>
          </w:p>
        </w:tc>
      </w:tr>
      <w:tr>
        <w:trPr>
          <w:trHeight w:val="230" w:hRule="exact"/>
        </w:trPr>
        <w:tc>
          <w:tcPr>
            <w:tcW w:w="2942" w:type="dxa"/>
            <w:vMerge/>
            <w:tcBorders>
              <w:left w:val="single" w:sz="4" w:space="0" w:color="000000"/>
              <w:right w:val="single" w:sz="4" w:space="0" w:color="000000"/>
            </w:tcBorders>
          </w:tcPr>
          <w:p>
            <w:pPr/>
          </w:p>
        </w:tc>
        <w:tc>
          <w:tcPr>
            <w:tcW w:w="1276" w:type="dxa"/>
            <w:vMerge w:val="restart"/>
            <w:tcBorders>
              <w:top w:val="single" w:sz="4" w:space="0" w:color="000000"/>
              <w:left w:val="single" w:sz="4" w:space="0" w:color="000000"/>
              <w:right w:val="single" w:sz="4" w:space="0" w:color="000000"/>
            </w:tcBorders>
          </w:tcPr>
          <w:p>
            <w:pPr>
              <w:pStyle w:val="TableParagraph"/>
              <w:spacing w:line="240" w:lineRule="auto" w:before="116"/>
              <w:ind w:right="1"/>
              <w:jc w:val="center"/>
              <w:rPr>
                <w:rFonts w:ascii="宋体" w:hAnsi="宋体" w:cs="宋体" w:eastAsia="宋体" w:hint="default"/>
                <w:sz w:val="15"/>
                <w:szCs w:val="15"/>
              </w:rPr>
            </w:pPr>
            <w:r>
              <w:rPr>
                <w:rFonts w:ascii="宋体" w:hAnsi="宋体" w:cs="宋体" w:eastAsia="宋体" w:hint="default"/>
                <w:sz w:val="15"/>
                <w:szCs w:val="15"/>
              </w:rPr>
              <w:t>股本</w:t>
            </w:r>
          </w:p>
        </w:tc>
        <w:tc>
          <w:tcPr>
            <w:tcW w:w="212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608" w:right="0"/>
              <w:jc w:val="left"/>
              <w:rPr>
                <w:rFonts w:ascii="宋体" w:hAnsi="宋体" w:cs="宋体" w:eastAsia="宋体" w:hint="default"/>
                <w:sz w:val="15"/>
                <w:szCs w:val="15"/>
              </w:rPr>
            </w:pPr>
            <w:r>
              <w:rPr>
                <w:rFonts w:ascii="宋体" w:hAnsi="宋体" w:cs="宋体" w:eastAsia="宋体" w:hint="default"/>
                <w:sz w:val="15"/>
                <w:szCs w:val="15"/>
              </w:rPr>
              <w:t>其他权益工具</w:t>
            </w:r>
          </w:p>
        </w:tc>
        <w:tc>
          <w:tcPr>
            <w:tcW w:w="1276" w:type="dxa"/>
            <w:vMerge w:val="restart"/>
            <w:tcBorders>
              <w:top w:val="single" w:sz="4" w:space="0" w:color="000000"/>
              <w:left w:val="single" w:sz="4" w:space="0" w:color="000000"/>
              <w:right w:val="single" w:sz="4" w:space="0" w:color="000000"/>
            </w:tcBorders>
          </w:tcPr>
          <w:p>
            <w:pPr>
              <w:pStyle w:val="TableParagraph"/>
              <w:spacing w:line="240" w:lineRule="auto" w:before="116"/>
              <w:ind w:left="332" w:right="0"/>
              <w:jc w:val="left"/>
              <w:rPr>
                <w:rFonts w:ascii="宋体" w:hAnsi="宋体" w:cs="宋体" w:eastAsia="宋体" w:hint="default"/>
                <w:sz w:val="15"/>
                <w:szCs w:val="15"/>
              </w:rPr>
            </w:pPr>
            <w:r>
              <w:rPr>
                <w:rFonts w:ascii="宋体" w:hAnsi="宋体" w:cs="宋体" w:eastAsia="宋体" w:hint="default"/>
                <w:sz w:val="15"/>
                <w:szCs w:val="15"/>
              </w:rPr>
              <w:t>资本公积</w:t>
            </w:r>
          </w:p>
        </w:tc>
        <w:tc>
          <w:tcPr>
            <w:tcW w:w="1026" w:type="dxa"/>
            <w:vMerge w:val="restart"/>
            <w:tcBorders>
              <w:top w:val="single" w:sz="4" w:space="0" w:color="000000"/>
              <w:left w:val="single" w:sz="4" w:space="0" w:color="000000"/>
              <w:right w:val="single" w:sz="4" w:space="0" w:color="000000"/>
            </w:tcBorders>
          </w:tcPr>
          <w:p>
            <w:pPr>
              <w:pStyle w:val="TableParagraph"/>
              <w:spacing w:line="240" w:lineRule="auto" w:before="116"/>
              <w:ind w:left="133" w:right="0"/>
              <w:jc w:val="left"/>
              <w:rPr>
                <w:rFonts w:ascii="宋体" w:hAnsi="宋体" w:cs="宋体" w:eastAsia="宋体" w:hint="default"/>
                <w:sz w:val="15"/>
                <w:szCs w:val="15"/>
              </w:rPr>
            </w:pPr>
            <w:r>
              <w:rPr>
                <w:rFonts w:ascii="宋体" w:hAnsi="宋体" w:cs="宋体" w:eastAsia="宋体" w:hint="default"/>
                <w:sz w:val="15"/>
                <w:szCs w:val="15"/>
              </w:rPr>
              <w:t>减：库存股</w:t>
            </w:r>
          </w:p>
        </w:tc>
        <w:tc>
          <w:tcPr>
            <w:tcW w:w="1384" w:type="dxa"/>
            <w:vMerge w:val="restart"/>
            <w:tcBorders>
              <w:top w:val="single" w:sz="4" w:space="0" w:color="000000"/>
              <w:left w:val="single" w:sz="4" w:space="0" w:color="000000"/>
              <w:right w:val="single" w:sz="4" w:space="0" w:color="000000"/>
            </w:tcBorders>
          </w:tcPr>
          <w:p>
            <w:pPr>
              <w:pStyle w:val="TableParagraph"/>
              <w:spacing w:line="240" w:lineRule="auto" w:before="116"/>
              <w:ind w:left="236" w:right="0"/>
              <w:jc w:val="left"/>
              <w:rPr>
                <w:rFonts w:ascii="宋体" w:hAnsi="宋体" w:cs="宋体" w:eastAsia="宋体" w:hint="default"/>
                <w:sz w:val="15"/>
                <w:szCs w:val="15"/>
              </w:rPr>
            </w:pPr>
            <w:r>
              <w:rPr>
                <w:rFonts w:ascii="宋体" w:hAnsi="宋体" w:cs="宋体" w:eastAsia="宋体" w:hint="default"/>
                <w:sz w:val="15"/>
                <w:szCs w:val="15"/>
              </w:rPr>
              <w:t>其他综合收益</w:t>
            </w:r>
          </w:p>
        </w:tc>
        <w:tc>
          <w:tcPr>
            <w:tcW w:w="1066" w:type="dxa"/>
            <w:vMerge w:val="restart"/>
            <w:tcBorders>
              <w:top w:val="single" w:sz="4" w:space="0" w:color="000000"/>
              <w:left w:val="single" w:sz="4" w:space="0" w:color="000000"/>
              <w:right w:val="single" w:sz="4" w:space="0" w:color="000000"/>
            </w:tcBorders>
          </w:tcPr>
          <w:p>
            <w:pPr>
              <w:pStyle w:val="TableParagraph"/>
              <w:spacing w:line="240" w:lineRule="auto" w:before="116"/>
              <w:ind w:left="228" w:right="0"/>
              <w:jc w:val="left"/>
              <w:rPr>
                <w:rFonts w:ascii="宋体" w:hAnsi="宋体" w:cs="宋体" w:eastAsia="宋体" w:hint="default"/>
                <w:sz w:val="15"/>
                <w:szCs w:val="15"/>
              </w:rPr>
            </w:pPr>
            <w:r>
              <w:rPr>
                <w:rFonts w:ascii="宋体" w:hAnsi="宋体" w:cs="宋体" w:eastAsia="宋体" w:hint="default"/>
                <w:sz w:val="15"/>
                <w:szCs w:val="15"/>
              </w:rPr>
              <w:t>专项储备</w:t>
            </w:r>
          </w:p>
        </w:tc>
        <w:tc>
          <w:tcPr>
            <w:tcW w:w="1154" w:type="dxa"/>
            <w:vMerge w:val="restart"/>
            <w:tcBorders>
              <w:top w:val="single" w:sz="4" w:space="0" w:color="000000"/>
              <w:left w:val="single" w:sz="4" w:space="0" w:color="000000"/>
              <w:right w:val="single" w:sz="4" w:space="0" w:color="000000"/>
            </w:tcBorders>
          </w:tcPr>
          <w:p>
            <w:pPr>
              <w:pStyle w:val="TableParagraph"/>
              <w:spacing w:line="240" w:lineRule="auto" w:before="116"/>
              <w:ind w:left="272" w:right="0"/>
              <w:jc w:val="left"/>
              <w:rPr>
                <w:rFonts w:ascii="宋体" w:hAnsi="宋体" w:cs="宋体" w:eastAsia="宋体" w:hint="default"/>
                <w:sz w:val="15"/>
                <w:szCs w:val="15"/>
              </w:rPr>
            </w:pPr>
            <w:r>
              <w:rPr>
                <w:rFonts w:ascii="宋体" w:hAnsi="宋体" w:cs="宋体" w:eastAsia="宋体" w:hint="default"/>
                <w:sz w:val="15"/>
                <w:szCs w:val="15"/>
              </w:rPr>
              <w:t>盈余公积</w:t>
            </w:r>
          </w:p>
        </w:tc>
        <w:tc>
          <w:tcPr>
            <w:tcW w:w="1296" w:type="dxa"/>
            <w:vMerge w:val="restart"/>
            <w:tcBorders>
              <w:top w:val="single" w:sz="4" w:space="0" w:color="000000"/>
              <w:left w:val="single" w:sz="4" w:space="0" w:color="000000"/>
              <w:right w:val="single" w:sz="4" w:space="0" w:color="000000"/>
            </w:tcBorders>
          </w:tcPr>
          <w:p>
            <w:pPr>
              <w:pStyle w:val="TableParagraph"/>
              <w:spacing w:line="240" w:lineRule="auto" w:before="116"/>
              <w:ind w:left="268" w:right="0"/>
              <w:jc w:val="left"/>
              <w:rPr>
                <w:rFonts w:ascii="宋体" w:hAnsi="宋体" w:cs="宋体" w:eastAsia="宋体" w:hint="default"/>
                <w:sz w:val="15"/>
                <w:szCs w:val="15"/>
              </w:rPr>
            </w:pPr>
            <w:r>
              <w:rPr>
                <w:rFonts w:ascii="宋体" w:hAnsi="宋体" w:cs="宋体" w:eastAsia="宋体" w:hint="default"/>
                <w:sz w:val="15"/>
                <w:szCs w:val="15"/>
              </w:rPr>
              <w:t>未分配利润</w:t>
            </w:r>
          </w:p>
        </w:tc>
        <w:tc>
          <w:tcPr>
            <w:tcW w:w="1580" w:type="dxa"/>
            <w:vMerge w:val="restart"/>
            <w:tcBorders>
              <w:top w:val="single" w:sz="4" w:space="0" w:color="000000"/>
              <w:left w:val="single" w:sz="4" w:space="0" w:color="000000"/>
              <w:right w:val="single" w:sz="4" w:space="0" w:color="000000"/>
            </w:tcBorders>
          </w:tcPr>
          <w:p>
            <w:pPr>
              <w:pStyle w:val="TableParagraph"/>
              <w:spacing w:line="240" w:lineRule="auto" w:before="116"/>
              <w:ind w:left="261" w:right="0"/>
              <w:jc w:val="left"/>
              <w:rPr>
                <w:rFonts w:ascii="宋体" w:hAnsi="宋体" w:cs="宋体" w:eastAsia="宋体" w:hint="default"/>
                <w:sz w:val="15"/>
                <w:szCs w:val="15"/>
              </w:rPr>
            </w:pPr>
            <w:r>
              <w:rPr>
                <w:rFonts w:ascii="宋体" w:hAnsi="宋体" w:cs="宋体" w:eastAsia="宋体" w:hint="default"/>
                <w:sz w:val="15"/>
                <w:szCs w:val="15"/>
              </w:rPr>
              <w:t>所有者权益合计</w:t>
            </w:r>
          </w:p>
        </w:tc>
      </w:tr>
      <w:tr>
        <w:trPr>
          <w:trHeight w:val="230" w:hRule="exact"/>
        </w:trPr>
        <w:tc>
          <w:tcPr>
            <w:tcW w:w="2942" w:type="dxa"/>
            <w:vMerge/>
            <w:tcBorders>
              <w:left w:val="single" w:sz="4" w:space="0" w:color="000000"/>
              <w:bottom w:val="single" w:sz="4" w:space="0" w:color="000000"/>
              <w:right w:val="single" w:sz="4" w:space="0" w:color="000000"/>
            </w:tcBorders>
          </w:tcPr>
          <w:p>
            <w:pPr/>
          </w:p>
        </w:tc>
        <w:tc>
          <w:tcPr>
            <w:tcW w:w="1276" w:type="dxa"/>
            <w:vMerge/>
            <w:tcBorders>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24" w:right="0"/>
              <w:jc w:val="left"/>
              <w:rPr>
                <w:rFonts w:ascii="宋体" w:hAnsi="宋体" w:cs="宋体" w:eastAsia="宋体" w:hint="default"/>
                <w:sz w:val="15"/>
                <w:szCs w:val="15"/>
              </w:rPr>
            </w:pPr>
            <w:r>
              <w:rPr>
                <w:rFonts w:ascii="宋体" w:hAnsi="宋体" w:cs="宋体" w:eastAsia="宋体" w:hint="default"/>
                <w:sz w:val="15"/>
                <w:szCs w:val="15"/>
              </w:rPr>
              <w:t>优先股</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24" w:right="0"/>
              <w:jc w:val="left"/>
              <w:rPr>
                <w:rFonts w:ascii="宋体" w:hAnsi="宋体" w:cs="宋体" w:eastAsia="宋体" w:hint="default"/>
                <w:sz w:val="15"/>
                <w:szCs w:val="15"/>
              </w:rPr>
            </w:pPr>
            <w:r>
              <w:rPr>
                <w:rFonts w:ascii="宋体" w:hAnsi="宋体" w:cs="宋体" w:eastAsia="宋体" w:hint="default"/>
                <w:sz w:val="15"/>
                <w:szCs w:val="15"/>
              </w:rPr>
              <w:t>永续债</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99"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276" w:type="dxa"/>
            <w:vMerge/>
            <w:tcBorders>
              <w:left w:val="single" w:sz="4" w:space="0" w:color="000000"/>
              <w:bottom w:val="single" w:sz="4" w:space="0" w:color="000000"/>
              <w:right w:val="single" w:sz="4" w:space="0" w:color="000000"/>
            </w:tcBorders>
          </w:tcPr>
          <w:p>
            <w:pPr/>
          </w:p>
        </w:tc>
        <w:tc>
          <w:tcPr>
            <w:tcW w:w="1026" w:type="dxa"/>
            <w:vMerge/>
            <w:tcBorders>
              <w:left w:val="single" w:sz="4" w:space="0" w:color="000000"/>
              <w:bottom w:val="single" w:sz="4" w:space="0" w:color="000000"/>
              <w:right w:val="single" w:sz="4" w:space="0" w:color="000000"/>
            </w:tcBorders>
          </w:tcPr>
          <w:p>
            <w:pPr/>
          </w:p>
        </w:tc>
        <w:tc>
          <w:tcPr>
            <w:tcW w:w="1384" w:type="dxa"/>
            <w:vMerge/>
            <w:tcBorders>
              <w:left w:val="single" w:sz="4" w:space="0" w:color="000000"/>
              <w:bottom w:val="single" w:sz="4" w:space="0" w:color="000000"/>
              <w:right w:val="single" w:sz="4" w:space="0" w:color="000000"/>
            </w:tcBorders>
          </w:tcPr>
          <w:p>
            <w:pPr/>
          </w:p>
        </w:tc>
        <w:tc>
          <w:tcPr>
            <w:tcW w:w="1066" w:type="dxa"/>
            <w:vMerge/>
            <w:tcBorders>
              <w:left w:val="single" w:sz="4" w:space="0" w:color="000000"/>
              <w:bottom w:val="single" w:sz="4" w:space="0" w:color="000000"/>
              <w:right w:val="single" w:sz="4" w:space="0" w:color="000000"/>
            </w:tcBorders>
          </w:tcPr>
          <w:p>
            <w:pPr/>
          </w:p>
        </w:tc>
        <w:tc>
          <w:tcPr>
            <w:tcW w:w="1154" w:type="dxa"/>
            <w:vMerge/>
            <w:tcBorders>
              <w:left w:val="single" w:sz="4" w:space="0" w:color="000000"/>
              <w:bottom w:val="single" w:sz="4" w:space="0" w:color="000000"/>
              <w:right w:val="single" w:sz="4" w:space="0" w:color="000000"/>
            </w:tcBorders>
          </w:tcPr>
          <w:p>
            <w:pPr/>
          </w:p>
        </w:tc>
        <w:tc>
          <w:tcPr>
            <w:tcW w:w="1296" w:type="dxa"/>
            <w:vMerge/>
            <w:tcBorders>
              <w:left w:val="single" w:sz="4" w:space="0" w:color="000000"/>
              <w:bottom w:val="single" w:sz="4" w:space="0" w:color="000000"/>
              <w:right w:val="single" w:sz="4" w:space="0" w:color="000000"/>
            </w:tcBorders>
          </w:tcPr>
          <w:p>
            <w:pPr/>
          </w:p>
        </w:tc>
        <w:tc>
          <w:tcPr>
            <w:tcW w:w="1580" w:type="dxa"/>
            <w:vMerge/>
            <w:tcBorders>
              <w:left w:val="single" w:sz="4" w:space="0" w:color="000000"/>
              <w:bottom w:val="single" w:sz="4" w:space="0" w:color="000000"/>
              <w:right w:val="single" w:sz="4" w:space="0" w:color="000000"/>
            </w:tcBorders>
          </w:tcPr>
          <w:p>
            <w:pPr/>
          </w:p>
        </w:tc>
      </w:tr>
      <w:tr>
        <w:trPr>
          <w:trHeight w:val="229"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5"/>
                <w:szCs w:val="15"/>
              </w:rPr>
            </w:pPr>
            <w:r>
              <w:rPr>
                <w:rFonts w:ascii="宋体" w:hAnsi="宋体" w:cs="宋体" w:eastAsia="宋体" w:hint="default"/>
                <w:sz w:val="15"/>
                <w:szCs w:val="15"/>
              </w:rPr>
              <w:t>一、上年年末余额</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Times New Roman" w:hAnsi="Times New Roman" w:cs="Times New Roman" w:eastAsia="Times New Roman" w:hint="default"/>
                <w:sz w:val="15"/>
                <w:szCs w:val="15"/>
              </w:rPr>
            </w:pPr>
            <w:r>
              <w:rPr>
                <w:rFonts w:ascii="Times New Roman"/>
                <w:spacing w:val="-1"/>
                <w:sz w:val="15"/>
              </w:rPr>
              <w:t>2,944,069,459.00</w:t>
            </w: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Times New Roman" w:hAnsi="Times New Roman" w:cs="Times New Roman" w:eastAsia="Times New Roman" w:hint="default"/>
                <w:sz w:val="15"/>
                <w:szCs w:val="15"/>
              </w:rPr>
            </w:pPr>
            <w:r>
              <w:rPr>
                <w:rFonts w:ascii="Times New Roman"/>
                <w:spacing w:val="-1"/>
                <w:sz w:val="15"/>
              </w:rPr>
              <w:t>745,351,384.17</w:t>
            </w:r>
          </w:p>
        </w:tc>
        <w:tc>
          <w:tcPr>
            <w:tcW w:w="1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Times New Roman" w:hAnsi="Times New Roman" w:cs="Times New Roman" w:eastAsia="Times New Roman" w:hint="default"/>
                <w:sz w:val="15"/>
                <w:szCs w:val="15"/>
              </w:rPr>
            </w:pPr>
            <w:r>
              <w:rPr>
                <w:rFonts w:ascii="Times New Roman"/>
                <w:spacing w:val="-1"/>
                <w:sz w:val="15"/>
              </w:rPr>
              <w:t>7,903,899.00</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5"/>
                <w:szCs w:val="15"/>
              </w:rPr>
            </w:pPr>
            <w:r>
              <w:rPr>
                <w:rFonts w:ascii="Times New Roman"/>
                <w:spacing w:val="-1"/>
                <w:sz w:val="15"/>
              </w:rPr>
              <w:t>1,245,632,435.40</w:t>
            </w:r>
          </w:p>
        </w:tc>
        <w:tc>
          <w:tcPr>
            <w:tcW w:w="106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 w:right="0"/>
              <w:jc w:val="center"/>
              <w:rPr>
                <w:rFonts w:ascii="Times New Roman" w:hAnsi="Times New Roman" w:cs="Times New Roman" w:eastAsia="Times New Roman" w:hint="default"/>
                <w:sz w:val="15"/>
                <w:szCs w:val="15"/>
              </w:rPr>
            </w:pPr>
            <w:r>
              <w:rPr>
                <w:rFonts w:ascii="Times New Roman"/>
                <w:sz w:val="15"/>
              </w:rPr>
              <w:t>457,041,664.38</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9"/>
              <w:jc w:val="right"/>
              <w:rPr>
                <w:rFonts w:ascii="Times New Roman" w:hAnsi="Times New Roman" w:cs="Times New Roman" w:eastAsia="Times New Roman" w:hint="default"/>
                <w:sz w:val="15"/>
                <w:szCs w:val="15"/>
              </w:rPr>
            </w:pPr>
            <w:r>
              <w:rPr>
                <w:rFonts w:ascii="Times New Roman"/>
                <w:spacing w:val="-1"/>
                <w:sz w:val="15"/>
              </w:rPr>
              <w:t>362,853,682.37</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8"/>
              <w:jc w:val="right"/>
              <w:rPr>
                <w:rFonts w:ascii="Times New Roman" w:hAnsi="Times New Roman" w:cs="Times New Roman" w:eastAsia="Times New Roman" w:hint="default"/>
                <w:sz w:val="15"/>
                <w:szCs w:val="15"/>
              </w:rPr>
            </w:pPr>
            <w:r>
              <w:rPr>
                <w:rFonts w:ascii="Times New Roman"/>
                <w:spacing w:val="-1"/>
                <w:sz w:val="15"/>
              </w:rPr>
              <w:t>5,747,044,726.32</w:t>
            </w:r>
          </w:p>
        </w:tc>
      </w:tr>
      <w:tr>
        <w:trPr>
          <w:trHeight w:val="230"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103" w:right="0"/>
              <w:jc w:val="left"/>
              <w:rPr>
                <w:rFonts w:ascii="宋体" w:hAnsi="宋体" w:cs="宋体" w:eastAsia="宋体" w:hint="default"/>
                <w:sz w:val="15"/>
                <w:szCs w:val="15"/>
              </w:rPr>
            </w:pPr>
            <w:r>
              <w:rPr>
                <w:rFonts w:ascii="宋体" w:hAnsi="宋体" w:cs="宋体" w:eastAsia="宋体" w:hint="default"/>
                <w:sz w:val="15"/>
                <w:szCs w:val="15"/>
              </w:rPr>
              <w:t>加：会计政策变更</w:t>
            </w:r>
          </w:p>
        </w:tc>
        <w:tc>
          <w:tcPr>
            <w:tcW w:w="1276"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026" w:type="dxa"/>
            <w:tcBorders>
              <w:top w:val="single" w:sz="4" w:space="0" w:color="000000"/>
              <w:left w:val="single" w:sz="4" w:space="0" w:color="000000"/>
              <w:bottom w:val="single" w:sz="4" w:space="0" w:color="000000"/>
              <w:right w:val="single" w:sz="4" w:space="0" w:color="000000"/>
            </w:tcBorders>
          </w:tcPr>
          <w:p>
            <w:pPr/>
          </w:p>
        </w:tc>
        <w:tc>
          <w:tcPr>
            <w:tcW w:w="1384"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580"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5"/>
                <w:szCs w:val="15"/>
              </w:rPr>
            </w:pPr>
            <w:r>
              <w:rPr>
                <w:rFonts w:ascii="宋体" w:hAnsi="宋体" w:cs="宋体" w:eastAsia="宋体" w:hint="default"/>
                <w:sz w:val="15"/>
                <w:szCs w:val="15"/>
              </w:rPr>
              <w:t>前期差错更正</w:t>
            </w:r>
          </w:p>
        </w:tc>
        <w:tc>
          <w:tcPr>
            <w:tcW w:w="1276"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026" w:type="dxa"/>
            <w:tcBorders>
              <w:top w:val="single" w:sz="4" w:space="0" w:color="000000"/>
              <w:left w:val="single" w:sz="4" w:space="0" w:color="000000"/>
              <w:bottom w:val="single" w:sz="4" w:space="0" w:color="000000"/>
              <w:right w:val="single" w:sz="4" w:space="0" w:color="000000"/>
            </w:tcBorders>
          </w:tcPr>
          <w:p>
            <w:pPr/>
          </w:p>
        </w:tc>
        <w:tc>
          <w:tcPr>
            <w:tcW w:w="1384"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580" w:type="dxa"/>
            <w:tcBorders>
              <w:top w:val="single" w:sz="4" w:space="0" w:color="000000"/>
              <w:left w:val="single" w:sz="4" w:space="0" w:color="000000"/>
              <w:bottom w:val="single" w:sz="4" w:space="0" w:color="000000"/>
              <w:right w:val="single" w:sz="4" w:space="0" w:color="000000"/>
            </w:tcBorders>
          </w:tcPr>
          <w:p>
            <w:pPr/>
          </w:p>
        </w:tc>
      </w:tr>
      <w:tr>
        <w:trPr>
          <w:trHeight w:val="229"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276"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026" w:type="dxa"/>
            <w:tcBorders>
              <w:top w:val="single" w:sz="4" w:space="0" w:color="000000"/>
              <w:left w:val="single" w:sz="4" w:space="0" w:color="000000"/>
              <w:bottom w:val="single" w:sz="4" w:space="0" w:color="000000"/>
              <w:right w:val="single" w:sz="4" w:space="0" w:color="000000"/>
            </w:tcBorders>
          </w:tcPr>
          <w:p>
            <w:pPr/>
          </w:p>
        </w:tc>
        <w:tc>
          <w:tcPr>
            <w:tcW w:w="1384"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580"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103" w:right="0"/>
              <w:jc w:val="left"/>
              <w:rPr>
                <w:rFonts w:ascii="宋体" w:hAnsi="宋体" w:cs="宋体" w:eastAsia="宋体" w:hint="default"/>
                <w:sz w:val="15"/>
                <w:szCs w:val="15"/>
              </w:rPr>
            </w:pPr>
            <w:r>
              <w:rPr>
                <w:rFonts w:ascii="宋体" w:hAnsi="宋体" w:cs="宋体" w:eastAsia="宋体" w:hint="default"/>
                <w:sz w:val="15"/>
                <w:szCs w:val="15"/>
              </w:rPr>
              <w:t>二、本年年初余额</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0"/>
              <w:jc w:val="right"/>
              <w:rPr>
                <w:rFonts w:ascii="Times New Roman" w:hAnsi="Times New Roman" w:cs="Times New Roman" w:eastAsia="Times New Roman" w:hint="default"/>
                <w:sz w:val="15"/>
                <w:szCs w:val="15"/>
              </w:rPr>
            </w:pPr>
            <w:r>
              <w:rPr>
                <w:rFonts w:ascii="Times New Roman"/>
                <w:spacing w:val="-1"/>
                <w:sz w:val="15"/>
              </w:rPr>
              <w:t>2,944,069,459.00</w:t>
            </w: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0"/>
              <w:jc w:val="right"/>
              <w:rPr>
                <w:rFonts w:ascii="Times New Roman" w:hAnsi="Times New Roman" w:cs="Times New Roman" w:eastAsia="Times New Roman" w:hint="default"/>
                <w:sz w:val="15"/>
                <w:szCs w:val="15"/>
              </w:rPr>
            </w:pPr>
            <w:r>
              <w:rPr>
                <w:rFonts w:ascii="Times New Roman"/>
                <w:spacing w:val="-1"/>
                <w:sz w:val="15"/>
              </w:rPr>
              <w:t>745,351,384.17</w:t>
            </w:r>
          </w:p>
        </w:tc>
        <w:tc>
          <w:tcPr>
            <w:tcW w:w="1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0"/>
              <w:jc w:val="right"/>
              <w:rPr>
                <w:rFonts w:ascii="Times New Roman" w:hAnsi="Times New Roman" w:cs="Times New Roman" w:eastAsia="Times New Roman" w:hint="default"/>
                <w:sz w:val="15"/>
                <w:szCs w:val="15"/>
              </w:rPr>
            </w:pPr>
            <w:r>
              <w:rPr>
                <w:rFonts w:ascii="Times New Roman"/>
                <w:spacing w:val="-1"/>
                <w:sz w:val="15"/>
              </w:rPr>
              <w:t>7,903,899.00</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15"/>
                <w:szCs w:val="15"/>
              </w:rPr>
            </w:pPr>
            <w:r>
              <w:rPr>
                <w:rFonts w:ascii="Times New Roman"/>
                <w:spacing w:val="-1"/>
                <w:sz w:val="15"/>
              </w:rPr>
              <w:t>1,245,632,435.40</w:t>
            </w:r>
          </w:p>
        </w:tc>
        <w:tc>
          <w:tcPr>
            <w:tcW w:w="106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 w:right="0"/>
              <w:jc w:val="center"/>
              <w:rPr>
                <w:rFonts w:ascii="Times New Roman" w:hAnsi="Times New Roman" w:cs="Times New Roman" w:eastAsia="Times New Roman" w:hint="default"/>
                <w:sz w:val="15"/>
                <w:szCs w:val="15"/>
              </w:rPr>
            </w:pPr>
            <w:r>
              <w:rPr>
                <w:rFonts w:ascii="Times New Roman"/>
                <w:sz w:val="15"/>
              </w:rPr>
              <w:t>457,041,664.38</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99"/>
              <w:jc w:val="right"/>
              <w:rPr>
                <w:rFonts w:ascii="Times New Roman" w:hAnsi="Times New Roman" w:cs="Times New Roman" w:eastAsia="Times New Roman" w:hint="default"/>
                <w:sz w:val="15"/>
                <w:szCs w:val="15"/>
              </w:rPr>
            </w:pPr>
            <w:r>
              <w:rPr>
                <w:rFonts w:ascii="Times New Roman"/>
                <w:spacing w:val="-1"/>
                <w:sz w:val="15"/>
              </w:rPr>
              <w:t>362,853,682.37</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98"/>
              <w:jc w:val="right"/>
              <w:rPr>
                <w:rFonts w:ascii="Times New Roman" w:hAnsi="Times New Roman" w:cs="Times New Roman" w:eastAsia="Times New Roman" w:hint="default"/>
                <w:sz w:val="15"/>
                <w:szCs w:val="15"/>
              </w:rPr>
            </w:pPr>
            <w:r>
              <w:rPr>
                <w:rFonts w:ascii="Times New Roman"/>
                <w:spacing w:val="-1"/>
                <w:sz w:val="15"/>
              </w:rPr>
              <w:t>5,747,044,726.32</w:t>
            </w:r>
          </w:p>
        </w:tc>
      </w:tr>
      <w:tr>
        <w:trPr>
          <w:trHeight w:val="230"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5"/>
                <w:szCs w:val="15"/>
              </w:rPr>
            </w:pPr>
            <w:r>
              <w:rPr>
                <w:rFonts w:ascii="宋体" w:hAnsi="宋体" w:cs="宋体" w:eastAsia="宋体" w:hint="default"/>
                <w:spacing w:val="-5"/>
                <w:sz w:val="15"/>
                <w:szCs w:val="15"/>
              </w:rPr>
              <w:t>三、本期增减变动金额（减少以</w:t>
            </w:r>
            <w:r>
              <w:rPr>
                <w:rFonts w:ascii="Times New Roman" w:hAnsi="Times New Roman" w:cs="Times New Roman" w:eastAsia="Times New Roman" w:hint="default"/>
                <w:spacing w:val="-5"/>
                <w:sz w:val="15"/>
                <w:szCs w:val="15"/>
              </w:rPr>
              <w:t>“-”</w:t>
            </w:r>
            <w:r>
              <w:rPr>
                <w:rFonts w:ascii="宋体" w:hAnsi="宋体" w:cs="宋体" w:eastAsia="宋体" w:hint="default"/>
                <w:spacing w:val="-5"/>
                <w:sz w:val="15"/>
                <w:szCs w:val="15"/>
              </w:rPr>
              <w:t>号填列）</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9"/>
              <w:jc w:val="right"/>
              <w:rPr>
                <w:rFonts w:ascii="Times New Roman" w:hAnsi="Times New Roman" w:cs="Times New Roman" w:eastAsia="Times New Roman" w:hint="default"/>
                <w:sz w:val="15"/>
                <w:szCs w:val="15"/>
              </w:rPr>
            </w:pPr>
            <w:r>
              <w:rPr>
                <w:rFonts w:ascii="Times New Roman"/>
                <w:spacing w:val="-1"/>
                <w:sz w:val="15"/>
              </w:rPr>
              <w:t>-7,903,899.00</w:t>
            </w: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9"/>
              <w:jc w:val="right"/>
              <w:rPr>
                <w:rFonts w:ascii="Times New Roman" w:hAnsi="Times New Roman" w:cs="Times New Roman" w:eastAsia="Times New Roman" w:hint="default"/>
                <w:sz w:val="15"/>
                <w:szCs w:val="15"/>
              </w:rPr>
            </w:pPr>
            <w:r>
              <w:rPr>
                <w:rFonts w:ascii="Times New Roman"/>
                <w:spacing w:val="-1"/>
                <w:sz w:val="15"/>
              </w:rPr>
              <w:t>31,621,953.25</w:t>
            </w:r>
          </w:p>
        </w:tc>
        <w:tc>
          <w:tcPr>
            <w:tcW w:w="1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9"/>
              <w:jc w:val="right"/>
              <w:rPr>
                <w:rFonts w:ascii="Times New Roman" w:hAnsi="Times New Roman" w:cs="Times New Roman" w:eastAsia="Times New Roman" w:hint="default"/>
                <w:sz w:val="15"/>
                <w:szCs w:val="15"/>
              </w:rPr>
            </w:pPr>
            <w:r>
              <w:rPr>
                <w:rFonts w:ascii="Times New Roman"/>
                <w:spacing w:val="-1"/>
                <w:sz w:val="15"/>
              </w:rPr>
              <w:t>79,608.00</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9"/>
              <w:jc w:val="right"/>
              <w:rPr>
                <w:rFonts w:ascii="Times New Roman" w:hAnsi="Times New Roman" w:cs="Times New Roman" w:eastAsia="Times New Roman" w:hint="default"/>
                <w:sz w:val="15"/>
                <w:szCs w:val="15"/>
              </w:rPr>
            </w:pPr>
            <w:r>
              <w:rPr>
                <w:rFonts w:ascii="Times New Roman"/>
                <w:spacing w:val="-1"/>
                <w:sz w:val="15"/>
              </w:rPr>
              <w:t>-1,132,191,481.95</w:t>
            </w:r>
          </w:p>
        </w:tc>
        <w:tc>
          <w:tcPr>
            <w:tcW w:w="106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77" w:right="0"/>
              <w:jc w:val="center"/>
              <w:rPr>
                <w:rFonts w:ascii="Times New Roman" w:hAnsi="Times New Roman" w:cs="Times New Roman" w:eastAsia="Times New Roman" w:hint="default"/>
                <w:sz w:val="15"/>
                <w:szCs w:val="15"/>
              </w:rPr>
            </w:pPr>
            <w:r>
              <w:rPr>
                <w:rFonts w:ascii="Times New Roman"/>
                <w:sz w:val="15"/>
              </w:rPr>
              <w:t>61,570,950.03</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9"/>
              <w:jc w:val="right"/>
              <w:rPr>
                <w:rFonts w:ascii="Times New Roman" w:hAnsi="Times New Roman" w:cs="Times New Roman" w:eastAsia="Times New Roman" w:hint="default"/>
                <w:sz w:val="15"/>
                <w:szCs w:val="15"/>
              </w:rPr>
            </w:pPr>
            <w:r>
              <w:rPr>
                <w:rFonts w:ascii="Times New Roman"/>
                <w:spacing w:val="-1"/>
                <w:sz w:val="15"/>
              </w:rPr>
              <w:t>377,494,382.69</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8"/>
              <w:jc w:val="right"/>
              <w:rPr>
                <w:rFonts w:ascii="Times New Roman" w:hAnsi="Times New Roman" w:cs="Times New Roman" w:eastAsia="Times New Roman" w:hint="default"/>
                <w:sz w:val="15"/>
                <w:szCs w:val="15"/>
              </w:rPr>
            </w:pPr>
            <w:r>
              <w:rPr>
                <w:rFonts w:ascii="Times New Roman"/>
                <w:spacing w:val="-1"/>
                <w:sz w:val="15"/>
              </w:rPr>
              <w:t>-669,487,702.98</w:t>
            </w:r>
          </w:p>
        </w:tc>
      </w:tr>
      <w:tr>
        <w:trPr>
          <w:trHeight w:val="229"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5"/>
                <w:szCs w:val="15"/>
              </w:rPr>
            </w:pPr>
            <w:r>
              <w:rPr>
                <w:rFonts w:ascii="宋体" w:hAnsi="宋体" w:cs="宋体" w:eastAsia="宋体" w:hint="default"/>
                <w:sz w:val="15"/>
                <w:szCs w:val="15"/>
              </w:rPr>
              <w:t>（一）综合收益总额</w:t>
            </w:r>
          </w:p>
        </w:tc>
        <w:tc>
          <w:tcPr>
            <w:tcW w:w="1276"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026" w:type="dxa"/>
            <w:tcBorders>
              <w:top w:val="single" w:sz="4" w:space="0" w:color="000000"/>
              <w:left w:val="single" w:sz="4" w:space="0" w:color="000000"/>
              <w:bottom w:val="single" w:sz="4" w:space="0" w:color="000000"/>
              <w:right w:val="single" w:sz="4" w:space="0" w:color="000000"/>
            </w:tcBorders>
          </w:tcPr>
          <w:p>
            <w:pP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5"/>
                <w:szCs w:val="15"/>
              </w:rPr>
            </w:pPr>
            <w:r>
              <w:rPr>
                <w:rFonts w:ascii="Times New Roman"/>
                <w:spacing w:val="-1"/>
                <w:sz w:val="15"/>
              </w:rPr>
              <w:t>-1,132,191,481.95</w:t>
            </w:r>
          </w:p>
        </w:tc>
        <w:tc>
          <w:tcPr>
            <w:tcW w:w="106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9"/>
              <w:jc w:val="right"/>
              <w:rPr>
                <w:rFonts w:ascii="Times New Roman" w:hAnsi="Times New Roman" w:cs="Times New Roman" w:eastAsia="Times New Roman" w:hint="default"/>
                <w:sz w:val="15"/>
                <w:szCs w:val="15"/>
              </w:rPr>
            </w:pPr>
            <w:r>
              <w:rPr>
                <w:rFonts w:ascii="Times New Roman"/>
                <w:spacing w:val="-1"/>
                <w:sz w:val="15"/>
              </w:rPr>
              <w:t>615,709,500.26</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8"/>
              <w:jc w:val="right"/>
              <w:rPr>
                <w:rFonts w:ascii="Times New Roman" w:hAnsi="Times New Roman" w:cs="Times New Roman" w:eastAsia="Times New Roman" w:hint="default"/>
                <w:sz w:val="15"/>
                <w:szCs w:val="15"/>
              </w:rPr>
            </w:pPr>
            <w:r>
              <w:rPr>
                <w:rFonts w:ascii="Times New Roman"/>
                <w:spacing w:val="-1"/>
                <w:sz w:val="15"/>
              </w:rPr>
              <w:t>-516,481,981.69</w:t>
            </w:r>
          </w:p>
        </w:tc>
      </w:tr>
      <w:tr>
        <w:trPr>
          <w:trHeight w:val="230"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103" w:right="0"/>
              <w:jc w:val="left"/>
              <w:rPr>
                <w:rFonts w:ascii="宋体" w:hAnsi="宋体" w:cs="宋体" w:eastAsia="宋体" w:hint="default"/>
                <w:sz w:val="15"/>
                <w:szCs w:val="15"/>
              </w:rPr>
            </w:pPr>
            <w:r>
              <w:rPr>
                <w:rFonts w:ascii="宋体" w:hAnsi="宋体" w:cs="宋体" w:eastAsia="宋体" w:hint="default"/>
                <w:sz w:val="15"/>
                <w:szCs w:val="15"/>
              </w:rPr>
              <w:t>（二）所有者投入和减少资本</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99"/>
              <w:jc w:val="right"/>
              <w:rPr>
                <w:rFonts w:ascii="Times New Roman" w:hAnsi="Times New Roman" w:cs="Times New Roman" w:eastAsia="Times New Roman" w:hint="default"/>
                <w:sz w:val="15"/>
                <w:szCs w:val="15"/>
              </w:rPr>
            </w:pPr>
            <w:r>
              <w:rPr>
                <w:rFonts w:ascii="Times New Roman"/>
                <w:spacing w:val="-1"/>
                <w:sz w:val="15"/>
              </w:rPr>
              <w:t>-7,903,899.00</w:t>
            </w: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99"/>
              <w:jc w:val="right"/>
              <w:rPr>
                <w:rFonts w:ascii="Times New Roman" w:hAnsi="Times New Roman" w:cs="Times New Roman" w:eastAsia="Times New Roman" w:hint="default"/>
                <w:sz w:val="15"/>
                <w:szCs w:val="15"/>
              </w:rPr>
            </w:pPr>
            <w:r>
              <w:rPr>
                <w:rFonts w:ascii="Times New Roman"/>
                <w:spacing w:val="-1"/>
                <w:sz w:val="15"/>
              </w:rPr>
              <w:t>31,621,953.25</w:t>
            </w:r>
          </w:p>
        </w:tc>
        <w:tc>
          <w:tcPr>
            <w:tcW w:w="1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99"/>
              <w:jc w:val="right"/>
              <w:rPr>
                <w:rFonts w:ascii="Times New Roman" w:hAnsi="Times New Roman" w:cs="Times New Roman" w:eastAsia="Times New Roman" w:hint="default"/>
                <w:sz w:val="15"/>
                <w:szCs w:val="15"/>
              </w:rPr>
            </w:pPr>
            <w:r>
              <w:rPr>
                <w:rFonts w:ascii="Times New Roman"/>
                <w:spacing w:val="-1"/>
                <w:sz w:val="15"/>
              </w:rPr>
              <w:t>79,608.00</w:t>
            </w:r>
          </w:p>
        </w:tc>
        <w:tc>
          <w:tcPr>
            <w:tcW w:w="1384"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98"/>
              <w:jc w:val="right"/>
              <w:rPr>
                <w:rFonts w:ascii="Times New Roman" w:hAnsi="Times New Roman" w:cs="Times New Roman" w:eastAsia="Times New Roman" w:hint="default"/>
                <w:sz w:val="15"/>
                <w:szCs w:val="15"/>
              </w:rPr>
            </w:pPr>
            <w:r>
              <w:rPr>
                <w:rFonts w:ascii="Times New Roman"/>
                <w:spacing w:val="-1"/>
                <w:sz w:val="15"/>
              </w:rPr>
              <w:t>23,638,446.25</w:t>
            </w:r>
          </w:p>
        </w:tc>
      </w:tr>
      <w:tr>
        <w:trPr>
          <w:trHeight w:val="230"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326"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．所有者投入的普通股</w:t>
            </w:r>
          </w:p>
        </w:tc>
        <w:tc>
          <w:tcPr>
            <w:tcW w:w="1276"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Times New Roman" w:hAnsi="Times New Roman" w:cs="Times New Roman" w:eastAsia="Times New Roman" w:hint="default"/>
                <w:sz w:val="15"/>
                <w:szCs w:val="15"/>
              </w:rPr>
            </w:pPr>
            <w:r>
              <w:rPr>
                <w:rFonts w:ascii="Times New Roman"/>
                <w:spacing w:val="-1"/>
                <w:sz w:val="15"/>
              </w:rPr>
              <w:t>-87,743,292.34</w:t>
            </w:r>
          </w:p>
        </w:tc>
        <w:tc>
          <w:tcPr>
            <w:tcW w:w="1026" w:type="dxa"/>
            <w:tcBorders>
              <w:top w:val="single" w:sz="4" w:space="0" w:color="000000"/>
              <w:left w:val="single" w:sz="4" w:space="0" w:color="000000"/>
              <w:bottom w:val="single" w:sz="4" w:space="0" w:color="000000"/>
              <w:right w:val="single" w:sz="4" w:space="0" w:color="000000"/>
            </w:tcBorders>
          </w:tcPr>
          <w:p>
            <w:pPr/>
          </w:p>
        </w:tc>
        <w:tc>
          <w:tcPr>
            <w:tcW w:w="1384"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9"/>
              <w:jc w:val="right"/>
              <w:rPr>
                <w:rFonts w:ascii="Times New Roman" w:hAnsi="Times New Roman" w:cs="Times New Roman" w:eastAsia="Times New Roman" w:hint="default"/>
                <w:sz w:val="15"/>
                <w:szCs w:val="15"/>
              </w:rPr>
            </w:pPr>
            <w:r>
              <w:rPr>
                <w:rFonts w:ascii="Times New Roman"/>
                <w:spacing w:val="-1"/>
                <w:sz w:val="15"/>
              </w:rPr>
              <w:t>-87,743,292.34</w:t>
            </w:r>
          </w:p>
        </w:tc>
      </w:tr>
      <w:tr>
        <w:trPr>
          <w:trHeight w:val="229"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326"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．其他权益工具持有者投入资本</w:t>
            </w:r>
          </w:p>
        </w:tc>
        <w:tc>
          <w:tcPr>
            <w:tcW w:w="1276"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026" w:type="dxa"/>
            <w:tcBorders>
              <w:top w:val="single" w:sz="4" w:space="0" w:color="000000"/>
              <w:left w:val="single" w:sz="4" w:space="0" w:color="000000"/>
              <w:bottom w:val="single" w:sz="4" w:space="0" w:color="000000"/>
              <w:right w:val="single" w:sz="4" w:space="0" w:color="000000"/>
            </w:tcBorders>
          </w:tcPr>
          <w:p>
            <w:pPr/>
          </w:p>
        </w:tc>
        <w:tc>
          <w:tcPr>
            <w:tcW w:w="1384"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580"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326"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．股份支付计入所有者权益的金额</w:t>
            </w:r>
          </w:p>
        </w:tc>
        <w:tc>
          <w:tcPr>
            <w:tcW w:w="1276"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100"/>
              <w:jc w:val="right"/>
              <w:rPr>
                <w:rFonts w:ascii="Times New Roman" w:hAnsi="Times New Roman" w:cs="Times New Roman" w:eastAsia="Times New Roman" w:hint="default"/>
                <w:sz w:val="15"/>
                <w:szCs w:val="15"/>
              </w:rPr>
            </w:pPr>
            <w:r>
              <w:rPr>
                <w:rFonts w:ascii="Times New Roman"/>
                <w:spacing w:val="-1"/>
                <w:sz w:val="15"/>
              </w:rPr>
              <w:t>23,164,213.31</w:t>
            </w:r>
          </w:p>
        </w:tc>
        <w:tc>
          <w:tcPr>
            <w:tcW w:w="1026" w:type="dxa"/>
            <w:tcBorders>
              <w:top w:val="single" w:sz="4" w:space="0" w:color="000000"/>
              <w:left w:val="single" w:sz="4" w:space="0" w:color="000000"/>
              <w:bottom w:val="single" w:sz="4" w:space="0" w:color="000000"/>
              <w:right w:val="single" w:sz="4" w:space="0" w:color="000000"/>
            </w:tcBorders>
          </w:tcPr>
          <w:p>
            <w:pPr/>
          </w:p>
        </w:tc>
        <w:tc>
          <w:tcPr>
            <w:tcW w:w="1384"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98"/>
              <w:jc w:val="right"/>
              <w:rPr>
                <w:rFonts w:ascii="Times New Roman" w:hAnsi="Times New Roman" w:cs="Times New Roman" w:eastAsia="Times New Roman" w:hint="default"/>
                <w:sz w:val="15"/>
                <w:szCs w:val="15"/>
              </w:rPr>
            </w:pPr>
            <w:r>
              <w:rPr>
                <w:rFonts w:ascii="Times New Roman"/>
                <w:spacing w:val="-1"/>
                <w:sz w:val="15"/>
              </w:rPr>
              <w:t>23,164,213.31</w:t>
            </w:r>
          </w:p>
        </w:tc>
      </w:tr>
      <w:tr>
        <w:trPr>
          <w:trHeight w:val="230"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326"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9"/>
              <w:jc w:val="right"/>
              <w:rPr>
                <w:rFonts w:ascii="Times New Roman" w:hAnsi="Times New Roman" w:cs="Times New Roman" w:eastAsia="Times New Roman" w:hint="default"/>
                <w:sz w:val="15"/>
                <w:szCs w:val="15"/>
              </w:rPr>
            </w:pPr>
            <w:r>
              <w:rPr>
                <w:rFonts w:ascii="Times New Roman"/>
                <w:spacing w:val="-1"/>
                <w:sz w:val="15"/>
              </w:rPr>
              <w:t>-7,903,899.00</w:t>
            </w: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9"/>
              <w:jc w:val="right"/>
              <w:rPr>
                <w:rFonts w:ascii="Times New Roman" w:hAnsi="Times New Roman" w:cs="Times New Roman" w:eastAsia="Times New Roman" w:hint="default"/>
                <w:sz w:val="15"/>
                <w:szCs w:val="15"/>
              </w:rPr>
            </w:pPr>
            <w:r>
              <w:rPr>
                <w:rFonts w:ascii="Times New Roman"/>
                <w:spacing w:val="-1"/>
                <w:sz w:val="15"/>
              </w:rPr>
              <w:t>96,201,032.28</w:t>
            </w:r>
          </w:p>
        </w:tc>
        <w:tc>
          <w:tcPr>
            <w:tcW w:w="1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9"/>
              <w:jc w:val="right"/>
              <w:rPr>
                <w:rFonts w:ascii="Times New Roman" w:hAnsi="Times New Roman" w:cs="Times New Roman" w:eastAsia="Times New Roman" w:hint="default"/>
                <w:sz w:val="15"/>
                <w:szCs w:val="15"/>
              </w:rPr>
            </w:pPr>
            <w:r>
              <w:rPr>
                <w:rFonts w:ascii="Times New Roman"/>
                <w:spacing w:val="-1"/>
                <w:sz w:val="15"/>
              </w:rPr>
              <w:t>79,608.00</w:t>
            </w:r>
          </w:p>
        </w:tc>
        <w:tc>
          <w:tcPr>
            <w:tcW w:w="1384"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8"/>
              <w:jc w:val="right"/>
              <w:rPr>
                <w:rFonts w:ascii="Times New Roman" w:hAnsi="Times New Roman" w:cs="Times New Roman" w:eastAsia="Times New Roman" w:hint="default"/>
                <w:sz w:val="15"/>
                <w:szCs w:val="15"/>
              </w:rPr>
            </w:pPr>
            <w:r>
              <w:rPr>
                <w:rFonts w:ascii="Times New Roman"/>
                <w:spacing w:val="-1"/>
                <w:sz w:val="15"/>
              </w:rPr>
              <w:t>88,217,525.28</w:t>
            </w:r>
          </w:p>
        </w:tc>
      </w:tr>
      <w:tr>
        <w:trPr>
          <w:trHeight w:val="229"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5"/>
                <w:szCs w:val="15"/>
              </w:rPr>
            </w:pPr>
            <w:r>
              <w:rPr>
                <w:rFonts w:ascii="宋体" w:hAnsi="宋体" w:cs="宋体" w:eastAsia="宋体" w:hint="default"/>
                <w:sz w:val="15"/>
                <w:szCs w:val="15"/>
              </w:rPr>
              <w:t>（三）利润分配</w:t>
            </w:r>
          </w:p>
        </w:tc>
        <w:tc>
          <w:tcPr>
            <w:tcW w:w="1276"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026" w:type="dxa"/>
            <w:tcBorders>
              <w:top w:val="single" w:sz="4" w:space="0" w:color="000000"/>
              <w:left w:val="single" w:sz="4" w:space="0" w:color="000000"/>
              <w:bottom w:val="single" w:sz="4" w:space="0" w:color="000000"/>
              <w:right w:val="single" w:sz="4" w:space="0" w:color="000000"/>
            </w:tcBorders>
          </w:tcPr>
          <w:p>
            <w:pPr/>
          </w:p>
        </w:tc>
        <w:tc>
          <w:tcPr>
            <w:tcW w:w="1384"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76" w:right="0"/>
              <w:jc w:val="center"/>
              <w:rPr>
                <w:rFonts w:ascii="Times New Roman" w:hAnsi="Times New Roman" w:cs="Times New Roman" w:eastAsia="Times New Roman" w:hint="default"/>
                <w:sz w:val="15"/>
                <w:szCs w:val="15"/>
              </w:rPr>
            </w:pPr>
            <w:r>
              <w:rPr>
                <w:rFonts w:ascii="Times New Roman"/>
                <w:sz w:val="15"/>
              </w:rPr>
              <w:t>61,570,950.03</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9"/>
              <w:jc w:val="right"/>
              <w:rPr>
                <w:rFonts w:ascii="Times New Roman" w:hAnsi="Times New Roman" w:cs="Times New Roman" w:eastAsia="Times New Roman" w:hint="default"/>
                <w:sz w:val="15"/>
                <w:szCs w:val="15"/>
              </w:rPr>
            </w:pPr>
            <w:r>
              <w:rPr>
                <w:rFonts w:ascii="Times New Roman"/>
                <w:spacing w:val="-1"/>
                <w:sz w:val="15"/>
              </w:rPr>
              <w:t>-238,215,117.57</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8"/>
              <w:jc w:val="right"/>
              <w:rPr>
                <w:rFonts w:ascii="Times New Roman" w:hAnsi="Times New Roman" w:cs="Times New Roman" w:eastAsia="Times New Roman" w:hint="default"/>
                <w:sz w:val="15"/>
                <w:szCs w:val="15"/>
              </w:rPr>
            </w:pPr>
            <w:r>
              <w:rPr>
                <w:rFonts w:ascii="Times New Roman"/>
                <w:spacing w:val="-1"/>
                <w:sz w:val="15"/>
              </w:rPr>
              <w:t>-176,644,167.54</w:t>
            </w:r>
          </w:p>
        </w:tc>
      </w:tr>
      <w:tr>
        <w:trPr>
          <w:trHeight w:val="230"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326"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．提取盈余公积</w:t>
            </w:r>
          </w:p>
        </w:tc>
        <w:tc>
          <w:tcPr>
            <w:tcW w:w="1276"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026" w:type="dxa"/>
            <w:tcBorders>
              <w:top w:val="single" w:sz="4" w:space="0" w:color="000000"/>
              <w:left w:val="single" w:sz="4" w:space="0" w:color="000000"/>
              <w:bottom w:val="single" w:sz="4" w:space="0" w:color="000000"/>
              <w:right w:val="single" w:sz="4" w:space="0" w:color="000000"/>
            </w:tcBorders>
          </w:tcPr>
          <w:p>
            <w:pPr/>
          </w:p>
        </w:tc>
        <w:tc>
          <w:tcPr>
            <w:tcW w:w="1384"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76" w:right="0"/>
              <w:jc w:val="center"/>
              <w:rPr>
                <w:rFonts w:ascii="Times New Roman" w:hAnsi="Times New Roman" w:cs="Times New Roman" w:eastAsia="Times New Roman" w:hint="default"/>
                <w:sz w:val="15"/>
                <w:szCs w:val="15"/>
              </w:rPr>
            </w:pPr>
            <w:r>
              <w:rPr>
                <w:rFonts w:ascii="Times New Roman"/>
                <w:sz w:val="15"/>
              </w:rPr>
              <w:t>61,570,950.03</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99"/>
              <w:jc w:val="right"/>
              <w:rPr>
                <w:rFonts w:ascii="Times New Roman" w:hAnsi="Times New Roman" w:cs="Times New Roman" w:eastAsia="Times New Roman" w:hint="default"/>
                <w:sz w:val="15"/>
                <w:szCs w:val="15"/>
              </w:rPr>
            </w:pPr>
            <w:r>
              <w:rPr>
                <w:rFonts w:ascii="Times New Roman"/>
                <w:spacing w:val="-1"/>
                <w:sz w:val="15"/>
              </w:rPr>
              <w:t>-61,570,950.03</w:t>
            </w:r>
          </w:p>
        </w:tc>
        <w:tc>
          <w:tcPr>
            <w:tcW w:w="1580"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326"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．对所有者（或股东）的分配</w:t>
            </w:r>
          </w:p>
        </w:tc>
        <w:tc>
          <w:tcPr>
            <w:tcW w:w="1276"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026" w:type="dxa"/>
            <w:tcBorders>
              <w:top w:val="single" w:sz="4" w:space="0" w:color="000000"/>
              <w:left w:val="single" w:sz="4" w:space="0" w:color="000000"/>
              <w:bottom w:val="single" w:sz="4" w:space="0" w:color="000000"/>
              <w:right w:val="single" w:sz="4" w:space="0" w:color="000000"/>
            </w:tcBorders>
          </w:tcPr>
          <w:p>
            <w:pPr/>
          </w:p>
        </w:tc>
        <w:tc>
          <w:tcPr>
            <w:tcW w:w="1384"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8"/>
              <w:jc w:val="right"/>
              <w:rPr>
                <w:rFonts w:ascii="Times New Roman" w:hAnsi="Times New Roman" w:cs="Times New Roman" w:eastAsia="Times New Roman" w:hint="default"/>
                <w:sz w:val="15"/>
                <w:szCs w:val="15"/>
              </w:rPr>
            </w:pPr>
            <w:r>
              <w:rPr>
                <w:rFonts w:ascii="Times New Roman"/>
                <w:spacing w:val="-1"/>
                <w:sz w:val="15"/>
              </w:rPr>
              <w:t>-176,644,167.54</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8"/>
              <w:jc w:val="right"/>
              <w:rPr>
                <w:rFonts w:ascii="Times New Roman" w:hAnsi="Times New Roman" w:cs="Times New Roman" w:eastAsia="Times New Roman" w:hint="default"/>
                <w:sz w:val="15"/>
                <w:szCs w:val="15"/>
              </w:rPr>
            </w:pPr>
            <w:r>
              <w:rPr>
                <w:rFonts w:ascii="Times New Roman"/>
                <w:spacing w:val="-1"/>
                <w:sz w:val="15"/>
              </w:rPr>
              <w:t>-176,644,167.54</w:t>
            </w:r>
          </w:p>
        </w:tc>
      </w:tr>
      <w:tr>
        <w:trPr>
          <w:trHeight w:val="229"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326"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．其他</w:t>
            </w:r>
          </w:p>
        </w:tc>
        <w:tc>
          <w:tcPr>
            <w:tcW w:w="1276"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026" w:type="dxa"/>
            <w:tcBorders>
              <w:top w:val="single" w:sz="4" w:space="0" w:color="000000"/>
              <w:left w:val="single" w:sz="4" w:space="0" w:color="000000"/>
              <w:bottom w:val="single" w:sz="4" w:space="0" w:color="000000"/>
              <w:right w:val="single" w:sz="4" w:space="0" w:color="000000"/>
            </w:tcBorders>
          </w:tcPr>
          <w:p>
            <w:pPr/>
          </w:p>
        </w:tc>
        <w:tc>
          <w:tcPr>
            <w:tcW w:w="1384"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580"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103" w:right="0"/>
              <w:jc w:val="left"/>
              <w:rPr>
                <w:rFonts w:ascii="宋体" w:hAnsi="宋体" w:cs="宋体" w:eastAsia="宋体" w:hint="default"/>
                <w:sz w:val="15"/>
                <w:szCs w:val="15"/>
              </w:rPr>
            </w:pPr>
            <w:r>
              <w:rPr>
                <w:rFonts w:ascii="宋体" w:hAnsi="宋体" w:cs="宋体" w:eastAsia="宋体" w:hint="default"/>
                <w:sz w:val="15"/>
                <w:szCs w:val="15"/>
              </w:rPr>
              <w:t>（四）所有者权益内部结转</w:t>
            </w:r>
          </w:p>
        </w:tc>
        <w:tc>
          <w:tcPr>
            <w:tcW w:w="1276"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026" w:type="dxa"/>
            <w:tcBorders>
              <w:top w:val="single" w:sz="4" w:space="0" w:color="000000"/>
              <w:left w:val="single" w:sz="4" w:space="0" w:color="000000"/>
              <w:bottom w:val="single" w:sz="4" w:space="0" w:color="000000"/>
              <w:right w:val="single" w:sz="4" w:space="0" w:color="000000"/>
            </w:tcBorders>
          </w:tcPr>
          <w:p>
            <w:pPr/>
          </w:p>
        </w:tc>
        <w:tc>
          <w:tcPr>
            <w:tcW w:w="1384"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580"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326"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．资本公积转增资本（或股本）</w:t>
            </w:r>
          </w:p>
        </w:tc>
        <w:tc>
          <w:tcPr>
            <w:tcW w:w="1276"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026" w:type="dxa"/>
            <w:tcBorders>
              <w:top w:val="single" w:sz="4" w:space="0" w:color="000000"/>
              <w:left w:val="single" w:sz="4" w:space="0" w:color="000000"/>
              <w:bottom w:val="single" w:sz="4" w:space="0" w:color="000000"/>
              <w:right w:val="single" w:sz="4" w:space="0" w:color="000000"/>
            </w:tcBorders>
          </w:tcPr>
          <w:p>
            <w:pPr/>
          </w:p>
        </w:tc>
        <w:tc>
          <w:tcPr>
            <w:tcW w:w="1384"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580" w:type="dxa"/>
            <w:tcBorders>
              <w:top w:val="single" w:sz="4" w:space="0" w:color="000000"/>
              <w:left w:val="single" w:sz="4" w:space="0" w:color="000000"/>
              <w:bottom w:val="single" w:sz="4" w:space="0" w:color="000000"/>
              <w:right w:val="single" w:sz="4" w:space="0" w:color="000000"/>
            </w:tcBorders>
          </w:tcPr>
          <w:p>
            <w:pPr/>
          </w:p>
        </w:tc>
      </w:tr>
      <w:tr>
        <w:trPr>
          <w:trHeight w:val="229"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326"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．盈余公积转增资本（或股本）</w:t>
            </w:r>
          </w:p>
        </w:tc>
        <w:tc>
          <w:tcPr>
            <w:tcW w:w="1276"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026" w:type="dxa"/>
            <w:tcBorders>
              <w:top w:val="single" w:sz="4" w:space="0" w:color="000000"/>
              <w:left w:val="single" w:sz="4" w:space="0" w:color="000000"/>
              <w:bottom w:val="single" w:sz="4" w:space="0" w:color="000000"/>
              <w:right w:val="single" w:sz="4" w:space="0" w:color="000000"/>
            </w:tcBorders>
          </w:tcPr>
          <w:p>
            <w:pPr/>
          </w:p>
        </w:tc>
        <w:tc>
          <w:tcPr>
            <w:tcW w:w="1384"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580"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326"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．盈余公积弥补亏损</w:t>
            </w:r>
          </w:p>
        </w:tc>
        <w:tc>
          <w:tcPr>
            <w:tcW w:w="1276"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026" w:type="dxa"/>
            <w:tcBorders>
              <w:top w:val="single" w:sz="4" w:space="0" w:color="000000"/>
              <w:left w:val="single" w:sz="4" w:space="0" w:color="000000"/>
              <w:bottom w:val="single" w:sz="4" w:space="0" w:color="000000"/>
              <w:right w:val="single" w:sz="4" w:space="0" w:color="000000"/>
            </w:tcBorders>
          </w:tcPr>
          <w:p>
            <w:pPr/>
          </w:p>
        </w:tc>
        <w:tc>
          <w:tcPr>
            <w:tcW w:w="1384"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580"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326"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．设定受益计划变动额结转留存收益</w:t>
            </w:r>
          </w:p>
        </w:tc>
        <w:tc>
          <w:tcPr>
            <w:tcW w:w="1276"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026" w:type="dxa"/>
            <w:tcBorders>
              <w:top w:val="single" w:sz="4" w:space="0" w:color="000000"/>
              <w:left w:val="single" w:sz="4" w:space="0" w:color="000000"/>
              <w:bottom w:val="single" w:sz="4" w:space="0" w:color="000000"/>
              <w:right w:val="single" w:sz="4" w:space="0" w:color="000000"/>
            </w:tcBorders>
          </w:tcPr>
          <w:p>
            <w:pPr/>
          </w:p>
        </w:tc>
        <w:tc>
          <w:tcPr>
            <w:tcW w:w="1384"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580" w:type="dxa"/>
            <w:tcBorders>
              <w:top w:val="single" w:sz="4" w:space="0" w:color="000000"/>
              <w:left w:val="single" w:sz="4" w:space="0" w:color="000000"/>
              <w:bottom w:val="single" w:sz="4" w:space="0" w:color="000000"/>
              <w:right w:val="single" w:sz="4" w:space="0" w:color="000000"/>
            </w:tcBorders>
          </w:tcPr>
          <w:p>
            <w:pPr/>
          </w:p>
        </w:tc>
      </w:tr>
      <w:tr>
        <w:trPr>
          <w:trHeight w:val="229"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326"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5</w:t>
            </w:r>
            <w:r>
              <w:rPr>
                <w:rFonts w:ascii="宋体" w:hAnsi="宋体" w:cs="宋体" w:eastAsia="宋体" w:hint="default"/>
                <w:sz w:val="15"/>
                <w:szCs w:val="15"/>
              </w:rPr>
              <w:t>．其他</w:t>
            </w:r>
          </w:p>
        </w:tc>
        <w:tc>
          <w:tcPr>
            <w:tcW w:w="1276"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026" w:type="dxa"/>
            <w:tcBorders>
              <w:top w:val="single" w:sz="4" w:space="0" w:color="000000"/>
              <w:left w:val="single" w:sz="4" w:space="0" w:color="000000"/>
              <w:bottom w:val="single" w:sz="4" w:space="0" w:color="000000"/>
              <w:right w:val="single" w:sz="4" w:space="0" w:color="000000"/>
            </w:tcBorders>
          </w:tcPr>
          <w:p>
            <w:pPr/>
          </w:p>
        </w:tc>
        <w:tc>
          <w:tcPr>
            <w:tcW w:w="1384"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580"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103" w:right="0"/>
              <w:jc w:val="left"/>
              <w:rPr>
                <w:rFonts w:ascii="宋体" w:hAnsi="宋体" w:cs="宋体" w:eastAsia="宋体" w:hint="default"/>
                <w:sz w:val="15"/>
                <w:szCs w:val="15"/>
              </w:rPr>
            </w:pPr>
            <w:r>
              <w:rPr>
                <w:rFonts w:ascii="宋体" w:hAnsi="宋体" w:cs="宋体" w:eastAsia="宋体" w:hint="default"/>
                <w:sz w:val="15"/>
                <w:szCs w:val="15"/>
              </w:rPr>
              <w:t>（五）专项储备</w:t>
            </w:r>
          </w:p>
        </w:tc>
        <w:tc>
          <w:tcPr>
            <w:tcW w:w="1276"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026" w:type="dxa"/>
            <w:tcBorders>
              <w:top w:val="single" w:sz="4" w:space="0" w:color="000000"/>
              <w:left w:val="single" w:sz="4" w:space="0" w:color="000000"/>
              <w:bottom w:val="single" w:sz="4" w:space="0" w:color="000000"/>
              <w:right w:val="single" w:sz="4" w:space="0" w:color="000000"/>
            </w:tcBorders>
          </w:tcPr>
          <w:p>
            <w:pPr/>
          </w:p>
        </w:tc>
        <w:tc>
          <w:tcPr>
            <w:tcW w:w="1384"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580"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326"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．本期提取</w:t>
            </w:r>
          </w:p>
        </w:tc>
        <w:tc>
          <w:tcPr>
            <w:tcW w:w="1276"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026" w:type="dxa"/>
            <w:tcBorders>
              <w:top w:val="single" w:sz="4" w:space="0" w:color="000000"/>
              <w:left w:val="single" w:sz="4" w:space="0" w:color="000000"/>
              <w:bottom w:val="single" w:sz="4" w:space="0" w:color="000000"/>
              <w:right w:val="single" w:sz="4" w:space="0" w:color="000000"/>
            </w:tcBorders>
          </w:tcPr>
          <w:p>
            <w:pPr/>
          </w:p>
        </w:tc>
        <w:tc>
          <w:tcPr>
            <w:tcW w:w="1384"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580" w:type="dxa"/>
            <w:tcBorders>
              <w:top w:val="single" w:sz="4" w:space="0" w:color="000000"/>
              <w:left w:val="single" w:sz="4" w:space="0" w:color="000000"/>
              <w:bottom w:val="single" w:sz="4" w:space="0" w:color="000000"/>
              <w:right w:val="single" w:sz="4" w:space="0" w:color="000000"/>
            </w:tcBorders>
          </w:tcPr>
          <w:p>
            <w:pPr/>
          </w:p>
        </w:tc>
      </w:tr>
      <w:tr>
        <w:trPr>
          <w:trHeight w:val="229"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326"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．本期使用</w:t>
            </w:r>
          </w:p>
        </w:tc>
        <w:tc>
          <w:tcPr>
            <w:tcW w:w="1276"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026" w:type="dxa"/>
            <w:tcBorders>
              <w:top w:val="single" w:sz="4" w:space="0" w:color="000000"/>
              <w:left w:val="single" w:sz="4" w:space="0" w:color="000000"/>
              <w:bottom w:val="single" w:sz="4" w:space="0" w:color="000000"/>
              <w:right w:val="single" w:sz="4" w:space="0" w:color="000000"/>
            </w:tcBorders>
          </w:tcPr>
          <w:p>
            <w:pPr/>
          </w:p>
        </w:tc>
        <w:tc>
          <w:tcPr>
            <w:tcW w:w="1384"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580"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103" w:right="0"/>
              <w:jc w:val="left"/>
              <w:rPr>
                <w:rFonts w:ascii="宋体" w:hAnsi="宋体" w:cs="宋体" w:eastAsia="宋体" w:hint="default"/>
                <w:sz w:val="15"/>
                <w:szCs w:val="15"/>
              </w:rPr>
            </w:pPr>
            <w:r>
              <w:rPr>
                <w:rFonts w:ascii="宋体" w:hAnsi="宋体" w:cs="宋体" w:eastAsia="宋体" w:hint="default"/>
                <w:sz w:val="15"/>
                <w:szCs w:val="15"/>
              </w:rPr>
              <w:t>（六）其他</w:t>
            </w:r>
          </w:p>
        </w:tc>
        <w:tc>
          <w:tcPr>
            <w:tcW w:w="1276"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026" w:type="dxa"/>
            <w:tcBorders>
              <w:top w:val="single" w:sz="4" w:space="0" w:color="000000"/>
              <w:left w:val="single" w:sz="4" w:space="0" w:color="000000"/>
              <w:bottom w:val="single" w:sz="4" w:space="0" w:color="000000"/>
              <w:right w:val="single" w:sz="4" w:space="0" w:color="000000"/>
            </w:tcBorders>
          </w:tcPr>
          <w:p>
            <w:pPr/>
          </w:p>
        </w:tc>
        <w:tc>
          <w:tcPr>
            <w:tcW w:w="1384"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580"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5"/>
                <w:szCs w:val="15"/>
              </w:rPr>
            </w:pPr>
            <w:r>
              <w:rPr>
                <w:rFonts w:ascii="宋体" w:hAnsi="宋体" w:cs="宋体" w:eastAsia="宋体" w:hint="default"/>
                <w:sz w:val="15"/>
                <w:szCs w:val="15"/>
              </w:rPr>
              <w:t>四、本期期末余额</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Times New Roman" w:hAnsi="Times New Roman" w:cs="Times New Roman" w:eastAsia="Times New Roman" w:hint="default"/>
                <w:sz w:val="15"/>
                <w:szCs w:val="15"/>
              </w:rPr>
            </w:pPr>
            <w:r>
              <w:rPr>
                <w:rFonts w:ascii="Times New Roman"/>
                <w:spacing w:val="-1"/>
                <w:sz w:val="15"/>
              </w:rPr>
              <w:t>2,936,165,560.00</w:t>
            </w:r>
          </w:p>
        </w:tc>
        <w:tc>
          <w:tcPr>
            <w:tcW w:w="709"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Times New Roman" w:hAnsi="Times New Roman" w:cs="Times New Roman" w:eastAsia="Times New Roman" w:hint="default"/>
                <w:sz w:val="15"/>
                <w:szCs w:val="15"/>
              </w:rPr>
            </w:pPr>
            <w:r>
              <w:rPr>
                <w:rFonts w:ascii="Times New Roman"/>
                <w:spacing w:val="-1"/>
                <w:sz w:val="15"/>
              </w:rPr>
              <w:t>776,973,337.42</w:t>
            </w:r>
          </w:p>
        </w:tc>
        <w:tc>
          <w:tcPr>
            <w:tcW w:w="1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Times New Roman" w:hAnsi="Times New Roman" w:cs="Times New Roman" w:eastAsia="Times New Roman" w:hint="default"/>
                <w:sz w:val="15"/>
                <w:szCs w:val="15"/>
              </w:rPr>
            </w:pPr>
            <w:r>
              <w:rPr>
                <w:rFonts w:ascii="Times New Roman"/>
                <w:spacing w:val="-1"/>
                <w:sz w:val="15"/>
              </w:rPr>
              <w:t>7,983,507.00</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5"/>
                <w:szCs w:val="15"/>
              </w:rPr>
            </w:pPr>
            <w:r>
              <w:rPr>
                <w:rFonts w:ascii="Times New Roman"/>
                <w:spacing w:val="-1"/>
                <w:sz w:val="15"/>
              </w:rPr>
              <w:t>113,440,953.45</w:t>
            </w:r>
          </w:p>
        </w:tc>
        <w:tc>
          <w:tcPr>
            <w:tcW w:w="1066" w:type="dxa"/>
            <w:tcBorders>
              <w:top w:val="single" w:sz="4" w:space="0" w:color="000000"/>
              <w:left w:val="single" w:sz="4" w:space="0" w:color="000000"/>
              <w:bottom w:val="single" w:sz="4" w:space="0" w:color="000000"/>
              <w:right w:val="single" w:sz="4" w:space="0" w:color="000000"/>
            </w:tcBorders>
          </w:tcPr>
          <w:p>
            <w:pP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 w:right="0"/>
              <w:jc w:val="center"/>
              <w:rPr>
                <w:rFonts w:ascii="Times New Roman" w:hAnsi="Times New Roman" w:cs="Times New Roman" w:eastAsia="Times New Roman" w:hint="default"/>
                <w:sz w:val="15"/>
                <w:szCs w:val="15"/>
              </w:rPr>
            </w:pPr>
            <w:r>
              <w:rPr>
                <w:rFonts w:ascii="Times New Roman"/>
                <w:sz w:val="15"/>
              </w:rPr>
              <w:t>518,612,614.41</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9"/>
              <w:jc w:val="right"/>
              <w:rPr>
                <w:rFonts w:ascii="Times New Roman" w:hAnsi="Times New Roman" w:cs="Times New Roman" w:eastAsia="Times New Roman" w:hint="default"/>
                <w:sz w:val="15"/>
                <w:szCs w:val="15"/>
              </w:rPr>
            </w:pPr>
            <w:r>
              <w:rPr>
                <w:rFonts w:ascii="Times New Roman"/>
                <w:spacing w:val="-1"/>
                <w:sz w:val="15"/>
              </w:rPr>
              <w:t>740,348,065.06</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8"/>
              <w:jc w:val="right"/>
              <w:rPr>
                <w:rFonts w:ascii="Times New Roman" w:hAnsi="Times New Roman" w:cs="Times New Roman" w:eastAsia="Times New Roman" w:hint="default"/>
                <w:sz w:val="15"/>
                <w:szCs w:val="15"/>
              </w:rPr>
            </w:pPr>
            <w:r>
              <w:rPr>
                <w:rFonts w:ascii="Times New Roman"/>
                <w:spacing w:val="-1"/>
                <w:sz w:val="15"/>
              </w:rPr>
              <w:t>5,077,557,023.34</w:t>
            </w:r>
          </w:p>
        </w:tc>
      </w:tr>
    </w:tbl>
    <w:p>
      <w:pPr>
        <w:spacing w:before="91"/>
        <w:ind w:left="223"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tabs>
          <w:tab w:pos="4183" w:val="left" w:leader="none"/>
          <w:tab w:pos="7423" w:val="left" w:leader="none"/>
          <w:tab w:pos="11743" w:val="left" w:leader="none"/>
        </w:tabs>
        <w:spacing w:before="82"/>
        <w:ind w:left="223" w:right="0" w:firstLine="0"/>
        <w:jc w:val="left"/>
        <w:rPr>
          <w:rFonts w:ascii="宋体" w:hAnsi="宋体" w:cs="宋体" w:eastAsia="宋体" w:hint="default"/>
          <w:sz w:val="18"/>
          <w:szCs w:val="18"/>
        </w:rPr>
      </w:pPr>
      <w:r>
        <w:rPr>
          <w:rFonts w:ascii="宋体" w:hAnsi="宋体" w:cs="宋体" w:eastAsia="宋体" w:hint="default"/>
          <w:sz w:val="18"/>
          <w:szCs w:val="18"/>
        </w:rPr>
        <w:t>企业法定代表人：宋黎定</w:t>
        <w:tab/>
        <w:t>公司总裁：徐刚</w:t>
        <w:tab/>
        <w:t>主管会计工作负责人：刘文彬</w:t>
        <w:tab/>
        <w:t>会计机构负责人：许少霞</w:t>
      </w:r>
    </w:p>
    <w:p>
      <w:pPr>
        <w:spacing w:after="0"/>
        <w:jc w:val="left"/>
        <w:rPr>
          <w:rFonts w:ascii="宋体" w:hAnsi="宋体" w:cs="宋体" w:eastAsia="宋体" w:hint="default"/>
          <w:sz w:val="18"/>
          <w:szCs w:val="18"/>
        </w:rPr>
        <w:sectPr>
          <w:pgSz w:w="16840" w:h="11910" w:orient="landscape"/>
          <w:pgMar w:header="1453" w:footer="781" w:top="1640" w:bottom="980" w:left="740" w:right="740"/>
        </w:sectPr>
      </w:pPr>
    </w:p>
    <w:p>
      <w:pPr>
        <w:spacing w:before="37"/>
        <w:ind w:left="5941" w:right="5942" w:firstLine="0"/>
        <w:jc w:val="center"/>
        <w:rPr>
          <w:rFonts w:ascii="宋体" w:hAnsi="宋体" w:cs="宋体" w:eastAsia="宋体" w:hint="default"/>
          <w:sz w:val="18"/>
          <w:szCs w:val="18"/>
        </w:rPr>
      </w:pPr>
      <w:r>
        <w:rPr>
          <w:rFonts w:ascii="宋体" w:hAnsi="宋体" w:cs="宋体" w:eastAsia="宋体" w:hint="default"/>
          <w:b/>
          <w:bCs/>
          <w:sz w:val="18"/>
          <w:szCs w:val="18"/>
        </w:rPr>
        <w:t>股东权益变动表（续）</w:t>
      </w:r>
      <w:r>
        <w:rPr>
          <w:rFonts w:ascii="宋体" w:hAnsi="宋体" w:cs="宋体" w:eastAsia="宋体" w:hint="default"/>
          <w:sz w:val="18"/>
          <w:szCs w:val="18"/>
        </w:rPr>
      </w:r>
    </w:p>
    <w:p>
      <w:pPr>
        <w:spacing w:before="38"/>
        <w:ind w:left="5941" w:right="5942" w:firstLine="0"/>
        <w:jc w:val="center"/>
        <w:rPr>
          <w:rFonts w:ascii="宋体" w:hAnsi="宋体" w:cs="宋体" w:eastAsia="宋体" w:hint="default"/>
          <w:sz w:val="18"/>
          <w:szCs w:val="18"/>
        </w:rPr>
      </w:pPr>
      <w:r>
        <w:rPr>
          <w:rFonts w:ascii="Times New Roman" w:hAnsi="Times New Roman" w:cs="Times New Roman" w:eastAsia="Times New Roman" w:hint="default"/>
          <w:b/>
          <w:bCs/>
          <w:sz w:val="18"/>
          <w:szCs w:val="18"/>
        </w:rPr>
        <w:t>2018 </w:t>
      </w:r>
      <w:r>
        <w:rPr>
          <w:rFonts w:ascii="宋体" w:hAnsi="宋体" w:cs="宋体" w:eastAsia="宋体" w:hint="default"/>
          <w:b/>
          <w:bCs/>
          <w:sz w:val="18"/>
          <w:szCs w:val="18"/>
        </w:rPr>
        <w:t>年度</w:t>
      </w:r>
      <w:r>
        <w:rPr>
          <w:rFonts w:ascii="宋体" w:hAnsi="宋体" w:cs="宋体" w:eastAsia="宋体" w:hint="default"/>
          <w:sz w:val="18"/>
          <w:szCs w:val="18"/>
        </w:rPr>
      </w:r>
    </w:p>
    <w:p>
      <w:pPr>
        <w:spacing w:before="24"/>
        <w:ind w:left="5941" w:right="5944" w:firstLine="0"/>
        <w:jc w:val="center"/>
        <w:rPr>
          <w:rFonts w:ascii="宋体" w:hAnsi="宋体" w:cs="宋体" w:eastAsia="宋体" w:hint="default"/>
          <w:sz w:val="18"/>
          <w:szCs w:val="18"/>
        </w:rPr>
      </w:pPr>
      <w:r>
        <w:rPr>
          <w:rFonts w:ascii="宋体" w:hAnsi="宋体" w:cs="宋体" w:eastAsia="宋体" w:hint="default"/>
          <w:b/>
          <w:bCs/>
          <w:sz w:val="18"/>
          <w:szCs w:val="18"/>
        </w:rPr>
        <w:t>（除特别注明外，金额单位均为人民币元）</w:t>
      </w:r>
      <w:r>
        <w:rPr>
          <w:rFonts w:ascii="宋体" w:hAnsi="宋体" w:cs="宋体" w:eastAsia="宋体" w:hint="default"/>
          <w:sz w:val="18"/>
          <w:szCs w:val="18"/>
        </w:rPr>
      </w:r>
    </w:p>
    <w:p>
      <w:pPr>
        <w:spacing w:line="240" w:lineRule="auto" w:before="1"/>
        <w:rPr>
          <w:rFonts w:ascii="宋体" w:hAnsi="宋体" w:cs="宋体" w:eastAsia="宋体" w:hint="default"/>
          <w:b/>
          <w:bCs/>
          <w:sz w:val="14"/>
          <w:szCs w:val="14"/>
        </w:rPr>
      </w:pPr>
    </w:p>
    <w:tbl>
      <w:tblPr>
        <w:tblW w:w="0" w:type="auto"/>
        <w:jc w:val="left"/>
        <w:tblInd w:w="110" w:type="dxa"/>
        <w:tblLayout w:type="fixed"/>
        <w:tblCellMar>
          <w:top w:w="0" w:type="dxa"/>
          <w:left w:w="0" w:type="dxa"/>
          <w:bottom w:w="0" w:type="dxa"/>
          <w:right w:w="0" w:type="dxa"/>
        </w:tblCellMar>
        <w:tblLook w:val="01E0"/>
      </w:tblPr>
      <w:tblGrid>
        <w:gridCol w:w="2942"/>
        <w:gridCol w:w="1417"/>
        <w:gridCol w:w="709"/>
        <w:gridCol w:w="708"/>
        <w:gridCol w:w="709"/>
        <w:gridCol w:w="1276"/>
        <w:gridCol w:w="1134"/>
        <w:gridCol w:w="1277"/>
        <w:gridCol w:w="991"/>
        <w:gridCol w:w="1277"/>
        <w:gridCol w:w="1274"/>
        <w:gridCol w:w="1411"/>
      </w:tblGrid>
      <w:tr>
        <w:trPr>
          <w:trHeight w:val="229" w:hRule="exact"/>
        </w:trPr>
        <w:tc>
          <w:tcPr>
            <w:tcW w:w="2942"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项目</w:t>
            </w:r>
          </w:p>
        </w:tc>
        <w:tc>
          <w:tcPr>
            <w:tcW w:w="12184" w:type="dxa"/>
            <w:gridSpan w:val="11"/>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上期</w:t>
            </w:r>
          </w:p>
        </w:tc>
      </w:tr>
      <w:tr>
        <w:trPr>
          <w:trHeight w:val="230" w:hRule="exact"/>
        </w:trPr>
        <w:tc>
          <w:tcPr>
            <w:tcW w:w="2942" w:type="dxa"/>
            <w:vMerge/>
            <w:tcBorders>
              <w:left w:val="single" w:sz="4" w:space="0" w:color="000000"/>
              <w:right w:val="single" w:sz="4" w:space="0" w:color="000000"/>
            </w:tcBorders>
          </w:tcPr>
          <w:p>
            <w:pPr/>
          </w:p>
        </w:tc>
        <w:tc>
          <w:tcPr>
            <w:tcW w:w="1417" w:type="dxa"/>
            <w:vMerge w:val="restart"/>
            <w:tcBorders>
              <w:top w:val="single" w:sz="4" w:space="0" w:color="000000"/>
              <w:left w:val="single" w:sz="4" w:space="0" w:color="000000"/>
              <w:right w:val="single" w:sz="4" w:space="0" w:color="000000"/>
            </w:tcBorders>
          </w:tcPr>
          <w:p>
            <w:pPr>
              <w:pStyle w:val="TableParagraph"/>
              <w:spacing w:line="240" w:lineRule="auto" w:before="115"/>
              <w:ind w:left="1" w:right="0"/>
              <w:jc w:val="center"/>
              <w:rPr>
                <w:rFonts w:ascii="宋体" w:hAnsi="宋体" w:cs="宋体" w:eastAsia="宋体" w:hint="default"/>
                <w:sz w:val="15"/>
                <w:szCs w:val="15"/>
              </w:rPr>
            </w:pPr>
            <w:r>
              <w:rPr>
                <w:rFonts w:ascii="宋体" w:hAnsi="宋体" w:cs="宋体" w:eastAsia="宋体" w:hint="default"/>
                <w:sz w:val="15"/>
                <w:szCs w:val="15"/>
              </w:rPr>
              <w:t>股本</w:t>
            </w:r>
          </w:p>
        </w:tc>
        <w:tc>
          <w:tcPr>
            <w:tcW w:w="212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609" w:right="0"/>
              <w:jc w:val="left"/>
              <w:rPr>
                <w:rFonts w:ascii="宋体" w:hAnsi="宋体" w:cs="宋体" w:eastAsia="宋体" w:hint="default"/>
                <w:sz w:val="15"/>
                <w:szCs w:val="15"/>
              </w:rPr>
            </w:pPr>
            <w:r>
              <w:rPr>
                <w:rFonts w:ascii="宋体" w:hAnsi="宋体" w:cs="宋体" w:eastAsia="宋体" w:hint="default"/>
                <w:sz w:val="15"/>
                <w:szCs w:val="15"/>
              </w:rPr>
              <w:t>其他权益工具</w:t>
            </w:r>
          </w:p>
        </w:tc>
        <w:tc>
          <w:tcPr>
            <w:tcW w:w="1276" w:type="dxa"/>
            <w:vMerge w:val="restart"/>
            <w:tcBorders>
              <w:top w:val="single" w:sz="4" w:space="0" w:color="000000"/>
              <w:left w:val="single" w:sz="4" w:space="0" w:color="000000"/>
              <w:right w:val="single" w:sz="4" w:space="0" w:color="000000"/>
            </w:tcBorders>
          </w:tcPr>
          <w:p>
            <w:pPr>
              <w:pStyle w:val="TableParagraph"/>
              <w:spacing w:line="240" w:lineRule="auto" w:before="115"/>
              <w:ind w:left="332" w:right="0"/>
              <w:jc w:val="left"/>
              <w:rPr>
                <w:rFonts w:ascii="宋体" w:hAnsi="宋体" w:cs="宋体" w:eastAsia="宋体" w:hint="default"/>
                <w:sz w:val="15"/>
                <w:szCs w:val="15"/>
              </w:rPr>
            </w:pPr>
            <w:r>
              <w:rPr>
                <w:rFonts w:ascii="宋体" w:hAnsi="宋体" w:cs="宋体" w:eastAsia="宋体" w:hint="default"/>
                <w:sz w:val="15"/>
                <w:szCs w:val="15"/>
              </w:rPr>
              <w:t>资本公积</w:t>
            </w:r>
          </w:p>
        </w:tc>
        <w:tc>
          <w:tcPr>
            <w:tcW w:w="1134" w:type="dxa"/>
            <w:vMerge w:val="restart"/>
            <w:tcBorders>
              <w:top w:val="single" w:sz="4" w:space="0" w:color="000000"/>
              <w:left w:val="single" w:sz="4" w:space="0" w:color="000000"/>
              <w:right w:val="single" w:sz="4" w:space="0" w:color="000000"/>
            </w:tcBorders>
          </w:tcPr>
          <w:p>
            <w:pPr>
              <w:pStyle w:val="TableParagraph"/>
              <w:spacing w:line="240" w:lineRule="auto" w:before="115"/>
              <w:ind w:left="188" w:right="0"/>
              <w:jc w:val="left"/>
              <w:rPr>
                <w:rFonts w:ascii="宋体" w:hAnsi="宋体" w:cs="宋体" w:eastAsia="宋体" w:hint="default"/>
                <w:sz w:val="15"/>
                <w:szCs w:val="15"/>
              </w:rPr>
            </w:pPr>
            <w:r>
              <w:rPr>
                <w:rFonts w:ascii="宋体" w:hAnsi="宋体" w:cs="宋体" w:eastAsia="宋体" w:hint="default"/>
                <w:sz w:val="15"/>
                <w:szCs w:val="15"/>
              </w:rPr>
              <w:t>减：库存股</w:t>
            </w:r>
          </w:p>
        </w:tc>
        <w:tc>
          <w:tcPr>
            <w:tcW w:w="1277" w:type="dxa"/>
            <w:vMerge w:val="restart"/>
            <w:tcBorders>
              <w:top w:val="single" w:sz="4" w:space="0" w:color="000000"/>
              <w:left w:val="single" w:sz="4" w:space="0" w:color="000000"/>
              <w:right w:val="single" w:sz="4" w:space="0" w:color="000000"/>
            </w:tcBorders>
          </w:tcPr>
          <w:p>
            <w:pPr>
              <w:pStyle w:val="TableParagraph"/>
              <w:spacing w:line="240" w:lineRule="auto" w:before="115"/>
              <w:ind w:left="183" w:right="0"/>
              <w:jc w:val="left"/>
              <w:rPr>
                <w:rFonts w:ascii="宋体" w:hAnsi="宋体" w:cs="宋体" w:eastAsia="宋体" w:hint="default"/>
                <w:sz w:val="15"/>
                <w:szCs w:val="15"/>
              </w:rPr>
            </w:pPr>
            <w:r>
              <w:rPr>
                <w:rFonts w:ascii="宋体" w:hAnsi="宋体" w:cs="宋体" w:eastAsia="宋体" w:hint="default"/>
                <w:sz w:val="15"/>
                <w:szCs w:val="15"/>
              </w:rPr>
              <w:t>其他综合收益</w:t>
            </w:r>
          </w:p>
        </w:tc>
        <w:tc>
          <w:tcPr>
            <w:tcW w:w="991" w:type="dxa"/>
            <w:vMerge w:val="restart"/>
            <w:tcBorders>
              <w:top w:val="single" w:sz="4" w:space="0" w:color="000000"/>
              <w:left w:val="single" w:sz="4" w:space="0" w:color="000000"/>
              <w:right w:val="single" w:sz="4" w:space="0" w:color="000000"/>
            </w:tcBorders>
          </w:tcPr>
          <w:p>
            <w:pPr>
              <w:pStyle w:val="TableParagraph"/>
              <w:spacing w:line="240" w:lineRule="auto" w:before="115"/>
              <w:ind w:left="190" w:right="0"/>
              <w:jc w:val="left"/>
              <w:rPr>
                <w:rFonts w:ascii="宋体" w:hAnsi="宋体" w:cs="宋体" w:eastAsia="宋体" w:hint="default"/>
                <w:sz w:val="15"/>
                <w:szCs w:val="15"/>
              </w:rPr>
            </w:pPr>
            <w:r>
              <w:rPr>
                <w:rFonts w:ascii="宋体" w:hAnsi="宋体" w:cs="宋体" w:eastAsia="宋体" w:hint="default"/>
                <w:sz w:val="15"/>
                <w:szCs w:val="15"/>
              </w:rPr>
              <w:t>专项储备</w:t>
            </w:r>
          </w:p>
        </w:tc>
        <w:tc>
          <w:tcPr>
            <w:tcW w:w="1277" w:type="dxa"/>
            <w:vMerge w:val="restart"/>
            <w:tcBorders>
              <w:top w:val="single" w:sz="4" w:space="0" w:color="000000"/>
              <w:left w:val="single" w:sz="4" w:space="0" w:color="000000"/>
              <w:right w:val="single" w:sz="4" w:space="0" w:color="000000"/>
            </w:tcBorders>
          </w:tcPr>
          <w:p>
            <w:pPr>
              <w:pStyle w:val="TableParagraph"/>
              <w:spacing w:line="240" w:lineRule="auto" w:before="115"/>
              <w:ind w:left="333" w:right="0"/>
              <w:jc w:val="left"/>
              <w:rPr>
                <w:rFonts w:ascii="宋体" w:hAnsi="宋体" w:cs="宋体" w:eastAsia="宋体" w:hint="default"/>
                <w:sz w:val="15"/>
                <w:szCs w:val="15"/>
              </w:rPr>
            </w:pPr>
            <w:r>
              <w:rPr>
                <w:rFonts w:ascii="宋体" w:hAnsi="宋体" w:cs="宋体" w:eastAsia="宋体" w:hint="default"/>
                <w:sz w:val="15"/>
                <w:szCs w:val="15"/>
              </w:rPr>
              <w:t>盈余公积</w:t>
            </w:r>
          </w:p>
        </w:tc>
        <w:tc>
          <w:tcPr>
            <w:tcW w:w="1274" w:type="dxa"/>
            <w:vMerge w:val="restart"/>
            <w:tcBorders>
              <w:top w:val="single" w:sz="4" w:space="0" w:color="000000"/>
              <w:left w:val="single" w:sz="4" w:space="0" w:color="000000"/>
              <w:right w:val="single" w:sz="4" w:space="0" w:color="000000"/>
            </w:tcBorders>
          </w:tcPr>
          <w:p>
            <w:pPr>
              <w:pStyle w:val="TableParagraph"/>
              <w:spacing w:line="240" w:lineRule="auto" w:before="115"/>
              <w:ind w:left="256" w:right="0"/>
              <w:jc w:val="left"/>
              <w:rPr>
                <w:rFonts w:ascii="宋体" w:hAnsi="宋体" w:cs="宋体" w:eastAsia="宋体" w:hint="default"/>
                <w:sz w:val="15"/>
                <w:szCs w:val="15"/>
              </w:rPr>
            </w:pPr>
            <w:r>
              <w:rPr>
                <w:rFonts w:ascii="宋体" w:hAnsi="宋体" w:cs="宋体" w:eastAsia="宋体" w:hint="default"/>
                <w:sz w:val="15"/>
                <w:szCs w:val="15"/>
              </w:rPr>
              <w:t>未分配利润</w:t>
            </w:r>
          </w:p>
        </w:tc>
        <w:tc>
          <w:tcPr>
            <w:tcW w:w="1411" w:type="dxa"/>
            <w:vMerge w:val="restart"/>
            <w:tcBorders>
              <w:top w:val="single" w:sz="4" w:space="0" w:color="000000"/>
              <w:left w:val="single" w:sz="4" w:space="0" w:color="000000"/>
              <w:right w:val="single" w:sz="4" w:space="0" w:color="000000"/>
            </w:tcBorders>
          </w:tcPr>
          <w:p>
            <w:pPr>
              <w:pStyle w:val="TableParagraph"/>
              <w:spacing w:line="240" w:lineRule="auto" w:before="115"/>
              <w:ind w:left="175" w:right="0"/>
              <w:jc w:val="left"/>
              <w:rPr>
                <w:rFonts w:ascii="宋体" w:hAnsi="宋体" w:cs="宋体" w:eastAsia="宋体" w:hint="default"/>
                <w:sz w:val="15"/>
                <w:szCs w:val="15"/>
              </w:rPr>
            </w:pPr>
            <w:r>
              <w:rPr>
                <w:rFonts w:ascii="宋体" w:hAnsi="宋体" w:cs="宋体" w:eastAsia="宋体" w:hint="default"/>
                <w:sz w:val="15"/>
                <w:szCs w:val="15"/>
              </w:rPr>
              <w:t>所有者权益合计</w:t>
            </w:r>
          </w:p>
        </w:tc>
      </w:tr>
      <w:tr>
        <w:trPr>
          <w:trHeight w:val="230" w:hRule="exact"/>
        </w:trPr>
        <w:tc>
          <w:tcPr>
            <w:tcW w:w="2942" w:type="dxa"/>
            <w:vMerge/>
            <w:tcBorders>
              <w:left w:val="single" w:sz="4" w:space="0" w:color="000000"/>
              <w:bottom w:val="single" w:sz="4" w:space="0" w:color="000000"/>
              <w:right w:val="single" w:sz="4" w:space="0" w:color="000000"/>
            </w:tcBorders>
          </w:tcPr>
          <w:p>
            <w:pPr/>
          </w:p>
        </w:tc>
        <w:tc>
          <w:tcPr>
            <w:tcW w:w="1417" w:type="dxa"/>
            <w:vMerge/>
            <w:tcBorders>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25" w:right="0"/>
              <w:jc w:val="left"/>
              <w:rPr>
                <w:rFonts w:ascii="宋体" w:hAnsi="宋体" w:cs="宋体" w:eastAsia="宋体" w:hint="default"/>
                <w:sz w:val="15"/>
                <w:szCs w:val="15"/>
              </w:rPr>
            </w:pPr>
            <w:r>
              <w:rPr>
                <w:rFonts w:ascii="宋体" w:hAnsi="宋体" w:cs="宋体" w:eastAsia="宋体" w:hint="default"/>
                <w:sz w:val="15"/>
                <w:szCs w:val="15"/>
              </w:rPr>
              <w:t>优先股</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23" w:right="0"/>
              <w:jc w:val="left"/>
              <w:rPr>
                <w:rFonts w:ascii="宋体" w:hAnsi="宋体" w:cs="宋体" w:eastAsia="宋体" w:hint="default"/>
                <w:sz w:val="15"/>
                <w:szCs w:val="15"/>
              </w:rPr>
            </w:pPr>
            <w:r>
              <w:rPr>
                <w:rFonts w:ascii="宋体" w:hAnsi="宋体" w:cs="宋体" w:eastAsia="宋体" w:hint="default"/>
                <w:sz w:val="15"/>
                <w:szCs w:val="15"/>
              </w:rPr>
              <w:t>永续债</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99"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276"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1277" w:type="dxa"/>
            <w:vMerge/>
            <w:tcBorders>
              <w:left w:val="single" w:sz="4" w:space="0" w:color="000000"/>
              <w:bottom w:val="single" w:sz="4" w:space="0" w:color="000000"/>
              <w:right w:val="single" w:sz="4" w:space="0" w:color="000000"/>
            </w:tcBorders>
          </w:tcPr>
          <w:p>
            <w:pPr/>
          </w:p>
        </w:tc>
        <w:tc>
          <w:tcPr>
            <w:tcW w:w="991" w:type="dxa"/>
            <w:vMerge/>
            <w:tcBorders>
              <w:left w:val="single" w:sz="4" w:space="0" w:color="000000"/>
              <w:bottom w:val="single" w:sz="4" w:space="0" w:color="000000"/>
              <w:right w:val="single" w:sz="4" w:space="0" w:color="000000"/>
            </w:tcBorders>
          </w:tcPr>
          <w:p>
            <w:pPr/>
          </w:p>
        </w:tc>
        <w:tc>
          <w:tcPr>
            <w:tcW w:w="1277" w:type="dxa"/>
            <w:vMerge/>
            <w:tcBorders>
              <w:left w:val="single" w:sz="4" w:space="0" w:color="000000"/>
              <w:bottom w:val="single" w:sz="4" w:space="0" w:color="000000"/>
              <w:right w:val="single" w:sz="4" w:space="0" w:color="000000"/>
            </w:tcBorders>
          </w:tcPr>
          <w:p>
            <w:pPr/>
          </w:p>
        </w:tc>
        <w:tc>
          <w:tcPr>
            <w:tcW w:w="1274" w:type="dxa"/>
            <w:vMerge/>
            <w:tcBorders>
              <w:left w:val="single" w:sz="4" w:space="0" w:color="000000"/>
              <w:bottom w:val="single" w:sz="4" w:space="0" w:color="000000"/>
              <w:right w:val="single" w:sz="4" w:space="0" w:color="000000"/>
            </w:tcBorders>
          </w:tcPr>
          <w:p>
            <w:pPr/>
          </w:p>
        </w:tc>
        <w:tc>
          <w:tcPr>
            <w:tcW w:w="1411" w:type="dxa"/>
            <w:vMerge/>
            <w:tcBorders>
              <w:left w:val="single" w:sz="4" w:space="0" w:color="000000"/>
              <w:bottom w:val="single" w:sz="4" w:space="0" w:color="000000"/>
              <w:right w:val="single" w:sz="4" w:space="0" w:color="000000"/>
            </w:tcBorders>
          </w:tcPr>
          <w:p>
            <w:pPr/>
          </w:p>
        </w:tc>
      </w:tr>
      <w:tr>
        <w:trPr>
          <w:trHeight w:val="229"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一、上年年末余额</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98"/>
              <w:jc w:val="right"/>
              <w:rPr>
                <w:rFonts w:ascii="Times New Roman" w:hAnsi="Times New Roman" w:cs="Times New Roman" w:eastAsia="Times New Roman" w:hint="default"/>
                <w:sz w:val="15"/>
                <w:szCs w:val="15"/>
              </w:rPr>
            </w:pPr>
            <w:r>
              <w:rPr>
                <w:rFonts w:ascii="Times New Roman"/>
                <w:spacing w:val="-1"/>
                <w:sz w:val="15"/>
              </w:rPr>
              <w:t>1,323,593,886.00</w:t>
            </w: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122" w:right="0"/>
              <w:jc w:val="center"/>
              <w:rPr>
                <w:rFonts w:ascii="Times New Roman" w:hAnsi="Times New Roman" w:cs="Times New Roman" w:eastAsia="Times New Roman" w:hint="default"/>
                <w:sz w:val="15"/>
                <w:szCs w:val="15"/>
              </w:rPr>
            </w:pPr>
            <w:r>
              <w:rPr>
                <w:rFonts w:ascii="Times New Roman"/>
                <w:sz w:val="15"/>
              </w:rPr>
              <w:t>814,782,287.48</w:t>
            </w: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0"/>
              <w:jc w:val="right"/>
              <w:rPr>
                <w:rFonts w:ascii="Times New Roman" w:hAnsi="Times New Roman" w:cs="Times New Roman" w:eastAsia="Times New Roman" w:hint="default"/>
                <w:sz w:val="15"/>
                <w:szCs w:val="15"/>
              </w:rPr>
            </w:pPr>
            <w:r>
              <w:rPr>
                <w:rFonts w:ascii="Times New Roman"/>
                <w:spacing w:val="-1"/>
                <w:sz w:val="15"/>
              </w:rPr>
              <w:t>346,733,858.25</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0"/>
              <w:jc w:val="right"/>
              <w:rPr>
                <w:rFonts w:ascii="Times New Roman" w:hAnsi="Times New Roman" w:cs="Times New Roman" w:eastAsia="Times New Roman" w:hint="default"/>
                <w:sz w:val="15"/>
                <w:szCs w:val="15"/>
              </w:rPr>
            </w:pPr>
            <w:r>
              <w:rPr>
                <w:rFonts w:ascii="Times New Roman"/>
                <w:spacing w:val="-1"/>
                <w:sz w:val="15"/>
              </w:rPr>
              <w:t>-57,352,283.66</w:t>
            </w:r>
          </w:p>
        </w:tc>
        <w:tc>
          <w:tcPr>
            <w:tcW w:w="1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99"/>
              <w:jc w:val="right"/>
              <w:rPr>
                <w:rFonts w:ascii="Times New Roman" w:hAnsi="Times New Roman" w:cs="Times New Roman" w:eastAsia="Times New Roman" w:hint="default"/>
                <w:sz w:val="15"/>
                <w:szCs w:val="15"/>
              </w:rPr>
            </w:pPr>
            <w:r>
              <w:rPr>
                <w:rFonts w:ascii="Times New Roman"/>
                <w:spacing w:val="-1"/>
                <w:sz w:val="15"/>
              </w:rPr>
              <w:t>2,427,757,748.07</w:t>
            </w:r>
          </w:p>
        </w:tc>
      </w:tr>
      <w:tr>
        <w:trPr>
          <w:trHeight w:val="230"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5"/>
                <w:szCs w:val="15"/>
              </w:rPr>
            </w:pPr>
            <w:r>
              <w:rPr>
                <w:rFonts w:ascii="宋体" w:hAnsi="宋体" w:cs="宋体" w:eastAsia="宋体" w:hint="default"/>
                <w:sz w:val="15"/>
                <w:szCs w:val="15"/>
              </w:rPr>
              <w:t>加：会计政策变更</w:t>
            </w:r>
          </w:p>
        </w:tc>
        <w:tc>
          <w:tcPr>
            <w:tcW w:w="141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1"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前期差错更正</w:t>
            </w:r>
          </w:p>
        </w:tc>
        <w:tc>
          <w:tcPr>
            <w:tcW w:w="141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1" w:type="dxa"/>
            <w:tcBorders>
              <w:top w:val="single" w:sz="4" w:space="0" w:color="000000"/>
              <w:left w:val="single" w:sz="4" w:space="0" w:color="000000"/>
              <w:bottom w:val="single" w:sz="4" w:space="0" w:color="000000"/>
              <w:right w:val="single" w:sz="4" w:space="0" w:color="000000"/>
            </w:tcBorders>
          </w:tcPr>
          <w:p>
            <w:pPr/>
          </w:p>
        </w:tc>
      </w:tr>
      <w:tr>
        <w:trPr>
          <w:trHeight w:val="229"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41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1"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5"/>
                <w:szCs w:val="15"/>
              </w:rPr>
            </w:pPr>
            <w:r>
              <w:rPr>
                <w:rFonts w:ascii="宋体" w:hAnsi="宋体" w:cs="宋体" w:eastAsia="宋体" w:hint="default"/>
                <w:sz w:val="15"/>
                <w:szCs w:val="15"/>
              </w:rPr>
              <w:t>二、本年年初余额</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Times New Roman" w:hAnsi="Times New Roman" w:cs="Times New Roman" w:eastAsia="Times New Roman" w:hint="default"/>
                <w:sz w:val="15"/>
                <w:szCs w:val="15"/>
              </w:rPr>
            </w:pPr>
            <w:r>
              <w:rPr>
                <w:rFonts w:ascii="Times New Roman"/>
                <w:spacing w:val="-1"/>
                <w:sz w:val="15"/>
              </w:rPr>
              <w:t>1,323,593,886.00</w:t>
            </w: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22" w:right="0"/>
              <w:jc w:val="center"/>
              <w:rPr>
                <w:rFonts w:ascii="Times New Roman" w:hAnsi="Times New Roman" w:cs="Times New Roman" w:eastAsia="Times New Roman" w:hint="default"/>
                <w:sz w:val="15"/>
                <w:szCs w:val="15"/>
              </w:rPr>
            </w:pPr>
            <w:r>
              <w:rPr>
                <w:rFonts w:ascii="Times New Roman"/>
                <w:sz w:val="15"/>
              </w:rPr>
              <w:t>814,782,287.48</w:t>
            </w: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Times New Roman" w:hAnsi="Times New Roman" w:cs="Times New Roman" w:eastAsia="Times New Roman" w:hint="default"/>
                <w:sz w:val="15"/>
                <w:szCs w:val="15"/>
              </w:rPr>
            </w:pPr>
            <w:r>
              <w:rPr>
                <w:rFonts w:ascii="Times New Roman"/>
                <w:spacing w:val="-1"/>
                <w:sz w:val="15"/>
              </w:rPr>
              <w:t>346,733,858.25</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Times New Roman" w:hAnsi="Times New Roman" w:cs="Times New Roman" w:eastAsia="Times New Roman" w:hint="default"/>
                <w:sz w:val="15"/>
                <w:szCs w:val="15"/>
              </w:rPr>
            </w:pPr>
            <w:r>
              <w:rPr>
                <w:rFonts w:ascii="Times New Roman"/>
                <w:spacing w:val="-1"/>
                <w:sz w:val="15"/>
              </w:rPr>
              <w:t>-57,352,283.66</w:t>
            </w:r>
          </w:p>
        </w:tc>
        <w:tc>
          <w:tcPr>
            <w:tcW w:w="1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Times New Roman" w:hAnsi="Times New Roman" w:cs="Times New Roman" w:eastAsia="Times New Roman" w:hint="default"/>
                <w:sz w:val="15"/>
                <w:szCs w:val="15"/>
              </w:rPr>
            </w:pPr>
            <w:r>
              <w:rPr>
                <w:rFonts w:ascii="Times New Roman"/>
                <w:spacing w:val="-1"/>
                <w:sz w:val="15"/>
              </w:rPr>
              <w:t>2,427,757,748.07</w:t>
            </w:r>
          </w:p>
        </w:tc>
      </w:tr>
      <w:tr>
        <w:trPr>
          <w:trHeight w:val="230"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pacing w:val="-5"/>
                <w:sz w:val="15"/>
                <w:szCs w:val="15"/>
              </w:rPr>
              <w:t>三、本期增减变动金额（减少以</w:t>
            </w:r>
            <w:r>
              <w:rPr>
                <w:rFonts w:ascii="Times New Roman" w:hAnsi="Times New Roman" w:cs="Times New Roman" w:eastAsia="Times New Roman" w:hint="default"/>
                <w:spacing w:val="-5"/>
                <w:sz w:val="15"/>
                <w:szCs w:val="15"/>
              </w:rPr>
              <w:t>“-”</w:t>
            </w:r>
            <w:r>
              <w:rPr>
                <w:rFonts w:ascii="宋体" w:hAnsi="宋体" w:cs="宋体" w:eastAsia="宋体" w:hint="default"/>
                <w:spacing w:val="-5"/>
                <w:sz w:val="15"/>
                <w:szCs w:val="15"/>
              </w:rPr>
              <w:t>号填列）</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98"/>
              <w:jc w:val="right"/>
              <w:rPr>
                <w:rFonts w:ascii="Times New Roman" w:hAnsi="Times New Roman" w:cs="Times New Roman" w:eastAsia="Times New Roman" w:hint="default"/>
                <w:sz w:val="15"/>
                <w:szCs w:val="15"/>
              </w:rPr>
            </w:pPr>
            <w:r>
              <w:rPr>
                <w:rFonts w:ascii="Times New Roman"/>
                <w:spacing w:val="-1"/>
                <w:sz w:val="15"/>
              </w:rPr>
              <w:t>1,620,475,573.00</w:t>
            </w: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148" w:right="0"/>
              <w:jc w:val="center"/>
              <w:rPr>
                <w:rFonts w:ascii="Times New Roman" w:hAnsi="Times New Roman" w:cs="Times New Roman" w:eastAsia="Times New Roman" w:hint="default"/>
                <w:sz w:val="15"/>
                <w:szCs w:val="15"/>
              </w:rPr>
            </w:pPr>
            <w:r>
              <w:rPr>
                <w:rFonts w:ascii="Times New Roman"/>
                <w:sz w:val="15"/>
              </w:rPr>
              <w:t>-69,430,903.31</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99"/>
              <w:jc w:val="right"/>
              <w:rPr>
                <w:rFonts w:ascii="Times New Roman" w:hAnsi="Times New Roman" w:cs="Times New Roman" w:eastAsia="Times New Roman" w:hint="default"/>
                <w:sz w:val="15"/>
                <w:szCs w:val="15"/>
              </w:rPr>
            </w:pPr>
            <w:r>
              <w:rPr>
                <w:rFonts w:ascii="Times New Roman"/>
                <w:spacing w:val="-1"/>
                <w:sz w:val="15"/>
              </w:rPr>
              <w:t>7,903,899.00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12" w:right="0"/>
              <w:jc w:val="center"/>
              <w:rPr>
                <w:rFonts w:ascii="Times New Roman" w:hAnsi="Times New Roman" w:cs="Times New Roman" w:eastAsia="Times New Roman" w:hint="default"/>
                <w:sz w:val="15"/>
                <w:szCs w:val="15"/>
              </w:rPr>
            </w:pPr>
            <w:r>
              <w:rPr>
                <w:rFonts w:ascii="Times New Roman"/>
                <w:sz w:val="15"/>
              </w:rPr>
              <w:t>1,245,632,435.40</w:t>
            </w: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99"/>
              <w:jc w:val="right"/>
              <w:rPr>
                <w:rFonts w:ascii="Times New Roman" w:hAnsi="Times New Roman" w:cs="Times New Roman" w:eastAsia="Times New Roman" w:hint="default"/>
                <w:sz w:val="15"/>
                <w:szCs w:val="15"/>
              </w:rPr>
            </w:pPr>
            <w:r>
              <w:rPr>
                <w:rFonts w:ascii="Times New Roman"/>
                <w:spacing w:val="-1"/>
                <w:sz w:val="15"/>
              </w:rPr>
              <w:t>110,307,806.13</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0"/>
              <w:jc w:val="right"/>
              <w:rPr>
                <w:rFonts w:ascii="Times New Roman" w:hAnsi="Times New Roman" w:cs="Times New Roman" w:eastAsia="Times New Roman" w:hint="default"/>
                <w:sz w:val="15"/>
                <w:szCs w:val="15"/>
              </w:rPr>
            </w:pPr>
            <w:r>
              <w:rPr>
                <w:rFonts w:ascii="Times New Roman"/>
                <w:spacing w:val="-1"/>
                <w:sz w:val="15"/>
              </w:rPr>
              <w:t>420,205,966.03</w:t>
            </w:r>
          </w:p>
        </w:tc>
        <w:tc>
          <w:tcPr>
            <w:tcW w:w="1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99"/>
              <w:jc w:val="right"/>
              <w:rPr>
                <w:rFonts w:ascii="Times New Roman" w:hAnsi="Times New Roman" w:cs="Times New Roman" w:eastAsia="Times New Roman" w:hint="default"/>
                <w:sz w:val="15"/>
                <w:szCs w:val="15"/>
              </w:rPr>
            </w:pPr>
            <w:r>
              <w:rPr>
                <w:rFonts w:ascii="Times New Roman"/>
                <w:spacing w:val="-1"/>
                <w:sz w:val="15"/>
              </w:rPr>
              <w:t>3,319,286,978.25</w:t>
            </w:r>
          </w:p>
        </w:tc>
      </w:tr>
      <w:tr>
        <w:trPr>
          <w:trHeight w:val="229"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（一）综合收益总额</w:t>
            </w:r>
          </w:p>
        </w:tc>
        <w:tc>
          <w:tcPr>
            <w:tcW w:w="141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74" w:right="0"/>
              <w:jc w:val="center"/>
              <w:rPr>
                <w:rFonts w:ascii="Times New Roman" w:hAnsi="Times New Roman" w:cs="Times New Roman" w:eastAsia="Times New Roman" w:hint="default"/>
                <w:sz w:val="15"/>
                <w:szCs w:val="15"/>
              </w:rPr>
            </w:pPr>
            <w:r>
              <w:rPr>
                <w:rFonts w:ascii="Times New Roman"/>
                <w:sz w:val="15"/>
              </w:rPr>
              <w:t>-417,639,064.60</w:t>
            </w: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0"/>
              <w:jc w:val="right"/>
              <w:rPr>
                <w:rFonts w:ascii="Times New Roman" w:hAnsi="Times New Roman" w:cs="Times New Roman" w:eastAsia="Times New Roman" w:hint="default"/>
                <w:sz w:val="15"/>
                <w:szCs w:val="15"/>
              </w:rPr>
            </w:pPr>
            <w:r>
              <w:rPr>
                <w:rFonts w:ascii="Times New Roman"/>
                <w:spacing w:val="-1"/>
                <w:sz w:val="15"/>
              </w:rPr>
              <w:t>292,062,269.36</w:t>
            </w:r>
          </w:p>
        </w:tc>
        <w:tc>
          <w:tcPr>
            <w:tcW w:w="1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0"/>
              <w:jc w:val="right"/>
              <w:rPr>
                <w:rFonts w:ascii="Times New Roman" w:hAnsi="Times New Roman" w:cs="Times New Roman" w:eastAsia="Times New Roman" w:hint="default"/>
                <w:sz w:val="15"/>
                <w:szCs w:val="15"/>
              </w:rPr>
            </w:pPr>
            <w:r>
              <w:rPr>
                <w:rFonts w:ascii="Times New Roman"/>
                <w:spacing w:val="-1"/>
                <w:sz w:val="15"/>
              </w:rPr>
              <w:t>-125,576,795.24</w:t>
            </w:r>
          </w:p>
        </w:tc>
      </w:tr>
      <w:tr>
        <w:trPr>
          <w:trHeight w:val="230"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5"/>
                <w:szCs w:val="15"/>
              </w:rPr>
            </w:pPr>
            <w:r>
              <w:rPr>
                <w:rFonts w:ascii="宋体" w:hAnsi="宋体" w:cs="宋体" w:eastAsia="宋体" w:hint="default"/>
                <w:sz w:val="15"/>
                <w:szCs w:val="15"/>
              </w:rPr>
              <w:t>（二）所有者投入和减少资本</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Times New Roman" w:hAnsi="Times New Roman" w:cs="Times New Roman" w:eastAsia="Times New Roman" w:hint="default"/>
                <w:sz w:val="15"/>
                <w:szCs w:val="15"/>
              </w:rPr>
            </w:pPr>
            <w:r>
              <w:rPr>
                <w:rFonts w:ascii="Times New Roman"/>
                <w:spacing w:val="-1"/>
                <w:sz w:val="15"/>
              </w:rPr>
              <w:t>1,620,475,573.00</w:t>
            </w: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48" w:right="0"/>
              <w:jc w:val="center"/>
              <w:rPr>
                <w:rFonts w:ascii="Times New Roman" w:hAnsi="Times New Roman" w:cs="Times New Roman" w:eastAsia="Times New Roman" w:hint="default"/>
                <w:sz w:val="15"/>
                <w:szCs w:val="15"/>
              </w:rPr>
            </w:pPr>
            <w:r>
              <w:rPr>
                <w:rFonts w:ascii="Times New Roman"/>
                <w:sz w:val="15"/>
              </w:rPr>
              <w:t>-69,430,903.31</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Times New Roman" w:hAnsi="Times New Roman" w:cs="Times New Roman" w:eastAsia="Times New Roman" w:hint="default"/>
                <w:sz w:val="15"/>
                <w:szCs w:val="15"/>
              </w:rPr>
            </w:pPr>
            <w:r>
              <w:rPr>
                <w:rFonts w:ascii="Times New Roman"/>
                <w:spacing w:val="-1"/>
                <w:sz w:val="15"/>
              </w:rPr>
              <w:t>7,903,899.00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2" w:right="0"/>
              <w:jc w:val="center"/>
              <w:rPr>
                <w:rFonts w:ascii="Times New Roman" w:hAnsi="Times New Roman" w:cs="Times New Roman" w:eastAsia="Times New Roman" w:hint="default"/>
                <w:sz w:val="15"/>
                <w:szCs w:val="15"/>
              </w:rPr>
            </w:pPr>
            <w:r>
              <w:rPr>
                <w:rFonts w:ascii="Times New Roman"/>
                <w:sz w:val="15"/>
              </w:rPr>
              <w:t>1,663,271,500.00</w:t>
            </w: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Times New Roman" w:hAnsi="Times New Roman" w:cs="Times New Roman" w:eastAsia="Times New Roman" w:hint="default"/>
                <w:sz w:val="15"/>
                <w:szCs w:val="15"/>
              </w:rPr>
            </w:pPr>
            <w:r>
              <w:rPr>
                <w:rFonts w:ascii="Times New Roman"/>
                <w:spacing w:val="-1"/>
                <w:sz w:val="15"/>
              </w:rPr>
              <w:t>81,101,579.19</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Times New Roman" w:hAnsi="Times New Roman" w:cs="Times New Roman" w:eastAsia="Times New Roman" w:hint="default"/>
                <w:sz w:val="15"/>
                <w:szCs w:val="15"/>
              </w:rPr>
            </w:pPr>
            <w:r>
              <w:rPr>
                <w:rFonts w:ascii="Times New Roman"/>
                <w:spacing w:val="-1"/>
                <w:sz w:val="15"/>
              </w:rPr>
              <w:t>157,349,923.61</w:t>
            </w:r>
          </w:p>
        </w:tc>
        <w:tc>
          <w:tcPr>
            <w:tcW w:w="1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Times New Roman" w:hAnsi="Times New Roman" w:cs="Times New Roman" w:eastAsia="Times New Roman" w:hint="default"/>
                <w:sz w:val="15"/>
                <w:szCs w:val="15"/>
              </w:rPr>
            </w:pPr>
            <w:r>
              <w:rPr>
                <w:rFonts w:ascii="Times New Roman"/>
                <w:spacing w:val="-1"/>
                <w:sz w:val="15"/>
              </w:rPr>
              <w:t>3,444,863,773.49</w:t>
            </w:r>
          </w:p>
        </w:tc>
      </w:tr>
      <w:tr>
        <w:trPr>
          <w:trHeight w:val="230"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326"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．所有者投入的普通股</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98"/>
              <w:jc w:val="right"/>
              <w:rPr>
                <w:rFonts w:ascii="Times New Roman" w:hAnsi="Times New Roman" w:cs="Times New Roman" w:eastAsia="Times New Roman" w:hint="default"/>
                <w:sz w:val="15"/>
                <w:szCs w:val="15"/>
              </w:rPr>
            </w:pPr>
            <w:r>
              <w:rPr>
                <w:rFonts w:ascii="Times New Roman"/>
                <w:spacing w:val="-1"/>
                <w:sz w:val="15"/>
              </w:rPr>
              <w:t>1,620,475,573.00</w:t>
            </w: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73" w:right="0"/>
              <w:jc w:val="center"/>
              <w:rPr>
                <w:rFonts w:ascii="Times New Roman" w:hAnsi="Times New Roman" w:cs="Times New Roman" w:eastAsia="Times New Roman" w:hint="default"/>
                <w:sz w:val="15"/>
                <w:szCs w:val="15"/>
              </w:rPr>
            </w:pPr>
            <w:r>
              <w:rPr>
                <w:rFonts w:ascii="Times New Roman"/>
                <w:sz w:val="15"/>
              </w:rPr>
              <w:t>-231,741,812.94</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99"/>
              <w:jc w:val="right"/>
              <w:rPr>
                <w:rFonts w:ascii="Times New Roman" w:hAnsi="Times New Roman" w:cs="Times New Roman" w:eastAsia="Times New Roman" w:hint="default"/>
                <w:sz w:val="15"/>
                <w:szCs w:val="15"/>
              </w:rPr>
            </w:pPr>
            <w:r>
              <w:rPr>
                <w:rFonts w:ascii="Times New Roman"/>
                <w:spacing w:val="-1"/>
                <w:sz w:val="15"/>
              </w:rPr>
              <w:t>7,903,899.00</w:t>
            </w:r>
          </w:p>
        </w:tc>
        <w:tc>
          <w:tcPr>
            <w:tcW w:w="127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0"/>
              <w:jc w:val="right"/>
              <w:rPr>
                <w:rFonts w:ascii="Times New Roman" w:hAnsi="Times New Roman" w:cs="Times New Roman" w:eastAsia="Times New Roman" w:hint="default"/>
                <w:sz w:val="15"/>
                <w:szCs w:val="15"/>
              </w:rPr>
            </w:pPr>
            <w:r>
              <w:rPr>
                <w:rFonts w:ascii="Times New Roman"/>
                <w:spacing w:val="-1"/>
                <w:sz w:val="15"/>
              </w:rPr>
              <w:t>1,380,829,861.06</w:t>
            </w:r>
          </w:p>
        </w:tc>
      </w:tr>
      <w:tr>
        <w:trPr>
          <w:trHeight w:val="229"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326"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．其他权益工具持有者投入资本</w:t>
            </w:r>
          </w:p>
        </w:tc>
        <w:tc>
          <w:tcPr>
            <w:tcW w:w="141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1"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326"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．股份支付计入所有者权益的金额</w:t>
            </w:r>
          </w:p>
        </w:tc>
        <w:tc>
          <w:tcPr>
            <w:tcW w:w="141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1"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326"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41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122" w:right="0"/>
              <w:jc w:val="center"/>
              <w:rPr>
                <w:rFonts w:ascii="Times New Roman" w:hAnsi="Times New Roman" w:cs="Times New Roman" w:eastAsia="Times New Roman" w:hint="default"/>
                <w:sz w:val="15"/>
                <w:szCs w:val="15"/>
              </w:rPr>
            </w:pPr>
            <w:r>
              <w:rPr>
                <w:rFonts w:ascii="Times New Roman"/>
                <w:sz w:val="15"/>
              </w:rPr>
              <w:t>162,310,909.63</w:t>
            </w: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11" w:right="0"/>
              <w:jc w:val="center"/>
              <w:rPr>
                <w:rFonts w:ascii="Times New Roman" w:hAnsi="Times New Roman" w:cs="Times New Roman" w:eastAsia="Times New Roman" w:hint="default"/>
                <w:sz w:val="15"/>
                <w:szCs w:val="15"/>
              </w:rPr>
            </w:pPr>
            <w:r>
              <w:rPr>
                <w:rFonts w:ascii="Times New Roman"/>
                <w:sz w:val="15"/>
              </w:rPr>
              <w:t>1,663,271,500.00</w:t>
            </w: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0"/>
              <w:jc w:val="right"/>
              <w:rPr>
                <w:rFonts w:ascii="Times New Roman" w:hAnsi="Times New Roman" w:cs="Times New Roman" w:eastAsia="Times New Roman" w:hint="default"/>
                <w:sz w:val="15"/>
                <w:szCs w:val="15"/>
              </w:rPr>
            </w:pPr>
            <w:r>
              <w:rPr>
                <w:rFonts w:ascii="Times New Roman"/>
                <w:spacing w:val="-1"/>
                <w:sz w:val="15"/>
              </w:rPr>
              <w:t>81,101,579.19</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0"/>
              <w:jc w:val="right"/>
              <w:rPr>
                <w:rFonts w:ascii="Times New Roman" w:hAnsi="Times New Roman" w:cs="Times New Roman" w:eastAsia="Times New Roman" w:hint="default"/>
                <w:sz w:val="15"/>
                <w:szCs w:val="15"/>
              </w:rPr>
            </w:pPr>
            <w:r>
              <w:rPr>
                <w:rFonts w:ascii="Times New Roman"/>
                <w:spacing w:val="-1"/>
                <w:sz w:val="15"/>
              </w:rPr>
              <w:t>157,349,923.61</w:t>
            </w:r>
          </w:p>
        </w:tc>
        <w:tc>
          <w:tcPr>
            <w:tcW w:w="1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0"/>
              <w:jc w:val="right"/>
              <w:rPr>
                <w:rFonts w:ascii="Times New Roman" w:hAnsi="Times New Roman" w:cs="Times New Roman" w:eastAsia="Times New Roman" w:hint="default"/>
                <w:sz w:val="15"/>
                <w:szCs w:val="15"/>
              </w:rPr>
            </w:pPr>
            <w:r>
              <w:rPr>
                <w:rFonts w:ascii="Times New Roman"/>
                <w:spacing w:val="-1"/>
                <w:sz w:val="15"/>
              </w:rPr>
              <w:t>2,064,033,912.43</w:t>
            </w:r>
          </w:p>
        </w:tc>
      </w:tr>
      <w:tr>
        <w:trPr>
          <w:trHeight w:val="229"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（三）利润分配</w:t>
            </w:r>
          </w:p>
        </w:tc>
        <w:tc>
          <w:tcPr>
            <w:tcW w:w="141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0"/>
              <w:jc w:val="right"/>
              <w:rPr>
                <w:rFonts w:ascii="Times New Roman" w:hAnsi="Times New Roman" w:cs="Times New Roman" w:eastAsia="Times New Roman" w:hint="default"/>
                <w:sz w:val="15"/>
                <w:szCs w:val="15"/>
              </w:rPr>
            </w:pPr>
            <w:r>
              <w:rPr>
                <w:rFonts w:ascii="Times New Roman"/>
                <w:spacing w:val="-1"/>
                <w:sz w:val="15"/>
              </w:rPr>
              <w:t>29,206,226.94</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0"/>
              <w:jc w:val="right"/>
              <w:rPr>
                <w:rFonts w:ascii="Times New Roman" w:hAnsi="Times New Roman" w:cs="Times New Roman" w:eastAsia="Times New Roman" w:hint="default"/>
                <w:sz w:val="15"/>
                <w:szCs w:val="15"/>
              </w:rPr>
            </w:pPr>
            <w:r>
              <w:rPr>
                <w:rFonts w:ascii="Times New Roman"/>
                <w:spacing w:val="-1"/>
                <w:sz w:val="15"/>
              </w:rPr>
              <w:t>-29,206,226.94</w:t>
            </w:r>
          </w:p>
        </w:tc>
        <w:tc>
          <w:tcPr>
            <w:tcW w:w="1411"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326"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．提取盈余公积</w:t>
            </w:r>
          </w:p>
        </w:tc>
        <w:tc>
          <w:tcPr>
            <w:tcW w:w="141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Times New Roman" w:hAnsi="Times New Roman" w:cs="Times New Roman" w:eastAsia="Times New Roman" w:hint="default"/>
                <w:sz w:val="15"/>
                <w:szCs w:val="15"/>
              </w:rPr>
            </w:pPr>
            <w:r>
              <w:rPr>
                <w:rFonts w:ascii="Times New Roman"/>
                <w:spacing w:val="-1"/>
                <w:sz w:val="15"/>
              </w:rPr>
              <w:t>29,206,226.94</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Times New Roman" w:hAnsi="Times New Roman" w:cs="Times New Roman" w:eastAsia="Times New Roman" w:hint="default"/>
                <w:sz w:val="15"/>
                <w:szCs w:val="15"/>
              </w:rPr>
            </w:pPr>
            <w:r>
              <w:rPr>
                <w:rFonts w:ascii="Times New Roman"/>
                <w:spacing w:val="-1"/>
                <w:sz w:val="15"/>
              </w:rPr>
              <w:t>-29,206,226.94</w:t>
            </w:r>
          </w:p>
        </w:tc>
        <w:tc>
          <w:tcPr>
            <w:tcW w:w="1411"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326"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．对所有者（或股东）的分配</w:t>
            </w:r>
          </w:p>
        </w:tc>
        <w:tc>
          <w:tcPr>
            <w:tcW w:w="141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1" w:type="dxa"/>
            <w:tcBorders>
              <w:top w:val="single" w:sz="4" w:space="0" w:color="000000"/>
              <w:left w:val="single" w:sz="4" w:space="0" w:color="000000"/>
              <w:bottom w:val="single" w:sz="4" w:space="0" w:color="000000"/>
              <w:right w:val="single" w:sz="4" w:space="0" w:color="000000"/>
            </w:tcBorders>
          </w:tcPr>
          <w:p>
            <w:pPr/>
          </w:p>
        </w:tc>
      </w:tr>
      <w:tr>
        <w:trPr>
          <w:trHeight w:val="229"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326"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．其他</w:t>
            </w:r>
          </w:p>
        </w:tc>
        <w:tc>
          <w:tcPr>
            <w:tcW w:w="141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1"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5"/>
                <w:szCs w:val="15"/>
              </w:rPr>
            </w:pPr>
            <w:r>
              <w:rPr>
                <w:rFonts w:ascii="宋体" w:hAnsi="宋体" w:cs="宋体" w:eastAsia="宋体" w:hint="default"/>
                <w:sz w:val="15"/>
                <w:szCs w:val="15"/>
              </w:rPr>
              <w:t>（四）所有者权益内部结转</w:t>
            </w:r>
          </w:p>
        </w:tc>
        <w:tc>
          <w:tcPr>
            <w:tcW w:w="141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1"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326"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．资本公积转增资本（或股本）</w:t>
            </w:r>
          </w:p>
        </w:tc>
        <w:tc>
          <w:tcPr>
            <w:tcW w:w="141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1" w:type="dxa"/>
            <w:tcBorders>
              <w:top w:val="single" w:sz="4" w:space="0" w:color="000000"/>
              <w:left w:val="single" w:sz="4" w:space="0" w:color="000000"/>
              <w:bottom w:val="single" w:sz="4" w:space="0" w:color="000000"/>
              <w:right w:val="single" w:sz="4" w:space="0" w:color="000000"/>
            </w:tcBorders>
          </w:tcPr>
          <w:p>
            <w:pPr/>
          </w:p>
        </w:tc>
      </w:tr>
      <w:tr>
        <w:trPr>
          <w:trHeight w:val="229"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326"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．盈余公积转增资本（或股本）</w:t>
            </w:r>
          </w:p>
        </w:tc>
        <w:tc>
          <w:tcPr>
            <w:tcW w:w="141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1"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326"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．盈余公积弥补亏损</w:t>
            </w:r>
          </w:p>
        </w:tc>
        <w:tc>
          <w:tcPr>
            <w:tcW w:w="141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1"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326"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．设定受益计划变动额结转留存收益</w:t>
            </w:r>
          </w:p>
        </w:tc>
        <w:tc>
          <w:tcPr>
            <w:tcW w:w="141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1" w:type="dxa"/>
            <w:tcBorders>
              <w:top w:val="single" w:sz="4" w:space="0" w:color="000000"/>
              <w:left w:val="single" w:sz="4" w:space="0" w:color="000000"/>
              <w:bottom w:val="single" w:sz="4" w:space="0" w:color="000000"/>
              <w:right w:val="single" w:sz="4" w:space="0" w:color="000000"/>
            </w:tcBorders>
          </w:tcPr>
          <w:p>
            <w:pPr/>
          </w:p>
        </w:tc>
      </w:tr>
      <w:tr>
        <w:trPr>
          <w:trHeight w:val="229"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326"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5</w:t>
            </w:r>
            <w:r>
              <w:rPr>
                <w:rFonts w:ascii="宋体" w:hAnsi="宋体" w:cs="宋体" w:eastAsia="宋体" w:hint="default"/>
                <w:sz w:val="15"/>
                <w:szCs w:val="15"/>
              </w:rPr>
              <w:t>．其他</w:t>
            </w:r>
          </w:p>
        </w:tc>
        <w:tc>
          <w:tcPr>
            <w:tcW w:w="141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1"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5"/>
                <w:szCs w:val="15"/>
              </w:rPr>
            </w:pPr>
            <w:r>
              <w:rPr>
                <w:rFonts w:ascii="宋体" w:hAnsi="宋体" w:cs="宋体" w:eastAsia="宋体" w:hint="default"/>
                <w:sz w:val="15"/>
                <w:szCs w:val="15"/>
              </w:rPr>
              <w:t>（五）专项储备</w:t>
            </w:r>
          </w:p>
        </w:tc>
        <w:tc>
          <w:tcPr>
            <w:tcW w:w="141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1"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326"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．本期提取</w:t>
            </w:r>
          </w:p>
        </w:tc>
        <w:tc>
          <w:tcPr>
            <w:tcW w:w="141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1" w:type="dxa"/>
            <w:tcBorders>
              <w:top w:val="single" w:sz="4" w:space="0" w:color="000000"/>
              <w:left w:val="single" w:sz="4" w:space="0" w:color="000000"/>
              <w:bottom w:val="single" w:sz="4" w:space="0" w:color="000000"/>
              <w:right w:val="single" w:sz="4" w:space="0" w:color="000000"/>
            </w:tcBorders>
          </w:tcPr>
          <w:p>
            <w:pPr/>
          </w:p>
        </w:tc>
      </w:tr>
      <w:tr>
        <w:trPr>
          <w:trHeight w:val="229"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326"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．本期使用</w:t>
            </w:r>
          </w:p>
        </w:tc>
        <w:tc>
          <w:tcPr>
            <w:tcW w:w="141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1"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5"/>
                <w:szCs w:val="15"/>
              </w:rPr>
            </w:pPr>
            <w:r>
              <w:rPr>
                <w:rFonts w:ascii="宋体" w:hAnsi="宋体" w:cs="宋体" w:eastAsia="宋体" w:hint="default"/>
                <w:sz w:val="15"/>
                <w:szCs w:val="15"/>
              </w:rPr>
              <w:t>（六）其他</w:t>
            </w:r>
          </w:p>
        </w:tc>
        <w:tc>
          <w:tcPr>
            <w:tcW w:w="141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11" w:type="dxa"/>
            <w:tcBorders>
              <w:top w:val="single" w:sz="4" w:space="0" w:color="000000"/>
              <w:left w:val="single" w:sz="4" w:space="0" w:color="000000"/>
              <w:bottom w:val="single" w:sz="4" w:space="0" w:color="000000"/>
              <w:right w:val="single" w:sz="4" w:space="0" w:color="000000"/>
            </w:tcBorders>
          </w:tcPr>
          <w:p>
            <w:pPr/>
          </w:p>
        </w:tc>
      </w:tr>
      <w:tr>
        <w:trPr>
          <w:trHeight w:val="230" w:hRule="exact"/>
        </w:trPr>
        <w:tc>
          <w:tcPr>
            <w:tcW w:w="2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四、本期期末余额</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98"/>
              <w:jc w:val="right"/>
              <w:rPr>
                <w:rFonts w:ascii="Times New Roman" w:hAnsi="Times New Roman" w:cs="Times New Roman" w:eastAsia="Times New Roman" w:hint="default"/>
                <w:sz w:val="15"/>
                <w:szCs w:val="15"/>
              </w:rPr>
            </w:pPr>
            <w:r>
              <w:rPr>
                <w:rFonts w:ascii="Times New Roman"/>
                <w:spacing w:val="-1"/>
                <w:sz w:val="15"/>
              </w:rPr>
              <w:t>2,944,069,459.00</w:t>
            </w:r>
          </w:p>
        </w:tc>
        <w:tc>
          <w:tcPr>
            <w:tcW w:w="709"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122" w:right="0"/>
              <w:jc w:val="center"/>
              <w:rPr>
                <w:rFonts w:ascii="Times New Roman" w:hAnsi="Times New Roman" w:cs="Times New Roman" w:eastAsia="Times New Roman" w:hint="default"/>
                <w:sz w:val="15"/>
                <w:szCs w:val="15"/>
              </w:rPr>
            </w:pPr>
            <w:r>
              <w:rPr>
                <w:rFonts w:ascii="Times New Roman"/>
                <w:sz w:val="15"/>
              </w:rPr>
              <w:t>745,351,384.17</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99"/>
              <w:jc w:val="right"/>
              <w:rPr>
                <w:rFonts w:ascii="Times New Roman" w:hAnsi="Times New Roman" w:cs="Times New Roman" w:eastAsia="Times New Roman" w:hint="default"/>
                <w:sz w:val="15"/>
                <w:szCs w:val="15"/>
              </w:rPr>
            </w:pPr>
            <w:r>
              <w:rPr>
                <w:rFonts w:ascii="Times New Roman"/>
                <w:spacing w:val="-1"/>
                <w:sz w:val="15"/>
              </w:rPr>
              <w:t>7,903,899.00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11" w:right="0"/>
              <w:jc w:val="center"/>
              <w:rPr>
                <w:rFonts w:ascii="Times New Roman" w:hAnsi="Times New Roman" w:cs="Times New Roman" w:eastAsia="Times New Roman" w:hint="default"/>
                <w:sz w:val="15"/>
                <w:szCs w:val="15"/>
              </w:rPr>
            </w:pPr>
            <w:r>
              <w:rPr>
                <w:rFonts w:ascii="Times New Roman"/>
                <w:sz w:val="15"/>
              </w:rPr>
              <w:t>1,245,632,435.40</w:t>
            </w: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0"/>
              <w:jc w:val="right"/>
              <w:rPr>
                <w:rFonts w:ascii="Times New Roman" w:hAnsi="Times New Roman" w:cs="Times New Roman" w:eastAsia="Times New Roman" w:hint="default"/>
                <w:sz w:val="15"/>
                <w:szCs w:val="15"/>
              </w:rPr>
            </w:pPr>
            <w:r>
              <w:rPr>
                <w:rFonts w:ascii="Times New Roman"/>
                <w:spacing w:val="-1"/>
                <w:sz w:val="15"/>
              </w:rPr>
              <w:t>457,041,664.38</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0"/>
              <w:jc w:val="right"/>
              <w:rPr>
                <w:rFonts w:ascii="Times New Roman" w:hAnsi="Times New Roman" w:cs="Times New Roman" w:eastAsia="Times New Roman" w:hint="default"/>
                <w:sz w:val="15"/>
                <w:szCs w:val="15"/>
              </w:rPr>
            </w:pPr>
            <w:r>
              <w:rPr>
                <w:rFonts w:ascii="Times New Roman"/>
                <w:spacing w:val="-1"/>
                <w:sz w:val="15"/>
              </w:rPr>
              <w:t>362,853,682.37</w:t>
            </w:r>
          </w:p>
        </w:tc>
        <w:tc>
          <w:tcPr>
            <w:tcW w:w="1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0"/>
              <w:jc w:val="right"/>
              <w:rPr>
                <w:rFonts w:ascii="Times New Roman" w:hAnsi="Times New Roman" w:cs="Times New Roman" w:eastAsia="Times New Roman" w:hint="default"/>
                <w:sz w:val="15"/>
                <w:szCs w:val="15"/>
              </w:rPr>
            </w:pPr>
            <w:r>
              <w:rPr>
                <w:rFonts w:ascii="Times New Roman"/>
                <w:spacing w:val="-1"/>
                <w:sz w:val="15"/>
              </w:rPr>
              <w:t>5,747,044,726.32</w:t>
            </w:r>
          </w:p>
        </w:tc>
      </w:tr>
    </w:tbl>
    <w:p>
      <w:pPr>
        <w:spacing w:before="91"/>
        <w:ind w:left="223"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tabs>
          <w:tab w:pos="4183" w:val="left" w:leader="none"/>
          <w:tab w:pos="7423" w:val="left" w:leader="none"/>
          <w:tab w:pos="11743" w:val="left" w:leader="none"/>
        </w:tabs>
        <w:spacing w:before="82"/>
        <w:ind w:left="223" w:right="0" w:firstLine="0"/>
        <w:jc w:val="left"/>
        <w:rPr>
          <w:rFonts w:ascii="宋体" w:hAnsi="宋体" w:cs="宋体" w:eastAsia="宋体" w:hint="default"/>
          <w:sz w:val="18"/>
          <w:szCs w:val="18"/>
        </w:rPr>
      </w:pPr>
      <w:r>
        <w:rPr>
          <w:rFonts w:ascii="宋体" w:hAnsi="宋体" w:cs="宋体" w:eastAsia="宋体" w:hint="default"/>
          <w:sz w:val="18"/>
          <w:szCs w:val="18"/>
        </w:rPr>
        <w:t>企业法定代表人：宋黎定</w:t>
        <w:tab/>
        <w:t>公司总裁：徐刚</w:t>
        <w:tab/>
        <w:t>主管会计工作负责人：刘文彬</w:t>
        <w:tab/>
        <w:t>会计机构负责人：许少霞</w:t>
      </w:r>
    </w:p>
    <w:p>
      <w:pPr>
        <w:spacing w:after="0"/>
        <w:jc w:val="left"/>
        <w:rPr>
          <w:rFonts w:ascii="宋体" w:hAnsi="宋体" w:cs="宋体" w:eastAsia="宋体" w:hint="default"/>
          <w:sz w:val="18"/>
          <w:szCs w:val="18"/>
        </w:rPr>
        <w:sectPr>
          <w:pgSz w:w="16840" w:h="11910" w:orient="landscape"/>
          <w:pgMar w:header="1453" w:footer="781" w:top="1640" w:bottom="980" w:left="740" w:right="740"/>
        </w:sectPr>
      </w:pPr>
    </w:p>
    <w:p>
      <w:pPr>
        <w:spacing w:line="261" w:lineRule="auto" w:before="68"/>
        <w:ind w:left="2366" w:right="3681" w:hanging="321"/>
        <w:jc w:val="left"/>
        <w:rPr>
          <w:rFonts w:ascii="宋体" w:hAnsi="宋体" w:cs="宋体" w:eastAsia="宋体" w:hint="default"/>
          <w:sz w:val="32"/>
          <w:szCs w:val="32"/>
        </w:rPr>
      </w:pPr>
      <w:r>
        <w:rPr>
          <w:rFonts w:ascii="宋体" w:hAnsi="宋体" w:cs="宋体" w:eastAsia="宋体" w:hint="default"/>
          <w:b/>
          <w:bCs/>
          <w:sz w:val="32"/>
          <w:szCs w:val="32"/>
        </w:rPr>
        <w:t>中国长城科技集团股份有限公司</w:t>
      </w:r>
      <w:r>
        <w:rPr>
          <w:rFonts w:ascii="宋体" w:hAnsi="宋体" w:cs="宋体" w:eastAsia="宋体" w:hint="default"/>
          <w:b/>
          <w:bCs/>
          <w:w w:val="99"/>
          <w:sz w:val="32"/>
          <w:szCs w:val="32"/>
        </w:rPr>
        <w:t> </w:t>
      </w:r>
      <w:r>
        <w:rPr>
          <w:rFonts w:ascii="宋体" w:hAnsi="宋体" w:cs="宋体" w:eastAsia="宋体" w:hint="default"/>
          <w:b/>
          <w:bCs/>
          <w:sz w:val="32"/>
          <w:szCs w:val="32"/>
        </w:rPr>
        <w:t>二○一八年度财务报表附注</w:t>
      </w:r>
      <w:r>
        <w:rPr>
          <w:rFonts w:ascii="宋体" w:hAnsi="宋体" w:cs="宋体" w:eastAsia="宋体" w:hint="default"/>
          <w:sz w:val="32"/>
          <w:szCs w:val="32"/>
        </w:rPr>
      </w:r>
    </w:p>
    <w:p>
      <w:pPr>
        <w:pStyle w:val="Heading4"/>
        <w:spacing w:line="240" w:lineRule="auto" w:before="20"/>
        <w:ind w:left="2004" w:right="1793"/>
        <w:jc w:val="left"/>
        <w:rPr>
          <w:b w:val="0"/>
          <w:bCs w:val="0"/>
        </w:rPr>
      </w:pPr>
      <w:r>
        <w:rPr/>
        <w:t>（除特殊注明外，金额单位均为人民币元）</w:t>
      </w:r>
      <w:r>
        <w:rPr>
          <w:b w:val="0"/>
          <w:bCs w:val="0"/>
        </w:rPr>
      </w:r>
    </w:p>
    <w:p>
      <w:pPr>
        <w:spacing w:line="240" w:lineRule="auto" w:before="0"/>
        <w:rPr>
          <w:rFonts w:ascii="宋体" w:hAnsi="宋体" w:cs="宋体" w:eastAsia="宋体" w:hint="default"/>
          <w:b/>
          <w:bCs/>
          <w:sz w:val="24"/>
          <w:szCs w:val="24"/>
        </w:rPr>
      </w:pPr>
    </w:p>
    <w:p>
      <w:pPr>
        <w:spacing w:line="240" w:lineRule="auto" w:before="7"/>
        <w:rPr>
          <w:rFonts w:ascii="宋体" w:hAnsi="宋体" w:cs="宋体" w:eastAsia="宋体" w:hint="default"/>
          <w:b/>
          <w:bCs/>
          <w:sz w:val="19"/>
          <w:szCs w:val="19"/>
        </w:rPr>
      </w:pPr>
    </w:p>
    <w:p>
      <w:pPr>
        <w:pStyle w:val="Heading5"/>
        <w:tabs>
          <w:tab w:pos="851" w:val="left" w:leader="none"/>
        </w:tabs>
        <w:spacing w:line="240" w:lineRule="auto" w:before="0"/>
        <w:ind w:right="3681"/>
        <w:jc w:val="left"/>
        <w:rPr>
          <w:b w:val="0"/>
          <w:bCs w:val="0"/>
        </w:rPr>
      </w:pPr>
      <w:r>
        <w:rPr>
          <w:w w:val="95"/>
        </w:rPr>
        <w:t>一、</w:t>
        <w:tab/>
      </w:r>
      <w:r>
        <w:rPr/>
        <w:t>公司基本情况</w:t>
      </w:r>
      <w:r>
        <w:rPr>
          <w:b w:val="0"/>
          <w:bCs w:val="0"/>
        </w:rPr>
      </w:r>
    </w:p>
    <w:p>
      <w:pPr>
        <w:pStyle w:val="BodyText"/>
        <w:tabs>
          <w:tab w:pos="851" w:val="left" w:leader="none"/>
        </w:tabs>
        <w:spacing w:line="340" w:lineRule="auto" w:before="125"/>
        <w:ind w:left="846" w:right="1793" w:hanging="710"/>
        <w:jc w:val="left"/>
      </w:pPr>
      <w:r>
        <w:rPr>
          <w:rFonts w:ascii="Times New Roman" w:hAnsi="Times New Roman" w:cs="Times New Roman" w:eastAsia="Times New Roman" w:hint="default"/>
          <w:b/>
          <w:bCs/>
          <w:w w:val="95"/>
        </w:rPr>
        <w:t>(</w:t>
      </w:r>
      <w:r>
        <w:rPr>
          <w:rFonts w:ascii="宋体" w:hAnsi="宋体" w:cs="宋体" w:eastAsia="宋体" w:hint="default"/>
          <w:b/>
          <w:bCs/>
          <w:w w:val="95"/>
        </w:rPr>
        <w:t>一</w:t>
      </w:r>
      <w:r>
        <w:rPr>
          <w:rFonts w:ascii="Times New Roman" w:hAnsi="Times New Roman" w:cs="Times New Roman" w:eastAsia="Times New Roman" w:hint="default"/>
          <w:b/>
          <w:bCs/>
          <w:w w:val="95"/>
        </w:rPr>
        <w:t>)</w:t>
        <w:tab/>
        <w:tab/>
      </w:r>
      <w:r>
        <w:rPr>
          <w:rFonts w:ascii="宋体" w:hAnsi="宋体" w:cs="宋体" w:eastAsia="宋体" w:hint="default"/>
          <w:b/>
          <w:bCs/>
          <w:spacing w:val="1"/>
        </w:rPr>
        <w:t>公司概况</w:t>
      </w:r>
      <w:r>
        <w:rPr>
          <w:rFonts w:ascii="宋体" w:hAnsi="宋体" w:cs="宋体" w:eastAsia="宋体" w:hint="default"/>
          <w:b/>
          <w:bCs/>
          <w:spacing w:val="1"/>
          <w:w w:val="99"/>
        </w:rPr>
        <w:t> </w:t>
      </w:r>
      <w:r>
        <w:rPr/>
        <w:t>中国长城科技集团股份有限公司（原名中国长城计算机深圳股份有限公司，以下简 </w:t>
      </w:r>
      <w:r>
        <w:rPr>
          <w:spacing w:val="-17"/>
        </w:rPr>
        <w:t>称“中国长城”、“公司”或“本公司”）成立于</w:t>
      </w:r>
      <w:r>
        <w:rPr>
          <w:spacing w:val="-53"/>
        </w:rPr>
        <w:t> </w:t>
      </w:r>
      <w:r>
        <w:rPr>
          <w:rFonts w:ascii="Times New Roman" w:hAnsi="Times New Roman" w:cs="Times New Roman" w:eastAsia="Times New Roman" w:hint="default"/>
          <w:spacing w:val="-1"/>
        </w:rPr>
        <w:t>1997</w:t>
      </w:r>
      <w:r>
        <w:rPr>
          <w:rFonts w:ascii="Times New Roman" w:hAnsi="Times New Roman" w:cs="Times New Roman" w:eastAsia="Times New Roman" w:hint="default"/>
        </w:rPr>
        <w:t> </w:t>
      </w:r>
      <w:r>
        <w:rPr/>
        <w:t>年</w:t>
      </w:r>
      <w:r>
        <w:rPr>
          <w:spacing w:val="-52"/>
        </w:rPr>
        <w:t> </w:t>
      </w:r>
      <w:r>
        <w:rPr>
          <w:rFonts w:ascii="Times New Roman" w:hAnsi="Times New Roman" w:cs="Times New Roman" w:eastAsia="Times New Roman" w:hint="default"/>
        </w:rPr>
        <w:t>6 </w:t>
      </w:r>
      <w:r>
        <w:rPr/>
        <w:t>月</w:t>
      </w:r>
      <w:r>
        <w:rPr>
          <w:spacing w:val="-53"/>
        </w:rPr>
        <w:t> </w:t>
      </w:r>
      <w:r>
        <w:rPr>
          <w:rFonts w:ascii="Times New Roman" w:hAnsi="Times New Roman" w:cs="Times New Roman" w:eastAsia="Times New Roman" w:hint="default"/>
        </w:rPr>
        <w:t>19</w:t>
      </w:r>
      <w:r>
        <w:rPr>
          <w:rFonts w:ascii="Times New Roman" w:hAnsi="Times New Roman" w:cs="Times New Roman" w:eastAsia="Times New Roman" w:hint="default"/>
          <w:spacing w:val="1"/>
        </w:rPr>
        <w:t> </w:t>
      </w:r>
      <w:r>
        <w:rPr>
          <w:spacing w:val="-2"/>
        </w:rPr>
        <w:t>日，注册地为深圳市</w:t>
      </w:r>
      <w:r>
        <w:rPr/>
        <w:t> 南山区科技园长城计算机大厦，公司组织形式为上市股份有限公司，企业统一信用 代码为</w:t>
      </w:r>
      <w:r>
        <w:rPr>
          <w:spacing w:val="-64"/>
        </w:rPr>
        <w:t> </w:t>
      </w:r>
      <w:r>
        <w:rPr>
          <w:rFonts w:ascii="Times New Roman" w:hAnsi="Times New Roman" w:cs="Times New Roman" w:eastAsia="Times New Roman" w:hint="default"/>
        </w:rPr>
        <w:t>91440300279351261M</w:t>
      </w:r>
      <w:r>
        <w:rPr/>
        <w:t>，法定代表人为宋黎定。</w:t>
      </w:r>
    </w:p>
    <w:p>
      <w:pPr>
        <w:pStyle w:val="BodyText"/>
        <w:spacing w:line="345" w:lineRule="auto" w:before="11"/>
        <w:ind w:left="846" w:right="1682"/>
        <w:jc w:val="left"/>
      </w:pPr>
      <w:r>
        <w:rPr/>
        <w:t>经</w:t>
      </w:r>
      <w:r>
        <w:rPr>
          <w:spacing w:val="-55"/>
        </w:rPr>
        <w:t> </w:t>
      </w:r>
      <w:r>
        <w:rPr>
          <w:rFonts w:ascii="Times New Roman" w:hAnsi="Times New Roman" w:cs="Times New Roman" w:eastAsia="Times New Roman" w:hint="default"/>
        </w:rPr>
        <w:t>2017</w:t>
      </w:r>
      <w:r>
        <w:rPr>
          <w:rFonts w:ascii="Times New Roman" w:hAnsi="Times New Roman" w:cs="Times New Roman" w:eastAsia="Times New Roman" w:hint="default"/>
          <w:spacing w:val="-2"/>
        </w:rPr>
        <w:t> </w:t>
      </w:r>
      <w:r>
        <w:rPr/>
        <w:t>年</w:t>
      </w:r>
      <w:r>
        <w:rPr>
          <w:spacing w:val="-56"/>
        </w:rPr>
        <w:t> </w:t>
      </w:r>
      <w:r>
        <w:rPr>
          <w:rFonts w:ascii="Times New Roman" w:hAnsi="Times New Roman" w:cs="Times New Roman" w:eastAsia="Times New Roman" w:hint="default"/>
        </w:rPr>
        <w:t>2</w:t>
      </w:r>
      <w:r>
        <w:rPr>
          <w:rFonts w:ascii="Times New Roman" w:hAnsi="Times New Roman" w:cs="Times New Roman" w:eastAsia="Times New Roman" w:hint="default"/>
          <w:spacing w:val="-3"/>
        </w:rPr>
        <w:t> </w:t>
      </w:r>
      <w:r>
        <w:rPr/>
        <w:t>月</w:t>
      </w:r>
      <w:r>
        <w:rPr>
          <w:spacing w:val="-55"/>
        </w:rPr>
        <w:t> </w:t>
      </w:r>
      <w:r>
        <w:rPr>
          <w:rFonts w:ascii="Times New Roman" w:hAnsi="Times New Roman" w:cs="Times New Roman" w:eastAsia="Times New Roman" w:hint="default"/>
        </w:rPr>
        <w:t>27</w:t>
      </w:r>
      <w:r>
        <w:rPr>
          <w:rFonts w:ascii="Times New Roman" w:hAnsi="Times New Roman" w:cs="Times New Roman" w:eastAsia="Times New Roman" w:hint="default"/>
          <w:spacing w:val="-2"/>
        </w:rPr>
        <w:t> </w:t>
      </w:r>
      <w:r>
        <w:rPr/>
        <w:t>日公司第六届董事会、</w:t>
      </w:r>
      <w:r>
        <w:rPr>
          <w:rFonts w:ascii="Times New Roman" w:hAnsi="Times New Roman" w:cs="Times New Roman" w:eastAsia="Times New Roman" w:hint="default"/>
        </w:rPr>
        <w:t>2017</w:t>
      </w:r>
      <w:r>
        <w:rPr>
          <w:rFonts w:ascii="Times New Roman" w:hAnsi="Times New Roman" w:cs="Times New Roman" w:eastAsia="Times New Roman" w:hint="default"/>
          <w:spacing w:val="-3"/>
        </w:rPr>
        <w:t> </w:t>
      </w:r>
      <w:r>
        <w:rPr/>
        <w:t>年</w:t>
      </w:r>
      <w:r>
        <w:rPr>
          <w:spacing w:val="-56"/>
        </w:rPr>
        <w:t> </w:t>
      </w:r>
      <w:r>
        <w:rPr>
          <w:rFonts w:ascii="Times New Roman" w:hAnsi="Times New Roman" w:cs="Times New Roman" w:eastAsia="Times New Roman" w:hint="default"/>
        </w:rPr>
        <w:t>3</w:t>
      </w:r>
      <w:r>
        <w:rPr>
          <w:rFonts w:ascii="Times New Roman" w:hAnsi="Times New Roman" w:cs="Times New Roman" w:eastAsia="Times New Roman" w:hint="default"/>
          <w:spacing w:val="-2"/>
        </w:rPr>
        <w:t> </w:t>
      </w:r>
      <w:r>
        <w:rPr/>
        <w:t>月</w:t>
      </w:r>
      <w:r>
        <w:rPr>
          <w:spacing w:val="-56"/>
        </w:rPr>
        <w:t> </w:t>
      </w:r>
      <w:r>
        <w:rPr>
          <w:rFonts w:ascii="Times New Roman" w:hAnsi="Times New Roman" w:cs="Times New Roman" w:eastAsia="Times New Roman" w:hint="default"/>
        </w:rPr>
        <w:t>27</w:t>
      </w:r>
      <w:r>
        <w:rPr>
          <w:rFonts w:ascii="Times New Roman" w:hAnsi="Times New Roman" w:cs="Times New Roman" w:eastAsia="Times New Roman" w:hint="default"/>
          <w:spacing w:val="-3"/>
        </w:rPr>
        <w:t> </w:t>
      </w:r>
      <w:r>
        <w:rPr/>
        <w:t>日</w:t>
      </w:r>
      <w:r>
        <w:rPr>
          <w:spacing w:val="-55"/>
        </w:rPr>
        <w:t> </w:t>
      </w:r>
      <w:r>
        <w:rPr>
          <w:rFonts w:ascii="Times New Roman" w:hAnsi="Times New Roman" w:cs="Times New Roman" w:eastAsia="Times New Roman" w:hint="default"/>
        </w:rPr>
        <w:t>2017</w:t>
      </w:r>
      <w:r>
        <w:rPr>
          <w:rFonts w:ascii="Times New Roman" w:hAnsi="Times New Roman" w:cs="Times New Roman" w:eastAsia="Times New Roman" w:hint="default"/>
          <w:spacing w:val="-2"/>
        </w:rPr>
        <w:t> </w:t>
      </w:r>
      <w:r>
        <w:rPr/>
        <w:t>年度第二次临时股 </w:t>
      </w:r>
      <w:r>
        <w:rPr>
          <w:spacing w:val="-5"/>
        </w:rPr>
        <w:t>东大会审议，中国长城中文名称由“中国长城计算机深圳股份有限公司”变更为“中</w:t>
      </w:r>
      <w:r>
        <w:rPr>
          <w:spacing w:val="-88"/>
        </w:rPr>
        <w:t> </w:t>
      </w:r>
      <w:r>
        <w:rPr>
          <w:spacing w:val="-88"/>
        </w:rPr>
      </w:r>
      <w:r>
        <w:rPr>
          <w:spacing w:val="-6"/>
        </w:rPr>
        <w:t>国长城科技集团股份有限公司”。</w:t>
      </w:r>
      <w:r>
        <w:rPr>
          <w:rFonts w:ascii="Times New Roman" w:hAnsi="Times New Roman" w:cs="Times New Roman" w:eastAsia="Times New Roman" w:hint="default"/>
          <w:spacing w:val="-6"/>
        </w:rPr>
        <w:t>2017</w:t>
      </w:r>
      <w:r>
        <w:rPr>
          <w:rFonts w:ascii="Times New Roman" w:hAnsi="Times New Roman" w:cs="Times New Roman" w:eastAsia="Times New Roman" w:hint="default"/>
        </w:rPr>
        <w:t> </w:t>
      </w:r>
      <w:r>
        <w:rPr/>
        <w:t>年</w:t>
      </w:r>
      <w:r>
        <w:rPr>
          <w:spacing w:val="-52"/>
        </w:rPr>
        <w:t> </w:t>
      </w:r>
      <w:r>
        <w:rPr>
          <w:rFonts w:ascii="Times New Roman" w:hAnsi="Times New Roman" w:cs="Times New Roman" w:eastAsia="Times New Roman" w:hint="default"/>
        </w:rPr>
        <w:t>3 </w:t>
      </w:r>
      <w:r>
        <w:rPr/>
        <w:t>月</w:t>
      </w:r>
      <w:r>
        <w:rPr>
          <w:spacing w:val="-52"/>
        </w:rPr>
        <w:t> </w:t>
      </w:r>
      <w:r>
        <w:rPr>
          <w:rFonts w:ascii="Times New Roman" w:hAnsi="Times New Roman" w:cs="Times New Roman" w:eastAsia="Times New Roman" w:hint="default"/>
          <w:spacing w:val="-1"/>
        </w:rPr>
        <w:t>28</w:t>
      </w:r>
      <w:r>
        <w:rPr>
          <w:rFonts w:ascii="Times New Roman" w:hAnsi="Times New Roman" w:cs="Times New Roman" w:eastAsia="Times New Roman" w:hint="default"/>
        </w:rPr>
        <w:t> </w:t>
      </w:r>
      <w:r>
        <w:rPr>
          <w:spacing w:val="-1"/>
        </w:rPr>
        <w:t>日，中国长城取得深圳市市场监督</w:t>
      </w:r>
      <w:r>
        <w:rPr>
          <w:spacing w:val="-101"/>
        </w:rPr>
        <w:t> </w:t>
      </w:r>
      <w:r>
        <w:rPr>
          <w:spacing w:val="-101"/>
        </w:rPr>
      </w:r>
      <w:r>
        <w:rPr>
          <w:spacing w:val="-4"/>
        </w:rPr>
        <w:t>管理局换发的《营业执照》，完成上述事项相关工商变更登记手续。</w:t>
      </w:r>
      <w:r>
        <w:rPr>
          <w:spacing w:val="-92"/>
        </w:rPr>
        <w:t> </w:t>
      </w:r>
      <w:r>
        <w:rPr>
          <w:spacing w:val="-92"/>
        </w:rPr>
      </w:r>
      <w:r>
        <w:rPr/>
        <w:t>本公司所属行业为计算机及相关设备制造业，经营范围为：计算机软件、硬件、终 </w:t>
      </w:r>
      <w:r>
        <w:rPr>
          <w:spacing w:val="-2"/>
        </w:rPr>
        <w:t>端及其外部设备、网络系统及系统集成、电子产品及零部件、金融机具、税控机具、</w:t>
      </w:r>
      <w:r>
        <w:rPr>
          <w:spacing w:val="-95"/>
        </w:rPr>
        <w:t> </w:t>
      </w:r>
      <w:r>
        <w:rPr>
          <w:spacing w:val="-95"/>
        </w:rPr>
      </w:r>
      <w:r>
        <w:rPr>
          <w:spacing w:val="-5"/>
        </w:rPr>
        <w:t>计量仪表、安防产品、移动通讯设备、无线电话机（手机）、通信及网络产品、数字</w:t>
      </w:r>
      <w:r>
        <w:rPr>
          <w:spacing w:val="-92"/>
        </w:rPr>
        <w:t> </w:t>
      </w:r>
      <w:r>
        <w:rPr>
          <w:spacing w:val="-92"/>
        </w:rPr>
      </w:r>
      <w:r>
        <w:rPr/>
        <w:t>音视频产品的技术开发、生产、加工、销售及售后服务，并提供相关的技术和咨询 </w:t>
      </w:r>
      <w:r>
        <w:rPr>
          <w:spacing w:val="-5"/>
        </w:rPr>
        <w:t>服务；经营自行开发的电子出版物、零售各类软件及电子出版物；投资兴办实业（具</w:t>
      </w:r>
      <w:r>
        <w:rPr>
          <w:spacing w:val="-88"/>
        </w:rPr>
        <w:t> </w:t>
      </w:r>
      <w:r>
        <w:rPr>
          <w:spacing w:val="-88"/>
        </w:rPr>
      </w:r>
      <w:r>
        <w:rPr>
          <w:spacing w:val="-6"/>
        </w:rPr>
        <w:t>体项目另行申报）；自营进出口业务（具体按深贸营登证字第</w:t>
      </w:r>
      <w:r>
        <w:rPr>
          <w:spacing w:val="-48"/>
        </w:rPr>
        <w:t> </w:t>
      </w:r>
      <w:r>
        <w:rPr>
          <w:rFonts w:ascii="Times New Roman" w:hAnsi="Times New Roman" w:cs="Times New Roman" w:eastAsia="Times New Roman" w:hint="default"/>
          <w:spacing w:val="-1"/>
        </w:rPr>
        <w:t>49</w:t>
      </w:r>
      <w:r>
        <w:rPr>
          <w:rFonts w:ascii="Times New Roman" w:hAnsi="Times New Roman" w:cs="Times New Roman" w:eastAsia="Times New Roman" w:hint="default"/>
          <w:spacing w:val="5"/>
        </w:rPr>
        <w:t> </w:t>
      </w:r>
      <w:r>
        <w:rPr>
          <w:spacing w:val="-15"/>
        </w:rPr>
        <w:t>号文执行）；房地产</w:t>
      </w:r>
      <w:r>
        <w:rPr>
          <w:spacing w:val="-93"/>
        </w:rPr>
        <w:t> </w:t>
      </w:r>
      <w:r>
        <w:rPr>
          <w:spacing w:val="-93"/>
        </w:rPr>
      </w:r>
      <w:r>
        <w:rPr/>
        <w:t>开发经营；房屋、设备等固定资产租赁、物业管理及相关服务业务；国内商业、物 </w:t>
      </w:r>
      <w:r>
        <w:rPr>
          <w:spacing w:val="-6"/>
        </w:rPr>
        <w:t>资供销业（不含专营、专控、专卖商品）。（依法须经批准的项目，经相关部门批准</w:t>
      </w:r>
      <w:r>
        <w:rPr>
          <w:spacing w:val="-95"/>
        </w:rPr>
        <w:t> </w:t>
      </w:r>
      <w:r>
        <w:rPr>
          <w:spacing w:val="-95"/>
        </w:rPr>
      </w:r>
      <w:r>
        <w:rPr/>
        <w:t>后方可开展经营活动；法律、法规规定无需许可（审批）的，市场主体自主选择经 </w:t>
      </w:r>
      <w:r>
        <w:rPr>
          <w:spacing w:val="-35"/>
        </w:rPr>
        <w:t>营。）</w:t>
      </w:r>
    </w:p>
    <w:p>
      <w:pPr>
        <w:pStyle w:val="BodyText"/>
        <w:spacing w:line="348" w:lineRule="auto" w:before="33"/>
        <w:ind w:left="851" w:right="3073"/>
        <w:jc w:val="left"/>
      </w:pPr>
      <w:r>
        <w:rPr/>
        <w:t>本公司的母公司和实际控制人均为中国电子信息产业集团有限公司。 本财务报表业经公司董事会于</w:t>
      </w:r>
      <w:r>
        <w:rPr>
          <w:spacing w:val="-54"/>
        </w:rPr>
        <w:t> </w:t>
      </w:r>
      <w:r>
        <w:rPr>
          <w:rFonts w:ascii="Times New Roman" w:hAnsi="Times New Roman" w:cs="Times New Roman" w:eastAsia="Times New Roman" w:hint="default"/>
        </w:rPr>
        <w:t>2019</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29</w:t>
      </w:r>
      <w:r>
        <w:rPr>
          <w:rFonts w:ascii="Times New Roman" w:hAnsi="Times New Roman" w:cs="Times New Roman" w:eastAsia="Times New Roman" w:hint="default"/>
          <w:spacing w:val="-1"/>
        </w:rPr>
        <w:t> </w:t>
      </w:r>
      <w:r>
        <w:rPr/>
        <w:t>日批准报出。</w:t>
      </w:r>
    </w:p>
    <w:p>
      <w:pPr>
        <w:spacing w:line="240" w:lineRule="auto" w:before="12"/>
        <w:rPr>
          <w:rFonts w:ascii="宋体" w:hAnsi="宋体" w:cs="宋体" w:eastAsia="宋体" w:hint="default"/>
          <w:sz w:val="30"/>
          <w:szCs w:val="30"/>
        </w:rPr>
      </w:pPr>
    </w:p>
    <w:p>
      <w:pPr>
        <w:pStyle w:val="Heading5"/>
        <w:tabs>
          <w:tab w:pos="851" w:val="left" w:leader="none"/>
        </w:tabs>
        <w:spacing w:line="240" w:lineRule="auto" w:before="0"/>
        <w:ind w:right="3681"/>
        <w:jc w:val="left"/>
        <w:rPr>
          <w:b w:val="0"/>
          <w:bCs w:val="0"/>
        </w:rPr>
      </w:pPr>
      <w:r>
        <w:rPr>
          <w:rFonts w:ascii="Times New Roman" w:hAnsi="Times New Roman" w:cs="Times New Roman" w:eastAsia="Times New Roman" w:hint="default"/>
          <w:w w:val="95"/>
        </w:rPr>
        <w:t>(</w:t>
      </w:r>
      <w:r>
        <w:rPr>
          <w:w w:val="95"/>
        </w:rPr>
        <w:t>二</w:t>
      </w:r>
      <w:r>
        <w:rPr>
          <w:rFonts w:ascii="Times New Roman" w:hAnsi="Times New Roman" w:cs="Times New Roman" w:eastAsia="Times New Roman" w:hint="default"/>
          <w:w w:val="95"/>
        </w:rPr>
        <w:t>)</w:t>
        <w:tab/>
      </w:r>
      <w:r>
        <w:rPr/>
        <w:t>合并财务报表范围</w:t>
      </w:r>
      <w:r>
        <w:rPr>
          <w:b w:val="0"/>
          <w:bCs w:val="0"/>
        </w:rPr>
      </w:r>
    </w:p>
    <w:p>
      <w:pPr>
        <w:pStyle w:val="BodyText"/>
        <w:spacing w:line="240" w:lineRule="auto"/>
        <w:ind w:left="851" w:right="1793"/>
        <w:jc w:val="left"/>
      </w:pPr>
      <w:r>
        <w:rPr/>
        <w:t>截至</w:t>
      </w:r>
      <w:r>
        <w:rPr>
          <w:spacing w:val="-54"/>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日止，本公司合并财务报表范围内子公司如下：</w:t>
      </w:r>
    </w:p>
    <w:p>
      <w:pPr>
        <w:spacing w:line="30" w:lineRule="exact"/>
        <w:ind w:left="734" w:right="0" w:firstLine="0"/>
        <w:rPr>
          <w:rFonts w:ascii="宋体" w:hAnsi="宋体" w:cs="宋体" w:eastAsia="宋体" w:hint="default"/>
          <w:sz w:val="3"/>
          <w:szCs w:val="3"/>
        </w:rPr>
      </w:pPr>
      <w:r>
        <w:rPr>
          <w:rFonts w:ascii="宋体" w:hAnsi="宋体" w:cs="宋体" w:eastAsia="宋体" w:hint="default"/>
          <w:position w:val="0"/>
          <w:sz w:val="3"/>
          <w:szCs w:val="3"/>
        </w:rPr>
        <w:pict>
          <v:group style="width:410.9pt;height:1.5pt;mso-position-horizontal-relative:char;mso-position-vertical-relative:line" coordorigin="0,0" coordsize="8218,30">
            <v:group style="position:absolute;left:15;top:15;width:8188;height:2" coordorigin="15,15" coordsize="8188,2">
              <v:shape style="position:absolute;left:15;top:15;width:8188;height:2" coordorigin="15,15" coordsize="8188,0" path="m15,15l8203,15e" filled="false" stroked="true" strokeweight="1.5pt" strokecolor="#000000">
                <v:path arrowok="t"/>
              </v:shape>
            </v:group>
          </v:group>
        </w:pict>
      </w:r>
      <w:r>
        <w:rPr>
          <w:rFonts w:ascii="宋体" w:hAnsi="宋体" w:cs="宋体" w:eastAsia="宋体" w:hint="default"/>
          <w:position w:val="0"/>
          <w:sz w:val="3"/>
          <w:szCs w:val="3"/>
        </w:rPr>
      </w:r>
    </w:p>
    <w:p>
      <w:pPr>
        <w:spacing w:before="54"/>
        <w:ind w:left="0" w:right="556" w:firstLine="0"/>
        <w:jc w:val="center"/>
        <w:rPr>
          <w:rFonts w:ascii="宋体" w:hAnsi="宋体" w:cs="宋体" w:eastAsia="宋体" w:hint="default"/>
          <w:sz w:val="16"/>
          <w:szCs w:val="16"/>
        </w:rPr>
      </w:pPr>
      <w:r>
        <w:rPr>
          <w:rFonts w:ascii="宋体" w:hAnsi="宋体" w:cs="宋体" w:eastAsia="宋体" w:hint="default"/>
          <w:sz w:val="16"/>
          <w:szCs w:val="16"/>
        </w:rPr>
        <w:t>子公司名称</w:t>
      </w:r>
    </w:p>
    <w:p>
      <w:pPr>
        <w:spacing w:line="240" w:lineRule="auto" w:before="7"/>
        <w:rPr>
          <w:rFonts w:ascii="宋体" w:hAnsi="宋体" w:cs="宋体" w:eastAsia="宋体" w:hint="default"/>
          <w:sz w:val="5"/>
          <w:szCs w:val="5"/>
        </w:rPr>
      </w:pPr>
    </w:p>
    <w:p>
      <w:pPr>
        <w:spacing w:line="47" w:lineRule="exact"/>
        <w:ind w:left="730" w:right="0" w:firstLine="0"/>
        <w:rPr>
          <w:rFonts w:ascii="宋体" w:hAnsi="宋体" w:cs="宋体" w:eastAsia="宋体" w:hint="default"/>
          <w:sz w:val="4"/>
          <w:szCs w:val="4"/>
        </w:rPr>
      </w:pPr>
      <w:r>
        <w:rPr>
          <w:rFonts w:ascii="宋体" w:hAnsi="宋体" w:cs="宋体" w:eastAsia="宋体" w:hint="default"/>
          <w:position w:val="0"/>
          <w:sz w:val="4"/>
          <w:szCs w:val="4"/>
        </w:rPr>
        <w:drawing>
          <wp:inline distT="0" distB="0" distL="0" distR="0">
            <wp:extent cx="5185607" cy="30289"/>
            <wp:effectExtent l="0" t="0" r="0" b="0"/>
            <wp:docPr id="13" name="image10.png" descr=""/>
            <wp:cNvGraphicFramePr>
              <a:graphicFrameLocks noChangeAspect="1"/>
            </wp:cNvGraphicFramePr>
            <a:graphic>
              <a:graphicData uri="http://schemas.openxmlformats.org/drawingml/2006/picture">
                <pic:pic>
                  <pic:nvPicPr>
                    <pic:cNvPr id="14" name="image10.png"/>
                    <pic:cNvPicPr/>
                  </pic:nvPicPr>
                  <pic:blipFill>
                    <a:blip r:embed="rId30" cstate="print"/>
                    <a:stretch>
                      <a:fillRect/>
                    </a:stretch>
                  </pic:blipFill>
                  <pic:spPr>
                    <a:xfrm>
                      <a:off x="0" y="0"/>
                      <a:ext cx="5185607" cy="30289"/>
                    </a:xfrm>
                    <a:prstGeom prst="rect">
                      <a:avLst/>
                    </a:prstGeom>
                  </pic:spPr>
                </pic:pic>
              </a:graphicData>
            </a:graphic>
          </wp:inline>
        </w:drawing>
      </w:r>
      <w:r>
        <w:rPr>
          <w:rFonts w:ascii="宋体" w:hAnsi="宋体" w:cs="宋体" w:eastAsia="宋体" w:hint="default"/>
          <w:position w:val="0"/>
          <w:sz w:val="4"/>
          <w:szCs w:val="4"/>
        </w:rPr>
      </w:r>
    </w:p>
    <w:p>
      <w:pPr>
        <w:spacing w:line="400" w:lineRule="auto" w:before="20"/>
        <w:ind w:left="857" w:right="7287" w:firstLine="0"/>
        <w:jc w:val="left"/>
        <w:rPr>
          <w:rFonts w:ascii="宋体" w:hAnsi="宋体" w:cs="宋体" w:eastAsia="宋体" w:hint="default"/>
          <w:sz w:val="16"/>
          <w:szCs w:val="16"/>
        </w:rPr>
      </w:pPr>
      <w:r>
        <w:rPr/>
        <w:pict>
          <v:shape style="position:absolute;margin-left:119.520004pt;margin-top:15.083725pt;width:410.879944pt;height:2.399979pt;mso-position-horizontal-relative:page;mso-position-vertical-relative:paragraph;z-index:-1401544" type="#_x0000_t75" stroked="false">
            <v:imagedata r:id="rId30" o:title=""/>
          </v:shape>
        </w:pict>
      </w:r>
      <w:r>
        <w:rPr/>
        <w:pict>
          <v:shape style="position:absolute;margin-left:119.520004pt;margin-top:32.483719pt;width:410.879944pt;height:2.399986pt;mso-position-horizontal-relative:page;mso-position-vertical-relative:paragraph;z-index:-1401520" type="#_x0000_t75" stroked="false">
            <v:imagedata r:id="rId30" o:title=""/>
          </v:shape>
        </w:pict>
      </w:r>
      <w:r>
        <w:rPr/>
        <w:pict>
          <v:shape style="position:absolute;margin-left:119.520004pt;margin-top:49.943718pt;width:410.879944pt;height:2.399986pt;mso-position-horizontal-relative:page;mso-position-vertical-relative:paragraph;z-index:-1401496" type="#_x0000_t75" stroked="false">
            <v:imagedata r:id="rId30" o:title=""/>
          </v:shape>
        </w:pict>
      </w:r>
      <w:r>
        <w:rPr>
          <w:rFonts w:ascii="宋体" w:hAnsi="宋体" w:cs="宋体" w:eastAsia="宋体" w:hint="default"/>
          <w:sz w:val="16"/>
          <w:szCs w:val="16"/>
        </w:rPr>
        <w:t>湖南长城科技信息有限公司</w:t>
      </w:r>
      <w:r>
        <w:rPr>
          <w:rFonts w:ascii="宋体" w:hAnsi="宋体" w:cs="宋体" w:eastAsia="宋体" w:hint="default"/>
          <w:w w:val="99"/>
          <w:sz w:val="16"/>
          <w:szCs w:val="16"/>
        </w:rPr>
        <w:t> </w:t>
      </w:r>
      <w:r>
        <w:rPr>
          <w:rFonts w:ascii="宋体" w:hAnsi="宋体" w:cs="宋体" w:eastAsia="宋体" w:hint="default"/>
          <w:sz w:val="16"/>
          <w:szCs w:val="16"/>
        </w:rPr>
        <w:t>深圳中电长城能源有限公司</w:t>
      </w:r>
      <w:r>
        <w:rPr>
          <w:rFonts w:ascii="宋体" w:hAnsi="宋体" w:cs="宋体" w:eastAsia="宋体" w:hint="default"/>
          <w:w w:val="99"/>
          <w:sz w:val="16"/>
          <w:szCs w:val="16"/>
        </w:rPr>
        <w:t> </w:t>
      </w:r>
      <w:r>
        <w:rPr>
          <w:rFonts w:ascii="宋体" w:hAnsi="宋体" w:cs="宋体" w:eastAsia="宋体" w:hint="default"/>
          <w:sz w:val="16"/>
          <w:szCs w:val="16"/>
        </w:rPr>
        <w:t>海南长城系统科技有限公司</w:t>
      </w:r>
      <w:r>
        <w:rPr>
          <w:rFonts w:ascii="宋体" w:hAnsi="宋体" w:cs="宋体" w:eastAsia="宋体" w:hint="default"/>
          <w:w w:val="99"/>
          <w:sz w:val="16"/>
          <w:szCs w:val="16"/>
        </w:rPr>
        <w:t> </w:t>
      </w:r>
      <w:r>
        <w:rPr>
          <w:rFonts w:ascii="宋体" w:hAnsi="宋体" w:cs="宋体" w:eastAsia="宋体" w:hint="default"/>
          <w:sz w:val="16"/>
          <w:szCs w:val="16"/>
        </w:rPr>
        <w:t>湖南长城计算机系统有限公司</w:t>
      </w:r>
    </w:p>
    <w:p>
      <w:pPr>
        <w:spacing w:line="30" w:lineRule="exact"/>
        <w:ind w:left="720" w:right="0" w:firstLine="0"/>
        <w:rPr>
          <w:rFonts w:ascii="宋体" w:hAnsi="宋体" w:cs="宋体" w:eastAsia="宋体" w:hint="default"/>
          <w:sz w:val="3"/>
          <w:szCs w:val="3"/>
        </w:rPr>
      </w:pPr>
      <w:r>
        <w:rPr>
          <w:rFonts w:ascii="宋体" w:hAnsi="宋体" w:cs="宋体" w:eastAsia="宋体" w:hint="default"/>
          <w:position w:val="0"/>
          <w:sz w:val="3"/>
          <w:szCs w:val="3"/>
        </w:rPr>
        <w:pict>
          <v:group style="width:411.6pt;height:1.5pt;mso-position-horizontal-relative:char;mso-position-vertical-relative:line" coordorigin="0,0" coordsize="8232,30">
            <v:group style="position:absolute;left:15;top:15;width:8202;height:2" coordorigin="15,15" coordsize="8202,2">
              <v:shape style="position:absolute;left:15;top:15;width:8202;height:2" coordorigin="15,15" coordsize="8202,0" path="m15,15l8217,15e" filled="false" stroked="true" strokeweight="1.5pt" strokecolor="#000000">
                <v:path arrowok="t"/>
              </v:shape>
            </v:group>
          </v:group>
        </w:pict>
      </w:r>
      <w:r>
        <w:rPr>
          <w:rFonts w:ascii="宋体" w:hAnsi="宋体" w:cs="宋体" w:eastAsia="宋体" w:hint="default"/>
          <w:position w:val="0"/>
          <w:sz w:val="3"/>
          <w:szCs w:val="3"/>
        </w:rPr>
      </w:r>
    </w:p>
    <w:p>
      <w:pPr>
        <w:spacing w:after="0" w:line="30" w:lineRule="exact"/>
        <w:rPr>
          <w:rFonts w:ascii="宋体" w:hAnsi="宋体" w:cs="宋体" w:eastAsia="宋体" w:hint="default"/>
          <w:sz w:val="3"/>
          <w:szCs w:val="3"/>
        </w:rPr>
        <w:sectPr>
          <w:headerReference w:type="default" r:id="rId28"/>
          <w:footerReference w:type="default" r:id="rId29"/>
          <w:pgSz w:w="11910" w:h="16840"/>
          <w:pgMar w:header="1302" w:footer="1001" w:top="1520" w:bottom="1200" w:left="1660" w:right="0"/>
          <w:pgNumType w:start="1"/>
        </w:sectPr>
      </w:pPr>
    </w:p>
    <w:p>
      <w:pPr>
        <w:spacing w:line="240" w:lineRule="auto" w:before="2"/>
        <w:rPr>
          <w:rFonts w:ascii="宋体" w:hAnsi="宋体" w:cs="宋体" w:eastAsia="宋体" w:hint="default"/>
          <w:sz w:val="9"/>
          <w:szCs w:val="9"/>
        </w:rPr>
      </w:pPr>
    </w:p>
    <w:p>
      <w:pPr>
        <w:spacing w:line="30" w:lineRule="exact"/>
        <w:ind w:left="734" w:right="0" w:firstLine="0"/>
        <w:rPr>
          <w:rFonts w:ascii="宋体" w:hAnsi="宋体" w:cs="宋体" w:eastAsia="宋体" w:hint="default"/>
          <w:sz w:val="3"/>
          <w:szCs w:val="3"/>
        </w:rPr>
      </w:pPr>
      <w:r>
        <w:rPr>
          <w:rFonts w:ascii="宋体" w:hAnsi="宋体" w:cs="宋体" w:eastAsia="宋体" w:hint="default"/>
          <w:position w:val="0"/>
          <w:sz w:val="3"/>
          <w:szCs w:val="3"/>
        </w:rPr>
        <w:pict>
          <v:group style="width:410.9pt;height:1.5pt;mso-position-horizontal-relative:char;mso-position-vertical-relative:line" coordorigin="0,0" coordsize="8218,30">
            <v:group style="position:absolute;left:15;top:15;width:8188;height:2" coordorigin="15,15" coordsize="8188,2">
              <v:shape style="position:absolute;left:15;top:15;width:8188;height:2" coordorigin="15,15" coordsize="8188,0" path="m15,15l8203,15e" filled="false" stroked="true" strokeweight="1.5pt" strokecolor="#000000">
                <v:path arrowok="t"/>
              </v:shape>
            </v:group>
          </v:group>
        </w:pict>
      </w:r>
      <w:r>
        <w:rPr>
          <w:rFonts w:ascii="宋体" w:hAnsi="宋体" w:cs="宋体" w:eastAsia="宋体" w:hint="default"/>
          <w:position w:val="0"/>
          <w:sz w:val="3"/>
          <w:szCs w:val="3"/>
        </w:rPr>
      </w:r>
    </w:p>
    <w:p>
      <w:pPr>
        <w:spacing w:before="38"/>
        <w:ind w:left="0" w:right="556" w:firstLine="0"/>
        <w:jc w:val="center"/>
        <w:rPr>
          <w:rFonts w:ascii="宋体" w:hAnsi="宋体" w:cs="宋体" w:eastAsia="宋体" w:hint="default"/>
          <w:sz w:val="16"/>
          <w:szCs w:val="16"/>
        </w:rPr>
      </w:pPr>
      <w:r>
        <w:rPr>
          <w:rFonts w:ascii="宋体" w:hAnsi="宋体" w:cs="宋体" w:eastAsia="宋体" w:hint="default"/>
          <w:sz w:val="16"/>
          <w:szCs w:val="16"/>
        </w:rPr>
        <w:t>子公司名称</w:t>
      </w:r>
    </w:p>
    <w:p>
      <w:pPr>
        <w:spacing w:line="240" w:lineRule="auto" w:before="7"/>
        <w:rPr>
          <w:rFonts w:ascii="宋体" w:hAnsi="宋体" w:cs="宋体" w:eastAsia="宋体" w:hint="default"/>
          <w:sz w:val="5"/>
          <w:szCs w:val="5"/>
        </w:rPr>
      </w:pPr>
    </w:p>
    <w:p>
      <w:pPr>
        <w:spacing w:line="47" w:lineRule="exact"/>
        <w:ind w:left="730" w:right="0" w:firstLine="0"/>
        <w:rPr>
          <w:rFonts w:ascii="宋体" w:hAnsi="宋体" w:cs="宋体" w:eastAsia="宋体" w:hint="default"/>
          <w:sz w:val="4"/>
          <w:szCs w:val="4"/>
        </w:rPr>
      </w:pPr>
      <w:r>
        <w:rPr>
          <w:rFonts w:ascii="宋体" w:hAnsi="宋体" w:cs="宋体" w:eastAsia="宋体" w:hint="default"/>
          <w:position w:val="0"/>
          <w:sz w:val="4"/>
          <w:szCs w:val="4"/>
        </w:rPr>
        <w:drawing>
          <wp:inline distT="0" distB="0" distL="0" distR="0">
            <wp:extent cx="5185773" cy="30289"/>
            <wp:effectExtent l="0" t="0" r="0" b="0"/>
            <wp:docPr id="15" name="image10.png" descr=""/>
            <wp:cNvGraphicFramePr>
              <a:graphicFrameLocks noChangeAspect="1"/>
            </wp:cNvGraphicFramePr>
            <a:graphic>
              <a:graphicData uri="http://schemas.openxmlformats.org/drawingml/2006/picture">
                <pic:pic>
                  <pic:nvPicPr>
                    <pic:cNvPr id="16" name="image10.png"/>
                    <pic:cNvPicPr/>
                  </pic:nvPicPr>
                  <pic:blipFill>
                    <a:blip r:embed="rId30" cstate="print"/>
                    <a:stretch>
                      <a:fillRect/>
                    </a:stretch>
                  </pic:blipFill>
                  <pic:spPr>
                    <a:xfrm>
                      <a:off x="0" y="0"/>
                      <a:ext cx="5185773" cy="30289"/>
                    </a:xfrm>
                    <a:prstGeom prst="rect">
                      <a:avLst/>
                    </a:prstGeom>
                  </pic:spPr>
                </pic:pic>
              </a:graphicData>
            </a:graphic>
          </wp:inline>
        </w:drawing>
      </w:r>
      <w:r>
        <w:rPr>
          <w:rFonts w:ascii="宋体" w:hAnsi="宋体" w:cs="宋体" w:eastAsia="宋体" w:hint="default"/>
          <w:position w:val="0"/>
          <w:sz w:val="4"/>
          <w:szCs w:val="4"/>
        </w:rPr>
      </w:r>
    </w:p>
    <w:p>
      <w:pPr>
        <w:spacing w:before="20"/>
        <w:ind w:left="857" w:right="3681" w:firstLine="0"/>
        <w:jc w:val="left"/>
        <w:rPr>
          <w:rFonts w:ascii="宋体" w:hAnsi="宋体" w:cs="宋体" w:eastAsia="宋体" w:hint="default"/>
          <w:sz w:val="16"/>
          <w:szCs w:val="16"/>
        </w:rPr>
      </w:pPr>
      <w:r>
        <w:rPr>
          <w:rFonts w:ascii="宋体" w:hAnsi="宋体" w:cs="宋体" w:eastAsia="宋体" w:hint="default"/>
          <w:sz w:val="16"/>
          <w:szCs w:val="16"/>
        </w:rPr>
        <w:t>中国长城计算机（香港）控股有限公司</w:t>
      </w:r>
    </w:p>
    <w:p>
      <w:pPr>
        <w:spacing w:line="240" w:lineRule="auto" w:before="7"/>
        <w:rPr>
          <w:rFonts w:ascii="宋体" w:hAnsi="宋体" w:cs="宋体" w:eastAsia="宋体" w:hint="default"/>
          <w:sz w:val="5"/>
          <w:szCs w:val="5"/>
        </w:rPr>
      </w:pPr>
    </w:p>
    <w:p>
      <w:pPr>
        <w:spacing w:line="47" w:lineRule="exact"/>
        <w:ind w:left="730" w:right="0" w:firstLine="0"/>
        <w:rPr>
          <w:rFonts w:ascii="宋体" w:hAnsi="宋体" w:cs="宋体" w:eastAsia="宋体" w:hint="default"/>
          <w:sz w:val="4"/>
          <w:szCs w:val="4"/>
        </w:rPr>
      </w:pPr>
      <w:r>
        <w:rPr>
          <w:rFonts w:ascii="宋体" w:hAnsi="宋体" w:cs="宋体" w:eastAsia="宋体" w:hint="default"/>
          <w:position w:val="0"/>
          <w:sz w:val="4"/>
          <w:szCs w:val="4"/>
        </w:rPr>
        <w:drawing>
          <wp:inline distT="0" distB="0" distL="0" distR="0">
            <wp:extent cx="5185773" cy="30289"/>
            <wp:effectExtent l="0" t="0" r="0" b="0"/>
            <wp:docPr id="17" name="image10.png" descr=""/>
            <wp:cNvGraphicFramePr>
              <a:graphicFrameLocks noChangeAspect="1"/>
            </wp:cNvGraphicFramePr>
            <a:graphic>
              <a:graphicData uri="http://schemas.openxmlformats.org/drawingml/2006/picture">
                <pic:pic>
                  <pic:nvPicPr>
                    <pic:cNvPr id="18" name="image10.png"/>
                    <pic:cNvPicPr/>
                  </pic:nvPicPr>
                  <pic:blipFill>
                    <a:blip r:embed="rId30" cstate="print"/>
                    <a:stretch>
                      <a:fillRect/>
                    </a:stretch>
                  </pic:blipFill>
                  <pic:spPr>
                    <a:xfrm>
                      <a:off x="0" y="0"/>
                      <a:ext cx="5185773" cy="30289"/>
                    </a:xfrm>
                    <a:prstGeom prst="rect">
                      <a:avLst/>
                    </a:prstGeom>
                  </pic:spPr>
                </pic:pic>
              </a:graphicData>
            </a:graphic>
          </wp:inline>
        </w:drawing>
      </w:r>
      <w:r>
        <w:rPr>
          <w:rFonts w:ascii="宋体" w:hAnsi="宋体" w:cs="宋体" w:eastAsia="宋体" w:hint="default"/>
          <w:position w:val="0"/>
          <w:sz w:val="4"/>
          <w:szCs w:val="4"/>
        </w:rPr>
      </w:r>
    </w:p>
    <w:p>
      <w:pPr>
        <w:spacing w:line="400" w:lineRule="auto" w:before="20"/>
        <w:ind w:left="857" w:right="6807" w:firstLine="0"/>
        <w:jc w:val="left"/>
        <w:rPr>
          <w:rFonts w:ascii="宋体" w:hAnsi="宋体" w:cs="宋体" w:eastAsia="宋体" w:hint="default"/>
          <w:sz w:val="16"/>
          <w:szCs w:val="16"/>
        </w:rPr>
      </w:pPr>
      <w:r>
        <w:rPr/>
        <w:pict>
          <v:shape style="position:absolute;margin-left:119.520004pt;margin-top:15.083802pt;width:410.879944pt;height:2.399902pt;mso-position-horizontal-relative:page;mso-position-vertical-relative:paragraph;z-index:-1401424" type="#_x0000_t75" stroked="false">
            <v:imagedata r:id="rId30" o:title=""/>
          </v:shape>
        </w:pict>
      </w:r>
      <w:r>
        <w:rPr/>
        <w:pict>
          <v:shape style="position:absolute;margin-left:119.520004pt;margin-top:32.483826pt;width:410.879944pt;height:2.399902pt;mso-position-horizontal-relative:page;mso-position-vertical-relative:paragraph;z-index:-1401400" type="#_x0000_t75" stroked="false">
            <v:imagedata r:id="rId30" o:title=""/>
          </v:shape>
        </w:pict>
      </w:r>
      <w:r>
        <w:rPr/>
        <w:pict>
          <v:shape style="position:absolute;margin-left:119.520004pt;margin-top:49.943787pt;width:410.879944pt;height:2.399902pt;mso-position-horizontal-relative:page;mso-position-vertical-relative:paragraph;z-index:-1401376" type="#_x0000_t75" stroked="false">
            <v:imagedata r:id="rId30" o:title=""/>
          </v:shape>
        </w:pict>
      </w:r>
      <w:r>
        <w:rPr/>
        <w:pict>
          <v:shape style="position:absolute;margin-left:119.520004pt;margin-top:67.403809pt;width:410.879944pt;height:2.399902pt;mso-position-horizontal-relative:page;mso-position-vertical-relative:paragraph;z-index:-1401352" type="#_x0000_t75" stroked="false">
            <v:imagedata r:id="rId30" o:title=""/>
          </v:shape>
        </w:pict>
      </w:r>
      <w:r>
        <w:rPr/>
        <w:pict>
          <v:shape style="position:absolute;margin-left:119.520004pt;margin-top:84.86377pt;width:410.879944pt;height:2.399902pt;mso-position-horizontal-relative:page;mso-position-vertical-relative:paragraph;z-index:-1401328" type="#_x0000_t75" stroked="false">
            <v:imagedata r:id="rId30" o:title=""/>
          </v:shape>
        </w:pict>
      </w:r>
      <w:r>
        <w:rPr/>
        <w:pict>
          <v:shape style="position:absolute;margin-left:119.520004pt;margin-top:102.323792pt;width:410.879944pt;height:2.399902pt;mso-position-horizontal-relative:page;mso-position-vertical-relative:paragraph;z-index:-1401304" type="#_x0000_t75" stroked="false">
            <v:imagedata r:id="rId30" o:title=""/>
          </v:shape>
        </w:pict>
      </w:r>
      <w:r>
        <w:rPr>
          <w:rFonts w:ascii="宋体" w:hAnsi="宋体" w:cs="宋体" w:eastAsia="宋体" w:hint="default"/>
          <w:sz w:val="16"/>
          <w:szCs w:val="16"/>
        </w:rPr>
        <w:t>柏怡国际控股有限公司</w:t>
      </w:r>
      <w:r>
        <w:rPr>
          <w:rFonts w:ascii="宋体" w:hAnsi="宋体" w:cs="宋体" w:eastAsia="宋体" w:hint="default"/>
          <w:w w:val="99"/>
          <w:sz w:val="16"/>
          <w:szCs w:val="16"/>
        </w:rPr>
        <w:t> </w:t>
      </w:r>
      <w:r>
        <w:rPr>
          <w:rFonts w:ascii="宋体" w:hAnsi="宋体" w:cs="宋体" w:eastAsia="宋体" w:hint="default"/>
          <w:sz w:val="16"/>
          <w:szCs w:val="16"/>
        </w:rPr>
        <w:t>湖南长城信息金融设备有限责任公司</w:t>
      </w:r>
      <w:r>
        <w:rPr>
          <w:rFonts w:ascii="宋体" w:hAnsi="宋体" w:cs="宋体" w:eastAsia="宋体" w:hint="default"/>
          <w:w w:val="99"/>
          <w:sz w:val="16"/>
          <w:szCs w:val="16"/>
        </w:rPr>
        <w:t> </w:t>
      </w:r>
      <w:r>
        <w:rPr>
          <w:rFonts w:ascii="宋体" w:hAnsi="宋体" w:cs="宋体" w:eastAsia="宋体" w:hint="default"/>
          <w:sz w:val="16"/>
          <w:szCs w:val="16"/>
        </w:rPr>
        <w:t>长沙湘计海盾科技有限公司</w:t>
      </w:r>
      <w:r>
        <w:rPr>
          <w:rFonts w:ascii="宋体" w:hAnsi="宋体" w:cs="宋体" w:eastAsia="宋体" w:hint="default"/>
          <w:w w:val="99"/>
          <w:sz w:val="16"/>
          <w:szCs w:val="16"/>
        </w:rPr>
        <w:t> </w:t>
      </w:r>
      <w:r>
        <w:rPr>
          <w:rFonts w:ascii="宋体" w:hAnsi="宋体" w:cs="宋体" w:eastAsia="宋体" w:hint="default"/>
          <w:sz w:val="16"/>
          <w:szCs w:val="16"/>
        </w:rPr>
        <w:t>湖南长城医疗科技有限公司</w:t>
      </w:r>
      <w:r>
        <w:rPr>
          <w:rFonts w:ascii="宋体" w:hAnsi="宋体" w:cs="宋体" w:eastAsia="宋体" w:hint="default"/>
          <w:w w:val="99"/>
          <w:sz w:val="16"/>
          <w:szCs w:val="16"/>
        </w:rPr>
        <w:t> </w:t>
      </w:r>
      <w:r>
        <w:rPr>
          <w:rFonts w:ascii="宋体" w:hAnsi="宋体" w:cs="宋体" w:eastAsia="宋体" w:hint="default"/>
          <w:sz w:val="16"/>
          <w:szCs w:val="16"/>
        </w:rPr>
        <w:t>长沙中电软件园有限公司</w:t>
      </w:r>
      <w:r>
        <w:rPr>
          <w:rFonts w:ascii="宋体" w:hAnsi="宋体" w:cs="宋体" w:eastAsia="宋体" w:hint="default"/>
          <w:w w:val="99"/>
          <w:sz w:val="16"/>
          <w:szCs w:val="16"/>
        </w:rPr>
        <w:t> </w:t>
      </w:r>
      <w:r>
        <w:rPr>
          <w:rFonts w:ascii="宋体" w:hAnsi="宋体" w:cs="宋体" w:eastAsia="宋体" w:hint="default"/>
          <w:sz w:val="16"/>
          <w:szCs w:val="16"/>
        </w:rPr>
        <w:t>湖南凯杰科技有限责任公司</w:t>
      </w:r>
      <w:r>
        <w:rPr>
          <w:rFonts w:ascii="宋体" w:hAnsi="宋体" w:cs="宋体" w:eastAsia="宋体" w:hint="default"/>
          <w:w w:val="99"/>
          <w:sz w:val="16"/>
          <w:szCs w:val="16"/>
        </w:rPr>
        <w:t> </w:t>
      </w:r>
      <w:r>
        <w:rPr>
          <w:rFonts w:ascii="宋体" w:hAnsi="宋体" w:cs="宋体" w:eastAsia="宋体" w:hint="default"/>
          <w:sz w:val="16"/>
          <w:szCs w:val="16"/>
        </w:rPr>
        <w:t>深圳中电长城信息安全系统有限公司</w:t>
      </w:r>
    </w:p>
    <w:p>
      <w:pPr>
        <w:spacing w:line="30" w:lineRule="exact"/>
        <w:ind w:left="720" w:right="0" w:firstLine="0"/>
        <w:rPr>
          <w:rFonts w:ascii="宋体" w:hAnsi="宋体" w:cs="宋体" w:eastAsia="宋体" w:hint="default"/>
          <w:sz w:val="3"/>
          <w:szCs w:val="3"/>
        </w:rPr>
      </w:pPr>
      <w:r>
        <w:rPr>
          <w:rFonts w:ascii="宋体" w:hAnsi="宋体" w:cs="宋体" w:eastAsia="宋体" w:hint="default"/>
          <w:position w:val="0"/>
          <w:sz w:val="3"/>
          <w:szCs w:val="3"/>
        </w:rPr>
        <w:pict>
          <v:group style="width:411.6pt;height:1.5pt;mso-position-horizontal-relative:char;mso-position-vertical-relative:line" coordorigin="0,0" coordsize="8232,30">
            <v:group style="position:absolute;left:15;top:15;width:8202;height:2" coordorigin="15,15" coordsize="8202,2">
              <v:shape style="position:absolute;left:15;top:15;width:8202;height:2" coordorigin="15,15" coordsize="8202,0" path="m15,15l8217,15e" filled="false" stroked="true" strokeweight="1.5pt" strokecolor="#000000">
                <v:path arrowok="t"/>
              </v:shape>
            </v:group>
          </v:group>
        </w:pict>
      </w:r>
      <w:r>
        <w:rPr>
          <w:rFonts w:ascii="宋体" w:hAnsi="宋体" w:cs="宋体" w:eastAsia="宋体" w:hint="default"/>
          <w:position w:val="0"/>
          <w:sz w:val="3"/>
          <w:szCs w:val="3"/>
        </w:rPr>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4"/>
          <w:szCs w:val="14"/>
        </w:rPr>
      </w:pPr>
    </w:p>
    <w:p>
      <w:pPr>
        <w:pStyle w:val="BodyText"/>
        <w:spacing w:line="348" w:lineRule="auto" w:before="35"/>
        <w:ind w:left="851" w:right="1813"/>
        <w:jc w:val="left"/>
      </w:pPr>
      <w:r>
        <w:rPr/>
        <w:t>本期合并财务报表范围及其变化情况详见本附注“六、合并范围的变更”和“七、 </w:t>
      </w:r>
      <w:r>
        <w:rPr>
          <w:spacing w:val="-10"/>
        </w:rPr>
        <w:t>在其他主体中的权益”。</w:t>
      </w:r>
    </w:p>
    <w:p>
      <w:pPr>
        <w:spacing w:line="240" w:lineRule="auto" w:before="0"/>
        <w:rPr>
          <w:rFonts w:ascii="宋体" w:hAnsi="宋体" w:cs="宋体" w:eastAsia="宋体" w:hint="default"/>
          <w:sz w:val="20"/>
          <w:szCs w:val="20"/>
        </w:rPr>
      </w:pPr>
    </w:p>
    <w:p>
      <w:pPr>
        <w:pStyle w:val="Heading5"/>
        <w:tabs>
          <w:tab w:pos="851" w:val="left" w:leader="none"/>
        </w:tabs>
        <w:spacing w:line="240" w:lineRule="auto" w:before="169"/>
        <w:ind w:right="3681"/>
        <w:jc w:val="left"/>
        <w:rPr>
          <w:b w:val="0"/>
          <w:bCs w:val="0"/>
        </w:rPr>
      </w:pPr>
      <w:r>
        <w:rPr>
          <w:w w:val="95"/>
        </w:rPr>
        <w:t>二、</w:t>
        <w:tab/>
      </w:r>
      <w:r>
        <w:rPr/>
        <w:t>财务报表的编制基础</w:t>
      </w:r>
      <w:r>
        <w:rPr>
          <w:b w:val="0"/>
          <w:bCs w:val="0"/>
        </w:rPr>
      </w:r>
    </w:p>
    <w:p>
      <w:pPr>
        <w:pStyle w:val="BodyText"/>
        <w:tabs>
          <w:tab w:pos="851" w:val="left" w:leader="none"/>
        </w:tabs>
        <w:spacing w:line="338" w:lineRule="auto" w:before="125"/>
        <w:ind w:left="851" w:right="1830" w:hanging="714"/>
        <w:jc w:val="left"/>
      </w:pPr>
      <w:r>
        <w:rPr>
          <w:rFonts w:ascii="Times New Roman" w:hAnsi="Times New Roman" w:cs="Times New Roman" w:eastAsia="Times New Roman" w:hint="default"/>
          <w:b/>
          <w:bCs/>
          <w:w w:val="95"/>
        </w:rPr>
        <w:t>(</w:t>
      </w:r>
      <w:r>
        <w:rPr>
          <w:rFonts w:ascii="宋体" w:hAnsi="宋体" w:cs="宋体" w:eastAsia="宋体" w:hint="default"/>
          <w:b/>
          <w:bCs/>
          <w:w w:val="95"/>
        </w:rPr>
        <w:t>一</w:t>
      </w:r>
      <w:r>
        <w:rPr>
          <w:rFonts w:ascii="Times New Roman" w:hAnsi="Times New Roman" w:cs="Times New Roman" w:eastAsia="Times New Roman" w:hint="default"/>
          <w:b/>
          <w:bCs/>
          <w:w w:val="95"/>
        </w:rPr>
        <w:t>)</w:t>
        <w:tab/>
      </w:r>
      <w:r>
        <w:rPr>
          <w:rFonts w:ascii="宋体" w:hAnsi="宋体" w:cs="宋体" w:eastAsia="宋体" w:hint="default"/>
          <w:b/>
          <w:bCs/>
          <w:spacing w:val="1"/>
        </w:rPr>
        <w:t>编制基础</w:t>
      </w:r>
      <w:r>
        <w:rPr>
          <w:rFonts w:ascii="宋体" w:hAnsi="宋体" w:cs="宋体" w:eastAsia="宋体" w:hint="default"/>
          <w:b/>
          <w:bCs/>
          <w:spacing w:val="1"/>
          <w:w w:val="99"/>
        </w:rPr>
        <w:t> </w:t>
      </w:r>
      <w:r>
        <w:rPr/>
        <w:t>公司以持续经营为基础，根据实际发生的交易和事项，按照财政部颁布的《企业会 计准则</w:t>
      </w:r>
      <w:r>
        <w:rPr>
          <w:rFonts w:ascii="Times New Roman" w:hAnsi="Times New Roman" w:cs="Times New Roman" w:eastAsia="Times New Roman" w:hint="default"/>
        </w:rPr>
        <w:t>——</w:t>
      </w:r>
      <w:r>
        <w:rPr/>
        <w:t>基本准则》和各项具体会计准则、企业会计准则应用指南、企业会计准 </w:t>
      </w:r>
      <w:r>
        <w:rPr>
          <w:spacing w:val="-6"/>
        </w:rPr>
        <w:t>则解释及其他相关规定（以下合称“企业会计准则”），以及中国证券监督管理委员</w:t>
      </w:r>
      <w:r>
        <w:rPr/>
        <w:t> 会《公开发行证券的公司信息披露编报规则第 </w:t>
      </w:r>
      <w:r>
        <w:rPr>
          <w:rFonts w:ascii="Times New Roman" w:hAnsi="Times New Roman" w:cs="Times New Roman" w:eastAsia="Times New Roman" w:hint="default"/>
        </w:rPr>
        <w:t>15</w:t>
      </w:r>
      <w:r>
        <w:rPr>
          <w:rFonts w:ascii="Times New Roman" w:hAnsi="Times New Roman" w:cs="Times New Roman" w:eastAsia="Times New Roman" w:hint="default"/>
          <w:spacing w:val="-2"/>
        </w:rPr>
        <w:t> </w:t>
      </w:r>
      <w:r>
        <w:rPr/>
        <w:t>号</w:t>
      </w:r>
      <w:r>
        <w:rPr>
          <w:rFonts w:ascii="Times New Roman" w:hAnsi="Times New Roman" w:cs="Times New Roman" w:eastAsia="Times New Roman" w:hint="default"/>
        </w:rPr>
        <w:t>——</w:t>
      </w:r>
      <w:r>
        <w:rPr/>
        <w:t>财务报告的一般规定》的 披露规定编制财务报表。</w:t>
      </w:r>
    </w:p>
    <w:p>
      <w:pPr>
        <w:spacing w:line="240" w:lineRule="auto" w:before="0"/>
        <w:rPr>
          <w:rFonts w:ascii="宋体" w:hAnsi="宋体" w:cs="宋体" w:eastAsia="宋体" w:hint="default"/>
          <w:sz w:val="20"/>
          <w:szCs w:val="20"/>
        </w:rPr>
      </w:pPr>
    </w:p>
    <w:p>
      <w:pPr>
        <w:pStyle w:val="Heading5"/>
        <w:tabs>
          <w:tab w:pos="851" w:val="left" w:leader="none"/>
        </w:tabs>
        <w:spacing w:line="240" w:lineRule="auto" w:before="177"/>
        <w:ind w:right="3681"/>
        <w:jc w:val="left"/>
        <w:rPr>
          <w:b w:val="0"/>
          <w:bCs w:val="0"/>
        </w:rPr>
      </w:pPr>
      <w:r>
        <w:rPr>
          <w:rFonts w:ascii="Times New Roman" w:hAnsi="Times New Roman" w:cs="Times New Roman" w:eastAsia="Times New Roman" w:hint="default"/>
          <w:w w:val="95"/>
        </w:rPr>
        <w:t>(</w:t>
      </w:r>
      <w:r>
        <w:rPr>
          <w:w w:val="95"/>
        </w:rPr>
        <w:t>二</w:t>
      </w:r>
      <w:r>
        <w:rPr>
          <w:rFonts w:ascii="Times New Roman" w:hAnsi="Times New Roman" w:cs="Times New Roman" w:eastAsia="Times New Roman" w:hint="default"/>
          <w:w w:val="95"/>
        </w:rPr>
        <w:t>)</w:t>
        <w:tab/>
      </w:r>
      <w:r>
        <w:rPr>
          <w:spacing w:val="1"/>
        </w:rPr>
        <w:t>持续经营</w:t>
      </w:r>
      <w:r>
        <w:rPr>
          <w:b w:val="0"/>
          <w:bCs w:val="0"/>
        </w:rPr>
      </w:r>
    </w:p>
    <w:p>
      <w:pPr>
        <w:pStyle w:val="BodyText"/>
        <w:spacing w:line="328" w:lineRule="auto"/>
        <w:ind w:left="851" w:right="1922"/>
        <w:jc w:val="left"/>
      </w:pPr>
      <w:r>
        <w:rPr/>
        <w:t>本公司自报告期期末起</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个月具备持续经营能力，无影响持续经营能力的重大事 项。</w:t>
      </w:r>
    </w:p>
    <w:p>
      <w:pPr>
        <w:tabs>
          <w:tab w:pos="851" w:val="left" w:leader="none"/>
        </w:tabs>
        <w:spacing w:line="800" w:lineRule="exact" w:before="53"/>
        <w:ind w:left="851" w:right="6450" w:hanging="714"/>
        <w:jc w:val="left"/>
        <w:rPr>
          <w:rFonts w:ascii="宋体" w:hAnsi="宋体" w:cs="宋体" w:eastAsia="宋体" w:hint="default"/>
          <w:sz w:val="21"/>
          <w:szCs w:val="21"/>
        </w:rPr>
      </w:pPr>
      <w:r>
        <w:rPr>
          <w:rFonts w:ascii="宋体" w:hAnsi="宋体" w:cs="宋体" w:eastAsia="宋体" w:hint="default"/>
          <w:b/>
          <w:bCs/>
          <w:w w:val="95"/>
          <w:sz w:val="21"/>
          <w:szCs w:val="21"/>
        </w:rPr>
        <w:t>三、</w:t>
        <w:tab/>
      </w:r>
      <w:r>
        <w:rPr>
          <w:rFonts w:ascii="宋体" w:hAnsi="宋体" w:cs="宋体" w:eastAsia="宋体" w:hint="default"/>
          <w:b/>
          <w:bCs/>
          <w:sz w:val="21"/>
          <w:szCs w:val="21"/>
        </w:rPr>
        <w:t>重要会计政策及会计估计</w:t>
      </w:r>
      <w:r>
        <w:rPr>
          <w:rFonts w:ascii="宋体" w:hAnsi="宋体" w:cs="宋体" w:eastAsia="宋体" w:hint="default"/>
          <w:b/>
          <w:bCs/>
          <w:w w:val="99"/>
          <w:sz w:val="21"/>
          <w:szCs w:val="21"/>
        </w:rPr>
        <w:t> </w:t>
      </w:r>
      <w:r>
        <w:rPr>
          <w:rFonts w:ascii="宋体" w:hAnsi="宋体" w:cs="宋体" w:eastAsia="宋体" w:hint="default"/>
          <w:sz w:val="21"/>
          <w:szCs w:val="21"/>
        </w:rPr>
        <w:t>具体会计政策和会计估计提示：</w:t>
      </w:r>
    </w:p>
    <w:p>
      <w:pPr>
        <w:pStyle w:val="BodyText"/>
        <w:spacing w:line="348" w:lineRule="auto" w:before="0"/>
        <w:ind w:left="851" w:right="1813"/>
        <w:jc w:val="left"/>
      </w:pPr>
      <w:r>
        <w:rPr/>
        <w:t>以下披露内容已涵盖了本公司根据实际生产经营特点制定的具体会计政策和会计估 </w:t>
      </w:r>
      <w:r>
        <w:rPr>
          <w:spacing w:val="-12"/>
        </w:rPr>
        <w:t>计。详见本附注“三、（二十五）收入”。</w:t>
      </w:r>
    </w:p>
    <w:p>
      <w:pPr>
        <w:spacing w:line="240" w:lineRule="auto" w:before="0"/>
        <w:rPr>
          <w:rFonts w:ascii="宋体" w:hAnsi="宋体" w:cs="宋体" w:eastAsia="宋体" w:hint="default"/>
          <w:sz w:val="20"/>
          <w:szCs w:val="20"/>
        </w:rPr>
      </w:pPr>
    </w:p>
    <w:p>
      <w:pPr>
        <w:tabs>
          <w:tab w:pos="851" w:val="left" w:leader="none"/>
        </w:tabs>
        <w:spacing w:line="340" w:lineRule="auto" w:before="169"/>
        <w:ind w:left="851" w:right="1830" w:hanging="714"/>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一</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遵循企业会计准则的声明</w:t>
      </w:r>
      <w:r>
        <w:rPr>
          <w:rFonts w:ascii="宋体" w:hAnsi="宋体" w:cs="宋体" w:eastAsia="宋体" w:hint="default"/>
          <w:b/>
          <w:bCs/>
          <w:w w:val="99"/>
          <w:sz w:val="21"/>
          <w:szCs w:val="21"/>
        </w:rPr>
        <w:t> </w:t>
      </w:r>
      <w:r>
        <w:rPr>
          <w:rFonts w:ascii="宋体" w:hAnsi="宋体" w:cs="宋体" w:eastAsia="宋体" w:hint="default"/>
          <w:sz w:val="21"/>
          <w:szCs w:val="21"/>
        </w:rPr>
        <w:t>公司所编制的财务报表符合企业会计准则的要求，真实、完整地反映了报告期公司 的财务状况、经营成果、现金流量等有关信息。</w:t>
      </w:r>
    </w:p>
    <w:p>
      <w:pPr>
        <w:spacing w:after="0" w:line="340" w:lineRule="auto"/>
        <w:jc w:val="left"/>
        <w:rPr>
          <w:rFonts w:ascii="宋体" w:hAnsi="宋体" w:cs="宋体" w:eastAsia="宋体" w:hint="default"/>
          <w:sz w:val="21"/>
          <w:szCs w:val="21"/>
        </w:rPr>
        <w:sectPr>
          <w:pgSz w:w="11910" w:h="16840"/>
          <w:pgMar w:header="1302" w:footer="1001" w:top="1520" w:bottom="1200" w:left="1660" w:right="0"/>
        </w:sectPr>
      </w:pPr>
    </w:p>
    <w:p>
      <w:pPr>
        <w:spacing w:line="240" w:lineRule="auto" w:before="8"/>
        <w:rPr>
          <w:rFonts w:ascii="宋体" w:hAnsi="宋体" w:cs="宋体" w:eastAsia="宋体" w:hint="default"/>
          <w:sz w:val="13"/>
          <w:szCs w:val="13"/>
        </w:rPr>
      </w:pPr>
    </w:p>
    <w:p>
      <w:pPr>
        <w:pStyle w:val="Heading5"/>
        <w:tabs>
          <w:tab w:pos="851" w:val="left" w:leader="none"/>
        </w:tabs>
        <w:spacing w:line="240" w:lineRule="auto"/>
        <w:ind w:right="3681"/>
        <w:jc w:val="left"/>
        <w:rPr>
          <w:b w:val="0"/>
          <w:bCs w:val="0"/>
        </w:rPr>
      </w:pPr>
      <w:r>
        <w:rPr>
          <w:rFonts w:ascii="Times New Roman" w:hAnsi="Times New Roman" w:cs="Times New Roman" w:eastAsia="Times New Roman" w:hint="default"/>
          <w:w w:val="95"/>
        </w:rPr>
        <w:t>(</w:t>
      </w:r>
      <w:r>
        <w:rPr>
          <w:w w:val="95"/>
        </w:rPr>
        <w:t>二</w:t>
      </w:r>
      <w:r>
        <w:rPr>
          <w:rFonts w:ascii="Times New Roman" w:hAnsi="Times New Roman" w:cs="Times New Roman" w:eastAsia="Times New Roman" w:hint="default"/>
          <w:w w:val="95"/>
        </w:rPr>
        <w:t>)</w:t>
        <w:tab/>
      </w:r>
      <w:r>
        <w:rPr>
          <w:spacing w:val="1"/>
        </w:rPr>
        <w:t>会计期间</w:t>
      </w:r>
      <w:r>
        <w:rPr>
          <w:b w:val="0"/>
          <w:bCs w:val="0"/>
        </w:rPr>
      </w:r>
    </w:p>
    <w:p>
      <w:pPr>
        <w:pStyle w:val="BodyText"/>
        <w:spacing w:line="240" w:lineRule="auto" w:before="110"/>
        <w:ind w:left="851" w:right="3681"/>
        <w:jc w:val="left"/>
      </w:pPr>
      <w:r>
        <w:rPr/>
        <w:t>自公历</w:t>
      </w:r>
      <w:r>
        <w:rPr>
          <w:spacing w:val="-54"/>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日至</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5"/>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日止为一个会计年度。</w:t>
      </w:r>
    </w:p>
    <w:p>
      <w:pPr>
        <w:pStyle w:val="Heading5"/>
        <w:tabs>
          <w:tab w:pos="851" w:val="left" w:leader="none"/>
        </w:tabs>
        <w:spacing w:line="240" w:lineRule="auto" w:before="109"/>
        <w:ind w:right="3681"/>
        <w:jc w:val="left"/>
        <w:rPr>
          <w:b w:val="0"/>
          <w:bCs w:val="0"/>
        </w:rPr>
      </w:pPr>
      <w:r>
        <w:rPr>
          <w:rFonts w:ascii="Times New Roman" w:hAnsi="Times New Roman" w:cs="Times New Roman" w:eastAsia="Times New Roman" w:hint="default"/>
          <w:w w:val="95"/>
        </w:rPr>
        <w:t>(</w:t>
      </w:r>
      <w:r>
        <w:rPr>
          <w:w w:val="95"/>
        </w:rPr>
        <w:t>三</w:t>
      </w:r>
      <w:r>
        <w:rPr>
          <w:rFonts w:ascii="Times New Roman" w:hAnsi="Times New Roman" w:cs="Times New Roman" w:eastAsia="Times New Roman" w:hint="default"/>
          <w:w w:val="95"/>
        </w:rPr>
        <w:t>)</w:t>
        <w:tab/>
      </w:r>
      <w:r>
        <w:rPr>
          <w:spacing w:val="1"/>
        </w:rPr>
        <w:t>营业周期</w:t>
      </w:r>
      <w:r>
        <w:rPr>
          <w:b w:val="0"/>
          <w:bCs w:val="0"/>
        </w:rPr>
      </w:r>
    </w:p>
    <w:p>
      <w:pPr>
        <w:pStyle w:val="BodyText"/>
        <w:spacing w:line="240" w:lineRule="auto"/>
        <w:ind w:left="851" w:right="3681"/>
        <w:jc w:val="left"/>
      </w:pPr>
      <w:r>
        <w:rPr/>
        <w:t>本公司营业周期为</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个月。</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pStyle w:val="BodyText"/>
        <w:tabs>
          <w:tab w:pos="851" w:val="left" w:leader="none"/>
        </w:tabs>
        <w:spacing w:line="340" w:lineRule="auto" w:before="0"/>
        <w:ind w:left="851" w:right="1791" w:hanging="714"/>
        <w:jc w:val="left"/>
      </w:pPr>
      <w:r>
        <w:rPr>
          <w:rFonts w:ascii="Times New Roman" w:hAnsi="Times New Roman" w:cs="Times New Roman" w:eastAsia="Times New Roman" w:hint="default"/>
          <w:b/>
          <w:bCs/>
          <w:w w:val="95"/>
        </w:rPr>
        <w:t>(</w:t>
      </w:r>
      <w:r>
        <w:rPr>
          <w:rFonts w:ascii="宋体" w:hAnsi="宋体" w:cs="宋体" w:eastAsia="宋体" w:hint="default"/>
          <w:b/>
          <w:bCs/>
          <w:w w:val="95"/>
        </w:rPr>
        <w:t>四</w:t>
      </w:r>
      <w:r>
        <w:rPr>
          <w:rFonts w:ascii="Times New Roman" w:hAnsi="Times New Roman" w:cs="Times New Roman" w:eastAsia="Times New Roman" w:hint="default"/>
          <w:b/>
          <w:bCs/>
          <w:w w:val="95"/>
        </w:rPr>
        <w:t>)</w:t>
        <w:tab/>
      </w:r>
      <w:r>
        <w:rPr>
          <w:rFonts w:ascii="宋体" w:hAnsi="宋体" w:cs="宋体" w:eastAsia="宋体" w:hint="default"/>
          <w:b/>
          <w:bCs/>
        </w:rPr>
        <w:t>记账本位币</w:t>
      </w:r>
      <w:r>
        <w:rPr>
          <w:rFonts w:ascii="宋体" w:hAnsi="宋体" w:cs="宋体" w:eastAsia="宋体" w:hint="default"/>
          <w:b/>
          <w:bCs/>
          <w:w w:val="99"/>
        </w:rPr>
        <w:t> </w:t>
      </w:r>
      <w:r>
        <w:rPr/>
        <w:t>本公司子公司中国长城计算机（香港）控股有限公司、柏怡国际控股有限公司根据 其经营所处的主要经济环境采用港币为记账本位币；子公司深圳中电长城能源有限 公司之子公司 </w:t>
      </w:r>
      <w:r>
        <w:rPr>
          <w:rFonts w:ascii="Times New Roman" w:hAnsi="Times New Roman" w:cs="Times New Roman" w:eastAsia="Times New Roman" w:hint="default"/>
        </w:rPr>
        <w:t>Perfect </w:t>
      </w:r>
      <w:r>
        <w:rPr>
          <w:rFonts w:ascii="Times New Roman" w:hAnsi="Times New Roman" w:cs="Times New Roman" w:eastAsia="Times New Roman" w:hint="default"/>
          <w:spacing w:val="-1"/>
        </w:rPr>
        <w:t>Galaxy</w:t>
      </w:r>
      <w:r>
        <w:rPr>
          <w:rFonts w:ascii="Times New Roman" w:hAnsi="Times New Roman" w:cs="Times New Roman" w:eastAsia="Times New Roman" w:hint="default"/>
        </w:rPr>
        <w:t> </w:t>
      </w:r>
      <w:r>
        <w:rPr>
          <w:rFonts w:ascii="Times New Roman" w:hAnsi="Times New Roman" w:cs="Times New Roman" w:eastAsia="Times New Roman" w:hint="default"/>
          <w:spacing w:val="-1"/>
        </w:rPr>
        <w:t>International</w:t>
      </w:r>
      <w:r>
        <w:rPr>
          <w:rFonts w:ascii="Times New Roman" w:hAnsi="Times New Roman" w:cs="Times New Roman" w:eastAsia="Times New Roman" w:hint="default"/>
        </w:rPr>
        <w:t> </w:t>
      </w:r>
      <w:r>
        <w:rPr>
          <w:rFonts w:ascii="Times New Roman" w:hAnsi="Times New Roman" w:cs="Times New Roman" w:eastAsia="Times New Roman" w:hint="default"/>
          <w:spacing w:val="-3"/>
        </w:rPr>
        <w:t>Limited</w:t>
      </w:r>
      <w:r>
        <w:rPr>
          <w:spacing w:val="-3"/>
        </w:rPr>
        <w:t>（以下简称“</w:t>
      </w:r>
      <w:r>
        <w:rPr>
          <w:rFonts w:ascii="Times New Roman" w:hAnsi="Times New Roman" w:cs="Times New Roman" w:eastAsia="Times New Roman" w:hint="default"/>
          <w:spacing w:val="-3"/>
        </w:rPr>
        <w:t>Perfect</w:t>
      </w:r>
      <w:r>
        <w:rPr>
          <w:rFonts w:ascii="Times New Roman" w:hAnsi="Times New Roman" w:cs="Times New Roman" w:eastAsia="Times New Roman" w:hint="default"/>
          <w:spacing w:val="-27"/>
        </w:rPr>
        <w:t> </w:t>
      </w:r>
      <w:r>
        <w:rPr>
          <w:rFonts w:ascii="Times New Roman" w:hAnsi="Times New Roman" w:cs="Times New Roman" w:eastAsia="Times New Roman" w:hint="default"/>
          <w:spacing w:val="-13"/>
        </w:rPr>
        <w:t>Galaxy</w:t>
      </w:r>
      <w:r>
        <w:rPr>
          <w:spacing w:val="-13"/>
        </w:rPr>
        <w:t>”）根据</w:t>
      </w:r>
      <w:r>
        <w:rPr/>
        <w:t> 其经营所处的主要经济环境采用美元为记账本位币。 除上述以外的公司均采用人民币为记账本位币。</w:t>
      </w:r>
    </w:p>
    <w:p>
      <w:pPr>
        <w:spacing w:line="240" w:lineRule="auto" w:before="0"/>
        <w:rPr>
          <w:rFonts w:ascii="宋体" w:hAnsi="宋体" w:cs="宋体" w:eastAsia="宋体" w:hint="default"/>
          <w:sz w:val="20"/>
          <w:szCs w:val="20"/>
        </w:rPr>
      </w:pPr>
    </w:p>
    <w:p>
      <w:pPr>
        <w:pStyle w:val="BodyText"/>
        <w:tabs>
          <w:tab w:pos="851" w:val="left" w:leader="none"/>
        </w:tabs>
        <w:spacing w:line="348" w:lineRule="auto" w:before="174"/>
        <w:ind w:left="851" w:right="1686" w:hanging="714"/>
        <w:jc w:val="left"/>
      </w:pPr>
      <w:r>
        <w:rPr>
          <w:rFonts w:ascii="Times New Roman" w:hAnsi="Times New Roman" w:cs="Times New Roman" w:eastAsia="Times New Roman" w:hint="default"/>
          <w:b/>
          <w:bCs/>
          <w:w w:val="95"/>
        </w:rPr>
        <w:t>(</w:t>
      </w:r>
      <w:r>
        <w:rPr>
          <w:rFonts w:ascii="宋体" w:hAnsi="宋体" w:cs="宋体" w:eastAsia="宋体" w:hint="default"/>
          <w:b/>
          <w:bCs/>
          <w:w w:val="95"/>
        </w:rPr>
        <w:t>五</w:t>
      </w:r>
      <w:r>
        <w:rPr>
          <w:rFonts w:ascii="Times New Roman" w:hAnsi="Times New Roman" w:cs="Times New Roman" w:eastAsia="Times New Roman" w:hint="default"/>
          <w:b/>
          <w:bCs/>
          <w:w w:val="95"/>
        </w:rPr>
        <w:t>)</w:t>
        <w:tab/>
      </w:r>
      <w:r>
        <w:rPr>
          <w:rFonts w:ascii="宋体" w:hAnsi="宋体" w:cs="宋体" w:eastAsia="宋体" w:hint="default"/>
          <w:b/>
          <w:bCs/>
        </w:rPr>
        <w:t>同一控制下和非同一控制下企业合并的会计处理方法</w:t>
      </w:r>
      <w:r>
        <w:rPr>
          <w:rFonts w:ascii="宋体" w:hAnsi="宋体" w:cs="宋体" w:eastAsia="宋体" w:hint="default"/>
          <w:b/>
          <w:bCs/>
          <w:spacing w:val="1"/>
          <w:w w:val="99"/>
        </w:rPr>
        <w:t> </w:t>
      </w:r>
      <w:r>
        <w:rPr/>
        <w:t>同一控制下企业合并：本公司在企业合并中取得的资产和负债，按照合并日被合并 方资产、负债（包括最终控制方收购被合并方而形成的商誉）在最终控制方合并财 务报表中的账面价值计量。在合并中取得的净资产账面价值与支付的合并对价账面 价值（或发行股份面值总额）的差额，调整资本公积中的股本溢价，资本公积中的 股本溢价不足冲减的，调整留存收益。 非同一控制下企业合并：本公司在购买日对作为企业合并对价付出的资产、发生或 承担的负债按照公允价值计量，公允价值与其账面价值的差额，计入当期损益。本 公司对合并成本大于合并中取得的被购买方可辨认净资产公允价值份额的差额，确 </w:t>
      </w:r>
      <w:r>
        <w:rPr>
          <w:spacing w:val="-2"/>
        </w:rPr>
        <w:t>认为商誉；合并成本小于合并中取得的被购买方可辨认净资产公允价值份额的差额，</w:t>
      </w:r>
      <w:r>
        <w:rPr/>
        <w:t> 经复核后，计入当期损益。 为企业合并发生的审计、法律服务、评估咨询等中介费用以及其他直接相关费用， 于发生时计入当期损益；为企业合并而发行权益性证券的交易费用，冲减权益。</w:t>
      </w:r>
    </w:p>
    <w:p>
      <w:pPr>
        <w:spacing w:line="240" w:lineRule="auto" w:before="0"/>
        <w:rPr>
          <w:rFonts w:ascii="宋体" w:hAnsi="宋体" w:cs="宋体" w:eastAsia="宋体" w:hint="default"/>
          <w:sz w:val="20"/>
          <w:szCs w:val="20"/>
        </w:rPr>
      </w:pPr>
    </w:p>
    <w:p>
      <w:pPr>
        <w:pStyle w:val="Heading5"/>
        <w:tabs>
          <w:tab w:pos="851" w:val="left" w:leader="none"/>
        </w:tabs>
        <w:spacing w:line="240" w:lineRule="auto" w:before="169"/>
        <w:ind w:right="3681"/>
        <w:jc w:val="left"/>
        <w:rPr>
          <w:b w:val="0"/>
          <w:bCs w:val="0"/>
        </w:rPr>
      </w:pPr>
      <w:r>
        <w:rPr>
          <w:rFonts w:ascii="Times New Roman" w:hAnsi="Times New Roman" w:cs="Times New Roman" w:eastAsia="Times New Roman" w:hint="default"/>
          <w:w w:val="95"/>
        </w:rPr>
        <w:t>(</w:t>
      </w:r>
      <w:r>
        <w:rPr>
          <w:w w:val="95"/>
        </w:rPr>
        <w:t>六</w:t>
      </w:r>
      <w:r>
        <w:rPr>
          <w:rFonts w:ascii="Times New Roman" w:hAnsi="Times New Roman" w:cs="Times New Roman" w:eastAsia="Times New Roman" w:hint="default"/>
          <w:w w:val="95"/>
        </w:rPr>
        <w:t>)</w:t>
        <w:tab/>
      </w:r>
      <w:r>
        <w:rPr/>
        <w:t>合并财务报表的编制方法</w:t>
      </w:r>
      <w:r>
        <w:rPr>
          <w:b w:val="0"/>
          <w:bCs w:val="0"/>
        </w:rPr>
      </w:r>
    </w:p>
    <w:p>
      <w:pPr>
        <w:pStyle w:val="Heading5"/>
        <w:tabs>
          <w:tab w:pos="1397" w:val="left" w:leader="none"/>
        </w:tabs>
        <w:spacing w:line="240" w:lineRule="auto" w:before="109"/>
        <w:ind w:left="846" w:right="3681"/>
        <w:jc w:val="left"/>
        <w:rPr>
          <w:b w:val="0"/>
          <w:bCs w:val="0"/>
        </w:rPr>
      </w:pPr>
      <w:r>
        <w:rPr>
          <w:rFonts w:ascii="Times New Roman" w:hAnsi="Times New Roman" w:cs="Times New Roman" w:eastAsia="Times New Roman" w:hint="default"/>
          <w:w w:val="95"/>
        </w:rPr>
        <w:t>1</w:t>
      </w:r>
      <w:r>
        <w:rPr>
          <w:w w:val="95"/>
        </w:rPr>
        <w:t>、</w:t>
        <w:tab/>
      </w:r>
      <w:r>
        <w:rPr>
          <w:spacing w:val="1"/>
        </w:rPr>
        <w:t>合并范围</w:t>
      </w:r>
      <w:r>
        <w:rPr>
          <w:b w:val="0"/>
          <w:bCs w:val="0"/>
        </w:rPr>
      </w:r>
    </w:p>
    <w:p>
      <w:pPr>
        <w:pStyle w:val="BodyText"/>
        <w:spacing w:line="348" w:lineRule="auto" w:before="110"/>
        <w:ind w:right="1682"/>
        <w:jc w:val="left"/>
      </w:pPr>
      <w:r>
        <w:rPr>
          <w:spacing w:val="-4"/>
        </w:rPr>
        <w:t>本公司合并财务报表的合并范围以控制为基础确定，所有子公司（包括本公司</w:t>
      </w:r>
      <w:r>
        <w:rPr>
          <w:spacing w:val="-73"/>
        </w:rPr>
        <w:t> </w:t>
      </w:r>
      <w:r>
        <w:rPr>
          <w:spacing w:val="-73"/>
        </w:rPr>
      </w:r>
      <w:r>
        <w:rPr/>
        <w:t>所控制的被投资方可分割的部分）均纳入合并财务报表。</w:t>
      </w:r>
    </w:p>
    <w:p>
      <w:pPr>
        <w:spacing w:line="240" w:lineRule="auto" w:before="0"/>
        <w:rPr>
          <w:rFonts w:ascii="宋体" w:hAnsi="宋体" w:cs="宋体" w:eastAsia="宋体" w:hint="default"/>
          <w:sz w:val="20"/>
          <w:szCs w:val="20"/>
        </w:rPr>
      </w:pPr>
    </w:p>
    <w:p>
      <w:pPr>
        <w:pStyle w:val="Heading5"/>
        <w:tabs>
          <w:tab w:pos="1397" w:val="left" w:leader="none"/>
        </w:tabs>
        <w:spacing w:line="240" w:lineRule="auto" w:before="169"/>
        <w:ind w:left="846" w:right="3681"/>
        <w:jc w:val="left"/>
        <w:rPr>
          <w:b w:val="0"/>
          <w:bCs w:val="0"/>
        </w:rPr>
      </w:pPr>
      <w:r>
        <w:rPr>
          <w:rFonts w:ascii="Times New Roman" w:hAnsi="Times New Roman" w:cs="Times New Roman" w:eastAsia="Times New Roman" w:hint="default"/>
          <w:w w:val="95"/>
        </w:rPr>
        <w:t>2</w:t>
      </w:r>
      <w:r>
        <w:rPr>
          <w:w w:val="95"/>
        </w:rPr>
        <w:t>、</w:t>
        <w:tab/>
      </w:r>
      <w:r>
        <w:rPr>
          <w:spacing w:val="1"/>
        </w:rPr>
        <w:t>合并程序</w:t>
      </w:r>
      <w:r>
        <w:rPr>
          <w:b w:val="0"/>
          <w:bCs w:val="0"/>
        </w:rPr>
      </w:r>
    </w:p>
    <w:p>
      <w:pPr>
        <w:pStyle w:val="BodyText"/>
        <w:spacing w:line="348" w:lineRule="auto"/>
        <w:ind w:right="1682"/>
        <w:jc w:val="left"/>
      </w:pPr>
      <w:r>
        <w:rPr>
          <w:spacing w:val="-4"/>
        </w:rPr>
        <w:t>本公司以自身和各子公司的财务报表为基础，根据其他有关资料，编制合并财</w:t>
      </w:r>
      <w:r>
        <w:rPr>
          <w:spacing w:val="-73"/>
        </w:rPr>
        <w:t> </w:t>
      </w:r>
      <w:r>
        <w:rPr>
          <w:spacing w:val="-73"/>
        </w:rPr>
      </w:r>
      <w:r>
        <w:rPr>
          <w:spacing w:val="-4"/>
        </w:rPr>
        <w:t>务报表。本公司编制合并财务报表，将整个企业集团视为一个会计主体，依据</w:t>
      </w:r>
    </w:p>
    <w:p>
      <w:pPr>
        <w:spacing w:after="0" w:line="348" w:lineRule="auto"/>
        <w:jc w:val="left"/>
        <w:sectPr>
          <w:pgSz w:w="11910" w:h="16840"/>
          <w:pgMar w:header="1302" w:footer="1001" w:top="1520" w:bottom="1200" w:left="1660" w:right="0"/>
        </w:sectPr>
      </w:pPr>
    </w:p>
    <w:p>
      <w:pPr>
        <w:spacing w:line="240" w:lineRule="auto" w:before="8"/>
        <w:rPr>
          <w:rFonts w:ascii="宋体" w:hAnsi="宋体" w:cs="宋体" w:eastAsia="宋体" w:hint="default"/>
          <w:sz w:val="13"/>
          <w:szCs w:val="13"/>
        </w:rPr>
      </w:pPr>
    </w:p>
    <w:p>
      <w:pPr>
        <w:pStyle w:val="BodyText"/>
        <w:spacing w:line="350" w:lineRule="auto" w:before="35"/>
        <w:ind w:right="1682"/>
        <w:jc w:val="left"/>
      </w:pPr>
      <w:r>
        <w:rPr>
          <w:spacing w:val="-4"/>
        </w:rPr>
        <w:t>相关企业会计准则的确认、计量和列报要求，按照统一的会计政策，反映本企</w:t>
      </w:r>
      <w:r>
        <w:rPr>
          <w:spacing w:val="-74"/>
        </w:rPr>
        <w:t> </w:t>
      </w:r>
      <w:r>
        <w:rPr>
          <w:spacing w:val="-74"/>
        </w:rPr>
      </w:r>
      <w:r>
        <w:rPr/>
        <w:t>业集团整体财务状况、经营成果和现金流量。 </w:t>
      </w:r>
      <w:r>
        <w:rPr>
          <w:spacing w:val="-4"/>
        </w:rPr>
        <w:t>所有纳入合并财务报表合并范围的子公司所采用的会计政策、会计期间与本公</w:t>
      </w:r>
      <w:r>
        <w:rPr>
          <w:spacing w:val="-73"/>
        </w:rPr>
        <w:t> </w:t>
      </w:r>
      <w:r>
        <w:rPr>
          <w:spacing w:val="-73"/>
        </w:rPr>
      </w:r>
      <w:r>
        <w:rPr>
          <w:spacing w:val="-4"/>
        </w:rPr>
        <w:t>司一致，如子公司采用的会计政策、会计期间与本公司不一致的，在编制合并</w:t>
      </w:r>
      <w:r>
        <w:rPr>
          <w:spacing w:val="-74"/>
        </w:rPr>
        <w:t> </w:t>
      </w:r>
      <w:r>
        <w:rPr>
          <w:spacing w:val="-74"/>
        </w:rPr>
      </w:r>
      <w:r>
        <w:rPr>
          <w:spacing w:val="-4"/>
        </w:rPr>
        <w:t>财务报表时，按本公司的会计政策、会计期间进行必要的调整。对于非同一控</w:t>
      </w:r>
      <w:r>
        <w:rPr>
          <w:spacing w:val="-74"/>
        </w:rPr>
        <w:t> </w:t>
      </w:r>
      <w:r>
        <w:rPr>
          <w:spacing w:val="-74"/>
        </w:rPr>
      </w:r>
      <w:r>
        <w:rPr>
          <w:spacing w:val="-4"/>
        </w:rPr>
        <w:t>制下企业合并取得的子公司，以购买日可辨认净资产公允价值为基础对其财务</w:t>
      </w:r>
      <w:r>
        <w:rPr>
          <w:spacing w:val="-73"/>
        </w:rPr>
        <w:t> </w:t>
      </w:r>
      <w:r>
        <w:rPr>
          <w:spacing w:val="-73"/>
        </w:rPr>
      </w:r>
      <w:r>
        <w:rPr>
          <w:spacing w:val="-4"/>
        </w:rPr>
        <w:t>报表进行调整。对于同一控制下企业合并取得的子公司，以其资产、负债（包</w:t>
      </w:r>
      <w:r>
        <w:rPr>
          <w:spacing w:val="-75"/>
        </w:rPr>
        <w:t> </w:t>
      </w:r>
      <w:r>
        <w:rPr>
          <w:spacing w:val="-75"/>
        </w:rPr>
      </w:r>
      <w:r>
        <w:rPr>
          <w:spacing w:val="-4"/>
        </w:rPr>
        <w:t>括最终控制方收购该子公司而形成的商誉）在最终控制方财务报表中的账面价</w:t>
      </w:r>
      <w:r>
        <w:rPr>
          <w:spacing w:val="-73"/>
        </w:rPr>
        <w:t> </w:t>
      </w:r>
      <w:r>
        <w:rPr>
          <w:spacing w:val="-73"/>
        </w:rPr>
      </w:r>
      <w:r>
        <w:rPr/>
        <w:t>值为基础对其财务报表进行调整。 </w:t>
      </w:r>
      <w:r>
        <w:rPr>
          <w:spacing w:val="-4"/>
        </w:rPr>
        <w:t>子公司所有者权益、当期净损益和当期综合收益中属于少数股东的份额分别在</w:t>
      </w:r>
      <w:r>
        <w:rPr>
          <w:spacing w:val="-73"/>
        </w:rPr>
        <w:t> </w:t>
      </w:r>
      <w:r>
        <w:rPr>
          <w:spacing w:val="-73"/>
        </w:rPr>
      </w:r>
      <w:r>
        <w:rPr>
          <w:spacing w:val="-4"/>
        </w:rPr>
        <w:t>合并资产负债表中所有者权益项目下、合并利润表中净利润项目下和综合收益</w:t>
      </w:r>
      <w:r>
        <w:rPr>
          <w:spacing w:val="-73"/>
        </w:rPr>
        <w:t> </w:t>
      </w:r>
      <w:r>
        <w:rPr>
          <w:spacing w:val="-73"/>
        </w:rPr>
      </w:r>
      <w:r>
        <w:rPr>
          <w:spacing w:val="-4"/>
        </w:rPr>
        <w:t>总额项目下单独列示。子公司少数股东分担的当期亏损超过了少数股东在该子</w:t>
      </w:r>
      <w:r>
        <w:rPr>
          <w:spacing w:val="-73"/>
        </w:rPr>
        <w:t> </w:t>
      </w:r>
      <w:r>
        <w:rPr>
          <w:spacing w:val="-73"/>
        </w:rPr>
      </w:r>
      <w:r>
        <w:rPr/>
        <w:t>公司期初所有者权益中所享有份额而形成的余额，冲减少数股东权益。</w:t>
      </w:r>
    </w:p>
    <w:p>
      <w:pPr>
        <w:pStyle w:val="BodyText"/>
        <w:spacing w:line="348" w:lineRule="auto" w:before="29"/>
        <w:ind w:right="1682" w:hanging="1"/>
        <w:jc w:val="left"/>
      </w:pPr>
      <w:r>
        <w:rPr/>
        <w:t>（</w:t>
      </w:r>
      <w:r>
        <w:rPr>
          <w:rFonts w:ascii="Times New Roman" w:hAnsi="Times New Roman" w:cs="Times New Roman" w:eastAsia="Times New Roman" w:hint="default"/>
        </w:rPr>
        <w:t>1</w:t>
      </w:r>
      <w:r>
        <w:rPr/>
        <w:t>）增加子公司或业务 </w:t>
      </w:r>
      <w:r>
        <w:rPr>
          <w:spacing w:val="-4"/>
        </w:rPr>
        <w:t>在报告期内，若因同一控制下企业合并增加子公司或业务的，则调整合并资产</w:t>
      </w:r>
      <w:r>
        <w:rPr>
          <w:spacing w:val="-74"/>
        </w:rPr>
        <w:t> </w:t>
      </w:r>
      <w:r>
        <w:rPr>
          <w:spacing w:val="-74"/>
        </w:rPr>
      </w:r>
      <w:r>
        <w:rPr>
          <w:spacing w:val="-4"/>
        </w:rPr>
        <w:t>负债表的期初数；将子公司或业务合并当期期初至报告期末的收入、费用、利</w:t>
      </w:r>
      <w:r>
        <w:rPr>
          <w:spacing w:val="-75"/>
        </w:rPr>
        <w:t> </w:t>
      </w:r>
      <w:r>
        <w:rPr>
          <w:spacing w:val="-75"/>
        </w:rPr>
      </w:r>
      <w:r>
        <w:rPr>
          <w:spacing w:val="-4"/>
        </w:rPr>
        <w:t>润纳入合并利润表；将子公司或业务合并当期期初至报告期末的现金流量纳入</w:t>
      </w:r>
      <w:r>
        <w:rPr>
          <w:spacing w:val="-74"/>
        </w:rPr>
        <w:t> </w:t>
      </w:r>
      <w:r>
        <w:rPr>
          <w:spacing w:val="-74"/>
        </w:rPr>
      </w:r>
      <w:r>
        <w:rPr>
          <w:spacing w:val="-4"/>
        </w:rPr>
        <w:t>合并现金流量表，同时对比较报表的相关项目进行调整，视同合并后的报告主</w:t>
      </w:r>
      <w:r>
        <w:rPr>
          <w:spacing w:val="-74"/>
        </w:rPr>
        <w:t> </w:t>
      </w:r>
      <w:r>
        <w:rPr>
          <w:spacing w:val="-74"/>
        </w:rPr>
      </w:r>
      <w:r>
        <w:rPr/>
        <w:t>体自最终控制方开始控制时点起一直存在。 </w:t>
      </w:r>
      <w:r>
        <w:rPr>
          <w:spacing w:val="-4"/>
        </w:rPr>
        <w:t>因追加投资等原因能够对同一控制下的被投资方实施控制的，视同参与合并的</w:t>
      </w:r>
      <w:r>
        <w:rPr>
          <w:spacing w:val="-74"/>
        </w:rPr>
        <w:t> </w:t>
      </w:r>
      <w:r>
        <w:rPr>
          <w:spacing w:val="-74"/>
        </w:rPr>
      </w:r>
      <w:r>
        <w:rPr>
          <w:spacing w:val="-4"/>
        </w:rPr>
        <w:t>各方在最终控制方开始控制时即以目前的状态存在进行调整。在取得被合并方</w:t>
      </w:r>
      <w:r>
        <w:rPr>
          <w:spacing w:val="-74"/>
        </w:rPr>
        <w:t> </w:t>
      </w:r>
      <w:r>
        <w:rPr>
          <w:spacing w:val="-74"/>
        </w:rPr>
      </w:r>
      <w:r>
        <w:rPr>
          <w:spacing w:val="-4"/>
        </w:rPr>
        <w:t>控制权之前持有的股权投资，在取得原股权之日与合并方和被合并方同处于同</w:t>
      </w:r>
      <w:r>
        <w:rPr>
          <w:spacing w:val="-74"/>
        </w:rPr>
        <w:t> </w:t>
      </w:r>
      <w:r>
        <w:rPr>
          <w:spacing w:val="-74"/>
        </w:rPr>
      </w:r>
      <w:r>
        <w:rPr>
          <w:spacing w:val="-4"/>
        </w:rPr>
        <w:t>一控制之日孰晚日起至合并日之间已确认有关损益、其他综合收益以及其他净</w:t>
      </w:r>
      <w:r>
        <w:rPr>
          <w:spacing w:val="-74"/>
        </w:rPr>
        <w:t> </w:t>
      </w:r>
      <w:r>
        <w:rPr>
          <w:spacing w:val="-74"/>
        </w:rPr>
      </w:r>
      <w:r>
        <w:rPr/>
        <w:t>资产变动，分别冲减比较报表期间的期初留存收益或当期损益。 </w:t>
      </w:r>
      <w:r>
        <w:rPr>
          <w:spacing w:val="-4"/>
        </w:rPr>
        <w:t>在报告期内，若因非同一控制下企业合并增加子公司或业务的，则不调整合并</w:t>
      </w:r>
      <w:r>
        <w:rPr>
          <w:spacing w:val="-74"/>
        </w:rPr>
        <w:t> </w:t>
      </w:r>
      <w:r>
        <w:rPr>
          <w:spacing w:val="-74"/>
        </w:rPr>
      </w:r>
      <w:r>
        <w:rPr>
          <w:spacing w:val="-4"/>
        </w:rPr>
        <w:t>资产负债表期初数；将该子公司或业务自购买日至报告期末的收入、费用、利</w:t>
      </w:r>
      <w:r>
        <w:rPr>
          <w:spacing w:val="-75"/>
        </w:rPr>
        <w:t> </w:t>
      </w:r>
      <w:r>
        <w:rPr>
          <w:spacing w:val="-75"/>
        </w:rPr>
      </w:r>
      <w:r>
        <w:rPr>
          <w:spacing w:val="-4"/>
        </w:rPr>
        <w:t>润纳入合并利润表；该子公司或业务自购买日至报告期末的现金流量纳入合并</w:t>
      </w:r>
      <w:r>
        <w:rPr>
          <w:spacing w:val="-74"/>
        </w:rPr>
        <w:t> </w:t>
      </w:r>
      <w:r>
        <w:rPr>
          <w:spacing w:val="-74"/>
        </w:rPr>
      </w:r>
      <w:r>
        <w:rPr/>
        <w:t>现金流量表。 </w:t>
      </w:r>
      <w:r>
        <w:rPr>
          <w:spacing w:val="-4"/>
        </w:rPr>
        <w:t>因追加投资等原因能够对非同一控制下的被投资方实施控制的，对于购买日之</w:t>
      </w:r>
      <w:r>
        <w:rPr>
          <w:spacing w:val="-74"/>
        </w:rPr>
        <w:t> </w:t>
      </w:r>
      <w:r>
        <w:rPr>
          <w:spacing w:val="-74"/>
        </w:rPr>
      </w:r>
      <w:r>
        <w:rPr>
          <w:spacing w:val="-4"/>
        </w:rPr>
        <w:t>前持有的被购买方的股权，本公司按照该股权在购买日的公允价值进行重新计</w:t>
      </w:r>
      <w:r>
        <w:rPr>
          <w:spacing w:val="-74"/>
        </w:rPr>
        <w:t> </w:t>
      </w:r>
      <w:r>
        <w:rPr>
          <w:spacing w:val="-74"/>
        </w:rPr>
      </w:r>
      <w:r>
        <w:rPr>
          <w:spacing w:val="-4"/>
        </w:rPr>
        <w:t>量，公允价值与其账面价值的差额计入当期投资收益。购买日之前持有的被购</w:t>
      </w:r>
      <w:r>
        <w:rPr>
          <w:spacing w:val="-74"/>
        </w:rPr>
        <w:t> </w:t>
      </w:r>
      <w:r>
        <w:rPr>
          <w:spacing w:val="-74"/>
        </w:rPr>
      </w:r>
      <w:r>
        <w:rPr>
          <w:spacing w:val="-4"/>
        </w:rPr>
        <w:t>买方的股权涉及权益法核算下的其他综合收益以及除净损益、其他综合收益和</w:t>
      </w:r>
      <w:r>
        <w:rPr>
          <w:spacing w:val="-74"/>
        </w:rPr>
        <w:t> </w:t>
      </w:r>
      <w:r>
        <w:rPr>
          <w:spacing w:val="-74"/>
        </w:rPr>
      </w:r>
      <w:r>
        <w:rPr>
          <w:spacing w:val="-4"/>
        </w:rPr>
        <w:t>利润分配之外的其他所有者权益变动的，与其相关的其他综合收益、其他所有</w:t>
      </w:r>
      <w:r>
        <w:rPr>
          <w:spacing w:val="-74"/>
        </w:rPr>
        <w:t> </w:t>
      </w:r>
      <w:r>
        <w:rPr>
          <w:spacing w:val="-74"/>
        </w:rPr>
      </w:r>
      <w:r>
        <w:rPr>
          <w:spacing w:val="-4"/>
        </w:rPr>
        <w:t>者权益变动转为购买日所属当期投资收益，由于被投资方重新计量设定受益计</w:t>
      </w:r>
    </w:p>
    <w:p>
      <w:pPr>
        <w:spacing w:after="0" w:line="348" w:lineRule="auto"/>
        <w:jc w:val="left"/>
        <w:sectPr>
          <w:pgSz w:w="11910" w:h="16840"/>
          <w:pgMar w:header="1302" w:footer="1001" w:top="1520" w:bottom="1200" w:left="1660" w:right="0"/>
        </w:sectPr>
      </w:pPr>
    </w:p>
    <w:p>
      <w:pPr>
        <w:spacing w:line="240" w:lineRule="auto" w:before="8"/>
        <w:rPr>
          <w:rFonts w:ascii="宋体" w:hAnsi="宋体" w:cs="宋体" w:eastAsia="宋体" w:hint="default"/>
          <w:sz w:val="13"/>
          <w:szCs w:val="13"/>
        </w:rPr>
      </w:pPr>
    </w:p>
    <w:p>
      <w:pPr>
        <w:pStyle w:val="BodyText"/>
        <w:spacing w:line="240" w:lineRule="auto" w:before="35"/>
        <w:ind w:right="3681"/>
        <w:jc w:val="left"/>
      </w:pPr>
      <w:r>
        <w:rPr/>
        <w:t>划净负债或净资产变动而产生的其他综合收益除外。</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pStyle w:val="BodyText"/>
        <w:spacing w:line="240" w:lineRule="auto" w:before="0"/>
        <w:ind w:right="3681"/>
        <w:jc w:val="left"/>
      </w:pPr>
      <w:r>
        <w:rPr/>
        <w:t>（</w:t>
      </w:r>
      <w:r>
        <w:rPr>
          <w:rFonts w:ascii="Times New Roman" w:hAnsi="Times New Roman" w:cs="Times New Roman" w:eastAsia="Times New Roman" w:hint="default"/>
        </w:rPr>
        <w:t>2</w:t>
      </w:r>
      <w:r>
        <w:rPr/>
        <w:t>）处置子公司或业务</w:t>
      </w:r>
    </w:p>
    <w:p>
      <w:pPr>
        <w:pStyle w:val="BodyText"/>
        <w:spacing w:line="350" w:lineRule="auto"/>
        <w:ind w:right="1682"/>
        <w:jc w:val="left"/>
      </w:pPr>
      <w:r>
        <w:rPr/>
        <w:t>①一般处理方法 </w:t>
      </w:r>
      <w:r>
        <w:rPr>
          <w:spacing w:val="-4"/>
        </w:rPr>
        <w:t>在报告期内，本公司处置子公司或业务，则该子公司或业务期初至处置日的收</w:t>
      </w:r>
      <w:r>
        <w:rPr>
          <w:spacing w:val="-73"/>
        </w:rPr>
        <w:t> </w:t>
      </w:r>
      <w:r>
        <w:rPr>
          <w:spacing w:val="-73"/>
        </w:rPr>
      </w:r>
      <w:r>
        <w:rPr>
          <w:spacing w:val="-4"/>
        </w:rPr>
        <w:t>入、费用、利润纳入合并利润表；该子公司或业务期初至处置日的现金流量纳</w:t>
      </w:r>
      <w:r>
        <w:rPr>
          <w:spacing w:val="-73"/>
        </w:rPr>
        <w:t> </w:t>
      </w:r>
      <w:r>
        <w:rPr>
          <w:spacing w:val="-73"/>
        </w:rPr>
      </w:r>
      <w:r>
        <w:rPr/>
        <w:t>入合并现金流量表。 </w:t>
      </w:r>
      <w:r>
        <w:rPr>
          <w:spacing w:val="-4"/>
        </w:rPr>
        <w:t>因处置部分股权投资或其他原因丧失了对被投资方控制权时，对于处置后的剩</w:t>
      </w:r>
      <w:r>
        <w:rPr>
          <w:spacing w:val="-73"/>
        </w:rPr>
        <w:t> </w:t>
      </w:r>
      <w:r>
        <w:rPr>
          <w:spacing w:val="-73"/>
        </w:rPr>
      </w:r>
      <w:r>
        <w:rPr>
          <w:spacing w:val="-4"/>
        </w:rPr>
        <w:t>余股权投资，本公司按照其在丧失控制权日的公允价值进行重新计量。处置股</w:t>
      </w:r>
      <w:r>
        <w:rPr>
          <w:spacing w:val="-73"/>
        </w:rPr>
        <w:t> </w:t>
      </w:r>
      <w:r>
        <w:rPr>
          <w:spacing w:val="-73"/>
        </w:rPr>
      </w:r>
      <w:r>
        <w:rPr>
          <w:spacing w:val="-4"/>
        </w:rPr>
        <w:t>权取得的对价与剩余股权公允价值之和，减去按原持股比例计算应享有原有子</w:t>
      </w:r>
      <w:r>
        <w:rPr>
          <w:spacing w:val="-73"/>
        </w:rPr>
        <w:t> </w:t>
      </w:r>
      <w:r>
        <w:rPr>
          <w:spacing w:val="-73"/>
        </w:rPr>
      </w:r>
      <w:r>
        <w:rPr>
          <w:spacing w:val="-4"/>
        </w:rPr>
        <w:t>公司自购买日或合并日开始持续计算的净资产的份额与商誉之和的差额，计入</w:t>
      </w:r>
      <w:r>
        <w:rPr>
          <w:spacing w:val="-73"/>
        </w:rPr>
        <w:t> </w:t>
      </w:r>
      <w:r>
        <w:rPr>
          <w:spacing w:val="-73"/>
        </w:rPr>
      </w:r>
      <w:r>
        <w:rPr>
          <w:spacing w:val="-4"/>
        </w:rPr>
        <w:t>丧失控制权当期的投资收益。与原有子公司股权投资相关的其他综合收益或除</w:t>
      </w:r>
      <w:r>
        <w:rPr>
          <w:spacing w:val="-73"/>
        </w:rPr>
        <w:t> </w:t>
      </w:r>
      <w:r>
        <w:rPr>
          <w:spacing w:val="-73"/>
        </w:rPr>
      </w:r>
      <w:r>
        <w:rPr>
          <w:spacing w:val="-4"/>
        </w:rPr>
        <w:t>净损益、其他综合收益及利润分配之外的其他所有者权益变动，在丧失控制权</w:t>
      </w:r>
      <w:r>
        <w:rPr>
          <w:spacing w:val="-73"/>
        </w:rPr>
        <w:t> </w:t>
      </w:r>
      <w:r>
        <w:rPr>
          <w:spacing w:val="-73"/>
        </w:rPr>
      </w:r>
      <w:r>
        <w:rPr>
          <w:spacing w:val="-4"/>
        </w:rPr>
        <w:t>时转为当期投资收益，由于被投资方重新计量设定受益计划净负债或净资产变</w:t>
      </w:r>
      <w:r>
        <w:rPr>
          <w:spacing w:val="-73"/>
        </w:rPr>
        <w:t> </w:t>
      </w:r>
      <w:r>
        <w:rPr>
          <w:spacing w:val="-73"/>
        </w:rPr>
      </w:r>
      <w:r>
        <w:rPr/>
        <w:t>动而产生的其他综合收益除外。 </w:t>
      </w:r>
      <w:r>
        <w:rPr>
          <w:spacing w:val="-4"/>
        </w:rPr>
        <w:t>因其他投资方对子公司增资而导致本公司持股比例下降从而丧失控制权的，按</w:t>
      </w:r>
      <w:r>
        <w:rPr>
          <w:spacing w:val="-73"/>
        </w:rPr>
        <w:t> </w:t>
      </w:r>
      <w:r>
        <w:rPr>
          <w:spacing w:val="-73"/>
        </w:rPr>
      </w:r>
      <w:r>
        <w:rPr/>
        <w:t>照上述原则进行会计处理。</w:t>
      </w:r>
    </w:p>
    <w:p>
      <w:pPr>
        <w:pStyle w:val="BodyText"/>
        <w:spacing w:line="350" w:lineRule="auto" w:before="28"/>
        <w:ind w:right="1682"/>
        <w:jc w:val="left"/>
      </w:pPr>
      <w:r>
        <w:rPr/>
        <w:t>②分步处置子公司 </w:t>
      </w:r>
      <w:r>
        <w:rPr>
          <w:spacing w:val="-4"/>
        </w:rPr>
        <w:t>通过多次交易分步处置对子公司股权投资直至丧失控制权的，处置对子公司股</w:t>
      </w:r>
      <w:r>
        <w:rPr>
          <w:spacing w:val="-73"/>
        </w:rPr>
        <w:t> </w:t>
      </w:r>
      <w:r>
        <w:rPr>
          <w:spacing w:val="-73"/>
        </w:rPr>
      </w:r>
      <w:r>
        <w:rPr>
          <w:spacing w:val="-4"/>
        </w:rPr>
        <w:t>权投资的各项交易的条款、条件以及经济影响符合以下一种或多种情况，通常</w:t>
      </w:r>
      <w:r>
        <w:rPr>
          <w:spacing w:val="-73"/>
        </w:rPr>
        <w:t> </w:t>
      </w:r>
      <w:r>
        <w:rPr>
          <w:spacing w:val="-73"/>
        </w:rPr>
      </w:r>
      <w:r>
        <w:rPr/>
        <w:t>表明应将多次交易事项作为一揽子交易进行会计处理： ⅰ．这些交易是同时或者在考虑了彼此影响的情况下订立的； ⅱ．这些交易整体才能达成一项完整的商业结果； ⅲ．一项交易的发生取决于其他至少一项交易的发生； ⅳ．一项交易单独看是不经济的，但是和其他交易一并考虑时是经济的。 </w:t>
      </w:r>
      <w:r>
        <w:rPr>
          <w:spacing w:val="-4"/>
        </w:rPr>
        <w:t>处置对子公司股权投资直至丧失控制权的各项交易属于一揽子交易的，本公司</w:t>
      </w:r>
      <w:r>
        <w:rPr>
          <w:spacing w:val="-73"/>
        </w:rPr>
        <w:t> </w:t>
      </w:r>
      <w:r>
        <w:rPr>
          <w:spacing w:val="-73"/>
        </w:rPr>
      </w:r>
      <w:r>
        <w:rPr>
          <w:spacing w:val="-4"/>
        </w:rPr>
        <w:t>将各项交易作为一项处置子公司并丧失控制权的交易进行会计处理；但是，在</w:t>
      </w:r>
      <w:r>
        <w:rPr>
          <w:spacing w:val="-73"/>
        </w:rPr>
        <w:t> </w:t>
      </w:r>
      <w:r>
        <w:rPr>
          <w:spacing w:val="-73"/>
        </w:rPr>
      </w:r>
      <w:r>
        <w:rPr/>
        <w:t>丧失控制权之前每一次处置价款与处置投资对应的享有该子公司净资产份额 </w:t>
      </w:r>
      <w:r>
        <w:rPr>
          <w:spacing w:val="-4"/>
        </w:rPr>
        <w:t>的差额，在合并财务报表中确认为其他综合收益，在丧失控制权时一并转入丧</w:t>
      </w:r>
      <w:r>
        <w:rPr>
          <w:spacing w:val="-73"/>
        </w:rPr>
        <w:t> </w:t>
      </w:r>
      <w:r>
        <w:rPr>
          <w:spacing w:val="-73"/>
        </w:rPr>
      </w:r>
      <w:r>
        <w:rPr/>
        <w:t>失控制权当期的损益。 </w:t>
      </w:r>
      <w:r>
        <w:rPr>
          <w:spacing w:val="-4"/>
        </w:rPr>
        <w:t>处置对子公司股权投资直至丧失控制权的各项交易不属于一揽子交易的，在丧</w:t>
      </w:r>
      <w:r>
        <w:rPr>
          <w:spacing w:val="-73"/>
        </w:rPr>
        <w:t> </w:t>
      </w:r>
      <w:r>
        <w:rPr>
          <w:spacing w:val="-73"/>
        </w:rPr>
      </w:r>
      <w:r>
        <w:rPr>
          <w:spacing w:val="-4"/>
        </w:rPr>
        <w:t>失控制权之前，按不丧失控制权的情况下部分处置对子公司的股权投资的相关</w:t>
      </w:r>
      <w:r>
        <w:rPr>
          <w:spacing w:val="-73"/>
        </w:rPr>
        <w:t> </w:t>
      </w:r>
      <w:r>
        <w:rPr>
          <w:spacing w:val="-73"/>
        </w:rPr>
      </w:r>
      <w:r>
        <w:rPr>
          <w:spacing w:val="-4"/>
        </w:rPr>
        <w:t>政策进行会计处理；在丧失控制权时，按处置子公司一般处理方法进行会计处</w:t>
      </w:r>
      <w:r>
        <w:rPr>
          <w:spacing w:val="-73"/>
        </w:rPr>
        <w:t> </w:t>
      </w:r>
      <w:r>
        <w:rPr>
          <w:spacing w:val="-73"/>
        </w:rPr>
      </w:r>
      <w:r>
        <w:rPr/>
        <w:t>理。</w:t>
      </w:r>
    </w:p>
    <w:p>
      <w:pPr>
        <w:spacing w:after="0" w:line="350" w:lineRule="auto"/>
        <w:jc w:val="left"/>
        <w:sectPr>
          <w:pgSz w:w="11910" w:h="16840"/>
          <w:pgMar w:header="1302" w:footer="1001" w:top="1520" w:bottom="1200" w:left="1660" w:right="0"/>
        </w:sectPr>
      </w:pPr>
    </w:p>
    <w:p>
      <w:pPr>
        <w:spacing w:line="240" w:lineRule="auto" w:before="8"/>
        <w:rPr>
          <w:rFonts w:ascii="宋体" w:hAnsi="宋体" w:cs="宋体" w:eastAsia="宋体" w:hint="default"/>
          <w:sz w:val="13"/>
          <w:szCs w:val="13"/>
        </w:rPr>
      </w:pPr>
    </w:p>
    <w:p>
      <w:pPr>
        <w:pStyle w:val="BodyText"/>
        <w:spacing w:line="345" w:lineRule="auto" w:before="35"/>
        <w:ind w:right="1682" w:hanging="1"/>
        <w:jc w:val="left"/>
      </w:pPr>
      <w:r>
        <w:rPr/>
        <w:t>（</w:t>
      </w:r>
      <w:r>
        <w:rPr>
          <w:rFonts w:ascii="Times New Roman" w:hAnsi="Times New Roman" w:cs="Times New Roman" w:eastAsia="Times New Roman" w:hint="default"/>
        </w:rPr>
        <w:t>3</w:t>
      </w:r>
      <w:r>
        <w:rPr/>
        <w:t>）购买子公司少数股权 本公司因购买少数股权新取得的长期股权投资与按照新增持股比例计算应享 </w:t>
      </w:r>
      <w:r>
        <w:rPr>
          <w:spacing w:val="-4"/>
        </w:rPr>
        <w:t>有子公司自购买日（或合并日）开始持续计算的净资产份额之间的差额，调整</w:t>
      </w:r>
      <w:r>
        <w:rPr>
          <w:spacing w:val="-75"/>
        </w:rPr>
        <w:t> </w:t>
      </w:r>
      <w:r>
        <w:rPr>
          <w:spacing w:val="-75"/>
        </w:rPr>
      </w:r>
      <w:r>
        <w:rPr>
          <w:spacing w:val="-4"/>
        </w:rPr>
        <w:t>合并资产负债表中的资本公积中的股本溢价，资本公积中的股本溢价不足冲减</w:t>
      </w:r>
      <w:r>
        <w:rPr>
          <w:spacing w:val="-74"/>
        </w:rPr>
        <w:t> </w:t>
      </w:r>
      <w:r>
        <w:rPr>
          <w:spacing w:val="-74"/>
        </w:rPr>
      </w:r>
      <w:r>
        <w:rPr/>
        <w:t>的，调整留存收益。</w:t>
      </w:r>
    </w:p>
    <w:p>
      <w:pPr>
        <w:pStyle w:val="BodyText"/>
        <w:spacing w:line="345" w:lineRule="auto" w:before="32"/>
        <w:ind w:right="1671" w:hanging="1"/>
        <w:jc w:val="left"/>
      </w:pPr>
      <w:r>
        <w:rPr/>
        <w:t>（</w:t>
      </w:r>
      <w:r>
        <w:rPr>
          <w:rFonts w:ascii="Times New Roman" w:hAnsi="Times New Roman" w:cs="Times New Roman" w:eastAsia="Times New Roman" w:hint="default"/>
        </w:rPr>
        <w:t>4</w:t>
      </w:r>
      <w:r>
        <w:rPr/>
        <w:t>）不丧失控制权的情况下部分处置对子公司的股权投资 在不丧失控制权的情况下因部分处置对子公司的长期股权投资而取得的处置 价款与处置长期股权投资相对应享有子公司自购买日或合并日开始持续计算 的净资产份额之间的差额，调整合并资产负债表中的资本公积中的股本溢价， 资本公积中的股本溢价不足冲减的，调整留存收益。</w:t>
      </w:r>
    </w:p>
    <w:p>
      <w:pPr>
        <w:spacing w:line="240" w:lineRule="auto" w:before="0"/>
        <w:rPr>
          <w:rFonts w:ascii="宋体" w:hAnsi="宋体" w:cs="宋体" w:eastAsia="宋体" w:hint="default"/>
          <w:sz w:val="20"/>
          <w:szCs w:val="20"/>
        </w:rPr>
      </w:pPr>
    </w:p>
    <w:p>
      <w:pPr>
        <w:tabs>
          <w:tab w:pos="851" w:val="left" w:leader="none"/>
        </w:tabs>
        <w:spacing w:line="328" w:lineRule="auto" w:before="171"/>
        <w:ind w:left="851" w:right="6030" w:hanging="714"/>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七</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合营安排分类及会计处理方法</w:t>
      </w:r>
      <w:r>
        <w:rPr>
          <w:rFonts w:ascii="宋体" w:hAnsi="宋体" w:cs="宋体" w:eastAsia="宋体" w:hint="default"/>
          <w:b/>
          <w:bCs/>
          <w:spacing w:val="1"/>
          <w:w w:val="99"/>
          <w:sz w:val="21"/>
          <w:szCs w:val="21"/>
        </w:rPr>
        <w:t> </w:t>
      </w:r>
      <w:r>
        <w:rPr>
          <w:rFonts w:ascii="宋体" w:hAnsi="宋体" w:cs="宋体" w:eastAsia="宋体" w:hint="default"/>
          <w:sz w:val="21"/>
          <w:szCs w:val="21"/>
        </w:rPr>
        <w:t>合营安排分为共同经营和合营企业。</w:t>
      </w:r>
    </w:p>
    <w:p>
      <w:pPr>
        <w:pStyle w:val="BodyText"/>
        <w:spacing w:line="350" w:lineRule="auto" w:before="48"/>
        <w:ind w:left="851" w:right="1813"/>
        <w:jc w:val="left"/>
      </w:pPr>
      <w:r>
        <w:rPr/>
        <w:t>当本公司是合营安排的合营方，享有该安排相关资产且承担该安排相关负债时，为 共同经营。 本公司确认与共同经营中利益份额相关的下列项目，并按照相关企业会计准则的规 定进行会计处理：</w:t>
      </w:r>
    </w:p>
    <w:p>
      <w:pPr>
        <w:pStyle w:val="BodyText"/>
        <w:spacing w:line="240" w:lineRule="auto" w:before="28"/>
        <w:ind w:left="851" w:right="1793"/>
        <w:jc w:val="left"/>
      </w:pPr>
      <w:r>
        <w:rPr/>
        <w:t>（</w:t>
      </w:r>
      <w:r>
        <w:rPr>
          <w:rFonts w:ascii="Times New Roman" w:hAnsi="Times New Roman" w:cs="Times New Roman" w:eastAsia="Times New Roman" w:hint="default"/>
        </w:rPr>
        <w:t>1</w:t>
      </w:r>
      <w:r>
        <w:rPr/>
        <w:t>）确认本公司单独所持有的资产，以及按本公司份额确认共同持有的资产；</w:t>
      </w:r>
    </w:p>
    <w:p>
      <w:pPr>
        <w:pStyle w:val="BodyText"/>
        <w:spacing w:line="240" w:lineRule="auto"/>
        <w:ind w:left="851" w:right="1793"/>
        <w:jc w:val="left"/>
      </w:pPr>
      <w:r>
        <w:rPr/>
        <w:t>（</w:t>
      </w:r>
      <w:r>
        <w:rPr>
          <w:rFonts w:ascii="Times New Roman" w:hAnsi="Times New Roman" w:cs="Times New Roman" w:eastAsia="Times New Roman" w:hint="default"/>
        </w:rPr>
        <w:t>2</w:t>
      </w:r>
      <w:r>
        <w:rPr/>
        <w:t>）确认本公司单独所承担的负债，以及按本公司份额确认共同承担的负债；</w:t>
      </w:r>
    </w:p>
    <w:p>
      <w:pPr>
        <w:pStyle w:val="BodyText"/>
        <w:spacing w:line="240" w:lineRule="auto" w:before="110"/>
        <w:ind w:left="851" w:right="1793"/>
        <w:jc w:val="left"/>
      </w:pPr>
      <w:r>
        <w:rPr/>
        <w:t>（</w:t>
      </w:r>
      <w:r>
        <w:rPr>
          <w:rFonts w:ascii="Times New Roman" w:hAnsi="Times New Roman" w:cs="Times New Roman" w:eastAsia="Times New Roman" w:hint="default"/>
        </w:rPr>
        <w:t>3</w:t>
      </w:r>
      <w:r>
        <w:rPr/>
        <w:t>）确认出售本公司享有的共同经营产出份额所产生的收入；</w:t>
      </w:r>
    </w:p>
    <w:p>
      <w:pPr>
        <w:pStyle w:val="BodyText"/>
        <w:spacing w:line="240" w:lineRule="auto"/>
        <w:ind w:left="851" w:right="3681"/>
        <w:jc w:val="left"/>
      </w:pPr>
      <w:r>
        <w:rPr/>
        <w:t>（</w:t>
      </w:r>
      <w:r>
        <w:rPr>
          <w:rFonts w:ascii="Times New Roman" w:hAnsi="Times New Roman" w:cs="Times New Roman" w:eastAsia="Times New Roman" w:hint="default"/>
        </w:rPr>
        <w:t>4</w:t>
      </w:r>
      <w:r>
        <w:rPr/>
        <w:t>）按本公司份额确认共同经营因出售产出所产生的收入；</w:t>
      </w:r>
    </w:p>
    <w:p>
      <w:pPr>
        <w:pStyle w:val="BodyText"/>
        <w:spacing w:line="240" w:lineRule="auto"/>
        <w:ind w:left="851" w:right="1793"/>
        <w:jc w:val="left"/>
      </w:pPr>
      <w:r>
        <w:rPr/>
        <w:t>（</w:t>
      </w:r>
      <w:r>
        <w:rPr>
          <w:rFonts w:ascii="Times New Roman" w:hAnsi="Times New Roman" w:cs="Times New Roman" w:eastAsia="Times New Roman" w:hint="default"/>
        </w:rPr>
        <w:t>5</w:t>
      </w:r>
      <w:r>
        <w:rPr/>
        <w:t>）确认单独所发生的费用，以及按本公司份额确认共同经营发生的费用。</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pStyle w:val="BodyText"/>
        <w:tabs>
          <w:tab w:pos="851" w:val="left" w:leader="none"/>
        </w:tabs>
        <w:spacing w:line="343" w:lineRule="auto" w:before="0"/>
        <w:ind w:left="851" w:right="1686" w:hanging="714"/>
        <w:jc w:val="left"/>
      </w:pPr>
      <w:r>
        <w:rPr>
          <w:rFonts w:ascii="Times New Roman" w:hAnsi="Times New Roman" w:cs="Times New Roman" w:eastAsia="Times New Roman" w:hint="default"/>
          <w:b/>
          <w:bCs/>
          <w:w w:val="95"/>
        </w:rPr>
        <w:t>(</w:t>
      </w:r>
      <w:r>
        <w:rPr>
          <w:rFonts w:ascii="宋体" w:hAnsi="宋体" w:cs="宋体" w:eastAsia="宋体" w:hint="default"/>
          <w:b/>
          <w:bCs/>
          <w:w w:val="95"/>
        </w:rPr>
        <w:t>八</w:t>
      </w:r>
      <w:r>
        <w:rPr>
          <w:rFonts w:ascii="Times New Roman" w:hAnsi="Times New Roman" w:cs="Times New Roman" w:eastAsia="Times New Roman" w:hint="default"/>
          <w:b/>
          <w:bCs/>
          <w:w w:val="95"/>
        </w:rPr>
        <w:t>)</w:t>
        <w:tab/>
      </w:r>
      <w:r>
        <w:rPr>
          <w:rFonts w:ascii="宋体" w:hAnsi="宋体" w:cs="宋体" w:eastAsia="宋体" w:hint="default"/>
          <w:b/>
          <w:bCs/>
        </w:rPr>
        <w:t>现金及现金等价物的确定标准</w:t>
      </w:r>
      <w:r>
        <w:rPr>
          <w:rFonts w:ascii="宋体" w:hAnsi="宋体" w:cs="宋体" w:eastAsia="宋体" w:hint="default"/>
          <w:b/>
          <w:bCs/>
          <w:spacing w:val="1"/>
          <w:w w:val="99"/>
        </w:rPr>
        <w:t> </w:t>
      </w:r>
      <w:r>
        <w:rPr>
          <w:spacing w:val="-2"/>
        </w:rPr>
        <w:t>在编制现金流量表时，将本公司库存现金以及可以随时用于支付的存款确认为现金。</w:t>
      </w:r>
      <w:r>
        <w:rPr/>
        <w:t> </w:t>
      </w:r>
      <w:r>
        <w:rPr>
          <w:spacing w:val="-3"/>
        </w:rPr>
        <w:t>将同时具备期限短（从购买日起三个月内到期）、流动性强、易于转换为已知现金、</w:t>
      </w:r>
      <w:r>
        <w:rPr/>
        <w:t> 价值变动风险很小四个条件的投资，确定为现金等价物。</w:t>
      </w:r>
    </w:p>
    <w:p>
      <w:pPr>
        <w:spacing w:line="240" w:lineRule="auto" w:before="0"/>
        <w:rPr>
          <w:rFonts w:ascii="宋体" w:hAnsi="宋体" w:cs="宋体" w:eastAsia="宋体" w:hint="default"/>
          <w:sz w:val="20"/>
          <w:szCs w:val="20"/>
        </w:rPr>
      </w:pPr>
    </w:p>
    <w:p>
      <w:pPr>
        <w:pStyle w:val="Heading5"/>
        <w:tabs>
          <w:tab w:pos="851" w:val="left" w:leader="none"/>
        </w:tabs>
        <w:spacing w:line="240" w:lineRule="auto" w:before="173"/>
        <w:ind w:right="3681"/>
        <w:jc w:val="left"/>
        <w:rPr>
          <w:b w:val="0"/>
          <w:bCs w:val="0"/>
        </w:rPr>
      </w:pPr>
      <w:r>
        <w:rPr>
          <w:rFonts w:ascii="Times New Roman" w:hAnsi="Times New Roman" w:cs="Times New Roman" w:eastAsia="Times New Roman" w:hint="default"/>
          <w:w w:val="95"/>
        </w:rPr>
        <w:t>(</w:t>
      </w:r>
      <w:r>
        <w:rPr>
          <w:w w:val="95"/>
        </w:rPr>
        <w:t>九</w:t>
      </w:r>
      <w:r>
        <w:rPr>
          <w:rFonts w:ascii="Times New Roman" w:hAnsi="Times New Roman" w:cs="Times New Roman" w:eastAsia="Times New Roman" w:hint="default"/>
          <w:w w:val="95"/>
        </w:rPr>
        <w:t>)</w:t>
        <w:tab/>
      </w:r>
      <w:r>
        <w:rPr/>
        <w:t>外币业务和外币报表折算</w:t>
      </w:r>
      <w:r>
        <w:rPr>
          <w:b w:val="0"/>
          <w:bCs w:val="0"/>
        </w:rPr>
      </w:r>
    </w:p>
    <w:p>
      <w:pPr>
        <w:pStyle w:val="Heading5"/>
        <w:tabs>
          <w:tab w:pos="1397" w:val="left" w:leader="none"/>
        </w:tabs>
        <w:spacing w:line="240" w:lineRule="auto" w:before="109"/>
        <w:ind w:left="846" w:right="3681"/>
        <w:jc w:val="left"/>
        <w:rPr>
          <w:b w:val="0"/>
          <w:bCs w:val="0"/>
        </w:rPr>
      </w:pPr>
      <w:r>
        <w:rPr>
          <w:rFonts w:ascii="Times New Roman" w:hAnsi="Times New Roman" w:cs="Times New Roman" w:eastAsia="Times New Roman" w:hint="default"/>
          <w:w w:val="95"/>
        </w:rPr>
        <w:t>1</w:t>
      </w:r>
      <w:r>
        <w:rPr>
          <w:w w:val="95"/>
        </w:rPr>
        <w:t>、</w:t>
        <w:tab/>
      </w:r>
      <w:r>
        <w:rPr>
          <w:spacing w:val="1"/>
        </w:rPr>
        <w:t>外币业务</w:t>
      </w:r>
      <w:r>
        <w:rPr>
          <w:b w:val="0"/>
          <w:bCs w:val="0"/>
        </w:rPr>
      </w:r>
    </w:p>
    <w:p>
      <w:pPr>
        <w:pStyle w:val="BodyText"/>
        <w:spacing w:line="350" w:lineRule="auto"/>
        <w:ind w:right="1682"/>
        <w:jc w:val="left"/>
      </w:pPr>
      <w:r>
        <w:rPr/>
        <w:t>外币业务采用交易发生日的即期汇率作为折算汇率将外币金额折合成人民币 记账。 </w:t>
      </w:r>
      <w:r>
        <w:rPr>
          <w:spacing w:val="-4"/>
        </w:rPr>
        <w:t>资产负债表日外币货币性项目余额按资产负债表日即期汇率折算，由此产生的</w:t>
      </w:r>
      <w:r>
        <w:rPr>
          <w:spacing w:val="-73"/>
        </w:rPr>
        <w:t> </w:t>
      </w:r>
      <w:r>
        <w:rPr>
          <w:spacing w:val="-73"/>
        </w:rPr>
      </w:r>
      <w:r>
        <w:rPr>
          <w:spacing w:val="-4"/>
        </w:rPr>
        <w:t>汇兑差额，除属于与购建符合资本化条件的资产相关的外币专门借款产生的汇</w:t>
      </w:r>
    </w:p>
    <w:p>
      <w:pPr>
        <w:spacing w:after="0" w:line="350" w:lineRule="auto"/>
        <w:jc w:val="left"/>
        <w:sectPr>
          <w:pgSz w:w="11910" w:h="16840"/>
          <w:pgMar w:header="1302" w:footer="1001" w:top="1520" w:bottom="1200" w:left="1660" w:right="0"/>
        </w:sectPr>
      </w:pPr>
    </w:p>
    <w:p>
      <w:pPr>
        <w:spacing w:line="240" w:lineRule="auto" w:before="8"/>
        <w:rPr>
          <w:rFonts w:ascii="宋体" w:hAnsi="宋体" w:cs="宋体" w:eastAsia="宋体" w:hint="default"/>
          <w:sz w:val="13"/>
          <w:szCs w:val="13"/>
        </w:rPr>
      </w:pPr>
    </w:p>
    <w:p>
      <w:pPr>
        <w:pStyle w:val="BodyText"/>
        <w:spacing w:line="240" w:lineRule="auto" w:before="35"/>
        <w:ind w:right="1793"/>
        <w:jc w:val="left"/>
      </w:pPr>
      <w:r>
        <w:rPr/>
        <w:t>兑差额按照借款费用资本化的原则处理外，均计入当期损益。</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pStyle w:val="BodyText"/>
        <w:tabs>
          <w:tab w:pos="1397" w:val="left" w:leader="none"/>
        </w:tabs>
        <w:spacing w:line="345" w:lineRule="auto" w:before="0"/>
        <w:ind w:right="1791" w:hanging="567"/>
        <w:jc w:val="left"/>
      </w:pPr>
      <w:r>
        <w:rPr>
          <w:rFonts w:ascii="Times New Roman" w:hAnsi="Times New Roman" w:cs="Times New Roman" w:eastAsia="Times New Roman" w:hint="default"/>
          <w:b/>
          <w:bCs/>
          <w:w w:val="95"/>
        </w:rPr>
        <w:t>2</w:t>
      </w:r>
      <w:r>
        <w:rPr>
          <w:rFonts w:ascii="宋体" w:hAnsi="宋体" w:cs="宋体" w:eastAsia="宋体" w:hint="default"/>
          <w:b/>
          <w:bCs/>
          <w:w w:val="95"/>
        </w:rPr>
        <w:t>、</w:t>
        <w:tab/>
      </w:r>
      <w:r>
        <w:rPr>
          <w:rFonts w:ascii="宋体" w:hAnsi="宋体" w:cs="宋体" w:eastAsia="宋体" w:hint="default"/>
          <w:b/>
          <w:bCs/>
        </w:rPr>
        <w:t>外币财务报表的折算</w:t>
      </w:r>
      <w:r>
        <w:rPr>
          <w:rFonts w:ascii="宋体" w:hAnsi="宋体" w:cs="宋体" w:eastAsia="宋体" w:hint="default"/>
          <w:b/>
          <w:bCs/>
          <w:spacing w:val="1"/>
          <w:w w:val="99"/>
        </w:rPr>
        <w:t> </w:t>
      </w:r>
      <w:r>
        <w:rPr>
          <w:spacing w:val="-4"/>
        </w:rPr>
        <w:t>资产负债表中的资产和负债项目，采用资产负债表日的即期汇率折算；所有者</w:t>
      </w:r>
      <w:r>
        <w:rPr/>
        <w:t> </w:t>
      </w:r>
      <w:r>
        <w:rPr>
          <w:spacing w:val="-4"/>
        </w:rPr>
        <w:t>权益项目除“未分配利润”项目外，其他项目采用发生时的即期汇率折算。利</w:t>
      </w:r>
      <w:r>
        <w:rPr/>
        <w:t> 润表中的收入和费用项目，采用交易发生日的即期汇率折算。 </w:t>
      </w:r>
      <w:r>
        <w:rPr>
          <w:spacing w:val="-4"/>
        </w:rPr>
        <w:t>处置境外经营时，将与该境外经营相关的外币财务报表折算差额，自所有者权</w:t>
      </w:r>
      <w:r>
        <w:rPr/>
        <w:t> 益项目转入处置当期损益。</w:t>
      </w:r>
    </w:p>
    <w:p>
      <w:pPr>
        <w:spacing w:line="240" w:lineRule="auto" w:before="0"/>
        <w:rPr>
          <w:rFonts w:ascii="宋体" w:hAnsi="宋体" w:cs="宋体" w:eastAsia="宋体" w:hint="default"/>
          <w:sz w:val="20"/>
          <w:szCs w:val="20"/>
        </w:rPr>
      </w:pPr>
    </w:p>
    <w:p>
      <w:pPr>
        <w:tabs>
          <w:tab w:pos="851" w:val="left" w:leader="none"/>
          <w:tab w:pos="1397" w:val="left" w:leader="none"/>
        </w:tabs>
        <w:spacing w:line="340" w:lineRule="auto" w:before="170"/>
        <w:ind w:left="846" w:right="4980" w:hanging="71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十</w:t>
      </w:r>
      <w:r>
        <w:rPr>
          <w:rFonts w:ascii="Times New Roman" w:hAnsi="Times New Roman" w:cs="Times New Roman" w:eastAsia="Times New Roman" w:hint="default"/>
          <w:b/>
          <w:bCs/>
          <w:w w:val="95"/>
          <w:sz w:val="21"/>
          <w:szCs w:val="21"/>
        </w:rPr>
        <w:t>)</w:t>
        <w:tab/>
        <w:tab/>
      </w:r>
      <w:r>
        <w:rPr>
          <w:rFonts w:ascii="宋体" w:hAnsi="宋体" w:cs="宋体" w:eastAsia="宋体" w:hint="default"/>
          <w:b/>
          <w:bCs/>
          <w:spacing w:val="1"/>
          <w:sz w:val="21"/>
          <w:szCs w:val="21"/>
        </w:rPr>
        <w:t>金融工具</w:t>
      </w:r>
      <w:r>
        <w:rPr>
          <w:rFonts w:ascii="宋体" w:hAnsi="宋体" w:cs="宋体" w:eastAsia="宋体" w:hint="default"/>
          <w:b/>
          <w:bCs/>
          <w:spacing w:val="1"/>
          <w:w w:val="99"/>
          <w:sz w:val="21"/>
          <w:szCs w:val="21"/>
        </w:rPr>
        <w:t> </w:t>
      </w:r>
      <w:r>
        <w:rPr>
          <w:rFonts w:ascii="宋体" w:hAnsi="宋体" w:cs="宋体" w:eastAsia="宋体" w:hint="default"/>
          <w:sz w:val="21"/>
          <w:szCs w:val="21"/>
        </w:rPr>
        <w:t>金融工具包括金融资产、金融负债和权益工具。 </w:t>
      </w: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金融工具的分类</w:t>
      </w:r>
      <w:r>
        <w:rPr>
          <w:rFonts w:ascii="宋体" w:hAnsi="宋体" w:cs="宋体" w:eastAsia="宋体" w:hint="default"/>
          <w:sz w:val="21"/>
          <w:szCs w:val="21"/>
        </w:rPr>
      </w:r>
    </w:p>
    <w:p>
      <w:pPr>
        <w:pStyle w:val="BodyText"/>
        <w:spacing w:line="350" w:lineRule="auto" w:before="11"/>
        <w:ind w:right="1682"/>
        <w:jc w:val="left"/>
      </w:pPr>
      <w:r>
        <w:rPr>
          <w:spacing w:val="-4"/>
        </w:rPr>
        <w:t>金融资产和金融负债于初始确认时分类为：以公允价值计量且其变动计入当期</w:t>
      </w:r>
      <w:r>
        <w:rPr>
          <w:spacing w:val="-73"/>
        </w:rPr>
        <w:t> </w:t>
      </w:r>
      <w:r>
        <w:rPr>
          <w:spacing w:val="-73"/>
        </w:rPr>
      </w:r>
      <w:r>
        <w:rPr>
          <w:spacing w:val="-4"/>
        </w:rPr>
        <w:t>损益的金融资产或金融负债，包括交易性金融资产或金融负债和直接指定为以</w:t>
      </w:r>
      <w:r>
        <w:rPr>
          <w:spacing w:val="-73"/>
        </w:rPr>
        <w:t> </w:t>
      </w:r>
      <w:r>
        <w:rPr>
          <w:spacing w:val="-73"/>
        </w:rPr>
      </w:r>
      <w:r>
        <w:rPr/>
        <w:t>公允价值计量且其变动计入当期损益的金融资产或金融负债；持有至到期投 资；应收款项；可供出售金融资产；其他金融负债等。</w:t>
      </w:r>
    </w:p>
    <w:p>
      <w:pPr>
        <w:spacing w:line="240" w:lineRule="auto" w:before="0"/>
        <w:rPr>
          <w:rFonts w:ascii="宋体" w:hAnsi="宋体" w:cs="宋体" w:eastAsia="宋体" w:hint="default"/>
          <w:sz w:val="20"/>
          <w:szCs w:val="20"/>
        </w:rPr>
      </w:pPr>
    </w:p>
    <w:p>
      <w:pPr>
        <w:pStyle w:val="Heading5"/>
        <w:tabs>
          <w:tab w:pos="1397" w:val="left" w:leader="none"/>
        </w:tabs>
        <w:spacing w:line="240" w:lineRule="auto" w:before="167"/>
        <w:ind w:left="846" w:right="3681"/>
        <w:jc w:val="left"/>
        <w:rPr>
          <w:b w:val="0"/>
          <w:bCs w:val="0"/>
        </w:rPr>
      </w:pPr>
      <w:r>
        <w:rPr>
          <w:rFonts w:ascii="Times New Roman" w:hAnsi="Times New Roman" w:cs="Times New Roman" w:eastAsia="Times New Roman" w:hint="default"/>
          <w:w w:val="95"/>
        </w:rPr>
        <w:t>2</w:t>
      </w:r>
      <w:r>
        <w:rPr>
          <w:w w:val="95"/>
        </w:rPr>
        <w:t>、</w:t>
        <w:tab/>
      </w:r>
      <w:r>
        <w:rPr/>
        <w:t>金融工具的确认依据和计量方法</w:t>
      </w:r>
      <w:r>
        <w:rPr>
          <w:b w:val="0"/>
          <w:bCs w:val="0"/>
        </w:rPr>
      </w:r>
    </w:p>
    <w:p>
      <w:pPr>
        <w:pStyle w:val="BodyText"/>
        <w:spacing w:line="345" w:lineRule="auto"/>
        <w:ind w:right="1682" w:hanging="1"/>
        <w:jc w:val="left"/>
      </w:pPr>
      <w:r>
        <w:rPr/>
        <w:t>（</w:t>
      </w:r>
      <w:r>
        <w:rPr>
          <w:rFonts w:ascii="Times New Roman" w:hAnsi="Times New Roman" w:cs="Times New Roman" w:eastAsia="Times New Roman" w:hint="default"/>
        </w:rPr>
        <w:t>1</w:t>
      </w:r>
      <w:r>
        <w:rPr/>
        <w:t>）以公允价值计量且其变动计入当期损益的金融资产（金融负债） </w:t>
      </w:r>
      <w:r>
        <w:rPr>
          <w:spacing w:val="-4"/>
        </w:rPr>
        <w:t>取得时以公允价值（扣除已宣告但尚未发放的现金股利或已到付息期但尚未领</w:t>
      </w:r>
      <w:r>
        <w:rPr>
          <w:spacing w:val="-74"/>
        </w:rPr>
        <w:t> </w:t>
      </w:r>
      <w:r>
        <w:rPr>
          <w:spacing w:val="-74"/>
        </w:rPr>
      </w:r>
      <w:r>
        <w:rPr/>
        <w:t>取的债券利息）作为初始确认金额，相关的交易费用计入当期损益。 </w:t>
      </w:r>
      <w:r>
        <w:rPr>
          <w:spacing w:val="-4"/>
        </w:rPr>
        <w:t>持有期间将取得的利息或现金股利确认为投资收益，期末将公允价值变动计入</w:t>
      </w:r>
      <w:r>
        <w:rPr>
          <w:spacing w:val="-74"/>
        </w:rPr>
        <w:t> </w:t>
      </w:r>
      <w:r>
        <w:rPr>
          <w:spacing w:val="-74"/>
        </w:rPr>
      </w:r>
      <w:r>
        <w:rPr/>
        <w:t>当期损益。 </w:t>
      </w:r>
      <w:r>
        <w:rPr>
          <w:spacing w:val="-4"/>
        </w:rPr>
        <w:t>处置时，其公允价值与初始入账金额之间的差额确认为投资收益，同时调整公</w:t>
      </w:r>
      <w:r>
        <w:rPr>
          <w:spacing w:val="-74"/>
        </w:rPr>
        <w:t> </w:t>
      </w:r>
      <w:r>
        <w:rPr>
          <w:spacing w:val="-74"/>
        </w:rPr>
      </w:r>
      <w:r>
        <w:rPr/>
        <w:t>允价值变动损益。</w:t>
      </w:r>
    </w:p>
    <w:p>
      <w:pPr>
        <w:pStyle w:val="BodyText"/>
        <w:spacing w:line="345" w:lineRule="auto" w:before="33"/>
        <w:ind w:right="1682" w:hanging="1"/>
        <w:jc w:val="left"/>
      </w:pPr>
      <w:r>
        <w:rPr/>
        <w:t>（</w:t>
      </w:r>
      <w:r>
        <w:rPr>
          <w:rFonts w:ascii="Times New Roman" w:hAnsi="Times New Roman" w:cs="Times New Roman" w:eastAsia="Times New Roman" w:hint="default"/>
        </w:rPr>
        <w:t>2</w:t>
      </w:r>
      <w:r>
        <w:rPr/>
        <w:t>）持有至到期投资 </w:t>
      </w:r>
      <w:r>
        <w:rPr>
          <w:spacing w:val="-4"/>
        </w:rPr>
        <w:t>取得时按公允价值（扣除已到付息期但尚未领取的债券利息）和相关交易费用</w:t>
      </w:r>
      <w:r>
        <w:rPr>
          <w:spacing w:val="-74"/>
        </w:rPr>
        <w:t> </w:t>
      </w:r>
      <w:r>
        <w:rPr>
          <w:spacing w:val="-74"/>
        </w:rPr>
      </w:r>
      <w:r>
        <w:rPr/>
        <w:t>之和作为初始确认金额。 </w:t>
      </w:r>
      <w:r>
        <w:rPr>
          <w:spacing w:val="-4"/>
        </w:rPr>
        <w:t>持有期间按照摊余成本和实际利率计算确认利息收入，计入投资收益。实际利</w:t>
      </w:r>
      <w:r>
        <w:rPr>
          <w:spacing w:val="-74"/>
        </w:rPr>
        <w:t> </w:t>
      </w:r>
      <w:r>
        <w:rPr>
          <w:spacing w:val="-74"/>
        </w:rPr>
      </w:r>
      <w:r>
        <w:rPr/>
        <w:t>率在取得时确定，在该预期存续期间或适用的更短期间内保持不变。 处置时，将所取得价款与该投资账面价值之间的差额计入投资收益。</w:t>
      </w:r>
    </w:p>
    <w:p>
      <w:pPr>
        <w:pStyle w:val="BodyText"/>
        <w:spacing w:line="338" w:lineRule="auto" w:before="33"/>
        <w:ind w:right="1671" w:hanging="1"/>
        <w:jc w:val="left"/>
      </w:pPr>
      <w:r>
        <w:rPr/>
        <w:t>（</w:t>
      </w:r>
      <w:r>
        <w:rPr>
          <w:rFonts w:ascii="Times New Roman" w:hAnsi="Times New Roman" w:cs="Times New Roman" w:eastAsia="Times New Roman" w:hint="default"/>
        </w:rPr>
        <w:t>3</w:t>
      </w:r>
      <w:r>
        <w:rPr/>
        <w:t>）应收款项 </w:t>
      </w:r>
      <w:r>
        <w:rPr>
          <w:spacing w:val="-4"/>
        </w:rPr>
        <w:t>公司对外销售商品或提供劳务形成的应收债权，以及公司持有的其他企业的不</w:t>
      </w:r>
      <w:r>
        <w:rPr>
          <w:spacing w:val="-74"/>
        </w:rPr>
        <w:t> </w:t>
      </w:r>
      <w:r>
        <w:rPr>
          <w:spacing w:val="-74"/>
        </w:rPr>
      </w:r>
      <w:r>
        <w:rPr/>
        <w:t>包括在活跃市场上有报价的债务工具的债权，包括应收账款、其他应收款等，</w:t>
      </w:r>
    </w:p>
    <w:p>
      <w:pPr>
        <w:spacing w:after="0" w:line="338" w:lineRule="auto"/>
        <w:jc w:val="left"/>
        <w:sectPr>
          <w:pgSz w:w="11910" w:h="16840"/>
          <w:pgMar w:header="1302" w:footer="1001" w:top="1520" w:bottom="1200" w:left="1660" w:right="0"/>
        </w:sectPr>
      </w:pPr>
    </w:p>
    <w:p>
      <w:pPr>
        <w:spacing w:line="240" w:lineRule="auto" w:before="8"/>
        <w:rPr>
          <w:rFonts w:ascii="宋体" w:hAnsi="宋体" w:cs="宋体" w:eastAsia="宋体" w:hint="default"/>
          <w:sz w:val="13"/>
          <w:szCs w:val="13"/>
        </w:rPr>
      </w:pPr>
    </w:p>
    <w:p>
      <w:pPr>
        <w:pStyle w:val="BodyText"/>
        <w:spacing w:line="350" w:lineRule="auto" w:before="35"/>
        <w:ind w:right="1682"/>
        <w:jc w:val="left"/>
      </w:pPr>
      <w:r>
        <w:rPr>
          <w:spacing w:val="-4"/>
        </w:rPr>
        <w:t>以向购货方应收的合同或协议价款作为初始确认金额；具有融资性质的，按其</w:t>
      </w:r>
      <w:r>
        <w:rPr>
          <w:spacing w:val="-73"/>
        </w:rPr>
        <w:t> </w:t>
      </w:r>
      <w:r>
        <w:rPr>
          <w:spacing w:val="-73"/>
        </w:rPr>
      </w:r>
      <w:r>
        <w:rPr/>
        <w:t>现值进行初始确认。 收回或处置时，将取得的价款与该应收款项账面价值之间的差额计入当期损 益。</w:t>
      </w:r>
    </w:p>
    <w:p>
      <w:pPr>
        <w:pStyle w:val="BodyText"/>
        <w:spacing w:line="328" w:lineRule="auto" w:before="29"/>
        <w:ind w:right="1682" w:hanging="1"/>
        <w:jc w:val="left"/>
      </w:pPr>
      <w:r>
        <w:rPr/>
        <w:t>（</w:t>
      </w:r>
      <w:r>
        <w:rPr>
          <w:rFonts w:ascii="Times New Roman" w:hAnsi="Times New Roman" w:cs="Times New Roman" w:eastAsia="Times New Roman" w:hint="default"/>
        </w:rPr>
        <w:t>4</w:t>
      </w:r>
      <w:r>
        <w:rPr/>
        <w:t>）可供出售金融资产 </w:t>
      </w:r>
      <w:r>
        <w:rPr>
          <w:spacing w:val="-4"/>
        </w:rPr>
        <w:t>取得时按公允价值（扣除已宣告但尚未发放的现金股利或已到付息期但尚未领</w:t>
      </w:r>
      <w:r>
        <w:rPr>
          <w:spacing w:val="-74"/>
        </w:rPr>
        <w:t> </w:t>
      </w:r>
      <w:r>
        <w:rPr>
          <w:spacing w:val="-74"/>
        </w:rPr>
      </w:r>
      <w:r>
        <w:rPr/>
        <w:t>取的债券利息）和相关交易费用之和作为初始确认金额。 </w:t>
      </w:r>
      <w:r>
        <w:rPr>
          <w:spacing w:val="-4"/>
        </w:rPr>
        <w:t>持有期间将取得的利息或现金股利确认为投资收益。期末以公允价值计量且将</w:t>
      </w:r>
      <w:r>
        <w:rPr>
          <w:spacing w:val="-74"/>
        </w:rPr>
        <w:t> </w:t>
      </w:r>
      <w:r>
        <w:rPr>
          <w:spacing w:val="-74"/>
        </w:rPr>
      </w:r>
      <w:r>
        <w:rPr>
          <w:spacing w:val="-4"/>
        </w:rPr>
        <w:t>公允价值变动计入其他综合收益。但是，在活跃市场中没有报价且其公允价值</w:t>
      </w:r>
      <w:r>
        <w:rPr>
          <w:spacing w:val="-74"/>
        </w:rPr>
        <w:t> </w:t>
      </w:r>
      <w:r>
        <w:rPr>
          <w:spacing w:val="-74"/>
        </w:rPr>
      </w:r>
      <w:r>
        <w:rPr>
          <w:spacing w:val="-4"/>
        </w:rPr>
        <w:t>不能可靠计量的权益工具投资，以及与该权益工具挂钩并须通过交付该权益工</w:t>
      </w:r>
      <w:r>
        <w:rPr>
          <w:spacing w:val="-74"/>
        </w:rPr>
        <w:t> </w:t>
      </w:r>
      <w:r>
        <w:rPr>
          <w:spacing w:val="-74"/>
        </w:rPr>
      </w:r>
      <w:r>
        <w:rPr/>
        <w:t>具结算的衍生金融资产，按照成本计量。 </w:t>
      </w:r>
      <w:r>
        <w:rPr>
          <w:spacing w:val="-4"/>
        </w:rPr>
        <w:t>处置时，将取得的价款与该金融资产账面价值之间的差额，计入投资损益；同</w:t>
      </w:r>
      <w:r>
        <w:rPr>
          <w:spacing w:val="-75"/>
        </w:rPr>
        <w:t> </w:t>
      </w:r>
      <w:r>
        <w:rPr>
          <w:spacing w:val="-75"/>
        </w:rPr>
      </w:r>
      <w:r>
        <w:rPr>
          <w:spacing w:val="-4"/>
        </w:rPr>
        <w:t>时，将原直接计入其他综合收益的公允价值变动累计额对应处置部分的金额转</w:t>
      </w:r>
      <w:r>
        <w:rPr>
          <w:spacing w:val="-74"/>
        </w:rPr>
        <w:t> </w:t>
      </w:r>
      <w:r>
        <w:rPr>
          <w:spacing w:val="-74"/>
        </w:rPr>
      </w:r>
      <w:r>
        <w:rPr/>
        <w:t>出，计入当期损益。</w:t>
      </w:r>
    </w:p>
    <w:p>
      <w:pPr>
        <w:pStyle w:val="BodyText"/>
        <w:spacing w:line="321" w:lineRule="auto" w:before="28"/>
        <w:ind w:right="1682" w:hanging="1"/>
        <w:jc w:val="left"/>
      </w:pPr>
      <w:r>
        <w:rPr/>
        <w:t>（</w:t>
      </w:r>
      <w:r>
        <w:rPr>
          <w:rFonts w:ascii="Times New Roman" w:hAnsi="Times New Roman" w:cs="Times New Roman" w:eastAsia="Times New Roman" w:hint="default"/>
        </w:rPr>
        <w:t>5</w:t>
      </w:r>
      <w:r>
        <w:rPr/>
        <w:t>）其他金融负债 </w:t>
      </w:r>
      <w:r>
        <w:rPr>
          <w:spacing w:val="-4"/>
        </w:rPr>
        <w:t>按其公允价值和相关交易费用之和作为初始确认金额。采用摊余成本进行后续</w:t>
      </w:r>
      <w:r>
        <w:rPr>
          <w:spacing w:val="-74"/>
        </w:rPr>
        <w:t> </w:t>
      </w:r>
      <w:r>
        <w:rPr>
          <w:spacing w:val="-74"/>
        </w:rPr>
      </w:r>
      <w:r>
        <w:rPr/>
        <w:t>计量。</w:t>
      </w:r>
    </w:p>
    <w:p>
      <w:pPr>
        <w:spacing w:line="240" w:lineRule="auto" w:before="0"/>
        <w:rPr>
          <w:rFonts w:ascii="宋体" w:hAnsi="宋体" w:cs="宋体" w:eastAsia="宋体" w:hint="default"/>
          <w:sz w:val="20"/>
          <w:szCs w:val="20"/>
        </w:rPr>
      </w:pPr>
    </w:p>
    <w:p>
      <w:pPr>
        <w:pStyle w:val="BodyText"/>
        <w:tabs>
          <w:tab w:pos="1397" w:val="left" w:leader="none"/>
        </w:tabs>
        <w:spacing w:line="328" w:lineRule="auto" w:before="153"/>
        <w:ind w:right="1792" w:hanging="567"/>
        <w:jc w:val="left"/>
      </w:pPr>
      <w:r>
        <w:rPr>
          <w:rFonts w:ascii="Times New Roman" w:hAnsi="Times New Roman" w:cs="Times New Roman" w:eastAsia="Times New Roman" w:hint="default"/>
          <w:b/>
          <w:bCs/>
          <w:w w:val="95"/>
        </w:rPr>
        <w:t>3</w:t>
      </w:r>
      <w:r>
        <w:rPr>
          <w:rFonts w:ascii="宋体" w:hAnsi="宋体" w:cs="宋体" w:eastAsia="宋体" w:hint="default"/>
          <w:b/>
          <w:bCs/>
          <w:w w:val="95"/>
        </w:rPr>
        <w:t>、</w:t>
        <w:tab/>
      </w:r>
      <w:r>
        <w:rPr>
          <w:rFonts w:ascii="宋体" w:hAnsi="宋体" w:cs="宋体" w:eastAsia="宋体" w:hint="default"/>
          <w:b/>
          <w:bCs/>
        </w:rPr>
        <w:t>金融资产转移的确认依据和计量方法</w:t>
      </w:r>
      <w:r>
        <w:rPr>
          <w:rFonts w:ascii="宋体" w:hAnsi="宋体" w:cs="宋体" w:eastAsia="宋体" w:hint="default"/>
          <w:b/>
          <w:bCs/>
          <w:w w:val="99"/>
        </w:rPr>
        <w:t> </w:t>
      </w:r>
      <w:r>
        <w:rPr>
          <w:spacing w:val="-4"/>
        </w:rPr>
        <w:t>公司发生金融资产转移时，如已将金融资产所有权上几乎所有的风险和报酬转</w:t>
      </w:r>
      <w:r>
        <w:rPr/>
        <w:t> </w:t>
      </w:r>
      <w:r>
        <w:rPr>
          <w:spacing w:val="-4"/>
        </w:rPr>
        <w:t>移给转入方，则终止确认该金融资产；如保留了金融资产所有权上几乎所有的</w:t>
      </w:r>
      <w:r>
        <w:rPr/>
        <w:t> 风险和报酬的，则不终止确认该金融资产。 </w:t>
      </w:r>
      <w:r>
        <w:rPr>
          <w:spacing w:val="-4"/>
        </w:rPr>
        <w:t>在判断金融资产转移是否满足上述金融资产终止确认条件时，采用实质重于形</w:t>
      </w:r>
      <w:r>
        <w:rPr/>
        <w:t> </w:t>
      </w:r>
      <w:r>
        <w:rPr>
          <w:spacing w:val="-4"/>
        </w:rPr>
        <w:t>式的原则。公司将金融资产转移区分为金融资产整体转移和部分转移。金融资</w:t>
      </w:r>
      <w:r>
        <w:rPr/>
        <w:t> 产整体转移满足终止确认条件的，将下列两项金额的差额计入当期损益：</w:t>
      </w:r>
    </w:p>
    <w:p>
      <w:pPr>
        <w:pStyle w:val="BodyText"/>
        <w:spacing w:line="240" w:lineRule="auto" w:before="26"/>
        <w:ind w:right="3681"/>
        <w:jc w:val="left"/>
      </w:pPr>
      <w:r>
        <w:rPr/>
        <w:t>（</w:t>
      </w:r>
      <w:r>
        <w:rPr>
          <w:rFonts w:ascii="Times New Roman" w:hAnsi="Times New Roman" w:cs="Times New Roman" w:eastAsia="Times New Roman" w:hint="default"/>
        </w:rPr>
        <w:t>1</w:t>
      </w:r>
      <w:r>
        <w:rPr/>
        <w:t>）所转移金融资产的账面价值；</w:t>
      </w:r>
    </w:p>
    <w:p>
      <w:pPr>
        <w:pStyle w:val="BodyText"/>
        <w:spacing w:line="240" w:lineRule="auto" w:before="89"/>
        <w:ind w:right="1682"/>
        <w:jc w:val="left"/>
      </w:pPr>
      <w:r>
        <w:rPr/>
        <w:t>（</w:t>
      </w:r>
      <w:r>
        <w:rPr>
          <w:rFonts w:ascii="Times New Roman" w:hAnsi="Times New Roman" w:cs="Times New Roman" w:eastAsia="Times New Roman" w:hint="default"/>
        </w:rPr>
        <w:t>2</w:t>
      </w:r>
      <w:r>
        <w:rPr/>
        <w:t>）因转移而收到的对价，与原直接计入所有者权益的公允价值变动累计额</w:t>
      </w:r>
    </w:p>
    <w:p>
      <w:pPr>
        <w:pStyle w:val="BodyText"/>
        <w:spacing w:line="240" w:lineRule="auto" w:before="89"/>
        <w:ind w:right="1793"/>
        <w:jc w:val="left"/>
      </w:pPr>
      <w:r>
        <w:rPr/>
        <w:t>（涉及转移的金融资产为可供出售金融资产的情形）之和。</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7"/>
          <w:szCs w:val="17"/>
        </w:rPr>
      </w:pPr>
    </w:p>
    <w:p>
      <w:pPr>
        <w:pStyle w:val="BodyText"/>
        <w:spacing w:line="331" w:lineRule="auto" w:before="0"/>
        <w:ind w:right="1689"/>
        <w:jc w:val="both"/>
      </w:pPr>
      <w:r>
        <w:rPr/>
        <w:t>金融资产部分转移满足终止确认条件的，将所转移金融资产整体的账面价值， 在终止确认部分和未终止确认部分之间，按照各自的相对公允价值进行分摊， 并将下列两项金额的差额计入当期损益：</w:t>
      </w:r>
    </w:p>
    <w:p>
      <w:pPr>
        <w:pStyle w:val="BodyText"/>
        <w:spacing w:line="240" w:lineRule="auto" w:before="25"/>
        <w:ind w:right="3681"/>
        <w:jc w:val="left"/>
      </w:pPr>
      <w:r>
        <w:rPr/>
        <w:t>（</w:t>
      </w:r>
      <w:r>
        <w:rPr>
          <w:rFonts w:ascii="Times New Roman" w:hAnsi="Times New Roman" w:cs="Times New Roman" w:eastAsia="Times New Roman" w:hint="default"/>
        </w:rPr>
        <w:t>1</w:t>
      </w:r>
      <w:r>
        <w:rPr/>
        <w:t>）终止确认部分的账面价值；</w:t>
      </w:r>
    </w:p>
    <w:p>
      <w:pPr>
        <w:pStyle w:val="BodyText"/>
        <w:spacing w:line="312" w:lineRule="auto" w:before="89"/>
        <w:ind w:right="1776"/>
        <w:jc w:val="left"/>
      </w:pPr>
      <w:r>
        <w:rPr/>
        <w:t>（</w:t>
      </w:r>
      <w:r>
        <w:rPr>
          <w:rFonts w:ascii="Times New Roman" w:hAnsi="Times New Roman" w:cs="Times New Roman" w:eastAsia="Times New Roman" w:hint="default"/>
        </w:rPr>
        <w:t>2</w:t>
      </w:r>
      <w:r>
        <w:rPr/>
        <w:t>）终止确认部分的对价，与原直接计入所有者权益的公允价值变动累计额 中对应终止确认部分的金额（涉及转移的金融资产为可供出售金融资产的情</w:t>
      </w:r>
    </w:p>
    <w:p>
      <w:pPr>
        <w:spacing w:after="0" w:line="312" w:lineRule="auto"/>
        <w:jc w:val="left"/>
        <w:sectPr>
          <w:pgSz w:w="11910" w:h="16840"/>
          <w:pgMar w:header="1302" w:footer="1001" w:top="1520" w:bottom="1200" w:left="1660" w:right="0"/>
        </w:sectPr>
      </w:pPr>
    </w:p>
    <w:p>
      <w:pPr>
        <w:spacing w:line="240" w:lineRule="auto" w:before="0"/>
        <w:rPr>
          <w:rFonts w:ascii="宋体" w:hAnsi="宋体" w:cs="宋体" w:eastAsia="宋体" w:hint="default"/>
          <w:sz w:val="12"/>
          <w:szCs w:val="12"/>
        </w:rPr>
      </w:pPr>
    </w:p>
    <w:p>
      <w:pPr>
        <w:pStyle w:val="BodyText"/>
        <w:spacing w:line="331" w:lineRule="auto" w:before="35"/>
        <w:ind w:right="1682"/>
        <w:jc w:val="left"/>
      </w:pPr>
      <w:r>
        <w:rPr/>
        <w:t>形）之和。 </w:t>
      </w:r>
      <w:r>
        <w:rPr>
          <w:spacing w:val="-4"/>
        </w:rPr>
        <w:t>金融资产转移不满足终止确认条件的，继续确认该金融资产，所收到的对价确</w:t>
      </w:r>
      <w:r>
        <w:rPr>
          <w:spacing w:val="-73"/>
        </w:rPr>
        <w:t> </w:t>
      </w:r>
      <w:r>
        <w:rPr>
          <w:spacing w:val="-73"/>
        </w:rPr>
      </w:r>
      <w:r>
        <w:rPr/>
        <w:t>认为一项金融负债。</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4"/>
          <w:szCs w:val="14"/>
        </w:rPr>
      </w:pPr>
    </w:p>
    <w:p>
      <w:pPr>
        <w:pStyle w:val="BodyText"/>
        <w:tabs>
          <w:tab w:pos="1397" w:val="left" w:leader="none"/>
        </w:tabs>
        <w:spacing w:line="345" w:lineRule="auto" w:before="0"/>
        <w:ind w:right="1689" w:hanging="567"/>
        <w:jc w:val="left"/>
      </w:pPr>
      <w:r>
        <w:rPr>
          <w:rFonts w:ascii="Times New Roman" w:hAnsi="Times New Roman" w:cs="Times New Roman" w:eastAsia="Times New Roman" w:hint="default"/>
          <w:b/>
          <w:bCs/>
          <w:w w:val="95"/>
        </w:rPr>
        <w:t>4</w:t>
      </w:r>
      <w:r>
        <w:rPr>
          <w:rFonts w:ascii="宋体" w:hAnsi="宋体" w:cs="宋体" w:eastAsia="宋体" w:hint="default"/>
          <w:b/>
          <w:bCs/>
          <w:w w:val="95"/>
        </w:rPr>
        <w:t>、</w:t>
        <w:tab/>
      </w:r>
      <w:r>
        <w:rPr>
          <w:rFonts w:ascii="宋体" w:hAnsi="宋体" w:cs="宋体" w:eastAsia="宋体" w:hint="default"/>
          <w:b/>
          <w:bCs/>
        </w:rPr>
        <w:t>金融负债终止确认条件</w:t>
      </w:r>
      <w:r>
        <w:rPr>
          <w:rFonts w:ascii="宋体" w:hAnsi="宋体" w:cs="宋体" w:eastAsia="宋体" w:hint="default"/>
          <w:b/>
          <w:bCs/>
          <w:w w:val="99"/>
        </w:rPr>
        <w:t> </w:t>
      </w:r>
      <w:r>
        <w:rPr>
          <w:spacing w:val="-4"/>
        </w:rPr>
        <w:t>金融负债的现时义务全部或部分已经解除的，则终止确认该金融负债或其一部</w:t>
      </w:r>
      <w:r>
        <w:rPr/>
        <w:t> 分；本公司若与债权人签定协议，以承担新金融负债方式替换现存金融负债， </w:t>
      </w:r>
      <w:r>
        <w:rPr>
          <w:spacing w:val="-4"/>
        </w:rPr>
        <w:t>且新金融负债与现存金融负债的合同条款实质上不同的，则终止确认现存金融</w:t>
      </w:r>
      <w:r>
        <w:rPr/>
        <w:t> 负债，并同时确认新金融负债。 </w:t>
      </w:r>
      <w:r>
        <w:rPr>
          <w:spacing w:val="-4"/>
        </w:rPr>
        <w:t>对现存金融负债全部或部分合同条款作出实质性修改的，则终止确认现存金融</w:t>
      </w:r>
      <w:r>
        <w:rPr/>
        <w:t> 负债或其一部分，同时将修改条款后的金融负债确认为一项新金融负债。 金融负债全部或部分终止确认时，终止确认的金融负债账面价值与支付对价</w:t>
      </w:r>
    </w:p>
    <w:p>
      <w:pPr>
        <w:pStyle w:val="BodyText"/>
        <w:spacing w:line="350" w:lineRule="auto" w:before="32"/>
        <w:ind w:right="1671"/>
        <w:jc w:val="left"/>
      </w:pPr>
      <w:r>
        <w:rPr/>
        <w:t>（包括转出的非现金资产或承担的新金融负债）之间的差额，计入当期损益。 </w:t>
      </w:r>
      <w:r>
        <w:rPr>
          <w:spacing w:val="-4"/>
        </w:rPr>
        <w:t>本公司若回购部分金融负债的，在回购日按照继续确认部分与终止确认部分的</w:t>
      </w:r>
      <w:r>
        <w:rPr>
          <w:spacing w:val="-73"/>
        </w:rPr>
        <w:t> </w:t>
      </w:r>
      <w:r>
        <w:rPr>
          <w:spacing w:val="-73"/>
        </w:rPr>
      </w:r>
      <w:r>
        <w:rPr>
          <w:spacing w:val="-4"/>
        </w:rPr>
        <w:t>相对公允价值，将该金融负债整体的账面价值进行分配。分配给终止确认部分</w:t>
      </w:r>
      <w:r>
        <w:rPr>
          <w:spacing w:val="-73"/>
        </w:rPr>
        <w:t> </w:t>
      </w:r>
      <w:r>
        <w:rPr>
          <w:spacing w:val="-73"/>
        </w:rPr>
      </w:r>
      <w:r>
        <w:rPr>
          <w:spacing w:val="-4"/>
        </w:rPr>
        <w:t>的账面价值与支付的对价（包括转出的非现金资产或承担的新金融负债）之间</w:t>
      </w:r>
      <w:r>
        <w:rPr>
          <w:spacing w:val="-73"/>
        </w:rPr>
        <w:t> </w:t>
      </w:r>
      <w:r>
        <w:rPr>
          <w:spacing w:val="-73"/>
        </w:rPr>
      </w:r>
      <w:r>
        <w:rPr/>
        <w:t>的差额，计入当期损益。</w:t>
      </w:r>
    </w:p>
    <w:p>
      <w:pPr>
        <w:spacing w:line="240" w:lineRule="auto" w:before="0"/>
        <w:rPr>
          <w:rFonts w:ascii="宋体" w:hAnsi="宋体" w:cs="宋体" w:eastAsia="宋体" w:hint="default"/>
          <w:sz w:val="20"/>
          <w:szCs w:val="20"/>
        </w:rPr>
      </w:pPr>
    </w:p>
    <w:p>
      <w:pPr>
        <w:pStyle w:val="BodyText"/>
        <w:tabs>
          <w:tab w:pos="1397" w:val="left" w:leader="none"/>
        </w:tabs>
        <w:spacing w:line="345" w:lineRule="auto" w:before="166"/>
        <w:ind w:right="1689" w:hanging="567"/>
        <w:jc w:val="left"/>
      </w:pPr>
      <w:r>
        <w:rPr>
          <w:rFonts w:ascii="Times New Roman" w:hAnsi="Times New Roman" w:cs="Times New Roman" w:eastAsia="Times New Roman" w:hint="default"/>
          <w:b/>
          <w:bCs/>
          <w:w w:val="95"/>
        </w:rPr>
        <w:t>5</w:t>
      </w:r>
      <w:r>
        <w:rPr>
          <w:rFonts w:ascii="宋体" w:hAnsi="宋体" w:cs="宋体" w:eastAsia="宋体" w:hint="default"/>
          <w:b/>
          <w:bCs/>
          <w:w w:val="95"/>
        </w:rPr>
        <w:t>、</w:t>
        <w:tab/>
      </w:r>
      <w:r>
        <w:rPr>
          <w:rFonts w:ascii="宋体" w:hAnsi="宋体" w:cs="宋体" w:eastAsia="宋体" w:hint="default"/>
          <w:b/>
          <w:bCs/>
        </w:rPr>
        <w:t>金融资产和金融负债的公允价值的确定方法</w:t>
      </w:r>
      <w:r>
        <w:rPr>
          <w:rFonts w:ascii="宋体" w:hAnsi="宋体" w:cs="宋体" w:eastAsia="宋体" w:hint="default"/>
          <w:b/>
          <w:bCs/>
          <w:spacing w:val="1"/>
          <w:w w:val="99"/>
        </w:rPr>
        <w:t> </w:t>
      </w:r>
      <w:r>
        <w:rPr>
          <w:spacing w:val="-4"/>
        </w:rPr>
        <w:t>存在活跃市场的金融工具，以活跃市场中的报价确定其公允价值。不存在活跃</w:t>
      </w:r>
      <w:r>
        <w:rPr/>
        <w:t> </w:t>
      </w:r>
      <w:r>
        <w:rPr>
          <w:spacing w:val="-4"/>
        </w:rPr>
        <w:t>市场的金融工具，采用估值技术确定其公允价值。在估值时，本公司采用在当</w:t>
      </w:r>
      <w:r>
        <w:rPr/>
        <w:t> </w:t>
      </w:r>
      <w:r>
        <w:rPr>
          <w:spacing w:val="-4"/>
        </w:rPr>
        <w:t>前情况下适用并且有足够可利用数据和其他信息支持的估值技术，选择与市场</w:t>
      </w:r>
      <w:r>
        <w:rPr/>
        <w:t> 参与者在相关资产或负债的交易中所考虑的资产或负债特征相一致的输入值， </w:t>
      </w:r>
      <w:r>
        <w:rPr>
          <w:spacing w:val="-4"/>
        </w:rPr>
        <w:t>并优先使用相关可观察输入值。只有在相关可观察输入值无法取得或取得不切</w:t>
      </w:r>
      <w:r>
        <w:rPr/>
        <w:t> 实可行的情况下，才使用不可观察输入值。</w:t>
      </w:r>
    </w:p>
    <w:p>
      <w:pPr>
        <w:spacing w:line="240" w:lineRule="auto" w:before="0"/>
        <w:rPr>
          <w:rFonts w:ascii="宋体" w:hAnsi="宋体" w:cs="宋体" w:eastAsia="宋体" w:hint="default"/>
          <w:sz w:val="20"/>
          <w:szCs w:val="20"/>
        </w:rPr>
      </w:pPr>
    </w:p>
    <w:p>
      <w:pPr>
        <w:tabs>
          <w:tab w:pos="1397" w:val="left" w:leader="none"/>
        </w:tabs>
        <w:spacing w:line="343" w:lineRule="auto" w:before="171"/>
        <w:ind w:left="1413" w:right="1792" w:hanging="567"/>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6</w:t>
      </w:r>
      <w:r>
        <w:rPr>
          <w:rFonts w:ascii="宋体" w:hAnsi="宋体" w:cs="宋体" w:eastAsia="宋体" w:hint="default"/>
          <w:b/>
          <w:bCs/>
          <w:w w:val="95"/>
          <w:sz w:val="21"/>
          <w:szCs w:val="21"/>
        </w:rPr>
        <w:t>、</w:t>
        <w:tab/>
      </w:r>
      <w:r>
        <w:rPr>
          <w:rFonts w:ascii="宋体" w:hAnsi="宋体" w:cs="宋体" w:eastAsia="宋体" w:hint="default"/>
          <w:b/>
          <w:bCs/>
          <w:sz w:val="21"/>
          <w:szCs w:val="21"/>
        </w:rPr>
        <w:t>金融资产（不含应收款项）减值的测试方法及会计处理方法</w:t>
      </w:r>
      <w:r>
        <w:rPr>
          <w:rFonts w:ascii="宋体" w:hAnsi="宋体" w:cs="宋体" w:eastAsia="宋体" w:hint="default"/>
          <w:b/>
          <w:bCs/>
          <w:w w:val="99"/>
          <w:sz w:val="21"/>
          <w:szCs w:val="21"/>
        </w:rPr>
        <w:t> </w:t>
      </w:r>
      <w:r>
        <w:rPr>
          <w:rFonts w:ascii="宋体" w:hAnsi="宋体" w:cs="宋体" w:eastAsia="宋体" w:hint="default"/>
          <w:spacing w:val="-4"/>
          <w:sz w:val="21"/>
          <w:szCs w:val="21"/>
        </w:rPr>
        <w:t>除以公允价值计量且其变动计入当期损益的金融资产外，本公司于资产负债表</w:t>
      </w:r>
      <w:r>
        <w:rPr>
          <w:rFonts w:ascii="宋体" w:hAnsi="宋体" w:cs="宋体" w:eastAsia="宋体" w:hint="default"/>
          <w:sz w:val="21"/>
          <w:szCs w:val="21"/>
        </w:rPr>
        <w:t> </w:t>
      </w:r>
      <w:r>
        <w:rPr>
          <w:rFonts w:ascii="宋体" w:hAnsi="宋体" w:cs="宋体" w:eastAsia="宋体" w:hint="default"/>
          <w:spacing w:val="-4"/>
          <w:sz w:val="21"/>
          <w:szCs w:val="21"/>
        </w:rPr>
        <w:t>日对金融资产的账面价值进行检查，如果有客观证据表明某项金融资产发生减</w:t>
      </w:r>
      <w:r>
        <w:rPr>
          <w:rFonts w:ascii="宋体" w:hAnsi="宋体" w:cs="宋体" w:eastAsia="宋体" w:hint="default"/>
          <w:sz w:val="21"/>
          <w:szCs w:val="21"/>
        </w:rPr>
        <w:t> 值的，计提减值准备。</w:t>
      </w:r>
    </w:p>
    <w:p>
      <w:pPr>
        <w:pStyle w:val="BodyText"/>
        <w:spacing w:line="343" w:lineRule="auto" w:before="34"/>
        <w:ind w:right="1682" w:hanging="1"/>
        <w:jc w:val="left"/>
      </w:pPr>
      <w:r>
        <w:rPr/>
        <w:t>（</w:t>
      </w:r>
      <w:r>
        <w:rPr>
          <w:rFonts w:ascii="Times New Roman" w:hAnsi="Times New Roman" w:cs="Times New Roman" w:eastAsia="Times New Roman" w:hint="default"/>
        </w:rPr>
        <w:t>1</w:t>
      </w:r>
      <w:r>
        <w:rPr/>
        <w:t>）可供出售金融资产的减值准备： </w:t>
      </w:r>
      <w:r>
        <w:rPr>
          <w:spacing w:val="-4"/>
        </w:rPr>
        <w:t>期末如果可供出售金融资产的公允价值发生严重下降，或在综合考虑各种相关</w:t>
      </w:r>
      <w:r>
        <w:rPr>
          <w:spacing w:val="-74"/>
        </w:rPr>
        <w:t> </w:t>
      </w:r>
      <w:r>
        <w:rPr>
          <w:spacing w:val="-74"/>
        </w:rPr>
      </w:r>
      <w:r>
        <w:rPr>
          <w:spacing w:val="-4"/>
        </w:rPr>
        <w:t>因素后，预期这种下降趋势属于非暂时性的，就认定其已发生减值，将原直接</w:t>
      </w:r>
      <w:r>
        <w:rPr>
          <w:spacing w:val="-75"/>
        </w:rPr>
        <w:t> </w:t>
      </w:r>
      <w:r>
        <w:rPr>
          <w:spacing w:val="-75"/>
        </w:rPr>
      </w:r>
      <w:r>
        <w:rPr/>
        <w:t>计入所有者权益的公允价值下降形成的累计损失一并转出，确认减值损失。</w:t>
      </w:r>
    </w:p>
    <w:p>
      <w:pPr>
        <w:spacing w:after="0" w:line="343" w:lineRule="auto"/>
        <w:jc w:val="left"/>
        <w:sectPr>
          <w:pgSz w:w="11910" w:h="16840"/>
          <w:pgMar w:header="1302" w:footer="1001" w:top="1520" w:bottom="1200" w:left="1660" w:right="0"/>
        </w:sectPr>
      </w:pPr>
    </w:p>
    <w:p>
      <w:pPr>
        <w:spacing w:line="240" w:lineRule="auto" w:before="8"/>
        <w:rPr>
          <w:rFonts w:ascii="宋体" w:hAnsi="宋体" w:cs="宋体" w:eastAsia="宋体" w:hint="default"/>
          <w:sz w:val="13"/>
          <w:szCs w:val="13"/>
        </w:rPr>
      </w:pPr>
    </w:p>
    <w:p>
      <w:pPr>
        <w:pStyle w:val="BodyText"/>
        <w:spacing w:line="350" w:lineRule="auto" w:before="35"/>
        <w:ind w:right="1682"/>
        <w:jc w:val="left"/>
      </w:pPr>
      <w:r>
        <w:rPr>
          <w:spacing w:val="-4"/>
        </w:rPr>
        <w:t>对于已确认减值损失的可供出售债务工具，在随后的会计期间公允价值已上升</w:t>
      </w:r>
      <w:r>
        <w:rPr>
          <w:spacing w:val="-73"/>
        </w:rPr>
        <w:t> </w:t>
      </w:r>
      <w:r>
        <w:rPr>
          <w:spacing w:val="-73"/>
        </w:rPr>
      </w:r>
      <w:r>
        <w:rPr>
          <w:spacing w:val="-4"/>
        </w:rPr>
        <w:t>且客观上与确认原减值损失确认后发生的事项有关的，原确认的减值损失予以</w:t>
      </w:r>
      <w:r>
        <w:rPr>
          <w:spacing w:val="-73"/>
        </w:rPr>
        <w:t> </w:t>
      </w:r>
      <w:r>
        <w:rPr>
          <w:spacing w:val="-73"/>
        </w:rPr>
      </w:r>
      <w:r>
        <w:rPr/>
        <w:t>转回，计入当期损益。 可供出售权益工具投资发生的减值损失，不通过损益转回。</w:t>
      </w:r>
    </w:p>
    <w:p>
      <w:pPr>
        <w:pStyle w:val="BodyText"/>
        <w:spacing w:line="328" w:lineRule="auto" w:before="29"/>
        <w:ind w:right="2301" w:hanging="1"/>
        <w:jc w:val="left"/>
      </w:pPr>
      <w:r>
        <w:rPr/>
        <w:t>（</w:t>
      </w:r>
      <w:r>
        <w:rPr>
          <w:rFonts w:ascii="Times New Roman" w:hAnsi="Times New Roman" w:cs="Times New Roman" w:eastAsia="Times New Roman" w:hint="default"/>
        </w:rPr>
        <w:t>2</w:t>
      </w:r>
      <w:r>
        <w:rPr/>
        <w:t>）持有至到期投资的减值准备： 持有至到期投资减值损失的计量比照应收款项减值损失计量方法处理。</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pStyle w:val="Heading5"/>
        <w:spacing w:line="240" w:lineRule="auto" w:before="0"/>
        <w:ind w:right="3681"/>
        <w:jc w:val="left"/>
        <w:rPr>
          <w:b w:val="0"/>
          <w:bCs w:val="0"/>
        </w:rPr>
      </w:pPr>
      <w:r>
        <w:rPr>
          <w:rFonts w:ascii="Times New Roman" w:hAnsi="Times New Roman" w:cs="Times New Roman" w:eastAsia="Times New Roman" w:hint="default"/>
        </w:rPr>
        <w:t>(</w:t>
      </w:r>
      <w:r>
        <w:rPr/>
        <w:t>十一</w:t>
      </w:r>
      <w:r>
        <w:rPr>
          <w:rFonts w:ascii="Times New Roman" w:hAnsi="Times New Roman" w:cs="Times New Roman" w:eastAsia="Times New Roman" w:hint="default"/>
        </w:rPr>
        <w:t>) </w:t>
      </w:r>
      <w:r>
        <w:rPr>
          <w:rFonts w:ascii="Times New Roman" w:hAnsi="Times New Roman" w:cs="Times New Roman" w:eastAsia="Times New Roman" w:hint="default"/>
          <w:spacing w:val="45"/>
        </w:rPr>
        <w:t> </w:t>
      </w:r>
      <w:r>
        <w:rPr/>
        <w:t>应收款项坏账准备</w:t>
      </w:r>
      <w:r>
        <w:rPr>
          <w:b w:val="0"/>
          <w:bCs w:val="0"/>
        </w:rPr>
      </w:r>
    </w:p>
    <w:p>
      <w:pPr>
        <w:tabs>
          <w:tab w:pos="1397" w:val="left" w:leader="none"/>
        </w:tabs>
        <w:spacing w:line="328" w:lineRule="auto" w:before="109"/>
        <w:ind w:left="1413" w:right="4420" w:hanging="567"/>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单项金额重大并单独计提坏账准备的应收款项：</w:t>
      </w:r>
      <w:r>
        <w:rPr>
          <w:rFonts w:ascii="宋体" w:hAnsi="宋体" w:cs="宋体" w:eastAsia="宋体" w:hint="default"/>
          <w:b/>
          <w:bCs/>
          <w:w w:val="99"/>
          <w:sz w:val="21"/>
          <w:szCs w:val="21"/>
        </w:rPr>
        <w:t> </w:t>
      </w:r>
      <w:r>
        <w:rPr>
          <w:rFonts w:ascii="宋体" w:hAnsi="宋体" w:cs="宋体" w:eastAsia="宋体" w:hint="default"/>
          <w:sz w:val="21"/>
          <w:szCs w:val="21"/>
        </w:rPr>
        <w:t>单项金额重大的判断依据或金额标准：</w:t>
      </w:r>
    </w:p>
    <w:p>
      <w:pPr>
        <w:pStyle w:val="BodyText"/>
        <w:spacing w:line="345" w:lineRule="auto" w:before="48"/>
        <w:ind w:right="1784"/>
        <w:jc w:val="left"/>
      </w:pPr>
      <w:r>
        <w:rPr/>
        <w:t>单项金额超过</w:t>
      </w:r>
      <w:r>
        <w:rPr>
          <w:spacing w:val="-52"/>
        </w:rPr>
        <w:t> </w:t>
      </w:r>
      <w:r>
        <w:rPr>
          <w:rFonts w:ascii="Times New Roman" w:hAnsi="Times New Roman" w:cs="Times New Roman" w:eastAsia="Times New Roman" w:hint="default"/>
          <w:spacing w:val="-1"/>
        </w:rPr>
        <w:t>200</w:t>
      </w:r>
      <w:r>
        <w:rPr>
          <w:rFonts w:ascii="Times New Roman" w:hAnsi="Times New Roman" w:cs="Times New Roman" w:eastAsia="Times New Roman" w:hint="default"/>
          <w:spacing w:val="1"/>
        </w:rPr>
        <w:t> </w:t>
      </w:r>
      <w:r>
        <w:rPr>
          <w:spacing w:val="-5"/>
        </w:rPr>
        <w:t>万元的应收账款视为重大应收款项；单项金额超过</w:t>
      </w:r>
      <w:r>
        <w:rPr>
          <w:spacing w:val="-52"/>
        </w:rPr>
        <w:t> </w:t>
      </w:r>
      <w:r>
        <w:rPr>
          <w:rFonts w:ascii="Times New Roman" w:hAnsi="Times New Roman" w:cs="Times New Roman" w:eastAsia="Times New Roman" w:hint="default"/>
          <w:spacing w:val="-1"/>
        </w:rPr>
        <w:t>100</w:t>
      </w:r>
      <w:r>
        <w:rPr>
          <w:rFonts w:ascii="Times New Roman" w:hAnsi="Times New Roman" w:cs="Times New Roman" w:eastAsia="Times New Roman" w:hint="default"/>
          <w:spacing w:val="1"/>
        </w:rPr>
        <w:t> </w:t>
      </w:r>
      <w:r>
        <w:rPr/>
        <w:t>万元 的其他应收款视为重大应收款项。 单项金额重大并单独计提坏账准备的计提方法： </w:t>
      </w:r>
      <w:r>
        <w:rPr>
          <w:spacing w:val="-4"/>
        </w:rPr>
        <w:t>单独进行减值测试，如有客观证据表明其已发生减值，按预计未来现金流量现</w:t>
      </w:r>
      <w:r>
        <w:rPr>
          <w:spacing w:val="-73"/>
        </w:rPr>
        <w:t> </w:t>
      </w:r>
      <w:r>
        <w:rPr>
          <w:spacing w:val="-73"/>
        </w:rPr>
      </w:r>
      <w:r>
        <w:rPr>
          <w:spacing w:val="-4"/>
        </w:rPr>
        <w:t>值低于其账面价值的差额计提坏账准备，计入当期损益。单独测试未发生减值</w:t>
      </w:r>
      <w:r>
        <w:rPr>
          <w:spacing w:val="-73"/>
        </w:rPr>
        <w:t> </w:t>
      </w:r>
      <w:r>
        <w:rPr>
          <w:spacing w:val="-73"/>
        </w:rPr>
      </w:r>
      <w:r>
        <w:rPr/>
        <w:t>的应收款项，将其归入相应组合计提坏账准备。</w:t>
      </w:r>
    </w:p>
    <w:p>
      <w:pPr>
        <w:spacing w:line="240" w:lineRule="auto" w:before="0"/>
        <w:rPr>
          <w:rFonts w:ascii="宋体" w:hAnsi="宋体" w:cs="宋体" w:eastAsia="宋体" w:hint="default"/>
          <w:sz w:val="20"/>
          <w:szCs w:val="20"/>
        </w:rPr>
      </w:pPr>
    </w:p>
    <w:p>
      <w:pPr>
        <w:pStyle w:val="Heading5"/>
        <w:tabs>
          <w:tab w:pos="1397" w:val="left" w:leader="none"/>
        </w:tabs>
        <w:spacing w:line="240" w:lineRule="auto" w:before="171"/>
        <w:ind w:left="846" w:right="3681"/>
        <w:jc w:val="left"/>
        <w:rPr>
          <w:b w:val="0"/>
          <w:bCs w:val="0"/>
        </w:rPr>
      </w:pPr>
      <w:r>
        <w:rPr>
          <w:rFonts w:ascii="Times New Roman" w:hAnsi="Times New Roman" w:cs="Times New Roman" w:eastAsia="Times New Roman" w:hint="default"/>
          <w:w w:val="95"/>
        </w:rPr>
        <w:t>2</w:t>
      </w:r>
      <w:r>
        <w:rPr>
          <w:w w:val="95"/>
        </w:rPr>
        <w:t>、</w:t>
        <w:tab/>
      </w:r>
      <w:r>
        <w:rPr/>
        <w:t>按信用风险特征组合计提坏账准备应收款项：</w:t>
      </w:r>
      <w:r>
        <w:rPr>
          <w:b w:val="0"/>
          <w:bCs w:val="0"/>
        </w:rPr>
      </w:r>
    </w:p>
    <w:p>
      <w:pPr>
        <w:spacing w:line="30" w:lineRule="exact"/>
        <w:ind w:left="734" w:right="0" w:firstLine="0"/>
        <w:rPr>
          <w:rFonts w:ascii="宋体" w:hAnsi="宋体" w:cs="宋体" w:eastAsia="宋体" w:hint="default"/>
          <w:sz w:val="3"/>
          <w:szCs w:val="3"/>
        </w:rPr>
      </w:pPr>
      <w:r>
        <w:rPr>
          <w:rFonts w:ascii="宋体" w:hAnsi="宋体" w:cs="宋体" w:eastAsia="宋体" w:hint="default"/>
          <w:position w:val="0"/>
          <w:sz w:val="3"/>
          <w:szCs w:val="3"/>
        </w:rPr>
        <w:pict>
          <v:group style="width:410.9pt;height:1.5pt;mso-position-horizontal-relative:char;mso-position-vertical-relative:line" coordorigin="0,0" coordsize="8218,30">
            <v:group style="position:absolute;left:15;top:15;width:8188;height:2" coordorigin="15,15" coordsize="8188,2">
              <v:shape style="position:absolute;left:15;top:15;width:8188;height:2" coordorigin="15,15" coordsize="8188,0" path="m15,15l8203,15e" filled="false" stroked="true" strokeweight="1.5pt" strokecolor="#000000">
                <v:path arrowok="t"/>
              </v:shape>
            </v:group>
          </v:group>
        </w:pict>
      </w:r>
      <w:r>
        <w:rPr>
          <w:rFonts w:ascii="宋体" w:hAnsi="宋体" w:cs="宋体" w:eastAsia="宋体" w:hint="default"/>
          <w:position w:val="0"/>
          <w:sz w:val="3"/>
          <w:szCs w:val="3"/>
        </w:rPr>
      </w:r>
    </w:p>
    <w:p>
      <w:pPr>
        <w:spacing w:before="54"/>
        <w:ind w:left="3250" w:right="3681" w:firstLine="0"/>
        <w:jc w:val="left"/>
        <w:rPr>
          <w:rFonts w:ascii="宋体" w:hAnsi="宋体" w:cs="宋体" w:eastAsia="宋体" w:hint="default"/>
          <w:sz w:val="16"/>
          <w:szCs w:val="16"/>
        </w:rPr>
      </w:pPr>
      <w:r>
        <w:rPr>
          <w:rFonts w:ascii="宋体" w:hAnsi="宋体" w:cs="宋体" w:eastAsia="宋体" w:hint="default"/>
          <w:sz w:val="16"/>
          <w:szCs w:val="16"/>
        </w:rPr>
        <w:t>按信用风险特征组合计提坏账准备的计提方法</w:t>
      </w:r>
    </w:p>
    <w:p>
      <w:pPr>
        <w:spacing w:line="240" w:lineRule="auto" w:before="7"/>
        <w:rPr>
          <w:rFonts w:ascii="宋体" w:hAnsi="宋体" w:cs="宋体" w:eastAsia="宋体" w:hint="default"/>
          <w:sz w:val="5"/>
          <w:szCs w:val="5"/>
        </w:rPr>
      </w:pPr>
    </w:p>
    <w:p>
      <w:pPr>
        <w:spacing w:line="879" w:lineRule="exact"/>
        <w:ind w:left="720" w:right="0" w:firstLine="0"/>
        <w:rPr>
          <w:rFonts w:ascii="宋体" w:hAnsi="宋体" w:cs="宋体" w:eastAsia="宋体" w:hint="default"/>
          <w:sz w:val="20"/>
          <w:szCs w:val="20"/>
        </w:rPr>
      </w:pPr>
      <w:r>
        <w:rPr>
          <w:rFonts w:ascii="宋体" w:hAnsi="宋体" w:cs="宋体" w:eastAsia="宋体" w:hint="default"/>
          <w:position w:val="-17"/>
          <w:sz w:val="20"/>
          <w:szCs w:val="20"/>
        </w:rPr>
        <w:pict>
          <v:group style="width:412pt;height:44pt;mso-position-horizontal-relative:char;mso-position-vertical-relative:line" coordorigin="0,0" coordsize="8240,880">
            <v:group style="position:absolute;left:15;top:865;width:2676;height:2" coordorigin="15,865" coordsize="2676,2">
              <v:shape style="position:absolute;left:15;top:865;width:2676;height:2" coordorigin="15,865" coordsize="2676,0" path="m15,865l2691,865e" filled="false" stroked="true" strokeweight="1.5pt" strokecolor="#000000">
                <v:path arrowok="t"/>
              </v:shape>
              <v:shape style="position:absolute;left:10;top:0;width:8230;height:850" type="#_x0000_t75" stroked="false">
                <v:imagedata r:id="rId31" o:title=""/>
              </v:shape>
            </v:group>
            <v:group style="position:absolute;left:2691;top:865;width:5526;height:2" coordorigin="2691,865" coordsize="5526,2">
              <v:shape style="position:absolute;left:2691;top:865;width:5526;height:2" coordorigin="2691,865" coordsize="5526,0" path="m2691,865l8217,865e" filled="false" stroked="true" strokeweight="1.5pt" strokecolor="#000000">
                <v:path arrowok="t"/>
              </v:shape>
              <v:shape style="position:absolute;left:137;top:80;width:2450;height:687" type="#_x0000_t202" filled="false" stroked="false">
                <v:textbox inset="0,0,0,0">
                  <w:txbxContent>
                    <w:p>
                      <w:pPr>
                        <w:spacing w:line="165"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组合</w:t>
                      </w:r>
                      <w:r>
                        <w:rPr>
                          <w:rFonts w:ascii="宋体" w:hAnsi="宋体" w:cs="宋体" w:eastAsia="宋体" w:hint="default"/>
                          <w:spacing w:val="-41"/>
                          <w:sz w:val="16"/>
                          <w:szCs w:val="16"/>
                        </w:rPr>
                        <w:t> </w:t>
                      </w:r>
                      <w:r>
                        <w:rPr>
                          <w:rFonts w:ascii="Times New Roman" w:hAnsi="Times New Roman" w:cs="Times New Roman" w:eastAsia="Times New Roman" w:hint="default"/>
                          <w:w w:val="99"/>
                          <w:sz w:val="16"/>
                          <w:szCs w:val="16"/>
                        </w:rPr>
                        <w:t>1</w:t>
                      </w:r>
                      <w:r>
                        <w:rPr>
                          <w:rFonts w:ascii="宋体" w:hAnsi="宋体" w:cs="宋体" w:eastAsia="宋体" w:hint="default"/>
                          <w:spacing w:val="-70"/>
                          <w:w w:val="99"/>
                          <w:sz w:val="16"/>
                          <w:szCs w:val="16"/>
                        </w:rPr>
                        <w:t>：</w:t>
                      </w:r>
                      <w:r>
                        <w:rPr>
                          <w:rFonts w:ascii="宋体" w:hAnsi="宋体" w:cs="宋体" w:eastAsia="宋体" w:hint="default"/>
                          <w:w w:val="99"/>
                          <w:sz w:val="16"/>
                          <w:szCs w:val="16"/>
                        </w:rPr>
                        <w:t>在</w:t>
                      </w:r>
                      <w:r>
                        <w:rPr>
                          <w:rFonts w:ascii="宋体" w:hAnsi="宋体" w:cs="宋体" w:eastAsia="宋体" w:hint="default"/>
                          <w:spacing w:val="1"/>
                          <w:w w:val="99"/>
                          <w:sz w:val="16"/>
                          <w:szCs w:val="16"/>
                        </w:rPr>
                        <w:t>合</w:t>
                      </w:r>
                      <w:r>
                        <w:rPr>
                          <w:rFonts w:ascii="宋体" w:hAnsi="宋体" w:cs="宋体" w:eastAsia="宋体" w:hint="default"/>
                          <w:w w:val="99"/>
                          <w:sz w:val="16"/>
                          <w:szCs w:val="16"/>
                        </w:rPr>
                        <w:t>同</w:t>
                      </w:r>
                      <w:r>
                        <w:rPr>
                          <w:rFonts w:ascii="宋体" w:hAnsi="宋体" w:cs="宋体" w:eastAsia="宋体" w:hint="default"/>
                          <w:spacing w:val="1"/>
                          <w:w w:val="99"/>
                          <w:sz w:val="16"/>
                          <w:szCs w:val="16"/>
                        </w:rPr>
                        <w:t>规</w:t>
                      </w:r>
                      <w:r>
                        <w:rPr>
                          <w:rFonts w:ascii="宋体" w:hAnsi="宋体" w:cs="宋体" w:eastAsia="宋体" w:hint="default"/>
                          <w:w w:val="99"/>
                          <w:sz w:val="16"/>
                          <w:szCs w:val="16"/>
                        </w:rPr>
                        <w:t>定的收</w:t>
                      </w:r>
                      <w:r>
                        <w:rPr>
                          <w:rFonts w:ascii="宋体" w:hAnsi="宋体" w:cs="宋体" w:eastAsia="宋体" w:hint="default"/>
                          <w:spacing w:val="1"/>
                          <w:w w:val="99"/>
                          <w:sz w:val="16"/>
                          <w:szCs w:val="16"/>
                        </w:rPr>
                        <w:t>款</w:t>
                      </w:r>
                      <w:r>
                        <w:rPr>
                          <w:rFonts w:ascii="宋体" w:hAnsi="宋体" w:cs="宋体" w:eastAsia="宋体" w:hint="default"/>
                          <w:w w:val="99"/>
                          <w:sz w:val="16"/>
                          <w:szCs w:val="16"/>
                        </w:rPr>
                        <w:t>账期</w:t>
                      </w:r>
                      <w:r>
                        <w:rPr>
                          <w:rFonts w:ascii="宋体" w:hAnsi="宋体" w:cs="宋体" w:eastAsia="宋体" w:hint="default"/>
                          <w:spacing w:val="1"/>
                          <w:w w:val="99"/>
                          <w:sz w:val="16"/>
                          <w:szCs w:val="16"/>
                        </w:rPr>
                        <w:t>内</w:t>
                      </w:r>
                      <w:r>
                        <w:rPr>
                          <w:rFonts w:ascii="宋体" w:hAnsi="宋体" w:cs="宋体" w:eastAsia="宋体" w:hint="default"/>
                          <w:w w:val="99"/>
                          <w:sz w:val="16"/>
                          <w:szCs w:val="16"/>
                        </w:rPr>
                        <w:t>的</w:t>
                      </w:r>
                      <w:r>
                        <w:rPr>
                          <w:rFonts w:ascii="宋体" w:hAnsi="宋体" w:cs="宋体" w:eastAsia="宋体" w:hint="default"/>
                          <w:sz w:val="16"/>
                          <w:szCs w:val="16"/>
                        </w:rPr>
                      </w:r>
                    </w:p>
                    <w:p>
                      <w:pPr>
                        <w:spacing w:line="202"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应收款项</w:t>
                      </w:r>
                    </w:p>
                    <w:p>
                      <w:pPr>
                        <w:spacing w:line="218" w:lineRule="exact" w:before="101"/>
                        <w:ind w:left="0" w:right="0" w:firstLine="0"/>
                        <w:jc w:val="left"/>
                        <w:rPr>
                          <w:rFonts w:ascii="宋体" w:hAnsi="宋体" w:cs="宋体" w:eastAsia="宋体" w:hint="default"/>
                          <w:sz w:val="16"/>
                          <w:szCs w:val="16"/>
                        </w:rPr>
                      </w:pPr>
                      <w:r>
                        <w:rPr>
                          <w:rFonts w:ascii="宋体" w:hAnsi="宋体" w:cs="宋体" w:eastAsia="宋体" w:hint="default"/>
                          <w:sz w:val="16"/>
                          <w:szCs w:val="16"/>
                        </w:rPr>
                        <w:t>组合</w:t>
                      </w:r>
                      <w:r>
                        <w:rPr>
                          <w:rFonts w:ascii="宋体" w:hAnsi="宋体" w:cs="宋体" w:eastAsia="宋体" w:hint="default"/>
                          <w:spacing w:val="-42"/>
                          <w:sz w:val="16"/>
                          <w:szCs w:val="16"/>
                        </w:rPr>
                        <w:t> </w:t>
                      </w:r>
                      <w:r>
                        <w:rPr>
                          <w:rFonts w:ascii="Times New Roman" w:hAnsi="Times New Roman" w:cs="Times New Roman" w:eastAsia="Times New Roman" w:hint="default"/>
                          <w:sz w:val="16"/>
                          <w:szCs w:val="16"/>
                        </w:rPr>
                        <w:t>2</w:t>
                      </w:r>
                      <w:r>
                        <w:rPr>
                          <w:rFonts w:ascii="宋体" w:hAnsi="宋体" w:cs="宋体" w:eastAsia="宋体" w:hint="default"/>
                          <w:sz w:val="16"/>
                          <w:szCs w:val="16"/>
                        </w:rPr>
                        <w:t>：账龄组合</w:t>
                      </w:r>
                    </w:p>
                  </w:txbxContent>
                </v:textbox>
                <w10:wrap type="none"/>
              </v:shape>
              <v:shape style="position:absolute;left:2803;top:183;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个别认定法</w:t>
                      </w:r>
                      <w:r>
                        <w:rPr>
                          <w:rFonts w:ascii="宋体" w:hAnsi="宋体" w:cs="宋体" w:eastAsia="宋体" w:hint="default"/>
                          <w:sz w:val="16"/>
                          <w:szCs w:val="16"/>
                        </w:rPr>
                      </w:r>
                    </w:p>
                  </w:txbxContent>
                </v:textbox>
                <w10:wrap type="none"/>
              </v:shape>
              <v:shape style="position:absolute;left:2803;top:598;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账龄分析法</w:t>
                      </w:r>
                      <w:r>
                        <w:rPr>
                          <w:rFonts w:ascii="宋体" w:hAnsi="宋体" w:cs="宋体" w:eastAsia="宋体" w:hint="default"/>
                          <w:sz w:val="16"/>
                          <w:szCs w:val="16"/>
                        </w:rPr>
                      </w:r>
                    </w:p>
                  </w:txbxContent>
                </v:textbox>
                <w10:wrap type="none"/>
              </v:shape>
            </v:group>
          </v:group>
        </w:pict>
      </w:r>
      <w:r>
        <w:rPr>
          <w:rFonts w:ascii="宋体" w:hAnsi="宋体" w:cs="宋体" w:eastAsia="宋体" w:hint="default"/>
          <w:position w:val="-17"/>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5"/>
          <w:szCs w:val="15"/>
        </w:rPr>
      </w:pPr>
    </w:p>
    <w:p>
      <w:pPr>
        <w:pStyle w:val="BodyText"/>
        <w:spacing w:line="240" w:lineRule="auto" w:before="35"/>
        <w:ind w:right="3681"/>
        <w:jc w:val="left"/>
      </w:pPr>
      <w:r>
        <w:rPr/>
        <w:pict>
          <v:group style="position:absolute;margin-left:119.010002pt;margin-top:37.113815pt;width:412.15pt;height:124.65pt;mso-position-horizontal-relative:page;mso-position-vertical-relative:paragraph;z-index:-1400992" coordorigin="2380,742" coordsize="8243,2493">
            <v:group style="position:absolute;left:2410;top:757;width:2943;height:2" coordorigin="2410,757" coordsize="2943,2">
              <v:shape style="position:absolute;left:2410;top:757;width:2943;height:2" coordorigin="2410,757" coordsize="2943,0" path="m2410,757l5352,757e" filled="false" stroked="true" strokeweight="1.5pt" strokecolor="#000000">
                <v:path arrowok="t"/>
              </v:shape>
              <v:shape style="position:absolute;left:5352;top:772;width:10;height:28" type="#_x0000_t75" stroked="false">
                <v:imagedata r:id="rId32" o:title=""/>
              </v:shape>
            </v:group>
            <v:group style="position:absolute;left:5352;top:757;width:2650;height:2" coordorigin="5352,757" coordsize="2650,2">
              <v:shape style="position:absolute;left:5352;top:757;width:2650;height:2" coordorigin="5352,757" coordsize="2650,0" path="m5352,757l8002,757e" filled="false" stroked="true" strokeweight="1.5pt" strokecolor="#000000">
                <v:path arrowok="t"/>
              </v:shape>
              <v:shape style="position:absolute;left:8002;top:772;width:10;height:28" type="#_x0000_t75" stroked="false">
                <v:imagedata r:id="rId32" o:title=""/>
              </v:shape>
            </v:group>
            <v:group style="position:absolute;left:8002;top:757;width:2596;height:2" coordorigin="8002,757" coordsize="2596,2">
              <v:shape style="position:absolute;left:8002;top:757;width:2596;height:2" coordorigin="8002,757" coordsize="2596,0" path="m8002,757l10597,757e" filled="false" stroked="true" strokeweight="1.5pt" strokecolor="#000000">
                <v:path arrowok="t"/>
              </v:shape>
              <v:shape style="position:absolute;left:5333;top:781;width:2698;height:349" type="#_x0000_t75" stroked="false">
                <v:imagedata r:id="rId33" o:title=""/>
              </v:shape>
            </v:group>
            <v:group style="position:absolute;left:2395;top:3220;width:2957;height:2" coordorigin="2395,3220" coordsize="2957,2">
              <v:shape style="position:absolute;left:2395;top:3220;width:2957;height:2" coordorigin="2395,3220" coordsize="2957,0" path="m2395,3220l5352,3220e" filled="false" stroked="true" strokeweight="1.5pt" strokecolor="#000000">
                <v:path arrowok="t"/>
              </v:shape>
            </v:group>
            <v:group style="position:absolute;left:5352;top:3220;width:2650;height:2" coordorigin="5352,3220" coordsize="2650,2">
              <v:shape style="position:absolute;left:5352;top:3220;width:2650;height:2" coordorigin="5352,3220" coordsize="2650,0" path="m5352,3220l8002,3220e" filled="false" stroked="true" strokeweight="1.5pt" strokecolor="#000000">
                <v:path arrowok="t"/>
              </v:shape>
              <v:shape style="position:absolute;left:2390;top:1091;width:8232;height:2113" type="#_x0000_t75" stroked="false">
                <v:imagedata r:id="rId34" o:title=""/>
              </v:shape>
            </v:group>
            <v:group style="position:absolute;left:8002;top:3220;width:2596;height:2" coordorigin="8002,3220" coordsize="2596,2">
              <v:shape style="position:absolute;left:8002;top:3220;width:2596;height:2" coordorigin="8002,3220" coordsize="2596,0" path="m8002,3220l10597,3220e" filled="false" stroked="true" strokeweight="1.5pt" strokecolor="#000000">
                <v:path arrowok="t"/>
              </v:shape>
            </v:group>
            <w10:wrap type="none"/>
          </v:group>
        </w:pict>
      </w:r>
      <w:r>
        <w:rPr/>
        <w:t>组合中，采用账龄分析法计提坏账准备的：</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tbl>
      <w:tblPr>
        <w:tblW w:w="0" w:type="auto"/>
        <w:jc w:val="left"/>
        <w:tblInd w:w="787" w:type="dxa"/>
        <w:tblLayout w:type="fixed"/>
        <w:tblCellMar>
          <w:top w:w="0" w:type="dxa"/>
          <w:left w:w="0" w:type="dxa"/>
          <w:bottom w:w="0" w:type="dxa"/>
          <w:right w:w="0" w:type="dxa"/>
        </w:tblCellMar>
        <w:tblLook w:val="01E0"/>
      </w:tblPr>
      <w:tblGrid>
        <w:gridCol w:w="2534"/>
        <w:gridCol w:w="2467"/>
        <w:gridCol w:w="720"/>
        <w:gridCol w:w="2392"/>
      </w:tblGrid>
      <w:tr>
        <w:trPr>
          <w:trHeight w:val="361" w:hRule="exact"/>
        </w:trPr>
        <w:tc>
          <w:tcPr>
            <w:tcW w:w="2534" w:type="dxa"/>
            <w:tcBorders>
              <w:top w:val="nil" w:sz="6" w:space="0" w:color="auto"/>
              <w:left w:val="nil" w:sz="6" w:space="0" w:color="auto"/>
              <w:bottom w:val="nil" w:sz="6" w:space="0" w:color="auto"/>
              <w:right w:val="nil" w:sz="6" w:space="0" w:color="auto"/>
            </w:tcBorders>
          </w:tcPr>
          <w:p>
            <w:pPr>
              <w:pStyle w:val="TableParagraph"/>
              <w:spacing w:line="240" w:lineRule="auto" w:before="52"/>
              <w:ind w:left="335" w:right="0"/>
              <w:jc w:val="center"/>
              <w:rPr>
                <w:rFonts w:ascii="宋体" w:hAnsi="宋体" w:cs="宋体" w:eastAsia="宋体" w:hint="default"/>
                <w:sz w:val="16"/>
                <w:szCs w:val="16"/>
              </w:rPr>
            </w:pPr>
            <w:r>
              <w:rPr>
                <w:rFonts w:ascii="宋体" w:hAnsi="宋体" w:cs="宋体" w:eastAsia="宋体" w:hint="default"/>
                <w:sz w:val="16"/>
                <w:szCs w:val="16"/>
              </w:rPr>
              <w:t>账龄</w:t>
            </w:r>
          </w:p>
        </w:tc>
        <w:tc>
          <w:tcPr>
            <w:tcW w:w="2467" w:type="dxa"/>
            <w:tcBorders>
              <w:top w:val="nil" w:sz="6" w:space="0" w:color="auto"/>
              <w:left w:val="nil" w:sz="6" w:space="0" w:color="auto"/>
              <w:bottom w:val="nil" w:sz="6" w:space="0" w:color="auto"/>
              <w:right w:val="nil" w:sz="6" w:space="0" w:color="auto"/>
            </w:tcBorders>
          </w:tcPr>
          <w:p>
            <w:pPr>
              <w:pStyle w:val="TableParagraph"/>
              <w:spacing w:line="240" w:lineRule="auto" w:before="52"/>
              <w:ind w:left="939" w:right="0"/>
              <w:jc w:val="left"/>
              <w:rPr>
                <w:rFonts w:ascii="Times New Roman" w:hAnsi="Times New Roman" w:cs="Times New Roman" w:eastAsia="Times New Roman" w:hint="default"/>
                <w:sz w:val="16"/>
                <w:szCs w:val="16"/>
              </w:rPr>
            </w:pPr>
            <w:r>
              <w:rPr>
                <w:rFonts w:ascii="宋体" w:hAnsi="宋体" w:cs="宋体" w:eastAsia="宋体" w:hint="default"/>
                <w:sz w:val="16"/>
                <w:szCs w:val="16"/>
              </w:rPr>
              <w:t>应收账款计提比例</w:t>
            </w:r>
            <w:r>
              <w:rPr>
                <w:rFonts w:ascii="Times New Roman" w:hAnsi="Times New Roman" w:cs="Times New Roman" w:eastAsia="Times New Roman" w:hint="default"/>
                <w:sz w:val="16"/>
                <w:szCs w:val="16"/>
              </w:rPr>
              <w:t>(%)</w:t>
            </w:r>
          </w:p>
        </w:tc>
        <w:tc>
          <w:tcPr>
            <w:tcW w:w="720" w:type="dxa"/>
            <w:tcBorders>
              <w:top w:val="nil" w:sz="6" w:space="0" w:color="auto"/>
              <w:left w:val="nil" w:sz="6" w:space="0" w:color="auto"/>
              <w:bottom w:val="nil" w:sz="6" w:space="0" w:color="auto"/>
              <w:right w:val="nil" w:sz="6" w:space="0" w:color="auto"/>
            </w:tcBorders>
          </w:tcPr>
          <w:p>
            <w:pPr/>
          </w:p>
        </w:tc>
        <w:tc>
          <w:tcPr>
            <w:tcW w:w="2392" w:type="dxa"/>
            <w:tcBorders>
              <w:top w:val="nil" w:sz="6" w:space="0" w:color="auto"/>
              <w:left w:val="nil" w:sz="6" w:space="0" w:color="auto"/>
              <w:bottom w:val="nil" w:sz="6" w:space="0" w:color="auto"/>
              <w:right w:val="nil" w:sz="6" w:space="0" w:color="auto"/>
            </w:tcBorders>
          </w:tcPr>
          <w:p>
            <w:pPr>
              <w:pStyle w:val="TableParagraph"/>
              <w:spacing w:line="240" w:lineRule="auto" w:before="52"/>
              <w:ind w:left="269" w:right="0"/>
              <w:jc w:val="left"/>
              <w:rPr>
                <w:rFonts w:ascii="Times New Roman" w:hAnsi="Times New Roman" w:cs="Times New Roman" w:eastAsia="Times New Roman" w:hint="default"/>
                <w:sz w:val="16"/>
                <w:szCs w:val="16"/>
              </w:rPr>
            </w:pPr>
            <w:r>
              <w:rPr>
                <w:rFonts w:ascii="宋体" w:hAnsi="宋体" w:cs="宋体" w:eastAsia="宋体" w:hint="default"/>
                <w:sz w:val="16"/>
                <w:szCs w:val="16"/>
              </w:rPr>
              <w:t>其他应收款计提比例</w:t>
            </w:r>
            <w:r>
              <w:rPr>
                <w:rFonts w:ascii="Times New Roman" w:hAnsi="Times New Roman" w:cs="Times New Roman" w:eastAsia="Times New Roman" w:hint="default"/>
                <w:sz w:val="16"/>
                <w:szCs w:val="16"/>
              </w:rPr>
              <w:t>(%)</w:t>
            </w:r>
          </w:p>
        </w:tc>
      </w:tr>
      <w:tr>
        <w:trPr>
          <w:trHeight w:val="352" w:hRule="exact"/>
        </w:trPr>
        <w:tc>
          <w:tcPr>
            <w:tcW w:w="253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年以内（含</w:t>
            </w:r>
            <w:r>
              <w:rPr>
                <w:rFonts w:ascii="宋体" w:hAnsi="宋体" w:cs="宋体" w:eastAsia="宋体" w:hint="default"/>
                <w:spacing w:val="-42"/>
                <w:sz w:val="16"/>
                <w:szCs w:val="16"/>
              </w:rPr>
              <w:t> </w:t>
            </w:r>
            <w:r>
              <w:rPr>
                <w:rFonts w:ascii="Times New Roman" w:hAnsi="Times New Roman" w:cs="Times New Roman" w:eastAsia="Times New Roman" w:hint="default"/>
                <w:sz w:val="16"/>
                <w:szCs w:val="16"/>
              </w:rPr>
              <w:t>1 </w:t>
            </w:r>
            <w:r>
              <w:rPr>
                <w:rFonts w:ascii="宋体" w:hAnsi="宋体" w:cs="宋体" w:eastAsia="宋体" w:hint="default"/>
                <w:sz w:val="16"/>
                <w:szCs w:val="16"/>
              </w:rPr>
              <w:t>年）</w:t>
            </w:r>
          </w:p>
        </w:tc>
        <w:tc>
          <w:tcPr>
            <w:tcW w:w="2467" w:type="dxa"/>
            <w:tcBorders>
              <w:top w:val="nil" w:sz="6" w:space="0" w:color="auto"/>
              <w:left w:val="nil" w:sz="6" w:space="0" w:color="auto"/>
              <w:bottom w:val="nil" w:sz="6" w:space="0" w:color="auto"/>
              <w:right w:val="nil" w:sz="6" w:space="0" w:color="auto"/>
            </w:tcBorders>
          </w:tcPr>
          <w:p>
            <w:pPr/>
          </w:p>
        </w:tc>
        <w:tc>
          <w:tcPr>
            <w:tcW w:w="72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69"/>
              <w:jc w:val="right"/>
              <w:rPr>
                <w:rFonts w:ascii="Times New Roman" w:hAnsi="Times New Roman" w:cs="Times New Roman" w:eastAsia="Times New Roman" w:hint="default"/>
                <w:sz w:val="16"/>
                <w:szCs w:val="16"/>
              </w:rPr>
            </w:pPr>
            <w:r>
              <w:rPr>
                <w:rFonts w:ascii="Times New Roman"/>
                <w:spacing w:val="-1"/>
                <w:sz w:val="16"/>
              </w:rPr>
              <w:t>5.00</w:t>
            </w:r>
          </w:p>
        </w:tc>
        <w:tc>
          <w:tcPr>
            <w:tcW w:w="239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5.00</w:t>
            </w:r>
          </w:p>
        </w:tc>
      </w:tr>
      <w:tr>
        <w:trPr>
          <w:trHeight w:val="349" w:hRule="exact"/>
        </w:trPr>
        <w:tc>
          <w:tcPr>
            <w:tcW w:w="253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宋体" w:hAnsi="宋体" w:cs="宋体" w:eastAsia="宋体" w:hint="default"/>
                <w:sz w:val="16"/>
                <w:szCs w:val="16"/>
              </w:rPr>
              <w:t>－</w:t>
            </w: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w:t>
            </w:r>
          </w:p>
        </w:tc>
        <w:tc>
          <w:tcPr>
            <w:tcW w:w="2467" w:type="dxa"/>
            <w:tcBorders>
              <w:top w:val="nil" w:sz="6" w:space="0" w:color="auto"/>
              <w:left w:val="nil" w:sz="6" w:space="0" w:color="auto"/>
              <w:bottom w:val="nil" w:sz="6" w:space="0" w:color="auto"/>
              <w:right w:val="nil" w:sz="6" w:space="0" w:color="auto"/>
            </w:tcBorders>
          </w:tcPr>
          <w:p>
            <w:pPr/>
          </w:p>
        </w:tc>
        <w:tc>
          <w:tcPr>
            <w:tcW w:w="720"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67"/>
              <w:jc w:val="right"/>
              <w:rPr>
                <w:rFonts w:ascii="Times New Roman" w:hAnsi="Times New Roman" w:cs="Times New Roman" w:eastAsia="Times New Roman" w:hint="default"/>
                <w:sz w:val="16"/>
                <w:szCs w:val="16"/>
              </w:rPr>
            </w:pPr>
            <w:r>
              <w:rPr>
                <w:rFonts w:ascii="Times New Roman"/>
                <w:spacing w:val="-1"/>
                <w:sz w:val="16"/>
              </w:rPr>
              <w:t>10.00</w:t>
            </w:r>
          </w:p>
        </w:tc>
        <w:tc>
          <w:tcPr>
            <w:tcW w:w="2392"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8"/>
              <w:jc w:val="right"/>
              <w:rPr>
                <w:rFonts w:ascii="Times New Roman" w:hAnsi="Times New Roman" w:cs="Times New Roman" w:eastAsia="Times New Roman" w:hint="default"/>
                <w:sz w:val="16"/>
                <w:szCs w:val="16"/>
              </w:rPr>
            </w:pPr>
            <w:r>
              <w:rPr>
                <w:rFonts w:ascii="Times New Roman"/>
                <w:spacing w:val="-1"/>
                <w:sz w:val="16"/>
              </w:rPr>
              <w:t>10.00</w:t>
            </w:r>
          </w:p>
        </w:tc>
      </w:tr>
      <w:tr>
        <w:trPr>
          <w:trHeight w:val="349" w:hRule="exact"/>
        </w:trPr>
        <w:tc>
          <w:tcPr>
            <w:tcW w:w="253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宋体" w:hAnsi="宋体" w:cs="宋体" w:eastAsia="宋体" w:hint="default"/>
                <w:sz w:val="16"/>
                <w:szCs w:val="16"/>
              </w:rPr>
              <w:t>－</w:t>
            </w:r>
            <w:r>
              <w:rPr>
                <w:rFonts w:ascii="Times New Roman" w:hAnsi="Times New Roman" w:cs="Times New Roman" w:eastAsia="Times New Roman" w:hint="default"/>
                <w:sz w:val="16"/>
                <w:szCs w:val="16"/>
              </w:rPr>
              <w:t>3</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w:t>
            </w:r>
          </w:p>
        </w:tc>
        <w:tc>
          <w:tcPr>
            <w:tcW w:w="2467" w:type="dxa"/>
            <w:tcBorders>
              <w:top w:val="nil" w:sz="6" w:space="0" w:color="auto"/>
              <w:left w:val="nil" w:sz="6" w:space="0" w:color="auto"/>
              <w:bottom w:val="nil" w:sz="6" w:space="0" w:color="auto"/>
              <w:right w:val="nil" w:sz="6" w:space="0" w:color="auto"/>
            </w:tcBorders>
          </w:tcPr>
          <w:p>
            <w:pPr/>
          </w:p>
        </w:tc>
        <w:tc>
          <w:tcPr>
            <w:tcW w:w="720"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67"/>
              <w:jc w:val="right"/>
              <w:rPr>
                <w:rFonts w:ascii="Times New Roman" w:hAnsi="Times New Roman" w:cs="Times New Roman" w:eastAsia="Times New Roman" w:hint="default"/>
                <w:sz w:val="16"/>
                <w:szCs w:val="16"/>
              </w:rPr>
            </w:pPr>
            <w:r>
              <w:rPr>
                <w:rFonts w:ascii="Times New Roman"/>
                <w:spacing w:val="-1"/>
                <w:sz w:val="16"/>
              </w:rPr>
              <w:t>30.00</w:t>
            </w:r>
          </w:p>
        </w:tc>
        <w:tc>
          <w:tcPr>
            <w:tcW w:w="2392"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8"/>
              <w:jc w:val="right"/>
              <w:rPr>
                <w:rFonts w:ascii="Times New Roman" w:hAnsi="Times New Roman" w:cs="Times New Roman" w:eastAsia="Times New Roman" w:hint="default"/>
                <w:sz w:val="16"/>
                <w:szCs w:val="16"/>
              </w:rPr>
            </w:pPr>
            <w:r>
              <w:rPr>
                <w:rFonts w:ascii="Times New Roman"/>
                <w:spacing w:val="-1"/>
                <w:sz w:val="16"/>
              </w:rPr>
              <w:t>30.00</w:t>
            </w:r>
          </w:p>
        </w:tc>
      </w:tr>
      <w:tr>
        <w:trPr>
          <w:trHeight w:val="349" w:hRule="exact"/>
        </w:trPr>
        <w:tc>
          <w:tcPr>
            <w:tcW w:w="253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宋体" w:hAnsi="宋体" w:cs="宋体" w:eastAsia="宋体" w:hint="default"/>
                <w:sz w:val="16"/>
                <w:szCs w:val="16"/>
              </w:rPr>
              <w:t>－</w:t>
            </w:r>
            <w:r>
              <w:rPr>
                <w:rFonts w:ascii="Times New Roman" w:hAnsi="Times New Roman" w:cs="Times New Roman" w:eastAsia="Times New Roman" w:hint="default"/>
                <w:sz w:val="16"/>
                <w:szCs w:val="16"/>
              </w:rPr>
              <w:t>4</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w:t>
            </w:r>
          </w:p>
        </w:tc>
        <w:tc>
          <w:tcPr>
            <w:tcW w:w="2467" w:type="dxa"/>
            <w:tcBorders>
              <w:top w:val="nil" w:sz="6" w:space="0" w:color="auto"/>
              <w:left w:val="nil" w:sz="6" w:space="0" w:color="auto"/>
              <w:bottom w:val="nil" w:sz="6" w:space="0" w:color="auto"/>
              <w:right w:val="nil" w:sz="6" w:space="0" w:color="auto"/>
            </w:tcBorders>
          </w:tcPr>
          <w:p>
            <w:pPr/>
          </w:p>
        </w:tc>
        <w:tc>
          <w:tcPr>
            <w:tcW w:w="720"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67"/>
              <w:jc w:val="right"/>
              <w:rPr>
                <w:rFonts w:ascii="Times New Roman" w:hAnsi="Times New Roman" w:cs="Times New Roman" w:eastAsia="Times New Roman" w:hint="default"/>
                <w:sz w:val="16"/>
                <w:szCs w:val="16"/>
              </w:rPr>
            </w:pPr>
            <w:r>
              <w:rPr>
                <w:rFonts w:ascii="Times New Roman"/>
                <w:spacing w:val="-1"/>
                <w:sz w:val="16"/>
              </w:rPr>
              <w:t>60.00</w:t>
            </w:r>
          </w:p>
        </w:tc>
        <w:tc>
          <w:tcPr>
            <w:tcW w:w="2392"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8"/>
              <w:jc w:val="right"/>
              <w:rPr>
                <w:rFonts w:ascii="Times New Roman" w:hAnsi="Times New Roman" w:cs="Times New Roman" w:eastAsia="Times New Roman" w:hint="default"/>
                <w:sz w:val="16"/>
                <w:szCs w:val="16"/>
              </w:rPr>
            </w:pPr>
            <w:r>
              <w:rPr>
                <w:rFonts w:ascii="Times New Roman"/>
                <w:spacing w:val="-1"/>
                <w:sz w:val="16"/>
              </w:rPr>
              <w:t>60.00</w:t>
            </w:r>
          </w:p>
        </w:tc>
      </w:tr>
      <w:tr>
        <w:trPr>
          <w:trHeight w:val="349" w:hRule="exact"/>
        </w:trPr>
        <w:tc>
          <w:tcPr>
            <w:tcW w:w="253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4</w:t>
            </w:r>
            <w:r>
              <w:rPr>
                <w:rFonts w:ascii="宋体" w:hAnsi="宋体" w:cs="宋体" w:eastAsia="宋体" w:hint="default"/>
                <w:sz w:val="16"/>
                <w:szCs w:val="16"/>
              </w:rPr>
              <w:t>－</w:t>
            </w:r>
            <w:r>
              <w:rPr>
                <w:rFonts w:ascii="Times New Roman" w:hAnsi="Times New Roman" w:cs="Times New Roman" w:eastAsia="Times New Roman" w:hint="default"/>
                <w:sz w:val="16"/>
                <w:szCs w:val="16"/>
              </w:rPr>
              <w:t>5</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w:t>
            </w:r>
          </w:p>
        </w:tc>
        <w:tc>
          <w:tcPr>
            <w:tcW w:w="2467" w:type="dxa"/>
            <w:tcBorders>
              <w:top w:val="nil" w:sz="6" w:space="0" w:color="auto"/>
              <w:left w:val="nil" w:sz="6" w:space="0" w:color="auto"/>
              <w:bottom w:val="nil" w:sz="6" w:space="0" w:color="auto"/>
              <w:right w:val="nil" w:sz="6" w:space="0" w:color="auto"/>
            </w:tcBorders>
          </w:tcPr>
          <w:p>
            <w:pPr/>
          </w:p>
        </w:tc>
        <w:tc>
          <w:tcPr>
            <w:tcW w:w="720"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67"/>
              <w:jc w:val="right"/>
              <w:rPr>
                <w:rFonts w:ascii="Times New Roman" w:hAnsi="Times New Roman" w:cs="Times New Roman" w:eastAsia="Times New Roman" w:hint="default"/>
                <w:sz w:val="16"/>
                <w:szCs w:val="16"/>
              </w:rPr>
            </w:pPr>
            <w:r>
              <w:rPr>
                <w:rFonts w:ascii="Times New Roman"/>
                <w:spacing w:val="-1"/>
                <w:sz w:val="16"/>
              </w:rPr>
              <w:t>80.00</w:t>
            </w:r>
          </w:p>
        </w:tc>
        <w:tc>
          <w:tcPr>
            <w:tcW w:w="2392"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8"/>
              <w:jc w:val="right"/>
              <w:rPr>
                <w:rFonts w:ascii="Times New Roman" w:hAnsi="Times New Roman" w:cs="Times New Roman" w:eastAsia="Times New Roman" w:hint="default"/>
                <w:sz w:val="16"/>
                <w:szCs w:val="16"/>
              </w:rPr>
            </w:pPr>
            <w:r>
              <w:rPr>
                <w:rFonts w:ascii="Times New Roman"/>
                <w:spacing w:val="-1"/>
                <w:sz w:val="16"/>
              </w:rPr>
              <w:t>80.00</w:t>
            </w:r>
          </w:p>
        </w:tc>
      </w:tr>
      <w:tr>
        <w:trPr>
          <w:trHeight w:val="354" w:hRule="exact"/>
        </w:trPr>
        <w:tc>
          <w:tcPr>
            <w:tcW w:w="2534" w:type="dxa"/>
            <w:tcBorders>
              <w:top w:val="nil" w:sz="6" w:space="0" w:color="auto"/>
              <w:left w:val="nil" w:sz="6" w:space="0" w:color="auto"/>
              <w:bottom w:val="nil" w:sz="6" w:space="0" w:color="auto"/>
              <w:right w:val="nil" w:sz="6" w:space="0" w:color="auto"/>
            </w:tcBorders>
          </w:tcPr>
          <w:p>
            <w:pPr>
              <w:pStyle w:val="TableParagraph"/>
              <w:spacing w:line="240" w:lineRule="auto" w:before="37"/>
              <w:ind w:left="70"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5</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年以上</w:t>
            </w:r>
          </w:p>
        </w:tc>
        <w:tc>
          <w:tcPr>
            <w:tcW w:w="2467" w:type="dxa"/>
            <w:tcBorders>
              <w:top w:val="nil" w:sz="6" w:space="0" w:color="auto"/>
              <w:left w:val="nil" w:sz="6" w:space="0" w:color="auto"/>
              <w:bottom w:val="nil" w:sz="6" w:space="0" w:color="auto"/>
              <w:right w:val="nil" w:sz="6" w:space="0" w:color="auto"/>
            </w:tcBorders>
          </w:tcPr>
          <w:p>
            <w:pPr/>
          </w:p>
        </w:tc>
        <w:tc>
          <w:tcPr>
            <w:tcW w:w="72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67"/>
              <w:jc w:val="right"/>
              <w:rPr>
                <w:rFonts w:ascii="Times New Roman" w:hAnsi="Times New Roman" w:cs="Times New Roman" w:eastAsia="Times New Roman" w:hint="default"/>
                <w:sz w:val="16"/>
                <w:szCs w:val="16"/>
              </w:rPr>
            </w:pPr>
            <w:r>
              <w:rPr>
                <w:rFonts w:ascii="Times New Roman"/>
                <w:spacing w:val="-1"/>
                <w:sz w:val="16"/>
              </w:rPr>
              <w:t>100.00</w:t>
            </w:r>
          </w:p>
        </w:tc>
        <w:tc>
          <w:tcPr>
            <w:tcW w:w="239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68"/>
              <w:jc w:val="right"/>
              <w:rPr>
                <w:rFonts w:ascii="Times New Roman" w:hAnsi="Times New Roman" w:cs="Times New Roman" w:eastAsia="Times New Roman" w:hint="default"/>
                <w:sz w:val="16"/>
                <w:szCs w:val="16"/>
              </w:rPr>
            </w:pPr>
            <w:r>
              <w:rPr>
                <w:rFonts w:ascii="Times New Roman"/>
                <w:spacing w:val="-1"/>
                <w:sz w:val="16"/>
              </w:rPr>
              <w:t>100.00</w:t>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p>
      <w:pPr>
        <w:pStyle w:val="BodyText"/>
        <w:spacing w:line="240" w:lineRule="auto" w:before="35"/>
        <w:ind w:right="3681"/>
        <w:jc w:val="left"/>
      </w:pPr>
      <w:r>
        <w:rPr/>
        <w:t>组合中，采用其他方法计提坏账准备的：</w:t>
      </w:r>
    </w:p>
    <w:p>
      <w:pPr>
        <w:spacing w:line="240" w:lineRule="auto" w:before="7"/>
        <w:rPr>
          <w:rFonts w:ascii="宋体" w:hAnsi="宋体" w:cs="宋体" w:eastAsia="宋体" w:hint="default"/>
          <w:sz w:val="2"/>
          <w:szCs w:val="2"/>
        </w:rPr>
      </w:pPr>
    </w:p>
    <w:p>
      <w:pPr>
        <w:spacing w:line="747" w:lineRule="exact"/>
        <w:ind w:left="720" w:right="0" w:firstLine="0"/>
        <w:rPr>
          <w:rFonts w:ascii="宋体" w:hAnsi="宋体" w:cs="宋体" w:eastAsia="宋体" w:hint="default"/>
          <w:sz w:val="20"/>
          <w:szCs w:val="20"/>
        </w:rPr>
      </w:pPr>
      <w:r>
        <w:rPr>
          <w:rFonts w:ascii="宋体" w:hAnsi="宋体" w:cs="宋体" w:eastAsia="宋体" w:hint="default"/>
          <w:position w:val="-14"/>
          <w:sz w:val="20"/>
          <w:szCs w:val="20"/>
        </w:rPr>
        <w:pict>
          <v:group style="width:411.6pt;height:37.4pt;mso-position-horizontal-relative:char;mso-position-vertical-relative:line" coordorigin="0,0" coordsize="8232,748">
            <v:group style="position:absolute;left:29;top:15;width:2927;height:2" coordorigin="29,15" coordsize="2927,2">
              <v:shape style="position:absolute;left:29;top:15;width:2927;height:2" coordorigin="29,15" coordsize="2927,0" path="m29,15l2956,15e" filled="false" stroked="true" strokeweight="1.5pt" strokecolor="#000000">
                <v:path arrowok="t"/>
              </v:shape>
              <v:shape style="position:absolute;left:2956;top:30;width:10;height:28" type="#_x0000_t75" stroked="false">
                <v:imagedata r:id="rId35" o:title=""/>
              </v:shape>
            </v:group>
            <v:group style="position:absolute;left:2956;top:15;width:2760;height:2" coordorigin="2956,15" coordsize="2760,2">
              <v:shape style="position:absolute;left:2956;top:15;width:2760;height:2" coordorigin="2956,15" coordsize="2760,0" path="m2956,15l5716,15e" filled="false" stroked="true" strokeweight="1.5pt" strokecolor="#000000">
                <v:path arrowok="t"/>
              </v:shape>
              <v:shape style="position:absolute;left:5716;top:30;width:10;height:28" type="#_x0000_t75" stroked="false">
                <v:imagedata r:id="rId35" o:title=""/>
              </v:shape>
            </v:group>
            <v:group style="position:absolute;left:5716;top:15;width:2501;height:2" coordorigin="5716,15" coordsize="2501,2">
              <v:shape style="position:absolute;left:5716;top:15;width:2501;height:2" coordorigin="5716,15" coordsize="2501,0" path="m5716,15l8217,15e" filled="false" stroked="true" strokeweight="1.5pt" strokecolor="#000000">
                <v:path arrowok="t"/>
              </v:shape>
            </v:group>
            <v:group style="position:absolute;left:15;top:733;width:2942;height:2" coordorigin="15,733" coordsize="2942,2">
              <v:shape style="position:absolute;left:15;top:733;width:2942;height:2" coordorigin="15,733" coordsize="2942,0" path="m15,733l2956,733e" filled="false" stroked="true" strokeweight="1.5pt" strokecolor="#000000">
                <v:path arrowok="t"/>
              </v:shape>
            </v:group>
            <v:group style="position:absolute;left:2956;top:733;width:2760;height:2" coordorigin="2956,733" coordsize="2760,2">
              <v:shape style="position:absolute;left:2956;top:733;width:2760;height:2" coordorigin="2956,733" coordsize="2760,0" path="m2956,733l5716,733e" filled="false" stroked="true" strokeweight="1.5pt" strokecolor="#000000">
                <v:path arrowok="t"/>
              </v:shape>
              <v:shape style="position:absolute;left:10;top:38;width:8212;height:679" type="#_x0000_t75" stroked="false">
                <v:imagedata r:id="rId36" o:title=""/>
              </v:shape>
            </v:group>
            <v:group style="position:absolute;left:5716;top:733;width:2501;height:2" coordorigin="5716,733" coordsize="2501,2">
              <v:shape style="position:absolute;left:5716;top:733;width:2501;height:2" coordorigin="5716,733" coordsize="2501,0" path="m5716,733l8217,733e" filled="false" stroked="true" strokeweight="1.5pt" strokecolor="#000000">
                <v:path arrowok="t"/>
              </v:shape>
              <v:shape style="position:absolute;left:1175;top:11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组合名称</w:t>
                      </w:r>
                      <w:r>
                        <w:rPr>
                          <w:rFonts w:ascii="宋体" w:hAnsi="宋体" w:cs="宋体" w:eastAsia="宋体" w:hint="default"/>
                          <w:sz w:val="16"/>
                          <w:szCs w:val="16"/>
                        </w:rPr>
                      </w:r>
                    </w:p>
                  </w:txbxContent>
                </v:textbox>
                <w10:wrap type="none"/>
              </v:shape>
              <v:shape style="position:absolute;left:3580;top:118;width:1519;height:169" type="#_x0000_t202" filled="false" stroked="false">
                <v:textbox inset="0,0,0,0">
                  <w:txbxContent>
                    <w:p>
                      <w:pPr>
                        <w:spacing w:line="168" w:lineRule="exact" w:before="0"/>
                        <w:ind w:left="0" w:right="0" w:firstLine="0"/>
                        <w:jc w:val="left"/>
                        <w:rPr>
                          <w:rFonts w:ascii="Times New Roman" w:hAnsi="Times New Roman" w:cs="Times New Roman" w:eastAsia="Times New Roman" w:hint="default"/>
                          <w:sz w:val="16"/>
                          <w:szCs w:val="16"/>
                        </w:rPr>
                      </w:pPr>
                      <w:r>
                        <w:rPr>
                          <w:rFonts w:ascii="宋体" w:hAnsi="宋体" w:cs="宋体" w:eastAsia="宋体" w:hint="default"/>
                          <w:w w:val="95"/>
                          <w:sz w:val="16"/>
                          <w:szCs w:val="16"/>
                        </w:rPr>
                        <w:t>应收账款计提比例</w:t>
                      </w:r>
                      <w:r>
                        <w:rPr>
                          <w:rFonts w:ascii="Times New Roman" w:hAnsi="Times New Roman" w:cs="Times New Roman" w:eastAsia="Times New Roman" w:hint="default"/>
                          <w:w w:val="95"/>
                          <w:sz w:val="16"/>
                          <w:szCs w:val="16"/>
                        </w:rPr>
                        <w:t>(%)</w:t>
                      </w:r>
                      <w:r>
                        <w:rPr>
                          <w:rFonts w:ascii="Times New Roman" w:hAnsi="Times New Roman" w:cs="Times New Roman" w:eastAsia="Times New Roman" w:hint="default"/>
                          <w:sz w:val="16"/>
                          <w:szCs w:val="16"/>
                        </w:rPr>
                      </w:r>
                    </w:p>
                  </w:txbxContent>
                </v:textbox>
                <w10:wrap type="none"/>
              </v:shape>
              <v:shape style="position:absolute;left:6129;top:118;width:1680;height:169" type="#_x0000_t202" filled="false" stroked="false">
                <v:textbox inset="0,0,0,0">
                  <w:txbxContent>
                    <w:p>
                      <w:pPr>
                        <w:spacing w:line="168" w:lineRule="exact" w:before="0"/>
                        <w:ind w:left="0" w:right="0" w:firstLine="0"/>
                        <w:jc w:val="left"/>
                        <w:rPr>
                          <w:rFonts w:ascii="Times New Roman" w:hAnsi="Times New Roman" w:cs="Times New Roman" w:eastAsia="Times New Roman" w:hint="default"/>
                          <w:sz w:val="16"/>
                          <w:szCs w:val="16"/>
                        </w:rPr>
                      </w:pPr>
                      <w:r>
                        <w:rPr>
                          <w:rFonts w:ascii="宋体" w:hAnsi="宋体" w:cs="宋体" w:eastAsia="宋体" w:hint="default"/>
                          <w:w w:val="95"/>
                          <w:sz w:val="16"/>
                          <w:szCs w:val="16"/>
                        </w:rPr>
                        <w:t>其他应收款计提比例</w:t>
                      </w:r>
                      <w:r>
                        <w:rPr>
                          <w:rFonts w:ascii="Times New Roman" w:hAnsi="Times New Roman" w:cs="Times New Roman" w:eastAsia="Times New Roman" w:hint="default"/>
                          <w:w w:val="95"/>
                          <w:sz w:val="16"/>
                          <w:szCs w:val="16"/>
                        </w:rPr>
                        <w:t>(%)</w:t>
                      </w:r>
                      <w:r>
                        <w:rPr>
                          <w:rFonts w:ascii="Times New Roman" w:hAnsi="Times New Roman" w:cs="Times New Roman" w:eastAsia="Times New Roman" w:hint="default"/>
                          <w:sz w:val="16"/>
                          <w:szCs w:val="16"/>
                        </w:rPr>
                      </w:r>
                    </w:p>
                  </w:txbxContent>
                </v:textbox>
                <w10:wrap type="none"/>
              </v:shape>
              <v:shape style="position:absolute;left:137;top:466;width:2714;height:169" type="#_x0000_t202" filled="false" stroked="false">
                <v:textbox inset="0,0,0,0">
                  <w:txbxContent>
                    <w:p>
                      <w:pPr>
                        <w:spacing w:line="16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组合</w:t>
                      </w:r>
                      <w:r>
                        <w:rPr>
                          <w:rFonts w:ascii="宋体" w:hAnsi="宋体" w:cs="宋体" w:eastAsia="宋体" w:hint="default"/>
                          <w:spacing w:val="-9"/>
                          <w:sz w:val="16"/>
                          <w:szCs w:val="16"/>
                        </w:rPr>
                        <w:t> </w:t>
                      </w:r>
                      <w:r>
                        <w:rPr>
                          <w:rFonts w:ascii="Times New Roman" w:hAnsi="Times New Roman" w:cs="Times New Roman" w:eastAsia="Times New Roman" w:hint="default"/>
                          <w:sz w:val="16"/>
                          <w:szCs w:val="16"/>
                        </w:rPr>
                        <w:t>1</w:t>
                      </w:r>
                      <w:r>
                        <w:rPr>
                          <w:rFonts w:ascii="宋体" w:hAnsi="宋体" w:cs="宋体" w:eastAsia="宋体" w:hint="default"/>
                          <w:sz w:val="16"/>
                          <w:szCs w:val="16"/>
                        </w:rPr>
                        <w:t>：在合同规定的收款账期内的应</w:t>
                      </w:r>
                    </w:p>
                  </w:txbxContent>
                </v:textbox>
                <w10:wrap type="none"/>
              </v:shape>
              <v:shape style="position:absolute;left:5333;top:481;width:28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z w:val="16"/>
                        </w:rPr>
                        <w:t>0.00</w:t>
                      </w:r>
                    </w:p>
                  </w:txbxContent>
                </v:textbox>
                <w10:wrap type="none"/>
              </v:shape>
              <v:shape style="position:absolute;left:7829;top:481;width:28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z w:val="16"/>
                        </w:rPr>
                        <w:t>0.00</w:t>
                      </w:r>
                    </w:p>
                  </w:txbxContent>
                </v:textbox>
                <w10:wrap type="none"/>
              </v:shape>
            </v:group>
          </v:group>
        </w:pict>
      </w:r>
      <w:r>
        <w:rPr>
          <w:rFonts w:ascii="宋体" w:hAnsi="宋体" w:cs="宋体" w:eastAsia="宋体" w:hint="default"/>
          <w:position w:val="-14"/>
          <w:sz w:val="20"/>
          <w:szCs w:val="20"/>
        </w:rPr>
      </w:r>
    </w:p>
    <w:p>
      <w:pPr>
        <w:spacing w:after="0" w:line="747" w:lineRule="exact"/>
        <w:rPr>
          <w:rFonts w:ascii="宋体" w:hAnsi="宋体" w:cs="宋体" w:eastAsia="宋体" w:hint="default"/>
          <w:sz w:val="20"/>
          <w:szCs w:val="20"/>
        </w:rPr>
        <w:sectPr>
          <w:pgSz w:w="11910" w:h="16840"/>
          <w:pgMar w:header="1302" w:footer="1001" w:top="1520" w:bottom="1200" w:left="1660" w:right="0"/>
        </w:sectPr>
      </w:pPr>
    </w:p>
    <w:p>
      <w:pPr>
        <w:spacing w:line="240" w:lineRule="auto" w:before="2"/>
        <w:rPr>
          <w:rFonts w:ascii="宋体" w:hAnsi="宋体" w:cs="宋体" w:eastAsia="宋体" w:hint="default"/>
          <w:sz w:val="9"/>
          <w:szCs w:val="9"/>
        </w:rPr>
      </w:pPr>
    </w:p>
    <w:p>
      <w:pPr>
        <w:spacing w:line="748" w:lineRule="exact"/>
        <w:ind w:left="720" w:right="0" w:firstLine="0"/>
        <w:rPr>
          <w:rFonts w:ascii="宋体" w:hAnsi="宋体" w:cs="宋体" w:eastAsia="宋体" w:hint="default"/>
          <w:sz w:val="20"/>
          <w:szCs w:val="20"/>
        </w:rPr>
      </w:pPr>
      <w:r>
        <w:rPr>
          <w:rFonts w:ascii="宋体" w:hAnsi="宋体" w:cs="宋体" w:eastAsia="宋体" w:hint="default"/>
          <w:position w:val="-14"/>
          <w:sz w:val="20"/>
          <w:szCs w:val="20"/>
        </w:rPr>
        <w:pict>
          <v:group style="width:411.6pt;height:37.450pt;mso-position-horizontal-relative:char;mso-position-vertical-relative:line" coordorigin="0,0" coordsize="8232,749">
            <v:group style="position:absolute;left:29;top:15;width:2927;height:2" coordorigin="29,15" coordsize="2927,2">
              <v:shape style="position:absolute;left:29;top:15;width:2927;height:2" coordorigin="29,15" coordsize="2927,0" path="m29,15l2956,15e" filled="false" stroked="true" strokeweight="1.5pt" strokecolor="#000000">
                <v:path arrowok="t"/>
              </v:shape>
              <v:shape style="position:absolute;left:2956;top:30;width:10;height:28" type="#_x0000_t75" stroked="false">
                <v:imagedata r:id="rId37" o:title=""/>
              </v:shape>
            </v:group>
            <v:group style="position:absolute;left:2956;top:15;width:2760;height:2" coordorigin="2956,15" coordsize="2760,2">
              <v:shape style="position:absolute;left:2956;top:15;width:2760;height:2" coordorigin="2956,15" coordsize="2760,0" path="m2956,15l5716,15e" filled="false" stroked="true" strokeweight="1.5pt" strokecolor="#000000">
                <v:path arrowok="t"/>
              </v:shape>
              <v:shape style="position:absolute;left:5716;top:30;width:10;height:28" type="#_x0000_t75" stroked="false">
                <v:imagedata r:id="rId37" o:title=""/>
              </v:shape>
            </v:group>
            <v:group style="position:absolute;left:5716;top:15;width:2501;height:2" coordorigin="5716,15" coordsize="2501,2">
              <v:shape style="position:absolute;left:5716;top:15;width:2501;height:2" coordorigin="5716,15" coordsize="2501,0" path="m5716,15l8217,15e" filled="false" stroked="true" strokeweight="1.5pt" strokecolor="#000000">
                <v:path arrowok="t"/>
              </v:shape>
            </v:group>
            <v:group style="position:absolute;left:15;top:734;width:2942;height:2" coordorigin="15,734" coordsize="2942,2">
              <v:shape style="position:absolute;left:15;top:734;width:2942;height:2" coordorigin="15,734" coordsize="2942,0" path="m15,734l2956,734e" filled="false" stroked="true" strokeweight="1.5pt" strokecolor="#000000">
                <v:path arrowok="t"/>
              </v:shape>
            </v:group>
            <v:group style="position:absolute;left:2956;top:734;width:2760;height:2" coordorigin="2956,734" coordsize="2760,2">
              <v:shape style="position:absolute;left:2956;top:734;width:2760;height:2" coordorigin="2956,734" coordsize="2760,0" path="m2956,734l5716,734e" filled="false" stroked="true" strokeweight="1.5pt" strokecolor="#000000">
                <v:path arrowok="t"/>
              </v:shape>
              <v:shape style="position:absolute;left:10;top:38;width:8212;height:680" type="#_x0000_t75" stroked="false">
                <v:imagedata r:id="rId38" o:title=""/>
              </v:shape>
            </v:group>
            <v:group style="position:absolute;left:5716;top:734;width:2501;height:2" coordorigin="5716,734" coordsize="2501,2">
              <v:shape style="position:absolute;left:5716;top:734;width:2501;height:2" coordorigin="5716,734" coordsize="2501,0" path="m5716,734l8217,734e" filled="false" stroked="true" strokeweight="1.5pt" strokecolor="#000000">
                <v:path arrowok="t"/>
              </v:shape>
              <v:shape style="position:absolute;left:1175;top:11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组合名称</w:t>
                      </w:r>
                      <w:r>
                        <w:rPr>
                          <w:rFonts w:ascii="宋体" w:hAnsi="宋体" w:cs="宋体" w:eastAsia="宋体" w:hint="default"/>
                          <w:sz w:val="16"/>
                          <w:szCs w:val="16"/>
                        </w:rPr>
                      </w:r>
                    </w:p>
                  </w:txbxContent>
                </v:textbox>
                <w10:wrap type="none"/>
              </v:shape>
              <v:shape style="position:absolute;left:3580;top:118;width:1519;height:169" type="#_x0000_t202" filled="false" stroked="false">
                <v:textbox inset="0,0,0,0">
                  <w:txbxContent>
                    <w:p>
                      <w:pPr>
                        <w:spacing w:line="168" w:lineRule="exact" w:before="0"/>
                        <w:ind w:left="0" w:right="0" w:firstLine="0"/>
                        <w:jc w:val="left"/>
                        <w:rPr>
                          <w:rFonts w:ascii="Times New Roman" w:hAnsi="Times New Roman" w:cs="Times New Roman" w:eastAsia="Times New Roman" w:hint="default"/>
                          <w:sz w:val="16"/>
                          <w:szCs w:val="16"/>
                        </w:rPr>
                      </w:pPr>
                      <w:r>
                        <w:rPr>
                          <w:rFonts w:ascii="宋体" w:hAnsi="宋体" w:cs="宋体" w:eastAsia="宋体" w:hint="default"/>
                          <w:w w:val="95"/>
                          <w:sz w:val="16"/>
                          <w:szCs w:val="16"/>
                        </w:rPr>
                        <w:t>应收账款计提比例</w:t>
                      </w:r>
                      <w:r>
                        <w:rPr>
                          <w:rFonts w:ascii="Times New Roman" w:hAnsi="Times New Roman" w:cs="Times New Roman" w:eastAsia="Times New Roman" w:hint="default"/>
                          <w:w w:val="95"/>
                          <w:sz w:val="16"/>
                          <w:szCs w:val="16"/>
                        </w:rPr>
                        <w:t>(%)</w:t>
                      </w:r>
                      <w:r>
                        <w:rPr>
                          <w:rFonts w:ascii="Times New Roman" w:hAnsi="Times New Roman" w:cs="Times New Roman" w:eastAsia="Times New Roman" w:hint="default"/>
                          <w:sz w:val="16"/>
                          <w:szCs w:val="16"/>
                        </w:rPr>
                      </w:r>
                    </w:p>
                  </w:txbxContent>
                </v:textbox>
                <w10:wrap type="none"/>
              </v:shape>
              <v:shape style="position:absolute;left:6129;top:118;width:1680;height:169" type="#_x0000_t202" filled="false" stroked="false">
                <v:textbox inset="0,0,0,0">
                  <w:txbxContent>
                    <w:p>
                      <w:pPr>
                        <w:spacing w:line="168" w:lineRule="exact" w:before="0"/>
                        <w:ind w:left="0" w:right="0" w:firstLine="0"/>
                        <w:jc w:val="left"/>
                        <w:rPr>
                          <w:rFonts w:ascii="Times New Roman" w:hAnsi="Times New Roman" w:cs="Times New Roman" w:eastAsia="Times New Roman" w:hint="default"/>
                          <w:sz w:val="16"/>
                          <w:szCs w:val="16"/>
                        </w:rPr>
                      </w:pPr>
                      <w:r>
                        <w:rPr>
                          <w:rFonts w:ascii="宋体" w:hAnsi="宋体" w:cs="宋体" w:eastAsia="宋体" w:hint="default"/>
                          <w:w w:val="95"/>
                          <w:sz w:val="16"/>
                          <w:szCs w:val="16"/>
                        </w:rPr>
                        <w:t>其他应收款计提比例</w:t>
                      </w:r>
                      <w:r>
                        <w:rPr>
                          <w:rFonts w:ascii="Times New Roman" w:hAnsi="Times New Roman" w:cs="Times New Roman" w:eastAsia="Times New Roman" w:hint="default"/>
                          <w:w w:val="95"/>
                          <w:sz w:val="16"/>
                          <w:szCs w:val="16"/>
                        </w:rPr>
                        <w:t>(%)</w:t>
                      </w:r>
                      <w:r>
                        <w:rPr>
                          <w:rFonts w:ascii="Times New Roman" w:hAnsi="Times New Roman" w:cs="Times New Roman" w:eastAsia="Times New Roman" w:hint="default"/>
                          <w:sz w:val="16"/>
                          <w:szCs w:val="16"/>
                        </w:rPr>
                      </w:r>
                    </w:p>
                  </w:txbxContent>
                </v:textbox>
                <w10:wrap type="none"/>
              </v:shape>
              <v:shape style="position:absolute;left:137;top:430;width:4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收款项</w:t>
                      </w:r>
                      <w:r>
                        <w:rPr>
                          <w:rFonts w:ascii="宋体" w:hAnsi="宋体" w:cs="宋体" w:eastAsia="宋体" w:hint="default"/>
                          <w:sz w:val="16"/>
                          <w:szCs w:val="16"/>
                        </w:rPr>
                      </w:r>
                    </w:p>
                  </w:txbxContent>
                </v:textbox>
                <w10:wrap type="none"/>
              </v:shape>
            </v:group>
          </v:group>
        </w:pict>
      </w:r>
      <w:r>
        <w:rPr>
          <w:rFonts w:ascii="宋体" w:hAnsi="宋体" w:cs="宋体" w:eastAsia="宋体" w:hint="default"/>
          <w:position w:val="-14"/>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6"/>
          <w:szCs w:val="16"/>
        </w:rPr>
      </w:pPr>
    </w:p>
    <w:p>
      <w:pPr>
        <w:tabs>
          <w:tab w:pos="1397" w:val="left" w:leader="none"/>
        </w:tabs>
        <w:spacing w:line="345" w:lineRule="auto" w:before="35"/>
        <w:ind w:left="1413" w:right="1899" w:hanging="567"/>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单项金额不重大但单独计提坏账准备的应收款项：</w:t>
      </w:r>
      <w:r>
        <w:rPr>
          <w:rFonts w:ascii="宋体" w:hAnsi="宋体" w:cs="宋体" w:eastAsia="宋体" w:hint="default"/>
          <w:b/>
          <w:bCs/>
          <w:w w:val="99"/>
          <w:sz w:val="21"/>
          <w:szCs w:val="21"/>
        </w:rPr>
        <w:t> </w:t>
      </w:r>
      <w:r>
        <w:rPr>
          <w:rFonts w:ascii="宋体" w:hAnsi="宋体" w:cs="宋体" w:eastAsia="宋体" w:hint="default"/>
          <w:sz w:val="21"/>
          <w:szCs w:val="21"/>
        </w:rPr>
        <w:t>单独计提坏账准备的理由： 单项金额不重大且按照组合计提坏账准备不能反映其风险特征的应收款项。 坏账准备的计提方法： 根据其未来现金流量现值低于其账面价值的差额，计提坏账准备。</w:t>
      </w:r>
    </w:p>
    <w:p>
      <w:pPr>
        <w:spacing w:line="240" w:lineRule="auto" w:before="0"/>
        <w:rPr>
          <w:rFonts w:ascii="宋体" w:hAnsi="宋体" w:cs="宋体" w:eastAsia="宋体" w:hint="default"/>
          <w:sz w:val="20"/>
          <w:szCs w:val="20"/>
        </w:rPr>
      </w:pPr>
    </w:p>
    <w:p>
      <w:pPr>
        <w:pStyle w:val="Heading5"/>
        <w:spacing w:line="240" w:lineRule="auto" w:before="171"/>
        <w:ind w:right="3681"/>
        <w:jc w:val="left"/>
        <w:rPr>
          <w:b w:val="0"/>
          <w:bCs w:val="0"/>
        </w:rPr>
      </w:pPr>
      <w:r>
        <w:rPr>
          <w:rFonts w:ascii="Times New Roman" w:hAnsi="Times New Roman" w:cs="Times New Roman" w:eastAsia="Times New Roman" w:hint="default"/>
        </w:rPr>
        <w:t>(</w:t>
      </w:r>
      <w:r>
        <w:rPr/>
        <w:t>十二</w:t>
      </w:r>
      <w:r>
        <w:rPr>
          <w:rFonts w:ascii="Times New Roman" w:hAnsi="Times New Roman" w:cs="Times New Roman" w:eastAsia="Times New Roman" w:hint="default"/>
        </w:rPr>
        <w:t>) </w:t>
      </w:r>
      <w:r>
        <w:rPr>
          <w:rFonts w:ascii="Times New Roman" w:hAnsi="Times New Roman" w:cs="Times New Roman" w:eastAsia="Times New Roman" w:hint="default"/>
          <w:spacing w:val="46"/>
        </w:rPr>
        <w:t> </w:t>
      </w:r>
      <w:r>
        <w:rPr/>
        <w:t>存货</w:t>
      </w:r>
      <w:r>
        <w:rPr>
          <w:b w:val="0"/>
          <w:bCs w:val="0"/>
        </w:rPr>
      </w:r>
    </w:p>
    <w:p>
      <w:pPr>
        <w:pStyle w:val="Heading5"/>
        <w:tabs>
          <w:tab w:pos="1397" w:val="left" w:leader="none"/>
        </w:tabs>
        <w:spacing w:line="240" w:lineRule="auto" w:before="109"/>
        <w:ind w:left="846" w:right="3681"/>
        <w:jc w:val="left"/>
        <w:rPr>
          <w:b w:val="0"/>
          <w:bCs w:val="0"/>
        </w:rPr>
      </w:pPr>
      <w:r>
        <w:rPr>
          <w:rFonts w:ascii="Times New Roman" w:hAnsi="Times New Roman" w:cs="Times New Roman" w:eastAsia="Times New Roman" w:hint="default"/>
          <w:w w:val="95"/>
        </w:rPr>
        <w:t>1</w:t>
      </w:r>
      <w:r>
        <w:rPr>
          <w:w w:val="95"/>
        </w:rPr>
        <w:t>、</w:t>
        <w:tab/>
      </w:r>
      <w:r>
        <w:rPr/>
        <w:t>存货的分类</w:t>
      </w:r>
      <w:r>
        <w:rPr>
          <w:b w:val="0"/>
          <w:bCs w:val="0"/>
        </w:rPr>
      </w:r>
    </w:p>
    <w:p>
      <w:pPr>
        <w:pStyle w:val="BodyText"/>
        <w:spacing w:line="240" w:lineRule="auto"/>
        <w:ind w:right="1793"/>
        <w:jc w:val="left"/>
      </w:pPr>
      <w:r>
        <w:rPr/>
        <w:t>存货分类为：原材料、产成品、在产品、低值易耗品等。</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pStyle w:val="BodyText"/>
        <w:tabs>
          <w:tab w:pos="1397" w:val="left" w:leader="none"/>
        </w:tabs>
        <w:spacing w:line="340" w:lineRule="auto" w:before="0"/>
        <w:ind w:right="1793" w:hanging="567"/>
        <w:jc w:val="left"/>
      </w:pPr>
      <w:r>
        <w:rPr>
          <w:rFonts w:ascii="Times New Roman" w:hAnsi="Times New Roman" w:cs="Times New Roman" w:eastAsia="Times New Roman" w:hint="default"/>
          <w:b/>
          <w:bCs/>
          <w:w w:val="95"/>
        </w:rPr>
        <w:t>2</w:t>
      </w:r>
      <w:r>
        <w:rPr>
          <w:rFonts w:ascii="宋体" w:hAnsi="宋体" w:cs="宋体" w:eastAsia="宋体" w:hint="default"/>
          <w:b/>
          <w:bCs/>
          <w:w w:val="95"/>
        </w:rPr>
        <w:t>、</w:t>
        <w:tab/>
      </w:r>
      <w:r>
        <w:rPr>
          <w:rFonts w:ascii="宋体" w:hAnsi="宋体" w:cs="宋体" w:eastAsia="宋体" w:hint="default"/>
          <w:b/>
          <w:bCs/>
        </w:rPr>
        <w:t>发出存货的计价方法</w:t>
      </w:r>
      <w:r>
        <w:rPr>
          <w:rFonts w:ascii="宋体" w:hAnsi="宋体" w:cs="宋体" w:eastAsia="宋体" w:hint="default"/>
          <w:b/>
          <w:bCs/>
          <w:spacing w:val="1"/>
          <w:w w:val="99"/>
        </w:rPr>
        <w:t> </w:t>
      </w:r>
      <w:r>
        <w:rPr>
          <w:spacing w:val="-4"/>
        </w:rPr>
        <w:t>存货在取得时按实际成本计价；领用或发出存货，采用标准成本核算，月末按</w:t>
      </w:r>
      <w:r>
        <w:rPr/>
        <w:t> 成本差异率将标准成本调整为实际成本。</w:t>
      </w:r>
    </w:p>
    <w:p>
      <w:pPr>
        <w:spacing w:line="240" w:lineRule="auto" w:before="0"/>
        <w:rPr>
          <w:rFonts w:ascii="宋体" w:hAnsi="宋体" w:cs="宋体" w:eastAsia="宋体" w:hint="default"/>
          <w:sz w:val="20"/>
          <w:szCs w:val="20"/>
        </w:rPr>
      </w:pPr>
    </w:p>
    <w:p>
      <w:pPr>
        <w:pStyle w:val="BodyText"/>
        <w:tabs>
          <w:tab w:pos="1397" w:val="left" w:leader="none"/>
        </w:tabs>
        <w:spacing w:line="348" w:lineRule="auto" w:before="174"/>
        <w:ind w:right="1689" w:hanging="567"/>
        <w:jc w:val="left"/>
      </w:pPr>
      <w:r>
        <w:rPr>
          <w:rFonts w:ascii="Times New Roman" w:hAnsi="Times New Roman" w:cs="Times New Roman" w:eastAsia="Times New Roman" w:hint="default"/>
          <w:b/>
          <w:bCs/>
          <w:w w:val="95"/>
        </w:rPr>
        <w:t>3</w:t>
      </w:r>
      <w:r>
        <w:rPr>
          <w:rFonts w:ascii="宋体" w:hAnsi="宋体" w:cs="宋体" w:eastAsia="宋体" w:hint="default"/>
          <w:b/>
          <w:bCs/>
          <w:w w:val="95"/>
        </w:rPr>
        <w:t>、</w:t>
        <w:tab/>
      </w:r>
      <w:r>
        <w:rPr>
          <w:rFonts w:ascii="宋体" w:hAnsi="宋体" w:cs="宋体" w:eastAsia="宋体" w:hint="default"/>
          <w:b/>
          <w:bCs/>
        </w:rPr>
        <w:t>不同类别存货可变现净值的确定依据</w:t>
      </w:r>
      <w:r>
        <w:rPr>
          <w:rFonts w:ascii="宋体" w:hAnsi="宋体" w:cs="宋体" w:eastAsia="宋体" w:hint="default"/>
          <w:b/>
          <w:bCs/>
          <w:w w:val="99"/>
        </w:rPr>
        <w:t> </w:t>
      </w:r>
      <w:r>
        <w:rPr>
          <w:spacing w:val="-4"/>
        </w:rPr>
        <w:t>产成品、库存商品和用于出售的材料等直接用于出售的商品存货，在正常生产</w:t>
      </w:r>
      <w:r>
        <w:rPr/>
        <w:t> 经营过程中，以该存货的估计售价减去估计的销售费用和相关税费后的金额， </w:t>
      </w:r>
      <w:r>
        <w:rPr>
          <w:spacing w:val="-4"/>
        </w:rPr>
        <w:t>确定其可变现净值；需要经过加工的材料存货，在正常生产经营过程中，以所</w:t>
      </w:r>
      <w:r>
        <w:rPr/>
        <w:t> </w:t>
      </w:r>
      <w:r>
        <w:rPr>
          <w:spacing w:val="-4"/>
        </w:rPr>
        <w:t>生产的产成品的估计售价减去至完工时估计将要发生的成本、估计的销售费用</w:t>
      </w:r>
      <w:r>
        <w:rPr/>
        <w:t> </w:t>
      </w:r>
      <w:r>
        <w:rPr>
          <w:spacing w:val="-4"/>
        </w:rPr>
        <w:t>和相关税费后的金额，确定其可变现净值；为执行销售合同或者劳务合同而持</w:t>
      </w:r>
      <w:r>
        <w:rPr/>
        <w:t> </w:t>
      </w:r>
      <w:r>
        <w:rPr>
          <w:spacing w:val="-4"/>
        </w:rPr>
        <w:t>有的存货，其可变现净值以合同价格为基础计算，若持有存货的数量多于销售</w:t>
      </w:r>
      <w:r>
        <w:rPr/>
        <w:t> 合同订购数量的，超出部分的存货的可变现净值以一般销售价格为基础计算。 </w:t>
      </w:r>
      <w:r>
        <w:rPr>
          <w:spacing w:val="-6"/>
        </w:rPr>
        <w:t>期末按照单个存货项目计提存货跌价准备；但对于数量繁多、单价较低的存货，</w:t>
      </w:r>
      <w:r>
        <w:rPr/>
        <w:t> 按照存货类别计提存货跌价准备；与在同一地区生产和销售的产品系列相关、 </w:t>
      </w:r>
      <w:r>
        <w:rPr>
          <w:spacing w:val="-4"/>
        </w:rPr>
        <w:t>具有相同或类似最终用途或目的，且难以与其他项目分开计量的存货，则合并</w:t>
      </w:r>
      <w:r>
        <w:rPr/>
        <w:t> 计提存货跌价准备。 </w:t>
      </w:r>
      <w:r>
        <w:rPr>
          <w:spacing w:val="-4"/>
        </w:rPr>
        <w:t>除有明确证据表明资产负债表日市场价格异常外，存货项目的可变现净值以资</w:t>
      </w:r>
      <w:r>
        <w:rPr/>
        <w:t> 产负债表日市场价格为基础确定。 本期期末存货项目的可变现净值以资产负债表日市场价格为基础确定。</w:t>
      </w:r>
    </w:p>
    <w:p>
      <w:pPr>
        <w:spacing w:after="0" w:line="348" w:lineRule="auto"/>
        <w:jc w:val="left"/>
        <w:sectPr>
          <w:pgSz w:w="11910" w:h="16840"/>
          <w:pgMar w:header="1302" w:footer="1001" w:top="1520" w:bottom="1200" w:left="1660" w:right="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4"/>
          <w:szCs w:val="24"/>
        </w:rPr>
      </w:pPr>
    </w:p>
    <w:p>
      <w:pPr>
        <w:tabs>
          <w:tab w:pos="1397" w:val="left" w:leader="none"/>
        </w:tabs>
        <w:spacing w:line="328" w:lineRule="auto" w:before="35"/>
        <w:ind w:left="1413" w:right="7149" w:hanging="567"/>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4</w:t>
      </w:r>
      <w:r>
        <w:rPr>
          <w:rFonts w:ascii="宋体" w:hAnsi="宋体" w:cs="宋体" w:eastAsia="宋体" w:hint="default"/>
          <w:b/>
          <w:bCs/>
          <w:w w:val="95"/>
          <w:sz w:val="21"/>
          <w:szCs w:val="21"/>
        </w:rPr>
        <w:t>、</w:t>
        <w:tab/>
      </w:r>
      <w:r>
        <w:rPr>
          <w:rFonts w:ascii="宋体" w:hAnsi="宋体" w:cs="宋体" w:eastAsia="宋体" w:hint="default"/>
          <w:b/>
          <w:bCs/>
          <w:sz w:val="21"/>
          <w:szCs w:val="21"/>
        </w:rPr>
        <w:t>存货的盘存制度</w:t>
      </w:r>
      <w:r>
        <w:rPr>
          <w:rFonts w:ascii="宋体" w:hAnsi="宋体" w:cs="宋体" w:eastAsia="宋体" w:hint="default"/>
          <w:b/>
          <w:bCs/>
          <w:w w:val="99"/>
          <w:sz w:val="21"/>
          <w:szCs w:val="21"/>
        </w:rPr>
        <w:t> </w:t>
      </w:r>
      <w:r>
        <w:rPr>
          <w:rFonts w:ascii="宋体" w:hAnsi="宋体" w:cs="宋体" w:eastAsia="宋体" w:hint="default"/>
          <w:sz w:val="21"/>
          <w:szCs w:val="21"/>
        </w:rPr>
        <w:t>采用永续盘存制。</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4"/>
          <w:szCs w:val="24"/>
        </w:rPr>
      </w:pPr>
    </w:p>
    <w:p>
      <w:pPr>
        <w:pStyle w:val="Heading5"/>
        <w:tabs>
          <w:tab w:pos="1397" w:val="left" w:leader="none"/>
        </w:tabs>
        <w:spacing w:line="240" w:lineRule="auto" w:before="0"/>
        <w:ind w:left="846" w:right="3681"/>
        <w:jc w:val="left"/>
        <w:rPr>
          <w:b w:val="0"/>
          <w:bCs w:val="0"/>
        </w:rPr>
      </w:pPr>
      <w:r>
        <w:rPr>
          <w:rFonts w:ascii="Times New Roman" w:hAnsi="Times New Roman" w:cs="Times New Roman" w:eastAsia="Times New Roman" w:hint="default"/>
          <w:w w:val="95"/>
        </w:rPr>
        <w:t>5</w:t>
      </w:r>
      <w:r>
        <w:rPr>
          <w:w w:val="95"/>
        </w:rPr>
        <w:t>、</w:t>
        <w:tab/>
      </w:r>
      <w:r>
        <w:rPr/>
        <w:t>低值易耗品和包装物的摊销方法</w:t>
      </w:r>
      <w:r>
        <w:rPr>
          <w:b w:val="0"/>
          <w:bCs w:val="0"/>
        </w:rPr>
      </w:r>
    </w:p>
    <w:p>
      <w:pPr>
        <w:pStyle w:val="BodyText"/>
        <w:spacing w:line="240" w:lineRule="auto"/>
        <w:ind w:right="3681"/>
        <w:jc w:val="left"/>
      </w:pPr>
      <w:r>
        <w:rPr/>
        <w:t>（</w:t>
      </w:r>
      <w:r>
        <w:rPr>
          <w:rFonts w:ascii="Times New Roman" w:hAnsi="Times New Roman" w:cs="Times New Roman" w:eastAsia="Times New Roman" w:hint="default"/>
        </w:rPr>
        <w:t>1</w:t>
      </w:r>
      <w:r>
        <w:rPr/>
        <w:t>）低值易耗品采用一次转销法；</w:t>
      </w:r>
    </w:p>
    <w:p>
      <w:pPr>
        <w:pStyle w:val="BodyText"/>
        <w:spacing w:line="240" w:lineRule="auto" w:before="110"/>
        <w:ind w:right="3681"/>
        <w:jc w:val="left"/>
      </w:pPr>
      <w:r>
        <w:rPr/>
        <w:t>（</w:t>
      </w:r>
      <w:r>
        <w:rPr>
          <w:rFonts w:ascii="Times New Roman" w:hAnsi="Times New Roman" w:cs="Times New Roman" w:eastAsia="Times New Roman" w:hint="default"/>
        </w:rPr>
        <w:t>2</w:t>
      </w:r>
      <w:r>
        <w:rPr/>
        <w:t>）包装物采用一次转销法。</w:t>
      </w: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16"/>
          <w:szCs w:val="16"/>
        </w:rPr>
      </w:pPr>
    </w:p>
    <w:p>
      <w:pPr>
        <w:pStyle w:val="Heading5"/>
        <w:spacing w:line="240" w:lineRule="auto" w:before="0"/>
        <w:ind w:right="3681"/>
        <w:jc w:val="left"/>
        <w:rPr>
          <w:b w:val="0"/>
          <w:bCs w:val="0"/>
        </w:rPr>
      </w:pPr>
      <w:r>
        <w:rPr>
          <w:rFonts w:ascii="Times New Roman" w:hAnsi="Times New Roman" w:cs="Times New Roman" w:eastAsia="Times New Roman" w:hint="default"/>
        </w:rPr>
        <w:t>(</w:t>
      </w:r>
      <w:r>
        <w:rPr/>
        <w:t>十三</w:t>
      </w:r>
      <w:r>
        <w:rPr>
          <w:rFonts w:ascii="Times New Roman" w:hAnsi="Times New Roman" w:cs="Times New Roman" w:eastAsia="Times New Roman" w:hint="default"/>
        </w:rPr>
        <w:t>) </w:t>
      </w:r>
      <w:r>
        <w:rPr>
          <w:rFonts w:ascii="Times New Roman" w:hAnsi="Times New Roman" w:cs="Times New Roman" w:eastAsia="Times New Roman" w:hint="default"/>
          <w:spacing w:val="43"/>
        </w:rPr>
        <w:t> </w:t>
      </w:r>
      <w:r>
        <w:rPr/>
        <w:t>持有待售资产</w:t>
      </w:r>
      <w:r>
        <w:rPr>
          <w:b w:val="0"/>
          <w:bCs w:val="0"/>
        </w:rPr>
      </w:r>
    </w:p>
    <w:p>
      <w:pPr>
        <w:pStyle w:val="BodyText"/>
        <w:spacing w:line="240" w:lineRule="auto" w:before="110"/>
        <w:ind w:left="851" w:right="1793"/>
        <w:jc w:val="left"/>
      </w:pPr>
      <w:r>
        <w:rPr/>
        <w:t>本公司将同时满足下列条件的非流动资产或处置组划分为持有待售类别：</w:t>
      </w:r>
    </w:p>
    <w:p>
      <w:pPr>
        <w:pStyle w:val="BodyText"/>
        <w:spacing w:line="240" w:lineRule="auto" w:before="125"/>
        <w:ind w:left="851" w:right="1682"/>
        <w:jc w:val="left"/>
      </w:pPr>
      <w:r>
        <w:rPr/>
        <w:t>（</w:t>
      </w:r>
      <w:r>
        <w:rPr>
          <w:rFonts w:ascii="Times New Roman" w:hAnsi="Times New Roman" w:cs="Times New Roman" w:eastAsia="Times New Roman" w:hint="default"/>
        </w:rPr>
        <w:t>1</w:t>
      </w:r>
      <w:r>
        <w:rPr/>
        <w:t>）根据类似交易中出售此类资产或处置组的惯例，在当前状况下即可立即出售；</w:t>
      </w:r>
    </w:p>
    <w:p>
      <w:pPr>
        <w:pStyle w:val="BodyText"/>
        <w:spacing w:line="340" w:lineRule="auto"/>
        <w:ind w:left="851" w:right="1792"/>
        <w:jc w:val="both"/>
      </w:pPr>
      <w:r>
        <w:rPr>
          <w:spacing w:val="-2"/>
        </w:rPr>
        <w:t>（</w:t>
      </w:r>
      <w:r>
        <w:rPr>
          <w:rFonts w:ascii="Times New Roman" w:hAnsi="Times New Roman" w:cs="Times New Roman" w:eastAsia="Times New Roman" w:hint="default"/>
          <w:spacing w:val="-2"/>
        </w:rPr>
        <w:t>2</w:t>
      </w:r>
      <w:r>
        <w:rPr>
          <w:spacing w:val="-2"/>
        </w:rPr>
        <w:t>）出售极可能发生，即本公司已经就一项出售计划作出决议且获得确定的购买承</w:t>
      </w:r>
      <w:r>
        <w:rPr>
          <w:spacing w:val="-100"/>
        </w:rPr>
        <w:t> </w:t>
      </w:r>
      <w:r>
        <w:rPr>
          <w:spacing w:val="-100"/>
        </w:rPr>
      </w:r>
      <w:r>
        <w:rPr/>
        <w:t>诺，预计出售将在一年内完成。有关规定要求本公司相关权力机构或者监管部门批 准后方可出售的，已经获得批准。</w:t>
      </w:r>
    </w:p>
    <w:p>
      <w:pPr>
        <w:spacing w:line="240" w:lineRule="auto" w:before="0"/>
        <w:rPr>
          <w:rFonts w:ascii="宋体" w:hAnsi="宋体" w:cs="宋体" w:eastAsia="宋体" w:hint="default"/>
          <w:sz w:val="20"/>
          <w:szCs w:val="20"/>
        </w:rPr>
      </w:pPr>
    </w:p>
    <w:p>
      <w:pPr>
        <w:pStyle w:val="Heading5"/>
        <w:spacing w:line="240" w:lineRule="auto" w:before="175"/>
        <w:ind w:right="3681"/>
        <w:jc w:val="left"/>
        <w:rPr>
          <w:b w:val="0"/>
          <w:bCs w:val="0"/>
        </w:rPr>
      </w:pPr>
      <w:r>
        <w:rPr>
          <w:rFonts w:ascii="Times New Roman" w:hAnsi="Times New Roman" w:cs="Times New Roman" w:eastAsia="Times New Roman" w:hint="default"/>
        </w:rPr>
        <w:t>(</w:t>
      </w:r>
      <w:r>
        <w:rPr/>
        <w:t>十四</w:t>
      </w:r>
      <w:r>
        <w:rPr>
          <w:rFonts w:ascii="Times New Roman" w:hAnsi="Times New Roman" w:cs="Times New Roman" w:eastAsia="Times New Roman" w:hint="default"/>
        </w:rPr>
        <w:t>) </w:t>
      </w:r>
      <w:r>
        <w:rPr>
          <w:rFonts w:ascii="Times New Roman" w:hAnsi="Times New Roman" w:cs="Times New Roman" w:eastAsia="Times New Roman" w:hint="default"/>
          <w:spacing w:val="43"/>
        </w:rPr>
        <w:t> </w:t>
      </w:r>
      <w:r>
        <w:rPr/>
        <w:t>长期股权投资</w:t>
      </w:r>
      <w:r>
        <w:rPr>
          <w:b w:val="0"/>
          <w:bCs w:val="0"/>
        </w:rPr>
      </w:r>
    </w:p>
    <w:p>
      <w:pPr>
        <w:pStyle w:val="BodyText"/>
        <w:tabs>
          <w:tab w:pos="1397" w:val="left" w:leader="none"/>
        </w:tabs>
        <w:spacing w:line="345" w:lineRule="auto"/>
        <w:ind w:right="1792" w:hanging="567"/>
        <w:jc w:val="left"/>
      </w:pPr>
      <w:r>
        <w:rPr>
          <w:rFonts w:ascii="Times New Roman" w:hAnsi="Times New Roman" w:cs="Times New Roman" w:eastAsia="Times New Roman" w:hint="default"/>
          <w:b/>
          <w:bCs/>
          <w:w w:val="95"/>
        </w:rPr>
        <w:t>1</w:t>
      </w:r>
      <w:r>
        <w:rPr>
          <w:rFonts w:ascii="宋体" w:hAnsi="宋体" w:cs="宋体" w:eastAsia="宋体" w:hint="default"/>
          <w:b/>
          <w:bCs/>
          <w:w w:val="95"/>
        </w:rPr>
        <w:t>、</w:t>
        <w:tab/>
      </w:r>
      <w:r>
        <w:rPr>
          <w:rFonts w:ascii="宋体" w:hAnsi="宋体" w:cs="宋体" w:eastAsia="宋体" w:hint="default"/>
          <w:b/>
          <w:bCs/>
        </w:rPr>
        <w:t>共同控制、重大影响的判断标准</w:t>
      </w:r>
      <w:r>
        <w:rPr>
          <w:rFonts w:ascii="宋体" w:hAnsi="宋体" w:cs="宋体" w:eastAsia="宋体" w:hint="default"/>
          <w:b/>
          <w:bCs/>
          <w:spacing w:val="1"/>
          <w:w w:val="99"/>
        </w:rPr>
        <w:t> </w:t>
      </w:r>
      <w:r>
        <w:rPr>
          <w:spacing w:val="-4"/>
        </w:rPr>
        <w:t>共同控制，是指按照相关约定对某项安排所共有的控制，并且该安排的相关活</w:t>
      </w:r>
      <w:r>
        <w:rPr/>
        <w:t> </w:t>
      </w:r>
      <w:r>
        <w:rPr>
          <w:spacing w:val="-4"/>
        </w:rPr>
        <w:t>动必须经过分享控制权的参与方一致同意后才能决策。本公司与其他合营方一</w:t>
      </w:r>
      <w:r>
        <w:rPr/>
        <w:t> </w:t>
      </w:r>
      <w:r>
        <w:rPr>
          <w:spacing w:val="-4"/>
        </w:rPr>
        <w:t>同对被投资单位实施共同控制且对被投资单位净资产享有权利的，被投资单位</w:t>
      </w:r>
      <w:r>
        <w:rPr/>
        <w:t> 为本公司的合营企业。 </w:t>
      </w:r>
      <w:r>
        <w:rPr>
          <w:spacing w:val="-4"/>
        </w:rPr>
        <w:t>重大影响，是指对一个企业的财务和经营决策有参与决策的权力，但并不能够</w:t>
      </w:r>
      <w:r>
        <w:rPr/>
        <w:t> </w:t>
      </w:r>
      <w:r>
        <w:rPr>
          <w:spacing w:val="-4"/>
        </w:rPr>
        <w:t>控制或者与其他方一起共同控制这些政策的制定。本公司能够对被投资单位施</w:t>
      </w:r>
      <w:r>
        <w:rPr/>
        <w:t> 加重大影响的，被投资单位为本公司联营企业。</w:t>
      </w:r>
    </w:p>
    <w:p>
      <w:pPr>
        <w:spacing w:line="240" w:lineRule="auto" w:before="0"/>
        <w:rPr>
          <w:rFonts w:ascii="宋体" w:hAnsi="宋体" w:cs="宋体" w:eastAsia="宋体" w:hint="default"/>
          <w:sz w:val="20"/>
          <w:szCs w:val="20"/>
        </w:rPr>
      </w:pPr>
    </w:p>
    <w:p>
      <w:pPr>
        <w:pStyle w:val="Heading5"/>
        <w:tabs>
          <w:tab w:pos="1397" w:val="left" w:leader="none"/>
        </w:tabs>
        <w:spacing w:line="240" w:lineRule="auto" w:before="171"/>
        <w:ind w:left="846" w:right="3681"/>
        <w:jc w:val="left"/>
        <w:rPr>
          <w:b w:val="0"/>
          <w:bCs w:val="0"/>
        </w:rPr>
      </w:pPr>
      <w:r>
        <w:rPr>
          <w:rFonts w:ascii="Times New Roman" w:hAnsi="Times New Roman" w:cs="Times New Roman" w:eastAsia="Times New Roman" w:hint="default"/>
          <w:w w:val="95"/>
        </w:rPr>
        <w:t>2</w:t>
      </w:r>
      <w:r>
        <w:rPr>
          <w:w w:val="95"/>
        </w:rPr>
        <w:t>、</w:t>
        <w:tab/>
      </w:r>
      <w:r>
        <w:rPr/>
        <w:t>初始投资成本的确定</w:t>
      </w:r>
      <w:r>
        <w:rPr>
          <w:b w:val="0"/>
          <w:bCs w:val="0"/>
        </w:rPr>
      </w:r>
    </w:p>
    <w:p>
      <w:pPr>
        <w:pStyle w:val="BodyText"/>
        <w:spacing w:line="345" w:lineRule="auto"/>
        <w:ind w:right="1682" w:hanging="1"/>
        <w:jc w:val="left"/>
      </w:pPr>
      <w:r>
        <w:rPr/>
        <w:t>（</w:t>
      </w:r>
      <w:r>
        <w:rPr>
          <w:rFonts w:ascii="Times New Roman" w:hAnsi="Times New Roman" w:cs="Times New Roman" w:eastAsia="Times New Roman" w:hint="default"/>
        </w:rPr>
        <w:t>1</w:t>
      </w:r>
      <w:r>
        <w:rPr/>
        <w:t>）企业合并形成的长期股权投资 </w:t>
      </w:r>
      <w:r>
        <w:rPr>
          <w:spacing w:val="-4"/>
        </w:rPr>
        <w:t>同一控制下的企业合并：公司以支付现金、转让非现金资产或承担债务方式以</w:t>
      </w:r>
      <w:r>
        <w:rPr>
          <w:spacing w:val="-74"/>
        </w:rPr>
        <w:t> </w:t>
      </w:r>
      <w:r>
        <w:rPr>
          <w:spacing w:val="-74"/>
        </w:rPr>
      </w:r>
      <w:r>
        <w:rPr>
          <w:spacing w:val="-4"/>
        </w:rPr>
        <w:t>及以发行权益性证券作为合并对价的，在合并日按照取得被合并方所有者权益</w:t>
      </w:r>
      <w:r>
        <w:rPr>
          <w:spacing w:val="-74"/>
        </w:rPr>
        <w:t> </w:t>
      </w:r>
      <w:r>
        <w:rPr>
          <w:spacing w:val="-74"/>
        </w:rPr>
      </w:r>
      <w:r>
        <w:rPr/>
        <w:t>在最终控制方合并财务报表中的账面价值的份额作为长期股权投资的初始投 </w:t>
      </w:r>
      <w:r>
        <w:rPr>
          <w:spacing w:val="-4"/>
        </w:rPr>
        <w:t>资成本。因追加投资等原因能够对同一控制下的被投资单位实施控制的，在合</w:t>
      </w:r>
      <w:r>
        <w:rPr>
          <w:spacing w:val="-74"/>
        </w:rPr>
        <w:t> </w:t>
      </w:r>
      <w:r>
        <w:rPr>
          <w:spacing w:val="-74"/>
        </w:rPr>
      </w:r>
      <w:r>
        <w:rPr/>
        <w:t>并日根据合并后应享有被合并方净资产在最终控制方合并财务报表中的账面 </w:t>
      </w:r>
      <w:r>
        <w:rPr>
          <w:spacing w:val="-4"/>
        </w:rPr>
        <w:t>价值的份额，确定长期股权投资的初始投资成本。合并日长期股权投资的初始</w:t>
      </w:r>
    </w:p>
    <w:p>
      <w:pPr>
        <w:spacing w:after="0" w:line="345" w:lineRule="auto"/>
        <w:jc w:val="left"/>
        <w:sectPr>
          <w:pgSz w:w="11910" w:h="16840"/>
          <w:pgMar w:header="1302" w:footer="1001" w:top="1520" w:bottom="1200" w:left="1660" w:right="0"/>
        </w:sectPr>
      </w:pPr>
    </w:p>
    <w:p>
      <w:pPr>
        <w:spacing w:line="240" w:lineRule="auto" w:before="8"/>
        <w:rPr>
          <w:rFonts w:ascii="宋体" w:hAnsi="宋体" w:cs="宋体" w:eastAsia="宋体" w:hint="default"/>
          <w:sz w:val="13"/>
          <w:szCs w:val="13"/>
        </w:rPr>
      </w:pPr>
    </w:p>
    <w:p>
      <w:pPr>
        <w:pStyle w:val="BodyText"/>
        <w:spacing w:line="350" w:lineRule="auto" w:before="35"/>
        <w:ind w:right="1682"/>
        <w:jc w:val="left"/>
      </w:pPr>
      <w:r>
        <w:rPr>
          <w:spacing w:val="-4"/>
        </w:rPr>
        <w:t>投资成本，与达到合并前的长期股权投资账面价值加上合并日进一步取得股份</w:t>
      </w:r>
      <w:r>
        <w:rPr>
          <w:spacing w:val="-73"/>
        </w:rPr>
        <w:t> </w:t>
      </w:r>
      <w:r>
        <w:rPr>
          <w:spacing w:val="-73"/>
        </w:rPr>
      </w:r>
      <w:r>
        <w:rPr>
          <w:spacing w:val="-4"/>
        </w:rPr>
        <w:t>新支付对价的账面价值之和的差额，调整股本溢价，股本溢价不足冲减的，冲</w:t>
      </w:r>
      <w:r>
        <w:rPr>
          <w:spacing w:val="-74"/>
        </w:rPr>
        <w:t> </w:t>
      </w:r>
      <w:r>
        <w:rPr>
          <w:spacing w:val="-74"/>
        </w:rPr>
      </w:r>
      <w:r>
        <w:rPr/>
        <w:t>减留存收益。 </w:t>
      </w:r>
      <w:r>
        <w:rPr>
          <w:spacing w:val="-4"/>
        </w:rPr>
        <w:t>非同一控制下的企业合并：公司按照购买日确定的合并成本作为长期股权投资</w:t>
      </w:r>
      <w:r>
        <w:rPr>
          <w:spacing w:val="-73"/>
        </w:rPr>
        <w:t> </w:t>
      </w:r>
      <w:r>
        <w:rPr>
          <w:spacing w:val="-73"/>
        </w:rPr>
      </w:r>
      <w:r>
        <w:rPr>
          <w:spacing w:val="-4"/>
        </w:rPr>
        <w:t>的初始投资成本。因追加投资等原因能够对非同一控制下的被投资单位实施控</w:t>
      </w:r>
      <w:r>
        <w:rPr>
          <w:spacing w:val="-73"/>
        </w:rPr>
        <w:t> </w:t>
      </w:r>
      <w:r>
        <w:rPr>
          <w:spacing w:val="-73"/>
        </w:rPr>
      </w:r>
      <w:r>
        <w:rPr>
          <w:spacing w:val="-4"/>
        </w:rPr>
        <w:t>制的，按照原持有的股权投资账面价值加上新增投资成本之和，作为改按成本</w:t>
      </w:r>
      <w:r>
        <w:rPr>
          <w:spacing w:val="-73"/>
        </w:rPr>
        <w:t> </w:t>
      </w:r>
      <w:r>
        <w:rPr>
          <w:spacing w:val="-73"/>
        </w:rPr>
      </w:r>
      <w:r>
        <w:rPr/>
        <w:t>法核算的初始投资成本。</w:t>
      </w:r>
    </w:p>
    <w:p>
      <w:pPr>
        <w:pStyle w:val="BodyText"/>
        <w:spacing w:line="348" w:lineRule="auto" w:before="29"/>
        <w:ind w:right="1682" w:hanging="1"/>
        <w:jc w:val="left"/>
      </w:pPr>
      <w:r>
        <w:rPr/>
        <w:t>（</w:t>
      </w:r>
      <w:r>
        <w:rPr>
          <w:rFonts w:ascii="Times New Roman" w:hAnsi="Times New Roman" w:cs="Times New Roman" w:eastAsia="Times New Roman" w:hint="default"/>
        </w:rPr>
        <w:t>2</w:t>
      </w:r>
      <w:r>
        <w:rPr/>
        <w:t>）其他方式取得的长期股权投资 </w:t>
      </w:r>
      <w:r>
        <w:rPr>
          <w:spacing w:val="-4"/>
        </w:rPr>
        <w:t>以支付现金方式取得的长期股权投资，按照实际支付的购买价款作为初始投资</w:t>
      </w:r>
      <w:r>
        <w:rPr>
          <w:spacing w:val="-74"/>
        </w:rPr>
        <w:t> </w:t>
      </w:r>
      <w:r>
        <w:rPr>
          <w:spacing w:val="-74"/>
        </w:rPr>
      </w:r>
      <w:r>
        <w:rPr/>
        <w:t>成本。 </w:t>
      </w:r>
      <w:r>
        <w:rPr>
          <w:spacing w:val="-4"/>
        </w:rPr>
        <w:t>以发行权益性证券取得的长期股权投资，按照发行权益性证券的公允价值作为</w:t>
      </w:r>
      <w:r>
        <w:rPr>
          <w:spacing w:val="-74"/>
        </w:rPr>
        <w:t> </w:t>
      </w:r>
      <w:r>
        <w:rPr>
          <w:spacing w:val="-74"/>
        </w:rPr>
      </w:r>
      <w:r>
        <w:rPr/>
        <w:t>初始投资成本。 </w:t>
      </w:r>
      <w:r>
        <w:rPr>
          <w:spacing w:val="2"/>
        </w:rPr>
        <w:t>在非货币性资产交换具备商业实质和换入资产或换出资产的公允价值能够可</w:t>
      </w:r>
      <w:r>
        <w:rPr>
          <w:spacing w:val="-80"/>
        </w:rPr>
        <w:t> </w:t>
      </w:r>
      <w:r>
        <w:rPr>
          <w:spacing w:val="-80"/>
        </w:rPr>
      </w:r>
      <w:r>
        <w:rPr>
          <w:spacing w:val="-4"/>
        </w:rPr>
        <w:t>靠计量的前提下，非货币性资产交换换入的长期股权投资以换出资产的公允价</w:t>
      </w:r>
      <w:r>
        <w:rPr>
          <w:spacing w:val="-74"/>
        </w:rPr>
        <w:t> </w:t>
      </w:r>
      <w:r>
        <w:rPr>
          <w:spacing w:val="-74"/>
        </w:rPr>
      </w:r>
      <w:r>
        <w:rPr>
          <w:spacing w:val="-4"/>
        </w:rPr>
        <w:t>值和应支付的相关税费确定其初始投资成本，除非有确凿证据表明换入资产的</w:t>
      </w:r>
      <w:r>
        <w:rPr>
          <w:spacing w:val="-74"/>
        </w:rPr>
        <w:t> </w:t>
      </w:r>
      <w:r>
        <w:rPr>
          <w:spacing w:val="-74"/>
        </w:rPr>
      </w:r>
      <w:r>
        <w:rPr>
          <w:spacing w:val="-4"/>
        </w:rPr>
        <w:t>公允价值更加可靠；不满足上述前提的非货币性资产交换，以换出资产的账面</w:t>
      </w:r>
      <w:r>
        <w:rPr>
          <w:spacing w:val="-74"/>
        </w:rPr>
        <w:t> </w:t>
      </w:r>
      <w:r>
        <w:rPr>
          <w:spacing w:val="-74"/>
        </w:rPr>
      </w:r>
      <w:r>
        <w:rPr/>
        <w:t>价值和应支付的相关税费作为换入长期股权投资的初始投资成本。 </w:t>
      </w:r>
      <w:r>
        <w:rPr>
          <w:spacing w:val="2"/>
        </w:rPr>
        <w:t>通过债务重组取得的长期股权投资，其初始投资成本按照公允价值为基础确</w:t>
      </w:r>
      <w:r>
        <w:rPr>
          <w:spacing w:val="-80"/>
        </w:rPr>
        <w:t> </w:t>
      </w:r>
      <w:r>
        <w:rPr>
          <w:spacing w:val="-80"/>
        </w:rPr>
      </w:r>
      <w:r>
        <w:rPr/>
        <w:t>定。</w:t>
      </w:r>
    </w:p>
    <w:p>
      <w:pPr>
        <w:spacing w:line="240" w:lineRule="auto" w:before="0"/>
        <w:rPr>
          <w:rFonts w:ascii="宋体" w:hAnsi="宋体" w:cs="宋体" w:eastAsia="宋体" w:hint="default"/>
          <w:sz w:val="20"/>
          <w:szCs w:val="20"/>
        </w:rPr>
      </w:pPr>
    </w:p>
    <w:p>
      <w:pPr>
        <w:pStyle w:val="Heading5"/>
        <w:tabs>
          <w:tab w:pos="1397" w:val="left" w:leader="none"/>
        </w:tabs>
        <w:spacing w:line="240" w:lineRule="auto" w:before="169"/>
        <w:ind w:left="846" w:right="3681"/>
        <w:jc w:val="left"/>
        <w:rPr>
          <w:b w:val="0"/>
          <w:bCs w:val="0"/>
        </w:rPr>
      </w:pPr>
      <w:r>
        <w:rPr>
          <w:rFonts w:ascii="Times New Roman" w:hAnsi="Times New Roman" w:cs="Times New Roman" w:eastAsia="Times New Roman" w:hint="default"/>
          <w:w w:val="95"/>
        </w:rPr>
        <w:t>3</w:t>
      </w:r>
      <w:r>
        <w:rPr>
          <w:w w:val="95"/>
        </w:rPr>
        <w:t>、</w:t>
        <w:tab/>
      </w:r>
      <w:r>
        <w:rPr/>
        <w:t>后续计量及损益确认方法</w:t>
      </w:r>
      <w:r>
        <w:rPr>
          <w:b w:val="0"/>
          <w:bCs w:val="0"/>
        </w:rPr>
      </w:r>
    </w:p>
    <w:p>
      <w:pPr>
        <w:pStyle w:val="BodyText"/>
        <w:spacing w:line="343" w:lineRule="auto"/>
        <w:ind w:right="1682" w:hanging="1"/>
        <w:jc w:val="left"/>
      </w:pPr>
      <w:r>
        <w:rPr/>
        <w:t>（</w:t>
      </w:r>
      <w:r>
        <w:rPr>
          <w:rFonts w:ascii="Times New Roman" w:hAnsi="Times New Roman" w:cs="Times New Roman" w:eastAsia="Times New Roman" w:hint="default"/>
        </w:rPr>
        <w:t>1</w:t>
      </w:r>
      <w:r>
        <w:rPr/>
        <w:t>）成本法核算的长期股权投资 </w:t>
      </w:r>
      <w:r>
        <w:rPr>
          <w:spacing w:val="-4"/>
        </w:rPr>
        <w:t>公司对子公司的长期股权投资，采用成本法核算。除取得投资时实际支付的价</w:t>
      </w:r>
      <w:r>
        <w:rPr>
          <w:spacing w:val="-74"/>
        </w:rPr>
        <w:t> </w:t>
      </w:r>
      <w:r>
        <w:rPr>
          <w:spacing w:val="-74"/>
        </w:rPr>
      </w:r>
      <w:r>
        <w:rPr>
          <w:spacing w:val="-4"/>
        </w:rPr>
        <w:t>款或对价中包含的已宣告但尚未发放的现金股利或利润外，公司按照享有被投</w:t>
      </w:r>
      <w:r>
        <w:rPr>
          <w:spacing w:val="-74"/>
        </w:rPr>
        <w:t> </w:t>
      </w:r>
      <w:r>
        <w:rPr>
          <w:spacing w:val="-74"/>
        </w:rPr>
      </w:r>
      <w:r>
        <w:rPr/>
        <w:t>资单位宣告发放的现金股利或利润确认当期投资收益。</w:t>
      </w:r>
    </w:p>
    <w:p>
      <w:pPr>
        <w:pStyle w:val="BodyText"/>
        <w:spacing w:line="348" w:lineRule="auto" w:before="35"/>
        <w:ind w:right="1671" w:hanging="1"/>
        <w:jc w:val="left"/>
      </w:pPr>
      <w:r>
        <w:rPr/>
        <w:t>（</w:t>
      </w:r>
      <w:r>
        <w:rPr>
          <w:rFonts w:ascii="Times New Roman" w:hAnsi="Times New Roman" w:cs="Times New Roman" w:eastAsia="Times New Roman" w:hint="default"/>
        </w:rPr>
        <w:t>2</w:t>
      </w:r>
      <w:r>
        <w:rPr/>
        <w:t>）权益法核算的长期股权投资 </w:t>
      </w:r>
      <w:r>
        <w:rPr>
          <w:spacing w:val="-4"/>
        </w:rPr>
        <w:t>对联营企业和合营企业的长期股权投资，采用权益法核算。初始投资成本大于</w:t>
      </w:r>
      <w:r>
        <w:rPr>
          <w:spacing w:val="-74"/>
        </w:rPr>
        <w:t> </w:t>
      </w:r>
      <w:r>
        <w:rPr>
          <w:spacing w:val="-74"/>
        </w:rPr>
      </w:r>
      <w:r>
        <w:rPr>
          <w:spacing w:val="-4"/>
        </w:rPr>
        <w:t>投资时应享有被投资单位可辨认净资产公允价值份额的差额，不调整长期股权</w:t>
      </w:r>
      <w:r>
        <w:rPr>
          <w:spacing w:val="-74"/>
        </w:rPr>
        <w:t> </w:t>
      </w:r>
      <w:r>
        <w:rPr>
          <w:spacing w:val="-74"/>
        </w:rPr>
      </w:r>
      <w:r>
        <w:rPr>
          <w:spacing w:val="-4"/>
        </w:rPr>
        <w:t>投资的初始投资成本；初始投资成本小于投资时应享有被投资单位可辨认净资</w:t>
      </w:r>
      <w:r>
        <w:rPr>
          <w:spacing w:val="-74"/>
        </w:rPr>
        <w:t> </w:t>
      </w:r>
      <w:r>
        <w:rPr>
          <w:spacing w:val="-74"/>
        </w:rPr>
      </w:r>
      <w:r>
        <w:rPr/>
        <w:t>产公允价值份额的差额，计入当期损益。 公司按照应享有或应分担的被投资单位实现的净损益和其他综合收益的份额， </w:t>
      </w:r>
      <w:r>
        <w:rPr>
          <w:spacing w:val="-4"/>
        </w:rPr>
        <w:t>分别确认投资收益和其他综合收益，同时调整长期股权投资的账面价值；按照</w:t>
      </w:r>
      <w:r>
        <w:rPr>
          <w:spacing w:val="-74"/>
        </w:rPr>
        <w:t> </w:t>
      </w:r>
      <w:r>
        <w:rPr>
          <w:spacing w:val="-74"/>
        </w:rPr>
      </w:r>
      <w:r>
        <w:rPr>
          <w:spacing w:val="-4"/>
        </w:rPr>
        <w:t>被投资单位宣告分派的利润或现金股利计算应享有的部分，相应减少长期股权</w:t>
      </w:r>
      <w:r>
        <w:rPr>
          <w:spacing w:val="-74"/>
        </w:rPr>
        <w:t> </w:t>
      </w:r>
      <w:r>
        <w:rPr>
          <w:spacing w:val="-74"/>
        </w:rPr>
      </w:r>
      <w:r>
        <w:rPr>
          <w:spacing w:val="-4"/>
        </w:rPr>
        <w:t>投资的账面价值；对于被投资单位除净损益、其他综合收益和利润分配以外所</w:t>
      </w:r>
    </w:p>
    <w:p>
      <w:pPr>
        <w:spacing w:after="0" w:line="348" w:lineRule="auto"/>
        <w:jc w:val="left"/>
        <w:sectPr>
          <w:pgSz w:w="11910" w:h="16840"/>
          <w:pgMar w:header="1302" w:footer="1001" w:top="1520" w:bottom="1200" w:left="1660" w:right="0"/>
        </w:sectPr>
      </w:pPr>
    </w:p>
    <w:p>
      <w:pPr>
        <w:spacing w:line="240" w:lineRule="auto" w:before="8"/>
        <w:rPr>
          <w:rFonts w:ascii="宋体" w:hAnsi="宋体" w:cs="宋体" w:eastAsia="宋体" w:hint="default"/>
          <w:sz w:val="13"/>
          <w:szCs w:val="13"/>
        </w:rPr>
      </w:pPr>
    </w:p>
    <w:p>
      <w:pPr>
        <w:pStyle w:val="BodyText"/>
        <w:spacing w:line="350" w:lineRule="auto" w:before="35"/>
        <w:ind w:right="1671"/>
        <w:jc w:val="left"/>
      </w:pPr>
      <w:r>
        <w:rPr/>
        <w:t>有者权益的其他变动，调整长期股权投资的账面价值并计入所有者权益。 </w:t>
      </w:r>
      <w:r>
        <w:rPr>
          <w:spacing w:val="-4"/>
        </w:rPr>
        <w:t>在确认应享有被投资单位净损益的份额时，以取得投资时被投资单位可辨认净</w:t>
      </w:r>
      <w:r>
        <w:rPr>
          <w:spacing w:val="-73"/>
        </w:rPr>
        <w:t> </w:t>
      </w:r>
      <w:r>
        <w:rPr>
          <w:spacing w:val="-73"/>
        </w:rPr>
      </w:r>
      <w:r>
        <w:rPr>
          <w:spacing w:val="-4"/>
        </w:rPr>
        <w:t>资产的公允价值为基础，并按照公司的会计政策及会计期间，对被投资单位的</w:t>
      </w:r>
      <w:r>
        <w:rPr>
          <w:spacing w:val="-73"/>
        </w:rPr>
        <w:t> </w:t>
      </w:r>
      <w:r>
        <w:rPr>
          <w:spacing w:val="-73"/>
        </w:rPr>
      </w:r>
      <w:r>
        <w:rPr/>
        <w:t>净利润进行调整后确认。在持有投资期间，被投资单位编制合并财务报表的， </w:t>
      </w:r>
      <w:r>
        <w:rPr>
          <w:spacing w:val="-4"/>
        </w:rPr>
        <w:t>以合并财务报表中的净利润、其他综合收益和其他所有者权益变动中归属于被</w:t>
      </w:r>
      <w:r>
        <w:rPr>
          <w:spacing w:val="-73"/>
        </w:rPr>
        <w:t> </w:t>
      </w:r>
      <w:r>
        <w:rPr>
          <w:spacing w:val="-73"/>
        </w:rPr>
      </w:r>
      <w:r>
        <w:rPr/>
        <w:t>投资单位的金额为基础进行核算。 </w:t>
      </w:r>
      <w:r>
        <w:rPr>
          <w:spacing w:val="-4"/>
        </w:rPr>
        <w:t>公司与联营企业、合营企业之间发生的未实现内部交易损益按照应享有的比例</w:t>
      </w:r>
      <w:r>
        <w:rPr>
          <w:spacing w:val="-73"/>
        </w:rPr>
        <w:t> </w:t>
      </w:r>
      <w:r>
        <w:rPr>
          <w:spacing w:val="-73"/>
        </w:rPr>
      </w:r>
      <w:r>
        <w:rPr>
          <w:spacing w:val="-4"/>
        </w:rPr>
        <w:t>计算归属于公司的部分，予以抵销，在此基础上确认投资收益。与被投资单位</w:t>
      </w:r>
      <w:r>
        <w:rPr>
          <w:spacing w:val="-74"/>
        </w:rPr>
        <w:t> </w:t>
      </w:r>
      <w:r>
        <w:rPr>
          <w:spacing w:val="-74"/>
        </w:rPr>
      </w:r>
      <w:r>
        <w:rPr>
          <w:spacing w:val="-4"/>
        </w:rPr>
        <w:t>发生的未实现内部交易损失，属于资产减值损失的，全额确认。公司与联营企</w:t>
      </w:r>
      <w:r>
        <w:rPr>
          <w:spacing w:val="-74"/>
        </w:rPr>
        <w:t> </w:t>
      </w:r>
      <w:r>
        <w:rPr>
          <w:spacing w:val="-74"/>
        </w:rPr>
      </w:r>
      <w:r>
        <w:rPr>
          <w:spacing w:val="-4"/>
        </w:rPr>
        <w:t>业、合营企业之间发生投出或出售资产的交易，该资产构成业务的，按照本附</w:t>
      </w:r>
      <w:r>
        <w:rPr>
          <w:spacing w:val="-74"/>
        </w:rPr>
        <w:t> </w:t>
      </w:r>
      <w:r>
        <w:rPr>
          <w:spacing w:val="-74"/>
        </w:rPr>
      </w:r>
      <w:r>
        <w:rPr>
          <w:spacing w:val="-7"/>
        </w:rPr>
        <w:t>注“三、（五）同一控制下和非同一控制下企业合并的会计处理方法”和“三、</w:t>
      </w:r>
    </w:p>
    <w:p>
      <w:pPr>
        <w:pStyle w:val="BodyText"/>
        <w:spacing w:line="350" w:lineRule="auto" w:before="28"/>
        <w:ind w:right="1671"/>
        <w:jc w:val="left"/>
      </w:pPr>
      <w:r>
        <w:rPr/>
        <w:t>（六）合并财务报表的编制方法”中披露的相关政策进行会计处理。 在公司确认应分担被投资单位发生的亏损时，按照以下顺序进行处理：首先， </w:t>
      </w:r>
      <w:r>
        <w:rPr>
          <w:spacing w:val="-6"/>
        </w:rPr>
        <w:t>冲减长期股权投资的账面价值。其次，长期股权投资的账面价值不足以冲减的，</w:t>
      </w:r>
      <w:r>
        <w:rPr/>
        <w:t> 以其他实质上构成对被投资单位净投资的长期权益账面价值为限继续确认投 </w:t>
      </w:r>
      <w:r>
        <w:rPr>
          <w:spacing w:val="-4"/>
        </w:rPr>
        <w:t>资损失，冲减长期应收项目等的账面价值。最后，经过上述处理，按照投资合</w:t>
      </w:r>
      <w:r>
        <w:rPr>
          <w:spacing w:val="-75"/>
        </w:rPr>
        <w:t> </w:t>
      </w:r>
      <w:r>
        <w:rPr>
          <w:spacing w:val="-75"/>
        </w:rPr>
      </w:r>
      <w:r>
        <w:rPr>
          <w:spacing w:val="-4"/>
        </w:rPr>
        <w:t>同或协议约定企业仍承担额外义务的，按预计承担的义务确认预计负债，计入</w:t>
      </w:r>
      <w:r>
        <w:rPr>
          <w:spacing w:val="-73"/>
        </w:rPr>
        <w:t> </w:t>
      </w:r>
      <w:r>
        <w:rPr>
          <w:spacing w:val="-73"/>
        </w:rPr>
      </w:r>
      <w:r>
        <w:rPr/>
        <w:t>当期投资损失。</w:t>
      </w:r>
    </w:p>
    <w:p>
      <w:pPr>
        <w:pStyle w:val="BodyText"/>
        <w:spacing w:line="348" w:lineRule="auto" w:before="28"/>
        <w:ind w:right="1671" w:hanging="1"/>
        <w:jc w:val="left"/>
      </w:pPr>
      <w:r>
        <w:rPr/>
        <w:t>（</w:t>
      </w:r>
      <w:r>
        <w:rPr>
          <w:rFonts w:ascii="Times New Roman" w:hAnsi="Times New Roman" w:cs="Times New Roman" w:eastAsia="Times New Roman" w:hint="default"/>
        </w:rPr>
        <w:t>3</w:t>
      </w:r>
      <w:r>
        <w:rPr/>
        <w:t>）长期股权投资的处置 处置长期股权投资，其账面价值与实际取得价款的差额，计入当期损益。 </w:t>
      </w:r>
      <w:r>
        <w:rPr>
          <w:spacing w:val="-4"/>
        </w:rPr>
        <w:t>采用权益法核算的长期股权投资，在处置该项投资时，采用与被投资单位直接</w:t>
      </w:r>
      <w:r>
        <w:rPr>
          <w:spacing w:val="-74"/>
        </w:rPr>
        <w:t> </w:t>
      </w:r>
      <w:r>
        <w:rPr>
          <w:spacing w:val="-74"/>
        </w:rPr>
      </w:r>
      <w:r>
        <w:rPr>
          <w:spacing w:val="-4"/>
        </w:rPr>
        <w:t>处置相关资产或负债相同的基础，按相应比例对原计入其他综合收益的部分进</w:t>
      </w:r>
      <w:r>
        <w:rPr>
          <w:spacing w:val="-74"/>
        </w:rPr>
        <w:t> </w:t>
      </w:r>
      <w:r>
        <w:rPr>
          <w:spacing w:val="-74"/>
        </w:rPr>
      </w:r>
      <w:r>
        <w:rPr>
          <w:spacing w:val="-4"/>
        </w:rPr>
        <w:t>行会计处理。因被投资单位除净损益、其他综合收益和利润分配以外的其他所</w:t>
      </w:r>
      <w:r>
        <w:rPr>
          <w:spacing w:val="-74"/>
        </w:rPr>
        <w:t> </w:t>
      </w:r>
      <w:r>
        <w:rPr>
          <w:spacing w:val="-74"/>
        </w:rPr>
      </w:r>
      <w:r>
        <w:rPr>
          <w:spacing w:val="-4"/>
        </w:rPr>
        <w:t>有者权益变动而确认的所有者权益，按比例结转入当期损益，由于被投资方重</w:t>
      </w:r>
      <w:r>
        <w:rPr>
          <w:spacing w:val="-74"/>
        </w:rPr>
        <w:t> </w:t>
      </w:r>
      <w:r>
        <w:rPr>
          <w:spacing w:val="-74"/>
        </w:rPr>
      </w:r>
      <w:r>
        <w:rPr/>
        <w:t>新计量设定受益计划净负债或净资产变动而产生的其他综合收益除外。 </w:t>
      </w:r>
      <w:r>
        <w:rPr>
          <w:spacing w:val="-4"/>
        </w:rPr>
        <w:t>因处置部分股权投资等原因丧失了对被投资单位的共同控制或重大影响的，处</w:t>
      </w:r>
      <w:r>
        <w:rPr>
          <w:spacing w:val="-74"/>
        </w:rPr>
        <w:t> </w:t>
      </w:r>
      <w:r>
        <w:rPr>
          <w:spacing w:val="-74"/>
        </w:rPr>
      </w:r>
      <w:r>
        <w:rPr>
          <w:spacing w:val="-4"/>
        </w:rPr>
        <w:t>置后的剩余股权改按金融工具确认和计量准则核算，其在丧失共同控制或重大</w:t>
      </w:r>
      <w:r>
        <w:rPr>
          <w:spacing w:val="-74"/>
        </w:rPr>
        <w:t> </w:t>
      </w:r>
      <w:r>
        <w:rPr>
          <w:spacing w:val="-74"/>
        </w:rPr>
      </w:r>
      <w:r>
        <w:rPr>
          <w:spacing w:val="-4"/>
        </w:rPr>
        <w:t>影响之日的公允价值与账面价值之间的差额计入当期损益。原股权投资因采用</w:t>
      </w:r>
      <w:r>
        <w:rPr>
          <w:spacing w:val="-74"/>
        </w:rPr>
        <w:t> </w:t>
      </w:r>
      <w:r>
        <w:rPr>
          <w:spacing w:val="-74"/>
        </w:rPr>
      </w:r>
      <w:r>
        <w:rPr>
          <w:spacing w:val="-4"/>
        </w:rPr>
        <w:t>权益法核算而确认的其他综合收益，在终止采用权益法核算时采用与被投资单</w:t>
      </w:r>
      <w:r>
        <w:rPr>
          <w:spacing w:val="-74"/>
        </w:rPr>
        <w:t> </w:t>
      </w:r>
      <w:r>
        <w:rPr>
          <w:spacing w:val="-74"/>
        </w:rPr>
      </w:r>
      <w:r>
        <w:rPr/>
        <w:t>位直接处置相关资产或负债相同的基础进行会计处理。因被投资方除净损益、 </w:t>
      </w:r>
      <w:r>
        <w:rPr>
          <w:spacing w:val="-4"/>
        </w:rPr>
        <w:t>其他综合收益和利润分配以外的其他所有者权益变动而确认的所有者权益，在</w:t>
      </w:r>
      <w:r>
        <w:rPr>
          <w:spacing w:val="-74"/>
        </w:rPr>
        <w:t> </w:t>
      </w:r>
      <w:r>
        <w:rPr>
          <w:spacing w:val="-74"/>
        </w:rPr>
      </w:r>
      <w:r>
        <w:rPr/>
        <w:t>终止采用权益法核算时全部转入当期损益。 </w:t>
      </w:r>
      <w:r>
        <w:rPr>
          <w:spacing w:val="-4"/>
        </w:rPr>
        <w:t>因处置部分股权投资、因其他投资方对子公司增资而导致本公司持股比例下降</w:t>
      </w:r>
      <w:r>
        <w:rPr>
          <w:spacing w:val="-74"/>
        </w:rPr>
        <w:t> </w:t>
      </w:r>
      <w:r>
        <w:rPr>
          <w:spacing w:val="-74"/>
        </w:rPr>
      </w:r>
      <w:r>
        <w:rPr>
          <w:spacing w:val="-4"/>
        </w:rPr>
        <w:t>等原因丧失了对被投资单位控制权的，在编制个别财务报表时，剩余股权能够</w:t>
      </w:r>
    </w:p>
    <w:p>
      <w:pPr>
        <w:spacing w:after="0" w:line="348" w:lineRule="auto"/>
        <w:jc w:val="left"/>
        <w:sectPr>
          <w:pgSz w:w="11910" w:h="16840"/>
          <w:pgMar w:header="1302" w:footer="1001" w:top="1520" w:bottom="1200" w:left="1660" w:right="0"/>
        </w:sectPr>
      </w:pPr>
    </w:p>
    <w:p>
      <w:pPr>
        <w:spacing w:line="240" w:lineRule="auto" w:before="8"/>
        <w:rPr>
          <w:rFonts w:ascii="宋体" w:hAnsi="宋体" w:cs="宋体" w:eastAsia="宋体" w:hint="default"/>
          <w:sz w:val="13"/>
          <w:szCs w:val="13"/>
        </w:rPr>
      </w:pPr>
    </w:p>
    <w:p>
      <w:pPr>
        <w:pStyle w:val="BodyText"/>
        <w:spacing w:line="350" w:lineRule="auto" w:before="35"/>
        <w:ind w:right="1682"/>
        <w:jc w:val="left"/>
      </w:pPr>
      <w:r>
        <w:rPr>
          <w:spacing w:val="-4"/>
        </w:rPr>
        <w:t>对被投资单位实施共同控制或重大影响的，改按权益法核算，并对该剩余股权</w:t>
      </w:r>
      <w:r>
        <w:rPr>
          <w:spacing w:val="-73"/>
        </w:rPr>
        <w:t> </w:t>
      </w:r>
      <w:r>
        <w:rPr>
          <w:spacing w:val="-73"/>
        </w:rPr>
      </w:r>
      <w:r>
        <w:rPr>
          <w:spacing w:val="-4"/>
        </w:rPr>
        <w:t>视同自取得时即采用权益法核算进行调整；剩余股权不能对被投资单位实施共</w:t>
      </w:r>
      <w:r>
        <w:rPr>
          <w:spacing w:val="-73"/>
        </w:rPr>
        <w:t> </w:t>
      </w:r>
      <w:r>
        <w:rPr>
          <w:spacing w:val="-73"/>
        </w:rPr>
      </w:r>
      <w:r>
        <w:rPr>
          <w:spacing w:val="-4"/>
        </w:rPr>
        <w:t>同控制或施加重大影响的，改按金融工具确认和计量准则的有关规定进行会计</w:t>
      </w:r>
      <w:r>
        <w:rPr>
          <w:spacing w:val="-73"/>
        </w:rPr>
        <w:t> </w:t>
      </w:r>
      <w:r>
        <w:rPr>
          <w:spacing w:val="-73"/>
        </w:rPr>
      </w:r>
      <w:r>
        <w:rPr/>
        <w:t>处理，其在丧失控制之日的公允价值与账面价值间的差额计入当期损益。 处置的股权是因追加投资等原因通过企业合并取得的，在编制个别财务报表 </w:t>
      </w:r>
      <w:r>
        <w:rPr>
          <w:spacing w:val="-4"/>
        </w:rPr>
        <w:t>时，处置后的剩余股权采用成本法或权益法核算的，购买日之前持有的股权投</w:t>
      </w:r>
      <w:r>
        <w:rPr>
          <w:spacing w:val="-73"/>
        </w:rPr>
        <w:t> </w:t>
      </w:r>
      <w:r>
        <w:rPr>
          <w:spacing w:val="-73"/>
        </w:rPr>
      </w:r>
      <w:r>
        <w:rPr>
          <w:spacing w:val="-4"/>
        </w:rPr>
        <w:t>资因采用权益法核算而确认的其他综合收益和其他所有者权益按比例结转；处</w:t>
      </w:r>
      <w:r>
        <w:rPr>
          <w:spacing w:val="-73"/>
        </w:rPr>
        <w:t> </w:t>
      </w:r>
      <w:r>
        <w:rPr>
          <w:spacing w:val="-73"/>
        </w:rPr>
      </w:r>
      <w:r>
        <w:rPr>
          <w:spacing w:val="-4"/>
        </w:rPr>
        <w:t>置后的剩余股权改按金融工具确认和计量准则进行会计处理的，其他综合收益</w:t>
      </w:r>
      <w:r>
        <w:rPr>
          <w:spacing w:val="-73"/>
        </w:rPr>
        <w:t> </w:t>
      </w:r>
      <w:r>
        <w:rPr>
          <w:spacing w:val="-73"/>
        </w:rPr>
      </w:r>
      <w:r>
        <w:rPr/>
        <w:t>和其他所有者权益全部结转。</w:t>
      </w:r>
    </w:p>
    <w:p>
      <w:pPr>
        <w:spacing w:line="240" w:lineRule="auto" w:before="0"/>
        <w:rPr>
          <w:rFonts w:ascii="宋体" w:hAnsi="宋体" w:cs="宋体" w:eastAsia="宋体" w:hint="default"/>
          <w:sz w:val="20"/>
          <w:szCs w:val="20"/>
        </w:rPr>
      </w:pPr>
    </w:p>
    <w:p>
      <w:pPr>
        <w:pStyle w:val="Heading5"/>
        <w:spacing w:line="240" w:lineRule="auto" w:before="167"/>
        <w:ind w:right="3681"/>
        <w:jc w:val="left"/>
        <w:rPr>
          <w:b w:val="0"/>
          <w:bCs w:val="0"/>
        </w:rPr>
      </w:pPr>
      <w:r>
        <w:rPr>
          <w:rFonts w:ascii="Times New Roman" w:hAnsi="Times New Roman" w:cs="Times New Roman" w:eastAsia="Times New Roman" w:hint="default"/>
        </w:rPr>
        <w:t>(</w:t>
      </w:r>
      <w:r>
        <w:rPr/>
        <w:t>十五</w:t>
      </w:r>
      <w:r>
        <w:rPr>
          <w:rFonts w:ascii="Times New Roman" w:hAnsi="Times New Roman" w:cs="Times New Roman" w:eastAsia="Times New Roman" w:hint="default"/>
        </w:rPr>
        <w:t>) </w:t>
      </w:r>
      <w:r>
        <w:rPr>
          <w:rFonts w:ascii="Times New Roman" w:hAnsi="Times New Roman" w:cs="Times New Roman" w:eastAsia="Times New Roman" w:hint="default"/>
          <w:spacing w:val="43"/>
        </w:rPr>
        <w:t> </w:t>
      </w:r>
      <w:r>
        <w:rPr/>
        <w:t>投资性房地产</w:t>
      </w:r>
      <w:r>
        <w:rPr>
          <w:b w:val="0"/>
          <w:bCs w:val="0"/>
        </w:rPr>
      </w:r>
    </w:p>
    <w:p>
      <w:pPr>
        <w:pStyle w:val="BodyText"/>
        <w:spacing w:line="350" w:lineRule="auto"/>
        <w:ind w:left="851" w:right="1813"/>
        <w:jc w:val="left"/>
      </w:pPr>
      <w:r>
        <w:rPr/>
        <w:t>投资性房地产是指为赚取租金或资本增值，或两者兼有而持有的房地产，包括已出 租的土地使用权、持有并准备增值后转让的土地使用权、已出租的建筑物（含自行 建造或开发活动完成后用于出租的建筑物以及正在建造或开发过程中将来用于出租 </w:t>
      </w:r>
      <w:r>
        <w:rPr>
          <w:spacing w:val="-18"/>
        </w:rPr>
        <w:t>的建筑物）。</w:t>
      </w:r>
      <w:r>
        <w:rPr>
          <w:spacing w:val="-102"/>
        </w:rPr>
        <w:t> </w:t>
      </w:r>
      <w:r>
        <w:rPr>
          <w:spacing w:val="-102"/>
        </w:rPr>
      </w:r>
      <w:r>
        <w:rPr/>
        <w:t>公司对现有投资性房地产采用成本模式计量。对按照成本模式计量的投资性房地产</w:t>
      </w:r>
    </w:p>
    <w:p>
      <w:pPr>
        <w:pStyle w:val="BodyText"/>
        <w:spacing w:line="348" w:lineRule="auto" w:before="29"/>
        <w:ind w:left="851" w:right="1813"/>
        <w:jc w:val="left"/>
      </w:pPr>
      <w:r>
        <w:rPr/>
        <w:t>－出租用建筑物采用与本公司固定资产相同的折旧政策，出租用土地使用权按与无 形资产相同的摊销政策执行。</w:t>
      </w:r>
    </w:p>
    <w:p>
      <w:pPr>
        <w:spacing w:line="240" w:lineRule="auto" w:before="0"/>
        <w:rPr>
          <w:rFonts w:ascii="宋体" w:hAnsi="宋体" w:cs="宋体" w:eastAsia="宋体" w:hint="default"/>
          <w:sz w:val="20"/>
          <w:szCs w:val="20"/>
        </w:rPr>
      </w:pPr>
    </w:p>
    <w:p>
      <w:pPr>
        <w:pStyle w:val="Heading5"/>
        <w:spacing w:line="240" w:lineRule="auto" w:before="169"/>
        <w:ind w:right="3681"/>
        <w:jc w:val="left"/>
        <w:rPr>
          <w:b w:val="0"/>
          <w:bCs w:val="0"/>
        </w:rPr>
      </w:pPr>
      <w:r>
        <w:rPr>
          <w:rFonts w:ascii="Times New Roman" w:hAnsi="Times New Roman" w:cs="Times New Roman" w:eastAsia="Times New Roman" w:hint="default"/>
        </w:rPr>
        <w:t>(</w:t>
      </w:r>
      <w:r>
        <w:rPr/>
        <w:t>十六</w:t>
      </w:r>
      <w:r>
        <w:rPr>
          <w:rFonts w:ascii="Times New Roman" w:hAnsi="Times New Roman" w:cs="Times New Roman" w:eastAsia="Times New Roman" w:hint="default"/>
        </w:rPr>
        <w:t>) </w:t>
      </w:r>
      <w:r>
        <w:rPr>
          <w:rFonts w:ascii="Times New Roman" w:hAnsi="Times New Roman" w:cs="Times New Roman" w:eastAsia="Times New Roman" w:hint="default"/>
          <w:spacing w:val="46"/>
        </w:rPr>
        <w:t> </w:t>
      </w:r>
      <w:r>
        <w:rPr/>
        <w:t>固定资产</w:t>
      </w:r>
      <w:r>
        <w:rPr>
          <w:b w:val="0"/>
          <w:bCs w:val="0"/>
        </w:rPr>
      </w:r>
    </w:p>
    <w:p>
      <w:pPr>
        <w:pStyle w:val="BodyText"/>
        <w:tabs>
          <w:tab w:pos="1397" w:val="left" w:leader="none"/>
        </w:tabs>
        <w:spacing w:line="340" w:lineRule="auto"/>
        <w:ind w:right="1793" w:hanging="567"/>
        <w:jc w:val="left"/>
      </w:pPr>
      <w:r>
        <w:rPr>
          <w:rFonts w:ascii="Times New Roman" w:hAnsi="Times New Roman" w:cs="Times New Roman" w:eastAsia="Times New Roman" w:hint="default"/>
          <w:b/>
          <w:bCs/>
          <w:w w:val="95"/>
        </w:rPr>
        <w:t>1</w:t>
      </w:r>
      <w:r>
        <w:rPr>
          <w:rFonts w:ascii="宋体" w:hAnsi="宋体" w:cs="宋体" w:eastAsia="宋体" w:hint="default"/>
          <w:b/>
          <w:bCs/>
          <w:w w:val="95"/>
        </w:rPr>
        <w:t>、</w:t>
        <w:tab/>
      </w:r>
      <w:r>
        <w:rPr>
          <w:rFonts w:ascii="宋体" w:hAnsi="宋体" w:cs="宋体" w:eastAsia="宋体" w:hint="default"/>
          <w:b/>
          <w:bCs/>
        </w:rPr>
        <w:t>固定资产确认条件</w:t>
      </w:r>
      <w:r>
        <w:rPr>
          <w:rFonts w:ascii="宋体" w:hAnsi="宋体" w:cs="宋体" w:eastAsia="宋体" w:hint="default"/>
          <w:b/>
          <w:bCs/>
          <w:spacing w:val="1"/>
          <w:w w:val="99"/>
        </w:rPr>
        <w:t> </w:t>
      </w:r>
      <w:r>
        <w:rPr>
          <w:spacing w:val="-4"/>
        </w:rPr>
        <w:t>固定资产指为生产商品、提供劳务、出租或经营管理而持有，并且使用寿命超</w:t>
      </w:r>
      <w:r>
        <w:rPr/>
        <w:t> 过一个会计年度的有形资产。固定资产在同时满足下列条件时予以确认：</w:t>
      </w:r>
    </w:p>
    <w:p>
      <w:pPr>
        <w:pStyle w:val="BodyText"/>
        <w:spacing w:line="240" w:lineRule="auto" w:before="36"/>
        <w:ind w:right="3681"/>
        <w:jc w:val="left"/>
      </w:pPr>
      <w:r>
        <w:rPr/>
        <w:t>（</w:t>
      </w:r>
      <w:r>
        <w:rPr>
          <w:rFonts w:ascii="Times New Roman" w:hAnsi="Times New Roman" w:cs="Times New Roman" w:eastAsia="Times New Roman" w:hint="default"/>
        </w:rPr>
        <w:t>1</w:t>
      </w:r>
      <w:r>
        <w:rPr/>
        <w:t>）与该固定资产有关的经济利益很可能流入企业；</w:t>
      </w:r>
    </w:p>
    <w:p>
      <w:pPr>
        <w:pStyle w:val="BodyText"/>
        <w:spacing w:line="240" w:lineRule="auto"/>
        <w:ind w:right="3681"/>
        <w:jc w:val="left"/>
      </w:pPr>
      <w:r>
        <w:rPr/>
        <w:t>（</w:t>
      </w:r>
      <w:r>
        <w:rPr>
          <w:rFonts w:ascii="Times New Roman" w:hAnsi="Times New Roman" w:cs="Times New Roman" w:eastAsia="Times New Roman" w:hint="default"/>
        </w:rPr>
        <w:t>2</w:t>
      </w:r>
      <w:r>
        <w:rPr/>
        <w:t>）该固定资产的成本能够可靠地计量。</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pStyle w:val="Heading5"/>
        <w:tabs>
          <w:tab w:pos="1397" w:val="left" w:leader="none"/>
        </w:tabs>
        <w:spacing w:line="240" w:lineRule="auto" w:before="0"/>
        <w:ind w:left="846" w:right="3681"/>
        <w:jc w:val="left"/>
        <w:rPr>
          <w:b w:val="0"/>
          <w:bCs w:val="0"/>
        </w:rPr>
      </w:pPr>
      <w:r>
        <w:rPr>
          <w:rFonts w:ascii="Times New Roman" w:hAnsi="Times New Roman" w:cs="Times New Roman" w:eastAsia="Times New Roman" w:hint="default"/>
          <w:w w:val="95"/>
        </w:rPr>
        <w:t>2</w:t>
      </w:r>
      <w:r>
        <w:rPr>
          <w:w w:val="95"/>
        </w:rPr>
        <w:t>、</w:t>
        <w:tab/>
      </w:r>
      <w:r>
        <w:rPr>
          <w:spacing w:val="1"/>
        </w:rPr>
        <w:t>折旧方法</w:t>
      </w:r>
      <w:r>
        <w:rPr>
          <w:b w:val="0"/>
          <w:bCs w:val="0"/>
        </w:rPr>
      </w:r>
    </w:p>
    <w:p>
      <w:pPr>
        <w:pStyle w:val="BodyText"/>
        <w:spacing w:line="350" w:lineRule="auto"/>
        <w:ind w:right="1682"/>
        <w:jc w:val="left"/>
      </w:pPr>
      <w:r>
        <w:rPr>
          <w:spacing w:val="-4"/>
        </w:rPr>
        <w:t>固定资产折旧采用年限平均法分类计提，根据固定资产类别、预计使用寿命和</w:t>
      </w:r>
      <w:r>
        <w:rPr>
          <w:spacing w:val="-73"/>
        </w:rPr>
        <w:t> </w:t>
      </w:r>
      <w:r>
        <w:rPr>
          <w:spacing w:val="-73"/>
        </w:rPr>
      </w:r>
      <w:r>
        <w:rPr>
          <w:spacing w:val="-4"/>
        </w:rPr>
        <w:t>预计净残值率确定折旧率。如固定资产各组成部分的使用寿命不同或者以不同</w:t>
      </w:r>
      <w:r>
        <w:rPr>
          <w:spacing w:val="-73"/>
        </w:rPr>
        <w:t> </w:t>
      </w:r>
      <w:r>
        <w:rPr>
          <w:spacing w:val="-73"/>
        </w:rPr>
      </w:r>
      <w:r>
        <w:rPr/>
        <w:t>方式为企业提供经济利益，则选择不同折旧率或折旧方法，分别计提折旧。 </w:t>
      </w:r>
      <w:r>
        <w:rPr>
          <w:spacing w:val="-4"/>
        </w:rPr>
        <w:t>融资租赁方式租入的固定资产，能合理确定租赁期届满时将会取得租赁资产所</w:t>
      </w:r>
      <w:r>
        <w:rPr>
          <w:spacing w:val="-73"/>
        </w:rPr>
        <w:t> </w:t>
      </w:r>
      <w:r>
        <w:rPr>
          <w:spacing w:val="-73"/>
        </w:rPr>
      </w:r>
      <w:r>
        <w:rPr>
          <w:spacing w:val="-4"/>
        </w:rPr>
        <w:t>有权的，在租赁资产尚可使用年限内计提折旧；无法合理确定租赁期届满时能</w:t>
      </w:r>
      <w:r>
        <w:rPr>
          <w:spacing w:val="-73"/>
        </w:rPr>
        <w:t> </w:t>
      </w:r>
      <w:r>
        <w:rPr>
          <w:spacing w:val="-73"/>
        </w:rPr>
      </w:r>
      <w:r>
        <w:rPr>
          <w:spacing w:val="-4"/>
        </w:rPr>
        <w:t>够取得租赁资产所有权的，在租赁期与租赁资产尚可使用年限两者中较短的期</w:t>
      </w:r>
      <w:r>
        <w:rPr>
          <w:spacing w:val="-73"/>
        </w:rPr>
        <w:t> </w:t>
      </w:r>
      <w:r>
        <w:rPr>
          <w:spacing w:val="-73"/>
        </w:rPr>
      </w:r>
      <w:r>
        <w:rPr/>
        <w:t>间内计提折旧。</w:t>
      </w:r>
    </w:p>
    <w:p>
      <w:pPr>
        <w:spacing w:after="0" w:line="350" w:lineRule="auto"/>
        <w:jc w:val="left"/>
        <w:sectPr>
          <w:pgSz w:w="11910" w:h="16840"/>
          <w:pgMar w:header="1302" w:footer="1001" w:top="1520" w:bottom="1200" w:left="1660" w:right="0"/>
        </w:sectPr>
      </w:pPr>
    </w:p>
    <w:p>
      <w:pPr>
        <w:spacing w:line="240" w:lineRule="auto" w:before="8"/>
        <w:rPr>
          <w:rFonts w:ascii="宋体" w:hAnsi="宋体" w:cs="宋体" w:eastAsia="宋体" w:hint="default"/>
          <w:sz w:val="13"/>
          <w:szCs w:val="13"/>
        </w:rPr>
      </w:pPr>
    </w:p>
    <w:p>
      <w:pPr>
        <w:pStyle w:val="BodyText"/>
        <w:spacing w:line="240" w:lineRule="auto" w:before="35"/>
        <w:ind w:right="1793"/>
        <w:jc w:val="left"/>
      </w:pPr>
      <w:r>
        <w:rPr/>
        <w:pict>
          <v:group style="position:absolute;margin-left:119.010002pt;margin-top:17.133949pt;width:412.25pt;height:107.2pt;mso-position-horizontal-relative:page;mso-position-vertical-relative:paragraph;z-index:-1400848" coordorigin="2380,343" coordsize="8245,2144">
            <v:group style="position:absolute;left:2410;top:358;width:2328;height:2" coordorigin="2410,358" coordsize="2328,2">
              <v:shape style="position:absolute;left:2410;top:358;width:2328;height:2" coordorigin="2410,358" coordsize="2328,0" path="m2410,358l4738,358e" filled="false" stroked="true" strokeweight="1.5pt" strokecolor="#000000">
                <v:path arrowok="t"/>
              </v:shape>
              <v:shape style="position:absolute;left:4738;top:373;width:10;height:28" type="#_x0000_t75" stroked="false">
                <v:imagedata r:id="rId39" o:title=""/>
              </v:shape>
            </v:group>
            <v:group style="position:absolute;left:4738;top:358;width:1319;height:2" coordorigin="4738,358" coordsize="1319,2">
              <v:shape style="position:absolute;left:4738;top:358;width:1319;height:2" coordorigin="4738,358" coordsize="1319,0" path="m4738,358l6056,358e" filled="false" stroked="true" strokeweight="1.5pt" strokecolor="#000000">
                <v:path arrowok="t"/>
              </v:shape>
              <v:shape style="position:absolute;left:6056;top:373;width:10;height:28" type="#_x0000_t75" stroked="false">
                <v:imagedata r:id="rId39" o:title=""/>
              </v:shape>
            </v:group>
            <v:group style="position:absolute;left:6056;top:358;width:1610;height:2" coordorigin="6056,358" coordsize="1610,2">
              <v:shape style="position:absolute;left:6056;top:358;width:1610;height:2" coordorigin="6056,358" coordsize="1610,0" path="m6056,358l7666,358e" filled="false" stroked="true" strokeweight="1.5pt" strokecolor="#000000">
                <v:path arrowok="t"/>
              </v:shape>
              <v:shape style="position:absolute;left:7666;top:373;width:10;height:28" type="#_x0000_t75" stroked="false">
                <v:imagedata r:id="rId39" o:title=""/>
              </v:shape>
            </v:group>
            <v:group style="position:absolute;left:7666;top:358;width:30;height:2" coordorigin="7666,358" coordsize="30,2">
              <v:shape style="position:absolute;left:7666;top:358;width:30;height:2" coordorigin="7666,358" coordsize="30,0" path="m7666,358l7696,358e" filled="false" stroked="true" strokeweight="1.5pt" strokecolor="#000000">
                <v:path arrowok="t"/>
              </v:shape>
            </v:group>
            <v:group style="position:absolute;left:7696;top:358;width:1288;height:2" coordorigin="7696,358" coordsize="1288,2">
              <v:shape style="position:absolute;left:7696;top:358;width:1288;height:2" coordorigin="7696,358" coordsize="1288,0" path="m7696,358l8983,358e" filled="false" stroked="true" strokeweight="1.5pt" strokecolor="#000000">
                <v:path arrowok="t"/>
              </v:shape>
              <v:shape style="position:absolute;left:8983;top:373;width:10;height:28" type="#_x0000_t75" stroked="false">
                <v:imagedata r:id="rId39" o:title=""/>
              </v:shape>
            </v:group>
            <v:group style="position:absolute;left:8983;top:358;width:1614;height:2" coordorigin="8983,358" coordsize="1614,2">
              <v:shape style="position:absolute;left:8983;top:358;width:1614;height:2" coordorigin="8983,358" coordsize="1614,0" path="m8983,358l10597,358e" filled="false" stroked="true" strokeweight="1.5pt" strokecolor="#000000">
                <v:path arrowok="t"/>
              </v:shape>
              <v:shape style="position:absolute;left:4718;top:381;width:4294;height:349" type="#_x0000_t75" stroked="false">
                <v:imagedata r:id="rId40" o:title=""/>
              </v:shape>
            </v:group>
            <v:group style="position:absolute;left:2395;top:2471;width:2343;height:2" coordorigin="2395,2471" coordsize="2343,2">
              <v:shape style="position:absolute;left:2395;top:2471;width:2343;height:2" coordorigin="2395,2471" coordsize="2343,0" path="m2395,2471l4738,2471e" filled="false" stroked="true" strokeweight="1.5pt" strokecolor="#000000">
                <v:path arrowok="t"/>
              </v:shape>
            </v:group>
            <v:group style="position:absolute;left:4738;top:2471;width:1319;height:2" coordorigin="4738,2471" coordsize="1319,2">
              <v:shape style="position:absolute;left:4738;top:2471;width:1319;height:2" coordorigin="4738,2471" coordsize="1319,0" path="m4738,2471l6056,2471e" filled="false" stroked="true" strokeweight="1.5pt" strokecolor="#000000">
                <v:path arrowok="t"/>
              </v:shape>
            </v:group>
            <v:group style="position:absolute;left:6056;top:2471;width:1610;height:2" coordorigin="6056,2471" coordsize="1610,2">
              <v:shape style="position:absolute;left:6056;top:2471;width:1610;height:2" coordorigin="6056,2471" coordsize="1610,0" path="m6056,2471l7666,2471e" filled="false" stroked="true" strokeweight="1.5pt" strokecolor="#000000">
                <v:path arrowok="t"/>
              </v:shape>
            </v:group>
            <v:group style="position:absolute;left:7666;top:2471;width:30;height:2" coordorigin="7666,2471" coordsize="30,2">
              <v:shape style="position:absolute;left:7666;top:2471;width:30;height:2" coordorigin="7666,2471" coordsize="30,0" path="m7666,2471l7696,2471e" filled="false" stroked="true" strokeweight="1.5pt" strokecolor="#000000">
                <v:path arrowok="t"/>
              </v:shape>
            </v:group>
            <v:group style="position:absolute;left:7696;top:2471;width:1288;height:2" coordorigin="7696,2471" coordsize="1288,2">
              <v:shape style="position:absolute;left:7696;top:2471;width:1288;height:2" coordorigin="7696,2471" coordsize="1288,0" path="m7696,2471l8983,2471e" filled="false" stroked="true" strokeweight="1.5pt" strokecolor="#000000">
                <v:path arrowok="t"/>
              </v:shape>
              <v:shape style="position:absolute;left:2390;top:692;width:8234;height:1764" type="#_x0000_t75" stroked="false">
                <v:imagedata r:id="rId41" o:title=""/>
              </v:shape>
            </v:group>
            <v:group style="position:absolute;left:8983;top:2471;width:1614;height:2" coordorigin="8983,2471" coordsize="1614,2">
              <v:shape style="position:absolute;left:8983;top:2471;width:1614;height:2" coordorigin="8983,2471" coordsize="1614,0" path="m8983,2471l10597,2471e" filled="false" stroked="true" strokeweight="1.5pt" strokecolor="#000000">
                <v:path arrowok="t"/>
              </v:shape>
            </v:group>
            <w10:wrap type="none"/>
          </v:group>
        </w:pict>
      </w:r>
      <w:r>
        <w:rPr/>
        <w:t>各类固定资产折旧方法、折旧年限、残值率和年折旧率如下：</w:t>
      </w:r>
    </w:p>
    <w:p>
      <w:pPr>
        <w:spacing w:line="240" w:lineRule="auto" w:before="9"/>
        <w:rPr>
          <w:rFonts w:ascii="宋体" w:hAnsi="宋体" w:cs="宋体" w:eastAsia="宋体" w:hint="default"/>
          <w:sz w:val="3"/>
          <w:szCs w:val="3"/>
        </w:rPr>
      </w:pPr>
    </w:p>
    <w:tbl>
      <w:tblPr>
        <w:tblW w:w="0" w:type="auto"/>
        <w:jc w:val="left"/>
        <w:tblInd w:w="935" w:type="dxa"/>
        <w:tblLayout w:type="fixed"/>
        <w:tblCellMar>
          <w:top w:w="0" w:type="dxa"/>
          <w:left w:w="0" w:type="dxa"/>
          <w:bottom w:w="0" w:type="dxa"/>
          <w:right w:w="0" w:type="dxa"/>
        </w:tblCellMar>
        <w:tblLook w:val="01E0"/>
      </w:tblPr>
      <w:tblGrid>
        <w:gridCol w:w="1939"/>
        <w:gridCol w:w="1517"/>
        <w:gridCol w:w="1589"/>
        <w:gridCol w:w="1377"/>
        <w:gridCol w:w="1353"/>
      </w:tblGrid>
      <w:tr>
        <w:trPr>
          <w:trHeight w:val="713" w:hRule="exact"/>
        </w:trPr>
        <w:tc>
          <w:tcPr>
            <w:tcW w:w="1939" w:type="dxa"/>
            <w:tcBorders>
              <w:top w:val="nil" w:sz="6" w:space="0" w:color="auto"/>
              <w:left w:val="nil" w:sz="6" w:space="0" w:color="auto"/>
              <w:bottom w:val="nil" w:sz="6" w:space="0" w:color="auto"/>
              <w:right w:val="nil" w:sz="6" w:space="0" w:color="auto"/>
            </w:tcBorders>
          </w:tcPr>
          <w:p>
            <w:pPr>
              <w:pStyle w:val="TableParagraph"/>
              <w:spacing w:line="398" w:lineRule="auto" w:before="53"/>
              <w:ind w:left="35" w:right="799" w:firstLine="783"/>
              <w:jc w:val="left"/>
              <w:rPr>
                <w:rFonts w:ascii="宋体" w:hAnsi="宋体" w:cs="宋体" w:eastAsia="宋体" w:hint="default"/>
                <w:sz w:val="16"/>
                <w:szCs w:val="16"/>
              </w:rPr>
            </w:pPr>
            <w:r>
              <w:rPr>
                <w:rFonts w:ascii="宋体" w:hAnsi="宋体" w:cs="宋体" w:eastAsia="宋体" w:hint="default"/>
                <w:sz w:val="16"/>
                <w:szCs w:val="16"/>
              </w:rPr>
              <w:t>类别</w:t>
            </w:r>
            <w:r>
              <w:rPr>
                <w:rFonts w:ascii="宋体" w:hAnsi="宋体" w:cs="宋体" w:eastAsia="宋体" w:hint="default"/>
                <w:w w:val="99"/>
                <w:sz w:val="16"/>
                <w:szCs w:val="16"/>
              </w:rPr>
              <w:t> </w:t>
            </w:r>
            <w:r>
              <w:rPr>
                <w:rFonts w:ascii="宋体" w:hAnsi="宋体" w:cs="宋体" w:eastAsia="宋体" w:hint="default"/>
                <w:sz w:val="16"/>
                <w:szCs w:val="16"/>
              </w:rPr>
              <w:t>房屋及建筑物</w:t>
            </w:r>
          </w:p>
        </w:tc>
        <w:tc>
          <w:tcPr>
            <w:tcW w:w="1517" w:type="dxa"/>
            <w:tcBorders>
              <w:top w:val="nil" w:sz="6" w:space="0" w:color="auto"/>
              <w:left w:val="nil" w:sz="6" w:space="0" w:color="auto"/>
              <w:bottom w:val="nil" w:sz="6" w:space="0" w:color="auto"/>
              <w:right w:val="nil" w:sz="6" w:space="0" w:color="auto"/>
            </w:tcBorders>
          </w:tcPr>
          <w:p>
            <w:pPr>
              <w:pStyle w:val="TableParagraph"/>
              <w:spacing w:line="398" w:lineRule="auto" w:before="53"/>
              <w:ind w:left="465" w:right="250" w:firstLine="79"/>
              <w:jc w:val="left"/>
              <w:rPr>
                <w:rFonts w:ascii="宋体" w:hAnsi="宋体" w:cs="宋体" w:eastAsia="宋体" w:hint="default"/>
                <w:sz w:val="16"/>
                <w:szCs w:val="16"/>
              </w:rPr>
            </w:pPr>
            <w:r>
              <w:rPr>
                <w:rFonts w:ascii="宋体" w:hAnsi="宋体" w:cs="宋体" w:eastAsia="宋体" w:hint="default"/>
                <w:sz w:val="16"/>
                <w:szCs w:val="16"/>
              </w:rPr>
              <w:t>折旧方法</w:t>
            </w:r>
            <w:r>
              <w:rPr>
                <w:rFonts w:ascii="宋体" w:hAnsi="宋体" w:cs="宋体" w:eastAsia="宋体" w:hint="default"/>
                <w:w w:val="99"/>
                <w:sz w:val="16"/>
                <w:szCs w:val="16"/>
              </w:rPr>
              <w:t> </w:t>
            </w:r>
            <w:r>
              <w:rPr>
                <w:rFonts w:ascii="宋体" w:hAnsi="宋体" w:cs="宋体" w:eastAsia="宋体" w:hint="default"/>
                <w:sz w:val="16"/>
                <w:szCs w:val="16"/>
              </w:rPr>
              <w:t>年限平均法</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3" w:right="0"/>
              <w:jc w:val="center"/>
              <w:rPr>
                <w:rFonts w:ascii="宋体" w:hAnsi="宋体" w:cs="宋体" w:eastAsia="宋体" w:hint="default"/>
                <w:sz w:val="16"/>
                <w:szCs w:val="16"/>
              </w:rPr>
            </w:pPr>
            <w:r>
              <w:rPr>
                <w:rFonts w:ascii="宋体" w:hAnsi="宋体" w:cs="宋体" w:eastAsia="宋体" w:hint="default"/>
                <w:sz w:val="16"/>
                <w:szCs w:val="16"/>
              </w:rPr>
              <w:t>折旧年限（年）</w:t>
            </w:r>
          </w:p>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37" w:right="0"/>
              <w:jc w:val="center"/>
              <w:rPr>
                <w:rFonts w:ascii="Times New Roman" w:hAnsi="Times New Roman" w:cs="Times New Roman" w:eastAsia="Times New Roman" w:hint="default"/>
                <w:sz w:val="16"/>
                <w:szCs w:val="16"/>
              </w:rPr>
            </w:pPr>
            <w:r>
              <w:rPr>
                <w:rFonts w:ascii="Times New Roman"/>
                <w:sz w:val="16"/>
              </w:rPr>
              <w:t>20-50</w:t>
            </w:r>
          </w:p>
        </w:tc>
        <w:tc>
          <w:tcPr>
            <w:tcW w:w="137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4"/>
              <w:jc w:val="center"/>
              <w:rPr>
                <w:rFonts w:ascii="宋体" w:hAnsi="宋体" w:cs="宋体" w:eastAsia="宋体" w:hint="default"/>
                <w:sz w:val="16"/>
                <w:szCs w:val="16"/>
              </w:rPr>
            </w:pPr>
            <w:r>
              <w:rPr>
                <w:rFonts w:ascii="宋体" w:hAnsi="宋体" w:cs="宋体" w:eastAsia="宋体" w:hint="default"/>
                <w:sz w:val="16"/>
                <w:szCs w:val="16"/>
              </w:rPr>
              <w:t>残值率（</w:t>
            </w:r>
            <w:r>
              <w:rPr>
                <w:rFonts w:ascii="Times New Roman" w:hAnsi="Times New Roman" w:cs="Times New Roman" w:eastAsia="Times New Roman" w:hint="default"/>
                <w:sz w:val="16"/>
                <w:szCs w:val="16"/>
              </w:rPr>
              <w:t>%</w:t>
            </w:r>
            <w:r>
              <w:rPr>
                <w:rFonts w:ascii="宋体" w:hAnsi="宋体" w:cs="宋体" w:eastAsia="宋体" w:hint="default"/>
                <w:sz w:val="16"/>
                <w:szCs w:val="16"/>
              </w:rPr>
              <w:t>）</w:t>
            </w: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6"/>
                <w:szCs w:val="16"/>
              </w:rPr>
            </w:pPr>
            <w:r>
              <w:rPr>
                <w:rFonts w:ascii="Times New Roman"/>
                <w:sz w:val="16"/>
              </w:rPr>
              <w:t>5-10</w:t>
            </w:r>
          </w:p>
        </w:tc>
        <w:tc>
          <w:tcPr>
            <w:tcW w:w="1353"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90" w:right="0"/>
              <w:jc w:val="center"/>
              <w:rPr>
                <w:rFonts w:ascii="宋体" w:hAnsi="宋体" w:cs="宋体" w:eastAsia="宋体" w:hint="default"/>
                <w:sz w:val="16"/>
                <w:szCs w:val="16"/>
              </w:rPr>
            </w:pPr>
            <w:r>
              <w:rPr>
                <w:rFonts w:ascii="宋体" w:hAnsi="宋体" w:cs="宋体" w:eastAsia="宋体" w:hint="default"/>
                <w:sz w:val="16"/>
                <w:szCs w:val="16"/>
              </w:rPr>
              <w:t>年折旧率（</w:t>
            </w:r>
            <w:r>
              <w:rPr>
                <w:rFonts w:ascii="Times New Roman" w:hAnsi="Times New Roman" w:cs="Times New Roman" w:eastAsia="Times New Roman" w:hint="default"/>
                <w:sz w:val="16"/>
                <w:szCs w:val="16"/>
              </w:rPr>
              <w:t>%</w:t>
            </w:r>
            <w:r>
              <w:rPr>
                <w:rFonts w:ascii="宋体" w:hAnsi="宋体" w:cs="宋体" w:eastAsia="宋体" w:hint="default"/>
                <w:sz w:val="16"/>
                <w:szCs w:val="16"/>
              </w:rPr>
              <w:t>）</w:t>
            </w: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195" w:right="0"/>
              <w:jc w:val="center"/>
              <w:rPr>
                <w:rFonts w:ascii="Times New Roman" w:hAnsi="Times New Roman" w:cs="Times New Roman" w:eastAsia="Times New Roman" w:hint="default"/>
                <w:sz w:val="16"/>
                <w:szCs w:val="16"/>
              </w:rPr>
            </w:pPr>
            <w:r>
              <w:rPr>
                <w:rFonts w:ascii="Times New Roman"/>
                <w:sz w:val="16"/>
              </w:rPr>
              <w:t>1.80-4.75</w:t>
            </w:r>
          </w:p>
        </w:tc>
      </w:tr>
      <w:tr>
        <w:trPr>
          <w:trHeight w:val="349" w:hRule="exact"/>
        </w:trPr>
        <w:tc>
          <w:tcPr>
            <w:tcW w:w="1939" w:type="dxa"/>
            <w:tcBorders>
              <w:top w:val="nil" w:sz="6" w:space="0" w:color="auto"/>
              <w:left w:val="nil" w:sz="6" w:space="0" w:color="auto"/>
              <w:bottom w:val="nil" w:sz="6" w:space="0" w:color="auto"/>
              <w:right w:val="nil" w:sz="6" w:space="0" w:color="auto"/>
            </w:tcBorders>
          </w:tcPr>
          <w:p>
            <w:pPr>
              <w:pStyle w:val="TableParagraph"/>
              <w:spacing w:line="240" w:lineRule="auto" w:before="37"/>
              <w:ind w:left="35" w:right="0"/>
              <w:jc w:val="left"/>
              <w:rPr>
                <w:rFonts w:ascii="宋体" w:hAnsi="宋体" w:cs="宋体" w:eastAsia="宋体" w:hint="default"/>
                <w:sz w:val="16"/>
                <w:szCs w:val="16"/>
              </w:rPr>
            </w:pPr>
            <w:r>
              <w:rPr>
                <w:rFonts w:ascii="宋体" w:hAnsi="宋体" w:cs="宋体" w:eastAsia="宋体" w:hint="default"/>
                <w:sz w:val="16"/>
                <w:szCs w:val="16"/>
              </w:rPr>
              <w:t>机器设备</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250"/>
              <w:jc w:val="right"/>
              <w:rPr>
                <w:rFonts w:ascii="宋体" w:hAnsi="宋体" w:cs="宋体" w:eastAsia="宋体" w:hint="default"/>
                <w:sz w:val="16"/>
                <w:szCs w:val="16"/>
              </w:rPr>
            </w:pPr>
            <w:r>
              <w:rPr>
                <w:rFonts w:ascii="宋体" w:hAnsi="宋体" w:cs="宋体" w:eastAsia="宋体" w:hint="default"/>
                <w:w w:val="95"/>
                <w:sz w:val="16"/>
                <w:szCs w:val="16"/>
              </w:rPr>
              <w:t>年限平均法</w:t>
            </w:r>
            <w:r>
              <w:rPr>
                <w:rFonts w:ascii="宋体" w:hAnsi="宋体" w:cs="宋体" w:eastAsia="宋体" w:hint="default"/>
                <w:sz w:val="16"/>
                <w:szCs w:val="16"/>
              </w:rPr>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80"/>
              <w:ind w:left="38" w:right="0"/>
              <w:jc w:val="center"/>
              <w:rPr>
                <w:rFonts w:ascii="Times New Roman" w:hAnsi="Times New Roman" w:cs="Times New Roman" w:eastAsia="Times New Roman" w:hint="default"/>
                <w:sz w:val="16"/>
                <w:szCs w:val="16"/>
              </w:rPr>
            </w:pPr>
            <w:r>
              <w:rPr>
                <w:rFonts w:ascii="Times New Roman"/>
                <w:sz w:val="16"/>
              </w:rPr>
              <w:t>5-20</w:t>
            </w:r>
          </w:p>
        </w:tc>
        <w:tc>
          <w:tcPr>
            <w:tcW w:w="1377" w:type="dxa"/>
            <w:tcBorders>
              <w:top w:val="nil" w:sz="6" w:space="0" w:color="auto"/>
              <w:left w:val="nil" w:sz="6" w:space="0" w:color="auto"/>
              <w:bottom w:val="nil" w:sz="6" w:space="0" w:color="auto"/>
              <w:right w:val="nil" w:sz="6" w:space="0" w:color="auto"/>
            </w:tcBorders>
          </w:tcPr>
          <w:p>
            <w:pPr>
              <w:pStyle w:val="TableParagraph"/>
              <w:spacing w:line="240" w:lineRule="auto" w:before="80"/>
              <w:ind w:left="581" w:right="0"/>
              <w:jc w:val="left"/>
              <w:rPr>
                <w:rFonts w:ascii="Times New Roman" w:hAnsi="Times New Roman" w:cs="Times New Roman" w:eastAsia="Times New Roman" w:hint="default"/>
                <w:sz w:val="16"/>
                <w:szCs w:val="16"/>
              </w:rPr>
            </w:pPr>
            <w:r>
              <w:rPr>
                <w:rFonts w:ascii="Times New Roman"/>
                <w:sz w:val="16"/>
              </w:rPr>
              <w:t>0-5</w:t>
            </w:r>
          </w:p>
        </w:tc>
        <w:tc>
          <w:tcPr>
            <w:tcW w:w="135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28"/>
              <w:jc w:val="right"/>
              <w:rPr>
                <w:rFonts w:ascii="Times New Roman" w:hAnsi="Times New Roman" w:cs="Times New Roman" w:eastAsia="Times New Roman" w:hint="default"/>
                <w:sz w:val="16"/>
                <w:szCs w:val="16"/>
              </w:rPr>
            </w:pPr>
            <w:r>
              <w:rPr>
                <w:rFonts w:ascii="Times New Roman"/>
                <w:spacing w:val="-1"/>
                <w:sz w:val="16"/>
              </w:rPr>
              <w:t>4.75-20.00</w:t>
            </w:r>
          </w:p>
        </w:tc>
      </w:tr>
      <w:tr>
        <w:trPr>
          <w:trHeight w:val="349" w:hRule="exact"/>
        </w:trPr>
        <w:tc>
          <w:tcPr>
            <w:tcW w:w="193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宋体" w:hAnsi="宋体" w:cs="宋体" w:eastAsia="宋体" w:hint="default"/>
                <w:sz w:val="16"/>
                <w:szCs w:val="16"/>
              </w:rPr>
            </w:pPr>
            <w:r>
              <w:rPr>
                <w:rFonts w:ascii="宋体" w:hAnsi="宋体" w:cs="宋体" w:eastAsia="宋体" w:hint="default"/>
                <w:sz w:val="16"/>
                <w:szCs w:val="16"/>
              </w:rPr>
              <w:t>运输工具</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50"/>
              <w:jc w:val="right"/>
              <w:rPr>
                <w:rFonts w:ascii="宋体" w:hAnsi="宋体" w:cs="宋体" w:eastAsia="宋体" w:hint="default"/>
                <w:sz w:val="16"/>
                <w:szCs w:val="16"/>
              </w:rPr>
            </w:pPr>
            <w:r>
              <w:rPr>
                <w:rFonts w:ascii="宋体" w:hAnsi="宋体" w:cs="宋体" w:eastAsia="宋体" w:hint="default"/>
                <w:w w:val="95"/>
                <w:sz w:val="16"/>
                <w:szCs w:val="16"/>
              </w:rPr>
              <w:t>年限平均法</w:t>
            </w:r>
            <w:r>
              <w:rPr>
                <w:rFonts w:ascii="宋体" w:hAnsi="宋体" w:cs="宋体" w:eastAsia="宋体" w:hint="default"/>
                <w:sz w:val="16"/>
                <w:szCs w:val="16"/>
              </w:rPr>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80"/>
              <w:ind w:left="38" w:right="0"/>
              <w:jc w:val="center"/>
              <w:rPr>
                <w:rFonts w:ascii="Times New Roman" w:hAnsi="Times New Roman" w:cs="Times New Roman" w:eastAsia="Times New Roman" w:hint="default"/>
                <w:sz w:val="16"/>
                <w:szCs w:val="16"/>
              </w:rPr>
            </w:pPr>
            <w:r>
              <w:rPr>
                <w:rFonts w:ascii="Times New Roman"/>
                <w:sz w:val="16"/>
              </w:rPr>
              <w:t>5-15</w:t>
            </w:r>
          </w:p>
        </w:tc>
        <w:tc>
          <w:tcPr>
            <w:tcW w:w="1377" w:type="dxa"/>
            <w:tcBorders>
              <w:top w:val="nil" w:sz="6" w:space="0" w:color="auto"/>
              <w:left w:val="nil" w:sz="6" w:space="0" w:color="auto"/>
              <w:bottom w:val="nil" w:sz="6" w:space="0" w:color="auto"/>
              <w:right w:val="nil" w:sz="6" w:space="0" w:color="auto"/>
            </w:tcBorders>
          </w:tcPr>
          <w:p>
            <w:pPr>
              <w:pStyle w:val="TableParagraph"/>
              <w:spacing w:line="240" w:lineRule="auto" w:before="80"/>
              <w:ind w:left="581" w:right="0"/>
              <w:jc w:val="left"/>
              <w:rPr>
                <w:rFonts w:ascii="Times New Roman" w:hAnsi="Times New Roman" w:cs="Times New Roman" w:eastAsia="Times New Roman" w:hint="default"/>
                <w:sz w:val="16"/>
                <w:szCs w:val="16"/>
              </w:rPr>
            </w:pPr>
            <w:r>
              <w:rPr>
                <w:rFonts w:ascii="Times New Roman"/>
                <w:sz w:val="16"/>
              </w:rPr>
              <w:t>0-5</w:t>
            </w:r>
          </w:p>
        </w:tc>
        <w:tc>
          <w:tcPr>
            <w:tcW w:w="135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28"/>
              <w:jc w:val="right"/>
              <w:rPr>
                <w:rFonts w:ascii="Times New Roman" w:hAnsi="Times New Roman" w:cs="Times New Roman" w:eastAsia="Times New Roman" w:hint="default"/>
                <w:sz w:val="16"/>
                <w:szCs w:val="16"/>
              </w:rPr>
            </w:pPr>
            <w:r>
              <w:rPr>
                <w:rFonts w:ascii="Times New Roman"/>
                <w:spacing w:val="-1"/>
                <w:sz w:val="16"/>
              </w:rPr>
              <w:t>6.33-20.00</w:t>
            </w:r>
          </w:p>
        </w:tc>
      </w:tr>
      <w:tr>
        <w:trPr>
          <w:trHeight w:val="349" w:hRule="exact"/>
        </w:trPr>
        <w:tc>
          <w:tcPr>
            <w:tcW w:w="193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宋体" w:hAnsi="宋体" w:cs="宋体" w:eastAsia="宋体" w:hint="default"/>
                <w:sz w:val="16"/>
                <w:szCs w:val="16"/>
              </w:rPr>
            </w:pPr>
            <w:r>
              <w:rPr>
                <w:rFonts w:ascii="宋体" w:hAnsi="宋体" w:cs="宋体" w:eastAsia="宋体" w:hint="default"/>
                <w:sz w:val="16"/>
                <w:szCs w:val="16"/>
              </w:rPr>
              <w:t>电子设备及办公设备</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51"/>
              <w:jc w:val="right"/>
              <w:rPr>
                <w:rFonts w:ascii="宋体" w:hAnsi="宋体" w:cs="宋体" w:eastAsia="宋体" w:hint="default"/>
                <w:sz w:val="16"/>
                <w:szCs w:val="16"/>
              </w:rPr>
            </w:pPr>
            <w:r>
              <w:rPr>
                <w:rFonts w:ascii="宋体" w:hAnsi="宋体" w:cs="宋体" w:eastAsia="宋体" w:hint="default"/>
                <w:w w:val="95"/>
                <w:sz w:val="16"/>
                <w:szCs w:val="16"/>
              </w:rPr>
              <w:t>年限平均法</w:t>
            </w:r>
            <w:r>
              <w:rPr>
                <w:rFonts w:ascii="宋体" w:hAnsi="宋体" w:cs="宋体" w:eastAsia="宋体" w:hint="default"/>
                <w:sz w:val="16"/>
                <w:szCs w:val="16"/>
              </w:rPr>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80"/>
              <w:ind w:left="39" w:right="0"/>
              <w:jc w:val="center"/>
              <w:rPr>
                <w:rFonts w:ascii="Times New Roman" w:hAnsi="Times New Roman" w:cs="Times New Roman" w:eastAsia="Times New Roman" w:hint="default"/>
                <w:sz w:val="16"/>
                <w:szCs w:val="16"/>
              </w:rPr>
            </w:pPr>
            <w:r>
              <w:rPr>
                <w:rFonts w:ascii="Times New Roman"/>
                <w:sz w:val="16"/>
              </w:rPr>
              <w:t>5-10</w:t>
            </w:r>
          </w:p>
        </w:tc>
        <w:tc>
          <w:tcPr>
            <w:tcW w:w="1377" w:type="dxa"/>
            <w:tcBorders>
              <w:top w:val="nil" w:sz="6" w:space="0" w:color="auto"/>
              <w:left w:val="nil" w:sz="6" w:space="0" w:color="auto"/>
              <w:bottom w:val="nil" w:sz="6" w:space="0" w:color="auto"/>
              <w:right w:val="nil" w:sz="6" w:space="0" w:color="auto"/>
            </w:tcBorders>
          </w:tcPr>
          <w:p>
            <w:pPr>
              <w:pStyle w:val="TableParagraph"/>
              <w:spacing w:line="240" w:lineRule="auto" w:before="80"/>
              <w:ind w:left="581" w:right="0"/>
              <w:jc w:val="left"/>
              <w:rPr>
                <w:rFonts w:ascii="Times New Roman" w:hAnsi="Times New Roman" w:cs="Times New Roman" w:eastAsia="Times New Roman" w:hint="default"/>
                <w:sz w:val="16"/>
                <w:szCs w:val="16"/>
              </w:rPr>
            </w:pPr>
            <w:r>
              <w:rPr>
                <w:rFonts w:ascii="Times New Roman"/>
                <w:sz w:val="16"/>
              </w:rPr>
              <w:t>0-5</w:t>
            </w:r>
          </w:p>
        </w:tc>
        <w:tc>
          <w:tcPr>
            <w:tcW w:w="135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28"/>
              <w:jc w:val="right"/>
              <w:rPr>
                <w:rFonts w:ascii="Times New Roman" w:hAnsi="Times New Roman" w:cs="Times New Roman" w:eastAsia="Times New Roman" w:hint="default"/>
                <w:sz w:val="16"/>
                <w:szCs w:val="16"/>
              </w:rPr>
            </w:pPr>
            <w:r>
              <w:rPr>
                <w:rFonts w:ascii="Times New Roman"/>
                <w:spacing w:val="-1"/>
                <w:sz w:val="16"/>
              </w:rPr>
              <w:t>9.50-20.00</w:t>
            </w:r>
          </w:p>
        </w:tc>
      </w:tr>
      <w:tr>
        <w:trPr>
          <w:trHeight w:val="353" w:hRule="exact"/>
        </w:trPr>
        <w:tc>
          <w:tcPr>
            <w:tcW w:w="193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50"/>
              <w:jc w:val="right"/>
              <w:rPr>
                <w:rFonts w:ascii="宋体" w:hAnsi="宋体" w:cs="宋体" w:eastAsia="宋体" w:hint="default"/>
                <w:sz w:val="16"/>
                <w:szCs w:val="16"/>
              </w:rPr>
            </w:pPr>
            <w:r>
              <w:rPr>
                <w:rFonts w:ascii="宋体" w:hAnsi="宋体" w:cs="宋体" w:eastAsia="宋体" w:hint="default"/>
                <w:w w:val="95"/>
                <w:sz w:val="16"/>
                <w:szCs w:val="16"/>
              </w:rPr>
              <w:t>年限平均法</w:t>
            </w:r>
            <w:r>
              <w:rPr>
                <w:rFonts w:ascii="宋体" w:hAnsi="宋体" w:cs="宋体" w:eastAsia="宋体" w:hint="default"/>
                <w:sz w:val="16"/>
                <w:szCs w:val="16"/>
              </w:rPr>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80"/>
              <w:ind w:left="38" w:right="0"/>
              <w:jc w:val="center"/>
              <w:rPr>
                <w:rFonts w:ascii="Times New Roman" w:hAnsi="Times New Roman" w:cs="Times New Roman" w:eastAsia="Times New Roman" w:hint="default"/>
                <w:sz w:val="16"/>
                <w:szCs w:val="16"/>
              </w:rPr>
            </w:pPr>
            <w:r>
              <w:rPr>
                <w:rFonts w:ascii="Times New Roman"/>
                <w:sz w:val="16"/>
              </w:rPr>
              <w:t>5-10</w:t>
            </w:r>
          </w:p>
        </w:tc>
        <w:tc>
          <w:tcPr>
            <w:tcW w:w="1377" w:type="dxa"/>
            <w:tcBorders>
              <w:top w:val="nil" w:sz="6" w:space="0" w:color="auto"/>
              <w:left w:val="nil" w:sz="6" w:space="0" w:color="auto"/>
              <w:bottom w:val="nil" w:sz="6" w:space="0" w:color="auto"/>
              <w:right w:val="nil" w:sz="6" w:space="0" w:color="auto"/>
            </w:tcBorders>
          </w:tcPr>
          <w:p>
            <w:pPr>
              <w:pStyle w:val="TableParagraph"/>
              <w:spacing w:line="240" w:lineRule="auto" w:before="80"/>
              <w:ind w:left="581" w:right="0"/>
              <w:jc w:val="left"/>
              <w:rPr>
                <w:rFonts w:ascii="Times New Roman" w:hAnsi="Times New Roman" w:cs="Times New Roman" w:eastAsia="Times New Roman" w:hint="default"/>
                <w:sz w:val="16"/>
                <w:szCs w:val="16"/>
              </w:rPr>
            </w:pPr>
            <w:r>
              <w:rPr>
                <w:rFonts w:ascii="Times New Roman"/>
                <w:sz w:val="16"/>
              </w:rPr>
              <w:t>0-5</w:t>
            </w:r>
          </w:p>
        </w:tc>
        <w:tc>
          <w:tcPr>
            <w:tcW w:w="135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28"/>
              <w:jc w:val="right"/>
              <w:rPr>
                <w:rFonts w:ascii="Times New Roman" w:hAnsi="Times New Roman" w:cs="Times New Roman" w:eastAsia="Times New Roman" w:hint="default"/>
                <w:sz w:val="16"/>
                <w:szCs w:val="16"/>
              </w:rPr>
            </w:pPr>
            <w:r>
              <w:rPr>
                <w:rFonts w:ascii="Times New Roman"/>
                <w:spacing w:val="-1"/>
                <w:sz w:val="16"/>
              </w:rPr>
              <w:t>9.50-20.00</w:t>
            </w:r>
          </w:p>
        </w:tc>
      </w:tr>
    </w:tbl>
    <w:p>
      <w:pPr>
        <w:spacing w:line="240" w:lineRule="auto" w:before="7"/>
        <w:rPr>
          <w:rFonts w:ascii="宋体" w:hAnsi="宋体" w:cs="宋体" w:eastAsia="宋体" w:hint="default"/>
          <w:sz w:val="5"/>
          <w:szCs w:val="5"/>
        </w:rPr>
      </w:pPr>
    </w:p>
    <w:p>
      <w:pPr>
        <w:tabs>
          <w:tab w:pos="1397" w:val="left" w:leader="none"/>
        </w:tabs>
        <w:spacing w:line="340" w:lineRule="auto" w:before="35"/>
        <w:ind w:left="1413" w:right="1792" w:hanging="567"/>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融资租入固定资产的认定依据、计价方法</w:t>
      </w:r>
      <w:r>
        <w:rPr>
          <w:rFonts w:ascii="宋体" w:hAnsi="宋体" w:cs="宋体" w:eastAsia="宋体" w:hint="default"/>
          <w:b/>
          <w:bCs/>
          <w:spacing w:val="1"/>
          <w:w w:val="99"/>
          <w:sz w:val="21"/>
          <w:szCs w:val="21"/>
        </w:rPr>
        <w:t> </w:t>
      </w:r>
      <w:r>
        <w:rPr>
          <w:rFonts w:ascii="宋体" w:hAnsi="宋体" w:cs="宋体" w:eastAsia="宋体" w:hint="default"/>
          <w:spacing w:val="-4"/>
          <w:sz w:val="21"/>
          <w:szCs w:val="21"/>
        </w:rPr>
        <w:t>公司与租赁方所签订的租赁协议条款中规定了下列条件之一的，确认为融资租</w:t>
      </w:r>
      <w:r>
        <w:rPr>
          <w:rFonts w:ascii="宋体" w:hAnsi="宋体" w:cs="宋体" w:eastAsia="宋体" w:hint="default"/>
          <w:sz w:val="21"/>
          <w:szCs w:val="21"/>
        </w:rPr>
        <w:t> 入资产：</w:t>
      </w:r>
    </w:p>
    <w:p>
      <w:pPr>
        <w:pStyle w:val="BodyText"/>
        <w:spacing w:line="240" w:lineRule="auto" w:before="36"/>
        <w:ind w:right="3681"/>
        <w:jc w:val="left"/>
      </w:pPr>
      <w:r>
        <w:rPr/>
        <w:t>（</w:t>
      </w:r>
      <w:r>
        <w:rPr>
          <w:rFonts w:ascii="Times New Roman" w:hAnsi="Times New Roman" w:cs="Times New Roman" w:eastAsia="Times New Roman" w:hint="default"/>
        </w:rPr>
        <w:t>1</w:t>
      </w:r>
      <w:r>
        <w:rPr/>
        <w:t>）租赁期满后租赁资产的所有权归属于本公司；</w:t>
      </w:r>
    </w:p>
    <w:p>
      <w:pPr>
        <w:pStyle w:val="BodyText"/>
        <w:spacing w:line="328" w:lineRule="auto" w:before="110"/>
        <w:ind w:right="1776"/>
        <w:jc w:val="left"/>
      </w:pPr>
      <w:r>
        <w:rPr/>
        <w:t>（</w:t>
      </w:r>
      <w:r>
        <w:rPr>
          <w:rFonts w:ascii="Times New Roman" w:hAnsi="Times New Roman" w:cs="Times New Roman" w:eastAsia="Times New Roman" w:hint="default"/>
        </w:rPr>
        <w:t>2</w:t>
      </w:r>
      <w:r>
        <w:rPr/>
        <w:t>）公司具有购买资产的选择权，购买价款远低于行使选择权时该资产的公 允价值；</w:t>
      </w:r>
    </w:p>
    <w:p>
      <w:pPr>
        <w:pStyle w:val="BodyText"/>
        <w:spacing w:line="240" w:lineRule="auto" w:before="47"/>
        <w:ind w:right="3681"/>
        <w:jc w:val="left"/>
      </w:pPr>
      <w:r>
        <w:rPr/>
        <w:t>（</w:t>
      </w:r>
      <w:r>
        <w:rPr>
          <w:rFonts w:ascii="Times New Roman" w:hAnsi="Times New Roman" w:cs="Times New Roman" w:eastAsia="Times New Roman" w:hint="default"/>
        </w:rPr>
        <w:t>3</w:t>
      </w:r>
      <w:r>
        <w:rPr/>
        <w:t>）租赁期占所租赁资产使用寿命的大部分；</w:t>
      </w:r>
    </w:p>
    <w:p>
      <w:pPr>
        <w:pStyle w:val="BodyText"/>
        <w:spacing w:line="345" w:lineRule="auto" w:before="110"/>
        <w:ind w:right="1776"/>
        <w:jc w:val="left"/>
      </w:pPr>
      <w:r>
        <w:rPr/>
        <w:t>（</w:t>
      </w:r>
      <w:r>
        <w:rPr>
          <w:rFonts w:ascii="Times New Roman" w:hAnsi="Times New Roman" w:cs="Times New Roman" w:eastAsia="Times New Roman" w:hint="default"/>
        </w:rPr>
        <w:t>4</w:t>
      </w:r>
      <w:r>
        <w:rPr/>
        <w:t>）租赁开始日的最低租赁付款额现值，与该资产的公允价值不存在较大的 差异。 </w:t>
      </w:r>
      <w:r>
        <w:rPr>
          <w:spacing w:val="-4"/>
        </w:rPr>
        <w:t>公司在承租开始日，将租赁资产公允价值与最低租赁付款额现值两者中较低者</w:t>
      </w:r>
      <w:r>
        <w:rPr>
          <w:spacing w:val="-73"/>
        </w:rPr>
        <w:t> </w:t>
      </w:r>
      <w:r>
        <w:rPr>
          <w:spacing w:val="-73"/>
        </w:rPr>
      </w:r>
      <w:r>
        <w:rPr>
          <w:spacing w:val="-4"/>
        </w:rPr>
        <w:t>作为租入资产的入账价值，将最低租赁付款额作为长期应付款的入账价值，其</w:t>
      </w:r>
      <w:r>
        <w:rPr>
          <w:spacing w:val="-73"/>
        </w:rPr>
        <w:t> </w:t>
      </w:r>
      <w:r>
        <w:rPr>
          <w:spacing w:val="-73"/>
        </w:rPr>
      </w:r>
      <w:r>
        <w:rPr/>
        <w:t>差额作为未确认的融资费。</w:t>
      </w:r>
    </w:p>
    <w:p>
      <w:pPr>
        <w:spacing w:line="240" w:lineRule="auto" w:before="0"/>
        <w:rPr>
          <w:rFonts w:ascii="宋体" w:hAnsi="宋体" w:cs="宋体" w:eastAsia="宋体" w:hint="default"/>
          <w:sz w:val="20"/>
          <w:szCs w:val="20"/>
        </w:rPr>
      </w:pPr>
    </w:p>
    <w:p>
      <w:pPr>
        <w:pStyle w:val="Heading5"/>
        <w:spacing w:line="240" w:lineRule="auto" w:before="171"/>
        <w:ind w:right="3681"/>
        <w:jc w:val="left"/>
        <w:rPr>
          <w:b w:val="0"/>
          <w:bCs w:val="0"/>
        </w:rPr>
      </w:pPr>
      <w:r>
        <w:rPr>
          <w:rFonts w:ascii="Times New Roman" w:hAnsi="Times New Roman" w:cs="Times New Roman" w:eastAsia="Times New Roman" w:hint="default"/>
        </w:rPr>
        <w:t>(</w:t>
      </w:r>
      <w:r>
        <w:rPr/>
        <w:t>十七</w:t>
      </w:r>
      <w:r>
        <w:rPr>
          <w:rFonts w:ascii="Times New Roman" w:hAnsi="Times New Roman" w:cs="Times New Roman" w:eastAsia="Times New Roman" w:hint="default"/>
        </w:rPr>
        <w:t>) </w:t>
      </w:r>
      <w:r>
        <w:rPr>
          <w:rFonts w:ascii="Times New Roman" w:hAnsi="Times New Roman" w:cs="Times New Roman" w:eastAsia="Times New Roman" w:hint="default"/>
          <w:spacing w:val="46"/>
        </w:rPr>
        <w:t> </w:t>
      </w:r>
      <w:r>
        <w:rPr/>
        <w:t>在建工程</w:t>
      </w:r>
      <w:r>
        <w:rPr>
          <w:b w:val="0"/>
          <w:bCs w:val="0"/>
        </w:rPr>
      </w:r>
    </w:p>
    <w:p>
      <w:pPr>
        <w:pStyle w:val="BodyText"/>
        <w:spacing w:line="350" w:lineRule="auto"/>
        <w:ind w:left="851" w:right="1830"/>
        <w:jc w:val="both"/>
      </w:pPr>
      <w:r>
        <w:rPr/>
        <w:t>在建工程项目按建造该项资产达到预定可使用状态前所发生的必要支出，作为固定 资产的入账价值。所建造的固定资产在工程已达到预定可使用状态，但尚未办理竣 工决算的，自达到预定可使用状态之日起，根据工程预算、造价或者工程实际成本 等，按估计的价值转入固定资产，并按本公司固定资产折旧政策计提固定资产的折 旧，待办理竣工决算后，再按实际成本调整原来的暂估价值，但不调整原已计提的 折旧额。</w:t>
      </w:r>
    </w:p>
    <w:p>
      <w:pPr>
        <w:spacing w:line="240" w:lineRule="auto" w:before="0"/>
        <w:rPr>
          <w:rFonts w:ascii="宋体" w:hAnsi="宋体" w:cs="宋体" w:eastAsia="宋体" w:hint="default"/>
          <w:sz w:val="20"/>
          <w:szCs w:val="20"/>
        </w:rPr>
      </w:pPr>
    </w:p>
    <w:p>
      <w:pPr>
        <w:pStyle w:val="Heading5"/>
        <w:spacing w:line="240" w:lineRule="auto" w:before="166"/>
        <w:ind w:right="3681"/>
        <w:jc w:val="left"/>
        <w:rPr>
          <w:b w:val="0"/>
          <w:bCs w:val="0"/>
        </w:rPr>
      </w:pPr>
      <w:r>
        <w:rPr>
          <w:rFonts w:ascii="Times New Roman" w:hAnsi="Times New Roman" w:cs="Times New Roman" w:eastAsia="Times New Roman" w:hint="default"/>
        </w:rPr>
        <w:t>(</w:t>
      </w:r>
      <w:r>
        <w:rPr/>
        <w:t>十八</w:t>
      </w:r>
      <w:r>
        <w:rPr>
          <w:rFonts w:ascii="Times New Roman" w:hAnsi="Times New Roman" w:cs="Times New Roman" w:eastAsia="Times New Roman" w:hint="default"/>
        </w:rPr>
        <w:t>) </w:t>
      </w:r>
      <w:r>
        <w:rPr>
          <w:rFonts w:ascii="Times New Roman" w:hAnsi="Times New Roman" w:cs="Times New Roman" w:eastAsia="Times New Roman" w:hint="default"/>
          <w:spacing w:val="46"/>
        </w:rPr>
        <w:t> </w:t>
      </w:r>
      <w:r>
        <w:rPr/>
        <w:t>借款费用</w:t>
      </w:r>
      <w:r>
        <w:rPr>
          <w:b w:val="0"/>
          <w:bCs w:val="0"/>
        </w:rPr>
      </w:r>
    </w:p>
    <w:p>
      <w:pPr>
        <w:pStyle w:val="BodyText"/>
        <w:tabs>
          <w:tab w:pos="1397" w:val="left" w:leader="none"/>
        </w:tabs>
        <w:spacing w:line="345" w:lineRule="auto" w:before="110"/>
        <w:ind w:right="1791" w:hanging="567"/>
        <w:jc w:val="left"/>
      </w:pPr>
      <w:r>
        <w:rPr>
          <w:rFonts w:ascii="Times New Roman" w:hAnsi="Times New Roman" w:cs="Times New Roman" w:eastAsia="Times New Roman" w:hint="default"/>
          <w:b/>
          <w:bCs/>
          <w:w w:val="95"/>
        </w:rPr>
        <w:t>1</w:t>
      </w:r>
      <w:r>
        <w:rPr>
          <w:rFonts w:ascii="宋体" w:hAnsi="宋体" w:cs="宋体" w:eastAsia="宋体" w:hint="default"/>
          <w:b/>
          <w:bCs/>
          <w:w w:val="95"/>
        </w:rPr>
        <w:t>、</w:t>
        <w:tab/>
      </w:r>
      <w:r>
        <w:rPr>
          <w:rFonts w:ascii="宋体" w:hAnsi="宋体" w:cs="宋体" w:eastAsia="宋体" w:hint="default"/>
          <w:b/>
          <w:bCs/>
        </w:rPr>
        <w:t>借款费用资本化的确认原则</w:t>
      </w:r>
      <w:r>
        <w:rPr>
          <w:rFonts w:ascii="宋体" w:hAnsi="宋体" w:cs="宋体" w:eastAsia="宋体" w:hint="default"/>
          <w:b/>
          <w:bCs/>
          <w:w w:val="99"/>
        </w:rPr>
        <w:t> </w:t>
      </w:r>
      <w:r>
        <w:rPr>
          <w:spacing w:val="-4"/>
        </w:rPr>
        <w:t>借款费用，包括借款利息、折价或者溢价的摊销、辅助费用以及因外币借款而</w:t>
      </w:r>
      <w:r>
        <w:rPr/>
        <w:t> 发生的汇兑差额等。 公司发生的借款费用，可直接归属于符合资本化条件的资产的购建或者生产 </w:t>
      </w:r>
      <w:r>
        <w:rPr>
          <w:spacing w:val="-4"/>
        </w:rPr>
        <w:t>的，予以资本化，计入相关资产成本；其他借款费用，在发生时根据其发生额</w:t>
      </w:r>
    </w:p>
    <w:p>
      <w:pPr>
        <w:spacing w:after="0" w:line="345" w:lineRule="auto"/>
        <w:jc w:val="left"/>
        <w:sectPr>
          <w:pgSz w:w="11910" w:h="16840"/>
          <w:pgMar w:header="1302" w:footer="1001" w:top="1520" w:bottom="1200" w:left="1660" w:right="0"/>
        </w:sectPr>
      </w:pPr>
    </w:p>
    <w:p>
      <w:pPr>
        <w:spacing w:line="240" w:lineRule="auto" w:before="8"/>
        <w:rPr>
          <w:rFonts w:ascii="宋体" w:hAnsi="宋体" w:cs="宋体" w:eastAsia="宋体" w:hint="default"/>
          <w:sz w:val="13"/>
          <w:szCs w:val="13"/>
        </w:rPr>
      </w:pPr>
    </w:p>
    <w:p>
      <w:pPr>
        <w:pStyle w:val="BodyText"/>
        <w:spacing w:line="350" w:lineRule="auto" w:before="35"/>
        <w:ind w:right="1682"/>
        <w:jc w:val="left"/>
      </w:pPr>
      <w:r>
        <w:rPr/>
        <w:t>确认为费用，计入当期损益。 </w:t>
      </w:r>
      <w:r>
        <w:rPr>
          <w:spacing w:val="-4"/>
        </w:rPr>
        <w:t>符合资本化条件的资产，是指需要经过相当长时间的购建或者生产活动才能达</w:t>
      </w:r>
      <w:r>
        <w:rPr>
          <w:spacing w:val="-73"/>
        </w:rPr>
        <w:t> </w:t>
      </w:r>
      <w:r>
        <w:rPr>
          <w:spacing w:val="-73"/>
        </w:rPr>
      </w:r>
      <w:r>
        <w:rPr/>
        <w:t>到预定可使用或者可销售状态的固定资产、投资性房地产和存货等资产。 借款费用同时满足下列条件时开始资本化：</w:t>
      </w:r>
    </w:p>
    <w:p>
      <w:pPr>
        <w:pStyle w:val="BodyText"/>
        <w:spacing w:line="328" w:lineRule="auto" w:before="29"/>
        <w:ind w:right="1776"/>
        <w:jc w:val="left"/>
      </w:pPr>
      <w:r>
        <w:rPr/>
        <w:t>（</w:t>
      </w:r>
      <w:r>
        <w:rPr>
          <w:rFonts w:ascii="Times New Roman" w:hAnsi="Times New Roman" w:cs="Times New Roman" w:eastAsia="Times New Roman" w:hint="default"/>
        </w:rPr>
        <w:t>1</w:t>
      </w:r>
      <w:r>
        <w:rPr/>
        <w:t>）资产支出已经发生，资产支出包括为购建或者生产符合资本化条件的资 产而以支付现金、转移非现金资产或者承担带息债务形式发生的支出；</w:t>
      </w:r>
    </w:p>
    <w:p>
      <w:pPr>
        <w:pStyle w:val="BodyText"/>
        <w:spacing w:line="240" w:lineRule="auto" w:before="47"/>
        <w:ind w:right="3681"/>
        <w:jc w:val="left"/>
      </w:pPr>
      <w:r>
        <w:rPr/>
        <w:t>（</w:t>
      </w:r>
      <w:r>
        <w:rPr>
          <w:rFonts w:ascii="Times New Roman" w:hAnsi="Times New Roman" w:cs="Times New Roman" w:eastAsia="Times New Roman" w:hint="default"/>
        </w:rPr>
        <w:t>2</w:t>
      </w:r>
      <w:r>
        <w:rPr/>
        <w:t>）借款费用已经发生；</w:t>
      </w:r>
    </w:p>
    <w:p>
      <w:pPr>
        <w:pStyle w:val="BodyText"/>
        <w:spacing w:line="328" w:lineRule="auto" w:before="110"/>
        <w:ind w:right="1776"/>
        <w:jc w:val="left"/>
      </w:pPr>
      <w:r>
        <w:rPr/>
        <w:t>（</w:t>
      </w:r>
      <w:r>
        <w:rPr>
          <w:rFonts w:ascii="Times New Roman" w:hAnsi="Times New Roman" w:cs="Times New Roman" w:eastAsia="Times New Roman" w:hint="default"/>
        </w:rPr>
        <w:t>3</w:t>
      </w:r>
      <w:r>
        <w:rPr/>
        <w:t>）为使资产达到预定可使用或者可销售状态所必要的购建或者生产活动已 经开始。</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pStyle w:val="BodyText"/>
        <w:tabs>
          <w:tab w:pos="1397" w:val="left" w:leader="none"/>
        </w:tabs>
        <w:spacing w:line="348" w:lineRule="auto" w:before="0"/>
        <w:ind w:right="1689" w:hanging="567"/>
        <w:jc w:val="left"/>
      </w:pPr>
      <w:r>
        <w:rPr>
          <w:rFonts w:ascii="Times New Roman" w:hAnsi="Times New Roman" w:cs="Times New Roman" w:eastAsia="Times New Roman" w:hint="default"/>
          <w:b/>
          <w:bCs/>
          <w:w w:val="95"/>
        </w:rPr>
        <w:t>2</w:t>
      </w:r>
      <w:r>
        <w:rPr>
          <w:rFonts w:ascii="宋体" w:hAnsi="宋体" w:cs="宋体" w:eastAsia="宋体" w:hint="default"/>
          <w:b/>
          <w:bCs/>
          <w:w w:val="95"/>
        </w:rPr>
        <w:t>、</w:t>
        <w:tab/>
      </w:r>
      <w:r>
        <w:rPr>
          <w:rFonts w:ascii="宋体" w:hAnsi="宋体" w:cs="宋体" w:eastAsia="宋体" w:hint="default"/>
          <w:b/>
          <w:bCs/>
        </w:rPr>
        <w:t>借款费用资本化期间</w:t>
      </w:r>
      <w:r>
        <w:rPr>
          <w:rFonts w:ascii="宋体" w:hAnsi="宋体" w:cs="宋体" w:eastAsia="宋体" w:hint="default"/>
          <w:b/>
          <w:bCs/>
          <w:spacing w:val="1"/>
          <w:w w:val="99"/>
        </w:rPr>
        <w:t> </w:t>
      </w:r>
      <w:r>
        <w:rPr>
          <w:spacing w:val="-4"/>
        </w:rPr>
        <w:t>资本化期间，指从借款费用开始资本化时点到停止资本化时点的期间，借款费</w:t>
      </w:r>
      <w:r>
        <w:rPr/>
        <w:t> 用暂停资本化的期间不包括在内。 </w:t>
      </w:r>
      <w:r>
        <w:rPr>
          <w:spacing w:val="-4"/>
        </w:rPr>
        <w:t>当购建或者生产符合资本化条件的资产达到预定可使用或者可销售状态时，借</w:t>
      </w:r>
      <w:r>
        <w:rPr/>
        <w:t> 款费用停止资本化。 当购建或者生产符合资本化条件的资产中部分项目分别完工且可单独使用时， 该部分资产借款费用停止资本化。 </w:t>
      </w:r>
      <w:r>
        <w:rPr>
          <w:spacing w:val="-4"/>
        </w:rPr>
        <w:t>购建或者生产的资产的各部分分别完工，但必须等到整体完工后才可使用或可</w:t>
      </w:r>
      <w:r>
        <w:rPr/>
        <w:t> 对外销售的，在该资产整体完工时停止借款费用资本化。</w:t>
      </w:r>
    </w:p>
    <w:p>
      <w:pPr>
        <w:spacing w:line="240" w:lineRule="auto" w:before="0"/>
        <w:rPr>
          <w:rFonts w:ascii="宋体" w:hAnsi="宋体" w:cs="宋体" w:eastAsia="宋体" w:hint="default"/>
          <w:sz w:val="20"/>
          <w:szCs w:val="20"/>
        </w:rPr>
      </w:pPr>
    </w:p>
    <w:p>
      <w:pPr>
        <w:pStyle w:val="BodyText"/>
        <w:tabs>
          <w:tab w:pos="1397" w:val="left" w:leader="none"/>
        </w:tabs>
        <w:spacing w:line="340" w:lineRule="auto" w:before="169"/>
        <w:ind w:right="1792" w:hanging="567"/>
        <w:jc w:val="left"/>
      </w:pPr>
      <w:r>
        <w:rPr>
          <w:rFonts w:ascii="Times New Roman" w:hAnsi="Times New Roman" w:cs="Times New Roman" w:eastAsia="Times New Roman" w:hint="default"/>
          <w:b/>
          <w:bCs/>
          <w:w w:val="95"/>
        </w:rPr>
        <w:t>3</w:t>
      </w:r>
      <w:r>
        <w:rPr>
          <w:rFonts w:ascii="宋体" w:hAnsi="宋体" w:cs="宋体" w:eastAsia="宋体" w:hint="default"/>
          <w:b/>
          <w:bCs/>
          <w:w w:val="95"/>
        </w:rPr>
        <w:t>、</w:t>
        <w:tab/>
      </w:r>
      <w:r>
        <w:rPr>
          <w:rFonts w:ascii="宋体" w:hAnsi="宋体" w:cs="宋体" w:eastAsia="宋体" w:hint="default"/>
          <w:b/>
          <w:bCs/>
        </w:rPr>
        <w:t>暂停资本化期间</w:t>
      </w:r>
      <w:r>
        <w:rPr>
          <w:rFonts w:ascii="宋体" w:hAnsi="宋体" w:cs="宋体" w:eastAsia="宋体" w:hint="default"/>
          <w:b/>
          <w:bCs/>
          <w:w w:val="99"/>
        </w:rPr>
        <w:t> </w:t>
      </w:r>
      <w:r>
        <w:rPr>
          <w:spacing w:val="-4"/>
        </w:rPr>
        <w:t>符合资本化条件的资产在购建或生产过程中发生的非正常中断、且中断时间连</w:t>
      </w:r>
      <w:r>
        <w:rPr/>
        <w:t> 续超过</w:t>
      </w:r>
      <w:r>
        <w:rPr>
          <w:spacing w:val="-47"/>
        </w:rPr>
        <w:t> </w:t>
      </w:r>
      <w:r>
        <w:rPr>
          <w:rFonts w:ascii="Times New Roman" w:hAnsi="Times New Roman" w:cs="Times New Roman" w:eastAsia="Times New Roman" w:hint="default"/>
        </w:rPr>
        <w:t>3</w:t>
      </w:r>
      <w:r>
        <w:rPr>
          <w:rFonts w:ascii="Times New Roman" w:hAnsi="Times New Roman" w:cs="Times New Roman" w:eastAsia="Times New Roman" w:hint="default"/>
          <w:spacing w:val="6"/>
        </w:rPr>
        <w:t> </w:t>
      </w:r>
      <w:r>
        <w:rPr>
          <w:spacing w:val="-4"/>
        </w:rPr>
        <w:t>个月的，则借款费用暂停资本化；该项中断如是所购建或生产的符合</w:t>
      </w:r>
      <w:r>
        <w:rPr/>
        <w:t> </w:t>
      </w:r>
      <w:r>
        <w:rPr>
          <w:spacing w:val="-4"/>
        </w:rPr>
        <w:t>资本化条件的资产达到预定可使用状态或者可销售状态必要的程序，则借款费</w:t>
      </w:r>
      <w:r>
        <w:rPr/>
        <w:t> </w:t>
      </w:r>
      <w:r>
        <w:rPr>
          <w:spacing w:val="-4"/>
        </w:rPr>
        <w:t>用继续资本化。在中断期间发生的借款费用确认为当期损益，直至资产的购建</w:t>
      </w:r>
      <w:r>
        <w:rPr/>
        <w:t> 或者生产活动重新开始后借款费用继续资本化。</w:t>
      </w:r>
    </w:p>
    <w:p>
      <w:pPr>
        <w:spacing w:line="240" w:lineRule="auto" w:before="0"/>
        <w:rPr>
          <w:rFonts w:ascii="宋体" w:hAnsi="宋体" w:cs="宋体" w:eastAsia="宋体" w:hint="default"/>
          <w:sz w:val="20"/>
          <w:szCs w:val="20"/>
        </w:rPr>
      </w:pPr>
    </w:p>
    <w:p>
      <w:pPr>
        <w:pStyle w:val="BodyText"/>
        <w:tabs>
          <w:tab w:pos="1397" w:val="left" w:leader="none"/>
        </w:tabs>
        <w:spacing w:line="345" w:lineRule="auto" w:before="174"/>
        <w:ind w:right="1792" w:hanging="567"/>
        <w:jc w:val="left"/>
      </w:pPr>
      <w:r>
        <w:rPr>
          <w:rFonts w:ascii="Times New Roman" w:hAnsi="Times New Roman" w:cs="Times New Roman" w:eastAsia="Times New Roman" w:hint="default"/>
          <w:b/>
          <w:bCs/>
          <w:w w:val="95"/>
        </w:rPr>
        <w:t>4</w:t>
      </w:r>
      <w:r>
        <w:rPr>
          <w:rFonts w:ascii="宋体" w:hAnsi="宋体" w:cs="宋体" w:eastAsia="宋体" w:hint="default"/>
          <w:b/>
          <w:bCs/>
          <w:w w:val="95"/>
        </w:rPr>
        <w:t>、</w:t>
        <w:tab/>
      </w:r>
      <w:r>
        <w:rPr>
          <w:rFonts w:ascii="宋体" w:hAnsi="宋体" w:cs="宋体" w:eastAsia="宋体" w:hint="default"/>
          <w:b/>
          <w:bCs/>
        </w:rPr>
        <w:t>借款费用资本化率、资本化金额的计算方法</w:t>
      </w:r>
      <w:r>
        <w:rPr>
          <w:rFonts w:ascii="宋体" w:hAnsi="宋体" w:cs="宋体" w:eastAsia="宋体" w:hint="default"/>
          <w:b/>
          <w:bCs/>
          <w:spacing w:val="1"/>
          <w:w w:val="99"/>
        </w:rPr>
        <w:t> </w:t>
      </w:r>
      <w:r>
        <w:rPr>
          <w:spacing w:val="-4"/>
        </w:rPr>
        <w:t>对于为购建或者生产符合资本化条件的资产而借入的专门借款，以专门借款当</w:t>
      </w:r>
      <w:r>
        <w:rPr/>
        <w:t> </w:t>
      </w:r>
      <w:r>
        <w:rPr>
          <w:spacing w:val="-4"/>
        </w:rPr>
        <w:t>期实际发生的借款费用，减去尚未动用的借款资金存入银行取得的利息收入或</w:t>
      </w:r>
      <w:r>
        <w:rPr/>
        <w:t> 进行暂时性投资取得的投资收益后的金额，来确定借款费用的资本化金额。 </w:t>
      </w:r>
      <w:r>
        <w:rPr>
          <w:spacing w:val="-4"/>
        </w:rPr>
        <w:t>对于为购建或者生产符合资本化条件的资产而占用的一般借款，根据累计资产</w:t>
      </w:r>
      <w:r>
        <w:rPr/>
        <w:t> 支出超过专门借款部分的资产支出加权平均数乘以所占用一般借款的资本化 </w:t>
      </w:r>
      <w:r>
        <w:rPr>
          <w:spacing w:val="-4"/>
        </w:rPr>
        <w:t>率，计算确定一般借款应予资本化的借款费用金额。资本化率根据一般借款加</w:t>
      </w:r>
    </w:p>
    <w:p>
      <w:pPr>
        <w:spacing w:after="0" w:line="345" w:lineRule="auto"/>
        <w:jc w:val="left"/>
        <w:sectPr>
          <w:pgSz w:w="11910" w:h="16840"/>
          <w:pgMar w:header="1302" w:footer="1001" w:top="1520" w:bottom="1200" w:left="1660" w:right="0"/>
        </w:sectPr>
      </w:pPr>
    </w:p>
    <w:p>
      <w:pPr>
        <w:spacing w:line="240" w:lineRule="auto" w:before="8"/>
        <w:rPr>
          <w:rFonts w:ascii="宋体" w:hAnsi="宋体" w:cs="宋体" w:eastAsia="宋体" w:hint="default"/>
          <w:sz w:val="13"/>
          <w:szCs w:val="13"/>
        </w:rPr>
      </w:pPr>
    </w:p>
    <w:p>
      <w:pPr>
        <w:pStyle w:val="BodyText"/>
        <w:spacing w:line="240" w:lineRule="auto" w:before="35"/>
        <w:ind w:right="3681"/>
        <w:jc w:val="left"/>
      </w:pPr>
      <w:r>
        <w:rPr/>
        <w:t>权平均利率计算确定。</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pStyle w:val="Heading5"/>
        <w:spacing w:line="240" w:lineRule="auto" w:before="0"/>
        <w:ind w:right="3681"/>
        <w:jc w:val="left"/>
        <w:rPr>
          <w:b w:val="0"/>
          <w:bCs w:val="0"/>
        </w:rPr>
      </w:pPr>
      <w:r>
        <w:rPr>
          <w:rFonts w:ascii="Times New Roman" w:hAnsi="Times New Roman" w:cs="Times New Roman" w:eastAsia="Times New Roman" w:hint="default"/>
        </w:rPr>
        <w:t>(</w:t>
      </w:r>
      <w:r>
        <w:rPr/>
        <w:t>十九</w:t>
      </w:r>
      <w:r>
        <w:rPr>
          <w:rFonts w:ascii="Times New Roman" w:hAnsi="Times New Roman" w:cs="Times New Roman" w:eastAsia="Times New Roman" w:hint="default"/>
        </w:rPr>
        <w:t>) </w:t>
      </w:r>
      <w:r>
        <w:rPr>
          <w:rFonts w:ascii="Times New Roman" w:hAnsi="Times New Roman" w:cs="Times New Roman" w:eastAsia="Times New Roman" w:hint="default"/>
          <w:spacing w:val="46"/>
        </w:rPr>
        <w:t> </w:t>
      </w:r>
      <w:r>
        <w:rPr/>
        <w:t>无形资产</w:t>
      </w:r>
      <w:r>
        <w:rPr>
          <w:b w:val="0"/>
          <w:bCs w:val="0"/>
        </w:rPr>
      </w:r>
    </w:p>
    <w:p>
      <w:pPr>
        <w:pStyle w:val="Heading5"/>
        <w:tabs>
          <w:tab w:pos="1397" w:val="left" w:leader="none"/>
        </w:tabs>
        <w:spacing w:line="240" w:lineRule="auto" w:before="109"/>
        <w:ind w:left="846" w:right="3681"/>
        <w:jc w:val="left"/>
        <w:rPr>
          <w:b w:val="0"/>
          <w:bCs w:val="0"/>
        </w:rPr>
      </w:pPr>
      <w:r>
        <w:rPr>
          <w:rFonts w:ascii="Times New Roman" w:hAnsi="Times New Roman" w:cs="Times New Roman" w:eastAsia="Times New Roman" w:hint="default"/>
          <w:w w:val="95"/>
        </w:rPr>
        <w:t>1</w:t>
      </w:r>
      <w:r>
        <w:rPr>
          <w:w w:val="95"/>
        </w:rPr>
        <w:t>、</w:t>
        <w:tab/>
      </w:r>
      <w:r>
        <w:rPr/>
        <w:t>无形资产的计价方法</w:t>
      </w:r>
      <w:r>
        <w:rPr>
          <w:b w:val="0"/>
          <w:bCs w:val="0"/>
        </w:rPr>
      </w:r>
    </w:p>
    <w:p>
      <w:pPr>
        <w:pStyle w:val="BodyText"/>
        <w:spacing w:line="348" w:lineRule="auto" w:before="110"/>
        <w:ind w:right="1671" w:hanging="1"/>
        <w:jc w:val="left"/>
      </w:pPr>
      <w:r>
        <w:rPr/>
        <w:t>（</w:t>
      </w:r>
      <w:r>
        <w:rPr>
          <w:rFonts w:ascii="Times New Roman" w:hAnsi="Times New Roman" w:cs="Times New Roman" w:eastAsia="Times New Roman" w:hint="default"/>
        </w:rPr>
        <w:t>1</w:t>
      </w:r>
      <w:r>
        <w:rPr/>
        <w:t>）公司取得无形资产时按成本进行初始计量； </w:t>
      </w:r>
      <w:r>
        <w:rPr>
          <w:spacing w:val="-4"/>
        </w:rPr>
        <w:t>外购无形资产的成本，包括购买价款、相关税费以及直接归属于使该项资产达</w:t>
      </w:r>
      <w:r>
        <w:rPr>
          <w:spacing w:val="-74"/>
        </w:rPr>
        <w:t> </w:t>
      </w:r>
      <w:r>
        <w:rPr>
          <w:spacing w:val="-74"/>
        </w:rPr>
      </w:r>
      <w:r>
        <w:rPr>
          <w:spacing w:val="-4"/>
        </w:rPr>
        <w:t>到预定用途所发生的其他支出。购买无形资产的价款超过正常信用条件延期支</w:t>
      </w:r>
      <w:r>
        <w:rPr>
          <w:spacing w:val="-74"/>
        </w:rPr>
        <w:t> </w:t>
      </w:r>
      <w:r>
        <w:rPr>
          <w:spacing w:val="-74"/>
        </w:rPr>
      </w:r>
      <w:r>
        <w:rPr/>
        <w:t>付，实质上具有融资性质的，无形资产的成本以购买价款的现值为基础确定。 </w:t>
      </w:r>
      <w:r>
        <w:rPr>
          <w:spacing w:val="-4"/>
        </w:rPr>
        <w:t>债务重组取得债务人用以抵债的无形资产，以该无形资产的公允价值为基础确</w:t>
      </w:r>
      <w:r>
        <w:rPr>
          <w:spacing w:val="-74"/>
        </w:rPr>
        <w:t> </w:t>
      </w:r>
      <w:r>
        <w:rPr>
          <w:spacing w:val="-74"/>
        </w:rPr>
      </w:r>
      <w:r>
        <w:rPr>
          <w:spacing w:val="-4"/>
        </w:rPr>
        <w:t>定其入账价值，并将重组债务的账面价值与该用以抵债的无形资产公允价值之</w:t>
      </w:r>
      <w:r>
        <w:rPr>
          <w:spacing w:val="-74"/>
        </w:rPr>
        <w:t> </w:t>
      </w:r>
      <w:r>
        <w:rPr>
          <w:spacing w:val="-74"/>
        </w:rPr>
      </w:r>
      <w:r>
        <w:rPr/>
        <w:t>间的差额，计入当期损益。 在非货币性资产交换具备商业实质且换入资产或换出资产的公允价值能够可 </w:t>
      </w:r>
      <w:r>
        <w:rPr>
          <w:spacing w:val="-4"/>
        </w:rPr>
        <w:t>靠计量的前提下，非货币性资产交换换入的无形资产以换出资产的公允价值为</w:t>
      </w:r>
      <w:r>
        <w:rPr>
          <w:spacing w:val="-74"/>
        </w:rPr>
        <w:t> </w:t>
      </w:r>
      <w:r>
        <w:rPr>
          <w:spacing w:val="-74"/>
        </w:rPr>
      </w:r>
      <w:r>
        <w:rPr>
          <w:spacing w:val="-4"/>
        </w:rPr>
        <w:t>基础确定其入账价值，除非有确凿证据表明换入资产的公允价值更加可靠；不</w:t>
      </w:r>
      <w:r>
        <w:rPr>
          <w:spacing w:val="-74"/>
        </w:rPr>
        <w:t> </w:t>
      </w:r>
      <w:r>
        <w:rPr>
          <w:spacing w:val="-74"/>
        </w:rPr>
      </w:r>
      <w:r>
        <w:rPr>
          <w:spacing w:val="-4"/>
        </w:rPr>
        <w:t>满足上述前提的非货币性资产交换，以换出资产的账面价值和应支付的相关税</w:t>
      </w:r>
      <w:r>
        <w:rPr>
          <w:spacing w:val="-74"/>
        </w:rPr>
        <w:t> </w:t>
      </w:r>
      <w:r>
        <w:rPr>
          <w:spacing w:val="-74"/>
        </w:rPr>
      </w:r>
      <w:r>
        <w:rPr/>
        <w:t>费作为换入无形资产的成本，不确认损益。</w:t>
      </w:r>
    </w:p>
    <w:p>
      <w:pPr>
        <w:pStyle w:val="BodyText"/>
        <w:spacing w:line="328" w:lineRule="auto" w:before="31"/>
        <w:ind w:right="5031" w:hanging="1"/>
        <w:jc w:val="left"/>
      </w:pPr>
      <w:r>
        <w:rPr/>
        <w:t>（</w:t>
      </w:r>
      <w:r>
        <w:rPr>
          <w:rFonts w:ascii="Times New Roman" w:hAnsi="Times New Roman" w:cs="Times New Roman" w:eastAsia="Times New Roman" w:hint="default"/>
        </w:rPr>
        <w:t>2</w:t>
      </w:r>
      <w:r>
        <w:rPr/>
        <w:t>）后续计量 在取得无形资产时分析判断其使用寿命。</w:t>
      </w:r>
    </w:p>
    <w:p>
      <w:pPr>
        <w:pStyle w:val="BodyText"/>
        <w:spacing w:line="350" w:lineRule="auto" w:before="47"/>
        <w:ind w:right="1682"/>
        <w:jc w:val="left"/>
      </w:pPr>
      <w:r>
        <w:rPr/>
        <w:t>对于使用寿命有限的无形资产，在为企业带来经济利益的期限内按直线法摊 </w:t>
      </w:r>
      <w:r>
        <w:rPr>
          <w:spacing w:val="-4"/>
        </w:rPr>
        <w:t>销；无法预见无形资产为企业带来经济利益期限的，视为使用寿命不确定的无</w:t>
      </w:r>
      <w:r>
        <w:rPr>
          <w:spacing w:val="-73"/>
        </w:rPr>
        <w:t> </w:t>
      </w:r>
      <w:r>
        <w:rPr>
          <w:spacing w:val="-73"/>
        </w:rPr>
      </w:r>
      <w:r>
        <w:rPr/>
        <w:t>形资产，不予摊销。</w:t>
      </w:r>
    </w:p>
    <w:p>
      <w:pPr>
        <w:spacing w:line="240" w:lineRule="auto" w:before="0"/>
        <w:rPr>
          <w:rFonts w:ascii="宋体" w:hAnsi="宋体" w:cs="宋体" w:eastAsia="宋体" w:hint="default"/>
          <w:sz w:val="20"/>
          <w:szCs w:val="20"/>
        </w:rPr>
      </w:pPr>
    </w:p>
    <w:p>
      <w:pPr>
        <w:pStyle w:val="Heading5"/>
        <w:tabs>
          <w:tab w:pos="1397" w:val="left" w:leader="none"/>
        </w:tabs>
        <w:spacing w:line="240" w:lineRule="auto" w:before="167"/>
        <w:ind w:left="846" w:right="3681"/>
        <w:jc w:val="left"/>
        <w:rPr>
          <w:b w:val="0"/>
          <w:bCs w:val="0"/>
        </w:rPr>
      </w:pPr>
      <w:r>
        <w:rPr/>
        <w:pict>
          <v:group style="position:absolute;margin-left:119.010002pt;margin-top:23.667381pt;width:411.75pt;height:107.25pt;mso-position-horizontal-relative:page;mso-position-vertical-relative:paragraph;z-index:-1400824" coordorigin="2380,473" coordsize="8235,2145">
            <v:group style="position:absolute;left:2410;top:488;width:3197;height:2" coordorigin="2410,488" coordsize="3197,2">
              <v:shape style="position:absolute;left:2410;top:488;width:3197;height:2" coordorigin="2410,488" coordsize="3197,0" path="m2410,488l5606,488e" filled="false" stroked="true" strokeweight="1.5pt" strokecolor="#000000">
                <v:path arrowok="t"/>
              </v:shape>
              <v:shape style="position:absolute;left:5606;top:503;width:10;height:28" type="#_x0000_t75" stroked="false">
                <v:imagedata r:id="rId42" o:title=""/>
              </v:shape>
            </v:group>
            <v:group style="position:absolute;left:5606;top:488;width:2004;height:2" coordorigin="5606,488" coordsize="2004,2">
              <v:shape style="position:absolute;left:5606;top:488;width:2004;height:2" coordorigin="5606,488" coordsize="2004,0" path="m5606,488l7610,488e" filled="false" stroked="true" strokeweight="1.5pt" strokecolor="#000000">
                <v:path arrowok="t"/>
              </v:shape>
              <v:shape style="position:absolute;left:7610;top:503;width:10;height:28" type="#_x0000_t75" stroked="false">
                <v:imagedata r:id="rId42" o:title=""/>
              </v:shape>
            </v:group>
            <v:group style="position:absolute;left:7610;top:488;width:2987;height:2" coordorigin="7610,488" coordsize="2987,2">
              <v:shape style="position:absolute;left:7610;top:488;width:2987;height:2" coordorigin="7610,488" coordsize="2987,0" path="m7610,488l10597,488e" filled="false" stroked="true" strokeweight="1.5pt" strokecolor="#000000">
                <v:path arrowok="t"/>
              </v:shape>
              <v:shape style="position:absolute;left:5587;top:512;width:2052;height:350" type="#_x0000_t75" stroked="false">
                <v:imagedata r:id="rId43" o:title=""/>
              </v:shape>
            </v:group>
            <v:group style="position:absolute;left:2395;top:2603;width:3212;height:2" coordorigin="2395,2603" coordsize="3212,2">
              <v:shape style="position:absolute;left:2395;top:2603;width:3212;height:2" coordorigin="2395,2603" coordsize="3212,0" path="m2395,2603l5606,2603e" filled="false" stroked="true" strokeweight="1.5pt" strokecolor="#000000">
                <v:path arrowok="t"/>
              </v:shape>
            </v:group>
            <v:group style="position:absolute;left:5606;top:2603;width:2004;height:2" coordorigin="5606,2603" coordsize="2004,2">
              <v:shape style="position:absolute;left:5606;top:2603;width:2004;height:2" coordorigin="5606,2603" coordsize="2004,0" path="m5606,2603l7610,2603e" filled="false" stroked="true" strokeweight="1.5pt" strokecolor="#000000">
                <v:path arrowok="t"/>
              </v:shape>
              <v:shape style="position:absolute;left:2390;top:830;width:8225;height:1758" type="#_x0000_t75" stroked="false">
                <v:imagedata r:id="rId44" o:title=""/>
              </v:shape>
            </v:group>
            <v:group style="position:absolute;left:7610;top:2603;width:2987;height:2" coordorigin="7610,2603" coordsize="2987,2">
              <v:shape style="position:absolute;left:7610;top:2603;width:2987;height:2" coordorigin="7610,2603" coordsize="2987,0" path="m7610,2603l10597,2603e" filled="false" stroked="true" strokeweight="1.5pt" strokecolor="#000000">
                <v:path arrowok="t"/>
              </v:shape>
            </v:group>
            <w10:wrap type="none"/>
          </v:group>
        </w:pict>
      </w:r>
      <w:r>
        <w:rPr>
          <w:rFonts w:ascii="Times New Roman" w:hAnsi="Times New Roman" w:cs="Times New Roman" w:eastAsia="Times New Roman" w:hint="default"/>
          <w:w w:val="95"/>
        </w:rPr>
        <w:t>2</w:t>
      </w:r>
      <w:r>
        <w:rPr>
          <w:w w:val="95"/>
        </w:rPr>
        <w:t>、</w:t>
        <w:tab/>
      </w:r>
      <w:r>
        <w:rPr/>
        <w:t>使用寿命有限的无形资产的使用寿命估计情况：</w:t>
      </w:r>
      <w:r>
        <w:rPr>
          <w:b w:val="0"/>
          <w:bCs w:val="0"/>
        </w:rPr>
      </w:r>
    </w:p>
    <w:p>
      <w:pPr>
        <w:spacing w:line="240" w:lineRule="auto" w:before="4"/>
        <w:rPr>
          <w:rFonts w:ascii="宋体" w:hAnsi="宋体" w:cs="宋体" w:eastAsia="宋体" w:hint="default"/>
          <w:b/>
          <w:bCs/>
          <w:sz w:val="2"/>
          <w:szCs w:val="2"/>
        </w:rPr>
      </w:pPr>
    </w:p>
    <w:tbl>
      <w:tblPr>
        <w:tblW w:w="0" w:type="auto"/>
        <w:jc w:val="left"/>
        <w:tblInd w:w="909" w:type="dxa"/>
        <w:tblLayout w:type="fixed"/>
        <w:tblCellMar>
          <w:top w:w="0" w:type="dxa"/>
          <w:left w:w="0" w:type="dxa"/>
          <w:bottom w:w="0" w:type="dxa"/>
          <w:right w:w="0" w:type="dxa"/>
        </w:tblCellMar>
        <w:tblLook w:val="01E0"/>
      </w:tblPr>
      <w:tblGrid>
        <w:gridCol w:w="1057"/>
        <w:gridCol w:w="1405"/>
        <w:gridCol w:w="2988"/>
        <w:gridCol w:w="1521"/>
      </w:tblGrid>
      <w:tr>
        <w:trPr>
          <w:trHeight w:val="1062" w:hRule="exact"/>
        </w:trPr>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10"/>
              <w:ind w:right="0"/>
              <w:jc w:val="left"/>
              <w:rPr>
                <w:rFonts w:ascii="宋体" w:hAnsi="宋体" w:cs="宋体" w:eastAsia="宋体" w:hint="default"/>
                <w:b/>
                <w:bCs/>
                <w:sz w:val="14"/>
                <w:szCs w:val="14"/>
              </w:rPr>
            </w:pPr>
          </w:p>
          <w:p>
            <w:pPr>
              <w:pStyle w:val="TableParagraph"/>
              <w:spacing w:line="400" w:lineRule="auto"/>
              <w:ind w:left="35" w:right="221"/>
              <w:jc w:val="left"/>
              <w:rPr>
                <w:rFonts w:ascii="宋体" w:hAnsi="宋体" w:cs="宋体" w:eastAsia="宋体" w:hint="default"/>
                <w:sz w:val="16"/>
                <w:szCs w:val="16"/>
              </w:rPr>
            </w:pPr>
            <w:r>
              <w:rPr>
                <w:rFonts w:ascii="宋体" w:hAnsi="宋体" w:cs="宋体" w:eastAsia="宋体" w:hint="default"/>
                <w:sz w:val="16"/>
                <w:szCs w:val="16"/>
              </w:rPr>
              <w:t>土地使用权</w:t>
            </w:r>
            <w:r>
              <w:rPr>
                <w:rFonts w:ascii="宋体" w:hAnsi="宋体" w:cs="宋体" w:eastAsia="宋体" w:hint="default"/>
                <w:w w:val="99"/>
                <w:sz w:val="16"/>
                <w:szCs w:val="16"/>
              </w:rPr>
              <w:t> </w:t>
            </w:r>
            <w:r>
              <w:rPr>
                <w:rFonts w:ascii="宋体" w:hAnsi="宋体" w:cs="宋体" w:eastAsia="宋体" w:hint="default"/>
                <w:sz w:val="16"/>
                <w:szCs w:val="16"/>
              </w:rPr>
              <w:t>专利权</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23" w:right="0"/>
              <w:jc w:val="left"/>
              <w:rPr>
                <w:rFonts w:ascii="宋体" w:hAnsi="宋体" w:cs="宋体" w:eastAsia="宋体" w:hint="default"/>
                <w:sz w:val="16"/>
                <w:szCs w:val="16"/>
              </w:rPr>
            </w:pPr>
            <w:r>
              <w:rPr>
                <w:rFonts w:ascii="宋体" w:hAnsi="宋体" w:cs="宋体" w:eastAsia="宋体" w:hint="default"/>
                <w:sz w:val="16"/>
                <w:szCs w:val="16"/>
              </w:rPr>
              <w:t>项目</w:t>
            </w:r>
          </w:p>
        </w:tc>
        <w:tc>
          <w:tcPr>
            <w:tcW w:w="2988" w:type="dxa"/>
            <w:tcBorders>
              <w:top w:val="nil" w:sz="6" w:space="0" w:color="auto"/>
              <w:left w:val="nil" w:sz="6" w:space="0" w:color="auto"/>
              <w:bottom w:val="nil" w:sz="6" w:space="0" w:color="auto"/>
              <w:right w:val="nil" w:sz="6" w:space="0" w:color="auto"/>
            </w:tcBorders>
          </w:tcPr>
          <w:p>
            <w:pPr>
              <w:pStyle w:val="TableParagraph"/>
              <w:spacing w:line="400" w:lineRule="auto" w:before="53"/>
              <w:ind w:left="862" w:right="686"/>
              <w:jc w:val="center"/>
              <w:rPr>
                <w:rFonts w:ascii="宋体" w:hAnsi="宋体" w:cs="宋体" w:eastAsia="宋体" w:hint="default"/>
                <w:sz w:val="16"/>
                <w:szCs w:val="16"/>
              </w:rPr>
            </w:pPr>
            <w:r>
              <w:rPr>
                <w:rFonts w:ascii="宋体" w:hAnsi="宋体" w:cs="宋体" w:eastAsia="宋体" w:hint="default"/>
                <w:w w:val="95"/>
                <w:sz w:val="16"/>
                <w:szCs w:val="16"/>
              </w:rPr>
              <w:t>预计使用寿命（年）</w:t>
            </w:r>
            <w:r>
              <w:rPr>
                <w:rFonts w:ascii="宋体" w:hAnsi="宋体" w:cs="宋体" w:eastAsia="宋体" w:hint="default"/>
                <w:spacing w:val="-7"/>
                <w:w w:val="95"/>
                <w:sz w:val="16"/>
                <w:szCs w:val="16"/>
              </w:rPr>
              <w:t> </w:t>
            </w:r>
            <w:r>
              <w:rPr>
                <w:rFonts w:ascii="宋体" w:hAnsi="宋体" w:cs="宋体" w:eastAsia="宋体" w:hint="default"/>
                <w:spacing w:val="-7"/>
                <w:w w:val="95"/>
                <w:sz w:val="16"/>
                <w:szCs w:val="16"/>
              </w:rPr>
            </w:r>
            <w:r>
              <w:rPr>
                <w:rFonts w:ascii="宋体" w:hAnsi="宋体" w:cs="宋体" w:eastAsia="宋体" w:hint="default"/>
                <w:sz w:val="16"/>
                <w:szCs w:val="16"/>
              </w:rPr>
              <w:t>权证确定使用期限</w:t>
            </w:r>
          </w:p>
          <w:p>
            <w:pPr>
              <w:pStyle w:val="TableParagraph"/>
              <w:spacing w:line="240" w:lineRule="auto" w:before="75"/>
              <w:ind w:left="176" w:right="0"/>
              <w:jc w:val="center"/>
              <w:rPr>
                <w:rFonts w:ascii="Times New Roman" w:hAnsi="Times New Roman" w:cs="Times New Roman" w:eastAsia="Times New Roman" w:hint="default"/>
                <w:sz w:val="16"/>
                <w:szCs w:val="16"/>
              </w:rPr>
            </w:pPr>
            <w:r>
              <w:rPr>
                <w:rFonts w:ascii="Times New Roman"/>
                <w:sz w:val="16"/>
              </w:rPr>
              <w:t>15</w:t>
            </w:r>
          </w:p>
        </w:tc>
        <w:tc>
          <w:tcPr>
            <w:tcW w:w="1521" w:type="dxa"/>
            <w:tcBorders>
              <w:top w:val="nil" w:sz="6" w:space="0" w:color="auto"/>
              <w:left w:val="nil" w:sz="6" w:space="0" w:color="auto"/>
              <w:bottom w:val="nil" w:sz="6" w:space="0" w:color="auto"/>
              <w:right w:val="nil" w:sz="6" w:space="0" w:color="auto"/>
            </w:tcBorders>
          </w:tcPr>
          <w:p>
            <w:pPr>
              <w:pStyle w:val="TableParagraph"/>
              <w:spacing w:line="400" w:lineRule="auto" w:before="53"/>
              <w:ind w:left="686" w:right="33"/>
              <w:jc w:val="center"/>
              <w:rPr>
                <w:rFonts w:ascii="宋体" w:hAnsi="宋体" w:cs="宋体" w:eastAsia="宋体" w:hint="default"/>
                <w:sz w:val="16"/>
                <w:szCs w:val="16"/>
              </w:rPr>
            </w:pPr>
            <w:r>
              <w:rPr>
                <w:rFonts w:ascii="宋体" w:hAnsi="宋体" w:cs="宋体" w:eastAsia="宋体" w:hint="default"/>
                <w:sz w:val="16"/>
                <w:szCs w:val="16"/>
              </w:rPr>
              <w:t>依据</w:t>
            </w:r>
            <w:r>
              <w:rPr>
                <w:rFonts w:ascii="宋体" w:hAnsi="宋体" w:cs="宋体" w:eastAsia="宋体" w:hint="default"/>
                <w:w w:val="99"/>
                <w:sz w:val="16"/>
                <w:szCs w:val="16"/>
              </w:rPr>
              <w:t> </w:t>
            </w:r>
            <w:r>
              <w:rPr>
                <w:rFonts w:ascii="宋体" w:hAnsi="宋体" w:cs="宋体" w:eastAsia="宋体" w:hint="default"/>
                <w:sz w:val="16"/>
                <w:szCs w:val="16"/>
              </w:rPr>
              <w:t>法定寿命</w:t>
            </w:r>
            <w:r>
              <w:rPr>
                <w:rFonts w:ascii="宋体" w:hAnsi="宋体" w:cs="宋体" w:eastAsia="宋体" w:hint="default"/>
                <w:w w:val="99"/>
                <w:sz w:val="16"/>
                <w:szCs w:val="16"/>
              </w:rPr>
              <w:t> </w:t>
            </w:r>
            <w:r>
              <w:rPr>
                <w:rFonts w:ascii="宋体" w:hAnsi="宋体" w:cs="宋体" w:eastAsia="宋体" w:hint="default"/>
                <w:sz w:val="16"/>
                <w:szCs w:val="16"/>
              </w:rPr>
              <w:t>预计受益期</w:t>
            </w:r>
          </w:p>
        </w:tc>
      </w:tr>
      <w:tr>
        <w:trPr>
          <w:trHeight w:val="349" w:hRule="exact"/>
        </w:trPr>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37"/>
              <w:ind w:left="35" w:right="0"/>
              <w:jc w:val="left"/>
              <w:rPr>
                <w:rFonts w:ascii="宋体" w:hAnsi="宋体" w:cs="宋体" w:eastAsia="宋体" w:hint="default"/>
                <w:sz w:val="16"/>
                <w:szCs w:val="16"/>
              </w:rPr>
            </w:pPr>
            <w:r>
              <w:rPr>
                <w:rFonts w:ascii="宋体" w:hAnsi="宋体" w:cs="宋体" w:eastAsia="宋体" w:hint="default"/>
                <w:sz w:val="16"/>
                <w:szCs w:val="16"/>
              </w:rPr>
              <w:t>计算机软件</w:t>
            </w:r>
          </w:p>
        </w:tc>
        <w:tc>
          <w:tcPr>
            <w:tcW w:w="1405" w:type="dxa"/>
            <w:tcBorders>
              <w:top w:val="nil" w:sz="6" w:space="0" w:color="auto"/>
              <w:left w:val="nil" w:sz="6" w:space="0" w:color="auto"/>
              <w:bottom w:val="nil" w:sz="6" w:space="0" w:color="auto"/>
              <w:right w:val="nil" w:sz="6" w:space="0" w:color="auto"/>
            </w:tcBorders>
          </w:tcPr>
          <w:p>
            <w:pPr/>
          </w:p>
        </w:tc>
        <w:tc>
          <w:tcPr>
            <w:tcW w:w="298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256"/>
              <w:jc w:val="right"/>
              <w:rPr>
                <w:rFonts w:ascii="Times New Roman" w:hAnsi="Times New Roman" w:cs="Times New Roman" w:eastAsia="Times New Roman" w:hint="default"/>
                <w:sz w:val="16"/>
                <w:szCs w:val="16"/>
              </w:rPr>
            </w:pPr>
            <w:r>
              <w:rPr>
                <w:rFonts w:ascii="Times New Roman"/>
                <w:spacing w:val="-1"/>
                <w:sz w:val="16"/>
              </w:rPr>
              <w:t>1-10</w:t>
            </w:r>
          </w:p>
        </w:tc>
        <w:tc>
          <w:tcPr>
            <w:tcW w:w="1521"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33"/>
              <w:jc w:val="right"/>
              <w:rPr>
                <w:rFonts w:ascii="宋体" w:hAnsi="宋体" w:cs="宋体" w:eastAsia="宋体" w:hint="default"/>
                <w:sz w:val="16"/>
                <w:szCs w:val="16"/>
              </w:rPr>
            </w:pPr>
            <w:r>
              <w:rPr>
                <w:rFonts w:ascii="宋体" w:hAnsi="宋体" w:cs="宋体" w:eastAsia="宋体" w:hint="default"/>
                <w:w w:val="95"/>
                <w:sz w:val="16"/>
                <w:szCs w:val="16"/>
              </w:rPr>
              <w:t>预计受益期</w:t>
            </w:r>
            <w:r>
              <w:rPr>
                <w:rFonts w:ascii="宋体" w:hAnsi="宋体" w:cs="宋体" w:eastAsia="宋体" w:hint="default"/>
                <w:sz w:val="16"/>
                <w:szCs w:val="16"/>
              </w:rPr>
            </w:r>
          </w:p>
        </w:tc>
      </w:tr>
      <w:tr>
        <w:trPr>
          <w:trHeight w:val="349" w:hRule="exact"/>
        </w:trPr>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37"/>
              <w:ind w:left="35" w:right="0"/>
              <w:jc w:val="left"/>
              <w:rPr>
                <w:rFonts w:ascii="宋体" w:hAnsi="宋体" w:cs="宋体" w:eastAsia="宋体" w:hint="default"/>
                <w:sz w:val="16"/>
                <w:szCs w:val="16"/>
              </w:rPr>
            </w:pPr>
            <w:r>
              <w:rPr>
                <w:rFonts w:ascii="宋体" w:hAnsi="宋体" w:cs="宋体" w:eastAsia="宋体" w:hint="default"/>
                <w:sz w:val="16"/>
                <w:szCs w:val="16"/>
              </w:rPr>
              <w:t>非专利技术</w:t>
            </w:r>
          </w:p>
        </w:tc>
        <w:tc>
          <w:tcPr>
            <w:tcW w:w="1405" w:type="dxa"/>
            <w:tcBorders>
              <w:top w:val="nil" w:sz="6" w:space="0" w:color="auto"/>
              <w:left w:val="nil" w:sz="6" w:space="0" w:color="auto"/>
              <w:bottom w:val="nil" w:sz="6" w:space="0" w:color="auto"/>
              <w:right w:val="nil" w:sz="6" w:space="0" w:color="auto"/>
            </w:tcBorders>
          </w:tcPr>
          <w:p>
            <w:pPr/>
          </w:p>
        </w:tc>
        <w:tc>
          <w:tcPr>
            <w:tcW w:w="298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256"/>
              <w:jc w:val="right"/>
              <w:rPr>
                <w:rFonts w:ascii="Times New Roman" w:hAnsi="Times New Roman" w:cs="Times New Roman" w:eastAsia="Times New Roman" w:hint="default"/>
                <w:sz w:val="16"/>
                <w:szCs w:val="16"/>
              </w:rPr>
            </w:pPr>
            <w:r>
              <w:rPr>
                <w:rFonts w:ascii="Times New Roman"/>
                <w:spacing w:val="-1"/>
                <w:sz w:val="16"/>
              </w:rPr>
              <w:t>5-10</w:t>
            </w:r>
          </w:p>
        </w:tc>
        <w:tc>
          <w:tcPr>
            <w:tcW w:w="1521"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33"/>
              <w:jc w:val="right"/>
              <w:rPr>
                <w:rFonts w:ascii="宋体" w:hAnsi="宋体" w:cs="宋体" w:eastAsia="宋体" w:hint="default"/>
                <w:sz w:val="16"/>
                <w:szCs w:val="16"/>
              </w:rPr>
            </w:pPr>
            <w:r>
              <w:rPr>
                <w:rFonts w:ascii="宋体" w:hAnsi="宋体" w:cs="宋体" w:eastAsia="宋体" w:hint="default"/>
                <w:w w:val="95"/>
                <w:sz w:val="16"/>
                <w:szCs w:val="16"/>
              </w:rPr>
              <w:t>预计受益期</w:t>
            </w:r>
            <w:r>
              <w:rPr>
                <w:rFonts w:ascii="宋体" w:hAnsi="宋体" w:cs="宋体" w:eastAsia="宋体" w:hint="default"/>
                <w:sz w:val="16"/>
                <w:szCs w:val="16"/>
              </w:rPr>
            </w:r>
          </w:p>
        </w:tc>
      </w:tr>
      <w:tr>
        <w:trPr>
          <w:trHeight w:val="354" w:hRule="exact"/>
        </w:trPr>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宋体" w:hAnsi="宋体" w:cs="宋体" w:eastAsia="宋体" w:hint="default"/>
                <w:sz w:val="16"/>
                <w:szCs w:val="16"/>
              </w:rPr>
            </w:pPr>
            <w:r>
              <w:rPr>
                <w:rFonts w:ascii="宋体" w:hAnsi="宋体" w:cs="宋体" w:eastAsia="宋体" w:hint="default"/>
                <w:sz w:val="16"/>
                <w:szCs w:val="16"/>
              </w:rPr>
              <w:t>特许权</w:t>
            </w:r>
          </w:p>
        </w:tc>
        <w:tc>
          <w:tcPr>
            <w:tcW w:w="1405" w:type="dxa"/>
            <w:tcBorders>
              <w:top w:val="nil" w:sz="6" w:space="0" w:color="auto"/>
              <w:left w:val="nil" w:sz="6" w:space="0" w:color="auto"/>
              <w:bottom w:val="nil" w:sz="6" w:space="0" w:color="auto"/>
              <w:right w:val="nil" w:sz="6" w:space="0" w:color="auto"/>
            </w:tcBorders>
          </w:tcPr>
          <w:p>
            <w:pPr/>
          </w:p>
        </w:tc>
        <w:tc>
          <w:tcPr>
            <w:tcW w:w="298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256"/>
              <w:jc w:val="right"/>
              <w:rPr>
                <w:rFonts w:ascii="Times New Roman" w:hAnsi="Times New Roman" w:cs="Times New Roman" w:eastAsia="Times New Roman" w:hint="default"/>
                <w:sz w:val="16"/>
                <w:szCs w:val="16"/>
              </w:rPr>
            </w:pPr>
            <w:r>
              <w:rPr>
                <w:rFonts w:ascii="Times New Roman"/>
                <w:spacing w:val="-1"/>
                <w:sz w:val="16"/>
              </w:rPr>
              <w:t>5-10</w:t>
            </w:r>
          </w:p>
        </w:tc>
        <w:tc>
          <w:tcPr>
            <w:tcW w:w="152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3"/>
              <w:jc w:val="right"/>
              <w:rPr>
                <w:rFonts w:ascii="宋体" w:hAnsi="宋体" w:cs="宋体" w:eastAsia="宋体" w:hint="default"/>
                <w:sz w:val="16"/>
                <w:szCs w:val="16"/>
              </w:rPr>
            </w:pPr>
            <w:r>
              <w:rPr>
                <w:rFonts w:ascii="宋体" w:hAnsi="宋体" w:cs="宋体" w:eastAsia="宋体" w:hint="default"/>
                <w:w w:val="95"/>
                <w:sz w:val="16"/>
                <w:szCs w:val="16"/>
              </w:rPr>
              <w:t>预计受益期</w:t>
            </w:r>
            <w:r>
              <w:rPr>
                <w:rFonts w:ascii="宋体" w:hAnsi="宋体" w:cs="宋体" w:eastAsia="宋体" w:hint="default"/>
                <w:sz w:val="16"/>
                <w:szCs w:val="16"/>
              </w:rPr>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6"/>
          <w:szCs w:val="16"/>
        </w:rPr>
      </w:pPr>
    </w:p>
    <w:p>
      <w:pPr>
        <w:pStyle w:val="BodyText"/>
        <w:spacing w:line="240" w:lineRule="auto" w:before="35"/>
        <w:ind w:right="1793"/>
        <w:jc w:val="left"/>
      </w:pPr>
      <w:r>
        <w:rPr/>
        <w:t>每年度终了，对使用寿命有限的无形资产的使用寿命及摊销方法进行复核。</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tabs>
          <w:tab w:pos="1397" w:val="left" w:leader="none"/>
        </w:tabs>
        <w:spacing w:line="328" w:lineRule="auto" w:before="0"/>
        <w:ind w:left="1413" w:right="2102" w:hanging="567"/>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使用寿命不确定的无形资产的判断依据以及对其使用寿命进行复核的程序</w:t>
      </w:r>
      <w:r>
        <w:rPr>
          <w:rFonts w:ascii="宋体" w:hAnsi="宋体" w:cs="宋体" w:eastAsia="宋体" w:hint="default"/>
          <w:b/>
          <w:bCs/>
          <w:w w:val="99"/>
          <w:sz w:val="21"/>
          <w:szCs w:val="21"/>
        </w:rPr>
        <w:t> </w:t>
      </w:r>
      <w:r>
        <w:rPr>
          <w:rFonts w:ascii="宋体" w:hAnsi="宋体" w:cs="宋体" w:eastAsia="宋体" w:hint="default"/>
          <w:sz w:val="21"/>
          <w:szCs w:val="21"/>
        </w:rPr>
        <w:t>本报告期本公司无使用寿命不确定的无形资产。</w:t>
      </w:r>
    </w:p>
    <w:p>
      <w:pPr>
        <w:spacing w:after="0" w:line="328" w:lineRule="auto"/>
        <w:jc w:val="left"/>
        <w:rPr>
          <w:rFonts w:ascii="宋体" w:hAnsi="宋体" w:cs="宋体" w:eastAsia="宋体" w:hint="default"/>
          <w:sz w:val="21"/>
          <w:szCs w:val="21"/>
        </w:rPr>
        <w:sectPr>
          <w:pgSz w:w="11910" w:h="16840"/>
          <w:pgMar w:header="1302" w:footer="1001" w:top="1520" w:bottom="1200" w:left="1660" w:right="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4"/>
          <w:szCs w:val="24"/>
        </w:rPr>
      </w:pPr>
    </w:p>
    <w:p>
      <w:pPr>
        <w:pStyle w:val="BodyText"/>
        <w:tabs>
          <w:tab w:pos="1397" w:val="left" w:leader="none"/>
        </w:tabs>
        <w:spacing w:line="345" w:lineRule="auto" w:before="35"/>
        <w:ind w:right="1689" w:hanging="567"/>
        <w:jc w:val="left"/>
      </w:pPr>
      <w:r>
        <w:rPr>
          <w:rFonts w:ascii="Times New Roman" w:hAnsi="Times New Roman" w:cs="Times New Roman" w:eastAsia="Times New Roman" w:hint="default"/>
          <w:b/>
          <w:bCs/>
          <w:w w:val="95"/>
        </w:rPr>
        <w:t>4</w:t>
      </w:r>
      <w:r>
        <w:rPr>
          <w:rFonts w:ascii="宋体" w:hAnsi="宋体" w:cs="宋体" w:eastAsia="宋体" w:hint="default"/>
          <w:b/>
          <w:bCs/>
          <w:w w:val="95"/>
        </w:rPr>
        <w:t>、</w:t>
        <w:tab/>
      </w:r>
      <w:r>
        <w:rPr>
          <w:rFonts w:ascii="宋体" w:hAnsi="宋体" w:cs="宋体" w:eastAsia="宋体" w:hint="default"/>
          <w:b/>
          <w:bCs/>
        </w:rPr>
        <w:t>划分研究阶段和开发阶段的具体标准</w:t>
      </w:r>
      <w:r>
        <w:rPr>
          <w:rFonts w:ascii="宋体" w:hAnsi="宋体" w:cs="宋体" w:eastAsia="宋体" w:hint="default"/>
          <w:b/>
          <w:bCs/>
          <w:w w:val="99"/>
        </w:rPr>
        <w:t> </w:t>
      </w:r>
      <w:r>
        <w:rPr/>
        <w:t>公司内部研究开发项目的支出分为研究阶段支出和开发阶段支出。 研究阶段：为获取并理解新的科学或技术知识等而进行的独创性的有计划调 查、研究活动的阶段。 </w:t>
      </w:r>
      <w:r>
        <w:rPr>
          <w:spacing w:val="-4"/>
        </w:rPr>
        <w:t>开发阶段：在进行商业性生产或使用前，将研究成果或其他知识应用于某项计</w:t>
      </w:r>
      <w:r>
        <w:rPr/>
        <w:t> </w:t>
      </w:r>
      <w:r>
        <w:rPr>
          <w:spacing w:val="-6"/>
        </w:rPr>
        <w:t>划或设计，以生产出新的或具有实质性改进的材料、装置、产品等活动的阶段。</w:t>
      </w:r>
    </w:p>
    <w:p>
      <w:pPr>
        <w:spacing w:line="240" w:lineRule="auto" w:before="0"/>
        <w:rPr>
          <w:rFonts w:ascii="宋体" w:hAnsi="宋体" w:cs="宋体" w:eastAsia="宋体" w:hint="default"/>
          <w:sz w:val="20"/>
          <w:szCs w:val="20"/>
        </w:rPr>
      </w:pPr>
    </w:p>
    <w:p>
      <w:pPr>
        <w:tabs>
          <w:tab w:pos="1397" w:val="left" w:leader="none"/>
        </w:tabs>
        <w:spacing w:line="328" w:lineRule="auto" w:before="171"/>
        <w:ind w:left="1413" w:right="1899" w:hanging="567"/>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5</w:t>
      </w:r>
      <w:r>
        <w:rPr>
          <w:rFonts w:ascii="宋体" w:hAnsi="宋体" w:cs="宋体" w:eastAsia="宋体" w:hint="default"/>
          <w:b/>
          <w:bCs/>
          <w:w w:val="95"/>
          <w:sz w:val="21"/>
          <w:szCs w:val="21"/>
        </w:rPr>
        <w:t>、</w:t>
        <w:tab/>
      </w:r>
      <w:r>
        <w:rPr>
          <w:rFonts w:ascii="宋体" w:hAnsi="宋体" w:cs="宋体" w:eastAsia="宋体" w:hint="default"/>
          <w:b/>
          <w:bCs/>
          <w:sz w:val="21"/>
          <w:szCs w:val="21"/>
        </w:rPr>
        <w:t>开发阶段支出资本化的具体条件</w:t>
      </w:r>
      <w:r>
        <w:rPr>
          <w:rFonts w:ascii="宋体" w:hAnsi="宋体" w:cs="宋体" w:eastAsia="宋体" w:hint="default"/>
          <w:b/>
          <w:bCs/>
          <w:spacing w:val="1"/>
          <w:w w:val="99"/>
          <w:sz w:val="21"/>
          <w:szCs w:val="21"/>
        </w:rPr>
        <w:t> </w:t>
      </w:r>
      <w:r>
        <w:rPr>
          <w:rFonts w:ascii="宋体" w:hAnsi="宋体" w:cs="宋体" w:eastAsia="宋体" w:hint="default"/>
          <w:sz w:val="21"/>
          <w:szCs w:val="21"/>
        </w:rPr>
        <w:t>内部研究开发项目开发阶段的支出，同时满足下列条件时确认为无形资产：</w:t>
      </w:r>
    </w:p>
    <w:p>
      <w:pPr>
        <w:pStyle w:val="BodyText"/>
        <w:spacing w:line="240" w:lineRule="auto" w:before="28"/>
        <w:ind w:right="1793"/>
        <w:jc w:val="left"/>
      </w:pPr>
      <w:r>
        <w:rPr/>
        <w:t>（</w:t>
      </w:r>
      <w:r>
        <w:rPr>
          <w:rFonts w:ascii="Times New Roman" w:hAnsi="Times New Roman" w:cs="Times New Roman" w:eastAsia="Times New Roman" w:hint="default"/>
        </w:rPr>
        <w:t>1</w:t>
      </w:r>
      <w:r>
        <w:rPr/>
        <w:t>）完成该无形资产以使其能够使用或出售在技术上具有可行性；</w:t>
      </w:r>
    </w:p>
    <w:p>
      <w:pPr>
        <w:pStyle w:val="BodyText"/>
        <w:spacing w:line="240" w:lineRule="auto" w:before="88"/>
        <w:ind w:right="3681"/>
        <w:jc w:val="left"/>
      </w:pPr>
      <w:r>
        <w:rPr/>
        <w:t>（</w:t>
      </w:r>
      <w:r>
        <w:rPr>
          <w:rFonts w:ascii="Times New Roman" w:hAnsi="Times New Roman" w:cs="Times New Roman" w:eastAsia="Times New Roman" w:hint="default"/>
        </w:rPr>
        <w:t>2</w:t>
      </w:r>
      <w:r>
        <w:rPr/>
        <w:t>）具有完成该无形资产并使用或出售的意图；</w:t>
      </w:r>
    </w:p>
    <w:p>
      <w:pPr>
        <w:pStyle w:val="BodyText"/>
        <w:spacing w:line="321" w:lineRule="auto" w:before="89"/>
        <w:ind w:right="1792"/>
        <w:jc w:val="both"/>
      </w:pPr>
      <w:r>
        <w:rPr/>
        <w:t>（</w:t>
      </w:r>
      <w:r>
        <w:rPr>
          <w:rFonts w:ascii="Times New Roman" w:hAnsi="Times New Roman" w:cs="Times New Roman" w:eastAsia="Times New Roman" w:hint="default"/>
        </w:rPr>
        <w:t>3</w:t>
      </w:r>
      <w:r>
        <w:rPr/>
        <w:t>）无形资产产生经济利益的方式，包括能够证明运用该无形资产生产的产 </w:t>
      </w:r>
      <w:r>
        <w:rPr>
          <w:spacing w:val="-4"/>
        </w:rPr>
        <w:t>品存在市场或无形资产自身存在市场，无形资产将在内部使用的，能够证明其</w:t>
      </w:r>
      <w:r>
        <w:rPr>
          <w:spacing w:val="-73"/>
        </w:rPr>
        <w:t> </w:t>
      </w:r>
      <w:r>
        <w:rPr>
          <w:spacing w:val="-73"/>
        </w:rPr>
      </w:r>
      <w:r>
        <w:rPr/>
        <w:t>有用性；</w:t>
      </w:r>
    </w:p>
    <w:p>
      <w:pPr>
        <w:pStyle w:val="BodyText"/>
        <w:spacing w:line="314" w:lineRule="auto" w:before="34"/>
        <w:ind w:right="1776"/>
        <w:jc w:val="left"/>
      </w:pPr>
      <w:r>
        <w:rPr/>
        <w:t>（</w:t>
      </w:r>
      <w:r>
        <w:rPr>
          <w:rFonts w:ascii="Times New Roman" w:hAnsi="Times New Roman" w:cs="Times New Roman" w:eastAsia="Times New Roman" w:hint="default"/>
        </w:rPr>
        <w:t>4</w:t>
      </w:r>
      <w:r>
        <w:rPr/>
        <w:t>）有足够的技术、财务资源和其他资源支持，以完成该无形资产的开发， 并有能力使用或出售该无形资产；</w:t>
      </w:r>
    </w:p>
    <w:p>
      <w:pPr>
        <w:pStyle w:val="BodyText"/>
        <w:spacing w:line="324" w:lineRule="auto" w:before="39"/>
        <w:ind w:right="1793" w:hanging="1"/>
        <w:jc w:val="left"/>
      </w:pPr>
      <w:r>
        <w:rPr/>
        <w:t>（</w:t>
      </w:r>
      <w:r>
        <w:rPr>
          <w:rFonts w:ascii="Times New Roman" w:hAnsi="Times New Roman" w:cs="Times New Roman" w:eastAsia="Times New Roman" w:hint="default"/>
        </w:rPr>
        <w:t>5</w:t>
      </w:r>
      <w:r>
        <w:rPr/>
        <w:t>）归属于该无形资产开发阶段的支出能够可靠地计量。 </w:t>
      </w:r>
      <w:r>
        <w:rPr>
          <w:spacing w:val="-4"/>
        </w:rPr>
        <w:t>开发阶段的支出，若不满足上列条件的，于发生时计入当期损益。研究阶段的</w:t>
      </w:r>
      <w:r>
        <w:rPr>
          <w:spacing w:val="-75"/>
        </w:rPr>
        <w:t> </w:t>
      </w:r>
      <w:r>
        <w:rPr>
          <w:spacing w:val="-75"/>
        </w:rPr>
      </w:r>
      <w:r>
        <w:rPr/>
        <w:t>支出，在发生时计入当期损益。</w:t>
      </w:r>
    </w:p>
    <w:p>
      <w:pPr>
        <w:spacing w:line="240" w:lineRule="auto" w:before="0"/>
        <w:rPr>
          <w:rFonts w:ascii="宋体" w:hAnsi="宋体" w:cs="宋体" w:eastAsia="宋体" w:hint="default"/>
          <w:sz w:val="20"/>
          <w:szCs w:val="20"/>
        </w:rPr>
      </w:pPr>
    </w:p>
    <w:p>
      <w:pPr>
        <w:pStyle w:val="Heading5"/>
        <w:spacing w:line="240" w:lineRule="auto" w:before="149"/>
        <w:ind w:right="3681"/>
        <w:jc w:val="left"/>
        <w:rPr>
          <w:b w:val="0"/>
          <w:bCs w:val="0"/>
        </w:rPr>
      </w:pPr>
      <w:r>
        <w:rPr>
          <w:rFonts w:ascii="Times New Roman" w:hAnsi="Times New Roman" w:cs="Times New Roman" w:eastAsia="Times New Roman" w:hint="default"/>
        </w:rPr>
        <w:t>(</w:t>
      </w:r>
      <w:r>
        <w:rPr/>
        <w:t>二十</w:t>
      </w:r>
      <w:r>
        <w:rPr>
          <w:rFonts w:ascii="Times New Roman" w:hAnsi="Times New Roman" w:cs="Times New Roman" w:eastAsia="Times New Roman" w:hint="default"/>
        </w:rPr>
        <w:t>) </w:t>
      </w:r>
      <w:r>
        <w:rPr>
          <w:rFonts w:ascii="Times New Roman" w:hAnsi="Times New Roman" w:cs="Times New Roman" w:eastAsia="Times New Roman" w:hint="default"/>
          <w:spacing w:val="43"/>
        </w:rPr>
        <w:t> </w:t>
      </w:r>
      <w:r>
        <w:rPr/>
        <w:t>长期资产减值</w:t>
      </w:r>
      <w:r>
        <w:rPr>
          <w:b w:val="0"/>
          <w:bCs w:val="0"/>
        </w:rPr>
      </w:r>
    </w:p>
    <w:p>
      <w:pPr>
        <w:pStyle w:val="BodyText"/>
        <w:spacing w:line="331" w:lineRule="auto" w:before="89"/>
        <w:ind w:left="851" w:right="1677"/>
        <w:jc w:val="left"/>
      </w:pPr>
      <w:r>
        <w:rPr/>
        <w:t>长期股权投资、采用成本模式计量的投资性房地产、固定资产、在建工程、使用寿 命有限的无形资产等长期资产，于资产负债表日存在减值迹象的，进行减值测试。 减值测试结果表明资产的可收回金额低于其账面价值的，按其差额计提减值准备并 计入减值损失。可收回金额为资产的公允价值减去处置费用后的净额与资产预计未 </w:t>
      </w:r>
      <w:r>
        <w:rPr>
          <w:spacing w:val="-2"/>
        </w:rPr>
        <w:t>来现金流量的现值两者之间的较高者。资产减值准备按单项资产为基础计算并确认，</w:t>
      </w:r>
      <w:r>
        <w:rPr>
          <w:spacing w:val="-97"/>
        </w:rPr>
        <w:t> </w:t>
      </w:r>
      <w:r>
        <w:rPr>
          <w:spacing w:val="-97"/>
        </w:rPr>
      </w:r>
      <w:r>
        <w:rPr/>
        <w:t>如果难以对单项资产的可收回金额进行估计的，以该资产所属的资产组确定资产组 的可收回金额。资产组是能够独立产生现金流入的最小资产组合。 商誉和使用寿命不确定的无形资产至少在每年年度终了进行减值测试。 本公司进行商誉减值测试，对于因企业合并形成的商誉的账面价值，自购买日起按 照合理的方法分摊至相关的资产组；难以分摊至相关的资产组的，将其分摊至相关 的资产组组合。在将商誉的账面价值分摊至相关的资产组或者资产组组合时，按照 各资产组或者资产组组合的公允价值占相关资产组或者资产组组合公允价值总额的 比例进行分摊。公允价值难以可靠计量的，按照各资产组或者资产组组合的账面价</w:t>
      </w:r>
    </w:p>
    <w:p>
      <w:pPr>
        <w:spacing w:after="0" w:line="331" w:lineRule="auto"/>
        <w:jc w:val="left"/>
        <w:sectPr>
          <w:pgSz w:w="11910" w:h="16840"/>
          <w:pgMar w:header="1302" w:footer="1001" w:top="1520" w:bottom="1200" w:left="1660" w:right="0"/>
        </w:sectPr>
      </w:pPr>
    </w:p>
    <w:p>
      <w:pPr>
        <w:spacing w:line="240" w:lineRule="auto" w:before="0"/>
        <w:rPr>
          <w:rFonts w:ascii="宋体" w:hAnsi="宋体" w:cs="宋体" w:eastAsia="宋体" w:hint="default"/>
          <w:sz w:val="12"/>
          <w:szCs w:val="12"/>
        </w:rPr>
      </w:pPr>
    </w:p>
    <w:p>
      <w:pPr>
        <w:pStyle w:val="BodyText"/>
        <w:spacing w:line="331" w:lineRule="auto" w:before="35"/>
        <w:ind w:left="851" w:right="1813"/>
        <w:jc w:val="left"/>
      </w:pPr>
      <w:r>
        <w:rPr/>
        <w:t>值占相关资产组或者资产组组合账面价值总额的比例进行分摊。 在对包含商誉的相关资产组或者资产组组合进行减值测试时，如与商誉相关的资产 组或者资产组组合存在减值迹象的，先对不包含商誉的资产组或者资产组组合进行 减值测试，计算可收回金额，并与相关账面价值相比较，确认相应的减值损失。再 对包含商誉的资产组或者资产组组合进行减值测试，比较这些相关资产组或者资产 组组合的账面价值（包括所分摊的商誉的账面价值部分）与其可收回金额，如相关 资产组或者资产组组合的可收回金额低于其账面价值的，确认商誉的减值损失。上 述资产减值损失一经确认，在以后会计期间不予转回。</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4"/>
          <w:szCs w:val="14"/>
        </w:rPr>
      </w:pPr>
    </w:p>
    <w:p>
      <w:pPr>
        <w:pStyle w:val="Heading5"/>
        <w:spacing w:line="240" w:lineRule="auto" w:before="0"/>
        <w:ind w:right="3681"/>
        <w:jc w:val="left"/>
        <w:rPr>
          <w:b w:val="0"/>
          <w:bCs w:val="0"/>
        </w:rPr>
      </w:pPr>
      <w:r>
        <w:rPr>
          <w:rFonts w:ascii="Times New Roman" w:hAnsi="Times New Roman" w:cs="Times New Roman" w:eastAsia="Times New Roman" w:hint="default"/>
        </w:rPr>
        <w:t>(</w:t>
      </w:r>
      <w:r>
        <w:rPr/>
        <w:t>二十一</w:t>
      </w:r>
      <w:r>
        <w:rPr>
          <w:rFonts w:ascii="Times New Roman" w:hAnsi="Times New Roman" w:cs="Times New Roman" w:eastAsia="Times New Roman" w:hint="default"/>
        </w:rPr>
        <w:t>)</w:t>
      </w:r>
      <w:r>
        <w:rPr>
          <w:rFonts w:ascii="Times New Roman" w:hAnsi="Times New Roman" w:cs="Times New Roman" w:eastAsia="Times New Roman" w:hint="default"/>
          <w:spacing w:val="20"/>
        </w:rPr>
        <w:t> </w:t>
      </w:r>
      <w:r>
        <w:rPr/>
        <w:t>长期待摊费用</w:t>
      </w:r>
      <w:r>
        <w:rPr>
          <w:b w:val="0"/>
          <w:bCs w:val="0"/>
        </w:rPr>
      </w:r>
    </w:p>
    <w:p>
      <w:pPr>
        <w:pStyle w:val="BodyText"/>
        <w:spacing w:line="350" w:lineRule="auto"/>
        <w:ind w:left="851" w:right="1830"/>
        <w:jc w:val="both"/>
      </w:pPr>
      <w:r>
        <w:rPr/>
        <w:t>长期待摊费用为已经发生但应由本期和以后各期负担的分摊期限在一年以上的各项 费用。本公司长期待摊费用包括固定资产改良支出、装修费等。长期待摊费用在受 益期内平均摊销。</w:t>
      </w:r>
    </w:p>
    <w:p>
      <w:pPr>
        <w:spacing w:line="240" w:lineRule="auto" w:before="0"/>
        <w:rPr>
          <w:rFonts w:ascii="宋体" w:hAnsi="宋体" w:cs="宋体" w:eastAsia="宋体" w:hint="default"/>
          <w:sz w:val="20"/>
          <w:szCs w:val="20"/>
        </w:rPr>
      </w:pPr>
    </w:p>
    <w:p>
      <w:pPr>
        <w:pStyle w:val="Heading5"/>
        <w:spacing w:line="240" w:lineRule="auto" w:before="167"/>
        <w:ind w:right="3681"/>
        <w:jc w:val="left"/>
        <w:rPr>
          <w:b w:val="0"/>
          <w:bCs w:val="0"/>
        </w:rPr>
      </w:pPr>
      <w:r>
        <w:rPr>
          <w:rFonts w:ascii="Times New Roman" w:hAnsi="Times New Roman" w:cs="Times New Roman" w:eastAsia="Times New Roman" w:hint="default"/>
        </w:rPr>
        <w:t>(</w:t>
      </w:r>
      <w:r>
        <w:rPr/>
        <w:t>二十二</w:t>
      </w:r>
      <w:r>
        <w:rPr>
          <w:rFonts w:ascii="Times New Roman" w:hAnsi="Times New Roman" w:cs="Times New Roman" w:eastAsia="Times New Roman" w:hint="default"/>
        </w:rPr>
        <w:t>)</w:t>
      </w:r>
      <w:r>
        <w:rPr>
          <w:rFonts w:ascii="Times New Roman" w:hAnsi="Times New Roman" w:cs="Times New Roman" w:eastAsia="Times New Roman" w:hint="default"/>
          <w:spacing w:val="23"/>
        </w:rPr>
        <w:t> </w:t>
      </w:r>
      <w:r>
        <w:rPr/>
        <w:t>职工薪酬</w:t>
      </w:r>
      <w:r>
        <w:rPr>
          <w:b w:val="0"/>
          <w:bCs w:val="0"/>
        </w:rPr>
      </w:r>
    </w:p>
    <w:p>
      <w:pPr>
        <w:pStyle w:val="BodyText"/>
        <w:tabs>
          <w:tab w:pos="1397" w:val="left" w:leader="none"/>
        </w:tabs>
        <w:spacing w:line="345" w:lineRule="auto"/>
        <w:ind w:right="1792" w:hanging="567"/>
        <w:jc w:val="left"/>
      </w:pPr>
      <w:r>
        <w:rPr>
          <w:rFonts w:ascii="Times New Roman" w:hAnsi="Times New Roman" w:cs="Times New Roman" w:eastAsia="Times New Roman" w:hint="default"/>
          <w:b/>
          <w:bCs/>
          <w:w w:val="95"/>
        </w:rPr>
        <w:t>1</w:t>
      </w:r>
      <w:r>
        <w:rPr>
          <w:rFonts w:ascii="宋体" w:hAnsi="宋体" w:cs="宋体" w:eastAsia="宋体" w:hint="default"/>
          <w:b/>
          <w:bCs/>
          <w:w w:val="95"/>
        </w:rPr>
        <w:t>、</w:t>
        <w:tab/>
      </w:r>
      <w:r>
        <w:rPr>
          <w:rFonts w:ascii="宋体" w:hAnsi="宋体" w:cs="宋体" w:eastAsia="宋体" w:hint="default"/>
          <w:b/>
          <w:bCs/>
        </w:rPr>
        <w:t>短期薪酬的会计处理方法</w:t>
      </w:r>
      <w:r>
        <w:rPr>
          <w:rFonts w:ascii="宋体" w:hAnsi="宋体" w:cs="宋体" w:eastAsia="宋体" w:hint="default"/>
          <w:b/>
          <w:bCs/>
          <w:w w:val="99"/>
        </w:rPr>
        <w:t> </w:t>
      </w:r>
      <w:r>
        <w:rPr>
          <w:spacing w:val="-4"/>
        </w:rPr>
        <w:t>本公司在职工为本公司提供服务的会计期间，将实际发生的短期薪酬确认为负</w:t>
      </w:r>
      <w:r>
        <w:rPr/>
        <w:t> 债，并计入当期损益或相关资产成本。 </w:t>
      </w:r>
      <w:r>
        <w:rPr>
          <w:spacing w:val="-4"/>
        </w:rPr>
        <w:t>本公司为职工缴纳的社会保险费和住房公积金，以及按规定提取的工会经费和</w:t>
      </w:r>
      <w:r>
        <w:rPr/>
        <w:t> </w:t>
      </w:r>
      <w:r>
        <w:rPr>
          <w:spacing w:val="-4"/>
        </w:rPr>
        <w:t>职工教育经费，在职工为本公司提供服务的会计期间，根据规定的计提基础和</w:t>
      </w:r>
      <w:r>
        <w:rPr/>
        <w:t> 计提比例计算确定相应的职工薪酬金额。 职工福利费为非货币性福利的，如能够可靠计量的，按照公允价值计量。</w:t>
      </w:r>
    </w:p>
    <w:p>
      <w:pPr>
        <w:spacing w:line="240" w:lineRule="auto" w:before="0"/>
        <w:rPr>
          <w:rFonts w:ascii="宋体" w:hAnsi="宋体" w:cs="宋体" w:eastAsia="宋体" w:hint="default"/>
          <w:sz w:val="20"/>
          <w:szCs w:val="20"/>
        </w:rPr>
      </w:pPr>
    </w:p>
    <w:p>
      <w:pPr>
        <w:pStyle w:val="Heading5"/>
        <w:tabs>
          <w:tab w:pos="1397" w:val="left" w:leader="none"/>
        </w:tabs>
        <w:spacing w:line="240" w:lineRule="auto" w:before="171"/>
        <w:ind w:left="846" w:right="3681"/>
        <w:jc w:val="left"/>
        <w:rPr>
          <w:b w:val="0"/>
          <w:bCs w:val="0"/>
        </w:rPr>
      </w:pPr>
      <w:r>
        <w:rPr>
          <w:rFonts w:ascii="Times New Roman" w:hAnsi="Times New Roman" w:cs="Times New Roman" w:eastAsia="Times New Roman" w:hint="default"/>
          <w:w w:val="95"/>
        </w:rPr>
        <w:t>2</w:t>
      </w:r>
      <w:r>
        <w:rPr>
          <w:w w:val="95"/>
        </w:rPr>
        <w:t>、</w:t>
        <w:tab/>
      </w:r>
      <w:r>
        <w:rPr/>
        <w:t>离职后福利的会计处理方法</w:t>
      </w:r>
      <w:r>
        <w:rPr>
          <w:b w:val="0"/>
          <w:bCs w:val="0"/>
        </w:rPr>
      </w:r>
    </w:p>
    <w:p>
      <w:pPr>
        <w:pStyle w:val="BodyText"/>
        <w:spacing w:line="345" w:lineRule="auto"/>
        <w:ind w:right="1682" w:hanging="1"/>
        <w:jc w:val="left"/>
      </w:pPr>
      <w:r>
        <w:rPr/>
        <w:t>（</w:t>
      </w:r>
      <w:r>
        <w:rPr>
          <w:rFonts w:ascii="Times New Roman" w:hAnsi="Times New Roman" w:cs="Times New Roman" w:eastAsia="Times New Roman" w:hint="default"/>
        </w:rPr>
        <w:t>1</w:t>
      </w:r>
      <w:r>
        <w:rPr/>
        <w:t>）设定提存计划 </w:t>
      </w:r>
      <w:r>
        <w:rPr>
          <w:spacing w:val="-4"/>
        </w:rPr>
        <w:t>本公司按当地政府的相关规定为职工缴纳基本养老保险和失业保险，在职工为</w:t>
      </w:r>
      <w:r>
        <w:rPr>
          <w:spacing w:val="-74"/>
        </w:rPr>
        <w:t> </w:t>
      </w:r>
      <w:r>
        <w:rPr>
          <w:spacing w:val="-74"/>
        </w:rPr>
      </w:r>
      <w:r>
        <w:rPr/>
        <w:t>本公司提供服务的会计期间，按以当地规定的缴纳基数和比例计算应缴纳金 额，确认为负债，并计入当期损益或相关资产成本。 </w:t>
      </w:r>
      <w:r>
        <w:rPr>
          <w:spacing w:val="-4"/>
        </w:rPr>
        <w:t>除基本养老保险外，本公司还依据国家企业年金制度的相关政策建立了企业年</w:t>
      </w:r>
      <w:r>
        <w:rPr>
          <w:spacing w:val="-74"/>
        </w:rPr>
        <w:t> </w:t>
      </w:r>
      <w:r>
        <w:rPr>
          <w:spacing w:val="-74"/>
        </w:rPr>
      </w:r>
      <w:r>
        <w:rPr>
          <w:spacing w:val="-4"/>
        </w:rPr>
        <w:t>金缴费制度（补充养老保险）。本公司按职工工资总额的一定比例向当地社会</w:t>
      </w:r>
      <w:r>
        <w:rPr>
          <w:spacing w:val="-77"/>
        </w:rPr>
        <w:t> </w:t>
      </w:r>
      <w:r>
        <w:rPr>
          <w:spacing w:val="-77"/>
        </w:rPr>
      </w:r>
      <w:r>
        <w:rPr/>
        <w:t>保险机构缴费，相应支出计入当期损益或相关资产成本。</w:t>
      </w:r>
    </w:p>
    <w:p>
      <w:pPr>
        <w:pStyle w:val="BodyText"/>
        <w:spacing w:line="340" w:lineRule="auto" w:before="32"/>
        <w:ind w:right="1881" w:hanging="1"/>
        <w:jc w:val="left"/>
      </w:pPr>
      <w:r>
        <w:rPr/>
        <w:t>（</w:t>
      </w:r>
      <w:r>
        <w:rPr>
          <w:rFonts w:ascii="Times New Roman" w:hAnsi="Times New Roman" w:cs="Times New Roman" w:eastAsia="Times New Roman" w:hint="default"/>
        </w:rPr>
        <w:t>2</w:t>
      </w:r>
      <w:r>
        <w:rPr/>
        <w:t>）设定受益计划 本公司根据预期累计福利单位法确定的公式将设定受益计划产生的福利义务 归属于职工提供服务的期间，并计入当期损益或相关资产成本。</w:t>
      </w:r>
    </w:p>
    <w:p>
      <w:pPr>
        <w:spacing w:after="0" w:line="340" w:lineRule="auto"/>
        <w:jc w:val="left"/>
        <w:sectPr>
          <w:pgSz w:w="11910" w:h="16840"/>
          <w:pgMar w:header="1302" w:footer="1001" w:top="1520" w:bottom="1200" w:left="1660" w:right="0"/>
        </w:sectPr>
      </w:pPr>
    </w:p>
    <w:p>
      <w:pPr>
        <w:spacing w:line="240" w:lineRule="auto" w:before="8"/>
        <w:rPr>
          <w:rFonts w:ascii="宋体" w:hAnsi="宋体" w:cs="宋体" w:eastAsia="宋体" w:hint="default"/>
          <w:sz w:val="13"/>
          <w:szCs w:val="13"/>
        </w:rPr>
      </w:pPr>
    </w:p>
    <w:p>
      <w:pPr>
        <w:pStyle w:val="BodyText"/>
        <w:spacing w:line="350" w:lineRule="auto" w:before="35"/>
        <w:ind w:right="1671"/>
        <w:jc w:val="left"/>
      </w:pPr>
      <w:r>
        <w:rPr/>
        <w:t>设定受益计划义务现值减去设定受益计划资产公允价值所形成的赤字或盈余 </w:t>
      </w:r>
      <w:r>
        <w:rPr>
          <w:spacing w:val="-4"/>
        </w:rPr>
        <w:t>确认为一项设定受益计划净负债或净资产。设定受益计划存在盈余的，本公司</w:t>
      </w:r>
      <w:r>
        <w:rPr>
          <w:spacing w:val="-73"/>
        </w:rPr>
        <w:t> </w:t>
      </w:r>
      <w:r>
        <w:rPr>
          <w:spacing w:val="-73"/>
        </w:rPr>
      </w:r>
      <w:r>
        <w:rPr/>
        <w:t>以设定受益计划的盈余和资产上限两项的孰低者计量设定受益计划净资产。 </w:t>
      </w:r>
      <w:r>
        <w:rPr>
          <w:spacing w:val="-4"/>
        </w:rPr>
        <w:t>所有设定受益计划义务，包括预期在职工提供服务的年度报告期间结束后的十</w:t>
      </w:r>
      <w:r>
        <w:rPr>
          <w:spacing w:val="-73"/>
        </w:rPr>
        <w:t> </w:t>
      </w:r>
      <w:r>
        <w:rPr>
          <w:spacing w:val="-73"/>
        </w:rPr>
      </w:r>
      <w:r>
        <w:rPr>
          <w:spacing w:val="-4"/>
        </w:rPr>
        <w:t>二个月内支付的义务，根据资产负债表日与设定受益计划义务期限和币种相匹</w:t>
      </w:r>
      <w:r>
        <w:rPr>
          <w:spacing w:val="-73"/>
        </w:rPr>
        <w:t> </w:t>
      </w:r>
      <w:r>
        <w:rPr>
          <w:spacing w:val="-73"/>
        </w:rPr>
      </w:r>
      <w:r>
        <w:rPr/>
        <w:t>配的国债或活跃市场上的高质量公司债券的市场收益率予以折现。 设定受益计划产生的服务成本和设定受益计划净负债或净资产的利息净额计 </w:t>
      </w:r>
      <w:r>
        <w:rPr>
          <w:spacing w:val="-4"/>
        </w:rPr>
        <w:t>入当期损益或相关资产成本；重新计量设定受益计划净负债或净资产所产生的</w:t>
      </w:r>
      <w:r>
        <w:rPr>
          <w:spacing w:val="-73"/>
        </w:rPr>
        <w:t> </w:t>
      </w:r>
      <w:r>
        <w:rPr>
          <w:spacing w:val="-73"/>
        </w:rPr>
      </w:r>
      <w:r>
        <w:rPr>
          <w:spacing w:val="-4"/>
        </w:rPr>
        <w:t>变动计入其他综合收益，并且在后续会计期间不转回至损益，在原设定受益计</w:t>
      </w:r>
      <w:r>
        <w:rPr>
          <w:spacing w:val="-73"/>
        </w:rPr>
        <w:t> </w:t>
      </w:r>
      <w:r>
        <w:rPr>
          <w:spacing w:val="-73"/>
        </w:rPr>
      </w:r>
      <w:r>
        <w:rPr/>
        <w:t>划终止时在权益范围内将原计入其他综合收益的部分全部结转至未分配利润。 </w:t>
      </w:r>
      <w:r>
        <w:rPr>
          <w:spacing w:val="-4"/>
        </w:rPr>
        <w:t>在设定受益计划结算时，按在结算日确定的设定受益计划义务现值和结算价格</w:t>
      </w:r>
      <w:r>
        <w:rPr>
          <w:spacing w:val="-73"/>
        </w:rPr>
        <w:t> </w:t>
      </w:r>
      <w:r>
        <w:rPr>
          <w:spacing w:val="-73"/>
        </w:rPr>
      </w:r>
      <w:r>
        <w:rPr/>
        <w:t>两者的差额，确认结算利得或损失。</w:t>
      </w:r>
    </w:p>
    <w:p>
      <w:pPr>
        <w:pStyle w:val="BodyText"/>
        <w:spacing w:line="240" w:lineRule="auto" w:before="28"/>
        <w:ind w:right="3681"/>
        <w:jc w:val="left"/>
      </w:pPr>
      <w:r>
        <w:rPr/>
        <w:t>详见本附注“五、</w:t>
      </w:r>
      <w:r>
        <w:rPr>
          <w:rFonts w:ascii="Times New Roman" w:hAnsi="Times New Roman" w:cs="Times New Roman" w:eastAsia="Times New Roman" w:hint="default"/>
          <w:spacing w:val="-1"/>
        </w:rPr>
        <w:t>(</w:t>
      </w:r>
      <w:r>
        <w:rPr/>
        <w:t>二十三</w:t>
      </w:r>
      <w:r>
        <w:rPr>
          <w:rFonts w:ascii="Times New Roman" w:hAnsi="Times New Roman" w:cs="Times New Roman" w:eastAsia="Times New Roman" w:hint="default"/>
        </w:rPr>
        <w:t>)  </w:t>
      </w:r>
      <w:r>
        <w:rPr/>
        <w:t>应付职工薪酬</w:t>
      </w:r>
      <w:r>
        <w:rPr>
          <w:spacing w:val="-105"/>
        </w:rPr>
        <w:t>”</w:t>
      </w:r>
      <w:r>
        <w:rPr/>
        <w:t>。</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pStyle w:val="BodyText"/>
        <w:tabs>
          <w:tab w:pos="1397" w:val="left" w:leader="none"/>
        </w:tabs>
        <w:spacing w:line="343" w:lineRule="auto" w:before="0"/>
        <w:ind w:right="1793" w:hanging="567"/>
        <w:jc w:val="left"/>
      </w:pPr>
      <w:r>
        <w:rPr>
          <w:rFonts w:ascii="Times New Roman" w:hAnsi="Times New Roman" w:cs="Times New Roman" w:eastAsia="Times New Roman" w:hint="default"/>
          <w:b/>
          <w:bCs/>
          <w:w w:val="95"/>
        </w:rPr>
        <w:t>3</w:t>
      </w:r>
      <w:r>
        <w:rPr>
          <w:rFonts w:ascii="宋体" w:hAnsi="宋体" w:cs="宋体" w:eastAsia="宋体" w:hint="default"/>
          <w:b/>
          <w:bCs/>
          <w:w w:val="95"/>
        </w:rPr>
        <w:t>、</w:t>
        <w:tab/>
      </w:r>
      <w:r>
        <w:rPr>
          <w:rFonts w:ascii="宋体" w:hAnsi="宋体" w:cs="宋体" w:eastAsia="宋体" w:hint="default"/>
          <w:b/>
          <w:bCs/>
        </w:rPr>
        <w:t>辞退福利的会计处理方法</w:t>
      </w:r>
      <w:r>
        <w:rPr>
          <w:rFonts w:ascii="宋体" w:hAnsi="宋体" w:cs="宋体" w:eastAsia="宋体" w:hint="default"/>
          <w:b/>
          <w:bCs/>
          <w:w w:val="99"/>
        </w:rPr>
        <w:t> </w:t>
      </w:r>
      <w:r>
        <w:rPr/>
        <w:t>本公司在不能单方面撤回因解除劳动关系计划或裁减建议所提供的辞退福利 </w:t>
      </w:r>
      <w:r>
        <w:rPr>
          <w:spacing w:val="-4"/>
        </w:rPr>
        <w:t>时，或确认与涉及支付辞退福利的重组相关的成本或费用时（两者孰早），确</w:t>
      </w:r>
      <w:r>
        <w:rPr/>
        <w:t> 认辞退福利产生的职工薪酬负债，并计入当期损益。</w:t>
      </w:r>
    </w:p>
    <w:p>
      <w:pPr>
        <w:spacing w:line="240" w:lineRule="auto" w:before="0"/>
        <w:rPr>
          <w:rFonts w:ascii="宋体" w:hAnsi="宋体" w:cs="宋体" w:eastAsia="宋体" w:hint="default"/>
          <w:sz w:val="20"/>
          <w:szCs w:val="20"/>
        </w:rPr>
      </w:pPr>
    </w:p>
    <w:p>
      <w:pPr>
        <w:pStyle w:val="BodyText"/>
        <w:tabs>
          <w:tab w:pos="1397" w:val="left" w:leader="none"/>
        </w:tabs>
        <w:spacing w:line="343" w:lineRule="auto" w:before="173"/>
        <w:ind w:right="1689" w:hanging="567"/>
        <w:jc w:val="left"/>
      </w:pPr>
      <w:r>
        <w:rPr>
          <w:rFonts w:ascii="Times New Roman" w:hAnsi="Times New Roman" w:cs="Times New Roman" w:eastAsia="Times New Roman" w:hint="default"/>
          <w:b/>
          <w:bCs/>
          <w:w w:val="95"/>
        </w:rPr>
        <w:t>4</w:t>
      </w:r>
      <w:r>
        <w:rPr>
          <w:rFonts w:ascii="宋体" w:hAnsi="宋体" w:cs="宋体" w:eastAsia="宋体" w:hint="default"/>
          <w:b/>
          <w:bCs/>
          <w:w w:val="95"/>
        </w:rPr>
        <w:t>、</w:t>
        <w:tab/>
      </w:r>
      <w:r>
        <w:rPr>
          <w:rFonts w:ascii="宋体" w:hAnsi="宋体" w:cs="宋体" w:eastAsia="宋体" w:hint="default"/>
          <w:b/>
          <w:bCs/>
        </w:rPr>
        <w:t>其他长期职工福利的会计处理方法</w:t>
      </w:r>
      <w:r>
        <w:rPr>
          <w:rFonts w:ascii="宋体" w:hAnsi="宋体" w:cs="宋体" w:eastAsia="宋体" w:hint="default"/>
          <w:b/>
          <w:bCs/>
          <w:w w:val="99"/>
        </w:rPr>
        <w:t> </w:t>
      </w:r>
      <w:r>
        <w:rPr>
          <w:spacing w:val="-4"/>
        </w:rPr>
        <w:t>本公司向职工提供的其他长期职工福利，符合设定提存计划条件的，应当按照</w:t>
      </w:r>
      <w:r>
        <w:rPr/>
        <w:t> 有关设定提存计划的规定进行处理；除此外，根据设定受益计划的有关规定， 确认和计量其他长期职工福利净负债或净资产。</w:t>
      </w:r>
    </w:p>
    <w:p>
      <w:pPr>
        <w:spacing w:line="240" w:lineRule="auto" w:before="0"/>
        <w:rPr>
          <w:rFonts w:ascii="宋体" w:hAnsi="宋体" w:cs="宋体" w:eastAsia="宋体" w:hint="default"/>
          <w:sz w:val="20"/>
          <w:szCs w:val="20"/>
        </w:rPr>
      </w:pPr>
    </w:p>
    <w:p>
      <w:pPr>
        <w:pStyle w:val="Heading5"/>
        <w:spacing w:line="240" w:lineRule="auto" w:before="172"/>
        <w:ind w:right="3681"/>
        <w:jc w:val="left"/>
        <w:rPr>
          <w:b w:val="0"/>
          <w:bCs w:val="0"/>
        </w:rPr>
      </w:pPr>
      <w:r>
        <w:rPr>
          <w:rFonts w:ascii="Times New Roman" w:hAnsi="Times New Roman" w:cs="Times New Roman" w:eastAsia="Times New Roman" w:hint="default"/>
        </w:rPr>
        <w:t>(</w:t>
      </w:r>
      <w:r>
        <w:rPr/>
        <w:t>二十三</w:t>
      </w:r>
      <w:r>
        <w:rPr>
          <w:rFonts w:ascii="Times New Roman" w:hAnsi="Times New Roman" w:cs="Times New Roman" w:eastAsia="Times New Roman" w:hint="default"/>
        </w:rPr>
        <w:t>)</w:t>
      </w:r>
      <w:r>
        <w:rPr>
          <w:rFonts w:ascii="Times New Roman" w:hAnsi="Times New Roman" w:cs="Times New Roman" w:eastAsia="Times New Roman" w:hint="default"/>
          <w:spacing w:val="23"/>
        </w:rPr>
        <w:t> </w:t>
      </w:r>
      <w:r>
        <w:rPr/>
        <w:t>预计负债</w:t>
      </w:r>
      <w:r>
        <w:rPr>
          <w:b w:val="0"/>
          <w:bCs w:val="0"/>
        </w:rPr>
      </w:r>
    </w:p>
    <w:p>
      <w:pPr>
        <w:tabs>
          <w:tab w:pos="1397" w:val="left" w:leader="none"/>
        </w:tabs>
        <w:spacing w:line="338" w:lineRule="auto" w:before="110"/>
        <w:ind w:left="1413" w:right="1793" w:hanging="567"/>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预计负债的确认标准</w:t>
      </w:r>
      <w:r>
        <w:rPr>
          <w:rFonts w:ascii="宋体" w:hAnsi="宋体" w:cs="宋体" w:eastAsia="宋体" w:hint="default"/>
          <w:b/>
          <w:bCs/>
          <w:spacing w:val="1"/>
          <w:w w:val="99"/>
          <w:sz w:val="21"/>
          <w:szCs w:val="21"/>
        </w:rPr>
        <w:t> </w:t>
      </w:r>
      <w:r>
        <w:rPr>
          <w:rFonts w:ascii="宋体" w:hAnsi="宋体" w:cs="宋体" w:eastAsia="宋体" w:hint="default"/>
          <w:spacing w:val="-4"/>
          <w:sz w:val="21"/>
          <w:szCs w:val="21"/>
        </w:rPr>
        <w:t>与诉讼、债务担保、亏损合同、重组事项等或有事项相关的义务同时满足下列</w:t>
      </w:r>
      <w:r>
        <w:rPr>
          <w:rFonts w:ascii="宋体" w:hAnsi="宋体" w:cs="宋体" w:eastAsia="宋体" w:hint="default"/>
          <w:sz w:val="21"/>
          <w:szCs w:val="21"/>
        </w:rPr>
        <w:t> 条件时，本公司确认为预计负债：</w:t>
      </w:r>
    </w:p>
    <w:p>
      <w:pPr>
        <w:pStyle w:val="BodyText"/>
        <w:spacing w:line="240" w:lineRule="auto" w:before="40"/>
        <w:ind w:right="3681"/>
        <w:jc w:val="left"/>
      </w:pPr>
      <w:r>
        <w:rPr/>
        <w:t>（</w:t>
      </w:r>
      <w:r>
        <w:rPr>
          <w:rFonts w:ascii="Times New Roman" w:hAnsi="Times New Roman" w:cs="Times New Roman" w:eastAsia="Times New Roman" w:hint="default"/>
        </w:rPr>
        <w:t>1</w:t>
      </w:r>
      <w:r>
        <w:rPr/>
        <w:t>）该义务是本公司承担的现时义务；</w:t>
      </w:r>
    </w:p>
    <w:p>
      <w:pPr>
        <w:pStyle w:val="BodyText"/>
        <w:spacing w:line="240" w:lineRule="auto"/>
        <w:ind w:right="3681"/>
        <w:jc w:val="left"/>
      </w:pPr>
      <w:r>
        <w:rPr/>
        <w:t>（</w:t>
      </w:r>
      <w:r>
        <w:rPr>
          <w:rFonts w:ascii="Times New Roman" w:hAnsi="Times New Roman" w:cs="Times New Roman" w:eastAsia="Times New Roman" w:hint="default"/>
        </w:rPr>
        <w:t>2</w:t>
      </w:r>
      <w:r>
        <w:rPr/>
        <w:t>）履行该义务很可能导致经济利益流出本公司；</w:t>
      </w:r>
    </w:p>
    <w:p>
      <w:pPr>
        <w:pStyle w:val="BodyText"/>
        <w:spacing w:line="240" w:lineRule="auto"/>
        <w:ind w:right="3681"/>
        <w:jc w:val="left"/>
      </w:pPr>
      <w:r>
        <w:rPr/>
        <w:t>（</w:t>
      </w:r>
      <w:r>
        <w:rPr>
          <w:rFonts w:ascii="Times New Roman" w:hAnsi="Times New Roman" w:cs="Times New Roman" w:eastAsia="Times New Roman" w:hint="default"/>
        </w:rPr>
        <w:t>3</w:t>
      </w:r>
      <w:r>
        <w:rPr/>
        <w:t>）该义务的金额能够可靠地计量。</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tabs>
          <w:tab w:pos="1397" w:val="left" w:leader="none"/>
        </w:tabs>
        <w:spacing w:line="328" w:lineRule="auto" w:before="0"/>
        <w:ind w:left="1413" w:right="1689" w:hanging="567"/>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各类预计负债的计量方法</w:t>
      </w:r>
      <w:r>
        <w:rPr>
          <w:rFonts w:ascii="宋体" w:hAnsi="宋体" w:cs="宋体" w:eastAsia="宋体" w:hint="default"/>
          <w:b/>
          <w:bCs/>
          <w:w w:val="99"/>
          <w:sz w:val="21"/>
          <w:szCs w:val="21"/>
        </w:rPr>
        <w:t> </w:t>
      </w:r>
      <w:r>
        <w:rPr>
          <w:rFonts w:ascii="宋体" w:hAnsi="宋体" w:cs="宋体" w:eastAsia="宋体" w:hint="default"/>
          <w:sz w:val="21"/>
          <w:szCs w:val="21"/>
        </w:rPr>
        <w:t>本公司预计负债按履行相关现时义务所需的支出的最佳估计数进行初始计量。</w:t>
      </w:r>
    </w:p>
    <w:p>
      <w:pPr>
        <w:spacing w:after="0" w:line="328" w:lineRule="auto"/>
        <w:jc w:val="left"/>
        <w:rPr>
          <w:rFonts w:ascii="宋体" w:hAnsi="宋体" w:cs="宋体" w:eastAsia="宋体" w:hint="default"/>
          <w:sz w:val="21"/>
          <w:szCs w:val="21"/>
        </w:rPr>
        <w:sectPr>
          <w:pgSz w:w="11910" w:h="16840"/>
          <w:pgMar w:header="1302" w:footer="1001" w:top="1520" w:bottom="1200" w:left="1660" w:right="0"/>
        </w:sectPr>
      </w:pPr>
    </w:p>
    <w:p>
      <w:pPr>
        <w:spacing w:line="240" w:lineRule="auto" w:before="8"/>
        <w:rPr>
          <w:rFonts w:ascii="宋体" w:hAnsi="宋体" w:cs="宋体" w:eastAsia="宋体" w:hint="default"/>
          <w:sz w:val="13"/>
          <w:szCs w:val="13"/>
        </w:rPr>
      </w:pPr>
    </w:p>
    <w:p>
      <w:pPr>
        <w:pStyle w:val="BodyText"/>
        <w:spacing w:line="350" w:lineRule="auto" w:before="35"/>
        <w:ind w:right="1792"/>
        <w:jc w:val="both"/>
      </w:pPr>
      <w:r>
        <w:rPr>
          <w:spacing w:val="-4"/>
        </w:rPr>
        <w:t>本公司在确定最佳估计数时，综合考虑与或有事项有关的风险、不确定性和货</w:t>
      </w:r>
      <w:r>
        <w:rPr>
          <w:spacing w:val="-73"/>
        </w:rPr>
        <w:t> </w:t>
      </w:r>
      <w:r>
        <w:rPr>
          <w:spacing w:val="-73"/>
        </w:rPr>
      </w:r>
      <w:r>
        <w:rPr>
          <w:spacing w:val="-4"/>
        </w:rPr>
        <w:t>币时间价值等因素。对于货币时间价值影响重大的，通过对相关未来现金流出</w:t>
      </w:r>
      <w:r>
        <w:rPr>
          <w:spacing w:val="-73"/>
        </w:rPr>
        <w:t> </w:t>
      </w:r>
      <w:r>
        <w:rPr>
          <w:spacing w:val="-73"/>
        </w:rPr>
      </w:r>
      <w:r>
        <w:rPr/>
        <w:t>进行折现后确定最佳估计数。</w:t>
      </w:r>
    </w:p>
    <w:p>
      <w:pPr>
        <w:pStyle w:val="BodyText"/>
        <w:spacing w:line="350" w:lineRule="auto" w:before="28"/>
        <w:ind w:right="1682"/>
        <w:jc w:val="left"/>
      </w:pPr>
      <w:r>
        <w:rPr/>
        <w:t>最佳估计数分别以下情况处理： </w:t>
      </w:r>
      <w:r>
        <w:rPr>
          <w:spacing w:val="-4"/>
        </w:rPr>
        <w:t>所需支出存在一个连续范围（或区间），且该范围内各种结果发生的可能性相</w:t>
      </w:r>
      <w:r>
        <w:rPr>
          <w:spacing w:val="-76"/>
        </w:rPr>
        <w:t> </w:t>
      </w:r>
      <w:r>
        <w:rPr>
          <w:spacing w:val="-76"/>
        </w:rPr>
      </w:r>
      <w:r>
        <w:rPr/>
        <w:t>同的，则最佳估计数按照该范围的中间值即上下限金额的平均数确定。 </w:t>
      </w:r>
      <w:r>
        <w:rPr>
          <w:spacing w:val="-4"/>
        </w:rPr>
        <w:t>所需支出不存在一个连续范围（或区间），或虽然存在一个连续范围但该范围</w:t>
      </w:r>
      <w:r>
        <w:rPr>
          <w:spacing w:val="-76"/>
        </w:rPr>
        <w:t> </w:t>
      </w:r>
      <w:r>
        <w:rPr>
          <w:spacing w:val="-76"/>
        </w:rPr>
      </w:r>
      <w:r>
        <w:rPr>
          <w:spacing w:val="-4"/>
        </w:rPr>
        <w:t>内各种结果发生的可能性不相同的，如或有事项涉及单个项目的，则最佳估计</w:t>
      </w:r>
      <w:r>
        <w:rPr>
          <w:spacing w:val="-73"/>
        </w:rPr>
        <w:t> </w:t>
      </w:r>
      <w:r>
        <w:rPr>
          <w:spacing w:val="-73"/>
        </w:rPr>
      </w:r>
      <w:r>
        <w:rPr>
          <w:spacing w:val="-4"/>
        </w:rPr>
        <w:t>数按照最可能发生金额确定；如或有事项涉及多个项目的，则最佳估计数按各</w:t>
      </w:r>
      <w:r>
        <w:rPr>
          <w:spacing w:val="-73"/>
        </w:rPr>
        <w:t> </w:t>
      </w:r>
      <w:r>
        <w:rPr>
          <w:spacing w:val="-73"/>
        </w:rPr>
      </w:r>
      <w:r>
        <w:rPr/>
        <w:t>种可能结果及相关概率计算确定。 </w:t>
      </w:r>
      <w:r>
        <w:rPr>
          <w:spacing w:val="-4"/>
        </w:rPr>
        <w:t>本公司清偿预计负债所需支出全部或部分预期由第三方补偿的，补偿金额在基</w:t>
      </w:r>
      <w:r>
        <w:rPr>
          <w:spacing w:val="-73"/>
        </w:rPr>
        <w:t> </w:t>
      </w:r>
      <w:r>
        <w:rPr>
          <w:spacing w:val="-73"/>
        </w:rPr>
      </w:r>
      <w:r>
        <w:rPr>
          <w:spacing w:val="-4"/>
        </w:rPr>
        <w:t>本确定能够收到时，作为资产单独确认，确认的补偿金额不超过预计负债的账</w:t>
      </w:r>
      <w:r>
        <w:rPr>
          <w:spacing w:val="-73"/>
        </w:rPr>
        <w:t> </w:t>
      </w:r>
      <w:r>
        <w:rPr>
          <w:spacing w:val="-73"/>
        </w:rPr>
      </w:r>
      <w:r>
        <w:rPr/>
        <w:t>面价值。</w:t>
      </w:r>
    </w:p>
    <w:p>
      <w:pPr>
        <w:pStyle w:val="BodyText"/>
        <w:spacing w:line="240" w:lineRule="auto" w:before="29"/>
        <w:ind w:right="3681"/>
        <w:jc w:val="left"/>
      </w:pPr>
      <w:r>
        <w:rPr/>
        <w:t>详见本附注“五、</w:t>
      </w:r>
      <w:r>
        <w:rPr>
          <w:rFonts w:ascii="Times New Roman" w:hAnsi="Times New Roman" w:cs="Times New Roman" w:eastAsia="Times New Roman" w:hint="default"/>
          <w:spacing w:val="-1"/>
        </w:rPr>
        <w:t>(</w:t>
      </w:r>
      <w:r>
        <w:rPr/>
        <w:t>三十一</w:t>
      </w:r>
      <w:r>
        <w:rPr>
          <w:rFonts w:ascii="Times New Roman" w:hAnsi="Times New Roman" w:cs="Times New Roman" w:eastAsia="Times New Roman" w:hint="default"/>
        </w:rPr>
        <w:t>)  </w:t>
      </w:r>
      <w:r>
        <w:rPr/>
        <w:t>预计负债</w:t>
      </w:r>
      <w:r>
        <w:rPr>
          <w:spacing w:val="-105"/>
        </w:rPr>
        <w:t>”</w:t>
      </w:r>
      <w:r>
        <w:rPr/>
        <w:t>。</w:t>
      </w: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16"/>
          <w:szCs w:val="16"/>
        </w:rPr>
      </w:pPr>
    </w:p>
    <w:p>
      <w:pPr>
        <w:pStyle w:val="Heading5"/>
        <w:spacing w:line="240" w:lineRule="auto" w:before="0"/>
        <w:ind w:right="3681"/>
        <w:jc w:val="left"/>
        <w:rPr>
          <w:b w:val="0"/>
          <w:bCs w:val="0"/>
        </w:rPr>
      </w:pPr>
      <w:r>
        <w:rPr>
          <w:rFonts w:ascii="Times New Roman" w:hAnsi="Times New Roman" w:cs="Times New Roman" w:eastAsia="Times New Roman" w:hint="default"/>
        </w:rPr>
        <w:t>(</w:t>
      </w:r>
      <w:r>
        <w:rPr/>
        <w:t>二十四</w:t>
      </w:r>
      <w:r>
        <w:rPr>
          <w:rFonts w:ascii="Times New Roman" w:hAnsi="Times New Roman" w:cs="Times New Roman" w:eastAsia="Times New Roman" w:hint="default"/>
        </w:rPr>
        <w:t>)</w:t>
      </w:r>
      <w:r>
        <w:rPr>
          <w:rFonts w:ascii="Times New Roman" w:hAnsi="Times New Roman" w:cs="Times New Roman" w:eastAsia="Times New Roman" w:hint="default"/>
          <w:spacing w:val="23"/>
        </w:rPr>
        <w:t> </w:t>
      </w:r>
      <w:r>
        <w:rPr/>
        <w:t>股份支付</w:t>
      </w:r>
      <w:r>
        <w:rPr>
          <w:b w:val="0"/>
          <w:bCs w:val="0"/>
        </w:rPr>
      </w:r>
    </w:p>
    <w:p>
      <w:pPr>
        <w:pStyle w:val="BodyText"/>
        <w:spacing w:line="350" w:lineRule="auto" w:before="110"/>
        <w:ind w:left="851" w:right="1677"/>
        <w:jc w:val="left"/>
      </w:pPr>
      <w:r>
        <w:rPr/>
        <w:t>本公司的股份支付是为了获取职工提供服务而授予权益工具或者承担以权益工具为 基础确定的负债的交易。本公司的股份支付为以权益结算的股份支付。 </w:t>
      </w:r>
      <w:r>
        <w:rPr>
          <w:rFonts w:ascii="宋体" w:hAnsi="宋体" w:cs="宋体" w:eastAsia="宋体" w:hint="default"/>
          <w:b/>
          <w:bCs/>
        </w:rPr>
        <w:t>以权益结算的股份支付及权益工具</w:t>
      </w:r>
      <w:r>
        <w:rPr>
          <w:rFonts w:ascii="宋体" w:hAnsi="宋体" w:cs="宋体" w:eastAsia="宋体" w:hint="default"/>
          <w:b/>
          <w:bCs/>
          <w:w w:val="99"/>
        </w:rPr>
        <w:t> </w:t>
      </w:r>
      <w:r>
        <w:rPr>
          <w:spacing w:val="-2"/>
        </w:rPr>
        <w:t>以权益结算的股份支付换取职工提供服务的，以授予职工权益工具的公允价值计量。</w:t>
      </w:r>
      <w:r>
        <w:rPr>
          <w:spacing w:val="-97"/>
        </w:rPr>
        <w:t> </w:t>
      </w:r>
      <w:r>
        <w:rPr>
          <w:spacing w:val="-97"/>
        </w:rPr>
      </w:r>
      <w:r>
        <w:rPr/>
        <w:t>存在活跃市场的，按照活跃市场中的报价确定；不存在活跃市场的，采用估值技术 确定，包括参考熟悉情况并自愿交易的各方最近进行的市场交易中使用的价格、参 </w:t>
      </w:r>
      <w:r>
        <w:rPr>
          <w:spacing w:val="-2"/>
        </w:rPr>
        <w:t>照实质上相同的其他金融工具的当前公允价值、现金流量折现法和期权定价模型等。</w:t>
      </w:r>
      <w:r>
        <w:rPr>
          <w:spacing w:val="-97"/>
        </w:rPr>
        <w:t> </w:t>
      </w:r>
      <w:r>
        <w:rPr>
          <w:spacing w:val="-97"/>
        </w:rPr>
      </w:r>
      <w:r>
        <w:rPr/>
        <w:t>在各个资产负债表日，根据最新取得的可行权人数变动、业绩指标完成情况等后续 信息，修正预计可行权的股票期权数量，并以此为依据确认各期应分摊的费用。对 于跨越多个会计期间的期权费用，一般可以按照该期权在某会计期间内等待期长度 占整个等待期长度的比例进行分摊。</w:t>
      </w:r>
    </w:p>
    <w:p>
      <w:pPr>
        <w:spacing w:line="240" w:lineRule="auto" w:before="0"/>
        <w:rPr>
          <w:rFonts w:ascii="宋体" w:hAnsi="宋体" w:cs="宋体" w:eastAsia="宋体" w:hint="default"/>
          <w:sz w:val="20"/>
          <w:szCs w:val="20"/>
        </w:rPr>
      </w:pPr>
    </w:p>
    <w:p>
      <w:pPr>
        <w:pStyle w:val="Heading5"/>
        <w:spacing w:line="240" w:lineRule="auto" w:before="167"/>
        <w:ind w:right="3681"/>
        <w:jc w:val="left"/>
        <w:rPr>
          <w:b w:val="0"/>
          <w:bCs w:val="0"/>
        </w:rPr>
      </w:pPr>
      <w:r>
        <w:rPr>
          <w:rFonts w:ascii="Times New Roman" w:hAnsi="Times New Roman" w:cs="Times New Roman" w:eastAsia="Times New Roman" w:hint="default"/>
        </w:rPr>
        <w:t>(</w:t>
      </w:r>
      <w:r>
        <w:rPr/>
        <w:t>二十五</w:t>
      </w:r>
      <w:r>
        <w:rPr>
          <w:rFonts w:ascii="Times New Roman" w:hAnsi="Times New Roman" w:cs="Times New Roman" w:eastAsia="Times New Roman" w:hint="default"/>
        </w:rPr>
        <w:t>)</w:t>
      </w:r>
      <w:r>
        <w:rPr>
          <w:rFonts w:ascii="Times New Roman" w:hAnsi="Times New Roman" w:cs="Times New Roman" w:eastAsia="Times New Roman" w:hint="default"/>
          <w:spacing w:val="22"/>
        </w:rPr>
        <w:t> </w:t>
      </w:r>
      <w:r>
        <w:rPr/>
        <w:t>收入</w:t>
      </w:r>
      <w:r>
        <w:rPr>
          <w:b w:val="0"/>
          <w:bCs w:val="0"/>
        </w:rPr>
      </w:r>
    </w:p>
    <w:p>
      <w:pPr>
        <w:pStyle w:val="BodyText"/>
        <w:spacing w:line="240" w:lineRule="auto"/>
        <w:ind w:left="851" w:right="0"/>
        <w:jc w:val="left"/>
      </w:pPr>
      <w:r>
        <w:rPr/>
        <w:t>本公司的营业收入主要包括产品销售、租金收入及劳务收入等，收入确认政策如下：</w:t>
      </w:r>
    </w:p>
    <w:p>
      <w:pPr>
        <w:pStyle w:val="BodyText"/>
        <w:tabs>
          <w:tab w:pos="1397" w:val="left" w:leader="none"/>
        </w:tabs>
        <w:spacing w:line="343" w:lineRule="auto" w:before="125"/>
        <w:ind w:right="1792" w:hanging="567"/>
        <w:jc w:val="left"/>
      </w:pPr>
      <w:r>
        <w:rPr>
          <w:rFonts w:ascii="Times New Roman" w:hAnsi="Times New Roman" w:cs="Times New Roman" w:eastAsia="Times New Roman" w:hint="default"/>
          <w:b/>
          <w:bCs/>
          <w:w w:val="95"/>
        </w:rPr>
        <w:t>1</w:t>
      </w:r>
      <w:r>
        <w:rPr>
          <w:rFonts w:ascii="宋体" w:hAnsi="宋体" w:cs="宋体" w:eastAsia="宋体" w:hint="default"/>
          <w:b/>
          <w:bCs/>
          <w:w w:val="95"/>
        </w:rPr>
        <w:t>、</w:t>
        <w:tab/>
      </w:r>
      <w:r>
        <w:rPr>
          <w:rFonts w:ascii="宋体" w:hAnsi="宋体" w:cs="宋体" w:eastAsia="宋体" w:hint="default"/>
          <w:b/>
          <w:bCs/>
        </w:rPr>
        <w:t>产品销售（含材料销售）</w:t>
      </w:r>
      <w:r>
        <w:rPr>
          <w:rFonts w:ascii="宋体" w:hAnsi="宋体" w:cs="宋体" w:eastAsia="宋体" w:hint="default"/>
          <w:b/>
          <w:bCs/>
          <w:w w:val="99"/>
        </w:rPr>
        <w:t> </w:t>
      </w:r>
      <w:r>
        <w:rPr>
          <w:spacing w:val="-4"/>
        </w:rPr>
        <w:t>本公司在已将产品所有权上的主要风险和报酬转移给购货方（通常为集团实体</w:t>
      </w:r>
      <w:r>
        <w:rPr/>
        <w:t> </w:t>
      </w:r>
      <w:r>
        <w:rPr>
          <w:spacing w:val="-4"/>
        </w:rPr>
        <w:t>向客户交付产品的当日）、本公司既没有保留通常与所有权相联系的继续管理</w:t>
      </w:r>
      <w:r>
        <w:rPr/>
        <w:t> </w:t>
      </w:r>
      <w:r>
        <w:rPr>
          <w:spacing w:val="-4"/>
        </w:rPr>
        <w:t>权、也没有对已售出的产品实施有效控制、而客户已接受产品或不存在其他影</w:t>
      </w:r>
    </w:p>
    <w:p>
      <w:pPr>
        <w:spacing w:after="0" w:line="343" w:lineRule="auto"/>
        <w:jc w:val="left"/>
        <w:sectPr>
          <w:pgSz w:w="11910" w:h="16840"/>
          <w:pgMar w:header="1302" w:footer="1001" w:top="1520" w:bottom="1200" w:left="1660" w:right="0"/>
        </w:sectPr>
      </w:pPr>
    </w:p>
    <w:p>
      <w:pPr>
        <w:spacing w:line="240" w:lineRule="auto" w:before="8"/>
        <w:rPr>
          <w:rFonts w:ascii="宋体" w:hAnsi="宋体" w:cs="宋体" w:eastAsia="宋体" w:hint="default"/>
          <w:sz w:val="13"/>
          <w:szCs w:val="13"/>
        </w:rPr>
      </w:pPr>
    </w:p>
    <w:p>
      <w:pPr>
        <w:pStyle w:val="BodyText"/>
        <w:spacing w:line="350" w:lineRule="auto" w:before="35"/>
        <w:ind w:right="1775"/>
        <w:jc w:val="left"/>
      </w:pPr>
      <w:r>
        <w:rPr/>
        <w:t>响客户接受产品的未履行责任时确认</w:t>
      </w:r>
      <w:r>
        <w:rPr>
          <w:spacing w:val="-104"/>
        </w:rPr>
        <w:t>，</w:t>
      </w:r>
      <w:r>
        <w:rPr/>
        <w:t>根据累计风险估计销售退回及计提产品</w:t>
      </w:r>
      <w:r>
        <w:rPr/>
        <w:t> 质量保证（预计负债、保用拨备</w:t>
      </w:r>
      <w:r>
        <w:rPr>
          <w:spacing w:val="-105"/>
        </w:rPr>
        <w:t>）</w:t>
      </w:r>
      <w:r>
        <w:rPr/>
        <w:t>。</w:t>
      </w:r>
    </w:p>
    <w:p>
      <w:pPr>
        <w:spacing w:line="240" w:lineRule="auto" w:before="0"/>
        <w:rPr>
          <w:rFonts w:ascii="宋体" w:hAnsi="宋体" w:cs="宋体" w:eastAsia="宋体" w:hint="default"/>
          <w:sz w:val="20"/>
          <w:szCs w:val="20"/>
        </w:rPr>
      </w:pPr>
    </w:p>
    <w:p>
      <w:pPr>
        <w:pStyle w:val="Heading5"/>
        <w:tabs>
          <w:tab w:pos="1397" w:val="left" w:leader="none"/>
        </w:tabs>
        <w:spacing w:line="240" w:lineRule="auto" w:before="166"/>
        <w:ind w:left="846" w:right="3681"/>
        <w:jc w:val="left"/>
        <w:rPr>
          <w:b w:val="0"/>
          <w:bCs w:val="0"/>
        </w:rPr>
      </w:pPr>
      <w:r>
        <w:rPr>
          <w:rFonts w:ascii="Times New Roman" w:hAnsi="Times New Roman" w:cs="Times New Roman" w:eastAsia="Times New Roman" w:hint="default"/>
          <w:w w:val="95"/>
        </w:rPr>
        <w:t>2</w:t>
      </w:r>
      <w:r>
        <w:rPr>
          <w:w w:val="95"/>
        </w:rPr>
        <w:t>、</w:t>
        <w:tab/>
      </w:r>
      <w:r>
        <w:rPr>
          <w:spacing w:val="1"/>
        </w:rPr>
        <w:t>租金收入</w:t>
      </w:r>
      <w:r>
        <w:rPr>
          <w:b w:val="0"/>
          <w:bCs w:val="0"/>
        </w:rPr>
      </w:r>
    </w:p>
    <w:p>
      <w:pPr>
        <w:pStyle w:val="BodyText"/>
        <w:spacing w:line="240" w:lineRule="auto" w:before="110"/>
        <w:ind w:right="0"/>
        <w:jc w:val="left"/>
      </w:pPr>
      <w:r>
        <w:rPr/>
        <w:t>投资性房地产及固定资产出租收入，按照租赁合同在约定的租赁期限内确认。</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tabs>
          <w:tab w:pos="1397" w:val="left" w:leader="none"/>
        </w:tabs>
        <w:spacing w:line="343" w:lineRule="auto" w:before="154"/>
        <w:ind w:right="1792" w:hanging="567"/>
        <w:jc w:val="left"/>
      </w:pPr>
      <w:r>
        <w:rPr>
          <w:rFonts w:ascii="Times New Roman" w:hAnsi="Times New Roman" w:cs="Times New Roman" w:eastAsia="Times New Roman" w:hint="default"/>
          <w:b/>
          <w:bCs/>
          <w:w w:val="95"/>
        </w:rPr>
        <w:t>3</w:t>
      </w:r>
      <w:r>
        <w:rPr>
          <w:rFonts w:ascii="宋体" w:hAnsi="宋体" w:cs="宋体" w:eastAsia="宋体" w:hint="default"/>
          <w:b/>
          <w:bCs/>
          <w:w w:val="95"/>
        </w:rPr>
        <w:t>、</w:t>
        <w:tab/>
      </w:r>
      <w:r>
        <w:rPr>
          <w:rFonts w:ascii="宋体" w:hAnsi="宋体" w:cs="宋体" w:eastAsia="宋体" w:hint="default"/>
          <w:b/>
          <w:bCs/>
        </w:rPr>
        <w:t>劳务收入（技术服务及维修服务）</w:t>
      </w:r>
      <w:r>
        <w:rPr>
          <w:rFonts w:ascii="宋体" w:hAnsi="宋体" w:cs="宋体" w:eastAsia="宋体" w:hint="default"/>
          <w:b/>
          <w:bCs/>
          <w:w w:val="99"/>
        </w:rPr>
        <w:t> </w:t>
      </w:r>
      <w:r>
        <w:rPr>
          <w:spacing w:val="-4"/>
        </w:rPr>
        <w:t>本公司对外提供的劳务包括技术服务及维修服务，其中技术服务按照合同约定</w:t>
      </w:r>
      <w:r>
        <w:rPr/>
        <w:t> </w:t>
      </w:r>
      <w:r>
        <w:rPr>
          <w:spacing w:val="-4"/>
        </w:rPr>
        <w:t>条款，在提供技术服务后并开具发票后确认收入实现；维修服务在执行维修业</w:t>
      </w:r>
      <w:r>
        <w:rPr/>
        <w:t> 务并交付产品时确认维修服务收入。</w:t>
      </w:r>
    </w:p>
    <w:p>
      <w:pPr>
        <w:spacing w:line="240" w:lineRule="auto" w:before="0"/>
        <w:rPr>
          <w:rFonts w:ascii="宋体" w:hAnsi="宋体" w:cs="宋体" w:eastAsia="宋体" w:hint="default"/>
          <w:sz w:val="20"/>
          <w:szCs w:val="20"/>
        </w:rPr>
      </w:pPr>
    </w:p>
    <w:p>
      <w:pPr>
        <w:pStyle w:val="Heading5"/>
        <w:spacing w:line="240" w:lineRule="auto" w:before="173"/>
        <w:ind w:right="3681"/>
        <w:jc w:val="left"/>
        <w:rPr>
          <w:b w:val="0"/>
          <w:bCs w:val="0"/>
        </w:rPr>
      </w:pPr>
      <w:r>
        <w:rPr>
          <w:rFonts w:ascii="Times New Roman" w:hAnsi="Times New Roman" w:cs="Times New Roman" w:eastAsia="Times New Roman" w:hint="default"/>
        </w:rPr>
        <w:t>(</w:t>
      </w:r>
      <w:r>
        <w:rPr/>
        <w:t>二十六</w:t>
      </w:r>
      <w:r>
        <w:rPr>
          <w:rFonts w:ascii="Times New Roman" w:hAnsi="Times New Roman" w:cs="Times New Roman" w:eastAsia="Times New Roman" w:hint="default"/>
        </w:rPr>
        <w:t>)</w:t>
      </w:r>
      <w:r>
        <w:rPr>
          <w:rFonts w:ascii="Times New Roman" w:hAnsi="Times New Roman" w:cs="Times New Roman" w:eastAsia="Times New Roman" w:hint="default"/>
          <w:spacing w:val="23"/>
        </w:rPr>
        <w:t> </w:t>
      </w:r>
      <w:r>
        <w:rPr/>
        <w:t>政府补助</w:t>
      </w:r>
      <w:r>
        <w:rPr>
          <w:b w:val="0"/>
          <w:bCs w:val="0"/>
        </w:rPr>
      </w:r>
    </w:p>
    <w:p>
      <w:pPr>
        <w:pStyle w:val="BodyText"/>
        <w:tabs>
          <w:tab w:pos="1397" w:val="left" w:leader="none"/>
        </w:tabs>
        <w:spacing w:line="345" w:lineRule="auto"/>
        <w:ind w:right="1792" w:hanging="567"/>
        <w:jc w:val="left"/>
      </w:pPr>
      <w:r>
        <w:rPr>
          <w:rFonts w:ascii="Times New Roman" w:hAnsi="Times New Roman" w:cs="Times New Roman" w:eastAsia="Times New Roman" w:hint="default"/>
          <w:b/>
          <w:bCs/>
          <w:w w:val="95"/>
        </w:rPr>
        <w:t>1</w:t>
      </w:r>
      <w:r>
        <w:rPr>
          <w:rFonts w:ascii="宋体" w:hAnsi="宋体" w:cs="宋体" w:eastAsia="宋体" w:hint="default"/>
          <w:b/>
          <w:bCs/>
          <w:w w:val="95"/>
        </w:rPr>
        <w:t>、</w:t>
        <w:tab/>
      </w:r>
      <w:r>
        <w:rPr>
          <w:rFonts w:ascii="宋体" w:hAnsi="宋体" w:cs="宋体" w:eastAsia="宋体" w:hint="default"/>
          <w:b/>
          <w:bCs/>
          <w:spacing w:val="1"/>
        </w:rPr>
        <w:t>类型</w:t>
      </w:r>
      <w:r>
        <w:rPr>
          <w:rFonts w:ascii="宋体" w:hAnsi="宋体" w:cs="宋体" w:eastAsia="宋体" w:hint="default"/>
          <w:b/>
          <w:bCs/>
          <w:spacing w:val="1"/>
          <w:w w:val="99"/>
        </w:rPr>
        <w:t> </w:t>
      </w:r>
      <w:r>
        <w:rPr>
          <w:spacing w:val="-4"/>
        </w:rPr>
        <w:t>政府补助，是本公司从政府无偿取得的货币性资产与非货币性资产。分为与资</w:t>
      </w:r>
      <w:r>
        <w:rPr/>
        <w:t> 产相关的政府补助和与收益相关的政府补助。 </w:t>
      </w:r>
      <w:r>
        <w:rPr>
          <w:spacing w:val="-4"/>
        </w:rPr>
        <w:t>与资产相关的政府补助，是指本公司取得的、用于购建或以其他方式形成长期</w:t>
      </w:r>
      <w:r>
        <w:rPr/>
        <w:t> </w:t>
      </w:r>
      <w:r>
        <w:rPr>
          <w:spacing w:val="-4"/>
        </w:rPr>
        <w:t>资产的政府补助。与收益相关的政府补助，是指除与资产相关的政府补助之外</w:t>
      </w:r>
      <w:r>
        <w:rPr/>
        <w:t> 的政府补助。</w:t>
      </w:r>
    </w:p>
    <w:p>
      <w:pPr>
        <w:spacing w:line="240" w:lineRule="auto" w:before="0"/>
        <w:rPr>
          <w:rFonts w:ascii="宋体" w:hAnsi="宋体" w:cs="宋体" w:eastAsia="宋体" w:hint="default"/>
          <w:sz w:val="20"/>
          <w:szCs w:val="20"/>
        </w:rPr>
      </w:pPr>
    </w:p>
    <w:p>
      <w:pPr>
        <w:pStyle w:val="Heading5"/>
        <w:tabs>
          <w:tab w:pos="1397" w:val="left" w:leader="none"/>
        </w:tabs>
        <w:spacing w:line="240" w:lineRule="auto" w:before="171"/>
        <w:ind w:left="846" w:right="3681"/>
        <w:jc w:val="left"/>
        <w:rPr>
          <w:b w:val="0"/>
          <w:bCs w:val="0"/>
        </w:rPr>
      </w:pPr>
      <w:r>
        <w:rPr>
          <w:rFonts w:ascii="Times New Roman" w:hAnsi="Times New Roman" w:cs="Times New Roman" w:eastAsia="Times New Roman" w:hint="default"/>
          <w:w w:val="95"/>
        </w:rPr>
        <w:t>2</w:t>
      </w:r>
      <w:r>
        <w:rPr>
          <w:w w:val="95"/>
        </w:rPr>
        <w:t>、</w:t>
        <w:tab/>
      </w:r>
      <w:r>
        <w:rPr>
          <w:spacing w:val="1"/>
        </w:rPr>
        <w:t>确认时点</w:t>
      </w:r>
      <w:r>
        <w:rPr>
          <w:b w:val="0"/>
          <w:bCs w:val="0"/>
        </w:rPr>
      </w:r>
    </w:p>
    <w:p>
      <w:pPr>
        <w:pStyle w:val="BodyText"/>
        <w:spacing w:line="240" w:lineRule="auto"/>
        <w:ind w:right="3681"/>
        <w:jc w:val="left"/>
      </w:pPr>
      <w:r>
        <w:rPr/>
        <w:t>政府补助在同时满足下列条件的，才能予以确认：</w:t>
      </w:r>
    </w:p>
    <w:p>
      <w:pPr>
        <w:pStyle w:val="BodyText"/>
        <w:spacing w:line="240" w:lineRule="auto" w:before="125"/>
        <w:ind w:right="3681"/>
        <w:jc w:val="left"/>
      </w:pPr>
      <w:r>
        <w:rPr/>
        <w:t>（一）企业能够满足政府补助所附条件；</w:t>
      </w:r>
    </w:p>
    <w:p>
      <w:pPr>
        <w:pStyle w:val="BodyText"/>
        <w:spacing w:line="240" w:lineRule="auto" w:before="126"/>
        <w:ind w:right="3681"/>
        <w:jc w:val="left"/>
      </w:pPr>
      <w:r>
        <w:rPr/>
        <w:t>（二）企业能够收到政府补助。</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5"/>
        <w:tabs>
          <w:tab w:pos="1397" w:val="left" w:leader="none"/>
        </w:tabs>
        <w:spacing w:line="240" w:lineRule="auto" w:before="0"/>
        <w:ind w:left="846" w:right="3681"/>
        <w:jc w:val="left"/>
        <w:rPr>
          <w:b w:val="0"/>
          <w:bCs w:val="0"/>
        </w:rPr>
      </w:pPr>
      <w:r>
        <w:rPr>
          <w:rFonts w:ascii="Times New Roman" w:hAnsi="Times New Roman" w:cs="Times New Roman" w:eastAsia="Times New Roman" w:hint="default"/>
          <w:w w:val="95"/>
        </w:rPr>
        <w:t>3</w:t>
      </w:r>
      <w:r>
        <w:rPr>
          <w:w w:val="95"/>
        </w:rPr>
        <w:t>、</w:t>
        <w:tab/>
      </w:r>
      <w:r>
        <w:rPr>
          <w:spacing w:val="1"/>
        </w:rPr>
        <w:t>会计处理</w:t>
      </w:r>
      <w:r>
        <w:rPr>
          <w:b w:val="0"/>
          <w:bCs w:val="0"/>
        </w:rPr>
      </w:r>
    </w:p>
    <w:p>
      <w:pPr>
        <w:pStyle w:val="BodyText"/>
        <w:spacing w:line="350" w:lineRule="auto" w:before="110"/>
        <w:ind w:right="1671"/>
        <w:jc w:val="left"/>
      </w:pPr>
      <w:r>
        <w:rPr>
          <w:spacing w:val="-4"/>
        </w:rPr>
        <w:t>与资产相关的政府补助，冲减相关资产账面价值或确认为递延收益。确认为递</w:t>
      </w:r>
      <w:r>
        <w:rPr>
          <w:spacing w:val="-73"/>
        </w:rPr>
        <w:t> </w:t>
      </w:r>
      <w:r>
        <w:rPr>
          <w:spacing w:val="-73"/>
        </w:rPr>
      </w:r>
      <w:r>
        <w:rPr>
          <w:spacing w:val="-9"/>
        </w:rPr>
        <w:t>延收益的，在相关资产使用寿命内按照合理、系统的方法分期计入当期损益（与</w:t>
      </w:r>
      <w:r>
        <w:rPr/>
        <w:t> </w:t>
      </w:r>
      <w:r>
        <w:rPr>
          <w:spacing w:val="-4"/>
        </w:rPr>
        <w:t>本公司日常活动相关的，计入其他收益；与本公司日常活动无关的，计入营业</w:t>
      </w:r>
      <w:r>
        <w:rPr>
          <w:spacing w:val="-74"/>
        </w:rPr>
        <w:t> </w:t>
      </w:r>
      <w:r>
        <w:rPr>
          <w:spacing w:val="-74"/>
        </w:rPr>
      </w:r>
      <w:r>
        <w:rPr>
          <w:spacing w:val="-21"/>
        </w:rPr>
        <w:t>外收入）；</w:t>
      </w:r>
      <w:r>
        <w:rPr/>
        <w:t> 与收益相关的政府补助，用于补偿本公司以后期间的相关成本费用或损失的， </w:t>
      </w:r>
      <w:r>
        <w:rPr>
          <w:spacing w:val="-4"/>
        </w:rPr>
        <w:t>确认为递延收益，并在确认相关成本费用或损失的期间，计入当期损益（与本</w:t>
      </w:r>
    </w:p>
    <w:p>
      <w:pPr>
        <w:spacing w:after="0" w:line="350" w:lineRule="auto"/>
        <w:jc w:val="left"/>
        <w:sectPr>
          <w:pgSz w:w="11910" w:h="16840"/>
          <w:pgMar w:header="1302" w:footer="1001" w:top="1520" w:bottom="1200" w:left="1660" w:right="0"/>
        </w:sectPr>
      </w:pPr>
    </w:p>
    <w:p>
      <w:pPr>
        <w:spacing w:line="240" w:lineRule="auto" w:before="8"/>
        <w:rPr>
          <w:rFonts w:ascii="宋体" w:hAnsi="宋体" w:cs="宋体" w:eastAsia="宋体" w:hint="default"/>
          <w:sz w:val="13"/>
          <w:szCs w:val="13"/>
        </w:rPr>
      </w:pPr>
    </w:p>
    <w:p>
      <w:pPr>
        <w:pStyle w:val="BodyText"/>
        <w:spacing w:line="350" w:lineRule="auto" w:before="35"/>
        <w:ind w:right="1689"/>
        <w:jc w:val="both"/>
      </w:pPr>
      <w:r>
        <w:rPr>
          <w:spacing w:val="-4"/>
        </w:rPr>
        <w:t>公司日常活动相关的，计入其他收益；与本公司日常活动无关的，计入营业外</w:t>
      </w:r>
      <w:r>
        <w:rPr>
          <w:spacing w:val="-74"/>
        </w:rPr>
        <w:t> </w:t>
      </w:r>
      <w:r>
        <w:rPr>
          <w:spacing w:val="-74"/>
        </w:rPr>
      </w:r>
      <w:r>
        <w:rPr>
          <w:spacing w:val="-4"/>
        </w:rPr>
        <w:t>收入）或冲减相关成本费用或损失；用于补偿本公司已发生的相关成本费用或</w:t>
      </w:r>
      <w:r>
        <w:rPr>
          <w:spacing w:val="-73"/>
        </w:rPr>
        <w:t> </w:t>
      </w:r>
      <w:r>
        <w:rPr>
          <w:spacing w:val="-73"/>
        </w:rPr>
      </w:r>
      <w:r>
        <w:rPr>
          <w:spacing w:val="-4"/>
        </w:rPr>
        <w:t>损失的，直接计入当期损益（与本公司日常活动相关的，计入其他收益；与本</w:t>
      </w:r>
      <w:r>
        <w:rPr>
          <w:spacing w:val="-75"/>
        </w:rPr>
        <w:t> </w:t>
      </w:r>
      <w:r>
        <w:rPr>
          <w:spacing w:val="-75"/>
        </w:rPr>
      </w:r>
      <w:r>
        <w:rPr/>
        <w:t>公司日常活动无关的，计入营业外收入）或冲减相关成本费用或损失。</w:t>
      </w:r>
    </w:p>
    <w:p>
      <w:pPr>
        <w:spacing w:line="240" w:lineRule="auto" w:before="0"/>
        <w:rPr>
          <w:rFonts w:ascii="宋体" w:hAnsi="宋体" w:cs="宋体" w:eastAsia="宋体" w:hint="default"/>
          <w:sz w:val="20"/>
          <w:szCs w:val="20"/>
        </w:rPr>
      </w:pPr>
    </w:p>
    <w:p>
      <w:pPr>
        <w:pStyle w:val="BodyText"/>
        <w:spacing w:line="240" w:lineRule="auto" w:before="167"/>
        <w:ind w:right="0"/>
        <w:jc w:val="both"/>
      </w:pPr>
      <w:r>
        <w:rPr/>
        <w:t>本公司取得的政策性优惠贷款贴息，区分以下两种情况，分别进行会计处理：</w:t>
      </w:r>
    </w:p>
    <w:p>
      <w:pPr>
        <w:pStyle w:val="BodyText"/>
        <w:spacing w:line="340" w:lineRule="auto" w:before="125"/>
        <w:ind w:right="1792"/>
        <w:jc w:val="both"/>
      </w:pPr>
      <w:r>
        <w:rPr/>
        <w:t>（</w:t>
      </w:r>
      <w:r>
        <w:rPr>
          <w:rFonts w:ascii="Times New Roman" w:hAnsi="Times New Roman" w:cs="Times New Roman" w:eastAsia="Times New Roman" w:hint="default"/>
        </w:rPr>
        <w:t>1</w:t>
      </w:r>
      <w:r>
        <w:rPr/>
        <w:t>）财政将贴息资金拨付给贷款银行，由贷款银行以政策性优惠利率向本公 </w:t>
      </w:r>
      <w:r>
        <w:rPr>
          <w:spacing w:val="-4"/>
        </w:rPr>
        <w:t>司提供贷款的，本公司以实际收到的借款金额作为借款的入账价值，按照借款</w:t>
      </w:r>
      <w:r>
        <w:rPr>
          <w:spacing w:val="-73"/>
        </w:rPr>
        <w:t> </w:t>
      </w:r>
      <w:r>
        <w:rPr>
          <w:spacing w:val="-73"/>
        </w:rPr>
      </w:r>
      <w:r>
        <w:rPr/>
        <w:t>本金和该政策性优惠利率计算相关借款费用。</w:t>
      </w:r>
    </w:p>
    <w:p>
      <w:pPr>
        <w:pStyle w:val="BodyText"/>
        <w:spacing w:line="331" w:lineRule="auto" w:before="36"/>
        <w:ind w:right="1776"/>
        <w:jc w:val="left"/>
      </w:pPr>
      <w:r>
        <w:rPr/>
        <w:t>（</w:t>
      </w:r>
      <w:r>
        <w:rPr>
          <w:rFonts w:ascii="Times New Roman" w:hAnsi="Times New Roman" w:cs="Times New Roman" w:eastAsia="Times New Roman" w:hint="default"/>
        </w:rPr>
        <w:t>2</w:t>
      </w:r>
      <w:r>
        <w:rPr/>
        <w:t>）财政将贴息资金直接拨付给本公司的，本公司将对应的贴息冲减相关借 款费用。</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pStyle w:val="BodyText"/>
        <w:spacing w:line="348" w:lineRule="auto" w:before="0"/>
        <w:ind w:left="851" w:right="1813" w:hanging="714"/>
        <w:jc w:val="left"/>
      </w:pPr>
      <w:r>
        <w:rPr>
          <w:rFonts w:ascii="Times New Roman" w:hAnsi="Times New Roman" w:cs="Times New Roman" w:eastAsia="Times New Roman" w:hint="default"/>
          <w:b/>
          <w:bCs/>
        </w:rPr>
        <w:t>(</w:t>
      </w:r>
      <w:r>
        <w:rPr>
          <w:rFonts w:ascii="宋体" w:hAnsi="宋体" w:cs="宋体" w:eastAsia="宋体" w:hint="default"/>
          <w:b/>
          <w:bCs/>
        </w:rPr>
        <w:t>二十七</w:t>
      </w:r>
      <w:r>
        <w:rPr>
          <w:rFonts w:ascii="Times New Roman" w:hAnsi="Times New Roman" w:cs="Times New Roman" w:eastAsia="Times New Roman" w:hint="default"/>
          <w:b/>
          <w:bCs/>
        </w:rPr>
        <w:t>)</w:t>
      </w:r>
      <w:r>
        <w:rPr>
          <w:rFonts w:ascii="Times New Roman" w:hAnsi="Times New Roman" w:cs="Times New Roman" w:eastAsia="Times New Roman" w:hint="default"/>
          <w:b/>
          <w:bCs/>
          <w:spacing w:val="22"/>
        </w:rPr>
        <w:t> </w:t>
      </w:r>
      <w:r>
        <w:rPr>
          <w:rFonts w:ascii="宋体" w:hAnsi="宋体" w:cs="宋体" w:eastAsia="宋体" w:hint="default"/>
          <w:b/>
          <w:bCs/>
        </w:rPr>
        <w:t>递延所得税资产和递延所得税负债</w:t>
      </w:r>
      <w:r>
        <w:rPr>
          <w:rFonts w:ascii="宋体" w:hAnsi="宋体" w:cs="宋体" w:eastAsia="宋体" w:hint="default"/>
          <w:b/>
          <w:bCs/>
          <w:w w:val="99"/>
        </w:rPr>
        <w:t> </w:t>
      </w:r>
      <w:r>
        <w:rPr/>
        <w:t>对于可抵扣暂时性差异确认递延所得税资产，以未来期间很可能取得的用来抵扣可 抵扣暂时性差异的应纳税所得额为限。对于能够结转以后年度的可抵扣亏损和税款 抵减，以很可能获得用来抵扣可抵扣亏损和税款抵减的未来应纳税所得额为限，确 认相应的递延所得税资产。 对于应纳税暂时性差异，除特殊情况外，确认递延所得税负债。 不确认递延所得税资产或递延所得税负债的特殊情况包括：商誉的初始确认；除企 业合并以外的发生时既不影响会计利润也不影响应纳税所得额（或可抵扣亏损）的 其他交易或事项。 当拥有以净额结算的法定权利，且意图以净额结算或取得资产、清偿负债同时进行 时，当期所得税资产及当期所得税负债以抵销后的净额列报。 当拥有以净额结算当期所得税资产及当期所得税负债的法定权利，且递延所得税资 产及递延所得税负债是与同一税收征管部门对同一纳税主体征收的所得税相关或者 是对不同的纳税主体相关，但在未来每一具有重要性的递延所得税资产及负债转回 的期间内，涉及的纳税主体意图以净额结算当期所得税资产和负债或是同时取得资 产、清偿负债时，递延所得税资产及递延所得税负债以抵销后的净额列报。</w:t>
      </w:r>
    </w:p>
    <w:p>
      <w:pPr>
        <w:spacing w:line="240" w:lineRule="auto" w:before="0"/>
        <w:rPr>
          <w:rFonts w:ascii="宋体" w:hAnsi="宋体" w:cs="宋体" w:eastAsia="宋体" w:hint="default"/>
          <w:sz w:val="20"/>
          <w:szCs w:val="20"/>
        </w:rPr>
      </w:pPr>
    </w:p>
    <w:p>
      <w:pPr>
        <w:pStyle w:val="Heading5"/>
        <w:spacing w:line="240" w:lineRule="auto" w:before="169"/>
        <w:ind w:right="3681"/>
        <w:jc w:val="left"/>
        <w:rPr>
          <w:b w:val="0"/>
          <w:bCs w:val="0"/>
        </w:rPr>
      </w:pPr>
      <w:r>
        <w:rPr>
          <w:rFonts w:ascii="Times New Roman" w:hAnsi="Times New Roman" w:cs="Times New Roman" w:eastAsia="Times New Roman" w:hint="default"/>
        </w:rPr>
        <w:t>(</w:t>
      </w:r>
      <w:r>
        <w:rPr/>
        <w:t>二十八</w:t>
      </w:r>
      <w:r>
        <w:rPr>
          <w:rFonts w:ascii="Times New Roman" w:hAnsi="Times New Roman" w:cs="Times New Roman" w:eastAsia="Times New Roman" w:hint="default"/>
        </w:rPr>
        <w:t>)</w:t>
      </w:r>
      <w:r>
        <w:rPr>
          <w:rFonts w:ascii="Times New Roman" w:hAnsi="Times New Roman" w:cs="Times New Roman" w:eastAsia="Times New Roman" w:hint="default"/>
          <w:spacing w:val="22"/>
        </w:rPr>
        <w:t> </w:t>
      </w:r>
      <w:r>
        <w:rPr/>
        <w:t>租赁</w:t>
      </w:r>
      <w:r>
        <w:rPr>
          <w:b w:val="0"/>
          <w:bCs w:val="0"/>
        </w:rPr>
      </w:r>
    </w:p>
    <w:p>
      <w:pPr>
        <w:pStyle w:val="Heading5"/>
        <w:tabs>
          <w:tab w:pos="1397" w:val="left" w:leader="none"/>
        </w:tabs>
        <w:spacing w:line="240" w:lineRule="auto" w:before="109"/>
        <w:ind w:left="846" w:right="3681"/>
        <w:jc w:val="left"/>
        <w:rPr>
          <w:b w:val="0"/>
          <w:bCs w:val="0"/>
        </w:rPr>
      </w:pPr>
      <w:r>
        <w:rPr>
          <w:rFonts w:ascii="Times New Roman" w:hAnsi="Times New Roman" w:cs="Times New Roman" w:eastAsia="Times New Roman" w:hint="default"/>
          <w:w w:val="95"/>
        </w:rPr>
        <w:t>1</w:t>
      </w:r>
      <w:r>
        <w:rPr>
          <w:w w:val="95"/>
        </w:rPr>
        <w:t>、</w:t>
        <w:tab/>
      </w:r>
      <w:r>
        <w:rPr/>
        <w:t>经营租赁会计处理</w:t>
      </w:r>
      <w:r>
        <w:rPr>
          <w:b w:val="0"/>
          <w:bCs w:val="0"/>
        </w:rPr>
      </w:r>
    </w:p>
    <w:p>
      <w:pPr>
        <w:pStyle w:val="BodyText"/>
        <w:spacing w:line="338" w:lineRule="auto" w:before="110"/>
        <w:ind w:right="1671"/>
        <w:jc w:val="left"/>
      </w:pPr>
      <w:r>
        <w:rPr/>
        <w:t>（</w:t>
      </w:r>
      <w:r>
        <w:rPr>
          <w:rFonts w:ascii="Times New Roman" w:hAnsi="Times New Roman" w:cs="Times New Roman" w:eastAsia="Times New Roman" w:hint="default"/>
        </w:rPr>
        <w:t>1</w:t>
      </w:r>
      <w:r>
        <w:rPr/>
        <w:t>）公司租入资产所支付的租赁费，在不扣除免租期的整个租赁期内，按直 线法进行分摊，计入当期费用。公司支付的与租赁交易相关的初始直接费用， 计入当期费用。</w:t>
      </w:r>
    </w:p>
    <w:p>
      <w:pPr>
        <w:spacing w:after="0" w:line="338" w:lineRule="auto"/>
        <w:jc w:val="left"/>
        <w:sectPr>
          <w:pgSz w:w="11910" w:h="16840"/>
          <w:pgMar w:header="1302" w:footer="1001" w:top="1520" w:bottom="1200" w:left="1660" w:right="0"/>
        </w:sectPr>
      </w:pPr>
    </w:p>
    <w:p>
      <w:pPr>
        <w:spacing w:line="240" w:lineRule="auto" w:before="8"/>
        <w:rPr>
          <w:rFonts w:ascii="宋体" w:hAnsi="宋体" w:cs="宋体" w:eastAsia="宋体" w:hint="default"/>
          <w:sz w:val="13"/>
          <w:szCs w:val="13"/>
        </w:rPr>
      </w:pPr>
    </w:p>
    <w:p>
      <w:pPr>
        <w:pStyle w:val="BodyText"/>
        <w:spacing w:line="350" w:lineRule="auto" w:before="35"/>
        <w:ind w:right="1792"/>
        <w:jc w:val="both"/>
      </w:pPr>
      <w:r>
        <w:rPr>
          <w:spacing w:val="-4"/>
        </w:rPr>
        <w:t>资产出租方承担了应由公司承担的与租赁相关的费用时，公司将该部分费用从</w:t>
      </w:r>
      <w:r>
        <w:rPr>
          <w:spacing w:val="-73"/>
        </w:rPr>
        <w:t> </w:t>
      </w:r>
      <w:r>
        <w:rPr>
          <w:spacing w:val="-73"/>
        </w:rPr>
      </w:r>
      <w:r>
        <w:rPr/>
        <w:t>租金总额中扣除，按扣除后的租金费用在租赁期内分摊，计入当期费用。</w:t>
      </w:r>
    </w:p>
    <w:p>
      <w:pPr>
        <w:pStyle w:val="BodyText"/>
        <w:spacing w:line="345" w:lineRule="auto" w:before="28"/>
        <w:ind w:right="1776"/>
        <w:jc w:val="left"/>
      </w:pPr>
      <w:r>
        <w:rPr/>
        <w:t>（</w:t>
      </w:r>
      <w:r>
        <w:rPr>
          <w:rFonts w:ascii="Times New Roman" w:hAnsi="Times New Roman" w:cs="Times New Roman" w:eastAsia="Times New Roman" w:hint="default"/>
        </w:rPr>
        <w:t>2</w:t>
      </w:r>
      <w:r>
        <w:rPr/>
        <w:t>）公司出租资产所收取的租赁费，在不扣除免租期的整个租赁期内，按直 </w:t>
      </w:r>
      <w:r>
        <w:rPr>
          <w:spacing w:val="-4"/>
        </w:rPr>
        <w:t>线法进行分摊，确认为租赁相关收入。公司支付的与租赁交易相关的初始直接</w:t>
      </w:r>
      <w:r>
        <w:rPr>
          <w:spacing w:val="-73"/>
        </w:rPr>
        <w:t> </w:t>
      </w:r>
      <w:r>
        <w:rPr>
          <w:spacing w:val="-73"/>
        </w:rPr>
      </w:r>
      <w:r>
        <w:rPr>
          <w:spacing w:val="-4"/>
        </w:rPr>
        <w:t>费用，计入当期费用；如金额较大的，则予以资本化，在整个租赁期间内按照</w:t>
      </w:r>
      <w:r>
        <w:rPr>
          <w:spacing w:val="-75"/>
        </w:rPr>
        <w:t> </w:t>
      </w:r>
      <w:r>
        <w:rPr>
          <w:spacing w:val="-75"/>
        </w:rPr>
      </w:r>
      <w:r>
        <w:rPr/>
        <w:t>与租赁相关收入确认相同的基础分期计入当期收益。 </w:t>
      </w:r>
      <w:r>
        <w:rPr>
          <w:spacing w:val="-4"/>
        </w:rPr>
        <w:t>公司承担了应由承租方承担的与租赁相关的费用时，公司将该部分费用从租金</w:t>
      </w:r>
      <w:r>
        <w:rPr>
          <w:spacing w:val="-73"/>
        </w:rPr>
        <w:t> </w:t>
      </w:r>
      <w:r>
        <w:rPr>
          <w:spacing w:val="-73"/>
        </w:rPr>
      </w:r>
      <w:r>
        <w:rPr/>
        <w:t>收入总额中扣除，按扣除后的租金费用在租赁期内分配。</w:t>
      </w:r>
    </w:p>
    <w:p>
      <w:pPr>
        <w:spacing w:line="240" w:lineRule="auto" w:before="0"/>
        <w:rPr>
          <w:rFonts w:ascii="宋体" w:hAnsi="宋体" w:cs="宋体" w:eastAsia="宋体" w:hint="default"/>
          <w:sz w:val="20"/>
          <w:szCs w:val="20"/>
        </w:rPr>
      </w:pPr>
    </w:p>
    <w:p>
      <w:pPr>
        <w:pStyle w:val="Heading5"/>
        <w:spacing w:line="240" w:lineRule="auto" w:before="170"/>
        <w:ind w:left="846" w:right="0"/>
        <w:jc w:val="both"/>
        <w:rPr>
          <w:b w:val="0"/>
          <w:bCs w:val="0"/>
        </w:rPr>
      </w:pPr>
      <w:r>
        <w:rPr>
          <w:rFonts w:ascii="Times New Roman" w:hAnsi="Times New Roman" w:cs="Times New Roman" w:eastAsia="Times New Roman" w:hint="default"/>
        </w:rPr>
        <w:t>2</w:t>
      </w:r>
      <w:r>
        <w:rPr/>
        <w:t>、 </w:t>
      </w:r>
      <w:r>
        <w:rPr>
          <w:spacing w:val="21"/>
        </w:rPr>
        <w:t> </w:t>
      </w:r>
      <w:r>
        <w:rPr/>
        <w:t>融资租赁会计处理</w:t>
      </w:r>
      <w:r>
        <w:rPr>
          <w:b w:val="0"/>
          <w:bCs w:val="0"/>
        </w:rPr>
      </w:r>
    </w:p>
    <w:p>
      <w:pPr>
        <w:pStyle w:val="BodyText"/>
        <w:spacing w:line="345" w:lineRule="auto" w:before="110"/>
        <w:ind w:right="1792"/>
        <w:jc w:val="both"/>
      </w:pPr>
      <w:r>
        <w:rPr/>
        <w:t>（</w:t>
      </w:r>
      <w:r>
        <w:rPr>
          <w:rFonts w:ascii="Times New Roman" w:hAnsi="Times New Roman" w:cs="Times New Roman" w:eastAsia="Times New Roman" w:hint="default"/>
        </w:rPr>
        <w:t>1</w:t>
      </w:r>
      <w:r>
        <w:rPr/>
        <w:t>）融资租入资产：公司在承租开始日，将租赁资产公允价值与最低租赁付 </w:t>
      </w:r>
      <w:r>
        <w:rPr>
          <w:spacing w:val="-4"/>
        </w:rPr>
        <w:t>款额现值两者中较低者作为租入资产的入账价值，将最低租赁付款额作为长期</w:t>
      </w:r>
      <w:r>
        <w:rPr>
          <w:spacing w:val="-73"/>
        </w:rPr>
        <w:t> </w:t>
      </w:r>
      <w:r>
        <w:rPr>
          <w:spacing w:val="-73"/>
        </w:rPr>
      </w:r>
      <w:r>
        <w:rPr>
          <w:spacing w:val="-4"/>
        </w:rPr>
        <w:t>应付款的入账价值，其差额作为未确认的融资费用。公司采用实际利率法对未</w:t>
      </w:r>
      <w:r>
        <w:rPr>
          <w:spacing w:val="-73"/>
        </w:rPr>
        <w:t> </w:t>
      </w:r>
      <w:r>
        <w:rPr>
          <w:spacing w:val="-73"/>
        </w:rPr>
      </w:r>
      <w:r>
        <w:rPr>
          <w:spacing w:val="-4"/>
        </w:rPr>
        <w:t>确认的融资费用，在资产租赁期间内摊销，计入财务费用。公司发生的初始直</w:t>
      </w:r>
      <w:r>
        <w:rPr>
          <w:spacing w:val="-74"/>
        </w:rPr>
        <w:t> </w:t>
      </w:r>
      <w:r>
        <w:rPr>
          <w:spacing w:val="-74"/>
        </w:rPr>
      </w:r>
      <w:r>
        <w:rPr/>
        <w:t>接费用，计入租入资产价值。</w:t>
      </w:r>
    </w:p>
    <w:p>
      <w:pPr>
        <w:pStyle w:val="BodyText"/>
        <w:spacing w:line="343" w:lineRule="auto" w:before="32"/>
        <w:ind w:right="1792"/>
        <w:jc w:val="both"/>
      </w:pPr>
      <w:r>
        <w:rPr/>
        <w:t>（</w:t>
      </w:r>
      <w:r>
        <w:rPr>
          <w:rFonts w:ascii="Times New Roman" w:hAnsi="Times New Roman" w:cs="Times New Roman" w:eastAsia="Times New Roman" w:hint="default"/>
        </w:rPr>
        <w:t>2</w:t>
      </w:r>
      <w:r>
        <w:rPr/>
        <w:t>）融资租出资产：公司在租赁开始日，将应收融资租赁款，未担保余值之 </w:t>
      </w:r>
      <w:r>
        <w:rPr>
          <w:spacing w:val="-4"/>
        </w:rPr>
        <w:t>和与其现值的差额确认为未实现融资收益，在将来收到租金的各期间内确认为</w:t>
      </w:r>
      <w:r>
        <w:rPr>
          <w:spacing w:val="-73"/>
        </w:rPr>
        <w:t> </w:t>
      </w:r>
      <w:r>
        <w:rPr>
          <w:spacing w:val="-73"/>
        </w:rPr>
      </w:r>
      <w:r>
        <w:rPr>
          <w:spacing w:val="-4"/>
        </w:rPr>
        <w:t>租赁收入。公司发生的与出租交易相关的初始直接费用，计入应收融资租赁款</w:t>
      </w:r>
      <w:r>
        <w:rPr>
          <w:spacing w:val="-73"/>
        </w:rPr>
        <w:t> </w:t>
      </w:r>
      <w:r>
        <w:rPr>
          <w:spacing w:val="-73"/>
        </w:rPr>
      </w:r>
      <w:r>
        <w:rPr/>
        <w:t>的初始计量中，并减少租赁期内确认的收益金额。</w:t>
      </w:r>
    </w:p>
    <w:p>
      <w:pPr>
        <w:spacing w:line="240" w:lineRule="auto" w:before="0"/>
        <w:rPr>
          <w:rFonts w:ascii="宋体" w:hAnsi="宋体" w:cs="宋体" w:eastAsia="宋体" w:hint="default"/>
          <w:sz w:val="20"/>
          <w:szCs w:val="20"/>
        </w:rPr>
      </w:pPr>
    </w:p>
    <w:p>
      <w:pPr>
        <w:pStyle w:val="Heading5"/>
        <w:spacing w:line="240" w:lineRule="auto" w:before="173"/>
        <w:ind w:right="3681"/>
        <w:jc w:val="left"/>
        <w:rPr>
          <w:b w:val="0"/>
          <w:bCs w:val="0"/>
        </w:rPr>
      </w:pPr>
      <w:r>
        <w:rPr>
          <w:rFonts w:ascii="Times New Roman" w:hAnsi="Times New Roman" w:cs="Times New Roman" w:eastAsia="Times New Roman" w:hint="default"/>
        </w:rPr>
        <w:t>(</w:t>
      </w:r>
      <w:r>
        <w:rPr/>
        <w:t>二十九</w:t>
      </w:r>
      <w:r>
        <w:rPr>
          <w:rFonts w:ascii="Times New Roman" w:hAnsi="Times New Roman" w:cs="Times New Roman" w:eastAsia="Times New Roman" w:hint="default"/>
        </w:rPr>
        <w:t>)</w:t>
      </w:r>
      <w:r>
        <w:rPr>
          <w:rFonts w:ascii="Times New Roman" w:hAnsi="Times New Roman" w:cs="Times New Roman" w:eastAsia="Times New Roman" w:hint="default"/>
          <w:spacing w:val="23"/>
        </w:rPr>
        <w:t> </w:t>
      </w:r>
      <w:r>
        <w:rPr/>
        <w:t>终止经营</w:t>
      </w:r>
      <w:r>
        <w:rPr>
          <w:b w:val="0"/>
          <w:bCs w:val="0"/>
        </w:rPr>
      </w:r>
    </w:p>
    <w:p>
      <w:pPr>
        <w:pStyle w:val="BodyText"/>
        <w:spacing w:line="350" w:lineRule="auto"/>
        <w:ind w:left="851" w:right="1813"/>
        <w:jc w:val="left"/>
      </w:pPr>
      <w:r>
        <w:rPr/>
        <w:t>终止经营是满足下列条件之一的、能够单独区分的组成部分，且该组成部分已被本 公司处置或被本公司划归为持有待售类别：</w:t>
      </w:r>
    </w:p>
    <w:p>
      <w:pPr>
        <w:pStyle w:val="BodyText"/>
        <w:spacing w:line="240" w:lineRule="auto" w:before="28"/>
        <w:ind w:left="851" w:right="0"/>
        <w:jc w:val="both"/>
      </w:pPr>
      <w:r>
        <w:rPr/>
        <w:t>（</w:t>
      </w:r>
      <w:r>
        <w:rPr>
          <w:rFonts w:ascii="Times New Roman" w:hAnsi="Times New Roman" w:cs="Times New Roman" w:eastAsia="Times New Roman" w:hint="default"/>
        </w:rPr>
        <w:t>1</w:t>
      </w:r>
      <w:r>
        <w:rPr/>
        <w:t>）该组成部分代表一项独立的主要业务或一个单独的主要经营地区；</w:t>
      </w:r>
    </w:p>
    <w:p>
      <w:pPr>
        <w:pStyle w:val="BodyText"/>
        <w:spacing w:line="331" w:lineRule="auto"/>
        <w:ind w:left="851" w:right="1782"/>
        <w:jc w:val="left"/>
      </w:pPr>
      <w:r>
        <w:rPr>
          <w:spacing w:val="-2"/>
        </w:rPr>
        <w:t>（</w:t>
      </w:r>
      <w:r>
        <w:rPr>
          <w:rFonts w:ascii="Times New Roman" w:hAnsi="Times New Roman" w:cs="Times New Roman" w:eastAsia="Times New Roman" w:hint="default"/>
          <w:spacing w:val="-2"/>
        </w:rPr>
        <w:t>2</w:t>
      </w:r>
      <w:r>
        <w:rPr>
          <w:spacing w:val="-2"/>
        </w:rPr>
        <w:t>）该组成部分是拟对一项独立的主要业务或一个单独的主要经营地区进行处置的</w:t>
      </w:r>
      <w:r>
        <w:rPr>
          <w:spacing w:val="-99"/>
        </w:rPr>
        <w:t> </w:t>
      </w:r>
      <w:r>
        <w:rPr>
          <w:spacing w:val="-99"/>
        </w:rPr>
      </w:r>
      <w:r>
        <w:rPr/>
        <w:t>一项相关联计划的一部分；</w:t>
      </w:r>
    </w:p>
    <w:p>
      <w:pPr>
        <w:pStyle w:val="BodyText"/>
        <w:spacing w:line="240" w:lineRule="auto" w:before="45"/>
        <w:ind w:left="851" w:right="0"/>
        <w:jc w:val="both"/>
      </w:pPr>
      <w:r>
        <w:rPr/>
        <w:t>（</w:t>
      </w:r>
      <w:r>
        <w:rPr>
          <w:rFonts w:ascii="Times New Roman" w:hAnsi="Times New Roman" w:cs="Times New Roman" w:eastAsia="Times New Roman" w:hint="default"/>
        </w:rPr>
        <w:t>3</w:t>
      </w:r>
      <w:r>
        <w:rPr/>
        <w:t>）该组成部分是专为转售而取得的子公司。</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pStyle w:val="Heading5"/>
        <w:spacing w:line="240" w:lineRule="auto" w:before="0"/>
        <w:ind w:right="3681"/>
        <w:jc w:val="left"/>
        <w:rPr>
          <w:b w:val="0"/>
          <w:bCs w:val="0"/>
        </w:rPr>
      </w:pPr>
      <w:r>
        <w:rPr>
          <w:rFonts w:ascii="Times New Roman" w:hAnsi="Times New Roman" w:cs="Times New Roman" w:eastAsia="Times New Roman" w:hint="default"/>
        </w:rPr>
        <w:t>(</w:t>
      </w:r>
      <w:r>
        <w:rPr/>
        <w:t>三十</w:t>
      </w:r>
      <w:r>
        <w:rPr>
          <w:rFonts w:ascii="Times New Roman" w:hAnsi="Times New Roman" w:cs="Times New Roman" w:eastAsia="Times New Roman" w:hint="default"/>
        </w:rPr>
        <w:t>) </w:t>
      </w:r>
      <w:r>
        <w:rPr>
          <w:rFonts w:ascii="Times New Roman" w:hAnsi="Times New Roman" w:cs="Times New Roman" w:eastAsia="Times New Roman" w:hint="default"/>
          <w:spacing w:val="44"/>
        </w:rPr>
        <w:t> </w:t>
      </w:r>
      <w:r>
        <w:rPr/>
        <w:t>回购本公司股份</w:t>
      </w:r>
      <w:r>
        <w:rPr>
          <w:b w:val="0"/>
          <w:bCs w:val="0"/>
        </w:rPr>
      </w:r>
    </w:p>
    <w:p>
      <w:pPr>
        <w:pStyle w:val="BodyText"/>
        <w:spacing w:line="240" w:lineRule="auto"/>
        <w:ind w:left="851" w:right="0"/>
        <w:jc w:val="both"/>
      </w:pPr>
      <w:r>
        <w:rPr/>
        <w:t>公司于</w:t>
      </w:r>
      <w:r>
        <w:rPr>
          <w:spacing w:val="-54"/>
        </w:rPr>
        <w:t> </w:t>
      </w:r>
      <w:r>
        <w:rPr>
          <w:rFonts w:ascii="Times New Roman" w:hAnsi="Times New Roman" w:cs="Times New Roman" w:eastAsia="Times New Roman" w:hint="default"/>
        </w:rPr>
        <w:t>2018</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26</w:t>
      </w:r>
      <w:r>
        <w:rPr>
          <w:rFonts w:ascii="Times New Roman" w:hAnsi="Times New Roman" w:cs="Times New Roman" w:eastAsia="Times New Roman" w:hint="default"/>
          <w:spacing w:val="-1"/>
        </w:rPr>
        <w:t> </w:t>
      </w:r>
      <w:r>
        <w:rPr/>
        <w:t>日召开第七届董事会第二次会议，审议通过了《关于重大资</w:t>
      </w:r>
    </w:p>
    <w:p>
      <w:pPr>
        <w:pStyle w:val="BodyText"/>
        <w:spacing w:line="331" w:lineRule="auto"/>
        <w:ind w:left="851" w:right="1791"/>
        <w:jc w:val="both"/>
      </w:pPr>
      <w:r>
        <w:rPr/>
        <w:t>产重组购入资产</w:t>
      </w:r>
      <w:r>
        <w:rPr>
          <w:spacing w:val="-49"/>
        </w:rPr>
        <w:t> </w:t>
      </w:r>
      <w:r>
        <w:rPr>
          <w:rFonts w:ascii="Times New Roman" w:hAnsi="Times New Roman" w:cs="Times New Roman" w:eastAsia="Times New Roman" w:hint="default"/>
        </w:rPr>
        <w:t>2017</w:t>
      </w:r>
      <w:r>
        <w:rPr>
          <w:rFonts w:ascii="Times New Roman" w:hAnsi="Times New Roman" w:cs="Times New Roman" w:eastAsia="Times New Roman" w:hint="default"/>
          <w:spacing w:val="4"/>
        </w:rPr>
        <w:t> </w:t>
      </w:r>
      <w:r>
        <w:rPr>
          <w:spacing w:val="-3"/>
        </w:rPr>
        <w:t>年度业绩承诺实现情况及业绩补偿方案的议案》和《提请股东</w:t>
      </w:r>
      <w:r>
        <w:rPr/>
        <w:t> </w:t>
      </w:r>
      <w:r>
        <w:rPr>
          <w:spacing w:val="-3"/>
        </w:rPr>
        <w:t>大会授权董事会全权办理补偿股份回购、注销相关事宜并因注册资本变更修订</w:t>
      </w:r>
      <w:r>
        <w:rPr>
          <w:rFonts w:ascii="Times New Roman" w:hAnsi="Times New Roman" w:cs="Times New Roman" w:eastAsia="Times New Roman" w:hint="default"/>
          <w:spacing w:val="-3"/>
        </w:rPr>
        <w:t>&lt;</w:t>
      </w:r>
      <w:r>
        <w:rPr>
          <w:spacing w:val="-3"/>
        </w:rPr>
        <w:t>公司</w:t>
      </w:r>
      <w:r>
        <w:rPr>
          <w:spacing w:val="-74"/>
        </w:rPr>
        <w:t> </w:t>
      </w:r>
      <w:r>
        <w:rPr>
          <w:spacing w:val="-4"/>
        </w:rPr>
        <w:t>章程</w:t>
      </w:r>
      <w:r>
        <w:rPr>
          <w:rFonts w:ascii="Times New Roman" w:hAnsi="Times New Roman" w:cs="Times New Roman" w:eastAsia="Times New Roman" w:hint="default"/>
          <w:spacing w:val="-4"/>
        </w:rPr>
        <w:t>&gt;</w:t>
      </w:r>
      <w:r>
        <w:rPr>
          <w:spacing w:val="-4"/>
        </w:rPr>
        <w:t>》，因公司重大资产重组购入资产北京圣非凡电子系统技术开发有限公司</w:t>
      </w:r>
      <w:r>
        <w:rPr>
          <w:spacing w:val="-48"/>
        </w:rPr>
        <w:t> </w:t>
      </w:r>
      <w:r>
        <w:rPr>
          <w:rFonts w:ascii="Times New Roman" w:hAnsi="Times New Roman" w:cs="Times New Roman" w:eastAsia="Times New Roman" w:hint="default"/>
          <w:spacing w:val="-1"/>
        </w:rPr>
        <w:t>2017 </w:t>
      </w:r>
      <w:r>
        <w:rPr/>
        <w:t>年度扣除非经常性损益归属于母公司所有者的净利润未达业绩承诺，资产注入方中</w:t>
      </w:r>
    </w:p>
    <w:p>
      <w:pPr>
        <w:spacing w:after="0" w:line="331" w:lineRule="auto"/>
        <w:jc w:val="both"/>
        <w:sectPr>
          <w:pgSz w:w="11910" w:h="16840"/>
          <w:pgMar w:header="1302" w:footer="1001" w:top="1520" w:bottom="1200" w:left="1660" w:right="0"/>
        </w:sectPr>
      </w:pPr>
    </w:p>
    <w:p>
      <w:pPr>
        <w:spacing w:line="240" w:lineRule="auto" w:before="8"/>
        <w:rPr>
          <w:rFonts w:ascii="宋体" w:hAnsi="宋体" w:cs="宋体" w:eastAsia="宋体" w:hint="default"/>
          <w:sz w:val="13"/>
          <w:szCs w:val="13"/>
        </w:rPr>
      </w:pPr>
    </w:p>
    <w:p>
      <w:pPr>
        <w:pStyle w:val="BodyText"/>
        <w:spacing w:line="350" w:lineRule="auto" w:before="35"/>
        <w:ind w:left="2511" w:right="1813"/>
        <w:jc w:val="left"/>
      </w:pPr>
      <w:r>
        <w:rPr/>
        <w:t>国电子信息产业集团有限公司需向公司进行股份补偿，根据双方签署的《盈利预测 </w:t>
      </w:r>
      <w:r>
        <w:rPr>
          <w:spacing w:val="-8"/>
        </w:rPr>
        <w:t>补偿协议》、《盈利预测补偿协议之补充协议》约定，公司以</w:t>
      </w:r>
      <w:r>
        <w:rPr>
          <w:spacing w:val="-47"/>
        </w:rPr>
        <w:t> </w:t>
      </w:r>
      <w:r>
        <w:rPr>
          <w:rFonts w:ascii="Times New Roman" w:hAnsi="Times New Roman" w:cs="Times New Roman" w:eastAsia="Times New Roman" w:hint="default"/>
        </w:rPr>
        <w:t>1</w:t>
      </w:r>
      <w:r>
        <w:rPr>
          <w:rFonts w:ascii="Times New Roman" w:hAnsi="Times New Roman" w:cs="Times New Roman" w:eastAsia="Times New Roman" w:hint="default"/>
          <w:spacing w:val="6"/>
        </w:rPr>
        <w:t> </w:t>
      </w:r>
      <w:r>
        <w:rPr>
          <w:spacing w:val="-1"/>
        </w:rPr>
        <w:t>元的价格回购中国电</w:t>
      </w:r>
    </w:p>
    <w:p>
      <w:pPr>
        <w:pStyle w:val="BodyText"/>
        <w:spacing w:line="328" w:lineRule="auto" w:before="2"/>
        <w:ind w:left="2511" w:right="1826"/>
        <w:jc w:val="left"/>
      </w:pPr>
      <w:r>
        <w:rPr/>
        <w:t>子信息产业集团有限公司</w:t>
      </w:r>
      <w:r>
        <w:rPr>
          <w:spacing w:val="-54"/>
        </w:rPr>
        <w:t> </w:t>
      </w:r>
      <w:r>
        <w:rPr>
          <w:rFonts w:ascii="Times New Roman" w:hAnsi="Times New Roman" w:cs="Times New Roman" w:eastAsia="Times New Roman" w:hint="default"/>
        </w:rPr>
        <w:t>7,903,899</w:t>
      </w:r>
      <w:r>
        <w:rPr>
          <w:rFonts w:ascii="Times New Roman" w:hAnsi="Times New Roman" w:cs="Times New Roman" w:eastAsia="Times New Roman" w:hint="default"/>
          <w:spacing w:val="-2"/>
        </w:rPr>
        <w:t> </w:t>
      </w:r>
      <w:r>
        <w:rPr/>
        <w:t>股并注销，回购的股份已于</w:t>
      </w:r>
      <w:r>
        <w:rPr>
          <w:spacing w:val="-54"/>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8</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8</w:t>
      </w:r>
      <w:r>
        <w:rPr>
          <w:rFonts w:ascii="Times New Roman" w:hAnsi="Times New Roman" w:cs="Times New Roman" w:eastAsia="Times New Roman" w:hint="default"/>
          <w:spacing w:val="-1"/>
        </w:rPr>
        <w:t> </w:t>
      </w:r>
      <w:r>
        <w:rPr/>
        <w:t>日在 中国证券登记结算有限责任公司深圳分公司完成注销手续。</w:t>
      </w:r>
    </w:p>
    <w:p>
      <w:pPr>
        <w:pStyle w:val="BodyText"/>
        <w:spacing w:line="338" w:lineRule="auto" w:before="48"/>
        <w:ind w:left="2511" w:right="1813"/>
        <w:jc w:val="left"/>
      </w:pPr>
      <w:r>
        <w:rPr>
          <w:rFonts w:ascii="Times New Roman" w:hAnsi="Times New Roman" w:cs="Times New Roman" w:eastAsia="Times New Roman" w:hint="default"/>
        </w:rPr>
        <w:t>2018 </w:t>
      </w:r>
      <w:r>
        <w:rPr/>
        <w:t>年，公司重大资产重组购入资产北京圣非凡电子系统技术开发有限公司</w:t>
      </w:r>
      <w:r>
        <w:rPr>
          <w:spacing w:val="-55"/>
        </w:rPr>
        <w:t> </w:t>
      </w:r>
      <w:r>
        <w:rPr>
          <w:rFonts w:ascii="Times New Roman" w:hAnsi="Times New Roman" w:cs="Times New Roman" w:eastAsia="Times New Roman" w:hint="default"/>
        </w:rPr>
        <w:t>2018 </w:t>
      </w:r>
      <w:r>
        <w:rPr/>
        <w:t>年度扣除非经常性损益归属于母公司所有者的净利润未达业绩承诺，根据协议条款 的约定，公司有权以</w:t>
      </w:r>
      <w:r>
        <w:rPr>
          <w:spacing w:val="-53"/>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元的总价格回购中国电子信息产业集团有限公司持有的本公</w:t>
      </w:r>
    </w:p>
    <w:p>
      <w:pPr>
        <w:pStyle w:val="BodyText"/>
        <w:spacing w:line="240" w:lineRule="auto" w:before="14"/>
        <w:ind w:left="2511" w:right="1813"/>
        <w:jc w:val="left"/>
      </w:pPr>
      <w:r>
        <w:rPr/>
        <w:t>司部分股份。本公司据此在报告期内确认了库存股</w:t>
      </w:r>
      <w:r>
        <w:rPr>
          <w:spacing w:val="-55"/>
        </w:rPr>
        <w:t> </w:t>
      </w:r>
      <w:r>
        <w:rPr>
          <w:rFonts w:ascii="Times New Roman" w:hAnsi="Times New Roman" w:cs="Times New Roman" w:eastAsia="Times New Roman" w:hint="default"/>
        </w:rPr>
        <w:t>7,983,507</w:t>
      </w:r>
      <w:r>
        <w:rPr>
          <w:rFonts w:ascii="Times New Roman" w:hAnsi="Times New Roman" w:cs="Times New Roman" w:eastAsia="Times New Roman" w:hint="default"/>
          <w:spacing w:val="-2"/>
        </w:rPr>
        <w:t> </w:t>
      </w:r>
      <w:r>
        <w:rPr/>
        <w:t>股。</w:t>
      </w: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16"/>
          <w:szCs w:val="16"/>
        </w:rPr>
      </w:pPr>
    </w:p>
    <w:p>
      <w:pPr>
        <w:pStyle w:val="Heading5"/>
        <w:spacing w:line="240" w:lineRule="auto" w:before="0"/>
        <w:ind w:left="1781" w:right="6286"/>
        <w:jc w:val="center"/>
        <w:rPr>
          <w:b w:val="0"/>
          <w:bCs w:val="0"/>
        </w:rPr>
      </w:pPr>
      <w:r>
        <w:rPr>
          <w:rFonts w:ascii="Times New Roman" w:hAnsi="Times New Roman" w:cs="Times New Roman" w:eastAsia="Times New Roman" w:hint="default"/>
        </w:rPr>
        <w:t>(</w:t>
      </w:r>
      <w:r>
        <w:rPr/>
        <w:t>三十一</w:t>
      </w:r>
      <w:r>
        <w:rPr>
          <w:rFonts w:ascii="Times New Roman" w:hAnsi="Times New Roman" w:cs="Times New Roman" w:eastAsia="Times New Roman" w:hint="default"/>
        </w:rPr>
        <w:t>)</w:t>
      </w:r>
      <w:r>
        <w:rPr>
          <w:rFonts w:ascii="Times New Roman" w:hAnsi="Times New Roman" w:cs="Times New Roman" w:eastAsia="Times New Roman" w:hint="default"/>
          <w:spacing w:val="20"/>
        </w:rPr>
        <w:t> </w:t>
      </w:r>
      <w:r>
        <w:rPr/>
        <w:t>重要会计政策和会计估计的变更</w:t>
      </w:r>
      <w:r>
        <w:rPr>
          <w:b w:val="0"/>
          <w:bCs w:val="0"/>
        </w:rPr>
      </w:r>
    </w:p>
    <w:p>
      <w:pPr>
        <w:pStyle w:val="Heading5"/>
        <w:tabs>
          <w:tab w:pos="3057" w:val="left" w:leader="none"/>
        </w:tabs>
        <w:spacing w:line="240" w:lineRule="auto" w:before="110"/>
        <w:ind w:left="2506" w:right="1813"/>
        <w:jc w:val="left"/>
        <w:rPr>
          <w:b w:val="0"/>
          <w:bCs w:val="0"/>
        </w:rPr>
      </w:pPr>
      <w:r>
        <w:rPr>
          <w:rFonts w:ascii="Times New Roman" w:hAnsi="Times New Roman" w:cs="Times New Roman" w:eastAsia="Times New Roman" w:hint="default"/>
          <w:w w:val="95"/>
        </w:rPr>
        <w:t>1</w:t>
      </w:r>
      <w:r>
        <w:rPr>
          <w:w w:val="95"/>
        </w:rPr>
        <w:t>、</w:t>
        <w:tab/>
      </w:r>
      <w:r>
        <w:rPr/>
        <w:t>重要会计政策变更</w:t>
      </w:r>
      <w:r>
        <w:rPr>
          <w:b w:val="0"/>
          <w:bCs w:val="0"/>
        </w:rPr>
      </w:r>
    </w:p>
    <w:p>
      <w:pPr>
        <w:pStyle w:val="BodyText"/>
        <w:spacing w:line="240" w:lineRule="auto"/>
        <w:ind w:left="3073" w:right="0"/>
        <w:jc w:val="both"/>
      </w:pPr>
      <w:r>
        <w:rPr/>
        <w:t>执行《财政部关于修订印发</w:t>
      </w:r>
      <w:r>
        <w:rPr>
          <w:spacing w:val="-55"/>
        </w:rPr>
        <w:t> </w:t>
      </w:r>
      <w:r>
        <w:rPr>
          <w:rFonts w:ascii="Times New Roman" w:hAnsi="Times New Roman" w:cs="Times New Roman" w:eastAsia="Times New Roman" w:hint="default"/>
        </w:rPr>
        <w:t>2018</w:t>
      </w:r>
      <w:r>
        <w:rPr>
          <w:rFonts w:ascii="Times New Roman" w:hAnsi="Times New Roman" w:cs="Times New Roman" w:eastAsia="Times New Roman" w:hint="default"/>
          <w:spacing w:val="-2"/>
        </w:rPr>
        <w:t> </w:t>
      </w:r>
      <w:r>
        <w:rPr/>
        <w:t>年度一般企业财务报表格式的通知》</w:t>
      </w:r>
    </w:p>
    <w:p>
      <w:pPr>
        <w:pStyle w:val="BodyText"/>
        <w:spacing w:line="331" w:lineRule="auto"/>
        <w:ind w:left="3073" w:right="1793"/>
        <w:jc w:val="both"/>
      </w:pPr>
      <w:r>
        <w:rPr/>
        <w:t>财政部于</w:t>
      </w:r>
      <w:r>
        <w:rPr>
          <w:spacing w:val="-54"/>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54"/>
        </w:rPr>
        <w:t> </w:t>
      </w:r>
      <w:r>
        <w:rPr>
          <w:rFonts w:ascii="Times New Roman" w:hAnsi="Times New Roman" w:cs="Times New Roman" w:eastAsia="Times New Roman" w:hint="default"/>
        </w:rPr>
        <w:t>6</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15</w:t>
      </w:r>
      <w:r>
        <w:rPr>
          <w:rFonts w:ascii="Times New Roman" w:hAnsi="Times New Roman" w:cs="Times New Roman" w:eastAsia="Times New Roman" w:hint="default"/>
          <w:spacing w:val="-2"/>
        </w:rPr>
        <w:t> </w:t>
      </w:r>
      <w:r>
        <w:rPr/>
        <w:t>日发布了《财政部关于修订印发</w:t>
      </w:r>
      <w:r>
        <w:rPr>
          <w:spacing w:val="-54"/>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年度一般企业 财务报表格式的通知》（财会（</w:t>
      </w:r>
      <w:r>
        <w:rPr>
          <w:rFonts w:ascii="Times New Roman" w:hAnsi="Times New Roman" w:cs="Times New Roman" w:eastAsia="Times New Roman" w:hint="default"/>
        </w:rPr>
        <w:t>2018</w:t>
      </w:r>
      <w:r>
        <w:rPr/>
        <w:t>）</w:t>
      </w:r>
      <w:r>
        <w:rPr>
          <w:rFonts w:ascii="Times New Roman" w:hAnsi="Times New Roman" w:cs="Times New Roman" w:eastAsia="Times New Roman" w:hint="default"/>
        </w:rPr>
        <w:t>15</w:t>
      </w:r>
      <w:r>
        <w:rPr>
          <w:rFonts w:ascii="Times New Roman" w:hAnsi="Times New Roman" w:cs="Times New Roman" w:eastAsia="Times New Roman" w:hint="default"/>
          <w:spacing w:val="49"/>
        </w:rPr>
        <w:t> </w:t>
      </w:r>
      <w:r>
        <w:rPr/>
        <w:t>号），对一般企业财务报表格式进 行了修订。本公司执行上述规定的主要影响如下：</w:t>
      </w:r>
    </w:p>
    <w:p>
      <w:pPr>
        <w:spacing w:line="240" w:lineRule="auto" w:before="12"/>
        <w:rPr>
          <w:rFonts w:ascii="宋体" w:hAnsi="宋体" w:cs="宋体" w:eastAsia="宋体" w:hint="default"/>
          <w:sz w:val="26"/>
          <w:szCs w:val="26"/>
        </w:rPr>
      </w:pPr>
    </w:p>
    <w:p>
      <w:pPr>
        <w:spacing w:line="6199" w:lineRule="exact"/>
        <w:ind w:left="2390" w:right="0" w:firstLine="0"/>
        <w:rPr>
          <w:rFonts w:ascii="宋体" w:hAnsi="宋体" w:cs="宋体" w:eastAsia="宋体" w:hint="default"/>
          <w:sz w:val="20"/>
          <w:szCs w:val="20"/>
        </w:rPr>
      </w:pPr>
      <w:r>
        <w:rPr>
          <w:rFonts w:ascii="宋体" w:hAnsi="宋体" w:cs="宋体" w:eastAsia="宋体" w:hint="default"/>
          <w:position w:val="-123"/>
          <w:sz w:val="20"/>
          <w:szCs w:val="20"/>
        </w:rPr>
        <w:pict>
          <v:group style="width:411.3pt;height:310pt;mso-position-horizontal-relative:char;mso-position-vertical-relative:line" coordorigin="0,0" coordsize="8226,6200">
            <v:group style="position:absolute;left:19;top:15;width:4119;height:2" coordorigin="19,15" coordsize="4119,2">
              <v:shape style="position:absolute;left:19;top:15;width:4119;height:2" coordorigin="19,15" coordsize="4119,0" path="m19,15l4138,15e" filled="false" stroked="true" strokeweight="1.5pt" strokecolor="#000000">
                <v:path arrowok="t"/>
              </v:shape>
              <v:shape style="position:absolute;left:4138;top:30;width:10;height:28" type="#_x0000_t75" stroked="false">
                <v:imagedata r:id="rId45" o:title=""/>
              </v:shape>
            </v:group>
            <v:group style="position:absolute;left:4138;top:15;width:30;height:2" coordorigin="4138,15" coordsize="30,2">
              <v:shape style="position:absolute;left:4138;top:15;width:30;height:2" coordorigin="4138,15" coordsize="30,0" path="m4138,15l4168,15e" filled="false" stroked="true" strokeweight="1.5pt" strokecolor="#000000">
                <v:path arrowok="t"/>
              </v:shape>
            </v:group>
            <v:group style="position:absolute;left:4168;top:15;width:1160;height:2" coordorigin="4168,15" coordsize="1160,2">
              <v:shape style="position:absolute;left:4168;top:15;width:1160;height:2" coordorigin="4168,15" coordsize="1160,0" path="m4168,15l5327,15e" filled="false" stroked="true" strokeweight="1.5pt" strokecolor="#000000">
                <v:path arrowok="t"/>
              </v:shape>
              <v:shape style="position:absolute;left:5327;top:30;width:10;height:28" type="#_x0000_t75" stroked="false">
                <v:imagedata r:id="rId45" o:title=""/>
              </v:shape>
            </v:group>
            <v:group style="position:absolute;left:5327;top:15;width:2880;height:2" coordorigin="5327,15" coordsize="2880,2">
              <v:shape style="position:absolute;left:5327;top:15;width:2880;height:2" coordorigin="5327,15" coordsize="2880,0" path="m5327,15l8207,15e" filled="false" stroked="true" strokeweight="1.5pt" strokecolor="#000000">
                <v:path arrowok="t"/>
              </v:shape>
              <v:shape style="position:absolute;left:4118;top:38;width:1237;height:349" type="#_x0000_t75" stroked="false">
                <v:imagedata r:id="rId46" o:title=""/>
              </v:shape>
            </v:group>
            <v:group style="position:absolute;left:19;top:6184;width:4119;height:2" coordorigin="19,6184" coordsize="4119,2">
              <v:shape style="position:absolute;left:19;top:6184;width:4119;height:2" coordorigin="19,6184" coordsize="4119,0" path="m19,6184l4138,6184e" filled="false" stroked="true" strokeweight="1.5pt" strokecolor="#000000">
                <v:path arrowok="t"/>
              </v:shape>
            </v:group>
            <v:group style="position:absolute;left:4138;top:6184;width:30;height:2" coordorigin="4138,6184" coordsize="30,2">
              <v:shape style="position:absolute;left:4138;top:6184;width:30;height:2" coordorigin="4138,6184" coordsize="30,0" path="m4138,6184l4168,6184e" filled="false" stroked="true" strokeweight="1.5pt" strokecolor="#000000">
                <v:path arrowok="t"/>
              </v:shape>
            </v:group>
            <v:group style="position:absolute;left:4168;top:6184;width:1160;height:2" coordorigin="4168,6184" coordsize="1160,2">
              <v:shape style="position:absolute;left:4168;top:6184;width:1160;height:2" coordorigin="4168,6184" coordsize="1160,0" path="m4168,6184l5327,6184e" filled="false" stroked="true" strokeweight="1.5pt" strokecolor="#000000">
                <v:path arrowok="t"/>
              </v:shape>
              <v:shape style="position:absolute;left:0;top:349;width:8226;height:5820" type="#_x0000_t75" stroked="false">
                <v:imagedata r:id="rId47" o:title=""/>
              </v:shape>
            </v:group>
            <v:group style="position:absolute;left:5327;top:6184;width:2880;height:2" coordorigin="5327,6184" coordsize="2880,2">
              <v:shape style="position:absolute;left:5327;top:6184;width:2880;height:2" coordorigin="5327,6184" coordsize="2880,0" path="m5327,6184l8207,6184e" filled="false" stroked="true" strokeweight="1.5pt" strokecolor="#000000">
                <v:path arrowok="t"/>
              </v:shape>
              <v:shape style="position:absolute;left:1121;top:118;width:191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会计政策变更的内容和原因</w:t>
                      </w:r>
                      <w:r>
                        <w:rPr>
                          <w:rFonts w:ascii="宋体" w:hAnsi="宋体" w:cs="宋体" w:eastAsia="宋体" w:hint="default"/>
                          <w:sz w:val="16"/>
                          <w:szCs w:val="16"/>
                        </w:rPr>
                      </w:r>
                    </w:p>
                  </w:txbxContent>
                </v:textbox>
                <w10:wrap type="none"/>
              </v:shape>
              <v:shape style="position:absolute;left:4416;top:11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审批程序</w:t>
                      </w:r>
                      <w:r>
                        <w:rPr>
                          <w:rFonts w:ascii="宋体" w:hAnsi="宋体" w:cs="宋体" w:eastAsia="宋体" w:hint="default"/>
                          <w:sz w:val="16"/>
                          <w:szCs w:val="16"/>
                        </w:rPr>
                      </w:r>
                    </w:p>
                  </w:txbxContent>
                </v:textbox>
                <w10:wrap type="none"/>
              </v:shape>
              <v:shape style="position:absolute;left:127;top:1778;width:3918;height:1612" type="#_x0000_t202" filled="false" stroked="false">
                <v:textbox inset="0,0,0,0">
                  <w:txbxContent>
                    <w:p>
                      <w:pPr>
                        <w:spacing w:line="165" w:lineRule="exact" w:before="0"/>
                        <w:ind w:left="0" w:right="0" w:firstLine="0"/>
                        <w:jc w:val="both"/>
                        <w:rPr>
                          <w:rFonts w:ascii="宋体" w:hAnsi="宋体" w:cs="宋体" w:eastAsia="宋体" w:hint="default"/>
                          <w:sz w:val="16"/>
                          <w:szCs w:val="16"/>
                        </w:rPr>
                      </w:pPr>
                      <w:r>
                        <w:rPr>
                          <w:rFonts w:ascii="宋体" w:hAnsi="宋体" w:cs="宋体" w:eastAsia="宋体" w:hint="default"/>
                          <w:w w:val="95"/>
                          <w:sz w:val="16"/>
                          <w:szCs w:val="16"/>
                        </w:rPr>
                        <w:t>（</w:t>
                      </w:r>
                      <w:r>
                        <w:rPr>
                          <w:rFonts w:ascii="Times New Roman" w:hAnsi="Times New Roman" w:cs="Times New Roman" w:eastAsia="Times New Roman" w:hint="default"/>
                          <w:w w:val="95"/>
                          <w:sz w:val="16"/>
                          <w:szCs w:val="16"/>
                        </w:rPr>
                        <w:t>1</w:t>
                      </w:r>
                      <w:r>
                        <w:rPr>
                          <w:rFonts w:ascii="宋体" w:hAnsi="宋体" w:cs="宋体" w:eastAsia="宋体" w:hint="default"/>
                          <w:w w:val="95"/>
                          <w:sz w:val="16"/>
                          <w:szCs w:val="16"/>
                        </w:rPr>
                        <w:t>）资产负债表中“应收票据”和“应收账款”合并列</w:t>
                      </w:r>
                      <w:r>
                        <w:rPr>
                          <w:rFonts w:ascii="宋体" w:hAnsi="宋体" w:cs="宋体" w:eastAsia="宋体" w:hint="default"/>
                          <w:sz w:val="16"/>
                          <w:szCs w:val="16"/>
                        </w:rPr>
                      </w:r>
                    </w:p>
                    <w:p>
                      <w:pPr>
                        <w:spacing w:line="237" w:lineRule="auto" w:before="0"/>
                        <w:ind w:left="0" w:right="0" w:firstLine="0"/>
                        <w:jc w:val="both"/>
                        <w:rPr>
                          <w:rFonts w:ascii="宋体" w:hAnsi="宋体" w:cs="宋体" w:eastAsia="宋体" w:hint="default"/>
                          <w:sz w:val="16"/>
                          <w:szCs w:val="16"/>
                        </w:rPr>
                      </w:pPr>
                      <w:r>
                        <w:rPr>
                          <w:rFonts w:ascii="宋体" w:hAnsi="宋体" w:cs="宋体" w:eastAsia="宋体" w:hint="default"/>
                          <w:spacing w:val="-4"/>
                          <w:sz w:val="16"/>
                          <w:szCs w:val="16"/>
                        </w:rPr>
                        <w:t>示为“应收票据及应收账款”；“应付票据”和“应付账</w:t>
                      </w:r>
                      <w:r>
                        <w:rPr>
                          <w:rFonts w:ascii="宋体" w:hAnsi="宋体" w:cs="宋体" w:eastAsia="宋体" w:hint="default"/>
                          <w:spacing w:val="-73"/>
                          <w:w w:val="99"/>
                          <w:sz w:val="16"/>
                          <w:szCs w:val="16"/>
                        </w:rPr>
                        <w:t> </w:t>
                      </w:r>
                      <w:r>
                        <w:rPr>
                          <w:rFonts w:ascii="宋体" w:hAnsi="宋体" w:cs="宋体" w:eastAsia="宋体" w:hint="default"/>
                          <w:spacing w:val="-73"/>
                          <w:w w:val="99"/>
                          <w:sz w:val="16"/>
                          <w:szCs w:val="16"/>
                        </w:rPr>
                      </w:r>
                      <w:r>
                        <w:rPr>
                          <w:rFonts w:ascii="宋体" w:hAnsi="宋体" w:cs="宋体" w:eastAsia="宋体" w:hint="default"/>
                          <w:spacing w:val="-4"/>
                          <w:sz w:val="16"/>
                          <w:szCs w:val="16"/>
                        </w:rPr>
                        <w:t>款”合并列示为“应付票据及应付账款”；“应收利息”</w:t>
                      </w:r>
                      <w:r>
                        <w:rPr>
                          <w:rFonts w:ascii="宋体" w:hAnsi="宋体" w:cs="宋体" w:eastAsia="宋体" w:hint="default"/>
                          <w:spacing w:val="-73"/>
                          <w:w w:val="99"/>
                          <w:sz w:val="16"/>
                          <w:szCs w:val="16"/>
                        </w:rPr>
                        <w:t> </w:t>
                      </w:r>
                      <w:r>
                        <w:rPr>
                          <w:rFonts w:ascii="宋体" w:hAnsi="宋体" w:cs="宋体" w:eastAsia="宋体" w:hint="default"/>
                          <w:spacing w:val="-73"/>
                          <w:w w:val="99"/>
                          <w:sz w:val="16"/>
                          <w:szCs w:val="16"/>
                        </w:rPr>
                      </w:r>
                      <w:r>
                        <w:rPr>
                          <w:rFonts w:ascii="宋体" w:hAnsi="宋体" w:cs="宋体" w:eastAsia="宋体" w:hint="default"/>
                          <w:spacing w:val="-3"/>
                          <w:w w:val="95"/>
                          <w:sz w:val="16"/>
                          <w:szCs w:val="16"/>
                        </w:rPr>
                        <w:t>和“应收股利”并入“其他应收款”列示；“应付利息”</w:t>
                      </w:r>
                      <w:r>
                        <w:rPr>
                          <w:rFonts w:ascii="宋体" w:hAnsi="宋体" w:cs="宋体" w:eastAsia="宋体" w:hint="default"/>
                          <w:spacing w:val="41"/>
                          <w:w w:val="95"/>
                          <w:sz w:val="16"/>
                          <w:szCs w:val="16"/>
                        </w:rPr>
                        <w:t> </w:t>
                      </w:r>
                      <w:r>
                        <w:rPr>
                          <w:rFonts w:ascii="宋体" w:hAnsi="宋体" w:cs="宋体" w:eastAsia="宋体" w:hint="default"/>
                          <w:spacing w:val="41"/>
                          <w:w w:val="95"/>
                          <w:sz w:val="16"/>
                          <w:szCs w:val="16"/>
                        </w:rPr>
                      </w:r>
                      <w:r>
                        <w:rPr>
                          <w:rFonts w:ascii="宋体" w:hAnsi="宋体" w:cs="宋体" w:eastAsia="宋体" w:hint="default"/>
                          <w:spacing w:val="-4"/>
                          <w:sz w:val="16"/>
                          <w:szCs w:val="16"/>
                        </w:rPr>
                        <w:t>和“应付股利”并入“其他应付款”列示；“固定资产清</w:t>
                      </w:r>
                      <w:r>
                        <w:rPr>
                          <w:rFonts w:ascii="宋体" w:hAnsi="宋体" w:cs="宋体" w:eastAsia="宋体" w:hint="default"/>
                          <w:spacing w:val="-68"/>
                          <w:w w:val="99"/>
                          <w:sz w:val="16"/>
                          <w:szCs w:val="16"/>
                        </w:rPr>
                        <w:t> </w:t>
                      </w:r>
                      <w:r>
                        <w:rPr>
                          <w:rFonts w:ascii="宋体" w:hAnsi="宋体" w:cs="宋体" w:eastAsia="宋体" w:hint="default"/>
                          <w:spacing w:val="-68"/>
                          <w:w w:val="99"/>
                          <w:sz w:val="16"/>
                          <w:szCs w:val="16"/>
                        </w:rPr>
                      </w:r>
                      <w:r>
                        <w:rPr>
                          <w:rFonts w:ascii="宋体" w:hAnsi="宋体" w:cs="宋体" w:eastAsia="宋体" w:hint="default"/>
                          <w:spacing w:val="-4"/>
                          <w:sz w:val="16"/>
                          <w:szCs w:val="16"/>
                        </w:rPr>
                        <w:t>理”并入“固定资产”列示；“工程物资”并入“在建工</w:t>
                      </w:r>
                      <w:r>
                        <w:rPr>
                          <w:rFonts w:ascii="宋体" w:hAnsi="宋体" w:cs="宋体" w:eastAsia="宋体" w:hint="default"/>
                          <w:spacing w:val="-69"/>
                          <w:w w:val="99"/>
                          <w:sz w:val="16"/>
                          <w:szCs w:val="16"/>
                        </w:rPr>
                        <w:t> </w:t>
                      </w:r>
                      <w:r>
                        <w:rPr>
                          <w:rFonts w:ascii="宋体" w:hAnsi="宋体" w:cs="宋体" w:eastAsia="宋体" w:hint="default"/>
                          <w:spacing w:val="-69"/>
                          <w:w w:val="99"/>
                          <w:sz w:val="16"/>
                          <w:szCs w:val="16"/>
                        </w:rPr>
                      </w:r>
                      <w:r>
                        <w:rPr>
                          <w:rFonts w:ascii="宋体" w:hAnsi="宋体" w:cs="宋体" w:eastAsia="宋体" w:hint="default"/>
                          <w:spacing w:val="-4"/>
                          <w:sz w:val="16"/>
                          <w:szCs w:val="16"/>
                        </w:rPr>
                        <w:t>程”列示；“专项应付款”并入“长期应付款”列示。比</w:t>
                      </w:r>
                      <w:r>
                        <w:rPr>
                          <w:rFonts w:ascii="宋体" w:hAnsi="宋体" w:cs="宋体" w:eastAsia="宋体" w:hint="default"/>
                          <w:spacing w:val="-70"/>
                          <w:w w:val="99"/>
                          <w:sz w:val="16"/>
                          <w:szCs w:val="16"/>
                        </w:rPr>
                        <w:t> </w:t>
                      </w:r>
                      <w:r>
                        <w:rPr>
                          <w:rFonts w:ascii="宋体" w:hAnsi="宋体" w:cs="宋体" w:eastAsia="宋体" w:hint="default"/>
                          <w:spacing w:val="-70"/>
                          <w:w w:val="99"/>
                          <w:sz w:val="16"/>
                          <w:szCs w:val="16"/>
                        </w:rPr>
                      </w:r>
                      <w:r>
                        <w:rPr>
                          <w:rFonts w:ascii="宋体" w:hAnsi="宋体" w:cs="宋体" w:eastAsia="宋体" w:hint="default"/>
                          <w:sz w:val="16"/>
                          <w:szCs w:val="16"/>
                        </w:rPr>
                        <w:t>较数据相应调整。</w:t>
                      </w:r>
                    </w:p>
                  </w:txbxContent>
                </v:textbox>
                <w10:wrap type="none"/>
              </v:shape>
              <v:shape style="position:absolute;left:5438;top:118;width:2727;height:5517" type="#_x0000_t202" filled="false" stroked="false">
                <v:textbox inset="0,0,0,0">
                  <w:txbxContent>
                    <w:p>
                      <w:pPr>
                        <w:spacing w:line="160" w:lineRule="exact" w:before="0"/>
                        <w:ind w:left="0" w:right="65" w:firstLine="0"/>
                        <w:jc w:val="center"/>
                        <w:rPr>
                          <w:rFonts w:ascii="宋体" w:hAnsi="宋体" w:cs="宋体" w:eastAsia="宋体" w:hint="default"/>
                          <w:sz w:val="16"/>
                          <w:szCs w:val="16"/>
                        </w:rPr>
                      </w:pPr>
                      <w:r>
                        <w:rPr>
                          <w:rFonts w:ascii="宋体" w:hAnsi="宋体" w:cs="宋体" w:eastAsia="宋体" w:hint="default"/>
                          <w:sz w:val="16"/>
                          <w:szCs w:val="16"/>
                        </w:rPr>
                        <w:t>受影响的报表项目名称和金额</w:t>
                      </w:r>
                    </w:p>
                    <w:p>
                      <w:pPr>
                        <w:spacing w:before="101"/>
                        <w:ind w:left="0" w:right="64" w:firstLine="0"/>
                        <w:jc w:val="both"/>
                        <w:rPr>
                          <w:rFonts w:ascii="宋体" w:hAnsi="宋体" w:cs="宋体" w:eastAsia="宋体" w:hint="default"/>
                          <w:sz w:val="16"/>
                          <w:szCs w:val="16"/>
                        </w:rPr>
                      </w:pPr>
                      <w:r>
                        <w:rPr>
                          <w:rFonts w:ascii="宋体" w:hAnsi="宋体" w:cs="宋体" w:eastAsia="宋体" w:hint="default"/>
                          <w:spacing w:val="-4"/>
                          <w:sz w:val="16"/>
                          <w:szCs w:val="16"/>
                        </w:rPr>
                        <w:t>“应收票据”和“应收账款”合并列示</w:t>
                      </w:r>
                      <w:r>
                        <w:rPr>
                          <w:rFonts w:ascii="宋体" w:hAnsi="宋体" w:cs="宋体" w:eastAsia="宋体" w:hint="default"/>
                          <w:spacing w:val="-76"/>
                          <w:sz w:val="16"/>
                          <w:szCs w:val="16"/>
                        </w:rPr>
                        <w:t> </w:t>
                      </w:r>
                      <w:r>
                        <w:rPr>
                          <w:rFonts w:ascii="宋体" w:hAnsi="宋体" w:cs="宋体" w:eastAsia="宋体" w:hint="default"/>
                          <w:spacing w:val="-76"/>
                          <w:sz w:val="16"/>
                          <w:szCs w:val="16"/>
                        </w:rPr>
                      </w:r>
                      <w:r>
                        <w:rPr>
                          <w:rFonts w:ascii="宋体" w:hAnsi="宋体" w:cs="宋体" w:eastAsia="宋体" w:hint="default"/>
                          <w:spacing w:val="-4"/>
                          <w:sz w:val="16"/>
                          <w:szCs w:val="16"/>
                        </w:rPr>
                        <w:t>为“应收票据及应收账款”，本期金额</w:t>
                      </w:r>
                      <w:r>
                        <w:rPr>
                          <w:rFonts w:ascii="宋体" w:hAnsi="宋体" w:cs="宋体" w:eastAsia="宋体" w:hint="default"/>
                          <w:spacing w:val="-69"/>
                          <w:w w:val="99"/>
                          <w:sz w:val="16"/>
                          <w:szCs w:val="16"/>
                        </w:rPr>
                        <w:t> </w:t>
                      </w:r>
                      <w:r>
                        <w:rPr>
                          <w:rFonts w:ascii="宋体" w:hAnsi="宋体" w:cs="宋体" w:eastAsia="宋体" w:hint="default"/>
                          <w:spacing w:val="-69"/>
                          <w:w w:val="99"/>
                          <w:sz w:val="16"/>
                          <w:szCs w:val="16"/>
                        </w:rPr>
                      </w:r>
                      <w:r>
                        <w:rPr>
                          <w:rFonts w:ascii="Times New Roman" w:hAnsi="Times New Roman" w:cs="Times New Roman" w:eastAsia="Times New Roman" w:hint="default"/>
                          <w:sz w:val="16"/>
                          <w:szCs w:val="16"/>
                        </w:rPr>
                        <w:t>3,722,140,083.37    </w:t>
                      </w:r>
                      <w:r>
                        <w:rPr>
                          <w:rFonts w:ascii="宋体" w:hAnsi="宋体" w:cs="宋体" w:eastAsia="宋体" w:hint="default"/>
                          <w:sz w:val="16"/>
                          <w:szCs w:val="16"/>
                        </w:rPr>
                        <w:t>元 </w:t>
                      </w:r>
                      <w:r>
                        <w:rPr>
                          <w:rFonts w:ascii="宋体" w:hAnsi="宋体" w:cs="宋体" w:eastAsia="宋体" w:hint="default"/>
                          <w:spacing w:val="4"/>
                          <w:sz w:val="16"/>
                          <w:szCs w:val="16"/>
                        </w:rPr>
                        <w:t>， 上 期</w:t>
                      </w:r>
                      <w:r>
                        <w:rPr>
                          <w:rFonts w:ascii="宋体" w:hAnsi="宋体" w:cs="宋体" w:eastAsia="宋体" w:hint="default"/>
                          <w:spacing w:val="-15"/>
                          <w:sz w:val="16"/>
                          <w:szCs w:val="16"/>
                        </w:rPr>
                        <w:t> </w:t>
                      </w:r>
                      <w:r>
                        <w:rPr>
                          <w:rFonts w:ascii="宋体" w:hAnsi="宋体" w:cs="宋体" w:eastAsia="宋体" w:hint="default"/>
                          <w:sz w:val="16"/>
                          <w:szCs w:val="16"/>
                        </w:rPr>
                        <w:t>金</w:t>
                      </w:r>
                      <w:r>
                        <w:rPr>
                          <w:rFonts w:ascii="宋体" w:hAnsi="宋体" w:cs="宋体" w:eastAsia="宋体" w:hint="default"/>
                          <w:spacing w:val="4"/>
                          <w:sz w:val="16"/>
                          <w:szCs w:val="16"/>
                        </w:rPr>
                        <w:t> </w:t>
                      </w:r>
                      <w:r>
                        <w:rPr>
                          <w:rFonts w:ascii="宋体" w:hAnsi="宋体" w:cs="宋体" w:eastAsia="宋体" w:hint="default"/>
                          <w:sz w:val="16"/>
                          <w:szCs w:val="16"/>
                        </w:rPr>
                      </w:r>
                    </w:p>
                    <w:p>
                      <w:pPr>
                        <w:spacing w:line="201" w:lineRule="exact" w:before="0"/>
                        <w:ind w:left="0" w:right="0" w:firstLine="0"/>
                        <w:jc w:val="both"/>
                        <w:rPr>
                          <w:rFonts w:ascii="宋体" w:hAnsi="宋体" w:cs="宋体" w:eastAsia="宋体" w:hint="default"/>
                          <w:sz w:val="16"/>
                          <w:szCs w:val="16"/>
                        </w:rPr>
                      </w:pPr>
                      <w:r>
                        <w:rPr>
                          <w:rFonts w:ascii="Times New Roman" w:hAnsi="Times New Roman" w:cs="Times New Roman" w:eastAsia="Times New Roman" w:hint="default"/>
                          <w:sz w:val="16"/>
                          <w:szCs w:val="16"/>
                        </w:rPr>
                        <w:t>2,861,245,505.21</w:t>
                      </w:r>
                      <w:r>
                        <w:rPr>
                          <w:rFonts w:ascii="Times New Roman" w:hAnsi="Times New Roman" w:cs="Times New Roman" w:eastAsia="Times New Roman" w:hint="default"/>
                          <w:spacing w:val="-11"/>
                          <w:sz w:val="16"/>
                          <w:szCs w:val="16"/>
                        </w:rPr>
                        <w:t> </w:t>
                      </w:r>
                      <w:r>
                        <w:rPr>
                          <w:rFonts w:ascii="宋体" w:hAnsi="宋体" w:cs="宋体" w:eastAsia="宋体" w:hint="default"/>
                          <w:sz w:val="16"/>
                          <w:szCs w:val="16"/>
                        </w:rPr>
                        <w:t>元；</w:t>
                      </w:r>
                    </w:p>
                    <w:p>
                      <w:pPr>
                        <w:spacing w:line="237" w:lineRule="auto" w:before="0"/>
                        <w:ind w:left="0" w:right="64" w:firstLine="0"/>
                        <w:jc w:val="both"/>
                        <w:rPr>
                          <w:rFonts w:ascii="宋体" w:hAnsi="宋体" w:cs="宋体" w:eastAsia="宋体" w:hint="default"/>
                          <w:sz w:val="16"/>
                          <w:szCs w:val="16"/>
                        </w:rPr>
                      </w:pPr>
                      <w:r>
                        <w:rPr>
                          <w:rFonts w:ascii="宋体" w:hAnsi="宋体" w:cs="宋体" w:eastAsia="宋体" w:hint="default"/>
                          <w:spacing w:val="-4"/>
                          <w:sz w:val="16"/>
                          <w:szCs w:val="16"/>
                        </w:rPr>
                        <w:t>“应付票据”和“应付账款”合并列示</w:t>
                      </w:r>
                      <w:r>
                        <w:rPr>
                          <w:rFonts w:ascii="宋体" w:hAnsi="宋体" w:cs="宋体" w:eastAsia="宋体" w:hint="default"/>
                          <w:spacing w:val="-76"/>
                          <w:sz w:val="16"/>
                          <w:szCs w:val="16"/>
                        </w:rPr>
                        <w:t> </w:t>
                      </w:r>
                      <w:r>
                        <w:rPr>
                          <w:rFonts w:ascii="宋体" w:hAnsi="宋体" w:cs="宋体" w:eastAsia="宋体" w:hint="default"/>
                          <w:spacing w:val="-76"/>
                          <w:sz w:val="16"/>
                          <w:szCs w:val="16"/>
                        </w:rPr>
                      </w:r>
                      <w:r>
                        <w:rPr>
                          <w:rFonts w:ascii="宋体" w:hAnsi="宋体" w:cs="宋体" w:eastAsia="宋体" w:hint="default"/>
                          <w:spacing w:val="-4"/>
                          <w:sz w:val="16"/>
                          <w:szCs w:val="16"/>
                        </w:rPr>
                        <w:t>为“应付票据及应付账款”，本期金额</w:t>
                      </w:r>
                      <w:r>
                        <w:rPr>
                          <w:rFonts w:ascii="宋体" w:hAnsi="宋体" w:cs="宋体" w:eastAsia="宋体" w:hint="default"/>
                          <w:spacing w:val="-69"/>
                          <w:w w:val="99"/>
                          <w:sz w:val="16"/>
                          <w:szCs w:val="16"/>
                        </w:rPr>
                        <w:t> </w:t>
                      </w:r>
                      <w:r>
                        <w:rPr>
                          <w:rFonts w:ascii="宋体" w:hAnsi="宋体" w:cs="宋体" w:eastAsia="宋体" w:hint="default"/>
                          <w:spacing w:val="-69"/>
                          <w:w w:val="99"/>
                          <w:sz w:val="16"/>
                          <w:szCs w:val="16"/>
                        </w:rPr>
                      </w:r>
                      <w:r>
                        <w:rPr>
                          <w:rFonts w:ascii="Times New Roman" w:hAnsi="Times New Roman" w:cs="Times New Roman" w:eastAsia="Times New Roman" w:hint="default"/>
                          <w:sz w:val="16"/>
                          <w:szCs w:val="16"/>
                        </w:rPr>
                        <w:t>2,713,528,408.36    </w:t>
                      </w:r>
                      <w:r>
                        <w:rPr>
                          <w:rFonts w:ascii="宋体" w:hAnsi="宋体" w:cs="宋体" w:eastAsia="宋体" w:hint="default"/>
                          <w:sz w:val="16"/>
                          <w:szCs w:val="16"/>
                        </w:rPr>
                        <w:t>元 </w:t>
                      </w:r>
                      <w:r>
                        <w:rPr>
                          <w:rFonts w:ascii="宋体" w:hAnsi="宋体" w:cs="宋体" w:eastAsia="宋体" w:hint="default"/>
                          <w:spacing w:val="4"/>
                          <w:sz w:val="16"/>
                          <w:szCs w:val="16"/>
                        </w:rPr>
                        <w:t>， 上 期</w:t>
                      </w:r>
                      <w:r>
                        <w:rPr>
                          <w:rFonts w:ascii="宋体" w:hAnsi="宋体" w:cs="宋体" w:eastAsia="宋体" w:hint="default"/>
                          <w:spacing w:val="-15"/>
                          <w:sz w:val="16"/>
                          <w:szCs w:val="16"/>
                        </w:rPr>
                        <w:t> </w:t>
                      </w:r>
                      <w:r>
                        <w:rPr>
                          <w:rFonts w:ascii="宋体" w:hAnsi="宋体" w:cs="宋体" w:eastAsia="宋体" w:hint="default"/>
                          <w:sz w:val="16"/>
                          <w:szCs w:val="16"/>
                        </w:rPr>
                        <w:t>金</w:t>
                      </w:r>
                      <w:r>
                        <w:rPr>
                          <w:rFonts w:ascii="宋体" w:hAnsi="宋体" w:cs="宋体" w:eastAsia="宋体" w:hint="default"/>
                          <w:spacing w:val="4"/>
                          <w:sz w:val="16"/>
                          <w:szCs w:val="16"/>
                        </w:rPr>
                        <w:t> </w:t>
                      </w:r>
                      <w:r>
                        <w:rPr>
                          <w:rFonts w:ascii="宋体" w:hAnsi="宋体" w:cs="宋体" w:eastAsia="宋体" w:hint="default"/>
                          <w:sz w:val="16"/>
                          <w:szCs w:val="16"/>
                        </w:rPr>
                      </w:r>
                    </w:p>
                    <w:p>
                      <w:pPr>
                        <w:spacing w:line="201" w:lineRule="exact" w:before="0"/>
                        <w:ind w:left="0" w:right="0" w:firstLine="0"/>
                        <w:jc w:val="both"/>
                        <w:rPr>
                          <w:rFonts w:ascii="宋体" w:hAnsi="宋体" w:cs="宋体" w:eastAsia="宋体" w:hint="default"/>
                          <w:sz w:val="16"/>
                          <w:szCs w:val="16"/>
                        </w:rPr>
                      </w:pPr>
                      <w:r>
                        <w:rPr>
                          <w:rFonts w:ascii="Times New Roman" w:hAnsi="Times New Roman" w:cs="Times New Roman" w:eastAsia="Times New Roman" w:hint="default"/>
                          <w:sz w:val="16"/>
                          <w:szCs w:val="16"/>
                        </w:rPr>
                        <w:t>2,164,220,970.69</w:t>
                      </w:r>
                      <w:r>
                        <w:rPr>
                          <w:rFonts w:ascii="Times New Roman" w:hAnsi="Times New Roman" w:cs="Times New Roman" w:eastAsia="Times New Roman" w:hint="default"/>
                          <w:spacing w:val="-11"/>
                          <w:sz w:val="16"/>
                          <w:szCs w:val="16"/>
                        </w:rPr>
                        <w:t> </w:t>
                      </w:r>
                      <w:r>
                        <w:rPr>
                          <w:rFonts w:ascii="宋体" w:hAnsi="宋体" w:cs="宋体" w:eastAsia="宋体" w:hint="default"/>
                          <w:sz w:val="16"/>
                          <w:szCs w:val="16"/>
                        </w:rPr>
                        <w:t>元；</w:t>
                      </w:r>
                    </w:p>
                    <w:p>
                      <w:pPr>
                        <w:spacing w:line="202" w:lineRule="exact" w:before="0"/>
                        <w:ind w:left="0" w:right="0" w:firstLine="0"/>
                        <w:jc w:val="both"/>
                        <w:rPr>
                          <w:rFonts w:ascii="宋体" w:hAnsi="宋体" w:cs="宋体" w:eastAsia="宋体" w:hint="default"/>
                          <w:sz w:val="16"/>
                          <w:szCs w:val="16"/>
                        </w:rPr>
                      </w:pPr>
                      <w:r>
                        <w:rPr>
                          <w:rFonts w:ascii="宋体" w:hAnsi="宋体" w:cs="宋体" w:eastAsia="宋体" w:hint="default"/>
                          <w:sz w:val="16"/>
                          <w:szCs w:val="16"/>
                        </w:rPr>
                        <w:t>调</w:t>
                      </w:r>
                      <w:r>
                        <w:rPr>
                          <w:rFonts w:ascii="宋体" w:hAnsi="宋体" w:cs="宋体" w:eastAsia="宋体" w:hint="default"/>
                          <w:spacing w:val="-32"/>
                          <w:sz w:val="16"/>
                          <w:szCs w:val="16"/>
                        </w:rPr>
                        <w:t> </w:t>
                      </w:r>
                      <w:r>
                        <w:rPr>
                          <w:rFonts w:ascii="宋体" w:hAnsi="宋体" w:cs="宋体" w:eastAsia="宋体" w:hint="default"/>
                          <w:sz w:val="16"/>
                          <w:szCs w:val="16"/>
                        </w:rPr>
                        <w:t>增</w:t>
                      </w:r>
                      <w:r>
                        <w:rPr>
                          <w:rFonts w:ascii="宋体" w:hAnsi="宋体" w:cs="宋体" w:eastAsia="宋体" w:hint="default"/>
                          <w:spacing w:val="-31"/>
                          <w:sz w:val="16"/>
                          <w:szCs w:val="16"/>
                        </w:rPr>
                        <w:t> </w:t>
                      </w:r>
                      <w:r>
                        <w:rPr>
                          <w:rFonts w:ascii="宋体" w:hAnsi="宋体" w:cs="宋体" w:eastAsia="宋体" w:hint="default"/>
                          <w:sz w:val="16"/>
                          <w:szCs w:val="16"/>
                        </w:rPr>
                        <w:t>“</w:t>
                      </w:r>
                      <w:r>
                        <w:rPr>
                          <w:rFonts w:ascii="宋体" w:hAnsi="宋体" w:cs="宋体" w:eastAsia="宋体" w:hint="default"/>
                          <w:spacing w:val="-32"/>
                          <w:sz w:val="16"/>
                          <w:szCs w:val="16"/>
                        </w:rPr>
                        <w:t> </w:t>
                      </w:r>
                      <w:r>
                        <w:rPr>
                          <w:rFonts w:ascii="宋体" w:hAnsi="宋体" w:cs="宋体" w:eastAsia="宋体" w:hint="default"/>
                          <w:spacing w:val="32"/>
                          <w:sz w:val="16"/>
                          <w:szCs w:val="16"/>
                        </w:rPr>
                        <w:t>其他应</w:t>
                      </w:r>
                      <w:r>
                        <w:rPr>
                          <w:rFonts w:ascii="宋体" w:hAnsi="宋体" w:cs="宋体" w:eastAsia="宋体" w:hint="default"/>
                          <w:spacing w:val="-32"/>
                          <w:sz w:val="16"/>
                          <w:szCs w:val="16"/>
                        </w:rPr>
                        <w:t> </w:t>
                      </w:r>
                      <w:r>
                        <w:rPr>
                          <w:rFonts w:ascii="宋体" w:hAnsi="宋体" w:cs="宋体" w:eastAsia="宋体" w:hint="default"/>
                          <w:spacing w:val="24"/>
                          <w:sz w:val="16"/>
                          <w:szCs w:val="16"/>
                        </w:rPr>
                        <w:t>收款</w:t>
                      </w:r>
                      <w:r>
                        <w:rPr>
                          <w:rFonts w:ascii="宋体" w:hAnsi="宋体" w:cs="宋体" w:eastAsia="宋体" w:hint="default"/>
                          <w:spacing w:val="-32"/>
                          <w:sz w:val="16"/>
                          <w:szCs w:val="16"/>
                        </w:rPr>
                        <w:t> </w:t>
                      </w:r>
                      <w:r>
                        <w:rPr>
                          <w:rFonts w:ascii="宋体" w:hAnsi="宋体" w:cs="宋体" w:eastAsia="宋体" w:hint="default"/>
                          <w:spacing w:val="32"/>
                          <w:sz w:val="16"/>
                          <w:szCs w:val="16"/>
                        </w:rPr>
                        <w:t>”本期</w:t>
                      </w:r>
                      <w:r>
                        <w:rPr>
                          <w:rFonts w:ascii="宋体" w:hAnsi="宋体" w:cs="宋体" w:eastAsia="宋体" w:hint="default"/>
                          <w:spacing w:val="-32"/>
                          <w:sz w:val="16"/>
                          <w:szCs w:val="16"/>
                        </w:rPr>
                        <w:t> </w:t>
                      </w:r>
                      <w:r>
                        <w:rPr>
                          <w:rFonts w:ascii="宋体" w:hAnsi="宋体" w:cs="宋体" w:eastAsia="宋体" w:hint="default"/>
                          <w:spacing w:val="24"/>
                          <w:sz w:val="16"/>
                          <w:szCs w:val="16"/>
                        </w:rPr>
                        <w:t>金额</w:t>
                      </w:r>
                      <w:r>
                        <w:rPr>
                          <w:rFonts w:ascii="宋体" w:hAnsi="宋体" w:cs="宋体" w:eastAsia="宋体" w:hint="default"/>
                          <w:spacing w:val="-31"/>
                          <w:sz w:val="16"/>
                          <w:szCs w:val="16"/>
                        </w:rPr>
                        <w:t> </w:t>
                      </w:r>
                      <w:r>
                        <w:rPr>
                          <w:rFonts w:ascii="宋体" w:hAnsi="宋体" w:cs="宋体" w:eastAsia="宋体" w:hint="default"/>
                          <w:sz w:val="16"/>
                          <w:szCs w:val="16"/>
                        </w:rPr>
                      </w:r>
                    </w:p>
                    <w:p>
                      <w:pPr>
                        <w:spacing w:line="214" w:lineRule="exact" w:before="0"/>
                        <w:ind w:left="0" w:right="0" w:firstLine="0"/>
                        <w:jc w:val="both"/>
                        <w:rPr>
                          <w:rFonts w:ascii="宋体" w:hAnsi="宋体" w:cs="宋体" w:eastAsia="宋体" w:hint="default"/>
                          <w:sz w:val="16"/>
                          <w:szCs w:val="16"/>
                        </w:rPr>
                      </w:pPr>
                      <w:r>
                        <w:rPr>
                          <w:rFonts w:ascii="Times New Roman" w:hAnsi="Times New Roman" w:cs="Times New Roman" w:eastAsia="Times New Roman" w:hint="default"/>
                          <w:sz w:val="16"/>
                          <w:szCs w:val="16"/>
                        </w:rPr>
                        <w:t>14,677,799.76     </w:t>
                      </w:r>
                      <w:r>
                        <w:rPr>
                          <w:rFonts w:ascii="宋体" w:hAnsi="宋体" w:cs="宋体" w:eastAsia="宋体" w:hint="default"/>
                          <w:sz w:val="16"/>
                          <w:szCs w:val="16"/>
                        </w:rPr>
                        <w:t>元 ， 上 期 金  </w:t>
                      </w:r>
                      <w:r>
                        <w:rPr>
                          <w:rFonts w:ascii="宋体" w:hAnsi="宋体" w:cs="宋体" w:eastAsia="宋体" w:hint="default"/>
                          <w:spacing w:val="9"/>
                          <w:sz w:val="16"/>
                          <w:szCs w:val="16"/>
                        </w:rPr>
                        <w:t> </w:t>
                      </w:r>
                      <w:r>
                        <w:rPr>
                          <w:rFonts w:ascii="宋体" w:hAnsi="宋体" w:cs="宋体" w:eastAsia="宋体" w:hint="default"/>
                          <w:sz w:val="16"/>
                          <w:szCs w:val="16"/>
                        </w:rPr>
                        <w:t>额</w:t>
                      </w:r>
                    </w:p>
                    <w:p>
                      <w:pPr>
                        <w:spacing w:line="208" w:lineRule="exact" w:before="0"/>
                        <w:ind w:left="0" w:right="0" w:firstLine="0"/>
                        <w:jc w:val="both"/>
                        <w:rPr>
                          <w:rFonts w:ascii="宋体" w:hAnsi="宋体" w:cs="宋体" w:eastAsia="宋体" w:hint="default"/>
                          <w:sz w:val="16"/>
                          <w:szCs w:val="16"/>
                        </w:rPr>
                      </w:pPr>
                      <w:r>
                        <w:rPr>
                          <w:rFonts w:ascii="Times New Roman" w:hAnsi="Times New Roman" w:cs="Times New Roman" w:eastAsia="Times New Roman" w:hint="default"/>
                          <w:sz w:val="16"/>
                          <w:szCs w:val="16"/>
                        </w:rPr>
                        <w:t>10,645,311.88</w:t>
                      </w:r>
                      <w:r>
                        <w:rPr>
                          <w:rFonts w:ascii="Times New Roman" w:hAnsi="Times New Roman" w:cs="Times New Roman" w:eastAsia="Times New Roman" w:hint="default"/>
                          <w:spacing w:val="-18"/>
                          <w:sz w:val="16"/>
                          <w:szCs w:val="16"/>
                        </w:rPr>
                        <w:t> </w:t>
                      </w:r>
                      <w:r>
                        <w:rPr>
                          <w:rFonts w:ascii="宋体" w:hAnsi="宋体" w:cs="宋体" w:eastAsia="宋体" w:hint="default"/>
                          <w:sz w:val="16"/>
                          <w:szCs w:val="16"/>
                        </w:rPr>
                        <w:t>元；</w:t>
                      </w:r>
                    </w:p>
                    <w:p>
                      <w:pPr>
                        <w:spacing w:line="202" w:lineRule="exact" w:before="0"/>
                        <w:ind w:left="0" w:right="0" w:firstLine="0"/>
                        <w:jc w:val="both"/>
                        <w:rPr>
                          <w:rFonts w:ascii="宋体" w:hAnsi="宋体" w:cs="宋体" w:eastAsia="宋体" w:hint="default"/>
                          <w:sz w:val="16"/>
                          <w:szCs w:val="16"/>
                        </w:rPr>
                      </w:pPr>
                      <w:r>
                        <w:rPr>
                          <w:rFonts w:ascii="宋体" w:hAnsi="宋体" w:cs="宋体" w:eastAsia="宋体" w:hint="default"/>
                          <w:sz w:val="16"/>
                          <w:szCs w:val="16"/>
                        </w:rPr>
                        <w:t>调</w:t>
                      </w:r>
                      <w:r>
                        <w:rPr>
                          <w:rFonts w:ascii="宋体" w:hAnsi="宋体" w:cs="宋体" w:eastAsia="宋体" w:hint="default"/>
                          <w:spacing w:val="-32"/>
                          <w:sz w:val="16"/>
                          <w:szCs w:val="16"/>
                        </w:rPr>
                        <w:t> </w:t>
                      </w:r>
                      <w:r>
                        <w:rPr>
                          <w:rFonts w:ascii="宋体" w:hAnsi="宋体" w:cs="宋体" w:eastAsia="宋体" w:hint="default"/>
                          <w:sz w:val="16"/>
                          <w:szCs w:val="16"/>
                        </w:rPr>
                        <w:t>增</w:t>
                      </w:r>
                      <w:r>
                        <w:rPr>
                          <w:rFonts w:ascii="宋体" w:hAnsi="宋体" w:cs="宋体" w:eastAsia="宋体" w:hint="default"/>
                          <w:spacing w:val="-31"/>
                          <w:sz w:val="16"/>
                          <w:szCs w:val="16"/>
                        </w:rPr>
                        <w:t> </w:t>
                      </w:r>
                      <w:r>
                        <w:rPr>
                          <w:rFonts w:ascii="宋体" w:hAnsi="宋体" w:cs="宋体" w:eastAsia="宋体" w:hint="default"/>
                          <w:sz w:val="16"/>
                          <w:szCs w:val="16"/>
                        </w:rPr>
                        <w:t>“</w:t>
                      </w:r>
                      <w:r>
                        <w:rPr>
                          <w:rFonts w:ascii="宋体" w:hAnsi="宋体" w:cs="宋体" w:eastAsia="宋体" w:hint="default"/>
                          <w:spacing w:val="-32"/>
                          <w:sz w:val="16"/>
                          <w:szCs w:val="16"/>
                        </w:rPr>
                        <w:t> </w:t>
                      </w:r>
                      <w:r>
                        <w:rPr>
                          <w:rFonts w:ascii="宋体" w:hAnsi="宋体" w:cs="宋体" w:eastAsia="宋体" w:hint="default"/>
                          <w:spacing w:val="32"/>
                          <w:sz w:val="16"/>
                          <w:szCs w:val="16"/>
                        </w:rPr>
                        <w:t>其他应</w:t>
                      </w:r>
                      <w:r>
                        <w:rPr>
                          <w:rFonts w:ascii="宋体" w:hAnsi="宋体" w:cs="宋体" w:eastAsia="宋体" w:hint="default"/>
                          <w:spacing w:val="-32"/>
                          <w:sz w:val="16"/>
                          <w:szCs w:val="16"/>
                        </w:rPr>
                        <w:t> </w:t>
                      </w:r>
                      <w:r>
                        <w:rPr>
                          <w:rFonts w:ascii="宋体" w:hAnsi="宋体" w:cs="宋体" w:eastAsia="宋体" w:hint="default"/>
                          <w:spacing w:val="24"/>
                          <w:sz w:val="16"/>
                          <w:szCs w:val="16"/>
                        </w:rPr>
                        <w:t>付款</w:t>
                      </w:r>
                      <w:r>
                        <w:rPr>
                          <w:rFonts w:ascii="宋体" w:hAnsi="宋体" w:cs="宋体" w:eastAsia="宋体" w:hint="default"/>
                          <w:spacing w:val="-32"/>
                          <w:sz w:val="16"/>
                          <w:szCs w:val="16"/>
                        </w:rPr>
                        <w:t> </w:t>
                      </w:r>
                      <w:r>
                        <w:rPr>
                          <w:rFonts w:ascii="宋体" w:hAnsi="宋体" w:cs="宋体" w:eastAsia="宋体" w:hint="default"/>
                          <w:spacing w:val="32"/>
                          <w:sz w:val="16"/>
                          <w:szCs w:val="16"/>
                        </w:rPr>
                        <w:t>”本期</w:t>
                      </w:r>
                      <w:r>
                        <w:rPr>
                          <w:rFonts w:ascii="宋体" w:hAnsi="宋体" w:cs="宋体" w:eastAsia="宋体" w:hint="default"/>
                          <w:spacing w:val="-32"/>
                          <w:sz w:val="16"/>
                          <w:szCs w:val="16"/>
                        </w:rPr>
                        <w:t> </w:t>
                      </w:r>
                      <w:r>
                        <w:rPr>
                          <w:rFonts w:ascii="宋体" w:hAnsi="宋体" w:cs="宋体" w:eastAsia="宋体" w:hint="default"/>
                          <w:spacing w:val="24"/>
                          <w:sz w:val="16"/>
                          <w:szCs w:val="16"/>
                        </w:rPr>
                        <w:t>金额</w:t>
                      </w:r>
                      <w:r>
                        <w:rPr>
                          <w:rFonts w:ascii="宋体" w:hAnsi="宋体" w:cs="宋体" w:eastAsia="宋体" w:hint="default"/>
                          <w:spacing w:val="-31"/>
                          <w:sz w:val="16"/>
                          <w:szCs w:val="16"/>
                        </w:rPr>
                        <w:t> </w:t>
                      </w:r>
                      <w:r>
                        <w:rPr>
                          <w:rFonts w:ascii="宋体" w:hAnsi="宋体" w:cs="宋体" w:eastAsia="宋体" w:hint="default"/>
                          <w:sz w:val="16"/>
                          <w:szCs w:val="16"/>
                        </w:rPr>
                      </w:r>
                    </w:p>
                    <w:p>
                      <w:pPr>
                        <w:spacing w:line="214" w:lineRule="exact" w:before="0"/>
                        <w:ind w:left="0" w:right="0" w:firstLine="0"/>
                        <w:jc w:val="both"/>
                        <w:rPr>
                          <w:rFonts w:ascii="Times New Roman" w:hAnsi="Times New Roman" w:cs="Times New Roman" w:eastAsia="Times New Roman" w:hint="default"/>
                          <w:sz w:val="16"/>
                          <w:szCs w:val="16"/>
                        </w:rPr>
                      </w:pPr>
                      <w:r>
                        <w:rPr>
                          <w:rFonts w:ascii="Times New Roman" w:hAnsi="Times New Roman" w:cs="Times New Roman" w:eastAsia="Times New Roman" w:hint="default"/>
                          <w:sz w:val="16"/>
                          <w:szCs w:val="16"/>
                        </w:rPr>
                        <w:t>1,740,069.19 </w:t>
                      </w:r>
                      <w:r>
                        <w:rPr>
                          <w:rFonts w:ascii="宋体" w:hAnsi="宋体" w:cs="宋体" w:eastAsia="宋体" w:hint="default"/>
                          <w:spacing w:val="-10"/>
                          <w:sz w:val="16"/>
                          <w:szCs w:val="16"/>
                        </w:rPr>
                        <w:t>元，上期金额</w:t>
                      </w:r>
                      <w:r>
                        <w:rPr>
                          <w:rFonts w:ascii="宋体" w:hAnsi="宋体" w:cs="宋体" w:eastAsia="宋体" w:hint="default"/>
                          <w:spacing w:val="-54"/>
                          <w:sz w:val="16"/>
                          <w:szCs w:val="16"/>
                        </w:rPr>
                        <w:t> </w:t>
                      </w:r>
                      <w:r>
                        <w:rPr>
                          <w:rFonts w:ascii="Times New Roman" w:hAnsi="Times New Roman" w:cs="Times New Roman" w:eastAsia="Times New Roman" w:hint="default"/>
                          <w:sz w:val="16"/>
                          <w:szCs w:val="16"/>
                        </w:rPr>
                        <w:t>1,700,720.34</w:t>
                      </w:r>
                    </w:p>
                    <w:p>
                      <w:pPr>
                        <w:spacing w:line="202" w:lineRule="exact" w:before="0"/>
                        <w:ind w:left="0" w:right="0" w:firstLine="0"/>
                        <w:jc w:val="both"/>
                        <w:rPr>
                          <w:rFonts w:ascii="宋体" w:hAnsi="宋体" w:cs="宋体" w:eastAsia="宋体" w:hint="default"/>
                          <w:sz w:val="16"/>
                          <w:szCs w:val="16"/>
                        </w:rPr>
                      </w:pPr>
                      <w:r>
                        <w:rPr>
                          <w:rFonts w:ascii="宋体" w:hAnsi="宋体" w:cs="宋体" w:eastAsia="宋体" w:hint="default"/>
                          <w:sz w:val="16"/>
                          <w:szCs w:val="16"/>
                        </w:rPr>
                        <w:t>元；</w:t>
                      </w:r>
                    </w:p>
                    <w:p>
                      <w:pPr>
                        <w:spacing w:line="214" w:lineRule="exact" w:before="0"/>
                        <w:ind w:left="0" w:right="0" w:firstLine="0"/>
                        <w:jc w:val="both"/>
                        <w:rPr>
                          <w:rFonts w:ascii="宋体" w:hAnsi="宋体" w:cs="宋体" w:eastAsia="宋体" w:hint="default"/>
                          <w:sz w:val="16"/>
                          <w:szCs w:val="16"/>
                        </w:rPr>
                      </w:pPr>
                      <w:r>
                        <w:rPr>
                          <w:rFonts w:ascii="宋体" w:hAnsi="宋体" w:cs="宋体" w:eastAsia="宋体" w:hint="default"/>
                          <w:sz w:val="16"/>
                          <w:szCs w:val="16"/>
                        </w:rPr>
                        <w:t>调增“固定资产”本期金额 </w:t>
                      </w:r>
                      <w:r>
                        <w:rPr>
                          <w:rFonts w:ascii="Times New Roman" w:hAnsi="Times New Roman" w:cs="Times New Roman" w:eastAsia="Times New Roman" w:hint="default"/>
                          <w:sz w:val="16"/>
                          <w:szCs w:val="16"/>
                        </w:rPr>
                        <w:t>0.00</w:t>
                      </w:r>
                      <w:r>
                        <w:rPr>
                          <w:rFonts w:ascii="Times New Roman" w:hAnsi="Times New Roman" w:cs="Times New Roman" w:eastAsia="Times New Roman" w:hint="default"/>
                          <w:spacing w:val="15"/>
                          <w:sz w:val="16"/>
                          <w:szCs w:val="16"/>
                        </w:rPr>
                        <w:t> </w:t>
                      </w:r>
                      <w:r>
                        <w:rPr>
                          <w:rFonts w:ascii="宋体" w:hAnsi="宋体" w:cs="宋体" w:eastAsia="宋体" w:hint="default"/>
                          <w:sz w:val="16"/>
                          <w:szCs w:val="16"/>
                        </w:rPr>
                        <w:t>元，</w:t>
                      </w:r>
                    </w:p>
                    <w:p>
                      <w:pPr>
                        <w:spacing w:line="208" w:lineRule="exact" w:before="0"/>
                        <w:ind w:left="0" w:right="0" w:firstLine="0"/>
                        <w:jc w:val="both"/>
                        <w:rPr>
                          <w:rFonts w:ascii="宋体" w:hAnsi="宋体" w:cs="宋体" w:eastAsia="宋体" w:hint="default"/>
                          <w:sz w:val="16"/>
                          <w:szCs w:val="16"/>
                        </w:rPr>
                      </w:pPr>
                      <w:r>
                        <w:rPr>
                          <w:rFonts w:ascii="宋体" w:hAnsi="宋体" w:cs="宋体" w:eastAsia="宋体" w:hint="default"/>
                          <w:sz w:val="16"/>
                          <w:szCs w:val="16"/>
                        </w:rPr>
                        <w:t>上期金额</w:t>
                      </w:r>
                      <w:r>
                        <w:rPr>
                          <w:rFonts w:ascii="宋体" w:hAnsi="宋体" w:cs="宋体" w:eastAsia="宋体" w:hint="default"/>
                          <w:spacing w:val="-42"/>
                          <w:sz w:val="16"/>
                          <w:szCs w:val="16"/>
                        </w:rPr>
                        <w:t> </w:t>
                      </w:r>
                      <w:r>
                        <w:rPr>
                          <w:rFonts w:ascii="Times New Roman" w:hAnsi="Times New Roman" w:cs="Times New Roman" w:eastAsia="Times New Roman" w:hint="default"/>
                          <w:sz w:val="16"/>
                          <w:szCs w:val="16"/>
                        </w:rPr>
                        <w:t>0.00</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元；</w:t>
                      </w:r>
                    </w:p>
                    <w:p>
                      <w:pPr>
                        <w:spacing w:line="208" w:lineRule="exact" w:before="0"/>
                        <w:ind w:left="0" w:right="0" w:firstLine="0"/>
                        <w:jc w:val="both"/>
                        <w:rPr>
                          <w:rFonts w:ascii="宋体" w:hAnsi="宋体" w:cs="宋体" w:eastAsia="宋体" w:hint="default"/>
                          <w:sz w:val="16"/>
                          <w:szCs w:val="16"/>
                        </w:rPr>
                      </w:pPr>
                      <w:r>
                        <w:rPr>
                          <w:rFonts w:ascii="宋体" w:hAnsi="宋体" w:cs="宋体" w:eastAsia="宋体" w:hint="default"/>
                          <w:sz w:val="16"/>
                          <w:szCs w:val="16"/>
                        </w:rPr>
                        <w:t>调增“在建工程”本期金额 </w:t>
                      </w:r>
                      <w:r>
                        <w:rPr>
                          <w:rFonts w:ascii="Times New Roman" w:hAnsi="Times New Roman" w:cs="Times New Roman" w:eastAsia="Times New Roman" w:hint="default"/>
                          <w:sz w:val="16"/>
                          <w:szCs w:val="16"/>
                        </w:rPr>
                        <w:t>0.00</w:t>
                      </w:r>
                      <w:r>
                        <w:rPr>
                          <w:rFonts w:ascii="Times New Roman" w:hAnsi="Times New Roman" w:cs="Times New Roman" w:eastAsia="Times New Roman" w:hint="default"/>
                          <w:spacing w:val="15"/>
                          <w:sz w:val="16"/>
                          <w:szCs w:val="16"/>
                        </w:rPr>
                        <w:t> </w:t>
                      </w:r>
                      <w:r>
                        <w:rPr>
                          <w:rFonts w:ascii="宋体" w:hAnsi="宋体" w:cs="宋体" w:eastAsia="宋体" w:hint="default"/>
                          <w:sz w:val="16"/>
                          <w:szCs w:val="16"/>
                        </w:rPr>
                        <w:t>元，</w:t>
                      </w:r>
                    </w:p>
                    <w:p>
                      <w:pPr>
                        <w:spacing w:line="207" w:lineRule="exact" w:before="0"/>
                        <w:ind w:left="0" w:right="0" w:firstLine="0"/>
                        <w:jc w:val="both"/>
                        <w:rPr>
                          <w:rFonts w:ascii="宋体" w:hAnsi="宋体" w:cs="宋体" w:eastAsia="宋体" w:hint="default"/>
                          <w:sz w:val="16"/>
                          <w:szCs w:val="16"/>
                        </w:rPr>
                      </w:pPr>
                      <w:r>
                        <w:rPr>
                          <w:rFonts w:ascii="宋体" w:hAnsi="宋体" w:cs="宋体" w:eastAsia="宋体" w:hint="default"/>
                          <w:sz w:val="16"/>
                          <w:szCs w:val="16"/>
                        </w:rPr>
                        <w:t>上期金额</w:t>
                      </w:r>
                      <w:r>
                        <w:rPr>
                          <w:rFonts w:ascii="宋体" w:hAnsi="宋体" w:cs="宋体" w:eastAsia="宋体" w:hint="default"/>
                          <w:spacing w:val="-42"/>
                          <w:sz w:val="16"/>
                          <w:szCs w:val="16"/>
                        </w:rPr>
                        <w:t> </w:t>
                      </w:r>
                      <w:r>
                        <w:rPr>
                          <w:rFonts w:ascii="Times New Roman" w:hAnsi="Times New Roman" w:cs="Times New Roman" w:eastAsia="Times New Roman" w:hint="default"/>
                          <w:sz w:val="16"/>
                          <w:szCs w:val="16"/>
                        </w:rPr>
                        <w:t>0.00</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元；</w:t>
                      </w:r>
                    </w:p>
                    <w:p>
                      <w:pPr>
                        <w:spacing w:line="201" w:lineRule="exact" w:before="0"/>
                        <w:ind w:left="0" w:right="0" w:firstLine="0"/>
                        <w:jc w:val="both"/>
                        <w:rPr>
                          <w:rFonts w:ascii="宋体" w:hAnsi="宋体" w:cs="宋体" w:eastAsia="宋体" w:hint="default"/>
                          <w:sz w:val="16"/>
                          <w:szCs w:val="16"/>
                        </w:rPr>
                      </w:pPr>
                      <w:r>
                        <w:rPr>
                          <w:rFonts w:ascii="宋体" w:hAnsi="宋体" w:cs="宋体" w:eastAsia="宋体" w:hint="default"/>
                          <w:sz w:val="16"/>
                          <w:szCs w:val="16"/>
                        </w:rPr>
                        <w:t>调</w:t>
                      </w:r>
                      <w:r>
                        <w:rPr>
                          <w:rFonts w:ascii="宋体" w:hAnsi="宋体" w:cs="宋体" w:eastAsia="宋体" w:hint="default"/>
                          <w:spacing w:val="-32"/>
                          <w:sz w:val="16"/>
                          <w:szCs w:val="16"/>
                        </w:rPr>
                        <w:t> </w:t>
                      </w:r>
                      <w:r>
                        <w:rPr>
                          <w:rFonts w:ascii="宋体" w:hAnsi="宋体" w:cs="宋体" w:eastAsia="宋体" w:hint="default"/>
                          <w:sz w:val="16"/>
                          <w:szCs w:val="16"/>
                        </w:rPr>
                        <w:t>增</w:t>
                      </w:r>
                      <w:r>
                        <w:rPr>
                          <w:rFonts w:ascii="宋体" w:hAnsi="宋体" w:cs="宋体" w:eastAsia="宋体" w:hint="default"/>
                          <w:spacing w:val="-31"/>
                          <w:sz w:val="16"/>
                          <w:szCs w:val="16"/>
                        </w:rPr>
                        <w:t> </w:t>
                      </w:r>
                      <w:r>
                        <w:rPr>
                          <w:rFonts w:ascii="宋体" w:hAnsi="宋体" w:cs="宋体" w:eastAsia="宋体" w:hint="default"/>
                          <w:sz w:val="16"/>
                          <w:szCs w:val="16"/>
                        </w:rPr>
                        <w:t>“</w:t>
                      </w:r>
                      <w:r>
                        <w:rPr>
                          <w:rFonts w:ascii="宋体" w:hAnsi="宋体" w:cs="宋体" w:eastAsia="宋体" w:hint="default"/>
                          <w:spacing w:val="-32"/>
                          <w:sz w:val="16"/>
                          <w:szCs w:val="16"/>
                        </w:rPr>
                        <w:t> </w:t>
                      </w:r>
                      <w:r>
                        <w:rPr>
                          <w:rFonts w:ascii="宋体" w:hAnsi="宋体" w:cs="宋体" w:eastAsia="宋体" w:hint="default"/>
                          <w:spacing w:val="32"/>
                          <w:sz w:val="16"/>
                          <w:szCs w:val="16"/>
                        </w:rPr>
                        <w:t>长期应</w:t>
                      </w:r>
                      <w:r>
                        <w:rPr>
                          <w:rFonts w:ascii="宋体" w:hAnsi="宋体" w:cs="宋体" w:eastAsia="宋体" w:hint="default"/>
                          <w:spacing w:val="-32"/>
                          <w:sz w:val="16"/>
                          <w:szCs w:val="16"/>
                        </w:rPr>
                        <w:t> </w:t>
                      </w:r>
                      <w:r>
                        <w:rPr>
                          <w:rFonts w:ascii="宋体" w:hAnsi="宋体" w:cs="宋体" w:eastAsia="宋体" w:hint="default"/>
                          <w:spacing w:val="24"/>
                          <w:sz w:val="16"/>
                          <w:szCs w:val="16"/>
                        </w:rPr>
                        <w:t>付款</w:t>
                      </w:r>
                      <w:r>
                        <w:rPr>
                          <w:rFonts w:ascii="宋体" w:hAnsi="宋体" w:cs="宋体" w:eastAsia="宋体" w:hint="default"/>
                          <w:spacing w:val="-32"/>
                          <w:sz w:val="16"/>
                          <w:szCs w:val="16"/>
                        </w:rPr>
                        <w:t> </w:t>
                      </w:r>
                      <w:r>
                        <w:rPr>
                          <w:rFonts w:ascii="宋体" w:hAnsi="宋体" w:cs="宋体" w:eastAsia="宋体" w:hint="default"/>
                          <w:spacing w:val="32"/>
                          <w:sz w:val="16"/>
                          <w:szCs w:val="16"/>
                        </w:rPr>
                        <w:t>”本期</w:t>
                      </w:r>
                      <w:r>
                        <w:rPr>
                          <w:rFonts w:ascii="宋体" w:hAnsi="宋体" w:cs="宋体" w:eastAsia="宋体" w:hint="default"/>
                          <w:spacing w:val="-32"/>
                          <w:sz w:val="16"/>
                          <w:szCs w:val="16"/>
                        </w:rPr>
                        <w:t> </w:t>
                      </w:r>
                      <w:r>
                        <w:rPr>
                          <w:rFonts w:ascii="宋体" w:hAnsi="宋体" w:cs="宋体" w:eastAsia="宋体" w:hint="default"/>
                          <w:spacing w:val="24"/>
                          <w:sz w:val="16"/>
                          <w:szCs w:val="16"/>
                        </w:rPr>
                        <w:t>金额</w:t>
                      </w:r>
                      <w:r>
                        <w:rPr>
                          <w:rFonts w:ascii="宋体" w:hAnsi="宋体" w:cs="宋体" w:eastAsia="宋体" w:hint="default"/>
                          <w:spacing w:val="-31"/>
                          <w:sz w:val="16"/>
                          <w:szCs w:val="16"/>
                        </w:rPr>
                        <w:t> </w:t>
                      </w:r>
                      <w:r>
                        <w:rPr>
                          <w:rFonts w:ascii="宋体" w:hAnsi="宋体" w:cs="宋体" w:eastAsia="宋体" w:hint="default"/>
                          <w:sz w:val="16"/>
                          <w:szCs w:val="16"/>
                        </w:rPr>
                      </w:r>
                    </w:p>
                    <w:p>
                      <w:pPr>
                        <w:spacing w:line="214" w:lineRule="exact" w:before="0"/>
                        <w:ind w:left="0" w:right="0" w:firstLine="0"/>
                        <w:jc w:val="both"/>
                        <w:rPr>
                          <w:rFonts w:ascii="宋体" w:hAnsi="宋体" w:cs="宋体" w:eastAsia="宋体" w:hint="default"/>
                          <w:sz w:val="16"/>
                          <w:szCs w:val="16"/>
                        </w:rPr>
                      </w:pPr>
                      <w:r>
                        <w:rPr>
                          <w:rFonts w:ascii="Times New Roman" w:hAnsi="Times New Roman" w:cs="Times New Roman" w:eastAsia="Times New Roman" w:hint="default"/>
                          <w:sz w:val="16"/>
                          <w:szCs w:val="16"/>
                        </w:rPr>
                        <w:t>435,381,362.88    </w:t>
                      </w:r>
                      <w:r>
                        <w:rPr>
                          <w:rFonts w:ascii="宋体" w:hAnsi="宋体" w:cs="宋体" w:eastAsia="宋体" w:hint="default"/>
                          <w:sz w:val="16"/>
                          <w:szCs w:val="16"/>
                        </w:rPr>
                        <w:t>元 ， 上 期 金 </w:t>
                      </w:r>
                      <w:r>
                        <w:rPr>
                          <w:rFonts w:ascii="宋体" w:hAnsi="宋体" w:cs="宋体" w:eastAsia="宋体" w:hint="default"/>
                          <w:spacing w:val="49"/>
                          <w:sz w:val="16"/>
                          <w:szCs w:val="16"/>
                        </w:rPr>
                        <w:t> </w:t>
                      </w:r>
                      <w:r>
                        <w:rPr>
                          <w:rFonts w:ascii="宋体" w:hAnsi="宋体" w:cs="宋体" w:eastAsia="宋体" w:hint="default"/>
                          <w:sz w:val="16"/>
                          <w:szCs w:val="16"/>
                        </w:rPr>
                        <w:t>额</w:t>
                      </w:r>
                    </w:p>
                    <w:p>
                      <w:pPr>
                        <w:spacing w:line="215" w:lineRule="exact" w:before="0"/>
                        <w:ind w:left="0" w:right="0" w:firstLine="0"/>
                        <w:jc w:val="both"/>
                        <w:rPr>
                          <w:rFonts w:ascii="宋体" w:hAnsi="宋体" w:cs="宋体" w:eastAsia="宋体" w:hint="default"/>
                          <w:sz w:val="16"/>
                          <w:szCs w:val="16"/>
                        </w:rPr>
                      </w:pPr>
                      <w:r>
                        <w:rPr>
                          <w:rFonts w:ascii="Times New Roman" w:hAnsi="Times New Roman" w:cs="Times New Roman" w:eastAsia="Times New Roman" w:hint="default"/>
                          <w:sz w:val="16"/>
                          <w:szCs w:val="16"/>
                        </w:rPr>
                        <w:t>432,301,362.88</w:t>
                      </w:r>
                      <w:r>
                        <w:rPr>
                          <w:rFonts w:ascii="Times New Roman" w:hAnsi="Times New Roman" w:cs="Times New Roman" w:eastAsia="Times New Roman" w:hint="default"/>
                          <w:spacing w:val="-12"/>
                          <w:sz w:val="16"/>
                          <w:szCs w:val="16"/>
                        </w:rPr>
                        <w:t> </w:t>
                      </w:r>
                      <w:r>
                        <w:rPr>
                          <w:rFonts w:ascii="宋体" w:hAnsi="宋体" w:cs="宋体" w:eastAsia="宋体" w:hint="default"/>
                          <w:sz w:val="16"/>
                          <w:szCs w:val="16"/>
                        </w:rPr>
                        <w:t>元。</w:t>
                      </w:r>
                    </w:p>
                    <w:p>
                      <w:pPr>
                        <w:spacing w:line="208" w:lineRule="exact" w:before="52"/>
                        <w:ind w:left="0" w:right="0" w:firstLine="0"/>
                        <w:jc w:val="both"/>
                        <w:rPr>
                          <w:rFonts w:ascii="宋体" w:hAnsi="宋体" w:cs="宋体" w:eastAsia="宋体" w:hint="default"/>
                          <w:sz w:val="16"/>
                          <w:szCs w:val="16"/>
                        </w:rPr>
                      </w:pPr>
                      <w:r>
                        <w:rPr>
                          <w:rFonts w:ascii="宋体" w:hAnsi="宋体" w:cs="宋体" w:eastAsia="宋体" w:hint="default"/>
                          <w:spacing w:val="67"/>
                          <w:w w:val="99"/>
                          <w:sz w:val="16"/>
                          <w:szCs w:val="16"/>
                        </w:rPr>
                        <w:t>调减</w:t>
                      </w:r>
                      <w:r>
                        <w:rPr>
                          <w:rFonts w:ascii="宋体" w:hAnsi="宋体" w:cs="宋体" w:eastAsia="宋体" w:hint="default"/>
                          <w:w w:val="99"/>
                          <w:sz w:val="16"/>
                          <w:szCs w:val="16"/>
                        </w:rPr>
                        <w:t>“</w:t>
                      </w:r>
                      <w:r>
                        <w:rPr>
                          <w:rFonts w:ascii="宋体" w:hAnsi="宋体" w:cs="宋体" w:eastAsia="宋体" w:hint="default"/>
                          <w:spacing w:val="-12"/>
                          <w:sz w:val="16"/>
                          <w:szCs w:val="16"/>
                        </w:rPr>
                        <w:t> </w:t>
                      </w:r>
                      <w:r>
                        <w:rPr>
                          <w:rFonts w:ascii="宋体" w:hAnsi="宋体" w:cs="宋体" w:eastAsia="宋体" w:hint="default"/>
                          <w:spacing w:val="67"/>
                          <w:w w:val="99"/>
                          <w:sz w:val="16"/>
                          <w:szCs w:val="16"/>
                        </w:rPr>
                        <w:t>管</w:t>
                      </w:r>
                      <w:r>
                        <w:rPr>
                          <w:rFonts w:ascii="宋体" w:hAnsi="宋体" w:cs="宋体" w:eastAsia="宋体" w:hint="default"/>
                          <w:w w:val="99"/>
                          <w:sz w:val="16"/>
                          <w:szCs w:val="16"/>
                        </w:rPr>
                        <w:t>理</w:t>
                      </w:r>
                      <w:r>
                        <w:rPr>
                          <w:rFonts w:ascii="宋体" w:hAnsi="宋体" w:cs="宋体" w:eastAsia="宋体" w:hint="default"/>
                          <w:spacing w:val="-12"/>
                          <w:sz w:val="16"/>
                          <w:szCs w:val="16"/>
                        </w:rPr>
                        <w:t> </w:t>
                      </w:r>
                      <w:r>
                        <w:rPr>
                          <w:rFonts w:ascii="宋体" w:hAnsi="宋体" w:cs="宋体" w:eastAsia="宋体" w:hint="default"/>
                          <w:spacing w:val="67"/>
                          <w:w w:val="99"/>
                          <w:sz w:val="16"/>
                          <w:szCs w:val="16"/>
                        </w:rPr>
                        <w:t>费用</w:t>
                      </w:r>
                      <w:r>
                        <w:rPr>
                          <w:rFonts w:ascii="宋体" w:hAnsi="宋体" w:cs="宋体" w:eastAsia="宋体" w:hint="default"/>
                          <w:w w:val="99"/>
                          <w:sz w:val="16"/>
                          <w:szCs w:val="16"/>
                        </w:rPr>
                        <w:t>”</w:t>
                      </w:r>
                      <w:r>
                        <w:rPr>
                          <w:rFonts w:ascii="宋体" w:hAnsi="宋体" w:cs="宋体" w:eastAsia="宋体" w:hint="default"/>
                          <w:spacing w:val="-12"/>
                          <w:sz w:val="16"/>
                          <w:szCs w:val="16"/>
                        </w:rPr>
                        <w:t> </w:t>
                      </w:r>
                      <w:r>
                        <w:rPr>
                          <w:rFonts w:ascii="宋体" w:hAnsi="宋体" w:cs="宋体" w:eastAsia="宋体" w:hint="default"/>
                          <w:spacing w:val="67"/>
                          <w:w w:val="99"/>
                          <w:sz w:val="16"/>
                          <w:szCs w:val="16"/>
                        </w:rPr>
                        <w:t>本</w:t>
                      </w:r>
                      <w:r>
                        <w:rPr>
                          <w:rFonts w:ascii="宋体" w:hAnsi="宋体" w:cs="宋体" w:eastAsia="宋体" w:hint="default"/>
                          <w:w w:val="99"/>
                          <w:sz w:val="16"/>
                          <w:szCs w:val="16"/>
                        </w:rPr>
                        <w:t>期</w:t>
                      </w:r>
                      <w:r>
                        <w:rPr>
                          <w:rFonts w:ascii="宋体" w:hAnsi="宋体" w:cs="宋体" w:eastAsia="宋体" w:hint="default"/>
                          <w:spacing w:val="-12"/>
                          <w:sz w:val="16"/>
                          <w:szCs w:val="16"/>
                        </w:rPr>
                        <w:t> </w:t>
                      </w:r>
                      <w:r>
                        <w:rPr>
                          <w:rFonts w:ascii="宋体" w:hAnsi="宋体" w:cs="宋体" w:eastAsia="宋体" w:hint="default"/>
                          <w:spacing w:val="67"/>
                          <w:w w:val="99"/>
                          <w:sz w:val="16"/>
                          <w:szCs w:val="16"/>
                        </w:rPr>
                        <w:t>金</w:t>
                      </w:r>
                      <w:r>
                        <w:rPr>
                          <w:rFonts w:ascii="宋体" w:hAnsi="宋体" w:cs="宋体" w:eastAsia="宋体" w:hint="default"/>
                          <w:w w:val="99"/>
                          <w:sz w:val="16"/>
                          <w:szCs w:val="16"/>
                        </w:rPr>
                        <w:t>额</w:t>
                      </w:r>
                      <w:r>
                        <w:rPr>
                          <w:rFonts w:ascii="宋体" w:hAnsi="宋体" w:cs="宋体" w:eastAsia="宋体" w:hint="default"/>
                          <w:spacing w:val="-13"/>
                          <w:sz w:val="16"/>
                          <w:szCs w:val="16"/>
                        </w:rPr>
                        <w:t> </w:t>
                      </w:r>
                      <w:r>
                        <w:rPr>
                          <w:rFonts w:ascii="宋体" w:hAnsi="宋体" w:cs="宋体" w:eastAsia="宋体" w:hint="default"/>
                          <w:sz w:val="16"/>
                          <w:szCs w:val="16"/>
                        </w:rPr>
                      </w:r>
                    </w:p>
                    <w:p>
                      <w:pPr>
                        <w:spacing w:line="214" w:lineRule="exact" w:before="0"/>
                        <w:ind w:left="0" w:right="0" w:firstLine="0"/>
                        <w:jc w:val="both"/>
                        <w:rPr>
                          <w:rFonts w:ascii="宋体" w:hAnsi="宋体" w:cs="宋体" w:eastAsia="宋体" w:hint="default"/>
                          <w:sz w:val="16"/>
                          <w:szCs w:val="16"/>
                        </w:rPr>
                      </w:pPr>
                      <w:r>
                        <w:rPr>
                          <w:rFonts w:ascii="Times New Roman" w:hAnsi="Times New Roman" w:cs="Times New Roman" w:eastAsia="Times New Roman" w:hint="default"/>
                          <w:sz w:val="16"/>
                          <w:szCs w:val="16"/>
                        </w:rPr>
                        <w:t>644,718,337.98    </w:t>
                      </w:r>
                      <w:r>
                        <w:rPr>
                          <w:rFonts w:ascii="宋体" w:hAnsi="宋体" w:cs="宋体" w:eastAsia="宋体" w:hint="default"/>
                          <w:sz w:val="16"/>
                          <w:szCs w:val="16"/>
                        </w:rPr>
                        <w:t>元 ， 上 期 金 </w:t>
                      </w:r>
                      <w:r>
                        <w:rPr>
                          <w:rFonts w:ascii="宋体" w:hAnsi="宋体" w:cs="宋体" w:eastAsia="宋体" w:hint="default"/>
                          <w:spacing w:val="49"/>
                          <w:sz w:val="16"/>
                          <w:szCs w:val="16"/>
                        </w:rPr>
                        <w:t> </w:t>
                      </w:r>
                      <w:r>
                        <w:rPr>
                          <w:rFonts w:ascii="宋体" w:hAnsi="宋体" w:cs="宋体" w:eastAsia="宋体" w:hint="default"/>
                          <w:sz w:val="16"/>
                          <w:szCs w:val="16"/>
                        </w:rPr>
                        <w:t>额</w:t>
                      </w:r>
                    </w:p>
                    <w:p>
                      <w:pPr>
                        <w:spacing w:line="208" w:lineRule="exact" w:before="13"/>
                        <w:ind w:left="0" w:right="65" w:firstLine="0"/>
                        <w:jc w:val="both"/>
                        <w:rPr>
                          <w:rFonts w:ascii="宋体" w:hAnsi="宋体" w:cs="宋体" w:eastAsia="宋体" w:hint="default"/>
                          <w:sz w:val="16"/>
                          <w:szCs w:val="16"/>
                        </w:rPr>
                      </w:pPr>
                      <w:r>
                        <w:rPr>
                          <w:rFonts w:ascii="Times New Roman" w:hAnsi="Times New Roman" w:cs="Times New Roman" w:eastAsia="Times New Roman" w:hint="default"/>
                          <w:sz w:val="16"/>
                          <w:szCs w:val="16"/>
                        </w:rPr>
                        <w:t>537,932,446.49</w:t>
                      </w:r>
                      <w:r>
                        <w:rPr>
                          <w:rFonts w:ascii="Times New Roman" w:hAnsi="Times New Roman" w:cs="Times New Roman" w:eastAsia="Times New Roman" w:hint="default"/>
                          <w:spacing w:val="12"/>
                          <w:sz w:val="16"/>
                          <w:szCs w:val="16"/>
                        </w:rPr>
                        <w:t> </w:t>
                      </w:r>
                      <w:r>
                        <w:rPr>
                          <w:rFonts w:ascii="宋体" w:hAnsi="宋体" w:cs="宋体" w:eastAsia="宋体" w:hint="default"/>
                          <w:sz w:val="16"/>
                          <w:szCs w:val="16"/>
                        </w:rPr>
                        <w:t>元，重分类至“研发费</w:t>
                      </w:r>
                      <w:r>
                        <w:rPr>
                          <w:rFonts w:ascii="宋体" w:hAnsi="宋体" w:cs="宋体" w:eastAsia="宋体" w:hint="default"/>
                          <w:w w:val="99"/>
                          <w:sz w:val="16"/>
                          <w:szCs w:val="16"/>
                        </w:rPr>
                        <w:t> </w:t>
                      </w:r>
                      <w:r>
                        <w:rPr>
                          <w:rFonts w:ascii="宋体" w:hAnsi="宋体" w:cs="宋体" w:eastAsia="宋体" w:hint="default"/>
                          <w:spacing w:val="-29"/>
                          <w:sz w:val="16"/>
                          <w:szCs w:val="16"/>
                        </w:rPr>
                        <w:t>用”。</w:t>
                      </w:r>
                    </w:p>
                  </w:txbxContent>
                </v:textbox>
                <w10:wrap type="none"/>
              </v:shape>
              <v:shape style="position:absolute;left:7938;top:845;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额</w:t>
                      </w:r>
                      <w:r>
                        <w:rPr>
                          <w:rFonts w:ascii="宋体" w:hAnsi="宋体" w:cs="宋体" w:eastAsia="宋体" w:hint="default"/>
                          <w:sz w:val="16"/>
                          <w:szCs w:val="16"/>
                        </w:rPr>
                      </w:r>
                    </w:p>
                  </w:txbxContent>
                </v:textbox>
                <w10:wrap type="none"/>
              </v:shape>
              <v:shape style="position:absolute;left:7938;top:1674;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额</w:t>
                      </w:r>
                      <w:r>
                        <w:rPr>
                          <w:rFonts w:ascii="宋体" w:hAnsi="宋体" w:cs="宋体" w:eastAsia="宋体" w:hint="default"/>
                          <w:sz w:val="16"/>
                          <w:szCs w:val="16"/>
                        </w:rPr>
                      </w:r>
                    </w:p>
                  </w:txbxContent>
                </v:textbox>
                <w10:wrap type="none"/>
              </v:shape>
              <v:shape style="position:absolute;left:4249;top:2570;width:974;height:1406" type="#_x0000_t202" filled="false" stroked="false">
                <v:textbox inset="0,0,0,0">
                  <w:txbxContent>
                    <w:p>
                      <w:pPr>
                        <w:spacing w:line="165" w:lineRule="exact" w:before="0"/>
                        <w:ind w:left="0" w:right="0" w:firstLine="0"/>
                        <w:jc w:val="both"/>
                        <w:rPr>
                          <w:rFonts w:ascii="宋体" w:hAnsi="宋体" w:cs="宋体" w:eastAsia="宋体" w:hint="default"/>
                          <w:sz w:val="16"/>
                          <w:szCs w:val="16"/>
                        </w:rPr>
                      </w:pPr>
                      <w:r>
                        <w:rPr>
                          <w:rFonts w:ascii="Times New Roman" w:hAnsi="Times New Roman" w:cs="Times New Roman" w:eastAsia="Times New Roman" w:hint="default"/>
                          <w:sz w:val="16"/>
                          <w:szCs w:val="16"/>
                        </w:rPr>
                        <w:t>2018 </w:t>
                      </w:r>
                      <w:r>
                        <w:rPr>
                          <w:rFonts w:ascii="宋体" w:hAnsi="宋体" w:cs="宋体" w:eastAsia="宋体" w:hint="default"/>
                          <w:sz w:val="16"/>
                          <w:szCs w:val="16"/>
                        </w:rPr>
                        <w:t>年 </w:t>
                      </w:r>
                      <w:r>
                        <w:rPr>
                          <w:rFonts w:ascii="Times New Roman" w:hAnsi="Times New Roman" w:cs="Times New Roman" w:eastAsia="Times New Roman" w:hint="default"/>
                          <w:sz w:val="16"/>
                          <w:szCs w:val="16"/>
                        </w:rPr>
                        <w:t>10</w:t>
                      </w:r>
                      <w:r>
                        <w:rPr>
                          <w:rFonts w:ascii="Times New Roman" w:hAnsi="Times New Roman" w:cs="Times New Roman" w:eastAsia="Times New Roman" w:hint="default"/>
                          <w:spacing w:val="10"/>
                          <w:sz w:val="16"/>
                          <w:szCs w:val="16"/>
                        </w:rPr>
                        <w:t> </w:t>
                      </w:r>
                      <w:r>
                        <w:rPr>
                          <w:rFonts w:ascii="宋体" w:hAnsi="宋体" w:cs="宋体" w:eastAsia="宋体" w:hint="default"/>
                          <w:sz w:val="16"/>
                          <w:szCs w:val="16"/>
                        </w:rPr>
                        <w:t>月</w:t>
                      </w:r>
                    </w:p>
                    <w:p>
                      <w:pPr>
                        <w:spacing w:line="208" w:lineRule="exact" w:before="13"/>
                        <w:ind w:left="0" w:right="1" w:firstLine="0"/>
                        <w:jc w:val="both"/>
                        <w:rPr>
                          <w:rFonts w:ascii="宋体" w:hAnsi="宋体" w:cs="宋体" w:eastAsia="宋体" w:hint="default"/>
                          <w:sz w:val="16"/>
                          <w:szCs w:val="16"/>
                        </w:rPr>
                      </w:pPr>
                      <w:r>
                        <w:rPr>
                          <w:rFonts w:ascii="Times New Roman" w:hAnsi="Times New Roman" w:cs="Times New Roman" w:eastAsia="Times New Roman" w:hint="default"/>
                          <w:sz w:val="16"/>
                          <w:szCs w:val="16"/>
                        </w:rPr>
                        <w:t>29 </w:t>
                      </w:r>
                      <w:r>
                        <w:rPr>
                          <w:rFonts w:ascii="宋体" w:hAnsi="宋体" w:cs="宋体" w:eastAsia="宋体" w:hint="default"/>
                          <w:spacing w:val="14"/>
                          <w:sz w:val="16"/>
                          <w:szCs w:val="16"/>
                        </w:rPr>
                        <w:t>日公司</w:t>
                      </w:r>
                      <w:r>
                        <w:rPr>
                          <w:rFonts w:ascii="宋体" w:hAnsi="宋体" w:cs="宋体" w:eastAsia="宋体" w:hint="default"/>
                          <w:spacing w:val="-33"/>
                          <w:sz w:val="16"/>
                          <w:szCs w:val="16"/>
                        </w:rPr>
                        <w:t> </w:t>
                      </w:r>
                      <w:r>
                        <w:rPr>
                          <w:rFonts w:ascii="宋体" w:hAnsi="宋体" w:cs="宋体" w:eastAsia="宋体" w:hint="default"/>
                          <w:sz w:val="16"/>
                          <w:szCs w:val="16"/>
                        </w:rPr>
                        <w:t>召</w:t>
                      </w:r>
                      <w:r>
                        <w:rPr>
                          <w:rFonts w:ascii="宋体" w:hAnsi="宋体" w:cs="宋体" w:eastAsia="宋体" w:hint="default"/>
                          <w:w w:val="99"/>
                          <w:sz w:val="16"/>
                          <w:szCs w:val="16"/>
                        </w:rPr>
                        <w:t> </w:t>
                      </w:r>
                      <w:r>
                        <w:rPr>
                          <w:rFonts w:ascii="宋体" w:hAnsi="宋体" w:cs="宋体" w:eastAsia="宋体" w:hint="default"/>
                          <w:sz w:val="16"/>
                          <w:szCs w:val="16"/>
                        </w:rPr>
                        <w:t>开第七届董事</w:t>
                      </w:r>
                      <w:r>
                        <w:rPr>
                          <w:rFonts w:ascii="宋体" w:hAnsi="宋体" w:cs="宋体" w:eastAsia="宋体" w:hint="default"/>
                          <w:spacing w:val="-71"/>
                          <w:sz w:val="16"/>
                          <w:szCs w:val="16"/>
                        </w:rPr>
                        <w:t> </w:t>
                      </w:r>
                      <w:r>
                        <w:rPr>
                          <w:rFonts w:ascii="宋体" w:hAnsi="宋体" w:cs="宋体" w:eastAsia="宋体" w:hint="default"/>
                          <w:spacing w:val="-71"/>
                          <w:sz w:val="16"/>
                          <w:szCs w:val="16"/>
                        </w:rPr>
                      </w:r>
                      <w:r>
                        <w:rPr>
                          <w:rFonts w:ascii="宋体" w:hAnsi="宋体" w:cs="宋体" w:eastAsia="宋体" w:hint="default"/>
                          <w:spacing w:val="32"/>
                          <w:sz w:val="16"/>
                          <w:szCs w:val="16"/>
                        </w:rPr>
                        <w:t>会第九次</w:t>
                      </w:r>
                      <w:r>
                        <w:rPr>
                          <w:rFonts w:ascii="宋体" w:hAnsi="宋体" w:cs="宋体" w:eastAsia="宋体" w:hint="default"/>
                          <w:spacing w:val="-38"/>
                          <w:sz w:val="16"/>
                          <w:szCs w:val="16"/>
                        </w:rPr>
                        <w:t> </w:t>
                      </w:r>
                      <w:r>
                        <w:rPr>
                          <w:rFonts w:ascii="宋体" w:hAnsi="宋体" w:cs="宋体" w:eastAsia="宋体" w:hint="default"/>
                          <w:sz w:val="16"/>
                          <w:szCs w:val="16"/>
                        </w:rPr>
                        <w:t>会</w:t>
                      </w:r>
                      <w:r>
                        <w:rPr>
                          <w:rFonts w:ascii="宋体" w:hAnsi="宋体" w:cs="宋体" w:eastAsia="宋体" w:hint="default"/>
                          <w:w w:val="99"/>
                          <w:sz w:val="16"/>
                          <w:szCs w:val="16"/>
                        </w:rPr>
                        <w:t> </w:t>
                      </w:r>
                      <w:r>
                        <w:rPr>
                          <w:rFonts w:ascii="宋体" w:hAnsi="宋体" w:cs="宋体" w:eastAsia="宋体" w:hint="default"/>
                          <w:sz w:val="16"/>
                          <w:szCs w:val="16"/>
                        </w:rPr>
                        <w:t>议、第七届监</w:t>
                      </w:r>
                      <w:r>
                        <w:rPr>
                          <w:rFonts w:ascii="宋体" w:hAnsi="宋体" w:cs="宋体" w:eastAsia="宋体" w:hint="default"/>
                          <w:spacing w:val="-71"/>
                          <w:sz w:val="16"/>
                          <w:szCs w:val="16"/>
                        </w:rPr>
                        <w:t> </w:t>
                      </w:r>
                      <w:r>
                        <w:rPr>
                          <w:rFonts w:ascii="宋体" w:hAnsi="宋体" w:cs="宋体" w:eastAsia="宋体" w:hint="default"/>
                          <w:spacing w:val="-71"/>
                          <w:sz w:val="16"/>
                          <w:szCs w:val="16"/>
                        </w:rPr>
                      </w:r>
                      <w:r>
                        <w:rPr>
                          <w:rFonts w:ascii="宋体" w:hAnsi="宋体" w:cs="宋体" w:eastAsia="宋体" w:hint="default"/>
                          <w:sz w:val="16"/>
                          <w:szCs w:val="16"/>
                        </w:rPr>
                        <w:t>事会第五次会</w:t>
                      </w:r>
                      <w:r>
                        <w:rPr>
                          <w:rFonts w:ascii="宋体" w:hAnsi="宋体" w:cs="宋体" w:eastAsia="宋体" w:hint="default"/>
                          <w:spacing w:val="-71"/>
                          <w:sz w:val="16"/>
                          <w:szCs w:val="16"/>
                        </w:rPr>
                        <w:t> </w:t>
                      </w:r>
                      <w:r>
                        <w:rPr>
                          <w:rFonts w:ascii="宋体" w:hAnsi="宋体" w:cs="宋体" w:eastAsia="宋体" w:hint="default"/>
                          <w:spacing w:val="-71"/>
                          <w:sz w:val="16"/>
                          <w:szCs w:val="16"/>
                        </w:rPr>
                      </w:r>
                      <w:r>
                        <w:rPr>
                          <w:rFonts w:ascii="宋体" w:hAnsi="宋体" w:cs="宋体" w:eastAsia="宋体" w:hint="default"/>
                          <w:sz w:val="16"/>
                          <w:szCs w:val="16"/>
                        </w:rPr>
                        <w:t>议审议通过</w:t>
                      </w:r>
                    </w:p>
                  </w:txbxContent>
                </v:textbox>
                <w10:wrap type="none"/>
              </v:shape>
              <v:shape style="position:absolute;left:127;top:4852;width:3906;height:1264" type="#_x0000_t202" filled="false" stroked="false">
                <v:textbox inset="0,0,0,0">
                  <w:txbxContent>
                    <w:p>
                      <w:pPr>
                        <w:spacing w:line="165" w:lineRule="exact" w:before="0"/>
                        <w:ind w:left="0" w:right="0" w:firstLine="0"/>
                        <w:jc w:val="both"/>
                        <w:rPr>
                          <w:rFonts w:ascii="宋体" w:hAnsi="宋体" w:cs="宋体" w:eastAsia="宋体" w:hint="default"/>
                          <w:sz w:val="16"/>
                          <w:szCs w:val="16"/>
                        </w:rPr>
                      </w:pPr>
                      <w:r>
                        <w:rPr>
                          <w:rFonts w:ascii="宋体" w:hAnsi="宋体" w:cs="宋体" w:eastAsia="宋体" w:hint="default"/>
                          <w:spacing w:val="-1"/>
                          <w:sz w:val="16"/>
                          <w:szCs w:val="16"/>
                        </w:rPr>
                        <w:t>（</w:t>
                      </w:r>
                      <w:r>
                        <w:rPr>
                          <w:rFonts w:ascii="Times New Roman" w:hAnsi="Times New Roman" w:cs="Times New Roman" w:eastAsia="Times New Roman" w:hint="default"/>
                          <w:spacing w:val="-1"/>
                          <w:sz w:val="16"/>
                          <w:szCs w:val="16"/>
                        </w:rPr>
                        <w:t>2</w:t>
                      </w:r>
                      <w:r>
                        <w:rPr>
                          <w:rFonts w:ascii="宋体" w:hAnsi="宋体" w:cs="宋体" w:eastAsia="宋体" w:hint="default"/>
                          <w:spacing w:val="-1"/>
                          <w:sz w:val="16"/>
                          <w:szCs w:val="16"/>
                        </w:rPr>
                        <w:t>）在利润表中新增“研发费用”项目，将原“管理费</w:t>
                      </w:r>
                    </w:p>
                    <w:p>
                      <w:pPr>
                        <w:spacing w:line="208" w:lineRule="exact" w:before="13"/>
                        <w:ind w:left="0" w:right="1" w:firstLine="0"/>
                        <w:jc w:val="both"/>
                        <w:rPr>
                          <w:rFonts w:ascii="宋体" w:hAnsi="宋体" w:cs="宋体" w:eastAsia="宋体" w:hint="default"/>
                          <w:sz w:val="16"/>
                          <w:szCs w:val="16"/>
                        </w:rPr>
                      </w:pPr>
                      <w:r>
                        <w:rPr>
                          <w:rFonts w:ascii="宋体" w:hAnsi="宋体" w:cs="宋体" w:eastAsia="宋体" w:hint="default"/>
                          <w:spacing w:val="2"/>
                          <w:sz w:val="16"/>
                          <w:szCs w:val="16"/>
                        </w:rPr>
                        <w:t>用”中的研发费用重分类至“研发费用”单独列示；在</w:t>
                      </w:r>
                      <w:r>
                        <w:rPr>
                          <w:rFonts w:ascii="宋体" w:hAnsi="宋体" w:cs="宋体" w:eastAsia="宋体" w:hint="default"/>
                          <w:spacing w:val="-76"/>
                          <w:sz w:val="16"/>
                          <w:szCs w:val="16"/>
                        </w:rPr>
                        <w:t> </w:t>
                      </w:r>
                      <w:r>
                        <w:rPr>
                          <w:rFonts w:ascii="宋体" w:hAnsi="宋体" w:cs="宋体" w:eastAsia="宋体" w:hint="default"/>
                          <w:spacing w:val="-76"/>
                          <w:sz w:val="16"/>
                          <w:szCs w:val="16"/>
                        </w:rPr>
                      </w:r>
                      <w:r>
                        <w:rPr>
                          <w:rFonts w:ascii="宋体" w:hAnsi="宋体" w:cs="宋体" w:eastAsia="宋体" w:hint="default"/>
                          <w:spacing w:val="2"/>
                          <w:sz w:val="16"/>
                          <w:szCs w:val="16"/>
                        </w:rPr>
                        <w:t>利润表中财务费用项下新增“其中：利息费用”和“利</w:t>
                      </w:r>
                      <w:r>
                        <w:rPr>
                          <w:rFonts w:ascii="宋体" w:hAnsi="宋体" w:cs="宋体" w:eastAsia="宋体" w:hint="default"/>
                          <w:spacing w:val="-76"/>
                          <w:sz w:val="16"/>
                          <w:szCs w:val="16"/>
                        </w:rPr>
                        <w:t> </w:t>
                      </w:r>
                      <w:r>
                        <w:rPr>
                          <w:rFonts w:ascii="宋体" w:hAnsi="宋体" w:cs="宋体" w:eastAsia="宋体" w:hint="default"/>
                          <w:spacing w:val="-76"/>
                          <w:sz w:val="16"/>
                          <w:szCs w:val="16"/>
                        </w:rPr>
                      </w:r>
                      <w:r>
                        <w:rPr>
                          <w:rFonts w:ascii="宋体" w:hAnsi="宋体" w:cs="宋体" w:eastAsia="宋体" w:hint="default"/>
                          <w:sz w:val="16"/>
                          <w:szCs w:val="16"/>
                        </w:rPr>
                        <w:t>息收入”项目。比较数据相应调整。</w:t>
                      </w:r>
                    </w:p>
                    <w:p>
                      <w:pPr>
                        <w:spacing w:line="208" w:lineRule="exact" w:before="65"/>
                        <w:ind w:left="0" w:right="0" w:firstLine="0"/>
                        <w:jc w:val="both"/>
                        <w:rPr>
                          <w:rFonts w:ascii="宋体" w:hAnsi="宋体" w:cs="宋体" w:eastAsia="宋体" w:hint="default"/>
                          <w:sz w:val="16"/>
                          <w:szCs w:val="16"/>
                        </w:rPr>
                      </w:pPr>
                      <w:r>
                        <w:rPr>
                          <w:rFonts w:ascii="宋体" w:hAnsi="宋体" w:cs="宋体" w:eastAsia="宋体" w:hint="default"/>
                          <w:spacing w:val="-1"/>
                          <w:sz w:val="16"/>
                          <w:szCs w:val="16"/>
                        </w:rPr>
                        <w:t>（</w:t>
                      </w:r>
                      <w:r>
                        <w:rPr>
                          <w:rFonts w:ascii="Times New Roman" w:hAnsi="Times New Roman" w:cs="Times New Roman" w:eastAsia="Times New Roman" w:hint="default"/>
                          <w:spacing w:val="-1"/>
                          <w:sz w:val="16"/>
                          <w:szCs w:val="16"/>
                        </w:rPr>
                        <w:t>3</w:t>
                      </w:r>
                      <w:r>
                        <w:rPr>
                          <w:rFonts w:ascii="宋体" w:hAnsi="宋体" w:cs="宋体" w:eastAsia="宋体" w:hint="default"/>
                          <w:spacing w:val="-1"/>
                          <w:sz w:val="16"/>
                          <w:szCs w:val="16"/>
                        </w:rPr>
                        <w:t>）所有者权益变动表中新增“设定受益计划变动额结</w:t>
                      </w:r>
                      <w:r>
                        <w:rPr>
                          <w:rFonts w:ascii="宋体" w:hAnsi="宋体" w:cs="宋体" w:eastAsia="宋体" w:hint="default"/>
                          <w:spacing w:val="-71"/>
                          <w:sz w:val="16"/>
                          <w:szCs w:val="16"/>
                        </w:rPr>
                        <w:t> </w:t>
                      </w:r>
                      <w:r>
                        <w:rPr>
                          <w:rFonts w:ascii="宋体" w:hAnsi="宋体" w:cs="宋体" w:eastAsia="宋体" w:hint="default"/>
                          <w:spacing w:val="-71"/>
                          <w:sz w:val="16"/>
                          <w:szCs w:val="16"/>
                        </w:rPr>
                      </w:r>
                      <w:r>
                        <w:rPr>
                          <w:rFonts w:ascii="宋体" w:hAnsi="宋体" w:cs="宋体" w:eastAsia="宋体" w:hint="default"/>
                          <w:sz w:val="16"/>
                          <w:szCs w:val="16"/>
                        </w:rPr>
                        <w:t>转留存收益”项目。比较数据相应调整。</w:t>
                      </w:r>
                    </w:p>
                  </w:txbxContent>
                </v:textbox>
                <w10:wrap type="none"/>
              </v:shape>
              <v:shape style="position:absolute;left:5438;top:5852;width:1758;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本报告期本公司无影响。</w:t>
                      </w:r>
                      <w:r>
                        <w:rPr>
                          <w:rFonts w:ascii="宋体" w:hAnsi="宋体" w:cs="宋体" w:eastAsia="宋体" w:hint="default"/>
                          <w:sz w:val="16"/>
                          <w:szCs w:val="16"/>
                        </w:rPr>
                      </w:r>
                    </w:p>
                  </w:txbxContent>
                </v:textbox>
                <w10:wrap type="none"/>
              </v:shape>
            </v:group>
          </v:group>
        </w:pict>
      </w:r>
      <w:r>
        <w:rPr>
          <w:rFonts w:ascii="宋体" w:hAnsi="宋体" w:cs="宋体" w:eastAsia="宋体" w:hint="default"/>
          <w:position w:val="-123"/>
          <w:sz w:val="20"/>
          <w:szCs w:val="20"/>
        </w:rPr>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4"/>
          <w:szCs w:val="14"/>
        </w:rPr>
      </w:pPr>
    </w:p>
    <w:p>
      <w:pPr>
        <w:pStyle w:val="Heading5"/>
        <w:tabs>
          <w:tab w:pos="3057" w:val="left" w:leader="none"/>
        </w:tabs>
        <w:spacing w:line="240" w:lineRule="auto"/>
        <w:ind w:left="2506" w:right="1813"/>
        <w:jc w:val="left"/>
        <w:rPr>
          <w:b w:val="0"/>
          <w:bCs w:val="0"/>
        </w:rPr>
      </w:pPr>
      <w:r>
        <w:rPr>
          <w:rFonts w:ascii="Times New Roman" w:hAnsi="Times New Roman" w:cs="Times New Roman" w:eastAsia="Times New Roman" w:hint="default"/>
          <w:w w:val="95"/>
        </w:rPr>
        <w:t>2</w:t>
      </w:r>
      <w:r>
        <w:rPr>
          <w:w w:val="95"/>
        </w:rPr>
        <w:t>、</w:t>
        <w:tab/>
      </w:r>
      <w:r>
        <w:rPr/>
        <w:t>重要会计估计变更</w:t>
      </w:r>
      <w:r>
        <w:rPr>
          <w:b w:val="0"/>
          <w:bCs w:val="0"/>
        </w:rPr>
      </w:r>
    </w:p>
    <w:p>
      <w:pPr>
        <w:spacing w:after="0" w:line="240" w:lineRule="auto"/>
        <w:jc w:val="left"/>
        <w:sectPr>
          <w:pgSz w:w="11910" w:h="16840"/>
          <w:pgMar w:header="1302" w:footer="1001" w:top="1520" w:bottom="1200" w:left="0" w:right="0"/>
        </w:sectPr>
      </w:pPr>
    </w:p>
    <w:p>
      <w:pPr>
        <w:spacing w:line="240" w:lineRule="auto" w:before="8"/>
        <w:rPr>
          <w:rFonts w:ascii="宋体" w:hAnsi="宋体" w:cs="宋体" w:eastAsia="宋体" w:hint="default"/>
          <w:b/>
          <w:bCs/>
          <w:sz w:val="13"/>
          <w:szCs w:val="13"/>
        </w:rPr>
      </w:pPr>
    </w:p>
    <w:p>
      <w:pPr>
        <w:pStyle w:val="BodyText"/>
        <w:spacing w:line="240" w:lineRule="auto" w:before="35"/>
        <w:ind w:right="3681"/>
        <w:jc w:val="left"/>
      </w:pPr>
      <w:r>
        <w:rPr/>
        <w:t>本报告期公司无重要会计估计变更。</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pStyle w:val="Heading5"/>
        <w:tabs>
          <w:tab w:pos="851" w:val="left" w:leader="none"/>
        </w:tabs>
        <w:spacing w:line="240" w:lineRule="auto" w:before="0"/>
        <w:ind w:right="3681"/>
        <w:jc w:val="left"/>
        <w:rPr>
          <w:b w:val="0"/>
          <w:bCs w:val="0"/>
        </w:rPr>
      </w:pPr>
      <w:r>
        <w:rPr>
          <w:w w:val="95"/>
        </w:rPr>
        <w:t>四、</w:t>
        <w:tab/>
      </w:r>
      <w:r>
        <w:rPr/>
        <w:t>税项</w:t>
      </w:r>
      <w:r>
        <w:rPr>
          <w:b w:val="0"/>
          <w:bCs w:val="0"/>
        </w:rPr>
      </w:r>
    </w:p>
    <w:p>
      <w:pPr>
        <w:pStyle w:val="Heading5"/>
        <w:tabs>
          <w:tab w:pos="851" w:val="left" w:leader="none"/>
        </w:tabs>
        <w:spacing w:line="240" w:lineRule="auto" w:before="125"/>
        <w:ind w:right="3681"/>
        <w:jc w:val="left"/>
        <w:rPr>
          <w:b w:val="0"/>
          <w:bCs w:val="0"/>
        </w:rPr>
      </w:pPr>
      <w:r>
        <w:rPr>
          <w:rFonts w:ascii="Times New Roman" w:hAnsi="Times New Roman" w:cs="Times New Roman" w:eastAsia="Times New Roman" w:hint="default"/>
          <w:w w:val="95"/>
        </w:rPr>
        <w:t>(</w:t>
      </w:r>
      <w:r>
        <w:rPr>
          <w:w w:val="95"/>
        </w:rPr>
        <w:t>一</w:t>
      </w:r>
      <w:r>
        <w:rPr>
          <w:rFonts w:ascii="Times New Roman" w:hAnsi="Times New Roman" w:cs="Times New Roman" w:eastAsia="Times New Roman" w:hint="default"/>
          <w:w w:val="95"/>
        </w:rPr>
        <w:t>)</w:t>
        <w:tab/>
      </w:r>
      <w:r>
        <w:rPr/>
        <w:t>主要税种和税率</w:t>
      </w:r>
      <w:r>
        <w:rPr>
          <w:b w:val="0"/>
          <w:bCs w:val="0"/>
        </w:rPr>
      </w:r>
    </w:p>
    <w:p>
      <w:pPr>
        <w:spacing w:line="2134" w:lineRule="exact"/>
        <w:ind w:left="720" w:right="0" w:firstLine="0"/>
        <w:rPr>
          <w:rFonts w:ascii="宋体" w:hAnsi="宋体" w:cs="宋体" w:eastAsia="宋体" w:hint="default"/>
          <w:sz w:val="20"/>
          <w:szCs w:val="20"/>
        </w:rPr>
      </w:pPr>
      <w:r>
        <w:rPr>
          <w:rFonts w:ascii="宋体" w:hAnsi="宋体" w:cs="宋体" w:eastAsia="宋体" w:hint="default"/>
          <w:position w:val="-42"/>
          <w:sz w:val="20"/>
          <w:szCs w:val="20"/>
        </w:rPr>
        <w:pict>
          <v:group style="width:411.85pt;height:106.75pt;mso-position-horizontal-relative:char;mso-position-vertical-relative:line" coordorigin="0,0" coordsize="8237,2135">
            <v:group style="position:absolute;left:29;top:15;width:1589;height:2" coordorigin="29,15" coordsize="1589,2">
              <v:shape style="position:absolute;left:29;top:15;width:1589;height:2" coordorigin="29,15" coordsize="1589,0" path="m29,15l1618,15e" filled="false" stroked="true" strokeweight="1.5pt" strokecolor="#000000">
                <v:path arrowok="t"/>
              </v:shape>
              <v:shape style="position:absolute;left:1618;top:30;width:10;height:28" type="#_x0000_t75" stroked="false">
                <v:imagedata r:id="rId45" o:title=""/>
              </v:shape>
            </v:group>
            <v:group style="position:absolute;left:1618;top:15;width:3863;height:2" coordorigin="1618,15" coordsize="3863,2">
              <v:shape style="position:absolute;left:1618;top:15;width:3863;height:2" coordorigin="1618,15" coordsize="3863,0" path="m1618,15l5481,15e" filled="false" stroked="true" strokeweight="1.5pt" strokecolor="#000000">
                <v:path arrowok="t"/>
              </v:shape>
              <v:shape style="position:absolute;left:5481;top:30;width:10;height:28" type="#_x0000_t75" stroked="false">
                <v:imagedata r:id="rId45" o:title=""/>
              </v:shape>
            </v:group>
            <v:group style="position:absolute;left:5481;top:15;width:2736;height:2" coordorigin="5481,15" coordsize="2736,2">
              <v:shape style="position:absolute;left:5481;top:15;width:2736;height:2" coordorigin="5481,15" coordsize="2736,0" path="m5481,15l8217,15e" filled="false" stroked="true" strokeweight="1.5pt" strokecolor="#000000">
                <v:path arrowok="t"/>
              </v:shape>
              <v:shape style="position:absolute;left:1599;top:38;width:3911;height:349" type="#_x0000_t75" stroked="false">
                <v:imagedata r:id="rId48" o:title=""/>
              </v:shape>
            </v:group>
            <v:group style="position:absolute;left:15;top:2120;width:1604;height:2" coordorigin="15,2120" coordsize="1604,2">
              <v:shape style="position:absolute;left:15;top:2120;width:1604;height:2" coordorigin="15,2120" coordsize="1604,0" path="m15,2120l1618,2120e" filled="false" stroked="true" strokeweight="1.5pt" strokecolor="#000000">
                <v:path arrowok="t"/>
              </v:shape>
            </v:group>
            <v:group style="position:absolute;left:1618;top:2120;width:3863;height:2" coordorigin="1618,2120" coordsize="3863,2">
              <v:shape style="position:absolute;left:1618;top:2120;width:3863;height:2" coordorigin="1618,2120" coordsize="3863,0" path="m1618,2120l5481,2120e" filled="false" stroked="true" strokeweight="1.5pt" strokecolor="#000000">
                <v:path arrowok="t"/>
              </v:shape>
              <v:shape style="position:absolute;left:10;top:352;width:8226;height:1753" type="#_x0000_t75" stroked="false">
                <v:imagedata r:id="rId49" o:title=""/>
              </v:shape>
            </v:group>
            <v:group style="position:absolute;left:5481;top:2120;width:2736;height:2" coordorigin="5481,2120" coordsize="2736,2">
              <v:shape style="position:absolute;left:5481;top:2120;width:2736;height:2" coordorigin="5481,2120" coordsize="2736,0" path="m5481,2120l8217,2120e" filled="false" stroked="true" strokeweight="1.5pt" strokecolor="#000000">
                <v:path arrowok="t"/>
              </v:shape>
              <v:shape style="position:absolute;left:667;top:118;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税种</w:t>
                      </w:r>
                      <w:r>
                        <w:rPr>
                          <w:rFonts w:ascii="宋体" w:hAnsi="宋体" w:cs="宋体" w:eastAsia="宋体" w:hint="default"/>
                          <w:sz w:val="16"/>
                          <w:szCs w:val="16"/>
                        </w:rPr>
                      </w:r>
                    </w:p>
                  </w:txbxContent>
                </v:textbox>
                <w10:wrap type="none"/>
              </v:shape>
              <v:shape style="position:absolute;left:1730;top:118;width:3678;height:1197" type="#_x0000_t202" filled="false" stroked="false">
                <v:textbox inset="0,0,0,0">
                  <w:txbxContent>
                    <w:p>
                      <w:pPr>
                        <w:spacing w:line="160" w:lineRule="exact" w:before="0"/>
                        <w:ind w:left="2" w:right="0" w:firstLine="1502"/>
                        <w:jc w:val="left"/>
                        <w:rPr>
                          <w:rFonts w:ascii="宋体" w:hAnsi="宋体" w:cs="宋体" w:eastAsia="宋体" w:hint="default"/>
                          <w:sz w:val="16"/>
                          <w:szCs w:val="16"/>
                        </w:rPr>
                      </w:pPr>
                      <w:r>
                        <w:rPr>
                          <w:rFonts w:ascii="宋体" w:hAnsi="宋体" w:cs="宋体" w:eastAsia="宋体" w:hint="default"/>
                          <w:sz w:val="16"/>
                          <w:szCs w:val="16"/>
                        </w:rPr>
                        <w:t>计税依据</w:t>
                      </w:r>
                    </w:p>
                    <w:p>
                      <w:pPr>
                        <w:spacing w:before="101"/>
                        <w:ind w:left="0" w:right="0" w:firstLine="2"/>
                        <w:jc w:val="both"/>
                        <w:rPr>
                          <w:rFonts w:ascii="宋体" w:hAnsi="宋体" w:cs="宋体" w:eastAsia="宋体" w:hint="default"/>
                          <w:sz w:val="16"/>
                          <w:szCs w:val="16"/>
                        </w:rPr>
                      </w:pPr>
                      <w:r>
                        <w:rPr>
                          <w:rFonts w:ascii="宋体" w:hAnsi="宋体" w:cs="宋体" w:eastAsia="宋体" w:hint="default"/>
                          <w:spacing w:val="6"/>
                          <w:sz w:val="16"/>
                          <w:szCs w:val="16"/>
                        </w:rPr>
                        <w:t>按税法规定计算的销售货物和应税劳务收入为基础</w:t>
                      </w:r>
                      <w:r>
                        <w:rPr>
                          <w:rFonts w:ascii="宋体" w:hAnsi="宋体" w:cs="宋体" w:eastAsia="宋体" w:hint="default"/>
                          <w:w w:val="99"/>
                          <w:sz w:val="16"/>
                          <w:szCs w:val="16"/>
                        </w:rPr>
                        <w:t> </w:t>
                      </w:r>
                      <w:r>
                        <w:rPr>
                          <w:rFonts w:ascii="宋体" w:hAnsi="宋体" w:cs="宋体" w:eastAsia="宋体" w:hint="default"/>
                          <w:w w:val="95"/>
                          <w:sz w:val="16"/>
                          <w:szCs w:val="16"/>
                        </w:rPr>
                        <w:t>计算销项税额，在扣除当期允许抵扣的进项税额后，</w:t>
                      </w:r>
                      <w:r>
                        <w:rPr>
                          <w:rFonts w:ascii="宋体" w:hAnsi="宋体" w:cs="宋体" w:eastAsia="宋体" w:hint="default"/>
                          <w:spacing w:val="28"/>
                          <w:w w:val="95"/>
                          <w:sz w:val="16"/>
                          <w:szCs w:val="16"/>
                        </w:rPr>
                        <w:t> </w:t>
                      </w:r>
                      <w:r>
                        <w:rPr>
                          <w:rFonts w:ascii="宋体" w:hAnsi="宋体" w:cs="宋体" w:eastAsia="宋体" w:hint="default"/>
                          <w:spacing w:val="28"/>
                          <w:w w:val="95"/>
                          <w:sz w:val="16"/>
                          <w:szCs w:val="16"/>
                        </w:rPr>
                      </w:r>
                      <w:r>
                        <w:rPr>
                          <w:rFonts w:ascii="宋体" w:hAnsi="宋体" w:cs="宋体" w:eastAsia="宋体" w:hint="default"/>
                          <w:sz w:val="16"/>
                          <w:szCs w:val="16"/>
                        </w:rPr>
                        <w:t>差额部分为应交增值税</w:t>
                      </w:r>
                    </w:p>
                    <w:p>
                      <w:pPr>
                        <w:spacing w:before="101"/>
                        <w:ind w:left="2" w:right="0" w:firstLine="0"/>
                        <w:jc w:val="both"/>
                        <w:rPr>
                          <w:rFonts w:ascii="宋体" w:hAnsi="宋体" w:cs="宋体" w:eastAsia="宋体" w:hint="default"/>
                          <w:sz w:val="16"/>
                          <w:szCs w:val="16"/>
                        </w:rPr>
                      </w:pPr>
                      <w:r>
                        <w:rPr>
                          <w:rFonts w:ascii="宋体" w:hAnsi="宋体" w:cs="宋体" w:eastAsia="宋体" w:hint="default"/>
                          <w:sz w:val="16"/>
                          <w:szCs w:val="16"/>
                        </w:rPr>
                        <w:t>按应税销售收入计缴</w:t>
                      </w:r>
                    </w:p>
                  </w:txbxContent>
                </v:textbox>
                <w10:wrap type="none"/>
              </v:shape>
              <v:shape style="position:absolute;left:6465;top:118;width:772;height:169" type="#_x0000_t202" filled="false" stroked="false">
                <v:textbox inset="0,0,0,0">
                  <w:txbxContent>
                    <w:p>
                      <w:pPr>
                        <w:spacing w:line="168"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税率（</w:t>
                      </w:r>
                      <w:r>
                        <w:rPr>
                          <w:rFonts w:ascii="Times New Roman" w:hAnsi="Times New Roman" w:cs="Times New Roman" w:eastAsia="Times New Roman" w:hint="default"/>
                          <w:w w:val="95"/>
                          <w:sz w:val="16"/>
                          <w:szCs w:val="16"/>
                        </w:rPr>
                        <w:t>%</w:t>
                      </w:r>
                      <w:r>
                        <w:rPr>
                          <w:rFonts w:ascii="宋体" w:hAnsi="宋体" w:cs="宋体" w:eastAsia="宋体" w:hint="default"/>
                          <w:w w:val="95"/>
                          <w:sz w:val="16"/>
                          <w:szCs w:val="16"/>
                        </w:rPr>
                        <w:t>）</w:t>
                      </w:r>
                      <w:r>
                        <w:rPr>
                          <w:rFonts w:ascii="宋体" w:hAnsi="宋体" w:cs="宋体" w:eastAsia="宋体" w:hint="default"/>
                          <w:sz w:val="16"/>
                          <w:szCs w:val="16"/>
                        </w:rPr>
                      </w:r>
                    </w:p>
                  </w:txbxContent>
                </v:textbox>
                <w10:wrap type="none"/>
              </v:shape>
              <v:shape style="position:absolute;left:140;top:637;width:4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增值税</w:t>
                      </w:r>
                      <w:r>
                        <w:rPr>
                          <w:rFonts w:ascii="宋体" w:hAnsi="宋体" w:cs="宋体" w:eastAsia="宋体" w:hint="default"/>
                          <w:sz w:val="16"/>
                          <w:szCs w:val="16"/>
                        </w:rPr>
                      </w:r>
                    </w:p>
                  </w:txbxContent>
                </v:textbox>
                <w10:wrap type="none"/>
              </v:shape>
              <v:shape style="position:absolute;left:5908;top:637;width:2202;height:169" type="#_x0000_t202" filled="false" stroked="false">
                <v:textbox inset="0,0,0,0">
                  <w:txbxContent>
                    <w:p>
                      <w:pPr>
                        <w:spacing w:line="168" w:lineRule="exact" w:before="0"/>
                        <w:ind w:left="0" w:right="0" w:firstLine="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w w:val="95"/>
                          <w:sz w:val="16"/>
                          <w:szCs w:val="16"/>
                        </w:rPr>
                        <w:t>17.00</w:t>
                      </w:r>
                      <w:r>
                        <w:rPr>
                          <w:rFonts w:ascii="宋体" w:hAnsi="宋体" w:cs="宋体" w:eastAsia="宋体" w:hint="default"/>
                          <w:w w:val="95"/>
                          <w:sz w:val="16"/>
                          <w:szCs w:val="16"/>
                        </w:rPr>
                        <w:t>、</w:t>
                      </w:r>
                      <w:r>
                        <w:rPr>
                          <w:rFonts w:ascii="Times New Roman" w:hAnsi="Times New Roman" w:cs="Times New Roman" w:eastAsia="Times New Roman" w:hint="default"/>
                          <w:w w:val="95"/>
                          <w:sz w:val="16"/>
                          <w:szCs w:val="16"/>
                        </w:rPr>
                        <w:t>16.00</w:t>
                      </w:r>
                      <w:r>
                        <w:rPr>
                          <w:rFonts w:ascii="宋体" w:hAnsi="宋体" w:cs="宋体" w:eastAsia="宋体" w:hint="default"/>
                          <w:w w:val="95"/>
                          <w:sz w:val="16"/>
                          <w:szCs w:val="16"/>
                        </w:rPr>
                        <w:t>、</w:t>
                      </w:r>
                      <w:r>
                        <w:rPr>
                          <w:rFonts w:ascii="Times New Roman" w:hAnsi="Times New Roman" w:cs="Times New Roman" w:eastAsia="Times New Roman" w:hint="default"/>
                          <w:w w:val="95"/>
                          <w:sz w:val="16"/>
                          <w:szCs w:val="16"/>
                        </w:rPr>
                        <w:t>6.00</w:t>
                      </w:r>
                      <w:r>
                        <w:rPr>
                          <w:rFonts w:ascii="宋体" w:hAnsi="宋体" w:cs="宋体" w:eastAsia="宋体" w:hint="default"/>
                          <w:w w:val="95"/>
                          <w:sz w:val="16"/>
                          <w:szCs w:val="16"/>
                        </w:rPr>
                        <w:t>、</w:t>
                      </w:r>
                      <w:r>
                        <w:rPr>
                          <w:rFonts w:ascii="Times New Roman" w:hAnsi="Times New Roman" w:cs="Times New Roman" w:eastAsia="Times New Roman" w:hint="default"/>
                          <w:w w:val="95"/>
                          <w:sz w:val="16"/>
                          <w:szCs w:val="16"/>
                        </w:rPr>
                        <w:t>5.00</w:t>
                      </w:r>
                      <w:r>
                        <w:rPr>
                          <w:rFonts w:ascii="宋体" w:hAnsi="宋体" w:cs="宋体" w:eastAsia="宋体" w:hint="default"/>
                          <w:w w:val="95"/>
                          <w:sz w:val="16"/>
                          <w:szCs w:val="16"/>
                        </w:rPr>
                        <w:t>、</w:t>
                      </w:r>
                      <w:r>
                        <w:rPr>
                          <w:rFonts w:ascii="Times New Roman" w:hAnsi="Times New Roman" w:cs="Times New Roman" w:eastAsia="Times New Roman" w:hint="default"/>
                          <w:w w:val="95"/>
                          <w:sz w:val="16"/>
                          <w:szCs w:val="16"/>
                        </w:rPr>
                        <w:t>3.00</w:t>
                      </w:r>
                      <w:r>
                        <w:rPr>
                          <w:rFonts w:ascii="Times New Roman" w:hAnsi="Times New Roman" w:cs="Times New Roman" w:eastAsia="Times New Roman" w:hint="default"/>
                          <w:sz w:val="16"/>
                          <w:szCs w:val="16"/>
                        </w:rPr>
                      </w:r>
                    </w:p>
                  </w:txbxContent>
                </v:textbox>
                <w10:wrap type="none"/>
              </v:shape>
              <v:shape style="position:absolute;left:140;top:1155;width:4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消费税</w:t>
                      </w:r>
                      <w:r>
                        <w:rPr>
                          <w:rFonts w:ascii="宋体" w:hAnsi="宋体" w:cs="宋体" w:eastAsia="宋体" w:hint="default"/>
                          <w:sz w:val="16"/>
                          <w:szCs w:val="16"/>
                        </w:rPr>
                      </w:r>
                    </w:p>
                  </w:txbxContent>
                </v:textbox>
                <w10:wrap type="none"/>
              </v:shape>
              <v:shape style="position:absolute;left:7829;top:1169;width:28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z w:val="16"/>
                        </w:rPr>
                        <w:t>4.00</w:t>
                      </w:r>
                    </w:p>
                  </w:txbxContent>
                </v:textbox>
                <w10:wrap type="none"/>
              </v:shape>
              <v:shape style="position:absolute;left:140;top:1504;width:111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城市维护建设税</w:t>
                      </w:r>
                      <w:r>
                        <w:rPr>
                          <w:rFonts w:ascii="宋体" w:hAnsi="宋体" w:cs="宋体" w:eastAsia="宋体" w:hint="default"/>
                          <w:sz w:val="16"/>
                          <w:szCs w:val="16"/>
                        </w:rPr>
                      </w:r>
                    </w:p>
                  </w:txbxContent>
                </v:textbox>
                <w10:wrap type="none"/>
              </v:shape>
              <v:shape style="position:absolute;left:1732;top:1504;width:239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按实际缴纳的增值税及消费税计缴</w:t>
                      </w:r>
                      <w:r>
                        <w:rPr>
                          <w:rFonts w:ascii="宋体" w:hAnsi="宋体" w:cs="宋体" w:eastAsia="宋体" w:hint="default"/>
                          <w:sz w:val="16"/>
                          <w:szCs w:val="16"/>
                        </w:rPr>
                      </w:r>
                    </w:p>
                  </w:txbxContent>
                </v:textbox>
                <w10:wrap type="none"/>
              </v:shape>
              <v:shape style="position:absolute;left:7389;top:1504;width:722;height:169" type="#_x0000_t202" filled="false" stroked="false">
                <v:textbox inset="0,0,0,0">
                  <w:txbxContent>
                    <w:p>
                      <w:pPr>
                        <w:spacing w:line="168" w:lineRule="exact" w:before="0"/>
                        <w:ind w:left="0" w:right="0" w:firstLine="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sz w:val="16"/>
                          <w:szCs w:val="16"/>
                        </w:rPr>
                        <w:t>5.00</w:t>
                      </w:r>
                      <w:r>
                        <w:rPr>
                          <w:rFonts w:ascii="宋体" w:hAnsi="宋体" w:cs="宋体" w:eastAsia="宋体" w:hint="default"/>
                          <w:sz w:val="16"/>
                          <w:szCs w:val="16"/>
                        </w:rPr>
                        <w:t>、</w:t>
                      </w:r>
                      <w:r>
                        <w:rPr>
                          <w:rFonts w:ascii="Times New Roman" w:hAnsi="Times New Roman" w:cs="Times New Roman" w:eastAsia="Times New Roman" w:hint="default"/>
                          <w:sz w:val="16"/>
                          <w:szCs w:val="16"/>
                        </w:rPr>
                        <w:t>7.00</w:t>
                      </w:r>
                    </w:p>
                  </w:txbxContent>
                </v:textbox>
                <w10:wrap type="none"/>
              </v:shape>
              <v:shape style="position:absolute;left:140;top:1854;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企业所得税</w:t>
                      </w:r>
                      <w:r>
                        <w:rPr>
                          <w:rFonts w:ascii="宋体" w:hAnsi="宋体" w:cs="宋体" w:eastAsia="宋体" w:hint="default"/>
                          <w:sz w:val="16"/>
                          <w:szCs w:val="16"/>
                        </w:rPr>
                      </w:r>
                    </w:p>
                  </w:txbxContent>
                </v:textbox>
                <w10:wrap type="none"/>
              </v:shape>
              <v:shape style="position:absolute;left:1732;top:1854;width:14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按应纳税所得额计缴</w:t>
                      </w:r>
                      <w:r>
                        <w:rPr>
                          <w:rFonts w:ascii="宋体" w:hAnsi="宋体" w:cs="宋体" w:eastAsia="宋体" w:hint="default"/>
                          <w:sz w:val="16"/>
                          <w:szCs w:val="16"/>
                        </w:rPr>
                      </w:r>
                    </w:p>
                  </w:txbxContent>
                </v:textbox>
                <w10:wrap type="none"/>
              </v:shape>
              <v:shape style="position:absolute;left:5749;top:1854;width:2361;height:169" type="#_x0000_t202" filled="false" stroked="false">
                <v:textbox inset="0,0,0,0">
                  <w:txbxContent>
                    <w:p>
                      <w:pPr>
                        <w:spacing w:line="168" w:lineRule="exact" w:before="0"/>
                        <w:ind w:left="0" w:right="0" w:firstLine="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w w:val="95"/>
                          <w:sz w:val="16"/>
                          <w:szCs w:val="16"/>
                        </w:rPr>
                        <w:t>0.00</w:t>
                      </w:r>
                      <w:r>
                        <w:rPr>
                          <w:rFonts w:ascii="宋体" w:hAnsi="宋体" w:cs="宋体" w:eastAsia="宋体" w:hint="default"/>
                          <w:w w:val="95"/>
                          <w:sz w:val="16"/>
                          <w:szCs w:val="16"/>
                        </w:rPr>
                        <w:t>、</w:t>
                      </w:r>
                      <w:r>
                        <w:rPr>
                          <w:rFonts w:ascii="Times New Roman" w:hAnsi="Times New Roman" w:cs="Times New Roman" w:eastAsia="Times New Roman" w:hint="default"/>
                          <w:w w:val="95"/>
                          <w:sz w:val="16"/>
                          <w:szCs w:val="16"/>
                        </w:rPr>
                        <w:t>12.50</w:t>
                      </w:r>
                      <w:r>
                        <w:rPr>
                          <w:rFonts w:ascii="宋体" w:hAnsi="宋体" w:cs="宋体" w:eastAsia="宋体" w:hint="default"/>
                          <w:w w:val="95"/>
                          <w:sz w:val="16"/>
                          <w:szCs w:val="16"/>
                        </w:rPr>
                        <w:t>、</w:t>
                      </w:r>
                      <w:r>
                        <w:rPr>
                          <w:rFonts w:ascii="Times New Roman" w:hAnsi="Times New Roman" w:cs="Times New Roman" w:eastAsia="Times New Roman" w:hint="default"/>
                          <w:w w:val="95"/>
                          <w:sz w:val="16"/>
                          <w:szCs w:val="16"/>
                        </w:rPr>
                        <w:t>15.00</w:t>
                      </w:r>
                      <w:r>
                        <w:rPr>
                          <w:rFonts w:ascii="宋体" w:hAnsi="宋体" w:cs="宋体" w:eastAsia="宋体" w:hint="default"/>
                          <w:w w:val="95"/>
                          <w:sz w:val="16"/>
                          <w:szCs w:val="16"/>
                        </w:rPr>
                        <w:t>、</w:t>
                      </w:r>
                      <w:r>
                        <w:rPr>
                          <w:rFonts w:ascii="Times New Roman" w:hAnsi="Times New Roman" w:cs="Times New Roman" w:eastAsia="Times New Roman" w:hint="default"/>
                          <w:w w:val="95"/>
                          <w:sz w:val="16"/>
                          <w:szCs w:val="16"/>
                        </w:rPr>
                        <w:t>16.50</w:t>
                      </w:r>
                      <w:r>
                        <w:rPr>
                          <w:rFonts w:ascii="宋体" w:hAnsi="宋体" w:cs="宋体" w:eastAsia="宋体" w:hint="default"/>
                          <w:w w:val="95"/>
                          <w:sz w:val="16"/>
                          <w:szCs w:val="16"/>
                        </w:rPr>
                        <w:t>、</w:t>
                      </w:r>
                      <w:r>
                        <w:rPr>
                          <w:rFonts w:ascii="Times New Roman" w:hAnsi="Times New Roman" w:cs="Times New Roman" w:eastAsia="Times New Roman" w:hint="default"/>
                          <w:w w:val="95"/>
                          <w:sz w:val="16"/>
                          <w:szCs w:val="16"/>
                        </w:rPr>
                        <w:t>25.00</w:t>
                      </w:r>
                      <w:r>
                        <w:rPr>
                          <w:rFonts w:ascii="Times New Roman" w:hAnsi="Times New Roman" w:cs="Times New Roman" w:eastAsia="Times New Roman" w:hint="default"/>
                          <w:sz w:val="16"/>
                          <w:szCs w:val="16"/>
                        </w:rPr>
                      </w:r>
                    </w:p>
                  </w:txbxContent>
                </v:textbox>
                <w10:wrap type="none"/>
              </v:shape>
            </v:group>
          </v:group>
        </w:pict>
      </w:r>
      <w:r>
        <w:rPr>
          <w:rFonts w:ascii="宋体" w:hAnsi="宋体" w:cs="宋体" w:eastAsia="宋体" w:hint="default"/>
          <w:position w:val="-42"/>
          <w:sz w:val="20"/>
          <w:szCs w:val="20"/>
        </w:rPr>
      </w:r>
    </w:p>
    <w:p>
      <w:pPr>
        <w:spacing w:line="240" w:lineRule="auto" w:before="10"/>
        <w:rPr>
          <w:rFonts w:ascii="宋体" w:hAnsi="宋体" w:cs="宋体" w:eastAsia="宋体" w:hint="default"/>
          <w:b/>
          <w:bCs/>
          <w:sz w:val="5"/>
          <w:szCs w:val="5"/>
        </w:rPr>
      </w:pPr>
    </w:p>
    <w:p>
      <w:pPr>
        <w:pStyle w:val="BodyText"/>
        <w:spacing w:line="336" w:lineRule="auto" w:before="35"/>
        <w:ind w:left="851" w:right="1782"/>
        <w:jc w:val="left"/>
      </w:pPr>
      <w:r>
        <w:rPr/>
        <w:t>说明： </w:t>
      </w:r>
      <w:r>
        <w:rPr>
          <w:rFonts w:ascii="Times New Roman" w:hAnsi="Times New Roman" w:cs="Times New Roman" w:eastAsia="Times New Roman" w:hint="default"/>
          <w:spacing w:val="-2"/>
        </w:rPr>
        <w:t>1</w:t>
      </w:r>
      <w:r>
        <w:rPr>
          <w:spacing w:val="-2"/>
        </w:rPr>
        <w:t>、武汉长光电源有限公司主要生产密封铅酸蓄电池。根据《关于对电池涂料征收消</w:t>
      </w:r>
      <w:r>
        <w:rPr>
          <w:spacing w:val="-101"/>
        </w:rPr>
        <w:t> </w:t>
      </w:r>
      <w:r>
        <w:rPr>
          <w:spacing w:val="-101"/>
        </w:rPr>
      </w:r>
      <w:r>
        <w:rPr/>
        <w:t>费税的通知》财税〔</w:t>
      </w:r>
      <w:r>
        <w:rPr>
          <w:rFonts w:ascii="Times New Roman" w:hAnsi="Times New Roman" w:cs="Times New Roman" w:eastAsia="Times New Roman" w:hint="default"/>
        </w:rPr>
        <w:t>2015</w:t>
      </w:r>
      <w:r>
        <w:rPr/>
        <w:t>〕</w:t>
      </w:r>
      <w:r>
        <w:rPr>
          <w:rFonts w:ascii="Times New Roman" w:hAnsi="Times New Roman" w:cs="Times New Roman" w:eastAsia="Times New Roman" w:hint="default"/>
        </w:rPr>
        <w:t>16</w:t>
      </w:r>
      <w:r>
        <w:rPr>
          <w:rFonts w:ascii="Times New Roman" w:hAnsi="Times New Roman" w:cs="Times New Roman" w:eastAsia="Times New Roman" w:hint="default"/>
          <w:spacing w:val="-4"/>
        </w:rPr>
        <w:t> </w:t>
      </w:r>
      <w:r>
        <w:rPr>
          <w:spacing w:val="-3"/>
        </w:rPr>
        <w:t>号，自</w:t>
      </w:r>
      <w:r>
        <w:rPr>
          <w:spacing w:val="-57"/>
        </w:rPr>
        <w:t> </w:t>
      </w:r>
      <w:r>
        <w:rPr>
          <w:rFonts w:ascii="Times New Roman" w:hAnsi="Times New Roman" w:cs="Times New Roman" w:eastAsia="Times New Roman" w:hint="default"/>
        </w:rPr>
        <w:t>2016</w:t>
      </w:r>
      <w:r>
        <w:rPr>
          <w:rFonts w:ascii="Times New Roman" w:hAnsi="Times New Roman" w:cs="Times New Roman" w:eastAsia="Times New Roman" w:hint="default"/>
          <w:spacing w:val="-4"/>
        </w:rPr>
        <w:t> </w:t>
      </w:r>
      <w:r>
        <w:rPr/>
        <w:t>年</w:t>
      </w:r>
      <w:r>
        <w:rPr>
          <w:spacing w:val="-58"/>
        </w:rPr>
        <w:t> </w:t>
      </w:r>
      <w:r>
        <w:rPr>
          <w:rFonts w:ascii="Times New Roman" w:hAnsi="Times New Roman" w:cs="Times New Roman" w:eastAsia="Times New Roman" w:hint="default"/>
        </w:rPr>
        <w:t>1</w:t>
      </w:r>
      <w:r>
        <w:rPr>
          <w:rFonts w:ascii="Times New Roman" w:hAnsi="Times New Roman" w:cs="Times New Roman" w:eastAsia="Times New Roman" w:hint="default"/>
          <w:spacing w:val="-5"/>
        </w:rPr>
        <w:t> </w:t>
      </w:r>
      <w:r>
        <w:rPr/>
        <w:t>月</w:t>
      </w:r>
      <w:r>
        <w:rPr>
          <w:spacing w:val="-57"/>
        </w:rPr>
        <w:t> </w:t>
      </w:r>
      <w:r>
        <w:rPr>
          <w:rFonts w:ascii="Times New Roman" w:hAnsi="Times New Roman" w:cs="Times New Roman" w:eastAsia="Times New Roman" w:hint="default"/>
        </w:rPr>
        <w:t>1</w:t>
      </w:r>
      <w:r>
        <w:rPr>
          <w:rFonts w:ascii="Times New Roman" w:hAnsi="Times New Roman" w:cs="Times New Roman" w:eastAsia="Times New Roman" w:hint="default"/>
          <w:spacing w:val="-4"/>
        </w:rPr>
        <w:t> </w:t>
      </w:r>
      <w:r>
        <w:rPr/>
        <w:t>日起，对铅蓄电池按</w:t>
      </w:r>
      <w:r>
        <w:rPr>
          <w:spacing w:val="-57"/>
        </w:rPr>
        <w:t> </w:t>
      </w:r>
      <w:r>
        <w:rPr>
          <w:rFonts w:ascii="Times New Roman" w:hAnsi="Times New Roman" w:cs="Times New Roman" w:eastAsia="Times New Roman" w:hint="default"/>
        </w:rPr>
        <w:t>4%</w:t>
      </w:r>
      <w:r>
        <w:rPr/>
        <w:t>税率征 收消费税。</w:t>
      </w:r>
    </w:p>
    <w:p>
      <w:pPr>
        <w:pStyle w:val="BodyText"/>
        <w:spacing w:line="240" w:lineRule="auto" w:before="41"/>
        <w:ind w:left="851" w:right="1682"/>
        <w:jc w:val="left"/>
        <w:rPr>
          <w:rFonts w:ascii="Times New Roman" w:hAnsi="Times New Roman" w:cs="Times New Roman" w:eastAsia="Times New Roman" w:hint="default"/>
        </w:rPr>
      </w:pPr>
      <w:r>
        <w:rPr>
          <w:rFonts w:ascii="Times New Roman" w:hAnsi="Times New Roman" w:cs="Times New Roman" w:eastAsia="Times New Roman" w:hint="default"/>
        </w:rPr>
        <w:t>2</w:t>
      </w:r>
      <w:r>
        <w:rPr>
          <w:spacing w:val="-26"/>
        </w:rPr>
        <w:t>、</w:t>
      </w:r>
      <w:r>
        <w:rPr/>
        <w:t>根</w:t>
      </w:r>
      <w:r>
        <w:rPr>
          <w:spacing w:val="-26"/>
        </w:rPr>
        <w:t>据</w:t>
      </w:r>
      <w:r>
        <w:rPr/>
        <w:t>《</w:t>
      </w:r>
      <w:r>
        <w:rPr>
          <w:spacing w:val="-2"/>
        </w:rPr>
        <w:t>财</w:t>
      </w:r>
      <w:r>
        <w:rPr/>
        <w:t>政部税务总局关于调整增值税税率的通知</w:t>
      </w:r>
      <w:r>
        <w:rPr>
          <w:spacing w:val="-130"/>
        </w:rPr>
        <w:t>》</w:t>
      </w:r>
      <w:r>
        <w:rPr/>
        <w:t>（</w:t>
      </w:r>
      <w:r>
        <w:rPr>
          <w:spacing w:val="-2"/>
        </w:rPr>
        <w:t>财</w:t>
      </w:r>
      <w:r>
        <w:rPr/>
        <w:t>税</w:t>
      </w:r>
      <w:r>
        <w:rPr>
          <w:rFonts w:ascii="Times New Roman" w:hAnsi="Times New Roman" w:cs="Times New Roman" w:eastAsia="Times New Roman" w:hint="default"/>
        </w:rPr>
        <w:t>[</w:t>
      </w:r>
      <w:r>
        <w:rPr>
          <w:rFonts w:ascii="Times New Roman" w:hAnsi="Times New Roman" w:cs="Times New Roman" w:eastAsia="Times New Roman" w:hint="default"/>
          <w:spacing w:val="-1"/>
        </w:rPr>
        <w:t>2</w:t>
      </w:r>
      <w:r>
        <w:rPr>
          <w:rFonts w:ascii="Times New Roman" w:hAnsi="Times New Roman" w:cs="Times New Roman" w:eastAsia="Times New Roman" w:hint="default"/>
        </w:rPr>
        <w:t>0</w:t>
      </w:r>
      <w:r>
        <w:rPr>
          <w:rFonts w:ascii="Times New Roman" w:hAnsi="Times New Roman" w:cs="Times New Roman" w:eastAsia="Times New Roman" w:hint="default"/>
          <w:spacing w:val="-1"/>
        </w:rPr>
        <w:t>1</w:t>
      </w:r>
      <w:r>
        <w:rPr>
          <w:rFonts w:ascii="Times New Roman" w:hAnsi="Times New Roman" w:cs="Times New Roman" w:eastAsia="Times New Roman" w:hint="default"/>
        </w:rPr>
        <w:t>8]</w:t>
      </w:r>
      <w:r>
        <w:rPr>
          <w:rFonts w:ascii="Times New Roman" w:hAnsi="Times New Roman" w:cs="Times New Roman" w:eastAsia="Times New Roman" w:hint="default"/>
          <w:spacing w:val="-1"/>
        </w:rPr>
        <w:t>3</w:t>
      </w:r>
      <w:r>
        <w:rPr>
          <w:rFonts w:ascii="Times New Roman" w:hAnsi="Times New Roman" w:cs="Times New Roman" w:eastAsia="Times New Roman" w:hint="default"/>
        </w:rPr>
        <w:t>2</w:t>
      </w:r>
      <w:r>
        <w:rPr>
          <w:rFonts w:ascii="Times New Roman" w:hAnsi="Times New Roman" w:cs="Times New Roman" w:eastAsia="Times New Roman" w:hint="default"/>
          <w:spacing w:val="-1"/>
        </w:rPr>
        <w:t> </w:t>
      </w:r>
      <w:r>
        <w:rPr/>
        <w:t>号</w:t>
      </w:r>
      <w:r>
        <w:rPr>
          <w:spacing w:val="-105"/>
        </w:rPr>
        <w:t>）</w:t>
      </w:r>
      <w:r>
        <w:rPr>
          <w:spacing w:val="-26"/>
        </w:rPr>
        <w:t>，</w:t>
      </w:r>
      <w:r>
        <w:rPr/>
        <w:t>自</w:t>
      </w:r>
      <w:r>
        <w:rPr>
          <w:spacing w:val="-53"/>
        </w:rPr>
        <w:t> </w:t>
      </w:r>
      <w:r>
        <w:rPr>
          <w:rFonts w:ascii="Times New Roman" w:hAnsi="Times New Roman" w:cs="Times New Roman" w:eastAsia="Times New Roman" w:hint="default"/>
          <w:spacing w:val="-1"/>
        </w:rPr>
        <w:t>2</w:t>
      </w:r>
      <w:r>
        <w:rPr>
          <w:rFonts w:ascii="Times New Roman" w:hAnsi="Times New Roman" w:cs="Times New Roman" w:eastAsia="Times New Roman" w:hint="default"/>
        </w:rPr>
        <w:t>0</w:t>
      </w:r>
      <w:r>
        <w:rPr>
          <w:rFonts w:ascii="Times New Roman" w:hAnsi="Times New Roman" w:cs="Times New Roman" w:eastAsia="Times New Roman" w:hint="default"/>
          <w:spacing w:val="-1"/>
        </w:rPr>
        <w:t>18</w:t>
      </w:r>
      <w:r>
        <w:rPr>
          <w:rFonts w:ascii="Times New Roman" w:hAnsi="Times New Roman" w:cs="Times New Roman" w:eastAsia="Times New Roman" w:hint="default"/>
        </w:rPr>
      </w:r>
    </w:p>
    <w:p>
      <w:pPr>
        <w:pStyle w:val="BodyText"/>
        <w:spacing w:line="331" w:lineRule="auto"/>
        <w:ind w:left="851" w:right="1803"/>
        <w:jc w:val="left"/>
      </w:pPr>
      <w:r>
        <w:rPr/>
        <w:t>年</w:t>
      </w:r>
      <w:r>
        <w:rPr>
          <w:spacing w:val="-54"/>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日起本公司发生的增值税应税销售行为，原适用</w:t>
      </w:r>
      <w:r>
        <w:rPr>
          <w:spacing w:val="-54"/>
        </w:rPr>
        <w:t> </w:t>
      </w:r>
      <w:r>
        <w:rPr>
          <w:rFonts w:ascii="Times New Roman" w:hAnsi="Times New Roman" w:cs="Times New Roman" w:eastAsia="Times New Roman" w:hint="default"/>
        </w:rPr>
        <w:t>17%</w:t>
      </w:r>
      <w:r>
        <w:rPr/>
        <w:t>税率的，税率调整为 </w:t>
      </w:r>
      <w:r>
        <w:rPr>
          <w:rFonts w:ascii="Times New Roman" w:hAnsi="Times New Roman" w:cs="Times New Roman" w:eastAsia="Times New Roman" w:hint="default"/>
        </w:rPr>
        <w:t>16%</w:t>
      </w:r>
      <w:r>
        <w:rPr/>
        <w:t>。</w:t>
      </w:r>
    </w:p>
    <w:p>
      <w:pPr>
        <w:spacing w:line="240" w:lineRule="auto" w:before="1"/>
        <w:rPr>
          <w:rFonts w:ascii="宋体" w:hAnsi="宋体" w:cs="宋体" w:eastAsia="宋体" w:hint="default"/>
          <w:sz w:val="32"/>
          <w:szCs w:val="32"/>
        </w:rPr>
      </w:pPr>
    </w:p>
    <w:p>
      <w:pPr>
        <w:pStyle w:val="BodyText"/>
        <w:spacing w:line="240" w:lineRule="auto" w:before="0"/>
        <w:ind w:left="851" w:right="3681"/>
        <w:jc w:val="left"/>
      </w:pPr>
      <w:r>
        <w:rPr/>
        <w:pict>
          <v:group style="position:absolute;margin-left:119.010002pt;margin-top:15.381732pt;width:412.25pt;height:246.8pt;mso-position-horizontal-relative:page;mso-position-vertical-relative:paragraph;z-index:-1400224" coordorigin="2380,308" coordsize="8245,4936">
            <v:group style="position:absolute;left:2410;top:323;width:5748;height:2" coordorigin="2410,323" coordsize="5748,2">
              <v:shape style="position:absolute;left:2410;top:323;width:5748;height:2" coordorigin="2410,323" coordsize="5748,0" path="m2410,323l8158,323e" filled="false" stroked="true" strokeweight="1.5pt" strokecolor="#000000">
                <v:path arrowok="t"/>
              </v:shape>
            </v:group>
            <v:group style="position:absolute;left:8158;top:323;width:30;height:2" coordorigin="8158,323" coordsize="30,2">
              <v:shape style="position:absolute;left:8158;top:323;width:30;height:2" coordorigin="8158,323" coordsize="30,0" path="m8158,323l8188,323e" filled="false" stroked="true" strokeweight="1.5pt" strokecolor="#000000">
                <v:path arrowok="t"/>
              </v:shape>
            </v:group>
            <v:group style="position:absolute;left:8188;top:323;width:2410;height:2" coordorigin="8188,323" coordsize="2410,2">
              <v:shape style="position:absolute;left:8188;top:323;width:2410;height:2" coordorigin="8188,323" coordsize="2410,0" path="m8188,323l10597,323e" filled="false" stroked="true" strokeweight="1.5pt" strokecolor="#000000">
                <v:path arrowok="t"/>
              </v:shape>
              <v:shape style="position:absolute;left:8158;top:338;width:10;height:338" type="#_x0000_t75" stroked="false">
                <v:imagedata r:id="rId50" o:title=""/>
              </v:shape>
            </v:group>
            <v:group style="position:absolute;left:2395;top:5228;width:5763;height:2" coordorigin="2395,5228" coordsize="5763,2">
              <v:shape style="position:absolute;left:2395;top:5228;width:5763;height:2" coordorigin="2395,5228" coordsize="5763,0" path="m2395,5228l8158,5228e" filled="false" stroked="true" strokeweight="1.5pt" strokecolor="#000000">
                <v:path arrowok="t"/>
              </v:shape>
              <v:shape style="position:absolute;left:2390;top:657;width:8234;height:4556" type="#_x0000_t75" stroked="false">
                <v:imagedata r:id="rId51" o:title=""/>
              </v:shape>
            </v:group>
            <v:group style="position:absolute;left:8158;top:5228;width:30;height:2" coordorigin="8158,5228" coordsize="30,2">
              <v:shape style="position:absolute;left:8158;top:5228;width:30;height:2" coordorigin="8158,5228" coordsize="30,0" path="m8158,5228l8188,5228e" filled="false" stroked="true" strokeweight="1.5pt" strokecolor="#000000">
                <v:path arrowok="t"/>
              </v:shape>
            </v:group>
            <v:group style="position:absolute;left:8188;top:5228;width:2410;height:2" coordorigin="8188,5228" coordsize="2410,2">
              <v:shape style="position:absolute;left:8188;top:5228;width:2410;height:2" coordorigin="8188,5228" coordsize="2410,0" path="m8188,5228l10597,5228e" filled="false" stroked="true" strokeweight="1.5pt" strokecolor="#000000">
                <v:path arrowok="t"/>
              </v:shape>
            </v:group>
            <w10:wrap type="none"/>
          </v:group>
        </w:pict>
      </w:r>
      <w:r>
        <w:rPr/>
        <w:t>存在不同企业所得税税率纳税主体的情况如下：</w:t>
      </w:r>
    </w:p>
    <w:p>
      <w:pPr>
        <w:spacing w:line="240" w:lineRule="auto" w:before="9"/>
        <w:rPr>
          <w:rFonts w:ascii="宋体" w:hAnsi="宋体" w:cs="宋体" w:eastAsia="宋体" w:hint="default"/>
          <w:sz w:val="3"/>
          <w:szCs w:val="3"/>
        </w:rPr>
      </w:pPr>
    </w:p>
    <w:tbl>
      <w:tblPr>
        <w:tblW w:w="0" w:type="auto"/>
        <w:jc w:val="left"/>
        <w:tblInd w:w="787" w:type="dxa"/>
        <w:tblLayout w:type="fixed"/>
        <w:tblCellMar>
          <w:top w:w="0" w:type="dxa"/>
          <w:left w:w="0" w:type="dxa"/>
          <w:bottom w:w="0" w:type="dxa"/>
          <w:right w:w="0" w:type="dxa"/>
        </w:tblCellMar>
        <w:tblLook w:val="01E0"/>
      </w:tblPr>
      <w:tblGrid>
        <w:gridCol w:w="4812"/>
        <w:gridCol w:w="2808"/>
        <w:gridCol w:w="492"/>
      </w:tblGrid>
      <w:tr>
        <w:trPr>
          <w:trHeight w:val="361" w:hRule="exact"/>
        </w:trPr>
        <w:tc>
          <w:tcPr>
            <w:tcW w:w="4812" w:type="dxa"/>
            <w:tcBorders>
              <w:top w:val="nil" w:sz="6" w:space="0" w:color="auto"/>
              <w:left w:val="nil" w:sz="6" w:space="0" w:color="auto"/>
              <w:bottom w:val="nil" w:sz="6" w:space="0" w:color="auto"/>
              <w:right w:val="nil" w:sz="6" w:space="0" w:color="auto"/>
            </w:tcBorders>
          </w:tcPr>
          <w:p>
            <w:pPr>
              <w:pStyle w:val="TableParagraph"/>
              <w:spacing w:line="240" w:lineRule="auto" w:before="52"/>
              <w:ind w:left="2359" w:right="0"/>
              <w:jc w:val="left"/>
              <w:rPr>
                <w:rFonts w:ascii="宋体" w:hAnsi="宋体" w:cs="宋体" w:eastAsia="宋体" w:hint="default"/>
                <w:sz w:val="16"/>
                <w:szCs w:val="16"/>
              </w:rPr>
            </w:pPr>
            <w:r>
              <w:rPr>
                <w:rFonts w:ascii="宋体" w:hAnsi="宋体" w:cs="宋体" w:eastAsia="宋体" w:hint="default"/>
                <w:sz w:val="16"/>
                <w:szCs w:val="16"/>
              </w:rPr>
              <w:t>纳税主体名称</w:t>
            </w:r>
          </w:p>
        </w:tc>
        <w:tc>
          <w:tcPr>
            <w:tcW w:w="2808"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493" w:right="0"/>
              <w:jc w:val="left"/>
              <w:rPr>
                <w:rFonts w:ascii="宋体" w:hAnsi="宋体" w:cs="宋体" w:eastAsia="宋体" w:hint="default"/>
                <w:sz w:val="16"/>
                <w:szCs w:val="16"/>
              </w:rPr>
            </w:pPr>
            <w:r>
              <w:rPr>
                <w:rFonts w:ascii="宋体" w:hAnsi="宋体" w:cs="宋体" w:eastAsia="宋体" w:hint="default"/>
                <w:sz w:val="16"/>
                <w:szCs w:val="16"/>
              </w:rPr>
              <w:t>所得税税率（</w:t>
            </w:r>
            <w:r>
              <w:rPr>
                <w:rFonts w:ascii="Times New Roman" w:hAnsi="Times New Roman" w:cs="Times New Roman" w:eastAsia="Times New Roman" w:hint="default"/>
                <w:sz w:val="16"/>
                <w:szCs w:val="16"/>
              </w:rPr>
              <w:t>%</w:t>
            </w:r>
            <w:r>
              <w:rPr>
                <w:rFonts w:ascii="宋体" w:hAnsi="宋体" w:cs="宋体" w:eastAsia="宋体" w:hint="default"/>
                <w:sz w:val="16"/>
                <w:szCs w:val="16"/>
              </w:rPr>
              <w:t>）</w:t>
            </w:r>
          </w:p>
        </w:tc>
        <w:tc>
          <w:tcPr>
            <w:tcW w:w="492" w:type="dxa"/>
            <w:tcBorders>
              <w:top w:val="nil" w:sz="6" w:space="0" w:color="auto"/>
              <w:left w:val="nil" w:sz="6" w:space="0" w:color="auto"/>
              <w:bottom w:val="nil" w:sz="6" w:space="0" w:color="auto"/>
              <w:right w:val="nil" w:sz="6" w:space="0" w:color="auto"/>
            </w:tcBorders>
          </w:tcPr>
          <w:p>
            <w:pPr/>
          </w:p>
        </w:tc>
      </w:tr>
      <w:tr>
        <w:trPr>
          <w:trHeight w:val="352" w:hRule="exact"/>
        </w:trPr>
        <w:tc>
          <w:tcPr>
            <w:tcW w:w="481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中国长城科技集团股份有限公司</w:t>
            </w:r>
          </w:p>
        </w:tc>
        <w:tc>
          <w:tcPr>
            <w:tcW w:w="2808" w:type="dxa"/>
            <w:tcBorders>
              <w:top w:val="nil" w:sz="6" w:space="0" w:color="auto"/>
              <w:left w:val="nil" w:sz="6" w:space="0" w:color="auto"/>
              <w:bottom w:val="nil" w:sz="6" w:space="0" w:color="auto"/>
              <w:right w:val="nil" w:sz="6" w:space="0" w:color="auto"/>
            </w:tcBorders>
          </w:tcPr>
          <w:p>
            <w:pPr/>
          </w:p>
        </w:tc>
        <w:tc>
          <w:tcPr>
            <w:tcW w:w="49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
              <w:jc w:val="center"/>
              <w:rPr>
                <w:rFonts w:ascii="Times New Roman" w:hAnsi="Times New Roman" w:cs="Times New Roman" w:eastAsia="Times New Roman" w:hint="default"/>
                <w:sz w:val="16"/>
                <w:szCs w:val="16"/>
              </w:rPr>
            </w:pPr>
            <w:r>
              <w:rPr>
                <w:rFonts w:ascii="Times New Roman"/>
                <w:sz w:val="16"/>
              </w:rPr>
              <w:t>15.00</w:t>
            </w:r>
          </w:p>
        </w:tc>
      </w:tr>
      <w:tr>
        <w:trPr>
          <w:trHeight w:val="349" w:hRule="exact"/>
        </w:trPr>
        <w:tc>
          <w:tcPr>
            <w:tcW w:w="481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宋体" w:hAnsi="宋体" w:cs="宋体" w:eastAsia="宋体" w:hint="default"/>
                <w:sz w:val="16"/>
                <w:szCs w:val="16"/>
              </w:rPr>
              <w:t>湖南长城科技信息有限公司</w:t>
            </w:r>
          </w:p>
        </w:tc>
        <w:tc>
          <w:tcPr>
            <w:tcW w:w="2808" w:type="dxa"/>
            <w:tcBorders>
              <w:top w:val="nil" w:sz="6" w:space="0" w:color="auto"/>
              <w:left w:val="nil" w:sz="6" w:space="0" w:color="auto"/>
              <w:bottom w:val="nil" w:sz="6" w:space="0" w:color="auto"/>
              <w:right w:val="nil" w:sz="6" w:space="0" w:color="auto"/>
            </w:tcBorders>
          </w:tcPr>
          <w:p>
            <w:pPr/>
          </w:p>
        </w:tc>
        <w:tc>
          <w:tcPr>
            <w:tcW w:w="492"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
              <w:jc w:val="center"/>
              <w:rPr>
                <w:rFonts w:ascii="Times New Roman" w:hAnsi="Times New Roman" w:cs="Times New Roman" w:eastAsia="Times New Roman" w:hint="default"/>
                <w:sz w:val="16"/>
                <w:szCs w:val="16"/>
              </w:rPr>
            </w:pPr>
            <w:r>
              <w:rPr>
                <w:rFonts w:ascii="Times New Roman"/>
                <w:sz w:val="16"/>
              </w:rPr>
              <w:t>25.00</w:t>
            </w:r>
          </w:p>
        </w:tc>
      </w:tr>
      <w:tr>
        <w:trPr>
          <w:trHeight w:val="349" w:hRule="exact"/>
        </w:trPr>
        <w:tc>
          <w:tcPr>
            <w:tcW w:w="481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宋体" w:hAnsi="宋体" w:cs="宋体" w:eastAsia="宋体" w:hint="default"/>
                <w:sz w:val="16"/>
                <w:szCs w:val="16"/>
              </w:rPr>
              <w:t>深圳中电长城能源有限公司</w:t>
            </w:r>
          </w:p>
        </w:tc>
        <w:tc>
          <w:tcPr>
            <w:tcW w:w="2808" w:type="dxa"/>
            <w:tcBorders>
              <w:top w:val="nil" w:sz="6" w:space="0" w:color="auto"/>
              <w:left w:val="nil" w:sz="6" w:space="0" w:color="auto"/>
              <w:bottom w:val="nil" w:sz="6" w:space="0" w:color="auto"/>
              <w:right w:val="nil" w:sz="6" w:space="0" w:color="auto"/>
            </w:tcBorders>
          </w:tcPr>
          <w:p>
            <w:pPr/>
          </w:p>
        </w:tc>
        <w:tc>
          <w:tcPr>
            <w:tcW w:w="492"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
              <w:jc w:val="center"/>
              <w:rPr>
                <w:rFonts w:ascii="Times New Roman" w:hAnsi="Times New Roman" w:cs="Times New Roman" w:eastAsia="Times New Roman" w:hint="default"/>
                <w:sz w:val="16"/>
                <w:szCs w:val="16"/>
              </w:rPr>
            </w:pPr>
            <w:r>
              <w:rPr>
                <w:rFonts w:ascii="Times New Roman"/>
                <w:sz w:val="16"/>
              </w:rPr>
              <w:t>25.00</w:t>
            </w:r>
          </w:p>
        </w:tc>
      </w:tr>
      <w:tr>
        <w:trPr>
          <w:trHeight w:val="349" w:hRule="exact"/>
        </w:trPr>
        <w:tc>
          <w:tcPr>
            <w:tcW w:w="481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宋体" w:hAnsi="宋体" w:cs="宋体" w:eastAsia="宋体" w:hint="default"/>
                <w:sz w:val="16"/>
                <w:szCs w:val="16"/>
              </w:rPr>
              <w:t>海南长城系统科技有限公司</w:t>
            </w:r>
          </w:p>
        </w:tc>
        <w:tc>
          <w:tcPr>
            <w:tcW w:w="2808" w:type="dxa"/>
            <w:tcBorders>
              <w:top w:val="nil" w:sz="6" w:space="0" w:color="auto"/>
              <w:left w:val="nil" w:sz="6" w:space="0" w:color="auto"/>
              <w:bottom w:val="nil" w:sz="6" w:space="0" w:color="auto"/>
              <w:right w:val="nil" w:sz="6" w:space="0" w:color="auto"/>
            </w:tcBorders>
          </w:tcPr>
          <w:p>
            <w:pPr/>
          </w:p>
        </w:tc>
        <w:tc>
          <w:tcPr>
            <w:tcW w:w="492"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
              <w:jc w:val="center"/>
              <w:rPr>
                <w:rFonts w:ascii="Times New Roman" w:hAnsi="Times New Roman" w:cs="Times New Roman" w:eastAsia="Times New Roman" w:hint="default"/>
                <w:sz w:val="16"/>
                <w:szCs w:val="16"/>
              </w:rPr>
            </w:pPr>
            <w:r>
              <w:rPr>
                <w:rFonts w:ascii="Times New Roman"/>
                <w:sz w:val="16"/>
              </w:rPr>
              <w:t>25.00</w:t>
            </w:r>
          </w:p>
        </w:tc>
      </w:tr>
      <w:tr>
        <w:trPr>
          <w:trHeight w:val="349" w:hRule="exact"/>
        </w:trPr>
        <w:tc>
          <w:tcPr>
            <w:tcW w:w="4812" w:type="dxa"/>
            <w:tcBorders>
              <w:top w:val="nil" w:sz="6" w:space="0" w:color="auto"/>
              <w:left w:val="nil" w:sz="6" w:space="0" w:color="auto"/>
              <w:bottom w:val="nil" w:sz="6" w:space="0" w:color="auto"/>
              <w:right w:val="nil" w:sz="6" w:space="0" w:color="auto"/>
            </w:tcBorders>
          </w:tcPr>
          <w:p>
            <w:pPr>
              <w:pStyle w:val="TableParagraph"/>
              <w:spacing w:line="240" w:lineRule="auto" w:before="37"/>
              <w:ind w:left="70" w:right="0"/>
              <w:jc w:val="left"/>
              <w:rPr>
                <w:rFonts w:ascii="宋体" w:hAnsi="宋体" w:cs="宋体" w:eastAsia="宋体" w:hint="default"/>
                <w:sz w:val="16"/>
                <w:szCs w:val="16"/>
              </w:rPr>
            </w:pPr>
            <w:r>
              <w:rPr>
                <w:rFonts w:ascii="宋体" w:hAnsi="宋体" w:cs="宋体" w:eastAsia="宋体" w:hint="default"/>
                <w:sz w:val="16"/>
                <w:szCs w:val="16"/>
              </w:rPr>
              <w:t>湖南长城计算机系统有限公司</w:t>
            </w:r>
          </w:p>
        </w:tc>
        <w:tc>
          <w:tcPr>
            <w:tcW w:w="2808" w:type="dxa"/>
            <w:tcBorders>
              <w:top w:val="nil" w:sz="6" w:space="0" w:color="auto"/>
              <w:left w:val="nil" w:sz="6" w:space="0" w:color="auto"/>
              <w:bottom w:val="nil" w:sz="6" w:space="0" w:color="auto"/>
              <w:right w:val="nil" w:sz="6" w:space="0" w:color="auto"/>
            </w:tcBorders>
          </w:tcPr>
          <w:p>
            <w:pPr/>
          </w:p>
        </w:tc>
        <w:tc>
          <w:tcPr>
            <w:tcW w:w="49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6"/>
              <w:jc w:val="center"/>
              <w:rPr>
                <w:rFonts w:ascii="Times New Roman" w:hAnsi="Times New Roman" w:cs="Times New Roman" w:eastAsia="Times New Roman" w:hint="default"/>
                <w:sz w:val="16"/>
                <w:szCs w:val="16"/>
              </w:rPr>
            </w:pPr>
            <w:r>
              <w:rPr>
                <w:rFonts w:ascii="Times New Roman"/>
                <w:sz w:val="16"/>
              </w:rPr>
              <w:t>25.00</w:t>
            </w:r>
          </w:p>
        </w:tc>
      </w:tr>
      <w:tr>
        <w:trPr>
          <w:trHeight w:val="349" w:hRule="exact"/>
        </w:trPr>
        <w:tc>
          <w:tcPr>
            <w:tcW w:w="4812" w:type="dxa"/>
            <w:tcBorders>
              <w:top w:val="nil" w:sz="6" w:space="0" w:color="auto"/>
              <w:left w:val="nil" w:sz="6" w:space="0" w:color="auto"/>
              <w:bottom w:val="nil" w:sz="6" w:space="0" w:color="auto"/>
              <w:right w:val="nil" w:sz="6" w:space="0" w:color="auto"/>
            </w:tcBorders>
          </w:tcPr>
          <w:p>
            <w:pPr>
              <w:pStyle w:val="TableParagraph"/>
              <w:spacing w:line="240" w:lineRule="auto" w:before="37"/>
              <w:ind w:left="70" w:right="0"/>
              <w:jc w:val="left"/>
              <w:rPr>
                <w:rFonts w:ascii="宋体" w:hAnsi="宋体" w:cs="宋体" w:eastAsia="宋体" w:hint="default"/>
                <w:sz w:val="16"/>
                <w:szCs w:val="16"/>
              </w:rPr>
            </w:pPr>
            <w:r>
              <w:rPr>
                <w:rFonts w:ascii="宋体" w:hAnsi="宋体" w:cs="宋体" w:eastAsia="宋体" w:hint="default"/>
                <w:sz w:val="16"/>
                <w:szCs w:val="16"/>
              </w:rPr>
              <w:t>中国长城计算机（香港）控股有限公司</w:t>
            </w:r>
          </w:p>
        </w:tc>
        <w:tc>
          <w:tcPr>
            <w:tcW w:w="2808" w:type="dxa"/>
            <w:tcBorders>
              <w:top w:val="nil" w:sz="6" w:space="0" w:color="auto"/>
              <w:left w:val="nil" w:sz="6" w:space="0" w:color="auto"/>
              <w:bottom w:val="nil" w:sz="6" w:space="0" w:color="auto"/>
              <w:right w:val="nil" w:sz="6" w:space="0" w:color="auto"/>
            </w:tcBorders>
          </w:tcPr>
          <w:p>
            <w:pPr/>
          </w:p>
        </w:tc>
        <w:tc>
          <w:tcPr>
            <w:tcW w:w="492"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
              <w:jc w:val="center"/>
              <w:rPr>
                <w:rFonts w:ascii="Times New Roman" w:hAnsi="Times New Roman" w:cs="Times New Roman" w:eastAsia="Times New Roman" w:hint="default"/>
                <w:sz w:val="16"/>
                <w:szCs w:val="16"/>
              </w:rPr>
            </w:pPr>
            <w:r>
              <w:rPr>
                <w:rFonts w:ascii="Times New Roman"/>
                <w:sz w:val="16"/>
              </w:rPr>
              <w:t>16.50</w:t>
            </w:r>
          </w:p>
        </w:tc>
      </w:tr>
      <w:tr>
        <w:trPr>
          <w:trHeight w:val="349" w:hRule="exact"/>
        </w:trPr>
        <w:tc>
          <w:tcPr>
            <w:tcW w:w="481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宋体" w:hAnsi="宋体" w:cs="宋体" w:eastAsia="宋体" w:hint="default"/>
                <w:sz w:val="16"/>
                <w:szCs w:val="16"/>
              </w:rPr>
              <w:t>柏怡国际控股有限公司</w:t>
            </w:r>
          </w:p>
        </w:tc>
        <w:tc>
          <w:tcPr>
            <w:tcW w:w="2808" w:type="dxa"/>
            <w:tcBorders>
              <w:top w:val="nil" w:sz="6" w:space="0" w:color="auto"/>
              <w:left w:val="nil" w:sz="6" w:space="0" w:color="auto"/>
              <w:bottom w:val="nil" w:sz="6" w:space="0" w:color="auto"/>
              <w:right w:val="nil" w:sz="6" w:space="0" w:color="auto"/>
            </w:tcBorders>
          </w:tcPr>
          <w:p>
            <w:pPr/>
          </w:p>
        </w:tc>
        <w:tc>
          <w:tcPr>
            <w:tcW w:w="492" w:type="dxa"/>
            <w:tcBorders>
              <w:top w:val="nil" w:sz="6" w:space="0" w:color="auto"/>
              <w:left w:val="nil" w:sz="6" w:space="0" w:color="auto"/>
              <w:bottom w:val="nil" w:sz="6" w:space="0" w:color="auto"/>
              <w:right w:val="nil" w:sz="6" w:space="0" w:color="auto"/>
            </w:tcBorders>
          </w:tcPr>
          <w:p>
            <w:pPr>
              <w:pStyle w:val="TableParagraph"/>
              <w:spacing w:line="240" w:lineRule="auto" w:before="80"/>
              <w:ind w:left="71" w:right="0"/>
              <w:jc w:val="center"/>
              <w:rPr>
                <w:rFonts w:ascii="Times New Roman" w:hAnsi="Times New Roman" w:cs="Times New Roman" w:eastAsia="Times New Roman" w:hint="default"/>
                <w:sz w:val="16"/>
                <w:szCs w:val="16"/>
              </w:rPr>
            </w:pPr>
            <w:r>
              <w:rPr>
                <w:rFonts w:ascii="Times New Roman"/>
                <w:sz w:val="16"/>
              </w:rPr>
              <w:t>0.00</w:t>
            </w:r>
          </w:p>
        </w:tc>
      </w:tr>
      <w:tr>
        <w:trPr>
          <w:trHeight w:val="349" w:hRule="exact"/>
        </w:trPr>
        <w:tc>
          <w:tcPr>
            <w:tcW w:w="481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宋体" w:hAnsi="宋体" w:cs="宋体" w:eastAsia="宋体" w:hint="default"/>
                <w:sz w:val="16"/>
                <w:szCs w:val="16"/>
              </w:rPr>
              <w:t>湖南长城信息金融设备有限责任公司</w:t>
            </w:r>
          </w:p>
        </w:tc>
        <w:tc>
          <w:tcPr>
            <w:tcW w:w="2808" w:type="dxa"/>
            <w:tcBorders>
              <w:top w:val="nil" w:sz="6" w:space="0" w:color="auto"/>
              <w:left w:val="nil" w:sz="6" w:space="0" w:color="auto"/>
              <w:bottom w:val="nil" w:sz="6" w:space="0" w:color="auto"/>
              <w:right w:val="nil" w:sz="6" w:space="0" w:color="auto"/>
            </w:tcBorders>
          </w:tcPr>
          <w:p>
            <w:pPr/>
          </w:p>
        </w:tc>
        <w:tc>
          <w:tcPr>
            <w:tcW w:w="492"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
              <w:jc w:val="center"/>
              <w:rPr>
                <w:rFonts w:ascii="Times New Roman" w:hAnsi="Times New Roman" w:cs="Times New Roman" w:eastAsia="Times New Roman" w:hint="default"/>
                <w:sz w:val="16"/>
                <w:szCs w:val="16"/>
              </w:rPr>
            </w:pPr>
            <w:r>
              <w:rPr>
                <w:rFonts w:ascii="Times New Roman"/>
                <w:sz w:val="16"/>
              </w:rPr>
              <w:t>15.00</w:t>
            </w:r>
          </w:p>
        </w:tc>
      </w:tr>
      <w:tr>
        <w:trPr>
          <w:trHeight w:val="349" w:hRule="exact"/>
        </w:trPr>
        <w:tc>
          <w:tcPr>
            <w:tcW w:w="481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宋体" w:hAnsi="宋体" w:cs="宋体" w:eastAsia="宋体" w:hint="default"/>
                <w:sz w:val="16"/>
                <w:szCs w:val="16"/>
              </w:rPr>
              <w:t>长沙湘计海盾科技有限公司</w:t>
            </w:r>
          </w:p>
        </w:tc>
        <w:tc>
          <w:tcPr>
            <w:tcW w:w="2808" w:type="dxa"/>
            <w:tcBorders>
              <w:top w:val="nil" w:sz="6" w:space="0" w:color="auto"/>
              <w:left w:val="nil" w:sz="6" w:space="0" w:color="auto"/>
              <w:bottom w:val="nil" w:sz="6" w:space="0" w:color="auto"/>
              <w:right w:val="nil" w:sz="6" w:space="0" w:color="auto"/>
            </w:tcBorders>
          </w:tcPr>
          <w:p>
            <w:pPr/>
          </w:p>
        </w:tc>
        <w:tc>
          <w:tcPr>
            <w:tcW w:w="492"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
              <w:jc w:val="center"/>
              <w:rPr>
                <w:rFonts w:ascii="Times New Roman" w:hAnsi="Times New Roman" w:cs="Times New Roman" w:eastAsia="Times New Roman" w:hint="default"/>
                <w:sz w:val="16"/>
                <w:szCs w:val="16"/>
              </w:rPr>
            </w:pPr>
            <w:r>
              <w:rPr>
                <w:rFonts w:ascii="Times New Roman"/>
                <w:sz w:val="16"/>
              </w:rPr>
              <w:t>15.00</w:t>
            </w:r>
          </w:p>
        </w:tc>
      </w:tr>
      <w:tr>
        <w:trPr>
          <w:trHeight w:val="349" w:hRule="exact"/>
        </w:trPr>
        <w:tc>
          <w:tcPr>
            <w:tcW w:w="481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宋体" w:hAnsi="宋体" w:cs="宋体" w:eastAsia="宋体" w:hint="default"/>
                <w:sz w:val="16"/>
                <w:szCs w:val="16"/>
              </w:rPr>
              <w:t>湖南长城医疗科技有限公司</w:t>
            </w:r>
          </w:p>
        </w:tc>
        <w:tc>
          <w:tcPr>
            <w:tcW w:w="2808" w:type="dxa"/>
            <w:tcBorders>
              <w:top w:val="nil" w:sz="6" w:space="0" w:color="auto"/>
              <w:left w:val="nil" w:sz="6" w:space="0" w:color="auto"/>
              <w:bottom w:val="nil" w:sz="6" w:space="0" w:color="auto"/>
              <w:right w:val="nil" w:sz="6" w:space="0" w:color="auto"/>
            </w:tcBorders>
          </w:tcPr>
          <w:p>
            <w:pPr/>
          </w:p>
        </w:tc>
        <w:tc>
          <w:tcPr>
            <w:tcW w:w="492"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
              <w:jc w:val="center"/>
              <w:rPr>
                <w:rFonts w:ascii="Times New Roman" w:hAnsi="Times New Roman" w:cs="Times New Roman" w:eastAsia="Times New Roman" w:hint="default"/>
                <w:sz w:val="16"/>
                <w:szCs w:val="16"/>
              </w:rPr>
            </w:pPr>
            <w:r>
              <w:rPr>
                <w:rFonts w:ascii="Times New Roman"/>
                <w:sz w:val="16"/>
              </w:rPr>
              <w:t>15.00</w:t>
            </w:r>
          </w:p>
        </w:tc>
      </w:tr>
      <w:tr>
        <w:trPr>
          <w:trHeight w:val="349" w:hRule="exact"/>
        </w:trPr>
        <w:tc>
          <w:tcPr>
            <w:tcW w:w="4812" w:type="dxa"/>
            <w:tcBorders>
              <w:top w:val="nil" w:sz="6" w:space="0" w:color="auto"/>
              <w:left w:val="nil" w:sz="6" w:space="0" w:color="auto"/>
              <w:bottom w:val="nil" w:sz="6" w:space="0" w:color="auto"/>
              <w:right w:val="nil" w:sz="6" w:space="0" w:color="auto"/>
            </w:tcBorders>
          </w:tcPr>
          <w:p>
            <w:pPr>
              <w:pStyle w:val="TableParagraph"/>
              <w:spacing w:line="240" w:lineRule="auto" w:before="37"/>
              <w:ind w:left="70" w:right="0"/>
              <w:jc w:val="left"/>
              <w:rPr>
                <w:rFonts w:ascii="宋体" w:hAnsi="宋体" w:cs="宋体" w:eastAsia="宋体" w:hint="default"/>
                <w:sz w:val="16"/>
                <w:szCs w:val="16"/>
              </w:rPr>
            </w:pPr>
            <w:r>
              <w:rPr>
                <w:rFonts w:ascii="宋体" w:hAnsi="宋体" w:cs="宋体" w:eastAsia="宋体" w:hint="default"/>
                <w:sz w:val="16"/>
                <w:szCs w:val="16"/>
              </w:rPr>
              <w:t>长沙中电软件园有限公司</w:t>
            </w:r>
          </w:p>
        </w:tc>
        <w:tc>
          <w:tcPr>
            <w:tcW w:w="2808" w:type="dxa"/>
            <w:tcBorders>
              <w:top w:val="nil" w:sz="6" w:space="0" w:color="auto"/>
              <w:left w:val="nil" w:sz="6" w:space="0" w:color="auto"/>
              <w:bottom w:val="nil" w:sz="6" w:space="0" w:color="auto"/>
              <w:right w:val="nil" w:sz="6" w:space="0" w:color="auto"/>
            </w:tcBorders>
          </w:tcPr>
          <w:p>
            <w:pPr/>
          </w:p>
        </w:tc>
        <w:tc>
          <w:tcPr>
            <w:tcW w:w="49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6"/>
              <w:jc w:val="center"/>
              <w:rPr>
                <w:rFonts w:ascii="Times New Roman" w:hAnsi="Times New Roman" w:cs="Times New Roman" w:eastAsia="Times New Roman" w:hint="default"/>
                <w:sz w:val="16"/>
                <w:szCs w:val="16"/>
              </w:rPr>
            </w:pPr>
            <w:r>
              <w:rPr>
                <w:rFonts w:ascii="Times New Roman"/>
                <w:sz w:val="16"/>
              </w:rPr>
              <w:t>25.00</w:t>
            </w:r>
          </w:p>
        </w:tc>
      </w:tr>
      <w:tr>
        <w:trPr>
          <w:trHeight w:val="349" w:hRule="exact"/>
        </w:trPr>
        <w:tc>
          <w:tcPr>
            <w:tcW w:w="4812" w:type="dxa"/>
            <w:tcBorders>
              <w:top w:val="nil" w:sz="6" w:space="0" w:color="auto"/>
              <w:left w:val="nil" w:sz="6" w:space="0" w:color="auto"/>
              <w:bottom w:val="nil" w:sz="6" w:space="0" w:color="auto"/>
              <w:right w:val="nil" w:sz="6" w:space="0" w:color="auto"/>
            </w:tcBorders>
          </w:tcPr>
          <w:p>
            <w:pPr>
              <w:pStyle w:val="TableParagraph"/>
              <w:spacing w:line="240" w:lineRule="auto" w:before="37"/>
              <w:ind w:left="70" w:right="0"/>
              <w:jc w:val="left"/>
              <w:rPr>
                <w:rFonts w:ascii="宋体" w:hAnsi="宋体" w:cs="宋体" w:eastAsia="宋体" w:hint="default"/>
                <w:sz w:val="16"/>
                <w:szCs w:val="16"/>
              </w:rPr>
            </w:pPr>
            <w:r>
              <w:rPr>
                <w:rFonts w:ascii="宋体" w:hAnsi="宋体" w:cs="宋体" w:eastAsia="宋体" w:hint="default"/>
                <w:sz w:val="16"/>
                <w:szCs w:val="16"/>
              </w:rPr>
              <w:t>湖南凯杰科技有限责任公司</w:t>
            </w:r>
          </w:p>
        </w:tc>
        <w:tc>
          <w:tcPr>
            <w:tcW w:w="2808" w:type="dxa"/>
            <w:tcBorders>
              <w:top w:val="nil" w:sz="6" w:space="0" w:color="auto"/>
              <w:left w:val="nil" w:sz="6" w:space="0" w:color="auto"/>
              <w:bottom w:val="nil" w:sz="6" w:space="0" w:color="auto"/>
              <w:right w:val="nil" w:sz="6" w:space="0" w:color="auto"/>
            </w:tcBorders>
          </w:tcPr>
          <w:p>
            <w:pPr/>
          </w:p>
        </w:tc>
        <w:tc>
          <w:tcPr>
            <w:tcW w:w="492"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
              <w:jc w:val="center"/>
              <w:rPr>
                <w:rFonts w:ascii="Times New Roman" w:hAnsi="Times New Roman" w:cs="Times New Roman" w:eastAsia="Times New Roman" w:hint="default"/>
                <w:sz w:val="16"/>
                <w:szCs w:val="16"/>
              </w:rPr>
            </w:pPr>
            <w:r>
              <w:rPr>
                <w:rFonts w:ascii="Times New Roman"/>
                <w:sz w:val="16"/>
              </w:rPr>
              <w:t>15.00</w:t>
            </w:r>
          </w:p>
        </w:tc>
      </w:tr>
      <w:tr>
        <w:trPr>
          <w:trHeight w:val="354" w:hRule="exact"/>
        </w:trPr>
        <w:tc>
          <w:tcPr>
            <w:tcW w:w="481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宋体" w:hAnsi="宋体" w:cs="宋体" w:eastAsia="宋体" w:hint="default"/>
                <w:sz w:val="16"/>
                <w:szCs w:val="16"/>
              </w:rPr>
              <w:t>深圳中电长城信息安全系统有限公司</w:t>
            </w:r>
          </w:p>
        </w:tc>
        <w:tc>
          <w:tcPr>
            <w:tcW w:w="2808" w:type="dxa"/>
            <w:tcBorders>
              <w:top w:val="nil" w:sz="6" w:space="0" w:color="auto"/>
              <w:left w:val="nil" w:sz="6" w:space="0" w:color="auto"/>
              <w:bottom w:val="nil" w:sz="6" w:space="0" w:color="auto"/>
              <w:right w:val="nil" w:sz="6" w:space="0" w:color="auto"/>
            </w:tcBorders>
          </w:tcPr>
          <w:p>
            <w:pPr/>
          </w:p>
        </w:tc>
        <w:tc>
          <w:tcPr>
            <w:tcW w:w="492"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
              <w:jc w:val="center"/>
              <w:rPr>
                <w:rFonts w:ascii="Times New Roman" w:hAnsi="Times New Roman" w:cs="Times New Roman" w:eastAsia="Times New Roman" w:hint="default"/>
                <w:sz w:val="16"/>
                <w:szCs w:val="16"/>
              </w:rPr>
            </w:pPr>
            <w:r>
              <w:rPr>
                <w:rFonts w:ascii="Times New Roman"/>
                <w:sz w:val="16"/>
              </w:rPr>
              <w:t>25.00</w:t>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p>
      <w:pPr>
        <w:pStyle w:val="Heading5"/>
        <w:tabs>
          <w:tab w:pos="851" w:val="left" w:leader="none"/>
        </w:tabs>
        <w:spacing w:line="240" w:lineRule="auto"/>
        <w:ind w:right="3681"/>
        <w:jc w:val="left"/>
        <w:rPr>
          <w:b w:val="0"/>
          <w:bCs w:val="0"/>
        </w:rPr>
      </w:pPr>
      <w:r>
        <w:rPr>
          <w:rFonts w:ascii="Times New Roman" w:hAnsi="Times New Roman" w:cs="Times New Roman" w:eastAsia="Times New Roman" w:hint="default"/>
          <w:w w:val="95"/>
        </w:rPr>
        <w:t>(</w:t>
      </w:r>
      <w:r>
        <w:rPr>
          <w:w w:val="95"/>
        </w:rPr>
        <w:t>二</w:t>
      </w:r>
      <w:r>
        <w:rPr>
          <w:rFonts w:ascii="Times New Roman" w:hAnsi="Times New Roman" w:cs="Times New Roman" w:eastAsia="Times New Roman" w:hint="default"/>
          <w:w w:val="95"/>
        </w:rPr>
        <w:t>)</w:t>
        <w:tab/>
      </w:r>
      <w:r>
        <w:rPr>
          <w:spacing w:val="1"/>
        </w:rPr>
        <w:t>税收优惠</w:t>
      </w:r>
      <w:r>
        <w:rPr>
          <w:b w:val="0"/>
          <w:bCs w:val="0"/>
        </w:rPr>
      </w:r>
    </w:p>
    <w:p>
      <w:pPr>
        <w:pStyle w:val="BodyText"/>
        <w:spacing w:line="240" w:lineRule="auto"/>
        <w:ind w:left="851" w:right="3681"/>
        <w:jc w:val="left"/>
      </w:pPr>
      <w:r>
        <w:rPr>
          <w:rFonts w:ascii="Times New Roman" w:hAnsi="Times New Roman" w:cs="Times New Roman" w:eastAsia="Times New Roman" w:hint="default"/>
        </w:rPr>
        <w:t>1</w:t>
      </w:r>
      <w:r>
        <w:rPr/>
        <w:t>、本报告期享受所得税优惠税率的各级次公司如下：</w:t>
      </w:r>
    </w:p>
    <w:p>
      <w:pPr>
        <w:spacing w:after="0" w:line="240" w:lineRule="auto"/>
        <w:jc w:val="left"/>
        <w:sectPr>
          <w:pgSz w:w="11910" w:h="16840"/>
          <w:pgMar w:header="1302" w:footer="1001" w:top="1520" w:bottom="1200" w:left="1660" w:right="0"/>
        </w:sectPr>
      </w:pPr>
    </w:p>
    <w:p>
      <w:pPr>
        <w:spacing w:line="240" w:lineRule="auto" w:before="8"/>
        <w:rPr>
          <w:rFonts w:ascii="宋体" w:hAnsi="宋体" w:cs="宋体" w:eastAsia="宋体" w:hint="default"/>
          <w:sz w:val="10"/>
          <w:szCs w:val="10"/>
        </w:rPr>
      </w:pPr>
    </w:p>
    <w:p>
      <w:pPr>
        <w:tabs>
          <w:tab w:pos="4030" w:val="left" w:leader="none"/>
          <w:tab w:pos="6955" w:val="left" w:leader="none"/>
        </w:tabs>
        <w:spacing w:before="50"/>
        <w:ind w:left="1984" w:right="1793" w:firstLine="0"/>
        <w:jc w:val="left"/>
        <w:rPr>
          <w:rFonts w:ascii="宋体" w:hAnsi="宋体" w:cs="宋体" w:eastAsia="宋体" w:hint="default"/>
          <w:sz w:val="16"/>
          <w:szCs w:val="16"/>
        </w:rPr>
      </w:pPr>
      <w:r>
        <w:rPr>
          <w:rFonts w:ascii="宋体" w:hAnsi="宋体" w:cs="宋体" w:eastAsia="宋体" w:hint="default"/>
          <w:w w:val="95"/>
          <w:sz w:val="16"/>
          <w:szCs w:val="16"/>
        </w:rPr>
        <w:t>公司名称</w:t>
        <w:tab/>
        <w:t>所得税率（</w:t>
      </w:r>
      <w:r>
        <w:rPr>
          <w:rFonts w:ascii="Times New Roman" w:hAnsi="Times New Roman" w:cs="Times New Roman" w:eastAsia="Times New Roman" w:hint="default"/>
          <w:w w:val="95"/>
          <w:sz w:val="16"/>
          <w:szCs w:val="16"/>
        </w:rPr>
        <w:t>%</w:t>
      </w:r>
      <w:r>
        <w:rPr>
          <w:rFonts w:ascii="宋体" w:hAnsi="宋体" w:cs="宋体" w:eastAsia="宋体" w:hint="default"/>
          <w:w w:val="95"/>
          <w:sz w:val="16"/>
          <w:szCs w:val="16"/>
        </w:rPr>
        <w:t>）</w:t>
        <w:tab/>
      </w:r>
      <w:r>
        <w:rPr>
          <w:rFonts w:ascii="宋体" w:hAnsi="宋体" w:cs="宋体" w:eastAsia="宋体" w:hint="default"/>
          <w:sz w:val="16"/>
          <w:szCs w:val="16"/>
        </w:rPr>
        <w:t>说明</w:t>
      </w:r>
    </w:p>
    <w:p>
      <w:pPr>
        <w:spacing w:before="90"/>
        <w:ind w:left="5404" w:right="0" w:firstLine="0"/>
        <w:jc w:val="left"/>
        <w:rPr>
          <w:rFonts w:ascii="宋体" w:hAnsi="宋体" w:cs="宋体" w:eastAsia="宋体" w:hint="default"/>
          <w:sz w:val="16"/>
          <w:szCs w:val="16"/>
        </w:rPr>
      </w:pPr>
      <w:r>
        <w:rPr>
          <w:rFonts w:ascii="宋体" w:hAnsi="宋体" w:cs="宋体" w:eastAsia="宋体" w:hint="default"/>
          <w:spacing w:val="17"/>
          <w:sz w:val="16"/>
          <w:szCs w:val="16"/>
        </w:rPr>
        <w:t>公司被批准认</w:t>
      </w:r>
      <w:r>
        <w:rPr>
          <w:rFonts w:ascii="宋体" w:hAnsi="宋体" w:cs="宋体" w:eastAsia="宋体" w:hint="default"/>
          <w:spacing w:val="-58"/>
          <w:sz w:val="16"/>
          <w:szCs w:val="16"/>
        </w:rPr>
        <w:t> </w:t>
      </w:r>
      <w:r>
        <w:rPr>
          <w:rFonts w:ascii="宋体" w:hAnsi="宋体" w:cs="宋体" w:eastAsia="宋体" w:hint="default"/>
          <w:spacing w:val="17"/>
          <w:sz w:val="16"/>
          <w:szCs w:val="16"/>
        </w:rPr>
        <w:t>定为高新技术</w:t>
      </w:r>
      <w:r>
        <w:rPr>
          <w:rFonts w:ascii="宋体" w:hAnsi="宋体" w:cs="宋体" w:eastAsia="宋体" w:hint="default"/>
          <w:spacing w:val="-58"/>
          <w:sz w:val="16"/>
          <w:szCs w:val="16"/>
        </w:rPr>
        <w:t> </w:t>
      </w:r>
      <w:r>
        <w:rPr>
          <w:rFonts w:ascii="宋体" w:hAnsi="宋体" w:cs="宋体" w:eastAsia="宋体" w:hint="default"/>
          <w:spacing w:val="17"/>
          <w:sz w:val="16"/>
          <w:szCs w:val="16"/>
        </w:rPr>
        <w:t>企业，证书编</w:t>
      </w:r>
      <w:r>
        <w:rPr>
          <w:rFonts w:ascii="宋体" w:hAnsi="宋体" w:cs="宋体" w:eastAsia="宋体" w:hint="default"/>
          <w:spacing w:val="-58"/>
          <w:sz w:val="16"/>
          <w:szCs w:val="16"/>
        </w:rPr>
        <w:t> </w:t>
      </w:r>
      <w:r>
        <w:rPr>
          <w:rFonts w:ascii="宋体" w:hAnsi="宋体" w:cs="宋体" w:eastAsia="宋体" w:hint="default"/>
          <w:sz w:val="16"/>
          <w:szCs w:val="16"/>
        </w:rPr>
        <w:t>号</w:t>
      </w:r>
    </w:p>
    <w:p>
      <w:pPr>
        <w:spacing w:after="0"/>
        <w:jc w:val="left"/>
        <w:rPr>
          <w:rFonts w:ascii="宋体" w:hAnsi="宋体" w:cs="宋体" w:eastAsia="宋体" w:hint="default"/>
          <w:sz w:val="16"/>
          <w:szCs w:val="16"/>
        </w:rPr>
        <w:sectPr>
          <w:pgSz w:w="11910" w:h="16840"/>
          <w:pgMar w:header="1302" w:footer="1001" w:top="1520" w:bottom="1200" w:left="1660" w:right="0"/>
        </w:sectPr>
      </w:pPr>
    </w:p>
    <w:p>
      <w:pPr>
        <w:tabs>
          <w:tab w:pos="4828" w:val="left" w:leader="none"/>
        </w:tabs>
        <w:spacing w:before="3"/>
        <w:ind w:left="857" w:right="-19" w:firstLine="0"/>
        <w:jc w:val="left"/>
        <w:rPr>
          <w:rFonts w:ascii="Times New Roman" w:hAnsi="Times New Roman" w:cs="Times New Roman" w:eastAsia="Times New Roman" w:hint="default"/>
          <w:sz w:val="16"/>
          <w:szCs w:val="16"/>
        </w:rPr>
      </w:pPr>
      <w:r>
        <w:rPr>
          <w:rFonts w:ascii="宋体" w:hAnsi="宋体" w:cs="宋体" w:eastAsia="宋体" w:hint="default"/>
          <w:w w:val="95"/>
          <w:sz w:val="16"/>
          <w:szCs w:val="16"/>
        </w:rPr>
        <w:t>中国长城科技集团股份有限公司</w:t>
      </w:r>
      <w:r>
        <w:rPr>
          <w:rFonts w:ascii="Times New Roman" w:hAnsi="Times New Roman" w:cs="Times New Roman" w:eastAsia="Times New Roman" w:hint="default"/>
          <w:w w:val="95"/>
          <w:sz w:val="16"/>
          <w:szCs w:val="16"/>
        </w:rPr>
        <w:tab/>
      </w:r>
      <w:r>
        <w:rPr>
          <w:rFonts w:ascii="Times New Roman" w:hAnsi="Times New Roman" w:cs="Times New Roman" w:eastAsia="Times New Roman" w:hint="default"/>
          <w:sz w:val="16"/>
          <w:szCs w:val="16"/>
        </w:rPr>
        <w:t>15.00</w:t>
      </w:r>
    </w:p>
    <w:p>
      <w:pPr>
        <w:spacing w:line="240" w:lineRule="auto" w:before="0"/>
        <w:rPr>
          <w:rFonts w:ascii="Times New Roman" w:hAnsi="Times New Roman" w:cs="Times New Roman" w:eastAsia="Times New Roman" w:hint="default"/>
          <w:sz w:val="16"/>
          <w:szCs w:val="16"/>
        </w:rPr>
      </w:pPr>
    </w:p>
    <w:p>
      <w:pPr>
        <w:spacing w:line="240" w:lineRule="auto" w:before="0"/>
        <w:rPr>
          <w:rFonts w:ascii="Times New Roman" w:hAnsi="Times New Roman" w:cs="Times New Roman" w:eastAsia="Times New Roman" w:hint="default"/>
          <w:sz w:val="16"/>
          <w:szCs w:val="16"/>
        </w:rPr>
      </w:pPr>
    </w:p>
    <w:p>
      <w:pPr>
        <w:spacing w:line="240" w:lineRule="auto" w:before="0"/>
        <w:rPr>
          <w:rFonts w:ascii="Times New Roman" w:hAnsi="Times New Roman" w:cs="Times New Roman" w:eastAsia="Times New Roman" w:hint="default"/>
          <w:sz w:val="16"/>
          <w:szCs w:val="16"/>
        </w:rPr>
      </w:pPr>
    </w:p>
    <w:p>
      <w:pPr>
        <w:spacing w:line="240" w:lineRule="auto" w:before="8"/>
        <w:rPr>
          <w:rFonts w:ascii="Times New Roman" w:hAnsi="Times New Roman" w:cs="Times New Roman" w:eastAsia="Times New Roman" w:hint="default"/>
          <w:sz w:val="19"/>
          <w:szCs w:val="19"/>
        </w:rPr>
      </w:pPr>
    </w:p>
    <w:p>
      <w:pPr>
        <w:tabs>
          <w:tab w:pos="4828" w:val="left" w:leader="none"/>
        </w:tabs>
        <w:spacing w:before="0"/>
        <w:ind w:left="857" w:right="-19" w:firstLine="0"/>
        <w:jc w:val="left"/>
        <w:rPr>
          <w:rFonts w:ascii="Times New Roman" w:hAnsi="Times New Roman" w:cs="Times New Roman" w:eastAsia="Times New Roman" w:hint="default"/>
          <w:sz w:val="16"/>
          <w:szCs w:val="16"/>
        </w:rPr>
      </w:pPr>
      <w:r>
        <w:rPr>
          <w:rFonts w:ascii="宋体" w:hAnsi="宋体" w:cs="宋体" w:eastAsia="宋体" w:hint="default"/>
          <w:w w:val="95"/>
          <w:sz w:val="16"/>
          <w:szCs w:val="16"/>
        </w:rPr>
        <w:t>宝辉科技（龙南）有限公司</w:t>
      </w:r>
      <w:r>
        <w:rPr>
          <w:rFonts w:ascii="Times New Roman" w:hAnsi="Times New Roman" w:cs="Times New Roman" w:eastAsia="Times New Roman" w:hint="default"/>
          <w:w w:val="95"/>
          <w:sz w:val="16"/>
          <w:szCs w:val="16"/>
        </w:rPr>
        <w:tab/>
      </w:r>
      <w:r>
        <w:rPr>
          <w:rFonts w:ascii="Times New Roman" w:hAnsi="Times New Roman" w:cs="Times New Roman" w:eastAsia="Times New Roman" w:hint="default"/>
          <w:sz w:val="16"/>
          <w:szCs w:val="16"/>
        </w:rPr>
        <w:t>15.00</w:t>
      </w:r>
    </w:p>
    <w:p>
      <w:pPr>
        <w:spacing w:line="206" w:lineRule="exact" w:before="20"/>
        <w:ind w:left="174" w:right="1410" w:firstLine="0"/>
        <w:jc w:val="both"/>
        <w:rPr>
          <w:rFonts w:ascii="宋体" w:hAnsi="宋体" w:cs="宋体" w:eastAsia="宋体" w:hint="default"/>
          <w:sz w:val="16"/>
          <w:szCs w:val="16"/>
        </w:rPr>
      </w:pPr>
      <w:r>
        <w:rPr>
          <w:w w:val="95"/>
        </w:rPr>
        <w:br w:type="column"/>
      </w:r>
      <w:r>
        <w:rPr>
          <w:rFonts w:ascii="Times New Roman" w:hAnsi="Times New Roman" w:cs="Times New Roman" w:eastAsia="Times New Roman" w:hint="default"/>
          <w:w w:val="95"/>
          <w:sz w:val="16"/>
          <w:szCs w:val="16"/>
        </w:rPr>
        <w:t>GR201744204644</w:t>
      </w:r>
      <w:r>
        <w:rPr>
          <w:rFonts w:ascii="宋体" w:hAnsi="宋体" w:cs="宋体" w:eastAsia="宋体" w:hint="default"/>
          <w:w w:val="95"/>
          <w:sz w:val="16"/>
          <w:szCs w:val="16"/>
        </w:rPr>
        <w:t>，有效期三年，</w:t>
      </w:r>
      <w:r>
        <w:rPr>
          <w:rFonts w:ascii="Times New Roman" w:hAnsi="Times New Roman" w:cs="Times New Roman" w:eastAsia="Times New Roman" w:hint="default"/>
          <w:w w:val="95"/>
          <w:sz w:val="16"/>
          <w:szCs w:val="16"/>
        </w:rPr>
        <w:t>2018 </w:t>
      </w:r>
      <w:r>
        <w:rPr>
          <w:rFonts w:ascii="宋体" w:hAnsi="宋体" w:cs="宋体" w:eastAsia="宋体" w:hint="default"/>
          <w:w w:val="95"/>
          <w:sz w:val="16"/>
          <w:szCs w:val="16"/>
        </w:rPr>
        <w:t>年享受所得</w:t>
      </w:r>
      <w:r>
        <w:rPr>
          <w:rFonts w:ascii="宋体" w:hAnsi="宋体" w:cs="宋体" w:eastAsia="宋体" w:hint="default"/>
          <w:spacing w:val="-29"/>
          <w:w w:val="95"/>
          <w:sz w:val="16"/>
          <w:szCs w:val="16"/>
        </w:rPr>
        <w:t> </w:t>
      </w:r>
      <w:r>
        <w:rPr>
          <w:rFonts w:ascii="宋体" w:hAnsi="宋体" w:cs="宋体" w:eastAsia="宋体" w:hint="default"/>
          <w:sz w:val="16"/>
          <w:szCs w:val="16"/>
        </w:rPr>
        <w:t>税</w:t>
      </w:r>
      <w:r>
        <w:rPr>
          <w:rFonts w:ascii="宋体" w:hAnsi="宋体" w:cs="宋体" w:eastAsia="宋体" w:hint="default"/>
          <w:spacing w:val="-44"/>
          <w:sz w:val="16"/>
          <w:szCs w:val="16"/>
        </w:rPr>
        <w:t> </w:t>
      </w:r>
      <w:r>
        <w:rPr>
          <w:rFonts w:ascii="Times New Roman" w:hAnsi="Times New Roman" w:cs="Times New Roman" w:eastAsia="Times New Roman" w:hint="default"/>
          <w:sz w:val="16"/>
          <w:szCs w:val="16"/>
        </w:rPr>
        <w:t>15%</w:t>
      </w:r>
      <w:r>
        <w:rPr>
          <w:rFonts w:ascii="宋体" w:hAnsi="宋体" w:cs="宋体" w:eastAsia="宋体" w:hint="default"/>
          <w:sz w:val="16"/>
          <w:szCs w:val="16"/>
        </w:rPr>
        <w:t>的优惠税率</w:t>
      </w:r>
    </w:p>
    <w:p>
      <w:pPr>
        <w:spacing w:before="45"/>
        <w:ind w:left="174" w:right="1410" w:firstLine="0"/>
        <w:jc w:val="both"/>
        <w:rPr>
          <w:rFonts w:ascii="宋体" w:hAnsi="宋体" w:cs="宋体" w:eastAsia="宋体" w:hint="default"/>
          <w:sz w:val="16"/>
          <w:szCs w:val="16"/>
        </w:rPr>
      </w:pPr>
      <w:r>
        <w:rPr>
          <w:rFonts w:ascii="宋体" w:hAnsi="宋体" w:cs="宋体" w:eastAsia="宋体" w:hint="default"/>
          <w:spacing w:val="3"/>
          <w:sz w:val="16"/>
          <w:szCs w:val="16"/>
        </w:rPr>
        <w:t>公司设立于赣州市的生产性外商投资企业，根据</w:t>
      </w:r>
      <w:r>
        <w:rPr>
          <w:rFonts w:ascii="宋体" w:hAnsi="宋体" w:cs="宋体" w:eastAsia="宋体" w:hint="default"/>
          <w:spacing w:val="3"/>
          <w:w w:val="99"/>
          <w:sz w:val="16"/>
          <w:szCs w:val="16"/>
        </w:rPr>
        <w:t> </w:t>
      </w:r>
      <w:r>
        <w:rPr>
          <w:rFonts w:ascii="宋体" w:hAnsi="宋体" w:cs="宋体" w:eastAsia="宋体" w:hint="default"/>
          <w:spacing w:val="3"/>
          <w:sz w:val="16"/>
          <w:szCs w:val="16"/>
        </w:rPr>
        <w:t>赣州国税局《关于赣州市执行西部大开发税收政</w:t>
      </w:r>
      <w:r>
        <w:rPr>
          <w:rFonts w:ascii="宋体" w:hAnsi="宋体" w:cs="宋体" w:eastAsia="宋体" w:hint="default"/>
          <w:spacing w:val="3"/>
          <w:w w:val="99"/>
          <w:sz w:val="16"/>
          <w:szCs w:val="16"/>
        </w:rPr>
        <w:t> </w:t>
      </w:r>
      <w:r>
        <w:rPr>
          <w:rFonts w:ascii="宋体" w:hAnsi="宋体" w:cs="宋体" w:eastAsia="宋体" w:hint="default"/>
          <w:sz w:val="16"/>
          <w:szCs w:val="16"/>
        </w:rPr>
        <w:t>策问题的通知》有关政策，自</w:t>
      </w:r>
      <w:r>
        <w:rPr>
          <w:rFonts w:ascii="宋体" w:hAnsi="宋体" w:cs="宋体" w:eastAsia="宋体" w:hint="default"/>
          <w:spacing w:val="-44"/>
          <w:sz w:val="16"/>
          <w:szCs w:val="16"/>
        </w:rPr>
        <w:t> </w:t>
      </w:r>
      <w:r>
        <w:rPr>
          <w:rFonts w:ascii="Times New Roman" w:hAnsi="Times New Roman" w:cs="Times New Roman" w:eastAsia="Times New Roman" w:hint="default"/>
          <w:sz w:val="16"/>
          <w:szCs w:val="16"/>
        </w:rPr>
        <w:t>2012</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年</w:t>
      </w:r>
      <w:r>
        <w:rPr>
          <w:rFonts w:ascii="宋体" w:hAnsi="宋体" w:cs="宋体" w:eastAsia="宋体" w:hint="default"/>
          <w:spacing w:val="-44"/>
          <w:sz w:val="16"/>
          <w:szCs w:val="16"/>
        </w:rPr>
        <w:t> </w:t>
      </w: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月</w:t>
      </w:r>
      <w:r>
        <w:rPr>
          <w:rFonts w:ascii="宋体" w:hAnsi="宋体" w:cs="宋体" w:eastAsia="宋体" w:hint="default"/>
          <w:spacing w:val="-44"/>
          <w:sz w:val="16"/>
          <w:szCs w:val="16"/>
        </w:rPr>
        <w:t> </w:t>
      </w: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日至</w:t>
      </w:r>
    </w:p>
    <w:p>
      <w:pPr>
        <w:spacing w:line="208" w:lineRule="exact" w:before="6"/>
        <w:ind w:left="174" w:right="1410" w:firstLine="0"/>
        <w:jc w:val="both"/>
        <w:rPr>
          <w:rFonts w:ascii="宋体" w:hAnsi="宋体" w:cs="宋体" w:eastAsia="宋体" w:hint="default"/>
          <w:sz w:val="16"/>
          <w:szCs w:val="16"/>
        </w:rPr>
      </w:pPr>
      <w:r>
        <w:rPr>
          <w:rFonts w:ascii="Times New Roman" w:hAnsi="Times New Roman" w:cs="Times New Roman" w:eastAsia="Times New Roman" w:hint="default"/>
          <w:sz w:val="16"/>
          <w:szCs w:val="16"/>
        </w:rPr>
        <w:t>2020</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年</w:t>
      </w:r>
      <w:r>
        <w:rPr>
          <w:rFonts w:ascii="宋体" w:hAnsi="宋体" w:cs="宋体" w:eastAsia="宋体" w:hint="default"/>
          <w:spacing w:val="-37"/>
          <w:sz w:val="16"/>
          <w:szCs w:val="16"/>
        </w:rPr>
        <w:t> </w:t>
      </w:r>
      <w:r>
        <w:rPr>
          <w:rFonts w:ascii="Times New Roman" w:hAnsi="Times New Roman" w:cs="Times New Roman" w:eastAsia="Times New Roman" w:hint="default"/>
          <w:sz w:val="16"/>
          <w:szCs w:val="16"/>
        </w:rPr>
        <w:t>12</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月</w:t>
      </w:r>
      <w:r>
        <w:rPr>
          <w:rFonts w:ascii="宋体" w:hAnsi="宋体" w:cs="宋体" w:eastAsia="宋体" w:hint="default"/>
          <w:spacing w:val="-37"/>
          <w:sz w:val="16"/>
          <w:szCs w:val="16"/>
        </w:rPr>
        <w:t> </w:t>
      </w:r>
      <w:r>
        <w:rPr>
          <w:rFonts w:ascii="Times New Roman" w:hAnsi="Times New Roman" w:cs="Times New Roman" w:eastAsia="Times New Roman" w:hint="default"/>
          <w:sz w:val="16"/>
          <w:szCs w:val="16"/>
        </w:rPr>
        <w:t>31</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日，对设在赣州市的鼓励类产业</w:t>
      </w:r>
      <w:r>
        <w:rPr>
          <w:rFonts w:ascii="宋体" w:hAnsi="宋体" w:cs="宋体" w:eastAsia="宋体" w:hint="default"/>
          <w:w w:val="99"/>
          <w:sz w:val="16"/>
          <w:szCs w:val="16"/>
        </w:rPr>
        <w:t> </w:t>
      </w:r>
      <w:r>
        <w:rPr>
          <w:rFonts w:ascii="宋体" w:hAnsi="宋体" w:cs="宋体" w:eastAsia="宋体" w:hint="default"/>
          <w:sz w:val="16"/>
          <w:szCs w:val="16"/>
        </w:rPr>
        <w:t>的内资企业和外商投资企业减按</w:t>
      </w:r>
      <w:r>
        <w:rPr>
          <w:rFonts w:ascii="宋体" w:hAnsi="宋体" w:cs="宋体" w:eastAsia="宋体" w:hint="default"/>
          <w:spacing w:val="7"/>
          <w:sz w:val="16"/>
          <w:szCs w:val="16"/>
        </w:rPr>
        <w:t> </w:t>
      </w:r>
      <w:r>
        <w:rPr>
          <w:rFonts w:ascii="Times New Roman" w:hAnsi="Times New Roman" w:cs="Times New Roman" w:eastAsia="Times New Roman" w:hint="default"/>
          <w:sz w:val="16"/>
          <w:szCs w:val="16"/>
        </w:rPr>
        <w:t>15%</w:t>
      </w:r>
      <w:r>
        <w:rPr>
          <w:rFonts w:ascii="宋体" w:hAnsi="宋体" w:cs="宋体" w:eastAsia="宋体" w:hint="default"/>
          <w:sz w:val="16"/>
          <w:szCs w:val="16"/>
        </w:rPr>
        <w:t>的税率征收</w:t>
      </w:r>
      <w:r>
        <w:rPr>
          <w:rFonts w:ascii="宋体" w:hAnsi="宋体" w:cs="宋体" w:eastAsia="宋体" w:hint="default"/>
          <w:spacing w:val="1"/>
          <w:w w:val="99"/>
          <w:sz w:val="16"/>
          <w:szCs w:val="16"/>
        </w:rPr>
        <w:t> </w:t>
      </w:r>
      <w:r>
        <w:rPr>
          <w:rFonts w:ascii="宋体" w:hAnsi="宋体" w:cs="宋体" w:eastAsia="宋体" w:hint="default"/>
          <w:sz w:val="16"/>
          <w:szCs w:val="16"/>
        </w:rPr>
        <w:t>企业所得税</w:t>
      </w:r>
    </w:p>
    <w:p>
      <w:pPr>
        <w:spacing w:after="0" w:line="208" w:lineRule="exact"/>
        <w:jc w:val="both"/>
        <w:rPr>
          <w:rFonts w:ascii="宋体" w:hAnsi="宋体" w:cs="宋体" w:eastAsia="宋体" w:hint="default"/>
          <w:sz w:val="16"/>
          <w:szCs w:val="16"/>
        </w:rPr>
        <w:sectPr>
          <w:type w:val="continuous"/>
          <w:pgSz w:w="11910" w:h="16840"/>
          <w:pgMar w:top="1100" w:bottom="700" w:left="1660" w:right="0"/>
          <w:cols w:num="2" w:equalWidth="0">
            <w:col w:w="5190" w:space="40"/>
            <w:col w:w="5020"/>
          </w:cols>
        </w:sectPr>
      </w:pPr>
    </w:p>
    <w:p>
      <w:pPr>
        <w:spacing w:line="240" w:lineRule="auto" w:before="6"/>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type w:val="continuous"/>
          <w:pgSz w:w="11910" w:h="16840"/>
          <w:pgMar w:top="1100" w:bottom="700" w:left="1660" w:right="0"/>
        </w:sectPr>
      </w:pPr>
    </w:p>
    <w:p>
      <w:pPr>
        <w:spacing w:line="240" w:lineRule="auto" w:before="0"/>
        <w:rPr>
          <w:rFonts w:ascii="宋体" w:hAnsi="宋体" w:cs="宋体" w:eastAsia="宋体" w:hint="default"/>
          <w:sz w:val="16"/>
          <w:szCs w:val="16"/>
        </w:rPr>
      </w:pPr>
    </w:p>
    <w:p>
      <w:pPr>
        <w:spacing w:line="240" w:lineRule="auto" w:before="1"/>
        <w:rPr>
          <w:rFonts w:ascii="宋体" w:hAnsi="宋体" w:cs="宋体" w:eastAsia="宋体" w:hint="default"/>
          <w:sz w:val="12"/>
          <w:szCs w:val="12"/>
        </w:rPr>
      </w:pPr>
    </w:p>
    <w:p>
      <w:pPr>
        <w:tabs>
          <w:tab w:pos="4828" w:val="left" w:leader="none"/>
        </w:tabs>
        <w:spacing w:before="0"/>
        <w:ind w:left="857" w:right="-19" w:firstLine="0"/>
        <w:jc w:val="left"/>
        <w:rPr>
          <w:rFonts w:ascii="Times New Roman" w:hAnsi="Times New Roman" w:cs="Times New Roman" w:eastAsia="Times New Roman" w:hint="default"/>
          <w:sz w:val="16"/>
          <w:szCs w:val="16"/>
        </w:rPr>
      </w:pPr>
      <w:r>
        <w:rPr>
          <w:rFonts w:ascii="宋体" w:hAnsi="宋体" w:cs="宋体" w:eastAsia="宋体" w:hint="default"/>
          <w:w w:val="95"/>
          <w:sz w:val="16"/>
          <w:szCs w:val="16"/>
        </w:rPr>
        <w:t>湖南长城信息金融设备有限责任公司</w:t>
      </w:r>
      <w:r>
        <w:rPr>
          <w:rFonts w:ascii="Times New Roman" w:hAnsi="Times New Roman" w:cs="Times New Roman" w:eastAsia="Times New Roman" w:hint="default"/>
          <w:w w:val="95"/>
          <w:sz w:val="16"/>
          <w:szCs w:val="16"/>
        </w:rPr>
        <w:tab/>
      </w:r>
      <w:r>
        <w:rPr>
          <w:rFonts w:ascii="Times New Roman" w:hAnsi="Times New Roman" w:cs="Times New Roman" w:eastAsia="Times New Roman" w:hint="default"/>
          <w:sz w:val="16"/>
          <w:szCs w:val="16"/>
        </w:rPr>
        <w:t>15.00</w:t>
      </w:r>
    </w:p>
    <w:p>
      <w:pPr>
        <w:spacing w:line="208" w:lineRule="exact" w:before="70"/>
        <w:ind w:left="174" w:right="1410" w:firstLine="0"/>
        <w:jc w:val="both"/>
        <w:rPr>
          <w:rFonts w:ascii="宋体" w:hAnsi="宋体" w:cs="宋体" w:eastAsia="宋体" w:hint="default"/>
          <w:sz w:val="16"/>
          <w:szCs w:val="16"/>
        </w:rPr>
      </w:pPr>
      <w:r>
        <w:rPr>
          <w:spacing w:val="3"/>
        </w:rPr>
        <w:br w:type="column"/>
      </w:r>
      <w:r>
        <w:rPr>
          <w:rFonts w:ascii="宋体" w:hAnsi="宋体" w:cs="宋体" w:eastAsia="宋体" w:hint="default"/>
          <w:spacing w:val="3"/>
          <w:sz w:val="16"/>
          <w:szCs w:val="16"/>
        </w:rPr>
        <w:t>经湖南省科学技术厅、湖南省财政厅、湖南省国</w:t>
      </w:r>
      <w:r>
        <w:rPr>
          <w:rFonts w:ascii="宋体" w:hAnsi="宋体" w:cs="宋体" w:eastAsia="宋体" w:hint="default"/>
          <w:spacing w:val="3"/>
          <w:w w:val="99"/>
          <w:sz w:val="16"/>
          <w:szCs w:val="16"/>
        </w:rPr>
        <w:t> </w:t>
      </w:r>
      <w:r>
        <w:rPr>
          <w:rFonts w:ascii="宋体" w:hAnsi="宋体" w:cs="宋体" w:eastAsia="宋体" w:hint="default"/>
          <w:spacing w:val="3"/>
          <w:sz w:val="16"/>
          <w:szCs w:val="16"/>
        </w:rPr>
        <w:t>家税务局、湖南省地方税务局审批，被认定为高</w:t>
      </w:r>
      <w:r>
        <w:rPr>
          <w:rFonts w:ascii="宋体" w:hAnsi="宋体" w:cs="宋体" w:eastAsia="宋体" w:hint="default"/>
          <w:spacing w:val="3"/>
          <w:w w:val="99"/>
          <w:sz w:val="16"/>
          <w:szCs w:val="16"/>
        </w:rPr>
        <w:t> </w:t>
      </w:r>
      <w:r>
        <w:rPr>
          <w:rFonts w:ascii="宋体" w:hAnsi="宋体" w:cs="宋体" w:eastAsia="宋体" w:hint="default"/>
          <w:w w:val="95"/>
          <w:sz w:val="16"/>
          <w:szCs w:val="16"/>
        </w:rPr>
        <w:t>新技术企业，证书编号为 </w:t>
      </w:r>
      <w:r>
        <w:rPr>
          <w:rFonts w:ascii="Times New Roman" w:hAnsi="Times New Roman" w:cs="Times New Roman" w:eastAsia="Times New Roman" w:hint="default"/>
          <w:w w:val="95"/>
          <w:sz w:val="16"/>
          <w:szCs w:val="16"/>
        </w:rPr>
        <w:t>GR201743000180</w:t>
      </w:r>
      <w:r>
        <w:rPr>
          <w:rFonts w:ascii="宋体" w:hAnsi="宋体" w:cs="宋体" w:eastAsia="宋体" w:hint="default"/>
          <w:w w:val="95"/>
          <w:sz w:val="16"/>
          <w:szCs w:val="16"/>
        </w:rPr>
        <w:t>，</w:t>
      </w:r>
      <w:r>
        <w:rPr>
          <w:rFonts w:ascii="Times New Roman" w:hAnsi="Times New Roman" w:cs="Times New Roman" w:eastAsia="Times New Roman" w:hint="default"/>
          <w:w w:val="95"/>
          <w:sz w:val="16"/>
          <w:szCs w:val="16"/>
        </w:rPr>
        <w:t>2018</w:t>
      </w:r>
      <w:r>
        <w:rPr>
          <w:rFonts w:ascii="Times New Roman" w:hAnsi="Times New Roman" w:cs="Times New Roman" w:eastAsia="Times New Roman" w:hint="default"/>
          <w:spacing w:val="12"/>
          <w:w w:val="95"/>
          <w:sz w:val="16"/>
          <w:szCs w:val="16"/>
        </w:rPr>
        <w:t> </w:t>
      </w:r>
      <w:r>
        <w:rPr>
          <w:rFonts w:ascii="宋体" w:hAnsi="宋体" w:cs="宋体" w:eastAsia="宋体" w:hint="default"/>
          <w:sz w:val="16"/>
          <w:szCs w:val="16"/>
        </w:rPr>
        <w:t>年享受所得税</w:t>
      </w:r>
      <w:r>
        <w:rPr>
          <w:rFonts w:ascii="宋体" w:hAnsi="宋体" w:cs="宋体" w:eastAsia="宋体" w:hint="default"/>
          <w:spacing w:val="-44"/>
          <w:sz w:val="16"/>
          <w:szCs w:val="16"/>
        </w:rPr>
        <w:t> </w:t>
      </w:r>
      <w:r>
        <w:rPr>
          <w:rFonts w:ascii="Times New Roman" w:hAnsi="Times New Roman" w:cs="Times New Roman" w:eastAsia="Times New Roman" w:hint="default"/>
          <w:sz w:val="16"/>
          <w:szCs w:val="16"/>
        </w:rPr>
        <w:t>15%</w:t>
      </w:r>
      <w:r>
        <w:rPr>
          <w:rFonts w:ascii="宋体" w:hAnsi="宋体" w:cs="宋体" w:eastAsia="宋体" w:hint="default"/>
          <w:sz w:val="16"/>
          <w:szCs w:val="16"/>
        </w:rPr>
        <w:t>的优惠税率</w:t>
      </w:r>
    </w:p>
    <w:p>
      <w:pPr>
        <w:spacing w:after="0" w:line="208" w:lineRule="exact"/>
        <w:jc w:val="both"/>
        <w:rPr>
          <w:rFonts w:ascii="宋体" w:hAnsi="宋体" w:cs="宋体" w:eastAsia="宋体" w:hint="default"/>
          <w:sz w:val="16"/>
          <w:szCs w:val="16"/>
        </w:rPr>
        <w:sectPr>
          <w:type w:val="continuous"/>
          <w:pgSz w:w="11910" w:h="16840"/>
          <w:pgMar w:top="1100" w:bottom="700" w:left="1660" w:right="0"/>
          <w:cols w:num="2" w:equalWidth="0">
            <w:col w:w="5190" w:space="40"/>
            <w:col w:w="5020"/>
          </w:cols>
        </w:sectPr>
      </w:pPr>
    </w:p>
    <w:p>
      <w:pPr>
        <w:spacing w:line="240" w:lineRule="auto" w:before="6"/>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type w:val="continuous"/>
          <w:pgSz w:w="11910" w:h="16840"/>
          <w:pgMar w:top="1100" w:bottom="700" w:left="1660" w:right="0"/>
        </w:sectPr>
      </w:pPr>
    </w:p>
    <w:p>
      <w:pPr>
        <w:spacing w:line="240" w:lineRule="auto" w:before="0"/>
        <w:rPr>
          <w:rFonts w:ascii="宋体" w:hAnsi="宋体" w:cs="宋体" w:eastAsia="宋体" w:hint="default"/>
          <w:sz w:val="16"/>
          <w:szCs w:val="16"/>
        </w:rPr>
      </w:pPr>
      <w:r>
        <w:rPr/>
        <w:pict>
          <v:group style="position:absolute;margin-left:119.010002pt;margin-top:82.919998pt;width:411.95pt;height:654.4pt;mso-position-horizontal-relative:page;mso-position-vertical-relative:page;z-index:-1400200" coordorigin="2380,1658" coordsize="8239,13088">
            <v:group style="position:absolute;left:2410;top:1673;width:3106;height:2" coordorigin="2410,1673" coordsize="3106,2">
              <v:shape style="position:absolute;left:2410;top:1673;width:3106;height:2" coordorigin="2410,1673" coordsize="3106,0" path="m2410,1673l5515,1673e" filled="false" stroked="true" strokeweight="1.5pt" strokecolor="#000000">
                <v:path arrowok="t"/>
              </v:shape>
              <v:shape style="position:absolute;left:5515;top:1688;width:10;height:28" type="#_x0000_t75" stroked="false">
                <v:imagedata r:id="rId37" o:title=""/>
              </v:shape>
            </v:group>
            <v:group style="position:absolute;left:5515;top:1673;width:1437;height:2" coordorigin="5515,1673" coordsize="1437,2">
              <v:shape style="position:absolute;left:5515;top:1673;width:1437;height:2" coordorigin="5515,1673" coordsize="1437,0" path="m5515,1673l6952,1673e" filled="false" stroked="true" strokeweight="1.5pt" strokecolor="#000000">
                <v:path arrowok="t"/>
              </v:shape>
              <v:shape style="position:absolute;left:6952;top:1688;width:10;height:28" type="#_x0000_t75" stroked="false">
                <v:imagedata r:id="rId37" o:title=""/>
              </v:shape>
            </v:group>
            <v:group style="position:absolute;left:6952;top:1673;width:3646;height:2" coordorigin="6952,1673" coordsize="3646,2">
              <v:shape style="position:absolute;left:6952;top:1673;width:3646;height:2" coordorigin="6952,1673" coordsize="3646,0" path="m6952,1673l10597,1673e" filled="false" stroked="true" strokeweight="1.5pt" strokecolor="#000000">
                <v:path arrowok="t"/>
              </v:shape>
              <v:shape style="position:absolute;left:5496;top:1697;width:1484;height:350" type="#_x0000_t75" stroked="false">
                <v:imagedata r:id="rId52" o:title=""/>
              </v:shape>
            </v:group>
            <v:group style="position:absolute;left:2395;top:14731;width:3120;height:2" coordorigin="2395,14731" coordsize="3120,2">
              <v:shape style="position:absolute;left:2395;top:14731;width:3120;height:2" coordorigin="2395,14731" coordsize="3120,0" path="m2395,14731l5515,14731e" filled="false" stroked="true" strokeweight="1.5pt" strokecolor="#000000">
                <v:path arrowok="t"/>
              </v:shape>
              <v:shape style="position:absolute;left:2390;top:2011;width:8228;height:12720" type="#_x0000_t75" stroked="false">
                <v:imagedata r:id="rId53" o:title=""/>
              </v:shape>
            </v:group>
            <v:group style="position:absolute;left:5515;top:14731;width:1437;height:2" coordorigin="5515,14731" coordsize="1437,2">
              <v:shape style="position:absolute;left:5515;top:14731;width:1437;height:2" coordorigin="5515,14731" coordsize="1437,0" path="m5515,14731l6952,14731e" filled="false" stroked="true" strokeweight="1.5pt" strokecolor="#000000">
                <v:path arrowok="t"/>
              </v:shape>
              <v:shape style="position:absolute;left:6936;top:14051;width:41;height:680" type="#_x0000_t75" stroked="false">
                <v:imagedata r:id="rId54" o:title=""/>
              </v:shape>
            </v:group>
            <v:group style="position:absolute;left:6952;top:14731;width:3646;height:2" coordorigin="6952,14731" coordsize="3646,2">
              <v:shape style="position:absolute;left:6952;top:14731;width:3646;height:2" coordorigin="6952,14731" coordsize="3646,0" path="m6952,14731l10597,14731e" filled="false" stroked="true" strokeweight="1.5pt" strokecolor="#000000">
                <v:path arrowok="t"/>
              </v:shape>
            </v:group>
            <w10:wrap type="none"/>
          </v:group>
        </w:pict>
      </w:r>
    </w:p>
    <w:p>
      <w:pPr>
        <w:spacing w:line="240" w:lineRule="auto" w:before="1"/>
        <w:rPr>
          <w:rFonts w:ascii="宋体" w:hAnsi="宋体" w:cs="宋体" w:eastAsia="宋体" w:hint="default"/>
          <w:sz w:val="12"/>
          <w:szCs w:val="12"/>
        </w:rPr>
      </w:pPr>
    </w:p>
    <w:p>
      <w:pPr>
        <w:tabs>
          <w:tab w:pos="4828" w:val="left" w:leader="none"/>
        </w:tabs>
        <w:spacing w:before="0"/>
        <w:ind w:left="857" w:right="-19" w:firstLine="0"/>
        <w:jc w:val="left"/>
        <w:rPr>
          <w:rFonts w:ascii="Times New Roman" w:hAnsi="Times New Roman" w:cs="Times New Roman" w:eastAsia="Times New Roman" w:hint="default"/>
          <w:sz w:val="16"/>
          <w:szCs w:val="16"/>
        </w:rPr>
      </w:pPr>
      <w:r>
        <w:rPr>
          <w:rFonts w:ascii="宋体" w:hAnsi="宋体" w:cs="宋体" w:eastAsia="宋体" w:hint="default"/>
          <w:w w:val="95"/>
          <w:sz w:val="16"/>
          <w:szCs w:val="16"/>
        </w:rPr>
        <w:t>长沙湘计海盾科技有限公司</w:t>
      </w:r>
      <w:r>
        <w:rPr>
          <w:rFonts w:ascii="Times New Roman" w:hAnsi="Times New Roman" w:cs="Times New Roman" w:eastAsia="Times New Roman" w:hint="default"/>
          <w:w w:val="95"/>
          <w:sz w:val="16"/>
          <w:szCs w:val="16"/>
        </w:rPr>
        <w:tab/>
      </w:r>
      <w:r>
        <w:rPr>
          <w:rFonts w:ascii="Times New Roman" w:hAnsi="Times New Roman" w:cs="Times New Roman" w:eastAsia="Times New Roman" w:hint="default"/>
          <w:sz w:val="16"/>
          <w:szCs w:val="16"/>
        </w:rPr>
        <w:t>15.00</w:t>
      </w:r>
    </w:p>
    <w:p>
      <w:pPr>
        <w:spacing w:line="240" w:lineRule="auto" w:before="0"/>
        <w:rPr>
          <w:rFonts w:ascii="Times New Roman" w:hAnsi="Times New Roman" w:cs="Times New Roman" w:eastAsia="Times New Roman" w:hint="default"/>
          <w:sz w:val="16"/>
          <w:szCs w:val="16"/>
        </w:rPr>
      </w:pPr>
    </w:p>
    <w:p>
      <w:pPr>
        <w:spacing w:line="240" w:lineRule="auto" w:before="0"/>
        <w:rPr>
          <w:rFonts w:ascii="Times New Roman" w:hAnsi="Times New Roman" w:cs="Times New Roman" w:eastAsia="Times New Roman" w:hint="default"/>
          <w:sz w:val="16"/>
          <w:szCs w:val="16"/>
        </w:rPr>
      </w:pPr>
    </w:p>
    <w:p>
      <w:pPr>
        <w:spacing w:line="240" w:lineRule="auto" w:before="0"/>
        <w:rPr>
          <w:rFonts w:ascii="Times New Roman" w:hAnsi="Times New Roman" w:cs="Times New Roman" w:eastAsia="Times New Roman" w:hint="default"/>
          <w:sz w:val="16"/>
          <w:szCs w:val="16"/>
        </w:rPr>
      </w:pPr>
    </w:p>
    <w:p>
      <w:pPr>
        <w:tabs>
          <w:tab w:pos="4828" w:val="left" w:leader="none"/>
        </w:tabs>
        <w:spacing w:before="113"/>
        <w:ind w:left="857" w:right="-19" w:firstLine="0"/>
        <w:jc w:val="left"/>
        <w:rPr>
          <w:rFonts w:ascii="Times New Roman" w:hAnsi="Times New Roman" w:cs="Times New Roman" w:eastAsia="Times New Roman" w:hint="default"/>
          <w:sz w:val="16"/>
          <w:szCs w:val="16"/>
        </w:rPr>
      </w:pPr>
      <w:r>
        <w:rPr>
          <w:rFonts w:ascii="宋体" w:hAnsi="宋体" w:cs="宋体" w:eastAsia="宋体" w:hint="default"/>
          <w:w w:val="95"/>
          <w:position w:val="1"/>
          <w:sz w:val="16"/>
          <w:szCs w:val="16"/>
        </w:rPr>
        <w:t>湖南长城医疗科技有限公司</w:t>
      </w:r>
      <w:r>
        <w:rPr>
          <w:rFonts w:ascii="Times New Roman" w:hAnsi="Times New Roman" w:cs="Times New Roman" w:eastAsia="Times New Roman" w:hint="default"/>
          <w:w w:val="95"/>
          <w:sz w:val="16"/>
          <w:szCs w:val="16"/>
        </w:rPr>
        <w:tab/>
      </w:r>
      <w:r>
        <w:rPr>
          <w:rFonts w:ascii="Times New Roman" w:hAnsi="Times New Roman" w:cs="Times New Roman" w:eastAsia="Times New Roman" w:hint="default"/>
          <w:sz w:val="16"/>
          <w:szCs w:val="16"/>
        </w:rPr>
        <w:t>15.00</w:t>
      </w:r>
    </w:p>
    <w:p>
      <w:pPr>
        <w:spacing w:line="240" w:lineRule="auto" w:before="0"/>
        <w:rPr>
          <w:rFonts w:ascii="Times New Roman" w:hAnsi="Times New Roman" w:cs="Times New Roman" w:eastAsia="Times New Roman" w:hint="default"/>
          <w:sz w:val="16"/>
          <w:szCs w:val="16"/>
        </w:rPr>
      </w:pPr>
    </w:p>
    <w:p>
      <w:pPr>
        <w:spacing w:line="240" w:lineRule="auto" w:before="0"/>
        <w:rPr>
          <w:rFonts w:ascii="Times New Roman" w:hAnsi="Times New Roman" w:cs="Times New Roman" w:eastAsia="Times New Roman" w:hint="default"/>
          <w:sz w:val="16"/>
          <w:szCs w:val="16"/>
        </w:rPr>
      </w:pPr>
    </w:p>
    <w:p>
      <w:pPr>
        <w:spacing w:line="240" w:lineRule="auto" w:before="0"/>
        <w:rPr>
          <w:rFonts w:ascii="Times New Roman" w:hAnsi="Times New Roman" w:cs="Times New Roman" w:eastAsia="Times New Roman" w:hint="default"/>
          <w:sz w:val="16"/>
          <w:szCs w:val="16"/>
        </w:rPr>
      </w:pPr>
    </w:p>
    <w:p>
      <w:pPr>
        <w:tabs>
          <w:tab w:pos="4828" w:val="left" w:leader="none"/>
        </w:tabs>
        <w:spacing w:before="121"/>
        <w:ind w:left="857" w:right="-19" w:firstLine="0"/>
        <w:jc w:val="left"/>
        <w:rPr>
          <w:rFonts w:ascii="Times New Roman" w:hAnsi="Times New Roman" w:cs="Times New Roman" w:eastAsia="Times New Roman" w:hint="default"/>
          <w:sz w:val="16"/>
          <w:szCs w:val="16"/>
        </w:rPr>
      </w:pPr>
      <w:r>
        <w:rPr>
          <w:rFonts w:ascii="宋体" w:hAnsi="宋体" w:cs="宋体" w:eastAsia="宋体" w:hint="default"/>
          <w:w w:val="95"/>
          <w:sz w:val="16"/>
          <w:szCs w:val="16"/>
        </w:rPr>
        <w:t>湖南凯杰科技有限责任公司</w:t>
      </w:r>
      <w:r>
        <w:rPr>
          <w:rFonts w:ascii="Times New Roman" w:hAnsi="Times New Roman" w:cs="Times New Roman" w:eastAsia="Times New Roman" w:hint="default"/>
          <w:w w:val="95"/>
          <w:sz w:val="16"/>
          <w:szCs w:val="16"/>
        </w:rPr>
        <w:tab/>
      </w:r>
      <w:r>
        <w:rPr>
          <w:rFonts w:ascii="Times New Roman" w:hAnsi="Times New Roman" w:cs="Times New Roman" w:eastAsia="Times New Roman" w:hint="default"/>
          <w:sz w:val="16"/>
          <w:szCs w:val="16"/>
        </w:rPr>
        <w:t>15.00</w:t>
      </w:r>
    </w:p>
    <w:p>
      <w:pPr>
        <w:tabs>
          <w:tab w:pos="5189" w:val="right" w:leader="none"/>
        </w:tabs>
        <w:spacing w:before="985"/>
        <w:ind w:left="857" w:right="0" w:firstLine="0"/>
        <w:jc w:val="left"/>
        <w:rPr>
          <w:rFonts w:ascii="Times New Roman" w:hAnsi="Times New Roman" w:cs="Times New Roman" w:eastAsia="Times New Roman" w:hint="default"/>
          <w:sz w:val="16"/>
          <w:szCs w:val="16"/>
        </w:rPr>
      </w:pPr>
      <w:r>
        <w:rPr>
          <w:rFonts w:ascii="宋体" w:hAnsi="宋体" w:cs="宋体" w:eastAsia="宋体" w:hint="default"/>
          <w:sz w:val="16"/>
          <w:szCs w:val="16"/>
        </w:rPr>
        <w:t>中电长城（长沙）信息技术有限公司</w:t>
      </w:r>
      <w:r>
        <w:rPr>
          <w:rFonts w:ascii="Times New Roman" w:hAnsi="Times New Roman" w:cs="Times New Roman" w:eastAsia="Times New Roman" w:hint="default"/>
          <w:sz w:val="16"/>
          <w:szCs w:val="16"/>
        </w:rPr>
        <w:tab/>
        <w:t>12.50</w:t>
      </w:r>
    </w:p>
    <w:p>
      <w:pPr>
        <w:tabs>
          <w:tab w:pos="4828" w:val="left" w:leader="none"/>
        </w:tabs>
        <w:spacing w:before="882"/>
        <w:ind w:left="857" w:right="-19" w:firstLine="0"/>
        <w:jc w:val="left"/>
        <w:rPr>
          <w:rFonts w:ascii="Times New Roman" w:hAnsi="Times New Roman" w:cs="Times New Roman" w:eastAsia="Times New Roman" w:hint="default"/>
          <w:sz w:val="16"/>
          <w:szCs w:val="16"/>
        </w:rPr>
      </w:pPr>
      <w:r>
        <w:rPr>
          <w:rFonts w:ascii="宋体" w:hAnsi="宋体" w:cs="宋体" w:eastAsia="宋体" w:hint="default"/>
          <w:w w:val="95"/>
          <w:sz w:val="16"/>
          <w:szCs w:val="16"/>
        </w:rPr>
        <w:t>北京圣非凡电子系统技术开发有限公司</w:t>
      </w:r>
      <w:r>
        <w:rPr>
          <w:rFonts w:ascii="Times New Roman" w:hAnsi="Times New Roman" w:cs="Times New Roman" w:eastAsia="Times New Roman" w:hint="default"/>
          <w:w w:val="95"/>
          <w:sz w:val="16"/>
          <w:szCs w:val="16"/>
        </w:rPr>
        <w:tab/>
      </w:r>
      <w:r>
        <w:rPr>
          <w:rFonts w:ascii="Times New Roman" w:hAnsi="Times New Roman" w:cs="Times New Roman" w:eastAsia="Times New Roman" w:hint="default"/>
          <w:sz w:val="16"/>
          <w:szCs w:val="16"/>
        </w:rPr>
        <w:t>15.00</w:t>
      </w:r>
    </w:p>
    <w:p>
      <w:pPr>
        <w:tabs>
          <w:tab w:pos="4828" w:val="left" w:leader="none"/>
        </w:tabs>
        <w:spacing w:before="570"/>
        <w:ind w:left="857" w:right="-19" w:firstLine="0"/>
        <w:jc w:val="left"/>
        <w:rPr>
          <w:rFonts w:ascii="Times New Roman" w:hAnsi="Times New Roman" w:cs="Times New Roman" w:eastAsia="Times New Roman" w:hint="default"/>
          <w:sz w:val="16"/>
          <w:szCs w:val="16"/>
        </w:rPr>
      </w:pPr>
      <w:r>
        <w:rPr>
          <w:rFonts w:ascii="宋体" w:hAnsi="宋体" w:cs="宋体" w:eastAsia="宋体" w:hint="default"/>
          <w:w w:val="95"/>
          <w:sz w:val="16"/>
          <w:szCs w:val="16"/>
        </w:rPr>
        <w:t>武汉中元通信股份有限公司</w:t>
      </w:r>
      <w:r>
        <w:rPr>
          <w:rFonts w:ascii="Times New Roman" w:hAnsi="Times New Roman" w:cs="Times New Roman" w:eastAsia="Times New Roman" w:hint="default"/>
          <w:w w:val="95"/>
          <w:sz w:val="16"/>
          <w:szCs w:val="16"/>
        </w:rPr>
        <w:tab/>
      </w:r>
      <w:r>
        <w:rPr>
          <w:rFonts w:ascii="Times New Roman" w:hAnsi="Times New Roman" w:cs="Times New Roman" w:eastAsia="Times New Roman" w:hint="default"/>
          <w:sz w:val="16"/>
          <w:szCs w:val="16"/>
        </w:rPr>
        <w:t>15.00</w:t>
      </w:r>
    </w:p>
    <w:p>
      <w:pPr>
        <w:tabs>
          <w:tab w:pos="4828" w:val="left" w:leader="none"/>
        </w:tabs>
        <w:spacing w:before="675"/>
        <w:ind w:left="857" w:right="-19" w:firstLine="0"/>
        <w:jc w:val="left"/>
        <w:rPr>
          <w:rFonts w:ascii="Times New Roman" w:hAnsi="Times New Roman" w:cs="Times New Roman" w:eastAsia="Times New Roman" w:hint="default"/>
          <w:sz w:val="16"/>
          <w:szCs w:val="16"/>
        </w:rPr>
      </w:pPr>
      <w:r>
        <w:rPr>
          <w:rFonts w:ascii="宋体" w:hAnsi="宋体" w:cs="宋体" w:eastAsia="宋体" w:hint="default"/>
          <w:w w:val="95"/>
          <w:sz w:val="16"/>
          <w:szCs w:val="16"/>
        </w:rPr>
        <w:t>武汉瀚兴日月电源有限公司</w:t>
      </w:r>
      <w:r>
        <w:rPr>
          <w:rFonts w:ascii="Times New Roman" w:hAnsi="Times New Roman" w:cs="Times New Roman" w:eastAsia="Times New Roman" w:hint="default"/>
          <w:w w:val="95"/>
          <w:sz w:val="16"/>
          <w:szCs w:val="16"/>
        </w:rPr>
        <w:tab/>
      </w:r>
      <w:r>
        <w:rPr>
          <w:rFonts w:ascii="Times New Roman" w:hAnsi="Times New Roman" w:cs="Times New Roman" w:eastAsia="Times New Roman" w:hint="default"/>
          <w:sz w:val="16"/>
          <w:szCs w:val="16"/>
        </w:rPr>
        <w:t>15.00</w:t>
      </w:r>
    </w:p>
    <w:p>
      <w:pPr>
        <w:tabs>
          <w:tab w:pos="4828" w:val="left" w:leader="none"/>
        </w:tabs>
        <w:spacing w:before="673"/>
        <w:ind w:left="857" w:right="-19" w:firstLine="0"/>
        <w:jc w:val="left"/>
        <w:rPr>
          <w:rFonts w:ascii="Times New Roman" w:hAnsi="Times New Roman" w:cs="Times New Roman" w:eastAsia="Times New Roman" w:hint="default"/>
          <w:sz w:val="16"/>
          <w:szCs w:val="16"/>
        </w:rPr>
      </w:pPr>
      <w:r>
        <w:rPr>
          <w:rFonts w:ascii="宋体" w:hAnsi="宋体" w:cs="宋体" w:eastAsia="宋体" w:hint="default"/>
          <w:w w:val="95"/>
          <w:sz w:val="16"/>
          <w:szCs w:val="16"/>
        </w:rPr>
        <w:t>武汉中原长江科技发展有限公司</w:t>
      </w:r>
      <w:r>
        <w:rPr>
          <w:rFonts w:ascii="Times New Roman" w:hAnsi="Times New Roman" w:cs="Times New Roman" w:eastAsia="Times New Roman" w:hint="default"/>
          <w:w w:val="95"/>
          <w:sz w:val="16"/>
          <w:szCs w:val="16"/>
        </w:rPr>
        <w:tab/>
      </w:r>
      <w:r>
        <w:rPr>
          <w:rFonts w:ascii="Times New Roman" w:hAnsi="Times New Roman" w:cs="Times New Roman" w:eastAsia="Times New Roman" w:hint="default"/>
          <w:sz w:val="16"/>
          <w:szCs w:val="16"/>
        </w:rPr>
        <w:t>15.00</w:t>
      </w:r>
    </w:p>
    <w:p>
      <w:pPr>
        <w:tabs>
          <w:tab w:pos="4828" w:val="left" w:leader="none"/>
        </w:tabs>
        <w:spacing w:before="675"/>
        <w:ind w:left="857" w:right="-19" w:firstLine="0"/>
        <w:jc w:val="left"/>
        <w:rPr>
          <w:rFonts w:ascii="Times New Roman" w:hAnsi="Times New Roman" w:cs="Times New Roman" w:eastAsia="Times New Roman" w:hint="default"/>
          <w:sz w:val="16"/>
          <w:szCs w:val="16"/>
        </w:rPr>
      </w:pPr>
      <w:r>
        <w:rPr>
          <w:rFonts w:ascii="宋体" w:hAnsi="宋体" w:cs="宋体" w:eastAsia="宋体" w:hint="default"/>
          <w:w w:val="95"/>
          <w:sz w:val="16"/>
          <w:szCs w:val="16"/>
        </w:rPr>
        <w:t>武汉长光电源有限公司</w:t>
      </w:r>
      <w:r>
        <w:rPr>
          <w:rFonts w:ascii="Times New Roman" w:hAnsi="Times New Roman" w:cs="Times New Roman" w:eastAsia="Times New Roman" w:hint="default"/>
          <w:w w:val="95"/>
          <w:sz w:val="16"/>
          <w:szCs w:val="16"/>
        </w:rPr>
        <w:tab/>
      </w:r>
      <w:r>
        <w:rPr>
          <w:rFonts w:ascii="Times New Roman" w:hAnsi="Times New Roman" w:cs="Times New Roman" w:eastAsia="Times New Roman" w:hint="default"/>
          <w:sz w:val="16"/>
          <w:szCs w:val="16"/>
        </w:rPr>
        <w:t>15.00</w:t>
      </w:r>
    </w:p>
    <w:p>
      <w:pPr>
        <w:tabs>
          <w:tab w:pos="4828" w:val="left" w:leader="none"/>
        </w:tabs>
        <w:spacing w:before="570"/>
        <w:ind w:left="857" w:right="-19" w:firstLine="0"/>
        <w:jc w:val="left"/>
        <w:rPr>
          <w:rFonts w:ascii="Times New Roman" w:hAnsi="Times New Roman" w:cs="Times New Roman" w:eastAsia="Times New Roman" w:hint="default"/>
          <w:sz w:val="16"/>
          <w:szCs w:val="16"/>
        </w:rPr>
      </w:pPr>
      <w:r>
        <w:rPr>
          <w:rFonts w:ascii="宋体" w:hAnsi="宋体" w:cs="宋体" w:eastAsia="宋体" w:hint="default"/>
          <w:w w:val="95"/>
          <w:sz w:val="16"/>
          <w:szCs w:val="16"/>
        </w:rPr>
        <w:t>高怡达科技（深圳）有限公司</w:t>
      </w:r>
      <w:r>
        <w:rPr>
          <w:rFonts w:ascii="Times New Roman" w:hAnsi="Times New Roman" w:cs="Times New Roman" w:eastAsia="Times New Roman" w:hint="default"/>
          <w:w w:val="95"/>
          <w:sz w:val="16"/>
          <w:szCs w:val="16"/>
        </w:rPr>
        <w:tab/>
      </w:r>
      <w:r>
        <w:rPr>
          <w:rFonts w:ascii="Times New Roman" w:hAnsi="Times New Roman" w:cs="Times New Roman" w:eastAsia="Times New Roman" w:hint="default"/>
          <w:sz w:val="16"/>
          <w:szCs w:val="16"/>
        </w:rPr>
        <w:t>15.00</w:t>
      </w:r>
    </w:p>
    <w:p>
      <w:pPr>
        <w:spacing w:line="208" w:lineRule="exact" w:before="70"/>
        <w:ind w:left="174" w:right="1410" w:firstLine="0"/>
        <w:jc w:val="both"/>
        <w:rPr>
          <w:rFonts w:ascii="宋体" w:hAnsi="宋体" w:cs="宋体" w:eastAsia="宋体" w:hint="default"/>
          <w:sz w:val="16"/>
          <w:szCs w:val="16"/>
        </w:rPr>
      </w:pPr>
      <w:r>
        <w:rPr>
          <w:spacing w:val="3"/>
        </w:rPr>
        <w:br w:type="column"/>
      </w:r>
      <w:r>
        <w:rPr>
          <w:rFonts w:ascii="宋体" w:hAnsi="宋体" w:cs="宋体" w:eastAsia="宋体" w:hint="default"/>
          <w:spacing w:val="3"/>
          <w:sz w:val="16"/>
          <w:szCs w:val="16"/>
        </w:rPr>
        <w:t>经湖南省科学技术厅、湖南省财政厅、湖南省国</w:t>
      </w:r>
      <w:r>
        <w:rPr>
          <w:rFonts w:ascii="宋体" w:hAnsi="宋体" w:cs="宋体" w:eastAsia="宋体" w:hint="default"/>
          <w:spacing w:val="3"/>
          <w:w w:val="99"/>
          <w:sz w:val="16"/>
          <w:szCs w:val="16"/>
        </w:rPr>
        <w:t> </w:t>
      </w:r>
      <w:r>
        <w:rPr>
          <w:rFonts w:ascii="宋体" w:hAnsi="宋体" w:cs="宋体" w:eastAsia="宋体" w:hint="default"/>
          <w:spacing w:val="3"/>
          <w:sz w:val="16"/>
          <w:szCs w:val="16"/>
        </w:rPr>
        <w:t>家税务局、湖南省地方税务局审批，被认定为高</w:t>
      </w:r>
      <w:r>
        <w:rPr>
          <w:rFonts w:ascii="宋体" w:hAnsi="宋体" w:cs="宋体" w:eastAsia="宋体" w:hint="default"/>
          <w:spacing w:val="3"/>
          <w:w w:val="99"/>
          <w:sz w:val="16"/>
          <w:szCs w:val="16"/>
        </w:rPr>
        <w:t> </w:t>
      </w:r>
      <w:r>
        <w:rPr>
          <w:rFonts w:ascii="宋体" w:hAnsi="宋体" w:cs="宋体" w:eastAsia="宋体" w:hint="default"/>
          <w:spacing w:val="-6"/>
          <w:sz w:val="16"/>
          <w:szCs w:val="16"/>
        </w:rPr>
        <w:t>新技术企业，证书编号为</w:t>
      </w:r>
      <w:r>
        <w:rPr>
          <w:rFonts w:ascii="宋体" w:hAnsi="宋体" w:cs="宋体" w:eastAsia="宋体" w:hint="default"/>
          <w:spacing w:val="-41"/>
          <w:sz w:val="16"/>
          <w:szCs w:val="16"/>
        </w:rPr>
        <w:t> </w:t>
      </w:r>
      <w:r>
        <w:rPr>
          <w:rFonts w:ascii="Times New Roman" w:hAnsi="Times New Roman" w:cs="Times New Roman" w:eastAsia="Times New Roman" w:hint="default"/>
          <w:sz w:val="16"/>
          <w:szCs w:val="16"/>
        </w:rPr>
        <w:t>GR201743000086</w:t>
      </w:r>
      <w:r>
        <w:rPr>
          <w:rFonts w:ascii="宋体" w:hAnsi="宋体" w:cs="宋体" w:eastAsia="宋体" w:hint="default"/>
          <w:sz w:val="16"/>
          <w:szCs w:val="16"/>
        </w:rPr>
        <w:t>，</w:t>
      </w:r>
      <w:r>
        <w:rPr>
          <w:rFonts w:ascii="宋体" w:hAnsi="宋体" w:cs="宋体" w:eastAsia="宋体" w:hint="default"/>
          <w:spacing w:val="-61"/>
          <w:sz w:val="16"/>
          <w:szCs w:val="16"/>
        </w:rPr>
        <w:t> </w:t>
      </w:r>
      <w:r>
        <w:rPr>
          <w:rFonts w:ascii="Times New Roman" w:hAnsi="Times New Roman" w:cs="Times New Roman" w:eastAsia="Times New Roman" w:hint="default"/>
          <w:sz w:val="16"/>
          <w:szCs w:val="16"/>
        </w:rPr>
        <w:t>2018</w:t>
      </w:r>
      <w:r>
        <w:rPr>
          <w:rFonts w:ascii="Times New Roman" w:hAnsi="Times New Roman" w:cs="Times New Roman" w:eastAsia="Times New Roman" w:hint="default"/>
          <w:w w:val="99"/>
          <w:sz w:val="16"/>
          <w:szCs w:val="16"/>
        </w:rPr>
        <w:t> </w:t>
      </w:r>
      <w:r>
        <w:rPr>
          <w:rFonts w:ascii="宋体" w:hAnsi="宋体" w:cs="宋体" w:eastAsia="宋体" w:hint="default"/>
          <w:sz w:val="16"/>
          <w:szCs w:val="16"/>
        </w:rPr>
        <w:t>年享受所得税</w:t>
      </w:r>
      <w:r>
        <w:rPr>
          <w:rFonts w:ascii="宋体" w:hAnsi="宋体" w:cs="宋体" w:eastAsia="宋体" w:hint="default"/>
          <w:spacing w:val="-44"/>
          <w:sz w:val="16"/>
          <w:szCs w:val="16"/>
        </w:rPr>
        <w:t> </w:t>
      </w:r>
      <w:r>
        <w:rPr>
          <w:rFonts w:ascii="Times New Roman" w:hAnsi="Times New Roman" w:cs="Times New Roman" w:eastAsia="Times New Roman" w:hint="default"/>
          <w:sz w:val="16"/>
          <w:szCs w:val="16"/>
        </w:rPr>
        <w:t>15%</w:t>
      </w:r>
      <w:r>
        <w:rPr>
          <w:rFonts w:ascii="宋体" w:hAnsi="宋体" w:cs="宋体" w:eastAsia="宋体" w:hint="default"/>
          <w:sz w:val="16"/>
          <w:szCs w:val="16"/>
        </w:rPr>
        <w:t>的优惠税率</w:t>
      </w:r>
    </w:p>
    <w:p>
      <w:pPr>
        <w:spacing w:line="208" w:lineRule="exact" w:before="65"/>
        <w:ind w:left="174" w:right="1410" w:firstLine="0"/>
        <w:jc w:val="both"/>
        <w:rPr>
          <w:rFonts w:ascii="宋体" w:hAnsi="宋体" w:cs="宋体" w:eastAsia="宋体" w:hint="default"/>
          <w:sz w:val="16"/>
          <w:szCs w:val="16"/>
        </w:rPr>
      </w:pPr>
      <w:r>
        <w:rPr>
          <w:rFonts w:ascii="宋体" w:hAnsi="宋体" w:cs="宋体" w:eastAsia="宋体" w:hint="default"/>
          <w:spacing w:val="3"/>
          <w:sz w:val="16"/>
          <w:szCs w:val="16"/>
        </w:rPr>
        <w:t>经湖南省科学技术厅、湖南省财政厅、湖南省国</w:t>
      </w:r>
      <w:r>
        <w:rPr>
          <w:rFonts w:ascii="宋体" w:hAnsi="宋体" w:cs="宋体" w:eastAsia="宋体" w:hint="default"/>
          <w:spacing w:val="3"/>
          <w:w w:val="99"/>
          <w:sz w:val="16"/>
          <w:szCs w:val="16"/>
        </w:rPr>
        <w:t> </w:t>
      </w:r>
      <w:r>
        <w:rPr>
          <w:rFonts w:ascii="宋体" w:hAnsi="宋体" w:cs="宋体" w:eastAsia="宋体" w:hint="default"/>
          <w:spacing w:val="3"/>
          <w:sz w:val="16"/>
          <w:szCs w:val="16"/>
        </w:rPr>
        <w:t>家税务局、湖南省地方税务局审批，被认定为高</w:t>
      </w:r>
      <w:r>
        <w:rPr>
          <w:rFonts w:ascii="宋体" w:hAnsi="宋体" w:cs="宋体" w:eastAsia="宋体" w:hint="default"/>
          <w:spacing w:val="3"/>
          <w:w w:val="99"/>
          <w:sz w:val="16"/>
          <w:szCs w:val="16"/>
        </w:rPr>
        <w:t> </w:t>
      </w:r>
      <w:r>
        <w:rPr>
          <w:rFonts w:ascii="宋体" w:hAnsi="宋体" w:cs="宋体" w:eastAsia="宋体" w:hint="default"/>
          <w:spacing w:val="-6"/>
          <w:sz w:val="16"/>
          <w:szCs w:val="16"/>
        </w:rPr>
        <w:t>新技术企业，证书编号为</w:t>
      </w:r>
      <w:r>
        <w:rPr>
          <w:rFonts w:ascii="宋体" w:hAnsi="宋体" w:cs="宋体" w:eastAsia="宋体" w:hint="default"/>
          <w:spacing w:val="-41"/>
          <w:sz w:val="16"/>
          <w:szCs w:val="16"/>
        </w:rPr>
        <w:t> </w:t>
      </w:r>
      <w:r>
        <w:rPr>
          <w:rFonts w:ascii="Times New Roman" w:hAnsi="Times New Roman" w:cs="Times New Roman" w:eastAsia="Times New Roman" w:hint="default"/>
          <w:sz w:val="16"/>
          <w:szCs w:val="16"/>
        </w:rPr>
        <w:t>GR201643000855</w:t>
      </w:r>
      <w:r>
        <w:rPr>
          <w:rFonts w:ascii="宋体" w:hAnsi="宋体" w:cs="宋体" w:eastAsia="宋体" w:hint="default"/>
          <w:sz w:val="16"/>
          <w:szCs w:val="16"/>
        </w:rPr>
        <w:t>，</w:t>
      </w:r>
      <w:r>
        <w:rPr>
          <w:rFonts w:ascii="宋体" w:hAnsi="宋体" w:cs="宋体" w:eastAsia="宋体" w:hint="default"/>
          <w:spacing w:val="-61"/>
          <w:sz w:val="16"/>
          <w:szCs w:val="16"/>
        </w:rPr>
        <w:t> </w:t>
      </w:r>
      <w:r>
        <w:rPr>
          <w:rFonts w:ascii="Times New Roman" w:hAnsi="Times New Roman" w:cs="Times New Roman" w:eastAsia="Times New Roman" w:hint="default"/>
          <w:sz w:val="16"/>
          <w:szCs w:val="16"/>
        </w:rPr>
        <w:t>2018</w:t>
      </w:r>
      <w:r>
        <w:rPr>
          <w:rFonts w:ascii="Times New Roman" w:hAnsi="Times New Roman" w:cs="Times New Roman" w:eastAsia="Times New Roman" w:hint="default"/>
          <w:w w:val="99"/>
          <w:sz w:val="16"/>
          <w:szCs w:val="16"/>
        </w:rPr>
        <w:t> </w:t>
      </w:r>
      <w:r>
        <w:rPr>
          <w:rFonts w:ascii="宋体" w:hAnsi="宋体" w:cs="宋体" w:eastAsia="宋体" w:hint="default"/>
          <w:sz w:val="16"/>
          <w:szCs w:val="16"/>
        </w:rPr>
        <w:t>年享受所得税</w:t>
      </w:r>
      <w:r>
        <w:rPr>
          <w:rFonts w:ascii="宋体" w:hAnsi="宋体" w:cs="宋体" w:eastAsia="宋体" w:hint="default"/>
          <w:spacing w:val="-44"/>
          <w:sz w:val="16"/>
          <w:szCs w:val="16"/>
        </w:rPr>
        <w:t> </w:t>
      </w:r>
      <w:r>
        <w:rPr>
          <w:rFonts w:ascii="Times New Roman" w:hAnsi="Times New Roman" w:cs="Times New Roman" w:eastAsia="Times New Roman" w:hint="default"/>
          <w:sz w:val="16"/>
          <w:szCs w:val="16"/>
        </w:rPr>
        <w:t>15%</w:t>
      </w:r>
      <w:r>
        <w:rPr>
          <w:rFonts w:ascii="宋体" w:hAnsi="宋体" w:cs="宋体" w:eastAsia="宋体" w:hint="default"/>
          <w:sz w:val="16"/>
          <w:szCs w:val="16"/>
        </w:rPr>
        <w:t>的优惠税率</w:t>
      </w:r>
    </w:p>
    <w:p>
      <w:pPr>
        <w:spacing w:line="232" w:lineRule="auto" w:before="50"/>
        <w:ind w:left="174" w:right="1410" w:firstLine="0"/>
        <w:jc w:val="both"/>
        <w:rPr>
          <w:rFonts w:ascii="宋体" w:hAnsi="宋体" w:cs="宋体" w:eastAsia="宋体" w:hint="default"/>
          <w:sz w:val="16"/>
          <w:szCs w:val="16"/>
        </w:rPr>
      </w:pPr>
      <w:r>
        <w:rPr>
          <w:rFonts w:ascii="宋体" w:hAnsi="宋体" w:cs="宋体" w:eastAsia="宋体" w:hint="default"/>
          <w:spacing w:val="3"/>
          <w:sz w:val="16"/>
          <w:szCs w:val="16"/>
        </w:rPr>
        <w:t>经湖南省科学技术厅、湖南省财政厅、湖南省国</w:t>
      </w:r>
      <w:r>
        <w:rPr>
          <w:rFonts w:ascii="宋体" w:hAnsi="宋体" w:cs="宋体" w:eastAsia="宋体" w:hint="default"/>
          <w:spacing w:val="3"/>
          <w:w w:val="99"/>
          <w:sz w:val="16"/>
          <w:szCs w:val="16"/>
        </w:rPr>
        <w:t> </w:t>
      </w:r>
      <w:r>
        <w:rPr>
          <w:rFonts w:ascii="宋体" w:hAnsi="宋体" w:cs="宋体" w:eastAsia="宋体" w:hint="default"/>
          <w:spacing w:val="3"/>
          <w:sz w:val="16"/>
          <w:szCs w:val="16"/>
        </w:rPr>
        <w:t>家税务局、湖南省地方税务局审批，被认定为高</w:t>
      </w:r>
      <w:r>
        <w:rPr>
          <w:rFonts w:ascii="宋体" w:hAnsi="宋体" w:cs="宋体" w:eastAsia="宋体" w:hint="default"/>
          <w:spacing w:val="3"/>
          <w:w w:val="99"/>
          <w:sz w:val="16"/>
          <w:szCs w:val="16"/>
        </w:rPr>
        <w:t> </w:t>
      </w:r>
      <w:r>
        <w:rPr>
          <w:rFonts w:ascii="宋体" w:hAnsi="宋体" w:cs="宋体" w:eastAsia="宋体" w:hint="default"/>
          <w:sz w:val="16"/>
          <w:szCs w:val="16"/>
        </w:rPr>
        <w:t>新技术企业，证书编号为</w:t>
      </w:r>
      <w:r>
        <w:rPr>
          <w:rFonts w:ascii="宋体" w:hAnsi="宋体" w:cs="宋体" w:eastAsia="宋体" w:hint="default"/>
          <w:spacing w:val="-50"/>
          <w:sz w:val="16"/>
          <w:szCs w:val="16"/>
        </w:rPr>
        <w:t> </w:t>
      </w:r>
      <w:r>
        <w:rPr>
          <w:rFonts w:ascii="Times New Roman" w:hAnsi="Times New Roman" w:cs="Times New Roman" w:eastAsia="Times New Roman" w:hint="default"/>
          <w:sz w:val="16"/>
          <w:szCs w:val="16"/>
        </w:rPr>
        <w:t>GR01643000469</w:t>
      </w:r>
      <w:r>
        <w:rPr>
          <w:rFonts w:ascii="宋体" w:hAnsi="宋体" w:cs="宋体" w:eastAsia="宋体" w:hint="default"/>
          <w:sz w:val="16"/>
          <w:szCs w:val="16"/>
        </w:rPr>
        <w:t>，</w:t>
      </w:r>
      <w:r>
        <w:rPr>
          <w:rFonts w:ascii="宋体" w:hAnsi="宋体" w:cs="宋体" w:eastAsia="宋体" w:hint="default"/>
          <w:spacing w:val="-33"/>
          <w:sz w:val="16"/>
          <w:szCs w:val="16"/>
        </w:rPr>
        <w:t> </w:t>
      </w:r>
      <w:r>
        <w:rPr>
          <w:rFonts w:ascii="Times New Roman" w:hAnsi="Times New Roman" w:cs="Times New Roman" w:eastAsia="Times New Roman" w:hint="default"/>
          <w:sz w:val="16"/>
          <w:szCs w:val="16"/>
        </w:rPr>
        <w:t>2018</w:t>
      </w:r>
      <w:r>
        <w:rPr>
          <w:rFonts w:ascii="Times New Roman" w:hAnsi="Times New Roman" w:cs="Times New Roman" w:eastAsia="Times New Roman" w:hint="default"/>
          <w:w w:val="99"/>
          <w:sz w:val="16"/>
          <w:szCs w:val="16"/>
        </w:rPr>
        <w:t> </w:t>
      </w:r>
      <w:r>
        <w:rPr>
          <w:rFonts w:ascii="宋体" w:hAnsi="宋体" w:cs="宋体" w:eastAsia="宋体" w:hint="default"/>
          <w:sz w:val="16"/>
          <w:szCs w:val="16"/>
        </w:rPr>
        <w:t>年享受所得税</w:t>
      </w:r>
      <w:r>
        <w:rPr>
          <w:rFonts w:ascii="宋体" w:hAnsi="宋体" w:cs="宋体" w:eastAsia="宋体" w:hint="default"/>
          <w:spacing w:val="-44"/>
          <w:sz w:val="16"/>
          <w:szCs w:val="16"/>
        </w:rPr>
        <w:t> </w:t>
      </w:r>
      <w:r>
        <w:rPr>
          <w:rFonts w:ascii="Times New Roman" w:hAnsi="Times New Roman" w:cs="Times New Roman" w:eastAsia="Times New Roman" w:hint="default"/>
          <w:sz w:val="16"/>
          <w:szCs w:val="16"/>
        </w:rPr>
        <w:t>15%</w:t>
      </w:r>
      <w:r>
        <w:rPr>
          <w:rFonts w:ascii="宋体" w:hAnsi="宋体" w:cs="宋体" w:eastAsia="宋体" w:hint="default"/>
          <w:sz w:val="16"/>
          <w:szCs w:val="16"/>
        </w:rPr>
        <w:t>的优惠税率</w:t>
      </w:r>
    </w:p>
    <w:p>
      <w:pPr>
        <w:spacing w:line="208" w:lineRule="exact" w:before="73"/>
        <w:ind w:left="174" w:right="1410" w:firstLine="0"/>
        <w:jc w:val="both"/>
        <w:rPr>
          <w:rFonts w:ascii="宋体" w:hAnsi="宋体" w:cs="宋体" w:eastAsia="宋体" w:hint="default"/>
          <w:sz w:val="16"/>
          <w:szCs w:val="16"/>
        </w:rPr>
      </w:pPr>
      <w:r>
        <w:rPr>
          <w:rFonts w:ascii="Times New Roman" w:hAnsi="Times New Roman" w:cs="Times New Roman" w:eastAsia="Times New Roman" w:hint="default"/>
          <w:sz w:val="16"/>
          <w:szCs w:val="16"/>
        </w:rPr>
        <w:t>2013</w:t>
      </w:r>
      <w:r>
        <w:rPr>
          <w:rFonts w:ascii="Times New Roman" w:hAnsi="Times New Roman" w:cs="Times New Roman" w:eastAsia="Times New Roman" w:hint="default"/>
          <w:spacing w:val="5"/>
          <w:sz w:val="16"/>
          <w:szCs w:val="16"/>
        </w:rPr>
        <w:t> </w:t>
      </w:r>
      <w:r>
        <w:rPr>
          <w:rFonts w:ascii="宋体" w:hAnsi="宋体" w:cs="宋体" w:eastAsia="宋体" w:hint="default"/>
          <w:sz w:val="16"/>
          <w:szCs w:val="16"/>
        </w:rPr>
        <w:t>年</w:t>
      </w:r>
      <w:r>
        <w:rPr>
          <w:rFonts w:ascii="宋体" w:hAnsi="宋体" w:cs="宋体" w:eastAsia="宋体" w:hint="default"/>
          <w:spacing w:val="-36"/>
          <w:sz w:val="16"/>
          <w:szCs w:val="16"/>
        </w:rPr>
        <w:t> </w:t>
      </w:r>
      <w:r>
        <w:rPr>
          <w:rFonts w:ascii="Times New Roman" w:hAnsi="Times New Roman" w:cs="Times New Roman" w:eastAsia="Times New Roman" w:hint="default"/>
          <w:spacing w:val="-3"/>
          <w:sz w:val="16"/>
          <w:szCs w:val="16"/>
        </w:rPr>
        <w:t>11</w:t>
      </w:r>
      <w:r>
        <w:rPr>
          <w:rFonts w:ascii="Times New Roman" w:hAnsi="Times New Roman" w:cs="Times New Roman" w:eastAsia="Times New Roman" w:hint="default"/>
          <w:spacing w:val="5"/>
          <w:sz w:val="16"/>
          <w:szCs w:val="16"/>
        </w:rPr>
        <w:t> </w:t>
      </w:r>
      <w:r>
        <w:rPr>
          <w:rFonts w:ascii="宋体" w:hAnsi="宋体" w:cs="宋体" w:eastAsia="宋体" w:hint="default"/>
          <w:sz w:val="16"/>
          <w:szCs w:val="16"/>
        </w:rPr>
        <w:t>月</w:t>
      </w:r>
      <w:r>
        <w:rPr>
          <w:rFonts w:ascii="宋体" w:hAnsi="宋体" w:cs="宋体" w:eastAsia="宋体" w:hint="default"/>
          <w:spacing w:val="-36"/>
          <w:sz w:val="16"/>
          <w:szCs w:val="16"/>
        </w:rPr>
        <w:t> </w:t>
      </w:r>
      <w:r>
        <w:rPr>
          <w:rFonts w:ascii="Times New Roman" w:hAnsi="Times New Roman" w:cs="Times New Roman" w:eastAsia="Times New Roman" w:hint="default"/>
          <w:sz w:val="16"/>
          <w:szCs w:val="16"/>
        </w:rPr>
        <w:t>13</w:t>
      </w:r>
      <w:r>
        <w:rPr>
          <w:rFonts w:ascii="Times New Roman" w:hAnsi="Times New Roman" w:cs="Times New Roman" w:eastAsia="Times New Roman" w:hint="default"/>
          <w:spacing w:val="5"/>
          <w:sz w:val="16"/>
          <w:szCs w:val="16"/>
        </w:rPr>
        <w:t> </w:t>
      </w:r>
      <w:r>
        <w:rPr>
          <w:rFonts w:ascii="宋体" w:hAnsi="宋体" w:cs="宋体" w:eastAsia="宋体" w:hint="default"/>
          <w:sz w:val="16"/>
          <w:szCs w:val="16"/>
        </w:rPr>
        <w:t>日，经湖南省经济和信息化委员</w:t>
      </w:r>
      <w:r>
        <w:rPr>
          <w:rFonts w:ascii="宋体" w:hAnsi="宋体" w:cs="宋体" w:eastAsia="宋体" w:hint="default"/>
          <w:w w:val="99"/>
          <w:sz w:val="16"/>
          <w:szCs w:val="16"/>
        </w:rPr>
        <w:t> </w:t>
      </w:r>
      <w:r>
        <w:rPr>
          <w:rFonts w:ascii="宋体" w:hAnsi="宋体" w:cs="宋体" w:eastAsia="宋体" w:hint="default"/>
          <w:spacing w:val="3"/>
          <w:sz w:val="16"/>
          <w:szCs w:val="16"/>
        </w:rPr>
        <w:t>会批准认定为软件企业。根据《进一步鼓励软件</w:t>
      </w:r>
      <w:r>
        <w:rPr>
          <w:rFonts w:ascii="宋体" w:hAnsi="宋体" w:cs="宋体" w:eastAsia="宋体" w:hint="default"/>
          <w:spacing w:val="3"/>
          <w:w w:val="99"/>
          <w:sz w:val="16"/>
          <w:szCs w:val="16"/>
        </w:rPr>
        <w:t> </w:t>
      </w:r>
      <w:r>
        <w:rPr>
          <w:rFonts w:ascii="宋体" w:hAnsi="宋体" w:cs="宋体" w:eastAsia="宋体" w:hint="default"/>
          <w:spacing w:val="14"/>
          <w:w w:val="99"/>
          <w:sz w:val="16"/>
          <w:szCs w:val="16"/>
        </w:rPr>
        <w:t>企业和集成电路产业发展的若干政策</w:t>
      </w:r>
      <w:r>
        <w:rPr>
          <w:rFonts w:ascii="宋体" w:hAnsi="宋体" w:cs="宋体" w:eastAsia="宋体" w:hint="default"/>
          <w:spacing w:val="-62"/>
          <w:w w:val="99"/>
          <w:sz w:val="16"/>
          <w:szCs w:val="16"/>
        </w:rPr>
        <w:t> </w:t>
      </w:r>
      <w:r>
        <w:rPr>
          <w:rFonts w:ascii="宋体" w:hAnsi="宋体" w:cs="宋体" w:eastAsia="宋体" w:hint="default"/>
          <w:spacing w:val="-17"/>
          <w:w w:val="99"/>
          <w:sz w:val="16"/>
          <w:szCs w:val="16"/>
        </w:rPr>
        <w:t>》（财</w:t>
      </w:r>
      <w:r>
        <w:rPr>
          <w:rFonts w:ascii="宋体" w:hAnsi="宋体" w:cs="宋体" w:eastAsia="宋体" w:hint="default"/>
          <w:spacing w:val="-60"/>
          <w:w w:val="99"/>
          <w:sz w:val="16"/>
          <w:szCs w:val="16"/>
        </w:rPr>
        <w:t> </w:t>
      </w:r>
      <w:r>
        <w:rPr>
          <w:rFonts w:ascii="宋体" w:hAnsi="宋体" w:cs="宋体" w:eastAsia="宋体" w:hint="default"/>
          <w:w w:val="99"/>
          <w:sz w:val="16"/>
          <w:szCs w:val="16"/>
        </w:rPr>
        <w:t>税</w:t>
      </w:r>
      <w:r>
        <w:rPr>
          <w:rFonts w:ascii="宋体" w:hAnsi="宋体" w:cs="宋体" w:eastAsia="宋体" w:hint="default"/>
          <w:spacing w:val="-74"/>
          <w:w w:val="99"/>
          <w:sz w:val="16"/>
          <w:szCs w:val="16"/>
        </w:rPr>
        <w:t> </w:t>
      </w:r>
      <w:r>
        <w:rPr>
          <w:rFonts w:ascii="宋体" w:hAnsi="宋体" w:cs="宋体" w:eastAsia="宋体" w:hint="default"/>
          <w:spacing w:val="-74"/>
          <w:w w:val="99"/>
          <w:sz w:val="16"/>
          <w:szCs w:val="16"/>
        </w:rPr>
      </w:r>
      <w:r>
        <w:rPr>
          <w:rFonts w:ascii="Times New Roman" w:hAnsi="Times New Roman" w:cs="Times New Roman" w:eastAsia="Times New Roman" w:hint="default"/>
          <w:sz w:val="16"/>
          <w:szCs w:val="16"/>
        </w:rPr>
        <w:t>[2012]27</w:t>
      </w:r>
      <w:r>
        <w:rPr>
          <w:rFonts w:ascii="Times New Roman" w:hAnsi="Times New Roman" w:cs="Times New Roman" w:eastAsia="Times New Roman" w:hint="default"/>
          <w:spacing w:val="20"/>
          <w:sz w:val="16"/>
          <w:szCs w:val="16"/>
        </w:rPr>
        <w:t> </w:t>
      </w:r>
      <w:r>
        <w:rPr>
          <w:rFonts w:ascii="宋体" w:hAnsi="宋体" w:cs="宋体" w:eastAsia="宋体" w:hint="default"/>
          <w:sz w:val="16"/>
          <w:szCs w:val="16"/>
        </w:rPr>
        <w:t>号）文件的规定，公司符合享受企业所</w:t>
      </w:r>
      <w:r>
        <w:rPr>
          <w:rFonts w:ascii="宋体" w:hAnsi="宋体" w:cs="宋体" w:eastAsia="宋体" w:hint="default"/>
          <w:spacing w:val="-75"/>
          <w:sz w:val="16"/>
          <w:szCs w:val="16"/>
        </w:rPr>
        <w:t> </w:t>
      </w:r>
      <w:r>
        <w:rPr>
          <w:rFonts w:ascii="宋体" w:hAnsi="宋体" w:cs="宋体" w:eastAsia="宋体" w:hint="default"/>
          <w:spacing w:val="-75"/>
          <w:sz w:val="16"/>
          <w:szCs w:val="16"/>
        </w:rPr>
      </w:r>
      <w:r>
        <w:rPr>
          <w:rFonts w:ascii="宋体" w:hAnsi="宋体" w:cs="宋体" w:eastAsia="宋体" w:hint="default"/>
          <w:sz w:val="16"/>
          <w:szCs w:val="16"/>
        </w:rPr>
        <w:t>得税</w:t>
      </w:r>
      <w:r>
        <w:rPr>
          <w:rFonts w:ascii="Times New Roman" w:hAnsi="Times New Roman" w:cs="Times New Roman" w:eastAsia="Times New Roman" w:hint="default"/>
          <w:sz w:val="16"/>
          <w:szCs w:val="16"/>
        </w:rPr>
        <w:t>“</w:t>
      </w:r>
      <w:r>
        <w:rPr>
          <w:rFonts w:ascii="宋体" w:hAnsi="宋体" w:cs="宋体" w:eastAsia="宋体" w:hint="default"/>
          <w:sz w:val="16"/>
          <w:szCs w:val="16"/>
        </w:rPr>
        <w:t>两免三减半</w:t>
      </w:r>
      <w:r>
        <w:rPr>
          <w:rFonts w:ascii="Times New Roman" w:hAnsi="Times New Roman" w:cs="Times New Roman" w:eastAsia="Times New Roman" w:hint="default"/>
          <w:sz w:val="16"/>
          <w:szCs w:val="16"/>
        </w:rPr>
        <w:t>”</w:t>
      </w:r>
      <w:r>
        <w:rPr>
          <w:rFonts w:ascii="宋体" w:hAnsi="宋体" w:cs="宋体" w:eastAsia="宋体" w:hint="default"/>
          <w:sz w:val="16"/>
          <w:szCs w:val="16"/>
        </w:rPr>
        <w:t>优惠政策的要求，</w:t>
      </w:r>
      <w:r>
        <w:rPr>
          <w:rFonts w:ascii="Times New Roman" w:hAnsi="Times New Roman" w:cs="Times New Roman" w:eastAsia="Times New Roman" w:hint="default"/>
          <w:sz w:val="16"/>
          <w:szCs w:val="16"/>
        </w:rPr>
        <w:t>2014-2015</w:t>
      </w:r>
      <w:r>
        <w:rPr>
          <w:rFonts w:ascii="Times New Roman" w:hAnsi="Times New Roman" w:cs="Times New Roman" w:eastAsia="Times New Roman" w:hint="default"/>
          <w:spacing w:val="-13"/>
          <w:sz w:val="16"/>
          <w:szCs w:val="16"/>
        </w:rPr>
        <w:t> </w:t>
      </w:r>
      <w:r>
        <w:rPr>
          <w:rFonts w:ascii="宋体" w:hAnsi="宋体" w:cs="宋体" w:eastAsia="宋体" w:hint="default"/>
          <w:sz w:val="16"/>
          <w:szCs w:val="16"/>
        </w:rPr>
        <w:t>年</w:t>
      </w:r>
      <w:r>
        <w:rPr>
          <w:rFonts w:ascii="宋体" w:hAnsi="宋体" w:cs="宋体" w:eastAsia="宋体" w:hint="default"/>
          <w:w w:val="99"/>
          <w:sz w:val="16"/>
          <w:szCs w:val="16"/>
        </w:rPr>
        <w:t> </w:t>
      </w:r>
      <w:r>
        <w:rPr>
          <w:rFonts w:ascii="宋体" w:hAnsi="宋体" w:cs="宋体" w:eastAsia="宋体" w:hint="default"/>
          <w:sz w:val="16"/>
          <w:szCs w:val="16"/>
        </w:rPr>
        <w:t>免征企业所得税，</w:t>
      </w:r>
      <w:r>
        <w:rPr>
          <w:rFonts w:ascii="Times New Roman" w:hAnsi="Times New Roman" w:cs="Times New Roman" w:eastAsia="Times New Roman" w:hint="default"/>
          <w:sz w:val="16"/>
          <w:szCs w:val="16"/>
        </w:rPr>
        <w:t>2016-2018 </w:t>
      </w:r>
      <w:r>
        <w:rPr>
          <w:rFonts w:ascii="宋体" w:hAnsi="宋体" w:cs="宋体" w:eastAsia="宋体" w:hint="default"/>
          <w:sz w:val="16"/>
          <w:szCs w:val="16"/>
        </w:rPr>
        <w:t>年按照</w:t>
      </w:r>
      <w:r>
        <w:rPr>
          <w:rFonts w:ascii="宋体" w:hAnsi="宋体" w:cs="宋体" w:eastAsia="宋体" w:hint="default"/>
          <w:spacing w:val="-50"/>
          <w:sz w:val="16"/>
          <w:szCs w:val="16"/>
        </w:rPr>
        <w:t> </w:t>
      </w:r>
      <w:r>
        <w:rPr>
          <w:rFonts w:ascii="Times New Roman" w:hAnsi="Times New Roman" w:cs="Times New Roman" w:eastAsia="Times New Roman" w:hint="default"/>
          <w:sz w:val="16"/>
          <w:szCs w:val="16"/>
        </w:rPr>
        <w:t>12.5%</w:t>
      </w:r>
      <w:r>
        <w:rPr>
          <w:rFonts w:ascii="宋体" w:hAnsi="宋体" w:cs="宋体" w:eastAsia="宋体" w:hint="default"/>
          <w:sz w:val="16"/>
          <w:szCs w:val="16"/>
        </w:rPr>
        <w:t>的税率</w:t>
      </w:r>
      <w:r>
        <w:rPr>
          <w:rFonts w:ascii="宋体" w:hAnsi="宋体" w:cs="宋体" w:eastAsia="宋体" w:hint="default"/>
          <w:w w:val="99"/>
          <w:sz w:val="16"/>
          <w:szCs w:val="16"/>
        </w:rPr>
        <w:t> </w:t>
      </w:r>
      <w:r>
        <w:rPr>
          <w:rFonts w:ascii="宋体" w:hAnsi="宋体" w:cs="宋体" w:eastAsia="宋体" w:hint="default"/>
          <w:sz w:val="16"/>
          <w:szCs w:val="16"/>
        </w:rPr>
        <w:t>征收企业所得税。</w:t>
      </w:r>
    </w:p>
    <w:p>
      <w:pPr>
        <w:spacing w:line="208" w:lineRule="exact" w:before="65"/>
        <w:ind w:left="174" w:right="1382" w:firstLine="0"/>
        <w:jc w:val="both"/>
        <w:rPr>
          <w:rFonts w:ascii="宋体" w:hAnsi="宋体" w:cs="宋体" w:eastAsia="宋体" w:hint="default"/>
          <w:sz w:val="16"/>
          <w:szCs w:val="16"/>
        </w:rPr>
      </w:pPr>
      <w:r>
        <w:rPr>
          <w:rFonts w:ascii="宋体" w:hAnsi="宋体" w:cs="宋体" w:eastAsia="宋体" w:hint="default"/>
          <w:spacing w:val="30"/>
          <w:sz w:val="16"/>
          <w:szCs w:val="16"/>
        </w:rPr>
        <w:t>公司被认定为高新技术企业，证书编号为</w:t>
      </w:r>
      <w:r>
        <w:rPr>
          <w:rFonts w:ascii="宋体" w:hAnsi="宋体" w:cs="宋体" w:eastAsia="宋体" w:hint="default"/>
          <w:spacing w:val="-48"/>
          <w:sz w:val="16"/>
          <w:szCs w:val="16"/>
        </w:rPr>
        <w:t> </w:t>
      </w:r>
      <w:r>
        <w:rPr>
          <w:rFonts w:ascii="Times New Roman" w:hAnsi="Times New Roman" w:cs="Times New Roman" w:eastAsia="Times New Roman" w:hint="default"/>
          <w:sz w:val="16"/>
          <w:szCs w:val="16"/>
        </w:rPr>
        <w:t>GR201611002078</w:t>
      </w:r>
      <w:r>
        <w:rPr>
          <w:rFonts w:ascii="宋体" w:hAnsi="宋体" w:cs="宋体" w:eastAsia="宋体" w:hint="default"/>
          <w:sz w:val="16"/>
          <w:szCs w:val="16"/>
        </w:rPr>
        <w:t>，有效期三年，</w:t>
      </w:r>
      <w:r>
        <w:rPr>
          <w:rFonts w:ascii="Times New Roman" w:hAnsi="Times New Roman" w:cs="Times New Roman" w:eastAsia="Times New Roman" w:hint="default"/>
          <w:sz w:val="16"/>
          <w:szCs w:val="16"/>
        </w:rPr>
        <w:t>2018</w:t>
      </w:r>
      <w:r>
        <w:rPr>
          <w:rFonts w:ascii="Times New Roman" w:hAnsi="Times New Roman" w:cs="Times New Roman" w:eastAsia="Times New Roman" w:hint="default"/>
          <w:spacing w:val="-22"/>
          <w:sz w:val="16"/>
          <w:szCs w:val="16"/>
        </w:rPr>
        <w:t> </w:t>
      </w:r>
      <w:r>
        <w:rPr>
          <w:rFonts w:ascii="宋体" w:hAnsi="宋体" w:cs="宋体" w:eastAsia="宋体" w:hint="default"/>
          <w:sz w:val="16"/>
          <w:szCs w:val="16"/>
        </w:rPr>
        <w:t>年享受所得</w:t>
      </w:r>
      <w:r>
        <w:rPr>
          <w:rFonts w:ascii="宋体" w:hAnsi="宋体" w:cs="宋体" w:eastAsia="宋体" w:hint="default"/>
          <w:w w:val="99"/>
          <w:sz w:val="16"/>
          <w:szCs w:val="16"/>
        </w:rPr>
        <w:t> </w:t>
      </w:r>
      <w:r>
        <w:rPr>
          <w:rFonts w:ascii="宋体" w:hAnsi="宋体" w:cs="宋体" w:eastAsia="宋体" w:hint="default"/>
          <w:sz w:val="16"/>
          <w:szCs w:val="16"/>
        </w:rPr>
        <w:t>税</w:t>
      </w:r>
      <w:r>
        <w:rPr>
          <w:rFonts w:ascii="宋体" w:hAnsi="宋体" w:cs="宋体" w:eastAsia="宋体" w:hint="default"/>
          <w:spacing w:val="-44"/>
          <w:sz w:val="16"/>
          <w:szCs w:val="16"/>
        </w:rPr>
        <w:t> </w:t>
      </w:r>
      <w:r>
        <w:rPr>
          <w:rFonts w:ascii="Times New Roman" w:hAnsi="Times New Roman" w:cs="Times New Roman" w:eastAsia="Times New Roman" w:hint="default"/>
          <w:sz w:val="16"/>
          <w:szCs w:val="16"/>
        </w:rPr>
        <w:t>15%</w:t>
      </w:r>
      <w:r>
        <w:rPr>
          <w:rFonts w:ascii="宋体" w:hAnsi="宋体" w:cs="宋体" w:eastAsia="宋体" w:hint="default"/>
          <w:sz w:val="16"/>
          <w:szCs w:val="16"/>
        </w:rPr>
        <w:t>的优惠税率</w:t>
      </w:r>
    </w:p>
    <w:p>
      <w:pPr>
        <w:spacing w:line="232" w:lineRule="auto" w:before="50"/>
        <w:ind w:left="174" w:right="1410" w:firstLine="0"/>
        <w:jc w:val="both"/>
        <w:rPr>
          <w:rFonts w:ascii="宋体" w:hAnsi="宋体" w:cs="宋体" w:eastAsia="宋体" w:hint="default"/>
          <w:sz w:val="16"/>
          <w:szCs w:val="16"/>
        </w:rPr>
      </w:pPr>
      <w:r>
        <w:rPr>
          <w:rFonts w:ascii="宋体" w:hAnsi="宋体" w:cs="宋体" w:eastAsia="宋体" w:hint="default"/>
          <w:spacing w:val="3"/>
          <w:sz w:val="16"/>
          <w:szCs w:val="16"/>
        </w:rPr>
        <w:t>经湖北省科学技术厅、湖北省财政厅、湖北省国</w:t>
      </w:r>
      <w:r>
        <w:rPr>
          <w:rFonts w:ascii="宋体" w:hAnsi="宋体" w:cs="宋体" w:eastAsia="宋体" w:hint="default"/>
          <w:spacing w:val="3"/>
          <w:w w:val="99"/>
          <w:sz w:val="16"/>
          <w:szCs w:val="16"/>
        </w:rPr>
        <w:t> </w:t>
      </w:r>
      <w:r>
        <w:rPr>
          <w:rFonts w:ascii="宋体" w:hAnsi="宋体" w:cs="宋体" w:eastAsia="宋体" w:hint="default"/>
          <w:spacing w:val="3"/>
          <w:sz w:val="16"/>
          <w:szCs w:val="16"/>
        </w:rPr>
        <w:t>家税务局、湖北省地方税务局批准，被认定为高</w:t>
      </w:r>
      <w:r>
        <w:rPr>
          <w:rFonts w:ascii="宋体" w:hAnsi="宋体" w:cs="宋体" w:eastAsia="宋体" w:hint="default"/>
          <w:spacing w:val="3"/>
          <w:w w:val="99"/>
          <w:sz w:val="16"/>
          <w:szCs w:val="16"/>
        </w:rPr>
        <w:t> </w:t>
      </w:r>
      <w:r>
        <w:rPr>
          <w:rFonts w:ascii="宋体" w:hAnsi="宋体" w:cs="宋体" w:eastAsia="宋体" w:hint="default"/>
          <w:w w:val="95"/>
          <w:sz w:val="16"/>
          <w:szCs w:val="16"/>
        </w:rPr>
        <w:t>新技术企业，证书编号为 </w:t>
      </w:r>
      <w:r>
        <w:rPr>
          <w:rFonts w:ascii="Times New Roman" w:hAnsi="Times New Roman" w:cs="Times New Roman" w:eastAsia="Times New Roman" w:hint="default"/>
          <w:w w:val="95"/>
          <w:sz w:val="16"/>
          <w:szCs w:val="16"/>
        </w:rPr>
        <w:t>GR201742002032</w:t>
      </w:r>
      <w:r>
        <w:rPr>
          <w:rFonts w:ascii="宋体" w:hAnsi="宋体" w:cs="宋体" w:eastAsia="宋体" w:hint="default"/>
          <w:w w:val="95"/>
          <w:sz w:val="16"/>
          <w:szCs w:val="16"/>
        </w:rPr>
        <w:t>，有效</w:t>
      </w:r>
      <w:r>
        <w:rPr>
          <w:rFonts w:ascii="宋体" w:hAnsi="宋体" w:cs="宋体" w:eastAsia="宋体" w:hint="default"/>
          <w:spacing w:val="12"/>
          <w:w w:val="95"/>
          <w:sz w:val="16"/>
          <w:szCs w:val="16"/>
        </w:rPr>
        <w:t> </w:t>
      </w:r>
      <w:r>
        <w:rPr>
          <w:rFonts w:ascii="宋体" w:hAnsi="宋体" w:cs="宋体" w:eastAsia="宋体" w:hint="default"/>
          <w:spacing w:val="12"/>
          <w:w w:val="95"/>
          <w:sz w:val="16"/>
          <w:szCs w:val="16"/>
        </w:rPr>
      </w:r>
      <w:r>
        <w:rPr>
          <w:rFonts w:ascii="宋体" w:hAnsi="宋体" w:cs="宋体" w:eastAsia="宋体" w:hint="default"/>
          <w:sz w:val="16"/>
          <w:szCs w:val="16"/>
        </w:rPr>
        <w:t>期三年，</w:t>
      </w:r>
      <w:r>
        <w:rPr>
          <w:rFonts w:ascii="Times New Roman" w:hAnsi="Times New Roman" w:cs="Times New Roman" w:eastAsia="Times New Roman" w:hint="default"/>
          <w:sz w:val="16"/>
          <w:szCs w:val="16"/>
        </w:rPr>
        <w:t>2018 </w:t>
      </w:r>
      <w:r>
        <w:rPr>
          <w:rFonts w:ascii="宋体" w:hAnsi="宋体" w:cs="宋体" w:eastAsia="宋体" w:hint="default"/>
          <w:sz w:val="16"/>
          <w:szCs w:val="16"/>
        </w:rPr>
        <w:t>年享受所得税</w:t>
      </w:r>
      <w:r>
        <w:rPr>
          <w:rFonts w:ascii="宋体" w:hAnsi="宋体" w:cs="宋体" w:eastAsia="宋体" w:hint="default"/>
          <w:spacing w:val="-46"/>
          <w:sz w:val="16"/>
          <w:szCs w:val="16"/>
        </w:rPr>
        <w:t> </w:t>
      </w:r>
      <w:r>
        <w:rPr>
          <w:rFonts w:ascii="Times New Roman" w:hAnsi="Times New Roman" w:cs="Times New Roman" w:eastAsia="Times New Roman" w:hint="default"/>
          <w:sz w:val="16"/>
          <w:szCs w:val="16"/>
        </w:rPr>
        <w:t>15%</w:t>
      </w:r>
      <w:r>
        <w:rPr>
          <w:rFonts w:ascii="宋体" w:hAnsi="宋体" w:cs="宋体" w:eastAsia="宋体" w:hint="default"/>
          <w:sz w:val="16"/>
          <w:szCs w:val="16"/>
        </w:rPr>
        <w:t>的优惠税率</w:t>
      </w:r>
    </w:p>
    <w:p>
      <w:pPr>
        <w:spacing w:line="208" w:lineRule="exact" w:before="73"/>
        <w:ind w:left="174" w:right="1410" w:firstLine="0"/>
        <w:jc w:val="both"/>
        <w:rPr>
          <w:rFonts w:ascii="宋体" w:hAnsi="宋体" w:cs="宋体" w:eastAsia="宋体" w:hint="default"/>
          <w:sz w:val="16"/>
          <w:szCs w:val="16"/>
        </w:rPr>
      </w:pPr>
      <w:r>
        <w:rPr>
          <w:rFonts w:ascii="宋体" w:hAnsi="宋体" w:cs="宋体" w:eastAsia="宋体" w:hint="default"/>
          <w:spacing w:val="3"/>
          <w:sz w:val="16"/>
          <w:szCs w:val="16"/>
        </w:rPr>
        <w:t>经湖北省科学技术厅、湖北省财政厅、湖北省国</w:t>
      </w:r>
      <w:r>
        <w:rPr>
          <w:rFonts w:ascii="宋体" w:hAnsi="宋体" w:cs="宋体" w:eastAsia="宋体" w:hint="default"/>
          <w:spacing w:val="3"/>
          <w:w w:val="99"/>
          <w:sz w:val="16"/>
          <w:szCs w:val="16"/>
        </w:rPr>
        <w:t> </w:t>
      </w:r>
      <w:r>
        <w:rPr>
          <w:rFonts w:ascii="宋体" w:hAnsi="宋体" w:cs="宋体" w:eastAsia="宋体" w:hint="default"/>
          <w:spacing w:val="3"/>
          <w:sz w:val="16"/>
          <w:szCs w:val="16"/>
        </w:rPr>
        <w:t>家税务局、湖北省地方税务局批准，被认定为高</w:t>
      </w:r>
      <w:r>
        <w:rPr>
          <w:rFonts w:ascii="宋体" w:hAnsi="宋体" w:cs="宋体" w:eastAsia="宋体" w:hint="default"/>
          <w:spacing w:val="3"/>
          <w:w w:val="99"/>
          <w:sz w:val="16"/>
          <w:szCs w:val="16"/>
        </w:rPr>
        <w:t> </w:t>
      </w:r>
      <w:r>
        <w:rPr>
          <w:rFonts w:ascii="宋体" w:hAnsi="宋体" w:cs="宋体" w:eastAsia="宋体" w:hint="default"/>
          <w:sz w:val="16"/>
          <w:szCs w:val="16"/>
        </w:rPr>
        <w:t>新技术企业，证书编号为</w:t>
      </w:r>
      <w:r>
        <w:rPr>
          <w:rFonts w:ascii="宋体" w:hAnsi="宋体" w:cs="宋体" w:eastAsia="宋体" w:hint="default"/>
          <w:spacing w:val="-60"/>
          <w:sz w:val="16"/>
          <w:szCs w:val="16"/>
        </w:rPr>
        <w:t> </w:t>
      </w:r>
      <w:r>
        <w:rPr>
          <w:rFonts w:ascii="Times New Roman" w:hAnsi="Times New Roman" w:cs="Times New Roman" w:eastAsia="Times New Roman" w:hint="default"/>
          <w:sz w:val="16"/>
          <w:szCs w:val="16"/>
        </w:rPr>
        <w:t>GF201742000171</w:t>
      </w:r>
      <w:r>
        <w:rPr>
          <w:rFonts w:ascii="宋体" w:hAnsi="宋体" w:cs="宋体" w:eastAsia="宋体" w:hint="default"/>
          <w:sz w:val="16"/>
          <w:szCs w:val="16"/>
        </w:rPr>
        <w:t>，有效</w:t>
      </w:r>
      <w:r>
        <w:rPr>
          <w:rFonts w:ascii="宋体" w:hAnsi="宋体" w:cs="宋体" w:eastAsia="宋体" w:hint="default"/>
          <w:w w:val="99"/>
          <w:sz w:val="16"/>
          <w:szCs w:val="16"/>
        </w:rPr>
        <w:t> </w:t>
      </w:r>
      <w:r>
        <w:rPr>
          <w:rFonts w:ascii="宋体" w:hAnsi="宋体" w:cs="宋体" w:eastAsia="宋体" w:hint="default"/>
          <w:sz w:val="16"/>
          <w:szCs w:val="16"/>
        </w:rPr>
        <w:t>期三年，</w:t>
      </w:r>
      <w:r>
        <w:rPr>
          <w:rFonts w:ascii="Times New Roman" w:hAnsi="Times New Roman" w:cs="Times New Roman" w:eastAsia="Times New Roman" w:hint="default"/>
          <w:sz w:val="16"/>
          <w:szCs w:val="16"/>
        </w:rPr>
        <w:t>2018 </w:t>
      </w:r>
      <w:r>
        <w:rPr>
          <w:rFonts w:ascii="宋体" w:hAnsi="宋体" w:cs="宋体" w:eastAsia="宋体" w:hint="default"/>
          <w:sz w:val="16"/>
          <w:szCs w:val="16"/>
        </w:rPr>
        <w:t>年享受所得税</w:t>
      </w:r>
      <w:r>
        <w:rPr>
          <w:rFonts w:ascii="宋体" w:hAnsi="宋体" w:cs="宋体" w:eastAsia="宋体" w:hint="default"/>
          <w:spacing w:val="-46"/>
          <w:sz w:val="16"/>
          <w:szCs w:val="16"/>
        </w:rPr>
        <w:t> </w:t>
      </w:r>
      <w:r>
        <w:rPr>
          <w:rFonts w:ascii="Times New Roman" w:hAnsi="Times New Roman" w:cs="Times New Roman" w:eastAsia="Times New Roman" w:hint="default"/>
          <w:sz w:val="16"/>
          <w:szCs w:val="16"/>
        </w:rPr>
        <w:t>15%</w:t>
      </w:r>
      <w:r>
        <w:rPr>
          <w:rFonts w:ascii="宋体" w:hAnsi="宋体" w:cs="宋体" w:eastAsia="宋体" w:hint="default"/>
          <w:sz w:val="16"/>
          <w:szCs w:val="16"/>
        </w:rPr>
        <w:t>的优惠税率</w:t>
      </w:r>
    </w:p>
    <w:p>
      <w:pPr>
        <w:spacing w:line="208" w:lineRule="exact" w:before="65"/>
        <w:ind w:left="174" w:right="1410" w:firstLine="0"/>
        <w:jc w:val="both"/>
        <w:rPr>
          <w:rFonts w:ascii="宋体" w:hAnsi="宋体" w:cs="宋体" w:eastAsia="宋体" w:hint="default"/>
          <w:sz w:val="16"/>
          <w:szCs w:val="16"/>
        </w:rPr>
      </w:pPr>
      <w:r>
        <w:rPr>
          <w:rFonts w:ascii="宋体" w:hAnsi="宋体" w:cs="宋体" w:eastAsia="宋体" w:hint="default"/>
          <w:spacing w:val="3"/>
          <w:sz w:val="16"/>
          <w:szCs w:val="16"/>
        </w:rPr>
        <w:t>经湖北省科学技术厅、湖北省财政厅、湖北省国</w:t>
      </w:r>
      <w:r>
        <w:rPr>
          <w:rFonts w:ascii="宋体" w:hAnsi="宋体" w:cs="宋体" w:eastAsia="宋体" w:hint="default"/>
          <w:spacing w:val="3"/>
          <w:w w:val="99"/>
          <w:sz w:val="16"/>
          <w:szCs w:val="16"/>
        </w:rPr>
        <w:t> </w:t>
      </w:r>
      <w:r>
        <w:rPr>
          <w:rFonts w:ascii="宋体" w:hAnsi="宋体" w:cs="宋体" w:eastAsia="宋体" w:hint="default"/>
          <w:spacing w:val="3"/>
          <w:sz w:val="16"/>
          <w:szCs w:val="16"/>
        </w:rPr>
        <w:t>家税务局、湖北省地方税务局批准，被认定为高</w:t>
      </w:r>
      <w:r>
        <w:rPr>
          <w:rFonts w:ascii="宋体" w:hAnsi="宋体" w:cs="宋体" w:eastAsia="宋体" w:hint="default"/>
          <w:spacing w:val="3"/>
          <w:w w:val="99"/>
          <w:sz w:val="16"/>
          <w:szCs w:val="16"/>
        </w:rPr>
        <w:t> </w:t>
      </w:r>
      <w:r>
        <w:rPr>
          <w:rFonts w:ascii="宋体" w:hAnsi="宋体" w:cs="宋体" w:eastAsia="宋体" w:hint="default"/>
          <w:w w:val="95"/>
          <w:sz w:val="16"/>
          <w:szCs w:val="16"/>
        </w:rPr>
        <w:t>新技术企业，证书编号为 </w:t>
      </w:r>
      <w:r>
        <w:rPr>
          <w:rFonts w:ascii="Times New Roman" w:hAnsi="Times New Roman" w:cs="Times New Roman" w:eastAsia="Times New Roman" w:hint="default"/>
          <w:w w:val="95"/>
          <w:sz w:val="16"/>
          <w:szCs w:val="16"/>
        </w:rPr>
        <w:t>GR201742002069</w:t>
      </w:r>
      <w:r>
        <w:rPr>
          <w:rFonts w:ascii="宋体" w:hAnsi="宋体" w:cs="宋体" w:eastAsia="宋体" w:hint="default"/>
          <w:w w:val="95"/>
          <w:sz w:val="16"/>
          <w:szCs w:val="16"/>
        </w:rPr>
        <w:t>，有效</w:t>
      </w:r>
      <w:r>
        <w:rPr>
          <w:rFonts w:ascii="宋体" w:hAnsi="宋体" w:cs="宋体" w:eastAsia="宋体" w:hint="default"/>
          <w:spacing w:val="12"/>
          <w:w w:val="95"/>
          <w:sz w:val="16"/>
          <w:szCs w:val="16"/>
        </w:rPr>
        <w:t> </w:t>
      </w:r>
      <w:r>
        <w:rPr>
          <w:rFonts w:ascii="宋体" w:hAnsi="宋体" w:cs="宋体" w:eastAsia="宋体" w:hint="default"/>
          <w:spacing w:val="12"/>
          <w:w w:val="95"/>
          <w:sz w:val="16"/>
          <w:szCs w:val="16"/>
        </w:rPr>
      </w:r>
      <w:r>
        <w:rPr>
          <w:rFonts w:ascii="宋体" w:hAnsi="宋体" w:cs="宋体" w:eastAsia="宋体" w:hint="default"/>
          <w:sz w:val="16"/>
          <w:szCs w:val="16"/>
        </w:rPr>
        <w:t>期三年，</w:t>
      </w:r>
      <w:r>
        <w:rPr>
          <w:rFonts w:ascii="Times New Roman" w:hAnsi="Times New Roman" w:cs="Times New Roman" w:eastAsia="Times New Roman" w:hint="default"/>
          <w:sz w:val="16"/>
          <w:szCs w:val="16"/>
        </w:rPr>
        <w:t>2018 </w:t>
      </w:r>
      <w:r>
        <w:rPr>
          <w:rFonts w:ascii="宋体" w:hAnsi="宋体" w:cs="宋体" w:eastAsia="宋体" w:hint="default"/>
          <w:sz w:val="16"/>
          <w:szCs w:val="16"/>
        </w:rPr>
        <w:t>年享受所得税</w:t>
      </w:r>
      <w:r>
        <w:rPr>
          <w:rFonts w:ascii="宋体" w:hAnsi="宋体" w:cs="宋体" w:eastAsia="宋体" w:hint="default"/>
          <w:spacing w:val="-46"/>
          <w:sz w:val="16"/>
          <w:szCs w:val="16"/>
        </w:rPr>
        <w:t> </w:t>
      </w:r>
      <w:r>
        <w:rPr>
          <w:rFonts w:ascii="Times New Roman" w:hAnsi="Times New Roman" w:cs="Times New Roman" w:eastAsia="Times New Roman" w:hint="default"/>
          <w:sz w:val="16"/>
          <w:szCs w:val="16"/>
        </w:rPr>
        <w:t>15%</w:t>
      </w:r>
      <w:r>
        <w:rPr>
          <w:rFonts w:ascii="宋体" w:hAnsi="宋体" w:cs="宋体" w:eastAsia="宋体" w:hint="default"/>
          <w:sz w:val="16"/>
          <w:szCs w:val="16"/>
        </w:rPr>
        <w:t>的优惠税率</w:t>
      </w:r>
    </w:p>
    <w:p>
      <w:pPr>
        <w:spacing w:line="232" w:lineRule="auto" w:before="50"/>
        <w:ind w:left="174" w:right="1332" w:firstLine="0"/>
        <w:jc w:val="both"/>
        <w:rPr>
          <w:rFonts w:ascii="宋体" w:hAnsi="宋体" w:cs="宋体" w:eastAsia="宋体" w:hint="default"/>
          <w:sz w:val="16"/>
          <w:szCs w:val="16"/>
        </w:rPr>
      </w:pPr>
      <w:r>
        <w:rPr>
          <w:rFonts w:ascii="宋体" w:hAnsi="宋体" w:cs="宋体" w:eastAsia="宋体" w:hint="default"/>
          <w:spacing w:val="3"/>
          <w:sz w:val="16"/>
          <w:szCs w:val="16"/>
        </w:rPr>
        <w:t>经湖北省科学技术厅、湖北省财政厅、湖北省国</w:t>
      </w:r>
      <w:r>
        <w:rPr>
          <w:rFonts w:ascii="宋体" w:hAnsi="宋体" w:cs="宋体" w:eastAsia="宋体" w:hint="default"/>
          <w:spacing w:val="3"/>
          <w:w w:val="99"/>
          <w:sz w:val="16"/>
          <w:szCs w:val="16"/>
        </w:rPr>
        <w:t> </w:t>
      </w:r>
      <w:r>
        <w:rPr>
          <w:rFonts w:ascii="宋体" w:hAnsi="宋体" w:cs="宋体" w:eastAsia="宋体" w:hint="default"/>
          <w:spacing w:val="3"/>
          <w:sz w:val="16"/>
          <w:szCs w:val="16"/>
        </w:rPr>
        <w:t>家税务局、湖北省地方税务局批准，被认定为高</w:t>
      </w:r>
      <w:r>
        <w:rPr>
          <w:rFonts w:ascii="宋体" w:hAnsi="宋体" w:cs="宋体" w:eastAsia="宋体" w:hint="default"/>
          <w:spacing w:val="3"/>
          <w:w w:val="99"/>
          <w:sz w:val="16"/>
          <w:szCs w:val="16"/>
        </w:rPr>
        <w:t> </w:t>
      </w:r>
      <w:r>
        <w:rPr>
          <w:rFonts w:ascii="宋体" w:hAnsi="宋体" w:cs="宋体" w:eastAsia="宋体" w:hint="default"/>
          <w:sz w:val="16"/>
          <w:szCs w:val="16"/>
        </w:rPr>
        <w:t>新技术企业，证书编号为</w:t>
      </w:r>
      <w:r>
        <w:rPr>
          <w:rFonts w:ascii="宋体" w:hAnsi="宋体" w:cs="宋体" w:eastAsia="宋体" w:hint="default"/>
          <w:spacing w:val="-54"/>
          <w:sz w:val="16"/>
          <w:szCs w:val="16"/>
        </w:rPr>
        <w:t> </w:t>
      </w:r>
      <w:r>
        <w:rPr>
          <w:rFonts w:ascii="Times New Roman" w:hAnsi="Times New Roman" w:cs="Times New Roman" w:eastAsia="Times New Roman" w:hint="default"/>
          <w:sz w:val="16"/>
          <w:szCs w:val="16"/>
        </w:rPr>
        <w:t>GR201742002221</w:t>
      </w:r>
      <w:r>
        <w:rPr>
          <w:rFonts w:ascii="宋体" w:hAnsi="宋体" w:cs="宋体" w:eastAsia="宋体" w:hint="default"/>
          <w:sz w:val="16"/>
          <w:szCs w:val="16"/>
        </w:rPr>
        <w:t>，有效</w:t>
      </w:r>
      <w:r>
        <w:rPr>
          <w:rFonts w:ascii="宋体" w:hAnsi="宋体" w:cs="宋体" w:eastAsia="宋体" w:hint="default"/>
          <w:w w:val="99"/>
          <w:sz w:val="16"/>
          <w:szCs w:val="16"/>
        </w:rPr>
        <w:t> </w:t>
      </w:r>
      <w:r>
        <w:rPr>
          <w:rFonts w:ascii="宋体" w:hAnsi="宋体" w:cs="宋体" w:eastAsia="宋体" w:hint="default"/>
          <w:sz w:val="16"/>
          <w:szCs w:val="16"/>
        </w:rPr>
        <w:t>期三年，</w:t>
      </w:r>
      <w:r>
        <w:rPr>
          <w:rFonts w:ascii="Times New Roman" w:hAnsi="Times New Roman" w:cs="Times New Roman" w:eastAsia="Times New Roman" w:hint="default"/>
          <w:sz w:val="16"/>
          <w:szCs w:val="16"/>
        </w:rPr>
        <w:t>2018 </w:t>
      </w:r>
      <w:r>
        <w:rPr>
          <w:rFonts w:ascii="宋体" w:hAnsi="宋体" w:cs="宋体" w:eastAsia="宋体" w:hint="default"/>
          <w:sz w:val="16"/>
          <w:szCs w:val="16"/>
        </w:rPr>
        <w:t>年享受所得税</w:t>
      </w:r>
      <w:r>
        <w:rPr>
          <w:rFonts w:ascii="宋体" w:hAnsi="宋体" w:cs="宋体" w:eastAsia="宋体" w:hint="default"/>
          <w:spacing w:val="-46"/>
          <w:sz w:val="16"/>
          <w:szCs w:val="16"/>
        </w:rPr>
        <w:t> </w:t>
      </w:r>
      <w:r>
        <w:rPr>
          <w:rFonts w:ascii="Times New Roman" w:hAnsi="Times New Roman" w:cs="Times New Roman" w:eastAsia="Times New Roman" w:hint="default"/>
          <w:sz w:val="16"/>
          <w:szCs w:val="16"/>
        </w:rPr>
        <w:t>15%</w:t>
      </w:r>
      <w:r>
        <w:rPr>
          <w:rFonts w:ascii="宋体" w:hAnsi="宋体" w:cs="宋体" w:eastAsia="宋体" w:hint="default"/>
          <w:sz w:val="16"/>
          <w:szCs w:val="16"/>
        </w:rPr>
        <w:t>的优惠税率</w:t>
      </w:r>
    </w:p>
    <w:p>
      <w:pPr>
        <w:spacing w:line="208" w:lineRule="exact" w:before="73"/>
        <w:ind w:left="174" w:right="1322" w:firstLine="0"/>
        <w:jc w:val="left"/>
        <w:rPr>
          <w:rFonts w:ascii="宋体" w:hAnsi="宋体" w:cs="宋体" w:eastAsia="宋体" w:hint="default"/>
          <w:sz w:val="16"/>
          <w:szCs w:val="16"/>
        </w:rPr>
      </w:pPr>
      <w:r>
        <w:rPr>
          <w:rFonts w:ascii="宋体" w:hAnsi="宋体" w:cs="宋体" w:eastAsia="宋体" w:hint="default"/>
          <w:sz w:val="16"/>
          <w:szCs w:val="16"/>
        </w:rPr>
        <w:t>公司于</w:t>
      </w:r>
      <w:r>
        <w:rPr>
          <w:rFonts w:ascii="宋体" w:hAnsi="宋体" w:cs="宋体" w:eastAsia="宋体" w:hint="default"/>
          <w:spacing w:val="-57"/>
          <w:sz w:val="16"/>
          <w:szCs w:val="16"/>
        </w:rPr>
        <w:t> </w:t>
      </w:r>
      <w:r>
        <w:rPr>
          <w:rFonts w:ascii="Times New Roman" w:hAnsi="Times New Roman" w:cs="Times New Roman" w:eastAsia="Times New Roman" w:hint="default"/>
          <w:sz w:val="16"/>
          <w:szCs w:val="16"/>
        </w:rPr>
        <w:t>2018</w:t>
      </w:r>
      <w:r>
        <w:rPr>
          <w:rFonts w:ascii="Times New Roman" w:hAnsi="Times New Roman" w:cs="Times New Roman" w:eastAsia="Times New Roman" w:hint="default"/>
          <w:spacing w:val="-17"/>
          <w:sz w:val="16"/>
          <w:szCs w:val="16"/>
        </w:rPr>
        <w:t> </w:t>
      </w:r>
      <w:r>
        <w:rPr>
          <w:rFonts w:ascii="宋体" w:hAnsi="宋体" w:cs="宋体" w:eastAsia="宋体" w:hint="default"/>
          <w:sz w:val="16"/>
          <w:szCs w:val="16"/>
        </w:rPr>
        <w:t>年</w:t>
      </w:r>
      <w:r>
        <w:rPr>
          <w:rFonts w:ascii="宋体" w:hAnsi="宋体" w:cs="宋体" w:eastAsia="宋体" w:hint="default"/>
          <w:spacing w:val="-57"/>
          <w:sz w:val="16"/>
          <w:szCs w:val="16"/>
        </w:rPr>
        <w:t> </w:t>
      </w:r>
      <w:r>
        <w:rPr>
          <w:rFonts w:ascii="Times New Roman" w:hAnsi="Times New Roman" w:cs="Times New Roman" w:eastAsia="Times New Roman" w:hint="default"/>
          <w:sz w:val="16"/>
          <w:szCs w:val="16"/>
        </w:rPr>
        <w:t>10</w:t>
      </w:r>
      <w:r>
        <w:rPr>
          <w:rFonts w:ascii="Times New Roman" w:hAnsi="Times New Roman" w:cs="Times New Roman" w:eastAsia="Times New Roman" w:hint="default"/>
          <w:spacing w:val="-17"/>
          <w:sz w:val="16"/>
          <w:szCs w:val="16"/>
        </w:rPr>
        <w:t> </w:t>
      </w:r>
      <w:r>
        <w:rPr>
          <w:rFonts w:ascii="宋体" w:hAnsi="宋体" w:cs="宋体" w:eastAsia="宋体" w:hint="default"/>
          <w:sz w:val="16"/>
          <w:szCs w:val="16"/>
        </w:rPr>
        <w:t>月</w:t>
      </w:r>
      <w:r>
        <w:rPr>
          <w:rFonts w:ascii="宋体" w:hAnsi="宋体" w:cs="宋体" w:eastAsia="宋体" w:hint="default"/>
          <w:spacing w:val="-57"/>
          <w:sz w:val="16"/>
          <w:szCs w:val="16"/>
        </w:rPr>
        <w:t> </w:t>
      </w:r>
      <w:r>
        <w:rPr>
          <w:rFonts w:ascii="Times New Roman" w:hAnsi="Times New Roman" w:cs="Times New Roman" w:eastAsia="Times New Roman" w:hint="default"/>
          <w:sz w:val="16"/>
          <w:szCs w:val="16"/>
        </w:rPr>
        <w:t>16</w:t>
      </w:r>
      <w:r>
        <w:rPr>
          <w:rFonts w:ascii="Times New Roman" w:hAnsi="Times New Roman" w:cs="Times New Roman" w:eastAsia="Times New Roman" w:hint="default"/>
          <w:spacing w:val="-17"/>
          <w:sz w:val="16"/>
          <w:szCs w:val="16"/>
        </w:rPr>
        <w:t> </w:t>
      </w:r>
      <w:r>
        <w:rPr>
          <w:rFonts w:ascii="宋体" w:hAnsi="宋体" w:cs="宋体" w:eastAsia="宋体" w:hint="default"/>
          <w:sz w:val="16"/>
          <w:szCs w:val="16"/>
        </w:rPr>
        <w:t>日取得高新技术企业证书，</w:t>
      </w:r>
      <w:r>
        <w:rPr>
          <w:rFonts w:ascii="宋体" w:hAnsi="宋体" w:cs="宋体" w:eastAsia="宋体" w:hint="default"/>
          <w:w w:val="99"/>
          <w:sz w:val="16"/>
          <w:szCs w:val="16"/>
        </w:rPr>
        <w:t> </w:t>
      </w:r>
      <w:r>
        <w:rPr>
          <w:rFonts w:ascii="宋体" w:hAnsi="宋体" w:cs="宋体" w:eastAsia="宋体" w:hint="default"/>
          <w:spacing w:val="5"/>
          <w:sz w:val="16"/>
          <w:szCs w:val="16"/>
        </w:rPr>
        <w:t>证书编号为</w:t>
      </w:r>
      <w:r>
        <w:rPr>
          <w:rFonts w:ascii="宋体" w:hAnsi="宋体" w:cs="宋体" w:eastAsia="宋体" w:hint="default"/>
          <w:spacing w:val="7"/>
          <w:sz w:val="16"/>
          <w:szCs w:val="16"/>
        </w:rPr>
        <w:t> </w:t>
      </w:r>
      <w:r>
        <w:rPr>
          <w:rFonts w:ascii="Times New Roman" w:hAnsi="Times New Roman" w:cs="Times New Roman" w:eastAsia="Times New Roman" w:hint="default"/>
          <w:spacing w:val="2"/>
          <w:sz w:val="16"/>
          <w:szCs w:val="16"/>
        </w:rPr>
        <w:t>GR201844200702</w:t>
      </w:r>
      <w:r>
        <w:rPr>
          <w:rFonts w:ascii="宋体" w:hAnsi="宋体" w:cs="宋体" w:eastAsia="宋体" w:hint="default"/>
          <w:spacing w:val="2"/>
          <w:sz w:val="16"/>
          <w:szCs w:val="16"/>
        </w:rPr>
        <w:t>，有效期为三年，</w:t>
      </w:r>
      <w:r>
        <w:rPr>
          <w:rFonts w:ascii="宋体" w:hAnsi="宋体" w:cs="宋体" w:eastAsia="宋体" w:hint="default"/>
          <w:spacing w:val="6"/>
          <w:w w:val="99"/>
          <w:sz w:val="16"/>
          <w:szCs w:val="16"/>
        </w:rPr>
        <w:t> </w:t>
      </w:r>
      <w:r>
        <w:rPr>
          <w:rFonts w:ascii="Times New Roman" w:hAnsi="Times New Roman" w:cs="Times New Roman" w:eastAsia="Times New Roman" w:hint="default"/>
          <w:sz w:val="16"/>
          <w:szCs w:val="16"/>
        </w:rPr>
        <w:t>2018 </w:t>
      </w:r>
      <w:r>
        <w:rPr>
          <w:rFonts w:ascii="宋体" w:hAnsi="宋体" w:cs="宋体" w:eastAsia="宋体" w:hint="default"/>
          <w:sz w:val="16"/>
          <w:szCs w:val="16"/>
        </w:rPr>
        <w:t>年享受所得税</w:t>
      </w:r>
      <w:r>
        <w:rPr>
          <w:rFonts w:ascii="宋体" w:hAnsi="宋体" w:cs="宋体" w:eastAsia="宋体" w:hint="default"/>
          <w:spacing w:val="-45"/>
          <w:sz w:val="16"/>
          <w:szCs w:val="16"/>
        </w:rPr>
        <w:t> </w:t>
      </w:r>
      <w:r>
        <w:rPr>
          <w:rFonts w:ascii="Times New Roman" w:hAnsi="Times New Roman" w:cs="Times New Roman" w:eastAsia="Times New Roman" w:hint="default"/>
          <w:sz w:val="16"/>
          <w:szCs w:val="16"/>
        </w:rPr>
        <w:t>15%</w:t>
      </w:r>
      <w:r>
        <w:rPr>
          <w:rFonts w:ascii="宋体" w:hAnsi="宋体" w:cs="宋体" w:eastAsia="宋体" w:hint="default"/>
          <w:sz w:val="16"/>
          <w:szCs w:val="16"/>
        </w:rPr>
        <w:t>的优惠税率</w:t>
      </w:r>
    </w:p>
    <w:p>
      <w:pPr>
        <w:spacing w:after="0" w:line="208" w:lineRule="exact"/>
        <w:jc w:val="left"/>
        <w:rPr>
          <w:rFonts w:ascii="宋体" w:hAnsi="宋体" w:cs="宋体" w:eastAsia="宋体" w:hint="default"/>
          <w:sz w:val="16"/>
          <w:szCs w:val="16"/>
        </w:rPr>
        <w:sectPr>
          <w:type w:val="continuous"/>
          <w:pgSz w:w="11910" w:h="16840"/>
          <w:pgMar w:top="1100" w:bottom="700" w:left="1660" w:right="0"/>
          <w:cols w:num="2" w:equalWidth="0">
            <w:col w:w="5190" w:space="40"/>
            <w:col w:w="5020"/>
          </w:cols>
        </w:sectPr>
      </w:pPr>
    </w:p>
    <w:p>
      <w:pPr>
        <w:spacing w:line="240" w:lineRule="auto" w:before="8"/>
        <w:rPr>
          <w:rFonts w:ascii="宋体" w:hAnsi="宋体" w:cs="宋体" w:eastAsia="宋体" w:hint="default"/>
          <w:sz w:val="13"/>
          <w:szCs w:val="13"/>
        </w:rPr>
      </w:pPr>
    </w:p>
    <w:p>
      <w:pPr>
        <w:pStyle w:val="BodyText"/>
        <w:spacing w:line="240" w:lineRule="auto" w:before="35"/>
        <w:ind w:left="851" w:right="1793"/>
        <w:jc w:val="left"/>
      </w:pPr>
      <w:r>
        <w:rPr>
          <w:rFonts w:ascii="Times New Roman" w:hAnsi="Times New Roman" w:cs="Times New Roman" w:eastAsia="Times New Roman" w:hint="default"/>
        </w:rPr>
        <w:t>2</w:t>
      </w:r>
      <w:r>
        <w:rPr/>
        <w:t>、根据香</w:t>
      </w:r>
      <w:r>
        <w:rPr>
          <w:spacing w:val="-2"/>
        </w:rPr>
        <w:t>港</w:t>
      </w:r>
      <w:r>
        <w:rPr/>
        <w:t>《税务条例</w:t>
      </w:r>
      <w:r>
        <w:rPr>
          <w:spacing w:val="-106"/>
        </w:rPr>
        <w:t>》</w:t>
      </w:r>
      <w:r>
        <w:rPr/>
        <w:t>，本公司之香港地区子公司的利得税税率是</w:t>
      </w:r>
      <w:r>
        <w:rPr>
          <w:spacing w:val="-53"/>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6.</w:t>
      </w:r>
      <w:r>
        <w:rPr>
          <w:rFonts w:ascii="Times New Roman" w:hAnsi="Times New Roman" w:cs="Times New Roman" w:eastAsia="Times New Roman" w:hint="default"/>
        </w:rPr>
        <w:t>50%</w:t>
      </w:r>
      <w:r>
        <w:rPr/>
        <w:t>。</w:t>
      </w:r>
    </w:p>
    <w:p>
      <w:pPr>
        <w:pStyle w:val="BodyText"/>
        <w:spacing w:line="336" w:lineRule="auto" w:before="110"/>
        <w:ind w:left="851" w:right="1676"/>
        <w:jc w:val="left"/>
      </w:pPr>
      <w:r>
        <w:rPr>
          <w:rFonts w:ascii="Times New Roman" w:hAnsi="Times New Roman" w:cs="Times New Roman" w:eastAsia="Times New Roman" w:hint="default"/>
          <w:spacing w:val="-3"/>
        </w:rPr>
        <w:t>3</w:t>
      </w:r>
      <w:r>
        <w:rPr>
          <w:spacing w:val="-3"/>
        </w:rPr>
        <w:t>、根据财政部和国家税务总局《关于软件产品增值税政策的通知》（财税</w:t>
      </w:r>
      <w:r>
        <w:rPr>
          <w:rFonts w:ascii="Times New Roman" w:hAnsi="Times New Roman" w:cs="Times New Roman" w:eastAsia="Times New Roman" w:hint="default"/>
          <w:spacing w:val="-3"/>
        </w:rPr>
        <w:t>[2011]100</w:t>
      </w:r>
      <w:r>
        <w:rPr>
          <w:rFonts w:ascii="Times New Roman" w:hAnsi="Times New Roman" w:cs="Times New Roman" w:eastAsia="Times New Roman" w:hint="default"/>
          <w:spacing w:val="-47"/>
        </w:rPr>
        <w:t> </w:t>
      </w:r>
      <w:r>
        <w:rPr>
          <w:rFonts w:ascii="Times New Roman" w:hAnsi="Times New Roman" w:cs="Times New Roman" w:eastAsia="Times New Roman" w:hint="default"/>
          <w:spacing w:val="-47"/>
        </w:rPr>
      </w:r>
      <w:r>
        <w:rPr>
          <w:spacing w:val="-11"/>
        </w:rPr>
        <w:t>号），增值税一般纳税人销售其自行开发生产的软件产品，按</w:t>
      </w:r>
      <w:r>
        <w:rPr>
          <w:spacing w:val="-44"/>
        </w:rPr>
        <w:t> </w:t>
      </w:r>
      <w:r>
        <w:rPr>
          <w:rFonts w:ascii="Times New Roman" w:hAnsi="Times New Roman" w:cs="Times New Roman" w:eastAsia="Times New Roman" w:hint="default"/>
          <w:spacing w:val="-1"/>
        </w:rPr>
        <w:t>17%</w:t>
      </w:r>
      <w:r>
        <w:rPr>
          <w:spacing w:val="-1"/>
        </w:rPr>
        <w:t>税率征收增值税后，</w:t>
      </w:r>
      <w:r>
        <w:rPr>
          <w:spacing w:val="-103"/>
        </w:rPr>
        <w:t> </w:t>
      </w:r>
      <w:r>
        <w:rPr>
          <w:spacing w:val="-103"/>
        </w:rPr>
      </w:r>
      <w:r>
        <w:rPr/>
        <w:t>对其增值税实际税负超过</w:t>
      </w:r>
      <w:r>
        <w:rPr>
          <w:spacing w:val="-48"/>
        </w:rPr>
        <w:t> </w:t>
      </w:r>
      <w:r>
        <w:rPr>
          <w:rFonts w:ascii="Times New Roman" w:hAnsi="Times New Roman" w:cs="Times New Roman" w:eastAsia="Times New Roman" w:hint="default"/>
          <w:spacing w:val="-4"/>
        </w:rPr>
        <w:t>3%</w:t>
      </w:r>
      <w:r>
        <w:rPr>
          <w:spacing w:val="-4"/>
        </w:rPr>
        <w:t>的部分实行即征即退政策。本公司、子公司湖南长城信</w:t>
      </w:r>
      <w:r>
        <w:rPr>
          <w:spacing w:val="-93"/>
        </w:rPr>
        <w:t> </w:t>
      </w:r>
      <w:r>
        <w:rPr>
          <w:spacing w:val="-93"/>
        </w:rPr>
      </w:r>
      <w:r>
        <w:rPr/>
        <w:t>息金融设备有限责任公司、湖南长城医疗科技有限公司、二级子公司中电长城（长 沙）信息技术有限公司沙享受此项优惠政策。</w:t>
      </w:r>
    </w:p>
    <w:p>
      <w:pPr>
        <w:pStyle w:val="BodyText"/>
        <w:spacing w:line="343" w:lineRule="auto" w:before="41"/>
        <w:ind w:left="851" w:right="1677"/>
        <w:jc w:val="left"/>
      </w:pPr>
      <w:r>
        <w:rPr>
          <w:rFonts w:ascii="Times New Roman" w:hAnsi="Times New Roman" w:cs="Times New Roman" w:eastAsia="Times New Roman" w:hint="default"/>
        </w:rPr>
        <w:t>4</w:t>
      </w:r>
      <w:r>
        <w:rPr/>
        <w:t>、根据财政部、国家税务总局</w:t>
      </w:r>
      <w:r>
        <w:rPr>
          <w:spacing w:val="-56"/>
        </w:rPr>
        <w:t> </w:t>
      </w:r>
      <w:r>
        <w:rPr>
          <w:rFonts w:ascii="Times New Roman" w:hAnsi="Times New Roman" w:cs="Times New Roman" w:eastAsia="Times New Roman" w:hint="default"/>
        </w:rPr>
        <w:t>1994</w:t>
      </w:r>
      <w:r>
        <w:rPr>
          <w:rFonts w:ascii="Times New Roman" w:hAnsi="Times New Roman" w:cs="Times New Roman" w:eastAsia="Times New Roman" w:hint="default"/>
          <w:spacing w:val="-4"/>
        </w:rPr>
        <w:t> </w:t>
      </w:r>
      <w:r>
        <w:rPr/>
        <w:t>年</w:t>
      </w:r>
      <w:r>
        <w:rPr>
          <w:spacing w:val="-56"/>
        </w:rPr>
        <w:t> </w:t>
      </w:r>
      <w:r>
        <w:rPr>
          <w:rFonts w:ascii="Times New Roman" w:hAnsi="Times New Roman" w:cs="Times New Roman" w:eastAsia="Times New Roman" w:hint="default"/>
        </w:rPr>
        <w:t>4</w:t>
      </w:r>
      <w:r>
        <w:rPr>
          <w:rFonts w:ascii="Times New Roman" w:hAnsi="Times New Roman" w:cs="Times New Roman" w:eastAsia="Times New Roman" w:hint="default"/>
          <w:spacing w:val="-3"/>
        </w:rPr>
        <w:t> </w:t>
      </w:r>
      <w:r>
        <w:rPr/>
        <w:t>月</w:t>
      </w:r>
      <w:r>
        <w:rPr>
          <w:spacing w:val="-57"/>
        </w:rPr>
        <w:t> </w:t>
      </w:r>
      <w:r>
        <w:rPr>
          <w:rFonts w:ascii="Times New Roman" w:hAnsi="Times New Roman" w:cs="Times New Roman" w:eastAsia="Times New Roman" w:hint="default"/>
        </w:rPr>
        <w:t>22</w:t>
      </w:r>
      <w:r>
        <w:rPr>
          <w:rFonts w:ascii="Times New Roman" w:hAnsi="Times New Roman" w:cs="Times New Roman" w:eastAsia="Times New Roman" w:hint="default"/>
          <w:spacing w:val="-3"/>
        </w:rPr>
        <w:t> </w:t>
      </w:r>
      <w:r>
        <w:rPr>
          <w:spacing w:val="-3"/>
        </w:rPr>
        <w:t>日（</w:t>
      </w:r>
      <w:r>
        <w:rPr>
          <w:rFonts w:ascii="Times New Roman" w:hAnsi="Times New Roman" w:cs="Times New Roman" w:eastAsia="Times New Roman" w:hint="default"/>
          <w:spacing w:val="-3"/>
        </w:rPr>
        <w:t>94</w:t>
      </w:r>
      <w:r>
        <w:rPr>
          <w:spacing w:val="-3"/>
        </w:rPr>
        <w:t>）财税字第</w:t>
      </w:r>
      <w:r>
        <w:rPr>
          <w:spacing w:val="-56"/>
        </w:rPr>
        <w:t> </w:t>
      </w:r>
      <w:r>
        <w:rPr>
          <w:rFonts w:ascii="Times New Roman" w:hAnsi="Times New Roman" w:cs="Times New Roman" w:eastAsia="Times New Roman" w:hint="default"/>
          <w:spacing w:val="-3"/>
        </w:rPr>
        <w:t>011 </w:t>
      </w:r>
      <w:r>
        <w:rPr>
          <w:spacing w:val="-3"/>
        </w:rPr>
        <w:t>号的规定，军</w:t>
      </w:r>
      <w:r>
        <w:rPr/>
        <w:t> </w:t>
      </w:r>
      <w:r>
        <w:rPr>
          <w:spacing w:val="-2"/>
        </w:rPr>
        <w:t>工系统所属军事工厂（包括科研单位）生产销售的应税货物应当按规定征收增值税。</w:t>
      </w:r>
      <w:r>
        <w:rPr>
          <w:spacing w:val="-99"/>
        </w:rPr>
        <w:t> </w:t>
      </w:r>
      <w:r>
        <w:rPr>
          <w:spacing w:val="-99"/>
        </w:rPr>
      </w:r>
      <w:r>
        <w:rPr/>
        <w:t>但对列入军工主管部门军品生产计划并按照军品作价原则销售给军队、人民武装警 察部队和军事工厂的军品，免征增值税。</w:t>
      </w:r>
    </w:p>
    <w:p>
      <w:pPr>
        <w:pStyle w:val="BodyText"/>
        <w:spacing w:line="328" w:lineRule="auto" w:before="35"/>
        <w:ind w:left="851" w:right="1796"/>
        <w:jc w:val="left"/>
      </w:pPr>
      <w:r>
        <w:rPr>
          <w:rFonts w:ascii="Times New Roman" w:hAnsi="Times New Roman" w:cs="Times New Roman" w:eastAsia="Times New Roman" w:hint="default"/>
        </w:rPr>
        <w:t>5</w:t>
      </w:r>
      <w:r>
        <w:rPr/>
        <w:t>、二级子公司</w:t>
      </w:r>
      <w:r>
        <w:rPr>
          <w:spacing w:val="-54"/>
        </w:rPr>
        <w:t> </w:t>
      </w:r>
      <w:r>
        <w:rPr>
          <w:rFonts w:ascii="Times New Roman" w:hAnsi="Times New Roman" w:cs="Times New Roman" w:eastAsia="Times New Roman" w:hint="default"/>
        </w:rPr>
        <w:t>PerfectGalaxy</w:t>
      </w:r>
      <w:r>
        <w:rPr>
          <w:rFonts w:ascii="Times New Roman" w:hAnsi="Times New Roman" w:cs="Times New Roman" w:eastAsia="Times New Roman" w:hint="default"/>
          <w:spacing w:val="-2"/>
        </w:rPr>
        <w:t> </w:t>
      </w:r>
      <w:r>
        <w:rPr>
          <w:rFonts w:ascii="Times New Roman" w:hAnsi="Times New Roman" w:cs="Times New Roman" w:eastAsia="Times New Roman" w:hint="default"/>
        </w:rPr>
        <w:t>InternationalLimited</w:t>
      </w:r>
      <w:r>
        <w:rPr>
          <w:rFonts w:ascii="Times New Roman" w:hAnsi="Times New Roman" w:cs="Times New Roman" w:eastAsia="Times New Roman" w:hint="default"/>
          <w:spacing w:val="-2"/>
        </w:rPr>
        <w:t> </w:t>
      </w:r>
      <w:r>
        <w:rPr/>
        <w:t>注册地在 </w:t>
      </w:r>
      <w:r>
        <w:rPr>
          <w:rFonts w:ascii="Times New Roman" w:hAnsi="Times New Roman" w:cs="Times New Roman" w:eastAsia="Times New Roman" w:hint="default"/>
          <w:spacing w:val="-3"/>
        </w:rPr>
        <w:t>BRITISHVIRGINISLANDS-BVI</w:t>
      </w:r>
      <w:r>
        <w:rPr>
          <w:spacing w:val="-3"/>
        </w:rPr>
        <w:t>（英属维京群岛），该岛屿注册的海外公司不用缴纳</w:t>
      </w:r>
      <w:r>
        <w:rPr>
          <w:spacing w:val="-88"/>
        </w:rPr>
        <w:t> </w:t>
      </w:r>
      <w:r>
        <w:rPr>
          <w:spacing w:val="-88"/>
        </w:rPr>
      </w:r>
      <w:r>
        <w:rPr/>
        <w:t>增值税、所得税等税费。</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pStyle w:val="Heading5"/>
        <w:tabs>
          <w:tab w:pos="851" w:val="left" w:leader="none"/>
        </w:tabs>
        <w:spacing w:line="240" w:lineRule="auto" w:before="0"/>
        <w:ind w:right="3681"/>
        <w:jc w:val="left"/>
        <w:rPr>
          <w:b w:val="0"/>
          <w:bCs w:val="0"/>
        </w:rPr>
      </w:pPr>
      <w:r>
        <w:rPr>
          <w:w w:val="95"/>
        </w:rPr>
        <w:t>五、</w:t>
        <w:tab/>
      </w:r>
      <w:r>
        <w:rPr/>
        <w:t>合并财务报表项目注释</w:t>
      </w:r>
      <w:r>
        <w:rPr>
          <w:b w:val="0"/>
          <w:bCs w:val="0"/>
        </w:rPr>
      </w:r>
    </w:p>
    <w:p>
      <w:pPr>
        <w:pStyle w:val="Heading5"/>
        <w:tabs>
          <w:tab w:pos="851" w:val="left" w:leader="none"/>
        </w:tabs>
        <w:spacing w:line="240" w:lineRule="auto" w:before="125"/>
        <w:ind w:right="3681"/>
        <w:jc w:val="left"/>
        <w:rPr>
          <w:b w:val="0"/>
          <w:bCs w:val="0"/>
        </w:rPr>
      </w:pPr>
      <w:r>
        <w:rPr/>
        <w:pict>
          <v:group style="position:absolute;margin-left:119.010002pt;margin-top:21.629036pt;width:411.6pt;height:107.2pt;mso-position-horizontal-relative:page;mso-position-vertical-relative:paragraph;z-index:-1399864" coordorigin="2380,433" coordsize="8232,2144">
            <v:group style="position:absolute;left:2410;top:448;width:3458;height:2" coordorigin="2410,448" coordsize="3458,2">
              <v:shape style="position:absolute;left:2410;top:448;width:3458;height:2" coordorigin="2410,448" coordsize="3458,0" path="m2410,448l5867,448e" filled="false" stroked="true" strokeweight="1.5pt" strokecolor="#000000">
                <v:path arrowok="t"/>
              </v:shape>
              <v:shape style="position:absolute;left:5867;top:463;width:10;height:28" type="#_x0000_t75" stroked="false">
                <v:imagedata r:id="rId45" o:title=""/>
              </v:shape>
            </v:group>
            <v:group style="position:absolute;left:5867;top:448;width:2322;height:2" coordorigin="5867,448" coordsize="2322,2">
              <v:shape style="position:absolute;left:5867;top:448;width:2322;height:2" coordorigin="5867,448" coordsize="2322,0" path="m5867,448l8189,448e" filled="false" stroked="true" strokeweight="1.5pt" strokecolor="#000000">
                <v:path arrowok="t"/>
              </v:shape>
              <v:shape style="position:absolute;left:8189;top:463;width:10;height:28" type="#_x0000_t75" stroked="false">
                <v:imagedata r:id="rId45" o:title=""/>
              </v:shape>
            </v:group>
            <v:group style="position:absolute;left:8189;top:448;width:30;height:2" coordorigin="8189,448" coordsize="30,2">
              <v:shape style="position:absolute;left:8189;top:448;width:30;height:2" coordorigin="8189,448" coordsize="30,0" path="m8189,448l8219,448e" filled="false" stroked="true" strokeweight="1.5pt" strokecolor="#000000">
                <v:path arrowok="t"/>
              </v:shape>
            </v:group>
            <v:group style="position:absolute;left:8219;top:448;width:2379;height:2" coordorigin="8219,448" coordsize="2379,2">
              <v:shape style="position:absolute;left:8219;top:448;width:2379;height:2" coordorigin="8219,448" coordsize="2379,0" path="m8219,448l10597,448e" filled="false" stroked="true" strokeweight="1.5pt" strokecolor="#000000">
                <v:path arrowok="t"/>
              </v:shape>
              <v:shape style="position:absolute;left:5848;top:471;width:2370;height:349" type="#_x0000_t75" stroked="false">
                <v:imagedata r:id="rId55" o:title=""/>
              </v:shape>
            </v:group>
            <v:group style="position:absolute;left:2395;top:2561;width:3472;height:2" coordorigin="2395,2561" coordsize="3472,2">
              <v:shape style="position:absolute;left:2395;top:2561;width:3472;height:2" coordorigin="2395,2561" coordsize="3472,0" path="m2395,2561l5867,2561e" filled="false" stroked="true" strokeweight="1.5pt" strokecolor="#000000">
                <v:path arrowok="t"/>
              </v:shape>
            </v:group>
            <v:group style="position:absolute;left:5867;top:2561;width:2322;height:2" coordorigin="5867,2561" coordsize="2322,2">
              <v:shape style="position:absolute;left:5867;top:2561;width:2322;height:2" coordorigin="5867,2561" coordsize="2322,0" path="m5867,2561l8189,2561e" filled="false" stroked="true" strokeweight="1.5pt" strokecolor="#000000">
                <v:path arrowok="t"/>
              </v:shape>
              <v:shape style="position:absolute;left:2397;top:788;width:8214;height:1758" type="#_x0000_t75" stroked="false">
                <v:imagedata r:id="rId56" o:title=""/>
              </v:shape>
            </v:group>
            <v:group style="position:absolute;left:8189;top:2561;width:30;height:2" coordorigin="8189,2561" coordsize="30,2">
              <v:shape style="position:absolute;left:8189;top:2561;width:30;height:2" coordorigin="8189,2561" coordsize="30,0" path="m8189,2561l8219,2561e" filled="false" stroked="true" strokeweight="1.5pt" strokecolor="#000000">
                <v:path arrowok="t"/>
              </v:shape>
            </v:group>
            <v:group style="position:absolute;left:8219;top:2561;width:2379;height:2" coordorigin="8219,2561" coordsize="2379,2">
              <v:shape style="position:absolute;left:8219;top:2561;width:2379;height:2" coordorigin="8219,2561" coordsize="2379,0" path="m8219,2561l10597,2561e" filled="false" stroked="true" strokeweight="1.5pt" strokecolor="#000000">
                <v:path arrowok="t"/>
              </v:shape>
              <v:shape style="position:absolute;left:3980;top:551;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项目</w:t>
                      </w:r>
                      <w:r>
                        <w:rPr>
                          <w:rFonts w:ascii="宋体" w:hAnsi="宋体" w:cs="宋体" w:eastAsia="宋体" w:hint="default"/>
                          <w:sz w:val="16"/>
                          <w:szCs w:val="16"/>
                        </w:rPr>
                      </w:r>
                    </w:p>
                  </w:txbxContent>
                </v:textbox>
                <w10:wrap type="none"/>
              </v:shape>
              <v:shape style="position:absolute;left:6712;top:551;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9076;top:551;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年初余额</w:t>
                      </w:r>
                      <w:r>
                        <w:rPr>
                          <w:rFonts w:ascii="宋体" w:hAnsi="宋体" w:cs="宋体" w:eastAsia="宋体" w:hint="default"/>
                          <w:sz w:val="16"/>
                          <w:szCs w:val="16"/>
                        </w:rPr>
                      </w:r>
                    </w:p>
                  </w:txbxContent>
                </v:textbox>
                <w10:wrap type="none"/>
              </v:shape>
              <v:shape style="position:absolute;left:2518;top:2296;width:20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其中：存放在境外的款项总额</w:t>
                      </w:r>
                      <w:r>
                        <w:rPr>
                          <w:rFonts w:ascii="宋体" w:hAnsi="宋体" w:cs="宋体" w:eastAsia="宋体" w:hint="default"/>
                          <w:sz w:val="16"/>
                          <w:szCs w:val="16"/>
                        </w:rPr>
                      </w:r>
                    </w:p>
                  </w:txbxContent>
                </v:textbox>
                <w10:wrap type="none"/>
              </v:shape>
              <v:shape style="position:absolute;left:7164;top:2309;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63,841,706.67</w:t>
                      </w:r>
                      <w:r>
                        <w:rPr>
                          <w:rFonts w:ascii="Times New Roman"/>
                          <w:sz w:val="16"/>
                        </w:rPr>
                      </w:r>
                    </w:p>
                  </w:txbxContent>
                </v:textbox>
                <w10:wrap type="none"/>
              </v:shape>
              <v:shape style="position:absolute;left:9569;top:2309;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90,565,165.81</w:t>
                      </w:r>
                      <w:r>
                        <w:rPr>
                          <w:rFonts w:ascii="Times New Roman"/>
                          <w:sz w:val="16"/>
                        </w:rPr>
                      </w:r>
                    </w:p>
                  </w:txbxContent>
                </v:textbox>
                <w10:wrap type="none"/>
              </v:shape>
            </v:group>
            <w10:wrap type="none"/>
          </v:group>
        </w:pict>
      </w:r>
      <w:r>
        <w:rPr>
          <w:rFonts w:ascii="Times New Roman" w:hAnsi="Times New Roman" w:cs="Times New Roman" w:eastAsia="Times New Roman" w:hint="default"/>
          <w:w w:val="95"/>
        </w:rPr>
        <w:t>(</w:t>
      </w:r>
      <w:r>
        <w:rPr>
          <w:w w:val="95"/>
        </w:rPr>
        <w:t>一</w:t>
      </w:r>
      <w:r>
        <w:rPr>
          <w:rFonts w:ascii="Times New Roman" w:hAnsi="Times New Roman" w:cs="Times New Roman" w:eastAsia="Times New Roman" w:hint="default"/>
          <w:w w:val="95"/>
        </w:rPr>
        <w:t>)</w:t>
        <w:tab/>
      </w:r>
      <w:r>
        <w:rPr>
          <w:spacing w:val="1"/>
        </w:rPr>
        <w:t>货币资金</w:t>
      </w:r>
      <w:r>
        <w:rPr>
          <w:b w:val="0"/>
          <w:bCs w:val="0"/>
        </w:rPr>
      </w:r>
    </w:p>
    <w:p>
      <w:pPr>
        <w:spacing w:line="240" w:lineRule="auto" w:before="4"/>
        <w:rPr>
          <w:rFonts w:ascii="宋体" w:hAnsi="宋体" w:cs="宋体" w:eastAsia="宋体" w:hint="default"/>
          <w:b/>
          <w:bCs/>
          <w:sz w:val="29"/>
          <w:szCs w:val="29"/>
        </w:rPr>
      </w:pPr>
    </w:p>
    <w:tbl>
      <w:tblPr>
        <w:tblW w:w="0" w:type="auto"/>
        <w:jc w:val="left"/>
        <w:tblInd w:w="822" w:type="dxa"/>
        <w:tblLayout w:type="fixed"/>
        <w:tblCellMar>
          <w:top w:w="0" w:type="dxa"/>
          <w:left w:w="0" w:type="dxa"/>
          <w:bottom w:w="0" w:type="dxa"/>
          <w:right w:w="0" w:type="dxa"/>
        </w:tblCellMar>
        <w:tblLook w:val="01E0"/>
      </w:tblPr>
      <w:tblGrid>
        <w:gridCol w:w="1246"/>
        <w:gridCol w:w="1904"/>
        <w:gridCol w:w="3095"/>
        <w:gridCol w:w="1798"/>
      </w:tblGrid>
      <w:tr>
        <w:trPr>
          <w:trHeight w:val="362" w:hRule="exact"/>
        </w:trPr>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5" w:right="0"/>
              <w:jc w:val="left"/>
              <w:rPr>
                <w:rFonts w:ascii="宋体" w:hAnsi="宋体" w:cs="宋体" w:eastAsia="宋体" w:hint="default"/>
                <w:sz w:val="16"/>
                <w:szCs w:val="16"/>
              </w:rPr>
            </w:pPr>
            <w:r>
              <w:rPr>
                <w:rFonts w:ascii="宋体" w:hAnsi="宋体" w:cs="宋体" w:eastAsia="宋体" w:hint="default"/>
                <w:sz w:val="16"/>
                <w:szCs w:val="16"/>
              </w:rPr>
              <w:t>库存现金</w:t>
            </w:r>
          </w:p>
        </w:tc>
        <w:tc>
          <w:tcPr>
            <w:tcW w:w="1904" w:type="dxa"/>
            <w:tcBorders>
              <w:top w:val="nil" w:sz="6" w:space="0" w:color="auto"/>
              <w:left w:val="nil" w:sz="6" w:space="0" w:color="auto"/>
              <w:bottom w:val="nil" w:sz="6" w:space="0" w:color="auto"/>
              <w:right w:val="nil" w:sz="6" w:space="0" w:color="auto"/>
            </w:tcBorders>
          </w:tcPr>
          <w:p>
            <w:pPr/>
          </w:p>
        </w:tc>
        <w:tc>
          <w:tcPr>
            <w:tcW w:w="3095"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641"/>
              <w:jc w:val="right"/>
              <w:rPr>
                <w:rFonts w:ascii="Times New Roman" w:hAnsi="Times New Roman" w:cs="Times New Roman" w:eastAsia="Times New Roman" w:hint="default"/>
                <w:sz w:val="16"/>
                <w:szCs w:val="16"/>
              </w:rPr>
            </w:pPr>
            <w:r>
              <w:rPr>
                <w:rFonts w:ascii="Times New Roman"/>
                <w:spacing w:val="-1"/>
                <w:sz w:val="16"/>
              </w:rPr>
              <w:t>417,574.15</w:t>
            </w:r>
          </w:p>
        </w:tc>
        <w:tc>
          <w:tcPr>
            <w:tcW w:w="1798"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33"/>
              <w:jc w:val="right"/>
              <w:rPr>
                <w:rFonts w:ascii="Times New Roman" w:hAnsi="Times New Roman" w:cs="Times New Roman" w:eastAsia="Times New Roman" w:hint="default"/>
                <w:sz w:val="16"/>
                <w:szCs w:val="16"/>
              </w:rPr>
            </w:pPr>
            <w:r>
              <w:rPr>
                <w:rFonts w:ascii="Times New Roman"/>
                <w:spacing w:val="-1"/>
                <w:sz w:val="16"/>
              </w:rPr>
              <w:t>383,999.59</w:t>
            </w:r>
          </w:p>
        </w:tc>
      </w:tr>
      <w:tr>
        <w:trPr>
          <w:trHeight w:val="349" w:hRule="exact"/>
        </w:trPr>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37"/>
              <w:ind w:left="35" w:right="0"/>
              <w:jc w:val="left"/>
              <w:rPr>
                <w:rFonts w:ascii="宋体" w:hAnsi="宋体" w:cs="宋体" w:eastAsia="宋体" w:hint="default"/>
                <w:sz w:val="16"/>
                <w:szCs w:val="16"/>
              </w:rPr>
            </w:pPr>
            <w:r>
              <w:rPr>
                <w:rFonts w:ascii="宋体" w:hAnsi="宋体" w:cs="宋体" w:eastAsia="宋体" w:hint="default"/>
                <w:sz w:val="16"/>
                <w:szCs w:val="16"/>
              </w:rPr>
              <w:t>银行存款</w:t>
            </w:r>
          </w:p>
        </w:tc>
        <w:tc>
          <w:tcPr>
            <w:tcW w:w="1904" w:type="dxa"/>
            <w:tcBorders>
              <w:top w:val="nil" w:sz="6" w:space="0" w:color="auto"/>
              <w:left w:val="nil" w:sz="6" w:space="0" w:color="auto"/>
              <w:bottom w:val="nil" w:sz="6" w:space="0" w:color="auto"/>
              <w:right w:val="nil" w:sz="6" w:space="0" w:color="auto"/>
            </w:tcBorders>
          </w:tcPr>
          <w:p>
            <w:pPr/>
          </w:p>
        </w:tc>
        <w:tc>
          <w:tcPr>
            <w:tcW w:w="3095"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40"/>
              <w:jc w:val="right"/>
              <w:rPr>
                <w:rFonts w:ascii="Times New Roman" w:hAnsi="Times New Roman" w:cs="Times New Roman" w:eastAsia="Times New Roman" w:hint="default"/>
                <w:sz w:val="16"/>
                <w:szCs w:val="16"/>
              </w:rPr>
            </w:pPr>
            <w:r>
              <w:rPr>
                <w:rFonts w:ascii="Times New Roman"/>
                <w:spacing w:val="-1"/>
                <w:sz w:val="16"/>
              </w:rPr>
              <w:t>3,314,282,084.55</w:t>
            </w:r>
          </w:p>
        </w:tc>
        <w:tc>
          <w:tcPr>
            <w:tcW w:w="179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33"/>
              <w:jc w:val="right"/>
              <w:rPr>
                <w:rFonts w:ascii="Times New Roman" w:hAnsi="Times New Roman" w:cs="Times New Roman" w:eastAsia="Times New Roman" w:hint="default"/>
                <w:sz w:val="16"/>
                <w:szCs w:val="16"/>
              </w:rPr>
            </w:pPr>
            <w:r>
              <w:rPr>
                <w:rFonts w:ascii="Times New Roman"/>
                <w:spacing w:val="-1"/>
                <w:sz w:val="16"/>
              </w:rPr>
              <w:t>2,927,972,656.46</w:t>
            </w:r>
          </w:p>
        </w:tc>
      </w:tr>
      <w:tr>
        <w:trPr>
          <w:trHeight w:val="349" w:hRule="exact"/>
        </w:trPr>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宋体" w:hAnsi="宋体" w:cs="宋体" w:eastAsia="宋体" w:hint="default"/>
                <w:sz w:val="16"/>
                <w:szCs w:val="16"/>
              </w:rPr>
            </w:pPr>
            <w:r>
              <w:rPr>
                <w:rFonts w:ascii="宋体" w:hAnsi="宋体" w:cs="宋体" w:eastAsia="宋体" w:hint="default"/>
                <w:sz w:val="16"/>
                <w:szCs w:val="16"/>
              </w:rPr>
              <w:t>其他货币资金</w:t>
            </w:r>
          </w:p>
        </w:tc>
        <w:tc>
          <w:tcPr>
            <w:tcW w:w="1904" w:type="dxa"/>
            <w:tcBorders>
              <w:top w:val="nil" w:sz="6" w:space="0" w:color="auto"/>
              <w:left w:val="nil" w:sz="6" w:space="0" w:color="auto"/>
              <w:bottom w:val="nil" w:sz="6" w:space="0" w:color="auto"/>
              <w:right w:val="nil" w:sz="6" w:space="0" w:color="auto"/>
            </w:tcBorders>
          </w:tcPr>
          <w:p>
            <w:pPr/>
          </w:p>
        </w:tc>
        <w:tc>
          <w:tcPr>
            <w:tcW w:w="3095"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41"/>
              <w:jc w:val="right"/>
              <w:rPr>
                <w:rFonts w:ascii="Times New Roman" w:hAnsi="Times New Roman" w:cs="Times New Roman" w:eastAsia="Times New Roman" w:hint="default"/>
                <w:sz w:val="16"/>
                <w:szCs w:val="16"/>
              </w:rPr>
            </w:pPr>
            <w:r>
              <w:rPr>
                <w:rFonts w:ascii="Times New Roman"/>
                <w:spacing w:val="-1"/>
                <w:sz w:val="16"/>
              </w:rPr>
              <w:t>61,691,618.99</w:t>
            </w:r>
          </w:p>
        </w:tc>
        <w:tc>
          <w:tcPr>
            <w:tcW w:w="179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33"/>
              <w:jc w:val="right"/>
              <w:rPr>
                <w:rFonts w:ascii="Times New Roman" w:hAnsi="Times New Roman" w:cs="Times New Roman" w:eastAsia="Times New Roman" w:hint="default"/>
                <w:sz w:val="16"/>
                <w:szCs w:val="16"/>
              </w:rPr>
            </w:pPr>
            <w:r>
              <w:rPr>
                <w:rFonts w:ascii="Times New Roman"/>
                <w:spacing w:val="-1"/>
                <w:sz w:val="16"/>
              </w:rPr>
              <w:t>74,070,446.31</w:t>
            </w:r>
          </w:p>
        </w:tc>
      </w:tr>
      <w:tr>
        <w:trPr>
          <w:trHeight w:val="361" w:hRule="exact"/>
        </w:trPr>
        <w:tc>
          <w:tcPr>
            <w:tcW w:w="1246" w:type="dxa"/>
            <w:tcBorders>
              <w:top w:val="nil" w:sz="6" w:space="0" w:color="auto"/>
              <w:left w:val="nil" w:sz="6" w:space="0" w:color="auto"/>
              <w:bottom w:val="nil" w:sz="6" w:space="0" w:color="auto"/>
              <w:right w:val="nil" w:sz="6" w:space="0" w:color="auto"/>
            </w:tcBorders>
          </w:tcPr>
          <w:p>
            <w:pPr/>
          </w:p>
        </w:tc>
        <w:tc>
          <w:tcPr>
            <w:tcW w:w="190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52"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3095"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40"/>
              <w:jc w:val="right"/>
              <w:rPr>
                <w:rFonts w:ascii="Times New Roman" w:hAnsi="Times New Roman" w:cs="Times New Roman" w:eastAsia="Times New Roman" w:hint="default"/>
                <w:sz w:val="16"/>
                <w:szCs w:val="16"/>
              </w:rPr>
            </w:pPr>
            <w:r>
              <w:rPr>
                <w:rFonts w:ascii="Times New Roman"/>
                <w:spacing w:val="-1"/>
                <w:sz w:val="16"/>
              </w:rPr>
              <w:t>3,376,391,277.69</w:t>
            </w:r>
          </w:p>
        </w:tc>
        <w:tc>
          <w:tcPr>
            <w:tcW w:w="179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33"/>
              <w:jc w:val="right"/>
              <w:rPr>
                <w:rFonts w:ascii="Times New Roman" w:hAnsi="Times New Roman" w:cs="Times New Roman" w:eastAsia="Times New Roman" w:hint="default"/>
                <w:sz w:val="16"/>
                <w:szCs w:val="16"/>
              </w:rPr>
            </w:pPr>
            <w:r>
              <w:rPr>
                <w:rFonts w:ascii="Times New Roman"/>
                <w:spacing w:val="-1"/>
                <w:sz w:val="16"/>
              </w:rPr>
              <w:t>3,002,427,102.36</w:t>
            </w:r>
          </w:p>
        </w:tc>
      </w:tr>
    </w:tbl>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4"/>
          <w:szCs w:val="14"/>
        </w:rPr>
      </w:pPr>
    </w:p>
    <w:p>
      <w:pPr>
        <w:pStyle w:val="BodyText"/>
        <w:spacing w:line="350" w:lineRule="auto" w:before="0"/>
        <w:ind w:left="851" w:right="1813"/>
        <w:jc w:val="left"/>
      </w:pPr>
      <w:r>
        <w:rPr/>
        <w:pict>
          <v:group style="position:absolute;margin-left:119.010002pt;margin-top:35.364059pt;width:412pt;height:142.1pt;mso-position-horizontal-relative:page;mso-position-vertical-relative:paragraph;z-index:-1399840" coordorigin="2380,707" coordsize="8240,2842">
            <v:group style="position:absolute;left:2410;top:722;width:3651;height:2" coordorigin="2410,722" coordsize="3651,2">
              <v:shape style="position:absolute;left:2410;top:722;width:3651;height:2" coordorigin="2410,722" coordsize="3651,0" path="m2410,722l6060,722e" filled="false" stroked="true" strokeweight="1.5pt" strokecolor="#000000">
                <v:path arrowok="t"/>
              </v:shape>
            </v:group>
            <v:group style="position:absolute;left:6060;top:722;width:4538;height:2" coordorigin="6060,722" coordsize="4538,2">
              <v:shape style="position:absolute;left:6060;top:722;width:4538;height:2" coordorigin="6060,722" coordsize="4538,0" path="m6060,722l10597,722e" filled="false" stroked="true" strokeweight="1.5pt" strokecolor="#000000">
                <v:path arrowok="t"/>
              </v:shape>
              <v:shape style="position:absolute;left:6060;top:737;width:10;height:340" type="#_x0000_t75" stroked="false">
                <v:imagedata r:id="rId57" o:title=""/>
              </v:shape>
            </v:group>
            <v:group style="position:absolute;left:2395;top:3534;width:3665;height:2" coordorigin="2395,3534" coordsize="3665,2">
              <v:shape style="position:absolute;left:2395;top:3534;width:3665;height:2" coordorigin="2395,3534" coordsize="3665,0" path="m2395,3534l6060,3534e" filled="false" stroked="true" strokeweight="1.5pt" strokecolor="#000000">
                <v:path arrowok="t"/>
              </v:shape>
              <v:shape style="position:absolute;left:2390;top:1058;width:8230;height:2461" type="#_x0000_t75" stroked="false">
                <v:imagedata r:id="rId58" o:title=""/>
              </v:shape>
            </v:group>
            <v:group style="position:absolute;left:6060;top:3534;width:4538;height:2" coordorigin="6060,3534" coordsize="4538,2">
              <v:shape style="position:absolute;left:6060;top:3534;width:4538;height:2" coordorigin="6060,3534" coordsize="4538,0" path="m6060,3534l10597,3534e" filled="false" stroked="true" strokeweight="1.5pt" strokecolor="#000000">
                <v:path arrowok="t"/>
              </v:shape>
            </v:group>
            <w10:wrap type="none"/>
          </v:group>
        </w:pict>
      </w:r>
      <w:r>
        <w:rPr/>
        <w:pict>
          <v:shape style="position:absolute;margin-left:122.379997pt;margin-top:36.114059pt;width:405.65pt;height:140.6pt;mso-position-horizontal-relative:page;mso-position-vertical-relative:paragraph;z-index:404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935"/>
                    <w:gridCol w:w="2686"/>
                    <w:gridCol w:w="1491"/>
                  </w:tblGrid>
                  <w:tr>
                    <w:trPr>
                      <w:trHeight w:val="714" w:hRule="exact"/>
                    </w:trPr>
                    <w:tc>
                      <w:tcPr>
                        <w:tcW w:w="3935" w:type="dxa"/>
                        <w:tcBorders>
                          <w:top w:val="nil" w:sz="6" w:space="0" w:color="auto"/>
                          <w:left w:val="nil" w:sz="6" w:space="0" w:color="auto"/>
                          <w:bottom w:val="nil" w:sz="6" w:space="0" w:color="auto"/>
                          <w:right w:val="nil" w:sz="6" w:space="0" w:color="auto"/>
                        </w:tcBorders>
                      </w:tcPr>
                      <w:p>
                        <w:pPr>
                          <w:pStyle w:val="TableParagraph"/>
                          <w:spacing w:line="400" w:lineRule="auto" w:before="53"/>
                          <w:ind w:left="70" w:right="1625" w:firstLine="1558"/>
                          <w:jc w:val="left"/>
                          <w:rPr>
                            <w:rFonts w:ascii="宋体" w:hAnsi="宋体" w:cs="宋体" w:eastAsia="宋体" w:hint="default"/>
                            <w:sz w:val="16"/>
                            <w:szCs w:val="16"/>
                          </w:rPr>
                        </w:pPr>
                        <w:r>
                          <w:rPr>
                            <w:rFonts w:ascii="宋体" w:hAnsi="宋体" w:cs="宋体" w:eastAsia="宋体" w:hint="default"/>
                            <w:sz w:val="16"/>
                            <w:szCs w:val="16"/>
                          </w:rPr>
                          <w:t>项目</w:t>
                        </w:r>
                        <w:r>
                          <w:rPr>
                            <w:rFonts w:ascii="宋体" w:hAnsi="宋体" w:cs="宋体" w:eastAsia="宋体" w:hint="default"/>
                            <w:w w:val="99"/>
                            <w:sz w:val="16"/>
                            <w:szCs w:val="16"/>
                          </w:rPr>
                          <w:t> </w:t>
                        </w:r>
                        <w:r>
                          <w:rPr>
                            <w:rFonts w:ascii="宋体" w:hAnsi="宋体" w:cs="宋体" w:eastAsia="宋体" w:hint="default"/>
                            <w:w w:val="95"/>
                            <w:sz w:val="16"/>
                            <w:szCs w:val="16"/>
                          </w:rPr>
                          <w:t>用于担保的定期存款或通知存款</w:t>
                        </w:r>
                        <w:r>
                          <w:rPr>
                            <w:rFonts w:ascii="宋体" w:hAnsi="宋体" w:cs="宋体" w:eastAsia="宋体" w:hint="default"/>
                            <w:sz w:val="16"/>
                            <w:szCs w:val="16"/>
                          </w:rPr>
                        </w:r>
                      </w:p>
                    </w:tc>
                    <w:tc>
                      <w:tcPr>
                        <w:tcW w:w="2686"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627" w:right="0"/>
                          <w:jc w:val="left"/>
                          <w:rPr>
                            <w:rFonts w:ascii="宋体" w:hAnsi="宋体" w:cs="宋体" w:eastAsia="宋体" w:hint="default"/>
                            <w:sz w:val="16"/>
                            <w:szCs w:val="16"/>
                          </w:rPr>
                        </w:pPr>
                        <w:r>
                          <w:rPr>
                            <w:rFonts w:ascii="宋体" w:hAnsi="宋体" w:cs="宋体" w:eastAsia="宋体" w:hint="default"/>
                            <w:sz w:val="16"/>
                            <w:szCs w:val="16"/>
                          </w:rPr>
                          <w:t>期末余额</w:t>
                        </w:r>
                      </w:p>
                    </w:tc>
                    <w:tc>
                      <w:tcPr>
                        <w:tcW w:w="149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0"/>
                          <w:ind w:right="0"/>
                          <w:jc w:val="left"/>
                          <w:rPr>
                            <w:rFonts w:ascii="宋体" w:hAnsi="宋体" w:cs="宋体" w:eastAsia="宋体" w:hint="default"/>
                            <w:b/>
                            <w:bCs/>
                            <w:sz w:val="18"/>
                            <w:szCs w:val="18"/>
                          </w:rPr>
                        </w:pPr>
                      </w:p>
                      <w:p>
                        <w:pPr>
                          <w:pStyle w:val="TableParagraph"/>
                          <w:spacing w:line="240" w:lineRule="auto"/>
                          <w:ind w:right="68"/>
                          <w:jc w:val="right"/>
                          <w:rPr>
                            <w:rFonts w:ascii="Times New Roman" w:hAnsi="Times New Roman" w:cs="Times New Roman" w:eastAsia="Times New Roman" w:hint="default"/>
                            <w:sz w:val="16"/>
                            <w:szCs w:val="16"/>
                          </w:rPr>
                        </w:pPr>
                        <w:r>
                          <w:rPr>
                            <w:rFonts w:ascii="Times New Roman"/>
                            <w:spacing w:val="-1"/>
                            <w:sz w:val="16"/>
                          </w:rPr>
                          <w:t>112,000,000.00</w:t>
                        </w:r>
                      </w:p>
                    </w:tc>
                  </w:tr>
                  <w:tr>
                    <w:trPr>
                      <w:trHeight w:val="349" w:hRule="exact"/>
                    </w:trPr>
                    <w:tc>
                      <w:tcPr>
                        <w:tcW w:w="393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宋体" w:hAnsi="宋体" w:cs="宋体" w:eastAsia="宋体" w:hint="default"/>
                            <w:sz w:val="16"/>
                            <w:szCs w:val="16"/>
                          </w:rPr>
                          <w:t>银行承兑汇票保证金</w:t>
                        </w:r>
                      </w:p>
                    </w:tc>
                    <w:tc>
                      <w:tcPr>
                        <w:tcW w:w="2686" w:type="dxa"/>
                        <w:tcBorders>
                          <w:top w:val="nil" w:sz="6" w:space="0" w:color="auto"/>
                          <w:left w:val="nil" w:sz="6" w:space="0" w:color="auto"/>
                          <w:bottom w:val="nil" w:sz="6" w:space="0" w:color="auto"/>
                          <w:right w:val="nil" w:sz="6" w:space="0" w:color="auto"/>
                        </w:tcBorders>
                      </w:tcPr>
                      <w:p>
                        <w:pPr/>
                      </w:p>
                    </w:tc>
                    <w:tc>
                      <w:tcPr>
                        <w:tcW w:w="1491"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8"/>
                          <w:jc w:val="right"/>
                          <w:rPr>
                            <w:rFonts w:ascii="Times New Roman" w:hAnsi="Times New Roman" w:cs="Times New Roman" w:eastAsia="Times New Roman" w:hint="default"/>
                            <w:sz w:val="16"/>
                            <w:szCs w:val="16"/>
                          </w:rPr>
                        </w:pPr>
                        <w:r>
                          <w:rPr>
                            <w:rFonts w:ascii="Times New Roman"/>
                            <w:spacing w:val="-1"/>
                            <w:sz w:val="16"/>
                          </w:rPr>
                          <w:t>59,262,626.99</w:t>
                        </w:r>
                      </w:p>
                    </w:tc>
                  </w:tr>
                  <w:tr>
                    <w:trPr>
                      <w:trHeight w:val="349" w:hRule="exact"/>
                    </w:trPr>
                    <w:tc>
                      <w:tcPr>
                        <w:tcW w:w="3935" w:type="dxa"/>
                        <w:tcBorders>
                          <w:top w:val="nil" w:sz="6" w:space="0" w:color="auto"/>
                          <w:left w:val="nil" w:sz="6" w:space="0" w:color="auto"/>
                          <w:bottom w:val="nil" w:sz="6" w:space="0" w:color="auto"/>
                          <w:right w:val="nil" w:sz="6" w:space="0" w:color="auto"/>
                        </w:tcBorders>
                      </w:tcPr>
                      <w:p>
                        <w:pPr>
                          <w:pStyle w:val="TableParagraph"/>
                          <w:spacing w:line="240" w:lineRule="auto" w:before="37"/>
                          <w:ind w:left="70" w:right="0"/>
                          <w:jc w:val="left"/>
                          <w:rPr>
                            <w:rFonts w:ascii="宋体" w:hAnsi="宋体" w:cs="宋体" w:eastAsia="宋体" w:hint="default"/>
                            <w:sz w:val="16"/>
                            <w:szCs w:val="16"/>
                          </w:rPr>
                        </w:pPr>
                        <w:r>
                          <w:rPr>
                            <w:rFonts w:ascii="宋体" w:hAnsi="宋体" w:cs="宋体" w:eastAsia="宋体" w:hint="default"/>
                            <w:sz w:val="16"/>
                            <w:szCs w:val="16"/>
                          </w:rPr>
                          <w:t>汇票贴现保证金</w:t>
                        </w:r>
                      </w:p>
                    </w:tc>
                    <w:tc>
                      <w:tcPr>
                        <w:tcW w:w="2686" w:type="dxa"/>
                        <w:tcBorders>
                          <w:top w:val="nil" w:sz="6" w:space="0" w:color="auto"/>
                          <w:left w:val="nil" w:sz="6" w:space="0" w:color="auto"/>
                          <w:bottom w:val="nil" w:sz="6" w:space="0" w:color="auto"/>
                          <w:right w:val="nil" w:sz="6" w:space="0" w:color="auto"/>
                        </w:tcBorders>
                      </w:tcPr>
                      <w:p>
                        <w:pPr/>
                      </w:p>
                    </w:tc>
                    <w:tc>
                      <w:tcPr>
                        <w:tcW w:w="149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68"/>
                          <w:jc w:val="right"/>
                          <w:rPr>
                            <w:rFonts w:ascii="Times New Roman" w:hAnsi="Times New Roman" w:cs="Times New Roman" w:eastAsia="Times New Roman" w:hint="default"/>
                            <w:sz w:val="16"/>
                            <w:szCs w:val="16"/>
                          </w:rPr>
                        </w:pPr>
                        <w:r>
                          <w:rPr>
                            <w:rFonts w:ascii="Times New Roman"/>
                            <w:spacing w:val="-1"/>
                            <w:sz w:val="16"/>
                          </w:rPr>
                          <w:t>2,385,220.00</w:t>
                        </w:r>
                      </w:p>
                    </w:tc>
                  </w:tr>
                  <w:tr>
                    <w:trPr>
                      <w:trHeight w:val="349" w:hRule="exact"/>
                    </w:trPr>
                    <w:tc>
                      <w:tcPr>
                        <w:tcW w:w="3935" w:type="dxa"/>
                        <w:tcBorders>
                          <w:top w:val="nil" w:sz="6" w:space="0" w:color="auto"/>
                          <w:left w:val="nil" w:sz="6" w:space="0" w:color="auto"/>
                          <w:bottom w:val="nil" w:sz="6" w:space="0" w:color="auto"/>
                          <w:right w:val="nil" w:sz="6" w:space="0" w:color="auto"/>
                        </w:tcBorders>
                      </w:tcPr>
                      <w:p>
                        <w:pPr>
                          <w:pStyle w:val="TableParagraph"/>
                          <w:spacing w:line="240" w:lineRule="auto" w:before="37"/>
                          <w:ind w:left="70" w:right="0"/>
                          <w:jc w:val="left"/>
                          <w:rPr>
                            <w:rFonts w:ascii="宋体" w:hAnsi="宋体" w:cs="宋体" w:eastAsia="宋体" w:hint="default"/>
                            <w:sz w:val="16"/>
                            <w:szCs w:val="16"/>
                          </w:rPr>
                        </w:pPr>
                        <w:r>
                          <w:rPr>
                            <w:rFonts w:ascii="宋体" w:hAnsi="宋体" w:cs="宋体" w:eastAsia="宋体" w:hint="default"/>
                            <w:sz w:val="16"/>
                            <w:szCs w:val="16"/>
                          </w:rPr>
                          <w:t>履约保证金</w:t>
                        </w:r>
                      </w:p>
                    </w:tc>
                    <w:tc>
                      <w:tcPr>
                        <w:tcW w:w="2686" w:type="dxa"/>
                        <w:tcBorders>
                          <w:top w:val="nil" w:sz="6" w:space="0" w:color="auto"/>
                          <w:left w:val="nil" w:sz="6" w:space="0" w:color="auto"/>
                          <w:bottom w:val="nil" w:sz="6" w:space="0" w:color="auto"/>
                          <w:right w:val="nil" w:sz="6" w:space="0" w:color="auto"/>
                        </w:tcBorders>
                      </w:tcPr>
                      <w:p>
                        <w:pPr/>
                      </w:p>
                    </w:tc>
                    <w:tc>
                      <w:tcPr>
                        <w:tcW w:w="1491"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8"/>
                          <w:jc w:val="right"/>
                          <w:rPr>
                            <w:rFonts w:ascii="Times New Roman" w:hAnsi="Times New Roman" w:cs="Times New Roman" w:eastAsia="Times New Roman" w:hint="default"/>
                            <w:sz w:val="16"/>
                            <w:szCs w:val="16"/>
                          </w:rPr>
                        </w:pPr>
                        <w:r>
                          <w:rPr>
                            <w:rFonts w:ascii="Times New Roman"/>
                            <w:spacing w:val="-1"/>
                            <w:sz w:val="16"/>
                          </w:rPr>
                          <w:t>20,772.00</w:t>
                        </w:r>
                      </w:p>
                    </w:tc>
                  </w:tr>
                  <w:tr>
                    <w:trPr>
                      <w:trHeight w:val="349" w:hRule="exact"/>
                    </w:trPr>
                    <w:tc>
                      <w:tcPr>
                        <w:tcW w:w="393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宋体" w:hAnsi="宋体" w:cs="宋体" w:eastAsia="宋体" w:hint="default"/>
                            <w:sz w:val="16"/>
                            <w:szCs w:val="16"/>
                          </w:rPr>
                          <w:t>东方证券保证金</w:t>
                        </w:r>
                      </w:p>
                    </w:tc>
                    <w:tc>
                      <w:tcPr>
                        <w:tcW w:w="2686" w:type="dxa"/>
                        <w:tcBorders>
                          <w:top w:val="nil" w:sz="6" w:space="0" w:color="auto"/>
                          <w:left w:val="nil" w:sz="6" w:space="0" w:color="auto"/>
                          <w:bottom w:val="nil" w:sz="6" w:space="0" w:color="auto"/>
                          <w:right w:val="nil" w:sz="6" w:space="0" w:color="auto"/>
                        </w:tcBorders>
                      </w:tcPr>
                      <w:p>
                        <w:pPr/>
                      </w:p>
                    </w:tc>
                    <w:tc>
                      <w:tcPr>
                        <w:tcW w:w="1491"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8"/>
                          <w:jc w:val="right"/>
                          <w:rPr>
                            <w:rFonts w:ascii="Times New Roman" w:hAnsi="Times New Roman" w:cs="Times New Roman" w:eastAsia="Times New Roman" w:hint="default"/>
                            <w:sz w:val="16"/>
                            <w:szCs w:val="16"/>
                          </w:rPr>
                        </w:pPr>
                        <w:r>
                          <w:rPr>
                            <w:rFonts w:ascii="Times New Roman"/>
                            <w:spacing w:val="-1"/>
                            <w:sz w:val="16"/>
                          </w:rPr>
                          <w:t>20,000.00</w:t>
                        </w:r>
                      </w:p>
                    </w:tc>
                  </w:tr>
                  <w:tr>
                    <w:trPr>
                      <w:trHeight w:val="349" w:hRule="exact"/>
                    </w:trPr>
                    <w:tc>
                      <w:tcPr>
                        <w:tcW w:w="393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ETC</w:t>
                        </w:r>
                        <w:r>
                          <w:rPr>
                            <w:rFonts w:ascii="Times New Roman" w:hAnsi="Times New Roman" w:cs="Times New Roman" w:eastAsia="Times New Roman" w:hint="default"/>
                            <w:spacing w:val="-4"/>
                            <w:sz w:val="16"/>
                            <w:szCs w:val="16"/>
                          </w:rPr>
                          <w:t> </w:t>
                        </w:r>
                        <w:r>
                          <w:rPr>
                            <w:rFonts w:ascii="宋体" w:hAnsi="宋体" w:cs="宋体" w:eastAsia="宋体" w:hint="default"/>
                            <w:sz w:val="16"/>
                            <w:szCs w:val="16"/>
                          </w:rPr>
                          <w:t>保证金</w:t>
                        </w:r>
                      </w:p>
                    </w:tc>
                    <w:tc>
                      <w:tcPr>
                        <w:tcW w:w="2686" w:type="dxa"/>
                        <w:tcBorders>
                          <w:top w:val="nil" w:sz="6" w:space="0" w:color="auto"/>
                          <w:left w:val="nil" w:sz="6" w:space="0" w:color="auto"/>
                          <w:bottom w:val="nil" w:sz="6" w:space="0" w:color="auto"/>
                          <w:right w:val="nil" w:sz="6" w:space="0" w:color="auto"/>
                        </w:tcBorders>
                      </w:tcPr>
                      <w:p>
                        <w:pPr/>
                      </w:p>
                    </w:tc>
                    <w:tc>
                      <w:tcPr>
                        <w:tcW w:w="1491"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8"/>
                          <w:jc w:val="right"/>
                          <w:rPr>
                            <w:rFonts w:ascii="Times New Roman" w:hAnsi="Times New Roman" w:cs="Times New Roman" w:eastAsia="Times New Roman" w:hint="default"/>
                            <w:sz w:val="16"/>
                            <w:szCs w:val="16"/>
                          </w:rPr>
                        </w:pPr>
                        <w:r>
                          <w:rPr>
                            <w:rFonts w:ascii="Times New Roman"/>
                            <w:spacing w:val="-1"/>
                            <w:sz w:val="16"/>
                          </w:rPr>
                          <w:t>3,000.00</w:t>
                        </w:r>
                      </w:p>
                    </w:tc>
                  </w:tr>
                  <w:tr>
                    <w:trPr>
                      <w:trHeight w:val="353" w:hRule="exact"/>
                    </w:trPr>
                    <w:tc>
                      <w:tcPr>
                        <w:tcW w:w="393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56"/>
                          <w:jc w:val="center"/>
                          <w:rPr>
                            <w:rFonts w:ascii="宋体" w:hAnsi="宋体" w:cs="宋体" w:eastAsia="宋体" w:hint="default"/>
                            <w:sz w:val="16"/>
                            <w:szCs w:val="16"/>
                          </w:rPr>
                        </w:pPr>
                        <w:r>
                          <w:rPr>
                            <w:rFonts w:ascii="宋体" w:hAnsi="宋体" w:cs="宋体" w:eastAsia="宋体" w:hint="default"/>
                            <w:sz w:val="16"/>
                            <w:szCs w:val="16"/>
                          </w:rPr>
                          <w:t>合计</w:t>
                        </w:r>
                      </w:p>
                    </w:tc>
                    <w:tc>
                      <w:tcPr>
                        <w:tcW w:w="2686" w:type="dxa"/>
                        <w:tcBorders>
                          <w:top w:val="nil" w:sz="6" w:space="0" w:color="auto"/>
                          <w:left w:val="nil" w:sz="6" w:space="0" w:color="auto"/>
                          <w:bottom w:val="nil" w:sz="6" w:space="0" w:color="auto"/>
                          <w:right w:val="nil" w:sz="6" w:space="0" w:color="auto"/>
                        </w:tcBorders>
                      </w:tcPr>
                      <w:p>
                        <w:pPr/>
                      </w:p>
                    </w:tc>
                    <w:tc>
                      <w:tcPr>
                        <w:tcW w:w="1491"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8"/>
                          <w:jc w:val="right"/>
                          <w:rPr>
                            <w:rFonts w:ascii="Times New Roman" w:hAnsi="Times New Roman" w:cs="Times New Roman" w:eastAsia="Times New Roman" w:hint="default"/>
                            <w:sz w:val="16"/>
                            <w:szCs w:val="16"/>
                          </w:rPr>
                        </w:pPr>
                        <w:r>
                          <w:rPr>
                            <w:rFonts w:ascii="Times New Roman"/>
                            <w:spacing w:val="-1"/>
                            <w:sz w:val="16"/>
                          </w:rPr>
                          <w:t>173,691,618.99</w:t>
                        </w:r>
                      </w:p>
                    </w:tc>
                  </w:tr>
                </w:tbl>
                <w:p>
                  <w:pPr/>
                </w:p>
              </w:txbxContent>
            </v:textbox>
            <w10:wrap type="none"/>
          </v:shape>
        </w:pict>
      </w:r>
      <w:r>
        <w:rPr/>
        <w:t>说明：其中因抵押、质押或冻结等对使用有限制，以及放在境外且资金汇回受到限 制的货币资金明细如下：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7"/>
          <w:szCs w:val="27"/>
        </w:rPr>
      </w:pPr>
    </w:p>
    <w:p>
      <w:pPr>
        <w:pStyle w:val="Heading5"/>
        <w:tabs>
          <w:tab w:pos="851" w:val="left" w:leader="none"/>
        </w:tabs>
        <w:spacing w:line="240" w:lineRule="auto"/>
        <w:ind w:right="3681"/>
        <w:jc w:val="left"/>
        <w:rPr>
          <w:b w:val="0"/>
          <w:bCs w:val="0"/>
        </w:rPr>
      </w:pPr>
      <w:r>
        <w:rPr>
          <w:rFonts w:ascii="Times New Roman" w:hAnsi="Times New Roman" w:cs="Times New Roman" w:eastAsia="Times New Roman" w:hint="default"/>
          <w:w w:val="95"/>
        </w:rPr>
        <w:t>(</w:t>
      </w:r>
      <w:r>
        <w:rPr>
          <w:w w:val="95"/>
        </w:rPr>
        <w:t>二</w:t>
      </w:r>
      <w:r>
        <w:rPr>
          <w:rFonts w:ascii="Times New Roman" w:hAnsi="Times New Roman" w:cs="Times New Roman" w:eastAsia="Times New Roman" w:hint="default"/>
          <w:w w:val="95"/>
        </w:rPr>
        <w:t>)</w:t>
        <w:tab/>
      </w:r>
      <w:r>
        <w:rPr/>
        <w:t>衍生金融资产</w:t>
      </w:r>
      <w:r>
        <w:rPr>
          <w:b w:val="0"/>
          <w:bCs w:val="0"/>
        </w:rPr>
      </w:r>
    </w:p>
    <w:p>
      <w:pPr>
        <w:spacing w:line="747" w:lineRule="exact"/>
        <w:ind w:left="720" w:right="0" w:firstLine="0"/>
        <w:rPr>
          <w:rFonts w:ascii="宋体" w:hAnsi="宋体" w:cs="宋体" w:eastAsia="宋体" w:hint="default"/>
          <w:sz w:val="20"/>
          <w:szCs w:val="20"/>
        </w:rPr>
      </w:pPr>
      <w:r>
        <w:rPr>
          <w:rFonts w:ascii="宋体" w:hAnsi="宋体" w:cs="宋体" w:eastAsia="宋体" w:hint="default"/>
          <w:position w:val="-14"/>
          <w:sz w:val="20"/>
          <w:szCs w:val="20"/>
        </w:rPr>
        <w:pict>
          <v:group style="width:411.6pt;height:37.4pt;mso-position-horizontal-relative:char;mso-position-vertical-relative:line" coordorigin="0,0" coordsize="8232,748">
            <v:group style="position:absolute;left:29;top:15;width:3700;height:2" coordorigin="29,15" coordsize="3700,2">
              <v:shape style="position:absolute;left:29;top:15;width:3700;height:2" coordorigin="29,15" coordsize="3700,0" path="m29,15l3729,15e" filled="false" stroked="true" strokeweight="1.5pt" strokecolor="#000000">
                <v:path arrowok="t"/>
              </v:shape>
              <v:shape style="position:absolute;left:3729;top:30;width:10;height:28" type="#_x0000_t75" stroked="false">
                <v:imagedata r:id="rId45" o:title=""/>
              </v:shape>
            </v:group>
            <v:group style="position:absolute;left:3729;top:15;width:2242;height:2" coordorigin="3729,15" coordsize="2242,2">
              <v:shape style="position:absolute;left:3729;top:15;width:2242;height:2" coordorigin="3729,15" coordsize="2242,0" path="m3729,15l5971,15e" filled="false" stroked="true" strokeweight="1.5pt" strokecolor="#000000">
                <v:path arrowok="t"/>
              </v:shape>
              <v:shape style="position:absolute;left:5971;top:30;width:10;height:28" type="#_x0000_t75" stroked="false">
                <v:imagedata r:id="rId45" o:title=""/>
              </v:shape>
            </v:group>
            <v:group style="position:absolute;left:5971;top:15;width:2247;height:2" coordorigin="5971,15" coordsize="2247,2">
              <v:shape style="position:absolute;left:5971;top:15;width:2247;height:2" coordorigin="5971,15" coordsize="2247,0" path="m5971,15l8217,15e" filled="false" stroked="true" strokeweight="1.5pt" strokecolor="#000000">
                <v:path arrowok="t"/>
              </v:shape>
            </v:group>
            <v:group style="position:absolute;left:15;top:733;width:3714;height:2" coordorigin="15,733" coordsize="3714,2">
              <v:shape style="position:absolute;left:15;top:733;width:3714;height:2" coordorigin="15,733" coordsize="3714,0" path="m15,733l3729,733e" filled="false" stroked="true" strokeweight="1.5pt" strokecolor="#000000">
                <v:path arrowok="t"/>
              </v:shape>
            </v:group>
            <v:group style="position:absolute;left:3729;top:733;width:2242;height:2" coordorigin="3729,733" coordsize="2242,2">
              <v:shape style="position:absolute;left:3729;top:733;width:2242;height:2" coordorigin="3729,733" coordsize="2242,0" path="m3729,733l5971,733e" filled="false" stroked="true" strokeweight="1.5pt" strokecolor="#000000">
                <v:path arrowok="t"/>
              </v:shape>
              <v:shape style="position:absolute;left:10;top:38;width:8216;height:679" type="#_x0000_t75" stroked="false">
                <v:imagedata r:id="rId59" o:title=""/>
              </v:shape>
            </v:group>
            <v:group style="position:absolute;left:5971;top:733;width:2247;height:2" coordorigin="5971,733" coordsize="2247,2">
              <v:shape style="position:absolute;left:5971;top:733;width:2247;height:2" coordorigin="5971,733" coordsize="2247,0" path="m5971,733l8217,733e" filled="false" stroked="true" strokeweight="1.5pt" strokecolor="#000000">
                <v:path arrowok="t"/>
              </v:shape>
              <v:shape style="position:absolute;left:1721;top:118;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项目</w:t>
                      </w:r>
                      <w:r>
                        <w:rPr>
                          <w:rFonts w:ascii="宋体" w:hAnsi="宋体" w:cs="宋体" w:eastAsia="宋体" w:hint="default"/>
                          <w:sz w:val="16"/>
                          <w:szCs w:val="16"/>
                        </w:rPr>
                      </w:r>
                    </w:p>
                  </w:txbxContent>
                </v:textbox>
                <w10:wrap type="none"/>
              </v:shape>
              <v:shape style="position:absolute;left:4533;top:11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6775;top:11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年初余额</w:t>
                      </w:r>
                      <w:r>
                        <w:rPr>
                          <w:rFonts w:ascii="宋体" w:hAnsi="宋体" w:cs="宋体" w:eastAsia="宋体" w:hint="default"/>
                          <w:sz w:val="16"/>
                          <w:szCs w:val="16"/>
                        </w:rPr>
                      </w:r>
                    </w:p>
                  </w:txbxContent>
                </v:textbox>
                <w10:wrap type="none"/>
              </v:shape>
              <v:shape style="position:absolute;left:137;top:468;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非套期工具</w:t>
                      </w:r>
                      <w:r>
                        <w:rPr>
                          <w:rFonts w:ascii="宋体" w:hAnsi="宋体" w:cs="宋体" w:eastAsia="宋体" w:hint="default"/>
                          <w:sz w:val="16"/>
                          <w:szCs w:val="16"/>
                        </w:rPr>
                      </w:r>
                    </w:p>
                  </w:txbxContent>
                </v:textbox>
                <w10:wrap type="none"/>
              </v:shape>
              <v:shape style="position:absolute;left:5026;top:481;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2,731,217.74</w:t>
                      </w:r>
                      <w:r>
                        <w:rPr>
                          <w:rFonts w:ascii="Times New Roman"/>
                          <w:sz w:val="16"/>
                        </w:rPr>
                      </w:r>
                    </w:p>
                  </w:txbxContent>
                </v:textbox>
                <w10:wrap type="none"/>
              </v:shape>
              <v:shape style="position:absolute;left:7268;top:481;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2,039,548.65</w:t>
                      </w:r>
                      <w:r>
                        <w:rPr>
                          <w:rFonts w:ascii="Times New Roman"/>
                          <w:sz w:val="16"/>
                        </w:rPr>
                      </w:r>
                    </w:p>
                  </w:txbxContent>
                </v:textbox>
                <w10:wrap type="none"/>
              </v:shape>
            </v:group>
          </v:group>
        </w:pict>
      </w:r>
      <w:r>
        <w:rPr>
          <w:rFonts w:ascii="宋体" w:hAnsi="宋体" w:cs="宋体" w:eastAsia="宋体" w:hint="default"/>
          <w:position w:val="-14"/>
          <w:sz w:val="20"/>
          <w:szCs w:val="20"/>
        </w:rPr>
      </w:r>
    </w:p>
    <w:p>
      <w:pPr>
        <w:spacing w:after="0" w:line="747" w:lineRule="exact"/>
        <w:rPr>
          <w:rFonts w:ascii="宋体" w:hAnsi="宋体" w:cs="宋体" w:eastAsia="宋体" w:hint="default"/>
          <w:sz w:val="20"/>
          <w:szCs w:val="20"/>
        </w:rPr>
        <w:sectPr>
          <w:pgSz w:w="11910" w:h="16840"/>
          <w:pgMar w:header="1302" w:footer="1001" w:top="1520" w:bottom="1200" w:left="1660" w:right="0"/>
        </w:sectPr>
      </w:pPr>
    </w:p>
    <w:p>
      <w:pPr>
        <w:spacing w:line="240" w:lineRule="auto" w:before="2"/>
        <w:rPr>
          <w:rFonts w:ascii="宋体" w:hAnsi="宋体" w:cs="宋体" w:eastAsia="宋体" w:hint="default"/>
          <w:b/>
          <w:bCs/>
          <w:sz w:val="9"/>
          <w:szCs w:val="9"/>
        </w:rPr>
      </w:pPr>
    </w:p>
    <w:p>
      <w:pPr>
        <w:spacing w:line="748" w:lineRule="exact"/>
        <w:ind w:left="720" w:right="0" w:firstLine="0"/>
        <w:rPr>
          <w:rFonts w:ascii="宋体" w:hAnsi="宋体" w:cs="宋体" w:eastAsia="宋体" w:hint="default"/>
          <w:sz w:val="20"/>
          <w:szCs w:val="20"/>
        </w:rPr>
      </w:pPr>
      <w:r>
        <w:rPr>
          <w:rFonts w:ascii="宋体" w:hAnsi="宋体" w:cs="宋体" w:eastAsia="宋体" w:hint="default"/>
          <w:position w:val="-14"/>
          <w:sz w:val="20"/>
          <w:szCs w:val="20"/>
        </w:rPr>
        <w:pict>
          <v:group style="width:411.6pt;height:37.450pt;mso-position-horizontal-relative:char;mso-position-vertical-relative:line" coordorigin="0,0" coordsize="8232,749">
            <v:group style="position:absolute;left:29;top:15;width:3700;height:2" coordorigin="29,15" coordsize="3700,2">
              <v:shape style="position:absolute;left:29;top:15;width:3700;height:2" coordorigin="29,15" coordsize="3700,0" path="m29,15l3729,15e" filled="false" stroked="true" strokeweight="1.5pt" strokecolor="#000000">
                <v:path arrowok="t"/>
              </v:shape>
              <v:shape style="position:absolute;left:3729;top:30;width:10;height:28" type="#_x0000_t75" stroked="false">
                <v:imagedata r:id="rId37" o:title=""/>
              </v:shape>
            </v:group>
            <v:group style="position:absolute;left:3729;top:15;width:2242;height:2" coordorigin="3729,15" coordsize="2242,2">
              <v:shape style="position:absolute;left:3729;top:15;width:2242;height:2" coordorigin="3729,15" coordsize="2242,0" path="m3729,15l5971,15e" filled="false" stroked="true" strokeweight="1.5pt" strokecolor="#000000">
                <v:path arrowok="t"/>
              </v:shape>
              <v:shape style="position:absolute;left:5971;top:30;width:10;height:28" type="#_x0000_t75" stroked="false">
                <v:imagedata r:id="rId37" o:title=""/>
              </v:shape>
            </v:group>
            <v:group style="position:absolute;left:5971;top:15;width:2247;height:2" coordorigin="5971,15" coordsize="2247,2">
              <v:shape style="position:absolute;left:5971;top:15;width:2247;height:2" coordorigin="5971,15" coordsize="2247,0" path="m5971,15l8217,15e" filled="false" stroked="true" strokeweight="1.5pt" strokecolor="#000000">
                <v:path arrowok="t"/>
              </v:shape>
            </v:group>
            <v:group style="position:absolute;left:15;top:734;width:3714;height:2" coordorigin="15,734" coordsize="3714,2">
              <v:shape style="position:absolute;left:15;top:734;width:3714;height:2" coordorigin="15,734" coordsize="3714,0" path="m15,734l3729,734e" filled="false" stroked="true" strokeweight="1.5pt" strokecolor="#000000">
                <v:path arrowok="t"/>
              </v:shape>
            </v:group>
            <v:group style="position:absolute;left:3729;top:734;width:2242;height:2" coordorigin="3729,734" coordsize="2242,2">
              <v:shape style="position:absolute;left:3729;top:734;width:2242;height:2" coordorigin="3729,734" coordsize="2242,0" path="m3729,734l5971,734e" filled="false" stroked="true" strokeweight="1.5pt" strokecolor="#000000">
                <v:path arrowok="t"/>
              </v:shape>
              <v:shape style="position:absolute;left:10;top:38;width:8216;height:680" type="#_x0000_t75" stroked="false">
                <v:imagedata r:id="rId60" o:title=""/>
              </v:shape>
            </v:group>
            <v:group style="position:absolute;left:5971;top:734;width:2247;height:2" coordorigin="5971,734" coordsize="2247,2">
              <v:shape style="position:absolute;left:5971;top:734;width:2247;height:2" coordorigin="5971,734" coordsize="2247,0" path="m5971,734l8217,734e" filled="false" stroked="true" strokeweight="1.5pt" strokecolor="#000000">
                <v:path arrowok="t"/>
              </v:shape>
              <v:shape style="position:absolute;left:1721;top:118;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项目</w:t>
                      </w:r>
                      <w:r>
                        <w:rPr>
                          <w:rFonts w:ascii="宋体" w:hAnsi="宋体" w:cs="宋体" w:eastAsia="宋体" w:hint="default"/>
                          <w:sz w:val="16"/>
                          <w:szCs w:val="16"/>
                        </w:rPr>
                      </w:r>
                    </w:p>
                  </w:txbxContent>
                </v:textbox>
                <w10:wrap type="none"/>
              </v:shape>
              <v:shape style="position:absolute;left:4533;top:11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6775;top:11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年初余额</w:t>
                      </w:r>
                      <w:r>
                        <w:rPr>
                          <w:rFonts w:ascii="宋体" w:hAnsi="宋体" w:cs="宋体" w:eastAsia="宋体" w:hint="default"/>
                          <w:sz w:val="16"/>
                          <w:szCs w:val="16"/>
                        </w:rPr>
                      </w:r>
                    </w:p>
                  </w:txbxContent>
                </v:textbox>
                <w10:wrap type="none"/>
              </v:shape>
              <v:shape style="position:absolute;left:1721;top:468;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合计</w:t>
                      </w:r>
                      <w:r>
                        <w:rPr>
                          <w:rFonts w:ascii="宋体" w:hAnsi="宋体" w:cs="宋体" w:eastAsia="宋体" w:hint="default"/>
                          <w:sz w:val="16"/>
                          <w:szCs w:val="16"/>
                        </w:rPr>
                      </w:r>
                    </w:p>
                  </w:txbxContent>
                </v:textbox>
                <w10:wrap type="none"/>
              </v:shape>
              <v:shape style="position:absolute;left:5026;top:481;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2,731,217.74</w:t>
                      </w:r>
                      <w:r>
                        <w:rPr>
                          <w:rFonts w:ascii="Times New Roman"/>
                          <w:sz w:val="16"/>
                        </w:rPr>
                      </w:r>
                    </w:p>
                  </w:txbxContent>
                </v:textbox>
                <w10:wrap type="none"/>
              </v:shape>
              <v:shape style="position:absolute;left:7268;top:481;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2,039,548.65</w:t>
                      </w:r>
                      <w:r>
                        <w:rPr>
                          <w:rFonts w:ascii="Times New Roman"/>
                          <w:sz w:val="16"/>
                        </w:rPr>
                      </w:r>
                    </w:p>
                  </w:txbxContent>
                </v:textbox>
                <w10:wrap type="none"/>
              </v:shape>
            </v:group>
          </v:group>
        </w:pict>
      </w:r>
      <w:r>
        <w:rPr>
          <w:rFonts w:ascii="宋体" w:hAnsi="宋体" w:cs="宋体" w:eastAsia="宋体" w:hint="default"/>
          <w:position w:val="-14"/>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5"/>
          <w:szCs w:val="15"/>
        </w:rPr>
      </w:pPr>
    </w:p>
    <w:tbl>
      <w:tblPr>
        <w:tblW w:w="0" w:type="auto"/>
        <w:jc w:val="left"/>
        <w:tblInd w:w="102" w:type="dxa"/>
        <w:tblLayout w:type="fixed"/>
        <w:tblCellMar>
          <w:top w:w="0" w:type="dxa"/>
          <w:left w:w="0" w:type="dxa"/>
          <w:bottom w:w="0" w:type="dxa"/>
          <w:right w:w="0" w:type="dxa"/>
        </w:tblCellMar>
        <w:tblLook w:val="01E0"/>
      </w:tblPr>
      <w:tblGrid>
        <w:gridCol w:w="647"/>
        <w:gridCol w:w="3007"/>
        <w:gridCol w:w="3008"/>
        <w:gridCol w:w="2172"/>
      </w:tblGrid>
      <w:tr>
        <w:trPr>
          <w:trHeight w:val="357" w:hRule="exact"/>
        </w:trPr>
        <w:tc>
          <w:tcPr>
            <w:tcW w:w="64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3007"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101" w:right="0"/>
              <w:jc w:val="left"/>
              <w:rPr>
                <w:rFonts w:ascii="宋体" w:hAnsi="宋体" w:cs="宋体" w:eastAsia="宋体" w:hint="default"/>
                <w:sz w:val="21"/>
                <w:szCs w:val="21"/>
              </w:rPr>
            </w:pPr>
            <w:r>
              <w:rPr>
                <w:rFonts w:ascii="宋体" w:hAnsi="宋体" w:cs="宋体" w:eastAsia="宋体" w:hint="default"/>
                <w:b/>
                <w:bCs/>
                <w:sz w:val="21"/>
                <w:szCs w:val="21"/>
              </w:rPr>
              <w:t>应收票据及应收账款</w:t>
            </w:r>
            <w:r>
              <w:rPr>
                <w:rFonts w:ascii="宋体" w:hAnsi="宋体" w:cs="宋体" w:eastAsia="宋体" w:hint="default"/>
                <w:sz w:val="21"/>
                <w:szCs w:val="21"/>
              </w:rPr>
            </w:r>
          </w:p>
        </w:tc>
        <w:tc>
          <w:tcPr>
            <w:tcW w:w="5180" w:type="dxa"/>
            <w:gridSpan w:val="2"/>
            <w:tcBorders>
              <w:top w:val="nil" w:sz="6" w:space="0" w:color="auto"/>
              <w:left w:val="nil" w:sz="6" w:space="0" w:color="auto"/>
              <w:bottom w:val="single" w:sz="12" w:space="0" w:color="000000"/>
              <w:right w:val="nil" w:sz="6" w:space="0" w:color="auto"/>
            </w:tcBorders>
          </w:tcPr>
          <w:p>
            <w:pPr/>
          </w:p>
        </w:tc>
      </w:tr>
      <w:tr>
        <w:trPr>
          <w:trHeight w:val="358" w:hRule="exact"/>
        </w:trPr>
        <w:tc>
          <w:tcPr>
            <w:tcW w:w="647" w:type="dxa"/>
            <w:tcBorders>
              <w:top w:val="nil" w:sz="6" w:space="0" w:color="auto"/>
              <w:left w:val="nil" w:sz="6" w:space="0" w:color="auto"/>
              <w:bottom w:val="nil" w:sz="6" w:space="0" w:color="auto"/>
              <w:right w:val="nil" w:sz="6" w:space="0" w:color="auto"/>
            </w:tcBorders>
          </w:tcPr>
          <w:p>
            <w:pPr/>
          </w:p>
        </w:tc>
        <w:tc>
          <w:tcPr>
            <w:tcW w:w="3007" w:type="dxa"/>
            <w:tcBorders>
              <w:top w:val="single" w:sz="12" w:space="0" w:color="000000"/>
              <w:left w:val="nil" w:sz="6" w:space="0" w:color="auto"/>
              <w:bottom w:val="nil" w:sz="6" w:space="0" w:color="auto"/>
              <w:right w:val="nil" w:sz="6" w:space="0" w:color="auto"/>
            </w:tcBorders>
          </w:tcPr>
          <w:p>
            <w:pPr>
              <w:pStyle w:val="TableParagraph"/>
              <w:spacing w:line="240" w:lineRule="auto" w:before="38"/>
              <w:ind w:left="84" w:right="0"/>
              <w:jc w:val="center"/>
              <w:rPr>
                <w:rFonts w:ascii="宋体" w:hAnsi="宋体" w:cs="宋体" w:eastAsia="宋体" w:hint="default"/>
                <w:sz w:val="16"/>
                <w:szCs w:val="16"/>
              </w:rPr>
            </w:pPr>
            <w:r>
              <w:rPr>
                <w:rFonts w:ascii="宋体" w:hAnsi="宋体" w:cs="宋体" w:eastAsia="宋体" w:hint="default"/>
                <w:sz w:val="16"/>
                <w:szCs w:val="16"/>
              </w:rPr>
              <w:t>项目</w:t>
            </w:r>
          </w:p>
        </w:tc>
        <w:tc>
          <w:tcPr>
            <w:tcW w:w="3008" w:type="dxa"/>
            <w:tcBorders>
              <w:top w:val="single" w:sz="12" w:space="0" w:color="000000"/>
              <w:left w:val="nil" w:sz="6" w:space="0" w:color="auto"/>
              <w:bottom w:val="nil" w:sz="6" w:space="0" w:color="auto"/>
              <w:right w:val="nil" w:sz="6" w:space="0" w:color="auto"/>
            </w:tcBorders>
          </w:tcPr>
          <w:p>
            <w:pPr>
              <w:pStyle w:val="TableParagraph"/>
              <w:spacing w:line="240" w:lineRule="auto" w:before="38"/>
              <w:ind w:right="354"/>
              <w:jc w:val="center"/>
              <w:rPr>
                <w:rFonts w:ascii="宋体" w:hAnsi="宋体" w:cs="宋体" w:eastAsia="宋体" w:hint="default"/>
                <w:sz w:val="16"/>
                <w:szCs w:val="16"/>
              </w:rPr>
            </w:pPr>
            <w:r>
              <w:rPr>
                <w:rFonts w:ascii="宋体" w:hAnsi="宋体" w:cs="宋体" w:eastAsia="宋体" w:hint="default"/>
                <w:sz w:val="16"/>
                <w:szCs w:val="16"/>
              </w:rPr>
              <w:t>期末余额</w:t>
            </w:r>
          </w:p>
        </w:tc>
        <w:tc>
          <w:tcPr>
            <w:tcW w:w="2172" w:type="dxa"/>
            <w:tcBorders>
              <w:top w:val="single" w:sz="12" w:space="0" w:color="000000"/>
              <w:left w:val="nil" w:sz="6" w:space="0" w:color="auto"/>
              <w:bottom w:val="nil" w:sz="6" w:space="0" w:color="auto"/>
              <w:right w:val="nil" w:sz="6" w:space="0" w:color="auto"/>
            </w:tcBorders>
          </w:tcPr>
          <w:p>
            <w:pPr>
              <w:pStyle w:val="TableParagraph"/>
              <w:spacing w:line="240" w:lineRule="auto" w:before="38"/>
              <w:ind w:left="546" w:right="0"/>
              <w:jc w:val="left"/>
              <w:rPr>
                <w:rFonts w:ascii="宋体" w:hAnsi="宋体" w:cs="宋体" w:eastAsia="宋体" w:hint="default"/>
                <w:sz w:val="16"/>
                <w:szCs w:val="16"/>
              </w:rPr>
            </w:pPr>
            <w:r>
              <w:rPr>
                <w:rFonts w:ascii="宋体" w:hAnsi="宋体" w:cs="宋体" w:eastAsia="宋体" w:hint="default"/>
                <w:sz w:val="16"/>
                <w:szCs w:val="16"/>
              </w:rPr>
              <w:t>年初余额</w:t>
            </w:r>
          </w:p>
        </w:tc>
      </w:tr>
      <w:tr>
        <w:trPr>
          <w:trHeight w:val="356" w:hRule="exact"/>
        </w:trPr>
        <w:tc>
          <w:tcPr>
            <w:tcW w:w="647" w:type="dxa"/>
            <w:tcBorders>
              <w:top w:val="nil" w:sz="6" w:space="0" w:color="auto"/>
              <w:left w:val="nil" w:sz="6" w:space="0" w:color="auto"/>
              <w:bottom w:val="nil" w:sz="6" w:space="0" w:color="auto"/>
              <w:right w:val="nil" w:sz="6" w:space="0" w:color="auto"/>
            </w:tcBorders>
          </w:tcPr>
          <w:p>
            <w:pPr/>
          </w:p>
        </w:tc>
        <w:tc>
          <w:tcPr>
            <w:tcW w:w="3007"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07" w:right="0"/>
              <w:jc w:val="left"/>
              <w:rPr>
                <w:rFonts w:ascii="宋体" w:hAnsi="宋体" w:cs="宋体" w:eastAsia="宋体" w:hint="default"/>
                <w:sz w:val="16"/>
                <w:szCs w:val="16"/>
              </w:rPr>
            </w:pPr>
            <w:r>
              <w:rPr>
                <w:rFonts w:ascii="宋体" w:hAnsi="宋体" w:cs="宋体" w:eastAsia="宋体" w:hint="default"/>
                <w:sz w:val="16"/>
                <w:szCs w:val="16"/>
              </w:rPr>
              <w:t>应收票据</w:t>
            </w:r>
          </w:p>
        </w:tc>
        <w:tc>
          <w:tcPr>
            <w:tcW w:w="3008"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544"/>
              <w:jc w:val="right"/>
              <w:rPr>
                <w:rFonts w:ascii="Times New Roman" w:hAnsi="Times New Roman" w:cs="Times New Roman" w:eastAsia="Times New Roman" w:hint="default"/>
                <w:sz w:val="16"/>
                <w:szCs w:val="16"/>
              </w:rPr>
            </w:pPr>
            <w:r>
              <w:rPr>
                <w:rFonts w:ascii="Times New Roman"/>
                <w:spacing w:val="-1"/>
                <w:sz w:val="16"/>
              </w:rPr>
              <w:t>754,922,504.48</w:t>
            </w:r>
          </w:p>
        </w:tc>
        <w:tc>
          <w:tcPr>
            <w:tcW w:w="2172"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05"/>
              <w:jc w:val="right"/>
              <w:rPr>
                <w:rFonts w:ascii="Times New Roman" w:hAnsi="Times New Roman" w:cs="Times New Roman" w:eastAsia="Times New Roman" w:hint="default"/>
                <w:sz w:val="16"/>
                <w:szCs w:val="16"/>
              </w:rPr>
            </w:pPr>
            <w:r>
              <w:rPr>
                <w:rFonts w:ascii="Times New Roman"/>
                <w:spacing w:val="-1"/>
                <w:sz w:val="16"/>
              </w:rPr>
              <w:t>689,573,546.88</w:t>
            </w:r>
          </w:p>
        </w:tc>
      </w:tr>
      <w:tr>
        <w:trPr>
          <w:trHeight w:val="349" w:hRule="exact"/>
        </w:trPr>
        <w:tc>
          <w:tcPr>
            <w:tcW w:w="647" w:type="dxa"/>
            <w:tcBorders>
              <w:top w:val="nil" w:sz="6" w:space="0" w:color="auto"/>
              <w:left w:val="nil" w:sz="6" w:space="0" w:color="auto"/>
              <w:bottom w:val="nil" w:sz="6" w:space="0" w:color="auto"/>
              <w:right w:val="nil" w:sz="6" w:space="0" w:color="auto"/>
            </w:tcBorders>
          </w:tcPr>
          <w:p>
            <w:pPr/>
          </w:p>
        </w:tc>
        <w:tc>
          <w:tcPr>
            <w:tcW w:w="300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07" w:right="0"/>
              <w:jc w:val="left"/>
              <w:rPr>
                <w:rFonts w:ascii="宋体" w:hAnsi="宋体" w:cs="宋体" w:eastAsia="宋体" w:hint="default"/>
                <w:sz w:val="16"/>
                <w:szCs w:val="16"/>
              </w:rPr>
            </w:pPr>
            <w:r>
              <w:rPr>
                <w:rFonts w:ascii="宋体" w:hAnsi="宋体" w:cs="宋体" w:eastAsia="宋体" w:hint="default"/>
                <w:sz w:val="16"/>
                <w:szCs w:val="16"/>
              </w:rPr>
              <w:t>应收账款</w:t>
            </w:r>
          </w:p>
        </w:tc>
        <w:tc>
          <w:tcPr>
            <w:tcW w:w="300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544"/>
              <w:jc w:val="right"/>
              <w:rPr>
                <w:rFonts w:ascii="Times New Roman" w:hAnsi="Times New Roman" w:cs="Times New Roman" w:eastAsia="Times New Roman" w:hint="default"/>
                <w:sz w:val="16"/>
                <w:szCs w:val="16"/>
              </w:rPr>
            </w:pPr>
            <w:r>
              <w:rPr>
                <w:rFonts w:ascii="Times New Roman"/>
                <w:spacing w:val="-1"/>
                <w:sz w:val="16"/>
              </w:rPr>
              <w:t>2,967,217,578.89</w:t>
            </w:r>
          </w:p>
        </w:tc>
        <w:tc>
          <w:tcPr>
            <w:tcW w:w="2172"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5"/>
              <w:jc w:val="right"/>
              <w:rPr>
                <w:rFonts w:ascii="Times New Roman" w:hAnsi="Times New Roman" w:cs="Times New Roman" w:eastAsia="Times New Roman" w:hint="default"/>
                <w:sz w:val="16"/>
                <w:szCs w:val="16"/>
              </w:rPr>
            </w:pPr>
            <w:r>
              <w:rPr>
                <w:rFonts w:ascii="Times New Roman"/>
                <w:spacing w:val="-1"/>
                <w:sz w:val="16"/>
              </w:rPr>
              <w:t>2,171,671,958.33</w:t>
            </w:r>
          </w:p>
        </w:tc>
      </w:tr>
      <w:tr>
        <w:trPr>
          <w:trHeight w:val="353" w:hRule="exact"/>
        </w:trPr>
        <w:tc>
          <w:tcPr>
            <w:tcW w:w="647" w:type="dxa"/>
            <w:tcBorders>
              <w:top w:val="nil" w:sz="6" w:space="0" w:color="auto"/>
              <w:left w:val="nil" w:sz="6" w:space="0" w:color="auto"/>
              <w:bottom w:val="nil" w:sz="6" w:space="0" w:color="auto"/>
              <w:right w:val="nil" w:sz="6" w:space="0" w:color="auto"/>
            </w:tcBorders>
          </w:tcPr>
          <w:p>
            <w:pPr/>
          </w:p>
        </w:tc>
        <w:tc>
          <w:tcPr>
            <w:tcW w:w="3007" w:type="dxa"/>
            <w:tcBorders>
              <w:top w:val="nil" w:sz="6" w:space="0" w:color="auto"/>
              <w:left w:val="nil" w:sz="6" w:space="0" w:color="auto"/>
              <w:bottom w:val="single" w:sz="12" w:space="0" w:color="000000"/>
              <w:right w:val="nil" w:sz="6" w:space="0" w:color="auto"/>
            </w:tcBorders>
          </w:tcPr>
          <w:p>
            <w:pPr>
              <w:pStyle w:val="TableParagraph"/>
              <w:spacing w:line="240" w:lineRule="auto" w:before="38"/>
              <w:ind w:left="84" w:right="0"/>
              <w:jc w:val="center"/>
              <w:rPr>
                <w:rFonts w:ascii="宋体" w:hAnsi="宋体" w:cs="宋体" w:eastAsia="宋体" w:hint="default"/>
                <w:sz w:val="16"/>
                <w:szCs w:val="16"/>
              </w:rPr>
            </w:pPr>
            <w:r>
              <w:rPr>
                <w:rFonts w:ascii="宋体" w:hAnsi="宋体" w:cs="宋体" w:eastAsia="宋体" w:hint="default"/>
                <w:sz w:val="16"/>
                <w:szCs w:val="16"/>
              </w:rPr>
              <w:t>合计</w:t>
            </w:r>
          </w:p>
        </w:tc>
        <w:tc>
          <w:tcPr>
            <w:tcW w:w="3008" w:type="dxa"/>
            <w:tcBorders>
              <w:top w:val="nil" w:sz="6" w:space="0" w:color="auto"/>
              <w:left w:val="nil" w:sz="6" w:space="0" w:color="auto"/>
              <w:bottom w:val="single" w:sz="12" w:space="0" w:color="000000"/>
              <w:right w:val="nil" w:sz="6" w:space="0" w:color="auto"/>
            </w:tcBorders>
          </w:tcPr>
          <w:p>
            <w:pPr>
              <w:pStyle w:val="TableParagraph"/>
              <w:spacing w:line="240" w:lineRule="auto" w:before="80"/>
              <w:ind w:right="544"/>
              <w:jc w:val="right"/>
              <w:rPr>
                <w:rFonts w:ascii="Times New Roman" w:hAnsi="Times New Roman" w:cs="Times New Roman" w:eastAsia="Times New Roman" w:hint="default"/>
                <w:sz w:val="16"/>
                <w:szCs w:val="16"/>
              </w:rPr>
            </w:pPr>
            <w:r>
              <w:rPr>
                <w:rFonts w:ascii="Times New Roman"/>
                <w:spacing w:val="-1"/>
                <w:sz w:val="16"/>
              </w:rPr>
              <w:t>3,722,140,083.37</w:t>
            </w:r>
          </w:p>
        </w:tc>
        <w:tc>
          <w:tcPr>
            <w:tcW w:w="2172" w:type="dxa"/>
            <w:tcBorders>
              <w:top w:val="nil" w:sz="6" w:space="0" w:color="auto"/>
              <w:left w:val="nil" w:sz="6" w:space="0" w:color="auto"/>
              <w:bottom w:val="single" w:sz="12" w:space="0" w:color="000000"/>
              <w:right w:val="nil" w:sz="6" w:space="0" w:color="auto"/>
            </w:tcBorders>
          </w:tcPr>
          <w:p>
            <w:pPr>
              <w:pStyle w:val="TableParagraph"/>
              <w:spacing w:line="240" w:lineRule="auto" w:before="80"/>
              <w:ind w:right="105"/>
              <w:jc w:val="right"/>
              <w:rPr>
                <w:rFonts w:ascii="Times New Roman" w:hAnsi="Times New Roman" w:cs="Times New Roman" w:eastAsia="Times New Roman" w:hint="default"/>
                <w:sz w:val="16"/>
                <w:szCs w:val="16"/>
              </w:rPr>
            </w:pPr>
            <w:r>
              <w:rPr>
                <w:rFonts w:ascii="Times New Roman"/>
                <w:spacing w:val="-1"/>
                <w:sz w:val="16"/>
              </w:rPr>
              <w:t>2,861,245,505.21</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4"/>
          <w:szCs w:val="24"/>
        </w:rPr>
      </w:pPr>
    </w:p>
    <w:p>
      <w:pPr>
        <w:pStyle w:val="Heading5"/>
        <w:tabs>
          <w:tab w:pos="1397" w:val="left" w:leader="none"/>
        </w:tabs>
        <w:spacing w:line="240" w:lineRule="auto"/>
        <w:ind w:left="846" w:right="3681"/>
        <w:jc w:val="left"/>
        <w:rPr>
          <w:b w:val="0"/>
          <w:bCs w:val="0"/>
        </w:rPr>
      </w:pPr>
      <w:r>
        <w:rPr/>
        <w:pict>
          <v:group style="position:absolute;margin-left:119.520004pt;margin-top:-113.726662pt;width:411.6pt;height:69.3pt;mso-position-horizontal-relative:page;mso-position-vertical-relative:paragraph;z-index:-1399456" coordorigin="2390,-2275" coordsize="8232,1386">
            <v:shape style="position:absolute;left:5498;top:-2275;width:10;height:28" type="#_x0000_t75" stroked="false">
              <v:imagedata r:id="rId61" o:title=""/>
            </v:shape>
            <v:shape style="position:absolute;left:7982;top:-2275;width:10;height:28" type="#_x0000_t75" stroked="false">
              <v:imagedata r:id="rId61" o:title=""/>
            </v:shape>
            <v:shape style="position:absolute;left:5479;top:-2266;width:2532;height:350" type="#_x0000_t75" stroked="false">
              <v:imagedata r:id="rId62" o:title=""/>
            </v:shape>
            <v:shape style="position:absolute;left:2390;top:-1954;width:8232;height:1066" type="#_x0000_t75" stroked="false">
              <v:imagedata r:id="rId63" o:title=""/>
            </v:shape>
            <w10:wrap type="none"/>
          </v:group>
        </w:pict>
      </w:r>
      <w:r>
        <w:rPr>
          <w:rFonts w:ascii="Times New Roman" w:hAnsi="Times New Roman" w:cs="Times New Roman" w:eastAsia="Times New Roman" w:hint="default"/>
          <w:w w:val="95"/>
        </w:rPr>
        <w:t>1</w:t>
      </w:r>
      <w:r>
        <w:rPr>
          <w:w w:val="95"/>
        </w:rPr>
        <w:t>、</w:t>
        <w:tab/>
      </w:r>
      <w:r>
        <w:rPr>
          <w:spacing w:val="1"/>
        </w:rPr>
        <w:t>应收票据</w:t>
      </w:r>
      <w:r>
        <w:rPr>
          <w:b w:val="0"/>
          <w:bCs w:val="0"/>
        </w:rPr>
      </w:r>
    </w:p>
    <w:p>
      <w:pPr>
        <w:pStyle w:val="BodyText"/>
        <w:spacing w:line="240" w:lineRule="auto"/>
        <w:ind w:right="3681"/>
        <w:jc w:val="left"/>
      </w:pPr>
      <w:r>
        <w:rPr/>
        <w:pict>
          <v:group style="position:absolute;margin-left:119.010002pt;margin-top:20.833145pt;width:411.7pt;height:72.3pt;mso-position-horizontal-relative:page;mso-position-vertical-relative:paragraph;z-index:-1399432" coordorigin="2380,417" coordsize="8234,1446">
            <v:group style="position:absolute;left:2410;top:432;width:3131;height:2" coordorigin="2410,432" coordsize="3131,2">
              <v:shape style="position:absolute;left:2410;top:432;width:3131;height:2" coordorigin="2410,432" coordsize="3131,0" path="m2410,432l5540,432e" filled="false" stroked="true" strokeweight="1.5pt" strokecolor="#000000">
                <v:path arrowok="t"/>
              </v:shape>
              <v:shape style="position:absolute;left:5540;top:447;width:10;height:28" type="#_x0000_t75" stroked="false">
                <v:imagedata r:id="rId64" o:title=""/>
              </v:shape>
            </v:group>
            <v:group style="position:absolute;left:5540;top:432;width:2526;height:2" coordorigin="5540,432" coordsize="2526,2">
              <v:shape style="position:absolute;left:5540;top:432;width:2526;height:2" coordorigin="5540,432" coordsize="2526,0" path="m5540,432l8066,432e" filled="false" stroked="true" strokeweight="1.5pt" strokecolor="#000000">
                <v:path arrowok="t"/>
              </v:shape>
              <v:shape style="position:absolute;left:8066;top:447;width:10;height:28" type="#_x0000_t75" stroked="false">
                <v:imagedata r:id="rId64" o:title=""/>
              </v:shape>
            </v:group>
            <v:group style="position:absolute;left:8066;top:432;width:2531;height:2" coordorigin="8066,432" coordsize="2531,2">
              <v:shape style="position:absolute;left:8066;top:432;width:2531;height:2" coordorigin="8066,432" coordsize="2531,0" path="m8066,432l10597,432e" filled="false" stroked="true" strokeweight="1.5pt" strokecolor="#000000">
                <v:path arrowok="t"/>
              </v:shape>
              <v:shape style="position:absolute;left:5521;top:455;width:2574;height:349" type="#_x0000_t75" stroked="false">
                <v:imagedata r:id="rId65" o:title=""/>
              </v:shape>
            </v:group>
            <v:group style="position:absolute;left:2395;top:1848;width:3146;height:2" coordorigin="2395,1848" coordsize="3146,2">
              <v:shape style="position:absolute;left:2395;top:1848;width:3146;height:2" coordorigin="2395,1848" coordsize="3146,0" path="m2395,1848l5540,1848e" filled="false" stroked="true" strokeweight="1.5pt" strokecolor="#000000">
                <v:path arrowok="t"/>
              </v:shape>
            </v:group>
            <v:group style="position:absolute;left:5540;top:1848;width:2526;height:2" coordorigin="5540,1848" coordsize="2526,2">
              <v:shape style="position:absolute;left:5540;top:1848;width:2526;height:2" coordorigin="5540,1848" coordsize="2526,0" path="m5540,1848l8066,1848e" filled="false" stroked="true" strokeweight="1.5pt" strokecolor="#000000">
                <v:path arrowok="t"/>
              </v:shape>
              <v:shape style="position:absolute;left:2397;top:772;width:8217;height:1060" type="#_x0000_t75" stroked="false">
                <v:imagedata r:id="rId66" o:title=""/>
              </v:shape>
            </v:group>
            <v:group style="position:absolute;left:8066;top:1848;width:2531;height:2" coordorigin="8066,1848" coordsize="2531,2">
              <v:shape style="position:absolute;left:8066;top:1848;width:2531;height:2" coordorigin="8066,1848" coordsize="2531,0" path="m8066,1848l10597,1848e" filled="false" stroked="true" strokeweight="1.5pt" strokecolor="#000000">
                <v:path arrowok="t"/>
              </v:shape>
            </v:group>
            <w10:wrap type="none"/>
          </v:group>
        </w:pict>
      </w:r>
      <w:r>
        <w:rPr/>
        <w:t>（</w:t>
      </w:r>
      <w:r>
        <w:rPr>
          <w:rFonts w:ascii="Times New Roman" w:hAnsi="Times New Roman" w:cs="Times New Roman" w:eastAsia="Times New Roman" w:hint="default"/>
        </w:rPr>
        <w:t>1</w:t>
      </w:r>
      <w:r>
        <w:rPr/>
        <w:t>）应收票据分类列示</w:t>
      </w:r>
    </w:p>
    <w:p>
      <w:pPr>
        <w:spacing w:line="240" w:lineRule="auto" w:before="6"/>
        <w:rPr>
          <w:rFonts w:ascii="宋体" w:hAnsi="宋体" w:cs="宋体" w:eastAsia="宋体" w:hint="default"/>
          <w:sz w:val="2"/>
          <w:szCs w:val="2"/>
        </w:rPr>
      </w:pPr>
    </w:p>
    <w:tbl>
      <w:tblPr>
        <w:tblW w:w="0" w:type="auto"/>
        <w:jc w:val="left"/>
        <w:tblInd w:w="787" w:type="dxa"/>
        <w:tblLayout w:type="fixed"/>
        <w:tblCellMar>
          <w:top w:w="0" w:type="dxa"/>
          <w:left w:w="0" w:type="dxa"/>
          <w:bottom w:w="0" w:type="dxa"/>
          <w:right w:w="0" w:type="dxa"/>
        </w:tblCellMar>
        <w:tblLook w:val="01E0"/>
      </w:tblPr>
      <w:tblGrid>
        <w:gridCol w:w="1199"/>
        <w:gridCol w:w="1666"/>
        <w:gridCol w:w="3177"/>
        <w:gridCol w:w="2071"/>
      </w:tblGrid>
      <w:tr>
        <w:trPr>
          <w:trHeight w:val="713" w:hRule="exact"/>
        </w:trPr>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70" w:right="0"/>
              <w:jc w:val="left"/>
              <w:rPr>
                <w:rFonts w:ascii="宋体" w:hAnsi="宋体" w:cs="宋体" w:eastAsia="宋体" w:hint="default"/>
                <w:sz w:val="16"/>
                <w:szCs w:val="16"/>
              </w:rPr>
            </w:pPr>
            <w:r>
              <w:rPr>
                <w:rFonts w:ascii="宋体" w:hAnsi="宋体" w:cs="宋体" w:eastAsia="宋体" w:hint="default"/>
                <w:sz w:val="16"/>
                <w:szCs w:val="16"/>
              </w:rPr>
              <w:t>银行承兑汇票</w:t>
            </w:r>
          </w:p>
        </w:tc>
        <w:tc>
          <w:tcPr>
            <w:tcW w:w="1666"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70" w:right="0"/>
              <w:jc w:val="left"/>
              <w:rPr>
                <w:rFonts w:ascii="宋体" w:hAnsi="宋体" w:cs="宋体" w:eastAsia="宋体" w:hint="default"/>
                <w:sz w:val="16"/>
                <w:szCs w:val="16"/>
              </w:rPr>
            </w:pPr>
            <w:r>
              <w:rPr>
                <w:rFonts w:ascii="宋体" w:hAnsi="宋体" w:cs="宋体" w:eastAsia="宋体" w:hint="default"/>
                <w:sz w:val="16"/>
                <w:szCs w:val="16"/>
              </w:rPr>
              <w:t>项目</w:t>
            </w:r>
          </w:p>
        </w:tc>
        <w:tc>
          <w:tcPr>
            <w:tcW w:w="317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84"/>
              <w:jc w:val="center"/>
              <w:rPr>
                <w:rFonts w:ascii="宋体" w:hAnsi="宋体" w:cs="宋体" w:eastAsia="宋体" w:hint="default"/>
                <w:sz w:val="16"/>
                <w:szCs w:val="16"/>
              </w:rPr>
            </w:pPr>
            <w:r>
              <w:rPr>
                <w:rFonts w:ascii="宋体" w:hAnsi="宋体" w:cs="宋体" w:eastAsia="宋体" w:hint="default"/>
                <w:sz w:val="16"/>
                <w:szCs w:val="16"/>
              </w:rPr>
              <w:t>期末余额</w:t>
            </w:r>
          </w:p>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1651" w:right="0"/>
              <w:jc w:val="left"/>
              <w:rPr>
                <w:rFonts w:ascii="Times New Roman" w:hAnsi="Times New Roman" w:cs="Times New Roman" w:eastAsia="Times New Roman" w:hint="default"/>
                <w:sz w:val="16"/>
                <w:szCs w:val="16"/>
              </w:rPr>
            </w:pPr>
            <w:r>
              <w:rPr>
                <w:rFonts w:ascii="Times New Roman"/>
                <w:sz w:val="16"/>
              </w:rPr>
              <w:t>206,590,067.36</w:t>
            </w:r>
          </w:p>
        </w:tc>
        <w:tc>
          <w:tcPr>
            <w:tcW w:w="207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525" w:right="0"/>
              <w:jc w:val="left"/>
              <w:rPr>
                <w:rFonts w:ascii="宋体" w:hAnsi="宋体" w:cs="宋体" w:eastAsia="宋体" w:hint="default"/>
                <w:sz w:val="16"/>
                <w:szCs w:val="16"/>
              </w:rPr>
            </w:pPr>
            <w:r>
              <w:rPr>
                <w:rFonts w:ascii="宋体" w:hAnsi="宋体" w:cs="宋体" w:eastAsia="宋体" w:hint="default"/>
                <w:sz w:val="16"/>
                <w:szCs w:val="16"/>
              </w:rPr>
              <w:t>年初余额</w:t>
            </w:r>
          </w:p>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1000" w:right="0"/>
              <w:jc w:val="left"/>
              <w:rPr>
                <w:rFonts w:ascii="Times New Roman" w:hAnsi="Times New Roman" w:cs="Times New Roman" w:eastAsia="Times New Roman" w:hint="default"/>
                <w:sz w:val="16"/>
                <w:szCs w:val="16"/>
              </w:rPr>
            </w:pPr>
            <w:r>
              <w:rPr>
                <w:rFonts w:ascii="Times New Roman"/>
                <w:sz w:val="16"/>
              </w:rPr>
              <w:t>229,403,035.97</w:t>
            </w:r>
          </w:p>
        </w:tc>
      </w:tr>
      <w:tr>
        <w:trPr>
          <w:trHeight w:val="349" w:hRule="exact"/>
        </w:trPr>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before="37"/>
              <w:ind w:left="70" w:right="0"/>
              <w:jc w:val="left"/>
              <w:rPr>
                <w:rFonts w:ascii="宋体" w:hAnsi="宋体" w:cs="宋体" w:eastAsia="宋体" w:hint="default"/>
                <w:sz w:val="16"/>
                <w:szCs w:val="16"/>
              </w:rPr>
            </w:pPr>
            <w:r>
              <w:rPr>
                <w:rFonts w:ascii="宋体" w:hAnsi="宋体" w:cs="宋体" w:eastAsia="宋体" w:hint="default"/>
                <w:sz w:val="16"/>
                <w:szCs w:val="16"/>
              </w:rPr>
              <w:t>商业承兑汇票</w:t>
            </w:r>
          </w:p>
        </w:tc>
        <w:tc>
          <w:tcPr>
            <w:tcW w:w="1666" w:type="dxa"/>
            <w:tcBorders>
              <w:top w:val="nil" w:sz="6" w:space="0" w:color="auto"/>
              <w:left w:val="nil" w:sz="6" w:space="0" w:color="auto"/>
              <w:bottom w:val="nil" w:sz="6" w:space="0" w:color="auto"/>
              <w:right w:val="nil" w:sz="6" w:space="0" w:color="auto"/>
            </w:tcBorders>
          </w:tcPr>
          <w:p>
            <w:pPr/>
          </w:p>
        </w:tc>
        <w:tc>
          <w:tcPr>
            <w:tcW w:w="3177"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523"/>
              <w:jc w:val="right"/>
              <w:rPr>
                <w:rFonts w:ascii="Times New Roman" w:hAnsi="Times New Roman" w:cs="Times New Roman" w:eastAsia="Times New Roman" w:hint="default"/>
                <w:sz w:val="16"/>
                <w:szCs w:val="16"/>
              </w:rPr>
            </w:pPr>
            <w:r>
              <w:rPr>
                <w:rFonts w:ascii="Times New Roman"/>
                <w:spacing w:val="-1"/>
                <w:sz w:val="16"/>
              </w:rPr>
              <w:t>548,332,437.12</w:t>
            </w:r>
          </w:p>
        </w:tc>
        <w:tc>
          <w:tcPr>
            <w:tcW w:w="2071"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8"/>
              <w:jc w:val="right"/>
              <w:rPr>
                <w:rFonts w:ascii="Times New Roman" w:hAnsi="Times New Roman" w:cs="Times New Roman" w:eastAsia="Times New Roman" w:hint="default"/>
                <w:sz w:val="16"/>
                <w:szCs w:val="16"/>
              </w:rPr>
            </w:pPr>
            <w:r>
              <w:rPr>
                <w:rFonts w:ascii="Times New Roman"/>
                <w:spacing w:val="-1"/>
                <w:sz w:val="16"/>
              </w:rPr>
              <w:t>460,170,510.91</w:t>
            </w:r>
          </w:p>
        </w:tc>
      </w:tr>
      <w:tr>
        <w:trPr>
          <w:trHeight w:val="354" w:hRule="exact"/>
        </w:trPr>
        <w:tc>
          <w:tcPr>
            <w:tcW w:w="1199" w:type="dxa"/>
            <w:tcBorders>
              <w:top w:val="nil" w:sz="6" w:space="0" w:color="auto"/>
              <w:left w:val="nil" w:sz="6" w:space="0" w:color="auto"/>
              <w:bottom w:val="nil" w:sz="6" w:space="0" w:color="auto"/>
              <w:right w:val="nil" w:sz="6" w:space="0" w:color="auto"/>
            </w:tcBorders>
          </w:tcPr>
          <w:p>
            <w:pPr/>
          </w:p>
        </w:tc>
        <w:tc>
          <w:tcPr>
            <w:tcW w:w="166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70"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3177"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523"/>
              <w:jc w:val="right"/>
              <w:rPr>
                <w:rFonts w:ascii="Times New Roman" w:hAnsi="Times New Roman" w:cs="Times New Roman" w:eastAsia="Times New Roman" w:hint="default"/>
                <w:sz w:val="16"/>
                <w:szCs w:val="16"/>
              </w:rPr>
            </w:pPr>
            <w:r>
              <w:rPr>
                <w:rFonts w:ascii="Times New Roman"/>
                <w:spacing w:val="-1"/>
                <w:sz w:val="16"/>
              </w:rPr>
              <w:t>754,922,504.48</w:t>
            </w:r>
          </w:p>
        </w:tc>
        <w:tc>
          <w:tcPr>
            <w:tcW w:w="2071"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8"/>
              <w:jc w:val="right"/>
              <w:rPr>
                <w:rFonts w:ascii="Times New Roman" w:hAnsi="Times New Roman" w:cs="Times New Roman" w:eastAsia="Times New Roman" w:hint="default"/>
                <w:sz w:val="16"/>
                <w:szCs w:val="16"/>
              </w:rPr>
            </w:pPr>
            <w:r>
              <w:rPr>
                <w:rFonts w:ascii="Times New Roman"/>
                <w:spacing w:val="-1"/>
                <w:sz w:val="16"/>
              </w:rPr>
              <w:t>689,573,546.88</w:t>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p>
      <w:pPr>
        <w:pStyle w:val="BodyText"/>
        <w:spacing w:line="240" w:lineRule="auto" w:before="35"/>
        <w:ind w:right="1793"/>
        <w:jc w:val="left"/>
      </w:pPr>
      <w:r>
        <w:rPr/>
        <w:pict>
          <v:group style="position:absolute;margin-left:119.010002pt;margin-top:17.073809pt;width:411.7pt;height:72.3pt;mso-position-horizontal-relative:page;mso-position-vertical-relative:paragraph;z-index:-1399408" coordorigin="2380,341" coordsize="8234,1446">
            <v:group style="position:absolute;left:2410;top:356;width:3131;height:2" coordorigin="2410,356" coordsize="3131,2">
              <v:shape style="position:absolute;left:2410;top:356;width:3131;height:2" coordorigin="2410,356" coordsize="3131,0" path="m2410,356l5540,356e" filled="false" stroked="true" strokeweight="1.5pt" strokecolor="#000000">
                <v:path arrowok="t"/>
              </v:shape>
              <v:shape style="position:absolute;left:5540;top:371;width:10;height:28" type="#_x0000_t75" stroked="false">
                <v:imagedata r:id="rId67" o:title=""/>
              </v:shape>
            </v:group>
            <v:group style="position:absolute;left:5540;top:356;width:2526;height:2" coordorigin="5540,356" coordsize="2526,2">
              <v:shape style="position:absolute;left:5540;top:356;width:2526;height:2" coordorigin="5540,356" coordsize="2526,0" path="m5540,356l8066,356e" filled="false" stroked="true" strokeweight="1.5pt" strokecolor="#000000">
                <v:path arrowok="t"/>
              </v:shape>
              <v:shape style="position:absolute;left:8066;top:371;width:10;height:28" type="#_x0000_t75" stroked="false">
                <v:imagedata r:id="rId67" o:title=""/>
              </v:shape>
            </v:group>
            <v:group style="position:absolute;left:8066;top:356;width:2531;height:2" coordorigin="8066,356" coordsize="2531,2">
              <v:shape style="position:absolute;left:8066;top:356;width:2531;height:2" coordorigin="8066,356" coordsize="2531,0" path="m8066,356l10597,356e" filled="false" stroked="true" strokeweight="1.5pt" strokecolor="#000000">
                <v:path arrowok="t"/>
              </v:shape>
              <v:shape style="position:absolute;left:5521;top:380;width:2574;height:350" type="#_x0000_t75" stroked="false">
                <v:imagedata r:id="rId68" o:title=""/>
              </v:shape>
            </v:group>
            <v:group style="position:absolute;left:2395;top:1772;width:3146;height:2" coordorigin="2395,1772" coordsize="3146,2">
              <v:shape style="position:absolute;left:2395;top:1772;width:3146;height:2" coordorigin="2395,1772" coordsize="3146,0" path="m2395,1772l5540,1772e" filled="false" stroked="true" strokeweight="1.5pt" strokecolor="#000000">
                <v:path arrowok="t"/>
              </v:shape>
            </v:group>
            <v:group style="position:absolute;left:5540;top:1772;width:2526;height:2" coordorigin="5540,1772" coordsize="2526,2">
              <v:shape style="position:absolute;left:5540;top:1772;width:2526;height:2" coordorigin="5540,1772" coordsize="2526,0" path="m5540,1772l8066,1772e" filled="false" stroked="true" strokeweight="1.5pt" strokecolor="#000000">
                <v:path arrowok="t"/>
              </v:shape>
              <v:shape style="position:absolute;left:2397;top:698;width:8217;height:1059" type="#_x0000_t75" stroked="false">
                <v:imagedata r:id="rId69" o:title=""/>
              </v:shape>
            </v:group>
            <v:group style="position:absolute;left:8066;top:1772;width:2531;height:2" coordorigin="8066,1772" coordsize="2531,2">
              <v:shape style="position:absolute;left:8066;top:1772;width:2531;height:2" coordorigin="8066,1772" coordsize="2531,0" path="m8066,1772l10597,1772e" filled="false" stroked="true" strokeweight="1.5pt" strokecolor="#000000">
                <v:path arrowok="t"/>
              </v:shape>
            </v:group>
            <w10:wrap type="none"/>
          </v:group>
        </w:pict>
      </w:r>
      <w:r>
        <w:rPr/>
        <w:t>（</w:t>
      </w:r>
      <w:r>
        <w:rPr>
          <w:rFonts w:ascii="Times New Roman" w:hAnsi="Times New Roman" w:cs="Times New Roman" w:eastAsia="Times New Roman" w:hint="default"/>
        </w:rPr>
        <w:t>2</w:t>
      </w:r>
      <w:r>
        <w:rPr/>
        <w:t>）期末公司已背书或贴现且在资产负债表日尚未到期的应收票据</w:t>
      </w:r>
    </w:p>
    <w:p>
      <w:pPr>
        <w:spacing w:line="240" w:lineRule="auto" w:before="5"/>
        <w:rPr>
          <w:rFonts w:ascii="宋体" w:hAnsi="宋体" w:cs="宋体" w:eastAsia="宋体" w:hint="default"/>
          <w:sz w:val="2"/>
          <w:szCs w:val="2"/>
        </w:rPr>
      </w:pPr>
    </w:p>
    <w:tbl>
      <w:tblPr>
        <w:tblW w:w="0" w:type="auto"/>
        <w:jc w:val="left"/>
        <w:tblInd w:w="787" w:type="dxa"/>
        <w:tblLayout w:type="fixed"/>
        <w:tblCellMar>
          <w:top w:w="0" w:type="dxa"/>
          <w:left w:w="0" w:type="dxa"/>
          <w:bottom w:w="0" w:type="dxa"/>
          <w:right w:w="0" w:type="dxa"/>
        </w:tblCellMar>
        <w:tblLook w:val="01E0"/>
      </w:tblPr>
      <w:tblGrid>
        <w:gridCol w:w="1199"/>
        <w:gridCol w:w="1505"/>
        <w:gridCol w:w="3137"/>
        <w:gridCol w:w="2272"/>
      </w:tblGrid>
      <w:tr>
        <w:trPr>
          <w:trHeight w:val="714" w:hRule="exact"/>
        </w:trPr>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70" w:right="0"/>
              <w:jc w:val="left"/>
              <w:rPr>
                <w:rFonts w:ascii="宋体" w:hAnsi="宋体" w:cs="宋体" w:eastAsia="宋体" w:hint="default"/>
                <w:sz w:val="16"/>
                <w:szCs w:val="16"/>
              </w:rPr>
            </w:pPr>
            <w:r>
              <w:rPr>
                <w:rFonts w:ascii="宋体" w:hAnsi="宋体" w:cs="宋体" w:eastAsia="宋体" w:hint="default"/>
                <w:sz w:val="16"/>
                <w:szCs w:val="16"/>
              </w:rPr>
              <w:t>银行承兑汇票</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70" w:right="0"/>
              <w:jc w:val="left"/>
              <w:rPr>
                <w:rFonts w:ascii="宋体" w:hAnsi="宋体" w:cs="宋体" w:eastAsia="宋体" w:hint="default"/>
                <w:sz w:val="16"/>
                <w:szCs w:val="16"/>
              </w:rPr>
            </w:pPr>
            <w:r>
              <w:rPr>
                <w:rFonts w:ascii="宋体" w:hAnsi="宋体" w:cs="宋体" w:eastAsia="宋体" w:hint="default"/>
                <w:sz w:val="16"/>
                <w:szCs w:val="16"/>
              </w:rPr>
              <w:t>项目</w:t>
            </w:r>
          </w:p>
        </w:tc>
        <w:tc>
          <w:tcPr>
            <w:tcW w:w="3137"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15" w:right="0"/>
              <w:jc w:val="left"/>
              <w:rPr>
                <w:rFonts w:ascii="宋体" w:hAnsi="宋体" w:cs="宋体" w:eastAsia="宋体" w:hint="default"/>
                <w:sz w:val="16"/>
                <w:szCs w:val="16"/>
              </w:rPr>
            </w:pPr>
            <w:r>
              <w:rPr>
                <w:rFonts w:ascii="宋体" w:hAnsi="宋体" w:cs="宋体" w:eastAsia="宋体" w:hint="default"/>
                <w:sz w:val="16"/>
                <w:szCs w:val="16"/>
              </w:rPr>
              <w:t>期末终止确认金额</w:t>
            </w:r>
          </w:p>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1811" w:right="0"/>
              <w:jc w:val="left"/>
              <w:rPr>
                <w:rFonts w:ascii="Times New Roman" w:hAnsi="Times New Roman" w:cs="Times New Roman" w:eastAsia="Times New Roman" w:hint="default"/>
                <w:sz w:val="16"/>
                <w:szCs w:val="16"/>
              </w:rPr>
            </w:pPr>
            <w:r>
              <w:rPr>
                <w:rFonts w:ascii="Times New Roman"/>
                <w:sz w:val="16"/>
              </w:rPr>
              <w:t>152,536,993.27</w:t>
            </w:r>
          </w:p>
        </w:tc>
        <w:tc>
          <w:tcPr>
            <w:tcW w:w="227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24" w:right="0"/>
              <w:jc w:val="left"/>
              <w:rPr>
                <w:rFonts w:ascii="宋体" w:hAnsi="宋体" w:cs="宋体" w:eastAsia="宋体" w:hint="default"/>
                <w:sz w:val="16"/>
                <w:szCs w:val="16"/>
              </w:rPr>
            </w:pPr>
            <w:r>
              <w:rPr>
                <w:rFonts w:ascii="宋体" w:hAnsi="宋体" w:cs="宋体" w:eastAsia="宋体" w:hint="default"/>
                <w:sz w:val="16"/>
                <w:szCs w:val="16"/>
              </w:rPr>
              <w:t>期末未终止确认金额</w:t>
            </w:r>
          </w:p>
        </w:tc>
      </w:tr>
      <w:tr>
        <w:trPr>
          <w:trHeight w:val="349" w:hRule="exact"/>
        </w:trPr>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宋体" w:hAnsi="宋体" w:cs="宋体" w:eastAsia="宋体" w:hint="default"/>
                <w:sz w:val="16"/>
                <w:szCs w:val="16"/>
              </w:rPr>
              <w:t>商业承兑汇票</w:t>
            </w:r>
          </w:p>
        </w:tc>
        <w:tc>
          <w:tcPr>
            <w:tcW w:w="1505" w:type="dxa"/>
            <w:tcBorders>
              <w:top w:val="nil" w:sz="6" w:space="0" w:color="auto"/>
              <w:left w:val="nil" w:sz="6" w:space="0" w:color="auto"/>
              <w:bottom w:val="nil" w:sz="6" w:space="0" w:color="auto"/>
              <w:right w:val="nil" w:sz="6" w:space="0" w:color="auto"/>
            </w:tcBorders>
          </w:tcPr>
          <w:p>
            <w:pPr/>
          </w:p>
        </w:tc>
        <w:tc>
          <w:tcPr>
            <w:tcW w:w="3137" w:type="dxa"/>
            <w:tcBorders>
              <w:top w:val="nil" w:sz="6" w:space="0" w:color="auto"/>
              <w:left w:val="nil" w:sz="6" w:space="0" w:color="auto"/>
              <w:bottom w:val="nil" w:sz="6" w:space="0" w:color="auto"/>
              <w:right w:val="nil" w:sz="6" w:space="0" w:color="auto"/>
            </w:tcBorders>
          </w:tcPr>
          <w:p>
            <w:pPr/>
          </w:p>
        </w:tc>
        <w:tc>
          <w:tcPr>
            <w:tcW w:w="2272"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8"/>
              <w:jc w:val="right"/>
              <w:rPr>
                <w:rFonts w:ascii="Times New Roman" w:hAnsi="Times New Roman" w:cs="Times New Roman" w:eastAsia="Times New Roman" w:hint="default"/>
                <w:sz w:val="16"/>
                <w:szCs w:val="16"/>
              </w:rPr>
            </w:pPr>
            <w:r>
              <w:rPr>
                <w:rFonts w:ascii="Times New Roman"/>
                <w:spacing w:val="-1"/>
                <w:sz w:val="16"/>
              </w:rPr>
              <w:t>85,529,815.88</w:t>
            </w:r>
          </w:p>
        </w:tc>
      </w:tr>
      <w:tr>
        <w:trPr>
          <w:trHeight w:val="353" w:hRule="exact"/>
        </w:trPr>
        <w:tc>
          <w:tcPr>
            <w:tcW w:w="1199" w:type="dxa"/>
            <w:tcBorders>
              <w:top w:val="nil" w:sz="6" w:space="0" w:color="auto"/>
              <w:left w:val="nil" w:sz="6" w:space="0" w:color="auto"/>
              <w:bottom w:val="nil" w:sz="6" w:space="0" w:color="auto"/>
              <w:right w:val="nil" w:sz="6" w:space="0" w:color="auto"/>
            </w:tcBorders>
          </w:tcPr>
          <w:p>
            <w:pP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70"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3137" w:type="dxa"/>
            <w:tcBorders>
              <w:top w:val="nil" w:sz="6" w:space="0" w:color="auto"/>
              <w:left w:val="nil" w:sz="6" w:space="0" w:color="auto"/>
              <w:bottom w:val="nil" w:sz="6" w:space="0" w:color="auto"/>
              <w:right w:val="nil" w:sz="6" w:space="0" w:color="auto"/>
            </w:tcBorders>
          </w:tcPr>
          <w:p>
            <w:pPr>
              <w:pStyle w:val="TableParagraph"/>
              <w:spacing w:line="240" w:lineRule="auto" w:before="80"/>
              <w:ind w:left="1811" w:right="0"/>
              <w:jc w:val="left"/>
              <w:rPr>
                <w:rFonts w:ascii="Times New Roman" w:hAnsi="Times New Roman" w:cs="Times New Roman" w:eastAsia="Times New Roman" w:hint="default"/>
                <w:sz w:val="16"/>
                <w:szCs w:val="16"/>
              </w:rPr>
            </w:pPr>
            <w:r>
              <w:rPr>
                <w:rFonts w:ascii="Times New Roman"/>
                <w:sz w:val="16"/>
              </w:rPr>
              <w:t>152,536,993.27</w:t>
            </w:r>
          </w:p>
        </w:tc>
        <w:tc>
          <w:tcPr>
            <w:tcW w:w="2272"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8"/>
              <w:jc w:val="right"/>
              <w:rPr>
                <w:rFonts w:ascii="Times New Roman" w:hAnsi="Times New Roman" w:cs="Times New Roman" w:eastAsia="Times New Roman" w:hint="default"/>
                <w:sz w:val="16"/>
                <w:szCs w:val="16"/>
              </w:rPr>
            </w:pPr>
            <w:r>
              <w:rPr>
                <w:rFonts w:ascii="Times New Roman"/>
                <w:spacing w:val="-1"/>
                <w:sz w:val="16"/>
              </w:rPr>
              <w:t>85,529,815.88</w:t>
            </w: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pStyle w:val="BodyText"/>
        <w:spacing w:line="240" w:lineRule="auto" w:before="35"/>
        <w:ind w:right="1793"/>
        <w:jc w:val="left"/>
      </w:pPr>
      <w:r>
        <w:rPr/>
        <w:t>（</w:t>
      </w:r>
      <w:r>
        <w:rPr>
          <w:rFonts w:ascii="Times New Roman" w:hAnsi="Times New Roman" w:cs="Times New Roman" w:eastAsia="Times New Roman" w:hint="default"/>
        </w:rPr>
        <w:t>3</w:t>
      </w:r>
      <w:r>
        <w:rPr/>
        <w:t>）期末公司因出票人未履约而将其转为应收账款的票据</w:t>
      </w:r>
    </w:p>
    <w:p>
      <w:pPr>
        <w:spacing w:line="1096" w:lineRule="exact"/>
        <w:ind w:left="720" w:right="0" w:firstLine="0"/>
        <w:rPr>
          <w:rFonts w:ascii="宋体" w:hAnsi="宋体" w:cs="宋体" w:eastAsia="宋体" w:hint="default"/>
          <w:sz w:val="20"/>
          <w:szCs w:val="20"/>
        </w:rPr>
      </w:pPr>
      <w:r>
        <w:rPr>
          <w:rFonts w:ascii="宋体" w:hAnsi="宋体" w:cs="宋体" w:eastAsia="宋体" w:hint="default"/>
          <w:position w:val="-21"/>
          <w:sz w:val="20"/>
          <w:szCs w:val="20"/>
        </w:rPr>
        <w:pict>
          <v:group style="width:412.25pt;height:54.85pt;mso-position-horizontal-relative:char;mso-position-vertical-relative:line" coordorigin="0,0" coordsize="8245,1097">
            <v:group style="position:absolute;left:29;top:15;width:3099;height:2" coordorigin="29,15" coordsize="3099,2">
              <v:shape style="position:absolute;left:29;top:15;width:3099;height:2" coordorigin="29,15" coordsize="3099,0" path="m29,15l3128,15e" filled="false" stroked="true" strokeweight="1.5pt" strokecolor="#000000">
                <v:path arrowok="t"/>
              </v:shape>
            </v:group>
            <v:group style="position:absolute;left:3128;top:15;width:5090;height:2" coordorigin="3128,15" coordsize="5090,2">
              <v:shape style="position:absolute;left:3128;top:15;width:5090;height:2" coordorigin="3128,15" coordsize="5090,0" path="m3128,15l8217,15e" filled="false" stroked="true" strokeweight="1.5pt" strokecolor="#000000">
                <v:path arrowok="t"/>
              </v:shape>
              <v:shape style="position:absolute;left:3128;top:30;width:10;height:340" type="#_x0000_t75" stroked="false">
                <v:imagedata r:id="rId70" o:title=""/>
              </v:shape>
            </v:group>
            <v:group style="position:absolute;left:15;top:1082;width:3113;height:2" coordorigin="15,1082" coordsize="3113,2">
              <v:shape style="position:absolute;left:15;top:1082;width:3113;height:2" coordorigin="15,1082" coordsize="3113,0" path="m15,1082l3128,1082e" filled="false" stroked="true" strokeweight="1.5pt" strokecolor="#000000">
                <v:path arrowok="t"/>
              </v:shape>
              <v:shape style="position:absolute;left:10;top:350;width:8234;height:716" type="#_x0000_t75" stroked="false">
                <v:imagedata r:id="rId71" o:title=""/>
              </v:shape>
            </v:group>
            <v:group style="position:absolute;left:3128;top:1082;width:5090;height:2" coordorigin="3128,1082" coordsize="5090,2">
              <v:shape style="position:absolute;left:3128;top:1082;width:5090;height:2" coordorigin="3128,1082" coordsize="5090,0" path="m3128,1082l8217,1082e" filled="false" stroked="true" strokeweight="1.5pt" strokecolor="#000000">
                <v:path arrowok="t"/>
              </v:shape>
              <v:shape style="position:absolute;left:1420;top:118;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项目</w:t>
                      </w:r>
                      <w:r>
                        <w:rPr>
                          <w:rFonts w:ascii="宋体" w:hAnsi="宋体" w:cs="宋体" w:eastAsia="宋体" w:hint="default"/>
                          <w:sz w:val="16"/>
                          <w:szCs w:val="16"/>
                        </w:rPr>
                      </w:r>
                    </w:p>
                  </w:txbxContent>
                </v:textbox>
                <w10:wrap type="none"/>
              </v:shape>
              <v:shape style="position:absolute;left:4953;top:118;width:14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期末转应收账款金额</w:t>
                      </w:r>
                      <w:r>
                        <w:rPr>
                          <w:rFonts w:ascii="宋体" w:hAnsi="宋体" w:cs="宋体" w:eastAsia="宋体" w:hint="default"/>
                          <w:sz w:val="16"/>
                          <w:szCs w:val="16"/>
                        </w:rPr>
                      </w:r>
                    </w:p>
                  </w:txbxContent>
                </v:textbox>
                <w10:wrap type="none"/>
              </v:shape>
              <v:shape style="position:absolute;left:137;top:468;width:95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商业承兑汇票</w:t>
                      </w:r>
                      <w:r>
                        <w:rPr>
                          <w:rFonts w:ascii="宋体" w:hAnsi="宋体" w:cs="宋体" w:eastAsia="宋体" w:hint="default"/>
                          <w:sz w:val="16"/>
                          <w:szCs w:val="16"/>
                        </w:rPr>
                      </w:r>
                    </w:p>
                  </w:txbxContent>
                </v:textbox>
                <w10:wrap type="none"/>
              </v:shape>
              <v:shape style="position:absolute;left:7187;top:481;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17,995,519.80</w:t>
                      </w:r>
                      <w:r>
                        <w:rPr>
                          <w:rFonts w:ascii="Times New Roman"/>
                          <w:sz w:val="16"/>
                        </w:rPr>
                      </w:r>
                    </w:p>
                  </w:txbxContent>
                </v:textbox>
                <w10:wrap type="none"/>
              </v:shape>
              <v:shape style="position:absolute;left:1420;top:817;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合计</w:t>
                      </w:r>
                      <w:r>
                        <w:rPr>
                          <w:rFonts w:ascii="宋体" w:hAnsi="宋体" w:cs="宋体" w:eastAsia="宋体" w:hint="default"/>
                          <w:sz w:val="16"/>
                          <w:szCs w:val="16"/>
                        </w:rPr>
                      </w:r>
                    </w:p>
                  </w:txbxContent>
                </v:textbox>
                <w10:wrap type="none"/>
              </v:shape>
              <v:shape style="position:absolute;left:7187;top:830;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17,995,519.80</w:t>
                      </w:r>
                      <w:r>
                        <w:rPr>
                          <w:rFonts w:ascii="Times New Roman"/>
                          <w:sz w:val="16"/>
                        </w:rPr>
                      </w:r>
                    </w:p>
                  </w:txbxContent>
                </v:textbox>
                <w10:wrap type="none"/>
              </v:shape>
            </v:group>
          </v:group>
        </w:pict>
      </w:r>
      <w:r>
        <w:rPr>
          <w:rFonts w:ascii="宋体" w:hAnsi="宋体" w:cs="宋体" w:eastAsia="宋体" w:hint="default"/>
          <w:position w:val="-21"/>
          <w:sz w:val="20"/>
          <w:szCs w:val="20"/>
        </w:rPr>
      </w:r>
    </w:p>
    <w:p>
      <w:pPr>
        <w:spacing w:after="0" w:line="1096" w:lineRule="exact"/>
        <w:rPr>
          <w:rFonts w:ascii="宋体" w:hAnsi="宋体" w:cs="宋体" w:eastAsia="宋体" w:hint="default"/>
          <w:sz w:val="20"/>
          <w:szCs w:val="20"/>
        </w:rPr>
        <w:sectPr>
          <w:pgSz w:w="11910" w:h="16840"/>
          <w:pgMar w:header="1302" w:footer="1001" w:top="1520" w:bottom="1200" w:left="1660" w:right="0"/>
        </w:sectPr>
      </w:pPr>
    </w:p>
    <w:p>
      <w:pPr>
        <w:spacing w:before="142"/>
        <w:ind w:left="139" w:right="9623" w:firstLine="0"/>
        <w:jc w:val="left"/>
        <w:rPr>
          <w:rFonts w:ascii="宋体" w:hAnsi="宋体" w:cs="宋体" w:eastAsia="宋体" w:hint="default"/>
          <w:sz w:val="18"/>
          <w:szCs w:val="18"/>
        </w:rPr>
      </w:pPr>
      <w:r>
        <w:rPr>
          <w:rFonts w:ascii="宋体" w:hAnsi="宋体" w:cs="宋体" w:eastAsia="宋体" w:hint="default"/>
          <w:sz w:val="18"/>
          <w:szCs w:val="18"/>
        </w:rPr>
        <w:t>财务报表附注</w:t>
      </w:r>
    </w:p>
    <w:p>
      <w:pPr>
        <w:spacing w:line="240" w:lineRule="auto" w:before="7"/>
        <w:rPr>
          <w:rFonts w:ascii="宋体" w:hAnsi="宋体" w:cs="宋体" w:eastAsia="宋体" w:hint="default"/>
          <w:sz w:val="3"/>
          <w:szCs w:val="3"/>
        </w:r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701.5pt;height:.5pt;mso-position-horizontal-relative:char;mso-position-vertical-relative:line" coordorigin="0,0" coordsize="14030,10">
            <v:group style="position:absolute;left:5;top:5;width:14020;height:2" coordorigin="5,5" coordsize="14020,2">
              <v:shape style="position:absolute;left:5;top:5;width:14020;height:2" coordorigin="5,5" coordsize="14020,0" path="m5,5l14024,5e" filled="false" stroked="true" strokeweight=".48pt" strokecolor="#000000">
                <v:path arrowok="t"/>
              </v:shape>
            </v:group>
          </v:group>
        </w:pict>
      </w:r>
      <w:r>
        <w:rPr>
          <w:rFonts w:ascii="宋体" w:hAnsi="宋体" w:cs="宋体" w:eastAsia="宋体" w:hint="default"/>
          <w:sz w:val="2"/>
          <w:szCs w:val="2"/>
        </w:rPr>
      </w:r>
    </w:p>
    <w:p>
      <w:pPr>
        <w:spacing w:line="240" w:lineRule="auto" w:before="6"/>
        <w:rPr>
          <w:rFonts w:ascii="宋体" w:hAnsi="宋体" w:cs="宋体" w:eastAsia="宋体" w:hint="default"/>
          <w:sz w:val="23"/>
          <w:szCs w:val="23"/>
        </w:rPr>
      </w:pPr>
    </w:p>
    <w:p>
      <w:pPr>
        <w:pStyle w:val="Heading5"/>
        <w:tabs>
          <w:tab w:pos="1399" w:val="left" w:leader="none"/>
        </w:tabs>
        <w:spacing w:line="240" w:lineRule="auto"/>
        <w:ind w:left="849" w:right="9623"/>
        <w:jc w:val="left"/>
        <w:rPr>
          <w:b w:val="0"/>
          <w:bCs w:val="0"/>
        </w:rPr>
      </w:pPr>
      <w:r>
        <w:rPr>
          <w:rFonts w:ascii="Times New Roman" w:hAnsi="Times New Roman" w:cs="Times New Roman" w:eastAsia="Times New Roman" w:hint="default"/>
          <w:w w:val="95"/>
        </w:rPr>
        <w:t>2</w:t>
      </w:r>
      <w:r>
        <w:rPr>
          <w:w w:val="95"/>
        </w:rPr>
        <w:t>、</w:t>
        <w:tab/>
      </w:r>
      <w:r>
        <w:rPr>
          <w:spacing w:val="1"/>
        </w:rPr>
        <w:t>应收账款</w:t>
      </w:r>
      <w:r>
        <w:rPr>
          <w:b w:val="0"/>
          <w:bCs w:val="0"/>
        </w:rPr>
      </w:r>
    </w:p>
    <w:p>
      <w:pPr>
        <w:pStyle w:val="BodyText"/>
        <w:spacing w:line="240" w:lineRule="auto"/>
        <w:ind w:left="1415" w:right="9623"/>
        <w:jc w:val="left"/>
      </w:pPr>
      <w:r>
        <w:rPr/>
        <w:pict>
          <v:group style="position:absolute;margin-left:101.121002pt;margin-top:20.773216pt;width:682.85pt;height:182.2pt;mso-position-horizontal-relative:page;mso-position-vertical-relative:paragraph;z-index:-1398928" coordorigin="2022,415" coordsize="13657,3644">
            <v:group style="position:absolute;left:2052;top:430;width:1689;height:2" coordorigin="2052,430" coordsize="1689,2">
              <v:shape style="position:absolute;left:2052;top:430;width:1689;height:2" coordorigin="2052,430" coordsize="1689,0" path="m2052,430l3740,430e" filled="false" stroked="true" strokeweight="1.5pt" strokecolor="#000000">
                <v:path arrowok="t"/>
              </v:shape>
              <v:shape style="position:absolute;left:3740;top:445;width:10;height:28" type="#_x0000_t75" stroked="false">
                <v:imagedata r:id="rId74" o:title=""/>
              </v:shape>
            </v:group>
            <v:group style="position:absolute;left:3740;top:430;width:5952;height:2" coordorigin="3740,430" coordsize="5952,2">
              <v:shape style="position:absolute;left:3740;top:430;width:5952;height:2" coordorigin="3740,430" coordsize="5952,0" path="m3740,430l9692,430e" filled="false" stroked="true" strokeweight="1.5pt" strokecolor="#000000">
                <v:path arrowok="t"/>
              </v:shape>
              <v:shape style="position:absolute;left:9692;top:445;width:10;height:28" type="#_x0000_t75" stroked="false">
                <v:imagedata r:id="rId74" o:title=""/>
              </v:shape>
            </v:group>
            <v:group style="position:absolute;left:9692;top:430;width:5968;height:2" coordorigin="9692,430" coordsize="5968,2">
              <v:shape style="position:absolute;left:9692;top:430;width:5968;height:2" coordorigin="9692,430" coordsize="5968,0" path="m9692,430l15660,430e" filled="false" stroked="true" strokeweight="1.5pt" strokecolor="#000000">
                <v:path arrowok="t"/>
              </v:shape>
              <v:shape style="position:absolute;left:3721;top:454;width:6000;height:350" type="#_x0000_t75" stroked="false">
                <v:imagedata r:id="rId75" o:title=""/>
              </v:shape>
              <v:shape style="position:absolute;left:3721;top:766;width:11958;height:386" type="#_x0000_t75" stroked="false">
                <v:imagedata r:id="rId76" o:title=""/>
              </v:shape>
              <v:shape style="position:absolute;left:3721;top:1114;width:10470;height:520" type="#_x0000_t75" stroked="false">
                <v:imagedata r:id="rId77" o:title=""/>
              </v:shape>
            </v:group>
            <v:group style="position:absolute;left:2037;top:4044;width:1703;height:2" coordorigin="2037,4044" coordsize="1703,2">
              <v:shape style="position:absolute;left:2037;top:4044;width:1703;height:2" coordorigin="2037,4044" coordsize="1703,0" path="m2037,4044l3740,4044e" filled="false" stroked="true" strokeweight="1.5pt" strokecolor="#000000">
                <v:path arrowok="t"/>
              </v:shape>
            </v:group>
            <v:group style="position:absolute;left:3740;top:4044;width:30;height:2" coordorigin="3740,4044" coordsize="30,2">
              <v:shape style="position:absolute;left:3740;top:4044;width:30;height:2" coordorigin="3740,4044" coordsize="30,0" path="m3740,4044l3770,4044e" filled="false" stroked="true" strokeweight="1.5pt" strokecolor="#000000">
                <v:path arrowok="t"/>
              </v:shape>
            </v:group>
            <v:group style="position:absolute;left:3770;top:4044;width:1510;height:2" coordorigin="3770,4044" coordsize="1510,2">
              <v:shape style="position:absolute;left:3770;top:4044;width:1510;height:2" coordorigin="3770,4044" coordsize="1510,0" path="m3770,4044l5280,4044e" filled="false" stroked="true" strokeweight="1.5pt" strokecolor="#000000">
                <v:path arrowok="t"/>
              </v:shape>
            </v:group>
            <v:group style="position:absolute;left:5280;top:4044;width:735;height:2" coordorigin="5280,4044" coordsize="735,2">
              <v:shape style="position:absolute;left:5280;top:4044;width:735;height:2" coordorigin="5280,4044" coordsize="735,0" path="m5280,4044l6014,4044e" filled="false" stroked="true" strokeweight="1.5pt" strokecolor="#000000">
                <v:path arrowok="t"/>
              </v:shape>
            </v:group>
            <v:group style="position:absolute;left:6014;top:4044;width:1358;height:2" coordorigin="6014,4044" coordsize="1358,2">
              <v:shape style="position:absolute;left:6014;top:4044;width:1358;height:2" coordorigin="6014,4044" coordsize="1358,0" path="m6014,4044l7371,4044e" filled="false" stroked="true" strokeweight="1.5pt" strokecolor="#000000">
                <v:path arrowok="t"/>
              </v:shape>
            </v:group>
            <v:group style="position:absolute;left:7371;top:4044;width:828;height:2" coordorigin="7371,4044" coordsize="828,2">
              <v:shape style="position:absolute;left:7371;top:4044;width:828;height:2" coordorigin="7371,4044" coordsize="828,0" path="m7371,4044l8199,4044e" filled="false" stroked="true" strokeweight="1.5pt" strokecolor="#000000">
                <v:path arrowok="t"/>
              </v:shape>
            </v:group>
            <v:group style="position:absolute;left:8199;top:4044;width:1493;height:2" coordorigin="8199,4044" coordsize="1493,2">
              <v:shape style="position:absolute;left:8199;top:4044;width:1493;height:2" coordorigin="8199,4044" coordsize="1493,0" path="m8199,4044l9692,4044e" filled="false" stroked="true" strokeweight="1.5pt" strokecolor="#000000">
                <v:path arrowok="t"/>
              </v:shape>
            </v:group>
            <v:group style="position:absolute;left:9692;top:4044;width:1493;height:2" coordorigin="9692,4044" coordsize="1493,2">
              <v:shape style="position:absolute;left:9692;top:4044;width:1493;height:2" coordorigin="9692,4044" coordsize="1493,0" path="m9692,4044l11185,4044e" filled="false" stroked="true" strokeweight="1.5pt" strokecolor="#000000">
                <v:path arrowok="t"/>
              </v:shape>
            </v:group>
            <v:group style="position:absolute;left:11185;top:4044;width:808;height:2" coordorigin="11185,4044" coordsize="808,2">
              <v:shape style="position:absolute;left:11185;top:4044;width:808;height:2" coordorigin="11185,4044" coordsize="808,0" path="m11185,4044l11993,4044e" filled="false" stroked="true" strokeweight="1.5pt" strokecolor="#000000">
                <v:path arrowok="t"/>
              </v:shape>
            </v:group>
            <v:group style="position:absolute;left:11993;top:4044;width:1358;height:2" coordorigin="11993,4044" coordsize="1358,2">
              <v:shape style="position:absolute;left:11993;top:4044;width:1358;height:2" coordorigin="11993,4044" coordsize="1358,0" path="m11993,4044l13350,4044e" filled="false" stroked="true" strokeweight="1.5pt" strokecolor="#000000">
                <v:path arrowok="t"/>
              </v:shape>
            </v:group>
            <v:group style="position:absolute;left:13350;top:4044;width:813;height:2" coordorigin="13350,4044" coordsize="813,2">
              <v:shape style="position:absolute;left:13350;top:4044;width:813;height:2" coordorigin="13350,4044" coordsize="813,0" path="m13350,4044l14162,4044e" filled="false" stroked="true" strokeweight="1.5pt" strokecolor="#000000">
                <v:path arrowok="t"/>
              </v:shape>
              <v:shape style="position:absolute;left:2033;top:1597;width:13644;height:2431" type="#_x0000_t75" stroked="false">
                <v:imagedata r:id="rId78" o:title=""/>
              </v:shape>
            </v:group>
            <v:group style="position:absolute;left:14162;top:4044;width:1498;height:2" coordorigin="14162,4044" coordsize="1498,2">
              <v:shape style="position:absolute;left:14162;top:4044;width:1498;height:2" coordorigin="14162,4044" coordsize="1498,0" path="m14162,4044l15660,4044e" filled="false" stroked="true" strokeweight="1.5pt" strokecolor="#000000">
                <v:path arrowok="t"/>
              </v:shape>
              <v:shape style="position:absolute;left:6401;top:534;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12359;top:534;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年初余额</w:t>
                      </w:r>
                      <w:r>
                        <w:rPr>
                          <w:rFonts w:ascii="宋体" w:hAnsi="宋体" w:cs="宋体" w:eastAsia="宋体" w:hint="default"/>
                          <w:sz w:val="16"/>
                          <w:szCs w:val="16"/>
                        </w:rPr>
                      </w:r>
                    </w:p>
                  </w:txbxContent>
                </v:textbox>
                <w10:wrap type="none"/>
              </v:shape>
              <v:shape style="position:absolute;left:2738;top:949;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类别</w:t>
                      </w:r>
                      <w:r>
                        <w:rPr>
                          <w:rFonts w:ascii="宋体" w:hAnsi="宋体" w:cs="宋体" w:eastAsia="宋体" w:hint="default"/>
                          <w:sz w:val="16"/>
                          <w:szCs w:val="16"/>
                        </w:rPr>
                      </w:r>
                    </w:p>
                  </w:txbxContent>
                </v:textbox>
                <w10:wrap type="none"/>
              </v:shape>
              <v:shape style="position:absolute;left:4562;top:883;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账面余额</w:t>
                      </w:r>
                      <w:r>
                        <w:rPr>
                          <w:rFonts w:ascii="宋体" w:hAnsi="宋体" w:cs="宋体" w:eastAsia="宋体" w:hint="default"/>
                          <w:sz w:val="16"/>
                          <w:szCs w:val="16"/>
                        </w:rPr>
                      </w:r>
                    </w:p>
                  </w:txbxContent>
                </v:textbox>
                <w10:wrap type="none"/>
              </v:shape>
              <v:shape style="position:absolute;left:6792;top:883;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坏账准备</w:t>
                      </w:r>
                      <w:r>
                        <w:rPr>
                          <w:rFonts w:ascii="宋体" w:hAnsi="宋体" w:cs="宋体" w:eastAsia="宋体" w:hint="default"/>
                          <w:sz w:val="16"/>
                          <w:szCs w:val="16"/>
                        </w:rPr>
                      </w:r>
                    </w:p>
                  </w:txbxContent>
                </v:textbox>
                <w10:wrap type="none"/>
              </v:shape>
              <v:shape style="position:absolute;left:10527;top:883;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账面余额</w:t>
                      </w:r>
                      <w:r>
                        <w:rPr>
                          <w:rFonts w:ascii="宋体" w:hAnsi="宋体" w:cs="宋体" w:eastAsia="宋体" w:hint="default"/>
                          <w:sz w:val="16"/>
                          <w:szCs w:val="16"/>
                        </w:rPr>
                      </w:r>
                    </w:p>
                  </w:txbxContent>
                </v:textbox>
                <w10:wrap type="none"/>
              </v:shape>
              <v:shape style="position:absolute;left:12762;top:883;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坏账准备</w:t>
                      </w:r>
                      <w:r>
                        <w:rPr>
                          <w:rFonts w:ascii="宋体" w:hAnsi="宋体" w:cs="宋体" w:eastAsia="宋体" w:hint="default"/>
                          <w:sz w:val="16"/>
                          <w:szCs w:val="16"/>
                        </w:rPr>
                      </w:r>
                    </w:p>
                  </w:txbxContent>
                </v:textbox>
                <w10:wrap type="none"/>
              </v:shape>
              <v:shape style="position:absolute;left:8630;top:1123;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账面价值</w:t>
                      </w:r>
                      <w:r>
                        <w:rPr>
                          <w:rFonts w:ascii="宋体" w:hAnsi="宋体" w:cs="宋体" w:eastAsia="宋体" w:hint="default"/>
                          <w:sz w:val="16"/>
                          <w:szCs w:val="16"/>
                        </w:rPr>
                      </w:r>
                    </w:p>
                  </w:txbxContent>
                </v:textbox>
                <w10:wrap type="none"/>
              </v:shape>
              <v:shape style="position:absolute;left:4355;top:1298;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金额</w:t>
                      </w:r>
                      <w:r>
                        <w:rPr>
                          <w:rFonts w:ascii="宋体" w:hAnsi="宋体" w:cs="宋体" w:eastAsia="宋体" w:hint="default"/>
                          <w:sz w:val="16"/>
                          <w:szCs w:val="16"/>
                        </w:rPr>
                      </w:r>
                    </w:p>
                  </w:txbxContent>
                </v:textbox>
                <w10:wrap type="none"/>
              </v:shape>
              <v:shape style="position:absolute;left:5491;top:1194;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比例</w:t>
                      </w:r>
                      <w:r>
                        <w:rPr>
                          <w:rFonts w:ascii="宋体" w:hAnsi="宋体" w:cs="宋体" w:eastAsia="宋体" w:hint="default"/>
                          <w:sz w:val="16"/>
                          <w:szCs w:val="16"/>
                        </w:rPr>
                      </w:r>
                    </w:p>
                  </w:txbxContent>
                </v:textbox>
                <w10:wrap type="none"/>
              </v:shape>
              <v:shape style="position:absolute;left:6537;top:1298;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金额</w:t>
                      </w:r>
                      <w:r>
                        <w:rPr>
                          <w:rFonts w:ascii="宋体" w:hAnsi="宋体" w:cs="宋体" w:eastAsia="宋体" w:hint="default"/>
                          <w:sz w:val="16"/>
                          <w:szCs w:val="16"/>
                        </w:rPr>
                      </w:r>
                    </w:p>
                  </w:txbxContent>
                </v:textbox>
                <w10:wrap type="none"/>
              </v:shape>
              <v:shape style="position:absolute;left:7550;top:1194;width:4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计提比</w:t>
                      </w:r>
                      <w:r>
                        <w:rPr>
                          <w:rFonts w:ascii="宋体" w:hAnsi="宋体" w:cs="宋体" w:eastAsia="宋体" w:hint="default"/>
                          <w:sz w:val="16"/>
                          <w:szCs w:val="16"/>
                        </w:rPr>
                      </w:r>
                    </w:p>
                  </w:txbxContent>
                </v:textbox>
                <w10:wrap type="none"/>
              </v:shape>
              <v:shape style="position:absolute;left:10283;top:1298;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金额</w:t>
                      </w:r>
                      <w:r>
                        <w:rPr>
                          <w:rFonts w:ascii="宋体" w:hAnsi="宋体" w:cs="宋体" w:eastAsia="宋体" w:hint="default"/>
                          <w:sz w:val="16"/>
                          <w:szCs w:val="16"/>
                        </w:rPr>
                      </w:r>
                    </w:p>
                  </w:txbxContent>
                </v:textbox>
                <w10:wrap type="none"/>
              </v:shape>
              <v:shape style="position:absolute;left:11433;top:1194;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比例</w:t>
                      </w:r>
                      <w:r>
                        <w:rPr>
                          <w:rFonts w:ascii="宋体" w:hAnsi="宋体" w:cs="宋体" w:eastAsia="宋体" w:hint="default"/>
                          <w:sz w:val="16"/>
                          <w:szCs w:val="16"/>
                        </w:rPr>
                      </w:r>
                    </w:p>
                  </w:txbxContent>
                </v:textbox>
                <w10:wrap type="none"/>
              </v:shape>
              <v:shape style="position:absolute;left:12516;top:1298;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金额</w:t>
                      </w:r>
                      <w:r>
                        <w:rPr>
                          <w:rFonts w:ascii="宋体" w:hAnsi="宋体" w:cs="宋体" w:eastAsia="宋体" w:hint="default"/>
                          <w:sz w:val="16"/>
                          <w:szCs w:val="16"/>
                        </w:rPr>
                      </w:r>
                    </w:p>
                  </w:txbxContent>
                </v:textbox>
                <w10:wrap type="none"/>
              </v:shape>
              <v:shape style="position:absolute;left:13520;top:1194;width:4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计提比</w:t>
                      </w:r>
                      <w:r>
                        <w:rPr>
                          <w:rFonts w:ascii="宋体" w:hAnsi="宋体" w:cs="宋体" w:eastAsia="宋体" w:hint="default"/>
                          <w:sz w:val="16"/>
                          <w:szCs w:val="16"/>
                        </w:rPr>
                      </w:r>
                    </w:p>
                  </w:txbxContent>
                </v:textbox>
                <w10:wrap type="none"/>
              </v:shape>
              <v:shape style="position:absolute;left:14593;top:1123;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账面价值</w:t>
                      </w:r>
                      <w:r>
                        <w:rPr>
                          <w:rFonts w:ascii="宋体" w:hAnsi="宋体" w:cs="宋体" w:eastAsia="宋体" w:hint="default"/>
                          <w:sz w:val="16"/>
                          <w:szCs w:val="16"/>
                        </w:rPr>
                      </w:r>
                    </w:p>
                  </w:txbxContent>
                </v:textbox>
                <w10:wrap type="none"/>
              </v:shape>
              <v:shape style="position:absolute;left:2160;top:1675;width:1439;height:2264" type="#_x0000_t202" filled="false" stroked="false">
                <v:textbox inset="0,0,0,0">
                  <w:txbxContent>
                    <w:p>
                      <w:pPr>
                        <w:spacing w:line="159" w:lineRule="exact" w:before="0"/>
                        <w:ind w:left="0" w:right="0" w:firstLine="0"/>
                        <w:jc w:val="both"/>
                        <w:rPr>
                          <w:rFonts w:ascii="宋体" w:hAnsi="宋体" w:cs="宋体" w:eastAsia="宋体" w:hint="default"/>
                          <w:sz w:val="16"/>
                          <w:szCs w:val="16"/>
                        </w:rPr>
                      </w:pPr>
                      <w:r>
                        <w:rPr>
                          <w:rFonts w:ascii="宋体" w:hAnsi="宋体" w:cs="宋体" w:eastAsia="宋体" w:hint="default"/>
                          <w:w w:val="95"/>
                          <w:sz w:val="16"/>
                          <w:szCs w:val="16"/>
                        </w:rPr>
                        <w:t>单项金额重大并单独</w:t>
                      </w:r>
                      <w:r>
                        <w:rPr>
                          <w:rFonts w:ascii="宋体" w:hAnsi="宋体" w:cs="宋体" w:eastAsia="宋体" w:hint="default"/>
                          <w:sz w:val="16"/>
                          <w:szCs w:val="16"/>
                        </w:rPr>
                      </w:r>
                    </w:p>
                    <w:p>
                      <w:pPr>
                        <w:spacing w:before="0"/>
                        <w:ind w:left="0" w:right="0" w:firstLine="0"/>
                        <w:jc w:val="both"/>
                        <w:rPr>
                          <w:rFonts w:ascii="宋体" w:hAnsi="宋体" w:cs="宋体" w:eastAsia="宋体" w:hint="default"/>
                          <w:sz w:val="16"/>
                          <w:szCs w:val="16"/>
                        </w:rPr>
                      </w:pPr>
                      <w:r>
                        <w:rPr>
                          <w:rFonts w:ascii="宋体" w:hAnsi="宋体" w:cs="宋体" w:eastAsia="宋体" w:hint="default"/>
                          <w:w w:val="95"/>
                          <w:sz w:val="16"/>
                          <w:szCs w:val="16"/>
                        </w:rPr>
                        <w:t>计提坏账准备的应收</w:t>
                      </w:r>
                      <w:r>
                        <w:rPr>
                          <w:rFonts w:ascii="宋体" w:hAnsi="宋体" w:cs="宋体" w:eastAsia="宋体" w:hint="default"/>
                          <w:spacing w:val="-6"/>
                          <w:w w:val="95"/>
                          <w:sz w:val="16"/>
                          <w:szCs w:val="16"/>
                        </w:rPr>
                        <w:t> </w:t>
                      </w:r>
                      <w:r>
                        <w:rPr>
                          <w:rFonts w:ascii="宋体" w:hAnsi="宋体" w:cs="宋体" w:eastAsia="宋体" w:hint="default"/>
                          <w:spacing w:val="-6"/>
                          <w:w w:val="95"/>
                          <w:sz w:val="16"/>
                          <w:szCs w:val="16"/>
                        </w:rPr>
                      </w:r>
                      <w:r>
                        <w:rPr>
                          <w:rFonts w:ascii="宋体" w:hAnsi="宋体" w:cs="宋体" w:eastAsia="宋体" w:hint="default"/>
                          <w:sz w:val="16"/>
                          <w:szCs w:val="16"/>
                        </w:rPr>
                        <w:t>账款</w:t>
                      </w:r>
                    </w:p>
                    <w:p>
                      <w:pPr>
                        <w:spacing w:before="64"/>
                        <w:ind w:left="0" w:right="0" w:firstLine="0"/>
                        <w:jc w:val="both"/>
                        <w:rPr>
                          <w:rFonts w:ascii="宋体" w:hAnsi="宋体" w:cs="宋体" w:eastAsia="宋体" w:hint="default"/>
                          <w:sz w:val="16"/>
                          <w:szCs w:val="16"/>
                        </w:rPr>
                      </w:pPr>
                      <w:r>
                        <w:rPr>
                          <w:rFonts w:ascii="宋体" w:hAnsi="宋体" w:cs="宋体" w:eastAsia="宋体" w:hint="default"/>
                          <w:w w:val="95"/>
                          <w:sz w:val="16"/>
                          <w:szCs w:val="16"/>
                        </w:rPr>
                        <w:t>按信用风险特征组合</w:t>
                      </w:r>
                      <w:r>
                        <w:rPr>
                          <w:rFonts w:ascii="宋体" w:hAnsi="宋体" w:cs="宋体" w:eastAsia="宋体" w:hint="default"/>
                          <w:spacing w:val="-6"/>
                          <w:w w:val="95"/>
                          <w:sz w:val="16"/>
                          <w:szCs w:val="16"/>
                        </w:rPr>
                        <w:t> </w:t>
                      </w:r>
                      <w:r>
                        <w:rPr>
                          <w:rFonts w:ascii="宋体" w:hAnsi="宋体" w:cs="宋体" w:eastAsia="宋体" w:hint="default"/>
                          <w:spacing w:val="-6"/>
                          <w:w w:val="95"/>
                          <w:sz w:val="16"/>
                          <w:szCs w:val="16"/>
                        </w:rPr>
                      </w:r>
                      <w:r>
                        <w:rPr>
                          <w:rFonts w:ascii="宋体" w:hAnsi="宋体" w:cs="宋体" w:eastAsia="宋体" w:hint="default"/>
                          <w:w w:val="95"/>
                          <w:sz w:val="16"/>
                          <w:szCs w:val="16"/>
                        </w:rPr>
                        <w:t>计提坏账准备的应收</w:t>
                      </w:r>
                      <w:r>
                        <w:rPr>
                          <w:rFonts w:ascii="宋体" w:hAnsi="宋体" w:cs="宋体" w:eastAsia="宋体" w:hint="default"/>
                          <w:spacing w:val="-6"/>
                          <w:w w:val="95"/>
                          <w:sz w:val="16"/>
                          <w:szCs w:val="16"/>
                        </w:rPr>
                        <w:t> </w:t>
                      </w:r>
                      <w:r>
                        <w:rPr>
                          <w:rFonts w:ascii="宋体" w:hAnsi="宋体" w:cs="宋体" w:eastAsia="宋体" w:hint="default"/>
                          <w:spacing w:val="-6"/>
                          <w:w w:val="95"/>
                          <w:sz w:val="16"/>
                          <w:szCs w:val="16"/>
                        </w:rPr>
                      </w:r>
                      <w:r>
                        <w:rPr>
                          <w:rFonts w:ascii="宋体" w:hAnsi="宋体" w:cs="宋体" w:eastAsia="宋体" w:hint="default"/>
                          <w:sz w:val="16"/>
                          <w:szCs w:val="16"/>
                        </w:rPr>
                        <w:t>账款</w:t>
                      </w:r>
                    </w:p>
                    <w:p>
                      <w:pPr>
                        <w:spacing w:before="63"/>
                        <w:ind w:left="0" w:right="0" w:firstLine="0"/>
                        <w:jc w:val="both"/>
                        <w:rPr>
                          <w:rFonts w:ascii="宋体" w:hAnsi="宋体" w:cs="宋体" w:eastAsia="宋体" w:hint="default"/>
                          <w:sz w:val="16"/>
                          <w:szCs w:val="16"/>
                        </w:rPr>
                      </w:pPr>
                      <w:r>
                        <w:rPr>
                          <w:rFonts w:ascii="宋体" w:hAnsi="宋体" w:cs="宋体" w:eastAsia="宋体" w:hint="default"/>
                          <w:w w:val="95"/>
                          <w:sz w:val="16"/>
                          <w:szCs w:val="16"/>
                        </w:rPr>
                        <w:t>单项金额不重大但单</w:t>
                      </w:r>
                      <w:r>
                        <w:rPr>
                          <w:rFonts w:ascii="宋体" w:hAnsi="宋体" w:cs="宋体" w:eastAsia="宋体" w:hint="default"/>
                          <w:spacing w:val="-6"/>
                          <w:w w:val="95"/>
                          <w:sz w:val="16"/>
                          <w:szCs w:val="16"/>
                        </w:rPr>
                        <w:t> </w:t>
                      </w:r>
                      <w:r>
                        <w:rPr>
                          <w:rFonts w:ascii="宋体" w:hAnsi="宋体" w:cs="宋体" w:eastAsia="宋体" w:hint="default"/>
                          <w:spacing w:val="-6"/>
                          <w:w w:val="95"/>
                          <w:sz w:val="16"/>
                          <w:szCs w:val="16"/>
                        </w:rPr>
                      </w:r>
                      <w:r>
                        <w:rPr>
                          <w:rFonts w:ascii="宋体" w:hAnsi="宋体" w:cs="宋体" w:eastAsia="宋体" w:hint="default"/>
                          <w:w w:val="95"/>
                          <w:sz w:val="16"/>
                          <w:szCs w:val="16"/>
                        </w:rPr>
                        <w:t>独计提坏账准备的应</w:t>
                      </w:r>
                      <w:r>
                        <w:rPr>
                          <w:rFonts w:ascii="宋体" w:hAnsi="宋体" w:cs="宋体" w:eastAsia="宋体" w:hint="default"/>
                          <w:spacing w:val="-6"/>
                          <w:w w:val="95"/>
                          <w:sz w:val="16"/>
                          <w:szCs w:val="16"/>
                        </w:rPr>
                        <w:t> </w:t>
                      </w:r>
                      <w:r>
                        <w:rPr>
                          <w:rFonts w:ascii="宋体" w:hAnsi="宋体" w:cs="宋体" w:eastAsia="宋体" w:hint="default"/>
                          <w:spacing w:val="-6"/>
                          <w:w w:val="95"/>
                          <w:sz w:val="16"/>
                          <w:szCs w:val="16"/>
                        </w:rPr>
                      </w:r>
                      <w:r>
                        <w:rPr>
                          <w:rFonts w:ascii="宋体" w:hAnsi="宋体" w:cs="宋体" w:eastAsia="宋体" w:hint="default"/>
                          <w:sz w:val="16"/>
                          <w:szCs w:val="16"/>
                        </w:rPr>
                        <w:t>收账款</w:t>
                      </w:r>
                    </w:p>
                    <w:p>
                      <w:pPr>
                        <w:spacing w:before="102"/>
                        <w:ind w:left="37" w:right="0" w:firstLine="0"/>
                        <w:jc w:val="center"/>
                        <w:rPr>
                          <w:rFonts w:ascii="宋体" w:hAnsi="宋体" w:cs="宋体" w:eastAsia="宋体" w:hint="default"/>
                          <w:sz w:val="16"/>
                          <w:szCs w:val="16"/>
                        </w:rPr>
                      </w:pPr>
                      <w:r>
                        <w:rPr>
                          <w:rFonts w:ascii="宋体" w:hAnsi="宋体" w:cs="宋体" w:eastAsia="宋体" w:hint="default"/>
                          <w:sz w:val="16"/>
                          <w:szCs w:val="16"/>
                        </w:rPr>
                        <w:t>合计</w:t>
                      </w:r>
                    </w:p>
                  </w:txbxContent>
                </v:textbox>
                <w10:wrap type="none"/>
              </v:shape>
            </v:group>
            <w10:wrap type="none"/>
          </v:group>
        </w:pict>
      </w:r>
      <w:r>
        <w:rPr/>
        <w:t>（</w:t>
      </w:r>
      <w:r>
        <w:rPr>
          <w:rFonts w:ascii="Times New Roman" w:hAnsi="Times New Roman" w:cs="Times New Roman" w:eastAsia="Times New Roman" w:hint="default"/>
        </w:rPr>
        <w:t>1</w:t>
      </w:r>
      <w:r>
        <w:rPr/>
        <w:t>）应收账款分类披露</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6"/>
          <w:szCs w:val="16"/>
        </w:rPr>
      </w:pPr>
    </w:p>
    <w:tbl>
      <w:tblPr>
        <w:tblW w:w="0" w:type="auto"/>
        <w:jc w:val="left"/>
        <w:tblInd w:w="2722" w:type="dxa"/>
        <w:tblLayout w:type="fixed"/>
        <w:tblCellMar>
          <w:top w:w="0" w:type="dxa"/>
          <w:left w:w="0" w:type="dxa"/>
          <w:bottom w:w="0" w:type="dxa"/>
          <w:right w:w="0" w:type="dxa"/>
        </w:tblCellMar>
        <w:tblLook w:val="01E0"/>
      </w:tblPr>
      <w:tblGrid>
        <w:gridCol w:w="1279"/>
        <w:gridCol w:w="789"/>
        <w:gridCol w:w="1286"/>
        <w:gridCol w:w="907"/>
        <w:gridCol w:w="1493"/>
        <w:gridCol w:w="1448"/>
        <w:gridCol w:w="844"/>
        <w:gridCol w:w="1286"/>
        <w:gridCol w:w="898"/>
        <w:gridCol w:w="1370"/>
      </w:tblGrid>
      <w:tr>
        <w:trPr>
          <w:trHeight w:val="919" w:hRule="exact"/>
        </w:trPr>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121"/>
              <w:jc w:val="right"/>
              <w:rPr>
                <w:rFonts w:ascii="Times New Roman" w:hAnsi="Times New Roman" w:cs="Times New Roman" w:eastAsia="Times New Roman" w:hint="default"/>
                <w:sz w:val="16"/>
                <w:szCs w:val="16"/>
              </w:rPr>
            </w:pPr>
            <w:r>
              <w:rPr>
                <w:rFonts w:ascii="Times New Roman"/>
                <w:spacing w:val="-1"/>
                <w:sz w:val="16"/>
              </w:rPr>
              <w:t>43,678,894.94</w:t>
            </w:r>
          </w:p>
        </w:tc>
        <w:tc>
          <w:tcPr>
            <w:tcW w:w="789" w:type="dxa"/>
            <w:tcBorders>
              <w:top w:val="nil" w:sz="6" w:space="0" w:color="auto"/>
              <w:left w:val="nil" w:sz="6" w:space="0" w:color="auto"/>
              <w:bottom w:val="nil" w:sz="6" w:space="0" w:color="auto"/>
              <w:right w:val="nil" w:sz="6" w:space="0" w:color="auto"/>
            </w:tcBorders>
          </w:tcPr>
          <w:p>
            <w:pPr>
              <w:pStyle w:val="TableParagraph"/>
              <w:spacing w:line="172" w:lineRule="exact"/>
              <w:ind w:left="123" w:right="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w:t>
            </w:r>
            <w:r>
              <w:rPr>
                <w:rFonts w:ascii="宋体" w:hAnsi="宋体" w:cs="宋体" w:eastAsia="宋体" w:hint="default"/>
                <w:sz w:val="16"/>
                <w:szCs w:val="16"/>
              </w:rPr>
              <w:t>）</w:t>
            </w:r>
          </w:p>
          <w:p>
            <w:pPr>
              <w:pStyle w:val="TableParagraph"/>
              <w:spacing w:line="240" w:lineRule="auto" w:before="1"/>
              <w:ind w:right="0"/>
              <w:jc w:val="left"/>
              <w:rPr>
                <w:rFonts w:ascii="宋体" w:hAnsi="宋体" w:cs="宋体" w:eastAsia="宋体" w:hint="default"/>
                <w:sz w:val="23"/>
                <w:szCs w:val="23"/>
              </w:rPr>
            </w:pPr>
          </w:p>
          <w:p>
            <w:pPr>
              <w:pStyle w:val="TableParagraph"/>
              <w:spacing w:line="240" w:lineRule="auto"/>
              <w:ind w:left="329" w:right="0"/>
              <w:jc w:val="left"/>
              <w:rPr>
                <w:rFonts w:ascii="Times New Roman" w:hAnsi="Times New Roman" w:cs="Times New Roman" w:eastAsia="Times New Roman" w:hint="default"/>
                <w:sz w:val="16"/>
                <w:szCs w:val="16"/>
              </w:rPr>
            </w:pPr>
            <w:r>
              <w:rPr>
                <w:rFonts w:ascii="Times New Roman"/>
                <w:sz w:val="16"/>
              </w:rPr>
              <w:t>1.35</w:t>
            </w:r>
          </w:p>
        </w:tc>
        <w:tc>
          <w:tcPr>
            <w:tcW w:w="128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105"/>
              <w:jc w:val="right"/>
              <w:rPr>
                <w:rFonts w:ascii="Times New Roman" w:hAnsi="Times New Roman" w:cs="Times New Roman" w:eastAsia="Times New Roman" w:hint="default"/>
                <w:sz w:val="16"/>
                <w:szCs w:val="16"/>
              </w:rPr>
            </w:pPr>
            <w:r>
              <w:rPr>
                <w:rFonts w:ascii="Times New Roman"/>
                <w:spacing w:val="-1"/>
                <w:sz w:val="16"/>
              </w:rPr>
              <w:t>43,678,894.94</w:t>
            </w:r>
          </w:p>
        </w:tc>
        <w:tc>
          <w:tcPr>
            <w:tcW w:w="907" w:type="dxa"/>
            <w:tcBorders>
              <w:top w:val="nil" w:sz="6" w:space="0" w:color="auto"/>
              <w:left w:val="nil" w:sz="6" w:space="0" w:color="auto"/>
              <w:bottom w:val="nil" w:sz="6" w:space="0" w:color="auto"/>
              <w:right w:val="nil" w:sz="6" w:space="0" w:color="auto"/>
            </w:tcBorders>
          </w:tcPr>
          <w:p>
            <w:pPr>
              <w:pStyle w:val="TableParagraph"/>
              <w:spacing w:line="172" w:lineRule="exact"/>
              <w:ind w:left="278" w:right="0" w:hanging="172"/>
              <w:jc w:val="left"/>
              <w:rPr>
                <w:rFonts w:ascii="宋体" w:hAnsi="宋体" w:cs="宋体" w:eastAsia="宋体" w:hint="default"/>
                <w:sz w:val="16"/>
                <w:szCs w:val="16"/>
              </w:rPr>
            </w:pPr>
            <w:r>
              <w:rPr>
                <w:rFonts w:ascii="宋体" w:hAnsi="宋体" w:cs="宋体" w:eastAsia="宋体" w:hint="default"/>
                <w:sz w:val="16"/>
                <w:szCs w:val="16"/>
              </w:rPr>
              <w:t>例（</w:t>
            </w:r>
            <w:r>
              <w:rPr>
                <w:rFonts w:ascii="Times New Roman" w:hAnsi="Times New Roman" w:cs="Times New Roman" w:eastAsia="Times New Roman" w:hint="default"/>
                <w:sz w:val="16"/>
                <w:szCs w:val="16"/>
              </w:rPr>
              <w:t>%</w:t>
            </w:r>
            <w:r>
              <w:rPr>
                <w:rFonts w:ascii="宋体" w:hAnsi="宋体" w:cs="宋体" w:eastAsia="宋体" w:hint="default"/>
                <w:sz w:val="16"/>
                <w:szCs w:val="16"/>
              </w:rPr>
              <w:t>）</w:t>
            </w:r>
          </w:p>
          <w:p>
            <w:pPr>
              <w:pStyle w:val="TableParagraph"/>
              <w:spacing w:line="240" w:lineRule="auto" w:before="1"/>
              <w:ind w:right="0"/>
              <w:jc w:val="left"/>
              <w:rPr>
                <w:rFonts w:ascii="宋体" w:hAnsi="宋体" w:cs="宋体" w:eastAsia="宋体" w:hint="default"/>
                <w:sz w:val="23"/>
                <w:szCs w:val="23"/>
              </w:rPr>
            </w:pPr>
          </w:p>
          <w:p>
            <w:pPr>
              <w:pStyle w:val="TableParagraph"/>
              <w:spacing w:line="240" w:lineRule="auto"/>
              <w:ind w:left="278" w:right="0"/>
              <w:jc w:val="left"/>
              <w:rPr>
                <w:rFonts w:ascii="Times New Roman" w:hAnsi="Times New Roman" w:cs="Times New Roman" w:eastAsia="Times New Roman" w:hint="default"/>
                <w:sz w:val="16"/>
                <w:szCs w:val="16"/>
              </w:rPr>
            </w:pPr>
            <w:r>
              <w:rPr>
                <w:rFonts w:ascii="Times New Roman"/>
                <w:sz w:val="16"/>
              </w:rPr>
              <w:t>100.00</w:t>
            </w:r>
          </w:p>
        </w:tc>
        <w:tc>
          <w:tcPr>
            <w:tcW w:w="1493" w:type="dxa"/>
            <w:tcBorders>
              <w:top w:val="nil" w:sz="6" w:space="0" w:color="auto"/>
              <w:left w:val="nil" w:sz="6" w:space="0" w:color="auto"/>
              <w:bottom w:val="nil" w:sz="6" w:space="0" w:color="auto"/>
              <w:right w:val="nil" w:sz="6" w:space="0" w:color="auto"/>
            </w:tcBorders>
          </w:tcPr>
          <w:p>
            <w:pP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139"/>
              <w:jc w:val="right"/>
              <w:rPr>
                <w:rFonts w:ascii="Times New Roman" w:hAnsi="Times New Roman" w:cs="Times New Roman" w:eastAsia="Times New Roman" w:hint="default"/>
                <w:sz w:val="16"/>
                <w:szCs w:val="16"/>
              </w:rPr>
            </w:pPr>
            <w:r>
              <w:rPr>
                <w:rFonts w:ascii="Times New Roman"/>
                <w:spacing w:val="-1"/>
                <w:sz w:val="16"/>
              </w:rPr>
              <w:t>37,519,997.42</w:t>
            </w:r>
          </w:p>
        </w:tc>
        <w:tc>
          <w:tcPr>
            <w:tcW w:w="844" w:type="dxa"/>
            <w:tcBorders>
              <w:top w:val="nil" w:sz="6" w:space="0" w:color="auto"/>
              <w:left w:val="nil" w:sz="6" w:space="0" w:color="auto"/>
              <w:bottom w:val="nil" w:sz="6" w:space="0" w:color="auto"/>
              <w:right w:val="nil" w:sz="6" w:space="0" w:color="auto"/>
            </w:tcBorders>
          </w:tcPr>
          <w:p>
            <w:pPr>
              <w:pStyle w:val="TableParagraph"/>
              <w:spacing w:line="172" w:lineRule="exact"/>
              <w:ind w:left="141" w:right="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w:t>
            </w:r>
            <w:r>
              <w:rPr>
                <w:rFonts w:ascii="宋体" w:hAnsi="宋体" w:cs="宋体" w:eastAsia="宋体" w:hint="default"/>
                <w:sz w:val="16"/>
                <w:szCs w:val="16"/>
              </w:rPr>
              <w:t>）</w:t>
            </w:r>
          </w:p>
          <w:p>
            <w:pPr>
              <w:pStyle w:val="TableParagraph"/>
              <w:spacing w:line="240" w:lineRule="auto" w:before="1"/>
              <w:ind w:right="0"/>
              <w:jc w:val="left"/>
              <w:rPr>
                <w:rFonts w:ascii="宋体" w:hAnsi="宋体" w:cs="宋体" w:eastAsia="宋体" w:hint="default"/>
                <w:sz w:val="23"/>
                <w:szCs w:val="23"/>
              </w:rPr>
            </w:pPr>
          </w:p>
          <w:p>
            <w:pPr>
              <w:pStyle w:val="TableParagraph"/>
              <w:spacing w:line="240" w:lineRule="auto"/>
              <w:ind w:left="385" w:right="0"/>
              <w:jc w:val="left"/>
              <w:rPr>
                <w:rFonts w:ascii="Times New Roman" w:hAnsi="Times New Roman" w:cs="Times New Roman" w:eastAsia="Times New Roman" w:hint="default"/>
                <w:sz w:val="16"/>
                <w:szCs w:val="16"/>
              </w:rPr>
            </w:pPr>
            <w:r>
              <w:rPr>
                <w:rFonts w:ascii="Times New Roman"/>
                <w:sz w:val="16"/>
              </w:rPr>
              <w:t>1.58</w:t>
            </w:r>
          </w:p>
        </w:tc>
        <w:tc>
          <w:tcPr>
            <w:tcW w:w="128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105"/>
              <w:jc w:val="right"/>
              <w:rPr>
                <w:rFonts w:ascii="Times New Roman" w:hAnsi="Times New Roman" w:cs="Times New Roman" w:eastAsia="Times New Roman" w:hint="default"/>
                <w:sz w:val="16"/>
                <w:szCs w:val="16"/>
              </w:rPr>
            </w:pPr>
            <w:r>
              <w:rPr>
                <w:rFonts w:ascii="Times New Roman"/>
                <w:spacing w:val="-1"/>
                <w:sz w:val="16"/>
              </w:rPr>
              <w:t>37,519,997.42</w:t>
            </w:r>
          </w:p>
        </w:tc>
        <w:tc>
          <w:tcPr>
            <w:tcW w:w="898" w:type="dxa"/>
            <w:tcBorders>
              <w:top w:val="nil" w:sz="6" w:space="0" w:color="auto"/>
              <w:left w:val="nil" w:sz="6" w:space="0" w:color="auto"/>
              <w:bottom w:val="nil" w:sz="6" w:space="0" w:color="auto"/>
              <w:right w:val="nil" w:sz="6" w:space="0" w:color="auto"/>
            </w:tcBorders>
          </w:tcPr>
          <w:p>
            <w:pPr>
              <w:pStyle w:val="TableParagraph"/>
              <w:spacing w:line="172" w:lineRule="exact"/>
              <w:ind w:left="263" w:right="0" w:hanging="157"/>
              <w:jc w:val="left"/>
              <w:rPr>
                <w:rFonts w:ascii="宋体" w:hAnsi="宋体" w:cs="宋体" w:eastAsia="宋体" w:hint="default"/>
                <w:sz w:val="16"/>
                <w:szCs w:val="16"/>
              </w:rPr>
            </w:pPr>
            <w:r>
              <w:rPr>
                <w:rFonts w:ascii="宋体" w:hAnsi="宋体" w:cs="宋体" w:eastAsia="宋体" w:hint="default"/>
                <w:sz w:val="16"/>
                <w:szCs w:val="16"/>
              </w:rPr>
              <w:t>例（</w:t>
            </w:r>
            <w:r>
              <w:rPr>
                <w:rFonts w:ascii="Times New Roman" w:hAnsi="Times New Roman" w:cs="Times New Roman" w:eastAsia="Times New Roman" w:hint="default"/>
                <w:sz w:val="16"/>
                <w:szCs w:val="16"/>
              </w:rPr>
              <w:t>%</w:t>
            </w:r>
            <w:r>
              <w:rPr>
                <w:rFonts w:ascii="宋体" w:hAnsi="宋体" w:cs="宋体" w:eastAsia="宋体" w:hint="default"/>
                <w:sz w:val="16"/>
                <w:szCs w:val="16"/>
              </w:rPr>
              <w:t>）</w:t>
            </w:r>
          </w:p>
          <w:p>
            <w:pPr>
              <w:pStyle w:val="TableParagraph"/>
              <w:spacing w:line="240" w:lineRule="auto" w:before="1"/>
              <w:ind w:right="0"/>
              <w:jc w:val="left"/>
              <w:rPr>
                <w:rFonts w:ascii="宋体" w:hAnsi="宋体" w:cs="宋体" w:eastAsia="宋体" w:hint="default"/>
                <w:sz w:val="23"/>
                <w:szCs w:val="23"/>
              </w:rPr>
            </w:pPr>
          </w:p>
          <w:p>
            <w:pPr>
              <w:pStyle w:val="TableParagraph"/>
              <w:spacing w:line="240" w:lineRule="auto"/>
              <w:ind w:left="263" w:right="0"/>
              <w:jc w:val="left"/>
              <w:rPr>
                <w:rFonts w:ascii="Times New Roman" w:hAnsi="Times New Roman" w:cs="Times New Roman" w:eastAsia="Times New Roman" w:hint="default"/>
                <w:sz w:val="16"/>
                <w:szCs w:val="16"/>
              </w:rPr>
            </w:pPr>
            <w:r>
              <w:rPr>
                <w:rFonts w:ascii="Times New Roman"/>
                <w:sz w:val="16"/>
              </w:rPr>
              <w:t>100.00</w:t>
            </w:r>
          </w:p>
        </w:tc>
        <w:tc>
          <w:tcPr>
            <w:tcW w:w="1370" w:type="dxa"/>
            <w:tcBorders>
              <w:top w:val="nil" w:sz="6" w:space="0" w:color="auto"/>
              <w:left w:val="nil" w:sz="6" w:space="0" w:color="auto"/>
              <w:bottom w:val="nil" w:sz="6" w:space="0" w:color="auto"/>
              <w:right w:val="nil" w:sz="6" w:space="0" w:color="auto"/>
            </w:tcBorders>
          </w:tcPr>
          <w:p>
            <w:pPr/>
          </w:p>
        </w:tc>
      </w:tr>
      <w:tr>
        <w:trPr>
          <w:trHeight w:val="689" w:hRule="exact"/>
        </w:trPr>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22"/>
              <w:jc w:val="right"/>
              <w:rPr>
                <w:rFonts w:ascii="Times New Roman" w:hAnsi="Times New Roman" w:cs="Times New Roman" w:eastAsia="Times New Roman" w:hint="default"/>
                <w:sz w:val="16"/>
                <w:szCs w:val="16"/>
              </w:rPr>
            </w:pPr>
            <w:r>
              <w:rPr>
                <w:rFonts w:ascii="Times New Roman"/>
                <w:spacing w:val="-1"/>
                <w:sz w:val="16"/>
              </w:rPr>
              <w:t>3,185,367,712.48</w:t>
            </w:r>
          </w:p>
        </w:tc>
        <w:tc>
          <w:tcPr>
            <w:tcW w:w="78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76"/>
              <w:jc w:val="right"/>
              <w:rPr>
                <w:rFonts w:ascii="Times New Roman" w:hAnsi="Times New Roman" w:cs="Times New Roman" w:eastAsia="Times New Roman" w:hint="default"/>
                <w:sz w:val="16"/>
                <w:szCs w:val="16"/>
              </w:rPr>
            </w:pPr>
            <w:r>
              <w:rPr>
                <w:rFonts w:ascii="Times New Roman"/>
                <w:spacing w:val="-1"/>
                <w:sz w:val="16"/>
              </w:rPr>
              <w:t>98.09</w:t>
            </w:r>
          </w:p>
        </w:tc>
        <w:tc>
          <w:tcPr>
            <w:tcW w:w="128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7"/>
              <w:jc w:val="right"/>
              <w:rPr>
                <w:rFonts w:ascii="Times New Roman" w:hAnsi="Times New Roman" w:cs="Times New Roman" w:eastAsia="Times New Roman" w:hint="default"/>
                <w:sz w:val="16"/>
                <w:szCs w:val="16"/>
              </w:rPr>
            </w:pPr>
            <w:r>
              <w:rPr>
                <w:rFonts w:ascii="Times New Roman"/>
                <w:spacing w:val="-1"/>
                <w:sz w:val="16"/>
              </w:rPr>
              <w:t>218,908,982.10</w:t>
            </w:r>
          </w:p>
        </w:tc>
        <w:tc>
          <w:tcPr>
            <w:tcW w:w="90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85"/>
              <w:jc w:val="right"/>
              <w:rPr>
                <w:rFonts w:ascii="Times New Roman" w:hAnsi="Times New Roman" w:cs="Times New Roman" w:eastAsia="Times New Roman" w:hint="default"/>
                <w:sz w:val="16"/>
                <w:szCs w:val="16"/>
              </w:rPr>
            </w:pPr>
            <w:r>
              <w:rPr>
                <w:rFonts w:ascii="Times New Roman"/>
                <w:spacing w:val="-1"/>
                <w:sz w:val="16"/>
              </w:rPr>
              <w:t>6.87</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84"/>
              <w:jc w:val="right"/>
              <w:rPr>
                <w:rFonts w:ascii="Times New Roman" w:hAnsi="Times New Roman" w:cs="Times New Roman" w:eastAsia="Times New Roman" w:hint="default"/>
                <w:sz w:val="16"/>
                <w:szCs w:val="16"/>
              </w:rPr>
            </w:pPr>
            <w:r>
              <w:rPr>
                <w:rFonts w:ascii="Times New Roman"/>
                <w:spacing w:val="-1"/>
                <w:sz w:val="16"/>
              </w:rPr>
              <w:t>2,966,458,730.38</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40"/>
              <w:jc w:val="right"/>
              <w:rPr>
                <w:rFonts w:ascii="Times New Roman" w:hAnsi="Times New Roman" w:cs="Times New Roman" w:eastAsia="Times New Roman" w:hint="default"/>
                <w:sz w:val="16"/>
                <w:szCs w:val="16"/>
              </w:rPr>
            </w:pPr>
            <w:r>
              <w:rPr>
                <w:rFonts w:ascii="Times New Roman"/>
                <w:spacing w:val="-1"/>
                <w:sz w:val="16"/>
              </w:rPr>
              <w:t>2,324,208,965.27</w:t>
            </w:r>
          </w:p>
        </w:tc>
        <w:tc>
          <w:tcPr>
            <w:tcW w:w="84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76"/>
              <w:jc w:val="right"/>
              <w:rPr>
                <w:rFonts w:ascii="Times New Roman" w:hAnsi="Times New Roman" w:cs="Times New Roman" w:eastAsia="Times New Roman" w:hint="default"/>
                <w:sz w:val="16"/>
                <w:szCs w:val="16"/>
              </w:rPr>
            </w:pPr>
            <w:r>
              <w:rPr>
                <w:rFonts w:ascii="Times New Roman"/>
                <w:spacing w:val="-1"/>
                <w:sz w:val="16"/>
              </w:rPr>
              <w:t>97.59</w:t>
            </w:r>
          </w:p>
        </w:tc>
        <w:tc>
          <w:tcPr>
            <w:tcW w:w="128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7"/>
              <w:jc w:val="right"/>
              <w:rPr>
                <w:rFonts w:ascii="Times New Roman" w:hAnsi="Times New Roman" w:cs="Times New Roman" w:eastAsia="Times New Roman" w:hint="default"/>
                <w:sz w:val="16"/>
                <w:szCs w:val="16"/>
              </w:rPr>
            </w:pPr>
            <w:r>
              <w:rPr>
                <w:rFonts w:ascii="Times New Roman"/>
                <w:spacing w:val="-1"/>
                <w:sz w:val="16"/>
              </w:rPr>
              <w:t>153,429,247.23</w:t>
            </w:r>
          </w:p>
        </w:tc>
        <w:tc>
          <w:tcPr>
            <w:tcW w:w="89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91"/>
              <w:jc w:val="right"/>
              <w:rPr>
                <w:rFonts w:ascii="Times New Roman" w:hAnsi="Times New Roman" w:cs="Times New Roman" w:eastAsia="Times New Roman" w:hint="default"/>
                <w:sz w:val="16"/>
                <w:szCs w:val="16"/>
              </w:rPr>
            </w:pPr>
            <w:r>
              <w:rPr>
                <w:rFonts w:ascii="Times New Roman"/>
                <w:spacing w:val="-1"/>
                <w:sz w:val="16"/>
              </w:rPr>
              <w:t>6.60</w:t>
            </w:r>
          </w:p>
        </w:tc>
        <w:tc>
          <w:tcPr>
            <w:tcW w:w="137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68"/>
              <w:jc w:val="right"/>
              <w:rPr>
                <w:rFonts w:ascii="Times New Roman" w:hAnsi="Times New Roman" w:cs="Times New Roman" w:eastAsia="Times New Roman" w:hint="default"/>
                <w:sz w:val="16"/>
                <w:szCs w:val="16"/>
              </w:rPr>
            </w:pPr>
            <w:r>
              <w:rPr>
                <w:rFonts w:ascii="Times New Roman"/>
                <w:spacing w:val="-1"/>
                <w:sz w:val="16"/>
              </w:rPr>
              <w:t>2,170,779,718.04</w:t>
            </w:r>
          </w:p>
        </w:tc>
      </w:tr>
      <w:tr>
        <w:trPr>
          <w:trHeight w:val="604" w:hRule="exact"/>
        </w:trPr>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21"/>
              <w:jc w:val="right"/>
              <w:rPr>
                <w:rFonts w:ascii="Times New Roman" w:hAnsi="Times New Roman" w:cs="Times New Roman" w:eastAsia="Times New Roman" w:hint="default"/>
                <w:sz w:val="16"/>
                <w:szCs w:val="16"/>
              </w:rPr>
            </w:pPr>
            <w:r>
              <w:rPr>
                <w:rFonts w:ascii="Times New Roman"/>
                <w:spacing w:val="-1"/>
                <w:sz w:val="16"/>
              </w:rPr>
              <w:t>18,275,402.09</w:t>
            </w:r>
          </w:p>
        </w:tc>
        <w:tc>
          <w:tcPr>
            <w:tcW w:w="78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76"/>
              <w:jc w:val="right"/>
              <w:rPr>
                <w:rFonts w:ascii="Times New Roman" w:hAnsi="Times New Roman" w:cs="Times New Roman" w:eastAsia="Times New Roman" w:hint="default"/>
                <w:sz w:val="16"/>
                <w:szCs w:val="16"/>
              </w:rPr>
            </w:pPr>
            <w:r>
              <w:rPr>
                <w:rFonts w:ascii="Times New Roman"/>
                <w:spacing w:val="-1"/>
                <w:sz w:val="16"/>
              </w:rPr>
              <w:t>0.56</w:t>
            </w:r>
          </w:p>
        </w:tc>
        <w:tc>
          <w:tcPr>
            <w:tcW w:w="128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5"/>
              <w:jc w:val="right"/>
              <w:rPr>
                <w:rFonts w:ascii="Times New Roman" w:hAnsi="Times New Roman" w:cs="Times New Roman" w:eastAsia="Times New Roman" w:hint="default"/>
                <w:sz w:val="16"/>
                <w:szCs w:val="16"/>
              </w:rPr>
            </w:pPr>
            <w:r>
              <w:rPr>
                <w:rFonts w:ascii="Times New Roman"/>
                <w:spacing w:val="-1"/>
                <w:sz w:val="16"/>
              </w:rPr>
              <w:t>17,516,553.58</w:t>
            </w:r>
          </w:p>
        </w:tc>
        <w:tc>
          <w:tcPr>
            <w:tcW w:w="90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85"/>
              <w:jc w:val="right"/>
              <w:rPr>
                <w:rFonts w:ascii="Times New Roman" w:hAnsi="Times New Roman" w:cs="Times New Roman" w:eastAsia="Times New Roman" w:hint="default"/>
                <w:sz w:val="16"/>
                <w:szCs w:val="16"/>
              </w:rPr>
            </w:pPr>
            <w:r>
              <w:rPr>
                <w:rFonts w:ascii="Times New Roman"/>
                <w:spacing w:val="-1"/>
                <w:sz w:val="16"/>
              </w:rPr>
              <w:t>95.85</w:t>
            </w: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85"/>
              <w:jc w:val="right"/>
              <w:rPr>
                <w:rFonts w:ascii="Times New Roman" w:hAnsi="Times New Roman" w:cs="Times New Roman" w:eastAsia="Times New Roman" w:hint="default"/>
                <w:sz w:val="16"/>
                <w:szCs w:val="16"/>
              </w:rPr>
            </w:pPr>
            <w:r>
              <w:rPr>
                <w:rFonts w:ascii="Times New Roman"/>
                <w:spacing w:val="-1"/>
                <w:sz w:val="16"/>
              </w:rPr>
              <w:t>758,848.51</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39"/>
              <w:jc w:val="right"/>
              <w:rPr>
                <w:rFonts w:ascii="Times New Roman" w:hAnsi="Times New Roman" w:cs="Times New Roman" w:eastAsia="Times New Roman" w:hint="default"/>
                <w:sz w:val="16"/>
                <w:szCs w:val="16"/>
              </w:rPr>
            </w:pPr>
            <w:r>
              <w:rPr>
                <w:rFonts w:ascii="Times New Roman"/>
                <w:spacing w:val="-1"/>
                <w:sz w:val="16"/>
              </w:rPr>
              <w:t>19,772,236.97</w:t>
            </w:r>
          </w:p>
        </w:tc>
        <w:tc>
          <w:tcPr>
            <w:tcW w:w="84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76"/>
              <w:jc w:val="right"/>
              <w:rPr>
                <w:rFonts w:ascii="Times New Roman" w:hAnsi="Times New Roman" w:cs="Times New Roman" w:eastAsia="Times New Roman" w:hint="default"/>
                <w:sz w:val="16"/>
                <w:szCs w:val="16"/>
              </w:rPr>
            </w:pPr>
            <w:r>
              <w:rPr>
                <w:rFonts w:ascii="Times New Roman"/>
                <w:spacing w:val="-1"/>
                <w:sz w:val="16"/>
              </w:rPr>
              <w:t>0.83</w:t>
            </w:r>
          </w:p>
        </w:tc>
        <w:tc>
          <w:tcPr>
            <w:tcW w:w="128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5"/>
              <w:jc w:val="right"/>
              <w:rPr>
                <w:rFonts w:ascii="Times New Roman" w:hAnsi="Times New Roman" w:cs="Times New Roman" w:eastAsia="Times New Roman" w:hint="default"/>
                <w:sz w:val="16"/>
                <w:szCs w:val="16"/>
              </w:rPr>
            </w:pPr>
            <w:r>
              <w:rPr>
                <w:rFonts w:ascii="Times New Roman"/>
                <w:spacing w:val="-1"/>
                <w:sz w:val="16"/>
              </w:rPr>
              <w:t>18,879,996.68</w:t>
            </w:r>
          </w:p>
        </w:tc>
        <w:tc>
          <w:tcPr>
            <w:tcW w:w="89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91"/>
              <w:jc w:val="right"/>
              <w:rPr>
                <w:rFonts w:ascii="Times New Roman" w:hAnsi="Times New Roman" w:cs="Times New Roman" w:eastAsia="Times New Roman" w:hint="default"/>
                <w:sz w:val="16"/>
                <w:szCs w:val="16"/>
              </w:rPr>
            </w:pPr>
            <w:r>
              <w:rPr>
                <w:rFonts w:ascii="Times New Roman"/>
                <w:spacing w:val="-1"/>
                <w:sz w:val="16"/>
              </w:rPr>
              <w:t>95.49</w:t>
            </w:r>
          </w:p>
        </w:tc>
        <w:tc>
          <w:tcPr>
            <w:tcW w:w="137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68"/>
              <w:jc w:val="right"/>
              <w:rPr>
                <w:rFonts w:ascii="Times New Roman" w:hAnsi="Times New Roman" w:cs="Times New Roman" w:eastAsia="Times New Roman" w:hint="default"/>
                <w:sz w:val="16"/>
                <w:szCs w:val="16"/>
              </w:rPr>
            </w:pPr>
            <w:r>
              <w:rPr>
                <w:rFonts w:ascii="Times New Roman"/>
                <w:spacing w:val="-1"/>
                <w:sz w:val="16"/>
              </w:rPr>
              <w:t>892,240.29</w:t>
            </w:r>
          </w:p>
        </w:tc>
      </w:tr>
      <w:tr>
        <w:trPr>
          <w:trHeight w:val="431" w:hRule="exact"/>
        </w:trPr>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2"/>
                <w:szCs w:val="12"/>
              </w:rPr>
            </w:pPr>
          </w:p>
          <w:p>
            <w:pPr>
              <w:pStyle w:val="TableParagraph"/>
              <w:spacing w:line="240" w:lineRule="auto"/>
              <w:ind w:right="122"/>
              <w:jc w:val="right"/>
              <w:rPr>
                <w:rFonts w:ascii="Times New Roman" w:hAnsi="Times New Roman" w:cs="Times New Roman" w:eastAsia="Times New Roman" w:hint="default"/>
                <w:sz w:val="16"/>
                <w:szCs w:val="16"/>
              </w:rPr>
            </w:pPr>
            <w:r>
              <w:rPr>
                <w:rFonts w:ascii="Times New Roman"/>
                <w:spacing w:val="-1"/>
                <w:sz w:val="16"/>
              </w:rPr>
              <w:t>3,247,322,009.51</w:t>
            </w:r>
          </w:p>
        </w:tc>
        <w:tc>
          <w:tcPr>
            <w:tcW w:w="78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2"/>
                <w:szCs w:val="12"/>
              </w:rPr>
            </w:pPr>
          </w:p>
          <w:p>
            <w:pPr>
              <w:pStyle w:val="TableParagraph"/>
              <w:spacing w:line="240" w:lineRule="auto"/>
              <w:ind w:right="176"/>
              <w:jc w:val="right"/>
              <w:rPr>
                <w:rFonts w:ascii="Times New Roman" w:hAnsi="Times New Roman" w:cs="Times New Roman" w:eastAsia="Times New Roman" w:hint="default"/>
                <w:sz w:val="16"/>
                <w:szCs w:val="16"/>
              </w:rPr>
            </w:pPr>
            <w:r>
              <w:rPr>
                <w:rFonts w:ascii="Times New Roman"/>
                <w:spacing w:val="-1"/>
                <w:sz w:val="16"/>
              </w:rPr>
              <w:t>100.00</w:t>
            </w:r>
          </w:p>
        </w:tc>
        <w:tc>
          <w:tcPr>
            <w:tcW w:w="128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2"/>
                <w:szCs w:val="12"/>
              </w:rPr>
            </w:pPr>
          </w:p>
          <w:p>
            <w:pPr>
              <w:pStyle w:val="TableParagraph"/>
              <w:spacing w:line="240" w:lineRule="auto"/>
              <w:ind w:right="107"/>
              <w:jc w:val="right"/>
              <w:rPr>
                <w:rFonts w:ascii="Times New Roman" w:hAnsi="Times New Roman" w:cs="Times New Roman" w:eastAsia="Times New Roman" w:hint="default"/>
                <w:sz w:val="16"/>
                <w:szCs w:val="16"/>
              </w:rPr>
            </w:pPr>
            <w:r>
              <w:rPr>
                <w:rFonts w:ascii="Times New Roman"/>
                <w:spacing w:val="-1"/>
                <w:sz w:val="16"/>
              </w:rPr>
              <w:t>280,104,430.62</w:t>
            </w:r>
          </w:p>
        </w:tc>
        <w:tc>
          <w:tcPr>
            <w:tcW w:w="907" w:type="dxa"/>
            <w:tcBorders>
              <w:top w:val="nil" w:sz="6" w:space="0" w:color="auto"/>
              <w:left w:val="nil" w:sz="6" w:space="0" w:color="auto"/>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2"/>
                <w:szCs w:val="12"/>
              </w:rPr>
            </w:pPr>
          </w:p>
          <w:p>
            <w:pPr>
              <w:pStyle w:val="TableParagraph"/>
              <w:spacing w:line="240" w:lineRule="auto"/>
              <w:ind w:right="184"/>
              <w:jc w:val="right"/>
              <w:rPr>
                <w:rFonts w:ascii="Times New Roman" w:hAnsi="Times New Roman" w:cs="Times New Roman" w:eastAsia="Times New Roman" w:hint="default"/>
                <w:sz w:val="16"/>
                <w:szCs w:val="16"/>
              </w:rPr>
            </w:pPr>
            <w:r>
              <w:rPr>
                <w:rFonts w:ascii="Times New Roman"/>
                <w:spacing w:val="-1"/>
                <w:sz w:val="16"/>
              </w:rPr>
              <w:t>2,967,217,578.89</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2"/>
                <w:szCs w:val="12"/>
              </w:rPr>
            </w:pPr>
          </w:p>
          <w:p>
            <w:pPr>
              <w:pStyle w:val="TableParagraph"/>
              <w:spacing w:line="240" w:lineRule="auto"/>
              <w:ind w:right="140"/>
              <w:jc w:val="right"/>
              <w:rPr>
                <w:rFonts w:ascii="Times New Roman" w:hAnsi="Times New Roman" w:cs="Times New Roman" w:eastAsia="Times New Roman" w:hint="default"/>
                <w:sz w:val="16"/>
                <w:szCs w:val="16"/>
              </w:rPr>
            </w:pPr>
            <w:r>
              <w:rPr>
                <w:rFonts w:ascii="Times New Roman"/>
                <w:spacing w:val="-1"/>
                <w:sz w:val="16"/>
              </w:rPr>
              <w:t>2,381,501,199.66</w:t>
            </w:r>
          </w:p>
        </w:tc>
        <w:tc>
          <w:tcPr>
            <w:tcW w:w="84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2"/>
                <w:szCs w:val="12"/>
              </w:rPr>
            </w:pPr>
          </w:p>
          <w:p>
            <w:pPr>
              <w:pStyle w:val="TableParagraph"/>
              <w:spacing w:line="240" w:lineRule="auto"/>
              <w:ind w:right="176"/>
              <w:jc w:val="right"/>
              <w:rPr>
                <w:rFonts w:ascii="Times New Roman" w:hAnsi="Times New Roman" w:cs="Times New Roman" w:eastAsia="Times New Roman" w:hint="default"/>
                <w:sz w:val="16"/>
                <w:szCs w:val="16"/>
              </w:rPr>
            </w:pPr>
            <w:r>
              <w:rPr>
                <w:rFonts w:ascii="Times New Roman"/>
                <w:spacing w:val="-1"/>
                <w:sz w:val="16"/>
              </w:rPr>
              <w:t>100.00</w:t>
            </w:r>
          </w:p>
        </w:tc>
        <w:tc>
          <w:tcPr>
            <w:tcW w:w="128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2"/>
                <w:szCs w:val="12"/>
              </w:rPr>
            </w:pPr>
          </w:p>
          <w:p>
            <w:pPr>
              <w:pStyle w:val="TableParagraph"/>
              <w:spacing w:line="240" w:lineRule="auto"/>
              <w:ind w:right="105"/>
              <w:jc w:val="right"/>
              <w:rPr>
                <w:rFonts w:ascii="Times New Roman" w:hAnsi="Times New Roman" w:cs="Times New Roman" w:eastAsia="Times New Roman" w:hint="default"/>
                <w:sz w:val="16"/>
                <w:szCs w:val="16"/>
              </w:rPr>
            </w:pPr>
            <w:r>
              <w:rPr>
                <w:rFonts w:ascii="Times New Roman"/>
                <w:spacing w:val="-1"/>
                <w:sz w:val="16"/>
              </w:rPr>
              <w:t>209,829,241.33</w:t>
            </w:r>
          </w:p>
        </w:tc>
        <w:tc>
          <w:tcPr>
            <w:tcW w:w="898" w:type="dxa"/>
            <w:tcBorders>
              <w:top w:val="nil" w:sz="6" w:space="0" w:color="auto"/>
              <w:left w:val="nil" w:sz="6" w:space="0" w:color="auto"/>
              <w:bottom w:val="nil" w:sz="6" w:space="0" w:color="auto"/>
              <w:right w:val="nil" w:sz="6" w:space="0" w:color="auto"/>
            </w:tcBorders>
          </w:tcPr>
          <w:p>
            <w:pPr/>
          </w:p>
        </w:tc>
        <w:tc>
          <w:tcPr>
            <w:tcW w:w="137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2"/>
                <w:szCs w:val="12"/>
              </w:rPr>
            </w:pPr>
          </w:p>
          <w:p>
            <w:pPr>
              <w:pStyle w:val="TableParagraph"/>
              <w:spacing w:line="240" w:lineRule="auto"/>
              <w:ind w:right="68"/>
              <w:jc w:val="right"/>
              <w:rPr>
                <w:rFonts w:ascii="Times New Roman" w:hAnsi="Times New Roman" w:cs="Times New Roman" w:eastAsia="Times New Roman" w:hint="default"/>
                <w:sz w:val="16"/>
                <w:szCs w:val="16"/>
              </w:rPr>
            </w:pPr>
            <w:r>
              <w:rPr>
                <w:rFonts w:ascii="Times New Roman"/>
                <w:spacing w:val="-1"/>
                <w:sz w:val="16"/>
              </w:rPr>
              <w:t>2,171,671,958.33</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4"/>
          <w:szCs w:val="14"/>
        </w:rPr>
      </w:pPr>
    </w:p>
    <w:p>
      <w:pPr>
        <w:spacing w:before="44"/>
        <w:ind w:left="6245" w:right="6487" w:firstLine="0"/>
        <w:jc w:val="center"/>
        <w:rPr>
          <w:rFonts w:ascii="宋体" w:hAnsi="宋体" w:cs="宋体" w:eastAsia="宋体" w:hint="default"/>
          <w:sz w:val="18"/>
          <w:szCs w:val="18"/>
        </w:rPr>
      </w:pPr>
      <w:r>
        <w:rPr>
          <w:rFonts w:ascii="宋体" w:hAnsi="宋体" w:cs="宋体" w:eastAsia="宋体" w:hint="default"/>
          <w:sz w:val="18"/>
          <w:szCs w:val="18"/>
        </w:rPr>
        <w:t>财务报表附注第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8"/>
          <w:szCs w:val="18"/>
        </w:rPr>
      </w:pPr>
    </w:p>
    <w:p>
      <w:pPr>
        <w:spacing w:line="371" w:lineRule="exact"/>
        <w:ind w:left="10484" w:right="0" w:firstLine="0"/>
        <w:rPr>
          <w:rFonts w:ascii="宋体" w:hAnsi="宋体" w:cs="宋体" w:eastAsia="宋体" w:hint="default"/>
          <w:sz w:val="20"/>
          <w:szCs w:val="20"/>
        </w:rPr>
      </w:pPr>
      <w:r>
        <w:rPr>
          <w:rFonts w:ascii="宋体" w:hAnsi="宋体" w:cs="宋体" w:eastAsia="宋体" w:hint="default"/>
          <w:position w:val="-6"/>
          <w:sz w:val="20"/>
          <w:szCs w:val="20"/>
        </w:rPr>
        <w:drawing>
          <wp:inline distT="0" distB="0" distL="0" distR="0">
            <wp:extent cx="524065" cy="236029"/>
            <wp:effectExtent l="0" t="0" r="0" b="0"/>
            <wp:docPr id="19" name="image1.jpeg" descr=""/>
            <wp:cNvGraphicFramePr>
              <a:graphicFrameLocks noChangeAspect="1"/>
            </wp:cNvGraphicFramePr>
            <a:graphic>
              <a:graphicData uri="http://schemas.openxmlformats.org/drawingml/2006/picture">
                <pic:pic>
                  <pic:nvPicPr>
                    <pic:cNvPr id="20" name="image1.jpeg"/>
                    <pic:cNvPicPr/>
                  </pic:nvPicPr>
                  <pic:blipFill>
                    <a:blip r:embed="rId79" cstate="print"/>
                    <a:stretch>
                      <a:fillRect/>
                    </a:stretch>
                  </pic:blipFill>
                  <pic:spPr>
                    <a:xfrm>
                      <a:off x="0" y="0"/>
                      <a:ext cx="524065" cy="236029"/>
                    </a:xfrm>
                    <a:prstGeom prst="rect">
                      <a:avLst/>
                    </a:prstGeom>
                  </pic:spPr>
                </pic:pic>
              </a:graphicData>
            </a:graphic>
          </wp:inline>
        </w:drawing>
      </w:r>
      <w:r>
        <w:rPr>
          <w:rFonts w:ascii="宋体" w:hAnsi="宋体" w:cs="宋体" w:eastAsia="宋体" w:hint="default"/>
          <w:position w:val="-6"/>
          <w:sz w:val="20"/>
          <w:szCs w:val="20"/>
        </w:rPr>
      </w:r>
    </w:p>
    <w:p>
      <w:pPr>
        <w:spacing w:after="0" w:line="371" w:lineRule="exact"/>
        <w:rPr>
          <w:rFonts w:ascii="宋体" w:hAnsi="宋体" w:cs="宋体" w:eastAsia="宋体" w:hint="default"/>
          <w:sz w:val="20"/>
          <w:szCs w:val="20"/>
        </w:rPr>
        <w:sectPr>
          <w:headerReference w:type="default" r:id="rId72"/>
          <w:footerReference w:type="default" r:id="rId73"/>
          <w:pgSz w:w="16840" w:h="11910" w:orient="landscape"/>
          <w:pgMar w:header="0" w:footer="0" w:top="1100" w:bottom="0" w:left="1300" w:right="1060"/>
        </w:sectPr>
      </w:pPr>
    </w:p>
    <w:p>
      <w:pPr>
        <w:spacing w:line="240" w:lineRule="auto" w:before="8"/>
        <w:rPr>
          <w:rFonts w:ascii="宋体" w:hAnsi="宋体" w:cs="宋体" w:eastAsia="宋体" w:hint="default"/>
          <w:sz w:val="13"/>
          <w:szCs w:val="13"/>
        </w:rPr>
      </w:pPr>
    </w:p>
    <w:p>
      <w:pPr>
        <w:pStyle w:val="BodyText"/>
        <w:spacing w:line="240" w:lineRule="auto" w:before="35"/>
        <w:ind w:right="3681"/>
        <w:jc w:val="left"/>
      </w:pPr>
      <w:r>
        <w:rPr/>
        <w:pict>
          <v:group style="position:absolute;margin-left:119.010002pt;margin-top:17.133949pt;width:412.25pt;height:183.6pt;mso-position-horizontal-relative:page;mso-position-vertical-relative:paragraph;z-index:-1398184" coordorigin="2380,343" coordsize="8245,3672">
            <v:group style="position:absolute;left:2410;top:358;width:2978;height:2" coordorigin="2410,358" coordsize="2978,2">
              <v:shape style="position:absolute;left:2410;top:358;width:2978;height:2" coordorigin="2410,358" coordsize="2978,0" path="m2410,358l5387,358e" filled="false" stroked="true" strokeweight="1.5pt" strokecolor="#000000">
                <v:path arrowok="t"/>
              </v:shape>
            </v:group>
            <v:group style="position:absolute;left:5387;top:358;width:5211;height:2" coordorigin="5387,358" coordsize="5211,2">
              <v:shape style="position:absolute;left:5387;top:358;width:5211;height:2" coordorigin="5387,358" coordsize="5211,0" path="m5387,358l10597,358e" filled="false" stroked="true" strokeweight="1.5pt" strokecolor="#000000">
                <v:path arrowok="t"/>
              </v:shape>
              <v:shape style="position:absolute;left:5387;top:373;width:10;height:338" type="#_x0000_t75" stroked="false">
                <v:imagedata r:id="rId81" o:title=""/>
              </v:shape>
              <v:shape style="position:absolute;left:5368;top:692;width:5257;height:520" type="#_x0000_t75" stroked="false">
                <v:imagedata r:id="rId82" o:title=""/>
              </v:shape>
            </v:group>
            <v:group style="position:absolute;left:2395;top:4000;width:2992;height:2" coordorigin="2395,4000" coordsize="2992,2">
              <v:shape style="position:absolute;left:2395;top:4000;width:2992;height:2" coordorigin="2395,4000" coordsize="2992,0" path="m2395,4000l5387,4000e" filled="false" stroked="true" strokeweight="1.5pt" strokecolor="#000000">
                <v:path arrowok="t"/>
              </v:shape>
            </v:group>
            <v:group style="position:absolute;left:5387;top:4000;width:1457;height:2" coordorigin="5387,4000" coordsize="1457,2">
              <v:shape style="position:absolute;left:5387;top:4000;width:1457;height:2" coordorigin="5387,4000" coordsize="1457,0" path="m5387,4000l6844,4000e" filled="false" stroked="true" strokeweight="1.5pt" strokecolor="#000000">
                <v:path arrowok="t"/>
              </v:shape>
            </v:group>
            <v:group style="position:absolute;left:6844;top:4000;width:1362;height:2" coordorigin="6844,4000" coordsize="1362,2">
              <v:shape style="position:absolute;left:6844;top:4000;width:1362;height:2" coordorigin="6844,4000" coordsize="1362,0" path="m6844,4000l8206,4000e" filled="false" stroked="true" strokeweight="1.5pt" strokecolor="#000000">
                <v:path arrowok="t"/>
              </v:shape>
            </v:group>
            <v:group style="position:absolute;left:8206;top:4000;width:797;height:2" coordorigin="8206,4000" coordsize="797,2">
              <v:shape style="position:absolute;left:8206;top:4000;width:797;height:2" coordorigin="8206,4000" coordsize="797,0" path="m8206,4000l9002,4000e" filled="false" stroked="true" strokeweight="1.5pt" strokecolor="#000000">
                <v:path arrowok="t"/>
              </v:shape>
              <v:shape style="position:absolute;left:2397;top:1179;width:8222;height:2805" type="#_x0000_t75" stroked="false">
                <v:imagedata r:id="rId83" o:title=""/>
              </v:shape>
            </v:group>
            <v:group style="position:absolute;left:9002;top:4000;width:1595;height:2" coordorigin="9002,4000" coordsize="1595,2">
              <v:shape style="position:absolute;left:9002;top:4000;width:1595;height:2" coordorigin="9002,4000" coordsize="1595,0" path="m9002,4000l10597,4000e" filled="false" stroked="true" strokeweight="1.5pt" strokecolor="#000000">
                <v:path arrowok="t"/>
              </v:shape>
              <v:shape style="position:absolute;left:7673;top:461;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3180;top:701;width:14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应收账款（按单位）</w:t>
                      </w:r>
                      <w:r>
                        <w:rPr>
                          <w:rFonts w:ascii="宋体" w:hAnsi="宋体" w:cs="宋体" w:eastAsia="宋体" w:hint="default"/>
                          <w:sz w:val="16"/>
                          <w:szCs w:val="16"/>
                        </w:rPr>
                      </w:r>
                    </w:p>
                  </w:txbxContent>
                </v:textbox>
                <w10:wrap type="none"/>
              </v:shape>
              <v:shape style="position:absolute;left:5798;top:875;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应收账款</w:t>
                      </w:r>
                      <w:r>
                        <w:rPr>
                          <w:rFonts w:ascii="宋体" w:hAnsi="宋体" w:cs="宋体" w:eastAsia="宋体" w:hint="default"/>
                          <w:sz w:val="16"/>
                          <w:szCs w:val="16"/>
                        </w:rPr>
                      </w:r>
                    </w:p>
                  </w:txbxContent>
                </v:textbox>
                <w10:wrap type="none"/>
              </v:shape>
              <v:shape style="position:absolute;left:7210;top:875;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坏账准备</w:t>
                      </w:r>
                      <w:r>
                        <w:rPr>
                          <w:rFonts w:ascii="宋体" w:hAnsi="宋体" w:cs="宋体" w:eastAsia="宋体" w:hint="default"/>
                          <w:sz w:val="16"/>
                          <w:szCs w:val="16"/>
                        </w:rPr>
                      </w:r>
                    </w:p>
                  </w:txbxContent>
                </v:textbox>
                <w10:wrap type="none"/>
              </v:shape>
              <v:shape style="position:absolute;left:8369;top:772;width:4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计提比</w:t>
                      </w:r>
                      <w:r>
                        <w:rPr>
                          <w:rFonts w:ascii="宋体" w:hAnsi="宋体" w:cs="宋体" w:eastAsia="宋体" w:hint="default"/>
                          <w:sz w:val="16"/>
                          <w:szCs w:val="16"/>
                        </w:rPr>
                      </w:r>
                    </w:p>
                  </w:txbxContent>
                </v:textbox>
                <w10:wrap type="none"/>
              </v:shape>
              <v:shape style="position:absolute;left:9482;top:875;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计提理由</w:t>
                      </w:r>
                      <w:r>
                        <w:rPr>
                          <w:rFonts w:ascii="宋体" w:hAnsi="宋体" w:cs="宋体" w:eastAsia="宋体" w:hint="default"/>
                          <w:sz w:val="16"/>
                          <w:szCs w:val="16"/>
                        </w:rPr>
                      </w:r>
                    </w:p>
                  </w:txbxContent>
                </v:textbox>
                <w10:wrap type="none"/>
              </v:shape>
            </v:group>
            <w10:wrap type="none"/>
          </v:group>
        </w:pict>
      </w:r>
      <w:r>
        <w:rPr/>
        <w:t>期末单项金额重大并单独计提坏账准备的应收账款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1"/>
          <w:szCs w:val="11"/>
        </w:rPr>
      </w:pPr>
    </w:p>
    <w:tbl>
      <w:tblPr>
        <w:tblW w:w="0" w:type="auto"/>
        <w:jc w:val="left"/>
        <w:tblInd w:w="787" w:type="dxa"/>
        <w:tblLayout w:type="fixed"/>
        <w:tblCellMar>
          <w:top w:w="0" w:type="dxa"/>
          <w:left w:w="0" w:type="dxa"/>
          <w:bottom w:w="0" w:type="dxa"/>
          <w:right w:w="0" w:type="dxa"/>
        </w:tblCellMar>
        <w:tblLook w:val="01E0"/>
      </w:tblPr>
      <w:tblGrid>
        <w:gridCol w:w="2920"/>
        <w:gridCol w:w="1595"/>
        <w:gridCol w:w="1249"/>
        <w:gridCol w:w="811"/>
        <w:gridCol w:w="1246"/>
      </w:tblGrid>
      <w:tr>
        <w:trPr>
          <w:trHeight w:val="572" w:hRule="exact"/>
        </w:trPr>
        <w:tc>
          <w:tcPr>
            <w:tcW w:w="292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left="70" w:right="0"/>
              <w:jc w:val="left"/>
              <w:rPr>
                <w:rFonts w:ascii="宋体" w:hAnsi="宋体" w:cs="宋体" w:eastAsia="宋体" w:hint="default"/>
                <w:sz w:val="16"/>
                <w:szCs w:val="16"/>
              </w:rPr>
            </w:pPr>
            <w:r>
              <w:rPr>
                <w:rFonts w:ascii="宋体" w:hAnsi="宋体" w:cs="宋体" w:eastAsia="宋体" w:hint="default"/>
                <w:sz w:val="16"/>
                <w:szCs w:val="16"/>
              </w:rPr>
              <w:t>长信数码信息文化发展有限公司</w:t>
            </w:r>
          </w:p>
        </w:tc>
        <w:tc>
          <w:tcPr>
            <w:tcW w:w="159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right="220"/>
              <w:jc w:val="right"/>
              <w:rPr>
                <w:rFonts w:ascii="Times New Roman" w:hAnsi="Times New Roman" w:cs="Times New Roman" w:eastAsia="Times New Roman" w:hint="default"/>
                <w:sz w:val="16"/>
                <w:szCs w:val="16"/>
              </w:rPr>
            </w:pPr>
            <w:r>
              <w:rPr>
                <w:rFonts w:ascii="Times New Roman"/>
                <w:spacing w:val="-1"/>
                <w:sz w:val="16"/>
              </w:rPr>
              <w:t>11,861,278.00</w:t>
            </w:r>
          </w:p>
        </w:tc>
        <w:tc>
          <w:tcPr>
            <w:tcW w:w="124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right="106"/>
              <w:jc w:val="right"/>
              <w:rPr>
                <w:rFonts w:ascii="Times New Roman" w:hAnsi="Times New Roman" w:cs="Times New Roman" w:eastAsia="Times New Roman" w:hint="default"/>
                <w:sz w:val="16"/>
                <w:szCs w:val="16"/>
              </w:rPr>
            </w:pPr>
            <w:r>
              <w:rPr>
                <w:rFonts w:ascii="Times New Roman"/>
                <w:spacing w:val="-1"/>
                <w:sz w:val="16"/>
              </w:rPr>
              <w:t>11,861,278.00</w:t>
            </w:r>
          </w:p>
        </w:tc>
        <w:tc>
          <w:tcPr>
            <w:tcW w:w="811" w:type="dxa"/>
            <w:tcBorders>
              <w:top w:val="nil" w:sz="6" w:space="0" w:color="auto"/>
              <w:left w:val="nil" w:sz="6" w:space="0" w:color="auto"/>
              <w:bottom w:val="nil" w:sz="6" w:space="0" w:color="auto"/>
              <w:right w:val="nil" w:sz="6" w:space="0" w:color="auto"/>
            </w:tcBorders>
          </w:tcPr>
          <w:p>
            <w:pPr>
              <w:pStyle w:val="TableParagraph"/>
              <w:spacing w:line="172" w:lineRule="exact"/>
              <w:ind w:left="246" w:right="0" w:hanging="141"/>
              <w:jc w:val="left"/>
              <w:rPr>
                <w:rFonts w:ascii="宋体" w:hAnsi="宋体" w:cs="宋体" w:eastAsia="宋体" w:hint="default"/>
                <w:sz w:val="16"/>
                <w:szCs w:val="16"/>
              </w:rPr>
            </w:pPr>
            <w:r>
              <w:rPr>
                <w:rFonts w:ascii="宋体" w:hAnsi="宋体" w:cs="宋体" w:eastAsia="宋体" w:hint="default"/>
                <w:sz w:val="16"/>
                <w:szCs w:val="16"/>
              </w:rPr>
              <w:t>例（</w:t>
            </w:r>
            <w:r>
              <w:rPr>
                <w:rFonts w:ascii="Times New Roman" w:hAnsi="Times New Roman" w:cs="Times New Roman" w:eastAsia="Times New Roman" w:hint="default"/>
                <w:sz w:val="16"/>
                <w:szCs w:val="16"/>
              </w:rPr>
              <w:t>%</w:t>
            </w:r>
            <w:r>
              <w:rPr>
                <w:rFonts w:ascii="宋体" w:hAnsi="宋体" w:cs="宋体" w:eastAsia="宋体" w:hint="default"/>
                <w:sz w:val="16"/>
                <w:szCs w:val="16"/>
              </w:rPr>
              <w:t>）</w:t>
            </w:r>
          </w:p>
          <w:p>
            <w:pPr>
              <w:pStyle w:val="TableParagraph"/>
              <w:spacing w:line="240" w:lineRule="auto" w:before="131"/>
              <w:ind w:left="246" w:right="0"/>
              <w:jc w:val="left"/>
              <w:rPr>
                <w:rFonts w:ascii="Times New Roman" w:hAnsi="Times New Roman" w:cs="Times New Roman" w:eastAsia="Times New Roman" w:hint="default"/>
                <w:sz w:val="16"/>
                <w:szCs w:val="16"/>
              </w:rPr>
            </w:pPr>
            <w:r>
              <w:rPr>
                <w:rFonts w:ascii="Times New Roman"/>
                <w:sz w:val="16"/>
              </w:rPr>
              <w:t>100.00</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right="33"/>
              <w:jc w:val="right"/>
              <w:rPr>
                <w:rFonts w:ascii="宋体" w:hAnsi="宋体" w:cs="宋体" w:eastAsia="宋体" w:hint="default"/>
                <w:sz w:val="16"/>
                <w:szCs w:val="16"/>
              </w:rPr>
            </w:pPr>
            <w:r>
              <w:rPr>
                <w:rFonts w:ascii="宋体" w:hAnsi="宋体" w:cs="宋体" w:eastAsia="宋体" w:hint="default"/>
                <w:w w:val="95"/>
                <w:sz w:val="16"/>
                <w:szCs w:val="16"/>
              </w:rPr>
              <w:t>收回可能性极小</w:t>
            </w:r>
            <w:r>
              <w:rPr>
                <w:rFonts w:ascii="宋体" w:hAnsi="宋体" w:cs="宋体" w:eastAsia="宋体" w:hint="default"/>
                <w:sz w:val="16"/>
                <w:szCs w:val="16"/>
              </w:rPr>
            </w:r>
          </w:p>
        </w:tc>
      </w:tr>
      <w:tr>
        <w:trPr>
          <w:trHeight w:val="349" w:hRule="exact"/>
        </w:trPr>
        <w:tc>
          <w:tcPr>
            <w:tcW w:w="2920" w:type="dxa"/>
            <w:tcBorders>
              <w:top w:val="nil" w:sz="6" w:space="0" w:color="auto"/>
              <w:left w:val="nil" w:sz="6" w:space="0" w:color="auto"/>
              <w:bottom w:val="nil" w:sz="6" w:space="0" w:color="auto"/>
              <w:right w:val="nil" w:sz="6" w:space="0" w:color="auto"/>
            </w:tcBorders>
          </w:tcPr>
          <w:p>
            <w:pPr>
              <w:pStyle w:val="TableParagraph"/>
              <w:spacing w:line="240" w:lineRule="auto" w:before="80"/>
              <w:ind w:left="70" w:right="0"/>
              <w:jc w:val="left"/>
              <w:rPr>
                <w:rFonts w:ascii="Times New Roman" w:hAnsi="Times New Roman" w:cs="Times New Roman" w:eastAsia="Times New Roman" w:hint="default"/>
                <w:sz w:val="16"/>
                <w:szCs w:val="16"/>
              </w:rPr>
            </w:pPr>
            <w:r>
              <w:rPr>
                <w:rFonts w:ascii="Times New Roman"/>
                <w:sz w:val="16"/>
              </w:rPr>
              <w:t>Big Lots,</w:t>
            </w:r>
            <w:r>
              <w:rPr>
                <w:rFonts w:ascii="Times New Roman"/>
                <w:spacing w:val="-5"/>
                <w:sz w:val="16"/>
              </w:rPr>
              <w:t> </w:t>
            </w:r>
            <w:r>
              <w:rPr>
                <w:rFonts w:ascii="Times New Roman"/>
                <w:sz w:val="16"/>
              </w:rPr>
              <w:t>Inc.</w:t>
            </w:r>
          </w:p>
        </w:tc>
        <w:tc>
          <w:tcPr>
            <w:tcW w:w="1595"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19"/>
              <w:jc w:val="right"/>
              <w:rPr>
                <w:rFonts w:ascii="Times New Roman" w:hAnsi="Times New Roman" w:cs="Times New Roman" w:eastAsia="Times New Roman" w:hint="default"/>
                <w:sz w:val="16"/>
                <w:szCs w:val="16"/>
              </w:rPr>
            </w:pPr>
            <w:r>
              <w:rPr>
                <w:rFonts w:ascii="Times New Roman"/>
                <w:spacing w:val="-1"/>
                <w:sz w:val="16"/>
              </w:rPr>
              <w:t>10,635,939.13</w:t>
            </w:r>
          </w:p>
        </w:tc>
        <w:tc>
          <w:tcPr>
            <w:tcW w:w="1249"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5"/>
              <w:jc w:val="right"/>
              <w:rPr>
                <w:rFonts w:ascii="Times New Roman" w:hAnsi="Times New Roman" w:cs="Times New Roman" w:eastAsia="Times New Roman" w:hint="default"/>
                <w:sz w:val="16"/>
                <w:szCs w:val="16"/>
              </w:rPr>
            </w:pPr>
            <w:r>
              <w:rPr>
                <w:rFonts w:ascii="Times New Roman"/>
                <w:spacing w:val="-1"/>
                <w:sz w:val="16"/>
              </w:rPr>
              <w:t>10,635,939.13</w:t>
            </w:r>
          </w:p>
        </w:tc>
        <w:tc>
          <w:tcPr>
            <w:tcW w:w="811"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19"/>
              <w:jc w:val="right"/>
              <w:rPr>
                <w:rFonts w:ascii="Times New Roman" w:hAnsi="Times New Roman" w:cs="Times New Roman" w:eastAsia="Times New Roman" w:hint="default"/>
                <w:sz w:val="16"/>
                <w:szCs w:val="16"/>
              </w:rPr>
            </w:pPr>
            <w:r>
              <w:rPr>
                <w:rFonts w:ascii="Times New Roman"/>
                <w:spacing w:val="-1"/>
                <w:sz w:val="16"/>
              </w:rPr>
              <w:t>100.00</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3"/>
              <w:jc w:val="right"/>
              <w:rPr>
                <w:rFonts w:ascii="宋体" w:hAnsi="宋体" w:cs="宋体" w:eastAsia="宋体" w:hint="default"/>
                <w:sz w:val="16"/>
                <w:szCs w:val="16"/>
              </w:rPr>
            </w:pPr>
            <w:r>
              <w:rPr>
                <w:rFonts w:ascii="宋体" w:hAnsi="宋体" w:cs="宋体" w:eastAsia="宋体" w:hint="default"/>
                <w:w w:val="95"/>
                <w:sz w:val="16"/>
                <w:szCs w:val="16"/>
              </w:rPr>
              <w:t>收回可能性极小</w:t>
            </w:r>
            <w:r>
              <w:rPr>
                <w:rFonts w:ascii="宋体" w:hAnsi="宋体" w:cs="宋体" w:eastAsia="宋体" w:hint="default"/>
                <w:sz w:val="16"/>
                <w:szCs w:val="16"/>
              </w:rPr>
            </w:r>
          </w:p>
        </w:tc>
      </w:tr>
      <w:tr>
        <w:trPr>
          <w:trHeight w:val="349" w:hRule="exact"/>
        </w:trPr>
        <w:tc>
          <w:tcPr>
            <w:tcW w:w="292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宋体" w:hAnsi="宋体" w:cs="宋体" w:eastAsia="宋体" w:hint="default"/>
                <w:sz w:val="16"/>
                <w:szCs w:val="16"/>
              </w:rPr>
              <w:t>深圳市广鑫融进出口贸易有限公司</w:t>
            </w:r>
          </w:p>
        </w:tc>
        <w:tc>
          <w:tcPr>
            <w:tcW w:w="1595"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20"/>
              <w:jc w:val="right"/>
              <w:rPr>
                <w:rFonts w:ascii="Times New Roman" w:hAnsi="Times New Roman" w:cs="Times New Roman" w:eastAsia="Times New Roman" w:hint="default"/>
                <w:sz w:val="16"/>
                <w:szCs w:val="16"/>
              </w:rPr>
            </w:pPr>
            <w:r>
              <w:rPr>
                <w:rFonts w:ascii="Times New Roman"/>
                <w:spacing w:val="-1"/>
                <w:sz w:val="16"/>
              </w:rPr>
              <w:t>6,288,540.00</w:t>
            </w:r>
          </w:p>
        </w:tc>
        <w:tc>
          <w:tcPr>
            <w:tcW w:w="1249"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6"/>
              <w:jc w:val="right"/>
              <w:rPr>
                <w:rFonts w:ascii="Times New Roman" w:hAnsi="Times New Roman" w:cs="Times New Roman" w:eastAsia="Times New Roman" w:hint="default"/>
                <w:sz w:val="16"/>
                <w:szCs w:val="16"/>
              </w:rPr>
            </w:pPr>
            <w:r>
              <w:rPr>
                <w:rFonts w:ascii="Times New Roman"/>
                <w:spacing w:val="-1"/>
                <w:sz w:val="16"/>
              </w:rPr>
              <w:t>6,288,540.00</w:t>
            </w:r>
          </w:p>
        </w:tc>
        <w:tc>
          <w:tcPr>
            <w:tcW w:w="811"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20"/>
              <w:jc w:val="right"/>
              <w:rPr>
                <w:rFonts w:ascii="Times New Roman" w:hAnsi="Times New Roman" w:cs="Times New Roman" w:eastAsia="Times New Roman" w:hint="default"/>
                <w:sz w:val="16"/>
                <w:szCs w:val="16"/>
              </w:rPr>
            </w:pPr>
            <w:r>
              <w:rPr>
                <w:rFonts w:ascii="Times New Roman"/>
                <w:spacing w:val="-1"/>
                <w:sz w:val="16"/>
              </w:rPr>
              <w:t>100.00</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3"/>
              <w:jc w:val="right"/>
              <w:rPr>
                <w:rFonts w:ascii="宋体" w:hAnsi="宋体" w:cs="宋体" w:eastAsia="宋体" w:hint="default"/>
                <w:sz w:val="16"/>
                <w:szCs w:val="16"/>
              </w:rPr>
            </w:pPr>
            <w:r>
              <w:rPr>
                <w:rFonts w:ascii="宋体" w:hAnsi="宋体" w:cs="宋体" w:eastAsia="宋体" w:hint="default"/>
                <w:w w:val="95"/>
                <w:sz w:val="16"/>
                <w:szCs w:val="16"/>
              </w:rPr>
              <w:t>收回可能性极小</w:t>
            </w:r>
            <w:r>
              <w:rPr>
                <w:rFonts w:ascii="宋体" w:hAnsi="宋体" w:cs="宋体" w:eastAsia="宋体" w:hint="default"/>
                <w:sz w:val="16"/>
                <w:szCs w:val="16"/>
              </w:rPr>
            </w:r>
          </w:p>
        </w:tc>
      </w:tr>
      <w:tr>
        <w:trPr>
          <w:trHeight w:val="349" w:hRule="exact"/>
        </w:trPr>
        <w:tc>
          <w:tcPr>
            <w:tcW w:w="292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宋体" w:hAnsi="宋体" w:cs="宋体" w:eastAsia="宋体" w:hint="default"/>
                <w:sz w:val="16"/>
                <w:szCs w:val="16"/>
              </w:rPr>
              <w:t>波士顿电池（江苏）有限公司</w:t>
            </w:r>
          </w:p>
        </w:tc>
        <w:tc>
          <w:tcPr>
            <w:tcW w:w="1595"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20"/>
              <w:jc w:val="right"/>
              <w:rPr>
                <w:rFonts w:ascii="Times New Roman" w:hAnsi="Times New Roman" w:cs="Times New Roman" w:eastAsia="Times New Roman" w:hint="default"/>
                <w:sz w:val="16"/>
                <w:szCs w:val="16"/>
              </w:rPr>
            </w:pPr>
            <w:r>
              <w:rPr>
                <w:rFonts w:ascii="Times New Roman"/>
                <w:spacing w:val="-1"/>
                <w:sz w:val="16"/>
              </w:rPr>
              <w:t>5,183,600.00</w:t>
            </w:r>
          </w:p>
        </w:tc>
        <w:tc>
          <w:tcPr>
            <w:tcW w:w="1249"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6"/>
              <w:jc w:val="right"/>
              <w:rPr>
                <w:rFonts w:ascii="Times New Roman" w:hAnsi="Times New Roman" w:cs="Times New Roman" w:eastAsia="Times New Roman" w:hint="default"/>
                <w:sz w:val="16"/>
                <w:szCs w:val="16"/>
              </w:rPr>
            </w:pPr>
            <w:r>
              <w:rPr>
                <w:rFonts w:ascii="Times New Roman"/>
                <w:spacing w:val="-1"/>
                <w:sz w:val="16"/>
              </w:rPr>
              <w:t>5,183,600.00</w:t>
            </w:r>
          </w:p>
        </w:tc>
        <w:tc>
          <w:tcPr>
            <w:tcW w:w="811"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20"/>
              <w:jc w:val="right"/>
              <w:rPr>
                <w:rFonts w:ascii="Times New Roman" w:hAnsi="Times New Roman" w:cs="Times New Roman" w:eastAsia="Times New Roman" w:hint="default"/>
                <w:sz w:val="16"/>
                <w:szCs w:val="16"/>
              </w:rPr>
            </w:pPr>
            <w:r>
              <w:rPr>
                <w:rFonts w:ascii="Times New Roman"/>
                <w:spacing w:val="-1"/>
                <w:sz w:val="16"/>
              </w:rPr>
              <w:t>100.00</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3"/>
              <w:jc w:val="right"/>
              <w:rPr>
                <w:rFonts w:ascii="宋体" w:hAnsi="宋体" w:cs="宋体" w:eastAsia="宋体" w:hint="default"/>
                <w:sz w:val="16"/>
                <w:szCs w:val="16"/>
              </w:rPr>
            </w:pPr>
            <w:r>
              <w:rPr>
                <w:rFonts w:ascii="宋体" w:hAnsi="宋体" w:cs="宋体" w:eastAsia="宋体" w:hint="default"/>
                <w:w w:val="95"/>
                <w:sz w:val="16"/>
                <w:szCs w:val="16"/>
              </w:rPr>
              <w:t>收回可能性极小</w:t>
            </w:r>
            <w:r>
              <w:rPr>
                <w:rFonts w:ascii="宋体" w:hAnsi="宋体" w:cs="宋体" w:eastAsia="宋体" w:hint="default"/>
                <w:sz w:val="16"/>
                <w:szCs w:val="16"/>
              </w:rPr>
            </w:r>
          </w:p>
        </w:tc>
      </w:tr>
      <w:tr>
        <w:trPr>
          <w:trHeight w:val="349" w:hRule="exact"/>
        </w:trPr>
        <w:tc>
          <w:tcPr>
            <w:tcW w:w="2920" w:type="dxa"/>
            <w:tcBorders>
              <w:top w:val="nil" w:sz="6" w:space="0" w:color="auto"/>
              <w:left w:val="nil" w:sz="6" w:space="0" w:color="auto"/>
              <w:bottom w:val="nil" w:sz="6" w:space="0" w:color="auto"/>
              <w:right w:val="nil" w:sz="6" w:space="0" w:color="auto"/>
            </w:tcBorders>
          </w:tcPr>
          <w:p>
            <w:pPr>
              <w:pStyle w:val="TableParagraph"/>
              <w:spacing w:line="240" w:lineRule="auto" w:before="80"/>
              <w:ind w:left="70" w:right="0"/>
              <w:jc w:val="left"/>
              <w:rPr>
                <w:rFonts w:ascii="Times New Roman" w:hAnsi="Times New Roman" w:cs="Times New Roman" w:eastAsia="Times New Roman" w:hint="default"/>
                <w:sz w:val="16"/>
                <w:szCs w:val="16"/>
              </w:rPr>
            </w:pPr>
            <w:r>
              <w:rPr>
                <w:rFonts w:ascii="Times New Roman"/>
                <w:sz w:val="16"/>
              </w:rPr>
              <w:t>Diablotek International</w:t>
            </w:r>
            <w:r>
              <w:rPr>
                <w:rFonts w:ascii="Times New Roman"/>
                <w:spacing w:val="-9"/>
                <w:sz w:val="16"/>
              </w:rPr>
              <w:t> </w:t>
            </w:r>
            <w:r>
              <w:rPr>
                <w:rFonts w:ascii="Times New Roman"/>
                <w:sz w:val="16"/>
              </w:rPr>
              <w:t>Inc.</w:t>
            </w:r>
          </w:p>
        </w:tc>
        <w:tc>
          <w:tcPr>
            <w:tcW w:w="1595"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17"/>
              <w:jc w:val="right"/>
              <w:rPr>
                <w:rFonts w:ascii="Times New Roman" w:hAnsi="Times New Roman" w:cs="Times New Roman" w:eastAsia="Times New Roman" w:hint="default"/>
                <w:sz w:val="16"/>
                <w:szCs w:val="16"/>
              </w:rPr>
            </w:pPr>
            <w:r>
              <w:rPr>
                <w:rFonts w:ascii="Times New Roman"/>
                <w:spacing w:val="-1"/>
                <w:sz w:val="16"/>
              </w:rPr>
              <w:t>4,661,728.33</w:t>
            </w:r>
          </w:p>
        </w:tc>
        <w:tc>
          <w:tcPr>
            <w:tcW w:w="1249"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4"/>
              <w:jc w:val="right"/>
              <w:rPr>
                <w:rFonts w:ascii="Times New Roman" w:hAnsi="Times New Roman" w:cs="Times New Roman" w:eastAsia="Times New Roman" w:hint="default"/>
                <w:sz w:val="16"/>
                <w:szCs w:val="16"/>
              </w:rPr>
            </w:pPr>
            <w:r>
              <w:rPr>
                <w:rFonts w:ascii="Times New Roman"/>
                <w:spacing w:val="-1"/>
                <w:sz w:val="16"/>
              </w:rPr>
              <w:t>4,661,728.33</w:t>
            </w:r>
          </w:p>
        </w:tc>
        <w:tc>
          <w:tcPr>
            <w:tcW w:w="811"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18"/>
              <w:jc w:val="right"/>
              <w:rPr>
                <w:rFonts w:ascii="Times New Roman" w:hAnsi="Times New Roman" w:cs="Times New Roman" w:eastAsia="Times New Roman" w:hint="default"/>
                <w:sz w:val="16"/>
                <w:szCs w:val="16"/>
              </w:rPr>
            </w:pPr>
            <w:r>
              <w:rPr>
                <w:rFonts w:ascii="Times New Roman"/>
                <w:spacing w:val="-1"/>
                <w:sz w:val="16"/>
              </w:rPr>
              <w:t>100.00</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3"/>
              <w:jc w:val="right"/>
              <w:rPr>
                <w:rFonts w:ascii="宋体" w:hAnsi="宋体" w:cs="宋体" w:eastAsia="宋体" w:hint="default"/>
                <w:sz w:val="16"/>
                <w:szCs w:val="16"/>
              </w:rPr>
            </w:pPr>
            <w:r>
              <w:rPr>
                <w:rFonts w:ascii="宋体" w:hAnsi="宋体" w:cs="宋体" w:eastAsia="宋体" w:hint="default"/>
                <w:w w:val="95"/>
                <w:sz w:val="16"/>
                <w:szCs w:val="16"/>
              </w:rPr>
              <w:t>收回可能性极小</w:t>
            </w:r>
            <w:r>
              <w:rPr>
                <w:rFonts w:ascii="宋体" w:hAnsi="宋体" w:cs="宋体" w:eastAsia="宋体" w:hint="default"/>
                <w:sz w:val="16"/>
                <w:szCs w:val="16"/>
              </w:rPr>
            </w:r>
          </w:p>
        </w:tc>
      </w:tr>
      <w:tr>
        <w:trPr>
          <w:trHeight w:val="349" w:hRule="exact"/>
        </w:trPr>
        <w:tc>
          <w:tcPr>
            <w:tcW w:w="2920" w:type="dxa"/>
            <w:tcBorders>
              <w:top w:val="nil" w:sz="6" w:space="0" w:color="auto"/>
              <w:left w:val="nil" w:sz="6" w:space="0" w:color="auto"/>
              <w:bottom w:val="nil" w:sz="6" w:space="0" w:color="auto"/>
              <w:right w:val="nil" w:sz="6" w:space="0" w:color="auto"/>
            </w:tcBorders>
          </w:tcPr>
          <w:p>
            <w:pPr>
              <w:pStyle w:val="TableParagraph"/>
              <w:spacing w:line="240" w:lineRule="auto" w:before="81"/>
              <w:ind w:left="70" w:right="0"/>
              <w:jc w:val="left"/>
              <w:rPr>
                <w:rFonts w:ascii="Times New Roman" w:hAnsi="Times New Roman" w:cs="Times New Roman" w:eastAsia="Times New Roman" w:hint="default"/>
                <w:sz w:val="16"/>
                <w:szCs w:val="16"/>
              </w:rPr>
            </w:pPr>
            <w:r>
              <w:rPr>
                <w:rFonts w:ascii="Times New Roman"/>
                <w:sz w:val="16"/>
              </w:rPr>
              <w:t>Best Buy Company</w:t>
            </w:r>
            <w:r>
              <w:rPr>
                <w:rFonts w:ascii="Times New Roman"/>
                <w:spacing w:val="-7"/>
                <w:sz w:val="16"/>
              </w:rPr>
              <w:t> </w:t>
            </w:r>
            <w:r>
              <w:rPr>
                <w:rFonts w:ascii="Times New Roman"/>
                <w:sz w:val="16"/>
              </w:rPr>
              <w:t>Inc.</w:t>
            </w:r>
          </w:p>
        </w:tc>
        <w:tc>
          <w:tcPr>
            <w:tcW w:w="159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19"/>
              <w:jc w:val="right"/>
              <w:rPr>
                <w:rFonts w:ascii="Times New Roman" w:hAnsi="Times New Roman" w:cs="Times New Roman" w:eastAsia="Times New Roman" w:hint="default"/>
                <w:sz w:val="16"/>
                <w:szCs w:val="16"/>
              </w:rPr>
            </w:pPr>
            <w:r>
              <w:rPr>
                <w:rFonts w:ascii="Times New Roman"/>
                <w:spacing w:val="-1"/>
                <w:sz w:val="16"/>
              </w:rPr>
              <w:t>2,647,789.62</w:t>
            </w:r>
          </w:p>
        </w:tc>
        <w:tc>
          <w:tcPr>
            <w:tcW w:w="1249"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5"/>
              <w:jc w:val="right"/>
              <w:rPr>
                <w:rFonts w:ascii="Times New Roman" w:hAnsi="Times New Roman" w:cs="Times New Roman" w:eastAsia="Times New Roman" w:hint="default"/>
                <w:sz w:val="16"/>
                <w:szCs w:val="16"/>
              </w:rPr>
            </w:pPr>
            <w:r>
              <w:rPr>
                <w:rFonts w:ascii="Times New Roman"/>
                <w:spacing w:val="-1"/>
                <w:sz w:val="16"/>
              </w:rPr>
              <w:t>2,647,789.62</w:t>
            </w:r>
          </w:p>
        </w:tc>
        <w:tc>
          <w:tcPr>
            <w:tcW w:w="81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19"/>
              <w:jc w:val="right"/>
              <w:rPr>
                <w:rFonts w:ascii="Times New Roman" w:hAnsi="Times New Roman" w:cs="Times New Roman" w:eastAsia="Times New Roman" w:hint="default"/>
                <w:sz w:val="16"/>
                <w:szCs w:val="16"/>
              </w:rPr>
            </w:pPr>
            <w:r>
              <w:rPr>
                <w:rFonts w:ascii="Times New Roman"/>
                <w:spacing w:val="-1"/>
                <w:sz w:val="16"/>
              </w:rPr>
              <w:t>100.00</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33"/>
              <w:jc w:val="right"/>
              <w:rPr>
                <w:rFonts w:ascii="宋体" w:hAnsi="宋体" w:cs="宋体" w:eastAsia="宋体" w:hint="default"/>
                <w:sz w:val="16"/>
                <w:szCs w:val="16"/>
              </w:rPr>
            </w:pPr>
            <w:r>
              <w:rPr>
                <w:rFonts w:ascii="宋体" w:hAnsi="宋体" w:cs="宋体" w:eastAsia="宋体" w:hint="default"/>
                <w:w w:val="95"/>
                <w:sz w:val="16"/>
                <w:szCs w:val="16"/>
              </w:rPr>
              <w:t>收回可能性极小</w:t>
            </w:r>
            <w:r>
              <w:rPr>
                <w:rFonts w:ascii="宋体" w:hAnsi="宋体" w:cs="宋体" w:eastAsia="宋体" w:hint="default"/>
                <w:sz w:val="16"/>
                <w:szCs w:val="16"/>
              </w:rPr>
            </w:r>
          </w:p>
        </w:tc>
      </w:tr>
      <w:tr>
        <w:trPr>
          <w:trHeight w:val="349" w:hRule="exact"/>
        </w:trPr>
        <w:tc>
          <w:tcPr>
            <w:tcW w:w="2920" w:type="dxa"/>
            <w:tcBorders>
              <w:top w:val="nil" w:sz="6" w:space="0" w:color="auto"/>
              <w:left w:val="nil" w:sz="6" w:space="0" w:color="auto"/>
              <w:bottom w:val="nil" w:sz="6" w:space="0" w:color="auto"/>
              <w:right w:val="nil" w:sz="6" w:space="0" w:color="auto"/>
            </w:tcBorders>
          </w:tcPr>
          <w:p>
            <w:pPr>
              <w:pStyle w:val="TableParagraph"/>
              <w:spacing w:line="240" w:lineRule="auto" w:before="80"/>
              <w:ind w:left="70" w:right="0"/>
              <w:jc w:val="left"/>
              <w:rPr>
                <w:rFonts w:ascii="Times New Roman" w:hAnsi="Times New Roman" w:cs="Times New Roman" w:eastAsia="Times New Roman" w:hint="default"/>
                <w:sz w:val="16"/>
                <w:szCs w:val="16"/>
              </w:rPr>
            </w:pPr>
            <w:r>
              <w:rPr>
                <w:rFonts w:ascii="Times New Roman"/>
                <w:sz w:val="16"/>
              </w:rPr>
              <w:t>PRO COM PRODUCTS</w:t>
            </w:r>
            <w:r>
              <w:rPr>
                <w:rFonts w:ascii="Times New Roman"/>
                <w:spacing w:val="-8"/>
                <w:sz w:val="16"/>
              </w:rPr>
              <w:t> </w:t>
            </w:r>
            <w:r>
              <w:rPr>
                <w:rFonts w:ascii="Times New Roman"/>
                <w:sz w:val="16"/>
              </w:rPr>
              <w:t>INC</w:t>
            </w:r>
          </w:p>
        </w:tc>
        <w:tc>
          <w:tcPr>
            <w:tcW w:w="1595"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18"/>
              <w:jc w:val="right"/>
              <w:rPr>
                <w:rFonts w:ascii="Times New Roman" w:hAnsi="Times New Roman" w:cs="Times New Roman" w:eastAsia="Times New Roman" w:hint="default"/>
                <w:sz w:val="16"/>
                <w:szCs w:val="16"/>
              </w:rPr>
            </w:pPr>
            <w:r>
              <w:rPr>
                <w:rFonts w:ascii="Times New Roman"/>
                <w:spacing w:val="-1"/>
                <w:sz w:val="16"/>
              </w:rPr>
              <w:t>2,400,019.86</w:t>
            </w:r>
          </w:p>
        </w:tc>
        <w:tc>
          <w:tcPr>
            <w:tcW w:w="1249"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5"/>
              <w:jc w:val="right"/>
              <w:rPr>
                <w:rFonts w:ascii="Times New Roman" w:hAnsi="Times New Roman" w:cs="Times New Roman" w:eastAsia="Times New Roman" w:hint="default"/>
                <w:sz w:val="16"/>
                <w:szCs w:val="16"/>
              </w:rPr>
            </w:pPr>
            <w:r>
              <w:rPr>
                <w:rFonts w:ascii="Times New Roman"/>
                <w:spacing w:val="-1"/>
                <w:sz w:val="16"/>
              </w:rPr>
              <w:t>2,400,019.86</w:t>
            </w:r>
          </w:p>
        </w:tc>
        <w:tc>
          <w:tcPr>
            <w:tcW w:w="811"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19"/>
              <w:jc w:val="right"/>
              <w:rPr>
                <w:rFonts w:ascii="Times New Roman" w:hAnsi="Times New Roman" w:cs="Times New Roman" w:eastAsia="Times New Roman" w:hint="default"/>
                <w:sz w:val="16"/>
                <w:szCs w:val="16"/>
              </w:rPr>
            </w:pPr>
            <w:r>
              <w:rPr>
                <w:rFonts w:ascii="Times New Roman"/>
                <w:spacing w:val="-1"/>
                <w:sz w:val="16"/>
              </w:rPr>
              <w:t>100.00</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33"/>
              <w:jc w:val="right"/>
              <w:rPr>
                <w:rFonts w:ascii="宋体" w:hAnsi="宋体" w:cs="宋体" w:eastAsia="宋体" w:hint="default"/>
                <w:sz w:val="16"/>
                <w:szCs w:val="16"/>
              </w:rPr>
            </w:pPr>
            <w:r>
              <w:rPr>
                <w:rFonts w:ascii="宋体" w:hAnsi="宋体" w:cs="宋体" w:eastAsia="宋体" w:hint="default"/>
                <w:w w:val="95"/>
                <w:sz w:val="16"/>
                <w:szCs w:val="16"/>
              </w:rPr>
              <w:t>收回可能性极小</w:t>
            </w:r>
            <w:r>
              <w:rPr>
                <w:rFonts w:ascii="宋体" w:hAnsi="宋体" w:cs="宋体" w:eastAsia="宋体" w:hint="default"/>
                <w:sz w:val="16"/>
                <w:szCs w:val="16"/>
              </w:rPr>
            </w:r>
          </w:p>
        </w:tc>
      </w:tr>
      <w:tr>
        <w:trPr>
          <w:trHeight w:val="354" w:hRule="exact"/>
        </w:trPr>
        <w:tc>
          <w:tcPr>
            <w:tcW w:w="292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3"/>
              <w:jc w:val="center"/>
              <w:rPr>
                <w:rFonts w:ascii="宋体" w:hAnsi="宋体" w:cs="宋体" w:eastAsia="宋体" w:hint="default"/>
                <w:sz w:val="16"/>
                <w:szCs w:val="16"/>
              </w:rPr>
            </w:pPr>
            <w:r>
              <w:rPr>
                <w:rFonts w:ascii="宋体" w:hAnsi="宋体" w:cs="宋体" w:eastAsia="宋体" w:hint="default"/>
                <w:sz w:val="16"/>
                <w:szCs w:val="16"/>
              </w:rPr>
              <w:t>合计</w:t>
            </w:r>
          </w:p>
        </w:tc>
        <w:tc>
          <w:tcPr>
            <w:tcW w:w="1595"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20"/>
              <w:jc w:val="right"/>
              <w:rPr>
                <w:rFonts w:ascii="Times New Roman" w:hAnsi="Times New Roman" w:cs="Times New Roman" w:eastAsia="Times New Roman" w:hint="default"/>
                <w:sz w:val="16"/>
                <w:szCs w:val="16"/>
              </w:rPr>
            </w:pPr>
            <w:r>
              <w:rPr>
                <w:rFonts w:ascii="Times New Roman"/>
                <w:spacing w:val="-1"/>
                <w:sz w:val="16"/>
              </w:rPr>
              <w:t>43,678,894.94</w:t>
            </w:r>
          </w:p>
        </w:tc>
        <w:tc>
          <w:tcPr>
            <w:tcW w:w="1249"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6"/>
              <w:jc w:val="right"/>
              <w:rPr>
                <w:rFonts w:ascii="Times New Roman" w:hAnsi="Times New Roman" w:cs="Times New Roman" w:eastAsia="Times New Roman" w:hint="default"/>
                <w:sz w:val="16"/>
                <w:szCs w:val="16"/>
              </w:rPr>
            </w:pPr>
            <w:r>
              <w:rPr>
                <w:rFonts w:ascii="Times New Roman"/>
                <w:spacing w:val="-1"/>
                <w:sz w:val="16"/>
              </w:rPr>
              <w:t>43,678,894.94</w:t>
            </w:r>
          </w:p>
        </w:tc>
        <w:tc>
          <w:tcPr>
            <w:tcW w:w="811" w:type="dxa"/>
            <w:tcBorders>
              <w:top w:val="nil" w:sz="6" w:space="0" w:color="auto"/>
              <w:left w:val="nil" w:sz="6" w:space="0" w:color="auto"/>
              <w:bottom w:val="nil" w:sz="6" w:space="0" w:color="auto"/>
              <w:right w:val="nil" w:sz="6" w:space="0" w:color="auto"/>
            </w:tcBorders>
          </w:tcPr>
          <w:p>
            <w:pPr/>
          </w:p>
        </w:tc>
        <w:tc>
          <w:tcPr>
            <w:tcW w:w="1246"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tbl>
      <w:tblPr>
        <w:tblW w:w="0" w:type="auto"/>
        <w:jc w:val="left"/>
        <w:tblInd w:w="749" w:type="dxa"/>
        <w:tblLayout w:type="fixed"/>
        <w:tblCellMar>
          <w:top w:w="0" w:type="dxa"/>
          <w:left w:w="0" w:type="dxa"/>
          <w:bottom w:w="0" w:type="dxa"/>
          <w:right w:w="0" w:type="dxa"/>
        </w:tblCellMar>
        <w:tblLook w:val="01E0"/>
      </w:tblPr>
      <w:tblGrid>
        <w:gridCol w:w="5159"/>
        <w:gridCol w:w="1560"/>
        <w:gridCol w:w="1469"/>
      </w:tblGrid>
      <w:tr>
        <w:trPr>
          <w:trHeight w:val="357" w:hRule="exact"/>
        </w:trPr>
        <w:tc>
          <w:tcPr>
            <w:tcW w:w="5159"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663" w:right="0"/>
              <w:jc w:val="left"/>
              <w:rPr>
                <w:rFonts w:ascii="宋体" w:hAnsi="宋体" w:cs="宋体" w:eastAsia="宋体" w:hint="default"/>
                <w:sz w:val="21"/>
                <w:szCs w:val="21"/>
              </w:rPr>
            </w:pPr>
            <w:r>
              <w:rPr>
                <w:rFonts w:ascii="宋体" w:hAnsi="宋体" w:cs="宋体" w:eastAsia="宋体" w:hint="default"/>
                <w:sz w:val="21"/>
                <w:szCs w:val="21"/>
              </w:rPr>
              <w:t>组合中，按账龄分析法计提坏账准备的应收账款</w:t>
            </w:r>
          </w:p>
        </w:tc>
        <w:tc>
          <w:tcPr>
            <w:tcW w:w="1560" w:type="dxa"/>
            <w:tcBorders>
              <w:top w:val="nil" w:sz="6" w:space="0" w:color="auto"/>
              <w:left w:val="nil" w:sz="6" w:space="0" w:color="auto"/>
              <w:bottom w:val="single" w:sz="12" w:space="0" w:color="000000"/>
              <w:right w:val="nil" w:sz="6" w:space="0" w:color="auto"/>
            </w:tcBorders>
          </w:tcPr>
          <w:p>
            <w:pPr/>
          </w:p>
        </w:tc>
        <w:tc>
          <w:tcPr>
            <w:tcW w:w="1469" w:type="dxa"/>
            <w:vMerge w:val="restart"/>
            <w:tcBorders>
              <w:top w:val="nil" w:sz="6" w:space="0" w:color="auto"/>
              <w:left w:val="nil" w:sz="6" w:space="0" w:color="auto"/>
              <w:right w:val="nil" w:sz="6" w:space="0" w:color="auto"/>
            </w:tcBorders>
          </w:tcPr>
          <w:p>
            <w:pPr/>
          </w:p>
        </w:tc>
      </w:tr>
      <w:tr>
        <w:trPr>
          <w:trHeight w:val="271" w:hRule="exact"/>
        </w:trPr>
        <w:tc>
          <w:tcPr>
            <w:tcW w:w="5159" w:type="dxa"/>
            <w:tcBorders>
              <w:top w:val="single" w:sz="12" w:space="0" w:color="000000"/>
              <w:left w:val="nil" w:sz="6" w:space="0" w:color="auto"/>
              <w:bottom w:val="nil" w:sz="6" w:space="0" w:color="auto"/>
              <w:right w:val="nil" w:sz="6" w:space="0" w:color="auto"/>
            </w:tcBorders>
          </w:tcPr>
          <w:p>
            <w:pPr/>
          </w:p>
        </w:tc>
        <w:tc>
          <w:tcPr>
            <w:tcW w:w="1560" w:type="dxa"/>
            <w:tcBorders>
              <w:top w:val="single" w:sz="12" w:space="0" w:color="000000"/>
              <w:left w:val="nil" w:sz="6" w:space="0" w:color="auto"/>
              <w:bottom w:val="nil" w:sz="6" w:space="0" w:color="auto"/>
              <w:right w:val="nil" w:sz="6" w:space="0" w:color="auto"/>
            </w:tcBorders>
          </w:tcPr>
          <w:p>
            <w:pPr>
              <w:pStyle w:val="TableParagraph"/>
              <w:spacing w:line="240" w:lineRule="auto" w:before="38"/>
              <w:ind w:left="85" w:right="0"/>
              <w:jc w:val="left"/>
              <w:rPr>
                <w:rFonts w:ascii="宋体" w:hAnsi="宋体" w:cs="宋体" w:eastAsia="宋体" w:hint="default"/>
                <w:sz w:val="16"/>
                <w:szCs w:val="16"/>
              </w:rPr>
            </w:pPr>
            <w:r>
              <w:rPr>
                <w:rFonts w:ascii="宋体" w:hAnsi="宋体" w:cs="宋体" w:eastAsia="宋体" w:hint="default"/>
                <w:sz w:val="16"/>
                <w:szCs w:val="16"/>
              </w:rPr>
              <w:t>期末余额</w:t>
            </w:r>
          </w:p>
        </w:tc>
        <w:tc>
          <w:tcPr>
            <w:tcW w:w="1469" w:type="dxa"/>
            <w:vMerge/>
            <w:tcBorders>
              <w:left w:val="nil" w:sz="6" w:space="0" w:color="auto"/>
              <w:bottom w:val="nil" w:sz="6" w:space="0" w:color="auto"/>
              <w:right w:val="nil" w:sz="6" w:space="0" w:color="auto"/>
            </w:tcBorders>
          </w:tcPr>
          <w:p>
            <w:pPr/>
          </w:p>
        </w:tc>
      </w:tr>
      <w:tr>
        <w:trPr>
          <w:trHeight w:val="441" w:hRule="exact"/>
        </w:trPr>
        <w:tc>
          <w:tcPr>
            <w:tcW w:w="5159" w:type="dxa"/>
            <w:tcBorders>
              <w:top w:val="nil" w:sz="6" w:space="0" w:color="auto"/>
              <w:left w:val="nil" w:sz="6" w:space="0" w:color="auto"/>
              <w:bottom w:val="nil" w:sz="6" w:space="0" w:color="auto"/>
              <w:right w:val="nil" w:sz="6" w:space="0" w:color="auto"/>
            </w:tcBorders>
          </w:tcPr>
          <w:p>
            <w:pPr>
              <w:pStyle w:val="TableParagraph"/>
              <w:spacing w:line="150" w:lineRule="exact"/>
              <w:ind w:left="1310" w:right="0"/>
              <w:jc w:val="left"/>
              <w:rPr>
                <w:rFonts w:ascii="宋体" w:hAnsi="宋体" w:cs="宋体" w:eastAsia="宋体" w:hint="default"/>
                <w:sz w:val="16"/>
                <w:szCs w:val="16"/>
              </w:rPr>
            </w:pPr>
            <w:r>
              <w:rPr>
                <w:rFonts w:ascii="宋体" w:hAnsi="宋体" w:cs="宋体" w:eastAsia="宋体" w:hint="default"/>
                <w:sz w:val="16"/>
                <w:szCs w:val="16"/>
              </w:rPr>
              <w:t>账龄</w:t>
            </w:r>
          </w:p>
          <w:p>
            <w:pPr>
              <w:pStyle w:val="TableParagraph"/>
              <w:spacing w:line="192" w:lineRule="exact"/>
              <w:ind w:right="930"/>
              <w:jc w:val="right"/>
              <w:rPr>
                <w:rFonts w:ascii="宋体" w:hAnsi="宋体" w:cs="宋体" w:eastAsia="宋体" w:hint="default"/>
                <w:sz w:val="16"/>
                <w:szCs w:val="16"/>
              </w:rPr>
            </w:pPr>
            <w:r>
              <w:rPr>
                <w:rFonts w:ascii="宋体" w:hAnsi="宋体" w:cs="宋体" w:eastAsia="宋体" w:hint="default"/>
                <w:w w:val="95"/>
                <w:sz w:val="16"/>
                <w:szCs w:val="16"/>
              </w:rPr>
              <w:t>应收账款</w:t>
            </w:r>
            <w:r>
              <w:rPr>
                <w:rFonts w:ascii="宋体" w:hAnsi="宋体" w:cs="宋体" w:eastAsia="宋体" w:hint="default"/>
                <w:sz w:val="16"/>
                <w:szCs w:val="16"/>
              </w:rPr>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132"/>
              <w:ind w:left="292" w:right="0"/>
              <w:jc w:val="left"/>
              <w:rPr>
                <w:rFonts w:ascii="宋体" w:hAnsi="宋体" w:cs="宋体" w:eastAsia="宋体" w:hint="default"/>
                <w:sz w:val="16"/>
                <w:szCs w:val="16"/>
              </w:rPr>
            </w:pPr>
            <w:r>
              <w:rPr>
                <w:rFonts w:ascii="宋体" w:hAnsi="宋体" w:cs="宋体" w:eastAsia="宋体" w:hint="default"/>
                <w:sz w:val="16"/>
                <w:szCs w:val="16"/>
              </w:rPr>
              <w:t>坏账准备</w:t>
            </w:r>
          </w:p>
        </w:tc>
        <w:tc>
          <w:tcPr>
            <w:tcW w:w="1469" w:type="dxa"/>
            <w:tcBorders>
              <w:top w:val="nil" w:sz="6" w:space="0" w:color="auto"/>
              <w:left w:val="nil" w:sz="6" w:space="0" w:color="auto"/>
              <w:bottom w:val="nil" w:sz="6" w:space="0" w:color="auto"/>
              <w:right w:val="nil" w:sz="6" w:space="0" w:color="auto"/>
            </w:tcBorders>
          </w:tcPr>
          <w:p>
            <w:pPr>
              <w:pStyle w:val="TableParagraph"/>
              <w:spacing w:line="240" w:lineRule="auto" w:before="132"/>
              <w:ind w:left="159" w:right="0"/>
              <w:jc w:val="left"/>
              <w:rPr>
                <w:rFonts w:ascii="宋体" w:hAnsi="宋体" w:cs="宋体" w:eastAsia="宋体" w:hint="default"/>
                <w:sz w:val="16"/>
                <w:szCs w:val="16"/>
              </w:rPr>
            </w:pPr>
            <w:r>
              <w:rPr>
                <w:rFonts w:ascii="宋体" w:hAnsi="宋体" w:cs="宋体" w:eastAsia="宋体" w:hint="default"/>
                <w:sz w:val="16"/>
                <w:szCs w:val="16"/>
              </w:rPr>
              <w:t>计提比例（</w:t>
            </w:r>
            <w:r>
              <w:rPr>
                <w:rFonts w:ascii="Times New Roman" w:hAnsi="Times New Roman" w:cs="Times New Roman" w:eastAsia="Times New Roman" w:hint="default"/>
                <w:sz w:val="16"/>
                <w:szCs w:val="16"/>
              </w:rPr>
              <w:t>%</w:t>
            </w:r>
            <w:r>
              <w:rPr>
                <w:rFonts w:ascii="宋体" w:hAnsi="宋体" w:cs="宋体" w:eastAsia="宋体" w:hint="default"/>
                <w:sz w:val="16"/>
                <w:szCs w:val="16"/>
              </w:rPr>
              <w:t>）</w:t>
            </w:r>
          </w:p>
        </w:tc>
      </w:tr>
      <w:tr>
        <w:trPr>
          <w:trHeight w:val="352" w:hRule="exact"/>
        </w:trPr>
        <w:tc>
          <w:tcPr>
            <w:tcW w:w="5159" w:type="dxa"/>
            <w:tcBorders>
              <w:top w:val="nil" w:sz="6" w:space="0" w:color="auto"/>
              <w:left w:val="nil" w:sz="6" w:space="0" w:color="auto"/>
              <w:bottom w:val="nil" w:sz="6" w:space="0" w:color="auto"/>
              <w:right w:val="nil" w:sz="6" w:space="0" w:color="auto"/>
            </w:tcBorders>
          </w:tcPr>
          <w:p>
            <w:pPr>
              <w:pStyle w:val="TableParagraph"/>
              <w:tabs>
                <w:tab w:pos="3647" w:val="left" w:leader="none"/>
              </w:tabs>
              <w:spacing w:line="240" w:lineRule="auto" w:before="45"/>
              <w:ind w:left="107" w:right="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年以内</w:t>
              <w:tab/>
            </w:r>
            <w:r>
              <w:rPr>
                <w:rFonts w:ascii="Times New Roman" w:hAnsi="Times New Roman" w:cs="Times New Roman" w:eastAsia="Times New Roman" w:hint="default"/>
                <w:sz w:val="16"/>
                <w:szCs w:val="16"/>
              </w:rPr>
              <w:t>1,871,263,916.19</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57"/>
              <w:jc w:val="right"/>
              <w:rPr>
                <w:rFonts w:ascii="Times New Roman" w:hAnsi="Times New Roman" w:cs="Times New Roman" w:eastAsia="Times New Roman" w:hint="default"/>
                <w:sz w:val="16"/>
                <w:szCs w:val="16"/>
              </w:rPr>
            </w:pPr>
            <w:r>
              <w:rPr>
                <w:rFonts w:ascii="Times New Roman"/>
                <w:spacing w:val="-1"/>
                <w:sz w:val="16"/>
              </w:rPr>
              <w:t>93,563,195.81</w:t>
            </w:r>
          </w:p>
        </w:tc>
        <w:tc>
          <w:tcPr>
            <w:tcW w:w="146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6"/>
                <w:szCs w:val="16"/>
              </w:rPr>
            </w:pPr>
            <w:r>
              <w:rPr>
                <w:rFonts w:ascii="Times New Roman"/>
                <w:spacing w:val="-1"/>
                <w:sz w:val="16"/>
              </w:rPr>
              <w:t>5.00</w:t>
            </w:r>
          </w:p>
        </w:tc>
      </w:tr>
      <w:tr>
        <w:trPr>
          <w:trHeight w:val="349" w:hRule="exact"/>
        </w:trPr>
        <w:tc>
          <w:tcPr>
            <w:tcW w:w="5159" w:type="dxa"/>
            <w:tcBorders>
              <w:top w:val="nil" w:sz="6" w:space="0" w:color="auto"/>
              <w:left w:val="nil" w:sz="6" w:space="0" w:color="auto"/>
              <w:bottom w:val="nil" w:sz="6" w:space="0" w:color="auto"/>
              <w:right w:val="nil" w:sz="6" w:space="0" w:color="auto"/>
            </w:tcBorders>
          </w:tcPr>
          <w:p>
            <w:pPr>
              <w:pStyle w:val="TableParagraph"/>
              <w:tabs>
                <w:tab w:pos="3767" w:val="left" w:leader="none"/>
              </w:tabs>
              <w:spacing w:line="240" w:lineRule="auto" w:before="43"/>
              <w:ind w:left="107" w:right="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至</w:t>
            </w:r>
            <w:r>
              <w:rPr>
                <w:rFonts w:ascii="宋体" w:hAnsi="宋体" w:cs="宋体" w:eastAsia="宋体" w:hint="default"/>
                <w:spacing w:val="-42"/>
                <w:sz w:val="16"/>
                <w:szCs w:val="16"/>
              </w:rPr>
              <w:t> </w:t>
            </w: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年</w:t>
              <w:tab/>
            </w:r>
            <w:r>
              <w:rPr>
                <w:rFonts w:ascii="Times New Roman" w:hAnsi="Times New Roman" w:cs="Times New Roman" w:eastAsia="Times New Roman" w:hint="default"/>
                <w:sz w:val="16"/>
                <w:szCs w:val="16"/>
              </w:rPr>
              <w:t>504,489,546.06</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57"/>
              <w:jc w:val="right"/>
              <w:rPr>
                <w:rFonts w:ascii="Times New Roman" w:hAnsi="Times New Roman" w:cs="Times New Roman" w:eastAsia="Times New Roman" w:hint="default"/>
                <w:sz w:val="16"/>
                <w:szCs w:val="16"/>
              </w:rPr>
            </w:pPr>
            <w:r>
              <w:rPr>
                <w:rFonts w:ascii="Times New Roman"/>
                <w:spacing w:val="-1"/>
                <w:sz w:val="16"/>
              </w:rPr>
              <w:t>50,448,954.61</w:t>
            </w:r>
          </w:p>
        </w:tc>
        <w:tc>
          <w:tcPr>
            <w:tcW w:w="1469"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5"/>
              <w:jc w:val="right"/>
              <w:rPr>
                <w:rFonts w:ascii="Times New Roman" w:hAnsi="Times New Roman" w:cs="Times New Roman" w:eastAsia="Times New Roman" w:hint="default"/>
                <w:sz w:val="16"/>
                <w:szCs w:val="16"/>
              </w:rPr>
            </w:pPr>
            <w:r>
              <w:rPr>
                <w:rFonts w:ascii="Times New Roman"/>
                <w:spacing w:val="-1"/>
                <w:sz w:val="16"/>
              </w:rPr>
              <w:t>10.00</w:t>
            </w:r>
          </w:p>
        </w:tc>
      </w:tr>
      <w:tr>
        <w:trPr>
          <w:trHeight w:val="349" w:hRule="exact"/>
        </w:trPr>
        <w:tc>
          <w:tcPr>
            <w:tcW w:w="5159" w:type="dxa"/>
            <w:tcBorders>
              <w:top w:val="nil" w:sz="6" w:space="0" w:color="auto"/>
              <w:left w:val="nil" w:sz="6" w:space="0" w:color="auto"/>
              <w:bottom w:val="nil" w:sz="6" w:space="0" w:color="auto"/>
              <w:right w:val="nil" w:sz="6" w:space="0" w:color="auto"/>
            </w:tcBorders>
          </w:tcPr>
          <w:p>
            <w:pPr>
              <w:pStyle w:val="TableParagraph"/>
              <w:tabs>
                <w:tab w:pos="3767" w:val="left" w:leader="none"/>
              </w:tabs>
              <w:spacing w:line="240" w:lineRule="auto" w:before="43"/>
              <w:ind w:left="107" w:right="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至</w:t>
            </w:r>
            <w:r>
              <w:rPr>
                <w:rFonts w:ascii="宋体" w:hAnsi="宋体" w:cs="宋体" w:eastAsia="宋体" w:hint="default"/>
                <w:spacing w:val="-42"/>
                <w:sz w:val="16"/>
                <w:szCs w:val="16"/>
              </w:rPr>
              <w:t> </w:t>
            </w:r>
            <w:r>
              <w:rPr>
                <w:rFonts w:ascii="Times New Roman" w:hAnsi="Times New Roman" w:cs="Times New Roman" w:eastAsia="Times New Roman" w:hint="default"/>
                <w:sz w:val="16"/>
                <w:szCs w:val="16"/>
              </w:rPr>
              <w:t>3</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年</w:t>
              <w:tab/>
            </w:r>
            <w:r>
              <w:rPr>
                <w:rFonts w:ascii="Times New Roman" w:hAnsi="Times New Roman" w:cs="Times New Roman" w:eastAsia="Times New Roman" w:hint="default"/>
                <w:sz w:val="16"/>
                <w:szCs w:val="16"/>
              </w:rPr>
              <w:t>103,888,195.15</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57"/>
              <w:jc w:val="right"/>
              <w:rPr>
                <w:rFonts w:ascii="Times New Roman" w:hAnsi="Times New Roman" w:cs="Times New Roman" w:eastAsia="Times New Roman" w:hint="default"/>
                <w:sz w:val="16"/>
                <w:szCs w:val="16"/>
              </w:rPr>
            </w:pPr>
            <w:r>
              <w:rPr>
                <w:rFonts w:ascii="Times New Roman"/>
                <w:spacing w:val="-1"/>
                <w:sz w:val="16"/>
              </w:rPr>
              <w:t>31,166,458.55</w:t>
            </w:r>
          </w:p>
        </w:tc>
        <w:tc>
          <w:tcPr>
            <w:tcW w:w="1469"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5"/>
              <w:jc w:val="right"/>
              <w:rPr>
                <w:rFonts w:ascii="Times New Roman" w:hAnsi="Times New Roman" w:cs="Times New Roman" w:eastAsia="Times New Roman" w:hint="default"/>
                <w:sz w:val="16"/>
                <w:szCs w:val="16"/>
              </w:rPr>
            </w:pPr>
            <w:r>
              <w:rPr>
                <w:rFonts w:ascii="Times New Roman"/>
                <w:spacing w:val="-1"/>
                <w:sz w:val="16"/>
              </w:rPr>
              <w:t>30.00</w:t>
            </w:r>
          </w:p>
        </w:tc>
      </w:tr>
      <w:tr>
        <w:trPr>
          <w:trHeight w:val="349" w:hRule="exact"/>
        </w:trPr>
        <w:tc>
          <w:tcPr>
            <w:tcW w:w="5159" w:type="dxa"/>
            <w:tcBorders>
              <w:top w:val="nil" w:sz="6" w:space="0" w:color="auto"/>
              <w:left w:val="nil" w:sz="6" w:space="0" w:color="auto"/>
              <w:bottom w:val="nil" w:sz="6" w:space="0" w:color="auto"/>
              <w:right w:val="nil" w:sz="6" w:space="0" w:color="auto"/>
            </w:tcBorders>
          </w:tcPr>
          <w:p>
            <w:pPr>
              <w:pStyle w:val="TableParagraph"/>
              <w:tabs>
                <w:tab w:pos="3847" w:val="left" w:leader="none"/>
              </w:tabs>
              <w:spacing w:line="240" w:lineRule="auto" w:before="33"/>
              <w:ind w:left="107" w:right="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position w:val="1"/>
                <w:sz w:val="16"/>
                <w:szCs w:val="16"/>
              </w:rPr>
              <w:t>3</w:t>
            </w:r>
            <w:r>
              <w:rPr>
                <w:rFonts w:ascii="Times New Roman" w:hAnsi="Times New Roman" w:cs="Times New Roman" w:eastAsia="Times New Roman" w:hint="default"/>
                <w:spacing w:val="-1"/>
                <w:position w:val="1"/>
                <w:sz w:val="16"/>
                <w:szCs w:val="16"/>
              </w:rPr>
              <w:t> </w:t>
            </w:r>
            <w:r>
              <w:rPr>
                <w:rFonts w:ascii="宋体" w:hAnsi="宋体" w:cs="宋体" w:eastAsia="宋体" w:hint="default"/>
                <w:position w:val="1"/>
                <w:sz w:val="16"/>
                <w:szCs w:val="16"/>
              </w:rPr>
              <w:t>至</w:t>
            </w:r>
            <w:r>
              <w:rPr>
                <w:rFonts w:ascii="宋体" w:hAnsi="宋体" w:cs="宋体" w:eastAsia="宋体" w:hint="default"/>
                <w:spacing w:val="-42"/>
                <w:position w:val="1"/>
                <w:sz w:val="16"/>
                <w:szCs w:val="16"/>
              </w:rPr>
              <w:t> </w:t>
            </w:r>
            <w:r>
              <w:rPr>
                <w:rFonts w:ascii="Times New Roman" w:hAnsi="Times New Roman" w:cs="Times New Roman" w:eastAsia="Times New Roman" w:hint="default"/>
                <w:position w:val="1"/>
                <w:sz w:val="16"/>
                <w:szCs w:val="16"/>
              </w:rPr>
              <w:t>4</w:t>
            </w:r>
            <w:r>
              <w:rPr>
                <w:rFonts w:ascii="Times New Roman" w:hAnsi="Times New Roman" w:cs="Times New Roman" w:eastAsia="Times New Roman" w:hint="default"/>
                <w:spacing w:val="-1"/>
                <w:position w:val="1"/>
                <w:sz w:val="16"/>
                <w:szCs w:val="16"/>
              </w:rPr>
              <w:t> </w:t>
            </w:r>
            <w:r>
              <w:rPr>
                <w:rFonts w:ascii="宋体" w:hAnsi="宋体" w:cs="宋体" w:eastAsia="宋体" w:hint="default"/>
                <w:position w:val="1"/>
                <w:sz w:val="16"/>
                <w:szCs w:val="16"/>
              </w:rPr>
              <w:t>年</w:t>
              <w:tab/>
            </w:r>
            <w:r>
              <w:rPr>
                <w:rFonts w:ascii="Times New Roman" w:hAnsi="Times New Roman" w:cs="Times New Roman" w:eastAsia="Times New Roman" w:hint="default"/>
                <w:sz w:val="16"/>
                <w:szCs w:val="16"/>
              </w:rPr>
              <w:t>38,692,857.73</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57"/>
              <w:jc w:val="right"/>
              <w:rPr>
                <w:rFonts w:ascii="Times New Roman" w:hAnsi="Times New Roman" w:cs="Times New Roman" w:eastAsia="Times New Roman" w:hint="default"/>
                <w:sz w:val="16"/>
                <w:szCs w:val="16"/>
              </w:rPr>
            </w:pPr>
            <w:r>
              <w:rPr>
                <w:rFonts w:ascii="Times New Roman"/>
                <w:spacing w:val="-1"/>
                <w:sz w:val="16"/>
              </w:rPr>
              <w:t>23,215,714.64</w:t>
            </w:r>
          </w:p>
        </w:tc>
        <w:tc>
          <w:tcPr>
            <w:tcW w:w="1469"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5"/>
              <w:jc w:val="right"/>
              <w:rPr>
                <w:rFonts w:ascii="Times New Roman" w:hAnsi="Times New Roman" w:cs="Times New Roman" w:eastAsia="Times New Roman" w:hint="default"/>
                <w:sz w:val="16"/>
                <w:szCs w:val="16"/>
              </w:rPr>
            </w:pPr>
            <w:r>
              <w:rPr>
                <w:rFonts w:ascii="Times New Roman"/>
                <w:spacing w:val="-1"/>
                <w:sz w:val="16"/>
              </w:rPr>
              <w:t>60.00</w:t>
            </w:r>
          </w:p>
        </w:tc>
      </w:tr>
      <w:tr>
        <w:trPr>
          <w:trHeight w:val="349" w:hRule="exact"/>
        </w:trPr>
        <w:tc>
          <w:tcPr>
            <w:tcW w:w="5159" w:type="dxa"/>
            <w:tcBorders>
              <w:top w:val="nil" w:sz="6" w:space="0" w:color="auto"/>
              <w:left w:val="nil" w:sz="6" w:space="0" w:color="auto"/>
              <w:bottom w:val="nil" w:sz="6" w:space="0" w:color="auto"/>
              <w:right w:val="nil" w:sz="6" w:space="0" w:color="auto"/>
            </w:tcBorders>
          </w:tcPr>
          <w:p>
            <w:pPr>
              <w:pStyle w:val="TableParagraph"/>
              <w:tabs>
                <w:tab w:pos="3847" w:val="left" w:leader="none"/>
              </w:tabs>
              <w:spacing w:line="240" w:lineRule="auto" w:before="42"/>
              <w:ind w:left="107" w:right="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sz w:val="16"/>
                <w:szCs w:val="16"/>
              </w:rPr>
              <w:t>4</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至</w:t>
            </w:r>
            <w:r>
              <w:rPr>
                <w:rFonts w:ascii="宋体" w:hAnsi="宋体" w:cs="宋体" w:eastAsia="宋体" w:hint="default"/>
                <w:spacing w:val="-42"/>
                <w:sz w:val="16"/>
                <w:szCs w:val="16"/>
              </w:rPr>
              <w:t> </w:t>
            </w:r>
            <w:r>
              <w:rPr>
                <w:rFonts w:ascii="Times New Roman" w:hAnsi="Times New Roman" w:cs="Times New Roman" w:eastAsia="Times New Roman" w:hint="default"/>
                <w:sz w:val="16"/>
                <w:szCs w:val="16"/>
              </w:rPr>
              <w:t>5</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年</w:t>
              <w:tab/>
            </w:r>
            <w:r>
              <w:rPr>
                <w:rFonts w:ascii="Times New Roman" w:hAnsi="Times New Roman" w:cs="Times New Roman" w:eastAsia="Times New Roman" w:hint="default"/>
                <w:sz w:val="16"/>
                <w:szCs w:val="16"/>
              </w:rPr>
              <w:t>14,085,959.44</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57"/>
              <w:jc w:val="right"/>
              <w:rPr>
                <w:rFonts w:ascii="Times New Roman" w:hAnsi="Times New Roman" w:cs="Times New Roman" w:eastAsia="Times New Roman" w:hint="default"/>
                <w:sz w:val="16"/>
                <w:szCs w:val="16"/>
              </w:rPr>
            </w:pPr>
            <w:r>
              <w:rPr>
                <w:rFonts w:ascii="Times New Roman"/>
                <w:spacing w:val="-1"/>
                <w:sz w:val="16"/>
              </w:rPr>
              <w:t>11,268,767.55</w:t>
            </w:r>
          </w:p>
        </w:tc>
        <w:tc>
          <w:tcPr>
            <w:tcW w:w="1469"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5"/>
              <w:jc w:val="right"/>
              <w:rPr>
                <w:rFonts w:ascii="Times New Roman" w:hAnsi="Times New Roman" w:cs="Times New Roman" w:eastAsia="Times New Roman" w:hint="default"/>
                <w:sz w:val="16"/>
                <w:szCs w:val="16"/>
              </w:rPr>
            </w:pPr>
            <w:r>
              <w:rPr>
                <w:rFonts w:ascii="Times New Roman"/>
                <w:spacing w:val="-1"/>
                <w:sz w:val="16"/>
              </w:rPr>
              <w:t>80.00</w:t>
            </w:r>
          </w:p>
        </w:tc>
      </w:tr>
      <w:tr>
        <w:trPr>
          <w:trHeight w:val="349" w:hRule="exact"/>
        </w:trPr>
        <w:tc>
          <w:tcPr>
            <w:tcW w:w="5159" w:type="dxa"/>
            <w:tcBorders>
              <w:top w:val="nil" w:sz="6" w:space="0" w:color="auto"/>
              <w:left w:val="nil" w:sz="6" w:space="0" w:color="auto"/>
              <w:bottom w:val="nil" w:sz="6" w:space="0" w:color="auto"/>
              <w:right w:val="nil" w:sz="6" w:space="0" w:color="auto"/>
            </w:tcBorders>
          </w:tcPr>
          <w:p>
            <w:pPr>
              <w:pStyle w:val="TableParagraph"/>
              <w:tabs>
                <w:tab w:pos="3927" w:val="left" w:leader="none"/>
              </w:tabs>
              <w:spacing w:line="240" w:lineRule="auto" w:before="43"/>
              <w:ind w:left="107" w:right="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sz w:val="16"/>
                <w:szCs w:val="16"/>
              </w:rPr>
              <w:t>5</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年以上</w:t>
              <w:tab/>
            </w:r>
            <w:r>
              <w:rPr>
                <w:rFonts w:ascii="Times New Roman" w:hAnsi="Times New Roman" w:cs="Times New Roman" w:eastAsia="Times New Roman" w:hint="default"/>
                <w:sz w:val="16"/>
                <w:szCs w:val="16"/>
              </w:rPr>
              <w:t>9,245,890.94</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57"/>
              <w:jc w:val="right"/>
              <w:rPr>
                <w:rFonts w:ascii="Times New Roman" w:hAnsi="Times New Roman" w:cs="Times New Roman" w:eastAsia="Times New Roman" w:hint="default"/>
                <w:sz w:val="16"/>
                <w:szCs w:val="16"/>
              </w:rPr>
            </w:pPr>
            <w:r>
              <w:rPr>
                <w:rFonts w:ascii="Times New Roman"/>
                <w:spacing w:val="-1"/>
                <w:sz w:val="16"/>
              </w:rPr>
              <w:t>9,245,890.94</w:t>
            </w:r>
          </w:p>
        </w:tc>
        <w:tc>
          <w:tcPr>
            <w:tcW w:w="1469"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5"/>
              <w:jc w:val="right"/>
              <w:rPr>
                <w:rFonts w:ascii="Times New Roman" w:hAnsi="Times New Roman" w:cs="Times New Roman" w:eastAsia="Times New Roman" w:hint="default"/>
                <w:sz w:val="16"/>
                <w:szCs w:val="16"/>
              </w:rPr>
            </w:pPr>
            <w:r>
              <w:rPr>
                <w:rFonts w:ascii="Times New Roman"/>
                <w:spacing w:val="-1"/>
                <w:sz w:val="16"/>
              </w:rPr>
              <w:t>100.00</w:t>
            </w:r>
          </w:p>
        </w:tc>
      </w:tr>
      <w:tr>
        <w:trPr>
          <w:trHeight w:val="354" w:hRule="exact"/>
        </w:trPr>
        <w:tc>
          <w:tcPr>
            <w:tcW w:w="5159" w:type="dxa"/>
            <w:tcBorders>
              <w:top w:val="nil" w:sz="6" w:space="0" w:color="auto"/>
              <w:left w:val="nil" w:sz="6" w:space="0" w:color="auto"/>
              <w:bottom w:val="single" w:sz="12" w:space="0" w:color="000000"/>
              <w:right w:val="nil" w:sz="6" w:space="0" w:color="auto"/>
            </w:tcBorders>
          </w:tcPr>
          <w:p>
            <w:pPr>
              <w:pStyle w:val="TableParagraph"/>
              <w:tabs>
                <w:tab w:pos="3647" w:val="left" w:leader="none"/>
              </w:tabs>
              <w:spacing w:line="240" w:lineRule="auto" w:before="43"/>
              <w:ind w:left="1310" w:right="0"/>
              <w:jc w:val="left"/>
              <w:rPr>
                <w:rFonts w:ascii="Times New Roman" w:hAnsi="Times New Roman" w:cs="Times New Roman" w:eastAsia="Times New Roman" w:hint="default"/>
                <w:sz w:val="16"/>
                <w:szCs w:val="16"/>
              </w:rPr>
            </w:pPr>
            <w:r>
              <w:rPr>
                <w:rFonts w:ascii="宋体" w:hAnsi="宋体" w:cs="宋体" w:eastAsia="宋体" w:hint="default"/>
                <w:w w:val="95"/>
                <w:sz w:val="16"/>
                <w:szCs w:val="16"/>
              </w:rPr>
              <w:t>合计</w:t>
              <w:tab/>
            </w:r>
            <w:r>
              <w:rPr>
                <w:rFonts w:ascii="Times New Roman" w:hAnsi="Times New Roman" w:cs="Times New Roman" w:eastAsia="Times New Roman" w:hint="default"/>
                <w:sz w:val="16"/>
                <w:szCs w:val="16"/>
              </w:rPr>
              <w:t>2,541,666,365.51</w:t>
            </w:r>
          </w:p>
        </w:tc>
        <w:tc>
          <w:tcPr>
            <w:tcW w:w="1560" w:type="dxa"/>
            <w:tcBorders>
              <w:top w:val="nil" w:sz="6" w:space="0" w:color="auto"/>
              <w:left w:val="nil" w:sz="6" w:space="0" w:color="auto"/>
              <w:bottom w:val="single" w:sz="12" w:space="0" w:color="000000"/>
              <w:right w:val="nil" w:sz="6" w:space="0" w:color="auto"/>
            </w:tcBorders>
          </w:tcPr>
          <w:p>
            <w:pPr>
              <w:pStyle w:val="TableParagraph"/>
              <w:spacing w:line="240" w:lineRule="auto" w:before="80"/>
              <w:ind w:right="158"/>
              <w:jc w:val="right"/>
              <w:rPr>
                <w:rFonts w:ascii="Times New Roman" w:hAnsi="Times New Roman" w:cs="Times New Roman" w:eastAsia="Times New Roman" w:hint="default"/>
                <w:sz w:val="16"/>
                <w:szCs w:val="16"/>
              </w:rPr>
            </w:pPr>
            <w:r>
              <w:rPr>
                <w:rFonts w:ascii="Times New Roman"/>
                <w:spacing w:val="-1"/>
                <w:sz w:val="16"/>
              </w:rPr>
              <w:t>218,908,982.10</w:t>
            </w:r>
          </w:p>
        </w:tc>
        <w:tc>
          <w:tcPr>
            <w:tcW w:w="1469" w:type="dxa"/>
            <w:tcBorders>
              <w:top w:val="nil" w:sz="6" w:space="0" w:color="auto"/>
              <w:left w:val="nil" w:sz="6" w:space="0" w:color="auto"/>
              <w:bottom w:val="single" w:sz="12"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p>
      <w:pPr>
        <w:pStyle w:val="BodyText"/>
        <w:spacing w:line="240" w:lineRule="auto" w:before="35"/>
        <w:ind w:right="3681"/>
        <w:jc w:val="left"/>
      </w:pPr>
      <w:r>
        <w:rPr/>
        <w:pict>
          <v:group style="position:absolute;margin-left:119.520004pt;margin-top:-180.986404pt;width:411.3pt;height:156.6pt;mso-position-horizontal-relative:page;mso-position-vertical-relative:paragraph;z-index:-1398160" coordorigin="2390,-3620" coordsize="8226,3132">
            <v:shape style="position:absolute;left:5347;top:-3620;width:10;height:340" type="#_x0000_t75" stroked="false">
              <v:imagedata r:id="rId84" o:title=""/>
            </v:shape>
            <v:shape style="position:absolute;left:5328;top:-3299;width:5288;height:388" type="#_x0000_t75" stroked="false">
              <v:imagedata r:id="rId85" o:title=""/>
            </v:shape>
            <v:shape style="position:absolute;left:2390;top:-2950;width:8226;height:2462" type="#_x0000_t75" stroked="false">
              <v:imagedata r:id="rId86" o:title=""/>
            </v:shape>
            <w10:wrap type="none"/>
          </v:group>
        </w:pict>
      </w:r>
      <w:r>
        <w:rPr/>
        <w:t>组合中，采用其他方法计提坏账准备的应收账款</w:t>
      </w:r>
    </w:p>
    <w:p>
      <w:pPr>
        <w:spacing w:line="240" w:lineRule="auto" w:before="6"/>
        <w:rPr>
          <w:rFonts w:ascii="宋体" w:hAnsi="宋体" w:cs="宋体" w:eastAsia="宋体" w:hint="default"/>
          <w:sz w:val="2"/>
          <w:szCs w:val="2"/>
        </w:rPr>
      </w:pPr>
    </w:p>
    <w:p>
      <w:pPr>
        <w:spacing w:line="1446" w:lineRule="exact"/>
        <w:ind w:left="720" w:right="0" w:firstLine="0"/>
        <w:rPr>
          <w:rFonts w:ascii="宋体" w:hAnsi="宋体" w:cs="宋体" w:eastAsia="宋体" w:hint="default"/>
          <w:sz w:val="20"/>
          <w:szCs w:val="20"/>
        </w:rPr>
      </w:pPr>
      <w:r>
        <w:rPr>
          <w:rFonts w:ascii="宋体" w:hAnsi="宋体" w:cs="宋体" w:eastAsia="宋体" w:hint="default"/>
          <w:position w:val="-28"/>
          <w:sz w:val="20"/>
          <w:szCs w:val="20"/>
        </w:rPr>
        <w:pict>
          <v:group style="width:412.15pt;height:72.3pt;mso-position-horizontal-relative:char;mso-position-vertical-relative:line" coordorigin="0,0" coordsize="8243,1446">
            <v:group style="position:absolute;left:29;top:15;width:3695;height:2" coordorigin="29,15" coordsize="3695,2">
              <v:shape style="position:absolute;left:29;top:15;width:3695;height:2" coordorigin="29,15" coordsize="3695,0" path="m29,15l3724,15e" filled="false" stroked="true" strokeweight="1.5pt" strokecolor="#000000">
                <v:path arrowok="t"/>
              </v:shape>
            </v:group>
            <v:group style="position:absolute;left:3724;top:15;width:4493;height:2" coordorigin="3724,15" coordsize="4493,2">
              <v:shape style="position:absolute;left:3724;top:15;width:4493;height:2" coordorigin="3724,15" coordsize="4493,0" path="m3724,15l8217,15e" filled="false" stroked="true" strokeweight="1.5pt" strokecolor="#000000">
                <v:path arrowok="t"/>
              </v:shape>
              <v:shape style="position:absolute;left:3724;top:30;width:10;height:340" type="#_x0000_t75" stroked="false">
                <v:imagedata r:id="rId87" o:title=""/>
              </v:shape>
              <v:shape style="position:absolute;left:3705;top:350;width:4537;height:388" type="#_x0000_t75" stroked="false">
                <v:imagedata r:id="rId88" o:title=""/>
              </v:shape>
            </v:group>
            <v:group style="position:absolute;left:15;top:1431;width:3710;height:2" coordorigin="15,1431" coordsize="3710,2">
              <v:shape style="position:absolute;left:15;top:1431;width:3710;height:2" coordorigin="15,1431" coordsize="3710,0" path="m15,1431l3724,1431e" filled="false" stroked="true" strokeweight="1.5pt" strokecolor="#000000">
                <v:path arrowok="t"/>
              </v:shape>
            </v:group>
            <v:group style="position:absolute;left:3724;top:1431;width:1644;height:2" coordorigin="3724,1431" coordsize="1644,2">
              <v:shape style="position:absolute;left:3724;top:1431;width:1644;height:2" coordorigin="3724,1431" coordsize="1644,0" path="m3724,1431l5368,1431e" filled="false" stroked="true" strokeweight="1.5pt" strokecolor="#000000">
                <v:path arrowok="t"/>
              </v:shape>
            </v:group>
            <v:group style="position:absolute;left:5368;top:1431;width:1348;height:2" coordorigin="5368,1431" coordsize="1348,2">
              <v:shape style="position:absolute;left:5368;top:1431;width:1348;height:2" coordorigin="5368,1431" coordsize="1348,0" path="m5368,1431l6716,1431e" filled="false" stroked="true" strokeweight="1.5pt" strokecolor="#000000">
                <v:path arrowok="t"/>
              </v:shape>
              <v:shape style="position:absolute;left:10;top:700;width:8232;height:716" type="#_x0000_t75" stroked="false">
                <v:imagedata r:id="rId89" o:title=""/>
              </v:shape>
            </v:group>
            <v:group style="position:absolute;left:6716;top:1431;width:1502;height:2" coordorigin="6716,1431" coordsize="1502,2">
              <v:shape style="position:absolute;left:6716;top:1431;width:1502;height:2" coordorigin="6716,1431" coordsize="1502,0" path="m6716,1431l8217,1431e" filled="false" stroked="true" strokeweight="1.5pt" strokecolor="#000000">
                <v:path arrowok="t"/>
              </v:shape>
              <v:shape style="position:absolute;left:5653;top:11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1558;top:292;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组合名称</w:t>
                      </w:r>
                      <w:r>
                        <w:rPr>
                          <w:rFonts w:ascii="宋体" w:hAnsi="宋体" w:cs="宋体" w:eastAsia="宋体" w:hint="default"/>
                          <w:sz w:val="16"/>
                          <w:szCs w:val="16"/>
                        </w:rPr>
                      </w:r>
                    </w:p>
                  </w:txbxContent>
                </v:textbox>
                <w10:wrap type="none"/>
              </v:shape>
              <v:shape style="position:absolute;left:4231;top:46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应收账款</w:t>
                      </w:r>
                      <w:r>
                        <w:rPr>
                          <w:rFonts w:ascii="宋体" w:hAnsi="宋体" w:cs="宋体" w:eastAsia="宋体" w:hint="default"/>
                          <w:sz w:val="16"/>
                          <w:szCs w:val="16"/>
                        </w:rPr>
                      </w:r>
                    </w:p>
                  </w:txbxContent>
                </v:textbox>
                <w10:wrap type="none"/>
              </v:shape>
              <v:shape style="position:absolute;left:5727;top:46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坏账准备</w:t>
                      </w:r>
                      <w:r>
                        <w:rPr>
                          <w:rFonts w:ascii="宋体" w:hAnsi="宋体" w:cs="宋体" w:eastAsia="宋体" w:hint="default"/>
                          <w:sz w:val="16"/>
                          <w:szCs w:val="16"/>
                        </w:rPr>
                      </w:r>
                    </w:p>
                  </w:txbxContent>
                </v:textbox>
                <w10:wrap type="none"/>
              </v:shape>
              <v:shape style="position:absolute;left:6921;top:468;width:1092;height:169" type="#_x0000_t202" filled="false" stroked="false">
                <v:textbox inset="0,0,0,0">
                  <w:txbxContent>
                    <w:p>
                      <w:pPr>
                        <w:spacing w:line="168"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计提比例（</w:t>
                      </w:r>
                      <w:r>
                        <w:rPr>
                          <w:rFonts w:ascii="Times New Roman" w:hAnsi="Times New Roman" w:cs="Times New Roman" w:eastAsia="Times New Roman" w:hint="default"/>
                          <w:w w:val="95"/>
                          <w:sz w:val="16"/>
                          <w:szCs w:val="16"/>
                        </w:rPr>
                        <w:t>%</w:t>
                      </w:r>
                      <w:r>
                        <w:rPr>
                          <w:rFonts w:ascii="宋体" w:hAnsi="宋体" w:cs="宋体" w:eastAsia="宋体" w:hint="default"/>
                          <w:w w:val="95"/>
                          <w:sz w:val="16"/>
                          <w:szCs w:val="16"/>
                        </w:rPr>
                        <w:t>）</w:t>
                      </w:r>
                      <w:r>
                        <w:rPr>
                          <w:rFonts w:ascii="宋体" w:hAnsi="宋体" w:cs="宋体" w:eastAsia="宋体" w:hint="default"/>
                          <w:sz w:val="16"/>
                          <w:szCs w:val="16"/>
                        </w:rPr>
                      </w:r>
                    </w:p>
                  </w:txbxContent>
                </v:textbox>
                <w10:wrap type="none"/>
              </v:shape>
              <v:shape style="position:absolute;left:137;top:817;width:2878;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在合同规定的收款账期内的应收款项组合</w:t>
                      </w:r>
                      <w:r>
                        <w:rPr>
                          <w:rFonts w:ascii="宋体" w:hAnsi="宋体" w:cs="宋体" w:eastAsia="宋体" w:hint="default"/>
                          <w:sz w:val="16"/>
                          <w:szCs w:val="16"/>
                        </w:rPr>
                      </w:r>
                    </w:p>
                  </w:txbxContent>
                </v:textbox>
                <w10:wrap type="none"/>
              </v:shape>
              <v:shape style="position:absolute;left:4265;top:830;width:100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643,701,346.97</w:t>
                      </w:r>
                      <w:r>
                        <w:rPr>
                          <w:rFonts w:ascii="Times New Roman"/>
                          <w:sz w:val="16"/>
                        </w:rPr>
                      </w:r>
                    </w:p>
                  </w:txbxContent>
                </v:textbox>
                <w10:wrap type="none"/>
              </v:shape>
              <v:shape style="position:absolute;left:1718;top:1166;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合计</w:t>
                      </w:r>
                      <w:r>
                        <w:rPr>
                          <w:rFonts w:ascii="宋体" w:hAnsi="宋体" w:cs="宋体" w:eastAsia="宋体" w:hint="default"/>
                          <w:sz w:val="16"/>
                          <w:szCs w:val="16"/>
                        </w:rPr>
                      </w:r>
                    </w:p>
                  </w:txbxContent>
                </v:textbox>
                <w10:wrap type="none"/>
              </v:shape>
              <v:shape style="position:absolute;left:4265;top:1180;width:100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643,701,346.97</w:t>
                      </w:r>
                      <w:r>
                        <w:rPr>
                          <w:rFonts w:ascii="Times New Roman"/>
                          <w:sz w:val="16"/>
                        </w:rPr>
                      </w:r>
                    </w:p>
                  </w:txbxContent>
                </v:textbox>
                <w10:wrap type="none"/>
              </v:shape>
            </v:group>
          </v:group>
        </w:pict>
      </w:r>
      <w:r>
        <w:rPr>
          <w:rFonts w:ascii="宋体" w:hAnsi="宋体" w:cs="宋体" w:eastAsia="宋体" w:hint="default"/>
          <w:position w:val="-28"/>
          <w:sz w:val="20"/>
          <w:szCs w:val="20"/>
        </w:rPr>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pStyle w:val="BodyText"/>
        <w:spacing w:line="240" w:lineRule="auto" w:before="35"/>
        <w:ind w:right="3681"/>
        <w:jc w:val="left"/>
      </w:pPr>
      <w:r>
        <w:rPr/>
        <w:t>（</w:t>
      </w:r>
      <w:r>
        <w:rPr>
          <w:rFonts w:ascii="Times New Roman" w:hAnsi="Times New Roman" w:cs="Times New Roman" w:eastAsia="Times New Roman" w:hint="default"/>
        </w:rPr>
        <w:t>2</w:t>
      </w:r>
      <w:r>
        <w:rPr/>
        <w:t>）本期计提、转回或收回的坏账准备情况</w:t>
      </w:r>
    </w:p>
    <w:p>
      <w:pPr>
        <w:pStyle w:val="BodyText"/>
        <w:spacing w:line="240" w:lineRule="auto"/>
        <w:ind w:right="1793"/>
        <w:jc w:val="left"/>
      </w:pPr>
      <w:r>
        <w:rPr/>
        <w:t>本期计提坏账准备金额</w:t>
      </w:r>
      <w:r>
        <w:rPr>
          <w:spacing w:val="-56"/>
        </w:rPr>
        <w:t> </w:t>
      </w:r>
      <w:r>
        <w:rPr>
          <w:rFonts w:ascii="Times New Roman" w:hAnsi="Times New Roman" w:cs="Times New Roman" w:eastAsia="Times New Roman" w:hint="default"/>
        </w:rPr>
        <w:t>73,982,051.90</w:t>
      </w:r>
      <w:r>
        <w:rPr>
          <w:rFonts w:ascii="Times New Roman" w:hAnsi="Times New Roman" w:cs="Times New Roman" w:eastAsia="Times New Roman" w:hint="default"/>
          <w:spacing w:val="-4"/>
        </w:rPr>
        <w:t> </w:t>
      </w:r>
      <w:r>
        <w:rPr/>
        <w:t>元；本期收回或转回坏账准备金额</w:t>
      </w:r>
    </w:p>
    <w:p>
      <w:pPr>
        <w:pStyle w:val="BodyText"/>
        <w:spacing w:line="240" w:lineRule="auto"/>
        <w:ind w:right="3681"/>
        <w:jc w:val="left"/>
      </w:pPr>
      <w:r>
        <w:rPr>
          <w:rFonts w:ascii="Times New Roman" w:hAnsi="Times New Roman" w:cs="Times New Roman" w:eastAsia="Times New Roman" w:hint="default"/>
        </w:rPr>
        <w:t>3,052,818.23</w:t>
      </w:r>
      <w:r>
        <w:rPr>
          <w:rFonts w:ascii="Times New Roman" w:hAnsi="Times New Roman" w:cs="Times New Roman" w:eastAsia="Times New Roman" w:hint="default"/>
          <w:spacing w:val="-7"/>
        </w:rPr>
        <w:t> </w:t>
      </w:r>
      <w:r>
        <w:rPr/>
        <w:t>元。</w:t>
      </w:r>
    </w:p>
    <w:p>
      <w:pPr>
        <w:pStyle w:val="BodyText"/>
        <w:spacing w:line="240" w:lineRule="auto" w:before="110"/>
        <w:ind w:right="3681"/>
        <w:jc w:val="left"/>
      </w:pPr>
      <w:r>
        <w:rPr/>
        <w:t>其中本期坏账准备收回或转回金额重要的</w:t>
      </w:r>
    </w:p>
    <w:p>
      <w:pPr>
        <w:spacing w:line="240" w:lineRule="auto" w:before="5"/>
        <w:rPr>
          <w:rFonts w:ascii="宋体" w:hAnsi="宋体" w:cs="宋体" w:eastAsia="宋体" w:hint="default"/>
          <w:sz w:val="2"/>
          <w:szCs w:val="2"/>
        </w:rPr>
      </w:pPr>
    </w:p>
    <w:p>
      <w:pPr>
        <w:spacing w:line="1228" w:lineRule="exact"/>
        <w:ind w:left="720" w:right="0" w:firstLine="0"/>
        <w:rPr>
          <w:rFonts w:ascii="宋体" w:hAnsi="宋体" w:cs="宋体" w:eastAsia="宋体" w:hint="default"/>
          <w:sz w:val="20"/>
          <w:szCs w:val="20"/>
        </w:rPr>
      </w:pPr>
      <w:r>
        <w:rPr>
          <w:rFonts w:ascii="宋体" w:hAnsi="宋体" w:cs="宋体" w:eastAsia="宋体" w:hint="default"/>
          <w:position w:val="-24"/>
          <w:sz w:val="20"/>
          <w:szCs w:val="20"/>
        </w:rPr>
        <w:pict>
          <v:group style="width:412pt;height:61.45pt;mso-position-horizontal-relative:char;mso-position-vertical-relative:line" coordorigin="0,0" coordsize="8240,1229">
            <v:group style="position:absolute;left:29;top:15;width:2831;height:2" coordorigin="29,15" coordsize="2831,2">
              <v:shape style="position:absolute;left:29;top:15;width:2831;height:2" coordorigin="29,15" coordsize="2831,0" path="m29,15l2860,15e" filled="false" stroked="true" strokeweight="1.5pt" strokecolor="#000000">
                <v:path arrowok="t"/>
              </v:shape>
              <v:shape style="position:absolute;left:2860;top:30;width:10;height:28" type="#_x0000_t75" stroked="false">
                <v:imagedata r:id="rId90" o:title=""/>
              </v:shape>
            </v:group>
            <v:group style="position:absolute;left:2860;top:15;width:1536;height:2" coordorigin="2860,15" coordsize="1536,2">
              <v:shape style="position:absolute;left:2860;top:15;width:1536;height:2" coordorigin="2860,15" coordsize="1536,0" path="m2860,15l4396,15e" filled="false" stroked="true" strokeweight="1.5pt" strokecolor="#000000">
                <v:path arrowok="t"/>
              </v:shape>
              <v:shape style="position:absolute;left:4396;top:30;width:10;height:28" type="#_x0000_t75" stroked="false">
                <v:imagedata r:id="rId90" o:title=""/>
              </v:shape>
            </v:group>
            <v:group style="position:absolute;left:4396;top:15;width:1630;height:2" coordorigin="4396,15" coordsize="1630,2">
              <v:shape style="position:absolute;left:4396;top:15;width:1630;height:2" coordorigin="4396,15" coordsize="1630,0" path="m4396,15l6026,15e" filled="false" stroked="true" strokeweight="1.5pt" strokecolor="#000000">
                <v:path arrowok="t"/>
              </v:shape>
              <v:shape style="position:absolute;left:6026;top:30;width:10;height:28" type="#_x0000_t75" stroked="false">
                <v:imagedata r:id="rId90" o:title=""/>
              </v:shape>
            </v:group>
            <v:group style="position:absolute;left:6026;top:15;width:1226;height:2" coordorigin="6026,15" coordsize="1226,2">
              <v:shape style="position:absolute;left:6026;top:15;width:1226;height:2" coordorigin="6026,15" coordsize="1226,0" path="m6026,15l7251,15e" filled="false" stroked="true" strokeweight="1.5pt" strokecolor="#000000">
                <v:path arrowok="t"/>
              </v:shape>
              <v:shape style="position:absolute;left:7251;top:30;width:10;height:28" type="#_x0000_t75" stroked="false">
                <v:imagedata r:id="rId90" o:title=""/>
              </v:shape>
            </v:group>
            <v:group style="position:absolute;left:7251;top:15;width:966;height:2" coordorigin="7251,15" coordsize="966,2">
              <v:shape style="position:absolute;left:7251;top:15;width:966;height:2" coordorigin="7251,15" coordsize="966,0" path="m7251,15l8217,15e" filled="false" stroked="true" strokeweight="1.5pt" strokecolor="#000000">
                <v:path arrowok="t"/>
              </v:shape>
              <v:shape style="position:absolute;left:2841;top:38;width:4439;height:481" type="#_x0000_t75" stroked="false">
                <v:imagedata r:id="rId91" o:title=""/>
              </v:shape>
            </v:group>
            <v:group style="position:absolute;left:15;top:1214;width:2846;height:2" coordorigin="15,1214" coordsize="2846,2">
              <v:shape style="position:absolute;left:15;top:1214;width:2846;height:2" coordorigin="15,1214" coordsize="2846,0" path="m15,1214l2860,1214e" filled="false" stroked="true" strokeweight="1.5pt" strokecolor="#000000">
                <v:path arrowok="t"/>
              </v:shape>
            </v:group>
            <v:group style="position:absolute;left:2860;top:1214;width:1536;height:2" coordorigin="2860,1214" coordsize="1536,2">
              <v:shape style="position:absolute;left:2860;top:1214;width:1536;height:2" coordorigin="2860,1214" coordsize="1536,0" path="m2860,1214l4396,1214e" filled="false" stroked="true" strokeweight="1.5pt" strokecolor="#000000">
                <v:path arrowok="t"/>
              </v:shape>
            </v:group>
            <v:group style="position:absolute;left:4396;top:1214;width:1630;height:2" coordorigin="4396,1214" coordsize="1630,2">
              <v:shape style="position:absolute;left:4396;top:1214;width:1630;height:2" coordorigin="4396,1214" coordsize="1630,0" path="m4396,1214l6026,1214e" filled="false" stroked="true" strokeweight="1.5pt" strokecolor="#000000">
                <v:path arrowok="t"/>
              </v:shape>
            </v:group>
            <v:group style="position:absolute;left:6026;top:1214;width:1226;height:2" coordorigin="6026,1214" coordsize="1226,2">
              <v:shape style="position:absolute;left:6026;top:1214;width:1226;height:2" coordorigin="6026,1214" coordsize="1226,0" path="m6026,1214l7251,1214e" filled="false" stroked="true" strokeweight="1.5pt" strokecolor="#000000">
                <v:path arrowok="t"/>
              </v:shape>
              <v:shape style="position:absolute;left:10;top:481;width:8230;height:718" type="#_x0000_t75" stroked="false">
                <v:imagedata r:id="rId92" o:title=""/>
              </v:shape>
            </v:group>
            <v:group style="position:absolute;left:7251;top:1214;width:966;height:2" coordorigin="7251,1214" coordsize="966,2">
              <v:shape style="position:absolute;left:7251;top:1214;width:966;height:2" coordorigin="7251,1214" coordsize="966,0" path="m7251,1214l8217,1214e" filled="false" stroked="true" strokeweight="1.5pt" strokecolor="#000000">
                <v:path arrowok="t"/>
              </v:shape>
              <v:shape style="position:absolute;left:1126;top:184;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单位名称</w:t>
                      </w:r>
                      <w:r>
                        <w:rPr>
                          <w:rFonts w:ascii="宋体" w:hAnsi="宋体" w:cs="宋体" w:eastAsia="宋体" w:hint="default"/>
                          <w:sz w:val="16"/>
                          <w:szCs w:val="16"/>
                        </w:rPr>
                      </w:r>
                    </w:p>
                  </w:txbxContent>
                </v:textbox>
                <w10:wrap type="none"/>
              </v:shape>
              <v:shape style="position:absolute;left:3071;top:184;width:111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转回或收回金额</w:t>
                      </w:r>
                      <w:r>
                        <w:rPr>
                          <w:rFonts w:ascii="宋体" w:hAnsi="宋体" w:cs="宋体" w:eastAsia="宋体" w:hint="default"/>
                          <w:sz w:val="16"/>
                          <w:szCs w:val="16"/>
                        </w:rPr>
                      </w:r>
                    </w:p>
                  </w:txbxContent>
                </v:textbox>
                <w10:wrap type="none"/>
              </v:shape>
              <v:shape style="position:absolute;left:4575;top:80;width:1280;height:680" type="#_x0000_t202" filled="false" stroked="false">
                <v:textbox inset="0,0,0,0">
                  <w:txbxContent>
                    <w:p>
                      <w:pPr>
                        <w:spacing w:line="159" w:lineRule="exact" w:before="0"/>
                        <w:ind w:left="0" w:right="0" w:firstLine="0"/>
                        <w:jc w:val="center"/>
                        <w:rPr>
                          <w:rFonts w:ascii="宋体" w:hAnsi="宋体" w:cs="宋体" w:eastAsia="宋体" w:hint="default"/>
                          <w:sz w:val="16"/>
                          <w:szCs w:val="16"/>
                        </w:rPr>
                      </w:pPr>
                      <w:r>
                        <w:rPr>
                          <w:rFonts w:ascii="宋体" w:hAnsi="宋体" w:cs="宋体" w:eastAsia="宋体" w:hint="default"/>
                          <w:w w:val="95"/>
                          <w:sz w:val="16"/>
                          <w:szCs w:val="16"/>
                        </w:rPr>
                        <w:t>确定原坏账准备的</w:t>
                      </w:r>
                      <w:r>
                        <w:rPr>
                          <w:rFonts w:ascii="宋体" w:hAnsi="宋体" w:cs="宋体" w:eastAsia="宋体" w:hint="default"/>
                          <w:sz w:val="16"/>
                          <w:szCs w:val="16"/>
                        </w:rPr>
                      </w:r>
                    </w:p>
                    <w:p>
                      <w:pPr>
                        <w:spacing w:line="208" w:lineRule="exact" w:before="0"/>
                        <w:ind w:left="0" w:right="0" w:firstLine="0"/>
                        <w:jc w:val="center"/>
                        <w:rPr>
                          <w:rFonts w:ascii="宋体" w:hAnsi="宋体" w:cs="宋体" w:eastAsia="宋体" w:hint="default"/>
                          <w:sz w:val="16"/>
                          <w:szCs w:val="16"/>
                        </w:rPr>
                      </w:pPr>
                      <w:r>
                        <w:rPr>
                          <w:rFonts w:ascii="宋体" w:hAnsi="宋体" w:cs="宋体" w:eastAsia="宋体" w:hint="default"/>
                          <w:sz w:val="16"/>
                          <w:szCs w:val="16"/>
                        </w:rPr>
                        <w:t>依据及其合理性</w:t>
                      </w:r>
                    </w:p>
                    <w:p>
                      <w:pPr>
                        <w:spacing w:before="102"/>
                        <w:ind w:left="0" w:right="0" w:firstLine="0"/>
                        <w:jc w:val="center"/>
                        <w:rPr>
                          <w:rFonts w:ascii="宋体" w:hAnsi="宋体" w:cs="宋体" w:eastAsia="宋体" w:hint="default"/>
                          <w:sz w:val="16"/>
                          <w:szCs w:val="16"/>
                        </w:rPr>
                      </w:pPr>
                      <w:r>
                        <w:rPr>
                          <w:rFonts w:ascii="宋体" w:hAnsi="宋体" w:cs="宋体" w:eastAsia="宋体" w:hint="default"/>
                          <w:sz w:val="16"/>
                          <w:szCs w:val="16"/>
                        </w:rPr>
                        <w:t>可回收性</w:t>
                      </w:r>
                    </w:p>
                  </w:txbxContent>
                </v:textbox>
                <w10:wrap type="none"/>
              </v:shape>
              <v:shape style="position:absolute;left:6242;top:80;width:800;height:680" type="#_x0000_t202" filled="false" stroked="false">
                <v:textbox inset="0,0,0,0">
                  <w:txbxContent>
                    <w:p>
                      <w:pPr>
                        <w:spacing w:line="159" w:lineRule="exact" w:before="0"/>
                        <w:ind w:left="0" w:right="0" w:firstLine="0"/>
                        <w:jc w:val="center"/>
                        <w:rPr>
                          <w:rFonts w:ascii="宋体" w:hAnsi="宋体" w:cs="宋体" w:eastAsia="宋体" w:hint="default"/>
                          <w:sz w:val="16"/>
                          <w:szCs w:val="16"/>
                        </w:rPr>
                      </w:pPr>
                      <w:r>
                        <w:rPr>
                          <w:rFonts w:ascii="宋体" w:hAnsi="宋体" w:cs="宋体" w:eastAsia="宋体" w:hint="default"/>
                          <w:w w:val="95"/>
                          <w:sz w:val="16"/>
                          <w:szCs w:val="16"/>
                        </w:rPr>
                        <w:t>转回或收回</w:t>
                      </w:r>
                      <w:r>
                        <w:rPr>
                          <w:rFonts w:ascii="宋体" w:hAnsi="宋体" w:cs="宋体" w:eastAsia="宋体" w:hint="default"/>
                          <w:sz w:val="16"/>
                          <w:szCs w:val="16"/>
                        </w:rPr>
                      </w:r>
                    </w:p>
                    <w:p>
                      <w:pPr>
                        <w:spacing w:line="208" w:lineRule="exact" w:before="0"/>
                        <w:ind w:left="0" w:right="0" w:firstLine="0"/>
                        <w:jc w:val="center"/>
                        <w:rPr>
                          <w:rFonts w:ascii="宋体" w:hAnsi="宋体" w:cs="宋体" w:eastAsia="宋体" w:hint="default"/>
                          <w:sz w:val="16"/>
                          <w:szCs w:val="16"/>
                        </w:rPr>
                      </w:pPr>
                      <w:r>
                        <w:rPr>
                          <w:rFonts w:ascii="宋体" w:hAnsi="宋体" w:cs="宋体" w:eastAsia="宋体" w:hint="default"/>
                          <w:sz w:val="16"/>
                          <w:szCs w:val="16"/>
                        </w:rPr>
                        <w:t>原因</w:t>
                      </w:r>
                    </w:p>
                    <w:p>
                      <w:pPr>
                        <w:spacing w:before="102"/>
                        <w:ind w:left="0" w:right="0" w:firstLine="0"/>
                        <w:jc w:val="center"/>
                        <w:rPr>
                          <w:rFonts w:ascii="宋体" w:hAnsi="宋体" w:cs="宋体" w:eastAsia="宋体" w:hint="default"/>
                          <w:sz w:val="16"/>
                          <w:szCs w:val="16"/>
                        </w:rPr>
                      </w:pPr>
                      <w:r>
                        <w:rPr>
                          <w:rFonts w:ascii="宋体" w:hAnsi="宋体" w:cs="宋体" w:eastAsia="宋体" w:hint="default"/>
                          <w:sz w:val="16"/>
                          <w:szCs w:val="16"/>
                        </w:rPr>
                        <w:t>收到款项</w:t>
                      </w:r>
                    </w:p>
                  </w:txbxContent>
                </v:textbox>
                <w10:wrap type="none"/>
              </v:shape>
              <v:shape style="position:absolute;left:7415;top:184;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收回方式</w:t>
                      </w:r>
                      <w:r>
                        <w:rPr>
                          <w:rFonts w:ascii="宋体" w:hAnsi="宋体" w:cs="宋体" w:eastAsia="宋体" w:hint="default"/>
                          <w:sz w:val="16"/>
                          <w:szCs w:val="16"/>
                        </w:rPr>
                      </w:r>
                    </w:p>
                  </w:txbxContent>
                </v:textbox>
                <w10:wrap type="none"/>
              </v:shape>
              <v:shape style="position:absolute;left:137;top:600;width:239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四平市铁东区教育技术装备办公室</w:t>
                      </w:r>
                      <w:r>
                        <w:rPr>
                          <w:rFonts w:ascii="宋体" w:hAnsi="宋体" w:cs="宋体" w:eastAsia="宋体" w:hint="default"/>
                          <w:sz w:val="16"/>
                          <w:szCs w:val="16"/>
                        </w:rPr>
                      </w:r>
                    </w:p>
                  </w:txbxContent>
                </v:textbox>
                <w10:wrap type="none"/>
              </v:shape>
              <v:shape style="position:absolute;left:3452;top:613;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1,049,700.00</w:t>
                      </w:r>
                      <w:r>
                        <w:rPr>
                          <w:rFonts w:ascii="Times New Roman"/>
                          <w:sz w:val="16"/>
                        </w:rPr>
                      </w:r>
                    </w:p>
                  </w:txbxContent>
                </v:textbox>
                <w10:wrap type="none"/>
              </v:shape>
              <v:shape style="position:absolute;left:7363;top:600;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货币回款</w:t>
                      </w:r>
                      <w:r>
                        <w:rPr>
                          <w:rFonts w:ascii="宋体" w:hAnsi="宋体" w:cs="宋体" w:eastAsia="宋体" w:hint="default"/>
                          <w:sz w:val="16"/>
                          <w:szCs w:val="16"/>
                        </w:rPr>
                      </w:r>
                    </w:p>
                  </w:txbxContent>
                </v:textbox>
                <w10:wrap type="none"/>
              </v:shape>
              <v:shape style="position:absolute;left:137;top:948;width:2238;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武汉新泽世纪科技发展有限公司</w:t>
                      </w:r>
                      <w:r>
                        <w:rPr>
                          <w:rFonts w:ascii="宋体" w:hAnsi="宋体" w:cs="宋体" w:eastAsia="宋体" w:hint="default"/>
                          <w:sz w:val="16"/>
                          <w:szCs w:val="16"/>
                        </w:rPr>
                      </w:r>
                    </w:p>
                  </w:txbxContent>
                </v:textbox>
                <w10:wrap type="none"/>
              </v:shape>
              <v:shape style="position:absolute;left:3572;top:961;width:7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674,597.70</w:t>
                      </w:r>
                      <w:r>
                        <w:rPr>
                          <w:rFonts w:ascii="Times New Roman"/>
                          <w:sz w:val="16"/>
                        </w:rPr>
                      </w:r>
                    </w:p>
                  </w:txbxContent>
                </v:textbox>
                <w10:wrap type="none"/>
              </v:shape>
              <v:shape style="position:absolute;left:4894;top:94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可回收性</w:t>
                      </w:r>
                      <w:r>
                        <w:rPr>
                          <w:rFonts w:ascii="宋体" w:hAnsi="宋体" w:cs="宋体" w:eastAsia="宋体" w:hint="default"/>
                          <w:sz w:val="16"/>
                          <w:szCs w:val="16"/>
                        </w:rPr>
                      </w:r>
                    </w:p>
                  </w:txbxContent>
                </v:textbox>
                <w10:wrap type="none"/>
              </v:shape>
              <v:shape style="position:absolute;left:6322;top:94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诉讼收回</w:t>
                      </w:r>
                      <w:r>
                        <w:rPr>
                          <w:rFonts w:ascii="宋体" w:hAnsi="宋体" w:cs="宋体" w:eastAsia="宋体" w:hint="default"/>
                          <w:sz w:val="16"/>
                          <w:szCs w:val="16"/>
                        </w:rPr>
                      </w:r>
                    </w:p>
                  </w:txbxContent>
                </v:textbox>
                <w10:wrap type="none"/>
              </v:shape>
              <v:shape style="position:absolute;left:7363;top:94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货币回款</w:t>
                      </w:r>
                      <w:r>
                        <w:rPr>
                          <w:rFonts w:ascii="宋体" w:hAnsi="宋体" w:cs="宋体" w:eastAsia="宋体" w:hint="default"/>
                          <w:sz w:val="16"/>
                          <w:szCs w:val="16"/>
                        </w:rPr>
                      </w:r>
                    </w:p>
                  </w:txbxContent>
                </v:textbox>
                <w10:wrap type="none"/>
              </v:shape>
            </v:group>
          </v:group>
        </w:pict>
      </w:r>
      <w:r>
        <w:rPr>
          <w:rFonts w:ascii="宋体" w:hAnsi="宋体" w:cs="宋体" w:eastAsia="宋体" w:hint="default"/>
          <w:position w:val="-24"/>
          <w:sz w:val="20"/>
          <w:szCs w:val="20"/>
        </w:rPr>
      </w:r>
    </w:p>
    <w:p>
      <w:pPr>
        <w:spacing w:after="0" w:line="1228" w:lineRule="exact"/>
        <w:rPr>
          <w:rFonts w:ascii="宋体" w:hAnsi="宋体" w:cs="宋体" w:eastAsia="宋体" w:hint="default"/>
          <w:sz w:val="20"/>
          <w:szCs w:val="20"/>
        </w:rPr>
        <w:sectPr>
          <w:footerReference w:type="default" r:id="rId80"/>
          <w:pgSz w:w="11910" w:h="16840"/>
          <w:pgMar w:footer="1001" w:header="0" w:top="1520" w:bottom="1200" w:left="1660" w:right="0"/>
          <w:pgNumType w:start="32"/>
        </w:sectPr>
      </w:pPr>
    </w:p>
    <w:p>
      <w:pPr>
        <w:spacing w:line="240" w:lineRule="auto" w:before="2"/>
        <w:rPr>
          <w:rFonts w:ascii="宋体" w:hAnsi="宋体" w:cs="宋体" w:eastAsia="宋体" w:hint="default"/>
          <w:sz w:val="9"/>
          <w:szCs w:val="9"/>
        </w:rPr>
      </w:pPr>
    </w:p>
    <w:p>
      <w:pPr>
        <w:spacing w:line="1927" w:lineRule="exact"/>
        <w:ind w:left="720" w:right="0" w:firstLine="0"/>
        <w:rPr>
          <w:rFonts w:ascii="宋体" w:hAnsi="宋体" w:cs="宋体" w:eastAsia="宋体" w:hint="default"/>
          <w:sz w:val="20"/>
          <w:szCs w:val="20"/>
        </w:rPr>
      </w:pPr>
      <w:r>
        <w:rPr>
          <w:rFonts w:ascii="宋体" w:hAnsi="宋体" w:cs="宋体" w:eastAsia="宋体" w:hint="default"/>
          <w:position w:val="-38"/>
          <w:sz w:val="20"/>
          <w:szCs w:val="20"/>
        </w:rPr>
        <w:pict>
          <v:group style="width:412pt;height:96.4pt;mso-position-horizontal-relative:char;mso-position-vertical-relative:line" coordorigin="0,0" coordsize="8240,1928">
            <v:group style="position:absolute;left:29;top:15;width:2831;height:2" coordorigin="29,15" coordsize="2831,2">
              <v:shape style="position:absolute;left:29;top:15;width:2831;height:2" coordorigin="29,15" coordsize="2831,0" path="m29,15l2860,15e" filled="false" stroked="true" strokeweight="1.5pt" strokecolor="#000000">
                <v:path arrowok="t"/>
              </v:shape>
              <v:shape style="position:absolute;left:2860;top:30;width:10;height:28" type="#_x0000_t75" stroked="false">
                <v:imagedata r:id="rId37" o:title=""/>
              </v:shape>
            </v:group>
            <v:group style="position:absolute;left:2860;top:15;width:1536;height:2" coordorigin="2860,15" coordsize="1536,2">
              <v:shape style="position:absolute;left:2860;top:15;width:1536;height:2" coordorigin="2860,15" coordsize="1536,0" path="m2860,15l4396,15e" filled="false" stroked="true" strokeweight="1.5pt" strokecolor="#000000">
                <v:path arrowok="t"/>
              </v:shape>
              <v:shape style="position:absolute;left:4396;top:30;width:10;height:28" type="#_x0000_t75" stroked="false">
                <v:imagedata r:id="rId37" o:title=""/>
              </v:shape>
            </v:group>
            <v:group style="position:absolute;left:4396;top:15;width:1630;height:2" coordorigin="4396,15" coordsize="1630,2">
              <v:shape style="position:absolute;left:4396;top:15;width:1630;height:2" coordorigin="4396,15" coordsize="1630,0" path="m4396,15l6026,15e" filled="false" stroked="true" strokeweight="1.5pt" strokecolor="#000000">
                <v:path arrowok="t"/>
              </v:shape>
              <v:shape style="position:absolute;left:6026;top:30;width:10;height:28" type="#_x0000_t75" stroked="false">
                <v:imagedata r:id="rId37" o:title=""/>
              </v:shape>
            </v:group>
            <v:group style="position:absolute;left:6026;top:15;width:1226;height:2" coordorigin="6026,15" coordsize="1226,2">
              <v:shape style="position:absolute;left:6026;top:15;width:1226;height:2" coordorigin="6026,15" coordsize="1226,0" path="m6026,15l7251,15e" filled="false" stroked="true" strokeweight="1.5pt" strokecolor="#000000">
                <v:path arrowok="t"/>
              </v:shape>
              <v:shape style="position:absolute;left:7251;top:30;width:10;height:28" type="#_x0000_t75" stroked="false">
                <v:imagedata r:id="rId37" o:title=""/>
              </v:shape>
            </v:group>
            <v:group style="position:absolute;left:7251;top:15;width:966;height:2" coordorigin="7251,15" coordsize="966,2">
              <v:shape style="position:absolute;left:7251;top:15;width:966;height:2" coordorigin="7251,15" coordsize="966,0" path="m7251,15l8217,15e" filled="false" stroked="true" strokeweight="1.5pt" strokecolor="#000000">
                <v:path arrowok="t"/>
              </v:shape>
              <v:shape style="position:absolute;left:2841;top:38;width:4439;height:482" type="#_x0000_t75" stroked="false">
                <v:imagedata r:id="rId93" o:title=""/>
              </v:shape>
            </v:group>
            <v:group style="position:absolute;left:15;top:1912;width:2846;height:2" coordorigin="15,1912" coordsize="2846,2">
              <v:shape style="position:absolute;left:15;top:1912;width:2846;height:2" coordorigin="15,1912" coordsize="2846,0" path="m15,1912l2860,1912e" filled="false" stroked="true" strokeweight="1.5pt" strokecolor="#000000">
                <v:path arrowok="t"/>
              </v:shape>
            </v:group>
            <v:group style="position:absolute;left:2860;top:1912;width:1536;height:2" coordorigin="2860,1912" coordsize="1536,2">
              <v:shape style="position:absolute;left:2860;top:1912;width:1536;height:2" coordorigin="2860,1912" coordsize="1536,0" path="m2860,1912l4396,1912e" filled="false" stroked="true" strokeweight="1.5pt" strokecolor="#000000">
                <v:path arrowok="t"/>
              </v:shape>
            </v:group>
            <v:group style="position:absolute;left:4396;top:1912;width:1630;height:2" coordorigin="4396,1912" coordsize="1630,2">
              <v:shape style="position:absolute;left:4396;top:1912;width:1630;height:2" coordorigin="4396,1912" coordsize="1630,0" path="m4396,1912l6026,1912e" filled="false" stroked="true" strokeweight="1.5pt" strokecolor="#000000">
                <v:path arrowok="t"/>
              </v:shape>
            </v:group>
            <v:group style="position:absolute;left:6026;top:1912;width:1226;height:2" coordorigin="6026,1912" coordsize="1226,2">
              <v:shape style="position:absolute;left:6026;top:1912;width:1226;height:2" coordorigin="6026,1912" coordsize="1226,0" path="m6026,1912l7251,1912e" filled="false" stroked="true" strokeweight="1.5pt" strokecolor="#000000">
                <v:path arrowok="t"/>
              </v:shape>
              <v:shape style="position:absolute;left:10;top:482;width:8230;height:1415" type="#_x0000_t75" stroked="false">
                <v:imagedata r:id="rId94" o:title=""/>
              </v:shape>
            </v:group>
            <v:group style="position:absolute;left:7251;top:1912;width:966;height:2" coordorigin="7251,1912" coordsize="966,2">
              <v:shape style="position:absolute;left:7251;top:1912;width:966;height:2" coordorigin="7251,1912" coordsize="966,0" path="m7251,1912l8217,1912e" filled="false" stroked="true" strokeweight="1.5pt" strokecolor="#000000">
                <v:path arrowok="t"/>
              </v:shape>
              <v:shape style="position:absolute;left:1126;top:184;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单位名称</w:t>
                      </w:r>
                      <w:r>
                        <w:rPr>
                          <w:rFonts w:ascii="宋体" w:hAnsi="宋体" w:cs="宋体" w:eastAsia="宋体" w:hint="default"/>
                          <w:sz w:val="16"/>
                          <w:szCs w:val="16"/>
                        </w:rPr>
                      </w:r>
                    </w:p>
                  </w:txbxContent>
                </v:textbox>
                <w10:wrap type="none"/>
              </v:shape>
              <v:shape style="position:absolute;left:3071;top:184;width:111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转回或收回金额</w:t>
                      </w:r>
                      <w:r>
                        <w:rPr>
                          <w:rFonts w:ascii="宋体" w:hAnsi="宋体" w:cs="宋体" w:eastAsia="宋体" w:hint="default"/>
                          <w:sz w:val="16"/>
                          <w:szCs w:val="16"/>
                        </w:rPr>
                      </w:r>
                    </w:p>
                  </w:txbxContent>
                </v:textbox>
                <w10:wrap type="none"/>
              </v:shape>
              <v:shape style="position:absolute;left:4575;top:81;width:1280;height:678" type="#_x0000_t202" filled="false" stroked="false">
                <v:textbox inset="0,0,0,0">
                  <w:txbxContent>
                    <w:p>
                      <w:pPr>
                        <w:spacing w:line="159" w:lineRule="exact" w:before="0"/>
                        <w:ind w:left="0" w:right="0" w:firstLine="0"/>
                        <w:jc w:val="center"/>
                        <w:rPr>
                          <w:rFonts w:ascii="宋体" w:hAnsi="宋体" w:cs="宋体" w:eastAsia="宋体" w:hint="default"/>
                          <w:sz w:val="16"/>
                          <w:szCs w:val="16"/>
                        </w:rPr>
                      </w:pPr>
                      <w:r>
                        <w:rPr>
                          <w:rFonts w:ascii="宋体" w:hAnsi="宋体" w:cs="宋体" w:eastAsia="宋体" w:hint="default"/>
                          <w:w w:val="95"/>
                          <w:sz w:val="16"/>
                          <w:szCs w:val="16"/>
                        </w:rPr>
                        <w:t>确定原坏账准备的</w:t>
                      </w:r>
                      <w:r>
                        <w:rPr>
                          <w:rFonts w:ascii="宋体" w:hAnsi="宋体" w:cs="宋体" w:eastAsia="宋体" w:hint="default"/>
                          <w:sz w:val="16"/>
                          <w:szCs w:val="16"/>
                        </w:rPr>
                      </w:r>
                    </w:p>
                    <w:p>
                      <w:pPr>
                        <w:spacing w:line="208" w:lineRule="exact" w:before="0"/>
                        <w:ind w:left="0" w:right="0" w:firstLine="0"/>
                        <w:jc w:val="center"/>
                        <w:rPr>
                          <w:rFonts w:ascii="宋体" w:hAnsi="宋体" w:cs="宋体" w:eastAsia="宋体" w:hint="default"/>
                          <w:sz w:val="16"/>
                          <w:szCs w:val="16"/>
                        </w:rPr>
                      </w:pPr>
                      <w:r>
                        <w:rPr>
                          <w:rFonts w:ascii="宋体" w:hAnsi="宋体" w:cs="宋体" w:eastAsia="宋体" w:hint="default"/>
                          <w:sz w:val="16"/>
                          <w:szCs w:val="16"/>
                        </w:rPr>
                        <w:t>依据及其合理性</w:t>
                      </w:r>
                    </w:p>
                    <w:p>
                      <w:pPr>
                        <w:spacing w:before="101"/>
                        <w:ind w:left="0" w:right="0" w:firstLine="0"/>
                        <w:jc w:val="center"/>
                        <w:rPr>
                          <w:rFonts w:ascii="宋体" w:hAnsi="宋体" w:cs="宋体" w:eastAsia="宋体" w:hint="default"/>
                          <w:sz w:val="16"/>
                          <w:szCs w:val="16"/>
                        </w:rPr>
                      </w:pPr>
                      <w:r>
                        <w:rPr>
                          <w:rFonts w:ascii="宋体" w:hAnsi="宋体" w:cs="宋体" w:eastAsia="宋体" w:hint="default"/>
                          <w:sz w:val="16"/>
                          <w:szCs w:val="16"/>
                        </w:rPr>
                        <w:t>可回收性</w:t>
                      </w:r>
                    </w:p>
                  </w:txbxContent>
                </v:textbox>
                <w10:wrap type="none"/>
              </v:shape>
              <v:shape style="position:absolute;left:6242;top:81;width:800;height:678" type="#_x0000_t202" filled="false" stroked="false">
                <v:textbox inset="0,0,0,0">
                  <w:txbxContent>
                    <w:p>
                      <w:pPr>
                        <w:spacing w:line="159" w:lineRule="exact" w:before="0"/>
                        <w:ind w:left="0" w:right="0" w:firstLine="0"/>
                        <w:jc w:val="center"/>
                        <w:rPr>
                          <w:rFonts w:ascii="宋体" w:hAnsi="宋体" w:cs="宋体" w:eastAsia="宋体" w:hint="default"/>
                          <w:sz w:val="16"/>
                          <w:szCs w:val="16"/>
                        </w:rPr>
                      </w:pPr>
                      <w:r>
                        <w:rPr>
                          <w:rFonts w:ascii="宋体" w:hAnsi="宋体" w:cs="宋体" w:eastAsia="宋体" w:hint="default"/>
                          <w:w w:val="95"/>
                          <w:sz w:val="16"/>
                          <w:szCs w:val="16"/>
                        </w:rPr>
                        <w:t>转回或收回</w:t>
                      </w:r>
                      <w:r>
                        <w:rPr>
                          <w:rFonts w:ascii="宋体" w:hAnsi="宋体" w:cs="宋体" w:eastAsia="宋体" w:hint="default"/>
                          <w:sz w:val="16"/>
                          <w:szCs w:val="16"/>
                        </w:rPr>
                      </w:r>
                    </w:p>
                    <w:p>
                      <w:pPr>
                        <w:spacing w:line="208" w:lineRule="exact" w:before="0"/>
                        <w:ind w:left="0" w:right="0" w:firstLine="0"/>
                        <w:jc w:val="center"/>
                        <w:rPr>
                          <w:rFonts w:ascii="宋体" w:hAnsi="宋体" w:cs="宋体" w:eastAsia="宋体" w:hint="default"/>
                          <w:sz w:val="16"/>
                          <w:szCs w:val="16"/>
                        </w:rPr>
                      </w:pPr>
                      <w:r>
                        <w:rPr>
                          <w:rFonts w:ascii="宋体" w:hAnsi="宋体" w:cs="宋体" w:eastAsia="宋体" w:hint="default"/>
                          <w:sz w:val="16"/>
                          <w:szCs w:val="16"/>
                        </w:rPr>
                        <w:t>原因</w:t>
                      </w:r>
                    </w:p>
                    <w:p>
                      <w:pPr>
                        <w:spacing w:before="101"/>
                        <w:ind w:left="0" w:right="0" w:firstLine="0"/>
                        <w:jc w:val="center"/>
                        <w:rPr>
                          <w:rFonts w:ascii="宋体" w:hAnsi="宋体" w:cs="宋体" w:eastAsia="宋体" w:hint="default"/>
                          <w:sz w:val="16"/>
                          <w:szCs w:val="16"/>
                        </w:rPr>
                      </w:pPr>
                      <w:r>
                        <w:rPr>
                          <w:rFonts w:ascii="宋体" w:hAnsi="宋体" w:cs="宋体" w:eastAsia="宋体" w:hint="default"/>
                          <w:sz w:val="16"/>
                          <w:szCs w:val="16"/>
                        </w:rPr>
                        <w:t>收到款项</w:t>
                      </w:r>
                    </w:p>
                  </w:txbxContent>
                </v:textbox>
                <w10:wrap type="none"/>
              </v:shape>
              <v:shape style="position:absolute;left:7415;top:184;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收回方式</w:t>
                      </w:r>
                      <w:r>
                        <w:rPr>
                          <w:rFonts w:ascii="宋体" w:hAnsi="宋体" w:cs="宋体" w:eastAsia="宋体" w:hint="default"/>
                          <w:sz w:val="16"/>
                          <w:szCs w:val="16"/>
                        </w:rPr>
                      </w:r>
                    </w:p>
                  </w:txbxContent>
                </v:textbox>
                <w10:wrap type="none"/>
              </v:shape>
              <v:shape style="position:absolute;left:137;top:600;width:14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河北省唐县第二中学</w:t>
                      </w:r>
                      <w:r>
                        <w:rPr>
                          <w:rFonts w:ascii="宋体" w:hAnsi="宋体" w:cs="宋体" w:eastAsia="宋体" w:hint="default"/>
                          <w:sz w:val="16"/>
                          <w:szCs w:val="16"/>
                        </w:rPr>
                      </w:r>
                    </w:p>
                  </w:txbxContent>
                </v:textbox>
                <w10:wrap type="none"/>
              </v:shape>
              <v:shape style="position:absolute;left:3572;top:613;width:7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600,000.00</w:t>
                      </w:r>
                      <w:r>
                        <w:rPr>
                          <w:rFonts w:ascii="Times New Roman"/>
                          <w:sz w:val="16"/>
                        </w:rPr>
                      </w:r>
                    </w:p>
                  </w:txbxContent>
                </v:textbox>
                <w10:wrap type="none"/>
              </v:shape>
              <v:shape style="position:absolute;left:7363;top:600;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货币回款</w:t>
                      </w:r>
                      <w:r>
                        <w:rPr>
                          <w:rFonts w:ascii="宋体" w:hAnsi="宋体" w:cs="宋体" w:eastAsia="宋体" w:hint="default"/>
                          <w:sz w:val="16"/>
                          <w:szCs w:val="16"/>
                        </w:rPr>
                      </w:r>
                    </w:p>
                  </w:txbxContent>
                </v:textbox>
                <w10:wrap type="none"/>
              </v:shape>
              <v:shape style="position:absolute;left:137;top:949;width:20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齐齐哈尔市富拉尔基区教育局</w:t>
                      </w:r>
                      <w:r>
                        <w:rPr>
                          <w:rFonts w:ascii="宋体" w:hAnsi="宋体" w:cs="宋体" w:eastAsia="宋体" w:hint="default"/>
                          <w:sz w:val="16"/>
                          <w:szCs w:val="16"/>
                        </w:rPr>
                      </w:r>
                    </w:p>
                  </w:txbxContent>
                </v:textbox>
                <w10:wrap type="none"/>
              </v:shape>
              <v:shape style="position:absolute;left:3572;top:962;width:7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400,000.00</w:t>
                      </w:r>
                      <w:r>
                        <w:rPr>
                          <w:rFonts w:ascii="Times New Roman"/>
                          <w:sz w:val="16"/>
                        </w:rPr>
                      </w:r>
                    </w:p>
                  </w:txbxContent>
                </v:textbox>
                <w10:wrap type="none"/>
              </v:shape>
              <v:shape style="position:absolute;left:4894;top:949;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可回收性</w:t>
                      </w:r>
                      <w:r>
                        <w:rPr>
                          <w:rFonts w:ascii="宋体" w:hAnsi="宋体" w:cs="宋体" w:eastAsia="宋体" w:hint="default"/>
                          <w:sz w:val="16"/>
                          <w:szCs w:val="16"/>
                        </w:rPr>
                      </w:r>
                    </w:p>
                  </w:txbxContent>
                </v:textbox>
                <w10:wrap type="none"/>
              </v:shape>
              <v:shape style="position:absolute;left:6322;top:949;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收到款项</w:t>
                      </w:r>
                      <w:r>
                        <w:rPr>
                          <w:rFonts w:ascii="宋体" w:hAnsi="宋体" w:cs="宋体" w:eastAsia="宋体" w:hint="default"/>
                          <w:sz w:val="16"/>
                          <w:szCs w:val="16"/>
                        </w:rPr>
                      </w:r>
                    </w:p>
                  </w:txbxContent>
                </v:textbox>
                <w10:wrap type="none"/>
              </v:shape>
              <v:shape style="position:absolute;left:7363;top:949;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货币回款</w:t>
                      </w:r>
                      <w:r>
                        <w:rPr>
                          <w:rFonts w:ascii="宋体" w:hAnsi="宋体" w:cs="宋体" w:eastAsia="宋体" w:hint="default"/>
                          <w:sz w:val="16"/>
                          <w:szCs w:val="16"/>
                        </w:rPr>
                      </w:r>
                    </w:p>
                  </w:txbxContent>
                </v:textbox>
                <w10:wrap type="none"/>
              </v:shape>
              <v:shape style="position:absolute;left:137;top:1298;width:1758;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贵阳兴一凡科技有限公司</w:t>
                      </w:r>
                      <w:r>
                        <w:rPr>
                          <w:rFonts w:ascii="宋体" w:hAnsi="宋体" w:cs="宋体" w:eastAsia="宋体" w:hint="default"/>
                          <w:sz w:val="16"/>
                          <w:szCs w:val="16"/>
                        </w:rPr>
                      </w:r>
                    </w:p>
                  </w:txbxContent>
                </v:textbox>
                <w10:wrap type="none"/>
              </v:shape>
              <v:shape style="position:absolute;left:3572;top:1312;width:7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328,520.53</w:t>
                      </w:r>
                      <w:r>
                        <w:rPr>
                          <w:rFonts w:ascii="Times New Roman"/>
                          <w:sz w:val="16"/>
                        </w:rPr>
                      </w:r>
                    </w:p>
                  </w:txbxContent>
                </v:textbox>
                <w10:wrap type="none"/>
              </v:shape>
              <v:shape style="position:absolute;left:4894;top:129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可回收性</w:t>
                      </w:r>
                      <w:r>
                        <w:rPr>
                          <w:rFonts w:ascii="宋体" w:hAnsi="宋体" w:cs="宋体" w:eastAsia="宋体" w:hint="default"/>
                          <w:sz w:val="16"/>
                          <w:szCs w:val="16"/>
                        </w:rPr>
                      </w:r>
                    </w:p>
                  </w:txbxContent>
                </v:textbox>
                <w10:wrap type="none"/>
              </v:shape>
              <v:shape style="position:absolute;left:6322;top:129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诉讼收回</w:t>
                      </w:r>
                      <w:r>
                        <w:rPr>
                          <w:rFonts w:ascii="宋体" w:hAnsi="宋体" w:cs="宋体" w:eastAsia="宋体" w:hint="default"/>
                          <w:sz w:val="16"/>
                          <w:szCs w:val="16"/>
                        </w:rPr>
                      </w:r>
                    </w:p>
                  </w:txbxContent>
                </v:textbox>
                <w10:wrap type="none"/>
              </v:shape>
              <v:shape style="position:absolute;left:7363;top:129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货币回款</w:t>
                      </w:r>
                      <w:r>
                        <w:rPr>
                          <w:rFonts w:ascii="宋体" w:hAnsi="宋体" w:cs="宋体" w:eastAsia="宋体" w:hint="default"/>
                          <w:sz w:val="16"/>
                          <w:szCs w:val="16"/>
                        </w:rPr>
                      </w:r>
                    </w:p>
                  </w:txbxContent>
                </v:textbox>
                <w10:wrap type="none"/>
              </v:shape>
              <v:shape style="position:absolute;left:1286;top:1647;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合计</w:t>
                      </w:r>
                      <w:r>
                        <w:rPr>
                          <w:rFonts w:ascii="宋体" w:hAnsi="宋体" w:cs="宋体" w:eastAsia="宋体" w:hint="default"/>
                          <w:sz w:val="16"/>
                          <w:szCs w:val="16"/>
                        </w:rPr>
                      </w:r>
                    </w:p>
                  </w:txbxContent>
                </v:textbox>
                <w10:wrap type="none"/>
              </v:shape>
              <v:shape style="position:absolute;left:3452;top:1661;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3,052,818.23</w:t>
                      </w:r>
                      <w:r>
                        <w:rPr>
                          <w:rFonts w:ascii="Times New Roman"/>
                          <w:sz w:val="16"/>
                        </w:rPr>
                      </w:r>
                    </w:p>
                  </w:txbxContent>
                </v:textbox>
                <w10:wrap type="none"/>
              </v:shape>
            </v:group>
          </v:group>
        </w:pict>
      </w:r>
      <w:r>
        <w:rPr>
          <w:rFonts w:ascii="宋体" w:hAnsi="宋体" w:cs="宋体" w:eastAsia="宋体" w:hint="default"/>
          <w:position w:val="-38"/>
          <w:sz w:val="20"/>
          <w:szCs w:val="20"/>
        </w:rPr>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pStyle w:val="BodyText"/>
        <w:spacing w:line="240" w:lineRule="auto" w:before="35"/>
        <w:ind w:right="3681"/>
        <w:jc w:val="left"/>
      </w:pPr>
      <w:r>
        <w:rPr/>
        <w:t>（</w:t>
      </w:r>
      <w:r>
        <w:rPr>
          <w:rFonts w:ascii="Times New Roman" w:hAnsi="Times New Roman" w:cs="Times New Roman" w:eastAsia="Times New Roman" w:hint="default"/>
        </w:rPr>
        <w:t>3</w:t>
      </w:r>
      <w:r>
        <w:rPr/>
        <w:t>）本期实际核销的应收账款情况</w:t>
      </w:r>
    </w:p>
    <w:p>
      <w:pPr>
        <w:spacing w:line="747" w:lineRule="exact"/>
        <w:ind w:left="720" w:right="0" w:firstLine="0"/>
        <w:rPr>
          <w:rFonts w:ascii="宋体" w:hAnsi="宋体" w:cs="宋体" w:eastAsia="宋体" w:hint="default"/>
          <w:sz w:val="20"/>
          <w:szCs w:val="20"/>
        </w:rPr>
      </w:pPr>
      <w:r>
        <w:rPr>
          <w:rFonts w:ascii="宋体" w:hAnsi="宋体" w:cs="宋体" w:eastAsia="宋体" w:hint="default"/>
          <w:position w:val="-14"/>
          <w:sz w:val="20"/>
          <w:szCs w:val="20"/>
        </w:rPr>
        <w:pict>
          <v:group style="width:411.6pt;height:37.4pt;mso-position-horizontal-relative:char;mso-position-vertical-relative:line" coordorigin="0,0" coordsize="8232,748">
            <v:group style="position:absolute;left:29;top:15;width:4692;height:2" coordorigin="29,15" coordsize="4692,2">
              <v:shape style="position:absolute;left:29;top:15;width:4692;height:2" coordorigin="29,15" coordsize="4692,0" path="m29,15l4721,15e" filled="false" stroked="true" strokeweight="1.5pt" strokecolor="#000000">
                <v:path arrowok="t"/>
              </v:shape>
            </v:group>
            <v:group style="position:absolute;left:4721;top:15;width:3496;height:2" coordorigin="4721,15" coordsize="3496,2">
              <v:shape style="position:absolute;left:4721;top:15;width:3496;height:2" coordorigin="4721,15" coordsize="3496,0" path="m4721,15l8217,15e" filled="false" stroked="true" strokeweight="1.5pt" strokecolor="#000000">
                <v:path arrowok="t"/>
              </v:shape>
            </v:group>
            <v:group style="position:absolute;left:15;top:733;width:4707;height:2" coordorigin="15,733" coordsize="4707,2">
              <v:shape style="position:absolute;left:15;top:733;width:4707;height:2" coordorigin="15,733" coordsize="4707,0" path="m15,733l4721,733e" filled="false" stroked="true" strokeweight="1.5pt" strokecolor="#000000">
                <v:path arrowok="t"/>
              </v:shape>
              <v:shape style="position:absolute;left:10;top:30;width:8215;height:688" type="#_x0000_t75" stroked="false">
                <v:imagedata r:id="rId95" o:title=""/>
              </v:shape>
            </v:group>
            <v:group style="position:absolute;left:4721;top:733;width:3496;height:2" coordorigin="4721,733" coordsize="3496,2">
              <v:shape style="position:absolute;left:4721;top:733;width:3496;height:2" coordorigin="4721,733" coordsize="3496,0" path="m4721,733l8217,733e" filled="false" stroked="true" strokeweight="1.5pt" strokecolor="#000000">
                <v:path arrowok="t"/>
              </v:shape>
              <v:shape style="position:absolute;left:2217;top:118;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项目</w:t>
                      </w:r>
                      <w:r>
                        <w:rPr>
                          <w:rFonts w:ascii="宋体" w:hAnsi="宋体" w:cs="宋体" w:eastAsia="宋体" w:hint="default"/>
                          <w:sz w:val="16"/>
                          <w:szCs w:val="16"/>
                        </w:rPr>
                      </w:r>
                    </w:p>
                  </w:txbxContent>
                </v:textbox>
                <w10:wrap type="none"/>
              </v:shape>
              <v:shape style="position:absolute;left:6152;top:11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核销金额</w:t>
                      </w:r>
                      <w:r>
                        <w:rPr>
                          <w:rFonts w:ascii="宋体" w:hAnsi="宋体" w:cs="宋体" w:eastAsia="宋体" w:hint="default"/>
                          <w:sz w:val="16"/>
                          <w:szCs w:val="16"/>
                        </w:rPr>
                      </w:r>
                    </w:p>
                  </w:txbxContent>
                </v:textbox>
                <w10:wrap type="none"/>
              </v:shape>
              <v:shape style="position:absolute;left:137;top:468;width:14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实际核销的应收账款</w:t>
                      </w:r>
                      <w:r>
                        <w:rPr>
                          <w:rFonts w:ascii="宋体" w:hAnsi="宋体" w:cs="宋体" w:eastAsia="宋体" w:hint="default"/>
                          <w:sz w:val="16"/>
                          <w:szCs w:val="16"/>
                        </w:rPr>
                      </w:r>
                    </w:p>
                  </w:txbxContent>
                </v:textbox>
                <w10:wrap type="none"/>
              </v:shape>
              <v:shape style="position:absolute;left:7389;top:481;width:7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644,596.19</w:t>
                      </w:r>
                      <w:r>
                        <w:rPr>
                          <w:rFonts w:ascii="Times New Roman"/>
                          <w:sz w:val="16"/>
                        </w:rPr>
                      </w:r>
                    </w:p>
                  </w:txbxContent>
                </v:textbox>
                <w10:wrap type="none"/>
              </v:shape>
            </v:group>
          </v:group>
        </w:pict>
      </w:r>
      <w:r>
        <w:rPr>
          <w:rFonts w:ascii="宋体" w:hAnsi="宋体" w:cs="宋体" w:eastAsia="宋体" w:hint="default"/>
          <w:position w:val="-14"/>
          <w:sz w:val="20"/>
          <w:szCs w:val="20"/>
        </w:rPr>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6"/>
          <w:szCs w:val="16"/>
        </w:rPr>
      </w:pPr>
    </w:p>
    <w:p>
      <w:pPr>
        <w:pStyle w:val="BodyText"/>
        <w:spacing w:line="240" w:lineRule="auto" w:before="35"/>
        <w:ind w:right="3681"/>
        <w:jc w:val="left"/>
      </w:pPr>
      <w:r>
        <w:rPr/>
        <w:t>其中重要的应收账款核销情况</w:t>
      </w:r>
    </w:p>
    <w:p>
      <w:pPr>
        <w:spacing w:line="240" w:lineRule="auto" w:before="6"/>
        <w:rPr>
          <w:rFonts w:ascii="宋体" w:hAnsi="宋体" w:cs="宋体" w:eastAsia="宋体" w:hint="default"/>
          <w:sz w:val="2"/>
          <w:szCs w:val="2"/>
        </w:rPr>
      </w:pPr>
    </w:p>
    <w:p>
      <w:pPr>
        <w:spacing w:line="2266" w:lineRule="exact"/>
        <w:ind w:left="720" w:right="0" w:firstLine="0"/>
        <w:rPr>
          <w:rFonts w:ascii="宋体" w:hAnsi="宋体" w:cs="宋体" w:eastAsia="宋体" w:hint="default"/>
          <w:sz w:val="20"/>
          <w:szCs w:val="20"/>
        </w:rPr>
      </w:pPr>
      <w:r>
        <w:rPr>
          <w:rFonts w:ascii="宋体" w:hAnsi="宋体" w:cs="宋体" w:eastAsia="宋体" w:hint="default"/>
          <w:position w:val="-44"/>
          <w:sz w:val="20"/>
          <w:szCs w:val="20"/>
        </w:rPr>
        <w:pict>
          <v:group style="width:412pt;height:113.35pt;mso-position-horizontal-relative:char;mso-position-vertical-relative:line" coordorigin="0,0" coordsize="8240,2267">
            <v:group style="position:absolute;left:29;top:15;width:2529;height:2" coordorigin="29,15" coordsize="2529,2">
              <v:shape style="position:absolute;left:29;top:15;width:2529;height:2" coordorigin="29,15" coordsize="2529,0" path="m29,15l2558,15e" filled="false" stroked="true" strokeweight="1.5pt" strokecolor="#000000">
                <v:path arrowok="t"/>
              </v:shape>
              <v:shape style="position:absolute;left:2558;top:30;width:10;height:28" type="#_x0000_t75" stroked="false">
                <v:imagedata r:id="rId96" o:title=""/>
              </v:shape>
            </v:group>
            <v:group style="position:absolute;left:2558;top:15;width:892;height:2" coordorigin="2558,15" coordsize="892,2">
              <v:shape style="position:absolute;left:2558;top:15;width:892;height:2" coordorigin="2558,15" coordsize="892,0" path="m2558,15l3449,15e" filled="false" stroked="true" strokeweight="1.5pt" strokecolor="#000000">
                <v:path arrowok="t"/>
              </v:shape>
              <v:shape style="position:absolute;left:3449;top:30;width:10;height:28" type="#_x0000_t75" stroked="false">
                <v:imagedata r:id="rId96" o:title=""/>
              </v:shape>
            </v:group>
            <v:group style="position:absolute;left:3449;top:15;width:1156;height:2" coordorigin="3449,15" coordsize="1156,2">
              <v:shape style="position:absolute;left:3449;top:15;width:1156;height:2" coordorigin="3449,15" coordsize="1156,0" path="m3449,15l4605,15e" filled="false" stroked="true" strokeweight="1.5pt" strokecolor="#000000">
                <v:path arrowok="t"/>
              </v:shape>
              <v:shape style="position:absolute;left:4605;top:30;width:10;height:28" type="#_x0000_t75" stroked="false">
                <v:imagedata r:id="rId96" o:title=""/>
              </v:shape>
            </v:group>
            <v:group style="position:absolute;left:4605;top:15;width:1362;height:2" coordorigin="4605,15" coordsize="1362,2">
              <v:shape style="position:absolute;left:4605;top:15;width:1362;height:2" coordorigin="4605,15" coordsize="1362,0" path="m4605,15l5967,15e" filled="false" stroked="true" strokeweight="1.5pt" strokecolor="#000000">
                <v:path arrowok="t"/>
              </v:shape>
              <v:shape style="position:absolute;left:5967;top:30;width:10;height:28" type="#_x0000_t75" stroked="false">
                <v:imagedata r:id="rId96" o:title=""/>
              </v:shape>
            </v:group>
            <v:group style="position:absolute;left:5967;top:15;width:1236;height:2" coordorigin="5967,15" coordsize="1236,2">
              <v:shape style="position:absolute;left:5967;top:15;width:1236;height:2" coordorigin="5967,15" coordsize="1236,0" path="m5967,15l7203,15e" filled="false" stroked="true" strokeweight="1.5pt" strokecolor="#000000">
                <v:path arrowok="t"/>
              </v:shape>
              <v:shape style="position:absolute;left:7203;top:30;width:10;height:28" type="#_x0000_t75" stroked="false">
                <v:imagedata r:id="rId96" o:title=""/>
              </v:shape>
            </v:group>
            <v:group style="position:absolute;left:7203;top:15;width:1014;height:2" coordorigin="7203,15" coordsize="1014,2">
              <v:shape style="position:absolute;left:7203;top:15;width:1014;height:2" coordorigin="7203,15" coordsize="1014,0" path="m7203,15l8217,15e" filled="false" stroked="true" strokeweight="1.5pt" strokecolor="#000000">
                <v:path arrowok="t"/>
              </v:shape>
              <v:shape style="position:absolute;left:2541;top:41;width:4688;height:684" type="#_x0000_t75" stroked="false">
                <v:imagedata r:id="rId97" o:title=""/>
              </v:shape>
            </v:group>
            <v:group style="position:absolute;left:15;top:2252;width:2543;height:2" coordorigin="15,2252" coordsize="2543,2">
              <v:shape style="position:absolute;left:15;top:2252;width:2543;height:2" coordorigin="15,2252" coordsize="2543,0" path="m15,2252l2558,2252e" filled="false" stroked="true" strokeweight="1.5pt" strokecolor="#000000">
                <v:path arrowok="t"/>
              </v:shape>
            </v:group>
            <v:group style="position:absolute;left:2558;top:2252;width:892;height:2" coordorigin="2558,2252" coordsize="892,2">
              <v:shape style="position:absolute;left:2558;top:2252;width:892;height:2" coordorigin="2558,2252" coordsize="892,0" path="m2558,2252l3449,2252e" filled="false" stroked="true" strokeweight="1.5pt" strokecolor="#000000">
                <v:path arrowok="t"/>
              </v:shape>
            </v:group>
            <v:group style="position:absolute;left:3449;top:2252;width:1156;height:2" coordorigin="3449,2252" coordsize="1156,2">
              <v:shape style="position:absolute;left:3449;top:2252;width:1156;height:2" coordorigin="3449,2252" coordsize="1156,0" path="m3449,2252l4605,2252e" filled="false" stroked="true" strokeweight="1.5pt" strokecolor="#000000">
                <v:path arrowok="t"/>
              </v:shape>
            </v:group>
            <v:group style="position:absolute;left:4605;top:2252;width:1362;height:2" coordorigin="4605,2252" coordsize="1362,2">
              <v:shape style="position:absolute;left:4605;top:2252;width:1362;height:2" coordorigin="4605,2252" coordsize="1362,0" path="m4605,2252l5967,2252e" filled="false" stroked="true" strokeweight="1.5pt" strokecolor="#000000">
                <v:path arrowok="t"/>
              </v:shape>
            </v:group>
            <v:group style="position:absolute;left:5967;top:2252;width:1236;height:2" coordorigin="5967,2252" coordsize="1236,2">
              <v:shape style="position:absolute;left:5967;top:2252;width:1236;height:2" coordorigin="5967,2252" coordsize="1236,0" path="m5967,2252l7203,2252e" filled="false" stroked="true" strokeweight="1.5pt" strokecolor="#000000">
                <v:path arrowok="t"/>
              </v:shape>
              <v:shape style="position:absolute;left:10;top:689;width:8230;height:1548" type="#_x0000_t75" stroked="false">
                <v:imagedata r:id="rId98" o:title=""/>
              </v:shape>
            </v:group>
            <v:group style="position:absolute;left:7203;top:2252;width:1014;height:2" coordorigin="7203,2252" coordsize="1014,2">
              <v:shape style="position:absolute;left:7203;top:2252;width:1014;height:2" coordorigin="7203,2252" coordsize="1014,0" path="m7203,2252l8217,2252e" filled="false" stroked="true" strokeweight="1.5pt" strokecolor="#000000">
                <v:path arrowok="t"/>
              </v:shape>
              <v:shape style="position:absolute;left:976;top:28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单位名称</w:t>
                      </w:r>
                      <w:r>
                        <w:rPr>
                          <w:rFonts w:ascii="宋体" w:hAnsi="宋体" w:cs="宋体" w:eastAsia="宋体" w:hint="default"/>
                          <w:sz w:val="16"/>
                          <w:szCs w:val="16"/>
                        </w:rPr>
                      </w:r>
                    </w:p>
                  </w:txbxContent>
                </v:textbox>
                <w10:wrap type="none"/>
              </v:shape>
              <v:shape style="position:absolute;left:2687;top:184;width:639;height:368" type="#_x0000_t202" filled="false" stroked="false">
                <v:textbox inset="0,0,0,0">
                  <w:txbxContent>
                    <w:p>
                      <w:pPr>
                        <w:spacing w:line="159" w:lineRule="exact" w:before="0"/>
                        <w:ind w:left="-1" w:right="0" w:firstLine="0"/>
                        <w:jc w:val="center"/>
                        <w:rPr>
                          <w:rFonts w:ascii="宋体" w:hAnsi="宋体" w:cs="宋体" w:eastAsia="宋体" w:hint="default"/>
                          <w:sz w:val="16"/>
                          <w:szCs w:val="16"/>
                        </w:rPr>
                      </w:pPr>
                      <w:r>
                        <w:rPr>
                          <w:rFonts w:ascii="宋体" w:hAnsi="宋体" w:cs="宋体" w:eastAsia="宋体" w:hint="default"/>
                          <w:w w:val="95"/>
                          <w:sz w:val="16"/>
                          <w:szCs w:val="16"/>
                        </w:rPr>
                        <w:t>应收账款</w:t>
                      </w:r>
                      <w:r>
                        <w:rPr>
                          <w:rFonts w:ascii="宋体" w:hAnsi="宋体" w:cs="宋体" w:eastAsia="宋体" w:hint="default"/>
                          <w:sz w:val="16"/>
                          <w:szCs w:val="16"/>
                        </w:rPr>
                      </w:r>
                    </w:p>
                    <w:p>
                      <w:pPr>
                        <w:spacing w:line="208" w:lineRule="exact" w:before="0"/>
                        <w:ind w:left="0" w:right="0" w:firstLine="0"/>
                        <w:jc w:val="center"/>
                        <w:rPr>
                          <w:rFonts w:ascii="宋体" w:hAnsi="宋体" w:cs="宋体" w:eastAsia="宋体" w:hint="default"/>
                          <w:sz w:val="16"/>
                          <w:szCs w:val="16"/>
                        </w:rPr>
                      </w:pPr>
                      <w:r>
                        <w:rPr>
                          <w:rFonts w:ascii="宋体" w:hAnsi="宋体" w:cs="宋体" w:eastAsia="宋体" w:hint="default"/>
                          <w:sz w:val="16"/>
                          <w:szCs w:val="16"/>
                        </w:rPr>
                        <w:t>性质</w:t>
                      </w:r>
                    </w:p>
                  </w:txbxContent>
                </v:textbox>
                <w10:wrap type="none"/>
              </v:shape>
              <v:shape style="position:absolute;left:3711;top:28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核销金额</w:t>
                      </w:r>
                      <w:r>
                        <w:rPr>
                          <w:rFonts w:ascii="宋体" w:hAnsi="宋体" w:cs="宋体" w:eastAsia="宋体" w:hint="default"/>
                          <w:sz w:val="16"/>
                          <w:szCs w:val="16"/>
                        </w:rPr>
                      </w:r>
                    </w:p>
                  </w:txbxContent>
                </v:textbox>
                <w10:wrap type="none"/>
              </v:shape>
              <v:shape style="position:absolute;left:4970;top:28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核销原因</w:t>
                      </w:r>
                      <w:r>
                        <w:rPr>
                          <w:rFonts w:ascii="宋体" w:hAnsi="宋体" w:cs="宋体" w:eastAsia="宋体" w:hint="default"/>
                          <w:sz w:val="16"/>
                          <w:szCs w:val="16"/>
                        </w:rPr>
                      </w:r>
                    </w:p>
                  </w:txbxContent>
                </v:textbox>
                <w10:wrap type="none"/>
              </v:shape>
              <v:shape style="position:absolute;left:6188;top:184;width:800;height:368" type="#_x0000_t202" filled="false" stroked="false">
                <v:textbox inset="0,0,0,0">
                  <w:txbxContent>
                    <w:p>
                      <w:pPr>
                        <w:spacing w:line="159" w:lineRule="exact" w:before="0"/>
                        <w:ind w:left="0" w:right="0" w:firstLine="0"/>
                        <w:jc w:val="center"/>
                        <w:rPr>
                          <w:rFonts w:ascii="宋体" w:hAnsi="宋体" w:cs="宋体" w:eastAsia="宋体" w:hint="default"/>
                          <w:sz w:val="16"/>
                          <w:szCs w:val="16"/>
                        </w:rPr>
                      </w:pPr>
                      <w:r>
                        <w:rPr>
                          <w:rFonts w:ascii="宋体" w:hAnsi="宋体" w:cs="宋体" w:eastAsia="宋体" w:hint="default"/>
                          <w:w w:val="95"/>
                          <w:sz w:val="16"/>
                          <w:szCs w:val="16"/>
                        </w:rPr>
                        <w:t>履行的核销</w:t>
                      </w:r>
                      <w:r>
                        <w:rPr>
                          <w:rFonts w:ascii="宋体" w:hAnsi="宋体" w:cs="宋体" w:eastAsia="宋体" w:hint="default"/>
                          <w:sz w:val="16"/>
                          <w:szCs w:val="16"/>
                        </w:rPr>
                      </w:r>
                    </w:p>
                    <w:p>
                      <w:pPr>
                        <w:spacing w:line="208" w:lineRule="exact" w:before="0"/>
                        <w:ind w:left="0" w:right="0" w:firstLine="0"/>
                        <w:jc w:val="center"/>
                        <w:rPr>
                          <w:rFonts w:ascii="宋体" w:hAnsi="宋体" w:cs="宋体" w:eastAsia="宋体" w:hint="default"/>
                          <w:sz w:val="16"/>
                          <w:szCs w:val="16"/>
                        </w:rPr>
                      </w:pPr>
                      <w:r>
                        <w:rPr>
                          <w:rFonts w:ascii="宋体" w:hAnsi="宋体" w:cs="宋体" w:eastAsia="宋体" w:hint="default"/>
                          <w:sz w:val="16"/>
                          <w:szCs w:val="16"/>
                        </w:rPr>
                        <w:t>程序</w:t>
                      </w:r>
                    </w:p>
                  </w:txbxContent>
                </v:textbox>
                <w10:wrap type="none"/>
              </v:shape>
              <v:shape style="position:absolute;left:137;top:807;width:1758;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贵阳兴一凡科技有限公司</w:t>
                      </w:r>
                      <w:r>
                        <w:rPr>
                          <w:rFonts w:ascii="宋体" w:hAnsi="宋体" w:cs="宋体" w:eastAsia="宋体" w:hint="default"/>
                          <w:sz w:val="16"/>
                          <w:szCs w:val="16"/>
                        </w:rPr>
                      </w:r>
                    </w:p>
                  </w:txbxContent>
                </v:textbox>
                <w10:wrap type="none"/>
              </v:shape>
              <v:shape style="position:absolute;left:2847;top:807;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货款</w:t>
                      </w:r>
                      <w:r>
                        <w:rPr>
                          <w:rFonts w:ascii="宋体" w:hAnsi="宋体" w:cs="宋体" w:eastAsia="宋体" w:hint="default"/>
                          <w:sz w:val="16"/>
                          <w:szCs w:val="16"/>
                        </w:rPr>
                      </w:r>
                    </w:p>
                  </w:txbxContent>
                </v:textbox>
                <w10:wrap type="none"/>
              </v:shape>
              <v:shape style="position:absolute;left:3781;top:821;width:7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568,309.47</w:t>
                      </w:r>
                      <w:r>
                        <w:rPr>
                          <w:rFonts w:ascii="Times New Roman"/>
                          <w:sz w:val="16"/>
                        </w:rPr>
                      </w:r>
                    </w:p>
                  </w:txbxContent>
                </v:textbox>
                <w10:wrap type="none"/>
              </v:shape>
              <v:shape style="position:absolute;left:7391;top:80;width:639;height:887" type="#_x0000_t202" filled="false" stroked="false">
                <v:textbox inset="0,0,0,0">
                  <w:txbxContent>
                    <w:p>
                      <w:pPr>
                        <w:spacing w:line="159" w:lineRule="exact" w:before="0"/>
                        <w:ind w:left="0" w:right="0" w:firstLine="0"/>
                        <w:jc w:val="center"/>
                        <w:rPr>
                          <w:rFonts w:ascii="宋体" w:hAnsi="宋体" w:cs="宋体" w:eastAsia="宋体" w:hint="default"/>
                          <w:sz w:val="16"/>
                          <w:szCs w:val="16"/>
                        </w:rPr>
                      </w:pPr>
                      <w:r>
                        <w:rPr>
                          <w:rFonts w:ascii="宋体" w:hAnsi="宋体" w:cs="宋体" w:eastAsia="宋体" w:hint="default"/>
                          <w:w w:val="95"/>
                          <w:sz w:val="16"/>
                          <w:szCs w:val="16"/>
                        </w:rPr>
                        <w:t>款项是否</w:t>
                      </w:r>
                      <w:r>
                        <w:rPr>
                          <w:rFonts w:ascii="宋体" w:hAnsi="宋体" w:cs="宋体" w:eastAsia="宋体" w:hint="default"/>
                          <w:sz w:val="16"/>
                          <w:szCs w:val="16"/>
                        </w:rPr>
                      </w:r>
                    </w:p>
                    <w:p>
                      <w:pPr>
                        <w:spacing w:before="0"/>
                        <w:ind w:left="0" w:right="0" w:firstLine="0"/>
                        <w:jc w:val="center"/>
                        <w:rPr>
                          <w:rFonts w:ascii="宋体" w:hAnsi="宋体" w:cs="宋体" w:eastAsia="宋体" w:hint="default"/>
                          <w:sz w:val="16"/>
                          <w:szCs w:val="16"/>
                        </w:rPr>
                      </w:pPr>
                      <w:r>
                        <w:rPr>
                          <w:rFonts w:ascii="宋体" w:hAnsi="宋体" w:cs="宋体" w:eastAsia="宋体" w:hint="default"/>
                          <w:w w:val="95"/>
                          <w:sz w:val="16"/>
                          <w:szCs w:val="16"/>
                        </w:rPr>
                        <w:t>因关联交</w:t>
                      </w:r>
                      <w:r>
                        <w:rPr>
                          <w:rFonts w:ascii="宋体" w:hAnsi="宋体" w:cs="宋体" w:eastAsia="宋体" w:hint="default"/>
                          <w:spacing w:val="-46"/>
                          <w:w w:val="95"/>
                          <w:sz w:val="16"/>
                          <w:szCs w:val="16"/>
                        </w:rPr>
                        <w:t> </w:t>
                      </w:r>
                      <w:r>
                        <w:rPr>
                          <w:rFonts w:ascii="宋体" w:hAnsi="宋体" w:cs="宋体" w:eastAsia="宋体" w:hint="default"/>
                          <w:sz w:val="16"/>
                          <w:szCs w:val="16"/>
                        </w:rPr>
                        <w:t>易产生</w:t>
                      </w:r>
                    </w:p>
                    <w:p>
                      <w:pPr>
                        <w:spacing w:before="102"/>
                        <w:ind w:left="1" w:right="0" w:firstLine="0"/>
                        <w:jc w:val="center"/>
                        <w:rPr>
                          <w:rFonts w:ascii="宋体" w:hAnsi="宋体" w:cs="宋体" w:eastAsia="宋体" w:hint="default"/>
                          <w:sz w:val="16"/>
                          <w:szCs w:val="16"/>
                        </w:rPr>
                      </w:pPr>
                      <w:r>
                        <w:rPr>
                          <w:rFonts w:ascii="宋体" w:hAnsi="宋体" w:cs="宋体" w:eastAsia="宋体" w:hint="default"/>
                          <w:w w:val="99"/>
                          <w:sz w:val="16"/>
                          <w:szCs w:val="16"/>
                        </w:rPr>
                        <w:t>否</w:t>
                      </w:r>
                      <w:r>
                        <w:rPr>
                          <w:rFonts w:ascii="宋体" w:hAnsi="宋体" w:cs="宋体" w:eastAsia="宋体" w:hint="default"/>
                          <w:sz w:val="16"/>
                          <w:szCs w:val="16"/>
                        </w:rPr>
                      </w:r>
                    </w:p>
                  </w:txbxContent>
                </v:textbox>
                <w10:wrap type="none"/>
              </v:shape>
              <v:shape style="position:absolute;left:137;top:1221;width:1758;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中国银行哈尔滨南岗支行</w:t>
                      </w:r>
                      <w:r>
                        <w:rPr>
                          <w:rFonts w:ascii="宋体" w:hAnsi="宋体" w:cs="宋体" w:eastAsia="宋体" w:hint="default"/>
                          <w:sz w:val="16"/>
                          <w:szCs w:val="16"/>
                        </w:rPr>
                      </w:r>
                    </w:p>
                  </w:txbxContent>
                </v:textbox>
                <w10:wrap type="none"/>
              </v:shape>
              <v:shape style="position:absolute;left:2847;top:1221;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货款</w:t>
                      </w:r>
                      <w:r>
                        <w:rPr>
                          <w:rFonts w:ascii="宋体" w:hAnsi="宋体" w:cs="宋体" w:eastAsia="宋体" w:hint="default"/>
                          <w:sz w:val="16"/>
                          <w:szCs w:val="16"/>
                        </w:rPr>
                      </w:r>
                    </w:p>
                  </w:txbxContent>
                </v:textbox>
                <w10:wrap type="none"/>
              </v:shape>
              <v:shape style="position:absolute;left:3861;top:1235;width:64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63,200.00</w:t>
                      </w:r>
                      <w:r>
                        <w:rPr>
                          <w:rFonts w:ascii="Times New Roman"/>
                          <w:sz w:val="16"/>
                        </w:rPr>
                      </w:r>
                    </w:p>
                  </w:txbxContent>
                </v:textbox>
                <w10:wrap type="none"/>
              </v:shape>
              <v:shape style="position:absolute;left:137;top:1636;width:2238;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武汉新泽世纪科技发展有限公司</w:t>
                      </w:r>
                      <w:r>
                        <w:rPr>
                          <w:rFonts w:ascii="宋体" w:hAnsi="宋体" w:cs="宋体" w:eastAsia="宋体" w:hint="default"/>
                          <w:sz w:val="16"/>
                          <w:szCs w:val="16"/>
                        </w:rPr>
                      </w:r>
                    </w:p>
                  </w:txbxContent>
                </v:textbox>
                <w10:wrap type="none"/>
              </v:shape>
              <v:shape style="position:absolute;left:2847;top:1636;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货款</w:t>
                      </w:r>
                      <w:r>
                        <w:rPr>
                          <w:rFonts w:ascii="宋体" w:hAnsi="宋体" w:cs="宋体" w:eastAsia="宋体" w:hint="default"/>
                          <w:sz w:val="16"/>
                          <w:szCs w:val="16"/>
                        </w:rPr>
                      </w:r>
                    </w:p>
                  </w:txbxContent>
                </v:textbox>
                <w10:wrap type="none"/>
              </v:shape>
              <v:shape style="position:absolute;left:3861;top:1650;width:64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13,086.72</w:t>
                      </w:r>
                      <w:r>
                        <w:rPr>
                          <w:rFonts w:ascii="Times New Roman"/>
                          <w:sz w:val="16"/>
                        </w:rPr>
                      </w:r>
                    </w:p>
                  </w:txbxContent>
                </v:textbox>
                <w10:wrap type="none"/>
              </v:shape>
              <v:shape style="position:absolute;left:4717;top:807;width:1151;height:989"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预计无法收回</w:t>
                      </w:r>
                    </w:p>
                    <w:p>
                      <w:pPr>
                        <w:spacing w:before="101"/>
                        <w:ind w:left="0" w:right="0" w:firstLine="0"/>
                        <w:jc w:val="left"/>
                        <w:rPr>
                          <w:rFonts w:ascii="宋体" w:hAnsi="宋体" w:cs="宋体" w:eastAsia="宋体" w:hint="default"/>
                          <w:sz w:val="16"/>
                          <w:szCs w:val="16"/>
                        </w:rPr>
                      </w:pPr>
                      <w:r>
                        <w:rPr>
                          <w:rFonts w:ascii="宋体" w:hAnsi="宋体" w:cs="宋体" w:eastAsia="宋体" w:hint="default"/>
                          <w:spacing w:val="4"/>
                          <w:sz w:val="16"/>
                          <w:szCs w:val="16"/>
                        </w:rPr>
                        <w:t>对方因产品质量</w:t>
                      </w:r>
                      <w:r>
                        <w:rPr>
                          <w:rFonts w:ascii="宋体" w:hAnsi="宋体" w:cs="宋体" w:eastAsia="宋体" w:hint="default"/>
                          <w:spacing w:val="4"/>
                          <w:w w:val="99"/>
                          <w:sz w:val="16"/>
                          <w:szCs w:val="16"/>
                        </w:rPr>
                        <w:t> </w:t>
                      </w:r>
                      <w:r>
                        <w:rPr>
                          <w:rFonts w:ascii="宋体" w:hAnsi="宋体" w:cs="宋体" w:eastAsia="宋体" w:hint="default"/>
                          <w:sz w:val="16"/>
                          <w:szCs w:val="16"/>
                        </w:rPr>
                        <w:t>问题不予付款</w:t>
                      </w:r>
                    </w:p>
                    <w:p>
                      <w:pPr>
                        <w:spacing w:before="101"/>
                        <w:ind w:left="0" w:right="0" w:firstLine="0"/>
                        <w:jc w:val="left"/>
                        <w:rPr>
                          <w:rFonts w:ascii="宋体" w:hAnsi="宋体" w:cs="宋体" w:eastAsia="宋体" w:hint="default"/>
                          <w:sz w:val="16"/>
                          <w:szCs w:val="16"/>
                        </w:rPr>
                      </w:pPr>
                      <w:r>
                        <w:rPr>
                          <w:rFonts w:ascii="宋体" w:hAnsi="宋体" w:cs="宋体" w:eastAsia="宋体" w:hint="default"/>
                          <w:sz w:val="16"/>
                          <w:szCs w:val="16"/>
                        </w:rPr>
                        <w:t>预计无法收回</w:t>
                      </w:r>
                    </w:p>
                  </w:txbxContent>
                </v:textbox>
                <w10:wrap type="none"/>
              </v:shape>
              <v:shape style="position:absolute;left:6079;top:807;width:800;height:574"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董事会决议</w:t>
                      </w:r>
                      <w:r>
                        <w:rPr>
                          <w:rFonts w:ascii="宋体" w:hAnsi="宋体" w:cs="宋体" w:eastAsia="宋体" w:hint="default"/>
                          <w:sz w:val="16"/>
                          <w:szCs w:val="16"/>
                        </w:rPr>
                      </w:r>
                    </w:p>
                    <w:p>
                      <w:pPr>
                        <w:spacing w:line="240" w:lineRule="auto" w:before="8"/>
                        <w:rPr>
                          <w:rFonts w:ascii="宋体" w:hAnsi="宋体" w:cs="宋体" w:eastAsia="宋体" w:hint="default"/>
                          <w:sz w:val="15"/>
                          <w:szCs w:val="15"/>
                        </w:rPr>
                      </w:pPr>
                    </w:p>
                    <w:p>
                      <w:pPr>
                        <w:spacing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董事会决议</w:t>
                      </w:r>
                      <w:r>
                        <w:rPr>
                          <w:rFonts w:ascii="宋体" w:hAnsi="宋体" w:cs="宋体" w:eastAsia="宋体" w:hint="default"/>
                          <w:sz w:val="16"/>
                          <w:szCs w:val="16"/>
                        </w:rPr>
                      </w:r>
                    </w:p>
                  </w:txbxContent>
                </v:textbox>
                <w10:wrap type="none"/>
              </v:shape>
              <v:shape style="position:absolute;left:7631;top:1221;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否</w:t>
                      </w:r>
                      <w:r>
                        <w:rPr>
                          <w:rFonts w:ascii="宋体" w:hAnsi="宋体" w:cs="宋体" w:eastAsia="宋体" w:hint="default"/>
                          <w:sz w:val="16"/>
                          <w:szCs w:val="16"/>
                        </w:rPr>
                      </w:r>
                    </w:p>
                  </w:txbxContent>
                </v:textbox>
                <w10:wrap type="none"/>
              </v:shape>
              <v:shape style="position:absolute;left:6079;top:1636;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董事会决议</w:t>
                      </w:r>
                      <w:r>
                        <w:rPr>
                          <w:rFonts w:ascii="宋体" w:hAnsi="宋体" w:cs="宋体" w:eastAsia="宋体" w:hint="default"/>
                          <w:sz w:val="16"/>
                          <w:szCs w:val="16"/>
                        </w:rPr>
                      </w:r>
                    </w:p>
                  </w:txbxContent>
                </v:textbox>
                <w10:wrap type="none"/>
              </v:shape>
              <v:shape style="position:absolute;left:7631;top:1636;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否</w:t>
                      </w:r>
                      <w:r>
                        <w:rPr>
                          <w:rFonts w:ascii="宋体" w:hAnsi="宋体" w:cs="宋体" w:eastAsia="宋体" w:hint="default"/>
                          <w:sz w:val="16"/>
                          <w:szCs w:val="16"/>
                        </w:rPr>
                      </w:r>
                    </w:p>
                  </w:txbxContent>
                </v:textbox>
                <w10:wrap type="none"/>
              </v:shape>
              <v:shape style="position:absolute;left:1136;top:1986;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合计</w:t>
                      </w:r>
                      <w:r>
                        <w:rPr>
                          <w:rFonts w:ascii="宋体" w:hAnsi="宋体" w:cs="宋体" w:eastAsia="宋体" w:hint="default"/>
                          <w:sz w:val="16"/>
                          <w:szCs w:val="16"/>
                        </w:rPr>
                      </w:r>
                    </w:p>
                  </w:txbxContent>
                </v:textbox>
                <w10:wrap type="none"/>
              </v:shape>
              <v:shape style="position:absolute;left:3781;top:1999;width:7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644,596.19</w:t>
                      </w:r>
                      <w:r>
                        <w:rPr>
                          <w:rFonts w:ascii="Times New Roman"/>
                          <w:sz w:val="16"/>
                        </w:rPr>
                      </w:r>
                    </w:p>
                  </w:txbxContent>
                </v:textbox>
                <w10:wrap type="none"/>
              </v:shape>
            </v:group>
          </v:group>
        </w:pict>
      </w:r>
      <w:r>
        <w:rPr>
          <w:rFonts w:ascii="宋体" w:hAnsi="宋体" w:cs="宋体" w:eastAsia="宋体" w:hint="default"/>
          <w:position w:val="-44"/>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5"/>
          <w:szCs w:val="15"/>
        </w:rPr>
      </w:pPr>
    </w:p>
    <w:p>
      <w:pPr>
        <w:pStyle w:val="BodyText"/>
        <w:spacing w:line="240" w:lineRule="auto" w:before="35"/>
        <w:ind w:right="3681"/>
        <w:jc w:val="left"/>
      </w:pPr>
      <w:r>
        <w:rPr/>
        <w:pict>
          <v:group style="position:absolute;margin-left:119.010002pt;margin-top:17.073822pt;width:412.25pt;height:148.75pt;mso-position-horizontal-relative:page;mso-position-vertical-relative:paragraph;z-index:-1396840" coordorigin="2380,341" coordsize="8245,2975">
            <v:group style="position:absolute;left:2410;top:356;width:3516;height:2" coordorigin="2410,356" coordsize="3516,2">
              <v:shape style="position:absolute;left:2410;top:356;width:3516;height:2" coordorigin="2410,356" coordsize="3516,0" path="m2410,356l5926,356e" filled="false" stroked="true" strokeweight="1.5pt" strokecolor="#000000">
                <v:path arrowok="t"/>
              </v:shape>
            </v:group>
            <v:group style="position:absolute;left:5926;top:356;width:4672;height:2" coordorigin="5926,356" coordsize="4672,2">
              <v:shape style="position:absolute;left:5926;top:356;width:4672;height:2" coordorigin="5926,356" coordsize="4672,0" path="m5926,356l10597,356e" filled="false" stroked="true" strokeweight="1.5pt" strokecolor="#000000">
                <v:path arrowok="t"/>
              </v:shape>
              <v:shape style="position:absolute;left:5926;top:371;width:10;height:340" type="#_x0000_t75" stroked="false">
                <v:imagedata r:id="rId99" o:title=""/>
              </v:shape>
              <v:shape style="position:absolute;left:5906;top:692;width:4718;height:520" type="#_x0000_t75" stroked="false">
                <v:imagedata r:id="rId100" o:title=""/>
              </v:shape>
            </v:group>
            <v:group style="position:absolute;left:2395;top:3301;width:3531;height:2" coordorigin="2395,3301" coordsize="3531,2">
              <v:shape style="position:absolute;left:2395;top:3301;width:3531;height:2" coordorigin="2395,3301" coordsize="3531,0" path="m2395,3301l5926,3301e" filled="false" stroked="true" strokeweight="1.5pt" strokecolor="#000000">
                <v:path arrowok="t"/>
              </v:shape>
            </v:group>
            <v:group style="position:absolute;left:5926;top:3301;width:1676;height:2" coordorigin="5926,3301" coordsize="1676,2">
              <v:shape style="position:absolute;left:5926;top:3301;width:1676;height:2" coordorigin="5926,3301" coordsize="1676,0" path="m5926,3301l7601,3301e" filled="false" stroked="true" strokeweight="1.5pt" strokecolor="#000000">
                <v:path arrowok="t"/>
              </v:shape>
            </v:group>
            <v:group style="position:absolute;left:7601;top:3301;width:1498;height:2" coordorigin="7601,3301" coordsize="1498,2">
              <v:shape style="position:absolute;left:7601;top:3301;width:1498;height:2" coordorigin="7601,3301" coordsize="1498,0" path="m7601,3301l9098,3301e" filled="false" stroked="true" strokeweight="1.5pt" strokecolor="#000000">
                <v:path arrowok="t"/>
              </v:shape>
              <v:shape style="position:absolute;left:2390;top:1173;width:8234;height:2113" type="#_x0000_t75" stroked="false">
                <v:imagedata r:id="rId101" o:title=""/>
              </v:shape>
            </v:group>
            <v:group style="position:absolute;left:9098;top:3301;width:1499;height:2" coordorigin="9098,3301" coordsize="1499,2">
              <v:shape style="position:absolute;left:9098;top:3301;width:1499;height:2" coordorigin="9098,3301" coordsize="1499,0" path="m9098,3301l10597,3301e" filled="false" stroked="true" strokeweight="1.5pt" strokecolor="#000000">
                <v:path arrowok="t"/>
              </v:shape>
              <v:shape style="position:absolute;left:7944;top:460;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3850;top:701;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单位名称</w:t>
                      </w:r>
                      <w:r>
                        <w:rPr>
                          <w:rFonts w:ascii="宋体" w:hAnsi="宋体" w:cs="宋体" w:eastAsia="宋体" w:hint="default"/>
                          <w:sz w:val="16"/>
                          <w:szCs w:val="16"/>
                        </w:rPr>
                      </w:r>
                    </w:p>
                  </w:txbxContent>
                </v:textbox>
                <w10:wrap type="none"/>
              </v:shape>
              <v:shape style="position:absolute;left:6448;top:875;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应收账款</w:t>
                      </w:r>
                      <w:r>
                        <w:rPr>
                          <w:rFonts w:ascii="宋体" w:hAnsi="宋体" w:cs="宋体" w:eastAsia="宋体" w:hint="default"/>
                          <w:sz w:val="16"/>
                          <w:szCs w:val="16"/>
                        </w:rPr>
                      </w:r>
                    </w:p>
                  </w:txbxContent>
                </v:textbox>
                <w10:wrap type="none"/>
              </v:shape>
              <v:shape style="position:absolute;left:7714;top:772;width:1280;height:375" type="#_x0000_t202" filled="false" stroked="false">
                <v:textbox inset="0,0,0,0">
                  <w:txbxContent>
                    <w:p>
                      <w:pPr>
                        <w:spacing w:line="158" w:lineRule="exact" w:before="0"/>
                        <w:ind w:left="0" w:right="0" w:firstLine="0"/>
                        <w:jc w:val="center"/>
                        <w:rPr>
                          <w:rFonts w:ascii="宋体" w:hAnsi="宋体" w:cs="宋体" w:eastAsia="宋体" w:hint="default"/>
                          <w:sz w:val="16"/>
                          <w:szCs w:val="16"/>
                        </w:rPr>
                      </w:pPr>
                      <w:r>
                        <w:rPr>
                          <w:rFonts w:ascii="宋体" w:hAnsi="宋体" w:cs="宋体" w:eastAsia="宋体" w:hint="default"/>
                          <w:w w:val="95"/>
                          <w:sz w:val="16"/>
                          <w:szCs w:val="16"/>
                        </w:rPr>
                        <w:t>占应收账款合计数</w:t>
                      </w:r>
                      <w:r>
                        <w:rPr>
                          <w:rFonts w:ascii="宋体" w:hAnsi="宋体" w:cs="宋体" w:eastAsia="宋体" w:hint="default"/>
                          <w:sz w:val="16"/>
                          <w:szCs w:val="16"/>
                        </w:rPr>
                      </w:r>
                    </w:p>
                    <w:p>
                      <w:pPr>
                        <w:spacing w:line="217" w:lineRule="exact" w:before="0"/>
                        <w:ind w:left="0" w:right="0" w:firstLine="0"/>
                        <w:jc w:val="center"/>
                        <w:rPr>
                          <w:rFonts w:ascii="Times New Roman" w:hAnsi="Times New Roman" w:cs="Times New Roman" w:eastAsia="Times New Roman" w:hint="default"/>
                          <w:sz w:val="16"/>
                          <w:szCs w:val="16"/>
                        </w:rPr>
                      </w:pPr>
                      <w:r>
                        <w:rPr>
                          <w:rFonts w:ascii="宋体" w:hAnsi="宋体" w:cs="宋体" w:eastAsia="宋体" w:hint="default"/>
                          <w:sz w:val="16"/>
                          <w:szCs w:val="16"/>
                        </w:rPr>
                        <w:t>的比例</w:t>
                      </w:r>
                      <w:r>
                        <w:rPr>
                          <w:rFonts w:ascii="Times New Roman" w:hAnsi="Times New Roman" w:cs="Times New Roman" w:eastAsia="Times New Roman" w:hint="default"/>
                          <w:sz w:val="16"/>
                          <w:szCs w:val="16"/>
                        </w:rPr>
                        <w:t>(%)</w:t>
                      </w:r>
                    </w:p>
                  </w:txbxContent>
                </v:textbox>
                <w10:wrap type="none"/>
              </v:shape>
              <v:shape style="position:absolute;left:9529;top:875;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坏账准备</w:t>
                      </w:r>
                      <w:r>
                        <w:rPr>
                          <w:rFonts w:ascii="宋体" w:hAnsi="宋体" w:cs="宋体" w:eastAsia="宋体" w:hint="default"/>
                          <w:sz w:val="16"/>
                          <w:szCs w:val="16"/>
                        </w:rPr>
                      </w:r>
                    </w:p>
                  </w:txbxContent>
                </v:textbox>
                <w10:wrap type="none"/>
              </v:shape>
            </v:group>
            <w10:wrap type="none"/>
          </v:group>
        </w:pict>
      </w:r>
      <w:r>
        <w:rPr/>
        <w:t>（</w:t>
      </w:r>
      <w:r>
        <w:rPr>
          <w:rFonts w:ascii="Times New Roman" w:hAnsi="Times New Roman" w:cs="Times New Roman" w:eastAsia="Times New Roman" w:hint="default"/>
        </w:rPr>
        <w:t>4</w:t>
      </w:r>
      <w:r>
        <w:rPr/>
        <w:t>）按欠款方归集的期末余额前五名的应收账款情况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6"/>
          <w:szCs w:val="26"/>
        </w:rPr>
      </w:pPr>
    </w:p>
    <w:tbl>
      <w:tblPr>
        <w:tblW w:w="0" w:type="auto"/>
        <w:jc w:val="left"/>
        <w:tblInd w:w="822" w:type="dxa"/>
        <w:tblLayout w:type="fixed"/>
        <w:tblCellMar>
          <w:top w:w="0" w:type="dxa"/>
          <w:left w:w="0" w:type="dxa"/>
          <w:bottom w:w="0" w:type="dxa"/>
          <w:right w:w="0" w:type="dxa"/>
        </w:tblCellMar>
        <w:tblLook w:val="01E0"/>
      </w:tblPr>
      <w:tblGrid>
        <w:gridCol w:w="1000"/>
        <w:gridCol w:w="1931"/>
        <w:gridCol w:w="2653"/>
        <w:gridCol w:w="1216"/>
        <w:gridCol w:w="1243"/>
      </w:tblGrid>
      <w:tr>
        <w:trPr>
          <w:trHeight w:val="361" w:hRule="exact"/>
        </w:trPr>
        <w:tc>
          <w:tcPr>
            <w:tcW w:w="1000"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5" w:right="0"/>
              <w:jc w:val="left"/>
              <w:rPr>
                <w:rFonts w:ascii="Times New Roman" w:hAnsi="Times New Roman" w:cs="Times New Roman" w:eastAsia="Times New Roman" w:hint="default"/>
                <w:sz w:val="16"/>
                <w:szCs w:val="16"/>
              </w:rPr>
            </w:pPr>
            <w:r>
              <w:rPr>
                <w:rFonts w:ascii="宋体" w:hAnsi="宋体" w:cs="宋体" w:eastAsia="宋体" w:hint="default"/>
                <w:sz w:val="16"/>
                <w:szCs w:val="16"/>
              </w:rPr>
              <w:t>单位</w:t>
            </w:r>
            <w:r>
              <w:rPr>
                <w:rFonts w:ascii="宋体" w:hAnsi="宋体" w:cs="宋体" w:eastAsia="宋体" w:hint="default"/>
                <w:spacing w:val="-42"/>
                <w:sz w:val="16"/>
                <w:szCs w:val="16"/>
              </w:rPr>
              <w:t> </w:t>
            </w:r>
            <w:r>
              <w:rPr>
                <w:rFonts w:ascii="Times New Roman" w:hAnsi="Times New Roman" w:cs="Times New Roman" w:eastAsia="Times New Roman" w:hint="default"/>
                <w:sz w:val="16"/>
                <w:szCs w:val="16"/>
              </w:rPr>
              <w:t>1</w:t>
            </w:r>
          </w:p>
        </w:tc>
        <w:tc>
          <w:tcPr>
            <w:tcW w:w="1931" w:type="dxa"/>
            <w:tcBorders>
              <w:top w:val="nil" w:sz="6" w:space="0" w:color="auto"/>
              <w:left w:val="nil" w:sz="6" w:space="0" w:color="auto"/>
              <w:bottom w:val="nil" w:sz="6" w:space="0" w:color="auto"/>
              <w:right w:val="nil" w:sz="6" w:space="0" w:color="auto"/>
            </w:tcBorders>
          </w:tcPr>
          <w:p>
            <w:pPr/>
          </w:p>
        </w:tc>
        <w:tc>
          <w:tcPr>
            <w:tcW w:w="2653"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566"/>
              <w:jc w:val="right"/>
              <w:rPr>
                <w:rFonts w:ascii="Times New Roman" w:hAnsi="Times New Roman" w:cs="Times New Roman" w:eastAsia="Times New Roman" w:hint="default"/>
                <w:sz w:val="16"/>
                <w:szCs w:val="16"/>
              </w:rPr>
            </w:pPr>
            <w:r>
              <w:rPr>
                <w:rFonts w:ascii="Times New Roman"/>
                <w:spacing w:val="-1"/>
                <w:sz w:val="16"/>
              </w:rPr>
              <w:t>134,666,478.60</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84"/>
              <w:jc w:val="right"/>
              <w:rPr>
                <w:rFonts w:ascii="Times New Roman" w:hAnsi="Times New Roman" w:cs="Times New Roman" w:eastAsia="Times New Roman" w:hint="default"/>
                <w:sz w:val="16"/>
                <w:szCs w:val="16"/>
              </w:rPr>
            </w:pPr>
            <w:r>
              <w:rPr>
                <w:rFonts w:ascii="Times New Roman"/>
                <w:spacing w:val="-1"/>
                <w:sz w:val="16"/>
              </w:rPr>
              <w:t>4.15</w:t>
            </w:r>
          </w:p>
        </w:tc>
        <w:tc>
          <w:tcPr>
            <w:tcW w:w="1243"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33"/>
              <w:jc w:val="right"/>
              <w:rPr>
                <w:rFonts w:ascii="Times New Roman" w:hAnsi="Times New Roman" w:cs="Times New Roman" w:eastAsia="Times New Roman" w:hint="default"/>
                <w:sz w:val="16"/>
                <w:szCs w:val="16"/>
              </w:rPr>
            </w:pPr>
            <w:r>
              <w:rPr>
                <w:rFonts w:ascii="Times New Roman"/>
                <w:spacing w:val="-1"/>
                <w:sz w:val="16"/>
              </w:rPr>
              <w:t>6,733,323.93</w:t>
            </w:r>
          </w:p>
        </w:tc>
      </w:tr>
      <w:tr>
        <w:trPr>
          <w:trHeight w:val="349" w:hRule="exact"/>
        </w:trPr>
        <w:tc>
          <w:tcPr>
            <w:tcW w:w="100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Times New Roman" w:hAnsi="Times New Roman" w:cs="Times New Roman" w:eastAsia="Times New Roman" w:hint="default"/>
                <w:sz w:val="16"/>
                <w:szCs w:val="16"/>
              </w:rPr>
            </w:pPr>
            <w:r>
              <w:rPr>
                <w:rFonts w:ascii="宋体" w:hAnsi="宋体" w:cs="宋体" w:eastAsia="宋体" w:hint="default"/>
                <w:sz w:val="16"/>
                <w:szCs w:val="16"/>
              </w:rPr>
              <w:t>单位</w:t>
            </w:r>
            <w:r>
              <w:rPr>
                <w:rFonts w:ascii="宋体" w:hAnsi="宋体" w:cs="宋体" w:eastAsia="宋体" w:hint="default"/>
                <w:spacing w:val="-42"/>
                <w:sz w:val="16"/>
                <w:szCs w:val="16"/>
              </w:rPr>
              <w:t> </w:t>
            </w:r>
            <w:r>
              <w:rPr>
                <w:rFonts w:ascii="Times New Roman" w:hAnsi="Times New Roman" w:cs="Times New Roman" w:eastAsia="Times New Roman" w:hint="default"/>
                <w:sz w:val="16"/>
                <w:szCs w:val="16"/>
              </w:rPr>
              <w:t>2</w:t>
            </w:r>
          </w:p>
        </w:tc>
        <w:tc>
          <w:tcPr>
            <w:tcW w:w="1931" w:type="dxa"/>
            <w:tcBorders>
              <w:top w:val="nil" w:sz="6" w:space="0" w:color="auto"/>
              <w:left w:val="nil" w:sz="6" w:space="0" w:color="auto"/>
              <w:bottom w:val="nil" w:sz="6" w:space="0" w:color="auto"/>
              <w:right w:val="nil" w:sz="6" w:space="0" w:color="auto"/>
            </w:tcBorders>
          </w:tcPr>
          <w:p>
            <w:pPr/>
          </w:p>
        </w:tc>
        <w:tc>
          <w:tcPr>
            <w:tcW w:w="265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566"/>
              <w:jc w:val="right"/>
              <w:rPr>
                <w:rFonts w:ascii="Times New Roman" w:hAnsi="Times New Roman" w:cs="Times New Roman" w:eastAsia="Times New Roman" w:hint="default"/>
                <w:sz w:val="16"/>
                <w:szCs w:val="16"/>
              </w:rPr>
            </w:pPr>
            <w:r>
              <w:rPr>
                <w:rFonts w:ascii="Times New Roman"/>
                <w:spacing w:val="-1"/>
                <w:sz w:val="16"/>
              </w:rPr>
              <w:t>110,623,903.34</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84"/>
              <w:jc w:val="right"/>
              <w:rPr>
                <w:rFonts w:ascii="Times New Roman" w:hAnsi="Times New Roman" w:cs="Times New Roman" w:eastAsia="Times New Roman" w:hint="default"/>
                <w:sz w:val="16"/>
                <w:szCs w:val="16"/>
              </w:rPr>
            </w:pPr>
            <w:r>
              <w:rPr>
                <w:rFonts w:ascii="Times New Roman"/>
                <w:spacing w:val="-1"/>
                <w:sz w:val="16"/>
              </w:rPr>
              <w:t>3.41</w:t>
            </w:r>
          </w:p>
        </w:tc>
        <w:tc>
          <w:tcPr>
            <w:tcW w:w="124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33"/>
              <w:jc w:val="right"/>
              <w:rPr>
                <w:rFonts w:ascii="Times New Roman" w:hAnsi="Times New Roman" w:cs="Times New Roman" w:eastAsia="Times New Roman" w:hint="default"/>
                <w:sz w:val="16"/>
                <w:szCs w:val="16"/>
              </w:rPr>
            </w:pPr>
            <w:r>
              <w:rPr>
                <w:rFonts w:ascii="Times New Roman"/>
                <w:spacing w:val="-1"/>
                <w:sz w:val="16"/>
              </w:rPr>
              <w:t>7,899,301.33</w:t>
            </w:r>
          </w:p>
        </w:tc>
      </w:tr>
      <w:tr>
        <w:trPr>
          <w:trHeight w:val="349" w:hRule="exact"/>
        </w:trPr>
        <w:tc>
          <w:tcPr>
            <w:tcW w:w="1000" w:type="dxa"/>
            <w:tcBorders>
              <w:top w:val="nil" w:sz="6" w:space="0" w:color="auto"/>
              <w:left w:val="nil" w:sz="6" w:space="0" w:color="auto"/>
              <w:bottom w:val="nil" w:sz="6" w:space="0" w:color="auto"/>
              <w:right w:val="nil" w:sz="6" w:space="0" w:color="auto"/>
            </w:tcBorders>
          </w:tcPr>
          <w:p>
            <w:pPr>
              <w:pStyle w:val="TableParagraph"/>
              <w:spacing w:line="240" w:lineRule="auto" w:before="37"/>
              <w:ind w:left="35" w:right="0"/>
              <w:jc w:val="left"/>
              <w:rPr>
                <w:rFonts w:ascii="Times New Roman" w:hAnsi="Times New Roman" w:cs="Times New Roman" w:eastAsia="Times New Roman" w:hint="default"/>
                <w:sz w:val="16"/>
                <w:szCs w:val="16"/>
              </w:rPr>
            </w:pPr>
            <w:r>
              <w:rPr>
                <w:rFonts w:ascii="宋体" w:hAnsi="宋体" w:cs="宋体" w:eastAsia="宋体" w:hint="default"/>
                <w:sz w:val="16"/>
                <w:szCs w:val="16"/>
              </w:rPr>
              <w:t>单位</w:t>
            </w:r>
            <w:r>
              <w:rPr>
                <w:rFonts w:ascii="宋体" w:hAnsi="宋体" w:cs="宋体" w:eastAsia="宋体" w:hint="default"/>
                <w:spacing w:val="-42"/>
                <w:sz w:val="16"/>
                <w:szCs w:val="16"/>
              </w:rPr>
              <w:t> </w:t>
            </w:r>
            <w:r>
              <w:rPr>
                <w:rFonts w:ascii="Times New Roman" w:hAnsi="Times New Roman" w:cs="Times New Roman" w:eastAsia="Times New Roman" w:hint="default"/>
                <w:sz w:val="16"/>
                <w:szCs w:val="16"/>
              </w:rPr>
              <w:t>3</w:t>
            </w:r>
          </w:p>
        </w:tc>
        <w:tc>
          <w:tcPr>
            <w:tcW w:w="1931" w:type="dxa"/>
            <w:tcBorders>
              <w:top w:val="nil" w:sz="6" w:space="0" w:color="auto"/>
              <w:left w:val="nil" w:sz="6" w:space="0" w:color="auto"/>
              <w:bottom w:val="nil" w:sz="6" w:space="0" w:color="auto"/>
              <w:right w:val="nil" w:sz="6" w:space="0" w:color="auto"/>
            </w:tcBorders>
          </w:tcPr>
          <w:p>
            <w:pPr/>
          </w:p>
        </w:tc>
        <w:tc>
          <w:tcPr>
            <w:tcW w:w="2653"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565"/>
              <w:jc w:val="right"/>
              <w:rPr>
                <w:rFonts w:ascii="Times New Roman" w:hAnsi="Times New Roman" w:cs="Times New Roman" w:eastAsia="Times New Roman" w:hint="default"/>
                <w:sz w:val="16"/>
                <w:szCs w:val="16"/>
              </w:rPr>
            </w:pPr>
            <w:r>
              <w:rPr>
                <w:rFonts w:ascii="Times New Roman"/>
                <w:spacing w:val="-1"/>
                <w:sz w:val="16"/>
              </w:rPr>
              <w:t>97,507,196.00</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84"/>
              <w:jc w:val="right"/>
              <w:rPr>
                <w:rFonts w:ascii="Times New Roman" w:hAnsi="Times New Roman" w:cs="Times New Roman" w:eastAsia="Times New Roman" w:hint="default"/>
                <w:sz w:val="16"/>
                <w:szCs w:val="16"/>
              </w:rPr>
            </w:pPr>
            <w:r>
              <w:rPr>
                <w:rFonts w:ascii="Times New Roman"/>
                <w:spacing w:val="-1"/>
                <w:sz w:val="16"/>
              </w:rPr>
              <w:t>3.00</w:t>
            </w:r>
          </w:p>
        </w:tc>
        <w:tc>
          <w:tcPr>
            <w:tcW w:w="1243"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Times New Roman" w:hAnsi="Times New Roman" w:cs="Times New Roman" w:eastAsia="Times New Roman" w:hint="default"/>
                <w:sz w:val="16"/>
                <w:szCs w:val="16"/>
              </w:rPr>
            </w:pPr>
            <w:r>
              <w:rPr>
                <w:rFonts w:ascii="Times New Roman"/>
                <w:spacing w:val="-1"/>
                <w:sz w:val="16"/>
              </w:rPr>
              <w:t>4,875,359.80</w:t>
            </w:r>
          </w:p>
        </w:tc>
      </w:tr>
      <w:tr>
        <w:trPr>
          <w:trHeight w:val="349" w:hRule="exact"/>
        </w:trPr>
        <w:tc>
          <w:tcPr>
            <w:tcW w:w="1000" w:type="dxa"/>
            <w:tcBorders>
              <w:top w:val="nil" w:sz="6" w:space="0" w:color="auto"/>
              <w:left w:val="nil" w:sz="6" w:space="0" w:color="auto"/>
              <w:bottom w:val="nil" w:sz="6" w:space="0" w:color="auto"/>
              <w:right w:val="nil" w:sz="6" w:space="0" w:color="auto"/>
            </w:tcBorders>
          </w:tcPr>
          <w:p>
            <w:pPr>
              <w:pStyle w:val="TableParagraph"/>
              <w:spacing w:line="240" w:lineRule="auto" w:before="37"/>
              <w:ind w:left="35" w:right="0"/>
              <w:jc w:val="left"/>
              <w:rPr>
                <w:rFonts w:ascii="Times New Roman" w:hAnsi="Times New Roman" w:cs="Times New Roman" w:eastAsia="Times New Roman" w:hint="default"/>
                <w:sz w:val="16"/>
                <w:szCs w:val="16"/>
              </w:rPr>
            </w:pPr>
            <w:r>
              <w:rPr>
                <w:rFonts w:ascii="宋体" w:hAnsi="宋体" w:cs="宋体" w:eastAsia="宋体" w:hint="default"/>
                <w:sz w:val="16"/>
                <w:szCs w:val="16"/>
              </w:rPr>
              <w:t>单位</w:t>
            </w:r>
            <w:r>
              <w:rPr>
                <w:rFonts w:ascii="宋体" w:hAnsi="宋体" w:cs="宋体" w:eastAsia="宋体" w:hint="default"/>
                <w:spacing w:val="-42"/>
                <w:sz w:val="16"/>
                <w:szCs w:val="16"/>
              </w:rPr>
              <w:t> </w:t>
            </w:r>
            <w:r>
              <w:rPr>
                <w:rFonts w:ascii="Times New Roman" w:hAnsi="Times New Roman" w:cs="Times New Roman" w:eastAsia="Times New Roman" w:hint="default"/>
                <w:sz w:val="16"/>
                <w:szCs w:val="16"/>
              </w:rPr>
              <w:t>4</w:t>
            </w:r>
          </w:p>
        </w:tc>
        <w:tc>
          <w:tcPr>
            <w:tcW w:w="1931" w:type="dxa"/>
            <w:tcBorders>
              <w:top w:val="nil" w:sz="6" w:space="0" w:color="auto"/>
              <w:left w:val="nil" w:sz="6" w:space="0" w:color="auto"/>
              <w:bottom w:val="nil" w:sz="6" w:space="0" w:color="auto"/>
              <w:right w:val="nil" w:sz="6" w:space="0" w:color="auto"/>
            </w:tcBorders>
          </w:tcPr>
          <w:p>
            <w:pPr/>
          </w:p>
        </w:tc>
        <w:tc>
          <w:tcPr>
            <w:tcW w:w="265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565"/>
              <w:jc w:val="right"/>
              <w:rPr>
                <w:rFonts w:ascii="Times New Roman" w:hAnsi="Times New Roman" w:cs="Times New Roman" w:eastAsia="Times New Roman" w:hint="default"/>
                <w:sz w:val="16"/>
                <w:szCs w:val="16"/>
              </w:rPr>
            </w:pPr>
            <w:r>
              <w:rPr>
                <w:rFonts w:ascii="Times New Roman"/>
                <w:spacing w:val="-1"/>
                <w:sz w:val="16"/>
              </w:rPr>
              <w:t>90,219,461.74</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84"/>
              <w:jc w:val="right"/>
              <w:rPr>
                <w:rFonts w:ascii="Times New Roman" w:hAnsi="Times New Roman" w:cs="Times New Roman" w:eastAsia="Times New Roman" w:hint="default"/>
                <w:sz w:val="16"/>
                <w:szCs w:val="16"/>
              </w:rPr>
            </w:pPr>
            <w:r>
              <w:rPr>
                <w:rFonts w:ascii="Times New Roman"/>
                <w:spacing w:val="-1"/>
                <w:sz w:val="16"/>
              </w:rPr>
              <w:t>2.78</w:t>
            </w:r>
          </w:p>
        </w:tc>
        <w:tc>
          <w:tcPr>
            <w:tcW w:w="124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33"/>
              <w:jc w:val="right"/>
              <w:rPr>
                <w:rFonts w:ascii="Times New Roman" w:hAnsi="Times New Roman" w:cs="Times New Roman" w:eastAsia="Times New Roman" w:hint="default"/>
                <w:sz w:val="16"/>
                <w:szCs w:val="16"/>
              </w:rPr>
            </w:pPr>
            <w:r>
              <w:rPr>
                <w:rFonts w:ascii="Times New Roman"/>
                <w:spacing w:val="-1"/>
                <w:sz w:val="16"/>
              </w:rPr>
              <w:t>4,510,973.09</w:t>
            </w:r>
          </w:p>
        </w:tc>
      </w:tr>
      <w:tr>
        <w:trPr>
          <w:trHeight w:val="349" w:hRule="exact"/>
        </w:trPr>
        <w:tc>
          <w:tcPr>
            <w:tcW w:w="100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Times New Roman" w:hAnsi="Times New Roman" w:cs="Times New Roman" w:eastAsia="Times New Roman" w:hint="default"/>
                <w:sz w:val="16"/>
                <w:szCs w:val="16"/>
              </w:rPr>
            </w:pPr>
            <w:r>
              <w:rPr>
                <w:rFonts w:ascii="宋体" w:hAnsi="宋体" w:cs="宋体" w:eastAsia="宋体" w:hint="default"/>
                <w:sz w:val="16"/>
                <w:szCs w:val="16"/>
              </w:rPr>
              <w:t>单位</w:t>
            </w:r>
            <w:r>
              <w:rPr>
                <w:rFonts w:ascii="宋体" w:hAnsi="宋体" w:cs="宋体" w:eastAsia="宋体" w:hint="default"/>
                <w:spacing w:val="-42"/>
                <w:sz w:val="16"/>
                <w:szCs w:val="16"/>
              </w:rPr>
              <w:t> </w:t>
            </w:r>
            <w:r>
              <w:rPr>
                <w:rFonts w:ascii="Times New Roman" w:hAnsi="Times New Roman" w:cs="Times New Roman" w:eastAsia="Times New Roman" w:hint="default"/>
                <w:sz w:val="16"/>
                <w:szCs w:val="16"/>
              </w:rPr>
              <w:t>5</w:t>
            </w:r>
          </w:p>
        </w:tc>
        <w:tc>
          <w:tcPr>
            <w:tcW w:w="1931" w:type="dxa"/>
            <w:tcBorders>
              <w:top w:val="nil" w:sz="6" w:space="0" w:color="auto"/>
              <w:left w:val="nil" w:sz="6" w:space="0" w:color="auto"/>
              <w:bottom w:val="nil" w:sz="6" w:space="0" w:color="auto"/>
              <w:right w:val="nil" w:sz="6" w:space="0" w:color="auto"/>
            </w:tcBorders>
          </w:tcPr>
          <w:p>
            <w:pPr/>
          </w:p>
        </w:tc>
        <w:tc>
          <w:tcPr>
            <w:tcW w:w="265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565"/>
              <w:jc w:val="right"/>
              <w:rPr>
                <w:rFonts w:ascii="Times New Roman" w:hAnsi="Times New Roman" w:cs="Times New Roman" w:eastAsia="Times New Roman" w:hint="default"/>
                <w:sz w:val="16"/>
                <w:szCs w:val="16"/>
              </w:rPr>
            </w:pPr>
            <w:r>
              <w:rPr>
                <w:rFonts w:ascii="Times New Roman"/>
                <w:spacing w:val="-1"/>
                <w:sz w:val="16"/>
              </w:rPr>
              <w:t>59,486,685.44</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84"/>
              <w:jc w:val="right"/>
              <w:rPr>
                <w:rFonts w:ascii="Times New Roman" w:hAnsi="Times New Roman" w:cs="Times New Roman" w:eastAsia="Times New Roman" w:hint="default"/>
                <w:sz w:val="16"/>
                <w:szCs w:val="16"/>
              </w:rPr>
            </w:pPr>
            <w:r>
              <w:rPr>
                <w:rFonts w:ascii="Times New Roman"/>
                <w:spacing w:val="-1"/>
                <w:sz w:val="16"/>
              </w:rPr>
              <w:t>1.83</w:t>
            </w:r>
          </w:p>
        </w:tc>
        <w:tc>
          <w:tcPr>
            <w:tcW w:w="124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33"/>
              <w:jc w:val="right"/>
              <w:rPr>
                <w:rFonts w:ascii="Times New Roman" w:hAnsi="Times New Roman" w:cs="Times New Roman" w:eastAsia="Times New Roman" w:hint="default"/>
                <w:sz w:val="16"/>
                <w:szCs w:val="16"/>
              </w:rPr>
            </w:pPr>
            <w:r>
              <w:rPr>
                <w:rFonts w:ascii="Times New Roman"/>
                <w:spacing w:val="-1"/>
                <w:sz w:val="16"/>
              </w:rPr>
              <w:t>2,974,334.27</w:t>
            </w:r>
          </w:p>
        </w:tc>
      </w:tr>
      <w:tr>
        <w:trPr>
          <w:trHeight w:val="361" w:hRule="exact"/>
        </w:trPr>
        <w:tc>
          <w:tcPr>
            <w:tcW w:w="1000" w:type="dxa"/>
            <w:tcBorders>
              <w:top w:val="nil" w:sz="6" w:space="0" w:color="auto"/>
              <w:left w:val="nil" w:sz="6" w:space="0" w:color="auto"/>
              <w:bottom w:val="nil" w:sz="6" w:space="0" w:color="auto"/>
              <w:right w:val="nil" w:sz="6" w:space="0" w:color="auto"/>
            </w:tcBorders>
          </w:tcPr>
          <w:p>
            <w:pPr/>
          </w:p>
        </w:tc>
        <w:tc>
          <w:tcPr>
            <w:tcW w:w="193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526"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65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566"/>
              <w:jc w:val="right"/>
              <w:rPr>
                <w:rFonts w:ascii="Times New Roman" w:hAnsi="Times New Roman" w:cs="Times New Roman" w:eastAsia="Times New Roman" w:hint="default"/>
                <w:sz w:val="16"/>
                <w:szCs w:val="16"/>
              </w:rPr>
            </w:pPr>
            <w:r>
              <w:rPr>
                <w:rFonts w:ascii="Times New Roman"/>
                <w:spacing w:val="-1"/>
                <w:sz w:val="16"/>
              </w:rPr>
              <w:t>492,503,725.12</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84"/>
              <w:jc w:val="right"/>
              <w:rPr>
                <w:rFonts w:ascii="Times New Roman" w:hAnsi="Times New Roman" w:cs="Times New Roman" w:eastAsia="Times New Roman" w:hint="default"/>
                <w:sz w:val="16"/>
                <w:szCs w:val="16"/>
              </w:rPr>
            </w:pPr>
            <w:r>
              <w:rPr>
                <w:rFonts w:ascii="Times New Roman"/>
                <w:spacing w:val="-1"/>
                <w:sz w:val="16"/>
              </w:rPr>
              <w:t>15.17</w:t>
            </w:r>
          </w:p>
        </w:tc>
        <w:tc>
          <w:tcPr>
            <w:tcW w:w="124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33"/>
              <w:jc w:val="right"/>
              <w:rPr>
                <w:rFonts w:ascii="Times New Roman" w:hAnsi="Times New Roman" w:cs="Times New Roman" w:eastAsia="Times New Roman" w:hint="default"/>
                <w:sz w:val="16"/>
                <w:szCs w:val="16"/>
              </w:rPr>
            </w:pPr>
            <w:r>
              <w:rPr>
                <w:rFonts w:ascii="Times New Roman"/>
                <w:spacing w:val="-1"/>
                <w:sz w:val="16"/>
              </w:rPr>
              <w:t>26,993,292.42</w:t>
            </w:r>
          </w:p>
        </w:tc>
      </w:tr>
    </w:tbl>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5"/>
          <w:szCs w:val="15"/>
        </w:rPr>
      </w:pPr>
    </w:p>
    <w:p>
      <w:pPr>
        <w:pStyle w:val="BodyText"/>
        <w:spacing w:line="240" w:lineRule="auto" w:before="35"/>
        <w:ind w:right="3681"/>
        <w:jc w:val="left"/>
      </w:pPr>
      <w:r>
        <w:rPr/>
        <w:pict>
          <v:group style="position:absolute;margin-left:119.010002pt;margin-top:17.073826pt;width:411.9pt;height:130.15pt;mso-position-horizontal-relative:page;mso-position-vertical-relative:paragraph;z-index:-1396696" coordorigin="2380,341" coordsize="8238,2603">
            <v:group style="position:absolute;left:2410;top:356;width:2698;height:2" coordorigin="2410,356" coordsize="2698,2">
              <v:shape style="position:absolute;left:2410;top:356;width:2698;height:2" coordorigin="2410,356" coordsize="2698,0" path="m2410,356l5107,356e" filled="false" stroked="true" strokeweight="1.5pt" strokecolor="#000000">
                <v:path arrowok="t"/>
              </v:shape>
              <v:shape style="position:absolute;left:5107;top:371;width:10;height:28" type="#_x0000_t75" stroked="false">
                <v:imagedata r:id="rId102" o:title=""/>
              </v:shape>
            </v:group>
            <v:group style="position:absolute;left:5107;top:356;width:1589;height:2" coordorigin="5107,356" coordsize="1589,2">
              <v:shape style="position:absolute;left:5107;top:356;width:1589;height:2" coordorigin="5107,356" coordsize="1589,0" path="m5107,356l6696,356e" filled="false" stroked="true" strokeweight="1.5pt" strokecolor="#000000">
                <v:path arrowok="t"/>
              </v:shape>
              <v:shape style="position:absolute;left:6696;top:371;width:10;height:28" type="#_x0000_t75" stroked="false">
                <v:imagedata r:id="rId102" o:title=""/>
              </v:shape>
            </v:group>
            <v:group style="position:absolute;left:6696;top:356;width:2309;height:2" coordorigin="6696,356" coordsize="2309,2">
              <v:shape style="position:absolute;left:6696;top:356;width:2309;height:2" coordorigin="6696,356" coordsize="2309,0" path="m6696,356l9005,356e" filled="false" stroked="true" strokeweight="1.5pt" strokecolor="#000000">
                <v:path arrowok="t"/>
              </v:shape>
              <v:shape style="position:absolute;left:9005;top:371;width:10;height:28" type="#_x0000_t75" stroked="false">
                <v:imagedata r:id="rId102" o:title=""/>
              </v:shape>
            </v:group>
            <v:group style="position:absolute;left:9005;top:356;width:1593;height:2" coordorigin="9005,356" coordsize="1593,2">
              <v:shape style="position:absolute;left:9005;top:356;width:1593;height:2" coordorigin="9005,356" coordsize="1593,0" path="m9005,356l10597,356e" filled="false" stroked="true" strokeweight="1.5pt" strokecolor="#000000">
                <v:path arrowok="t"/>
              </v:shape>
              <v:shape style="position:absolute;left:5088;top:380;width:3946;height:562" type="#_x0000_t75" stroked="false">
                <v:imagedata r:id="rId103" o:title=""/>
              </v:shape>
            </v:group>
            <v:group style="position:absolute;left:2395;top:2929;width:2712;height:2" coordorigin="2395,2929" coordsize="2712,2">
              <v:shape style="position:absolute;left:2395;top:2929;width:2712;height:2" coordorigin="2395,2929" coordsize="2712,0" path="m2395,2929l5107,2929e" filled="false" stroked="true" strokeweight="1.5pt" strokecolor="#000000">
                <v:path arrowok="t"/>
              </v:shape>
              <v:shape style="position:absolute;left:2390;top:903;width:8227;height:2030" type="#_x0000_t75" stroked="false">
                <v:imagedata r:id="rId104" o:title=""/>
              </v:shape>
            </v:group>
            <v:group style="position:absolute;left:5107;top:2929;width:1589;height:2" coordorigin="5107,2929" coordsize="1589,2">
              <v:shape style="position:absolute;left:5107;top:2929;width:1589;height:2" coordorigin="5107,2929" coordsize="1589,0" path="m5107,2929l6696,2929e" filled="false" stroked="true" strokeweight="1.5pt" strokecolor="#000000">
                <v:path arrowok="t"/>
              </v:shape>
              <v:shape style="position:absolute;left:6677;top:2387;width:48;height:546" type="#_x0000_t75" stroked="false">
                <v:imagedata r:id="rId105" o:title=""/>
              </v:shape>
            </v:group>
            <v:group style="position:absolute;left:6696;top:2929;width:2309;height:2" coordorigin="6696,2929" coordsize="2309,2">
              <v:shape style="position:absolute;left:6696;top:2929;width:2309;height:2" coordorigin="6696,2929" coordsize="2309,0" path="m6696,2929l9005,2929e" filled="false" stroked="true" strokeweight="1.5pt" strokecolor="#000000">
                <v:path arrowok="t"/>
              </v:shape>
              <v:shape style="position:absolute;left:8986;top:2387;width:48;height:546" type="#_x0000_t75" stroked="false">
                <v:imagedata r:id="rId106" o:title=""/>
              </v:shape>
            </v:group>
            <v:group style="position:absolute;left:9005;top:2929;width:1593;height:2" coordorigin="9005,2929" coordsize="1593,2">
              <v:shape style="position:absolute;left:9005;top:2929;width:1593;height:2" coordorigin="9005,2929" coordsize="1593,0" path="m9005,2929l10597,2929e" filled="false" stroked="true" strokeweight="1.5pt" strokecolor="#000000">
                <v:path arrowok="t"/>
              </v:shape>
              <v:shape style="position:absolute;left:3600;top:567;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项目</w:t>
                      </w:r>
                      <w:r>
                        <w:rPr>
                          <w:rFonts w:ascii="宋体" w:hAnsi="宋体" w:cs="宋体" w:eastAsia="宋体" w:hint="default"/>
                          <w:sz w:val="16"/>
                          <w:szCs w:val="16"/>
                        </w:rPr>
                      </w:r>
                    </w:p>
                  </w:txbxContent>
                </v:textbox>
                <w10:wrap type="none"/>
              </v:shape>
              <v:shape style="position:absolute;left:5425;top:567;width:95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终止确认金额</w:t>
                      </w:r>
                      <w:r>
                        <w:rPr>
                          <w:rFonts w:ascii="宋体" w:hAnsi="宋体" w:cs="宋体" w:eastAsia="宋体" w:hint="default"/>
                          <w:sz w:val="16"/>
                          <w:szCs w:val="16"/>
                        </w:rPr>
                      </w:r>
                    </w:p>
                  </w:txbxContent>
                </v:textbox>
                <w10:wrap type="none"/>
              </v:shape>
              <v:shape style="position:absolute;left:7134;top:567;width:14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金融资产转移的方式</w:t>
                      </w:r>
                      <w:r>
                        <w:rPr>
                          <w:rFonts w:ascii="宋体" w:hAnsi="宋体" w:cs="宋体" w:eastAsia="宋体" w:hint="default"/>
                          <w:sz w:val="16"/>
                          <w:szCs w:val="16"/>
                        </w:rPr>
                      </w:r>
                    </w:p>
                  </w:txbxContent>
                </v:textbox>
                <w10:wrap type="none"/>
              </v:shape>
              <v:shape style="position:absolute;left:9163;top:464;width:1280;height:368" type="#_x0000_t202" filled="false" stroked="false">
                <v:textbox inset="0,0,0,0">
                  <w:txbxContent>
                    <w:p>
                      <w:pPr>
                        <w:spacing w:line="159" w:lineRule="exact" w:before="0"/>
                        <w:ind w:left="0" w:right="0" w:firstLine="0"/>
                        <w:jc w:val="center"/>
                        <w:rPr>
                          <w:rFonts w:ascii="宋体" w:hAnsi="宋体" w:cs="宋体" w:eastAsia="宋体" w:hint="default"/>
                          <w:sz w:val="16"/>
                          <w:szCs w:val="16"/>
                        </w:rPr>
                      </w:pPr>
                      <w:r>
                        <w:rPr>
                          <w:rFonts w:ascii="宋体" w:hAnsi="宋体" w:cs="宋体" w:eastAsia="宋体" w:hint="default"/>
                          <w:w w:val="95"/>
                          <w:sz w:val="16"/>
                          <w:szCs w:val="16"/>
                        </w:rPr>
                        <w:t>与终止确认相关的</w:t>
                      </w:r>
                      <w:r>
                        <w:rPr>
                          <w:rFonts w:ascii="宋体" w:hAnsi="宋体" w:cs="宋体" w:eastAsia="宋体" w:hint="default"/>
                          <w:sz w:val="16"/>
                          <w:szCs w:val="16"/>
                        </w:rPr>
                      </w:r>
                    </w:p>
                    <w:p>
                      <w:pPr>
                        <w:spacing w:line="208" w:lineRule="exact" w:before="0"/>
                        <w:ind w:left="0" w:right="0" w:firstLine="0"/>
                        <w:jc w:val="center"/>
                        <w:rPr>
                          <w:rFonts w:ascii="宋体" w:hAnsi="宋体" w:cs="宋体" w:eastAsia="宋体" w:hint="default"/>
                          <w:sz w:val="16"/>
                          <w:szCs w:val="16"/>
                        </w:rPr>
                      </w:pPr>
                      <w:r>
                        <w:rPr>
                          <w:rFonts w:ascii="宋体" w:hAnsi="宋体" w:cs="宋体" w:eastAsia="宋体" w:hint="default"/>
                          <w:sz w:val="16"/>
                          <w:szCs w:val="16"/>
                        </w:rPr>
                        <w:t>利得或损失</w:t>
                      </w:r>
                    </w:p>
                  </w:txbxContent>
                </v:textbox>
                <w10:wrap type="none"/>
              </v:shape>
              <v:shape style="position:absolute;left:2518;top:1034;width:2474;height:1806" type="#_x0000_t202" filled="false" stroked="false">
                <v:textbox inset="0,0,0,0">
                  <w:txbxContent>
                    <w:p>
                      <w:pPr>
                        <w:spacing w:line="163" w:lineRule="exact" w:before="0"/>
                        <w:ind w:left="0" w:right="0" w:firstLine="0"/>
                        <w:jc w:val="left"/>
                        <w:rPr>
                          <w:rFonts w:ascii="Times New Roman" w:hAnsi="Times New Roman" w:cs="Times New Roman" w:eastAsia="Times New Roman" w:hint="default"/>
                          <w:sz w:val="16"/>
                          <w:szCs w:val="16"/>
                        </w:rPr>
                      </w:pPr>
                      <w:r>
                        <w:rPr>
                          <w:rFonts w:ascii="Times New Roman"/>
                          <w:sz w:val="16"/>
                        </w:rPr>
                        <w:t>Procter &amp; Gamble</w:t>
                      </w:r>
                      <w:r>
                        <w:rPr>
                          <w:rFonts w:ascii="Times New Roman"/>
                          <w:spacing w:val="-9"/>
                          <w:sz w:val="16"/>
                        </w:rPr>
                        <w:t> </w:t>
                      </w:r>
                      <w:r>
                        <w:rPr>
                          <w:rFonts w:ascii="Times New Roman"/>
                          <w:sz w:val="16"/>
                        </w:rPr>
                        <w:t>International</w:t>
                      </w:r>
                    </w:p>
                    <w:p>
                      <w:pPr>
                        <w:spacing w:before="16"/>
                        <w:ind w:left="0" w:right="0" w:firstLine="0"/>
                        <w:jc w:val="left"/>
                        <w:rPr>
                          <w:rFonts w:ascii="Times New Roman" w:hAnsi="Times New Roman" w:cs="Times New Roman" w:eastAsia="Times New Roman" w:hint="default"/>
                          <w:sz w:val="16"/>
                          <w:szCs w:val="16"/>
                        </w:rPr>
                      </w:pPr>
                      <w:r>
                        <w:rPr>
                          <w:rFonts w:ascii="Times New Roman"/>
                          <w:sz w:val="16"/>
                        </w:rPr>
                        <w:t>Operations</w:t>
                      </w:r>
                      <w:r>
                        <w:rPr>
                          <w:rFonts w:ascii="Times New Roman"/>
                          <w:spacing w:val="-3"/>
                          <w:sz w:val="16"/>
                        </w:rPr>
                        <w:t> </w:t>
                      </w:r>
                      <w:r>
                        <w:rPr>
                          <w:rFonts w:ascii="Times New Roman"/>
                          <w:sz w:val="16"/>
                        </w:rPr>
                        <w:t>SA</w:t>
                      </w:r>
                    </w:p>
                    <w:p>
                      <w:pPr>
                        <w:spacing w:line="240" w:lineRule="auto" w:before="5"/>
                        <w:rPr>
                          <w:rFonts w:ascii="宋体" w:hAnsi="宋体" w:cs="宋体" w:eastAsia="宋体" w:hint="default"/>
                          <w:sz w:val="12"/>
                          <w:szCs w:val="12"/>
                        </w:rPr>
                      </w:pPr>
                    </w:p>
                    <w:p>
                      <w:pPr>
                        <w:spacing w:line="261" w:lineRule="auto" w:before="0"/>
                        <w:ind w:left="0" w:right="589" w:firstLine="0"/>
                        <w:jc w:val="left"/>
                        <w:rPr>
                          <w:rFonts w:ascii="Times New Roman" w:hAnsi="Times New Roman" w:cs="Times New Roman" w:eastAsia="Times New Roman" w:hint="default"/>
                          <w:sz w:val="16"/>
                          <w:szCs w:val="16"/>
                        </w:rPr>
                      </w:pPr>
                      <w:r>
                        <w:rPr>
                          <w:rFonts w:ascii="Times New Roman"/>
                          <w:sz w:val="16"/>
                        </w:rPr>
                        <w:t>PENAC </w:t>
                      </w:r>
                      <w:r>
                        <w:rPr>
                          <w:rFonts w:ascii="Times New Roman"/>
                          <w:spacing w:val="-3"/>
                          <w:sz w:val="16"/>
                        </w:rPr>
                        <w:t>NORTH</w:t>
                      </w:r>
                      <w:r>
                        <w:rPr>
                          <w:rFonts w:ascii="Times New Roman"/>
                          <w:spacing w:val="-9"/>
                          <w:sz w:val="16"/>
                        </w:rPr>
                        <w:t> </w:t>
                      </w:r>
                      <w:r>
                        <w:rPr>
                          <w:rFonts w:ascii="Times New Roman"/>
                          <w:sz w:val="16"/>
                        </w:rPr>
                        <w:t>MAERICA</w:t>
                      </w:r>
                      <w:r>
                        <w:rPr>
                          <w:rFonts w:ascii="Times New Roman"/>
                          <w:spacing w:val="-1"/>
                          <w:w w:val="99"/>
                          <w:sz w:val="16"/>
                        </w:rPr>
                        <w:t> </w:t>
                      </w:r>
                      <w:r>
                        <w:rPr>
                          <w:rFonts w:ascii="Times New Roman"/>
                          <w:spacing w:val="-3"/>
                          <w:sz w:val="16"/>
                        </w:rPr>
                        <w:t>SUPPLY</w:t>
                      </w:r>
                      <w:r>
                        <w:rPr>
                          <w:rFonts w:ascii="Times New Roman"/>
                          <w:spacing w:val="-8"/>
                          <w:sz w:val="16"/>
                        </w:rPr>
                        <w:t> </w:t>
                      </w:r>
                      <w:r>
                        <w:rPr>
                          <w:rFonts w:ascii="Times New Roman"/>
                          <w:sz w:val="16"/>
                        </w:rPr>
                        <w:t>CENTER</w:t>
                      </w:r>
                    </w:p>
                    <w:p>
                      <w:pPr>
                        <w:spacing w:line="240" w:lineRule="auto" w:before="5"/>
                        <w:rPr>
                          <w:rFonts w:ascii="宋体" w:hAnsi="宋体" w:cs="宋体" w:eastAsia="宋体" w:hint="default"/>
                          <w:sz w:val="11"/>
                          <w:szCs w:val="11"/>
                        </w:rPr>
                      </w:pPr>
                    </w:p>
                    <w:p>
                      <w:pPr>
                        <w:spacing w:before="0"/>
                        <w:ind w:left="0" w:right="0" w:firstLine="0"/>
                        <w:jc w:val="left"/>
                        <w:rPr>
                          <w:rFonts w:ascii="Times New Roman" w:hAnsi="Times New Roman" w:cs="Times New Roman" w:eastAsia="Times New Roman" w:hint="default"/>
                          <w:sz w:val="16"/>
                          <w:szCs w:val="16"/>
                        </w:rPr>
                      </w:pPr>
                      <w:r>
                        <w:rPr>
                          <w:rFonts w:ascii="Times New Roman"/>
                          <w:sz w:val="16"/>
                        </w:rPr>
                        <w:t>Flextronics Logistics Poland Sp. z</w:t>
                      </w:r>
                      <w:r>
                        <w:rPr>
                          <w:rFonts w:ascii="Times New Roman"/>
                          <w:spacing w:val="-11"/>
                          <w:sz w:val="16"/>
                        </w:rPr>
                        <w:t> </w:t>
                      </w:r>
                      <w:r>
                        <w:rPr>
                          <w:rFonts w:ascii="Times New Roman"/>
                          <w:sz w:val="16"/>
                        </w:rPr>
                        <w:t>o.o.</w:t>
                      </w:r>
                    </w:p>
                    <w:p>
                      <w:pPr>
                        <w:spacing w:line="240" w:lineRule="auto" w:before="9"/>
                        <w:rPr>
                          <w:rFonts w:ascii="宋体" w:hAnsi="宋体" w:cs="宋体" w:eastAsia="宋体" w:hint="default"/>
                          <w:sz w:val="12"/>
                          <w:szCs w:val="12"/>
                        </w:rPr>
                      </w:pPr>
                    </w:p>
                    <w:p>
                      <w:pPr>
                        <w:spacing w:line="261" w:lineRule="auto" w:before="0"/>
                        <w:ind w:left="0" w:right="2" w:firstLine="0"/>
                        <w:jc w:val="left"/>
                        <w:rPr>
                          <w:rFonts w:ascii="Times New Roman" w:hAnsi="Times New Roman" w:cs="Times New Roman" w:eastAsia="Times New Roman" w:hint="default"/>
                          <w:sz w:val="16"/>
                          <w:szCs w:val="16"/>
                        </w:rPr>
                      </w:pPr>
                      <w:r>
                        <w:rPr>
                          <w:rFonts w:ascii="Times New Roman"/>
                          <w:sz w:val="16"/>
                        </w:rPr>
                        <w:t>PHILIPS ELECTRONICS</w:t>
                      </w:r>
                      <w:r>
                        <w:rPr>
                          <w:rFonts w:ascii="Times New Roman"/>
                          <w:spacing w:val="-18"/>
                          <w:sz w:val="16"/>
                        </w:rPr>
                        <w:t> </w:t>
                      </w:r>
                      <w:r>
                        <w:rPr>
                          <w:rFonts w:ascii="Times New Roman"/>
                          <w:sz w:val="16"/>
                        </w:rPr>
                        <w:t>(ZHUHAI)</w:t>
                      </w:r>
                      <w:r>
                        <w:rPr>
                          <w:rFonts w:ascii="Times New Roman"/>
                          <w:spacing w:val="-1"/>
                          <w:w w:val="99"/>
                          <w:sz w:val="16"/>
                        </w:rPr>
                        <w:t> </w:t>
                      </w:r>
                      <w:r>
                        <w:rPr>
                          <w:rFonts w:ascii="Times New Roman"/>
                          <w:spacing w:val="-3"/>
                          <w:sz w:val="16"/>
                        </w:rPr>
                        <w:t>COMPANY</w:t>
                      </w:r>
                      <w:r>
                        <w:rPr>
                          <w:rFonts w:ascii="Times New Roman"/>
                          <w:spacing w:val="-4"/>
                          <w:sz w:val="16"/>
                        </w:rPr>
                        <w:t> </w:t>
                      </w:r>
                      <w:r>
                        <w:rPr>
                          <w:rFonts w:ascii="Times New Roman"/>
                          <w:spacing w:val="-5"/>
                          <w:sz w:val="16"/>
                        </w:rPr>
                        <w:t>LTD.</w:t>
                      </w:r>
                      <w:r>
                        <w:rPr>
                          <w:rFonts w:ascii="Times New Roman"/>
                          <w:sz w:val="16"/>
                        </w:rPr>
                      </w:r>
                    </w:p>
                  </w:txbxContent>
                </v:textbox>
                <w10:wrap type="none"/>
              </v:shape>
            </v:group>
            <w10:wrap type="none"/>
          </v:group>
        </w:pict>
      </w:r>
      <w:r>
        <w:rPr/>
        <w:t>（</w:t>
      </w:r>
      <w:r>
        <w:rPr>
          <w:rFonts w:ascii="Times New Roman" w:hAnsi="Times New Roman" w:cs="Times New Roman" w:eastAsia="Times New Roman" w:hint="default"/>
        </w:rPr>
        <w:t>5</w:t>
      </w:r>
      <w:r>
        <w:rPr/>
        <w:t>）因金融资产转移而终止确认的应收账款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3"/>
          <w:szCs w:val="13"/>
        </w:rPr>
      </w:pPr>
    </w:p>
    <w:tbl>
      <w:tblPr>
        <w:tblW w:w="0" w:type="auto"/>
        <w:jc w:val="left"/>
        <w:tblInd w:w="3976" w:type="dxa"/>
        <w:tblLayout w:type="fixed"/>
        <w:tblCellMar>
          <w:top w:w="0" w:type="dxa"/>
          <w:left w:w="0" w:type="dxa"/>
          <w:bottom w:w="0" w:type="dxa"/>
          <w:right w:w="0" w:type="dxa"/>
        </w:tblCellMar>
        <w:tblLook w:val="01E0"/>
      </w:tblPr>
      <w:tblGrid>
        <w:gridCol w:w="1148"/>
        <w:gridCol w:w="2439"/>
        <w:gridCol w:w="1301"/>
      </w:tblGrid>
      <w:tr>
        <w:trPr>
          <w:trHeight w:val="460" w:hRule="exact"/>
        </w:trPr>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92"/>
              <w:ind w:left="35" w:right="0"/>
              <w:jc w:val="left"/>
              <w:rPr>
                <w:rFonts w:ascii="Times New Roman" w:hAnsi="Times New Roman" w:cs="Times New Roman" w:eastAsia="Times New Roman" w:hint="default"/>
                <w:sz w:val="16"/>
                <w:szCs w:val="16"/>
              </w:rPr>
            </w:pPr>
            <w:r>
              <w:rPr>
                <w:rFonts w:ascii="Times New Roman"/>
                <w:sz w:val="16"/>
              </w:rPr>
              <w:t>55,012,996.20</w:t>
            </w:r>
          </w:p>
        </w:tc>
        <w:tc>
          <w:tcPr>
            <w:tcW w:w="2439"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90" w:right="0"/>
              <w:jc w:val="left"/>
              <w:rPr>
                <w:rFonts w:ascii="宋体" w:hAnsi="宋体" w:cs="宋体" w:eastAsia="宋体" w:hint="default"/>
                <w:sz w:val="16"/>
                <w:szCs w:val="16"/>
              </w:rPr>
            </w:pPr>
            <w:r>
              <w:rPr>
                <w:rFonts w:ascii="宋体" w:hAnsi="宋体" w:cs="宋体" w:eastAsia="宋体" w:hint="default"/>
                <w:sz w:val="16"/>
                <w:szCs w:val="16"/>
              </w:rPr>
              <w:t>无追索权的应收账款保理</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33"/>
              <w:jc w:val="right"/>
              <w:rPr>
                <w:rFonts w:ascii="Times New Roman" w:hAnsi="Times New Roman" w:cs="Times New Roman" w:eastAsia="Times New Roman" w:hint="default"/>
                <w:sz w:val="16"/>
                <w:szCs w:val="16"/>
              </w:rPr>
            </w:pPr>
            <w:r>
              <w:rPr>
                <w:rFonts w:ascii="Times New Roman"/>
                <w:spacing w:val="-1"/>
                <w:sz w:val="16"/>
              </w:rPr>
              <w:t>-226,631.16</w:t>
            </w:r>
          </w:p>
        </w:tc>
      </w:tr>
      <w:tr>
        <w:trPr>
          <w:trHeight w:val="498" w:hRule="exact"/>
        </w:trPr>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left="41" w:right="0"/>
              <w:jc w:val="left"/>
              <w:rPr>
                <w:rFonts w:ascii="Times New Roman" w:hAnsi="Times New Roman" w:cs="Times New Roman" w:eastAsia="Times New Roman" w:hint="default"/>
                <w:sz w:val="16"/>
                <w:szCs w:val="16"/>
              </w:rPr>
            </w:pPr>
            <w:r>
              <w:rPr>
                <w:rFonts w:ascii="Times New Roman"/>
                <w:sz w:val="16"/>
              </w:rPr>
              <w:t>18,178,116.36</w:t>
            </w:r>
          </w:p>
        </w:tc>
        <w:tc>
          <w:tcPr>
            <w:tcW w:w="2439" w:type="dxa"/>
            <w:tcBorders>
              <w:top w:val="nil" w:sz="6" w:space="0" w:color="auto"/>
              <w:left w:val="nil" w:sz="6" w:space="0" w:color="auto"/>
              <w:bottom w:val="nil" w:sz="6" w:space="0" w:color="auto"/>
              <w:right w:val="nil" w:sz="6" w:space="0" w:color="auto"/>
            </w:tcBorders>
          </w:tcPr>
          <w:p>
            <w:pPr>
              <w:pStyle w:val="TableParagraph"/>
              <w:spacing w:line="240" w:lineRule="auto" w:before="136"/>
              <w:ind w:left="190" w:right="0"/>
              <w:jc w:val="left"/>
              <w:rPr>
                <w:rFonts w:ascii="宋体" w:hAnsi="宋体" w:cs="宋体" w:eastAsia="宋体" w:hint="default"/>
                <w:sz w:val="16"/>
                <w:szCs w:val="16"/>
              </w:rPr>
            </w:pPr>
            <w:r>
              <w:rPr>
                <w:rFonts w:ascii="宋体" w:hAnsi="宋体" w:cs="宋体" w:eastAsia="宋体" w:hint="default"/>
                <w:sz w:val="16"/>
                <w:szCs w:val="16"/>
              </w:rPr>
              <w:t>无追索权的应收账款保理</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33"/>
              <w:jc w:val="right"/>
              <w:rPr>
                <w:rFonts w:ascii="Times New Roman" w:hAnsi="Times New Roman" w:cs="Times New Roman" w:eastAsia="Times New Roman" w:hint="default"/>
                <w:sz w:val="16"/>
                <w:szCs w:val="16"/>
              </w:rPr>
            </w:pPr>
            <w:r>
              <w:rPr>
                <w:rFonts w:ascii="Times New Roman"/>
                <w:spacing w:val="-1"/>
                <w:sz w:val="16"/>
              </w:rPr>
              <w:t>-266,352.08</w:t>
            </w:r>
          </w:p>
        </w:tc>
      </w:tr>
      <w:tr>
        <w:trPr>
          <w:trHeight w:val="450" w:hRule="exact"/>
        </w:trPr>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131"/>
              <w:ind w:left="37" w:right="0"/>
              <w:jc w:val="left"/>
              <w:rPr>
                <w:rFonts w:ascii="Times New Roman" w:hAnsi="Times New Roman" w:cs="Times New Roman" w:eastAsia="Times New Roman" w:hint="default"/>
                <w:sz w:val="16"/>
                <w:szCs w:val="16"/>
              </w:rPr>
            </w:pPr>
            <w:r>
              <w:rPr>
                <w:rFonts w:ascii="Times New Roman"/>
                <w:sz w:val="16"/>
              </w:rPr>
              <w:t>15,467,225.50</w:t>
            </w:r>
          </w:p>
        </w:tc>
        <w:tc>
          <w:tcPr>
            <w:tcW w:w="2439" w:type="dxa"/>
            <w:tcBorders>
              <w:top w:val="nil" w:sz="6" w:space="0" w:color="auto"/>
              <w:left w:val="nil" w:sz="6" w:space="0" w:color="auto"/>
              <w:bottom w:val="nil" w:sz="6" w:space="0" w:color="auto"/>
              <w:right w:val="nil" w:sz="6" w:space="0" w:color="auto"/>
            </w:tcBorders>
          </w:tcPr>
          <w:p>
            <w:pPr>
              <w:pStyle w:val="TableParagraph"/>
              <w:spacing w:line="240" w:lineRule="auto" w:before="88"/>
              <w:ind w:left="190" w:right="0"/>
              <w:jc w:val="left"/>
              <w:rPr>
                <w:rFonts w:ascii="宋体" w:hAnsi="宋体" w:cs="宋体" w:eastAsia="宋体" w:hint="default"/>
                <w:sz w:val="16"/>
                <w:szCs w:val="16"/>
              </w:rPr>
            </w:pPr>
            <w:r>
              <w:rPr>
                <w:rFonts w:ascii="宋体" w:hAnsi="宋体" w:cs="宋体" w:eastAsia="宋体" w:hint="default"/>
                <w:sz w:val="16"/>
                <w:szCs w:val="16"/>
              </w:rPr>
              <w:t>无追索权的应收账款保理</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33"/>
              <w:jc w:val="right"/>
              <w:rPr>
                <w:rFonts w:ascii="Times New Roman" w:hAnsi="Times New Roman" w:cs="Times New Roman" w:eastAsia="Times New Roman" w:hint="default"/>
                <w:sz w:val="16"/>
                <w:szCs w:val="16"/>
              </w:rPr>
            </w:pPr>
            <w:r>
              <w:rPr>
                <w:rFonts w:ascii="Times New Roman"/>
                <w:spacing w:val="-1"/>
                <w:sz w:val="16"/>
              </w:rPr>
              <w:t>-10,646.20</w:t>
            </w:r>
          </w:p>
        </w:tc>
      </w:tr>
      <w:tr>
        <w:trPr>
          <w:trHeight w:val="312" w:hRule="exact"/>
        </w:trPr>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131"/>
              <w:ind w:left="41" w:right="0"/>
              <w:jc w:val="left"/>
              <w:rPr>
                <w:rFonts w:ascii="Times New Roman" w:hAnsi="Times New Roman" w:cs="Times New Roman" w:eastAsia="Times New Roman" w:hint="default"/>
                <w:sz w:val="16"/>
                <w:szCs w:val="16"/>
              </w:rPr>
            </w:pPr>
            <w:r>
              <w:rPr>
                <w:rFonts w:ascii="Times New Roman"/>
                <w:sz w:val="16"/>
              </w:rPr>
              <w:t>11,997,122.99</w:t>
            </w:r>
          </w:p>
        </w:tc>
        <w:tc>
          <w:tcPr>
            <w:tcW w:w="2439" w:type="dxa"/>
            <w:tcBorders>
              <w:top w:val="nil" w:sz="6" w:space="0" w:color="auto"/>
              <w:left w:val="nil" w:sz="6" w:space="0" w:color="auto"/>
              <w:bottom w:val="nil" w:sz="6" w:space="0" w:color="auto"/>
              <w:right w:val="nil" w:sz="6" w:space="0" w:color="auto"/>
            </w:tcBorders>
          </w:tcPr>
          <w:p>
            <w:pPr>
              <w:pStyle w:val="TableParagraph"/>
              <w:spacing w:line="240" w:lineRule="auto" w:before="88"/>
              <w:ind w:left="190" w:right="0"/>
              <w:jc w:val="left"/>
              <w:rPr>
                <w:rFonts w:ascii="宋体" w:hAnsi="宋体" w:cs="宋体" w:eastAsia="宋体" w:hint="default"/>
                <w:sz w:val="16"/>
                <w:szCs w:val="16"/>
              </w:rPr>
            </w:pPr>
            <w:r>
              <w:rPr>
                <w:rFonts w:ascii="宋体" w:hAnsi="宋体" w:cs="宋体" w:eastAsia="宋体" w:hint="default"/>
                <w:sz w:val="16"/>
                <w:szCs w:val="16"/>
              </w:rPr>
              <w:t>无追索权的应收账款保理</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33"/>
              <w:jc w:val="right"/>
              <w:rPr>
                <w:rFonts w:ascii="Times New Roman" w:hAnsi="Times New Roman" w:cs="Times New Roman" w:eastAsia="Times New Roman" w:hint="default"/>
                <w:sz w:val="16"/>
                <w:szCs w:val="16"/>
              </w:rPr>
            </w:pPr>
            <w:r>
              <w:rPr>
                <w:rFonts w:ascii="Times New Roman"/>
                <w:spacing w:val="-1"/>
                <w:sz w:val="16"/>
              </w:rPr>
              <w:t>-175,786.01</w:t>
            </w:r>
          </w:p>
        </w:tc>
      </w:tr>
    </w:tbl>
    <w:p>
      <w:pPr>
        <w:spacing w:after="0" w:line="240" w:lineRule="auto"/>
        <w:jc w:val="right"/>
        <w:rPr>
          <w:rFonts w:ascii="Times New Roman" w:hAnsi="Times New Roman" w:cs="Times New Roman" w:eastAsia="Times New Roman" w:hint="default"/>
          <w:sz w:val="16"/>
          <w:szCs w:val="16"/>
        </w:rPr>
        <w:sectPr>
          <w:pgSz w:w="11910" w:h="16840"/>
          <w:pgMar w:header="0" w:footer="1001" w:top="1520" w:bottom="1200" w:left="166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1"/>
          <w:szCs w:val="21"/>
        </w:rPr>
      </w:pPr>
    </w:p>
    <w:tbl>
      <w:tblPr>
        <w:tblW w:w="0" w:type="auto"/>
        <w:jc w:val="left"/>
        <w:tblInd w:w="3896" w:type="dxa"/>
        <w:tblLayout w:type="fixed"/>
        <w:tblCellMar>
          <w:top w:w="0" w:type="dxa"/>
          <w:left w:w="0" w:type="dxa"/>
          <w:bottom w:w="0" w:type="dxa"/>
          <w:right w:w="0" w:type="dxa"/>
        </w:tblCellMar>
        <w:tblLook w:val="01E0"/>
      </w:tblPr>
      <w:tblGrid>
        <w:gridCol w:w="1227"/>
        <w:gridCol w:w="2381"/>
        <w:gridCol w:w="1395"/>
      </w:tblGrid>
      <w:tr>
        <w:trPr>
          <w:trHeight w:val="411" w:hRule="exact"/>
        </w:trPr>
        <w:tc>
          <w:tcPr>
            <w:tcW w:w="1227"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88"/>
              <w:jc w:val="right"/>
              <w:rPr>
                <w:rFonts w:ascii="Times New Roman" w:hAnsi="Times New Roman" w:cs="Times New Roman" w:eastAsia="Times New Roman" w:hint="default"/>
                <w:sz w:val="16"/>
                <w:szCs w:val="16"/>
              </w:rPr>
            </w:pPr>
            <w:r>
              <w:rPr>
                <w:rFonts w:ascii="Times New Roman"/>
                <w:spacing w:val="-1"/>
                <w:sz w:val="16"/>
              </w:rPr>
              <w:t>6,803,562.36</w:t>
            </w:r>
          </w:p>
        </w:tc>
        <w:tc>
          <w:tcPr>
            <w:tcW w:w="238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90" w:right="0"/>
              <w:jc w:val="left"/>
              <w:rPr>
                <w:rFonts w:ascii="宋体" w:hAnsi="宋体" w:cs="宋体" w:eastAsia="宋体" w:hint="default"/>
                <w:sz w:val="16"/>
                <w:szCs w:val="16"/>
              </w:rPr>
            </w:pPr>
            <w:r>
              <w:rPr>
                <w:rFonts w:ascii="宋体" w:hAnsi="宋体" w:cs="宋体" w:eastAsia="宋体" w:hint="default"/>
                <w:sz w:val="16"/>
                <w:szCs w:val="16"/>
              </w:rPr>
              <w:t>无追索权的应收账款保理</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68"/>
              <w:jc w:val="right"/>
              <w:rPr>
                <w:rFonts w:ascii="Times New Roman" w:hAnsi="Times New Roman" w:cs="Times New Roman" w:eastAsia="Times New Roman" w:hint="default"/>
                <w:sz w:val="16"/>
                <w:szCs w:val="16"/>
              </w:rPr>
            </w:pPr>
            <w:r>
              <w:rPr>
                <w:rFonts w:ascii="Times New Roman"/>
                <w:spacing w:val="-1"/>
                <w:sz w:val="16"/>
              </w:rPr>
              <w:t>-8,002.94</w:t>
            </w:r>
          </w:p>
        </w:tc>
      </w:tr>
      <w:tr>
        <w:trPr>
          <w:trHeight w:val="449" w:hRule="exact"/>
        </w:trPr>
        <w:tc>
          <w:tcPr>
            <w:tcW w:w="1227"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188"/>
              <w:jc w:val="right"/>
              <w:rPr>
                <w:rFonts w:ascii="Times New Roman" w:hAnsi="Times New Roman" w:cs="Times New Roman" w:eastAsia="Times New Roman" w:hint="default"/>
                <w:sz w:val="16"/>
                <w:szCs w:val="16"/>
              </w:rPr>
            </w:pPr>
            <w:r>
              <w:rPr>
                <w:rFonts w:ascii="Times New Roman"/>
                <w:spacing w:val="-1"/>
                <w:sz w:val="16"/>
              </w:rPr>
              <w:t>726,586.62</w:t>
            </w:r>
          </w:p>
        </w:tc>
        <w:tc>
          <w:tcPr>
            <w:tcW w:w="2381" w:type="dxa"/>
            <w:tcBorders>
              <w:top w:val="nil" w:sz="6" w:space="0" w:color="auto"/>
              <w:left w:val="nil" w:sz="6" w:space="0" w:color="auto"/>
              <w:bottom w:val="nil" w:sz="6" w:space="0" w:color="auto"/>
              <w:right w:val="nil" w:sz="6" w:space="0" w:color="auto"/>
            </w:tcBorders>
          </w:tcPr>
          <w:p>
            <w:pPr>
              <w:pStyle w:val="TableParagraph"/>
              <w:spacing w:line="240" w:lineRule="auto" w:before="88"/>
              <w:ind w:left="190" w:right="0"/>
              <w:jc w:val="left"/>
              <w:rPr>
                <w:rFonts w:ascii="宋体" w:hAnsi="宋体" w:cs="宋体" w:eastAsia="宋体" w:hint="default"/>
                <w:sz w:val="16"/>
                <w:szCs w:val="16"/>
              </w:rPr>
            </w:pPr>
            <w:r>
              <w:rPr>
                <w:rFonts w:ascii="宋体" w:hAnsi="宋体" w:cs="宋体" w:eastAsia="宋体" w:hint="default"/>
                <w:sz w:val="16"/>
                <w:szCs w:val="16"/>
              </w:rPr>
              <w:t>无追索权的应收账款保理</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68"/>
              <w:jc w:val="right"/>
              <w:rPr>
                <w:rFonts w:ascii="Times New Roman" w:hAnsi="Times New Roman" w:cs="Times New Roman" w:eastAsia="Times New Roman" w:hint="default"/>
                <w:sz w:val="16"/>
                <w:szCs w:val="16"/>
              </w:rPr>
            </w:pPr>
            <w:r>
              <w:rPr>
                <w:rFonts w:ascii="Times New Roman"/>
                <w:spacing w:val="-1"/>
                <w:sz w:val="16"/>
              </w:rPr>
              <w:t>-806,069.54</w:t>
            </w:r>
          </w:p>
        </w:tc>
      </w:tr>
      <w:tr>
        <w:trPr>
          <w:trHeight w:val="457" w:hRule="exact"/>
        </w:trPr>
        <w:tc>
          <w:tcPr>
            <w:tcW w:w="1227"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188"/>
              <w:jc w:val="right"/>
              <w:rPr>
                <w:rFonts w:ascii="Times New Roman" w:hAnsi="Times New Roman" w:cs="Times New Roman" w:eastAsia="Times New Roman" w:hint="default"/>
                <w:sz w:val="16"/>
                <w:szCs w:val="16"/>
              </w:rPr>
            </w:pPr>
            <w:r>
              <w:rPr>
                <w:rFonts w:ascii="Times New Roman"/>
                <w:spacing w:val="-1"/>
                <w:sz w:val="16"/>
              </w:rPr>
              <w:t>546,187.93</w:t>
            </w:r>
          </w:p>
        </w:tc>
        <w:tc>
          <w:tcPr>
            <w:tcW w:w="2381" w:type="dxa"/>
            <w:tcBorders>
              <w:top w:val="nil" w:sz="6" w:space="0" w:color="auto"/>
              <w:left w:val="nil" w:sz="6" w:space="0" w:color="auto"/>
              <w:bottom w:val="nil" w:sz="6" w:space="0" w:color="auto"/>
              <w:right w:val="nil" w:sz="6" w:space="0" w:color="auto"/>
            </w:tcBorders>
          </w:tcPr>
          <w:p>
            <w:pPr>
              <w:pStyle w:val="TableParagraph"/>
              <w:spacing w:line="240" w:lineRule="auto" w:before="88"/>
              <w:ind w:left="190" w:right="0"/>
              <w:jc w:val="left"/>
              <w:rPr>
                <w:rFonts w:ascii="宋体" w:hAnsi="宋体" w:cs="宋体" w:eastAsia="宋体" w:hint="default"/>
                <w:sz w:val="16"/>
                <w:szCs w:val="16"/>
              </w:rPr>
            </w:pPr>
            <w:r>
              <w:rPr>
                <w:rFonts w:ascii="宋体" w:hAnsi="宋体" w:cs="宋体" w:eastAsia="宋体" w:hint="default"/>
                <w:sz w:val="16"/>
                <w:szCs w:val="16"/>
              </w:rPr>
              <w:t>无追索权的应收账款保理</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68"/>
              <w:jc w:val="right"/>
              <w:rPr>
                <w:rFonts w:ascii="Times New Roman" w:hAnsi="Times New Roman" w:cs="Times New Roman" w:eastAsia="Times New Roman" w:hint="default"/>
                <w:sz w:val="16"/>
                <w:szCs w:val="16"/>
              </w:rPr>
            </w:pPr>
            <w:r>
              <w:rPr>
                <w:rFonts w:ascii="Times New Roman"/>
                <w:spacing w:val="-1"/>
                <w:sz w:val="16"/>
              </w:rPr>
              <w:t>-99,688.16</w:t>
            </w:r>
          </w:p>
        </w:tc>
      </w:tr>
      <w:tr>
        <w:trPr>
          <w:trHeight w:val="399" w:hRule="exact"/>
        </w:trPr>
        <w:tc>
          <w:tcPr>
            <w:tcW w:w="1227"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89"/>
              <w:jc w:val="right"/>
              <w:rPr>
                <w:rFonts w:ascii="Times New Roman" w:hAnsi="Times New Roman" w:cs="Times New Roman" w:eastAsia="Times New Roman" w:hint="default"/>
                <w:sz w:val="16"/>
                <w:szCs w:val="16"/>
              </w:rPr>
            </w:pPr>
            <w:r>
              <w:rPr>
                <w:rFonts w:ascii="Times New Roman"/>
                <w:spacing w:val="-1"/>
                <w:sz w:val="16"/>
              </w:rPr>
              <w:t>108,731,797.96</w:t>
            </w:r>
          </w:p>
        </w:tc>
        <w:tc>
          <w:tcPr>
            <w:tcW w:w="2381" w:type="dxa"/>
            <w:tcBorders>
              <w:top w:val="nil" w:sz="6" w:space="0" w:color="auto"/>
              <w:left w:val="nil" w:sz="6" w:space="0" w:color="auto"/>
              <w:bottom w:val="nil" w:sz="6" w:space="0" w:color="auto"/>
              <w:right w:val="nil" w:sz="6" w:space="0" w:color="auto"/>
            </w:tcBorders>
          </w:tcPr>
          <w:p>
            <w:pP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68"/>
              <w:jc w:val="right"/>
              <w:rPr>
                <w:rFonts w:ascii="Times New Roman" w:hAnsi="Times New Roman" w:cs="Times New Roman" w:eastAsia="Times New Roman" w:hint="default"/>
                <w:sz w:val="16"/>
                <w:szCs w:val="16"/>
              </w:rPr>
            </w:pPr>
            <w:r>
              <w:rPr>
                <w:rFonts w:ascii="Times New Roman"/>
                <w:spacing w:val="-1"/>
                <w:sz w:val="16"/>
              </w:rPr>
              <w:t>-1,593,176.09</w:t>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p>
      <w:pPr>
        <w:pStyle w:val="Heading5"/>
        <w:tabs>
          <w:tab w:pos="851" w:val="left" w:leader="none"/>
        </w:tabs>
        <w:spacing w:line="240" w:lineRule="auto"/>
        <w:ind w:right="3681"/>
        <w:jc w:val="left"/>
        <w:rPr>
          <w:b w:val="0"/>
          <w:bCs w:val="0"/>
        </w:rPr>
      </w:pPr>
      <w:r>
        <w:rPr/>
        <w:pict>
          <v:group style="position:absolute;margin-left:119.010002pt;margin-top:-143.426193pt;width:411.9pt;height:120.55pt;mso-position-horizontal-relative:page;mso-position-vertical-relative:paragraph;z-index:-1396552" coordorigin="2380,-2869" coordsize="8238,2411">
            <v:group style="position:absolute;left:2410;top:-2854;width:2698;height:2" coordorigin="2410,-2854" coordsize="2698,2">
              <v:shape style="position:absolute;left:2410;top:-2854;width:2698;height:2" coordorigin="2410,-2854" coordsize="2698,0" path="m2410,-2854l5107,-2854e" filled="false" stroked="true" strokeweight="1.5pt" strokecolor="#000000">
                <v:path arrowok="t"/>
              </v:shape>
              <v:shape style="position:absolute;left:5107;top:-2839;width:10;height:28" type="#_x0000_t75" stroked="false">
                <v:imagedata r:id="rId37" o:title=""/>
              </v:shape>
            </v:group>
            <v:group style="position:absolute;left:5107;top:-2854;width:1589;height:2" coordorigin="5107,-2854" coordsize="1589,2">
              <v:shape style="position:absolute;left:5107;top:-2854;width:1589;height:2" coordorigin="5107,-2854" coordsize="1589,0" path="m5107,-2854l6696,-2854e" filled="false" stroked="true" strokeweight="1.5pt" strokecolor="#000000">
                <v:path arrowok="t"/>
              </v:shape>
              <v:shape style="position:absolute;left:6696;top:-2839;width:10;height:28" type="#_x0000_t75" stroked="false">
                <v:imagedata r:id="rId37" o:title=""/>
              </v:shape>
            </v:group>
            <v:group style="position:absolute;left:6696;top:-2854;width:2309;height:2" coordorigin="6696,-2854" coordsize="2309,2">
              <v:shape style="position:absolute;left:6696;top:-2854;width:2309;height:2" coordorigin="6696,-2854" coordsize="2309,0" path="m6696,-2854l9005,-2854e" filled="false" stroked="true" strokeweight="1.5pt" strokecolor="#000000">
                <v:path arrowok="t"/>
              </v:shape>
              <v:shape style="position:absolute;left:9005;top:-2839;width:10;height:28" type="#_x0000_t75" stroked="false">
                <v:imagedata r:id="rId37" o:title=""/>
              </v:shape>
            </v:group>
            <v:group style="position:absolute;left:9005;top:-2854;width:1593;height:2" coordorigin="9005,-2854" coordsize="1593,2">
              <v:shape style="position:absolute;left:9005;top:-2854;width:1593;height:2" coordorigin="9005,-2854" coordsize="1593,0" path="m9005,-2854l10597,-2854e" filled="false" stroked="true" strokeweight="1.5pt" strokecolor="#000000">
                <v:path arrowok="t"/>
              </v:shape>
              <v:shape style="position:absolute;left:5088;top:-2830;width:3946;height:563" type="#_x0000_t75" stroked="false">
                <v:imagedata r:id="rId107" o:title=""/>
              </v:shape>
            </v:group>
            <v:group style="position:absolute;left:2395;top:-473;width:2712;height:2" coordorigin="2395,-473" coordsize="2712,2">
              <v:shape style="position:absolute;left:2395;top:-473;width:2712;height:2" coordorigin="2395,-473" coordsize="2712,0" path="m2395,-473l5107,-473e" filled="false" stroked="true" strokeweight="1.5pt" strokecolor="#000000">
                <v:path arrowok="t"/>
              </v:shape>
            </v:group>
            <v:group style="position:absolute;left:5107;top:-473;width:1589;height:2" coordorigin="5107,-473" coordsize="1589,2">
              <v:shape style="position:absolute;left:5107;top:-473;width:1589;height:2" coordorigin="5107,-473" coordsize="1589,0" path="m5107,-473l6696,-473e" filled="false" stroked="true" strokeweight="1.5pt" strokecolor="#000000">
                <v:path arrowok="t"/>
              </v:shape>
            </v:group>
            <v:group style="position:absolute;left:6696;top:-473;width:2309;height:2" coordorigin="6696,-473" coordsize="2309,2">
              <v:shape style="position:absolute;left:6696;top:-473;width:2309;height:2" coordorigin="6696,-473" coordsize="2309,0" path="m6696,-473l9005,-473e" filled="false" stroked="true" strokeweight="1.5pt" strokecolor="#000000">
                <v:path arrowok="t"/>
              </v:shape>
              <v:shape style="position:absolute;left:2390;top:-2306;width:8227;height:1818" type="#_x0000_t75" stroked="false">
                <v:imagedata r:id="rId108" o:title=""/>
              </v:shape>
            </v:group>
            <v:group style="position:absolute;left:9005;top:-473;width:1593;height:2" coordorigin="9005,-473" coordsize="1593,2">
              <v:shape style="position:absolute;left:9005;top:-473;width:1593;height:2" coordorigin="9005,-473" coordsize="1593,0" path="m9005,-473l10597,-473e" filled="false" stroked="true" strokeweight="1.5pt" strokecolor="#000000">
                <v:path arrowok="t"/>
              </v:shape>
              <v:shape style="position:absolute;left:3600;top:-2643;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项目</w:t>
                      </w:r>
                      <w:r>
                        <w:rPr>
                          <w:rFonts w:ascii="宋体" w:hAnsi="宋体" w:cs="宋体" w:eastAsia="宋体" w:hint="default"/>
                          <w:sz w:val="16"/>
                          <w:szCs w:val="16"/>
                        </w:rPr>
                      </w:r>
                    </w:p>
                  </w:txbxContent>
                </v:textbox>
                <w10:wrap type="none"/>
              </v:shape>
              <v:shape style="position:absolute;left:5425;top:-2643;width:95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终止确认金额</w:t>
                      </w:r>
                      <w:r>
                        <w:rPr>
                          <w:rFonts w:ascii="宋体" w:hAnsi="宋体" w:cs="宋体" w:eastAsia="宋体" w:hint="default"/>
                          <w:sz w:val="16"/>
                          <w:szCs w:val="16"/>
                        </w:rPr>
                      </w:r>
                    </w:p>
                  </w:txbxContent>
                </v:textbox>
                <w10:wrap type="none"/>
              </v:shape>
              <v:shape style="position:absolute;left:7134;top:-2643;width:14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金融资产转移的方式</w:t>
                      </w:r>
                      <w:r>
                        <w:rPr>
                          <w:rFonts w:ascii="宋体" w:hAnsi="宋体" w:cs="宋体" w:eastAsia="宋体" w:hint="default"/>
                          <w:sz w:val="16"/>
                          <w:szCs w:val="16"/>
                        </w:rPr>
                      </w:r>
                    </w:p>
                  </w:txbxContent>
                </v:textbox>
                <w10:wrap type="none"/>
              </v:shape>
              <v:shape style="position:absolute;left:9163;top:-2746;width:1280;height:368" type="#_x0000_t202" filled="false" stroked="false">
                <v:textbox inset="0,0,0,0">
                  <w:txbxContent>
                    <w:p>
                      <w:pPr>
                        <w:spacing w:line="159" w:lineRule="exact" w:before="0"/>
                        <w:ind w:left="0" w:right="0" w:firstLine="0"/>
                        <w:jc w:val="center"/>
                        <w:rPr>
                          <w:rFonts w:ascii="宋体" w:hAnsi="宋体" w:cs="宋体" w:eastAsia="宋体" w:hint="default"/>
                          <w:sz w:val="16"/>
                          <w:szCs w:val="16"/>
                        </w:rPr>
                      </w:pPr>
                      <w:r>
                        <w:rPr>
                          <w:rFonts w:ascii="宋体" w:hAnsi="宋体" w:cs="宋体" w:eastAsia="宋体" w:hint="default"/>
                          <w:w w:val="95"/>
                          <w:sz w:val="16"/>
                          <w:szCs w:val="16"/>
                        </w:rPr>
                        <w:t>与终止确认相关的</w:t>
                      </w:r>
                      <w:r>
                        <w:rPr>
                          <w:rFonts w:ascii="宋体" w:hAnsi="宋体" w:cs="宋体" w:eastAsia="宋体" w:hint="default"/>
                          <w:sz w:val="16"/>
                          <w:szCs w:val="16"/>
                        </w:rPr>
                      </w:r>
                    </w:p>
                    <w:p>
                      <w:pPr>
                        <w:spacing w:line="208" w:lineRule="exact" w:before="0"/>
                        <w:ind w:left="0" w:right="0" w:firstLine="0"/>
                        <w:jc w:val="center"/>
                        <w:rPr>
                          <w:rFonts w:ascii="宋体" w:hAnsi="宋体" w:cs="宋体" w:eastAsia="宋体" w:hint="default"/>
                          <w:sz w:val="16"/>
                          <w:szCs w:val="16"/>
                        </w:rPr>
                      </w:pPr>
                      <w:r>
                        <w:rPr>
                          <w:rFonts w:ascii="宋体" w:hAnsi="宋体" w:cs="宋体" w:eastAsia="宋体" w:hint="default"/>
                          <w:sz w:val="16"/>
                          <w:szCs w:val="16"/>
                        </w:rPr>
                        <w:t>利得或损失</w:t>
                      </w:r>
                    </w:p>
                  </w:txbxContent>
                </v:textbox>
                <w10:wrap type="none"/>
              </v:shape>
              <v:shape style="position:absolute;left:2518;top:-2176;width:2275;height:1596" type="#_x0000_t202" filled="false" stroked="false">
                <v:textbox inset="0,0,0,0">
                  <w:txbxContent>
                    <w:p>
                      <w:pPr>
                        <w:spacing w:line="163" w:lineRule="exact" w:before="0"/>
                        <w:ind w:left="0" w:right="0" w:firstLine="0"/>
                        <w:jc w:val="left"/>
                        <w:rPr>
                          <w:rFonts w:ascii="Times New Roman" w:hAnsi="Times New Roman" w:cs="Times New Roman" w:eastAsia="Times New Roman" w:hint="default"/>
                          <w:sz w:val="16"/>
                          <w:szCs w:val="16"/>
                        </w:rPr>
                      </w:pPr>
                      <w:r>
                        <w:rPr>
                          <w:rFonts w:ascii="Times New Roman"/>
                          <w:sz w:val="16"/>
                        </w:rPr>
                        <w:t>Procter &amp; Gamble</w:t>
                      </w:r>
                      <w:r>
                        <w:rPr>
                          <w:rFonts w:ascii="Times New Roman"/>
                          <w:spacing w:val="-9"/>
                          <w:sz w:val="16"/>
                        </w:rPr>
                        <w:t> </w:t>
                      </w:r>
                      <w:r>
                        <w:rPr>
                          <w:rFonts w:ascii="Times New Roman"/>
                          <w:sz w:val="16"/>
                        </w:rPr>
                        <w:t>International</w:t>
                      </w:r>
                    </w:p>
                    <w:p>
                      <w:pPr>
                        <w:spacing w:before="16"/>
                        <w:ind w:left="0" w:right="0" w:firstLine="0"/>
                        <w:jc w:val="left"/>
                        <w:rPr>
                          <w:rFonts w:ascii="Times New Roman" w:hAnsi="Times New Roman" w:cs="Times New Roman" w:eastAsia="Times New Roman" w:hint="default"/>
                          <w:sz w:val="16"/>
                          <w:szCs w:val="16"/>
                        </w:rPr>
                      </w:pPr>
                      <w:r>
                        <w:rPr>
                          <w:rFonts w:ascii="Times New Roman"/>
                          <w:sz w:val="16"/>
                        </w:rPr>
                        <w:t>Operations</w:t>
                      </w:r>
                    </w:p>
                    <w:p>
                      <w:pPr>
                        <w:spacing w:line="240" w:lineRule="auto" w:before="8"/>
                        <w:rPr>
                          <w:rFonts w:ascii="宋体" w:hAnsi="宋体" w:cs="宋体" w:eastAsia="宋体" w:hint="default"/>
                          <w:b/>
                          <w:bCs/>
                          <w:sz w:val="12"/>
                          <w:szCs w:val="12"/>
                        </w:rPr>
                      </w:pPr>
                    </w:p>
                    <w:p>
                      <w:pPr>
                        <w:spacing w:before="0"/>
                        <w:ind w:left="0" w:right="0" w:firstLine="0"/>
                        <w:jc w:val="left"/>
                        <w:rPr>
                          <w:rFonts w:ascii="Times New Roman" w:hAnsi="Times New Roman" w:cs="Times New Roman" w:eastAsia="Times New Roman" w:hint="default"/>
                          <w:sz w:val="16"/>
                          <w:szCs w:val="16"/>
                        </w:rPr>
                      </w:pPr>
                      <w:r>
                        <w:rPr>
                          <w:rFonts w:ascii="Times New Roman"/>
                          <w:sz w:val="16"/>
                        </w:rPr>
                        <w:t>PHILIPS ELECTRONICS</w:t>
                      </w:r>
                      <w:r>
                        <w:rPr>
                          <w:rFonts w:ascii="Times New Roman"/>
                          <w:spacing w:val="-8"/>
                          <w:sz w:val="16"/>
                        </w:rPr>
                        <w:t> </w:t>
                      </w:r>
                      <w:r>
                        <w:rPr>
                          <w:rFonts w:ascii="Times New Roman"/>
                          <w:sz w:val="16"/>
                        </w:rPr>
                        <w:t>HK</w:t>
                      </w:r>
                    </w:p>
                    <w:p>
                      <w:pPr>
                        <w:spacing w:line="240" w:lineRule="auto" w:before="9"/>
                        <w:rPr>
                          <w:rFonts w:ascii="宋体" w:hAnsi="宋体" w:cs="宋体" w:eastAsia="宋体" w:hint="default"/>
                          <w:b/>
                          <w:bCs/>
                          <w:sz w:val="12"/>
                          <w:szCs w:val="12"/>
                        </w:rPr>
                      </w:pPr>
                    </w:p>
                    <w:p>
                      <w:pPr>
                        <w:spacing w:line="261" w:lineRule="auto" w:before="0"/>
                        <w:ind w:left="0" w:right="0" w:firstLine="0"/>
                        <w:jc w:val="left"/>
                        <w:rPr>
                          <w:rFonts w:ascii="Times New Roman" w:hAnsi="Times New Roman" w:cs="Times New Roman" w:eastAsia="Times New Roman" w:hint="default"/>
                          <w:sz w:val="16"/>
                          <w:szCs w:val="16"/>
                        </w:rPr>
                      </w:pPr>
                      <w:r>
                        <w:rPr>
                          <w:rFonts w:ascii="Times New Roman"/>
                          <w:sz w:val="16"/>
                        </w:rPr>
                        <w:t>Procter and Gamble Service</w:t>
                      </w:r>
                      <w:r>
                        <w:rPr>
                          <w:rFonts w:ascii="Times New Roman"/>
                          <w:spacing w:val="-12"/>
                          <w:sz w:val="16"/>
                        </w:rPr>
                        <w:t> </w:t>
                      </w:r>
                      <w:r>
                        <w:rPr>
                          <w:rFonts w:ascii="Times New Roman"/>
                          <w:sz w:val="16"/>
                        </w:rPr>
                        <w:t>GmbH</w:t>
                      </w:r>
                      <w:r>
                        <w:rPr>
                          <w:rFonts w:ascii="Times New Roman"/>
                          <w:w w:val="99"/>
                          <w:sz w:val="16"/>
                        </w:rPr>
                        <w:t> </w:t>
                      </w:r>
                      <w:r>
                        <w:rPr>
                          <w:rFonts w:ascii="Times New Roman"/>
                          <w:spacing w:val="-4"/>
                          <w:sz w:val="16"/>
                        </w:rPr>
                        <w:t>CAPA</w:t>
                      </w:r>
                    </w:p>
                    <w:p>
                      <w:pPr>
                        <w:spacing w:before="107"/>
                        <w:ind w:left="209" w:right="0" w:firstLine="0"/>
                        <w:jc w:val="center"/>
                        <w:rPr>
                          <w:rFonts w:ascii="宋体" w:hAnsi="宋体" w:cs="宋体" w:eastAsia="宋体" w:hint="default"/>
                          <w:sz w:val="16"/>
                          <w:szCs w:val="16"/>
                        </w:rPr>
                      </w:pPr>
                      <w:r>
                        <w:rPr>
                          <w:rFonts w:ascii="宋体" w:hAnsi="宋体" w:cs="宋体" w:eastAsia="宋体" w:hint="default"/>
                          <w:sz w:val="16"/>
                          <w:szCs w:val="16"/>
                        </w:rPr>
                        <w:t>合计</w:t>
                      </w:r>
                    </w:p>
                  </w:txbxContent>
                </v:textbox>
                <w10:wrap type="none"/>
              </v:shape>
            </v:group>
            <w10:wrap type="none"/>
          </v:group>
        </w:pict>
      </w:r>
      <w:r>
        <w:rPr>
          <w:rFonts w:ascii="Times New Roman" w:hAnsi="Times New Roman" w:cs="Times New Roman" w:eastAsia="Times New Roman" w:hint="default"/>
          <w:w w:val="95"/>
        </w:rPr>
        <w:t>(</w:t>
      </w:r>
      <w:r>
        <w:rPr>
          <w:w w:val="95"/>
        </w:rPr>
        <w:t>四</w:t>
      </w:r>
      <w:r>
        <w:rPr>
          <w:rFonts w:ascii="Times New Roman" w:hAnsi="Times New Roman" w:cs="Times New Roman" w:eastAsia="Times New Roman" w:hint="default"/>
          <w:w w:val="95"/>
        </w:rPr>
        <w:t>)</w:t>
        <w:tab/>
      </w:r>
      <w:r>
        <w:rPr>
          <w:spacing w:val="1"/>
        </w:rPr>
        <w:t>预付款项</w:t>
      </w:r>
      <w:r>
        <w:rPr>
          <w:b w:val="0"/>
          <w:bCs w:val="0"/>
        </w:rPr>
      </w:r>
    </w:p>
    <w:p>
      <w:pPr>
        <w:pStyle w:val="Heading5"/>
        <w:tabs>
          <w:tab w:pos="1397" w:val="left" w:leader="none"/>
        </w:tabs>
        <w:spacing w:line="240" w:lineRule="auto" w:before="109"/>
        <w:ind w:left="846" w:right="3681"/>
        <w:jc w:val="left"/>
        <w:rPr>
          <w:b w:val="0"/>
          <w:bCs w:val="0"/>
        </w:rPr>
      </w:pPr>
      <w:r>
        <w:rPr/>
        <w:pict>
          <v:group style="position:absolute;margin-left:119.010002pt;margin-top:20.833401pt;width:411.85pt;height:131.25pt;mso-position-horizontal-relative:page;mso-position-vertical-relative:paragraph;z-index:-1396312" coordorigin="2380,417" coordsize="8237,2625">
            <v:group style="position:absolute;left:2410;top:432;width:1122;height:2" coordorigin="2410,432" coordsize="1122,2">
              <v:shape style="position:absolute;left:2410;top:432;width:1122;height:2" coordorigin="2410,432" coordsize="1122,0" path="m2410,432l3532,432e" filled="false" stroked="true" strokeweight="1.5pt" strokecolor="#000000">
                <v:path arrowok="t"/>
              </v:shape>
              <v:shape style="position:absolute;left:3532;top:447;width:10;height:28" type="#_x0000_t75" stroked="false">
                <v:imagedata r:id="rId35" o:title=""/>
              </v:shape>
            </v:group>
            <v:group style="position:absolute;left:3532;top:432;width:3160;height:2" coordorigin="3532,432" coordsize="3160,2">
              <v:shape style="position:absolute;left:3532;top:432;width:3160;height:2" coordorigin="3532,432" coordsize="3160,0" path="m3532,432l6691,432e" filled="false" stroked="true" strokeweight="1.5pt" strokecolor="#000000">
                <v:path arrowok="t"/>
              </v:shape>
              <v:shape style="position:absolute;left:6691;top:447;width:10;height:28" type="#_x0000_t75" stroked="false">
                <v:imagedata r:id="rId35" o:title=""/>
              </v:shape>
            </v:group>
            <v:group style="position:absolute;left:6691;top:432;width:3906;height:2" coordorigin="6691,432" coordsize="3906,2">
              <v:shape style="position:absolute;left:6691;top:432;width:3906;height:2" coordorigin="6691,432" coordsize="3906,0" path="m6691,432l10597,432e" filled="false" stroked="true" strokeweight="1.5pt" strokecolor="#000000">
                <v:path arrowok="t"/>
              </v:shape>
              <v:shape style="position:absolute;left:3512;top:455;width:3208;height:349" type="#_x0000_t75" stroked="false">
                <v:imagedata r:id="rId109" o:title=""/>
              </v:shape>
              <v:shape style="position:absolute;left:3512;top:766;width:7104;height:520" type="#_x0000_t75" stroked="false">
                <v:imagedata r:id="rId110" o:title=""/>
              </v:shape>
            </v:group>
            <v:group style="position:absolute;left:2395;top:3026;width:1137;height:2" coordorigin="2395,3026" coordsize="1137,2">
              <v:shape style="position:absolute;left:2395;top:3026;width:1137;height:2" coordorigin="2395,3026" coordsize="1137,0" path="m2395,3026l3532,3026e" filled="false" stroked="true" strokeweight="1.5pt" strokecolor="#000000">
                <v:path arrowok="t"/>
              </v:shape>
            </v:group>
            <v:group style="position:absolute;left:3532;top:3026;width:1463;height:2" coordorigin="3532,3026" coordsize="1463,2">
              <v:shape style="position:absolute;left:3532;top:3026;width:1463;height:2" coordorigin="3532,3026" coordsize="1463,0" path="m3532,3026l4994,3026e" filled="false" stroked="true" strokeweight="1.5pt" strokecolor="#000000">
                <v:path arrowok="t"/>
              </v:shape>
            </v:group>
            <v:group style="position:absolute;left:4994;top:3026;width:924;height:2" coordorigin="4994,3026" coordsize="924,2">
              <v:shape style="position:absolute;left:4994;top:3026;width:924;height:2" coordorigin="4994,3026" coordsize="924,0" path="m4994,3026l5918,3026e" filled="false" stroked="true" strokeweight="1.5pt" strokecolor="#000000">
                <v:path arrowok="t"/>
              </v:shape>
            </v:group>
            <v:group style="position:absolute;left:5918;top:3026;width:773;height:2" coordorigin="5918,3026" coordsize="773,2">
              <v:shape style="position:absolute;left:5918;top:3026;width:773;height:2" coordorigin="5918,3026" coordsize="773,0" path="m5918,3026l6691,3026e" filled="false" stroked="true" strokeweight="1.5pt" strokecolor="#000000">
                <v:path arrowok="t"/>
              </v:shape>
            </v:group>
            <v:group style="position:absolute;left:6691;top:3026;width:1546;height:2" coordorigin="6691,3026" coordsize="1546,2">
              <v:shape style="position:absolute;left:6691;top:3026;width:1546;height:2" coordorigin="6691,3026" coordsize="1546,0" path="m6691,3026l8237,3026e" filled="false" stroked="true" strokeweight="1.5pt" strokecolor="#000000">
                <v:path arrowok="t"/>
              </v:shape>
            </v:group>
            <v:group style="position:absolute;left:8237;top:3026;width:1238;height:2" coordorigin="8237,3026" coordsize="1238,2">
              <v:shape style="position:absolute;left:8237;top:3026;width:1238;height:2" coordorigin="8237,3026" coordsize="1238,0" path="m8237,3026l9474,3026e" filled="false" stroked="true" strokeweight="1.5pt" strokecolor="#000000">
                <v:path arrowok="t"/>
              </v:shape>
              <v:shape style="position:absolute;left:2390;top:1247;width:8226;height:1764" type="#_x0000_t75" stroked="false">
                <v:imagedata r:id="rId111" o:title=""/>
              </v:shape>
            </v:group>
            <v:group style="position:absolute;left:9474;top:3026;width:1124;height:2" coordorigin="9474,3026" coordsize="1124,2">
              <v:shape style="position:absolute;left:9474;top:3026;width:1124;height:2" coordorigin="9474,3026" coordsize="1124,0" path="m9474,3026l10597,3026e" filled="false" stroked="true" strokeweight="1.5pt" strokecolor="#000000">
                <v:path arrowok="t"/>
              </v:shape>
              <v:shape style="position:absolute;left:4795;top:535;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8326;top:535;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年初余额</w:t>
                      </w:r>
                      <w:r>
                        <w:rPr>
                          <w:rFonts w:ascii="宋体" w:hAnsi="宋体" w:cs="宋体" w:eastAsia="宋体" w:hint="default"/>
                          <w:sz w:val="16"/>
                          <w:szCs w:val="16"/>
                        </w:rPr>
                      </w:r>
                    </w:p>
                  </w:txbxContent>
                </v:textbox>
                <w10:wrap type="none"/>
              </v:shape>
              <v:shape style="position:absolute;left:2813;top:775;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账龄</w:t>
                      </w:r>
                      <w:r>
                        <w:rPr>
                          <w:rFonts w:ascii="宋体" w:hAnsi="宋体" w:cs="宋体" w:eastAsia="宋体" w:hint="default"/>
                          <w:sz w:val="16"/>
                          <w:szCs w:val="16"/>
                        </w:rPr>
                      </w:r>
                    </w:p>
                  </w:txbxContent>
                </v:textbox>
                <w10:wrap type="none"/>
              </v:shape>
              <v:shape style="position:absolute;left:3947;top:949;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账面余额</w:t>
                      </w:r>
                      <w:r>
                        <w:rPr>
                          <w:rFonts w:ascii="宋体" w:hAnsi="宋体" w:cs="宋体" w:eastAsia="宋体" w:hint="default"/>
                          <w:sz w:val="16"/>
                          <w:szCs w:val="16"/>
                        </w:rPr>
                      </w:r>
                    </w:p>
                  </w:txbxContent>
                </v:textbox>
                <w10:wrap type="none"/>
              </v:shape>
              <v:shape style="position:absolute;left:5180;top:949;width:560;height:169" type="#_x0000_t202" filled="false" stroked="false">
                <v:textbox inset="0,0,0,0">
                  <w:txbxContent>
                    <w:p>
                      <w:pPr>
                        <w:spacing w:line="168" w:lineRule="exact" w:before="0"/>
                        <w:ind w:left="0" w:right="0" w:firstLine="0"/>
                        <w:jc w:val="left"/>
                        <w:rPr>
                          <w:rFonts w:ascii="Times New Roman" w:hAnsi="Times New Roman" w:cs="Times New Roman" w:eastAsia="Times New Roman" w:hint="default"/>
                          <w:sz w:val="16"/>
                          <w:szCs w:val="16"/>
                        </w:rPr>
                      </w:pPr>
                      <w:r>
                        <w:rPr>
                          <w:rFonts w:ascii="宋体" w:hAnsi="宋体" w:cs="宋体" w:eastAsia="宋体" w:hint="default"/>
                          <w:w w:val="95"/>
                          <w:sz w:val="16"/>
                          <w:szCs w:val="16"/>
                        </w:rPr>
                        <w:t>比例</w:t>
                      </w:r>
                      <w:r>
                        <w:rPr>
                          <w:rFonts w:ascii="Times New Roman" w:hAnsi="Times New Roman" w:cs="Times New Roman" w:eastAsia="Times New Roman" w:hint="default"/>
                          <w:w w:val="95"/>
                          <w:sz w:val="16"/>
                          <w:szCs w:val="16"/>
                        </w:rPr>
                        <w:t>(%)</w:t>
                      </w:r>
                      <w:r>
                        <w:rPr>
                          <w:rFonts w:ascii="Times New Roman" w:hAnsi="Times New Roman" w:cs="Times New Roman" w:eastAsia="Times New Roman" w:hint="default"/>
                          <w:sz w:val="16"/>
                          <w:szCs w:val="16"/>
                        </w:rPr>
                      </w:r>
                    </w:p>
                  </w:txbxContent>
                </v:textbox>
                <w10:wrap type="none"/>
              </v:shape>
              <v:shape style="position:absolute;left:6068;top:846;width:4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坏账准</w:t>
                      </w:r>
                      <w:r>
                        <w:rPr>
                          <w:rFonts w:ascii="宋体" w:hAnsi="宋体" w:cs="宋体" w:eastAsia="宋体" w:hint="default"/>
                          <w:sz w:val="16"/>
                          <w:szCs w:val="16"/>
                        </w:rPr>
                      </w:r>
                    </w:p>
                  </w:txbxContent>
                </v:textbox>
                <w10:wrap type="none"/>
              </v:shape>
              <v:shape style="position:absolute;left:7147;top:949;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账面余额</w:t>
                      </w:r>
                      <w:r>
                        <w:rPr>
                          <w:rFonts w:ascii="宋体" w:hAnsi="宋体" w:cs="宋体" w:eastAsia="宋体" w:hint="default"/>
                          <w:sz w:val="16"/>
                          <w:szCs w:val="16"/>
                        </w:rPr>
                      </w:r>
                    </w:p>
                  </w:txbxContent>
                </v:textbox>
                <w10:wrap type="none"/>
              </v:shape>
              <v:shape style="position:absolute;left:8579;top:949;width:560;height:169" type="#_x0000_t202" filled="false" stroked="false">
                <v:textbox inset="0,0,0,0">
                  <w:txbxContent>
                    <w:p>
                      <w:pPr>
                        <w:spacing w:line="168" w:lineRule="exact" w:before="0"/>
                        <w:ind w:left="0" w:right="0" w:firstLine="0"/>
                        <w:jc w:val="left"/>
                        <w:rPr>
                          <w:rFonts w:ascii="Times New Roman" w:hAnsi="Times New Roman" w:cs="Times New Roman" w:eastAsia="Times New Roman" w:hint="default"/>
                          <w:sz w:val="16"/>
                          <w:szCs w:val="16"/>
                        </w:rPr>
                      </w:pPr>
                      <w:r>
                        <w:rPr>
                          <w:rFonts w:ascii="宋体" w:hAnsi="宋体" w:cs="宋体" w:eastAsia="宋体" w:hint="default"/>
                          <w:w w:val="95"/>
                          <w:sz w:val="16"/>
                          <w:szCs w:val="16"/>
                        </w:rPr>
                        <w:t>比例</w:t>
                      </w:r>
                      <w:r>
                        <w:rPr>
                          <w:rFonts w:ascii="Times New Roman" w:hAnsi="Times New Roman" w:cs="Times New Roman" w:eastAsia="Times New Roman" w:hint="default"/>
                          <w:w w:val="95"/>
                          <w:sz w:val="16"/>
                          <w:szCs w:val="16"/>
                        </w:rPr>
                        <w:t>(%)</w:t>
                      </w:r>
                      <w:r>
                        <w:rPr>
                          <w:rFonts w:ascii="Times New Roman" w:hAnsi="Times New Roman" w:cs="Times New Roman" w:eastAsia="Times New Roman" w:hint="default"/>
                          <w:sz w:val="16"/>
                          <w:szCs w:val="16"/>
                        </w:rPr>
                      </w:r>
                    </w:p>
                  </w:txbxContent>
                </v:textbox>
                <w10:wrap type="none"/>
              </v:shape>
              <v:shape style="position:absolute;left:9716;top:949;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坏账准备</w:t>
                      </w:r>
                      <w:r>
                        <w:rPr>
                          <w:rFonts w:ascii="宋体" w:hAnsi="宋体" w:cs="宋体" w:eastAsia="宋体" w:hint="default"/>
                          <w:sz w:val="16"/>
                          <w:szCs w:val="16"/>
                        </w:rPr>
                      </w:r>
                    </w:p>
                  </w:txbxContent>
                </v:textbox>
                <w10:wrap type="none"/>
              </v:shape>
            </v:group>
            <w10:wrap type="none"/>
          </v:group>
        </w:pict>
      </w:r>
      <w:r>
        <w:rPr>
          <w:rFonts w:ascii="Times New Roman" w:hAnsi="Times New Roman" w:cs="Times New Roman" w:eastAsia="Times New Roman" w:hint="default"/>
          <w:w w:val="95"/>
        </w:rPr>
        <w:t>1</w:t>
      </w:r>
      <w:r>
        <w:rPr>
          <w:w w:val="95"/>
        </w:rPr>
        <w:t>、</w:t>
        <w:tab/>
      </w:r>
      <w:r>
        <w:rPr/>
        <w:t>预付款项按账龄列示</w:t>
      </w:r>
      <w:r>
        <w:rPr>
          <w:b w:val="0"/>
          <w:bCs w:val="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29"/>
          <w:szCs w:val="29"/>
        </w:rPr>
      </w:pPr>
    </w:p>
    <w:tbl>
      <w:tblPr>
        <w:tblW w:w="0" w:type="auto"/>
        <w:jc w:val="left"/>
        <w:tblInd w:w="787" w:type="dxa"/>
        <w:tblLayout w:type="fixed"/>
        <w:tblCellMar>
          <w:top w:w="0" w:type="dxa"/>
          <w:left w:w="0" w:type="dxa"/>
          <w:bottom w:w="0" w:type="dxa"/>
          <w:right w:w="0" w:type="dxa"/>
        </w:tblCellMar>
        <w:tblLook w:val="01E0"/>
      </w:tblPr>
      <w:tblGrid>
        <w:gridCol w:w="1064"/>
        <w:gridCol w:w="1622"/>
        <w:gridCol w:w="890"/>
        <w:gridCol w:w="738"/>
        <w:gridCol w:w="1771"/>
        <w:gridCol w:w="1038"/>
        <w:gridCol w:w="990"/>
      </w:tblGrid>
      <w:tr>
        <w:trPr>
          <w:trHeight w:val="572" w:hRule="exact"/>
        </w:trPr>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9"/>
                <w:szCs w:val="19"/>
              </w:rPr>
            </w:pPr>
          </w:p>
          <w:p>
            <w:pPr>
              <w:pStyle w:val="TableParagraph"/>
              <w:spacing w:line="240" w:lineRule="auto"/>
              <w:ind w:right="392"/>
              <w:jc w:val="righ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年以内</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23"/>
                <w:szCs w:val="23"/>
              </w:rPr>
            </w:pPr>
          </w:p>
          <w:p>
            <w:pPr>
              <w:pStyle w:val="TableParagraph"/>
              <w:spacing w:line="240" w:lineRule="auto"/>
              <w:ind w:right="240"/>
              <w:jc w:val="right"/>
              <w:rPr>
                <w:rFonts w:ascii="Times New Roman" w:hAnsi="Times New Roman" w:cs="Times New Roman" w:eastAsia="Times New Roman" w:hint="default"/>
                <w:sz w:val="16"/>
                <w:szCs w:val="16"/>
              </w:rPr>
            </w:pPr>
            <w:r>
              <w:rPr>
                <w:rFonts w:ascii="Times New Roman"/>
                <w:spacing w:val="-1"/>
                <w:sz w:val="16"/>
              </w:rPr>
              <w:t>208,477,462.75</w:t>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23"/>
                <w:szCs w:val="23"/>
              </w:rPr>
            </w:pPr>
          </w:p>
          <w:p>
            <w:pPr>
              <w:pStyle w:val="TableParagraph"/>
              <w:spacing w:line="240" w:lineRule="auto"/>
              <w:ind w:right="204"/>
              <w:jc w:val="right"/>
              <w:rPr>
                <w:rFonts w:ascii="Times New Roman" w:hAnsi="Times New Roman" w:cs="Times New Roman" w:eastAsia="Times New Roman" w:hint="default"/>
                <w:sz w:val="16"/>
                <w:szCs w:val="16"/>
              </w:rPr>
            </w:pPr>
            <w:r>
              <w:rPr>
                <w:rFonts w:ascii="Times New Roman"/>
                <w:spacing w:val="-1"/>
                <w:sz w:val="16"/>
              </w:rPr>
              <w:t>95.39</w:t>
            </w:r>
          </w:p>
        </w:tc>
        <w:tc>
          <w:tcPr>
            <w:tcW w:w="738" w:type="dxa"/>
            <w:tcBorders>
              <w:top w:val="nil" w:sz="6" w:space="0" w:color="auto"/>
              <w:left w:val="nil" w:sz="6" w:space="0" w:color="auto"/>
              <w:bottom w:val="nil" w:sz="6" w:space="0" w:color="auto"/>
              <w:right w:val="nil" w:sz="6" w:space="0" w:color="auto"/>
            </w:tcBorders>
          </w:tcPr>
          <w:p>
            <w:pPr>
              <w:pStyle w:val="TableParagraph"/>
              <w:spacing w:line="160" w:lineRule="exact"/>
              <w:ind w:left="206" w:right="0"/>
              <w:jc w:val="left"/>
              <w:rPr>
                <w:rFonts w:ascii="宋体" w:hAnsi="宋体" w:cs="宋体" w:eastAsia="宋体" w:hint="default"/>
                <w:sz w:val="16"/>
                <w:szCs w:val="16"/>
              </w:rPr>
            </w:pPr>
            <w:r>
              <w:rPr>
                <w:rFonts w:ascii="宋体" w:hAnsi="宋体" w:cs="宋体" w:eastAsia="宋体" w:hint="default"/>
                <w:w w:val="99"/>
                <w:sz w:val="16"/>
                <w:szCs w:val="16"/>
              </w:rPr>
              <w:t>备</w:t>
            </w:r>
            <w:r>
              <w:rPr>
                <w:rFonts w:ascii="宋体" w:hAnsi="宋体" w:cs="宋体" w:eastAsia="宋体" w:hint="default"/>
                <w:sz w:val="16"/>
                <w:szCs w:val="16"/>
              </w:rPr>
            </w:r>
          </w:p>
        </w:tc>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23"/>
                <w:szCs w:val="23"/>
              </w:rPr>
            </w:pPr>
          </w:p>
          <w:p>
            <w:pPr>
              <w:pStyle w:val="TableParagraph"/>
              <w:spacing w:line="240" w:lineRule="auto"/>
              <w:ind w:right="396"/>
              <w:jc w:val="right"/>
              <w:rPr>
                <w:rFonts w:ascii="Times New Roman" w:hAnsi="Times New Roman" w:cs="Times New Roman" w:eastAsia="Times New Roman" w:hint="default"/>
                <w:sz w:val="16"/>
                <w:szCs w:val="16"/>
              </w:rPr>
            </w:pPr>
            <w:r>
              <w:rPr>
                <w:rFonts w:ascii="Times New Roman"/>
                <w:spacing w:val="-1"/>
                <w:sz w:val="16"/>
              </w:rPr>
              <w:t>250,688,668.08</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23"/>
                <w:szCs w:val="23"/>
              </w:rPr>
            </w:pPr>
          </w:p>
          <w:p>
            <w:pPr>
              <w:pStyle w:val="TableParagraph"/>
              <w:spacing w:line="240" w:lineRule="auto"/>
              <w:ind w:right="196"/>
              <w:jc w:val="right"/>
              <w:rPr>
                <w:rFonts w:ascii="Times New Roman" w:hAnsi="Times New Roman" w:cs="Times New Roman" w:eastAsia="Times New Roman" w:hint="default"/>
                <w:sz w:val="16"/>
                <w:szCs w:val="16"/>
              </w:rPr>
            </w:pPr>
            <w:r>
              <w:rPr>
                <w:rFonts w:ascii="Times New Roman"/>
                <w:spacing w:val="-1"/>
                <w:sz w:val="16"/>
              </w:rPr>
              <w:t>89.04</w:t>
            </w:r>
          </w:p>
        </w:tc>
        <w:tc>
          <w:tcPr>
            <w:tcW w:w="990" w:type="dxa"/>
            <w:vMerge w:val="restart"/>
            <w:tcBorders>
              <w:top w:val="nil" w:sz="6" w:space="0" w:color="auto"/>
              <w:left w:val="nil" w:sz="6" w:space="0" w:color="auto"/>
              <w:right w:val="nil" w:sz="6" w:space="0" w:color="auto"/>
            </w:tcBorders>
          </w:tcPr>
          <w:p>
            <w:pPr/>
          </w:p>
        </w:tc>
      </w:tr>
      <w:tr>
        <w:trPr>
          <w:trHeight w:val="349" w:hRule="exact"/>
        </w:trPr>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92"/>
              <w:jc w:val="righ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至</w:t>
            </w:r>
            <w:r>
              <w:rPr>
                <w:rFonts w:ascii="宋体" w:hAnsi="宋体" w:cs="宋体" w:eastAsia="宋体" w:hint="default"/>
                <w:spacing w:val="-42"/>
                <w:sz w:val="16"/>
                <w:szCs w:val="16"/>
              </w:rPr>
              <w:t> </w:t>
            </w: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年</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39"/>
              <w:jc w:val="right"/>
              <w:rPr>
                <w:rFonts w:ascii="Times New Roman" w:hAnsi="Times New Roman" w:cs="Times New Roman" w:eastAsia="Times New Roman" w:hint="default"/>
                <w:sz w:val="16"/>
                <w:szCs w:val="16"/>
              </w:rPr>
            </w:pPr>
            <w:r>
              <w:rPr>
                <w:rFonts w:ascii="Times New Roman"/>
                <w:spacing w:val="-1"/>
                <w:sz w:val="16"/>
              </w:rPr>
              <w:t>3,134,375.72</w:t>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04"/>
              <w:jc w:val="right"/>
              <w:rPr>
                <w:rFonts w:ascii="Times New Roman" w:hAnsi="Times New Roman" w:cs="Times New Roman" w:eastAsia="Times New Roman" w:hint="default"/>
                <w:sz w:val="16"/>
                <w:szCs w:val="16"/>
              </w:rPr>
            </w:pPr>
            <w:r>
              <w:rPr>
                <w:rFonts w:ascii="Times New Roman"/>
                <w:spacing w:val="-1"/>
                <w:sz w:val="16"/>
              </w:rPr>
              <w:t>1.43</w:t>
            </w:r>
          </w:p>
        </w:tc>
        <w:tc>
          <w:tcPr>
            <w:tcW w:w="738" w:type="dxa"/>
            <w:tcBorders>
              <w:top w:val="nil" w:sz="6" w:space="0" w:color="auto"/>
              <w:left w:val="nil" w:sz="6" w:space="0" w:color="auto"/>
              <w:bottom w:val="nil" w:sz="6" w:space="0" w:color="auto"/>
              <w:right w:val="nil" w:sz="6" w:space="0" w:color="auto"/>
            </w:tcBorders>
          </w:tcPr>
          <w:p>
            <w:pPr/>
          </w:p>
        </w:tc>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395"/>
              <w:jc w:val="right"/>
              <w:rPr>
                <w:rFonts w:ascii="Times New Roman" w:hAnsi="Times New Roman" w:cs="Times New Roman" w:eastAsia="Times New Roman" w:hint="default"/>
                <w:sz w:val="16"/>
                <w:szCs w:val="16"/>
              </w:rPr>
            </w:pPr>
            <w:r>
              <w:rPr>
                <w:rFonts w:ascii="Times New Roman"/>
                <w:spacing w:val="-1"/>
                <w:sz w:val="16"/>
              </w:rPr>
              <w:t>23,078,779.62</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96"/>
              <w:jc w:val="right"/>
              <w:rPr>
                <w:rFonts w:ascii="Times New Roman" w:hAnsi="Times New Roman" w:cs="Times New Roman" w:eastAsia="Times New Roman" w:hint="default"/>
                <w:sz w:val="16"/>
                <w:szCs w:val="16"/>
              </w:rPr>
            </w:pPr>
            <w:r>
              <w:rPr>
                <w:rFonts w:ascii="Times New Roman"/>
                <w:spacing w:val="-1"/>
                <w:sz w:val="16"/>
              </w:rPr>
              <w:t>8.20</w:t>
            </w:r>
          </w:p>
        </w:tc>
        <w:tc>
          <w:tcPr>
            <w:tcW w:w="990" w:type="dxa"/>
            <w:vMerge/>
            <w:tcBorders>
              <w:left w:val="nil" w:sz="6" w:space="0" w:color="auto"/>
              <w:right w:val="nil" w:sz="6" w:space="0" w:color="auto"/>
            </w:tcBorders>
          </w:tcPr>
          <w:p>
            <w:pPr/>
          </w:p>
        </w:tc>
      </w:tr>
      <w:tr>
        <w:trPr>
          <w:trHeight w:val="349" w:hRule="exact"/>
        </w:trPr>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92"/>
              <w:jc w:val="right"/>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至</w:t>
            </w:r>
            <w:r>
              <w:rPr>
                <w:rFonts w:ascii="宋体" w:hAnsi="宋体" w:cs="宋体" w:eastAsia="宋体" w:hint="default"/>
                <w:spacing w:val="-42"/>
                <w:sz w:val="16"/>
                <w:szCs w:val="16"/>
              </w:rPr>
              <w:t> </w:t>
            </w:r>
            <w:r>
              <w:rPr>
                <w:rFonts w:ascii="Times New Roman" w:hAnsi="Times New Roman" w:cs="Times New Roman" w:eastAsia="Times New Roman" w:hint="default"/>
                <w:sz w:val="16"/>
                <w:szCs w:val="16"/>
              </w:rPr>
              <w:t>3</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年</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39"/>
              <w:jc w:val="right"/>
              <w:rPr>
                <w:rFonts w:ascii="Times New Roman" w:hAnsi="Times New Roman" w:cs="Times New Roman" w:eastAsia="Times New Roman" w:hint="default"/>
                <w:sz w:val="16"/>
                <w:szCs w:val="16"/>
              </w:rPr>
            </w:pPr>
            <w:r>
              <w:rPr>
                <w:rFonts w:ascii="Times New Roman"/>
                <w:spacing w:val="-1"/>
                <w:sz w:val="16"/>
              </w:rPr>
              <w:t>2,185,924.16</w:t>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04"/>
              <w:jc w:val="right"/>
              <w:rPr>
                <w:rFonts w:ascii="Times New Roman" w:hAnsi="Times New Roman" w:cs="Times New Roman" w:eastAsia="Times New Roman" w:hint="default"/>
                <w:sz w:val="16"/>
                <w:szCs w:val="16"/>
              </w:rPr>
            </w:pPr>
            <w:r>
              <w:rPr>
                <w:rFonts w:ascii="Times New Roman"/>
                <w:spacing w:val="-1"/>
                <w:sz w:val="16"/>
              </w:rPr>
              <w:t>1.00</w:t>
            </w:r>
          </w:p>
        </w:tc>
        <w:tc>
          <w:tcPr>
            <w:tcW w:w="738" w:type="dxa"/>
            <w:tcBorders>
              <w:top w:val="nil" w:sz="6" w:space="0" w:color="auto"/>
              <w:left w:val="nil" w:sz="6" w:space="0" w:color="auto"/>
              <w:bottom w:val="nil" w:sz="6" w:space="0" w:color="auto"/>
              <w:right w:val="nil" w:sz="6" w:space="0" w:color="auto"/>
            </w:tcBorders>
          </w:tcPr>
          <w:p>
            <w:pPr/>
          </w:p>
        </w:tc>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395"/>
              <w:jc w:val="right"/>
              <w:rPr>
                <w:rFonts w:ascii="Times New Roman" w:hAnsi="Times New Roman" w:cs="Times New Roman" w:eastAsia="Times New Roman" w:hint="default"/>
                <w:sz w:val="16"/>
                <w:szCs w:val="16"/>
              </w:rPr>
            </w:pPr>
            <w:r>
              <w:rPr>
                <w:rFonts w:ascii="Times New Roman"/>
                <w:spacing w:val="-1"/>
                <w:sz w:val="16"/>
              </w:rPr>
              <w:t>4,033,349.57</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96"/>
              <w:jc w:val="right"/>
              <w:rPr>
                <w:rFonts w:ascii="Times New Roman" w:hAnsi="Times New Roman" w:cs="Times New Roman" w:eastAsia="Times New Roman" w:hint="default"/>
                <w:sz w:val="16"/>
                <w:szCs w:val="16"/>
              </w:rPr>
            </w:pPr>
            <w:r>
              <w:rPr>
                <w:rFonts w:ascii="Times New Roman"/>
                <w:spacing w:val="-1"/>
                <w:sz w:val="16"/>
              </w:rPr>
              <w:t>1.43</w:t>
            </w:r>
          </w:p>
        </w:tc>
        <w:tc>
          <w:tcPr>
            <w:tcW w:w="990" w:type="dxa"/>
            <w:vMerge/>
            <w:tcBorders>
              <w:left w:val="nil" w:sz="6" w:space="0" w:color="auto"/>
              <w:bottom w:val="nil" w:sz="6" w:space="0" w:color="auto"/>
              <w:right w:val="nil" w:sz="6" w:space="0" w:color="auto"/>
            </w:tcBorders>
          </w:tcPr>
          <w:p>
            <w:pPr/>
          </w:p>
        </w:tc>
      </w:tr>
      <w:tr>
        <w:trPr>
          <w:trHeight w:val="349" w:hRule="exact"/>
        </w:trPr>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92"/>
              <w:jc w:val="right"/>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年以上</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39"/>
              <w:jc w:val="right"/>
              <w:rPr>
                <w:rFonts w:ascii="Times New Roman" w:hAnsi="Times New Roman" w:cs="Times New Roman" w:eastAsia="Times New Roman" w:hint="default"/>
                <w:sz w:val="16"/>
                <w:szCs w:val="16"/>
              </w:rPr>
            </w:pPr>
            <w:r>
              <w:rPr>
                <w:rFonts w:ascii="Times New Roman"/>
                <w:spacing w:val="-1"/>
                <w:sz w:val="16"/>
              </w:rPr>
              <w:t>4,757,384.32</w:t>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04"/>
              <w:jc w:val="right"/>
              <w:rPr>
                <w:rFonts w:ascii="Times New Roman" w:hAnsi="Times New Roman" w:cs="Times New Roman" w:eastAsia="Times New Roman" w:hint="default"/>
                <w:sz w:val="16"/>
                <w:szCs w:val="16"/>
              </w:rPr>
            </w:pPr>
            <w:r>
              <w:rPr>
                <w:rFonts w:ascii="Times New Roman"/>
                <w:spacing w:val="-1"/>
                <w:sz w:val="16"/>
              </w:rPr>
              <w:t>2.18</w:t>
            </w:r>
          </w:p>
        </w:tc>
        <w:tc>
          <w:tcPr>
            <w:tcW w:w="738" w:type="dxa"/>
            <w:tcBorders>
              <w:top w:val="nil" w:sz="6" w:space="0" w:color="auto"/>
              <w:left w:val="nil" w:sz="6" w:space="0" w:color="auto"/>
              <w:bottom w:val="nil" w:sz="6" w:space="0" w:color="auto"/>
              <w:right w:val="nil" w:sz="6" w:space="0" w:color="auto"/>
            </w:tcBorders>
          </w:tcPr>
          <w:p>
            <w:pPr/>
          </w:p>
        </w:tc>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395"/>
              <w:jc w:val="right"/>
              <w:rPr>
                <w:rFonts w:ascii="Times New Roman" w:hAnsi="Times New Roman" w:cs="Times New Roman" w:eastAsia="Times New Roman" w:hint="default"/>
                <w:sz w:val="16"/>
                <w:szCs w:val="16"/>
              </w:rPr>
            </w:pPr>
            <w:r>
              <w:rPr>
                <w:rFonts w:ascii="Times New Roman"/>
                <w:spacing w:val="-1"/>
                <w:sz w:val="16"/>
              </w:rPr>
              <w:t>3,755,249.01</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96"/>
              <w:jc w:val="right"/>
              <w:rPr>
                <w:rFonts w:ascii="Times New Roman" w:hAnsi="Times New Roman" w:cs="Times New Roman" w:eastAsia="Times New Roman" w:hint="default"/>
                <w:sz w:val="16"/>
                <w:szCs w:val="16"/>
              </w:rPr>
            </w:pPr>
            <w:r>
              <w:rPr>
                <w:rFonts w:ascii="Times New Roman"/>
                <w:spacing w:val="-1"/>
                <w:sz w:val="16"/>
              </w:rPr>
              <w:t>1.33</w:t>
            </w:r>
          </w:p>
        </w:tc>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8"/>
              <w:jc w:val="right"/>
              <w:rPr>
                <w:rFonts w:ascii="Times New Roman" w:hAnsi="Times New Roman" w:cs="Times New Roman" w:eastAsia="Times New Roman" w:hint="default"/>
                <w:sz w:val="16"/>
                <w:szCs w:val="16"/>
              </w:rPr>
            </w:pPr>
            <w:r>
              <w:rPr>
                <w:rFonts w:ascii="Times New Roman"/>
                <w:spacing w:val="-1"/>
                <w:sz w:val="16"/>
              </w:rPr>
              <w:t>285,862.40</w:t>
            </w:r>
          </w:p>
        </w:tc>
      </w:tr>
      <w:tr>
        <w:trPr>
          <w:trHeight w:val="353" w:hRule="exact"/>
        </w:trPr>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77"/>
              <w:jc w:val="right"/>
              <w:rPr>
                <w:rFonts w:ascii="宋体" w:hAnsi="宋体" w:cs="宋体" w:eastAsia="宋体" w:hint="default"/>
                <w:sz w:val="16"/>
                <w:szCs w:val="16"/>
              </w:rPr>
            </w:pPr>
            <w:r>
              <w:rPr>
                <w:rFonts w:ascii="宋体" w:hAnsi="宋体" w:cs="宋体" w:eastAsia="宋体" w:hint="default"/>
                <w:w w:val="95"/>
                <w:sz w:val="16"/>
                <w:szCs w:val="16"/>
              </w:rPr>
              <w:t>合计</w:t>
            </w:r>
            <w:r>
              <w:rPr>
                <w:rFonts w:ascii="宋体" w:hAnsi="宋体" w:cs="宋体" w:eastAsia="宋体" w:hint="default"/>
                <w:sz w:val="16"/>
                <w:szCs w:val="16"/>
              </w:rPr>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40"/>
              <w:jc w:val="right"/>
              <w:rPr>
                <w:rFonts w:ascii="Times New Roman" w:hAnsi="Times New Roman" w:cs="Times New Roman" w:eastAsia="Times New Roman" w:hint="default"/>
                <w:sz w:val="16"/>
                <w:szCs w:val="16"/>
              </w:rPr>
            </w:pPr>
            <w:r>
              <w:rPr>
                <w:rFonts w:ascii="Times New Roman"/>
                <w:spacing w:val="-1"/>
                <w:sz w:val="16"/>
              </w:rPr>
              <w:t>218,555,146.95</w:t>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04"/>
              <w:jc w:val="right"/>
              <w:rPr>
                <w:rFonts w:ascii="Times New Roman" w:hAnsi="Times New Roman" w:cs="Times New Roman" w:eastAsia="Times New Roman" w:hint="default"/>
                <w:sz w:val="16"/>
                <w:szCs w:val="16"/>
              </w:rPr>
            </w:pPr>
            <w:r>
              <w:rPr>
                <w:rFonts w:ascii="Times New Roman"/>
                <w:spacing w:val="-1"/>
                <w:sz w:val="16"/>
              </w:rPr>
              <w:t>100.00</w:t>
            </w:r>
          </w:p>
        </w:tc>
        <w:tc>
          <w:tcPr>
            <w:tcW w:w="738" w:type="dxa"/>
            <w:tcBorders>
              <w:top w:val="nil" w:sz="6" w:space="0" w:color="auto"/>
              <w:left w:val="nil" w:sz="6" w:space="0" w:color="auto"/>
              <w:bottom w:val="nil" w:sz="6" w:space="0" w:color="auto"/>
              <w:right w:val="nil" w:sz="6" w:space="0" w:color="auto"/>
            </w:tcBorders>
          </w:tcPr>
          <w:p>
            <w:pPr/>
          </w:p>
        </w:tc>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396"/>
              <w:jc w:val="right"/>
              <w:rPr>
                <w:rFonts w:ascii="Times New Roman" w:hAnsi="Times New Roman" w:cs="Times New Roman" w:eastAsia="Times New Roman" w:hint="default"/>
                <w:sz w:val="16"/>
                <w:szCs w:val="16"/>
              </w:rPr>
            </w:pPr>
            <w:r>
              <w:rPr>
                <w:rFonts w:ascii="Times New Roman"/>
                <w:spacing w:val="-1"/>
                <w:sz w:val="16"/>
              </w:rPr>
              <w:t>281,556,046.28</w:t>
            </w:r>
          </w:p>
        </w:tc>
        <w:tc>
          <w:tcPr>
            <w:tcW w:w="103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96"/>
              <w:jc w:val="right"/>
              <w:rPr>
                <w:rFonts w:ascii="Times New Roman" w:hAnsi="Times New Roman" w:cs="Times New Roman" w:eastAsia="Times New Roman" w:hint="default"/>
                <w:sz w:val="16"/>
                <w:szCs w:val="16"/>
              </w:rPr>
            </w:pPr>
            <w:r>
              <w:rPr>
                <w:rFonts w:ascii="Times New Roman"/>
                <w:spacing w:val="-1"/>
                <w:sz w:val="16"/>
              </w:rPr>
              <w:t>100.00</w:t>
            </w:r>
          </w:p>
        </w:tc>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8"/>
              <w:jc w:val="right"/>
              <w:rPr>
                <w:rFonts w:ascii="Times New Roman" w:hAnsi="Times New Roman" w:cs="Times New Roman" w:eastAsia="Times New Roman" w:hint="default"/>
                <w:sz w:val="16"/>
                <w:szCs w:val="16"/>
              </w:rPr>
            </w:pPr>
            <w:r>
              <w:rPr>
                <w:rFonts w:ascii="Times New Roman"/>
                <w:spacing w:val="-1"/>
                <w:sz w:val="16"/>
              </w:rPr>
              <w:t>285,862.40</w:t>
            </w:r>
          </w:p>
        </w:tc>
      </w:tr>
    </w:tbl>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6"/>
          <w:szCs w:val="16"/>
        </w:rPr>
      </w:pPr>
    </w:p>
    <w:p>
      <w:pPr>
        <w:pStyle w:val="BodyText"/>
        <w:spacing w:line="240" w:lineRule="auto" w:before="35"/>
        <w:ind w:right="3681"/>
        <w:jc w:val="left"/>
      </w:pPr>
      <w:r>
        <w:rPr/>
        <w:pict>
          <v:group style="position:absolute;margin-left:119.010002pt;margin-top:17.073963pt;width:412pt;height:142.1pt;mso-position-horizontal-relative:page;mso-position-vertical-relative:paragraph;z-index:-1396288" coordorigin="2380,341" coordsize="8240,2842">
            <v:group style="position:absolute;left:2410;top:356;width:3155;height:2" coordorigin="2410,356" coordsize="3155,2">
              <v:shape style="position:absolute;left:2410;top:356;width:3155;height:2" coordorigin="2410,356" coordsize="3155,0" path="m2410,356l5564,356e" filled="false" stroked="true" strokeweight="1.5pt" strokecolor="#000000">
                <v:path arrowok="t"/>
              </v:shape>
              <v:shape style="position:absolute;left:5564;top:371;width:10;height:28" type="#_x0000_t75" stroked="false">
                <v:imagedata r:id="rId112" o:title=""/>
              </v:shape>
            </v:group>
            <v:group style="position:absolute;left:5564;top:356;width:1524;height:2" coordorigin="5564,356" coordsize="1524,2">
              <v:shape style="position:absolute;left:5564;top:356;width:1524;height:2" coordorigin="5564,356" coordsize="1524,0" path="m5564,356l7088,356e" filled="false" stroked="true" strokeweight="1.5pt" strokecolor="#000000">
                <v:path arrowok="t"/>
              </v:shape>
              <v:shape style="position:absolute;left:7088;top:371;width:10;height:28" type="#_x0000_t75" stroked="false">
                <v:imagedata r:id="rId112" o:title=""/>
              </v:shape>
            </v:group>
            <v:group style="position:absolute;left:7088;top:356;width:1372;height:2" coordorigin="7088,356" coordsize="1372,2">
              <v:shape style="position:absolute;left:7088;top:356;width:1372;height:2" coordorigin="7088,356" coordsize="1372,0" path="m7088,356l8460,356e" filled="false" stroked="true" strokeweight="1.5pt" strokecolor="#000000">
                <v:path arrowok="t"/>
              </v:shape>
              <v:shape style="position:absolute;left:8460;top:371;width:10;height:28" type="#_x0000_t75" stroked="false">
                <v:imagedata r:id="rId112" o:title=""/>
              </v:shape>
            </v:group>
            <v:group style="position:absolute;left:8460;top:356;width:2138;height:2" coordorigin="8460,356" coordsize="2138,2">
              <v:shape style="position:absolute;left:8460;top:356;width:2138;height:2" coordorigin="8460,356" coordsize="2138,0" path="m8460,356l10597,356e" filled="false" stroked="true" strokeweight="1.5pt" strokecolor="#000000">
                <v:path arrowok="t"/>
              </v:shape>
              <v:shape style="position:absolute;left:5545;top:380;width:2944;height:349" type="#_x0000_t75" stroked="false">
                <v:imagedata r:id="rId113" o:title=""/>
              </v:shape>
            </v:group>
            <v:group style="position:absolute;left:2395;top:3168;width:3170;height:2" coordorigin="2395,3168" coordsize="3170,2">
              <v:shape style="position:absolute;left:2395;top:3168;width:3170;height:2" coordorigin="2395,3168" coordsize="3170,0" path="m2395,3168l5564,3168e" filled="false" stroked="true" strokeweight="1.5pt" strokecolor="#000000">
                <v:path arrowok="t"/>
              </v:shape>
            </v:group>
            <v:group style="position:absolute;left:5564;top:3168;width:1524;height:2" coordorigin="5564,3168" coordsize="1524,2">
              <v:shape style="position:absolute;left:5564;top:3168;width:1524;height:2" coordorigin="5564,3168" coordsize="1524,0" path="m5564,3168l7088,3168e" filled="false" stroked="true" strokeweight="1.5pt" strokecolor="#000000">
                <v:path arrowok="t"/>
              </v:shape>
            </v:group>
            <v:group style="position:absolute;left:7088;top:3168;width:1372;height:2" coordorigin="7088,3168" coordsize="1372,2">
              <v:shape style="position:absolute;left:7088;top:3168;width:1372;height:2" coordorigin="7088,3168" coordsize="1372,0" path="m7088,3168l8460,3168e" filled="false" stroked="true" strokeweight="1.5pt" strokecolor="#000000">
                <v:path arrowok="t"/>
              </v:shape>
              <v:shape style="position:absolute;left:2390;top:691;width:8230;height:2462" type="#_x0000_t75" stroked="false">
                <v:imagedata r:id="rId114" o:title=""/>
              </v:shape>
            </v:group>
            <v:group style="position:absolute;left:8460;top:3168;width:2138;height:2" coordorigin="8460,3168" coordsize="2138,2">
              <v:shape style="position:absolute;left:8460;top:3168;width:2138;height:2" coordorigin="8460,3168" coordsize="2138,0" path="m8460,3168l10597,3168e" filled="false" stroked="true" strokeweight="1.5pt" strokecolor="#000000">
                <v:path arrowok="t"/>
              </v:shape>
            </v:group>
            <w10:wrap type="none"/>
          </v:group>
        </w:pict>
      </w:r>
      <w:r>
        <w:rPr/>
        <w:t>账龄超过一年且金额重大的预付款项</w:t>
      </w:r>
    </w:p>
    <w:p>
      <w:pPr>
        <w:spacing w:line="240" w:lineRule="auto" w:before="7"/>
        <w:rPr>
          <w:rFonts w:ascii="宋体" w:hAnsi="宋体" w:cs="宋体" w:eastAsia="宋体" w:hint="default"/>
          <w:sz w:val="3"/>
          <w:szCs w:val="3"/>
        </w:rPr>
      </w:pPr>
    </w:p>
    <w:tbl>
      <w:tblPr>
        <w:tblW w:w="0" w:type="auto"/>
        <w:jc w:val="left"/>
        <w:tblInd w:w="787" w:type="dxa"/>
        <w:tblLayout w:type="fixed"/>
        <w:tblCellMar>
          <w:top w:w="0" w:type="dxa"/>
          <w:left w:w="0" w:type="dxa"/>
          <w:bottom w:w="0" w:type="dxa"/>
          <w:right w:w="0" w:type="dxa"/>
        </w:tblCellMar>
        <w:tblLook w:val="01E0"/>
      </w:tblPr>
      <w:tblGrid>
        <w:gridCol w:w="2936"/>
        <w:gridCol w:w="1849"/>
        <w:gridCol w:w="1092"/>
        <w:gridCol w:w="1720"/>
      </w:tblGrid>
      <w:tr>
        <w:trPr>
          <w:trHeight w:val="713" w:hRule="exact"/>
        </w:trPr>
        <w:tc>
          <w:tcPr>
            <w:tcW w:w="2936" w:type="dxa"/>
            <w:tcBorders>
              <w:top w:val="nil" w:sz="6" w:space="0" w:color="auto"/>
              <w:left w:val="nil" w:sz="6" w:space="0" w:color="auto"/>
              <w:bottom w:val="nil" w:sz="6" w:space="0" w:color="auto"/>
              <w:right w:val="nil" w:sz="6" w:space="0" w:color="auto"/>
            </w:tcBorders>
          </w:tcPr>
          <w:p>
            <w:pPr>
              <w:pStyle w:val="TableParagraph"/>
              <w:spacing w:line="400" w:lineRule="auto" w:before="53"/>
              <w:ind w:left="70" w:right="944" w:firstLine="1152"/>
              <w:jc w:val="left"/>
              <w:rPr>
                <w:rFonts w:ascii="宋体" w:hAnsi="宋体" w:cs="宋体" w:eastAsia="宋体" w:hint="default"/>
                <w:sz w:val="16"/>
                <w:szCs w:val="16"/>
              </w:rPr>
            </w:pPr>
            <w:r>
              <w:rPr>
                <w:rFonts w:ascii="宋体" w:hAnsi="宋体" w:cs="宋体" w:eastAsia="宋体" w:hint="default"/>
                <w:sz w:val="16"/>
                <w:szCs w:val="16"/>
              </w:rPr>
              <w:t>预付对象</w:t>
            </w:r>
            <w:r>
              <w:rPr>
                <w:rFonts w:ascii="宋体" w:hAnsi="宋体" w:cs="宋体" w:eastAsia="宋体" w:hint="default"/>
                <w:w w:val="99"/>
                <w:sz w:val="16"/>
                <w:szCs w:val="16"/>
              </w:rPr>
              <w:t> </w:t>
            </w:r>
            <w:r>
              <w:rPr>
                <w:rFonts w:ascii="宋体" w:hAnsi="宋体" w:cs="宋体" w:eastAsia="宋体" w:hint="default"/>
                <w:sz w:val="16"/>
                <w:szCs w:val="16"/>
              </w:rPr>
              <w:t>苏州快维科技股份有限公司</w:t>
            </w: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53"/>
              <w:ind w:left="627" w:right="0"/>
              <w:jc w:val="left"/>
              <w:rPr>
                <w:rFonts w:ascii="宋体" w:hAnsi="宋体" w:cs="宋体" w:eastAsia="宋体" w:hint="default"/>
                <w:sz w:val="16"/>
                <w:szCs w:val="16"/>
              </w:rPr>
            </w:pPr>
            <w:r>
              <w:rPr>
                <w:rFonts w:ascii="宋体" w:hAnsi="宋体" w:cs="宋体" w:eastAsia="宋体" w:hint="default"/>
                <w:sz w:val="16"/>
                <w:szCs w:val="16"/>
              </w:rPr>
              <w:t>期末余额</w:t>
            </w:r>
          </w:p>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761" w:right="0"/>
              <w:jc w:val="left"/>
              <w:rPr>
                <w:rFonts w:ascii="Times New Roman" w:hAnsi="Times New Roman" w:cs="Times New Roman" w:eastAsia="Times New Roman" w:hint="default"/>
                <w:sz w:val="16"/>
                <w:szCs w:val="16"/>
              </w:rPr>
            </w:pPr>
            <w:r>
              <w:rPr>
                <w:rFonts w:ascii="Times New Roman"/>
                <w:sz w:val="16"/>
              </w:rPr>
              <w:t>1,070,068.41</w:t>
            </w:r>
          </w:p>
        </w:tc>
        <w:tc>
          <w:tcPr>
            <w:tcW w:w="109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0"/>
              <w:jc w:val="center"/>
              <w:rPr>
                <w:rFonts w:ascii="宋体" w:hAnsi="宋体" w:cs="宋体" w:eastAsia="宋体" w:hint="default"/>
                <w:sz w:val="16"/>
                <w:szCs w:val="16"/>
              </w:rPr>
            </w:pPr>
            <w:r>
              <w:rPr>
                <w:rFonts w:ascii="宋体" w:hAnsi="宋体" w:cs="宋体" w:eastAsia="宋体" w:hint="default"/>
                <w:sz w:val="16"/>
                <w:szCs w:val="16"/>
              </w:rPr>
              <w:t>账龄</w:t>
            </w:r>
          </w:p>
          <w:p>
            <w:pPr>
              <w:pStyle w:val="TableParagraph"/>
              <w:spacing w:line="240" w:lineRule="auto" w:before="140"/>
              <w:ind w:right="0"/>
              <w:jc w:val="center"/>
              <w:rPr>
                <w:rFonts w:ascii="宋体" w:hAnsi="宋体" w:cs="宋体" w:eastAsia="宋体" w:hint="default"/>
                <w:sz w:val="16"/>
                <w:szCs w:val="16"/>
              </w:rPr>
            </w:pPr>
            <w:r>
              <w:rPr>
                <w:rFonts w:ascii="Times New Roman" w:hAnsi="Times New Roman" w:cs="Times New Roman" w:eastAsia="Times New Roman" w:hint="default"/>
                <w:sz w:val="16"/>
                <w:szCs w:val="16"/>
              </w:rPr>
              <w:t>1-2</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w:t>
            </w:r>
          </w:p>
        </w:tc>
        <w:tc>
          <w:tcPr>
            <w:tcW w:w="1720" w:type="dxa"/>
            <w:tcBorders>
              <w:top w:val="nil" w:sz="6" w:space="0" w:color="auto"/>
              <w:left w:val="nil" w:sz="6" w:space="0" w:color="auto"/>
              <w:bottom w:val="nil" w:sz="6" w:space="0" w:color="auto"/>
              <w:right w:val="nil" w:sz="6" w:space="0" w:color="auto"/>
            </w:tcBorders>
          </w:tcPr>
          <w:p>
            <w:pPr>
              <w:pStyle w:val="TableParagraph"/>
              <w:spacing w:line="400" w:lineRule="auto" w:before="53"/>
              <w:ind w:left="247" w:right="33" w:firstLine="478"/>
              <w:jc w:val="left"/>
              <w:rPr>
                <w:rFonts w:ascii="宋体" w:hAnsi="宋体" w:cs="宋体" w:eastAsia="宋体" w:hint="default"/>
                <w:sz w:val="16"/>
                <w:szCs w:val="16"/>
              </w:rPr>
            </w:pPr>
            <w:r>
              <w:rPr>
                <w:rFonts w:ascii="宋体" w:hAnsi="宋体" w:cs="宋体" w:eastAsia="宋体" w:hint="default"/>
                <w:sz w:val="16"/>
                <w:szCs w:val="16"/>
              </w:rPr>
              <w:t>未结算的原因</w:t>
            </w:r>
            <w:r>
              <w:rPr>
                <w:rFonts w:ascii="宋体" w:hAnsi="宋体" w:cs="宋体" w:eastAsia="宋体" w:hint="default"/>
                <w:w w:val="99"/>
                <w:sz w:val="16"/>
                <w:szCs w:val="16"/>
              </w:rPr>
              <w:t> </w:t>
            </w:r>
            <w:r>
              <w:rPr>
                <w:rFonts w:ascii="宋体" w:hAnsi="宋体" w:cs="宋体" w:eastAsia="宋体" w:hint="default"/>
                <w:sz w:val="16"/>
                <w:szCs w:val="16"/>
              </w:rPr>
              <w:t>合同尚未执行完毕</w:t>
            </w:r>
          </w:p>
        </w:tc>
      </w:tr>
      <w:tr>
        <w:trPr>
          <w:trHeight w:val="349" w:hRule="exact"/>
        </w:trPr>
        <w:tc>
          <w:tcPr>
            <w:tcW w:w="2936" w:type="dxa"/>
            <w:tcBorders>
              <w:top w:val="nil" w:sz="6" w:space="0" w:color="auto"/>
              <w:left w:val="nil" w:sz="6" w:space="0" w:color="auto"/>
              <w:bottom w:val="nil" w:sz="6" w:space="0" w:color="auto"/>
              <w:right w:val="nil" w:sz="6" w:space="0" w:color="auto"/>
            </w:tcBorders>
          </w:tcPr>
          <w:p>
            <w:pPr>
              <w:pStyle w:val="TableParagraph"/>
              <w:spacing w:line="240" w:lineRule="auto" w:before="37"/>
              <w:ind w:left="70" w:right="0"/>
              <w:jc w:val="left"/>
              <w:rPr>
                <w:rFonts w:ascii="宋体" w:hAnsi="宋体" w:cs="宋体" w:eastAsia="宋体" w:hint="default"/>
                <w:sz w:val="16"/>
                <w:szCs w:val="16"/>
              </w:rPr>
            </w:pPr>
            <w:r>
              <w:rPr>
                <w:rFonts w:ascii="宋体" w:hAnsi="宋体" w:cs="宋体" w:eastAsia="宋体" w:hint="default"/>
                <w:sz w:val="16"/>
                <w:szCs w:val="16"/>
              </w:rPr>
              <w:t>深圳市高威仕科技有限公司</w:t>
            </w: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45"/>
              <w:jc w:val="right"/>
              <w:rPr>
                <w:rFonts w:ascii="Times New Roman" w:hAnsi="Times New Roman" w:cs="Times New Roman" w:eastAsia="Times New Roman" w:hint="default"/>
                <w:sz w:val="16"/>
                <w:szCs w:val="16"/>
              </w:rPr>
            </w:pPr>
            <w:r>
              <w:rPr>
                <w:rFonts w:ascii="Times New Roman"/>
                <w:spacing w:val="-1"/>
                <w:sz w:val="16"/>
              </w:rPr>
              <w:t>584,000.00</w:t>
            </w:r>
          </w:p>
        </w:tc>
        <w:tc>
          <w:tcPr>
            <w:tcW w:w="1092"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0"/>
              <w:jc w:val="center"/>
              <w:rPr>
                <w:rFonts w:ascii="宋体" w:hAnsi="宋体" w:cs="宋体" w:eastAsia="宋体" w:hint="default"/>
                <w:sz w:val="16"/>
                <w:szCs w:val="16"/>
              </w:rPr>
            </w:pPr>
            <w:r>
              <w:rPr>
                <w:rFonts w:ascii="Times New Roman" w:hAnsi="Times New Roman" w:cs="Times New Roman" w:eastAsia="Times New Roman" w:hint="default"/>
                <w:sz w:val="16"/>
                <w:szCs w:val="16"/>
              </w:rPr>
              <w:t>2-3</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w:t>
            </w: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37"/>
              <w:ind w:left="53" w:right="0"/>
              <w:jc w:val="center"/>
              <w:rPr>
                <w:rFonts w:ascii="宋体" w:hAnsi="宋体" w:cs="宋体" w:eastAsia="宋体" w:hint="default"/>
                <w:sz w:val="16"/>
                <w:szCs w:val="16"/>
              </w:rPr>
            </w:pPr>
            <w:r>
              <w:rPr>
                <w:rFonts w:ascii="宋体" w:hAnsi="宋体" w:cs="宋体" w:eastAsia="宋体" w:hint="default"/>
                <w:sz w:val="16"/>
                <w:szCs w:val="16"/>
              </w:rPr>
              <w:t>合同尚未执行完毕</w:t>
            </w:r>
          </w:p>
        </w:tc>
      </w:tr>
      <w:tr>
        <w:trPr>
          <w:trHeight w:val="349" w:hRule="exact"/>
        </w:trPr>
        <w:tc>
          <w:tcPr>
            <w:tcW w:w="2936" w:type="dxa"/>
            <w:tcBorders>
              <w:top w:val="nil" w:sz="6" w:space="0" w:color="auto"/>
              <w:left w:val="nil" w:sz="6" w:space="0" w:color="auto"/>
              <w:bottom w:val="nil" w:sz="6" w:space="0" w:color="auto"/>
              <w:right w:val="nil" w:sz="6" w:space="0" w:color="auto"/>
            </w:tcBorders>
          </w:tcPr>
          <w:p>
            <w:pPr>
              <w:pStyle w:val="TableParagraph"/>
              <w:spacing w:line="240" w:lineRule="auto" w:before="37"/>
              <w:ind w:left="70" w:right="0"/>
              <w:jc w:val="left"/>
              <w:rPr>
                <w:rFonts w:ascii="宋体" w:hAnsi="宋体" w:cs="宋体" w:eastAsia="宋体" w:hint="default"/>
                <w:sz w:val="16"/>
                <w:szCs w:val="16"/>
              </w:rPr>
            </w:pPr>
            <w:r>
              <w:rPr>
                <w:rFonts w:ascii="宋体" w:hAnsi="宋体" w:cs="宋体" w:eastAsia="宋体" w:hint="default"/>
                <w:sz w:val="16"/>
                <w:szCs w:val="16"/>
              </w:rPr>
              <w:t>武汉理工大学</w:t>
            </w: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45"/>
              <w:jc w:val="right"/>
              <w:rPr>
                <w:rFonts w:ascii="Times New Roman" w:hAnsi="Times New Roman" w:cs="Times New Roman" w:eastAsia="Times New Roman" w:hint="default"/>
                <w:sz w:val="16"/>
                <w:szCs w:val="16"/>
              </w:rPr>
            </w:pPr>
            <w:r>
              <w:rPr>
                <w:rFonts w:ascii="Times New Roman"/>
                <w:spacing w:val="-1"/>
                <w:sz w:val="16"/>
              </w:rPr>
              <w:t>575,000.00</w:t>
            </w:r>
          </w:p>
        </w:tc>
        <w:tc>
          <w:tcPr>
            <w:tcW w:w="1092"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0"/>
              <w:jc w:val="center"/>
              <w:rPr>
                <w:rFonts w:ascii="宋体" w:hAnsi="宋体" w:cs="宋体" w:eastAsia="宋体" w:hint="default"/>
                <w:sz w:val="16"/>
                <w:szCs w:val="16"/>
              </w:rPr>
            </w:pPr>
            <w:r>
              <w:rPr>
                <w:rFonts w:ascii="Times New Roman" w:hAnsi="Times New Roman" w:cs="Times New Roman" w:eastAsia="Times New Roman" w:hint="default"/>
                <w:sz w:val="16"/>
                <w:szCs w:val="16"/>
              </w:rPr>
              <w:t>1-2</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w:t>
            </w: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37"/>
              <w:ind w:left="53" w:right="0"/>
              <w:jc w:val="center"/>
              <w:rPr>
                <w:rFonts w:ascii="宋体" w:hAnsi="宋体" w:cs="宋体" w:eastAsia="宋体" w:hint="default"/>
                <w:sz w:val="16"/>
                <w:szCs w:val="16"/>
              </w:rPr>
            </w:pPr>
            <w:r>
              <w:rPr>
                <w:rFonts w:ascii="宋体" w:hAnsi="宋体" w:cs="宋体" w:eastAsia="宋体" w:hint="default"/>
                <w:sz w:val="16"/>
                <w:szCs w:val="16"/>
              </w:rPr>
              <w:t>合同尚未执行完毕</w:t>
            </w:r>
          </w:p>
        </w:tc>
      </w:tr>
      <w:tr>
        <w:trPr>
          <w:trHeight w:val="349" w:hRule="exact"/>
        </w:trPr>
        <w:tc>
          <w:tcPr>
            <w:tcW w:w="293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宋体" w:hAnsi="宋体" w:cs="宋体" w:eastAsia="宋体" w:hint="default"/>
                <w:sz w:val="16"/>
                <w:szCs w:val="16"/>
              </w:rPr>
              <w:t>武汉恒盛兴电力自动化有限公司</w:t>
            </w: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45"/>
              <w:jc w:val="right"/>
              <w:rPr>
                <w:rFonts w:ascii="Times New Roman" w:hAnsi="Times New Roman" w:cs="Times New Roman" w:eastAsia="Times New Roman" w:hint="default"/>
                <w:sz w:val="16"/>
                <w:szCs w:val="16"/>
              </w:rPr>
            </w:pPr>
            <w:r>
              <w:rPr>
                <w:rFonts w:ascii="Times New Roman"/>
                <w:spacing w:val="-1"/>
                <w:sz w:val="16"/>
              </w:rPr>
              <w:t>358,800.00</w:t>
            </w:r>
          </w:p>
        </w:tc>
        <w:tc>
          <w:tcPr>
            <w:tcW w:w="109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0"/>
              <w:jc w:val="center"/>
              <w:rPr>
                <w:rFonts w:ascii="宋体" w:hAnsi="宋体" w:cs="宋体" w:eastAsia="宋体" w:hint="default"/>
                <w:sz w:val="16"/>
                <w:szCs w:val="16"/>
              </w:rPr>
            </w:pPr>
            <w:r>
              <w:rPr>
                <w:rFonts w:ascii="Times New Roman" w:hAnsi="Times New Roman" w:cs="Times New Roman" w:eastAsia="Times New Roman" w:hint="default"/>
                <w:sz w:val="16"/>
                <w:szCs w:val="16"/>
              </w:rPr>
              <w:t>1-2</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w:t>
            </w: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53" w:right="0"/>
              <w:jc w:val="center"/>
              <w:rPr>
                <w:rFonts w:ascii="宋体" w:hAnsi="宋体" w:cs="宋体" w:eastAsia="宋体" w:hint="default"/>
                <w:sz w:val="16"/>
                <w:szCs w:val="16"/>
              </w:rPr>
            </w:pPr>
            <w:r>
              <w:rPr>
                <w:rFonts w:ascii="宋体" w:hAnsi="宋体" w:cs="宋体" w:eastAsia="宋体" w:hint="default"/>
                <w:sz w:val="16"/>
                <w:szCs w:val="16"/>
              </w:rPr>
              <w:t>合同尚未执行完毕</w:t>
            </w:r>
          </w:p>
        </w:tc>
      </w:tr>
      <w:tr>
        <w:trPr>
          <w:trHeight w:val="349" w:hRule="exact"/>
        </w:trPr>
        <w:tc>
          <w:tcPr>
            <w:tcW w:w="293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宋体" w:hAnsi="宋体" w:cs="宋体" w:eastAsia="宋体" w:hint="default"/>
                <w:sz w:val="16"/>
                <w:szCs w:val="16"/>
              </w:rPr>
              <w:t>南京熊猫汉达科技有限公司</w:t>
            </w: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45"/>
              <w:jc w:val="right"/>
              <w:rPr>
                <w:rFonts w:ascii="Times New Roman" w:hAnsi="Times New Roman" w:cs="Times New Roman" w:eastAsia="Times New Roman" w:hint="default"/>
                <w:sz w:val="16"/>
                <w:szCs w:val="16"/>
              </w:rPr>
            </w:pPr>
            <w:r>
              <w:rPr>
                <w:rFonts w:ascii="Times New Roman"/>
                <w:spacing w:val="-1"/>
                <w:sz w:val="16"/>
              </w:rPr>
              <w:t>310,000.00</w:t>
            </w:r>
          </w:p>
        </w:tc>
        <w:tc>
          <w:tcPr>
            <w:tcW w:w="109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0"/>
              <w:jc w:val="center"/>
              <w:rPr>
                <w:rFonts w:ascii="宋体" w:hAnsi="宋体" w:cs="宋体" w:eastAsia="宋体" w:hint="default"/>
                <w:sz w:val="16"/>
                <w:szCs w:val="16"/>
              </w:rPr>
            </w:pPr>
            <w:r>
              <w:rPr>
                <w:rFonts w:ascii="Times New Roman" w:hAnsi="Times New Roman" w:cs="Times New Roman" w:eastAsia="Times New Roman" w:hint="default"/>
                <w:sz w:val="16"/>
                <w:szCs w:val="16"/>
              </w:rPr>
              <w:t>1-2</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w:t>
            </w: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53" w:right="0"/>
              <w:jc w:val="center"/>
              <w:rPr>
                <w:rFonts w:ascii="宋体" w:hAnsi="宋体" w:cs="宋体" w:eastAsia="宋体" w:hint="default"/>
                <w:sz w:val="16"/>
                <w:szCs w:val="16"/>
              </w:rPr>
            </w:pPr>
            <w:r>
              <w:rPr>
                <w:rFonts w:ascii="宋体" w:hAnsi="宋体" w:cs="宋体" w:eastAsia="宋体" w:hint="default"/>
                <w:sz w:val="16"/>
                <w:szCs w:val="16"/>
              </w:rPr>
              <w:t>合同尚未执行完毕</w:t>
            </w:r>
          </w:p>
        </w:tc>
      </w:tr>
      <w:tr>
        <w:trPr>
          <w:trHeight w:val="349" w:hRule="exact"/>
        </w:trPr>
        <w:tc>
          <w:tcPr>
            <w:tcW w:w="293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宋体" w:hAnsi="宋体" w:cs="宋体" w:eastAsia="宋体" w:hint="default"/>
                <w:sz w:val="16"/>
                <w:szCs w:val="16"/>
              </w:rPr>
              <w:t>武汉运泰利科技有限公司</w:t>
            </w: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45"/>
              <w:jc w:val="right"/>
              <w:rPr>
                <w:rFonts w:ascii="Times New Roman" w:hAnsi="Times New Roman" w:cs="Times New Roman" w:eastAsia="Times New Roman" w:hint="default"/>
                <w:sz w:val="16"/>
                <w:szCs w:val="16"/>
              </w:rPr>
            </w:pPr>
            <w:r>
              <w:rPr>
                <w:rFonts w:ascii="Times New Roman"/>
                <w:spacing w:val="-1"/>
                <w:sz w:val="16"/>
              </w:rPr>
              <w:t>227,400.00</w:t>
            </w:r>
          </w:p>
        </w:tc>
        <w:tc>
          <w:tcPr>
            <w:tcW w:w="109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
              <w:jc w:val="center"/>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年以上</w:t>
            </w: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53" w:right="0"/>
              <w:jc w:val="center"/>
              <w:rPr>
                <w:rFonts w:ascii="宋体" w:hAnsi="宋体" w:cs="宋体" w:eastAsia="宋体" w:hint="default"/>
                <w:sz w:val="16"/>
                <w:szCs w:val="16"/>
              </w:rPr>
            </w:pPr>
            <w:r>
              <w:rPr>
                <w:rFonts w:ascii="宋体" w:hAnsi="宋体" w:cs="宋体" w:eastAsia="宋体" w:hint="default"/>
                <w:sz w:val="16"/>
                <w:szCs w:val="16"/>
              </w:rPr>
              <w:t>合同尚未执行完毕</w:t>
            </w:r>
          </w:p>
        </w:tc>
      </w:tr>
      <w:tr>
        <w:trPr>
          <w:trHeight w:val="353" w:hRule="exact"/>
        </w:trPr>
        <w:tc>
          <w:tcPr>
            <w:tcW w:w="293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46" w:right="0"/>
              <w:jc w:val="center"/>
              <w:rPr>
                <w:rFonts w:ascii="宋体" w:hAnsi="宋体" w:cs="宋体" w:eastAsia="宋体" w:hint="default"/>
                <w:sz w:val="16"/>
                <w:szCs w:val="16"/>
              </w:rPr>
            </w:pPr>
            <w:r>
              <w:rPr>
                <w:rFonts w:ascii="宋体" w:hAnsi="宋体" w:cs="宋体" w:eastAsia="宋体" w:hint="default"/>
                <w:sz w:val="16"/>
                <w:szCs w:val="16"/>
              </w:rPr>
              <w:t>合计</w:t>
            </w: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43"/>
              <w:jc w:val="right"/>
              <w:rPr>
                <w:rFonts w:ascii="Times New Roman" w:hAnsi="Times New Roman" w:cs="Times New Roman" w:eastAsia="Times New Roman" w:hint="default"/>
                <w:sz w:val="16"/>
                <w:szCs w:val="16"/>
              </w:rPr>
            </w:pPr>
            <w:r>
              <w:rPr>
                <w:rFonts w:ascii="Times New Roman"/>
                <w:spacing w:val="-1"/>
                <w:sz w:val="16"/>
              </w:rPr>
              <w:t>3,125,268.41</w:t>
            </w:r>
          </w:p>
        </w:tc>
        <w:tc>
          <w:tcPr>
            <w:tcW w:w="1092" w:type="dxa"/>
            <w:tcBorders>
              <w:top w:val="nil" w:sz="6" w:space="0" w:color="auto"/>
              <w:left w:val="nil" w:sz="6" w:space="0" w:color="auto"/>
              <w:bottom w:val="nil" w:sz="6" w:space="0" w:color="auto"/>
              <w:right w:val="nil" w:sz="6" w:space="0" w:color="auto"/>
            </w:tcBorders>
          </w:tcPr>
          <w:p>
            <w:pPr/>
          </w:p>
        </w:tc>
        <w:tc>
          <w:tcPr>
            <w:tcW w:w="1720"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pStyle w:val="Heading5"/>
        <w:tabs>
          <w:tab w:pos="1397" w:val="left" w:leader="none"/>
        </w:tabs>
        <w:spacing w:line="240" w:lineRule="auto"/>
        <w:ind w:left="846" w:right="3681"/>
        <w:jc w:val="left"/>
        <w:rPr>
          <w:b w:val="0"/>
          <w:bCs w:val="0"/>
        </w:rPr>
      </w:pPr>
      <w:r>
        <w:rPr/>
        <w:pict>
          <v:group style="position:absolute;margin-left:119.010002pt;margin-top:17.073971pt;width:412.2pt;height:131.25pt;mso-position-horizontal-relative:page;mso-position-vertical-relative:paragraph;z-index:-1396192" coordorigin="2380,341" coordsize="8244,2625">
            <v:group style="position:absolute;left:2410;top:356;width:3695;height:2" coordorigin="2410,356" coordsize="3695,2">
              <v:shape style="position:absolute;left:2410;top:356;width:3695;height:2" coordorigin="2410,356" coordsize="3695,0" path="m2410,356l6104,356e" filled="false" stroked="true" strokeweight="1.5pt" strokecolor="#000000">
                <v:path arrowok="t"/>
              </v:shape>
              <v:shape style="position:absolute;left:6104;top:371;width:10;height:28" type="#_x0000_t75" stroked="false">
                <v:imagedata r:id="rId90" o:title=""/>
              </v:shape>
            </v:group>
            <v:group style="position:absolute;left:6104;top:356;width:2244;height:2" coordorigin="6104,356" coordsize="2244,2">
              <v:shape style="position:absolute;left:6104;top:356;width:2244;height:2" coordorigin="6104,356" coordsize="2244,0" path="m6104,356l8348,356e" filled="false" stroked="true" strokeweight="1.5pt" strokecolor="#000000">
                <v:path arrowok="t"/>
              </v:shape>
              <v:shape style="position:absolute;left:8348;top:371;width:10;height:28" type="#_x0000_t75" stroked="false">
                <v:imagedata r:id="rId90" o:title=""/>
              </v:shape>
            </v:group>
            <v:group style="position:absolute;left:8348;top:356;width:2249;height:2" coordorigin="8348,356" coordsize="2249,2">
              <v:shape style="position:absolute;left:8348;top:356;width:2249;height:2" coordorigin="8348,356" coordsize="2249,0" path="m8348,356l10597,356e" filled="false" stroked="true" strokeweight="1.5pt" strokecolor="#000000">
                <v:path arrowok="t"/>
              </v:shape>
              <v:shape style="position:absolute;left:6085;top:380;width:2292;height:481" type="#_x0000_t75" stroked="false">
                <v:imagedata r:id="rId115" o:title=""/>
              </v:shape>
            </v:group>
            <v:group style="position:absolute;left:2395;top:2951;width:3710;height:2" coordorigin="2395,2951" coordsize="3710,2">
              <v:shape style="position:absolute;left:2395;top:2951;width:3710;height:2" coordorigin="2395,2951" coordsize="3710,0" path="m2395,2951l6104,2951e" filled="false" stroked="true" strokeweight="1.5pt" strokecolor="#000000">
                <v:path arrowok="t"/>
              </v:shape>
            </v:group>
            <v:group style="position:absolute;left:6104;top:2951;width:2244;height:2" coordorigin="6104,2951" coordsize="2244,2">
              <v:shape style="position:absolute;left:6104;top:2951;width:2244;height:2" coordorigin="6104,2951" coordsize="2244,0" path="m6104,2951l8348,2951e" filled="false" stroked="true" strokeweight="1.5pt" strokecolor="#000000">
                <v:path arrowok="t"/>
              </v:shape>
              <v:shape style="position:absolute;left:2390;top:823;width:8233;height:2113" type="#_x0000_t75" stroked="false">
                <v:imagedata r:id="rId116" o:title=""/>
              </v:shape>
            </v:group>
            <v:group style="position:absolute;left:8348;top:2951;width:2249;height:2" coordorigin="8348,2951" coordsize="2249,2">
              <v:shape style="position:absolute;left:8348;top:2951;width:2249;height:2" coordorigin="8348,2951" coordsize="2249,0" path="m8348,2951l10597,2951e" filled="false" stroked="true" strokeweight="1.5pt" strokecolor="#000000">
                <v:path arrowok="t"/>
              </v:shape>
              <v:shape style="position:absolute;left:3938;top:526;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预付对象</w:t>
                      </w:r>
                      <w:r>
                        <w:rPr>
                          <w:rFonts w:ascii="宋体" w:hAnsi="宋体" w:cs="宋体" w:eastAsia="宋体" w:hint="default"/>
                          <w:sz w:val="16"/>
                          <w:szCs w:val="16"/>
                        </w:rPr>
                      </w:r>
                    </w:p>
                  </w:txbxContent>
                </v:textbox>
                <w10:wrap type="none"/>
              </v:shape>
              <v:shape style="position:absolute;left:6910;top:526;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8514;top:422;width:1919;height:376" type="#_x0000_t202" filled="false" stroked="false">
                <v:textbox inset="0,0,0,0">
                  <w:txbxContent>
                    <w:p>
                      <w:pPr>
                        <w:spacing w:line="159" w:lineRule="exact" w:before="0"/>
                        <w:ind w:left="0" w:right="0" w:firstLine="0"/>
                        <w:jc w:val="center"/>
                        <w:rPr>
                          <w:rFonts w:ascii="宋体" w:hAnsi="宋体" w:cs="宋体" w:eastAsia="宋体" w:hint="default"/>
                          <w:sz w:val="16"/>
                          <w:szCs w:val="16"/>
                        </w:rPr>
                      </w:pPr>
                      <w:r>
                        <w:rPr>
                          <w:rFonts w:ascii="宋体" w:hAnsi="宋体" w:cs="宋体" w:eastAsia="宋体" w:hint="default"/>
                          <w:w w:val="95"/>
                          <w:sz w:val="16"/>
                          <w:szCs w:val="16"/>
                        </w:rPr>
                        <w:t>占预付款项期末余额合计数</w:t>
                      </w:r>
                      <w:r>
                        <w:rPr>
                          <w:rFonts w:ascii="宋体" w:hAnsi="宋体" w:cs="宋体" w:eastAsia="宋体" w:hint="default"/>
                          <w:sz w:val="16"/>
                          <w:szCs w:val="16"/>
                        </w:rPr>
                      </w:r>
                    </w:p>
                    <w:p>
                      <w:pPr>
                        <w:spacing w:line="217" w:lineRule="exact" w:before="0"/>
                        <w:ind w:left="0" w:right="0" w:firstLine="0"/>
                        <w:jc w:val="center"/>
                        <w:rPr>
                          <w:rFonts w:ascii="宋体" w:hAnsi="宋体" w:cs="宋体" w:eastAsia="宋体" w:hint="default"/>
                          <w:sz w:val="16"/>
                          <w:szCs w:val="16"/>
                        </w:rPr>
                      </w:pPr>
                      <w:r>
                        <w:rPr>
                          <w:rFonts w:ascii="宋体" w:hAnsi="宋体" w:cs="宋体" w:eastAsia="宋体" w:hint="default"/>
                          <w:sz w:val="16"/>
                          <w:szCs w:val="16"/>
                        </w:rPr>
                        <w:t>的比例（</w:t>
                      </w:r>
                      <w:r>
                        <w:rPr>
                          <w:rFonts w:ascii="Times New Roman" w:hAnsi="Times New Roman" w:cs="Times New Roman" w:eastAsia="Times New Roman" w:hint="default"/>
                          <w:sz w:val="16"/>
                          <w:szCs w:val="16"/>
                        </w:rPr>
                        <w:t>%</w:t>
                      </w:r>
                      <w:r>
                        <w:rPr>
                          <w:rFonts w:ascii="宋体" w:hAnsi="宋体" w:cs="宋体" w:eastAsia="宋体" w:hint="default"/>
                          <w:sz w:val="16"/>
                          <w:szCs w:val="16"/>
                        </w:rPr>
                        <w:t>）</w:t>
                      </w:r>
                    </w:p>
                  </w:txbxContent>
                </v:textbox>
                <w10:wrap type="none"/>
              </v:shape>
            </v:group>
            <w10:wrap type="none"/>
          </v:group>
        </w:pict>
      </w:r>
      <w:r>
        <w:rPr>
          <w:rFonts w:ascii="Times New Roman" w:hAnsi="Times New Roman" w:cs="Times New Roman" w:eastAsia="Times New Roman" w:hint="default"/>
          <w:w w:val="95"/>
        </w:rPr>
        <w:t>2</w:t>
      </w:r>
      <w:r>
        <w:rPr>
          <w:w w:val="95"/>
        </w:rPr>
        <w:t>、</w:t>
        <w:tab/>
      </w:r>
      <w:r>
        <w:rPr/>
        <w:t>按预付对象归集的期末余额前五名的预付款情况</w:t>
      </w:r>
      <w:r>
        <w:rPr>
          <w:b w:val="0"/>
          <w:bCs w:val="0"/>
        </w:rPr>
      </w: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9"/>
          <w:szCs w:val="19"/>
        </w:rPr>
      </w:pPr>
    </w:p>
    <w:tbl>
      <w:tblPr>
        <w:tblW w:w="0" w:type="auto"/>
        <w:jc w:val="left"/>
        <w:tblInd w:w="787" w:type="dxa"/>
        <w:tblLayout w:type="fixed"/>
        <w:tblCellMar>
          <w:top w:w="0" w:type="dxa"/>
          <w:left w:w="0" w:type="dxa"/>
          <w:bottom w:w="0" w:type="dxa"/>
          <w:right w:w="0" w:type="dxa"/>
        </w:tblCellMar>
        <w:tblLook w:val="01E0"/>
      </w:tblPr>
      <w:tblGrid>
        <w:gridCol w:w="3672"/>
        <w:gridCol w:w="3067"/>
        <w:gridCol w:w="1373"/>
      </w:tblGrid>
      <w:tr>
        <w:trPr>
          <w:trHeight w:val="361" w:hRule="exact"/>
        </w:trPr>
        <w:tc>
          <w:tcPr>
            <w:tcW w:w="367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70" w:right="0"/>
              <w:jc w:val="left"/>
              <w:rPr>
                <w:rFonts w:ascii="宋体" w:hAnsi="宋体" w:cs="宋体" w:eastAsia="宋体" w:hint="default"/>
                <w:sz w:val="16"/>
                <w:szCs w:val="16"/>
              </w:rPr>
            </w:pPr>
            <w:r>
              <w:rPr>
                <w:rFonts w:ascii="宋体" w:hAnsi="宋体" w:cs="宋体" w:eastAsia="宋体" w:hint="default"/>
                <w:sz w:val="16"/>
                <w:szCs w:val="16"/>
              </w:rPr>
              <w:t>湖南长城银河科技有限公司</w:t>
            </w:r>
          </w:p>
        </w:tc>
        <w:tc>
          <w:tcPr>
            <w:tcW w:w="3067"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941"/>
              <w:jc w:val="right"/>
              <w:rPr>
                <w:rFonts w:ascii="Times New Roman" w:hAnsi="Times New Roman" w:cs="Times New Roman" w:eastAsia="Times New Roman" w:hint="default"/>
                <w:sz w:val="16"/>
                <w:szCs w:val="16"/>
              </w:rPr>
            </w:pPr>
            <w:r>
              <w:rPr>
                <w:rFonts w:ascii="Times New Roman"/>
                <w:spacing w:val="-1"/>
                <w:sz w:val="16"/>
              </w:rPr>
              <w:t>24,930,000.00</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68"/>
              <w:jc w:val="right"/>
              <w:rPr>
                <w:rFonts w:ascii="Times New Roman" w:hAnsi="Times New Roman" w:cs="Times New Roman" w:eastAsia="Times New Roman" w:hint="default"/>
                <w:sz w:val="16"/>
                <w:szCs w:val="16"/>
              </w:rPr>
            </w:pPr>
            <w:r>
              <w:rPr>
                <w:rFonts w:ascii="Times New Roman"/>
                <w:spacing w:val="-2"/>
                <w:sz w:val="16"/>
              </w:rPr>
              <w:t>11.41</w:t>
            </w:r>
          </w:p>
        </w:tc>
      </w:tr>
      <w:tr>
        <w:trPr>
          <w:trHeight w:val="349" w:hRule="exact"/>
        </w:trPr>
        <w:tc>
          <w:tcPr>
            <w:tcW w:w="3672" w:type="dxa"/>
            <w:tcBorders>
              <w:top w:val="nil" w:sz="6" w:space="0" w:color="auto"/>
              <w:left w:val="nil" w:sz="6" w:space="0" w:color="auto"/>
              <w:bottom w:val="nil" w:sz="6" w:space="0" w:color="auto"/>
              <w:right w:val="nil" w:sz="6" w:space="0" w:color="auto"/>
            </w:tcBorders>
          </w:tcPr>
          <w:p>
            <w:pPr>
              <w:pStyle w:val="TableParagraph"/>
              <w:spacing w:line="240" w:lineRule="auto" w:before="37"/>
              <w:ind w:left="70" w:right="0"/>
              <w:jc w:val="left"/>
              <w:rPr>
                <w:rFonts w:ascii="宋体" w:hAnsi="宋体" w:cs="宋体" w:eastAsia="宋体" w:hint="default"/>
                <w:sz w:val="16"/>
                <w:szCs w:val="16"/>
              </w:rPr>
            </w:pPr>
            <w:r>
              <w:rPr>
                <w:rFonts w:ascii="宋体" w:hAnsi="宋体" w:cs="宋体" w:eastAsia="宋体" w:hint="default"/>
                <w:sz w:val="16"/>
                <w:szCs w:val="16"/>
              </w:rPr>
              <w:t>深圳高登布尔仪表有限公司</w:t>
            </w:r>
          </w:p>
        </w:tc>
        <w:tc>
          <w:tcPr>
            <w:tcW w:w="3067"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941"/>
              <w:jc w:val="right"/>
              <w:rPr>
                <w:rFonts w:ascii="Times New Roman" w:hAnsi="Times New Roman" w:cs="Times New Roman" w:eastAsia="Times New Roman" w:hint="default"/>
                <w:sz w:val="16"/>
                <w:szCs w:val="16"/>
              </w:rPr>
            </w:pPr>
            <w:r>
              <w:rPr>
                <w:rFonts w:ascii="Times New Roman"/>
                <w:spacing w:val="-1"/>
                <w:sz w:val="16"/>
              </w:rPr>
              <w:t>21,767,146.23</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8"/>
              <w:jc w:val="right"/>
              <w:rPr>
                <w:rFonts w:ascii="Times New Roman" w:hAnsi="Times New Roman" w:cs="Times New Roman" w:eastAsia="Times New Roman" w:hint="default"/>
                <w:sz w:val="16"/>
                <w:szCs w:val="16"/>
              </w:rPr>
            </w:pPr>
            <w:r>
              <w:rPr>
                <w:rFonts w:ascii="Times New Roman"/>
                <w:spacing w:val="-1"/>
                <w:sz w:val="16"/>
              </w:rPr>
              <w:t>9.96</w:t>
            </w:r>
          </w:p>
        </w:tc>
      </w:tr>
      <w:tr>
        <w:trPr>
          <w:trHeight w:val="349" w:hRule="exact"/>
        </w:trPr>
        <w:tc>
          <w:tcPr>
            <w:tcW w:w="367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宋体" w:hAnsi="宋体" w:cs="宋体" w:eastAsia="宋体" w:hint="default"/>
                <w:sz w:val="16"/>
                <w:szCs w:val="16"/>
              </w:rPr>
              <w:t>山东省邮电规划设计院有限公司</w:t>
            </w:r>
          </w:p>
        </w:tc>
        <w:tc>
          <w:tcPr>
            <w:tcW w:w="3067"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941"/>
              <w:jc w:val="right"/>
              <w:rPr>
                <w:rFonts w:ascii="Times New Roman" w:hAnsi="Times New Roman" w:cs="Times New Roman" w:eastAsia="Times New Roman" w:hint="default"/>
                <w:sz w:val="16"/>
                <w:szCs w:val="16"/>
              </w:rPr>
            </w:pPr>
            <w:r>
              <w:rPr>
                <w:rFonts w:ascii="Times New Roman"/>
                <w:spacing w:val="-1"/>
                <w:sz w:val="16"/>
              </w:rPr>
              <w:t>19,514,027.60</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8"/>
              <w:jc w:val="right"/>
              <w:rPr>
                <w:rFonts w:ascii="Times New Roman" w:hAnsi="Times New Roman" w:cs="Times New Roman" w:eastAsia="Times New Roman" w:hint="default"/>
                <w:sz w:val="16"/>
                <w:szCs w:val="16"/>
              </w:rPr>
            </w:pPr>
            <w:r>
              <w:rPr>
                <w:rFonts w:ascii="Times New Roman"/>
                <w:spacing w:val="-1"/>
                <w:sz w:val="16"/>
              </w:rPr>
              <w:t>8.93</w:t>
            </w:r>
          </w:p>
        </w:tc>
      </w:tr>
      <w:tr>
        <w:trPr>
          <w:trHeight w:val="349" w:hRule="exact"/>
        </w:trPr>
        <w:tc>
          <w:tcPr>
            <w:tcW w:w="367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宋体" w:hAnsi="宋体" w:cs="宋体" w:eastAsia="宋体" w:hint="default"/>
                <w:sz w:val="16"/>
                <w:szCs w:val="16"/>
              </w:rPr>
              <w:t>深圳市慧为智能科技股份有限公司</w:t>
            </w:r>
          </w:p>
        </w:tc>
        <w:tc>
          <w:tcPr>
            <w:tcW w:w="3067"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941"/>
              <w:jc w:val="right"/>
              <w:rPr>
                <w:rFonts w:ascii="Times New Roman" w:hAnsi="Times New Roman" w:cs="Times New Roman" w:eastAsia="Times New Roman" w:hint="default"/>
                <w:sz w:val="16"/>
                <w:szCs w:val="16"/>
              </w:rPr>
            </w:pPr>
            <w:r>
              <w:rPr>
                <w:rFonts w:ascii="Times New Roman"/>
                <w:spacing w:val="-1"/>
                <w:sz w:val="16"/>
              </w:rPr>
              <w:t>17,462,059.32</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8"/>
              <w:jc w:val="right"/>
              <w:rPr>
                <w:rFonts w:ascii="Times New Roman" w:hAnsi="Times New Roman" w:cs="Times New Roman" w:eastAsia="Times New Roman" w:hint="default"/>
                <w:sz w:val="16"/>
                <w:szCs w:val="16"/>
              </w:rPr>
            </w:pPr>
            <w:r>
              <w:rPr>
                <w:rFonts w:ascii="Times New Roman"/>
                <w:spacing w:val="-1"/>
                <w:sz w:val="16"/>
              </w:rPr>
              <w:t>7.99</w:t>
            </w:r>
          </w:p>
        </w:tc>
      </w:tr>
      <w:tr>
        <w:trPr>
          <w:trHeight w:val="349" w:hRule="exact"/>
        </w:trPr>
        <w:tc>
          <w:tcPr>
            <w:tcW w:w="367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宋体" w:hAnsi="宋体" w:cs="宋体" w:eastAsia="宋体" w:hint="default"/>
                <w:sz w:val="16"/>
                <w:szCs w:val="16"/>
              </w:rPr>
              <w:t>深圳市亿道数码技术有限公司</w:t>
            </w:r>
          </w:p>
        </w:tc>
        <w:tc>
          <w:tcPr>
            <w:tcW w:w="3067"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941"/>
              <w:jc w:val="right"/>
              <w:rPr>
                <w:rFonts w:ascii="Times New Roman" w:hAnsi="Times New Roman" w:cs="Times New Roman" w:eastAsia="Times New Roman" w:hint="default"/>
                <w:sz w:val="16"/>
                <w:szCs w:val="16"/>
              </w:rPr>
            </w:pPr>
            <w:r>
              <w:rPr>
                <w:rFonts w:ascii="Times New Roman"/>
                <w:spacing w:val="-1"/>
                <w:sz w:val="16"/>
              </w:rPr>
              <w:t>8,092,505.97</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8"/>
              <w:jc w:val="right"/>
              <w:rPr>
                <w:rFonts w:ascii="Times New Roman" w:hAnsi="Times New Roman" w:cs="Times New Roman" w:eastAsia="Times New Roman" w:hint="default"/>
                <w:sz w:val="16"/>
                <w:szCs w:val="16"/>
              </w:rPr>
            </w:pPr>
            <w:r>
              <w:rPr>
                <w:rFonts w:ascii="Times New Roman"/>
                <w:spacing w:val="-1"/>
                <w:sz w:val="16"/>
              </w:rPr>
              <w:t>3.70</w:t>
            </w:r>
          </w:p>
        </w:tc>
      </w:tr>
      <w:tr>
        <w:trPr>
          <w:trHeight w:val="353" w:hRule="exact"/>
        </w:trPr>
        <w:tc>
          <w:tcPr>
            <w:tcW w:w="367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0"/>
              <w:jc w:val="center"/>
              <w:rPr>
                <w:rFonts w:ascii="宋体" w:hAnsi="宋体" w:cs="宋体" w:eastAsia="宋体" w:hint="default"/>
                <w:sz w:val="16"/>
                <w:szCs w:val="16"/>
              </w:rPr>
            </w:pPr>
            <w:r>
              <w:rPr>
                <w:rFonts w:ascii="宋体" w:hAnsi="宋体" w:cs="宋体" w:eastAsia="宋体" w:hint="default"/>
                <w:sz w:val="16"/>
                <w:szCs w:val="16"/>
              </w:rPr>
              <w:t>合计</w:t>
            </w:r>
          </w:p>
        </w:tc>
        <w:tc>
          <w:tcPr>
            <w:tcW w:w="3067"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940"/>
              <w:jc w:val="right"/>
              <w:rPr>
                <w:rFonts w:ascii="Times New Roman" w:hAnsi="Times New Roman" w:cs="Times New Roman" w:eastAsia="Times New Roman" w:hint="default"/>
                <w:sz w:val="16"/>
                <w:szCs w:val="16"/>
              </w:rPr>
            </w:pPr>
            <w:r>
              <w:rPr>
                <w:rFonts w:ascii="Times New Roman"/>
                <w:spacing w:val="-1"/>
                <w:sz w:val="16"/>
              </w:rPr>
              <w:t>91,765,739.12</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8"/>
              <w:jc w:val="right"/>
              <w:rPr>
                <w:rFonts w:ascii="Times New Roman" w:hAnsi="Times New Roman" w:cs="Times New Roman" w:eastAsia="Times New Roman" w:hint="default"/>
                <w:sz w:val="16"/>
                <w:szCs w:val="16"/>
              </w:rPr>
            </w:pPr>
            <w:r>
              <w:rPr>
                <w:rFonts w:ascii="Times New Roman"/>
                <w:spacing w:val="-1"/>
                <w:sz w:val="16"/>
              </w:rPr>
              <w:t>41.99</w:t>
            </w:r>
          </w:p>
        </w:tc>
      </w:tr>
    </w:tbl>
    <w:p>
      <w:pPr>
        <w:spacing w:after="0" w:line="240" w:lineRule="auto"/>
        <w:jc w:val="right"/>
        <w:rPr>
          <w:rFonts w:ascii="Times New Roman" w:hAnsi="Times New Roman" w:cs="Times New Roman" w:eastAsia="Times New Roman" w:hint="default"/>
          <w:sz w:val="16"/>
          <w:szCs w:val="16"/>
        </w:rPr>
        <w:sectPr>
          <w:pgSz w:w="11910" w:h="16840"/>
          <w:pgMar w:header="0" w:footer="1001" w:top="1520" w:bottom="1200" w:left="1660" w:right="0"/>
        </w:sectPr>
      </w:pPr>
    </w:p>
    <w:p>
      <w:pPr>
        <w:spacing w:line="240" w:lineRule="auto" w:before="0"/>
        <w:rPr>
          <w:rFonts w:ascii="Times New Roman" w:hAnsi="Times New Roman" w:cs="Times New Roman" w:eastAsia="Times New Roman" w:hint="default"/>
          <w:sz w:val="20"/>
          <w:szCs w:val="20"/>
        </w:rPr>
      </w:pPr>
      <w:r>
        <w:rPr/>
        <w:pict>
          <v:group style="position:absolute;margin-left:119.839996pt;margin-top:124.43972pt;width:411.05pt;height:86.8pt;mso-position-horizontal-relative:page;mso-position-vertical-relative:page;z-index:-1396168" coordorigin="2397,2489" coordsize="8221,1736">
            <v:shape style="position:absolute;left:6024;top:2489;width:10;height:28" type="#_x0000_t75" stroked="false">
              <v:imagedata r:id="rId96" o:title=""/>
            </v:shape>
            <v:shape style="position:absolute;left:8320;top:2489;width:10;height:28" type="#_x0000_t75" stroked="false">
              <v:imagedata r:id="rId96" o:title=""/>
            </v:shape>
            <v:shape style="position:absolute;left:6005;top:2497;width:2344;height:350" type="#_x0000_t75" stroked="false">
              <v:imagedata r:id="rId117" o:title=""/>
            </v:shape>
            <v:shape style="position:absolute;left:2397;top:2816;width:8220;height:1408" type="#_x0000_t75" stroked="false">
              <v:imagedata r:id="rId118" o:title=""/>
            </v:shape>
            <w10:wrap type="none"/>
          </v:group>
        </w:pict>
      </w:r>
      <w:r>
        <w:rPr/>
        <w:pict>
          <v:group style="position:absolute;margin-left:119.520004pt;margin-top:254.219681pt;width:411.7pt;height:51.85pt;mso-position-horizontal-relative:page;mso-position-vertical-relative:page;z-index:-1396144" coordorigin="2390,5084" coordsize="8234,1037">
            <v:shape style="position:absolute;left:5082;top:5084;width:10;height:28" type="#_x0000_t75" stroked="false">
              <v:imagedata r:id="rId39" o:title=""/>
            </v:shape>
            <v:shape style="position:absolute;left:7763;top:5084;width:10;height:28" type="#_x0000_t75" stroked="false">
              <v:imagedata r:id="rId39" o:title=""/>
            </v:shape>
            <v:shape style="position:absolute;left:5063;top:5093;width:2729;height:349" type="#_x0000_t75" stroked="false">
              <v:imagedata r:id="rId119" o:title=""/>
            </v:shape>
            <v:shape style="position:absolute;left:2390;top:5404;width:8233;height:718" type="#_x0000_t75" stroked="false">
              <v:imagedata r:id="rId120" o:title=""/>
            </v:shape>
            <w10:wrap type="none"/>
          </v:group>
        </w:pict>
      </w:r>
      <w:r>
        <w:rPr/>
        <w:pict>
          <v:group style="position:absolute;margin-left:119.520004pt;margin-top:349.019684pt;width:411.45pt;height:51.9pt;mso-position-horizontal-relative:page;mso-position-vertical-relative:page;z-index:-1396120" coordorigin="2390,6980" coordsize="8229,1038">
            <v:shape style="position:absolute;left:5711;top:6980;width:10;height:28" type="#_x0000_t75" stroked="false">
              <v:imagedata r:id="rId61" o:title=""/>
            </v:shape>
            <v:shape style="position:absolute;left:8152;top:6980;width:10;height:28" type="#_x0000_t75" stroked="false">
              <v:imagedata r:id="rId61" o:title=""/>
            </v:shape>
            <v:shape style="position:absolute;left:5692;top:6989;width:2489;height:350" type="#_x0000_t75" stroked="false">
              <v:imagedata r:id="rId121" o:title=""/>
            </v:shape>
            <v:shape style="position:absolute;left:2390;top:7301;width:8228;height:718" type="#_x0000_t75" stroked="false">
              <v:imagedata r:id="rId122" o:title=""/>
            </v:shape>
            <w10:wrap type="none"/>
          </v:group>
        </w:pict>
      </w: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0"/>
          <w:szCs w:val="10"/>
        </w:rPr>
      </w:pPr>
    </w:p>
    <w:tbl>
      <w:tblPr>
        <w:tblW w:w="0" w:type="auto"/>
        <w:jc w:val="left"/>
        <w:tblInd w:w="102" w:type="dxa"/>
        <w:tblLayout w:type="fixed"/>
        <w:tblCellMar>
          <w:top w:w="0" w:type="dxa"/>
          <w:left w:w="0" w:type="dxa"/>
          <w:bottom w:w="0" w:type="dxa"/>
          <w:right w:w="0" w:type="dxa"/>
        </w:tblCellMar>
        <w:tblLook w:val="01E0"/>
      </w:tblPr>
      <w:tblGrid>
        <w:gridCol w:w="647"/>
        <w:gridCol w:w="3074"/>
        <w:gridCol w:w="3056"/>
        <w:gridCol w:w="2058"/>
      </w:tblGrid>
      <w:tr>
        <w:trPr>
          <w:trHeight w:val="357" w:hRule="exact"/>
        </w:trPr>
        <w:tc>
          <w:tcPr>
            <w:tcW w:w="64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五</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3074"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101" w:right="0"/>
              <w:jc w:val="left"/>
              <w:rPr>
                <w:rFonts w:ascii="宋体" w:hAnsi="宋体" w:cs="宋体" w:eastAsia="宋体" w:hint="default"/>
                <w:sz w:val="21"/>
                <w:szCs w:val="21"/>
              </w:rPr>
            </w:pPr>
            <w:r>
              <w:rPr>
                <w:rFonts w:ascii="宋体" w:hAnsi="宋体" w:cs="宋体" w:eastAsia="宋体" w:hint="default"/>
                <w:b/>
                <w:bCs/>
                <w:sz w:val="21"/>
                <w:szCs w:val="21"/>
              </w:rPr>
              <w:t>其他应收款</w:t>
            </w:r>
            <w:r>
              <w:rPr>
                <w:rFonts w:ascii="宋体" w:hAnsi="宋体" w:cs="宋体" w:eastAsia="宋体" w:hint="default"/>
                <w:sz w:val="21"/>
                <w:szCs w:val="21"/>
              </w:rPr>
            </w:r>
          </w:p>
        </w:tc>
        <w:tc>
          <w:tcPr>
            <w:tcW w:w="5114" w:type="dxa"/>
            <w:gridSpan w:val="2"/>
            <w:tcBorders>
              <w:top w:val="nil" w:sz="6" w:space="0" w:color="auto"/>
              <w:left w:val="nil" w:sz="6" w:space="0" w:color="auto"/>
              <w:bottom w:val="single" w:sz="12" w:space="0" w:color="000000"/>
              <w:right w:val="nil" w:sz="6" w:space="0" w:color="auto"/>
            </w:tcBorders>
          </w:tcPr>
          <w:p>
            <w:pPr/>
          </w:p>
        </w:tc>
      </w:tr>
      <w:tr>
        <w:trPr>
          <w:trHeight w:val="358" w:hRule="exact"/>
        </w:trPr>
        <w:tc>
          <w:tcPr>
            <w:tcW w:w="647" w:type="dxa"/>
            <w:tcBorders>
              <w:top w:val="nil" w:sz="6" w:space="0" w:color="auto"/>
              <w:left w:val="nil" w:sz="6" w:space="0" w:color="auto"/>
              <w:bottom w:val="nil" w:sz="6" w:space="0" w:color="auto"/>
              <w:right w:val="nil" w:sz="6" w:space="0" w:color="auto"/>
            </w:tcBorders>
          </w:tcPr>
          <w:p>
            <w:pPr/>
          </w:p>
        </w:tc>
        <w:tc>
          <w:tcPr>
            <w:tcW w:w="3074" w:type="dxa"/>
            <w:tcBorders>
              <w:top w:val="single" w:sz="12" w:space="0" w:color="000000"/>
              <w:left w:val="nil" w:sz="6" w:space="0" w:color="auto"/>
              <w:bottom w:val="nil" w:sz="6" w:space="0" w:color="auto"/>
              <w:right w:val="nil" w:sz="6" w:space="0" w:color="auto"/>
            </w:tcBorders>
          </w:tcPr>
          <w:p>
            <w:pPr>
              <w:pStyle w:val="TableParagraph"/>
              <w:spacing w:line="240" w:lineRule="auto" w:before="38"/>
              <w:ind w:left="543" w:right="0"/>
              <w:jc w:val="center"/>
              <w:rPr>
                <w:rFonts w:ascii="宋体" w:hAnsi="宋体" w:cs="宋体" w:eastAsia="宋体" w:hint="default"/>
                <w:sz w:val="16"/>
                <w:szCs w:val="16"/>
              </w:rPr>
            </w:pPr>
            <w:r>
              <w:rPr>
                <w:rFonts w:ascii="宋体" w:hAnsi="宋体" w:cs="宋体" w:eastAsia="宋体" w:hint="default"/>
                <w:sz w:val="16"/>
                <w:szCs w:val="16"/>
              </w:rPr>
              <w:t>项目</w:t>
            </w:r>
          </w:p>
        </w:tc>
        <w:tc>
          <w:tcPr>
            <w:tcW w:w="3056" w:type="dxa"/>
            <w:tcBorders>
              <w:top w:val="single" w:sz="12" w:space="0" w:color="000000"/>
              <w:left w:val="nil" w:sz="6" w:space="0" w:color="auto"/>
              <w:bottom w:val="nil" w:sz="6" w:space="0" w:color="auto"/>
              <w:right w:val="nil" w:sz="6" w:space="0" w:color="auto"/>
            </w:tcBorders>
          </w:tcPr>
          <w:p>
            <w:pPr>
              <w:pStyle w:val="TableParagraph"/>
              <w:spacing w:line="240" w:lineRule="auto" w:before="38"/>
              <w:ind w:left="326" w:right="0"/>
              <w:jc w:val="center"/>
              <w:rPr>
                <w:rFonts w:ascii="宋体" w:hAnsi="宋体" w:cs="宋体" w:eastAsia="宋体" w:hint="default"/>
                <w:sz w:val="16"/>
                <w:szCs w:val="16"/>
              </w:rPr>
            </w:pPr>
            <w:r>
              <w:rPr>
                <w:rFonts w:ascii="宋体" w:hAnsi="宋体" w:cs="宋体" w:eastAsia="宋体" w:hint="default"/>
                <w:sz w:val="16"/>
                <w:szCs w:val="16"/>
              </w:rPr>
              <w:t>期末余额</w:t>
            </w:r>
          </w:p>
        </w:tc>
        <w:tc>
          <w:tcPr>
            <w:tcW w:w="2058" w:type="dxa"/>
            <w:tcBorders>
              <w:top w:val="single" w:sz="12" w:space="0" w:color="000000"/>
              <w:left w:val="nil" w:sz="6" w:space="0" w:color="auto"/>
              <w:bottom w:val="nil" w:sz="6" w:space="0" w:color="auto"/>
              <w:right w:val="nil" w:sz="6" w:space="0" w:color="auto"/>
            </w:tcBorders>
          </w:tcPr>
          <w:p>
            <w:pPr>
              <w:pStyle w:val="TableParagraph"/>
              <w:spacing w:line="240" w:lineRule="auto" w:before="38"/>
              <w:ind w:left="601" w:right="0"/>
              <w:jc w:val="left"/>
              <w:rPr>
                <w:rFonts w:ascii="宋体" w:hAnsi="宋体" w:cs="宋体" w:eastAsia="宋体" w:hint="default"/>
                <w:sz w:val="16"/>
                <w:szCs w:val="16"/>
              </w:rPr>
            </w:pPr>
            <w:r>
              <w:rPr>
                <w:rFonts w:ascii="宋体" w:hAnsi="宋体" w:cs="宋体" w:eastAsia="宋体" w:hint="default"/>
                <w:sz w:val="16"/>
                <w:szCs w:val="16"/>
              </w:rPr>
              <w:t>年初余额</w:t>
            </w:r>
          </w:p>
        </w:tc>
      </w:tr>
      <w:tr>
        <w:trPr>
          <w:trHeight w:val="356" w:hRule="exact"/>
        </w:trPr>
        <w:tc>
          <w:tcPr>
            <w:tcW w:w="647" w:type="dxa"/>
            <w:tcBorders>
              <w:top w:val="nil" w:sz="6" w:space="0" w:color="auto"/>
              <w:left w:val="nil" w:sz="6" w:space="0" w:color="auto"/>
              <w:bottom w:val="nil" w:sz="6" w:space="0" w:color="auto"/>
              <w:right w:val="nil" w:sz="6" w:space="0" w:color="auto"/>
            </w:tcBorders>
          </w:tcPr>
          <w:p>
            <w:pPr/>
          </w:p>
        </w:tc>
        <w:tc>
          <w:tcPr>
            <w:tcW w:w="3074"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07" w:right="0"/>
              <w:jc w:val="left"/>
              <w:rPr>
                <w:rFonts w:ascii="宋体" w:hAnsi="宋体" w:cs="宋体" w:eastAsia="宋体" w:hint="default"/>
                <w:sz w:val="16"/>
                <w:szCs w:val="16"/>
              </w:rPr>
            </w:pPr>
            <w:r>
              <w:rPr>
                <w:rFonts w:ascii="宋体" w:hAnsi="宋体" w:cs="宋体" w:eastAsia="宋体" w:hint="default"/>
                <w:sz w:val="16"/>
                <w:szCs w:val="16"/>
              </w:rPr>
              <w:t>应收利息</w:t>
            </w:r>
          </w:p>
        </w:tc>
        <w:tc>
          <w:tcPr>
            <w:tcW w:w="3056"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320"/>
              <w:jc w:val="right"/>
              <w:rPr>
                <w:rFonts w:ascii="Times New Roman" w:hAnsi="Times New Roman" w:cs="Times New Roman" w:eastAsia="Times New Roman" w:hint="default"/>
                <w:sz w:val="16"/>
                <w:szCs w:val="16"/>
              </w:rPr>
            </w:pPr>
            <w:r>
              <w:rPr>
                <w:rFonts w:ascii="Times New Roman"/>
                <w:spacing w:val="-1"/>
                <w:sz w:val="16"/>
              </w:rPr>
              <w:t>677,799.76</w:t>
            </w:r>
          </w:p>
        </w:tc>
        <w:tc>
          <w:tcPr>
            <w:tcW w:w="2058"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04"/>
              <w:jc w:val="right"/>
              <w:rPr>
                <w:rFonts w:ascii="Times New Roman" w:hAnsi="Times New Roman" w:cs="Times New Roman" w:eastAsia="Times New Roman" w:hint="default"/>
                <w:sz w:val="16"/>
                <w:szCs w:val="16"/>
              </w:rPr>
            </w:pPr>
            <w:r>
              <w:rPr>
                <w:rFonts w:ascii="Times New Roman"/>
                <w:spacing w:val="-1"/>
                <w:w w:val="95"/>
                <w:sz w:val="16"/>
              </w:rPr>
              <w:t>645,311.88</w:t>
            </w:r>
            <w:r>
              <w:rPr>
                <w:rFonts w:ascii="Times New Roman"/>
                <w:spacing w:val="-1"/>
                <w:sz w:val="16"/>
              </w:rPr>
            </w:r>
          </w:p>
        </w:tc>
      </w:tr>
      <w:tr>
        <w:trPr>
          <w:trHeight w:val="349" w:hRule="exact"/>
        </w:trPr>
        <w:tc>
          <w:tcPr>
            <w:tcW w:w="647" w:type="dxa"/>
            <w:tcBorders>
              <w:top w:val="nil" w:sz="6" w:space="0" w:color="auto"/>
              <w:left w:val="nil" w:sz="6" w:space="0" w:color="auto"/>
              <w:bottom w:val="nil" w:sz="6" w:space="0" w:color="auto"/>
              <w:right w:val="nil" w:sz="6" w:space="0" w:color="auto"/>
            </w:tcBorders>
          </w:tcPr>
          <w:p>
            <w:pPr/>
          </w:p>
        </w:tc>
        <w:tc>
          <w:tcPr>
            <w:tcW w:w="307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07" w:right="0"/>
              <w:jc w:val="left"/>
              <w:rPr>
                <w:rFonts w:ascii="宋体" w:hAnsi="宋体" w:cs="宋体" w:eastAsia="宋体" w:hint="default"/>
                <w:sz w:val="16"/>
                <w:szCs w:val="16"/>
              </w:rPr>
            </w:pPr>
            <w:r>
              <w:rPr>
                <w:rFonts w:ascii="宋体" w:hAnsi="宋体" w:cs="宋体" w:eastAsia="宋体" w:hint="default"/>
                <w:sz w:val="16"/>
                <w:szCs w:val="16"/>
              </w:rPr>
              <w:t>应收股利</w:t>
            </w:r>
          </w:p>
        </w:tc>
        <w:tc>
          <w:tcPr>
            <w:tcW w:w="3056"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320"/>
              <w:jc w:val="right"/>
              <w:rPr>
                <w:rFonts w:ascii="Times New Roman" w:hAnsi="Times New Roman" w:cs="Times New Roman" w:eastAsia="Times New Roman" w:hint="default"/>
                <w:sz w:val="16"/>
                <w:szCs w:val="16"/>
              </w:rPr>
            </w:pPr>
            <w:r>
              <w:rPr>
                <w:rFonts w:ascii="Times New Roman"/>
                <w:spacing w:val="-1"/>
                <w:sz w:val="16"/>
              </w:rPr>
              <w:t>14,000,000.00</w:t>
            </w:r>
          </w:p>
        </w:tc>
        <w:tc>
          <w:tcPr>
            <w:tcW w:w="205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4"/>
              <w:jc w:val="right"/>
              <w:rPr>
                <w:rFonts w:ascii="Times New Roman" w:hAnsi="Times New Roman" w:cs="Times New Roman" w:eastAsia="Times New Roman" w:hint="default"/>
                <w:sz w:val="16"/>
                <w:szCs w:val="16"/>
              </w:rPr>
            </w:pPr>
            <w:r>
              <w:rPr>
                <w:rFonts w:ascii="Times New Roman"/>
                <w:spacing w:val="-1"/>
                <w:sz w:val="16"/>
              </w:rPr>
              <w:t>10,000,000.00</w:t>
            </w:r>
          </w:p>
        </w:tc>
      </w:tr>
      <w:tr>
        <w:trPr>
          <w:trHeight w:val="349" w:hRule="exact"/>
        </w:trPr>
        <w:tc>
          <w:tcPr>
            <w:tcW w:w="647" w:type="dxa"/>
            <w:tcBorders>
              <w:top w:val="nil" w:sz="6" w:space="0" w:color="auto"/>
              <w:left w:val="nil" w:sz="6" w:space="0" w:color="auto"/>
              <w:bottom w:val="nil" w:sz="6" w:space="0" w:color="auto"/>
              <w:right w:val="nil" w:sz="6" w:space="0" w:color="auto"/>
            </w:tcBorders>
          </w:tcPr>
          <w:p>
            <w:pPr/>
          </w:p>
        </w:tc>
        <w:tc>
          <w:tcPr>
            <w:tcW w:w="3074"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07" w:right="0"/>
              <w:jc w:val="left"/>
              <w:rPr>
                <w:rFonts w:ascii="宋体" w:hAnsi="宋体" w:cs="宋体" w:eastAsia="宋体" w:hint="default"/>
                <w:sz w:val="16"/>
                <w:szCs w:val="16"/>
              </w:rPr>
            </w:pPr>
            <w:r>
              <w:rPr>
                <w:rFonts w:ascii="宋体" w:hAnsi="宋体" w:cs="宋体" w:eastAsia="宋体" w:hint="default"/>
                <w:sz w:val="16"/>
                <w:szCs w:val="16"/>
              </w:rPr>
              <w:t>其他应收款</w:t>
            </w:r>
          </w:p>
        </w:tc>
        <w:tc>
          <w:tcPr>
            <w:tcW w:w="305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20"/>
              <w:jc w:val="right"/>
              <w:rPr>
                <w:rFonts w:ascii="Times New Roman" w:hAnsi="Times New Roman" w:cs="Times New Roman" w:eastAsia="Times New Roman" w:hint="default"/>
                <w:sz w:val="16"/>
                <w:szCs w:val="16"/>
              </w:rPr>
            </w:pPr>
            <w:r>
              <w:rPr>
                <w:rFonts w:ascii="Times New Roman"/>
                <w:spacing w:val="-1"/>
                <w:sz w:val="16"/>
              </w:rPr>
              <w:t>49,306,392.36</w:t>
            </w:r>
          </w:p>
        </w:tc>
        <w:tc>
          <w:tcPr>
            <w:tcW w:w="205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4"/>
              <w:jc w:val="right"/>
              <w:rPr>
                <w:rFonts w:ascii="Times New Roman" w:hAnsi="Times New Roman" w:cs="Times New Roman" w:eastAsia="Times New Roman" w:hint="default"/>
                <w:sz w:val="16"/>
                <w:szCs w:val="16"/>
              </w:rPr>
            </w:pPr>
            <w:r>
              <w:rPr>
                <w:rFonts w:ascii="Times New Roman"/>
                <w:spacing w:val="-1"/>
                <w:sz w:val="16"/>
              </w:rPr>
              <w:t>74,466,971.53</w:t>
            </w:r>
          </w:p>
        </w:tc>
      </w:tr>
      <w:tr>
        <w:trPr>
          <w:trHeight w:val="354" w:hRule="exact"/>
        </w:trPr>
        <w:tc>
          <w:tcPr>
            <w:tcW w:w="647" w:type="dxa"/>
            <w:tcBorders>
              <w:top w:val="nil" w:sz="6" w:space="0" w:color="auto"/>
              <w:left w:val="nil" w:sz="6" w:space="0" w:color="auto"/>
              <w:bottom w:val="nil" w:sz="6" w:space="0" w:color="auto"/>
              <w:right w:val="nil" w:sz="6" w:space="0" w:color="auto"/>
            </w:tcBorders>
          </w:tcPr>
          <w:p>
            <w:pPr/>
          </w:p>
        </w:tc>
        <w:tc>
          <w:tcPr>
            <w:tcW w:w="3074" w:type="dxa"/>
            <w:tcBorders>
              <w:top w:val="nil" w:sz="6" w:space="0" w:color="auto"/>
              <w:left w:val="nil" w:sz="6" w:space="0" w:color="auto"/>
              <w:bottom w:val="single" w:sz="12" w:space="0" w:color="000000"/>
              <w:right w:val="nil" w:sz="6" w:space="0" w:color="auto"/>
            </w:tcBorders>
          </w:tcPr>
          <w:p>
            <w:pPr>
              <w:pStyle w:val="TableParagraph"/>
              <w:spacing w:line="240" w:lineRule="auto" w:before="37"/>
              <w:ind w:left="543" w:right="0"/>
              <w:jc w:val="center"/>
              <w:rPr>
                <w:rFonts w:ascii="宋体" w:hAnsi="宋体" w:cs="宋体" w:eastAsia="宋体" w:hint="default"/>
                <w:sz w:val="16"/>
                <w:szCs w:val="16"/>
              </w:rPr>
            </w:pPr>
            <w:r>
              <w:rPr>
                <w:rFonts w:ascii="宋体" w:hAnsi="宋体" w:cs="宋体" w:eastAsia="宋体" w:hint="default"/>
                <w:sz w:val="16"/>
                <w:szCs w:val="16"/>
              </w:rPr>
              <w:t>合计</w:t>
            </w:r>
          </w:p>
        </w:tc>
        <w:tc>
          <w:tcPr>
            <w:tcW w:w="3056" w:type="dxa"/>
            <w:tcBorders>
              <w:top w:val="nil" w:sz="6" w:space="0" w:color="auto"/>
              <w:left w:val="nil" w:sz="6" w:space="0" w:color="auto"/>
              <w:bottom w:val="single" w:sz="12" w:space="0" w:color="000000"/>
              <w:right w:val="nil" w:sz="6" w:space="0" w:color="auto"/>
            </w:tcBorders>
          </w:tcPr>
          <w:p>
            <w:pPr>
              <w:pStyle w:val="TableParagraph"/>
              <w:spacing w:line="240" w:lineRule="auto" w:before="80"/>
              <w:ind w:right="320"/>
              <w:jc w:val="right"/>
              <w:rPr>
                <w:rFonts w:ascii="Times New Roman" w:hAnsi="Times New Roman" w:cs="Times New Roman" w:eastAsia="Times New Roman" w:hint="default"/>
                <w:sz w:val="16"/>
                <w:szCs w:val="16"/>
              </w:rPr>
            </w:pPr>
            <w:r>
              <w:rPr>
                <w:rFonts w:ascii="Times New Roman"/>
                <w:spacing w:val="-1"/>
                <w:sz w:val="16"/>
              </w:rPr>
              <w:t>63,984,192.12</w:t>
            </w:r>
          </w:p>
        </w:tc>
        <w:tc>
          <w:tcPr>
            <w:tcW w:w="2058" w:type="dxa"/>
            <w:tcBorders>
              <w:top w:val="nil" w:sz="6" w:space="0" w:color="auto"/>
              <w:left w:val="nil" w:sz="6" w:space="0" w:color="auto"/>
              <w:bottom w:val="single" w:sz="12" w:space="0" w:color="000000"/>
              <w:right w:val="nil" w:sz="6" w:space="0" w:color="auto"/>
            </w:tcBorders>
          </w:tcPr>
          <w:p>
            <w:pPr>
              <w:pStyle w:val="TableParagraph"/>
              <w:spacing w:line="240" w:lineRule="auto" w:before="80"/>
              <w:ind w:right="104"/>
              <w:jc w:val="right"/>
              <w:rPr>
                <w:rFonts w:ascii="Times New Roman" w:hAnsi="Times New Roman" w:cs="Times New Roman" w:eastAsia="Times New Roman" w:hint="default"/>
                <w:sz w:val="16"/>
                <w:szCs w:val="16"/>
              </w:rPr>
            </w:pPr>
            <w:r>
              <w:rPr>
                <w:rFonts w:ascii="Times New Roman"/>
                <w:spacing w:val="-1"/>
                <w:sz w:val="16"/>
              </w:rPr>
              <w:t>85,112,283.41</w:t>
            </w:r>
          </w:p>
        </w:tc>
      </w:tr>
      <w:tr>
        <w:trPr>
          <w:trHeight w:val="830" w:hRule="exact"/>
        </w:trPr>
        <w:tc>
          <w:tcPr>
            <w:tcW w:w="647" w:type="dxa"/>
            <w:tcBorders>
              <w:top w:val="nil" w:sz="6" w:space="0" w:color="auto"/>
              <w:left w:val="nil" w:sz="6" w:space="0" w:color="auto"/>
              <w:bottom w:val="nil" w:sz="6" w:space="0" w:color="auto"/>
              <w:right w:val="nil" w:sz="6" w:space="0" w:color="auto"/>
            </w:tcBorders>
          </w:tcPr>
          <w:p>
            <w:pPr/>
          </w:p>
        </w:tc>
        <w:tc>
          <w:tcPr>
            <w:tcW w:w="3074" w:type="dxa"/>
            <w:tcBorders>
              <w:top w:val="single" w:sz="12" w:space="0" w:color="000000"/>
              <w:left w:val="nil" w:sz="6" w:space="0" w:color="auto"/>
              <w:bottom w:val="single" w:sz="12"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10"/>
              <w:ind w:right="0"/>
              <w:jc w:val="left"/>
              <w:rPr>
                <w:rFonts w:ascii="Times New Roman" w:hAnsi="Times New Roman" w:cs="Times New Roman" w:eastAsia="Times New Roman" w:hint="default"/>
                <w:sz w:val="20"/>
                <w:szCs w:val="20"/>
              </w:rPr>
            </w:pPr>
          </w:p>
          <w:p>
            <w:pPr>
              <w:pStyle w:val="TableParagraph"/>
              <w:tabs>
                <w:tab w:pos="647" w:val="left" w:leader="none"/>
              </w:tabs>
              <w:spacing w:line="240" w:lineRule="auto"/>
              <w:ind w:left="97" w:right="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pacing w:val="1"/>
                <w:sz w:val="21"/>
                <w:szCs w:val="21"/>
              </w:rPr>
              <w:t>应收利息</w:t>
            </w:r>
            <w:r>
              <w:rPr>
                <w:rFonts w:ascii="宋体" w:hAnsi="宋体" w:cs="宋体" w:eastAsia="宋体" w:hint="default"/>
                <w:sz w:val="21"/>
                <w:szCs w:val="21"/>
              </w:rPr>
            </w:r>
          </w:p>
        </w:tc>
        <w:tc>
          <w:tcPr>
            <w:tcW w:w="3056" w:type="dxa"/>
            <w:tcBorders>
              <w:top w:val="single" w:sz="12" w:space="0" w:color="000000"/>
              <w:left w:val="nil" w:sz="6" w:space="0" w:color="auto"/>
              <w:bottom w:val="single" w:sz="12" w:space="0" w:color="000000"/>
              <w:right w:val="nil" w:sz="6" w:space="0" w:color="auto"/>
            </w:tcBorders>
          </w:tcPr>
          <w:p>
            <w:pPr/>
          </w:p>
        </w:tc>
        <w:tc>
          <w:tcPr>
            <w:tcW w:w="2058" w:type="dxa"/>
            <w:tcBorders>
              <w:top w:val="single" w:sz="12" w:space="0" w:color="000000"/>
              <w:left w:val="nil" w:sz="6" w:space="0" w:color="auto"/>
              <w:bottom w:val="single" w:sz="12" w:space="0" w:color="000000"/>
              <w:right w:val="nil" w:sz="6" w:space="0" w:color="auto"/>
            </w:tcBorders>
          </w:tcPr>
          <w:p>
            <w:pPr/>
          </w:p>
        </w:tc>
      </w:tr>
      <w:tr>
        <w:trPr>
          <w:trHeight w:val="357" w:hRule="exact"/>
        </w:trPr>
        <w:tc>
          <w:tcPr>
            <w:tcW w:w="647" w:type="dxa"/>
            <w:tcBorders>
              <w:top w:val="nil" w:sz="6" w:space="0" w:color="auto"/>
              <w:left w:val="nil" w:sz="6" w:space="0" w:color="auto"/>
              <w:bottom w:val="nil" w:sz="6" w:space="0" w:color="auto"/>
              <w:right w:val="nil" w:sz="6" w:space="0" w:color="auto"/>
            </w:tcBorders>
          </w:tcPr>
          <w:p>
            <w:pPr/>
          </w:p>
        </w:tc>
        <w:tc>
          <w:tcPr>
            <w:tcW w:w="3074" w:type="dxa"/>
            <w:tcBorders>
              <w:top w:val="single" w:sz="12" w:space="0" w:color="000000"/>
              <w:left w:val="nil" w:sz="6" w:space="0" w:color="auto"/>
              <w:bottom w:val="nil" w:sz="6" w:space="0" w:color="auto"/>
              <w:right w:val="nil" w:sz="6" w:space="0" w:color="auto"/>
            </w:tcBorders>
          </w:tcPr>
          <w:p>
            <w:pPr>
              <w:pStyle w:val="TableParagraph"/>
              <w:spacing w:line="240" w:lineRule="auto" w:before="37"/>
              <w:ind w:right="395"/>
              <w:jc w:val="center"/>
              <w:rPr>
                <w:rFonts w:ascii="宋体" w:hAnsi="宋体" w:cs="宋体" w:eastAsia="宋体" w:hint="default"/>
                <w:sz w:val="16"/>
                <w:szCs w:val="16"/>
              </w:rPr>
            </w:pPr>
            <w:r>
              <w:rPr>
                <w:rFonts w:ascii="宋体" w:hAnsi="宋体" w:cs="宋体" w:eastAsia="宋体" w:hint="default"/>
                <w:sz w:val="16"/>
                <w:szCs w:val="16"/>
              </w:rPr>
              <w:t>项目</w:t>
            </w:r>
          </w:p>
        </w:tc>
        <w:tc>
          <w:tcPr>
            <w:tcW w:w="3056" w:type="dxa"/>
            <w:tcBorders>
              <w:top w:val="single" w:sz="12" w:space="0" w:color="000000"/>
              <w:left w:val="nil" w:sz="6" w:space="0" w:color="auto"/>
              <w:bottom w:val="nil" w:sz="6" w:space="0" w:color="auto"/>
              <w:right w:val="nil" w:sz="6" w:space="0" w:color="auto"/>
            </w:tcBorders>
          </w:tcPr>
          <w:p>
            <w:pPr>
              <w:pStyle w:val="TableParagraph"/>
              <w:spacing w:line="240" w:lineRule="auto" w:before="37"/>
              <w:ind w:left="622" w:right="0"/>
              <w:jc w:val="left"/>
              <w:rPr>
                <w:rFonts w:ascii="宋体" w:hAnsi="宋体" w:cs="宋体" w:eastAsia="宋体" w:hint="default"/>
                <w:sz w:val="16"/>
                <w:szCs w:val="16"/>
              </w:rPr>
            </w:pPr>
            <w:r>
              <w:rPr>
                <w:rFonts w:ascii="宋体" w:hAnsi="宋体" w:cs="宋体" w:eastAsia="宋体" w:hint="default"/>
                <w:sz w:val="16"/>
                <w:szCs w:val="16"/>
              </w:rPr>
              <w:t>期末余额</w:t>
            </w:r>
          </w:p>
        </w:tc>
        <w:tc>
          <w:tcPr>
            <w:tcW w:w="2058" w:type="dxa"/>
            <w:tcBorders>
              <w:top w:val="single" w:sz="12" w:space="0" w:color="000000"/>
              <w:left w:val="nil" w:sz="6" w:space="0" w:color="auto"/>
              <w:bottom w:val="nil" w:sz="6" w:space="0" w:color="auto"/>
              <w:right w:val="nil" w:sz="6" w:space="0" w:color="auto"/>
            </w:tcBorders>
          </w:tcPr>
          <w:p>
            <w:pPr>
              <w:pStyle w:val="TableParagraph"/>
              <w:spacing w:line="240" w:lineRule="auto" w:before="37"/>
              <w:ind w:left="322" w:right="0"/>
              <w:jc w:val="left"/>
              <w:rPr>
                <w:rFonts w:ascii="宋体" w:hAnsi="宋体" w:cs="宋体" w:eastAsia="宋体" w:hint="default"/>
                <w:sz w:val="16"/>
                <w:szCs w:val="16"/>
              </w:rPr>
            </w:pPr>
            <w:r>
              <w:rPr>
                <w:rFonts w:ascii="宋体" w:hAnsi="宋体" w:cs="宋体" w:eastAsia="宋体" w:hint="default"/>
                <w:sz w:val="16"/>
                <w:szCs w:val="16"/>
              </w:rPr>
              <w:t>年初余额</w:t>
            </w:r>
          </w:p>
        </w:tc>
      </w:tr>
      <w:tr>
        <w:trPr>
          <w:trHeight w:val="356" w:hRule="exact"/>
        </w:trPr>
        <w:tc>
          <w:tcPr>
            <w:tcW w:w="647" w:type="dxa"/>
            <w:tcBorders>
              <w:top w:val="nil" w:sz="6" w:space="0" w:color="auto"/>
              <w:left w:val="nil" w:sz="6" w:space="0" w:color="auto"/>
              <w:bottom w:val="nil" w:sz="6" w:space="0" w:color="auto"/>
              <w:right w:val="nil" w:sz="6" w:space="0" w:color="auto"/>
            </w:tcBorders>
          </w:tcPr>
          <w:p>
            <w:pPr/>
          </w:p>
        </w:tc>
        <w:tc>
          <w:tcPr>
            <w:tcW w:w="3074"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07" w:right="0"/>
              <w:jc w:val="left"/>
              <w:rPr>
                <w:rFonts w:ascii="宋体" w:hAnsi="宋体" w:cs="宋体" w:eastAsia="宋体" w:hint="default"/>
                <w:sz w:val="16"/>
                <w:szCs w:val="16"/>
              </w:rPr>
            </w:pPr>
            <w:r>
              <w:rPr>
                <w:rFonts w:ascii="宋体" w:hAnsi="宋体" w:cs="宋体" w:eastAsia="宋体" w:hint="default"/>
                <w:sz w:val="16"/>
                <w:szCs w:val="16"/>
              </w:rPr>
              <w:t>债券投资</w:t>
            </w:r>
          </w:p>
        </w:tc>
        <w:tc>
          <w:tcPr>
            <w:tcW w:w="3056" w:type="dxa"/>
            <w:tcBorders>
              <w:top w:val="nil" w:sz="6" w:space="0" w:color="auto"/>
              <w:left w:val="nil" w:sz="6" w:space="0" w:color="auto"/>
              <w:bottom w:val="nil" w:sz="6" w:space="0" w:color="auto"/>
              <w:right w:val="nil" w:sz="6" w:space="0" w:color="auto"/>
            </w:tcBorders>
          </w:tcPr>
          <w:p>
            <w:pPr>
              <w:pStyle w:val="TableParagraph"/>
              <w:spacing w:line="240" w:lineRule="auto" w:before="87"/>
              <w:ind w:left="1454" w:right="0"/>
              <w:jc w:val="left"/>
              <w:rPr>
                <w:rFonts w:ascii="Times New Roman" w:hAnsi="Times New Roman" w:cs="Times New Roman" w:eastAsia="Times New Roman" w:hint="default"/>
                <w:sz w:val="16"/>
                <w:szCs w:val="16"/>
              </w:rPr>
            </w:pPr>
            <w:r>
              <w:rPr>
                <w:rFonts w:ascii="Times New Roman"/>
                <w:sz w:val="16"/>
              </w:rPr>
              <w:t>677,799.76</w:t>
            </w:r>
          </w:p>
        </w:tc>
        <w:tc>
          <w:tcPr>
            <w:tcW w:w="2058"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04"/>
              <w:jc w:val="right"/>
              <w:rPr>
                <w:rFonts w:ascii="Times New Roman" w:hAnsi="Times New Roman" w:cs="Times New Roman" w:eastAsia="Times New Roman" w:hint="default"/>
                <w:sz w:val="16"/>
                <w:szCs w:val="16"/>
              </w:rPr>
            </w:pPr>
            <w:r>
              <w:rPr>
                <w:rFonts w:ascii="Times New Roman"/>
                <w:spacing w:val="-1"/>
                <w:w w:val="95"/>
                <w:sz w:val="16"/>
              </w:rPr>
              <w:t>645,311.88</w:t>
            </w:r>
            <w:r>
              <w:rPr>
                <w:rFonts w:ascii="Times New Roman"/>
                <w:spacing w:val="-1"/>
                <w:sz w:val="16"/>
              </w:rPr>
            </w:r>
          </w:p>
        </w:tc>
      </w:tr>
      <w:tr>
        <w:trPr>
          <w:trHeight w:val="354" w:hRule="exact"/>
        </w:trPr>
        <w:tc>
          <w:tcPr>
            <w:tcW w:w="647" w:type="dxa"/>
            <w:tcBorders>
              <w:top w:val="nil" w:sz="6" w:space="0" w:color="auto"/>
              <w:left w:val="nil" w:sz="6" w:space="0" w:color="auto"/>
              <w:bottom w:val="nil" w:sz="6" w:space="0" w:color="auto"/>
              <w:right w:val="nil" w:sz="6" w:space="0" w:color="auto"/>
            </w:tcBorders>
          </w:tcPr>
          <w:p>
            <w:pPr/>
          </w:p>
        </w:tc>
        <w:tc>
          <w:tcPr>
            <w:tcW w:w="3074" w:type="dxa"/>
            <w:tcBorders>
              <w:top w:val="nil" w:sz="6" w:space="0" w:color="auto"/>
              <w:left w:val="nil" w:sz="6" w:space="0" w:color="auto"/>
              <w:bottom w:val="single" w:sz="12" w:space="0" w:color="000000"/>
              <w:right w:val="nil" w:sz="6" w:space="0" w:color="auto"/>
            </w:tcBorders>
          </w:tcPr>
          <w:p>
            <w:pPr>
              <w:pStyle w:val="TableParagraph"/>
              <w:spacing w:line="240" w:lineRule="auto" w:before="38"/>
              <w:ind w:right="395"/>
              <w:jc w:val="center"/>
              <w:rPr>
                <w:rFonts w:ascii="宋体" w:hAnsi="宋体" w:cs="宋体" w:eastAsia="宋体" w:hint="default"/>
                <w:sz w:val="16"/>
                <w:szCs w:val="16"/>
              </w:rPr>
            </w:pPr>
            <w:r>
              <w:rPr>
                <w:rFonts w:ascii="宋体" w:hAnsi="宋体" w:cs="宋体" w:eastAsia="宋体" w:hint="default"/>
                <w:sz w:val="16"/>
                <w:szCs w:val="16"/>
              </w:rPr>
              <w:t>合计</w:t>
            </w:r>
          </w:p>
        </w:tc>
        <w:tc>
          <w:tcPr>
            <w:tcW w:w="3056" w:type="dxa"/>
            <w:tcBorders>
              <w:top w:val="nil" w:sz="6" w:space="0" w:color="auto"/>
              <w:left w:val="nil" w:sz="6" w:space="0" w:color="auto"/>
              <w:bottom w:val="single" w:sz="12" w:space="0" w:color="000000"/>
              <w:right w:val="nil" w:sz="6" w:space="0" w:color="auto"/>
            </w:tcBorders>
          </w:tcPr>
          <w:p>
            <w:pPr>
              <w:pStyle w:val="TableParagraph"/>
              <w:spacing w:line="240" w:lineRule="auto" w:before="80"/>
              <w:ind w:left="1455" w:right="0"/>
              <w:jc w:val="left"/>
              <w:rPr>
                <w:rFonts w:ascii="Times New Roman" w:hAnsi="Times New Roman" w:cs="Times New Roman" w:eastAsia="Times New Roman" w:hint="default"/>
                <w:sz w:val="16"/>
                <w:szCs w:val="16"/>
              </w:rPr>
            </w:pPr>
            <w:r>
              <w:rPr>
                <w:rFonts w:ascii="Times New Roman"/>
                <w:sz w:val="16"/>
              </w:rPr>
              <w:t>677,799.76</w:t>
            </w:r>
          </w:p>
        </w:tc>
        <w:tc>
          <w:tcPr>
            <w:tcW w:w="2058" w:type="dxa"/>
            <w:tcBorders>
              <w:top w:val="nil" w:sz="6" w:space="0" w:color="auto"/>
              <w:left w:val="nil" w:sz="6" w:space="0" w:color="auto"/>
              <w:bottom w:val="single" w:sz="12" w:space="0" w:color="000000"/>
              <w:right w:val="nil" w:sz="6" w:space="0" w:color="auto"/>
            </w:tcBorders>
          </w:tcPr>
          <w:p>
            <w:pPr>
              <w:pStyle w:val="TableParagraph"/>
              <w:spacing w:line="240" w:lineRule="auto" w:before="80"/>
              <w:ind w:right="104"/>
              <w:jc w:val="right"/>
              <w:rPr>
                <w:rFonts w:ascii="Times New Roman" w:hAnsi="Times New Roman" w:cs="Times New Roman" w:eastAsia="Times New Roman" w:hint="default"/>
                <w:sz w:val="16"/>
                <w:szCs w:val="16"/>
              </w:rPr>
            </w:pPr>
            <w:r>
              <w:rPr>
                <w:rFonts w:ascii="Times New Roman"/>
                <w:spacing w:val="-1"/>
                <w:w w:val="95"/>
                <w:sz w:val="16"/>
              </w:rPr>
              <w:t>645,311.88</w:t>
            </w:r>
            <w:r>
              <w:rPr>
                <w:rFonts w:ascii="Times New Roman"/>
                <w:spacing w:val="-1"/>
                <w:sz w:val="16"/>
              </w:rPr>
            </w:r>
          </w:p>
        </w:tc>
      </w:tr>
      <w:tr>
        <w:trPr>
          <w:trHeight w:val="829" w:hRule="exact"/>
        </w:trPr>
        <w:tc>
          <w:tcPr>
            <w:tcW w:w="647" w:type="dxa"/>
            <w:tcBorders>
              <w:top w:val="nil" w:sz="6" w:space="0" w:color="auto"/>
              <w:left w:val="nil" w:sz="6" w:space="0" w:color="auto"/>
              <w:bottom w:val="nil" w:sz="6" w:space="0" w:color="auto"/>
              <w:right w:val="nil" w:sz="6" w:space="0" w:color="auto"/>
            </w:tcBorders>
          </w:tcPr>
          <w:p>
            <w:pPr/>
          </w:p>
        </w:tc>
        <w:tc>
          <w:tcPr>
            <w:tcW w:w="3074" w:type="dxa"/>
            <w:tcBorders>
              <w:top w:val="single" w:sz="12" w:space="0" w:color="000000"/>
              <w:left w:val="nil" w:sz="6" w:space="0" w:color="auto"/>
              <w:bottom w:val="single" w:sz="12"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10"/>
              <w:ind w:right="0"/>
              <w:jc w:val="left"/>
              <w:rPr>
                <w:rFonts w:ascii="Times New Roman" w:hAnsi="Times New Roman" w:cs="Times New Roman" w:eastAsia="Times New Roman" w:hint="default"/>
                <w:sz w:val="20"/>
                <w:szCs w:val="20"/>
              </w:rPr>
            </w:pPr>
          </w:p>
          <w:p>
            <w:pPr>
              <w:pStyle w:val="TableParagraph"/>
              <w:tabs>
                <w:tab w:pos="647" w:val="left" w:leader="none"/>
              </w:tabs>
              <w:spacing w:line="240" w:lineRule="auto"/>
              <w:ind w:left="97" w:right="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pacing w:val="1"/>
                <w:sz w:val="21"/>
                <w:szCs w:val="21"/>
              </w:rPr>
              <w:t>应收股利</w:t>
            </w:r>
            <w:r>
              <w:rPr>
                <w:rFonts w:ascii="宋体" w:hAnsi="宋体" w:cs="宋体" w:eastAsia="宋体" w:hint="default"/>
                <w:sz w:val="21"/>
                <w:szCs w:val="21"/>
              </w:rPr>
            </w:r>
          </w:p>
        </w:tc>
        <w:tc>
          <w:tcPr>
            <w:tcW w:w="3056" w:type="dxa"/>
            <w:tcBorders>
              <w:top w:val="single" w:sz="12" w:space="0" w:color="000000"/>
              <w:left w:val="nil" w:sz="6" w:space="0" w:color="auto"/>
              <w:bottom w:val="single" w:sz="12" w:space="0" w:color="000000"/>
              <w:right w:val="nil" w:sz="6" w:space="0" w:color="auto"/>
            </w:tcBorders>
          </w:tcPr>
          <w:p>
            <w:pPr/>
          </w:p>
        </w:tc>
        <w:tc>
          <w:tcPr>
            <w:tcW w:w="2058" w:type="dxa"/>
            <w:tcBorders>
              <w:top w:val="single" w:sz="12" w:space="0" w:color="000000"/>
              <w:left w:val="nil" w:sz="6" w:space="0" w:color="auto"/>
              <w:bottom w:val="single" w:sz="12" w:space="0" w:color="000000"/>
              <w:right w:val="nil" w:sz="6" w:space="0" w:color="auto"/>
            </w:tcBorders>
          </w:tcPr>
          <w:p>
            <w:pPr/>
          </w:p>
        </w:tc>
      </w:tr>
      <w:tr>
        <w:trPr>
          <w:trHeight w:val="358" w:hRule="exact"/>
        </w:trPr>
        <w:tc>
          <w:tcPr>
            <w:tcW w:w="647" w:type="dxa"/>
            <w:tcBorders>
              <w:top w:val="nil" w:sz="6" w:space="0" w:color="auto"/>
              <w:left w:val="nil" w:sz="6" w:space="0" w:color="auto"/>
              <w:bottom w:val="nil" w:sz="6" w:space="0" w:color="auto"/>
              <w:right w:val="nil" w:sz="6" w:space="0" w:color="auto"/>
            </w:tcBorders>
          </w:tcPr>
          <w:p>
            <w:pPr/>
          </w:p>
        </w:tc>
        <w:tc>
          <w:tcPr>
            <w:tcW w:w="3074" w:type="dxa"/>
            <w:tcBorders>
              <w:top w:val="single" w:sz="12" w:space="0" w:color="000000"/>
              <w:left w:val="nil" w:sz="6" w:space="0" w:color="auto"/>
              <w:bottom w:val="nil" w:sz="6" w:space="0" w:color="auto"/>
              <w:right w:val="nil" w:sz="6" w:space="0" w:color="auto"/>
            </w:tcBorders>
          </w:tcPr>
          <w:p>
            <w:pPr>
              <w:pStyle w:val="TableParagraph"/>
              <w:spacing w:line="240" w:lineRule="auto" w:before="38"/>
              <w:ind w:left="853" w:right="0"/>
              <w:jc w:val="left"/>
              <w:rPr>
                <w:rFonts w:ascii="宋体" w:hAnsi="宋体" w:cs="宋体" w:eastAsia="宋体" w:hint="default"/>
                <w:sz w:val="16"/>
                <w:szCs w:val="16"/>
              </w:rPr>
            </w:pPr>
            <w:r>
              <w:rPr>
                <w:rFonts w:ascii="宋体" w:hAnsi="宋体" w:cs="宋体" w:eastAsia="宋体" w:hint="default"/>
                <w:sz w:val="16"/>
                <w:szCs w:val="16"/>
              </w:rPr>
              <w:t>项目（或被投资单位）</w:t>
            </w:r>
          </w:p>
        </w:tc>
        <w:tc>
          <w:tcPr>
            <w:tcW w:w="3056" w:type="dxa"/>
            <w:tcBorders>
              <w:top w:val="single" w:sz="12" w:space="0" w:color="000000"/>
              <w:left w:val="nil" w:sz="6" w:space="0" w:color="auto"/>
              <w:bottom w:val="nil" w:sz="6" w:space="0" w:color="auto"/>
              <w:right w:val="nil" w:sz="6" w:space="0" w:color="auto"/>
            </w:tcBorders>
          </w:tcPr>
          <w:p>
            <w:pPr>
              <w:pStyle w:val="TableParagraph"/>
              <w:spacing w:line="240" w:lineRule="auto" w:before="38"/>
              <w:ind w:right="153"/>
              <w:jc w:val="center"/>
              <w:rPr>
                <w:rFonts w:ascii="宋体" w:hAnsi="宋体" w:cs="宋体" w:eastAsia="宋体" w:hint="default"/>
                <w:sz w:val="16"/>
                <w:szCs w:val="16"/>
              </w:rPr>
            </w:pPr>
            <w:r>
              <w:rPr>
                <w:rFonts w:ascii="宋体" w:hAnsi="宋体" w:cs="宋体" w:eastAsia="宋体" w:hint="default"/>
                <w:sz w:val="16"/>
                <w:szCs w:val="16"/>
              </w:rPr>
              <w:t>期末余额</w:t>
            </w:r>
          </w:p>
        </w:tc>
        <w:tc>
          <w:tcPr>
            <w:tcW w:w="2058" w:type="dxa"/>
            <w:tcBorders>
              <w:top w:val="single" w:sz="12" w:space="0" w:color="000000"/>
              <w:left w:val="nil" w:sz="6" w:space="0" w:color="auto"/>
              <w:bottom w:val="nil" w:sz="6" w:space="0" w:color="auto"/>
              <w:right w:val="nil" w:sz="6" w:space="0" w:color="auto"/>
            </w:tcBorders>
          </w:tcPr>
          <w:p>
            <w:pPr>
              <w:pStyle w:val="TableParagraph"/>
              <w:spacing w:line="240" w:lineRule="auto" w:before="38"/>
              <w:ind w:left="517" w:right="0"/>
              <w:jc w:val="left"/>
              <w:rPr>
                <w:rFonts w:ascii="宋体" w:hAnsi="宋体" w:cs="宋体" w:eastAsia="宋体" w:hint="default"/>
                <w:sz w:val="16"/>
                <w:szCs w:val="16"/>
              </w:rPr>
            </w:pPr>
            <w:r>
              <w:rPr>
                <w:rFonts w:ascii="宋体" w:hAnsi="宋体" w:cs="宋体" w:eastAsia="宋体" w:hint="default"/>
                <w:sz w:val="16"/>
                <w:szCs w:val="16"/>
              </w:rPr>
              <w:t>年初余额</w:t>
            </w:r>
          </w:p>
        </w:tc>
      </w:tr>
      <w:tr>
        <w:trPr>
          <w:trHeight w:val="356" w:hRule="exact"/>
        </w:trPr>
        <w:tc>
          <w:tcPr>
            <w:tcW w:w="647" w:type="dxa"/>
            <w:tcBorders>
              <w:top w:val="nil" w:sz="6" w:space="0" w:color="auto"/>
              <w:left w:val="nil" w:sz="6" w:space="0" w:color="auto"/>
              <w:bottom w:val="nil" w:sz="6" w:space="0" w:color="auto"/>
              <w:right w:val="nil" w:sz="6" w:space="0" w:color="auto"/>
            </w:tcBorders>
          </w:tcPr>
          <w:p>
            <w:pPr/>
          </w:p>
        </w:tc>
        <w:tc>
          <w:tcPr>
            <w:tcW w:w="3074"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07" w:right="0"/>
              <w:jc w:val="left"/>
              <w:rPr>
                <w:rFonts w:ascii="宋体" w:hAnsi="宋体" w:cs="宋体" w:eastAsia="宋体" w:hint="default"/>
                <w:sz w:val="16"/>
                <w:szCs w:val="16"/>
              </w:rPr>
            </w:pPr>
            <w:r>
              <w:rPr>
                <w:rFonts w:ascii="宋体" w:hAnsi="宋体" w:cs="宋体" w:eastAsia="宋体" w:hint="default"/>
                <w:sz w:val="16"/>
                <w:szCs w:val="16"/>
              </w:rPr>
              <w:t>东方证券股份有限公司</w:t>
            </w:r>
          </w:p>
        </w:tc>
        <w:tc>
          <w:tcPr>
            <w:tcW w:w="3056" w:type="dxa"/>
            <w:tcBorders>
              <w:top w:val="nil" w:sz="6" w:space="0" w:color="auto"/>
              <w:left w:val="nil" w:sz="6" w:space="0" w:color="auto"/>
              <w:bottom w:val="nil" w:sz="6" w:space="0" w:color="auto"/>
              <w:right w:val="nil" w:sz="6" w:space="0" w:color="auto"/>
            </w:tcBorders>
          </w:tcPr>
          <w:p>
            <w:pPr>
              <w:pStyle w:val="TableParagraph"/>
              <w:spacing w:line="240" w:lineRule="auto" w:before="87"/>
              <w:ind w:left="1643" w:right="0"/>
              <w:jc w:val="left"/>
              <w:rPr>
                <w:rFonts w:ascii="Times New Roman" w:hAnsi="Times New Roman" w:cs="Times New Roman" w:eastAsia="Times New Roman" w:hint="default"/>
                <w:sz w:val="16"/>
                <w:szCs w:val="16"/>
              </w:rPr>
            </w:pPr>
            <w:r>
              <w:rPr>
                <w:rFonts w:ascii="Times New Roman"/>
                <w:sz w:val="16"/>
              </w:rPr>
              <w:t>14,000,000.00</w:t>
            </w:r>
          </w:p>
        </w:tc>
        <w:tc>
          <w:tcPr>
            <w:tcW w:w="2058"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04"/>
              <w:jc w:val="right"/>
              <w:rPr>
                <w:rFonts w:ascii="Times New Roman" w:hAnsi="Times New Roman" w:cs="Times New Roman" w:eastAsia="Times New Roman" w:hint="default"/>
                <w:sz w:val="16"/>
                <w:szCs w:val="16"/>
              </w:rPr>
            </w:pPr>
            <w:r>
              <w:rPr>
                <w:rFonts w:ascii="Times New Roman"/>
                <w:spacing w:val="-1"/>
                <w:sz w:val="16"/>
              </w:rPr>
              <w:t>10,000,000.00</w:t>
            </w:r>
          </w:p>
        </w:tc>
      </w:tr>
      <w:tr>
        <w:trPr>
          <w:trHeight w:val="354" w:hRule="exact"/>
        </w:trPr>
        <w:tc>
          <w:tcPr>
            <w:tcW w:w="647" w:type="dxa"/>
            <w:tcBorders>
              <w:top w:val="nil" w:sz="6" w:space="0" w:color="auto"/>
              <w:left w:val="nil" w:sz="6" w:space="0" w:color="auto"/>
              <w:bottom w:val="nil" w:sz="6" w:space="0" w:color="auto"/>
              <w:right w:val="nil" w:sz="6" w:space="0" w:color="auto"/>
            </w:tcBorders>
          </w:tcPr>
          <w:p>
            <w:pPr/>
          </w:p>
        </w:tc>
        <w:tc>
          <w:tcPr>
            <w:tcW w:w="3074" w:type="dxa"/>
            <w:tcBorders>
              <w:top w:val="nil" w:sz="6" w:space="0" w:color="auto"/>
              <w:left w:val="nil" w:sz="6" w:space="0" w:color="auto"/>
              <w:bottom w:val="single" w:sz="12" w:space="0" w:color="000000"/>
              <w:right w:val="nil" w:sz="6" w:space="0" w:color="auto"/>
            </w:tcBorders>
          </w:tcPr>
          <w:p>
            <w:pPr>
              <w:pStyle w:val="TableParagraph"/>
              <w:spacing w:line="240" w:lineRule="auto" w:before="38"/>
              <w:ind w:left="231" w:right="0"/>
              <w:jc w:val="center"/>
              <w:rPr>
                <w:rFonts w:ascii="宋体" w:hAnsi="宋体" w:cs="宋体" w:eastAsia="宋体" w:hint="default"/>
                <w:sz w:val="16"/>
                <w:szCs w:val="16"/>
              </w:rPr>
            </w:pPr>
            <w:r>
              <w:rPr>
                <w:rFonts w:ascii="宋体" w:hAnsi="宋体" w:cs="宋体" w:eastAsia="宋体" w:hint="default"/>
                <w:sz w:val="16"/>
                <w:szCs w:val="16"/>
              </w:rPr>
              <w:t>合计</w:t>
            </w:r>
          </w:p>
        </w:tc>
        <w:tc>
          <w:tcPr>
            <w:tcW w:w="3056" w:type="dxa"/>
            <w:tcBorders>
              <w:top w:val="nil" w:sz="6" w:space="0" w:color="auto"/>
              <w:left w:val="nil" w:sz="6" w:space="0" w:color="auto"/>
              <w:bottom w:val="single" w:sz="12" w:space="0" w:color="000000"/>
              <w:right w:val="nil" w:sz="6" w:space="0" w:color="auto"/>
            </w:tcBorders>
          </w:tcPr>
          <w:p>
            <w:pPr>
              <w:pStyle w:val="TableParagraph"/>
              <w:spacing w:line="240" w:lineRule="auto" w:before="80"/>
              <w:ind w:left="1643" w:right="0"/>
              <w:jc w:val="left"/>
              <w:rPr>
                <w:rFonts w:ascii="Times New Roman" w:hAnsi="Times New Roman" w:cs="Times New Roman" w:eastAsia="Times New Roman" w:hint="default"/>
                <w:sz w:val="16"/>
                <w:szCs w:val="16"/>
              </w:rPr>
            </w:pPr>
            <w:r>
              <w:rPr>
                <w:rFonts w:ascii="Times New Roman"/>
                <w:sz w:val="16"/>
              </w:rPr>
              <w:t>14,000,000.00</w:t>
            </w:r>
          </w:p>
        </w:tc>
        <w:tc>
          <w:tcPr>
            <w:tcW w:w="2058" w:type="dxa"/>
            <w:tcBorders>
              <w:top w:val="nil" w:sz="6" w:space="0" w:color="auto"/>
              <w:left w:val="nil" w:sz="6" w:space="0" w:color="auto"/>
              <w:bottom w:val="single" w:sz="12" w:space="0" w:color="000000"/>
              <w:right w:val="nil" w:sz="6" w:space="0" w:color="auto"/>
            </w:tcBorders>
          </w:tcPr>
          <w:p>
            <w:pPr>
              <w:pStyle w:val="TableParagraph"/>
              <w:spacing w:line="240" w:lineRule="auto" w:before="80"/>
              <w:ind w:right="104"/>
              <w:jc w:val="right"/>
              <w:rPr>
                <w:rFonts w:ascii="Times New Roman" w:hAnsi="Times New Roman" w:cs="Times New Roman" w:eastAsia="Times New Roman" w:hint="default"/>
                <w:sz w:val="16"/>
                <w:szCs w:val="16"/>
              </w:rPr>
            </w:pPr>
            <w:r>
              <w:rPr>
                <w:rFonts w:ascii="Times New Roman"/>
                <w:spacing w:val="-1"/>
                <w:sz w:val="16"/>
              </w:rPr>
              <w:t>10,000,000.00</w:t>
            </w:r>
          </w:p>
        </w:tc>
      </w:tr>
    </w:tbl>
    <w:p>
      <w:pPr>
        <w:spacing w:after="0" w:line="240" w:lineRule="auto"/>
        <w:jc w:val="right"/>
        <w:rPr>
          <w:rFonts w:ascii="Times New Roman" w:hAnsi="Times New Roman" w:cs="Times New Roman" w:eastAsia="Times New Roman" w:hint="default"/>
          <w:sz w:val="16"/>
          <w:szCs w:val="16"/>
        </w:rPr>
        <w:sectPr>
          <w:pgSz w:w="11910" w:h="16840"/>
          <w:pgMar w:header="0" w:footer="1001" w:top="1520" w:bottom="1200" w:left="1660" w:right="0"/>
        </w:sectPr>
      </w:pPr>
    </w:p>
    <w:p>
      <w:pPr>
        <w:spacing w:before="142"/>
        <w:ind w:left="139" w:right="9623" w:firstLine="0"/>
        <w:jc w:val="left"/>
        <w:rPr>
          <w:rFonts w:ascii="宋体" w:hAnsi="宋体" w:cs="宋体" w:eastAsia="宋体" w:hint="default"/>
          <w:sz w:val="18"/>
          <w:szCs w:val="18"/>
        </w:rPr>
      </w:pPr>
      <w:r>
        <w:rPr>
          <w:rFonts w:ascii="宋体" w:hAnsi="宋体" w:cs="宋体" w:eastAsia="宋体" w:hint="default"/>
          <w:sz w:val="18"/>
          <w:szCs w:val="18"/>
        </w:rPr>
        <w:t>财务报表附注</w:t>
      </w:r>
    </w:p>
    <w:p>
      <w:pPr>
        <w:spacing w:line="240" w:lineRule="auto" w:before="7"/>
        <w:rPr>
          <w:rFonts w:ascii="宋体" w:hAnsi="宋体" w:cs="宋体" w:eastAsia="宋体" w:hint="default"/>
          <w:sz w:val="3"/>
          <w:szCs w:val="3"/>
        </w:r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701.5pt;height:.5pt;mso-position-horizontal-relative:char;mso-position-vertical-relative:line" coordorigin="0,0" coordsize="14030,10">
            <v:group style="position:absolute;left:5;top:5;width:14020;height:2" coordorigin="5,5" coordsize="14020,2">
              <v:shape style="position:absolute;left:5;top:5;width:14020;height:2" coordorigin="5,5" coordsize="14020,0" path="m5,5l14024,5e" filled="false" stroked="true" strokeweight=".48pt" strokecolor="#000000">
                <v:path arrowok="t"/>
              </v:shape>
            </v:group>
          </v:group>
        </w:pict>
      </w:r>
      <w:r>
        <w:rPr>
          <w:rFonts w:ascii="宋体" w:hAnsi="宋体" w:cs="宋体" w:eastAsia="宋体" w:hint="default"/>
          <w:sz w:val="2"/>
          <w:szCs w:val="2"/>
        </w:rPr>
      </w:r>
    </w:p>
    <w:p>
      <w:pPr>
        <w:spacing w:line="240" w:lineRule="auto" w:before="6"/>
        <w:rPr>
          <w:rFonts w:ascii="宋体" w:hAnsi="宋体" w:cs="宋体" w:eastAsia="宋体" w:hint="default"/>
          <w:sz w:val="23"/>
          <w:szCs w:val="23"/>
        </w:rPr>
      </w:pPr>
    </w:p>
    <w:p>
      <w:pPr>
        <w:pStyle w:val="Heading5"/>
        <w:tabs>
          <w:tab w:pos="1399" w:val="left" w:leader="none"/>
        </w:tabs>
        <w:spacing w:line="240" w:lineRule="auto"/>
        <w:ind w:left="849" w:right="9623"/>
        <w:jc w:val="left"/>
        <w:rPr>
          <w:b w:val="0"/>
          <w:bCs w:val="0"/>
        </w:rPr>
      </w:pPr>
      <w:r>
        <w:rPr>
          <w:rFonts w:ascii="Times New Roman" w:hAnsi="Times New Roman" w:cs="Times New Roman" w:eastAsia="Times New Roman" w:hint="default"/>
          <w:w w:val="95"/>
        </w:rPr>
        <w:t>3</w:t>
      </w:r>
      <w:r>
        <w:rPr>
          <w:w w:val="95"/>
        </w:rPr>
        <w:t>、</w:t>
        <w:tab/>
      </w:r>
      <w:r>
        <w:rPr/>
        <w:t>其他应收款</w:t>
      </w:r>
      <w:r>
        <w:rPr>
          <w:b w:val="0"/>
          <w:bCs w:val="0"/>
        </w:rPr>
      </w:r>
    </w:p>
    <w:p>
      <w:pPr>
        <w:pStyle w:val="BodyText"/>
        <w:spacing w:line="240" w:lineRule="auto"/>
        <w:ind w:left="1415" w:right="9623"/>
        <w:jc w:val="left"/>
      </w:pPr>
      <w:r>
        <w:rPr/>
        <w:pict>
          <v:group style="position:absolute;margin-left:101.121002pt;margin-top:20.773216pt;width:682.65pt;height:167.8pt;mso-position-horizontal-relative:page;mso-position-vertical-relative:paragraph;z-index:-1395640" coordorigin="2022,415" coordsize="13653,3356">
            <v:group style="position:absolute;left:2052;top:430;width:2225;height:2" coordorigin="2052,430" coordsize="2225,2">
              <v:shape style="position:absolute;left:2052;top:430;width:2225;height:2" coordorigin="2052,430" coordsize="2225,0" path="m2052,430l4277,430e" filled="false" stroked="true" strokeweight="1.5pt" strokecolor="#000000">
                <v:path arrowok="t"/>
              </v:shape>
              <v:shape style="position:absolute;left:4277;top:445;width:10;height:28" type="#_x0000_t75" stroked="false">
                <v:imagedata r:id="rId74" o:title=""/>
              </v:shape>
            </v:group>
            <v:group style="position:absolute;left:4277;top:430;width:5729;height:2" coordorigin="4277,430" coordsize="5729,2">
              <v:shape style="position:absolute;left:4277;top:430;width:5729;height:2" coordorigin="4277,430" coordsize="5729,0" path="m4277,430l10005,430e" filled="false" stroked="true" strokeweight="1.5pt" strokecolor="#000000">
                <v:path arrowok="t"/>
              </v:shape>
              <v:shape style="position:absolute;left:10005;top:445;width:10;height:28" type="#_x0000_t75" stroked="false">
                <v:imagedata r:id="rId74" o:title=""/>
              </v:shape>
            </v:group>
            <v:group style="position:absolute;left:10005;top:430;width:5655;height:2" coordorigin="10005,430" coordsize="5655,2">
              <v:shape style="position:absolute;left:10005;top:430;width:5655;height:2" coordorigin="10005,430" coordsize="5655,0" path="m10005,430l15660,430e" filled="false" stroked="true" strokeweight="1.5pt" strokecolor="#000000">
                <v:path arrowok="t"/>
              </v:shape>
              <v:shape style="position:absolute;left:4257;top:454;width:5777;height:354" type="#_x0000_t75" stroked="false">
                <v:imagedata r:id="rId125" o:title=""/>
              </v:shape>
              <v:shape style="position:absolute;left:4264;top:776;width:11411;height:380" type="#_x0000_t75" stroked="false">
                <v:imagedata r:id="rId126" o:title=""/>
              </v:shape>
              <v:shape style="position:absolute;left:4257;top:1123;width:10061;height:599" type="#_x0000_t75" stroked="false">
                <v:imagedata r:id="rId127" o:title=""/>
              </v:shape>
            </v:group>
            <v:group style="position:absolute;left:2037;top:3756;width:2240;height:2" coordorigin="2037,3756" coordsize="2240,2">
              <v:shape style="position:absolute;left:2037;top:3756;width:2240;height:2" coordorigin="2037,3756" coordsize="2240,0" path="m2037,3756l4277,3756e" filled="false" stroked="true" strokeweight="1.5pt" strokecolor="#000000">
                <v:path arrowok="t"/>
              </v:shape>
            </v:group>
            <v:group style="position:absolute;left:4277;top:3756;width:30;height:2" coordorigin="4277,3756" coordsize="30,2">
              <v:shape style="position:absolute;left:4277;top:3756;width:30;height:2" coordorigin="4277,3756" coordsize="30,0" path="m4277,3756l4307,3756e" filled="false" stroked="true" strokeweight="1.5pt" strokecolor="#000000">
                <v:path arrowok="t"/>
              </v:shape>
            </v:group>
            <v:group style="position:absolute;left:4307;top:3756;width:1385;height:2" coordorigin="4307,3756" coordsize="1385,2">
              <v:shape style="position:absolute;left:4307;top:3756;width:1385;height:2" coordorigin="4307,3756" coordsize="1385,0" path="m4307,3756l5691,3756e" filled="false" stroked="true" strokeweight="1.5pt" strokecolor="#000000">
                <v:path arrowok="t"/>
              </v:shape>
            </v:group>
            <v:group style="position:absolute;left:5691;top:3756;width:734;height:2" coordorigin="5691,3756" coordsize="734,2">
              <v:shape style="position:absolute;left:5691;top:3756;width:734;height:2" coordorigin="5691,3756" coordsize="734,0" path="m5691,3756l6425,3756e" filled="false" stroked="true" strokeweight="1.5pt" strokecolor="#000000">
                <v:path arrowok="t"/>
              </v:shape>
            </v:group>
            <v:group style="position:absolute;left:6425;top:3756;width:1290;height:2" coordorigin="6425,3756" coordsize="1290,2">
              <v:shape style="position:absolute;left:6425;top:3756;width:1290;height:2" coordorigin="6425,3756" coordsize="1290,0" path="m6425,3756l7715,3756e" filled="false" stroked="true" strokeweight="1.5pt" strokecolor="#000000">
                <v:path arrowok="t"/>
              </v:shape>
            </v:group>
            <v:group style="position:absolute;left:7715;top:3756;width:860;height:2" coordorigin="7715,3756" coordsize="860,2">
              <v:shape style="position:absolute;left:7715;top:3756;width:860;height:2" coordorigin="7715,3756" coordsize="860,0" path="m7715,3756l8574,3756e" filled="false" stroked="true" strokeweight="1.5pt" strokecolor="#000000">
                <v:path arrowok="t"/>
              </v:shape>
            </v:group>
            <v:group style="position:absolute;left:8574;top:3756;width:1432;height:2" coordorigin="8574,3756" coordsize="1432,2">
              <v:shape style="position:absolute;left:8574;top:3756;width:1432;height:2" coordorigin="8574,3756" coordsize="1432,0" path="m8574,3756l10005,3756e" filled="false" stroked="true" strokeweight="1.5pt" strokecolor="#000000">
                <v:path arrowok="t"/>
              </v:shape>
            </v:group>
            <v:group style="position:absolute;left:10005;top:3756;width:1350;height:2" coordorigin="10005,3756" coordsize="1350,2">
              <v:shape style="position:absolute;left:10005;top:3756;width:1350;height:2" coordorigin="10005,3756" coordsize="1350,0" path="m10005,3756l11355,3756e" filled="false" stroked="true" strokeweight="1.5pt" strokecolor="#000000">
                <v:path arrowok="t"/>
              </v:shape>
            </v:group>
            <v:group style="position:absolute;left:11355;top:3756;width:734;height:2" coordorigin="11355,3756" coordsize="734,2">
              <v:shape style="position:absolute;left:11355;top:3756;width:734;height:2" coordorigin="11355,3756" coordsize="734,0" path="m11355,3756l12089,3756e" filled="false" stroked="true" strokeweight="1.5pt" strokecolor="#000000">
                <v:path arrowok="t"/>
              </v:shape>
            </v:group>
            <v:group style="position:absolute;left:12089;top:3756;width:1350;height:2" coordorigin="12089,3756" coordsize="1350,2">
              <v:shape style="position:absolute;left:12089;top:3756;width:1350;height:2" coordorigin="12089,3756" coordsize="1350,0" path="m12089,3756l13439,3756e" filled="false" stroked="true" strokeweight="1.5pt" strokecolor="#000000">
                <v:path arrowok="t"/>
              </v:shape>
            </v:group>
            <v:group style="position:absolute;left:13439;top:3756;width:851;height:2" coordorigin="13439,3756" coordsize="851,2">
              <v:shape style="position:absolute;left:13439;top:3756;width:851;height:2" coordorigin="13439,3756" coordsize="851,0" path="m13439,3756l14289,3756e" filled="false" stroked="true" strokeweight="1.5pt" strokecolor="#000000">
                <v:path arrowok="t"/>
              </v:shape>
              <v:shape style="position:absolute;left:2039;top:1690;width:13636;height:2050" type="#_x0000_t75" stroked="false">
                <v:imagedata r:id="rId128" o:title=""/>
              </v:shape>
            </v:group>
            <v:group style="position:absolute;left:14289;top:3756;width:1371;height:2" coordorigin="14289,3756" coordsize="1371,2">
              <v:shape style="position:absolute;left:14289;top:3756;width:1371;height:2" coordorigin="14289,3756" coordsize="1371,0" path="m14289,3756l15660,3756e" filled="false" stroked="true" strokeweight="1.5pt" strokecolor="#000000">
                <v:path arrowok="t"/>
              </v:shape>
              <v:shape style="position:absolute;left:6824;top:53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12515;top:53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年初余额</w:t>
                      </w:r>
                      <w:r>
                        <w:rPr>
                          <w:rFonts w:ascii="宋体" w:hAnsi="宋体" w:cs="宋体" w:eastAsia="宋体" w:hint="default"/>
                          <w:sz w:val="16"/>
                          <w:szCs w:val="16"/>
                        </w:rPr>
                      </w:r>
                    </w:p>
                  </w:txbxContent>
                </v:textbox>
                <w10:wrap type="none"/>
              </v:shape>
              <v:shape style="position:absolute;left:3006;top:995;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类别</w:t>
                      </w:r>
                      <w:r>
                        <w:rPr>
                          <w:rFonts w:ascii="宋体" w:hAnsi="宋体" w:cs="宋体" w:eastAsia="宋体" w:hint="default"/>
                          <w:sz w:val="16"/>
                          <w:szCs w:val="16"/>
                        </w:rPr>
                      </w:r>
                    </w:p>
                  </w:txbxContent>
                </v:textbox>
                <w10:wrap type="none"/>
              </v:shape>
              <v:shape style="position:absolute;left:5035;top:890;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账面余额</w:t>
                      </w:r>
                      <w:r>
                        <w:rPr>
                          <w:rFonts w:ascii="宋体" w:hAnsi="宋体" w:cs="宋体" w:eastAsia="宋体" w:hint="default"/>
                          <w:sz w:val="16"/>
                          <w:szCs w:val="16"/>
                        </w:rPr>
                      </w:r>
                    </w:p>
                  </w:txbxContent>
                </v:textbox>
                <w10:wrap type="none"/>
              </v:shape>
              <v:shape style="position:absolute;left:7184;top:890;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坏账准备</w:t>
                      </w:r>
                      <w:r>
                        <w:rPr>
                          <w:rFonts w:ascii="宋体" w:hAnsi="宋体" w:cs="宋体" w:eastAsia="宋体" w:hint="default"/>
                          <w:sz w:val="16"/>
                          <w:szCs w:val="16"/>
                        </w:rPr>
                      </w:r>
                    </w:p>
                  </w:txbxContent>
                </v:textbox>
                <w10:wrap type="none"/>
              </v:shape>
              <v:shape style="position:absolute;left:10733;top:890;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账面余额</w:t>
                      </w:r>
                      <w:r>
                        <w:rPr>
                          <w:rFonts w:ascii="宋体" w:hAnsi="宋体" w:cs="宋体" w:eastAsia="宋体" w:hint="default"/>
                          <w:sz w:val="16"/>
                          <w:szCs w:val="16"/>
                        </w:rPr>
                      </w:r>
                    </w:p>
                  </w:txbxContent>
                </v:textbox>
                <w10:wrap type="none"/>
              </v:shape>
              <v:shape style="position:absolute;left:12873;top:890;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坏账准备</w:t>
                      </w:r>
                      <w:r>
                        <w:rPr>
                          <w:rFonts w:ascii="宋体" w:hAnsi="宋体" w:cs="宋体" w:eastAsia="宋体" w:hint="default"/>
                          <w:sz w:val="16"/>
                          <w:szCs w:val="16"/>
                        </w:rPr>
                      </w:r>
                    </w:p>
                  </w:txbxContent>
                </v:textbox>
                <w10:wrap type="none"/>
              </v:shape>
              <v:shape style="position:absolute;left:8975;top:1171;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账面价值</w:t>
                      </w:r>
                      <w:r>
                        <w:rPr>
                          <w:rFonts w:ascii="宋体" w:hAnsi="宋体" w:cs="宋体" w:eastAsia="宋体" w:hint="default"/>
                          <w:sz w:val="16"/>
                          <w:szCs w:val="16"/>
                        </w:rPr>
                      </w:r>
                    </w:p>
                  </w:txbxContent>
                </v:textbox>
                <w10:wrap type="none"/>
              </v:shape>
              <v:shape style="position:absolute;left:4827;top:1348;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金额</w:t>
                      </w:r>
                      <w:r>
                        <w:rPr>
                          <w:rFonts w:ascii="宋体" w:hAnsi="宋体" w:cs="宋体" w:eastAsia="宋体" w:hint="default"/>
                          <w:sz w:val="16"/>
                          <w:szCs w:val="16"/>
                        </w:rPr>
                      </w:r>
                    </w:p>
                  </w:txbxContent>
                </v:textbox>
                <w10:wrap type="none"/>
              </v:shape>
              <v:shape style="position:absolute;left:5837;top:1244;width:453;height:376" type="#_x0000_t202" filled="false" stroked="false">
                <v:textbox inset="0,0,0,0">
                  <w:txbxContent>
                    <w:p>
                      <w:pPr>
                        <w:spacing w:line="159" w:lineRule="exact" w:before="0"/>
                        <w:ind w:left="65" w:right="0" w:firstLine="0"/>
                        <w:jc w:val="left"/>
                        <w:rPr>
                          <w:rFonts w:ascii="宋体" w:hAnsi="宋体" w:cs="宋体" w:eastAsia="宋体" w:hint="default"/>
                          <w:sz w:val="16"/>
                          <w:szCs w:val="16"/>
                        </w:rPr>
                      </w:pPr>
                      <w:r>
                        <w:rPr>
                          <w:rFonts w:ascii="宋体" w:hAnsi="宋体" w:cs="宋体" w:eastAsia="宋体" w:hint="default"/>
                          <w:sz w:val="16"/>
                          <w:szCs w:val="16"/>
                        </w:rPr>
                        <w:t>比例</w:t>
                      </w:r>
                    </w:p>
                    <w:p>
                      <w:pPr>
                        <w:spacing w:line="217"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w:t>
                      </w:r>
                      <w:r>
                        <w:rPr>
                          <w:rFonts w:ascii="Times New Roman" w:hAnsi="Times New Roman" w:cs="Times New Roman" w:eastAsia="Times New Roman" w:hint="default"/>
                          <w:w w:val="95"/>
                          <w:sz w:val="16"/>
                          <w:szCs w:val="16"/>
                        </w:rPr>
                        <w:t>%</w:t>
                      </w:r>
                      <w:r>
                        <w:rPr>
                          <w:rFonts w:ascii="宋体" w:hAnsi="宋体" w:cs="宋体" w:eastAsia="宋体" w:hint="default"/>
                          <w:w w:val="95"/>
                          <w:sz w:val="16"/>
                          <w:szCs w:val="16"/>
                        </w:rPr>
                        <w:t>）</w:t>
                      </w:r>
                      <w:r>
                        <w:rPr>
                          <w:rFonts w:ascii="宋体" w:hAnsi="宋体" w:cs="宋体" w:eastAsia="宋体" w:hint="default"/>
                          <w:sz w:val="16"/>
                          <w:szCs w:val="16"/>
                        </w:rPr>
                      </w:r>
                    </w:p>
                  </w:txbxContent>
                </v:textbox>
                <w10:wrap type="none"/>
              </v:shape>
              <v:shape style="position:absolute;left:6914;top:1348;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金额</w:t>
                      </w:r>
                      <w:r>
                        <w:rPr>
                          <w:rFonts w:ascii="宋体" w:hAnsi="宋体" w:cs="宋体" w:eastAsia="宋体" w:hint="default"/>
                          <w:sz w:val="16"/>
                          <w:szCs w:val="16"/>
                        </w:rPr>
                      </w:r>
                    </w:p>
                  </w:txbxContent>
                </v:textbox>
                <w10:wrap type="none"/>
              </v:shape>
              <v:shape style="position:absolute;left:7829;top:1244;width:639;height:376"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计提比例</w:t>
                      </w:r>
                      <w:r>
                        <w:rPr>
                          <w:rFonts w:ascii="宋体" w:hAnsi="宋体" w:cs="宋体" w:eastAsia="宋体" w:hint="default"/>
                          <w:sz w:val="16"/>
                          <w:szCs w:val="16"/>
                        </w:rPr>
                      </w:r>
                    </w:p>
                    <w:p>
                      <w:pPr>
                        <w:spacing w:line="217" w:lineRule="exact" w:before="0"/>
                        <w:ind w:left="93" w:right="0" w:firstLine="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w:t>
                      </w:r>
                      <w:r>
                        <w:rPr>
                          <w:rFonts w:ascii="宋体" w:hAnsi="宋体" w:cs="宋体" w:eastAsia="宋体" w:hint="default"/>
                          <w:sz w:val="16"/>
                          <w:szCs w:val="16"/>
                        </w:rPr>
                        <w:t>）</w:t>
                      </w:r>
                    </w:p>
                  </w:txbxContent>
                </v:textbox>
                <w10:wrap type="none"/>
              </v:shape>
              <v:shape style="position:absolute;left:10525;top:1348;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金额</w:t>
                      </w:r>
                      <w:r>
                        <w:rPr>
                          <w:rFonts w:ascii="宋体" w:hAnsi="宋体" w:cs="宋体" w:eastAsia="宋体" w:hint="default"/>
                          <w:sz w:val="16"/>
                          <w:szCs w:val="16"/>
                        </w:rPr>
                      </w:r>
                    </w:p>
                  </w:txbxContent>
                </v:textbox>
                <w10:wrap type="none"/>
              </v:shape>
              <v:shape style="position:absolute;left:11501;top:1244;width:453;height:376" type="#_x0000_t202" filled="false" stroked="false">
                <v:textbox inset="0,0,0,0">
                  <w:txbxContent>
                    <w:p>
                      <w:pPr>
                        <w:spacing w:line="159" w:lineRule="exact" w:before="0"/>
                        <w:ind w:left="65" w:right="0" w:firstLine="0"/>
                        <w:jc w:val="left"/>
                        <w:rPr>
                          <w:rFonts w:ascii="宋体" w:hAnsi="宋体" w:cs="宋体" w:eastAsia="宋体" w:hint="default"/>
                          <w:sz w:val="16"/>
                          <w:szCs w:val="16"/>
                        </w:rPr>
                      </w:pPr>
                      <w:r>
                        <w:rPr>
                          <w:rFonts w:ascii="宋体" w:hAnsi="宋体" w:cs="宋体" w:eastAsia="宋体" w:hint="default"/>
                          <w:sz w:val="16"/>
                          <w:szCs w:val="16"/>
                        </w:rPr>
                        <w:t>比例</w:t>
                      </w:r>
                    </w:p>
                    <w:p>
                      <w:pPr>
                        <w:spacing w:line="217"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w:t>
                      </w:r>
                      <w:r>
                        <w:rPr>
                          <w:rFonts w:ascii="Times New Roman" w:hAnsi="Times New Roman" w:cs="Times New Roman" w:eastAsia="Times New Roman" w:hint="default"/>
                          <w:w w:val="95"/>
                          <w:sz w:val="16"/>
                          <w:szCs w:val="16"/>
                        </w:rPr>
                        <w:t>%</w:t>
                      </w:r>
                      <w:r>
                        <w:rPr>
                          <w:rFonts w:ascii="宋体" w:hAnsi="宋体" w:cs="宋体" w:eastAsia="宋体" w:hint="default"/>
                          <w:w w:val="95"/>
                          <w:sz w:val="16"/>
                          <w:szCs w:val="16"/>
                        </w:rPr>
                        <w:t>）</w:t>
                      </w:r>
                      <w:r>
                        <w:rPr>
                          <w:rFonts w:ascii="宋体" w:hAnsi="宋体" w:cs="宋体" w:eastAsia="宋体" w:hint="default"/>
                          <w:sz w:val="16"/>
                          <w:szCs w:val="16"/>
                        </w:rPr>
                      </w:r>
                    </w:p>
                  </w:txbxContent>
                </v:textbox>
                <w10:wrap type="none"/>
              </v:shape>
              <v:shape style="position:absolute;left:12607;top:1348;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金额</w:t>
                      </w:r>
                      <w:r>
                        <w:rPr>
                          <w:rFonts w:ascii="宋体" w:hAnsi="宋体" w:cs="宋体" w:eastAsia="宋体" w:hint="default"/>
                          <w:sz w:val="16"/>
                          <w:szCs w:val="16"/>
                        </w:rPr>
                      </w:r>
                    </w:p>
                  </w:txbxContent>
                </v:textbox>
                <w10:wrap type="none"/>
              </v:shape>
              <v:shape style="position:absolute;left:13561;top:1244;width:612;height:376" type="#_x0000_t202" filled="false" stroked="false">
                <v:textbox inset="0,0,0,0">
                  <w:txbxContent>
                    <w:p>
                      <w:pPr>
                        <w:spacing w:line="159" w:lineRule="exact" w:before="0"/>
                        <w:ind w:left="0" w:right="0" w:firstLine="66"/>
                        <w:jc w:val="left"/>
                        <w:rPr>
                          <w:rFonts w:ascii="宋体" w:hAnsi="宋体" w:cs="宋体" w:eastAsia="宋体" w:hint="default"/>
                          <w:sz w:val="16"/>
                          <w:szCs w:val="16"/>
                        </w:rPr>
                      </w:pPr>
                      <w:r>
                        <w:rPr>
                          <w:rFonts w:ascii="宋体" w:hAnsi="宋体" w:cs="宋体" w:eastAsia="宋体" w:hint="default"/>
                          <w:sz w:val="16"/>
                          <w:szCs w:val="16"/>
                        </w:rPr>
                        <w:t>计提比</w:t>
                      </w:r>
                    </w:p>
                    <w:p>
                      <w:pPr>
                        <w:spacing w:line="217"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例（</w:t>
                      </w:r>
                      <w:r>
                        <w:rPr>
                          <w:rFonts w:ascii="Times New Roman" w:hAnsi="Times New Roman" w:cs="Times New Roman" w:eastAsia="Times New Roman" w:hint="default"/>
                          <w:w w:val="95"/>
                          <w:sz w:val="16"/>
                          <w:szCs w:val="16"/>
                        </w:rPr>
                        <w:t>%</w:t>
                      </w:r>
                      <w:r>
                        <w:rPr>
                          <w:rFonts w:ascii="宋体" w:hAnsi="宋体" w:cs="宋体" w:eastAsia="宋体" w:hint="default"/>
                          <w:w w:val="95"/>
                          <w:sz w:val="16"/>
                          <w:szCs w:val="16"/>
                        </w:rPr>
                        <w:t>）</w:t>
                      </w:r>
                      <w:r>
                        <w:rPr>
                          <w:rFonts w:ascii="宋体" w:hAnsi="宋体" w:cs="宋体" w:eastAsia="宋体" w:hint="default"/>
                          <w:sz w:val="16"/>
                          <w:szCs w:val="16"/>
                        </w:rPr>
                      </w:r>
                    </w:p>
                  </w:txbxContent>
                </v:textbox>
                <w10:wrap type="none"/>
              </v:shape>
              <v:shape style="position:absolute;left:14657;top:1171;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账面价值</w:t>
                      </w:r>
                      <w:r>
                        <w:rPr>
                          <w:rFonts w:ascii="宋体" w:hAnsi="宋体" w:cs="宋体" w:eastAsia="宋体" w:hint="default"/>
                          <w:sz w:val="16"/>
                          <w:szCs w:val="16"/>
                        </w:rPr>
                      </w:r>
                    </w:p>
                  </w:txbxContent>
                </v:textbox>
                <w10:wrap type="none"/>
              </v:shape>
              <v:shape style="position:absolute;left:2160;top:1805;width:1919;height:1844"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单项金额重大并单独计提坏</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账准备的其他应收款</w:t>
                      </w:r>
                    </w:p>
                    <w:p>
                      <w:pPr>
                        <w:spacing w:line="240" w:lineRule="auto" w:before="1"/>
                        <w:rPr>
                          <w:rFonts w:ascii="宋体" w:hAnsi="宋体" w:cs="宋体" w:eastAsia="宋体" w:hint="default"/>
                          <w:sz w:val="11"/>
                          <w:szCs w:val="11"/>
                        </w:rPr>
                      </w:pPr>
                    </w:p>
                    <w:p>
                      <w:pPr>
                        <w:spacing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按信用风险特征组合计提坏</w:t>
                      </w:r>
                      <w:r>
                        <w:rPr>
                          <w:rFonts w:ascii="宋体" w:hAnsi="宋体" w:cs="宋体" w:eastAsia="宋体" w:hint="default"/>
                          <w:spacing w:val="18"/>
                          <w:w w:val="95"/>
                          <w:sz w:val="16"/>
                          <w:szCs w:val="16"/>
                        </w:rPr>
                        <w:t> </w:t>
                      </w:r>
                      <w:r>
                        <w:rPr>
                          <w:rFonts w:ascii="宋体" w:hAnsi="宋体" w:cs="宋体" w:eastAsia="宋体" w:hint="default"/>
                          <w:spacing w:val="18"/>
                          <w:w w:val="95"/>
                          <w:sz w:val="16"/>
                          <w:szCs w:val="16"/>
                        </w:rPr>
                      </w:r>
                      <w:r>
                        <w:rPr>
                          <w:rFonts w:ascii="宋体" w:hAnsi="宋体" w:cs="宋体" w:eastAsia="宋体" w:hint="default"/>
                          <w:sz w:val="16"/>
                          <w:szCs w:val="16"/>
                        </w:rPr>
                        <w:t>账准备的其他应收款</w:t>
                      </w:r>
                    </w:p>
                    <w:p>
                      <w:pPr>
                        <w:spacing w:before="143"/>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单项金额不重大但单独计提</w:t>
                      </w:r>
                      <w:r>
                        <w:rPr>
                          <w:rFonts w:ascii="宋体" w:hAnsi="宋体" w:cs="宋体" w:eastAsia="宋体" w:hint="default"/>
                          <w:spacing w:val="18"/>
                          <w:w w:val="95"/>
                          <w:sz w:val="16"/>
                          <w:szCs w:val="16"/>
                        </w:rPr>
                        <w:t> </w:t>
                      </w:r>
                      <w:r>
                        <w:rPr>
                          <w:rFonts w:ascii="宋体" w:hAnsi="宋体" w:cs="宋体" w:eastAsia="宋体" w:hint="default"/>
                          <w:spacing w:val="18"/>
                          <w:w w:val="95"/>
                          <w:sz w:val="16"/>
                          <w:szCs w:val="16"/>
                        </w:rPr>
                      </w:r>
                      <w:r>
                        <w:rPr>
                          <w:rFonts w:ascii="宋体" w:hAnsi="宋体" w:cs="宋体" w:eastAsia="宋体" w:hint="default"/>
                          <w:sz w:val="16"/>
                          <w:szCs w:val="16"/>
                        </w:rPr>
                        <w:t>坏账准备的其他应收款</w:t>
                      </w:r>
                    </w:p>
                    <w:p>
                      <w:pPr>
                        <w:spacing w:line="240" w:lineRule="auto" w:before="1"/>
                        <w:rPr>
                          <w:rFonts w:ascii="宋体" w:hAnsi="宋体" w:cs="宋体" w:eastAsia="宋体" w:hint="default"/>
                          <w:sz w:val="11"/>
                          <w:szCs w:val="11"/>
                        </w:rPr>
                      </w:pPr>
                    </w:p>
                    <w:p>
                      <w:pPr>
                        <w:spacing w:before="0"/>
                        <w:ind w:left="92" w:right="0" w:firstLine="0"/>
                        <w:jc w:val="center"/>
                        <w:rPr>
                          <w:rFonts w:ascii="宋体" w:hAnsi="宋体" w:cs="宋体" w:eastAsia="宋体" w:hint="default"/>
                          <w:sz w:val="16"/>
                          <w:szCs w:val="16"/>
                        </w:rPr>
                      </w:pPr>
                      <w:r>
                        <w:rPr>
                          <w:rFonts w:ascii="宋体" w:hAnsi="宋体" w:cs="宋体" w:eastAsia="宋体" w:hint="default"/>
                          <w:sz w:val="16"/>
                          <w:szCs w:val="16"/>
                        </w:rPr>
                        <w:t>合计</w:t>
                      </w:r>
                    </w:p>
                  </w:txbxContent>
                </v:textbox>
                <w10:wrap type="none"/>
              </v:shape>
            </v:group>
            <w10:wrap type="none"/>
          </v:group>
        </w:pict>
      </w:r>
      <w:r>
        <w:rPr/>
        <w:t>（</w:t>
      </w:r>
      <w:r>
        <w:rPr>
          <w:rFonts w:ascii="Times New Roman" w:hAnsi="Times New Roman" w:cs="Times New Roman" w:eastAsia="Times New Roman" w:hint="default"/>
        </w:rPr>
        <w:t>1</w:t>
      </w:r>
      <w:r>
        <w:rPr/>
        <w:t>）其他应收款分类披露</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8"/>
          <w:szCs w:val="28"/>
        </w:rPr>
      </w:pPr>
    </w:p>
    <w:tbl>
      <w:tblPr>
        <w:tblW w:w="0" w:type="auto"/>
        <w:jc w:val="left"/>
        <w:tblInd w:w="3331" w:type="dxa"/>
        <w:tblLayout w:type="fixed"/>
        <w:tblCellMar>
          <w:top w:w="0" w:type="dxa"/>
          <w:left w:w="0" w:type="dxa"/>
          <w:bottom w:w="0" w:type="dxa"/>
          <w:right w:w="0" w:type="dxa"/>
        </w:tblCellMar>
        <w:tblLook w:val="01E0"/>
      </w:tblPr>
      <w:tblGrid>
        <w:gridCol w:w="1104"/>
        <w:gridCol w:w="772"/>
        <w:gridCol w:w="1314"/>
        <w:gridCol w:w="905"/>
        <w:gridCol w:w="1354"/>
        <w:gridCol w:w="1319"/>
        <w:gridCol w:w="801"/>
        <w:gridCol w:w="1339"/>
        <w:gridCol w:w="869"/>
        <w:gridCol w:w="1214"/>
      </w:tblGrid>
      <w:tr>
        <w:trPr>
          <w:trHeight w:val="460"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44"/>
              <w:jc w:val="right"/>
              <w:rPr>
                <w:rFonts w:ascii="Times New Roman" w:hAnsi="Times New Roman" w:cs="Times New Roman" w:eastAsia="Times New Roman" w:hint="default"/>
                <w:sz w:val="16"/>
                <w:szCs w:val="16"/>
              </w:rPr>
            </w:pPr>
            <w:r>
              <w:rPr>
                <w:rFonts w:ascii="Times New Roman"/>
                <w:spacing w:val="-1"/>
                <w:sz w:val="16"/>
              </w:rPr>
              <w:t>4,583,849.40</w:t>
            </w:r>
          </w:p>
        </w:tc>
        <w:tc>
          <w:tcPr>
            <w:tcW w:w="772"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81"/>
              <w:jc w:val="right"/>
              <w:rPr>
                <w:rFonts w:ascii="Times New Roman" w:hAnsi="Times New Roman" w:cs="Times New Roman" w:eastAsia="Times New Roman" w:hint="default"/>
                <w:sz w:val="16"/>
                <w:szCs w:val="16"/>
              </w:rPr>
            </w:pPr>
            <w:r>
              <w:rPr>
                <w:rFonts w:ascii="Times New Roman"/>
                <w:spacing w:val="-1"/>
                <w:sz w:val="16"/>
              </w:rPr>
              <w:t>6.28</w:t>
            </w:r>
          </w:p>
        </w:tc>
        <w:tc>
          <w:tcPr>
            <w:tcW w:w="1314" w:type="dxa"/>
            <w:tcBorders>
              <w:top w:val="nil" w:sz="6" w:space="0" w:color="auto"/>
              <w:left w:val="nil" w:sz="6" w:space="0" w:color="auto"/>
              <w:bottom w:val="nil" w:sz="6" w:space="0" w:color="auto"/>
              <w:right w:val="nil" w:sz="6" w:space="0" w:color="auto"/>
            </w:tcBorders>
          </w:tcPr>
          <w:p>
            <w:pPr>
              <w:pStyle w:val="TableParagraph"/>
              <w:spacing w:line="240" w:lineRule="auto" w:before="79"/>
              <w:ind w:left="55" w:right="0"/>
              <w:jc w:val="center"/>
              <w:rPr>
                <w:rFonts w:ascii="Times New Roman" w:hAnsi="Times New Roman" w:cs="Times New Roman" w:eastAsia="Times New Roman" w:hint="default"/>
                <w:sz w:val="16"/>
                <w:szCs w:val="16"/>
              </w:rPr>
            </w:pPr>
            <w:r>
              <w:rPr>
                <w:rFonts w:ascii="Times New Roman"/>
                <w:sz w:val="16"/>
              </w:rPr>
              <w:t>4,583,849.40</w:t>
            </w:r>
          </w:p>
        </w:tc>
        <w:tc>
          <w:tcPr>
            <w:tcW w:w="90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254"/>
              <w:jc w:val="right"/>
              <w:rPr>
                <w:rFonts w:ascii="Times New Roman" w:hAnsi="Times New Roman" w:cs="Times New Roman" w:eastAsia="Times New Roman" w:hint="default"/>
                <w:sz w:val="16"/>
                <w:szCs w:val="16"/>
              </w:rPr>
            </w:pPr>
            <w:r>
              <w:rPr>
                <w:rFonts w:ascii="Times New Roman"/>
                <w:spacing w:val="-1"/>
                <w:sz w:val="16"/>
              </w:rPr>
              <w:t>100.00</w:t>
            </w:r>
          </w:p>
        </w:tc>
        <w:tc>
          <w:tcPr>
            <w:tcW w:w="1354" w:type="dxa"/>
            <w:tcBorders>
              <w:top w:val="nil" w:sz="6" w:space="0" w:color="auto"/>
              <w:left w:val="nil" w:sz="6" w:space="0" w:color="auto"/>
              <w:bottom w:val="nil" w:sz="6" w:space="0" w:color="auto"/>
              <w:right w:val="nil" w:sz="6" w:space="0" w:color="auto"/>
            </w:tcBorders>
          </w:tcPr>
          <w:p>
            <w:pP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44"/>
              <w:jc w:val="right"/>
              <w:rPr>
                <w:rFonts w:ascii="Times New Roman" w:hAnsi="Times New Roman" w:cs="Times New Roman" w:eastAsia="Times New Roman" w:hint="default"/>
                <w:sz w:val="16"/>
                <w:szCs w:val="16"/>
              </w:rPr>
            </w:pPr>
            <w:r>
              <w:rPr>
                <w:rFonts w:ascii="Times New Roman"/>
                <w:spacing w:val="-1"/>
                <w:sz w:val="16"/>
              </w:rPr>
              <w:t>4,583,849.40</w:t>
            </w:r>
          </w:p>
        </w:tc>
        <w:tc>
          <w:tcPr>
            <w:tcW w:w="801"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211"/>
              <w:jc w:val="right"/>
              <w:rPr>
                <w:rFonts w:ascii="Times New Roman" w:hAnsi="Times New Roman" w:cs="Times New Roman" w:eastAsia="Times New Roman" w:hint="default"/>
                <w:sz w:val="16"/>
                <w:szCs w:val="16"/>
              </w:rPr>
            </w:pPr>
            <w:r>
              <w:rPr>
                <w:rFonts w:ascii="Times New Roman"/>
                <w:spacing w:val="-1"/>
                <w:sz w:val="16"/>
              </w:rPr>
              <w:t>3.54</w:t>
            </w:r>
          </w:p>
        </w:tc>
        <w:tc>
          <w:tcPr>
            <w:tcW w:w="1339" w:type="dxa"/>
            <w:tcBorders>
              <w:top w:val="nil" w:sz="6" w:space="0" w:color="auto"/>
              <w:left w:val="nil" w:sz="6" w:space="0" w:color="auto"/>
              <w:bottom w:val="nil" w:sz="6" w:space="0" w:color="auto"/>
              <w:right w:val="nil" w:sz="6" w:space="0" w:color="auto"/>
            </w:tcBorders>
          </w:tcPr>
          <w:p>
            <w:pPr>
              <w:pStyle w:val="TableParagraph"/>
              <w:spacing w:line="240" w:lineRule="auto" w:before="79"/>
              <w:ind w:left="88" w:right="0"/>
              <w:jc w:val="center"/>
              <w:rPr>
                <w:rFonts w:ascii="Times New Roman" w:hAnsi="Times New Roman" w:cs="Times New Roman" w:eastAsia="Times New Roman" w:hint="default"/>
                <w:sz w:val="16"/>
                <w:szCs w:val="16"/>
              </w:rPr>
            </w:pPr>
            <w:r>
              <w:rPr>
                <w:rFonts w:ascii="Times New Roman"/>
                <w:sz w:val="16"/>
              </w:rPr>
              <w:t>4,583,849.40</w:t>
            </w:r>
          </w:p>
        </w:tc>
        <w:tc>
          <w:tcPr>
            <w:tcW w:w="869"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7"/>
              <w:jc w:val="center"/>
              <w:rPr>
                <w:rFonts w:ascii="Times New Roman" w:hAnsi="Times New Roman" w:cs="Times New Roman" w:eastAsia="Times New Roman" w:hint="default"/>
                <w:sz w:val="16"/>
                <w:szCs w:val="16"/>
              </w:rPr>
            </w:pPr>
            <w:r>
              <w:rPr>
                <w:rFonts w:ascii="Times New Roman"/>
                <w:sz w:val="16"/>
              </w:rPr>
              <w:t>100.00</w:t>
            </w:r>
          </w:p>
        </w:tc>
        <w:tc>
          <w:tcPr>
            <w:tcW w:w="1214" w:type="dxa"/>
            <w:tcBorders>
              <w:top w:val="nil" w:sz="6" w:space="0" w:color="auto"/>
              <w:left w:val="nil" w:sz="6" w:space="0" w:color="auto"/>
              <w:bottom w:val="nil" w:sz="6" w:space="0" w:color="auto"/>
              <w:right w:val="nil" w:sz="6" w:space="0" w:color="auto"/>
            </w:tcBorders>
          </w:tcPr>
          <w:p>
            <w:pPr/>
          </w:p>
        </w:tc>
      </w:tr>
      <w:tr>
        <w:trPr>
          <w:trHeight w:val="561"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144"/>
              <w:jc w:val="right"/>
              <w:rPr>
                <w:rFonts w:ascii="Times New Roman" w:hAnsi="Times New Roman" w:cs="Times New Roman" w:eastAsia="Times New Roman" w:hint="default"/>
                <w:sz w:val="16"/>
                <w:szCs w:val="16"/>
              </w:rPr>
            </w:pPr>
            <w:r>
              <w:rPr>
                <w:rFonts w:ascii="Times New Roman"/>
                <w:spacing w:val="-1"/>
                <w:sz w:val="16"/>
              </w:rPr>
              <w:t>66,730,658.70</w:t>
            </w:r>
          </w:p>
        </w:tc>
        <w:tc>
          <w:tcPr>
            <w:tcW w:w="77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181"/>
              <w:jc w:val="right"/>
              <w:rPr>
                <w:rFonts w:ascii="Times New Roman" w:hAnsi="Times New Roman" w:cs="Times New Roman" w:eastAsia="Times New Roman" w:hint="default"/>
                <w:sz w:val="16"/>
                <w:szCs w:val="16"/>
              </w:rPr>
            </w:pPr>
            <w:r>
              <w:rPr>
                <w:rFonts w:ascii="Times New Roman"/>
                <w:spacing w:val="-1"/>
                <w:sz w:val="16"/>
              </w:rPr>
              <w:t>91.45</w:t>
            </w:r>
          </w:p>
        </w:tc>
        <w:tc>
          <w:tcPr>
            <w:tcW w:w="131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23"/>
              <w:jc w:val="center"/>
              <w:rPr>
                <w:rFonts w:ascii="Times New Roman" w:hAnsi="Times New Roman" w:cs="Times New Roman" w:eastAsia="Times New Roman" w:hint="default"/>
                <w:sz w:val="16"/>
                <w:szCs w:val="16"/>
              </w:rPr>
            </w:pPr>
            <w:r>
              <w:rPr>
                <w:rFonts w:ascii="Times New Roman"/>
                <w:sz w:val="16"/>
              </w:rPr>
              <w:t>17,424,266.34</w:t>
            </w:r>
          </w:p>
        </w:tc>
        <w:tc>
          <w:tcPr>
            <w:tcW w:w="90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253"/>
              <w:jc w:val="right"/>
              <w:rPr>
                <w:rFonts w:ascii="Times New Roman" w:hAnsi="Times New Roman" w:cs="Times New Roman" w:eastAsia="Times New Roman" w:hint="default"/>
                <w:sz w:val="16"/>
                <w:szCs w:val="16"/>
              </w:rPr>
            </w:pPr>
            <w:r>
              <w:rPr>
                <w:rFonts w:ascii="Times New Roman"/>
                <w:spacing w:val="-2"/>
                <w:sz w:val="16"/>
              </w:rPr>
              <w:t>26.11</w:t>
            </w: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175"/>
              <w:jc w:val="right"/>
              <w:rPr>
                <w:rFonts w:ascii="Times New Roman" w:hAnsi="Times New Roman" w:cs="Times New Roman" w:eastAsia="Times New Roman" w:hint="default"/>
                <w:sz w:val="16"/>
                <w:szCs w:val="16"/>
              </w:rPr>
            </w:pPr>
            <w:r>
              <w:rPr>
                <w:rFonts w:ascii="Times New Roman"/>
                <w:spacing w:val="-1"/>
                <w:sz w:val="16"/>
              </w:rPr>
              <w:t>49,306,392.36</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145"/>
              <w:jc w:val="right"/>
              <w:rPr>
                <w:rFonts w:ascii="Times New Roman" w:hAnsi="Times New Roman" w:cs="Times New Roman" w:eastAsia="Times New Roman" w:hint="default"/>
                <w:sz w:val="16"/>
                <w:szCs w:val="16"/>
              </w:rPr>
            </w:pPr>
            <w:r>
              <w:rPr>
                <w:rFonts w:ascii="Times New Roman"/>
                <w:spacing w:val="-2"/>
                <w:sz w:val="16"/>
              </w:rPr>
              <w:t>119,118,846.95</w:t>
            </w:r>
          </w:p>
        </w:tc>
        <w:tc>
          <w:tcPr>
            <w:tcW w:w="80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211"/>
              <w:jc w:val="right"/>
              <w:rPr>
                <w:rFonts w:ascii="Times New Roman" w:hAnsi="Times New Roman" w:cs="Times New Roman" w:eastAsia="Times New Roman" w:hint="default"/>
                <w:sz w:val="16"/>
                <w:szCs w:val="16"/>
              </w:rPr>
            </w:pPr>
            <w:r>
              <w:rPr>
                <w:rFonts w:ascii="Times New Roman"/>
                <w:spacing w:val="-1"/>
                <w:sz w:val="16"/>
              </w:rPr>
              <w:t>92.12</w:t>
            </w:r>
          </w:p>
        </w:tc>
        <w:tc>
          <w:tcPr>
            <w:tcW w:w="133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left="8" w:right="0"/>
              <w:jc w:val="center"/>
              <w:rPr>
                <w:rFonts w:ascii="Times New Roman" w:hAnsi="Times New Roman" w:cs="Times New Roman" w:eastAsia="Times New Roman" w:hint="default"/>
                <w:sz w:val="16"/>
                <w:szCs w:val="16"/>
              </w:rPr>
            </w:pPr>
            <w:r>
              <w:rPr>
                <w:rFonts w:ascii="Times New Roman"/>
                <w:sz w:val="16"/>
              </w:rPr>
              <w:t>48,809,892.01</w:t>
            </w:r>
          </w:p>
        </w:tc>
        <w:tc>
          <w:tcPr>
            <w:tcW w:w="86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left="62" w:right="0"/>
              <w:jc w:val="center"/>
              <w:rPr>
                <w:rFonts w:ascii="Times New Roman" w:hAnsi="Times New Roman" w:cs="Times New Roman" w:eastAsia="Times New Roman" w:hint="default"/>
                <w:sz w:val="16"/>
                <w:szCs w:val="16"/>
              </w:rPr>
            </w:pPr>
            <w:r>
              <w:rPr>
                <w:rFonts w:ascii="Times New Roman"/>
                <w:sz w:val="16"/>
              </w:rPr>
              <w:t>40.98</w:t>
            </w:r>
          </w:p>
        </w:tc>
        <w:tc>
          <w:tcPr>
            <w:tcW w:w="121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68"/>
              <w:jc w:val="right"/>
              <w:rPr>
                <w:rFonts w:ascii="Times New Roman" w:hAnsi="Times New Roman" w:cs="Times New Roman" w:eastAsia="Times New Roman" w:hint="default"/>
                <w:sz w:val="16"/>
                <w:szCs w:val="16"/>
              </w:rPr>
            </w:pPr>
            <w:r>
              <w:rPr>
                <w:rFonts w:ascii="Times New Roman"/>
                <w:spacing w:val="-1"/>
                <w:sz w:val="16"/>
              </w:rPr>
              <w:t>70,308,954.94</w:t>
            </w:r>
          </w:p>
        </w:tc>
      </w:tr>
      <w:tr>
        <w:trPr>
          <w:trHeight w:val="509"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44"/>
              <w:jc w:val="right"/>
              <w:rPr>
                <w:rFonts w:ascii="Times New Roman" w:hAnsi="Times New Roman" w:cs="Times New Roman" w:eastAsia="Times New Roman" w:hint="default"/>
                <w:sz w:val="16"/>
                <w:szCs w:val="16"/>
              </w:rPr>
            </w:pPr>
            <w:r>
              <w:rPr>
                <w:rFonts w:ascii="Times New Roman"/>
                <w:spacing w:val="-1"/>
                <w:sz w:val="16"/>
              </w:rPr>
              <w:t>1,653,743.23</w:t>
            </w:r>
          </w:p>
        </w:tc>
        <w:tc>
          <w:tcPr>
            <w:tcW w:w="77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81"/>
              <w:jc w:val="right"/>
              <w:rPr>
                <w:rFonts w:ascii="Times New Roman" w:hAnsi="Times New Roman" w:cs="Times New Roman" w:eastAsia="Times New Roman" w:hint="default"/>
                <w:sz w:val="16"/>
                <w:szCs w:val="16"/>
              </w:rPr>
            </w:pPr>
            <w:r>
              <w:rPr>
                <w:rFonts w:ascii="Times New Roman"/>
                <w:spacing w:val="-1"/>
                <w:sz w:val="16"/>
              </w:rPr>
              <w:t>2.27</w:t>
            </w:r>
          </w:p>
        </w:tc>
        <w:tc>
          <w:tcPr>
            <w:tcW w:w="131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left="55" w:right="0"/>
              <w:jc w:val="center"/>
              <w:rPr>
                <w:rFonts w:ascii="Times New Roman" w:hAnsi="Times New Roman" w:cs="Times New Roman" w:eastAsia="Times New Roman" w:hint="default"/>
                <w:sz w:val="16"/>
                <w:szCs w:val="16"/>
              </w:rPr>
            </w:pPr>
            <w:r>
              <w:rPr>
                <w:rFonts w:ascii="Times New Roman"/>
                <w:sz w:val="16"/>
              </w:rPr>
              <w:t>1,653,743.23</w:t>
            </w:r>
          </w:p>
        </w:tc>
        <w:tc>
          <w:tcPr>
            <w:tcW w:w="90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254"/>
              <w:jc w:val="right"/>
              <w:rPr>
                <w:rFonts w:ascii="Times New Roman" w:hAnsi="Times New Roman" w:cs="Times New Roman" w:eastAsia="Times New Roman" w:hint="default"/>
                <w:sz w:val="16"/>
                <w:szCs w:val="16"/>
              </w:rPr>
            </w:pPr>
            <w:r>
              <w:rPr>
                <w:rFonts w:ascii="Times New Roman"/>
                <w:spacing w:val="-1"/>
                <w:sz w:val="16"/>
              </w:rPr>
              <w:t>100.00</w:t>
            </w:r>
          </w:p>
        </w:tc>
        <w:tc>
          <w:tcPr>
            <w:tcW w:w="1354" w:type="dxa"/>
            <w:tcBorders>
              <w:top w:val="nil" w:sz="6" w:space="0" w:color="auto"/>
              <w:left w:val="nil" w:sz="6" w:space="0" w:color="auto"/>
              <w:bottom w:val="nil" w:sz="6" w:space="0" w:color="auto"/>
              <w:right w:val="nil" w:sz="6" w:space="0" w:color="auto"/>
            </w:tcBorders>
          </w:tcPr>
          <w:p>
            <w:pP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44"/>
              <w:jc w:val="right"/>
              <w:rPr>
                <w:rFonts w:ascii="Times New Roman" w:hAnsi="Times New Roman" w:cs="Times New Roman" w:eastAsia="Times New Roman" w:hint="default"/>
                <w:sz w:val="16"/>
                <w:szCs w:val="16"/>
              </w:rPr>
            </w:pPr>
            <w:r>
              <w:rPr>
                <w:rFonts w:ascii="Times New Roman"/>
                <w:spacing w:val="-1"/>
                <w:sz w:val="16"/>
              </w:rPr>
              <w:t>5,608,973.13</w:t>
            </w:r>
          </w:p>
        </w:tc>
        <w:tc>
          <w:tcPr>
            <w:tcW w:w="80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211"/>
              <w:jc w:val="right"/>
              <w:rPr>
                <w:rFonts w:ascii="Times New Roman" w:hAnsi="Times New Roman" w:cs="Times New Roman" w:eastAsia="Times New Roman" w:hint="default"/>
                <w:sz w:val="16"/>
                <w:szCs w:val="16"/>
              </w:rPr>
            </w:pPr>
            <w:r>
              <w:rPr>
                <w:rFonts w:ascii="Times New Roman"/>
                <w:spacing w:val="-1"/>
                <w:sz w:val="16"/>
              </w:rPr>
              <w:t>4.34</w:t>
            </w:r>
          </w:p>
        </w:tc>
        <w:tc>
          <w:tcPr>
            <w:tcW w:w="133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left="88" w:right="0"/>
              <w:jc w:val="center"/>
              <w:rPr>
                <w:rFonts w:ascii="Times New Roman" w:hAnsi="Times New Roman" w:cs="Times New Roman" w:eastAsia="Times New Roman" w:hint="default"/>
                <w:sz w:val="16"/>
                <w:szCs w:val="16"/>
              </w:rPr>
            </w:pPr>
            <w:r>
              <w:rPr>
                <w:rFonts w:ascii="Times New Roman"/>
                <w:sz w:val="16"/>
              </w:rPr>
              <w:t>1,450,956.54</w:t>
            </w:r>
          </w:p>
        </w:tc>
        <w:tc>
          <w:tcPr>
            <w:tcW w:w="86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left="62" w:right="0"/>
              <w:jc w:val="center"/>
              <w:rPr>
                <w:rFonts w:ascii="Times New Roman" w:hAnsi="Times New Roman" w:cs="Times New Roman" w:eastAsia="Times New Roman" w:hint="default"/>
                <w:sz w:val="16"/>
                <w:szCs w:val="16"/>
              </w:rPr>
            </w:pPr>
            <w:r>
              <w:rPr>
                <w:rFonts w:ascii="Times New Roman"/>
                <w:sz w:val="16"/>
              </w:rPr>
              <w:t>25.87</w:t>
            </w:r>
          </w:p>
        </w:tc>
        <w:tc>
          <w:tcPr>
            <w:tcW w:w="121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68"/>
              <w:jc w:val="right"/>
              <w:rPr>
                <w:rFonts w:ascii="Times New Roman" w:hAnsi="Times New Roman" w:cs="Times New Roman" w:eastAsia="Times New Roman" w:hint="default"/>
                <w:sz w:val="16"/>
                <w:szCs w:val="16"/>
              </w:rPr>
            </w:pPr>
            <w:r>
              <w:rPr>
                <w:rFonts w:ascii="Times New Roman"/>
                <w:spacing w:val="-1"/>
                <w:sz w:val="16"/>
              </w:rPr>
              <w:t>4,158,016.59</w:t>
            </w:r>
          </w:p>
        </w:tc>
      </w:tr>
      <w:tr>
        <w:trPr>
          <w:trHeight w:val="403" w:hRule="exact"/>
        </w:trPr>
        <w:tc>
          <w:tcPr>
            <w:tcW w:w="1104"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44"/>
              <w:jc w:val="right"/>
              <w:rPr>
                <w:rFonts w:ascii="Times New Roman" w:hAnsi="Times New Roman" w:cs="Times New Roman" w:eastAsia="Times New Roman" w:hint="default"/>
                <w:sz w:val="16"/>
                <w:szCs w:val="16"/>
              </w:rPr>
            </w:pPr>
            <w:r>
              <w:rPr>
                <w:rFonts w:ascii="Times New Roman"/>
                <w:spacing w:val="-1"/>
                <w:sz w:val="16"/>
              </w:rPr>
              <w:t>72,968,251.33</w:t>
            </w:r>
          </w:p>
        </w:tc>
        <w:tc>
          <w:tcPr>
            <w:tcW w:w="772"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81"/>
              <w:jc w:val="right"/>
              <w:rPr>
                <w:rFonts w:ascii="Times New Roman" w:hAnsi="Times New Roman" w:cs="Times New Roman" w:eastAsia="Times New Roman" w:hint="default"/>
                <w:sz w:val="16"/>
                <w:szCs w:val="16"/>
              </w:rPr>
            </w:pPr>
            <w:r>
              <w:rPr>
                <w:rFonts w:ascii="Times New Roman"/>
                <w:spacing w:val="-1"/>
                <w:sz w:val="16"/>
              </w:rPr>
              <w:t>100.00</w:t>
            </w:r>
          </w:p>
        </w:tc>
        <w:tc>
          <w:tcPr>
            <w:tcW w:w="1314"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23"/>
              <w:jc w:val="center"/>
              <w:rPr>
                <w:rFonts w:ascii="Times New Roman" w:hAnsi="Times New Roman" w:cs="Times New Roman" w:eastAsia="Times New Roman" w:hint="default"/>
                <w:sz w:val="16"/>
                <w:szCs w:val="16"/>
              </w:rPr>
            </w:pPr>
            <w:r>
              <w:rPr>
                <w:rFonts w:ascii="Times New Roman"/>
                <w:sz w:val="16"/>
              </w:rPr>
              <w:t>23,661,858.97</w:t>
            </w:r>
          </w:p>
        </w:tc>
        <w:tc>
          <w:tcPr>
            <w:tcW w:w="905" w:type="dxa"/>
            <w:tcBorders>
              <w:top w:val="nil" w:sz="6" w:space="0" w:color="auto"/>
              <w:left w:val="nil" w:sz="6" w:space="0" w:color="auto"/>
              <w:bottom w:val="nil" w:sz="6" w:space="0" w:color="auto"/>
              <w:right w:val="nil" w:sz="6" w:space="0" w:color="auto"/>
            </w:tcBorders>
          </w:tcPr>
          <w:p>
            <w:pP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75"/>
              <w:jc w:val="right"/>
              <w:rPr>
                <w:rFonts w:ascii="Times New Roman" w:hAnsi="Times New Roman" w:cs="Times New Roman" w:eastAsia="Times New Roman" w:hint="default"/>
                <w:sz w:val="16"/>
                <w:szCs w:val="16"/>
              </w:rPr>
            </w:pPr>
            <w:r>
              <w:rPr>
                <w:rFonts w:ascii="Times New Roman"/>
                <w:spacing w:val="-1"/>
                <w:sz w:val="16"/>
              </w:rPr>
              <w:t>49,306,392.36</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46"/>
              <w:jc w:val="right"/>
              <w:rPr>
                <w:rFonts w:ascii="Times New Roman" w:hAnsi="Times New Roman" w:cs="Times New Roman" w:eastAsia="Times New Roman" w:hint="default"/>
                <w:sz w:val="16"/>
                <w:szCs w:val="16"/>
              </w:rPr>
            </w:pPr>
            <w:r>
              <w:rPr>
                <w:rFonts w:ascii="Times New Roman"/>
                <w:spacing w:val="-1"/>
                <w:sz w:val="16"/>
              </w:rPr>
              <w:t>129,311,669.48</w:t>
            </w:r>
          </w:p>
        </w:tc>
        <w:tc>
          <w:tcPr>
            <w:tcW w:w="801"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212"/>
              <w:jc w:val="right"/>
              <w:rPr>
                <w:rFonts w:ascii="Times New Roman" w:hAnsi="Times New Roman" w:cs="Times New Roman" w:eastAsia="Times New Roman" w:hint="default"/>
                <w:sz w:val="16"/>
                <w:szCs w:val="16"/>
              </w:rPr>
            </w:pPr>
            <w:r>
              <w:rPr>
                <w:rFonts w:ascii="Times New Roman"/>
                <w:spacing w:val="-1"/>
                <w:sz w:val="16"/>
              </w:rPr>
              <w:t>100.00</w:t>
            </w:r>
          </w:p>
        </w:tc>
        <w:tc>
          <w:tcPr>
            <w:tcW w:w="1339" w:type="dxa"/>
            <w:tcBorders>
              <w:top w:val="nil" w:sz="6" w:space="0" w:color="auto"/>
              <w:left w:val="nil" w:sz="6" w:space="0" w:color="auto"/>
              <w:bottom w:val="nil" w:sz="6" w:space="0" w:color="auto"/>
              <w:right w:val="nil" w:sz="6" w:space="0" w:color="auto"/>
            </w:tcBorders>
          </w:tcPr>
          <w:p>
            <w:pPr>
              <w:pStyle w:val="TableParagraph"/>
              <w:spacing w:line="240" w:lineRule="auto" w:before="128"/>
              <w:ind w:left="8" w:right="0"/>
              <w:jc w:val="center"/>
              <w:rPr>
                <w:rFonts w:ascii="Times New Roman" w:hAnsi="Times New Roman" w:cs="Times New Roman" w:eastAsia="Times New Roman" w:hint="default"/>
                <w:sz w:val="16"/>
                <w:szCs w:val="16"/>
              </w:rPr>
            </w:pPr>
            <w:r>
              <w:rPr>
                <w:rFonts w:ascii="Times New Roman"/>
                <w:sz w:val="16"/>
              </w:rPr>
              <w:t>54,844,697.95</w:t>
            </w:r>
          </w:p>
        </w:tc>
        <w:tc>
          <w:tcPr>
            <w:tcW w:w="869" w:type="dxa"/>
            <w:tcBorders>
              <w:top w:val="nil" w:sz="6" w:space="0" w:color="auto"/>
              <w:left w:val="nil" w:sz="6" w:space="0" w:color="auto"/>
              <w:bottom w:val="nil" w:sz="6" w:space="0" w:color="auto"/>
              <w:right w:val="nil" w:sz="6" w:space="0" w:color="auto"/>
            </w:tcBorders>
          </w:tcPr>
          <w:p>
            <w:pPr/>
          </w:p>
        </w:tc>
        <w:tc>
          <w:tcPr>
            <w:tcW w:w="1214"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68"/>
              <w:jc w:val="right"/>
              <w:rPr>
                <w:rFonts w:ascii="Times New Roman" w:hAnsi="Times New Roman" w:cs="Times New Roman" w:eastAsia="Times New Roman" w:hint="default"/>
                <w:sz w:val="16"/>
                <w:szCs w:val="16"/>
              </w:rPr>
            </w:pPr>
            <w:r>
              <w:rPr>
                <w:rFonts w:ascii="Times New Roman"/>
                <w:spacing w:val="-1"/>
                <w:sz w:val="16"/>
              </w:rPr>
              <w:t>74,466,971.53</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6"/>
          <w:szCs w:val="16"/>
        </w:rPr>
      </w:pPr>
    </w:p>
    <w:p>
      <w:pPr>
        <w:spacing w:before="44"/>
        <w:ind w:left="6245" w:right="6487" w:firstLine="0"/>
        <w:jc w:val="center"/>
        <w:rPr>
          <w:rFonts w:ascii="宋体" w:hAnsi="宋体" w:cs="宋体" w:eastAsia="宋体" w:hint="default"/>
          <w:sz w:val="18"/>
          <w:szCs w:val="18"/>
        </w:rPr>
      </w:pPr>
      <w:r>
        <w:rPr>
          <w:rFonts w:ascii="宋体" w:hAnsi="宋体" w:cs="宋体" w:eastAsia="宋体" w:hint="default"/>
          <w:sz w:val="18"/>
          <w:szCs w:val="18"/>
        </w:rPr>
        <w:t>财务报表附注第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8"/>
          <w:szCs w:val="18"/>
        </w:rPr>
      </w:pPr>
    </w:p>
    <w:p>
      <w:pPr>
        <w:spacing w:line="371" w:lineRule="exact"/>
        <w:ind w:left="10484" w:right="0" w:firstLine="0"/>
        <w:rPr>
          <w:rFonts w:ascii="宋体" w:hAnsi="宋体" w:cs="宋体" w:eastAsia="宋体" w:hint="default"/>
          <w:sz w:val="20"/>
          <w:szCs w:val="20"/>
        </w:rPr>
      </w:pPr>
      <w:r>
        <w:rPr>
          <w:rFonts w:ascii="宋体" w:hAnsi="宋体" w:cs="宋体" w:eastAsia="宋体" w:hint="default"/>
          <w:position w:val="-6"/>
          <w:sz w:val="20"/>
          <w:szCs w:val="20"/>
        </w:rPr>
        <w:drawing>
          <wp:inline distT="0" distB="0" distL="0" distR="0">
            <wp:extent cx="524065" cy="236029"/>
            <wp:effectExtent l="0" t="0" r="0" b="0"/>
            <wp:docPr id="21" name="image1.jpeg" descr=""/>
            <wp:cNvGraphicFramePr>
              <a:graphicFrameLocks noChangeAspect="1"/>
            </wp:cNvGraphicFramePr>
            <a:graphic>
              <a:graphicData uri="http://schemas.openxmlformats.org/drawingml/2006/picture">
                <pic:pic>
                  <pic:nvPicPr>
                    <pic:cNvPr id="22" name="image1.jpeg"/>
                    <pic:cNvPicPr/>
                  </pic:nvPicPr>
                  <pic:blipFill>
                    <a:blip r:embed="rId79" cstate="print"/>
                    <a:stretch>
                      <a:fillRect/>
                    </a:stretch>
                  </pic:blipFill>
                  <pic:spPr>
                    <a:xfrm>
                      <a:off x="0" y="0"/>
                      <a:ext cx="524065" cy="236029"/>
                    </a:xfrm>
                    <a:prstGeom prst="rect">
                      <a:avLst/>
                    </a:prstGeom>
                  </pic:spPr>
                </pic:pic>
              </a:graphicData>
            </a:graphic>
          </wp:inline>
        </w:drawing>
      </w:r>
      <w:r>
        <w:rPr>
          <w:rFonts w:ascii="宋体" w:hAnsi="宋体" w:cs="宋体" w:eastAsia="宋体" w:hint="default"/>
          <w:position w:val="-6"/>
          <w:sz w:val="20"/>
          <w:szCs w:val="20"/>
        </w:rPr>
      </w:r>
    </w:p>
    <w:p>
      <w:pPr>
        <w:spacing w:after="0" w:line="371" w:lineRule="exact"/>
        <w:rPr>
          <w:rFonts w:ascii="宋体" w:hAnsi="宋体" w:cs="宋体" w:eastAsia="宋体" w:hint="default"/>
          <w:sz w:val="20"/>
          <w:szCs w:val="20"/>
        </w:rPr>
        <w:sectPr>
          <w:headerReference w:type="default" r:id="rId123"/>
          <w:footerReference w:type="default" r:id="rId124"/>
          <w:pgSz w:w="16840" w:h="11910" w:orient="landscape"/>
          <w:pgMar w:header="0" w:footer="0" w:top="1100" w:bottom="0" w:left="1300" w:right="1060"/>
        </w:sectPr>
      </w:pPr>
    </w:p>
    <w:p>
      <w:pPr>
        <w:spacing w:line="240" w:lineRule="auto" w:before="8"/>
        <w:rPr>
          <w:rFonts w:ascii="宋体" w:hAnsi="宋体" w:cs="宋体" w:eastAsia="宋体" w:hint="default"/>
          <w:sz w:val="13"/>
          <w:szCs w:val="13"/>
        </w:rPr>
      </w:pPr>
    </w:p>
    <w:p>
      <w:pPr>
        <w:pStyle w:val="BodyText"/>
        <w:spacing w:line="240" w:lineRule="auto" w:before="35"/>
        <w:ind w:right="3681"/>
        <w:jc w:val="left"/>
      </w:pPr>
      <w:r>
        <w:rPr/>
        <w:t>期末单项金额重大并单独计提坏账准备的其他应收款</w:t>
      </w:r>
    </w:p>
    <w:p>
      <w:pPr>
        <w:spacing w:line="240" w:lineRule="auto" w:before="7"/>
        <w:rPr>
          <w:rFonts w:ascii="宋体" w:hAnsi="宋体" w:cs="宋体" w:eastAsia="宋体" w:hint="default"/>
          <w:sz w:val="2"/>
          <w:szCs w:val="2"/>
        </w:rPr>
      </w:pPr>
    </w:p>
    <w:p>
      <w:pPr>
        <w:spacing w:line="1578" w:lineRule="exact"/>
        <w:ind w:left="720" w:right="0" w:firstLine="0"/>
        <w:rPr>
          <w:rFonts w:ascii="宋体" w:hAnsi="宋体" w:cs="宋体" w:eastAsia="宋体" w:hint="default"/>
          <w:sz w:val="20"/>
          <w:szCs w:val="20"/>
        </w:rPr>
      </w:pPr>
      <w:r>
        <w:rPr>
          <w:rFonts w:ascii="宋体" w:hAnsi="宋体" w:cs="宋体" w:eastAsia="宋体" w:hint="default"/>
          <w:position w:val="-31"/>
          <w:sz w:val="20"/>
          <w:szCs w:val="20"/>
        </w:rPr>
        <w:pict>
          <v:group style="width:411.9pt;height:78.9pt;mso-position-horizontal-relative:char;mso-position-vertical-relative:line" coordorigin="0,0" coordsize="8238,1578">
            <v:group style="position:absolute;left:29;top:15;width:2384;height:2" coordorigin="29,15" coordsize="2384,2">
              <v:shape style="position:absolute;left:29;top:15;width:2384;height:2" coordorigin="29,15" coordsize="2384,0" path="m29,15l2413,15e" filled="false" stroked="true" strokeweight="1.5pt" strokecolor="#000000">
                <v:path arrowok="t"/>
              </v:shape>
            </v:group>
            <v:group style="position:absolute;left:2413;top:15;width:5805;height:2" coordorigin="2413,15" coordsize="5805,2">
              <v:shape style="position:absolute;left:2413;top:15;width:5805;height:2" coordorigin="2413,15" coordsize="5805,0" path="m2413,15l8217,15e" filled="false" stroked="true" strokeweight="1.5pt" strokecolor="#000000">
                <v:path arrowok="t"/>
              </v:shape>
              <v:shape style="position:absolute;left:2413;top:30;width:10;height:338" type="#_x0000_t75" stroked="false">
                <v:imagedata r:id="rId81" o:title=""/>
              </v:shape>
              <v:shape style="position:absolute;left:2393;top:349;width:5844;height:520" type="#_x0000_t75" stroked="false">
                <v:imagedata r:id="rId130" o:title=""/>
              </v:shape>
            </v:group>
            <v:group style="position:absolute;left:15;top:1563;width:2398;height:2" coordorigin="15,1563" coordsize="2398,2">
              <v:shape style="position:absolute;left:15;top:1563;width:2398;height:2" coordorigin="15,1563" coordsize="2398,0" path="m15,1563l2413,1563e" filled="false" stroked="true" strokeweight="1.5pt" strokecolor="#000000">
                <v:path arrowok="t"/>
              </v:shape>
            </v:group>
            <v:group style="position:absolute;left:2413;top:1563;width:1698;height:2" coordorigin="2413,1563" coordsize="1698,2">
              <v:shape style="position:absolute;left:2413;top:1563;width:1698;height:2" coordorigin="2413,1563" coordsize="1698,0" path="m2413,1563l4111,1563e" filled="false" stroked="true" strokeweight="1.5pt" strokecolor="#000000">
                <v:path arrowok="t"/>
              </v:shape>
            </v:group>
            <v:group style="position:absolute;left:4111;top:1563;width:1571;height:2" coordorigin="4111,1563" coordsize="1571,2">
              <v:shape style="position:absolute;left:4111;top:1563;width:1571;height:2" coordorigin="4111,1563" coordsize="1571,0" path="m4111,1563l5681,1563e" filled="false" stroked="true" strokeweight="1.5pt" strokecolor="#000000">
                <v:path arrowok="t"/>
              </v:shape>
            </v:group>
            <v:group style="position:absolute;left:5681;top:1563;width:876;height:2" coordorigin="5681,1563" coordsize="876,2">
              <v:shape style="position:absolute;left:5681;top:1563;width:876;height:2" coordorigin="5681,1563" coordsize="876,0" path="m5681,1563l6557,1563e" filled="false" stroked="true" strokeweight="1.5pt" strokecolor="#000000">
                <v:path arrowok="t"/>
              </v:shape>
              <v:shape style="position:absolute;left:10;top:830;width:8227;height:718" type="#_x0000_t75" stroked="false">
                <v:imagedata r:id="rId131" o:title=""/>
              </v:shape>
            </v:group>
            <v:group style="position:absolute;left:6557;top:1563;width:1660;height:2" coordorigin="6557,1563" coordsize="1660,2">
              <v:shape style="position:absolute;left:6557;top:1563;width:1660;height:2" coordorigin="6557,1563" coordsize="1660,0" path="m6557,1563l8217,1563e" filled="false" stroked="true" strokeweight="1.5pt" strokecolor="#000000">
                <v:path arrowok="t"/>
              </v:shape>
              <v:shape style="position:absolute;left:4997;top:11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423;top:358;width:159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其他应收款（按单位）</w:t>
                      </w:r>
                      <w:r>
                        <w:rPr>
                          <w:rFonts w:ascii="宋体" w:hAnsi="宋体" w:cs="宋体" w:eastAsia="宋体" w:hint="default"/>
                          <w:sz w:val="16"/>
                          <w:szCs w:val="16"/>
                        </w:rPr>
                      </w:r>
                    </w:p>
                  </w:txbxContent>
                </v:textbox>
                <w10:wrap type="none"/>
              </v:shape>
              <v:shape style="position:absolute;left:2866;top:532;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其他应收款</w:t>
                      </w:r>
                      <w:r>
                        <w:rPr>
                          <w:rFonts w:ascii="宋体" w:hAnsi="宋体" w:cs="宋体" w:eastAsia="宋体" w:hint="default"/>
                          <w:sz w:val="16"/>
                          <w:szCs w:val="16"/>
                        </w:rPr>
                      </w:r>
                    </w:p>
                  </w:txbxContent>
                </v:textbox>
                <w10:wrap type="none"/>
              </v:shape>
              <v:shape style="position:absolute;left:4580;top:532;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坏账准备</w:t>
                      </w:r>
                      <w:r>
                        <w:rPr>
                          <w:rFonts w:ascii="宋体" w:hAnsi="宋体" w:cs="宋体" w:eastAsia="宋体" w:hint="default"/>
                          <w:sz w:val="16"/>
                          <w:szCs w:val="16"/>
                        </w:rPr>
                      </w:r>
                    </w:p>
                  </w:txbxContent>
                </v:textbox>
                <w10:wrap type="none"/>
              </v:shape>
              <v:shape style="position:absolute;left:5804;top:429;width:639;height:376"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计提比例</w:t>
                      </w:r>
                      <w:r>
                        <w:rPr>
                          <w:rFonts w:ascii="宋体" w:hAnsi="宋体" w:cs="宋体" w:eastAsia="宋体" w:hint="default"/>
                          <w:sz w:val="16"/>
                          <w:szCs w:val="16"/>
                        </w:rPr>
                      </w:r>
                    </w:p>
                    <w:p>
                      <w:pPr>
                        <w:spacing w:line="217" w:lineRule="exact" w:before="0"/>
                        <w:ind w:left="93" w:right="0" w:firstLine="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w:t>
                      </w:r>
                      <w:r>
                        <w:rPr>
                          <w:rFonts w:ascii="宋体" w:hAnsi="宋体" w:cs="宋体" w:eastAsia="宋体" w:hint="default"/>
                          <w:sz w:val="16"/>
                          <w:szCs w:val="16"/>
                        </w:rPr>
                        <w:t>）</w:t>
                      </w:r>
                    </w:p>
                  </w:txbxContent>
                </v:textbox>
                <w10:wrap type="none"/>
              </v:shape>
              <v:shape style="position:absolute;left:7070;top:532;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计提理由</w:t>
                      </w:r>
                      <w:r>
                        <w:rPr>
                          <w:rFonts w:ascii="宋体" w:hAnsi="宋体" w:cs="宋体" w:eastAsia="宋体" w:hint="default"/>
                          <w:sz w:val="16"/>
                          <w:szCs w:val="16"/>
                        </w:rPr>
                      </w:r>
                    </w:p>
                  </w:txbxContent>
                </v:textbox>
                <w10:wrap type="none"/>
              </v:shape>
              <v:shape style="position:absolute;left:137;top:948;width:191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北京科迪迅通科技有限公司</w:t>
                      </w:r>
                      <w:r>
                        <w:rPr>
                          <w:rFonts w:ascii="宋体" w:hAnsi="宋体" w:cs="宋体" w:eastAsia="宋体" w:hint="default"/>
                          <w:sz w:val="16"/>
                          <w:szCs w:val="16"/>
                        </w:rPr>
                      </w:r>
                    </w:p>
                  </w:txbxContent>
                </v:textbox>
                <w10:wrap type="none"/>
              </v:shape>
              <v:shape style="position:absolute;left:3167;top:961;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4,583,849.40</w:t>
                      </w:r>
                      <w:r>
                        <w:rPr>
                          <w:rFonts w:ascii="Times New Roman"/>
                          <w:sz w:val="16"/>
                        </w:rPr>
                      </w:r>
                    </w:p>
                  </w:txbxContent>
                </v:textbox>
                <w10:wrap type="none"/>
              </v:shape>
              <v:shape style="position:absolute;left:4737;top:961;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4,583,849.40</w:t>
                      </w:r>
                      <w:r>
                        <w:rPr>
                          <w:rFonts w:ascii="Times New Roman"/>
                          <w:sz w:val="16"/>
                        </w:rPr>
                      </w:r>
                    </w:p>
                  </w:txbxContent>
                </v:textbox>
                <w10:wrap type="none"/>
              </v:shape>
              <v:shape style="position:absolute;left:6014;top:948;width:1775;height:174" type="#_x0000_t202" filled="false" stroked="false">
                <v:textbox inset="0,0,0,0">
                  <w:txbxContent>
                    <w:p>
                      <w:pPr>
                        <w:tabs>
                          <w:tab w:pos="656" w:val="left" w:leader="none"/>
                        </w:tabs>
                        <w:spacing w:line="173" w:lineRule="exact" w:before="0"/>
                        <w:ind w:left="0" w:right="0" w:firstLine="0"/>
                        <w:jc w:val="left"/>
                        <w:rPr>
                          <w:rFonts w:ascii="宋体" w:hAnsi="宋体" w:cs="宋体" w:eastAsia="宋体" w:hint="default"/>
                          <w:sz w:val="16"/>
                          <w:szCs w:val="16"/>
                        </w:rPr>
                      </w:pPr>
                      <w:r>
                        <w:rPr>
                          <w:rFonts w:ascii="Times New Roman" w:hAnsi="Times New Roman" w:cs="Times New Roman" w:eastAsia="Times New Roman" w:hint="default"/>
                          <w:spacing w:val="-1"/>
                          <w:sz w:val="16"/>
                          <w:szCs w:val="16"/>
                        </w:rPr>
                        <w:t>100.00</w:t>
                        <w:tab/>
                      </w:r>
                      <w:r>
                        <w:rPr>
                          <w:rFonts w:ascii="宋体" w:hAnsi="宋体" w:cs="宋体" w:eastAsia="宋体" w:hint="default"/>
                          <w:w w:val="95"/>
                          <w:sz w:val="16"/>
                          <w:szCs w:val="16"/>
                        </w:rPr>
                        <w:t>收回可能性极小</w:t>
                      </w:r>
                      <w:r>
                        <w:rPr>
                          <w:rFonts w:ascii="宋体" w:hAnsi="宋体" w:cs="宋体" w:eastAsia="宋体" w:hint="default"/>
                          <w:sz w:val="16"/>
                          <w:szCs w:val="16"/>
                        </w:rPr>
                      </w:r>
                    </w:p>
                  </w:txbxContent>
                </v:textbox>
                <w10:wrap type="none"/>
              </v:shape>
              <v:shape style="position:absolute;left:1063;top:1297;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合计</w:t>
                      </w:r>
                      <w:r>
                        <w:rPr>
                          <w:rFonts w:ascii="宋体" w:hAnsi="宋体" w:cs="宋体" w:eastAsia="宋体" w:hint="default"/>
                          <w:sz w:val="16"/>
                          <w:szCs w:val="16"/>
                        </w:rPr>
                      </w:r>
                    </w:p>
                  </w:txbxContent>
                </v:textbox>
                <w10:wrap type="none"/>
              </v:shape>
              <v:shape style="position:absolute;left:3167;top:1310;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4,583,849.40</w:t>
                      </w:r>
                      <w:r>
                        <w:rPr>
                          <w:rFonts w:ascii="Times New Roman"/>
                          <w:sz w:val="16"/>
                        </w:rPr>
                      </w:r>
                    </w:p>
                  </w:txbxContent>
                </v:textbox>
                <w10:wrap type="none"/>
              </v:shape>
              <v:shape style="position:absolute;left:4737;top:1310;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4,583,849.40</w:t>
                      </w:r>
                      <w:r>
                        <w:rPr>
                          <w:rFonts w:ascii="Times New Roman"/>
                          <w:sz w:val="16"/>
                        </w:rPr>
                      </w:r>
                    </w:p>
                  </w:txbxContent>
                </v:textbox>
                <w10:wrap type="none"/>
              </v:shape>
            </v:group>
          </v:group>
        </w:pict>
      </w:r>
      <w:r>
        <w:rPr>
          <w:rFonts w:ascii="宋体" w:hAnsi="宋体" w:cs="宋体" w:eastAsia="宋体" w:hint="default"/>
          <w:position w:val="-31"/>
          <w:sz w:val="20"/>
          <w:szCs w:val="20"/>
        </w:rPr>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4"/>
          <w:szCs w:val="14"/>
        </w:rPr>
      </w:pPr>
    </w:p>
    <w:p>
      <w:pPr>
        <w:pStyle w:val="BodyText"/>
        <w:spacing w:line="240" w:lineRule="auto" w:before="35"/>
        <w:ind w:right="3681"/>
        <w:jc w:val="left"/>
      </w:pPr>
      <w:r>
        <w:rPr/>
        <w:pict>
          <v:group style="position:absolute;margin-left:119.010002pt;margin-top:17.073662pt;width:411.75pt;height:159.6pt;mso-position-horizontal-relative:page;mso-position-vertical-relative:paragraph;z-index:-1394632" coordorigin="2380,341" coordsize="8235,3192">
            <v:group style="position:absolute;left:2410;top:356;width:2182;height:2" coordorigin="2410,356" coordsize="2182,2">
              <v:shape style="position:absolute;left:2410;top:356;width:2182;height:2" coordorigin="2410,356" coordsize="2182,0" path="m2410,356l4591,356e" filled="false" stroked="true" strokeweight="1.5pt" strokecolor="#000000">
                <v:path arrowok="t"/>
              </v:shape>
            </v:group>
            <v:group style="position:absolute;left:4591;top:356;width:6006;height:2" coordorigin="4591,356" coordsize="6006,2">
              <v:shape style="position:absolute;left:4591;top:356;width:6006;height:2" coordorigin="4591,356" coordsize="6006,0" path="m4591,356l10597,356e" filled="false" stroked="true" strokeweight="1.5pt" strokecolor="#000000">
                <v:path arrowok="t"/>
              </v:shape>
              <v:shape style="position:absolute;left:4591;top:371;width:10;height:340" type="#_x0000_t75" stroked="false">
                <v:imagedata r:id="rId57" o:title=""/>
              </v:shape>
              <v:shape style="position:absolute;left:4578;top:698;width:6032;height:375" type="#_x0000_t75" stroked="false">
                <v:imagedata r:id="rId132" o:title=""/>
              </v:shape>
            </v:group>
            <v:group style="position:absolute;left:2395;top:3518;width:2196;height:2" coordorigin="2395,3518" coordsize="2196,2">
              <v:shape style="position:absolute;left:2395;top:3518;width:2196;height:2" coordorigin="2395,3518" coordsize="2196,0" path="m2395,3518l4591,3518e" filled="false" stroked="true" strokeweight="1.5pt" strokecolor="#000000">
                <v:path arrowok="t"/>
              </v:shape>
            </v:group>
            <v:group style="position:absolute;left:4591;top:3518;width:1930;height:2" coordorigin="4591,3518" coordsize="1930,2">
              <v:shape style="position:absolute;left:4591;top:3518;width:1930;height:2" coordorigin="4591,3518" coordsize="1930,0" path="m4591,3518l6521,3518e" filled="false" stroked="true" strokeweight="1.5pt" strokecolor="#000000">
                <v:path arrowok="t"/>
              </v:shape>
            </v:group>
            <v:group style="position:absolute;left:6521;top:3518;width:1992;height:2" coordorigin="6521,3518" coordsize="1992,2">
              <v:shape style="position:absolute;left:6521;top:3518;width:1992;height:2" coordorigin="6521,3518" coordsize="1992,0" path="m6521,3518l8513,3518e" filled="false" stroked="true" strokeweight="1.5pt" strokecolor="#000000">
                <v:path arrowok="t"/>
              </v:shape>
              <v:shape style="position:absolute;left:2390;top:1047;width:8225;height:2456" type="#_x0000_t75" stroked="false">
                <v:imagedata r:id="rId133" o:title=""/>
              </v:shape>
            </v:group>
            <v:group style="position:absolute;left:8513;top:3518;width:2085;height:2" coordorigin="8513,3518" coordsize="2085,2">
              <v:shape style="position:absolute;left:8513;top:3518;width:2085;height:2" coordorigin="8513,3518" coordsize="2085,0" path="m8513,3518l10597,3518e" filled="false" stroked="true" strokeweight="1.5pt" strokecolor="#000000">
                <v:path arrowok="t"/>
              </v:shape>
            </v:group>
            <w10:wrap type="none"/>
          </v:group>
        </w:pict>
      </w:r>
      <w:r>
        <w:rPr/>
        <w:t>组合中，按账龄分析法计提坏账准备的其他应收款</w:t>
      </w:r>
    </w:p>
    <w:p>
      <w:pPr>
        <w:spacing w:line="240" w:lineRule="auto" w:before="7"/>
        <w:rPr>
          <w:rFonts w:ascii="宋体" w:hAnsi="宋体" w:cs="宋体" w:eastAsia="宋体" w:hint="default"/>
          <w:sz w:val="3"/>
          <w:szCs w:val="3"/>
        </w:rPr>
      </w:pPr>
    </w:p>
    <w:tbl>
      <w:tblPr>
        <w:tblW w:w="0" w:type="auto"/>
        <w:jc w:val="left"/>
        <w:tblInd w:w="787" w:type="dxa"/>
        <w:tblLayout w:type="fixed"/>
        <w:tblCellMar>
          <w:top w:w="0" w:type="dxa"/>
          <w:left w:w="0" w:type="dxa"/>
          <w:bottom w:w="0" w:type="dxa"/>
          <w:right w:w="0" w:type="dxa"/>
        </w:tblCellMar>
        <w:tblLook w:val="01E0"/>
      </w:tblPr>
      <w:tblGrid>
        <w:gridCol w:w="782"/>
        <w:gridCol w:w="1181"/>
        <w:gridCol w:w="2399"/>
        <w:gridCol w:w="1901"/>
        <w:gridCol w:w="1850"/>
      </w:tblGrid>
      <w:tr>
        <w:trPr>
          <w:trHeight w:val="445" w:hRule="exact"/>
        </w:trPr>
        <w:tc>
          <w:tcPr>
            <w:tcW w:w="782" w:type="dxa"/>
            <w:vMerge w:val="restart"/>
            <w:tcBorders>
              <w:top w:val="nil" w:sz="6" w:space="0" w:color="auto"/>
              <w:left w:val="nil" w:sz="6" w:space="0" w:color="auto"/>
              <w:right w:val="nil" w:sz="6" w:space="0" w:color="auto"/>
            </w:tcBorders>
          </w:tcPr>
          <w:p>
            <w:pPr/>
          </w:p>
        </w:tc>
        <w:tc>
          <w:tcPr>
            <w:tcW w:w="118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left="112" w:right="0"/>
              <w:jc w:val="left"/>
              <w:rPr>
                <w:rFonts w:ascii="宋体" w:hAnsi="宋体" w:cs="宋体" w:eastAsia="宋体" w:hint="default"/>
                <w:sz w:val="16"/>
                <w:szCs w:val="16"/>
              </w:rPr>
            </w:pPr>
            <w:r>
              <w:rPr>
                <w:rFonts w:ascii="宋体" w:hAnsi="宋体" w:cs="宋体" w:eastAsia="宋体" w:hint="default"/>
                <w:sz w:val="16"/>
                <w:szCs w:val="16"/>
              </w:rPr>
              <w:t>账龄</w:t>
            </w:r>
          </w:p>
        </w:tc>
        <w:tc>
          <w:tcPr>
            <w:tcW w:w="2399" w:type="dxa"/>
            <w:tcBorders>
              <w:top w:val="nil" w:sz="6" w:space="0" w:color="auto"/>
              <w:left w:val="nil" w:sz="6" w:space="0" w:color="auto"/>
              <w:bottom w:val="nil" w:sz="6" w:space="0" w:color="auto"/>
              <w:right w:val="nil" w:sz="6" w:space="0" w:color="auto"/>
            </w:tcBorders>
          </w:tcPr>
          <w:p>
            <w:pPr/>
          </w:p>
        </w:tc>
        <w:tc>
          <w:tcPr>
            <w:tcW w:w="190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466" w:right="0"/>
              <w:jc w:val="left"/>
              <w:rPr>
                <w:rFonts w:ascii="宋体" w:hAnsi="宋体" w:cs="宋体" w:eastAsia="宋体" w:hint="default"/>
                <w:sz w:val="16"/>
                <w:szCs w:val="16"/>
              </w:rPr>
            </w:pPr>
            <w:r>
              <w:rPr>
                <w:rFonts w:ascii="宋体" w:hAnsi="宋体" w:cs="宋体" w:eastAsia="宋体" w:hint="default"/>
                <w:sz w:val="16"/>
                <w:szCs w:val="16"/>
              </w:rPr>
              <w:t>期末余额</w:t>
            </w:r>
          </w:p>
        </w:tc>
        <w:tc>
          <w:tcPr>
            <w:tcW w:w="1850" w:type="dxa"/>
            <w:tcBorders>
              <w:top w:val="nil" w:sz="6" w:space="0" w:color="auto"/>
              <w:left w:val="nil" w:sz="6" w:space="0" w:color="auto"/>
              <w:bottom w:val="nil" w:sz="6" w:space="0" w:color="auto"/>
              <w:right w:val="nil" w:sz="6" w:space="0" w:color="auto"/>
            </w:tcBorders>
          </w:tcPr>
          <w:p>
            <w:pPr/>
          </w:p>
        </w:tc>
      </w:tr>
      <w:tr>
        <w:trPr>
          <w:trHeight w:val="266" w:hRule="exact"/>
        </w:trPr>
        <w:tc>
          <w:tcPr>
            <w:tcW w:w="782" w:type="dxa"/>
            <w:vMerge/>
            <w:tcBorders>
              <w:left w:val="nil" w:sz="6" w:space="0" w:color="auto"/>
              <w:bottom w:val="nil" w:sz="6" w:space="0" w:color="auto"/>
              <w:right w:val="nil" w:sz="6" w:space="0" w:color="auto"/>
            </w:tcBorders>
          </w:tcPr>
          <w:p>
            <w:pPr/>
          </w:p>
        </w:tc>
        <w:tc>
          <w:tcPr>
            <w:tcW w:w="1181" w:type="dxa"/>
            <w:tcBorders>
              <w:top w:val="nil" w:sz="6" w:space="0" w:color="auto"/>
              <w:left w:val="nil" w:sz="6" w:space="0" w:color="auto"/>
              <w:bottom w:val="nil" w:sz="6" w:space="0" w:color="auto"/>
              <w:right w:val="nil" w:sz="6" w:space="0" w:color="auto"/>
            </w:tcBorders>
          </w:tcPr>
          <w:p>
            <w:pPr/>
          </w:p>
        </w:tc>
        <w:tc>
          <w:tcPr>
            <w:tcW w:w="2399" w:type="dxa"/>
            <w:tcBorders>
              <w:top w:val="nil" w:sz="6" w:space="0" w:color="auto"/>
              <w:left w:val="nil" w:sz="6" w:space="0" w:color="auto"/>
              <w:bottom w:val="nil" w:sz="6" w:space="0" w:color="auto"/>
              <w:right w:val="nil" w:sz="6" w:space="0" w:color="auto"/>
            </w:tcBorders>
          </w:tcPr>
          <w:p>
            <w:pPr>
              <w:pStyle w:val="TableParagraph"/>
              <w:spacing w:line="167" w:lineRule="exact"/>
              <w:ind w:left="748" w:right="0"/>
              <w:jc w:val="left"/>
              <w:rPr>
                <w:rFonts w:ascii="宋体" w:hAnsi="宋体" w:cs="宋体" w:eastAsia="宋体" w:hint="default"/>
                <w:sz w:val="16"/>
                <w:szCs w:val="16"/>
              </w:rPr>
            </w:pPr>
            <w:r>
              <w:rPr>
                <w:rFonts w:ascii="宋体" w:hAnsi="宋体" w:cs="宋体" w:eastAsia="宋体" w:hint="default"/>
                <w:sz w:val="16"/>
                <w:szCs w:val="16"/>
              </w:rPr>
              <w:t>其他应收款</w:t>
            </w:r>
          </w:p>
        </w:tc>
        <w:tc>
          <w:tcPr>
            <w:tcW w:w="1901" w:type="dxa"/>
            <w:tcBorders>
              <w:top w:val="nil" w:sz="6" w:space="0" w:color="auto"/>
              <w:left w:val="nil" w:sz="6" w:space="0" w:color="auto"/>
              <w:bottom w:val="nil" w:sz="6" w:space="0" w:color="auto"/>
              <w:right w:val="nil" w:sz="6" w:space="0" w:color="auto"/>
            </w:tcBorders>
          </w:tcPr>
          <w:p>
            <w:pPr>
              <w:pStyle w:val="TableParagraph"/>
              <w:spacing w:line="167" w:lineRule="exact"/>
              <w:ind w:left="391" w:right="0"/>
              <w:jc w:val="left"/>
              <w:rPr>
                <w:rFonts w:ascii="宋体" w:hAnsi="宋体" w:cs="宋体" w:eastAsia="宋体" w:hint="default"/>
                <w:sz w:val="16"/>
                <w:szCs w:val="16"/>
              </w:rPr>
            </w:pPr>
            <w:r>
              <w:rPr>
                <w:rFonts w:ascii="宋体" w:hAnsi="宋体" w:cs="宋体" w:eastAsia="宋体" w:hint="default"/>
                <w:sz w:val="16"/>
                <w:szCs w:val="16"/>
              </w:rPr>
              <w:t>坏账准备</w:t>
            </w:r>
          </w:p>
        </w:tc>
        <w:tc>
          <w:tcPr>
            <w:tcW w:w="1850" w:type="dxa"/>
            <w:tcBorders>
              <w:top w:val="nil" w:sz="6" w:space="0" w:color="auto"/>
              <w:left w:val="nil" w:sz="6" w:space="0" w:color="auto"/>
              <w:bottom w:val="nil" w:sz="6" w:space="0" w:color="auto"/>
              <w:right w:val="nil" w:sz="6" w:space="0" w:color="auto"/>
            </w:tcBorders>
          </w:tcPr>
          <w:p>
            <w:pPr>
              <w:pStyle w:val="TableParagraph"/>
              <w:spacing w:line="179" w:lineRule="exact"/>
              <w:ind w:left="300" w:right="0"/>
              <w:jc w:val="left"/>
              <w:rPr>
                <w:rFonts w:ascii="宋体" w:hAnsi="宋体" w:cs="宋体" w:eastAsia="宋体" w:hint="default"/>
                <w:sz w:val="16"/>
                <w:szCs w:val="16"/>
              </w:rPr>
            </w:pPr>
            <w:r>
              <w:rPr>
                <w:rFonts w:ascii="宋体" w:hAnsi="宋体" w:cs="宋体" w:eastAsia="宋体" w:hint="default"/>
                <w:sz w:val="16"/>
                <w:szCs w:val="16"/>
              </w:rPr>
              <w:t>计提比例（</w:t>
            </w:r>
            <w:r>
              <w:rPr>
                <w:rFonts w:ascii="Times New Roman" w:hAnsi="Times New Roman" w:cs="Times New Roman" w:eastAsia="Times New Roman" w:hint="default"/>
                <w:sz w:val="16"/>
                <w:szCs w:val="16"/>
              </w:rPr>
              <w:t>%</w:t>
            </w:r>
            <w:r>
              <w:rPr>
                <w:rFonts w:ascii="宋体" w:hAnsi="宋体" w:cs="宋体" w:eastAsia="宋体" w:hint="default"/>
                <w:sz w:val="16"/>
                <w:szCs w:val="16"/>
              </w:rPr>
              <w:t>）</w:t>
            </w:r>
          </w:p>
        </w:tc>
      </w:tr>
      <w:tr>
        <w:trPr>
          <w:trHeight w:val="352" w:hRule="exact"/>
        </w:trPr>
        <w:tc>
          <w:tcPr>
            <w:tcW w:w="78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年以内</w:t>
            </w:r>
          </w:p>
        </w:tc>
        <w:tc>
          <w:tcPr>
            <w:tcW w:w="1181" w:type="dxa"/>
            <w:tcBorders>
              <w:top w:val="nil" w:sz="6" w:space="0" w:color="auto"/>
              <w:left w:val="nil" w:sz="6" w:space="0" w:color="auto"/>
              <w:bottom w:val="nil" w:sz="6" w:space="0" w:color="auto"/>
              <w:right w:val="nil" w:sz="6" w:space="0" w:color="auto"/>
            </w:tcBorders>
          </w:tcPr>
          <w:p>
            <w:pPr/>
          </w:p>
        </w:tc>
        <w:tc>
          <w:tcPr>
            <w:tcW w:w="239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89"/>
              <w:jc w:val="right"/>
              <w:rPr>
                <w:rFonts w:ascii="Times New Roman" w:hAnsi="Times New Roman" w:cs="Times New Roman" w:eastAsia="Times New Roman" w:hint="default"/>
                <w:sz w:val="16"/>
                <w:szCs w:val="16"/>
              </w:rPr>
            </w:pPr>
            <w:r>
              <w:rPr>
                <w:rFonts w:ascii="Times New Roman"/>
                <w:spacing w:val="-1"/>
                <w:sz w:val="16"/>
              </w:rPr>
              <w:t>18,811,519.80</w:t>
            </w:r>
          </w:p>
        </w:tc>
        <w:tc>
          <w:tcPr>
            <w:tcW w:w="190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98"/>
              <w:jc w:val="right"/>
              <w:rPr>
                <w:rFonts w:ascii="Times New Roman" w:hAnsi="Times New Roman" w:cs="Times New Roman" w:eastAsia="Times New Roman" w:hint="default"/>
                <w:sz w:val="16"/>
                <w:szCs w:val="16"/>
              </w:rPr>
            </w:pPr>
            <w:r>
              <w:rPr>
                <w:rFonts w:ascii="Times New Roman"/>
                <w:spacing w:val="-1"/>
                <w:sz w:val="16"/>
              </w:rPr>
              <w:t>940,575.99</w:t>
            </w:r>
          </w:p>
        </w:tc>
        <w:tc>
          <w:tcPr>
            <w:tcW w:w="185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5.00</w:t>
            </w:r>
          </w:p>
        </w:tc>
      </w:tr>
      <w:tr>
        <w:trPr>
          <w:trHeight w:val="349" w:hRule="exact"/>
        </w:trPr>
        <w:tc>
          <w:tcPr>
            <w:tcW w:w="78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至</w:t>
            </w:r>
            <w:r>
              <w:rPr>
                <w:rFonts w:ascii="宋体" w:hAnsi="宋体" w:cs="宋体" w:eastAsia="宋体" w:hint="default"/>
                <w:spacing w:val="-42"/>
                <w:sz w:val="16"/>
                <w:szCs w:val="16"/>
              </w:rPr>
              <w:t> </w:t>
            </w: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年</w:t>
            </w:r>
          </w:p>
        </w:tc>
        <w:tc>
          <w:tcPr>
            <w:tcW w:w="1181" w:type="dxa"/>
            <w:tcBorders>
              <w:top w:val="nil" w:sz="6" w:space="0" w:color="auto"/>
              <w:left w:val="nil" w:sz="6" w:space="0" w:color="auto"/>
              <w:bottom w:val="nil" w:sz="6" w:space="0" w:color="auto"/>
              <w:right w:val="nil" w:sz="6" w:space="0" w:color="auto"/>
            </w:tcBorders>
          </w:tcPr>
          <w:p>
            <w:pPr/>
          </w:p>
        </w:tc>
        <w:tc>
          <w:tcPr>
            <w:tcW w:w="2399"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389"/>
              <w:jc w:val="right"/>
              <w:rPr>
                <w:rFonts w:ascii="Times New Roman" w:hAnsi="Times New Roman" w:cs="Times New Roman" w:eastAsia="Times New Roman" w:hint="default"/>
                <w:sz w:val="16"/>
                <w:szCs w:val="16"/>
              </w:rPr>
            </w:pPr>
            <w:r>
              <w:rPr>
                <w:rFonts w:ascii="Times New Roman"/>
                <w:spacing w:val="-1"/>
                <w:sz w:val="16"/>
              </w:rPr>
              <w:t>7,600,621.20</w:t>
            </w:r>
          </w:p>
        </w:tc>
        <w:tc>
          <w:tcPr>
            <w:tcW w:w="1901"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98"/>
              <w:jc w:val="right"/>
              <w:rPr>
                <w:rFonts w:ascii="Times New Roman" w:hAnsi="Times New Roman" w:cs="Times New Roman" w:eastAsia="Times New Roman" w:hint="default"/>
                <w:sz w:val="16"/>
                <w:szCs w:val="16"/>
              </w:rPr>
            </w:pPr>
            <w:r>
              <w:rPr>
                <w:rFonts w:ascii="Times New Roman"/>
                <w:spacing w:val="-1"/>
                <w:sz w:val="16"/>
              </w:rPr>
              <w:t>760,062.12</w:t>
            </w:r>
          </w:p>
        </w:tc>
        <w:tc>
          <w:tcPr>
            <w:tcW w:w="1850"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8"/>
              <w:jc w:val="right"/>
              <w:rPr>
                <w:rFonts w:ascii="Times New Roman" w:hAnsi="Times New Roman" w:cs="Times New Roman" w:eastAsia="Times New Roman" w:hint="default"/>
                <w:sz w:val="16"/>
                <w:szCs w:val="16"/>
              </w:rPr>
            </w:pPr>
            <w:r>
              <w:rPr>
                <w:rFonts w:ascii="Times New Roman"/>
                <w:spacing w:val="-1"/>
                <w:sz w:val="16"/>
              </w:rPr>
              <w:t>10.00</w:t>
            </w:r>
          </w:p>
        </w:tc>
      </w:tr>
      <w:tr>
        <w:trPr>
          <w:trHeight w:val="349" w:hRule="exact"/>
        </w:trPr>
        <w:tc>
          <w:tcPr>
            <w:tcW w:w="78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至</w:t>
            </w:r>
            <w:r>
              <w:rPr>
                <w:rFonts w:ascii="宋体" w:hAnsi="宋体" w:cs="宋体" w:eastAsia="宋体" w:hint="default"/>
                <w:spacing w:val="-42"/>
                <w:sz w:val="16"/>
                <w:szCs w:val="16"/>
              </w:rPr>
              <w:t> </w:t>
            </w:r>
            <w:r>
              <w:rPr>
                <w:rFonts w:ascii="Times New Roman" w:hAnsi="Times New Roman" w:cs="Times New Roman" w:eastAsia="Times New Roman" w:hint="default"/>
                <w:sz w:val="16"/>
                <w:szCs w:val="16"/>
              </w:rPr>
              <w:t>3</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年</w:t>
            </w:r>
          </w:p>
        </w:tc>
        <w:tc>
          <w:tcPr>
            <w:tcW w:w="1181" w:type="dxa"/>
            <w:tcBorders>
              <w:top w:val="nil" w:sz="6" w:space="0" w:color="auto"/>
              <w:left w:val="nil" w:sz="6" w:space="0" w:color="auto"/>
              <w:bottom w:val="nil" w:sz="6" w:space="0" w:color="auto"/>
              <w:right w:val="nil" w:sz="6" w:space="0" w:color="auto"/>
            </w:tcBorders>
          </w:tcPr>
          <w:p>
            <w:pPr/>
          </w:p>
        </w:tc>
        <w:tc>
          <w:tcPr>
            <w:tcW w:w="2399"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389"/>
              <w:jc w:val="right"/>
              <w:rPr>
                <w:rFonts w:ascii="Times New Roman" w:hAnsi="Times New Roman" w:cs="Times New Roman" w:eastAsia="Times New Roman" w:hint="default"/>
                <w:sz w:val="16"/>
                <w:szCs w:val="16"/>
              </w:rPr>
            </w:pPr>
            <w:r>
              <w:rPr>
                <w:rFonts w:ascii="Times New Roman"/>
                <w:spacing w:val="-1"/>
                <w:sz w:val="16"/>
              </w:rPr>
              <w:t>1,626,672.43</w:t>
            </w:r>
          </w:p>
        </w:tc>
        <w:tc>
          <w:tcPr>
            <w:tcW w:w="1901"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98"/>
              <w:jc w:val="right"/>
              <w:rPr>
                <w:rFonts w:ascii="Times New Roman" w:hAnsi="Times New Roman" w:cs="Times New Roman" w:eastAsia="Times New Roman" w:hint="default"/>
                <w:sz w:val="16"/>
                <w:szCs w:val="16"/>
              </w:rPr>
            </w:pPr>
            <w:r>
              <w:rPr>
                <w:rFonts w:ascii="Times New Roman"/>
                <w:spacing w:val="-1"/>
                <w:sz w:val="16"/>
              </w:rPr>
              <w:t>488,001.73</w:t>
            </w:r>
          </w:p>
        </w:tc>
        <w:tc>
          <w:tcPr>
            <w:tcW w:w="1850"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8"/>
              <w:jc w:val="right"/>
              <w:rPr>
                <w:rFonts w:ascii="Times New Roman" w:hAnsi="Times New Roman" w:cs="Times New Roman" w:eastAsia="Times New Roman" w:hint="default"/>
                <w:sz w:val="16"/>
                <w:szCs w:val="16"/>
              </w:rPr>
            </w:pPr>
            <w:r>
              <w:rPr>
                <w:rFonts w:ascii="Times New Roman"/>
                <w:spacing w:val="-1"/>
                <w:sz w:val="16"/>
              </w:rPr>
              <w:t>30.00</w:t>
            </w:r>
          </w:p>
        </w:tc>
      </w:tr>
      <w:tr>
        <w:trPr>
          <w:trHeight w:val="349" w:hRule="exact"/>
        </w:trPr>
        <w:tc>
          <w:tcPr>
            <w:tcW w:w="782" w:type="dxa"/>
            <w:tcBorders>
              <w:top w:val="nil" w:sz="6" w:space="0" w:color="auto"/>
              <w:left w:val="nil" w:sz="6" w:space="0" w:color="auto"/>
              <w:bottom w:val="nil" w:sz="6" w:space="0" w:color="auto"/>
              <w:right w:val="nil" w:sz="6" w:space="0" w:color="auto"/>
            </w:tcBorders>
          </w:tcPr>
          <w:p>
            <w:pPr>
              <w:pStyle w:val="TableParagraph"/>
              <w:spacing w:line="240" w:lineRule="auto" w:before="37"/>
              <w:ind w:left="70"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至</w:t>
            </w:r>
            <w:r>
              <w:rPr>
                <w:rFonts w:ascii="宋体" w:hAnsi="宋体" w:cs="宋体" w:eastAsia="宋体" w:hint="default"/>
                <w:spacing w:val="-42"/>
                <w:sz w:val="16"/>
                <w:szCs w:val="16"/>
              </w:rPr>
              <w:t> </w:t>
            </w:r>
            <w:r>
              <w:rPr>
                <w:rFonts w:ascii="Times New Roman" w:hAnsi="Times New Roman" w:cs="Times New Roman" w:eastAsia="Times New Roman" w:hint="default"/>
                <w:sz w:val="16"/>
                <w:szCs w:val="16"/>
              </w:rPr>
              <w:t>4</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年</w:t>
            </w:r>
          </w:p>
        </w:tc>
        <w:tc>
          <w:tcPr>
            <w:tcW w:w="1181" w:type="dxa"/>
            <w:tcBorders>
              <w:top w:val="nil" w:sz="6" w:space="0" w:color="auto"/>
              <w:left w:val="nil" w:sz="6" w:space="0" w:color="auto"/>
              <w:bottom w:val="nil" w:sz="6" w:space="0" w:color="auto"/>
              <w:right w:val="nil" w:sz="6" w:space="0" w:color="auto"/>
            </w:tcBorders>
          </w:tcPr>
          <w:p>
            <w:pPr/>
          </w:p>
        </w:tc>
        <w:tc>
          <w:tcPr>
            <w:tcW w:w="2399"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89"/>
              <w:jc w:val="right"/>
              <w:rPr>
                <w:rFonts w:ascii="Times New Roman" w:hAnsi="Times New Roman" w:cs="Times New Roman" w:eastAsia="Times New Roman" w:hint="default"/>
                <w:sz w:val="16"/>
                <w:szCs w:val="16"/>
              </w:rPr>
            </w:pPr>
            <w:r>
              <w:rPr>
                <w:rFonts w:ascii="Times New Roman"/>
                <w:spacing w:val="-2"/>
                <w:sz w:val="16"/>
              </w:rPr>
              <w:t>5,111,623.02</w:t>
            </w:r>
          </w:p>
        </w:tc>
        <w:tc>
          <w:tcPr>
            <w:tcW w:w="190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98"/>
              <w:jc w:val="right"/>
              <w:rPr>
                <w:rFonts w:ascii="Times New Roman" w:hAnsi="Times New Roman" w:cs="Times New Roman" w:eastAsia="Times New Roman" w:hint="default"/>
                <w:sz w:val="16"/>
                <w:szCs w:val="16"/>
              </w:rPr>
            </w:pPr>
            <w:r>
              <w:rPr>
                <w:rFonts w:ascii="Times New Roman"/>
                <w:spacing w:val="-1"/>
                <w:sz w:val="16"/>
              </w:rPr>
              <w:t>3,066,973.81</w:t>
            </w:r>
          </w:p>
        </w:tc>
        <w:tc>
          <w:tcPr>
            <w:tcW w:w="185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68"/>
              <w:jc w:val="right"/>
              <w:rPr>
                <w:rFonts w:ascii="Times New Roman" w:hAnsi="Times New Roman" w:cs="Times New Roman" w:eastAsia="Times New Roman" w:hint="default"/>
                <w:sz w:val="16"/>
                <w:szCs w:val="16"/>
              </w:rPr>
            </w:pPr>
            <w:r>
              <w:rPr>
                <w:rFonts w:ascii="Times New Roman"/>
                <w:spacing w:val="-1"/>
                <w:sz w:val="16"/>
              </w:rPr>
              <w:t>60.00</w:t>
            </w:r>
          </w:p>
        </w:tc>
      </w:tr>
      <w:tr>
        <w:trPr>
          <w:trHeight w:val="349" w:hRule="exact"/>
        </w:trPr>
        <w:tc>
          <w:tcPr>
            <w:tcW w:w="782" w:type="dxa"/>
            <w:tcBorders>
              <w:top w:val="nil" w:sz="6" w:space="0" w:color="auto"/>
              <w:left w:val="nil" w:sz="6" w:space="0" w:color="auto"/>
              <w:bottom w:val="nil" w:sz="6" w:space="0" w:color="auto"/>
              <w:right w:val="nil" w:sz="6" w:space="0" w:color="auto"/>
            </w:tcBorders>
          </w:tcPr>
          <w:p>
            <w:pPr>
              <w:pStyle w:val="TableParagraph"/>
              <w:spacing w:line="240" w:lineRule="auto" w:before="37"/>
              <w:ind w:left="70"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4</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至</w:t>
            </w:r>
            <w:r>
              <w:rPr>
                <w:rFonts w:ascii="宋体" w:hAnsi="宋体" w:cs="宋体" w:eastAsia="宋体" w:hint="default"/>
                <w:spacing w:val="-42"/>
                <w:sz w:val="16"/>
                <w:szCs w:val="16"/>
              </w:rPr>
              <w:t> </w:t>
            </w:r>
            <w:r>
              <w:rPr>
                <w:rFonts w:ascii="Times New Roman" w:hAnsi="Times New Roman" w:cs="Times New Roman" w:eastAsia="Times New Roman" w:hint="default"/>
                <w:sz w:val="16"/>
                <w:szCs w:val="16"/>
              </w:rPr>
              <w:t>5</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年</w:t>
            </w:r>
          </w:p>
        </w:tc>
        <w:tc>
          <w:tcPr>
            <w:tcW w:w="1181" w:type="dxa"/>
            <w:tcBorders>
              <w:top w:val="nil" w:sz="6" w:space="0" w:color="auto"/>
              <w:left w:val="nil" w:sz="6" w:space="0" w:color="auto"/>
              <w:bottom w:val="nil" w:sz="6" w:space="0" w:color="auto"/>
              <w:right w:val="nil" w:sz="6" w:space="0" w:color="auto"/>
            </w:tcBorders>
          </w:tcPr>
          <w:p>
            <w:pPr/>
          </w:p>
        </w:tc>
        <w:tc>
          <w:tcPr>
            <w:tcW w:w="2399"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389"/>
              <w:jc w:val="right"/>
              <w:rPr>
                <w:rFonts w:ascii="Times New Roman" w:hAnsi="Times New Roman" w:cs="Times New Roman" w:eastAsia="Times New Roman" w:hint="default"/>
                <w:sz w:val="16"/>
                <w:szCs w:val="16"/>
              </w:rPr>
            </w:pPr>
            <w:r>
              <w:rPr>
                <w:rFonts w:ascii="Times New Roman"/>
                <w:spacing w:val="-1"/>
                <w:sz w:val="16"/>
              </w:rPr>
              <w:t>907,652.81</w:t>
            </w:r>
          </w:p>
        </w:tc>
        <w:tc>
          <w:tcPr>
            <w:tcW w:w="1901"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98"/>
              <w:jc w:val="right"/>
              <w:rPr>
                <w:rFonts w:ascii="Times New Roman" w:hAnsi="Times New Roman" w:cs="Times New Roman" w:eastAsia="Times New Roman" w:hint="default"/>
                <w:sz w:val="16"/>
                <w:szCs w:val="16"/>
              </w:rPr>
            </w:pPr>
            <w:r>
              <w:rPr>
                <w:rFonts w:ascii="Times New Roman"/>
                <w:spacing w:val="-1"/>
                <w:sz w:val="16"/>
              </w:rPr>
              <w:t>726,122.25</w:t>
            </w:r>
          </w:p>
        </w:tc>
        <w:tc>
          <w:tcPr>
            <w:tcW w:w="1850"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8"/>
              <w:jc w:val="right"/>
              <w:rPr>
                <w:rFonts w:ascii="Times New Roman" w:hAnsi="Times New Roman" w:cs="Times New Roman" w:eastAsia="Times New Roman" w:hint="default"/>
                <w:sz w:val="16"/>
                <w:szCs w:val="16"/>
              </w:rPr>
            </w:pPr>
            <w:r>
              <w:rPr>
                <w:rFonts w:ascii="Times New Roman"/>
                <w:spacing w:val="-1"/>
                <w:sz w:val="16"/>
              </w:rPr>
              <w:t>80.00</w:t>
            </w:r>
          </w:p>
        </w:tc>
      </w:tr>
      <w:tr>
        <w:trPr>
          <w:trHeight w:val="349" w:hRule="exact"/>
        </w:trPr>
        <w:tc>
          <w:tcPr>
            <w:tcW w:w="782"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5</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年以上</w:t>
            </w:r>
          </w:p>
        </w:tc>
        <w:tc>
          <w:tcPr>
            <w:tcW w:w="1181" w:type="dxa"/>
            <w:tcBorders>
              <w:top w:val="nil" w:sz="6" w:space="0" w:color="auto"/>
              <w:left w:val="nil" w:sz="6" w:space="0" w:color="auto"/>
              <w:bottom w:val="nil" w:sz="6" w:space="0" w:color="auto"/>
              <w:right w:val="nil" w:sz="6" w:space="0" w:color="auto"/>
            </w:tcBorders>
          </w:tcPr>
          <w:p>
            <w:pPr/>
          </w:p>
        </w:tc>
        <w:tc>
          <w:tcPr>
            <w:tcW w:w="2399"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389"/>
              <w:jc w:val="right"/>
              <w:rPr>
                <w:rFonts w:ascii="Times New Roman" w:hAnsi="Times New Roman" w:cs="Times New Roman" w:eastAsia="Times New Roman" w:hint="default"/>
                <w:sz w:val="16"/>
                <w:szCs w:val="16"/>
              </w:rPr>
            </w:pPr>
            <w:r>
              <w:rPr>
                <w:rFonts w:ascii="Times New Roman"/>
                <w:spacing w:val="-1"/>
                <w:sz w:val="16"/>
              </w:rPr>
              <w:t>11,442,530.44</w:t>
            </w:r>
          </w:p>
        </w:tc>
        <w:tc>
          <w:tcPr>
            <w:tcW w:w="1901"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98"/>
              <w:jc w:val="right"/>
              <w:rPr>
                <w:rFonts w:ascii="Times New Roman" w:hAnsi="Times New Roman" w:cs="Times New Roman" w:eastAsia="Times New Roman" w:hint="default"/>
                <w:sz w:val="16"/>
                <w:szCs w:val="16"/>
              </w:rPr>
            </w:pPr>
            <w:r>
              <w:rPr>
                <w:rFonts w:ascii="Times New Roman"/>
                <w:spacing w:val="-1"/>
                <w:sz w:val="16"/>
              </w:rPr>
              <w:t>11,442,530.44</w:t>
            </w:r>
          </w:p>
        </w:tc>
        <w:tc>
          <w:tcPr>
            <w:tcW w:w="1850"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8"/>
              <w:jc w:val="right"/>
              <w:rPr>
                <w:rFonts w:ascii="Times New Roman" w:hAnsi="Times New Roman" w:cs="Times New Roman" w:eastAsia="Times New Roman" w:hint="default"/>
                <w:sz w:val="16"/>
                <w:szCs w:val="16"/>
              </w:rPr>
            </w:pPr>
            <w:r>
              <w:rPr>
                <w:rFonts w:ascii="Times New Roman"/>
                <w:spacing w:val="-1"/>
                <w:sz w:val="16"/>
              </w:rPr>
              <w:t>100.00</w:t>
            </w:r>
          </w:p>
        </w:tc>
      </w:tr>
      <w:tr>
        <w:trPr>
          <w:trHeight w:val="354" w:hRule="exact"/>
        </w:trPr>
        <w:tc>
          <w:tcPr>
            <w:tcW w:w="782" w:type="dxa"/>
            <w:tcBorders>
              <w:top w:val="nil" w:sz="6" w:space="0" w:color="auto"/>
              <w:left w:val="nil" w:sz="6" w:space="0" w:color="auto"/>
              <w:bottom w:val="nil" w:sz="6" w:space="0" w:color="auto"/>
              <w:right w:val="nil" w:sz="6" w:space="0" w:color="auto"/>
            </w:tcBorders>
          </w:tcPr>
          <w:p>
            <w:pPr/>
          </w:p>
        </w:tc>
        <w:tc>
          <w:tcPr>
            <w:tcW w:w="118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12"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399"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389"/>
              <w:jc w:val="right"/>
              <w:rPr>
                <w:rFonts w:ascii="Times New Roman" w:hAnsi="Times New Roman" w:cs="Times New Roman" w:eastAsia="Times New Roman" w:hint="default"/>
                <w:sz w:val="16"/>
                <w:szCs w:val="16"/>
              </w:rPr>
            </w:pPr>
            <w:r>
              <w:rPr>
                <w:rFonts w:ascii="Times New Roman"/>
                <w:spacing w:val="-1"/>
                <w:sz w:val="16"/>
              </w:rPr>
              <w:t>45,500,619.70</w:t>
            </w:r>
          </w:p>
        </w:tc>
        <w:tc>
          <w:tcPr>
            <w:tcW w:w="1901"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98"/>
              <w:jc w:val="right"/>
              <w:rPr>
                <w:rFonts w:ascii="Times New Roman" w:hAnsi="Times New Roman" w:cs="Times New Roman" w:eastAsia="Times New Roman" w:hint="default"/>
                <w:sz w:val="16"/>
                <w:szCs w:val="16"/>
              </w:rPr>
            </w:pPr>
            <w:r>
              <w:rPr>
                <w:rFonts w:ascii="Times New Roman"/>
                <w:spacing w:val="-1"/>
                <w:sz w:val="16"/>
              </w:rPr>
              <w:t>17,424,266.34</w:t>
            </w:r>
          </w:p>
        </w:tc>
        <w:tc>
          <w:tcPr>
            <w:tcW w:w="1850"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p>
      <w:pPr>
        <w:pStyle w:val="BodyText"/>
        <w:spacing w:line="240" w:lineRule="auto" w:before="35"/>
        <w:ind w:right="3681"/>
        <w:jc w:val="left"/>
      </w:pPr>
      <w:r>
        <w:rPr/>
        <w:t>组合中，采用其他方法计提坏账准备的其他应收款</w:t>
      </w:r>
    </w:p>
    <w:p>
      <w:pPr>
        <w:spacing w:line="240" w:lineRule="auto" w:before="5"/>
        <w:rPr>
          <w:rFonts w:ascii="宋体" w:hAnsi="宋体" w:cs="宋体" w:eastAsia="宋体" w:hint="default"/>
          <w:sz w:val="2"/>
          <w:szCs w:val="2"/>
        </w:rPr>
      </w:pPr>
    </w:p>
    <w:p>
      <w:pPr>
        <w:spacing w:line="1578" w:lineRule="exact"/>
        <w:ind w:left="720" w:right="0" w:firstLine="0"/>
        <w:rPr>
          <w:rFonts w:ascii="宋体" w:hAnsi="宋体" w:cs="宋体" w:eastAsia="宋体" w:hint="default"/>
          <w:sz w:val="20"/>
          <w:szCs w:val="20"/>
        </w:rPr>
      </w:pPr>
      <w:r>
        <w:rPr>
          <w:rFonts w:ascii="宋体" w:hAnsi="宋体" w:cs="宋体" w:eastAsia="宋体" w:hint="default"/>
          <w:position w:val="-31"/>
          <w:sz w:val="20"/>
          <w:szCs w:val="20"/>
        </w:rPr>
        <w:pict>
          <v:group style="width:412.05pt;height:78.9pt;mso-position-horizontal-relative:char;mso-position-vertical-relative:line" coordorigin="0,0" coordsize="8241,1578">
            <v:group style="position:absolute;left:29;top:15;width:2208;height:2" coordorigin="29,15" coordsize="2208,2">
              <v:shape style="position:absolute;left:29;top:15;width:2208;height:2" coordorigin="29,15" coordsize="2208,0" path="m29,15l2237,15e" filled="false" stroked="true" strokeweight="1.5pt" strokecolor="#000000">
                <v:path arrowok="t"/>
              </v:shape>
            </v:group>
            <v:group style="position:absolute;left:2237;top:15;width:5980;height:2" coordorigin="2237,15" coordsize="5980,2">
              <v:shape style="position:absolute;left:2237;top:15;width:5980;height:2" coordorigin="2237,15" coordsize="5980,0" path="m2237,15l8217,15e" filled="false" stroked="true" strokeweight="1.5pt" strokecolor="#000000">
                <v:path arrowok="t"/>
              </v:shape>
              <v:shape style="position:absolute;left:2237;top:30;width:10;height:340" type="#_x0000_t75" stroked="false">
                <v:imagedata r:id="rId134" o:title=""/>
              </v:shape>
              <v:shape style="position:absolute;left:2218;top:350;width:6023;height:388" type="#_x0000_t75" stroked="false">
                <v:imagedata r:id="rId135" o:title=""/>
              </v:shape>
            </v:group>
            <v:group style="position:absolute;left:15;top:1563;width:2223;height:2" coordorigin="15,1563" coordsize="2223,2">
              <v:shape style="position:absolute;left:15;top:1563;width:2223;height:2" coordorigin="15,1563" coordsize="2223,0" path="m15,1563l2237,1563e" filled="false" stroked="true" strokeweight="1.5pt" strokecolor="#000000">
                <v:path arrowok="t"/>
              </v:shape>
            </v:group>
            <v:group style="position:absolute;left:2237;top:1563;width:1922;height:2" coordorigin="2237,1563" coordsize="1922,2">
              <v:shape style="position:absolute;left:2237;top:1563;width:1922;height:2" coordorigin="2237,1563" coordsize="1922,0" path="m2237,1563l4159,1563e" filled="false" stroked="true" strokeweight="1.5pt" strokecolor="#000000">
                <v:path arrowok="t"/>
              </v:shape>
            </v:group>
            <v:group style="position:absolute;left:4159;top:1563;width:1923;height:2" coordorigin="4159,1563" coordsize="1923,2">
              <v:shape style="position:absolute;left:4159;top:1563;width:1923;height:2" coordorigin="4159,1563" coordsize="1923,0" path="m4159,1563l6081,1563e" filled="false" stroked="true" strokeweight="1.5pt" strokecolor="#000000">
                <v:path arrowok="t"/>
              </v:shape>
              <v:shape style="position:absolute;left:10;top:700;width:8231;height:848" type="#_x0000_t75" stroked="false">
                <v:imagedata r:id="rId136" o:title=""/>
              </v:shape>
            </v:group>
            <v:group style="position:absolute;left:6081;top:1563;width:2136;height:2" coordorigin="6081,1563" coordsize="2136,2">
              <v:shape style="position:absolute;left:6081;top:1563;width:2136;height:2" coordorigin="6081,1563" coordsize="2136,0" path="m6081,1563l8217,1563e" filled="false" stroked="true" strokeweight="1.5pt" strokecolor="#000000">
                <v:path arrowok="t"/>
              </v:shape>
              <v:shape style="position:absolute;left:4910;top:11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815;top:292;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组合名称</w:t>
                      </w:r>
                      <w:r>
                        <w:rPr>
                          <w:rFonts w:ascii="宋体" w:hAnsi="宋体" w:cs="宋体" w:eastAsia="宋体" w:hint="default"/>
                          <w:sz w:val="16"/>
                          <w:szCs w:val="16"/>
                        </w:rPr>
                      </w:r>
                    </w:p>
                  </w:txbxContent>
                </v:textbox>
                <w10:wrap type="none"/>
              </v:shape>
              <v:shape style="position:absolute;left:2803;top:468;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其他应收款</w:t>
                      </w:r>
                      <w:r>
                        <w:rPr>
                          <w:rFonts w:ascii="宋体" w:hAnsi="宋体" w:cs="宋体" w:eastAsia="宋体" w:hint="default"/>
                          <w:sz w:val="16"/>
                          <w:szCs w:val="16"/>
                        </w:rPr>
                      </w:r>
                    </w:p>
                  </w:txbxContent>
                </v:textbox>
                <w10:wrap type="none"/>
              </v:shape>
              <v:shape style="position:absolute;left:4804;top:46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坏账准备</w:t>
                      </w:r>
                      <w:r>
                        <w:rPr>
                          <w:rFonts w:ascii="宋体" w:hAnsi="宋体" w:cs="宋体" w:eastAsia="宋体" w:hint="default"/>
                          <w:sz w:val="16"/>
                          <w:szCs w:val="16"/>
                        </w:rPr>
                      </w:r>
                    </w:p>
                  </w:txbxContent>
                </v:textbox>
                <w10:wrap type="none"/>
              </v:shape>
              <v:shape style="position:absolute;left:6604;top:468;width:1092;height:169" type="#_x0000_t202" filled="false" stroked="false">
                <v:textbox inset="0,0,0,0">
                  <w:txbxContent>
                    <w:p>
                      <w:pPr>
                        <w:spacing w:line="168"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计提比例（</w:t>
                      </w:r>
                      <w:r>
                        <w:rPr>
                          <w:rFonts w:ascii="Times New Roman" w:hAnsi="Times New Roman" w:cs="Times New Roman" w:eastAsia="Times New Roman" w:hint="default"/>
                          <w:w w:val="95"/>
                          <w:sz w:val="16"/>
                          <w:szCs w:val="16"/>
                        </w:rPr>
                        <w:t>%</w:t>
                      </w:r>
                      <w:r>
                        <w:rPr>
                          <w:rFonts w:ascii="宋体" w:hAnsi="宋体" w:cs="宋体" w:eastAsia="宋体" w:hint="default"/>
                          <w:w w:val="95"/>
                          <w:sz w:val="16"/>
                          <w:szCs w:val="16"/>
                        </w:rPr>
                        <w:t>）</w:t>
                      </w:r>
                      <w:r>
                        <w:rPr>
                          <w:rFonts w:ascii="宋体" w:hAnsi="宋体" w:cs="宋体" w:eastAsia="宋体" w:hint="default"/>
                          <w:sz w:val="16"/>
                          <w:szCs w:val="16"/>
                        </w:rPr>
                      </w:r>
                    </w:p>
                  </w:txbxContent>
                </v:textbox>
                <w10:wrap type="none"/>
              </v:shape>
              <v:shape style="position:absolute;left:137;top:778;width:1919;height:680"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在合同规定的收款账期内的</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应收款项组合</w:t>
                      </w:r>
                    </w:p>
                    <w:p>
                      <w:pPr>
                        <w:spacing w:before="102"/>
                        <w:ind w:left="75" w:right="0" w:firstLine="0"/>
                        <w:jc w:val="center"/>
                        <w:rPr>
                          <w:rFonts w:ascii="宋体" w:hAnsi="宋体" w:cs="宋体" w:eastAsia="宋体" w:hint="default"/>
                          <w:sz w:val="16"/>
                          <w:szCs w:val="16"/>
                        </w:rPr>
                      </w:pPr>
                      <w:r>
                        <w:rPr>
                          <w:rFonts w:ascii="宋体" w:hAnsi="宋体" w:cs="宋体" w:eastAsia="宋体" w:hint="default"/>
                          <w:sz w:val="16"/>
                          <w:szCs w:val="16"/>
                        </w:rPr>
                        <w:t>合计</w:t>
                      </w:r>
                    </w:p>
                  </w:txbxContent>
                </v:textbox>
                <w10:wrap type="none"/>
              </v:shape>
              <v:shape style="position:absolute;left:3135;top:896;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21,230,039.00</w:t>
                      </w:r>
                      <w:r>
                        <w:rPr>
                          <w:rFonts w:ascii="Times New Roman"/>
                          <w:sz w:val="16"/>
                        </w:rPr>
                      </w:r>
                    </w:p>
                  </w:txbxContent>
                </v:textbox>
                <w10:wrap type="none"/>
              </v:shape>
              <v:shape style="position:absolute;left:3135;top:1312;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21,230,039.00</w:t>
                      </w:r>
                      <w:r>
                        <w:rPr>
                          <w:rFonts w:ascii="Times New Roman"/>
                          <w:sz w:val="16"/>
                        </w:rPr>
                      </w:r>
                    </w:p>
                  </w:txbxContent>
                </v:textbox>
                <w10:wrap type="none"/>
              </v:shape>
            </v:group>
          </v:group>
        </w:pict>
      </w:r>
      <w:r>
        <w:rPr>
          <w:rFonts w:ascii="宋体" w:hAnsi="宋体" w:cs="宋体" w:eastAsia="宋体" w:hint="default"/>
          <w:position w:val="-31"/>
          <w:sz w:val="20"/>
          <w:szCs w:val="20"/>
        </w:rPr>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pStyle w:val="BodyText"/>
        <w:spacing w:line="240" w:lineRule="auto" w:before="35"/>
        <w:ind w:right="3681"/>
        <w:jc w:val="left"/>
      </w:pPr>
      <w:r>
        <w:rPr/>
        <w:t>（</w:t>
      </w:r>
      <w:r>
        <w:rPr>
          <w:rFonts w:ascii="Times New Roman" w:hAnsi="Times New Roman" w:cs="Times New Roman" w:eastAsia="Times New Roman" w:hint="default"/>
        </w:rPr>
        <w:t>2</w:t>
      </w:r>
      <w:r>
        <w:rPr/>
        <w:t>）本期计提、转回或收回的坏账准备情况</w:t>
      </w:r>
    </w:p>
    <w:p>
      <w:pPr>
        <w:pStyle w:val="BodyText"/>
        <w:spacing w:line="240" w:lineRule="auto"/>
        <w:ind w:right="1793"/>
        <w:jc w:val="left"/>
      </w:pPr>
      <w:r>
        <w:rPr/>
        <w:t>本期计提坏账准备金额</w:t>
      </w:r>
      <w:r>
        <w:rPr>
          <w:spacing w:val="-58"/>
        </w:rPr>
        <w:t> </w:t>
      </w:r>
      <w:r>
        <w:rPr>
          <w:rFonts w:ascii="Times New Roman" w:hAnsi="Times New Roman" w:cs="Times New Roman" w:eastAsia="Times New Roman" w:hint="default"/>
        </w:rPr>
        <w:t>14,233.15</w:t>
      </w:r>
      <w:r>
        <w:rPr>
          <w:rFonts w:ascii="Times New Roman" w:hAnsi="Times New Roman" w:cs="Times New Roman" w:eastAsia="Times New Roman" w:hint="default"/>
          <w:spacing w:val="-5"/>
        </w:rPr>
        <w:t> </w:t>
      </w:r>
      <w:r>
        <w:rPr/>
        <w:t>元；本期无收回或转回坏账准备。</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pStyle w:val="BodyText"/>
        <w:spacing w:line="240" w:lineRule="auto" w:before="0"/>
        <w:ind w:right="3681"/>
        <w:jc w:val="left"/>
      </w:pPr>
      <w:r>
        <w:rPr/>
        <w:t>（</w:t>
      </w:r>
      <w:r>
        <w:rPr>
          <w:rFonts w:ascii="Times New Roman" w:hAnsi="Times New Roman" w:cs="Times New Roman" w:eastAsia="Times New Roman" w:hint="default"/>
        </w:rPr>
        <w:t>3</w:t>
      </w:r>
      <w:r>
        <w:rPr/>
        <w:t>）本期实际核销的其他应收款情况</w:t>
      </w:r>
    </w:p>
    <w:p>
      <w:pPr>
        <w:spacing w:line="747" w:lineRule="exact"/>
        <w:ind w:left="720" w:right="0" w:firstLine="0"/>
        <w:rPr>
          <w:rFonts w:ascii="宋体" w:hAnsi="宋体" w:cs="宋体" w:eastAsia="宋体" w:hint="default"/>
          <w:sz w:val="20"/>
          <w:szCs w:val="20"/>
        </w:rPr>
      </w:pPr>
      <w:r>
        <w:rPr>
          <w:rFonts w:ascii="宋体" w:hAnsi="宋体" w:cs="宋体" w:eastAsia="宋体" w:hint="default"/>
          <w:position w:val="-14"/>
          <w:sz w:val="20"/>
          <w:szCs w:val="20"/>
        </w:rPr>
        <w:pict>
          <v:group style="width:411.65pt;height:37.4pt;mso-position-horizontal-relative:char;mso-position-vertical-relative:line" coordorigin="0,0" coordsize="8233,748">
            <v:group style="position:absolute;left:29;top:15;width:4239;height:2" coordorigin="29,15" coordsize="4239,2">
              <v:shape style="position:absolute;left:29;top:15;width:4239;height:2" coordorigin="29,15" coordsize="4239,0" path="m29,15l4268,15e" filled="false" stroked="true" strokeweight="1.5pt" strokecolor="#000000">
                <v:path arrowok="t"/>
              </v:shape>
            </v:group>
            <v:group style="position:absolute;left:4268;top:15;width:3950;height:2" coordorigin="4268,15" coordsize="3950,2">
              <v:shape style="position:absolute;left:4268;top:15;width:3950;height:2" coordorigin="4268,15" coordsize="3950,0" path="m4268,15l8217,15e" filled="false" stroked="true" strokeweight="1.5pt" strokecolor="#000000">
                <v:path arrowok="t"/>
              </v:shape>
            </v:group>
            <v:group style="position:absolute;left:15;top:733;width:4253;height:2" coordorigin="15,733" coordsize="4253,2">
              <v:shape style="position:absolute;left:15;top:733;width:4253;height:2" coordorigin="15,733" coordsize="4253,0" path="m15,733l4268,733e" filled="false" stroked="true" strokeweight="1.5pt" strokecolor="#000000">
                <v:path arrowok="t"/>
              </v:shape>
              <v:shape style="position:absolute;left:10;top:30;width:8222;height:688" type="#_x0000_t75" stroked="false">
                <v:imagedata r:id="rId137" o:title=""/>
              </v:shape>
            </v:group>
            <v:group style="position:absolute;left:4268;top:733;width:3950;height:2" coordorigin="4268,733" coordsize="3950,2">
              <v:shape style="position:absolute;left:4268;top:733;width:3950;height:2" coordorigin="4268,733" coordsize="3950,0" path="m4268,733l8217,733e" filled="false" stroked="true" strokeweight="1.5pt" strokecolor="#000000">
                <v:path arrowok="t"/>
              </v:shape>
              <v:shape style="position:absolute;left:1990;top:118;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项目</w:t>
                      </w:r>
                      <w:r>
                        <w:rPr>
                          <w:rFonts w:ascii="宋体" w:hAnsi="宋体" w:cs="宋体" w:eastAsia="宋体" w:hint="default"/>
                          <w:sz w:val="16"/>
                          <w:szCs w:val="16"/>
                        </w:rPr>
                      </w:r>
                    </w:p>
                  </w:txbxContent>
                </v:textbox>
                <w10:wrap type="none"/>
              </v:shape>
              <v:shape style="position:absolute;left:5924;top:11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核销金额</w:t>
                      </w:r>
                      <w:r>
                        <w:rPr>
                          <w:rFonts w:ascii="宋体" w:hAnsi="宋体" w:cs="宋体" w:eastAsia="宋体" w:hint="default"/>
                          <w:sz w:val="16"/>
                          <w:szCs w:val="16"/>
                        </w:rPr>
                      </w:r>
                    </w:p>
                  </w:txbxContent>
                </v:textbox>
                <w10:wrap type="none"/>
              </v:shape>
              <v:shape style="position:absolute;left:137;top:468;width:159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实际核销的其他应收款</w:t>
                      </w:r>
                      <w:r>
                        <w:rPr>
                          <w:rFonts w:ascii="宋体" w:hAnsi="宋体" w:cs="宋体" w:eastAsia="宋体" w:hint="default"/>
                          <w:sz w:val="16"/>
                          <w:szCs w:val="16"/>
                        </w:rPr>
                      </w:r>
                    </w:p>
                  </w:txbxContent>
                </v:textbox>
                <w10:wrap type="none"/>
              </v:shape>
              <v:shape style="position:absolute;left:7187;top:481;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30,000,000.00</w:t>
                      </w:r>
                      <w:r>
                        <w:rPr>
                          <w:rFonts w:ascii="Times New Roman"/>
                          <w:sz w:val="16"/>
                        </w:rPr>
                      </w:r>
                    </w:p>
                  </w:txbxContent>
                </v:textbox>
                <w10:wrap type="none"/>
              </v:shape>
            </v:group>
          </v:group>
        </w:pict>
      </w:r>
      <w:r>
        <w:rPr>
          <w:rFonts w:ascii="宋体" w:hAnsi="宋体" w:cs="宋体" w:eastAsia="宋体" w:hint="default"/>
          <w:position w:val="-14"/>
          <w:sz w:val="20"/>
          <w:szCs w:val="20"/>
        </w:rPr>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6"/>
          <w:szCs w:val="16"/>
        </w:rPr>
      </w:pPr>
    </w:p>
    <w:p>
      <w:pPr>
        <w:pStyle w:val="BodyText"/>
        <w:spacing w:line="240" w:lineRule="auto" w:before="35"/>
        <w:ind w:right="3681"/>
        <w:jc w:val="left"/>
      </w:pPr>
      <w:r>
        <w:rPr/>
        <w:t>其中重要的其他应收款核销情况</w:t>
      </w:r>
    </w:p>
    <w:p>
      <w:pPr>
        <w:spacing w:line="240" w:lineRule="auto" w:before="6"/>
        <w:rPr>
          <w:rFonts w:ascii="宋体" w:hAnsi="宋体" w:cs="宋体" w:eastAsia="宋体" w:hint="default"/>
          <w:sz w:val="2"/>
          <w:szCs w:val="2"/>
        </w:rPr>
      </w:pPr>
    </w:p>
    <w:p>
      <w:pPr>
        <w:spacing w:line="1568" w:lineRule="exact"/>
        <w:ind w:left="720"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412.2pt;height:78.45pt;mso-position-horizontal-relative:char;mso-position-vertical-relative:line" coordorigin="0,0" coordsize="8244,1569">
            <v:group style="position:absolute;left:29;top:15;width:2488;height:2" coordorigin="29,15" coordsize="2488,2">
              <v:shape style="position:absolute;left:29;top:15;width:2488;height:2" coordorigin="29,15" coordsize="2488,0" path="m29,15l2517,15e" filled="false" stroked="true" strokeweight="1.5pt" strokecolor="#000000">
                <v:path arrowok="t"/>
              </v:shape>
              <v:shape style="position:absolute;left:2517;top:30;width:10;height:28" type="#_x0000_t75" stroked="false">
                <v:imagedata r:id="rId32" o:title=""/>
              </v:shape>
            </v:group>
            <v:group style="position:absolute;left:2517;top:15;width:1041;height:2" coordorigin="2517,15" coordsize="1041,2">
              <v:shape style="position:absolute;left:2517;top:15;width:1041;height:2" coordorigin="2517,15" coordsize="1041,0" path="m2517,15l3557,15e" filled="false" stroked="true" strokeweight="1.5pt" strokecolor="#000000">
                <v:path arrowok="t"/>
              </v:shape>
              <v:shape style="position:absolute;left:3557;top:30;width:10;height:28" type="#_x0000_t75" stroked="false">
                <v:imagedata r:id="rId32" o:title=""/>
              </v:shape>
            </v:group>
            <v:group style="position:absolute;left:3557;top:15;width:1342;height:2" coordorigin="3557,15" coordsize="1342,2">
              <v:shape style="position:absolute;left:3557;top:15;width:1342;height:2" coordorigin="3557,15" coordsize="1342,0" path="m3557,15l4899,15e" filled="false" stroked="true" strokeweight="1.5pt" strokecolor="#000000">
                <v:path arrowok="t"/>
              </v:shape>
              <v:shape style="position:absolute;left:4899;top:30;width:10;height:28" type="#_x0000_t75" stroked="false">
                <v:imagedata r:id="rId32" o:title=""/>
              </v:shape>
            </v:group>
            <v:group style="position:absolute;left:4899;top:15;width:1194;height:2" coordorigin="4899,15" coordsize="1194,2">
              <v:shape style="position:absolute;left:4899;top:15;width:1194;height:2" coordorigin="4899,15" coordsize="1194,0" path="m4899,15l6093,15e" filled="false" stroked="true" strokeweight="1.5pt" strokecolor="#000000">
                <v:path arrowok="t"/>
              </v:shape>
              <v:shape style="position:absolute;left:6093;top:30;width:10;height:28" type="#_x0000_t75" stroked="false">
                <v:imagedata r:id="rId32" o:title=""/>
              </v:shape>
            </v:group>
            <v:group style="position:absolute;left:6093;top:15;width:1258;height:2" coordorigin="6093,15" coordsize="1258,2">
              <v:shape style="position:absolute;left:6093;top:15;width:1258;height:2" coordorigin="6093,15" coordsize="1258,0" path="m6093,15l7351,15e" filled="false" stroked="true" strokeweight="1.5pt" strokecolor="#000000">
                <v:path arrowok="t"/>
              </v:shape>
              <v:shape style="position:absolute;left:7351;top:30;width:10;height:28" type="#_x0000_t75" stroked="false">
                <v:imagedata r:id="rId32" o:title=""/>
              </v:shape>
            </v:group>
            <v:group style="position:absolute;left:7351;top:15;width:867;height:2" coordorigin="7351,15" coordsize="867,2">
              <v:shape style="position:absolute;left:7351;top:15;width:867;height:2" coordorigin="7351,15" coordsize="867,0" path="m7351,15l8217,15e" filled="false" stroked="true" strokeweight="1.5pt" strokecolor="#000000">
                <v:path arrowok="t"/>
              </v:shape>
              <v:shape style="position:absolute;left:2500;top:41;width:4877;height:684" type="#_x0000_t75" stroked="false">
                <v:imagedata r:id="rId138" o:title=""/>
              </v:shape>
            </v:group>
            <v:group style="position:absolute;left:15;top:1553;width:2502;height:2" coordorigin="15,1553" coordsize="2502,2">
              <v:shape style="position:absolute;left:15;top:1553;width:2502;height:2" coordorigin="15,1553" coordsize="2502,0" path="m15,1553l2517,1553e" filled="false" stroked="true" strokeweight="1.5pt" strokecolor="#000000">
                <v:path arrowok="t"/>
              </v:shape>
            </v:group>
            <v:group style="position:absolute;left:2517;top:1553;width:1041;height:2" coordorigin="2517,1553" coordsize="1041,2">
              <v:shape style="position:absolute;left:2517;top:1553;width:1041;height:2" coordorigin="2517,1553" coordsize="1041,0" path="m2517,1553l3557,1553e" filled="false" stroked="true" strokeweight="1.5pt" strokecolor="#000000">
                <v:path arrowok="t"/>
              </v:shape>
            </v:group>
            <v:group style="position:absolute;left:3557;top:1553;width:1342;height:2" coordorigin="3557,1553" coordsize="1342,2">
              <v:shape style="position:absolute;left:3557;top:1553;width:1342;height:2" coordorigin="3557,1553" coordsize="1342,0" path="m3557,1553l4899,1553e" filled="false" stroked="true" strokeweight="1.5pt" strokecolor="#000000">
                <v:path arrowok="t"/>
              </v:shape>
            </v:group>
            <v:group style="position:absolute;left:4899;top:1553;width:1194;height:2" coordorigin="4899,1553" coordsize="1194,2">
              <v:shape style="position:absolute;left:4899;top:1553;width:1194;height:2" coordorigin="4899,1553" coordsize="1194,0" path="m4899,1553l6093,1553e" filled="false" stroked="true" strokeweight="1.5pt" strokecolor="#000000">
                <v:path arrowok="t"/>
              </v:shape>
            </v:group>
            <v:group style="position:absolute;left:6093;top:1553;width:1258;height:2" coordorigin="6093,1553" coordsize="1258,2">
              <v:shape style="position:absolute;left:6093;top:1553;width:1258;height:2" coordorigin="6093,1553" coordsize="1258,0" path="m6093,1553l7351,1553e" filled="false" stroked="true" strokeweight="1.5pt" strokecolor="#000000">
                <v:path arrowok="t"/>
              </v:shape>
              <v:shape style="position:absolute;left:10;top:689;width:8233;height:850" type="#_x0000_t75" stroked="false">
                <v:imagedata r:id="rId139" o:title=""/>
              </v:shape>
            </v:group>
            <v:group style="position:absolute;left:7351;top:1553;width:867;height:2" coordorigin="7351,1553" coordsize="867,2">
              <v:shape style="position:absolute;left:7351;top:1553;width:867;height:2" coordorigin="7351,1553" coordsize="867,0" path="m7351,1553l8217,1553e" filled="false" stroked="true" strokeweight="1.5pt" strokecolor="#000000">
                <v:path arrowok="t"/>
              </v:shape>
              <v:shape style="position:absolute;left:956;top:28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单位名称</w:t>
                      </w:r>
                      <w:r>
                        <w:rPr>
                          <w:rFonts w:ascii="宋体" w:hAnsi="宋体" w:cs="宋体" w:eastAsia="宋体" w:hint="default"/>
                          <w:sz w:val="16"/>
                          <w:szCs w:val="16"/>
                        </w:rPr>
                      </w:r>
                    </w:p>
                  </w:txbxContent>
                </v:textbox>
                <w10:wrap type="none"/>
              </v:shape>
              <v:shape style="position:absolute;left:2641;top:184;width:800;height:368" type="#_x0000_t202" filled="false" stroked="false">
                <v:textbox inset="0,0,0,0">
                  <w:txbxContent>
                    <w:p>
                      <w:pPr>
                        <w:spacing w:line="159" w:lineRule="exact" w:before="0"/>
                        <w:ind w:left="0" w:right="0" w:firstLine="0"/>
                        <w:jc w:val="center"/>
                        <w:rPr>
                          <w:rFonts w:ascii="宋体" w:hAnsi="宋体" w:cs="宋体" w:eastAsia="宋体" w:hint="default"/>
                          <w:sz w:val="16"/>
                          <w:szCs w:val="16"/>
                        </w:rPr>
                      </w:pPr>
                      <w:r>
                        <w:rPr>
                          <w:rFonts w:ascii="宋体" w:hAnsi="宋体" w:cs="宋体" w:eastAsia="宋体" w:hint="default"/>
                          <w:w w:val="95"/>
                          <w:sz w:val="16"/>
                          <w:szCs w:val="16"/>
                        </w:rPr>
                        <w:t>其他应收款</w:t>
                      </w:r>
                      <w:r>
                        <w:rPr>
                          <w:rFonts w:ascii="宋体" w:hAnsi="宋体" w:cs="宋体" w:eastAsia="宋体" w:hint="default"/>
                          <w:sz w:val="16"/>
                          <w:szCs w:val="16"/>
                        </w:rPr>
                      </w:r>
                    </w:p>
                    <w:p>
                      <w:pPr>
                        <w:spacing w:line="208" w:lineRule="exact" w:before="0"/>
                        <w:ind w:left="0" w:right="0" w:firstLine="0"/>
                        <w:jc w:val="center"/>
                        <w:rPr>
                          <w:rFonts w:ascii="宋体" w:hAnsi="宋体" w:cs="宋体" w:eastAsia="宋体" w:hint="default"/>
                          <w:sz w:val="16"/>
                          <w:szCs w:val="16"/>
                        </w:rPr>
                      </w:pPr>
                      <w:r>
                        <w:rPr>
                          <w:rFonts w:ascii="宋体" w:hAnsi="宋体" w:cs="宋体" w:eastAsia="宋体" w:hint="default"/>
                          <w:sz w:val="16"/>
                          <w:szCs w:val="16"/>
                        </w:rPr>
                        <w:t>性质</w:t>
                      </w:r>
                    </w:p>
                  </w:txbxContent>
                </v:textbox>
                <w10:wrap type="none"/>
              </v:shape>
              <v:shape style="position:absolute;left:3913;top:28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核销金额</w:t>
                      </w:r>
                      <w:r>
                        <w:rPr>
                          <w:rFonts w:ascii="宋体" w:hAnsi="宋体" w:cs="宋体" w:eastAsia="宋体" w:hint="default"/>
                          <w:sz w:val="16"/>
                          <w:szCs w:val="16"/>
                        </w:rPr>
                      </w:r>
                    </w:p>
                  </w:txbxContent>
                </v:textbox>
                <w10:wrap type="none"/>
              </v:shape>
              <v:shape style="position:absolute;left:5180;top:28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核销原因</w:t>
                      </w:r>
                      <w:r>
                        <w:rPr>
                          <w:rFonts w:ascii="宋体" w:hAnsi="宋体" w:cs="宋体" w:eastAsia="宋体" w:hint="default"/>
                          <w:sz w:val="16"/>
                          <w:szCs w:val="16"/>
                        </w:rPr>
                      </w:r>
                    </w:p>
                  </w:txbxContent>
                </v:textbox>
                <w10:wrap type="none"/>
              </v:shape>
              <v:shape style="position:absolute;left:6245;top:80;width:1858;height:575" type="#_x0000_t202" filled="false" stroked="false">
                <v:textbox inset="0,0,0,0">
                  <w:txbxContent>
                    <w:p>
                      <w:pPr>
                        <w:tabs>
                          <w:tab w:pos="1219" w:val="left" w:leader="none"/>
                        </w:tabs>
                        <w:spacing w:line="158" w:lineRule="auto" w:before="52"/>
                        <w:ind w:left="399" w:right="0" w:hanging="400"/>
                        <w:jc w:val="right"/>
                        <w:rPr>
                          <w:rFonts w:ascii="宋体" w:hAnsi="宋体" w:cs="宋体" w:eastAsia="宋体" w:hint="default"/>
                          <w:sz w:val="16"/>
                          <w:szCs w:val="16"/>
                        </w:rPr>
                      </w:pPr>
                      <w:r>
                        <w:rPr>
                          <w:rFonts w:ascii="宋体" w:hAnsi="宋体" w:cs="宋体" w:eastAsia="宋体" w:hint="default"/>
                          <w:w w:val="95"/>
                          <w:sz w:val="16"/>
                          <w:szCs w:val="16"/>
                        </w:rPr>
                        <w:t>履行的核销程</w:t>
                        <w:tab/>
                      </w:r>
                      <w:r>
                        <w:rPr>
                          <w:rFonts w:ascii="宋体" w:hAnsi="宋体" w:cs="宋体" w:eastAsia="宋体" w:hint="default"/>
                          <w:w w:val="90"/>
                          <w:position w:val="10"/>
                          <w:sz w:val="16"/>
                          <w:szCs w:val="16"/>
                        </w:rPr>
                        <w:t>款项是否</w:t>
                      </w:r>
                      <w:r>
                        <w:rPr>
                          <w:rFonts w:ascii="宋体" w:hAnsi="宋体" w:cs="宋体" w:eastAsia="宋体" w:hint="default"/>
                          <w:spacing w:val="-47"/>
                          <w:w w:val="95"/>
                          <w:position w:val="10"/>
                          <w:sz w:val="16"/>
                          <w:szCs w:val="16"/>
                        </w:rPr>
                        <w:t> </w:t>
                      </w:r>
                      <w:r>
                        <w:rPr>
                          <w:rFonts w:ascii="宋体" w:hAnsi="宋体" w:cs="宋体" w:eastAsia="宋体" w:hint="default"/>
                          <w:spacing w:val="-47"/>
                          <w:w w:val="95"/>
                          <w:position w:val="10"/>
                          <w:sz w:val="16"/>
                          <w:szCs w:val="16"/>
                        </w:rPr>
                      </w:r>
                      <w:r>
                        <w:rPr>
                          <w:rFonts w:ascii="宋体" w:hAnsi="宋体" w:cs="宋体" w:eastAsia="宋体" w:hint="default"/>
                          <w:w w:val="95"/>
                          <w:position w:val="-9"/>
                          <w:sz w:val="16"/>
                          <w:szCs w:val="16"/>
                        </w:rPr>
                        <w:t>序</w:t>
                        <w:tab/>
                      </w:r>
                      <w:r>
                        <w:rPr>
                          <w:rFonts w:ascii="宋体" w:hAnsi="宋体" w:cs="宋体" w:eastAsia="宋体" w:hint="default"/>
                          <w:w w:val="90"/>
                          <w:sz w:val="16"/>
                          <w:szCs w:val="16"/>
                        </w:rPr>
                        <w:t>因关联交</w:t>
                      </w:r>
                      <w:r>
                        <w:rPr>
                          <w:rFonts w:ascii="宋体" w:hAnsi="宋体" w:cs="宋体" w:eastAsia="宋体" w:hint="default"/>
                          <w:sz w:val="16"/>
                          <w:szCs w:val="16"/>
                        </w:rPr>
                      </w:r>
                    </w:p>
                    <w:p>
                      <w:pPr>
                        <w:spacing w:line="149" w:lineRule="exact" w:before="0"/>
                        <w:ind w:left="0" w:right="77" w:firstLine="0"/>
                        <w:jc w:val="right"/>
                        <w:rPr>
                          <w:rFonts w:ascii="宋体" w:hAnsi="宋体" w:cs="宋体" w:eastAsia="宋体" w:hint="default"/>
                          <w:sz w:val="16"/>
                          <w:szCs w:val="16"/>
                        </w:rPr>
                      </w:pPr>
                      <w:r>
                        <w:rPr>
                          <w:rFonts w:ascii="宋体" w:hAnsi="宋体" w:cs="宋体" w:eastAsia="宋体" w:hint="default"/>
                          <w:w w:val="95"/>
                          <w:sz w:val="16"/>
                          <w:szCs w:val="16"/>
                        </w:rPr>
                        <w:t>易产生</w:t>
                      </w:r>
                      <w:r>
                        <w:rPr>
                          <w:rFonts w:ascii="宋体" w:hAnsi="宋体" w:cs="宋体" w:eastAsia="宋体" w:hint="default"/>
                          <w:sz w:val="16"/>
                          <w:szCs w:val="16"/>
                        </w:rPr>
                      </w:r>
                    </w:p>
                  </w:txbxContent>
                </v:textbox>
                <w10:wrap type="none"/>
              </v:shape>
              <v:shape style="position:absolute;left:137;top:872;width:2970;height:160" type="#_x0000_t202" filled="false" stroked="false">
                <v:textbox inset="0,0,0,0">
                  <w:txbxContent>
                    <w:p>
                      <w:pPr>
                        <w:tabs>
                          <w:tab w:pos="2491" w:val="left" w:leader="none"/>
                        </w:tabs>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中国电子信息产业集团有限公司</w:t>
                        <w:tab/>
                        <w:t>往来款</w:t>
                      </w:r>
                      <w:r>
                        <w:rPr>
                          <w:rFonts w:ascii="宋体" w:hAnsi="宋体" w:cs="宋体" w:eastAsia="宋体" w:hint="default"/>
                          <w:sz w:val="16"/>
                          <w:szCs w:val="16"/>
                        </w:rPr>
                      </w:r>
                    </w:p>
                  </w:txbxContent>
                </v:textbox>
                <w10:wrap type="none"/>
              </v:shape>
              <v:shape style="position:absolute;left:3875;top:887;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30,000,000.00</w:t>
                      </w:r>
                      <w:r>
                        <w:rPr>
                          <w:rFonts w:ascii="Times New Roman"/>
                          <w:sz w:val="16"/>
                        </w:rPr>
                      </w:r>
                    </w:p>
                  </w:txbxContent>
                </v:textbox>
                <w10:wrap type="none"/>
              </v:shape>
              <v:shape style="position:absolute;left:5011;top:769;width:959;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原代持股份无</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偿划转</w:t>
                      </w:r>
                    </w:p>
                  </w:txbxContent>
                </v:textbox>
                <w10:wrap type="none"/>
              </v:shape>
              <v:shape style="position:absolute;left:6325;top:872;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董事会决议</w:t>
                      </w:r>
                      <w:r>
                        <w:rPr>
                          <w:rFonts w:ascii="宋体" w:hAnsi="宋体" w:cs="宋体" w:eastAsia="宋体" w:hint="default"/>
                          <w:sz w:val="16"/>
                          <w:szCs w:val="16"/>
                        </w:rPr>
                      </w:r>
                    </w:p>
                  </w:txbxContent>
                </v:textbox>
                <w10:wrap type="none"/>
              </v:shape>
              <v:shape style="position:absolute;left:7705;top:872;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是</w:t>
                      </w:r>
                      <w:r>
                        <w:rPr>
                          <w:rFonts w:ascii="宋体" w:hAnsi="宋体" w:cs="宋体" w:eastAsia="宋体" w:hint="default"/>
                          <w:sz w:val="16"/>
                          <w:szCs w:val="16"/>
                        </w:rPr>
                      </w:r>
                    </w:p>
                  </w:txbxContent>
                </v:textbox>
                <w10:wrap type="none"/>
              </v:shape>
              <v:shape style="position:absolute;left:1115;top:1287;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合计</w:t>
                      </w:r>
                      <w:r>
                        <w:rPr>
                          <w:rFonts w:ascii="宋体" w:hAnsi="宋体" w:cs="宋体" w:eastAsia="宋体" w:hint="default"/>
                          <w:sz w:val="16"/>
                          <w:szCs w:val="16"/>
                        </w:rPr>
                      </w:r>
                    </w:p>
                  </w:txbxContent>
                </v:textbox>
                <w10:wrap type="none"/>
              </v:shape>
              <v:shape style="position:absolute;left:3875;top:1301;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30,000,000.00</w:t>
                      </w:r>
                      <w:r>
                        <w:rPr>
                          <w:rFonts w:ascii="Times New Roman"/>
                          <w:sz w:val="16"/>
                        </w:rPr>
                      </w:r>
                    </w:p>
                  </w:txbxContent>
                </v:textbox>
                <w10:wrap type="none"/>
              </v:shape>
            </v:group>
          </v:group>
        </w:pict>
      </w:r>
      <w:r>
        <w:rPr>
          <w:rFonts w:ascii="宋体" w:hAnsi="宋体" w:cs="宋体" w:eastAsia="宋体" w:hint="default"/>
          <w:position w:val="-30"/>
          <w:sz w:val="20"/>
          <w:szCs w:val="20"/>
        </w:rPr>
      </w:r>
    </w:p>
    <w:p>
      <w:pPr>
        <w:spacing w:after="0" w:line="1568" w:lineRule="exact"/>
        <w:rPr>
          <w:rFonts w:ascii="宋体" w:hAnsi="宋体" w:cs="宋体" w:eastAsia="宋体" w:hint="default"/>
          <w:sz w:val="20"/>
          <w:szCs w:val="20"/>
        </w:rPr>
        <w:sectPr>
          <w:footerReference w:type="default" r:id="rId129"/>
          <w:pgSz w:w="11910" w:h="16840"/>
          <w:pgMar w:footer="1001" w:header="0" w:top="1520" w:bottom="1200" w:left="1660" w:right="0"/>
          <w:pgNumType w:start="37"/>
        </w:sectPr>
      </w:pPr>
    </w:p>
    <w:p>
      <w:pPr>
        <w:spacing w:line="240" w:lineRule="auto" w:before="8"/>
        <w:rPr>
          <w:rFonts w:ascii="宋体" w:hAnsi="宋体" w:cs="宋体" w:eastAsia="宋体" w:hint="default"/>
          <w:sz w:val="13"/>
          <w:szCs w:val="13"/>
        </w:rPr>
      </w:pPr>
    </w:p>
    <w:p>
      <w:pPr>
        <w:pStyle w:val="BodyText"/>
        <w:spacing w:line="240" w:lineRule="auto" w:before="35"/>
        <w:ind w:right="3681"/>
        <w:jc w:val="left"/>
      </w:pPr>
      <w:r>
        <w:rPr/>
        <w:pict>
          <v:group style="position:absolute;margin-left:119.010002pt;margin-top:17.133949pt;width:412.15pt;height:119.7pt;mso-position-horizontal-relative:page;mso-position-vertical-relative:paragraph;z-index:-1393768" coordorigin="2380,343" coordsize="8243,2394">
            <v:group style="position:absolute;left:2410;top:358;width:2522;height:2" coordorigin="2410,358" coordsize="2522,2">
              <v:shape style="position:absolute;left:2410;top:358;width:2522;height:2" coordorigin="2410,358" coordsize="2522,0" path="m2410,358l4931,358e" filled="false" stroked="true" strokeweight="1.5pt" strokecolor="#000000">
                <v:path arrowok="t"/>
              </v:shape>
              <v:shape style="position:absolute;left:4931;top:373;width:10;height:28" type="#_x0000_t75" stroked="false">
                <v:imagedata r:id="rId39" o:title=""/>
              </v:shape>
            </v:group>
            <v:group style="position:absolute;left:4931;top:358;width:2831;height:2" coordorigin="4931,358" coordsize="2831,2">
              <v:shape style="position:absolute;left:4931;top:358;width:2831;height:2" coordorigin="4931,358" coordsize="2831,0" path="m4931,358l7762,358e" filled="false" stroked="true" strokeweight="1.5pt" strokecolor="#000000">
                <v:path arrowok="t"/>
              </v:shape>
              <v:shape style="position:absolute;left:7762;top:373;width:10;height:28" type="#_x0000_t75" stroked="false">
                <v:imagedata r:id="rId39" o:title=""/>
              </v:shape>
            </v:group>
            <v:group style="position:absolute;left:7762;top:358;width:2836;height:2" coordorigin="7762,358" coordsize="2836,2">
              <v:shape style="position:absolute;left:7762;top:358;width:2836;height:2" coordorigin="7762,358" coordsize="2836,0" path="m7762,358l10597,358e" filled="false" stroked="true" strokeweight="1.5pt" strokecolor="#000000">
                <v:path arrowok="t"/>
              </v:shape>
              <v:shape style="position:absolute;left:4912;top:381;width:2879;height:294" type="#_x0000_t75" stroked="false">
                <v:imagedata r:id="rId140" o:title=""/>
              </v:shape>
            </v:group>
            <v:group style="position:absolute;left:2395;top:2722;width:2536;height:2" coordorigin="2395,2722" coordsize="2536,2">
              <v:shape style="position:absolute;left:2395;top:2722;width:2536;height:2" coordorigin="2395,2722" coordsize="2536,0" path="m2395,2722l4931,2722e" filled="false" stroked="true" strokeweight="1.5pt" strokecolor="#000000">
                <v:path arrowok="t"/>
              </v:shape>
            </v:group>
            <v:group style="position:absolute;left:4931;top:2722;width:2831;height:2" coordorigin="4931,2722" coordsize="2831,2">
              <v:shape style="position:absolute;left:4931;top:2722;width:2831;height:2" coordorigin="4931,2722" coordsize="2831,0" path="m4931,2722l7762,2722e" filled="false" stroked="true" strokeweight="1.5pt" strokecolor="#000000">
                <v:path arrowok="t"/>
              </v:shape>
              <v:shape style="position:absolute;left:2390;top:637;width:8232;height:2070" type="#_x0000_t75" stroked="false">
                <v:imagedata r:id="rId141" o:title=""/>
              </v:shape>
            </v:group>
            <v:group style="position:absolute;left:7762;top:2722;width:2836;height:2" coordorigin="7762,2722" coordsize="2836,2">
              <v:shape style="position:absolute;left:7762;top:2722;width:2836;height:2" coordorigin="7762,2722" coordsize="2836,0" path="m7762,2722l10597,2722e" filled="false" stroked="true" strokeweight="1.5pt" strokecolor="#000000">
                <v:path arrowok="t"/>
              </v:shape>
            </v:group>
            <w10:wrap type="none"/>
          </v:group>
        </w:pict>
      </w:r>
      <w:r>
        <w:rPr/>
        <w:t>（</w:t>
      </w:r>
      <w:r>
        <w:rPr>
          <w:rFonts w:ascii="Times New Roman" w:hAnsi="Times New Roman" w:cs="Times New Roman" w:eastAsia="Times New Roman" w:hint="default"/>
        </w:rPr>
        <w:t>4</w:t>
      </w:r>
      <w:r>
        <w:rPr/>
        <w:t>）其他应收款按款项性质分类情况</w:t>
      </w:r>
    </w:p>
    <w:p>
      <w:pPr>
        <w:spacing w:line="240" w:lineRule="auto" w:before="6"/>
        <w:rPr>
          <w:rFonts w:ascii="宋体" w:hAnsi="宋体" w:cs="宋体" w:eastAsia="宋体" w:hint="default"/>
          <w:sz w:val="2"/>
          <w:szCs w:val="2"/>
        </w:rPr>
      </w:pPr>
    </w:p>
    <w:tbl>
      <w:tblPr>
        <w:tblW w:w="0" w:type="auto"/>
        <w:jc w:val="left"/>
        <w:tblInd w:w="787" w:type="dxa"/>
        <w:tblLayout w:type="fixed"/>
        <w:tblCellMar>
          <w:top w:w="0" w:type="dxa"/>
          <w:left w:w="0" w:type="dxa"/>
          <w:bottom w:w="0" w:type="dxa"/>
          <w:right w:w="0" w:type="dxa"/>
        </w:tblCellMar>
        <w:tblLook w:val="01E0"/>
      </w:tblPr>
      <w:tblGrid>
        <w:gridCol w:w="2483"/>
        <w:gridCol w:w="3250"/>
        <w:gridCol w:w="2381"/>
      </w:tblGrid>
      <w:tr>
        <w:trPr>
          <w:trHeight w:val="602" w:hRule="exact"/>
        </w:trPr>
        <w:tc>
          <w:tcPr>
            <w:tcW w:w="2483"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31"/>
              <w:jc w:val="center"/>
              <w:rPr>
                <w:rFonts w:ascii="宋体" w:hAnsi="宋体" w:cs="宋体" w:eastAsia="宋体" w:hint="default"/>
                <w:sz w:val="16"/>
                <w:szCs w:val="16"/>
              </w:rPr>
            </w:pPr>
            <w:r>
              <w:rPr>
                <w:rFonts w:ascii="宋体" w:hAnsi="宋体" w:cs="宋体" w:eastAsia="宋体" w:hint="default"/>
                <w:sz w:val="16"/>
                <w:szCs w:val="16"/>
              </w:rPr>
              <w:t>款项性质</w:t>
            </w:r>
          </w:p>
          <w:p>
            <w:pPr>
              <w:pStyle w:val="TableParagraph"/>
              <w:spacing w:line="240" w:lineRule="auto" w:before="83"/>
              <w:ind w:left="70" w:right="0"/>
              <w:jc w:val="left"/>
              <w:rPr>
                <w:rFonts w:ascii="宋体" w:hAnsi="宋体" w:cs="宋体" w:eastAsia="宋体" w:hint="default"/>
                <w:sz w:val="16"/>
                <w:szCs w:val="16"/>
              </w:rPr>
            </w:pPr>
            <w:r>
              <w:rPr>
                <w:rFonts w:ascii="宋体" w:hAnsi="宋体" w:cs="宋体" w:eastAsia="宋体" w:hint="default"/>
                <w:sz w:val="16"/>
                <w:szCs w:val="16"/>
              </w:rPr>
              <w:t>往来款</w:t>
            </w:r>
          </w:p>
        </w:tc>
        <w:tc>
          <w:tcPr>
            <w:tcW w:w="3250" w:type="dxa"/>
            <w:tcBorders>
              <w:top w:val="nil" w:sz="6" w:space="0" w:color="auto"/>
              <w:left w:val="nil" w:sz="6" w:space="0" w:color="auto"/>
              <w:bottom w:val="nil" w:sz="6" w:space="0" w:color="auto"/>
              <w:right w:val="nil" w:sz="6" w:space="0" w:color="auto"/>
            </w:tcBorders>
          </w:tcPr>
          <w:p>
            <w:pPr>
              <w:pStyle w:val="TableParagraph"/>
              <w:spacing w:line="240" w:lineRule="auto" w:before="25"/>
              <w:ind w:left="938" w:right="0"/>
              <w:jc w:val="left"/>
              <w:rPr>
                <w:rFonts w:ascii="宋体" w:hAnsi="宋体" w:cs="宋体" w:eastAsia="宋体" w:hint="default"/>
                <w:sz w:val="16"/>
                <w:szCs w:val="16"/>
              </w:rPr>
            </w:pPr>
            <w:r>
              <w:rPr>
                <w:rFonts w:ascii="宋体" w:hAnsi="宋体" w:cs="宋体" w:eastAsia="宋体" w:hint="default"/>
                <w:sz w:val="16"/>
                <w:szCs w:val="16"/>
              </w:rPr>
              <w:t>期末账面余额</w:t>
            </w:r>
          </w:p>
          <w:p>
            <w:pPr>
              <w:pStyle w:val="TableParagraph"/>
              <w:spacing w:line="240" w:lineRule="auto" w:before="127"/>
              <w:ind w:left="1806" w:right="0"/>
              <w:jc w:val="left"/>
              <w:rPr>
                <w:rFonts w:ascii="Times New Roman" w:hAnsi="Times New Roman" w:cs="Times New Roman" w:eastAsia="Times New Roman" w:hint="default"/>
                <w:sz w:val="16"/>
                <w:szCs w:val="16"/>
              </w:rPr>
            </w:pPr>
            <w:r>
              <w:rPr>
                <w:rFonts w:ascii="Times New Roman"/>
                <w:sz w:val="16"/>
              </w:rPr>
              <w:t>40,646,205.64</w:t>
            </w:r>
          </w:p>
        </w:tc>
        <w:tc>
          <w:tcPr>
            <w:tcW w:w="2381" w:type="dxa"/>
            <w:tcBorders>
              <w:top w:val="nil" w:sz="6" w:space="0" w:color="auto"/>
              <w:left w:val="nil" w:sz="6" w:space="0" w:color="auto"/>
              <w:bottom w:val="nil" w:sz="6" w:space="0" w:color="auto"/>
              <w:right w:val="nil" w:sz="6" w:space="0" w:color="auto"/>
            </w:tcBorders>
          </w:tcPr>
          <w:p>
            <w:pPr>
              <w:pStyle w:val="TableParagraph"/>
              <w:spacing w:line="240" w:lineRule="auto" w:before="25"/>
              <w:ind w:left="521" w:right="0"/>
              <w:jc w:val="left"/>
              <w:rPr>
                <w:rFonts w:ascii="宋体" w:hAnsi="宋体" w:cs="宋体" w:eastAsia="宋体" w:hint="default"/>
                <w:sz w:val="16"/>
                <w:szCs w:val="16"/>
              </w:rPr>
            </w:pPr>
            <w:r>
              <w:rPr>
                <w:rFonts w:ascii="宋体" w:hAnsi="宋体" w:cs="宋体" w:eastAsia="宋体" w:hint="default"/>
                <w:sz w:val="16"/>
                <w:szCs w:val="16"/>
              </w:rPr>
              <w:t>年初账面余额</w:t>
            </w:r>
          </w:p>
          <w:p>
            <w:pPr>
              <w:pStyle w:val="TableParagraph"/>
              <w:spacing w:line="240" w:lineRule="auto" w:before="127"/>
              <w:ind w:left="1388" w:right="0"/>
              <w:jc w:val="left"/>
              <w:rPr>
                <w:rFonts w:ascii="Times New Roman" w:hAnsi="Times New Roman" w:cs="Times New Roman" w:eastAsia="Times New Roman" w:hint="default"/>
                <w:sz w:val="16"/>
                <w:szCs w:val="16"/>
              </w:rPr>
            </w:pPr>
            <w:r>
              <w:rPr>
                <w:rFonts w:ascii="Times New Roman"/>
                <w:sz w:val="16"/>
              </w:rPr>
              <w:t>80,109,555.05</w:t>
            </w:r>
          </w:p>
        </w:tc>
      </w:tr>
      <w:tr>
        <w:trPr>
          <w:trHeight w:val="293" w:hRule="exact"/>
        </w:trPr>
        <w:tc>
          <w:tcPr>
            <w:tcW w:w="2483" w:type="dxa"/>
            <w:tcBorders>
              <w:top w:val="nil" w:sz="6" w:space="0" w:color="auto"/>
              <w:left w:val="nil" w:sz="6" w:space="0" w:color="auto"/>
              <w:bottom w:val="nil" w:sz="6" w:space="0" w:color="auto"/>
              <w:right w:val="nil" w:sz="6" w:space="0" w:color="auto"/>
            </w:tcBorders>
          </w:tcPr>
          <w:p>
            <w:pPr>
              <w:pStyle w:val="TableParagraph"/>
              <w:spacing w:line="240" w:lineRule="auto" w:before="10"/>
              <w:ind w:left="70" w:right="0"/>
              <w:jc w:val="left"/>
              <w:rPr>
                <w:rFonts w:ascii="宋体" w:hAnsi="宋体" w:cs="宋体" w:eastAsia="宋体" w:hint="default"/>
                <w:sz w:val="16"/>
                <w:szCs w:val="16"/>
              </w:rPr>
            </w:pPr>
            <w:r>
              <w:rPr>
                <w:rFonts w:ascii="宋体" w:hAnsi="宋体" w:cs="宋体" w:eastAsia="宋体" w:hint="default"/>
                <w:sz w:val="16"/>
                <w:szCs w:val="16"/>
              </w:rPr>
              <w:t>保证金、押金</w:t>
            </w:r>
          </w:p>
        </w:tc>
        <w:tc>
          <w:tcPr>
            <w:tcW w:w="325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519"/>
              <w:jc w:val="right"/>
              <w:rPr>
                <w:rFonts w:ascii="Times New Roman" w:hAnsi="Times New Roman" w:cs="Times New Roman" w:eastAsia="Times New Roman" w:hint="default"/>
                <w:sz w:val="16"/>
                <w:szCs w:val="16"/>
              </w:rPr>
            </w:pPr>
            <w:r>
              <w:rPr>
                <w:rFonts w:ascii="Times New Roman"/>
                <w:spacing w:val="-1"/>
                <w:sz w:val="16"/>
              </w:rPr>
              <w:t>15,307,079.84</w:t>
            </w:r>
          </w:p>
        </w:tc>
        <w:tc>
          <w:tcPr>
            <w:tcW w:w="2381"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68"/>
              <w:jc w:val="right"/>
              <w:rPr>
                <w:rFonts w:ascii="Times New Roman" w:hAnsi="Times New Roman" w:cs="Times New Roman" w:eastAsia="Times New Roman" w:hint="default"/>
                <w:sz w:val="16"/>
                <w:szCs w:val="16"/>
              </w:rPr>
            </w:pPr>
            <w:r>
              <w:rPr>
                <w:rFonts w:ascii="Times New Roman"/>
                <w:spacing w:val="-1"/>
                <w:sz w:val="16"/>
              </w:rPr>
              <w:t>13,859,883.16</w:t>
            </w:r>
          </w:p>
        </w:tc>
      </w:tr>
      <w:tr>
        <w:trPr>
          <w:trHeight w:val="293" w:hRule="exact"/>
        </w:trPr>
        <w:tc>
          <w:tcPr>
            <w:tcW w:w="2483" w:type="dxa"/>
            <w:tcBorders>
              <w:top w:val="nil" w:sz="6" w:space="0" w:color="auto"/>
              <w:left w:val="nil" w:sz="6" w:space="0" w:color="auto"/>
              <w:bottom w:val="nil" w:sz="6" w:space="0" w:color="auto"/>
              <w:right w:val="nil" w:sz="6" w:space="0" w:color="auto"/>
            </w:tcBorders>
          </w:tcPr>
          <w:p>
            <w:pPr>
              <w:pStyle w:val="TableParagraph"/>
              <w:spacing w:line="240" w:lineRule="auto" w:before="10"/>
              <w:ind w:left="70" w:right="0"/>
              <w:jc w:val="left"/>
              <w:rPr>
                <w:rFonts w:ascii="宋体" w:hAnsi="宋体" w:cs="宋体" w:eastAsia="宋体" w:hint="default"/>
                <w:sz w:val="16"/>
                <w:szCs w:val="16"/>
              </w:rPr>
            </w:pPr>
            <w:r>
              <w:rPr>
                <w:rFonts w:ascii="宋体" w:hAnsi="宋体" w:cs="宋体" w:eastAsia="宋体" w:hint="default"/>
                <w:sz w:val="16"/>
                <w:szCs w:val="16"/>
              </w:rPr>
              <w:t>备用金</w:t>
            </w:r>
          </w:p>
        </w:tc>
        <w:tc>
          <w:tcPr>
            <w:tcW w:w="325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519"/>
              <w:jc w:val="right"/>
              <w:rPr>
                <w:rFonts w:ascii="Times New Roman" w:hAnsi="Times New Roman" w:cs="Times New Roman" w:eastAsia="Times New Roman" w:hint="default"/>
                <w:sz w:val="16"/>
                <w:szCs w:val="16"/>
              </w:rPr>
            </w:pPr>
            <w:r>
              <w:rPr>
                <w:rFonts w:ascii="Times New Roman"/>
                <w:spacing w:val="-1"/>
                <w:sz w:val="16"/>
              </w:rPr>
              <w:t>10,372,853.97</w:t>
            </w:r>
          </w:p>
        </w:tc>
        <w:tc>
          <w:tcPr>
            <w:tcW w:w="2381"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68"/>
              <w:jc w:val="right"/>
              <w:rPr>
                <w:rFonts w:ascii="Times New Roman" w:hAnsi="Times New Roman" w:cs="Times New Roman" w:eastAsia="Times New Roman" w:hint="default"/>
                <w:sz w:val="16"/>
                <w:szCs w:val="16"/>
              </w:rPr>
            </w:pPr>
            <w:r>
              <w:rPr>
                <w:rFonts w:ascii="Times New Roman"/>
                <w:spacing w:val="-1"/>
                <w:sz w:val="16"/>
              </w:rPr>
              <w:t>11,700,997.31</w:t>
            </w:r>
          </w:p>
        </w:tc>
      </w:tr>
      <w:tr>
        <w:trPr>
          <w:trHeight w:val="293" w:hRule="exact"/>
        </w:trPr>
        <w:tc>
          <w:tcPr>
            <w:tcW w:w="2483" w:type="dxa"/>
            <w:tcBorders>
              <w:top w:val="nil" w:sz="6" w:space="0" w:color="auto"/>
              <w:left w:val="nil" w:sz="6" w:space="0" w:color="auto"/>
              <w:bottom w:val="nil" w:sz="6" w:space="0" w:color="auto"/>
              <w:right w:val="nil" w:sz="6" w:space="0" w:color="auto"/>
            </w:tcBorders>
          </w:tcPr>
          <w:p>
            <w:pPr>
              <w:pStyle w:val="TableParagraph"/>
              <w:spacing w:line="240" w:lineRule="auto" w:before="10"/>
              <w:ind w:left="70" w:right="0"/>
              <w:jc w:val="left"/>
              <w:rPr>
                <w:rFonts w:ascii="宋体" w:hAnsi="宋体" w:cs="宋体" w:eastAsia="宋体" w:hint="default"/>
                <w:sz w:val="16"/>
                <w:szCs w:val="16"/>
              </w:rPr>
            </w:pPr>
            <w:r>
              <w:rPr>
                <w:rFonts w:ascii="宋体" w:hAnsi="宋体" w:cs="宋体" w:eastAsia="宋体" w:hint="default"/>
                <w:sz w:val="16"/>
                <w:szCs w:val="16"/>
              </w:rPr>
              <w:t>代垫款</w:t>
            </w:r>
          </w:p>
        </w:tc>
        <w:tc>
          <w:tcPr>
            <w:tcW w:w="325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519"/>
              <w:jc w:val="right"/>
              <w:rPr>
                <w:rFonts w:ascii="Times New Roman" w:hAnsi="Times New Roman" w:cs="Times New Roman" w:eastAsia="Times New Roman" w:hint="default"/>
                <w:sz w:val="16"/>
                <w:szCs w:val="16"/>
              </w:rPr>
            </w:pPr>
            <w:r>
              <w:rPr>
                <w:rFonts w:ascii="Times New Roman"/>
                <w:spacing w:val="-1"/>
                <w:sz w:val="16"/>
              </w:rPr>
              <w:t>2,872,314.69</w:t>
            </w:r>
          </w:p>
        </w:tc>
        <w:tc>
          <w:tcPr>
            <w:tcW w:w="2381"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68"/>
              <w:jc w:val="right"/>
              <w:rPr>
                <w:rFonts w:ascii="Times New Roman" w:hAnsi="Times New Roman" w:cs="Times New Roman" w:eastAsia="Times New Roman" w:hint="default"/>
                <w:sz w:val="16"/>
                <w:szCs w:val="16"/>
              </w:rPr>
            </w:pPr>
            <w:r>
              <w:rPr>
                <w:rFonts w:ascii="Times New Roman"/>
                <w:spacing w:val="-1"/>
                <w:sz w:val="16"/>
              </w:rPr>
              <w:t>3,295,673.75</w:t>
            </w:r>
          </w:p>
        </w:tc>
      </w:tr>
      <w:tr>
        <w:trPr>
          <w:trHeight w:val="293" w:hRule="exact"/>
        </w:trPr>
        <w:tc>
          <w:tcPr>
            <w:tcW w:w="2483" w:type="dxa"/>
            <w:tcBorders>
              <w:top w:val="nil" w:sz="6" w:space="0" w:color="auto"/>
              <w:left w:val="nil" w:sz="6" w:space="0" w:color="auto"/>
              <w:bottom w:val="nil" w:sz="6" w:space="0" w:color="auto"/>
              <w:right w:val="nil" w:sz="6" w:space="0" w:color="auto"/>
            </w:tcBorders>
          </w:tcPr>
          <w:p>
            <w:pPr>
              <w:pStyle w:val="TableParagraph"/>
              <w:spacing w:line="240" w:lineRule="auto" w:before="10"/>
              <w:ind w:left="70" w:right="0"/>
              <w:jc w:val="left"/>
              <w:rPr>
                <w:rFonts w:ascii="宋体" w:hAnsi="宋体" w:cs="宋体" w:eastAsia="宋体" w:hint="default"/>
                <w:sz w:val="16"/>
                <w:szCs w:val="16"/>
              </w:rPr>
            </w:pPr>
            <w:r>
              <w:rPr>
                <w:rFonts w:ascii="宋体" w:hAnsi="宋体" w:cs="宋体" w:eastAsia="宋体" w:hint="default"/>
                <w:sz w:val="16"/>
                <w:szCs w:val="16"/>
              </w:rPr>
              <w:t>出口退税</w:t>
            </w:r>
          </w:p>
        </w:tc>
        <w:tc>
          <w:tcPr>
            <w:tcW w:w="325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519"/>
              <w:jc w:val="right"/>
              <w:rPr>
                <w:rFonts w:ascii="Times New Roman" w:hAnsi="Times New Roman" w:cs="Times New Roman" w:eastAsia="Times New Roman" w:hint="default"/>
                <w:sz w:val="16"/>
                <w:szCs w:val="16"/>
              </w:rPr>
            </w:pPr>
            <w:r>
              <w:rPr>
                <w:rFonts w:ascii="Times New Roman"/>
                <w:spacing w:val="-2"/>
                <w:sz w:val="16"/>
              </w:rPr>
              <w:t>1,111,290.32</w:t>
            </w:r>
          </w:p>
        </w:tc>
        <w:tc>
          <w:tcPr>
            <w:tcW w:w="2381"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68"/>
              <w:jc w:val="right"/>
              <w:rPr>
                <w:rFonts w:ascii="Times New Roman" w:hAnsi="Times New Roman" w:cs="Times New Roman" w:eastAsia="Times New Roman" w:hint="default"/>
                <w:sz w:val="16"/>
                <w:szCs w:val="16"/>
              </w:rPr>
            </w:pPr>
            <w:r>
              <w:rPr>
                <w:rFonts w:ascii="Times New Roman"/>
                <w:spacing w:val="-1"/>
                <w:sz w:val="16"/>
              </w:rPr>
              <w:t>11,141,164.92</w:t>
            </w:r>
          </w:p>
        </w:tc>
      </w:tr>
      <w:tr>
        <w:trPr>
          <w:trHeight w:val="293" w:hRule="exact"/>
        </w:trPr>
        <w:tc>
          <w:tcPr>
            <w:tcW w:w="2483" w:type="dxa"/>
            <w:tcBorders>
              <w:top w:val="nil" w:sz="6" w:space="0" w:color="auto"/>
              <w:left w:val="nil" w:sz="6" w:space="0" w:color="auto"/>
              <w:bottom w:val="nil" w:sz="6" w:space="0" w:color="auto"/>
              <w:right w:val="nil" w:sz="6" w:space="0" w:color="auto"/>
            </w:tcBorders>
          </w:tcPr>
          <w:p>
            <w:pPr>
              <w:pStyle w:val="TableParagraph"/>
              <w:spacing w:line="240" w:lineRule="auto" w:before="10"/>
              <w:ind w:left="70"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325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519"/>
              <w:jc w:val="right"/>
              <w:rPr>
                <w:rFonts w:ascii="Times New Roman" w:hAnsi="Times New Roman" w:cs="Times New Roman" w:eastAsia="Times New Roman" w:hint="default"/>
                <w:sz w:val="16"/>
                <w:szCs w:val="16"/>
              </w:rPr>
            </w:pPr>
            <w:r>
              <w:rPr>
                <w:rFonts w:ascii="Times New Roman"/>
                <w:spacing w:val="-1"/>
                <w:sz w:val="16"/>
              </w:rPr>
              <w:t>2,658,506.87</w:t>
            </w:r>
          </w:p>
        </w:tc>
        <w:tc>
          <w:tcPr>
            <w:tcW w:w="2381"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68"/>
              <w:jc w:val="right"/>
              <w:rPr>
                <w:rFonts w:ascii="Times New Roman" w:hAnsi="Times New Roman" w:cs="Times New Roman" w:eastAsia="Times New Roman" w:hint="default"/>
                <w:sz w:val="16"/>
                <w:szCs w:val="16"/>
              </w:rPr>
            </w:pPr>
            <w:r>
              <w:rPr>
                <w:rFonts w:ascii="Times New Roman"/>
                <w:spacing w:val="-1"/>
                <w:sz w:val="16"/>
              </w:rPr>
              <w:t>9,204,395.29</w:t>
            </w:r>
          </w:p>
        </w:tc>
      </w:tr>
      <w:tr>
        <w:trPr>
          <w:trHeight w:val="298" w:hRule="exact"/>
        </w:trPr>
        <w:tc>
          <w:tcPr>
            <w:tcW w:w="248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1"/>
              <w:jc w:val="center"/>
              <w:rPr>
                <w:rFonts w:ascii="宋体" w:hAnsi="宋体" w:cs="宋体" w:eastAsia="宋体" w:hint="default"/>
                <w:sz w:val="16"/>
                <w:szCs w:val="16"/>
              </w:rPr>
            </w:pPr>
            <w:r>
              <w:rPr>
                <w:rFonts w:ascii="宋体" w:hAnsi="宋体" w:cs="宋体" w:eastAsia="宋体" w:hint="default"/>
                <w:sz w:val="16"/>
                <w:szCs w:val="16"/>
              </w:rPr>
              <w:t>合计</w:t>
            </w:r>
          </w:p>
        </w:tc>
        <w:tc>
          <w:tcPr>
            <w:tcW w:w="325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519"/>
              <w:jc w:val="right"/>
              <w:rPr>
                <w:rFonts w:ascii="Times New Roman" w:hAnsi="Times New Roman" w:cs="Times New Roman" w:eastAsia="Times New Roman" w:hint="default"/>
                <w:sz w:val="16"/>
                <w:szCs w:val="16"/>
              </w:rPr>
            </w:pPr>
            <w:r>
              <w:rPr>
                <w:rFonts w:ascii="Times New Roman"/>
                <w:spacing w:val="-1"/>
                <w:sz w:val="16"/>
              </w:rPr>
              <w:t>72,968,251.33</w:t>
            </w:r>
          </w:p>
        </w:tc>
        <w:tc>
          <w:tcPr>
            <w:tcW w:w="2381"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68"/>
              <w:jc w:val="right"/>
              <w:rPr>
                <w:rFonts w:ascii="Times New Roman" w:hAnsi="Times New Roman" w:cs="Times New Roman" w:eastAsia="Times New Roman" w:hint="default"/>
                <w:sz w:val="16"/>
                <w:szCs w:val="16"/>
              </w:rPr>
            </w:pPr>
            <w:r>
              <w:rPr>
                <w:rFonts w:ascii="Times New Roman"/>
                <w:spacing w:val="-1"/>
                <w:sz w:val="16"/>
              </w:rPr>
              <w:t>129,311,669.48</w:t>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p>
      <w:pPr>
        <w:pStyle w:val="BodyText"/>
        <w:spacing w:line="240" w:lineRule="auto" w:before="35"/>
        <w:ind w:right="1793"/>
        <w:jc w:val="left"/>
      </w:pPr>
      <w:r>
        <w:rPr/>
        <w:pict>
          <v:group style="position:absolute;margin-left:119.010002pt;margin-top:17.073797pt;width:411.7pt;height:141.7pt;mso-position-horizontal-relative:page;mso-position-vertical-relative:paragraph;z-index:-1393600" coordorigin="2380,341" coordsize="8234,2834">
            <v:group style="position:absolute;left:2410;top:356;width:2267;height:2" coordorigin="2410,356" coordsize="2267,2">
              <v:shape style="position:absolute;left:2410;top:356;width:2267;height:2" coordorigin="2410,356" coordsize="2267,0" path="m2410,356l4676,356e" filled="false" stroked="true" strokeweight="1.5pt" strokecolor="#000000">
                <v:path arrowok="t"/>
              </v:shape>
              <v:shape style="position:absolute;left:4676;top:371;width:10;height:28" type="#_x0000_t75" stroked="false">
                <v:imagedata r:id="rId42" o:title=""/>
              </v:shape>
            </v:group>
            <v:group style="position:absolute;left:4676;top:356;width:1167;height:2" coordorigin="4676,356" coordsize="1167,2">
              <v:shape style="position:absolute;left:4676;top:356;width:1167;height:2" coordorigin="4676,356" coordsize="1167,0" path="m4676,356l5843,356e" filled="false" stroked="true" strokeweight="1.5pt" strokecolor="#000000">
                <v:path arrowok="t"/>
              </v:shape>
              <v:shape style="position:absolute;left:5843;top:371;width:10;height:28" type="#_x0000_t75" stroked="false">
                <v:imagedata r:id="rId42" o:title=""/>
              </v:shape>
            </v:group>
            <v:group style="position:absolute;left:5843;top:356;width:1270;height:2" coordorigin="5843,356" coordsize="1270,2">
              <v:shape style="position:absolute;left:5843;top:356;width:1270;height:2" coordorigin="5843,356" coordsize="1270,0" path="m5843,356l7112,356e" filled="false" stroked="true" strokeweight="1.5pt" strokecolor="#000000">
                <v:path arrowok="t"/>
              </v:shape>
              <v:shape style="position:absolute;left:7112;top:371;width:10;height:28" type="#_x0000_t75" stroked="false">
                <v:imagedata r:id="rId42" o:title=""/>
              </v:shape>
            </v:group>
            <v:group style="position:absolute;left:7112;top:356;width:932;height:2" coordorigin="7112,356" coordsize="932,2">
              <v:shape style="position:absolute;left:7112;top:356;width:932;height:2" coordorigin="7112,356" coordsize="932,0" path="m7112,356l8044,356e" filled="false" stroked="true" strokeweight="1.5pt" strokecolor="#000000">
                <v:path arrowok="t"/>
              </v:shape>
              <v:shape style="position:absolute;left:8044;top:371;width:10;height:28" type="#_x0000_t75" stroked="false">
                <v:imagedata r:id="rId42" o:title=""/>
              </v:shape>
            </v:group>
            <v:group style="position:absolute;left:8044;top:356;width:1281;height:2" coordorigin="8044,356" coordsize="1281,2">
              <v:shape style="position:absolute;left:8044;top:356;width:1281;height:2" coordorigin="8044,356" coordsize="1281,0" path="m8044,356l9324,356e" filled="false" stroked="true" strokeweight="1.5pt" strokecolor="#000000">
                <v:path arrowok="t"/>
              </v:shape>
              <v:shape style="position:absolute;left:9324;top:371;width:10;height:28" type="#_x0000_t75" stroked="false">
                <v:imagedata r:id="rId42" o:title=""/>
              </v:shape>
            </v:group>
            <v:group style="position:absolute;left:9324;top:356;width:1274;height:2" coordorigin="9324,356" coordsize="1274,2">
              <v:shape style="position:absolute;left:9324;top:356;width:1274;height:2" coordorigin="9324,356" coordsize="1274,0" path="m9324,356l10597,356e" filled="false" stroked="true" strokeweight="1.5pt" strokecolor="#000000">
                <v:path arrowok="t"/>
              </v:shape>
              <v:shape style="position:absolute;left:4658;top:381;width:4693;height:688" type="#_x0000_t75" stroked="false">
                <v:imagedata r:id="rId142" o:title=""/>
              </v:shape>
            </v:group>
            <v:group style="position:absolute;left:2395;top:3160;width:2282;height:2" coordorigin="2395,3160" coordsize="2282,2">
              <v:shape style="position:absolute;left:2395;top:3160;width:2282;height:2" coordorigin="2395,3160" coordsize="2282,0" path="m2395,3160l4676,3160e" filled="false" stroked="true" strokeweight="1.5pt" strokecolor="#000000">
                <v:path arrowok="t"/>
              </v:shape>
            </v:group>
            <v:group style="position:absolute;left:4676;top:3160;width:1167;height:2" coordorigin="4676,3160" coordsize="1167,2">
              <v:shape style="position:absolute;left:4676;top:3160;width:1167;height:2" coordorigin="4676,3160" coordsize="1167,0" path="m4676,3160l5843,3160e" filled="false" stroked="true" strokeweight="1.5pt" strokecolor="#000000">
                <v:path arrowok="t"/>
              </v:shape>
            </v:group>
            <v:group style="position:absolute;left:5843;top:3160;width:1270;height:2" coordorigin="5843,3160" coordsize="1270,2">
              <v:shape style="position:absolute;left:5843;top:3160;width:1270;height:2" coordorigin="5843,3160" coordsize="1270,0" path="m5843,3160l7112,3160e" filled="false" stroked="true" strokeweight="1.5pt" strokecolor="#000000">
                <v:path arrowok="t"/>
              </v:shape>
            </v:group>
            <v:group style="position:absolute;left:7112;top:3160;width:932;height:2" coordorigin="7112,3160" coordsize="932,2">
              <v:shape style="position:absolute;left:7112;top:3160;width:932;height:2" coordorigin="7112,3160" coordsize="932,0" path="m7112,3160l8044,3160e" filled="false" stroked="true" strokeweight="1.5pt" strokecolor="#000000">
                <v:path arrowok="t"/>
              </v:shape>
            </v:group>
            <v:group style="position:absolute;left:8044;top:3160;width:1281;height:2" coordorigin="8044,3160" coordsize="1281,2">
              <v:shape style="position:absolute;left:8044;top:3160;width:1281;height:2" coordorigin="8044,3160" coordsize="1281,0" path="m8044,3160l9324,3160e" filled="false" stroked="true" strokeweight="1.5pt" strokecolor="#000000">
                <v:path arrowok="t"/>
              </v:shape>
              <v:shape style="position:absolute;left:2397;top:1038;width:8217;height:2107" type="#_x0000_t75" stroked="false">
                <v:imagedata r:id="rId143" o:title=""/>
              </v:shape>
            </v:group>
            <v:group style="position:absolute;left:9324;top:3160;width:1274;height:2" coordorigin="9324,3160" coordsize="1274,2">
              <v:shape style="position:absolute;left:9324;top:3160;width:1274;height:2" coordorigin="9324,3160" coordsize="1274,0" path="m9324,3160l10597,3160e" filled="false" stroked="true" strokeweight="1.5pt" strokecolor="#000000">
                <v:path arrowok="t"/>
              </v:shape>
              <v:shape style="position:absolute;left:3226;top:630;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单位名称</w:t>
                      </w:r>
                      <w:r>
                        <w:rPr>
                          <w:rFonts w:ascii="宋体" w:hAnsi="宋体" w:cs="宋体" w:eastAsia="宋体" w:hint="default"/>
                          <w:sz w:val="16"/>
                          <w:szCs w:val="16"/>
                        </w:rPr>
                      </w:r>
                    </w:p>
                  </w:txbxContent>
                </v:textbox>
                <w10:wrap type="none"/>
              </v:shape>
              <v:shape style="position:absolute;left:4944;top:630;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款项性质</w:t>
                      </w:r>
                      <w:r>
                        <w:rPr>
                          <w:rFonts w:ascii="宋体" w:hAnsi="宋体" w:cs="宋体" w:eastAsia="宋体" w:hint="default"/>
                          <w:sz w:val="16"/>
                          <w:szCs w:val="16"/>
                        </w:rPr>
                      </w:r>
                    </w:p>
                  </w:txbxContent>
                </v:textbox>
                <w10:wrap type="none"/>
              </v:shape>
              <v:shape style="position:absolute;left:6162;top:630;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7422;top:630;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账龄</w:t>
                      </w:r>
                      <w:r>
                        <w:rPr>
                          <w:rFonts w:ascii="宋体" w:hAnsi="宋体" w:cs="宋体" w:eastAsia="宋体" w:hint="default"/>
                          <w:sz w:val="16"/>
                          <w:szCs w:val="16"/>
                        </w:rPr>
                      </w:r>
                    </w:p>
                  </w:txbxContent>
                </v:textbox>
                <w10:wrap type="none"/>
              </v:shape>
              <v:shape style="position:absolute;left:8208;top:423;width:959;height:584"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占其他应收款</w:t>
                      </w:r>
                      <w:r>
                        <w:rPr>
                          <w:rFonts w:ascii="宋体" w:hAnsi="宋体" w:cs="宋体" w:eastAsia="宋体" w:hint="default"/>
                          <w:sz w:val="16"/>
                          <w:szCs w:val="16"/>
                        </w:rPr>
                      </w:r>
                    </w:p>
                    <w:p>
                      <w:pPr>
                        <w:spacing w:before="0"/>
                        <w:ind w:left="40" w:right="0" w:hanging="41"/>
                        <w:jc w:val="left"/>
                        <w:rPr>
                          <w:rFonts w:ascii="Times New Roman" w:hAnsi="Times New Roman" w:cs="Times New Roman" w:eastAsia="Times New Roman" w:hint="default"/>
                          <w:sz w:val="16"/>
                          <w:szCs w:val="16"/>
                        </w:rPr>
                      </w:pPr>
                      <w:r>
                        <w:rPr>
                          <w:rFonts w:ascii="宋体" w:hAnsi="宋体" w:cs="宋体" w:eastAsia="宋体" w:hint="default"/>
                          <w:w w:val="95"/>
                          <w:sz w:val="16"/>
                          <w:szCs w:val="16"/>
                        </w:rPr>
                        <w:t>期末余额合计</w:t>
                      </w:r>
                      <w:r>
                        <w:rPr>
                          <w:rFonts w:ascii="宋体" w:hAnsi="宋体" w:cs="宋体" w:eastAsia="宋体" w:hint="default"/>
                          <w:spacing w:val="-30"/>
                          <w:w w:val="95"/>
                          <w:sz w:val="16"/>
                          <w:szCs w:val="16"/>
                        </w:rPr>
                        <w:t> </w:t>
                      </w:r>
                      <w:r>
                        <w:rPr>
                          <w:rFonts w:ascii="宋体" w:hAnsi="宋体" w:cs="宋体" w:eastAsia="宋体" w:hint="default"/>
                          <w:spacing w:val="-30"/>
                          <w:w w:val="95"/>
                          <w:sz w:val="16"/>
                          <w:szCs w:val="16"/>
                        </w:rPr>
                      </w:r>
                      <w:r>
                        <w:rPr>
                          <w:rFonts w:ascii="宋体" w:hAnsi="宋体" w:cs="宋体" w:eastAsia="宋体" w:hint="default"/>
                          <w:sz w:val="16"/>
                          <w:szCs w:val="16"/>
                        </w:rPr>
                        <w:t>数的比例</w:t>
                      </w:r>
                      <w:r>
                        <w:rPr>
                          <w:rFonts w:ascii="Times New Roman" w:hAnsi="Times New Roman" w:cs="Times New Roman" w:eastAsia="Times New Roman" w:hint="default"/>
                          <w:sz w:val="16"/>
                          <w:szCs w:val="16"/>
                        </w:rPr>
                        <w:t>(%)</w:t>
                      </w:r>
                    </w:p>
                  </w:txbxContent>
                </v:textbox>
                <w10:wrap type="none"/>
              </v:shape>
              <v:shape style="position:absolute;left:9481;top:526;width:959;height:368" type="#_x0000_t202" filled="false" stroked="false">
                <v:textbox inset="0,0,0,0">
                  <w:txbxContent>
                    <w:p>
                      <w:pPr>
                        <w:spacing w:line="159" w:lineRule="exact" w:before="0"/>
                        <w:ind w:left="0" w:right="0" w:firstLine="0"/>
                        <w:jc w:val="center"/>
                        <w:rPr>
                          <w:rFonts w:ascii="宋体" w:hAnsi="宋体" w:cs="宋体" w:eastAsia="宋体" w:hint="default"/>
                          <w:sz w:val="16"/>
                          <w:szCs w:val="16"/>
                        </w:rPr>
                      </w:pPr>
                      <w:r>
                        <w:rPr>
                          <w:rFonts w:ascii="宋体" w:hAnsi="宋体" w:cs="宋体" w:eastAsia="宋体" w:hint="default"/>
                          <w:w w:val="95"/>
                          <w:sz w:val="16"/>
                          <w:szCs w:val="16"/>
                        </w:rPr>
                        <w:t>坏账准备期末</w:t>
                      </w:r>
                      <w:r>
                        <w:rPr>
                          <w:rFonts w:ascii="宋体" w:hAnsi="宋体" w:cs="宋体" w:eastAsia="宋体" w:hint="default"/>
                          <w:sz w:val="16"/>
                          <w:szCs w:val="16"/>
                        </w:rPr>
                      </w:r>
                    </w:p>
                    <w:p>
                      <w:pPr>
                        <w:spacing w:line="208" w:lineRule="exact" w:before="0"/>
                        <w:ind w:left="1" w:right="0" w:firstLine="0"/>
                        <w:jc w:val="center"/>
                        <w:rPr>
                          <w:rFonts w:ascii="宋体" w:hAnsi="宋体" w:cs="宋体" w:eastAsia="宋体" w:hint="default"/>
                          <w:sz w:val="16"/>
                          <w:szCs w:val="16"/>
                        </w:rPr>
                      </w:pPr>
                      <w:r>
                        <w:rPr>
                          <w:rFonts w:ascii="宋体" w:hAnsi="宋体" w:cs="宋体" w:eastAsia="宋体" w:hint="default"/>
                          <w:sz w:val="16"/>
                          <w:szCs w:val="16"/>
                        </w:rPr>
                        <w:t>余额</w:t>
                      </w:r>
                    </w:p>
                  </w:txbxContent>
                </v:textbox>
                <w10:wrap type="none"/>
              </v:shape>
            </v:group>
            <w10:wrap type="none"/>
          </v:group>
        </w:pict>
      </w:r>
      <w:r>
        <w:rPr/>
        <w:t>（</w:t>
      </w:r>
      <w:r>
        <w:rPr>
          <w:rFonts w:ascii="Times New Roman" w:hAnsi="Times New Roman" w:cs="Times New Roman" w:eastAsia="Times New Roman" w:hint="default"/>
        </w:rPr>
        <w:t>5</w:t>
      </w:r>
      <w:r>
        <w:rPr/>
        <w:t>）按欠款方归集的期末余额前五名的其他应收款情况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5"/>
          <w:szCs w:val="15"/>
        </w:rPr>
      </w:pPr>
    </w:p>
    <w:tbl>
      <w:tblPr>
        <w:tblW w:w="0" w:type="auto"/>
        <w:jc w:val="left"/>
        <w:tblInd w:w="787" w:type="dxa"/>
        <w:tblLayout w:type="fixed"/>
        <w:tblCellMar>
          <w:top w:w="0" w:type="dxa"/>
          <w:left w:w="0" w:type="dxa"/>
          <w:bottom w:w="0" w:type="dxa"/>
          <w:right w:w="0" w:type="dxa"/>
        </w:tblCellMar>
        <w:tblLook w:val="01E0"/>
      </w:tblPr>
      <w:tblGrid>
        <w:gridCol w:w="2165"/>
        <w:gridCol w:w="1301"/>
        <w:gridCol w:w="1233"/>
        <w:gridCol w:w="1225"/>
        <w:gridCol w:w="1024"/>
        <w:gridCol w:w="1164"/>
      </w:tblGrid>
      <w:tr>
        <w:trPr>
          <w:trHeight w:val="361" w:hRule="exact"/>
        </w:trPr>
        <w:tc>
          <w:tcPr>
            <w:tcW w:w="2165" w:type="dxa"/>
            <w:tcBorders>
              <w:top w:val="nil" w:sz="6" w:space="0" w:color="auto"/>
              <w:left w:val="nil" w:sz="6" w:space="0" w:color="auto"/>
              <w:bottom w:val="nil" w:sz="6" w:space="0" w:color="auto"/>
              <w:right w:val="nil" w:sz="6" w:space="0" w:color="auto"/>
            </w:tcBorders>
          </w:tcPr>
          <w:p>
            <w:pPr>
              <w:pStyle w:val="TableParagraph"/>
              <w:spacing w:line="240" w:lineRule="auto" w:before="50"/>
              <w:ind w:left="70" w:right="0"/>
              <w:jc w:val="left"/>
              <w:rPr>
                <w:rFonts w:ascii="宋体" w:hAnsi="宋体" w:cs="宋体" w:eastAsia="宋体" w:hint="default"/>
                <w:sz w:val="16"/>
                <w:szCs w:val="16"/>
              </w:rPr>
            </w:pPr>
            <w:r>
              <w:rPr>
                <w:rFonts w:ascii="宋体" w:hAnsi="宋体" w:cs="宋体" w:eastAsia="宋体" w:hint="default"/>
                <w:sz w:val="16"/>
                <w:szCs w:val="16"/>
              </w:rPr>
              <w:t>武汉工业国有投资有限公司</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76" w:right="0"/>
              <w:jc w:val="left"/>
              <w:rPr>
                <w:rFonts w:ascii="宋体" w:hAnsi="宋体" w:cs="宋体" w:eastAsia="宋体" w:hint="default"/>
                <w:sz w:val="16"/>
                <w:szCs w:val="16"/>
              </w:rPr>
            </w:pPr>
            <w:r>
              <w:rPr>
                <w:rFonts w:ascii="宋体" w:hAnsi="宋体" w:cs="宋体" w:eastAsia="宋体" w:hint="default"/>
                <w:sz w:val="16"/>
                <w:szCs w:val="16"/>
              </w:rPr>
              <w:t>往来款</w:t>
            </w:r>
          </w:p>
        </w:tc>
        <w:tc>
          <w:tcPr>
            <w:tcW w:w="1233"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34"/>
              <w:jc w:val="right"/>
              <w:rPr>
                <w:rFonts w:ascii="Times New Roman" w:hAnsi="Times New Roman" w:cs="Times New Roman" w:eastAsia="Times New Roman" w:hint="default"/>
                <w:sz w:val="16"/>
                <w:szCs w:val="16"/>
              </w:rPr>
            </w:pPr>
            <w:r>
              <w:rPr>
                <w:rFonts w:ascii="Times New Roman"/>
                <w:spacing w:val="-1"/>
                <w:sz w:val="16"/>
              </w:rPr>
              <w:t>8,000,000.00</w:t>
            </w:r>
          </w:p>
        </w:tc>
        <w:tc>
          <w:tcPr>
            <w:tcW w:w="1225"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36"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5</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年以上</w:t>
            </w:r>
          </w:p>
        </w:tc>
        <w:tc>
          <w:tcPr>
            <w:tcW w:w="1024"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70"/>
              <w:jc w:val="right"/>
              <w:rPr>
                <w:rFonts w:ascii="Times New Roman" w:hAnsi="Times New Roman" w:cs="Times New Roman" w:eastAsia="Times New Roman" w:hint="default"/>
                <w:sz w:val="16"/>
                <w:szCs w:val="16"/>
              </w:rPr>
            </w:pPr>
            <w:r>
              <w:rPr>
                <w:rFonts w:ascii="Times New Roman"/>
                <w:spacing w:val="-1"/>
                <w:sz w:val="16"/>
              </w:rPr>
              <w:t>10.96</w:t>
            </w:r>
          </w:p>
        </w:tc>
        <w:tc>
          <w:tcPr>
            <w:tcW w:w="1164"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68"/>
              <w:jc w:val="right"/>
              <w:rPr>
                <w:rFonts w:ascii="Times New Roman" w:hAnsi="Times New Roman" w:cs="Times New Roman" w:eastAsia="Times New Roman" w:hint="default"/>
                <w:sz w:val="16"/>
                <w:szCs w:val="16"/>
              </w:rPr>
            </w:pPr>
            <w:r>
              <w:rPr>
                <w:rFonts w:ascii="Times New Roman"/>
                <w:spacing w:val="-1"/>
                <w:sz w:val="16"/>
              </w:rPr>
              <w:t>8,000,000.00</w:t>
            </w:r>
          </w:p>
        </w:tc>
      </w:tr>
      <w:tr>
        <w:trPr>
          <w:trHeight w:val="349" w:hRule="exact"/>
        </w:trPr>
        <w:tc>
          <w:tcPr>
            <w:tcW w:w="216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宋体" w:hAnsi="宋体" w:cs="宋体" w:eastAsia="宋体" w:hint="default"/>
                <w:sz w:val="16"/>
                <w:szCs w:val="16"/>
              </w:rPr>
              <w:t>北京科迪迅通科技有限公司</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76" w:right="0"/>
              <w:jc w:val="left"/>
              <w:rPr>
                <w:rFonts w:ascii="宋体" w:hAnsi="宋体" w:cs="宋体" w:eastAsia="宋体" w:hint="default"/>
                <w:sz w:val="16"/>
                <w:szCs w:val="16"/>
              </w:rPr>
            </w:pPr>
            <w:r>
              <w:rPr>
                <w:rFonts w:ascii="宋体" w:hAnsi="宋体" w:cs="宋体" w:eastAsia="宋体" w:hint="default"/>
                <w:sz w:val="16"/>
                <w:szCs w:val="16"/>
              </w:rPr>
              <w:t>往来款</w:t>
            </w:r>
          </w:p>
        </w:tc>
        <w:tc>
          <w:tcPr>
            <w:tcW w:w="123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34"/>
              <w:jc w:val="right"/>
              <w:rPr>
                <w:rFonts w:ascii="Times New Roman" w:hAnsi="Times New Roman" w:cs="Times New Roman" w:eastAsia="Times New Roman" w:hint="default"/>
                <w:sz w:val="16"/>
                <w:szCs w:val="16"/>
              </w:rPr>
            </w:pPr>
            <w:r>
              <w:rPr>
                <w:rFonts w:ascii="Times New Roman"/>
                <w:spacing w:val="-1"/>
                <w:sz w:val="16"/>
              </w:rPr>
              <w:t>4,583,849.40</w:t>
            </w:r>
          </w:p>
        </w:tc>
        <w:tc>
          <w:tcPr>
            <w:tcW w:w="122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36"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5</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年以上</w:t>
            </w:r>
          </w:p>
        </w:tc>
        <w:tc>
          <w:tcPr>
            <w:tcW w:w="1024"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70"/>
              <w:jc w:val="right"/>
              <w:rPr>
                <w:rFonts w:ascii="Times New Roman" w:hAnsi="Times New Roman" w:cs="Times New Roman" w:eastAsia="Times New Roman" w:hint="default"/>
                <w:sz w:val="16"/>
                <w:szCs w:val="16"/>
              </w:rPr>
            </w:pPr>
            <w:r>
              <w:rPr>
                <w:rFonts w:ascii="Times New Roman"/>
                <w:spacing w:val="-1"/>
                <w:sz w:val="16"/>
              </w:rPr>
              <w:t>6.28</w:t>
            </w:r>
          </w:p>
        </w:tc>
        <w:tc>
          <w:tcPr>
            <w:tcW w:w="1164"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8"/>
              <w:jc w:val="right"/>
              <w:rPr>
                <w:rFonts w:ascii="Times New Roman" w:hAnsi="Times New Roman" w:cs="Times New Roman" w:eastAsia="Times New Roman" w:hint="default"/>
                <w:sz w:val="16"/>
                <w:szCs w:val="16"/>
              </w:rPr>
            </w:pPr>
            <w:r>
              <w:rPr>
                <w:rFonts w:ascii="Times New Roman"/>
                <w:spacing w:val="-1"/>
                <w:sz w:val="16"/>
              </w:rPr>
              <w:t>4,583,849.40</w:t>
            </w:r>
          </w:p>
        </w:tc>
      </w:tr>
      <w:tr>
        <w:trPr>
          <w:trHeight w:val="349" w:hRule="exact"/>
        </w:trPr>
        <w:tc>
          <w:tcPr>
            <w:tcW w:w="216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宋体" w:hAnsi="宋体" w:cs="宋体" w:eastAsia="宋体" w:hint="default"/>
                <w:sz w:val="16"/>
                <w:szCs w:val="16"/>
              </w:rPr>
              <w:t>京华信托投资公司</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76" w:right="0"/>
              <w:jc w:val="left"/>
              <w:rPr>
                <w:rFonts w:ascii="宋体" w:hAnsi="宋体" w:cs="宋体" w:eastAsia="宋体" w:hint="default"/>
                <w:sz w:val="16"/>
                <w:szCs w:val="16"/>
              </w:rPr>
            </w:pPr>
            <w:r>
              <w:rPr>
                <w:rFonts w:ascii="宋体" w:hAnsi="宋体" w:cs="宋体" w:eastAsia="宋体" w:hint="default"/>
                <w:sz w:val="16"/>
                <w:szCs w:val="16"/>
              </w:rPr>
              <w:t>往来款</w:t>
            </w:r>
          </w:p>
        </w:tc>
        <w:tc>
          <w:tcPr>
            <w:tcW w:w="123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34"/>
              <w:jc w:val="right"/>
              <w:rPr>
                <w:rFonts w:ascii="Times New Roman" w:hAnsi="Times New Roman" w:cs="Times New Roman" w:eastAsia="Times New Roman" w:hint="default"/>
                <w:sz w:val="16"/>
                <w:szCs w:val="16"/>
              </w:rPr>
            </w:pPr>
            <w:r>
              <w:rPr>
                <w:rFonts w:ascii="Times New Roman"/>
                <w:spacing w:val="-1"/>
                <w:sz w:val="16"/>
              </w:rPr>
              <w:t>3,522,556.96</w:t>
            </w:r>
          </w:p>
        </w:tc>
        <w:tc>
          <w:tcPr>
            <w:tcW w:w="122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36"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至</w:t>
            </w:r>
            <w:r>
              <w:rPr>
                <w:rFonts w:ascii="宋体" w:hAnsi="宋体" w:cs="宋体" w:eastAsia="宋体" w:hint="default"/>
                <w:spacing w:val="-42"/>
                <w:sz w:val="16"/>
                <w:szCs w:val="16"/>
              </w:rPr>
              <w:t> </w:t>
            </w:r>
            <w:r>
              <w:rPr>
                <w:rFonts w:ascii="Times New Roman" w:hAnsi="Times New Roman" w:cs="Times New Roman" w:eastAsia="Times New Roman" w:hint="default"/>
                <w:sz w:val="16"/>
                <w:szCs w:val="16"/>
              </w:rPr>
              <w:t>4</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年</w:t>
            </w:r>
          </w:p>
        </w:tc>
        <w:tc>
          <w:tcPr>
            <w:tcW w:w="1024"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70"/>
              <w:jc w:val="right"/>
              <w:rPr>
                <w:rFonts w:ascii="Times New Roman" w:hAnsi="Times New Roman" w:cs="Times New Roman" w:eastAsia="Times New Roman" w:hint="default"/>
                <w:sz w:val="16"/>
                <w:szCs w:val="16"/>
              </w:rPr>
            </w:pPr>
            <w:r>
              <w:rPr>
                <w:rFonts w:ascii="Times New Roman"/>
                <w:spacing w:val="-1"/>
                <w:sz w:val="16"/>
              </w:rPr>
              <w:t>4.83</w:t>
            </w:r>
          </w:p>
        </w:tc>
        <w:tc>
          <w:tcPr>
            <w:tcW w:w="1164"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8"/>
              <w:jc w:val="right"/>
              <w:rPr>
                <w:rFonts w:ascii="Times New Roman" w:hAnsi="Times New Roman" w:cs="Times New Roman" w:eastAsia="Times New Roman" w:hint="default"/>
                <w:sz w:val="16"/>
                <w:szCs w:val="16"/>
              </w:rPr>
            </w:pPr>
            <w:r>
              <w:rPr>
                <w:rFonts w:ascii="Times New Roman"/>
                <w:spacing w:val="-1"/>
                <w:w w:val="95"/>
                <w:sz w:val="16"/>
              </w:rPr>
              <w:t>2,113,534.18</w:t>
            </w:r>
            <w:r>
              <w:rPr>
                <w:rFonts w:ascii="Times New Roman"/>
                <w:spacing w:val="-1"/>
                <w:sz w:val="16"/>
              </w:rPr>
            </w:r>
          </w:p>
        </w:tc>
      </w:tr>
      <w:tr>
        <w:trPr>
          <w:trHeight w:val="349" w:hRule="exact"/>
        </w:trPr>
        <w:tc>
          <w:tcPr>
            <w:tcW w:w="216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宋体" w:hAnsi="宋体" w:cs="宋体" w:eastAsia="宋体" w:hint="default"/>
                <w:sz w:val="16"/>
                <w:szCs w:val="16"/>
              </w:rPr>
              <w:t>美国加洲</w:t>
            </w:r>
            <w:r>
              <w:rPr>
                <w:rFonts w:ascii="宋体" w:hAnsi="宋体" w:cs="宋体" w:eastAsia="宋体" w:hint="default"/>
                <w:spacing w:val="-42"/>
                <w:sz w:val="16"/>
                <w:szCs w:val="16"/>
              </w:rPr>
              <w:t> </w:t>
            </w:r>
            <w:r>
              <w:rPr>
                <w:rFonts w:ascii="Times New Roman" w:hAnsi="Times New Roman" w:cs="Times New Roman" w:eastAsia="Times New Roman" w:hint="default"/>
                <w:sz w:val="16"/>
                <w:szCs w:val="16"/>
              </w:rPr>
              <w:t>KFI</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技术公司</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76" w:right="0"/>
              <w:jc w:val="left"/>
              <w:rPr>
                <w:rFonts w:ascii="宋体" w:hAnsi="宋体" w:cs="宋体" w:eastAsia="宋体" w:hint="default"/>
                <w:sz w:val="16"/>
                <w:szCs w:val="16"/>
              </w:rPr>
            </w:pPr>
            <w:r>
              <w:rPr>
                <w:rFonts w:ascii="宋体" w:hAnsi="宋体" w:cs="宋体" w:eastAsia="宋体" w:hint="default"/>
                <w:sz w:val="16"/>
                <w:szCs w:val="16"/>
              </w:rPr>
              <w:t>往来款</w:t>
            </w:r>
          </w:p>
        </w:tc>
        <w:tc>
          <w:tcPr>
            <w:tcW w:w="123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34"/>
              <w:jc w:val="right"/>
              <w:rPr>
                <w:rFonts w:ascii="Times New Roman" w:hAnsi="Times New Roman" w:cs="Times New Roman" w:eastAsia="Times New Roman" w:hint="default"/>
                <w:sz w:val="16"/>
                <w:szCs w:val="16"/>
              </w:rPr>
            </w:pPr>
            <w:r>
              <w:rPr>
                <w:rFonts w:ascii="Times New Roman"/>
                <w:spacing w:val="-1"/>
                <w:sz w:val="16"/>
              </w:rPr>
              <w:t>3,486,000.00</w:t>
            </w:r>
          </w:p>
        </w:tc>
        <w:tc>
          <w:tcPr>
            <w:tcW w:w="122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36"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5</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年以上</w:t>
            </w:r>
          </w:p>
        </w:tc>
        <w:tc>
          <w:tcPr>
            <w:tcW w:w="1024"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70"/>
              <w:jc w:val="right"/>
              <w:rPr>
                <w:rFonts w:ascii="Times New Roman" w:hAnsi="Times New Roman" w:cs="Times New Roman" w:eastAsia="Times New Roman" w:hint="default"/>
                <w:sz w:val="16"/>
                <w:szCs w:val="16"/>
              </w:rPr>
            </w:pPr>
            <w:r>
              <w:rPr>
                <w:rFonts w:ascii="Times New Roman"/>
                <w:spacing w:val="-1"/>
                <w:sz w:val="16"/>
              </w:rPr>
              <w:t>4.78</w:t>
            </w:r>
          </w:p>
        </w:tc>
        <w:tc>
          <w:tcPr>
            <w:tcW w:w="1164" w:type="dxa"/>
            <w:tcBorders>
              <w:top w:val="nil" w:sz="6" w:space="0" w:color="auto"/>
              <w:left w:val="nil" w:sz="6" w:space="0" w:color="auto"/>
              <w:bottom w:val="nil" w:sz="6" w:space="0" w:color="auto"/>
              <w:right w:val="nil" w:sz="6" w:space="0" w:color="auto"/>
            </w:tcBorders>
          </w:tcPr>
          <w:p>
            <w:pPr/>
          </w:p>
        </w:tc>
      </w:tr>
      <w:tr>
        <w:trPr>
          <w:trHeight w:val="349" w:hRule="exact"/>
        </w:trPr>
        <w:tc>
          <w:tcPr>
            <w:tcW w:w="2165" w:type="dxa"/>
            <w:tcBorders>
              <w:top w:val="nil" w:sz="6" w:space="0" w:color="auto"/>
              <w:left w:val="nil" w:sz="6" w:space="0" w:color="auto"/>
              <w:bottom w:val="nil" w:sz="6" w:space="0" w:color="auto"/>
              <w:right w:val="nil" w:sz="6" w:space="0" w:color="auto"/>
            </w:tcBorders>
          </w:tcPr>
          <w:p>
            <w:pPr>
              <w:pStyle w:val="TableParagraph"/>
              <w:spacing w:line="240" w:lineRule="auto" w:before="37"/>
              <w:ind w:left="70" w:right="0"/>
              <w:jc w:val="left"/>
              <w:rPr>
                <w:rFonts w:ascii="宋体" w:hAnsi="宋体" w:cs="宋体" w:eastAsia="宋体" w:hint="default"/>
                <w:sz w:val="16"/>
                <w:szCs w:val="16"/>
              </w:rPr>
            </w:pPr>
            <w:r>
              <w:rPr>
                <w:rFonts w:ascii="宋体" w:hAnsi="宋体" w:cs="宋体" w:eastAsia="宋体" w:hint="default"/>
                <w:sz w:val="16"/>
                <w:szCs w:val="16"/>
              </w:rPr>
              <w:t>株洲天易建设发展有限公司</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76" w:right="0"/>
              <w:jc w:val="left"/>
              <w:rPr>
                <w:rFonts w:ascii="宋体" w:hAnsi="宋体" w:cs="宋体" w:eastAsia="宋体" w:hint="default"/>
                <w:sz w:val="16"/>
                <w:szCs w:val="16"/>
              </w:rPr>
            </w:pPr>
            <w:r>
              <w:rPr>
                <w:rFonts w:ascii="宋体" w:hAnsi="宋体" w:cs="宋体" w:eastAsia="宋体" w:hint="default"/>
                <w:sz w:val="16"/>
                <w:szCs w:val="16"/>
              </w:rPr>
              <w:t>保证金、押金</w:t>
            </w:r>
          </w:p>
        </w:tc>
        <w:tc>
          <w:tcPr>
            <w:tcW w:w="123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34"/>
              <w:jc w:val="right"/>
              <w:rPr>
                <w:rFonts w:ascii="Times New Roman" w:hAnsi="Times New Roman" w:cs="Times New Roman" w:eastAsia="Times New Roman" w:hint="default"/>
                <w:sz w:val="16"/>
                <w:szCs w:val="16"/>
              </w:rPr>
            </w:pPr>
            <w:r>
              <w:rPr>
                <w:rFonts w:ascii="Times New Roman"/>
                <w:spacing w:val="-1"/>
                <w:sz w:val="16"/>
              </w:rPr>
              <w:t>2,941,981.58</w:t>
            </w:r>
          </w:p>
        </w:tc>
        <w:tc>
          <w:tcPr>
            <w:tcW w:w="1225"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36"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年以内</w:t>
            </w:r>
          </w:p>
        </w:tc>
        <w:tc>
          <w:tcPr>
            <w:tcW w:w="1024"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70"/>
              <w:jc w:val="right"/>
              <w:rPr>
                <w:rFonts w:ascii="Times New Roman" w:hAnsi="Times New Roman" w:cs="Times New Roman" w:eastAsia="Times New Roman" w:hint="default"/>
                <w:sz w:val="16"/>
                <w:szCs w:val="16"/>
              </w:rPr>
            </w:pPr>
            <w:r>
              <w:rPr>
                <w:rFonts w:ascii="Times New Roman"/>
                <w:spacing w:val="-1"/>
                <w:sz w:val="16"/>
              </w:rPr>
              <w:t>4.03</w:t>
            </w:r>
          </w:p>
        </w:tc>
        <w:tc>
          <w:tcPr>
            <w:tcW w:w="1164" w:type="dxa"/>
            <w:tcBorders>
              <w:top w:val="nil" w:sz="6" w:space="0" w:color="auto"/>
              <w:left w:val="nil" w:sz="6" w:space="0" w:color="auto"/>
              <w:bottom w:val="nil" w:sz="6" w:space="0" w:color="auto"/>
              <w:right w:val="nil" w:sz="6" w:space="0" w:color="auto"/>
            </w:tcBorders>
          </w:tcPr>
          <w:p>
            <w:pPr/>
          </w:p>
        </w:tc>
      </w:tr>
      <w:tr>
        <w:trPr>
          <w:trHeight w:val="354" w:hRule="exact"/>
        </w:trPr>
        <w:tc>
          <w:tcPr>
            <w:tcW w:w="216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9" w:right="0"/>
              <w:jc w:val="center"/>
              <w:rPr>
                <w:rFonts w:ascii="宋体" w:hAnsi="宋体" w:cs="宋体" w:eastAsia="宋体" w:hint="default"/>
                <w:sz w:val="16"/>
                <w:szCs w:val="16"/>
              </w:rPr>
            </w:pPr>
            <w:r>
              <w:rPr>
                <w:rFonts w:ascii="宋体" w:hAnsi="宋体" w:cs="宋体" w:eastAsia="宋体" w:hint="default"/>
                <w:sz w:val="16"/>
                <w:szCs w:val="16"/>
              </w:rPr>
              <w:t>合计</w:t>
            </w:r>
          </w:p>
        </w:tc>
        <w:tc>
          <w:tcPr>
            <w:tcW w:w="1301" w:type="dxa"/>
            <w:tcBorders>
              <w:top w:val="nil" w:sz="6" w:space="0" w:color="auto"/>
              <w:left w:val="nil" w:sz="6" w:space="0" w:color="auto"/>
              <w:bottom w:val="nil" w:sz="6" w:space="0" w:color="auto"/>
              <w:right w:val="nil" w:sz="6" w:space="0" w:color="auto"/>
            </w:tcBorders>
          </w:tcPr>
          <w:p>
            <w:pPr/>
          </w:p>
        </w:tc>
        <w:tc>
          <w:tcPr>
            <w:tcW w:w="123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34"/>
              <w:jc w:val="right"/>
              <w:rPr>
                <w:rFonts w:ascii="Times New Roman" w:hAnsi="Times New Roman" w:cs="Times New Roman" w:eastAsia="Times New Roman" w:hint="default"/>
                <w:sz w:val="16"/>
                <w:szCs w:val="16"/>
              </w:rPr>
            </w:pPr>
            <w:r>
              <w:rPr>
                <w:rFonts w:ascii="Times New Roman"/>
                <w:spacing w:val="-1"/>
                <w:sz w:val="16"/>
              </w:rPr>
              <w:t>22,534,387.94</w:t>
            </w:r>
          </w:p>
        </w:tc>
        <w:tc>
          <w:tcPr>
            <w:tcW w:w="1225" w:type="dxa"/>
            <w:tcBorders>
              <w:top w:val="nil" w:sz="6" w:space="0" w:color="auto"/>
              <w:left w:val="nil" w:sz="6" w:space="0" w:color="auto"/>
              <w:bottom w:val="nil" w:sz="6" w:space="0" w:color="auto"/>
              <w:right w:val="nil" w:sz="6" w:space="0" w:color="auto"/>
            </w:tcBorders>
          </w:tcPr>
          <w:p>
            <w:pPr/>
          </w:p>
        </w:tc>
        <w:tc>
          <w:tcPr>
            <w:tcW w:w="1024"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70"/>
              <w:jc w:val="right"/>
              <w:rPr>
                <w:rFonts w:ascii="Times New Roman" w:hAnsi="Times New Roman" w:cs="Times New Roman" w:eastAsia="Times New Roman" w:hint="default"/>
                <w:sz w:val="16"/>
                <w:szCs w:val="16"/>
              </w:rPr>
            </w:pPr>
            <w:r>
              <w:rPr>
                <w:rFonts w:ascii="Times New Roman"/>
                <w:spacing w:val="-1"/>
                <w:sz w:val="16"/>
              </w:rPr>
              <w:t>30.88</w:t>
            </w:r>
          </w:p>
        </w:tc>
        <w:tc>
          <w:tcPr>
            <w:tcW w:w="1164"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8"/>
              <w:jc w:val="right"/>
              <w:rPr>
                <w:rFonts w:ascii="Times New Roman" w:hAnsi="Times New Roman" w:cs="Times New Roman" w:eastAsia="Times New Roman" w:hint="default"/>
                <w:sz w:val="16"/>
                <w:szCs w:val="16"/>
              </w:rPr>
            </w:pPr>
            <w:r>
              <w:rPr>
                <w:rFonts w:ascii="Times New Roman"/>
                <w:spacing w:val="-1"/>
                <w:sz w:val="16"/>
              </w:rPr>
              <w:t>14,697,383.58</w:t>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p>
      <w:pPr>
        <w:pStyle w:val="Heading5"/>
        <w:tabs>
          <w:tab w:pos="851" w:val="left" w:leader="none"/>
        </w:tabs>
        <w:spacing w:line="240" w:lineRule="auto"/>
        <w:ind w:right="3681"/>
        <w:jc w:val="left"/>
        <w:rPr>
          <w:b w:val="0"/>
          <w:bCs w:val="0"/>
        </w:rPr>
      </w:pPr>
      <w:r>
        <w:rPr>
          <w:rFonts w:ascii="Times New Roman" w:hAnsi="Times New Roman" w:cs="Times New Roman" w:eastAsia="Times New Roman" w:hint="default"/>
          <w:w w:val="95"/>
        </w:rPr>
        <w:t>(</w:t>
      </w:r>
      <w:r>
        <w:rPr>
          <w:w w:val="95"/>
        </w:rPr>
        <w:t>六</w:t>
      </w:r>
      <w:r>
        <w:rPr>
          <w:rFonts w:ascii="Times New Roman" w:hAnsi="Times New Roman" w:cs="Times New Roman" w:eastAsia="Times New Roman" w:hint="default"/>
          <w:w w:val="95"/>
        </w:rPr>
        <w:t>)</w:t>
        <w:tab/>
      </w:r>
      <w:r>
        <w:rPr>
          <w:spacing w:val="1"/>
        </w:rPr>
        <w:t>存货</w:t>
      </w:r>
      <w:r>
        <w:rPr>
          <w:b w:val="0"/>
          <w:bCs w:val="0"/>
        </w:rPr>
      </w:r>
    </w:p>
    <w:p>
      <w:pPr>
        <w:pStyle w:val="Heading5"/>
        <w:tabs>
          <w:tab w:pos="1397" w:val="left" w:leader="none"/>
        </w:tabs>
        <w:spacing w:line="240" w:lineRule="auto" w:before="110"/>
        <w:ind w:left="846" w:right="3681"/>
        <w:jc w:val="left"/>
        <w:rPr>
          <w:b w:val="0"/>
          <w:bCs w:val="0"/>
        </w:rPr>
      </w:pPr>
      <w:r>
        <w:rPr>
          <w:rFonts w:ascii="Times New Roman" w:hAnsi="Times New Roman" w:cs="Times New Roman" w:eastAsia="Times New Roman" w:hint="default"/>
          <w:w w:val="95"/>
        </w:rPr>
        <w:t>1</w:t>
      </w:r>
      <w:r>
        <w:rPr>
          <w:w w:val="95"/>
        </w:rPr>
        <w:t>、</w:t>
        <w:tab/>
      </w:r>
      <w:r>
        <w:rPr>
          <w:spacing w:val="1"/>
        </w:rPr>
        <w:t>存货分类</w:t>
      </w:r>
      <w:r>
        <w:rPr>
          <w:b w:val="0"/>
          <w:bCs w:val="0"/>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p>
      <w:pPr>
        <w:spacing w:line="2566" w:lineRule="exact"/>
        <w:ind w:left="720" w:right="0" w:firstLine="0"/>
        <w:rPr>
          <w:rFonts w:ascii="宋体" w:hAnsi="宋体" w:cs="宋体" w:eastAsia="宋体" w:hint="default"/>
          <w:sz w:val="20"/>
          <w:szCs w:val="20"/>
        </w:rPr>
      </w:pPr>
      <w:r>
        <w:rPr>
          <w:rFonts w:ascii="宋体" w:hAnsi="宋体" w:cs="宋体" w:eastAsia="宋体" w:hint="default"/>
          <w:position w:val="-50"/>
          <w:sz w:val="20"/>
          <w:szCs w:val="20"/>
        </w:rPr>
        <w:pict>
          <v:group style="width:412.15pt;height:128.35pt;mso-position-horizontal-relative:char;mso-position-vertical-relative:line" coordorigin="0,0" coordsize="8243,2567">
            <v:group style="position:absolute;left:29;top:15;width:818;height:2" coordorigin="29,15" coordsize="818,2">
              <v:shape style="position:absolute;left:29;top:15;width:818;height:2" coordorigin="29,15" coordsize="818,0" path="m29,15l847,15e" filled="false" stroked="true" strokeweight="1.5pt" strokecolor="#000000">
                <v:path arrowok="t"/>
              </v:shape>
              <v:shape style="position:absolute;left:847;top:30;width:10;height:28" type="#_x0000_t75" stroked="false">
                <v:imagedata r:id="rId35" o:title=""/>
              </v:shape>
            </v:group>
            <v:group style="position:absolute;left:847;top:15;width:3687;height:2" coordorigin="847,15" coordsize="3687,2">
              <v:shape style="position:absolute;left:847;top:15;width:3687;height:2" coordorigin="847,15" coordsize="3687,0" path="m847,15l4533,15e" filled="false" stroked="true" strokeweight="1.5pt" strokecolor="#000000">
                <v:path arrowok="t"/>
              </v:shape>
              <v:shape style="position:absolute;left:4533;top:30;width:10;height:28" type="#_x0000_t75" stroked="false">
                <v:imagedata r:id="rId35" o:title=""/>
              </v:shape>
            </v:group>
            <v:group style="position:absolute;left:4533;top:15;width:3684;height:2" coordorigin="4533,15" coordsize="3684,2">
              <v:shape style="position:absolute;left:4533;top:15;width:3684;height:2" coordorigin="4533,15" coordsize="3684,0" path="m4533,15l8217,15e" filled="false" stroked="true" strokeweight="1.5pt" strokecolor="#000000">
                <v:path arrowok="t"/>
              </v:shape>
              <v:shape style="position:absolute;left:827;top:38;width:3734;height:294" type="#_x0000_t75" stroked="false">
                <v:imagedata r:id="rId144" o:title=""/>
              </v:shape>
              <v:shape style="position:absolute;left:827;top:294;width:7415;height:331" type="#_x0000_t75" stroked="false">
                <v:imagedata r:id="rId145" o:title=""/>
              </v:shape>
            </v:group>
            <v:group style="position:absolute;left:15;top:2552;width:832;height:2" coordorigin="15,2552" coordsize="832,2">
              <v:shape style="position:absolute;left:15;top:2552;width:832;height:2" coordorigin="15,2552" coordsize="832,0" path="m15,2552l847,2552e" filled="false" stroked="true" strokeweight="1.5pt" strokecolor="#000000">
                <v:path arrowok="t"/>
              </v:shape>
            </v:group>
            <v:group style="position:absolute;left:847;top:2552;width:1266;height:2" coordorigin="847,2552" coordsize="1266,2">
              <v:shape style="position:absolute;left:847;top:2552;width:1266;height:2" coordorigin="847,2552" coordsize="1266,0" path="m847,2552l2113,2552e" filled="false" stroked="true" strokeweight="1.5pt" strokecolor="#000000">
                <v:path arrowok="t"/>
              </v:shape>
            </v:group>
            <v:group style="position:absolute;left:2113;top:2552;width:1155;height:2" coordorigin="2113,2552" coordsize="1155,2">
              <v:shape style="position:absolute;left:2113;top:2552;width:1155;height:2" coordorigin="2113,2552" coordsize="1155,0" path="m2113,2552l3267,2552e" filled="false" stroked="true" strokeweight="1.5pt" strokecolor="#000000">
                <v:path arrowok="t"/>
              </v:shape>
            </v:group>
            <v:group style="position:absolute;left:3267;top:2552;width:1266;height:2" coordorigin="3267,2552" coordsize="1266,2">
              <v:shape style="position:absolute;left:3267;top:2552;width:1266;height:2" coordorigin="3267,2552" coordsize="1266,0" path="m3267,2552l4533,2552e" filled="false" stroked="true" strokeweight="1.5pt" strokecolor="#000000">
                <v:path arrowok="t"/>
              </v:shape>
            </v:group>
            <v:group style="position:absolute;left:4533;top:2552;width:1266;height:2" coordorigin="4533,2552" coordsize="1266,2">
              <v:shape style="position:absolute;left:4533;top:2552;width:1266;height:2" coordorigin="4533,2552" coordsize="1266,0" path="m4533,2552l5799,2552e" filled="false" stroked="true" strokeweight="1.5pt" strokecolor="#000000">
                <v:path arrowok="t"/>
              </v:shape>
            </v:group>
            <v:group style="position:absolute;left:5799;top:2552;width:1148;height:2" coordorigin="5799,2552" coordsize="1148,2">
              <v:shape style="position:absolute;left:5799;top:2552;width:1148;height:2" coordorigin="5799,2552" coordsize="1148,0" path="m5799,2552l6946,2552e" filled="false" stroked="true" strokeweight="1.5pt" strokecolor="#000000">
                <v:path arrowok="t"/>
              </v:shape>
              <v:shape style="position:absolute;left:10;top:587;width:8232;height:1950" type="#_x0000_t75" stroked="false">
                <v:imagedata r:id="rId146" o:title=""/>
              </v:shape>
            </v:group>
            <v:group style="position:absolute;left:6946;top:2552;width:1271;height:2" coordorigin="6946,2552" coordsize="1271,2">
              <v:shape style="position:absolute;left:6946;top:2552;width:1271;height:2" coordorigin="6946,2552" coordsize="1271,0" path="m6946,2552l8217,2552e" filled="false" stroked="true" strokeweight="1.5pt" strokecolor="#000000">
                <v:path arrowok="t"/>
              </v:shape>
              <v:shape style="position:absolute;left:301;top:256;width:281;height:141" type="#_x0000_t202" filled="false" stroked="false">
                <v:textbox inset="0,0,0,0">
                  <w:txbxContent>
                    <w:p>
                      <w:pPr>
                        <w:spacing w:line="140" w:lineRule="exact" w:before="0"/>
                        <w:ind w:left="0" w:right="0" w:firstLine="0"/>
                        <w:jc w:val="left"/>
                        <w:rPr>
                          <w:rFonts w:ascii="宋体" w:hAnsi="宋体" w:cs="宋体" w:eastAsia="宋体" w:hint="default"/>
                          <w:sz w:val="14"/>
                          <w:szCs w:val="14"/>
                        </w:rPr>
                      </w:pPr>
                      <w:r>
                        <w:rPr>
                          <w:rFonts w:ascii="宋体" w:hAnsi="宋体" w:cs="宋体" w:eastAsia="宋体" w:hint="default"/>
                          <w:sz w:val="14"/>
                          <w:szCs w:val="14"/>
                        </w:rPr>
                        <w:t>项目</w:t>
                      </w:r>
                    </w:p>
                  </w:txbxContent>
                </v:textbox>
                <w10:wrap type="none"/>
              </v:shape>
              <v:shape style="position:absolute;left:1203;top:403;width:562;height:141" type="#_x0000_t202" filled="false" stroked="false">
                <v:textbox inset="0,0,0,0">
                  <w:txbxContent>
                    <w:p>
                      <w:pPr>
                        <w:spacing w:line="140" w:lineRule="exact" w:before="0"/>
                        <w:ind w:left="0" w:right="0" w:firstLine="0"/>
                        <w:jc w:val="left"/>
                        <w:rPr>
                          <w:rFonts w:ascii="宋体" w:hAnsi="宋体" w:cs="宋体" w:eastAsia="宋体" w:hint="default"/>
                          <w:sz w:val="14"/>
                          <w:szCs w:val="14"/>
                        </w:rPr>
                      </w:pPr>
                      <w:r>
                        <w:rPr>
                          <w:rFonts w:ascii="宋体" w:hAnsi="宋体" w:cs="宋体" w:eastAsia="宋体" w:hint="default"/>
                          <w:sz w:val="14"/>
                          <w:szCs w:val="14"/>
                        </w:rPr>
                        <w:t>账面余额</w:t>
                      </w:r>
                    </w:p>
                  </w:txbxContent>
                </v:textbox>
                <w10:wrap type="none"/>
              </v:shape>
              <v:shape style="position:absolute;left:2413;top:110;width:563;height:434" type="#_x0000_t202" filled="false" stroked="false">
                <v:textbox inset="0,0,0,0">
                  <w:txbxContent>
                    <w:p>
                      <w:pPr>
                        <w:spacing w:line="140" w:lineRule="exact" w:before="0"/>
                        <w:ind w:left="1" w:right="0" w:hanging="2"/>
                        <w:jc w:val="left"/>
                        <w:rPr>
                          <w:rFonts w:ascii="宋体" w:hAnsi="宋体" w:cs="宋体" w:eastAsia="宋体" w:hint="default"/>
                          <w:sz w:val="14"/>
                          <w:szCs w:val="14"/>
                        </w:rPr>
                      </w:pPr>
                      <w:r>
                        <w:rPr>
                          <w:rFonts w:ascii="宋体" w:hAnsi="宋体" w:cs="宋体" w:eastAsia="宋体" w:hint="default"/>
                          <w:sz w:val="14"/>
                          <w:szCs w:val="14"/>
                        </w:rPr>
                        <w:t>期末余额</w:t>
                      </w:r>
                    </w:p>
                    <w:p>
                      <w:pPr>
                        <w:spacing w:before="109"/>
                        <w:ind w:left="1" w:right="0" w:firstLine="0"/>
                        <w:jc w:val="left"/>
                        <w:rPr>
                          <w:rFonts w:ascii="宋体" w:hAnsi="宋体" w:cs="宋体" w:eastAsia="宋体" w:hint="default"/>
                          <w:sz w:val="14"/>
                          <w:szCs w:val="14"/>
                        </w:rPr>
                      </w:pPr>
                      <w:r>
                        <w:rPr>
                          <w:rFonts w:ascii="宋体" w:hAnsi="宋体" w:cs="宋体" w:eastAsia="宋体" w:hint="default"/>
                          <w:sz w:val="14"/>
                          <w:szCs w:val="14"/>
                        </w:rPr>
                        <w:t>跌价准备</w:t>
                      </w:r>
                    </w:p>
                  </w:txbxContent>
                </v:textbox>
                <w10:wrap type="none"/>
              </v:shape>
              <v:shape style="position:absolute;left:3623;top:403;width:562;height:141" type="#_x0000_t202" filled="false" stroked="false">
                <v:textbox inset="0,0,0,0">
                  <w:txbxContent>
                    <w:p>
                      <w:pPr>
                        <w:spacing w:line="140" w:lineRule="exact" w:before="0"/>
                        <w:ind w:left="0" w:right="0" w:firstLine="0"/>
                        <w:jc w:val="left"/>
                        <w:rPr>
                          <w:rFonts w:ascii="宋体" w:hAnsi="宋体" w:cs="宋体" w:eastAsia="宋体" w:hint="default"/>
                          <w:sz w:val="14"/>
                          <w:szCs w:val="14"/>
                        </w:rPr>
                      </w:pPr>
                      <w:r>
                        <w:rPr>
                          <w:rFonts w:ascii="宋体" w:hAnsi="宋体" w:cs="宋体" w:eastAsia="宋体" w:hint="default"/>
                          <w:sz w:val="14"/>
                          <w:szCs w:val="14"/>
                        </w:rPr>
                        <w:t>账面价值</w:t>
                      </w:r>
                    </w:p>
                  </w:txbxContent>
                </v:textbox>
                <w10:wrap type="none"/>
              </v:shape>
              <v:shape style="position:absolute;left:4889;top:403;width:562;height:141" type="#_x0000_t202" filled="false" stroked="false">
                <v:textbox inset="0,0,0,0">
                  <w:txbxContent>
                    <w:p>
                      <w:pPr>
                        <w:spacing w:line="140" w:lineRule="exact" w:before="0"/>
                        <w:ind w:left="0" w:right="0" w:firstLine="0"/>
                        <w:jc w:val="left"/>
                        <w:rPr>
                          <w:rFonts w:ascii="宋体" w:hAnsi="宋体" w:cs="宋体" w:eastAsia="宋体" w:hint="default"/>
                          <w:sz w:val="14"/>
                          <w:szCs w:val="14"/>
                        </w:rPr>
                      </w:pPr>
                      <w:r>
                        <w:rPr>
                          <w:rFonts w:ascii="宋体" w:hAnsi="宋体" w:cs="宋体" w:eastAsia="宋体" w:hint="default"/>
                          <w:sz w:val="14"/>
                          <w:szCs w:val="14"/>
                        </w:rPr>
                        <w:t>账面余额</w:t>
                      </w:r>
                    </w:p>
                  </w:txbxContent>
                </v:textbox>
                <w10:wrap type="none"/>
              </v:shape>
              <v:shape style="position:absolute;left:6097;top:110;width:562;height:434" type="#_x0000_t202" filled="false" stroked="false">
                <v:textbox inset="0,0,0,0">
                  <w:txbxContent>
                    <w:p>
                      <w:pPr>
                        <w:spacing w:line="140" w:lineRule="exact" w:before="0"/>
                        <w:ind w:left="0" w:right="0" w:firstLine="0"/>
                        <w:jc w:val="left"/>
                        <w:rPr>
                          <w:rFonts w:ascii="宋体" w:hAnsi="宋体" w:cs="宋体" w:eastAsia="宋体" w:hint="default"/>
                          <w:sz w:val="14"/>
                          <w:szCs w:val="14"/>
                        </w:rPr>
                      </w:pPr>
                      <w:r>
                        <w:rPr>
                          <w:rFonts w:ascii="宋体" w:hAnsi="宋体" w:cs="宋体" w:eastAsia="宋体" w:hint="default"/>
                          <w:sz w:val="14"/>
                          <w:szCs w:val="14"/>
                        </w:rPr>
                        <w:t>年初余额</w:t>
                      </w:r>
                    </w:p>
                    <w:p>
                      <w:pPr>
                        <w:spacing w:before="109"/>
                        <w:ind w:left="0" w:right="0" w:firstLine="0"/>
                        <w:jc w:val="left"/>
                        <w:rPr>
                          <w:rFonts w:ascii="宋体" w:hAnsi="宋体" w:cs="宋体" w:eastAsia="宋体" w:hint="default"/>
                          <w:sz w:val="14"/>
                          <w:szCs w:val="14"/>
                        </w:rPr>
                      </w:pPr>
                      <w:r>
                        <w:rPr>
                          <w:rFonts w:ascii="宋体" w:hAnsi="宋体" w:cs="宋体" w:eastAsia="宋体" w:hint="default"/>
                          <w:sz w:val="14"/>
                          <w:szCs w:val="14"/>
                        </w:rPr>
                        <w:t>跌价准备</w:t>
                      </w:r>
                    </w:p>
                  </w:txbxContent>
                </v:textbox>
                <w10:wrap type="none"/>
              </v:shape>
              <v:shape style="position:absolute;left:7304;top:403;width:562;height:141" type="#_x0000_t202" filled="false" stroked="false">
                <v:textbox inset="0,0,0,0">
                  <w:txbxContent>
                    <w:p>
                      <w:pPr>
                        <w:spacing w:line="140" w:lineRule="exact" w:before="0"/>
                        <w:ind w:left="0" w:right="0" w:firstLine="0"/>
                        <w:jc w:val="left"/>
                        <w:rPr>
                          <w:rFonts w:ascii="宋体" w:hAnsi="宋体" w:cs="宋体" w:eastAsia="宋体" w:hint="default"/>
                          <w:sz w:val="14"/>
                          <w:szCs w:val="14"/>
                        </w:rPr>
                      </w:pPr>
                      <w:r>
                        <w:rPr>
                          <w:rFonts w:ascii="宋体" w:hAnsi="宋体" w:cs="宋体" w:eastAsia="宋体" w:hint="default"/>
                          <w:sz w:val="14"/>
                          <w:szCs w:val="14"/>
                        </w:rPr>
                        <w:t>账面价值</w:t>
                      </w:r>
                    </w:p>
                  </w:txbxContent>
                </v:textbox>
                <w10:wrap type="none"/>
              </v:shape>
              <v:shape style="position:absolute;left:137;top:695;width:562;height:900" type="#_x0000_t202" filled="false" stroked="false">
                <v:textbox inset="0,0,0,0">
                  <w:txbxContent>
                    <w:p>
                      <w:pPr>
                        <w:spacing w:line="140" w:lineRule="exact" w:before="0"/>
                        <w:ind w:left="0" w:right="0" w:firstLine="0"/>
                        <w:jc w:val="left"/>
                        <w:rPr>
                          <w:rFonts w:ascii="宋体" w:hAnsi="宋体" w:cs="宋体" w:eastAsia="宋体" w:hint="default"/>
                          <w:sz w:val="14"/>
                          <w:szCs w:val="14"/>
                        </w:rPr>
                      </w:pPr>
                      <w:r>
                        <w:rPr>
                          <w:rFonts w:ascii="宋体" w:hAnsi="宋体" w:cs="宋体" w:eastAsia="宋体" w:hint="default"/>
                          <w:sz w:val="14"/>
                          <w:szCs w:val="14"/>
                        </w:rPr>
                        <w:t>原材料</w:t>
                      </w:r>
                    </w:p>
                    <w:p>
                      <w:pPr>
                        <w:spacing w:line="261" w:lineRule="auto" w:before="96"/>
                        <w:ind w:left="0" w:right="0" w:firstLine="0"/>
                        <w:jc w:val="left"/>
                        <w:rPr>
                          <w:rFonts w:ascii="宋体" w:hAnsi="宋体" w:cs="宋体" w:eastAsia="宋体" w:hint="default"/>
                          <w:sz w:val="14"/>
                          <w:szCs w:val="14"/>
                        </w:rPr>
                      </w:pPr>
                      <w:r>
                        <w:rPr>
                          <w:rFonts w:ascii="宋体" w:hAnsi="宋体" w:cs="宋体" w:eastAsia="宋体" w:hint="default"/>
                          <w:sz w:val="14"/>
                          <w:szCs w:val="14"/>
                        </w:rPr>
                        <w:t>低值易耗</w:t>
                      </w:r>
                      <w:r>
                        <w:rPr>
                          <w:rFonts w:ascii="宋体" w:hAnsi="宋体" w:cs="宋体" w:eastAsia="宋体" w:hint="default"/>
                          <w:w w:val="100"/>
                          <w:sz w:val="14"/>
                          <w:szCs w:val="14"/>
                        </w:rPr>
                        <w:t> </w:t>
                      </w:r>
                      <w:r>
                        <w:rPr>
                          <w:rFonts w:ascii="宋体" w:hAnsi="宋体" w:cs="宋体" w:eastAsia="宋体" w:hint="default"/>
                          <w:sz w:val="14"/>
                          <w:szCs w:val="14"/>
                        </w:rPr>
                        <w:t>品</w:t>
                      </w:r>
                    </w:p>
                    <w:p>
                      <w:pPr>
                        <w:spacing w:before="84"/>
                        <w:ind w:left="0" w:right="0" w:firstLine="0"/>
                        <w:jc w:val="left"/>
                        <w:rPr>
                          <w:rFonts w:ascii="宋体" w:hAnsi="宋体" w:cs="宋体" w:eastAsia="宋体" w:hint="default"/>
                          <w:sz w:val="14"/>
                          <w:szCs w:val="14"/>
                        </w:rPr>
                      </w:pPr>
                      <w:r>
                        <w:rPr>
                          <w:rFonts w:ascii="宋体" w:hAnsi="宋体" w:cs="宋体" w:eastAsia="宋体" w:hint="default"/>
                          <w:sz w:val="14"/>
                          <w:szCs w:val="14"/>
                        </w:rPr>
                        <w:t>在产品</w:t>
                      </w:r>
                    </w:p>
                  </w:txbxContent>
                </v:textbox>
                <w10:wrap type="none"/>
              </v:shape>
              <v:shape style="position:absolute;left:1133;top:710;width:876;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670,681,481.76</w:t>
                      </w:r>
                    </w:p>
                  </w:txbxContent>
                </v:textbox>
                <w10:wrap type="none"/>
              </v:shape>
              <v:shape style="position:absolute;left:2359;top:710;width:807;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78,423,590.31</w:t>
                      </w:r>
                    </w:p>
                  </w:txbxContent>
                </v:textbox>
                <w10:wrap type="none"/>
              </v:shape>
              <v:shape style="position:absolute;left:3554;top:710;width:876;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592,257,891.45</w:t>
                      </w:r>
                    </w:p>
                  </w:txbxContent>
                </v:textbox>
                <w10:wrap type="none"/>
              </v:shape>
              <v:shape style="position:absolute;left:4820;top:710;width:876;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496,059,594.70</w:t>
                      </w:r>
                    </w:p>
                  </w:txbxContent>
                </v:textbox>
                <w10:wrap type="none"/>
              </v:shape>
              <v:shape style="position:absolute;left:6038;top:710;width:807;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65,636,819.81</w:t>
                      </w:r>
                    </w:p>
                  </w:txbxContent>
                </v:textbox>
                <w10:wrap type="none"/>
              </v:shape>
              <v:shape style="position:absolute;left:7234;top:710;width:876;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430,422,774.89</w:t>
                      </w:r>
                    </w:p>
                  </w:txbxContent>
                </v:textbox>
                <w10:wrap type="none"/>
              </v:shape>
              <v:shape style="position:absolute;left:1378;top:1089;width:631;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299,495.55</w:t>
                      </w:r>
                    </w:p>
                  </w:txbxContent>
                </v:textbox>
                <w10:wrap type="none"/>
              </v:shape>
              <v:shape style="position:absolute;left:3799;top:1089;width:631;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299,495.55</w:t>
                      </w:r>
                    </w:p>
                  </w:txbxContent>
                </v:textbox>
                <w10:wrap type="none"/>
              </v:shape>
              <v:shape style="position:absolute;left:5065;top:1089;width:631;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217,728.32</w:t>
                      </w:r>
                    </w:p>
                  </w:txbxContent>
                </v:textbox>
                <w10:wrap type="none"/>
              </v:shape>
              <v:shape style="position:absolute;left:7479;top:1089;width:631;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217,728.32</w:t>
                      </w:r>
                    </w:p>
                  </w:txbxContent>
                </v:textbox>
                <w10:wrap type="none"/>
              </v:shape>
              <v:shape style="position:absolute;left:137;top:1748;width:422;height:434" type="#_x0000_t202" filled="false" stroked="false">
                <v:textbox inset="0,0,0,0">
                  <w:txbxContent>
                    <w:p>
                      <w:pPr>
                        <w:spacing w:line="140" w:lineRule="exact" w:before="0"/>
                        <w:ind w:left="0" w:right="0" w:firstLine="0"/>
                        <w:jc w:val="left"/>
                        <w:rPr>
                          <w:rFonts w:ascii="宋体" w:hAnsi="宋体" w:cs="宋体" w:eastAsia="宋体" w:hint="default"/>
                          <w:sz w:val="14"/>
                          <w:szCs w:val="14"/>
                        </w:rPr>
                      </w:pPr>
                      <w:r>
                        <w:rPr>
                          <w:rFonts w:ascii="宋体" w:hAnsi="宋体" w:cs="宋体" w:eastAsia="宋体" w:hint="default"/>
                          <w:sz w:val="14"/>
                          <w:szCs w:val="14"/>
                        </w:rPr>
                        <w:t>产成品</w:t>
                      </w:r>
                    </w:p>
                    <w:p>
                      <w:pPr>
                        <w:spacing w:before="109"/>
                        <w:ind w:left="0" w:right="0" w:firstLine="0"/>
                        <w:jc w:val="left"/>
                        <w:rPr>
                          <w:rFonts w:ascii="宋体" w:hAnsi="宋体" w:cs="宋体" w:eastAsia="宋体" w:hint="default"/>
                          <w:sz w:val="14"/>
                          <w:szCs w:val="14"/>
                        </w:rPr>
                      </w:pPr>
                      <w:r>
                        <w:rPr>
                          <w:rFonts w:ascii="宋体" w:hAnsi="宋体" w:cs="宋体" w:eastAsia="宋体" w:hint="default"/>
                          <w:sz w:val="14"/>
                          <w:szCs w:val="14"/>
                        </w:rPr>
                        <w:t>其他</w:t>
                      </w:r>
                    </w:p>
                  </w:txbxContent>
                </v:textbox>
                <w10:wrap type="none"/>
              </v:shape>
              <v:shape style="position:absolute;left:1133;top:1470;width:876;height:434" type="#_x0000_t202" filled="false" stroked="false">
                <v:textbox inset="0,0,0,0">
                  <w:txbxContent>
                    <w:p>
                      <w:pPr>
                        <w:spacing w:line="143"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633,361,041.07</w:t>
                      </w:r>
                    </w:p>
                    <w:p>
                      <w:pPr>
                        <w:spacing w:line="240" w:lineRule="auto" w:before="1"/>
                        <w:rPr>
                          <w:rFonts w:ascii="宋体" w:hAnsi="宋体" w:cs="宋体" w:eastAsia="宋体" w:hint="default"/>
                          <w:b/>
                          <w:bCs/>
                          <w:sz w:val="10"/>
                          <w:szCs w:val="10"/>
                        </w:rPr>
                      </w:pPr>
                    </w:p>
                    <w:p>
                      <w:pPr>
                        <w:spacing w:line="158"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803,271,983.48</w:t>
                      </w:r>
                    </w:p>
                  </w:txbxContent>
                </v:textbox>
                <w10:wrap type="none"/>
              </v:shape>
              <v:shape style="position:absolute;left:2365;top:1470;width:800;height:434" type="#_x0000_t202" filled="false" stroked="false">
                <v:textbox inset="0,0,0,0">
                  <w:txbxContent>
                    <w:p>
                      <w:pPr>
                        <w:spacing w:line="143" w:lineRule="exact" w:before="0"/>
                        <w:ind w:left="64" w:right="0" w:firstLine="0"/>
                        <w:jc w:val="left"/>
                        <w:rPr>
                          <w:rFonts w:ascii="Times New Roman" w:hAnsi="Times New Roman" w:cs="Times New Roman" w:eastAsia="Times New Roman" w:hint="default"/>
                          <w:sz w:val="14"/>
                          <w:szCs w:val="14"/>
                        </w:rPr>
                      </w:pPr>
                      <w:r>
                        <w:rPr>
                          <w:rFonts w:ascii="Times New Roman"/>
                          <w:spacing w:val="-1"/>
                          <w:sz w:val="14"/>
                        </w:rPr>
                        <w:t>1,534,684.57</w:t>
                      </w:r>
                    </w:p>
                    <w:p>
                      <w:pPr>
                        <w:spacing w:line="240" w:lineRule="auto" w:before="1"/>
                        <w:rPr>
                          <w:rFonts w:ascii="宋体" w:hAnsi="宋体" w:cs="宋体" w:eastAsia="宋体" w:hint="default"/>
                          <w:b/>
                          <w:bCs/>
                          <w:sz w:val="10"/>
                          <w:szCs w:val="10"/>
                        </w:rPr>
                      </w:pPr>
                    </w:p>
                    <w:p>
                      <w:pPr>
                        <w:spacing w:line="158" w:lineRule="exact" w:before="0"/>
                        <w:ind w:left="0" w:right="0" w:firstLine="0"/>
                        <w:jc w:val="left"/>
                        <w:rPr>
                          <w:rFonts w:ascii="Times New Roman" w:hAnsi="Times New Roman" w:cs="Times New Roman" w:eastAsia="Times New Roman" w:hint="default"/>
                          <w:sz w:val="14"/>
                          <w:szCs w:val="14"/>
                        </w:rPr>
                      </w:pPr>
                      <w:r>
                        <w:rPr>
                          <w:rFonts w:ascii="Times New Roman"/>
                          <w:spacing w:val="-2"/>
                          <w:sz w:val="14"/>
                        </w:rPr>
                        <w:t>43,482,869.11</w:t>
                      </w:r>
                    </w:p>
                  </w:txbxContent>
                </v:textbox>
                <w10:wrap type="none"/>
              </v:shape>
              <v:shape style="position:absolute;left:3554;top:1470;width:877;height:434" type="#_x0000_t202" filled="false" stroked="false">
                <v:textbox inset="0,0,0,0">
                  <w:txbxContent>
                    <w:p>
                      <w:pPr>
                        <w:spacing w:line="143"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631,826,356.50</w:t>
                      </w:r>
                    </w:p>
                    <w:p>
                      <w:pPr>
                        <w:spacing w:line="240" w:lineRule="auto" w:before="1"/>
                        <w:rPr>
                          <w:rFonts w:ascii="宋体" w:hAnsi="宋体" w:cs="宋体" w:eastAsia="宋体" w:hint="default"/>
                          <w:b/>
                          <w:bCs/>
                          <w:sz w:val="10"/>
                          <w:szCs w:val="10"/>
                        </w:rPr>
                      </w:pPr>
                    </w:p>
                    <w:p>
                      <w:pPr>
                        <w:spacing w:line="158" w:lineRule="exact" w:before="0"/>
                        <w:ind w:left="4" w:right="0" w:firstLine="0"/>
                        <w:jc w:val="left"/>
                        <w:rPr>
                          <w:rFonts w:ascii="Times New Roman" w:hAnsi="Times New Roman" w:cs="Times New Roman" w:eastAsia="Times New Roman" w:hint="default"/>
                          <w:sz w:val="14"/>
                          <w:szCs w:val="14"/>
                        </w:rPr>
                      </w:pPr>
                      <w:r>
                        <w:rPr>
                          <w:rFonts w:ascii="Times New Roman"/>
                          <w:spacing w:val="-1"/>
                          <w:sz w:val="14"/>
                        </w:rPr>
                        <w:t>759,789,114.37</w:t>
                      </w:r>
                    </w:p>
                  </w:txbxContent>
                </v:textbox>
                <w10:wrap type="none"/>
              </v:shape>
              <v:shape style="position:absolute;left:4820;top:1470;width:876;height:434" type="#_x0000_t202" filled="false" stroked="false">
                <v:textbox inset="0,0,0,0">
                  <w:txbxContent>
                    <w:p>
                      <w:pPr>
                        <w:spacing w:line="143"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580,564,716.68</w:t>
                      </w:r>
                    </w:p>
                    <w:p>
                      <w:pPr>
                        <w:spacing w:line="240" w:lineRule="auto" w:before="1"/>
                        <w:rPr>
                          <w:rFonts w:ascii="宋体" w:hAnsi="宋体" w:cs="宋体" w:eastAsia="宋体" w:hint="default"/>
                          <w:b/>
                          <w:bCs/>
                          <w:sz w:val="10"/>
                          <w:szCs w:val="10"/>
                        </w:rPr>
                      </w:pPr>
                    </w:p>
                    <w:p>
                      <w:pPr>
                        <w:spacing w:line="158"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686,149,328.24</w:t>
                      </w:r>
                    </w:p>
                  </w:txbxContent>
                </v:textbox>
                <w10:wrap type="none"/>
              </v:shape>
              <v:shape style="position:absolute;left:6038;top:1470;width:807;height:434" type="#_x0000_t202" filled="false" stroked="false">
                <v:textbox inset="0,0,0,0">
                  <w:txbxContent>
                    <w:p>
                      <w:pPr>
                        <w:spacing w:line="143" w:lineRule="exact" w:before="0"/>
                        <w:ind w:left="70" w:right="0" w:firstLine="0"/>
                        <w:jc w:val="left"/>
                        <w:rPr>
                          <w:rFonts w:ascii="Times New Roman" w:hAnsi="Times New Roman" w:cs="Times New Roman" w:eastAsia="Times New Roman" w:hint="default"/>
                          <w:sz w:val="14"/>
                          <w:szCs w:val="14"/>
                        </w:rPr>
                      </w:pPr>
                      <w:r>
                        <w:rPr>
                          <w:rFonts w:ascii="Times New Roman"/>
                          <w:spacing w:val="-1"/>
                          <w:sz w:val="14"/>
                        </w:rPr>
                        <w:t>2,446,657.44</w:t>
                      </w:r>
                    </w:p>
                    <w:p>
                      <w:pPr>
                        <w:spacing w:line="240" w:lineRule="auto" w:before="1"/>
                        <w:rPr>
                          <w:rFonts w:ascii="宋体" w:hAnsi="宋体" w:cs="宋体" w:eastAsia="宋体" w:hint="default"/>
                          <w:b/>
                          <w:bCs/>
                          <w:sz w:val="10"/>
                          <w:szCs w:val="10"/>
                        </w:rPr>
                      </w:pPr>
                    </w:p>
                    <w:p>
                      <w:pPr>
                        <w:spacing w:line="158"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65,029,266.68</w:t>
                      </w:r>
                    </w:p>
                  </w:txbxContent>
                </v:textbox>
                <w10:wrap type="none"/>
              </v:shape>
              <v:shape style="position:absolute;left:7234;top:1470;width:876;height:434" type="#_x0000_t202" filled="false" stroked="false">
                <v:textbox inset="0,0,0,0">
                  <w:txbxContent>
                    <w:p>
                      <w:pPr>
                        <w:spacing w:line="143" w:lineRule="exact" w:before="0"/>
                        <w:ind w:left="4" w:right="0" w:firstLine="0"/>
                        <w:jc w:val="left"/>
                        <w:rPr>
                          <w:rFonts w:ascii="Times New Roman" w:hAnsi="Times New Roman" w:cs="Times New Roman" w:eastAsia="Times New Roman" w:hint="default"/>
                          <w:sz w:val="14"/>
                          <w:szCs w:val="14"/>
                        </w:rPr>
                      </w:pPr>
                      <w:r>
                        <w:rPr>
                          <w:rFonts w:ascii="Times New Roman"/>
                          <w:spacing w:val="-1"/>
                          <w:sz w:val="14"/>
                        </w:rPr>
                        <w:t>578,118,059.24</w:t>
                      </w:r>
                    </w:p>
                    <w:p>
                      <w:pPr>
                        <w:spacing w:line="240" w:lineRule="auto" w:before="1"/>
                        <w:rPr>
                          <w:rFonts w:ascii="宋体" w:hAnsi="宋体" w:cs="宋体" w:eastAsia="宋体" w:hint="default"/>
                          <w:b/>
                          <w:bCs/>
                          <w:sz w:val="10"/>
                          <w:szCs w:val="10"/>
                        </w:rPr>
                      </w:pPr>
                    </w:p>
                    <w:p>
                      <w:pPr>
                        <w:spacing w:line="158"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621,120,061.56</w:t>
                      </w:r>
                    </w:p>
                  </w:txbxContent>
                </v:textbox>
                <w10:wrap type="none"/>
              </v:shape>
              <v:shape style="position:absolute;left:5134;top:2055;width:562;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16,346.18</w:t>
                      </w:r>
                    </w:p>
                  </w:txbxContent>
                </v:textbox>
                <w10:wrap type="none"/>
              </v:shape>
              <v:shape style="position:absolute;left:7549;top:2055;width:562;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16,346.18</w:t>
                      </w:r>
                    </w:p>
                  </w:txbxContent>
                </v:textbox>
                <w10:wrap type="none"/>
              </v:shape>
              <v:shape style="position:absolute;left:301;top:2333;width:281;height:141" type="#_x0000_t202" filled="false" stroked="false">
                <v:textbox inset="0,0,0,0">
                  <w:txbxContent>
                    <w:p>
                      <w:pPr>
                        <w:spacing w:line="140" w:lineRule="exact" w:before="0"/>
                        <w:ind w:left="0" w:right="0" w:firstLine="0"/>
                        <w:jc w:val="left"/>
                        <w:rPr>
                          <w:rFonts w:ascii="宋体" w:hAnsi="宋体" w:cs="宋体" w:eastAsia="宋体" w:hint="default"/>
                          <w:sz w:val="14"/>
                          <w:szCs w:val="14"/>
                        </w:rPr>
                      </w:pPr>
                      <w:r>
                        <w:rPr>
                          <w:rFonts w:ascii="宋体" w:hAnsi="宋体" w:cs="宋体" w:eastAsia="宋体" w:hint="default"/>
                          <w:sz w:val="14"/>
                          <w:szCs w:val="14"/>
                        </w:rPr>
                        <w:t>合计</w:t>
                      </w:r>
                    </w:p>
                  </w:txbxContent>
                </v:textbox>
                <w10:wrap type="none"/>
              </v:shape>
              <v:shape style="position:absolute;left:1028;top:2348;width:982;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2,107,614,001.86</w:t>
                      </w:r>
                    </w:p>
                  </w:txbxContent>
                </v:textbox>
                <w10:wrap type="none"/>
              </v:shape>
              <v:shape style="position:absolute;left:2289;top:2348;width:876;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123,441,143.99</w:t>
                      </w:r>
                    </w:p>
                  </w:txbxContent>
                </v:textbox>
                <w10:wrap type="none"/>
              </v:shape>
              <v:shape style="position:absolute;left:3448;top:2348;width:982;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1,984,172,857.87</w:t>
                      </w:r>
                    </w:p>
                  </w:txbxContent>
                </v:textbox>
                <w10:wrap type="none"/>
              </v:shape>
              <v:shape style="position:absolute;left:4714;top:2348;width:982;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1,763,007,714.12</w:t>
                      </w:r>
                    </w:p>
                  </w:txbxContent>
                </v:textbox>
                <w10:wrap type="none"/>
              </v:shape>
              <v:shape style="position:absolute;left:5973;top:2348;width:872;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133,112,743.93</w:t>
                      </w:r>
                    </w:p>
                  </w:txbxContent>
                </v:textbox>
                <w10:wrap type="none"/>
              </v:shape>
              <v:shape style="position:absolute;left:7129;top:2348;width:982;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1,629,894,970.19</w:t>
                      </w:r>
                    </w:p>
                  </w:txbxContent>
                </v:textbox>
                <w10:wrap type="none"/>
              </v:shape>
            </v:group>
          </v:group>
        </w:pict>
      </w:r>
      <w:r>
        <w:rPr>
          <w:rFonts w:ascii="宋体" w:hAnsi="宋体" w:cs="宋体" w:eastAsia="宋体" w:hint="default"/>
          <w:position w:val="-50"/>
          <w:sz w:val="20"/>
          <w:szCs w:val="2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5"/>
          <w:szCs w:val="15"/>
        </w:rPr>
      </w:pPr>
    </w:p>
    <w:p>
      <w:pPr>
        <w:pStyle w:val="Heading5"/>
        <w:tabs>
          <w:tab w:pos="1397" w:val="left" w:leader="none"/>
        </w:tabs>
        <w:spacing w:line="240" w:lineRule="auto"/>
        <w:ind w:left="846" w:right="3681"/>
        <w:jc w:val="left"/>
        <w:rPr>
          <w:b w:val="0"/>
          <w:bCs w:val="0"/>
        </w:rPr>
      </w:pPr>
      <w:r>
        <w:rPr/>
        <w:pict>
          <v:group style="position:absolute;margin-left:119.010002pt;margin-top:37.053978pt;width:411.95pt;height:89.8pt;mso-position-horizontal-relative:page;mso-position-vertical-relative:paragraph;z-index:-1393576" coordorigin="2380,741" coordsize="8239,1796">
            <v:group style="position:absolute;left:2410;top:756;width:884;height:2" coordorigin="2410,756" coordsize="884,2">
              <v:shape style="position:absolute;left:2410;top:756;width:884;height:2" coordorigin="2410,756" coordsize="884,0" path="m2410,756l3293,756e" filled="false" stroked="true" strokeweight="1.5pt" strokecolor="#000000">
                <v:path arrowok="t"/>
              </v:shape>
              <v:shape style="position:absolute;left:3293;top:771;width:10;height:28" type="#_x0000_t75" stroked="false">
                <v:imagedata r:id="rId67" o:title=""/>
              </v:shape>
            </v:group>
            <v:group style="position:absolute;left:3293;top:756;width:1336;height:2" coordorigin="3293,756" coordsize="1336,2">
              <v:shape style="position:absolute;left:3293;top:756;width:1336;height:2" coordorigin="3293,756" coordsize="1336,0" path="m3293,756l4628,756e" filled="false" stroked="true" strokeweight="1.5pt" strokecolor="#000000">
                <v:path arrowok="t"/>
              </v:shape>
              <v:shape style="position:absolute;left:4628;top:771;width:10;height:28" type="#_x0000_t75" stroked="false">
                <v:imagedata r:id="rId67" o:title=""/>
              </v:shape>
            </v:group>
            <v:group style="position:absolute;left:4628;top:756;width:2212;height:2" coordorigin="4628,756" coordsize="2212,2">
              <v:shape style="position:absolute;left:4628;top:756;width:2212;height:2" coordorigin="4628,756" coordsize="2212,0" path="m4628,756l6840,756e" filled="false" stroked="true" strokeweight="1.5pt" strokecolor="#000000">
                <v:path arrowok="t"/>
              </v:shape>
              <v:shape style="position:absolute;left:6840;top:771;width:10;height:28" type="#_x0000_t75" stroked="false">
                <v:imagedata r:id="rId67" o:title=""/>
              </v:shape>
            </v:group>
            <v:group style="position:absolute;left:6840;top:756;width:30;height:2" coordorigin="6840,756" coordsize="30,2">
              <v:shape style="position:absolute;left:6840;top:756;width:30;height:2" coordorigin="6840,756" coordsize="30,0" path="m6840,756l6870,756e" filled="false" stroked="true" strokeweight="1.5pt" strokecolor="#000000">
                <v:path arrowok="t"/>
              </v:shape>
            </v:group>
            <v:group style="position:absolute;left:6870;top:756;width:2382;height:2" coordorigin="6870,756" coordsize="2382,2">
              <v:shape style="position:absolute;left:6870;top:756;width:2382;height:2" coordorigin="6870,756" coordsize="2382,0" path="m6870,756l9252,756e" filled="false" stroked="true" strokeweight="1.5pt" strokecolor="#000000">
                <v:path arrowok="t"/>
              </v:shape>
              <v:shape style="position:absolute;left:9252;top:771;width:10;height:28" type="#_x0000_t75" stroked="false">
                <v:imagedata r:id="rId67" o:title=""/>
              </v:shape>
            </v:group>
            <v:group style="position:absolute;left:9252;top:756;width:1346;height:2" coordorigin="9252,756" coordsize="1346,2">
              <v:shape style="position:absolute;left:9252;top:756;width:1346;height:2" coordorigin="9252,756" coordsize="1346,0" path="m9252,756l10597,756e" filled="false" stroked="true" strokeweight="1.5pt" strokecolor="#000000">
                <v:path arrowok="t"/>
              </v:shape>
              <v:shape style="position:absolute;left:3274;top:779;width:6007;height:700" type="#_x0000_t75" stroked="false">
                <v:imagedata r:id="rId147" o:title=""/>
              </v:shape>
            </v:group>
            <v:group style="position:absolute;left:2395;top:2521;width:898;height:2" coordorigin="2395,2521" coordsize="898,2">
              <v:shape style="position:absolute;left:2395;top:2521;width:898;height:2" coordorigin="2395,2521" coordsize="898,0" path="m2395,2521l3293,2521e" filled="false" stroked="true" strokeweight="1.5pt" strokecolor="#000000">
                <v:path arrowok="t"/>
              </v:shape>
            </v:group>
            <v:group style="position:absolute;left:3293;top:2521;width:1336;height:2" coordorigin="3293,2521" coordsize="1336,2">
              <v:shape style="position:absolute;left:3293;top:2521;width:1336;height:2" coordorigin="3293,2521" coordsize="1336,0" path="m3293,2521l4628,2521e" filled="false" stroked="true" strokeweight="1.5pt" strokecolor="#000000">
                <v:path arrowok="t"/>
              </v:shape>
            </v:group>
            <v:group style="position:absolute;left:4628;top:2521;width:1288;height:2" coordorigin="4628,2521" coordsize="1288,2">
              <v:shape style="position:absolute;left:4628;top:2521;width:1288;height:2" coordorigin="4628,2521" coordsize="1288,0" path="m4628,2521l5916,2521e" filled="false" stroked="true" strokeweight="1.5pt" strokecolor="#000000">
                <v:path arrowok="t"/>
              </v:shape>
            </v:group>
            <v:group style="position:absolute;left:5916;top:2521;width:924;height:2" coordorigin="5916,2521" coordsize="924,2">
              <v:shape style="position:absolute;left:5916;top:2521;width:924;height:2" coordorigin="5916,2521" coordsize="924,0" path="m5916,2521l6840,2521e" filled="false" stroked="true" strokeweight="1.5pt" strokecolor="#000000">
                <v:path arrowok="t"/>
              </v:shape>
            </v:group>
            <v:group style="position:absolute;left:6840;top:2521;width:1251;height:2" coordorigin="6840,2521" coordsize="1251,2">
              <v:shape style="position:absolute;left:6840;top:2521;width:1251;height:2" coordorigin="6840,2521" coordsize="1251,0" path="m6840,2521l8090,2521e" filled="false" stroked="true" strokeweight="1.5pt" strokecolor="#000000">
                <v:path arrowok="t"/>
              </v:shape>
            </v:group>
            <v:group style="position:absolute;left:8090;top:2521;width:1162;height:2" coordorigin="8090,2521" coordsize="1162,2">
              <v:shape style="position:absolute;left:8090;top:2521;width:1162;height:2" coordorigin="8090,2521" coordsize="1162,0" path="m8090,2521l9252,2521e" filled="false" stroked="true" strokeweight="1.5pt" strokecolor="#000000">
                <v:path arrowok="t"/>
              </v:shape>
              <v:shape style="position:absolute;left:2397;top:1447;width:8222;height:1059" type="#_x0000_t75" stroked="false">
                <v:imagedata r:id="rId148" o:title=""/>
              </v:shape>
            </v:group>
            <v:group style="position:absolute;left:9252;top:2521;width:1346;height:2" coordorigin="9252,2521" coordsize="1346,2">
              <v:shape style="position:absolute;left:9252;top:2521;width:1346;height:2" coordorigin="9252,2521" coordsize="1346,0" path="m9252,2521l10597,2521e" filled="false" stroked="true" strokeweight="1.5pt" strokecolor="#000000">
                <v:path arrowok="t"/>
              </v:shape>
            </v:group>
            <w10:wrap type="none"/>
          </v:group>
        </w:pict>
      </w:r>
      <w:r>
        <w:rPr>
          <w:rFonts w:ascii="Times New Roman" w:hAnsi="Times New Roman" w:cs="Times New Roman" w:eastAsia="Times New Roman" w:hint="default"/>
          <w:w w:val="95"/>
        </w:rPr>
        <w:t>2</w:t>
      </w:r>
      <w:r>
        <w:rPr>
          <w:w w:val="95"/>
        </w:rPr>
        <w:t>、</w:t>
        <w:tab/>
      </w:r>
      <w:r>
        <w:rPr/>
        <w:t>存货跌价准备</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2"/>
          <w:szCs w:val="12"/>
        </w:rPr>
      </w:pPr>
    </w:p>
    <w:tbl>
      <w:tblPr>
        <w:tblW w:w="0" w:type="auto"/>
        <w:jc w:val="left"/>
        <w:tblInd w:w="787" w:type="dxa"/>
        <w:tblLayout w:type="fixed"/>
        <w:tblCellMar>
          <w:top w:w="0" w:type="dxa"/>
          <w:left w:w="0" w:type="dxa"/>
          <w:bottom w:w="0" w:type="dxa"/>
          <w:right w:w="0" w:type="dxa"/>
        </w:tblCellMar>
        <w:tblLook w:val="01E0"/>
      </w:tblPr>
      <w:tblGrid>
        <w:gridCol w:w="860"/>
        <w:gridCol w:w="1400"/>
        <w:gridCol w:w="1510"/>
        <w:gridCol w:w="585"/>
        <w:gridCol w:w="2556"/>
        <w:gridCol w:w="1201"/>
      </w:tblGrid>
      <w:tr>
        <w:trPr>
          <w:trHeight w:val="445" w:hRule="exact"/>
        </w:trPr>
        <w:tc>
          <w:tcPr>
            <w:tcW w:w="86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right="293"/>
              <w:jc w:val="right"/>
              <w:rPr>
                <w:rFonts w:ascii="宋体" w:hAnsi="宋体" w:cs="宋体" w:eastAsia="宋体" w:hint="default"/>
                <w:sz w:val="16"/>
                <w:szCs w:val="16"/>
              </w:rPr>
            </w:pPr>
            <w:r>
              <w:rPr>
                <w:rFonts w:ascii="宋体" w:hAnsi="宋体" w:cs="宋体" w:eastAsia="宋体" w:hint="default"/>
                <w:w w:val="95"/>
                <w:sz w:val="16"/>
                <w:szCs w:val="16"/>
              </w:rPr>
              <w:t>项目</w:t>
            </w:r>
            <w:r>
              <w:rPr>
                <w:rFonts w:ascii="宋体" w:hAnsi="宋体" w:cs="宋体" w:eastAsia="宋体" w:hint="default"/>
                <w:sz w:val="16"/>
                <w:szCs w:val="16"/>
              </w:rPr>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left="336" w:right="0"/>
              <w:jc w:val="left"/>
              <w:rPr>
                <w:rFonts w:ascii="宋体" w:hAnsi="宋体" w:cs="宋体" w:eastAsia="宋体" w:hint="default"/>
                <w:sz w:val="16"/>
                <w:szCs w:val="16"/>
              </w:rPr>
            </w:pPr>
            <w:r>
              <w:rPr>
                <w:rFonts w:ascii="宋体" w:hAnsi="宋体" w:cs="宋体" w:eastAsia="宋体" w:hint="default"/>
                <w:sz w:val="16"/>
                <w:szCs w:val="16"/>
              </w:rPr>
              <w:t>年初余额</w:t>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53"/>
              <w:ind w:left="548" w:right="0"/>
              <w:jc w:val="left"/>
              <w:rPr>
                <w:rFonts w:ascii="宋体" w:hAnsi="宋体" w:cs="宋体" w:eastAsia="宋体" w:hint="default"/>
                <w:sz w:val="16"/>
                <w:szCs w:val="16"/>
              </w:rPr>
            </w:pPr>
            <w:r>
              <w:rPr>
                <w:rFonts w:ascii="宋体" w:hAnsi="宋体" w:cs="宋体" w:eastAsia="宋体" w:hint="default"/>
                <w:sz w:val="16"/>
                <w:szCs w:val="16"/>
              </w:rPr>
              <w:t>本期增加金额</w:t>
            </w:r>
          </w:p>
        </w:tc>
        <w:tc>
          <w:tcPr>
            <w:tcW w:w="585" w:type="dxa"/>
            <w:tcBorders>
              <w:top w:val="nil" w:sz="6" w:space="0" w:color="auto"/>
              <w:left w:val="nil" w:sz="6" w:space="0" w:color="auto"/>
              <w:bottom w:val="nil" w:sz="6" w:space="0" w:color="auto"/>
              <w:right w:val="nil" w:sz="6" w:space="0" w:color="auto"/>
            </w:tcBorders>
          </w:tcPr>
          <w:p>
            <w:pPr/>
          </w:p>
        </w:tc>
        <w:tc>
          <w:tcPr>
            <w:tcW w:w="2556" w:type="dxa"/>
            <w:tcBorders>
              <w:top w:val="nil" w:sz="6" w:space="0" w:color="auto"/>
              <w:left w:val="nil" w:sz="6" w:space="0" w:color="auto"/>
              <w:bottom w:val="nil" w:sz="6" w:space="0" w:color="auto"/>
              <w:right w:val="nil" w:sz="6" w:space="0" w:color="auto"/>
            </w:tcBorders>
          </w:tcPr>
          <w:p>
            <w:pPr>
              <w:pStyle w:val="TableParagraph"/>
              <w:spacing w:line="240" w:lineRule="auto" w:before="53"/>
              <w:ind w:left="766" w:right="0"/>
              <w:jc w:val="left"/>
              <w:rPr>
                <w:rFonts w:ascii="宋体" w:hAnsi="宋体" w:cs="宋体" w:eastAsia="宋体" w:hint="default"/>
                <w:sz w:val="16"/>
                <w:szCs w:val="16"/>
              </w:rPr>
            </w:pPr>
            <w:r>
              <w:rPr>
                <w:rFonts w:ascii="宋体" w:hAnsi="宋体" w:cs="宋体" w:eastAsia="宋体" w:hint="default"/>
                <w:sz w:val="16"/>
                <w:szCs w:val="16"/>
              </w:rPr>
              <w:t>本期减少金额</w:t>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left="246" w:right="0"/>
              <w:jc w:val="left"/>
              <w:rPr>
                <w:rFonts w:ascii="宋体" w:hAnsi="宋体" w:cs="宋体" w:eastAsia="宋体" w:hint="default"/>
                <w:sz w:val="16"/>
                <w:szCs w:val="16"/>
              </w:rPr>
            </w:pPr>
            <w:r>
              <w:rPr>
                <w:rFonts w:ascii="宋体" w:hAnsi="宋体" w:cs="宋体" w:eastAsia="宋体" w:hint="default"/>
                <w:sz w:val="16"/>
                <w:szCs w:val="16"/>
              </w:rPr>
              <w:t>期末余额</w:t>
            </w:r>
          </w:p>
        </w:tc>
      </w:tr>
      <w:tr>
        <w:trPr>
          <w:trHeight w:val="262" w:hRule="exact"/>
        </w:trPr>
        <w:tc>
          <w:tcPr>
            <w:tcW w:w="860" w:type="dxa"/>
            <w:tcBorders>
              <w:top w:val="nil" w:sz="6" w:space="0" w:color="auto"/>
              <w:left w:val="nil" w:sz="6" w:space="0" w:color="auto"/>
              <w:bottom w:val="nil" w:sz="6" w:space="0" w:color="auto"/>
              <w:right w:val="nil" w:sz="6" w:space="0" w:color="auto"/>
            </w:tcBorders>
          </w:tcPr>
          <w:p>
            <w:pPr/>
          </w:p>
        </w:tc>
        <w:tc>
          <w:tcPr>
            <w:tcW w:w="1400" w:type="dxa"/>
            <w:tcBorders>
              <w:top w:val="nil" w:sz="6" w:space="0" w:color="auto"/>
              <w:left w:val="nil" w:sz="6" w:space="0" w:color="auto"/>
              <w:bottom w:val="nil" w:sz="6" w:space="0" w:color="auto"/>
              <w:right w:val="nil" w:sz="6" w:space="0" w:color="auto"/>
            </w:tcBorders>
          </w:tcPr>
          <w:p>
            <w:pPr/>
          </w:p>
        </w:tc>
        <w:tc>
          <w:tcPr>
            <w:tcW w:w="1510" w:type="dxa"/>
            <w:tcBorders>
              <w:top w:val="nil" w:sz="6" w:space="0" w:color="auto"/>
              <w:left w:val="nil" w:sz="6" w:space="0" w:color="auto"/>
              <w:bottom w:val="nil" w:sz="6" w:space="0" w:color="auto"/>
              <w:right w:val="nil" w:sz="6" w:space="0" w:color="auto"/>
            </w:tcBorders>
          </w:tcPr>
          <w:p>
            <w:pPr>
              <w:pStyle w:val="TableParagraph"/>
              <w:spacing w:line="167" w:lineRule="exact"/>
              <w:ind w:left="407" w:right="0"/>
              <w:jc w:val="left"/>
              <w:rPr>
                <w:rFonts w:ascii="宋体" w:hAnsi="宋体" w:cs="宋体" w:eastAsia="宋体" w:hint="default"/>
                <w:sz w:val="16"/>
                <w:szCs w:val="16"/>
              </w:rPr>
            </w:pPr>
            <w:r>
              <w:rPr>
                <w:rFonts w:ascii="宋体" w:hAnsi="宋体" w:cs="宋体" w:eastAsia="宋体" w:hint="default"/>
                <w:sz w:val="16"/>
                <w:szCs w:val="16"/>
              </w:rPr>
              <w:t>计提</w:t>
            </w:r>
          </w:p>
        </w:tc>
        <w:tc>
          <w:tcPr>
            <w:tcW w:w="585" w:type="dxa"/>
            <w:tcBorders>
              <w:top w:val="nil" w:sz="6" w:space="0" w:color="auto"/>
              <w:left w:val="nil" w:sz="6" w:space="0" w:color="auto"/>
              <w:bottom w:val="nil" w:sz="6" w:space="0" w:color="auto"/>
              <w:right w:val="nil" w:sz="6" w:space="0" w:color="auto"/>
            </w:tcBorders>
          </w:tcPr>
          <w:p>
            <w:pPr>
              <w:pStyle w:val="TableParagraph"/>
              <w:spacing w:line="167" w:lineRule="exact"/>
              <w:ind w:left="2"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2556" w:type="dxa"/>
            <w:tcBorders>
              <w:top w:val="nil" w:sz="6" w:space="0" w:color="auto"/>
              <w:left w:val="nil" w:sz="6" w:space="0" w:color="auto"/>
              <w:bottom w:val="nil" w:sz="6" w:space="0" w:color="auto"/>
              <w:right w:val="nil" w:sz="6" w:space="0" w:color="auto"/>
            </w:tcBorders>
          </w:tcPr>
          <w:p>
            <w:pPr>
              <w:pStyle w:val="TableParagraph"/>
              <w:tabs>
                <w:tab w:pos="1711" w:val="left" w:leader="none"/>
              </w:tabs>
              <w:spacing w:line="167" w:lineRule="exact"/>
              <w:ind w:left="265" w:right="0"/>
              <w:jc w:val="left"/>
              <w:rPr>
                <w:rFonts w:ascii="宋体" w:hAnsi="宋体" w:cs="宋体" w:eastAsia="宋体" w:hint="default"/>
                <w:sz w:val="16"/>
                <w:szCs w:val="16"/>
              </w:rPr>
            </w:pPr>
            <w:r>
              <w:rPr>
                <w:rFonts w:ascii="宋体" w:hAnsi="宋体" w:cs="宋体" w:eastAsia="宋体" w:hint="default"/>
                <w:w w:val="95"/>
                <w:sz w:val="16"/>
                <w:szCs w:val="16"/>
              </w:rPr>
              <w:t>转回或转销</w:t>
              <w:tab/>
            </w:r>
            <w:r>
              <w:rPr>
                <w:rFonts w:ascii="宋体" w:hAnsi="宋体" w:cs="宋体" w:eastAsia="宋体" w:hint="default"/>
                <w:sz w:val="16"/>
                <w:szCs w:val="16"/>
              </w:rPr>
              <w:t>其他</w:t>
            </w:r>
          </w:p>
        </w:tc>
        <w:tc>
          <w:tcPr>
            <w:tcW w:w="1201" w:type="dxa"/>
            <w:tcBorders>
              <w:top w:val="nil" w:sz="6" w:space="0" w:color="auto"/>
              <w:left w:val="nil" w:sz="6" w:space="0" w:color="auto"/>
              <w:bottom w:val="nil" w:sz="6" w:space="0" w:color="auto"/>
              <w:right w:val="nil" w:sz="6" w:space="0" w:color="auto"/>
            </w:tcBorders>
          </w:tcPr>
          <w:p>
            <w:pPr/>
          </w:p>
        </w:tc>
      </w:tr>
      <w:tr>
        <w:trPr>
          <w:trHeight w:val="356" w:hRule="exact"/>
        </w:trPr>
        <w:tc>
          <w:tcPr>
            <w:tcW w:w="860"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309"/>
              <w:jc w:val="right"/>
              <w:rPr>
                <w:rFonts w:ascii="宋体" w:hAnsi="宋体" w:cs="宋体" w:eastAsia="宋体" w:hint="default"/>
                <w:sz w:val="16"/>
                <w:szCs w:val="16"/>
              </w:rPr>
            </w:pPr>
            <w:r>
              <w:rPr>
                <w:rFonts w:ascii="宋体" w:hAnsi="宋体" w:cs="宋体" w:eastAsia="宋体" w:hint="default"/>
                <w:w w:val="95"/>
                <w:sz w:val="16"/>
                <w:szCs w:val="16"/>
              </w:rPr>
              <w:t>原材料</w:t>
            </w:r>
            <w:r>
              <w:rPr>
                <w:rFonts w:ascii="宋体" w:hAnsi="宋体" w:cs="宋体" w:eastAsia="宋体" w:hint="default"/>
                <w:sz w:val="16"/>
                <w:szCs w:val="16"/>
              </w:rPr>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82"/>
              <w:jc w:val="right"/>
              <w:rPr>
                <w:rFonts w:ascii="Times New Roman" w:hAnsi="Times New Roman" w:cs="Times New Roman" w:eastAsia="Times New Roman" w:hint="default"/>
                <w:sz w:val="16"/>
                <w:szCs w:val="16"/>
              </w:rPr>
            </w:pPr>
            <w:r>
              <w:rPr>
                <w:rFonts w:ascii="Times New Roman"/>
                <w:spacing w:val="-1"/>
                <w:sz w:val="16"/>
              </w:rPr>
              <w:t>65,636,819.81</w:t>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87"/>
              <w:ind w:left="182" w:right="0"/>
              <w:jc w:val="left"/>
              <w:rPr>
                <w:rFonts w:ascii="Times New Roman" w:hAnsi="Times New Roman" w:cs="Times New Roman" w:eastAsia="Times New Roman" w:hint="default"/>
                <w:sz w:val="16"/>
                <w:szCs w:val="16"/>
              </w:rPr>
            </w:pPr>
            <w:r>
              <w:rPr>
                <w:rFonts w:ascii="Times New Roman"/>
                <w:sz w:val="16"/>
              </w:rPr>
              <w:t>21,195,365.83</w:t>
            </w:r>
          </w:p>
        </w:tc>
        <w:tc>
          <w:tcPr>
            <w:tcW w:w="585" w:type="dxa"/>
            <w:tcBorders>
              <w:top w:val="nil" w:sz="6" w:space="0" w:color="auto"/>
              <w:left w:val="nil" w:sz="6" w:space="0" w:color="auto"/>
              <w:bottom w:val="nil" w:sz="6" w:space="0" w:color="auto"/>
              <w:right w:val="nil" w:sz="6" w:space="0" w:color="auto"/>
            </w:tcBorders>
          </w:tcPr>
          <w:p>
            <w:pPr/>
          </w:p>
        </w:tc>
        <w:tc>
          <w:tcPr>
            <w:tcW w:w="2556" w:type="dxa"/>
            <w:tcBorders>
              <w:top w:val="nil" w:sz="6" w:space="0" w:color="auto"/>
              <w:left w:val="nil" w:sz="6" w:space="0" w:color="auto"/>
              <w:bottom w:val="nil" w:sz="6" w:space="0" w:color="auto"/>
              <w:right w:val="nil" w:sz="6" w:space="0" w:color="auto"/>
            </w:tcBorders>
          </w:tcPr>
          <w:p>
            <w:pPr>
              <w:pStyle w:val="TableParagraph"/>
              <w:tabs>
                <w:tab w:pos="1625" w:val="left" w:leader="none"/>
              </w:tabs>
              <w:spacing w:line="240" w:lineRule="auto" w:before="87"/>
              <w:ind w:left="343" w:right="0"/>
              <w:jc w:val="left"/>
              <w:rPr>
                <w:rFonts w:ascii="Times New Roman" w:hAnsi="Times New Roman" w:cs="Times New Roman" w:eastAsia="Times New Roman" w:hint="default"/>
                <w:sz w:val="16"/>
                <w:szCs w:val="16"/>
              </w:rPr>
            </w:pPr>
            <w:r>
              <w:rPr>
                <w:rFonts w:ascii="Times New Roman"/>
                <w:spacing w:val="-1"/>
                <w:sz w:val="16"/>
              </w:rPr>
              <w:t>8,207,974.41</w:t>
              <w:tab/>
              <w:t>200,620.92</w:t>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87"/>
              <w:ind w:left="209" w:right="0"/>
              <w:jc w:val="left"/>
              <w:rPr>
                <w:rFonts w:ascii="Times New Roman" w:hAnsi="Times New Roman" w:cs="Times New Roman" w:eastAsia="Times New Roman" w:hint="default"/>
                <w:sz w:val="16"/>
                <w:szCs w:val="16"/>
              </w:rPr>
            </w:pPr>
            <w:r>
              <w:rPr>
                <w:rFonts w:ascii="Times New Roman"/>
                <w:sz w:val="16"/>
              </w:rPr>
              <w:t>78,423,590.31</w:t>
            </w:r>
          </w:p>
        </w:tc>
      </w:tr>
      <w:tr>
        <w:trPr>
          <w:trHeight w:val="349" w:hRule="exact"/>
        </w:trPr>
        <w:tc>
          <w:tcPr>
            <w:tcW w:w="86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09"/>
              <w:jc w:val="right"/>
              <w:rPr>
                <w:rFonts w:ascii="宋体" w:hAnsi="宋体" w:cs="宋体" w:eastAsia="宋体" w:hint="default"/>
                <w:sz w:val="16"/>
                <w:szCs w:val="16"/>
              </w:rPr>
            </w:pPr>
            <w:r>
              <w:rPr>
                <w:rFonts w:ascii="宋体" w:hAnsi="宋体" w:cs="宋体" w:eastAsia="宋体" w:hint="default"/>
                <w:w w:val="95"/>
                <w:sz w:val="16"/>
                <w:szCs w:val="16"/>
              </w:rPr>
              <w:t>在产品</w:t>
            </w:r>
            <w:r>
              <w:rPr>
                <w:rFonts w:ascii="宋体" w:hAnsi="宋体" w:cs="宋体" w:eastAsia="宋体" w:hint="default"/>
                <w:sz w:val="16"/>
                <w:szCs w:val="16"/>
              </w:rPr>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82"/>
              <w:jc w:val="right"/>
              <w:rPr>
                <w:rFonts w:ascii="Times New Roman" w:hAnsi="Times New Roman" w:cs="Times New Roman" w:eastAsia="Times New Roman" w:hint="default"/>
                <w:sz w:val="16"/>
                <w:szCs w:val="16"/>
              </w:rPr>
            </w:pPr>
            <w:r>
              <w:rPr>
                <w:rFonts w:ascii="Times New Roman"/>
                <w:spacing w:val="-1"/>
                <w:sz w:val="16"/>
              </w:rPr>
              <w:t>2,446,657.44</w:t>
            </w:r>
          </w:p>
        </w:tc>
        <w:tc>
          <w:tcPr>
            <w:tcW w:w="1510" w:type="dxa"/>
            <w:tcBorders>
              <w:top w:val="nil" w:sz="6" w:space="0" w:color="auto"/>
              <w:left w:val="nil" w:sz="6" w:space="0" w:color="auto"/>
              <w:bottom w:val="nil" w:sz="6" w:space="0" w:color="auto"/>
              <w:right w:val="nil" w:sz="6" w:space="0" w:color="auto"/>
            </w:tcBorders>
          </w:tcPr>
          <w:p>
            <w:pPr/>
          </w:p>
        </w:tc>
        <w:tc>
          <w:tcPr>
            <w:tcW w:w="585" w:type="dxa"/>
            <w:tcBorders>
              <w:top w:val="nil" w:sz="6" w:space="0" w:color="auto"/>
              <w:left w:val="nil" w:sz="6" w:space="0" w:color="auto"/>
              <w:bottom w:val="nil" w:sz="6" w:space="0" w:color="auto"/>
              <w:right w:val="nil" w:sz="6" w:space="0" w:color="auto"/>
            </w:tcBorders>
          </w:tcPr>
          <w:p>
            <w:pPr/>
          </w:p>
        </w:tc>
        <w:tc>
          <w:tcPr>
            <w:tcW w:w="2556" w:type="dxa"/>
            <w:tcBorders>
              <w:top w:val="nil" w:sz="6" w:space="0" w:color="auto"/>
              <w:left w:val="nil" w:sz="6" w:space="0" w:color="auto"/>
              <w:bottom w:val="nil" w:sz="6" w:space="0" w:color="auto"/>
              <w:right w:val="nil" w:sz="6" w:space="0" w:color="auto"/>
            </w:tcBorders>
          </w:tcPr>
          <w:p>
            <w:pPr>
              <w:pStyle w:val="TableParagraph"/>
              <w:spacing w:line="240" w:lineRule="auto" w:before="80"/>
              <w:ind w:left="469" w:right="0"/>
              <w:jc w:val="left"/>
              <w:rPr>
                <w:rFonts w:ascii="Times New Roman" w:hAnsi="Times New Roman" w:cs="Times New Roman" w:eastAsia="Times New Roman" w:hint="default"/>
                <w:sz w:val="16"/>
                <w:szCs w:val="16"/>
              </w:rPr>
            </w:pPr>
            <w:r>
              <w:rPr>
                <w:rFonts w:ascii="Times New Roman"/>
                <w:sz w:val="16"/>
              </w:rPr>
              <w:t>911,972.87</w:t>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80"/>
              <w:ind w:left="289" w:right="0"/>
              <w:jc w:val="left"/>
              <w:rPr>
                <w:rFonts w:ascii="Times New Roman" w:hAnsi="Times New Roman" w:cs="Times New Roman" w:eastAsia="Times New Roman" w:hint="default"/>
                <w:sz w:val="16"/>
                <w:szCs w:val="16"/>
              </w:rPr>
            </w:pPr>
            <w:r>
              <w:rPr>
                <w:rFonts w:ascii="Times New Roman"/>
                <w:sz w:val="16"/>
              </w:rPr>
              <w:t>1,534,684.57</w:t>
            </w:r>
          </w:p>
        </w:tc>
      </w:tr>
      <w:tr>
        <w:trPr>
          <w:trHeight w:val="354" w:hRule="exact"/>
        </w:trPr>
        <w:tc>
          <w:tcPr>
            <w:tcW w:w="860"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309"/>
              <w:jc w:val="right"/>
              <w:rPr>
                <w:rFonts w:ascii="宋体" w:hAnsi="宋体" w:cs="宋体" w:eastAsia="宋体" w:hint="default"/>
                <w:sz w:val="16"/>
                <w:szCs w:val="16"/>
              </w:rPr>
            </w:pPr>
            <w:r>
              <w:rPr>
                <w:rFonts w:ascii="宋体" w:hAnsi="宋体" w:cs="宋体" w:eastAsia="宋体" w:hint="default"/>
                <w:w w:val="95"/>
                <w:sz w:val="16"/>
                <w:szCs w:val="16"/>
              </w:rPr>
              <w:t>产成品</w:t>
            </w:r>
            <w:r>
              <w:rPr>
                <w:rFonts w:ascii="宋体" w:hAnsi="宋体" w:cs="宋体" w:eastAsia="宋体" w:hint="default"/>
                <w:sz w:val="16"/>
                <w:szCs w:val="16"/>
              </w:rPr>
            </w:r>
          </w:p>
        </w:tc>
        <w:tc>
          <w:tcPr>
            <w:tcW w:w="140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82"/>
              <w:jc w:val="right"/>
              <w:rPr>
                <w:rFonts w:ascii="Times New Roman" w:hAnsi="Times New Roman" w:cs="Times New Roman" w:eastAsia="Times New Roman" w:hint="default"/>
                <w:sz w:val="16"/>
                <w:szCs w:val="16"/>
              </w:rPr>
            </w:pPr>
            <w:r>
              <w:rPr>
                <w:rFonts w:ascii="Times New Roman"/>
                <w:spacing w:val="-1"/>
                <w:sz w:val="16"/>
              </w:rPr>
              <w:t>65,029,266.68</w:t>
            </w:r>
          </w:p>
        </w:tc>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81"/>
              <w:ind w:left="263" w:right="0"/>
              <w:jc w:val="left"/>
              <w:rPr>
                <w:rFonts w:ascii="Times New Roman" w:hAnsi="Times New Roman" w:cs="Times New Roman" w:eastAsia="Times New Roman" w:hint="default"/>
                <w:sz w:val="16"/>
                <w:szCs w:val="16"/>
              </w:rPr>
            </w:pPr>
            <w:r>
              <w:rPr>
                <w:rFonts w:ascii="Times New Roman"/>
                <w:sz w:val="16"/>
              </w:rPr>
              <w:t>2,610,177.62</w:t>
            </w:r>
          </w:p>
        </w:tc>
        <w:tc>
          <w:tcPr>
            <w:tcW w:w="585" w:type="dxa"/>
            <w:tcBorders>
              <w:top w:val="nil" w:sz="6" w:space="0" w:color="auto"/>
              <w:left w:val="nil" w:sz="6" w:space="0" w:color="auto"/>
              <w:bottom w:val="nil" w:sz="6" w:space="0" w:color="auto"/>
              <w:right w:val="nil" w:sz="6" w:space="0" w:color="auto"/>
            </w:tcBorders>
          </w:tcPr>
          <w:p>
            <w:pPr/>
          </w:p>
        </w:tc>
        <w:tc>
          <w:tcPr>
            <w:tcW w:w="2556" w:type="dxa"/>
            <w:tcBorders>
              <w:top w:val="nil" w:sz="6" w:space="0" w:color="auto"/>
              <w:left w:val="nil" w:sz="6" w:space="0" w:color="auto"/>
              <w:bottom w:val="nil" w:sz="6" w:space="0" w:color="auto"/>
              <w:right w:val="nil" w:sz="6" w:space="0" w:color="auto"/>
            </w:tcBorders>
          </w:tcPr>
          <w:p>
            <w:pPr>
              <w:pStyle w:val="TableParagraph"/>
              <w:tabs>
                <w:tab w:pos="1505" w:val="left" w:leader="none"/>
              </w:tabs>
              <w:spacing w:line="240" w:lineRule="auto" w:before="81"/>
              <w:ind w:left="263" w:right="0"/>
              <w:jc w:val="left"/>
              <w:rPr>
                <w:rFonts w:ascii="Times New Roman" w:hAnsi="Times New Roman" w:cs="Times New Roman" w:eastAsia="Times New Roman" w:hint="default"/>
                <w:sz w:val="16"/>
                <w:szCs w:val="16"/>
              </w:rPr>
            </w:pPr>
            <w:r>
              <w:rPr>
                <w:rFonts w:ascii="Times New Roman"/>
                <w:spacing w:val="-1"/>
                <w:sz w:val="16"/>
              </w:rPr>
              <w:t>22,523,412.88</w:t>
              <w:tab/>
              <w:t>1,633,162.31</w:t>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81"/>
              <w:ind w:left="215" w:right="0"/>
              <w:jc w:val="left"/>
              <w:rPr>
                <w:rFonts w:ascii="Times New Roman" w:hAnsi="Times New Roman" w:cs="Times New Roman" w:eastAsia="Times New Roman" w:hint="default"/>
                <w:sz w:val="16"/>
                <w:szCs w:val="16"/>
              </w:rPr>
            </w:pPr>
            <w:r>
              <w:rPr>
                <w:rFonts w:ascii="Times New Roman"/>
                <w:sz w:val="16"/>
              </w:rPr>
              <w:t>43,482,869.11</w:t>
            </w:r>
          </w:p>
        </w:tc>
      </w:tr>
    </w:tbl>
    <w:p>
      <w:pPr>
        <w:spacing w:after="0" w:line="240" w:lineRule="auto"/>
        <w:jc w:val="left"/>
        <w:rPr>
          <w:rFonts w:ascii="Times New Roman" w:hAnsi="Times New Roman" w:cs="Times New Roman" w:eastAsia="Times New Roman" w:hint="default"/>
          <w:sz w:val="16"/>
          <w:szCs w:val="16"/>
        </w:rPr>
        <w:sectPr>
          <w:pgSz w:w="11910" w:h="16840"/>
          <w:pgMar w:header="0" w:footer="1001" w:top="1520" w:bottom="1200" w:left="1660" w:right="0"/>
        </w:sectPr>
      </w:pPr>
    </w:p>
    <w:p>
      <w:pPr>
        <w:spacing w:line="240" w:lineRule="auto" w:before="2"/>
        <w:rPr>
          <w:rFonts w:ascii="宋体" w:hAnsi="宋体" w:cs="宋体" w:eastAsia="宋体" w:hint="default"/>
          <w:b/>
          <w:bCs/>
          <w:sz w:val="9"/>
          <w:szCs w:val="9"/>
        </w:rPr>
      </w:pPr>
    </w:p>
    <w:p>
      <w:pPr>
        <w:spacing w:line="1098" w:lineRule="exact"/>
        <w:ind w:left="720" w:right="0" w:firstLine="0"/>
        <w:rPr>
          <w:rFonts w:ascii="宋体" w:hAnsi="宋体" w:cs="宋体" w:eastAsia="宋体" w:hint="default"/>
          <w:sz w:val="20"/>
          <w:szCs w:val="20"/>
        </w:rPr>
      </w:pPr>
      <w:r>
        <w:rPr>
          <w:rFonts w:ascii="宋体" w:hAnsi="宋体" w:cs="宋体" w:eastAsia="宋体" w:hint="default"/>
          <w:position w:val="-21"/>
          <w:sz w:val="20"/>
          <w:szCs w:val="20"/>
        </w:rPr>
        <w:pict>
          <v:group style="width:411.6pt;height:54.9pt;mso-position-horizontal-relative:char;mso-position-vertical-relative:line" coordorigin="0,0" coordsize="8232,1098">
            <v:group style="position:absolute;left:29;top:15;width:884;height:2" coordorigin="29,15" coordsize="884,2">
              <v:shape style="position:absolute;left:29;top:15;width:884;height:2" coordorigin="29,15" coordsize="884,0" path="m29,15l913,15e" filled="false" stroked="true" strokeweight="1.5pt" strokecolor="#000000">
                <v:path arrowok="t"/>
              </v:shape>
              <v:shape style="position:absolute;left:913;top:30;width:10;height:28" type="#_x0000_t75" stroked="false">
                <v:imagedata r:id="rId37" o:title=""/>
              </v:shape>
            </v:group>
            <v:group style="position:absolute;left:913;top:15;width:1336;height:2" coordorigin="913,15" coordsize="1336,2">
              <v:shape style="position:absolute;left:913;top:15;width:1336;height:2" coordorigin="913,15" coordsize="1336,0" path="m913,15l2248,15e" filled="false" stroked="true" strokeweight="1.5pt" strokecolor="#000000">
                <v:path arrowok="t"/>
              </v:shape>
              <v:shape style="position:absolute;left:2248;top:30;width:10;height:28" type="#_x0000_t75" stroked="false">
                <v:imagedata r:id="rId37" o:title=""/>
              </v:shape>
            </v:group>
            <v:group style="position:absolute;left:2248;top:15;width:2212;height:2" coordorigin="2248,15" coordsize="2212,2">
              <v:shape style="position:absolute;left:2248;top:15;width:2212;height:2" coordorigin="2248,15" coordsize="2212,0" path="m2248,15l4460,15e" filled="false" stroked="true" strokeweight="1.5pt" strokecolor="#000000">
                <v:path arrowok="t"/>
              </v:shape>
              <v:shape style="position:absolute;left:4460;top:30;width:10;height:28" type="#_x0000_t75" stroked="false">
                <v:imagedata r:id="rId37" o:title=""/>
              </v:shape>
            </v:group>
            <v:group style="position:absolute;left:4460;top:15;width:30;height:2" coordorigin="4460,15" coordsize="30,2">
              <v:shape style="position:absolute;left:4460;top:15;width:30;height:2" coordorigin="4460,15" coordsize="30,0" path="m4460,15l4490,15e" filled="false" stroked="true" strokeweight="1.5pt" strokecolor="#000000">
                <v:path arrowok="t"/>
              </v:shape>
            </v:group>
            <v:group style="position:absolute;left:4490;top:15;width:2382;height:2" coordorigin="4490,15" coordsize="2382,2">
              <v:shape style="position:absolute;left:4490;top:15;width:2382;height:2" coordorigin="4490,15" coordsize="2382,0" path="m4490,15l6872,15e" filled="false" stroked="true" strokeweight="1.5pt" strokecolor="#000000">
                <v:path arrowok="t"/>
              </v:shape>
              <v:shape style="position:absolute;left:6872;top:30;width:10;height:28" type="#_x0000_t75" stroked="false">
                <v:imagedata r:id="rId37" o:title=""/>
              </v:shape>
            </v:group>
            <v:group style="position:absolute;left:6872;top:15;width:1346;height:2" coordorigin="6872,15" coordsize="1346,2">
              <v:shape style="position:absolute;left:6872;top:15;width:1346;height:2" coordorigin="6872,15" coordsize="1346,0" path="m6872,15l8217,15e" filled="false" stroked="true" strokeweight="1.5pt" strokecolor="#000000">
                <v:path arrowok="t"/>
              </v:shape>
            </v:group>
            <v:group style="position:absolute;left:15;top:1083;width:898;height:2" coordorigin="15,1083" coordsize="898,2">
              <v:shape style="position:absolute;left:15;top:1083;width:898;height:2" coordorigin="15,1083" coordsize="898,0" path="m15,1083l913,1083e" filled="false" stroked="true" strokeweight="1.5pt" strokecolor="#000000">
                <v:path arrowok="t"/>
              </v:shape>
            </v:group>
            <v:group style="position:absolute;left:913;top:1083;width:1336;height:2" coordorigin="913,1083" coordsize="1336,2">
              <v:shape style="position:absolute;left:913;top:1083;width:1336;height:2" coordorigin="913,1083" coordsize="1336,0" path="m913,1083l2248,1083e" filled="false" stroked="true" strokeweight="1.5pt" strokecolor="#000000">
                <v:path arrowok="t"/>
              </v:shape>
            </v:group>
            <v:group style="position:absolute;left:2248;top:1083;width:1288;height:2" coordorigin="2248,1083" coordsize="1288,2">
              <v:shape style="position:absolute;left:2248;top:1083;width:1288;height:2" coordorigin="2248,1083" coordsize="1288,0" path="m2248,1083l3536,1083e" filled="false" stroked="true" strokeweight="1.5pt" strokecolor="#000000">
                <v:path arrowok="t"/>
              </v:shape>
            </v:group>
            <v:group style="position:absolute;left:3536;top:1083;width:924;height:2" coordorigin="3536,1083" coordsize="924,2">
              <v:shape style="position:absolute;left:3536;top:1083;width:924;height:2" coordorigin="3536,1083" coordsize="924,0" path="m3536,1083l4460,1083e" filled="false" stroked="true" strokeweight="1.5pt" strokecolor="#000000">
                <v:path arrowok="t"/>
              </v:shape>
            </v:group>
            <v:group style="position:absolute;left:4460;top:1083;width:1251;height:2" coordorigin="4460,1083" coordsize="1251,2">
              <v:shape style="position:absolute;left:4460;top:1083;width:1251;height:2" coordorigin="4460,1083" coordsize="1251,0" path="m4460,1083l5710,1083e" filled="false" stroked="true" strokeweight="1.5pt" strokecolor="#000000">
                <v:path arrowok="t"/>
              </v:shape>
            </v:group>
            <v:group style="position:absolute;left:5710;top:1083;width:1162;height:2" coordorigin="5710,1083" coordsize="1162,2">
              <v:shape style="position:absolute;left:5710;top:1083;width:1162;height:2" coordorigin="5710,1083" coordsize="1162,0" path="m5710,1083l6872,1083e" filled="false" stroked="true" strokeweight="1.5pt" strokecolor="#000000">
                <v:path arrowok="t"/>
              </v:shape>
              <v:shape style="position:absolute;left:17;top:38;width:8209;height:1030" type="#_x0000_t75" stroked="false">
                <v:imagedata r:id="rId149" o:title=""/>
              </v:shape>
            </v:group>
            <v:group style="position:absolute;left:6872;top:1083;width:1346;height:2" coordorigin="6872,1083" coordsize="1346,2">
              <v:shape style="position:absolute;left:6872;top:1083;width:1346;height:2" coordorigin="6872,1083" coordsize="1346,0" path="m6872,1083l8217,1083e" filled="false" stroked="true" strokeweight="1.5pt" strokecolor="#000000">
                <v:path arrowok="t"/>
              </v:shape>
              <v:shape style="position:absolute;left:2877;top:118;width:95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本期增加金额</w:t>
                      </w:r>
                      <w:r>
                        <w:rPr>
                          <w:rFonts w:ascii="宋体" w:hAnsi="宋体" w:cs="宋体" w:eastAsia="宋体" w:hint="default"/>
                          <w:sz w:val="16"/>
                          <w:szCs w:val="16"/>
                        </w:rPr>
                      </w:r>
                    </w:p>
                  </w:txbxContent>
                </v:textbox>
                <w10:wrap type="none"/>
              </v:shape>
              <v:shape style="position:absolute;left:5189;top:118;width:95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本期减少金额</w:t>
                      </w:r>
                      <w:r>
                        <w:rPr>
                          <w:rFonts w:ascii="宋体" w:hAnsi="宋体" w:cs="宋体" w:eastAsia="宋体" w:hint="default"/>
                          <w:sz w:val="16"/>
                          <w:szCs w:val="16"/>
                        </w:rPr>
                      </w:r>
                    </w:p>
                  </w:txbxContent>
                </v:textbox>
                <w10:wrap type="none"/>
              </v:shape>
              <v:shape style="position:absolute;left:313;top:294;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项目</w:t>
                      </w:r>
                      <w:r>
                        <w:rPr>
                          <w:rFonts w:ascii="宋体" w:hAnsi="宋体" w:cs="宋体" w:eastAsia="宋体" w:hint="default"/>
                          <w:sz w:val="16"/>
                          <w:szCs w:val="16"/>
                        </w:rPr>
                      </w:r>
                    </w:p>
                  </w:txbxContent>
                </v:textbox>
                <w10:wrap type="none"/>
              </v:shape>
              <v:shape style="position:absolute;left:1264;top:294;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年初余额</w:t>
                      </w:r>
                      <w:r>
                        <w:rPr>
                          <w:rFonts w:ascii="宋体" w:hAnsi="宋体" w:cs="宋体" w:eastAsia="宋体" w:hint="default"/>
                          <w:sz w:val="16"/>
                          <w:szCs w:val="16"/>
                        </w:rPr>
                      </w:r>
                    </w:p>
                  </w:txbxContent>
                </v:textbox>
                <w10:wrap type="none"/>
              </v:shape>
              <v:shape style="position:absolute;left:7226;top:294;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2735;top:468;width:3719;height:160" type="#_x0000_t202" filled="false" stroked="false">
                <v:textbox inset="0,0,0,0">
                  <w:txbxContent>
                    <w:p>
                      <w:pPr>
                        <w:tabs>
                          <w:tab w:pos="1105" w:val="left" w:leader="none"/>
                          <w:tab w:pos="1953" w:val="left" w:leader="none"/>
                          <w:tab w:pos="3399" w:val="left" w:leader="none"/>
                        </w:tabs>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计提</w:t>
                        <w:tab/>
                        <w:t>其他</w:t>
                        <w:tab/>
                        <w:t>转回或转销</w:t>
                        <w:tab/>
                        <w:t>其他</w:t>
                      </w:r>
                      <w:r>
                        <w:rPr>
                          <w:rFonts w:ascii="宋体" w:hAnsi="宋体" w:cs="宋体" w:eastAsia="宋体" w:hint="default"/>
                          <w:sz w:val="16"/>
                          <w:szCs w:val="16"/>
                        </w:rPr>
                      </w:r>
                    </w:p>
                  </w:txbxContent>
                </v:textbox>
                <w10:wrap type="none"/>
              </v:shape>
              <v:shape style="position:absolute;left:313;top:817;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合计</w:t>
                      </w:r>
                      <w:r>
                        <w:rPr>
                          <w:rFonts w:ascii="宋体" w:hAnsi="宋体" w:cs="宋体" w:eastAsia="宋体" w:hint="default"/>
                          <w:sz w:val="16"/>
                          <w:szCs w:val="16"/>
                        </w:rPr>
                      </w:r>
                    </w:p>
                  </w:txbxContent>
                </v:textbox>
                <w10:wrap type="none"/>
              </v:shape>
              <v:shape style="position:absolute;left:1150;top:830;width:995;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pacing w:val="-1"/>
                          <w:sz w:val="16"/>
                        </w:rPr>
                        <w:t>133,112,743.93</w:t>
                      </w:r>
                    </w:p>
                  </w:txbxContent>
                </v:textbox>
                <w10:wrap type="none"/>
              </v:shape>
              <v:shape style="position:absolute;left:2511;top:830;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23,805,543.45</w:t>
                      </w:r>
                      <w:r>
                        <w:rPr>
                          <w:rFonts w:ascii="Times New Roman"/>
                          <w:sz w:val="16"/>
                        </w:rPr>
                      </w:r>
                    </w:p>
                  </w:txbxContent>
                </v:textbox>
                <w10:wrap type="none"/>
              </v:shape>
              <v:shape style="position:absolute;left:4687;top:830;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31,643,360.16</w:t>
                      </w:r>
                      <w:r>
                        <w:rPr>
                          <w:rFonts w:ascii="Times New Roman"/>
                          <w:sz w:val="16"/>
                        </w:rPr>
                      </w:r>
                    </w:p>
                  </w:txbxContent>
                </v:textbox>
                <w10:wrap type="none"/>
              </v:shape>
              <v:shape style="position:absolute;left:5929;top:830;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1,833,783.23</w:t>
                      </w:r>
                      <w:r>
                        <w:rPr>
                          <w:rFonts w:ascii="Times New Roman"/>
                          <w:sz w:val="16"/>
                        </w:rPr>
                      </w:r>
                    </w:p>
                  </w:txbxContent>
                </v:textbox>
                <w10:wrap type="none"/>
              </v:shape>
              <v:shape style="position:absolute;left:7109;top:830;width:100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123,441,143.99</w:t>
                      </w:r>
                      <w:r>
                        <w:rPr>
                          <w:rFonts w:ascii="Times New Roman"/>
                          <w:sz w:val="16"/>
                        </w:rPr>
                      </w:r>
                    </w:p>
                  </w:txbxContent>
                </v:textbox>
                <w10:wrap type="none"/>
              </v:shape>
            </v:group>
          </v:group>
        </w:pict>
      </w:r>
      <w:r>
        <w:rPr>
          <w:rFonts w:ascii="宋体" w:hAnsi="宋体" w:cs="宋体" w:eastAsia="宋体" w:hint="default"/>
          <w:position w:val="-21"/>
          <w:sz w:val="20"/>
          <w:szCs w:val="2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pStyle w:val="Heading5"/>
        <w:tabs>
          <w:tab w:pos="851" w:val="left" w:leader="none"/>
        </w:tabs>
        <w:spacing w:line="240" w:lineRule="auto"/>
        <w:ind w:right="3681"/>
        <w:jc w:val="left"/>
        <w:rPr>
          <w:b w:val="0"/>
          <w:bCs w:val="0"/>
        </w:rPr>
      </w:pPr>
      <w:r>
        <w:rPr>
          <w:rFonts w:ascii="Times New Roman" w:hAnsi="Times New Roman" w:cs="Times New Roman" w:eastAsia="Times New Roman" w:hint="default"/>
          <w:w w:val="95"/>
        </w:rPr>
        <w:t>(</w:t>
      </w:r>
      <w:r>
        <w:rPr>
          <w:w w:val="95"/>
        </w:rPr>
        <w:t>七</w:t>
      </w:r>
      <w:r>
        <w:rPr>
          <w:rFonts w:ascii="Times New Roman" w:hAnsi="Times New Roman" w:cs="Times New Roman" w:eastAsia="Times New Roman" w:hint="default"/>
          <w:w w:val="95"/>
        </w:rPr>
        <w:t>)</w:t>
        <w:tab/>
      </w:r>
      <w:r>
        <w:rPr/>
        <w:t>其他流动资产</w:t>
      </w:r>
      <w:r>
        <w:rPr>
          <w:b w:val="0"/>
          <w:bCs w:val="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2"/>
          <w:szCs w:val="12"/>
        </w:rPr>
      </w:pPr>
    </w:p>
    <w:tbl>
      <w:tblPr>
        <w:tblW w:w="0" w:type="auto"/>
        <w:jc w:val="left"/>
        <w:tblInd w:w="787" w:type="dxa"/>
        <w:tblLayout w:type="fixed"/>
        <w:tblCellMar>
          <w:top w:w="0" w:type="dxa"/>
          <w:left w:w="0" w:type="dxa"/>
          <w:bottom w:w="0" w:type="dxa"/>
          <w:right w:w="0" w:type="dxa"/>
        </w:tblCellMar>
        <w:tblLook w:val="01E0"/>
      </w:tblPr>
      <w:tblGrid>
        <w:gridCol w:w="1386"/>
        <w:gridCol w:w="1945"/>
        <w:gridCol w:w="2990"/>
        <w:gridCol w:w="1792"/>
      </w:tblGrid>
      <w:tr>
        <w:trPr>
          <w:trHeight w:val="713" w:hRule="exact"/>
        </w:trPr>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left="70" w:right="0"/>
              <w:jc w:val="left"/>
              <w:rPr>
                <w:rFonts w:ascii="宋体" w:hAnsi="宋体" w:cs="宋体" w:eastAsia="宋体" w:hint="default"/>
                <w:sz w:val="16"/>
                <w:szCs w:val="16"/>
              </w:rPr>
            </w:pPr>
            <w:r>
              <w:rPr>
                <w:rFonts w:ascii="宋体" w:hAnsi="宋体" w:cs="宋体" w:eastAsia="宋体" w:hint="default"/>
                <w:sz w:val="16"/>
                <w:szCs w:val="16"/>
              </w:rPr>
              <w:t>待抵扣进项税</w:t>
            </w:r>
          </w:p>
        </w:tc>
        <w:tc>
          <w:tcPr>
            <w:tcW w:w="1945" w:type="dxa"/>
            <w:tcBorders>
              <w:top w:val="nil" w:sz="6" w:space="0" w:color="auto"/>
              <w:left w:val="nil" w:sz="6" w:space="0" w:color="auto"/>
              <w:bottom w:val="nil" w:sz="6" w:space="0" w:color="auto"/>
              <w:right w:val="nil" w:sz="6" w:space="0" w:color="auto"/>
            </w:tcBorders>
          </w:tcPr>
          <w:p>
            <w:pPr>
              <w:pStyle w:val="TableParagraph"/>
              <w:spacing w:line="240" w:lineRule="auto" w:before="52"/>
              <w:ind w:left="357" w:right="0"/>
              <w:jc w:val="left"/>
              <w:rPr>
                <w:rFonts w:ascii="宋体" w:hAnsi="宋体" w:cs="宋体" w:eastAsia="宋体" w:hint="default"/>
                <w:sz w:val="16"/>
                <w:szCs w:val="16"/>
              </w:rPr>
            </w:pPr>
            <w:r>
              <w:rPr>
                <w:rFonts w:ascii="宋体" w:hAnsi="宋体" w:cs="宋体" w:eastAsia="宋体" w:hint="default"/>
                <w:sz w:val="16"/>
                <w:szCs w:val="16"/>
              </w:rPr>
              <w:t>项目</w:t>
            </w:r>
          </w:p>
        </w:tc>
        <w:tc>
          <w:tcPr>
            <w:tcW w:w="2990"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84" w:right="0"/>
              <w:jc w:val="center"/>
              <w:rPr>
                <w:rFonts w:ascii="宋体" w:hAnsi="宋体" w:cs="宋体" w:eastAsia="宋体" w:hint="default"/>
                <w:sz w:val="16"/>
                <w:szCs w:val="16"/>
              </w:rPr>
            </w:pPr>
            <w:r>
              <w:rPr>
                <w:rFonts w:ascii="宋体" w:hAnsi="宋体" w:cs="宋体" w:eastAsia="宋体" w:hint="default"/>
                <w:sz w:val="16"/>
                <w:szCs w:val="16"/>
              </w:rPr>
              <w:t>期末余额</w:t>
            </w:r>
          </w:p>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left="1636" w:right="0"/>
              <w:jc w:val="left"/>
              <w:rPr>
                <w:rFonts w:ascii="Times New Roman" w:hAnsi="Times New Roman" w:cs="Times New Roman" w:eastAsia="Times New Roman" w:hint="default"/>
                <w:sz w:val="16"/>
                <w:szCs w:val="16"/>
              </w:rPr>
            </w:pPr>
            <w:r>
              <w:rPr>
                <w:rFonts w:ascii="Times New Roman"/>
                <w:sz w:val="16"/>
              </w:rPr>
              <w:t>78,741,982.68</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52"/>
              <w:ind w:left="431" w:right="0"/>
              <w:jc w:val="left"/>
              <w:rPr>
                <w:rFonts w:ascii="宋体" w:hAnsi="宋体" w:cs="宋体" w:eastAsia="宋体" w:hint="default"/>
                <w:sz w:val="16"/>
                <w:szCs w:val="16"/>
              </w:rPr>
            </w:pPr>
            <w:r>
              <w:rPr>
                <w:rFonts w:ascii="宋体" w:hAnsi="宋体" w:cs="宋体" w:eastAsia="宋体" w:hint="default"/>
                <w:sz w:val="16"/>
                <w:szCs w:val="16"/>
              </w:rPr>
              <w:t>年初余额</w:t>
            </w:r>
          </w:p>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left="800" w:right="0"/>
              <w:jc w:val="left"/>
              <w:rPr>
                <w:rFonts w:ascii="Times New Roman" w:hAnsi="Times New Roman" w:cs="Times New Roman" w:eastAsia="Times New Roman" w:hint="default"/>
                <w:sz w:val="16"/>
                <w:szCs w:val="16"/>
              </w:rPr>
            </w:pPr>
            <w:r>
              <w:rPr>
                <w:rFonts w:ascii="Times New Roman"/>
                <w:sz w:val="16"/>
              </w:rPr>
              <w:t>50,604,585.59</w:t>
            </w:r>
          </w:p>
        </w:tc>
      </w:tr>
      <w:tr>
        <w:trPr>
          <w:trHeight w:val="349" w:hRule="exact"/>
        </w:trPr>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宋体" w:hAnsi="宋体" w:cs="宋体" w:eastAsia="宋体" w:hint="default"/>
                <w:sz w:val="16"/>
                <w:szCs w:val="16"/>
              </w:rPr>
              <w:t>专项支出</w:t>
            </w:r>
          </w:p>
        </w:tc>
        <w:tc>
          <w:tcPr>
            <w:tcW w:w="1945" w:type="dxa"/>
            <w:tcBorders>
              <w:top w:val="nil" w:sz="6" w:space="0" w:color="auto"/>
              <w:left w:val="nil" w:sz="6" w:space="0" w:color="auto"/>
              <w:bottom w:val="nil" w:sz="6" w:space="0" w:color="auto"/>
              <w:right w:val="nil" w:sz="6" w:space="0" w:color="auto"/>
            </w:tcBorders>
          </w:tcPr>
          <w:p>
            <w:pPr/>
          </w:p>
        </w:tc>
        <w:tc>
          <w:tcPr>
            <w:tcW w:w="2990"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429"/>
              <w:jc w:val="right"/>
              <w:rPr>
                <w:rFonts w:ascii="Times New Roman" w:hAnsi="Times New Roman" w:cs="Times New Roman" w:eastAsia="Times New Roman" w:hint="default"/>
                <w:sz w:val="16"/>
                <w:szCs w:val="16"/>
              </w:rPr>
            </w:pPr>
            <w:r>
              <w:rPr>
                <w:rFonts w:ascii="Times New Roman"/>
                <w:spacing w:val="-1"/>
                <w:sz w:val="16"/>
              </w:rPr>
              <w:t>8,000,000.00</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8"/>
              <w:jc w:val="right"/>
              <w:rPr>
                <w:rFonts w:ascii="Times New Roman" w:hAnsi="Times New Roman" w:cs="Times New Roman" w:eastAsia="Times New Roman" w:hint="default"/>
                <w:sz w:val="16"/>
                <w:szCs w:val="16"/>
              </w:rPr>
            </w:pPr>
            <w:r>
              <w:rPr>
                <w:rFonts w:ascii="Times New Roman"/>
                <w:spacing w:val="-1"/>
                <w:sz w:val="16"/>
              </w:rPr>
              <w:t>8,000,000.00</w:t>
            </w:r>
          </w:p>
        </w:tc>
      </w:tr>
      <w:tr>
        <w:trPr>
          <w:trHeight w:val="349" w:hRule="exact"/>
        </w:trPr>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宋体" w:hAnsi="宋体" w:cs="宋体" w:eastAsia="宋体" w:hint="default"/>
                <w:sz w:val="16"/>
                <w:szCs w:val="16"/>
              </w:rPr>
              <w:t>预缴税金</w:t>
            </w:r>
          </w:p>
        </w:tc>
        <w:tc>
          <w:tcPr>
            <w:tcW w:w="1945" w:type="dxa"/>
            <w:tcBorders>
              <w:top w:val="nil" w:sz="6" w:space="0" w:color="auto"/>
              <w:left w:val="nil" w:sz="6" w:space="0" w:color="auto"/>
              <w:bottom w:val="nil" w:sz="6" w:space="0" w:color="auto"/>
              <w:right w:val="nil" w:sz="6" w:space="0" w:color="auto"/>
            </w:tcBorders>
          </w:tcPr>
          <w:p>
            <w:pPr/>
          </w:p>
        </w:tc>
        <w:tc>
          <w:tcPr>
            <w:tcW w:w="2990"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429"/>
              <w:jc w:val="right"/>
              <w:rPr>
                <w:rFonts w:ascii="Times New Roman" w:hAnsi="Times New Roman" w:cs="Times New Roman" w:eastAsia="Times New Roman" w:hint="default"/>
                <w:sz w:val="16"/>
                <w:szCs w:val="16"/>
              </w:rPr>
            </w:pPr>
            <w:r>
              <w:rPr>
                <w:rFonts w:ascii="Times New Roman"/>
                <w:spacing w:val="-1"/>
                <w:sz w:val="16"/>
              </w:rPr>
              <w:t>4,627,327.69</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8"/>
              <w:jc w:val="right"/>
              <w:rPr>
                <w:rFonts w:ascii="Times New Roman" w:hAnsi="Times New Roman" w:cs="Times New Roman" w:eastAsia="Times New Roman" w:hint="default"/>
                <w:sz w:val="16"/>
                <w:szCs w:val="16"/>
              </w:rPr>
            </w:pPr>
            <w:r>
              <w:rPr>
                <w:rFonts w:ascii="Times New Roman"/>
                <w:spacing w:val="-1"/>
                <w:sz w:val="16"/>
              </w:rPr>
              <w:t>1,387,329.21</w:t>
            </w:r>
          </w:p>
        </w:tc>
      </w:tr>
      <w:tr>
        <w:trPr>
          <w:trHeight w:val="349" w:hRule="exact"/>
        </w:trPr>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1945" w:type="dxa"/>
            <w:tcBorders>
              <w:top w:val="nil" w:sz="6" w:space="0" w:color="auto"/>
              <w:left w:val="nil" w:sz="6" w:space="0" w:color="auto"/>
              <w:bottom w:val="nil" w:sz="6" w:space="0" w:color="auto"/>
              <w:right w:val="nil" w:sz="6" w:space="0" w:color="auto"/>
            </w:tcBorders>
          </w:tcPr>
          <w:p>
            <w:pPr/>
          </w:p>
        </w:tc>
        <w:tc>
          <w:tcPr>
            <w:tcW w:w="2990"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429"/>
              <w:jc w:val="right"/>
              <w:rPr>
                <w:rFonts w:ascii="Times New Roman" w:hAnsi="Times New Roman" w:cs="Times New Roman" w:eastAsia="Times New Roman" w:hint="default"/>
                <w:sz w:val="16"/>
                <w:szCs w:val="16"/>
              </w:rPr>
            </w:pPr>
            <w:r>
              <w:rPr>
                <w:rFonts w:ascii="Times New Roman"/>
                <w:spacing w:val="-1"/>
                <w:sz w:val="16"/>
              </w:rPr>
              <w:t>2,351,915.07</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8"/>
              <w:jc w:val="right"/>
              <w:rPr>
                <w:rFonts w:ascii="Times New Roman" w:hAnsi="Times New Roman" w:cs="Times New Roman" w:eastAsia="Times New Roman" w:hint="default"/>
                <w:sz w:val="16"/>
                <w:szCs w:val="16"/>
              </w:rPr>
            </w:pPr>
            <w:r>
              <w:rPr>
                <w:rFonts w:ascii="Times New Roman"/>
                <w:spacing w:val="-1"/>
                <w:sz w:val="16"/>
              </w:rPr>
              <w:t>1,797,521.03</w:t>
            </w:r>
          </w:p>
        </w:tc>
      </w:tr>
      <w:tr>
        <w:trPr>
          <w:trHeight w:val="353" w:hRule="exact"/>
        </w:trPr>
        <w:tc>
          <w:tcPr>
            <w:tcW w:w="1386" w:type="dxa"/>
            <w:tcBorders>
              <w:top w:val="nil" w:sz="6" w:space="0" w:color="auto"/>
              <w:left w:val="nil" w:sz="6" w:space="0" w:color="auto"/>
              <w:bottom w:val="nil" w:sz="6" w:space="0" w:color="auto"/>
              <w:right w:val="nil" w:sz="6" w:space="0" w:color="auto"/>
            </w:tcBorders>
          </w:tcPr>
          <w:p>
            <w:pPr/>
          </w:p>
        </w:tc>
        <w:tc>
          <w:tcPr>
            <w:tcW w:w="194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7"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990"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429"/>
              <w:jc w:val="right"/>
              <w:rPr>
                <w:rFonts w:ascii="Times New Roman" w:hAnsi="Times New Roman" w:cs="Times New Roman" w:eastAsia="Times New Roman" w:hint="default"/>
                <w:sz w:val="16"/>
                <w:szCs w:val="16"/>
              </w:rPr>
            </w:pPr>
            <w:r>
              <w:rPr>
                <w:rFonts w:ascii="Times New Roman"/>
                <w:spacing w:val="-1"/>
                <w:sz w:val="16"/>
              </w:rPr>
              <w:t>93,721,225.44</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8"/>
              <w:jc w:val="right"/>
              <w:rPr>
                <w:rFonts w:ascii="Times New Roman" w:hAnsi="Times New Roman" w:cs="Times New Roman" w:eastAsia="Times New Roman" w:hint="default"/>
                <w:sz w:val="16"/>
                <w:szCs w:val="16"/>
              </w:rPr>
            </w:pPr>
            <w:r>
              <w:rPr>
                <w:rFonts w:ascii="Times New Roman"/>
                <w:spacing w:val="-1"/>
                <w:sz w:val="16"/>
              </w:rPr>
              <w:t>61,789,435.83</w:t>
            </w:r>
          </w:p>
        </w:tc>
      </w:tr>
    </w:tbl>
    <w:p>
      <w:pPr>
        <w:spacing w:line="240" w:lineRule="auto" w:before="7"/>
        <w:rPr>
          <w:rFonts w:ascii="宋体" w:hAnsi="宋体" w:cs="宋体" w:eastAsia="宋体" w:hint="default"/>
          <w:b/>
          <w:bCs/>
          <w:sz w:val="5"/>
          <w:szCs w:val="5"/>
        </w:rPr>
      </w:pPr>
    </w:p>
    <w:p>
      <w:pPr>
        <w:pStyle w:val="BodyText"/>
        <w:spacing w:line="350" w:lineRule="auto" w:before="35"/>
        <w:ind w:left="851" w:right="1813"/>
        <w:jc w:val="left"/>
      </w:pPr>
      <w:r>
        <w:rPr/>
        <w:pict>
          <v:group style="position:absolute;margin-left:119.010002pt;margin-top:-110.066048pt;width:411.95pt;height:107.2pt;mso-position-horizontal-relative:page;mso-position-vertical-relative:paragraph;z-index:-1393240" coordorigin="2380,-2201" coordsize="8239,2144">
            <v:group style="position:absolute;left:2410;top:-2186;width:3878;height:2" coordorigin="2410,-2186" coordsize="3878,2">
              <v:shape style="position:absolute;left:2410;top:-2186;width:3878;height:2" coordorigin="2410,-2186" coordsize="3878,0" path="m2410,-2186l6287,-2186e" filled="false" stroked="true" strokeweight="1.5pt" strokecolor="#000000">
                <v:path arrowok="t"/>
              </v:shape>
              <v:shape style="position:absolute;left:6287;top:-2171;width:10;height:28" type="#_x0000_t75" stroked="false">
                <v:imagedata r:id="rId96" o:title=""/>
              </v:shape>
            </v:group>
            <v:group style="position:absolute;left:6287;top:-2186;width:30;height:2" coordorigin="6287,-2186" coordsize="30,2">
              <v:shape style="position:absolute;left:6287;top:-2186;width:30;height:2" coordorigin="6287,-2186" coordsize="30,0" path="m6287,-2186l6317,-2186e" filled="false" stroked="true" strokeweight="1.5pt" strokecolor="#000000">
                <v:path arrowok="t"/>
              </v:shape>
            </v:group>
            <v:group style="position:absolute;left:6317;top:-2186;width:2123;height:2" coordorigin="6317,-2186" coordsize="2123,2">
              <v:shape style="position:absolute;left:6317;top:-2186;width:2123;height:2" coordorigin="6317,-2186" coordsize="2123,0" path="m6317,-2186l8440,-2186e" filled="false" stroked="true" strokeweight="1.5pt" strokecolor="#000000">
                <v:path arrowok="t"/>
              </v:shape>
              <v:shape style="position:absolute;left:8440;top:-2171;width:10;height:28" type="#_x0000_t75" stroked="false">
                <v:imagedata r:id="rId96" o:title=""/>
              </v:shape>
            </v:group>
            <v:group style="position:absolute;left:8440;top:-2186;width:2158;height:2" coordorigin="8440,-2186" coordsize="2158,2">
              <v:shape style="position:absolute;left:8440;top:-2186;width:2158;height:2" coordorigin="8440,-2186" coordsize="2158,0" path="m8440,-2186l10597,-2186e" filled="false" stroked="true" strokeweight="1.5pt" strokecolor="#000000">
                <v:path arrowok="t"/>
              </v:shape>
              <v:shape style="position:absolute;left:6268;top:-2163;width:2201;height:349" type="#_x0000_t75" stroked="false">
                <v:imagedata r:id="rId150" o:title=""/>
              </v:shape>
            </v:group>
            <v:group style="position:absolute;left:2395;top:-73;width:3892;height:2" coordorigin="2395,-73" coordsize="3892,2">
              <v:shape style="position:absolute;left:2395;top:-73;width:3892;height:2" coordorigin="2395,-73" coordsize="3892,0" path="m2395,-73l6287,-73e" filled="false" stroked="true" strokeweight="1.5pt" strokecolor="#000000">
                <v:path arrowok="t"/>
              </v:shape>
            </v:group>
            <v:group style="position:absolute;left:6287;top:-73;width:30;height:2" coordorigin="6287,-73" coordsize="30,2">
              <v:shape style="position:absolute;left:6287;top:-73;width:30;height:2" coordorigin="6287,-73" coordsize="30,0" path="m6287,-73l6317,-73e" filled="false" stroked="true" strokeweight="1.5pt" strokecolor="#000000">
                <v:path arrowok="t"/>
              </v:shape>
            </v:group>
            <v:group style="position:absolute;left:6317;top:-73;width:2123;height:2" coordorigin="6317,-73" coordsize="2123,2">
              <v:shape style="position:absolute;left:6317;top:-73;width:2123;height:2" coordorigin="6317,-73" coordsize="2123,0" path="m6317,-73l8440,-73e" filled="false" stroked="true" strokeweight="1.5pt" strokecolor="#000000">
                <v:path arrowok="t"/>
              </v:shape>
              <v:shape style="position:absolute;left:2390;top:-1852;width:8228;height:1764" type="#_x0000_t75" stroked="false">
                <v:imagedata r:id="rId151" o:title=""/>
              </v:shape>
            </v:group>
            <v:group style="position:absolute;left:8440;top:-73;width:2158;height:2" coordorigin="8440,-73" coordsize="2158,2">
              <v:shape style="position:absolute;left:8440;top:-73;width:2158;height:2" coordorigin="8440,-73" coordsize="2158,0" path="m8440,-73l10597,-73e" filled="false" stroked="true" strokeweight="1.5pt" strokecolor="#000000">
                <v:path arrowok="t"/>
              </v:shape>
            </v:group>
            <w10:wrap type="none"/>
          </v:group>
        </w:pict>
      </w:r>
      <w:r>
        <w:rPr/>
        <w:t>说明：专项支出系本公司为政府补助项目所发生的支出，依照项目预期结转日期分 别在资产负债表中的“其他流动资产”项目及“其他非流动资产”项目列示。</w:t>
      </w:r>
    </w:p>
    <w:p>
      <w:pPr>
        <w:spacing w:line="240" w:lineRule="auto" w:before="0"/>
        <w:rPr>
          <w:rFonts w:ascii="宋体" w:hAnsi="宋体" w:cs="宋体" w:eastAsia="宋体" w:hint="default"/>
          <w:sz w:val="20"/>
          <w:szCs w:val="20"/>
        </w:rPr>
      </w:pPr>
    </w:p>
    <w:p>
      <w:pPr>
        <w:pStyle w:val="Heading5"/>
        <w:tabs>
          <w:tab w:pos="851" w:val="left" w:leader="none"/>
        </w:tabs>
        <w:spacing w:line="240" w:lineRule="auto" w:before="166"/>
        <w:ind w:right="3681"/>
        <w:jc w:val="left"/>
        <w:rPr>
          <w:b w:val="0"/>
          <w:bCs w:val="0"/>
        </w:rPr>
      </w:pPr>
      <w:r>
        <w:rPr>
          <w:rFonts w:ascii="Times New Roman" w:hAnsi="Times New Roman" w:cs="Times New Roman" w:eastAsia="Times New Roman" w:hint="default"/>
          <w:w w:val="95"/>
        </w:rPr>
        <w:t>(</w:t>
      </w:r>
      <w:r>
        <w:rPr>
          <w:w w:val="95"/>
        </w:rPr>
        <w:t>八</w:t>
      </w:r>
      <w:r>
        <w:rPr>
          <w:rFonts w:ascii="Times New Roman" w:hAnsi="Times New Roman" w:cs="Times New Roman" w:eastAsia="Times New Roman" w:hint="default"/>
          <w:w w:val="95"/>
        </w:rPr>
        <w:t>)</w:t>
        <w:tab/>
      </w:r>
      <w:r>
        <w:rPr/>
        <w:t>可供出售金融资产</w:t>
      </w:r>
      <w:r>
        <w:rPr>
          <w:b w:val="0"/>
          <w:bCs w:val="0"/>
        </w:rPr>
      </w:r>
    </w:p>
    <w:p>
      <w:pPr>
        <w:pStyle w:val="Heading5"/>
        <w:tabs>
          <w:tab w:pos="1397" w:val="left" w:leader="none"/>
        </w:tabs>
        <w:spacing w:line="240" w:lineRule="auto" w:before="110"/>
        <w:ind w:left="846" w:right="3681"/>
        <w:jc w:val="left"/>
        <w:rPr>
          <w:b w:val="0"/>
          <w:bCs w:val="0"/>
        </w:rPr>
      </w:pPr>
      <w:r>
        <w:rPr/>
        <w:pict>
          <v:group style="position:absolute;margin-left:119.010002pt;margin-top:40.803516pt;width:411.7pt;height:182.25pt;mso-position-horizontal-relative:page;mso-position-vertical-relative:paragraph;z-index:-1392976" coordorigin="2380,816" coordsize="8234,3645">
            <v:group style="position:absolute;left:2410;top:831;width:808;height:2" coordorigin="2410,831" coordsize="808,2">
              <v:shape style="position:absolute;left:2410;top:831;width:808;height:2" coordorigin="2410,831" coordsize="808,0" path="m2410,831l3217,831e" filled="false" stroked="true" strokeweight="1.5pt" strokecolor="#000000">
                <v:path arrowok="t"/>
              </v:shape>
              <v:shape style="position:absolute;left:3217;top:846;width:10;height:28" type="#_x0000_t75" stroked="false">
                <v:imagedata r:id="rId64" o:title=""/>
              </v:shape>
            </v:group>
            <v:group style="position:absolute;left:3217;top:831;width:3568;height:2" coordorigin="3217,831" coordsize="3568,2">
              <v:shape style="position:absolute;left:3217;top:831;width:3568;height:2" coordorigin="3217,831" coordsize="3568,0" path="m3217,831l6785,831e" filled="false" stroked="true" strokeweight="1.5pt" strokecolor="#000000">
                <v:path arrowok="t"/>
              </v:shape>
              <v:shape style="position:absolute;left:6785;top:846;width:10;height:28" type="#_x0000_t75" stroked="false">
                <v:imagedata r:id="rId64" o:title=""/>
              </v:shape>
            </v:group>
            <v:group style="position:absolute;left:6785;top:831;width:3813;height:2" coordorigin="6785,831" coordsize="3813,2">
              <v:shape style="position:absolute;left:6785;top:831;width:3813;height:2" coordorigin="6785,831" coordsize="3813,0" path="m6785,831l10597,831e" filled="false" stroked="true" strokeweight="1.5pt" strokecolor="#000000">
                <v:path arrowok="t"/>
              </v:shape>
              <v:shape style="position:absolute;left:3198;top:854;width:3616;height:350" type="#_x0000_t75" stroked="false">
                <v:imagedata r:id="rId152" o:title=""/>
              </v:shape>
              <v:shape style="position:absolute;left:3204;top:1173;width:7409;height:375" type="#_x0000_t75" stroked="false">
                <v:imagedata r:id="rId153" o:title=""/>
              </v:shape>
            </v:group>
            <v:group style="position:absolute;left:2395;top:4445;width:822;height:2" coordorigin="2395,4445" coordsize="822,2">
              <v:shape style="position:absolute;left:2395;top:4445;width:822;height:2" coordorigin="2395,4445" coordsize="822,0" path="m2395,4445l3217,4445e" filled="false" stroked="true" strokeweight="1.5pt" strokecolor="#000000">
                <v:path arrowok="t"/>
              </v:shape>
            </v:group>
            <v:group style="position:absolute;left:3217;top:4445;width:1216;height:2" coordorigin="3217,4445" coordsize="1216,2">
              <v:shape style="position:absolute;left:3217;top:4445;width:1216;height:2" coordorigin="3217,4445" coordsize="1216,0" path="m3217,4445l4433,4445e" filled="false" stroked="true" strokeweight="1.5pt" strokecolor="#000000">
                <v:path arrowok="t"/>
              </v:shape>
            </v:group>
            <v:group style="position:absolute;left:4433;top:4445;width:1137;height:2" coordorigin="4433,4445" coordsize="1137,2">
              <v:shape style="position:absolute;left:4433;top:4445;width:1137;height:2" coordorigin="4433,4445" coordsize="1137,0" path="m4433,4445l5569,4445e" filled="false" stroked="true" strokeweight="1.5pt" strokecolor="#000000">
                <v:path arrowok="t"/>
              </v:shape>
            </v:group>
            <v:group style="position:absolute;left:5569;top:4445;width:1216;height:2" coordorigin="5569,4445" coordsize="1216,2">
              <v:shape style="position:absolute;left:5569;top:4445;width:1216;height:2" coordorigin="5569,4445" coordsize="1216,0" path="m5569,4445l6785,4445e" filled="false" stroked="true" strokeweight="1.5pt" strokecolor="#000000">
                <v:path arrowok="t"/>
              </v:shape>
            </v:group>
            <v:group style="position:absolute;left:6785;top:4445;width:1336;height:2" coordorigin="6785,4445" coordsize="1336,2">
              <v:shape style="position:absolute;left:6785;top:4445;width:1336;height:2" coordorigin="6785,4445" coordsize="1336,0" path="m6785,4445l8120,4445e" filled="false" stroked="true" strokeweight="1.5pt" strokecolor="#000000">
                <v:path arrowok="t"/>
              </v:shape>
            </v:group>
            <v:group style="position:absolute;left:8120;top:4445;width:1137;height:2" coordorigin="8120,4445" coordsize="1137,2">
              <v:shape style="position:absolute;left:8120;top:4445;width:1137;height:2" coordorigin="8120,4445" coordsize="1137,0" path="m8120,4445l9257,4445e" filled="false" stroked="true" strokeweight="1.5pt" strokecolor="#000000">
                <v:path arrowok="t"/>
              </v:shape>
              <v:shape style="position:absolute;left:2397;top:1522;width:8217;height:2908" type="#_x0000_t75" stroked="false">
                <v:imagedata r:id="rId154" o:title=""/>
              </v:shape>
            </v:group>
            <v:group style="position:absolute;left:9257;top:4445;width:1341;height:2" coordorigin="9257,4445" coordsize="1341,2">
              <v:shape style="position:absolute;left:9257;top:4445;width:1341;height:2" coordorigin="9257,4445" coordsize="1341,0" path="m9257,4445l10597,4445e" filled="false" stroked="true" strokeweight="1.5pt" strokecolor="#000000">
                <v:path arrowok="t"/>
              </v:shape>
              <v:shape style="position:absolute;left:4685;top:935;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8374;top:935;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年初余额</w:t>
                      </w:r>
                      <w:r>
                        <w:rPr>
                          <w:rFonts w:ascii="宋体" w:hAnsi="宋体" w:cs="宋体" w:eastAsia="宋体" w:hint="default"/>
                          <w:sz w:val="16"/>
                          <w:szCs w:val="16"/>
                        </w:rPr>
                      </w:r>
                    </w:p>
                  </w:txbxContent>
                </v:textbox>
                <w10:wrap type="none"/>
              </v:shape>
              <v:shape style="position:absolute;left:2656;top:1109;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项目</w:t>
                      </w:r>
                      <w:r>
                        <w:rPr>
                          <w:rFonts w:ascii="宋体" w:hAnsi="宋体" w:cs="宋体" w:eastAsia="宋体" w:hint="default"/>
                          <w:sz w:val="16"/>
                          <w:szCs w:val="16"/>
                        </w:rPr>
                      </w:r>
                    </w:p>
                  </w:txbxContent>
                </v:textbox>
                <w10:wrap type="none"/>
              </v:shape>
              <v:shape style="position:absolute;left:3509;top:1284;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账面余额</w:t>
                      </w:r>
                      <w:r>
                        <w:rPr>
                          <w:rFonts w:ascii="宋体" w:hAnsi="宋体" w:cs="宋体" w:eastAsia="宋体" w:hint="default"/>
                          <w:sz w:val="16"/>
                          <w:szCs w:val="16"/>
                        </w:rPr>
                      </w:r>
                    </w:p>
                  </w:txbxContent>
                </v:textbox>
                <w10:wrap type="none"/>
              </v:shape>
              <v:shape style="position:absolute;left:4686;top:1284;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减值准备</w:t>
                      </w:r>
                      <w:r>
                        <w:rPr>
                          <w:rFonts w:ascii="宋体" w:hAnsi="宋体" w:cs="宋体" w:eastAsia="宋体" w:hint="default"/>
                          <w:sz w:val="16"/>
                          <w:szCs w:val="16"/>
                        </w:rPr>
                      </w:r>
                    </w:p>
                  </w:txbxContent>
                </v:textbox>
                <w10:wrap type="none"/>
              </v:shape>
              <v:shape style="position:absolute;left:5861;top:1284;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账面价值</w:t>
                      </w:r>
                      <w:r>
                        <w:rPr>
                          <w:rFonts w:ascii="宋体" w:hAnsi="宋体" w:cs="宋体" w:eastAsia="宋体" w:hint="default"/>
                          <w:sz w:val="16"/>
                          <w:szCs w:val="16"/>
                        </w:rPr>
                      </w:r>
                    </w:p>
                  </w:txbxContent>
                </v:textbox>
                <w10:wrap type="none"/>
              </v:shape>
              <v:shape style="position:absolute;left:7138;top:1284;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账面余额</w:t>
                      </w:r>
                      <w:r>
                        <w:rPr>
                          <w:rFonts w:ascii="宋体" w:hAnsi="宋体" w:cs="宋体" w:eastAsia="宋体" w:hint="default"/>
                          <w:sz w:val="16"/>
                          <w:szCs w:val="16"/>
                        </w:rPr>
                      </w:r>
                    </w:p>
                  </w:txbxContent>
                </v:textbox>
                <w10:wrap type="none"/>
              </v:shape>
              <v:shape style="position:absolute;left:8374;top:1284;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减值准备</w:t>
                      </w:r>
                      <w:r>
                        <w:rPr>
                          <w:rFonts w:ascii="宋体" w:hAnsi="宋体" w:cs="宋体" w:eastAsia="宋体" w:hint="default"/>
                          <w:sz w:val="16"/>
                          <w:szCs w:val="16"/>
                        </w:rPr>
                      </w:r>
                    </w:p>
                  </w:txbxContent>
                </v:textbox>
                <w10:wrap type="none"/>
              </v:shape>
              <v:shape style="position:absolute;left:9608;top:1284;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账面价值</w:t>
                      </w:r>
                      <w:r>
                        <w:rPr>
                          <w:rFonts w:ascii="宋体" w:hAnsi="宋体" w:cs="宋体" w:eastAsia="宋体" w:hint="default"/>
                          <w:sz w:val="16"/>
                          <w:szCs w:val="16"/>
                        </w:rPr>
                      </w:r>
                    </w:p>
                  </w:txbxContent>
                </v:textbox>
                <w10:wrap type="none"/>
              </v:shape>
              <v:shape style="position:absolute;left:2518;top:1595;width:596;height:2745"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可供出</w:t>
                      </w:r>
                    </w:p>
                    <w:p>
                      <w:pPr>
                        <w:spacing w:before="0"/>
                        <w:ind w:left="0" w:right="114" w:firstLine="0"/>
                        <w:jc w:val="left"/>
                        <w:rPr>
                          <w:rFonts w:ascii="宋体" w:hAnsi="宋体" w:cs="宋体" w:eastAsia="宋体" w:hint="default"/>
                          <w:sz w:val="16"/>
                          <w:szCs w:val="16"/>
                        </w:rPr>
                      </w:pPr>
                      <w:r>
                        <w:rPr>
                          <w:rFonts w:ascii="宋体" w:hAnsi="宋体" w:cs="宋体" w:eastAsia="宋体" w:hint="default"/>
                          <w:sz w:val="16"/>
                          <w:szCs w:val="16"/>
                        </w:rPr>
                        <w:t>售债务</w:t>
                      </w:r>
                      <w:r>
                        <w:rPr>
                          <w:rFonts w:ascii="宋体" w:hAnsi="宋体" w:cs="宋体" w:eastAsia="宋体" w:hint="default"/>
                          <w:w w:val="99"/>
                          <w:sz w:val="16"/>
                          <w:szCs w:val="16"/>
                        </w:rPr>
                        <w:t> </w:t>
                      </w:r>
                      <w:r>
                        <w:rPr>
                          <w:rFonts w:ascii="宋体" w:hAnsi="宋体" w:cs="宋体" w:eastAsia="宋体" w:hint="default"/>
                          <w:sz w:val="16"/>
                          <w:szCs w:val="16"/>
                        </w:rPr>
                        <w:t>工具</w:t>
                      </w:r>
                    </w:p>
                    <w:p>
                      <w:pPr>
                        <w:spacing w:before="64"/>
                        <w:ind w:left="0" w:right="0" w:firstLine="0"/>
                        <w:jc w:val="left"/>
                        <w:rPr>
                          <w:rFonts w:ascii="宋体" w:hAnsi="宋体" w:cs="宋体" w:eastAsia="宋体" w:hint="default"/>
                          <w:sz w:val="16"/>
                          <w:szCs w:val="16"/>
                        </w:rPr>
                      </w:pPr>
                      <w:r>
                        <w:rPr>
                          <w:rFonts w:ascii="宋体" w:hAnsi="宋体" w:cs="宋体" w:eastAsia="宋体" w:hint="default"/>
                          <w:sz w:val="16"/>
                          <w:szCs w:val="16"/>
                        </w:rPr>
                        <w:t>可供出</w:t>
                      </w:r>
                      <w:r>
                        <w:rPr>
                          <w:rFonts w:ascii="宋体" w:hAnsi="宋体" w:cs="宋体" w:eastAsia="宋体" w:hint="default"/>
                          <w:w w:val="99"/>
                          <w:sz w:val="16"/>
                          <w:szCs w:val="16"/>
                        </w:rPr>
                        <w:t> </w:t>
                      </w:r>
                      <w:r>
                        <w:rPr>
                          <w:rFonts w:ascii="宋体" w:hAnsi="宋体" w:cs="宋体" w:eastAsia="宋体" w:hint="default"/>
                          <w:sz w:val="16"/>
                          <w:szCs w:val="16"/>
                        </w:rPr>
                        <w:t>售权益</w:t>
                      </w:r>
                      <w:r>
                        <w:rPr>
                          <w:rFonts w:ascii="宋体" w:hAnsi="宋体" w:cs="宋体" w:eastAsia="宋体" w:hint="default"/>
                          <w:w w:val="99"/>
                          <w:sz w:val="16"/>
                          <w:szCs w:val="16"/>
                        </w:rPr>
                        <w:t> </w:t>
                      </w:r>
                      <w:r>
                        <w:rPr>
                          <w:rFonts w:ascii="宋体" w:hAnsi="宋体" w:cs="宋体" w:eastAsia="宋体" w:hint="default"/>
                          <w:sz w:val="16"/>
                          <w:szCs w:val="16"/>
                        </w:rPr>
                        <w:t>工具</w:t>
                      </w:r>
                    </w:p>
                    <w:p>
                      <w:pPr>
                        <w:spacing w:before="64"/>
                        <w:ind w:left="0" w:right="0" w:firstLine="0"/>
                        <w:jc w:val="left"/>
                        <w:rPr>
                          <w:rFonts w:ascii="宋体" w:hAnsi="宋体" w:cs="宋体" w:eastAsia="宋体" w:hint="default"/>
                          <w:sz w:val="16"/>
                          <w:szCs w:val="16"/>
                        </w:rPr>
                      </w:pPr>
                      <w:r>
                        <w:rPr>
                          <w:rFonts w:ascii="宋体" w:hAnsi="宋体" w:cs="宋体" w:eastAsia="宋体" w:hint="default"/>
                          <w:spacing w:val="-12"/>
                          <w:sz w:val="16"/>
                          <w:szCs w:val="16"/>
                        </w:rPr>
                        <w:t>其中：按</w:t>
                      </w:r>
                      <w:r>
                        <w:rPr>
                          <w:rFonts w:ascii="宋体" w:hAnsi="宋体" w:cs="宋体" w:eastAsia="宋体" w:hint="default"/>
                          <w:spacing w:val="-78"/>
                          <w:sz w:val="16"/>
                          <w:szCs w:val="16"/>
                        </w:rPr>
                        <w:t> </w:t>
                      </w:r>
                      <w:r>
                        <w:rPr>
                          <w:rFonts w:ascii="宋体" w:hAnsi="宋体" w:cs="宋体" w:eastAsia="宋体" w:hint="default"/>
                          <w:spacing w:val="-78"/>
                          <w:sz w:val="16"/>
                          <w:szCs w:val="16"/>
                        </w:rPr>
                      </w:r>
                      <w:r>
                        <w:rPr>
                          <w:rFonts w:ascii="宋体" w:hAnsi="宋体" w:cs="宋体" w:eastAsia="宋体" w:hint="default"/>
                          <w:sz w:val="16"/>
                          <w:szCs w:val="16"/>
                        </w:rPr>
                        <w:t>公允价</w:t>
                      </w:r>
                      <w:r>
                        <w:rPr>
                          <w:rFonts w:ascii="宋体" w:hAnsi="宋体" w:cs="宋体" w:eastAsia="宋体" w:hint="default"/>
                          <w:w w:val="99"/>
                          <w:sz w:val="16"/>
                          <w:szCs w:val="16"/>
                        </w:rPr>
                        <w:t> </w:t>
                      </w:r>
                      <w:r>
                        <w:rPr>
                          <w:rFonts w:ascii="宋体" w:hAnsi="宋体" w:cs="宋体" w:eastAsia="宋体" w:hint="default"/>
                          <w:sz w:val="16"/>
                          <w:szCs w:val="16"/>
                        </w:rPr>
                        <w:t>值计量</w:t>
                      </w:r>
                    </w:p>
                    <w:p>
                      <w:pPr>
                        <w:spacing w:line="206" w:lineRule="exact" w:before="86"/>
                        <w:ind w:left="0" w:right="114" w:firstLine="0"/>
                        <w:jc w:val="left"/>
                        <w:rPr>
                          <w:rFonts w:ascii="宋体" w:hAnsi="宋体" w:cs="宋体" w:eastAsia="宋体" w:hint="default"/>
                          <w:sz w:val="16"/>
                          <w:szCs w:val="16"/>
                        </w:rPr>
                      </w:pPr>
                      <w:r>
                        <w:rPr>
                          <w:rFonts w:ascii="宋体" w:hAnsi="宋体" w:cs="宋体" w:eastAsia="宋体" w:hint="default"/>
                          <w:sz w:val="16"/>
                          <w:szCs w:val="16"/>
                        </w:rPr>
                        <w:t>按成本</w:t>
                      </w:r>
                      <w:r>
                        <w:rPr>
                          <w:rFonts w:ascii="宋体" w:hAnsi="宋体" w:cs="宋体" w:eastAsia="宋体" w:hint="default"/>
                          <w:w w:val="99"/>
                          <w:sz w:val="16"/>
                          <w:szCs w:val="16"/>
                        </w:rPr>
                        <w:t> </w:t>
                      </w:r>
                      <w:r>
                        <w:rPr>
                          <w:rFonts w:ascii="宋体" w:hAnsi="宋体" w:cs="宋体" w:eastAsia="宋体" w:hint="default"/>
                          <w:sz w:val="16"/>
                          <w:szCs w:val="16"/>
                        </w:rPr>
                        <w:t>计量</w:t>
                      </w:r>
                    </w:p>
                    <w:p>
                      <w:pPr>
                        <w:spacing w:before="84"/>
                        <w:ind w:left="0" w:right="0" w:firstLine="0"/>
                        <w:jc w:val="center"/>
                        <w:rPr>
                          <w:rFonts w:ascii="宋体" w:hAnsi="宋体" w:cs="宋体" w:eastAsia="宋体" w:hint="default"/>
                          <w:sz w:val="16"/>
                          <w:szCs w:val="16"/>
                        </w:rPr>
                      </w:pPr>
                      <w:r>
                        <w:rPr>
                          <w:rFonts w:ascii="宋体" w:hAnsi="宋体" w:cs="宋体" w:eastAsia="宋体" w:hint="default"/>
                          <w:sz w:val="16"/>
                          <w:szCs w:val="16"/>
                        </w:rPr>
                        <w:t>合计</w:t>
                      </w:r>
                    </w:p>
                  </w:txbxContent>
                </v:textbox>
                <w10:wrap type="none"/>
              </v:shape>
            </v:group>
            <w10:wrap type="none"/>
          </v:group>
        </w:pict>
      </w:r>
      <w:r>
        <w:rPr>
          <w:rFonts w:ascii="Times New Roman" w:hAnsi="Times New Roman" w:cs="Times New Roman" w:eastAsia="Times New Roman" w:hint="default"/>
          <w:w w:val="95"/>
        </w:rPr>
        <w:t>1</w:t>
      </w:r>
      <w:r>
        <w:rPr>
          <w:w w:val="95"/>
        </w:rPr>
        <w:t>、</w:t>
        <w:tab/>
      </w:r>
      <w:r>
        <w:rPr/>
        <w:t>可供出售金融资产情况</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8"/>
          <w:szCs w:val="28"/>
        </w:rPr>
      </w:pPr>
    </w:p>
    <w:tbl>
      <w:tblPr>
        <w:tblW w:w="0" w:type="auto"/>
        <w:jc w:val="left"/>
        <w:tblInd w:w="1633" w:type="dxa"/>
        <w:tblLayout w:type="fixed"/>
        <w:tblCellMar>
          <w:top w:w="0" w:type="dxa"/>
          <w:left w:w="0" w:type="dxa"/>
          <w:bottom w:w="0" w:type="dxa"/>
          <w:right w:w="0" w:type="dxa"/>
        </w:tblCellMar>
        <w:tblLook w:val="01E0"/>
      </w:tblPr>
      <w:tblGrid>
        <w:gridCol w:w="1144"/>
        <w:gridCol w:w="1136"/>
        <w:gridCol w:w="1216"/>
        <w:gridCol w:w="1336"/>
        <w:gridCol w:w="1136"/>
        <w:gridCol w:w="1298"/>
      </w:tblGrid>
      <w:tr>
        <w:trPr>
          <w:trHeight w:val="424" w:hRule="exact"/>
        </w:trPr>
        <w:tc>
          <w:tcPr>
            <w:tcW w:w="1144" w:type="dxa"/>
            <w:tcBorders>
              <w:top w:val="nil" w:sz="6" w:space="0" w:color="auto"/>
              <w:left w:val="nil" w:sz="6" w:space="0" w:color="auto"/>
              <w:bottom w:val="nil" w:sz="6" w:space="0" w:color="auto"/>
              <w:right w:val="nil" w:sz="6" w:space="0" w:color="auto"/>
            </w:tcBorders>
          </w:tcPr>
          <w:p>
            <w:pPr>
              <w:pStyle w:val="TableParagraph"/>
              <w:spacing w:line="163" w:lineRule="exact"/>
              <w:ind w:left="6" w:right="0"/>
              <w:jc w:val="center"/>
              <w:rPr>
                <w:rFonts w:ascii="Times New Roman" w:hAnsi="Times New Roman" w:cs="Times New Roman" w:eastAsia="Times New Roman" w:hint="default"/>
                <w:sz w:val="16"/>
                <w:szCs w:val="16"/>
              </w:rPr>
            </w:pPr>
            <w:r>
              <w:rPr>
                <w:rFonts w:ascii="Times New Roman"/>
                <w:sz w:val="16"/>
              </w:rPr>
              <w:t>28,081,425.01</w:t>
            </w:r>
          </w:p>
        </w:tc>
        <w:tc>
          <w:tcPr>
            <w:tcW w:w="1136" w:type="dxa"/>
            <w:tcBorders>
              <w:top w:val="nil" w:sz="6" w:space="0" w:color="auto"/>
              <w:left w:val="nil" w:sz="6" w:space="0" w:color="auto"/>
              <w:bottom w:val="nil" w:sz="6" w:space="0" w:color="auto"/>
              <w:right w:val="nil" w:sz="6" w:space="0" w:color="auto"/>
            </w:tcBorders>
          </w:tcPr>
          <w:p>
            <w:pPr/>
          </w:p>
        </w:tc>
        <w:tc>
          <w:tcPr>
            <w:tcW w:w="1216" w:type="dxa"/>
            <w:tcBorders>
              <w:top w:val="nil" w:sz="6" w:space="0" w:color="auto"/>
              <w:left w:val="nil" w:sz="6" w:space="0" w:color="auto"/>
              <w:bottom w:val="nil" w:sz="6" w:space="0" w:color="auto"/>
              <w:right w:val="nil" w:sz="6" w:space="0" w:color="auto"/>
            </w:tcBorders>
          </w:tcPr>
          <w:p>
            <w:pPr>
              <w:pStyle w:val="TableParagraph"/>
              <w:spacing w:line="163" w:lineRule="exact"/>
              <w:ind w:left="77" w:right="0"/>
              <w:jc w:val="center"/>
              <w:rPr>
                <w:rFonts w:ascii="Times New Roman" w:hAnsi="Times New Roman" w:cs="Times New Roman" w:eastAsia="Times New Roman" w:hint="default"/>
                <w:sz w:val="16"/>
                <w:szCs w:val="16"/>
              </w:rPr>
            </w:pPr>
            <w:r>
              <w:rPr>
                <w:rFonts w:ascii="Times New Roman"/>
                <w:sz w:val="16"/>
              </w:rPr>
              <w:t>28,081,425.01</w:t>
            </w:r>
          </w:p>
        </w:tc>
        <w:tc>
          <w:tcPr>
            <w:tcW w:w="1336" w:type="dxa"/>
            <w:tcBorders>
              <w:top w:val="nil" w:sz="6" w:space="0" w:color="auto"/>
              <w:left w:val="nil" w:sz="6" w:space="0" w:color="auto"/>
              <w:bottom w:val="nil" w:sz="6" w:space="0" w:color="auto"/>
              <w:right w:val="nil" w:sz="6" w:space="0" w:color="auto"/>
            </w:tcBorders>
          </w:tcPr>
          <w:p>
            <w:pPr>
              <w:pStyle w:val="TableParagraph"/>
              <w:spacing w:line="163" w:lineRule="exact"/>
              <w:ind w:right="105"/>
              <w:jc w:val="right"/>
              <w:rPr>
                <w:rFonts w:ascii="Times New Roman" w:hAnsi="Times New Roman" w:cs="Times New Roman" w:eastAsia="Times New Roman" w:hint="default"/>
                <w:sz w:val="16"/>
                <w:szCs w:val="16"/>
              </w:rPr>
            </w:pPr>
            <w:r>
              <w:rPr>
                <w:rFonts w:ascii="Times New Roman"/>
                <w:spacing w:val="-1"/>
                <w:sz w:val="16"/>
              </w:rPr>
              <w:t>27,612,074.15</w:t>
            </w:r>
          </w:p>
        </w:tc>
        <w:tc>
          <w:tcPr>
            <w:tcW w:w="1136" w:type="dxa"/>
            <w:tcBorders>
              <w:top w:val="nil" w:sz="6" w:space="0" w:color="auto"/>
              <w:left w:val="nil" w:sz="6" w:space="0" w:color="auto"/>
              <w:bottom w:val="nil" w:sz="6" w:space="0" w:color="auto"/>
              <w:right w:val="nil" w:sz="6" w:space="0" w:color="auto"/>
            </w:tcBorders>
          </w:tcPr>
          <w:p>
            <w:pPr/>
          </w:p>
        </w:tc>
        <w:tc>
          <w:tcPr>
            <w:tcW w:w="1298" w:type="dxa"/>
            <w:tcBorders>
              <w:top w:val="nil" w:sz="6" w:space="0" w:color="auto"/>
              <w:left w:val="nil" w:sz="6" w:space="0" w:color="auto"/>
              <w:bottom w:val="nil" w:sz="6" w:space="0" w:color="auto"/>
              <w:right w:val="nil" w:sz="6" w:space="0" w:color="auto"/>
            </w:tcBorders>
          </w:tcPr>
          <w:p>
            <w:pPr>
              <w:pStyle w:val="TableParagraph"/>
              <w:spacing w:line="163" w:lineRule="exact"/>
              <w:ind w:right="68"/>
              <w:jc w:val="right"/>
              <w:rPr>
                <w:rFonts w:ascii="Times New Roman" w:hAnsi="Times New Roman" w:cs="Times New Roman" w:eastAsia="Times New Roman" w:hint="default"/>
                <w:sz w:val="16"/>
                <w:szCs w:val="16"/>
              </w:rPr>
            </w:pPr>
            <w:r>
              <w:rPr>
                <w:rFonts w:ascii="Times New Roman"/>
                <w:spacing w:val="-1"/>
                <w:sz w:val="16"/>
              </w:rPr>
              <w:t>27,612,074.15</w:t>
            </w:r>
          </w:p>
        </w:tc>
      </w:tr>
      <w:tr>
        <w:trPr>
          <w:trHeight w:val="689" w:hRule="exact"/>
        </w:trPr>
        <w:tc>
          <w:tcPr>
            <w:tcW w:w="114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8"/>
                <w:szCs w:val="18"/>
              </w:rPr>
            </w:pPr>
          </w:p>
          <w:p>
            <w:pPr>
              <w:pStyle w:val="TableParagraph"/>
              <w:spacing w:line="240" w:lineRule="auto"/>
              <w:ind w:right="71"/>
              <w:jc w:val="center"/>
              <w:rPr>
                <w:rFonts w:ascii="Times New Roman" w:hAnsi="Times New Roman" w:cs="Times New Roman" w:eastAsia="Times New Roman" w:hint="default"/>
                <w:sz w:val="16"/>
                <w:szCs w:val="16"/>
              </w:rPr>
            </w:pPr>
            <w:r>
              <w:rPr>
                <w:rFonts w:ascii="Times New Roman"/>
                <w:sz w:val="16"/>
              </w:rPr>
              <w:t>402,719,671.40</w:t>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8"/>
                <w:szCs w:val="18"/>
              </w:rPr>
            </w:pPr>
          </w:p>
          <w:p>
            <w:pPr>
              <w:pStyle w:val="TableParagraph"/>
              <w:spacing w:line="240" w:lineRule="auto"/>
              <w:ind w:left="1" w:right="0"/>
              <w:jc w:val="center"/>
              <w:rPr>
                <w:rFonts w:ascii="Times New Roman" w:hAnsi="Times New Roman" w:cs="Times New Roman" w:eastAsia="Times New Roman" w:hint="default"/>
                <w:sz w:val="16"/>
                <w:szCs w:val="16"/>
              </w:rPr>
            </w:pPr>
            <w:r>
              <w:rPr>
                <w:rFonts w:ascii="Times New Roman"/>
                <w:sz w:val="16"/>
              </w:rPr>
              <w:t>59,297,879.99</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8"/>
                <w:szCs w:val="18"/>
              </w:rPr>
            </w:pPr>
          </w:p>
          <w:p>
            <w:pPr>
              <w:pStyle w:val="TableParagraph"/>
              <w:spacing w:line="240" w:lineRule="auto"/>
              <w:ind w:right="1"/>
              <w:jc w:val="center"/>
              <w:rPr>
                <w:rFonts w:ascii="Times New Roman" w:hAnsi="Times New Roman" w:cs="Times New Roman" w:eastAsia="Times New Roman" w:hint="default"/>
                <w:sz w:val="16"/>
                <w:szCs w:val="16"/>
              </w:rPr>
            </w:pPr>
            <w:r>
              <w:rPr>
                <w:rFonts w:ascii="Times New Roman"/>
                <w:sz w:val="16"/>
              </w:rPr>
              <w:t>343,421,791.41</w:t>
            </w:r>
          </w:p>
        </w:tc>
        <w:tc>
          <w:tcPr>
            <w:tcW w:w="133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8"/>
                <w:szCs w:val="18"/>
              </w:rPr>
            </w:pPr>
          </w:p>
          <w:p>
            <w:pPr>
              <w:pStyle w:val="TableParagraph"/>
              <w:spacing w:line="240" w:lineRule="auto"/>
              <w:ind w:right="107"/>
              <w:jc w:val="right"/>
              <w:rPr>
                <w:rFonts w:ascii="Times New Roman" w:hAnsi="Times New Roman" w:cs="Times New Roman" w:eastAsia="Times New Roman" w:hint="default"/>
                <w:sz w:val="16"/>
                <w:szCs w:val="16"/>
              </w:rPr>
            </w:pPr>
            <w:r>
              <w:rPr>
                <w:rFonts w:ascii="Times New Roman"/>
                <w:spacing w:val="-1"/>
                <w:sz w:val="16"/>
              </w:rPr>
              <w:t>1,897,607,836.53</w:t>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8"/>
                <w:szCs w:val="18"/>
              </w:rPr>
            </w:pPr>
          </w:p>
          <w:p>
            <w:pPr>
              <w:pStyle w:val="TableParagraph"/>
              <w:spacing w:line="240" w:lineRule="auto"/>
              <w:ind w:left="107" w:right="0"/>
              <w:jc w:val="left"/>
              <w:rPr>
                <w:rFonts w:ascii="Times New Roman" w:hAnsi="Times New Roman" w:cs="Times New Roman" w:eastAsia="Times New Roman" w:hint="default"/>
                <w:sz w:val="16"/>
                <w:szCs w:val="16"/>
              </w:rPr>
            </w:pPr>
            <w:r>
              <w:rPr>
                <w:rFonts w:ascii="Times New Roman"/>
                <w:sz w:val="16"/>
              </w:rPr>
              <w:t>59,297,879.99</w:t>
            </w:r>
          </w:p>
        </w:tc>
        <w:tc>
          <w:tcPr>
            <w:tcW w:w="129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8"/>
                <w:szCs w:val="18"/>
              </w:rPr>
            </w:pPr>
          </w:p>
          <w:p>
            <w:pPr>
              <w:pStyle w:val="TableParagraph"/>
              <w:spacing w:line="240" w:lineRule="auto"/>
              <w:ind w:right="68"/>
              <w:jc w:val="right"/>
              <w:rPr>
                <w:rFonts w:ascii="Times New Roman" w:hAnsi="Times New Roman" w:cs="Times New Roman" w:eastAsia="Times New Roman" w:hint="default"/>
                <w:sz w:val="16"/>
                <w:szCs w:val="16"/>
              </w:rPr>
            </w:pPr>
            <w:r>
              <w:rPr>
                <w:rFonts w:ascii="Times New Roman"/>
                <w:spacing w:val="-1"/>
                <w:sz w:val="16"/>
              </w:rPr>
              <w:t>1,838,309,956.54</w:t>
            </w:r>
          </w:p>
        </w:tc>
      </w:tr>
      <w:tr>
        <w:trPr>
          <w:trHeight w:val="637" w:hRule="exact"/>
        </w:trPr>
        <w:tc>
          <w:tcPr>
            <w:tcW w:w="114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8"/>
                <w:szCs w:val="18"/>
              </w:rPr>
            </w:pPr>
          </w:p>
          <w:p>
            <w:pPr>
              <w:pStyle w:val="TableParagraph"/>
              <w:spacing w:line="240" w:lineRule="auto"/>
              <w:ind w:right="71"/>
              <w:jc w:val="center"/>
              <w:rPr>
                <w:rFonts w:ascii="Times New Roman" w:hAnsi="Times New Roman" w:cs="Times New Roman" w:eastAsia="Times New Roman" w:hint="default"/>
                <w:sz w:val="16"/>
                <w:szCs w:val="16"/>
              </w:rPr>
            </w:pPr>
            <w:r>
              <w:rPr>
                <w:rFonts w:ascii="Times New Roman"/>
                <w:sz w:val="16"/>
              </w:rPr>
              <w:t>200,988,285.41</w:t>
            </w:r>
          </w:p>
        </w:tc>
        <w:tc>
          <w:tcPr>
            <w:tcW w:w="1136" w:type="dxa"/>
            <w:tcBorders>
              <w:top w:val="nil" w:sz="6" w:space="0" w:color="auto"/>
              <w:left w:val="nil" w:sz="6" w:space="0" w:color="auto"/>
              <w:bottom w:val="nil" w:sz="6" w:space="0" w:color="auto"/>
              <w:right w:val="nil" w:sz="6" w:space="0" w:color="auto"/>
            </w:tcBorders>
          </w:tcPr>
          <w:p>
            <w:pP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8"/>
                <w:szCs w:val="18"/>
              </w:rPr>
            </w:pPr>
          </w:p>
          <w:p>
            <w:pPr>
              <w:pStyle w:val="TableParagraph"/>
              <w:spacing w:line="240" w:lineRule="auto"/>
              <w:ind w:right="1"/>
              <w:jc w:val="center"/>
              <w:rPr>
                <w:rFonts w:ascii="Times New Roman" w:hAnsi="Times New Roman" w:cs="Times New Roman" w:eastAsia="Times New Roman" w:hint="default"/>
                <w:sz w:val="16"/>
                <w:szCs w:val="16"/>
              </w:rPr>
            </w:pPr>
            <w:r>
              <w:rPr>
                <w:rFonts w:ascii="Times New Roman"/>
                <w:sz w:val="16"/>
              </w:rPr>
              <w:t>200,988,285.41</w:t>
            </w:r>
          </w:p>
        </w:tc>
        <w:tc>
          <w:tcPr>
            <w:tcW w:w="133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8"/>
                <w:szCs w:val="18"/>
              </w:rPr>
            </w:pPr>
          </w:p>
          <w:p>
            <w:pPr>
              <w:pStyle w:val="TableParagraph"/>
              <w:spacing w:line="240" w:lineRule="auto"/>
              <w:ind w:right="106"/>
              <w:jc w:val="right"/>
              <w:rPr>
                <w:rFonts w:ascii="Times New Roman" w:hAnsi="Times New Roman" w:cs="Times New Roman" w:eastAsia="Times New Roman" w:hint="default"/>
                <w:sz w:val="16"/>
                <w:szCs w:val="16"/>
              </w:rPr>
            </w:pPr>
            <w:r>
              <w:rPr>
                <w:rFonts w:ascii="Times New Roman"/>
                <w:spacing w:val="-1"/>
                <w:sz w:val="16"/>
              </w:rPr>
              <w:t>1,695,876,450.54</w:t>
            </w:r>
          </w:p>
        </w:tc>
        <w:tc>
          <w:tcPr>
            <w:tcW w:w="1136" w:type="dxa"/>
            <w:tcBorders>
              <w:top w:val="nil" w:sz="6" w:space="0" w:color="auto"/>
              <w:left w:val="nil" w:sz="6" w:space="0" w:color="auto"/>
              <w:bottom w:val="nil" w:sz="6" w:space="0" w:color="auto"/>
              <w:right w:val="nil" w:sz="6" w:space="0" w:color="auto"/>
            </w:tcBorders>
          </w:tcPr>
          <w:p>
            <w:pPr/>
          </w:p>
        </w:tc>
        <w:tc>
          <w:tcPr>
            <w:tcW w:w="129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8"/>
                <w:szCs w:val="18"/>
              </w:rPr>
            </w:pPr>
          </w:p>
          <w:p>
            <w:pPr>
              <w:pStyle w:val="TableParagraph"/>
              <w:spacing w:line="240" w:lineRule="auto"/>
              <w:ind w:right="68"/>
              <w:jc w:val="right"/>
              <w:rPr>
                <w:rFonts w:ascii="Times New Roman" w:hAnsi="Times New Roman" w:cs="Times New Roman" w:eastAsia="Times New Roman" w:hint="default"/>
                <w:sz w:val="16"/>
                <w:szCs w:val="16"/>
              </w:rPr>
            </w:pPr>
            <w:r>
              <w:rPr>
                <w:rFonts w:ascii="Times New Roman"/>
                <w:spacing w:val="-1"/>
                <w:sz w:val="16"/>
              </w:rPr>
              <w:t>1,695,876,450.54</w:t>
            </w:r>
          </w:p>
        </w:tc>
      </w:tr>
      <w:tr>
        <w:trPr>
          <w:trHeight w:val="500" w:hRule="exact"/>
        </w:trPr>
        <w:tc>
          <w:tcPr>
            <w:tcW w:w="114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71"/>
              <w:jc w:val="center"/>
              <w:rPr>
                <w:rFonts w:ascii="Times New Roman" w:hAnsi="Times New Roman" w:cs="Times New Roman" w:eastAsia="Times New Roman" w:hint="default"/>
                <w:sz w:val="16"/>
                <w:szCs w:val="16"/>
              </w:rPr>
            </w:pPr>
            <w:r>
              <w:rPr>
                <w:rFonts w:ascii="Times New Roman"/>
                <w:sz w:val="16"/>
              </w:rPr>
              <w:t>201,731,385.99</w:t>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left="1" w:right="0"/>
              <w:jc w:val="center"/>
              <w:rPr>
                <w:rFonts w:ascii="Times New Roman" w:hAnsi="Times New Roman" w:cs="Times New Roman" w:eastAsia="Times New Roman" w:hint="default"/>
                <w:sz w:val="16"/>
                <w:szCs w:val="16"/>
              </w:rPr>
            </w:pPr>
            <w:r>
              <w:rPr>
                <w:rFonts w:ascii="Times New Roman"/>
                <w:sz w:val="16"/>
              </w:rPr>
              <w:t>59,297,879.99</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1"/>
              <w:jc w:val="center"/>
              <w:rPr>
                <w:rFonts w:ascii="Times New Roman" w:hAnsi="Times New Roman" w:cs="Times New Roman" w:eastAsia="Times New Roman" w:hint="default"/>
                <w:sz w:val="16"/>
                <w:szCs w:val="16"/>
              </w:rPr>
            </w:pPr>
            <w:r>
              <w:rPr>
                <w:rFonts w:ascii="Times New Roman"/>
                <w:sz w:val="16"/>
              </w:rPr>
              <w:t>142,433,506.00</w:t>
            </w:r>
          </w:p>
        </w:tc>
        <w:tc>
          <w:tcPr>
            <w:tcW w:w="133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107"/>
              <w:jc w:val="right"/>
              <w:rPr>
                <w:rFonts w:ascii="Times New Roman" w:hAnsi="Times New Roman" w:cs="Times New Roman" w:eastAsia="Times New Roman" w:hint="default"/>
                <w:sz w:val="16"/>
                <w:szCs w:val="16"/>
              </w:rPr>
            </w:pPr>
            <w:r>
              <w:rPr>
                <w:rFonts w:ascii="Times New Roman"/>
                <w:spacing w:val="-1"/>
                <w:sz w:val="16"/>
              </w:rPr>
              <w:t>201,731,385.99</w:t>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left="107" w:right="0"/>
              <w:jc w:val="left"/>
              <w:rPr>
                <w:rFonts w:ascii="Times New Roman" w:hAnsi="Times New Roman" w:cs="Times New Roman" w:eastAsia="Times New Roman" w:hint="default"/>
                <w:sz w:val="16"/>
                <w:szCs w:val="16"/>
              </w:rPr>
            </w:pPr>
            <w:r>
              <w:rPr>
                <w:rFonts w:ascii="Times New Roman"/>
                <w:sz w:val="16"/>
              </w:rPr>
              <w:t>59,297,879.99</w:t>
            </w:r>
          </w:p>
        </w:tc>
        <w:tc>
          <w:tcPr>
            <w:tcW w:w="129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68"/>
              <w:jc w:val="right"/>
              <w:rPr>
                <w:rFonts w:ascii="Times New Roman" w:hAnsi="Times New Roman" w:cs="Times New Roman" w:eastAsia="Times New Roman" w:hint="default"/>
                <w:sz w:val="16"/>
                <w:szCs w:val="16"/>
              </w:rPr>
            </w:pPr>
            <w:r>
              <w:rPr>
                <w:rFonts w:ascii="Times New Roman"/>
                <w:spacing w:val="-1"/>
                <w:sz w:val="16"/>
              </w:rPr>
              <w:t>142,433,506.00</w:t>
            </w:r>
          </w:p>
        </w:tc>
      </w:tr>
      <w:tr>
        <w:trPr>
          <w:trHeight w:val="380" w:hRule="exact"/>
        </w:trPr>
        <w:tc>
          <w:tcPr>
            <w:tcW w:w="1144"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71"/>
              <w:jc w:val="center"/>
              <w:rPr>
                <w:rFonts w:ascii="Times New Roman" w:hAnsi="Times New Roman" w:cs="Times New Roman" w:eastAsia="Times New Roman" w:hint="default"/>
                <w:sz w:val="16"/>
                <w:szCs w:val="16"/>
              </w:rPr>
            </w:pPr>
            <w:r>
              <w:rPr>
                <w:rFonts w:ascii="Times New Roman"/>
                <w:sz w:val="16"/>
              </w:rPr>
              <w:t>430,801,096.41</w:t>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 w:right="0"/>
              <w:jc w:val="center"/>
              <w:rPr>
                <w:rFonts w:ascii="Times New Roman" w:hAnsi="Times New Roman" w:cs="Times New Roman" w:eastAsia="Times New Roman" w:hint="default"/>
                <w:sz w:val="16"/>
                <w:szCs w:val="16"/>
              </w:rPr>
            </w:pPr>
            <w:r>
              <w:rPr>
                <w:rFonts w:ascii="Times New Roman"/>
                <w:sz w:val="16"/>
              </w:rPr>
              <w:t>59,297,879.99</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
              <w:jc w:val="center"/>
              <w:rPr>
                <w:rFonts w:ascii="Times New Roman" w:hAnsi="Times New Roman" w:cs="Times New Roman" w:eastAsia="Times New Roman" w:hint="default"/>
                <w:sz w:val="16"/>
                <w:szCs w:val="16"/>
              </w:rPr>
            </w:pPr>
            <w:r>
              <w:rPr>
                <w:rFonts w:ascii="Times New Roman"/>
                <w:sz w:val="16"/>
              </w:rPr>
              <w:t>371,503,216.42</w:t>
            </w:r>
          </w:p>
        </w:tc>
        <w:tc>
          <w:tcPr>
            <w:tcW w:w="1336"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7"/>
              <w:jc w:val="right"/>
              <w:rPr>
                <w:rFonts w:ascii="Times New Roman" w:hAnsi="Times New Roman" w:cs="Times New Roman" w:eastAsia="Times New Roman" w:hint="default"/>
                <w:sz w:val="16"/>
                <w:szCs w:val="16"/>
              </w:rPr>
            </w:pPr>
            <w:r>
              <w:rPr>
                <w:rFonts w:ascii="Times New Roman"/>
                <w:spacing w:val="-1"/>
                <w:sz w:val="16"/>
              </w:rPr>
              <w:t>1,925,219,910.68</w:t>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07" w:right="0"/>
              <w:jc w:val="left"/>
              <w:rPr>
                <w:rFonts w:ascii="Times New Roman" w:hAnsi="Times New Roman" w:cs="Times New Roman" w:eastAsia="Times New Roman" w:hint="default"/>
                <w:sz w:val="16"/>
                <w:szCs w:val="16"/>
              </w:rPr>
            </w:pPr>
            <w:r>
              <w:rPr>
                <w:rFonts w:ascii="Times New Roman"/>
                <w:sz w:val="16"/>
              </w:rPr>
              <w:t>59,297,879.99</w:t>
            </w:r>
          </w:p>
        </w:tc>
        <w:tc>
          <w:tcPr>
            <w:tcW w:w="1298"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68"/>
              <w:jc w:val="right"/>
              <w:rPr>
                <w:rFonts w:ascii="Times New Roman" w:hAnsi="Times New Roman" w:cs="Times New Roman" w:eastAsia="Times New Roman" w:hint="default"/>
                <w:sz w:val="16"/>
                <w:szCs w:val="16"/>
              </w:rPr>
            </w:pPr>
            <w:r>
              <w:rPr>
                <w:rFonts w:ascii="Times New Roman"/>
                <w:spacing w:val="-1"/>
                <w:sz w:val="16"/>
              </w:rPr>
              <w:t>1,865,922,030.69</w:t>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6"/>
          <w:szCs w:val="16"/>
        </w:rPr>
      </w:pPr>
    </w:p>
    <w:p>
      <w:pPr>
        <w:pStyle w:val="Heading5"/>
        <w:tabs>
          <w:tab w:pos="1397" w:val="left" w:leader="none"/>
        </w:tabs>
        <w:spacing w:line="240" w:lineRule="auto"/>
        <w:ind w:left="846" w:right="3681"/>
        <w:jc w:val="left"/>
        <w:rPr>
          <w:b w:val="0"/>
          <w:bCs w:val="0"/>
        </w:rPr>
      </w:pPr>
      <w:r>
        <w:rPr/>
        <w:pict>
          <v:group style="position:absolute;margin-left:119.010002pt;margin-top:37.113819pt;width:411.75pt;height:94.5pt;mso-position-horizontal-relative:page;mso-position-vertical-relative:paragraph;z-index:-1392808" coordorigin="2380,742" coordsize="8235,1890">
            <v:group style="position:absolute;left:2410;top:757;width:3008;height:2" coordorigin="2410,757" coordsize="3008,2">
              <v:shape style="position:absolute;left:2410;top:757;width:3008;height:2" coordorigin="2410,757" coordsize="3008,0" path="m2410,757l5417,757e" filled="false" stroked="true" strokeweight="1.5pt" strokecolor="#000000">
                <v:path arrowok="t"/>
              </v:shape>
              <v:shape style="position:absolute;left:5417;top:772;width:10;height:28" type="#_x0000_t75" stroked="false">
                <v:imagedata r:id="rId61" o:title=""/>
              </v:shape>
            </v:group>
            <v:group style="position:absolute;left:5417;top:757;width:1350;height:2" coordorigin="5417,757" coordsize="1350,2">
              <v:shape style="position:absolute;left:5417;top:757;width:1350;height:2" coordorigin="5417,757" coordsize="1350,0" path="m5417,757l6767,757e" filled="false" stroked="true" strokeweight="1.5pt" strokecolor="#000000">
                <v:path arrowok="t"/>
              </v:shape>
              <v:shape style="position:absolute;left:6767;top:772;width:10;height:28" type="#_x0000_t75" stroked="false">
                <v:imagedata r:id="rId61" o:title=""/>
              </v:shape>
            </v:group>
            <v:group style="position:absolute;left:6767;top:757;width:1262;height:2" coordorigin="6767,757" coordsize="1262,2">
              <v:shape style="position:absolute;left:6767;top:757;width:1262;height:2" coordorigin="6767,757" coordsize="1262,0" path="m6767,757l8028,757e" filled="false" stroked="true" strokeweight="1.5pt" strokecolor="#000000">
                <v:path arrowok="t"/>
              </v:shape>
              <v:shape style="position:absolute;left:8028;top:772;width:10;height:28" type="#_x0000_t75" stroked="false">
                <v:imagedata r:id="rId61" o:title=""/>
              </v:shape>
            </v:group>
            <v:group style="position:absolute;left:8028;top:757;width:1215;height:2" coordorigin="8028,757" coordsize="1215,2">
              <v:shape style="position:absolute;left:8028;top:757;width:1215;height:2" coordorigin="8028,757" coordsize="1215,0" path="m8028,757l9242,757e" filled="false" stroked="true" strokeweight="1.5pt" strokecolor="#000000">
                <v:path arrowok="t"/>
              </v:shape>
              <v:shape style="position:absolute;left:9242;top:772;width:10;height:28" type="#_x0000_t75" stroked="false">
                <v:imagedata r:id="rId61" o:title=""/>
              </v:shape>
            </v:group>
            <v:group style="position:absolute;left:9242;top:757;width:1355;height:2" coordorigin="9242,757" coordsize="1355,2">
              <v:shape style="position:absolute;left:9242;top:757;width:1355;height:2" coordorigin="9242,757" coordsize="1355,0" path="m9242,757l10597,757e" filled="false" stroked="true" strokeweight="1.5pt" strokecolor="#000000">
                <v:path arrowok="t"/>
              </v:shape>
              <v:shape style="position:absolute;left:5398;top:781;width:3874;height:481" type="#_x0000_t75" stroked="false">
                <v:imagedata r:id="rId155" o:title=""/>
              </v:shape>
            </v:group>
            <v:group style="position:absolute;left:2395;top:2617;width:3022;height:2" coordorigin="2395,2617" coordsize="3022,2">
              <v:shape style="position:absolute;left:2395;top:2617;width:3022;height:2" coordorigin="2395,2617" coordsize="3022,0" path="m2395,2617l5417,2617e" filled="false" stroked="true" strokeweight="1.5pt" strokecolor="#000000">
                <v:path arrowok="t"/>
              </v:shape>
            </v:group>
            <v:group style="position:absolute;left:5417;top:2617;width:1350;height:2" coordorigin="5417,2617" coordsize="1350,2">
              <v:shape style="position:absolute;left:5417;top:2617;width:1350;height:2" coordorigin="5417,2617" coordsize="1350,0" path="m5417,2617l6767,2617e" filled="false" stroked="true" strokeweight="1.5pt" strokecolor="#000000">
                <v:path arrowok="t"/>
              </v:shape>
            </v:group>
            <v:group style="position:absolute;left:6767;top:2617;width:1262;height:2" coordorigin="6767,2617" coordsize="1262,2">
              <v:shape style="position:absolute;left:6767;top:2617;width:1262;height:2" coordorigin="6767,2617" coordsize="1262,0" path="m6767,2617l8028,2617e" filled="false" stroked="true" strokeweight="1.5pt" strokecolor="#000000">
                <v:path arrowok="t"/>
              </v:shape>
            </v:group>
            <v:group style="position:absolute;left:8028;top:2617;width:1215;height:2" coordorigin="8028,2617" coordsize="1215,2">
              <v:shape style="position:absolute;left:8028;top:2617;width:1215;height:2" coordorigin="8028,2617" coordsize="1215,0" path="m8028,2617l9242,2617e" filled="false" stroked="true" strokeweight="1.5pt" strokecolor="#000000">
                <v:path arrowok="t"/>
              </v:shape>
              <v:shape style="position:absolute;left:2390;top:1230;width:8225;height:1372" type="#_x0000_t75" stroked="false">
                <v:imagedata r:id="rId156" o:title=""/>
              </v:shape>
            </v:group>
            <v:group style="position:absolute;left:9242;top:2617;width:1355;height:2" coordorigin="9242,2617" coordsize="1355,2">
              <v:shape style="position:absolute;left:9242;top:2617;width:1355;height:2" coordorigin="9242,2617" coordsize="1355,0" path="m9242,2617l10597,2617e" filled="false" stroked="true" strokeweight="1.5pt" strokecolor="#000000">
                <v:path arrowok="t"/>
              </v:shape>
              <v:shape style="position:absolute;left:3115;top:926;width:159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可供出售金融资产分类</w:t>
                      </w:r>
                      <w:r>
                        <w:rPr>
                          <w:rFonts w:ascii="宋体" w:hAnsi="宋体" w:cs="宋体" w:eastAsia="宋体" w:hint="default"/>
                          <w:sz w:val="16"/>
                          <w:szCs w:val="16"/>
                        </w:rPr>
                      </w:r>
                    </w:p>
                  </w:txbxContent>
                </v:textbox>
                <w10:wrap type="none"/>
              </v:shape>
              <v:shape style="position:absolute;left:5615;top:822;width:959;height:368" type="#_x0000_t202" filled="false" stroked="false">
                <v:textbox inset="0,0,0,0">
                  <w:txbxContent>
                    <w:p>
                      <w:pPr>
                        <w:spacing w:line="159" w:lineRule="exact" w:before="0"/>
                        <w:ind w:left="0" w:right="0" w:firstLine="0"/>
                        <w:jc w:val="center"/>
                        <w:rPr>
                          <w:rFonts w:ascii="宋体" w:hAnsi="宋体" w:cs="宋体" w:eastAsia="宋体" w:hint="default"/>
                          <w:sz w:val="16"/>
                          <w:szCs w:val="16"/>
                        </w:rPr>
                      </w:pPr>
                      <w:r>
                        <w:rPr>
                          <w:rFonts w:ascii="宋体" w:hAnsi="宋体" w:cs="宋体" w:eastAsia="宋体" w:hint="default"/>
                          <w:w w:val="95"/>
                          <w:sz w:val="16"/>
                          <w:szCs w:val="16"/>
                        </w:rPr>
                        <w:t>可供出售权益</w:t>
                      </w:r>
                      <w:r>
                        <w:rPr>
                          <w:rFonts w:ascii="宋体" w:hAnsi="宋体" w:cs="宋体" w:eastAsia="宋体" w:hint="default"/>
                          <w:sz w:val="16"/>
                          <w:szCs w:val="16"/>
                        </w:rPr>
                      </w:r>
                    </w:p>
                    <w:p>
                      <w:pPr>
                        <w:spacing w:line="208" w:lineRule="exact" w:before="0"/>
                        <w:ind w:left="1" w:right="0" w:firstLine="0"/>
                        <w:jc w:val="center"/>
                        <w:rPr>
                          <w:rFonts w:ascii="宋体" w:hAnsi="宋体" w:cs="宋体" w:eastAsia="宋体" w:hint="default"/>
                          <w:sz w:val="16"/>
                          <w:szCs w:val="16"/>
                        </w:rPr>
                      </w:pPr>
                      <w:r>
                        <w:rPr>
                          <w:rFonts w:ascii="宋体" w:hAnsi="宋体" w:cs="宋体" w:eastAsia="宋体" w:hint="default"/>
                          <w:sz w:val="16"/>
                          <w:szCs w:val="16"/>
                        </w:rPr>
                        <w:t>工具</w:t>
                      </w:r>
                    </w:p>
                  </w:txbxContent>
                </v:textbox>
                <w10:wrap type="none"/>
              </v:shape>
              <v:shape style="position:absolute;left:6920;top:822;width:959;height:368" type="#_x0000_t202" filled="false" stroked="false">
                <v:textbox inset="0,0,0,0">
                  <w:txbxContent>
                    <w:p>
                      <w:pPr>
                        <w:spacing w:line="159" w:lineRule="exact" w:before="0"/>
                        <w:ind w:left="-1" w:right="0" w:firstLine="0"/>
                        <w:jc w:val="center"/>
                        <w:rPr>
                          <w:rFonts w:ascii="宋体" w:hAnsi="宋体" w:cs="宋体" w:eastAsia="宋体" w:hint="default"/>
                          <w:sz w:val="16"/>
                          <w:szCs w:val="16"/>
                        </w:rPr>
                      </w:pPr>
                      <w:r>
                        <w:rPr>
                          <w:rFonts w:ascii="宋体" w:hAnsi="宋体" w:cs="宋体" w:eastAsia="宋体" w:hint="default"/>
                          <w:w w:val="95"/>
                          <w:sz w:val="16"/>
                          <w:szCs w:val="16"/>
                        </w:rPr>
                        <w:t>可供出售债务</w:t>
                      </w:r>
                      <w:r>
                        <w:rPr>
                          <w:rFonts w:ascii="宋体" w:hAnsi="宋体" w:cs="宋体" w:eastAsia="宋体" w:hint="default"/>
                          <w:sz w:val="16"/>
                          <w:szCs w:val="16"/>
                        </w:rPr>
                      </w:r>
                    </w:p>
                    <w:p>
                      <w:pPr>
                        <w:spacing w:line="208" w:lineRule="exact" w:before="0"/>
                        <w:ind w:left="1" w:right="0" w:firstLine="0"/>
                        <w:jc w:val="center"/>
                        <w:rPr>
                          <w:rFonts w:ascii="宋体" w:hAnsi="宋体" w:cs="宋体" w:eastAsia="宋体" w:hint="default"/>
                          <w:sz w:val="16"/>
                          <w:szCs w:val="16"/>
                        </w:rPr>
                      </w:pPr>
                      <w:r>
                        <w:rPr>
                          <w:rFonts w:ascii="宋体" w:hAnsi="宋体" w:cs="宋体" w:eastAsia="宋体" w:hint="default"/>
                          <w:sz w:val="16"/>
                          <w:szCs w:val="16"/>
                        </w:rPr>
                        <w:t>工具</w:t>
                      </w:r>
                    </w:p>
                  </w:txbxContent>
                </v:textbox>
                <w10:wrap type="none"/>
              </v:shape>
              <v:shape style="position:absolute;left:8478;top:926;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其他</w:t>
                      </w:r>
                      <w:r>
                        <w:rPr>
                          <w:rFonts w:ascii="宋体" w:hAnsi="宋体" w:cs="宋体" w:eastAsia="宋体" w:hint="default"/>
                          <w:sz w:val="16"/>
                          <w:szCs w:val="16"/>
                        </w:rPr>
                      </w:r>
                    </w:p>
                  </w:txbxContent>
                </v:textbox>
                <w10:wrap type="none"/>
              </v:shape>
              <v:shape style="position:absolute;left:9762;top:926;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合计</w:t>
                      </w:r>
                      <w:r>
                        <w:rPr>
                          <w:rFonts w:ascii="宋体" w:hAnsi="宋体" w:cs="宋体" w:eastAsia="宋体" w:hint="default"/>
                          <w:sz w:val="16"/>
                          <w:szCs w:val="16"/>
                        </w:rPr>
                      </w:r>
                    </w:p>
                  </w:txbxContent>
                </v:textbox>
                <w10:wrap type="none"/>
              </v:shape>
              <v:shape style="position:absolute;left:2518;top:2380;width:111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已计提减值金额</w:t>
                      </w:r>
                      <w:r>
                        <w:rPr>
                          <w:rFonts w:ascii="宋体" w:hAnsi="宋体" w:cs="宋体" w:eastAsia="宋体" w:hint="default"/>
                          <w:sz w:val="16"/>
                          <w:szCs w:val="16"/>
                        </w:rPr>
                      </w:r>
                    </w:p>
                  </w:txbxContent>
                </v:textbox>
                <w10:wrap type="none"/>
              </v:shape>
            </v:group>
            <w10:wrap type="none"/>
          </v:group>
        </w:pict>
      </w:r>
      <w:r>
        <w:rPr>
          <w:rFonts w:ascii="Times New Roman" w:hAnsi="Times New Roman" w:cs="Times New Roman" w:eastAsia="Times New Roman" w:hint="default"/>
          <w:w w:val="95"/>
        </w:rPr>
        <w:t>2</w:t>
      </w:r>
      <w:r>
        <w:rPr>
          <w:w w:val="95"/>
        </w:rPr>
        <w:t>、</w:t>
        <w:tab/>
      </w:r>
      <w:r>
        <w:rPr/>
        <w:t>期末按公允价值计量的可供出售金融资产</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8"/>
          <w:szCs w:val="28"/>
        </w:rPr>
      </w:pPr>
    </w:p>
    <w:tbl>
      <w:tblPr>
        <w:tblW w:w="0" w:type="auto"/>
        <w:jc w:val="left"/>
        <w:tblInd w:w="822" w:type="dxa"/>
        <w:tblLayout w:type="fixed"/>
        <w:tblCellMar>
          <w:top w:w="0" w:type="dxa"/>
          <w:left w:w="0" w:type="dxa"/>
          <w:bottom w:w="0" w:type="dxa"/>
          <w:right w:w="0" w:type="dxa"/>
        </w:tblCellMar>
        <w:tblLook w:val="01E0"/>
      </w:tblPr>
      <w:tblGrid>
        <w:gridCol w:w="3145"/>
        <w:gridCol w:w="1206"/>
        <w:gridCol w:w="1874"/>
        <w:gridCol w:w="1818"/>
      </w:tblGrid>
      <w:tr>
        <w:trPr>
          <w:trHeight w:val="330" w:hRule="exact"/>
        </w:trPr>
        <w:tc>
          <w:tcPr>
            <w:tcW w:w="3145"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5" w:right="0"/>
              <w:jc w:val="left"/>
              <w:rPr>
                <w:rFonts w:ascii="宋体" w:hAnsi="宋体" w:cs="宋体" w:eastAsia="宋体" w:hint="default"/>
                <w:sz w:val="16"/>
                <w:szCs w:val="16"/>
              </w:rPr>
            </w:pPr>
            <w:r>
              <w:rPr>
                <w:rFonts w:ascii="宋体" w:hAnsi="宋体" w:cs="宋体" w:eastAsia="宋体" w:hint="default"/>
                <w:sz w:val="16"/>
                <w:szCs w:val="16"/>
              </w:rPr>
              <w:t>权益工具的成本</w:t>
            </w:r>
            <w:r>
              <w:rPr>
                <w:rFonts w:ascii="Times New Roman" w:hAnsi="Times New Roman" w:cs="Times New Roman" w:eastAsia="Times New Roman" w:hint="default"/>
                <w:sz w:val="16"/>
                <w:szCs w:val="16"/>
              </w:rPr>
              <w:t>/</w:t>
            </w:r>
            <w:r>
              <w:rPr>
                <w:rFonts w:ascii="宋体" w:hAnsi="宋体" w:cs="宋体" w:eastAsia="宋体" w:hint="default"/>
                <w:sz w:val="16"/>
                <w:szCs w:val="16"/>
              </w:rPr>
              <w:t>债务的摊余成本</w:t>
            </w:r>
          </w:p>
        </w:tc>
        <w:tc>
          <w:tcPr>
            <w:tcW w:w="1206"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67"/>
              <w:jc w:val="right"/>
              <w:rPr>
                <w:rFonts w:ascii="Times New Roman" w:hAnsi="Times New Roman" w:cs="Times New Roman" w:eastAsia="Times New Roman" w:hint="default"/>
                <w:sz w:val="16"/>
                <w:szCs w:val="16"/>
              </w:rPr>
            </w:pPr>
            <w:r>
              <w:rPr>
                <w:rFonts w:ascii="Times New Roman"/>
                <w:spacing w:val="-1"/>
                <w:sz w:val="16"/>
              </w:rPr>
              <w:t>47,919,213.77</w:t>
            </w:r>
          </w:p>
        </w:tc>
        <w:tc>
          <w:tcPr>
            <w:tcW w:w="1874" w:type="dxa"/>
            <w:tcBorders>
              <w:top w:val="nil" w:sz="6" w:space="0" w:color="auto"/>
              <w:left w:val="nil" w:sz="6" w:space="0" w:color="auto"/>
              <w:bottom w:val="nil" w:sz="6" w:space="0" w:color="auto"/>
              <w:right w:val="nil" w:sz="6" w:space="0" w:color="auto"/>
            </w:tcBorders>
          </w:tcPr>
          <w:p>
            <w:pPr>
              <w:pStyle w:val="TableParagraph"/>
              <w:spacing w:line="240" w:lineRule="auto" w:before="89"/>
              <w:ind w:left="169" w:right="0"/>
              <w:jc w:val="left"/>
              <w:rPr>
                <w:rFonts w:ascii="Times New Roman" w:hAnsi="Times New Roman" w:cs="Times New Roman" w:eastAsia="Times New Roman" w:hint="default"/>
                <w:sz w:val="16"/>
                <w:szCs w:val="16"/>
              </w:rPr>
            </w:pPr>
            <w:r>
              <w:rPr>
                <w:rFonts w:ascii="Times New Roman"/>
                <w:sz w:val="16"/>
              </w:rPr>
              <w:t>29,260,157.76</w:t>
            </w:r>
          </w:p>
        </w:tc>
        <w:tc>
          <w:tcPr>
            <w:tcW w:w="1818"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33"/>
              <w:jc w:val="right"/>
              <w:rPr>
                <w:rFonts w:ascii="Times New Roman" w:hAnsi="Times New Roman" w:cs="Times New Roman" w:eastAsia="Times New Roman" w:hint="default"/>
                <w:sz w:val="16"/>
                <w:szCs w:val="16"/>
              </w:rPr>
            </w:pPr>
            <w:r>
              <w:rPr>
                <w:rFonts w:ascii="Times New Roman"/>
                <w:spacing w:val="-1"/>
                <w:sz w:val="16"/>
              </w:rPr>
              <w:t>77,179,371.53</w:t>
            </w:r>
          </w:p>
        </w:tc>
      </w:tr>
      <w:tr>
        <w:trPr>
          <w:trHeight w:val="233" w:hRule="exact"/>
        </w:trPr>
        <w:tc>
          <w:tcPr>
            <w:tcW w:w="3145"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宋体" w:hAnsi="宋体" w:cs="宋体" w:eastAsia="宋体" w:hint="default"/>
                <w:sz w:val="16"/>
                <w:szCs w:val="16"/>
              </w:rPr>
            </w:pPr>
            <w:r>
              <w:rPr>
                <w:rFonts w:ascii="宋体" w:hAnsi="宋体" w:cs="宋体" w:eastAsia="宋体" w:hint="default"/>
                <w:sz w:val="16"/>
                <w:szCs w:val="16"/>
              </w:rPr>
              <w:t>公允价值</w:t>
            </w:r>
          </w:p>
        </w:tc>
        <w:tc>
          <w:tcPr>
            <w:tcW w:w="120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68"/>
              <w:jc w:val="right"/>
              <w:rPr>
                <w:rFonts w:ascii="Times New Roman" w:hAnsi="Times New Roman" w:cs="Times New Roman" w:eastAsia="Times New Roman" w:hint="default"/>
                <w:sz w:val="16"/>
                <w:szCs w:val="16"/>
              </w:rPr>
            </w:pPr>
            <w:r>
              <w:rPr>
                <w:rFonts w:ascii="Times New Roman"/>
                <w:spacing w:val="-1"/>
                <w:sz w:val="16"/>
              </w:rPr>
              <w:t>200,988,285.41</w:t>
            </w:r>
          </w:p>
        </w:tc>
        <w:tc>
          <w:tcPr>
            <w:tcW w:w="1874"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69" w:right="0"/>
              <w:jc w:val="left"/>
              <w:rPr>
                <w:rFonts w:ascii="Times New Roman" w:hAnsi="Times New Roman" w:cs="Times New Roman" w:eastAsia="Times New Roman" w:hint="default"/>
                <w:sz w:val="16"/>
                <w:szCs w:val="16"/>
              </w:rPr>
            </w:pPr>
            <w:r>
              <w:rPr>
                <w:rFonts w:ascii="Times New Roman"/>
                <w:sz w:val="16"/>
              </w:rPr>
              <w:t>28,081,425.01</w:t>
            </w:r>
          </w:p>
        </w:tc>
        <w:tc>
          <w:tcPr>
            <w:tcW w:w="1818"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3"/>
              <w:jc w:val="right"/>
              <w:rPr>
                <w:rFonts w:ascii="Times New Roman" w:hAnsi="Times New Roman" w:cs="Times New Roman" w:eastAsia="Times New Roman" w:hint="default"/>
                <w:sz w:val="16"/>
                <w:szCs w:val="16"/>
              </w:rPr>
            </w:pPr>
            <w:r>
              <w:rPr>
                <w:rFonts w:ascii="Times New Roman"/>
                <w:spacing w:val="-1"/>
                <w:sz w:val="16"/>
              </w:rPr>
              <w:t>229,069,710.42</w:t>
            </w:r>
          </w:p>
        </w:tc>
      </w:tr>
      <w:tr>
        <w:trPr>
          <w:trHeight w:val="249" w:hRule="exact"/>
        </w:trPr>
        <w:tc>
          <w:tcPr>
            <w:tcW w:w="3145" w:type="dxa"/>
            <w:tcBorders>
              <w:top w:val="nil" w:sz="6" w:space="0" w:color="auto"/>
              <w:left w:val="nil" w:sz="6" w:space="0" w:color="auto"/>
              <w:bottom w:val="nil" w:sz="6" w:space="0" w:color="auto"/>
              <w:right w:val="nil" w:sz="6" w:space="0" w:color="auto"/>
            </w:tcBorders>
          </w:tcPr>
          <w:p>
            <w:pPr>
              <w:pStyle w:val="TableParagraph"/>
              <w:spacing w:line="240" w:lineRule="auto" w:before="60"/>
              <w:ind w:left="35" w:right="0"/>
              <w:jc w:val="left"/>
              <w:rPr>
                <w:rFonts w:ascii="宋体" w:hAnsi="宋体" w:cs="宋体" w:eastAsia="宋体" w:hint="default"/>
                <w:sz w:val="16"/>
                <w:szCs w:val="16"/>
              </w:rPr>
            </w:pPr>
            <w:r>
              <w:rPr>
                <w:rFonts w:ascii="宋体" w:hAnsi="宋体" w:cs="宋体" w:eastAsia="宋体" w:hint="default"/>
                <w:sz w:val="16"/>
                <w:szCs w:val="16"/>
              </w:rPr>
              <w:t>累计计入其他综合收益的公允价值变动</w:t>
            </w:r>
          </w:p>
        </w:tc>
        <w:tc>
          <w:tcPr>
            <w:tcW w:w="1206" w:type="dxa"/>
            <w:tcBorders>
              <w:top w:val="nil" w:sz="6" w:space="0" w:color="auto"/>
              <w:left w:val="nil" w:sz="6" w:space="0" w:color="auto"/>
              <w:bottom w:val="nil" w:sz="6" w:space="0" w:color="auto"/>
              <w:right w:val="nil" w:sz="6" w:space="0" w:color="auto"/>
            </w:tcBorders>
          </w:tcPr>
          <w:p>
            <w:pPr/>
          </w:p>
        </w:tc>
        <w:tc>
          <w:tcPr>
            <w:tcW w:w="1874" w:type="dxa"/>
            <w:tcBorders>
              <w:top w:val="nil" w:sz="6" w:space="0" w:color="auto"/>
              <w:left w:val="nil" w:sz="6" w:space="0" w:color="auto"/>
              <w:bottom w:val="nil" w:sz="6" w:space="0" w:color="auto"/>
              <w:right w:val="nil" w:sz="6" w:space="0" w:color="auto"/>
            </w:tcBorders>
          </w:tcPr>
          <w:p>
            <w:pPr/>
          </w:p>
        </w:tc>
        <w:tc>
          <w:tcPr>
            <w:tcW w:w="1818" w:type="dxa"/>
            <w:tcBorders>
              <w:top w:val="nil" w:sz="6" w:space="0" w:color="auto"/>
              <w:left w:val="nil" w:sz="6" w:space="0" w:color="auto"/>
              <w:bottom w:val="nil" w:sz="6" w:space="0" w:color="auto"/>
              <w:right w:val="nil" w:sz="6" w:space="0" w:color="auto"/>
            </w:tcBorders>
          </w:tcPr>
          <w:p>
            <w:pPr/>
          </w:p>
        </w:tc>
      </w:tr>
      <w:tr>
        <w:trPr>
          <w:trHeight w:val="139" w:hRule="exact"/>
        </w:trPr>
        <w:tc>
          <w:tcPr>
            <w:tcW w:w="4351" w:type="dxa"/>
            <w:gridSpan w:val="2"/>
            <w:tcBorders>
              <w:top w:val="nil" w:sz="6" w:space="0" w:color="auto"/>
              <w:left w:val="nil" w:sz="6" w:space="0" w:color="auto"/>
              <w:bottom w:val="nil" w:sz="6" w:space="0" w:color="auto"/>
              <w:right w:val="nil" w:sz="6" w:space="0" w:color="auto"/>
            </w:tcBorders>
          </w:tcPr>
          <w:p>
            <w:pPr>
              <w:pStyle w:val="TableParagraph"/>
              <w:tabs>
                <w:tab w:pos="3180" w:val="left" w:leader="none"/>
              </w:tabs>
              <w:spacing w:line="179" w:lineRule="exact"/>
              <w:ind w:left="35" w:right="0"/>
              <w:jc w:val="left"/>
              <w:rPr>
                <w:rFonts w:ascii="Times New Roman" w:hAnsi="Times New Roman" w:cs="Times New Roman" w:eastAsia="Times New Roman" w:hint="default"/>
                <w:sz w:val="16"/>
                <w:szCs w:val="16"/>
              </w:rPr>
            </w:pPr>
            <w:r>
              <w:rPr>
                <w:rFonts w:ascii="宋体" w:hAnsi="宋体" w:cs="宋体" w:eastAsia="宋体" w:hint="default"/>
                <w:w w:val="95"/>
                <w:position w:val="-9"/>
                <w:sz w:val="16"/>
                <w:szCs w:val="16"/>
              </w:rPr>
              <w:t>金额</w:t>
              <w:tab/>
            </w:r>
            <w:r>
              <w:rPr>
                <w:rFonts w:ascii="Times New Roman" w:hAnsi="Times New Roman" w:cs="Times New Roman" w:eastAsia="Times New Roman" w:hint="default"/>
                <w:sz w:val="16"/>
                <w:szCs w:val="16"/>
              </w:rPr>
              <w:t>153,069,071.64</w:t>
            </w:r>
          </w:p>
        </w:tc>
        <w:tc>
          <w:tcPr>
            <w:tcW w:w="1874" w:type="dxa"/>
            <w:tcBorders>
              <w:top w:val="nil" w:sz="6" w:space="0" w:color="auto"/>
              <w:left w:val="nil" w:sz="6" w:space="0" w:color="auto"/>
              <w:bottom w:val="nil" w:sz="6" w:space="0" w:color="auto"/>
              <w:right w:val="nil" w:sz="6" w:space="0" w:color="auto"/>
            </w:tcBorders>
          </w:tcPr>
          <w:p>
            <w:pPr>
              <w:pStyle w:val="TableParagraph"/>
              <w:spacing w:line="142" w:lineRule="exact"/>
              <w:ind w:left="197" w:right="0"/>
              <w:jc w:val="left"/>
              <w:rPr>
                <w:rFonts w:ascii="Times New Roman" w:hAnsi="Times New Roman" w:cs="Times New Roman" w:eastAsia="Times New Roman" w:hint="default"/>
                <w:sz w:val="16"/>
                <w:szCs w:val="16"/>
              </w:rPr>
            </w:pPr>
            <w:r>
              <w:rPr>
                <w:rFonts w:ascii="Times New Roman"/>
                <w:sz w:val="16"/>
              </w:rPr>
              <w:t>-1,178,732.75</w:t>
            </w:r>
          </w:p>
        </w:tc>
        <w:tc>
          <w:tcPr>
            <w:tcW w:w="1818" w:type="dxa"/>
            <w:tcBorders>
              <w:top w:val="nil" w:sz="6" w:space="0" w:color="auto"/>
              <w:left w:val="nil" w:sz="6" w:space="0" w:color="auto"/>
              <w:bottom w:val="nil" w:sz="6" w:space="0" w:color="auto"/>
              <w:right w:val="nil" w:sz="6" w:space="0" w:color="auto"/>
            </w:tcBorders>
          </w:tcPr>
          <w:p>
            <w:pPr>
              <w:pStyle w:val="TableParagraph"/>
              <w:spacing w:line="142" w:lineRule="exact"/>
              <w:ind w:right="33"/>
              <w:jc w:val="right"/>
              <w:rPr>
                <w:rFonts w:ascii="Times New Roman" w:hAnsi="Times New Roman" w:cs="Times New Roman" w:eastAsia="Times New Roman" w:hint="default"/>
                <w:sz w:val="16"/>
                <w:szCs w:val="16"/>
              </w:rPr>
            </w:pPr>
            <w:r>
              <w:rPr>
                <w:rFonts w:ascii="Times New Roman"/>
                <w:spacing w:val="-1"/>
                <w:sz w:val="16"/>
              </w:rPr>
              <w:t>151,890,338.89</w:t>
            </w:r>
          </w:p>
        </w:tc>
      </w:tr>
      <w:tr>
        <w:trPr>
          <w:trHeight w:val="187" w:hRule="exact"/>
        </w:trPr>
        <w:tc>
          <w:tcPr>
            <w:tcW w:w="3145" w:type="dxa"/>
            <w:tcBorders>
              <w:top w:val="nil" w:sz="6" w:space="0" w:color="auto"/>
              <w:left w:val="nil" w:sz="6" w:space="0" w:color="auto"/>
              <w:bottom w:val="nil" w:sz="6" w:space="0" w:color="auto"/>
              <w:right w:val="nil" w:sz="6" w:space="0" w:color="auto"/>
            </w:tcBorders>
          </w:tcPr>
          <w:p>
            <w:pPr/>
          </w:p>
        </w:tc>
        <w:tc>
          <w:tcPr>
            <w:tcW w:w="1206" w:type="dxa"/>
            <w:tcBorders>
              <w:top w:val="nil" w:sz="6" w:space="0" w:color="auto"/>
              <w:left w:val="nil" w:sz="6" w:space="0" w:color="auto"/>
              <w:bottom w:val="nil" w:sz="6" w:space="0" w:color="auto"/>
              <w:right w:val="nil" w:sz="6" w:space="0" w:color="auto"/>
            </w:tcBorders>
          </w:tcPr>
          <w:p>
            <w:pPr/>
          </w:p>
        </w:tc>
        <w:tc>
          <w:tcPr>
            <w:tcW w:w="1874" w:type="dxa"/>
            <w:tcBorders>
              <w:top w:val="nil" w:sz="6" w:space="0" w:color="auto"/>
              <w:left w:val="nil" w:sz="6" w:space="0" w:color="auto"/>
              <w:bottom w:val="nil" w:sz="6" w:space="0" w:color="auto"/>
              <w:right w:val="nil" w:sz="6" w:space="0" w:color="auto"/>
            </w:tcBorders>
          </w:tcPr>
          <w:p>
            <w:pPr/>
          </w:p>
        </w:tc>
        <w:tc>
          <w:tcPr>
            <w:tcW w:w="1818" w:type="dxa"/>
            <w:tcBorders>
              <w:top w:val="nil" w:sz="6" w:space="0" w:color="auto"/>
              <w:left w:val="nil" w:sz="6" w:space="0" w:color="auto"/>
              <w:bottom w:val="nil" w:sz="6" w:space="0" w:color="auto"/>
              <w:right w:val="nil" w:sz="6" w:space="0" w:color="auto"/>
            </w:tcBorders>
          </w:tcPr>
          <w:p>
            <w:pPr/>
          </w:p>
        </w:tc>
      </w:tr>
    </w:tbl>
    <w:p>
      <w:pPr>
        <w:spacing w:after="0"/>
        <w:sectPr>
          <w:pgSz w:w="11910" w:h="16840"/>
          <w:pgMar w:header="0" w:footer="1001" w:top="1520" w:bottom="1200" w:left="1660" w:right="0"/>
        </w:sectPr>
      </w:pPr>
    </w:p>
    <w:p>
      <w:pPr>
        <w:spacing w:before="142"/>
        <w:ind w:left="139" w:right="0" w:firstLine="0"/>
        <w:jc w:val="left"/>
        <w:rPr>
          <w:rFonts w:ascii="宋体" w:hAnsi="宋体" w:cs="宋体" w:eastAsia="宋体" w:hint="default"/>
          <w:sz w:val="18"/>
          <w:szCs w:val="18"/>
        </w:rPr>
      </w:pPr>
      <w:r>
        <w:rPr>
          <w:rFonts w:ascii="宋体" w:hAnsi="宋体" w:cs="宋体" w:eastAsia="宋体" w:hint="default"/>
          <w:sz w:val="18"/>
          <w:szCs w:val="18"/>
        </w:rPr>
        <w:t>财务报表附注</w:t>
      </w:r>
    </w:p>
    <w:p>
      <w:pPr>
        <w:spacing w:line="240" w:lineRule="auto" w:before="7"/>
        <w:rPr>
          <w:rFonts w:ascii="宋体" w:hAnsi="宋体" w:cs="宋体" w:eastAsia="宋体" w:hint="default"/>
          <w:sz w:val="3"/>
          <w:szCs w:val="3"/>
        </w:r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701.5pt;height:.5pt;mso-position-horizontal-relative:char;mso-position-vertical-relative:line" coordorigin="0,0" coordsize="14030,10">
            <v:group style="position:absolute;left:5;top:5;width:14020;height:2" coordorigin="5,5" coordsize="14020,2">
              <v:shape style="position:absolute;left:5;top:5;width:14020;height:2" coordorigin="5,5" coordsize="14020,0" path="m5,5l14024,5e" filled="false" stroked="true" strokeweight=".48pt" strokecolor="#000000">
                <v:path arrowok="t"/>
              </v:shape>
            </v:group>
          </v:group>
        </w:pict>
      </w:r>
      <w:r>
        <w:rPr>
          <w:rFonts w:ascii="宋体" w:hAnsi="宋体" w:cs="宋体" w:eastAsia="宋体" w:hint="default"/>
          <w:sz w:val="2"/>
          <w:szCs w:val="2"/>
        </w:rPr>
      </w:r>
    </w:p>
    <w:p>
      <w:pPr>
        <w:spacing w:line="240" w:lineRule="auto" w:before="6"/>
        <w:rPr>
          <w:rFonts w:ascii="宋体" w:hAnsi="宋体" w:cs="宋体" w:eastAsia="宋体" w:hint="default"/>
          <w:sz w:val="23"/>
          <w:szCs w:val="23"/>
        </w:rPr>
      </w:pPr>
    </w:p>
    <w:p>
      <w:pPr>
        <w:pStyle w:val="Heading5"/>
        <w:tabs>
          <w:tab w:pos="1399" w:val="left" w:leader="none"/>
        </w:tabs>
        <w:spacing w:line="240" w:lineRule="auto"/>
        <w:ind w:left="849" w:right="0"/>
        <w:jc w:val="left"/>
        <w:rPr>
          <w:b w:val="0"/>
          <w:bCs w:val="0"/>
        </w:rPr>
      </w:pPr>
      <w:r>
        <w:rPr/>
        <w:pict>
          <v:group style="position:absolute;margin-left:101.121002pt;margin-top:37.053684pt;width:683.1pt;height:175.05pt;mso-position-horizontal-relative:page;mso-position-vertical-relative:paragraph;z-index:-1392448" coordorigin="2022,741" coordsize="13662,3501">
            <v:group style="position:absolute;left:2052;top:756;width:2471;height:2" coordorigin="2052,756" coordsize="2471,2">
              <v:shape style="position:absolute;left:2052;top:756;width:2471;height:2" coordorigin="2052,756" coordsize="2471,0" path="m2052,756l4523,756e" filled="false" stroked="true" strokeweight="1.5pt" strokecolor="#000000">
                <v:path arrowok="t"/>
              </v:shape>
              <v:shape style="position:absolute;left:4523;top:771;width:10;height:28" type="#_x0000_t75" stroked="false">
                <v:imagedata r:id="rId74" o:title=""/>
              </v:shape>
            </v:group>
            <v:group style="position:absolute;left:4523;top:756;width:5034;height:2" coordorigin="4523,756" coordsize="5034,2">
              <v:shape style="position:absolute;left:4523;top:756;width:5034;height:2" coordorigin="4523,756" coordsize="5034,0" path="m4523,756l9557,756e" filled="false" stroked="true" strokeweight="1.5pt" strokecolor="#000000">
                <v:path arrowok="t"/>
              </v:shape>
              <v:shape style="position:absolute;left:9557;top:771;width:10;height:28" type="#_x0000_t75" stroked="false">
                <v:imagedata r:id="rId74" o:title=""/>
              </v:shape>
            </v:group>
            <v:group style="position:absolute;left:9557;top:756;width:4241;height:2" coordorigin="9557,756" coordsize="4241,2">
              <v:shape style="position:absolute;left:9557;top:756;width:4241;height:2" coordorigin="9557,756" coordsize="4241,0" path="m9557,756l13797,756e" filled="false" stroked="true" strokeweight="1.5pt" strokecolor="#000000">
                <v:path arrowok="t"/>
              </v:shape>
              <v:shape style="position:absolute;left:13797;top:771;width:10;height:28" type="#_x0000_t75" stroked="false">
                <v:imagedata r:id="rId74" o:title=""/>
              </v:shape>
            </v:group>
            <v:group style="position:absolute;left:13797;top:756;width:735;height:2" coordorigin="13797,756" coordsize="735,2">
              <v:shape style="position:absolute;left:13797;top:756;width:735;height:2" coordorigin="13797,756" coordsize="735,0" path="m13797,756l14532,756e" filled="false" stroked="true" strokeweight="1.5pt" strokecolor="#000000">
                <v:path arrowok="t"/>
              </v:shape>
              <v:shape style="position:absolute;left:14532;top:771;width:10;height:28" type="#_x0000_t75" stroked="false">
                <v:imagedata r:id="rId74" o:title=""/>
              </v:shape>
            </v:group>
            <v:group style="position:absolute;left:14532;top:756;width:1128;height:2" coordorigin="14532,756" coordsize="1128,2">
              <v:shape style="position:absolute;left:14532;top:756;width:1128;height:2" coordorigin="14532,756" coordsize="1128,0" path="m14532,756l15660,756e" filled="false" stroked="true" strokeweight="1.5pt" strokecolor="#000000">
                <v:path arrowok="t"/>
              </v:shape>
              <v:shape style="position:absolute;left:4503;top:779;width:10057;height:977" type="#_x0000_t75" stroked="false">
                <v:imagedata r:id="rId159" o:title=""/>
              </v:shape>
            </v:group>
            <v:group style="position:absolute;left:2037;top:4226;width:2486;height:2" coordorigin="2037,4226" coordsize="2486,2">
              <v:shape style="position:absolute;left:2037;top:4226;width:2486;height:2" coordorigin="2037,4226" coordsize="2486,0" path="m2037,4226l4523,4226e" filled="false" stroked="true" strokeweight="1.5pt" strokecolor="#000000">
                <v:path arrowok="t"/>
              </v:shape>
            </v:group>
            <v:group style="position:absolute;left:4523;top:4226;width:30;height:2" coordorigin="4523,4226" coordsize="30,2">
              <v:shape style="position:absolute;left:4523;top:4226;width:30;height:2" coordorigin="4523,4226" coordsize="30,0" path="m4523,4226l4553,4226e" filled="false" stroked="true" strokeweight="1.5pt" strokecolor="#000000">
                <v:path arrowok="t"/>
              </v:shape>
            </v:group>
            <v:group style="position:absolute;left:4553;top:4226;width:1368;height:2" coordorigin="4553,4226" coordsize="1368,2">
              <v:shape style="position:absolute;left:4553;top:4226;width:1368;height:2" coordorigin="4553,4226" coordsize="1368,0" path="m4553,4226l5921,4226e" filled="false" stroked="true" strokeweight="1.5pt" strokecolor="#000000">
                <v:path arrowok="t"/>
              </v:shape>
            </v:group>
            <v:group style="position:absolute;left:5921;top:4226;width:1158;height:2" coordorigin="5921,4226" coordsize="1158,2">
              <v:shape style="position:absolute;left:5921;top:4226;width:1158;height:2" coordorigin="5921,4226" coordsize="1158,0" path="m5921,4226l7079,4226e" filled="false" stroked="true" strokeweight="1.5pt" strokecolor="#000000">
                <v:path arrowok="t"/>
              </v:shape>
            </v:group>
            <v:group style="position:absolute;left:7079;top:4226;width:1230;height:2" coordorigin="7079,4226" coordsize="1230,2">
              <v:shape style="position:absolute;left:7079;top:4226;width:1230;height:2" coordorigin="7079,4226" coordsize="1230,0" path="m7079,4226l8309,4226e" filled="false" stroked="true" strokeweight="1.5pt" strokecolor="#000000">
                <v:path arrowok="t"/>
              </v:shape>
            </v:group>
            <v:group style="position:absolute;left:8309;top:4226;width:1248;height:2" coordorigin="8309,4226" coordsize="1248,2">
              <v:shape style="position:absolute;left:8309;top:4226;width:1248;height:2" coordorigin="8309,4226" coordsize="1248,0" path="m8309,4226l9557,4226e" filled="false" stroked="true" strokeweight="1.5pt" strokecolor="#000000">
                <v:path arrowok="t"/>
              </v:shape>
            </v:group>
            <v:group style="position:absolute;left:9557;top:4226;width:1137;height:2" coordorigin="9557,4226" coordsize="1137,2">
              <v:shape style="position:absolute;left:9557;top:4226;width:1137;height:2" coordorigin="9557,4226" coordsize="1137,0" path="m9557,4226l10693,4226e" filled="false" stroked="true" strokeweight="1.5pt" strokecolor="#000000">
                <v:path arrowok="t"/>
              </v:shape>
            </v:group>
            <v:group style="position:absolute;left:10693;top:4226;width:982;height:2" coordorigin="10693,4226" coordsize="982,2">
              <v:shape style="position:absolute;left:10693;top:4226;width:982;height:2" coordorigin="10693,4226" coordsize="982,0" path="m10693,4226l11675,4226e" filled="false" stroked="true" strokeweight="1.5pt" strokecolor="#000000">
                <v:path arrowok="t"/>
              </v:shape>
            </v:group>
            <v:group style="position:absolute;left:11675;top:4226;width:987;height:2" coordorigin="11675,4226" coordsize="987,2">
              <v:shape style="position:absolute;left:11675;top:4226;width:987;height:2" coordorigin="11675,4226" coordsize="987,0" path="m11675,4226l12661,4226e" filled="false" stroked="true" strokeweight="1.5pt" strokecolor="#000000">
                <v:path arrowok="t"/>
              </v:shape>
            </v:group>
            <v:group style="position:absolute;left:12661;top:4226;width:1137;height:2" coordorigin="12661,4226" coordsize="1137,2">
              <v:shape style="position:absolute;left:12661;top:4226;width:1137;height:2" coordorigin="12661,4226" coordsize="1137,0" path="m12661,4226l13797,4226e" filled="false" stroked="true" strokeweight="1.5pt" strokecolor="#000000">
                <v:path arrowok="t"/>
              </v:shape>
            </v:group>
            <v:group style="position:absolute;left:13797;top:4226;width:735;height:2" coordorigin="13797,4226" coordsize="735,2">
              <v:shape style="position:absolute;left:13797;top:4226;width:735;height:2" coordorigin="13797,4226" coordsize="735,0" path="m13797,4226l14532,4226e" filled="false" stroked="true" strokeweight="1.5pt" strokecolor="#000000">
                <v:path arrowok="t"/>
              </v:shape>
              <v:shape style="position:absolute;left:2033;top:1718;width:13651;height:2494" type="#_x0000_t75" stroked="false">
                <v:imagedata r:id="rId160" o:title=""/>
              </v:shape>
            </v:group>
            <v:group style="position:absolute;left:14532;top:4226;width:1128;height:2" coordorigin="14532,4226" coordsize="1128,2">
              <v:shape style="position:absolute;left:14532;top:4226;width:1128;height:2" coordorigin="14532,4226" coordsize="1128,0" path="m14532,4226l15660,4226e" filled="false" stroked="true" strokeweight="1.5pt" strokecolor="#000000">
                <v:path arrowok="t"/>
              </v:shape>
              <v:shape style="position:absolute;left:6725;top:863;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账面余额</w:t>
                      </w:r>
                      <w:r>
                        <w:rPr>
                          <w:rFonts w:ascii="宋体" w:hAnsi="宋体" w:cs="宋体" w:eastAsia="宋体" w:hint="default"/>
                          <w:sz w:val="16"/>
                          <w:szCs w:val="16"/>
                        </w:rPr>
                      </w:r>
                    </w:p>
                  </w:txbxContent>
                </v:textbox>
                <w10:wrap type="none"/>
              </v:shape>
              <v:shape style="position:absolute;left:11360;top:863;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减值准备</w:t>
                      </w:r>
                      <w:r>
                        <w:rPr>
                          <w:rFonts w:ascii="宋体" w:hAnsi="宋体" w:cs="宋体" w:eastAsia="宋体" w:hint="default"/>
                          <w:sz w:val="16"/>
                          <w:szCs w:val="16"/>
                        </w:rPr>
                      </w:r>
                    </w:p>
                  </w:txbxContent>
                </v:textbox>
                <w10:wrap type="none"/>
              </v:shape>
              <v:shape style="position:absolute;left:2888;top:1174;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被投资单位</w:t>
                      </w:r>
                      <w:r>
                        <w:rPr>
                          <w:rFonts w:ascii="宋体" w:hAnsi="宋体" w:cs="宋体" w:eastAsia="宋体" w:hint="default"/>
                          <w:sz w:val="16"/>
                          <w:szCs w:val="16"/>
                        </w:rPr>
                      </w:r>
                    </w:p>
                  </w:txbxContent>
                </v:textbox>
                <w10:wrap type="none"/>
              </v:shape>
              <v:shape style="position:absolute;left:5066;top:1350;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年初</w:t>
                      </w:r>
                      <w:r>
                        <w:rPr>
                          <w:rFonts w:ascii="宋体" w:hAnsi="宋体" w:cs="宋体" w:eastAsia="宋体" w:hint="default"/>
                          <w:sz w:val="16"/>
                          <w:szCs w:val="16"/>
                        </w:rPr>
                      </w:r>
                    </w:p>
                  </w:txbxContent>
                </v:textbox>
                <w10:wrap type="none"/>
              </v:shape>
              <v:shape style="position:absolute;left:6185;top:1350;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本期增加</w:t>
                      </w:r>
                      <w:r>
                        <w:rPr>
                          <w:rFonts w:ascii="宋体" w:hAnsi="宋体" w:cs="宋体" w:eastAsia="宋体" w:hint="default"/>
                          <w:sz w:val="16"/>
                          <w:szCs w:val="16"/>
                        </w:rPr>
                      </w:r>
                    </w:p>
                  </w:txbxContent>
                </v:textbox>
                <w10:wrap type="none"/>
              </v:shape>
              <v:shape style="position:absolute;left:7377;top:1350;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本期减少</w:t>
                      </w:r>
                      <w:r>
                        <w:rPr>
                          <w:rFonts w:ascii="宋体" w:hAnsi="宋体" w:cs="宋体" w:eastAsia="宋体" w:hint="default"/>
                          <w:sz w:val="16"/>
                          <w:szCs w:val="16"/>
                        </w:rPr>
                      </w:r>
                    </w:p>
                  </w:txbxContent>
                </v:textbox>
                <w10:wrap type="none"/>
              </v:shape>
              <v:shape style="position:absolute;left:8775;top:1350;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w:t>
                      </w:r>
                      <w:r>
                        <w:rPr>
                          <w:rFonts w:ascii="宋体" w:hAnsi="宋体" w:cs="宋体" w:eastAsia="宋体" w:hint="default"/>
                          <w:sz w:val="16"/>
                          <w:szCs w:val="16"/>
                        </w:rPr>
                      </w:r>
                    </w:p>
                  </w:txbxContent>
                </v:textbox>
                <w10:wrap type="none"/>
              </v:shape>
              <v:shape style="position:absolute;left:9968;top:1350;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年初</w:t>
                      </w:r>
                      <w:r>
                        <w:rPr>
                          <w:rFonts w:ascii="宋体" w:hAnsi="宋体" w:cs="宋体" w:eastAsia="宋体" w:hint="default"/>
                          <w:sz w:val="16"/>
                          <w:szCs w:val="16"/>
                        </w:rPr>
                      </w:r>
                    </w:p>
                  </w:txbxContent>
                </v:textbox>
                <w10:wrap type="none"/>
              </v:shape>
              <v:shape style="position:absolute;left:10868;top:1350;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本期增加</w:t>
                      </w:r>
                      <w:r>
                        <w:rPr>
                          <w:rFonts w:ascii="宋体" w:hAnsi="宋体" w:cs="宋体" w:eastAsia="宋体" w:hint="default"/>
                          <w:sz w:val="16"/>
                          <w:szCs w:val="16"/>
                        </w:rPr>
                      </w:r>
                    </w:p>
                  </w:txbxContent>
                </v:textbox>
                <w10:wrap type="none"/>
              </v:shape>
              <v:shape style="position:absolute;left:11852;top:1350;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本期减少</w:t>
                      </w:r>
                      <w:r>
                        <w:rPr>
                          <w:rFonts w:ascii="宋体" w:hAnsi="宋体" w:cs="宋体" w:eastAsia="宋体" w:hint="default"/>
                          <w:sz w:val="16"/>
                          <w:szCs w:val="16"/>
                        </w:rPr>
                      </w:r>
                    </w:p>
                  </w:txbxContent>
                </v:textbox>
                <w10:wrap type="none"/>
              </v:shape>
              <v:shape style="position:absolute;left:13074;top:1350;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w:t>
                      </w:r>
                      <w:r>
                        <w:rPr>
                          <w:rFonts w:ascii="宋体" w:hAnsi="宋体" w:cs="宋体" w:eastAsia="宋体" w:hint="default"/>
                          <w:sz w:val="16"/>
                          <w:szCs w:val="16"/>
                        </w:rPr>
                      </w:r>
                    </w:p>
                  </w:txbxContent>
                </v:textbox>
                <w10:wrap type="none"/>
              </v:shape>
              <v:shape style="position:absolute;left:13929;top:863;width:479;height:574" type="#_x0000_t202" filled="false" stroked="false">
                <v:textbox inset="0,0,0,0">
                  <w:txbxContent>
                    <w:p>
                      <w:pPr>
                        <w:spacing w:line="158"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在被投</w:t>
                      </w:r>
                      <w:r>
                        <w:rPr>
                          <w:rFonts w:ascii="宋体" w:hAnsi="宋体" w:cs="宋体" w:eastAsia="宋体" w:hint="default"/>
                          <w:sz w:val="16"/>
                          <w:szCs w:val="16"/>
                        </w:rPr>
                      </w:r>
                    </w:p>
                    <w:p>
                      <w:pPr>
                        <w:spacing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资单位</w:t>
                      </w:r>
                      <w:r>
                        <w:rPr>
                          <w:rFonts w:ascii="宋体" w:hAnsi="宋体" w:cs="宋体" w:eastAsia="宋体" w:hint="default"/>
                          <w:spacing w:val="-54"/>
                          <w:w w:val="95"/>
                          <w:sz w:val="16"/>
                          <w:szCs w:val="16"/>
                        </w:rPr>
                        <w:t> </w:t>
                      </w:r>
                      <w:r>
                        <w:rPr>
                          <w:rFonts w:ascii="宋体" w:hAnsi="宋体" w:cs="宋体" w:eastAsia="宋体" w:hint="default"/>
                          <w:w w:val="95"/>
                          <w:sz w:val="16"/>
                          <w:szCs w:val="16"/>
                        </w:rPr>
                        <w:t>持股比</w:t>
                      </w:r>
                      <w:r>
                        <w:rPr>
                          <w:rFonts w:ascii="宋体" w:hAnsi="宋体" w:cs="宋体" w:eastAsia="宋体" w:hint="default"/>
                          <w:sz w:val="16"/>
                          <w:szCs w:val="16"/>
                        </w:rPr>
                      </w:r>
                    </w:p>
                  </w:txbxContent>
                </v:textbox>
                <w10:wrap type="none"/>
              </v:shape>
              <v:shape style="position:absolute;left:14697;top:1070;width:800;height:369" type="#_x0000_t202" filled="false" stroked="false">
                <v:textbox inset="0,0,0,0">
                  <w:txbxContent>
                    <w:p>
                      <w:pPr>
                        <w:spacing w:line="159" w:lineRule="exact" w:before="0"/>
                        <w:ind w:left="0" w:right="0" w:firstLine="0"/>
                        <w:jc w:val="center"/>
                        <w:rPr>
                          <w:rFonts w:ascii="宋体" w:hAnsi="宋体" w:cs="宋体" w:eastAsia="宋体" w:hint="default"/>
                          <w:sz w:val="16"/>
                          <w:szCs w:val="16"/>
                        </w:rPr>
                      </w:pPr>
                      <w:r>
                        <w:rPr>
                          <w:rFonts w:ascii="宋体" w:hAnsi="宋体" w:cs="宋体" w:eastAsia="宋体" w:hint="default"/>
                          <w:w w:val="95"/>
                          <w:sz w:val="16"/>
                          <w:szCs w:val="16"/>
                        </w:rPr>
                        <w:t>本期现金红</w:t>
                      </w:r>
                      <w:r>
                        <w:rPr>
                          <w:rFonts w:ascii="宋体" w:hAnsi="宋体" w:cs="宋体" w:eastAsia="宋体" w:hint="default"/>
                          <w:sz w:val="16"/>
                          <w:szCs w:val="16"/>
                        </w:rPr>
                      </w:r>
                    </w:p>
                    <w:p>
                      <w:pPr>
                        <w:spacing w:line="209" w:lineRule="exact" w:before="0"/>
                        <w:ind w:left="1" w:right="0" w:firstLine="0"/>
                        <w:jc w:val="center"/>
                        <w:rPr>
                          <w:rFonts w:ascii="宋体" w:hAnsi="宋体" w:cs="宋体" w:eastAsia="宋体" w:hint="default"/>
                          <w:sz w:val="16"/>
                          <w:szCs w:val="16"/>
                        </w:rPr>
                      </w:pPr>
                      <w:r>
                        <w:rPr>
                          <w:rFonts w:ascii="宋体" w:hAnsi="宋体" w:cs="宋体" w:eastAsia="宋体" w:hint="default"/>
                          <w:w w:val="99"/>
                          <w:sz w:val="16"/>
                          <w:szCs w:val="16"/>
                        </w:rPr>
                        <w:t>利</w:t>
                      </w:r>
                      <w:r>
                        <w:rPr>
                          <w:rFonts w:ascii="宋体" w:hAnsi="宋体" w:cs="宋体" w:eastAsia="宋体" w:hint="default"/>
                          <w:sz w:val="16"/>
                          <w:szCs w:val="16"/>
                        </w:rPr>
                      </w:r>
                    </w:p>
                  </w:txbxContent>
                </v:textbox>
                <w10:wrap type="none"/>
              </v:shape>
            </v:group>
            <w10:wrap type="none"/>
          </v:group>
        </w:pict>
      </w:r>
      <w:r>
        <w:rPr>
          <w:rFonts w:ascii="Times New Roman" w:hAnsi="Times New Roman" w:cs="Times New Roman" w:eastAsia="Times New Roman" w:hint="default"/>
          <w:w w:val="95"/>
        </w:rPr>
        <w:t>3</w:t>
      </w:r>
      <w:r>
        <w:rPr>
          <w:w w:val="95"/>
        </w:rPr>
        <w:t>、</w:t>
        <w:tab/>
      </w:r>
      <w:r>
        <w:rPr/>
        <w:t>期末按成本计量的可供出售金融资产</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8"/>
          <w:szCs w:val="28"/>
        </w:rPr>
      </w:pPr>
    </w:p>
    <w:tbl>
      <w:tblPr>
        <w:tblW w:w="0" w:type="auto"/>
        <w:jc w:val="left"/>
        <w:tblInd w:w="789" w:type="dxa"/>
        <w:tblLayout w:type="fixed"/>
        <w:tblCellMar>
          <w:top w:w="0" w:type="dxa"/>
          <w:left w:w="0" w:type="dxa"/>
          <w:bottom w:w="0" w:type="dxa"/>
          <w:right w:w="0" w:type="dxa"/>
        </w:tblCellMar>
        <w:tblLook w:val="01E0"/>
      </w:tblPr>
      <w:tblGrid>
        <w:gridCol w:w="2519"/>
        <w:gridCol w:w="2528"/>
        <w:gridCol w:w="2425"/>
        <w:gridCol w:w="2121"/>
        <w:gridCol w:w="2150"/>
        <w:gridCol w:w="799"/>
        <w:gridCol w:w="992"/>
      </w:tblGrid>
      <w:tr>
        <w:trPr>
          <w:trHeight w:val="261" w:hRule="exact"/>
        </w:trPr>
        <w:tc>
          <w:tcPr>
            <w:tcW w:w="11742" w:type="dxa"/>
            <w:gridSpan w:val="5"/>
            <w:tcBorders>
              <w:top w:val="nil" w:sz="6" w:space="0" w:color="auto"/>
              <w:left w:val="nil" w:sz="6" w:space="0" w:color="auto"/>
              <w:bottom w:val="nil" w:sz="6" w:space="0" w:color="auto"/>
              <w:right w:val="nil" w:sz="6" w:space="0" w:color="auto"/>
            </w:tcBorders>
          </w:tcPr>
          <w:p>
            <w:pPr/>
          </w:p>
        </w:tc>
        <w:tc>
          <w:tcPr>
            <w:tcW w:w="799" w:type="dxa"/>
            <w:tcBorders>
              <w:top w:val="nil" w:sz="6" w:space="0" w:color="auto"/>
              <w:left w:val="nil" w:sz="6" w:space="0" w:color="auto"/>
              <w:bottom w:val="nil" w:sz="6" w:space="0" w:color="auto"/>
              <w:right w:val="nil" w:sz="6" w:space="0" w:color="auto"/>
            </w:tcBorders>
          </w:tcPr>
          <w:p>
            <w:pPr>
              <w:pStyle w:val="TableParagraph"/>
              <w:spacing w:line="172" w:lineRule="exact"/>
              <w:ind w:right="261"/>
              <w:jc w:val="right"/>
              <w:rPr>
                <w:rFonts w:ascii="Times New Roman" w:hAnsi="Times New Roman" w:cs="Times New Roman" w:eastAsia="Times New Roman" w:hint="default"/>
                <w:sz w:val="16"/>
                <w:szCs w:val="16"/>
              </w:rPr>
            </w:pPr>
            <w:r>
              <w:rPr>
                <w:rFonts w:ascii="宋体" w:hAnsi="宋体" w:cs="宋体" w:eastAsia="宋体" w:hint="default"/>
                <w:spacing w:val="-1"/>
                <w:w w:val="95"/>
                <w:sz w:val="16"/>
                <w:szCs w:val="16"/>
              </w:rPr>
              <w:t>例</w:t>
            </w:r>
            <w:r>
              <w:rPr>
                <w:rFonts w:ascii="Times New Roman" w:hAnsi="Times New Roman" w:cs="Times New Roman" w:eastAsia="Times New Roman" w:hint="default"/>
                <w:spacing w:val="-1"/>
                <w:w w:val="95"/>
                <w:sz w:val="16"/>
                <w:szCs w:val="16"/>
              </w:rPr>
              <w:t>(%)</w:t>
            </w:r>
            <w:r>
              <w:rPr>
                <w:rFonts w:ascii="Times New Roman" w:hAnsi="Times New Roman" w:cs="Times New Roman" w:eastAsia="Times New Roman" w:hint="default"/>
                <w:sz w:val="16"/>
                <w:szCs w:val="16"/>
              </w:rPr>
            </w:r>
          </w:p>
        </w:tc>
        <w:tc>
          <w:tcPr>
            <w:tcW w:w="992" w:type="dxa"/>
            <w:vMerge w:val="restart"/>
            <w:tcBorders>
              <w:top w:val="nil" w:sz="6" w:space="0" w:color="auto"/>
              <w:left w:val="nil" w:sz="6" w:space="0" w:color="auto"/>
              <w:right w:val="nil" w:sz="6" w:space="0" w:color="auto"/>
            </w:tcBorders>
          </w:tcPr>
          <w:p>
            <w:pPr/>
          </w:p>
        </w:tc>
      </w:tr>
      <w:tr>
        <w:trPr>
          <w:trHeight w:val="355" w:hRule="exact"/>
        </w:trPr>
        <w:tc>
          <w:tcPr>
            <w:tcW w:w="2519" w:type="dxa"/>
            <w:tcBorders>
              <w:top w:val="nil" w:sz="6" w:space="0" w:color="auto"/>
              <w:left w:val="nil" w:sz="6" w:space="0" w:color="auto"/>
              <w:bottom w:val="nil" w:sz="6" w:space="0" w:color="auto"/>
              <w:right w:val="nil" w:sz="6" w:space="0" w:color="auto"/>
            </w:tcBorders>
          </w:tcPr>
          <w:p>
            <w:pPr>
              <w:pStyle w:val="TableParagraph"/>
              <w:spacing w:line="240" w:lineRule="auto" w:before="42"/>
              <w:ind w:left="70" w:right="0"/>
              <w:jc w:val="left"/>
              <w:rPr>
                <w:rFonts w:ascii="宋体" w:hAnsi="宋体" w:cs="宋体" w:eastAsia="宋体" w:hint="default"/>
                <w:sz w:val="16"/>
                <w:szCs w:val="16"/>
              </w:rPr>
            </w:pPr>
            <w:r>
              <w:rPr>
                <w:rFonts w:ascii="宋体" w:hAnsi="宋体" w:cs="宋体" w:eastAsia="宋体" w:hint="default"/>
                <w:sz w:val="16"/>
                <w:szCs w:val="16"/>
              </w:rPr>
              <w:t>中国电子财务有限责任公司</w:t>
            </w:r>
          </w:p>
        </w:tc>
        <w:tc>
          <w:tcPr>
            <w:tcW w:w="2528"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315"/>
              <w:jc w:val="right"/>
              <w:rPr>
                <w:rFonts w:ascii="Times New Roman" w:hAnsi="Times New Roman" w:cs="Times New Roman" w:eastAsia="Times New Roman" w:hint="default"/>
                <w:sz w:val="16"/>
                <w:szCs w:val="16"/>
              </w:rPr>
            </w:pPr>
            <w:r>
              <w:rPr>
                <w:rFonts w:ascii="Times New Roman"/>
                <w:spacing w:val="-1"/>
                <w:sz w:val="16"/>
              </w:rPr>
              <w:t>127,495,706.00</w:t>
            </w:r>
          </w:p>
        </w:tc>
        <w:tc>
          <w:tcPr>
            <w:tcW w:w="2425"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06"/>
              <w:jc w:val="right"/>
              <w:rPr>
                <w:rFonts w:ascii="Times New Roman" w:hAnsi="Times New Roman" w:cs="Times New Roman" w:eastAsia="Times New Roman" w:hint="default"/>
                <w:sz w:val="16"/>
                <w:szCs w:val="16"/>
              </w:rPr>
            </w:pPr>
            <w:r>
              <w:rPr>
                <w:rFonts w:ascii="Times New Roman"/>
                <w:spacing w:val="-1"/>
                <w:sz w:val="16"/>
              </w:rPr>
              <w:t>127,495,706.00</w:t>
            </w:r>
          </w:p>
        </w:tc>
        <w:tc>
          <w:tcPr>
            <w:tcW w:w="2121" w:type="dxa"/>
            <w:tcBorders>
              <w:top w:val="nil" w:sz="6" w:space="0" w:color="auto"/>
              <w:left w:val="nil" w:sz="6" w:space="0" w:color="auto"/>
              <w:bottom w:val="nil" w:sz="6" w:space="0" w:color="auto"/>
              <w:right w:val="nil" w:sz="6" w:space="0" w:color="auto"/>
            </w:tcBorders>
          </w:tcPr>
          <w:p>
            <w:pPr/>
          </w:p>
        </w:tc>
        <w:tc>
          <w:tcPr>
            <w:tcW w:w="2150" w:type="dxa"/>
            <w:tcBorders>
              <w:top w:val="nil" w:sz="6" w:space="0" w:color="auto"/>
              <w:left w:val="nil" w:sz="6" w:space="0" w:color="auto"/>
              <w:bottom w:val="nil" w:sz="6" w:space="0" w:color="auto"/>
              <w:right w:val="nil" w:sz="6" w:space="0" w:color="auto"/>
            </w:tcBorders>
          </w:tcPr>
          <w:p>
            <w:pPr/>
          </w:p>
        </w:tc>
        <w:tc>
          <w:tcPr>
            <w:tcW w:w="799"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99"/>
              <w:jc w:val="right"/>
              <w:rPr>
                <w:rFonts w:ascii="Times New Roman" w:hAnsi="Times New Roman" w:cs="Times New Roman" w:eastAsia="Times New Roman" w:hint="default"/>
                <w:sz w:val="16"/>
                <w:szCs w:val="16"/>
              </w:rPr>
            </w:pPr>
            <w:r>
              <w:rPr>
                <w:rFonts w:ascii="Times New Roman"/>
                <w:spacing w:val="-1"/>
                <w:sz w:val="16"/>
              </w:rPr>
              <w:t>5.71</w:t>
            </w:r>
          </w:p>
        </w:tc>
        <w:tc>
          <w:tcPr>
            <w:tcW w:w="992" w:type="dxa"/>
            <w:vMerge/>
            <w:tcBorders>
              <w:left w:val="nil" w:sz="6" w:space="0" w:color="auto"/>
              <w:bottom w:val="nil" w:sz="6" w:space="0" w:color="auto"/>
              <w:right w:val="nil" w:sz="6" w:space="0" w:color="auto"/>
            </w:tcBorders>
          </w:tcPr>
          <w:p>
            <w:pPr/>
          </w:p>
        </w:tc>
      </w:tr>
      <w:tr>
        <w:trPr>
          <w:trHeight w:val="354" w:hRule="exact"/>
        </w:trPr>
        <w:tc>
          <w:tcPr>
            <w:tcW w:w="251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湘财证券有限责任公司</w:t>
            </w:r>
          </w:p>
        </w:tc>
        <w:tc>
          <w:tcPr>
            <w:tcW w:w="252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314"/>
              <w:jc w:val="right"/>
              <w:rPr>
                <w:rFonts w:ascii="Times New Roman" w:hAnsi="Times New Roman" w:cs="Times New Roman" w:eastAsia="Times New Roman" w:hint="default"/>
                <w:sz w:val="16"/>
                <w:szCs w:val="16"/>
              </w:rPr>
            </w:pPr>
            <w:r>
              <w:rPr>
                <w:rFonts w:ascii="Times New Roman"/>
                <w:spacing w:val="-1"/>
                <w:sz w:val="16"/>
              </w:rPr>
              <w:t>66,252,000.00</w:t>
            </w:r>
          </w:p>
        </w:tc>
        <w:tc>
          <w:tcPr>
            <w:tcW w:w="242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7"/>
              <w:jc w:val="right"/>
              <w:rPr>
                <w:rFonts w:ascii="Times New Roman" w:hAnsi="Times New Roman" w:cs="Times New Roman" w:eastAsia="Times New Roman" w:hint="default"/>
                <w:sz w:val="16"/>
                <w:szCs w:val="16"/>
              </w:rPr>
            </w:pPr>
            <w:r>
              <w:rPr>
                <w:rFonts w:ascii="Times New Roman"/>
                <w:spacing w:val="-1"/>
                <w:sz w:val="16"/>
              </w:rPr>
              <w:t>66,252,000.00</w:t>
            </w:r>
          </w:p>
        </w:tc>
        <w:tc>
          <w:tcPr>
            <w:tcW w:w="212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89"/>
              <w:jc w:val="right"/>
              <w:rPr>
                <w:rFonts w:ascii="Times New Roman" w:hAnsi="Times New Roman" w:cs="Times New Roman" w:eastAsia="Times New Roman" w:hint="default"/>
                <w:sz w:val="16"/>
                <w:szCs w:val="16"/>
              </w:rPr>
            </w:pPr>
            <w:r>
              <w:rPr>
                <w:rFonts w:ascii="Times New Roman"/>
                <w:spacing w:val="-1"/>
                <w:sz w:val="16"/>
              </w:rPr>
              <w:t>56,314,200.00</w:t>
            </w:r>
          </w:p>
        </w:tc>
        <w:tc>
          <w:tcPr>
            <w:tcW w:w="215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34"/>
              <w:jc w:val="right"/>
              <w:rPr>
                <w:rFonts w:ascii="Times New Roman" w:hAnsi="Times New Roman" w:cs="Times New Roman" w:eastAsia="Times New Roman" w:hint="default"/>
                <w:sz w:val="16"/>
                <w:szCs w:val="16"/>
              </w:rPr>
            </w:pPr>
            <w:r>
              <w:rPr>
                <w:rFonts w:ascii="Times New Roman"/>
                <w:spacing w:val="-1"/>
                <w:sz w:val="16"/>
              </w:rPr>
              <w:t>56,314,200.00</w:t>
            </w:r>
          </w:p>
        </w:tc>
        <w:tc>
          <w:tcPr>
            <w:tcW w:w="79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00"/>
              <w:jc w:val="right"/>
              <w:rPr>
                <w:rFonts w:ascii="Times New Roman" w:hAnsi="Times New Roman" w:cs="Times New Roman" w:eastAsia="Times New Roman" w:hint="default"/>
                <w:sz w:val="16"/>
                <w:szCs w:val="16"/>
              </w:rPr>
            </w:pPr>
            <w:r>
              <w:rPr>
                <w:rFonts w:ascii="Times New Roman"/>
                <w:spacing w:val="-1"/>
                <w:sz w:val="16"/>
              </w:rPr>
              <w:t>0.09</w:t>
            </w: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357,760.80</w:t>
            </w:r>
          </w:p>
        </w:tc>
      </w:tr>
      <w:tr>
        <w:trPr>
          <w:trHeight w:val="353" w:hRule="exact"/>
        </w:trPr>
        <w:tc>
          <w:tcPr>
            <w:tcW w:w="251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闪联信息技术工程中心有限公司</w:t>
            </w:r>
          </w:p>
        </w:tc>
        <w:tc>
          <w:tcPr>
            <w:tcW w:w="252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314"/>
              <w:jc w:val="right"/>
              <w:rPr>
                <w:rFonts w:ascii="Times New Roman" w:hAnsi="Times New Roman" w:cs="Times New Roman" w:eastAsia="Times New Roman" w:hint="default"/>
                <w:sz w:val="16"/>
                <w:szCs w:val="16"/>
              </w:rPr>
            </w:pPr>
            <w:r>
              <w:rPr>
                <w:rFonts w:ascii="Times New Roman"/>
                <w:spacing w:val="-1"/>
                <w:sz w:val="16"/>
              </w:rPr>
              <w:t>5,000,000.00</w:t>
            </w:r>
          </w:p>
        </w:tc>
        <w:tc>
          <w:tcPr>
            <w:tcW w:w="242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7"/>
              <w:jc w:val="right"/>
              <w:rPr>
                <w:rFonts w:ascii="Times New Roman" w:hAnsi="Times New Roman" w:cs="Times New Roman" w:eastAsia="Times New Roman" w:hint="default"/>
                <w:sz w:val="16"/>
                <w:szCs w:val="16"/>
              </w:rPr>
            </w:pPr>
            <w:r>
              <w:rPr>
                <w:rFonts w:ascii="Times New Roman"/>
                <w:spacing w:val="-1"/>
                <w:sz w:val="16"/>
              </w:rPr>
              <w:t>5,000,000.00</w:t>
            </w:r>
          </w:p>
        </w:tc>
        <w:tc>
          <w:tcPr>
            <w:tcW w:w="2121" w:type="dxa"/>
            <w:tcBorders>
              <w:top w:val="nil" w:sz="6" w:space="0" w:color="auto"/>
              <w:left w:val="nil" w:sz="6" w:space="0" w:color="auto"/>
              <w:bottom w:val="nil" w:sz="6" w:space="0" w:color="auto"/>
              <w:right w:val="nil" w:sz="6" w:space="0" w:color="auto"/>
            </w:tcBorders>
          </w:tcPr>
          <w:p>
            <w:pPr/>
          </w:p>
        </w:tc>
        <w:tc>
          <w:tcPr>
            <w:tcW w:w="2150" w:type="dxa"/>
            <w:tcBorders>
              <w:top w:val="nil" w:sz="6" w:space="0" w:color="auto"/>
              <w:left w:val="nil" w:sz="6" w:space="0" w:color="auto"/>
              <w:bottom w:val="nil" w:sz="6" w:space="0" w:color="auto"/>
              <w:right w:val="nil" w:sz="6" w:space="0" w:color="auto"/>
            </w:tcBorders>
          </w:tcPr>
          <w:p>
            <w:pPr/>
          </w:p>
        </w:tc>
        <w:tc>
          <w:tcPr>
            <w:tcW w:w="79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99"/>
              <w:jc w:val="right"/>
              <w:rPr>
                <w:rFonts w:ascii="Times New Roman" w:hAnsi="Times New Roman" w:cs="Times New Roman" w:eastAsia="Times New Roman" w:hint="default"/>
                <w:sz w:val="16"/>
                <w:szCs w:val="16"/>
              </w:rPr>
            </w:pPr>
            <w:r>
              <w:rPr>
                <w:rFonts w:ascii="Times New Roman"/>
                <w:spacing w:val="-1"/>
                <w:sz w:val="16"/>
              </w:rPr>
              <w:t>9.62</w:t>
            </w:r>
          </w:p>
        </w:tc>
        <w:tc>
          <w:tcPr>
            <w:tcW w:w="992" w:type="dxa"/>
            <w:tcBorders>
              <w:top w:val="nil" w:sz="6" w:space="0" w:color="auto"/>
              <w:left w:val="nil" w:sz="6" w:space="0" w:color="auto"/>
              <w:bottom w:val="nil" w:sz="6" w:space="0" w:color="auto"/>
              <w:right w:val="nil" w:sz="6" w:space="0" w:color="auto"/>
            </w:tcBorders>
          </w:tcPr>
          <w:p>
            <w:pPr/>
          </w:p>
        </w:tc>
      </w:tr>
      <w:tr>
        <w:trPr>
          <w:trHeight w:val="353" w:hRule="exact"/>
        </w:trPr>
        <w:tc>
          <w:tcPr>
            <w:tcW w:w="251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湖南长城博天信息科技有限公司</w:t>
            </w:r>
          </w:p>
        </w:tc>
        <w:tc>
          <w:tcPr>
            <w:tcW w:w="252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314"/>
              <w:jc w:val="right"/>
              <w:rPr>
                <w:rFonts w:ascii="Times New Roman" w:hAnsi="Times New Roman" w:cs="Times New Roman" w:eastAsia="Times New Roman" w:hint="default"/>
                <w:sz w:val="16"/>
                <w:szCs w:val="16"/>
              </w:rPr>
            </w:pPr>
            <w:r>
              <w:rPr>
                <w:rFonts w:ascii="Times New Roman"/>
                <w:spacing w:val="-1"/>
                <w:sz w:val="16"/>
              </w:rPr>
              <w:t>2,000,000.00</w:t>
            </w:r>
          </w:p>
        </w:tc>
        <w:tc>
          <w:tcPr>
            <w:tcW w:w="242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7"/>
              <w:jc w:val="right"/>
              <w:rPr>
                <w:rFonts w:ascii="Times New Roman" w:hAnsi="Times New Roman" w:cs="Times New Roman" w:eastAsia="Times New Roman" w:hint="default"/>
                <w:sz w:val="16"/>
                <w:szCs w:val="16"/>
              </w:rPr>
            </w:pPr>
            <w:r>
              <w:rPr>
                <w:rFonts w:ascii="Times New Roman"/>
                <w:spacing w:val="-1"/>
                <w:sz w:val="16"/>
              </w:rPr>
              <w:t>2,000,000.00</w:t>
            </w:r>
          </w:p>
        </w:tc>
        <w:tc>
          <w:tcPr>
            <w:tcW w:w="212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89"/>
              <w:jc w:val="right"/>
              <w:rPr>
                <w:rFonts w:ascii="Times New Roman" w:hAnsi="Times New Roman" w:cs="Times New Roman" w:eastAsia="Times New Roman" w:hint="default"/>
                <w:sz w:val="16"/>
                <w:szCs w:val="16"/>
              </w:rPr>
            </w:pPr>
            <w:r>
              <w:rPr>
                <w:rFonts w:ascii="Times New Roman"/>
                <w:spacing w:val="-1"/>
                <w:sz w:val="16"/>
              </w:rPr>
              <w:t>2,000,000.00</w:t>
            </w:r>
          </w:p>
        </w:tc>
        <w:tc>
          <w:tcPr>
            <w:tcW w:w="215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34"/>
              <w:jc w:val="right"/>
              <w:rPr>
                <w:rFonts w:ascii="Times New Roman" w:hAnsi="Times New Roman" w:cs="Times New Roman" w:eastAsia="Times New Roman" w:hint="default"/>
                <w:sz w:val="16"/>
                <w:szCs w:val="16"/>
              </w:rPr>
            </w:pPr>
            <w:r>
              <w:rPr>
                <w:rFonts w:ascii="Times New Roman"/>
                <w:spacing w:val="-1"/>
                <w:sz w:val="16"/>
              </w:rPr>
              <w:t>2,000,000.00</w:t>
            </w:r>
          </w:p>
        </w:tc>
        <w:tc>
          <w:tcPr>
            <w:tcW w:w="79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00"/>
              <w:jc w:val="right"/>
              <w:rPr>
                <w:rFonts w:ascii="Times New Roman" w:hAnsi="Times New Roman" w:cs="Times New Roman" w:eastAsia="Times New Roman" w:hint="default"/>
                <w:sz w:val="16"/>
                <w:szCs w:val="16"/>
              </w:rPr>
            </w:pPr>
            <w:r>
              <w:rPr>
                <w:rFonts w:ascii="Times New Roman"/>
                <w:spacing w:val="-1"/>
                <w:sz w:val="16"/>
              </w:rPr>
              <w:t>20.00</w:t>
            </w:r>
          </w:p>
        </w:tc>
        <w:tc>
          <w:tcPr>
            <w:tcW w:w="992" w:type="dxa"/>
            <w:tcBorders>
              <w:top w:val="nil" w:sz="6" w:space="0" w:color="auto"/>
              <w:left w:val="nil" w:sz="6" w:space="0" w:color="auto"/>
              <w:bottom w:val="nil" w:sz="6" w:space="0" w:color="auto"/>
              <w:right w:val="nil" w:sz="6" w:space="0" w:color="auto"/>
            </w:tcBorders>
          </w:tcPr>
          <w:p>
            <w:pPr/>
          </w:p>
        </w:tc>
      </w:tr>
      <w:tr>
        <w:trPr>
          <w:trHeight w:val="353" w:hRule="exact"/>
        </w:trPr>
        <w:tc>
          <w:tcPr>
            <w:tcW w:w="251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湖南艾邦信息技术有限公司</w:t>
            </w:r>
          </w:p>
        </w:tc>
        <w:tc>
          <w:tcPr>
            <w:tcW w:w="252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314"/>
              <w:jc w:val="right"/>
              <w:rPr>
                <w:rFonts w:ascii="Times New Roman" w:hAnsi="Times New Roman" w:cs="Times New Roman" w:eastAsia="Times New Roman" w:hint="default"/>
                <w:sz w:val="16"/>
                <w:szCs w:val="16"/>
              </w:rPr>
            </w:pPr>
            <w:r>
              <w:rPr>
                <w:rFonts w:ascii="Times New Roman"/>
                <w:spacing w:val="-1"/>
                <w:sz w:val="16"/>
              </w:rPr>
              <w:t>903,679.99</w:t>
            </w:r>
          </w:p>
        </w:tc>
        <w:tc>
          <w:tcPr>
            <w:tcW w:w="242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7"/>
              <w:jc w:val="right"/>
              <w:rPr>
                <w:rFonts w:ascii="Times New Roman" w:hAnsi="Times New Roman" w:cs="Times New Roman" w:eastAsia="Times New Roman" w:hint="default"/>
                <w:sz w:val="16"/>
                <w:szCs w:val="16"/>
              </w:rPr>
            </w:pPr>
            <w:r>
              <w:rPr>
                <w:rFonts w:ascii="Times New Roman"/>
                <w:spacing w:val="-1"/>
                <w:sz w:val="16"/>
              </w:rPr>
              <w:t>903,679.99</w:t>
            </w:r>
          </w:p>
        </w:tc>
        <w:tc>
          <w:tcPr>
            <w:tcW w:w="212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89"/>
              <w:jc w:val="right"/>
              <w:rPr>
                <w:rFonts w:ascii="Times New Roman" w:hAnsi="Times New Roman" w:cs="Times New Roman" w:eastAsia="Times New Roman" w:hint="default"/>
                <w:sz w:val="16"/>
                <w:szCs w:val="16"/>
              </w:rPr>
            </w:pPr>
            <w:r>
              <w:rPr>
                <w:rFonts w:ascii="Times New Roman"/>
                <w:spacing w:val="-1"/>
                <w:sz w:val="16"/>
              </w:rPr>
              <w:t>903,679.99</w:t>
            </w:r>
          </w:p>
        </w:tc>
        <w:tc>
          <w:tcPr>
            <w:tcW w:w="215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34"/>
              <w:jc w:val="right"/>
              <w:rPr>
                <w:rFonts w:ascii="Times New Roman" w:hAnsi="Times New Roman" w:cs="Times New Roman" w:eastAsia="Times New Roman" w:hint="default"/>
                <w:sz w:val="16"/>
                <w:szCs w:val="16"/>
              </w:rPr>
            </w:pPr>
            <w:r>
              <w:rPr>
                <w:rFonts w:ascii="Times New Roman"/>
                <w:spacing w:val="-1"/>
                <w:sz w:val="16"/>
              </w:rPr>
              <w:t>903,679.99</w:t>
            </w:r>
          </w:p>
        </w:tc>
        <w:tc>
          <w:tcPr>
            <w:tcW w:w="79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99"/>
              <w:jc w:val="right"/>
              <w:rPr>
                <w:rFonts w:ascii="Times New Roman" w:hAnsi="Times New Roman" w:cs="Times New Roman" w:eastAsia="Times New Roman" w:hint="default"/>
                <w:sz w:val="16"/>
                <w:szCs w:val="16"/>
              </w:rPr>
            </w:pPr>
            <w:r>
              <w:rPr>
                <w:rFonts w:ascii="Times New Roman"/>
                <w:spacing w:val="-1"/>
                <w:sz w:val="16"/>
              </w:rPr>
              <w:t>20.00</w:t>
            </w:r>
          </w:p>
        </w:tc>
        <w:tc>
          <w:tcPr>
            <w:tcW w:w="992" w:type="dxa"/>
            <w:tcBorders>
              <w:top w:val="nil" w:sz="6" w:space="0" w:color="auto"/>
              <w:left w:val="nil" w:sz="6" w:space="0" w:color="auto"/>
              <w:bottom w:val="nil" w:sz="6" w:space="0" w:color="auto"/>
              <w:right w:val="nil" w:sz="6" w:space="0" w:color="auto"/>
            </w:tcBorders>
          </w:tcPr>
          <w:p>
            <w:pPr/>
          </w:p>
        </w:tc>
      </w:tr>
      <w:tr>
        <w:trPr>
          <w:trHeight w:val="353" w:hRule="exact"/>
        </w:trPr>
        <w:tc>
          <w:tcPr>
            <w:tcW w:w="251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北京中房信网络技术有限公司</w:t>
            </w:r>
          </w:p>
        </w:tc>
        <w:tc>
          <w:tcPr>
            <w:tcW w:w="252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315"/>
              <w:jc w:val="right"/>
              <w:rPr>
                <w:rFonts w:ascii="Times New Roman" w:hAnsi="Times New Roman" w:cs="Times New Roman" w:eastAsia="Times New Roman" w:hint="default"/>
                <w:sz w:val="16"/>
                <w:szCs w:val="16"/>
              </w:rPr>
            </w:pPr>
            <w:r>
              <w:rPr>
                <w:rFonts w:ascii="Times New Roman"/>
                <w:spacing w:val="-1"/>
                <w:sz w:val="16"/>
              </w:rPr>
              <w:t>80,000.00</w:t>
            </w:r>
          </w:p>
        </w:tc>
        <w:tc>
          <w:tcPr>
            <w:tcW w:w="242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6"/>
              <w:jc w:val="right"/>
              <w:rPr>
                <w:rFonts w:ascii="Times New Roman" w:hAnsi="Times New Roman" w:cs="Times New Roman" w:eastAsia="Times New Roman" w:hint="default"/>
                <w:sz w:val="16"/>
                <w:szCs w:val="16"/>
              </w:rPr>
            </w:pPr>
            <w:r>
              <w:rPr>
                <w:rFonts w:ascii="Times New Roman"/>
                <w:spacing w:val="-1"/>
                <w:sz w:val="16"/>
              </w:rPr>
              <w:t>80,000.00</w:t>
            </w:r>
          </w:p>
        </w:tc>
        <w:tc>
          <w:tcPr>
            <w:tcW w:w="212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90"/>
              <w:jc w:val="right"/>
              <w:rPr>
                <w:rFonts w:ascii="Times New Roman" w:hAnsi="Times New Roman" w:cs="Times New Roman" w:eastAsia="Times New Roman" w:hint="default"/>
                <w:sz w:val="16"/>
                <w:szCs w:val="16"/>
              </w:rPr>
            </w:pPr>
            <w:r>
              <w:rPr>
                <w:rFonts w:ascii="Times New Roman"/>
                <w:spacing w:val="-1"/>
                <w:sz w:val="16"/>
              </w:rPr>
              <w:t>80,000.00</w:t>
            </w:r>
          </w:p>
        </w:tc>
        <w:tc>
          <w:tcPr>
            <w:tcW w:w="215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35"/>
              <w:jc w:val="right"/>
              <w:rPr>
                <w:rFonts w:ascii="Times New Roman" w:hAnsi="Times New Roman" w:cs="Times New Roman" w:eastAsia="Times New Roman" w:hint="default"/>
                <w:sz w:val="16"/>
                <w:szCs w:val="16"/>
              </w:rPr>
            </w:pPr>
            <w:r>
              <w:rPr>
                <w:rFonts w:ascii="Times New Roman"/>
                <w:spacing w:val="-1"/>
                <w:sz w:val="16"/>
              </w:rPr>
              <w:t>80,000.00</w:t>
            </w:r>
          </w:p>
        </w:tc>
        <w:tc>
          <w:tcPr>
            <w:tcW w:w="79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99"/>
              <w:jc w:val="right"/>
              <w:rPr>
                <w:rFonts w:ascii="Times New Roman" w:hAnsi="Times New Roman" w:cs="Times New Roman" w:eastAsia="Times New Roman" w:hint="default"/>
                <w:sz w:val="16"/>
                <w:szCs w:val="16"/>
              </w:rPr>
            </w:pPr>
            <w:r>
              <w:rPr>
                <w:rFonts w:ascii="Times New Roman"/>
                <w:spacing w:val="-1"/>
                <w:sz w:val="16"/>
              </w:rPr>
              <w:t>16.00</w:t>
            </w:r>
          </w:p>
        </w:tc>
        <w:tc>
          <w:tcPr>
            <w:tcW w:w="992" w:type="dxa"/>
            <w:tcBorders>
              <w:top w:val="nil" w:sz="6" w:space="0" w:color="auto"/>
              <w:left w:val="nil" w:sz="6" w:space="0" w:color="auto"/>
              <w:bottom w:val="nil" w:sz="6" w:space="0" w:color="auto"/>
              <w:right w:val="nil" w:sz="6" w:space="0" w:color="auto"/>
            </w:tcBorders>
          </w:tcPr>
          <w:p>
            <w:pPr/>
          </w:p>
        </w:tc>
      </w:tr>
      <w:tr>
        <w:trPr>
          <w:trHeight w:val="357" w:hRule="exact"/>
        </w:trPr>
        <w:tc>
          <w:tcPr>
            <w:tcW w:w="2519"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20"/>
              <w:jc w:val="center"/>
              <w:rPr>
                <w:rFonts w:ascii="宋体" w:hAnsi="宋体" w:cs="宋体" w:eastAsia="宋体" w:hint="default"/>
                <w:sz w:val="16"/>
                <w:szCs w:val="16"/>
              </w:rPr>
            </w:pPr>
            <w:r>
              <w:rPr>
                <w:rFonts w:ascii="宋体" w:hAnsi="宋体" w:cs="宋体" w:eastAsia="宋体" w:hint="default"/>
                <w:sz w:val="16"/>
                <w:szCs w:val="16"/>
              </w:rPr>
              <w:t>合计</w:t>
            </w:r>
          </w:p>
        </w:tc>
        <w:tc>
          <w:tcPr>
            <w:tcW w:w="252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315"/>
              <w:jc w:val="right"/>
              <w:rPr>
                <w:rFonts w:ascii="Times New Roman" w:hAnsi="Times New Roman" w:cs="Times New Roman" w:eastAsia="Times New Roman" w:hint="default"/>
                <w:sz w:val="16"/>
                <w:szCs w:val="16"/>
              </w:rPr>
            </w:pPr>
            <w:r>
              <w:rPr>
                <w:rFonts w:ascii="Times New Roman"/>
                <w:spacing w:val="-1"/>
                <w:sz w:val="16"/>
              </w:rPr>
              <w:t>201,731,385.99</w:t>
            </w:r>
          </w:p>
        </w:tc>
        <w:tc>
          <w:tcPr>
            <w:tcW w:w="242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6"/>
              <w:jc w:val="right"/>
              <w:rPr>
                <w:rFonts w:ascii="Times New Roman" w:hAnsi="Times New Roman" w:cs="Times New Roman" w:eastAsia="Times New Roman" w:hint="default"/>
                <w:sz w:val="16"/>
                <w:szCs w:val="16"/>
              </w:rPr>
            </w:pPr>
            <w:r>
              <w:rPr>
                <w:rFonts w:ascii="Times New Roman"/>
                <w:spacing w:val="-1"/>
                <w:sz w:val="16"/>
              </w:rPr>
              <w:t>201,731,385.99</w:t>
            </w:r>
          </w:p>
        </w:tc>
        <w:tc>
          <w:tcPr>
            <w:tcW w:w="212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89"/>
              <w:jc w:val="right"/>
              <w:rPr>
                <w:rFonts w:ascii="Times New Roman" w:hAnsi="Times New Roman" w:cs="Times New Roman" w:eastAsia="Times New Roman" w:hint="default"/>
                <w:sz w:val="16"/>
                <w:szCs w:val="16"/>
              </w:rPr>
            </w:pPr>
            <w:r>
              <w:rPr>
                <w:rFonts w:ascii="Times New Roman"/>
                <w:spacing w:val="-1"/>
                <w:sz w:val="16"/>
              </w:rPr>
              <w:t>59,297,879.99</w:t>
            </w:r>
          </w:p>
        </w:tc>
        <w:tc>
          <w:tcPr>
            <w:tcW w:w="215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34"/>
              <w:jc w:val="right"/>
              <w:rPr>
                <w:rFonts w:ascii="Times New Roman" w:hAnsi="Times New Roman" w:cs="Times New Roman" w:eastAsia="Times New Roman" w:hint="default"/>
                <w:sz w:val="16"/>
                <w:szCs w:val="16"/>
              </w:rPr>
            </w:pPr>
            <w:r>
              <w:rPr>
                <w:rFonts w:ascii="Times New Roman"/>
                <w:spacing w:val="-1"/>
                <w:sz w:val="16"/>
              </w:rPr>
              <w:t>59,297,879.99</w:t>
            </w:r>
          </w:p>
        </w:tc>
        <w:tc>
          <w:tcPr>
            <w:tcW w:w="799"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357,760.80</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25"/>
          <w:szCs w:val="25"/>
        </w:rPr>
      </w:pPr>
    </w:p>
    <w:p>
      <w:pPr>
        <w:spacing w:before="44"/>
        <w:ind w:left="6199" w:right="6461" w:firstLine="0"/>
        <w:jc w:val="center"/>
        <w:rPr>
          <w:rFonts w:ascii="宋体" w:hAnsi="宋体" w:cs="宋体" w:eastAsia="宋体" w:hint="default"/>
          <w:sz w:val="18"/>
          <w:szCs w:val="18"/>
        </w:rPr>
      </w:pPr>
      <w:r>
        <w:rPr>
          <w:rFonts w:ascii="宋体" w:hAnsi="宋体" w:cs="宋体" w:eastAsia="宋体" w:hint="default"/>
          <w:sz w:val="18"/>
          <w:szCs w:val="18"/>
        </w:rPr>
        <w:t>财务报表附注第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8"/>
          <w:szCs w:val="18"/>
        </w:rPr>
      </w:pPr>
    </w:p>
    <w:p>
      <w:pPr>
        <w:spacing w:line="371" w:lineRule="exact"/>
        <w:ind w:left="10484" w:right="0" w:firstLine="0"/>
        <w:rPr>
          <w:rFonts w:ascii="宋体" w:hAnsi="宋体" w:cs="宋体" w:eastAsia="宋体" w:hint="default"/>
          <w:sz w:val="20"/>
          <w:szCs w:val="20"/>
        </w:rPr>
      </w:pPr>
      <w:r>
        <w:rPr>
          <w:rFonts w:ascii="宋体" w:hAnsi="宋体" w:cs="宋体" w:eastAsia="宋体" w:hint="default"/>
          <w:position w:val="-6"/>
          <w:sz w:val="20"/>
          <w:szCs w:val="20"/>
        </w:rPr>
        <w:drawing>
          <wp:inline distT="0" distB="0" distL="0" distR="0">
            <wp:extent cx="524065" cy="236029"/>
            <wp:effectExtent l="0" t="0" r="0" b="0"/>
            <wp:docPr id="23" name="image1.jpeg" descr=""/>
            <wp:cNvGraphicFramePr>
              <a:graphicFrameLocks noChangeAspect="1"/>
            </wp:cNvGraphicFramePr>
            <a:graphic>
              <a:graphicData uri="http://schemas.openxmlformats.org/drawingml/2006/picture">
                <pic:pic>
                  <pic:nvPicPr>
                    <pic:cNvPr id="24" name="image1.jpeg"/>
                    <pic:cNvPicPr/>
                  </pic:nvPicPr>
                  <pic:blipFill>
                    <a:blip r:embed="rId79" cstate="print"/>
                    <a:stretch>
                      <a:fillRect/>
                    </a:stretch>
                  </pic:blipFill>
                  <pic:spPr>
                    <a:xfrm>
                      <a:off x="0" y="0"/>
                      <a:ext cx="524065" cy="236029"/>
                    </a:xfrm>
                    <a:prstGeom prst="rect">
                      <a:avLst/>
                    </a:prstGeom>
                  </pic:spPr>
                </pic:pic>
              </a:graphicData>
            </a:graphic>
          </wp:inline>
        </w:drawing>
      </w:r>
      <w:r>
        <w:rPr>
          <w:rFonts w:ascii="宋体" w:hAnsi="宋体" w:cs="宋体" w:eastAsia="宋体" w:hint="default"/>
          <w:position w:val="-6"/>
          <w:sz w:val="20"/>
          <w:szCs w:val="20"/>
        </w:rPr>
      </w:r>
    </w:p>
    <w:p>
      <w:pPr>
        <w:spacing w:after="0" w:line="371" w:lineRule="exact"/>
        <w:rPr>
          <w:rFonts w:ascii="宋体" w:hAnsi="宋体" w:cs="宋体" w:eastAsia="宋体" w:hint="default"/>
          <w:sz w:val="20"/>
          <w:szCs w:val="20"/>
        </w:rPr>
        <w:sectPr>
          <w:headerReference w:type="default" r:id="rId157"/>
          <w:footerReference w:type="default" r:id="rId158"/>
          <w:pgSz w:w="16840" w:h="11910" w:orient="landscape"/>
          <w:pgMar w:header="0" w:footer="0" w:top="1100" w:bottom="0" w:left="1300" w:right="1040"/>
        </w:sectPr>
      </w:pPr>
    </w:p>
    <w:p>
      <w:pPr>
        <w:spacing w:line="240" w:lineRule="auto" w:before="8"/>
        <w:rPr>
          <w:rFonts w:ascii="宋体" w:hAnsi="宋体" w:cs="宋体" w:eastAsia="宋体" w:hint="default"/>
          <w:sz w:val="13"/>
          <w:szCs w:val="13"/>
        </w:rPr>
      </w:pPr>
    </w:p>
    <w:p>
      <w:pPr>
        <w:pStyle w:val="Heading5"/>
        <w:tabs>
          <w:tab w:pos="1397" w:val="left" w:leader="none"/>
        </w:tabs>
        <w:spacing w:line="240" w:lineRule="auto"/>
        <w:ind w:left="846" w:right="3681"/>
        <w:jc w:val="left"/>
        <w:rPr>
          <w:b w:val="0"/>
          <w:bCs w:val="0"/>
        </w:rPr>
      </w:pPr>
      <w:r>
        <w:rPr>
          <w:rFonts w:ascii="Times New Roman" w:hAnsi="Times New Roman" w:cs="Times New Roman" w:eastAsia="Times New Roman" w:hint="default"/>
          <w:w w:val="95"/>
        </w:rPr>
        <w:t>4</w:t>
      </w:r>
      <w:r>
        <w:rPr>
          <w:w w:val="95"/>
        </w:rPr>
        <w:t>、</w:t>
        <w:tab/>
      </w:r>
      <w:r>
        <w:rPr/>
        <w:t>本期可供出售金融资产减值的变动情况</w:t>
      </w:r>
      <w:r>
        <w:rPr>
          <w:b w:val="0"/>
          <w:bCs w:val="0"/>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1"/>
          <w:szCs w:val="11"/>
        </w:rPr>
      </w:pPr>
    </w:p>
    <w:p>
      <w:pPr>
        <w:spacing w:line="2524" w:lineRule="exact"/>
        <w:ind w:left="720" w:right="0" w:firstLine="0"/>
        <w:rPr>
          <w:rFonts w:ascii="宋体" w:hAnsi="宋体" w:cs="宋体" w:eastAsia="宋体" w:hint="default"/>
          <w:sz w:val="20"/>
          <w:szCs w:val="20"/>
        </w:rPr>
      </w:pPr>
      <w:r>
        <w:rPr>
          <w:rFonts w:ascii="宋体" w:hAnsi="宋体" w:cs="宋体" w:eastAsia="宋体" w:hint="default"/>
          <w:position w:val="-49"/>
          <w:sz w:val="20"/>
          <w:szCs w:val="20"/>
        </w:rPr>
        <w:pict>
          <v:group style="width:412.2pt;height:126.25pt;mso-position-horizontal-relative:char;mso-position-vertical-relative:line" coordorigin="0,0" coordsize="8244,2525">
            <v:group style="position:absolute;left:29;top:15;width:2698;height:2" coordorigin="29,15" coordsize="2698,2">
              <v:shape style="position:absolute;left:29;top:15;width:2698;height:2" coordorigin="29,15" coordsize="2698,0" path="m29,15l2727,15e" filled="false" stroked="true" strokeweight="1.5pt" strokecolor="#000000">
                <v:path arrowok="t"/>
              </v:shape>
              <v:shape style="position:absolute;left:2727;top:30;width:10;height:28" type="#_x0000_t75" stroked="false">
                <v:imagedata r:id="rId96" o:title=""/>
              </v:shape>
            </v:group>
            <v:group style="position:absolute;left:2727;top:15;width:2133;height:2" coordorigin="2727,15" coordsize="2133,2">
              <v:shape style="position:absolute;left:2727;top:15;width:2133;height:2" coordorigin="2727,15" coordsize="2133,0" path="m2727,15l4859,15e" filled="false" stroked="true" strokeweight="1.5pt" strokecolor="#000000">
                <v:path arrowok="t"/>
              </v:shape>
              <v:shape style="position:absolute;left:4859;top:30;width:10;height:28" type="#_x0000_t75" stroked="false">
                <v:imagedata r:id="rId96" o:title=""/>
              </v:shape>
            </v:group>
            <v:group style="position:absolute;left:4859;top:15;width:1829;height:2" coordorigin="4859,15" coordsize="1829,2">
              <v:shape style="position:absolute;left:4859;top:15;width:1829;height:2" coordorigin="4859,15" coordsize="1829,0" path="m4859,15l6688,15e" filled="false" stroked="true" strokeweight="1.5pt" strokecolor="#000000">
                <v:path arrowok="t"/>
              </v:shape>
              <v:shape style="position:absolute;left:6688;top:30;width:10;height:28" type="#_x0000_t75" stroked="false">
                <v:imagedata r:id="rId96" o:title=""/>
              </v:shape>
            </v:group>
            <v:group style="position:absolute;left:6688;top:15;width:1529;height:2" coordorigin="6688,15" coordsize="1529,2">
              <v:shape style="position:absolute;left:6688;top:15;width:1529;height:2" coordorigin="6688,15" coordsize="1529,0" path="m6688,15l8217,15e" filled="false" stroked="true" strokeweight="1.5pt" strokecolor="#000000">
                <v:path arrowok="t"/>
              </v:shape>
              <v:shape style="position:absolute;left:2708;top:38;width:4009;height:354" type="#_x0000_t75" stroked="false">
                <v:imagedata r:id="rId163" o:title=""/>
              </v:shape>
            </v:group>
            <v:group style="position:absolute;left:15;top:2510;width:2712;height:2" coordorigin="15,2510" coordsize="2712,2">
              <v:shape style="position:absolute;left:15;top:2510;width:2712;height:2" coordorigin="15,2510" coordsize="2712,0" path="m15,2510l2727,2510e" filled="false" stroked="true" strokeweight="1.5pt" strokecolor="#000000">
                <v:path arrowok="t"/>
              </v:shape>
            </v:group>
            <v:group style="position:absolute;left:2727;top:2510;width:2133;height:2" coordorigin="2727,2510" coordsize="2133,2">
              <v:shape style="position:absolute;left:2727;top:2510;width:2133;height:2" coordorigin="2727,2510" coordsize="2133,0" path="m2727,2510l4859,2510e" filled="false" stroked="true" strokeweight="1.5pt" strokecolor="#000000">
                <v:path arrowok="t"/>
              </v:shape>
            </v:group>
            <v:group style="position:absolute;left:4859;top:2510;width:1829;height:2" coordorigin="4859,2510" coordsize="1829,2">
              <v:shape style="position:absolute;left:4859;top:2510;width:1829;height:2" coordorigin="4859,2510" coordsize="1829,0" path="m4859,2510l6688,2510e" filled="false" stroked="true" strokeweight="1.5pt" strokecolor="#000000">
                <v:path arrowok="t"/>
              </v:shape>
              <v:shape style="position:absolute;left:10;top:354;width:8233;height:2141" type="#_x0000_t75" stroked="false">
                <v:imagedata r:id="rId164" o:title=""/>
              </v:shape>
            </v:group>
            <v:group style="position:absolute;left:6688;top:2510;width:1529;height:2" coordorigin="6688,2510" coordsize="1529,2">
              <v:shape style="position:absolute;left:6688;top:2510;width:1529;height:2" coordorigin="6688,2510" coordsize="1529,0" path="m6688,2510l8217,2510e" filled="false" stroked="true" strokeweight="1.5pt" strokecolor="#000000">
                <v:path arrowok="t"/>
              </v:shape>
              <v:shape style="position:absolute;left:580;top:121;width:159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可供出售金融资产分类</w:t>
                      </w:r>
                      <w:r>
                        <w:rPr>
                          <w:rFonts w:ascii="宋体" w:hAnsi="宋体" w:cs="宋体" w:eastAsia="宋体" w:hint="default"/>
                          <w:sz w:val="16"/>
                          <w:szCs w:val="16"/>
                        </w:rPr>
                      </w:r>
                    </w:p>
                  </w:txbxContent>
                </v:textbox>
                <w10:wrap type="none"/>
              </v:shape>
              <v:shape style="position:absolute;left:3158;top:121;width:12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可供出售权益工具</w:t>
                      </w:r>
                      <w:r>
                        <w:rPr>
                          <w:rFonts w:ascii="宋体" w:hAnsi="宋体" w:cs="宋体" w:eastAsia="宋体" w:hint="default"/>
                          <w:sz w:val="16"/>
                          <w:szCs w:val="16"/>
                        </w:rPr>
                      </w:r>
                    </w:p>
                  </w:txbxContent>
                </v:textbox>
                <w10:wrap type="none"/>
              </v:shape>
              <v:shape style="position:absolute;left:5139;top:121;width:12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可供出售债务工具</w:t>
                      </w:r>
                      <w:r>
                        <w:rPr>
                          <w:rFonts w:ascii="宋体" w:hAnsi="宋体" w:cs="宋体" w:eastAsia="宋体" w:hint="default"/>
                          <w:sz w:val="16"/>
                          <w:szCs w:val="16"/>
                        </w:rPr>
                      </w:r>
                    </w:p>
                  </w:txbxContent>
                </v:textbox>
                <w10:wrap type="none"/>
              </v:shape>
              <v:shape style="position:absolute;left:7294;top:121;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合计</w:t>
                      </w:r>
                      <w:r>
                        <w:rPr>
                          <w:rFonts w:ascii="宋体" w:hAnsi="宋体" w:cs="宋体" w:eastAsia="宋体" w:hint="default"/>
                          <w:sz w:val="16"/>
                          <w:szCs w:val="16"/>
                        </w:rPr>
                      </w:r>
                    </w:p>
                  </w:txbxContent>
                </v:textbox>
                <w10:wrap type="none"/>
              </v:shape>
              <v:shape style="position:absolute;left:137;top:475;width:14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年初已计提减值余额</w:t>
                      </w:r>
                      <w:r>
                        <w:rPr>
                          <w:rFonts w:ascii="宋体" w:hAnsi="宋体" w:cs="宋体" w:eastAsia="宋体" w:hint="default"/>
                          <w:sz w:val="16"/>
                          <w:szCs w:val="16"/>
                        </w:rPr>
                      </w:r>
                    </w:p>
                  </w:txbxContent>
                </v:textbox>
                <w10:wrap type="none"/>
              </v:shape>
              <v:shape style="position:absolute;left:3836;top:488;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59,297,879.99</w:t>
                      </w:r>
                      <w:r>
                        <w:rPr>
                          <w:rFonts w:ascii="Times New Roman"/>
                          <w:sz w:val="16"/>
                        </w:rPr>
                      </w:r>
                    </w:p>
                  </w:txbxContent>
                </v:textbox>
                <w10:wrap type="none"/>
              </v:shape>
              <v:shape style="position:absolute;left:7189;top:488;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59,297,879.99</w:t>
                      </w:r>
                      <w:r>
                        <w:rPr>
                          <w:rFonts w:ascii="Times New Roman"/>
                          <w:sz w:val="16"/>
                        </w:rPr>
                      </w:r>
                    </w:p>
                  </w:txbxContent>
                </v:textbox>
                <w10:wrap type="none"/>
              </v:shape>
              <v:shape style="position:absolute;left:137;top:829;width:2079;height:1574"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本期计提</w:t>
                      </w:r>
                    </w:p>
                    <w:p>
                      <w:pPr>
                        <w:spacing w:line="405" w:lineRule="auto" w:before="143"/>
                        <w:ind w:left="0" w:right="0" w:firstLine="0"/>
                        <w:jc w:val="left"/>
                        <w:rPr>
                          <w:rFonts w:ascii="宋体" w:hAnsi="宋体" w:cs="宋体" w:eastAsia="宋体" w:hint="default"/>
                          <w:sz w:val="16"/>
                          <w:szCs w:val="16"/>
                        </w:rPr>
                      </w:pPr>
                      <w:r>
                        <w:rPr>
                          <w:rFonts w:ascii="宋体" w:hAnsi="宋体" w:cs="宋体" w:eastAsia="宋体" w:hint="default"/>
                          <w:sz w:val="16"/>
                          <w:szCs w:val="16"/>
                        </w:rPr>
                        <w:t>其中：从其他综合收益转入</w:t>
                      </w:r>
                      <w:r>
                        <w:rPr>
                          <w:rFonts w:ascii="宋体" w:hAnsi="宋体" w:cs="宋体" w:eastAsia="宋体" w:hint="default"/>
                          <w:w w:val="99"/>
                          <w:sz w:val="16"/>
                          <w:szCs w:val="16"/>
                        </w:rPr>
                        <w:t> </w:t>
                      </w:r>
                      <w:r>
                        <w:rPr>
                          <w:rFonts w:ascii="宋体" w:hAnsi="宋体" w:cs="宋体" w:eastAsia="宋体" w:hint="default"/>
                          <w:sz w:val="16"/>
                          <w:szCs w:val="16"/>
                        </w:rPr>
                        <w:t>本期减少</w:t>
                      </w:r>
                      <w:r>
                        <w:rPr>
                          <w:rFonts w:ascii="宋体" w:hAnsi="宋体" w:cs="宋体" w:eastAsia="宋体" w:hint="default"/>
                          <w:w w:val="99"/>
                          <w:sz w:val="16"/>
                          <w:szCs w:val="16"/>
                        </w:rPr>
                        <w:t> </w:t>
                      </w:r>
                      <w:r>
                        <w:rPr>
                          <w:rFonts w:ascii="宋体" w:hAnsi="宋体" w:cs="宋体" w:eastAsia="宋体" w:hint="default"/>
                          <w:w w:val="95"/>
                          <w:sz w:val="16"/>
                          <w:szCs w:val="16"/>
                        </w:rPr>
                        <w:t>其中：期后公允价值回升转回</w:t>
                      </w:r>
                      <w:r>
                        <w:rPr>
                          <w:rFonts w:ascii="宋体" w:hAnsi="宋体" w:cs="宋体" w:eastAsia="宋体" w:hint="default"/>
                          <w:sz w:val="16"/>
                          <w:szCs w:val="16"/>
                        </w:rPr>
                      </w:r>
                    </w:p>
                    <w:p>
                      <w:pPr>
                        <w:spacing w:before="34"/>
                        <w:ind w:left="0" w:right="0" w:firstLine="0"/>
                        <w:jc w:val="left"/>
                        <w:rPr>
                          <w:rFonts w:ascii="宋体" w:hAnsi="宋体" w:cs="宋体" w:eastAsia="宋体" w:hint="default"/>
                          <w:sz w:val="16"/>
                          <w:szCs w:val="16"/>
                        </w:rPr>
                      </w:pPr>
                      <w:r>
                        <w:rPr>
                          <w:rFonts w:ascii="宋体" w:hAnsi="宋体" w:cs="宋体" w:eastAsia="宋体" w:hint="default"/>
                          <w:sz w:val="16"/>
                          <w:szCs w:val="16"/>
                        </w:rPr>
                        <w:t>期末已计提减值余额</w:t>
                      </w:r>
                    </w:p>
                  </w:txbxContent>
                </v:textbox>
                <w10:wrap type="none"/>
              </v:shape>
              <v:shape style="position:absolute;left:3836;top:2256;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59,297,879.99</w:t>
                      </w:r>
                      <w:r>
                        <w:rPr>
                          <w:rFonts w:ascii="Times New Roman"/>
                          <w:sz w:val="16"/>
                        </w:rPr>
                      </w:r>
                    </w:p>
                  </w:txbxContent>
                </v:textbox>
                <w10:wrap type="none"/>
              </v:shape>
              <v:shape style="position:absolute;left:7189;top:2256;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59,297,879.99</w:t>
                      </w:r>
                      <w:r>
                        <w:rPr>
                          <w:rFonts w:ascii="Times New Roman"/>
                          <w:sz w:val="16"/>
                        </w:rPr>
                      </w:r>
                    </w:p>
                  </w:txbxContent>
                </v:textbox>
                <w10:wrap type="none"/>
              </v:shape>
            </v:group>
          </v:group>
        </w:pict>
      </w:r>
      <w:r>
        <w:rPr>
          <w:rFonts w:ascii="宋体" w:hAnsi="宋体" w:cs="宋体" w:eastAsia="宋体" w:hint="default"/>
          <w:position w:val="-49"/>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5"/>
          <w:szCs w:val="15"/>
        </w:rPr>
      </w:pPr>
    </w:p>
    <w:p>
      <w:pPr>
        <w:pStyle w:val="Heading5"/>
        <w:tabs>
          <w:tab w:pos="851" w:val="left" w:leader="none"/>
        </w:tabs>
        <w:spacing w:line="240" w:lineRule="auto"/>
        <w:ind w:right="3681"/>
        <w:jc w:val="left"/>
        <w:rPr>
          <w:b w:val="0"/>
          <w:bCs w:val="0"/>
        </w:rPr>
      </w:pPr>
      <w:r>
        <w:rPr>
          <w:rFonts w:ascii="Times New Roman" w:hAnsi="Times New Roman" w:cs="Times New Roman" w:eastAsia="Times New Roman" w:hint="default"/>
          <w:w w:val="95"/>
        </w:rPr>
        <w:t>(</w:t>
      </w:r>
      <w:r>
        <w:rPr>
          <w:w w:val="95"/>
        </w:rPr>
        <w:t>九</w:t>
      </w:r>
      <w:r>
        <w:rPr>
          <w:rFonts w:ascii="Times New Roman" w:hAnsi="Times New Roman" w:cs="Times New Roman" w:eastAsia="Times New Roman" w:hint="default"/>
          <w:w w:val="95"/>
        </w:rPr>
        <w:t>)</w:t>
        <w:tab/>
      </w:r>
      <w:r>
        <w:rPr/>
        <w:t>长期应收款</w:t>
      </w:r>
      <w:r>
        <w:rPr>
          <w:b w:val="0"/>
          <w:bCs w:val="0"/>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1"/>
          <w:szCs w:val="11"/>
        </w:rPr>
      </w:pPr>
    </w:p>
    <w:p>
      <w:pPr>
        <w:spacing w:line="1464" w:lineRule="exact"/>
        <w:ind w:left="720" w:right="0" w:firstLine="0"/>
        <w:rPr>
          <w:rFonts w:ascii="宋体" w:hAnsi="宋体" w:cs="宋体" w:eastAsia="宋体" w:hint="default"/>
          <w:sz w:val="20"/>
          <w:szCs w:val="20"/>
        </w:rPr>
      </w:pPr>
      <w:r>
        <w:rPr>
          <w:rFonts w:ascii="宋体" w:hAnsi="宋体" w:cs="宋体" w:eastAsia="宋体" w:hint="default"/>
          <w:position w:val="-28"/>
          <w:sz w:val="20"/>
          <w:szCs w:val="20"/>
        </w:rPr>
        <w:pict>
          <v:group style="width:412.15pt;height:73.2pt;mso-position-horizontal-relative:char;mso-position-vertical-relative:line" coordorigin="0,0" coordsize="8243,1464">
            <v:group style="position:absolute;left:29;top:15;width:1594;height:2" coordorigin="29,15" coordsize="1594,2">
              <v:shape style="position:absolute;left:29;top:15;width:1594;height:2" coordorigin="29,15" coordsize="1594,0" path="m29,15l1623,15e" filled="false" stroked="true" strokeweight="1.5pt" strokecolor="#000000">
                <v:path arrowok="t"/>
              </v:shape>
              <v:shape style="position:absolute;left:1623;top:30;width:10;height:28" type="#_x0000_t75" stroked="false">
                <v:imagedata r:id="rId96" o:title=""/>
              </v:shape>
            </v:group>
            <v:group style="position:absolute;left:1623;top:15;width:2979;height:2" coordorigin="1623,15" coordsize="2979,2">
              <v:shape style="position:absolute;left:1623;top:15;width:2979;height:2" coordorigin="1623,15" coordsize="2979,0" path="m1623,15l4601,15e" filled="false" stroked="true" strokeweight="1.5pt" strokecolor="#000000">
                <v:path arrowok="t"/>
              </v:shape>
              <v:shape style="position:absolute;left:4601;top:30;width:10;height:28" type="#_x0000_t75" stroked="false">
                <v:imagedata r:id="rId96" o:title=""/>
              </v:shape>
            </v:group>
            <v:group style="position:absolute;left:4601;top:15;width:2873;height:2" coordorigin="4601,15" coordsize="2873,2">
              <v:shape style="position:absolute;left:4601;top:15;width:2873;height:2" coordorigin="4601,15" coordsize="2873,0" path="m4601,15l7474,15e" filled="false" stroked="true" strokeweight="1.5pt" strokecolor="#000000">
                <v:path arrowok="t"/>
              </v:shape>
              <v:shape style="position:absolute;left:7474;top:30;width:10;height:28" type="#_x0000_t75" stroked="false">
                <v:imagedata r:id="rId96" o:title=""/>
              </v:shape>
            </v:group>
            <v:group style="position:absolute;left:7474;top:15;width:743;height:2" coordorigin="7474,15" coordsize="743,2">
              <v:shape style="position:absolute;left:7474;top:15;width:743;height:2" coordorigin="7474,15" coordsize="743,0" path="m7474,15l8217,15e" filled="false" stroked="true" strokeweight="1.5pt" strokecolor="#000000">
                <v:path arrowok="t"/>
              </v:shape>
              <v:shape style="position:absolute;left:1604;top:38;width:5899;height:708" type="#_x0000_t75" stroked="false">
                <v:imagedata r:id="rId165" o:title=""/>
              </v:shape>
            </v:group>
            <v:group style="position:absolute;left:15;top:1449;width:1608;height:2" coordorigin="15,1449" coordsize="1608,2">
              <v:shape style="position:absolute;left:15;top:1449;width:1608;height:2" coordorigin="15,1449" coordsize="1608,0" path="m15,1449l1623,1449e" filled="false" stroked="true" strokeweight="1.5pt" strokecolor="#000000">
                <v:path arrowok="t"/>
              </v:shape>
            </v:group>
            <v:group style="position:absolute;left:1623;top:1449;width:1191;height:2" coordorigin="1623,1449" coordsize="1191,2">
              <v:shape style="position:absolute;left:1623;top:1449;width:1191;height:2" coordorigin="1623,1449" coordsize="1191,0" path="m1623,1449l2813,1449e" filled="false" stroked="true" strokeweight="1.5pt" strokecolor="#000000">
                <v:path arrowok="t"/>
              </v:shape>
            </v:group>
            <v:group style="position:absolute;left:2813;top:1449;width:864;height:2" coordorigin="2813,1449" coordsize="864,2">
              <v:shape style="position:absolute;left:2813;top:1449;width:864;height:2" coordorigin="2813,1449" coordsize="864,0" path="m2813,1449l3677,1449e" filled="false" stroked="true" strokeweight="1.5pt" strokecolor="#000000">
                <v:path arrowok="t"/>
              </v:shape>
            </v:group>
            <v:group style="position:absolute;left:3677;top:1449;width:924;height:2" coordorigin="3677,1449" coordsize="924,2">
              <v:shape style="position:absolute;left:3677;top:1449;width:924;height:2" coordorigin="3677,1449" coordsize="924,0" path="m3677,1449l4601,1449e" filled="false" stroked="true" strokeweight="1.5pt" strokecolor="#000000">
                <v:path arrowok="t"/>
              </v:shape>
            </v:group>
            <v:group style="position:absolute;left:4601;top:1449;width:1043;height:2" coordorigin="4601,1449" coordsize="1043,2">
              <v:shape style="position:absolute;left:4601;top:1449;width:1043;height:2" coordorigin="4601,1449" coordsize="1043,0" path="m4601,1449l5644,1449e" filled="false" stroked="true" strokeweight="1.5pt" strokecolor="#000000">
                <v:path arrowok="t"/>
              </v:shape>
            </v:group>
            <v:group style="position:absolute;left:5644;top:1449;width:893;height:2" coordorigin="5644,1449" coordsize="893,2">
              <v:shape style="position:absolute;left:5644;top:1449;width:893;height:2" coordorigin="5644,1449" coordsize="893,0" path="m5644,1449l6537,1449e" filled="false" stroked="true" strokeweight="1.5pt" strokecolor="#000000">
                <v:path arrowok="t"/>
              </v:shape>
            </v:group>
            <v:group style="position:absolute;left:6537;top:1449;width:938;height:2" coordorigin="6537,1449" coordsize="938,2">
              <v:shape style="position:absolute;left:6537;top:1449;width:938;height:2" coordorigin="6537,1449" coordsize="938,0" path="m6537,1449l7474,1449e" filled="false" stroked="true" strokeweight="1.5pt" strokecolor="#000000">
                <v:path arrowok="t"/>
              </v:shape>
              <v:shape style="position:absolute;left:10;top:708;width:8232;height:726" type="#_x0000_t75" stroked="false">
                <v:imagedata r:id="rId166" o:title=""/>
              </v:shape>
            </v:group>
            <v:group style="position:absolute;left:7474;top:1449;width:743;height:2" coordorigin="7474,1449" coordsize="743,2">
              <v:shape style="position:absolute;left:7474;top:1449;width:743;height:2" coordorigin="7474,1449" coordsize="743,0" path="m7474,1449l8217,1449e" filled="false" stroked="true" strokeweight="1.5pt" strokecolor="#000000">
                <v:path arrowok="t"/>
              </v:shape>
              <v:shape style="position:absolute;left:2795;top:121;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5722;top:121;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年初余额</w:t>
                      </w:r>
                      <w:r>
                        <w:rPr>
                          <w:rFonts w:ascii="宋体" w:hAnsi="宋体" w:cs="宋体" w:eastAsia="宋体" w:hint="default"/>
                          <w:sz w:val="16"/>
                          <w:szCs w:val="16"/>
                        </w:rPr>
                      </w:r>
                    </w:p>
                  </w:txbxContent>
                </v:textbox>
                <w10:wrap type="none"/>
              </v:shape>
              <v:shape style="position:absolute;left:668;top:298;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项目</w:t>
                      </w:r>
                      <w:r>
                        <w:rPr>
                          <w:rFonts w:ascii="宋体" w:hAnsi="宋体" w:cs="宋体" w:eastAsia="宋体" w:hint="default"/>
                          <w:sz w:val="16"/>
                          <w:szCs w:val="16"/>
                        </w:rPr>
                      </w:r>
                    </w:p>
                  </w:txbxContent>
                </v:textbox>
                <w10:wrap type="none"/>
              </v:shape>
              <v:shape style="position:absolute;left:1903;top:475;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账面余额</w:t>
                      </w:r>
                      <w:r>
                        <w:rPr>
                          <w:rFonts w:ascii="宋体" w:hAnsi="宋体" w:cs="宋体" w:eastAsia="宋体" w:hint="default"/>
                          <w:sz w:val="16"/>
                          <w:szCs w:val="16"/>
                        </w:rPr>
                      </w:r>
                    </w:p>
                  </w:txbxContent>
                </v:textbox>
                <w10:wrap type="none"/>
              </v:shape>
              <v:shape style="position:absolute;left:2930;top:475;width:1533;height:160" type="#_x0000_t202" filled="false" stroked="false">
                <v:textbox inset="0,0,0,0">
                  <w:txbxContent>
                    <w:p>
                      <w:pPr>
                        <w:tabs>
                          <w:tab w:pos="893" w:val="left" w:leader="none"/>
                        </w:tabs>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坏账准备</w:t>
                        <w:tab/>
                        <w:t>账面价值</w:t>
                      </w:r>
                      <w:r>
                        <w:rPr>
                          <w:rFonts w:ascii="宋体" w:hAnsi="宋体" w:cs="宋体" w:eastAsia="宋体" w:hint="default"/>
                          <w:sz w:val="16"/>
                          <w:szCs w:val="16"/>
                        </w:rPr>
                      </w:r>
                    </w:p>
                  </w:txbxContent>
                </v:textbox>
                <w10:wrap type="none"/>
              </v:shape>
              <v:shape style="position:absolute;left:4807;top:475;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账面余额</w:t>
                      </w:r>
                      <w:r>
                        <w:rPr>
                          <w:rFonts w:ascii="宋体" w:hAnsi="宋体" w:cs="宋体" w:eastAsia="宋体" w:hint="default"/>
                          <w:sz w:val="16"/>
                          <w:szCs w:val="16"/>
                        </w:rPr>
                      </w:r>
                    </w:p>
                  </w:txbxContent>
                </v:textbox>
                <w10:wrap type="none"/>
              </v:shape>
              <v:shape style="position:absolute;left:5774;top:475;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坏账准备</w:t>
                      </w:r>
                      <w:r>
                        <w:rPr>
                          <w:rFonts w:ascii="宋体" w:hAnsi="宋体" w:cs="宋体" w:eastAsia="宋体" w:hint="default"/>
                          <w:sz w:val="16"/>
                          <w:szCs w:val="16"/>
                        </w:rPr>
                      </w:r>
                    </w:p>
                  </w:txbxContent>
                </v:textbox>
                <w10:wrap type="none"/>
              </v:shape>
              <v:shape style="position:absolute;left:6689;top:475;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账面价值</w:t>
                      </w:r>
                      <w:r>
                        <w:rPr>
                          <w:rFonts w:ascii="宋体" w:hAnsi="宋体" w:cs="宋体" w:eastAsia="宋体" w:hint="default"/>
                          <w:sz w:val="16"/>
                          <w:szCs w:val="16"/>
                        </w:rPr>
                      </w:r>
                    </w:p>
                  </w:txbxContent>
                </v:textbox>
                <w10:wrap type="none"/>
              </v:shape>
              <v:shape style="position:absolute;left:7607;top:194;width:479;height:368" type="#_x0000_t202" filled="false" stroked="false">
                <v:textbox inset="0,0,0,0">
                  <w:txbxContent>
                    <w:p>
                      <w:pPr>
                        <w:spacing w:line="159" w:lineRule="exact" w:before="0"/>
                        <w:ind w:left="79" w:right="0" w:hanging="80"/>
                        <w:jc w:val="left"/>
                        <w:rPr>
                          <w:rFonts w:ascii="宋体" w:hAnsi="宋体" w:cs="宋体" w:eastAsia="宋体" w:hint="default"/>
                          <w:sz w:val="16"/>
                          <w:szCs w:val="16"/>
                        </w:rPr>
                      </w:pPr>
                      <w:r>
                        <w:rPr>
                          <w:rFonts w:ascii="宋体" w:hAnsi="宋体" w:cs="宋体" w:eastAsia="宋体" w:hint="default"/>
                          <w:w w:val="95"/>
                          <w:sz w:val="16"/>
                          <w:szCs w:val="16"/>
                        </w:rPr>
                        <w:t>折现率</w:t>
                      </w:r>
                      <w:r>
                        <w:rPr>
                          <w:rFonts w:ascii="宋体" w:hAnsi="宋体" w:cs="宋体" w:eastAsia="宋体" w:hint="default"/>
                          <w:sz w:val="16"/>
                          <w:szCs w:val="16"/>
                        </w:rPr>
                      </w:r>
                    </w:p>
                    <w:p>
                      <w:pPr>
                        <w:spacing w:line="208" w:lineRule="exact" w:before="0"/>
                        <w:ind w:left="79" w:right="0" w:firstLine="0"/>
                        <w:jc w:val="left"/>
                        <w:rPr>
                          <w:rFonts w:ascii="宋体" w:hAnsi="宋体" w:cs="宋体" w:eastAsia="宋体" w:hint="default"/>
                          <w:sz w:val="16"/>
                          <w:szCs w:val="16"/>
                        </w:rPr>
                      </w:pPr>
                      <w:r>
                        <w:rPr>
                          <w:rFonts w:ascii="宋体" w:hAnsi="宋体" w:cs="宋体" w:eastAsia="宋体" w:hint="default"/>
                          <w:sz w:val="16"/>
                          <w:szCs w:val="16"/>
                        </w:rPr>
                        <w:t>区间</w:t>
                      </w:r>
                    </w:p>
                  </w:txbxContent>
                </v:textbox>
                <w10:wrap type="none"/>
              </v:shape>
              <v:shape style="position:absolute;left:137;top:828;width:12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融资租赁款保证金</w:t>
                      </w:r>
                      <w:r>
                        <w:rPr>
                          <w:rFonts w:ascii="宋体" w:hAnsi="宋体" w:cs="宋体" w:eastAsia="宋体" w:hint="default"/>
                          <w:sz w:val="16"/>
                          <w:szCs w:val="16"/>
                        </w:rPr>
                      </w:r>
                    </w:p>
                  </w:txbxContent>
                </v:textbox>
                <w10:wrap type="none"/>
              </v:shape>
              <v:shape style="position:absolute;left:4820;top:842;width:7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500,000.00</w:t>
                      </w:r>
                      <w:r>
                        <w:rPr>
                          <w:rFonts w:ascii="Times New Roman"/>
                          <w:sz w:val="16"/>
                        </w:rPr>
                      </w:r>
                    </w:p>
                  </w:txbxContent>
                </v:textbox>
                <w10:wrap type="none"/>
              </v:shape>
              <v:shape style="position:absolute;left:6650;top:842;width:1438;height:160" type="#_x0000_t202" filled="false" stroked="false">
                <v:textbox inset="0,0,0,0">
                  <w:txbxContent>
                    <w:p>
                      <w:pPr>
                        <w:tabs>
                          <w:tab w:pos="957" w:val="left" w:leader="none"/>
                        </w:tabs>
                        <w:spacing w:line="160" w:lineRule="exact" w:before="0"/>
                        <w:ind w:left="0" w:right="0" w:firstLine="0"/>
                        <w:jc w:val="left"/>
                        <w:rPr>
                          <w:rFonts w:ascii="Times New Roman" w:hAnsi="Times New Roman" w:cs="Times New Roman" w:eastAsia="Times New Roman" w:hint="default"/>
                          <w:sz w:val="16"/>
                          <w:szCs w:val="16"/>
                        </w:rPr>
                      </w:pPr>
                      <w:r>
                        <w:rPr>
                          <w:rFonts w:ascii="Times New Roman"/>
                          <w:spacing w:val="-1"/>
                          <w:sz w:val="16"/>
                        </w:rPr>
                        <w:t>500,000.00</w:t>
                        <w:tab/>
                        <w:t>5%-6%</w:t>
                      </w:r>
                    </w:p>
                  </w:txbxContent>
                </v:textbox>
                <w10:wrap type="none"/>
              </v:shape>
              <v:shape style="position:absolute;left:668;top:1182;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合计</w:t>
                      </w:r>
                      <w:r>
                        <w:rPr>
                          <w:rFonts w:ascii="宋体" w:hAnsi="宋体" w:cs="宋体" w:eastAsia="宋体" w:hint="default"/>
                          <w:sz w:val="16"/>
                          <w:szCs w:val="16"/>
                        </w:rPr>
                      </w:r>
                    </w:p>
                  </w:txbxContent>
                </v:textbox>
                <w10:wrap type="none"/>
              </v:shape>
              <v:shape style="position:absolute;left:4820;top:1195;width:7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500,000.00</w:t>
                      </w:r>
                      <w:r>
                        <w:rPr>
                          <w:rFonts w:ascii="Times New Roman"/>
                          <w:sz w:val="16"/>
                        </w:rPr>
                      </w:r>
                    </w:p>
                  </w:txbxContent>
                </v:textbox>
                <w10:wrap type="none"/>
              </v:shape>
              <v:shape style="position:absolute;left:6650;top:1195;width:7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500,000.00</w:t>
                      </w:r>
                      <w:r>
                        <w:rPr>
                          <w:rFonts w:ascii="Times New Roman"/>
                          <w:sz w:val="16"/>
                        </w:rPr>
                      </w:r>
                    </w:p>
                  </w:txbxContent>
                </v:textbox>
                <w10:wrap type="none"/>
              </v:shape>
            </v:group>
          </v:group>
        </w:pict>
      </w:r>
      <w:r>
        <w:rPr>
          <w:rFonts w:ascii="宋体" w:hAnsi="宋体" w:cs="宋体" w:eastAsia="宋体" w:hint="default"/>
          <w:position w:val="-28"/>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3"/>
          <w:szCs w:val="23"/>
        </w:rPr>
      </w:pPr>
    </w:p>
    <w:p>
      <w:pPr>
        <w:spacing w:before="44"/>
        <w:ind w:left="0" w:right="1657" w:firstLine="0"/>
        <w:jc w:val="center"/>
        <w:rPr>
          <w:rFonts w:ascii="宋体" w:hAnsi="宋体" w:cs="宋体" w:eastAsia="宋体" w:hint="default"/>
          <w:sz w:val="18"/>
          <w:szCs w:val="18"/>
        </w:rPr>
      </w:pPr>
      <w:r>
        <w:rPr/>
        <w:pict>
          <v:shape style="position:absolute;margin-left:535.609985pt;margin-top:29.849024pt;width:59.499296pt;height:26.797393pt;mso-position-horizontal-relative:page;mso-position-vertical-relative:paragraph;z-index:12088" type="#_x0000_t75" stroked="false">
            <v:imagedata r:id="rId79" o:title=""/>
          </v:shape>
        </w:pict>
      </w:r>
      <w:r>
        <w:rPr>
          <w:rFonts w:ascii="宋体" w:hAnsi="宋体" w:cs="宋体" w:eastAsia="宋体" w:hint="default"/>
          <w:sz w:val="18"/>
          <w:szCs w:val="18"/>
        </w:rPr>
        <w:t>财务报表附注第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p>
      <w:pPr>
        <w:spacing w:after="0"/>
        <w:jc w:val="center"/>
        <w:rPr>
          <w:rFonts w:ascii="宋体" w:hAnsi="宋体" w:cs="宋体" w:eastAsia="宋体" w:hint="default"/>
          <w:sz w:val="18"/>
          <w:szCs w:val="18"/>
        </w:rPr>
        <w:sectPr>
          <w:headerReference w:type="default" r:id="rId161"/>
          <w:footerReference w:type="default" r:id="rId162"/>
          <w:pgSz w:w="11910" w:h="16840"/>
          <w:pgMar w:header="1302" w:footer="0" w:top="1520" w:bottom="0" w:left="1660" w:right="0"/>
        </w:sectPr>
      </w:pPr>
    </w:p>
    <w:p>
      <w:pPr>
        <w:spacing w:line="240" w:lineRule="auto" w:before="3"/>
        <w:rPr>
          <w:rFonts w:ascii="宋体" w:hAnsi="宋体" w:cs="宋体" w:eastAsia="宋体" w:hint="default"/>
          <w:sz w:val="24"/>
          <w:szCs w:val="24"/>
        </w:rPr>
      </w:pPr>
    </w:p>
    <w:p>
      <w:pPr>
        <w:pStyle w:val="Heading5"/>
        <w:tabs>
          <w:tab w:pos="853" w:val="left" w:leader="none"/>
        </w:tabs>
        <w:spacing w:line="240" w:lineRule="auto"/>
        <w:ind w:left="139" w:right="0"/>
        <w:jc w:val="left"/>
        <w:rPr>
          <w:b w:val="0"/>
          <w:bCs w:val="0"/>
        </w:rPr>
      </w:pPr>
      <w:r>
        <w:rPr/>
        <w:pict>
          <v:group style="position:absolute;margin-left:101.121002pt;margin-top:17.073685pt;width:682.95pt;height:357.9pt;mso-position-horizontal-relative:page;mso-position-vertical-relative:paragraph;z-index:-1390600" coordorigin="2022,341" coordsize="13659,7158">
            <v:group style="position:absolute;left:2052;top:356;width:2288;height:2" coordorigin="2052,356" coordsize="2288,2">
              <v:shape style="position:absolute;left:2052;top:356;width:2288;height:2" coordorigin="2052,356" coordsize="2288,0" path="m2052,356l4339,356e" filled="false" stroked="true" strokeweight="1.5pt" strokecolor="#000000">
                <v:path arrowok="t"/>
              </v:shape>
              <v:shape style="position:absolute;left:4339;top:371;width:10;height:28" type="#_x0000_t75" stroked="false">
                <v:imagedata r:id="rId169" o:title=""/>
              </v:shape>
            </v:group>
            <v:group style="position:absolute;left:4339;top:356;width:1234;height:2" coordorigin="4339,356" coordsize="1234,2">
              <v:shape style="position:absolute;left:4339;top:356;width:1234;height:2" coordorigin="4339,356" coordsize="1234,0" path="m4339,356l5573,356e" filled="false" stroked="true" strokeweight="1.5pt" strokecolor="#000000">
                <v:path arrowok="t"/>
              </v:shape>
              <v:shape style="position:absolute;left:5573;top:371;width:10;height:28" type="#_x0000_t75" stroked="false">
                <v:imagedata r:id="rId169" o:title=""/>
              </v:shape>
            </v:group>
            <v:group style="position:absolute;left:5573;top:356;width:7023;height:2" coordorigin="5573,356" coordsize="7023,2">
              <v:shape style="position:absolute;left:5573;top:356;width:7023;height:2" coordorigin="5573,356" coordsize="7023,0" path="m5573,356l12595,356e" filled="false" stroked="true" strokeweight="1.5pt" strokecolor="#000000">
                <v:path arrowok="t"/>
              </v:shape>
              <v:shape style="position:absolute;left:12595;top:371;width:10;height:28" type="#_x0000_t75" stroked="false">
                <v:imagedata r:id="rId169" o:title=""/>
              </v:shape>
            </v:group>
            <v:group style="position:absolute;left:12595;top:356;width:1323;height:2" coordorigin="12595,356" coordsize="1323,2">
              <v:shape style="position:absolute;left:12595;top:356;width:1323;height:2" coordorigin="12595,356" coordsize="1323,0" path="m12595,356l13917,356e" filled="false" stroked="true" strokeweight="1.5pt" strokecolor="#000000">
                <v:path arrowok="t"/>
              </v:shape>
              <v:shape style="position:absolute;left:13917;top:371;width:10;height:28" type="#_x0000_t75" stroked="false">
                <v:imagedata r:id="rId169" o:title=""/>
              </v:shape>
            </v:group>
            <v:group style="position:absolute;left:13917;top:356;width:776;height:2" coordorigin="13917,356" coordsize="776,2">
              <v:shape style="position:absolute;left:13917;top:356;width:776;height:2" coordorigin="13917,356" coordsize="776,0" path="m13917,356l14693,356e" filled="false" stroked="true" strokeweight="1.5pt" strokecolor="#000000">
                <v:path arrowok="t"/>
              </v:shape>
              <v:shape style="position:absolute;left:14693;top:371;width:10;height:28" type="#_x0000_t75" stroked="false">
                <v:imagedata r:id="rId169" o:title=""/>
              </v:shape>
            </v:group>
            <v:group style="position:absolute;left:14693;top:356;width:968;height:2" coordorigin="14693,356" coordsize="968,2">
              <v:shape style="position:absolute;left:14693;top:356;width:968;height:2" coordorigin="14693,356" coordsize="968,0" path="m14693,356l15660,356e" filled="false" stroked="true" strokeweight="1.5pt" strokecolor="#000000">
                <v:path arrowok="t"/>
              </v:shape>
              <v:shape style="position:absolute;left:4320;top:380;width:10402;height:1122" type="#_x0000_t75" stroked="false">
                <v:imagedata r:id="rId170" o:title=""/>
              </v:shape>
            </v:group>
            <v:group style="position:absolute;left:2037;top:7484;width:2302;height:2" coordorigin="2037,7484" coordsize="2302,2">
              <v:shape style="position:absolute;left:2037;top:7484;width:2302;height:2" coordorigin="2037,7484" coordsize="2302,0" path="m2037,7484l4339,7484e" filled="false" stroked="true" strokeweight="1.5pt" strokecolor="#000000">
                <v:path arrowok="t"/>
              </v:shape>
            </v:group>
            <v:group style="position:absolute;left:4339;top:7484;width:1234;height:2" coordorigin="4339,7484" coordsize="1234,2">
              <v:shape style="position:absolute;left:4339;top:7484;width:1234;height:2" coordorigin="4339,7484" coordsize="1234,0" path="m4339,7484l5573,7484e" filled="false" stroked="true" strokeweight="1.5pt" strokecolor="#000000">
                <v:path arrowok="t"/>
              </v:shape>
            </v:group>
            <v:group style="position:absolute;left:5573;top:7484;width:1324;height:2" coordorigin="5573,7484" coordsize="1324,2">
              <v:shape style="position:absolute;left:5573;top:7484;width:1324;height:2" coordorigin="5573,7484" coordsize="1324,0" path="m5573,7484l6896,7484e" filled="false" stroked="true" strokeweight="1.5pt" strokecolor="#000000">
                <v:path arrowok="t"/>
              </v:shape>
            </v:group>
            <v:group style="position:absolute;left:6896;top:7484;width:724;height:2" coordorigin="6896,7484" coordsize="724,2">
              <v:shape style="position:absolute;left:6896;top:7484;width:724;height:2" coordorigin="6896,7484" coordsize="724,0" path="m6896,7484l7620,7484e" filled="false" stroked="true" strokeweight="1.5pt" strokecolor="#000000">
                <v:path arrowok="t"/>
              </v:shape>
            </v:group>
            <v:group style="position:absolute;left:7620;top:7484;width:1294;height:2" coordorigin="7620,7484" coordsize="1294,2">
              <v:shape style="position:absolute;left:7620;top:7484;width:1294;height:2" coordorigin="7620,7484" coordsize="1294,0" path="m7620,7484l8913,7484e" filled="false" stroked="true" strokeweight="1.5pt" strokecolor="#000000">
                <v:path arrowok="t"/>
              </v:shape>
            </v:group>
            <v:group style="position:absolute;left:8913;top:7484;width:827;height:2" coordorigin="8913,7484" coordsize="827,2">
              <v:shape style="position:absolute;left:8913;top:7484;width:827;height:2" coordorigin="8913,7484" coordsize="827,0" path="m8913,7484l9740,7484e" filled="false" stroked="true" strokeweight="1.5pt" strokecolor="#000000">
                <v:path arrowok="t"/>
              </v:shape>
            </v:group>
            <v:group style="position:absolute;left:9740;top:7484;width:777;height:2" coordorigin="9740,7484" coordsize="777,2">
              <v:shape style="position:absolute;left:9740;top:7484;width:777;height:2" coordorigin="9740,7484" coordsize="777,0" path="m9740,7484l10517,7484e" filled="false" stroked="true" strokeweight="1.5pt" strokecolor="#000000">
                <v:path arrowok="t"/>
              </v:shape>
            </v:group>
            <v:group style="position:absolute;left:10517;top:7484;width:936;height:2" coordorigin="10517,7484" coordsize="936,2">
              <v:shape style="position:absolute;left:10517;top:7484;width:936;height:2" coordorigin="10517,7484" coordsize="936,0" path="m10517,7484l11453,7484e" filled="false" stroked="true" strokeweight="1.5pt" strokecolor="#000000">
                <v:path arrowok="t"/>
              </v:shape>
            </v:group>
            <v:group style="position:absolute;left:11453;top:7484;width:1143;height:2" coordorigin="11453,7484" coordsize="1143,2">
              <v:shape style="position:absolute;left:11453;top:7484;width:1143;height:2" coordorigin="11453,7484" coordsize="1143,0" path="m11453,7484l12595,7484e" filled="false" stroked="true" strokeweight="1.5pt" strokecolor="#000000">
                <v:path arrowok="t"/>
              </v:shape>
            </v:group>
            <v:group style="position:absolute;left:12595;top:7484;width:1323;height:2" coordorigin="12595,7484" coordsize="1323,2">
              <v:shape style="position:absolute;left:12595;top:7484;width:1323;height:2" coordorigin="12595,7484" coordsize="1323,0" path="m12595,7484l13917,7484e" filled="false" stroked="true" strokeweight="1.5pt" strokecolor="#000000">
                <v:path arrowok="t"/>
              </v:shape>
            </v:group>
            <v:group style="position:absolute;left:13917;top:7484;width:776;height:2" coordorigin="13917,7484" coordsize="776,2">
              <v:shape style="position:absolute;left:13917;top:7484;width:776;height:2" coordorigin="13917,7484" coordsize="776,0" path="m13917,7484l14693,7484e" filled="false" stroked="true" strokeweight="1.5pt" strokecolor="#000000">
                <v:path arrowok="t"/>
              </v:shape>
              <v:shape style="position:absolute;left:2033;top:1463;width:13649;height:6006" type="#_x0000_t75" stroked="false">
                <v:imagedata r:id="rId171" o:title=""/>
              </v:shape>
            </v:group>
            <v:group style="position:absolute;left:14693;top:7484;width:968;height:2" coordorigin="14693,7484" coordsize="968,2">
              <v:shape style="position:absolute;left:14693;top:7484;width:968;height:2" coordorigin="14693,7484" coordsize="968,0" path="m14693,7484l15660,7484e" filled="false" stroked="true" strokeweight="1.5pt" strokecolor="#000000">
                <v:path arrowok="t"/>
              </v:shape>
              <v:shape style="position:absolute;left:8609;top:462;width:95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本期增减变动</w:t>
                      </w:r>
                      <w:r>
                        <w:rPr>
                          <w:rFonts w:ascii="宋体" w:hAnsi="宋体" w:cs="宋体" w:eastAsia="宋体" w:hint="default"/>
                          <w:sz w:val="16"/>
                          <w:szCs w:val="16"/>
                        </w:rPr>
                      </w:r>
                    </w:p>
                  </w:txbxContent>
                </v:textbox>
                <w10:wrap type="none"/>
              </v:shape>
              <v:shape style="position:absolute;left:2797;top:846;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被投资单位</w:t>
                      </w:r>
                      <w:r>
                        <w:rPr>
                          <w:rFonts w:ascii="宋体" w:hAnsi="宋体" w:cs="宋体" w:eastAsia="宋体" w:hint="default"/>
                          <w:sz w:val="16"/>
                          <w:szCs w:val="16"/>
                        </w:rPr>
                      </w:r>
                    </w:p>
                  </w:txbxContent>
                </v:textbox>
                <w10:wrap type="none"/>
              </v:shape>
              <v:shape style="position:absolute;left:4640;top:846;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年初余额</w:t>
                      </w:r>
                      <w:r>
                        <w:rPr>
                          <w:rFonts w:ascii="宋体" w:hAnsi="宋体" w:cs="宋体" w:eastAsia="宋体" w:hint="default"/>
                          <w:sz w:val="16"/>
                          <w:szCs w:val="16"/>
                        </w:rPr>
                      </w:r>
                    </w:p>
                  </w:txbxContent>
                </v:textbox>
                <w10:wrap type="none"/>
              </v:shape>
              <v:shape style="position:absolute;left:5919;top:1024;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追加投资</w:t>
                      </w:r>
                      <w:r>
                        <w:rPr>
                          <w:rFonts w:ascii="宋体" w:hAnsi="宋体" w:cs="宋体" w:eastAsia="宋体" w:hint="default"/>
                          <w:sz w:val="16"/>
                          <w:szCs w:val="16"/>
                        </w:rPr>
                      </w:r>
                    </w:p>
                  </w:txbxContent>
                </v:textbox>
                <w10:wrap type="none"/>
              </v:shape>
              <v:shape style="position:absolute;left:7103;top:900;width:320;height:407"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减少</w:t>
                      </w:r>
                      <w:r>
                        <w:rPr>
                          <w:rFonts w:ascii="宋体" w:hAnsi="宋体" w:cs="宋体" w:eastAsia="宋体" w:hint="default"/>
                          <w:sz w:val="16"/>
                          <w:szCs w:val="16"/>
                        </w:rPr>
                      </w:r>
                    </w:p>
                    <w:p>
                      <w:pPr>
                        <w:spacing w:before="38"/>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投资</w:t>
                      </w:r>
                      <w:r>
                        <w:rPr>
                          <w:rFonts w:ascii="宋体" w:hAnsi="宋体" w:cs="宋体" w:eastAsia="宋体" w:hint="default"/>
                          <w:sz w:val="16"/>
                          <w:szCs w:val="16"/>
                        </w:rPr>
                      </w:r>
                    </w:p>
                  </w:txbxContent>
                </v:textbox>
                <w10:wrap type="none"/>
              </v:shape>
              <v:shape style="position:absolute;left:7791;top:920;width:959;height:368" type="#_x0000_t202" filled="false" stroked="false">
                <v:textbox inset="0,0,0,0">
                  <w:txbxContent>
                    <w:p>
                      <w:pPr>
                        <w:spacing w:line="159" w:lineRule="exact" w:before="0"/>
                        <w:ind w:left="79" w:right="0" w:hanging="80"/>
                        <w:jc w:val="left"/>
                        <w:rPr>
                          <w:rFonts w:ascii="宋体" w:hAnsi="宋体" w:cs="宋体" w:eastAsia="宋体" w:hint="default"/>
                          <w:sz w:val="16"/>
                          <w:szCs w:val="16"/>
                        </w:rPr>
                      </w:pPr>
                      <w:r>
                        <w:rPr>
                          <w:rFonts w:ascii="宋体" w:hAnsi="宋体" w:cs="宋体" w:eastAsia="宋体" w:hint="default"/>
                          <w:w w:val="95"/>
                          <w:sz w:val="16"/>
                          <w:szCs w:val="16"/>
                        </w:rPr>
                        <w:t>权益法下确认</w:t>
                      </w:r>
                      <w:r>
                        <w:rPr>
                          <w:rFonts w:ascii="宋体" w:hAnsi="宋体" w:cs="宋体" w:eastAsia="宋体" w:hint="default"/>
                          <w:sz w:val="16"/>
                          <w:szCs w:val="16"/>
                        </w:rPr>
                      </w:r>
                    </w:p>
                    <w:p>
                      <w:pPr>
                        <w:spacing w:line="208" w:lineRule="exact" w:before="0"/>
                        <w:ind w:left="79" w:right="0" w:firstLine="0"/>
                        <w:jc w:val="left"/>
                        <w:rPr>
                          <w:rFonts w:ascii="宋体" w:hAnsi="宋体" w:cs="宋体" w:eastAsia="宋体" w:hint="default"/>
                          <w:sz w:val="16"/>
                          <w:szCs w:val="16"/>
                        </w:rPr>
                      </w:pPr>
                      <w:r>
                        <w:rPr>
                          <w:rFonts w:ascii="宋体" w:hAnsi="宋体" w:cs="宋体" w:eastAsia="宋体" w:hint="default"/>
                          <w:sz w:val="16"/>
                          <w:szCs w:val="16"/>
                        </w:rPr>
                        <w:t>的投资损益</w:t>
                      </w:r>
                    </w:p>
                  </w:txbxContent>
                </v:textbox>
                <w10:wrap type="none"/>
              </v:shape>
              <v:shape style="position:absolute;left:9091;top:816;width:479;height:575" type="#_x0000_t202" filled="false" stroked="false">
                <v:textbox inset="0,0,0,0">
                  <w:txbxContent>
                    <w:p>
                      <w:pPr>
                        <w:spacing w:line="158"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其他综</w:t>
                      </w:r>
                      <w:r>
                        <w:rPr>
                          <w:rFonts w:ascii="宋体" w:hAnsi="宋体" w:cs="宋体" w:eastAsia="宋体" w:hint="default"/>
                          <w:sz w:val="16"/>
                          <w:szCs w:val="16"/>
                        </w:rPr>
                      </w:r>
                    </w:p>
                    <w:p>
                      <w:pPr>
                        <w:spacing w:before="0"/>
                        <w:ind w:left="80" w:right="0" w:hanging="81"/>
                        <w:jc w:val="left"/>
                        <w:rPr>
                          <w:rFonts w:ascii="宋体" w:hAnsi="宋体" w:cs="宋体" w:eastAsia="宋体" w:hint="default"/>
                          <w:sz w:val="16"/>
                          <w:szCs w:val="16"/>
                        </w:rPr>
                      </w:pPr>
                      <w:r>
                        <w:rPr>
                          <w:rFonts w:ascii="宋体" w:hAnsi="宋体" w:cs="宋体" w:eastAsia="宋体" w:hint="default"/>
                          <w:w w:val="95"/>
                          <w:sz w:val="16"/>
                          <w:szCs w:val="16"/>
                        </w:rPr>
                        <w:t>合收益</w:t>
                      </w:r>
                      <w:r>
                        <w:rPr>
                          <w:rFonts w:ascii="宋体" w:hAnsi="宋体" w:cs="宋体" w:eastAsia="宋体" w:hint="default"/>
                          <w:spacing w:val="-54"/>
                          <w:w w:val="95"/>
                          <w:sz w:val="16"/>
                          <w:szCs w:val="16"/>
                        </w:rPr>
                        <w:t> </w:t>
                      </w:r>
                      <w:r>
                        <w:rPr>
                          <w:rFonts w:ascii="宋体" w:hAnsi="宋体" w:cs="宋体" w:eastAsia="宋体" w:hint="default"/>
                          <w:sz w:val="16"/>
                          <w:szCs w:val="16"/>
                        </w:rPr>
                        <w:t>调整</w:t>
                      </w:r>
                    </w:p>
                  </w:txbxContent>
                </v:textbox>
                <w10:wrap type="none"/>
              </v:shape>
              <v:shape style="position:absolute;left:9893;top:920;width:479;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其他权</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益变动</w:t>
                      </w:r>
                      <w:r>
                        <w:rPr>
                          <w:rFonts w:ascii="宋体" w:hAnsi="宋体" w:cs="宋体" w:eastAsia="宋体" w:hint="default"/>
                          <w:sz w:val="16"/>
                          <w:szCs w:val="16"/>
                        </w:rPr>
                      </w:r>
                    </w:p>
                  </w:txbxContent>
                </v:textbox>
                <w10:wrap type="none"/>
              </v:shape>
              <v:shape style="position:absolute;left:10668;top:816;width:639;height:575" type="#_x0000_t202" filled="false" stroked="false">
                <v:textbox inset="0,0,0,0">
                  <w:txbxContent>
                    <w:p>
                      <w:pPr>
                        <w:spacing w:line="158"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宣告发放</w:t>
                      </w:r>
                      <w:r>
                        <w:rPr>
                          <w:rFonts w:ascii="宋体" w:hAnsi="宋体" w:cs="宋体" w:eastAsia="宋体" w:hint="default"/>
                          <w:sz w:val="16"/>
                          <w:szCs w:val="16"/>
                        </w:rPr>
                      </w:r>
                    </w:p>
                    <w:p>
                      <w:pPr>
                        <w:spacing w:before="0"/>
                        <w:ind w:left="80" w:right="0" w:hanging="81"/>
                        <w:jc w:val="left"/>
                        <w:rPr>
                          <w:rFonts w:ascii="宋体" w:hAnsi="宋体" w:cs="宋体" w:eastAsia="宋体" w:hint="default"/>
                          <w:sz w:val="16"/>
                          <w:szCs w:val="16"/>
                        </w:rPr>
                      </w:pPr>
                      <w:r>
                        <w:rPr>
                          <w:rFonts w:ascii="宋体" w:hAnsi="宋体" w:cs="宋体" w:eastAsia="宋体" w:hint="default"/>
                          <w:w w:val="95"/>
                          <w:sz w:val="16"/>
                          <w:szCs w:val="16"/>
                        </w:rPr>
                        <w:t>现金股利</w:t>
                      </w:r>
                      <w:r>
                        <w:rPr>
                          <w:rFonts w:ascii="宋体" w:hAnsi="宋体" w:cs="宋体" w:eastAsia="宋体" w:hint="default"/>
                          <w:spacing w:val="-46"/>
                          <w:w w:val="95"/>
                          <w:sz w:val="16"/>
                          <w:szCs w:val="16"/>
                        </w:rPr>
                        <w:t> </w:t>
                      </w:r>
                      <w:r>
                        <w:rPr>
                          <w:rFonts w:ascii="宋体" w:hAnsi="宋体" w:cs="宋体" w:eastAsia="宋体" w:hint="default"/>
                          <w:sz w:val="16"/>
                          <w:szCs w:val="16"/>
                        </w:rPr>
                        <w:t>或利润</w:t>
                      </w:r>
                    </w:p>
                  </w:txbxContent>
                </v:textbox>
                <w10:wrap type="none"/>
              </v:shape>
              <v:shape style="position:absolute;left:12941;top:846;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11869;top:1024;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其他</w:t>
                      </w:r>
                      <w:r>
                        <w:rPr>
                          <w:rFonts w:ascii="宋体" w:hAnsi="宋体" w:cs="宋体" w:eastAsia="宋体" w:hint="default"/>
                          <w:sz w:val="16"/>
                          <w:szCs w:val="16"/>
                        </w:rPr>
                      </w:r>
                    </w:p>
                  </w:txbxContent>
                </v:textbox>
                <w10:wrap type="none"/>
              </v:shape>
              <v:shape style="position:absolute;left:14070;top:639;width:479;height:576"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本期计</w:t>
                      </w:r>
                      <w:r>
                        <w:rPr>
                          <w:rFonts w:ascii="宋体" w:hAnsi="宋体" w:cs="宋体" w:eastAsia="宋体" w:hint="default"/>
                          <w:sz w:val="16"/>
                          <w:szCs w:val="16"/>
                        </w:rPr>
                      </w:r>
                    </w:p>
                    <w:p>
                      <w:pPr>
                        <w:spacing w:before="0"/>
                        <w:ind w:left="80" w:right="0" w:hanging="81"/>
                        <w:jc w:val="left"/>
                        <w:rPr>
                          <w:rFonts w:ascii="宋体" w:hAnsi="宋体" w:cs="宋体" w:eastAsia="宋体" w:hint="default"/>
                          <w:sz w:val="16"/>
                          <w:szCs w:val="16"/>
                        </w:rPr>
                      </w:pPr>
                      <w:r>
                        <w:rPr>
                          <w:rFonts w:ascii="宋体" w:hAnsi="宋体" w:cs="宋体" w:eastAsia="宋体" w:hint="default"/>
                          <w:w w:val="95"/>
                          <w:sz w:val="16"/>
                          <w:szCs w:val="16"/>
                        </w:rPr>
                        <w:t>提减值</w:t>
                      </w:r>
                      <w:r>
                        <w:rPr>
                          <w:rFonts w:ascii="宋体" w:hAnsi="宋体" w:cs="宋体" w:eastAsia="宋体" w:hint="default"/>
                          <w:spacing w:val="-54"/>
                          <w:w w:val="95"/>
                          <w:sz w:val="16"/>
                          <w:szCs w:val="16"/>
                        </w:rPr>
                        <w:t> </w:t>
                      </w:r>
                      <w:r>
                        <w:rPr>
                          <w:rFonts w:ascii="宋体" w:hAnsi="宋体" w:cs="宋体" w:eastAsia="宋体" w:hint="default"/>
                          <w:sz w:val="16"/>
                          <w:szCs w:val="16"/>
                        </w:rPr>
                        <w:t>准备</w:t>
                      </w:r>
                    </w:p>
                  </w:txbxContent>
                </v:textbox>
                <w10:wrap type="none"/>
              </v:shape>
              <v:shape style="position:absolute;left:14858;top:743;width:639;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减值准备</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2160;top:1584;width:1919;height:1221" type="#_x0000_t202" filled="false" stroked="false">
                <v:textbox inset="0,0,0,0">
                  <w:txbxContent>
                    <w:p>
                      <w:pPr>
                        <w:spacing w:line="172" w:lineRule="exact" w:before="0"/>
                        <w:ind w:left="0" w:right="0" w:firstLine="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宋体" w:hAnsi="宋体" w:cs="宋体" w:eastAsia="宋体" w:hint="default"/>
                          <w:sz w:val="16"/>
                          <w:szCs w:val="16"/>
                        </w:rPr>
                        <w:t>．合营企业</w:t>
                      </w:r>
                    </w:p>
                    <w:p>
                      <w:pPr>
                        <w:spacing w:before="132"/>
                        <w:ind w:left="0" w:right="0" w:firstLine="0"/>
                        <w:jc w:val="left"/>
                        <w:rPr>
                          <w:rFonts w:ascii="宋体" w:hAnsi="宋体" w:cs="宋体" w:eastAsia="宋体" w:hint="default"/>
                          <w:sz w:val="16"/>
                          <w:szCs w:val="16"/>
                        </w:rPr>
                      </w:pPr>
                      <w:r>
                        <w:rPr>
                          <w:rFonts w:ascii="宋体" w:hAnsi="宋体" w:cs="宋体" w:eastAsia="宋体" w:hint="default"/>
                          <w:sz w:val="16"/>
                          <w:szCs w:val="16"/>
                        </w:rPr>
                        <w:t>小计</w:t>
                      </w:r>
                    </w:p>
                    <w:p>
                      <w:pPr>
                        <w:spacing w:line="340" w:lineRule="atLeast" w:before="25"/>
                        <w:ind w:left="0" w:right="0" w:firstLine="0"/>
                        <w:jc w:val="left"/>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宋体" w:hAnsi="宋体" w:cs="宋体" w:eastAsia="宋体" w:hint="default"/>
                          <w:sz w:val="16"/>
                          <w:szCs w:val="16"/>
                        </w:rPr>
                        <w:t>．联营企业</w:t>
                      </w:r>
                      <w:r>
                        <w:rPr>
                          <w:rFonts w:ascii="宋体" w:hAnsi="宋体" w:cs="宋体" w:eastAsia="宋体" w:hint="default"/>
                          <w:w w:val="99"/>
                          <w:sz w:val="16"/>
                          <w:szCs w:val="16"/>
                        </w:rPr>
                        <w:t> </w:t>
                      </w:r>
                      <w:r>
                        <w:rPr>
                          <w:rFonts w:ascii="宋体" w:hAnsi="宋体" w:cs="宋体" w:eastAsia="宋体" w:hint="default"/>
                          <w:w w:val="95"/>
                          <w:sz w:val="16"/>
                          <w:szCs w:val="16"/>
                        </w:rPr>
                        <w:t>湖南长城银河科技有限公司</w:t>
                      </w:r>
                      <w:r>
                        <w:rPr>
                          <w:rFonts w:ascii="宋体" w:hAnsi="宋体" w:cs="宋体" w:eastAsia="宋体" w:hint="default"/>
                          <w:sz w:val="16"/>
                          <w:szCs w:val="16"/>
                        </w:rPr>
                      </w:r>
                    </w:p>
                  </w:txbxContent>
                </v:textbox>
                <w10:wrap type="none"/>
              </v:shape>
              <v:shape style="position:absolute;left:4549;top:2659;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17,934,988.57</w:t>
                      </w:r>
                      <w:r>
                        <w:rPr>
                          <w:rFonts w:ascii="Times New Roman"/>
                          <w:sz w:val="16"/>
                        </w:rPr>
                      </w:r>
                    </w:p>
                  </w:txbxContent>
                </v:textbox>
                <w10:wrap type="none"/>
              </v:shape>
              <v:shape style="position:absolute;left:7917;top:2659;width:894;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-6,544,965.63</w:t>
                      </w:r>
                      <w:r>
                        <w:rPr>
                          <w:rFonts w:ascii="Times New Roman"/>
                          <w:sz w:val="16"/>
                        </w:rPr>
                      </w:r>
                    </w:p>
                  </w:txbxContent>
                </v:textbox>
                <w10:wrap type="none"/>
              </v:shape>
              <v:shape style="position:absolute;left:11653;top:2659;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1,358,864.00</w:t>
                      </w:r>
                      <w:r>
                        <w:rPr>
                          <w:rFonts w:ascii="Times New Roman"/>
                          <w:sz w:val="16"/>
                        </w:rPr>
                      </w:r>
                    </w:p>
                  </w:txbxContent>
                </v:textbox>
                <w10:wrap type="none"/>
              </v:shape>
              <v:shape style="position:absolute;left:12894;top:2659;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12,748,886.94</w:t>
                      </w:r>
                      <w:r>
                        <w:rPr>
                          <w:rFonts w:ascii="Times New Roman"/>
                          <w:sz w:val="16"/>
                        </w:rPr>
                      </w:r>
                    </w:p>
                  </w:txbxContent>
                </v:textbox>
                <w10:wrap type="none"/>
              </v:shape>
              <v:shape style="position:absolute;left:2160;top:2998;width:1919;height:369"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长信数码信息文化发展有限</w:t>
                      </w:r>
                      <w:r>
                        <w:rPr>
                          <w:rFonts w:ascii="宋体" w:hAnsi="宋体" w:cs="宋体" w:eastAsia="宋体" w:hint="default"/>
                          <w:sz w:val="16"/>
                          <w:szCs w:val="16"/>
                        </w:rPr>
                      </w:r>
                    </w:p>
                    <w:p>
                      <w:pPr>
                        <w:spacing w:line="209"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公司</w:t>
                      </w:r>
                    </w:p>
                  </w:txbxContent>
                </v:textbox>
                <w10:wrap type="none"/>
              </v:shape>
              <v:shape style="position:absolute;left:4749;top:3116;width:7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133,414.89</w:t>
                      </w:r>
                      <w:r>
                        <w:rPr>
                          <w:rFonts w:ascii="Times New Roman"/>
                          <w:sz w:val="16"/>
                        </w:rPr>
                      </w:r>
                    </w:p>
                  </w:txbxContent>
                </v:textbox>
                <w10:wrap type="none"/>
              </v:shape>
              <v:shape style="position:absolute;left:13094;top:3116;width:7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133,414.89</w:t>
                      </w:r>
                      <w:r>
                        <w:rPr>
                          <w:rFonts w:ascii="Times New Roman"/>
                          <w:sz w:val="16"/>
                        </w:rPr>
                      </w:r>
                    </w:p>
                  </w:txbxContent>
                </v:textbox>
                <w10:wrap type="none"/>
              </v:shape>
              <v:shape style="position:absolute;left:2160;top:3560;width:191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桂林长海科技有限责任公司</w:t>
                      </w:r>
                      <w:r>
                        <w:rPr>
                          <w:rFonts w:ascii="宋体" w:hAnsi="宋体" w:cs="宋体" w:eastAsia="宋体" w:hint="default"/>
                          <w:sz w:val="16"/>
                          <w:szCs w:val="16"/>
                        </w:rPr>
                      </w:r>
                    </w:p>
                  </w:txbxContent>
                </v:textbox>
                <w10:wrap type="none"/>
              </v:shape>
              <v:shape style="position:absolute;left:4549;top:3573;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17,487,297.35</w:t>
                      </w:r>
                      <w:r>
                        <w:rPr>
                          <w:rFonts w:ascii="Times New Roman"/>
                          <w:sz w:val="16"/>
                        </w:rPr>
                      </w:r>
                    </w:p>
                  </w:txbxContent>
                </v:textbox>
                <w10:wrap type="none"/>
              </v:shape>
              <v:shape style="position:absolute;left:7970;top:3573;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1,205,343.91</w:t>
                      </w:r>
                      <w:r>
                        <w:rPr>
                          <w:rFonts w:ascii="Times New Roman"/>
                          <w:sz w:val="16"/>
                        </w:rPr>
                      </w:r>
                    </w:p>
                  </w:txbxContent>
                </v:textbox>
                <w10:wrap type="none"/>
              </v:shape>
              <v:shape style="position:absolute;left:12894;top:3573;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18,692,641.26</w:t>
                      </w:r>
                      <w:r>
                        <w:rPr>
                          <w:rFonts w:ascii="Times New Roman"/>
                          <w:sz w:val="16"/>
                        </w:rPr>
                      </w:r>
                    </w:p>
                  </w:txbxContent>
                </v:textbox>
                <w10:wrap type="none"/>
              </v:shape>
              <v:shape style="position:absolute;left:2160;top:3914;width:1919;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广州鼎甲计算机科技有限公</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司</w:t>
                      </w:r>
                      <w:r>
                        <w:rPr>
                          <w:rFonts w:ascii="宋体" w:hAnsi="宋体" w:cs="宋体" w:eastAsia="宋体" w:hint="default"/>
                          <w:sz w:val="16"/>
                          <w:szCs w:val="16"/>
                        </w:rPr>
                      </w:r>
                    </w:p>
                  </w:txbxContent>
                </v:textbox>
                <w10:wrap type="none"/>
              </v:shape>
              <v:shape style="position:absolute;left:4549;top:4030;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28,149,086.35</w:t>
                      </w:r>
                      <w:r>
                        <w:rPr>
                          <w:rFonts w:ascii="Times New Roman"/>
                          <w:sz w:val="16"/>
                        </w:rPr>
                      </w:r>
                    </w:p>
                  </w:txbxContent>
                </v:textbox>
                <w10:wrap type="none"/>
              </v:shape>
              <v:shape style="position:absolute;left:7970;top:4030;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1,472,061.47</w:t>
                      </w:r>
                      <w:r>
                        <w:rPr>
                          <w:rFonts w:ascii="Times New Roman"/>
                          <w:sz w:val="16"/>
                        </w:rPr>
                      </w:r>
                    </w:p>
                  </w:txbxContent>
                </v:textbox>
                <w10:wrap type="none"/>
              </v:shape>
              <v:shape style="position:absolute;left:12894;top:4030;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29,621,147.82</w:t>
                      </w:r>
                      <w:r>
                        <w:rPr>
                          <w:rFonts w:ascii="Times New Roman"/>
                          <w:sz w:val="16"/>
                        </w:rPr>
                      </w:r>
                    </w:p>
                  </w:txbxContent>
                </v:textbox>
                <w10:wrap type="none"/>
              </v:shape>
              <v:shape style="position:absolute;left:2160;top:4474;width:191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武汉长江融达电子有限公司</w:t>
                      </w:r>
                      <w:r>
                        <w:rPr>
                          <w:rFonts w:ascii="宋体" w:hAnsi="宋体" w:cs="宋体" w:eastAsia="宋体" w:hint="default"/>
                          <w:sz w:val="16"/>
                          <w:szCs w:val="16"/>
                        </w:rPr>
                      </w:r>
                    </w:p>
                  </w:txbxContent>
                </v:textbox>
                <w10:wrap type="none"/>
              </v:shape>
              <v:shape style="position:absolute;left:4629;top:4487;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6,168,593.99</w:t>
                      </w:r>
                      <w:r>
                        <w:rPr>
                          <w:rFonts w:ascii="Times New Roman"/>
                          <w:sz w:val="16"/>
                        </w:rPr>
                      </w:r>
                    </w:p>
                  </w:txbxContent>
                </v:textbox>
                <w10:wrap type="none"/>
              </v:shape>
              <v:shape style="position:absolute;left:7970;top:4487;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6,408,147.61</w:t>
                      </w:r>
                      <w:r>
                        <w:rPr>
                          <w:rFonts w:ascii="Times New Roman"/>
                          <w:sz w:val="16"/>
                        </w:rPr>
                      </w:r>
                    </w:p>
                  </w:txbxContent>
                </v:textbox>
                <w10:wrap type="none"/>
              </v:shape>
              <v:shape style="position:absolute;left:12894;top:4487;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12,576,741.60</w:t>
                      </w:r>
                      <w:r>
                        <w:rPr>
                          <w:rFonts w:ascii="Times New Roman"/>
                          <w:sz w:val="16"/>
                        </w:rPr>
                      </w:r>
                    </w:p>
                  </w:txbxContent>
                </v:textbox>
                <w10:wrap type="none"/>
              </v:shape>
              <v:shape style="position:absolute;left:2160;top:4828;width:1919;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湖南中电长城信息技术服务</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运营有限公司</w:t>
                      </w:r>
                    </w:p>
                  </w:txbxContent>
                </v:textbox>
                <w10:wrap type="none"/>
              </v:shape>
              <v:shape style="position:absolute;left:4629;top:4945;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1,000,000.00</w:t>
                      </w:r>
                      <w:r>
                        <w:rPr>
                          <w:rFonts w:ascii="Times New Roman"/>
                          <w:sz w:val="16"/>
                        </w:rPr>
                      </w:r>
                    </w:p>
                  </w:txbxContent>
                </v:textbox>
                <w10:wrap type="none"/>
              </v:shape>
              <v:shape style="position:absolute;left:8037;top:4945;width:774;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-101,151.72</w:t>
                      </w:r>
                      <w:r>
                        <w:rPr>
                          <w:rFonts w:ascii="Times New Roman"/>
                          <w:sz w:val="16"/>
                        </w:rPr>
                      </w:r>
                    </w:p>
                  </w:txbxContent>
                </v:textbox>
                <w10:wrap type="none"/>
              </v:shape>
              <v:shape style="position:absolute;left:13094;top:4945;width:7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898,848.28</w:t>
                      </w:r>
                      <w:r>
                        <w:rPr>
                          <w:rFonts w:ascii="Times New Roman"/>
                          <w:sz w:val="16"/>
                        </w:rPr>
                      </w:r>
                    </w:p>
                  </w:txbxContent>
                </v:textbox>
                <w10:wrap type="none"/>
              </v:shape>
              <v:shape style="position:absolute;left:2160;top:5388;width:191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深圳中电蓝海控股有限公司</w:t>
                      </w:r>
                      <w:r>
                        <w:rPr>
                          <w:rFonts w:ascii="宋体" w:hAnsi="宋体" w:cs="宋体" w:eastAsia="宋体" w:hint="default"/>
                          <w:sz w:val="16"/>
                          <w:szCs w:val="16"/>
                        </w:rPr>
                      </w:r>
                    </w:p>
                  </w:txbxContent>
                </v:textbox>
                <w10:wrap type="none"/>
              </v:shape>
              <v:shape style="position:absolute;left:5953;top:5402;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9,800,000.00</w:t>
                      </w:r>
                      <w:r>
                        <w:rPr>
                          <w:rFonts w:ascii="Times New Roman"/>
                          <w:sz w:val="16"/>
                        </w:rPr>
                      </w:r>
                    </w:p>
                  </w:txbxContent>
                </v:textbox>
                <w10:wrap type="none"/>
              </v:shape>
              <v:shape style="position:absolute;left:12974;top:5402;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9,800,000.00</w:t>
                      </w:r>
                      <w:r>
                        <w:rPr>
                          <w:rFonts w:ascii="Times New Roman"/>
                          <w:sz w:val="16"/>
                        </w:rPr>
                      </w:r>
                    </w:p>
                  </w:txbxContent>
                </v:textbox>
                <w10:wrap type="none"/>
              </v:shape>
              <v:shape style="position:absolute;left:2160;top:5742;width:1919;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中科长城海洋信息系统有限</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公司</w:t>
                      </w:r>
                    </w:p>
                  </w:txbxContent>
                </v:textbox>
                <w10:wrap type="none"/>
              </v:shape>
              <v:shape style="position:absolute;left:5873;top:5859;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18,700,000.00</w:t>
                      </w:r>
                      <w:r>
                        <w:rPr>
                          <w:rFonts w:ascii="Times New Roman"/>
                          <w:sz w:val="16"/>
                        </w:rPr>
                      </w:r>
                    </w:p>
                  </w:txbxContent>
                </v:textbox>
                <w10:wrap type="none"/>
              </v:shape>
              <v:shape style="position:absolute;left:7837;top:5859;width:975;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-10,316,398.14</w:t>
                      </w:r>
                      <w:r>
                        <w:rPr>
                          <w:rFonts w:ascii="Times New Roman"/>
                          <w:sz w:val="16"/>
                        </w:rPr>
                      </w:r>
                    </w:p>
                  </w:txbxContent>
                </v:textbox>
                <w10:wrap type="none"/>
              </v:shape>
              <v:shape style="position:absolute;left:12974;top:5859;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8,383,601.86</w:t>
                      </w:r>
                      <w:r>
                        <w:rPr>
                          <w:rFonts w:ascii="Times New Roman"/>
                          <w:sz w:val="16"/>
                        </w:rPr>
                      </w:r>
                    </w:p>
                  </w:txbxContent>
                </v:textbox>
                <w10:wrap type="none"/>
              </v:shape>
              <v:shape style="position:absolute;left:2160;top:6303;width:2075;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pacing w:val="-1"/>
                          <w:sz w:val="16"/>
                          <w:szCs w:val="16"/>
                        </w:rPr>
                        <w:t>长城超云（北京）科技有限公</w:t>
                      </w:r>
                    </w:p>
                  </w:txbxContent>
                </v:textbox>
                <w10:wrap type="none"/>
              </v:shape>
              <v:shape style="position:absolute;left:5799;top:6421;width:995;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pacing w:val="-1"/>
                          <w:sz w:val="16"/>
                        </w:rPr>
                        <w:t>211,200,000.00</w:t>
                      </w:r>
                    </w:p>
                  </w:txbxContent>
                </v:textbox>
                <w10:wrap type="none"/>
              </v:shape>
              <v:shape style="position:absolute;left:7970;top:6421;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5,331,914.13</w:t>
                      </w:r>
                      <w:r>
                        <w:rPr>
                          <w:rFonts w:ascii="Times New Roman"/>
                          <w:sz w:val="16"/>
                        </w:rPr>
                      </w:r>
                    </w:p>
                  </w:txbxContent>
                </v:textbox>
                <w10:wrap type="none"/>
              </v:shape>
              <v:shape style="position:absolute;left:12815;top:6421;width:100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216,531,914.13</w:t>
                      </w:r>
                      <w:r>
                        <w:rPr>
                          <w:rFonts w:ascii="Times New Roman"/>
                          <w:sz w:val="16"/>
                        </w:rPr>
                      </w:r>
                    </w:p>
                  </w:txbxContent>
                </v:textbox>
                <w10:wrap type="none"/>
              </v:shape>
            </v:group>
            <w10:wrap type="none"/>
          </v:group>
        </w:pict>
      </w:r>
      <w:r>
        <w:rPr>
          <w:rFonts w:ascii="Times New Roman" w:hAnsi="Times New Roman" w:cs="Times New Roman" w:eastAsia="Times New Roman" w:hint="default"/>
          <w:w w:val="95"/>
        </w:rPr>
        <w:t>(</w:t>
      </w:r>
      <w:r>
        <w:rPr>
          <w:w w:val="95"/>
        </w:rPr>
        <w:t>十</w:t>
      </w:r>
      <w:r>
        <w:rPr>
          <w:rFonts w:ascii="Times New Roman" w:hAnsi="Times New Roman" w:cs="Times New Roman" w:eastAsia="Times New Roman" w:hint="default"/>
          <w:w w:val="95"/>
        </w:rPr>
        <w:t>)</w:t>
        <w:tab/>
      </w:r>
      <w:r>
        <w:rPr/>
        <w:t>长期股权投资</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2"/>
          <w:szCs w:val="12"/>
        </w:rPr>
      </w:pPr>
    </w:p>
    <w:tbl>
      <w:tblPr>
        <w:tblW w:w="0" w:type="auto"/>
        <w:jc w:val="left"/>
        <w:tblInd w:w="789" w:type="dxa"/>
        <w:tblLayout w:type="fixed"/>
        <w:tblCellMar>
          <w:top w:w="0" w:type="dxa"/>
          <w:left w:w="0" w:type="dxa"/>
          <w:bottom w:w="0" w:type="dxa"/>
          <w:right w:w="0" w:type="dxa"/>
        </w:tblCellMar>
        <w:tblLook w:val="01E0"/>
      </w:tblPr>
      <w:tblGrid>
        <w:gridCol w:w="668"/>
        <w:gridCol w:w="1195"/>
        <w:gridCol w:w="1679"/>
        <w:gridCol w:w="1724"/>
        <w:gridCol w:w="2876"/>
        <w:gridCol w:w="2423"/>
        <w:gridCol w:w="1195"/>
      </w:tblGrid>
      <w:tr>
        <w:trPr>
          <w:trHeight w:val="617" w:hRule="exact"/>
        </w:trPr>
        <w:tc>
          <w:tcPr>
            <w:tcW w:w="668" w:type="dxa"/>
            <w:tcBorders>
              <w:top w:val="nil" w:sz="6" w:space="0" w:color="auto"/>
              <w:left w:val="nil" w:sz="6" w:space="0" w:color="auto"/>
              <w:bottom w:val="nil" w:sz="6" w:space="0" w:color="auto"/>
              <w:right w:val="nil" w:sz="6" w:space="0" w:color="auto"/>
            </w:tcBorders>
          </w:tcPr>
          <w:p>
            <w:pPr>
              <w:pStyle w:val="TableParagraph"/>
              <w:spacing w:line="160" w:lineRule="exact"/>
              <w:ind w:left="70" w:right="0"/>
              <w:jc w:val="left"/>
              <w:rPr>
                <w:rFonts w:ascii="宋体" w:hAnsi="宋体" w:cs="宋体" w:eastAsia="宋体" w:hint="default"/>
                <w:sz w:val="16"/>
                <w:szCs w:val="16"/>
              </w:rPr>
            </w:pPr>
            <w:r>
              <w:rPr>
                <w:rFonts w:ascii="宋体" w:hAnsi="宋体" w:cs="宋体" w:eastAsia="宋体" w:hint="default"/>
                <w:w w:val="99"/>
                <w:sz w:val="16"/>
                <w:szCs w:val="16"/>
              </w:rPr>
              <w:t>司</w:t>
            </w:r>
            <w:r>
              <w:rPr>
                <w:rFonts w:ascii="宋体" w:hAnsi="宋体" w:cs="宋体" w:eastAsia="宋体" w:hint="default"/>
                <w:sz w:val="16"/>
                <w:szCs w:val="16"/>
              </w:rPr>
            </w:r>
          </w:p>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left="70" w:right="0"/>
              <w:jc w:val="left"/>
              <w:rPr>
                <w:rFonts w:ascii="宋体" w:hAnsi="宋体" w:cs="宋体" w:eastAsia="宋体" w:hint="default"/>
                <w:sz w:val="16"/>
                <w:szCs w:val="16"/>
              </w:rPr>
            </w:pPr>
            <w:r>
              <w:rPr>
                <w:rFonts w:ascii="宋体" w:hAnsi="宋体" w:cs="宋体" w:eastAsia="宋体" w:hint="default"/>
                <w:sz w:val="16"/>
                <w:szCs w:val="16"/>
              </w:rPr>
              <w:t>小计</w:t>
            </w:r>
          </w:p>
        </w:tc>
        <w:tc>
          <w:tcPr>
            <w:tcW w:w="1195" w:type="dxa"/>
            <w:tcBorders>
              <w:top w:val="nil" w:sz="6" w:space="0" w:color="auto"/>
              <w:left w:val="nil" w:sz="6" w:space="0" w:color="auto"/>
              <w:bottom w:val="nil" w:sz="6" w:space="0" w:color="auto"/>
              <w:right w:val="nil" w:sz="6" w:space="0" w:color="auto"/>
            </w:tcBorders>
          </w:tcPr>
          <w:p>
            <w:pP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137"/>
              <w:ind w:right="159"/>
              <w:jc w:val="right"/>
              <w:rPr>
                <w:rFonts w:ascii="Times New Roman" w:hAnsi="Times New Roman" w:cs="Times New Roman" w:eastAsia="Times New Roman" w:hint="default"/>
                <w:sz w:val="16"/>
                <w:szCs w:val="16"/>
              </w:rPr>
            </w:pPr>
            <w:r>
              <w:rPr>
                <w:rFonts w:ascii="Times New Roman"/>
                <w:spacing w:val="-1"/>
                <w:sz w:val="16"/>
              </w:rPr>
              <w:t>70,873,381.15</w:t>
            </w:r>
          </w:p>
        </w:tc>
        <w:tc>
          <w:tcPr>
            <w:tcW w:w="172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137"/>
              <w:ind w:left="161" w:right="0"/>
              <w:jc w:val="left"/>
              <w:rPr>
                <w:rFonts w:ascii="Times New Roman" w:hAnsi="Times New Roman" w:cs="Times New Roman" w:eastAsia="Times New Roman" w:hint="default"/>
                <w:sz w:val="16"/>
                <w:szCs w:val="16"/>
              </w:rPr>
            </w:pPr>
            <w:r>
              <w:rPr>
                <w:rFonts w:ascii="Times New Roman"/>
                <w:sz w:val="16"/>
              </w:rPr>
              <w:t>239,700,000.00</w:t>
            </w:r>
          </w:p>
        </w:tc>
        <w:tc>
          <w:tcPr>
            <w:tcW w:w="287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137"/>
              <w:ind w:left="561" w:right="0"/>
              <w:jc w:val="left"/>
              <w:rPr>
                <w:rFonts w:ascii="Times New Roman" w:hAnsi="Times New Roman" w:cs="Times New Roman" w:eastAsia="Times New Roman" w:hint="default"/>
                <w:sz w:val="16"/>
                <w:szCs w:val="16"/>
              </w:rPr>
            </w:pPr>
            <w:r>
              <w:rPr>
                <w:rFonts w:ascii="Times New Roman"/>
                <w:sz w:val="16"/>
              </w:rPr>
              <w:t>-2,545,048.37</w:t>
            </w:r>
          </w:p>
        </w:tc>
        <w:tc>
          <w:tcPr>
            <w:tcW w:w="242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137"/>
              <w:ind w:right="158"/>
              <w:jc w:val="right"/>
              <w:rPr>
                <w:rFonts w:ascii="Times New Roman" w:hAnsi="Times New Roman" w:cs="Times New Roman" w:eastAsia="Times New Roman" w:hint="default"/>
                <w:sz w:val="16"/>
                <w:szCs w:val="16"/>
              </w:rPr>
            </w:pPr>
            <w:r>
              <w:rPr>
                <w:rFonts w:ascii="Times New Roman"/>
                <w:spacing w:val="-1"/>
                <w:sz w:val="16"/>
              </w:rPr>
              <w:t>1,358,864.00</w:t>
            </w:r>
          </w:p>
        </w:tc>
        <w:tc>
          <w:tcPr>
            <w:tcW w:w="119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137"/>
              <w:ind w:right="33"/>
              <w:jc w:val="right"/>
              <w:rPr>
                <w:rFonts w:ascii="Times New Roman" w:hAnsi="Times New Roman" w:cs="Times New Roman" w:eastAsia="Times New Roman" w:hint="default"/>
                <w:sz w:val="16"/>
                <w:szCs w:val="16"/>
              </w:rPr>
            </w:pPr>
            <w:r>
              <w:rPr>
                <w:rFonts w:ascii="Times New Roman"/>
                <w:spacing w:val="-1"/>
                <w:sz w:val="16"/>
              </w:rPr>
              <w:t>309,387,196.78</w:t>
            </w:r>
          </w:p>
        </w:tc>
      </w:tr>
      <w:tr>
        <w:trPr>
          <w:trHeight w:val="357" w:hRule="exact"/>
        </w:trPr>
        <w:tc>
          <w:tcPr>
            <w:tcW w:w="668" w:type="dxa"/>
            <w:tcBorders>
              <w:top w:val="nil" w:sz="6" w:space="0" w:color="auto"/>
              <w:left w:val="nil" w:sz="6" w:space="0" w:color="auto"/>
              <w:bottom w:val="nil" w:sz="6" w:space="0" w:color="auto"/>
              <w:right w:val="nil" w:sz="6" w:space="0" w:color="auto"/>
            </w:tcBorders>
          </w:tcPr>
          <w:p>
            <w:pPr/>
          </w:p>
        </w:tc>
        <w:tc>
          <w:tcPr>
            <w:tcW w:w="1195" w:type="dxa"/>
            <w:tcBorders>
              <w:top w:val="nil" w:sz="6" w:space="0" w:color="auto"/>
              <w:left w:val="nil" w:sz="6" w:space="0" w:color="auto"/>
              <w:bottom w:val="nil" w:sz="6" w:space="0" w:color="auto"/>
              <w:right w:val="nil" w:sz="6" w:space="0" w:color="auto"/>
            </w:tcBorders>
          </w:tcPr>
          <w:p>
            <w:pPr>
              <w:pStyle w:val="TableParagraph"/>
              <w:spacing w:line="240" w:lineRule="auto" w:before="40"/>
              <w:ind w:left="278"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59"/>
              <w:jc w:val="right"/>
              <w:rPr>
                <w:rFonts w:ascii="Times New Roman" w:hAnsi="Times New Roman" w:cs="Times New Roman" w:eastAsia="Times New Roman" w:hint="default"/>
                <w:sz w:val="16"/>
                <w:szCs w:val="16"/>
              </w:rPr>
            </w:pPr>
            <w:r>
              <w:rPr>
                <w:rFonts w:ascii="Times New Roman"/>
                <w:spacing w:val="-1"/>
                <w:sz w:val="16"/>
              </w:rPr>
              <w:t>70,873,381.15</w:t>
            </w:r>
          </w:p>
        </w:tc>
        <w:tc>
          <w:tcPr>
            <w:tcW w:w="1724" w:type="dxa"/>
            <w:tcBorders>
              <w:top w:val="nil" w:sz="6" w:space="0" w:color="auto"/>
              <w:left w:val="nil" w:sz="6" w:space="0" w:color="auto"/>
              <w:bottom w:val="nil" w:sz="6" w:space="0" w:color="auto"/>
              <w:right w:val="nil" w:sz="6" w:space="0" w:color="auto"/>
            </w:tcBorders>
          </w:tcPr>
          <w:p>
            <w:pPr>
              <w:pStyle w:val="TableParagraph"/>
              <w:spacing w:line="240" w:lineRule="auto" w:before="82"/>
              <w:ind w:left="161" w:right="0"/>
              <w:jc w:val="left"/>
              <w:rPr>
                <w:rFonts w:ascii="Times New Roman" w:hAnsi="Times New Roman" w:cs="Times New Roman" w:eastAsia="Times New Roman" w:hint="default"/>
                <w:sz w:val="16"/>
                <w:szCs w:val="16"/>
              </w:rPr>
            </w:pPr>
            <w:r>
              <w:rPr>
                <w:rFonts w:ascii="Times New Roman"/>
                <w:sz w:val="16"/>
              </w:rPr>
              <w:t>239,700,000.00</w:t>
            </w:r>
          </w:p>
        </w:tc>
        <w:tc>
          <w:tcPr>
            <w:tcW w:w="2876" w:type="dxa"/>
            <w:tcBorders>
              <w:top w:val="nil" w:sz="6" w:space="0" w:color="auto"/>
              <w:left w:val="nil" w:sz="6" w:space="0" w:color="auto"/>
              <w:bottom w:val="nil" w:sz="6" w:space="0" w:color="auto"/>
              <w:right w:val="nil" w:sz="6" w:space="0" w:color="auto"/>
            </w:tcBorders>
          </w:tcPr>
          <w:p>
            <w:pPr>
              <w:pStyle w:val="TableParagraph"/>
              <w:spacing w:line="240" w:lineRule="auto" w:before="82"/>
              <w:ind w:left="561" w:right="0"/>
              <w:jc w:val="left"/>
              <w:rPr>
                <w:rFonts w:ascii="Times New Roman" w:hAnsi="Times New Roman" w:cs="Times New Roman" w:eastAsia="Times New Roman" w:hint="default"/>
                <w:sz w:val="16"/>
                <w:szCs w:val="16"/>
              </w:rPr>
            </w:pPr>
            <w:r>
              <w:rPr>
                <w:rFonts w:ascii="Times New Roman"/>
                <w:sz w:val="16"/>
              </w:rPr>
              <w:t>-2,545,048.37</w:t>
            </w:r>
          </w:p>
        </w:tc>
        <w:tc>
          <w:tcPr>
            <w:tcW w:w="242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58"/>
              <w:jc w:val="right"/>
              <w:rPr>
                <w:rFonts w:ascii="Times New Roman" w:hAnsi="Times New Roman" w:cs="Times New Roman" w:eastAsia="Times New Roman" w:hint="default"/>
                <w:sz w:val="16"/>
                <w:szCs w:val="16"/>
              </w:rPr>
            </w:pPr>
            <w:r>
              <w:rPr>
                <w:rFonts w:ascii="Times New Roman"/>
                <w:spacing w:val="-1"/>
                <w:sz w:val="16"/>
              </w:rPr>
              <w:t>1,358,864.00</w:t>
            </w:r>
          </w:p>
        </w:tc>
        <w:tc>
          <w:tcPr>
            <w:tcW w:w="119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6"/>
                <w:szCs w:val="16"/>
              </w:rPr>
            </w:pPr>
            <w:r>
              <w:rPr>
                <w:rFonts w:ascii="Times New Roman"/>
                <w:spacing w:val="-1"/>
                <w:sz w:val="16"/>
              </w:rPr>
              <w:t>309,387,196.78</w:t>
            </w:r>
          </w:p>
        </w:tc>
      </w:tr>
    </w:tbl>
    <w:p>
      <w:pPr>
        <w:spacing w:line="240" w:lineRule="auto" w:before="8"/>
        <w:rPr>
          <w:rFonts w:ascii="宋体" w:hAnsi="宋体" w:cs="宋体" w:eastAsia="宋体" w:hint="default"/>
          <w:b/>
          <w:bCs/>
          <w:sz w:val="5"/>
          <w:szCs w:val="5"/>
        </w:rPr>
      </w:pPr>
    </w:p>
    <w:p>
      <w:pPr>
        <w:pStyle w:val="BodyText"/>
        <w:spacing w:line="240" w:lineRule="auto" w:before="35"/>
        <w:ind w:left="853" w:right="0"/>
        <w:jc w:val="left"/>
      </w:pPr>
      <w:r>
        <w:rPr/>
        <w:t>说明：</w:t>
      </w:r>
    </w:p>
    <w:p>
      <w:pPr>
        <w:spacing w:after="0" w:line="240" w:lineRule="auto"/>
        <w:jc w:val="left"/>
        <w:sectPr>
          <w:headerReference w:type="default" r:id="rId167"/>
          <w:footerReference w:type="default" r:id="rId168"/>
          <w:pgSz w:w="16840" w:h="11910" w:orient="landscape"/>
          <w:pgMar w:header="1302" w:footer="998" w:top="1520" w:bottom="1180" w:left="1300" w:right="1040"/>
          <w:pgNumType w:start="42"/>
        </w:sectPr>
      </w:pPr>
    </w:p>
    <w:p>
      <w:pPr>
        <w:spacing w:line="240" w:lineRule="auto" w:before="3"/>
        <w:rPr>
          <w:rFonts w:ascii="宋体" w:hAnsi="宋体" w:cs="宋体" w:eastAsia="宋体" w:hint="default"/>
          <w:sz w:val="24"/>
          <w:szCs w:val="24"/>
        </w:rPr>
      </w:pPr>
    </w:p>
    <w:p>
      <w:pPr>
        <w:pStyle w:val="BodyText"/>
        <w:spacing w:line="240" w:lineRule="auto" w:before="35"/>
        <w:ind w:left="853" w:right="0"/>
        <w:jc w:val="both"/>
        <w:rPr>
          <w:rFonts w:ascii="Times New Roman" w:hAnsi="Times New Roman" w:cs="Times New Roman" w:eastAsia="Times New Roman" w:hint="default"/>
        </w:rPr>
      </w:pPr>
      <w:r>
        <w:rPr>
          <w:rFonts w:ascii="Times New Roman" w:hAnsi="Times New Roman" w:cs="Times New Roman" w:eastAsia="Times New Roman" w:hint="default"/>
          <w:spacing w:val="-7"/>
        </w:rPr>
        <w:t>1</w:t>
      </w:r>
      <w:r>
        <w:rPr>
          <w:spacing w:val="-7"/>
        </w:rPr>
        <w:t>、</w:t>
      </w:r>
      <w:r>
        <w:rPr>
          <w:rFonts w:ascii="Times New Roman" w:hAnsi="Times New Roman" w:cs="Times New Roman" w:eastAsia="Times New Roman" w:hint="default"/>
          <w:spacing w:val="-7"/>
        </w:rPr>
        <w:t>2018</w:t>
      </w:r>
      <w:r>
        <w:rPr>
          <w:rFonts w:ascii="Times New Roman" w:hAnsi="Times New Roman" w:cs="Times New Roman" w:eastAsia="Times New Roman" w:hint="default"/>
          <w:spacing w:val="-13"/>
        </w:rPr>
        <w:t> </w:t>
      </w:r>
      <w:r>
        <w:rPr/>
        <w:t>年</w:t>
      </w:r>
      <w:r>
        <w:rPr>
          <w:spacing w:val="-65"/>
        </w:rPr>
        <w:t> </w:t>
      </w:r>
      <w:r>
        <w:rPr>
          <w:rFonts w:ascii="Times New Roman" w:hAnsi="Times New Roman" w:cs="Times New Roman" w:eastAsia="Times New Roman" w:hint="default"/>
        </w:rPr>
        <w:t>4</w:t>
      </w:r>
      <w:r>
        <w:rPr>
          <w:rFonts w:ascii="Times New Roman" w:hAnsi="Times New Roman" w:cs="Times New Roman" w:eastAsia="Times New Roman" w:hint="default"/>
          <w:spacing w:val="-13"/>
        </w:rPr>
        <w:t> </w:t>
      </w:r>
      <w:r>
        <w:rPr/>
        <w:t>月，公司与中国电子有限公司共同投资设立深圳中电蓝海控股有限公司，注册资本人民币</w:t>
      </w:r>
      <w:r>
        <w:rPr>
          <w:spacing w:val="-65"/>
        </w:rPr>
        <w:t> </w:t>
      </w:r>
      <w:r>
        <w:rPr>
          <w:rFonts w:ascii="Times New Roman" w:hAnsi="Times New Roman" w:cs="Times New Roman" w:eastAsia="Times New Roman" w:hint="default"/>
        </w:rPr>
        <w:t>2,000.00</w:t>
      </w:r>
      <w:r>
        <w:rPr>
          <w:rFonts w:ascii="Times New Roman" w:hAnsi="Times New Roman" w:cs="Times New Roman" w:eastAsia="Times New Roman" w:hint="default"/>
          <w:spacing w:val="-13"/>
        </w:rPr>
        <w:t> </w:t>
      </w:r>
      <w:r>
        <w:rPr>
          <w:spacing w:val="-3"/>
        </w:rPr>
        <w:t>万元，其中公司出资人民币</w:t>
      </w:r>
      <w:r>
        <w:rPr>
          <w:spacing w:val="-65"/>
        </w:rPr>
        <w:t> </w:t>
      </w:r>
      <w:r>
        <w:rPr>
          <w:rFonts w:ascii="Times New Roman" w:hAnsi="Times New Roman" w:cs="Times New Roman" w:eastAsia="Times New Roman" w:hint="default"/>
        </w:rPr>
        <w:t>980.00</w:t>
      </w:r>
    </w:p>
    <w:p>
      <w:pPr>
        <w:pStyle w:val="BodyText"/>
        <w:spacing w:line="240" w:lineRule="auto"/>
        <w:ind w:left="853" w:right="0"/>
        <w:jc w:val="both"/>
      </w:pPr>
      <w:r>
        <w:rPr/>
        <w:t>万元，持股比例</w:t>
      </w:r>
      <w:r>
        <w:rPr>
          <w:spacing w:val="-56"/>
        </w:rPr>
        <w:t> </w:t>
      </w:r>
      <w:r>
        <w:rPr>
          <w:rFonts w:ascii="Times New Roman" w:hAnsi="Times New Roman" w:cs="Times New Roman" w:eastAsia="Times New Roman" w:hint="default"/>
        </w:rPr>
        <w:t>49.00%</w:t>
      </w:r>
      <w:r>
        <w:rPr/>
        <w:t>；中国电子有限公司出资人民币</w:t>
      </w:r>
      <w:r>
        <w:rPr>
          <w:spacing w:val="-56"/>
        </w:rPr>
        <w:t> </w:t>
      </w:r>
      <w:r>
        <w:rPr>
          <w:rFonts w:ascii="Times New Roman" w:hAnsi="Times New Roman" w:cs="Times New Roman" w:eastAsia="Times New Roman" w:hint="default"/>
        </w:rPr>
        <w:t>1,020.00</w:t>
      </w:r>
      <w:r>
        <w:rPr>
          <w:rFonts w:ascii="Times New Roman" w:hAnsi="Times New Roman" w:cs="Times New Roman" w:eastAsia="Times New Roman" w:hint="default"/>
          <w:spacing w:val="-3"/>
        </w:rPr>
        <w:t> </w:t>
      </w:r>
      <w:r>
        <w:rPr/>
        <w:t>万元，持股比例</w:t>
      </w:r>
      <w:r>
        <w:rPr>
          <w:spacing w:val="-56"/>
        </w:rPr>
        <w:t> </w:t>
      </w:r>
      <w:r>
        <w:rPr>
          <w:rFonts w:ascii="Times New Roman" w:hAnsi="Times New Roman" w:cs="Times New Roman" w:eastAsia="Times New Roman" w:hint="default"/>
        </w:rPr>
        <w:t>51.00%</w:t>
      </w:r>
      <w:r>
        <w:rPr/>
        <w:t>。</w:t>
      </w:r>
    </w:p>
    <w:p>
      <w:pPr>
        <w:pStyle w:val="BodyText"/>
        <w:spacing w:line="331" w:lineRule="auto"/>
        <w:ind w:left="853" w:right="138"/>
        <w:jc w:val="both"/>
      </w:pPr>
      <w:r>
        <w:rPr>
          <w:rFonts w:ascii="Times New Roman" w:hAnsi="Times New Roman" w:cs="Times New Roman" w:eastAsia="Times New Roman" w:hint="default"/>
        </w:rPr>
        <w:t>2</w:t>
      </w:r>
      <w:r>
        <w:rPr/>
        <w:t>、</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月，公司与中国科学院声学研究所和北京中晟嘉华投资中心（有限合伙）共同投资设立中科长城海洋信息系统有限公司，注册资本 人民币</w:t>
      </w:r>
      <w:r>
        <w:rPr>
          <w:spacing w:val="-56"/>
        </w:rPr>
        <w:t> </w:t>
      </w:r>
      <w:r>
        <w:rPr>
          <w:rFonts w:ascii="Times New Roman" w:hAnsi="Times New Roman" w:cs="Times New Roman" w:eastAsia="Times New Roman" w:hint="default"/>
        </w:rPr>
        <w:t>10,000.00</w:t>
      </w:r>
      <w:r>
        <w:rPr>
          <w:rFonts w:ascii="Times New Roman" w:hAnsi="Times New Roman" w:cs="Times New Roman" w:eastAsia="Times New Roman" w:hint="default"/>
          <w:spacing w:val="-2"/>
        </w:rPr>
        <w:t> </w:t>
      </w:r>
      <w:r>
        <w:rPr/>
        <w:t>万元，其中公司以货币认缴出资人民币</w:t>
      </w:r>
      <w:r>
        <w:rPr>
          <w:spacing w:val="-56"/>
        </w:rPr>
        <w:t> </w:t>
      </w:r>
      <w:r>
        <w:rPr>
          <w:rFonts w:ascii="Times New Roman" w:hAnsi="Times New Roman" w:cs="Times New Roman" w:eastAsia="Times New Roman" w:hint="default"/>
        </w:rPr>
        <w:t>3,400.00</w:t>
      </w:r>
      <w:r>
        <w:rPr>
          <w:rFonts w:ascii="Times New Roman" w:hAnsi="Times New Roman" w:cs="Times New Roman" w:eastAsia="Times New Roman" w:hint="default"/>
          <w:spacing w:val="-3"/>
        </w:rPr>
        <w:t> </w:t>
      </w:r>
      <w:r>
        <w:rPr/>
        <w:t>万元，持股比例</w:t>
      </w:r>
      <w:r>
        <w:rPr>
          <w:spacing w:val="-56"/>
        </w:rPr>
        <w:t> </w:t>
      </w:r>
      <w:r>
        <w:rPr>
          <w:rFonts w:ascii="Times New Roman" w:hAnsi="Times New Roman" w:cs="Times New Roman" w:eastAsia="Times New Roman" w:hint="default"/>
        </w:rPr>
        <w:t>34.00%</w:t>
      </w:r>
      <w:r>
        <w:rPr/>
        <w:t>；中国科学院声学研究所以其下属研究单元声场声信息 国家重点实验室的科技成果评估作价入股，认缴出资人民币</w:t>
      </w:r>
      <w:r>
        <w:rPr>
          <w:spacing w:val="-72"/>
        </w:rPr>
        <w:t> </w:t>
      </w:r>
      <w:r>
        <w:rPr>
          <w:rFonts w:ascii="Times New Roman" w:hAnsi="Times New Roman" w:cs="Times New Roman" w:eastAsia="Times New Roman" w:hint="default"/>
        </w:rPr>
        <w:t>3,000.00</w:t>
      </w:r>
      <w:r>
        <w:rPr>
          <w:rFonts w:ascii="Times New Roman" w:hAnsi="Times New Roman" w:cs="Times New Roman" w:eastAsia="Times New Roman" w:hint="default"/>
          <w:spacing w:val="-20"/>
        </w:rPr>
        <w:t> </w:t>
      </w:r>
      <w:r>
        <w:rPr/>
        <w:t>万元，持股比例</w:t>
      </w:r>
      <w:r>
        <w:rPr>
          <w:spacing w:val="-72"/>
        </w:rPr>
        <w:t> </w:t>
      </w:r>
      <w:r>
        <w:rPr>
          <w:rFonts w:ascii="Times New Roman" w:hAnsi="Times New Roman" w:cs="Times New Roman" w:eastAsia="Times New Roman" w:hint="default"/>
        </w:rPr>
        <w:t>30.00%</w:t>
      </w:r>
      <w:r>
        <w:rPr/>
        <w:t>；北京中晟嘉华投资中心（有限合伙）以货币认缴出 资人民币</w:t>
      </w:r>
      <w:r>
        <w:rPr>
          <w:spacing w:val="-56"/>
        </w:rPr>
        <w:t> </w:t>
      </w:r>
      <w:r>
        <w:rPr>
          <w:rFonts w:ascii="Times New Roman" w:hAnsi="Times New Roman" w:cs="Times New Roman" w:eastAsia="Times New Roman" w:hint="default"/>
        </w:rPr>
        <w:t>3,600.00</w:t>
      </w:r>
      <w:r>
        <w:rPr>
          <w:rFonts w:ascii="Times New Roman" w:hAnsi="Times New Roman" w:cs="Times New Roman" w:eastAsia="Times New Roman" w:hint="default"/>
          <w:spacing w:val="-3"/>
        </w:rPr>
        <w:t> </w:t>
      </w:r>
      <w:r>
        <w:rPr/>
        <w:t>万元，持股比例</w:t>
      </w:r>
      <w:r>
        <w:rPr>
          <w:spacing w:val="-56"/>
        </w:rPr>
        <w:t> </w:t>
      </w:r>
      <w:r>
        <w:rPr>
          <w:rFonts w:ascii="Times New Roman" w:hAnsi="Times New Roman" w:cs="Times New Roman" w:eastAsia="Times New Roman" w:hint="default"/>
        </w:rPr>
        <w:t>36%</w:t>
      </w:r>
      <w:r>
        <w:rPr/>
        <w:t>。本报告期公司累计出资人民币</w:t>
      </w:r>
      <w:r>
        <w:rPr>
          <w:spacing w:val="-56"/>
        </w:rPr>
        <w:t> </w:t>
      </w:r>
      <w:r>
        <w:rPr>
          <w:rFonts w:ascii="Times New Roman" w:hAnsi="Times New Roman" w:cs="Times New Roman" w:eastAsia="Times New Roman" w:hint="default"/>
        </w:rPr>
        <w:t>1,870.00</w:t>
      </w:r>
      <w:r>
        <w:rPr>
          <w:rFonts w:ascii="Times New Roman" w:hAnsi="Times New Roman" w:cs="Times New Roman" w:eastAsia="Times New Roman" w:hint="default"/>
          <w:spacing w:val="-3"/>
        </w:rPr>
        <w:t> </w:t>
      </w:r>
      <w:r>
        <w:rPr/>
        <w:t>万元。</w:t>
      </w:r>
    </w:p>
    <w:p>
      <w:pPr>
        <w:pStyle w:val="BodyText"/>
        <w:spacing w:line="240" w:lineRule="auto" w:before="21"/>
        <w:ind w:left="853" w:right="0"/>
        <w:jc w:val="both"/>
        <w:rPr>
          <w:rFonts w:ascii="Times New Roman" w:hAnsi="Times New Roman" w:cs="Times New Roman" w:eastAsia="Times New Roman" w:hint="default"/>
        </w:rPr>
      </w:pPr>
      <w:r>
        <w:rPr>
          <w:rFonts w:ascii="Times New Roman" w:hAnsi="Times New Roman" w:cs="Times New Roman" w:eastAsia="Times New Roman" w:hint="default"/>
          <w:spacing w:val="-13"/>
        </w:rPr>
        <w:t>3</w:t>
      </w:r>
      <w:r>
        <w:rPr>
          <w:spacing w:val="-13"/>
        </w:rPr>
        <w:t>、</w:t>
      </w:r>
      <w:r>
        <w:rPr>
          <w:rFonts w:ascii="Times New Roman" w:hAnsi="Times New Roman" w:cs="Times New Roman" w:eastAsia="Times New Roman" w:hint="default"/>
          <w:spacing w:val="-13"/>
        </w:rPr>
        <w:t>2018</w:t>
      </w:r>
      <w:r>
        <w:rPr>
          <w:rFonts w:ascii="Times New Roman" w:hAnsi="Times New Roman" w:cs="Times New Roman" w:eastAsia="Times New Roman" w:hint="default"/>
          <w:spacing w:val="5"/>
        </w:rPr>
        <w:t> </w:t>
      </w:r>
      <w:r>
        <w:rPr/>
        <w:t>年</w:t>
      </w:r>
      <w:r>
        <w:rPr>
          <w:spacing w:val="-49"/>
        </w:rPr>
        <w:t> </w:t>
      </w:r>
      <w:r>
        <w:rPr>
          <w:rFonts w:ascii="Times New Roman" w:hAnsi="Times New Roman" w:cs="Times New Roman" w:eastAsia="Times New Roman" w:hint="default"/>
        </w:rPr>
        <w:t>1</w:t>
      </w:r>
      <w:r>
        <w:rPr>
          <w:rFonts w:ascii="Times New Roman" w:hAnsi="Times New Roman" w:cs="Times New Roman" w:eastAsia="Times New Roman" w:hint="default"/>
          <w:spacing w:val="4"/>
        </w:rPr>
        <w:t> </w:t>
      </w:r>
      <w:r>
        <w:rPr>
          <w:spacing w:val="-16"/>
        </w:rPr>
        <w:t>月，公司以</w:t>
      </w:r>
      <w:r>
        <w:rPr>
          <w:spacing w:val="-48"/>
        </w:rPr>
        <w:t> </w:t>
      </w:r>
      <w:r>
        <w:rPr>
          <w:rFonts w:ascii="Times New Roman" w:hAnsi="Times New Roman" w:cs="Times New Roman" w:eastAsia="Times New Roman" w:hint="default"/>
        </w:rPr>
        <w:t>1,120.00</w:t>
      </w:r>
      <w:r>
        <w:rPr>
          <w:rFonts w:ascii="Times New Roman" w:hAnsi="Times New Roman" w:cs="Times New Roman" w:eastAsia="Times New Roman" w:hint="default"/>
          <w:spacing w:val="5"/>
        </w:rPr>
        <w:t> </w:t>
      </w:r>
      <w:r>
        <w:rPr>
          <w:spacing w:val="-9"/>
        </w:rPr>
        <w:t>万元收购长城超云（北京）科技有限公司（原北京天地超云科技有限公司）管理层股东</w:t>
      </w:r>
      <w:r>
        <w:rPr>
          <w:spacing w:val="-48"/>
        </w:rPr>
        <w:t> </w:t>
      </w:r>
      <w:r>
        <w:rPr>
          <w:rFonts w:ascii="Times New Roman" w:hAnsi="Times New Roman" w:cs="Times New Roman" w:eastAsia="Times New Roman" w:hint="default"/>
          <w:spacing w:val="-9"/>
        </w:rPr>
        <w:t>4%</w:t>
      </w:r>
      <w:r>
        <w:rPr>
          <w:spacing w:val="-9"/>
        </w:rPr>
        <w:t>股权，同时增资</w:t>
      </w:r>
      <w:r>
        <w:rPr>
          <w:spacing w:val="-48"/>
        </w:rPr>
        <w:t> </w:t>
      </w:r>
      <w:r>
        <w:rPr>
          <w:rFonts w:ascii="Times New Roman" w:hAnsi="Times New Roman" w:cs="Times New Roman" w:eastAsia="Times New Roman" w:hint="default"/>
        </w:rPr>
        <w:t>20,000.00</w:t>
      </w:r>
    </w:p>
    <w:p>
      <w:pPr>
        <w:pStyle w:val="BodyText"/>
        <w:spacing w:line="240" w:lineRule="auto"/>
        <w:ind w:left="853" w:right="0"/>
        <w:jc w:val="both"/>
      </w:pPr>
      <w:r>
        <w:rPr/>
        <w:t>万元；收购及增资事宜完成后，公司持有长城超云（北京）科技有限公司股权比例为</w:t>
      </w:r>
      <w:r>
        <w:rPr>
          <w:spacing w:val="-56"/>
        </w:rPr>
        <w:t> </w:t>
      </w:r>
      <w:r>
        <w:rPr>
          <w:rFonts w:ascii="Times New Roman" w:hAnsi="Times New Roman" w:cs="Times New Roman" w:eastAsia="Times New Roman" w:hint="default"/>
        </w:rPr>
        <w:t>44.00%</w:t>
      </w:r>
      <w:r>
        <w:rPr/>
        <w:t>。</w:t>
      </w:r>
    </w:p>
    <w:p>
      <w:pPr>
        <w:spacing w:after="0" w:line="240" w:lineRule="auto"/>
        <w:jc w:val="both"/>
        <w:sectPr>
          <w:pgSz w:w="16840" w:h="11910" w:orient="landscape"/>
          <w:pgMar w:header="1302" w:footer="998" w:top="1520" w:bottom="1180" w:left="1300" w:right="1300"/>
        </w:sectPr>
      </w:pPr>
    </w:p>
    <w:p>
      <w:pPr>
        <w:spacing w:before="26"/>
        <w:ind w:left="137" w:right="3681" w:firstLine="0"/>
        <w:jc w:val="left"/>
        <w:rPr>
          <w:rFonts w:ascii="宋体" w:hAnsi="宋体" w:cs="宋体" w:eastAsia="宋体" w:hint="default"/>
          <w:sz w:val="18"/>
          <w:szCs w:val="18"/>
        </w:rPr>
      </w:pPr>
      <w:r>
        <w:rPr>
          <w:rFonts w:ascii="宋体" w:hAnsi="宋体" w:cs="宋体" w:eastAsia="宋体" w:hint="default"/>
          <w:sz w:val="18"/>
          <w:szCs w:val="18"/>
        </w:rPr>
        <w:t>财务报表附注</w:t>
      </w:r>
    </w:p>
    <w:p>
      <w:pPr>
        <w:spacing w:line="240" w:lineRule="auto" w:before="7"/>
        <w:rPr>
          <w:rFonts w:ascii="宋体" w:hAnsi="宋体" w:cs="宋体" w:eastAsia="宋体" w:hint="default"/>
          <w:sz w:val="3"/>
          <w:szCs w:val="3"/>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2pt;height:.5pt;mso-position-horizontal-relative:char;mso-position-vertical-relative:line" coordorigin="0,0" coordsize="8384,10">
            <v:group style="position:absolute;left:5;top:5;width:8374;height:2" coordorigin="5,5" coordsize="8374,2">
              <v:shape style="position:absolute;left:5;top:5;width:8374;height:2" coordorigin="5,5" coordsize="8374,0" path="m5,5l8378,5e" filled="false" stroked="true" strokeweight=".47998pt" strokecolor="#000000">
                <v:path arrowok="t"/>
              </v:shape>
            </v:group>
          </v:group>
        </w:pict>
      </w:r>
      <w:r>
        <w:rPr>
          <w:rFonts w:ascii="宋体" w:hAnsi="宋体" w:cs="宋体" w:eastAsia="宋体" w:hint="default"/>
          <w:sz w:val="2"/>
          <w:szCs w:val="2"/>
        </w:rPr>
      </w:r>
    </w:p>
    <w:p>
      <w:pPr>
        <w:spacing w:line="240" w:lineRule="auto" w:before="10"/>
        <w:rPr>
          <w:rFonts w:ascii="宋体" w:hAnsi="宋体" w:cs="宋体" w:eastAsia="宋体" w:hint="default"/>
          <w:sz w:val="12"/>
          <w:szCs w:val="12"/>
        </w:rPr>
      </w:pPr>
    </w:p>
    <w:p>
      <w:pPr>
        <w:pStyle w:val="Heading5"/>
        <w:spacing w:line="240" w:lineRule="auto"/>
        <w:ind w:right="3681"/>
        <w:jc w:val="left"/>
        <w:rPr>
          <w:b w:val="0"/>
          <w:bCs w:val="0"/>
        </w:rPr>
      </w:pPr>
      <w:r>
        <w:rPr>
          <w:rFonts w:ascii="Times New Roman" w:hAnsi="Times New Roman" w:cs="Times New Roman" w:eastAsia="Times New Roman" w:hint="default"/>
        </w:rPr>
        <w:t>(</w:t>
      </w:r>
      <w:r>
        <w:rPr/>
        <w:t>十一</w:t>
      </w:r>
      <w:r>
        <w:rPr>
          <w:rFonts w:ascii="Times New Roman" w:hAnsi="Times New Roman" w:cs="Times New Roman" w:eastAsia="Times New Roman" w:hint="default"/>
        </w:rPr>
        <w:t>) </w:t>
      </w:r>
      <w:r>
        <w:rPr>
          <w:rFonts w:ascii="Times New Roman" w:hAnsi="Times New Roman" w:cs="Times New Roman" w:eastAsia="Times New Roman" w:hint="default"/>
          <w:spacing w:val="43"/>
        </w:rPr>
        <w:t> </w:t>
      </w:r>
      <w:r>
        <w:rPr/>
        <w:t>投资性房地产</w:t>
      </w:r>
      <w:r>
        <w:rPr>
          <w:b w:val="0"/>
          <w:bCs w:val="0"/>
        </w:rPr>
      </w:r>
    </w:p>
    <w:p>
      <w:pPr>
        <w:pStyle w:val="Heading5"/>
        <w:tabs>
          <w:tab w:pos="1397" w:val="left" w:leader="none"/>
        </w:tabs>
        <w:spacing w:line="240" w:lineRule="auto" w:before="110"/>
        <w:ind w:left="846" w:right="3681"/>
        <w:jc w:val="left"/>
        <w:rPr>
          <w:b w:val="0"/>
          <w:bCs w:val="0"/>
        </w:rPr>
      </w:pPr>
      <w:r>
        <w:rPr/>
        <w:pict>
          <v:group style="position:absolute;margin-left:119.010002pt;margin-top:40.803665pt;width:411.95pt;height:354.15pt;mso-position-horizontal-relative:page;mso-position-vertical-relative:paragraph;z-index:-1390288" coordorigin="2380,816" coordsize="8239,7083">
            <v:group style="position:absolute;left:2410;top:831;width:3910;height:2" coordorigin="2410,831" coordsize="3910,2">
              <v:shape style="position:absolute;left:2410;top:831;width:3910;height:2" coordorigin="2410,831" coordsize="3910,0" path="m2410,831l6319,831e" filled="false" stroked="true" strokeweight="1.5pt" strokecolor="#000000">
                <v:path arrowok="t"/>
              </v:shape>
              <v:shape style="position:absolute;left:6319;top:846;width:10;height:28" type="#_x0000_t75" stroked="false">
                <v:imagedata r:id="rId174" o:title=""/>
              </v:shape>
            </v:group>
            <v:group style="position:absolute;left:6319;top:831;width:2217;height:2" coordorigin="6319,831" coordsize="2217,2">
              <v:shape style="position:absolute;left:6319;top:831;width:2217;height:2" coordorigin="6319,831" coordsize="2217,0" path="m6319,831l8536,831e" filled="false" stroked="true" strokeweight="1.5pt" strokecolor="#000000">
                <v:path arrowok="t"/>
              </v:shape>
              <v:shape style="position:absolute;left:8536;top:846;width:10;height:28" type="#_x0000_t75" stroked="false">
                <v:imagedata r:id="rId174" o:title=""/>
              </v:shape>
            </v:group>
            <v:group style="position:absolute;left:8536;top:831;width:2062;height:2" coordorigin="8536,831" coordsize="2062,2">
              <v:shape style="position:absolute;left:8536;top:831;width:2062;height:2" coordorigin="8536,831" coordsize="2062,0" path="m8536,831l10597,831e" filled="false" stroked="true" strokeweight="1.5pt" strokecolor="#000000">
                <v:path arrowok="t"/>
              </v:shape>
              <v:shape style="position:absolute;left:6300;top:854;width:2264;height:294" type="#_x0000_t75" stroked="false">
                <v:imagedata r:id="rId175" o:title=""/>
              </v:shape>
            </v:group>
            <v:group style="position:absolute;left:2395;top:7883;width:3924;height:2" coordorigin="2395,7883" coordsize="3924,2">
              <v:shape style="position:absolute;left:2395;top:7883;width:3924;height:2" coordorigin="2395,7883" coordsize="3924,0" path="m2395,7883l6319,7883e" filled="false" stroked="true" strokeweight="1.5pt" strokecolor="#000000">
                <v:path arrowok="t"/>
              </v:shape>
            </v:group>
            <v:group style="position:absolute;left:6319;top:7883;width:2217;height:2" coordorigin="6319,7883" coordsize="2217,2">
              <v:shape style="position:absolute;left:6319;top:7883;width:2217;height:2" coordorigin="6319,7883" coordsize="2217,0" path="m6319,7883l8536,7883e" filled="false" stroked="true" strokeweight="1.5pt" strokecolor="#000000">
                <v:path arrowok="t"/>
              </v:shape>
              <v:shape style="position:absolute;left:2390;top:1110;width:8228;height:6758" type="#_x0000_t75" stroked="false">
                <v:imagedata r:id="rId176" o:title=""/>
              </v:shape>
            </v:group>
            <v:group style="position:absolute;left:8536;top:7883;width:2062;height:2" coordorigin="8536,7883" coordsize="2062,2">
              <v:shape style="position:absolute;left:8536;top:7883;width:2062;height:2" coordorigin="8536,7883" coordsize="2062,0" path="m8536,7883l10597,7883e" filled="false" stroked="true" strokeweight="1.5pt" strokecolor="#000000">
                <v:path arrowok="t"/>
              </v:shape>
            </v:group>
            <w10:wrap type="none"/>
          </v:group>
        </w:pict>
      </w:r>
      <w:r>
        <w:rPr>
          <w:rFonts w:ascii="Times New Roman" w:hAnsi="Times New Roman" w:cs="Times New Roman" w:eastAsia="Times New Roman" w:hint="default"/>
          <w:w w:val="95"/>
        </w:rPr>
        <w:t>1</w:t>
      </w:r>
      <w:r>
        <w:rPr>
          <w:w w:val="95"/>
        </w:rPr>
        <w:t>、</w:t>
        <w:tab/>
      </w:r>
      <w:r>
        <w:rPr/>
        <w:t>采用成本计量模式的投资性房地产</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2"/>
          <w:szCs w:val="12"/>
        </w:rPr>
      </w:pPr>
    </w:p>
    <w:tbl>
      <w:tblPr>
        <w:tblW w:w="0" w:type="auto"/>
        <w:jc w:val="left"/>
        <w:tblInd w:w="787" w:type="dxa"/>
        <w:tblLayout w:type="fixed"/>
        <w:tblCellMar>
          <w:top w:w="0" w:type="dxa"/>
          <w:left w:w="0" w:type="dxa"/>
          <w:bottom w:w="0" w:type="dxa"/>
          <w:right w:w="0" w:type="dxa"/>
        </w:tblCellMar>
        <w:tblLook w:val="01E0"/>
      </w:tblPr>
      <w:tblGrid>
        <w:gridCol w:w="3571"/>
        <w:gridCol w:w="2883"/>
        <w:gridCol w:w="1659"/>
      </w:tblGrid>
      <w:tr>
        <w:trPr>
          <w:trHeight w:val="599" w:hRule="exact"/>
        </w:trPr>
        <w:tc>
          <w:tcPr>
            <w:tcW w:w="3571" w:type="dxa"/>
            <w:tcBorders>
              <w:top w:val="nil" w:sz="6" w:space="0" w:color="auto"/>
              <w:left w:val="nil" w:sz="6" w:space="0" w:color="auto"/>
              <w:bottom w:val="nil" w:sz="6" w:space="0" w:color="auto"/>
              <w:right w:val="nil" w:sz="6" w:space="0" w:color="auto"/>
            </w:tcBorders>
          </w:tcPr>
          <w:p>
            <w:pPr>
              <w:pStyle w:val="TableParagraph"/>
              <w:spacing w:line="240" w:lineRule="auto" w:before="26"/>
              <w:ind w:left="265" w:right="0"/>
              <w:jc w:val="center"/>
              <w:rPr>
                <w:rFonts w:ascii="宋体" w:hAnsi="宋体" w:cs="宋体" w:eastAsia="宋体" w:hint="default"/>
                <w:sz w:val="16"/>
                <w:szCs w:val="16"/>
              </w:rPr>
            </w:pPr>
            <w:r>
              <w:rPr>
                <w:rFonts w:ascii="宋体" w:hAnsi="宋体" w:cs="宋体" w:eastAsia="宋体" w:hint="default"/>
                <w:sz w:val="16"/>
                <w:szCs w:val="16"/>
              </w:rPr>
              <w:t>项目</w:t>
            </w:r>
          </w:p>
          <w:p>
            <w:pPr>
              <w:pStyle w:val="TableParagraph"/>
              <w:spacing w:line="240" w:lineRule="auto" w:before="83"/>
              <w:ind w:left="70"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宋体" w:hAnsi="宋体" w:cs="宋体" w:eastAsia="宋体" w:hint="default"/>
                <w:sz w:val="16"/>
                <w:szCs w:val="16"/>
              </w:rPr>
              <w:t>．账面原值</w:t>
            </w:r>
          </w:p>
        </w:tc>
        <w:tc>
          <w:tcPr>
            <w:tcW w:w="2883" w:type="dxa"/>
            <w:tcBorders>
              <w:top w:val="nil" w:sz="6" w:space="0" w:color="auto"/>
              <w:left w:val="nil" w:sz="6" w:space="0" w:color="auto"/>
              <w:bottom w:val="nil" w:sz="6" w:space="0" w:color="auto"/>
              <w:right w:val="nil" w:sz="6" w:space="0" w:color="auto"/>
            </w:tcBorders>
          </w:tcPr>
          <w:p>
            <w:pPr>
              <w:pStyle w:val="TableParagraph"/>
              <w:spacing w:line="240" w:lineRule="auto" w:before="26"/>
              <w:ind w:left="933" w:right="0"/>
              <w:jc w:val="left"/>
              <w:rPr>
                <w:rFonts w:ascii="宋体" w:hAnsi="宋体" w:cs="宋体" w:eastAsia="宋体" w:hint="default"/>
                <w:sz w:val="16"/>
                <w:szCs w:val="16"/>
              </w:rPr>
            </w:pPr>
            <w:r>
              <w:rPr>
                <w:rFonts w:ascii="宋体" w:hAnsi="宋体" w:cs="宋体" w:eastAsia="宋体" w:hint="default"/>
                <w:sz w:val="16"/>
                <w:szCs w:val="16"/>
              </w:rPr>
              <w:t>房屋、建筑物</w:t>
            </w:r>
          </w:p>
        </w:tc>
        <w:tc>
          <w:tcPr>
            <w:tcW w:w="1659" w:type="dxa"/>
            <w:tcBorders>
              <w:top w:val="nil" w:sz="6" w:space="0" w:color="auto"/>
              <w:left w:val="nil" w:sz="6" w:space="0" w:color="auto"/>
              <w:bottom w:val="nil" w:sz="6" w:space="0" w:color="auto"/>
              <w:right w:val="nil" w:sz="6" w:space="0" w:color="auto"/>
            </w:tcBorders>
          </w:tcPr>
          <w:p>
            <w:pPr>
              <w:pStyle w:val="TableParagraph"/>
              <w:spacing w:line="240" w:lineRule="auto" w:before="26"/>
              <w:ind w:left="506" w:right="0"/>
              <w:jc w:val="left"/>
              <w:rPr>
                <w:rFonts w:ascii="宋体" w:hAnsi="宋体" w:cs="宋体" w:eastAsia="宋体" w:hint="default"/>
                <w:sz w:val="16"/>
                <w:szCs w:val="16"/>
              </w:rPr>
            </w:pPr>
            <w:r>
              <w:rPr>
                <w:rFonts w:ascii="宋体" w:hAnsi="宋体" w:cs="宋体" w:eastAsia="宋体" w:hint="default"/>
                <w:sz w:val="16"/>
                <w:szCs w:val="16"/>
              </w:rPr>
              <w:t>合计</w:t>
            </w:r>
          </w:p>
        </w:tc>
      </w:tr>
      <w:tr>
        <w:trPr>
          <w:trHeight w:val="295" w:hRule="exact"/>
        </w:trPr>
        <w:tc>
          <w:tcPr>
            <w:tcW w:w="3571" w:type="dxa"/>
            <w:tcBorders>
              <w:top w:val="nil" w:sz="6" w:space="0" w:color="auto"/>
              <w:left w:val="nil" w:sz="6" w:space="0" w:color="auto"/>
              <w:bottom w:val="nil" w:sz="6" w:space="0" w:color="auto"/>
              <w:right w:val="nil" w:sz="6" w:space="0" w:color="auto"/>
            </w:tcBorders>
          </w:tcPr>
          <w:p>
            <w:pPr>
              <w:pStyle w:val="TableParagraph"/>
              <w:spacing w:line="240" w:lineRule="auto" w:before="12"/>
              <w:ind w:left="70" w:right="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1</w:t>
            </w:r>
            <w:r>
              <w:rPr>
                <w:rFonts w:ascii="宋体" w:hAnsi="宋体" w:cs="宋体" w:eastAsia="宋体" w:hint="default"/>
                <w:sz w:val="16"/>
                <w:szCs w:val="16"/>
              </w:rPr>
              <w:t>）年初余额</w:t>
            </w:r>
          </w:p>
        </w:tc>
        <w:tc>
          <w:tcPr>
            <w:tcW w:w="288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466"/>
              <w:jc w:val="right"/>
              <w:rPr>
                <w:rFonts w:ascii="Times New Roman" w:hAnsi="Times New Roman" w:cs="Times New Roman" w:eastAsia="Times New Roman" w:hint="default"/>
                <w:sz w:val="16"/>
                <w:szCs w:val="16"/>
              </w:rPr>
            </w:pPr>
            <w:r>
              <w:rPr>
                <w:rFonts w:ascii="Times New Roman"/>
                <w:spacing w:val="-1"/>
                <w:sz w:val="16"/>
              </w:rPr>
              <w:t>1,228,179,217.82</w:t>
            </w:r>
          </w:p>
        </w:tc>
        <w:tc>
          <w:tcPr>
            <w:tcW w:w="165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68"/>
              <w:jc w:val="right"/>
              <w:rPr>
                <w:rFonts w:ascii="Times New Roman" w:hAnsi="Times New Roman" w:cs="Times New Roman" w:eastAsia="Times New Roman" w:hint="default"/>
                <w:sz w:val="16"/>
                <w:szCs w:val="16"/>
              </w:rPr>
            </w:pPr>
            <w:r>
              <w:rPr>
                <w:rFonts w:ascii="Times New Roman"/>
                <w:spacing w:val="-1"/>
                <w:sz w:val="16"/>
              </w:rPr>
              <w:t>1,228,179,217.82</w:t>
            </w:r>
          </w:p>
        </w:tc>
      </w:tr>
      <w:tr>
        <w:trPr>
          <w:trHeight w:val="294" w:hRule="exact"/>
        </w:trPr>
        <w:tc>
          <w:tcPr>
            <w:tcW w:w="357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70" w:right="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2</w:t>
            </w:r>
            <w:r>
              <w:rPr>
                <w:rFonts w:ascii="宋体" w:hAnsi="宋体" w:cs="宋体" w:eastAsia="宋体" w:hint="default"/>
                <w:sz w:val="16"/>
                <w:szCs w:val="16"/>
              </w:rPr>
              <w:t>）本期增加金额</w:t>
            </w:r>
          </w:p>
        </w:tc>
        <w:tc>
          <w:tcPr>
            <w:tcW w:w="288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466"/>
              <w:jc w:val="right"/>
              <w:rPr>
                <w:rFonts w:ascii="Times New Roman" w:hAnsi="Times New Roman" w:cs="Times New Roman" w:eastAsia="Times New Roman" w:hint="default"/>
                <w:sz w:val="16"/>
                <w:szCs w:val="16"/>
              </w:rPr>
            </w:pPr>
            <w:r>
              <w:rPr>
                <w:rFonts w:ascii="Times New Roman"/>
                <w:spacing w:val="-1"/>
                <w:sz w:val="16"/>
              </w:rPr>
              <w:t>76,293,715.80</w:t>
            </w:r>
          </w:p>
        </w:tc>
        <w:tc>
          <w:tcPr>
            <w:tcW w:w="165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68"/>
              <w:jc w:val="right"/>
              <w:rPr>
                <w:rFonts w:ascii="Times New Roman" w:hAnsi="Times New Roman" w:cs="Times New Roman" w:eastAsia="Times New Roman" w:hint="default"/>
                <w:sz w:val="16"/>
                <w:szCs w:val="16"/>
              </w:rPr>
            </w:pPr>
            <w:r>
              <w:rPr>
                <w:rFonts w:ascii="Times New Roman"/>
                <w:spacing w:val="-1"/>
                <w:sz w:val="16"/>
              </w:rPr>
              <w:t>76,293,715.80</w:t>
            </w:r>
          </w:p>
        </w:tc>
      </w:tr>
      <w:tr>
        <w:trPr>
          <w:trHeight w:val="293" w:hRule="exact"/>
        </w:trPr>
        <w:tc>
          <w:tcPr>
            <w:tcW w:w="357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931"/>
              <w:jc w:val="right"/>
              <w:rPr>
                <w:rFonts w:ascii="宋体" w:hAnsi="宋体" w:cs="宋体" w:eastAsia="宋体" w:hint="default"/>
                <w:sz w:val="16"/>
                <w:szCs w:val="16"/>
              </w:rPr>
            </w:pPr>
            <w:r>
              <w:rPr>
                <w:rFonts w:ascii="Times New Roman" w:hAnsi="Times New Roman" w:cs="Times New Roman" w:eastAsia="Times New Roman" w:hint="default"/>
                <w:w w:val="95"/>
                <w:sz w:val="16"/>
                <w:szCs w:val="16"/>
              </w:rPr>
              <w:t>—</w:t>
            </w:r>
            <w:r>
              <w:rPr>
                <w:rFonts w:ascii="宋体" w:hAnsi="宋体" w:cs="宋体" w:eastAsia="宋体" w:hint="default"/>
                <w:w w:val="95"/>
                <w:sz w:val="16"/>
                <w:szCs w:val="16"/>
              </w:rPr>
              <w:t>存货</w:t>
            </w:r>
            <w:r>
              <w:rPr>
                <w:rFonts w:ascii="Times New Roman" w:hAnsi="Times New Roman" w:cs="Times New Roman" w:eastAsia="Times New Roman" w:hint="default"/>
                <w:w w:val="95"/>
                <w:sz w:val="16"/>
                <w:szCs w:val="16"/>
              </w:rPr>
              <w:t>\</w:t>
            </w:r>
            <w:r>
              <w:rPr>
                <w:rFonts w:ascii="宋体" w:hAnsi="宋体" w:cs="宋体" w:eastAsia="宋体" w:hint="default"/>
                <w:w w:val="95"/>
                <w:sz w:val="16"/>
                <w:szCs w:val="16"/>
              </w:rPr>
              <w:t>固定资产</w:t>
            </w:r>
            <w:r>
              <w:rPr>
                <w:rFonts w:ascii="Times New Roman" w:hAnsi="Times New Roman" w:cs="Times New Roman" w:eastAsia="Times New Roman" w:hint="default"/>
                <w:w w:val="95"/>
                <w:sz w:val="16"/>
                <w:szCs w:val="16"/>
              </w:rPr>
              <w:t>\</w:t>
            </w:r>
            <w:r>
              <w:rPr>
                <w:rFonts w:ascii="宋体" w:hAnsi="宋体" w:cs="宋体" w:eastAsia="宋体" w:hint="default"/>
                <w:w w:val="95"/>
                <w:sz w:val="16"/>
                <w:szCs w:val="16"/>
              </w:rPr>
              <w:t>在建工程转入</w:t>
            </w:r>
            <w:r>
              <w:rPr>
                <w:rFonts w:ascii="宋体" w:hAnsi="宋体" w:cs="宋体" w:eastAsia="宋体" w:hint="default"/>
                <w:sz w:val="16"/>
                <w:szCs w:val="16"/>
              </w:rPr>
            </w:r>
          </w:p>
        </w:tc>
        <w:tc>
          <w:tcPr>
            <w:tcW w:w="2883"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467"/>
              <w:jc w:val="right"/>
              <w:rPr>
                <w:rFonts w:ascii="Times New Roman" w:hAnsi="Times New Roman" w:cs="Times New Roman" w:eastAsia="Times New Roman" w:hint="default"/>
                <w:sz w:val="16"/>
                <w:szCs w:val="16"/>
              </w:rPr>
            </w:pPr>
            <w:r>
              <w:rPr>
                <w:rFonts w:ascii="Times New Roman"/>
                <w:spacing w:val="-1"/>
                <w:sz w:val="16"/>
              </w:rPr>
              <w:t>76,293,715.80</w:t>
            </w:r>
          </w:p>
        </w:tc>
        <w:tc>
          <w:tcPr>
            <w:tcW w:w="1659"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68"/>
              <w:jc w:val="right"/>
              <w:rPr>
                <w:rFonts w:ascii="Times New Roman" w:hAnsi="Times New Roman" w:cs="Times New Roman" w:eastAsia="Times New Roman" w:hint="default"/>
                <w:sz w:val="16"/>
                <w:szCs w:val="16"/>
              </w:rPr>
            </w:pPr>
            <w:r>
              <w:rPr>
                <w:rFonts w:ascii="Times New Roman"/>
                <w:spacing w:val="-1"/>
                <w:sz w:val="16"/>
              </w:rPr>
              <w:t>76,293,715.80</w:t>
            </w:r>
          </w:p>
        </w:tc>
      </w:tr>
      <w:tr>
        <w:trPr>
          <w:trHeight w:val="293" w:hRule="exact"/>
        </w:trPr>
        <w:tc>
          <w:tcPr>
            <w:tcW w:w="357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70" w:right="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3</w:t>
            </w:r>
            <w:r>
              <w:rPr>
                <w:rFonts w:ascii="宋体" w:hAnsi="宋体" w:cs="宋体" w:eastAsia="宋体" w:hint="default"/>
                <w:sz w:val="16"/>
                <w:szCs w:val="16"/>
              </w:rPr>
              <w:t>）本期减少金额</w:t>
            </w:r>
          </w:p>
        </w:tc>
        <w:tc>
          <w:tcPr>
            <w:tcW w:w="2883"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466"/>
              <w:jc w:val="right"/>
              <w:rPr>
                <w:rFonts w:ascii="Times New Roman" w:hAnsi="Times New Roman" w:cs="Times New Roman" w:eastAsia="Times New Roman" w:hint="default"/>
                <w:sz w:val="16"/>
                <w:szCs w:val="16"/>
              </w:rPr>
            </w:pPr>
            <w:r>
              <w:rPr>
                <w:rFonts w:ascii="Times New Roman"/>
                <w:spacing w:val="-1"/>
                <w:sz w:val="16"/>
              </w:rPr>
              <w:t>96,922,801.35</w:t>
            </w:r>
          </w:p>
        </w:tc>
        <w:tc>
          <w:tcPr>
            <w:tcW w:w="1659"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68"/>
              <w:jc w:val="right"/>
              <w:rPr>
                <w:rFonts w:ascii="Times New Roman" w:hAnsi="Times New Roman" w:cs="Times New Roman" w:eastAsia="Times New Roman" w:hint="default"/>
                <w:sz w:val="16"/>
                <w:szCs w:val="16"/>
              </w:rPr>
            </w:pPr>
            <w:r>
              <w:rPr>
                <w:rFonts w:ascii="Times New Roman"/>
                <w:spacing w:val="-1"/>
                <w:sz w:val="16"/>
              </w:rPr>
              <w:t>96,922,801.35</w:t>
            </w:r>
          </w:p>
        </w:tc>
      </w:tr>
      <w:tr>
        <w:trPr>
          <w:trHeight w:val="293" w:hRule="exact"/>
        </w:trPr>
        <w:tc>
          <w:tcPr>
            <w:tcW w:w="357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469"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w:t>
            </w:r>
            <w:r>
              <w:rPr>
                <w:rFonts w:ascii="宋体" w:hAnsi="宋体" w:cs="宋体" w:eastAsia="宋体" w:hint="default"/>
                <w:sz w:val="16"/>
                <w:szCs w:val="16"/>
              </w:rPr>
              <w:t>处置</w:t>
            </w:r>
          </w:p>
        </w:tc>
        <w:tc>
          <w:tcPr>
            <w:tcW w:w="2883"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467"/>
              <w:jc w:val="right"/>
              <w:rPr>
                <w:rFonts w:ascii="Times New Roman" w:hAnsi="Times New Roman" w:cs="Times New Roman" w:eastAsia="Times New Roman" w:hint="default"/>
                <w:sz w:val="16"/>
                <w:szCs w:val="16"/>
              </w:rPr>
            </w:pPr>
            <w:r>
              <w:rPr>
                <w:rFonts w:ascii="Times New Roman"/>
                <w:spacing w:val="-1"/>
                <w:sz w:val="16"/>
              </w:rPr>
              <w:t>96,922,801.35</w:t>
            </w:r>
          </w:p>
        </w:tc>
        <w:tc>
          <w:tcPr>
            <w:tcW w:w="1659"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68"/>
              <w:jc w:val="right"/>
              <w:rPr>
                <w:rFonts w:ascii="Times New Roman" w:hAnsi="Times New Roman" w:cs="Times New Roman" w:eastAsia="Times New Roman" w:hint="default"/>
                <w:sz w:val="16"/>
                <w:szCs w:val="16"/>
              </w:rPr>
            </w:pPr>
            <w:r>
              <w:rPr>
                <w:rFonts w:ascii="Times New Roman"/>
                <w:spacing w:val="-1"/>
                <w:sz w:val="16"/>
              </w:rPr>
              <w:t>96,922,801.35</w:t>
            </w:r>
          </w:p>
        </w:tc>
      </w:tr>
      <w:tr>
        <w:trPr>
          <w:trHeight w:val="880" w:hRule="exact"/>
        </w:trPr>
        <w:tc>
          <w:tcPr>
            <w:tcW w:w="357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70" w:right="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4</w:t>
            </w:r>
            <w:r>
              <w:rPr>
                <w:rFonts w:ascii="宋体" w:hAnsi="宋体" w:cs="宋体" w:eastAsia="宋体" w:hint="default"/>
                <w:sz w:val="16"/>
                <w:szCs w:val="16"/>
              </w:rPr>
              <w:t>）期末余额</w:t>
            </w:r>
          </w:p>
          <w:p>
            <w:pPr>
              <w:pStyle w:val="TableParagraph"/>
              <w:spacing w:line="240" w:lineRule="auto" w:before="71"/>
              <w:ind w:left="70"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宋体" w:hAnsi="宋体" w:cs="宋体" w:eastAsia="宋体" w:hint="default"/>
                <w:sz w:val="16"/>
                <w:szCs w:val="16"/>
              </w:rPr>
              <w:t>．累计折旧和累计摊销</w:t>
            </w:r>
          </w:p>
          <w:p>
            <w:pPr>
              <w:pStyle w:val="TableParagraph"/>
              <w:spacing w:line="240" w:lineRule="auto" w:before="71"/>
              <w:ind w:left="70" w:right="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1</w:t>
            </w:r>
            <w:r>
              <w:rPr>
                <w:rFonts w:ascii="宋体" w:hAnsi="宋体" w:cs="宋体" w:eastAsia="宋体" w:hint="default"/>
                <w:sz w:val="16"/>
                <w:szCs w:val="16"/>
              </w:rPr>
              <w:t>）年初余额</w:t>
            </w:r>
          </w:p>
        </w:tc>
        <w:tc>
          <w:tcPr>
            <w:tcW w:w="2883" w:type="dxa"/>
            <w:tcBorders>
              <w:top w:val="nil" w:sz="6" w:space="0" w:color="auto"/>
              <w:left w:val="nil" w:sz="6" w:space="0" w:color="auto"/>
              <w:bottom w:val="nil" w:sz="6" w:space="0" w:color="auto"/>
              <w:right w:val="nil" w:sz="6" w:space="0" w:color="auto"/>
            </w:tcBorders>
          </w:tcPr>
          <w:p>
            <w:pPr>
              <w:pStyle w:val="TableParagraph"/>
              <w:spacing w:line="240" w:lineRule="auto" w:before="52"/>
              <w:ind w:left="825" w:right="0"/>
              <w:jc w:val="center"/>
              <w:rPr>
                <w:rFonts w:ascii="Times New Roman" w:hAnsi="Times New Roman" w:cs="Times New Roman" w:eastAsia="Times New Roman" w:hint="default"/>
                <w:sz w:val="16"/>
                <w:szCs w:val="16"/>
              </w:rPr>
            </w:pPr>
            <w:r>
              <w:rPr>
                <w:rFonts w:ascii="Times New Roman"/>
                <w:sz w:val="16"/>
              </w:rPr>
              <w:t>1,207,550,132.27</w:t>
            </w: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left="945" w:right="0"/>
              <w:jc w:val="center"/>
              <w:rPr>
                <w:rFonts w:ascii="Times New Roman" w:hAnsi="Times New Roman" w:cs="Times New Roman" w:eastAsia="Times New Roman" w:hint="default"/>
                <w:sz w:val="16"/>
                <w:szCs w:val="16"/>
              </w:rPr>
            </w:pPr>
            <w:r>
              <w:rPr>
                <w:rFonts w:ascii="Times New Roman"/>
                <w:sz w:val="16"/>
              </w:rPr>
              <w:t>264,935,714.38</w:t>
            </w:r>
          </w:p>
        </w:tc>
        <w:tc>
          <w:tcPr>
            <w:tcW w:w="1659" w:type="dxa"/>
            <w:tcBorders>
              <w:top w:val="nil" w:sz="6" w:space="0" w:color="auto"/>
              <w:left w:val="nil" w:sz="6" w:space="0" w:color="auto"/>
              <w:bottom w:val="nil" w:sz="6" w:space="0" w:color="auto"/>
              <w:right w:val="nil" w:sz="6" w:space="0" w:color="auto"/>
            </w:tcBorders>
          </w:tcPr>
          <w:p>
            <w:pPr>
              <w:pStyle w:val="TableParagraph"/>
              <w:spacing w:line="240" w:lineRule="auto" w:before="52"/>
              <w:ind w:left="397" w:right="0"/>
              <w:jc w:val="center"/>
              <w:rPr>
                <w:rFonts w:ascii="Times New Roman" w:hAnsi="Times New Roman" w:cs="Times New Roman" w:eastAsia="Times New Roman" w:hint="default"/>
                <w:sz w:val="16"/>
                <w:szCs w:val="16"/>
              </w:rPr>
            </w:pPr>
            <w:r>
              <w:rPr>
                <w:rFonts w:ascii="Times New Roman"/>
                <w:sz w:val="16"/>
              </w:rPr>
              <w:t>1,207,550,132.27</w:t>
            </w: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left="517" w:right="0"/>
              <w:jc w:val="center"/>
              <w:rPr>
                <w:rFonts w:ascii="Times New Roman" w:hAnsi="Times New Roman" w:cs="Times New Roman" w:eastAsia="Times New Roman" w:hint="default"/>
                <w:sz w:val="16"/>
                <w:szCs w:val="16"/>
              </w:rPr>
            </w:pPr>
            <w:r>
              <w:rPr>
                <w:rFonts w:ascii="Times New Roman"/>
                <w:sz w:val="16"/>
              </w:rPr>
              <w:t>264,935,714.38</w:t>
            </w:r>
          </w:p>
        </w:tc>
      </w:tr>
      <w:tr>
        <w:trPr>
          <w:trHeight w:val="293" w:hRule="exact"/>
        </w:trPr>
        <w:tc>
          <w:tcPr>
            <w:tcW w:w="357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70" w:right="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2</w:t>
            </w:r>
            <w:r>
              <w:rPr>
                <w:rFonts w:ascii="宋体" w:hAnsi="宋体" w:cs="宋体" w:eastAsia="宋体" w:hint="default"/>
                <w:sz w:val="16"/>
                <w:szCs w:val="16"/>
              </w:rPr>
              <w:t>）本期增加金额</w:t>
            </w:r>
          </w:p>
        </w:tc>
        <w:tc>
          <w:tcPr>
            <w:tcW w:w="2883"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466"/>
              <w:jc w:val="right"/>
              <w:rPr>
                <w:rFonts w:ascii="Times New Roman" w:hAnsi="Times New Roman" w:cs="Times New Roman" w:eastAsia="Times New Roman" w:hint="default"/>
                <w:sz w:val="16"/>
                <w:szCs w:val="16"/>
              </w:rPr>
            </w:pPr>
            <w:r>
              <w:rPr>
                <w:rFonts w:ascii="Times New Roman"/>
                <w:spacing w:val="-1"/>
                <w:sz w:val="16"/>
              </w:rPr>
              <w:t>32,164,495.51</w:t>
            </w:r>
          </w:p>
        </w:tc>
        <w:tc>
          <w:tcPr>
            <w:tcW w:w="1659"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68"/>
              <w:jc w:val="right"/>
              <w:rPr>
                <w:rFonts w:ascii="Times New Roman" w:hAnsi="Times New Roman" w:cs="Times New Roman" w:eastAsia="Times New Roman" w:hint="default"/>
                <w:sz w:val="16"/>
                <w:szCs w:val="16"/>
              </w:rPr>
            </w:pPr>
            <w:r>
              <w:rPr>
                <w:rFonts w:ascii="Times New Roman"/>
                <w:spacing w:val="-1"/>
                <w:sz w:val="16"/>
              </w:rPr>
              <w:t>32,164,495.51</w:t>
            </w:r>
          </w:p>
        </w:tc>
      </w:tr>
      <w:tr>
        <w:trPr>
          <w:trHeight w:val="293" w:hRule="exact"/>
        </w:trPr>
        <w:tc>
          <w:tcPr>
            <w:tcW w:w="357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469"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w:t>
            </w:r>
            <w:r>
              <w:rPr>
                <w:rFonts w:ascii="宋体" w:hAnsi="宋体" w:cs="宋体" w:eastAsia="宋体" w:hint="default"/>
                <w:sz w:val="16"/>
                <w:szCs w:val="16"/>
              </w:rPr>
              <w:t>计提或摊销</w:t>
            </w:r>
          </w:p>
        </w:tc>
        <w:tc>
          <w:tcPr>
            <w:tcW w:w="2883"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466"/>
              <w:jc w:val="right"/>
              <w:rPr>
                <w:rFonts w:ascii="Times New Roman" w:hAnsi="Times New Roman" w:cs="Times New Roman" w:eastAsia="Times New Roman" w:hint="default"/>
                <w:sz w:val="16"/>
                <w:szCs w:val="16"/>
              </w:rPr>
            </w:pPr>
            <w:r>
              <w:rPr>
                <w:rFonts w:ascii="Times New Roman"/>
                <w:spacing w:val="-1"/>
                <w:sz w:val="16"/>
              </w:rPr>
              <w:t>29,265,436.15</w:t>
            </w:r>
          </w:p>
        </w:tc>
        <w:tc>
          <w:tcPr>
            <w:tcW w:w="1659"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68"/>
              <w:jc w:val="right"/>
              <w:rPr>
                <w:rFonts w:ascii="Times New Roman" w:hAnsi="Times New Roman" w:cs="Times New Roman" w:eastAsia="Times New Roman" w:hint="default"/>
                <w:sz w:val="16"/>
                <w:szCs w:val="16"/>
              </w:rPr>
            </w:pPr>
            <w:r>
              <w:rPr>
                <w:rFonts w:ascii="Times New Roman"/>
                <w:spacing w:val="-1"/>
                <w:sz w:val="16"/>
              </w:rPr>
              <w:t>29,265,436.15</w:t>
            </w:r>
          </w:p>
        </w:tc>
      </w:tr>
      <w:tr>
        <w:trPr>
          <w:trHeight w:val="293" w:hRule="exact"/>
        </w:trPr>
        <w:tc>
          <w:tcPr>
            <w:tcW w:w="357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931"/>
              <w:jc w:val="right"/>
              <w:rPr>
                <w:rFonts w:ascii="宋体" w:hAnsi="宋体" w:cs="宋体" w:eastAsia="宋体" w:hint="default"/>
                <w:sz w:val="16"/>
                <w:szCs w:val="16"/>
              </w:rPr>
            </w:pPr>
            <w:r>
              <w:rPr>
                <w:rFonts w:ascii="Times New Roman" w:hAnsi="Times New Roman" w:cs="Times New Roman" w:eastAsia="Times New Roman" w:hint="default"/>
                <w:w w:val="95"/>
                <w:sz w:val="16"/>
                <w:szCs w:val="16"/>
              </w:rPr>
              <w:t>—</w:t>
            </w:r>
            <w:r>
              <w:rPr>
                <w:rFonts w:ascii="宋体" w:hAnsi="宋体" w:cs="宋体" w:eastAsia="宋体" w:hint="default"/>
                <w:w w:val="95"/>
                <w:sz w:val="16"/>
                <w:szCs w:val="16"/>
              </w:rPr>
              <w:t>存货</w:t>
            </w:r>
            <w:r>
              <w:rPr>
                <w:rFonts w:ascii="Times New Roman" w:hAnsi="Times New Roman" w:cs="Times New Roman" w:eastAsia="Times New Roman" w:hint="default"/>
                <w:w w:val="95"/>
                <w:sz w:val="16"/>
                <w:szCs w:val="16"/>
              </w:rPr>
              <w:t>\</w:t>
            </w:r>
            <w:r>
              <w:rPr>
                <w:rFonts w:ascii="宋体" w:hAnsi="宋体" w:cs="宋体" w:eastAsia="宋体" w:hint="default"/>
                <w:w w:val="95"/>
                <w:sz w:val="16"/>
                <w:szCs w:val="16"/>
              </w:rPr>
              <w:t>固定资产</w:t>
            </w:r>
            <w:r>
              <w:rPr>
                <w:rFonts w:ascii="Times New Roman" w:hAnsi="Times New Roman" w:cs="Times New Roman" w:eastAsia="Times New Roman" w:hint="default"/>
                <w:w w:val="95"/>
                <w:sz w:val="16"/>
                <w:szCs w:val="16"/>
              </w:rPr>
              <w:t>\</w:t>
            </w:r>
            <w:r>
              <w:rPr>
                <w:rFonts w:ascii="宋体" w:hAnsi="宋体" w:cs="宋体" w:eastAsia="宋体" w:hint="default"/>
                <w:w w:val="95"/>
                <w:sz w:val="16"/>
                <w:szCs w:val="16"/>
              </w:rPr>
              <w:t>在建工程转入</w:t>
            </w:r>
            <w:r>
              <w:rPr>
                <w:rFonts w:ascii="宋体" w:hAnsi="宋体" w:cs="宋体" w:eastAsia="宋体" w:hint="default"/>
                <w:sz w:val="16"/>
                <w:szCs w:val="16"/>
              </w:rPr>
            </w:r>
          </w:p>
        </w:tc>
        <w:tc>
          <w:tcPr>
            <w:tcW w:w="2883"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467"/>
              <w:jc w:val="right"/>
              <w:rPr>
                <w:rFonts w:ascii="Times New Roman" w:hAnsi="Times New Roman" w:cs="Times New Roman" w:eastAsia="Times New Roman" w:hint="default"/>
                <w:sz w:val="16"/>
                <w:szCs w:val="16"/>
              </w:rPr>
            </w:pPr>
            <w:r>
              <w:rPr>
                <w:rFonts w:ascii="Times New Roman"/>
                <w:spacing w:val="-1"/>
                <w:sz w:val="16"/>
              </w:rPr>
              <w:t>2,899,059.36</w:t>
            </w:r>
          </w:p>
        </w:tc>
        <w:tc>
          <w:tcPr>
            <w:tcW w:w="1659"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68"/>
              <w:jc w:val="right"/>
              <w:rPr>
                <w:rFonts w:ascii="Times New Roman" w:hAnsi="Times New Roman" w:cs="Times New Roman" w:eastAsia="Times New Roman" w:hint="default"/>
                <w:sz w:val="16"/>
                <w:szCs w:val="16"/>
              </w:rPr>
            </w:pPr>
            <w:r>
              <w:rPr>
                <w:rFonts w:ascii="Times New Roman"/>
                <w:spacing w:val="-1"/>
                <w:sz w:val="16"/>
              </w:rPr>
              <w:t>2,899,059.36</w:t>
            </w:r>
          </w:p>
        </w:tc>
      </w:tr>
      <w:tr>
        <w:trPr>
          <w:trHeight w:val="293" w:hRule="exact"/>
        </w:trPr>
        <w:tc>
          <w:tcPr>
            <w:tcW w:w="357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70" w:right="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3</w:t>
            </w:r>
            <w:r>
              <w:rPr>
                <w:rFonts w:ascii="宋体" w:hAnsi="宋体" w:cs="宋体" w:eastAsia="宋体" w:hint="default"/>
                <w:sz w:val="16"/>
                <w:szCs w:val="16"/>
              </w:rPr>
              <w:t>）本期减少金额</w:t>
            </w:r>
          </w:p>
        </w:tc>
        <w:tc>
          <w:tcPr>
            <w:tcW w:w="2883"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466"/>
              <w:jc w:val="right"/>
              <w:rPr>
                <w:rFonts w:ascii="Times New Roman" w:hAnsi="Times New Roman" w:cs="Times New Roman" w:eastAsia="Times New Roman" w:hint="default"/>
                <w:sz w:val="16"/>
                <w:szCs w:val="16"/>
              </w:rPr>
            </w:pPr>
            <w:r>
              <w:rPr>
                <w:rFonts w:ascii="Times New Roman"/>
                <w:spacing w:val="-1"/>
                <w:sz w:val="16"/>
              </w:rPr>
              <w:t>12,260,671.29</w:t>
            </w:r>
          </w:p>
        </w:tc>
        <w:tc>
          <w:tcPr>
            <w:tcW w:w="1659"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68"/>
              <w:jc w:val="right"/>
              <w:rPr>
                <w:rFonts w:ascii="Times New Roman" w:hAnsi="Times New Roman" w:cs="Times New Roman" w:eastAsia="Times New Roman" w:hint="default"/>
                <w:sz w:val="16"/>
                <w:szCs w:val="16"/>
              </w:rPr>
            </w:pPr>
            <w:r>
              <w:rPr>
                <w:rFonts w:ascii="Times New Roman"/>
                <w:spacing w:val="-1"/>
                <w:sz w:val="16"/>
              </w:rPr>
              <w:t>12,260,671.29</w:t>
            </w:r>
          </w:p>
        </w:tc>
      </w:tr>
      <w:tr>
        <w:trPr>
          <w:trHeight w:val="293" w:hRule="exact"/>
        </w:trPr>
        <w:tc>
          <w:tcPr>
            <w:tcW w:w="357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469"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w:t>
            </w:r>
            <w:r>
              <w:rPr>
                <w:rFonts w:ascii="宋体" w:hAnsi="宋体" w:cs="宋体" w:eastAsia="宋体" w:hint="default"/>
                <w:sz w:val="16"/>
                <w:szCs w:val="16"/>
              </w:rPr>
              <w:t>处置</w:t>
            </w:r>
          </w:p>
        </w:tc>
        <w:tc>
          <w:tcPr>
            <w:tcW w:w="2883"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467"/>
              <w:jc w:val="right"/>
              <w:rPr>
                <w:rFonts w:ascii="Times New Roman" w:hAnsi="Times New Roman" w:cs="Times New Roman" w:eastAsia="Times New Roman" w:hint="default"/>
                <w:sz w:val="16"/>
                <w:szCs w:val="16"/>
              </w:rPr>
            </w:pPr>
            <w:r>
              <w:rPr>
                <w:rFonts w:ascii="Times New Roman"/>
                <w:spacing w:val="-1"/>
                <w:sz w:val="16"/>
              </w:rPr>
              <w:t>12,260,671.29</w:t>
            </w:r>
          </w:p>
        </w:tc>
        <w:tc>
          <w:tcPr>
            <w:tcW w:w="1659"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68"/>
              <w:jc w:val="right"/>
              <w:rPr>
                <w:rFonts w:ascii="Times New Roman" w:hAnsi="Times New Roman" w:cs="Times New Roman" w:eastAsia="Times New Roman" w:hint="default"/>
                <w:sz w:val="16"/>
                <w:szCs w:val="16"/>
              </w:rPr>
            </w:pPr>
            <w:r>
              <w:rPr>
                <w:rFonts w:ascii="Times New Roman"/>
                <w:spacing w:val="-1"/>
                <w:sz w:val="16"/>
              </w:rPr>
              <w:t>12,260,671.29</w:t>
            </w:r>
          </w:p>
        </w:tc>
      </w:tr>
      <w:tr>
        <w:trPr>
          <w:trHeight w:val="2049" w:hRule="exact"/>
        </w:trPr>
        <w:tc>
          <w:tcPr>
            <w:tcW w:w="357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70" w:right="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4</w:t>
            </w:r>
            <w:r>
              <w:rPr>
                <w:rFonts w:ascii="宋体" w:hAnsi="宋体" w:cs="宋体" w:eastAsia="宋体" w:hint="default"/>
                <w:sz w:val="16"/>
                <w:szCs w:val="16"/>
              </w:rPr>
              <w:t>）期末余额</w:t>
            </w:r>
          </w:p>
          <w:p>
            <w:pPr>
              <w:pStyle w:val="TableParagraph"/>
              <w:spacing w:line="240" w:lineRule="auto" w:before="72"/>
              <w:ind w:left="70"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宋体" w:hAnsi="宋体" w:cs="宋体" w:eastAsia="宋体" w:hint="default"/>
                <w:sz w:val="16"/>
                <w:szCs w:val="16"/>
              </w:rPr>
              <w:t>．减值准备</w:t>
            </w:r>
          </w:p>
          <w:p>
            <w:pPr>
              <w:pStyle w:val="TableParagraph"/>
              <w:spacing w:line="240" w:lineRule="auto" w:before="71"/>
              <w:ind w:left="70" w:right="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1</w:t>
            </w:r>
            <w:r>
              <w:rPr>
                <w:rFonts w:ascii="宋体" w:hAnsi="宋体" w:cs="宋体" w:eastAsia="宋体" w:hint="default"/>
                <w:sz w:val="16"/>
                <w:szCs w:val="16"/>
              </w:rPr>
              <w:t>）年初余额</w:t>
            </w:r>
          </w:p>
          <w:p>
            <w:pPr>
              <w:pStyle w:val="TableParagraph"/>
              <w:spacing w:line="240" w:lineRule="auto" w:before="71"/>
              <w:ind w:left="70" w:right="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2</w:t>
            </w:r>
            <w:r>
              <w:rPr>
                <w:rFonts w:ascii="宋体" w:hAnsi="宋体" w:cs="宋体" w:eastAsia="宋体" w:hint="default"/>
                <w:sz w:val="16"/>
                <w:szCs w:val="16"/>
              </w:rPr>
              <w:t>）本期增加金额</w:t>
            </w:r>
          </w:p>
          <w:p>
            <w:pPr>
              <w:pStyle w:val="TableParagraph"/>
              <w:spacing w:line="240" w:lineRule="auto" w:before="71"/>
              <w:ind w:left="70" w:right="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3</w:t>
            </w:r>
            <w:r>
              <w:rPr>
                <w:rFonts w:ascii="宋体" w:hAnsi="宋体" w:cs="宋体" w:eastAsia="宋体" w:hint="default"/>
                <w:sz w:val="16"/>
                <w:szCs w:val="16"/>
              </w:rPr>
              <w:t>）本期减少金额</w:t>
            </w:r>
          </w:p>
          <w:p>
            <w:pPr>
              <w:pStyle w:val="TableParagraph"/>
              <w:spacing w:line="240" w:lineRule="auto" w:before="71"/>
              <w:ind w:left="70" w:right="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4</w:t>
            </w:r>
            <w:r>
              <w:rPr>
                <w:rFonts w:ascii="宋体" w:hAnsi="宋体" w:cs="宋体" w:eastAsia="宋体" w:hint="default"/>
                <w:sz w:val="16"/>
                <w:szCs w:val="16"/>
              </w:rPr>
              <w:t>）期末余额</w:t>
            </w:r>
          </w:p>
          <w:p>
            <w:pPr>
              <w:pStyle w:val="TableParagraph"/>
              <w:spacing w:line="240" w:lineRule="auto" w:before="71"/>
              <w:ind w:left="70"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4</w:t>
            </w:r>
            <w:r>
              <w:rPr>
                <w:rFonts w:ascii="宋体" w:hAnsi="宋体" w:cs="宋体" w:eastAsia="宋体" w:hint="default"/>
                <w:sz w:val="16"/>
                <w:szCs w:val="16"/>
              </w:rPr>
              <w:t>．账面价值</w:t>
            </w:r>
          </w:p>
        </w:tc>
        <w:tc>
          <w:tcPr>
            <w:tcW w:w="288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466"/>
              <w:jc w:val="right"/>
              <w:rPr>
                <w:rFonts w:ascii="Times New Roman" w:hAnsi="Times New Roman" w:cs="Times New Roman" w:eastAsia="Times New Roman" w:hint="default"/>
                <w:sz w:val="16"/>
                <w:szCs w:val="16"/>
              </w:rPr>
            </w:pPr>
            <w:r>
              <w:rPr>
                <w:rFonts w:ascii="Times New Roman"/>
                <w:spacing w:val="-1"/>
                <w:sz w:val="16"/>
              </w:rPr>
              <w:t>284,839,538.60</w:t>
            </w:r>
          </w:p>
        </w:tc>
        <w:tc>
          <w:tcPr>
            <w:tcW w:w="165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68"/>
              <w:jc w:val="right"/>
              <w:rPr>
                <w:rFonts w:ascii="Times New Roman" w:hAnsi="Times New Roman" w:cs="Times New Roman" w:eastAsia="Times New Roman" w:hint="default"/>
                <w:sz w:val="16"/>
                <w:szCs w:val="16"/>
              </w:rPr>
            </w:pPr>
            <w:r>
              <w:rPr>
                <w:rFonts w:ascii="Times New Roman"/>
                <w:spacing w:val="-1"/>
                <w:sz w:val="16"/>
              </w:rPr>
              <w:t>284,839,538.60</w:t>
            </w:r>
          </w:p>
        </w:tc>
      </w:tr>
      <w:tr>
        <w:trPr>
          <w:trHeight w:val="296" w:hRule="exact"/>
        </w:trPr>
        <w:tc>
          <w:tcPr>
            <w:tcW w:w="3571" w:type="dxa"/>
            <w:tcBorders>
              <w:top w:val="nil" w:sz="6" w:space="0" w:color="auto"/>
              <w:left w:val="nil" w:sz="6" w:space="0" w:color="auto"/>
              <w:bottom w:val="nil" w:sz="6" w:space="0" w:color="auto"/>
              <w:right w:val="nil" w:sz="6" w:space="0" w:color="auto"/>
            </w:tcBorders>
          </w:tcPr>
          <w:p>
            <w:pPr>
              <w:pStyle w:val="TableParagraph"/>
              <w:spacing w:line="240" w:lineRule="auto" w:before="13"/>
              <w:ind w:left="70" w:right="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1</w:t>
            </w:r>
            <w:r>
              <w:rPr>
                <w:rFonts w:ascii="宋体" w:hAnsi="宋体" w:cs="宋体" w:eastAsia="宋体" w:hint="default"/>
                <w:sz w:val="16"/>
                <w:szCs w:val="16"/>
              </w:rPr>
              <w:t>）期末账面价值</w:t>
            </w:r>
          </w:p>
        </w:tc>
        <w:tc>
          <w:tcPr>
            <w:tcW w:w="288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466"/>
              <w:jc w:val="right"/>
              <w:rPr>
                <w:rFonts w:ascii="Times New Roman" w:hAnsi="Times New Roman" w:cs="Times New Roman" w:eastAsia="Times New Roman" w:hint="default"/>
                <w:sz w:val="16"/>
                <w:szCs w:val="16"/>
              </w:rPr>
            </w:pPr>
            <w:r>
              <w:rPr>
                <w:rFonts w:ascii="Times New Roman"/>
                <w:spacing w:val="-1"/>
                <w:sz w:val="16"/>
              </w:rPr>
              <w:t>922,710,593.67</w:t>
            </w:r>
          </w:p>
        </w:tc>
        <w:tc>
          <w:tcPr>
            <w:tcW w:w="165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68"/>
              <w:jc w:val="right"/>
              <w:rPr>
                <w:rFonts w:ascii="Times New Roman" w:hAnsi="Times New Roman" w:cs="Times New Roman" w:eastAsia="Times New Roman" w:hint="default"/>
                <w:sz w:val="16"/>
                <w:szCs w:val="16"/>
              </w:rPr>
            </w:pPr>
            <w:r>
              <w:rPr>
                <w:rFonts w:ascii="Times New Roman"/>
                <w:spacing w:val="-1"/>
                <w:sz w:val="16"/>
              </w:rPr>
              <w:t>922,710,593.67</w:t>
            </w:r>
          </w:p>
        </w:tc>
      </w:tr>
      <w:tr>
        <w:trPr>
          <w:trHeight w:val="297" w:hRule="exact"/>
        </w:trPr>
        <w:tc>
          <w:tcPr>
            <w:tcW w:w="357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70" w:right="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2</w:t>
            </w:r>
            <w:r>
              <w:rPr>
                <w:rFonts w:ascii="宋体" w:hAnsi="宋体" w:cs="宋体" w:eastAsia="宋体" w:hint="default"/>
                <w:sz w:val="16"/>
                <w:szCs w:val="16"/>
              </w:rPr>
              <w:t>）年初账面价值</w:t>
            </w:r>
          </w:p>
        </w:tc>
        <w:tc>
          <w:tcPr>
            <w:tcW w:w="2883"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466"/>
              <w:jc w:val="right"/>
              <w:rPr>
                <w:rFonts w:ascii="Times New Roman" w:hAnsi="Times New Roman" w:cs="Times New Roman" w:eastAsia="Times New Roman" w:hint="default"/>
                <w:sz w:val="16"/>
                <w:szCs w:val="16"/>
              </w:rPr>
            </w:pPr>
            <w:r>
              <w:rPr>
                <w:rFonts w:ascii="Times New Roman"/>
                <w:spacing w:val="-1"/>
                <w:sz w:val="16"/>
              </w:rPr>
              <w:t>963,243,503.44</w:t>
            </w:r>
          </w:p>
        </w:tc>
        <w:tc>
          <w:tcPr>
            <w:tcW w:w="1659"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68"/>
              <w:jc w:val="right"/>
              <w:rPr>
                <w:rFonts w:ascii="Times New Roman" w:hAnsi="Times New Roman" w:cs="Times New Roman" w:eastAsia="Times New Roman" w:hint="default"/>
                <w:sz w:val="16"/>
                <w:szCs w:val="16"/>
              </w:rPr>
            </w:pPr>
            <w:r>
              <w:rPr>
                <w:rFonts w:ascii="Times New Roman"/>
                <w:spacing w:val="-1"/>
                <w:sz w:val="16"/>
              </w:rPr>
              <w:t>963,243,503.44</w:t>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6"/>
          <w:szCs w:val="16"/>
        </w:rPr>
      </w:pPr>
    </w:p>
    <w:p>
      <w:pPr>
        <w:pStyle w:val="Heading5"/>
        <w:tabs>
          <w:tab w:pos="1397" w:val="left" w:leader="none"/>
        </w:tabs>
        <w:spacing w:line="240" w:lineRule="auto"/>
        <w:ind w:left="846" w:right="3681"/>
        <w:jc w:val="left"/>
        <w:rPr>
          <w:b w:val="0"/>
          <w:bCs w:val="0"/>
        </w:rPr>
      </w:pPr>
      <w:r>
        <w:rPr/>
        <w:pict>
          <v:group style="position:absolute;margin-left:119.010002pt;margin-top:37.113823pt;width:411.85pt;height:46.45pt;mso-position-horizontal-relative:page;mso-position-vertical-relative:paragraph;z-index:-1390264" coordorigin="2380,742" coordsize="8237,929">
            <v:group style="position:absolute;left:2410;top:757;width:3815;height:2" coordorigin="2410,757" coordsize="3815,2">
              <v:shape style="position:absolute;left:2410;top:757;width:3815;height:2" coordorigin="2410,757" coordsize="3815,0" path="m2410,757l6224,757e" filled="false" stroked="true" strokeweight="1.5pt" strokecolor="#000000">
                <v:path arrowok="t"/>
              </v:shape>
              <v:shape style="position:absolute;left:6224;top:772;width:10;height:28" type="#_x0000_t75" stroked="false">
                <v:imagedata r:id="rId39" o:title=""/>
              </v:shape>
            </v:group>
            <v:group style="position:absolute;left:6224;top:757;width:2184;height:2" coordorigin="6224,757" coordsize="2184,2">
              <v:shape style="position:absolute;left:6224;top:757;width:2184;height:2" coordorigin="6224,757" coordsize="2184,0" path="m6224,757l8408,757e" filled="false" stroked="true" strokeweight="1.5pt" strokecolor="#000000">
                <v:path arrowok="t"/>
              </v:shape>
              <v:shape style="position:absolute;left:8408;top:772;width:10;height:28" type="#_x0000_t75" stroked="false">
                <v:imagedata r:id="rId39" o:title=""/>
              </v:shape>
            </v:group>
            <v:group style="position:absolute;left:8408;top:757;width:2189;height:2" coordorigin="8408,757" coordsize="2189,2">
              <v:shape style="position:absolute;left:8408;top:757;width:2189;height:2" coordorigin="8408,757" coordsize="2189,0" path="m8408,757l10597,757e" filled="false" stroked="true" strokeweight="1.5pt" strokecolor="#000000">
                <v:path arrowok="t"/>
              </v:shape>
              <v:shape style="position:absolute;left:6205;top:781;width:2232;height:294" type="#_x0000_t75" stroked="false">
                <v:imagedata r:id="rId177" o:title=""/>
              </v:shape>
            </v:group>
            <v:group style="position:absolute;left:2395;top:1656;width:3830;height:2" coordorigin="2395,1656" coordsize="3830,2">
              <v:shape style="position:absolute;left:2395;top:1656;width:3830;height:2" coordorigin="2395,1656" coordsize="3830,0" path="m2395,1656l6224,1656e" filled="false" stroked="true" strokeweight="1.5pt" strokecolor="#000000">
                <v:path arrowok="t"/>
              </v:shape>
            </v:group>
            <v:group style="position:absolute;left:6224;top:1656;width:2184;height:2" coordorigin="6224,1656" coordsize="2184,2">
              <v:shape style="position:absolute;left:6224;top:1656;width:2184;height:2" coordorigin="6224,1656" coordsize="2184,0" path="m6224,1656l8408,1656e" filled="false" stroked="true" strokeweight="1.5pt" strokecolor="#000000">
                <v:path arrowok="t"/>
              </v:shape>
              <v:shape style="position:absolute;left:2390;top:1036;width:8226;height:605" type="#_x0000_t75" stroked="false">
                <v:imagedata r:id="rId178" o:title=""/>
              </v:shape>
            </v:group>
            <v:group style="position:absolute;left:8408;top:1656;width:2189;height:2" coordorigin="8408,1656" coordsize="2189,2">
              <v:shape style="position:absolute;left:8408;top:1656;width:2189;height:2" coordorigin="8408,1656" coordsize="2189,0" path="m8408,1656l10597,1656e" filled="false" stroked="true" strokeweight="1.5pt" strokecolor="#000000">
                <v:path arrowok="t"/>
              </v:shape>
            </v:group>
            <w10:wrap type="none"/>
          </v:group>
        </w:pict>
      </w:r>
      <w:r>
        <w:rPr>
          <w:rFonts w:ascii="Times New Roman" w:hAnsi="Times New Roman" w:cs="Times New Roman" w:eastAsia="Times New Roman" w:hint="default"/>
          <w:w w:val="95"/>
        </w:rPr>
        <w:t>2</w:t>
      </w:r>
      <w:r>
        <w:rPr>
          <w:w w:val="95"/>
        </w:rPr>
        <w:t>、</w:t>
        <w:tab/>
      </w:r>
      <w:r>
        <w:rPr/>
        <w:t>未办妥产权证书的投资性房地产情况</w:t>
      </w:r>
      <w:r>
        <w:rPr>
          <w:b w:val="0"/>
          <w:bCs w:val="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2"/>
          <w:szCs w:val="12"/>
        </w:rPr>
      </w:pPr>
    </w:p>
    <w:tbl>
      <w:tblPr>
        <w:tblW w:w="0" w:type="auto"/>
        <w:jc w:val="left"/>
        <w:tblInd w:w="787" w:type="dxa"/>
        <w:tblLayout w:type="fixed"/>
        <w:tblCellMar>
          <w:top w:w="0" w:type="dxa"/>
          <w:left w:w="0" w:type="dxa"/>
          <w:bottom w:w="0" w:type="dxa"/>
          <w:right w:w="0" w:type="dxa"/>
        </w:tblCellMar>
        <w:tblLook w:val="01E0"/>
      </w:tblPr>
      <w:tblGrid>
        <w:gridCol w:w="3552"/>
        <w:gridCol w:w="2414"/>
        <w:gridCol w:w="1845"/>
      </w:tblGrid>
      <w:tr>
        <w:trPr>
          <w:trHeight w:val="602" w:hRule="exact"/>
        </w:trPr>
        <w:tc>
          <w:tcPr>
            <w:tcW w:w="3552" w:type="dxa"/>
            <w:tcBorders>
              <w:top w:val="nil" w:sz="6" w:space="0" w:color="auto"/>
              <w:left w:val="nil" w:sz="6" w:space="0" w:color="auto"/>
              <w:bottom w:val="nil" w:sz="6" w:space="0" w:color="auto"/>
              <w:right w:val="nil" w:sz="6" w:space="0" w:color="auto"/>
            </w:tcBorders>
          </w:tcPr>
          <w:p>
            <w:pPr>
              <w:pStyle w:val="TableParagraph"/>
              <w:spacing w:line="336" w:lineRule="auto" w:before="26"/>
              <w:ind w:left="70" w:right="999" w:firstLine="1641"/>
              <w:jc w:val="left"/>
              <w:rPr>
                <w:rFonts w:ascii="宋体" w:hAnsi="宋体" w:cs="宋体" w:eastAsia="宋体" w:hint="default"/>
                <w:sz w:val="16"/>
                <w:szCs w:val="16"/>
              </w:rPr>
            </w:pPr>
            <w:r>
              <w:rPr>
                <w:rFonts w:ascii="宋体" w:hAnsi="宋体" w:cs="宋体" w:eastAsia="宋体" w:hint="default"/>
                <w:sz w:val="16"/>
                <w:szCs w:val="16"/>
              </w:rPr>
              <w:t>项目</w:t>
            </w:r>
            <w:r>
              <w:rPr>
                <w:rFonts w:ascii="宋体" w:hAnsi="宋体" w:cs="宋体" w:eastAsia="宋体" w:hint="default"/>
                <w:w w:val="99"/>
                <w:sz w:val="16"/>
                <w:szCs w:val="16"/>
              </w:rPr>
              <w:t> </w:t>
            </w:r>
            <w:r>
              <w:rPr>
                <w:rFonts w:ascii="宋体" w:hAnsi="宋体" w:cs="宋体" w:eastAsia="宋体" w:hint="default"/>
                <w:sz w:val="16"/>
                <w:szCs w:val="16"/>
              </w:rPr>
              <w:t>中电软件园</w:t>
            </w:r>
            <w:r>
              <w:rPr>
                <w:rFonts w:ascii="宋体" w:hAnsi="宋体" w:cs="宋体" w:eastAsia="宋体" w:hint="default"/>
                <w:spacing w:val="-43"/>
                <w:sz w:val="16"/>
                <w:szCs w:val="16"/>
              </w:rPr>
              <w:t> </w:t>
            </w:r>
            <w:r>
              <w:rPr>
                <w:rFonts w:ascii="Times New Roman" w:hAnsi="Times New Roman" w:cs="Times New Roman" w:eastAsia="Times New Roman" w:hint="default"/>
                <w:sz w:val="16"/>
                <w:szCs w:val="16"/>
              </w:rPr>
              <w:t>15</w:t>
            </w:r>
            <w:r>
              <w:rPr>
                <w:rFonts w:ascii="宋体" w:hAnsi="宋体" w:cs="宋体" w:eastAsia="宋体" w:hint="default"/>
                <w:sz w:val="16"/>
                <w:szCs w:val="16"/>
              </w:rPr>
              <w:t>、</w:t>
            </w:r>
            <w:r>
              <w:rPr>
                <w:rFonts w:ascii="Times New Roman" w:hAnsi="Times New Roman" w:cs="Times New Roman" w:eastAsia="Times New Roman" w:hint="default"/>
                <w:sz w:val="16"/>
                <w:szCs w:val="16"/>
              </w:rPr>
              <w:t>17</w:t>
            </w:r>
            <w:r>
              <w:rPr>
                <w:rFonts w:ascii="宋体" w:hAnsi="宋体" w:cs="宋体" w:eastAsia="宋体" w:hint="default"/>
                <w:sz w:val="16"/>
                <w:szCs w:val="16"/>
              </w:rPr>
              <w:t>、</w:t>
            </w:r>
            <w:r>
              <w:rPr>
                <w:rFonts w:ascii="Times New Roman" w:hAnsi="Times New Roman" w:cs="Times New Roman" w:eastAsia="Times New Roman" w:hint="default"/>
                <w:sz w:val="16"/>
                <w:szCs w:val="16"/>
              </w:rPr>
              <w:t>19</w:t>
            </w:r>
            <w:r>
              <w:rPr>
                <w:rFonts w:ascii="宋体" w:hAnsi="宋体" w:cs="宋体" w:eastAsia="宋体" w:hint="default"/>
                <w:sz w:val="16"/>
                <w:szCs w:val="16"/>
              </w:rPr>
              <w:t>、</w:t>
            </w:r>
            <w:r>
              <w:rPr>
                <w:rFonts w:ascii="Times New Roman" w:hAnsi="Times New Roman" w:cs="Times New Roman" w:eastAsia="Times New Roman" w:hint="default"/>
                <w:sz w:val="16"/>
                <w:szCs w:val="16"/>
              </w:rPr>
              <w:t>20</w:t>
            </w:r>
            <w:r>
              <w:rPr>
                <w:rFonts w:ascii="宋体" w:hAnsi="宋体" w:cs="宋体" w:eastAsia="宋体" w:hint="default"/>
                <w:sz w:val="16"/>
                <w:szCs w:val="16"/>
              </w:rPr>
              <w:t>、</w:t>
            </w:r>
            <w:r>
              <w:rPr>
                <w:rFonts w:ascii="Times New Roman" w:hAnsi="Times New Roman" w:cs="Times New Roman" w:eastAsia="Times New Roman" w:hint="default"/>
                <w:sz w:val="16"/>
                <w:szCs w:val="16"/>
              </w:rPr>
              <w:t>21</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栋</w:t>
            </w:r>
          </w:p>
        </w:tc>
        <w:tc>
          <w:tcPr>
            <w:tcW w:w="2414"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001" w:right="0"/>
              <w:jc w:val="left"/>
              <w:rPr>
                <w:rFonts w:ascii="宋体" w:hAnsi="宋体" w:cs="宋体" w:eastAsia="宋体" w:hint="default"/>
                <w:sz w:val="16"/>
                <w:szCs w:val="16"/>
              </w:rPr>
            </w:pPr>
            <w:r>
              <w:rPr>
                <w:rFonts w:ascii="宋体" w:hAnsi="宋体" w:cs="宋体" w:eastAsia="宋体" w:hint="default"/>
                <w:sz w:val="16"/>
                <w:szCs w:val="16"/>
              </w:rPr>
              <w:t>账面价值</w:t>
            </w:r>
          </w:p>
          <w:p>
            <w:pPr>
              <w:pStyle w:val="TableParagraph"/>
              <w:spacing w:line="240" w:lineRule="auto" w:before="125"/>
              <w:ind w:left="1306" w:right="0"/>
              <w:jc w:val="left"/>
              <w:rPr>
                <w:rFonts w:ascii="Times New Roman" w:hAnsi="Times New Roman" w:cs="Times New Roman" w:eastAsia="Times New Roman" w:hint="default"/>
                <w:sz w:val="16"/>
                <w:szCs w:val="16"/>
              </w:rPr>
            </w:pPr>
            <w:r>
              <w:rPr>
                <w:rFonts w:ascii="Times New Roman"/>
                <w:sz w:val="16"/>
              </w:rPr>
              <w:t>149,545,206.61</w:t>
            </w:r>
          </w:p>
        </w:tc>
        <w:tc>
          <w:tcPr>
            <w:tcW w:w="1845" w:type="dxa"/>
            <w:tcBorders>
              <w:top w:val="nil" w:sz="6" w:space="0" w:color="auto"/>
              <w:left w:val="nil" w:sz="6" w:space="0" w:color="auto"/>
              <w:bottom w:val="nil" w:sz="6" w:space="0" w:color="auto"/>
              <w:right w:val="nil" w:sz="6" w:space="0" w:color="auto"/>
            </w:tcBorders>
          </w:tcPr>
          <w:p>
            <w:pPr>
              <w:pStyle w:val="TableParagraph"/>
              <w:spacing w:line="336" w:lineRule="auto" w:before="26"/>
              <w:ind w:left="107" w:right="33" w:firstLine="264"/>
              <w:jc w:val="left"/>
              <w:rPr>
                <w:rFonts w:ascii="宋体" w:hAnsi="宋体" w:cs="宋体" w:eastAsia="宋体" w:hint="default"/>
                <w:sz w:val="16"/>
                <w:szCs w:val="16"/>
              </w:rPr>
            </w:pPr>
            <w:r>
              <w:rPr>
                <w:rFonts w:ascii="宋体" w:hAnsi="宋体" w:cs="宋体" w:eastAsia="宋体" w:hint="default"/>
                <w:sz w:val="16"/>
                <w:szCs w:val="16"/>
              </w:rPr>
              <w:t>未办妥产权证书原因</w:t>
            </w:r>
            <w:r>
              <w:rPr>
                <w:rFonts w:ascii="宋体" w:hAnsi="宋体" w:cs="宋体" w:eastAsia="宋体" w:hint="default"/>
                <w:w w:val="99"/>
                <w:sz w:val="16"/>
                <w:szCs w:val="16"/>
              </w:rPr>
              <w:t> </w:t>
            </w:r>
            <w:r>
              <w:rPr>
                <w:rFonts w:ascii="宋体" w:hAnsi="宋体" w:cs="宋体" w:eastAsia="宋体" w:hint="default"/>
                <w:sz w:val="16"/>
                <w:szCs w:val="16"/>
              </w:rPr>
              <w:t>土地证暂未完成分割</w:t>
            </w:r>
          </w:p>
        </w:tc>
      </w:tr>
      <w:tr>
        <w:trPr>
          <w:trHeight w:val="297" w:hRule="exact"/>
        </w:trPr>
        <w:tc>
          <w:tcPr>
            <w:tcW w:w="3552"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90" w:right="0"/>
              <w:jc w:val="center"/>
              <w:rPr>
                <w:rFonts w:ascii="宋体" w:hAnsi="宋体" w:cs="宋体" w:eastAsia="宋体" w:hint="default"/>
                <w:sz w:val="16"/>
                <w:szCs w:val="16"/>
              </w:rPr>
            </w:pPr>
            <w:r>
              <w:rPr>
                <w:rFonts w:ascii="宋体" w:hAnsi="宋体" w:cs="宋体" w:eastAsia="宋体" w:hint="default"/>
                <w:sz w:val="16"/>
                <w:szCs w:val="16"/>
              </w:rPr>
              <w:t>合计</w:t>
            </w:r>
          </w:p>
        </w:tc>
        <w:tc>
          <w:tcPr>
            <w:tcW w:w="2414"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306" w:right="0"/>
              <w:jc w:val="left"/>
              <w:rPr>
                <w:rFonts w:ascii="Times New Roman" w:hAnsi="Times New Roman" w:cs="Times New Roman" w:eastAsia="Times New Roman" w:hint="default"/>
                <w:sz w:val="16"/>
                <w:szCs w:val="16"/>
              </w:rPr>
            </w:pPr>
            <w:r>
              <w:rPr>
                <w:rFonts w:ascii="Times New Roman"/>
                <w:sz w:val="16"/>
              </w:rPr>
              <w:t>149,545,206.61</w:t>
            </w:r>
          </w:p>
        </w:tc>
        <w:tc>
          <w:tcPr>
            <w:tcW w:w="1845"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6"/>
          <w:szCs w:val="16"/>
        </w:rPr>
      </w:pPr>
    </w:p>
    <w:p>
      <w:pPr>
        <w:pStyle w:val="Heading5"/>
        <w:spacing w:line="240" w:lineRule="auto"/>
        <w:ind w:right="3681"/>
        <w:jc w:val="left"/>
        <w:rPr>
          <w:b w:val="0"/>
          <w:bCs w:val="0"/>
        </w:rPr>
      </w:pPr>
      <w:r>
        <w:rPr>
          <w:rFonts w:ascii="Times New Roman" w:hAnsi="Times New Roman" w:cs="Times New Roman" w:eastAsia="Times New Roman" w:hint="default"/>
        </w:rPr>
        <w:t>(</w:t>
      </w:r>
      <w:r>
        <w:rPr/>
        <w:t>十二</w:t>
      </w:r>
      <w:r>
        <w:rPr>
          <w:rFonts w:ascii="Times New Roman" w:hAnsi="Times New Roman" w:cs="Times New Roman" w:eastAsia="Times New Roman" w:hint="default"/>
        </w:rPr>
        <w:t>) </w:t>
      </w:r>
      <w:r>
        <w:rPr>
          <w:rFonts w:ascii="Times New Roman" w:hAnsi="Times New Roman" w:cs="Times New Roman" w:eastAsia="Times New Roman" w:hint="default"/>
          <w:spacing w:val="46"/>
        </w:rPr>
        <w:t> </w:t>
      </w:r>
      <w:r>
        <w:rPr/>
        <w:t>固定资产</w:t>
      </w:r>
      <w:r>
        <w:rPr>
          <w:b w:val="0"/>
          <w:bCs w:val="0"/>
        </w:rPr>
      </w:r>
    </w:p>
    <w:p>
      <w:pPr>
        <w:pStyle w:val="Heading5"/>
        <w:tabs>
          <w:tab w:pos="1397" w:val="left" w:leader="none"/>
        </w:tabs>
        <w:spacing w:line="240" w:lineRule="auto" w:before="109"/>
        <w:ind w:left="846" w:right="3681"/>
        <w:jc w:val="left"/>
        <w:rPr>
          <w:b w:val="0"/>
          <w:bCs w:val="0"/>
        </w:rPr>
      </w:pPr>
      <w:r>
        <w:rPr>
          <w:rFonts w:ascii="Times New Roman" w:hAnsi="Times New Roman" w:cs="Times New Roman" w:eastAsia="Times New Roman" w:hint="default"/>
          <w:w w:val="95"/>
        </w:rPr>
        <w:t>1</w:t>
      </w:r>
      <w:r>
        <w:rPr>
          <w:w w:val="95"/>
        </w:rPr>
        <w:t>、</w:t>
        <w:tab/>
      </w:r>
      <w:r>
        <w:rPr/>
        <w:t>固定资产及固定资产清理</w:t>
      </w:r>
      <w:r>
        <w:rPr>
          <w:b w:val="0"/>
          <w:bCs w:val="0"/>
        </w:rPr>
      </w:r>
    </w:p>
    <w:p>
      <w:pPr>
        <w:spacing w:line="1464" w:lineRule="exact"/>
        <w:ind w:left="720" w:right="0" w:firstLine="0"/>
        <w:rPr>
          <w:rFonts w:ascii="宋体" w:hAnsi="宋体" w:cs="宋体" w:eastAsia="宋体" w:hint="default"/>
          <w:sz w:val="20"/>
          <w:szCs w:val="20"/>
        </w:rPr>
      </w:pPr>
      <w:r>
        <w:rPr>
          <w:rFonts w:ascii="宋体" w:hAnsi="宋体" w:cs="宋体" w:eastAsia="宋体" w:hint="default"/>
          <w:position w:val="-28"/>
          <w:sz w:val="20"/>
          <w:szCs w:val="20"/>
        </w:rPr>
        <w:pict>
          <v:group style="width:411.95pt;height:73.2pt;mso-position-horizontal-relative:char;mso-position-vertical-relative:line" coordorigin="0,0" coordsize="8239,1464">
            <v:group style="position:absolute;left:29;top:15;width:3398;height:2" coordorigin="29,15" coordsize="3398,2">
              <v:shape style="position:absolute;left:29;top:15;width:3398;height:2" coordorigin="29,15" coordsize="3398,0" path="m29,15l3427,15e" filled="false" stroked="true" strokeweight="1.5pt" strokecolor="#000000">
                <v:path arrowok="t"/>
              </v:shape>
              <v:shape style="position:absolute;left:3427;top:30;width:10;height:28" type="#_x0000_t75" stroked="false">
                <v:imagedata r:id="rId179" o:title=""/>
              </v:shape>
            </v:group>
            <v:group style="position:absolute;left:3427;top:15;width:2393;height:2" coordorigin="3427,15" coordsize="2393,2">
              <v:shape style="position:absolute;left:3427;top:15;width:2393;height:2" coordorigin="3427,15" coordsize="2393,0" path="m3427,15l5819,15e" filled="false" stroked="true" strokeweight="1.5pt" strokecolor="#000000">
                <v:path arrowok="t"/>
              </v:shape>
              <v:shape style="position:absolute;left:5819;top:30;width:10;height:28" type="#_x0000_t75" stroked="false">
                <v:imagedata r:id="rId179" o:title=""/>
              </v:shape>
            </v:group>
            <v:group style="position:absolute;left:5819;top:15;width:2398;height:2" coordorigin="5819,15" coordsize="2398,2">
              <v:shape style="position:absolute;left:5819;top:15;width:2398;height:2" coordorigin="5819,15" coordsize="2398,0" path="m5819,15l8217,15e" filled="false" stroked="true" strokeweight="1.5pt" strokecolor="#000000">
                <v:path arrowok="t"/>
              </v:shape>
              <v:shape style="position:absolute;left:3407;top:38;width:2441;height:355" type="#_x0000_t75" stroked="false">
                <v:imagedata r:id="rId180" o:title=""/>
              </v:shape>
            </v:group>
            <v:group style="position:absolute;left:15;top:1449;width:3412;height:2" coordorigin="15,1449" coordsize="3412,2">
              <v:shape style="position:absolute;left:15;top:1449;width:3412;height:2" coordorigin="15,1449" coordsize="3412,0" path="m15,1449l3427,1449e" filled="false" stroked="true" strokeweight="1.5pt" strokecolor="#000000">
                <v:path arrowok="t"/>
              </v:shape>
            </v:group>
            <v:group style="position:absolute;left:3427;top:1449;width:2393;height:2" coordorigin="3427,1449" coordsize="2393,2">
              <v:shape style="position:absolute;left:3427;top:1449;width:2393;height:2" coordorigin="3427,1449" coordsize="2393,0" path="m3427,1449l5819,1449e" filled="false" stroked="true" strokeweight="1.5pt" strokecolor="#000000">
                <v:path arrowok="t"/>
              </v:shape>
              <v:shape style="position:absolute;left:10;top:355;width:8228;height:1079" type="#_x0000_t75" stroked="false">
                <v:imagedata r:id="rId181" o:title=""/>
              </v:shape>
            </v:group>
            <v:group style="position:absolute;left:5819;top:1449;width:2398;height:2" coordorigin="5819,1449" coordsize="2398,2">
              <v:shape style="position:absolute;left:5819;top:1449;width:2398;height:2" coordorigin="5819,1449" coordsize="2398,0" path="m5819,1449l8217,1449e" filled="false" stroked="true" strokeweight="1.5pt" strokecolor="#000000">
                <v:path arrowok="t"/>
              </v:shape>
              <v:shape style="position:absolute;left:1570;top:122;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项目</w:t>
                      </w:r>
                      <w:r>
                        <w:rPr>
                          <w:rFonts w:ascii="宋体" w:hAnsi="宋体" w:cs="宋体" w:eastAsia="宋体" w:hint="default"/>
                          <w:sz w:val="16"/>
                          <w:szCs w:val="16"/>
                        </w:rPr>
                      </w:r>
                    </w:p>
                  </w:txbxContent>
                </v:textbox>
                <w10:wrap type="none"/>
              </v:shape>
              <v:shape style="position:absolute;left:4306;top:122;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6700;top:122;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年初余额</w:t>
                      </w:r>
                      <w:r>
                        <w:rPr>
                          <w:rFonts w:ascii="宋体" w:hAnsi="宋体" w:cs="宋体" w:eastAsia="宋体" w:hint="default"/>
                          <w:sz w:val="16"/>
                          <w:szCs w:val="16"/>
                        </w:rPr>
                      </w:r>
                    </w:p>
                  </w:txbxContent>
                </v:textbox>
                <w10:wrap type="none"/>
              </v:shape>
              <v:shape style="position:absolute;left:137;top:475;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固定资产</w:t>
                      </w:r>
                      <w:r>
                        <w:rPr>
                          <w:rFonts w:ascii="宋体" w:hAnsi="宋体" w:cs="宋体" w:eastAsia="宋体" w:hint="default"/>
                          <w:sz w:val="16"/>
                          <w:szCs w:val="16"/>
                        </w:rPr>
                      </w:r>
                    </w:p>
                  </w:txbxContent>
                </v:textbox>
                <w10:wrap type="none"/>
              </v:shape>
              <v:shape style="position:absolute;left:4595;top:488;width:112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1,919,589,092.85</w:t>
                      </w:r>
                      <w:r>
                        <w:rPr>
                          <w:rFonts w:ascii="Times New Roman"/>
                          <w:sz w:val="16"/>
                        </w:rPr>
                      </w:r>
                    </w:p>
                  </w:txbxContent>
                </v:textbox>
                <w10:wrap type="none"/>
              </v:shape>
              <v:shape style="position:absolute;left:6989;top:488;width:112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1,859,729,621.07</w:t>
                      </w:r>
                      <w:r>
                        <w:rPr>
                          <w:rFonts w:ascii="Times New Roman"/>
                          <w:sz w:val="16"/>
                        </w:rPr>
                      </w:r>
                    </w:p>
                  </w:txbxContent>
                </v:textbox>
                <w10:wrap type="none"/>
              </v:shape>
              <v:shape style="position:absolute;left:137;top:829;width:95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固定资产清理</w:t>
                      </w:r>
                      <w:r>
                        <w:rPr>
                          <w:rFonts w:ascii="宋体" w:hAnsi="宋体" w:cs="宋体" w:eastAsia="宋体" w:hint="default"/>
                          <w:sz w:val="16"/>
                          <w:szCs w:val="16"/>
                        </w:rPr>
                      </w:r>
                    </w:p>
                  </w:txbxContent>
                </v:textbox>
                <w10:wrap type="none"/>
              </v:shape>
              <v:shape style="position:absolute;left:1570;top:1182;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合计</w:t>
                      </w:r>
                      <w:r>
                        <w:rPr>
                          <w:rFonts w:ascii="宋体" w:hAnsi="宋体" w:cs="宋体" w:eastAsia="宋体" w:hint="default"/>
                          <w:sz w:val="16"/>
                          <w:szCs w:val="16"/>
                        </w:rPr>
                      </w:r>
                    </w:p>
                  </w:txbxContent>
                </v:textbox>
                <w10:wrap type="none"/>
              </v:shape>
              <v:shape style="position:absolute;left:4595;top:1195;width:112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1,919,589,092.85</w:t>
                      </w:r>
                      <w:r>
                        <w:rPr>
                          <w:rFonts w:ascii="Times New Roman"/>
                          <w:sz w:val="16"/>
                        </w:rPr>
                      </w:r>
                    </w:p>
                  </w:txbxContent>
                </v:textbox>
                <w10:wrap type="none"/>
              </v:shape>
              <v:shape style="position:absolute;left:6989;top:1195;width:112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1,859,729,621.07</w:t>
                      </w:r>
                      <w:r>
                        <w:rPr>
                          <w:rFonts w:ascii="Times New Roman"/>
                          <w:sz w:val="16"/>
                        </w:rPr>
                      </w:r>
                    </w:p>
                  </w:txbxContent>
                </v:textbox>
                <w10:wrap type="none"/>
              </v:shape>
            </v:group>
          </v:group>
        </w:pict>
      </w:r>
      <w:r>
        <w:rPr>
          <w:rFonts w:ascii="宋体" w:hAnsi="宋体" w:cs="宋体" w:eastAsia="宋体" w:hint="default"/>
          <w:position w:val="-28"/>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2"/>
          <w:szCs w:val="22"/>
        </w:rPr>
      </w:pPr>
    </w:p>
    <w:p>
      <w:pPr>
        <w:spacing w:before="44"/>
        <w:ind w:left="0" w:right="1657" w:firstLine="0"/>
        <w:jc w:val="center"/>
        <w:rPr>
          <w:rFonts w:ascii="宋体" w:hAnsi="宋体" w:cs="宋体" w:eastAsia="宋体" w:hint="default"/>
          <w:sz w:val="18"/>
          <w:szCs w:val="18"/>
        </w:rPr>
      </w:pPr>
      <w:r>
        <w:rPr/>
        <w:pict>
          <v:shape style="position:absolute;margin-left:535.609985pt;margin-top:29.849024pt;width:59.499296pt;height:26.797393pt;mso-position-horizontal-relative:page;mso-position-vertical-relative:paragraph;z-index:13624" type="#_x0000_t75" stroked="false">
            <v:imagedata r:id="rId79" o:title=""/>
          </v:shape>
        </w:pict>
      </w:r>
      <w:r>
        <w:rPr>
          <w:rFonts w:ascii="宋体" w:hAnsi="宋体" w:cs="宋体" w:eastAsia="宋体" w:hint="default"/>
          <w:sz w:val="18"/>
          <w:szCs w:val="18"/>
        </w:rPr>
        <w:t>财务报表附注第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p>
      <w:pPr>
        <w:spacing w:after="0"/>
        <w:jc w:val="center"/>
        <w:rPr>
          <w:rFonts w:ascii="宋体" w:hAnsi="宋体" w:cs="宋体" w:eastAsia="宋体" w:hint="default"/>
          <w:sz w:val="18"/>
          <w:szCs w:val="18"/>
        </w:rPr>
        <w:sectPr>
          <w:headerReference w:type="default" r:id="rId172"/>
          <w:footerReference w:type="default" r:id="rId173"/>
          <w:pgSz w:w="11910" w:h="16840"/>
          <w:pgMar w:header="0" w:footer="0" w:top="1220" w:bottom="0" w:left="1660" w:right="0"/>
        </w:sectPr>
      </w:pPr>
    </w:p>
    <w:p>
      <w:pPr>
        <w:spacing w:line="240" w:lineRule="auto" w:before="3"/>
        <w:rPr>
          <w:rFonts w:ascii="宋体" w:hAnsi="宋体" w:cs="宋体" w:eastAsia="宋体" w:hint="default"/>
          <w:sz w:val="24"/>
          <w:szCs w:val="24"/>
        </w:rPr>
      </w:pPr>
      <w:r>
        <w:rPr/>
        <w:pict>
          <v:group style="position:absolute;margin-left:101.121002pt;margin-top:109.860001pt;width:683.05pt;height:391.35pt;mso-position-horizontal-relative:page;mso-position-vertical-relative:page;z-index:-1390216" coordorigin="2022,2197" coordsize="13661,7827">
            <v:group style="position:absolute;left:2052;top:2212;width:2249;height:2" coordorigin="2052,2212" coordsize="2249,2">
              <v:shape style="position:absolute;left:2052;top:2212;width:2249;height:2" coordorigin="2052,2212" coordsize="2249,0" path="m2052,2212l4301,2212e" filled="false" stroked="true" strokeweight="1.5pt" strokecolor="#000000">
                <v:path arrowok="t"/>
              </v:shape>
              <v:shape style="position:absolute;left:4301;top:2227;width:10;height:28" type="#_x0000_t75" stroked="false">
                <v:imagedata r:id="rId169" o:title=""/>
              </v:shape>
            </v:group>
            <v:group style="position:absolute;left:4301;top:2212;width:2117;height:2" coordorigin="4301,2212" coordsize="2117,2">
              <v:shape style="position:absolute;left:4301;top:2212;width:2117;height:2" coordorigin="4301,2212" coordsize="2117,0" path="m4301,2212l6417,2212e" filled="false" stroked="true" strokeweight="1.5pt" strokecolor="#000000">
                <v:path arrowok="t"/>
              </v:shape>
              <v:shape style="position:absolute;left:6417;top:2227;width:10;height:28" type="#_x0000_t75" stroked="false">
                <v:imagedata r:id="rId169" o:title=""/>
              </v:shape>
            </v:group>
            <v:group style="position:absolute;left:6417;top:2212;width:2070;height:2" coordorigin="6417,2212" coordsize="2070,2">
              <v:shape style="position:absolute;left:6417;top:2212;width:2070;height:2" coordorigin="6417,2212" coordsize="2070,0" path="m6417,2212l8487,2212e" filled="false" stroked="true" strokeweight="1.5pt" strokecolor="#000000">
                <v:path arrowok="t"/>
              </v:shape>
              <v:shape style="position:absolute;left:8487;top:2227;width:10;height:28" type="#_x0000_t75" stroked="false">
                <v:imagedata r:id="rId169" o:title=""/>
              </v:shape>
            </v:group>
            <v:group style="position:absolute;left:8487;top:2212;width:1868;height:2" coordorigin="8487,2212" coordsize="1868,2">
              <v:shape style="position:absolute;left:8487;top:2212;width:1868;height:2" coordorigin="8487,2212" coordsize="1868,0" path="m8487,2212l10355,2212e" filled="false" stroked="true" strokeweight="1.5pt" strokecolor="#000000">
                <v:path arrowok="t"/>
              </v:shape>
              <v:shape style="position:absolute;left:10355;top:2227;width:10;height:28" type="#_x0000_t75" stroked="false">
                <v:imagedata r:id="rId169" o:title=""/>
              </v:shape>
            </v:group>
            <v:group style="position:absolute;left:10355;top:2212;width:30;height:2" coordorigin="10355,2212" coordsize="30,2">
              <v:shape style="position:absolute;left:10355;top:2212;width:30;height:2" coordorigin="10355,2212" coordsize="30,0" path="m10355,2212l10385,2212e" filled="false" stroked="true" strokeweight="1.5pt" strokecolor="#000000">
                <v:path arrowok="t"/>
              </v:shape>
            </v:group>
            <v:group style="position:absolute;left:10385;top:2212;width:1827;height:2" coordorigin="10385,2212" coordsize="1827,2">
              <v:shape style="position:absolute;left:10385;top:2212;width:1827;height:2" coordorigin="10385,2212" coordsize="1827,0" path="m10385,2212l12211,2212e" filled="false" stroked="true" strokeweight="1.5pt" strokecolor="#000000">
                <v:path arrowok="t"/>
              </v:shape>
              <v:shape style="position:absolute;left:12211;top:2227;width:10;height:28" type="#_x0000_t75" stroked="false">
                <v:imagedata r:id="rId169" o:title=""/>
              </v:shape>
            </v:group>
            <v:group style="position:absolute;left:12211;top:2212;width:1552;height:2" coordorigin="12211,2212" coordsize="1552,2">
              <v:shape style="position:absolute;left:12211;top:2212;width:1552;height:2" coordorigin="12211,2212" coordsize="1552,0" path="m12211,2212l13763,2212e" filled="false" stroked="true" strokeweight="1.5pt" strokecolor="#000000">
                <v:path arrowok="t"/>
              </v:shape>
              <v:shape style="position:absolute;left:13763;top:2227;width:10;height:28" type="#_x0000_t75" stroked="false">
                <v:imagedata r:id="rId169" o:title=""/>
              </v:shape>
            </v:group>
            <v:group style="position:absolute;left:13763;top:2212;width:1898;height:2" coordorigin="13763,2212" coordsize="1898,2">
              <v:shape style="position:absolute;left:13763;top:2212;width:1898;height:2" coordorigin="13763,2212" coordsize="1898,0" path="m13763,2212l15660,2212e" filled="false" stroked="true" strokeweight="1.5pt" strokecolor="#000000">
                <v:path arrowok="t"/>
              </v:shape>
              <v:shape style="position:absolute;left:4281;top:2236;width:9510;height:354" type="#_x0000_t75" stroked="false">
                <v:imagedata r:id="rId184" o:title=""/>
              </v:shape>
            </v:group>
            <v:group style="position:absolute;left:2037;top:10009;width:2264;height:2" coordorigin="2037,10009" coordsize="2264,2">
              <v:shape style="position:absolute;left:2037;top:10009;width:2264;height:2" coordorigin="2037,10009" coordsize="2264,0" path="m2037,10009l4301,10009e" filled="false" stroked="true" strokeweight="1.5pt" strokecolor="#000000">
                <v:path arrowok="t"/>
              </v:shape>
            </v:group>
            <v:group style="position:absolute;left:4301;top:10009;width:2117;height:2" coordorigin="4301,10009" coordsize="2117,2">
              <v:shape style="position:absolute;left:4301;top:10009;width:2117;height:2" coordorigin="4301,10009" coordsize="2117,0" path="m4301,10009l6417,10009e" filled="false" stroked="true" strokeweight="1.5pt" strokecolor="#000000">
                <v:path arrowok="t"/>
              </v:shape>
            </v:group>
            <v:group style="position:absolute;left:6417;top:10009;width:2070;height:2" coordorigin="6417,10009" coordsize="2070,2">
              <v:shape style="position:absolute;left:6417;top:10009;width:2070;height:2" coordorigin="6417,10009" coordsize="2070,0" path="m6417,10009l8487,10009e" filled="false" stroked="true" strokeweight="1.5pt" strokecolor="#000000">
                <v:path arrowok="t"/>
              </v:shape>
            </v:group>
            <v:group style="position:absolute;left:8487;top:10009;width:1868;height:2" coordorigin="8487,10009" coordsize="1868,2">
              <v:shape style="position:absolute;left:8487;top:10009;width:1868;height:2" coordorigin="8487,10009" coordsize="1868,0" path="m8487,10009l10355,10009e" filled="false" stroked="true" strokeweight="1.5pt" strokecolor="#000000">
                <v:path arrowok="t"/>
              </v:shape>
            </v:group>
            <v:group style="position:absolute;left:10355;top:10009;width:30;height:2" coordorigin="10355,10009" coordsize="30,2">
              <v:shape style="position:absolute;left:10355;top:10009;width:30;height:2" coordorigin="10355,10009" coordsize="30,0" path="m10355,10009l10385,10009e" filled="false" stroked="true" strokeweight="1.5pt" strokecolor="#000000">
                <v:path arrowok="t"/>
              </v:shape>
            </v:group>
            <v:group style="position:absolute;left:10385;top:10009;width:1827;height:2" coordorigin="10385,10009" coordsize="1827,2">
              <v:shape style="position:absolute;left:10385;top:10009;width:1827;height:2" coordorigin="10385,10009" coordsize="1827,0" path="m10385,10009l12211,10009e" filled="false" stroked="true" strokeweight="1.5pt" strokecolor="#000000">
                <v:path arrowok="t"/>
              </v:shape>
            </v:group>
            <v:group style="position:absolute;left:12211;top:10009;width:1552;height:2" coordorigin="12211,10009" coordsize="1552,2">
              <v:shape style="position:absolute;left:12211;top:10009;width:1552;height:2" coordorigin="12211,10009" coordsize="1552,0" path="m12211,10009l13763,10009e" filled="false" stroked="true" strokeweight="1.5pt" strokecolor="#000000">
                <v:path arrowok="t"/>
              </v:shape>
              <v:shape style="position:absolute;left:2033;top:2551;width:13650;height:7442" type="#_x0000_t75" stroked="false">
                <v:imagedata r:id="rId185" o:title=""/>
              </v:shape>
            </v:group>
            <v:group style="position:absolute;left:13763;top:10009;width:1898;height:2" coordorigin="13763,10009" coordsize="1898,2">
              <v:shape style="position:absolute;left:13763;top:10009;width:1898;height:2" coordorigin="13763,10009" coordsize="1898,0" path="m13763,10009l15660,10009e" filled="false" stroked="true" strokeweight="1.5pt" strokecolor="#000000">
                <v:path arrowok="t"/>
              </v:shape>
            </v:group>
            <w10:wrap type="none"/>
          </v:group>
        </w:pict>
      </w:r>
    </w:p>
    <w:p>
      <w:pPr>
        <w:pStyle w:val="Heading5"/>
        <w:tabs>
          <w:tab w:pos="1399" w:val="left" w:leader="none"/>
        </w:tabs>
        <w:spacing w:line="240" w:lineRule="auto"/>
        <w:ind w:left="849" w:right="0"/>
        <w:jc w:val="left"/>
        <w:rPr>
          <w:b w:val="0"/>
          <w:bCs w:val="0"/>
        </w:rPr>
      </w:pPr>
      <w:r>
        <w:rPr>
          <w:rFonts w:ascii="Times New Roman" w:hAnsi="Times New Roman" w:cs="Times New Roman" w:eastAsia="Times New Roman" w:hint="default"/>
          <w:w w:val="95"/>
        </w:rPr>
        <w:t>2</w:t>
      </w:r>
      <w:r>
        <w:rPr>
          <w:w w:val="95"/>
        </w:rPr>
        <w:t>、</w:t>
        <w:tab/>
      </w:r>
      <w:r>
        <w:rPr/>
        <w:t>固定资产情况</w:t>
      </w:r>
      <w:r>
        <w:rPr>
          <w:b w:val="0"/>
          <w:bCs w:val="0"/>
        </w:rPr>
      </w:r>
    </w:p>
    <w:p>
      <w:pPr>
        <w:spacing w:line="240" w:lineRule="auto" w:before="5"/>
        <w:rPr>
          <w:rFonts w:ascii="宋体" w:hAnsi="宋体" w:cs="宋体" w:eastAsia="宋体" w:hint="default"/>
          <w:b/>
          <w:bCs/>
          <w:sz w:val="2"/>
          <w:szCs w:val="2"/>
        </w:rPr>
      </w:pPr>
    </w:p>
    <w:tbl>
      <w:tblPr>
        <w:tblW w:w="0" w:type="auto"/>
        <w:jc w:val="left"/>
        <w:tblInd w:w="789" w:type="dxa"/>
        <w:tblLayout w:type="fixed"/>
        <w:tblCellMar>
          <w:top w:w="0" w:type="dxa"/>
          <w:left w:w="0" w:type="dxa"/>
          <w:bottom w:w="0" w:type="dxa"/>
          <w:right w:w="0" w:type="dxa"/>
        </w:tblCellMar>
        <w:tblLook w:val="01E0"/>
      </w:tblPr>
      <w:tblGrid>
        <w:gridCol w:w="2111"/>
        <w:gridCol w:w="2525"/>
        <w:gridCol w:w="2020"/>
        <w:gridCol w:w="1664"/>
        <w:gridCol w:w="2014"/>
        <w:gridCol w:w="1622"/>
        <w:gridCol w:w="1577"/>
      </w:tblGrid>
      <w:tr>
        <w:trPr>
          <w:trHeight w:val="720" w:hRule="exact"/>
        </w:trPr>
        <w:tc>
          <w:tcPr>
            <w:tcW w:w="2111" w:type="dxa"/>
            <w:tcBorders>
              <w:top w:val="nil" w:sz="6" w:space="0" w:color="auto"/>
              <w:left w:val="nil" w:sz="6" w:space="0" w:color="auto"/>
              <w:bottom w:val="nil" w:sz="6" w:space="0" w:color="auto"/>
              <w:right w:val="nil" w:sz="6" w:space="0" w:color="auto"/>
            </w:tcBorders>
          </w:tcPr>
          <w:p>
            <w:pPr>
              <w:pStyle w:val="TableParagraph"/>
              <w:spacing w:line="240" w:lineRule="auto" w:before="56"/>
              <w:ind w:left="64" w:right="0"/>
              <w:jc w:val="center"/>
              <w:rPr>
                <w:rFonts w:ascii="宋体" w:hAnsi="宋体" w:cs="宋体" w:eastAsia="宋体" w:hint="default"/>
                <w:sz w:val="16"/>
                <w:szCs w:val="16"/>
              </w:rPr>
            </w:pPr>
            <w:r>
              <w:rPr>
                <w:rFonts w:ascii="宋体" w:hAnsi="宋体" w:cs="宋体" w:eastAsia="宋体" w:hint="default"/>
                <w:sz w:val="16"/>
                <w:szCs w:val="16"/>
              </w:rPr>
              <w:t>项目</w:t>
            </w:r>
          </w:p>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left="70"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宋体" w:hAnsi="宋体" w:cs="宋体" w:eastAsia="宋体" w:hint="default"/>
                <w:sz w:val="16"/>
                <w:szCs w:val="16"/>
              </w:rPr>
              <w:t>．账面原值</w:t>
            </w:r>
          </w:p>
        </w:tc>
        <w:tc>
          <w:tcPr>
            <w:tcW w:w="2525" w:type="dxa"/>
            <w:tcBorders>
              <w:top w:val="nil" w:sz="6" w:space="0" w:color="auto"/>
              <w:left w:val="nil" w:sz="6" w:space="0" w:color="auto"/>
              <w:bottom w:val="nil" w:sz="6" w:space="0" w:color="auto"/>
              <w:right w:val="nil" w:sz="6" w:space="0" w:color="auto"/>
            </w:tcBorders>
          </w:tcPr>
          <w:p>
            <w:pPr>
              <w:pStyle w:val="TableParagraph"/>
              <w:spacing w:line="240" w:lineRule="auto" w:before="56"/>
              <w:ind w:left="681" w:right="0"/>
              <w:jc w:val="left"/>
              <w:rPr>
                <w:rFonts w:ascii="宋体" w:hAnsi="宋体" w:cs="宋体" w:eastAsia="宋体" w:hint="default"/>
                <w:sz w:val="16"/>
                <w:szCs w:val="16"/>
              </w:rPr>
            </w:pPr>
            <w:r>
              <w:rPr>
                <w:rFonts w:ascii="宋体" w:hAnsi="宋体" w:cs="宋体" w:eastAsia="宋体" w:hint="default"/>
                <w:sz w:val="16"/>
                <w:szCs w:val="16"/>
              </w:rPr>
              <w:t>房屋及建筑物</w:t>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56"/>
              <w:ind w:left="411" w:right="0"/>
              <w:jc w:val="left"/>
              <w:rPr>
                <w:rFonts w:ascii="宋体" w:hAnsi="宋体" w:cs="宋体" w:eastAsia="宋体" w:hint="default"/>
                <w:sz w:val="16"/>
                <w:szCs w:val="16"/>
              </w:rPr>
            </w:pPr>
            <w:r>
              <w:rPr>
                <w:rFonts w:ascii="宋体" w:hAnsi="宋体" w:cs="宋体" w:eastAsia="宋体" w:hint="default"/>
                <w:sz w:val="16"/>
                <w:szCs w:val="16"/>
              </w:rPr>
              <w:t>机器设备</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56"/>
              <w:ind w:left="360" w:right="0"/>
              <w:jc w:val="left"/>
              <w:rPr>
                <w:rFonts w:ascii="宋体" w:hAnsi="宋体" w:cs="宋体" w:eastAsia="宋体" w:hint="default"/>
                <w:sz w:val="16"/>
                <w:szCs w:val="16"/>
              </w:rPr>
            </w:pPr>
            <w:r>
              <w:rPr>
                <w:rFonts w:ascii="宋体" w:hAnsi="宋体" w:cs="宋体" w:eastAsia="宋体" w:hint="default"/>
                <w:sz w:val="16"/>
                <w:szCs w:val="16"/>
              </w:rPr>
              <w:t>运输工具</w:t>
            </w:r>
          </w:p>
        </w:tc>
        <w:tc>
          <w:tcPr>
            <w:tcW w:w="2014"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56" w:right="0"/>
              <w:jc w:val="left"/>
              <w:rPr>
                <w:rFonts w:ascii="宋体" w:hAnsi="宋体" w:cs="宋体" w:eastAsia="宋体" w:hint="default"/>
                <w:sz w:val="16"/>
                <w:szCs w:val="16"/>
              </w:rPr>
            </w:pPr>
            <w:r>
              <w:rPr>
                <w:rFonts w:ascii="宋体" w:hAnsi="宋体" w:cs="宋体" w:eastAsia="宋体" w:hint="default"/>
                <w:sz w:val="16"/>
                <w:szCs w:val="16"/>
              </w:rPr>
              <w:t>电子设备及办公设备</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56"/>
              <w:ind w:left="407"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56"/>
              <w:ind w:left="506" w:right="0"/>
              <w:jc w:val="left"/>
              <w:rPr>
                <w:rFonts w:ascii="宋体" w:hAnsi="宋体" w:cs="宋体" w:eastAsia="宋体" w:hint="default"/>
                <w:sz w:val="16"/>
                <w:szCs w:val="16"/>
              </w:rPr>
            </w:pPr>
            <w:r>
              <w:rPr>
                <w:rFonts w:ascii="宋体" w:hAnsi="宋体" w:cs="宋体" w:eastAsia="宋体" w:hint="default"/>
                <w:sz w:val="16"/>
                <w:szCs w:val="16"/>
              </w:rPr>
              <w:t>合计</w:t>
            </w:r>
          </w:p>
        </w:tc>
      </w:tr>
      <w:tr>
        <w:trPr>
          <w:trHeight w:val="356" w:hRule="exact"/>
        </w:trPr>
        <w:tc>
          <w:tcPr>
            <w:tcW w:w="2111" w:type="dxa"/>
            <w:tcBorders>
              <w:top w:val="nil" w:sz="6" w:space="0" w:color="auto"/>
              <w:left w:val="nil" w:sz="6" w:space="0" w:color="auto"/>
              <w:bottom w:val="nil" w:sz="6" w:space="0" w:color="auto"/>
              <w:right w:val="nil" w:sz="6" w:space="0" w:color="auto"/>
            </w:tcBorders>
          </w:tcPr>
          <w:p>
            <w:pPr>
              <w:pStyle w:val="TableParagraph"/>
              <w:spacing w:line="240" w:lineRule="auto" w:before="42"/>
              <w:ind w:left="70" w:right="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1</w:t>
            </w:r>
            <w:r>
              <w:rPr>
                <w:rFonts w:ascii="宋体" w:hAnsi="宋体" w:cs="宋体" w:eastAsia="宋体" w:hint="default"/>
                <w:sz w:val="16"/>
                <w:szCs w:val="16"/>
              </w:rPr>
              <w:t>）年初余额</w:t>
            </w:r>
          </w:p>
        </w:tc>
        <w:tc>
          <w:tcPr>
            <w:tcW w:w="2525"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410"/>
              <w:jc w:val="right"/>
              <w:rPr>
                <w:rFonts w:ascii="Times New Roman" w:hAnsi="Times New Roman" w:cs="Times New Roman" w:eastAsia="Times New Roman" w:hint="default"/>
                <w:sz w:val="16"/>
                <w:szCs w:val="16"/>
              </w:rPr>
            </w:pPr>
            <w:r>
              <w:rPr>
                <w:rFonts w:ascii="Times New Roman"/>
                <w:spacing w:val="-1"/>
                <w:sz w:val="16"/>
              </w:rPr>
              <w:t>1,366,018,324.49</w:t>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359"/>
              <w:jc w:val="right"/>
              <w:rPr>
                <w:rFonts w:ascii="Times New Roman" w:hAnsi="Times New Roman" w:cs="Times New Roman" w:eastAsia="Times New Roman" w:hint="default"/>
                <w:sz w:val="16"/>
                <w:szCs w:val="16"/>
              </w:rPr>
            </w:pPr>
            <w:r>
              <w:rPr>
                <w:rFonts w:ascii="Times New Roman"/>
                <w:spacing w:val="-1"/>
                <w:sz w:val="16"/>
              </w:rPr>
              <w:t>924,734,096.90</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54"/>
              <w:jc w:val="right"/>
              <w:rPr>
                <w:rFonts w:ascii="Times New Roman" w:hAnsi="Times New Roman" w:cs="Times New Roman" w:eastAsia="Times New Roman" w:hint="default"/>
                <w:sz w:val="16"/>
                <w:szCs w:val="16"/>
              </w:rPr>
            </w:pPr>
            <w:r>
              <w:rPr>
                <w:rFonts w:ascii="Times New Roman"/>
                <w:spacing w:val="-1"/>
                <w:sz w:val="16"/>
              </w:rPr>
              <w:t>44,873,268.30</w:t>
            </w:r>
          </w:p>
        </w:tc>
        <w:tc>
          <w:tcPr>
            <w:tcW w:w="2014"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313"/>
              <w:jc w:val="right"/>
              <w:rPr>
                <w:rFonts w:ascii="Times New Roman" w:hAnsi="Times New Roman" w:cs="Times New Roman" w:eastAsia="Times New Roman" w:hint="default"/>
                <w:sz w:val="16"/>
                <w:szCs w:val="16"/>
              </w:rPr>
            </w:pPr>
            <w:r>
              <w:rPr>
                <w:rFonts w:ascii="Times New Roman"/>
                <w:spacing w:val="-1"/>
                <w:sz w:val="16"/>
              </w:rPr>
              <w:t>393,189,218.56</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85"/>
              <w:ind w:left="314" w:right="0"/>
              <w:jc w:val="left"/>
              <w:rPr>
                <w:rFonts w:ascii="Times New Roman" w:hAnsi="Times New Roman" w:cs="Times New Roman" w:eastAsia="Times New Roman" w:hint="default"/>
                <w:sz w:val="16"/>
                <w:szCs w:val="16"/>
              </w:rPr>
            </w:pPr>
            <w:r>
              <w:rPr>
                <w:rFonts w:ascii="Times New Roman"/>
                <w:sz w:val="16"/>
              </w:rPr>
              <w:t>84,696,613.68</w:t>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68"/>
              <w:jc w:val="right"/>
              <w:rPr>
                <w:rFonts w:ascii="Times New Roman" w:hAnsi="Times New Roman" w:cs="Times New Roman" w:eastAsia="Times New Roman" w:hint="default"/>
                <w:sz w:val="16"/>
                <w:szCs w:val="16"/>
              </w:rPr>
            </w:pPr>
            <w:r>
              <w:rPr>
                <w:rFonts w:ascii="Times New Roman"/>
                <w:spacing w:val="-1"/>
                <w:sz w:val="16"/>
              </w:rPr>
              <w:t>2,813,511,521.93</w:t>
            </w:r>
          </w:p>
        </w:tc>
      </w:tr>
      <w:tr>
        <w:trPr>
          <w:trHeight w:val="353" w:hRule="exact"/>
        </w:trPr>
        <w:tc>
          <w:tcPr>
            <w:tcW w:w="211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2</w:t>
            </w:r>
            <w:r>
              <w:rPr>
                <w:rFonts w:ascii="宋体" w:hAnsi="宋体" w:cs="宋体" w:eastAsia="宋体" w:hint="default"/>
                <w:sz w:val="16"/>
                <w:szCs w:val="16"/>
              </w:rPr>
              <w:t>）本期增加金额</w:t>
            </w:r>
          </w:p>
        </w:tc>
        <w:tc>
          <w:tcPr>
            <w:tcW w:w="252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09"/>
              <w:jc w:val="right"/>
              <w:rPr>
                <w:rFonts w:ascii="Times New Roman" w:hAnsi="Times New Roman" w:cs="Times New Roman" w:eastAsia="Times New Roman" w:hint="default"/>
                <w:sz w:val="16"/>
                <w:szCs w:val="16"/>
              </w:rPr>
            </w:pPr>
            <w:r>
              <w:rPr>
                <w:rFonts w:ascii="Times New Roman"/>
                <w:spacing w:val="-1"/>
                <w:sz w:val="16"/>
              </w:rPr>
              <w:t>23,127,216.13</w:t>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59"/>
              <w:jc w:val="right"/>
              <w:rPr>
                <w:rFonts w:ascii="Times New Roman" w:hAnsi="Times New Roman" w:cs="Times New Roman" w:eastAsia="Times New Roman" w:hint="default"/>
                <w:sz w:val="16"/>
                <w:szCs w:val="16"/>
              </w:rPr>
            </w:pPr>
            <w:r>
              <w:rPr>
                <w:rFonts w:ascii="Times New Roman"/>
                <w:spacing w:val="-1"/>
                <w:sz w:val="16"/>
              </w:rPr>
              <w:t>237,820,981.47</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54"/>
              <w:jc w:val="right"/>
              <w:rPr>
                <w:rFonts w:ascii="Times New Roman" w:hAnsi="Times New Roman" w:cs="Times New Roman" w:eastAsia="Times New Roman" w:hint="default"/>
                <w:sz w:val="16"/>
                <w:szCs w:val="16"/>
              </w:rPr>
            </w:pPr>
            <w:r>
              <w:rPr>
                <w:rFonts w:ascii="Times New Roman"/>
                <w:spacing w:val="-1"/>
                <w:sz w:val="16"/>
              </w:rPr>
              <w:t>1,882,783.21</w:t>
            </w:r>
          </w:p>
        </w:tc>
        <w:tc>
          <w:tcPr>
            <w:tcW w:w="201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13"/>
              <w:jc w:val="right"/>
              <w:rPr>
                <w:rFonts w:ascii="Times New Roman" w:hAnsi="Times New Roman" w:cs="Times New Roman" w:eastAsia="Times New Roman" w:hint="default"/>
                <w:sz w:val="16"/>
                <w:szCs w:val="16"/>
              </w:rPr>
            </w:pPr>
            <w:r>
              <w:rPr>
                <w:rFonts w:ascii="Times New Roman"/>
                <w:spacing w:val="-1"/>
                <w:sz w:val="16"/>
              </w:rPr>
              <w:t>61,492,010.26</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83"/>
              <w:jc w:val="right"/>
              <w:rPr>
                <w:rFonts w:ascii="Times New Roman" w:hAnsi="Times New Roman" w:cs="Times New Roman" w:eastAsia="Times New Roman" w:hint="default"/>
                <w:sz w:val="16"/>
                <w:szCs w:val="16"/>
              </w:rPr>
            </w:pPr>
            <w:r>
              <w:rPr>
                <w:rFonts w:ascii="Times New Roman"/>
                <w:spacing w:val="-1"/>
                <w:sz w:val="16"/>
              </w:rPr>
              <w:t>9,652,226.98</w:t>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333,975,218.05</w:t>
            </w:r>
          </w:p>
        </w:tc>
      </w:tr>
      <w:tr>
        <w:trPr>
          <w:trHeight w:val="354" w:hRule="exact"/>
        </w:trPr>
        <w:tc>
          <w:tcPr>
            <w:tcW w:w="211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w:t>
            </w:r>
            <w:r>
              <w:rPr>
                <w:rFonts w:ascii="宋体" w:hAnsi="宋体" w:cs="宋体" w:eastAsia="宋体" w:hint="default"/>
                <w:sz w:val="16"/>
                <w:szCs w:val="16"/>
              </w:rPr>
              <w:t>购置</w:t>
            </w:r>
          </w:p>
        </w:tc>
        <w:tc>
          <w:tcPr>
            <w:tcW w:w="2525" w:type="dxa"/>
            <w:tcBorders>
              <w:top w:val="nil" w:sz="6" w:space="0" w:color="auto"/>
              <w:left w:val="nil" w:sz="6" w:space="0" w:color="auto"/>
              <w:bottom w:val="nil" w:sz="6" w:space="0" w:color="auto"/>
              <w:right w:val="nil" w:sz="6" w:space="0" w:color="auto"/>
            </w:tcBorders>
          </w:tcPr>
          <w:p>
            <w:pP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58"/>
              <w:jc w:val="right"/>
              <w:rPr>
                <w:rFonts w:ascii="Times New Roman" w:hAnsi="Times New Roman" w:cs="Times New Roman" w:eastAsia="Times New Roman" w:hint="default"/>
                <w:sz w:val="16"/>
                <w:szCs w:val="16"/>
              </w:rPr>
            </w:pPr>
            <w:r>
              <w:rPr>
                <w:rFonts w:ascii="Times New Roman"/>
                <w:spacing w:val="-1"/>
                <w:sz w:val="16"/>
              </w:rPr>
              <w:t>91,485,573.95</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54"/>
              <w:jc w:val="right"/>
              <w:rPr>
                <w:rFonts w:ascii="Times New Roman" w:hAnsi="Times New Roman" w:cs="Times New Roman" w:eastAsia="Times New Roman" w:hint="default"/>
                <w:sz w:val="16"/>
                <w:szCs w:val="16"/>
              </w:rPr>
            </w:pPr>
            <w:r>
              <w:rPr>
                <w:rFonts w:ascii="Times New Roman"/>
                <w:spacing w:val="-1"/>
                <w:sz w:val="16"/>
              </w:rPr>
              <w:t>1,882,783.21</w:t>
            </w:r>
          </w:p>
        </w:tc>
        <w:tc>
          <w:tcPr>
            <w:tcW w:w="201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13"/>
              <w:jc w:val="right"/>
              <w:rPr>
                <w:rFonts w:ascii="Times New Roman" w:hAnsi="Times New Roman" w:cs="Times New Roman" w:eastAsia="Times New Roman" w:hint="default"/>
                <w:sz w:val="16"/>
                <w:szCs w:val="16"/>
              </w:rPr>
            </w:pPr>
            <w:r>
              <w:rPr>
                <w:rFonts w:ascii="Times New Roman"/>
                <w:spacing w:val="-1"/>
                <w:sz w:val="16"/>
              </w:rPr>
              <w:t>44,069,169.55</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83"/>
              <w:jc w:val="right"/>
              <w:rPr>
                <w:rFonts w:ascii="Times New Roman" w:hAnsi="Times New Roman" w:cs="Times New Roman" w:eastAsia="Times New Roman" w:hint="default"/>
                <w:sz w:val="16"/>
                <w:szCs w:val="16"/>
              </w:rPr>
            </w:pPr>
            <w:r>
              <w:rPr>
                <w:rFonts w:ascii="Times New Roman"/>
                <w:spacing w:val="-1"/>
                <w:sz w:val="16"/>
              </w:rPr>
              <w:t>9,652,226.98</w:t>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147,089,753.69</w:t>
            </w:r>
          </w:p>
        </w:tc>
      </w:tr>
      <w:tr>
        <w:trPr>
          <w:trHeight w:val="353" w:hRule="exact"/>
        </w:trPr>
        <w:tc>
          <w:tcPr>
            <w:tcW w:w="211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w:t>
            </w:r>
            <w:r>
              <w:rPr>
                <w:rFonts w:ascii="宋体" w:hAnsi="宋体" w:cs="宋体" w:eastAsia="宋体" w:hint="default"/>
                <w:sz w:val="16"/>
                <w:szCs w:val="16"/>
              </w:rPr>
              <w:t>在建工程转入</w:t>
            </w:r>
          </w:p>
        </w:tc>
        <w:tc>
          <w:tcPr>
            <w:tcW w:w="252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09"/>
              <w:jc w:val="right"/>
              <w:rPr>
                <w:rFonts w:ascii="Times New Roman" w:hAnsi="Times New Roman" w:cs="Times New Roman" w:eastAsia="Times New Roman" w:hint="default"/>
                <w:sz w:val="16"/>
                <w:szCs w:val="16"/>
              </w:rPr>
            </w:pPr>
            <w:r>
              <w:rPr>
                <w:rFonts w:ascii="Times New Roman"/>
                <w:spacing w:val="-1"/>
                <w:sz w:val="16"/>
              </w:rPr>
              <w:t>23,127,216.13</w:t>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58"/>
              <w:jc w:val="right"/>
              <w:rPr>
                <w:rFonts w:ascii="Times New Roman" w:hAnsi="Times New Roman" w:cs="Times New Roman" w:eastAsia="Times New Roman" w:hint="default"/>
                <w:sz w:val="16"/>
                <w:szCs w:val="16"/>
              </w:rPr>
            </w:pPr>
            <w:r>
              <w:rPr>
                <w:rFonts w:ascii="Times New Roman"/>
                <w:spacing w:val="-1"/>
                <w:sz w:val="16"/>
              </w:rPr>
              <w:t>89,387,777.65</w:t>
            </w:r>
          </w:p>
        </w:tc>
        <w:tc>
          <w:tcPr>
            <w:tcW w:w="1664" w:type="dxa"/>
            <w:tcBorders>
              <w:top w:val="nil" w:sz="6" w:space="0" w:color="auto"/>
              <w:left w:val="nil" w:sz="6" w:space="0" w:color="auto"/>
              <w:bottom w:val="nil" w:sz="6" w:space="0" w:color="auto"/>
              <w:right w:val="nil" w:sz="6" w:space="0" w:color="auto"/>
            </w:tcBorders>
          </w:tcPr>
          <w:p>
            <w:pPr/>
          </w:p>
        </w:tc>
        <w:tc>
          <w:tcPr>
            <w:tcW w:w="201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13"/>
              <w:jc w:val="right"/>
              <w:rPr>
                <w:rFonts w:ascii="Times New Roman" w:hAnsi="Times New Roman" w:cs="Times New Roman" w:eastAsia="Times New Roman" w:hint="default"/>
                <w:sz w:val="16"/>
                <w:szCs w:val="16"/>
              </w:rPr>
            </w:pPr>
            <w:r>
              <w:rPr>
                <w:rFonts w:ascii="Times New Roman"/>
                <w:spacing w:val="-1"/>
                <w:sz w:val="16"/>
              </w:rPr>
              <w:t>17,422,840.71</w:t>
            </w:r>
          </w:p>
        </w:tc>
        <w:tc>
          <w:tcPr>
            <w:tcW w:w="1622" w:type="dxa"/>
            <w:tcBorders>
              <w:top w:val="nil" w:sz="6" w:space="0" w:color="auto"/>
              <w:left w:val="nil" w:sz="6" w:space="0" w:color="auto"/>
              <w:bottom w:val="nil" w:sz="6" w:space="0" w:color="auto"/>
              <w:right w:val="nil" w:sz="6" w:space="0" w:color="auto"/>
            </w:tcBorders>
          </w:tcPr>
          <w:p>
            <w:pP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129,937,834.49</w:t>
            </w:r>
          </w:p>
        </w:tc>
      </w:tr>
      <w:tr>
        <w:trPr>
          <w:trHeight w:val="353" w:hRule="exact"/>
        </w:trPr>
        <w:tc>
          <w:tcPr>
            <w:tcW w:w="211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w:t>
            </w:r>
            <w:r>
              <w:rPr>
                <w:rFonts w:ascii="宋体" w:hAnsi="宋体" w:cs="宋体" w:eastAsia="宋体" w:hint="default"/>
                <w:sz w:val="16"/>
                <w:szCs w:val="16"/>
              </w:rPr>
              <w:t>内部研发</w:t>
            </w:r>
          </w:p>
        </w:tc>
        <w:tc>
          <w:tcPr>
            <w:tcW w:w="2525" w:type="dxa"/>
            <w:tcBorders>
              <w:top w:val="nil" w:sz="6" w:space="0" w:color="auto"/>
              <w:left w:val="nil" w:sz="6" w:space="0" w:color="auto"/>
              <w:bottom w:val="nil" w:sz="6" w:space="0" w:color="auto"/>
              <w:right w:val="nil" w:sz="6" w:space="0" w:color="auto"/>
            </w:tcBorders>
          </w:tcPr>
          <w:p>
            <w:pP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58"/>
              <w:jc w:val="right"/>
              <w:rPr>
                <w:rFonts w:ascii="Times New Roman" w:hAnsi="Times New Roman" w:cs="Times New Roman" w:eastAsia="Times New Roman" w:hint="default"/>
                <w:sz w:val="16"/>
                <w:szCs w:val="16"/>
              </w:rPr>
            </w:pPr>
            <w:r>
              <w:rPr>
                <w:rFonts w:ascii="Times New Roman"/>
                <w:spacing w:val="-1"/>
                <w:sz w:val="16"/>
              </w:rPr>
              <w:t>56,947,629.87</w:t>
            </w:r>
          </w:p>
        </w:tc>
        <w:tc>
          <w:tcPr>
            <w:tcW w:w="1664" w:type="dxa"/>
            <w:tcBorders>
              <w:top w:val="nil" w:sz="6" w:space="0" w:color="auto"/>
              <w:left w:val="nil" w:sz="6" w:space="0" w:color="auto"/>
              <w:bottom w:val="nil" w:sz="6" w:space="0" w:color="auto"/>
              <w:right w:val="nil" w:sz="6" w:space="0" w:color="auto"/>
            </w:tcBorders>
          </w:tcPr>
          <w:p>
            <w:pPr/>
          </w:p>
        </w:tc>
        <w:tc>
          <w:tcPr>
            <w:tcW w:w="2014" w:type="dxa"/>
            <w:tcBorders>
              <w:top w:val="nil" w:sz="6" w:space="0" w:color="auto"/>
              <w:left w:val="nil" w:sz="6" w:space="0" w:color="auto"/>
              <w:bottom w:val="nil" w:sz="6" w:space="0" w:color="auto"/>
              <w:right w:val="nil" w:sz="6" w:space="0" w:color="auto"/>
            </w:tcBorders>
          </w:tcPr>
          <w:p>
            <w:pPr/>
          </w:p>
        </w:tc>
        <w:tc>
          <w:tcPr>
            <w:tcW w:w="1622" w:type="dxa"/>
            <w:tcBorders>
              <w:top w:val="nil" w:sz="6" w:space="0" w:color="auto"/>
              <w:left w:val="nil" w:sz="6" w:space="0" w:color="auto"/>
              <w:bottom w:val="nil" w:sz="6" w:space="0" w:color="auto"/>
              <w:right w:val="nil" w:sz="6" w:space="0" w:color="auto"/>
            </w:tcBorders>
          </w:tcPr>
          <w:p>
            <w:pP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56,947,629.87</w:t>
            </w:r>
          </w:p>
        </w:tc>
      </w:tr>
      <w:tr>
        <w:trPr>
          <w:trHeight w:val="353" w:hRule="exact"/>
        </w:trPr>
        <w:tc>
          <w:tcPr>
            <w:tcW w:w="211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3</w:t>
            </w:r>
            <w:r>
              <w:rPr>
                <w:rFonts w:ascii="宋体" w:hAnsi="宋体" w:cs="宋体" w:eastAsia="宋体" w:hint="default"/>
                <w:sz w:val="16"/>
                <w:szCs w:val="16"/>
              </w:rPr>
              <w:t>）本期减少金额</w:t>
            </w:r>
          </w:p>
        </w:tc>
        <w:tc>
          <w:tcPr>
            <w:tcW w:w="252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10"/>
              <w:jc w:val="right"/>
              <w:rPr>
                <w:rFonts w:ascii="Times New Roman" w:hAnsi="Times New Roman" w:cs="Times New Roman" w:eastAsia="Times New Roman" w:hint="default"/>
                <w:sz w:val="16"/>
                <w:szCs w:val="16"/>
              </w:rPr>
            </w:pPr>
            <w:r>
              <w:rPr>
                <w:rFonts w:ascii="Times New Roman"/>
                <w:spacing w:val="-1"/>
                <w:sz w:val="16"/>
              </w:rPr>
              <w:t>103,122,399.96</w:t>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58"/>
              <w:jc w:val="right"/>
              <w:rPr>
                <w:rFonts w:ascii="Times New Roman" w:hAnsi="Times New Roman" w:cs="Times New Roman" w:eastAsia="Times New Roman" w:hint="default"/>
                <w:sz w:val="16"/>
                <w:szCs w:val="16"/>
              </w:rPr>
            </w:pPr>
            <w:r>
              <w:rPr>
                <w:rFonts w:ascii="Times New Roman"/>
                <w:spacing w:val="-1"/>
                <w:sz w:val="16"/>
              </w:rPr>
              <w:t>52,549,957.72</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54"/>
              <w:jc w:val="right"/>
              <w:rPr>
                <w:rFonts w:ascii="Times New Roman" w:hAnsi="Times New Roman" w:cs="Times New Roman" w:eastAsia="Times New Roman" w:hint="default"/>
                <w:sz w:val="16"/>
                <w:szCs w:val="16"/>
              </w:rPr>
            </w:pPr>
            <w:r>
              <w:rPr>
                <w:rFonts w:ascii="Times New Roman"/>
                <w:spacing w:val="-1"/>
                <w:sz w:val="16"/>
              </w:rPr>
              <w:t>6,170,695.74</w:t>
            </w:r>
          </w:p>
        </w:tc>
        <w:tc>
          <w:tcPr>
            <w:tcW w:w="201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14"/>
              <w:jc w:val="right"/>
              <w:rPr>
                <w:rFonts w:ascii="Times New Roman" w:hAnsi="Times New Roman" w:cs="Times New Roman" w:eastAsia="Times New Roman" w:hint="default"/>
                <w:sz w:val="16"/>
                <w:szCs w:val="16"/>
              </w:rPr>
            </w:pPr>
            <w:r>
              <w:rPr>
                <w:rFonts w:ascii="Times New Roman"/>
                <w:spacing w:val="-1"/>
                <w:sz w:val="16"/>
              </w:rPr>
              <w:t>23,401,715.09</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83"/>
              <w:jc w:val="right"/>
              <w:rPr>
                <w:rFonts w:ascii="Times New Roman" w:hAnsi="Times New Roman" w:cs="Times New Roman" w:eastAsia="Times New Roman" w:hint="default"/>
                <w:sz w:val="16"/>
                <w:szCs w:val="16"/>
              </w:rPr>
            </w:pPr>
            <w:r>
              <w:rPr>
                <w:rFonts w:ascii="Times New Roman"/>
                <w:spacing w:val="-1"/>
                <w:sz w:val="16"/>
              </w:rPr>
              <w:t>3,474,889.70</w:t>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188,719,658.21</w:t>
            </w:r>
          </w:p>
        </w:tc>
      </w:tr>
      <w:tr>
        <w:trPr>
          <w:trHeight w:val="353" w:hRule="exact"/>
        </w:trPr>
        <w:tc>
          <w:tcPr>
            <w:tcW w:w="211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w:t>
            </w:r>
            <w:r>
              <w:rPr>
                <w:rFonts w:ascii="宋体" w:hAnsi="宋体" w:cs="宋体" w:eastAsia="宋体" w:hint="default"/>
                <w:sz w:val="16"/>
                <w:szCs w:val="16"/>
              </w:rPr>
              <w:t>处置或报废</w:t>
            </w:r>
          </w:p>
        </w:tc>
        <w:tc>
          <w:tcPr>
            <w:tcW w:w="252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09"/>
              <w:jc w:val="right"/>
              <w:rPr>
                <w:rFonts w:ascii="Times New Roman" w:hAnsi="Times New Roman" w:cs="Times New Roman" w:eastAsia="Times New Roman" w:hint="default"/>
                <w:sz w:val="16"/>
                <w:szCs w:val="16"/>
              </w:rPr>
            </w:pPr>
            <w:r>
              <w:rPr>
                <w:rFonts w:ascii="Times New Roman"/>
                <w:spacing w:val="-1"/>
                <w:sz w:val="16"/>
              </w:rPr>
              <w:t>13,369,558.66</w:t>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58"/>
              <w:jc w:val="right"/>
              <w:rPr>
                <w:rFonts w:ascii="Times New Roman" w:hAnsi="Times New Roman" w:cs="Times New Roman" w:eastAsia="Times New Roman" w:hint="default"/>
                <w:sz w:val="16"/>
                <w:szCs w:val="16"/>
              </w:rPr>
            </w:pPr>
            <w:r>
              <w:rPr>
                <w:rFonts w:ascii="Times New Roman"/>
                <w:spacing w:val="-1"/>
                <w:sz w:val="16"/>
              </w:rPr>
              <w:t>52,039,136.81</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54"/>
              <w:jc w:val="right"/>
              <w:rPr>
                <w:rFonts w:ascii="Times New Roman" w:hAnsi="Times New Roman" w:cs="Times New Roman" w:eastAsia="Times New Roman" w:hint="default"/>
                <w:sz w:val="16"/>
                <w:szCs w:val="16"/>
              </w:rPr>
            </w:pPr>
            <w:r>
              <w:rPr>
                <w:rFonts w:ascii="Times New Roman"/>
                <w:spacing w:val="-1"/>
                <w:sz w:val="16"/>
              </w:rPr>
              <w:t>6,231,818.65</w:t>
            </w:r>
          </w:p>
        </w:tc>
        <w:tc>
          <w:tcPr>
            <w:tcW w:w="201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14"/>
              <w:jc w:val="right"/>
              <w:rPr>
                <w:rFonts w:ascii="Times New Roman" w:hAnsi="Times New Roman" w:cs="Times New Roman" w:eastAsia="Times New Roman" w:hint="default"/>
                <w:sz w:val="16"/>
                <w:szCs w:val="16"/>
              </w:rPr>
            </w:pPr>
            <w:r>
              <w:rPr>
                <w:rFonts w:ascii="Times New Roman"/>
                <w:spacing w:val="-1"/>
                <w:sz w:val="16"/>
              </w:rPr>
              <w:t>25,322,944.14</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83"/>
              <w:jc w:val="right"/>
              <w:rPr>
                <w:rFonts w:ascii="Times New Roman" w:hAnsi="Times New Roman" w:cs="Times New Roman" w:eastAsia="Times New Roman" w:hint="default"/>
                <w:sz w:val="16"/>
                <w:szCs w:val="16"/>
              </w:rPr>
            </w:pPr>
            <w:r>
              <w:rPr>
                <w:rFonts w:ascii="Times New Roman"/>
                <w:spacing w:val="-1"/>
                <w:sz w:val="16"/>
              </w:rPr>
              <w:t>3,474,321.34</w:t>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100,437,779.60</w:t>
            </w:r>
          </w:p>
        </w:tc>
      </w:tr>
      <w:tr>
        <w:trPr>
          <w:trHeight w:val="354" w:hRule="exact"/>
        </w:trPr>
        <w:tc>
          <w:tcPr>
            <w:tcW w:w="211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w:t>
            </w:r>
            <w:r>
              <w:rPr>
                <w:rFonts w:ascii="宋体" w:hAnsi="宋体" w:cs="宋体" w:eastAsia="宋体" w:hint="default"/>
                <w:sz w:val="16"/>
                <w:szCs w:val="16"/>
              </w:rPr>
              <w:t>转入投资性资产</w:t>
            </w:r>
          </w:p>
        </w:tc>
        <w:tc>
          <w:tcPr>
            <w:tcW w:w="252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09"/>
              <w:jc w:val="right"/>
              <w:rPr>
                <w:rFonts w:ascii="Times New Roman" w:hAnsi="Times New Roman" w:cs="Times New Roman" w:eastAsia="Times New Roman" w:hint="default"/>
                <w:sz w:val="16"/>
                <w:szCs w:val="16"/>
              </w:rPr>
            </w:pPr>
            <w:r>
              <w:rPr>
                <w:rFonts w:ascii="Times New Roman"/>
                <w:spacing w:val="-1"/>
                <w:sz w:val="16"/>
              </w:rPr>
              <w:t>76,293,715.80</w:t>
            </w:r>
          </w:p>
        </w:tc>
        <w:tc>
          <w:tcPr>
            <w:tcW w:w="2020" w:type="dxa"/>
            <w:tcBorders>
              <w:top w:val="nil" w:sz="6" w:space="0" w:color="auto"/>
              <w:left w:val="nil" w:sz="6" w:space="0" w:color="auto"/>
              <w:bottom w:val="nil" w:sz="6" w:space="0" w:color="auto"/>
              <w:right w:val="nil" w:sz="6" w:space="0" w:color="auto"/>
            </w:tcBorders>
          </w:tcPr>
          <w:p>
            <w:pPr/>
          </w:p>
        </w:tc>
        <w:tc>
          <w:tcPr>
            <w:tcW w:w="1664" w:type="dxa"/>
            <w:tcBorders>
              <w:top w:val="nil" w:sz="6" w:space="0" w:color="auto"/>
              <w:left w:val="nil" w:sz="6" w:space="0" w:color="auto"/>
              <w:bottom w:val="nil" w:sz="6" w:space="0" w:color="auto"/>
              <w:right w:val="nil" w:sz="6" w:space="0" w:color="auto"/>
            </w:tcBorders>
          </w:tcPr>
          <w:p>
            <w:pPr/>
          </w:p>
        </w:tc>
        <w:tc>
          <w:tcPr>
            <w:tcW w:w="2014" w:type="dxa"/>
            <w:tcBorders>
              <w:top w:val="nil" w:sz="6" w:space="0" w:color="auto"/>
              <w:left w:val="nil" w:sz="6" w:space="0" w:color="auto"/>
              <w:bottom w:val="nil" w:sz="6" w:space="0" w:color="auto"/>
              <w:right w:val="nil" w:sz="6" w:space="0" w:color="auto"/>
            </w:tcBorders>
          </w:tcPr>
          <w:p>
            <w:pPr/>
          </w:p>
        </w:tc>
        <w:tc>
          <w:tcPr>
            <w:tcW w:w="1622" w:type="dxa"/>
            <w:tcBorders>
              <w:top w:val="nil" w:sz="6" w:space="0" w:color="auto"/>
              <w:left w:val="nil" w:sz="6" w:space="0" w:color="auto"/>
              <w:bottom w:val="nil" w:sz="6" w:space="0" w:color="auto"/>
              <w:right w:val="nil" w:sz="6" w:space="0" w:color="auto"/>
            </w:tcBorders>
          </w:tcPr>
          <w:p>
            <w:pP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76,293,715.80</w:t>
            </w:r>
          </w:p>
        </w:tc>
      </w:tr>
      <w:tr>
        <w:trPr>
          <w:trHeight w:val="353" w:hRule="exact"/>
        </w:trPr>
        <w:tc>
          <w:tcPr>
            <w:tcW w:w="211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w:t>
            </w:r>
            <w:r>
              <w:rPr>
                <w:rFonts w:ascii="宋体" w:hAnsi="宋体" w:cs="宋体" w:eastAsia="宋体" w:hint="default"/>
                <w:sz w:val="16"/>
                <w:szCs w:val="16"/>
              </w:rPr>
              <w:t>企业处置减少</w:t>
            </w:r>
          </w:p>
        </w:tc>
        <w:tc>
          <w:tcPr>
            <w:tcW w:w="252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09"/>
              <w:jc w:val="right"/>
              <w:rPr>
                <w:rFonts w:ascii="Times New Roman" w:hAnsi="Times New Roman" w:cs="Times New Roman" w:eastAsia="Times New Roman" w:hint="default"/>
                <w:sz w:val="16"/>
                <w:szCs w:val="16"/>
              </w:rPr>
            </w:pPr>
            <w:r>
              <w:rPr>
                <w:rFonts w:ascii="Times New Roman"/>
                <w:spacing w:val="-1"/>
                <w:sz w:val="16"/>
              </w:rPr>
              <w:t>14,418,508.56</w:t>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58"/>
              <w:jc w:val="right"/>
              <w:rPr>
                <w:rFonts w:ascii="Times New Roman" w:hAnsi="Times New Roman" w:cs="Times New Roman" w:eastAsia="Times New Roman" w:hint="default"/>
                <w:sz w:val="16"/>
                <w:szCs w:val="16"/>
              </w:rPr>
            </w:pPr>
            <w:r>
              <w:rPr>
                <w:rFonts w:ascii="Times New Roman"/>
                <w:spacing w:val="-1"/>
                <w:sz w:val="16"/>
              </w:rPr>
              <w:t>660,143.24</w:t>
            </w:r>
          </w:p>
        </w:tc>
        <w:tc>
          <w:tcPr>
            <w:tcW w:w="1664" w:type="dxa"/>
            <w:tcBorders>
              <w:top w:val="nil" w:sz="6" w:space="0" w:color="auto"/>
              <w:left w:val="nil" w:sz="6" w:space="0" w:color="auto"/>
              <w:bottom w:val="nil" w:sz="6" w:space="0" w:color="auto"/>
              <w:right w:val="nil" w:sz="6" w:space="0" w:color="auto"/>
            </w:tcBorders>
          </w:tcPr>
          <w:p>
            <w:pPr/>
          </w:p>
        </w:tc>
        <w:tc>
          <w:tcPr>
            <w:tcW w:w="201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13"/>
              <w:jc w:val="right"/>
              <w:rPr>
                <w:rFonts w:ascii="Times New Roman" w:hAnsi="Times New Roman" w:cs="Times New Roman" w:eastAsia="Times New Roman" w:hint="default"/>
                <w:sz w:val="16"/>
                <w:szCs w:val="16"/>
              </w:rPr>
            </w:pPr>
            <w:r>
              <w:rPr>
                <w:rFonts w:ascii="Times New Roman"/>
                <w:spacing w:val="-1"/>
                <w:sz w:val="16"/>
              </w:rPr>
              <w:t>12,782.31</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83"/>
              <w:jc w:val="right"/>
              <w:rPr>
                <w:rFonts w:ascii="Times New Roman" w:hAnsi="Times New Roman" w:cs="Times New Roman" w:eastAsia="Times New Roman" w:hint="default"/>
                <w:sz w:val="16"/>
                <w:szCs w:val="16"/>
              </w:rPr>
            </w:pPr>
            <w:r>
              <w:rPr>
                <w:rFonts w:ascii="Times New Roman"/>
                <w:spacing w:val="-1"/>
                <w:sz w:val="16"/>
              </w:rPr>
              <w:t>4,516.00</w:t>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15,095,950.11</w:t>
            </w:r>
          </w:p>
        </w:tc>
      </w:tr>
      <w:tr>
        <w:trPr>
          <w:trHeight w:val="353" w:hRule="exact"/>
        </w:trPr>
        <w:tc>
          <w:tcPr>
            <w:tcW w:w="211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w:t>
            </w:r>
            <w:r>
              <w:rPr>
                <w:rFonts w:ascii="宋体" w:hAnsi="宋体" w:cs="宋体" w:eastAsia="宋体" w:hint="default"/>
                <w:sz w:val="16"/>
                <w:szCs w:val="16"/>
              </w:rPr>
              <w:t>其他减少</w:t>
            </w:r>
          </w:p>
        </w:tc>
        <w:tc>
          <w:tcPr>
            <w:tcW w:w="252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10"/>
              <w:jc w:val="right"/>
              <w:rPr>
                <w:rFonts w:ascii="Times New Roman" w:hAnsi="Times New Roman" w:cs="Times New Roman" w:eastAsia="Times New Roman" w:hint="default"/>
                <w:sz w:val="16"/>
                <w:szCs w:val="16"/>
              </w:rPr>
            </w:pPr>
            <w:r>
              <w:rPr>
                <w:rFonts w:ascii="Times New Roman"/>
                <w:spacing w:val="-1"/>
                <w:sz w:val="16"/>
              </w:rPr>
              <w:t>-959,383.06</w:t>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59"/>
              <w:jc w:val="right"/>
              <w:rPr>
                <w:rFonts w:ascii="Times New Roman" w:hAnsi="Times New Roman" w:cs="Times New Roman" w:eastAsia="Times New Roman" w:hint="default"/>
                <w:sz w:val="16"/>
                <w:szCs w:val="16"/>
              </w:rPr>
            </w:pPr>
            <w:r>
              <w:rPr>
                <w:rFonts w:ascii="Times New Roman"/>
                <w:spacing w:val="-1"/>
                <w:sz w:val="16"/>
              </w:rPr>
              <w:t>-149,322.33</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54"/>
              <w:jc w:val="right"/>
              <w:rPr>
                <w:rFonts w:ascii="Times New Roman" w:hAnsi="Times New Roman" w:cs="Times New Roman" w:eastAsia="Times New Roman" w:hint="default"/>
                <w:sz w:val="16"/>
                <w:szCs w:val="16"/>
              </w:rPr>
            </w:pPr>
            <w:r>
              <w:rPr>
                <w:rFonts w:ascii="Times New Roman"/>
                <w:spacing w:val="-1"/>
                <w:sz w:val="16"/>
              </w:rPr>
              <w:t>-61,122.91</w:t>
            </w:r>
          </w:p>
        </w:tc>
        <w:tc>
          <w:tcPr>
            <w:tcW w:w="201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13"/>
              <w:jc w:val="right"/>
              <w:rPr>
                <w:rFonts w:ascii="Times New Roman" w:hAnsi="Times New Roman" w:cs="Times New Roman" w:eastAsia="Times New Roman" w:hint="default"/>
                <w:sz w:val="16"/>
                <w:szCs w:val="16"/>
              </w:rPr>
            </w:pPr>
            <w:r>
              <w:rPr>
                <w:rFonts w:ascii="Times New Roman"/>
                <w:spacing w:val="-1"/>
                <w:w w:val="95"/>
                <w:sz w:val="16"/>
              </w:rPr>
              <w:t>-1,934,011.36</w:t>
            </w:r>
            <w:r>
              <w:rPr>
                <w:rFonts w:ascii="Times New Roman"/>
                <w:spacing w:val="-1"/>
                <w:sz w:val="16"/>
              </w:rPr>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83"/>
              <w:jc w:val="right"/>
              <w:rPr>
                <w:rFonts w:ascii="Times New Roman" w:hAnsi="Times New Roman" w:cs="Times New Roman" w:eastAsia="Times New Roman" w:hint="default"/>
                <w:sz w:val="16"/>
                <w:szCs w:val="16"/>
              </w:rPr>
            </w:pPr>
            <w:r>
              <w:rPr>
                <w:rFonts w:ascii="Times New Roman"/>
                <w:spacing w:val="-1"/>
                <w:sz w:val="16"/>
              </w:rPr>
              <w:t>-3,947.64</w:t>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-3,107,787.30</w:t>
            </w:r>
          </w:p>
        </w:tc>
      </w:tr>
      <w:tr>
        <w:trPr>
          <w:trHeight w:val="353" w:hRule="exact"/>
        </w:trPr>
        <w:tc>
          <w:tcPr>
            <w:tcW w:w="211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4</w:t>
            </w:r>
            <w:r>
              <w:rPr>
                <w:rFonts w:ascii="宋体" w:hAnsi="宋体" w:cs="宋体" w:eastAsia="宋体" w:hint="default"/>
                <w:sz w:val="16"/>
                <w:szCs w:val="16"/>
              </w:rPr>
              <w:t>）期末余额</w:t>
            </w:r>
          </w:p>
        </w:tc>
        <w:tc>
          <w:tcPr>
            <w:tcW w:w="252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10"/>
              <w:jc w:val="right"/>
              <w:rPr>
                <w:rFonts w:ascii="Times New Roman" w:hAnsi="Times New Roman" w:cs="Times New Roman" w:eastAsia="Times New Roman" w:hint="default"/>
                <w:sz w:val="16"/>
                <w:szCs w:val="16"/>
              </w:rPr>
            </w:pPr>
            <w:r>
              <w:rPr>
                <w:rFonts w:ascii="Times New Roman"/>
                <w:spacing w:val="-1"/>
                <w:sz w:val="16"/>
              </w:rPr>
              <w:t>1,286,023,140.66</w:t>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59"/>
              <w:jc w:val="right"/>
              <w:rPr>
                <w:rFonts w:ascii="Times New Roman" w:hAnsi="Times New Roman" w:cs="Times New Roman" w:eastAsia="Times New Roman" w:hint="default"/>
                <w:sz w:val="16"/>
                <w:szCs w:val="16"/>
              </w:rPr>
            </w:pPr>
            <w:r>
              <w:rPr>
                <w:rFonts w:ascii="Times New Roman"/>
                <w:spacing w:val="-1"/>
                <w:sz w:val="16"/>
              </w:rPr>
              <w:t>1,110,005,120.65</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54"/>
              <w:jc w:val="right"/>
              <w:rPr>
                <w:rFonts w:ascii="Times New Roman" w:hAnsi="Times New Roman" w:cs="Times New Roman" w:eastAsia="Times New Roman" w:hint="default"/>
                <w:sz w:val="16"/>
                <w:szCs w:val="16"/>
              </w:rPr>
            </w:pPr>
            <w:r>
              <w:rPr>
                <w:rFonts w:ascii="Times New Roman"/>
                <w:spacing w:val="-1"/>
                <w:sz w:val="16"/>
              </w:rPr>
              <w:t>40,585,355.77</w:t>
            </w:r>
          </w:p>
        </w:tc>
        <w:tc>
          <w:tcPr>
            <w:tcW w:w="201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13"/>
              <w:jc w:val="right"/>
              <w:rPr>
                <w:rFonts w:ascii="Times New Roman" w:hAnsi="Times New Roman" w:cs="Times New Roman" w:eastAsia="Times New Roman" w:hint="default"/>
                <w:sz w:val="16"/>
                <w:szCs w:val="16"/>
              </w:rPr>
            </w:pPr>
            <w:r>
              <w:rPr>
                <w:rFonts w:ascii="Times New Roman"/>
                <w:spacing w:val="-1"/>
                <w:sz w:val="16"/>
              </w:rPr>
              <w:t>431,279,513.73</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82"/>
              <w:ind w:left="314" w:right="0"/>
              <w:jc w:val="left"/>
              <w:rPr>
                <w:rFonts w:ascii="Times New Roman" w:hAnsi="Times New Roman" w:cs="Times New Roman" w:eastAsia="Times New Roman" w:hint="default"/>
                <w:sz w:val="16"/>
                <w:szCs w:val="16"/>
              </w:rPr>
            </w:pPr>
            <w:r>
              <w:rPr>
                <w:rFonts w:ascii="Times New Roman"/>
                <w:sz w:val="16"/>
              </w:rPr>
              <w:t>90,873,950.96</w:t>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2,958,767,081.77</w:t>
            </w:r>
          </w:p>
        </w:tc>
      </w:tr>
      <w:tr>
        <w:trPr>
          <w:trHeight w:val="351" w:hRule="exact"/>
        </w:trPr>
        <w:tc>
          <w:tcPr>
            <w:tcW w:w="211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宋体" w:hAnsi="宋体" w:cs="宋体" w:eastAsia="宋体" w:hint="default"/>
                <w:sz w:val="16"/>
                <w:szCs w:val="16"/>
              </w:rPr>
              <w:t>．累计折旧</w:t>
            </w:r>
          </w:p>
        </w:tc>
        <w:tc>
          <w:tcPr>
            <w:tcW w:w="2525" w:type="dxa"/>
            <w:tcBorders>
              <w:top w:val="nil" w:sz="6" w:space="0" w:color="auto"/>
              <w:left w:val="nil" w:sz="6" w:space="0" w:color="auto"/>
              <w:bottom w:val="nil" w:sz="6" w:space="0" w:color="auto"/>
              <w:right w:val="nil" w:sz="6" w:space="0" w:color="auto"/>
            </w:tcBorders>
          </w:tcPr>
          <w:p>
            <w:pPr/>
          </w:p>
        </w:tc>
        <w:tc>
          <w:tcPr>
            <w:tcW w:w="2020" w:type="dxa"/>
            <w:tcBorders>
              <w:top w:val="nil" w:sz="6" w:space="0" w:color="auto"/>
              <w:left w:val="nil" w:sz="6" w:space="0" w:color="auto"/>
              <w:bottom w:val="nil" w:sz="6" w:space="0" w:color="auto"/>
              <w:right w:val="nil" w:sz="6" w:space="0" w:color="auto"/>
            </w:tcBorders>
          </w:tcPr>
          <w:p>
            <w:pPr/>
          </w:p>
        </w:tc>
        <w:tc>
          <w:tcPr>
            <w:tcW w:w="1664" w:type="dxa"/>
            <w:tcBorders>
              <w:top w:val="nil" w:sz="6" w:space="0" w:color="auto"/>
              <w:left w:val="nil" w:sz="6" w:space="0" w:color="auto"/>
              <w:bottom w:val="nil" w:sz="6" w:space="0" w:color="auto"/>
              <w:right w:val="nil" w:sz="6" w:space="0" w:color="auto"/>
            </w:tcBorders>
          </w:tcPr>
          <w:p>
            <w:pPr/>
          </w:p>
        </w:tc>
        <w:tc>
          <w:tcPr>
            <w:tcW w:w="2014" w:type="dxa"/>
            <w:tcBorders>
              <w:top w:val="nil" w:sz="6" w:space="0" w:color="auto"/>
              <w:left w:val="nil" w:sz="6" w:space="0" w:color="auto"/>
              <w:bottom w:val="nil" w:sz="6" w:space="0" w:color="auto"/>
              <w:right w:val="nil" w:sz="6" w:space="0" w:color="auto"/>
            </w:tcBorders>
          </w:tcPr>
          <w:p>
            <w:pPr/>
          </w:p>
        </w:tc>
        <w:tc>
          <w:tcPr>
            <w:tcW w:w="1622" w:type="dxa"/>
            <w:tcBorders>
              <w:top w:val="nil" w:sz="6" w:space="0" w:color="auto"/>
              <w:left w:val="nil" w:sz="6" w:space="0" w:color="auto"/>
              <w:bottom w:val="nil" w:sz="6" w:space="0" w:color="auto"/>
              <w:right w:val="nil" w:sz="6" w:space="0" w:color="auto"/>
            </w:tcBorders>
          </w:tcPr>
          <w:p>
            <w:pPr/>
          </w:p>
        </w:tc>
        <w:tc>
          <w:tcPr>
            <w:tcW w:w="1577" w:type="dxa"/>
            <w:tcBorders>
              <w:top w:val="nil" w:sz="6" w:space="0" w:color="auto"/>
              <w:left w:val="nil" w:sz="6" w:space="0" w:color="auto"/>
              <w:bottom w:val="nil" w:sz="6" w:space="0" w:color="auto"/>
              <w:right w:val="nil" w:sz="6" w:space="0" w:color="auto"/>
            </w:tcBorders>
          </w:tcPr>
          <w:p>
            <w:pPr/>
          </w:p>
        </w:tc>
      </w:tr>
      <w:tr>
        <w:trPr>
          <w:trHeight w:val="356" w:hRule="exact"/>
        </w:trPr>
        <w:tc>
          <w:tcPr>
            <w:tcW w:w="2111" w:type="dxa"/>
            <w:tcBorders>
              <w:top w:val="nil" w:sz="6" w:space="0" w:color="auto"/>
              <w:left w:val="nil" w:sz="6" w:space="0" w:color="auto"/>
              <w:bottom w:val="nil" w:sz="6" w:space="0" w:color="auto"/>
              <w:right w:val="nil" w:sz="6" w:space="0" w:color="auto"/>
            </w:tcBorders>
          </w:tcPr>
          <w:p>
            <w:pPr>
              <w:pStyle w:val="TableParagraph"/>
              <w:spacing w:line="240" w:lineRule="auto" w:before="42"/>
              <w:ind w:left="70" w:right="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1</w:t>
            </w:r>
            <w:r>
              <w:rPr>
                <w:rFonts w:ascii="宋体" w:hAnsi="宋体" w:cs="宋体" w:eastAsia="宋体" w:hint="default"/>
                <w:sz w:val="16"/>
                <w:szCs w:val="16"/>
              </w:rPr>
              <w:t>）年初余额</w:t>
            </w:r>
          </w:p>
        </w:tc>
        <w:tc>
          <w:tcPr>
            <w:tcW w:w="2525"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410"/>
              <w:jc w:val="right"/>
              <w:rPr>
                <w:rFonts w:ascii="Times New Roman" w:hAnsi="Times New Roman" w:cs="Times New Roman" w:eastAsia="Times New Roman" w:hint="default"/>
                <w:sz w:val="16"/>
                <w:szCs w:val="16"/>
              </w:rPr>
            </w:pPr>
            <w:r>
              <w:rPr>
                <w:rFonts w:ascii="Times New Roman"/>
                <w:spacing w:val="-1"/>
                <w:sz w:val="16"/>
              </w:rPr>
              <w:t>234,652,337.28</w:t>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359"/>
              <w:jc w:val="right"/>
              <w:rPr>
                <w:rFonts w:ascii="Times New Roman" w:hAnsi="Times New Roman" w:cs="Times New Roman" w:eastAsia="Times New Roman" w:hint="default"/>
                <w:sz w:val="16"/>
                <w:szCs w:val="16"/>
              </w:rPr>
            </w:pPr>
            <w:r>
              <w:rPr>
                <w:rFonts w:ascii="Times New Roman"/>
                <w:spacing w:val="-1"/>
                <w:sz w:val="16"/>
              </w:rPr>
              <w:t>419,694,350.74</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54"/>
              <w:jc w:val="right"/>
              <w:rPr>
                <w:rFonts w:ascii="Times New Roman" w:hAnsi="Times New Roman" w:cs="Times New Roman" w:eastAsia="Times New Roman" w:hint="default"/>
                <w:sz w:val="16"/>
                <w:szCs w:val="16"/>
              </w:rPr>
            </w:pPr>
            <w:r>
              <w:rPr>
                <w:rFonts w:ascii="Times New Roman"/>
                <w:spacing w:val="-1"/>
                <w:sz w:val="16"/>
              </w:rPr>
              <w:t>29,609,816.71</w:t>
            </w:r>
          </w:p>
        </w:tc>
        <w:tc>
          <w:tcPr>
            <w:tcW w:w="2014"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313"/>
              <w:jc w:val="right"/>
              <w:rPr>
                <w:rFonts w:ascii="Times New Roman" w:hAnsi="Times New Roman" w:cs="Times New Roman" w:eastAsia="Times New Roman" w:hint="default"/>
                <w:sz w:val="16"/>
                <w:szCs w:val="16"/>
              </w:rPr>
            </w:pPr>
            <w:r>
              <w:rPr>
                <w:rFonts w:ascii="Times New Roman"/>
                <w:spacing w:val="-1"/>
                <w:sz w:val="16"/>
              </w:rPr>
              <w:t>241,163,994.25</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85"/>
              <w:ind w:left="314" w:right="0"/>
              <w:jc w:val="left"/>
              <w:rPr>
                <w:rFonts w:ascii="Times New Roman" w:hAnsi="Times New Roman" w:cs="Times New Roman" w:eastAsia="Times New Roman" w:hint="default"/>
                <w:sz w:val="16"/>
                <w:szCs w:val="16"/>
              </w:rPr>
            </w:pPr>
            <w:r>
              <w:rPr>
                <w:rFonts w:ascii="Times New Roman"/>
                <w:sz w:val="16"/>
              </w:rPr>
              <w:t>27,400,539.08</w:t>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68"/>
              <w:jc w:val="right"/>
              <w:rPr>
                <w:rFonts w:ascii="Times New Roman" w:hAnsi="Times New Roman" w:cs="Times New Roman" w:eastAsia="Times New Roman" w:hint="default"/>
                <w:sz w:val="16"/>
                <w:szCs w:val="16"/>
              </w:rPr>
            </w:pPr>
            <w:r>
              <w:rPr>
                <w:rFonts w:ascii="Times New Roman"/>
                <w:spacing w:val="-1"/>
                <w:sz w:val="16"/>
              </w:rPr>
              <w:t>952,521,038.06</w:t>
            </w:r>
          </w:p>
        </w:tc>
      </w:tr>
      <w:tr>
        <w:trPr>
          <w:trHeight w:val="353" w:hRule="exact"/>
        </w:trPr>
        <w:tc>
          <w:tcPr>
            <w:tcW w:w="211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2</w:t>
            </w:r>
            <w:r>
              <w:rPr>
                <w:rFonts w:ascii="宋体" w:hAnsi="宋体" w:cs="宋体" w:eastAsia="宋体" w:hint="default"/>
                <w:sz w:val="16"/>
                <w:szCs w:val="16"/>
              </w:rPr>
              <w:t>）本期增加金额</w:t>
            </w:r>
          </w:p>
        </w:tc>
        <w:tc>
          <w:tcPr>
            <w:tcW w:w="252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09"/>
              <w:jc w:val="right"/>
              <w:rPr>
                <w:rFonts w:ascii="Times New Roman" w:hAnsi="Times New Roman" w:cs="Times New Roman" w:eastAsia="Times New Roman" w:hint="default"/>
                <w:sz w:val="16"/>
                <w:szCs w:val="16"/>
              </w:rPr>
            </w:pPr>
            <w:r>
              <w:rPr>
                <w:rFonts w:ascii="Times New Roman"/>
                <w:spacing w:val="-1"/>
                <w:sz w:val="16"/>
              </w:rPr>
              <w:t>36,656,573.55</w:t>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58"/>
              <w:jc w:val="right"/>
              <w:rPr>
                <w:rFonts w:ascii="Times New Roman" w:hAnsi="Times New Roman" w:cs="Times New Roman" w:eastAsia="Times New Roman" w:hint="default"/>
                <w:sz w:val="16"/>
                <w:szCs w:val="16"/>
              </w:rPr>
            </w:pPr>
            <w:r>
              <w:rPr>
                <w:rFonts w:ascii="Times New Roman"/>
                <w:spacing w:val="-1"/>
                <w:sz w:val="16"/>
              </w:rPr>
              <w:t>70,087,427.00</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54"/>
              <w:jc w:val="right"/>
              <w:rPr>
                <w:rFonts w:ascii="Times New Roman" w:hAnsi="Times New Roman" w:cs="Times New Roman" w:eastAsia="Times New Roman" w:hint="default"/>
                <w:sz w:val="16"/>
                <w:szCs w:val="16"/>
              </w:rPr>
            </w:pPr>
            <w:r>
              <w:rPr>
                <w:rFonts w:ascii="Times New Roman"/>
                <w:spacing w:val="-1"/>
                <w:sz w:val="16"/>
              </w:rPr>
              <w:t>3,168,989.92</w:t>
            </w:r>
          </w:p>
        </w:tc>
        <w:tc>
          <w:tcPr>
            <w:tcW w:w="201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14"/>
              <w:jc w:val="right"/>
              <w:rPr>
                <w:rFonts w:ascii="Times New Roman" w:hAnsi="Times New Roman" w:cs="Times New Roman" w:eastAsia="Times New Roman" w:hint="default"/>
                <w:sz w:val="16"/>
                <w:szCs w:val="16"/>
              </w:rPr>
            </w:pPr>
            <w:r>
              <w:rPr>
                <w:rFonts w:ascii="Times New Roman"/>
                <w:spacing w:val="-1"/>
                <w:sz w:val="16"/>
              </w:rPr>
              <w:t>46,281,492.64</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83"/>
              <w:jc w:val="right"/>
              <w:rPr>
                <w:rFonts w:ascii="Times New Roman" w:hAnsi="Times New Roman" w:cs="Times New Roman" w:eastAsia="Times New Roman" w:hint="default"/>
                <w:sz w:val="16"/>
                <w:szCs w:val="16"/>
              </w:rPr>
            </w:pPr>
            <w:r>
              <w:rPr>
                <w:rFonts w:ascii="Times New Roman"/>
                <w:spacing w:val="-1"/>
                <w:sz w:val="16"/>
              </w:rPr>
              <w:t>5,960,354.74</w:t>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162,154,837.85</w:t>
            </w:r>
          </w:p>
        </w:tc>
      </w:tr>
      <w:tr>
        <w:trPr>
          <w:trHeight w:val="354" w:hRule="exact"/>
        </w:trPr>
        <w:tc>
          <w:tcPr>
            <w:tcW w:w="211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469"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w:t>
            </w:r>
            <w:r>
              <w:rPr>
                <w:rFonts w:ascii="宋体" w:hAnsi="宋体" w:cs="宋体" w:eastAsia="宋体" w:hint="default"/>
                <w:sz w:val="16"/>
                <w:szCs w:val="16"/>
              </w:rPr>
              <w:t>计提</w:t>
            </w:r>
          </w:p>
        </w:tc>
        <w:tc>
          <w:tcPr>
            <w:tcW w:w="252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09"/>
              <w:jc w:val="right"/>
              <w:rPr>
                <w:rFonts w:ascii="Times New Roman" w:hAnsi="Times New Roman" w:cs="Times New Roman" w:eastAsia="Times New Roman" w:hint="default"/>
                <w:sz w:val="16"/>
                <w:szCs w:val="16"/>
              </w:rPr>
            </w:pPr>
            <w:r>
              <w:rPr>
                <w:rFonts w:ascii="Times New Roman"/>
                <w:spacing w:val="-1"/>
                <w:sz w:val="16"/>
              </w:rPr>
              <w:t>36,656,573.55</w:t>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58"/>
              <w:jc w:val="right"/>
              <w:rPr>
                <w:rFonts w:ascii="Times New Roman" w:hAnsi="Times New Roman" w:cs="Times New Roman" w:eastAsia="Times New Roman" w:hint="default"/>
                <w:sz w:val="16"/>
                <w:szCs w:val="16"/>
              </w:rPr>
            </w:pPr>
            <w:r>
              <w:rPr>
                <w:rFonts w:ascii="Times New Roman"/>
                <w:spacing w:val="-1"/>
                <w:sz w:val="16"/>
              </w:rPr>
              <w:t>70,087,427.00</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54"/>
              <w:jc w:val="right"/>
              <w:rPr>
                <w:rFonts w:ascii="Times New Roman" w:hAnsi="Times New Roman" w:cs="Times New Roman" w:eastAsia="Times New Roman" w:hint="default"/>
                <w:sz w:val="16"/>
                <w:szCs w:val="16"/>
              </w:rPr>
            </w:pPr>
            <w:r>
              <w:rPr>
                <w:rFonts w:ascii="Times New Roman"/>
                <w:spacing w:val="-1"/>
                <w:sz w:val="16"/>
              </w:rPr>
              <w:t>3,168,989.92</w:t>
            </w:r>
          </w:p>
        </w:tc>
        <w:tc>
          <w:tcPr>
            <w:tcW w:w="201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12"/>
              <w:jc w:val="right"/>
              <w:rPr>
                <w:rFonts w:ascii="Times New Roman" w:hAnsi="Times New Roman" w:cs="Times New Roman" w:eastAsia="Times New Roman" w:hint="default"/>
                <w:sz w:val="16"/>
                <w:szCs w:val="16"/>
              </w:rPr>
            </w:pPr>
            <w:r>
              <w:rPr>
                <w:rFonts w:ascii="Times New Roman"/>
                <w:spacing w:val="-1"/>
                <w:sz w:val="16"/>
              </w:rPr>
              <w:t>46,281,492.64</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83"/>
              <w:jc w:val="right"/>
              <w:rPr>
                <w:rFonts w:ascii="Times New Roman" w:hAnsi="Times New Roman" w:cs="Times New Roman" w:eastAsia="Times New Roman" w:hint="default"/>
                <w:sz w:val="16"/>
                <w:szCs w:val="16"/>
              </w:rPr>
            </w:pPr>
            <w:r>
              <w:rPr>
                <w:rFonts w:ascii="Times New Roman"/>
                <w:spacing w:val="-1"/>
                <w:sz w:val="16"/>
              </w:rPr>
              <w:t>5,960,354.74</w:t>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162,154,837.85</w:t>
            </w:r>
          </w:p>
        </w:tc>
      </w:tr>
      <w:tr>
        <w:trPr>
          <w:trHeight w:val="353" w:hRule="exact"/>
        </w:trPr>
        <w:tc>
          <w:tcPr>
            <w:tcW w:w="211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3</w:t>
            </w:r>
            <w:r>
              <w:rPr>
                <w:rFonts w:ascii="宋体" w:hAnsi="宋体" w:cs="宋体" w:eastAsia="宋体" w:hint="default"/>
                <w:sz w:val="16"/>
                <w:szCs w:val="16"/>
              </w:rPr>
              <w:t>）本期减少金额</w:t>
            </w:r>
          </w:p>
        </w:tc>
        <w:tc>
          <w:tcPr>
            <w:tcW w:w="252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09"/>
              <w:jc w:val="right"/>
              <w:rPr>
                <w:rFonts w:ascii="Times New Roman" w:hAnsi="Times New Roman" w:cs="Times New Roman" w:eastAsia="Times New Roman" w:hint="default"/>
                <w:sz w:val="16"/>
                <w:szCs w:val="16"/>
              </w:rPr>
            </w:pPr>
            <w:r>
              <w:rPr>
                <w:rFonts w:ascii="Times New Roman"/>
                <w:spacing w:val="-1"/>
                <w:sz w:val="16"/>
              </w:rPr>
              <w:t>13,011,017.87</w:t>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58"/>
              <w:jc w:val="right"/>
              <w:rPr>
                <w:rFonts w:ascii="Times New Roman" w:hAnsi="Times New Roman" w:cs="Times New Roman" w:eastAsia="Times New Roman" w:hint="default"/>
                <w:sz w:val="16"/>
                <w:szCs w:val="16"/>
              </w:rPr>
            </w:pPr>
            <w:r>
              <w:rPr>
                <w:rFonts w:ascii="Times New Roman"/>
                <w:spacing w:val="-1"/>
                <w:sz w:val="16"/>
              </w:rPr>
              <w:t>40,549,485.90</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54"/>
              <w:jc w:val="right"/>
              <w:rPr>
                <w:rFonts w:ascii="Times New Roman" w:hAnsi="Times New Roman" w:cs="Times New Roman" w:eastAsia="Times New Roman" w:hint="default"/>
                <w:sz w:val="16"/>
                <w:szCs w:val="16"/>
              </w:rPr>
            </w:pPr>
            <w:r>
              <w:rPr>
                <w:rFonts w:ascii="Times New Roman"/>
                <w:spacing w:val="-1"/>
                <w:sz w:val="16"/>
              </w:rPr>
              <w:t>4,439,018.73</w:t>
            </w:r>
          </w:p>
        </w:tc>
        <w:tc>
          <w:tcPr>
            <w:tcW w:w="201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14"/>
              <w:jc w:val="right"/>
              <w:rPr>
                <w:rFonts w:ascii="Times New Roman" w:hAnsi="Times New Roman" w:cs="Times New Roman" w:eastAsia="Times New Roman" w:hint="default"/>
                <w:sz w:val="16"/>
                <w:szCs w:val="16"/>
              </w:rPr>
            </w:pPr>
            <w:r>
              <w:rPr>
                <w:rFonts w:ascii="Times New Roman"/>
                <w:spacing w:val="-1"/>
                <w:sz w:val="16"/>
              </w:rPr>
              <w:t>17,190,080.31</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83"/>
              <w:jc w:val="right"/>
              <w:rPr>
                <w:rFonts w:ascii="Times New Roman" w:hAnsi="Times New Roman" w:cs="Times New Roman" w:eastAsia="Times New Roman" w:hint="default"/>
                <w:sz w:val="16"/>
                <w:szCs w:val="16"/>
              </w:rPr>
            </w:pPr>
            <w:r>
              <w:rPr>
                <w:rFonts w:ascii="Times New Roman"/>
                <w:spacing w:val="-1"/>
                <w:sz w:val="16"/>
              </w:rPr>
              <w:t>1,975,821.15</w:t>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77,165,423.96</w:t>
            </w:r>
          </w:p>
        </w:tc>
      </w:tr>
      <w:tr>
        <w:trPr>
          <w:trHeight w:val="353" w:hRule="exact"/>
        </w:trPr>
        <w:tc>
          <w:tcPr>
            <w:tcW w:w="211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w:t>
            </w:r>
            <w:r>
              <w:rPr>
                <w:rFonts w:ascii="宋体" w:hAnsi="宋体" w:cs="宋体" w:eastAsia="宋体" w:hint="default"/>
                <w:sz w:val="16"/>
                <w:szCs w:val="16"/>
              </w:rPr>
              <w:t>处置或报废</w:t>
            </w:r>
          </w:p>
        </w:tc>
        <w:tc>
          <w:tcPr>
            <w:tcW w:w="252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09"/>
              <w:jc w:val="right"/>
              <w:rPr>
                <w:rFonts w:ascii="Times New Roman" w:hAnsi="Times New Roman" w:cs="Times New Roman" w:eastAsia="Times New Roman" w:hint="default"/>
                <w:sz w:val="16"/>
                <w:szCs w:val="16"/>
              </w:rPr>
            </w:pPr>
            <w:r>
              <w:rPr>
                <w:rFonts w:ascii="Times New Roman"/>
                <w:spacing w:val="-1"/>
                <w:sz w:val="16"/>
              </w:rPr>
              <w:t>8,718,959.23</w:t>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58"/>
              <w:jc w:val="right"/>
              <w:rPr>
                <w:rFonts w:ascii="Times New Roman" w:hAnsi="Times New Roman" w:cs="Times New Roman" w:eastAsia="Times New Roman" w:hint="default"/>
                <w:sz w:val="16"/>
                <w:szCs w:val="16"/>
              </w:rPr>
            </w:pPr>
            <w:r>
              <w:rPr>
                <w:rFonts w:ascii="Times New Roman"/>
                <w:spacing w:val="-1"/>
                <w:sz w:val="16"/>
              </w:rPr>
              <w:t>40,057,630.88</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54"/>
              <w:jc w:val="right"/>
              <w:rPr>
                <w:rFonts w:ascii="Times New Roman" w:hAnsi="Times New Roman" w:cs="Times New Roman" w:eastAsia="Times New Roman" w:hint="default"/>
                <w:sz w:val="16"/>
                <w:szCs w:val="16"/>
              </w:rPr>
            </w:pPr>
            <w:r>
              <w:rPr>
                <w:rFonts w:ascii="Times New Roman"/>
                <w:spacing w:val="-1"/>
                <w:sz w:val="16"/>
              </w:rPr>
              <w:t>4,498,681.24</w:t>
            </w:r>
          </w:p>
        </w:tc>
        <w:tc>
          <w:tcPr>
            <w:tcW w:w="201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14"/>
              <w:jc w:val="right"/>
              <w:rPr>
                <w:rFonts w:ascii="Times New Roman" w:hAnsi="Times New Roman" w:cs="Times New Roman" w:eastAsia="Times New Roman" w:hint="default"/>
                <w:sz w:val="16"/>
                <w:szCs w:val="16"/>
              </w:rPr>
            </w:pPr>
            <w:r>
              <w:rPr>
                <w:rFonts w:ascii="Times New Roman"/>
                <w:spacing w:val="-1"/>
                <w:sz w:val="16"/>
              </w:rPr>
              <w:t>18,863,857.35</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83"/>
              <w:jc w:val="right"/>
              <w:rPr>
                <w:rFonts w:ascii="Times New Roman" w:hAnsi="Times New Roman" w:cs="Times New Roman" w:eastAsia="Times New Roman" w:hint="default"/>
                <w:sz w:val="16"/>
                <w:szCs w:val="16"/>
              </w:rPr>
            </w:pPr>
            <w:r>
              <w:rPr>
                <w:rFonts w:ascii="Times New Roman"/>
                <w:spacing w:val="-1"/>
                <w:sz w:val="16"/>
              </w:rPr>
              <w:t>1,976,664.86</w:t>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74,115,793.56</w:t>
            </w:r>
          </w:p>
        </w:tc>
      </w:tr>
      <w:tr>
        <w:trPr>
          <w:trHeight w:val="353" w:hRule="exact"/>
        </w:trPr>
        <w:tc>
          <w:tcPr>
            <w:tcW w:w="211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w:t>
            </w:r>
            <w:r>
              <w:rPr>
                <w:rFonts w:ascii="宋体" w:hAnsi="宋体" w:cs="宋体" w:eastAsia="宋体" w:hint="default"/>
                <w:sz w:val="16"/>
                <w:szCs w:val="16"/>
              </w:rPr>
              <w:t>转入投资性资产</w:t>
            </w:r>
          </w:p>
        </w:tc>
        <w:tc>
          <w:tcPr>
            <w:tcW w:w="252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09"/>
              <w:jc w:val="right"/>
              <w:rPr>
                <w:rFonts w:ascii="Times New Roman" w:hAnsi="Times New Roman" w:cs="Times New Roman" w:eastAsia="Times New Roman" w:hint="default"/>
                <w:sz w:val="16"/>
                <w:szCs w:val="16"/>
              </w:rPr>
            </w:pPr>
            <w:r>
              <w:rPr>
                <w:rFonts w:ascii="Times New Roman"/>
                <w:spacing w:val="-1"/>
                <w:sz w:val="16"/>
              </w:rPr>
              <w:t>2,899,059.36</w:t>
            </w:r>
          </w:p>
        </w:tc>
        <w:tc>
          <w:tcPr>
            <w:tcW w:w="2020" w:type="dxa"/>
            <w:tcBorders>
              <w:top w:val="nil" w:sz="6" w:space="0" w:color="auto"/>
              <w:left w:val="nil" w:sz="6" w:space="0" w:color="auto"/>
              <w:bottom w:val="nil" w:sz="6" w:space="0" w:color="auto"/>
              <w:right w:val="nil" w:sz="6" w:space="0" w:color="auto"/>
            </w:tcBorders>
          </w:tcPr>
          <w:p>
            <w:pPr/>
          </w:p>
        </w:tc>
        <w:tc>
          <w:tcPr>
            <w:tcW w:w="1664" w:type="dxa"/>
            <w:tcBorders>
              <w:top w:val="nil" w:sz="6" w:space="0" w:color="auto"/>
              <w:left w:val="nil" w:sz="6" w:space="0" w:color="auto"/>
              <w:bottom w:val="nil" w:sz="6" w:space="0" w:color="auto"/>
              <w:right w:val="nil" w:sz="6" w:space="0" w:color="auto"/>
            </w:tcBorders>
          </w:tcPr>
          <w:p>
            <w:pPr/>
          </w:p>
        </w:tc>
        <w:tc>
          <w:tcPr>
            <w:tcW w:w="2014" w:type="dxa"/>
            <w:tcBorders>
              <w:top w:val="nil" w:sz="6" w:space="0" w:color="auto"/>
              <w:left w:val="nil" w:sz="6" w:space="0" w:color="auto"/>
              <w:bottom w:val="nil" w:sz="6" w:space="0" w:color="auto"/>
              <w:right w:val="nil" w:sz="6" w:space="0" w:color="auto"/>
            </w:tcBorders>
          </w:tcPr>
          <w:p>
            <w:pPr/>
          </w:p>
        </w:tc>
        <w:tc>
          <w:tcPr>
            <w:tcW w:w="1622" w:type="dxa"/>
            <w:tcBorders>
              <w:top w:val="nil" w:sz="6" w:space="0" w:color="auto"/>
              <w:left w:val="nil" w:sz="6" w:space="0" w:color="auto"/>
              <w:bottom w:val="nil" w:sz="6" w:space="0" w:color="auto"/>
              <w:right w:val="nil" w:sz="6" w:space="0" w:color="auto"/>
            </w:tcBorders>
          </w:tcPr>
          <w:p>
            <w:pP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2,899,059.36</w:t>
            </w:r>
          </w:p>
        </w:tc>
      </w:tr>
      <w:tr>
        <w:trPr>
          <w:trHeight w:val="353" w:hRule="exact"/>
        </w:trPr>
        <w:tc>
          <w:tcPr>
            <w:tcW w:w="211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w:t>
            </w:r>
            <w:r>
              <w:rPr>
                <w:rFonts w:ascii="宋体" w:hAnsi="宋体" w:cs="宋体" w:eastAsia="宋体" w:hint="default"/>
                <w:sz w:val="16"/>
                <w:szCs w:val="16"/>
              </w:rPr>
              <w:t>企业处置减少</w:t>
            </w:r>
          </w:p>
        </w:tc>
        <w:tc>
          <w:tcPr>
            <w:tcW w:w="252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09"/>
              <w:jc w:val="right"/>
              <w:rPr>
                <w:rFonts w:ascii="Times New Roman" w:hAnsi="Times New Roman" w:cs="Times New Roman" w:eastAsia="Times New Roman" w:hint="default"/>
                <w:sz w:val="16"/>
                <w:szCs w:val="16"/>
              </w:rPr>
            </w:pPr>
            <w:r>
              <w:rPr>
                <w:rFonts w:ascii="Times New Roman"/>
                <w:spacing w:val="-1"/>
                <w:sz w:val="16"/>
              </w:rPr>
              <w:t>1,637,228.56</w:t>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58"/>
              <w:jc w:val="right"/>
              <w:rPr>
                <w:rFonts w:ascii="Times New Roman" w:hAnsi="Times New Roman" w:cs="Times New Roman" w:eastAsia="Times New Roman" w:hint="default"/>
                <w:sz w:val="16"/>
                <w:szCs w:val="16"/>
              </w:rPr>
            </w:pPr>
            <w:r>
              <w:rPr>
                <w:rFonts w:ascii="Times New Roman"/>
                <w:spacing w:val="-1"/>
                <w:sz w:val="16"/>
              </w:rPr>
              <w:t>632,828.78</w:t>
            </w:r>
          </w:p>
        </w:tc>
        <w:tc>
          <w:tcPr>
            <w:tcW w:w="1664" w:type="dxa"/>
            <w:tcBorders>
              <w:top w:val="nil" w:sz="6" w:space="0" w:color="auto"/>
              <w:left w:val="nil" w:sz="6" w:space="0" w:color="auto"/>
              <w:bottom w:val="nil" w:sz="6" w:space="0" w:color="auto"/>
              <w:right w:val="nil" w:sz="6" w:space="0" w:color="auto"/>
            </w:tcBorders>
          </w:tcPr>
          <w:p>
            <w:pPr/>
          </w:p>
        </w:tc>
        <w:tc>
          <w:tcPr>
            <w:tcW w:w="201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13"/>
              <w:jc w:val="right"/>
              <w:rPr>
                <w:rFonts w:ascii="Times New Roman" w:hAnsi="Times New Roman" w:cs="Times New Roman" w:eastAsia="Times New Roman" w:hint="default"/>
                <w:sz w:val="16"/>
                <w:szCs w:val="16"/>
              </w:rPr>
            </w:pPr>
            <w:r>
              <w:rPr>
                <w:rFonts w:ascii="Times New Roman"/>
                <w:spacing w:val="-1"/>
                <w:sz w:val="16"/>
              </w:rPr>
              <w:t>5,371.96</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83"/>
              <w:jc w:val="right"/>
              <w:rPr>
                <w:rFonts w:ascii="Times New Roman" w:hAnsi="Times New Roman" w:cs="Times New Roman" w:eastAsia="Times New Roman" w:hint="default"/>
                <w:sz w:val="16"/>
                <w:szCs w:val="16"/>
              </w:rPr>
            </w:pPr>
            <w:r>
              <w:rPr>
                <w:rFonts w:ascii="Times New Roman"/>
                <w:spacing w:val="-1"/>
                <w:sz w:val="16"/>
              </w:rPr>
              <w:t>3,104.00</w:t>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2,278,533.30</w:t>
            </w:r>
          </w:p>
        </w:tc>
      </w:tr>
      <w:tr>
        <w:trPr>
          <w:trHeight w:val="357" w:hRule="exact"/>
        </w:trPr>
        <w:tc>
          <w:tcPr>
            <w:tcW w:w="211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w:t>
            </w:r>
            <w:r>
              <w:rPr>
                <w:rFonts w:ascii="宋体" w:hAnsi="宋体" w:cs="宋体" w:eastAsia="宋体" w:hint="default"/>
                <w:sz w:val="16"/>
                <w:szCs w:val="16"/>
              </w:rPr>
              <w:t>其他减少</w:t>
            </w:r>
          </w:p>
        </w:tc>
        <w:tc>
          <w:tcPr>
            <w:tcW w:w="252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10"/>
              <w:jc w:val="right"/>
              <w:rPr>
                <w:rFonts w:ascii="Times New Roman" w:hAnsi="Times New Roman" w:cs="Times New Roman" w:eastAsia="Times New Roman" w:hint="default"/>
                <w:sz w:val="16"/>
                <w:szCs w:val="16"/>
              </w:rPr>
            </w:pPr>
            <w:r>
              <w:rPr>
                <w:rFonts w:ascii="Times New Roman"/>
                <w:spacing w:val="-1"/>
                <w:sz w:val="16"/>
              </w:rPr>
              <w:t>-244,229.28</w:t>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59"/>
              <w:jc w:val="right"/>
              <w:rPr>
                <w:rFonts w:ascii="Times New Roman" w:hAnsi="Times New Roman" w:cs="Times New Roman" w:eastAsia="Times New Roman" w:hint="default"/>
                <w:sz w:val="16"/>
                <w:szCs w:val="16"/>
              </w:rPr>
            </w:pPr>
            <w:r>
              <w:rPr>
                <w:rFonts w:ascii="Times New Roman"/>
                <w:spacing w:val="-1"/>
                <w:sz w:val="16"/>
              </w:rPr>
              <w:t>-140,973.76</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54"/>
              <w:jc w:val="right"/>
              <w:rPr>
                <w:rFonts w:ascii="Times New Roman" w:hAnsi="Times New Roman" w:cs="Times New Roman" w:eastAsia="Times New Roman" w:hint="default"/>
                <w:sz w:val="16"/>
                <w:szCs w:val="16"/>
              </w:rPr>
            </w:pPr>
            <w:r>
              <w:rPr>
                <w:rFonts w:ascii="Times New Roman"/>
                <w:spacing w:val="-1"/>
                <w:sz w:val="16"/>
              </w:rPr>
              <w:t>-59,662.51</w:t>
            </w:r>
          </w:p>
        </w:tc>
        <w:tc>
          <w:tcPr>
            <w:tcW w:w="201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13"/>
              <w:jc w:val="right"/>
              <w:rPr>
                <w:rFonts w:ascii="Times New Roman" w:hAnsi="Times New Roman" w:cs="Times New Roman" w:eastAsia="Times New Roman" w:hint="default"/>
                <w:sz w:val="16"/>
                <w:szCs w:val="16"/>
              </w:rPr>
            </w:pPr>
            <w:r>
              <w:rPr>
                <w:rFonts w:ascii="Times New Roman"/>
                <w:spacing w:val="-1"/>
                <w:sz w:val="16"/>
              </w:rPr>
              <w:t>-1,679,149.00</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83"/>
              <w:jc w:val="right"/>
              <w:rPr>
                <w:rFonts w:ascii="Times New Roman" w:hAnsi="Times New Roman" w:cs="Times New Roman" w:eastAsia="Times New Roman" w:hint="default"/>
                <w:sz w:val="16"/>
                <w:szCs w:val="16"/>
              </w:rPr>
            </w:pPr>
            <w:r>
              <w:rPr>
                <w:rFonts w:ascii="Times New Roman"/>
                <w:spacing w:val="-1"/>
                <w:sz w:val="16"/>
              </w:rPr>
              <w:t>-3,947.71</w:t>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-2,127,962.26</w:t>
            </w:r>
          </w:p>
        </w:tc>
      </w:tr>
    </w:tbl>
    <w:p>
      <w:pPr>
        <w:spacing w:after="0" w:line="240" w:lineRule="auto"/>
        <w:jc w:val="right"/>
        <w:rPr>
          <w:rFonts w:ascii="Times New Roman" w:hAnsi="Times New Roman" w:cs="Times New Roman" w:eastAsia="Times New Roman" w:hint="default"/>
          <w:sz w:val="16"/>
          <w:szCs w:val="16"/>
        </w:rPr>
        <w:sectPr>
          <w:headerReference w:type="default" r:id="rId182"/>
          <w:footerReference w:type="default" r:id="rId183"/>
          <w:pgSz w:w="16840" w:h="11910" w:orient="landscape"/>
          <w:pgMar w:header="1302" w:footer="998" w:top="1520" w:bottom="1180" w:left="1300" w:right="1040"/>
          <w:pgNumType w:start="45"/>
        </w:sectPr>
      </w:pPr>
    </w:p>
    <w:p>
      <w:pPr>
        <w:spacing w:line="240" w:lineRule="auto" w:before="12"/>
        <w:rPr>
          <w:rFonts w:ascii="宋体" w:hAnsi="宋体" w:cs="宋体" w:eastAsia="宋体" w:hint="default"/>
          <w:b/>
          <w:bCs/>
          <w:sz w:val="20"/>
          <w:szCs w:val="20"/>
        </w:rPr>
      </w:pPr>
    </w:p>
    <w:tbl>
      <w:tblPr>
        <w:tblW w:w="0" w:type="auto"/>
        <w:jc w:val="left"/>
        <w:tblInd w:w="789" w:type="dxa"/>
        <w:tblLayout w:type="fixed"/>
        <w:tblCellMar>
          <w:top w:w="0" w:type="dxa"/>
          <w:left w:w="0" w:type="dxa"/>
          <w:bottom w:w="0" w:type="dxa"/>
          <w:right w:w="0" w:type="dxa"/>
        </w:tblCellMar>
        <w:tblLook w:val="01E0"/>
      </w:tblPr>
      <w:tblGrid>
        <w:gridCol w:w="2111"/>
        <w:gridCol w:w="2525"/>
        <w:gridCol w:w="2020"/>
        <w:gridCol w:w="1664"/>
        <w:gridCol w:w="2013"/>
        <w:gridCol w:w="1623"/>
        <w:gridCol w:w="1577"/>
      </w:tblGrid>
      <w:tr>
        <w:trPr>
          <w:trHeight w:val="723" w:hRule="exact"/>
        </w:trPr>
        <w:tc>
          <w:tcPr>
            <w:tcW w:w="2111" w:type="dxa"/>
            <w:tcBorders>
              <w:top w:val="nil" w:sz="6" w:space="0" w:color="auto"/>
              <w:left w:val="nil" w:sz="6" w:space="0" w:color="auto"/>
              <w:bottom w:val="nil" w:sz="6" w:space="0" w:color="auto"/>
              <w:right w:val="nil" w:sz="6" w:space="0" w:color="auto"/>
            </w:tcBorders>
          </w:tcPr>
          <w:p>
            <w:pPr>
              <w:pStyle w:val="TableParagraph"/>
              <w:spacing w:line="240" w:lineRule="auto" w:before="56"/>
              <w:ind w:left="64" w:right="0"/>
              <w:jc w:val="center"/>
              <w:rPr>
                <w:rFonts w:ascii="宋体" w:hAnsi="宋体" w:cs="宋体" w:eastAsia="宋体" w:hint="default"/>
                <w:sz w:val="16"/>
                <w:szCs w:val="16"/>
              </w:rPr>
            </w:pPr>
            <w:r>
              <w:rPr>
                <w:rFonts w:ascii="宋体" w:hAnsi="宋体" w:cs="宋体" w:eastAsia="宋体" w:hint="default"/>
                <w:sz w:val="16"/>
                <w:szCs w:val="16"/>
              </w:rPr>
              <w:t>项目</w:t>
            </w:r>
          </w:p>
          <w:p>
            <w:pPr>
              <w:pStyle w:val="TableParagraph"/>
              <w:spacing w:line="240" w:lineRule="auto" w:before="143"/>
              <w:ind w:left="70" w:right="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4</w:t>
            </w:r>
            <w:r>
              <w:rPr>
                <w:rFonts w:ascii="宋体" w:hAnsi="宋体" w:cs="宋体" w:eastAsia="宋体" w:hint="default"/>
                <w:sz w:val="16"/>
                <w:szCs w:val="16"/>
              </w:rPr>
              <w:t>）期末余额</w:t>
            </w:r>
          </w:p>
        </w:tc>
        <w:tc>
          <w:tcPr>
            <w:tcW w:w="2525" w:type="dxa"/>
            <w:tcBorders>
              <w:top w:val="nil" w:sz="6" w:space="0" w:color="auto"/>
              <w:left w:val="nil" w:sz="6" w:space="0" w:color="auto"/>
              <w:bottom w:val="nil" w:sz="6" w:space="0" w:color="auto"/>
              <w:right w:val="nil" w:sz="6" w:space="0" w:color="auto"/>
            </w:tcBorders>
          </w:tcPr>
          <w:p>
            <w:pPr>
              <w:pStyle w:val="TableParagraph"/>
              <w:spacing w:line="240" w:lineRule="auto" w:before="56"/>
              <w:ind w:left="681" w:right="0"/>
              <w:jc w:val="left"/>
              <w:rPr>
                <w:rFonts w:ascii="宋体" w:hAnsi="宋体" w:cs="宋体" w:eastAsia="宋体" w:hint="default"/>
                <w:sz w:val="16"/>
                <w:szCs w:val="16"/>
              </w:rPr>
            </w:pPr>
            <w:r>
              <w:rPr>
                <w:rFonts w:ascii="宋体" w:hAnsi="宋体" w:cs="宋体" w:eastAsia="宋体" w:hint="default"/>
                <w:sz w:val="16"/>
                <w:szCs w:val="16"/>
              </w:rPr>
              <w:t>房屋及建筑物</w:t>
            </w:r>
          </w:p>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1112" w:right="0"/>
              <w:jc w:val="left"/>
              <w:rPr>
                <w:rFonts w:ascii="Times New Roman" w:hAnsi="Times New Roman" w:cs="Times New Roman" w:eastAsia="Times New Roman" w:hint="default"/>
                <w:sz w:val="16"/>
                <w:szCs w:val="16"/>
              </w:rPr>
            </w:pPr>
            <w:r>
              <w:rPr>
                <w:rFonts w:ascii="Times New Roman"/>
                <w:sz w:val="16"/>
              </w:rPr>
              <w:t>258,297,892.96</w:t>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56"/>
              <w:ind w:left="411" w:right="0"/>
              <w:jc w:val="left"/>
              <w:rPr>
                <w:rFonts w:ascii="宋体" w:hAnsi="宋体" w:cs="宋体" w:eastAsia="宋体" w:hint="default"/>
                <w:sz w:val="16"/>
                <w:szCs w:val="16"/>
              </w:rPr>
            </w:pPr>
            <w:r>
              <w:rPr>
                <w:rFonts w:ascii="宋体" w:hAnsi="宋体" w:cs="宋体" w:eastAsia="宋体" w:hint="default"/>
                <w:sz w:val="16"/>
                <w:szCs w:val="16"/>
              </w:rPr>
              <w:t>机器设备</w:t>
            </w:r>
          </w:p>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658" w:right="0"/>
              <w:jc w:val="left"/>
              <w:rPr>
                <w:rFonts w:ascii="Times New Roman" w:hAnsi="Times New Roman" w:cs="Times New Roman" w:eastAsia="Times New Roman" w:hint="default"/>
                <w:sz w:val="16"/>
                <w:szCs w:val="16"/>
              </w:rPr>
            </w:pPr>
            <w:r>
              <w:rPr>
                <w:rFonts w:ascii="Times New Roman"/>
                <w:sz w:val="16"/>
              </w:rPr>
              <w:t>449,232,291.84</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56"/>
              <w:ind w:left="360" w:right="0"/>
              <w:jc w:val="left"/>
              <w:rPr>
                <w:rFonts w:ascii="宋体" w:hAnsi="宋体" w:cs="宋体" w:eastAsia="宋体" w:hint="default"/>
                <w:sz w:val="16"/>
                <w:szCs w:val="16"/>
              </w:rPr>
            </w:pPr>
            <w:r>
              <w:rPr>
                <w:rFonts w:ascii="宋体" w:hAnsi="宋体" w:cs="宋体" w:eastAsia="宋体" w:hint="default"/>
                <w:sz w:val="16"/>
                <w:szCs w:val="16"/>
              </w:rPr>
              <w:t>运输工具</w:t>
            </w:r>
          </w:p>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586" w:right="0"/>
              <w:jc w:val="left"/>
              <w:rPr>
                <w:rFonts w:ascii="Times New Roman" w:hAnsi="Times New Roman" w:cs="Times New Roman" w:eastAsia="Times New Roman" w:hint="default"/>
                <w:sz w:val="16"/>
                <w:szCs w:val="16"/>
              </w:rPr>
            </w:pPr>
            <w:r>
              <w:rPr>
                <w:rFonts w:ascii="Times New Roman"/>
                <w:sz w:val="16"/>
              </w:rPr>
              <w:t>28,339,787.90</w:t>
            </w:r>
          </w:p>
        </w:tc>
        <w:tc>
          <w:tcPr>
            <w:tcW w:w="2013"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56" w:right="0"/>
              <w:jc w:val="left"/>
              <w:rPr>
                <w:rFonts w:ascii="宋体" w:hAnsi="宋体" w:cs="宋体" w:eastAsia="宋体" w:hint="default"/>
                <w:sz w:val="16"/>
                <w:szCs w:val="16"/>
              </w:rPr>
            </w:pPr>
            <w:r>
              <w:rPr>
                <w:rFonts w:ascii="宋体" w:hAnsi="宋体" w:cs="宋体" w:eastAsia="宋体" w:hint="default"/>
                <w:sz w:val="16"/>
                <w:szCs w:val="16"/>
              </w:rPr>
              <w:t>电子设备及办公设备</w:t>
            </w:r>
          </w:p>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697" w:right="0"/>
              <w:jc w:val="left"/>
              <w:rPr>
                <w:rFonts w:ascii="Times New Roman" w:hAnsi="Times New Roman" w:cs="Times New Roman" w:eastAsia="Times New Roman" w:hint="default"/>
                <w:sz w:val="16"/>
                <w:szCs w:val="16"/>
              </w:rPr>
            </w:pPr>
            <w:r>
              <w:rPr>
                <w:rFonts w:ascii="Times New Roman"/>
                <w:sz w:val="16"/>
              </w:rPr>
              <w:t>270,255,406.58</w:t>
            </w:r>
          </w:p>
        </w:tc>
        <w:tc>
          <w:tcPr>
            <w:tcW w:w="1623" w:type="dxa"/>
            <w:tcBorders>
              <w:top w:val="nil" w:sz="6" w:space="0" w:color="auto"/>
              <w:left w:val="nil" w:sz="6" w:space="0" w:color="auto"/>
              <w:bottom w:val="nil" w:sz="6" w:space="0" w:color="auto"/>
              <w:right w:val="nil" w:sz="6" w:space="0" w:color="auto"/>
            </w:tcBorders>
          </w:tcPr>
          <w:p>
            <w:pPr>
              <w:pStyle w:val="TableParagraph"/>
              <w:spacing w:line="240" w:lineRule="auto" w:before="56"/>
              <w:ind w:left="407" w:right="0"/>
              <w:jc w:val="left"/>
              <w:rPr>
                <w:rFonts w:ascii="宋体" w:hAnsi="宋体" w:cs="宋体" w:eastAsia="宋体" w:hint="default"/>
                <w:sz w:val="16"/>
                <w:szCs w:val="16"/>
              </w:rPr>
            </w:pPr>
            <w:r>
              <w:rPr>
                <w:rFonts w:ascii="宋体" w:hAnsi="宋体" w:cs="宋体" w:eastAsia="宋体" w:hint="default"/>
                <w:sz w:val="16"/>
                <w:szCs w:val="16"/>
              </w:rPr>
              <w:t>其他</w:t>
            </w:r>
          </w:p>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315" w:right="0"/>
              <w:jc w:val="left"/>
              <w:rPr>
                <w:rFonts w:ascii="Times New Roman" w:hAnsi="Times New Roman" w:cs="Times New Roman" w:eastAsia="Times New Roman" w:hint="default"/>
                <w:sz w:val="16"/>
                <w:szCs w:val="16"/>
              </w:rPr>
            </w:pPr>
            <w:r>
              <w:rPr>
                <w:rFonts w:ascii="Times New Roman"/>
                <w:sz w:val="16"/>
              </w:rPr>
              <w:t>31,385,072.67</w:t>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56"/>
              <w:ind w:left="506" w:right="0"/>
              <w:jc w:val="left"/>
              <w:rPr>
                <w:rFonts w:ascii="宋体" w:hAnsi="宋体" w:cs="宋体" w:eastAsia="宋体" w:hint="default"/>
                <w:sz w:val="16"/>
                <w:szCs w:val="16"/>
              </w:rPr>
            </w:pPr>
            <w:r>
              <w:rPr>
                <w:rFonts w:ascii="宋体" w:hAnsi="宋体" w:cs="宋体" w:eastAsia="宋体" w:hint="default"/>
                <w:sz w:val="16"/>
                <w:szCs w:val="16"/>
              </w:rPr>
              <w:t>合计</w:t>
            </w:r>
          </w:p>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385" w:right="0"/>
              <w:jc w:val="left"/>
              <w:rPr>
                <w:rFonts w:ascii="Times New Roman" w:hAnsi="Times New Roman" w:cs="Times New Roman" w:eastAsia="Times New Roman" w:hint="default"/>
                <w:sz w:val="16"/>
                <w:szCs w:val="16"/>
              </w:rPr>
            </w:pPr>
            <w:r>
              <w:rPr>
                <w:rFonts w:ascii="Times New Roman"/>
                <w:sz w:val="16"/>
              </w:rPr>
              <w:t>1,037,510,451.95</w:t>
            </w:r>
          </w:p>
        </w:tc>
      </w:tr>
      <w:tr>
        <w:trPr>
          <w:trHeight w:val="351" w:hRule="exact"/>
        </w:trPr>
        <w:tc>
          <w:tcPr>
            <w:tcW w:w="211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宋体" w:hAnsi="宋体" w:cs="宋体" w:eastAsia="宋体" w:hint="default"/>
                <w:sz w:val="16"/>
                <w:szCs w:val="16"/>
              </w:rPr>
              <w:t>．减值准备</w:t>
            </w:r>
          </w:p>
        </w:tc>
        <w:tc>
          <w:tcPr>
            <w:tcW w:w="2525" w:type="dxa"/>
            <w:tcBorders>
              <w:top w:val="nil" w:sz="6" w:space="0" w:color="auto"/>
              <w:left w:val="nil" w:sz="6" w:space="0" w:color="auto"/>
              <w:bottom w:val="nil" w:sz="6" w:space="0" w:color="auto"/>
              <w:right w:val="nil" w:sz="6" w:space="0" w:color="auto"/>
            </w:tcBorders>
          </w:tcPr>
          <w:p>
            <w:pPr/>
          </w:p>
        </w:tc>
        <w:tc>
          <w:tcPr>
            <w:tcW w:w="2020" w:type="dxa"/>
            <w:tcBorders>
              <w:top w:val="nil" w:sz="6" w:space="0" w:color="auto"/>
              <w:left w:val="nil" w:sz="6" w:space="0" w:color="auto"/>
              <w:bottom w:val="nil" w:sz="6" w:space="0" w:color="auto"/>
              <w:right w:val="nil" w:sz="6" w:space="0" w:color="auto"/>
            </w:tcBorders>
          </w:tcPr>
          <w:p>
            <w:pPr/>
          </w:p>
        </w:tc>
        <w:tc>
          <w:tcPr>
            <w:tcW w:w="1664" w:type="dxa"/>
            <w:tcBorders>
              <w:top w:val="nil" w:sz="6" w:space="0" w:color="auto"/>
              <w:left w:val="nil" w:sz="6" w:space="0" w:color="auto"/>
              <w:bottom w:val="nil" w:sz="6" w:space="0" w:color="auto"/>
              <w:right w:val="nil" w:sz="6" w:space="0" w:color="auto"/>
            </w:tcBorders>
          </w:tcPr>
          <w:p>
            <w:pPr/>
          </w:p>
        </w:tc>
        <w:tc>
          <w:tcPr>
            <w:tcW w:w="2013" w:type="dxa"/>
            <w:tcBorders>
              <w:top w:val="nil" w:sz="6" w:space="0" w:color="auto"/>
              <w:left w:val="nil" w:sz="6" w:space="0" w:color="auto"/>
              <w:bottom w:val="nil" w:sz="6" w:space="0" w:color="auto"/>
              <w:right w:val="nil" w:sz="6" w:space="0" w:color="auto"/>
            </w:tcBorders>
          </w:tcPr>
          <w:p>
            <w:pPr/>
          </w:p>
        </w:tc>
        <w:tc>
          <w:tcPr>
            <w:tcW w:w="1623" w:type="dxa"/>
            <w:tcBorders>
              <w:top w:val="nil" w:sz="6" w:space="0" w:color="auto"/>
              <w:left w:val="nil" w:sz="6" w:space="0" w:color="auto"/>
              <w:bottom w:val="nil" w:sz="6" w:space="0" w:color="auto"/>
              <w:right w:val="nil" w:sz="6" w:space="0" w:color="auto"/>
            </w:tcBorders>
          </w:tcPr>
          <w:p>
            <w:pPr/>
          </w:p>
        </w:tc>
        <w:tc>
          <w:tcPr>
            <w:tcW w:w="1577" w:type="dxa"/>
            <w:tcBorders>
              <w:top w:val="nil" w:sz="6" w:space="0" w:color="auto"/>
              <w:left w:val="nil" w:sz="6" w:space="0" w:color="auto"/>
              <w:bottom w:val="nil" w:sz="6" w:space="0" w:color="auto"/>
              <w:right w:val="nil" w:sz="6" w:space="0" w:color="auto"/>
            </w:tcBorders>
          </w:tcPr>
          <w:p>
            <w:pPr/>
          </w:p>
        </w:tc>
      </w:tr>
      <w:tr>
        <w:trPr>
          <w:trHeight w:val="356" w:hRule="exact"/>
        </w:trPr>
        <w:tc>
          <w:tcPr>
            <w:tcW w:w="2111" w:type="dxa"/>
            <w:tcBorders>
              <w:top w:val="nil" w:sz="6" w:space="0" w:color="auto"/>
              <w:left w:val="nil" w:sz="6" w:space="0" w:color="auto"/>
              <w:bottom w:val="nil" w:sz="6" w:space="0" w:color="auto"/>
              <w:right w:val="nil" w:sz="6" w:space="0" w:color="auto"/>
            </w:tcBorders>
          </w:tcPr>
          <w:p>
            <w:pPr>
              <w:pStyle w:val="TableParagraph"/>
              <w:spacing w:line="240" w:lineRule="auto" w:before="43"/>
              <w:ind w:left="70" w:right="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1</w:t>
            </w:r>
            <w:r>
              <w:rPr>
                <w:rFonts w:ascii="宋体" w:hAnsi="宋体" w:cs="宋体" w:eastAsia="宋体" w:hint="default"/>
                <w:sz w:val="16"/>
                <w:szCs w:val="16"/>
              </w:rPr>
              <w:t>）年初余额</w:t>
            </w:r>
          </w:p>
        </w:tc>
        <w:tc>
          <w:tcPr>
            <w:tcW w:w="2525"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409"/>
              <w:jc w:val="right"/>
              <w:rPr>
                <w:rFonts w:ascii="Times New Roman" w:hAnsi="Times New Roman" w:cs="Times New Roman" w:eastAsia="Times New Roman" w:hint="default"/>
                <w:sz w:val="16"/>
                <w:szCs w:val="16"/>
              </w:rPr>
            </w:pPr>
            <w:r>
              <w:rPr>
                <w:rFonts w:ascii="Times New Roman"/>
                <w:spacing w:val="-1"/>
                <w:sz w:val="16"/>
              </w:rPr>
              <w:t>210,675.02</w:t>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358"/>
              <w:jc w:val="right"/>
              <w:rPr>
                <w:rFonts w:ascii="Times New Roman" w:hAnsi="Times New Roman" w:cs="Times New Roman" w:eastAsia="Times New Roman" w:hint="default"/>
                <w:sz w:val="16"/>
                <w:szCs w:val="16"/>
              </w:rPr>
            </w:pPr>
            <w:r>
              <w:rPr>
                <w:rFonts w:ascii="Times New Roman"/>
                <w:spacing w:val="-1"/>
                <w:sz w:val="16"/>
              </w:rPr>
              <w:t>1,050,187.78</w:t>
            </w:r>
          </w:p>
        </w:tc>
        <w:tc>
          <w:tcPr>
            <w:tcW w:w="1664" w:type="dxa"/>
            <w:tcBorders>
              <w:top w:val="nil" w:sz="6" w:space="0" w:color="auto"/>
              <w:left w:val="nil" w:sz="6" w:space="0" w:color="auto"/>
              <w:bottom w:val="nil" w:sz="6" w:space="0" w:color="auto"/>
              <w:right w:val="nil" w:sz="6" w:space="0" w:color="auto"/>
            </w:tcBorders>
          </w:tcPr>
          <w:p>
            <w:pPr/>
          </w:p>
        </w:tc>
        <w:tc>
          <w:tcPr>
            <w:tcW w:w="2013" w:type="dxa"/>
            <w:tcBorders>
              <w:top w:val="nil" w:sz="6" w:space="0" w:color="auto"/>
              <w:left w:val="nil" w:sz="6" w:space="0" w:color="auto"/>
              <w:bottom w:val="nil" w:sz="6" w:space="0" w:color="auto"/>
              <w:right w:val="nil" w:sz="6" w:space="0" w:color="auto"/>
            </w:tcBorders>
          </w:tcPr>
          <w:p>
            <w:pPr/>
          </w:p>
        </w:tc>
        <w:tc>
          <w:tcPr>
            <w:tcW w:w="1623" w:type="dxa"/>
            <w:tcBorders>
              <w:top w:val="nil" w:sz="6" w:space="0" w:color="auto"/>
              <w:left w:val="nil" w:sz="6" w:space="0" w:color="auto"/>
              <w:bottom w:val="nil" w:sz="6" w:space="0" w:color="auto"/>
              <w:right w:val="nil" w:sz="6" w:space="0" w:color="auto"/>
            </w:tcBorders>
          </w:tcPr>
          <w:p>
            <w:pP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68"/>
              <w:jc w:val="right"/>
              <w:rPr>
                <w:rFonts w:ascii="Times New Roman" w:hAnsi="Times New Roman" w:cs="Times New Roman" w:eastAsia="Times New Roman" w:hint="default"/>
                <w:sz w:val="16"/>
                <w:szCs w:val="16"/>
              </w:rPr>
            </w:pPr>
            <w:r>
              <w:rPr>
                <w:rFonts w:ascii="Times New Roman"/>
                <w:spacing w:val="-1"/>
                <w:sz w:val="16"/>
              </w:rPr>
              <w:t>1,260,862.80</w:t>
            </w:r>
          </w:p>
        </w:tc>
      </w:tr>
      <w:tr>
        <w:trPr>
          <w:trHeight w:val="353" w:hRule="exact"/>
        </w:trPr>
        <w:tc>
          <w:tcPr>
            <w:tcW w:w="211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2</w:t>
            </w:r>
            <w:r>
              <w:rPr>
                <w:rFonts w:ascii="宋体" w:hAnsi="宋体" w:cs="宋体" w:eastAsia="宋体" w:hint="default"/>
                <w:sz w:val="16"/>
                <w:szCs w:val="16"/>
              </w:rPr>
              <w:t>）本期增加金额</w:t>
            </w:r>
          </w:p>
        </w:tc>
        <w:tc>
          <w:tcPr>
            <w:tcW w:w="2525" w:type="dxa"/>
            <w:tcBorders>
              <w:top w:val="nil" w:sz="6" w:space="0" w:color="auto"/>
              <w:left w:val="nil" w:sz="6" w:space="0" w:color="auto"/>
              <w:bottom w:val="nil" w:sz="6" w:space="0" w:color="auto"/>
              <w:right w:val="nil" w:sz="6" w:space="0" w:color="auto"/>
            </w:tcBorders>
          </w:tcPr>
          <w:p>
            <w:pP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58"/>
              <w:jc w:val="right"/>
              <w:rPr>
                <w:rFonts w:ascii="Times New Roman" w:hAnsi="Times New Roman" w:cs="Times New Roman" w:eastAsia="Times New Roman" w:hint="default"/>
                <w:sz w:val="16"/>
                <w:szCs w:val="16"/>
              </w:rPr>
            </w:pPr>
            <w:r>
              <w:rPr>
                <w:rFonts w:ascii="Times New Roman"/>
                <w:spacing w:val="-1"/>
                <w:sz w:val="16"/>
              </w:rPr>
              <w:t>702,758.67</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55"/>
              <w:jc w:val="right"/>
              <w:rPr>
                <w:rFonts w:ascii="Times New Roman" w:hAnsi="Times New Roman" w:cs="Times New Roman" w:eastAsia="Times New Roman" w:hint="default"/>
                <w:sz w:val="16"/>
                <w:szCs w:val="16"/>
              </w:rPr>
            </w:pPr>
            <w:r>
              <w:rPr>
                <w:rFonts w:ascii="Times New Roman"/>
                <w:spacing w:val="-1"/>
                <w:sz w:val="16"/>
              </w:rPr>
              <w:t>19,060.02</w:t>
            </w:r>
          </w:p>
        </w:tc>
        <w:tc>
          <w:tcPr>
            <w:tcW w:w="201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13"/>
              <w:jc w:val="right"/>
              <w:rPr>
                <w:rFonts w:ascii="Times New Roman" w:hAnsi="Times New Roman" w:cs="Times New Roman" w:eastAsia="Times New Roman" w:hint="default"/>
                <w:sz w:val="16"/>
                <w:szCs w:val="16"/>
              </w:rPr>
            </w:pPr>
            <w:r>
              <w:rPr>
                <w:rFonts w:ascii="Times New Roman"/>
                <w:spacing w:val="-1"/>
                <w:sz w:val="16"/>
              </w:rPr>
              <w:t>12,341.12</w:t>
            </w:r>
          </w:p>
        </w:tc>
        <w:tc>
          <w:tcPr>
            <w:tcW w:w="1623" w:type="dxa"/>
            <w:tcBorders>
              <w:top w:val="nil" w:sz="6" w:space="0" w:color="auto"/>
              <w:left w:val="nil" w:sz="6" w:space="0" w:color="auto"/>
              <w:bottom w:val="nil" w:sz="6" w:space="0" w:color="auto"/>
              <w:right w:val="nil" w:sz="6" w:space="0" w:color="auto"/>
            </w:tcBorders>
          </w:tcPr>
          <w:p>
            <w:pP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734,159.81</w:t>
            </w:r>
          </w:p>
        </w:tc>
      </w:tr>
      <w:tr>
        <w:trPr>
          <w:trHeight w:val="353" w:hRule="exact"/>
        </w:trPr>
        <w:tc>
          <w:tcPr>
            <w:tcW w:w="211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469"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w:t>
            </w:r>
            <w:r>
              <w:rPr>
                <w:rFonts w:ascii="宋体" w:hAnsi="宋体" w:cs="宋体" w:eastAsia="宋体" w:hint="default"/>
                <w:sz w:val="16"/>
                <w:szCs w:val="16"/>
              </w:rPr>
              <w:t>计提</w:t>
            </w:r>
          </w:p>
        </w:tc>
        <w:tc>
          <w:tcPr>
            <w:tcW w:w="2525" w:type="dxa"/>
            <w:tcBorders>
              <w:top w:val="nil" w:sz="6" w:space="0" w:color="auto"/>
              <w:left w:val="nil" w:sz="6" w:space="0" w:color="auto"/>
              <w:bottom w:val="nil" w:sz="6" w:space="0" w:color="auto"/>
              <w:right w:val="nil" w:sz="6" w:space="0" w:color="auto"/>
            </w:tcBorders>
          </w:tcPr>
          <w:p>
            <w:pP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58"/>
              <w:jc w:val="right"/>
              <w:rPr>
                <w:rFonts w:ascii="Times New Roman" w:hAnsi="Times New Roman" w:cs="Times New Roman" w:eastAsia="Times New Roman" w:hint="default"/>
                <w:sz w:val="16"/>
                <w:szCs w:val="16"/>
              </w:rPr>
            </w:pPr>
            <w:r>
              <w:rPr>
                <w:rFonts w:ascii="Times New Roman"/>
                <w:spacing w:val="-1"/>
                <w:sz w:val="16"/>
              </w:rPr>
              <w:t>702,758.67</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55"/>
              <w:jc w:val="right"/>
              <w:rPr>
                <w:rFonts w:ascii="Times New Roman" w:hAnsi="Times New Roman" w:cs="Times New Roman" w:eastAsia="Times New Roman" w:hint="default"/>
                <w:sz w:val="16"/>
                <w:szCs w:val="16"/>
              </w:rPr>
            </w:pPr>
            <w:r>
              <w:rPr>
                <w:rFonts w:ascii="Times New Roman"/>
                <w:spacing w:val="-1"/>
                <w:sz w:val="16"/>
              </w:rPr>
              <w:t>19,060.02</w:t>
            </w:r>
          </w:p>
        </w:tc>
        <w:tc>
          <w:tcPr>
            <w:tcW w:w="2013"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13"/>
              <w:jc w:val="right"/>
              <w:rPr>
                <w:rFonts w:ascii="Times New Roman" w:hAnsi="Times New Roman" w:cs="Times New Roman" w:eastAsia="Times New Roman" w:hint="default"/>
                <w:sz w:val="16"/>
                <w:szCs w:val="16"/>
              </w:rPr>
            </w:pPr>
            <w:r>
              <w:rPr>
                <w:rFonts w:ascii="Times New Roman"/>
                <w:spacing w:val="-1"/>
                <w:sz w:val="16"/>
              </w:rPr>
              <w:t>12,341.12</w:t>
            </w:r>
          </w:p>
        </w:tc>
        <w:tc>
          <w:tcPr>
            <w:tcW w:w="1623" w:type="dxa"/>
            <w:tcBorders>
              <w:top w:val="nil" w:sz="6" w:space="0" w:color="auto"/>
              <w:left w:val="nil" w:sz="6" w:space="0" w:color="auto"/>
              <w:bottom w:val="nil" w:sz="6" w:space="0" w:color="auto"/>
              <w:right w:val="nil" w:sz="6" w:space="0" w:color="auto"/>
            </w:tcBorders>
          </w:tcPr>
          <w:p>
            <w:pP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734,159.81</w:t>
            </w:r>
          </w:p>
        </w:tc>
      </w:tr>
      <w:tr>
        <w:trPr>
          <w:trHeight w:val="353" w:hRule="exact"/>
        </w:trPr>
        <w:tc>
          <w:tcPr>
            <w:tcW w:w="211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3</w:t>
            </w:r>
            <w:r>
              <w:rPr>
                <w:rFonts w:ascii="宋体" w:hAnsi="宋体" w:cs="宋体" w:eastAsia="宋体" w:hint="default"/>
                <w:sz w:val="16"/>
                <w:szCs w:val="16"/>
              </w:rPr>
              <w:t>）本期减少金额</w:t>
            </w:r>
          </w:p>
        </w:tc>
        <w:tc>
          <w:tcPr>
            <w:tcW w:w="252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09"/>
              <w:jc w:val="right"/>
              <w:rPr>
                <w:rFonts w:ascii="Times New Roman" w:hAnsi="Times New Roman" w:cs="Times New Roman" w:eastAsia="Times New Roman" w:hint="default"/>
                <w:sz w:val="16"/>
                <w:szCs w:val="16"/>
              </w:rPr>
            </w:pPr>
            <w:r>
              <w:rPr>
                <w:rFonts w:ascii="Times New Roman"/>
                <w:spacing w:val="-1"/>
                <w:sz w:val="16"/>
              </w:rPr>
              <w:t>210,675.02</w:t>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58"/>
              <w:jc w:val="right"/>
              <w:rPr>
                <w:rFonts w:ascii="Times New Roman" w:hAnsi="Times New Roman" w:cs="Times New Roman" w:eastAsia="Times New Roman" w:hint="default"/>
                <w:sz w:val="16"/>
                <w:szCs w:val="16"/>
              </w:rPr>
            </w:pPr>
            <w:r>
              <w:rPr>
                <w:rFonts w:ascii="Times New Roman"/>
                <w:spacing w:val="-1"/>
                <w:w w:val="95"/>
                <w:sz w:val="16"/>
              </w:rPr>
              <w:t>116,810.62</w:t>
            </w:r>
            <w:r>
              <w:rPr>
                <w:rFonts w:ascii="Times New Roman"/>
                <w:spacing w:val="-1"/>
                <w:sz w:val="16"/>
              </w:rPr>
            </w:r>
          </w:p>
        </w:tc>
        <w:tc>
          <w:tcPr>
            <w:tcW w:w="1664" w:type="dxa"/>
            <w:tcBorders>
              <w:top w:val="nil" w:sz="6" w:space="0" w:color="auto"/>
              <w:left w:val="nil" w:sz="6" w:space="0" w:color="auto"/>
              <w:bottom w:val="nil" w:sz="6" w:space="0" w:color="auto"/>
              <w:right w:val="nil" w:sz="6" w:space="0" w:color="auto"/>
            </w:tcBorders>
          </w:tcPr>
          <w:p>
            <w:pPr/>
          </w:p>
        </w:tc>
        <w:tc>
          <w:tcPr>
            <w:tcW w:w="2013" w:type="dxa"/>
            <w:tcBorders>
              <w:top w:val="nil" w:sz="6" w:space="0" w:color="auto"/>
              <w:left w:val="nil" w:sz="6" w:space="0" w:color="auto"/>
              <w:bottom w:val="nil" w:sz="6" w:space="0" w:color="auto"/>
              <w:right w:val="nil" w:sz="6" w:space="0" w:color="auto"/>
            </w:tcBorders>
          </w:tcPr>
          <w:p>
            <w:pPr/>
          </w:p>
        </w:tc>
        <w:tc>
          <w:tcPr>
            <w:tcW w:w="1623" w:type="dxa"/>
            <w:tcBorders>
              <w:top w:val="nil" w:sz="6" w:space="0" w:color="auto"/>
              <w:left w:val="nil" w:sz="6" w:space="0" w:color="auto"/>
              <w:bottom w:val="nil" w:sz="6" w:space="0" w:color="auto"/>
              <w:right w:val="nil" w:sz="6" w:space="0" w:color="auto"/>
            </w:tcBorders>
          </w:tcPr>
          <w:p>
            <w:pP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327,485.64</w:t>
            </w:r>
          </w:p>
        </w:tc>
      </w:tr>
      <w:tr>
        <w:trPr>
          <w:trHeight w:val="353" w:hRule="exact"/>
        </w:trPr>
        <w:tc>
          <w:tcPr>
            <w:tcW w:w="211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469"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w:t>
            </w:r>
            <w:r>
              <w:rPr>
                <w:rFonts w:ascii="宋体" w:hAnsi="宋体" w:cs="宋体" w:eastAsia="宋体" w:hint="default"/>
                <w:sz w:val="16"/>
                <w:szCs w:val="16"/>
              </w:rPr>
              <w:t>处置或报废</w:t>
            </w:r>
          </w:p>
        </w:tc>
        <w:tc>
          <w:tcPr>
            <w:tcW w:w="252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09"/>
              <w:jc w:val="right"/>
              <w:rPr>
                <w:rFonts w:ascii="Times New Roman" w:hAnsi="Times New Roman" w:cs="Times New Roman" w:eastAsia="Times New Roman" w:hint="default"/>
                <w:sz w:val="16"/>
                <w:szCs w:val="16"/>
              </w:rPr>
            </w:pPr>
            <w:r>
              <w:rPr>
                <w:rFonts w:ascii="Times New Roman"/>
                <w:spacing w:val="-1"/>
                <w:sz w:val="16"/>
              </w:rPr>
              <w:t>210,675.02</w:t>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58"/>
              <w:jc w:val="right"/>
              <w:rPr>
                <w:rFonts w:ascii="Times New Roman" w:hAnsi="Times New Roman" w:cs="Times New Roman" w:eastAsia="Times New Roman" w:hint="default"/>
                <w:sz w:val="16"/>
                <w:szCs w:val="16"/>
              </w:rPr>
            </w:pPr>
            <w:r>
              <w:rPr>
                <w:rFonts w:ascii="Times New Roman"/>
                <w:spacing w:val="-1"/>
                <w:w w:val="95"/>
                <w:sz w:val="16"/>
              </w:rPr>
              <w:t>116,810.62</w:t>
            </w:r>
            <w:r>
              <w:rPr>
                <w:rFonts w:ascii="Times New Roman"/>
                <w:spacing w:val="-1"/>
                <w:sz w:val="16"/>
              </w:rPr>
            </w:r>
          </w:p>
        </w:tc>
        <w:tc>
          <w:tcPr>
            <w:tcW w:w="1664" w:type="dxa"/>
            <w:tcBorders>
              <w:top w:val="nil" w:sz="6" w:space="0" w:color="auto"/>
              <w:left w:val="nil" w:sz="6" w:space="0" w:color="auto"/>
              <w:bottom w:val="nil" w:sz="6" w:space="0" w:color="auto"/>
              <w:right w:val="nil" w:sz="6" w:space="0" w:color="auto"/>
            </w:tcBorders>
          </w:tcPr>
          <w:p>
            <w:pPr/>
          </w:p>
        </w:tc>
        <w:tc>
          <w:tcPr>
            <w:tcW w:w="2013" w:type="dxa"/>
            <w:tcBorders>
              <w:top w:val="nil" w:sz="6" w:space="0" w:color="auto"/>
              <w:left w:val="nil" w:sz="6" w:space="0" w:color="auto"/>
              <w:bottom w:val="nil" w:sz="6" w:space="0" w:color="auto"/>
              <w:right w:val="nil" w:sz="6" w:space="0" w:color="auto"/>
            </w:tcBorders>
          </w:tcPr>
          <w:p>
            <w:pPr/>
          </w:p>
        </w:tc>
        <w:tc>
          <w:tcPr>
            <w:tcW w:w="1623" w:type="dxa"/>
            <w:tcBorders>
              <w:top w:val="nil" w:sz="6" w:space="0" w:color="auto"/>
              <w:left w:val="nil" w:sz="6" w:space="0" w:color="auto"/>
              <w:bottom w:val="nil" w:sz="6" w:space="0" w:color="auto"/>
              <w:right w:val="nil" w:sz="6" w:space="0" w:color="auto"/>
            </w:tcBorders>
          </w:tcPr>
          <w:p>
            <w:pP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327,485.64</w:t>
            </w:r>
          </w:p>
        </w:tc>
      </w:tr>
      <w:tr>
        <w:trPr>
          <w:trHeight w:val="705" w:hRule="exact"/>
        </w:trPr>
        <w:tc>
          <w:tcPr>
            <w:tcW w:w="211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4</w:t>
            </w:r>
            <w:r>
              <w:rPr>
                <w:rFonts w:ascii="宋体" w:hAnsi="宋体" w:cs="宋体" w:eastAsia="宋体" w:hint="default"/>
                <w:sz w:val="16"/>
                <w:szCs w:val="16"/>
              </w:rPr>
              <w:t>）期末余额</w:t>
            </w:r>
          </w:p>
          <w:p>
            <w:pPr>
              <w:pStyle w:val="TableParagraph"/>
              <w:spacing w:line="240" w:lineRule="auto" w:before="132"/>
              <w:ind w:left="70"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4</w:t>
            </w:r>
            <w:r>
              <w:rPr>
                <w:rFonts w:ascii="宋体" w:hAnsi="宋体" w:cs="宋体" w:eastAsia="宋体" w:hint="default"/>
                <w:sz w:val="16"/>
                <w:szCs w:val="16"/>
              </w:rPr>
              <w:t>．账面价值</w:t>
            </w:r>
          </w:p>
        </w:tc>
        <w:tc>
          <w:tcPr>
            <w:tcW w:w="2525" w:type="dxa"/>
            <w:tcBorders>
              <w:top w:val="nil" w:sz="6" w:space="0" w:color="auto"/>
              <w:left w:val="nil" w:sz="6" w:space="0" w:color="auto"/>
              <w:bottom w:val="nil" w:sz="6" w:space="0" w:color="auto"/>
              <w:right w:val="nil" w:sz="6" w:space="0" w:color="auto"/>
            </w:tcBorders>
          </w:tcPr>
          <w:p>
            <w:pP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58"/>
              <w:jc w:val="right"/>
              <w:rPr>
                <w:rFonts w:ascii="Times New Roman" w:hAnsi="Times New Roman" w:cs="Times New Roman" w:eastAsia="Times New Roman" w:hint="default"/>
                <w:sz w:val="16"/>
                <w:szCs w:val="16"/>
              </w:rPr>
            </w:pPr>
            <w:r>
              <w:rPr>
                <w:rFonts w:ascii="Times New Roman"/>
                <w:spacing w:val="-1"/>
                <w:sz w:val="16"/>
              </w:rPr>
              <w:t>1,636,135.83</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55"/>
              <w:jc w:val="right"/>
              <w:rPr>
                <w:rFonts w:ascii="Times New Roman" w:hAnsi="Times New Roman" w:cs="Times New Roman" w:eastAsia="Times New Roman" w:hint="default"/>
                <w:sz w:val="16"/>
                <w:szCs w:val="16"/>
              </w:rPr>
            </w:pPr>
            <w:r>
              <w:rPr>
                <w:rFonts w:ascii="Times New Roman"/>
                <w:spacing w:val="-1"/>
                <w:sz w:val="16"/>
              </w:rPr>
              <w:t>19,060.02</w:t>
            </w:r>
          </w:p>
        </w:tc>
        <w:tc>
          <w:tcPr>
            <w:tcW w:w="2013"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13"/>
              <w:jc w:val="right"/>
              <w:rPr>
                <w:rFonts w:ascii="Times New Roman" w:hAnsi="Times New Roman" w:cs="Times New Roman" w:eastAsia="Times New Roman" w:hint="default"/>
                <w:sz w:val="16"/>
                <w:szCs w:val="16"/>
              </w:rPr>
            </w:pPr>
            <w:r>
              <w:rPr>
                <w:rFonts w:ascii="Times New Roman"/>
                <w:spacing w:val="-1"/>
                <w:sz w:val="16"/>
              </w:rPr>
              <w:t>12,341.12</w:t>
            </w:r>
          </w:p>
        </w:tc>
        <w:tc>
          <w:tcPr>
            <w:tcW w:w="1623" w:type="dxa"/>
            <w:tcBorders>
              <w:top w:val="nil" w:sz="6" w:space="0" w:color="auto"/>
              <w:left w:val="nil" w:sz="6" w:space="0" w:color="auto"/>
              <w:bottom w:val="nil" w:sz="6" w:space="0" w:color="auto"/>
              <w:right w:val="nil" w:sz="6" w:space="0" w:color="auto"/>
            </w:tcBorders>
          </w:tcPr>
          <w:p>
            <w:pP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1,667,536.97</w:t>
            </w:r>
          </w:p>
        </w:tc>
      </w:tr>
      <w:tr>
        <w:trPr>
          <w:trHeight w:val="356" w:hRule="exact"/>
        </w:trPr>
        <w:tc>
          <w:tcPr>
            <w:tcW w:w="2111" w:type="dxa"/>
            <w:tcBorders>
              <w:top w:val="nil" w:sz="6" w:space="0" w:color="auto"/>
              <w:left w:val="nil" w:sz="6" w:space="0" w:color="auto"/>
              <w:bottom w:val="nil" w:sz="6" w:space="0" w:color="auto"/>
              <w:right w:val="nil" w:sz="6" w:space="0" w:color="auto"/>
            </w:tcBorders>
          </w:tcPr>
          <w:p>
            <w:pPr>
              <w:pStyle w:val="TableParagraph"/>
              <w:spacing w:line="240" w:lineRule="auto" w:before="43"/>
              <w:ind w:left="70" w:right="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1</w:t>
            </w:r>
            <w:r>
              <w:rPr>
                <w:rFonts w:ascii="宋体" w:hAnsi="宋体" w:cs="宋体" w:eastAsia="宋体" w:hint="default"/>
                <w:sz w:val="16"/>
                <w:szCs w:val="16"/>
              </w:rPr>
              <w:t>）期末账面价值</w:t>
            </w:r>
          </w:p>
        </w:tc>
        <w:tc>
          <w:tcPr>
            <w:tcW w:w="2525"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410"/>
              <w:jc w:val="right"/>
              <w:rPr>
                <w:rFonts w:ascii="Times New Roman" w:hAnsi="Times New Roman" w:cs="Times New Roman" w:eastAsia="Times New Roman" w:hint="default"/>
                <w:sz w:val="16"/>
                <w:szCs w:val="16"/>
              </w:rPr>
            </w:pPr>
            <w:r>
              <w:rPr>
                <w:rFonts w:ascii="Times New Roman"/>
                <w:spacing w:val="-1"/>
                <w:sz w:val="16"/>
              </w:rPr>
              <w:t>1,027,725,247.70</w:t>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359"/>
              <w:jc w:val="right"/>
              <w:rPr>
                <w:rFonts w:ascii="Times New Roman" w:hAnsi="Times New Roman" w:cs="Times New Roman" w:eastAsia="Times New Roman" w:hint="default"/>
                <w:sz w:val="16"/>
                <w:szCs w:val="16"/>
              </w:rPr>
            </w:pPr>
            <w:r>
              <w:rPr>
                <w:rFonts w:ascii="Times New Roman"/>
                <w:spacing w:val="-1"/>
                <w:sz w:val="16"/>
              </w:rPr>
              <w:t>659,136,692.98</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54"/>
              <w:jc w:val="right"/>
              <w:rPr>
                <w:rFonts w:ascii="Times New Roman" w:hAnsi="Times New Roman" w:cs="Times New Roman" w:eastAsia="Times New Roman" w:hint="default"/>
                <w:sz w:val="16"/>
                <w:szCs w:val="16"/>
              </w:rPr>
            </w:pPr>
            <w:r>
              <w:rPr>
                <w:rFonts w:ascii="Times New Roman"/>
                <w:spacing w:val="-1"/>
                <w:sz w:val="16"/>
              </w:rPr>
              <w:t>12,226,507.85</w:t>
            </w:r>
          </w:p>
        </w:tc>
        <w:tc>
          <w:tcPr>
            <w:tcW w:w="2013"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313"/>
              <w:jc w:val="right"/>
              <w:rPr>
                <w:rFonts w:ascii="Times New Roman" w:hAnsi="Times New Roman" w:cs="Times New Roman" w:eastAsia="Times New Roman" w:hint="default"/>
                <w:sz w:val="16"/>
                <w:szCs w:val="16"/>
              </w:rPr>
            </w:pPr>
            <w:r>
              <w:rPr>
                <w:rFonts w:ascii="Times New Roman"/>
                <w:spacing w:val="-1"/>
                <w:sz w:val="16"/>
              </w:rPr>
              <w:t>161,011,766.03</w:t>
            </w:r>
          </w:p>
        </w:tc>
        <w:tc>
          <w:tcPr>
            <w:tcW w:w="1623" w:type="dxa"/>
            <w:tcBorders>
              <w:top w:val="nil" w:sz="6" w:space="0" w:color="auto"/>
              <w:left w:val="nil" w:sz="6" w:space="0" w:color="auto"/>
              <w:bottom w:val="nil" w:sz="6" w:space="0" w:color="auto"/>
              <w:right w:val="nil" w:sz="6" w:space="0" w:color="auto"/>
            </w:tcBorders>
          </w:tcPr>
          <w:p>
            <w:pPr>
              <w:pStyle w:val="TableParagraph"/>
              <w:spacing w:line="240" w:lineRule="auto" w:before="85"/>
              <w:ind w:left="315" w:right="0"/>
              <w:jc w:val="left"/>
              <w:rPr>
                <w:rFonts w:ascii="Times New Roman" w:hAnsi="Times New Roman" w:cs="Times New Roman" w:eastAsia="Times New Roman" w:hint="default"/>
                <w:sz w:val="16"/>
                <w:szCs w:val="16"/>
              </w:rPr>
            </w:pPr>
            <w:r>
              <w:rPr>
                <w:rFonts w:ascii="Times New Roman"/>
                <w:sz w:val="16"/>
              </w:rPr>
              <w:t>59,488,878.29</w:t>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68"/>
              <w:jc w:val="right"/>
              <w:rPr>
                <w:rFonts w:ascii="Times New Roman" w:hAnsi="Times New Roman" w:cs="Times New Roman" w:eastAsia="Times New Roman" w:hint="default"/>
                <w:sz w:val="16"/>
                <w:szCs w:val="16"/>
              </w:rPr>
            </w:pPr>
            <w:r>
              <w:rPr>
                <w:rFonts w:ascii="Times New Roman"/>
                <w:spacing w:val="-1"/>
                <w:sz w:val="16"/>
              </w:rPr>
              <w:t>1,919,589,092.85</w:t>
            </w:r>
          </w:p>
        </w:tc>
      </w:tr>
      <w:tr>
        <w:trPr>
          <w:trHeight w:val="357" w:hRule="exact"/>
        </w:trPr>
        <w:tc>
          <w:tcPr>
            <w:tcW w:w="211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2</w:t>
            </w:r>
            <w:r>
              <w:rPr>
                <w:rFonts w:ascii="宋体" w:hAnsi="宋体" w:cs="宋体" w:eastAsia="宋体" w:hint="default"/>
                <w:sz w:val="16"/>
                <w:szCs w:val="16"/>
              </w:rPr>
              <w:t>）年初账面价值</w:t>
            </w:r>
          </w:p>
        </w:tc>
        <w:tc>
          <w:tcPr>
            <w:tcW w:w="252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10"/>
              <w:jc w:val="right"/>
              <w:rPr>
                <w:rFonts w:ascii="Times New Roman" w:hAnsi="Times New Roman" w:cs="Times New Roman" w:eastAsia="Times New Roman" w:hint="default"/>
                <w:sz w:val="16"/>
                <w:szCs w:val="16"/>
              </w:rPr>
            </w:pPr>
            <w:r>
              <w:rPr>
                <w:rFonts w:ascii="Times New Roman"/>
                <w:spacing w:val="-1"/>
                <w:sz w:val="16"/>
              </w:rPr>
              <w:t>1,131,155,312.19</w:t>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59"/>
              <w:jc w:val="right"/>
              <w:rPr>
                <w:rFonts w:ascii="Times New Roman" w:hAnsi="Times New Roman" w:cs="Times New Roman" w:eastAsia="Times New Roman" w:hint="default"/>
                <w:sz w:val="16"/>
                <w:szCs w:val="16"/>
              </w:rPr>
            </w:pPr>
            <w:r>
              <w:rPr>
                <w:rFonts w:ascii="Times New Roman"/>
                <w:spacing w:val="-1"/>
                <w:sz w:val="16"/>
              </w:rPr>
              <w:t>503,989,558.38</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54"/>
              <w:jc w:val="right"/>
              <w:rPr>
                <w:rFonts w:ascii="Times New Roman" w:hAnsi="Times New Roman" w:cs="Times New Roman" w:eastAsia="Times New Roman" w:hint="default"/>
                <w:sz w:val="16"/>
                <w:szCs w:val="16"/>
              </w:rPr>
            </w:pPr>
            <w:r>
              <w:rPr>
                <w:rFonts w:ascii="Times New Roman"/>
                <w:spacing w:val="-1"/>
                <w:sz w:val="16"/>
              </w:rPr>
              <w:t>15,263,451.59</w:t>
            </w:r>
          </w:p>
        </w:tc>
        <w:tc>
          <w:tcPr>
            <w:tcW w:w="201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13"/>
              <w:jc w:val="right"/>
              <w:rPr>
                <w:rFonts w:ascii="Times New Roman" w:hAnsi="Times New Roman" w:cs="Times New Roman" w:eastAsia="Times New Roman" w:hint="default"/>
                <w:sz w:val="16"/>
                <w:szCs w:val="16"/>
              </w:rPr>
            </w:pPr>
            <w:r>
              <w:rPr>
                <w:rFonts w:ascii="Times New Roman"/>
                <w:spacing w:val="-1"/>
                <w:sz w:val="16"/>
              </w:rPr>
              <w:t>152,025,224.31</w:t>
            </w:r>
          </w:p>
        </w:tc>
        <w:tc>
          <w:tcPr>
            <w:tcW w:w="1623" w:type="dxa"/>
            <w:tcBorders>
              <w:top w:val="nil" w:sz="6" w:space="0" w:color="auto"/>
              <w:left w:val="nil" w:sz="6" w:space="0" w:color="auto"/>
              <w:bottom w:val="nil" w:sz="6" w:space="0" w:color="auto"/>
              <w:right w:val="nil" w:sz="6" w:space="0" w:color="auto"/>
            </w:tcBorders>
          </w:tcPr>
          <w:p>
            <w:pPr>
              <w:pStyle w:val="TableParagraph"/>
              <w:spacing w:line="240" w:lineRule="auto" w:before="82"/>
              <w:ind w:left="315" w:right="0"/>
              <w:jc w:val="left"/>
              <w:rPr>
                <w:rFonts w:ascii="Times New Roman" w:hAnsi="Times New Roman" w:cs="Times New Roman" w:eastAsia="Times New Roman" w:hint="default"/>
                <w:sz w:val="16"/>
                <w:szCs w:val="16"/>
              </w:rPr>
            </w:pPr>
            <w:r>
              <w:rPr>
                <w:rFonts w:ascii="Times New Roman"/>
                <w:sz w:val="16"/>
              </w:rPr>
              <w:t>57,296,074.60</w:t>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1,859,729,621.07</w:t>
            </w:r>
          </w:p>
        </w:tc>
      </w:tr>
    </w:tbl>
    <w:p>
      <w:pPr>
        <w:spacing w:line="240" w:lineRule="auto" w:before="8"/>
        <w:rPr>
          <w:rFonts w:ascii="宋体" w:hAnsi="宋体" w:cs="宋体" w:eastAsia="宋体" w:hint="default"/>
          <w:b/>
          <w:bCs/>
          <w:sz w:val="5"/>
          <w:szCs w:val="5"/>
        </w:rPr>
      </w:pPr>
    </w:p>
    <w:p>
      <w:pPr>
        <w:pStyle w:val="BodyText"/>
        <w:spacing w:line="240" w:lineRule="auto" w:before="35"/>
        <w:ind w:left="1415" w:right="0"/>
        <w:jc w:val="left"/>
      </w:pPr>
      <w:r>
        <w:rPr/>
        <w:pict>
          <v:group style="position:absolute;margin-left:101.121002pt;margin-top:-217.466309pt;width:683.05pt;height:214.6pt;mso-position-horizontal-relative:page;mso-position-vertical-relative:paragraph;z-index:-1390192" coordorigin="2022,-4349" coordsize="13661,4292">
            <v:group style="position:absolute;left:2052;top:-4334;width:2249;height:2" coordorigin="2052,-4334" coordsize="2249,2">
              <v:shape style="position:absolute;left:2052;top:-4334;width:2249;height:2" coordorigin="2052,-4334" coordsize="2249,0" path="m2052,-4334l4301,-4334e" filled="false" stroked="true" strokeweight="1.5pt" strokecolor="#000000">
                <v:path arrowok="t"/>
              </v:shape>
              <v:shape style="position:absolute;left:4301;top:-4319;width:10;height:28" type="#_x0000_t75" stroked="false">
                <v:imagedata r:id="rId186" o:title=""/>
              </v:shape>
            </v:group>
            <v:group style="position:absolute;left:4301;top:-4334;width:2117;height:2" coordorigin="4301,-4334" coordsize="2117,2">
              <v:shape style="position:absolute;left:4301;top:-4334;width:2117;height:2" coordorigin="4301,-4334" coordsize="2117,0" path="m4301,-4334l6417,-4334e" filled="false" stroked="true" strokeweight="1.5pt" strokecolor="#000000">
                <v:path arrowok="t"/>
              </v:shape>
              <v:shape style="position:absolute;left:6417;top:-4319;width:10;height:28" type="#_x0000_t75" stroked="false">
                <v:imagedata r:id="rId186" o:title=""/>
              </v:shape>
            </v:group>
            <v:group style="position:absolute;left:6417;top:-4334;width:2070;height:2" coordorigin="6417,-4334" coordsize="2070,2">
              <v:shape style="position:absolute;left:6417;top:-4334;width:2070;height:2" coordorigin="6417,-4334" coordsize="2070,0" path="m6417,-4334l8487,-4334e" filled="false" stroked="true" strokeweight="1.5pt" strokecolor="#000000">
                <v:path arrowok="t"/>
              </v:shape>
              <v:shape style="position:absolute;left:8487;top:-4319;width:10;height:28" type="#_x0000_t75" stroked="false">
                <v:imagedata r:id="rId186" o:title=""/>
              </v:shape>
            </v:group>
            <v:group style="position:absolute;left:8487;top:-4334;width:1868;height:2" coordorigin="8487,-4334" coordsize="1868,2">
              <v:shape style="position:absolute;left:8487;top:-4334;width:1868;height:2" coordorigin="8487,-4334" coordsize="1868,0" path="m8487,-4334l10355,-4334e" filled="false" stroked="true" strokeweight="1.5pt" strokecolor="#000000">
                <v:path arrowok="t"/>
              </v:shape>
              <v:shape style="position:absolute;left:10355;top:-4319;width:10;height:28" type="#_x0000_t75" stroked="false">
                <v:imagedata r:id="rId186" o:title=""/>
              </v:shape>
            </v:group>
            <v:group style="position:absolute;left:10355;top:-4334;width:30;height:2" coordorigin="10355,-4334" coordsize="30,2">
              <v:shape style="position:absolute;left:10355;top:-4334;width:30;height:2" coordorigin="10355,-4334" coordsize="30,0" path="m10355,-4334l10385,-4334e" filled="false" stroked="true" strokeweight="1.5pt" strokecolor="#000000">
                <v:path arrowok="t"/>
              </v:shape>
            </v:group>
            <v:group style="position:absolute;left:10385;top:-4334;width:1827;height:2" coordorigin="10385,-4334" coordsize="1827,2">
              <v:shape style="position:absolute;left:10385;top:-4334;width:1827;height:2" coordorigin="10385,-4334" coordsize="1827,0" path="m10385,-4334l12211,-4334e" filled="false" stroked="true" strokeweight="1.5pt" strokecolor="#000000">
                <v:path arrowok="t"/>
              </v:shape>
              <v:shape style="position:absolute;left:12211;top:-4319;width:10;height:28" type="#_x0000_t75" stroked="false">
                <v:imagedata r:id="rId186" o:title=""/>
              </v:shape>
            </v:group>
            <v:group style="position:absolute;left:12211;top:-4334;width:1552;height:2" coordorigin="12211,-4334" coordsize="1552,2">
              <v:shape style="position:absolute;left:12211;top:-4334;width:1552;height:2" coordorigin="12211,-4334" coordsize="1552,0" path="m12211,-4334l13763,-4334e" filled="false" stroked="true" strokeweight="1.5pt" strokecolor="#000000">
                <v:path arrowok="t"/>
              </v:shape>
              <v:shape style="position:absolute;left:13763;top:-4319;width:10;height:28" type="#_x0000_t75" stroked="false">
                <v:imagedata r:id="rId186" o:title=""/>
              </v:shape>
            </v:group>
            <v:group style="position:absolute;left:13763;top:-4334;width:1898;height:2" coordorigin="13763,-4334" coordsize="1898,2">
              <v:shape style="position:absolute;left:13763;top:-4334;width:1898;height:2" coordorigin="13763,-4334" coordsize="1898,0" path="m13763,-4334l15660,-4334e" filled="false" stroked="true" strokeweight="1.5pt" strokecolor="#000000">
                <v:path arrowok="t"/>
              </v:shape>
              <v:shape style="position:absolute;left:4281;top:-4311;width:9510;height:354" type="#_x0000_t75" stroked="false">
                <v:imagedata r:id="rId187" o:title=""/>
              </v:shape>
            </v:group>
            <v:group style="position:absolute;left:2037;top:-73;width:2264;height:2" coordorigin="2037,-73" coordsize="2264,2">
              <v:shape style="position:absolute;left:2037;top:-73;width:2264;height:2" coordorigin="2037,-73" coordsize="2264,0" path="m2037,-73l4301,-73e" filled="false" stroked="true" strokeweight="1.5pt" strokecolor="#000000">
                <v:path arrowok="t"/>
              </v:shape>
            </v:group>
            <v:group style="position:absolute;left:4301;top:-73;width:2117;height:2" coordorigin="4301,-73" coordsize="2117,2">
              <v:shape style="position:absolute;left:4301;top:-73;width:2117;height:2" coordorigin="4301,-73" coordsize="2117,0" path="m4301,-73l6417,-73e" filled="false" stroked="true" strokeweight="1.5pt" strokecolor="#000000">
                <v:path arrowok="t"/>
              </v:shape>
            </v:group>
            <v:group style="position:absolute;left:6417;top:-73;width:2070;height:2" coordorigin="6417,-73" coordsize="2070,2">
              <v:shape style="position:absolute;left:6417;top:-73;width:2070;height:2" coordorigin="6417,-73" coordsize="2070,0" path="m6417,-73l8487,-73e" filled="false" stroked="true" strokeweight="1.5pt" strokecolor="#000000">
                <v:path arrowok="t"/>
              </v:shape>
            </v:group>
            <v:group style="position:absolute;left:8487;top:-73;width:1868;height:2" coordorigin="8487,-73" coordsize="1868,2">
              <v:shape style="position:absolute;left:8487;top:-73;width:1868;height:2" coordorigin="8487,-73" coordsize="1868,0" path="m8487,-73l10355,-73e" filled="false" stroked="true" strokeweight="1.5pt" strokecolor="#000000">
                <v:path arrowok="t"/>
              </v:shape>
            </v:group>
            <v:group style="position:absolute;left:10355;top:-73;width:30;height:2" coordorigin="10355,-73" coordsize="30,2">
              <v:shape style="position:absolute;left:10355;top:-73;width:30;height:2" coordorigin="10355,-73" coordsize="30,0" path="m10355,-73l10385,-73e" filled="false" stroked="true" strokeweight="1.5pt" strokecolor="#000000">
                <v:path arrowok="t"/>
              </v:shape>
            </v:group>
            <v:group style="position:absolute;left:10385;top:-73;width:1827;height:2" coordorigin="10385,-73" coordsize="1827,2">
              <v:shape style="position:absolute;left:10385;top:-73;width:1827;height:2" coordorigin="10385,-73" coordsize="1827,0" path="m10385,-73l12211,-73e" filled="false" stroked="true" strokeweight="1.5pt" strokecolor="#000000">
                <v:path arrowok="t"/>
              </v:shape>
            </v:group>
            <v:group style="position:absolute;left:12211;top:-73;width:1552;height:2" coordorigin="12211,-73" coordsize="1552,2">
              <v:shape style="position:absolute;left:12211;top:-73;width:1552;height:2" coordorigin="12211,-73" coordsize="1552,0" path="m12211,-73l13763,-73e" filled="false" stroked="true" strokeweight="1.5pt" strokecolor="#000000">
                <v:path arrowok="t"/>
              </v:shape>
              <v:shape style="position:absolute;left:2033;top:-3995;width:13650;height:3907" type="#_x0000_t75" stroked="false">
                <v:imagedata r:id="rId188" o:title=""/>
              </v:shape>
            </v:group>
            <v:group style="position:absolute;left:13763;top:-73;width:1898;height:2" coordorigin="13763,-73" coordsize="1898,2">
              <v:shape style="position:absolute;left:13763;top:-73;width:1898;height:2" coordorigin="13763,-73" coordsize="1898,0" path="m13763,-73l15660,-73e" filled="false" stroked="true" strokeweight="1.5pt" strokecolor="#000000">
                <v:path arrowok="t"/>
              </v:shape>
            </v:group>
            <w10:wrap type="none"/>
          </v:group>
        </w:pict>
      </w:r>
      <w:r>
        <w:rPr/>
        <w:t>说明：其他减少系本期汇率变动的影响。</w:t>
      </w:r>
    </w:p>
    <w:p>
      <w:pPr>
        <w:spacing w:after="0" w:line="240" w:lineRule="auto"/>
        <w:jc w:val="left"/>
        <w:sectPr>
          <w:pgSz w:w="16840" w:h="11910" w:orient="landscape"/>
          <w:pgMar w:header="1302" w:footer="998" w:top="1520" w:bottom="1180" w:left="1300" w:right="1040"/>
        </w:sectPr>
      </w:pPr>
    </w:p>
    <w:p>
      <w:pPr>
        <w:spacing w:line="240" w:lineRule="auto" w:before="8"/>
        <w:rPr>
          <w:rFonts w:ascii="宋体" w:hAnsi="宋体" w:cs="宋体" w:eastAsia="宋体" w:hint="default"/>
          <w:sz w:val="13"/>
          <w:szCs w:val="13"/>
        </w:rPr>
      </w:pPr>
    </w:p>
    <w:p>
      <w:pPr>
        <w:pStyle w:val="Heading5"/>
        <w:tabs>
          <w:tab w:pos="1397" w:val="left" w:leader="none"/>
        </w:tabs>
        <w:spacing w:line="240" w:lineRule="auto"/>
        <w:ind w:left="846" w:right="3681"/>
        <w:jc w:val="left"/>
        <w:rPr>
          <w:b w:val="0"/>
          <w:bCs w:val="0"/>
        </w:rPr>
      </w:pPr>
      <w:r>
        <w:rPr>
          <w:rFonts w:ascii="Times New Roman" w:hAnsi="Times New Roman" w:cs="Times New Roman" w:eastAsia="Times New Roman" w:hint="default"/>
          <w:w w:val="95"/>
        </w:rPr>
        <w:t>3</w:t>
      </w:r>
      <w:r>
        <w:rPr>
          <w:w w:val="95"/>
        </w:rPr>
        <w:t>、</w:t>
        <w:tab/>
      </w:r>
      <w:r>
        <w:rPr/>
        <w:t>未办妥产权证书的固定资产情况</w:t>
      </w:r>
      <w:r>
        <w:rPr>
          <w:b w:val="0"/>
          <w:bCs w:val="0"/>
        </w:rPr>
      </w:r>
    </w:p>
    <w:p>
      <w:pPr>
        <w:spacing w:line="757" w:lineRule="exact"/>
        <w:ind w:left="720" w:right="0" w:firstLine="0"/>
        <w:rPr>
          <w:rFonts w:ascii="宋体" w:hAnsi="宋体" w:cs="宋体" w:eastAsia="宋体" w:hint="default"/>
          <w:sz w:val="20"/>
          <w:szCs w:val="20"/>
        </w:rPr>
      </w:pPr>
      <w:r>
        <w:rPr>
          <w:rFonts w:ascii="宋体" w:hAnsi="宋体" w:cs="宋体" w:eastAsia="宋体" w:hint="default"/>
          <w:position w:val="-14"/>
          <w:sz w:val="20"/>
          <w:szCs w:val="20"/>
        </w:rPr>
        <w:pict>
          <v:group style="width:411.7pt;height:37.9pt;mso-position-horizontal-relative:char;mso-position-vertical-relative:line" coordorigin="0,0" coordsize="8234,758">
            <v:group style="position:absolute;left:29;top:15;width:2494;height:2" coordorigin="29,15" coordsize="2494,2">
              <v:shape style="position:absolute;left:29;top:15;width:2494;height:2" coordorigin="29,15" coordsize="2494,0" path="m29,15l2523,15e" filled="false" stroked="true" strokeweight="1.5pt" strokecolor="#000000">
                <v:path arrowok="t"/>
              </v:shape>
              <v:shape style="position:absolute;left:2523;top:30;width:10;height:28" type="#_x0000_t75" stroked="false">
                <v:imagedata r:id="rId39" o:title=""/>
              </v:shape>
            </v:group>
            <v:group style="position:absolute;left:2523;top:15;width:2246;height:2" coordorigin="2523,15" coordsize="2246,2">
              <v:shape style="position:absolute;left:2523;top:15;width:2246;height:2" coordorigin="2523,15" coordsize="2246,0" path="m2523,15l4768,15e" filled="false" stroked="true" strokeweight="1.5pt" strokecolor="#000000">
                <v:path arrowok="t"/>
              </v:shape>
              <v:shape style="position:absolute;left:4768;top:30;width:10;height:28" type="#_x0000_t75" stroked="false">
                <v:imagedata r:id="rId39" o:title=""/>
              </v:shape>
            </v:group>
            <v:group style="position:absolute;left:4768;top:15;width:3449;height:2" coordorigin="4768,15" coordsize="3449,2">
              <v:shape style="position:absolute;left:4768;top:15;width:3449;height:2" coordorigin="4768,15" coordsize="3449,0" path="m4768,15l8217,15e" filled="false" stroked="true" strokeweight="1.5pt" strokecolor="#000000">
                <v:path arrowok="t"/>
              </v:shape>
            </v:group>
            <v:group style="position:absolute;left:15;top:742;width:2508;height:2" coordorigin="15,742" coordsize="2508,2">
              <v:shape style="position:absolute;left:15;top:742;width:2508;height:2" coordorigin="15,742" coordsize="2508,0" path="m15,742l2523,742e" filled="false" stroked="true" strokeweight="1.5pt" strokecolor="#000000">
                <v:path arrowok="t"/>
              </v:shape>
            </v:group>
            <v:group style="position:absolute;left:2523;top:742;width:2246;height:2" coordorigin="2523,742" coordsize="2246,2">
              <v:shape style="position:absolute;left:2523;top:742;width:2246;height:2" coordorigin="2523,742" coordsize="2246,0" path="m2523,742l4768,742e" filled="false" stroked="true" strokeweight="1.5pt" strokecolor="#000000">
                <v:path arrowok="t"/>
              </v:shape>
              <v:shape style="position:absolute;left:10;top:38;width:8224;height:689" type="#_x0000_t75" stroked="false">
                <v:imagedata r:id="rId191" o:title=""/>
              </v:shape>
            </v:group>
            <v:group style="position:absolute;left:4768;top:742;width:3449;height:2" coordorigin="4768,742" coordsize="3449,2">
              <v:shape style="position:absolute;left:4768;top:742;width:3449;height:2" coordorigin="4768,742" coordsize="3449,0" path="m4768,742l8217,742e" filled="false" stroked="true" strokeweight="1.5pt" strokecolor="#000000">
                <v:path arrowok="t"/>
              </v:shape>
              <v:shape style="position:absolute;left:1118;top:121;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项目</w:t>
                      </w:r>
                      <w:r>
                        <w:rPr>
                          <w:rFonts w:ascii="宋体" w:hAnsi="宋体" w:cs="宋体" w:eastAsia="宋体" w:hint="default"/>
                          <w:sz w:val="16"/>
                          <w:szCs w:val="16"/>
                        </w:rPr>
                      </w:r>
                    </w:p>
                  </w:txbxContent>
                </v:textbox>
                <w10:wrap type="none"/>
              </v:shape>
              <v:shape style="position:absolute;left:3329;top:121;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账面价值</w:t>
                      </w:r>
                      <w:r>
                        <w:rPr>
                          <w:rFonts w:ascii="宋体" w:hAnsi="宋体" w:cs="宋体" w:eastAsia="宋体" w:hint="default"/>
                          <w:sz w:val="16"/>
                          <w:szCs w:val="16"/>
                        </w:rPr>
                      </w:r>
                    </w:p>
                  </w:txbxContent>
                </v:textbox>
                <w10:wrap type="none"/>
              </v:shape>
              <v:shape style="position:absolute;left:5695;top:121;width:159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未办妥产权证书的原因</w:t>
                      </w:r>
                      <w:r>
                        <w:rPr>
                          <w:rFonts w:ascii="宋体" w:hAnsi="宋体" w:cs="宋体" w:eastAsia="宋体" w:hint="default"/>
                          <w:sz w:val="16"/>
                          <w:szCs w:val="16"/>
                        </w:rPr>
                      </w:r>
                    </w:p>
                  </w:txbxContent>
                </v:textbox>
                <w10:wrap type="none"/>
              </v:shape>
              <v:shape style="position:absolute;left:137;top:475;width:95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房屋及建筑物</w:t>
                      </w:r>
                      <w:r>
                        <w:rPr>
                          <w:rFonts w:ascii="宋体" w:hAnsi="宋体" w:cs="宋体" w:eastAsia="宋体" w:hint="default"/>
                          <w:sz w:val="16"/>
                          <w:szCs w:val="16"/>
                        </w:rPr>
                      </w:r>
                    </w:p>
                  </w:txbxContent>
                </v:textbox>
                <w10:wrap type="none"/>
              </v:shape>
              <v:shape style="position:absolute;left:3665;top:475;width:2015;height:174" type="#_x0000_t202" filled="false" stroked="false">
                <v:textbox inset="0,0,0,0">
                  <w:txbxContent>
                    <w:p>
                      <w:pPr>
                        <w:tabs>
                          <w:tab w:pos="1215" w:val="left" w:leader="none"/>
                        </w:tabs>
                        <w:spacing w:line="173" w:lineRule="exact" w:before="0"/>
                        <w:ind w:left="0" w:right="0" w:firstLine="0"/>
                        <w:jc w:val="left"/>
                        <w:rPr>
                          <w:rFonts w:ascii="宋体" w:hAnsi="宋体" w:cs="宋体" w:eastAsia="宋体" w:hint="default"/>
                          <w:sz w:val="16"/>
                          <w:szCs w:val="16"/>
                        </w:rPr>
                      </w:pPr>
                      <w:r>
                        <w:rPr>
                          <w:rFonts w:ascii="Times New Roman" w:hAnsi="Times New Roman" w:cs="Times New Roman" w:eastAsia="Times New Roman" w:hint="default"/>
                          <w:spacing w:val="-1"/>
                          <w:sz w:val="16"/>
                          <w:szCs w:val="16"/>
                        </w:rPr>
                        <w:t>344,037,977.18</w:t>
                        <w:tab/>
                      </w:r>
                      <w:r>
                        <w:rPr>
                          <w:rFonts w:ascii="宋体" w:hAnsi="宋体" w:cs="宋体" w:eastAsia="宋体" w:hint="default"/>
                          <w:w w:val="95"/>
                          <w:sz w:val="16"/>
                          <w:szCs w:val="16"/>
                        </w:rPr>
                        <w:t>正在办理中</w:t>
                      </w:r>
                      <w:r>
                        <w:rPr>
                          <w:rFonts w:ascii="宋体" w:hAnsi="宋体" w:cs="宋体" w:eastAsia="宋体" w:hint="default"/>
                          <w:sz w:val="16"/>
                          <w:szCs w:val="16"/>
                        </w:rPr>
                      </w:r>
                    </w:p>
                  </w:txbxContent>
                </v:textbox>
                <w10:wrap type="none"/>
              </v:shape>
            </v:group>
          </v:group>
        </w:pict>
      </w:r>
      <w:r>
        <w:rPr>
          <w:rFonts w:ascii="宋体" w:hAnsi="宋体" w:cs="宋体" w:eastAsia="宋体" w:hint="default"/>
          <w:position w:val="-14"/>
          <w:sz w:val="20"/>
          <w:szCs w:val="20"/>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6"/>
          <w:szCs w:val="16"/>
        </w:rPr>
      </w:pPr>
    </w:p>
    <w:p>
      <w:pPr>
        <w:pStyle w:val="Heading5"/>
        <w:spacing w:line="240" w:lineRule="auto"/>
        <w:ind w:right="3681"/>
        <w:jc w:val="left"/>
        <w:rPr>
          <w:b w:val="0"/>
          <w:bCs w:val="0"/>
        </w:rPr>
      </w:pPr>
      <w:r>
        <w:rPr>
          <w:rFonts w:ascii="Times New Roman" w:hAnsi="Times New Roman" w:cs="Times New Roman" w:eastAsia="Times New Roman" w:hint="default"/>
        </w:rPr>
        <w:t>(</w:t>
      </w:r>
      <w:r>
        <w:rPr/>
        <w:t>十三</w:t>
      </w:r>
      <w:r>
        <w:rPr>
          <w:rFonts w:ascii="Times New Roman" w:hAnsi="Times New Roman" w:cs="Times New Roman" w:eastAsia="Times New Roman" w:hint="default"/>
        </w:rPr>
        <w:t>) </w:t>
      </w:r>
      <w:r>
        <w:rPr>
          <w:rFonts w:ascii="Times New Roman" w:hAnsi="Times New Roman" w:cs="Times New Roman" w:eastAsia="Times New Roman" w:hint="default"/>
          <w:spacing w:val="46"/>
        </w:rPr>
        <w:t> </w:t>
      </w:r>
      <w:r>
        <w:rPr/>
        <w:t>在建工程</w:t>
      </w:r>
      <w:r>
        <w:rPr>
          <w:b w:val="0"/>
          <w:bCs w:val="0"/>
        </w:rPr>
      </w:r>
    </w:p>
    <w:p>
      <w:pPr>
        <w:pStyle w:val="Heading5"/>
        <w:tabs>
          <w:tab w:pos="1397" w:val="left" w:leader="none"/>
        </w:tabs>
        <w:spacing w:line="240" w:lineRule="auto" w:before="109"/>
        <w:ind w:left="846" w:right="3681"/>
        <w:jc w:val="left"/>
        <w:rPr>
          <w:b w:val="0"/>
          <w:bCs w:val="0"/>
        </w:rPr>
      </w:pPr>
      <w:r>
        <w:rPr>
          <w:rFonts w:ascii="Times New Roman" w:hAnsi="Times New Roman" w:cs="Times New Roman" w:eastAsia="Times New Roman" w:hint="default"/>
          <w:w w:val="95"/>
        </w:rPr>
        <w:t>1</w:t>
      </w:r>
      <w:r>
        <w:rPr>
          <w:w w:val="95"/>
        </w:rPr>
        <w:t>、</w:t>
        <w:tab/>
      </w:r>
      <w:r>
        <w:rPr/>
        <w:t>在建工程及工程物资</w:t>
      </w:r>
      <w:r>
        <w:rPr>
          <w:b w:val="0"/>
          <w:bCs w:val="0"/>
        </w:rPr>
      </w:r>
    </w:p>
    <w:p>
      <w:pPr>
        <w:spacing w:line="1464" w:lineRule="exact"/>
        <w:ind w:left="720" w:right="0" w:firstLine="0"/>
        <w:rPr>
          <w:rFonts w:ascii="宋体" w:hAnsi="宋体" w:cs="宋体" w:eastAsia="宋体" w:hint="default"/>
          <w:sz w:val="20"/>
          <w:szCs w:val="20"/>
        </w:rPr>
      </w:pPr>
      <w:r>
        <w:rPr>
          <w:rFonts w:ascii="宋体" w:hAnsi="宋体" w:cs="宋体" w:eastAsia="宋体" w:hint="default"/>
          <w:position w:val="-28"/>
          <w:sz w:val="20"/>
          <w:szCs w:val="20"/>
        </w:rPr>
        <w:pict>
          <v:group style="width:411.85pt;height:73.2pt;mso-position-horizontal-relative:char;mso-position-vertical-relative:line" coordorigin="0,0" coordsize="8237,1464">
            <v:group style="position:absolute;left:29;top:15;width:3440;height:2" coordorigin="29,15" coordsize="3440,2">
              <v:shape style="position:absolute;left:29;top:15;width:3440;height:2" coordorigin="29,15" coordsize="3440,0" path="m29,15l3469,15e" filled="false" stroked="true" strokeweight="1.5pt" strokecolor="#000000">
                <v:path arrowok="t"/>
              </v:shape>
              <v:shape style="position:absolute;left:3469;top:30;width:10;height:28" type="#_x0000_t75" stroked="false">
                <v:imagedata r:id="rId192" o:title=""/>
              </v:shape>
            </v:group>
            <v:group style="position:absolute;left:3469;top:15;width:2387;height:2" coordorigin="3469,15" coordsize="2387,2">
              <v:shape style="position:absolute;left:3469;top:15;width:2387;height:2" coordorigin="3469,15" coordsize="2387,0" path="m3469,15l5855,15e" filled="false" stroked="true" strokeweight="1.5pt" strokecolor="#000000">
                <v:path arrowok="t"/>
              </v:shape>
              <v:shape style="position:absolute;left:5855;top:30;width:10;height:28" type="#_x0000_t75" stroked="false">
                <v:imagedata r:id="rId192" o:title=""/>
              </v:shape>
            </v:group>
            <v:group style="position:absolute;left:5855;top:15;width:30;height:2" coordorigin="5855,15" coordsize="30,2">
              <v:shape style="position:absolute;left:5855;top:15;width:30;height:2" coordorigin="5855,15" coordsize="30,0" path="m5855,15l5885,15e" filled="false" stroked="true" strokeweight="1.5pt" strokecolor="#000000">
                <v:path arrowok="t"/>
              </v:shape>
            </v:group>
            <v:group style="position:absolute;left:5885;top:15;width:2332;height:2" coordorigin="5885,15" coordsize="2332,2">
              <v:shape style="position:absolute;left:5885;top:15;width:2332;height:2" coordorigin="5885,15" coordsize="2332,0" path="m5885,15l8217,15e" filled="false" stroked="true" strokeweight="1.5pt" strokecolor="#000000">
                <v:path arrowok="t"/>
              </v:shape>
              <v:shape style="position:absolute;left:3449;top:38;width:2435;height:354" type="#_x0000_t75" stroked="false">
                <v:imagedata r:id="rId193" o:title=""/>
              </v:shape>
            </v:group>
            <v:group style="position:absolute;left:15;top:1449;width:3454;height:2" coordorigin="15,1449" coordsize="3454,2">
              <v:shape style="position:absolute;left:15;top:1449;width:3454;height:2" coordorigin="15,1449" coordsize="3454,0" path="m15,1449l3469,1449e" filled="false" stroked="true" strokeweight="1.5pt" strokecolor="#000000">
                <v:path arrowok="t"/>
              </v:shape>
            </v:group>
            <v:group style="position:absolute;left:3469;top:1449;width:2387;height:2" coordorigin="3469,1449" coordsize="2387,2">
              <v:shape style="position:absolute;left:3469;top:1449;width:2387;height:2" coordorigin="3469,1449" coordsize="2387,0" path="m3469,1449l5855,1449e" filled="false" stroked="true" strokeweight="1.5pt" strokecolor="#000000">
                <v:path arrowok="t"/>
              </v:shape>
              <v:shape style="position:absolute;left:10;top:354;width:8226;height:1080" type="#_x0000_t75" stroked="false">
                <v:imagedata r:id="rId194" o:title=""/>
              </v:shape>
            </v:group>
            <v:group style="position:absolute;left:5855;top:1449;width:30;height:2" coordorigin="5855,1449" coordsize="30,2">
              <v:shape style="position:absolute;left:5855;top:1449;width:30;height:2" coordorigin="5855,1449" coordsize="30,0" path="m5855,1449l5885,1449e" filled="false" stroked="true" strokeweight="1.5pt" strokecolor="#000000">
                <v:path arrowok="t"/>
              </v:shape>
            </v:group>
            <v:group style="position:absolute;left:5885;top:1449;width:2332;height:2" coordorigin="5885,1449" coordsize="2332,2">
              <v:shape style="position:absolute;left:5885;top:1449;width:2332;height:2" coordorigin="5885,1449" coordsize="2332,0" path="m5885,1449l8217,1449e" filled="false" stroked="true" strokeweight="1.5pt" strokecolor="#000000">
                <v:path arrowok="t"/>
              </v:shape>
              <v:shape style="position:absolute;left:1591;top:121;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项目</w:t>
                      </w:r>
                      <w:r>
                        <w:rPr>
                          <w:rFonts w:ascii="宋体" w:hAnsi="宋体" w:cs="宋体" w:eastAsia="宋体" w:hint="default"/>
                          <w:sz w:val="16"/>
                          <w:szCs w:val="16"/>
                        </w:rPr>
                      </w:r>
                    </w:p>
                  </w:txbxContent>
                </v:textbox>
                <w10:wrap type="none"/>
              </v:shape>
              <v:shape style="position:absolute;left:4347;top:121;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6718;top:121;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年初余额</w:t>
                      </w:r>
                      <w:r>
                        <w:rPr>
                          <w:rFonts w:ascii="宋体" w:hAnsi="宋体" w:cs="宋体" w:eastAsia="宋体" w:hint="default"/>
                          <w:sz w:val="16"/>
                          <w:szCs w:val="16"/>
                        </w:rPr>
                      </w:r>
                    </w:p>
                  </w:txbxContent>
                </v:textbox>
                <w10:wrap type="none"/>
              </v:shape>
              <v:shape style="position:absolute;left:137;top:475;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在建工程</w:t>
                      </w:r>
                      <w:r>
                        <w:rPr>
                          <w:rFonts w:ascii="宋体" w:hAnsi="宋体" w:cs="宋体" w:eastAsia="宋体" w:hint="default"/>
                          <w:sz w:val="16"/>
                          <w:szCs w:val="16"/>
                        </w:rPr>
                      </w:r>
                    </w:p>
                  </w:txbxContent>
                </v:textbox>
                <w10:wrap type="none"/>
              </v:shape>
              <v:shape style="position:absolute;left:4633;top:488;width:112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2,208,899,418.95</w:t>
                      </w:r>
                      <w:r>
                        <w:rPr>
                          <w:rFonts w:ascii="Times New Roman"/>
                          <w:sz w:val="16"/>
                        </w:rPr>
                      </w:r>
                    </w:p>
                  </w:txbxContent>
                </v:textbox>
                <w10:wrap type="none"/>
              </v:shape>
              <v:shape style="position:absolute;left:6989;top:488;width:112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1,779,694,872.54</w:t>
                      </w:r>
                      <w:r>
                        <w:rPr>
                          <w:rFonts w:ascii="Times New Roman"/>
                          <w:sz w:val="16"/>
                        </w:rPr>
                      </w:r>
                    </w:p>
                  </w:txbxContent>
                </v:textbox>
                <w10:wrap type="none"/>
              </v:shape>
              <v:shape style="position:absolute;left:137;top:82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工程物资</w:t>
                      </w:r>
                      <w:r>
                        <w:rPr>
                          <w:rFonts w:ascii="宋体" w:hAnsi="宋体" w:cs="宋体" w:eastAsia="宋体" w:hint="default"/>
                          <w:sz w:val="16"/>
                          <w:szCs w:val="16"/>
                        </w:rPr>
                      </w:r>
                    </w:p>
                  </w:txbxContent>
                </v:textbox>
                <w10:wrap type="none"/>
              </v:shape>
              <v:shape style="position:absolute;left:1591;top:1182;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合计</w:t>
                      </w:r>
                      <w:r>
                        <w:rPr>
                          <w:rFonts w:ascii="宋体" w:hAnsi="宋体" w:cs="宋体" w:eastAsia="宋体" w:hint="default"/>
                          <w:sz w:val="16"/>
                          <w:szCs w:val="16"/>
                        </w:rPr>
                      </w:r>
                    </w:p>
                  </w:txbxContent>
                </v:textbox>
                <w10:wrap type="none"/>
              </v:shape>
              <v:shape style="position:absolute;left:4633;top:1195;width:112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2,208,899,418.95</w:t>
                      </w:r>
                      <w:r>
                        <w:rPr>
                          <w:rFonts w:ascii="Times New Roman"/>
                          <w:sz w:val="16"/>
                        </w:rPr>
                      </w:r>
                    </w:p>
                  </w:txbxContent>
                </v:textbox>
                <w10:wrap type="none"/>
              </v:shape>
              <v:shape style="position:absolute;left:6989;top:1195;width:112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1,779,694,872.54</w:t>
                      </w:r>
                      <w:r>
                        <w:rPr>
                          <w:rFonts w:ascii="Times New Roman"/>
                          <w:sz w:val="16"/>
                        </w:rPr>
                      </w:r>
                    </w:p>
                  </w:txbxContent>
                </v:textbox>
                <w10:wrap type="none"/>
              </v:shape>
            </v:group>
          </v:group>
        </w:pict>
      </w:r>
      <w:r>
        <w:rPr>
          <w:rFonts w:ascii="宋体" w:hAnsi="宋体" w:cs="宋体" w:eastAsia="宋体" w:hint="default"/>
          <w:position w:val="-28"/>
          <w:sz w:val="20"/>
          <w:szCs w:val="20"/>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6"/>
          <w:szCs w:val="16"/>
        </w:rPr>
      </w:pPr>
    </w:p>
    <w:p>
      <w:pPr>
        <w:pStyle w:val="Heading5"/>
        <w:tabs>
          <w:tab w:pos="1397" w:val="left" w:leader="none"/>
        </w:tabs>
        <w:spacing w:line="240" w:lineRule="auto"/>
        <w:ind w:left="846" w:right="3681"/>
        <w:jc w:val="left"/>
        <w:rPr>
          <w:b w:val="0"/>
          <w:bCs w:val="0"/>
        </w:rPr>
      </w:pPr>
      <w:r>
        <w:rPr/>
        <w:pict>
          <v:group style="position:absolute;margin-left:119.010002pt;margin-top:17.073811pt;width:411.7pt;height:258.1500pt;mso-position-horizontal-relative:page;mso-position-vertical-relative:paragraph;z-index:-1389712" coordorigin="2380,341" coordsize="8234,5163">
            <v:group style="position:absolute;left:2410;top:356;width:1331;height:2" coordorigin="2410,356" coordsize="1331,2">
              <v:shape style="position:absolute;left:2410;top:356;width:1331;height:2" coordorigin="2410,356" coordsize="1331,0" path="m2410,356l3740,356e" filled="false" stroked="true" strokeweight="1.5pt" strokecolor="#000000">
                <v:path arrowok="t"/>
              </v:shape>
              <v:shape style="position:absolute;left:3740;top:371;width:10;height:28" type="#_x0000_t75" stroked="false">
                <v:imagedata r:id="rId96" o:title=""/>
              </v:shape>
            </v:group>
            <v:group style="position:absolute;left:3740;top:356;width:3466;height:2" coordorigin="3740,356" coordsize="3466,2">
              <v:shape style="position:absolute;left:3740;top:356;width:3466;height:2" coordorigin="3740,356" coordsize="3466,0" path="m3740,356l7206,356e" filled="false" stroked="true" strokeweight="1.5pt" strokecolor="#000000">
                <v:path arrowok="t"/>
              </v:shape>
              <v:shape style="position:absolute;left:7206;top:371;width:10;height:28" type="#_x0000_t75" stroked="false">
                <v:imagedata r:id="rId96" o:title=""/>
              </v:shape>
            </v:group>
            <v:group style="position:absolute;left:7206;top:356;width:3392;height:2" coordorigin="7206,356" coordsize="3392,2">
              <v:shape style="position:absolute;left:7206;top:356;width:3392;height:2" coordorigin="7206,356" coordsize="3392,0" path="m7206,356l10597,356e" filled="false" stroked="true" strokeweight="1.5pt" strokecolor="#000000">
                <v:path arrowok="t"/>
              </v:shape>
              <v:shape style="position:absolute;left:3721;top:380;width:3514;height:355" type="#_x0000_t75" stroked="false">
                <v:imagedata r:id="rId195" o:title=""/>
              </v:shape>
              <v:shape style="position:absolute;left:3728;top:703;width:6886;height:626" type="#_x0000_t75" stroked="false">
                <v:imagedata r:id="rId196" o:title=""/>
              </v:shape>
            </v:group>
            <v:group style="position:absolute;left:2395;top:5489;width:1346;height:2" coordorigin="2395,5489" coordsize="1346,2">
              <v:shape style="position:absolute;left:2395;top:5489;width:1346;height:2" coordorigin="2395,5489" coordsize="1346,0" path="m2395,5489l3740,5489e" filled="false" stroked="true" strokeweight="1.5pt" strokecolor="#000000">
                <v:path arrowok="t"/>
              </v:shape>
            </v:group>
            <v:group style="position:absolute;left:3740;top:5489;width:1337;height:2" coordorigin="3740,5489" coordsize="1337,2">
              <v:shape style="position:absolute;left:3740;top:5489;width:1337;height:2" coordorigin="3740,5489" coordsize="1337,0" path="m3740,5489l5077,5489e" filled="false" stroked="true" strokeweight="1.5pt" strokecolor="#000000">
                <v:path arrowok="t"/>
              </v:shape>
            </v:group>
            <v:group style="position:absolute;left:5077;top:5489;width:794;height:2" coordorigin="5077,5489" coordsize="794,2">
              <v:shape style="position:absolute;left:5077;top:5489;width:794;height:2" coordorigin="5077,5489" coordsize="794,0" path="m5077,5489l5870,5489e" filled="false" stroked="true" strokeweight="1.5pt" strokecolor="#000000">
                <v:path arrowok="t"/>
              </v:shape>
            </v:group>
            <v:group style="position:absolute;left:5870;top:5489;width:1336;height:2" coordorigin="5870,5489" coordsize="1336,2">
              <v:shape style="position:absolute;left:5870;top:5489;width:1336;height:2" coordorigin="5870,5489" coordsize="1336,0" path="m5870,5489l7206,5489e" filled="false" stroked="true" strokeweight="1.5pt" strokecolor="#000000">
                <v:path arrowok="t"/>
              </v:shape>
            </v:group>
            <v:group style="position:absolute;left:7206;top:5489;width:1336;height:2" coordorigin="7206,5489" coordsize="1336,2">
              <v:shape style="position:absolute;left:7206;top:5489;width:1336;height:2" coordorigin="7206,5489" coordsize="1336,0" path="m7206,5489l8542,5489e" filled="false" stroked="true" strokeweight="1.5pt" strokecolor="#000000">
                <v:path arrowok="t"/>
              </v:shape>
            </v:group>
            <v:group style="position:absolute;left:8542;top:5489;width:716;height:2" coordorigin="8542,5489" coordsize="716,2">
              <v:shape style="position:absolute;left:8542;top:5489;width:716;height:2" coordorigin="8542,5489" coordsize="716,0" path="m8542,5489l9257,5489e" filled="false" stroked="true" strokeweight="1.5pt" strokecolor="#000000">
                <v:path arrowok="t"/>
              </v:shape>
              <v:shape style="position:absolute;left:2397;top:1303;width:8217;height:4171" type="#_x0000_t75" stroked="false">
                <v:imagedata r:id="rId197" o:title=""/>
              </v:shape>
            </v:group>
            <v:group style="position:absolute;left:9257;top:5489;width:1341;height:2" coordorigin="9257,5489" coordsize="1341,2">
              <v:shape style="position:absolute;left:9257;top:5489;width:1341;height:2" coordorigin="9257,5489" coordsize="1341,0" path="m9257,5489l10597,5489e" filled="false" stroked="true" strokeweight="1.5pt" strokecolor="#000000">
                <v:path arrowok="t"/>
              </v:shape>
              <v:shape style="position:absolute;left:5158;top:464;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8584;top:464;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年初余额</w:t>
                      </w:r>
                      <w:r>
                        <w:rPr>
                          <w:rFonts w:ascii="宋体" w:hAnsi="宋体" w:cs="宋体" w:eastAsia="宋体" w:hint="default"/>
                          <w:sz w:val="16"/>
                          <w:szCs w:val="16"/>
                        </w:rPr>
                      </w:r>
                    </w:p>
                  </w:txbxContent>
                </v:textbox>
                <w10:wrap type="none"/>
              </v:shape>
            </v:group>
            <w10:wrap type="none"/>
          </v:group>
        </w:pict>
      </w:r>
      <w:r>
        <w:rPr>
          <w:rFonts w:ascii="Times New Roman" w:hAnsi="Times New Roman" w:cs="Times New Roman" w:eastAsia="Times New Roman" w:hint="default"/>
          <w:w w:val="95"/>
        </w:rPr>
        <w:t>2</w:t>
      </w:r>
      <w:r>
        <w:rPr>
          <w:w w:val="95"/>
        </w:rPr>
        <w:t>、</w:t>
        <w:tab/>
      </w:r>
      <w:r>
        <w:rPr/>
        <w:t>在建工程情况</w:t>
      </w:r>
      <w:r>
        <w:rPr>
          <w:b w:val="0"/>
          <w:bCs w:val="0"/>
        </w:rPr>
      </w:r>
    </w:p>
    <w:p>
      <w:pPr>
        <w:spacing w:line="240" w:lineRule="auto" w:before="11"/>
        <w:rPr>
          <w:rFonts w:ascii="宋体" w:hAnsi="宋体" w:cs="宋体" w:eastAsia="宋体" w:hint="default"/>
          <w:b/>
          <w:bCs/>
          <w:sz w:val="25"/>
          <w:szCs w:val="25"/>
        </w:rPr>
      </w:pPr>
    </w:p>
    <w:tbl>
      <w:tblPr>
        <w:tblW w:w="0" w:type="auto"/>
        <w:jc w:val="left"/>
        <w:tblInd w:w="787" w:type="dxa"/>
        <w:tblLayout w:type="fixed"/>
        <w:tblCellMar>
          <w:top w:w="0" w:type="dxa"/>
          <w:left w:w="0" w:type="dxa"/>
          <w:bottom w:w="0" w:type="dxa"/>
          <w:right w:w="0" w:type="dxa"/>
        </w:tblCellMar>
        <w:tblLook w:val="01E0"/>
      </w:tblPr>
      <w:tblGrid>
        <w:gridCol w:w="1406"/>
        <w:gridCol w:w="1292"/>
        <w:gridCol w:w="664"/>
        <w:gridCol w:w="1401"/>
        <w:gridCol w:w="1381"/>
        <w:gridCol w:w="625"/>
        <w:gridCol w:w="1344"/>
      </w:tblGrid>
      <w:tr>
        <w:trPr>
          <w:trHeight w:val="657" w:hRule="exact"/>
        </w:trPr>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45"/>
              <w:jc w:val="center"/>
              <w:rPr>
                <w:rFonts w:ascii="宋体" w:hAnsi="宋体" w:cs="宋体" w:eastAsia="宋体" w:hint="default"/>
                <w:sz w:val="16"/>
                <w:szCs w:val="16"/>
              </w:rPr>
            </w:pPr>
            <w:r>
              <w:rPr>
                <w:rFonts w:ascii="宋体" w:hAnsi="宋体" w:cs="宋体" w:eastAsia="宋体" w:hint="default"/>
                <w:sz w:val="16"/>
                <w:szCs w:val="16"/>
              </w:rPr>
              <w:t>项目</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240" w:right="0"/>
              <w:jc w:val="left"/>
              <w:rPr>
                <w:rFonts w:ascii="宋体" w:hAnsi="宋体" w:cs="宋体" w:eastAsia="宋体" w:hint="default"/>
                <w:sz w:val="16"/>
                <w:szCs w:val="16"/>
              </w:rPr>
            </w:pPr>
            <w:r>
              <w:rPr>
                <w:rFonts w:ascii="宋体" w:hAnsi="宋体" w:cs="宋体" w:eastAsia="宋体" w:hint="default"/>
                <w:sz w:val="16"/>
                <w:szCs w:val="16"/>
              </w:rPr>
              <w:t>账面余额</w:t>
            </w:r>
          </w:p>
        </w:tc>
        <w:tc>
          <w:tcPr>
            <w:tcW w:w="664" w:type="dxa"/>
            <w:tcBorders>
              <w:top w:val="nil" w:sz="6" w:space="0" w:color="auto"/>
              <w:left w:val="nil" w:sz="6" w:space="0" w:color="auto"/>
              <w:bottom w:val="nil" w:sz="6" w:space="0" w:color="auto"/>
              <w:right w:val="nil" w:sz="6" w:space="0" w:color="auto"/>
            </w:tcBorders>
          </w:tcPr>
          <w:p>
            <w:pPr>
              <w:pStyle w:val="TableParagraph"/>
              <w:spacing w:line="285" w:lineRule="auto" w:before="103"/>
              <w:ind w:left="171" w:right="170"/>
              <w:jc w:val="left"/>
              <w:rPr>
                <w:rFonts w:ascii="宋体" w:hAnsi="宋体" w:cs="宋体" w:eastAsia="宋体" w:hint="default"/>
                <w:sz w:val="16"/>
                <w:szCs w:val="16"/>
              </w:rPr>
            </w:pPr>
            <w:r>
              <w:rPr>
                <w:rFonts w:ascii="宋体" w:hAnsi="宋体" w:cs="宋体" w:eastAsia="宋体" w:hint="default"/>
                <w:sz w:val="16"/>
                <w:szCs w:val="16"/>
              </w:rPr>
              <w:t>减值</w:t>
            </w:r>
            <w:r>
              <w:rPr>
                <w:rFonts w:ascii="宋体" w:hAnsi="宋体" w:cs="宋体" w:eastAsia="宋体" w:hint="default"/>
                <w:w w:val="99"/>
                <w:sz w:val="16"/>
                <w:szCs w:val="16"/>
              </w:rPr>
              <w:t> </w:t>
            </w:r>
            <w:r>
              <w:rPr>
                <w:rFonts w:ascii="宋体" w:hAnsi="宋体" w:cs="宋体" w:eastAsia="宋体" w:hint="default"/>
                <w:sz w:val="16"/>
                <w:szCs w:val="16"/>
              </w:rPr>
              <w:t>准备</w:t>
            </w:r>
          </w:p>
        </w:tc>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412" w:right="0"/>
              <w:jc w:val="left"/>
              <w:rPr>
                <w:rFonts w:ascii="宋体" w:hAnsi="宋体" w:cs="宋体" w:eastAsia="宋体" w:hint="default"/>
                <w:sz w:val="16"/>
                <w:szCs w:val="16"/>
              </w:rPr>
            </w:pPr>
            <w:r>
              <w:rPr>
                <w:rFonts w:ascii="宋体" w:hAnsi="宋体" w:cs="宋体" w:eastAsia="宋体" w:hint="default"/>
                <w:sz w:val="16"/>
                <w:szCs w:val="16"/>
              </w:rPr>
              <w:t>账面价值</w:t>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347" w:right="0"/>
              <w:jc w:val="left"/>
              <w:rPr>
                <w:rFonts w:ascii="宋体" w:hAnsi="宋体" w:cs="宋体" w:eastAsia="宋体" w:hint="default"/>
                <w:sz w:val="16"/>
                <w:szCs w:val="16"/>
              </w:rPr>
            </w:pPr>
            <w:r>
              <w:rPr>
                <w:rFonts w:ascii="宋体" w:hAnsi="宋体" w:cs="宋体" w:eastAsia="宋体" w:hint="default"/>
                <w:sz w:val="16"/>
                <w:szCs w:val="16"/>
              </w:rPr>
              <w:t>账面余额</w:t>
            </w:r>
          </w:p>
        </w:tc>
        <w:tc>
          <w:tcPr>
            <w:tcW w:w="625" w:type="dxa"/>
            <w:tcBorders>
              <w:top w:val="nil" w:sz="6" w:space="0" w:color="auto"/>
              <w:left w:val="nil" w:sz="6" w:space="0" w:color="auto"/>
              <w:bottom w:val="nil" w:sz="6" w:space="0" w:color="auto"/>
              <w:right w:val="nil" w:sz="6" w:space="0" w:color="auto"/>
            </w:tcBorders>
          </w:tcPr>
          <w:p>
            <w:pPr>
              <w:pStyle w:val="TableParagraph"/>
              <w:spacing w:line="285" w:lineRule="auto" w:before="103"/>
              <w:ind w:left="152" w:right="152"/>
              <w:jc w:val="left"/>
              <w:rPr>
                <w:rFonts w:ascii="宋体" w:hAnsi="宋体" w:cs="宋体" w:eastAsia="宋体" w:hint="default"/>
                <w:sz w:val="16"/>
                <w:szCs w:val="16"/>
              </w:rPr>
            </w:pPr>
            <w:r>
              <w:rPr>
                <w:rFonts w:ascii="宋体" w:hAnsi="宋体" w:cs="宋体" w:eastAsia="宋体" w:hint="default"/>
                <w:sz w:val="16"/>
                <w:szCs w:val="16"/>
              </w:rPr>
              <w:t>减值</w:t>
            </w:r>
            <w:r>
              <w:rPr>
                <w:rFonts w:ascii="宋体" w:hAnsi="宋体" w:cs="宋体" w:eastAsia="宋体" w:hint="default"/>
                <w:w w:val="99"/>
                <w:sz w:val="16"/>
                <w:szCs w:val="16"/>
              </w:rPr>
              <w:t> </w:t>
            </w:r>
            <w:r>
              <w:rPr>
                <w:rFonts w:ascii="宋体" w:hAnsi="宋体" w:cs="宋体" w:eastAsia="宋体" w:hint="default"/>
                <w:sz w:val="16"/>
                <w:szCs w:val="16"/>
              </w:rPr>
              <w:t>准备</w:t>
            </w:r>
          </w:p>
        </w:tc>
        <w:tc>
          <w:tcPr>
            <w:tcW w:w="134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392" w:right="0"/>
              <w:jc w:val="left"/>
              <w:rPr>
                <w:rFonts w:ascii="宋体" w:hAnsi="宋体" w:cs="宋体" w:eastAsia="宋体" w:hint="default"/>
                <w:sz w:val="16"/>
                <w:szCs w:val="16"/>
              </w:rPr>
            </w:pPr>
            <w:r>
              <w:rPr>
                <w:rFonts w:ascii="宋体" w:hAnsi="宋体" w:cs="宋体" w:eastAsia="宋体" w:hint="default"/>
                <w:sz w:val="16"/>
                <w:szCs w:val="16"/>
              </w:rPr>
              <w:t>账面价值</w:t>
            </w:r>
          </w:p>
        </w:tc>
      </w:tr>
      <w:tr>
        <w:trPr>
          <w:trHeight w:val="360" w:hRule="exact"/>
        </w:trPr>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47"/>
              <w:ind w:left="70" w:right="0"/>
              <w:jc w:val="left"/>
              <w:rPr>
                <w:rFonts w:ascii="宋体" w:hAnsi="宋体" w:cs="宋体" w:eastAsia="宋体" w:hint="default"/>
                <w:sz w:val="16"/>
                <w:szCs w:val="16"/>
              </w:rPr>
            </w:pPr>
            <w:r>
              <w:rPr>
                <w:rFonts w:ascii="宋体" w:hAnsi="宋体" w:cs="宋体" w:eastAsia="宋体" w:hint="default"/>
                <w:sz w:val="16"/>
                <w:szCs w:val="16"/>
              </w:rPr>
              <w:t>中电长城大厦</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70"/>
              <w:jc w:val="right"/>
              <w:rPr>
                <w:rFonts w:ascii="Times New Roman" w:hAnsi="Times New Roman" w:cs="Times New Roman" w:eastAsia="Times New Roman" w:hint="default"/>
                <w:sz w:val="16"/>
                <w:szCs w:val="16"/>
              </w:rPr>
            </w:pPr>
            <w:r>
              <w:rPr>
                <w:rFonts w:ascii="Times New Roman"/>
                <w:spacing w:val="-1"/>
                <w:sz w:val="16"/>
              </w:rPr>
              <w:t>1,537,121,476.13</w:t>
            </w:r>
          </w:p>
        </w:tc>
        <w:tc>
          <w:tcPr>
            <w:tcW w:w="664" w:type="dxa"/>
            <w:tcBorders>
              <w:top w:val="nil" w:sz="6" w:space="0" w:color="auto"/>
              <w:left w:val="nil" w:sz="6" w:space="0" w:color="auto"/>
              <w:bottom w:val="nil" w:sz="6" w:space="0" w:color="auto"/>
              <w:right w:val="nil" w:sz="6" w:space="0" w:color="auto"/>
            </w:tcBorders>
          </w:tcPr>
          <w:p>
            <w:pPr/>
          </w:p>
        </w:tc>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06"/>
              <w:jc w:val="right"/>
              <w:rPr>
                <w:rFonts w:ascii="Times New Roman" w:hAnsi="Times New Roman" w:cs="Times New Roman" w:eastAsia="Times New Roman" w:hint="default"/>
                <w:sz w:val="16"/>
                <w:szCs w:val="16"/>
              </w:rPr>
            </w:pPr>
            <w:r>
              <w:rPr>
                <w:rFonts w:ascii="Times New Roman"/>
                <w:spacing w:val="-1"/>
                <w:sz w:val="16"/>
              </w:rPr>
              <w:t>1,537,121,476.13</w:t>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52"/>
              <w:jc w:val="right"/>
              <w:rPr>
                <w:rFonts w:ascii="Times New Roman" w:hAnsi="Times New Roman" w:cs="Times New Roman" w:eastAsia="Times New Roman" w:hint="default"/>
                <w:sz w:val="16"/>
                <w:szCs w:val="16"/>
              </w:rPr>
            </w:pPr>
            <w:r>
              <w:rPr>
                <w:rFonts w:ascii="Times New Roman"/>
                <w:spacing w:val="-1"/>
                <w:sz w:val="16"/>
              </w:rPr>
              <w:t>1,203,335,563.35</w:t>
            </w:r>
          </w:p>
        </w:tc>
        <w:tc>
          <w:tcPr>
            <w:tcW w:w="625" w:type="dxa"/>
            <w:tcBorders>
              <w:top w:val="nil" w:sz="6" w:space="0" w:color="auto"/>
              <w:left w:val="nil" w:sz="6" w:space="0" w:color="auto"/>
              <w:bottom w:val="nil" w:sz="6" w:space="0" w:color="auto"/>
              <w:right w:val="nil" w:sz="6" w:space="0" w:color="auto"/>
            </w:tcBorders>
          </w:tcPr>
          <w:p>
            <w:pPr/>
          </w:p>
        </w:tc>
        <w:tc>
          <w:tcPr>
            <w:tcW w:w="1344"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68"/>
              <w:jc w:val="right"/>
              <w:rPr>
                <w:rFonts w:ascii="Times New Roman" w:hAnsi="Times New Roman" w:cs="Times New Roman" w:eastAsia="Times New Roman" w:hint="default"/>
                <w:sz w:val="16"/>
                <w:szCs w:val="16"/>
              </w:rPr>
            </w:pPr>
            <w:r>
              <w:rPr>
                <w:rFonts w:ascii="Times New Roman"/>
                <w:spacing w:val="-1"/>
                <w:sz w:val="16"/>
              </w:rPr>
              <w:t>1,203,335,563.35</w:t>
            </w:r>
          </w:p>
        </w:tc>
      </w:tr>
      <w:tr>
        <w:trPr>
          <w:trHeight w:val="264" w:hRule="exact"/>
        </w:trPr>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统筹研保</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70"/>
              <w:jc w:val="right"/>
              <w:rPr>
                <w:rFonts w:ascii="Times New Roman" w:hAnsi="Times New Roman" w:cs="Times New Roman" w:eastAsia="Times New Roman" w:hint="default"/>
                <w:sz w:val="16"/>
                <w:szCs w:val="16"/>
              </w:rPr>
            </w:pPr>
            <w:r>
              <w:rPr>
                <w:rFonts w:ascii="Times New Roman"/>
                <w:spacing w:val="-1"/>
                <w:sz w:val="16"/>
              </w:rPr>
              <w:t>366,884,464.81</w:t>
            </w:r>
          </w:p>
        </w:tc>
        <w:tc>
          <w:tcPr>
            <w:tcW w:w="664" w:type="dxa"/>
            <w:tcBorders>
              <w:top w:val="nil" w:sz="6" w:space="0" w:color="auto"/>
              <w:left w:val="nil" w:sz="6" w:space="0" w:color="auto"/>
              <w:bottom w:val="nil" w:sz="6" w:space="0" w:color="auto"/>
              <w:right w:val="nil" w:sz="6" w:space="0" w:color="auto"/>
            </w:tcBorders>
          </w:tcPr>
          <w:p>
            <w:pPr/>
          </w:p>
        </w:tc>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6"/>
              <w:jc w:val="right"/>
              <w:rPr>
                <w:rFonts w:ascii="Times New Roman" w:hAnsi="Times New Roman" w:cs="Times New Roman" w:eastAsia="Times New Roman" w:hint="default"/>
                <w:sz w:val="16"/>
                <w:szCs w:val="16"/>
              </w:rPr>
            </w:pPr>
            <w:r>
              <w:rPr>
                <w:rFonts w:ascii="Times New Roman"/>
                <w:spacing w:val="-1"/>
                <w:sz w:val="16"/>
              </w:rPr>
              <w:t>366,884,464.81</w:t>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52"/>
              <w:jc w:val="right"/>
              <w:rPr>
                <w:rFonts w:ascii="Times New Roman" w:hAnsi="Times New Roman" w:cs="Times New Roman" w:eastAsia="Times New Roman" w:hint="default"/>
                <w:sz w:val="16"/>
                <w:szCs w:val="16"/>
              </w:rPr>
            </w:pPr>
            <w:r>
              <w:rPr>
                <w:rFonts w:ascii="Times New Roman"/>
                <w:spacing w:val="-1"/>
                <w:sz w:val="16"/>
              </w:rPr>
              <w:t>298,973,147.46</w:t>
            </w:r>
          </w:p>
        </w:tc>
        <w:tc>
          <w:tcPr>
            <w:tcW w:w="625" w:type="dxa"/>
            <w:tcBorders>
              <w:top w:val="nil" w:sz="6" w:space="0" w:color="auto"/>
              <w:left w:val="nil" w:sz="6" w:space="0" w:color="auto"/>
              <w:bottom w:val="nil" w:sz="6" w:space="0" w:color="auto"/>
              <w:right w:val="nil" w:sz="6" w:space="0" w:color="auto"/>
            </w:tcBorders>
          </w:tcPr>
          <w:p>
            <w:pPr/>
          </w:p>
        </w:tc>
        <w:tc>
          <w:tcPr>
            <w:tcW w:w="134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298,973,147.46</w:t>
            </w:r>
          </w:p>
        </w:tc>
      </w:tr>
      <w:tr>
        <w:trPr>
          <w:trHeight w:val="318" w:hRule="exact"/>
        </w:trPr>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130"/>
              <w:ind w:left="70" w:right="0"/>
              <w:jc w:val="left"/>
              <w:rPr>
                <w:rFonts w:ascii="宋体" w:hAnsi="宋体" w:cs="宋体" w:eastAsia="宋体" w:hint="default"/>
                <w:sz w:val="16"/>
                <w:szCs w:val="16"/>
              </w:rPr>
            </w:pPr>
            <w:r>
              <w:rPr>
                <w:rFonts w:ascii="宋体" w:hAnsi="宋体" w:cs="宋体" w:eastAsia="宋体" w:hint="default"/>
                <w:sz w:val="16"/>
                <w:szCs w:val="16"/>
              </w:rPr>
              <w:t>卫星导航及应用</w:t>
            </w:r>
          </w:p>
        </w:tc>
        <w:tc>
          <w:tcPr>
            <w:tcW w:w="1292" w:type="dxa"/>
            <w:tcBorders>
              <w:top w:val="nil" w:sz="6" w:space="0" w:color="auto"/>
              <w:left w:val="nil" w:sz="6" w:space="0" w:color="auto"/>
              <w:bottom w:val="nil" w:sz="6" w:space="0" w:color="auto"/>
              <w:right w:val="nil" w:sz="6" w:space="0" w:color="auto"/>
            </w:tcBorders>
          </w:tcPr>
          <w:p>
            <w:pPr/>
          </w:p>
        </w:tc>
        <w:tc>
          <w:tcPr>
            <w:tcW w:w="664" w:type="dxa"/>
            <w:tcBorders>
              <w:top w:val="nil" w:sz="6" w:space="0" w:color="auto"/>
              <w:left w:val="nil" w:sz="6" w:space="0" w:color="auto"/>
              <w:bottom w:val="nil" w:sz="6" w:space="0" w:color="auto"/>
              <w:right w:val="nil" w:sz="6" w:space="0" w:color="auto"/>
            </w:tcBorders>
          </w:tcPr>
          <w:p>
            <w:pPr/>
          </w:p>
        </w:tc>
        <w:tc>
          <w:tcPr>
            <w:tcW w:w="1401" w:type="dxa"/>
            <w:tcBorders>
              <w:top w:val="nil" w:sz="6" w:space="0" w:color="auto"/>
              <w:left w:val="nil" w:sz="6" w:space="0" w:color="auto"/>
              <w:bottom w:val="nil" w:sz="6" w:space="0" w:color="auto"/>
              <w:right w:val="nil" w:sz="6" w:space="0" w:color="auto"/>
            </w:tcBorders>
          </w:tcPr>
          <w:p>
            <w:pPr/>
          </w:p>
        </w:tc>
        <w:tc>
          <w:tcPr>
            <w:tcW w:w="1381" w:type="dxa"/>
            <w:tcBorders>
              <w:top w:val="nil" w:sz="6" w:space="0" w:color="auto"/>
              <w:left w:val="nil" w:sz="6" w:space="0" w:color="auto"/>
              <w:bottom w:val="nil" w:sz="6" w:space="0" w:color="auto"/>
              <w:right w:val="nil" w:sz="6" w:space="0" w:color="auto"/>
            </w:tcBorders>
          </w:tcPr>
          <w:p>
            <w:pPr/>
          </w:p>
        </w:tc>
        <w:tc>
          <w:tcPr>
            <w:tcW w:w="625" w:type="dxa"/>
            <w:tcBorders>
              <w:top w:val="nil" w:sz="6" w:space="0" w:color="auto"/>
              <w:left w:val="nil" w:sz="6" w:space="0" w:color="auto"/>
              <w:bottom w:val="nil" w:sz="6" w:space="0" w:color="auto"/>
              <w:right w:val="nil" w:sz="6" w:space="0" w:color="auto"/>
            </w:tcBorders>
          </w:tcPr>
          <w:p>
            <w:pPr/>
          </w:p>
        </w:tc>
        <w:tc>
          <w:tcPr>
            <w:tcW w:w="1344" w:type="dxa"/>
            <w:tcBorders>
              <w:top w:val="nil" w:sz="6" w:space="0" w:color="auto"/>
              <w:left w:val="nil" w:sz="6" w:space="0" w:color="auto"/>
              <w:bottom w:val="nil" w:sz="6" w:space="0" w:color="auto"/>
              <w:right w:val="nil" w:sz="6" w:space="0" w:color="auto"/>
            </w:tcBorders>
          </w:tcPr>
          <w:p>
            <w:pPr/>
          </w:p>
        </w:tc>
      </w:tr>
      <w:tr>
        <w:trPr>
          <w:trHeight w:val="339" w:hRule="exact"/>
        </w:trPr>
        <w:tc>
          <w:tcPr>
            <w:tcW w:w="2698" w:type="dxa"/>
            <w:gridSpan w:val="2"/>
            <w:tcBorders>
              <w:top w:val="nil" w:sz="6" w:space="0" w:color="auto"/>
              <w:left w:val="nil" w:sz="6" w:space="0" w:color="auto"/>
              <w:bottom w:val="nil" w:sz="6" w:space="0" w:color="auto"/>
              <w:right w:val="nil" w:sz="6" w:space="0" w:color="auto"/>
            </w:tcBorders>
          </w:tcPr>
          <w:p>
            <w:pPr>
              <w:pStyle w:val="TableParagraph"/>
              <w:tabs>
                <w:tab w:pos="1525" w:val="left" w:leader="none"/>
              </w:tabs>
              <w:spacing w:line="230" w:lineRule="exact"/>
              <w:ind w:left="70" w:right="0"/>
              <w:jc w:val="left"/>
              <w:rPr>
                <w:rFonts w:ascii="Times New Roman" w:hAnsi="Times New Roman" w:cs="Times New Roman" w:eastAsia="Times New Roman" w:hint="default"/>
                <w:sz w:val="16"/>
                <w:szCs w:val="16"/>
              </w:rPr>
            </w:pPr>
            <w:r>
              <w:rPr>
                <w:rFonts w:ascii="宋体" w:hAnsi="宋体" w:cs="宋体" w:eastAsia="宋体" w:hint="default"/>
                <w:w w:val="95"/>
                <w:position w:val="-9"/>
                <w:sz w:val="16"/>
                <w:szCs w:val="16"/>
              </w:rPr>
              <w:t>项目</w:t>
              <w:tab/>
            </w:r>
            <w:r>
              <w:rPr>
                <w:rFonts w:ascii="Times New Roman" w:hAnsi="Times New Roman" w:cs="Times New Roman" w:eastAsia="Times New Roman" w:hint="default"/>
                <w:sz w:val="16"/>
                <w:szCs w:val="16"/>
              </w:rPr>
              <w:t>129,128,516.77</w:t>
            </w:r>
          </w:p>
        </w:tc>
        <w:tc>
          <w:tcPr>
            <w:tcW w:w="664" w:type="dxa"/>
            <w:tcBorders>
              <w:top w:val="nil" w:sz="6" w:space="0" w:color="auto"/>
              <w:left w:val="nil" w:sz="6" w:space="0" w:color="auto"/>
              <w:bottom w:val="nil" w:sz="6" w:space="0" w:color="auto"/>
              <w:right w:val="nil" w:sz="6" w:space="0" w:color="auto"/>
            </w:tcBorders>
          </w:tcPr>
          <w:p>
            <w:pPr/>
          </w:p>
        </w:tc>
        <w:tc>
          <w:tcPr>
            <w:tcW w:w="1401" w:type="dxa"/>
            <w:tcBorders>
              <w:top w:val="nil" w:sz="6" w:space="0" w:color="auto"/>
              <w:left w:val="nil" w:sz="6" w:space="0" w:color="auto"/>
              <w:bottom w:val="nil" w:sz="6" w:space="0" w:color="auto"/>
              <w:right w:val="nil" w:sz="6" w:space="0" w:color="auto"/>
            </w:tcBorders>
          </w:tcPr>
          <w:p>
            <w:pPr>
              <w:pStyle w:val="TableParagraph"/>
              <w:spacing w:line="142" w:lineRule="exact"/>
              <w:ind w:right="106"/>
              <w:jc w:val="right"/>
              <w:rPr>
                <w:rFonts w:ascii="Times New Roman" w:hAnsi="Times New Roman" w:cs="Times New Roman" w:eastAsia="Times New Roman" w:hint="default"/>
                <w:sz w:val="16"/>
                <w:szCs w:val="16"/>
              </w:rPr>
            </w:pPr>
            <w:r>
              <w:rPr>
                <w:rFonts w:ascii="Times New Roman"/>
                <w:spacing w:val="-1"/>
                <w:sz w:val="16"/>
              </w:rPr>
              <w:t>129,128,516.77</w:t>
            </w:r>
          </w:p>
        </w:tc>
        <w:tc>
          <w:tcPr>
            <w:tcW w:w="1381" w:type="dxa"/>
            <w:tcBorders>
              <w:top w:val="nil" w:sz="6" w:space="0" w:color="auto"/>
              <w:left w:val="nil" w:sz="6" w:space="0" w:color="auto"/>
              <w:bottom w:val="nil" w:sz="6" w:space="0" w:color="auto"/>
              <w:right w:val="nil" w:sz="6" w:space="0" w:color="auto"/>
            </w:tcBorders>
          </w:tcPr>
          <w:p>
            <w:pPr>
              <w:pStyle w:val="TableParagraph"/>
              <w:spacing w:line="142" w:lineRule="exact"/>
              <w:ind w:right="150"/>
              <w:jc w:val="right"/>
              <w:rPr>
                <w:rFonts w:ascii="Times New Roman" w:hAnsi="Times New Roman" w:cs="Times New Roman" w:eastAsia="Times New Roman" w:hint="default"/>
                <w:sz w:val="16"/>
                <w:szCs w:val="16"/>
              </w:rPr>
            </w:pPr>
            <w:r>
              <w:rPr>
                <w:rFonts w:ascii="Times New Roman"/>
                <w:spacing w:val="-1"/>
                <w:sz w:val="16"/>
              </w:rPr>
              <w:t>90,182,204.18</w:t>
            </w:r>
          </w:p>
        </w:tc>
        <w:tc>
          <w:tcPr>
            <w:tcW w:w="625" w:type="dxa"/>
            <w:tcBorders>
              <w:top w:val="nil" w:sz="6" w:space="0" w:color="auto"/>
              <w:left w:val="nil" w:sz="6" w:space="0" w:color="auto"/>
              <w:bottom w:val="nil" w:sz="6" w:space="0" w:color="auto"/>
              <w:right w:val="nil" w:sz="6" w:space="0" w:color="auto"/>
            </w:tcBorders>
          </w:tcPr>
          <w:p>
            <w:pPr/>
          </w:p>
        </w:tc>
        <w:tc>
          <w:tcPr>
            <w:tcW w:w="1344" w:type="dxa"/>
            <w:tcBorders>
              <w:top w:val="nil" w:sz="6" w:space="0" w:color="auto"/>
              <w:left w:val="nil" w:sz="6" w:space="0" w:color="auto"/>
              <w:bottom w:val="nil" w:sz="6" w:space="0" w:color="auto"/>
              <w:right w:val="nil" w:sz="6" w:space="0" w:color="auto"/>
            </w:tcBorders>
          </w:tcPr>
          <w:p>
            <w:pPr>
              <w:pStyle w:val="TableParagraph"/>
              <w:spacing w:line="142" w:lineRule="exact"/>
              <w:ind w:right="68"/>
              <w:jc w:val="right"/>
              <w:rPr>
                <w:rFonts w:ascii="Times New Roman" w:hAnsi="Times New Roman" w:cs="Times New Roman" w:eastAsia="Times New Roman" w:hint="default"/>
                <w:sz w:val="16"/>
                <w:szCs w:val="16"/>
              </w:rPr>
            </w:pPr>
            <w:r>
              <w:rPr>
                <w:rFonts w:ascii="Times New Roman"/>
                <w:spacing w:val="-1"/>
                <w:sz w:val="16"/>
              </w:rPr>
              <w:t>90,182,204.18</w:t>
            </w:r>
          </w:p>
        </w:tc>
      </w:tr>
      <w:tr>
        <w:trPr>
          <w:trHeight w:val="360" w:hRule="exact"/>
        </w:trPr>
        <w:tc>
          <w:tcPr>
            <w:tcW w:w="2698" w:type="dxa"/>
            <w:gridSpan w:val="2"/>
            <w:tcBorders>
              <w:top w:val="nil" w:sz="6" w:space="0" w:color="auto"/>
              <w:left w:val="nil" w:sz="6" w:space="0" w:color="auto"/>
              <w:bottom w:val="nil" w:sz="6" w:space="0" w:color="auto"/>
              <w:right w:val="nil" w:sz="6" w:space="0" w:color="auto"/>
            </w:tcBorders>
          </w:tcPr>
          <w:p>
            <w:pPr>
              <w:pStyle w:val="TableParagraph"/>
              <w:spacing w:line="177" w:lineRule="exact" w:before="34"/>
              <w:ind w:left="70" w:right="0"/>
              <w:jc w:val="left"/>
              <w:rPr>
                <w:rFonts w:ascii="宋体" w:hAnsi="宋体" w:cs="宋体" w:eastAsia="宋体" w:hint="default"/>
                <w:sz w:val="16"/>
                <w:szCs w:val="16"/>
              </w:rPr>
            </w:pPr>
            <w:r>
              <w:rPr>
                <w:rFonts w:ascii="宋体" w:hAnsi="宋体" w:cs="宋体" w:eastAsia="宋体" w:hint="default"/>
                <w:sz w:val="16"/>
                <w:szCs w:val="16"/>
              </w:rPr>
              <w:t>特种装备新能源</w:t>
            </w:r>
          </w:p>
          <w:p>
            <w:pPr>
              <w:pStyle w:val="TableParagraph"/>
              <w:tabs>
                <w:tab w:pos="1604" w:val="left" w:leader="none"/>
              </w:tabs>
              <w:spacing w:line="189" w:lineRule="exact"/>
              <w:ind w:left="70" w:right="0"/>
              <w:jc w:val="left"/>
              <w:rPr>
                <w:rFonts w:ascii="Times New Roman" w:hAnsi="Times New Roman" w:cs="Times New Roman" w:eastAsia="Times New Roman" w:hint="default"/>
                <w:sz w:val="16"/>
                <w:szCs w:val="16"/>
              </w:rPr>
            </w:pPr>
            <w:r>
              <w:rPr>
                <w:rFonts w:ascii="宋体" w:hAnsi="宋体" w:cs="宋体" w:eastAsia="宋体" w:hint="default"/>
                <w:w w:val="95"/>
                <w:position w:val="-9"/>
                <w:sz w:val="16"/>
                <w:szCs w:val="16"/>
              </w:rPr>
              <w:t>及应用建设</w:t>
              <w:tab/>
            </w:r>
            <w:r>
              <w:rPr>
                <w:rFonts w:ascii="Times New Roman" w:hAnsi="Times New Roman" w:cs="Times New Roman" w:eastAsia="Times New Roman" w:hint="default"/>
                <w:sz w:val="16"/>
                <w:szCs w:val="16"/>
              </w:rPr>
              <w:t>56,669,031.17</w:t>
            </w:r>
          </w:p>
        </w:tc>
        <w:tc>
          <w:tcPr>
            <w:tcW w:w="664" w:type="dxa"/>
            <w:tcBorders>
              <w:top w:val="nil" w:sz="6" w:space="0" w:color="auto"/>
              <w:left w:val="nil" w:sz="6" w:space="0" w:color="auto"/>
              <w:bottom w:val="nil" w:sz="6" w:space="0" w:color="auto"/>
              <w:right w:val="nil" w:sz="6" w:space="0" w:color="auto"/>
            </w:tcBorders>
          </w:tcPr>
          <w:p>
            <w:pPr/>
          </w:p>
        </w:tc>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5"/>
              <w:jc w:val="right"/>
              <w:rPr>
                <w:rFonts w:ascii="Times New Roman" w:hAnsi="Times New Roman" w:cs="Times New Roman" w:eastAsia="Times New Roman" w:hint="default"/>
                <w:sz w:val="16"/>
                <w:szCs w:val="16"/>
              </w:rPr>
            </w:pPr>
            <w:r>
              <w:rPr>
                <w:rFonts w:ascii="Times New Roman"/>
                <w:spacing w:val="-1"/>
                <w:sz w:val="16"/>
              </w:rPr>
              <w:t>56,669,031.17</w:t>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50"/>
              <w:jc w:val="right"/>
              <w:rPr>
                <w:rFonts w:ascii="Times New Roman" w:hAnsi="Times New Roman" w:cs="Times New Roman" w:eastAsia="Times New Roman" w:hint="default"/>
                <w:sz w:val="16"/>
                <w:szCs w:val="16"/>
              </w:rPr>
            </w:pPr>
            <w:r>
              <w:rPr>
                <w:rFonts w:ascii="Times New Roman"/>
                <w:spacing w:val="-1"/>
                <w:sz w:val="16"/>
              </w:rPr>
              <w:t>37,522,251.17</w:t>
            </w:r>
          </w:p>
        </w:tc>
        <w:tc>
          <w:tcPr>
            <w:tcW w:w="625" w:type="dxa"/>
            <w:tcBorders>
              <w:top w:val="nil" w:sz="6" w:space="0" w:color="auto"/>
              <w:left w:val="nil" w:sz="6" w:space="0" w:color="auto"/>
              <w:bottom w:val="nil" w:sz="6" w:space="0" w:color="auto"/>
              <w:right w:val="nil" w:sz="6" w:space="0" w:color="auto"/>
            </w:tcBorders>
          </w:tcPr>
          <w:p>
            <w:pPr/>
          </w:p>
        </w:tc>
        <w:tc>
          <w:tcPr>
            <w:tcW w:w="134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68"/>
              <w:jc w:val="right"/>
              <w:rPr>
                <w:rFonts w:ascii="Times New Roman" w:hAnsi="Times New Roman" w:cs="Times New Roman" w:eastAsia="Times New Roman" w:hint="default"/>
                <w:sz w:val="16"/>
                <w:szCs w:val="16"/>
              </w:rPr>
            </w:pPr>
            <w:r>
              <w:rPr>
                <w:rFonts w:ascii="Times New Roman"/>
                <w:spacing w:val="-1"/>
                <w:sz w:val="16"/>
              </w:rPr>
              <w:t>37,522,251.17</w:t>
            </w:r>
          </w:p>
        </w:tc>
      </w:tr>
      <w:tr>
        <w:trPr>
          <w:trHeight w:val="468" w:hRule="exact"/>
        </w:trPr>
        <w:tc>
          <w:tcPr>
            <w:tcW w:w="8112" w:type="dxa"/>
            <w:gridSpan w:val="7"/>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70" w:right="0"/>
              <w:jc w:val="left"/>
              <w:rPr>
                <w:rFonts w:ascii="宋体" w:hAnsi="宋体" w:cs="宋体" w:eastAsia="宋体" w:hint="default"/>
                <w:sz w:val="16"/>
                <w:szCs w:val="16"/>
              </w:rPr>
            </w:pPr>
            <w:r>
              <w:rPr>
                <w:rFonts w:ascii="宋体" w:hAnsi="宋体" w:cs="宋体" w:eastAsia="宋体" w:hint="default"/>
                <w:sz w:val="16"/>
                <w:szCs w:val="16"/>
              </w:rPr>
              <w:t>生产能力建设项</w:t>
            </w:r>
          </w:p>
        </w:tc>
      </w:tr>
      <w:tr>
        <w:trPr>
          <w:trHeight w:val="281" w:hRule="exact"/>
        </w:trPr>
        <w:tc>
          <w:tcPr>
            <w:tcW w:w="1406" w:type="dxa"/>
            <w:tcBorders>
              <w:top w:val="nil" w:sz="6" w:space="0" w:color="auto"/>
              <w:left w:val="nil" w:sz="6" w:space="0" w:color="auto"/>
              <w:bottom w:val="nil" w:sz="6" w:space="0" w:color="auto"/>
              <w:right w:val="nil" w:sz="6" w:space="0" w:color="auto"/>
            </w:tcBorders>
          </w:tcPr>
          <w:p>
            <w:pPr>
              <w:pStyle w:val="TableParagraph"/>
              <w:spacing w:line="184" w:lineRule="exact"/>
              <w:ind w:left="70" w:right="0"/>
              <w:jc w:val="left"/>
              <w:rPr>
                <w:rFonts w:ascii="宋体" w:hAnsi="宋体" w:cs="宋体" w:eastAsia="宋体" w:hint="default"/>
                <w:sz w:val="16"/>
                <w:szCs w:val="16"/>
              </w:rPr>
            </w:pPr>
            <w:r>
              <w:rPr>
                <w:rFonts w:ascii="宋体" w:hAnsi="宋体" w:cs="宋体" w:eastAsia="宋体" w:hint="default"/>
                <w:w w:val="99"/>
                <w:sz w:val="16"/>
                <w:szCs w:val="16"/>
              </w:rPr>
              <w:t>目</w:t>
            </w:r>
            <w:r>
              <w:rPr>
                <w:rFonts w:ascii="宋体" w:hAnsi="宋体" w:cs="宋体" w:eastAsia="宋体" w:hint="default"/>
                <w:sz w:val="16"/>
                <w:szCs w:val="16"/>
              </w:rPr>
            </w:r>
          </w:p>
        </w:tc>
        <w:tc>
          <w:tcPr>
            <w:tcW w:w="1292" w:type="dxa"/>
            <w:tcBorders>
              <w:top w:val="nil" w:sz="6" w:space="0" w:color="auto"/>
              <w:left w:val="nil" w:sz="6" w:space="0" w:color="auto"/>
              <w:bottom w:val="nil" w:sz="6" w:space="0" w:color="auto"/>
              <w:right w:val="nil" w:sz="6" w:space="0" w:color="auto"/>
            </w:tcBorders>
          </w:tcPr>
          <w:p>
            <w:pPr>
              <w:pStyle w:val="TableParagraph"/>
              <w:spacing w:line="97" w:lineRule="exact"/>
              <w:ind w:right="169"/>
              <w:jc w:val="right"/>
              <w:rPr>
                <w:rFonts w:ascii="Times New Roman" w:hAnsi="Times New Roman" w:cs="Times New Roman" w:eastAsia="Times New Roman" w:hint="default"/>
                <w:sz w:val="16"/>
                <w:szCs w:val="16"/>
              </w:rPr>
            </w:pPr>
            <w:r>
              <w:rPr>
                <w:rFonts w:ascii="Times New Roman"/>
                <w:spacing w:val="-1"/>
                <w:sz w:val="16"/>
              </w:rPr>
              <w:t>33,181,363.27</w:t>
            </w:r>
          </w:p>
        </w:tc>
        <w:tc>
          <w:tcPr>
            <w:tcW w:w="2065" w:type="dxa"/>
            <w:gridSpan w:val="2"/>
            <w:tcBorders>
              <w:top w:val="nil" w:sz="6" w:space="0" w:color="auto"/>
              <w:left w:val="nil" w:sz="6" w:space="0" w:color="auto"/>
              <w:bottom w:val="nil" w:sz="6" w:space="0" w:color="auto"/>
              <w:right w:val="nil" w:sz="6" w:space="0" w:color="auto"/>
            </w:tcBorders>
          </w:tcPr>
          <w:p>
            <w:pPr>
              <w:pStyle w:val="TableParagraph"/>
              <w:spacing w:line="97" w:lineRule="exact"/>
              <w:ind w:left="1035" w:right="0"/>
              <w:jc w:val="left"/>
              <w:rPr>
                <w:rFonts w:ascii="Times New Roman" w:hAnsi="Times New Roman" w:cs="Times New Roman" w:eastAsia="Times New Roman" w:hint="default"/>
                <w:sz w:val="16"/>
                <w:szCs w:val="16"/>
              </w:rPr>
            </w:pPr>
            <w:r>
              <w:rPr>
                <w:rFonts w:ascii="Times New Roman"/>
                <w:sz w:val="16"/>
              </w:rPr>
              <w:t>33,181,363.27</w:t>
            </w:r>
          </w:p>
        </w:tc>
        <w:tc>
          <w:tcPr>
            <w:tcW w:w="1381" w:type="dxa"/>
            <w:tcBorders>
              <w:top w:val="nil" w:sz="6" w:space="0" w:color="auto"/>
              <w:left w:val="nil" w:sz="6" w:space="0" w:color="auto"/>
              <w:bottom w:val="nil" w:sz="6" w:space="0" w:color="auto"/>
              <w:right w:val="nil" w:sz="6" w:space="0" w:color="auto"/>
            </w:tcBorders>
          </w:tcPr>
          <w:p>
            <w:pPr>
              <w:pStyle w:val="TableParagraph"/>
              <w:spacing w:line="97" w:lineRule="exact"/>
              <w:ind w:right="150"/>
              <w:jc w:val="right"/>
              <w:rPr>
                <w:rFonts w:ascii="Times New Roman" w:hAnsi="Times New Roman" w:cs="Times New Roman" w:eastAsia="Times New Roman" w:hint="default"/>
                <w:sz w:val="16"/>
                <w:szCs w:val="16"/>
              </w:rPr>
            </w:pPr>
            <w:r>
              <w:rPr>
                <w:rFonts w:ascii="Times New Roman"/>
                <w:spacing w:val="-1"/>
                <w:sz w:val="16"/>
              </w:rPr>
              <w:t>26,490,053.96</w:t>
            </w:r>
          </w:p>
        </w:tc>
        <w:tc>
          <w:tcPr>
            <w:tcW w:w="1968" w:type="dxa"/>
            <w:gridSpan w:val="2"/>
            <w:tcBorders>
              <w:top w:val="nil" w:sz="6" w:space="0" w:color="auto"/>
              <w:left w:val="nil" w:sz="6" w:space="0" w:color="auto"/>
              <w:bottom w:val="nil" w:sz="6" w:space="0" w:color="auto"/>
              <w:right w:val="nil" w:sz="6" w:space="0" w:color="auto"/>
            </w:tcBorders>
          </w:tcPr>
          <w:p>
            <w:pPr>
              <w:pStyle w:val="TableParagraph"/>
              <w:spacing w:line="97" w:lineRule="exact"/>
              <w:ind w:left="976" w:right="0"/>
              <w:jc w:val="left"/>
              <w:rPr>
                <w:rFonts w:ascii="Times New Roman" w:hAnsi="Times New Roman" w:cs="Times New Roman" w:eastAsia="Times New Roman" w:hint="default"/>
                <w:sz w:val="16"/>
                <w:szCs w:val="16"/>
              </w:rPr>
            </w:pPr>
            <w:r>
              <w:rPr>
                <w:rFonts w:ascii="Times New Roman"/>
                <w:sz w:val="16"/>
              </w:rPr>
              <w:t>26,490,053.96</w:t>
            </w:r>
          </w:p>
        </w:tc>
      </w:tr>
      <w:tr>
        <w:trPr>
          <w:trHeight w:val="360" w:hRule="exact"/>
        </w:trPr>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47"/>
              <w:ind w:left="70" w:right="0"/>
              <w:jc w:val="left"/>
              <w:rPr>
                <w:rFonts w:ascii="宋体" w:hAnsi="宋体" w:cs="宋体" w:eastAsia="宋体" w:hint="default"/>
                <w:sz w:val="16"/>
                <w:szCs w:val="16"/>
              </w:rPr>
            </w:pPr>
            <w:r>
              <w:rPr>
                <w:rFonts w:ascii="宋体" w:hAnsi="宋体" w:cs="宋体" w:eastAsia="宋体" w:hint="default"/>
                <w:sz w:val="16"/>
                <w:szCs w:val="16"/>
              </w:rPr>
              <w:t>未来城</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69"/>
              <w:jc w:val="right"/>
              <w:rPr>
                <w:rFonts w:ascii="Times New Roman" w:hAnsi="Times New Roman" w:cs="Times New Roman" w:eastAsia="Times New Roman" w:hint="default"/>
                <w:sz w:val="16"/>
                <w:szCs w:val="16"/>
              </w:rPr>
            </w:pPr>
            <w:r>
              <w:rPr>
                <w:rFonts w:ascii="Times New Roman"/>
                <w:spacing w:val="-1"/>
                <w:sz w:val="16"/>
              </w:rPr>
              <w:t>23,921,813.13</w:t>
            </w:r>
          </w:p>
        </w:tc>
        <w:tc>
          <w:tcPr>
            <w:tcW w:w="206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9"/>
              <w:ind w:left="1035" w:right="0"/>
              <w:jc w:val="left"/>
              <w:rPr>
                <w:rFonts w:ascii="Times New Roman" w:hAnsi="Times New Roman" w:cs="Times New Roman" w:eastAsia="Times New Roman" w:hint="default"/>
                <w:sz w:val="16"/>
                <w:szCs w:val="16"/>
              </w:rPr>
            </w:pPr>
            <w:r>
              <w:rPr>
                <w:rFonts w:ascii="Times New Roman"/>
                <w:sz w:val="16"/>
              </w:rPr>
              <w:t>23,921,813.13</w:t>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50"/>
              <w:jc w:val="right"/>
              <w:rPr>
                <w:rFonts w:ascii="Times New Roman" w:hAnsi="Times New Roman" w:cs="Times New Roman" w:eastAsia="Times New Roman" w:hint="default"/>
                <w:sz w:val="16"/>
                <w:szCs w:val="16"/>
              </w:rPr>
            </w:pPr>
            <w:r>
              <w:rPr>
                <w:rFonts w:ascii="Times New Roman"/>
                <w:spacing w:val="-1"/>
                <w:sz w:val="16"/>
              </w:rPr>
              <w:t>23,921,813.13</w:t>
            </w:r>
          </w:p>
        </w:tc>
        <w:tc>
          <w:tcPr>
            <w:tcW w:w="196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9"/>
              <w:ind w:left="976" w:right="0"/>
              <w:jc w:val="left"/>
              <w:rPr>
                <w:rFonts w:ascii="Times New Roman" w:hAnsi="Times New Roman" w:cs="Times New Roman" w:eastAsia="Times New Roman" w:hint="default"/>
                <w:sz w:val="16"/>
                <w:szCs w:val="16"/>
              </w:rPr>
            </w:pPr>
            <w:r>
              <w:rPr>
                <w:rFonts w:ascii="Times New Roman"/>
                <w:sz w:val="16"/>
              </w:rPr>
              <w:t>23,921,813.13</w:t>
            </w:r>
          </w:p>
        </w:tc>
      </w:tr>
      <w:tr>
        <w:trPr>
          <w:trHeight w:val="353" w:hRule="exact"/>
        </w:trPr>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机器手</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69"/>
              <w:jc w:val="right"/>
              <w:rPr>
                <w:rFonts w:ascii="Times New Roman" w:hAnsi="Times New Roman" w:cs="Times New Roman" w:eastAsia="Times New Roman" w:hint="default"/>
                <w:sz w:val="16"/>
                <w:szCs w:val="16"/>
              </w:rPr>
            </w:pPr>
            <w:r>
              <w:rPr>
                <w:rFonts w:ascii="Times New Roman"/>
                <w:spacing w:val="-1"/>
                <w:sz w:val="16"/>
              </w:rPr>
              <w:t>4,276,652.86</w:t>
            </w:r>
          </w:p>
        </w:tc>
        <w:tc>
          <w:tcPr>
            <w:tcW w:w="206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2"/>
              <w:ind w:left="1115" w:right="0"/>
              <w:jc w:val="left"/>
              <w:rPr>
                <w:rFonts w:ascii="Times New Roman" w:hAnsi="Times New Roman" w:cs="Times New Roman" w:eastAsia="Times New Roman" w:hint="default"/>
                <w:sz w:val="16"/>
                <w:szCs w:val="16"/>
              </w:rPr>
            </w:pPr>
            <w:r>
              <w:rPr>
                <w:rFonts w:ascii="Times New Roman"/>
                <w:sz w:val="16"/>
              </w:rPr>
              <w:t>4,276,652.86</w:t>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50"/>
              <w:jc w:val="right"/>
              <w:rPr>
                <w:rFonts w:ascii="Times New Roman" w:hAnsi="Times New Roman" w:cs="Times New Roman" w:eastAsia="Times New Roman" w:hint="default"/>
                <w:sz w:val="16"/>
                <w:szCs w:val="16"/>
              </w:rPr>
            </w:pPr>
            <w:r>
              <w:rPr>
                <w:rFonts w:ascii="Times New Roman"/>
                <w:spacing w:val="-1"/>
                <w:sz w:val="16"/>
              </w:rPr>
              <w:t>7,895,905.35</w:t>
            </w:r>
          </w:p>
        </w:tc>
        <w:tc>
          <w:tcPr>
            <w:tcW w:w="196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2"/>
              <w:ind w:left="1057" w:right="0"/>
              <w:jc w:val="left"/>
              <w:rPr>
                <w:rFonts w:ascii="Times New Roman" w:hAnsi="Times New Roman" w:cs="Times New Roman" w:eastAsia="Times New Roman" w:hint="default"/>
                <w:sz w:val="16"/>
                <w:szCs w:val="16"/>
              </w:rPr>
            </w:pPr>
            <w:r>
              <w:rPr>
                <w:rFonts w:ascii="Times New Roman"/>
                <w:sz w:val="16"/>
              </w:rPr>
              <w:t>7,895,905.35</w:t>
            </w:r>
          </w:p>
        </w:tc>
      </w:tr>
      <w:tr>
        <w:trPr>
          <w:trHeight w:val="353" w:hRule="exact"/>
        </w:trPr>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研制保障项目</w:t>
            </w:r>
          </w:p>
        </w:tc>
        <w:tc>
          <w:tcPr>
            <w:tcW w:w="1292" w:type="dxa"/>
            <w:tcBorders>
              <w:top w:val="nil" w:sz="6" w:space="0" w:color="auto"/>
              <w:left w:val="nil" w:sz="6" w:space="0" w:color="auto"/>
              <w:bottom w:val="nil" w:sz="6" w:space="0" w:color="auto"/>
              <w:right w:val="nil" w:sz="6" w:space="0" w:color="auto"/>
            </w:tcBorders>
          </w:tcPr>
          <w:p>
            <w:pPr/>
          </w:p>
        </w:tc>
        <w:tc>
          <w:tcPr>
            <w:tcW w:w="2065" w:type="dxa"/>
            <w:gridSpan w:val="2"/>
            <w:tcBorders>
              <w:top w:val="nil" w:sz="6" w:space="0" w:color="auto"/>
              <w:left w:val="nil" w:sz="6" w:space="0" w:color="auto"/>
              <w:bottom w:val="nil" w:sz="6" w:space="0" w:color="auto"/>
              <w:right w:val="nil" w:sz="6" w:space="0" w:color="auto"/>
            </w:tcBorders>
          </w:tcPr>
          <w:p>
            <w:pP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50"/>
              <w:jc w:val="right"/>
              <w:rPr>
                <w:rFonts w:ascii="Times New Roman" w:hAnsi="Times New Roman" w:cs="Times New Roman" w:eastAsia="Times New Roman" w:hint="default"/>
                <w:sz w:val="16"/>
                <w:szCs w:val="16"/>
              </w:rPr>
            </w:pPr>
            <w:r>
              <w:rPr>
                <w:rFonts w:ascii="Times New Roman"/>
                <w:spacing w:val="-1"/>
                <w:sz w:val="16"/>
              </w:rPr>
              <w:t>44,280,039.83</w:t>
            </w:r>
          </w:p>
        </w:tc>
        <w:tc>
          <w:tcPr>
            <w:tcW w:w="196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3"/>
              <w:ind w:left="976" w:right="0"/>
              <w:jc w:val="left"/>
              <w:rPr>
                <w:rFonts w:ascii="Times New Roman" w:hAnsi="Times New Roman" w:cs="Times New Roman" w:eastAsia="Times New Roman" w:hint="default"/>
                <w:sz w:val="16"/>
                <w:szCs w:val="16"/>
              </w:rPr>
            </w:pPr>
            <w:r>
              <w:rPr>
                <w:rFonts w:ascii="Times New Roman"/>
                <w:sz w:val="16"/>
              </w:rPr>
              <w:t>44,280,039.83</w:t>
            </w:r>
          </w:p>
        </w:tc>
      </w:tr>
      <w:tr>
        <w:trPr>
          <w:trHeight w:val="354" w:hRule="exact"/>
        </w:trPr>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其他合计</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69"/>
              <w:jc w:val="right"/>
              <w:rPr>
                <w:rFonts w:ascii="Times New Roman" w:hAnsi="Times New Roman" w:cs="Times New Roman" w:eastAsia="Times New Roman" w:hint="default"/>
                <w:sz w:val="16"/>
                <w:szCs w:val="16"/>
              </w:rPr>
            </w:pPr>
            <w:r>
              <w:rPr>
                <w:rFonts w:ascii="Times New Roman"/>
                <w:spacing w:val="-1"/>
                <w:sz w:val="16"/>
              </w:rPr>
              <w:t>57,716,100.81</w:t>
            </w:r>
          </w:p>
        </w:tc>
        <w:tc>
          <w:tcPr>
            <w:tcW w:w="206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3"/>
              <w:ind w:left="1035" w:right="0"/>
              <w:jc w:val="left"/>
              <w:rPr>
                <w:rFonts w:ascii="Times New Roman" w:hAnsi="Times New Roman" w:cs="Times New Roman" w:eastAsia="Times New Roman" w:hint="default"/>
                <w:sz w:val="16"/>
                <w:szCs w:val="16"/>
              </w:rPr>
            </w:pPr>
            <w:r>
              <w:rPr>
                <w:rFonts w:ascii="Times New Roman"/>
                <w:sz w:val="16"/>
              </w:rPr>
              <w:t>57,716,100.81</w:t>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52"/>
              <w:jc w:val="right"/>
              <w:rPr>
                <w:rFonts w:ascii="Times New Roman" w:hAnsi="Times New Roman" w:cs="Times New Roman" w:eastAsia="Times New Roman" w:hint="default"/>
                <w:sz w:val="16"/>
                <w:szCs w:val="16"/>
              </w:rPr>
            </w:pPr>
            <w:r>
              <w:rPr>
                <w:rFonts w:ascii="Times New Roman"/>
                <w:spacing w:val="-1"/>
                <w:sz w:val="16"/>
              </w:rPr>
              <w:t>47,093,894.11</w:t>
            </w:r>
          </w:p>
        </w:tc>
        <w:tc>
          <w:tcPr>
            <w:tcW w:w="196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3"/>
              <w:ind w:left="982" w:right="0"/>
              <w:jc w:val="left"/>
              <w:rPr>
                <w:rFonts w:ascii="Times New Roman" w:hAnsi="Times New Roman" w:cs="Times New Roman" w:eastAsia="Times New Roman" w:hint="default"/>
                <w:sz w:val="16"/>
                <w:szCs w:val="16"/>
              </w:rPr>
            </w:pPr>
            <w:r>
              <w:rPr>
                <w:rFonts w:ascii="Times New Roman"/>
                <w:sz w:val="16"/>
              </w:rPr>
              <w:t>47,093,894.11</w:t>
            </w:r>
          </w:p>
        </w:tc>
      </w:tr>
      <w:tr>
        <w:trPr>
          <w:trHeight w:val="357" w:hRule="exact"/>
        </w:trPr>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45"/>
              <w:jc w:val="center"/>
              <w:rPr>
                <w:rFonts w:ascii="宋体" w:hAnsi="宋体" w:cs="宋体" w:eastAsia="宋体" w:hint="default"/>
                <w:sz w:val="16"/>
                <w:szCs w:val="16"/>
              </w:rPr>
            </w:pPr>
            <w:r>
              <w:rPr>
                <w:rFonts w:ascii="宋体" w:hAnsi="宋体" w:cs="宋体" w:eastAsia="宋体" w:hint="default"/>
                <w:sz w:val="16"/>
                <w:szCs w:val="16"/>
              </w:rPr>
              <w:t>合计</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82"/>
              <w:ind w:left="-1" w:right="170"/>
              <w:jc w:val="right"/>
              <w:rPr>
                <w:rFonts w:ascii="Times New Roman" w:hAnsi="Times New Roman" w:cs="Times New Roman" w:eastAsia="Times New Roman" w:hint="default"/>
                <w:sz w:val="16"/>
                <w:szCs w:val="16"/>
              </w:rPr>
            </w:pPr>
            <w:r>
              <w:rPr>
                <w:rFonts w:ascii="Times New Roman"/>
                <w:spacing w:val="-1"/>
                <w:sz w:val="16"/>
              </w:rPr>
              <w:t>2,208,899,418.95</w:t>
            </w:r>
          </w:p>
        </w:tc>
        <w:tc>
          <w:tcPr>
            <w:tcW w:w="206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2"/>
              <w:ind w:left="836" w:right="0"/>
              <w:jc w:val="left"/>
              <w:rPr>
                <w:rFonts w:ascii="Times New Roman" w:hAnsi="Times New Roman" w:cs="Times New Roman" w:eastAsia="Times New Roman" w:hint="default"/>
                <w:sz w:val="16"/>
                <w:szCs w:val="16"/>
              </w:rPr>
            </w:pPr>
            <w:r>
              <w:rPr>
                <w:rFonts w:ascii="Times New Roman"/>
                <w:sz w:val="16"/>
              </w:rPr>
              <w:t>2,208,899,418.95</w:t>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50"/>
              <w:jc w:val="right"/>
              <w:rPr>
                <w:rFonts w:ascii="Times New Roman" w:hAnsi="Times New Roman" w:cs="Times New Roman" w:eastAsia="Times New Roman" w:hint="default"/>
                <w:sz w:val="16"/>
                <w:szCs w:val="16"/>
              </w:rPr>
            </w:pPr>
            <w:r>
              <w:rPr>
                <w:rFonts w:ascii="Times New Roman"/>
                <w:spacing w:val="-1"/>
                <w:sz w:val="16"/>
              </w:rPr>
              <w:t>1,779,694,872.54</w:t>
            </w:r>
          </w:p>
        </w:tc>
        <w:tc>
          <w:tcPr>
            <w:tcW w:w="196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2"/>
              <w:ind w:left="777" w:right="0"/>
              <w:jc w:val="left"/>
              <w:rPr>
                <w:rFonts w:ascii="Times New Roman" w:hAnsi="Times New Roman" w:cs="Times New Roman" w:eastAsia="Times New Roman" w:hint="default"/>
                <w:sz w:val="16"/>
                <w:szCs w:val="16"/>
              </w:rPr>
            </w:pPr>
            <w:r>
              <w:rPr>
                <w:rFonts w:ascii="Times New Roman"/>
                <w:sz w:val="16"/>
              </w:rPr>
              <w:t>1,779,694,872.54</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4"/>
          <w:szCs w:val="14"/>
        </w:rPr>
      </w:pPr>
    </w:p>
    <w:p>
      <w:pPr>
        <w:spacing w:before="44"/>
        <w:ind w:left="0" w:right="1657" w:firstLine="0"/>
        <w:jc w:val="center"/>
        <w:rPr>
          <w:rFonts w:ascii="宋体" w:hAnsi="宋体" w:cs="宋体" w:eastAsia="宋体" w:hint="default"/>
          <w:sz w:val="18"/>
          <w:szCs w:val="18"/>
        </w:rPr>
      </w:pPr>
      <w:r>
        <w:rPr/>
        <w:pict>
          <v:shape style="position:absolute;margin-left:535.609985pt;margin-top:29.849024pt;width:59.499296pt;height:26.797393pt;mso-position-horizontal-relative:page;mso-position-vertical-relative:paragraph;z-index:14176" type="#_x0000_t75" stroked="false">
            <v:imagedata r:id="rId79" o:title=""/>
          </v:shape>
        </w:pict>
      </w:r>
      <w:r>
        <w:rPr>
          <w:rFonts w:ascii="宋体" w:hAnsi="宋体" w:cs="宋体" w:eastAsia="宋体" w:hint="default"/>
          <w:sz w:val="18"/>
          <w:szCs w:val="18"/>
        </w:rPr>
        <w:t>财务报表附注第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p>
      <w:pPr>
        <w:spacing w:after="0"/>
        <w:jc w:val="center"/>
        <w:rPr>
          <w:rFonts w:ascii="宋体" w:hAnsi="宋体" w:cs="宋体" w:eastAsia="宋体" w:hint="default"/>
          <w:sz w:val="18"/>
          <w:szCs w:val="18"/>
        </w:rPr>
        <w:sectPr>
          <w:headerReference w:type="default" r:id="rId189"/>
          <w:footerReference w:type="default" r:id="rId190"/>
          <w:pgSz w:w="11910" w:h="16840"/>
          <w:pgMar w:header="1302" w:footer="0" w:top="1520" w:bottom="0" w:left="1660" w:right="0"/>
        </w:sectPr>
      </w:pPr>
    </w:p>
    <w:p>
      <w:pPr>
        <w:spacing w:line="240" w:lineRule="auto" w:before="5"/>
        <w:rPr>
          <w:rFonts w:ascii="宋体" w:hAnsi="宋体" w:cs="宋体" w:eastAsia="宋体" w:hint="default"/>
          <w:sz w:val="18"/>
          <w:szCs w:val="18"/>
        </w:rPr>
      </w:pPr>
    </w:p>
    <w:p>
      <w:pPr>
        <w:spacing w:before="44"/>
        <w:ind w:left="139" w:right="9623" w:firstLine="0"/>
        <w:jc w:val="left"/>
        <w:rPr>
          <w:rFonts w:ascii="宋体" w:hAnsi="宋体" w:cs="宋体" w:eastAsia="宋体" w:hint="default"/>
          <w:sz w:val="18"/>
          <w:szCs w:val="18"/>
        </w:rPr>
      </w:pPr>
      <w:r>
        <w:rPr>
          <w:rFonts w:ascii="宋体" w:hAnsi="宋体" w:cs="宋体" w:eastAsia="宋体" w:hint="default"/>
          <w:sz w:val="18"/>
          <w:szCs w:val="18"/>
        </w:rPr>
        <w:t>财务报表附注</w:t>
      </w:r>
    </w:p>
    <w:p>
      <w:pPr>
        <w:spacing w:line="240" w:lineRule="auto" w:before="7"/>
        <w:rPr>
          <w:rFonts w:ascii="宋体" w:hAnsi="宋体" w:cs="宋体" w:eastAsia="宋体" w:hint="default"/>
          <w:sz w:val="3"/>
          <w:szCs w:val="3"/>
        </w:r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701.5pt;height:.5pt;mso-position-horizontal-relative:char;mso-position-vertical-relative:line" coordorigin="0,0" coordsize="14030,10">
            <v:group style="position:absolute;left:5;top:5;width:14020;height:2" coordorigin="5,5" coordsize="14020,2">
              <v:shape style="position:absolute;left:5;top:5;width:14020;height:2" coordorigin="5,5" coordsize="14020,0" path="m5,5l14024,5e" filled="false" stroked="true" strokeweight=".48pt" strokecolor="#000000">
                <v:path arrowok="t"/>
              </v:shape>
            </v:group>
          </v:group>
        </w:pict>
      </w:r>
      <w:r>
        <w:rPr>
          <w:rFonts w:ascii="宋体" w:hAnsi="宋体" w:cs="宋体" w:eastAsia="宋体" w:hint="default"/>
          <w:sz w:val="2"/>
          <w:szCs w:val="2"/>
        </w:rPr>
      </w:r>
    </w:p>
    <w:p>
      <w:pPr>
        <w:spacing w:line="240" w:lineRule="auto" w:before="11"/>
        <w:rPr>
          <w:rFonts w:ascii="宋体" w:hAnsi="宋体" w:cs="宋体" w:eastAsia="宋体" w:hint="default"/>
          <w:sz w:val="12"/>
          <w:szCs w:val="12"/>
        </w:rPr>
      </w:pPr>
    </w:p>
    <w:p>
      <w:pPr>
        <w:pStyle w:val="Heading5"/>
        <w:tabs>
          <w:tab w:pos="1399" w:val="left" w:leader="none"/>
        </w:tabs>
        <w:spacing w:line="240" w:lineRule="auto"/>
        <w:ind w:left="849" w:right="9623"/>
        <w:jc w:val="left"/>
        <w:rPr>
          <w:b w:val="0"/>
          <w:bCs w:val="0"/>
        </w:rPr>
      </w:pPr>
      <w:r>
        <w:rPr/>
        <w:pict>
          <v:group style="position:absolute;margin-left:101.121002pt;margin-top:37.113663pt;width:682.7pt;height:331.4pt;mso-position-horizontal-relative:page;mso-position-vertical-relative:paragraph;z-index:-1388848" coordorigin="2022,742" coordsize="13654,6628">
            <v:group style="position:absolute;left:2052;top:757;width:927;height:2" coordorigin="2052,757" coordsize="927,2">
              <v:shape style="position:absolute;left:2052;top:757;width:927;height:2" coordorigin="2052,757" coordsize="927,0" path="m2052,757l2978,757e" filled="false" stroked="true" strokeweight="1.5pt" strokecolor="#000000">
                <v:path arrowok="t"/>
              </v:shape>
              <v:shape style="position:absolute;left:2978;top:772;width:10;height:28" type="#_x0000_t75" stroked="false">
                <v:imagedata r:id="rId200" o:title=""/>
              </v:shape>
            </v:group>
            <v:group style="position:absolute;left:2978;top:757;width:1336;height:2" coordorigin="2978,757" coordsize="1336,2">
              <v:shape style="position:absolute;left:2978;top:757;width:1336;height:2" coordorigin="2978,757" coordsize="1336,0" path="m2978,757l4314,757e" filled="false" stroked="true" strokeweight="1.5pt" strokecolor="#000000">
                <v:path arrowok="t"/>
              </v:shape>
              <v:shape style="position:absolute;left:4314;top:772;width:10;height:28" type="#_x0000_t75" stroked="false">
                <v:imagedata r:id="rId200" o:title=""/>
              </v:shape>
            </v:group>
            <v:group style="position:absolute;left:4314;top:757;width:30;height:2" coordorigin="4314,757" coordsize="30,2">
              <v:shape style="position:absolute;left:4314;top:757;width:30;height:2" coordorigin="4314,757" coordsize="30,0" path="m4314,757l4344,757e" filled="false" stroked="true" strokeweight="1.5pt" strokecolor="#000000">
                <v:path arrowok="t"/>
              </v:shape>
            </v:group>
            <v:group style="position:absolute;left:4344;top:757;width:1307;height:2" coordorigin="4344,757" coordsize="1307,2">
              <v:shape style="position:absolute;left:4344;top:757;width:1307;height:2" coordorigin="4344,757" coordsize="1307,0" path="m4344,757l5651,757e" filled="false" stroked="true" strokeweight="1.5pt" strokecolor="#000000">
                <v:path arrowok="t"/>
              </v:shape>
              <v:shape style="position:absolute;left:5651;top:772;width:10;height:28" type="#_x0000_t75" stroked="false">
                <v:imagedata r:id="rId200" o:title=""/>
              </v:shape>
            </v:group>
            <v:group style="position:absolute;left:5651;top:757;width:1216;height:2" coordorigin="5651,757" coordsize="1216,2">
              <v:shape style="position:absolute;left:5651;top:757;width:1216;height:2" coordorigin="5651,757" coordsize="1216,0" path="m5651,757l6866,757e" filled="false" stroked="true" strokeweight="1.5pt" strokecolor="#000000">
                <v:path arrowok="t"/>
              </v:shape>
              <v:shape style="position:absolute;left:6866;top:772;width:10;height:28" type="#_x0000_t75" stroked="false">
                <v:imagedata r:id="rId200" o:title=""/>
              </v:shape>
            </v:group>
            <v:group style="position:absolute;left:6866;top:757;width:1216;height:2" coordorigin="6866,757" coordsize="1216,2">
              <v:shape style="position:absolute;left:6866;top:757;width:1216;height:2" coordorigin="6866,757" coordsize="1216,0" path="m6866,757l8082,757e" filled="false" stroked="true" strokeweight="1.5pt" strokecolor="#000000">
                <v:path arrowok="t"/>
              </v:shape>
              <v:shape style="position:absolute;left:8082;top:772;width:10;height:28" type="#_x0000_t75" stroked="false">
                <v:imagedata r:id="rId200" o:title=""/>
              </v:shape>
            </v:group>
            <v:group style="position:absolute;left:8082;top:757;width:1056;height:2" coordorigin="8082,757" coordsize="1056,2">
              <v:shape style="position:absolute;left:8082;top:757;width:1056;height:2" coordorigin="8082,757" coordsize="1056,0" path="m8082,757l9138,757e" filled="false" stroked="true" strokeweight="1.5pt" strokecolor="#000000">
                <v:path arrowok="t"/>
              </v:shape>
              <v:shape style="position:absolute;left:9138;top:772;width:10;height:28" type="#_x0000_t75" stroked="false">
                <v:imagedata r:id="rId200" o:title=""/>
              </v:shape>
            </v:group>
            <v:group style="position:absolute;left:9138;top:757;width:1337;height:2" coordorigin="9138,757" coordsize="1337,2">
              <v:shape style="position:absolute;left:9138;top:757;width:1337;height:2" coordorigin="9138,757" coordsize="1337,0" path="m9138,757l10475,757e" filled="false" stroked="true" strokeweight="1.5pt" strokecolor="#000000">
                <v:path arrowok="t"/>
              </v:shape>
              <v:shape style="position:absolute;left:10475;top:772;width:10;height:28" type="#_x0000_t75" stroked="false">
                <v:imagedata r:id="rId200" o:title=""/>
              </v:shape>
            </v:group>
            <v:group style="position:absolute;left:10475;top:757;width:722;height:2" coordorigin="10475,757" coordsize="722,2">
              <v:shape style="position:absolute;left:10475;top:757;width:722;height:2" coordorigin="10475,757" coordsize="722,0" path="m10475,757l11196,757e" filled="false" stroked="true" strokeweight="1.5pt" strokecolor="#000000">
                <v:path arrowok="t"/>
              </v:shape>
              <v:shape style="position:absolute;left:11196;top:772;width:10;height:28" type="#_x0000_t75" stroked="false">
                <v:imagedata r:id="rId200" o:title=""/>
              </v:shape>
            </v:group>
            <v:group style="position:absolute;left:11196;top:757;width:672;height:2" coordorigin="11196,757" coordsize="672,2">
              <v:shape style="position:absolute;left:11196;top:757;width:672;height:2" coordorigin="11196,757" coordsize="672,0" path="m11196,757l11868,757e" filled="false" stroked="true" strokeweight="1.5pt" strokecolor="#000000">
                <v:path arrowok="t"/>
              </v:shape>
              <v:shape style="position:absolute;left:11868;top:772;width:10;height:28" type="#_x0000_t75" stroked="false">
                <v:imagedata r:id="rId200" o:title=""/>
              </v:shape>
            </v:group>
            <v:group style="position:absolute;left:11868;top:757;width:1217;height:2" coordorigin="11868,757" coordsize="1217,2">
              <v:shape style="position:absolute;left:11868;top:757;width:1217;height:2" coordorigin="11868,757" coordsize="1217,0" path="m11868,757l13085,757e" filled="false" stroked="true" strokeweight="1.5pt" strokecolor="#000000">
                <v:path arrowok="t"/>
              </v:shape>
              <v:shape style="position:absolute;left:13085;top:772;width:10;height:28" type="#_x0000_t75" stroked="false">
                <v:imagedata r:id="rId200" o:title=""/>
              </v:shape>
            </v:group>
            <v:group style="position:absolute;left:13085;top:757;width:1136;height:2" coordorigin="13085,757" coordsize="1136,2">
              <v:shape style="position:absolute;left:13085;top:757;width:1136;height:2" coordorigin="13085,757" coordsize="1136,0" path="m13085,757l14220,757e" filled="false" stroked="true" strokeweight="1.5pt" strokecolor="#000000">
                <v:path arrowok="t"/>
              </v:shape>
              <v:shape style="position:absolute;left:14220;top:772;width:10;height:28" type="#_x0000_t75" stroked="false">
                <v:imagedata r:id="rId200" o:title=""/>
              </v:shape>
            </v:group>
            <v:group style="position:absolute;left:14220;top:757;width:618;height:2" coordorigin="14220,757" coordsize="618,2">
              <v:shape style="position:absolute;left:14220;top:757;width:618;height:2" coordorigin="14220,757" coordsize="618,0" path="m14220,757l14838,757e" filled="false" stroked="true" strokeweight="1.5pt" strokecolor="#000000">
                <v:path arrowok="t"/>
              </v:shape>
              <v:shape style="position:absolute;left:14838;top:772;width:10;height:28" type="#_x0000_t75" stroked="false">
                <v:imagedata r:id="rId200" o:title=""/>
              </v:shape>
            </v:group>
            <v:group style="position:absolute;left:14838;top:757;width:822;height:2" coordorigin="14838,757" coordsize="822,2">
              <v:shape style="position:absolute;left:14838;top:757;width:822;height:2" coordorigin="14838,757" coordsize="822,0" path="m14838,757l15660,757e" filled="false" stroked="true" strokeweight="1.5pt" strokecolor="#000000">
                <v:path arrowok="t"/>
              </v:shape>
              <v:shape style="position:absolute;left:2959;top:781;width:11908;height:1176" type="#_x0000_t75" stroked="false">
                <v:imagedata r:id="rId201" o:title=""/>
              </v:shape>
            </v:group>
            <v:group style="position:absolute;left:2037;top:7355;width:941;height:2" coordorigin="2037,7355" coordsize="941,2">
              <v:shape style="position:absolute;left:2037;top:7355;width:941;height:2" coordorigin="2037,7355" coordsize="941,0" path="m2037,7355l2978,7355e" filled="false" stroked="true" strokeweight="1.5pt" strokecolor="#000000">
                <v:path arrowok="t"/>
              </v:shape>
            </v:group>
            <v:group style="position:absolute;left:2978;top:7355;width:1336;height:2" coordorigin="2978,7355" coordsize="1336,2">
              <v:shape style="position:absolute;left:2978;top:7355;width:1336;height:2" coordorigin="2978,7355" coordsize="1336,0" path="m2978,7355l4314,7355e" filled="false" stroked="true" strokeweight="1.5pt" strokecolor="#000000">
                <v:path arrowok="t"/>
              </v:shape>
            </v:group>
            <v:group style="position:absolute;left:4314;top:7355;width:30;height:2" coordorigin="4314,7355" coordsize="30,2">
              <v:shape style="position:absolute;left:4314;top:7355;width:30;height:2" coordorigin="4314,7355" coordsize="30,0" path="m4314,7355l4344,7355e" filled="false" stroked="true" strokeweight="1.5pt" strokecolor="#000000">
                <v:path arrowok="t"/>
              </v:shape>
            </v:group>
            <v:group style="position:absolute;left:4344;top:7355;width:1307;height:2" coordorigin="4344,7355" coordsize="1307,2">
              <v:shape style="position:absolute;left:4344;top:7355;width:1307;height:2" coordorigin="4344,7355" coordsize="1307,0" path="m4344,7355l5651,7355e" filled="false" stroked="true" strokeweight="1.5pt" strokecolor="#000000">
                <v:path arrowok="t"/>
              </v:shape>
            </v:group>
            <v:group style="position:absolute;left:5651;top:7355;width:1216;height:2" coordorigin="5651,7355" coordsize="1216,2">
              <v:shape style="position:absolute;left:5651;top:7355;width:1216;height:2" coordorigin="5651,7355" coordsize="1216,0" path="m5651,7355l6866,7355e" filled="false" stroked="true" strokeweight="1.5pt" strokecolor="#000000">
                <v:path arrowok="t"/>
              </v:shape>
            </v:group>
            <v:group style="position:absolute;left:6866;top:7355;width:1216;height:2" coordorigin="6866,7355" coordsize="1216,2">
              <v:shape style="position:absolute;left:6866;top:7355;width:1216;height:2" coordorigin="6866,7355" coordsize="1216,0" path="m6866,7355l8082,7355e" filled="false" stroked="true" strokeweight="1.5pt" strokecolor="#000000">
                <v:path arrowok="t"/>
              </v:shape>
            </v:group>
            <v:group style="position:absolute;left:8082;top:7355;width:1056;height:2" coordorigin="8082,7355" coordsize="1056,2">
              <v:shape style="position:absolute;left:8082;top:7355;width:1056;height:2" coordorigin="8082,7355" coordsize="1056,0" path="m8082,7355l9138,7355e" filled="false" stroked="true" strokeweight="1.5pt" strokecolor="#000000">
                <v:path arrowok="t"/>
              </v:shape>
            </v:group>
            <v:group style="position:absolute;left:9138;top:7355;width:1337;height:2" coordorigin="9138,7355" coordsize="1337,2">
              <v:shape style="position:absolute;left:9138;top:7355;width:1337;height:2" coordorigin="9138,7355" coordsize="1337,0" path="m9138,7355l10475,7355e" filled="false" stroked="true" strokeweight="1.5pt" strokecolor="#000000">
                <v:path arrowok="t"/>
              </v:shape>
            </v:group>
            <v:group style="position:absolute;left:10475;top:7355;width:722;height:2" coordorigin="10475,7355" coordsize="722,2">
              <v:shape style="position:absolute;left:10475;top:7355;width:722;height:2" coordorigin="10475,7355" coordsize="722,0" path="m10475,7355l11196,7355e" filled="false" stroked="true" strokeweight="1.5pt" strokecolor="#000000">
                <v:path arrowok="t"/>
              </v:shape>
            </v:group>
            <v:group style="position:absolute;left:11196;top:7355;width:672;height:2" coordorigin="11196,7355" coordsize="672,2">
              <v:shape style="position:absolute;left:11196;top:7355;width:672;height:2" coordorigin="11196,7355" coordsize="672,0" path="m11196,7355l11868,7355e" filled="false" stroked="true" strokeweight="1.5pt" strokecolor="#000000">
                <v:path arrowok="t"/>
              </v:shape>
            </v:group>
            <v:group style="position:absolute;left:11868;top:7355;width:1217;height:2" coordorigin="11868,7355" coordsize="1217,2">
              <v:shape style="position:absolute;left:11868;top:7355;width:1217;height:2" coordorigin="11868,7355" coordsize="1217,0" path="m11868,7355l13085,7355e" filled="false" stroked="true" strokeweight="1.5pt" strokecolor="#000000">
                <v:path arrowok="t"/>
              </v:shape>
            </v:group>
            <v:group style="position:absolute;left:13085;top:7355;width:1136;height:2" coordorigin="13085,7355" coordsize="1136,2">
              <v:shape style="position:absolute;left:13085;top:7355;width:1136;height:2" coordorigin="13085,7355" coordsize="1136,0" path="m13085,7355l14220,7355e" filled="false" stroked="true" strokeweight="1.5pt" strokecolor="#000000">
                <v:path arrowok="t"/>
              </v:shape>
            </v:group>
            <v:group style="position:absolute;left:14220;top:7355;width:618;height:2" coordorigin="14220,7355" coordsize="618,2">
              <v:shape style="position:absolute;left:14220;top:7355;width:618;height:2" coordorigin="14220,7355" coordsize="618,0" path="m14220,7355l14838,7355e" filled="false" stroked="true" strokeweight="1.5pt" strokecolor="#000000">
                <v:path arrowok="t"/>
              </v:shape>
              <v:shape style="position:absolute;left:2039;top:1925;width:13637;height:5415" type="#_x0000_t75" stroked="false">
                <v:imagedata r:id="rId202" o:title=""/>
              </v:shape>
            </v:group>
            <v:group style="position:absolute;left:14838;top:7355;width:822;height:2" coordorigin="14838,7355" coordsize="822,2">
              <v:shape style="position:absolute;left:14838;top:7355;width:822;height:2" coordorigin="14838,7355" coordsize="822,0" path="m14838,7355l15660,7355e" filled="false" stroked="true" strokeweight="1.5pt" strokecolor="#000000">
                <v:path arrowok="t"/>
              </v:shape>
              <v:shape style="position:absolute;left:2197;top:1275;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项目名称</w:t>
                      </w:r>
                      <w:r>
                        <w:rPr>
                          <w:rFonts w:ascii="宋体" w:hAnsi="宋体" w:cs="宋体" w:eastAsia="宋体" w:hint="default"/>
                          <w:sz w:val="16"/>
                          <w:szCs w:val="16"/>
                        </w:rPr>
                      </w:r>
                    </w:p>
                  </w:txbxContent>
                </v:textbox>
                <w10:wrap type="none"/>
              </v:shape>
              <v:shape style="position:absolute;left:3410;top:1275;width:4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预算数</w:t>
                      </w:r>
                      <w:r>
                        <w:rPr>
                          <w:rFonts w:ascii="宋体" w:hAnsi="宋体" w:cs="宋体" w:eastAsia="宋体" w:hint="default"/>
                          <w:sz w:val="16"/>
                          <w:szCs w:val="16"/>
                        </w:rPr>
                      </w:r>
                    </w:p>
                  </w:txbxContent>
                </v:textbox>
                <w10:wrap type="none"/>
              </v:shape>
              <v:shape style="position:absolute;left:4667;top:1275;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年初余额</w:t>
                      </w:r>
                      <w:r>
                        <w:rPr>
                          <w:rFonts w:ascii="宋体" w:hAnsi="宋体" w:cs="宋体" w:eastAsia="宋体" w:hint="default"/>
                          <w:sz w:val="16"/>
                          <w:szCs w:val="16"/>
                        </w:rPr>
                      </w:r>
                    </w:p>
                  </w:txbxContent>
                </v:textbox>
                <w10:wrap type="none"/>
              </v:shape>
              <v:shape style="position:absolute;left:5781;top:1170;width:2176;height:368" type="#_x0000_t202" filled="false" stroked="false">
                <v:textbox inset="0,0,0,0">
                  <w:txbxContent>
                    <w:p>
                      <w:pPr>
                        <w:tabs>
                          <w:tab w:pos="1216" w:val="left" w:leader="none"/>
                        </w:tabs>
                        <w:spacing w:line="209" w:lineRule="exact" w:before="0"/>
                        <w:ind w:left="0" w:right="0" w:firstLine="0"/>
                        <w:jc w:val="left"/>
                        <w:rPr>
                          <w:rFonts w:ascii="宋体" w:hAnsi="宋体" w:cs="宋体" w:eastAsia="宋体" w:hint="default"/>
                          <w:sz w:val="16"/>
                          <w:szCs w:val="16"/>
                        </w:rPr>
                      </w:pPr>
                      <w:r>
                        <w:rPr>
                          <w:rFonts w:ascii="宋体" w:hAnsi="宋体" w:cs="宋体" w:eastAsia="宋体" w:hint="default"/>
                          <w:w w:val="95"/>
                          <w:position w:val="-9"/>
                          <w:sz w:val="16"/>
                          <w:szCs w:val="16"/>
                        </w:rPr>
                        <w:t>本期增加金额</w:t>
                        <w:tab/>
                      </w:r>
                      <w:r>
                        <w:rPr>
                          <w:rFonts w:ascii="宋体" w:hAnsi="宋体" w:cs="宋体" w:eastAsia="宋体" w:hint="default"/>
                          <w:w w:val="95"/>
                          <w:sz w:val="16"/>
                          <w:szCs w:val="16"/>
                        </w:rPr>
                        <w:t>本期转入固定</w:t>
                      </w:r>
                      <w:r>
                        <w:rPr>
                          <w:rFonts w:ascii="宋体" w:hAnsi="宋体" w:cs="宋体" w:eastAsia="宋体" w:hint="default"/>
                          <w:sz w:val="16"/>
                          <w:szCs w:val="16"/>
                        </w:rPr>
                      </w:r>
                    </w:p>
                    <w:p>
                      <w:pPr>
                        <w:spacing w:line="158" w:lineRule="exact" w:before="0"/>
                        <w:ind w:left="1377" w:right="0" w:firstLine="0"/>
                        <w:jc w:val="left"/>
                        <w:rPr>
                          <w:rFonts w:ascii="宋体" w:hAnsi="宋体" w:cs="宋体" w:eastAsia="宋体" w:hint="default"/>
                          <w:sz w:val="16"/>
                          <w:szCs w:val="16"/>
                        </w:rPr>
                      </w:pPr>
                      <w:r>
                        <w:rPr>
                          <w:rFonts w:ascii="宋体" w:hAnsi="宋体" w:cs="宋体" w:eastAsia="宋体" w:hint="default"/>
                          <w:sz w:val="16"/>
                          <w:szCs w:val="16"/>
                        </w:rPr>
                        <w:t>资产金额</w:t>
                      </w:r>
                    </w:p>
                  </w:txbxContent>
                </v:textbox>
                <w10:wrap type="none"/>
              </v:shape>
              <v:shape style="position:absolute;left:8214;top:1170;width:800;height:368" type="#_x0000_t202" filled="false" stroked="false">
                <v:textbox inset="0,0,0,0">
                  <w:txbxContent>
                    <w:p>
                      <w:pPr>
                        <w:spacing w:line="159" w:lineRule="exact" w:before="0"/>
                        <w:ind w:left="0" w:right="0" w:firstLine="0"/>
                        <w:jc w:val="center"/>
                        <w:rPr>
                          <w:rFonts w:ascii="宋体" w:hAnsi="宋体" w:cs="宋体" w:eastAsia="宋体" w:hint="default"/>
                          <w:sz w:val="16"/>
                          <w:szCs w:val="16"/>
                        </w:rPr>
                      </w:pPr>
                      <w:r>
                        <w:rPr>
                          <w:rFonts w:ascii="宋体" w:hAnsi="宋体" w:cs="宋体" w:eastAsia="宋体" w:hint="default"/>
                          <w:w w:val="95"/>
                          <w:sz w:val="16"/>
                          <w:szCs w:val="16"/>
                        </w:rPr>
                        <w:t>本期其他减</w:t>
                      </w:r>
                      <w:r>
                        <w:rPr>
                          <w:rFonts w:ascii="宋体" w:hAnsi="宋体" w:cs="宋体" w:eastAsia="宋体" w:hint="default"/>
                          <w:sz w:val="16"/>
                          <w:szCs w:val="16"/>
                        </w:rPr>
                      </w:r>
                    </w:p>
                    <w:p>
                      <w:pPr>
                        <w:spacing w:line="208" w:lineRule="exact" w:before="0"/>
                        <w:ind w:left="1" w:right="0" w:firstLine="0"/>
                        <w:jc w:val="center"/>
                        <w:rPr>
                          <w:rFonts w:ascii="宋体" w:hAnsi="宋体" w:cs="宋体" w:eastAsia="宋体" w:hint="default"/>
                          <w:sz w:val="16"/>
                          <w:szCs w:val="16"/>
                        </w:rPr>
                      </w:pPr>
                      <w:r>
                        <w:rPr>
                          <w:rFonts w:ascii="宋体" w:hAnsi="宋体" w:cs="宋体" w:eastAsia="宋体" w:hint="default"/>
                          <w:sz w:val="16"/>
                          <w:szCs w:val="16"/>
                        </w:rPr>
                        <w:t>少金额</w:t>
                      </w:r>
                    </w:p>
                  </w:txbxContent>
                </v:textbox>
                <w10:wrap type="none"/>
              </v:shape>
              <v:shape style="position:absolute;left:9491;top:1275;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10599;top:863;width:479;height:1000" type="#_x0000_t202" filled="false" stroked="false">
                <v:textbox inset="0,0,0,0">
                  <w:txbxContent>
                    <w:p>
                      <w:pPr>
                        <w:spacing w:line="158" w:lineRule="exact" w:before="0"/>
                        <w:ind w:left="0" w:right="0" w:firstLine="0"/>
                        <w:jc w:val="center"/>
                        <w:rPr>
                          <w:rFonts w:ascii="宋体" w:hAnsi="宋体" w:cs="宋体" w:eastAsia="宋体" w:hint="default"/>
                          <w:sz w:val="16"/>
                          <w:szCs w:val="16"/>
                        </w:rPr>
                      </w:pPr>
                      <w:r>
                        <w:rPr>
                          <w:rFonts w:ascii="宋体" w:hAnsi="宋体" w:cs="宋体" w:eastAsia="宋体" w:hint="default"/>
                          <w:w w:val="95"/>
                          <w:sz w:val="16"/>
                          <w:szCs w:val="16"/>
                        </w:rPr>
                        <w:t>工程累</w:t>
                      </w:r>
                      <w:r>
                        <w:rPr>
                          <w:rFonts w:ascii="宋体" w:hAnsi="宋体" w:cs="宋体" w:eastAsia="宋体" w:hint="default"/>
                          <w:sz w:val="16"/>
                          <w:szCs w:val="16"/>
                        </w:rPr>
                      </w:r>
                    </w:p>
                    <w:p>
                      <w:pPr>
                        <w:spacing w:before="0"/>
                        <w:ind w:left="0" w:right="0" w:firstLine="0"/>
                        <w:jc w:val="center"/>
                        <w:rPr>
                          <w:rFonts w:ascii="宋体" w:hAnsi="宋体" w:cs="宋体" w:eastAsia="宋体" w:hint="default"/>
                          <w:sz w:val="16"/>
                          <w:szCs w:val="16"/>
                        </w:rPr>
                      </w:pPr>
                      <w:r>
                        <w:rPr>
                          <w:rFonts w:ascii="宋体" w:hAnsi="宋体" w:cs="宋体" w:eastAsia="宋体" w:hint="default"/>
                          <w:w w:val="95"/>
                          <w:sz w:val="16"/>
                          <w:szCs w:val="16"/>
                        </w:rPr>
                        <w:t>计投入</w:t>
                      </w:r>
                      <w:r>
                        <w:rPr>
                          <w:rFonts w:ascii="宋体" w:hAnsi="宋体" w:cs="宋体" w:eastAsia="宋体" w:hint="default"/>
                          <w:spacing w:val="-54"/>
                          <w:w w:val="95"/>
                          <w:sz w:val="16"/>
                          <w:szCs w:val="16"/>
                        </w:rPr>
                        <w:t> </w:t>
                      </w:r>
                      <w:r>
                        <w:rPr>
                          <w:rFonts w:ascii="宋体" w:hAnsi="宋体" w:cs="宋体" w:eastAsia="宋体" w:hint="default"/>
                          <w:w w:val="95"/>
                          <w:sz w:val="16"/>
                          <w:szCs w:val="16"/>
                        </w:rPr>
                        <w:t>占预算</w:t>
                      </w:r>
                      <w:r>
                        <w:rPr>
                          <w:rFonts w:ascii="宋体" w:hAnsi="宋体" w:cs="宋体" w:eastAsia="宋体" w:hint="default"/>
                          <w:spacing w:val="-54"/>
                          <w:w w:val="95"/>
                          <w:sz w:val="16"/>
                          <w:szCs w:val="16"/>
                        </w:rPr>
                        <w:t> </w:t>
                      </w:r>
                      <w:r>
                        <w:rPr>
                          <w:rFonts w:ascii="宋体" w:hAnsi="宋体" w:cs="宋体" w:eastAsia="宋体" w:hint="default"/>
                          <w:sz w:val="16"/>
                          <w:szCs w:val="16"/>
                        </w:rPr>
                        <w:t>比例</w:t>
                      </w:r>
                    </w:p>
                    <w:p>
                      <w:pPr>
                        <w:spacing w:line="181" w:lineRule="exact" w:before="38"/>
                        <w:ind w:left="0" w:right="0" w:firstLine="0"/>
                        <w:jc w:val="center"/>
                        <w:rPr>
                          <w:rFonts w:ascii="Times New Roman" w:hAnsi="Times New Roman" w:cs="Times New Roman" w:eastAsia="Times New Roman" w:hint="default"/>
                          <w:sz w:val="16"/>
                          <w:szCs w:val="16"/>
                        </w:rPr>
                      </w:pPr>
                      <w:r>
                        <w:rPr>
                          <w:rFonts w:ascii="Times New Roman"/>
                          <w:sz w:val="16"/>
                        </w:rPr>
                        <w:t>(%)</w:t>
                      </w:r>
                    </w:p>
                  </w:txbxContent>
                </v:textbox>
                <w10:wrap type="none"/>
              </v:shape>
              <v:shape style="position:absolute;left:11376;top:1071;width:320;height:585" type="#_x0000_t202" filled="false" stroked="false">
                <v:textbox inset="0,0,0,0">
                  <w:txbxContent>
                    <w:p>
                      <w:pPr>
                        <w:spacing w:line="158"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工程</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进度</w:t>
                      </w:r>
                      <w:r>
                        <w:rPr>
                          <w:rFonts w:ascii="宋体" w:hAnsi="宋体" w:cs="宋体" w:eastAsia="宋体" w:hint="default"/>
                          <w:sz w:val="16"/>
                          <w:szCs w:val="16"/>
                        </w:rPr>
                      </w:r>
                    </w:p>
                    <w:p>
                      <w:pPr>
                        <w:spacing w:line="181" w:lineRule="exact" w:before="38"/>
                        <w:ind w:left="40" w:right="0" w:firstLine="0"/>
                        <w:jc w:val="left"/>
                        <w:rPr>
                          <w:rFonts w:ascii="Times New Roman" w:hAnsi="Times New Roman" w:cs="Times New Roman" w:eastAsia="Times New Roman" w:hint="default"/>
                          <w:sz w:val="16"/>
                          <w:szCs w:val="16"/>
                        </w:rPr>
                      </w:pPr>
                      <w:r>
                        <w:rPr>
                          <w:rFonts w:ascii="Times New Roman"/>
                          <w:sz w:val="16"/>
                        </w:rPr>
                        <w:t>(%)</w:t>
                      </w:r>
                    </w:p>
                  </w:txbxContent>
                </v:textbox>
                <w10:wrap type="none"/>
              </v:shape>
              <v:shape style="position:absolute;left:12000;top:1067;width:2116;height:575" type="#_x0000_t202" filled="false" stroked="false">
                <v:textbox inset="0,0,0,0">
                  <w:txbxContent>
                    <w:p>
                      <w:pPr>
                        <w:tabs>
                          <w:tab w:pos="1196" w:val="left" w:leader="none"/>
                          <w:tab w:pos="1256" w:val="left" w:leader="none"/>
                        </w:tabs>
                        <w:spacing w:line="160" w:lineRule="auto" w:before="12"/>
                        <w:ind w:left="240" w:right="0" w:hanging="240"/>
                        <w:jc w:val="left"/>
                        <w:rPr>
                          <w:rFonts w:ascii="宋体" w:hAnsi="宋体" w:cs="宋体" w:eastAsia="宋体" w:hint="default"/>
                          <w:sz w:val="16"/>
                          <w:szCs w:val="16"/>
                        </w:rPr>
                      </w:pPr>
                      <w:r>
                        <w:rPr>
                          <w:rFonts w:ascii="宋体" w:hAnsi="宋体" w:cs="宋体" w:eastAsia="宋体" w:hint="default"/>
                          <w:w w:val="95"/>
                          <w:position w:val="-9"/>
                          <w:sz w:val="16"/>
                          <w:szCs w:val="16"/>
                        </w:rPr>
                        <w:t>利息资本化累</w:t>
                        <w:tab/>
                      </w:r>
                      <w:r>
                        <w:rPr>
                          <w:rFonts w:ascii="宋体" w:hAnsi="宋体" w:cs="宋体" w:eastAsia="宋体" w:hint="default"/>
                          <w:spacing w:val="-7"/>
                          <w:sz w:val="16"/>
                          <w:szCs w:val="16"/>
                        </w:rPr>
                        <w:t>其中：本期利</w:t>
                      </w:r>
                      <w:r>
                        <w:rPr>
                          <w:rFonts w:ascii="宋体" w:hAnsi="宋体" w:cs="宋体" w:eastAsia="宋体" w:hint="default"/>
                          <w:w w:val="99"/>
                          <w:sz w:val="16"/>
                          <w:szCs w:val="16"/>
                        </w:rPr>
                        <w:t> </w:t>
                      </w:r>
                      <w:r>
                        <w:rPr>
                          <w:rFonts w:ascii="宋体" w:hAnsi="宋体" w:cs="宋体" w:eastAsia="宋体" w:hint="default"/>
                          <w:w w:val="95"/>
                          <w:position w:val="-9"/>
                          <w:sz w:val="16"/>
                          <w:szCs w:val="16"/>
                        </w:rPr>
                        <w:t>计金额</w:t>
                        <w:tab/>
                        <w:tab/>
                      </w:r>
                      <w:r>
                        <w:rPr>
                          <w:rFonts w:ascii="宋体" w:hAnsi="宋体" w:cs="宋体" w:eastAsia="宋体" w:hint="default"/>
                          <w:sz w:val="16"/>
                          <w:szCs w:val="16"/>
                        </w:rPr>
                        <w:t>息资本化金</w:t>
                      </w:r>
                    </w:p>
                    <w:p>
                      <w:pPr>
                        <w:spacing w:line="149" w:lineRule="exact" w:before="0"/>
                        <w:ind w:left="0" w:right="377" w:firstLine="0"/>
                        <w:jc w:val="right"/>
                        <w:rPr>
                          <w:rFonts w:ascii="宋体" w:hAnsi="宋体" w:cs="宋体" w:eastAsia="宋体" w:hint="default"/>
                          <w:sz w:val="16"/>
                          <w:szCs w:val="16"/>
                        </w:rPr>
                      </w:pPr>
                      <w:r>
                        <w:rPr>
                          <w:rFonts w:ascii="宋体" w:hAnsi="宋体" w:cs="宋体" w:eastAsia="宋体" w:hint="default"/>
                          <w:w w:val="99"/>
                          <w:sz w:val="16"/>
                          <w:szCs w:val="16"/>
                        </w:rPr>
                        <w:t>额</w:t>
                      </w:r>
                      <w:r>
                        <w:rPr>
                          <w:rFonts w:ascii="宋体" w:hAnsi="宋体" w:cs="宋体" w:eastAsia="宋体" w:hint="default"/>
                          <w:sz w:val="16"/>
                          <w:szCs w:val="16"/>
                        </w:rPr>
                      </w:r>
                    </w:p>
                  </w:txbxContent>
                </v:textbox>
                <w10:wrap type="none"/>
              </v:shape>
              <v:shape style="position:absolute;left:14373;top:863;width:320;height:1000" type="#_x0000_t202" filled="false" stroked="false">
                <v:textbox inset="0,0,0,0">
                  <w:txbxContent>
                    <w:p>
                      <w:pPr>
                        <w:spacing w:line="158" w:lineRule="exact" w:before="0"/>
                        <w:ind w:left="0" w:right="0" w:firstLine="0"/>
                        <w:jc w:val="both"/>
                        <w:rPr>
                          <w:rFonts w:ascii="宋体" w:hAnsi="宋体" w:cs="宋体" w:eastAsia="宋体" w:hint="default"/>
                          <w:sz w:val="16"/>
                          <w:szCs w:val="16"/>
                        </w:rPr>
                      </w:pPr>
                      <w:r>
                        <w:rPr>
                          <w:rFonts w:ascii="宋体" w:hAnsi="宋体" w:cs="宋体" w:eastAsia="宋体" w:hint="default"/>
                          <w:w w:val="95"/>
                          <w:sz w:val="16"/>
                          <w:szCs w:val="16"/>
                        </w:rPr>
                        <w:t>本期</w:t>
                      </w:r>
                      <w:r>
                        <w:rPr>
                          <w:rFonts w:ascii="宋体" w:hAnsi="宋体" w:cs="宋体" w:eastAsia="宋体" w:hint="default"/>
                          <w:sz w:val="16"/>
                          <w:szCs w:val="16"/>
                        </w:rPr>
                      </w:r>
                    </w:p>
                    <w:p>
                      <w:pPr>
                        <w:spacing w:before="0"/>
                        <w:ind w:left="0" w:right="0" w:firstLine="0"/>
                        <w:jc w:val="both"/>
                        <w:rPr>
                          <w:rFonts w:ascii="宋体" w:hAnsi="宋体" w:cs="宋体" w:eastAsia="宋体" w:hint="default"/>
                          <w:sz w:val="16"/>
                          <w:szCs w:val="16"/>
                        </w:rPr>
                      </w:pPr>
                      <w:r>
                        <w:rPr>
                          <w:rFonts w:ascii="宋体" w:hAnsi="宋体" w:cs="宋体" w:eastAsia="宋体" w:hint="default"/>
                          <w:w w:val="95"/>
                          <w:sz w:val="16"/>
                          <w:szCs w:val="16"/>
                        </w:rPr>
                        <w:t>利息</w:t>
                      </w:r>
                      <w:r>
                        <w:rPr>
                          <w:rFonts w:ascii="宋体" w:hAnsi="宋体" w:cs="宋体" w:eastAsia="宋体" w:hint="default"/>
                          <w:spacing w:val="-61"/>
                          <w:w w:val="95"/>
                          <w:sz w:val="16"/>
                          <w:szCs w:val="16"/>
                        </w:rPr>
                        <w:t> </w:t>
                      </w:r>
                      <w:r>
                        <w:rPr>
                          <w:rFonts w:ascii="宋体" w:hAnsi="宋体" w:cs="宋体" w:eastAsia="宋体" w:hint="default"/>
                          <w:w w:val="95"/>
                          <w:sz w:val="16"/>
                          <w:szCs w:val="16"/>
                        </w:rPr>
                        <w:t>资本</w:t>
                      </w:r>
                      <w:r>
                        <w:rPr>
                          <w:rFonts w:ascii="宋体" w:hAnsi="宋体" w:cs="宋体" w:eastAsia="宋体" w:hint="default"/>
                          <w:spacing w:val="-61"/>
                          <w:w w:val="95"/>
                          <w:sz w:val="16"/>
                          <w:szCs w:val="16"/>
                        </w:rPr>
                        <w:t> </w:t>
                      </w:r>
                      <w:r>
                        <w:rPr>
                          <w:rFonts w:ascii="宋体" w:hAnsi="宋体" w:cs="宋体" w:eastAsia="宋体" w:hint="default"/>
                          <w:w w:val="95"/>
                          <w:sz w:val="16"/>
                          <w:szCs w:val="16"/>
                        </w:rPr>
                        <w:t>化率</w:t>
                      </w:r>
                      <w:r>
                        <w:rPr>
                          <w:rFonts w:ascii="宋体" w:hAnsi="宋体" w:cs="宋体" w:eastAsia="宋体" w:hint="default"/>
                          <w:sz w:val="16"/>
                          <w:szCs w:val="16"/>
                        </w:rPr>
                      </w:r>
                    </w:p>
                    <w:p>
                      <w:pPr>
                        <w:spacing w:line="181" w:lineRule="exact" w:before="38"/>
                        <w:ind w:left="39" w:right="0" w:firstLine="0"/>
                        <w:jc w:val="both"/>
                        <w:rPr>
                          <w:rFonts w:ascii="Times New Roman" w:hAnsi="Times New Roman" w:cs="Times New Roman" w:eastAsia="Times New Roman" w:hint="default"/>
                          <w:sz w:val="16"/>
                          <w:szCs w:val="16"/>
                        </w:rPr>
                      </w:pPr>
                      <w:r>
                        <w:rPr>
                          <w:rFonts w:ascii="Times New Roman"/>
                          <w:sz w:val="16"/>
                        </w:rPr>
                        <w:t>(%)</w:t>
                      </w:r>
                    </w:p>
                  </w:txbxContent>
                </v:textbox>
                <w10:wrap type="none"/>
              </v:shape>
              <v:shape style="position:absolute;left:15011;top:1170;width:479;height:368" type="#_x0000_t202" filled="false" stroked="false">
                <v:textbox inset="0,0,0,0">
                  <w:txbxContent>
                    <w:p>
                      <w:pPr>
                        <w:spacing w:line="159" w:lineRule="exact" w:before="0"/>
                        <w:ind w:left="0" w:right="0" w:firstLine="0"/>
                        <w:jc w:val="center"/>
                        <w:rPr>
                          <w:rFonts w:ascii="宋体" w:hAnsi="宋体" w:cs="宋体" w:eastAsia="宋体" w:hint="default"/>
                          <w:sz w:val="16"/>
                          <w:szCs w:val="16"/>
                        </w:rPr>
                      </w:pPr>
                      <w:r>
                        <w:rPr>
                          <w:rFonts w:ascii="宋体" w:hAnsi="宋体" w:cs="宋体" w:eastAsia="宋体" w:hint="default"/>
                          <w:w w:val="95"/>
                          <w:sz w:val="16"/>
                          <w:szCs w:val="16"/>
                        </w:rPr>
                        <w:t>资金来</w:t>
                      </w:r>
                      <w:r>
                        <w:rPr>
                          <w:rFonts w:ascii="宋体" w:hAnsi="宋体" w:cs="宋体" w:eastAsia="宋体" w:hint="default"/>
                          <w:sz w:val="16"/>
                          <w:szCs w:val="16"/>
                        </w:rPr>
                      </w:r>
                    </w:p>
                    <w:p>
                      <w:pPr>
                        <w:spacing w:line="208" w:lineRule="exact" w:before="0"/>
                        <w:ind w:left="2" w:right="0" w:firstLine="0"/>
                        <w:jc w:val="center"/>
                        <w:rPr>
                          <w:rFonts w:ascii="宋体" w:hAnsi="宋体" w:cs="宋体" w:eastAsia="宋体" w:hint="default"/>
                          <w:sz w:val="16"/>
                          <w:szCs w:val="16"/>
                        </w:rPr>
                      </w:pPr>
                      <w:r>
                        <w:rPr>
                          <w:rFonts w:ascii="宋体" w:hAnsi="宋体" w:cs="宋体" w:eastAsia="宋体" w:hint="default"/>
                          <w:w w:val="99"/>
                          <w:sz w:val="16"/>
                          <w:szCs w:val="16"/>
                        </w:rPr>
                        <w:t>源</w:t>
                      </w:r>
                      <w:r>
                        <w:rPr>
                          <w:rFonts w:ascii="宋体" w:hAnsi="宋体" w:cs="宋体" w:eastAsia="宋体" w:hint="default"/>
                          <w:sz w:val="16"/>
                          <w:szCs w:val="16"/>
                        </w:rPr>
                      </w:r>
                    </w:p>
                  </w:txbxContent>
                </v:textbox>
                <w10:wrap type="none"/>
              </v:shape>
              <v:shape style="position:absolute;left:2160;top:2142;width:740;height:369"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spacing w:val="18"/>
                          <w:sz w:val="16"/>
                          <w:szCs w:val="16"/>
                        </w:rPr>
                        <w:t>中电长城</w:t>
                      </w:r>
                      <w:r>
                        <w:rPr>
                          <w:rFonts w:ascii="宋体" w:hAnsi="宋体" w:cs="宋体" w:eastAsia="宋体" w:hint="default"/>
                          <w:spacing w:val="-55"/>
                          <w:sz w:val="16"/>
                          <w:szCs w:val="16"/>
                        </w:rPr>
                        <w:t> </w:t>
                      </w:r>
                      <w:r>
                        <w:rPr>
                          <w:rFonts w:ascii="宋体" w:hAnsi="宋体" w:cs="宋体" w:eastAsia="宋体" w:hint="default"/>
                          <w:sz w:val="16"/>
                          <w:szCs w:val="16"/>
                        </w:rPr>
                      </w:r>
                    </w:p>
                    <w:p>
                      <w:pPr>
                        <w:spacing w:line="209"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大厦</w:t>
                      </w:r>
                    </w:p>
                  </w:txbxContent>
                </v:textbox>
                <w10:wrap type="none"/>
              </v:shape>
              <v:shape style="position:absolute;left:3091;top:2260;width:112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2,375,600,000.00</w:t>
                      </w:r>
                      <w:r>
                        <w:rPr>
                          <w:rFonts w:ascii="Times New Roman"/>
                          <w:sz w:val="16"/>
                        </w:rPr>
                      </w:r>
                    </w:p>
                  </w:txbxContent>
                </v:textbox>
                <w10:wrap type="none"/>
              </v:shape>
              <v:shape style="position:absolute;left:4427;top:2260;width:2336;height:160" type="#_x0000_t202" filled="false" stroked="false">
                <v:textbox inset="0,0,0,0">
                  <w:txbxContent>
                    <w:p>
                      <w:pPr>
                        <w:tabs>
                          <w:tab w:pos="1335" w:val="left" w:leader="none"/>
                        </w:tabs>
                        <w:spacing w:line="160" w:lineRule="exact" w:before="0"/>
                        <w:ind w:left="0" w:right="0" w:firstLine="0"/>
                        <w:jc w:val="left"/>
                        <w:rPr>
                          <w:rFonts w:ascii="Times New Roman" w:hAnsi="Times New Roman" w:cs="Times New Roman" w:eastAsia="Times New Roman" w:hint="default"/>
                          <w:sz w:val="16"/>
                          <w:szCs w:val="16"/>
                        </w:rPr>
                      </w:pPr>
                      <w:r>
                        <w:rPr>
                          <w:rFonts w:ascii="Times New Roman"/>
                          <w:spacing w:val="-1"/>
                          <w:sz w:val="16"/>
                        </w:rPr>
                        <w:t>1,203,335,563.35</w:t>
                        <w:tab/>
                        <w:t>333,785,912.78</w:t>
                      </w:r>
                    </w:p>
                  </w:txbxContent>
                </v:textbox>
                <w10:wrap type="none"/>
              </v:shape>
              <v:shape style="position:absolute;left:9251;top:2260;width:112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1,537,121,476.13</w:t>
                      </w:r>
                      <w:r>
                        <w:rPr>
                          <w:rFonts w:ascii="Times New Roman"/>
                          <w:sz w:val="16"/>
                        </w:rPr>
                      </w:r>
                    </w:p>
                  </w:txbxContent>
                </v:textbox>
                <w10:wrap type="none"/>
              </v:shape>
              <v:shape style="position:absolute;left:10733;top:2260;width:36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z w:val="16"/>
                        </w:rPr>
                        <w:t>64.70</w:t>
                      </w:r>
                    </w:p>
                  </w:txbxContent>
                </v:textbox>
                <w10:wrap type="none"/>
              </v:shape>
              <v:shape style="position:absolute;left:11405;top:2260;width:2714;height:160" type="#_x0000_t202" filled="false" stroked="false">
                <v:textbox inset="0,0,0,0">
                  <w:txbxContent>
                    <w:p>
                      <w:pPr>
                        <w:tabs>
                          <w:tab w:pos="575" w:val="left" w:leader="none"/>
                          <w:tab w:pos="1791" w:val="left" w:leader="none"/>
                        </w:tabs>
                        <w:spacing w:line="160" w:lineRule="exact" w:before="0"/>
                        <w:ind w:left="0" w:right="0" w:firstLine="0"/>
                        <w:jc w:val="left"/>
                        <w:rPr>
                          <w:rFonts w:ascii="Times New Roman" w:hAnsi="Times New Roman" w:cs="Times New Roman" w:eastAsia="Times New Roman" w:hint="default"/>
                          <w:sz w:val="16"/>
                          <w:szCs w:val="16"/>
                        </w:rPr>
                      </w:pPr>
                      <w:r>
                        <w:rPr>
                          <w:rFonts w:ascii="Times New Roman"/>
                          <w:spacing w:val="-1"/>
                          <w:sz w:val="16"/>
                        </w:rPr>
                        <w:t>64.70</w:t>
                        <w:tab/>
                        <w:t>180,630,331.89</w:t>
                        <w:tab/>
                        <w:t>55,764,855.73</w:t>
                      </w:r>
                    </w:p>
                  </w:txbxContent>
                </v:textbox>
                <w10:wrap type="none"/>
              </v:shape>
              <v:shape style="position:absolute;left:14455;top:2039;width:1134;height:575" type="#_x0000_t202" filled="false" stroked="false">
                <v:textbox inset="0,0,0,0">
                  <w:txbxContent>
                    <w:p>
                      <w:pPr>
                        <w:spacing w:line="156" w:lineRule="exact" w:before="0"/>
                        <w:ind w:left="0" w:right="0" w:firstLine="495"/>
                        <w:jc w:val="left"/>
                        <w:rPr>
                          <w:rFonts w:ascii="宋体" w:hAnsi="宋体" w:cs="宋体" w:eastAsia="宋体" w:hint="default"/>
                          <w:sz w:val="16"/>
                          <w:szCs w:val="16"/>
                        </w:rPr>
                      </w:pPr>
                      <w:r>
                        <w:rPr>
                          <w:rFonts w:ascii="宋体" w:hAnsi="宋体" w:cs="宋体" w:eastAsia="宋体" w:hint="default"/>
                          <w:spacing w:val="30"/>
                          <w:sz w:val="16"/>
                          <w:szCs w:val="16"/>
                        </w:rPr>
                        <w:t>金融</w:t>
                      </w:r>
                      <w:r>
                        <w:rPr>
                          <w:rFonts w:ascii="宋体" w:hAnsi="宋体" w:cs="宋体" w:eastAsia="宋体" w:hint="default"/>
                          <w:spacing w:val="-21"/>
                          <w:sz w:val="16"/>
                          <w:szCs w:val="16"/>
                        </w:rPr>
                        <w:t> </w:t>
                      </w:r>
                      <w:r>
                        <w:rPr>
                          <w:rFonts w:ascii="宋体" w:hAnsi="宋体" w:cs="宋体" w:eastAsia="宋体" w:hint="default"/>
                          <w:sz w:val="16"/>
                          <w:szCs w:val="16"/>
                        </w:rPr>
                        <w:t>机</w:t>
                      </w:r>
                    </w:p>
                    <w:p>
                      <w:pPr>
                        <w:tabs>
                          <w:tab w:pos="495" w:val="left" w:leader="none"/>
                        </w:tabs>
                        <w:spacing w:line="202" w:lineRule="exact" w:before="31"/>
                        <w:ind w:left="495" w:right="0" w:hanging="496"/>
                        <w:jc w:val="left"/>
                        <w:rPr>
                          <w:rFonts w:ascii="宋体" w:hAnsi="宋体" w:cs="宋体" w:eastAsia="宋体" w:hint="default"/>
                          <w:sz w:val="16"/>
                          <w:szCs w:val="16"/>
                        </w:rPr>
                      </w:pPr>
                      <w:r>
                        <w:rPr>
                          <w:rFonts w:ascii="Times New Roman" w:hAnsi="Times New Roman" w:cs="Times New Roman" w:eastAsia="Times New Roman" w:hint="default"/>
                          <w:spacing w:val="-1"/>
                          <w:sz w:val="16"/>
                          <w:szCs w:val="16"/>
                        </w:rPr>
                        <w:t>5.39</w:t>
                        <w:tab/>
                      </w:r>
                      <w:r>
                        <w:rPr>
                          <w:rFonts w:ascii="宋体" w:hAnsi="宋体" w:cs="宋体" w:eastAsia="宋体" w:hint="default"/>
                          <w:w w:val="95"/>
                          <w:position w:val="1"/>
                          <w:sz w:val="16"/>
                          <w:szCs w:val="16"/>
                        </w:rPr>
                        <w:t>构贷款、</w:t>
                      </w:r>
                      <w:r>
                        <w:rPr>
                          <w:rFonts w:ascii="宋体" w:hAnsi="宋体" w:cs="宋体" w:eastAsia="宋体" w:hint="default"/>
                          <w:spacing w:val="-46"/>
                          <w:w w:val="95"/>
                          <w:position w:val="1"/>
                          <w:sz w:val="16"/>
                          <w:szCs w:val="16"/>
                        </w:rPr>
                        <w:t> </w:t>
                      </w:r>
                      <w:r>
                        <w:rPr>
                          <w:rFonts w:ascii="宋体" w:hAnsi="宋体" w:cs="宋体" w:eastAsia="宋体" w:hint="default"/>
                          <w:sz w:val="16"/>
                          <w:szCs w:val="16"/>
                        </w:rPr>
                        <w:t>自筹</w:t>
                      </w:r>
                    </w:p>
                  </w:txbxContent>
                </v:textbox>
                <w10:wrap type="none"/>
              </v:shape>
              <v:shape style="position:absolute;left:2160;top:2912;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统筹研保</w:t>
                      </w:r>
                      <w:r>
                        <w:rPr>
                          <w:rFonts w:ascii="宋体" w:hAnsi="宋体" w:cs="宋体" w:eastAsia="宋体" w:hint="default"/>
                          <w:sz w:val="16"/>
                          <w:szCs w:val="16"/>
                        </w:rPr>
                      </w:r>
                    </w:p>
                  </w:txbxContent>
                </v:textbox>
                <w10:wrap type="none"/>
              </v:shape>
              <v:shape style="position:absolute;left:14951;top:2807;width:600;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spacing w:val="-10"/>
                          <w:w w:val="95"/>
                          <w:sz w:val="16"/>
                          <w:szCs w:val="16"/>
                        </w:rPr>
                        <w:t>国拨、自</w:t>
                      </w:r>
                      <w:r>
                        <w:rPr>
                          <w:rFonts w:ascii="宋体" w:hAnsi="宋体" w:cs="宋体" w:eastAsia="宋体" w:hint="default"/>
                          <w:spacing w:val="-10"/>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筹</w:t>
                      </w:r>
                      <w:r>
                        <w:rPr>
                          <w:rFonts w:ascii="宋体" w:hAnsi="宋体" w:cs="宋体" w:eastAsia="宋体" w:hint="default"/>
                          <w:sz w:val="16"/>
                          <w:szCs w:val="16"/>
                        </w:rPr>
                      </w:r>
                    </w:p>
                  </w:txbxContent>
                </v:textbox>
                <w10:wrap type="none"/>
              </v:shape>
              <v:shape style="position:absolute;left:2160;top:3369;width:740;height:575" type="#_x0000_t202" filled="false" stroked="false">
                <v:textbox inset="0,0,0,0">
                  <w:txbxContent>
                    <w:p>
                      <w:pPr>
                        <w:spacing w:line="158" w:lineRule="exact" w:before="0"/>
                        <w:ind w:left="0" w:right="0" w:firstLine="0"/>
                        <w:jc w:val="left"/>
                        <w:rPr>
                          <w:rFonts w:ascii="宋体" w:hAnsi="宋体" w:cs="宋体" w:eastAsia="宋体" w:hint="default"/>
                          <w:sz w:val="16"/>
                          <w:szCs w:val="16"/>
                        </w:rPr>
                      </w:pPr>
                      <w:r>
                        <w:rPr>
                          <w:rFonts w:ascii="宋体" w:hAnsi="宋体" w:cs="宋体" w:eastAsia="宋体" w:hint="default"/>
                          <w:spacing w:val="18"/>
                          <w:sz w:val="16"/>
                          <w:szCs w:val="16"/>
                        </w:rPr>
                        <w:t>卫星导航</w:t>
                      </w:r>
                      <w:r>
                        <w:rPr>
                          <w:rFonts w:ascii="宋体" w:hAnsi="宋体" w:cs="宋体" w:eastAsia="宋体" w:hint="default"/>
                          <w:spacing w:val="-55"/>
                          <w:sz w:val="16"/>
                          <w:szCs w:val="16"/>
                        </w:rPr>
                        <w:t> </w:t>
                      </w:r>
                      <w:r>
                        <w:rPr>
                          <w:rFonts w:ascii="宋体" w:hAnsi="宋体" w:cs="宋体" w:eastAsia="宋体" w:hint="default"/>
                          <w:sz w:val="16"/>
                          <w:szCs w:val="16"/>
                        </w:rPr>
                      </w:r>
                    </w:p>
                    <w:p>
                      <w:pPr>
                        <w:spacing w:before="0"/>
                        <w:ind w:left="0" w:right="0" w:firstLine="0"/>
                        <w:jc w:val="left"/>
                        <w:rPr>
                          <w:rFonts w:ascii="宋体" w:hAnsi="宋体" w:cs="宋体" w:eastAsia="宋体" w:hint="default"/>
                          <w:sz w:val="16"/>
                          <w:szCs w:val="16"/>
                        </w:rPr>
                      </w:pPr>
                      <w:r>
                        <w:rPr>
                          <w:rFonts w:ascii="宋体" w:hAnsi="宋体" w:cs="宋体" w:eastAsia="宋体" w:hint="default"/>
                          <w:spacing w:val="18"/>
                          <w:sz w:val="16"/>
                          <w:szCs w:val="16"/>
                        </w:rPr>
                        <w:t>及应用项</w:t>
                      </w:r>
                      <w:r>
                        <w:rPr>
                          <w:rFonts w:ascii="宋体" w:hAnsi="宋体" w:cs="宋体" w:eastAsia="宋体" w:hint="default"/>
                          <w:spacing w:val="-55"/>
                          <w:sz w:val="16"/>
                          <w:szCs w:val="16"/>
                        </w:rPr>
                        <w:t> </w:t>
                      </w:r>
                      <w:r>
                        <w:rPr>
                          <w:rFonts w:ascii="宋体" w:hAnsi="宋体" w:cs="宋体" w:eastAsia="宋体" w:hint="default"/>
                          <w:sz w:val="16"/>
                          <w:szCs w:val="16"/>
                        </w:rPr>
                        <w:t>目</w:t>
                      </w:r>
                    </w:p>
                  </w:txbxContent>
                </v:textbox>
                <w10:wrap type="none"/>
              </v:shape>
              <v:shape style="position:absolute;left:14951;top:3576;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自筹</w:t>
                      </w:r>
                      <w:r>
                        <w:rPr>
                          <w:rFonts w:ascii="宋体" w:hAnsi="宋体" w:cs="宋体" w:eastAsia="宋体" w:hint="default"/>
                          <w:sz w:val="16"/>
                          <w:szCs w:val="16"/>
                        </w:rPr>
                      </w:r>
                    </w:p>
                  </w:txbxContent>
                </v:textbox>
                <w10:wrap type="none"/>
              </v:shape>
              <v:shape style="position:absolute;left:2160;top:4137;width:740;height:575" type="#_x0000_t202" filled="false" stroked="false">
                <v:textbox inset="0,0,0,0">
                  <w:txbxContent>
                    <w:p>
                      <w:pPr>
                        <w:spacing w:line="158" w:lineRule="exact" w:before="0"/>
                        <w:ind w:left="0" w:right="0" w:firstLine="0"/>
                        <w:jc w:val="left"/>
                        <w:rPr>
                          <w:rFonts w:ascii="宋体" w:hAnsi="宋体" w:cs="宋体" w:eastAsia="宋体" w:hint="default"/>
                          <w:sz w:val="16"/>
                          <w:szCs w:val="16"/>
                        </w:rPr>
                      </w:pPr>
                      <w:r>
                        <w:rPr>
                          <w:rFonts w:ascii="宋体" w:hAnsi="宋体" w:cs="宋体" w:eastAsia="宋体" w:hint="default"/>
                          <w:spacing w:val="18"/>
                          <w:sz w:val="16"/>
                          <w:szCs w:val="16"/>
                        </w:rPr>
                        <w:t>特种装备</w:t>
                      </w:r>
                      <w:r>
                        <w:rPr>
                          <w:rFonts w:ascii="宋体" w:hAnsi="宋体" w:cs="宋体" w:eastAsia="宋体" w:hint="default"/>
                          <w:spacing w:val="-55"/>
                          <w:sz w:val="16"/>
                          <w:szCs w:val="16"/>
                        </w:rPr>
                        <w:t> </w:t>
                      </w:r>
                      <w:r>
                        <w:rPr>
                          <w:rFonts w:ascii="宋体" w:hAnsi="宋体" w:cs="宋体" w:eastAsia="宋体" w:hint="default"/>
                          <w:sz w:val="16"/>
                          <w:szCs w:val="16"/>
                        </w:rPr>
                      </w:r>
                    </w:p>
                    <w:p>
                      <w:pPr>
                        <w:spacing w:before="0"/>
                        <w:ind w:left="0" w:right="0" w:firstLine="0"/>
                        <w:jc w:val="left"/>
                        <w:rPr>
                          <w:rFonts w:ascii="宋体" w:hAnsi="宋体" w:cs="宋体" w:eastAsia="宋体" w:hint="default"/>
                          <w:sz w:val="16"/>
                          <w:szCs w:val="16"/>
                        </w:rPr>
                      </w:pPr>
                      <w:r>
                        <w:rPr>
                          <w:rFonts w:ascii="宋体" w:hAnsi="宋体" w:cs="宋体" w:eastAsia="宋体" w:hint="default"/>
                          <w:spacing w:val="18"/>
                          <w:sz w:val="16"/>
                          <w:szCs w:val="16"/>
                        </w:rPr>
                        <w:t>新能源及</w:t>
                      </w:r>
                      <w:r>
                        <w:rPr>
                          <w:rFonts w:ascii="宋体" w:hAnsi="宋体" w:cs="宋体" w:eastAsia="宋体" w:hint="default"/>
                          <w:spacing w:val="-55"/>
                          <w:sz w:val="16"/>
                          <w:szCs w:val="16"/>
                        </w:rPr>
                        <w:t> </w:t>
                      </w:r>
                      <w:r>
                        <w:rPr>
                          <w:rFonts w:ascii="宋体" w:hAnsi="宋体" w:cs="宋体" w:eastAsia="宋体" w:hint="default"/>
                          <w:sz w:val="16"/>
                          <w:szCs w:val="16"/>
                        </w:rPr>
                        <w:t>应用建设</w:t>
                      </w:r>
                    </w:p>
                  </w:txbxContent>
                </v:textbox>
                <w10:wrap type="none"/>
              </v:shape>
              <v:shape style="position:absolute;left:14951;top:4344;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自筹</w:t>
                      </w:r>
                      <w:r>
                        <w:rPr>
                          <w:rFonts w:ascii="宋体" w:hAnsi="宋体" w:cs="宋体" w:eastAsia="宋体" w:hint="default"/>
                          <w:sz w:val="16"/>
                          <w:szCs w:val="16"/>
                        </w:rPr>
                      </w:r>
                    </w:p>
                  </w:txbxContent>
                </v:textbox>
                <w10:wrap type="none"/>
              </v:shape>
              <v:shape style="position:absolute;left:2160;top:4906;width:740;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spacing w:val="18"/>
                          <w:sz w:val="16"/>
                          <w:szCs w:val="16"/>
                        </w:rPr>
                        <w:t>生产能力</w:t>
                      </w:r>
                      <w:r>
                        <w:rPr>
                          <w:rFonts w:ascii="宋体" w:hAnsi="宋体" w:cs="宋体" w:eastAsia="宋体" w:hint="default"/>
                          <w:spacing w:val="-55"/>
                          <w:sz w:val="16"/>
                          <w:szCs w:val="16"/>
                        </w:rPr>
                        <w:t> </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建设</w:t>
                      </w:r>
                    </w:p>
                  </w:txbxContent>
                </v:textbox>
                <w10:wrap type="none"/>
              </v:shape>
              <v:shape style="position:absolute;left:14951;top:4906;width:600;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spacing w:val="-10"/>
                          <w:w w:val="95"/>
                          <w:sz w:val="16"/>
                          <w:szCs w:val="16"/>
                        </w:rPr>
                        <w:t>国拨、自</w:t>
                      </w:r>
                      <w:r>
                        <w:rPr>
                          <w:rFonts w:ascii="宋体" w:hAnsi="宋体" w:cs="宋体" w:eastAsia="宋体" w:hint="default"/>
                          <w:spacing w:val="-10"/>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筹</w:t>
                      </w:r>
                      <w:r>
                        <w:rPr>
                          <w:rFonts w:ascii="宋体" w:hAnsi="宋体" w:cs="宋体" w:eastAsia="宋体" w:hint="default"/>
                          <w:sz w:val="16"/>
                          <w:szCs w:val="16"/>
                        </w:rPr>
                      </w:r>
                    </w:p>
                  </w:txbxContent>
                </v:textbox>
                <w10:wrap type="none"/>
              </v:shape>
              <v:shape style="position:absolute;left:2160;top:5466;width:4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未来城</w:t>
                      </w:r>
                      <w:r>
                        <w:rPr>
                          <w:rFonts w:ascii="宋体" w:hAnsi="宋体" w:cs="宋体" w:eastAsia="宋体" w:hint="default"/>
                          <w:sz w:val="16"/>
                          <w:szCs w:val="16"/>
                        </w:rPr>
                      </w:r>
                    </w:p>
                  </w:txbxContent>
                </v:textbox>
                <w10:wrap type="none"/>
              </v:shape>
              <v:shape style="position:absolute;left:14951;top:5466;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自筹</w:t>
                      </w:r>
                      <w:r>
                        <w:rPr>
                          <w:rFonts w:ascii="宋体" w:hAnsi="宋体" w:cs="宋体" w:eastAsia="宋体" w:hint="default"/>
                          <w:sz w:val="16"/>
                          <w:szCs w:val="16"/>
                        </w:rPr>
                      </w:r>
                    </w:p>
                  </w:txbxContent>
                </v:textbox>
                <w10:wrap type="none"/>
              </v:shape>
              <v:shape style="position:absolute;left:2160;top:5820;width:4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机器手</w:t>
                      </w:r>
                      <w:r>
                        <w:rPr>
                          <w:rFonts w:ascii="宋体" w:hAnsi="宋体" w:cs="宋体" w:eastAsia="宋体" w:hint="default"/>
                          <w:sz w:val="16"/>
                          <w:szCs w:val="16"/>
                        </w:rPr>
                      </w:r>
                    </w:p>
                  </w:txbxContent>
                </v:textbox>
                <w10:wrap type="none"/>
              </v:shape>
              <v:shape style="position:absolute;left:14951;top:5820;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自筹</w:t>
                      </w:r>
                      <w:r>
                        <w:rPr>
                          <w:rFonts w:ascii="宋体" w:hAnsi="宋体" w:cs="宋体" w:eastAsia="宋体" w:hint="default"/>
                          <w:sz w:val="16"/>
                          <w:szCs w:val="16"/>
                        </w:rPr>
                      </w:r>
                    </w:p>
                  </w:txbxContent>
                </v:textbox>
                <w10:wrap type="none"/>
              </v:shape>
              <v:shape style="position:absolute;left:2160;top:6173;width:740;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spacing w:val="18"/>
                          <w:sz w:val="16"/>
                          <w:szCs w:val="16"/>
                        </w:rPr>
                        <w:t>研制保障</w:t>
                      </w:r>
                      <w:r>
                        <w:rPr>
                          <w:rFonts w:ascii="宋体" w:hAnsi="宋体" w:cs="宋体" w:eastAsia="宋体" w:hint="default"/>
                          <w:spacing w:val="-55"/>
                          <w:sz w:val="16"/>
                          <w:szCs w:val="16"/>
                        </w:rPr>
                        <w:t> </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项目</w:t>
                      </w:r>
                    </w:p>
                  </w:txbxContent>
                </v:textbox>
                <w10:wrap type="none"/>
              </v:shape>
              <v:shape style="position:absolute;left:14951;top:6173;width:600;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spacing w:val="-10"/>
                          <w:w w:val="95"/>
                          <w:sz w:val="16"/>
                          <w:szCs w:val="16"/>
                        </w:rPr>
                        <w:t>国拨、自</w:t>
                      </w:r>
                      <w:r>
                        <w:rPr>
                          <w:rFonts w:ascii="宋体" w:hAnsi="宋体" w:cs="宋体" w:eastAsia="宋体" w:hint="default"/>
                          <w:spacing w:val="-10"/>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筹</w:t>
                      </w:r>
                      <w:r>
                        <w:rPr>
                          <w:rFonts w:ascii="宋体" w:hAnsi="宋体" w:cs="宋体" w:eastAsia="宋体" w:hint="default"/>
                          <w:sz w:val="16"/>
                          <w:szCs w:val="16"/>
                        </w:rPr>
                      </w:r>
                    </w:p>
                  </w:txbxContent>
                </v:textbox>
                <w10:wrap type="none"/>
              </v:shape>
              <v:shape style="position:absolute;left:2160;top:6735;width:639;height:513" type="#_x0000_t202" filled="false" stroked="false">
                <v:textbox inset="0,0,0,0">
                  <w:txbxContent>
                    <w:p>
                      <w:pPr>
                        <w:spacing w:line="160" w:lineRule="exact" w:before="0"/>
                        <w:ind w:left="0" w:right="0" w:firstLine="0"/>
                        <w:jc w:val="center"/>
                        <w:rPr>
                          <w:rFonts w:ascii="宋体" w:hAnsi="宋体" w:cs="宋体" w:eastAsia="宋体" w:hint="default"/>
                          <w:sz w:val="16"/>
                          <w:szCs w:val="16"/>
                        </w:rPr>
                      </w:pPr>
                      <w:r>
                        <w:rPr>
                          <w:rFonts w:ascii="宋体" w:hAnsi="宋体" w:cs="宋体" w:eastAsia="宋体" w:hint="default"/>
                          <w:w w:val="95"/>
                          <w:sz w:val="16"/>
                          <w:szCs w:val="16"/>
                        </w:rPr>
                        <w:t>其他合计</w:t>
                      </w:r>
                      <w:r>
                        <w:rPr>
                          <w:rFonts w:ascii="宋体" w:hAnsi="宋体" w:cs="宋体" w:eastAsia="宋体" w:hint="default"/>
                          <w:sz w:val="16"/>
                          <w:szCs w:val="16"/>
                        </w:rPr>
                      </w:r>
                    </w:p>
                    <w:p>
                      <w:pPr>
                        <w:spacing w:before="143"/>
                        <w:ind w:left="74" w:right="0" w:firstLine="0"/>
                        <w:jc w:val="center"/>
                        <w:rPr>
                          <w:rFonts w:ascii="宋体" w:hAnsi="宋体" w:cs="宋体" w:eastAsia="宋体" w:hint="default"/>
                          <w:sz w:val="16"/>
                          <w:szCs w:val="16"/>
                        </w:rPr>
                      </w:pPr>
                      <w:r>
                        <w:rPr>
                          <w:rFonts w:ascii="宋体" w:hAnsi="宋体" w:cs="宋体" w:eastAsia="宋体" w:hint="default"/>
                          <w:sz w:val="16"/>
                          <w:szCs w:val="16"/>
                        </w:rPr>
                        <w:t>合计</w:t>
                      </w:r>
                    </w:p>
                  </w:txbxContent>
                </v:textbox>
                <w10:wrap type="none"/>
              </v:shape>
            </v:group>
            <w10:wrap type="none"/>
          </v:group>
        </w:pict>
      </w:r>
      <w:r>
        <w:rPr>
          <w:rFonts w:ascii="Times New Roman" w:hAnsi="Times New Roman" w:cs="Times New Roman" w:eastAsia="Times New Roman" w:hint="default"/>
          <w:w w:val="95"/>
        </w:rPr>
        <w:t>3</w:t>
      </w:r>
      <w:r>
        <w:rPr>
          <w:w w:val="95"/>
        </w:rPr>
        <w:t>、</w:t>
        <w:tab/>
      </w:r>
      <w:r>
        <w:rPr/>
        <w:t>重要的在建工程项目本期变动情况</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0"/>
          <w:szCs w:val="10"/>
        </w:rPr>
      </w:pPr>
    </w:p>
    <w:tbl>
      <w:tblPr>
        <w:tblW w:w="0" w:type="auto"/>
        <w:jc w:val="left"/>
        <w:tblInd w:w="1756" w:type="dxa"/>
        <w:tblLayout w:type="fixed"/>
        <w:tblCellMar>
          <w:top w:w="0" w:type="dxa"/>
          <w:left w:w="0" w:type="dxa"/>
          <w:bottom w:w="0" w:type="dxa"/>
          <w:right w:w="0" w:type="dxa"/>
        </w:tblCellMar>
        <w:tblLook w:val="01E0"/>
      </w:tblPr>
      <w:tblGrid>
        <w:gridCol w:w="1263"/>
        <w:gridCol w:w="1336"/>
        <w:gridCol w:w="1216"/>
        <w:gridCol w:w="1216"/>
        <w:gridCol w:w="1056"/>
        <w:gridCol w:w="1369"/>
        <w:gridCol w:w="697"/>
        <w:gridCol w:w="664"/>
        <w:gridCol w:w="1216"/>
        <w:gridCol w:w="1198"/>
        <w:gridCol w:w="484"/>
      </w:tblGrid>
      <w:tr>
        <w:trPr>
          <w:trHeight w:val="512" w:hRule="exact"/>
        </w:trPr>
        <w:tc>
          <w:tcPr>
            <w:tcW w:w="1263" w:type="dxa"/>
            <w:tcBorders>
              <w:top w:val="nil" w:sz="6" w:space="0" w:color="auto"/>
              <w:left w:val="nil" w:sz="6" w:space="0" w:color="auto"/>
              <w:bottom w:val="nil" w:sz="6" w:space="0" w:color="auto"/>
              <w:right w:val="nil" w:sz="6" w:space="0" w:color="auto"/>
            </w:tcBorders>
          </w:tcPr>
          <w:p>
            <w:pPr>
              <w:pStyle w:val="TableParagraph"/>
              <w:spacing w:line="240" w:lineRule="auto" w:before="79"/>
              <w:ind w:left="47" w:right="0"/>
              <w:jc w:val="center"/>
              <w:rPr>
                <w:rFonts w:ascii="Times New Roman" w:hAnsi="Times New Roman" w:cs="Times New Roman" w:eastAsia="Times New Roman" w:hint="default"/>
                <w:sz w:val="16"/>
                <w:szCs w:val="16"/>
              </w:rPr>
            </w:pPr>
            <w:r>
              <w:rPr>
                <w:rFonts w:ascii="Times New Roman"/>
                <w:sz w:val="16"/>
              </w:rPr>
              <w:t>363,500,000.00</w:t>
            </w:r>
          </w:p>
        </w:tc>
        <w:tc>
          <w:tcPr>
            <w:tcW w:w="1336"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07"/>
              <w:jc w:val="right"/>
              <w:rPr>
                <w:rFonts w:ascii="Times New Roman" w:hAnsi="Times New Roman" w:cs="Times New Roman" w:eastAsia="Times New Roman" w:hint="default"/>
                <w:sz w:val="16"/>
                <w:szCs w:val="16"/>
              </w:rPr>
            </w:pPr>
            <w:r>
              <w:rPr>
                <w:rFonts w:ascii="Times New Roman"/>
                <w:spacing w:val="-1"/>
                <w:sz w:val="16"/>
              </w:rPr>
              <w:t>298,973,147.46</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05"/>
              <w:jc w:val="right"/>
              <w:rPr>
                <w:rFonts w:ascii="Times New Roman" w:hAnsi="Times New Roman" w:cs="Times New Roman" w:eastAsia="Times New Roman" w:hint="default"/>
                <w:sz w:val="16"/>
                <w:szCs w:val="16"/>
              </w:rPr>
            </w:pPr>
            <w:r>
              <w:rPr>
                <w:rFonts w:ascii="Times New Roman"/>
                <w:spacing w:val="-1"/>
                <w:sz w:val="16"/>
              </w:rPr>
              <w:t>67,911,317.35</w:t>
            </w:r>
          </w:p>
        </w:tc>
        <w:tc>
          <w:tcPr>
            <w:tcW w:w="1216" w:type="dxa"/>
            <w:tcBorders>
              <w:top w:val="nil" w:sz="6" w:space="0" w:color="auto"/>
              <w:left w:val="nil" w:sz="6" w:space="0" w:color="auto"/>
              <w:bottom w:val="nil" w:sz="6" w:space="0" w:color="auto"/>
              <w:right w:val="nil" w:sz="6" w:space="0" w:color="auto"/>
            </w:tcBorders>
          </w:tcPr>
          <w:p>
            <w:pPr/>
          </w:p>
        </w:tc>
        <w:tc>
          <w:tcPr>
            <w:tcW w:w="1056" w:type="dxa"/>
            <w:tcBorders>
              <w:top w:val="nil" w:sz="6" w:space="0" w:color="auto"/>
              <w:left w:val="nil" w:sz="6" w:space="0" w:color="auto"/>
              <w:bottom w:val="nil" w:sz="6" w:space="0" w:color="auto"/>
              <w:right w:val="nil" w:sz="6" w:space="0" w:color="auto"/>
            </w:tcBorders>
          </w:tcPr>
          <w:p>
            <w:pP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39"/>
              <w:jc w:val="right"/>
              <w:rPr>
                <w:rFonts w:ascii="Times New Roman" w:hAnsi="Times New Roman" w:cs="Times New Roman" w:eastAsia="Times New Roman" w:hint="default"/>
                <w:sz w:val="16"/>
                <w:szCs w:val="16"/>
              </w:rPr>
            </w:pPr>
            <w:r>
              <w:rPr>
                <w:rFonts w:ascii="Times New Roman"/>
                <w:spacing w:val="-1"/>
                <w:sz w:val="16"/>
              </w:rPr>
              <w:t>366,884,464.81</w:t>
            </w:r>
          </w:p>
        </w:tc>
        <w:tc>
          <w:tcPr>
            <w:tcW w:w="697"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13"/>
              <w:jc w:val="right"/>
              <w:rPr>
                <w:rFonts w:ascii="Times New Roman" w:hAnsi="Times New Roman" w:cs="Times New Roman" w:eastAsia="Times New Roman" w:hint="default"/>
                <w:sz w:val="16"/>
                <w:szCs w:val="16"/>
              </w:rPr>
            </w:pPr>
            <w:r>
              <w:rPr>
                <w:rFonts w:ascii="Times New Roman"/>
                <w:spacing w:val="-1"/>
                <w:sz w:val="16"/>
              </w:rPr>
              <w:t>100.00</w:t>
            </w:r>
          </w:p>
        </w:tc>
        <w:tc>
          <w:tcPr>
            <w:tcW w:w="664"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05"/>
              <w:jc w:val="right"/>
              <w:rPr>
                <w:rFonts w:ascii="Times New Roman" w:hAnsi="Times New Roman" w:cs="Times New Roman" w:eastAsia="Times New Roman" w:hint="default"/>
                <w:sz w:val="16"/>
                <w:szCs w:val="16"/>
              </w:rPr>
            </w:pPr>
            <w:r>
              <w:rPr>
                <w:rFonts w:ascii="Times New Roman"/>
                <w:spacing w:val="-1"/>
                <w:sz w:val="16"/>
              </w:rPr>
              <w:t>99.00</w:t>
            </w:r>
          </w:p>
        </w:tc>
        <w:tc>
          <w:tcPr>
            <w:tcW w:w="2898" w:type="dxa"/>
            <w:gridSpan w:val="3"/>
            <w:tcBorders>
              <w:top w:val="nil" w:sz="6" w:space="0" w:color="auto"/>
              <w:left w:val="nil" w:sz="6" w:space="0" w:color="auto"/>
              <w:bottom w:val="nil" w:sz="6" w:space="0" w:color="auto"/>
              <w:right w:val="nil" w:sz="6" w:space="0" w:color="auto"/>
            </w:tcBorders>
          </w:tcPr>
          <w:p>
            <w:pPr/>
          </w:p>
        </w:tc>
      </w:tr>
      <w:tr>
        <w:trPr>
          <w:trHeight w:val="716" w:hRule="exact"/>
        </w:trPr>
        <w:tc>
          <w:tcPr>
            <w:tcW w:w="126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72"/>
              <w:jc w:val="center"/>
              <w:rPr>
                <w:rFonts w:ascii="Times New Roman" w:hAnsi="Times New Roman" w:cs="Times New Roman" w:eastAsia="Times New Roman" w:hint="default"/>
                <w:sz w:val="16"/>
                <w:szCs w:val="16"/>
              </w:rPr>
            </w:pPr>
            <w:r>
              <w:rPr>
                <w:rFonts w:ascii="Times New Roman"/>
                <w:sz w:val="16"/>
              </w:rPr>
              <w:t>1,887,730,000.00</w:t>
            </w:r>
          </w:p>
        </w:tc>
        <w:tc>
          <w:tcPr>
            <w:tcW w:w="133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105"/>
              <w:jc w:val="right"/>
              <w:rPr>
                <w:rFonts w:ascii="Times New Roman" w:hAnsi="Times New Roman" w:cs="Times New Roman" w:eastAsia="Times New Roman" w:hint="default"/>
                <w:sz w:val="16"/>
                <w:szCs w:val="16"/>
              </w:rPr>
            </w:pPr>
            <w:r>
              <w:rPr>
                <w:rFonts w:ascii="Times New Roman"/>
                <w:spacing w:val="-1"/>
                <w:sz w:val="16"/>
              </w:rPr>
              <w:t>90,182,204.18</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105"/>
              <w:jc w:val="right"/>
              <w:rPr>
                <w:rFonts w:ascii="Times New Roman" w:hAnsi="Times New Roman" w:cs="Times New Roman" w:eastAsia="Times New Roman" w:hint="default"/>
                <w:sz w:val="16"/>
                <w:szCs w:val="16"/>
              </w:rPr>
            </w:pPr>
            <w:r>
              <w:rPr>
                <w:rFonts w:ascii="Times New Roman"/>
                <w:spacing w:val="-1"/>
                <w:sz w:val="16"/>
              </w:rPr>
              <w:t>52,834,637.77</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105"/>
              <w:jc w:val="right"/>
              <w:rPr>
                <w:rFonts w:ascii="Times New Roman" w:hAnsi="Times New Roman" w:cs="Times New Roman" w:eastAsia="Times New Roman" w:hint="default"/>
                <w:sz w:val="16"/>
                <w:szCs w:val="16"/>
              </w:rPr>
            </w:pPr>
            <w:r>
              <w:rPr>
                <w:rFonts w:ascii="Times New Roman"/>
                <w:spacing w:val="-1"/>
                <w:sz w:val="16"/>
              </w:rPr>
              <w:t>13,476,896.18</w:t>
            </w:r>
          </w:p>
        </w:tc>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left="126" w:right="0"/>
              <w:jc w:val="center"/>
              <w:rPr>
                <w:rFonts w:ascii="Times New Roman" w:hAnsi="Times New Roman" w:cs="Times New Roman" w:eastAsia="Times New Roman" w:hint="default"/>
                <w:sz w:val="16"/>
                <w:szCs w:val="16"/>
              </w:rPr>
            </w:pPr>
            <w:r>
              <w:rPr>
                <w:rFonts w:ascii="Times New Roman"/>
                <w:sz w:val="16"/>
              </w:rPr>
              <w:t>411,429.00</w:t>
            </w: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138"/>
              <w:jc w:val="right"/>
              <w:rPr>
                <w:rFonts w:ascii="Times New Roman" w:hAnsi="Times New Roman" w:cs="Times New Roman" w:eastAsia="Times New Roman" w:hint="default"/>
                <w:sz w:val="16"/>
                <w:szCs w:val="16"/>
              </w:rPr>
            </w:pPr>
            <w:r>
              <w:rPr>
                <w:rFonts w:ascii="Times New Roman"/>
                <w:spacing w:val="-1"/>
                <w:sz w:val="16"/>
              </w:rPr>
              <w:t>129,128,516.77</w:t>
            </w:r>
          </w:p>
        </w:tc>
        <w:tc>
          <w:tcPr>
            <w:tcW w:w="69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113"/>
              <w:jc w:val="right"/>
              <w:rPr>
                <w:rFonts w:ascii="Times New Roman" w:hAnsi="Times New Roman" w:cs="Times New Roman" w:eastAsia="Times New Roman" w:hint="default"/>
                <w:sz w:val="16"/>
                <w:szCs w:val="16"/>
              </w:rPr>
            </w:pPr>
            <w:r>
              <w:rPr>
                <w:rFonts w:ascii="Times New Roman"/>
                <w:spacing w:val="-1"/>
                <w:sz w:val="16"/>
              </w:rPr>
              <w:t>8.32</w:t>
            </w:r>
          </w:p>
        </w:tc>
        <w:tc>
          <w:tcPr>
            <w:tcW w:w="66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105"/>
              <w:jc w:val="right"/>
              <w:rPr>
                <w:rFonts w:ascii="Times New Roman" w:hAnsi="Times New Roman" w:cs="Times New Roman" w:eastAsia="Times New Roman" w:hint="default"/>
                <w:sz w:val="16"/>
                <w:szCs w:val="16"/>
              </w:rPr>
            </w:pPr>
            <w:r>
              <w:rPr>
                <w:rFonts w:ascii="Times New Roman"/>
                <w:spacing w:val="-1"/>
                <w:sz w:val="16"/>
              </w:rPr>
              <w:t>8.32</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105"/>
              <w:jc w:val="right"/>
              <w:rPr>
                <w:rFonts w:ascii="Times New Roman" w:hAnsi="Times New Roman" w:cs="Times New Roman" w:eastAsia="Times New Roman" w:hint="default"/>
                <w:sz w:val="16"/>
                <w:szCs w:val="16"/>
              </w:rPr>
            </w:pPr>
            <w:r>
              <w:rPr>
                <w:rFonts w:ascii="Times New Roman"/>
                <w:spacing w:val="-1"/>
                <w:sz w:val="16"/>
              </w:rPr>
              <w:t>1,893,000.00</w:t>
            </w:r>
          </w:p>
        </w:tc>
        <w:tc>
          <w:tcPr>
            <w:tcW w:w="119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166"/>
              <w:jc w:val="right"/>
              <w:rPr>
                <w:rFonts w:ascii="Times New Roman" w:hAnsi="Times New Roman" w:cs="Times New Roman" w:eastAsia="Times New Roman" w:hint="default"/>
                <w:sz w:val="16"/>
                <w:szCs w:val="16"/>
              </w:rPr>
            </w:pPr>
            <w:r>
              <w:rPr>
                <w:rFonts w:ascii="Times New Roman"/>
                <w:spacing w:val="-1"/>
                <w:sz w:val="16"/>
              </w:rPr>
              <w:t>1,095,000.00</w:t>
            </w:r>
          </w:p>
        </w:tc>
        <w:tc>
          <w:tcPr>
            <w:tcW w:w="48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left="168" w:right="0"/>
              <w:jc w:val="left"/>
              <w:rPr>
                <w:rFonts w:ascii="Times New Roman" w:hAnsi="Times New Roman" w:cs="Times New Roman" w:eastAsia="Times New Roman" w:hint="default"/>
                <w:sz w:val="16"/>
                <w:szCs w:val="16"/>
              </w:rPr>
            </w:pPr>
            <w:r>
              <w:rPr>
                <w:rFonts w:ascii="Times New Roman"/>
                <w:sz w:val="16"/>
              </w:rPr>
              <w:t>1.08</w:t>
            </w:r>
          </w:p>
        </w:tc>
      </w:tr>
      <w:tr>
        <w:trPr>
          <w:trHeight w:val="716" w:hRule="exact"/>
        </w:trPr>
        <w:tc>
          <w:tcPr>
            <w:tcW w:w="126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left="47" w:right="0"/>
              <w:jc w:val="center"/>
              <w:rPr>
                <w:rFonts w:ascii="Times New Roman" w:hAnsi="Times New Roman" w:cs="Times New Roman" w:eastAsia="Times New Roman" w:hint="default"/>
                <w:sz w:val="16"/>
                <w:szCs w:val="16"/>
              </w:rPr>
            </w:pPr>
            <w:r>
              <w:rPr>
                <w:rFonts w:ascii="Times New Roman"/>
                <w:sz w:val="16"/>
              </w:rPr>
              <w:t>235,000,000.00</w:t>
            </w:r>
          </w:p>
        </w:tc>
        <w:tc>
          <w:tcPr>
            <w:tcW w:w="133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right="105"/>
              <w:jc w:val="right"/>
              <w:rPr>
                <w:rFonts w:ascii="Times New Roman" w:hAnsi="Times New Roman" w:cs="Times New Roman" w:eastAsia="Times New Roman" w:hint="default"/>
                <w:sz w:val="16"/>
                <w:szCs w:val="16"/>
              </w:rPr>
            </w:pPr>
            <w:r>
              <w:rPr>
                <w:rFonts w:ascii="Times New Roman"/>
                <w:spacing w:val="-1"/>
                <w:sz w:val="16"/>
              </w:rPr>
              <w:t>37,522,251.17</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right="105"/>
              <w:jc w:val="right"/>
              <w:rPr>
                <w:rFonts w:ascii="Times New Roman" w:hAnsi="Times New Roman" w:cs="Times New Roman" w:eastAsia="Times New Roman" w:hint="default"/>
                <w:sz w:val="16"/>
                <w:szCs w:val="16"/>
              </w:rPr>
            </w:pPr>
            <w:r>
              <w:rPr>
                <w:rFonts w:ascii="Times New Roman"/>
                <w:spacing w:val="-1"/>
                <w:sz w:val="16"/>
              </w:rPr>
              <w:t>28,575,969.47</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right="105"/>
              <w:jc w:val="right"/>
              <w:rPr>
                <w:rFonts w:ascii="Times New Roman" w:hAnsi="Times New Roman" w:cs="Times New Roman" w:eastAsia="Times New Roman" w:hint="default"/>
                <w:sz w:val="16"/>
                <w:szCs w:val="16"/>
              </w:rPr>
            </w:pPr>
            <w:r>
              <w:rPr>
                <w:rFonts w:ascii="Times New Roman"/>
                <w:spacing w:val="-1"/>
                <w:sz w:val="16"/>
              </w:rPr>
              <w:t>9,291,781.70</w:t>
            </w:r>
          </w:p>
        </w:tc>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left="120" w:right="0"/>
              <w:jc w:val="center"/>
              <w:rPr>
                <w:rFonts w:ascii="Times New Roman" w:hAnsi="Times New Roman" w:cs="Times New Roman" w:eastAsia="Times New Roman" w:hint="default"/>
                <w:sz w:val="16"/>
                <w:szCs w:val="16"/>
              </w:rPr>
            </w:pPr>
            <w:r>
              <w:rPr>
                <w:rFonts w:ascii="Times New Roman"/>
                <w:sz w:val="16"/>
              </w:rPr>
              <w:t>137,407.77</w:t>
            </w: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right="138"/>
              <w:jc w:val="right"/>
              <w:rPr>
                <w:rFonts w:ascii="Times New Roman" w:hAnsi="Times New Roman" w:cs="Times New Roman" w:eastAsia="Times New Roman" w:hint="default"/>
                <w:sz w:val="16"/>
                <w:szCs w:val="16"/>
              </w:rPr>
            </w:pPr>
            <w:r>
              <w:rPr>
                <w:rFonts w:ascii="Times New Roman"/>
                <w:spacing w:val="-1"/>
                <w:sz w:val="16"/>
              </w:rPr>
              <w:t>56,669,031.17</w:t>
            </w:r>
          </w:p>
        </w:tc>
        <w:tc>
          <w:tcPr>
            <w:tcW w:w="69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right="113"/>
              <w:jc w:val="right"/>
              <w:rPr>
                <w:rFonts w:ascii="Times New Roman" w:hAnsi="Times New Roman" w:cs="Times New Roman" w:eastAsia="Times New Roman" w:hint="default"/>
                <w:sz w:val="16"/>
                <w:szCs w:val="16"/>
              </w:rPr>
            </w:pPr>
            <w:r>
              <w:rPr>
                <w:rFonts w:ascii="Times New Roman"/>
                <w:spacing w:val="-1"/>
                <w:sz w:val="16"/>
              </w:rPr>
              <w:t>28.85</w:t>
            </w:r>
          </w:p>
        </w:tc>
        <w:tc>
          <w:tcPr>
            <w:tcW w:w="66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right="105"/>
              <w:jc w:val="right"/>
              <w:rPr>
                <w:rFonts w:ascii="Times New Roman" w:hAnsi="Times New Roman" w:cs="Times New Roman" w:eastAsia="Times New Roman" w:hint="default"/>
                <w:sz w:val="16"/>
                <w:szCs w:val="16"/>
              </w:rPr>
            </w:pPr>
            <w:r>
              <w:rPr>
                <w:rFonts w:ascii="Times New Roman"/>
                <w:spacing w:val="-1"/>
                <w:sz w:val="16"/>
              </w:rPr>
              <w:t>28.85</w:t>
            </w:r>
          </w:p>
        </w:tc>
        <w:tc>
          <w:tcPr>
            <w:tcW w:w="1216" w:type="dxa"/>
            <w:tcBorders>
              <w:top w:val="nil" w:sz="6" w:space="0" w:color="auto"/>
              <w:left w:val="nil" w:sz="6" w:space="0" w:color="auto"/>
              <w:bottom w:val="nil" w:sz="6" w:space="0" w:color="auto"/>
              <w:right w:val="nil" w:sz="6" w:space="0" w:color="auto"/>
            </w:tcBorders>
          </w:tcPr>
          <w:p>
            <w:pPr/>
          </w:p>
        </w:tc>
        <w:tc>
          <w:tcPr>
            <w:tcW w:w="1198" w:type="dxa"/>
            <w:tcBorders>
              <w:top w:val="nil" w:sz="6" w:space="0" w:color="auto"/>
              <w:left w:val="nil" w:sz="6" w:space="0" w:color="auto"/>
              <w:bottom w:val="nil" w:sz="6" w:space="0" w:color="auto"/>
              <w:right w:val="nil" w:sz="6" w:space="0" w:color="auto"/>
            </w:tcBorders>
          </w:tcPr>
          <w:p>
            <w:pPr/>
          </w:p>
        </w:tc>
        <w:tc>
          <w:tcPr>
            <w:tcW w:w="484" w:type="dxa"/>
            <w:tcBorders>
              <w:top w:val="nil" w:sz="6" w:space="0" w:color="auto"/>
              <w:left w:val="nil" w:sz="6" w:space="0" w:color="auto"/>
              <w:bottom w:val="nil" w:sz="6" w:space="0" w:color="auto"/>
              <w:right w:val="nil" w:sz="6" w:space="0" w:color="auto"/>
            </w:tcBorders>
          </w:tcPr>
          <w:p>
            <w:pPr/>
          </w:p>
        </w:tc>
      </w:tr>
      <w:tr>
        <w:trPr>
          <w:trHeight w:val="561" w:hRule="exact"/>
        </w:trPr>
        <w:tc>
          <w:tcPr>
            <w:tcW w:w="126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left="126" w:right="0"/>
              <w:jc w:val="center"/>
              <w:rPr>
                <w:rFonts w:ascii="Times New Roman" w:hAnsi="Times New Roman" w:cs="Times New Roman" w:eastAsia="Times New Roman" w:hint="default"/>
                <w:sz w:val="16"/>
                <w:szCs w:val="16"/>
              </w:rPr>
            </w:pPr>
            <w:r>
              <w:rPr>
                <w:rFonts w:ascii="Times New Roman"/>
                <w:sz w:val="16"/>
              </w:rPr>
              <w:t>73,760,000.00</w:t>
            </w:r>
          </w:p>
        </w:tc>
        <w:tc>
          <w:tcPr>
            <w:tcW w:w="133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105"/>
              <w:jc w:val="right"/>
              <w:rPr>
                <w:rFonts w:ascii="Times New Roman" w:hAnsi="Times New Roman" w:cs="Times New Roman" w:eastAsia="Times New Roman" w:hint="default"/>
                <w:sz w:val="16"/>
                <w:szCs w:val="16"/>
              </w:rPr>
            </w:pPr>
            <w:r>
              <w:rPr>
                <w:rFonts w:ascii="Times New Roman"/>
                <w:spacing w:val="-1"/>
                <w:sz w:val="16"/>
              </w:rPr>
              <w:t>26,490,053.96</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107"/>
              <w:jc w:val="right"/>
              <w:rPr>
                <w:rFonts w:ascii="Times New Roman" w:hAnsi="Times New Roman" w:cs="Times New Roman" w:eastAsia="Times New Roman" w:hint="default"/>
                <w:sz w:val="16"/>
                <w:szCs w:val="16"/>
              </w:rPr>
            </w:pPr>
            <w:r>
              <w:rPr>
                <w:rFonts w:ascii="Times New Roman"/>
                <w:spacing w:val="-1"/>
                <w:sz w:val="16"/>
              </w:rPr>
              <w:t>6,691,309.31</w:t>
            </w:r>
          </w:p>
        </w:tc>
        <w:tc>
          <w:tcPr>
            <w:tcW w:w="1216" w:type="dxa"/>
            <w:tcBorders>
              <w:top w:val="nil" w:sz="6" w:space="0" w:color="auto"/>
              <w:left w:val="nil" w:sz="6" w:space="0" w:color="auto"/>
              <w:bottom w:val="nil" w:sz="6" w:space="0" w:color="auto"/>
              <w:right w:val="nil" w:sz="6" w:space="0" w:color="auto"/>
            </w:tcBorders>
          </w:tcPr>
          <w:p>
            <w:pPr/>
          </w:p>
        </w:tc>
        <w:tc>
          <w:tcPr>
            <w:tcW w:w="1056" w:type="dxa"/>
            <w:tcBorders>
              <w:top w:val="nil" w:sz="6" w:space="0" w:color="auto"/>
              <w:left w:val="nil" w:sz="6" w:space="0" w:color="auto"/>
              <w:bottom w:val="nil" w:sz="6" w:space="0" w:color="auto"/>
              <w:right w:val="nil" w:sz="6" w:space="0" w:color="auto"/>
            </w:tcBorders>
          </w:tcPr>
          <w:p>
            <w:pP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138"/>
              <w:jc w:val="right"/>
              <w:rPr>
                <w:rFonts w:ascii="Times New Roman" w:hAnsi="Times New Roman" w:cs="Times New Roman" w:eastAsia="Times New Roman" w:hint="default"/>
                <w:sz w:val="16"/>
                <w:szCs w:val="16"/>
              </w:rPr>
            </w:pPr>
            <w:r>
              <w:rPr>
                <w:rFonts w:ascii="Times New Roman"/>
                <w:spacing w:val="-1"/>
                <w:sz w:val="16"/>
              </w:rPr>
              <w:t>33,181,363.27</w:t>
            </w:r>
          </w:p>
        </w:tc>
        <w:tc>
          <w:tcPr>
            <w:tcW w:w="69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113"/>
              <w:jc w:val="right"/>
              <w:rPr>
                <w:rFonts w:ascii="Times New Roman" w:hAnsi="Times New Roman" w:cs="Times New Roman" w:eastAsia="Times New Roman" w:hint="default"/>
                <w:sz w:val="16"/>
                <w:szCs w:val="16"/>
              </w:rPr>
            </w:pPr>
            <w:r>
              <w:rPr>
                <w:rFonts w:ascii="Times New Roman"/>
                <w:spacing w:val="-1"/>
                <w:sz w:val="16"/>
              </w:rPr>
              <w:t>44.99</w:t>
            </w:r>
          </w:p>
        </w:tc>
        <w:tc>
          <w:tcPr>
            <w:tcW w:w="66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105"/>
              <w:jc w:val="right"/>
              <w:rPr>
                <w:rFonts w:ascii="Times New Roman" w:hAnsi="Times New Roman" w:cs="Times New Roman" w:eastAsia="Times New Roman" w:hint="default"/>
                <w:sz w:val="16"/>
                <w:szCs w:val="16"/>
              </w:rPr>
            </w:pPr>
            <w:r>
              <w:rPr>
                <w:rFonts w:ascii="Times New Roman"/>
                <w:spacing w:val="-1"/>
                <w:sz w:val="16"/>
              </w:rPr>
              <w:t>44.99</w:t>
            </w:r>
          </w:p>
        </w:tc>
        <w:tc>
          <w:tcPr>
            <w:tcW w:w="1216" w:type="dxa"/>
            <w:tcBorders>
              <w:top w:val="nil" w:sz="6" w:space="0" w:color="auto"/>
              <w:left w:val="nil" w:sz="6" w:space="0" w:color="auto"/>
              <w:bottom w:val="nil" w:sz="6" w:space="0" w:color="auto"/>
              <w:right w:val="nil" w:sz="6" w:space="0" w:color="auto"/>
            </w:tcBorders>
          </w:tcPr>
          <w:p>
            <w:pPr/>
          </w:p>
        </w:tc>
        <w:tc>
          <w:tcPr>
            <w:tcW w:w="1198" w:type="dxa"/>
            <w:tcBorders>
              <w:top w:val="nil" w:sz="6" w:space="0" w:color="auto"/>
              <w:left w:val="nil" w:sz="6" w:space="0" w:color="auto"/>
              <w:bottom w:val="nil" w:sz="6" w:space="0" w:color="auto"/>
              <w:right w:val="nil" w:sz="6" w:space="0" w:color="auto"/>
            </w:tcBorders>
          </w:tcPr>
          <w:p>
            <w:pPr/>
          </w:p>
        </w:tc>
        <w:tc>
          <w:tcPr>
            <w:tcW w:w="484" w:type="dxa"/>
            <w:tcBorders>
              <w:top w:val="nil" w:sz="6" w:space="0" w:color="auto"/>
              <w:left w:val="nil" w:sz="6" w:space="0" w:color="auto"/>
              <w:bottom w:val="nil" w:sz="6" w:space="0" w:color="auto"/>
              <w:right w:val="nil" w:sz="6" w:space="0" w:color="auto"/>
            </w:tcBorders>
          </w:tcPr>
          <w:p>
            <w:pPr/>
          </w:p>
        </w:tc>
      </w:tr>
      <w:tr>
        <w:trPr>
          <w:trHeight w:val="406" w:hRule="exact"/>
        </w:trPr>
        <w:tc>
          <w:tcPr>
            <w:tcW w:w="1263" w:type="dxa"/>
            <w:tcBorders>
              <w:top w:val="nil" w:sz="6" w:space="0" w:color="auto"/>
              <w:left w:val="nil" w:sz="6" w:space="0" w:color="auto"/>
              <w:bottom w:val="nil" w:sz="6" w:space="0" w:color="auto"/>
              <w:right w:val="nil" w:sz="6" w:space="0" w:color="auto"/>
            </w:tcBorders>
          </w:tcPr>
          <w:p>
            <w:pPr>
              <w:pStyle w:val="TableParagraph"/>
              <w:spacing w:line="240" w:lineRule="auto" w:before="128"/>
              <w:ind w:left="47" w:right="0"/>
              <w:jc w:val="center"/>
              <w:rPr>
                <w:rFonts w:ascii="Times New Roman" w:hAnsi="Times New Roman" w:cs="Times New Roman" w:eastAsia="Times New Roman" w:hint="default"/>
                <w:sz w:val="16"/>
                <w:szCs w:val="16"/>
              </w:rPr>
            </w:pPr>
            <w:r>
              <w:rPr>
                <w:rFonts w:ascii="Times New Roman"/>
                <w:sz w:val="16"/>
              </w:rPr>
              <w:t>100,000,000.00</w:t>
            </w:r>
          </w:p>
        </w:tc>
        <w:tc>
          <w:tcPr>
            <w:tcW w:w="1336"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05"/>
              <w:jc w:val="right"/>
              <w:rPr>
                <w:rFonts w:ascii="Times New Roman" w:hAnsi="Times New Roman" w:cs="Times New Roman" w:eastAsia="Times New Roman" w:hint="default"/>
                <w:sz w:val="16"/>
                <w:szCs w:val="16"/>
              </w:rPr>
            </w:pPr>
            <w:r>
              <w:rPr>
                <w:rFonts w:ascii="Times New Roman"/>
                <w:spacing w:val="-1"/>
                <w:sz w:val="16"/>
              </w:rPr>
              <w:t>23,921,813.13</w:t>
            </w:r>
          </w:p>
        </w:tc>
        <w:tc>
          <w:tcPr>
            <w:tcW w:w="1216" w:type="dxa"/>
            <w:tcBorders>
              <w:top w:val="nil" w:sz="6" w:space="0" w:color="auto"/>
              <w:left w:val="nil" w:sz="6" w:space="0" w:color="auto"/>
              <w:bottom w:val="nil" w:sz="6" w:space="0" w:color="auto"/>
              <w:right w:val="nil" w:sz="6" w:space="0" w:color="auto"/>
            </w:tcBorders>
          </w:tcPr>
          <w:p>
            <w:pPr/>
          </w:p>
        </w:tc>
        <w:tc>
          <w:tcPr>
            <w:tcW w:w="1216" w:type="dxa"/>
            <w:tcBorders>
              <w:top w:val="nil" w:sz="6" w:space="0" w:color="auto"/>
              <w:left w:val="nil" w:sz="6" w:space="0" w:color="auto"/>
              <w:bottom w:val="nil" w:sz="6" w:space="0" w:color="auto"/>
              <w:right w:val="nil" w:sz="6" w:space="0" w:color="auto"/>
            </w:tcBorders>
          </w:tcPr>
          <w:p>
            <w:pPr/>
          </w:p>
        </w:tc>
        <w:tc>
          <w:tcPr>
            <w:tcW w:w="1056" w:type="dxa"/>
            <w:tcBorders>
              <w:top w:val="nil" w:sz="6" w:space="0" w:color="auto"/>
              <w:left w:val="nil" w:sz="6" w:space="0" w:color="auto"/>
              <w:bottom w:val="nil" w:sz="6" w:space="0" w:color="auto"/>
              <w:right w:val="nil" w:sz="6" w:space="0" w:color="auto"/>
            </w:tcBorders>
          </w:tcPr>
          <w:p>
            <w:pP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38"/>
              <w:jc w:val="right"/>
              <w:rPr>
                <w:rFonts w:ascii="Times New Roman" w:hAnsi="Times New Roman" w:cs="Times New Roman" w:eastAsia="Times New Roman" w:hint="default"/>
                <w:sz w:val="16"/>
                <w:szCs w:val="16"/>
              </w:rPr>
            </w:pPr>
            <w:r>
              <w:rPr>
                <w:rFonts w:ascii="Times New Roman"/>
                <w:spacing w:val="-1"/>
                <w:sz w:val="16"/>
              </w:rPr>
              <w:t>23,921,813.13</w:t>
            </w:r>
          </w:p>
        </w:tc>
        <w:tc>
          <w:tcPr>
            <w:tcW w:w="697"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13"/>
              <w:jc w:val="right"/>
              <w:rPr>
                <w:rFonts w:ascii="Times New Roman" w:hAnsi="Times New Roman" w:cs="Times New Roman" w:eastAsia="Times New Roman" w:hint="default"/>
                <w:sz w:val="16"/>
                <w:szCs w:val="16"/>
              </w:rPr>
            </w:pPr>
            <w:r>
              <w:rPr>
                <w:rFonts w:ascii="Times New Roman"/>
                <w:spacing w:val="-1"/>
                <w:sz w:val="16"/>
              </w:rPr>
              <w:t>63.42</w:t>
            </w:r>
          </w:p>
        </w:tc>
        <w:tc>
          <w:tcPr>
            <w:tcW w:w="664"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05"/>
              <w:jc w:val="right"/>
              <w:rPr>
                <w:rFonts w:ascii="Times New Roman" w:hAnsi="Times New Roman" w:cs="Times New Roman" w:eastAsia="Times New Roman" w:hint="default"/>
                <w:sz w:val="16"/>
                <w:szCs w:val="16"/>
              </w:rPr>
            </w:pPr>
            <w:r>
              <w:rPr>
                <w:rFonts w:ascii="Times New Roman"/>
                <w:spacing w:val="-1"/>
                <w:sz w:val="16"/>
              </w:rPr>
              <w:t>63.42</w:t>
            </w:r>
          </w:p>
        </w:tc>
        <w:tc>
          <w:tcPr>
            <w:tcW w:w="1216" w:type="dxa"/>
            <w:tcBorders>
              <w:top w:val="nil" w:sz="6" w:space="0" w:color="auto"/>
              <w:left w:val="nil" w:sz="6" w:space="0" w:color="auto"/>
              <w:bottom w:val="nil" w:sz="6" w:space="0" w:color="auto"/>
              <w:right w:val="nil" w:sz="6" w:space="0" w:color="auto"/>
            </w:tcBorders>
          </w:tcPr>
          <w:p>
            <w:pPr/>
          </w:p>
        </w:tc>
        <w:tc>
          <w:tcPr>
            <w:tcW w:w="1198" w:type="dxa"/>
            <w:tcBorders>
              <w:top w:val="nil" w:sz="6" w:space="0" w:color="auto"/>
              <w:left w:val="nil" w:sz="6" w:space="0" w:color="auto"/>
              <w:bottom w:val="nil" w:sz="6" w:space="0" w:color="auto"/>
              <w:right w:val="nil" w:sz="6" w:space="0" w:color="auto"/>
            </w:tcBorders>
          </w:tcPr>
          <w:p>
            <w:pPr/>
          </w:p>
        </w:tc>
        <w:tc>
          <w:tcPr>
            <w:tcW w:w="484" w:type="dxa"/>
            <w:tcBorders>
              <w:top w:val="nil" w:sz="6" w:space="0" w:color="auto"/>
              <w:left w:val="nil" w:sz="6" w:space="0" w:color="auto"/>
              <w:bottom w:val="nil" w:sz="6" w:space="0" w:color="auto"/>
              <w:right w:val="nil" w:sz="6" w:space="0" w:color="auto"/>
            </w:tcBorders>
          </w:tcPr>
          <w:p>
            <w:pPr/>
          </w:p>
        </w:tc>
      </w:tr>
      <w:tr>
        <w:trPr>
          <w:trHeight w:val="406" w:hRule="exact"/>
        </w:trPr>
        <w:tc>
          <w:tcPr>
            <w:tcW w:w="1263" w:type="dxa"/>
            <w:tcBorders>
              <w:top w:val="nil" w:sz="6" w:space="0" w:color="auto"/>
              <w:left w:val="nil" w:sz="6" w:space="0" w:color="auto"/>
              <w:bottom w:val="nil" w:sz="6" w:space="0" w:color="auto"/>
              <w:right w:val="nil" w:sz="6" w:space="0" w:color="auto"/>
            </w:tcBorders>
          </w:tcPr>
          <w:p>
            <w:pPr>
              <w:pStyle w:val="TableParagraph"/>
              <w:spacing w:line="240" w:lineRule="auto" w:before="76"/>
              <w:ind w:left="126" w:right="0"/>
              <w:jc w:val="center"/>
              <w:rPr>
                <w:rFonts w:ascii="Times New Roman" w:hAnsi="Times New Roman" w:cs="Times New Roman" w:eastAsia="Times New Roman" w:hint="default"/>
                <w:sz w:val="16"/>
                <w:szCs w:val="16"/>
              </w:rPr>
            </w:pPr>
            <w:r>
              <w:rPr>
                <w:rFonts w:ascii="Times New Roman"/>
                <w:sz w:val="16"/>
              </w:rPr>
              <w:t>26,000,000.00</w:t>
            </w:r>
          </w:p>
        </w:tc>
        <w:tc>
          <w:tcPr>
            <w:tcW w:w="1336"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5"/>
              <w:jc w:val="right"/>
              <w:rPr>
                <w:rFonts w:ascii="Times New Roman" w:hAnsi="Times New Roman" w:cs="Times New Roman" w:eastAsia="Times New Roman" w:hint="default"/>
                <w:sz w:val="16"/>
                <w:szCs w:val="16"/>
              </w:rPr>
            </w:pPr>
            <w:r>
              <w:rPr>
                <w:rFonts w:ascii="Times New Roman"/>
                <w:spacing w:val="-1"/>
                <w:sz w:val="16"/>
              </w:rPr>
              <w:t>7,895,905.35</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7"/>
              <w:jc w:val="right"/>
              <w:rPr>
                <w:rFonts w:ascii="Times New Roman" w:hAnsi="Times New Roman" w:cs="Times New Roman" w:eastAsia="Times New Roman" w:hint="default"/>
                <w:sz w:val="16"/>
                <w:szCs w:val="16"/>
              </w:rPr>
            </w:pPr>
            <w:r>
              <w:rPr>
                <w:rFonts w:ascii="Times New Roman"/>
                <w:spacing w:val="-1"/>
                <w:sz w:val="16"/>
              </w:rPr>
              <w:t>2,219,407.98</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5"/>
              <w:jc w:val="right"/>
              <w:rPr>
                <w:rFonts w:ascii="Times New Roman" w:hAnsi="Times New Roman" w:cs="Times New Roman" w:eastAsia="Times New Roman" w:hint="default"/>
                <w:sz w:val="16"/>
                <w:szCs w:val="16"/>
              </w:rPr>
            </w:pPr>
            <w:r>
              <w:rPr>
                <w:rFonts w:ascii="Times New Roman"/>
                <w:spacing w:val="-1"/>
                <w:sz w:val="16"/>
              </w:rPr>
              <w:t>5,838,660.47</w:t>
            </w:r>
          </w:p>
        </w:tc>
        <w:tc>
          <w:tcPr>
            <w:tcW w:w="1056" w:type="dxa"/>
            <w:tcBorders>
              <w:top w:val="nil" w:sz="6" w:space="0" w:color="auto"/>
              <w:left w:val="nil" w:sz="6" w:space="0" w:color="auto"/>
              <w:bottom w:val="nil" w:sz="6" w:space="0" w:color="auto"/>
              <w:right w:val="nil" w:sz="6" w:space="0" w:color="auto"/>
            </w:tcBorders>
          </w:tcPr>
          <w:p>
            <w:pP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38"/>
              <w:jc w:val="right"/>
              <w:rPr>
                <w:rFonts w:ascii="Times New Roman" w:hAnsi="Times New Roman" w:cs="Times New Roman" w:eastAsia="Times New Roman" w:hint="default"/>
                <w:sz w:val="16"/>
                <w:szCs w:val="16"/>
              </w:rPr>
            </w:pPr>
            <w:r>
              <w:rPr>
                <w:rFonts w:ascii="Times New Roman"/>
                <w:spacing w:val="-1"/>
                <w:sz w:val="16"/>
              </w:rPr>
              <w:t>4,276,652.86</w:t>
            </w:r>
          </w:p>
        </w:tc>
        <w:tc>
          <w:tcPr>
            <w:tcW w:w="697"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13"/>
              <w:jc w:val="right"/>
              <w:rPr>
                <w:rFonts w:ascii="Times New Roman" w:hAnsi="Times New Roman" w:cs="Times New Roman" w:eastAsia="Times New Roman" w:hint="default"/>
                <w:sz w:val="16"/>
                <w:szCs w:val="16"/>
              </w:rPr>
            </w:pPr>
            <w:r>
              <w:rPr>
                <w:rFonts w:ascii="Times New Roman"/>
                <w:spacing w:val="-1"/>
                <w:sz w:val="16"/>
              </w:rPr>
              <w:t>79.50</w:t>
            </w:r>
          </w:p>
        </w:tc>
        <w:tc>
          <w:tcPr>
            <w:tcW w:w="66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5"/>
              <w:jc w:val="right"/>
              <w:rPr>
                <w:rFonts w:ascii="Times New Roman" w:hAnsi="Times New Roman" w:cs="Times New Roman" w:eastAsia="Times New Roman" w:hint="default"/>
                <w:sz w:val="16"/>
                <w:szCs w:val="16"/>
              </w:rPr>
            </w:pPr>
            <w:r>
              <w:rPr>
                <w:rFonts w:ascii="Times New Roman"/>
                <w:spacing w:val="-1"/>
                <w:sz w:val="16"/>
              </w:rPr>
              <w:t>79.50</w:t>
            </w:r>
          </w:p>
        </w:tc>
        <w:tc>
          <w:tcPr>
            <w:tcW w:w="1216" w:type="dxa"/>
            <w:tcBorders>
              <w:top w:val="nil" w:sz="6" w:space="0" w:color="auto"/>
              <w:left w:val="nil" w:sz="6" w:space="0" w:color="auto"/>
              <w:bottom w:val="nil" w:sz="6" w:space="0" w:color="auto"/>
              <w:right w:val="nil" w:sz="6" w:space="0" w:color="auto"/>
            </w:tcBorders>
          </w:tcPr>
          <w:p>
            <w:pPr/>
          </w:p>
        </w:tc>
        <w:tc>
          <w:tcPr>
            <w:tcW w:w="1198" w:type="dxa"/>
            <w:tcBorders>
              <w:top w:val="nil" w:sz="6" w:space="0" w:color="auto"/>
              <w:left w:val="nil" w:sz="6" w:space="0" w:color="auto"/>
              <w:bottom w:val="nil" w:sz="6" w:space="0" w:color="auto"/>
              <w:right w:val="nil" w:sz="6" w:space="0" w:color="auto"/>
            </w:tcBorders>
          </w:tcPr>
          <w:p>
            <w:pPr/>
          </w:p>
        </w:tc>
        <w:tc>
          <w:tcPr>
            <w:tcW w:w="484" w:type="dxa"/>
            <w:tcBorders>
              <w:top w:val="nil" w:sz="6" w:space="0" w:color="auto"/>
              <w:left w:val="nil" w:sz="6" w:space="0" w:color="auto"/>
              <w:bottom w:val="nil" w:sz="6" w:space="0" w:color="auto"/>
              <w:right w:val="nil" w:sz="6" w:space="0" w:color="auto"/>
            </w:tcBorders>
          </w:tcPr>
          <w:p>
            <w:pPr/>
          </w:p>
        </w:tc>
      </w:tr>
      <w:tr>
        <w:trPr>
          <w:trHeight w:val="457" w:hRule="exact"/>
        </w:trPr>
        <w:tc>
          <w:tcPr>
            <w:tcW w:w="1263" w:type="dxa"/>
            <w:tcBorders>
              <w:top w:val="nil" w:sz="6" w:space="0" w:color="auto"/>
              <w:left w:val="nil" w:sz="6" w:space="0" w:color="auto"/>
              <w:bottom w:val="nil" w:sz="6" w:space="0" w:color="auto"/>
              <w:right w:val="nil" w:sz="6" w:space="0" w:color="auto"/>
            </w:tcBorders>
          </w:tcPr>
          <w:p>
            <w:pPr>
              <w:pStyle w:val="TableParagraph"/>
              <w:spacing w:line="240" w:lineRule="auto" w:before="128"/>
              <w:ind w:left="126" w:right="0"/>
              <w:jc w:val="center"/>
              <w:rPr>
                <w:rFonts w:ascii="Times New Roman" w:hAnsi="Times New Roman" w:cs="Times New Roman" w:eastAsia="Times New Roman" w:hint="default"/>
                <w:sz w:val="16"/>
                <w:szCs w:val="16"/>
              </w:rPr>
            </w:pPr>
            <w:r>
              <w:rPr>
                <w:rFonts w:ascii="Times New Roman"/>
                <w:sz w:val="16"/>
              </w:rPr>
              <w:t>43,900,000.00</w:t>
            </w:r>
          </w:p>
        </w:tc>
        <w:tc>
          <w:tcPr>
            <w:tcW w:w="1336"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05"/>
              <w:jc w:val="right"/>
              <w:rPr>
                <w:rFonts w:ascii="Times New Roman" w:hAnsi="Times New Roman" w:cs="Times New Roman" w:eastAsia="Times New Roman" w:hint="default"/>
                <w:sz w:val="16"/>
                <w:szCs w:val="16"/>
              </w:rPr>
            </w:pPr>
            <w:r>
              <w:rPr>
                <w:rFonts w:ascii="Times New Roman"/>
                <w:spacing w:val="-1"/>
                <w:sz w:val="16"/>
              </w:rPr>
              <w:t>44,280,039.83</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06"/>
              <w:jc w:val="right"/>
              <w:rPr>
                <w:rFonts w:ascii="Times New Roman" w:hAnsi="Times New Roman" w:cs="Times New Roman" w:eastAsia="Times New Roman" w:hint="default"/>
                <w:sz w:val="16"/>
                <w:szCs w:val="16"/>
              </w:rPr>
            </w:pPr>
            <w:r>
              <w:rPr>
                <w:rFonts w:ascii="Times New Roman"/>
                <w:spacing w:val="-1"/>
                <w:sz w:val="16"/>
              </w:rPr>
              <w:t>-521,382.76</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05"/>
              <w:jc w:val="right"/>
              <w:rPr>
                <w:rFonts w:ascii="Times New Roman" w:hAnsi="Times New Roman" w:cs="Times New Roman" w:eastAsia="Times New Roman" w:hint="default"/>
                <w:sz w:val="16"/>
                <w:szCs w:val="16"/>
              </w:rPr>
            </w:pPr>
            <w:r>
              <w:rPr>
                <w:rFonts w:ascii="Times New Roman"/>
                <w:spacing w:val="-1"/>
                <w:sz w:val="16"/>
              </w:rPr>
              <w:t>43,758,657.07</w:t>
            </w:r>
          </w:p>
        </w:tc>
        <w:tc>
          <w:tcPr>
            <w:tcW w:w="1056" w:type="dxa"/>
            <w:tcBorders>
              <w:top w:val="nil" w:sz="6" w:space="0" w:color="auto"/>
              <w:left w:val="nil" w:sz="6" w:space="0" w:color="auto"/>
              <w:bottom w:val="nil" w:sz="6" w:space="0" w:color="auto"/>
              <w:right w:val="nil" w:sz="6" w:space="0" w:color="auto"/>
            </w:tcBorders>
          </w:tcPr>
          <w:p>
            <w:pPr/>
          </w:p>
        </w:tc>
        <w:tc>
          <w:tcPr>
            <w:tcW w:w="1369" w:type="dxa"/>
            <w:tcBorders>
              <w:top w:val="nil" w:sz="6" w:space="0" w:color="auto"/>
              <w:left w:val="nil" w:sz="6" w:space="0" w:color="auto"/>
              <w:bottom w:val="nil" w:sz="6" w:space="0" w:color="auto"/>
              <w:right w:val="nil" w:sz="6" w:space="0" w:color="auto"/>
            </w:tcBorders>
          </w:tcPr>
          <w:p>
            <w:pPr/>
          </w:p>
        </w:tc>
        <w:tc>
          <w:tcPr>
            <w:tcW w:w="697"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13"/>
              <w:jc w:val="right"/>
              <w:rPr>
                <w:rFonts w:ascii="Times New Roman" w:hAnsi="Times New Roman" w:cs="Times New Roman" w:eastAsia="Times New Roman" w:hint="default"/>
                <w:sz w:val="16"/>
                <w:szCs w:val="16"/>
              </w:rPr>
            </w:pPr>
            <w:r>
              <w:rPr>
                <w:rFonts w:ascii="Times New Roman"/>
                <w:spacing w:val="-1"/>
                <w:sz w:val="16"/>
              </w:rPr>
              <w:t>100.00</w:t>
            </w:r>
          </w:p>
        </w:tc>
        <w:tc>
          <w:tcPr>
            <w:tcW w:w="664"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05"/>
              <w:jc w:val="right"/>
              <w:rPr>
                <w:rFonts w:ascii="Times New Roman" w:hAnsi="Times New Roman" w:cs="Times New Roman" w:eastAsia="Times New Roman" w:hint="default"/>
                <w:sz w:val="16"/>
                <w:szCs w:val="16"/>
              </w:rPr>
            </w:pPr>
            <w:r>
              <w:rPr>
                <w:rFonts w:ascii="Times New Roman"/>
                <w:spacing w:val="-1"/>
                <w:sz w:val="16"/>
              </w:rPr>
              <w:t>100.00</w:t>
            </w:r>
          </w:p>
        </w:tc>
        <w:tc>
          <w:tcPr>
            <w:tcW w:w="1216" w:type="dxa"/>
            <w:tcBorders>
              <w:top w:val="nil" w:sz="6" w:space="0" w:color="auto"/>
              <w:left w:val="nil" w:sz="6" w:space="0" w:color="auto"/>
              <w:bottom w:val="nil" w:sz="6" w:space="0" w:color="auto"/>
              <w:right w:val="nil" w:sz="6" w:space="0" w:color="auto"/>
            </w:tcBorders>
          </w:tcPr>
          <w:p>
            <w:pPr/>
          </w:p>
        </w:tc>
        <w:tc>
          <w:tcPr>
            <w:tcW w:w="1198" w:type="dxa"/>
            <w:tcBorders>
              <w:top w:val="nil" w:sz="6" w:space="0" w:color="auto"/>
              <w:left w:val="nil" w:sz="6" w:space="0" w:color="auto"/>
              <w:bottom w:val="nil" w:sz="6" w:space="0" w:color="auto"/>
              <w:right w:val="nil" w:sz="6" w:space="0" w:color="auto"/>
            </w:tcBorders>
          </w:tcPr>
          <w:p>
            <w:pPr/>
          </w:p>
        </w:tc>
        <w:tc>
          <w:tcPr>
            <w:tcW w:w="484" w:type="dxa"/>
            <w:tcBorders>
              <w:top w:val="nil" w:sz="6" w:space="0" w:color="auto"/>
              <w:left w:val="nil" w:sz="6" w:space="0" w:color="auto"/>
              <w:bottom w:val="nil" w:sz="6" w:space="0" w:color="auto"/>
              <w:right w:val="nil" w:sz="6" w:space="0" w:color="auto"/>
            </w:tcBorders>
          </w:tcPr>
          <w:p>
            <w:pPr/>
          </w:p>
        </w:tc>
      </w:tr>
      <w:tr>
        <w:trPr>
          <w:trHeight w:val="405" w:hRule="exact"/>
        </w:trPr>
        <w:tc>
          <w:tcPr>
            <w:tcW w:w="1263" w:type="dxa"/>
            <w:tcBorders>
              <w:top w:val="nil" w:sz="6" w:space="0" w:color="auto"/>
              <w:left w:val="nil" w:sz="6" w:space="0" w:color="auto"/>
              <w:bottom w:val="nil" w:sz="6" w:space="0" w:color="auto"/>
              <w:right w:val="nil" w:sz="6" w:space="0" w:color="auto"/>
            </w:tcBorders>
          </w:tcPr>
          <w:p>
            <w:pPr/>
          </w:p>
        </w:tc>
        <w:tc>
          <w:tcPr>
            <w:tcW w:w="1336"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06"/>
              <w:jc w:val="right"/>
              <w:rPr>
                <w:rFonts w:ascii="Times New Roman" w:hAnsi="Times New Roman" w:cs="Times New Roman" w:eastAsia="Times New Roman" w:hint="default"/>
                <w:sz w:val="16"/>
                <w:szCs w:val="16"/>
              </w:rPr>
            </w:pPr>
            <w:r>
              <w:rPr>
                <w:rFonts w:ascii="Times New Roman"/>
                <w:spacing w:val="-1"/>
                <w:sz w:val="16"/>
              </w:rPr>
              <w:t>47,093,894.11</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07"/>
              <w:jc w:val="right"/>
              <w:rPr>
                <w:rFonts w:ascii="Times New Roman" w:hAnsi="Times New Roman" w:cs="Times New Roman" w:eastAsia="Times New Roman" w:hint="default"/>
                <w:sz w:val="16"/>
                <w:szCs w:val="16"/>
              </w:rPr>
            </w:pPr>
            <w:r>
              <w:rPr>
                <w:rFonts w:ascii="Times New Roman"/>
                <w:spacing w:val="-1"/>
                <w:sz w:val="16"/>
              </w:rPr>
              <w:t>69,416,902.95</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05"/>
              <w:jc w:val="right"/>
              <w:rPr>
                <w:rFonts w:ascii="Times New Roman" w:hAnsi="Times New Roman" w:cs="Times New Roman" w:eastAsia="Times New Roman" w:hint="default"/>
                <w:sz w:val="16"/>
                <w:szCs w:val="16"/>
              </w:rPr>
            </w:pPr>
            <w:r>
              <w:rPr>
                <w:rFonts w:ascii="Times New Roman"/>
                <w:spacing w:val="-1"/>
                <w:sz w:val="16"/>
              </w:rPr>
              <w:t>57,571,839.07</w:t>
            </w:r>
          </w:p>
        </w:tc>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0"/>
              <w:jc w:val="center"/>
              <w:rPr>
                <w:rFonts w:ascii="Times New Roman" w:hAnsi="Times New Roman" w:cs="Times New Roman" w:eastAsia="Times New Roman" w:hint="default"/>
                <w:sz w:val="16"/>
                <w:szCs w:val="16"/>
              </w:rPr>
            </w:pPr>
            <w:r>
              <w:rPr>
                <w:rFonts w:ascii="Times New Roman"/>
                <w:sz w:val="16"/>
              </w:rPr>
              <w:t>1,222,857.18</w:t>
            </w: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38"/>
              <w:jc w:val="right"/>
              <w:rPr>
                <w:rFonts w:ascii="Times New Roman" w:hAnsi="Times New Roman" w:cs="Times New Roman" w:eastAsia="Times New Roman" w:hint="default"/>
                <w:sz w:val="16"/>
                <w:szCs w:val="16"/>
              </w:rPr>
            </w:pPr>
            <w:r>
              <w:rPr>
                <w:rFonts w:ascii="Times New Roman"/>
                <w:spacing w:val="-1"/>
                <w:sz w:val="16"/>
              </w:rPr>
              <w:t>57,716,100.81</w:t>
            </w:r>
          </w:p>
        </w:tc>
        <w:tc>
          <w:tcPr>
            <w:tcW w:w="697" w:type="dxa"/>
            <w:tcBorders>
              <w:top w:val="nil" w:sz="6" w:space="0" w:color="auto"/>
              <w:left w:val="nil" w:sz="6" w:space="0" w:color="auto"/>
              <w:bottom w:val="nil" w:sz="6" w:space="0" w:color="auto"/>
              <w:right w:val="nil" w:sz="6" w:space="0" w:color="auto"/>
            </w:tcBorders>
          </w:tcPr>
          <w:p>
            <w:pPr/>
          </w:p>
        </w:tc>
        <w:tc>
          <w:tcPr>
            <w:tcW w:w="664" w:type="dxa"/>
            <w:tcBorders>
              <w:top w:val="nil" w:sz="6" w:space="0" w:color="auto"/>
              <w:left w:val="nil" w:sz="6" w:space="0" w:color="auto"/>
              <w:bottom w:val="nil" w:sz="6" w:space="0" w:color="auto"/>
              <w:right w:val="nil" w:sz="6" w:space="0" w:color="auto"/>
            </w:tcBorders>
          </w:tcPr>
          <w:p>
            <w:pPr/>
          </w:p>
        </w:tc>
        <w:tc>
          <w:tcPr>
            <w:tcW w:w="1216" w:type="dxa"/>
            <w:tcBorders>
              <w:top w:val="nil" w:sz="6" w:space="0" w:color="auto"/>
              <w:left w:val="nil" w:sz="6" w:space="0" w:color="auto"/>
              <w:bottom w:val="nil" w:sz="6" w:space="0" w:color="auto"/>
              <w:right w:val="nil" w:sz="6" w:space="0" w:color="auto"/>
            </w:tcBorders>
          </w:tcPr>
          <w:p>
            <w:pPr/>
          </w:p>
        </w:tc>
        <w:tc>
          <w:tcPr>
            <w:tcW w:w="1198" w:type="dxa"/>
            <w:tcBorders>
              <w:top w:val="nil" w:sz="6" w:space="0" w:color="auto"/>
              <w:left w:val="nil" w:sz="6" w:space="0" w:color="auto"/>
              <w:bottom w:val="nil" w:sz="6" w:space="0" w:color="auto"/>
              <w:right w:val="nil" w:sz="6" w:space="0" w:color="auto"/>
            </w:tcBorders>
          </w:tcPr>
          <w:p>
            <w:pPr/>
          </w:p>
        </w:tc>
        <w:tc>
          <w:tcPr>
            <w:tcW w:w="484" w:type="dxa"/>
            <w:tcBorders>
              <w:top w:val="nil" w:sz="6" w:space="0" w:color="auto"/>
              <w:left w:val="nil" w:sz="6" w:space="0" w:color="auto"/>
              <w:bottom w:val="nil" w:sz="6" w:space="0" w:color="auto"/>
              <w:right w:val="nil" w:sz="6" w:space="0" w:color="auto"/>
            </w:tcBorders>
          </w:tcPr>
          <w:p>
            <w:pPr/>
          </w:p>
        </w:tc>
      </w:tr>
      <w:tr>
        <w:trPr>
          <w:trHeight w:val="350" w:hRule="exact"/>
        </w:trPr>
        <w:tc>
          <w:tcPr>
            <w:tcW w:w="1263" w:type="dxa"/>
            <w:tcBorders>
              <w:top w:val="nil" w:sz="6" w:space="0" w:color="auto"/>
              <w:left w:val="nil" w:sz="6" w:space="0" w:color="auto"/>
              <w:bottom w:val="nil" w:sz="6" w:space="0" w:color="auto"/>
              <w:right w:val="nil" w:sz="6" w:space="0" w:color="auto"/>
            </w:tcBorders>
          </w:tcPr>
          <w:p>
            <w:pPr/>
          </w:p>
        </w:tc>
        <w:tc>
          <w:tcPr>
            <w:tcW w:w="133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06"/>
              <w:jc w:val="right"/>
              <w:rPr>
                <w:rFonts w:ascii="Times New Roman" w:hAnsi="Times New Roman" w:cs="Times New Roman" w:eastAsia="Times New Roman" w:hint="default"/>
                <w:sz w:val="16"/>
                <w:szCs w:val="16"/>
              </w:rPr>
            </w:pPr>
            <w:r>
              <w:rPr>
                <w:rFonts w:ascii="Times New Roman"/>
                <w:spacing w:val="-1"/>
                <w:sz w:val="16"/>
              </w:rPr>
              <w:t>1,779,694,872.54</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06"/>
              <w:jc w:val="right"/>
              <w:rPr>
                <w:rFonts w:ascii="Times New Roman" w:hAnsi="Times New Roman" w:cs="Times New Roman" w:eastAsia="Times New Roman" w:hint="default"/>
                <w:sz w:val="16"/>
                <w:szCs w:val="16"/>
              </w:rPr>
            </w:pPr>
            <w:r>
              <w:rPr>
                <w:rFonts w:ascii="Times New Roman"/>
                <w:spacing w:val="-1"/>
                <w:sz w:val="16"/>
              </w:rPr>
              <w:t>560,914,074.85</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06"/>
              <w:jc w:val="right"/>
              <w:rPr>
                <w:rFonts w:ascii="Times New Roman" w:hAnsi="Times New Roman" w:cs="Times New Roman" w:eastAsia="Times New Roman" w:hint="default"/>
                <w:sz w:val="16"/>
                <w:szCs w:val="16"/>
              </w:rPr>
            </w:pPr>
            <w:r>
              <w:rPr>
                <w:rFonts w:ascii="Times New Roman"/>
                <w:spacing w:val="-1"/>
                <w:sz w:val="16"/>
              </w:rPr>
              <w:t>129,937,834.49</w:t>
            </w:r>
          </w:p>
        </w:tc>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0"/>
              <w:jc w:val="center"/>
              <w:rPr>
                <w:rFonts w:ascii="Times New Roman" w:hAnsi="Times New Roman" w:cs="Times New Roman" w:eastAsia="Times New Roman" w:hint="default"/>
                <w:sz w:val="16"/>
                <w:szCs w:val="16"/>
              </w:rPr>
            </w:pPr>
            <w:r>
              <w:rPr>
                <w:rFonts w:ascii="Times New Roman"/>
                <w:sz w:val="16"/>
              </w:rPr>
              <w:t>1,771,693.95</w:t>
            </w: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38"/>
              <w:jc w:val="right"/>
              <w:rPr>
                <w:rFonts w:ascii="Times New Roman" w:hAnsi="Times New Roman" w:cs="Times New Roman" w:eastAsia="Times New Roman" w:hint="default"/>
                <w:sz w:val="16"/>
                <w:szCs w:val="16"/>
              </w:rPr>
            </w:pPr>
            <w:r>
              <w:rPr>
                <w:rFonts w:ascii="Times New Roman"/>
                <w:spacing w:val="-1"/>
                <w:sz w:val="16"/>
              </w:rPr>
              <w:t>2,208,899,418.95</w:t>
            </w:r>
          </w:p>
        </w:tc>
        <w:tc>
          <w:tcPr>
            <w:tcW w:w="697" w:type="dxa"/>
            <w:tcBorders>
              <w:top w:val="nil" w:sz="6" w:space="0" w:color="auto"/>
              <w:left w:val="nil" w:sz="6" w:space="0" w:color="auto"/>
              <w:bottom w:val="nil" w:sz="6" w:space="0" w:color="auto"/>
              <w:right w:val="nil" w:sz="6" w:space="0" w:color="auto"/>
            </w:tcBorders>
          </w:tcPr>
          <w:p>
            <w:pPr/>
          </w:p>
        </w:tc>
        <w:tc>
          <w:tcPr>
            <w:tcW w:w="664" w:type="dxa"/>
            <w:tcBorders>
              <w:top w:val="nil" w:sz="6" w:space="0" w:color="auto"/>
              <w:left w:val="nil" w:sz="6" w:space="0" w:color="auto"/>
              <w:bottom w:val="nil" w:sz="6" w:space="0" w:color="auto"/>
              <w:right w:val="nil" w:sz="6" w:space="0" w:color="auto"/>
            </w:tcBorders>
          </w:tcPr>
          <w:p>
            <w:pP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06"/>
              <w:jc w:val="right"/>
              <w:rPr>
                <w:rFonts w:ascii="Times New Roman" w:hAnsi="Times New Roman" w:cs="Times New Roman" w:eastAsia="Times New Roman" w:hint="default"/>
                <w:sz w:val="16"/>
                <w:szCs w:val="16"/>
              </w:rPr>
            </w:pPr>
            <w:r>
              <w:rPr>
                <w:rFonts w:ascii="Times New Roman"/>
                <w:spacing w:val="-1"/>
                <w:sz w:val="16"/>
              </w:rPr>
              <w:t>182,523,331.89</w:t>
            </w:r>
          </w:p>
        </w:tc>
        <w:tc>
          <w:tcPr>
            <w:tcW w:w="1198"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66"/>
              <w:jc w:val="right"/>
              <w:rPr>
                <w:rFonts w:ascii="Times New Roman" w:hAnsi="Times New Roman" w:cs="Times New Roman" w:eastAsia="Times New Roman" w:hint="default"/>
                <w:sz w:val="16"/>
                <w:szCs w:val="16"/>
              </w:rPr>
            </w:pPr>
            <w:r>
              <w:rPr>
                <w:rFonts w:ascii="Times New Roman"/>
                <w:spacing w:val="-1"/>
                <w:sz w:val="16"/>
              </w:rPr>
              <w:t>56,859,855.73</w:t>
            </w:r>
          </w:p>
        </w:tc>
        <w:tc>
          <w:tcPr>
            <w:tcW w:w="484"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26"/>
          <w:szCs w:val="26"/>
        </w:rPr>
      </w:pPr>
    </w:p>
    <w:p>
      <w:pPr>
        <w:spacing w:before="44"/>
        <w:ind w:left="6245" w:right="6487" w:firstLine="0"/>
        <w:jc w:val="center"/>
        <w:rPr>
          <w:rFonts w:ascii="宋体" w:hAnsi="宋体" w:cs="宋体" w:eastAsia="宋体" w:hint="default"/>
          <w:sz w:val="18"/>
          <w:szCs w:val="18"/>
        </w:rPr>
      </w:pPr>
      <w:r>
        <w:rPr>
          <w:rFonts w:ascii="宋体" w:hAnsi="宋体" w:cs="宋体" w:eastAsia="宋体" w:hint="default"/>
          <w:sz w:val="18"/>
          <w:szCs w:val="18"/>
        </w:rPr>
        <w:t>财务报表附注第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8"/>
          <w:szCs w:val="18"/>
        </w:rPr>
      </w:pPr>
    </w:p>
    <w:p>
      <w:pPr>
        <w:spacing w:line="371" w:lineRule="exact"/>
        <w:ind w:left="10484" w:right="0" w:firstLine="0"/>
        <w:rPr>
          <w:rFonts w:ascii="宋体" w:hAnsi="宋体" w:cs="宋体" w:eastAsia="宋体" w:hint="default"/>
          <w:sz w:val="20"/>
          <w:szCs w:val="20"/>
        </w:rPr>
      </w:pPr>
      <w:r>
        <w:rPr>
          <w:rFonts w:ascii="宋体" w:hAnsi="宋体" w:cs="宋体" w:eastAsia="宋体" w:hint="default"/>
          <w:position w:val="-6"/>
          <w:sz w:val="20"/>
          <w:szCs w:val="20"/>
        </w:rPr>
        <w:drawing>
          <wp:inline distT="0" distB="0" distL="0" distR="0">
            <wp:extent cx="524065" cy="236029"/>
            <wp:effectExtent l="0" t="0" r="0" b="0"/>
            <wp:docPr id="25" name="image1.jpeg" descr=""/>
            <wp:cNvGraphicFramePr>
              <a:graphicFrameLocks noChangeAspect="1"/>
            </wp:cNvGraphicFramePr>
            <a:graphic>
              <a:graphicData uri="http://schemas.openxmlformats.org/drawingml/2006/picture">
                <pic:pic>
                  <pic:nvPicPr>
                    <pic:cNvPr id="26" name="image1.jpeg"/>
                    <pic:cNvPicPr/>
                  </pic:nvPicPr>
                  <pic:blipFill>
                    <a:blip r:embed="rId79" cstate="print"/>
                    <a:stretch>
                      <a:fillRect/>
                    </a:stretch>
                  </pic:blipFill>
                  <pic:spPr>
                    <a:xfrm>
                      <a:off x="0" y="0"/>
                      <a:ext cx="524065" cy="236029"/>
                    </a:xfrm>
                    <a:prstGeom prst="rect">
                      <a:avLst/>
                    </a:prstGeom>
                  </pic:spPr>
                </pic:pic>
              </a:graphicData>
            </a:graphic>
          </wp:inline>
        </w:drawing>
      </w:r>
      <w:r>
        <w:rPr>
          <w:rFonts w:ascii="宋体" w:hAnsi="宋体" w:cs="宋体" w:eastAsia="宋体" w:hint="default"/>
          <w:position w:val="-6"/>
          <w:sz w:val="20"/>
          <w:szCs w:val="20"/>
        </w:rPr>
      </w:r>
    </w:p>
    <w:p>
      <w:pPr>
        <w:spacing w:after="0" w:line="371" w:lineRule="exact"/>
        <w:rPr>
          <w:rFonts w:ascii="宋体" w:hAnsi="宋体" w:cs="宋体" w:eastAsia="宋体" w:hint="default"/>
          <w:sz w:val="20"/>
          <w:szCs w:val="20"/>
        </w:rPr>
        <w:sectPr>
          <w:headerReference w:type="default" r:id="rId198"/>
          <w:footerReference w:type="default" r:id="rId199"/>
          <w:pgSz w:w="16840" w:h="11910" w:orient="landscape"/>
          <w:pgMar w:header="0" w:footer="0" w:top="1100" w:bottom="0" w:left="1300" w:right="1060"/>
        </w:sectPr>
      </w:pPr>
    </w:p>
    <w:p>
      <w:pPr>
        <w:spacing w:line="240" w:lineRule="auto" w:before="8"/>
        <w:rPr>
          <w:rFonts w:ascii="宋体" w:hAnsi="宋体" w:cs="宋体" w:eastAsia="宋体" w:hint="default"/>
          <w:sz w:val="13"/>
          <w:szCs w:val="13"/>
        </w:rPr>
      </w:pPr>
    </w:p>
    <w:p>
      <w:pPr>
        <w:pStyle w:val="Heading5"/>
        <w:spacing w:line="240" w:lineRule="auto"/>
        <w:ind w:right="3681"/>
        <w:jc w:val="left"/>
        <w:rPr>
          <w:b w:val="0"/>
          <w:bCs w:val="0"/>
        </w:rPr>
      </w:pPr>
      <w:r>
        <w:rPr>
          <w:rFonts w:ascii="Times New Roman" w:hAnsi="Times New Roman" w:cs="Times New Roman" w:eastAsia="Times New Roman" w:hint="default"/>
        </w:rPr>
        <w:t>(</w:t>
      </w:r>
      <w:r>
        <w:rPr/>
        <w:t>十四</w:t>
      </w:r>
      <w:r>
        <w:rPr>
          <w:rFonts w:ascii="Times New Roman" w:hAnsi="Times New Roman" w:cs="Times New Roman" w:eastAsia="Times New Roman" w:hint="default"/>
        </w:rPr>
        <w:t>) </w:t>
      </w:r>
      <w:r>
        <w:rPr>
          <w:rFonts w:ascii="Times New Roman" w:hAnsi="Times New Roman" w:cs="Times New Roman" w:eastAsia="Times New Roman" w:hint="default"/>
          <w:spacing w:val="46"/>
        </w:rPr>
        <w:t> </w:t>
      </w:r>
      <w:r>
        <w:rPr/>
        <w:t>无形资产</w:t>
      </w:r>
      <w:r>
        <w:rPr>
          <w:b w:val="0"/>
          <w:bCs w:val="0"/>
        </w:rPr>
      </w:r>
    </w:p>
    <w:p>
      <w:pPr>
        <w:spacing w:line="240" w:lineRule="auto" w:before="0"/>
        <w:rPr>
          <w:rFonts w:ascii="宋体" w:hAnsi="宋体" w:cs="宋体" w:eastAsia="宋体" w:hint="default"/>
          <w:b/>
          <w:bCs/>
          <w:sz w:val="22"/>
          <w:szCs w:val="22"/>
        </w:rPr>
      </w:pPr>
    </w:p>
    <w:p>
      <w:pPr>
        <w:spacing w:line="240" w:lineRule="auto" w:before="4"/>
        <w:rPr>
          <w:rFonts w:ascii="宋体" w:hAnsi="宋体" w:cs="宋体" w:eastAsia="宋体" w:hint="default"/>
          <w:b/>
          <w:bCs/>
          <w:sz w:val="15"/>
          <w:szCs w:val="15"/>
        </w:rPr>
      </w:pPr>
    </w:p>
    <w:p>
      <w:pPr>
        <w:spacing w:before="0"/>
        <w:ind w:left="1194" w:right="3681" w:firstLine="0"/>
        <w:jc w:val="left"/>
        <w:rPr>
          <w:rFonts w:ascii="宋体" w:hAnsi="宋体" w:cs="宋体" w:eastAsia="宋体" w:hint="default"/>
          <w:sz w:val="16"/>
          <w:szCs w:val="16"/>
        </w:rPr>
      </w:pPr>
      <w:r>
        <w:rPr/>
        <w:pict>
          <v:group style="position:absolute;margin-left:119.010002pt;margin-top:-3.555972pt;width:411.75pt;height:611.550pt;mso-position-horizontal-relative:page;mso-position-vertical-relative:paragraph;z-index:-1388824" coordorigin="2380,-71" coordsize="8235,12231">
            <v:group style="position:absolute;left:2410;top:-56;width:1208;height:2" coordorigin="2410,-56" coordsize="1208,2">
              <v:shape style="position:absolute;left:2410;top:-56;width:1208;height:2" coordorigin="2410,-56" coordsize="1208,0" path="m2410,-56l3617,-56e" filled="false" stroked="true" strokeweight="1.5pt" strokecolor="#000000">
                <v:path arrowok="t"/>
              </v:shape>
              <v:shape style="position:absolute;left:3617;top:-41;width:10;height:28" type="#_x0000_t75" stroked="false">
                <v:imagedata r:id="rId96" o:title=""/>
              </v:shape>
            </v:group>
            <v:group style="position:absolute;left:3617;top:-56;width:1216;height:2" coordorigin="3617,-56" coordsize="1216,2">
              <v:shape style="position:absolute;left:3617;top:-56;width:1216;height:2" coordorigin="3617,-56" coordsize="1216,0" path="m3617,-56l4832,-56e" filled="false" stroked="true" strokeweight="1.5pt" strokecolor="#000000">
                <v:path arrowok="t"/>
              </v:shape>
              <v:shape style="position:absolute;left:4832;top:-41;width:10;height:28" type="#_x0000_t75" stroked="false">
                <v:imagedata r:id="rId96" o:title=""/>
              </v:shape>
            </v:group>
            <v:group style="position:absolute;left:4832;top:-56;width:1217;height:2" coordorigin="4832,-56" coordsize="1217,2">
              <v:shape style="position:absolute;left:4832;top:-56;width:1217;height:2" coordorigin="4832,-56" coordsize="1217,0" path="m4832,-56l6049,-56e" filled="false" stroked="true" strokeweight="1.5pt" strokecolor="#000000">
                <v:path arrowok="t"/>
              </v:shape>
              <v:shape style="position:absolute;left:6049;top:-41;width:10;height:28" type="#_x0000_t75" stroked="false">
                <v:imagedata r:id="rId96" o:title=""/>
              </v:shape>
            </v:group>
            <v:group style="position:absolute;left:6049;top:-56;width:1216;height:2" coordorigin="6049,-56" coordsize="1216,2">
              <v:shape style="position:absolute;left:6049;top:-56;width:1216;height:2" coordorigin="6049,-56" coordsize="1216,0" path="m6049,-56l7265,-56e" filled="false" stroked="true" strokeweight="1.5pt" strokecolor="#000000">
                <v:path arrowok="t"/>
              </v:shape>
              <v:shape style="position:absolute;left:7265;top:-41;width:10;height:28" type="#_x0000_t75" stroked="false">
                <v:imagedata r:id="rId96" o:title=""/>
              </v:shape>
            </v:group>
            <v:group style="position:absolute;left:7265;top:-56;width:1056;height:2" coordorigin="7265,-56" coordsize="1056,2">
              <v:shape style="position:absolute;left:7265;top:-56;width:1056;height:2" coordorigin="7265,-56" coordsize="1056,0" path="m7265,-56l8321,-56e" filled="false" stroked="true" strokeweight="1.5pt" strokecolor="#000000">
                <v:path arrowok="t"/>
              </v:shape>
              <v:shape style="position:absolute;left:8321;top:-41;width:10;height:28" type="#_x0000_t75" stroked="false">
                <v:imagedata r:id="rId96" o:title=""/>
              </v:shape>
            </v:group>
            <v:group style="position:absolute;left:8321;top:-56;width:1056;height:2" coordorigin="8321,-56" coordsize="1056,2">
              <v:shape style="position:absolute;left:8321;top:-56;width:1056;height:2" coordorigin="8321,-56" coordsize="1056,0" path="m8321,-56l9377,-56e" filled="false" stroked="true" strokeweight="1.5pt" strokecolor="#000000">
                <v:path arrowok="t"/>
              </v:shape>
              <v:shape style="position:absolute;left:9377;top:-41;width:10;height:28" type="#_x0000_t75" stroked="false">
                <v:imagedata r:id="rId96" o:title=""/>
              </v:shape>
            </v:group>
            <v:group style="position:absolute;left:9377;top:-56;width:1221;height:2" coordorigin="9377,-56" coordsize="1221,2">
              <v:shape style="position:absolute;left:9377;top:-56;width:1221;height:2" coordorigin="9377,-56" coordsize="1221,0" path="m9377,-56l10597,-56e" filled="false" stroked="true" strokeweight="1.5pt" strokecolor="#000000">
                <v:path arrowok="t"/>
              </v:shape>
              <v:shape style="position:absolute;left:3598;top:-33;width:5808;height:354" type="#_x0000_t75" stroked="false">
                <v:imagedata r:id="rId205" o:title=""/>
              </v:shape>
            </v:group>
            <v:group style="position:absolute;left:2395;top:12144;width:1222;height:2" coordorigin="2395,12144" coordsize="1222,2">
              <v:shape style="position:absolute;left:2395;top:12144;width:1222;height:2" coordorigin="2395,12144" coordsize="1222,0" path="m2395,12144l3617,12144e" filled="false" stroked="true" strokeweight="1.5pt" strokecolor="#000000">
                <v:path arrowok="t"/>
              </v:shape>
              <v:shape style="position:absolute;left:2390;top:289;width:8225;height:11859" type="#_x0000_t75" stroked="false">
                <v:imagedata r:id="rId206" o:title=""/>
              </v:shape>
            </v:group>
            <v:group style="position:absolute;left:3617;top:12144;width:1216;height:2" coordorigin="3617,12144" coordsize="1216,2">
              <v:shape style="position:absolute;left:3617;top:12144;width:1216;height:2" coordorigin="3617,12144" coordsize="1216,0" path="m3617,12144l4832,12144e" filled="false" stroked="true" strokeweight="1.5pt" strokecolor="#000000">
                <v:path arrowok="t"/>
              </v:shape>
              <v:shape style="position:absolute;left:4813;top:11588;width:48;height:560" type="#_x0000_t75" stroked="false">
                <v:imagedata r:id="rId207" o:title=""/>
              </v:shape>
            </v:group>
            <v:group style="position:absolute;left:4832;top:12144;width:1217;height:2" coordorigin="4832,12144" coordsize="1217,2">
              <v:shape style="position:absolute;left:4832;top:12144;width:1217;height:2" coordorigin="4832,12144" coordsize="1217,0" path="m4832,12144l6049,12144e" filled="false" stroked="true" strokeweight="1.5pt" strokecolor="#000000">
                <v:path arrowok="t"/>
              </v:shape>
              <v:shape style="position:absolute;left:6030;top:11588;width:48;height:560" type="#_x0000_t75" stroked="false">
                <v:imagedata r:id="rId207" o:title=""/>
              </v:shape>
            </v:group>
            <v:group style="position:absolute;left:6049;top:12144;width:1216;height:2" coordorigin="6049,12144" coordsize="1216,2">
              <v:shape style="position:absolute;left:6049;top:12144;width:1216;height:2" coordorigin="6049,12144" coordsize="1216,0" path="m6049,12144l7265,12144e" filled="false" stroked="true" strokeweight="1.5pt" strokecolor="#000000">
                <v:path arrowok="t"/>
              </v:shape>
              <v:shape style="position:absolute;left:7246;top:11588;width:48;height:560" type="#_x0000_t75" stroked="false">
                <v:imagedata r:id="rId207" o:title=""/>
              </v:shape>
            </v:group>
            <v:group style="position:absolute;left:7265;top:12144;width:1056;height:2" coordorigin="7265,12144" coordsize="1056,2">
              <v:shape style="position:absolute;left:7265;top:12144;width:1056;height:2" coordorigin="7265,12144" coordsize="1056,0" path="m7265,12144l8321,12144e" filled="false" stroked="true" strokeweight="1.5pt" strokecolor="#000000">
                <v:path arrowok="t"/>
              </v:shape>
              <v:shape style="position:absolute;left:8302;top:11588;width:48;height:560" type="#_x0000_t75" stroked="false">
                <v:imagedata r:id="rId207" o:title=""/>
              </v:shape>
            </v:group>
            <v:group style="position:absolute;left:8321;top:12144;width:1056;height:2" coordorigin="8321,12144" coordsize="1056,2">
              <v:shape style="position:absolute;left:8321;top:12144;width:1056;height:2" coordorigin="8321,12144" coordsize="1056,0" path="m8321,12144l9377,12144e" filled="false" stroked="true" strokeweight="1.5pt" strokecolor="#000000">
                <v:path arrowok="t"/>
              </v:shape>
              <v:shape style="position:absolute;left:9358;top:11588;width:48;height:560" type="#_x0000_t75" stroked="false">
                <v:imagedata r:id="rId207" o:title=""/>
              </v:shape>
            </v:group>
            <v:group style="position:absolute;left:9377;top:12144;width:1221;height:2" coordorigin="9377,12144" coordsize="1221,2">
              <v:shape style="position:absolute;left:9377;top:12144;width:1221;height:2" coordorigin="9377,12144" coordsize="1221,0" path="m9377,12144l10597,12144e" filled="false" stroked="true" strokeweight="1.5pt" strokecolor="#000000">
                <v:path arrowok="t"/>
              </v:shape>
            </v:group>
            <w10:wrap type="none"/>
          </v:group>
        </w:pict>
      </w:r>
      <w:r>
        <w:rPr/>
        <w:pict>
          <v:shape style="position:absolute;margin-left:184.670273pt;margin-top:-2.805972pt;width:343.3pt;height:155.5pt;mso-position-horizontal-relative:page;mso-position-vertical-relative:paragraph;z-index:1508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147"/>
                    <w:gridCol w:w="1253"/>
                    <w:gridCol w:w="1177"/>
                    <w:gridCol w:w="1056"/>
                    <w:gridCol w:w="1055"/>
                    <w:gridCol w:w="1178"/>
                  </w:tblGrid>
                  <w:tr>
                    <w:trPr>
                      <w:trHeight w:val="1136" w:hRule="exact"/>
                    </w:trPr>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56"/>
                          <w:ind w:left="35" w:right="0" w:firstLine="99"/>
                          <w:jc w:val="left"/>
                          <w:rPr>
                            <w:rFonts w:ascii="宋体" w:hAnsi="宋体" w:cs="宋体" w:eastAsia="宋体" w:hint="default"/>
                            <w:sz w:val="16"/>
                            <w:szCs w:val="16"/>
                          </w:rPr>
                        </w:pPr>
                        <w:r>
                          <w:rPr>
                            <w:rFonts w:ascii="宋体" w:hAnsi="宋体" w:cs="宋体" w:eastAsia="宋体" w:hint="default"/>
                            <w:sz w:val="16"/>
                            <w:szCs w:val="16"/>
                          </w:rPr>
                          <w:t>土地使用权</w:t>
                        </w: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2"/>
                          <w:ind w:left="35" w:right="0"/>
                          <w:jc w:val="left"/>
                          <w:rPr>
                            <w:rFonts w:ascii="Times New Roman" w:hAnsi="Times New Roman" w:cs="Times New Roman" w:eastAsia="Times New Roman" w:hint="default"/>
                            <w:sz w:val="16"/>
                            <w:szCs w:val="16"/>
                          </w:rPr>
                        </w:pPr>
                        <w:r>
                          <w:rPr>
                            <w:rFonts w:ascii="Times New Roman"/>
                            <w:sz w:val="16"/>
                          </w:rPr>
                          <w:t>378,721,360.65</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43"/>
                          <w:jc w:val="center"/>
                          <w:rPr>
                            <w:rFonts w:ascii="宋体" w:hAnsi="宋体" w:cs="宋体" w:eastAsia="宋体" w:hint="default"/>
                            <w:sz w:val="16"/>
                            <w:szCs w:val="16"/>
                          </w:rPr>
                        </w:pPr>
                        <w:r>
                          <w:rPr>
                            <w:rFonts w:ascii="宋体" w:hAnsi="宋体" w:cs="宋体" w:eastAsia="宋体" w:hint="default"/>
                            <w:sz w:val="16"/>
                            <w:szCs w:val="16"/>
                          </w:rPr>
                          <w:t>专利权</w:t>
                        </w: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2"/>
                          <w:ind w:right="34"/>
                          <w:jc w:val="center"/>
                          <w:rPr>
                            <w:rFonts w:ascii="Times New Roman" w:hAnsi="Times New Roman" w:cs="Times New Roman" w:eastAsia="Times New Roman" w:hint="default"/>
                            <w:sz w:val="16"/>
                            <w:szCs w:val="16"/>
                          </w:rPr>
                        </w:pPr>
                        <w:r>
                          <w:rPr>
                            <w:rFonts w:ascii="Times New Roman"/>
                            <w:sz w:val="16"/>
                          </w:rPr>
                          <w:t>114,558,888.27</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47" w:right="0" w:firstLine="20"/>
                          <w:jc w:val="left"/>
                          <w:rPr>
                            <w:rFonts w:ascii="宋体" w:hAnsi="宋体" w:cs="宋体" w:eastAsia="宋体" w:hint="default"/>
                            <w:sz w:val="16"/>
                            <w:szCs w:val="16"/>
                          </w:rPr>
                        </w:pPr>
                        <w:r>
                          <w:rPr>
                            <w:rFonts w:ascii="宋体" w:hAnsi="宋体" w:cs="宋体" w:eastAsia="宋体" w:hint="default"/>
                            <w:sz w:val="16"/>
                            <w:szCs w:val="16"/>
                          </w:rPr>
                          <w:t>计算机软件</w:t>
                        </w: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2"/>
                          <w:ind w:left="147" w:right="0"/>
                          <w:jc w:val="left"/>
                          <w:rPr>
                            <w:rFonts w:ascii="Times New Roman" w:hAnsi="Times New Roman" w:cs="Times New Roman" w:eastAsia="Times New Roman" w:hint="default"/>
                            <w:sz w:val="16"/>
                            <w:szCs w:val="16"/>
                          </w:rPr>
                        </w:pPr>
                        <w:r>
                          <w:rPr>
                            <w:rFonts w:ascii="Times New Roman"/>
                            <w:sz w:val="16"/>
                          </w:rPr>
                          <w:t>85,978,666.14</w:t>
                        </w:r>
                      </w:p>
                    </w:tc>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08" w:right="0" w:firstLine="19"/>
                          <w:jc w:val="left"/>
                          <w:rPr>
                            <w:rFonts w:ascii="宋体" w:hAnsi="宋体" w:cs="宋体" w:eastAsia="宋体" w:hint="default"/>
                            <w:sz w:val="16"/>
                            <w:szCs w:val="16"/>
                          </w:rPr>
                        </w:pPr>
                        <w:r>
                          <w:rPr>
                            <w:rFonts w:ascii="宋体" w:hAnsi="宋体" w:cs="宋体" w:eastAsia="宋体" w:hint="default"/>
                            <w:sz w:val="16"/>
                            <w:szCs w:val="16"/>
                          </w:rPr>
                          <w:t>非专利技术</w:t>
                        </w: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2"/>
                          <w:ind w:left="108" w:right="0"/>
                          <w:jc w:val="left"/>
                          <w:rPr>
                            <w:rFonts w:ascii="Times New Roman" w:hAnsi="Times New Roman" w:cs="Times New Roman" w:eastAsia="Times New Roman" w:hint="default"/>
                            <w:sz w:val="16"/>
                            <w:szCs w:val="16"/>
                          </w:rPr>
                        </w:pPr>
                        <w:r>
                          <w:rPr>
                            <w:rFonts w:ascii="Times New Roman"/>
                            <w:sz w:val="16"/>
                          </w:rPr>
                          <w:t>2,735,313.34</w:t>
                        </w:r>
                      </w:p>
                    </w:tc>
                    <w:tc>
                      <w:tcPr>
                        <w:tcW w:w="1055"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
                          <w:jc w:val="center"/>
                          <w:rPr>
                            <w:rFonts w:ascii="宋体" w:hAnsi="宋体" w:cs="宋体" w:eastAsia="宋体" w:hint="default"/>
                            <w:sz w:val="16"/>
                            <w:szCs w:val="16"/>
                          </w:rPr>
                        </w:pPr>
                        <w:r>
                          <w:rPr>
                            <w:rFonts w:ascii="宋体" w:hAnsi="宋体" w:cs="宋体" w:eastAsia="宋体" w:hint="default"/>
                            <w:sz w:val="16"/>
                            <w:szCs w:val="16"/>
                          </w:rPr>
                          <w:t>特许权</w:t>
                        </w: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2"/>
                          <w:ind w:right="0"/>
                          <w:jc w:val="center"/>
                          <w:rPr>
                            <w:rFonts w:ascii="Times New Roman" w:hAnsi="Times New Roman" w:cs="Times New Roman" w:eastAsia="Times New Roman" w:hint="default"/>
                            <w:sz w:val="16"/>
                            <w:szCs w:val="16"/>
                          </w:rPr>
                        </w:pPr>
                        <w:r>
                          <w:rPr>
                            <w:rFonts w:ascii="Times New Roman"/>
                            <w:sz w:val="16"/>
                          </w:rPr>
                          <w:t>4,366,291.57</w:t>
                        </w:r>
                      </w:p>
                    </w:tc>
                    <w:tc>
                      <w:tcPr>
                        <w:tcW w:w="1178" w:type="dxa"/>
                        <w:tcBorders>
                          <w:top w:val="nil" w:sz="6" w:space="0" w:color="auto"/>
                          <w:left w:val="nil" w:sz="6" w:space="0" w:color="auto"/>
                          <w:bottom w:val="nil" w:sz="6" w:space="0" w:color="auto"/>
                          <w:right w:val="nil" w:sz="6" w:space="0" w:color="auto"/>
                        </w:tcBorders>
                      </w:tcPr>
                      <w:p>
                        <w:pPr>
                          <w:pStyle w:val="TableParagraph"/>
                          <w:spacing w:line="240" w:lineRule="auto" w:before="56"/>
                          <w:ind w:left="35" w:right="0"/>
                          <w:jc w:val="center"/>
                          <w:rPr>
                            <w:rFonts w:ascii="宋体" w:hAnsi="宋体" w:cs="宋体" w:eastAsia="宋体" w:hint="default"/>
                            <w:sz w:val="16"/>
                            <w:szCs w:val="16"/>
                          </w:rPr>
                        </w:pPr>
                        <w:r>
                          <w:rPr>
                            <w:rFonts w:ascii="宋体" w:hAnsi="宋体" w:cs="宋体" w:eastAsia="宋体" w:hint="default"/>
                            <w:sz w:val="16"/>
                            <w:szCs w:val="16"/>
                          </w:rPr>
                          <w:t>合计</w:t>
                        </w: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2"/>
                          <w:ind w:left="37" w:right="0"/>
                          <w:jc w:val="center"/>
                          <w:rPr>
                            <w:rFonts w:ascii="Times New Roman" w:hAnsi="Times New Roman" w:cs="Times New Roman" w:eastAsia="Times New Roman" w:hint="default"/>
                            <w:sz w:val="16"/>
                            <w:szCs w:val="16"/>
                          </w:rPr>
                        </w:pPr>
                        <w:r>
                          <w:rPr>
                            <w:rFonts w:ascii="Times New Roman"/>
                            <w:sz w:val="16"/>
                          </w:rPr>
                          <w:t>586,360,519.97</w:t>
                        </w:r>
                      </w:p>
                    </w:tc>
                  </w:tr>
                  <w:tr>
                    <w:trPr>
                      <w:trHeight w:val="308" w:hRule="exact"/>
                    </w:trPr>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128"/>
                          <w:ind w:left="3" w:right="0"/>
                          <w:jc w:val="center"/>
                          <w:rPr>
                            <w:rFonts w:ascii="Times New Roman" w:hAnsi="Times New Roman" w:cs="Times New Roman" w:eastAsia="Times New Roman" w:hint="default"/>
                            <w:sz w:val="16"/>
                            <w:szCs w:val="16"/>
                          </w:rPr>
                        </w:pPr>
                        <w:r>
                          <w:rPr>
                            <w:rFonts w:ascii="Times New Roman"/>
                            <w:sz w:val="16"/>
                          </w:rPr>
                          <w:t>17,915,623.13</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128"/>
                          <w:ind w:left="37" w:right="0"/>
                          <w:jc w:val="center"/>
                          <w:rPr>
                            <w:rFonts w:ascii="Times New Roman" w:hAnsi="Times New Roman" w:cs="Times New Roman" w:eastAsia="Times New Roman" w:hint="default"/>
                            <w:sz w:val="16"/>
                            <w:szCs w:val="16"/>
                          </w:rPr>
                        </w:pPr>
                        <w:r>
                          <w:rPr>
                            <w:rFonts w:ascii="Times New Roman"/>
                            <w:sz w:val="16"/>
                          </w:rPr>
                          <w:t>54,651,794.98</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06"/>
                          <w:jc w:val="right"/>
                          <w:rPr>
                            <w:rFonts w:ascii="Times New Roman" w:hAnsi="Times New Roman" w:cs="Times New Roman" w:eastAsia="Times New Roman" w:hint="default"/>
                            <w:sz w:val="16"/>
                            <w:szCs w:val="16"/>
                          </w:rPr>
                        </w:pPr>
                        <w:r>
                          <w:rPr>
                            <w:rFonts w:ascii="Times New Roman"/>
                            <w:spacing w:val="-1"/>
                            <w:sz w:val="16"/>
                          </w:rPr>
                          <w:t>28,740,498.11</w:t>
                        </w:r>
                      </w:p>
                    </w:tc>
                    <w:tc>
                      <w:tcPr>
                        <w:tcW w:w="1056" w:type="dxa"/>
                        <w:tcBorders>
                          <w:top w:val="nil" w:sz="6" w:space="0" w:color="auto"/>
                          <w:left w:val="nil" w:sz="6" w:space="0" w:color="auto"/>
                          <w:bottom w:val="nil" w:sz="6" w:space="0" w:color="auto"/>
                          <w:right w:val="nil" w:sz="6" w:space="0" w:color="auto"/>
                        </w:tcBorders>
                      </w:tcPr>
                      <w:p>
                        <w:pPr/>
                      </w:p>
                    </w:tc>
                    <w:tc>
                      <w:tcPr>
                        <w:tcW w:w="1055" w:type="dxa"/>
                        <w:tcBorders>
                          <w:top w:val="nil" w:sz="6" w:space="0" w:color="auto"/>
                          <w:left w:val="nil" w:sz="6" w:space="0" w:color="auto"/>
                          <w:bottom w:val="nil" w:sz="6" w:space="0" w:color="auto"/>
                          <w:right w:val="nil" w:sz="6" w:space="0" w:color="auto"/>
                        </w:tcBorders>
                      </w:tcPr>
                      <w:p>
                        <w:pPr/>
                      </w:p>
                    </w:tc>
                    <w:tc>
                      <w:tcPr>
                        <w:tcW w:w="1178"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68"/>
                          <w:jc w:val="right"/>
                          <w:rPr>
                            <w:rFonts w:ascii="Times New Roman" w:hAnsi="Times New Roman" w:cs="Times New Roman" w:eastAsia="Times New Roman" w:hint="default"/>
                            <w:sz w:val="16"/>
                            <w:szCs w:val="16"/>
                          </w:rPr>
                        </w:pPr>
                        <w:r>
                          <w:rPr>
                            <w:rFonts w:ascii="Times New Roman"/>
                            <w:spacing w:val="-1"/>
                            <w:sz w:val="16"/>
                          </w:rPr>
                          <w:t>101,307,916.22</w:t>
                        </w:r>
                      </w:p>
                    </w:tc>
                  </w:tr>
                  <w:tr>
                    <w:trPr>
                      <w:trHeight w:val="606" w:hRule="exact"/>
                    </w:trPr>
                    <w:tc>
                      <w:tcPr>
                        <w:tcW w:w="6865" w:type="dxa"/>
                        <w:gridSpan w:val="6"/>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1"/>
                            <w:szCs w:val="21"/>
                          </w:rPr>
                        </w:pPr>
                      </w:p>
                      <w:p>
                        <w:pPr>
                          <w:pStyle w:val="TableParagraph"/>
                          <w:tabs>
                            <w:tab w:pos="1611" w:val="left" w:leader="none"/>
                            <w:tab w:pos="2626" w:val="left" w:leader="none"/>
                            <w:tab w:pos="5880" w:val="left" w:leader="none"/>
                          </w:tabs>
                          <w:spacing w:line="240" w:lineRule="auto"/>
                          <w:ind w:left="114" w:right="0"/>
                          <w:jc w:val="left"/>
                          <w:rPr>
                            <w:rFonts w:ascii="Times New Roman" w:hAnsi="Times New Roman" w:cs="Times New Roman" w:eastAsia="Times New Roman" w:hint="default"/>
                            <w:sz w:val="16"/>
                            <w:szCs w:val="16"/>
                          </w:rPr>
                        </w:pPr>
                        <w:r>
                          <w:rPr>
                            <w:rFonts w:ascii="Times New Roman"/>
                            <w:spacing w:val="-1"/>
                            <w:sz w:val="16"/>
                          </w:rPr>
                          <w:t>17,915,623.13</w:t>
                          <w:tab/>
                          <w:t>61,559.38</w:t>
                          <w:tab/>
                          <w:t>8,178,931.72</w:t>
                          <w:tab/>
                          <w:t>26,156,114.23</w:t>
                        </w:r>
                      </w:p>
                    </w:tc>
                  </w:tr>
                  <w:tr>
                    <w:trPr>
                      <w:trHeight w:val="509" w:hRule="exact"/>
                    </w:trPr>
                    <w:tc>
                      <w:tcPr>
                        <w:tcW w:w="1147" w:type="dxa"/>
                        <w:tcBorders>
                          <w:top w:val="nil" w:sz="6" w:space="0" w:color="auto"/>
                          <w:left w:val="nil" w:sz="6" w:space="0" w:color="auto"/>
                          <w:bottom w:val="nil" w:sz="6" w:space="0" w:color="auto"/>
                          <w:right w:val="nil" w:sz="6" w:space="0" w:color="auto"/>
                        </w:tcBorders>
                      </w:tcPr>
                      <w:p>
                        <w:pP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128"/>
                          <w:ind w:left="37" w:right="0"/>
                          <w:jc w:val="center"/>
                          <w:rPr>
                            <w:rFonts w:ascii="Times New Roman" w:hAnsi="Times New Roman" w:cs="Times New Roman" w:eastAsia="Times New Roman" w:hint="default"/>
                            <w:sz w:val="16"/>
                            <w:szCs w:val="16"/>
                          </w:rPr>
                        </w:pPr>
                        <w:r>
                          <w:rPr>
                            <w:rFonts w:ascii="Times New Roman"/>
                            <w:sz w:val="16"/>
                          </w:rPr>
                          <w:t>54,590,235.60</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06"/>
                          <w:jc w:val="right"/>
                          <w:rPr>
                            <w:rFonts w:ascii="Times New Roman" w:hAnsi="Times New Roman" w:cs="Times New Roman" w:eastAsia="Times New Roman" w:hint="default"/>
                            <w:sz w:val="16"/>
                            <w:szCs w:val="16"/>
                          </w:rPr>
                        </w:pPr>
                        <w:r>
                          <w:rPr>
                            <w:rFonts w:ascii="Times New Roman"/>
                            <w:spacing w:val="-1"/>
                            <w:sz w:val="16"/>
                          </w:rPr>
                          <w:t>20,561,566.39</w:t>
                        </w:r>
                      </w:p>
                    </w:tc>
                    <w:tc>
                      <w:tcPr>
                        <w:tcW w:w="1056" w:type="dxa"/>
                        <w:tcBorders>
                          <w:top w:val="nil" w:sz="6" w:space="0" w:color="auto"/>
                          <w:left w:val="nil" w:sz="6" w:space="0" w:color="auto"/>
                          <w:bottom w:val="nil" w:sz="6" w:space="0" w:color="auto"/>
                          <w:right w:val="nil" w:sz="6" w:space="0" w:color="auto"/>
                        </w:tcBorders>
                      </w:tcPr>
                      <w:p>
                        <w:pPr/>
                      </w:p>
                    </w:tc>
                    <w:tc>
                      <w:tcPr>
                        <w:tcW w:w="1055" w:type="dxa"/>
                        <w:tcBorders>
                          <w:top w:val="nil" w:sz="6" w:space="0" w:color="auto"/>
                          <w:left w:val="nil" w:sz="6" w:space="0" w:color="auto"/>
                          <w:bottom w:val="nil" w:sz="6" w:space="0" w:color="auto"/>
                          <w:right w:val="nil" w:sz="6" w:space="0" w:color="auto"/>
                        </w:tcBorders>
                      </w:tcPr>
                      <w:p>
                        <w:pPr/>
                      </w:p>
                    </w:tc>
                    <w:tc>
                      <w:tcPr>
                        <w:tcW w:w="1178"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67"/>
                          <w:jc w:val="right"/>
                          <w:rPr>
                            <w:rFonts w:ascii="Times New Roman" w:hAnsi="Times New Roman" w:cs="Times New Roman" w:eastAsia="Times New Roman" w:hint="default"/>
                            <w:sz w:val="16"/>
                            <w:szCs w:val="16"/>
                          </w:rPr>
                        </w:pPr>
                        <w:r>
                          <w:rPr>
                            <w:rFonts w:ascii="Times New Roman"/>
                            <w:spacing w:val="-1"/>
                            <w:sz w:val="16"/>
                          </w:rPr>
                          <w:t>75,151,801.99</w:t>
                        </w:r>
                      </w:p>
                    </w:tc>
                  </w:tr>
                  <w:tr>
                    <w:trPr>
                      <w:trHeight w:val="360" w:hRule="exact"/>
                    </w:trPr>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left="83" w:right="0"/>
                          <w:jc w:val="center"/>
                          <w:rPr>
                            <w:rFonts w:ascii="Times New Roman" w:hAnsi="Times New Roman" w:cs="Times New Roman" w:eastAsia="Times New Roman" w:hint="default"/>
                            <w:sz w:val="16"/>
                            <w:szCs w:val="16"/>
                          </w:rPr>
                        </w:pPr>
                        <w:r>
                          <w:rPr>
                            <w:rFonts w:ascii="Times New Roman"/>
                            <w:sz w:val="16"/>
                          </w:rPr>
                          <w:t>8,503,105.96</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left="184" w:right="0"/>
                          <w:jc w:val="center"/>
                          <w:rPr>
                            <w:rFonts w:ascii="Times New Roman" w:hAnsi="Times New Roman" w:cs="Times New Roman" w:eastAsia="Times New Roman" w:hint="default"/>
                            <w:sz w:val="16"/>
                            <w:szCs w:val="16"/>
                          </w:rPr>
                        </w:pPr>
                        <w:r>
                          <w:rPr>
                            <w:rFonts w:ascii="Times New Roman"/>
                            <w:sz w:val="16"/>
                          </w:rPr>
                          <w:t>-233,758.22</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106"/>
                          <w:jc w:val="right"/>
                          <w:rPr>
                            <w:rFonts w:ascii="Times New Roman" w:hAnsi="Times New Roman" w:cs="Times New Roman" w:eastAsia="Times New Roman" w:hint="default"/>
                            <w:sz w:val="16"/>
                            <w:szCs w:val="16"/>
                          </w:rPr>
                        </w:pPr>
                        <w:r>
                          <w:rPr>
                            <w:rFonts w:ascii="Times New Roman"/>
                            <w:spacing w:val="-1"/>
                            <w:sz w:val="16"/>
                          </w:rPr>
                          <w:t>8,406,338.25</w:t>
                        </w:r>
                      </w:p>
                    </w:tc>
                    <w:tc>
                      <w:tcPr>
                        <w:tcW w:w="1056" w:type="dxa"/>
                        <w:tcBorders>
                          <w:top w:val="nil" w:sz="6" w:space="0" w:color="auto"/>
                          <w:left w:val="nil" w:sz="6" w:space="0" w:color="auto"/>
                          <w:bottom w:val="nil" w:sz="6" w:space="0" w:color="auto"/>
                          <w:right w:val="nil" w:sz="6" w:space="0" w:color="auto"/>
                        </w:tcBorders>
                      </w:tcPr>
                      <w:p>
                        <w:pPr/>
                      </w:p>
                    </w:tc>
                    <w:tc>
                      <w:tcPr>
                        <w:tcW w:w="1055" w:type="dxa"/>
                        <w:tcBorders>
                          <w:top w:val="nil" w:sz="6" w:space="0" w:color="auto"/>
                          <w:left w:val="nil" w:sz="6" w:space="0" w:color="auto"/>
                          <w:bottom w:val="nil" w:sz="6" w:space="0" w:color="auto"/>
                          <w:right w:val="nil" w:sz="6" w:space="0" w:color="auto"/>
                        </w:tcBorders>
                      </w:tcPr>
                      <w:p>
                        <w:pPr/>
                      </w:p>
                    </w:tc>
                    <w:tc>
                      <w:tcPr>
                        <w:tcW w:w="117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67"/>
                          <w:jc w:val="right"/>
                          <w:rPr>
                            <w:rFonts w:ascii="Times New Roman" w:hAnsi="Times New Roman" w:cs="Times New Roman" w:eastAsia="Times New Roman" w:hint="default"/>
                            <w:sz w:val="16"/>
                            <w:szCs w:val="16"/>
                          </w:rPr>
                        </w:pPr>
                        <w:r>
                          <w:rPr>
                            <w:rFonts w:ascii="Times New Roman"/>
                            <w:spacing w:val="-1"/>
                            <w:sz w:val="16"/>
                          </w:rPr>
                          <w:t>16,675,685.99</w:t>
                        </w:r>
                      </w:p>
                    </w:tc>
                  </w:tr>
                  <w:tr>
                    <w:trPr>
                      <w:trHeight w:val="191" w:hRule="exact"/>
                    </w:trPr>
                    <w:tc>
                      <w:tcPr>
                        <w:tcW w:w="6865" w:type="dxa"/>
                        <w:gridSpan w:val="6"/>
                        <w:tcBorders>
                          <w:top w:val="nil" w:sz="6" w:space="0" w:color="auto"/>
                          <w:left w:val="nil" w:sz="6" w:space="0" w:color="auto"/>
                          <w:bottom w:val="nil" w:sz="6" w:space="0" w:color="auto"/>
                          <w:right w:val="nil" w:sz="6" w:space="0" w:color="auto"/>
                        </w:tcBorders>
                      </w:tcPr>
                      <w:p>
                        <w:pPr/>
                      </w:p>
                    </w:tc>
                  </w:tr>
                </w:tbl>
                <w:p>
                  <w:pPr/>
                </w:p>
              </w:txbxContent>
            </v:textbox>
            <w10:wrap type="none"/>
          </v:shape>
        </w:pict>
      </w:r>
      <w:r>
        <w:rPr>
          <w:rFonts w:ascii="宋体" w:hAnsi="宋体" w:cs="宋体" w:eastAsia="宋体" w:hint="default"/>
          <w:sz w:val="16"/>
          <w:szCs w:val="16"/>
        </w:rPr>
        <w:t>项目</w:t>
      </w:r>
    </w:p>
    <w:p>
      <w:pPr>
        <w:spacing w:line="240" w:lineRule="auto" w:before="1"/>
        <w:rPr>
          <w:rFonts w:ascii="宋体" w:hAnsi="宋体" w:cs="宋体" w:eastAsia="宋体" w:hint="default"/>
          <w:sz w:val="11"/>
          <w:szCs w:val="11"/>
        </w:rPr>
      </w:pPr>
    </w:p>
    <w:p>
      <w:pPr>
        <w:spacing w:before="0"/>
        <w:ind w:left="857" w:right="3681" w:firstLine="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宋体" w:hAnsi="宋体" w:cs="宋体" w:eastAsia="宋体" w:hint="default"/>
          <w:sz w:val="16"/>
          <w:szCs w:val="16"/>
        </w:rPr>
        <w:t>．账面原值</w:t>
      </w:r>
    </w:p>
    <w:p>
      <w:pPr>
        <w:spacing w:before="132"/>
        <w:ind w:left="857" w:right="3681" w:firstLine="0"/>
        <w:jc w:val="left"/>
        <w:rPr>
          <w:rFonts w:ascii="宋体" w:hAnsi="宋体" w:cs="宋体" w:eastAsia="宋体" w:hint="default"/>
          <w:sz w:val="16"/>
          <w:szCs w:val="16"/>
        </w:rPr>
      </w:pPr>
      <w:r>
        <w:rPr>
          <w:rFonts w:ascii="宋体" w:hAnsi="宋体" w:cs="宋体" w:eastAsia="宋体" w:hint="default"/>
          <w:spacing w:val="-7"/>
          <w:sz w:val="16"/>
          <w:szCs w:val="16"/>
        </w:rPr>
        <w:t>（</w:t>
      </w:r>
      <w:r>
        <w:rPr>
          <w:rFonts w:ascii="Times New Roman" w:hAnsi="Times New Roman" w:cs="Times New Roman" w:eastAsia="Times New Roman" w:hint="default"/>
          <w:spacing w:val="-7"/>
          <w:sz w:val="16"/>
          <w:szCs w:val="16"/>
        </w:rPr>
        <w:t>1</w:t>
      </w:r>
      <w:r>
        <w:rPr>
          <w:rFonts w:ascii="宋体" w:hAnsi="宋体" w:cs="宋体" w:eastAsia="宋体" w:hint="default"/>
          <w:spacing w:val="-7"/>
          <w:sz w:val="16"/>
          <w:szCs w:val="16"/>
        </w:rPr>
        <w:t>）年初余额</w:t>
      </w:r>
    </w:p>
    <w:p>
      <w:pPr>
        <w:spacing w:line="240" w:lineRule="auto" w:before="8"/>
        <w:rPr>
          <w:rFonts w:ascii="宋体" w:hAnsi="宋体" w:cs="宋体" w:eastAsia="宋体" w:hint="default"/>
          <w:sz w:val="11"/>
          <w:szCs w:val="11"/>
        </w:rPr>
      </w:pPr>
    </w:p>
    <w:p>
      <w:pPr>
        <w:spacing w:line="208" w:lineRule="exact" w:before="0"/>
        <w:ind w:left="857" w:right="8376" w:firstLine="0"/>
        <w:jc w:val="left"/>
        <w:rPr>
          <w:rFonts w:ascii="宋体" w:hAnsi="宋体" w:cs="宋体" w:eastAsia="宋体" w:hint="default"/>
          <w:sz w:val="16"/>
          <w:szCs w:val="16"/>
        </w:rPr>
      </w:pPr>
      <w:r>
        <w:rPr>
          <w:rFonts w:ascii="宋体" w:hAnsi="宋体" w:cs="宋体" w:eastAsia="宋体" w:hint="default"/>
          <w:spacing w:val="-7"/>
          <w:sz w:val="16"/>
          <w:szCs w:val="16"/>
        </w:rPr>
        <w:t>（</w:t>
      </w:r>
      <w:r>
        <w:rPr>
          <w:rFonts w:ascii="Times New Roman" w:hAnsi="Times New Roman" w:cs="Times New Roman" w:eastAsia="Times New Roman" w:hint="default"/>
          <w:spacing w:val="-7"/>
          <w:sz w:val="16"/>
          <w:szCs w:val="16"/>
        </w:rPr>
        <w:t>2</w:t>
      </w:r>
      <w:r>
        <w:rPr>
          <w:rFonts w:ascii="宋体" w:hAnsi="宋体" w:cs="宋体" w:eastAsia="宋体" w:hint="default"/>
          <w:spacing w:val="-7"/>
          <w:sz w:val="16"/>
          <w:szCs w:val="16"/>
        </w:rPr>
        <w:t>）本期增加</w:t>
      </w:r>
      <w:r>
        <w:rPr>
          <w:rFonts w:ascii="宋体" w:hAnsi="宋体" w:cs="宋体" w:eastAsia="宋体" w:hint="default"/>
          <w:spacing w:val="-78"/>
          <w:sz w:val="16"/>
          <w:szCs w:val="16"/>
        </w:rPr>
        <w:t> </w:t>
      </w:r>
      <w:r>
        <w:rPr>
          <w:rFonts w:ascii="宋体" w:hAnsi="宋体" w:cs="宋体" w:eastAsia="宋体" w:hint="default"/>
          <w:spacing w:val="-78"/>
          <w:sz w:val="16"/>
          <w:szCs w:val="16"/>
        </w:rPr>
      </w:r>
      <w:r>
        <w:rPr>
          <w:rFonts w:ascii="宋体" w:hAnsi="宋体" w:cs="宋体" w:eastAsia="宋体" w:hint="default"/>
          <w:sz w:val="16"/>
          <w:szCs w:val="16"/>
        </w:rPr>
        <w:t>金额</w:t>
      </w:r>
    </w:p>
    <w:p>
      <w:pPr>
        <w:spacing w:before="125"/>
        <w:ind w:left="1257" w:right="3681" w:firstLine="0"/>
        <w:jc w:val="left"/>
        <w:rPr>
          <w:rFonts w:ascii="宋体" w:hAnsi="宋体" w:cs="宋体" w:eastAsia="宋体" w:hint="default"/>
          <w:sz w:val="16"/>
          <w:szCs w:val="16"/>
        </w:rPr>
      </w:pPr>
      <w:r>
        <w:rPr>
          <w:rFonts w:ascii="Times New Roman" w:hAnsi="Times New Roman" w:cs="Times New Roman" w:eastAsia="Times New Roman" w:hint="default"/>
          <w:sz w:val="16"/>
          <w:szCs w:val="16"/>
        </w:rPr>
        <w:t>—</w:t>
      </w:r>
      <w:r>
        <w:rPr>
          <w:rFonts w:ascii="宋体" w:hAnsi="宋体" w:cs="宋体" w:eastAsia="宋体" w:hint="default"/>
          <w:sz w:val="16"/>
          <w:szCs w:val="16"/>
        </w:rPr>
        <w:t>购置</w:t>
      </w:r>
    </w:p>
    <w:p>
      <w:pPr>
        <w:spacing w:line="215" w:lineRule="exact" w:before="131"/>
        <w:ind w:left="1257" w:right="3681" w:firstLine="0"/>
        <w:jc w:val="left"/>
        <w:rPr>
          <w:rFonts w:ascii="宋体" w:hAnsi="宋体" w:cs="宋体" w:eastAsia="宋体" w:hint="default"/>
          <w:sz w:val="16"/>
          <w:szCs w:val="16"/>
        </w:rPr>
      </w:pPr>
      <w:r>
        <w:rPr>
          <w:rFonts w:ascii="Times New Roman" w:hAnsi="Times New Roman" w:cs="Times New Roman" w:eastAsia="Times New Roman" w:hint="default"/>
          <w:sz w:val="16"/>
          <w:szCs w:val="16"/>
        </w:rPr>
        <w:t>—</w:t>
      </w:r>
      <w:r>
        <w:rPr>
          <w:rFonts w:ascii="宋体" w:hAnsi="宋体" w:cs="宋体" w:eastAsia="宋体" w:hint="default"/>
          <w:sz w:val="16"/>
          <w:szCs w:val="16"/>
        </w:rPr>
        <w:t>内部</w:t>
      </w:r>
    </w:p>
    <w:p>
      <w:pPr>
        <w:spacing w:line="203" w:lineRule="exact" w:before="0"/>
        <w:ind w:left="857" w:right="3681" w:firstLine="0"/>
        <w:jc w:val="left"/>
        <w:rPr>
          <w:rFonts w:ascii="宋体" w:hAnsi="宋体" w:cs="宋体" w:eastAsia="宋体" w:hint="default"/>
          <w:sz w:val="16"/>
          <w:szCs w:val="16"/>
        </w:rPr>
      </w:pPr>
      <w:r>
        <w:rPr>
          <w:rFonts w:ascii="宋体" w:hAnsi="宋体" w:cs="宋体" w:eastAsia="宋体" w:hint="default"/>
          <w:sz w:val="16"/>
          <w:szCs w:val="16"/>
        </w:rPr>
        <w:t>研发</w:t>
      </w:r>
    </w:p>
    <w:p>
      <w:pPr>
        <w:spacing w:line="240" w:lineRule="auto" w:before="7"/>
        <w:rPr>
          <w:rFonts w:ascii="宋体" w:hAnsi="宋体" w:cs="宋体" w:eastAsia="宋体" w:hint="default"/>
          <w:sz w:val="12"/>
          <w:szCs w:val="12"/>
        </w:rPr>
      </w:pPr>
    </w:p>
    <w:p>
      <w:pPr>
        <w:spacing w:line="208" w:lineRule="exact" w:before="0"/>
        <w:ind w:left="857" w:right="8376" w:firstLine="0"/>
        <w:jc w:val="left"/>
        <w:rPr>
          <w:rFonts w:ascii="宋体" w:hAnsi="宋体" w:cs="宋体" w:eastAsia="宋体" w:hint="default"/>
          <w:sz w:val="16"/>
          <w:szCs w:val="16"/>
        </w:rPr>
      </w:pPr>
      <w:r>
        <w:rPr>
          <w:rFonts w:ascii="宋体" w:hAnsi="宋体" w:cs="宋体" w:eastAsia="宋体" w:hint="default"/>
          <w:spacing w:val="-7"/>
          <w:sz w:val="16"/>
          <w:szCs w:val="16"/>
        </w:rPr>
        <w:t>（</w:t>
      </w:r>
      <w:r>
        <w:rPr>
          <w:rFonts w:ascii="Times New Roman" w:hAnsi="Times New Roman" w:cs="Times New Roman" w:eastAsia="Times New Roman" w:hint="default"/>
          <w:spacing w:val="-7"/>
          <w:sz w:val="16"/>
          <w:szCs w:val="16"/>
        </w:rPr>
        <w:t>3</w:t>
      </w:r>
      <w:r>
        <w:rPr>
          <w:rFonts w:ascii="宋体" w:hAnsi="宋体" w:cs="宋体" w:eastAsia="宋体" w:hint="default"/>
          <w:spacing w:val="-7"/>
          <w:sz w:val="16"/>
          <w:szCs w:val="16"/>
        </w:rPr>
        <w:t>）本期减少</w:t>
      </w:r>
      <w:r>
        <w:rPr>
          <w:rFonts w:ascii="宋体" w:hAnsi="宋体" w:cs="宋体" w:eastAsia="宋体" w:hint="default"/>
          <w:spacing w:val="-78"/>
          <w:sz w:val="16"/>
          <w:szCs w:val="16"/>
        </w:rPr>
        <w:t> </w:t>
      </w:r>
      <w:r>
        <w:rPr>
          <w:rFonts w:ascii="宋体" w:hAnsi="宋体" w:cs="宋体" w:eastAsia="宋体" w:hint="default"/>
          <w:spacing w:val="-78"/>
          <w:sz w:val="16"/>
          <w:szCs w:val="16"/>
        </w:rPr>
      </w:r>
      <w:r>
        <w:rPr>
          <w:rFonts w:ascii="宋体" w:hAnsi="宋体" w:cs="宋体" w:eastAsia="宋体" w:hint="default"/>
          <w:sz w:val="16"/>
          <w:szCs w:val="16"/>
        </w:rPr>
        <w:t>金额</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8"/>
          <w:szCs w:val="18"/>
        </w:rPr>
      </w:pPr>
    </w:p>
    <w:p>
      <w:pPr>
        <w:tabs>
          <w:tab w:pos="2147" w:val="left" w:leader="none"/>
        </w:tabs>
        <w:spacing w:before="0"/>
        <w:ind w:left="857" w:right="3681" w:firstLine="0"/>
        <w:jc w:val="left"/>
        <w:rPr>
          <w:rFonts w:ascii="Times New Roman" w:hAnsi="Times New Roman" w:cs="Times New Roman" w:eastAsia="Times New Roman" w:hint="default"/>
          <w:sz w:val="16"/>
          <w:szCs w:val="16"/>
        </w:rPr>
      </w:pPr>
      <w:r>
        <w:rPr/>
        <w:pict>
          <v:shape style="position:absolute;margin-left:124.129997pt;margin-top:-126.249115pt;width:402.1pt;height:135.3pt;mso-position-horizontal-relative:page;mso-position-vertical-relative:paragraph;z-index:1511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250"/>
                    <w:gridCol w:w="1104"/>
                    <w:gridCol w:w="1216"/>
                    <w:gridCol w:w="1216"/>
                    <w:gridCol w:w="1056"/>
                    <w:gridCol w:w="1055"/>
                    <w:gridCol w:w="1143"/>
                  </w:tblGrid>
                  <w:tr>
                    <w:trPr>
                      <w:trHeight w:val="364" w:hRule="exact"/>
                    </w:trPr>
                    <w:tc>
                      <w:tcPr>
                        <w:tcW w:w="1250" w:type="dxa"/>
                        <w:tcBorders>
                          <w:top w:val="nil" w:sz="6" w:space="0" w:color="auto"/>
                          <w:left w:val="nil" w:sz="6" w:space="0" w:color="auto"/>
                          <w:bottom w:val="nil" w:sz="6" w:space="0" w:color="auto"/>
                          <w:right w:val="nil" w:sz="6" w:space="0" w:color="auto"/>
                        </w:tcBorders>
                      </w:tcPr>
                      <w:p>
                        <w:pPr>
                          <w:pStyle w:val="TableParagraph"/>
                          <w:spacing w:line="240" w:lineRule="auto" w:before="50"/>
                          <w:ind w:left="434"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w:t>
                        </w:r>
                        <w:r>
                          <w:rPr>
                            <w:rFonts w:ascii="宋体" w:hAnsi="宋体" w:cs="宋体" w:eastAsia="宋体" w:hint="default"/>
                            <w:sz w:val="16"/>
                            <w:szCs w:val="16"/>
                          </w:rPr>
                          <w:t>处置</w:t>
                        </w:r>
                      </w:p>
                    </w:tc>
                    <w:tc>
                      <w:tcPr>
                        <w:tcW w:w="1104"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07"/>
                          <w:jc w:val="right"/>
                          <w:rPr>
                            <w:rFonts w:ascii="Times New Roman" w:hAnsi="Times New Roman" w:cs="Times New Roman" w:eastAsia="Times New Roman" w:hint="default"/>
                            <w:sz w:val="16"/>
                            <w:szCs w:val="16"/>
                          </w:rPr>
                        </w:pPr>
                        <w:r>
                          <w:rPr>
                            <w:rFonts w:ascii="Times New Roman"/>
                            <w:spacing w:val="-1"/>
                            <w:sz w:val="16"/>
                          </w:rPr>
                          <w:t>8,680,000.00</w:t>
                        </w:r>
                      </w:p>
                    </w:tc>
                    <w:tc>
                      <w:tcPr>
                        <w:tcW w:w="243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2"/>
                          <w:ind w:left="1483" w:right="0"/>
                          <w:jc w:val="left"/>
                          <w:rPr>
                            <w:rFonts w:ascii="Times New Roman" w:hAnsi="Times New Roman" w:cs="Times New Roman" w:eastAsia="Times New Roman" w:hint="default"/>
                            <w:sz w:val="16"/>
                            <w:szCs w:val="16"/>
                          </w:rPr>
                        </w:pPr>
                        <w:r>
                          <w:rPr>
                            <w:rFonts w:ascii="Times New Roman"/>
                            <w:sz w:val="16"/>
                          </w:rPr>
                          <w:t>1,320,472.50</w:t>
                        </w:r>
                      </w:p>
                    </w:tc>
                    <w:tc>
                      <w:tcPr>
                        <w:tcW w:w="3255"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92"/>
                          <w:ind w:right="33"/>
                          <w:jc w:val="right"/>
                          <w:rPr>
                            <w:rFonts w:ascii="Times New Roman" w:hAnsi="Times New Roman" w:cs="Times New Roman" w:eastAsia="Times New Roman" w:hint="default"/>
                            <w:sz w:val="16"/>
                            <w:szCs w:val="16"/>
                          </w:rPr>
                        </w:pPr>
                        <w:r>
                          <w:rPr>
                            <w:rFonts w:ascii="Times New Roman"/>
                            <w:spacing w:val="-1"/>
                            <w:sz w:val="16"/>
                          </w:rPr>
                          <w:t>10,000,472.50</w:t>
                        </w:r>
                      </w:p>
                    </w:tc>
                  </w:tr>
                  <w:tr>
                    <w:trPr>
                      <w:trHeight w:val="264" w:hRule="exact"/>
                    </w:trPr>
                    <w:tc>
                      <w:tcPr>
                        <w:tcW w:w="125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434"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w:t>
                        </w:r>
                        <w:r>
                          <w:rPr>
                            <w:rFonts w:ascii="宋体" w:hAnsi="宋体" w:cs="宋体" w:eastAsia="宋体" w:hint="default"/>
                            <w:sz w:val="16"/>
                            <w:szCs w:val="16"/>
                          </w:rPr>
                          <w:t>报废</w:t>
                        </w:r>
                      </w:p>
                    </w:tc>
                    <w:tc>
                      <w:tcPr>
                        <w:tcW w:w="1104" w:type="dxa"/>
                        <w:tcBorders>
                          <w:top w:val="nil" w:sz="6" w:space="0" w:color="auto"/>
                          <w:left w:val="nil" w:sz="6" w:space="0" w:color="auto"/>
                          <w:bottom w:val="nil" w:sz="6" w:space="0" w:color="auto"/>
                          <w:right w:val="nil" w:sz="6" w:space="0" w:color="auto"/>
                        </w:tcBorders>
                      </w:tcPr>
                      <w:p>
                        <w:pPr/>
                      </w:p>
                    </w:tc>
                    <w:tc>
                      <w:tcPr>
                        <w:tcW w:w="243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3"/>
                          <w:ind w:left="1483" w:right="0"/>
                          <w:jc w:val="left"/>
                          <w:rPr>
                            <w:rFonts w:ascii="Times New Roman" w:hAnsi="Times New Roman" w:cs="Times New Roman" w:eastAsia="Times New Roman" w:hint="default"/>
                            <w:sz w:val="16"/>
                            <w:szCs w:val="16"/>
                          </w:rPr>
                        </w:pPr>
                        <w:r>
                          <w:rPr>
                            <w:rFonts w:ascii="Times New Roman"/>
                            <w:sz w:val="16"/>
                          </w:rPr>
                          <w:t>7,347,616.52</w:t>
                        </w:r>
                      </w:p>
                    </w:tc>
                    <w:tc>
                      <w:tcPr>
                        <w:tcW w:w="3255"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83"/>
                          <w:ind w:right="33"/>
                          <w:jc w:val="right"/>
                          <w:rPr>
                            <w:rFonts w:ascii="Times New Roman" w:hAnsi="Times New Roman" w:cs="Times New Roman" w:eastAsia="Times New Roman" w:hint="default"/>
                            <w:sz w:val="16"/>
                            <w:szCs w:val="16"/>
                          </w:rPr>
                        </w:pPr>
                        <w:r>
                          <w:rPr>
                            <w:rFonts w:ascii="Times New Roman"/>
                            <w:spacing w:val="-1"/>
                            <w:sz w:val="16"/>
                          </w:rPr>
                          <w:t>7,347,616.52</w:t>
                        </w:r>
                      </w:p>
                    </w:tc>
                  </w:tr>
                  <w:tr>
                    <w:trPr>
                      <w:trHeight w:val="368" w:hRule="exact"/>
                    </w:trPr>
                    <w:tc>
                      <w:tcPr>
                        <w:tcW w:w="1250" w:type="dxa"/>
                        <w:tcBorders>
                          <w:top w:val="nil" w:sz="6" w:space="0" w:color="auto"/>
                          <w:left w:val="nil" w:sz="6" w:space="0" w:color="auto"/>
                          <w:bottom w:val="nil" w:sz="6" w:space="0" w:color="auto"/>
                          <w:right w:val="nil" w:sz="6" w:space="0" w:color="auto"/>
                        </w:tcBorders>
                      </w:tcPr>
                      <w:p>
                        <w:pPr>
                          <w:pStyle w:val="TableParagraph"/>
                          <w:spacing w:line="240" w:lineRule="auto" w:before="130"/>
                          <w:ind w:left="434"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w:t>
                        </w:r>
                        <w:r>
                          <w:rPr>
                            <w:rFonts w:ascii="宋体" w:hAnsi="宋体" w:cs="宋体" w:eastAsia="宋体" w:hint="default"/>
                            <w:sz w:val="16"/>
                            <w:szCs w:val="16"/>
                          </w:rPr>
                          <w:t>汇率</w:t>
                        </w:r>
                      </w:p>
                    </w:tc>
                    <w:tc>
                      <w:tcPr>
                        <w:tcW w:w="1104" w:type="dxa"/>
                        <w:tcBorders>
                          <w:top w:val="nil" w:sz="6" w:space="0" w:color="auto"/>
                          <w:left w:val="nil" w:sz="6" w:space="0" w:color="auto"/>
                          <w:bottom w:val="nil" w:sz="6" w:space="0" w:color="auto"/>
                          <w:right w:val="nil" w:sz="6" w:space="0" w:color="auto"/>
                        </w:tcBorders>
                      </w:tcPr>
                      <w:p>
                        <w:pPr/>
                      </w:p>
                    </w:tc>
                    <w:tc>
                      <w:tcPr>
                        <w:tcW w:w="2432" w:type="dxa"/>
                        <w:gridSpan w:val="2"/>
                        <w:tcBorders>
                          <w:top w:val="nil" w:sz="6" w:space="0" w:color="auto"/>
                          <w:left w:val="nil" w:sz="6" w:space="0" w:color="auto"/>
                          <w:bottom w:val="nil" w:sz="6" w:space="0" w:color="auto"/>
                          <w:right w:val="nil" w:sz="6" w:space="0" w:color="auto"/>
                        </w:tcBorders>
                      </w:tcPr>
                      <w:p>
                        <w:pPr/>
                      </w:p>
                    </w:tc>
                    <w:tc>
                      <w:tcPr>
                        <w:tcW w:w="3255" w:type="dxa"/>
                        <w:gridSpan w:val="3"/>
                        <w:tcBorders>
                          <w:top w:val="nil" w:sz="6" w:space="0" w:color="auto"/>
                          <w:left w:val="nil" w:sz="6" w:space="0" w:color="auto"/>
                          <w:bottom w:val="nil" w:sz="6" w:space="0" w:color="auto"/>
                          <w:right w:val="nil" w:sz="6" w:space="0" w:color="auto"/>
                        </w:tcBorders>
                      </w:tcPr>
                      <w:p>
                        <w:pPr/>
                      </w:p>
                    </w:tc>
                  </w:tr>
                  <w:tr>
                    <w:trPr>
                      <w:trHeight w:val="276" w:hRule="exact"/>
                    </w:trPr>
                    <w:tc>
                      <w:tcPr>
                        <w:tcW w:w="1250" w:type="dxa"/>
                        <w:tcBorders>
                          <w:top w:val="nil" w:sz="6" w:space="0" w:color="auto"/>
                          <w:left w:val="nil" w:sz="6" w:space="0" w:color="auto"/>
                          <w:bottom w:val="nil" w:sz="6" w:space="0" w:color="auto"/>
                          <w:right w:val="nil" w:sz="6" w:space="0" w:color="auto"/>
                        </w:tcBorders>
                      </w:tcPr>
                      <w:p>
                        <w:pPr>
                          <w:pStyle w:val="TableParagraph"/>
                          <w:spacing w:line="180" w:lineRule="exact"/>
                          <w:ind w:left="35" w:right="0"/>
                          <w:jc w:val="left"/>
                          <w:rPr>
                            <w:rFonts w:ascii="宋体" w:hAnsi="宋体" w:cs="宋体" w:eastAsia="宋体" w:hint="default"/>
                            <w:sz w:val="16"/>
                            <w:szCs w:val="16"/>
                          </w:rPr>
                        </w:pPr>
                        <w:r>
                          <w:rPr>
                            <w:rFonts w:ascii="宋体" w:hAnsi="宋体" w:cs="宋体" w:eastAsia="宋体" w:hint="default"/>
                            <w:sz w:val="16"/>
                            <w:szCs w:val="16"/>
                          </w:rPr>
                          <w:t>变动影响</w:t>
                        </w:r>
                      </w:p>
                    </w:tc>
                    <w:tc>
                      <w:tcPr>
                        <w:tcW w:w="1104" w:type="dxa"/>
                        <w:tcBorders>
                          <w:top w:val="nil" w:sz="6" w:space="0" w:color="auto"/>
                          <w:left w:val="nil" w:sz="6" w:space="0" w:color="auto"/>
                          <w:bottom w:val="nil" w:sz="6" w:space="0" w:color="auto"/>
                          <w:right w:val="nil" w:sz="6" w:space="0" w:color="auto"/>
                        </w:tcBorders>
                      </w:tcPr>
                      <w:p>
                        <w:pPr>
                          <w:pStyle w:val="TableParagraph"/>
                          <w:spacing w:line="92" w:lineRule="exact"/>
                          <w:ind w:right="106"/>
                          <w:jc w:val="right"/>
                          <w:rPr>
                            <w:rFonts w:ascii="Times New Roman" w:hAnsi="Times New Roman" w:cs="Times New Roman" w:eastAsia="Times New Roman" w:hint="default"/>
                            <w:sz w:val="16"/>
                            <w:szCs w:val="16"/>
                          </w:rPr>
                        </w:pPr>
                        <w:r>
                          <w:rPr>
                            <w:rFonts w:ascii="Times New Roman"/>
                            <w:spacing w:val="-1"/>
                            <w:sz w:val="16"/>
                          </w:rPr>
                          <w:t>-176,894.04</w:t>
                        </w:r>
                      </w:p>
                    </w:tc>
                    <w:tc>
                      <w:tcPr>
                        <w:tcW w:w="1216" w:type="dxa"/>
                        <w:tcBorders>
                          <w:top w:val="nil" w:sz="6" w:space="0" w:color="auto"/>
                          <w:left w:val="nil" w:sz="6" w:space="0" w:color="auto"/>
                          <w:bottom w:val="nil" w:sz="6" w:space="0" w:color="auto"/>
                          <w:right w:val="nil" w:sz="6" w:space="0" w:color="auto"/>
                        </w:tcBorders>
                      </w:tcPr>
                      <w:p>
                        <w:pPr>
                          <w:pStyle w:val="TableParagraph"/>
                          <w:spacing w:line="92" w:lineRule="exact"/>
                          <w:ind w:right="106"/>
                          <w:jc w:val="right"/>
                          <w:rPr>
                            <w:rFonts w:ascii="Times New Roman" w:hAnsi="Times New Roman" w:cs="Times New Roman" w:eastAsia="Times New Roman" w:hint="default"/>
                            <w:sz w:val="16"/>
                            <w:szCs w:val="16"/>
                          </w:rPr>
                        </w:pPr>
                        <w:r>
                          <w:rPr>
                            <w:rFonts w:ascii="Times New Roman"/>
                            <w:spacing w:val="-1"/>
                            <w:sz w:val="16"/>
                          </w:rPr>
                          <w:t>-233,758.22</w:t>
                        </w:r>
                      </w:p>
                    </w:tc>
                    <w:tc>
                      <w:tcPr>
                        <w:tcW w:w="1216" w:type="dxa"/>
                        <w:tcBorders>
                          <w:top w:val="nil" w:sz="6" w:space="0" w:color="auto"/>
                          <w:left w:val="nil" w:sz="6" w:space="0" w:color="auto"/>
                          <w:bottom w:val="nil" w:sz="6" w:space="0" w:color="auto"/>
                          <w:right w:val="nil" w:sz="6" w:space="0" w:color="auto"/>
                        </w:tcBorders>
                      </w:tcPr>
                      <w:p>
                        <w:pPr>
                          <w:pStyle w:val="TableParagraph"/>
                          <w:spacing w:line="92" w:lineRule="exact"/>
                          <w:ind w:right="106"/>
                          <w:jc w:val="right"/>
                          <w:rPr>
                            <w:rFonts w:ascii="Times New Roman" w:hAnsi="Times New Roman" w:cs="Times New Roman" w:eastAsia="Times New Roman" w:hint="default"/>
                            <w:sz w:val="16"/>
                            <w:szCs w:val="16"/>
                          </w:rPr>
                        </w:pPr>
                        <w:r>
                          <w:rPr>
                            <w:rFonts w:ascii="Times New Roman"/>
                            <w:spacing w:val="-1"/>
                            <w:sz w:val="16"/>
                          </w:rPr>
                          <w:t>-261,750.77</w:t>
                        </w:r>
                      </w:p>
                    </w:tc>
                    <w:tc>
                      <w:tcPr>
                        <w:tcW w:w="1056" w:type="dxa"/>
                        <w:tcBorders>
                          <w:top w:val="nil" w:sz="6" w:space="0" w:color="auto"/>
                          <w:left w:val="nil" w:sz="6" w:space="0" w:color="auto"/>
                          <w:bottom w:val="nil" w:sz="6" w:space="0" w:color="auto"/>
                          <w:right w:val="nil" w:sz="6" w:space="0" w:color="auto"/>
                        </w:tcBorders>
                      </w:tcPr>
                      <w:p>
                        <w:pPr/>
                      </w:p>
                    </w:tc>
                    <w:tc>
                      <w:tcPr>
                        <w:tcW w:w="1055" w:type="dxa"/>
                        <w:tcBorders>
                          <w:top w:val="nil" w:sz="6" w:space="0" w:color="auto"/>
                          <w:left w:val="nil" w:sz="6" w:space="0" w:color="auto"/>
                          <w:bottom w:val="nil" w:sz="6" w:space="0" w:color="auto"/>
                          <w:right w:val="nil" w:sz="6" w:space="0" w:color="auto"/>
                        </w:tcBorders>
                      </w:tcPr>
                      <w:p>
                        <w:pPr/>
                      </w:p>
                    </w:tc>
                    <w:tc>
                      <w:tcPr>
                        <w:tcW w:w="1143" w:type="dxa"/>
                        <w:tcBorders>
                          <w:top w:val="nil" w:sz="6" w:space="0" w:color="auto"/>
                          <w:left w:val="nil" w:sz="6" w:space="0" w:color="auto"/>
                          <w:bottom w:val="nil" w:sz="6" w:space="0" w:color="auto"/>
                          <w:right w:val="nil" w:sz="6" w:space="0" w:color="auto"/>
                        </w:tcBorders>
                      </w:tcPr>
                      <w:p>
                        <w:pPr>
                          <w:pStyle w:val="TableParagraph"/>
                          <w:spacing w:line="92" w:lineRule="exact"/>
                          <w:ind w:right="33"/>
                          <w:jc w:val="right"/>
                          <w:rPr>
                            <w:rFonts w:ascii="Times New Roman" w:hAnsi="Times New Roman" w:cs="Times New Roman" w:eastAsia="Times New Roman" w:hint="default"/>
                            <w:sz w:val="16"/>
                            <w:szCs w:val="16"/>
                          </w:rPr>
                        </w:pPr>
                        <w:r>
                          <w:rPr>
                            <w:rFonts w:ascii="Times New Roman"/>
                            <w:spacing w:val="-1"/>
                            <w:sz w:val="16"/>
                          </w:rPr>
                          <w:t>-672,403.03</w:t>
                        </w:r>
                      </w:p>
                    </w:tc>
                  </w:tr>
                  <w:tr>
                    <w:trPr>
                      <w:trHeight w:val="360" w:hRule="exact"/>
                    </w:trPr>
                    <w:tc>
                      <w:tcPr>
                        <w:tcW w:w="1250"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5" w:right="0"/>
                          <w:jc w:val="left"/>
                          <w:rPr>
                            <w:rFonts w:ascii="宋体" w:hAnsi="宋体" w:cs="宋体" w:eastAsia="宋体" w:hint="default"/>
                            <w:sz w:val="16"/>
                            <w:szCs w:val="16"/>
                          </w:rPr>
                        </w:pPr>
                        <w:r>
                          <w:rPr>
                            <w:rFonts w:ascii="宋体" w:hAnsi="宋体" w:cs="宋体" w:eastAsia="宋体" w:hint="default"/>
                            <w:spacing w:val="-7"/>
                            <w:sz w:val="16"/>
                            <w:szCs w:val="16"/>
                          </w:rPr>
                          <w:t>（</w:t>
                        </w:r>
                        <w:r>
                          <w:rPr>
                            <w:rFonts w:ascii="Times New Roman" w:hAnsi="Times New Roman" w:cs="Times New Roman" w:eastAsia="Times New Roman" w:hint="default"/>
                            <w:spacing w:val="-7"/>
                            <w:sz w:val="16"/>
                            <w:szCs w:val="16"/>
                          </w:rPr>
                          <w:t>4</w:t>
                        </w:r>
                        <w:r>
                          <w:rPr>
                            <w:rFonts w:ascii="宋体" w:hAnsi="宋体" w:cs="宋体" w:eastAsia="宋体" w:hint="default"/>
                            <w:spacing w:val="-7"/>
                            <w:sz w:val="16"/>
                            <w:szCs w:val="16"/>
                          </w:rPr>
                          <w:t>）期末余额</w:t>
                        </w:r>
                      </w:p>
                    </w:tc>
                    <w:tc>
                      <w:tcPr>
                        <w:tcW w:w="1104" w:type="dxa"/>
                        <w:tcBorders>
                          <w:top w:val="nil" w:sz="6" w:space="0" w:color="auto"/>
                          <w:left w:val="nil" w:sz="6" w:space="0" w:color="auto"/>
                          <w:bottom w:val="nil" w:sz="6" w:space="0" w:color="auto"/>
                          <w:right w:val="nil" w:sz="6" w:space="0" w:color="auto"/>
                        </w:tcBorders>
                      </w:tcPr>
                      <w:p>
                        <w:pPr>
                          <w:pStyle w:val="TableParagraph"/>
                          <w:spacing w:line="240" w:lineRule="auto" w:before="89"/>
                          <w:ind w:left="-5" w:right="106"/>
                          <w:jc w:val="right"/>
                          <w:rPr>
                            <w:rFonts w:ascii="Times New Roman" w:hAnsi="Times New Roman" w:cs="Times New Roman" w:eastAsia="Times New Roman" w:hint="default"/>
                            <w:sz w:val="16"/>
                            <w:szCs w:val="16"/>
                          </w:rPr>
                        </w:pPr>
                        <w:r>
                          <w:rPr>
                            <w:rFonts w:ascii="Times New Roman"/>
                            <w:spacing w:val="-1"/>
                            <w:sz w:val="16"/>
                          </w:rPr>
                          <w:t>388,133,877.82</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06"/>
                          <w:jc w:val="right"/>
                          <w:rPr>
                            <w:rFonts w:ascii="Times New Roman" w:hAnsi="Times New Roman" w:cs="Times New Roman" w:eastAsia="Times New Roman" w:hint="default"/>
                            <w:sz w:val="16"/>
                            <w:szCs w:val="16"/>
                          </w:rPr>
                        </w:pPr>
                        <w:r>
                          <w:rPr>
                            <w:rFonts w:ascii="Times New Roman"/>
                            <w:spacing w:val="-1"/>
                            <w:sz w:val="16"/>
                          </w:rPr>
                          <w:t>169,444,441.47</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06"/>
                          <w:jc w:val="right"/>
                          <w:rPr>
                            <w:rFonts w:ascii="Times New Roman" w:hAnsi="Times New Roman" w:cs="Times New Roman" w:eastAsia="Times New Roman" w:hint="default"/>
                            <w:sz w:val="16"/>
                            <w:szCs w:val="16"/>
                          </w:rPr>
                        </w:pPr>
                        <w:r>
                          <w:rPr>
                            <w:rFonts w:ascii="Times New Roman"/>
                            <w:spacing w:val="-1"/>
                            <w:sz w:val="16"/>
                          </w:rPr>
                          <w:t>106,312,826.00</w:t>
                        </w:r>
                      </w:p>
                    </w:tc>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before="89"/>
                          <w:ind w:left="1" w:right="0"/>
                          <w:jc w:val="center"/>
                          <w:rPr>
                            <w:rFonts w:ascii="Times New Roman" w:hAnsi="Times New Roman" w:cs="Times New Roman" w:eastAsia="Times New Roman" w:hint="default"/>
                            <w:sz w:val="16"/>
                            <w:szCs w:val="16"/>
                          </w:rPr>
                        </w:pPr>
                        <w:r>
                          <w:rPr>
                            <w:rFonts w:ascii="Times New Roman"/>
                            <w:sz w:val="16"/>
                          </w:rPr>
                          <w:t>2,735,313.34</w:t>
                        </w:r>
                      </w:p>
                    </w:tc>
                    <w:tc>
                      <w:tcPr>
                        <w:tcW w:w="1055"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0"/>
                          <w:jc w:val="center"/>
                          <w:rPr>
                            <w:rFonts w:ascii="Times New Roman" w:hAnsi="Times New Roman" w:cs="Times New Roman" w:eastAsia="Times New Roman" w:hint="default"/>
                            <w:sz w:val="16"/>
                            <w:szCs w:val="16"/>
                          </w:rPr>
                        </w:pPr>
                        <w:r>
                          <w:rPr>
                            <w:rFonts w:ascii="Times New Roman"/>
                            <w:sz w:val="16"/>
                          </w:rPr>
                          <w:t>4,366,291.57</w:t>
                        </w:r>
                      </w:p>
                    </w:tc>
                    <w:tc>
                      <w:tcPr>
                        <w:tcW w:w="1143"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33"/>
                          <w:jc w:val="right"/>
                          <w:rPr>
                            <w:rFonts w:ascii="Times New Roman" w:hAnsi="Times New Roman" w:cs="Times New Roman" w:eastAsia="Times New Roman" w:hint="default"/>
                            <w:sz w:val="16"/>
                            <w:szCs w:val="16"/>
                          </w:rPr>
                        </w:pPr>
                        <w:r>
                          <w:rPr>
                            <w:rFonts w:ascii="Times New Roman"/>
                            <w:spacing w:val="-1"/>
                            <w:sz w:val="16"/>
                          </w:rPr>
                          <w:t>670,992,750.20</w:t>
                        </w:r>
                      </w:p>
                    </w:tc>
                  </w:tr>
                  <w:tr>
                    <w:trPr>
                      <w:trHeight w:val="351" w:hRule="exact"/>
                    </w:trPr>
                    <w:tc>
                      <w:tcPr>
                        <w:tcW w:w="125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5"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宋体" w:hAnsi="宋体" w:cs="宋体" w:eastAsia="宋体" w:hint="default"/>
                            <w:sz w:val="16"/>
                            <w:szCs w:val="16"/>
                          </w:rPr>
                          <w:t>．累计摊销</w:t>
                        </w:r>
                      </w:p>
                    </w:tc>
                    <w:tc>
                      <w:tcPr>
                        <w:tcW w:w="1104" w:type="dxa"/>
                        <w:tcBorders>
                          <w:top w:val="nil" w:sz="6" w:space="0" w:color="auto"/>
                          <w:left w:val="nil" w:sz="6" w:space="0" w:color="auto"/>
                          <w:bottom w:val="nil" w:sz="6" w:space="0" w:color="auto"/>
                          <w:right w:val="nil" w:sz="6" w:space="0" w:color="auto"/>
                        </w:tcBorders>
                      </w:tcPr>
                      <w:p>
                        <w:pPr/>
                      </w:p>
                    </w:tc>
                    <w:tc>
                      <w:tcPr>
                        <w:tcW w:w="1216" w:type="dxa"/>
                        <w:tcBorders>
                          <w:top w:val="nil" w:sz="6" w:space="0" w:color="auto"/>
                          <w:left w:val="nil" w:sz="6" w:space="0" w:color="auto"/>
                          <w:bottom w:val="nil" w:sz="6" w:space="0" w:color="auto"/>
                          <w:right w:val="nil" w:sz="6" w:space="0" w:color="auto"/>
                        </w:tcBorders>
                      </w:tcPr>
                      <w:p>
                        <w:pPr/>
                      </w:p>
                    </w:tc>
                    <w:tc>
                      <w:tcPr>
                        <w:tcW w:w="1216" w:type="dxa"/>
                        <w:tcBorders>
                          <w:top w:val="nil" w:sz="6" w:space="0" w:color="auto"/>
                          <w:left w:val="nil" w:sz="6" w:space="0" w:color="auto"/>
                          <w:bottom w:val="nil" w:sz="6" w:space="0" w:color="auto"/>
                          <w:right w:val="nil" w:sz="6" w:space="0" w:color="auto"/>
                        </w:tcBorders>
                      </w:tcPr>
                      <w:p>
                        <w:pPr/>
                      </w:p>
                    </w:tc>
                    <w:tc>
                      <w:tcPr>
                        <w:tcW w:w="1056" w:type="dxa"/>
                        <w:tcBorders>
                          <w:top w:val="nil" w:sz="6" w:space="0" w:color="auto"/>
                          <w:left w:val="nil" w:sz="6" w:space="0" w:color="auto"/>
                          <w:bottom w:val="nil" w:sz="6" w:space="0" w:color="auto"/>
                          <w:right w:val="nil" w:sz="6" w:space="0" w:color="auto"/>
                        </w:tcBorders>
                      </w:tcPr>
                      <w:p>
                        <w:pPr/>
                      </w:p>
                    </w:tc>
                    <w:tc>
                      <w:tcPr>
                        <w:tcW w:w="1055" w:type="dxa"/>
                        <w:tcBorders>
                          <w:top w:val="nil" w:sz="6" w:space="0" w:color="auto"/>
                          <w:left w:val="nil" w:sz="6" w:space="0" w:color="auto"/>
                          <w:bottom w:val="nil" w:sz="6" w:space="0" w:color="auto"/>
                          <w:right w:val="nil" w:sz="6" w:space="0" w:color="auto"/>
                        </w:tcBorders>
                      </w:tcPr>
                      <w:p>
                        <w:pPr/>
                      </w:p>
                    </w:tc>
                    <w:tc>
                      <w:tcPr>
                        <w:tcW w:w="1143" w:type="dxa"/>
                        <w:tcBorders>
                          <w:top w:val="nil" w:sz="6" w:space="0" w:color="auto"/>
                          <w:left w:val="nil" w:sz="6" w:space="0" w:color="auto"/>
                          <w:bottom w:val="nil" w:sz="6" w:space="0" w:color="auto"/>
                          <w:right w:val="nil" w:sz="6" w:space="0" w:color="auto"/>
                        </w:tcBorders>
                      </w:tcPr>
                      <w:p>
                        <w:pPr/>
                      </w:p>
                    </w:tc>
                  </w:tr>
                  <w:tr>
                    <w:trPr>
                      <w:trHeight w:val="265" w:hRule="exact"/>
                    </w:trPr>
                    <w:tc>
                      <w:tcPr>
                        <w:tcW w:w="1250"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16"/>
                            <w:szCs w:val="16"/>
                          </w:rPr>
                        </w:pPr>
                        <w:r>
                          <w:rPr>
                            <w:rFonts w:ascii="宋体" w:hAnsi="宋体" w:cs="宋体" w:eastAsia="宋体" w:hint="default"/>
                            <w:spacing w:val="-7"/>
                            <w:sz w:val="16"/>
                            <w:szCs w:val="16"/>
                          </w:rPr>
                          <w:t>（</w:t>
                        </w:r>
                        <w:r>
                          <w:rPr>
                            <w:rFonts w:ascii="Times New Roman" w:hAnsi="Times New Roman" w:cs="Times New Roman" w:eastAsia="Times New Roman" w:hint="default"/>
                            <w:spacing w:val="-7"/>
                            <w:sz w:val="16"/>
                            <w:szCs w:val="16"/>
                          </w:rPr>
                          <w:t>1</w:t>
                        </w:r>
                        <w:r>
                          <w:rPr>
                            <w:rFonts w:ascii="宋体" w:hAnsi="宋体" w:cs="宋体" w:eastAsia="宋体" w:hint="default"/>
                            <w:spacing w:val="-7"/>
                            <w:sz w:val="16"/>
                            <w:szCs w:val="16"/>
                          </w:rPr>
                          <w:t>）年初余额</w:t>
                        </w:r>
                      </w:p>
                    </w:tc>
                    <w:tc>
                      <w:tcPr>
                        <w:tcW w:w="1104"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06"/>
                          <w:jc w:val="right"/>
                          <w:rPr>
                            <w:rFonts w:ascii="Times New Roman" w:hAnsi="Times New Roman" w:cs="Times New Roman" w:eastAsia="Times New Roman" w:hint="default"/>
                            <w:sz w:val="16"/>
                            <w:szCs w:val="16"/>
                          </w:rPr>
                        </w:pPr>
                        <w:r>
                          <w:rPr>
                            <w:rFonts w:ascii="Times New Roman"/>
                            <w:spacing w:val="-1"/>
                            <w:sz w:val="16"/>
                          </w:rPr>
                          <w:t>110,509,496.19</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05"/>
                          <w:jc w:val="right"/>
                          <w:rPr>
                            <w:rFonts w:ascii="Times New Roman" w:hAnsi="Times New Roman" w:cs="Times New Roman" w:eastAsia="Times New Roman" w:hint="default"/>
                            <w:sz w:val="16"/>
                            <w:szCs w:val="16"/>
                          </w:rPr>
                        </w:pPr>
                        <w:r>
                          <w:rPr>
                            <w:rFonts w:ascii="Times New Roman"/>
                            <w:spacing w:val="-1"/>
                            <w:sz w:val="16"/>
                          </w:rPr>
                          <w:t>21,548,996.83</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07"/>
                          <w:jc w:val="right"/>
                          <w:rPr>
                            <w:rFonts w:ascii="Times New Roman" w:hAnsi="Times New Roman" w:cs="Times New Roman" w:eastAsia="Times New Roman" w:hint="default"/>
                            <w:sz w:val="16"/>
                            <w:szCs w:val="16"/>
                          </w:rPr>
                        </w:pPr>
                        <w:r>
                          <w:rPr>
                            <w:rFonts w:ascii="Times New Roman"/>
                            <w:spacing w:val="-1"/>
                            <w:sz w:val="16"/>
                          </w:rPr>
                          <w:t>46,507,766.28</w:t>
                        </w:r>
                      </w:p>
                    </w:tc>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before="85"/>
                          <w:ind w:left="1" w:right="0"/>
                          <w:jc w:val="center"/>
                          <w:rPr>
                            <w:rFonts w:ascii="Times New Roman" w:hAnsi="Times New Roman" w:cs="Times New Roman" w:eastAsia="Times New Roman" w:hint="default"/>
                            <w:sz w:val="16"/>
                            <w:szCs w:val="16"/>
                          </w:rPr>
                        </w:pPr>
                        <w:r>
                          <w:rPr>
                            <w:rFonts w:ascii="Times New Roman"/>
                            <w:sz w:val="16"/>
                          </w:rPr>
                          <w:t>2,735,313.34</w:t>
                        </w:r>
                      </w:p>
                    </w:tc>
                    <w:tc>
                      <w:tcPr>
                        <w:tcW w:w="1055"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0"/>
                          <w:jc w:val="center"/>
                          <w:rPr>
                            <w:rFonts w:ascii="Times New Roman" w:hAnsi="Times New Roman" w:cs="Times New Roman" w:eastAsia="Times New Roman" w:hint="default"/>
                            <w:sz w:val="16"/>
                            <w:szCs w:val="16"/>
                          </w:rPr>
                        </w:pPr>
                        <w:r>
                          <w:rPr>
                            <w:rFonts w:ascii="Times New Roman"/>
                            <w:sz w:val="16"/>
                          </w:rPr>
                          <w:t>2,236,695.59</w:t>
                        </w:r>
                      </w:p>
                    </w:tc>
                    <w:tc>
                      <w:tcPr>
                        <w:tcW w:w="1143"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33"/>
                          <w:jc w:val="right"/>
                          <w:rPr>
                            <w:rFonts w:ascii="Times New Roman" w:hAnsi="Times New Roman" w:cs="Times New Roman" w:eastAsia="Times New Roman" w:hint="default"/>
                            <w:sz w:val="16"/>
                            <w:szCs w:val="16"/>
                          </w:rPr>
                        </w:pPr>
                        <w:r>
                          <w:rPr>
                            <w:rFonts w:ascii="Times New Roman"/>
                            <w:spacing w:val="-1"/>
                            <w:sz w:val="16"/>
                          </w:rPr>
                          <w:t>183,538,268.23</w:t>
                        </w:r>
                      </w:p>
                    </w:tc>
                  </w:tr>
                  <w:tr>
                    <w:trPr>
                      <w:trHeight w:val="323" w:hRule="exact"/>
                    </w:trPr>
                    <w:tc>
                      <w:tcPr>
                        <w:tcW w:w="1250" w:type="dxa"/>
                        <w:tcBorders>
                          <w:top w:val="nil" w:sz="6" w:space="0" w:color="auto"/>
                          <w:left w:val="nil" w:sz="6" w:space="0" w:color="auto"/>
                          <w:bottom w:val="nil" w:sz="6" w:space="0" w:color="auto"/>
                          <w:right w:val="nil" w:sz="6" w:space="0" w:color="auto"/>
                        </w:tcBorders>
                      </w:tcPr>
                      <w:p>
                        <w:pPr>
                          <w:pStyle w:val="TableParagraph"/>
                          <w:spacing w:line="240" w:lineRule="auto" w:before="131"/>
                          <w:ind w:left="35" w:right="0"/>
                          <w:jc w:val="left"/>
                          <w:rPr>
                            <w:rFonts w:ascii="宋体" w:hAnsi="宋体" w:cs="宋体" w:eastAsia="宋体" w:hint="default"/>
                            <w:sz w:val="16"/>
                            <w:szCs w:val="16"/>
                          </w:rPr>
                        </w:pPr>
                        <w:r>
                          <w:rPr>
                            <w:rFonts w:ascii="宋体" w:hAnsi="宋体" w:cs="宋体" w:eastAsia="宋体" w:hint="default"/>
                            <w:spacing w:val="-7"/>
                            <w:sz w:val="16"/>
                            <w:szCs w:val="16"/>
                          </w:rPr>
                          <w:t>（</w:t>
                        </w:r>
                        <w:r>
                          <w:rPr>
                            <w:rFonts w:ascii="Times New Roman" w:hAnsi="Times New Roman" w:cs="Times New Roman" w:eastAsia="Times New Roman" w:hint="default"/>
                            <w:spacing w:val="-7"/>
                            <w:sz w:val="16"/>
                            <w:szCs w:val="16"/>
                          </w:rPr>
                          <w:t>2</w:t>
                        </w:r>
                        <w:r>
                          <w:rPr>
                            <w:rFonts w:ascii="宋体" w:hAnsi="宋体" w:cs="宋体" w:eastAsia="宋体" w:hint="default"/>
                            <w:spacing w:val="-7"/>
                            <w:sz w:val="16"/>
                            <w:szCs w:val="16"/>
                          </w:rPr>
                          <w:t>）本期增加</w:t>
                        </w:r>
                      </w:p>
                    </w:tc>
                    <w:tc>
                      <w:tcPr>
                        <w:tcW w:w="1104" w:type="dxa"/>
                        <w:tcBorders>
                          <w:top w:val="nil" w:sz="6" w:space="0" w:color="auto"/>
                          <w:left w:val="nil" w:sz="6" w:space="0" w:color="auto"/>
                          <w:bottom w:val="nil" w:sz="6" w:space="0" w:color="auto"/>
                          <w:right w:val="nil" w:sz="6" w:space="0" w:color="auto"/>
                        </w:tcBorders>
                      </w:tcPr>
                      <w:p>
                        <w:pPr/>
                      </w:p>
                    </w:tc>
                    <w:tc>
                      <w:tcPr>
                        <w:tcW w:w="1216" w:type="dxa"/>
                        <w:tcBorders>
                          <w:top w:val="nil" w:sz="6" w:space="0" w:color="auto"/>
                          <w:left w:val="nil" w:sz="6" w:space="0" w:color="auto"/>
                          <w:bottom w:val="nil" w:sz="6" w:space="0" w:color="auto"/>
                          <w:right w:val="nil" w:sz="6" w:space="0" w:color="auto"/>
                        </w:tcBorders>
                      </w:tcPr>
                      <w:p>
                        <w:pPr/>
                      </w:p>
                    </w:tc>
                    <w:tc>
                      <w:tcPr>
                        <w:tcW w:w="1216" w:type="dxa"/>
                        <w:tcBorders>
                          <w:top w:val="nil" w:sz="6" w:space="0" w:color="auto"/>
                          <w:left w:val="nil" w:sz="6" w:space="0" w:color="auto"/>
                          <w:bottom w:val="nil" w:sz="6" w:space="0" w:color="auto"/>
                          <w:right w:val="nil" w:sz="6" w:space="0" w:color="auto"/>
                        </w:tcBorders>
                      </w:tcPr>
                      <w:p>
                        <w:pPr/>
                      </w:p>
                    </w:tc>
                    <w:tc>
                      <w:tcPr>
                        <w:tcW w:w="1056" w:type="dxa"/>
                        <w:tcBorders>
                          <w:top w:val="nil" w:sz="6" w:space="0" w:color="auto"/>
                          <w:left w:val="nil" w:sz="6" w:space="0" w:color="auto"/>
                          <w:bottom w:val="nil" w:sz="6" w:space="0" w:color="auto"/>
                          <w:right w:val="nil" w:sz="6" w:space="0" w:color="auto"/>
                        </w:tcBorders>
                      </w:tcPr>
                      <w:p>
                        <w:pPr/>
                      </w:p>
                    </w:tc>
                    <w:tc>
                      <w:tcPr>
                        <w:tcW w:w="1055" w:type="dxa"/>
                        <w:tcBorders>
                          <w:top w:val="nil" w:sz="6" w:space="0" w:color="auto"/>
                          <w:left w:val="nil" w:sz="6" w:space="0" w:color="auto"/>
                          <w:bottom w:val="nil" w:sz="6" w:space="0" w:color="auto"/>
                          <w:right w:val="nil" w:sz="6" w:space="0" w:color="auto"/>
                        </w:tcBorders>
                      </w:tcPr>
                      <w:p>
                        <w:pPr/>
                      </w:p>
                    </w:tc>
                    <w:tc>
                      <w:tcPr>
                        <w:tcW w:w="1143" w:type="dxa"/>
                        <w:tcBorders>
                          <w:top w:val="nil" w:sz="6" w:space="0" w:color="auto"/>
                          <w:left w:val="nil" w:sz="6" w:space="0" w:color="auto"/>
                          <w:bottom w:val="nil" w:sz="6" w:space="0" w:color="auto"/>
                          <w:right w:val="nil" w:sz="6" w:space="0" w:color="auto"/>
                        </w:tcBorders>
                      </w:tcPr>
                      <w:p>
                        <w:pPr/>
                      </w:p>
                    </w:tc>
                  </w:tr>
                  <w:tr>
                    <w:trPr>
                      <w:trHeight w:val="134" w:hRule="exact"/>
                    </w:trPr>
                    <w:tc>
                      <w:tcPr>
                        <w:tcW w:w="2355" w:type="dxa"/>
                        <w:gridSpan w:val="2"/>
                        <w:tcBorders>
                          <w:top w:val="nil" w:sz="6" w:space="0" w:color="auto"/>
                          <w:left w:val="nil" w:sz="6" w:space="0" w:color="auto"/>
                          <w:bottom w:val="nil" w:sz="6" w:space="0" w:color="auto"/>
                          <w:right w:val="nil" w:sz="6" w:space="0" w:color="auto"/>
                        </w:tcBorders>
                      </w:tcPr>
                      <w:p>
                        <w:pPr/>
                      </w:p>
                    </w:tc>
                    <w:tc>
                      <w:tcPr>
                        <w:tcW w:w="1216" w:type="dxa"/>
                        <w:tcBorders>
                          <w:top w:val="nil" w:sz="6" w:space="0" w:color="auto"/>
                          <w:left w:val="nil" w:sz="6" w:space="0" w:color="auto"/>
                          <w:bottom w:val="nil" w:sz="6" w:space="0" w:color="auto"/>
                          <w:right w:val="nil" w:sz="6" w:space="0" w:color="auto"/>
                        </w:tcBorders>
                      </w:tcPr>
                      <w:p>
                        <w:pPr>
                          <w:pStyle w:val="TableParagraph"/>
                          <w:spacing w:line="137" w:lineRule="exact"/>
                          <w:ind w:right="105"/>
                          <w:jc w:val="right"/>
                          <w:rPr>
                            <w:rFonts w:ascii="Times New Roman" w:hAnsi="Times New Roman" w:cs="Times New Roman" w:eastAsia="Times New Roman" w:hint="default"/>
                            <w:sz w:val="16"/>
                            <w:szCs w:val="16"/>
                          </w:rPr>
                        </w:pPr>
                        <w:r>
                          <w:rPr>
                            <w:rFonts w:ascii="Times New Roman"/>
                            <w:spacing w:val="-1"/>
                            <w:sz w:val="16"/>
                          </w:rPr>
                          <w:t>11,915,900.52</w:t>
                        </w:r>
                      </w:p>
                    </w:tc>
                    <w:tc>
                      <w:tcPr>
                        <w:tcW w:w="1216" w:type="dxa"/>
                        <w:tcBorders>
                          <w:top w:val="nil" w:sz="6" w:space="0" w:color="auto"/>
                          <w:left w:val="nil" w:sz="6" w:space="0" w:color="auto"/>
                          <w:bottom w:val="nil" w:sz="6" w:space="0" w:color="auto"/>
                          <w:right w:val="nil" w:sz="6" w:space="0" w:color="auto"/>
                        </w:tcBorders>
                      </w:tcPr>
                      <w:p>
                        <w:pPr>
                          <w:pStyle w:val="TableParagraph"/>
                          <w:spacing w:line="137" w:lineRule="exact"/>
                          <w:ind w:right="106"/>
                          <w:jc w:val="right"/>
                          <w:rPr>
                            <w:rFonts w:ascii="Times New Roman" w:hAnsi="Times New Roman" w:cs="Times New Roman" w:eastAsia="Times New Roman" w:hint="default"/>
                            <w:sz w:val="16"/>
                            <w:szCs w:val="16"/>
                          </w:rPr>
                        </w:pPr>
                        <w:r>
                          <w:rPr>
                            <w:rFonts w:ascii="Times New Roman"/>
                            <w:spacing w:val="-1"/>
                            <w:sz w:val="16"/>
                          </w:rPr>
                          <w:t>8,257,781.31</w:t>
                        </w:r>
                      </w:p>
                    </w:tc>
                    <w:tc>
                      <w:tcPr>
                        <w:tcW w:w="1056" w:type="dxa"/>
                        <w:tcBorders>
                          <w:top w:val="nil" w:sz="6" w:space="0" w:color="auto"/>
                          <w:left w:val="nil" w:sz="6" w:space="0" w:color="auto"/>
                          <w:bottom w:val="nil" w:sz="6" w:space="0" w:color="auto"/>
                          <w:right w:val="nil" w:sz="6" w:space="0" w:color="auto"/>
                        </w:tcBorders>
                      </w:tcPr>
                      <w:p>
                        <w:pPr/>
                      </w:p>
                    </w:tc>
                    <w:tc>
                      <w:tcPr>
                        <w:tcW w:w="1055" w:type="dxa"/>
                        <w:tcBorders>
                          <w:top w:val="nil" w:sz="6" w:space="0" w:color="auto"/>
                          <w:left w:val="nil" w:sz="6" w:space="0" w:color="auto"/>
                          <w:bottom w:val="nil" w:sz="6" w:space="0" w:color="auto"/>
                          <w:right w:val="nil" w:sz="6" w:space="0" w:color="auto"/>
                        </w:tcBorders>
                      </w:tcPr>
                      <w:p>
                        <w:pPr>
                          <w:pStyle w:val="TableParagraph"/>
                          <w:spacing w:line="137" w:lineRule="exact"/>
                          <w:ind w:left="119" w:right="0"/>
                          <w:jc w:val="center"/>
                          <w:rPr>
                            <w:rFonts w:ascii="Times New Roman" w:hAnsi="Times New Roman" w:cs="Times New Roman" w:eastAsia="Times New Roman" w:hint="default"/>
                            <w:sz w:val="16"/>
                            <w:szCs w:val="16"/>
                          </w:rPr>
                        </w:pPr>
                        <w:r>
                          <w:rPr>
                            <w:rFonts w:ascii="Times New Roman"/>
                            <w:sz w:val="16"/>
                          </w:rPr>
                          <w:t>581,984.98</w:t>
                        </w:r>
                      </w:p>
                    </w:tc>
                    <w:tc>
                      <w:tcPr>
                        <w:tcW w:w="1143" w:type="dxa"/>
                        <w:tcBorders>
                          <w:top w:val="nil" w:sz="6" w:space="0" w:color="auto"/>
                          <w:left w:val="nil" w:sz="6" w:space="0" w:color="auto"/>
                          <w:bottom w:val="nil" w:sz="6" w:space="0" w:color="auto"/>
                          <w:right w:val="nil" w:sz="6" w:space="0" w:color="auto"/>
                        </w:tcBorders>
                      </w:tcPr>
                      <w:p>
                        <w:pPr>
                          <w:pStyle w:val="TableParagraph"/>
                          <w:spacing w:line="137" w:lineRule="exact"/>
                          <w:ind w:right="33"/>
                          <w:jc w:val="right"/>
                          <w:rPr>
                            <w:rFonts w:ascii="Times New Roman" w:hAnsi="Times New Roman" w:cs="Times New Roman" w:eastAsia="Times New Roman" w:hint="default"/>
                            <w:sz w:val="16"/>
                            <w:szCs w:val="16"/>
                          </w:rPr>
                        </w:pPr>
                        <w:r>
                          <w:rPr>
                            <w:rFonts w:ascii="Times New Roman"/>
                            <w:spacing w:val="-1"/>
                            <w:sz w:val="16"/>
                          </w:rPr>
                          <w:t>31,592,656.23</w:t>
                        </w:r>
                      </w:p>
                    </w:tc>
                  </w:tr>
                </w:tbl>
                <w:p>
                  <w:pPr/>
                </w:p>
              </w:txbxContent>
            </v:textbox>
            <w10:wrap type="none"/>
          </v:shape>
        </w:pict>
      </w:r>
      <w:r>
        <w:rPr>
          <w:rFonts w:ascii="宋体" w:hAnsi="宋体" w:cs="宋体" w:eastAsia="宋体" w:hint="default"/>
          <w:w w:val="95"/>
          <w:position w:val="-9"/>
          <w:sz w:val="16"/>
          <w:szCs w:val="16"/>
        </w:rPr>
        <w:t>金额</w:t>
        <w:tab/>
      </w:r>
      <w:r>
        <w:rPr>
          <w:rFonts w:ascii="Times New Roman" w:hAnsi="Times New Roman" w:cs="Times New Roman" w:eastAsia="Times New Roman" w:hint="default"/>
          <w:sz w:val="16"/>
          <w:szCs w:val="16"/>
        </w:rPr>
        <w:t>10,836,989.42</w:t>
      </w:r>
    </w:p>
    <w:p>
      <w:pPr>
        <w:spacing w:line="240" w:lineRule="auto" w:before="10"/>
        <w:rPr>
          <w:rFonts w:ascii="Times New Roman" w:hAnsi="Times New Roman" w:cs="Times New Roman" w:eastAsia="Times New Roman" w:hint="default"/>
          <w:sz w:val="12"/>
          <w:szCs w:val="12"/>
        </w:rPr>
      </w:pPr>
    </w:p>
    <w:p>
      <w:pPr>
        <w:tabs>
          <w:tab w:pos="2147" w:val="left" w:leader="none"/>
          <w:tab w:pos="3370" w:val="left" w:leader="none"/>
          <w:tab w:pos="4660" w:val="left" w:leader="none"/>
          <w:tab w:pos="6892" w:val="left" w:leader="none"/>
          <w:tab w:pos="7907" w:val="left" w:leader="none"/>
        </w:tabs>
        <w:spacing w:before="0"/>
        <w:ind w:left="1257" w:right="0" w:firstLine="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w w:val="95"/>
          <w:sz w:val="16"/>
          <w:szCs w:val="16"/>
        </w:rPr>
        <w:t>—</w:t>
      </w:r>
      <w:r>
        <w:rPr>
          <w:rFonts w:ascii="宋体" w:hAnsi="宋体" w:cs="宋体" w:eastAsia="宋体" w:hint="default"/>
          <w:w w:val="95"/>
          <w:sz w:val="16"/>
          <w:szCs w:val="16"/>
        </w:rPr>
        <w:t>计提</w:t>
        <w:tab/>
      </w:r>
      <w:r>
        <w:rPr>
          <w:rFonts w:ascii="Times New Roman" w:hAnsi="Times New Roman" w:cs="Times New Roman" w:eastAsia="Times New Roman" w:hint="default"/>
          <w:spacing w:val="-1"/>
          <w:sz w:val="16"/>
          <w:szCs w:val="16"/>
        </w:rPr>
        <w:t>10,836,989.42</w:t>
        <w:tab/>
        <w:t>11,915,900.52</w:t>
        <w:tab/>
        <w:t>8,257,781.31</w:t>
        <w:tab/>
        <w:t>581,984.98</w:t>
        <w:tab/>
        <w:t>31,592,656.23</w:t>
      </w:r>
    </w:p>
    <w:p>
      <w:pPr>
        <w:spacing w:line="240" w:lineRule="auto" w:before="10"/>
        <w:rPr>
          <w:rFonts w:ascii="Times New Roman" w:hAnsi="Times New Roman" w:cs="Times New Roman" w:eastAsia="Times New Roman" w:hint="default"/>
          <w:sz w:val="12"/>
          <w:szCs w:val="12"/>
        </w:rPr>
      </w:pPr>
    </w:p>
    <w:p>
      <w:pPr>
        <w:spacing w:line="208" w:lineRule="exact" w:before="0"/>
        <w:ind w:left="857" w:right="8376" w:firstLine="0"/>
        <w:jc w:val="left"/>
        <w:rPr>
          <w:rFonts w:ascii="宋体" w:hAnsi="宋体" w:cs="宋体" w:eastAsia="宋体" w:hint="default"/>
          <w:sz w:val="16"/>
          <w:szCs w:val="16"/>
        </w:rPr>
      </w:pPr>
      <w:r>
        <w:rPr/>
        <w:pict>
          <v:shape style="position:absolute;margin-left:144.110321pt;margin-top:7.29877pt;width:382.15pt;height:65.95pt;mso-position-horizontal-relative:page;mso-position-vertical-relative:paragraph;z-index:1516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971"/>
                    <w:gridCol w:w="1098"/>
                    <w:gridCol w:w="1182"/>
                    <w:gridCol w:w="1137"/>
                    <w:gridCol w:w="1056"/>
                    <w:gridCol w:w="1095"/>
                    <w:gridCol w:w="1104"/>
                  </w:tblGrid>
                  <w:tr>
                    <w:trPr>
                      <w:trHeight w:val="160" w:hRule="exact"/>
                    </w:trPr>
                    <w:tc>
                      <w:tcPr>
                        <w:tcW w:w="2068" w:type="dxa"/>
                        <w:gridSpan w:val="2"/>
                        <w:tcBorders>
                          <w:top w:val="nil" w:sz="6" w:space="0" w:color="auto"/>
                          <w:left w:val="nil" w:sz="6" w:space="0" w:color="auto"/>
                          <w:bottom w:val="nil" w:sz="6" w:space="0" w:color="auto"/>
                          <w:right w:val="nil" w:sz="6" w:space="0" w:color="auto"/>
                        </w:tcBorders>
                      </w:tcPr>
                      <w:p>
                        <w:pPr>
                          <w:pStyle w:val="TableParagraph"/>
                          <w:spacing w:line="163" w:lineRule="exact"/>
                          <w:ind w:left="1005" w:right="0"/>
                          <w:jc w:val="left"/>
                          <w:rPr>
                            <w:rFonts w:ascii="Times New Roman" w:hAnsi="Times New Roman" w:cs="Times New Roman" w:eastAsia="Times New Roman" w:hint="default"/>
                            <w:sz w:val="16"/>
                            <w:szCs w:val="16"/>
                          </w:rPr>
                        </w:pPr>
                        <w:r>
                          <w:rPr>
                            <w:rFonts w:ascii="Times New Roman"/>
                            <w:sz w:val="16"/>
                          </w:rPr>
                          <w:t>8,650,019.02</w:t>
                        </w:r>
                      </w:p>
                    </w:tc>
                    <w:tc>
                      <w:tcPr>
                        <w:tcW w:w="1182" w:type="dxa"/>
                        <w:tcBorders>
                          <w:top w:val="nil" w:sz="6" w:space="0" w:color="auto"/>
                          <w:left w:val="nil" w:sz="6" w:space="0" w:color="auto"/>
                          <w:bottom w:val="nil" w:sz="6" w:space="0" w:color="auto"/>
                          <w:right w:val="nil" w:sz="6" w:space="0" w:color="auto"/>
                        </w:tcBorders>
                      </w:tcPr>
                      <w:p>
                        <w:pPr>
                          <w:pStyle w:val="TableParagraph"/>
                          <w:spacing w:line="163" w:lineRule="exact"/>
                          <w:ind w:left="221" w:right="0"/>
                          <w:jc w:val="left"/>
                          <w:rPr>
                            <w:rFonts w:ascii="Times New Roman" w:hAnsi="Times New Roman" w:cs="Times New Roman" w:eastAsia="Times New Roman" w:hint="default"/>
                            <w:sz w:val="16"/>
                            <w:szCs w:val="16"/>
                          </w:rPr>
                        </w:pPr>
                        <w:r>
                          <w:rPr>
                            <w:rFonts w:ascii="Times New Roman"/>
                            <w:sz w:val="16"/>
                          </w:rPr>
                          <w:t>-223,690.17</w:t>
                        </w:r>
                      </w:p>
                    </w:tc>
                    <w:tc>
                      <w:tcPr>
                        <w:tcW w:w="1137" w:type="dxa"/>
                        <w:tcBorders>
                          <w:top w:val="nil" w:sz="6" w:space="0" w:color="auto"/>
                          <w:left w:val="nil" w:sz="6" w:space="0" w:color="auto"/>
                          <w:bottom w:val="nil" w:sz="6" w:space="0" w:color="auto"/>
                          <w:right w:val="nil" w:sz="6" w:space="0" w:color="auto"/>
                        </w:tcBorders>
                      </w:tcPr>
                      <w:p>
                        <w:pPr>
                          <w:pStyle w:val="TableParagraph"/>
                          <w:spacing w:line="163" w:lineRule="exact"/>
                          <w:ind w:left="187" w:right="0"/>
                          <w:jc w:val="left"/>
                          <w:rPr>
                            <w:rFonts w:ascii="Times New Roman" w:hAnsi="Times New Roman" w:cs="Times New Roman" w:eastAsia="Times New Roman" w:hint="default"/>
                            <w:sz w:val="16"/>
                            <w:szCs w:val="16"/>
                          </w:rPr>
                        </w:pPr>
                        <w:r>
                          <w:rPr>
                            <w:rFonts w:ascii="Times New Roman"/>
                            <w:sz w:val="16"/>
                          </w:rPr>
                          <w:t>8,446,066.58</w:t>
                        </w:r>
                      </w:p>
                    </w:tc>
                    <w:tc>
                      <w:tcPr>
                        <w:tcW w:w="1056" w:type="dxa"/>
                        <w:tcBorders>
                          <w:top w:val="nil" w:sz="6" w:space="0" w:color="auto"/>
                          <w:left w:val="nil" w:sz="6" w:space="0" w:color="auto"/>
                          <w:bottom w:val="nil" w:sz="6" w:space="0" w:color="auto"/>
                          <w:right w:val="nil" w:sz="6" w:space="0" w:color="auto"/>
                        </w:tcBorders>
                      </w:tcPr>
                      <w:p>
                        <w:pPr/>
                      </w:p>
                    </w:tc>
                    <w:tc>
                      <w:tcPr>
                        <w:tcW w:w="1095" w:type="dxa"/>
                        <w:tcBorders>
                          <w:top w:val="nil" w:sz="6" w:space="0" w:color="auto"/>
                          <w:left w:val="nil" w:sz="6" w:space="0" w:color="auto"/>
                          <w:bottom w:val="nil" w:sz="6" w:space="0" w:color="auto"/>
                          <w:right w:val="nil" w:sz="6" w:space="0" w:color="auto"/>
                        </w:tcBorders>
                      </w:tcPr>
                      <w:p>
                        <w:pPr/>
                      </w:p>
                    </w:tc>
                    <w:tc>
                      <w:tcPr>
                        <w:tcW w:w="1104" w:type="dxa"/>
                        <w:tcBorders>
                          <w:top w:val="nil" w:sz="6" w:space="0" w:color="auto"/>
                          <w:left w:val="nil" w:sz="6" w:space="0" w:color="auto"/>
                          <w:bottom w:val="nil" w:sz="6" w:space="0" w:color="auto"/>
                          <w:right w:val="nil" w:sz="6" w:space="0" w:color="auto"/>
                        </w:tcBorders>
                      </w:tcPr>
                      <w:p>
                        <w:pPr>
                          <w:pStyle w:val="TableParagraph"/>
                          <w:spacing w:line="163" w:lineRule="exact"/>
                          <w:ind w:left="146" w:right="0"/>
                          <w:jc w:val="left"/>
                          <w:rPr>
                            <w:rFonts w:ascii="Times New Roman" w:hAnsi="Times New Roman" w:cs="Times New Roman" w:eastAsia="Times New Roman" w:hint="default"/>
                            <w:sz w:val="16"/>
                            <w:szCs w:val="16"/>
                          </w:rPr>
                        </w:pPr>
                        <w:r>
                          <w:rPr>
                            <w:rFonts w:ascii="Times New Roman"/>
                            <w:sz w:val="16"/>
                          </w:rPr>
                          <w:t>16,872,395.43</w:t>
                        </w:r>
                      </w:p>
                    </w:tc>
                  </w:tr>
                  <w:tr>
                    <w:trPr>
                      <w:trHeight w:val="187" w:hRule="exact"/>
                    </w:trPr>
                    <w:tc>
                      <w:tcPr>
                        <w:tcW w:w="7642" w:type="dxa"/>
                        <w:gridSpan w:val="7"/>
                        <w:tcBorders>
                          <w:top w:val="nil" w:sz="6" w:space="0" w:color="auto"/>
                          <w:left w:val="nil" w:sz="6" w:space="0" w:color="auto"/>
                          <w:bottom w:val="nil" w:sz="6" w:space="0" w:color="auto"/>
                          <w:right w:val="nil" w:sz="6" w:space="0" w:color="auto"/>
                        </w:tcBorders>
                      </w:tcPr>
                      <w:p>
                        <w:pPr/>
                      </w:p>
                    </w:tc>
                  </w:tr>
                  <w:tr>
                    <w:trPr>
                      <w:trHeight w:val="360" w:hRule="exact"/>
                    </w:trPr>
                    <w:tc>
                      <w:tcPr>
                        <w:tcW w:w="971"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5"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w:t>
                        </w:r>
                        <w:r>
                          <w:rPr>
                            <w:rFonts w:ascii="宋体" w:hAnsi="宋体" w:cs="宋体" w:eastAsia="宋体" w:hint="default"/>
                            <w:sz w:val="16"/>
                            <w:szCs w:val="16"/>
                          </w:rPr>
                          <w:t>处置</w:t>
                        </w:r>
                      </w:p>
                    </w:tc>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before="89"/>
                          <w:ind w:left="35" w:right="0"/>
                          <w:jc w:val="left"/>
                          <w:rPr>
                            <w:rFonts w:ascii="Times New Roman" w:hAnsi="Times New Roman" w:cs="Times New Roman" w:eastAsia="Times New Roman" w:hint="default"/>
                            <w:sz w:val="16"/>
                            <w:szCs w:val="16"/>
                          </w:rPr>
                        </w:pPr>
                        <w:r>
                          <w:rPr>
                            <w:rFonts w:ascii="Times New Roman"/>
                            <w:sz w:val="16"/>
                          </w:rPr>
                          <w:t>8,680,000.00</w:t>
                        </w:r>
                      </w:p>
                    </w:tc>
                    <w:tc>
                      <w:tcPr>
                        <w:tcW w:w="231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9"/>
                          <w:ind w:left="1369" w:right="0"/>
                          <w:jc w:val="left"/>
                          <w:rPr>
                            <w:rFonts w:ascii="Times New Roman" w:hAnsi="Times New Roman" w:cs="Times New Roman" w:eastAsia="Times New Roman" w:hint="default"/>
                            <w:sz w:val="16"/>
                            <w:szCs w:val="16"/>
                          </w:rPr>
                        </w:pPr>
                        <w:r>
                          <w:rPr>
                            <w:rFonts w:ascii="Times New Roman"/>
                            <w:sz w:val="16"/>
                          </w:rPr>
                          <w:t>1,320,472.50</w:t>
                        </w:r>
                      </w:p>
                    </w:tc>
                    <w:tc>
                      <w:tcPr>
                        <w:tcW w:w="3255"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89"/>
                          <w:ind w:right="33"/>
                          <w:jc w:val="right"/>
                          <w:rPr>
                            <w:rFonts w:ascii="Times New Roman" w:hAnsi="Times New Roman" w:cs="Times New Roman" w:eastAsia="Times New Roman" w:hint="default"/>
                            <w:sz w:val="16"/>
                            <w:szCs w:val="16"/>
                          </w:rPr>
                        </w:pPr>
                        <w:r>
                          <w:rPr>
                            <w:rFonts w:ascii="Times New Roman"/>
                            <w:spacing w:val="-1"/>
                            <w:sz w:val="16"/>
                          </w:rPr>
                          <w:t>10,000,472.5</w:t>
                        </w:r>
                      </w:p>
                    </w:tc>
                  </w:tr>
                  <w:tr>
                    <w:trPr>
                      <w:trHeight w:val="264" w:hRule="exact"/>
                    </w:trPr>
                    <w:tc>
                      <w:tcPr>
                        <w:tcW w:w="97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5"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w:t>
                        </w:r>
                        <w:r>
                          <w:rPr>
                            <w:rFonts w:ascii="宋体" w:hAnsi="宋体" w:cs="宋体" w:eastAsia="宋体" w:hint="default"/>
                            <w:sz w:val="16"/>
                            <w:szCs w:val="16"/>
                          </w:rPr>
                          <w:t>报废</w:t>
                        </w:r>
                      </w:p>
                    </w:tc>
                    <w:tc>
                      <w:tcPr>
                        <w:tcW w:w="1098" w:type="dxa"/>
                        <w:tcBorders>
                          <w:top w:val="nil" w:sz="6" w:space="0" w:color="auto"/>
                          <w:left w:val="nil" w:sz="6" w:space="0" w:color="auto"/>
                          <w:bottom w:val="nil" w:sz="6" w:space="0" w:color="auto"/>
                          <w:right w:val="nil" w:sz="6" w:space="0" w:color="auto"/>
                        </w:tcBorders>
                      </w:tcPr>
                      <w:p>
                        <w:pPr/>
                      </w:p>
                    </w:tc>
                    <w:tc>
                      <w:tcPr>
                        <w:tcW w:w="231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3"/>
                          <w:ind w:left="1369" w:right="0"/>
                          <w:jc w:val="left"/>
                          <w:rPr>
                            <w:rFonts w:ascii="Times New Roman" w:hAnsi="Times New Roman" w:cs="Times New Roman" w:eastAsia="Times New Roman" w:hint="default"/>
                            <w:sz w:val="16"/>
                            <w:szCs w:val="16"/>
                          </w:rPr>
                        </w:pPr>
                        <w:r>
                          <w:rPr>
                            <w:rFonts w:ascii="Times New Roman"/>
                            <w:sz w:val="16"/>
                          </w:rPr>
                          <w:t>7,347,616.52</w:t>
                        </w:r>
                      </w:p>
                    </w:tc>
                    <w:tc>
                      <w:tcPr>
                        <w:tcW w:w="3255"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83"/>
                          <w:ind w:right="33"/>
                          <w:jc w:val="right"/>
                          <w:rPr>
                            <w:rFonts w:ascii="Times New Roman" w:hAnsi="Times New Roman" w:cs="Times New Roman" w:eastAsia="Times New Roman" w:hint="default"/>
                            <w:sz w:val="16"/>
                            <w:szCs w:val="16"/>
                          </w:rPr>
                        </w:pPr>
                        <w:r>
                          <w:rPr>
                            <w:rFonts w:ascii="Times New Roman"/>
                            <w:spacing w:val="-1"/>
                            <w:sz w:val="16"/>
                          </w:rPr>
                          <w:t>7,347,616.52</w:t>
                        </w:r>
                      </w:p>
                    </w:tc>
                  </w:tr>
                  <w:tr>
                    <w:trPr>
                      <w:trHeight w:val="348" w:hRule="exact"/>
                    </w:trPr>
                    <w:tc>
                      <w:tcPr>
                        <w:tcW w:w="971" w:type="dxa"/>
                        <w:tcBorders>
                          <w:top w:val="nil" w:sz="6" w:space="0" w:color="auto"/>
                          <w:left w:val="nil" w:sz="6" w:space="0" w:color="auto"/>
                          <w:bottom w:val="nil" w:sz="6" w:space="0" w:color="auto"/>
                          <w:right w:val="nil" w:sz="6" w:space="0" w:color="auto"/>
                        </w:tcBorders>
                      </w:tcPr>
                      <w:p>
                        <w:pPr>
                          <w:pStyle w:val="TableParagraph"/>
                          <w:spacing w:line="240" w:lineRule="auto" w:before="130"/>
                          <w:ind w:left="35"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w:t>
                        </w:r>
                        <w:r>
                          <w:rPr>
                            <w:rFonts w:ascii="宋体" w:hAnsi="宋体" w:cs="宋体" w:eastAsia="宋体" w:hint="default"/>
                            <w:sz w:val="16"/>
                            <w:szCs w:val="16"/>
                          </w:rPr>
                          <w:t>汇率</w:t>
                        </w:r>
                      </w:p>
                    </w:tc>
                    <w:tc>
                      <w:tcPr>
                        <w:tcW w:w="1098" w:type="dxa"/>
                        <w:tcBorders>
                          <w:top w:val="nil" w:sz="6" w:space="0" w:color="auto"/>
                          <w:left w:val="nil" w:sz="6" w:space="0" w:color="auto"/>
                          <w:bottom w:val="nil" w:sz="6" w:space="0" w:color="auto"/>
                          <w:right w:val="nil" w:sz="6" w:space="0" w:color="auto"/>
                        </w:tcBorders>
                      </w:tcPr>
                      <w:p>
                        <w:pPr/>
                      </w:p>
                    </w:tc>
                    <w:tc>
                      <w:tcPr>
                        <w:tcW w:w="1182" w:type="dxa"/>
                        <w:tcBorders>
                          <w:top w:val="nil" w:sz="6" w:space="0" w:color="auto"/>
                          <w:left w:val="nil" w:sz="6" w:space="0" w:color="auto"/>
                          <w:bottom w:val="nil" w:sz="6" w:space="0" w:color="auto"/>
                          <w:right w:val="nil" w:sz="6" w:space="0" w:color="auto"/>
                        </w:tcBorders>
                      </w:tcPr>
                      <w:p>
                        <w:pPr/>
                      </w:p>
                    </w:tc>
                    <w:tc>
                      <w:tcPr>
                        <w:tcW w:w="1137" w:type="dxa"/>
                        <w:tcBorders>
                          <w:top w:val="nil" w:sz="6" w:space="0" w:color="auto"/>
                          <w:left w:val="nil" w:sz="6" w:space="0" w:color="auto"/>
                          <w:bottom w:val="nil" w:sz="6" w:space="0" w:color="auto"/>
                          <w:right w:val="nil" w:sz="6" w:space="0" w:color="auto"/>
                        </w:tcBorders>
                      </w:tcPr>
                      <w:p>
                        <w:pPr/>
                      </w:p>
                    </w:tc>
                    <w:tc>
                      <w:tcPr>
                        <w:tcW w:w="1056" w:type="dxa"/>
                        <w:tcBorders>
                          <w:top w:val="nil" w:sz="6" w:space="0" w:color="auto"/>
                          <w:left w:val="nil" w:sz="6" w:space="0" w:color="auto"/>
                          <w:bottom w:val="nil" w:sz="6" w:space="0" w:color="auto"/>
                          <w:right w:val="nil" w:sz="6" w:space="0" w:color="auto"/>
                        </w:tcBorders>
                      </w:tcPr>
                      <w:p>
                        <w:pPr/>
                      </w:p>
                    </w:tc>
                    <w:tc>
                      <w:tcPr>
                        <w:tcW w:w="1095" w:type="dxa"/>
                        <w:tcBorders>
                          <w:top w:val="nil" w:sz="6" w:space="0" w:color="auto"/>
                          <w:left w:val="nil" w:sz="6" w:space="0" w:color="auto"/>
                          <w:bottom w:val="nil" w:sz="6" w:space="0" w:color="auto"/>
                          <w:right w:val="nil" w:sz="6" w:space="0" w:color="auto"/>
                        </w:tcBorders>
                      </w:tcPr>
                      <w:p>
                        <w:pPr/>
                      </w:p>
                    </w:tc>
                    <w:tc>
                      <w:tcPr>
                        <w:tcW w:w="1104" w:type="dxa"/>
                        <w:tcBorders>
                          <w:top w:val="nil" w:sz="6" w:space="0" w:color="auto"/>
                          <w:left w:val="nil" w:sz="6" w:space="0" w:color="auto"/>
                          <w:bottom w:val="nil" w:sz="6" w:space="0" w:color="auto"/>
                          <w:right w:val="nil" w:sz="6" w:space="0" w:color="auto"/>
                        </w:tcBorders>
                      </w:tcPr>
                      <w:p>
                        <w:pPr/>
                      </w:p>
                    </w:tc>
                  </w:tr>
                </w:tbl>
                <w:p>
                  <w:pPr/>
                </w:p>
              </w:txbxContent>
            </v:textbox>
            <w10:wrap type="none"/>
          </v:shape>
        </w:pict>
      </w:r>
      <w:r>
        <w:rPr>
          <w:rFonts w:ascii="宋体" w:hAnsi="宋体" w:cs="宋体" w:eastAsia="宋体" w:hint="default"/>
          <w:spacing w:val="-7"/>
          <w:sz w:val="16"/>
          <w:szCs w:val="16"/>
        </w:rPr>
        <w:t>（</w:t>
      </w:r>
      <w:r>
        <w:rPr>
          <w:rFonts w:ascii="Times New Roman" w:hAnsi="Times New Roman" w:cs="Times New Roman" w:eastAsia="Times New Roman" w:hint="default"/>
          <w:spacing w:val="-7"/>
          <w:sz w:val="16"/>
          <w:szCs w:val="16"/>
        </w:rPr>
        <w:t>3</w:t>
      </w:r>
      <w:r>
        <w:rPr>
          <w:rFonts w:ascii="宋体" w:hAnsi="宋体" w:cs="宋体" w:eastAsia="宋体" w:hint="default"/>
          <w:spacing w:val="-7"/>
          <w:sz w:val="16"/>
          <w:szCs w:val="16"/>
        </w:rPr>
        <w:t>）本期减少</w:t>
      </w:r>
      <w:r>
        <w:rPr>
          <w:rFonts w:ascii="宋体" w:hAnsi="宋体" w:cs="宋体" w:eastAsia="宋体" w:hint="default"/>
          <w:spacing w:val="-78"/>
          <w:sz w:val="16"/>
          <w:szCs w:val="16"/>
        </w:rPr>
        <w:t> </w:t>
      </w:r>
      <w:r>
        <w:rPr>
          <w:rFonts w:ascii="宋体" w:hAnsi="宋体" w:cs="宋体" w:eastAsia="宋体" w:hint="default"/>
          <w:spacing w:val="-78"/>
          <w:sz w:val="16"/>
          <w:szCs w:val="16"/>
        </w:rPr>
      </w:r>
      <w:r>
        <w:rPr>
          <w:rFonts w:ascii="宋体" w:hAnsi="宋体" w:cs="宋体" w:eastAsia="宋体" w:hint="default"/>
          <w:sz w:val="16"/>
          <w:szCs w:val="16"/>
        </w:rPr>
        <w:t>金额</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5"/>
          <w:szCs w:val="15"/>
        </w:rPr>
      </w:pPr>
    </w:p>
    <w:p>
      <w:pPr>
        <w:spacing w:before="50"/>
        <w:ind w:left="857" w:right="3681" w:firstLine="0"/>
        <w:jc w:val="left"/>
        <w:rPr>
          <w:rFonts w:ascii="宋体" w:hAnsi="宋体" w:cs="宋体" w:eastAsia="宋体" w:hint="default"/>
          <w:sz w:val="16"/>
          <w:szCs w:val="16"/>
        </w:rPr>
      </w:pPr>
      <w:r>
        <w:rPr/>
        <w:pict>
          <v:shape style="position:absolute;margin-left:184.969513pt;margin-top:-4.557862pt;width:341.25pt;height:213.6pt;mso-position-horizontal-relative:page;mso-position-vertical-relative:paragraph;z-index:1513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138"/>
                    <w:gridCol w:w="1256"/>
                    <w:gridCol w:w="1177"/>
                    <w:gridCol w:w="1056"/>
                    <w:gridCol w:w="1055"/>
                    <w:gridCol w:w="1143"/>
                  </w:tblGrid>
                  <w:tr>
                    <w:trPr>
                      <w:trHeight w:val="408" w:hRule="exact"/>
                    </w:trPr>
                    <w:tc>
                      <w:tcPr>
                        <w:tcW w:w="113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07"/>
                          <w:jc w:val="right"/>
                          <w:rPr>
                            <w:rFonts w:ascii="Times New Roman" w:hAnsi="Times New Roman" w:cs="Times New Roman" w:eastAsia="Times New Roman" w:hint="default"/>
                            <w:sz w:val="16"/>
                            <w:szCs w:val="16"/>
                          </w:rPr>
                        </w:pPr>
                        <w:r>
                          <w:rPr>
                            <w:rFonts w:ascii="Times New Roman"/>
                            <w:spacing w:val="-1"/>
                            <w:sz w:val="16"/>
                          </w:rPr>
                          <w:t>-29,980.98</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45"/>
                          <w:jc w:val="right"/>
                          <w:rPr>
                            <w:rFonts w:ascii="Times New Roman" w:hAnsi="Times New Roman" w:cs="Times New Roman" w:eastAsia="Times New Roman" w:hint="default"/>
                            <w:sz w:val="16"/>
                            <w:szCs w:val="16"/>
                          </w:rPr>
                        </w:pPr>
                        <w:r>
                          <w:rPr>
                            <w:rFonts w:ascii="Times New Roman"/>
                            <w:spacing w:val="-1"/>
                            <w:sz w:val="16"/>
                          </w:rPr>
                          <w:t>-223,690.17</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06"/>
                          <w:jc w:val="right"/>
                          <w:rPr>
                            <w:rFonts w:ascii="Times New Roman" w:hAnsi="Times New Roman" w:cs="Times New Roman" w:eastAsia="Times New Roman" w:hint="default"/>
                            <w:sz w:val="16"/>
                            <w:szCs w:val="16"/>
                          </w:rPr>
                        </w:pPr>
                        <w:r>
                          <w:rPr>
                            <w:rFonts w:ascii="Times New Roman"/>
                            <w:spacing w:val="-1"/>
                            <w:sz w:val="16"/>
                          </w:rPr>
                          <w:t>-222,022.44</w:t>
                        </w:r>
                      </w:p>
                    </w:tc>
                    <w:tc>
                      <w:tcPr>
                        <w:tcW w:w="1056" w:type="dxa"/>
                        <w:tcBorders>
                          <w:top w:val="nil" w:sz="6" w:space="0" w:color="auto"/>
                          <w:left w:val="nil" w:sz="6" w:space="0" w:color="auto"/>
                          <w:bottom w:val="nil" w:sz="6" w:space="0" w:color="auto"/>
                          <w:right w:val="nil" w:sz="6" w:space="0" w:color="auto"/>
                        </w:tcBorders>
                      </w:tcPr>
                      <w:p>
                        <w:pPr/>
                      </w:p>
                    </w:tc>
                    <w:tc>
                      <w:tcPr>
                        <w:tcW w:w="1055" w:type="dxa"/>
                        <w:tcBorders>
                          <w:top w:val="nil" w:sz="6" w:space="0" w:color="auto"/>
                          <w:left w:val="nil" w:sz="6" w:space="0" w:color="auto"/>
                          <w:bottom w:val="nil" w:sz="6" w:space="0" w:color="auto"/>
                          <w:right w:val="nil" w:sz="6" w:space="0" w:color="auto"/>
                        </w:tcBorders>
                      </w:tcPr>
                      <w:p>
                        <w:pPr/>
                      </w:p>
                    </w:tc>
                    <w:tc>
                      <w:tcPr>
                        <w:tcW w:w="1143"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3"/>
                          <w:jc w:val="right"/>
                          <w:rPr>
                            <w:rFonts w:ascii="Times New Roman" w:hAnsi="Times New Roman" w:cs="Times New Roman" w:eastAsia="Times New Roman" w:hint="default"/>
                            <w:sz w:val="16"/>
                            <w:szCs w:val="16"/>
                          </w:rPr>
                        </w:pPr>
                        <w:r>
                          <w:rPr>
                            <w:rFonts w:ascii="Times New Roman"/>
                            <w:spacing w:val="-1"/>
                            <w:sz w:val="16"/>
                          </w:rPr>
                          <w:t>-475,693.59</w:t>
                        </w:r>
                      </w:p>
                    </w:tc>
                  </w:tr>
                  <w:tr>
                    <w:trPr>
                      <w:trHeight w:val="1725" w:hRule="exact"/>
                    </w:trPr>
                    <w:tc>
                      <w:tcPr>
                        <w:tcW w:w="1138"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06"/>
                          <w:jc w:val="right"/>
                          <w:rPr>
                            <w:rFonts w:ascii="Times New Roman" w:hAnsi="Times New Roman" w:cs="Times New Roman" w:eastAsia="Times New Roman" w:hint="default"/>
                            <w:sz w:val="16"/>
                            <w:szCs w:val="16"/>
                          </w:rPr>
                        </w:pPr>
                        <w:r>
                          <w:rPr>
                            <w:rFonts w:ascii="Times New Roman"/>
                            <w:spacing w:val="-1"/>
                            <w:sz w:val="16"/>
                          </w:rPr>
                          <w:t>112,696,466.59</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46"/>
                          <w:jc w:val="right"/>
                          <w:rPr>
                            <w:rFonts w:ascii="Times New Roman" w:hAnsi="Times New Roman" w:cs="Times New Roman" w:eastAsia="Times New Roman" w:hint="default"/>
                            <w:sz w:val="16"/>
                            <w:szCs w:val="16"/>
                          </w:rPr>
                        </w:pPr>
                        <w:r>
                          <w:rPr>
                            <w:rFonts w:ascii="Times New Roman"/>
                            <w:spacing w:val="-1"/>
                            <w:sz w:val="16"/>
                          </w:rPr>
                          <w:t>33,688,587.52</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07"/>
                          <w:jc w:val="right"/>
                          <w:rPr>
                            <w:rFonts w:ascii="Times New Roman" w:hAnsi="Times New Roman" w:cs="Times New Roman" w:eastAsia="Times New Roman" w:hint="default"/>
                            <w:sz w:val="16"/>
                            <w:szCs w:val="16"/>
                          </w:rPr>
                        </w:pPr>
                        <w:r>
                          <w:rPr>
                            <w:rFonts w:ascii="Times New Roman"/>
                            <w:spacing w:val="-1"/>
                            <w:sz w:val="16"/>
                          </w:rPr>
                          <w:t>46,319,481.01</w:t>
                        </w:r>
                      </w:p>
                    </w:tc>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before="128"/>
                          <w:ind w:left="108" w:right="0"/>
                          <w:jc w:val="left"/>
                          <w:rPr>
                            <w:rFonts w:ascii="Times New Roman" w:hAnsi="Times New Roman" w:cs="Times New Roman" w:eastAsia="Times New Roman" w:hint="default"/>
                            <w:sz w:val="16"/>
                            <w:szCs w:val="16"/>
                          </w:rPr>
                        </w:pPr>
                        <w:r>
                          <w:rPr>
                            <w:rFonts w:ascii="Times New Roman"/>
                            <w:sz w:val="16"/>
                          </w:rPr>
                          <w:t>2,735,313.34</w:t>
                        </w:r>
                      </w:p>
                    </w:tc>
                    <w:tc>
                      <w:tcPr>
                        <w:tcW w:w="1055"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0"/>
                          <w:jc w:val="center"/>
                          <w:rPr>
                            <w:rFonts w:ascii="Times New Roman" w:hAnsi="Times New Roman" w:cs="Times New Roman" w:eastAsia="Times New Roman" w:hint="default"/>
                            <w:sz w:val="16"/>
                            <w:szCs w:val="16"/>
                          </w:rPr>
                        </w:pPr>
                        <w:r>
                          <w:rPr>
                            <w:rFonts w:ascii="Times New Roman"/>
                            <w:sz w:val="16"/>
                          </w:rPr>
                          <w:t>2,818,680.57</w:t>
                        </w:r>
                      </w:p>
                    </w:tc>
                    <w:tc>
                      <w:tcPr>
                        <w:tcW w:w="1143"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33"/>
                          <w:jc w:val="right"/>
                          <w:rPr>
                            <w:rFonts w:ascii="Times New Roman" w:hAnsi="Times New Roman" w:cs="Times New Roman" w:eastAsia="Times New Roman" w:hint="default"/>
                            <w:sz w:val="16"/>
                            <w:szCs w:val="16"/>
                          </w:rPr>
                        </w:pPr>
                        <w:r>
                          <w:rPr>
                            <w:rFonts w:ascii="Times New Roman"/>
                            <w:spacing w:val="-1"/>
                            <w:sz w:val="16"/>
                          </w:rPr>
                          <w:t>198,258,529.03</w:t>
                        </w:r>
                      </w:p>
                    </w:tc>
                  </w:tr>
                  <w:tr>
                    <w:trPr>
                      <w:trHeight w:val="1777" w:hRule="exact"/>
                    </w:trPr>
                    <w:tc>
                      <w:tcPr>
                        <w:tcW w:w="113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39"/>
                          <w:ind w:right="106"/>
                          <w:jc w:val="right"/>
                          <w:rPr>
                            <w:rFonts w:ascii="Times New Roman" w:hAnsi="Times New Roman" w:cs="Times New Roman" w:eastAsia="Times New Roman" w:hint="default"/>
                            <w:sz w:val="16"/>
                            <w:szCs w:val="16"/>
                          </w:rPr>
                        </w:pPr>
                        <w:r>
                          <w:rPr>
                            <w:rFonts w:ascii="Times New Roman"/>
                            <w:spacing w:val="-1"/>
                            <w:sz w:val="16"/>
                          </w:rPr>
                          <w:t>275,437,411.23</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39"/>
                          <w:ind w:right="145"/>
                          <w:jc w:val="right"/>
                          <w:rPr>
                            <w:rFonts w:ascii="Times New Roman" w:hAnsi="Times New Roman" w:cs="Times New Roman" w:eastAsia="Times New Roman" w:hint="default"/>
                            <w:sz w:val="16"/>
                            <w:szCs w:val="16"/>
                          </w:rPr>
                        </w:pPr>
                        <w:r>
                          <w:rPr>
                            <w:rFonts w:ascii="Times New Roman"/>
                            <w:spacing w:val="-1"/>
                            <w:sz w:val="16"/>
                          </w:rPr>
                          <w:t>135,755,853.95</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39"/>
                          <w:ind w:right="106"/>
                          <w:jc w:val="right"/>
                          <w:rPr>
                            <w:rFonts w:ascii="Times New Roman" w:hAnsi="Times New Roman" w:cs="Times New Roman" w:eastAsia="Times New Roman" w:hint="default"/>
                            <w:sz w:val="16"/>
                            <w:szCs w:val="16"/>
                          </w:rPr>
                        </w:pPr>
                        <w:r>
                          <w:rPr>
                            <w:rFonts w:ascii="Times New Roman"/>
                            <w:spacing w:val="-1"/>
                            <w:sz w:val="16"/>
                          </w:rPr>
                          <w:t>59,993,344.99</w:t>
                        </w:r>
                      </w:p>
                    </w:tc>
                    <w:tc>
                      <w:tcPr>
                        <w:tcW w:w="1056" w:type="dxa"/>
                        <w:tcBorders>
                          <w:top w:val="nil" w:sz="6" w:space="0" w:color="auto"/>
                          <w:left w:val="nil" w:sz="6" w:space="0" w:color="auto"/>
                          <w:bottom w:val="nil" w:sz="6" w:space="0" w:color="auto"/>
                          <w:right w:val="nil" w:sz="6" w:space="0" w:color="auto"/>
                        </w:tcBorders>
                      </w:tcPr>
                      <w:p>
                        <w:pPr/>
                      </w:p>
                    </w:tc>
                    <w:tc>
                      <w:tcPr>
                        <w:tcW w:w="105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39"/>
                          <w:ind w:left="5" w:right="0"/>
                          <w:jc w:val="center"/>
                          <w:rPr>
                            <w:rFonts w:ascii="Times New Roman" w:hAnsi="Times New Roman" w:cs="Times New Roman" w:eastAsia="Times New Roman" w:hint="default"/>
                            <w:sz w:val="16"/>
                            <w:szCs w:val="16"/>
                          </w:rPr>
                        </w:pPr>
                        <w:r>
                          <w:rPr>
                            <w:rFonts w:ascii="Times New Roman"/>
                            <w:sz w:val="16"/>
                          </w:rPr>
                          <w:t>1,547,611.00</w:t>
                        </w:r>
                      </w:p>
                    </w:tc>
                    <w:tc>
                      <w:tcPr>
                        <w:tcW w:w="114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39"/>
                          <w:ind w:right="33"/>
                          <w:jc w:val="right"/>
                          <w:rPr>
                            <w:rFonts w:ascii="Times New Roman" w:hAnsi="Times New Roman" w:cs="Times New Roman" w:eastAsia="Times New Roman" w:hint="default"/>
                            <w:sz w:val="16"/>
                            <w:szCs w:val="16"/>
                          </w:rPr>
                        </w:pPr>
                        <w:r>
                          <w:rPr>
                            <w:rFonts w:ascii="Times New Roman"/>
                            <w:spacing w:val="-1"/>
                            <w:sz w:val="16"/>
                          </w:rPr>
                          <w:t>472,734,221.17</w:t>
                        </w:r>
                      </w:p>
                    </w:tc>
                  </w:tr>
                  <w:tr>
                    <w:trPr>
                      <w:trHeight w:val="361" w:hRule="exact"/>
                    </w:trPr>
                    <w:tc>
                      <w:tcPr>
                        <w:tcW w:w="113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06"/>
                          <w:jc w:val="right"/>
                          <w:rPr>
                            <w:rFonts w:ascii="Times New Roman" w:hAnsi="Times New Roman" w:cs="Times New Roman" w:eastAsia="Times New Roman" w:hint="default"/>
                            <w:sz w:val="16"/>
                            <w:szCs w:val="16"/>
                          </w:rPr>
                        </w:pPr>
                        <w:r>
                          <w:rPr>
                            <w:rFonts w:ascii="Times New Roman"/>
                            <w:spacing w:val="-1"/>
                            <w:sz w:val="16"/>
                          </w:rPr>
                          <w:t>268,211,864.46</w:t>
                        </w:r>
                      </w:p>
                    </w:tc>
                    <w:tc>
                      <w:tcPr>
                        <w:tcW w:w="125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45"/>
                          <w:jc w:val="right"/>
                          <w:rPr>
                            <w:rFonts w:ascii="Times New Roman" w:hAnsi="Times New Roman" w:cs="Times New Roman" w:eastAsia="Times New Roman" w:hint="default"/>
                            <w:sz w:val="16"/>
                            <w:szCs w:val="16"/>
                          </w:rPr>
                        </w:pPr>
                        <w:r>
                          <w:rPr>
                            <w:rFonts w:ascii="Times New Roman"/>
                            <w:spacing w:val="-1"/>
                            <w:sz w:val="16"/>
                          </w:rPr>
                          <w:t>93,009,891.44</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06"/>
                          <w:jc w:val="right"/>
                          <w:rPr>
                            <w:rFonts w:ascii="Times New Roman" w:hAnsi="Times New Roman" w:cs="Times New Roman" w:eastAsia="Times New Roman" w:hint="default"/>
                            <w:sz w:val="16"/>
                            <w:szCs w:val="16"/>
                          </w:rPr>
                        </w:pPr>
                        <w:r>
                          <w:rPr>
                            <w:rFonts w:ascii="Times New Roman"/>
                            <w:spacing w:val="-1"/>
                            <w:sz w:val="16"/>
                          </w:rPr>
                          <w:t>39,470,899.86</w:t>
                        </w:r>
                      </w:p>
                    </w:tc>
                    <w:tc>
                      <w:tcPr>
                        <w:tcW w:w="1056" w:type="dxa"/>
                        <w:tcBorders>
                          <w:top w:val="nil" w:sz="6" w:space="0" w:color="auto"/>
                          <w:left w:val="nil" w:sz="6" w:space="0" w:color="auto"/>
                          <w:bottom w:val="nil" w:sz="6" w:space="0" w:color="auto"/>
                          <w:right w:val="nil" w:sz="6" w:space="0" w:color="auto"/>
                        </w:tcBorders>
                      </w:tcPr>
                      <w:p>
                        <w:pPr/>
                      </w:p>
                    </w:tc>
                    <w:tc>
                      <w:tcPr>
                        <w:tcW w:w="105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0"/>
                          <w:jc w:val="center"/>
                          <w:rPr>
                            <w:rFonts w:ascii="Times New Roman" w:hAnsi="Times New Roman" w:cs="Times New Roman" w:eastAsia="Times New Roman" w:hint="default"/>
                            <w:sz w:val="16"/>
                            <w:szCs w:val="16"/>
                          </w:rPr>
                        </w:pPr>
                        <w:r>
                          <w:rPr>
                            <w:rFonts w:ascii="Times New Roman"/>
                            <w:sz w:val="16"/>
                          </w:rPr>
                          <w:t>2,129,595.98</w:t>
                        </w:r>
                      </w:p>
                    </w:tc>
                    <w:tc>
                      <w:tcPr>
                        <w:tcW w:w="114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33"/>
                          <w:jc w:val="right"/>
                          <w:rPr>
                            <w:rFonts w:ascii="Times New Roman" w:hAnsi="Times New Roman" w:cs="Times New Roman" w:eastAsia="Times New Roman" w:hint="default"/>
                            <w:sz w:val="16"/>
                            <w:szCs w:val="16"/>
                          </w:rPr>
                        </w:pPr>
                        <w:r>
                          <w:rPr>
                            <w:rFonts w:ascii="Times New Roman"/>
                            <w:spacing w:val="-1"/>
                            <w:sz w:val="16"/>
                          </w:rPr>
                          <w:t>402,822,251.74</w:t>
                        </w:r>
                      </w:p>
                    </w:tc>
                  </w:tr>
                </w:tbl>
                <w:p>
                  <w:pPr/>
                </w:p>
              </w:txbxContent>
            </v:textbox>
            <w10:wrap type="none"/>
          </v:shape>
        </w:pict>
      </w:r>
      <w:r>
        <w:rPr>
          <w:rFonts w:ascii="宋体" w:hAnsi="宋体" w:cs="宋体" w:eastAsia="宋体" w:hint="default"/>
          <w:sz w:val="16"/>
          <w:szCs w:val="16"/>
        </w:rPr>
        <w:t>变动影响</w:t>
      </w:r>
    </w:p>
    <w:p>
      <w:pPr>
        <w:spacing w:before="143"/>
        <w:ind w:left="857" w:right="3681" w:firstLine="0"/>
        <w:jc w:val="left"/>
        <w:rPr>
          <w:rFonts w:ascii="宋体" w:hAnsi="宋体" w:cs="宋体" w:eastAsia="宋体" w:hint="default"/>
          <w:sz w:val="16"/>
          <w:szCs w:val="16"/>
        </w:rPr>
      </w:pPr>
      <w:r>
        <w:rPr>
          <w:rFonts w:ascii="宋体" w:hAnsi="宋体" w:cs="宋体" w:eastAsia="宋体" w:hint="default"/>
          <w:spacing w:val="-7"/>
          <w:sz w:val="16"/>
          <w:szCs w:val="16"/>
        </w:rPr>
        <w:t>（</w:t>
      </w:r>
      <w:r>
        <w:rPr>
          <w:rFonts w:ascii="Times New Roman" w:hAnsi="Times New Roman" w:cs="Times New Roman" w:eastAsia="Times New Roman" w:hint="default"/>
          <w:spacing w:val="-7"/>
          <w:sz w:val="16"/>
          <w:szCs w:val="16"/>
        </w:rPr>
        <w:t>4</w:t>
      </w:r>
      <w:r>
        <w:rPr>
          <w:rFonts w:ascii="宋体" w:hAnsi="宋体" w:cs="宋体" w:eastAsia="宋体" w:hint="default"/>
          <w:spacing w:val="-7"/>
          <w:sz w:val="16"/>
          <w:szCs w:val="16"/>
        </w:rPr>
        <w:t>）期末余额</w:t>
      </w:r>
    </w:p>
    <w:p>
      <w:pPr>
        <w:spacing w:before="132"/>
        <w:ind w:left="857" w:right="3681" w:firstLine="0"/>
        <w:jc w:val="left"/>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宋体" w:hAnsi="宋体" w:cs="宋体" w:eastAsia="宋体" w:hint="default"/>
          <w:sz w:val="16"/>
          <w:szCs w:val="16"/>
        </w:rPr>
        <w:t>．减值准备</w:t>
      </w:r>
    </w:p>
    <w:p>
      <w:pPr>
        <w:spacing w:before="131"/>
        <w:ind w:left="857" w:right="3681" w:firstLine="0"/>
        <w:jc w:val="left"/>
        <w:rPr>
          <w:rFonts w:ascii="宋体" w:hAnsi="宋体" w:cs="宋体" w:eastAsia="宋体" w:hint="default"/>
          <w:sz w:val="16"/>
          <w:szCs w:val="16"/>
        </w:rPr>
      </w:pPr>
      <w:r>
        <w:rPr>
          <w:rFonts w:ascii="宋体" w:hAnsi="宋体" w:cs="宋体" w:eastAsia="宋体" w:hint="default"/>
          <w:spacing w:val="-7"/>
          <w:sz w:val="16"/>
          <w:szCs w:val="16"/>
        </w:rPr>
        <w:t>（</w:t>
      </w:r>
      <w:r>
        <w:rPr>
          <w:rFonts w:ascii="Times New Roman" w:hAnsi="Times New Roman" w:cs="Times New Roman" w:eastAsia="Times New Roman" w:hint="default"/>
          <w:spacing w:val="-7"/>
          <w:sz w:val="16"/>
          <w:szCs w:val="16"/>
        </w:rPr>
        <w:t>1</w:t>
      </w:r>
      <w:r>
        <w:rPr>
          <w:rFonts w:ascii="宋体" w:hAnsi="宋体" w:cs="宋体" w:eastAsia="宋体" w:hint="default"/>
          <w:spacing w:val="-7"/>
          <w:sz w:val="16"/>
          <w:szCs w:val="16"/>
        </w:rPr>
        <w:t>）年初余额</w:t>
      </w:r>
    </w:p>
    <w:p>
      <w:pPr>
        <w:spacing w:line="240" w:lineRule="auto" w:before="9"/>
        <w:rPr>
          <w:rFonts w:ascii="宋体" w:hAnsi="宋体" w:cs="宋体" w:eastAsia="宋体" w:hint="default"/>
          <w:sz w:val="11"/>
          <w:szCs w:val="11"/>
        </w:rPr>
      </w:pPr>
    </w:p>
    <w:p>
      <w:pPr>
        <w:spacing w:line="208" w:lineRule="exact" w:before="0"/>
        <w:ind w:left="857" w:right="8376" w:firstLine="0"/>
        <w:jc w:val="left"/>
        <w:rPr>
          <w:rFonts w:ascii="宋体" w:hAnsi="宋体" w:cs="宋体" w:eastAsia="宋体" w:hint="default"/>
          <w:sz w:val="16"/>
          <w:szCs w:val="16"/>
        </w:rPr>
      </w:pPr>
      <w:r>
        <w:rPr>
          <w:rFonts w:ascii="宋体" w:hAnsi="宋体" w:cs="宋体" w:eastAsia="宋体" w:hint="default"/>
          <w:spacing w:val="-7"/>
          <w:sz w:val="16"/>
          <w:szCs w:val="16"/>
        </w:rPr>
        <w:t>（</w:t>
      </w:r>
      <w:r>
        <w:rPr>
          <w:rFonts w:ascii="Times New Roman" w:hAnsi="Times New Roman" w:cs="Times New Roman" w:eastAsia="Times New Roman" w:hint="default"/>
          <w:spacing w:val="-7"/>
          <w:sz w:val="16"/>
          <w:szCs w:val="16"/>
        </w:rPr>
        <w:t>2</w:t>
      </w:r>
      <w:r>
        <w:rPr>
          <w:rFonts w:ascii="宋体" w:hAnsi="宋体" w:cs="宋体" w:eastAsia="宋体" w:hint="default"/>
          <w:spacing w:val="-7"/>
          <w:sz w:val="16"/>
          <w:szCs w:val="16"/>
        </w:rPr>
        <w:t>）本期增加</w:t>
      </w:r>
      <w:r>
        <w:rPr>
          <w:rFonts w:ascii="宋体" w:hAnsi="宋体" w:cs="宋体" w:eastAsia="宋体" w:hint="default"/>
          <w:spacing w:val="-78"/>
          <w:sz w:val="16"/>
          <w:szCs w:val="16"/>
        </w:rPr>
        <w:t> </w:t>
      </w:r>
      <w:r>
        <w:rPr>
          <w:rFonts w:ascii="宋体" w:hAnsi="宋体" w:cs="宋体" w:eastAsia="宋体" w:hint="default"/>
          <w:spacing w:val="-78"/>
          <w:sz w:val="16"/>
          <w:szCs w:val="16"/>
        </w:rPr>
      </w:r>
      <w:r>
        <w:rPr>
          <w:rFonts w:ascii="宋体" w:hAnsi="宋体" w:cs="宋体" w:eastAsia="宋体" w:hint="default"/>
          <w:sz w:val="16"/>
          <w:szCs w:val="16"/>
        </w:rPr>
        <w:t>金额</w:t>
      </w:r>
    </w:p>
    <w:p>
      <w:pPr>
        <w:spacing w:line="240" w:lineRule="auto" w:before="1"/>
        <w:rPr>
          <w:rFonts w:ascii="宋体" w:hAnsi="宋体" w:cs="宋体" w:eastAsia="宋体" w:hint="default"/>
          <w:sz w:val="11"/>
          <w:szCs w:val="11"/>
        </w:rPr>
      </w:pPr>
    </w:p>
    <w:p>
      <w:pPr>
        <w:spacing w:line="208" w:lineRule="exact" w:before="0"/>
        <w:ind w:left="857" w:right="8376" w:firstLine="0"/>
        <w:jc w:val="left"/>
        <w:rPr>
          <w:rFonts w:ascii="宋体" w:hAnsi="宋体" w:cs="宋体" w:eastAsia="宋体" w:hint="default"/>
          <w:sz w:val="16"/>
          <w:szCs w:val="16"/>
        </w:rPr>
      </w:pPr>
      <w:r>
        <w:rPr>
          <w:rFonts w:ascii="宋体" w:hAnsi="宋体" w:cs="宋体" w:eastAsia="宋体" w:hint="default"/>
          <w:spacing w:val="-7"/>
          <w:sz w:val="16"/>
          <w:szCs w:val="16"/>
        </w:rPr>
        <w:t>（</w:t>
      </w:r>
      <w:r>
        <w:rPr>
          <w:rFonts w:ascii="Times New Roman" w:hAnsi="Times New Roman" w:cs="Times New Roman" w:eastAsia="Times New Roman" w:hint="default"/>
          <w:spacing w:val="-7"/>
          <w:sz w:val="16"/>
          <w:szCs w:val="16"/>
        </w:rPr>
        <w:t>3</w:t>
      </w:r>
      <w:r>
        <w:rPr>
          <w:rFonts w:ascii="宋体" w:hAnsi="宋体" w:cs="宋体" w:eastAsia="宋体" w:hint="default"/>
          <w:spacing w:val="-7"/>
          <w:sz w:val="16"/>
          <w:szCs w:val="16"/>
        </w:rPr>
        <w:t>）本期减少</w:t>
      </w:r>
      <w:r>
        <w:rPr>
          <w:rFonts w:ascii="宋体" w:hAnsi="宋体" w:cs="宋体" w:eastAsia="宋体" w:hint="default"/>
          <w:spacing w:val="-78"/>
          <w:sz w:val="16"/>
          <w:szCs w:val="16"/>
        </w:rPr>
        <w:t> </w:t>
      </w:r>
      <w:r>
        <w:rPr>
          <w:rFonts w:ascii="宋体" w:hAnsi="宋体" w:cs="宋体" w:eastAsia="宋体" w:hint="default"/>
          <w:spacing w:val="-78"/>
          <w:sz w:val="16"/>
          <w:szCs w:val="16"/>
        </w:rPr>
      </w:r>
      <w:r>
        <w:rPr>
          <w:rFonts w:ascii="宋体" w:hAnsi="宋体" w:cs="宋体" w:eastAsia="宋体" w:hint="default"/>
          <w:sz w:val="16"/>
          <w:szCs w:val="16"/>
        </w:rPr>
        <w:t>金额</w:t>
      </w:r>
    </w:p>
    <w:p>
      <w:pPr>
        <w:spacing w:before="125"/>
        <w:ind w:left="857" w:right="3681" w:firstLine="0"/>
        <w:jc w:val="left"/>
        <w:rPr>
          <w:rFonts w:ascii="宋体" w:hAnsi="宋体" w:cs="宋体" w:eastAsia="宋体" w:hint="default"/>
          <w:sz w:val="16"/>
          <w:szCs w:val="16"/>
        </w:rPr>
      </w:pPr>
      <w:r>
        <w:rPr>
          <w:rFonts w:ascii="宋体" w:hAnsi="宋体" w:cs="宋体" w:eastAsia="宋体" w:hint="default"/>
          <w:spacing w:val="-7"/>
          <w:sz w:val="16"/>
          <w:szCs w:val="16"/>
        </w:rPr>
        <w:t>（</w:t>
      </w:r>
      <w:r>
        <w:rPr>
          <w:rFonts w:ascii="Times New Roman" w:hAnsi="Times New Roman" w:cs="Times New Roman" w:eastAsia="Times New Roman" w:hint="default"/>
          <w:spacing w:val="-7"/>
          <w:sz w:val="16"/>
          <w:szCs w:val="16"/>
        </w:rPr>
        <w:t>4</w:t>
      </w:r>
      <w:r>
        <w:rPr>
          <w:rFonts w:ascii="宋体" w:hAnsi="宋体" w:cs="宋体" w:eastAsia="宋体" w:hint="default"/>
          <w:spacing w:val="-7"/>
          <w:sz w:val="16"/>
          <w:szCs w:val="16"/>
        </w:rPr>
        <w:t>）期末余额</w:t>
      </w:r>
    </w:p>
    <w:p>
      <w:pPr>
        <w:spacing w:before="131"/>
        <w:ind w:left="857" w:right="3681" w:firstLine="0"/>
        <w:jc w:val="left"/>
        <w:rPr>
          <w:rFonts w:ascii="宋体" w:hAnsi="宋体" w:cs="宋体" w:eastAsia="宋体" w:hint="default"/>
          <w:sz w:val="16"/>
          <w:szCs w:val="16"/>
        </w:rPr>
      </w:pPr>
      <w:r>
        <w:rPr>
          <w:rFonts w:ascii="Times New Roman" w:hAnsi="Times New Roman" w:cs="Times New Roman" w:eastAsia="Times New Roman" w:hint="default"/>
          <w:sz w:val="16"/>
          <w:szCs w:val="16"/>
        </w:rPr>
        <w:t>4</w:t>
      </w:r>
      <w:r>
        <w:rPr>
          <w:rFonts w:ascii="宋体" w:hAnsi="宋体" w:cs="宋体" w:eastAsia="宋体" w:hint="default"/>
          <w:sz w:val="16"/>
          <w:szCs w:val="16"/>
        </w:rPr>
        <w:t>．账面价值</w:t>
      </w:r>
    </w:p>
    <w:p>
      <w:pPr>
        <w:spacing w:line="240" w:lineRule="auto" w:before="9"/>
        <w:rPr>
          <w:rFonts w:ascii="宋体" w:hAnsi="宋体" w:cs="宋体" w:eastAsia="宋体" w:hint="default"/>
          <w:sz w:val="11"/>
          <w:szCs w:val="11"/>
        </w:rPr>
      </w:pPr>
    </w:p>
    <w:p>
      <w:pPr>
        <w:spacing w:line="208" w:lineRule="exact" w:before="0"/>
        <w:ind w:left="857" w:right="8376" w:firstLine="0"/>
        <w:jc w:val="left"/>
        <w:rPr>
          <w:rFonts w:ascii="宋体" w:hAnsi="宋体" w:cs="宋体" w:eastAsia="宋体" w:hint="default"/>
          <w:sz w:val="16"/>
          <w:szCs w:val="16"/>
        </w:rPr>
      </w:pPr>
      <w:r>
        <w:rPr>
          <w:rFonts w:ascii="宋体" w:hAnsi="宋体" w:cs="宋体" w:eastAsia="宋体" w:hint="default"/>
          <w:spacing w:val="-7"/>
          <w:sz w:val="16"/>
          <w:szCs w:val="16"/>
        </w:rPr>
        <w:t>（</w:t>
      </w:r>
      <w:r>
        <w:rPr>
          <w:rFonts w:ascii="Times New Roman" w:hAnsi="Times New Roman" w:cs="Times New Roman" w:eastAsia="Times New Roman" w:hint="default"/>
          <w:spacing w:val="-7"/>
          <w:sz w:val="16"/>
          <w:szCs w:val="16"/>
        </w:rPr>
        <w:t>1</w:t>
      </w:r>
      <w:r>
        <w:rPr>
          <w:rFonts w:ascii="宋体" w:hAnsi="宋体" w:cs="宋体" w:eastAsia="宋体" w:hint="default"/>
          <w:spacing w:val="-7"/>
          <w:sz w:val="16"/>
          <w:szCs w:val="16"/>
        </w:rPr>
        <w:t>）期末账面</w:t>
      </w:r>
      <w:r>
        <w:rPr>
          <w:rFonts w:ascii="宋体" w:hAnsi="宋体" w:cs="宋体" w:eastAsia="宋体" w:hint="default"/>
          <w:spacing w:val="-78"/>
          <w:sz w:val="16"/>
          <w:szCs w:val="16"/>
        </w:rPr>
        <w:t> </w:t>
      </w:r>
      <w:r>
        <w:rPr>
          <w:rFonts w:ascii="宋体" w:hAnsi="宋体" w:cs="宋体" w:eastAsia="宋体" w:hint="default"/>
          <w:spacing w:val="-78"/>
          <w:sz w:val="16"/>
          <w:szCs w:val="16"/>
        </w:rPr>
      </w:r>
      <w:r>
        <w:rPr>
          <w:rFonts w:ascii="宋体" w:hAnsi="宋体" w:cs="宋体" w:eastAsia="宋体" w:hint="default"/>
          <w:sz w:val="16"/>
          <w:szCs w:val="16"/>
        </w:rPr>
        <w:t>价值</w:t>
      </w:r>
    </w:p>
    <w:p>
      <w:pPr>
        <w:spacing w:line="240" w:lineRule="auto" w:before="1"/>
        <w:rPr>
          <w:rFonts w:ascii="宋体" w:hAnsi="宋体" w:cs="宋体" w:eastAsia="宋体" w:hint="default"/>
          <w:sz w:val="11"/>
          <w:szCs w:val="11"/>
        </w:rPr>
      </w:pPr>
    </w:p>
    <w:p>
      <w:pPr>
        <w:spacing w:line="208" w:lineRule="exact" w:before="0"/>
        <w:ind w:left="857" w:right="8376" w:firstLine="0"/>
        <w:jc w:val="left"/>
        <w:rPr>
          <w:rFonts w:ascii="宋体" w:hAnsi="宋体" w:cs="宋体" w:eastAsia="宋体" w:hint="default"/>
          <w:sz w:val="16"/>
          <w:szCs w:val="16"/>
        </w:rPr>
      </w:pPr>
      <w:r>
        <w:rPr>
          <w:rFonts w:ascii="宋体" w:hAnsi="宋体" w:cs="宋体" w:eastAsia="宋体" w:hint="default"/>
          <w:spacing w:val="-7"/>
          <w:sz w:val="16"/>
          <w:szCs w:val="16"/>
        </w:rPr>
        <w:t>（</w:t>
      </w:r>
      <w:r>
        <w:rPr>
          <w:rFonts w:ascii="Times New Roman" w:hAnsi="Times New Roman" w:cs="Times New Roman" w:eastAsia="Times New Roman" w:hint="default"/>
          <w:spacing w:val="-7"/>
          <w:sz w:val="16"/>
          <w:szCs w:val="16"/>
        </w:rPr>
        <w:t>2</w:t>
      </w:r>
      <w:r>
        <w:rPr>
          <w:rFonts w:ascii="宋体" w:hAnsi="宋体" w:cs="宋体" w:eastAsia="宋体" w:hint="default"/>
          <w:spacing w:val="-7"/>
          <w:sz w:val="16"/>
          <w:szCs w:val="16"/>
        </w:rPr>
        <w:t>）年初账面</w:t>
      </w:r>
      <w:r>
        <w:rPr>
          <w:rFonts w:ascii="宋体" w:hAnsi="宋体" w:cs="宋体" w:eastAsia="宋体" w:hint="default"/>
          <w:spacing w:val="-78"/>
          <w:sz w:val="16"/>
          <w:szCs w:val="16"/>
        </w:rPr>
        <w:t> </w:t>
      </w:r>
      <w:r>
        <w:rPr>
          <w:rFonts w:ascii="宋体" w:hAnsi="宋体" w:cs="宋体" w:eastAsia="宋体" w:hint="default"/>
          <w:spacing w:val="-78"/>
          <w:sz w:val="16"/>
          <w:szCs w:val="16"/>
        </w:rPr>
      </w:r>
      <w:r>
        <w:rPr>
          <w:rFonts w:ascii="宋体" w:hAnsi="宋体" w:cs="宋体" w:eastAsia="宋体" w:hint="default"/>
          <w:sz w:val="16"/>
          <w:szCs w:val="16"/>
        </w:rPr>
        <w:t>价值</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6"/>
          <w:szCs w:val="16"/>
        </w:rPr>
      </w:pPr>
    </w:p>
    <w:p>
      <w:pPr>
        <w:spacing w:before="0"/>
        <w:ind w:left="0" w:right="1657" w:firstLine="0"/>
        <w:jc w:val="center"/>
        <w:rPr>
          <w:rFonts w:ascii="宋体" w:hAnsi="宋体" w:cs="宋体" w:eastAsia="宋体" w:hint="default"/>
          <w:sz w:val="18"/>
          <w:szCs w:val="18"/>
        </w:rPr>
      </w:pPr>
      <w:r>
        <w:rPr/>
        <w:pict>
          <v:shape style="position:absolute;margin-left:535.609985pt;margin-top:27.649025pt;width:59.499296pt;height:26.797393pt;mso-position-horizontal-relative:page;mso-position-vertical-relative:paragraph;z-index:15064" type="#_x0000_t75" stroked="false">
            <v:imagedata r:id="rId79" o:title=""/>
          </v:shape>
        </w:pict>
      </w:r>
      <w:r>
        <w:rPr>
          <w:rFonts w:ascii="宋体" w:hAnsi="宋体" w:cs="宋体" w:eastAsia="宋体" w:hint="default"/>
          <w:sz w:val="18"/>
          <w:szCs w:val="18"/>
        </w:rPr>
        <w:t>财务报表附注第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p>
      <w:pPr>
        <w:spacing w:after="0"/>
        <w:jc w:val="center"/>
        <w:rPr>
          <w:rFonts w:ascii="宋体" w:hAnsi="宋体" w:cs="宋体" w:eastAsia="宋体" w:hint="default"/>
          <w:sz w:val="18"/>
          <w:szCs w:val="18"/>
        </w:rPr>
        <w:sectPr>
          <w:headerReference w:type="default" r:id="rId203"/>
          <w:footerReference w:type="default" r:id="rId204"/>
          <w:pgSz w:w="11910" w:h="16840"/>
          <w:pgMar w:header="1302" w:footer="0" w:top="1520" w:bottom="0" w:left="1660" w:right="0"/>
        </w:sectPr>
      </w:pPr>
    </w:p>
    <w:p>
      <w:pPr>
        <w:spacing w:before="142"/>
        <w:ind w:left="139" w:right="0" w:firstLine="0"/>
        <w:jc w:val="left"/>
        <w:rPr>
          <w:rFonts w:ascii="宋体" w:hAnsi="宋体" w:cs="宋体" w:eastAsia="宋体" w:hint="default"/>
          <w:sz w:val="18"/>
          <w:szCs w:val="18"/>
        </w:rPr>
      </w:pPr>
      <w:r>
        <w:rPr>
          <w:rFonts w:ascii="宋体" w:hAnsi="宋体" w:cs="宋体" w:eastAsia="宋体" w:hint="default"/>
          <w:sz w:val="18"/>
          <w:szCs w:val="18"/>
        </w:rPr>
        <w:t>财务报表附注</w:t>
      </w:r>
    </w:p>
    <w:p>
      <w:pPr>
        <w:spacing w:line="240" w:lineRule="auto" w:before="7"/>
        <w:rPr>
          <w:rFonts w:ascii="宋体" w:hAnsi="宋体" w:cs="宋体" w:eastAsia="宋体" w:hint="default"/>
          <w:sz w:val="3"/>
          <w:szCs w:val="3"/>
        </w:r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701.5pt;height:.5pt;mso-position-horizontal-relative:char;mso-position-vertical-relative:line" coordorigin="0,0" coordsize="14030,10">
            <v:group style="position:absolute;left:5;top:5;width:14020;height:2" coordorigin="5,5" coordsize="14020,2">
              <v:shape style="position:absolute;left:5;top:5;width:14020;height:2" coordorigin="5,5" coordsize="14020,0" path="m5,5l14024,5e" filled="false" stroked="true" strokeweight=".48pt" strokecolor="#000000">
                <v:path arrowok="t"/>
              </v:shape>
            </v:group>
          </v:group>
        </w:pict>
      </w:r>
      <w:r>
        <w:rPr>
          <w:rFonts w:ascii="宋体" w:hAnsi="宋体" w:cs="宋体" w:eastAsia="宋体" w:hint="default"/>
          <w:sz w:val="2"/>
          <w:szCs w:val="2"/>
        </w:rPr>
      </w:r>
    </w:p>
    <w:p>
      <w:pPr>
        <w:spacing w:line="240" w:lineRule="auto" w:before="6"/>
        <w:rPr>
          <w:rFonts w:ascii="宋体" w:hAnsi="宋体" w:cs="宋体" w:eastAsia="宋体" w:hint="default"/>
          <w:sz w:val="23"/>
          <w:szCs w:val="23"/>
        </w:rPr>
      </w:pPr>
    </w:p>
    <w:p>
      <w:pPr>
        <w:pStyle w:val="Heading5"/>
        <w:spacing w:line="240" w:lineRule="auto"/>
        <w:ind w:left="139" w:right="0"/>
        <w:jc w:val="left"/>
        <w:rPr>
          <w:b w:val="0"/>
          <w:bCs w:val="0"/>
        </w:rPr>
      </w:pPr>
      <w:r>
        <w:rPr>
          <w:rFonts w:ascii="Times New Roman" w:hAnsi="Times New Roman" w:cs="Times New Roman" w:eastAsia="Times New Roman" w:hint="default"/>
        </w:rPr>
        <w:t>(</w:t>
      </w:r>
      <w:r>
        <w:rPr/>
        <w:t>十五</w:t>
      </w:r>
      <w:r>
        <w:rPr>
          <w:rFonts w:ascii="Times New Roman" w:hAnsi="Times New Roman" w:cs="Times New Roman" w:eastAsia="Times New Roman" w:hint="default"/>
        </w:rPr>
        <w:t>) </w:t>
      </w:r>
      <w:r>
        <w:rPr>
          <w:rFonts w:ascii="Times New Roman" w:hAnsi="Times New Roman" w:cs="Times New Roman" w:eastAsia="Times New Roman" w:hint="default"/>
          <w:spacing w:val="46"/>
        </w:rPr>
        <w:t> </w:t>
      </w:r>
      <w:r>
        <w:rPr/>
        <w:t>开发支出</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23"/>
          <w:szCs w:val="23"/>
        </w:rPr>
      </w:pPr>
    </w:p>
    <w:tbl>
      <w:tblPr>
        <w:tblW w:w="0" w:type="auto"/>
        <w:jc w:val="left"/>
        <w:tblInd w:w="2557" w:type="dxa"/>
        <w:tblLayout w:type="fixed"/>
        <w:tblCellMar>
          <w:top w:w="0" w:type="dxa"/>
          <w:left w:w="0" w:type="dxa"/>
          <w:bottom w:w="0" w:type="dxa"/>
          <w:right w:w="0" w:type="dxa"/>
        </w:tblCellMar>
        <w:tblLook w:val="01E0"/>
      </w:tblPr>
      <w:tblGrid>
        <w:gridCol w:w="1167"/>
        <w:gridCol w:w="1682"/>
        <w:gridCol w:w="1711"/>
        <w:gridCol w:w="1124"/>
        <w:gridCol w:w="1280"/>
        <w:gridCol w:w="1264"/>
        <w:gridCol w:w="822"/>
      </w:tblGrid>
      <w:tr>
        <w:trPr>
          <w:trHeight w:val="772" w:hRule="exact"/>
        </w:trPr>
        <w:tc>
          <w:tcPr>
            <w:tcW w:w="116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5"/>
              <w:ind w:right="0"/>
              <w:jc w:val="left"/>
              <w:rPr>
                <w:rFonts w:ascii="宋体" w:hAnsi="宋体" w:cs="宋体" w:eastAsia="宋体" w:hint="default"/>
                <w:b/>
                <w:bCs/>
                <w:sz w:val="18"/>
                <w:szCs w:val="18"/>
              </w:rPr>
            </w:pPr>
          </w:p>
          <w:p>
            <w:pPr>
              <w:pStyle w:val="TableParagraph"/>
              <w:spacing w:line="240" w:lineRule="auto"/>
              <w:ind w:left="35" w:right="0"/>
              <w:jc w:val="left"/>
              <w:rPr>
                <w:rFonts w:ascii="Times New Roman" w:hAnsi="Times New Roman" w:cs="Times New Roman" w:eastAsia="Times New Roman" w:hint="default"/>
                <w:sz w:val="16"/>
                <w:szCs w:val="16"/>
              </w:rPr>
            </w:pPr>
            <w:r>
              <w:rPr>
                <w:rFonts w:ascii="Times New Roman"/>
                <w:sz w:val="16"/>
              </w:rPr>
              <w:t>28,509,863.83</w:t>
            </w:r>
          </w:p>
        </w:tc>
        <w:tc>
          <w:tcPr>
            <w:tcW w:w="168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5"/>
              <w:ind w:right="0"/>
              <w:jc w:val="left"/>
              <w:rPr>
                <w:rFonts w:ascii="宋体" w:hAnsi="宋体" w:cs="宋体" w:eastAsia="宋体" w:hint="default"/>
                <w:b/>
                <w:bCs/>
                <w:sz w:val="18"/>
                <w:szCs w:val="18"/>
              </w:rPr>
            </w:pPr>
          </w:p>
          <w:p>
            <w:pPr>
              <w:pStyle w:val="TableParagraph"/>
              <w:spacing w:line="240" w:lineRule="auto"/>
              <w:ind w:right="548"/>
              <w:jc w:val="right"/>
              <w:rPr>
                <w:rFonts w:ascii="Times New Roman" w:hAnsi="Times New Roman" w:cs="Times New Roman" w:eastAsia="Times New Roman" w:hint="default"/>
                <w:sz w:val="16"/>
                <w:szCs w:val="16"/>
              </w:rPr>
            </w:pPr>
            <w:r>
              <w:rPr>
                <w:rFonts w:ascii="Times New Roman"/>
                <w:spacing w:val="-1"/>
                <w:sz w:val="16"/>
              </w:rPr>
              <w:t>35,899,673.05</w:t>
            </w:r>
          </w:p>
        </w:tc>
        <w:tc>
          <w:tcPr>
            <w:tcW w:w="1711" w:type="dxa"/>
            <w:tcBorders>
              <w:top w:val="nil" w:sz="6" w:space="0" w:color="auto"/>
              <w:left w:val="nil" w:sz="6" w:space="0" w:color="auto"/>
              <w:bottom w:val="nil" w:sz="6" w:space="0" w:color="auto"/>
              <w:right w:val="nil" w:sz="6" w:space="0" w:color="auto"/>
            </w:tcBorders>
          </w:tcPr>
          <w:p>
            <w:pPr>
              <w:pStyle w:val="TableParagraph"/>
              <w:spacing w:line="160" w:lineRule="exact"/>
              <w:ind w:left="873" w:right="0"/>
              <w:jc w:val="left"/>
              <w:rPr>
                <w:rFonts w:ascii="宋体" w:hAnsi="宋体" w:cs="宋体" w:eastAsia="宋体" w:hint="default"/>
                <w:sz w:val="16"/>
                <w:szCs w:val="16"/>
              </w:rPr>
            </w:pPr>
            <w:r>
              <w:rPr>
                <w:rFonts w:ascii="宋体" w:hAnsi="宋体" w:cs="宋体" w:eastAsia="宋体" w:hint="default"/>
                <w:w w:val="99"/>
                <w:sz w:val="16"/>
                <w:szCs w:val="16"/>
              </w:rPr>
              <w:t>产</w:t>
            </w:r>
            <w:r>
              <w:rPr>
                <w:rFonts w:ascii="宋体" w:hAnsi="宋体" w:cs="宋体" w:eastAsia="宋体" w:hint="default"/>
                <w:sz w:val="16"/>
                <w:szCs w:val="16"/>
              </w:rPr>
            </w:r>
          </w:p>
          <w:p>
            <w:pPr>
              <w:pStyle w:val="TableParagraph"/>
              <w:spacing w:line="240" w:lineRule="auto" w:before="2"/>
              <w:ind w:right="0"/>
              <w:jc w:val="left"/>
              <w:rPr>
                <w:rFonts w:ascii="宋体" w:hAnsi="宋体" w:cs="宋体" w:eastAsia="宋体" w:hint="default"/>
                <w:b/>
                <w:bCs/>
                <w:sz w:val="22"/>
                <w:szCs w:val="22"/>
              </w:rPr>
            </w:pPr>
          </w:p>
          <w:p>
            <w:pPr>
              <w:pStyle w:val="TableParagraph"/>
              <w:spacing w:line="240" w:lineRule="auto"/>
              <w:ind w:left="550" w:right="0"/>
              <w:jc w:val="left"/>
              <w:rPr>
                <w:rFonts w:ascii="Times New Roman" w:hAnsi="Times New Roman" w:cs="Times New Roman" w:eastAsia="Times New Roman" w:hint="default"/>
                <w:sz w:val="16"/>
                <w:szCs w:val="16"/>
              </w:rPr>
            </w:pPr>
            <w:r>
              <w:rPr>
                <w:rFonts w:ascii="Times New Roman"/>
                <w:sz w:val="16"/>
              </w:rPr>
              <w:t>30,761,373.10</w:t>
            </w:r>
          </w:p>
        </w:tc>
        <w:tc>
          <w:tcPr>
            <w:tcW w:w="112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5"/>
              <w:ind w:right="0"/>
              <w:jc w:val="left"/>
              <w:rPr>
                <w:rFonts w:ascii="宋体" w:hAnsi="宋体" w:cs="宋体" w:eastAsia="宋体" w:hint="default"/>
                <w:b/>
                <w:bCs/>
                <w:sz w:val="18"/>
                <w:szCs w:val="18"/>
              </w:rPr>
            </w:pPr>
          </w:p>
          <w:p>
            <w:pPr>
              <w:pStyle w:val="TableParagraph"/>
              <w:spacing w:line="240" w:lineRule="auto"/>
              <w:ind w:left="238" w:right="0"/>
              <w:jc w:val="left"/>
              <w:rPr>
                <w:rFonts w:ascii="Times New Roman" w:hAnsi="Times New Roman" w:cs="Times New Roman" w:eastAsia="Times New Roman" w:hint="default"/>
                <w:sz w:val="16"/>
                <w:szCs w:val="16"/>
              </w:rPr>
            </w:pPr>
            <w:r>
              <w:rPr>
                <w:rFonts w:ascii="Times New Roman"/>
                <w:sz w:val="16"/>
              </w:rPr>
              <w:t>383,890.68</w:t>
            </w: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5"/>
              <w:ind w:right="0"/>
              <w:jc w:val="left"/>
              <w:rPr>
                <w:rFonts w:ascii="宋体" w:hAnsi="宋体" w:cs="宋体" w:eastAsia="宋体" w:hint="default"/>
                <w:b/>
                <w:bCs/>
                <w:sz w:val="18"/>
                <w:szCs w:val="18"/>
              </w:rPr>
            </w:pPr>
          </w:p>
          <w:p>
            <w:pPr>
              <w:pStyle w:val="TableParagraph"/>
              <w:spacing w:line="240" w:lineRule="auto"/>
              <w:ind w:right="20"/>
              <w:jc w:val="center"/>
              <w:rPr>
                <w:rFonts w:ascii="Times New Roman" w:hAnsi="Times New Roman" w:cs="Times New Roman" w:eastAsia="Times New Roman" w:hint="default"/>
                <w:sz w:val="16"/>
                <w:szCs w:val="16"/>
              </w:rPr>
            </w:pPr>
            <w:r>
              <w:rPr>
                <w:rFonts w:ascii="Times New Roman"/>
                <w:sz w:val="16"/>
              </w:rPr>
              <w:t>11,701,520.77</w:t>
            </w: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5"/>
              <w:ind w:right="0"/>
              <w:jc w:val="left"/>
              <w:rPr>
                <w:rFonts w:ascii="宋体" w:hAnsi="宋体" w:cs="宋体" w:eastAsia="宋体" w:hint="default"/>
                <w:b/>
                <w:bCs/>
                <w:sz w:val="18"/>
                <w:szCs w:val="18"/>
              </w:rPr>
            </w:pPr>
          </w:p>
          <w:p>
            <w:pPr>
              <w:pStyle w:val="TableParagraph"/>
              <w:spacing w:line="240" w:lineRule="auto"/>
              <w:ind w:right="146"/>
              <w:jc w:val="right"/>
              <w:rPr>
                <w:rFonts w:ascii="Times New Roman" w:hAnsi="Times New Roman" w:cs="Times New Roman" w:eastAsia="Times New Roman" w:hint="default"/>
                <w:sz w:val="16"/>
                <w:szCs w:val="16"/>
              </w:rPr>
            </w:pPr>
            <w:r>
              <w:rPr>
                <w:rFonts w:ascii="Times New Roman"/>
                <w:spacing w:val="-1"/>
                <w:sz w:val="16"/>
              </w:rPr>
              <w:t>21,562,752.33</w:t>
            </w:r>
          </w:p>
        </w:tc>
        <w:tc>
          <w:tcPr>
            <w:tcW w:w="82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2"/>
              <w:ind w:right="0"/>
              <w:jc w:val="left"/>
              <w:rPr>
                <w:rFonts w:ascii="宋体" w:hAnsi="宋体" w:cs="宋体" w:eastAsia="宋体" w:hint="default"/>
                <w:b/>
                <w:bCs/>
                <w:sz w:val="15"/>
                <w:szCs w:val="15"/>
              </w:rPr>
            </w:pPr>
          </w:p>
          <w:p>
            <w:pPr>
              <w:pStyle w:val="TableParagraph"/>
              <w:spacing w:line="240" w:lineRule="auto"/>
              <w:ind w:right="33"/>
              <w:jc w:val="right"/>
              <w:rPr>
                <w:rFonts w:ascii="宋体" w:hAnsi="宋体" w:cs="宋体" w:eastAsia="宋体" w:hint="default"/>
                <w:sz w:val="16"/>
                <w:szCs w:val="16"/>
              </w:rPr>
            </w:pPr>
            <w:r>
              <w:rPr>
                <w:rFonts w:ascii="宋体" w:hAnsi="宋体" w:cs="宋体" w:eastAsia="宋体" w:hint="default"/>
                <w:w w:val="95"/>
                <w:sz w:val="16"/>
                <w:szCs w:val="16"/>
              </w:rPr>
              <w:t>开发阶段</w:t>
            </w:r>
            <w:r>
              <w:rPr>
                <w:rFonts w:ascii="宋体" w:hAnsi="宋体" w:cs="宋体" w:eastAsia="宋体" w:hint="default"/>
                <w:sz w:val="16"/>
                <w:szCs w:val="16"/>
              </w:rPr>
            </w:r>
          </w:p>
        </w:tc>
      </w:tr>
      <w:tr>
        <w:trPr>
          <w:trHeight w:val="457" w:hRule="exact"/>
        </w:trPr>
        <w:tc>
          <w:tcPr>
            <w:tcW w:w="1167"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35" w:right="0"/>
              <w:jc w:val="left"/>
              <w:rPr>
                <w:rFonts w:ascii="Times New Roman" w:hAnsi="Times New Roman" w:cs="Times New Roman" w:eastAsia="Times New Roman" w:hint="default"/>
                <w:sz w:val="16"/>
                <w:szCs w:val="16"/>
              </w:rPr>
            </w:pPr>
            <w:r>
              <w:rPr>
                <w:rFonts w:ascii="Times New Roman"/>
                <w:sz w:val="16"/>
              </w:rPr>
              <w:t>10,135,334.55</w:t>
            </w:r>
          </w:p>
        </w:tc>
        <w:tc>
          <w:tcPr>
            <w:tcW w:w="1682"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548"/>
              <w:jc w:val="right"/>
              <w:rPr>
                <w:rFonts w:ascii="Times New Roman" w:hAnsi="Times New Roman" w:cs="Times New Roman" w:eastAsia="Times New Roman" w:hint="default"/>
                <w:sz w:val="16"/>
                <w:szCs w:val="16"/>
              </w:rPr>
            </w:pPr>
            <w:r>
              <w:rPr>
                <w:rFonts w:ascii="Times New Roman"/>
                <w:spacing w:val="-1"/>
                <w:sz w:val="16"/>
              </w:rPr>
              <w:t>6,579,202.88</w:t>
            </w:r>
          </w:p>
        </w:tc>
        <w:tc>
          <w:tcPr>
            <w:tcW w:w="1711" w:type="dxa"/>
            <w:tcBorders>
              <w:top w:val="nil" w:sz="6" w:space="0" w:color="auto"/>
              <w:left w:val="nil" w:sz="6" w:space="0" w:color="auto"/>
              <w:bottom w:val="nil" w:sz="6" w:space="0" w:color="auto"/>
              <w:right w:val="nil" w:sz="6" w:space="0" w:color="auto"/>
            </w:tcBorders>
          </w:tcPr>
          <w:p>
            <w:pPr/>
          </w:p>
        </w:tc>
        <w:tc>
          <w:tcPr>
            <w:tcW w:w="1124" w:type="dxa"/>
            <w:tcBorders>
              <w:top w:val="nil" w:sz="6" w:space="0" w:color="auto"/>
              <w:left w:val="nil" w:sz="6" w:space="0" w:color="auto"/>
              <w:bottom w:val="nil" w:sz="6" w:space="0" w:color="auto"/>
              <w:right w:val="nil" w:sz="6" w:space="0" w:color="auto"/>
            </w:tcBorders>
          </w:tcPr>
          <w:p>
            <w:pPr/>
          </w:p>
        </w:tc>
        <w:tc>
          <w:tcPr>
            <w:tcW w:w="1280" w:type="dxa"/>
            <w:tcBorders>
              <w:top w:val="nil" w:sz="6" w:space="0" w:color="auto"/>
              <w:left w:val="nil" w:sz="6" w:space="0" w:color="auto"/>
              <w:bottom w:val="nil" w:sz="6" w:space="0" w:color="auto"/>
              <w:right w:val="nil" w:sz="6" w:space="0" w:color="auto"/>
            </w:tcBorders>
          </w:tcPr>
          <w:p>
            <w:pP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146"/>
              <w:jc w:val="right"/>
              <w:rPr>
                <w:rFonts w:ascii="Times New Roman" w:hAnsi="Times New Roman" w:cs="Times New Roman" w:eastAsia="Times New Roman" w:hint="default"/>
                <w:sz w:val="16"/>
                <w:szCs w:val="16"/>
              </w:rPr>
            </w:pPr>
            <w:r>
              <w:rPr>
                <w:rFonts w:ascii="Times New Roman"/>
                <w:spacing w:val="-1"/>
                <w:sz w:val="16"/>
              </w:rPr>
              <w:t>16,714,537.43</w:t>
            </w:r>
          </w:p>
        </w:tc>
        <w:tc>
          <w:tcPr>
            <w:tcW w:w="822"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33"/>
              <w:jc w:val="right"/>
              <w:rPr>
                <w:rFonts w:ascii="宋体" w:hAnsi="宋体" w:cs="宋体" w:eastAsia="宋体" w:hint="default"/>
                <w:sz w:val="16"/>
                <w:szCs w:val="16"/>
              </w:rPr>
            </w:pPr>
            <w:r>
              <w:rPr>
                <w:rFonts w:ascii="宋体" w:hAnsi="宋体" w:cs="宋体" w:eastAsia="宋体" w:hint="default"/>
                <w:w w:val="95"/>
                <w:sz w:val="16"/>
                <w:szCs w:val="16"/>
              </w:rPr>
              <w:t>开发阶段</w:t>
            </w:r>
            <w:r>
              <w:rPr>
                <w:rFonts w:ascii="宋体" w:hAnsi="宋体" w:cs="宋体" w:eastAsia="宋体" w:hint="default"/>
                <w:sz w:val="16"/>
                <w:szCs w:val="16"/>
              </w:rPr>
            </w:r>
          </w:p>
        </w:tc>
      </w:tr>
      <w:tr>
        <w:trPr>
          <w:trHeight w:val="509" w:hRule="exact"/>
        </w:trPr>
        <w:tc>
          <w:tcPr>
            <w:tcW w:w="1167"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35" w:right="0"/>
              <w:jc w:val="left"/>
              <w:rPr>
                <w:rFonts w:ascii="Times New Roman" w:hAnsi="Times New Roman" w:cs="Times New Roman" w:eastAsia="Times New Roman" w:hint="default"/>
                <w:sz w:val="16"/>
                <w:szCs w:val="16"/>
              </w:rPr>
            </w:pPr>
            <w:r>
              <w:rPr>
                <w:rFonts w:ascii="Times New Roman"/>
                <w:sz w:val="16"/>
              </w:rPr>
              <w:t>43,567,414.35</w:t>
            </w:r>
          </w:p>
        </w:tc>
        <w:tc>
          <w:tcPr>
            <w:tcW w:w="1682"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548"/>
              <w:jc w:val="right"/>
              <w:rPr>
                <w:rFonts w:ascii="Times New Roman" w:hAnsi="Times New Roman" w:cs="Times New Roman" w:eastAsia="Times New Roman" w:hint="default"/>
                <w:sz w:val="16"/>
                <w:szCs w:val="16"/>
              </w:rPr>
            </w:pPr>
            <w:r>
              <w:rPr>
                <w:rFonts w:ascii="Times New Roman"/>
                <w:spacing w:val="-1"/>
                <w:sz w:val="16"/>
              </w:rPr>
              <w:t>41,514,726.68</w:t>
            </w:r>
          </w:p>
        </w:tc>
        <w:tc>
          <w:tcPr>
            <w:tcW w:w="1711"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236"/>
              <w:jc w:val="right"/>
              <w:rPr>
                <w:rFonts w:ascii="Times New Roman" w:hAnsi="Times New Roman" w:cs="Times New Roman" w:eastAsia="Times New Roman" w:hint="default"/>
                <w:sz w:val="16"/>
                <w:szCs w:val="16"/>
              </w:rPr>
            </w:pPr>
            <w:r>
              <w:rPr>
                <w:rFonts w:ascii="Times New Roman"/>
                <w:spacing w:val="-1"/>
                <w:sz w:val="16"/>
              </w:rPr>
              <w:t>23,828,862.50</w:t>
            </w:r>
          </w:p>
        </w:tc>
        <w:tc>
          <w:tcPr>
            <w:tcW w:w="1124" w:type="dxa"/>
            <w:tcBorders>
              <w:top w:val="nil" w:sz="6" w:space="0" w:color="auto"/>
              <w:left w:val="nil" w:sz="6" w:space="0" w:color="auto"/>
              <w:bottom w:val="nil" w:sz="6" w:space="0" w:color="auto"/>
              <w:right w:val="nil" w:sz="6" w:space="0" w:color="auto"/>
            </w:tcBorders>
          </w:tcPr>
          <w:p>
            <w:pP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26"/>
              <w:jc w:val="center"/>
              <w:rPr>
                <w:rFonts w:ascii="Times New Roman" w:hAnsi="Times New Roman" w:cs="Times New Roman" w:eastAsia="Times New Roman" w:hint="default"/>
                <w:sz w:val="16"/>
                <w:szCs w:val="16"/>
              </w:rPr>
            </w:pPr>
            <w:r>
              <w:rPr>
                <w:rFonts w:ascii="Times New Roman"/>
                <w:sz w:val="16"/>
              </w:rPr>
              <w:t>45,255,352.65</w:t>
            </w: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146"/>
              <w:jc w:val="right"/>
              <w:rPr>
                <w:rFonts w:ascii="Times New Roman" w:hAnsi="Times New Roman" w:cs="Times New Roman" w:eastAsia="Times New Roman" w:hint="default"/>
                <w:sz w:val="16"/>
                <w:szCs w:val="16"/>
              </w:rPr>
            </w:pPr>
            <w:r>
              <w:rPr>
                <w:rFonts w:ascii="Times New Roman"/>
                <w:spacing w:val="-1"/>
                <w:sz w:val="16"/>
              </w:rPr>
              <w:t>15,997,925.88</w:t>
            </w:r>
          </w:p>
        </w:tc>
        <w:tc>
          <w:tcPr>
            <w:tcW w:w="822"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33"/>
              <w:jc w:val="right"/>
              <w:rPr>
                <w:rFonts w:ascii="宋体" w:hAnsi="宋体" w:cs="宋体" w:eastAsia="宋体" w:hint="default"/>
                <w:sz w:val="16"/>
                <w:szCs w:val="16"/>
              </w:rPr>
            </w:pPr>
            <w:r>
              <w:rPr>
                <w:rFonts w:ascii="宋体" w:hAnsi="宋体" w:cs="宋体" w:eastAsia="宋体" w:hint="default"/>
                <w:w w:val="95"/>
                <w:sz w:val="16"/>
                <w:szCs w:val="16"/>
              </w:rPr>
              <w:t>开发阶段</w:t>
            </w:r>
            <w:r>
              <w:rPr>
                <w:rFonts w:ascii="宋体" w:hAnsi="宋体" w:cs="宋体" w:eastAsia="宋体" w:hint="default"/>
                <w:sz w:val="16"/>
                <w:szCs w:val="16"/>
              </w:rPr>
            </w:r>
          </w:p>
        </w:tc>
      </w:tr>
      <w:tr>
        <w:trPr>
          <w:trHeight w:val="561" w:hRule="exact"/>
        </w:trPr>
        <w:tc>
          <w:tcPr>
            <w:tcW w:w="1167" w:type="dxa"/>
            <w:tcBorders>
              <w:top w:val="nil" w:sz="6" w:space="0" w:color="auto"/>
              <w:left w:val="nil" w:sz="6" w:space="0" w:color="auto"/>
              <w:bottom w:val="nil" w:sz="6" w:space="0" w:color="auto"/>
              <w:right w:val="nil" w:sz="6" w:space="0" w:color="auto"/>
            </w:tcBorders>
          </w:tcPr>
          <w:p>
            <w:pPr/>
          </w:p>
        </w:tc>
        <w:tc>
          <w:tcPr>
            <w:tcW w:w="168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right="548"/>
              <w:jc w:val="right"/>
              <w:rPr>
                <w:rFonts w:ascii="Times New Roman" w:hAnsi="Times New Roman" w:cs="Times New Roman" w:eastAsia="Times New Roman" w:hint="default"/>
                <w:sz w:val="16"/>
                <w:szCs w:val="16"/>
              </w:rPr>
            </w:pPr>
            <w:r>
              <w:rPr>
                <w:rFonts w:ascii="Times New Roman"/>
                <w:spacing w:val="-1"/>
                <w:sz w:val="16"/>
              </w:rPr>
              <w:t>6,537,000.50</w:t>
            </w:r>
          </w:p>
        </w:tc>
        <w:tc>
          <w:tcPr>
            <w:tcW w:w="1711" w:type="dxa"/>
            <w:tcBorders>
              <w:top w:val="nil" w:sz="6" w:space="0" w:color="auto"/>
              <w:left w:val="nil" w:sz="6" w:space="0" w:color="auto"/>
              <w:bottom w:val="nil" w:sz="6" w:space="0" w:color="auto"/>
              <w:right w:val="nil" w:sz="6" w:space="0" w:color="auto"/>
            </w:tcBorders>
          </w:tcPr>
          <w:p>
            <w:pPr/>
          </w:p>
        </w:tc>
        <w:tc>
          <w:tcPr>
            <w:tcW w:w="1124" w:type="dxa"/>
            <w:tcBorders>
              <w:top w:val="nil" w:sz="6" w:space="0" w:color="auto"/>
              <w:left w:val="nil" w:sz="6" w:space="0" w:color="auto"/>
              <w:bottom w:val="nil" w:sz="6" w:space="0" w:color="auto"/>
              <w:right w:val="nil" w:sz="6" w:space="0" w:color="auto"/>
            </w:tcBorders>
          </w:tcPr>
          <w:p>
            <w:pPr/>
          </w:p>
        </w:tc>
        <w:tc>
          <w:tcPr>
            <w:tcW w:w="1280" w:type="dxa"/>
            <w:tcBorders>
              <w:top w:val="nil" w:sz="6" w:space="0" w:color="auto"/>
              <w:left w:val="nil" w:sz="6" w:space="0" w:color="auto"/>
              <w:bottom w:val="nil" w:sz="6" w:space="0" w:color="auto"/>
              <w:right w:val="nil" w:sz="6" w:space="0" w:color="auto"/>
            </w:tcBorders>
          </w:tcPr>
          <w:p>
            <w:pP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right="146"/>
              <w:jc w:val="right"/>
              <w:rPr>
                <w:rFonts w:ascii="Times New Roman" w:hAnsi="Times New Roman" w:cs="Times New Roman" w:eastAsia="Times New Roman" w:hint="default"/>
                <w:sz w:val="16"/>
                <w:szCs w:val="16"/>
              </w:rPr>
            </w:pPr>
            <w:r>
              <w:rPr>
                <w:rFonts w:ascii="Times New Roman"/>
                <w:spacing w:val="-1"/>
                <w:sz w:val="16"/>
              </w:rPr>
              <w:t>6,537,000.50</w:t>
            </w:r>
          </w:p>
        </w:tc>
        <w:tc>
          <w:tcPr>
            <w:tcW w:w="82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right="33"/>
              <w:jc w:val="right"/>
              <w:rPr>
                <w:rFonts w:ascii="宋体" w:hAnsi="宋体" w:cs="宋体" w:eastAsia="宋体" w:hint="default"/>
                <w:sz w:val="16"/>
                <w:szCs w:val="16"/>
              </w:rPr>
            </w:pPr>
            <w:r>
              <w:rPr>
                <w:rFonts w:ascii="宋体" w:hAnsi="宋体" w:cs="宋体" w:eastAsia="宋体" w:hint="default"/>
                <w:w w:val="95"/>
                <w:sz w:val="16"/>
                <w:szCs w:val="16"/>
              </w:rPr>
              <w:t>开发阶段</w:t>
            </w:r>
            <w:r>
              <w:rPr>
                <w:rFonts w:ascii="宋体" w:hAnsi="宋体" w:cs="宋体" w:eastAsia="宋体" w:hint="default"/>
                <w:sz w:val="16"/>
                <w:szCs w:val="16"/>
              </w:rPr>
            </w:r>
          </w:p>
        </w:tc>
      </w:tr>
      <w:tr>
        <w:trPr>
          <w:trHeight w:val="509" w:hRule="exact"/>
        </w:trPr>
        <w:tc>
          <w:tcPr>
            <w:tcW w:w="1167" w:type="dxa"/>
            <w:tcBorders>
              <w:top w:val="nil" w:sz="6" w:space="0" w:color="auto"/>
              <w:left w:val="nil" w:sz="6" w:space="0" w:color="auto"/>
              <w:bottom w:val="nil" w:sz="6" w:space="0" w:color="auto"/>
              <w:right w:val="nil" w:sz="6" w:space="0" w:color="auto"/>
            </w:tcBorders>
          </w:tcPr>
          <w:p>
            <w:pPr/>
          </w:p>
        </w:tc>
        <w:tc>
          <w:tcPr>
            <w:tcW w:w="168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right="548"/>
              <w:jc w:val="right"/>
              <w:rPr>
                <w:rFonts w:ascii="Times New Roman" w:hAnsi="Times New Roman" w:cs="Times New Roman" w:eastAsia="Times New Roman" w:hint="default"/>
                <w:sz w:val="16"/>
                <w:szCs w:val="16"/>
              </w:rPr>
            </w:pPr>
            <w:r>
              <w:rPr>
                <w:rFonts w:ascii="Times New Roman"/>
                <w:spacing w:val="-1"/>
                <w:sz w:val="16"/>
              </w:rPr>
              <w:t>4,419,014.17</w:t>
            </w:r>
          </w:p>
        </w:tc>
        <w:tc>
          <w:tcPr>
            <w:tcW w:w="1711" w:type="dxa"/>
            <w:tcBorders>
              <w:top w:val="nil" w:sz="6" w:space="0" w:color="auto"/>
              <w:left w:val="nil" w:sz="6" w:space="0" w:color="auto"/>
              <w:bottom w:val="nil" w:sz="6" w:space="0" w:color="auto"/>
              <w:right w:val="nil" w:sz="6" w:space="0" w:color="auto"/>
            </w:tcBorders>
          </w:tcPr>
          <w:p>
            <w:pPr/>
          </w:p>
        </w:tc>
        <w:tc>
          <w:tcPr>
            <w:tcW w:w="1124" w:type="dxa"/>
            <w:tcBorders>
              <w:top w:val="nil" w:sz="6" w:space="0" w:color="auto"/>
              <w:left w:val="nil" w:sz="6" w:space="0" w:color="auto"/>
              <w:bottom w:val="nil" w:sz="6" w:space="0" w:color="auto"/>
              <w:right w:val="nil" w:sz="6" w:space="0" w:color="auto"/>
            </w:tcBorders>
          </w:tcPr>
          <w:p>
            <w:pPr/>
          </w:p>
        </w:tc>
        <w:tc>
          <w:tcPr>
            <w:tcW w:w="1280" w:type="dxa"/>
            <w:tcBorders>
              <w:top w:val="nil" w:sz="6" w:space="0" w:color="auto"/>
              <w:left w:val="nil" w:sz="6" w:space="0" w:color="auto"/>
              <w:bottom w:val="nil" w:sz="6" w:space="0" w:color="auto"/>
              <w:right w:val="nil" w:sz="6" w:space="0" w:color="auto"/>
            </w:tcBorders>
          </w:tcPr>
          <w:p>
            <w:pP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right="146"/>
              <w:jc w:val="right"/>
              <w:rPr>
                <w:rFonts w:ascii="Times New Roman" w:hAnsi="Times New Roman" w:cs="Times New Roman" w:eastAsia="Times New Roman" w:hint="default"/>
                <w:sz w:val="16"/>
                <w:szCs w:val="16"/>
              </w:rPr>
            </w:pPr>
            <w:r>
              <w:rPr>
                <w:rFonts w:ascii="Times New Roman"/>
                <w:spacing w:val="-1"/>
                <w:sz w:val="16"/>
              </w:rPr>
              <w:t>4,419,014.17</w:t>
            </w:r>
          </w:p>
        </w:tc>
        <w:tc>
          <w:tcPr>
            <w:tcW w:w="822" w:type="dxa"/>
            <w:tcBorders>
              <w:top w:val="nil" w:sz="6" w:space="0" w:color="auto"/>
              <w:left w:val="nil" w:sz="6" w:space="0" w:color="auto"/>
              <w:bottom w:val="nil" w:sz="6" w:space="0" w:color="auto"/>
              <w:right w:val="nil" w:sz="6" w:space="0" w:color="auto"/>
            </w:tcBorders>
          </w:tcPr>
          <w:p>
            <w:pPr>
              <w:pStyle w:val="TableParagraph"/>
              <w:spacing w:line="240" w:lineRule="auto" w:before="144"/>
              <w:ind w:right="33"/>
              <w:jc w:val="right"/>
              <w:rPr>
                <w:rFonts w:ascii="宋体" w:hAnsi="宋体" w:cs="宋体" w:eastAsia="宋体" w:hint="default"/>
                <w:sz w:val="16"/>
                <w:szCs w:val="16"/>
              </w:rPr>
            </w:pPr>
            <w:r>
              <w:rPr>
                <w:rFonts w:ascii="宋体" w:hAnsi="宋体" w:cs="宋体" w:eastAsia="宋体" w:hint="default"/>
                <w:w w:val="95"/>
                <w:sz w:val="16"/>
                <w:szCs w:val="16"/>
              </w:rPr>
              <w:t>开发阶段</w:t>
            </w:r>
            <w:r>
              <w:rPr>
                <w:rFonts w:ascii="宋体" w:hAnsi="宋体" w:cs="宋体" w:eastAsia="宋体" w:hint="default"/>
                <w:sz w:val="16"/>
                <w:szCs w:val="16"/>
              </w:rPr>
            </w:r>
          </w:p>
        </w:tc>
      </w:tr>
      <w:tr>
        <w:trPr>
          <w:trHeight w:val="457" w:hRule="exact"/>
        </w:trPr>
        <w:tc>
          <w:tcPr>
            <w:tcW w:w="1167" w:type="dxa"/>
            <w:tcBorders>
              <w:top w:val="nil" w:sz="6" w:space="0" w:color="auto"/>
              <w:left w:val="nil" w:sz="6" w:space="0" w:color="auto"/>
              <w:bottom w:val="nil" w:sz="6" w:space="0" w:color="auto"/>
              <w:right w:val="nil" w:sz="6" w:space="0" w:color="auto"/>
            </w:tcBorders>
          </w:tcPr>
          <w:p>
            <w:pPr/>
          </w:p>
        </w:tc>
        <w:tc>
          <w:tcPr>
            <w:tcW w:w="1682"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548"/>
              <w:jc w:val="right"/>
              <w:rPr>
                <w:rFonts w:ascii="Times New Roman" w:hAnsi="Times New Roman" w:cs="Times New Roman" w:eastAsia="Times New Roman" w:hint="default"/>
                <w:sz w:val="16"/>
                <w:szCs w:val="16"/>
              </w:rPr>
            </w:pPr>
            <w:r>
              <w:rPr>
                <w:rFonts w:ascii="Times New Roman"/>
                <w:spacing w:val="-1"/>
                <w:sz w:val="16"/>
              </w:rPr>
              <w:t>450,000.00</w:t>
            </w:r>
          </w:p>
        </w:tc>
        <w:tc>
          <w:tcPr>
            <w:tcW w:w="1711" w:type="dxa"/>
            <w:tcBorders>
              <w:top w:val="nil" w:sz="6" w:space="0" w:color="auto"/>
              <w:left w:val="nil" w:sz="6" w:space="0" w:color="auto"/>
              <w:bottom w:val="nil" w:sz="6" w:space="0" w:color="auto"/>
              <w:right w:val="nil" w:sz="6" w:space="0" w:color="auto"/>
            </w:tcBorders>
          </w:tcPr>
          <w:p>
            <w:pPr/>
          </w:p>
        </w:tc>
        <w:tc>
          <w:tcPr>
            <w:tcW w:w="1124" w:type="dxa"/>
            <w:tcBorders>
              <w:top w:val="nil" w:sz="6" w:space="0" w:color="auto"/>
              <w:left w:val="nil" w:sz="6" w:space="0" w:color="auto"/>
              <w:bottom w:val="nil" w:sz="6" w:space="0" w:color="auto"/>
              <w:right w:val="nil" w:sz="6" w:space="0" w:color="auto"/>
            </w:tcBorders>
          </w:tcPr>
          <w:p>
            <w:pPr/>
          </w:p>
        </w:tc>
        <w:tc>
          <w:tcPr>
            <w:tcW w:w="1280" w:type="dxa"/>
            <w:tcBorders>
              <w:top w:val="nil" w:sz="6" w:space="0" w:color="auto"/>
              <w:left w:val="nil" w:sz="6" w:space="0" w:color="auto"/>
              <w:bottom w:val="nil" w:sz="6" w:space="0" w:color="auto"/>
              <w:right w:val="nil" w:sz="6" w:space="0" w:color="auto"/>
            </w:tcBorders>
          </w:tcPr>
          <w:p>
            <w:pP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146"/>
              <w:jc w:val="right"/>
              <w:rPr>
                <w:rFonts w:ascii="Times New Roman" w:hAnsi="Times New Roman" w:cs="Times New Roman" w:eastAsia="Times New Roman" w:hint="default"/>
                <w:sz w:val="16"/>
                <w:szCs w:val="16"/>
              </w:rPr>
            </w:pPr>
            <w:r>
              <w:rPr>
                <w:rFonts w:ascii="Times New Roman"/>
                <w:spacing w:val="-1"/>
                <w:sz w:val="16"/>
              </w:rPr>
              <w:t>450,000.00</w:t>
            </w:r>
          </w:p>
        </w:tc>
        <w:tc>
          <w:tcPr>
            <w:tcW w:w="822"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33"/>
              <w:jc w:val="right"/>
              <w:rPr>
                <w:rFonts w:ascii="宋体" w:hAnsi="宋体" w:cs="宋体" w:eastAsia="宋体" w:hint="default"/>
                <w:sz w:val="16"/>
                <w:szCs w:val="16"/>
              </w:rPr>
            </w:pPr>
            <w:r>
              <w:rPr>
                <w:rFonts w:ascii="宋体" w:hAnsi="宋体" w:cs="宋体" w:eastAsia="宋体" w:hint="default"/>
                <w:w w:val="95"/>
                <w:sz w:val="16"/>
                <w:szCs w:val="16"/>
              </w:rPr>
              <w:t>开发阶段</w:t>
            </w:r>
            <w:r>
              <w:rPr>
                <w:rFonts w:ascii="宋体" w:hAnsi="宋体" w:cs="宋体" w:eastAsia="宋体" w:hint="default"/>
                <w:sz w:val="16"/>
                <w:szCs w:val="16"/>
              </w:rPr>
            </w:r>
          </w:p>
        </w:tc>
      </w:tr>
      <w:tr>
        <w:trPr>
          <w:trHeight w:val="315" w:hRule="exact"/>
        </w:trPr>
        <w:tc>
          <w:tcPr>
            <w:tcW w:w="1167"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41" w:right="0"/>
              <w:jc w:val="left"/>
              <w:rPr>
                <w:rFonts w:ascii="Times New Roman" w:hAnsi="Times New Roman" w:cs="Times New Roman" w:eastAsia="Times New Roman" w:hint="default"/>
                <w:sz w:val="16"/>
                <w:szCs w:val="16"/>
              </w:rPr>
            </w:pPr>
            <w:r>
              <w:rPr>
                <w:rFonts w:ascii="Times New Roman"/>
                <w:sz w:val="16"/>
              </w:rPr>
              <w:t>11,209,263.03</w:t>
            </w:r>
          </w:p>
        </w:tc>
        <w:tc>
          <w:tcPr>
            <w:tcW w:w="1682"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548"/>
              <w:jc w:val="right"/>
              <w:rPr>
                <w:rFonts w:ascii="Times New Roman" w:hAnsi="Times New Roman" w:cs="Times New Roman" w:eastAsia="Times New Roman" w:hint="default"/>
                <w:sz w:val="16"/>
                <w:szCs w:val="16"/>
              </w:rPr>
            </w:pPr>
            <w:r>
              <w:rPr>
                <w:rFonts w:ascii="Times New Roman"/>
                <w:spacing w:val="-1"/>
                <w:sz w:val="16"/>
              </w:rPr>
              <w:t>5,337,259.60</w:t>
            </w:r>
          </w:p>
        </w:tc>
        <w:tc>
          <w:tcPr>
            <w:tcW w:w="1711"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236"/>
              <w:jc w:val="right"/>
              <w:rPr>
                <w:rFonts w:ascii="Times New Roman" w:hAnsi="Times New Roman" w:cs="Times New Roman" w:eastAsia="Times New Roman" w:hint="default"/>
                <w:sz w:val="16"/>
                <w:szCs w:val="16"/>
              </w:rPr>
            </w:pPr>
            <w:r>
              <w:rPr>
                <w:rFonts w:ascii="Times New Roman"/>
                <w:spacing w:val="-1"/>
                <w:sz w:val="16"/>
              </w:rPr>
              <w:t>16,546,522.63</w:t>
            </w:r>
          </w:p>
        </w:tc>
        <w:tc>
          <w:tcPr>
            <w:tcW w:w="1124" w:type="dxa"/>
            <w:tcBorders>
              <w:top w:val="nil" w:sz="6" w:space="0" w:color="auto"/>
              <w:left w:val="nil" w:sz="6" w:space="0" w:color="auto"/>
              <w:bottom w:val="nil" w:sz="6" w:space="0" w:color="auto"/>
              <w:right w:val="nil" w:sz="6" w:space="0" w:color="auto"/>
            </w:tcBorders>
          </w:tcPr>
          <w:p>
            <w:pPr/>
          </w:p>
        </w:tc>
        <w:tc>
          <w:tcPr>
            <w:tcW w:w="1280" w:type="dxa"/>
            <w:tcBorders>
              <w:top w:val="nil" w:sz="6" w:space="0" w:color="auto"/>
              <w:left w:val="nil" w:sz="6" w:space="0" w:color="auto"/>
              <w:bottom w:val="nil" w:sz="6" w:space="0" w:color="auto"/>
              <w:right w:val="nil" w:sz="6" w:space="0" w:color="auto"/>
            </w:tcBorders>
          </w:tcPr>
          <w:p>
            <w:pPr/>
          </w:p>
        </w:tc>
        <w:tc>
          <w:tcPr>
            <w:tcW w:w="1264" w:type="dxa"/>
            <w:tcBorders>
              <w:top w:val="nil" w:sz="6" w:space="0" w:color="auto"/>
              <w:left w:val="nil" w:sz="6" w:space="0" w:color="auto"/>
              <w:bottom w:val="nil" w:sz="6" w:space="0" w:color="auto"/>
              <w:right w:val="nil" w:sz="6" w:space="0" w:color="auto"/>
            </w:tcBorders>
          </w:tcPr>
          <w:p>
            <w:pPr/>
          </w:p>
        </w:tc>
        <w:tc>
          <w:tcPr>
            <w:tcW w:w="822"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33"/>
              <w:jc w:val="right"/>
              <w:rPr>
                <w:rFonts w:ascii="宋体" w:hAnsi="宋体" w:cs="宋体" w:eastAsia="宋体" w:hint="default"/>
                <w:sz w:val="16"/>
                <w:szCs w:val="16"/>
              </w:rPr>
            </w:pPr>
            <w:r>
              <w:rPr>
                <w:rFonts w:ascii="宋体" w:hAnsi="宋体" w:cs="宋体" w:eastAsia="宋体" w:hint="default"/>
                <w:w w:val="95"/>
                <w:sz w:val="16"/>
                <w:szCs w:val="16"/>
              </w:rPr>
              <w:t>开发阶段</w:t>
            </w:r>
            <w:r>
              <w:rPr>
                <w:rFonts w:ascii="宋体" w:hAnsi="宋体" w:cs="宋体" w:eastAsia="宋体" w:hint="default"/>
                <w:sz w:val="16"/>
                <w:szCs w:val="16"/>
              </w:rPr>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pStyle w:val="BodyText"/>
        <w:spacing w:line="240" w:lineRule="auto" w:before="174"/>
        <w:ind w:left="853" w:right="0"/>
        <w:jc w:val="left"/>
      </w:pPr>
      <w:r>
        <w:rPr/>
        <w:pict>
          <v:group style="position:absolute;margin-left:101.121002pt;margin-top:-265.536316pt;width:683.1pt;height:269.6pt;mso-position-horizontal-relative:page;mso-position-vertical-relative:paragraph;z-index:-1387528" coordorigin="2022,-5311" coordsize="13662,5392">
            <v:group style="position:absolute;left:2052;top:-5296;width:1419;height:2" coordorigin="2052,-5296" coordsize="1419,2">
              <v:shape style="position:absolute;left:2052;top:-5296;width:1419;height:2" coordorigin="2052,-5296" coordsize="1419,0" path="m2052,-5296l3470,-5296e" filled="false" stroked="true" strokeweight="1.5pt" strokecolor="#000000">
                <v:path arrowok="t"/>
              </v:shape>
              <v:shape style="position:absolute;left:3470;top:-5281;width:10;height:28" type="#_x0000_t75" stroked="false">
                <v:imagedata r:id="rId74" o:title=""/>
              </v:shape>
            </v:group>
            <v:group style="position:absolute;left:3470;top:-5296;width:1446;height:2" coordorigin="3470,-5296" coordsize="1446,2">
              <v:shape style="position:absolute;left:3470;top:-5296;width:1446;height:2" coordorigin="3470,-5296" coordsize="1446,0" path="m3470,-5296l4916,-5296e" filled="false" stroked="true" strokeweight="1.5pt" strokecolor="#000000">
                <v:path arrowok="t"/>
              </v:shape>
              <v:shape style="position:absolute;left:4916;top:-5281;width:10;height:28" type="#_x0000_t75" stroked="false">
                <v:imagedata r:id="rId74" o:title=""/>
              </v:shape>
            </v:group>
            <v:group style="position:absolute;left:4916;top:-5296;width:2114;height:2" coordorigin="4916,-5296" coordsize="2114,2">
              <v:shape style="position:absolute;left:4916;top:-5296;width:2114;height:2" coordorigin="4916,-5296" coordsize="2114,0" path="m4916,-5296l7029,-5296e" filled="false" stroked="true" strokeweight="1.5pt" strokecolor="#000000">
                <v:path arrowok="t"/>
              </v:shape>
              <v:shape style="position:absolute;left:7029;top:-5281;width:10;height:28" type="#_x0000_t75" stroked="false">
                <v:imagedata r:id="rId74" o:title=""/>
              </v:shape>
            </v:group>
            <v:group style="position:absolute;left:7029;top:-5296;width:3701;height:2" coordorigin="7029,-5296" coordsize="3701,2">
              <v:shape style="position:absolute;left:7029;top:-5296;width:3701;height:2" coordorigin="7029,-5296" coordsize="3701,0" path="m7029,-5296l10730,-5296e" filled="false" stroked="true" strokeweight="1.5pt" strokecolor="#000000">
                <v:path arrowok="t"/>
              </v:shape>
              <v:shape style="position:absolute;left:10730;top:-5281;width:10;height:28" type="#_x0000_t75" stroked="false">
                <v:imagedata r:id="rId74" o:title=""/>
              </v:shape>
            </v:group>
            <v:group style="position:absolute;left:10730;top:-5296;width:1308;height:2" coordorigin="10730,-5296" coordsize="1308,2">
              <v:shape style="position:absolute;left:10730;top:-5296;width:1308;height:2" coordorigin="10730,-5296" coordsize="1308,0" path="m10730,-5296l12038,-5296e" filled="false" stroked="true" strokeweight="1.5pt" strokecolor="#000000">
                <v:path arrowok="t"/>
              </v:shape>
              <v:shape style="position:absolute;left:12038;top:-5281;width:10;height:28" type="#_x0000_t75" stroked="false">
                <v:imagedata r:id="rId74" o:title=""/>
              </v:shape>
            </v:group>
            <v:group style="position:absolute;left:12038;top:-5296;width:939;height:2" coordorigin="12038,-5296" coordsize="939,2">
              <v:shape style="position:absolute;left:12038;top:-5296;width:939;height:2" coordorigin="12038,-5296" coordsize="939,0" path="m12038,-5296l12977,-5296e" filled="false" stroked="true" strokeweight="1.5pt" strokecolor="#000000">
                <v:path arrowok="t"/>
              </v:shape>
              <v:shape style="position:absolute;left:12977;top:-5281;width:10;height:28" type="#_x0000_t75" stroked="false">
                <v:imagedata r:id="rId74" o:title=""/>
              </v:shape>
            </v:group>
            <v:group style="position:absolute;left:12977;top:-5296;width:1709;height:2" coordorigin="12977,-5296" coordsize="1709,2">
              <v:shape style="position:absolute;left:12977;top:-5296;width:1709;height:2" coordorigin="12977,-5296" coordsize="1709,0" path="m12977,-5296l14685,-5296e" filled="false" stroked="true" strokeweight="1.5pt" strokecolor="#000000">
                <v:path arrowok="t"/>
              </v:shape>
              <v:shape style="position:absolute;left:14685;top:-5281;width:10;height:28" type="#_x0000_t75" stroked="false">
                <v:imagedata r:id="rId74" o:title=""/>
              </v:shape>
            </v:group>
            <v:group style="position:absolute;left:14685;top:-5296;width:975;height:2" coordorigin="14685,-5296" coordsize="975,2">
              <v:shape style="position:absolute;left:14685;top:-5296;width:975;height:2" coordorigin="14685,-5296" coordsize="975,0" path="m14685,-5296l15660,-5296e" filled="false" stroked="true" strokeweight="1.5pt" strokecolor="#000000">
                <v:path arrowok="t"/>
              </v:shape>
              <v:shape style="position:absolute;left:3451;top:-5272;width:11263;height:916" type="#_x0000_t75" stroked="false">
                <v:imagedata r:id="rId210" o:title=""/>
              </v:shape>
            </v:group>
            <v:group style="position:absolute;left:2037;top:66;width:1433;height:2" coordorigin="2037,66" coordsize="1433,2">
              <v:shape style="position:absolute;left:2037;top:66;width:1433;height:2" coordorigin="2037,66" coordsize="1433,0" path="m2037,66l3470,66e" filled="false" stroked="true" strokeweight="1.5pt" strokecolor="#000000">
                <v:path arrowok="t"/>
              </v:shape>
            </v:group>
            <v:group style="position:absolute;left:3470;top:66;width:1446;height:2" coordorigin="3470,66" coordsize="1446,2">
              <v:shape style="position:absolute;left:3470;top:66;width:1446;height:2" coordorigin="3470,66" coordsize="1446,0" path="m3470,66l4916,66e" filled="false" stroked="true" strokeweight="1.5pt" strokecolor="#000000">
                <v:path arrowok="t"/>
              </v:shape>
            </v:group>
            <v:group style="position:absolute;left:4916;top:66;width:1341;height:2" coordorigin="4916,66" coordsize="1341,2">
              <v:shape style="position:absolute;left:4916;top:66;width:1341;height:2" coordorigin="4916,66" coordsize="1341,0" path="m4916,66l6257,66e" filled="false" stroked="true" strokeweight="1.5pt" strokecolor="#000000">
                <v:path arrowok="t"/>
              </v:shape>
            </v:group>
            <v:group style="position:absolute;left:6257;top:66;width:773;height:2" coordorigin="6257,66" coordsize="773,2">
              <v:shape style="position:absolute;left:6257;top:66;width:773;height:2" coordorigin="6257,66" coordsize="773,0" path="m6257,66l7029,66e" filled="false" stroked="true" strokeweight="1.5pt" strokecolor="#000000">
                <v:path arrowok="t"/>
              </v:shape>
            </v:group>
            <v:group style="position:absolute;left:7029;top:66;width:1251;height:2" coordorigin="7029,66" coordsize="1251,2">
              <v:shape style="position:absolute;left:7029;top:66;width:1251;height:2" coordorigin="7029,66" coordsize="1251,0" path="m7029,66l8280,66e" filled="false" stroked="true" strokeweight="1.5pt" strokecolor="#000000">
                <v:path arrowok="t"/>
              </v:shape>
            </v:group>
            <v:group style="position:absolute;left:8280;top:66;width:1199;height:2" coordorigin="8280,66" coordsize="1199,2">
              <v:shape style="position:absolute;left:8280;top:66;width:1199;height:2" coordorigin="8280,66" coordsize="1199,0" path="m8280,66l9479,66e" filled="false" stroked="true" strokeweight="1.5pt" strokecolor="#000000">
                <v:path arrowok="t"/>
              </v:shape>
            </v:group>
            <v:group style="position:absolute;left:9479;top:66;width:1252;height:2" coordorigin="9479,66" coordsize="1252,2">
              <v:shape style="position:absolute;left:9479;top:66;width:1252;height:2" coordorigin="9479,66" coordsize="1252,0" path="m9479,66l10730,66e" filled="false" stroked="true" strokeweight="1.5pt" strokecolor="#000000">
                <v:path arrowok="t"/>
              </v:shape>
            </v:group>
            <v:group style="position:absolute;left:10730;top:66;width:1308;height:2" coordorigin="10730,66" coordsize="1308,2">
              <v:shape style="position:absolute;left:10730;top:66;width:1308;height:2" coordorigin="10730,66" coordsize="1308,0" path="m10730,66l12038,66e" filled="false" stroked="true" strokeweight="1.5pt" strokecolor="#000000">
                <v:path arrowok="t"/>
              </v:shape>
            </v:group>
            <v:group style="position:absolute;left:12038;top:66;width:939;height:2" coordorigin="12038,66" coordsize="939,2">
              <v:shape style="position:absolute;left:12038;top:66;width:939;height:2" coordorigin="12038,66" coordsize="939,0" path="m12038,66l12977,66e" filled="false" stroked="true" strokeweight="1.5pt" strokecolor="#000000">
                <v:path arrowok="t"/>
              </v:shape>
            </v:group>
            <v:group style="position:absolute;left:12977;top:66;width:1709;height:2" coordorigin="12977,66" coordsize="1709,2">
              <v:shape style="position:absolute;left:12977;top:66;width:1709;height:2" coordorigin="12977,66" coordsize="1709,0" path="m12977,66l14685,66e" filled="false" stroked="true" strokeweight="1.5pt" strokecolor="#000000">
                <v:path arrowok="t"/>
              </v:shape>
              <v:shape style="position:absolute;left:2033;top:-4395;width:13651;height:4446" type="#_x0000_t75" stroked="false">
                <v:imagedata r:id="rId211" o:title=""/>
              </v:shape>
            </v:group>
            <v:group style="position:absolute;left:14685;top:66;width:975;height:2" coordorigin="14685,66" coordsize="975,2">
              <v:shape style="position:absolute;left:14685;top:66;width:975;height:2" coordorigin="14685,66" coordsize="975,0" path="m14685,66l15660,66e" filled="false" stroked="true" strokeweight="1.5pt" strokecolor="#000000">
                <v:path arrowok="t"/>
              </v:shape>
              <v:shape style="position:absolute;left:5497;top:-5189;width:95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本期增加金额</w:t>
                      </w:r>
                      <w:r>
                        <w:rPr>
                          <w:rFonts w:ascii="宋体" w:hAnsi="宋体" w:cs="宋体" w:eastAsia="宋体" w:hint="default"/>
                          <w:sz w:val="16"/>
                          <w:szCs w:val="16"/>
                        </w:rPr>
                      </w:r>
                    </w:p>
                  </w:txbxContent>
                </v:textbox>
                <w10:wrap type="none"/>
              </v:shape>
              <v:shape style="position:absolute;left:8405;top:-5189;width:95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本期减少金额</w:t>
                      </w:r>
                      <w:r>
                        <w:rPr>
                          <w:rFonts w:ascii="宋体" w:hAnsi="宋体" w:cs="宋体" w:eastAsia="宋体" w:hint="default"/>
                          <w:sz w:val="16"/>
                          <w:szCs w:val="16"/>
                        </w:rPr>
                      </w:r>
                    </w:p>
                  </w:txbxContent>
                </v:textbox>
                <w10:wrap type="none"/>
              </v:shape>
              <v:shape style="position:absolute;left:2603;top:-4909;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项目</w:t>
                      </w:r>
                      <w:r>
                        <w:rPr>
                          <w:rFonts w:ascii="宋体" w:hAnsi="宋体" w:cs="宋体" w:eastAsia="宋体" w:hint="default"/>
                          <w:sz w:val="16"/>
                          <w:szCs w:val="16"/>
                        </w:rPr>
                      </w:r>
                    </w:p>
                  </w:txbxContent>
                </v:textbox>
                <w10:wrap type="none"/>
              </v:shape>
              <v:shape style="position:absolute;left:3878;top:-4909;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年初余额</w:t>
                      </w:r>
                      <w:r>
                        <w:rPr>
                          <w:rFonts w:ascii="宋体" w:hAnsi="宋体" w:cs="宋体" w:eastAsia="宋体" w:hint="default"/>
                          <w:sz w:val="16"/>
                          <w:szCs w:val="16"/>
                        </w:rPr>
                      </w:r>
                    </w:p>
                  </w:txbxContent>
                </v:textbox>
                <w10:wrap type="none"/>
              </v:shape>
              <v:shape style="position:absolute;left:11069;top:-4909;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5112;top:-4731;width:95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内部开发支出</w:t>
                      </w:r>
                      <w:r>
                        <w:rPr>
                          <w:rFonts w:ascii="宋体" w:hAnsi="宋体" w:cs="宋体" w:eastAsia="宋体" w:hint="default"/>
                          <w:sz w:val="16"/>
                          <w:szCs w:val="16"/>
                        </w:rPr>
                      </w:r>
                    </w:p>
                  </w:txbxContent>
                </v:textbox>
                <w10:wrap type="none"/>
              </v:shape>
              <v:shape style="position:absolute;left:6487;top:-4731;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其他</w:t>
                      </w:r>
                      <w:r>
                        <w:rPr>
                          <w:rFonts w:ascii="宋体" w:hAnsi="宋体" w:cs="宋体" w:eastAsia="宋体" w:hint="default"/>
                          <w:sz w:val="16"/>
                          <w:szCs w:val="16"/>
                        </w:rPr>
                      </w:r>
                    </w:p>
                  </w:txbxContent>
                </v:textbox>
                <w10:wrap type="none"/>
              </v:shape>
              <v:shape style="position:absolute;left:7179;top:-4836;width:95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确认为无形资</w:t>
                      </w:r>
                      <w:r>
                        <w:rPr>
                          <w:rFonts w:ascii="宋体" w:hAnsi="宋体" w:cs="宋体" w:eastAsia="宋体" w:hint="default"/>
                          <w:sz w:val="16"/>
                          <w:szCs w:val="16"/>
                        </w:rPr>
                      </w:r>
                    </w:p>
                  </w:txbxContent>
                </v:textbox>
                <w10:wrap type="none"/>
              </v:shape>
              <v:shape style="position:absolute;left:8403;top:-4731;width:95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计入当期损益</w:t>
                      </w:r>
                      <w:r>
                        <w:rPr>
                          <w:rFonts w:ascii="宋体" w:hAnsi="宋体" w:cs="宋体" w:eastAsia="宋体" w:hint="default"/>
                          <w:sz w:val="16"/>
                          <w:szCs w:val="16"/>
                        </w:rPr>
                      </w:r>
                    </w:p>
                  </w:txbxContent>
                </v:textbox>
                <w10:wrap type="none"/>
              </v:shape>
              <v:shape style="position:absolute;left:9949;top:-4731;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其他</w:t>
                      </w:r>
                      <w:r>
                        <w:rPr>
                          <w:rFonts w:ascii="宋体" w:hAnsi="宋体" w:cs="宋体" w:eastAsia="宋体" w:hint="default"/>
                          <w:sz w:val="16"/>
                          <w:szCs w:val="16"/>
                        </w:rPr>
                      </w:r>
                    </w:p>
                  </w:txbxContent>
                </v:textbox>
                <w10:wrap type="none"/>
              </v:shape>
              <v:shape style="position:absolute;left:12192;top:-5012;width:639;height:368" type="#_x0000_t202" filled="false" stroked="false">
                <v:textbox inset="0,0,0,0">
                  <w:txbxContent>
                    <w:p>
                      <w:pPr>
                        <w:spacing w:line="159" w:lineRule="exact" w:before="0"/>
                        <w:ind w:left="80" w:right="0" w:hanging="81"/>
                        <w:jc w:val="left"/>
                        <w:rPr>
                          <w:rFonts w:ascii="宋体" w:hAnsi="宋体" w:cs="宋体" w:eastAsia="宋体" w:hint="default"/>
                          <w:sz w:val="16"/>
                          <w:szCs w:val="16"/>
                        </w:rPr>
                      </w:pPr>
                      <w:r>
                        <w:rPr>
                          <w:rFonts w:ascii="宋体" w:hAnsi="宋体" w:cs="宋体" w:eastAsia="宋体" w:hint="default"/>
                          <w:w w:val="95"/>
                          <w:sz w:val="16"/>
                          <w:szCs w:val="16"/>
                        </w:rPr>
                        <w:t>资本化开</w:t>
                      </w:r>
                      <w:r>
                        <w:rPr>
                          <w:rFonts w:ascii="宋体" w:hAnsi="宋体" w:cs="宋体" w:eastAsia="宋体" w:hint="default"/>
                          <w:sz w:val="16"/>
                          <w:szCs w:val="16"/>
                        </w:rPr>
                      </w:r>
                    </w:p>
                    <w:p>
                      <w:pPr>
                        <w:spacing w:line="208" w:lineRule="exact" w:before="0"/>
                        <w:ind w:left="80" w:right="0" w:firstLine="0"/>
                        <w:jc w:val="left"/>
                        <w:rPr>
                          <w:rFonts w:ascii="宋体" w:hAnsi="宋体" w:cs="宋体" w:eastAsia="宋体" w:hint="default"/>
                          <w:sz w:val="16"/>
                          <w:szCs w:val="16"/>
                        </w:rPr>
                      </w:pPr>
                      <w:r>
                        <w:rPr>
                          <w:rFonts w:ascii="宋体" w:hAnsi="宋体" w:cs="宋体" w:eastAsia="宋体" w:hint="default"/>
                          <w:sz w:val="16"/>
                          <w:szCs w:val="16"/>
                        </w:rPr>
                        <w:t>始时点</w:t>
                      </w:r>
                    </w:p>
                  </w:txbxContent>
                </v:textbox>
                <w10:wrap type="none"/>
              </v:shape>
              <v:shape style="position:absolute;left:13274;top:-4909;width:111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资本化具体依据</w:t>
                      </w:r>
                      <w:r>
                        <w:rPr>
                          <w:rFonts w:ascii="宋体" w:hAnsi="宋体" w:cs="宋体" w:eastAsia="宋体" w:hint="default"/>
                          <w:sz w:val="16"/>
                          <w:szCs w:val="16"/>
                        </w:rPr>
                      </w:r>
                    </w:p>
                  </w:txbxContent>
                </v:textbox>
                <w10:wrap type="none"/>
              </v:shape>
              <v:shape style="position:absolute;left:14798;top:-5012;width:772;height:376" type="#_x0000_t202" filled="false" stroked="false">
                <v:textbox inset="0,0,0,0">
                  <w:txbxContent>
                    <w:p>
                      <w:pPr>
                        <w:spacing w:line="159" w:lineRule="exact" w:before="0"/>
                        <w:ind w:left="0" w:right="0" w:firstLine="56"/>
                        <w:jc w:val="left"/>
                        <w:rPr>
                          <w:rFonts w:ascii="宋体" w:hAnsi="宋体" w:cs="宋体" w:eastAsia="宋体" w:hint="default"/>
                          <w:sz w:val="16"/>
                          <w:szCs w:val="16"/>
                        </w:rPr>
                      </w:pPr>
                      <w:r>
                        <w:rPr>
                          <w:rFonts w:ascii="宋体" w:hAnsi="宋体" w:cs="宋体" w:eastAsia="宋体" w:hint="default"/>
                          <w:sz w:val="16"/>
                          <w:szCs w:val="16"/>
                        </w:rPr>
                        <w:t>期末研发</w:t>
                      </w:r>
                    </w:p>
                    <w:p>
                      <w:pPr>
                        <w:spacing w:line="217"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进度（</w:t>
                      </w:r>
                      <w:r>
                        <w:rPr>
                          <w:rFonts w:ascii="Times New Roman" w:hAnsi="Times New Roman" w:cs="Times New Roman" w:eastAsia="Times New Roman" w:hint="default"/>
                          <w:w w:val="95"/>
                          <w:sz w:val="16"/>
                          <w:szCs w:val="16"/>
                        </w:rPr>
                        <w:t>%</w:t>
                      </w:r>
                      <w:r>
                        <w:rPr>
                          <w:rFonts w:ascii="宋体" w:hAnsi="宋体" w:cs="宋体" w:eastAsia="宋体" w:hint="default"/>
                          <w:w w:val="95"/>
                          <w:sz w:val="16"/>
                          <w:szCs w:val="16"/>
                        </w:rPr>
                        <w:t>）</w:t>
                      </w:r>
                      <w:r>
                        <w:rPr>
                          <w:rFonts w:ascii="宋体" w:hAnsi="宋体" w:cs="宋体" w:eastAsia="宋体" w:hint="default"/>
                          <w:sz w:val="16"/>
                          <w:szCs w:val="16"/>
                        </w:rPr>
                      </w:r>
                    </w:p>
                  </w:txbxContent>
                </v:textbox>
                <w10:wrap type="none"/>
              </v:shape>
              <v:shape style="position:absolute;left:2160;top:-4274;width:1206;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spacing w:val="12"/>
                          <w:sz w:val="16"/>
                          <w:szCs w:val="16"/>
                        </w:rPr>
                        <w:t>自主可控安全计</w:t>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算机产业化项目</w:t>
                      </w:r>
                    </w:p>
                  </w:txbxContent>
                </v:textbox>
                <w10:wrap type="none"/>
              </v:shape>
              <v:shape style="position:absolute;left:13088;top:-4274;width:1500;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spacing w:val="6"/>
                          <w:sz w:val="16"/>
                          <w:szCs w:val="16"/>
                        </w:rPr>
                        <w:t>自主可控安全计算机</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产业化项目立项报告</w:t>
                      </w:r>
                    </w:p>
                  </w:txbxContent>
                </v:textbox>
                <w10:wrap type="none"/>
              </v:shape>
              <v:shape style="position:absolute;left:15192;top:-4158;width:36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z w:val="16"/>
                        </w:rPr>
                        <w:t>91.00</w:t>
                      </w:r>
                    </w:p>
                  </w:txbxContent>
                </v:textbox>
                <w10:wrap type="none"/>
              </v:shape>
              <v:shape style="position:absolute;left:2160;top:-3714;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军贸科研</w:t>
                      </w:r>
                      <w:r>
                        <w:rPr>
                          <w:rFonts w:ascii="宋体" w:hAnsi="宋体" w:cs="宋体" w:eastAsia="宋体" w:hint="default"/>
                          <w:sz w:val="16"/>
                          <w:szCs w:val="16"/>
                        </w:rPr>
                      </w:r>
                    </w:p>
                  </w:txbxContent>
                </v:textbox>
                <w10:wrap type="none"/>
              </v:shape>
              <v:shape style="position:absolute;left:13088;top:-3714;width:14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国防科工局验收文件</w:t>
                      </w:r>
                      <w:r>
                        <w:rPr>
                          <w:rFonts w:ascii="宋体" w:hAnsi="宋体" w:cs="宋体" w:eastAsia="宋体" w:hint="default"/>
                          <w:sz w:val="16"/>
                          <w:szCs w:val="16"/>
                        </w:rPr>
                      </w:r>
                    </w:p>
                  </w:txbxContent>
                </v:textbox>
                <w10:wrap type="none"/>
              </v:shape>
              <v:shape style="position:absolute;left:15192;top:-3700;width:36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z w:val="16"/>
                        </w:rPr>
                        <w:t>70.00</w:t>
                      </w:r>
                    </w:p>
                  </w:txbxContent>
                </v:textbox>
                <w10:wrap type="none"/>
              </v:shape>
              <v:shape style="position:absolute;left:2160;top:-3360;width:1206;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spacing w:val="12"/>
                          <w:sz w:val="16"/>
                          <w:szCs w:val="16"/>
                        </w:rPr>
                        <w:t>光纤水下探测产</w:t>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业化项目</w:t>
                      </w:r>
                    </w:p>
                  </w:txbxContent>
                </v:textbox>
                <w10:wrap type="none"/>
              </v:shape>
              <v:shape style="position:absolute;left:13088;top:-3360;width:1500;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spacing w:val="6"/>
                          <w:sz w:val="16"/>
                          <w:szCs w:val="16"/>
                        </w:rPr>
                        <w:t>光纤水下探测产业化</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项目立项报告</w:t>
                      </w:r>
                    </w:p>
                  </w:txbxContent>
                </v:textbox>
                <w10:wrap type="none"/>
              </v:shape>
              <v:shape style="position:absolute;left:15192;top:-3243;width:36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z w:val="16"/>
                        </w:rPr>
                        <w:t>95.00</w:t>
                      </w:r>
                    </w:p>
                  </w:txbxContent>
                </v:textbox>
                <w10:wrap type="none"/>
              </v:shape>
              <v:shape style="position:absolute;left:2160;top:-2799;width:1206;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spacing w:val="12"/>
                          <w:sz w:val="16"/>
                          <w:szCs w:val="16"/>
                        </w:rPr>
                        <w:t>智慧医疗云数字</w:t>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化病区服务系统</w:t>
                      </w:r>
                    </w:p>
                  </w:txbxContent>
                </v:textbox>
                <w10:wrap type="none"/>
              </v:shape>
              <v:shape style="position:absolute;left:13088;top:-2799;width:1500;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spacing w:val="6"/>
                          <w:sz w:val="16"/>
                          <w:szCs w:val="16"/>
                        </w:rPr>
                        <w:t>智慧医疗云数字化病</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区服务系统立项报告</w:t>
                      </w:r>
                    </w:p>
                  </w:txbxContent>
                </v:textbox>
                <w10:wrap type="none"/>
              </v:shape>
              <v:shape style="position:absolute;left:15192;top:-2682;width:36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z w:val="16"/>
                        </w:rPr>
                        <w:t>30.00</w:t>
                      </w:r>
                    </w:p>
                  </w:txbxContent>
                </v:textbox>
                <w10:wrap type="none"/>
              </v:shape>
              <v:shape style="position:absolute;left:2160;top:-2135;width:111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智能自助售货机</w:t>
                      </w:r>
                      <w:r>
                        <w:rPr>
                          <w:rFonts w:ascii="宋体" w:hAnsi="宋体" w:cs="宋体" w:eastAsia="宋体" w:hint="default"/>
                          <w:sz w:val="16"/>
                          <w:szCs w:val="16"/>
                        </w:rPr>
                      </w:r>
                    </w:p>
                  </w:txbxContent>
                </v:textbox>
                <w10:wrap type="none"/>
              </v:shape>
              <v:shape style="position:absolute;left:13088;top:-2238;width:1500;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spacing w:val="6"/>
                          <w:sz w:val="16"/>
                          <w:szCs w:val="16"/>
                        </w:rPr>
                        <w:t>智能自助售货机立项</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报告</w:t>
                      </w:r>
                    </w:p>
                  </w:txbxContent>
                </v:textbox>
                <w10:wrap type="none"/>
              </v:shape>
              <v:shape style="position:absolute;left:15192;top:-2121;width:36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z w:val="16"/>
                        </w:rPr>
                        <w:t>70.00</w:t>
                      </w:r>
                    </w:p>
                  </w:txbxContent>
                </v:textbox>
                <w10:wrap type="none"/>
              </v:shape>
              <v:shape style="position:absolute;left:2160;top:-1677;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信息化建设</w:t>
                      </w:r>
                      <w:r>
                        <w:rPr>
                          <w:rFonts w:ascii="宋体" w:hAnsi="宋体" w:cs="宋体" w:eastAsia="宋体" w:hint="default"/>
                          <w:sz w:val="16"/>
                          <w:szCs w:val="16"/>
                        </w:rPr>
                      </w:r>
                    </w:p>
                  </w:txbxContent>
                </v:textbox>
                <w10:wrap type="none"/>
              </v:shape>
              <v:shape style="position:absolute;left:13088;top:-1677;width:14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国防科工局验收文件</w:t>
                      </w:r>
                      <w:r>
                        <w:rPr>
                          <w:rFonts w:ascii="宋体" w:hAnsi="宋体" w:cs="宋体" w:eastAsia="宋体" w:hint="default"/>
                          <w:sz w:val="16"/>
                          <w:szCs w:val="16"/>
                        </w:rPr>
                      </w:r>
                    </w:p>
                  </w:txbxContent>
                </v:textbox>
                <w10:wrap type="none"/>
              </v:shape>
              <v:shape style="position:absolute;left:15192;top:-1664;width:36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z w:val="16"/>
                        </w:rPr>
                        <w:t>80.00</w:t>
                      </w:r>
                    </w:p>
                  </w:txbxContent>
                </v:textbox>
                <w10:wrap type="none"/>
              </v:shape>
              <v:shape style="position:absolute;left:2160;top:-1323;width:1206;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spacing w:val="12"/>
                          <w:sz w:val="16"/>
                          <w:szCs w:val="16"/>
                        </w:rPr>
                        <w:t>云自助门诊服务</w:t>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系统项目</w:t>
                      </w:r>
                    </w:p>
                  </w:txbxContent>
                </v:textbox>
                <w10:wrap type="none"/>
              </v:shape>
              <v:shape style="position:absolute;left:13088;top:-1323;width:1500;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spacing w:val="6"/>
                          <w:sz w:val="16"/>
                          <w:szCs w:val="16"/>
                        </w:rPr>
                        <w:t>云自助门诊服务系统</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项目立项报告</w:t>
                      </w:r>
                    </w:p>
                  </w:txbxContent>
                </v:textbox>
                <w10:wrap type="none"/>
              </v:shape>
              <v:shape style="position:absolute;left:15111;top:-1207;width:4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z w:val="16"/>
                        </w:rPr>
                        <w:t>100.00</w:t>
                      </w:r>
                    </w:p>
                  </w:txbxContent>
                </v:textbox>
                <w10:wrap type="none"/>
              </v:shape>
              <v:shape style="position:absolute;left:2160;top:-763;width:1206;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spacing w:val="12"/>
                          <w:sz w:val="16"/>
                          <w:szCs w:val="16"/>
                        </w:rPr>
                        <w:t>智慧医疗云运维</w:t>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系统</w:t>
                      </w:r>
                    </w:p>
                  </w:txbxContent>
                </v:textbox>
                <w10:wrap type="none"/>
              </v:shape>
              <v:shape style="position:absolute;left:5315;top:-645;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4,015,043.76</w:t>
                      </w:r>
                      <w:r>
                        <w:rPr>
                          <w:rFonts w:ascii="Times New Roman"/>
                          <w:sz w:val="16"/>
                        </w:rPr>
                      </w:r>
                    </w:p>
                  </w:txbxContent>
                </v:textbox>
                <w10:wrap type="none"/>
              </v:shape>
              <v:shape style="position:absolute;left:7338;top:-645;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4,015,043.76</w:t>
                      </w:r>
                      <w:r>
                        <w:rPr>
                          <w:rFonts w:ascii="Times New Roman"/>
                          <w:sz w:val="16"/>
                        </w:rPr>
                      </w:r>
                    </w:p>
                  </w:txbxContent>
                </v:textbox>
                <w10:wrap type="none"/>
              </v:shape>
              <v:shape style="position:absolute;left:12234;top:-659;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开发阶段</w:t>
                      </w:r>
                      <w:r>
                        <w:rPr>
                          <w:rFonts w:ascii="宋体" w:hAnsi="宋体" w:cs="宋体" w:eastAsia="宋体" w:hint="default"/>
                          <w:sz w:val="16"/>
                          <w:szCs w:val="16"/>
                        </w:rPr>
                      </w:r>
                    </w:p>
                  </w:txbxContent>
                </v:textbox>
                <w10:wrap type="none"/>
              </v:shape>
              <v:shape style="position:absolute;left:13088;top:-763;width:1500;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spacing w:val="6"/>
                          <w:sz w:val="16"/>
                          <w:szCs w:val="16"/>
                        </w:rPr>
                        <w:t>智慧医疗云运维系统</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立项报告</w:t>
                      </w:r>
                    </w:p>
                  </w:txbxContent>
                </v:textbox>
                <w10:wrap type="none"/>
              </v:shape>
              <v:shape style="position:absolute;left:15111;top:-645;width:4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z w:val="16"/>
                        </w:rPr>
                        <w:t>100.00</w:t>
                      </w:r>
                    </w:p>
                  </w:txbxContent>
                </v:textbox>
                <w10:wrap type="none"/>
              </v:shape>
              <v:shape style="position:absolute;left:2603;top:-201;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合计</w:t>
                      </w:r>
                      <w:r>
                        <w:rPr>
                          <w:rFonts w:ascii="宋体" w:hAnsi="宋体" w:cs="宋体" w:eastAsia="宋体" w:hint="default"/>
                          <w:sz w:val="16"/>
                          <w:szCs w:val="16"/>
                        </w:rPr>
                      </w:r>
                    </w:p>
                  </w:txbxContent>
                </v:textbox>
                <w10:wrap type="none"/>
              </v:shape>
              <v:shape style="position:absolute;left:3893;top:-188;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93,421,875.76</w:t>
                      </w:r>
                      <w:r>
                        <w:rPr>
                          <w:rFonts w:ascii="Times New Roman"/>
                          <w:sz w:val="16"/>
                        </w:rPr>
                      </w:r>
                    </w:p>
                  </w:txbxContent>
                </v:textbox>
                <w10:wrap type="none"/>
              </v:shape>
              <v:shape style="position:absolute;left:5155;top:-188;width:100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104,751,920.64</w:t>
                      </w:r>
                      <w:r>
                        <w:rPr>
                          <w:rFonts w:ascii="Times New Roman"/>
                          <w:sz w:val="16"/>
                        </w:rPr>
                      </w:r>
                    </w:p>
                  </w:txbxContent>
                </v:textbox>
                <w10:wrap type="none"/>
              </v:shape>
              <v:shape style="position:absolute;left:7257;top:-188;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75,151,801.99</w:t>
                      </w:r>
                      <w:r>
                        <w:rPr>
                          <w:rFonts w:ascii="Times New Roman"/>
                          <w:sz w:val="16"/>
                        </w:rPr>
                      </w:r>
                    </w:p>
                  </w:txbxContent>
                </v:textbox>
                <w10:wrap type="none"/>
              </v:shape>
              <v:shape style="position:absolute;left:8655;top:-188;width:7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383,890.68</w:t>
                      </w:r>
                      <w:r>
                        <w:rPr>
                          <w:rFonts w:ascii="Times New Roman"/>
                          <w:sz w:val="16"/>
                        </w:rPr>
                      </w:r>
                    </w:p>
                  </w:txbxContent>
                </v:textbox>
                <w10:wrap type="none"/>
              </v:shape>
              <v:shape style="position:absolute;left:9707;top:-188;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56,956,873.42</w:t>
                      </w:r>
                      <w:r>
                        <w:rPr>
                          <w:rFonts w:ascii="Times New Roman"/>
                          <w:sz w:val="16"/>
                        </w:rPr>
                      </w:r>
                    </w:p>
                  </w:txbxContent>
                </v:textbox>
                <w10:wrap type="none"/>
              </v:shape>
              <v:shape style="position:absolute;left:11015;top:-188;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65,681,230.31</w:t>
                      </w:r>
                      <w:r>
                        <w:rPr>
                          <w:rFonts w:ascii="Times New Roman"/>
                          <w:sz w:val="16"/>
                        </w:rPr>
                      </w:r>
                    </w:p>
                  </w:txbxContent>
                </v:textbox>
                <w10:wrap type="none"/>
              </v:shape>
            </v:group>
            <w10:wrap type="none"/>
          </v:group>
        </w:pict>
      </w:r>
      <w:r>
        <w:rPr/>
        <w:t>说明：本期减少中“其他”为转入固定资产金额</w:t>
      </w:r>
      <w:r>
        <w:rPr>
          <w:spacing w:val="-56"/>
        </w:rPr>
        <w:t> </w:t>
      </w:r>
      <w:r>
        <w:rPr>
          <w:rFonts w:ascii="Times New Roman" w:hAnsi="Times New Roman" w:cs="Times New Roman" w:eastAsia="Times New Roman" w:hint="default"/>
        </w:rPr>
        <w:t>56,947,629.87</w:t>
      </w:r>
      <w:r>
        <w:rPr>
          <w:rFonts w:ascii="Times New Roman" w:hAnsi="Times New Roman" w:cs="Times New Roman" w:eastAsia="Times New Roman" w:hint="default"/>
          <w:spacing w:val="-3"/>
        </w:rPr>
        <w:t> </w:t>
      </w:r>
      <w:r>
        <w:rPr/>
        <w:t>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4"/>
          <w:szCs w:val="14"/>
        </w:rPr>
      </w:pPr>
    </w:p>
    <w:p>
      <w:pPr>
        <w:spacing w:before="0"/>
        <w:ind w:left="6199" w:right="6461" w:firstLine="0"/>
        <w:jc w:val="center"/>
        <w:rPr>
          <w:rFonts w:ascii="宋体" w:hAnsi="宋体" w:cs="宋体" w:eastAsia="宋体" w:hint="default"/>
          <w:sz w:val="18"/>
          <w:szCs w:val="18"/>
        </w:rPr>
      </w:pPr>
      <w:r>
        <w:rPr>
          <w:rFonts w:ascii="宋体" w:hAnsi="宋体" w:cs="宋体" w:eastAsia="宋体" w:hint="default"/>
          <w:sz w:val="18"/>
          <w:szCs w:val="18"/>
        </w:rPr>
        <w:t>财务报表附注第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8"/>
          <w:szCs w:val="18"/>
        </w:rPr>
      </w:pPr>
    </w:p>
    <w:p>
      <w:pPr>
        <w:spacing w:line="371" w:lineRule="exact"/>
        <w:ind w:left="10484" w:right="0" w:firstLine="0"/>
        <w:rPr>
          <w:rFonts w:ascii="宋体" w:hAnsi="宋体" w:cs="宋体" w:eastAsia="宋体" w:hint="default"/>
          <w:sz w:val="20"/>
          <w:szCs w:val="20"/>
        </w:rPr>
      </w:pPr>
      <w:r>
        <w:rPr>
          <w:rFonts w:ascii="宋体" w:hAnsi="宋体" w:cs="宋体" w:eastAsia="宋体" w:hint="default"/>
          <w:position w:val="-6"/>
          <w:sz w:val="20"/>
          <w:szCs w:val="20"/>
        </w:rPr>
        <w:drawing>
          <wp:inline distT="0" distB="0" distL="0" distR="0">
            <wp:extent cx="524065" cy="236029"/>
            <wp:effectExtent l="0" t="0" r="0" b="0"/>
            <wp:docPr id="27" name="image1.jpeg" descr=""/>
            <wp:cNvGraphicFramePr>
              <a:graphicFrameLocks noChangeAspect="1"/>
            </wp:cNvGraphicFramePr>
            <a:graphic>
              <a:graphicData uri="http://schemas.openxmlformats.org/drawingml/2006/picture">
                <pic:pic>
                  <pic:nvPicPr>
                    <pic:cNvPr id="28" name="image1.jpeg"/>
                    <pic:cNvPicPr/>
                  </pic:nvPicPr>
                  <pic:blipFill>
                    <a:blip r:embed="rId79" cstate="print"/>
                    <a:stretch>
                      <a:fillRect/>
                    </a:stretch>
                  </pic:blipFill>
                  <pic:spPr>
                    <a:xfrm>
                      <a:off x="0" y="0"/>
                      <a:ext cx="524065" cy="236029"/>
                    </a:xfrm>
                    <a:prstGeom prst="rect">
                      <a:avLst/>
                    </a:prstGeom>
                  </pic:spPr>
                </pic:pic>
              </a:graphicData>
            </a:graphic>
          </wp:inline>
        </w:drawing>
      </w:r>
      <w:r>
        <w:rPr>
          <w:rFonts w:ascii="宋体" w:hAnsi="宋体" w:cs="宋体" w:eastAsia="宋体" w:hint="default"/>
          <w:position w:val="-6"/>
          <w:sz w:val="20"/>
          <w:szCs w:val="20"/>
        </w:rPr>
      </w:r>
    </w:p>
    <w:p>
      <w:pPr>
        <w:spacing w:after="0" w:line="371" w:lineRule="exact"/>
        <w:rPr>
          <w:rFonts w:ascii="宋体" w:hAnsi="宋体" w:cs="宋体" w:eastAsia="宋体" w:hint="default"/>
          <w:sz w:val="20"/>
          <w:szCs w:val="20"/>
        </w:rPr>
        <w:sectPr>
          <w:headerReference w:type="default" r:id="rId208"/>
          <w:footerReference w:type="default" r:id="rId209"/>
          <w:pgSz w:w="16840" w:h="11910" w:orient="landscape"/>
          <w:pgMar w:header="0" w:footer="0" w:top="1100" w:bottom="0" w:left="1300" w:right="1040"/>
        </w:sectPr>
      </w:pPr>
    </w:p>
    <w:p>
      <w:pPr>
        <w:spacing w:line="240" w:lineRule="auto" w:before="8"/>
        <w:rPr>
          <w:rFonts w:ascii="宋体" w:hAnsi="宋体" w:cs="宋体" w:eastAsia="宋体" w:hint="default"/>
          <w:sz w:val="13"/>
          <w:szCs w:val="13"/>
        </w:rPr>
      </w:pPr>
    </w:p>
    <w:p>
      <w:pPr>
        <w:pStyle w:val="Heading5"/>
        <w:spacing w:line="240" w:lineRule="auto"/>
        <w:ind w:right="3681"/>
        <w:jc w:val="left"/>
        <w:rPr>
          <w:b w:val="0"/>
          <w:bCs w:val="0"/>
        </w:rPr>
      </w:pPr>
      <w:r>
        <w:rPr>
          <w:rFonts w:ascii="Times New Roman" w:hAnsi="Times New Roman" w:cs="Times New Roman" w:eastAsia="Times New Roman" w:hint="default"/>
        </w:rPr>
        <w:t>(</w:t>
      </w:r>
      <w:r>
        <w:rPr/>
        <w:t>十六</w:t>
      </w:r>
      <w:r>
        <w:rPr>
          <w:rFonts w:ascii="Times New Roman" w:hAnsi="Times New Roman" w:cs="Times New Roman" w:eastAsia="Times New Roman" w:hint="default"/>
        </w:rPr>
        <w:t>) </w:t>
      </w:r>
      <w:r>
        <w:rPr>
          <w:rFonts w:ascii="Times New Roman" w:hAnsi="Times New Roman" w:cs="Times New Roman" w:eastAsia="Times New Roman" w:hint="default"/>
          <w:spacing w:val="46"/>
        </w:rPr>
        <w:t> </w:t>
      </w:r>
      <w:r>
        <w:rPr/>
        <w:t>商誉</w:t>
      </w:r>
      <w:r>
        <w:rPr>
          <w:b w:val="0"/>
          <w:bCs w:val="0"/>
        </w:rPr>
      </w:r>
    </w:p>
    <w:p>
      <w:pPr>
        <w:spacing w:line="1578" w:lineRule="exact"/>
        <w:ind w:left="720" w:right="0" w:firstLine="0"/>
        <w:rPr>
          <w:rFonts w:ascii="宋体" w:hAnsi="宋体" w:cs="宋体" w:eastAsia="宋体" w:hint="default"/>
          <w:sz w:val="20"/>
          <w:szCs w:val="20"/>
        </w:rPr>
      </w:pPr>
      <w:r>
        <w:rPr>
          <w:rFonts w:ascii="宋体" w:hAnsi="宋体" w:cs="宋体" w:eastAsia="宋体" w:hint="default"/>
          <w:position w:val="-31"/>
          <w:sz w:val="20"/>
          <w:szCs w:val="20"/>
        </w:rPr>
        <w:pict>
          <v:group style="width:411.65pt;height:78.9pt;mso-position-horizontal-relative:char;mso-position-vertical-relative:line" coordorigin="0,0" coordsize="8233,1578">
            <v:group style="position:absolute;left:29;top:15;width:1660;height:2" coordorigin="29,15" coordsize="1660,2">
              <v:shape style="position:absolute;left:29;top:15;width:1660;height:2" coordorigin="29,15" coordsize="1660,0" path="m29,15l1689,15e" filled="false" stroked="true" strokeweight="1.5pt" strokecolor="#000000">
                <v:path arrowok="t"/>
              </v:shape>
              <v:shape style="position:absolute;left:1689;top:30;width:10;height:28" type="#_x0000_t75" stroked="false">
                <v:imagedata r:id="rId39" o:title=""/>
              </v:shape>
            </v:group>
            <v:group style="position:absolute;left:1689;top:15;width:1272;height:2" coordorigin="1689,15" coordsize="1272,2">
              <v:shape style="position:absolute;left:1689;top:15;width:1272;height:2" coordorigin="1689,15" coordsize="1272,0" path="m1689,15l2961,15e" filled="false" stroked="true" strokeweight="1.5pt" strokecolor="#000000">
                <v:path arrowok="t"/>
              </v:shape>
              <v:shape style="position:absolute;left:2961;top:30;width:10;height:28" type="#_x0000_t75" stroked="false">
                <v:imagedata r:id="rId39" o:title=""/>
              </v:shape>
            </v:group>
            <v:group style="position:absolute;left:2961;top:15;width:2349;height:2" coordorigin="2961,15" coordsize="2349,2">
              <v:shape style="position:absolute;left:2961;top:15;width:2349;height:2" coordorigin="2961,15" coordsize="2349,0" path="m2961,15l5309,15e" filled="false" stroked="true" strokeweight="1.5pt" strokecolor="#000000">
                <v:path arrowok="t"/>
              </v:shape>
              <v:shape style="position:absolute;left:5309;top:30;width:10;height:28" type="#_x0000_t75" stroked="false">
                <v:imagedata r:id="rId39" o:title=""/>
              </v:shape>
            </v:group>
            <v:group style="position:absolute;left:5309;top:15;width:1768;height:2" coordorigin="5309,15" coordsize="1768,2">
              <v:shape style="position:absolute;left:5309;top:15;width:1768;height:2" coordorigin="5309,15" coordsize="1768,0" path="m5309,15l7077,15e" filled="false" stroked="true" strokeweight="1.5pt" strokecolor="#000000">
                <v:path arrowok="t"/>
              </v:shape>
              <v:shape style="position:absolute;left:7077;top:30;width:10;height:28" type="#_x0000_t75" stroked="false">
                <v:imagedata r:id="rId39" o:title=""/>
              </v:shape>
            </v:group>
            <v:group style="position:absolute;left:7077;top:15;width:1140;height:2" coordorigin="7077,15" coordsize="1140,2">
              <v:shape style="position:absolute;left:7077;top:15;width:1140;height:2" coordorigin="7077,15" coordsize="1140,0" path="m7077,15l8217,15e" filled="false" stroked="true" strokeweight="1.5pt" strokecolor="#000000">
                <v:path arrowok="t"/>
              </v:shape>
              <v:shape style="position:absolute;left:1670;top:38;width:5436;height:824" type="#_x0000_t75" stroked="false">
                <v:imagedata r:id="rId213" o:title=""/>
              </v:shape>
            </v:group>
            <v:group style="position:absolute;left:15;top:1563;width:1674;height:2" coordorigin="15,1563" coordsize="1674,2">
              <v:shape style="position:absolute;left:15;top:1563;width:1674;height:2" coordorigin="15,1563" coordsize="1674,0" path="m15,1563l1689,1563e" filled="false" stroked="true" strokeweight="1.5pt" strokecolor="#000000">
                <v:path arrowok="t"/>
              </v:shape>
            </v:group>
            <v:group style="position:absolute;left:1689;top:1563;width:1272;height:2" coordorigin="1689,1563" coordsize="1272,2">
              <v:shape style="position:absolute;left:1689;top:1563;width:1272;height:2" coordorigin="1689,1563" coordsize="1272,0" path="m1689,1563l2961,1563e" filled="false" stroked="true" strokeweight="1.5pt" strokecolor="#000000">
                <v:path arrowok="t"/>
              </v:shape>
            </v:group>
            <v:group style="position:absolute;left:2961;top:1563;width:1298;height:2" coordorigin="2961,1563" coordsize="1298,2">
              <v:shape style="position:absolute;left:2961;top:1563;width:1298;height:2" coordorigin="2961,1563" coordsize="1298,0" path="m2961,1563l4258,1563e" filled="false" stroked="true" strokeweight="1.5pt" strokecolor="#000000">
                <v:path arrowok="t"/>
              </v:shape>
            </v:group>
            <v:group style="position:absolute;left:4258;top:1563;width:1052;height:2" coordorigin="4258,1563" coordsize="1052,2">
              <v:shape style="position:absolute;left:4258;top:1563;width:1052;height:2" coordorigin="4258,1563" coordsize="1052,0" path="m4258,1563l5309,1563e" filled="false" stroked="true" strokeweight="1.5pt" strokecolor="#000000">
                <v:path arrowok="t"/>
              </v:shape>
            </v:group>
            <v:group style="position:absolute;left:5309;top:1563;width:923;height:2" coordorigin="5309,1563" coordsize="923,2">
              <v:shape style="position:absolute;left:5309;top:1563;width:923;height:2" coordorigin="5309,1563" coordsize="923,0" path="m5309,1563l6232,1563e" filled="false" stroked="true" strokeweight="1.5pt" strokecolor="#000000">
                <v:path arrowok="t"/>
              </v:shape>
            </v:group>
            <v:group style="position:absolute;left:6232;top:1563;width:845;height:2" coordorigin="6232,1563" coordsize="845,2">
              <v:shape style="position:absolute;left:6232;top:1563;width:845;height:2" coordorigin="6232,1563" coordsize="845,0" path="m6232,1563l7077,1563e" filled="false" stroked="true" strokeweight="1.5pt" strokecolor="#000000">
                <v:path arrowok="t"/>
              </v:shape>
              <v:shape style="position:absolute;left:17;top:837;width:8216;height:711" type="#_x0000_t75" stroked="false">
                <v:imagedata r:id="rId214" o:title=""/>
              </v:shape>
            </v:group>
            <v:group style="position:absolute;left:7077;top:1563;width:1140;height:2" coordorigin="7077,1563" coordsize="1140,2">
              <v:shape style="position:absolute;left:7077;top:1563;width:1140;height:2" coordorigin="7077,1563" coordsize="1140,0" path="m7077,1563l8217,1563e" filled="false" stroked="true" strokeweight="1.5pt" strokecolor="#000000">
                <v:path arrowok="t"/>
              </v:shape>
              <v:shape style="position:absolute;left:3819;top:11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本期增加</w:t>
                      </w:r>
                      <w:r>
                        <w:rPr>
                          <w:rFonts w:ascii="宋体" w:hAnsi="宋体" w:cs="宋体" w:eastAsia="宋体" w:hint="default"/>
                          <w:sz w:val="16"/>
                          <w:szCs w:val="16"/>
                        </w:rPr>
                      </w:r>
                    </w:p>
                  </w:txbxContent>
                </v:textbox>
                <w10:wrap type="none"/>
              </v:shape>
              <v:shape style="position:absolute;left:5878;top:11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本期减少</w:t>
                      </w:r>
                      <w:r>
                        <w:rPr>
                          <w:rFonts w:ascii="宋体" w:hAnsi="宋体" w:cs="宋体" w:eastAsia="宋体" w:hint="default"/>
                          <w:sz w:val="16"/>
                          <w:szCs w:val="16"/>
                        </w:rPr>
                      </w:r>
                    </w:p>
                  </w:txbxContent>
                </v:textbox>
                <w10:wrap type="none"/>
              </v:shape>
              <v:shape style="position:absolute;left:141;top:255;width:1439;height:366" type="#_x0000_t202" filled="false" stroked="false">
                <v:textbox inset="0,0,0,0">
                  <w:txbxContent>
                    <w:p>
                      <w:pPr>
                        <w:spacing w:line="158" w:lineRule="exact" w:before="0"/>
                        <w:ind w:left="0" w:right="0" w:firstLine="0"/>
                        <w:jc w:val="center"/>
                        <w:rPr>
                          <w:rFonts w:ascii="宋体" w:hAnsi="宋体" w:cs="宋体" w:eastAsia="宋体" w:hint="default"/>
                          <w:sz w:val="16"/>
                          <w:szCs w:val="16"/>
                        </w:rPr>
                      </w:pPr>
                      <w:r>
                        <w:rPr>
                          <w:rFonts w:ascii="宋体" w:hAnsi="宋体" w:cs="宋体" w:eastAsia="宋体" w:hint="default"/>
                          <w:w w:val="95"/>
                          <w:sz w:val="16"/>
                          <w:szCs w:val="16"/>
                        </w:rPr>
                        <w:t>被投资单位名称或形</w:t>
                      </w:r>
                      <w:r>
                        <w:rPr>
                          <w:rFonts w:ascii="宋体" w:hAnsi="宋体" w:cs="宋体" w:eastAsia="宋体" w:hint="default"/>
                          <w:sz w:val="16"/>
                          <w:szCs w:val="16"/>
                        </w:rPr>
                      </w:r>
                    </w:p>
                    <w:p>
                      <w:pPr>
                        <w:spacing w:line="208" w:lineRule="exact" w:before="0"/>
                        <w:ind w:left="0" w:right="0" w:firstLine="0"/>
                        <w:jc w:val="center"/>
                        <w:rPr>
                          <w:rFonts w:ascii="宋体" w:hAnsi="宋体" w:cs="宋体" w:eastAsia="宋体" w:hint="default"/>
                          <w:sz w:val="16"/>
                          <w:szCs w:val="16"/>
                        </w:rPr>
                      </w:pPr>
                      <w:r>
                        <w:rPr>
                          <w:rFonts w:ascii="宋体" w:hAnsi="宋体" w:cs="宋体" w:eastAsia="宋体" w:hint="default"/>
                          <w:sz w:val="16"/>
                          <w:szCs w:val="16"/>
                        </w:rPr>
                        <w:t>成商誉的事项</w:t>
                      </w:r>
                    </w:p>
                  </w:txbxContent>
                </v:textbox>
                <w10:wrap type="none"/>
              </v:shape>
              <v:shape style="position:absolute;left:2008;top:35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年初余额</w:t>
                      </w:r>
                      <w:r>
                        <w:rPr>
                          <w:rFonts w:ascii="宋体" w:hAnsi="宋体" w:cs="宋体" w:eastAsia="宋体" w:hint="default"/>
                          <w:sz w:val="16"/>
                          <w:szCs w:val="16"/>
                        </w:rPr>
                      </w:r>
                    </w:p>
                  </w:txbxContent>
                </v:textbox>
                <w10:wrap type="none"/>
              </v:shape>
              <v:shape style="position:absolute;left:3293;top:429;width:639;height:368" type="#_x0000_t202" filled="false" stroked="false">
                <v:textbox inset="0,0,0,0">
                  <w:txbxContent>
                    <w:p>
                      <w:pPr>
                        <w:spacing w:line="159" w:lineRule="exact" w:before="0"/>
                        <w:ind w:left="80" w:right="0" w:hanging="81"/>
                        <w:jc w:val="left"/>
                        <w:rPr>
                          <w:rFonts w:ascii="宋体" w:hAnsi="宋体" w:cs="宋体" w:eastAsia="宋体" w:hint="default"/>
                          <w:sz w:val="16"/>
                          <w:szCs w:val="16"/>
                        </w:rPr>
                      </w:pPr>
                      <w:r>
                        <w:rPr>
                          <w:rFonts w:ascii="宋体" w:hAnsi="宋体" w:cs="宋体" w:eastAsia="宋体" w:hint="default"/>
                          <w:w w:val="95"/>
                          <w:sz w:val="16"/>
                          <w:szCs w:val="16"/>
                        </w:rPr>
                        <w:t>企业合并</w:t>
                      </w:r>
                      <w:r>
                        <w:rPr>
                          <w:rFonts w:ascii="宋体" w:hAnsi="宋体" w:cs="宋体" w:eastAsia="宋体" w:hint="default"/>
                          <w:sz w:val="16"/>
                          <w:szCs w:val="16"/>
                        </w:rPr>
                      </w:r>
                    </w:p>
                    <w:p>
                      <w:pPr>
                        <w:spacing w:line="208" w:lineRule="exact" w:before="0"/>
                        <w:ind w:left="80" w:right="0" w:firstLine="0"/>
                        <w:jc w:val="left"/>
                        <w:rPr>
                          <w:rFonts w:ascii="宋体" w:hAnsi="宋体" w:cs="宋体" w:eastAsia="宋体" w:hint="default"/>
                          <w:sz w:val="16"/>
                          <w:szCs w:val="16"/>
                        </w:rPr>
                      </w:pPr>
                      <w:r>
                        <w:rPr>
                          <w:rFonts w:ascii="宋体" w:hAnsi="宋体" w:cs="宋体" w:eastAsia="宋体" w:hint="default"/>
                          <w:sz w:val="16"/>
                          <w:szCs w:val="16"/>
                        </w:rPr>
                        <w:t>形成的</w:t>
                      </w:r>
                    </w:p>
                  </w:txbxContent>
                </v:textbox>
                <w10:wrap type="none"/>
              </v:shape>
              <v:shape style="position:absolute;left:7329;top:35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4468;top:532;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汇率变动</w:t>
                      </w:r>
                      <w:r>
                        <w:rPr>
                          <w:rFonts w:ascii="宋体" w:hAnsi="宋体" w:cs="宋体" w:eastAsia="宋体" w:hint="default"/>
                          <w:sz w:val="16"/>
                          <w:szCs w:val="16"/>
                        </w:rPr>
                      </w:r>
                    </w:p>
                  </w:txbxContent>
                </v:textbox>
                <w10:wrap type="none"/>
              </v:shape>
              <v:shape style="position:absolute;left:5615;top:532;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处置</w:t>
                      </w:r>
                      <w:r>
                        <w:rPr>
                          <w:rFonts w:ascii="宋体" w:hAnsi="宋体" w:cs="宋体" w:eastAsia="宋体" w:hint="default"/>
                          <w:sz w:val="16"/>
                          <w:szCs w:val="16"/>
                        </w:rPr>
                      </w:r>
                    </w:p>
                  </w:txbxContent>
                </v:textbox>
                <w10:wrap type="none"/>
              </v:shape>
              <v:shape style="position:absolute;left:6499;top:429;width:320;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汇率</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变动</w:t>
                      </w:r>
                      <w:r>
                        <w:rPr>
                          <w:rFonts w:ascii="宋体" w:hAnsi="宋体" w:cs="宋体" w:eastAsia="宋体" w:hint="default"/>
                          <w:sz w:val="16"/>
                          <w:szCs w:val="16"/>
                        </w:rPr>
                      </w:r>
                    </w:p>
                  </w:txbxContent>
                </v:textbox>
                <w10:wrap type="none"/>
              </v:shape>
              <v:shape style="position:absolute;left:137;top:94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柏怡国际</w:t>
                      </w:r>
                      <w:r>
                        <w:rPr>
                          <w:rFonts w:ascii="宋体" w:hAnsi="宋体" w:cs="宋体" w:eastAsia="宋体" w:hint="default"/>
                          <w:sz w:val="16"/>
                          <w:szCs w:val="16"/>
                        </w:rPr>
                      </w:r>
                    </w:p>
                  </w:txbxContent>
                </v:textbox>
                <w10:wrap type="none"/>
              </v:shape>
              <v:shape style="position:absolute;left:1936;top:961;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23,034,560.66</w:t>
                      </w:r>
                      <w:r>
                        <w:rPr>
                          <w:rFonts w:ascii="Times New Roman"/>
                          <w:sz w:val="16"/>
                        </w:rPr>
                      </w:r>
                    </w:p>
                  </w:txbxContent>
                </v:textbox>
                <w10:wrap type="none"/>
              </v:shape>
              <v:shape style="position:absolute;left:4372;top:961;width:836;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pacing w:val="-1"/>
                          <w:sz w:val="16"/>
                        </w:rPr>
                        <w:t>1,110,242.07</w:t>
                      </w:r>
                    </w:p>
                  </w:txbxContent>
                </v:textbox>
                <w10:wrap type="none"/>
              </v:shape>
              <v:shape style="position:absolute;left:7189;top:961;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24,144,802.73</w:t>
                      </w:r>
                      <w:r>
                        <w:rPr>
                          <w:rFonts w:ascii="Times New Roman"/>
                          <w:sz w:val="16"/>
                        </w:rPr>
                      </w:r>
                    </w:p>
                  </w:txbxContent>
                </v:textbox>
                <w10:wrap type="none"/>
              </v:shape>
              <v:shape style="position:absolute;left:701;top:1297;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合计</w:t>
                      </w:r>
                      <w:r>
                        <w:rPr>
                          <w:rFonts w:ascii="宋体" w:hAnsi="宋体" w:cs="宋体" w:eastAsia="宋体" w:hint="default"/>
                          <w:sz w:val="16"/>
                          <w:szCs w:val="16"/>
                        </w:rPr>
                      </w:r>
                    </w:p>
                  </w:txbxContent>
                </v:textbox>
                <w10:wrap type="none"/>
              </v:shape>
              <v:shape style="position:absolute;left:1936;top:1310;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23,034,560.66</w:t>
                      </w:r>
                      <w:r>
                        <w:rPr>
                          <w:rFonts w:ascii="Times New Roman"/>
                          <w:sz w:val="16"/>
                        </w:rPr>
                      </w:r>
                    </w:p>
                  </w:txbxContent>
                </v:textbox>
                <w10:wrap type="none"/>
              </v:shape>
              <v:shape style="position:absolute;left:4372;top:1310;width:836;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pacing w:val="-1"/>
                          <w:sz w:val="16"/>
                        </w:rPr>
                        <w:t>1,110,242.07</w:t>
                      </w:r>
                    </w:p>
                  </w:txbxContent>
                </v:textbox>
                <w10:wrap type="none"/>
              </v:shape>
              <v:shape style="position:absolute;left:7189;top:1310;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24,144,802.73</w:t>
                      </w:r>
                      <w:r>
                        <w:rPr>
                          <w:rFonts w:ascii="Times New Roman"/>
                          <w:sz w:val="16"/>
                        </w:rPr>
                      </w:r>
                    </w:p>
                  </w:txbxContent>
                </v:textbox>
                <w10:wrap type="none"/>
              </v:shape>
            </v:group>
          </v:group>
        </w:pict>
      </w:r>
      <w:r>
        <w:rPr>
          <w:rFonts w:ascii="宋体" w:hAnsi="宋体" w:cs="宋体" w:eastAsia="宋体" w:hint="default"/>
          <w:position w:val="-31"/>
          <w:sz w:val="20"/>
          <w:szCs w:val="20"/>
        </w:rPr>
      </w:r>
    </w:p>
    <w:p>
      <w:pPr>
        <w:spacing w:line="240" w:lineRule="auto" w:before="9"/>
        <w:rPr>
          <w:rFonts w:ascii="宋体" w:hAnsi="宋体" w:cs="宋体" w:eastAsia="宋体" w:hint="default"/>
          <w:b/>
          <w:bCs/>
          <w:sz w:val="5"/>
          <w:szCs w:val="5"/>
        </w:rPr>
      </w:pPr>
    </w:p>
    <w:p>
      <w:pPr>
        <w:pStyle w:val="BodyText"/>
        <w:spacing w:line="350" w:lineRule="auto" w:before="35"/>
        <w:ind w:left="851" w:right="1830"/>
        <w:jc w:val="both"/>
      </w:pPr>
      <w:r>
        <w:rPr/>
        <w:t>说明：本公司对合并成本大于合并中取得的被购买方可辨认净资产公允价值份额的 差额确认为商誉，定期对包含商誉的资产组组合进行减值测试，比较这些相关资产 组组合的账面价值（包括所分摊的商誉的账面价值部分）与其可收回金额，如相关 资产组或者资产组组合的可收回金额低于其账面价值的，将其确认为商誉的减值损 失。管理层根据以往经营情况及其对市场发展预期来预计未来毛利率，收入减少或 增长率根据行业预测及管理层预期进行估计，根据估计未来可收回金额超过其账面 价值，因此认为于</w:t>
      </w:r>
      <w:r>
        <w:rPr>
          <w:spacing w:val="-54"/>
        </w:rPr>
        <w:t> </w:t>
      </w:r>
      <w:r>
        <w:rPr>
          <w:rFonts w:ascii="Times New Roman" w:hAnsi="Times New Roman" w:cs="Times New Roman" w:eastAsia="Times New Roman" w:hint="default"/>
        </w:rPr>
        <w:t>2018</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t>日商誉未发生减值。</w:t>
      </w:r>
    </w:p>
    <w:p>
      <w:pPr>
        <w:spacing w:line="240" w:lineRule="auto" w:before="9"/>
        <w:rPr>
          <w:rFonts w:ascii="宋体" w:hAnsi="宋体" w:cs="宋体" w:eastAsia="宋体" w:hint="default"/>
          <w:sz w:val="30"/>
          <w:szCs w:val="30"/>
        </w:rPr>
      </w:pPr>
    </w:p>
    <w:p>
      <w:pPr>
        <w:pStyle w:val="Heading5"/>
        <w:spacing w:line="240" w:lineRule="auto" w:before="0"/>
        <w:ind w:right="3681"/>
        <w:jc w:val="left"/>
        <w:rPr>
          <w:b w:val="0"/>
          <w:bCs w:val="0"/>
        </w:rPr>
      </w:pPr>
      <w:r>
        <w:rPr/>
        <w:pict>
          <v:group style="position:absolute;margin-left:119.010002pt;margin-top:15.381728pt;width:412.05pt;height:96.4pt;mso-position-horizontal-relative:page;mso-position-vertical-relative:paragraph;z-index:-1386832" coordorigin="2380,308" coordsize="8241,1928">
            <v:group style="position:absolute;left:2410;top:323;width:1362;height:2" coordorigin="2410,323" coordsize="1362,2">
              <v:shape style="position:absolute;left:2410;top:323;width:1362;height:2" coordorigin="2410,323" coordsize="1362,0" path="m2410,323l3772,323e" filled="false" stroked="true" strokeweight="1.5pt" strokecolor="#000000">
                <v:path arrowok="t"/>
              </v:shape>
              <v:shape style="position:absolute;left:3772;top:338;width:10;height:28" type="#_x0000_t75" stroked="false">
                <v:imagedata r:id="rId32" o:title=""/>
              </v:shape>
            </v:group>
            <v:group style="position:absolute;left:3772;top:323;width:1366;height:2" coordorigin="3772,323" coordsize="1366,2">
              <v:shape style="position:absolute;left:3772;top:323;width:1366;height:2" coordorigin="3772,323" coordsize="1366,0" path="m3772,323l5137,323e" filled="false" stroked="true" strokeweight="1.5pt" strokecolor="#000000">
                <v:path arrowok="t"/>
              </v:shape>
              <v:shape style="position:absolute;left:5137;top:338;width:10;height:28" type="#_x0000_t75" stroked="false">
                <v:imagedata r:id="rId32" o:title=""/>
              </v:shape>
            </v:group>
            <v:group style="position:absolute;left:5137;top:323;width:1364;height:2" coordorigin="5137,323" coordsize="1364,2">
              <v:shape style="position:absolute;left:5137;top:323;width:1364;height:2" coordorigin="5137,323" coordsize="1364,0" path="m5137,323l6500,323e" filled="false" stroked="true" strokeweight="1.5pt" strokecolor="#000000">
                <v:path arrowok="t"/>
              </v:shape>
              <v:shape style="position:absolute;left:6500;top:338;width:10;height:28" type="#_x0000_t75" stroked="false">
                <v:imagedata r:id="rId32" o:title=""/>
              </v:shape>
            </v:group>
            <v:group style="position:absolute;left:6500;top:323;width:1365;height:2" coordorigin="6500,323" coordsize="1365,2">
              <v:shape style="position:absolute;left:6500;top:323;width:1365;height:2" coordorigin="6500,323" coordsize="1365,0" path="m6500,323l7865,323e" filled="false" stroked="true" strokeweight="1.5pt" strokecolor="#000000">
                <v:path arrowok="t"/>
              </v:shape>
              <v:shape style="position:absolute;left:7865;top:338;width:10;height:28" type="#_x0000_t75" stroked="false">
                <v:imagedata r:id="rId32" o:title=""/>
              </v:shape>
            </v:group>
            <v:group style="position:absolute;left:7865;top:323;width:1365;height:2" coordorigin="7865,323" coordsize="1365,2">
              <v:shape style="position:absolute;left:7865;top:323;width:1365;height:2" coordorigin="7865,323" coordsize="1365,0" path="m7865,323l9229,323e" filled="false" stroked="true" strokeweight="1.5pt" strokecolor="#000000">
                <v:path arrowok="t"/>
              </v:shape>
              <v:shape style="position:absolute;left:9229;top:338;width:10;height:28" type="#_x0000_t75" stroked="false">
                <v:imagedata r:id="rId32" o:title=""/>
              </v:shape>
            </v:group>
            <v:group style="position:absolute;left:9229;top:323;width:1368;height:2" coordorigin="9229,323" coordsize="1368,2">
              <v:shape style="position:absolute;left:9229;top:323;width:1368;height:2" coordorigin="9229,323" coordsize="1368,0" path="m9229,323l10597,323e" filled="false" stroked="true" strokeweight="1.5pt" strokecolor="#000000">
                <v:path arrowok="t"/>
              </v:shape>
              <v:shape style="position:absolute;left:3752;top:346;width:5506;height:349" type="#_x0000_t75" stroked="false">
                <v:imagedata r:id="rId215" o:title=""/>
              </v:shape>
            </v:group>
            <v:group style="position:absolute;left:2395;top:2220;width:1377;height:2" coordorigin="2395,2220" coordsize="1377,2">
              <v:shape style="position:absolute;left:2395;top:2220;width:1377;height:2" coordorigin="2395,2220" coordsize="1377,0" path="m2395,2220l3772,2220e" filled="false" stroked="true" strokeweight="1.5pt" strokecolor="#000000">
                <v:path arrowok="t"/>
              </v:shape>
            </v:group>
            <v:group style="position:absolute;left:3772;top:2220;width:1366;height:2" coordorigin="3772,2220" coordsize="1366,2">
              <v:shape style="position:absolute;left:3772;top:2220;width:1366;height:2" coordorigin="3772,2220" coordsize="1366,0" path="m3772,2220l5137,2220e" filled="false" stroked="true" strokeweight="1.5pt" strokecolor="#000000">
                <v:path arrowok="t"/>
              </v:shape>
            </v:group>
            <v:group style="position:absolute;left:5137;top:2220;width:1364;height:2" coordorigin="5137,2220" coordsize="1364,2">
              <v:shape style="position:absolute;left:5137;top:2220;width:1364;height:2" coordorigin="5137,2220" coordsize="1364,0" path="m5137,2220l6500,2220e" filled="false" stroked="true" strokeweight="1.5pt" strokecolor="#000000">
                <v:path arrowok="t"/>
              </v:shape>
            </v:group>
            <v:group style="position:absolute;left:6500;top:2220;width:1365;height:2" coordorigin="6500,2220" coordsize="1365,2">
              <v:shape style="position:absolute;left:6500;top:2220;width:1365;height:2" coordorigin="6500,2220" coordsize="1365,0" path="m6500,2220l7865,2220e" filled="false" stroked="true" strokeweight="1.5pt" strokecolor="#000000">
                <v:path arrowok="t"/>
              </v:shape>
            </v:group>
            <v:group style="position:absolute;left:7865;top:2220;width:1365;height:2" coordorigin="7865,2220" coordsize="1365,2">
              <v:shape style="position:absolute;left:7865;top:2220;width:1365;height:2" coordorigin="7865,2220" coordsize="1365,0" path="m7865,2220l9229,2220e" filled="false" stroked="true" strokeweight="1.5pt" strokecolor="#000000">
                <v:path arrowok="t"/>
              </v:shape>
              <v:shape style="position:absolute;left:2390;top:657;width:8231;height:1548" type="#_x0000_t75" stroked="false">
                <v:imagedata r:id="rId216" o:title=""/>
              </v:shape>
            </v:group>
            <v:group style="position:absolute;left:9229;top:2220;width:1368;height:2" coordorigin="9229,2220" coordsize="1368,2">
              <v:shape style="position:absolute;left:9229;top:2220;width:1368;height:2" coordorigin="9229,2220" coordsize="1368,0" path="m9229,2220l10597,2220e" filled="false" stroked="true" strokeweight="1.5pt" strokecolor="#000000">
                <v:path arrowok="t"/>
              </v:shape>
              <v:shape style="position:absolute;left:2518;top:426;width:1119;height:471" type="#_x0000_t202" filled="false" stroked="false">
                <v:textbox inset="0,0,0,0">
                  <w:txbxContent>
                    <w:p>
                      <w:pPr>
                        <w:spacing w:line="160" w:lineRule="exact" w:before="0"/>
                        <w:ind w:left="0" w:right="0" w:firstLine="0"/>
                        <w:jc w:val="center"/>
                        <w:rPr>
                          <w:rFonts w:ascii="宋体" w:hAnsi="宋体" w:cs="宋体" w:eastAsia="宋体" w:hint="default"/>
                          <w:sz w:val="16"/>
                          <w:szCs w:val="16"/>
                        </w:rPr>
                      </w:pPr>
                      <w:r>
                        <w:rPr>
                          <w:rFonts w:ascii="宋体" w:hAnsi="宋体" w:cs="宋体" w:eastAsia="宋体" w:hint="default"/>
                          <w:sz w:val="16"/>
                          <w:szCs w:val="16"/>
                        </w:rPr>
                        <w:t>项目</w:t>
                      </w:r>
                    </w:p>
                    <w:p>
                      <w:pPr>
                        <w:spacing w:before="101"/>
                        <w:ind w:left="0" w:right="0" w:firstLine="0"/>
                        <w:jc w:val="center"/>
                        <w:rPr>
                          <w:rFonts w:ascii="宋体" w:hAnsi="宋体" w:cs="宋体" w:eastAsia="宋体" w:hint="default"/>
                          <w:sz w:val="16"/>
                          <w:szCs w:val="16"/>
                        </w:rPr>
                      </w:pPr>
                      <w:r>
                        <w:rPr>
                          <w:rFonts w:ascii="宋体" w:hAnsi="宋体" w:cs="宋体" w:eastAsia="宋体" w:hint="default"/>
                          <w:w w:val="95"/>
                          <w:sz w:val="16"/>
                          <w:szCs w:val="16"/>
                        </w:rPr>
                        <w:t>固定资产改良支</w:t>
                      </w:r>
                      <w:r>
                        <w:rPr>
                          <w:rFonts w:ascii="宋体" w:hAnsi="宋体" w:cs="宋体" w:eastAsia="宋体" w:hint="default"/>
                          <w:sz w:val="16"/>
                          <w:szCs w:val="16"/>
                        </w:rPr>
                      </w:r>
                    </w:p>
                  </w:txbxContent>
                </v:textbox>
                <w10:wrap type="none"/>
              </v:shape>
              <v:shape style="position:absolute;left:4139;top:426;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年初余额</w:t>
                      </w:r>
                      <w:r>
                        <w:rPr>
                          <w:rFonts w:ascii="宋体" w:hAnsi="宋体" w:cs="宋体" w:eastAsia="宋体" w:hint="default"/>
                          <w:sz w:val="16"/>
                          <w:szCs w:val="16"/>
                        </w:rPr>
                      </w:r>
                    </w:p>
                  </w:txbxContent>
                </v:textbox>
                <w10:wrap type="none"/>
              </v:shape>
              <v:shape style="position:absolute;left:5342;top:426;width:95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本期增加金额</w:t>
                      </w:r>
                      <w:r>
                        <w:rPr>
                          <w:rFonts w:ascii="宋体" w:hAnsi="宋体" w:cs="宋体" w:eastAsia="宋体" w:hint="default"/>
                          <w:sz w:val="16"/>
                          <w:szCs w:val="16"/>
                        </w:rPr>
                      </w:r>
                    </w:p>
                  </w:txbxContent>
                </v:textbox>
                <w10:wrap type="none"/>
              </v:shape>
              <v:shape style="position:absolute;left:6707;top:426;width:95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本期摊销金额</w:t>
                      </w:r>
                      <w:r>
                        <w:rPr>
                          <w:rFonts w:ascii="宋体" w:hAnsi="宋体" w:cs="宋体" w:eastAsia="宋体" w:hint="default"/>
                          <w:sz w:val="16"/>
                          <w:szCs w:val="16"/>
                        </w:rPr>
                      </w:r>
                    </w:p>
                  </w:txbxContent>
                </v:textbox>
                <w10:wrap type="none"/>
              </v:shape>
              <v:shape style="position:absolute;left:8071;top:426;width:95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其他减少金额</w:t>
                      </w:r>
                      <w:r>
                        <w:rPr>
                          <w:rFonts w:ascii="宋体" w:hAnsi="宋体" w:cs="宋体" w:eastAsia="宋体" w:hint="default"/>
                          <w:sz w:val="16"/>
                          <w:szCs w:val="16"/>
                        </w:rPr>
                      </w:r>
                    </w:p>
                  </w:txbxContent>
                </v:textbox>
                <w10:wrap type="none"/>
              </v:shape>
              <v:shape style="position:absolute;left:9595;top:426;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4193;top:855;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8,336,823.63</w:t>
                      </w:r>
                      <w:r>
                        <w:rPr>
                          <w:rFonts w:ascii="Times New Roman"/>
                          <w:sz w:val="16"/>
                        </w:rPr>
                      </w:r>
                    </w:p>
                  </w:txbxContent>
                </v:textbox>
                <w10:wrap type="none"/>
              </v:shape>
              <v:shape style="position:absolute;left:5557;top:855;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1,901,530.08</w:t>
                      </w:r>
                      <w:r>
                        <w:rPr>
                          <w:rFonts w:ascii="Times New Roman"/>
                          <w:sz w:val="16"/>
                        </w:rPr>
                      </w:r>
                    </w:p>
                  </w:txbxContent>
                </v:textbox>
                <w10:wrap type="none"/>
              </v:shape>
              <v:shape style="position:absolute;left:6922;top:855;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2,259,583.65</w:t>
                      </w:r>
                      <w:r>
                        <w:rPr>
                          <w:rFonts w:ascii="Times New Roman"/>
                          <w:sz w:val="16"/>
                        </w:rPr>
                      </w:r>
                    </w:p>
                  </w:txbxContent>
                </v:textbox>
                <w10:wrap type="none"/>
              </v:shape>
              <v:shape style="position:absolute;left:9649;top:855;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7,978,770.06</w:t>
                      </w:r>
                      <w:r>
                        <w:rPr>
                          <w:rFonts w:ascii="Times New Roman"/>
                          <w:sz w:val="16"/>
                        </w:rPr>
                      </w:r>
                    </w:p>
                  </w:txbxContent>
                </v:textbox>
                <w10:wrap type="none"/>
              </v:shape>
            </v:group>
            <w10:wrap type="none"/>
          </v:group>
        </w:pict>
      </w:r>
      <w:r>
        <w:rPr>
          <w:rFonts w:ascii="Times New Roman" w:hAnsi="Times New Roman" w:cs="Times New Roman" w:eastAsia="Times New Roman" w:hint="default"/>
        </w:rPr>
        <w:t>(</w:t>
      </w:r>
      <w:r>
        <w:rPr/>
        <w:t>十七</w:t>
      </w:r>
      <w:r>
        <w:rPr>
          <w:rFonts w:ascii="Times New Roman" w:hAnsi="Times New Roman" w:cs="Times New Roman" w:eastAsia="Times New Roman" w:hint="default"/>
        </w:rPr>
        <w:t>) </w:t>
      </w:r>
      <w:r>
        <w:rPr>
          <w:rFonts w:ascii="Times New Roman" w:hAnsi="Times New Roman" w:cs="Times New Roman" w:eastAsia="Times New Roman" w:hint="default"/>
          <w:spacing w:val="43"/>
        </w:rPr>
        <w:t> </w:t>
      </w:r>
      <w:r>
        <w:rPr/>
        <w:t>长期待摊费用</w:t>
      </w:r>
      <w:r>
        <w:rPr>
          <w:b w:val="0"/>
          <w:bCs w:val="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29"/>
          <w:szCs w:val="29"/>
        </w:rPr>
      </w:pPr>
    </w:p>
    <w:tbl>
      <w:tblPr>
        <w:tblW w:w="0" w:type="auto"/>
        <w:jc w:val="left"/>
        <w:tblInd w:w="787" w:type="dxa"/>
        <w:tblLayout w:type="fixed"/>
        <w:tblCellMar>
          <w:top w:w="0" w:type="dxa"/>
          <w:left w:w="0" w:type="dxa"/>
          <w:bottom w:w="0" w:type="dxa"/>
          <w:right w:w="0" w:type="dxa"/>
        </w:tblCellMar>
        <w:tblLook w:val="01E0"/>
      </w:tblPr>
      <w:tblGrid>
        <w:gridCol w:w="1238"/>
        <w:gridCol w:w="1610"/>
        <w:gridCol w:w="1364"/>
        <w:gridCol w:w="1478"/>
        <w:gridCol w:w="1210"/>
        <w:gridCol w:w="1212"/>
      </w:tblGrid>
      <w:tr>
        <w:trPr>
          <w:trHeight w:val="572" w:hRule="exact"/>
        </w:trPr>
        <w:tc>
          <w:tcPr>
            <w:tcW w:w="1238" w:type="dxa"/>
            <w:tcBorders>
              <w:top w:val="nil" w:sz="6" w:space="0" w:color="auto"/>
              <w:left w:val="nil" w:sz="6" w:space="0" w:color="auto"/>
              <w:bottom w:val="nil" w:sz="6" w:space="0" w:color="auto"/>
              <w:right w:val="nil" w:sz="6" w:space="0" w:color="auto"/>
            </w:tcBorders>
          </w:tcPr>
          <w:p>
            <w:pPr>
              <w:pStyle w:val="TableParagraph"/>
              <w:spacing w:line="160" w:lineRule="exact"/>
              <w:ind w:left="70" w:right="0"/>
              <w:jc w:val="left"/>
              <w:rPr>
                <w:rFonts w:ascii="宋体" w:hAnsi="宋体" w:cs="宋体" w:eastAsia="宋体" w:hint="default"/>
                <w:sz w:val="16"/>
                <w:szCs w:val="16"/>
              </w:rPr>
            </w:pPr>
            <w:r>
              <w:rPr>
                <w:rFonts w:ascii="宋体" w:hAnsi="宋体" w:cs="宋体" w:eastAsia="宋体" w:hint="default"/>
                <w:w w:val="99"/>
                <w:sz w:val="16"/>
                <w:szCs w:val="16"/>
              </w:rPr>
              <w:t>出</w:t>
            </w:r>
            <w:r>
              <w:rPr>
                <w:rFonts w:ascii="宋体" w:hAnsi="宋体" w:cs="宋体" w:eastAsia="宋体" w:hint="default"/>
                <w:sz w:val="16"/>
                <w:szCs w:val="16"/>
              </w:rPr>
            </w:r>
          </w:p>
          <w:p>
            <w:pPr>
              <w:pStyle w:val="TableParagraph"/>
              <w:spacing w:line="240" w:lineRule="auto" w:before="101"/>
              <w:ind w:left="70" w:right="0"/>
              <w:jc w:val="left"/>
              <w:rPr>
                <w:rFonts w:ascii="宋体" w:hAnsi="宋体" w:cs="宋体" w:eastAsia="宋体" w:hint="default"/>
                <w:sz w:val="16"/>
                <w:szCs w:val="16"/>
              </w:rPr>
            </w:pPr>
            <w:r>
              <w:rPr>
                <w:rFonts w:ascii="宋体" w:hAnsi="宋体" w:cs="宋体" w:eastAsia="宋体" w:hint="default"/>
                <w:sz w:val="16"/>
                <w:szCs w:val="16"/>
              </w:rPr>
              <w:t>装修费</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23"/>
                <w:szCs w:val="23"/>
              </w:rPr>
            </w:pPr>
          </w:p>
          <w:p>
            <w:pPr>
              <w:pStyle w:val="TableParagraph"/>
              <w:spacing w:line="240" w:lineRule="auto"/>
              <w:ind w:right="259"/>
              <w:jc w:val="right"/>
              <w:rPr>
                <w:rFonts w:ascii="Times New Roman" w:hAnsi="Times New Roman" w:cs="Times New Roman" w:eastAsia="Times New Roman" w:hint="default"/>
                <w:sz w:val="16"/>
                <w:szCs w:val="16"/>
              </w:rPr>
            </w:pPr>
            <w:r>
              <w:rPr>
                <w:rFonts w:ascii="Times New Roman"/>
                <w:spacing w:val="-1"/>
                <w:sz w:val="16"/>
              </w:rPr>
              <w:t>3,188,325.28</w:t>
            </w:r>
          </w:p>
        </w:tc>
        <w:tc>
          <w:tcPr>
            <w:tcW w:w="136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23"/>
                <w:szCs w:val="23"/>
              </w:rPr>
            </w:pPr>
          </w:p>
          <w:p>
            <w:pPr>
              <w:pStyle w:val="TableParagraph"/>
              <w:spacing w:line="240" w:lineRule="auto"/>
              <w:ind w:right="0"/>
              <w:jc w:val="center"/>
              <w:rPr>
                <w:rFonts w:ascii="Times New Roman" w:hAnsi="Times New Roman" w:cs="Times New Roman" w:eastAsia="Times New Roman" w:hint="default"/>
                <w:sz w:val="16"/>
                <w:szCs w:val="16"/>
              </w:rPr>
            </w:pPr>
            <w:r>
              <w:rPr>
                <w:rFonts w:ascii="Times New Roman"/>
                <w:sz w:val="16"/>
              </w:rPr>
              <w:t>5,812,207.26</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23"/>
                <w:szCs w:val="23"/>
              </w:rPr>
            </w:pPr>
          </w:p>
          <w:p>
            <w:pPr>
              <w:pStyle w:val="TableParagraph"/>
              <w:spacing w:line="240" w:lineRule="auto"/>
              <w:ind w:right="373"/>
              <w:jc w:val="right"/>
              <w:rPr>
                <w:rFonts w:ascii="Times New Roman" w:hAnsi="Times New Roman" w:cs="Times New Roman" w:eastAsia="Times New Roman" w:hint="default"/>
                <w:sz w:val="16"/>
                <w:szCs w:val="16"/>
              </w:rPr>
            </w:pPr>
            <w:r>
              <w:rPr>
                <w:rFonts w:ascii="Times New Roman"/>
                <w:spacing w:val="-1"/>
                <w:sz w:val="16"/>
              </w:rPr>
              <w:t>3,398,105.91</w:t>
            </w:r>
          </w:p>
        </w:tc>
        <w:tc>
          <w:tcPr>
            <w:tcW w:w="121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23"/>
                <w:szCs w:val="23"/>
              </w:rPr>
            </w:pPr>
          </w:p>
          <w:p>
            <w:pPr>
              <w:pStyle w:val="TableParagraph"/>
              <w:spacing w:line="240" w:lineRule="auto"/>
              <w:ind w:right="218"/>
              <w:jc w:val="right"/>
              <w:rPr>
                <w:rFonts w:ascii="Times New Roman" w:hAnsi="Times New Roman" w:cs="Times New Roman" w:eastAsia="Times New Roman" w:hint="default"/>
                <w:sz w:val="16"/>
                <w:szCs w:val="16"/>
              </w:rPr>
            </w:pPr>
            <w:r>
              <w:rPr>
                <w:rFonts w:ascii="Times New Roman"/>
                <w:spacing w:val="-1"/>
                <w:sz w:val="16"/>
              </w:rPr>
              <w:t>-2,125.44</w:t>
            </w:r>
          </w:p>
        </w:tc>
        <w:tc>
          <w:tcPr>
            <w:tcW w:w="121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23"/>
                <w:szCs w:val="23"/>
              </w:rPr>
            </w:pPr>
          </w:p>
          <w:p>
            <w:pPr>
              <w:pStyle w:val="TableParagraph"/>
              <w:spacing w:line="240" w:lineRule="auto"/>
              <w:ind w:right="68"/>
              <w:jc w:val="right"/>
              <w:rPr>
                <w:rFonts w:ascii="Times New Roman" w:hAnsi="Times New Roman" w:cs="Times New Roman" w:eastAsia="Times New Roman" w:hint="default"/>
                <w:sz w:val="16"/>
                <w:szCs w:val="16"/>
              </w:rPr>
            </w:pPr>
            <w:r>
              <w:rPr>
                <w:rFonts w:ascii="Times New Roman"/>
                <w:spacing w:val="-1"/>
                <w:sz w:val="16"/>
              </w:rPr>
              <w:t>5,604,552.07</w:t>
            </w:r>
          </w:p>
        </w:tc>
      </w:tr>
      <w:tr>
        <w:trPr>
          <w:trHeight w:val="349" w:hRule="exact"/>
        </w:trPr>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59"/>
              <w:jc w:val="right"/>
              <w:rPr>
                <w:rFonts w:ascii="Times New Roman" w:hAnsi="Times New Roman" w:cs="Times New Roman" w:eastAsia="Times New Roman" w:hint="default"/>
                <w:sz w:val="16"/>
                <w:szCs w:val="16"/>
              </w:rPr>
            </w:pPr>
            <w:r>
              <w:rPr>
                <w:rFonts w:ascii="Times New Roman"/>
                <w:spacing w:val="-1"/>
                <w:sz w:val="16"/>
              </w:rPr>
              <w:t>3,333.13</w:t>
            </w:r>
          </w:p>
        </w:tc>
        <w:tc>
          <w:tcPr>
            <w:tcW w:w="1364"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0"/>
              <w:jc w:val="center"/>
              <w:rPr>
                <w:rFonts w:ascii="Times New Roman" w:hAnsi="Times New Roman" w:cs="Times New Roman" w:eastAsia="Times New Roman" w:hint="default"/>
                <w:sz w:val="16"/>
                <w:szCs w:val="16"/>
              </w:rPr>
            </w:pPr>
            <w:r>
              <w:rPr>
                <w:rFonts w:ascii="Times New Roman"/>
                <w:sz w:val="16"/>
              </w:rPr>
              <w:t>1,886,792.40</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373"/>
              <w:jc w:val="right"/>
              <w:rPr>
                <w:rFonts w:ascii="Times New Roman" w:hAnsi="Times New Roman" w:cs="Times New Roman" w:eastAsia="Times New Roman" w:hint="default"/>
                <w:sz w:val="16"/>
                <w:szCs w:val="16"/>
              </w:rPr>
            </w:pPr>
            <w:r>
              <w:rPr>
                <w:rFonts w:ascii="Times New Roman"/>
                <w:spacing w:val="-1"/>
                <w:sz w:val="16"/>
              </w:rPr>
              <w:t>80,838.63</w:t>
            </w:r>
          </w:p>
        </w:tc>
        <w:tc>
          <w:tcPr>
            <w:tcW w:w="1210" w:type="dxa"/>
            <w:tcBorders>
              <w:top w:val="nil" w:sz="6" w:space="0" w:color="auto"/>
              <w:left w:val="nil" w:sz="6" w:space="0" w:color="auto"/>
              <w:bottom w:val="nil" w:sz="6" w:space="0" w:color="auto"/>
              <w:right w:val="nil" w:sz="6" w:space="0" w:color="auto"/>
            </w:tcBorders>
          </w:tcPr>
          <w:p>
            <w:pPr/>
          </w:p>
        </w:tc>
        <w:tc>
          <w:tcPr>
            <w:tcW w:w="1212"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8"/>
              <w:jc w:val="right"/>
              <w:rPr>
                <w:rFonts w:ascii="Times New Roman" w:hAnsi="Times New Roman" w:cs="Times New Roman" w:eastAsia="Times New Roman" w:hint="default"/>
                <w:sz w:val="16"/>
                <w:szCs w:val="16"/>
              </w:rPr>
            </w:pPr>
            <w:r>
              <w:rPr>
                <w:rFonts w:ascii="Times New Roman"/>
                <w:spacing w:val="-1"/>
                <w:sz w:val="16"/>
              </w:rPr>
              <w:t>1,809,286.90</w:t>
            </w:r>
          </w:p>
        </w:tc>
      </w:tr>
      <w:tr>
        <w:trPr>
          <w:trHeight w:val="354" w:hRule="exact"/>
        </w:trPr>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51" w:right="0"/>
              <w:jc w:val="center"/>
              <w:rPr>
                <w:rFonts w:ascii="宋体" w:hAnsi="宋体" w:cs="宋体" w:eastAsia="宋体" w:hint="default"/>
                <w:sz w:val="16"/>
                <w:szCs w:val="16"/>
              </w:rPr>
            </w:pPr>
            <w:r>
              <w:rPr>
                <w:rFonts w:ascii="宋体" w:hAnsi="宋体" w:cs="宋体" w:eastAsia="宋体" w:hint="default"/>
                <w:sz w:val="16"/>
                <w:szCs w:val="16"/>
              </w:rPr>
              <w:t>合计</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59"/>
              <w:jc w:val="right"/>
              <w:rPr>
                <w:rFonts w:ascii="Times New Roman" w:hAnsi="Times New Roman" w:cs="Times New Roman" w:eastAsia="Times New Roman" w:hint="default"/>
                <w:sz w:val="16"/>
                <w:szCs w:val="16"/>
              </w:rPr>
            </w:pPr>
            <w:r>
              <w:rPr>
                <w:rFonts w:ascii="Times New Roman"/>
                <w:spacing w:val="-1"/>
                <w:sz w:val="16"/>
              </w:rPr>
              <w:t>11,528,482.04</w:t>
            </w:r>
          </w:p>
        </w:tc>
        <w:tc>
          <w:tcPr>
            <w:tcW w:w="1364"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0"/>
              <w:jc w:val="center"/>
              <w:rPr>
                <w:rFonts w:ascii="Times New Roman" w:hAnsi="Times New Roman" w:cs="Times New Roman" w:eastAsia="Times New Roman" w:hint="default"/>
                <w:sz w:val="16"/>
                <w:szCs w:val="16"/>
              </w:rPr>
            </w:pPr>
            <w:r>
              <w:rPr>
                <w:rFonts w:ascii="Times New Roman"/>
                <w:sz w:val="16"/>
              </w:rPr>
              <w:t>9,600,529.74</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374"/>
              <w:jc w:val="right"/>
              <w:rPr>
                <w:rFonts w:ascii="Times New Roman" w:hAnsi="Times New Roman" w:cs="Times New Roman" w:eastAsia="Times New Roman" w:hint="default"/>
                <w:sz w:val="16"/>
                <w:szCs w:val="16"/>
              </w:rPr>
            </w:pPr>
            <w:r>
              <w:rPr>
                <w:rFonts w:ascii="Times New Roman"/>
                <w:spacing w:val="-1"/>
                <w:sz w:val="16"/>
              </w:rPr>
              <w:t>5,738,528.19</w:t>
            </w:r>
          </w:p>
        </w:tc>
        <w:tc>
          <w:tcPr>
            <w:tcW w:w="1210"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18"/>
              <w:jc w:val="right"/>
              <w:rPr>
                <w:rFonts w:ascii="Times New Roman" w:hAnsi="Times New Roman" w:cs="Times New Roman" w:eastAsia="Times New Roman" w:hint="default"/>
                <w:sz w:val="16"/>
                <w:szCs w:val="16"/>
              </w:rPr>
            </w:pPr>
            <w:r>
              <w:rPr>
                <w:rFonts w:ascii="Times New Roman"/>
                <w:spacing w:val="-1"/>
                <w:sz w:val="16"/>
              </w:rPr>
              <w:t>-2,125.44</w:t>
            </w:r>
          </w:p>
        </w:tc>
        <w:tc>
          <w:tcPr>
            <w:tcW w:w="1212"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8"/>
              <w:jc w:val="right"/>
              <w:rPr>
                <w:rFonts w:ascii="Times New Roman" w:hAnsi="Times New Roman" w:cs="Times New Roman" w:eastAsia="Times New Roman" w:hint="default"/>
                <w:sz w:val="16"/>
                <w:szCs w:val="16"/>
              </w:rPr>
            </w:pPr>
            <w:r>
              <w:rPr>
                <w:rFonts w:ascii="Times New Roman"/>
                <w:spacing w:val="-1"/>
                <w:sz w:val="16"/>
              </w:rPr>
              <w:t>15,392,609.03</w:t>
            </w:r>
          </w:p>
        </w:tc>
      </w:tr>
    </w:tbl>
    <w:p>
      <w:pPr>
        <w:spacing w:line="240" w:lineRule="auto" w:before="7"/>
        <w:rPr>
          <w:rFonts w:ascii="宋体" w:hAnsi="宋体" w:cs="宋体" w:eastAsia="宋体" w:hint="default"/>
          <w:b/>
          <w:bCs/>
          <w:sz w:val="5"/>
          <w:szCs w:val="5"/>
        </w:rPr>
      </w:pPr>
    </w:p>
    <w:p>
      <w:pPr>
        <w:pStyle w:val="BodyText"/>
        <w:spacing w:line="240" w:lineRule="auto" w:before="35"/>
        <w:ind w:left="851" w:right="3681"/>
        <w:jc w:val="left"/>
      </w:pPr>
      <w:r>
        <w:rPr/>
        <w:t>说明：其他减少金额为汇率变动引起。</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5"/>
        <w:spacing w:line="240" w:lineRule="auto" w:before="0"/>
        <w:ind w:right="3681"/>
        <w:jc w:val="left"/>
        <w:rPr>
          <w:b w:val="0"/>
          <w:bCs w:val="0"/>
        </w:rPr>
      </w:pPr>
      <w:r>
        <w:rPr>
          <w:rFonts w:ascii="Times New Roman" w:hAnsi="Times New Roman" w:cs="Times New Roman" w:eastAsia="Times New Roman" w:hint="default"/>
        </w:rPr>
        <w:t>(</w:t>
      </w:r>
      <w:r>
        <w:rPr/>
        <w:t>十八</w:t>
      </w:r>
      <w:r>
        <w:rPr>
          <w:rFonts w:ascii="Times New Roman" w:hAnsi="Times New Roman" w:cs="Times New Roman" w:eastAsia="Times New Roman" w:hint="default"/>
        </w:rPr>
        <w:t>) </w:t>
      </w:r>
      <w:r>
        <w:rPr>
          <w:rFonts w:ascii="Times New Roman" w:hAnsi="Times New Roman" w:cs="Times New Roman" w:eastAsia="Times New Roman" w:hint="default"/>
          <w:spacing w:val="42"/>
        </w:rPr>
        <w:t> </w:t>
      </w:r>
      <w:r>
        <w:rPr/>
        <w:t>递延所得税资产和递延所得税负债</w:t>
      </w:r>
      <w:r>
        <w:rPr>
          <w:b w:val="0"/>
          <w:bCs w:val="0"/>
        </w:rPr>
      </w:r>
    </w:p>
    <w:p>
      <w:pPr>
        <w:pStyle w:val="Heading5"/>
        <w:tabs>
          <w:tab w:pos="1397" w:val="left" w:leader="none"/>
        </w:tabs>
        <w:spacing w:line="240" w:lineRule="auto" w:before="110"/>
        <w:ind w:left="846" w:right="3681"/>
        <w:jc w:val="left"/>
        <w:rPr>
          <w:b w:val="0"/>
          <w:bCs w:val="0"/>
        </w:rPr>
      </w:pPr>
      <w:r>
        <w:rPr/>
        <w:pict>
          <v:group style="position:absolute;margin-left:119.010002pt;margin-top:20.823811pt;width:411.9pt;height:218.55pt;mso-position-horizontal-relative:page;mso-position-vertical-relative:paragraph;z-index:-1386304" coordorigin="2380,416" coordsize="8238,4371">
            <v:group style="position:absolute;left:2410;top:431;width:2034;height:2" coordorigin="2410,431" coordsize="2034,2">
              <v:shape style="position:absolute;left:2410;top:431;width:2034;height:2" coordorigin="2410,431" coordsize="2034,0" path="m2410,431l4444,431e" filled="false" stroked="true" strokeweight="1.5pt" strokecolor="#000000">
                <v:path arrowok="t"/>
              </v:shape>
              <v:shape style="position:absolute;left:4444;top:446;width:10;height:28" type="#_x0000_t75" stroked="false">
                <v:imagedata r:id="rId67" o:title=""/>
              </v:shape>
            </v:group>
            <v:group style="position:absolute;left:4444;top:431;width:3077;height:2" coordorigin="4444,431" coordsize="3077,2">
              <v:shape style="position:absolute;left:4444;top:431;width:3077;height:2" coordorigin="4444,431" coordsize="3077,0" path="m4444,431l7520,431e" filled="false" stroked="true" strokeweight="1.5pt" strokecolor="#000000">
                <v:path arrowok="t"/>
              </v:shape>
              <v:shape style="position:absolute;left:7520;top:446;width:10;height:28" type="#_x0000_t75" stroked="false">
                <v:imagedata r:id="rId67" o:title=""/>
              </v:shape>
            </v:group>
            <v:group style="position:absolute;left:7520;top:431;width:3077;height:2" coordorigin="7520,431" coordsize="3077,2">
              <v:shape style="position:absolute;left:7520;top:431;width:3077;height:2" coordorigin="7520,431" coordsize="3077,0" path="m7520,431l10597,431e" filled="false" stroked="true" strokeweight="1.5pt" strokecolor="#000000">
                <v:path arrowok="t"/>
              </v:shape>
              <v:shape style="position:absolute;left:4424;top:455;width:3125;height:349" type="#_x0000_t75" stroked="false">
                <v:imagedata r:id="rId217" o:title=""/>
              </v:shape>
              <v:shape style="position:absolute;left:4424;top:766;width:6193;height:388" type="#_x0000_t75" stroked="false">
                <v:imagedata r:id="rId218" o:title=""/>
              </v:shape>
            </v:group>
            <v:group style="position:absolute;left:2395;top:4772;width:2049;height:2" coordorigin="2395,4772" coordsize="2049,2">
              <v:shape style="position:absolute;left:2395;top:4772;width:2049;height:2" coordorigin="2395,4772" coordsize="2049,0" path="m2395,4772l4444,4772e" filled="false" stroked="true" strokeweight="1.5pt" strokecolor="#000000">
                <v:path arrowok="t"/>
              </v:shape>
            </v:group>
            <v:group style="position:absolute;left:4444;top:4772;width:1613;height:2" coordorigin="4444,4772" coordsize="1613,2">
              <v:shape style="position:absolute;left:4444;top:4772;width:1613;height:2" coordorigin="4444,4772" coordsize="1613,0" path="m4444,4772l6056,4772e" filled="false" stroked="true" strokeweight="1.5pt" strokecolor="#000000">
                <v:path arrowok="t"/>
              </v:shape>
            </v:group>
            <v:group style="position:absolute;left:6056;top:4772;width:1464;height:2" coordorigin="6056,4772" coordsize="1464,2">
              <v:shape style="position:absolute;left:6056;top:4772;width:1464;height:2" coordorigin="6056,4772" coordsize="1464,0" path="m6056,4772l7520,4772e" filled="false" stroked="true" strokeweight="1.5pt" strokecolor="#000000">
                <v:path arrowok="t"/>
              </v:shape>
            </v:group>
            <v:group style="position:absolute;left:7520;top:4772;width:1610;height:2" coordorigin="7520,4772" coordsize="1610,2">
              <v:shape style="position:absolute;left:7520;top:4772;width:1610;height:2" coordorigin="7520,4772" coordsize="1610,0" path="m7520,4772l9130,4772e" filled="false" stroked="true" strokeweight="1.5pt" strokecolor="#000000">
                <v:path arrowok="t"/>
              </v:shape>
              <v:shape style="position:absolute;left:2390;top:1115;width:8227;height:3642" type="#_x0000_t75" stroked="false">
                <v:imagedata r:id="rId219" o:title=""/>
              </v:shape>
            </v:group>
            <v:group style="position:absolute;left:9130;top:4772;width:1468;height:2" coordorigin="9130,4772" coordsize="1468,2">
              <v:shape style="position:absolute;left:9130;top:4772;width:1468;height:2" coordorigin="9130,4772" coordsize="1468,0" path="m9130,4772l10597,4772e" filled="false" stroked="true" strokeweight="1.5pt" strokecolor="#000000">
                <v:path arrowok="t"/>
              </v:shape>
              <v:shape style="position:absolute;left:5666;top:535;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8741;top:535;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年初余额</w:t>
                      </w:r>
                      <w:r>
                        <w:rPr>
                          <w:rFonts w:ascii="宋体" w:hAnsi="宋体" w:cs="宋体" w:eastAsia="宋体" w:hint="default"/>
                          <w:sz w:val="16"/>
                          <w:szCs w:val="16"/>
                        </w:rPr>
                      </w:r>
                    </w:p>
                  </w:txbxContent>
                </v:textbox>
                <w10:wrap type="none"/>
              </v:shape>
              <v:shape style="position:absolute;left:3269;top:709;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项目</w:t>
                      </w:r>
                      <w:r>
                        <w:rPr>
                          <w:rFonts w:ascii="宋体" w:hAnsi="宋体" w:cs="宋体" w:eastAsia="宋体" w:hint="default"/>
                          <w:sz w:val="16"/>
                          <w:szCs w:val="16"/>
                        </w:rPr>
                      </w:r>
                    </w:p>
                  </w:txbxContent>
                </v:textbox>
                <w10:wrap type="none"/>
              </v:shape>
              <v:shape style="position:absolute;left:4614;top:884;width:12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可抵扣暂时性差异</w:t>
                      </w:r>
                      <w:r>
                        <w:rPr>
                          <w:rFonts w:ascii="宋体" w:hAnsi="宋体" w:cs="宋体" w:eastAsia="宋体" w:hint="default"/>
                          <w:sz w:val="16"/>
                          <w:szCs w:val="16"/>
                        </w:rPr>
                      </w:r>
                    </w:p>
                  </w:txbxContent>
                </v:textbox>
                <w10:wrap type="none"/>
              </v:shape>
              <v:shape style="position:absolute;left:6232;top:884;width:111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递延所得税资产</w:t>
                      </w:r>
                      <w:r>
                        <w:rPr>
                          <w:rFonts w:ascii="宋体" w:hAnsi="宋体" w:cs="宋体" w:eastAsia="宋体" w:hint="default"/>
                          <w:sz w:val="16"/>
                          <w:szCs w:val="16"/>
                        </w:rPr>
                      </w:r>
                    </w:p>
                  </w:txbxContent>
                </v:textbox>
                <w10:wrap type="none"/>
              </v:shape>
              <v:shape style="position:absolute;left:7690;top:884;width:12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可抵扣暂时性差异</w:t>
                      </w:r>
                      <w:r>
                        <w:rPr>
                          <w:rFonts w:ascii="宋体" w:hAnsi="宋体" w:cs="宋体" w:eastAsia="宋体" w:hint="default"/>
                          <w:sz w:val="16"/>
                          <w:szCs w:val="16"/>
                        </w:rPr>
                      </w:r>
                    </w:p>
                  </w:txbxContent>
                </v:textbox>
                <w10:wrap type="none"/>
              </v:shape>
              <v:shape style="position:absolute;left:9306;top:884;width:111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递延所得税资产</w:t>
                      </w:r>
                      <w:r>
                        <w:rPr>
                          <w:rFonts w:ascii="宋体" w:hAnsi="宋体" w:cs="宋体" w:eastAsia="宋体" w:hint="default"/>
                          <w:sz w:val="16"/>
                          <w:szCs w:val="16"/>
                        </w:rPr>
                      </w:r>
                    </w:p>
                  </w:txbxContent>
                </v:textbox>
                <w10:wrap type="none"/>
              </v:shape>
              <v:shape style="position:absolute;left:2518;top:1232;width:95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资产减值准备</w:t>
                      </w:r>
                      <w:r>
                        <w:rPr>
                          <w:rFonts w:ascii="宋体" w:hAnsi="宋体" w:cs="宋体" w:eastAsia="宋体" w:hint="default"/>
                          <w:sz w:val="16"/>
                          <w:szCs w:val="16"/>
                        </w:rPr>
                      </w:r>
                    </w:p>
                  </w:txbxContent>
                </v:textbox>
                <w10:wrap type="none"/>
              </v:shape>
              <v:shape style="position:absolute;left:4952;top:1247;width:100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371,353,418.17</w:t>
                      </w:r>
                      <w:r>
                        <w:rPr>
                          <w:rFonts w:ascii="Times New Roman"/>
                          <w:sz w:val="16"/>
                        </w:rPr>
                      </w:r>
                    </w:p>
                  </w:txbxContent>
                </v:textbox>
                <w10:wrap type="none"/>
              </v:shape>
              <v:shape style="position:absolute;left:6496;top:1247;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62,693,264.05</w:t>
                      </w:r>
                      <w:r>
                        <w:rPr>
                          <w:rFonts w:ascii="Times New Roman"/>
                          <w:sz w:val="16"/>
                        </w:rPr>
                      </w:r>
                    </w:p>
                  </w:txbxContent>
                </v:textbox>
                <w10:wrap type="none"/>
              </v:shape>
              <v:shape style="position:absolute;left:8027;top:1247;width:100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303,661,813.45</w:t>
                      </w:r>
                      <w:r>
                        <w:rPr>
                          <w:rFonts w:ascii="Times New Roman"/>
                          <w:sz w:val="16"/>
                        </w:rPr>
                      </w:r>
                    </w:p>
                  </w:txbxContent>
                </v:textbox>
                <w10:wrap type="none"/>
              </v:shape>
              <v:shape style="position:absolute;left:9569;top:1247;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46,680,827.55</w:t>
                      </w:r>
                      <w:r>
                        <w:rPr>
                          <w:rFonts w:ascii="Times New Roman"/>
                          <w:sz w:val="16"/>
                        </w:rPr>
                      </w:r>
                    </w:p>
                  </w:txbxContent>
                </v:textbox>
                <w10:wrap type="none"/>
              </v:shape>
              <v:shape style="position:absolute;left:2518;top:1581;width:1758;height:472"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应付职工薪酬</w:t>
                      </w:r>
                    </w:p>
                    <w:p>
                      <w:pPr>
                        <w:spacing w:before="102"/>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合并报表抵消未实现的内</w:t>
                      </w:r>
                      <w:r>
                        <w:rPr>
                          <w:rFonts w:ascii="宋体" w:hAnsi="宋体" w:cs="宋体" w:eastAsia="宋体" w:hint="default"/>
                          <w:sz w:val="16"/>
                          <w:szCs w:val="16"/>
                        </w:rPr>
                      </w:r>
                    </w:p>
                  </w:txbxContent>
                </v:textbox>
                <w10:wrap type="none"/>
              </v:shape>
              <v:shape style="position:absolute;left:5032;top:1595;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31,306,229.47</w:t>
                      </w:r>
                      <w:r>
                        <w:rPr>
                          <w:rFonts w:ascii="Times New Roman"/>
                          <w:sz w:val="16"/>
                        </w:rPr>
                      </w:r>
                    </w:p>
                  </w:txbxContent>
                </v:textbox>
                <w10:wrap type="none"/>
              </v:shape>
              <v:shape style="position:absolute;left:6576;top:1595;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4,697,268.70</w:t>
                      </w:r>
                      <w:r>
                        <w:rPr>
                          <w:rFonts w:ascii="Times New Roman"/>
                          <w:sz w:val="16"/>
                        </w:rPr>
                      </w:r>
                    </w:p>
                  </w:txbxContent>
                </v:textbox>
                <w10:wrap type="none"/>
              </v:shape>
              <v:shape style="position:absolute;left:8106;top:1595;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30,085,890.37</w:t>
                      </w:r>
                      <w:r>
                        <w:rPr>
                          <w:rFonts w:ascii="Times New Roman"/>
                          <w:sz w:val="16"/>
                        </w:rPr>
                      </w:r>
                    </w:p>
                  </w:txbxContent>
                </v:textbox>
                <w10:wrap type="none"/>
              </v:shape>
              <v:shape style="position:absolute;left:9649;top:1595;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5,039,686.45</w:t>
                      </w:r>
                      <w:r>
                        <w:rPr>
                          <w:rFonts w:ascii="Times New Roman"/>
                          <w:sz w:val="16"/>
                        </w:rPr>
                      </w:r>
                    </w:p>
                  </w:txbxContent>
                </v:textbox>
                <w10:wrap type="none"/>
              </v:shape>
              <v:shape style="position:absolute;left:5032;top:2010;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31,252,619.59</w:t>
                      </w:r>
                      <w:r>
                        <w:rPr>
                          <w:rFonts w:ascii="Times New Roman"/>
                          <w:sz w:val="16"/>
                        </w:rPr>
                      </w:r>
                    </w:p>
                  </w:txbxContent>
                </v:textbox>
                <w10:wrap type="none"/>
              </v:shape>
              <v:shape style="position:absolute;left:6576;top:2010;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4,981,195.18</w:t>
                      </w:r>
                      <w:r>
                        <w:rPr>
                          <w:rFonts w:ascii="Times New Roman"/>
                          <w:sz w:val="16"/>
                        </w:rPr>
                      </w:r>
                    </w:p>
                  </w:txbxContent>
                </v:textbox>
                <w10:wrap type="none"/>
              </v:shape>
              <v:shape style="position:absolute;left:8106;top:2010;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21,849,386.92</w:t>
                      </w:r>
                      <w:r>
                        <w:rPr>
                          <w:rFonts w:ascii="Times New Roman"/>
                          <w:sz w:val="16"/>
                        </w:rPr>
                      </w:r>
                    </w:p>
                  </w:txbxContent>
                </v:textbox>
                <w10:wrap type="none"/>
              </v:shape>
              <v:shape style="position:absolute;left:9649;top:2010;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3,287,550.01</w:t>
                      </w:r>
                      <w:r>
                        <w:rPr>
                          <w:rFonts w:ascii="Times New Roman"/>
                          <w:sz w:val="16"/>
                        </w:rPr>
                      </w:r>
                    </w:p>
                  </w:txbxContent>
                </v:textbox>
                <w10:wrap type="none"/>
              </v:shape>
            </v:group>
            <w10:wrap type="none"/>
          </v:group>
        </w:pict>
      </w:r>
      <w:r>
        <w:rPr>
          <w:rFonts w:ascii="Times New Roman" w:hAnsi="Times New Roman" w:cs="Times New Roman" w:eastAsia="Times New Roman" w:hint="default"/>
          <w:w w:val="95"/>
        </w:rPr>
        <w:t>1</w:t>
      </w:r>
      <w:r>
        <w:rPr>
          <w:w w:val="95"/>
        </w:rPr>
        <w:t>、</w:t>
        <w:tab/>
      </w:r>
      <w:r>
        <w:rPr/>
        <w:t>未经抵销的递延所得税资产</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29"/>
          <w:szCs w:val="29"/>
        </w:rPr>
      </w:pPr>
    </w:p>
    <w:tbl>
      <w:tblPr>
        <w:tblW w:w="0" w:type="auto"/>
        <w:jc w:val="left"/>
        <w:tblInd w:w="787" w:type="dxa"/>
        <w:tblLayout w:type="fixed"/>
        <w:tblCellMar>
          <w:top w:w="0" w:type="dxa"/>
          <w:left w:w="0" w:type="dxa"/>
          <w:bottom w:w="0" w:type="dxa"/>
          <w:right w:w="0" w:type="dxa"/>
        </w:tblCellMar>
        <w:tblLook w:val="01E0"/>
      </w:tblPr>
      <w:tblGrid>
        <w:gridCol w:w="1847"/>
        <w:gridCol w:w="1930"/>
        <w:gridCol w:w="1498"/>
        <w:gridCol w:w="1576"/>
        <w:gridCol w:w="1262"/>
      </w:tblGrid>
      <w:tr>
        <w:trPr>
          <w:trHeight w:val="572" w:hRule="exact"/>
        </w:trPr>
        <w:tc>
          <w:tcPr>
            <w:tcW w:w="1847" w:type="dxa"/>
            <w:tcBorders>
              <w:top w:val="nil" w:sz="6" w:space="0" w:color="auto"/>
              <w:left w:val="nil" w:sz="6" w:space="0" w:color="auto"/>
              <w:bottom w:val="nil" w:sz="6" w:space="0" w:color="auto"/>
              <w:right w:val="nil" w:sz="6" w:space="0" w:color="auto"/>
            </w:tcBorders>
          </w:tcPr>
          <w:p>
            <w:pPr>
              <w:pStyle w:val="TableParagraph"/>
              <w:spacing w:line="160" w:lineRule="exact"/>
              <w:ind w:left="70" w:right="0"/>
              <w:jc w:val="left"/>
              <w:rPr>
                <w:rFonts w:ascii="宋体" w:hAnsi="宋体" w:cs="宋体" w:eastAsia="宋体" w:hint="default"/>
                <w:sz w:val="16"/>
                <w:szCs w:val="16"/>
              </w:rPr>
            </w:pPr>
            <w:r>
              <w:rPr>
                <w:rFonts w:ascii="宋体" w:hAnsi="宋体" w:cs="宋体" w:eastAsia="宋体" w:hint="default"/>
                <w:sz w:val="16"/>
                <w:szCs w:val="16"/>
              </w:rPr>
              <w:t>部损益</w:t>
            </w:r>
          </w:p>
          <w:p>
            <w:pPr>
              <w:pStyle w:val="TableParagraph"/>
              <w:spacing w:line="240" w:lineRule="auto" w:before="101"/>
              <w:ind w:left="70" w:right="0"/>
              <w:jc w:val="left"/>
              <w:rPr>
                <w:rFonts w:ascii="宋体" w:hAnsi="宋体" w:cs="宋体" w:eastAsia="宋体" w:hint="default"/>
                <w:sz w:val="16"/>
                <w:szCs w:val="16"/>
              </w:rPr>
            </w:pPr>
            <w:r>
              <w:rPr>
                <w:rFonts w:ascii="宋体" w:hAnsi="宋体" w:cs="宋体" w:eastAsia="宋体" w:hint="default"/>
                <w:sz w:val="16"/>
                <w:szCs w:val="16"/>
              </w:rPr>
              <w:t>递延收益</w:t>
            </w:r>
          </w:p>
        </w:tc>
        <w:tc>
          <w:tcPr>
            <w:tcW w:w="193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23"/>
                <w:szCs w:val="23"/>
              </w:rPr>
            </w:pPr>
          </w:p>
          <w:p>
            <w:pPr>
              <w:pStyle w:val="TableParagraph"/>
              <w:spacing w:line="240" w:lineRule="auto"/>
              <w:ind w:right="269"/>
              <w:jc w:val="right"/>
              <w:rPr>
                <w:rFonts w:ascii="Times New Roman" w:hAnsi="Times New Roman" w:cs="Times New Roman" w:eastAsia="Times New Roman" w:hint="default"/>
                <w:sz w:val="16"/>
                <w:szCs w:val="16"/>
              </w:rPr>
            </w:pPr>
            <w:r>
              <w:rPr>
                <w:rFonts w:ascii="Times New Roman"/>
                <w:spacing w:val="-1"/>
                <w:sz w:val="16"/>
              </w:rPr>
              <w:t>16,700,000.00</w:t>
            </w: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23"/>
                <w:szCs w:val="23"/>
              </w:rPr>
            </w:pPr>
          </w:p>
          <w:p>
            <w:pPr>
              <w:pStyle w:val="TableParagraph"/>
              <w:spacing w:line="240" w:lineRule="auto"/>
              <w:ind w:right="302"/>
              <w:jc w:val="right"/>
              <w:rPr>
                <w:rFonts w:ascii="Times New Roman" w:hAnsi="Times New Roman" w:cs="Times New Roman" w:eastAsia="Times New Roman" w:hint="default"/>
                <w:sz w:val="16"/>
                <w:szCs w:val="16"/>
              </w:rPr>
            </w:pPr>
            <w:r>
              <w:rPr>
                <w:rFonts w:ascii="Times New Roman"/>
                <w:spacing w:val="-1"/>
                <w:sz w:val="16"/>
              </w:rPr>
              <w:t>2,367,000.00</w:t>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23"/>
                <w:szCs w:val="23"/>
              </w:rPr>
            </w:pPr>
          </w:p>
          <w:p>
            <w:pPr>
              <w:pStyle w:val="TableParagraph"/>
              <w:spacing w:line="240" w:lineRule="auto"/>
              <w:ind w:left="113" w:right="0"/>
              <w:jc w:val="center"/>
              <w:rPr>
                <w:rFonts w:ascii="Times New Roman" w:hAnsi="Times New Roman" w:cs="Times New Roman" w:eastAsia="Times New Roman" w:hint="default"/>
                <w:sz w:val="16"/>
                <w:szCs w:val="16"/>
              </w:rPr>
            </w:pPr>
            <w:r>
              <w:rPr>
                <w:rFonts w:ascii="Times New Roman"/>
                <w:sz w:val="16"/>
              </w:rPr>
              <w:t>54,869,712.22</w:t>
            </w:r>
          </w:p>
        </w:tc>
        <w:tc>
          <w:tcPr>
            <w:tcW w:w="126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23"/>
                <w:szCs w:val="23"/>
              </w:rPr>
            </w:pPr>
          </w:p>
          <w:p>
            <w:pPr>
              <w:pStyle w:val="TableParagraph"/>
              <w:spacing w:line="240" w:lineRule="auto"/>
              <w:ind w:right="68"/>
              <w:jc w:val="right"/>
              <w:rPr>
                <w:rFonts w:ascii="Times New Roman" w:hAnsi="Times New Roman" w:cs="Times New Roman" w:eastAsia="Times New Roman" w:hint="default"/>
                <w:sz w:val="16"/>
                <w:szCs w:val="16"/>
              </w:rPr>
            </w:pPr>
            <w:r>
              <w:rPr>
                <w:rFonts w:ascii="Times New Roman"/>
                <w:spacing w:val="-1"/>
                <w:sz w:val="16"/>
              </w:rPr>
              <w:t>7,866,937.27</w:t>
            </w:r>
          </w:p>
        </w:tc>
      </w:tr>
      <w:tr>
        <w:trPr>
          <w:trHeight w:val="349" w:hRule="exact"/>
        </w:trPr>
        <w:tc>
          <w:tcPr>
            <w:tcW w:w="184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宋体" w:hAnsi="宋体" w:cs="宋体" w:eastAsia="宋体" w:hint="default"/>
                <w:sz w:val="16"/>
                <w:szCs w:val="16"/>
              </w:rPr>
              <w:t>预提费用</w:t>
            </w:r>
          </w:p>
        </w:tc>
        <w:tc>
          <w:tcPr>
            <w:tcW w:w="1930"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69"/>
              <w:jc w:val="right"/>
              <w:rPr>
                <w:rFonts w:ascii="Times New Roman" w:hAnsi="Times New Roman" w:cs="Times New Roman" w:eastAsia="Times New Roman" w:hint="default"/>
                <w:sz w:val="16"/>
                <w:szCs w:val="16"/>
              </w:rPr>
            </w:pPr>
            <w:r>
              <w:rPr>
                <w:rFonts w:ascii="Times New Roman"/>
                <w:spacing w:val="-1"/>
                <w:sz w:val="16"/>
              </w:rPr>
              <w:t>99,519,714.36</w:t>
            </w: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302"/>
              <w:jc w:val="right"/>
              <w:rPr>
                <w:rFonts w:ascii="Times New Roman" w:hAnsi="Times New Roman" w:cs="Times New Roman" w:eastAsia="Times New Roman" w:hint="default"/>
                <w:sz w:val="16"/>
                <w:szCs w:val="16"/>
              </w:rPr>
            </w:pPr>
            <w:r>
              <w:rPr>
                <w:rFonts w:ascii="Times New Roman"/>
                <w:spacing w:val="-1"/>
                <w:sz w:val="16"/>
              </w:rPr>
              <w:t>15,658,082.25</w:t>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80"/>
              <w:ind w:left="33" w:right="0"/>
              <w:jc w:val="center"/>
              <w:rPr>
                <w:rFonts w:ascii="Times New Roman" w:hAnsi="Times New Roman" w:cs="Times New Roman" w:eastAsia="Times New Roman" w:hint="default"/>
                <w:sz w:val="16"/>
                <w:szCs w:val="16"/>
              </w:rPr>
            </w:pPr>
            <w:r>
              <w:rPr>
                <w:rFonts w:ascii="Times New Roman"/>
                <w:sz w:val="16"/>
              </w:rPr>
              <w:t>100,759,372.30</w:t>
            </w:r>
          </w:p>
        </w:tc>
        <w:tc>
          <w:tcPr>
            <w:tcW w:w="1262"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8"/>
              <w:jc w:val="right"/>
              <w:rPr>
                <w:rFonts w:ascii="Times New Roman" w:hAnsi="Times New Roman" w:cs="Times New Roman" w:eastAsia="Times New Roman" w:hint="default"/>
                <w:sz w:val="16"/>
                <w:szCs w:val="16"/>
              </w:rPr>
            </w:pPr>
            <w:r>
              <w:rPr>
                <w:rFonts w:ascii="Times New Roman"/>
                <w:spacing w:val="-1"/>
                <w:sz w:val="16"/>
              </w:rPr>
              <w:t>21,666,060.34</w:t>
            </w:r>
          </w:p>
        </w:tc>
      </w:tr>
      <w:tr>
        <w:trPr>
          <w:trHeight w:val="349" w:hRule="exact"/>
        </w:trPr>
        <w:tc>
          <w:tcPr>
            <w:tcW w:w="184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宋体" w:hAnsi="宋体" w:cs="宋体" w:eastAsia="宋体" w:hint="default"/>
                <w:sz w:val="16"/>
                <w:szCs w:val="16"/>
              </w:rPr>
              <w:t>资产摊销差异</w:t>
            </w:r>
          </w:p>
        </w:tc>
        <w:tc>
          <w:tcPr>
            <w:tcW w:w="1930"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69"/>
              <w:jc w:val="right"/>
              <w:rPr>
                <w:rFonts w:ascii="Times New Roman" w:hAnsi="Times New Roman" w:cs="Times New Roman" w:eastAsia="Times New Roman" w:hint="default"/>
                <w:sz w:val="16"/>
                <w:szCs w:val="16"/>
              </w:rPr>
            </w:pPr>
            <w:r>
              <w:rPr>
                <w:rFonts w:ascii="Times New Roman"/>
                <w:spacing w:val="-1"/>
                <w:sz w:val="16"/>
              </w:rPr>
              <w:t>8,249,580.99</w:t>
            </w: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302"/>
              <w:jc w:val="right"/>
              <w:rPr>
                <w:rFonts w:ascii="Times New Roman" w:hAnsi="Times New Roman" w:cs="Times New Roman" w:eastAsia="Times New Roman" w:hint="default"/>
                <w:sz w:val="16"/>
                <w:szCs w:val="16"/>
              </w:rPr>
            </w:pPr>
            <w:r>
              <w:rPr>
                <w:rFonts w:ascii="Times New Roman"/>
                <w:spacing w:val="-1"/>
                <w:sz w:val="16"/>
              </w:rPr>
              <w:t>1,237,437.15</w:t>
            </w:r>
          </w:p>
        </w:tc>
        <w:tc>
          <w:tcPr>
            <w:tcW w:w="1576" w:type="dxa"/>
            <w:tcBorders>
              <w:top w:val="nil" w:sz="6" w:space="0" w:color="auto"/>
              <w:left w:val="nil" w:sz="6" w:space="0" w:color="auto"/>
              <w:bottom w:val="nil" w:sz="6" w:space="0" w:color="auto"/>
              <w:right w:val="nil" w:sz="6" w:space="0" w:color="auto"/>
            </w:tcBorders>
          </w:tcPr>
          <w:p>
            <w:pPr/>
          </w:p>
        </w:tc>
        <w:tc>
          <w:tcPr>
            <w:tcW w:w="1262" w:type="dxa"/>
            <w:tcBorders>
              <w:top w:val="nil" w:sz="6" w:space="0" w:color="auto"/>
              <w:left w:val="nil" w:sz="6" w:space="0" w:color="auto"/>
              <w:bottom w:val="nil" w:sz="6" w:space="0" w:color="auto"/>
              <w:right w:val="nil" w:sz="6" w:space="0" w:color="auto"/>
            </w:tcBorders>
          </w:tcPr>
          <w:p>
            <w:pPr/>
          </w:p>
        </w:tc>
      </w:tr>
      <w:tr>
        <w:trPr>
          <w:trHeight w:val="349" w:hRule="exact"/>
        </w:trPr>
        <w:tc>
          <w:tcPr>
            <w:tcW w:w="1847" w:type="dxa"/>
            <w:tcBorders>
              <w:top w:val="nil" w:sz="6" w:space="0" w:color="auto"/>
              <w:left w:val="nil" w:sz="6" w:space="0" w:color="auto"/>
              <w:bottom w:val="nil" w:sz="6" w:space="0" w:color="auto"/>
              <w:right w:val="nil" w:sz="6" w:space="0" w:color="auto"/>
            </w:tcBorders>
          </w:tcPr>
          <w:p>
            <w:pPr>
              <w:pStyle w:val="TableParagraph"/>
              <w:spacing w:line="240" w:lineRule="auto" w:before="37"/>
              <w:ind w:left="70" w:right="0"/>
              <w:jc w:val="left"/>
              <w:rPr>
                <w:rFonts w:ascii="宋体" w:hAnsi="宋体" w:cs="宋体" w:eastAsia="宋体" w:hint="default"/>
                <w:sz w:val="16"/>
                <w:szCs w:val="16"/>
              </w:rPr>
            </w:pPr>
            <w:r>
              <w:rPr>
                <w:rFonts w:ascii="宋体" w:hAnsi="宋体" w:cs="宋体" w:eastAsia="宋体" w:hint="default"/>
                <w:sz w:val="16"/>
                <w:szCs w:val="16"/>
              </w:rPr>
              <w:t>股权激励</w:t>
            </w:r>
          </w:p>
        </w:tc>
        <w:tc>
          <w:tcPr>
            <w:tcW w:w="193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69"/>
              <w:jc w:val="right"/>
              <w:rPr>
                <w:rFonts w:ascii="Times New Roman" w:hAnsi="Times New Roman" w:cs="Times New Roman" w:eastAsia="Times New Roman" w:hint="default"/>
                <w:sz w:val="16"/>
                <w:szCs w:val="16"/>
              </w:rPr>
            </w:pPr>
            <w:r>
              <w:rPr>
                <w:rFonts w:ascii="Times New Roman"/>
                <w:spacing w:val="-1"/>
                <w:sz w:val="16"/>
              </w:rPr>
              <w:t>21,762,317.08</w:t>
            </w: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02"/>
              <w:jc w:val="right"/>
              <w:rPr>
                <w:rFonts w:ascii="Times New Roman" w:hAnsi="Times New Roman" w:cs="Times New Roman" w:eastAsia="Times New Roman" w:hint="default"/>
                <w:sz w:val="16"/>
                <w:szCs w:val="16"/>
              </w:rPr>
            </w:pPr>
            <w:r>
              <w:rPr>
                <w:rFonts w:ascii="Times New Roman"/>
                <w:spacing w:val="-1"/>
                <w:sz w:val="16"/>
              </w:rPr>
              <w:t>3,394,362.29</w:t>
            </w:r>
          </w:p>
        </w:tc>
        <w:tc>
          <w:tcPr>
            <w:tcW w:w="1576" w:type="dxa"/>
            <w:tcBorders>
              <w:top w:val="nil" w:sz="6" w:space="0" w:color="auto"/>
              <w:left w:val="nil" w:sz="6" w:space="0" w:color="auto"/>
              <w:bottom w:val="nil" w:sz="6" w:space="0" w:color="auto"/>
              <w:right w:val="nil" w:sz="6" w:space="0" w:color="auto"/>
            </w:tcBorders>
          </w:tcPr>
          <w:p>
            <w:pPr/>
          </w:p>
        </w:tc>
        <w:tc>
          <w:tcPr>
            <w:tcW w:w="1262" w:type="dxa"/>
            <w:tcBorders>
              <w:top w:val="nil" w:sz="6" w:space="0" w:color="auto"/>
              <w:left w:val="nil" w:sz="6" w:space="0" w:color="auto"/>
              <w:bottom w:val="nil" w:sz="6" w:space="0" w:color="auto"/>
              <w:right w:val="nil" w:sz="6" w:space="0" w:color="auto"/>
            </w:tcBorders>
          </w:tcPr>
          <w:p>
            <w:pPr/>
          </w:p>
        </w:tc>
      </w:tr>
      <w:tr>
        <w:trPr>
          <w:trHeight w:val="349" w:hRule="exact"/>
        </w:trPr>
        <w:tc>
          <w:tcPr>
            <w:tcW w:w="1847" w:type="dxa"/>
            <w:tcBorders>
              <w:top w:val="nil" w:sz="6" w:space="0" w:color="auto"/>
              <w:left w:val="nil" w:sz="6" w:space="0" w:color="auto"/>
              <w:bottom w:val="nil" w:sz="6" w:space="0" w:color="auto"/>
              <w:right w:val="nil" w:sz="6" w:space="0" w:color="auto"/>
            </w:tcBorders>
          </w:tcPr>
          <w:p>
            <w:pPr>
              <w:pStyle w:val="TableParagraph"/>
              <w:spacing w:line="240" w:lineRule="auto" w:before="37"/>
              <w:ind w:left="70" w:right="0"/>
              <w:jc w:val="left"/>
              <w:rPr>
                <w:rFonts w:ascii="宋体" w:hAnsi="宋体" w:cs="宋体" w:eastAsia="宋体" w:hint="default"/>
                <w:sz w:val="16"/>
                <w:szCs w:val="16"/>
              </w:rPr>
            </w:pPr>
            <w:r>
              <w:rPr>
                <w:rFonts w:ascii="宋体" w:hAnsi="宋体" w:cs="宋体" w:eastAsia="宋体" w:hint="default"/>
                <w:sz w:val="16"/>
                <w:szCs w:val="16"/>
              </w:rPr>
              <w:t>可抵扣亏损</w:t>
            </w:r>
          </w:p>
        </w:tc>
        <w:tc>
          <w:tcPr>
            <w:tcW w:w="1930"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69"/>
              <w:jc w:val="right"/>
              <w:rPr>
                <w:rFonts w:ascii="Times New Roman" w:hAnsi="Times New Roman" w:cs="Times New Roman" w:eastAsia="Times New Roman" w:hint="default"/>
                <w:sz w:val="16"/>
                <w:szCs w:val="16"/>
              </w:rPr>
            </w:pPr>
            <w:r>
              <w:rPr>
                <w:rFonts w:ascii="Times New Roman"/>
                <w:spacing w:val="-1"/>
                <w:sz w:val="16"/>
              </w:rPr>
              <w:t>2,404,180.47</w:t>
            </w: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302"/>
              <w:jc w:val="right"/>
              <w:rPr>
                <w:rFonts w:ascii="Times New Roman" w:hAnsi="Times New Roman" w:cs="Times New Roman" w:eastAsia="Times New Roman" w:hint="default"/>
                <w:sz w:val="16"/>
                <w:szCs w:val="16"/>
              </w:rPr>
            </w:pPr>
            <w:r>
              <w:rPr>
                <w:rFonts w:ascii="Times New Roman"/>
                <w:spacing w:val="-1"/>
                <w:sz w:val="16"/>
              </w:rPr>
              <w:t>601,045.12</w:t>
            </w:r>
          </w:p>
        </w:tc>
        <w:tc>
          <w:tcPr>
            <w:tcW w:w="1576" w:type="dxa"/>
            <w:tcBorders>
              <w:top w:val="nil" w:sz="6" w:space="0" w:color="auto"/>
              <w:left w:val="nil" w:sz="6" w:space="0" w:color="auto"/>
              <w:bottom w:val="nil" w:sz="6" w:space="0" w:color="auto"/>
              <w:right w:val="nil" w:sz="6" w:space="0" w:color="auto"/>
            </w:tcBorders>
          </w:tcPr>
          <w:p>
            <w:pPr/>
          </w:p>
        </w:tc>
        <w:tc>
          <w:tcPr>
            <w:tcW w:w="1262" w:type="dxa"/>
            <w:tcBorders>
              <w:top w:val="nil" w:sz="6" w:space="0" w:color="auto"/>
              <w:left w:val="nil" w:sz="6" w:space="0" w:color="auto"/>
              <w:bottom w:val="nil" w:sz="6" w:space="0" w:color="auto"/>
              <w:right w:val="nil" w:sz="6" w:space="0" w:color="auto"/>
            </w:tcBorders>
          </w:tcPr>
          <w:p>
            <w:pPr/>
          </w:p>
        </w:tc>
      </w:tr>
      <w:tr>
        <w:trPr>
          <w:trHeight w:val="349" w:hRule="exact"/>
        </w:trPr>
        <w:tc>
          <w:tcPr>
            <w:tcW w:w="184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宋体" w:hAnsi="宋体" w:cs="宋体" w:eastAsia="宋体" w:hint="default"/>
                <w:sz w:val="16"/>
                <w:szCs w:val="16"/>
              </w:rPr>
              <w:t>未实现兑换损失</w:t>
            </w:r>
          </w:p>
        </w:tc>
        <w:tc>
          <w:tcPr>
            <w:tcW w:w="1930"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69"/>
              <w:jc w:val="right"/>
              <w:rPr>
                <w:rFonts w:ascii="Times New Roman" w:hAnsi="Times New Roman" w:cs="Times New Roman" w:eastAsia="Times New Roman" w:hint="default"/>
                <w:sz w:val="16"/>
                <w:szCs w:val="16"/>
              </w:rPr>
            </w:pPr>
            <w:r>
              <w:rPr>
                <w:rFonts w:ascii="Times New Roman"/>
                <w:spacing w:val="-1"/>
                <w:sz w:val="16"/>
              </w:rPr>
              <w:t>227,831.01</w:t>
            </w: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303"/>
              <w:jc w:val="right"/>
              <w:rPr>
                <w:rFonts w:ascii="Times New Roman" w:hAnsi="Times New Roman" w:cs="Times New Roman" w:eastAsia="Times New Roman" w:hint="default"/>
                <w:sz w:val="16"/>
                <w:szCs w:val="16"/>
              </w:rPr>
            </w:pPr>
            <w:r>
              <w:rPr>
                <w:rFonts w:ascii="Times New Roman"/>
                <w:spacing w:val="-1"/>
                <w:sz w:val="16"/>
              </w:rPr>
              <w:t>45,566.20</w:t>
            </w:r>
          </w:p>
        </w:tc>
        <w:tc>
          <w:tcPr>
            <w:tcW w:w="1576" w:type="dxa"/>
            <w:tcBorders>
              <w:top w:val="nil" w:sz="6" w:space="0" w:color="auto"/>
              <w:left w:val="nil" w:sz="6" w:space="0" w:color="auto"/>
              <w:bottom w:val="nil" w:sz="6" w:space="0" w:color="auto"/>
              <w:right w:val="nil" w:sz="6" w:space="0" w:color="auto"/>
            </w:tcBorders>
          </w:tcPr>
          <w:p>
            <w:pPr/>
          </w:p>
        </w:tc>
        <w:tc>
          <w:tcPr>
            <w:tcW w:w="1262" w:type="dxa"/>
            <w:tcBorders>
              <w:top w:val="nil" w:sz="6" w:space="0" w:color="auto"/>
              <w:left w:val="nil" w:sz="6" w:space="0" w:color="auto"/>
              <w:bottom w:val="nil" w:sz="6" w:space="0" w:color="auto"/>
              <w:right w:val="nil" w:sz="6" w:space="0" w:color="auto"/>
            </w:tcBorders>
          </w:tcPr>
          <w:p>
            <w:pPr/>
          </w:p>
        </w:tc>
      </w:tr>
      <w:tr>
        <w:trPr>
          <w:trHeight w:val="354" w:hRule="exact"/>
        </w:trPr>
        <w:tc>
          <w:tcPr>
            <w:tcW w:w="184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14" w:right="0"/>
              <w:jc w:val="center"/>
              <w:rPr>
                <w:rFonts w:ascii="宋体" w:hAnsi="宋体" w:cs="宋体" w:eastAsia="宋体" w:hint="default"/>
                <w:sz w:val="16"/>
                <w:szCs w:val="16"/>
              </w:rPr>
            </w:pPr>
            <w:r>
              <w:rPr>
                <w:rFonts w:ascii="宋体" w:hAnsi="宋体" w:cs="宋体" w:eastAsia="宋体" w:hint="default"/>
                <w:sz w:val="16"/>
                <w:szCs w:val="16"/>
              </w:rPr>
              <w:t>合计</w:t>
            </w:r>
          </w:p>
        </w:tc>
        <w:tc>
          <w:tcPr>
            <w:tcW w:w="1930"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69"/>
              <w:jc w:val="right"/>
              <w:rPr>
                <w:rFonts w:ascii="Times New Roman" w:hAnsi="Times New Roman" w:cs="Times New Roman" w:eastAsia="Times New Roman" w:hint="default"/>
                <w:sz w:val="16"/>
                <w:szCs w:val="16"/>
              </w:rPr>
            </w:pPr>
            <w:r>
              <w:rPr>
                <w:rFonts w:ascii="Times New Roman"/>
                <w:spacing w:val="-1"/>
                <w:sz w:val="16"/>
              </w:rPr>
              <w:t>582,775,891.14</w:t>
            </w: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302"/>
              <w:jc w:val="right"/>
              <w:rPr>
                <w:rFonts w:ascii="Times New Roman" w:hAnsi="Times New Roman" w:cs="Times New Roman" w:eastAsia="Times New Roman" w:hint="default"/>
                <w:sz w:val="16"/>
                <w:szCs w:val="16"/>
              </w:rPr>
            </w:pPr>
            <w:r>
              <w:rPr>
                <w:rFonts w:ascii="Times New Roman"/>
                <w:spacing w:val="-1"/>
                <w:sz w:val="16"/>
              </w:rPr>
              <w:t>95,675,220.94</w:t>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80"/>
              <w:ind w:left="39" w:right="0"/>
              <w:jc w:val="center"/>
              <w:rPr>
                <w:rFonts w:ascii="Times New Roman" w:hAnsi="Times New Roman" w:cs="Times New Roman" w:eastAsia="Times New Roman" w:hint="default"/>
                <w:sz w:val="16"/>
                <w:szCs w:val="16"/>
              </w:rPr>
            </w:pPr>
            <w:r>
              <w:rPr>
                <w:rFonts w:ascii="Times New Roman"/>
                <w:sz w:val="16"/>
              </w:rPr>
              <w:t>511,226,175.26</w:t>
            </w:r>
          </w:p>
        </w:tc>
        <w:tc>
          <w:tcPr>
            <w:tcW w:w="1262"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8"/>
              <w:jc w:val="right"/>
              <w:rPr>
                <w:rFonts w:ascii="Times New Roman" w:hAnsi="Times New Roman" w:cs="Times New Roman" w:eastAsia="Times New Roman" w:hint="default"/>
                <w:sz w:val="16"/>
                <w:szCs w:val="16"/>
              </w:rPr>
            </w:pPr>
            <w:r>
              <w:rPr>
                <w:rFonts w:ascii="Times New Roman"/>
                <w:spacing w:val="-1"/>
                <w:sz w:val="16"/>
              </w:rPr>
              <w:t>84,541,061.62</w:t>
            </w:r>
          </w:p>
        </w:tc>
      </w:tr>
    </w:tbl>
    <w:p>
      <w:pPr>
        <w:spacing w:after="0" w:line="240" w:lineRule="auto"/>
        <w:jc w:val="right"/>
        <w:rPr>
          <w:rFonts w:ascii="Times New Roman" w:hAnsi="Times New Roman" w:cs="Times New Roman" w:eastAsia="Times New Roman" w:hint="default"/>
          <w:sz w:val="16"/>
          <w:szCs w:val="16"/>
        </w:rPr>
        <w:sectPr>
          <w:footerReference w:type="default" r:id="rId212"/>
          <w:pgSz w:w="11910" w:h="16840"/>
          <w:pgMar w:footer="1001" w:header="0" w:top="1520" w:bottom="1200" w:left="1660" w:right="0"/>
          <w:pgNumType w:start="51"/>
        </w:sectPr>
      </w:pPr>
    </w:p>
    <w:p>
      <w:pPr>
        <w:spacing w:line="240" w:lineRule="auto" w:before="8"/>
        <w:rPr>
          <w:rFonts w:ascii="宋体" w:hAnsi="宋体" w:cs="宋体" w:eastAsia="宋体" w:hint="default"/>
          <w:b/>
          <w:bCs/>
          <w:sz w:val="13"/>
          <w:szCs w:val="13"/>
        </w:rPr>
      </w:pPr>
      <w:r>
        <w:rPr/>
        <w:pict>
          <v:group style="position:absolute;margin-left:119.839996pt;margin-top:583.319641pt;width:410.85pt;height:121.65pt;mso-position-horizontal-relative:page;mso-position-vertical-relative:page;z-index:-1385632" coordorigin="2397,11666" coordsize="8217,2433">
            <v:shape style="position:absolute;left:6078;top:11666;width:10;height:28" type="#_x0000_t75" stroked="false">
              <v:imagedata r:id="rId96" o:title=""/>
            </v:shape>
            <v:shape style="position:absolute;left:8306;top:11666;width:10;height:28" type="#_x0000_t75" stroked="false">
              <v:imagedata r:id="rId96" o:title=""/>
            </v:shape>
            <v:shape style="position:absolute;left:6059;top:11675;width:2276;height:349" type="#_x0000_t75" stroked="false">
              <v:imagedata r:id="rId220" o:title=""/>
            </v:shape>
            <v:shape style="position:absolute;left:2397;top:11992;width:8217;height:2107" type="#_x0000_t75" stroked="false">
              <v:imagedata r:id="rId221" o:title=""/>
            </v:shape>
            <w10:wrap type="none"/>
          </v:group>
        </w:pict>
      </w:r>
    </w:p>
    <w:p>
      <w:pPr>
        <w:pStyle w:val="Heading5"/>
        <w:tabs>
          <w:tab w:pos="1397" w:val="left" w:leader="none"/>
        </w:tabs>
        <w:spacing w:line="240" w:lineRule="auto"/>
        <w:ind w:left="846" w:right="3681"/>
        <w:jc w:val="left"/>
        <w:rPr>
          <w:b w:val="0"/>
          <w:bCs w:val="0"/>
        </w:rPr>
      </w:pPr>
      <w:r>
        <w:rPr/>
        <w:pict>
          <v:group style="position:absolute;margin-left:119.010002pt;margin-top:17.133949pt;width:412.15pt;height:144.450pt;mso-position-horizontal-relative:page;mso-position-vertical-relative:paragraph;z-index:-1385800" coordorigin="2380,343" coordsize="8243,2889">
            <v:group style="position:absolute;left:2410;top:358;width:2042;height:2" coordorigin="2410,358" coordsize="2042,2">
              <v:shape style="position:absolute;left:2410;top:358;width:2042;height:2" coordorigin="2410,358" coordsize="2042,0" path="m2410,358l4451,358e" filled="false" stroked="true" strokeweight="1.5pt" strokecolor="#000000">
                <v:path arrowok="t"/>
              </v:shape>
              <v:shape style="position:absolute;left:4451;top:373;width:10;height:28" type="#_x0000_t75" stroked="false">
                <v:imagedata r:id="rId39" o:title=""/>
              </v:shape>
            </v:group>
            <v:group style="position:absolute;left:4451;top:358;width:2958;height:2" coordorigin="4451,358" coordsize="2958,2">
              <v:shape style="position:absolute;left:4451;top:358;width:2958;height:2" coordorigin="4451,358" coordsize="2958,0" path="m4451,358l7409,358e" filled="false" stroked="true" strokeweight="1.5pt" strokecolor="#000000">
                <v:path arrowok="t"/>
              </v:shape>
              <v:shape style="position:absolute;left:7409;top:373;width:10;height:28" type="#_x0000_t75" stroked="false">
                <v:imagedata r:id="rId39" o:title=""/>
              </v:shape>
            </v:group>
            <v:group style="position:absolute;left:7409;top:358;width:3189;height:2" coordorigin="7409,358" coordsize="3189,2">
              <v:shape style="position:absolute;left:7409;top:358;width:3189;height:2" coordorigin="7409,358" coordsize="3189,0" path="m7409,358l10597,358e" filled="false" stroked="true" strokeweight="1.5pt" strokecolor="#000000">
                <v:path arrowok="t"/>
              </v:shape>
              <v:shape style="position:absolute;left:4432;top:381;width:3006;height:349" type="#_x0000_t75" stroked="false">
                <v:imagedata r:id="rId222" o:title=""/>
              </v:shape>
              <v:shape style="position:absolute;left:4432;top:692;width:6191;height:388" type="#_x0000_t75" stroked="false">
                <v:imagedata r:id="rId223" o:title=""/>
              </v:shape>
            </v:group>
            <v:group style="position:absolute;left:2395;top:3216;width:2056;height:2" coordorigin="2395,3216" coordsize="2056,2">
              <v:shape style="position:absolute;left:2395;top:3216;width:2056;height:2" coordorigin="2395,3216" coordsize="2056,0" path="m2395,3216l4451,3216e" filled="false" stroked="true" strokeweight="1.5pt" strokecolor="#000000">
                <v:path arrowok="t"/>
              </v:shape>
            </v:group>
            <v:group style="position:absolute;left:4451;top:3216;width:1524;height:2" coordorigin="4451,3216" coordsize="1524,2">
              <v:shape style="position:absolute;left:4451;top:3216;width:1524;height:2" coordorigin="4451,3216" coordsize="1524,0" path="m4451,3216l5975,3216e" filled="false" stroked="true" strokeweight="1.5pt" strokecolor="#000000">
                <v:path arrowok="t"/>
              </v:shape>
            </v:group>
            <v:group style="position:absolute;left:5975;top:3216;width:1434;height:2" coordorigin="5975,3216" coordsize="1434,2">
              <v:shape style="position:absolute;left:5975;top:3216;width:1434;height:2" coordorigin="5975,3216" coordsize="1434,0" path="m5975,3216l7409,3216e" filled="false" stroked="true" strokeweight="1.5pt" strokecolor="#000000">
                <v:path arrowok="t"/>
              </v:shape>
            </v:group>
            <v:group style="position:absolute;left:7409;top:3216;width:30;height:2" coordorigin="7409,3216" coordsize="30,2">
              <v:shape style="position:absolute;left:7409;top:3216;width:30;height:2" coordorigin="7409,3216" coordsize="30,0" path="m7409,3216l7439,3216e" filled="false" stroked="true" strokeweight="1.5pt" strokecolor="#000000">
                <v:path arrowok="t"/>
              </v:shape>
            </v:group>
            <v:group style="position:absolute;left:7439;top:3216;width:1600;height:2" coordorigin="7439,3216" coordsize="1600,2">
              <v:shape style="position:absolute;left:7439;top:3216;width:1600;height:2" coordorigin="7439,3216" coordsize="1600,0" path="m7439,3216l9038,3216e" filled="false" stroked="true" strokeweight="1.5pt" strokecolor="#000000">
                <v:path arrowok="t"/>
              </v:shape>
              <v:shape style="position:absolute;left:2390;top:1041;width:8232;height:2160" type="#_x0000_t75" stroked="false">
                <v:imagedata r:id="rId224" o:title=""/>
              </v:shape>
            </v:group>
            <v:group style="position:absolute;left:9038;top:3216;width:1559;height:2" coordorigin="9038,3216" coordsize="1559,2">
              <v:shape style="position:absolute;left:9038;top:3216;width:1559;height:2" coordorigin="9038,3216" coordsize="1559,0" path="m9038,3216l10597,3216e" filled="false" stroked="true" strokeweight="1.5pt" strokecolor="#000000">
                <v:path arrowok="t"/>
              </v:shape>
              <v:shape style="position:absolute;left:5614;top:461;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8686;top:461;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年初余额</w:t>
                      </w:r>
                      <w:r>
                        <w:rPr>
                          <w:rFonts w:ascii="宋体" w:hAnsi="宋体" w:cs="宋体" w:eastAsia="宋体" w:hint="default"/>
                          <w:sz w:val="16"/>
                          <w:szCs w:val="16"/>
                        </w:rPr>
                      </w:r>
                    </w:p>
                  </w:txbxContent>
                </v:textbox>
                <w10:wrap type="none"/>
              </v:shape>
              <v:shape style="position:absolute;left:3272;top:635;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项目</w:t>
                      </w:r>
                      <w:r>
                        <w:rPr>
                          <w:rFonts w:ascii="宋体" w:hAnsi="宋体" w:cs="宋体" w:eastAsia="宋体" w:hint="default"/>
                          <w:sz w:val="16"/>
                          <w:szCs w:val="16"/>
                        </w:rPr>
                      </w:r>
                    </w:p>
                  </w:txbxContent>
                </v:textbox>
                <w10:wrap type="none"/>
              </v:shape>
              <v:shape style="position:absolute;left:4577;top:809;width:12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应纳税暂时性差异</w:t>
                      </w:r>
                      <w:r>
                        <w:rPr>
                          <w:rFonts w:ascii="宋体" w:hAnsi="宋体" w:cs="宋体" w:eastAsia="宋体" w:hint="default"/>
                          <w:sz w:val="16"/>
                          <w:szCs w:val="16"/>
                        </w:rPr>
                      </w:r>
                    </w:p>
                  </w:txbxContent>
                </v:textbox>
                <w10:wrap type="none"/>
              </v:shape>
              <v:shape style="position:absolute;left:6137;top:809;width:111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递延所得税负债</w:t>
                      </w:r>
                      <w:r>
                        <w:rPr>
                          <w:rFonts w:ascii="宋体" w:hAnsi="宋体" w:cs="宋体" w:eastAsia="宋体" w:hint="default"/>
                          <w:sz w:val="16"/>
                          <w:szCs w:val="16"/>
                        </w:rPr>
                      </w:r>
                    </w:p>
                  </w:txbxContent>
                </v:textbox>
                <w10:wrap type="none"/>
              </v:shape>
              <v:shape style="position:absolute;left:7588;top:809;width:12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应纳税暂时性差异</w:t>
                      </w:r>
                      <w:r>
                        <w:rPr>
                          <w:rFonts w:ascii="宋体" w:hAnsi="宋体" w:cs="宋体" w:eastAsia="宋体" w:hint="default"/>
                          <w:sz w:val="16"/>
                          <w:szCs w:val="16"/>
                        </w:rPr>
                      </w:r>
                    </w:p>
                  </w:txbxContent>
                </v:textbox>
                <w10:wrap type="none"/>
              </v:shape>
              <v:shape style="position:absolute;left:9259;top:809;width:111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递延所得税负债</w:t>
                      </w:r>
                      <w:r>
                        <w:rPr>
                          <w:rFonts w:ascii="宋体" w:hAnsi="宋体" w:cs="宋体" w:eastAsia="宋体" w:hint="default"/>
                          <w:sz w:val="16"/>
                          <w:szCs w:val="16"/>
                        </w:rPr>
                      </w:r>
                    </w:p>
                  </w:txbxContent>
                </v:textbox>
                <w10:wrap type="none"/>
              </v:shape>
              <v:shape style="position:absolute;left:2518;top:1121;width:1758;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非同一控制企业合并资产</w:t>
                      </w:r>
                      <w:r>
                        <w:rPr>
                          <w:rFonts w:ascii="宋体" w:hAnsi="宋体" w:cs="宋体" w:eastAsia="宋体" w:hint="default"/>
                          <w:sz w:val="16"/>
                          <w:szCs w:val="16"/>
                        </w:rPr>
                      </w:r>
                    </w:p>
                  </w:txbxContent>
                </v:textbox>
                <w10:wrap type="none"/>
              </v:shape>
              <v:shape style="position:absolute;left:2518;top:1602;width:1758;height:1160"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可供出售金融资产公允价</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值变动</w:t>
                      </w:r>
                    </w:p>
                    <w:p>
                      <w:pPr>
                        <w:spacing w:before="63"/>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其他权益工具投资公允价</w:t>
                      </w:r>
                      <w:r>
                        <w:rPr>
                          <w:rFonts w:ascii="宋体" w:hAnsi="宋体" w:cs="宋体" w:eastAsia="宋体" w:hint="default"/>
                          <w:spacing w:val="9"/>
                          <w:w w:val="95"/>
                          <w:sz w:val="16"/>
                          <w:szCs w:val="16"/>
                        </w:rPr>
                        <w:t> </w:t>
                      </w:r>
                      <w:r>
                        <w:rPr>
                          <w:rFonts w:ascii="宋体" w:hAnsi="宋体" w:cs="宋体" w:eastAsia="宋体" w:hint="default"/>
                          <w:spacing w:val="9"/>
                          <w:w w:val="95"/>
                          <w:sz w:val="16"/>
                          <w:szCs w:val="16"/>
                        </w:rPr>
                      </w:r>
                      <w:r>
                        <w:rPr>
                          <w:rFonts w:ascii="宋体" w:hAnsi="宋体" w:cs="宋体" w:eastAsia="宋体" w:hint="default"/>
                          <w:sz w:val="16"/>
                          <w:szCs w:val="16"/>
                        </w:rPr>
                        <w:t>值变动</w:t>
                      </w:r>
                    </w:p>
                    <w:p>
                      <w:pPr>
                        <w:spacing w:before="102"/>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其他（未实现兑换利益）</w:t>
                      </w:r>
                      <w:r>
                        <w:rPr>
                          <w:rFonts w:ascii="宋体" w:hAnsi="宋体" w:cs="宋体" w:eastAsia="宋体" w:hint="default"/>
                          <w:sz w:val="16"/>
                          <w:szCs w:val="16"/>
                        </w:rPr>
                      </w:r>
                    </w:p>
                  </w:txbxContent>
                </v:textbox>
                <w10:wrap type="none"/>
              </v:shape>
              <v:shape style="position:absolute;left:4871;top:1719;width:100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152,410,205.29</w:t>
                      </w:r>
                      <w:r>
                        <w:rPr>
                          <w:rFonts w:ascii="Times New Roman"/>
                          <w:sz w:val="16"/>
                        </w:rPr>
                      </w:r>
                    </w:p>
                  </w:txbxContent>
                </v:textbox>
                <w10:wrap type="none"/>
              </v:shape>
              <v:shape style="position:absolute;left:6385;top:1719;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37,986,991.26</w:t>
                      </w:r>
                      <w:r>
                        <w:rPr>
                          <w:rFonts w:ascii="Times New Roman"/>
                          <w:sz w:val="16"/>
                        </w:rPr>
                      </w:r>
                    </w:p>
                  </w:txbxContent>
                </v:textbox>
                <w10:wrap type="none"/>
              </v:shape>
              <v:shape style="position:absolute;left:7814;top:1719;width:112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1,467,645,501.67</w:t>
                      </w:r>
                      <w:r>
                        <w:rPr>
                          <w:rFonts w:ascii="Times New Roman"/>
                          <w:sz w:val="16"/>
                        </w:rPr>
                      </w:r>
                    </w:p>
                  </w:txbxContent>
                </v:textbox>
                <w10:wrap type="none"/>
              </v:shape>
              <v:shape style="position:absolute;left:9490;top:1719;width:100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220,146,825.26</w:t>
                      </w:r>
                      <w:r>
                        <w:rPr>
                          <w:rFonts w:ascii="Times New Roman"/>
                          <w:sz w:val="16"/>
                        </w:rPr>
                      </w:r>
                    </w:p>
                  </w:txbxContent>
                </v:textbox>
                <w10:wrap type="none"/>
              </v:shape>
              <v:shape style="position:absolute;left:5231;top:2615;width:64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74,039.34</w:t>
                      </w:r>
                      <w:r>
                        <w:rPr>
                          <w:rFonts w:ascii="Times New Roman"/>
                          <w:sz w:val="16"/>
                        </w:rPr>
                      </w:r>
                    </w:p>
                  </w:txbxContent>
                </v:textbox>
                <w10:wrap type="none"/>
              </v:shape>
              <v:shape style="position:absolute;left:6666;top:2615;width:64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14,807.87</w:t>
                      </w:r>
                      <w:r>
                        <w:rPr>
                          <w:rFonts w:ascii="Times New Roman"/>
                          <w:sz w:val="16"/>
                        </w:rPr>
                      </w:r>
                    </w:p>
                  </w:txbxContent>
                </v:textbox>
                <w10:wrap type="none"/>
              </v:shape>
              <v:shape style="position:absolute;left:3272;top:2951;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合计</w:t>
                      </w:r>
                      <w:r>
                        <w:rPr>
                          <w:rFonts w:ascii="宋体" w:hAnsi="宋体" w:cs="宋体" w:eastAsia="宋体" w:hint="default"/>
                          <w:sz w:val="16"/>
                          <w:szCs w:val="16"/>
                        </w:rPr>
                      </w:r>
                    </w:p>
                  </w:txbxContent>
                </v:textbox>
                <w10:wrap type="none"/>
              </v:shape>
              <v:shape style="position:absolute;left:4877;top:2965;width:995;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pacing w:val="-1"/>
                          <w:sz w:val="16"/>
                        </w:rPr>
                        <w:t>155,657,454.11</w:t>
                      </w:r>
                    </w:p>
                  </w:txbxContent>
                </v:textbox>
                <w10:wrap type="none"/>
              </v:shape>
              <v:shape style="position:absolute;left:6385;top:2965;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38,795,101.50</w:t>
                      </w:r>
                      <w:r>
                        <w:rPr>
                          <w:rFonts w:ascii="Times New Roman"/>
                          <w:sz w:val="16"/>
                        </w:rPr>
                      </w:r>
                    </w:p>
                  </w:txbxContent>
                </v:textbox>
                <w10:wrap type="none"/>
              </v:shape>
              <v:shape style="position:absolute;left:7814;top:2965;width:112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1,470,755,738.19</w:t>
                      </w:r>
                      <w:r>
                        <w:rPr>
                          <w:rFonts w:ascii="Times New Roman"/>
                          <w:sz w:val="16"/>
                        </w:rPr>
                      </w:r>
                    </w:p>
                  </w:txbxContent>
                </v:textbox>
                <w10:wrap type="none"/>
              </v:shape>
              <v:shape style="position:absolute;left:9490;top:2965;width:100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220,924,384.39</w:t>
                      </w:r>
                      <w:r>
                        <w:rPr>
                          <w:rFonts w:ascii="Times New Roman"/>
                          <w:sz w:val="16"/>
                        </w:rPr>
                      </w:r>
                    </w:p>
                  </w:txbxContent>
                </v:textbox>
                <w10:wrap type="none"/>
              </v:shape>
            </v:group>
            <w10:wrap type="none"/>
          </v:group>
        </w:pict>
      </w:r>
      <w:r>
        <w:rPr>
          <w:rFonts w:ascii="Times New Roman" w:hAnsi="Times New Roman" w:cs="Times New Roman" w:eastAsia="Times New Roman" w:hint="default"/>
          <w:w w:val="95"/>
        </w:rPr>
        <w:t>2</w:t>
      </w:r>
      <w:r>
        <w:rPr>
          <w:w w:val="95"/>
        </w:rPr>
        <w:t>、</w:t>
        <w:tab/>
      </w:r>
      <w:r>
        <w:rPr/>
        <w:t>未经抵销的递延所得税负债</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9"/>
          <w:szCs w:val="29"/>
        </w:rPr>
      </w:pPr>
    </w:p>
    <w:tbl>
      <w:tblPr>
        <w:tblW w:w="0" w:type="auto"/>
        <w:jc w:val="left"/>
        <w:tblInd w:w="787" w:type="dxa"/>
        <w:tblLayout w:type="fixed"/>
        <w:tblCellMar>
          <w:top w:w="0" w:type="dxa"/>
          <w:left w:w="0" w:type="dxa"/>
          <w:bottom w:w="0" w:type="dxa"/>
          <w:right w:w="0" w:type="dxa"/>
        </w:tblCellMar>
        <w:tblLook w:val="01E0"/>
      </w:tblPr>
      <w:tblGrid>
        <w:gridCol w:w="2129"/>
        <w:gridCol w:w="1552"/>
        <w:gridCol w:w="1432"/>
        <w:gridCol w:w="1652"/>
        <w:gridCol w:w="1347"/>
      </w:tblGrid>
      <w:tr>
        <w:trPr>
          <w:trHeight w:val="320" w:hRule="exact"/>
        </w:trPr>
        <w:tc>
          <w:tcPr>
            <w:tcW w:w="3681" w:type="dxa"/>
            <w:gridSpan w:val="2"/>
            <w:tcBorders>
              <w:top w:val="nil" w:sz="6" w:space="0" w:color="auto"/>
              <w:left w:val="nil" w:sz="6" w:space="0" w:color="auto"/>
              <w:bottom w:val="nil" w:sz="6" w:space="0" w:color="auto"/>
              <w:right w:val="nil" w:sz="6" w:space="0" w:color="auto"/>
            </w:tcBorders>
          </w:tcPr>
          <w:p>
            <w:pPr>
              <w:pStyle w:val="TableParagraph"/>
              <w:tabs>
                <w:tab w:pos="2582" w:val="left" w:leader="none"/>
              </w:tabs>
              <w:spacing w:line="251" w:lineRule="exact"/>
              <w:ind w:left="70" w:right="0"/>
              <w:jc w:val="left"/>
              <w:rPr>
                <w:rFonts w:ascii="Times New Roman" w:hAnsi="Times New Roman" w:cs="Times New Roman" w:eastAsia="Times New Roman" w:hint="default"/>
                <w:sz w:val="16"/>
                <w:szCs w:val="16"/>
              </w:rPr>
            </w:pPr>
            <w:r>
              <w:rPr>
                <w:rFonts w:ascii="宋体" w:hAnsi="宋体" w:cs="宋体" w:eastAsia="宋体" w:hint="default"/>
                <w:w w:val="95"/>
                <w:position w:val="-9"/>
                <w:sz w:val="16"/>
                <w:szCs w:val="16"/>
              </w:rPr>
              <w:t>评估增值</w:t>
              <w:tab/>
            </w:r>
            <w:r>
              <w:rPr>
                <w:rFonts w:ascii="Times New Roman" w:hAnsi="Times New Roman" w:cs="Times New Roman" w:eastAsia="Times New Roman" w:hint="default"/>
                <w:sz w:val="16"/>
                <w:szCs w:val="16"/>
              </w:rPr>
              <w:t>3,173,209.48</w:t>
            </w:r>
          </w:p>
        </w:tc>
        <w:tc>
          <w:tcPr>
            <w:tcW w:w="1432" w:type="dxa"/>
            <w:tcBorders>
              <w:top w:val="nil" w:sz="6" w:space="0" w:color="auto"/>
              <w:left w:val="nil" w:sz="6" w:space="0" w:color="auto"/>
              <w:bottom w:val="nil" w:sz="6" w:space="0" w:color="auto"/>
              <w:right w:val="nil" w:sz="6" w:space="0" w:color="auto"/>
            </w:tcBorders>
          </w:tcPr>
          <w:p>
            <w:pPr>
              <w:pStyle w:val="TableParagraph"/>
              <w:spacing w:line="163" w:lineRule="exact"/>
              <w:ind w:left="457" w:right="0"/>
              <w:jc w:val="left"/>
              <w:rPr>
                <w:rFonts w:ascii="Times New Roman" w:hAnsi="Times New Roman" w:cs="Times New Roman" w:eastAsia="Times New Roman" w:hint="default"/>
                <w:sz w:val="16"/>
                <w:szCs w:val="16"/>
              </w:rPr>
            </w:pPr>
            <w:r>
              <w:rPr>
                <w:rFonts w:ascii="Times New Roman"/>
                <w:sz w:val="16"/>
              </w:rPr>
              <w:t>793,302.37</w:t>
            </w:r>
          </w:p>
        </w:tc>
        <w:tc>
          <w:tcPr>
            <w:tcW w:w="1652" w:type="dxa"/>
            <w:tcBorders>
              <w:top w:val="nil" w:sz="6" w:space="0" w:color="auto"/>
              <w:left w:val="nil" w:sz="6" w:space="0" w:color="auto"/>
              <w:bottom w:val="nil" w:sz="6" w:space="0" w:color="auto"/>
              <w:right w:val="nil" w:sz="6" w:space="0" w:color="auto"/>
            </w:tcBorders>
          </w:tcPr>
          <w:p>
            <w:pPr>
              <w:pStyle w:val="TableParagraph"/>
              <w:spacing w:line="163" w:lineRule="exact"/>
              <w:ind w:left="539" w:right="0"/>
              <w:jc w:val="left"/>
              <w:rPr>
                <w:rFonts w:ascii="Times New Roman" w:hAnsi="Times New Roman" w:cs="Times New Roman" w:eastAsia="Times New Roman" w:hint="default"/>
                <w:sz w:val="16"/>
                <w:szCs w:val="16"/>
              </w:rPr>
            </w:pPr>
            <w:r>
              <w:rPr>
                <w:rFonts w:ascii="Times New Roman"/>
                <w:sz w:val="16"/>
              </w:rPr>
              <w:t>3,110,236.52</w:t>
            </w:r>
          </w:p>
        </w:tc>
        <w:tc>
          <w:tcPr>
            <w:tcW w:w="1347" w:type="dxa"/>
            <w:tcBorders>
              <w:top w:val="nil" w:sz="6" w:space="0" w:color="auto"/>
              <w:left w:val="nil" w:sz="6" w:space="0" w:color="auto"/>
              <w:bottom w:val="nil" w:sz="6" w:space="0" w:color="auto"/>
              <w:right w:val="nil" w:sz="6" w:space="0" w:color="auto"/>
            </w:tcBorders>
          </w:tcPr>
          <w:p>
            <w:pPr>
              <w:pStyle w:val="TableParagraph"/>
              <w:spacing w:line="163" w:lineRule="exact"/>
              <w:ind w:left="556" w:right="0"/>
              <w:jc w:val="left"/>
              <w:rPr>
                <w:rFonts w:ascii="Times New Roman" w:hAnsi="Times New Roman" w:cs="Times New Roman" w:eastAsia="Times New Roman" w:hint="default"/>
                <w:sz w:val="16"/>
                <w:szCs w:val="16"/>
              </w:rPr>
            </w:pPr>
            <w:r>
              <w:rPr>
                <w:rFonts w:ascii="Times New Roman"/>
                <w:sz w:val="16"/>
              </w:rPr>
              <w:t>777,559.13</w:t>
            </w:r>
          </w:p>
        </w:tc>
      </w:tr>
      <w:tr>
        <w:trPr>
          <w:trHeight w:val="320" w:hRule="exact"/>
        </w:trPr>
        <w:tc>
          <w:tcPr>
            <w:tcW w:w="3681" w:type="dxa"/>
            <w:gridSpan w:val="2"/>
            <w:tcBorders>
              <w:top w:val="nil" w:sz="6" w:space="0" w:color="auto"/>
              <w:left w:val="nil" w:sz="6" w:space="0" w:color="auto"/>
              <w:bottom w:val="nil" w:sz="6" w:space="0" w:color="auto"/>
              <w:right w:val="nil" w:sz="6" w:space="0" w:color="auto"/>
            </w:tcBorders>
          </w:tcPr>
          <w:p>
            <w:pPr/>
          </w:p>
        </w:tc>
        <w:tc>
          <w:tcPr>
            <w:tcW w:w="1432" w:type="dxa"/>
            <w:tcBorders>
              <w:top w:val="nil" w:sz="6" w:space="0" w:color="auto"/>
              <w:left w:val="nil" w:sz="6" w:space="0" w:color="auto"/>
              <w:bottom w:val="nil" w:sz="6" w:space="0" w:color="auto"/>
              <w:right w:val="nil" w:sz="6" w:space="0" w:color="auto"/>
            </w:tcBorders>
          </w:tcPr>
          <w:p>
            <w:pPr/>
          </w:p>
        </w:tc>
        <w:tc>
          <w:tcPr>
            <w:tcW w:w="1652" w:type="dxa"/>
            <w:tcBorders>
              <w:top w:val="nil" w:sz="6" w:space="0" w:color="auto"/>
              <w:left w:val="nil" w:sz="6" w:space="0" w:color="auto"/>
              <w:bottom w:val="nil" w:sz="6" w:space="0" w:color="auto"/>
              <w:right w:val="nil" w:sz="6" w:space="0" w:color="auto"/>
            </w:tcBorders>
          </w:tcPr>
          <w:p>
            <w:pPr/>
          </w:p>
        </w:tc>
        <w:tc>
          <w:tcPr>
            <w:tcW w:w="1347" w:type="dxa"/>
            <w:tcBorders>
              <w:top w:val="nil" w:sz="6" w:space="0" w:color="auto"/>
              <w:left w:val="nil" w:sz="6" w:space="0" w:color="auto"/>
              <w:bottom w:val="nil" w:sz="6" w:space="0" w:color="auto"/>
              <w:right w:val="nil" w:sz="6" w:space="0" w:color="auto"/>
            </w:tcBorders>
          </w:tcPr>
          <w:p>
            <w:pPr/>
          </w:p>
        </w:tc>
      </w:tr>
      <w:tr>
        <w:trPr>
          <w:trHeight w:val="147" w:hRule="exact"/>
        </w:trPr>
        <w:tc>
          <w:tcPr>
            <w:tcW w:w="8112" w:type="dxa"/>
            <w:gridSpan w:val="5"/>
            <w:tcBorders>
              <w:top w:val="nil" w:sz="6" w:space="0" w:color="auto"/>
              <w:left w:val="nil" w:sz="6" w:space="0" w:color="auto"/>
              <w:bottom w:val="nil" w:sz="6" w:space="0" w:color="auto"/>
              <w:right w:val="nil" w:sz="6" w:space="0" w:color="auto"/>
            </w:tcBorders>
          </w:tcPr>
          <w:p>
            <w:pPr/>
          </w:p>
        </w:tc>
      </w:tr>
      <w:tr>
        <w:trPr>
          <w:trHeight w:val="240" w:hRule="exact"/>
        </w:trPr>
        <w:tc>
          <w:tcPr>
            <w:tcW w:w="2129" w:type="dxa"/>
            <w:tcBorders>
              <w:top w:val="nil" w:sz="6" w:space="0" w:color="auto"/>
              <w:left w:val="nil" w:sz="6" w:space="0" w:color="auto"/>
              <w:bottom w:val="nil" w:sz="6" w:space="0" w:color="auto"/>
              <w:right w:val="nil" w:sz="6" w:space="0" w:color="auto"/>
            </w:tcBorders>
          </w:tcPr>
          <w:p>
            <w:pPr/>
          </w:p>
        </w:tc>
        <w:tc>
          <w:tcPr>
            <w:tcW w:w="1552" w:type="dxa"/>
            <w:tcBorders>
              <w:top w:val="nil" w:sz="6" w:space="0" w:color="auto"/>
              <w:left w:val="nil" w:sz="6" w:space="0" w:color="auto"/>
              <w:bottom w:val="nil" w:sz="6" w:space="0" w:color="auto"/>
              <w:right w:val="nil" w:sz="6" w:space="0" w:color="auto"/>
            </w:tcBorders>
          </w:tcPr>
          <w:p>
            <w:pPr/>
          </w:p>
        </w:tc>
        <w:tc>
          <w:tcPr>
            <w:tcW w:w="1432" w:type="dxa"/>
            <w:tcBorders>
              <w:top w:val="nil" w:sz="6" w:space="0" w:color="auto"/>
              <w:left w:val="nil" w:sz="6" w:space="0" w:color="auto"/>
              <w:bottom w:val="nil" w:sz="6" w:space="0" w:color="auto"/>
              <w:right w:val="nil" w:sz="6" w:space="0" w:color="auto"/>
            </w:tcBorders>
          </w:tcPr>
          <w:p>
            <w:pPr/>
          </w:p>
        </w:tc>
        <w:tc>
          <w:tcPr>
            <w:tcW w:w="1652" w:type="dxa"/>
            <w:tcBorders>
              <w:top w:val="nil" w:sz="6" w:space="0" w:color="auto"/>
              <w:left w:val="nil" w:sz="6" w:space="0" w:color="auto"/>
              <w:bottom w:val="nil" w:sz="6" w:space="0" w:color="auto"/>
              <w:right w:val="nil" w:sz="6" w:space="0" w:color="auto"/>
            </w:tcBorders>
          </w:tcPr>
          <w:p>
            <w:pPr/>
          </w:p>
        </w:tc>
        <w:tc>
          <w:tcPr>
            <w:tcW w:w="1347" w:type="dxa"/>
            <w:tcBorders>
              <w:top w:val="nil" w:sz="6" w:space="0" w:color="auto"/>
              <w:left w:val="nil" w:sz="6" w:space="0" w:color="auto"/>
              <w:bottom w:val="nil" w:sz="6" w:space="0" w:color="auto"/>
              <w:right w:val="nil" w:sz="6" w:space="0" w:color="auto"/>
            </w:tcBorders>
          </w:tcPr>
          <w:p>
            <w:pPr/>
          </w:p>
        </w:tc>
      </w:tr>
      <w:tr>
        <w:trPr>
          <w:trHeight w:val="260" w:hRule="exact"/>
        </w:trPr>
        <w:tc>
          <w:tcPr>
            <w:tcW w:w="2129" w:type="dxa"/>
            <w:tcBorders>
              <w:top w:val="nil" w:sz="6" w:space="0" w:color="auto"/>
              <w:left w:val="nil" w:sz="6" w:space="0" w:color="auto"/>
              <w:bottom w:val="nil" w:sz="6" w:space="0" w:color="auto"/>
              <w:right w:val="nil" w:sz="6" w:space="0" w:color="auto"/>
            </w:tcBorders>
          </w:tcPr>
          <w:p>
            <w:pPr/>
          </w:p>
        </w:tc>
        <w:tc>
          <w:tcPr>
            <w:tcW w:w="1552" w:type="dxa"/>
            <w:tcBorders>
              <w:top w:val="nil" w:sz="6" w:space="0" w:color="auto"/>
              <w:left w:val="nil" w:sz="6" w:space="0" w:color="auto"/>
              <w:bottom w:val="nil" w:sz="6" w:space="0" w:color="auto"/>
              <w:right w:val="nil" w:sz="6" w:space="0" w:color="auto"/>
            </w:tcBorders>
          </w:tcPr>
          <w:p>
            <w:pPr/>
          </w:p>
        </w:tc>
        <w:tc>
          <w:tcPr>
            <w:tcW w:w="1432" w:type="dxa"/>
            <w:tcBorders>
              <w:top w:val="nil" w:sz="6" w:space="0" w:color="auto"/>
              <w:left w:val="nil" w:sz="6" w:space="0" w:color="auto"/>
              <w:bottom w:val="nil" w:sz="6" w:space="0" w:color="auto"/>
              <w:right w:val="nil" w:sz="6" w:space="0" w:color="auto"/>
            </w:tcBorders>
          </w:tcPr>
          <w:p>
            <w:pPr/>
          </w:p>
        </w:tc>
        <w:tc>
          <w:tcPr>
            <w:tcW w:w="1652" w:type="dxa"/>
            <w:tcBorders>
              <w:top w:val="nil" w:sz="6" w:space="0" w:color="auto"/>
              <w:left w:val="nil" w:sz="6" w:space="0" w:color="auto"/>
              <w:bottom w:val="nil" w:sz="6" w:space="0" w:color="auto"/>
              <w:right w:val="nil" w:sz="6" w:space="0" w:color="auto"/>
            </w:tcBorders>
          </w:tcPr>
          <w:p>
            <w:pPr/>
          </w:p>
        </w:tc>
        <w:tc>
          <w:tcPr>
            <w:tcW w:w="1347" w:type="dxa"/>
            <w:tcBorders>
              <w:top w:val="nil" w:sz="6" w:space="0" w:color="auto"/>
              <w:left w:val="nil" w:sz="6" w:space="0" w:color="auto"/>
              <w:bottom w:val="nil" w:sz="6" w:space="0" w:color="auto"/>
              <w:right w:val="nil" w:sz="6" w:space="0" w:color="auto"/>
            </w:tcBorders>
          </w:tcPr>
          <w:p>
            <w:pPr/>
          </w:p>
        </w:tc>
      </w:tr>
      <w:tr>
        <w:trPr>
          <w:trHeight w:val="337" w:hRule="exact"/>
        </w:trPr>
        <w:tc>
          <w:tcPr>
            <w:tcW w:w="2129" w:type="dxa"/>
            <w:tcBorders>
              <w:top w:val="nil" w:sz="6" w:space="0" w:color="auto"/>
              <w:left w:val="nil" w:sz="6" w:space="0" w:color="auto"/>
              <w:bottom w:val="nil" w:sz="6" w:space="0" w:color="auto"/>
              <w:right w:val="nil" w:sz="6" w:space="0" w:color="auto"/>
            </w:tcBorders>
          </w:tcPr>
          <w:p>
            <w:pPr/>
          </w:p>
        </w:tc>
        <w:tc>
          <w:tcPr>
            <w:tcW w:w="1552" w:type="dxa"/>
            <w:tcBorders>
              <w:top w:val="nil" w:sz="6" w:space="0" w:color="auto"/>
              <w:left w:val="nil" w:sz="6" w:space="0" w:color="auto"/>
              <w:bottom w:val="nil" w:sz="6" w:space="0" w:color="auto"/>
              <w:right w:val="nil" w:sz="6" w:space="0" w:color="auto"/>
            </w:tcBorders>
          </w:tcPr>
          <w:p>
            <w:pPr/>
          </w:p>
        </w:tc>
        <w:tc>
          <w:tcPr>
            <w:tcW w:w="1432" w:type="dxa"/>
            <w:tcBorders>
              <w:top w:val="nil" w:sz="6" w:space="0" w:color="auto"/>
              <w:left w:val="nil" w:sz="6" w:space="0" w:color="auto"/>
              <w:bottom w:val="nil" w:sz="6" w:space="0" w:color="auto"/>
              <w:right w:val="nil" w:sz="6" w:space="0" w:color="auto"/>
            </w:tcBorders>
          </w:tcPr>
          <w:p>
            <w:pPr/>
          </w:p>
        </w:tc>
        <w:tc>
          <w:tcPr>
            <w:tcW w:w="1652" w:type="dxa"/>
            <w:tcBorders>
              <w:top w:val="nil" w:sz="6" w:space="0" w:color="auto"/>
              <w:left w:val="nil" w:sz="6" w:space="0" w:color="auto"/>
              <w:bottom w:val="nil" w:sz="6" w:space="0" w:color="auto"/>
              <w:right w:val="nil" w:sz="6" w:space="0" w:color="auto"/>
            </w:tcBorders>
          </w:tcPr>
          <w:p>
            <w:pPr/>
          </w:p>
        </w:tc>
        <w:tc>
          <w:tcPr>
            <w:tcW w:w="1347" w:type="dxa"/>
            <w:tcBorders>
              <w:top w:val="nil" w:sz="6" w:space="0" w:color="auto"/>
              <w:left w:val="nil" w:sz="6" w:space="0" w:color="auto"/>
              <w:bottom w:val="nil" w:sz="6" w:space="0" w:color="auto"/>
              <w:right w:val="nil" w:sz="6" w:space="0" w:color="auto"/>
            </w:tcBorders>
          </w:tcPr>
          <w:p>
            <w:pPr/>
          </w:p>
        </w:tc>
      </w:tr>
      <w:tr>
        <w:trPr>
          <w:trHeight w:val="353" w:hRule="exact"/>
        </w:trPr>
        <w:tc>
          <w:tcPr>
            <w:tcW w:w="2129" w:type="dxa"/>
            <w:tcBorders>
              <w:top w:val="nil" w:sz="6" w:space="0" w:color="auto"/>
              <w:left w:val="nil" w:sz="6" w:space="0" w:color="auto"/>
              <w:bottom w:val="nil" w:sz="6" w:space="0" w:color="auto"/>
              <w:right w:val="nil" w:sz="6" w:space="0" w:color="auto"/>
            </w:tcBorders>
          </w:tcPr>
          <w:p>
            <w:pPr/>
          </w:p>
        </w:tc>
        <w:tc>
          <w:tcPr>
            <w:tcW w:w="1552" w:type="dxa"/>
            <w:tcBorders>
              <w:top w:val="nil" w:sz="6" w:space="0" w:color="auto"/>
              <w:left w:val="nil" w:sz="6" w:space="0" w:color="auto"/>
              <w:bottom w:val="nil" w:sz="6" w:space="0" w:color="auto"/>
              <w:right w:val="nil" w:sz="6" w:space="0" w:color="auto"/>
            </w:tcBorders>
          </w:tcPr>
          <w:p>
            <w:pPr/>
          </w:p>
        </w:tc>
        <w:tc>
          <w:tcPr>
            <w:tcW w:w="1432" w:type="dxa"/>
            <w:tcBorders>
              <w:top w:val="nil" w:sz="6" w:space="0" w:color="auto"/>
              <w:left w:val="nil" w:sz="6" w:space="0" w:color="auto"/>
              <w:bottom w:val="nil" w:sz="6" w:space="0" w:color="auto"/>
              <w:right w:val="nil" w:sz="6" w:space="0" w:color="auto"/>
            </w:tcBorders>
          </w:tcPr>
          <w:p>
            <w:pPr/>
          </w:p>
        </w:tc>
        <w:tc>
          <w:tcPr>
            <w:tcW w:w="1652" w:type="dxa"/>
            <w:tcBorders>
              <w:top w:val="nil" w:sz="6" w:space="0" w:color="auto"/>
              <w:left w:val="nil" w:sz="6" w:space="0" w:color="auto"/>
              <w:bottom w:val="nil" w:sz="6" w:space="0" w:color="auto"/>
              <w:right w:val="nil" w:sz="6" w:space="0" w:color="auto"/>
            </w:tcBorders>
          </w:tcPr>
          <w:p>
            <w:pPr/>
          </w:p>
        </w:tc>
        <w:tc>
          <w:tcPr>
            <w:tcW w:w="1347" w:type="dxa"/>
            <w:tcBorders>
              <w:top w:val="nil" w:sz="6" w:space="0" w:color="auto"/>
              <w:left w:val="nil" w:sz="6" w:space="0" w:color="auto"/>
              <w:bottom w:val="nil" w:sz="6" w:space="0" w:color="auto"/>
              <w:right w:val="nil" w:sz="6" w:space="0" w:color="auto"/>
            </w:tcBorders>
          </w:tcPr>
          <w:p>
            <w:pPr/>
          </w:p>
        </w:tc>
      </w:tr>
      <w:tr>
        <w:trPr>
          <w:trHeight w:val="280" w:hRule="exact"/>
        </w:trPr>
        <w:tc>
          <w:tcPr>
            <w:tcW w:w="2129" w:type="dxa"/>
            <w:tcBorders>
              <w:top w:val="nil" w:sz="6" w:space="0" w:color="auto"/>
              <w:left w:val="nil" w:sz="6" w:space="0" w:color="auto"/>
              <w:bottom w:val="nil" w:sz="6" w:space="0" w:color="auto"/>
              <w:right w:val="nil" w:sz="6" w:space="0" w:color="auto"/>
            </w:tcBorders>
          </w:tcPr>
          <w:p>
            <w:pPr/>
          </w:p>
        </w:tc>
        <w:tc>
          <w:tcPr>
            <w:tcW w:w="1552" w:type="dxa"/>
            <w:tcBorders>
              <w:top w:val="nil" w:sz="6" w:space="0" w:color="auto"/>
              <w:left w:val="nil" w:sz="6" w:space="0" w:color="auto"/>
              <w:bottom w:val="nil" w:sz="6" w:space="0" w:color="auto"/>
              <w:right w:val="nil" w:sz="6" w:space="0" w:color="auto"/>
            </w:tcBorders>
          </w:tcPr>
          <w:p>
            <w:pPr/>
          </w:p>
        </w:tc>
        <w:tc>
          <w:tcPr>
            <w:tcW w:w="1432" w:type="dxa"/>
            <w:tcBorders>
              <w:top w:val="nil" w:sz="6" w:space="0" w:color="auto"/>
              <w:left w:val="nil" w:sz="6" w:space="0" w:color="auto"/>
              <w:bottom w:val="nil" w:sz="6" w:space="0" w:color="auto"/>
              <w:right w:val="nil" w:sz="6" w:space="0" w:color="auto"/>
            </w:tcBorders>
          </w:tcPr>
          <w:p>
            <w:pPr/>
          </w:p>
        </w:tc>
        <w:tc>
          <w:tcPr>
            <w:tcW w:w="1652" w:type="dxa"/>
            <w:tcBorders>
              <w:top w:val="nil" w:sz="6" w:space="0" w:color="auto"/>
              <w:left w:val="nil" w:sz="6" w:space="0" w:color="auto"/>
              <w:bottom w:val="nil" w:sz="6" w:space="0" w:color="auto"/>
              <w:right w:val="nil" w:sz="6" w:space="0" w:color="auto"/>
            </w:tcBorders>
          </w:tcPr>
          <w:p>
            <w:pPr/>
          </w:p>
        </w:tc>
        <w:tc>
          <w:tcPr>
            <w:tcW w:w="1347"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4"/>
          <w:szCs w:val="24"/>
        </w:rPr>
      </w:pPr>
    </w:p>
    <w:p>
      <w:pPr>
        <w:pStyle w:val="Heading5"/>
        <w:tabs>
          <w:tab w:pos="1397" w:val="left" w:leader="none"/>
        </w:tabs>
        <w:spacing w:line="240" w:lineRule="auto"/>
        <w:ind w:left="846" w:right="3681"/>
        <w:jc w:val="left"/>
        <w:rPr>
          <w:b w:val="0"/>
          <w:bCs w:val="0"/>
        </w:rPr>
      </w:pPr>
      <w:r>
        <w:rPr/>
        <w:pict>
          <v:group style="position:absolute;margin-left:119.010002pt;margin-top:17.07395pt;width:411.85pt;height:72.3pt;mso-position-horizontal-relative:page;mso-position-vertical-relative:paragraph;z-index:-1385776" coordorigin="2380,341" coordsize="8237,1446">
            <v:group style="position:absolute;left:2410;top:356;width:4137;height:2" coordorigin="2410,356" coordsize="4137,2">
              <v:shape style="position:absolute;left:2410;top:356;width:4137;height:2" coordorigin="2410,356" coordsize="4137,0" path="m2410,356l6546,356e" filled="false" stroked="true" strokeweight="1.5pt" strokecolor="#000000">
                <v:path arrowok="t"/>
              </v:shape>
              <v:shape style="position:absolute;left:6546;top:371;width:10;height:28" type="#_x0000_t75" stroked="false">
                <v:imagedata r:id="rId37" o:title=""/>
              </v:shape>
            </v:group>
            <v:group style="position:absolute;left:6546;top:356;width:2064;height:2" coordorigin="6546,356" coordsize="2064,2">
              <v:shape style="position:absolute;left:6546;top:356;width:2064;height:2" coordorigin="6546,356" coordsize="2064,0" path="m6546,356l8610,356e" filled="false" stroked="true" strokeweight="1.5pt" strokecolor="#000000">
                <v:path arrowok="t"/>
              </v:shape>
              <v:shape style="position:absolute;left:8610;top:371;width:10;height:28" type="#_x0000_t75" stroked="false">
                <v:imagedata r:id="rId37" o:title=""/>
              </v:shape>
            </v:group>
            <v:group style="position:absolute;left:8610;top:356;width:1988;height:2" coordorigin="8610,356" coordsize="1988,2">
              <v:shape style="position:absolute;left:8610;top:356;width:1988;height:2" coordorigin="8610,356" coordsize="1988,0" path="m8610,356l10597,356e" filled="false" stroked="true" strokeweight="1.5pt" strokecolor="#000000">
                <v:path arrowok="t"/>
              </v:shape>
              <v:shape style="position:absolute;left:6527;top:380;width:2112;height:349" type="#_x0000_t75" stroked="false">
                <v:imagedata r:id="rId225" o:title=""/>
              </v:shape>
            </v:group>
            <v:group style="position:absolute;left:2395;top:1772;width:4151;height:2" coordorigin="2395,1772" coordsize="4151,2">
              <v:shape style="position:absolute;left:2395;top:1772;width:4151;height:2" coordorigin="2395,1772" coordsize="4151,0" path="m2395,1772l6546,1772e" filled="false" stroked="true" strokeweight="1.5pt" strokecolor="#000000">
                <v:path arrowok="t"/>
              </v:shape>
            </v:group>
            <v:group style="position:absolute;left:6546;top:1772;width:2064;height:2" coordorigin="6546,1772" coordsize="2064,2">
              <v:shape style="position:absolute;left:6546;top:1772;width:2064;height:2" coordorigin="6546,1772" coordsize="2064,0" path="m6546,1772l8610,1772e" filled="false" stroked="true" strokeweight="1.5pt" strokecolor="#000000">
                <v:path arrowok="t"/>
              </v:shape>
              <v:shape style="position:absolute;left:2390;top:691;width:8226;height:1067" type="#_x0000_t75" stroked="false">
                <v:imagedata r:id="rId226" o:title=""/>
              </v:shape>
            </v:group>
            <v:group style="position:absolute;left:8610;top:1772;width:1988;height:2" coordorigin="8610,1772" coordsize="1988,2">
              <v:shape style="position:absolute;left:8610;top:1772;width:1988;height:2" coordorigin="8610,1772" coordsize="1988,0" path="m8610,1772l10597,1772e" filled="false" stroked="true" strokeweight="1.5pt" strokecolor="#000000">
                <v:path arrowok="t"/>
              </v:shape>
            </v:group>
            <w10:wrap type="none"/>
          </v:group>
        </w:pict>
      </w:r>
      <w:r>
        <w:rPr>
          <w:rFonts w:ascii="Times New Roman" w:hAnsi="Times New Roman" w:cs="Times New Roman" w:eastAsia="Times New Roman" w:hint="default"/>
          <w:w w:val="95"/>
        </w:rPr>
        <w:t>3</w:t>
      </w:r>
      <w:r>
        <w:rPr>
          <w:w w:val="95"/>
        </w:rPr>
        <w:t>、</w:t>
        <w:tab/>
      </w:r>
      <w:r>
        <w:rPr/>
        <w:t>未确认递延所得税资产明细</w:t>
      </w:r>
      <w:r>
        <w:rPr>
          <w:b w:val="0"/>
          <w:bCs w:val="0"/>
        </w:rPr>
      </w:r>
    </w:p>
    <w:p>
      <w:pPr>
        <w:spacing w:line="240" w:lineRule="auto" w:before="5"/>
        <w:rPr>
          <w:rFonts w:ascii="宋体" w:hAnsi="宋体" w:cs="宋体" w:eastAsia="宋体" w:hint="default"/>
          <w:b/>
          <w:bCs/>
          <w:sz w:val="2"/>
          <w:szCs w:val="2"/>
        </w:rPr>
      </w:pPr>
    </w:p>
    <w:tbl>
      <w:tblPr>
        <w:tblW w:w="0" w:type="auto"/>
        <w:jc w:val="left"/>
        <w:tblInd w:w="787" w:type="dxa"/>
        <w:tblLayout w:type="fixed"/>
        <w:tblCellMar>
          <w:top w:w="0" w:type="dxa"/>
          <w:left w:w="0" w:type="dxa"/>
          <w:bottom w:w="0" w:type="dxa"/>
          <w:right w:w="0" w:type="dxa"/>
        </w:tblCellMar>
        <w:tblLook w:val="01E0"/>
      </w:tblPr>
      <w:tblGrid>
        <w:gridCol w:w="1611"/>
        <w:gridCol w:w="1892"/>
        <w:gridCol w:w="2946"/>
        <w:gridCol w:w="1664"/>
      </w:tblGrid>
      <w:tr>
        <w:trPr>
          <w:trHeight w:val="713" w:hRule="exact"/>
        </w:trPr>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left="70" w:right="0"/>
              <w:jc w:val="left"/>
              <w:rPr>
                <w:rFonts w:ascii="宋体" w:hAnsi="宋体" w:cs="宋体" w:eastAsia="宋体" w:hint="default"/>
                <w:sz w:val="16"/>
                <w:szCs w:val="16"/>
              </w:rPr>
            </w:pPr>
            <w:r>
              <w:rPr>
                <w:rFonts w:ascii="宋体" w:hAnsi="宋体" w:cs="宋体" w:eastAsia="宋体" w:hint="default"/>
                <w:sz w:val="16"/>
                <w:szCs w:val="16"/>
              </w:rPr>
              <w:t>可抵扣暂时性差异</w:t>
            </w:r>
          </w:p>
        </w:tc>
        <w:tc>
          <w:tcPr>
            <w:tcW w:w="189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61" w:right="0"/>
              <w:jc w:val="left"/>
              <w:rPr>
                <w:rFonts w:ascii="宋体" w:hAnsi="宋体" w:cs="宋体" w:eastAsia="宋体" w:hint="default"/>
                <w:sz w:val="16"/>
                <w:szCs w:val="16"/>
              </w:rPr>
            </w:pPr>
            <w:r>
              <w:rPr>
                <w:rFonts w:ascii="宋体" w:hAnsi="宋体" w:cs="宋体" w:eastAsia="宋体" w:hint="default"/>
                <w:sz w:val="16"/>
                <w:szCs w:val="16"/>
              </w:rPr>
              <w:t>项目</w:t>
            </w:r>
          </w:p>
        </w:tc>
        <w:tc>
          <w:tcPr>
            <w:tcW w:w="2946"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14" w:right="0"/>
              <w:jc w:val="center"/>
              <w:rPr>
                <w:rFonts w:ascii="宋体" w:hAnsi="宋体" w:cs="宋体" w:eastAsia="宋体" w:hint="default"/>
                <w:sz w:val="16"/>
                <w:szCs w:val="16"/>
              </w:rPr>
            </w:pPr>
            <w:r>
              <w:rPr>
                <w:rFonts w:ascii="宋体" w:hAnsi="宋体" w:cs="宋体" w:eastAsia="宋体" w:hint="default"/>
                <w:sz w:val="16"/>
                <w:szCs w:val="16"/>
              </w:rPr>
              <w:t>期末余额</w:t>
            </w:r>
          </w:p>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left="1640" w:right="0"/>
              <w:jc w:val="left"/>
              <w:rPr>
                <w:rFonts w:ascii="Times New Roman" w:hAnsi="Times New Roman" w:cs="Times New Roman" w:eastAsia="Times New Roman" w:hint="default"/>
                <w:sz w:val="16"/>
                <w:szCs w:val="16"/>
              </w:rPr>
            </w:pPr>
            <w:r>
              <w:rPr>
                <w:rFonts w:ascii="Times New Roman"/>
                <w:sz w:val="16"/>
              </w:rPr>
              <w:t>57,255,911.64</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89" w:right="0"/>
              <w:jc w:val="left"/>
              <w:rPr>
                <w:rFonts w:ascii="宋体" w:hAnsi="宋体" w:cs="宋体" w:eastAsia="宋体" w:hint="default"/>
                <w:sz w:val="16"/>
                <w:szCs w:val="16"/>
              </w:rPr>
            </w:pPr>
            <w:r>
              <w:rPr>
                <w:rFonts w:ascii="宋体" w:hAnsi="宋体" w:cs="宋体" w:eastAsia="宋体" w:hint="default"/>
                <w:sz w:val="16"/>
                <w:szCs w:val="16"/>
              </w:rPr>
              <w:t>年初余额</w:t>
            </w:r>
          </w:p>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left="593" w:right="0"/>
              <w:jc w:val="left"/>
              <w:rPr>
                <w:rFonts w:ascii="Times New Roman" w:hAnsi="Times New Roman" w:cs="Times New Roman" w:eastAsia="Times New Roman" w:hint="default"/>
                <w:sz w:val="16"/>
                <w:szCs w:val="16"/>
              </w:rPr>
            </w:pPr>
            <w:r>
              <w:rPr>
                <w:rFonts w:ascii="Times New Roman"/>
                <w:sz w:val="16"/>
              </w:rPr>
              <w:t>154,969,474.95</w:t>
            </w:r>
          </w:p>
        </w:tc>
      </w:tr>
      <w:tr>
        <w:trPr>
          <w:trHeight w:val="349" w:hRule="exact"/>
        </w:trPr>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37"/>
              <w:ind w:left="70" w:right="0"/>
              <w:jc w:val="left"/>
              <w:rPr>
                <w:rFonts w:ascii="宋体" w:hAnsi="宋体" w:cs="宋体" w:eastAsia="宋体" w:hint="default"/>
                <w:sz w:val="16"/>
                <w:szCs w:val="16"/>
              </w:rPr>
            </w:pPr>
            <w:r>
              <w:rPr>
                <w:rFonts w:ascii="宋体" w:hAnsi="宋体" w:cs="宋体" w:eastAsia="宋体" w:hint="default"/>
                <w:sz w:val="16"/>
                <w:szCs w:val="16"/>
              </w:rPr>
              <w:t>可抵扣亏损</w:t>
            </w:r>
          </w:p>
        </w:tc>
        <w:tc>
          <w:tcPr>
            <w:tcW w:w="1892" w:type="dxa"/>
            <w:tcBorders>
              <w:top w:val="nil" w:sz="6" w:space="0" w:color="auto"/>
              <w:left w:val="nil" w:sz="6" w:space="0" w:color="auto"/>
              <w:bottom w:val="nil" w:sz="6" w:space="0" w:color="auto"/>
              <w:right w:val="nil" w:sz="6" w:space="0" w:color="auto"/>
            </w:tcBorders>
          </w:tcPr>
          <w:p>
            <w:pPr/>
          </w:p>
        </w:tc>
        <w:tc>
          <w:tcPr>
            <w:tcW w:w="294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89"/>
              <w:jc w:val="right"/>
              <w:rPr>
                <w:rFonts w:ascii="Times New Roman" w:hAnsi="Times New Roman" w:cs="Times New Roman" w:eastAsia="Times New Roman" w:hint="default"/>
                <w:sz w:val="16"/>
                <w:szCs w:val="16"/>
              </w:rPr>
            </w:pPr>
            <w:r>
              <w:rPr>
                <w:rFonts w:ascii="Times New Roman"/>
                <w:spacing w:val="-1"/>
                <w:sz w:val="16"/>
              </w:rPr>
              <w:t>622,924,072.61</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68"/>
              <w:jc w:val="right"/>
              <w:rPr>
                <w:rFonts w:ascii="Times New Roman" w:hAnsi="Times New Roman" w:cs="Times New Roman" w:eastAsia="Times New Roman" w:hint="default"/>
                <w:sz w:val="16"/>
                <w:szCs w:val="16"/>
              </w:rPr>
            </w:pPr>
            <w:r>
              <w:rPr>
                <w:rFonts w:ascii="Times New Roman"/>
                <w:spacing w:val="-1"/>
                <w:sz w:val="16"/>
              </w:rPr>
              <w:t>453,646,305.44</w:t>
            </w:r>
          </w:p>
        </w:tc>
      </w:tr>
      <w:tr>
        <w:trPr>
          <w:trHeight w:val="354" w:hRule="exact"/>
        </w:trPr>
        <w:tc>
          <w:tcPr>
            <w:tcW w:w="1611" w:type="dxa"/>
            <w:tcBorders>
              <w:top w:val="nil" w:sz="6" w:space="0" w:color="auto"/>
              <w:left w:val="nil" w:sz="6" w:space="0" w:color="auto"/>
              <w:bottom w:val="nil" w:sz="6" w:space="0" w:color="auto"/>
              <w:right w:val="nil" w:sz="6" w:space="0" w:color="auto"/>
            </w:tcBorders>
          </w:tcPr>
          <w:p>
            <w:pPr/>
          </w:p>
        </w:tc>
        <w:tc>
          <w:tcPr>
            <w:tcW w:w="1892" w:type="dxa"/>
            <w:tcBorders>
              <w:top w:val="nil" w:sz="6" w:space="0" w:color="auto"/>
              <w:left w:val="nil" w:sz="6" w:space="0" w:color="auto"/>
              <w:bottom w:val="nil" w:sz="6" w:space="0" w:color="auto"/>
              <w:right w:val="nil" w:sz="6" w:space="0" w:color="auto"/>
            </w:tcBorders>
          </w:tcPr>
          <w:p>
            <w:pPr>
              <w:pStyle w:val="TableParagraph"/>
              <w:spacing w:line="240" w:lineRule="auto" w:before="37"/>
              <w:ind w:left="261"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946"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389"/>
              <w:jc w:val="right"/>
              <w:rPr>
                <w:rFonts w:ascii="Times New Roman" w:hAnsi="Times New Roman" w:cs="Times New Roman" w:eastAsia="Times New Roman" w:hint="default"/>
                <w:sz w:val="16"/>
                <w:szCs w:val="16"/>
              </w:rPr>
            </w:pPr>
            <w:r>
              <w:rPr>
                <w:rFonts w:ascii="Times New Roman"/>
                <w:spacing w:val="-1"/>
                <w:sz w:val="16"/>
              </w:rPr>
              <w:t>680,179,984.25</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8"/>
              <w:jc w:val="right"/>
              <w:rPr>
                <w:rFonts w:ascii="Times New Roman" w:hAnsi="Times New Roman" w:cs="Times New Roman" w:eastAsia="Times New Roman" w:hint="default"/>
                <w:sz w:val="16"/>
                <w:szCs w:val="16"/>
              </w:rPr>
            </w:pPr>
            <w:r>
              <w:rPr>
                <w:rFonts w:ascii="Times New Roman"/>
                <w:spacing w:val="-1"/>
                <w:sz w:val="16"/>
              </w:rPr>
              <w:t>608,615,780.39</w:t>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6"/>
          <w:szCs w:val="16"/>
        </w:rPr>
      </w:pPr>
    </w:p>
    <w:p>
      <w:pPr>
        <w:pStyle w:val="Heading5"/>
        <w:tabs>
          <w:tab w:pos="1397" w:val="left" w:leader="none"/>
        </w:tabs>
        <w:spacing w:line="240" w:lineRule="auto"/>
        <w:ind w:left="846" w:right="3681"/>
        <w:jc w:val="left"/>
        <w:rPr>
          <w:b w:val="0"/>
          <w:bCs w:val="0"/>
        </w:rPr>
      </w:pPr>
      <w:r>
        <w:rPr/>
        <w:pict>
          <v:group style="position:absolute;margin-left:119.010002pt;margin-top:17.133818pt;width:411.7pt;height:142.1pt;mso-position-horizontal-relative:page;mso-position-vertical-relative:paragraph;z-index:-1385656" coordorigin="2380,343" coordsize="8234,2842">
            <v:group style="position:absolute;left:2410;top:358;width:2045;height:2" coordorigin="2410,358" coordsize="2045,2">
              <v:shape style="position:absolute;left:2410;top:358;width:2045;height:2" coordorigin="2410,358" coordsize="2045,0" path="m2410,358l4454,358e" filled="false" stroked="true" strokeweight="1.5pt" strokecolor="#000000">
                <v:path arrowok="t"/>
              </v:shape>
              <v:shape style="position:absolute;left:4454;top:373;width:10;height:28" type="#_x0000_t75" stroked="false">
                <v:imagedata r:id="rId37" o:title=""/>
              </v:shape>
            </v:group>
            <v:group style="position:absolute;left:4454;top:358;width:2046;height:2" coordorigin="4454,358" coordsize="2046,2">
              <v:shape style="position:absolute;left:4454;top:358;width:2046;height:2" coordorigin="4454,358" coordsize="2046,0" path="m4454,358l6500,358e" filled="false" stroked="true" strokeweight="1.5pt" strokecolor="#000000">
                <v:path arrowok="t"/>
              </v:shape>
              <v:shape style="position:absolute;left:6500;top:373;width:10;height:28" type="#_x0000_t75" stroked="false">
                <v:imagedata r:id="rId37" o:title=""/>
              </v:shape>
            </v:group>
            <v:group style="position:absolute;left:6500;top:358;width:2046;height:2" coordorigin="6500,358" coordsize="2046,2">
              <v:shape style="position:absolute;left:6500;top:358;width:2046;height:2" coordorigin="6500,358" coordsize="2046,0" path="m6500,358l8546,358e" filled="false" stroked="true" strokeweight="1.5pt" strokecolor="#000000">
                <v:path arrowok="t"/>
              </v:shape>
              <v:shape style="position:absolute;left:8546;top:373;width:10;height:28" type="#_x0000_t75" stroked="false">
                <v:imagedata r:id="rId37" o:title=""/>
              </v:shape>
            </v:group>
            <v:group style="position:absolute;left:8546;top:358;width:2051;height:2" coordorigin="8546,358" coordsize="2051,2">
              <v:shape style="position:absolute;left:8546;top:358;width:2051;height:2" coordorigin="8546,358" coordsize="2051,0" path="m8546,358l10597,358e" filled="false" stroked="true" strokeweight="1.5pt" strokecolor="#000000">
                <v:path arrowok="t"/>
              </v:shape>
              <v:shape style="position:absolute;left:4435;top:381;width:4140;height:349" type="#_x0000_t75" stroked="false">
                <v:imagedata r:id="rId227" o:title=""/>
              </v:shape>
            </v:group>
            <v:group style="position:absolute;left:2395;top:3169;width:2060;height:2" coordorigin="2395,3169" coordsize="2060,2">
              <v:shape style="position:absolute;left:2395;top:3169;width:2060;height:2" coordorigin="2395,3169" coordsize="2060,0" path="m2395,3169l4454,3169e" filled="false" stroked="true" strokeweight="1.5pt" strokecolor="#000000">
                <v:path arrowok="t"/>
              </v:shape>
            </v:group>
            <v:group style="position:absolute;left:4454;top:3169;width:2046;height:2" coordorigin="4454,3169" coordsize="2046,2">
              <v:shape style="position:absolute;left:4454;top:3169;width:2046;height:2" coordorigin="4454,3169" coordsize="2046,0" path="m4454,3169l6500,3169e" filled="false" stroked="true" strokeweight="1.5pt" strokecolor="#000000">
                <v:path arrowok="t"/>
              </v:shape>
            </v:group>
            <v:group style="position:absolute;left:6500;top:3169;width:2046;height:2" coordorigin="6500,3169" coordsize="2046,2">
              <v:shape style="position:absolute;left:6500;top:3169;width:2046;height:2" coordorigin="6500,3169" coordsize="2046,0" path="m6500,3169l8546,3169e" filled="false" stroked="true" strokeweight="1.5pt" strokecolor="#000000">
                <v:path arrowok="t"/>
              </v:shape>
              <v:shape style="position:absolute;left:2397;top:698;width:8217;height:2456" type="#_x0000_t75" stroked="false">
                <v:imagedata r:id="rId228" o:title=""/>
              </v:shape>
            </v:group>
            <v:group style="position:absolute;left:8546;top:3169;width:2051;height:2" coordorigin="8546,3169" coordsize="2051,2">
              <v:shape style="position:absolute;left:8546;top:3169;width:2051;height:2" coordorigin="8546,3169" coordsize="2051,0" path="m8546,3169l10597,3169e" filled="false" stroked="true" strokeweight="1.5pt" strokecolor="#000000">
                <v:path arrowok="t"/>
              </v:shape>
              <v:shape style="position:absolute;left:3274;top:460;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年份</w:t>
                      </w:r>
                      <w:r>
                        <w:rPr>
                          <w:rFonts w:ascii="宋体" w:hAnsi="宋体" w:cs="宋体" w:eastAsia="宋体" w:hint="default"/>
                          <w:sz w:val="16"/>
                          <w:szCs w:val="16"/>
                        </w:rPr>
                      </w:r>
                    </w:p>
                  </w:txbxContent>
                </v:textbox>
                <w10:wrap type="none"/>
              </v:shape>
              <v:shape style="position:absolute;left:5162;top:460;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7208;top:460;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年初余额</w:t>
                      </w:r>
                      <w:r>
                        <w:rPr>
                          <w:rFonts w:ascii="宋体" w:hAnsi="宋体" w:cs="宋体" w:eastAsia="宋体" w:hint="default"/>
                          <w:sz w:val="16"/>
                          <w:szCs w:val="16"/>
                        </w:rPr>
                      </w:r>
                    </w:p>
                  </w:txbxContent>
                </v:textbox>
                <w10:wrap type="none"/>
              </v:shape>
              <v:shape style="position:absolute;left:9414;top:460;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备注</w:t>
                      </w:r>
                      <w:r>
                        <w:rPr>
                          <w:rFonts w:ascii="宋体" w:hAnsi="宋体" w:cs="宋体" w:eastAsia="宋体" w:hint="default"/>
                          <w:sz w:val="16"/>
                          <w:szCs w:val="16"/>
                        </w:rPr>
                      </w:r>
                    </w:p>
                  </w:txbxContent>
                </v:textbox>
                <w10:wrap type="none"/>
              </v:shape>
            </v:group>
            <w10:wrap type="none"/>
          </v:group>
        </w:pict>
      </w:r>
      <w:r>
        <w:rPr>
          <w:rFonts w:ascii="Times New Roman" w:hAnsi="Times New Roman" w:cs="Times New Roman" w:eastAsia="Times New Roman" w:hint="default"/>
          <w:w w:val="95"/>
        </w:rPr>
        <w:t>4</w:t>
      </w:r>
      <w:r>
        <w:rPr>
          <w:w w:val="95"/>
        </w:rPr>
        <w:t>、</w:t>
        <w:tab/>
      </w:r>
      <w:r>
        <w:rPr/>
        <w:t>未确认递延所得税资产的可抵扣亏损将于以下年度到期</w:t>
      </w:r>
      <w:r>
        <w:rPr>
          <w:b w:val="0"/>
          <w:bCs w:val="0"/>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0"/>
          <w:szCs w:val="10"/>
        </w:rPr>
      </w:pPr>
    </w:p>
    <w:tbl>
      <w:tblPr>
        <w:tblW w:w="0" w:type="auto"/>
        <w:jc w:val="left"/>
        <w:tblInd w:w="787" w:type="dxa"/>
        <w:tblLayout w:type="fixed"/>
        <w:tblCellMar>
          <w:top w:w="0" w:type="dxa"/>
          <w:left w:w="0" w:type="dxa"/>
          <w:bottom w:w="0" w:type="dxa"/>
          <w:right w:w="0" w:type="dxa"/>
        </w:tblCellMar>
        <w:tblLook w:val="01E0"/>
      </w:tblPr>
      <w:tblGrid>
        <w:gridCol w:w="609"/>
        <w:gridCol w:w="1439"/>
        <w:gridCol w:w="2426"/>
        <w:gridCol w:w="1558"/>
      </w:tblGrid>
      <w:tr>
        <w:trPr>
          <w:trHeight w:val="354" w:hRule="exact"/>
        </w:trPr>
        <w:tc>
          <w:tcPr>
            <w:tcW w:w="609" w:type="dxa"/>
            <w:tcBorders>
              <w:top w:val="nil" w:sz="6" w:space="0" w:color="auto"/>
              <w:left w:val="nil" w:sz="6" w:space="0" w:color="auto"/>
              <w:bottom w:val="nil" w:sz="6" w:space="0" w:color="auto"/>
              <w:right w:val="nil" w:sz="6" w:space="0" w:color="auto"/>
            </w:tcBorders>
          </w:tcPr>
          <w:p>
            <w:pPr>
              <w:pStyle w:val="TableParagraph"/>
              <w:spacing w:line="240" w:lineRule="auto" w:before="79"/>
              <w:ind w:left="70" w:right="0"/>
              <w:jc w:val="left"/>
              <w:rPr>
                <w:rFonts w:ascii="Times New Roman" w:hAnsi="Times New Roman" w:cs="Times New Roman" w:eastAsia="Times New Roman" w:hint="default"/>
                <w:sz w:val="16"/>
                <w:szCs w:val="16"/>
              </w:rPr>
            </w:pPr>
            <w:r>
              <w:rPr>
                <w:rFonts w:ascii="Times New Roman"/>
                <w:sz w:val="16"/>
              </w:rPr>
              <w:t>2018</w:t>
            </w:r>
          </w:p>
        </w:tc>
        <w:tc>
          <w:tcPr>
            <w:tcW w:w="1439" w:type="dxa"/>
            <w:tcBorders>
              <w:top w:val="nil" w:sz="6" w:space="0" w:color="auto"/>
              <w:left w:val="nil" w:sz="6" w:space="0" w:color="auto"/>
              <w:bottom w:val="nil" w:sz="6" w:space="0" w:color="auto"/>
              <w:right w:val="nil" w:sz="6" w:space="0" w:color="auto"/>
            </w:tcBorders>
          </w:tcPr>
          <w:p>
            <w:pPr/>
          </w:p>
        </w:tc>
        <w:tc>
          <w:tcPr>
            <w:tcW w:w="2426" w:type="dxa"/>
            <w:tcBorders>
              <w:top w:val="nil" w:sz="6" w:space="0" w:color="auto"/>
              <w:left w:val="nil" w:sz="6" w:space="0" w:color="auto"/>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3"/>
              <w:jc w:val="right"/>
              <w:rPr>
                <w:rFonts w:ascii="Times New Roman" w:hAnsi="Times New Roman" w:cs="Times New Roman" w:eastAsia="Times New Roman" w:hint="default"/>
                <w:sz w:val="16"/>
                <w:szCs w:val="16"/>
              </w:rPr>
            </w:pPr>
            <w:r>
              <w:rPr>
                <w:rFonts w:ascii="Times New Roman"/>
                <w:spacing w:val="-1"/>
                <w:sz w:val="16"/>
              </w:rPr>
              <w:t>60,605,790.94</w:t>
            </w:r>
          </w:p>
        </w:tc>
      </w:tr>
      <w:tr>
        <w:trPr>
          <w:trHeight w:val="349" w:hRule="exact"/>
        </w:trPr>
        <w:tc>
          <w:tcPr>
            <w:tcW w:w="60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70" w:right="0"/>
              <w:jc w:val="left"/>
              <w:rPr>
                <w:rFonts w:ascii="Times New Roman" w:hAnsi="Times New Roman" w:cs="Times New Roman" w:eastAsia="Times New Roman" w:hint="default"/>
                <w:sz w:val="16"/>
                <w:szCs w:val="16"/>
              </w:rPr>
            </w:pPr>
            <w:r>
              <w:rPr>
                <w:rFonts w:ascii="Times New Roman"/>
                <w:sz w:val="16"/>
              </w:rPr>
              <w:t>2019</w:t>
            </w:r>
          </w:p>
        </w:tc>
        <w:tc>
          <w:tcPr>
            <w:tcW w:w="1439" w:type="dxa"/>
            <w:tcBorders>
              <w:top w:val="nil" w:sz="6" w:space="0" w:color="auto"/>
              <w:left w:val="nil" w:sz="6" w:space="0" w:color="auto"/>
              <w:bottom w:val="nil" w:sz="6" w:space="0" w:color="auto"/>
              <w:right w:val="nil" w:sz="6" w:space="0" w:color="auto"/>
            </w:tcBorders>
          </w:tcPr>
          <w:p>
            <w:pPr/>
          </w:p>
        </w:tc>
        <w:tc>
          <w:tcPr>
            <w:tcW w:w="2426"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520"/>
              <w:jc w:val="right"/>
              <w:rPr>
                <w:rFonts w:ascii="Times New Roman" w:hAnsi="Times New Roman" w:cs="Times New Roman" w:eastAsia="Times New Roman" w:hint="default"/>
                <w:sz w:val="16"/>
                <w:szCs w:val="16"/>
              </w:rPr>
            </w:pPr>
            <w:r>
              <w:rPr>
                <w:rFonts w:ascii="Times New Roman"/>
                <w:spacing w:val="-1"/>
                <w:sz w:val="16"/>
              </w:rPr>
              <w:t>54,310,504.63</w:t>
            </w:r>
          </w:p>
        </w:tc>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3"/>
              <w:jc w:val="right"/>
              <w:rPr>
                <w:rFonts w:ascii="Times New Roman" w:hAnsi="Times New Roman" w:cs="Times New Roman" w:eastAsia="Times New Roman" w:hint="default"/>
                <w:sz w:val="16"/>
                <w:szCs w:val="16"/>
              </w:rPr>
            </w:pPr>
            <w:r>
              <w:rPr>
                <w:rFonts w:ascii="Times New Roman"/>
                <w:spacing w:val="-1"/>
                <w:sz w:val="16"/>
              </w:rPr>
              <w:t>54,310,504.63</w:t>
            </w:r>
          </w:p>
        </w:tc>
      </w:tr>
      <w:tr>
        <w:trPr>
          <w:trHeight w:val="349" w:hRule="exact"/>
        </w:trPr>
        <w:tc>
          <w:tcPr>
            <w:tcW w:w="60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70" w:right="0"/>
              <w:jc w:val="left"/>
              <w:rPr>
                <w:rFonts w:ascii="Times New Roman" w:hAnsi="Times New Roman" w:cs="Times New Roman" w:eastAsia="Times New Roman" w:hint="default"/>
                <w:sz w:val="16"/>
                <w:szCs w:val="16"/>
              </w:rPr>
            </w:pPr>
            <w:r>
              <w:rPr>
                <w:rFonts w:ascii="Times New Roman"/>
                <w:sz w:val="16"/>
              </w:rPr>
              <w:t>2020</w:t>
            </w:r>
          </w:p>
        </w:tc>
        <w:tc>
          <w:tcPr>
            <w:tcW w:w="1439" w:type="dxa"/>
            <w:tcBorders>
              <w:top w:val="nil" w:sz="6" w:space="0" w:color="auto"/>
              <w:left w:val="nil" w:sz="6" w:space="0" w:color="auto"/>
              <w:bottom w:val="nil" w:sz="6" w:space="0" w:color="auto"/>
              <w:right w:val="nil" w:sz="6" w:space="0" w:color="auto"/>
            </w:tcBorders>
          </w:tcPr>
          <w:p>
            <w:pPr/>
          </w:p>
        </w:tc>
        <w:tc>
          <w:tcPr>
            <w:tcW w:w="2426"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521"/>
              <w:jc w:val="right"/>
              <w:rPr>
                <w:rFonts w:ascii="Times New Roman" w:hAnsi="Times New Roman" w:cs="Times New Roman" w:eastAsia="Times New Roman" w:hint="default"/>
                <w:sz w:val="16"/>
                <w:szCs w:val="16"/>
              </w:rPr>
            </w:pPr>
            <w:r>
              <w:rPr>
                <w:rFonts w:ascii="Times New Roman"/>
                <w:spacing w:val="-2"/>
                <w:sz w:val="16"/>
              </w:rPr>
              <w:t>111,684,869.08</w:t>
            </w:r>
          </w:p>
        </w:tc>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3"/>
              <w:jc w:val="right"/>
              <w:rPr>
                <w:rFonts w:ascii="Times New Roman" w:hAnsi="Times New Roman" w:cs="Times New Roman" w:eastAsia="Times New Roman" w:hint="default"/>
                <w:sz w:val="16"/>
                <w:szCs w:val="16"/>
              </w:rPr>
            </w:pPr>
            <w:r>
              <w:rPr>
                <w:rFonts w:ascii="Times New Roman"/>
                <w:spacing w:val="-2"/>
                <w:sz w:val="16"/>
              </w:rPr>
              <w:t>111,684,869.08</w:t>
            </w:r>
          </w:p>
        </w:tc>
      </w:tr>
      <w:tr>
        <w:trPr>
          <w:trHeight w:val="349" w:hRule="exact"/>
        </w:trPr>
        <w:tc>
          <w:tcPr>
            <w:tcW w:w="60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70" w:right="0"/>
              <w:jc w:val="left"/>
              <w:rPr>
                <w:rFonts w:ascii="Times New Roman" w:hAnsi="Times New Roman" w:cs="Times New Roman" w:eastAsia="Times New Roman" w:hint="default"/>
                <w:sz w:val="16"/>
                <w:szCs w:val="16"/>
              </w:rPr>
            </w:pPr>
            <w:r>
              <w:rPr>
                <w:rFonts w:ascii="Times New Roman"/>
                <w:sz w:val="16"/>
              </w:rPr>
              <w:t>2021</w:t>
            </w:r>
          </w:p>
        </w:tc>
        <w:tc>
          <w:tcPr>
            <w:tcW w:w="1439" w:type="dxa"/>
            <w:tcBorders>
              <w:top w:val="nil" w:sz="6" w:space="0" w:color="auto"/>
              <w:left w:val="nil" w:sz="6" w:space="0" w:color="auto"/>
              <w:bottom w:val="nil" w:sz="6" w:space="0" w:color="auto"/>
              <w:right w:val="nil" w:sz="6" w:space="0" w:color="auto"/>
            </w:tcBorders>
          </w:tcPr>
          <w:p>
            <w:pPr/>
          </w:p>
        </w:tc>
        <w:tc>
          <w:tcPr>
            <w:tcW w:w="2426"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521"/>
              <w:jc w:val="right"/>
              <w:rPr>
                <w:rFonts w:ascii="Times New Roman" w:hAnsi="Times New Roman" w:cs="Times New Roman" w:eastAsia="Times New Roman" w:hint="default"/>
                <w:sz w:val="16"/>
                <w:szCs w:val="16"/>
              </w:rPr>
            </w:pPr>
            <w:r>
              <w:rPr>
                <w:rFonts w:ascii="Times New Roman"/>
                <w:spacing w:val="-1"/>
                <w:sz w:val="16"/>
              </w:rPr>
              <w:t>131,054,911.92</w:t>
            </w:r>
          </w:p>
        </w:tc>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3"/>
              <w:jc w:val="right"/>
              <w:rPr>
                <w:rFonts w:ascii="Times New Roman" w:hAnsi="Times New Roman" w:cs="Times New Roman" w:eastAsia="Times New Roman" w:hint="default"/>
                <w:sz w:val="16"/>
                <w:szCs w:val="16"/>
              </w:rPr>
            </w:pPr>
            <w:r>
              <w:rPr>
                <w:rFonts w:ascii="Times New Roman"/>
                <w:spacing w:val="-1"/>
                <w:sz w:val="16"/>
              </w:rPr>
              <w:t>131,054,911.92</w:t>
            </w:r>
          </w:p>
        </w:tc>
      </w:tr>
      <w:tr>
        <w:trPr>
          <w:trHeight w:val="349" w:hRule="exact"/>
        </w:trPr>
        <w:tc>
          <w:tcPr>
            <w:tcW w:w="60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70" w:right="0"/>
              <w:jc w:val="left"/>
              <w:rPr>
                <w:rFonts w:ascii="Times New Roman" w:hAnsi="Times New Roman" w:cs="Times New Roman" w:eastAsia="Times New Roman" w:hint="default"/>
                <w:sz w:val="16"/>
                <w:szCs w:val="16"/>
              </w:rPr>
            </w:pPr>
            <w:r>
              <w:rPr>
                <w:rFonts w:ascii="Times New Roman"/>
                <w:sz w:val="16"/>
              </w:rPr>
              <w:t>2022</w:t>
            </w:r>
          </w:p>
        </w:tc>
        <w:tc>
          <w:tcPr>
            <w:tcW w:w="1439" w:type="dxa"/>
            <w:tcBorders>
              <w:top w:val="nil" w:sz="6" w:space="0" w:color="auto"/>
              <w:left w:val="nil" w:sz="6" w:space="0" w:color="auto"/>
              <w:bottom w:val="nil" w:sz="6" w:space="0" w:color="auto"/>
              <w:right w:val="nil" w:sz="6" w:space="0" w:color="auto"/>
            </w:tcBorders>
          </w:tcPr>
          <w:p>
            <w:pPr/>
          </w:p>
        </w:tc>
        <w:tc>
          <w:tcPr>
            <w:tcW w:w="2426"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520"/>
              <w:jc w:val="right"/>
              <w:rPr>
                <w:rFonts w:ascii="Times New Roman" w:hAnsi="Times New Roman" w:cs="Times New Roman" w:eastAsia="Times New Roman" w:hint="default"/>
                <w:sz w:val="16"/>
                <w:szCs w:val="16"/>
              </w:rPr>
            </w:pPr>
            <w:r>
              <w:rPr>
                <w:rFonts w:ascii="Times New Roman"/>
                <w:spacing w:val="-1"/>
                <w:sz w:val="16"/>
              </w:rPr>
              <w:t>95,990,228.87</w:t>
            </w:r>
          </w:p>
        </w:tc>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3"/>
              <w:jc w:val="right"/>
              <w:rPr>
                <w:rFonts w:ascii="Times New Roman" w:hAnsi="Times New Roman" w:cs="Times New Roman" w:eastAsia="Times New Roman" w:hint="default"/>
                <w:sz w:val="16"/>
                <w:szCs w:val="16"/>
              </w:rPr>
            </w:pPr>
            <w:r>
              <w:rPr>
                <w:rFonts w:ascii="Times New Roman"/>
                <w:spacing w:val="-1"/>
                <w:sz w:val="16"/>
              </w:rPr>
              <w:t>95,990,228.87</w:t>
            </w:r>
          </w:p>
        </w:tc>
      </w:tr>
      <w:tr>
        <w:trPr>
          <w:trHeight w:val="342" w:hRule="exact"/>
        </w:trPr>
        <w:tc>
          <w:tcPr>
            <w:tcW w:w="609" w:type="dxa"/>
            <w:tcBorders>
              <w:top w:val="nil" w:sz="6" w:space="0" w:color="auto"/>
              <w:left w:val="nil" w:sz="6" w:space="0" w:color="auto"/>
              <w:bottom w:val="nil" w:sz="6" w:space="0" w:color="auto"/>
              <w:right w:val="nil" w:sz="6" w:space="0" w:color="auto"/>
            </w:tcBorders>
          </w:tcPr>
          <w:p>
            <w:pPr>
              <w:pStyle w:val="TableParagraph"/>
              <w:spacing w:line="240" w:lineRule="auto" w:before="74"/>
              <w:ind w:left="70" w:right="0"/>
              <w:jc w:val="left"/>
              <w:rPr>
                <w:rFonts w:ascii="Times New Roman" w:hAnsi="Times New Roman" w:cs="Times New Roman" w:eastAsia="Times New Roman" w:hint="default"/>
                <w:sz w:val="16"/>
                <w:szCs w:val="16"/>
              </w:rPr>
            </w:pPr>
            <w:r>
              <w:rPr>
                <w:rFonts w:ascii="Times New Roman"/>
                <w:sz w:val="16"/>
              </w:rPr>
              <w:t>2023</w:t>
            </w:r>
          </w:p>
        </w:tc>
        <w:tc>
          <w:tcPr>
            <w:tcW w:w="1439" w:type="dxa"/>
            <w:tcBorders>
              <w:top w:val="nil" w:sz="6" w:space="0" w:color="auto"/>
              <w:left w:val="nil" w:sz="6" w:space="0" w:color="auto"/>
              <w:bottom w:val="nil" w:sz="6" w:space="0" w:color="auto"/>
              <w:right w:val="nil" w:sz="6" w:space="0" w:color="auto"/>
            </w:tcBorders>
          </w:tcPr>
          <w:p>
            <w:pPr/>
          </w:p>
        </w:tc>
        <w:tc>
          <w:tcPr>
            <w:tcW w:w="2426"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521"/>
              <w:jc w:val="right"/>
              <w:rPr>
                <w:rFonts w:ascii="Times New Roman" w:hAnsi="Times New Roman" w:cs="Times New Roman" w:eastAsia="Times New Roman" w:hint="default"/>
                <w:sz w:val="16"/>
                <w:szCs w:val="16"/>
              </w:rPr>
            </w:pPr>
            <w:r>
              <w:rPr>
                <w:rFonts w:ascii="Times New Roman"/>
                <w:spacing w:val="-1"/>
                <w:sz w:val="16"/>
              </w:rPr>
              <w:t>229,883,558.11</w:t>
            </w:r>
          </w:p>
        </w:tc>
        <w:tc>
          <w:tcPr>
            <w:tcW w:w="1558" w:type="dxa"/>
            <w:tcBorders>
              <w:top w:val="nil" w:sz="6" w:space="0" w:color="auto"/>
              <w:left w:val="nil" w:sz="6" w:space="0" w:color="auto"/>
              <w:bottom w:val="nil" w:sz="6" w:space="0" w:color="auto"/>
              <w:right w:val="nil" w:sz="6" w:space="0" w:color="auto"/>
            </w:tcBorders>
          </w:tcPr>
          <w:p>
            <w:pPr/>
          </w:p>
        </w:tc>
      </w:tr>
      <w:tr>
        <w:trPr>
          <w:trHeight w:val="354" w:hRule="exact"/>
        </w:trPr>
        <w:tc>
          <w:tcPr>
            <w:tcW w:w="609" w:type="dxa"/>
            <w:tcBorders>
              <w:top w:val="nil" w:sz="6" w:space="0" w:color="auto"/>
              <w:left w:val="nil" w:sz="6" w:space="0" w:color="auto"/>
              <w:bottom w:val="nil" w:sz="6" w:space="0" w:color="auto"/>
              <w:right w:val="nil" w:sz="6" w:space="0" w:color="auto"/>
            </w:tcBorders>
          </w:tcPr>
          <w:p>
            <w:pPr/>
          </w:p>
        </w:tc>
        <w:tc>
          <w:tcPr>
            <w:tcW w:w="1439" w:type="dxa"/>
            <w:tcBorders>
              <w:top w:val="nil" w:sz="6" w:space="0" w:color="auto"/>
              <w:left w:val="nil" w:sz="6" w:space="0" w:color="auto"/>
              <w:bottom w:val="nil" w:sz="6" w:space="0" w:color="auto"/>
              <w:right w:val="nil" w:sz="6" w:space="0" w:color="auto"/>
            </w:tcBorders>
          </w:tcPr>
          <w:p>
            <w:pPr>
              <w:pStyle w:val="TableParagraph"/>
              <w:spacing w:line="240" w:lineRule="auto" w:before="37"/>
              <w:ind w:left="217"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426"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521"/>
              <w:jc w:val="right"/>
              <w:rPr>
                <w:rFonts w:ascii="Times New Roman" w:hAnsi="Times New Roman" w:cs="Times New Roman" w:eastAsia="Times New Roman" w:hint="default"/>
                <w:sz w:val="16"/>
                <w:szCs w:val="16"/>
              </w:rPr>
            </w:pPr>
            <w:r>
              <w:rPr>
                <w:rFonts w:ascii="Times New Roman"/>
                <w:spacing w:val="-1"/>
                <w:sz w:val="16"/>
              </w:rPr>
              <w:t>622,924,072.61</w:t>
            </w:r>
          </w:p>
        </w:tc>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33"/>
              <w:jc w:val="right"/>
              <w:rPr>
                <w:rFonts w:ascii="Times New Roman" w:hAnsi="Times New Roman" w:cs="Times New Roman" w:eastAsia="Times New Roman" w:hint="default"/>
                <w:sz w:val="16"/>
                <w:szCs w:val="16"/>
              </w:rPr>
            </w:pPr>
            <w:r>
              <w:rPr>
                <w:rFonts w:ascii="Times New Roman"/>
                <w:spacing w:val="-1"/>
                <w:sz w:val="16"/>
              </w:rPr>
              <w:t>453,646,305.44</w:t>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6"/>
          <w:szCs w:val="16"/>
        </w:rPr>
      </w:pPr>
    </w:p>
    <w:tbl>
      <w:tblPr>
        <w:tblW w:w="0" w:type="auto"/>
        <w:jc w:val="left"/>
        <w:tblInd w:w="102" w:type="dxa"/>
        <w:tblLayout w:type="fixed"/>
        <w:tblCellMar>
          <w:top w:w="0" w:type="dxa"/>
          <w:left w:w="0" w:type="dxa"/>
          <w:bottom w:w="0" w:type="dxa"/>
          <w:right w:w="0" w:type="dxa"/>
        </w:tblCellMar>
        <w:tblLook w:val="01E0"/>
      </w:tblPr>
      <w:tblGrid>
        <w:gridCol w:w="647"/>
        <w:gridCol w:w="1627"/>
        <w:gridCol w:w="1604"/>
        <w:gridCol w:w="3028"/>
        <w:gridCol w:w="1929"/>
      </w:tblGrid>
      <w:tr>
        <w:trPr>
          <w:trHeight w:val="358" w:hRule="exact"/>
        </w:trPr>
        <w:tc>
          <w:tcPr>
            <w:tcW w:w="64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十九</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1627"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101" w:right="0"/>
              <w:jc w:val="left"/>
              <w:rPr>
                <w:rFonts w:ascii="宋体" w:hAnsi="宋体" w:cs="宋体" w:eastAsia="宋体" w:hint="default"/>
                <w:sz w:val="21"/>
                <w:szCs w:val="21"/>
              </w:rPr>
            </w:pPr>
            <w:r>
              <w:rPr>
                <w:rFonts w:ascii="宋体" w:hAnsi="宋体" w:cs="宋体" w:eastAsia="宋体" w:hint="default"/>
                <w:b/>
                <w:bCs/>
                <w:sz w:val="21"/>
                <w:szCs w:val="21"/>
              </w:rPr>
              <w:t>其他非流动资产</w:t>
            </w:r>
            <w:r>
              <w:rPr>
                <w:rFonts w:ascii="宋体" w:hAnsi="宋体" w:cs="宋体" w:eastAsia="宋体" w:hint="default"/>
                <w:sz w:val="21"/>
                <w:szCs w:val="21"/>
              </w:rPr>
            </w:r>
          </w:p>
        </w:tc>
        <w:tc>
          <w:tcPr>
            <w:tcW w:w="6561" w:type="dxa"/>
            <w:gridSpan w:val="3"/>
            <w:tcBorders>
              <w:top w:val="nil" w:sz="6" w:space="0" w:color="auto"/>
              <w:left w:val="nil" w:sz="6" w:space="0" w:color="auto"/>
              <w:bottom w:val="single" w:sz="12" w:space="0" w:color="000000"/>
              <w:right w:val="nil" w:sz="6" w:space="0" w:color="auto"/>
            </w:tcBorders>
          </w:tcPr>
          <w:p>
            <w:pPr/>
          </w:p>
        </w:tc>
      </w:tr>
      <w:tr>
        <w:trPr>
          <w:trHeight w:val="357" w:hRule="exact"/>
        </w:trPr>
        <w:tc>
          <w:tcPr>
            <w:tcW w:w="647" w:type="dxa"/>
            <w:tcBorders>
              <w:top w:val="nil" w:sz="6" w:space="0" w:color="auto"/>
              <w:left w:val="nil" w:sz="6" w:space="0" w:color="auto"/>
              <w:bottom w:val="nil" w:sz="6" w:space="0" w:color="auto"/>
              <w:right w:val="nil" w:sz="6" w:space="0" w:color="auto"/>
            </w:tcBorders>
          </w:tcPr>
          <w:p>
            <w:pPr/>
          </w:p>
        </w:tc>
        <w:tc>
          <w:tcPr>
            <w:tcW w:w="1627" w:type="dxa"/>
            <w:tcBorders>
              <w:top w:val="single" w:sz="12" w:space="0" w:color="000000"/>
              <w:left w:val="nil" w:sz="6" w:space="0" w:color="auto"/>
              <w:bottom w:val="nil" w:sz="6" w:space="0" w:color="auto"/>
              <w:right w:val="nil" w:sz="6" w:space="0" w:color="auto"/>
            </w:tcBorders>
          </w:tcPr>
          <w:p>
            <w:pPr/>
          </w:p>
        </w:tc>
        <w:tc>
          <w:tcPr>
            <w:tcW w:w="1604" w:type="dxa"/>
            <w:tcBorders>
              <w:top w:val="single" w:sz="12" w:space="0" w:color="000000"/>
              <w:left w:val="nil" w:sz="6" w:space="0" w:color="auto"/>
              <w:bottom w:val="nil" w:sz="6" w:space="0" w:color="auto"/>
              <w:right w:val="nil" w:sz="6" w:space="0" w:color="auto"/>
            </w:tcBorders>
          </w:tcPr>
          <w:p>
            <w:pPr>
              <w:pStyle w:val="TableParagraph"/>
              <w:spacing w:line="240" w:lineRule="auto" w:before="37"/>
              <w:ind w:left="49" w:right="0"/>
              <w:jc w:val="left"/>
              <w:rPr>
                <w:rFonts w:ascii="宋体" w:hAnsi="宋体" w:cs="宋体" w:eastAsia="宋体" w:hint="default"/>
                <w:sz w:val="16"/>
                <w:szCs w:val="16"/>
              </w:rPr>
            </w:pPr>
            <w:r>
              <w:rPr>
                <w:rFonts w:ascii="宋体" w:hAnsi="宋体" w:cs="宋体" w:eastAsia="宋体" w:hint="default"/>
                <w:sz w:val="16"/>
                <w:szCs w:val="16"/>
              </w:rPr>
              <w:t>项目</w:t>
            </w:r>
          </w:p>
        </w:tc>
        <w:tc>
          <w:tcPr>
            <w:tcW w:w="3028" w:type="dxa"/>
            <w:tcBorders>
              <w:top w:val="single" w:sz="12" w:space="0" w:color="000000"/>
              <w:left w:val="nil" w:sz="6" w:space="0" w:color="auto"/>
              <w:bottom w:val="nil" w:sz="6" w:space="0" w:color="auto"/>
              <w:right w:val="nil" w:sz="6" w:space="0" w:color="auto"/>
            </w:tcBorders>
          </w:tcPr>
          <w:p>
            <w:pPr>
              <w:pStyle w:val="TableParagraph"/>
              <w:spacing w:line="240" w:lineRule="auto" w:before="37"/>
              <w:ind w:left="81" w:right="0"/>
              <w:jc w:val="center"/>
              <w:rPr>
                <w:rFonts w:ascii="宋体" w:hAnsi="宋体" w:cs="宋体" w:eastAsia="宋体" w:hint="default"/>
                <w:sz w:val="16"/>
                <w:szCs w:val="16"/>
              </w:rPr>
            </w:pPr>
            <w:r>
              <w:rPr>
                <w:rFonts w:ascii="宋体" w:hAnsi="宋体" w:cs="宋体" w:eastAsia="宋体" w:hint="default"/>
                <w:sz w:val="16"/>
                <w:szCs w:val="16"/>
              </w:rPr>
              <w:t>期末余额</w:t>
            </w:r>
          </w:p>
        </w:tc>
        <w:tc>
          <w:tcPr>
            <w:tcW w:w="1929" w:type="dxa"/>
            <w:tcBorders>
              <w:top w:val="single" w:sz="12" w:space="0" w:color="000000"/>
              <w:left w:val="nil" w:sz="6" w:space="0" w:color="auto"/>
              <w:bottom w:val="nil" w:sz="6" w:space="0" w:color="auto"/>
              <w:right w:val="nil" w:sz="6" w:space="0" w:color="auto"/>
            </w:tcBorders>
          </w:tcPr>
          <w:p>
            <w:pPr>
              <w:pStyle w:val="TableParagraph"/>
              <w:spacing w:line="240" w:lineRule="auto" w:before="37"/>
              <w:ind w:left="464" w:right="0"/>
              <w:jc w:val="left"/>
              <w:rPr>
                <w:rFonts w:ascii="宋体" w:hAnsi="宋体" w:cs="宋体" w:eastAsia="宋体" w:hint="default"/>
                <w:sz w:val="16"/>
                <w:szCs w:val="16"/>
              </w:rPr>
            </w:pPr>
            <w:r>
              <w:rPr>
                <w:rFonts w:ascii="宋体" w:hAnsi="宋体" w:cs="宋体" w:eastAsia="宋体" w:hint="default"/>
                <w:sz w:val="16"/>
                <w:szCs w:val="16"/>
              </w:rPr>
              <w:t>年初余额</w:t>
            </w:r>
          </w:p>
        </w:tc>
      </w:tr>
      <w:tr>
        <w:trPr>
          <w:trHeight w:val="356" w:hRule="exact"/>
        </w:trPr>
        <w:tc>
          <w:tcPr>
            <w:tcW w:w="647" w:type="dxa"/>
            <w:tcBorders>
              <w:top w:val="nil" w:sz="6" w:space="0" w:color="auto"/>
              <w:left w:val="nil" w:sz="6" w:space="0" w:color="auto"/>
              <w:bottom w:val="nil" w:sz="6" w:space="0" w:color="auto"/>
              <w:right w:val="nil" w:sz="6" w:space="0" w:color="auto"/>
            </w:tcBorders>
          </w:tcPr>
          <w:p>
            <w:pP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07" w:right="0"/>
              <w:jc w:val="left"/>
              <w:rPr>
                <w:rFonts w:ascii="宋体" w:hAnsi="宋体" w:cs="宋体" w:eastAsia="宋体" w:hint="default"/>
                <w:sz w:val="16"/>
                <w:szCs w:val="16"/>
              </w:rPr>
            </w:pPr>
            <w:r>
              <w:rPr>
                <w:rFonts w:ascii="宋体" w:hAnsi="宋体" w:cs="宋体" w:eastAsia="宋体" w:hint="default"/>
                <w:sz w:val="16"/>
                <w:szCs w:val="16"/>
              </w:rPr>
              <w:t>专项支出</w:t>
            </w:r>
          </w:p>
        </w:tc>
        <w:tc>
          <w:tcPr>
            <w:tcW w:w="1604" w:type="dxa"/>
            <w:tcBorders>
              <w:top w:val="nil" w:sz="6" w:space="0" w:color="auto"/>
              <w:left w:val="nil" w:sz="6" w:space="0" w:color="auto"/>
              <w:bottom w:val="nil" w:sz="6" w:space="0" w:color="auto"/>
              <w:right w:val="nil" w:sz="6" w:space="0" w:color="auto"/>
            </w:tcBorders>
          </w:tcPr>
          <w:p>
            <w:pPr/>
          </w:p>
        </w:tc>
        <w:tc>
          <w:tcPr>
            <w:tcW w:w="3028"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462"/>
              <w:jc w:val="right"/>
              <w:rPr>
                <w:rFonts w:ascii="Times New Roman" w:hAnsi="Times New Roman" w:cs="Times New Roman" w:eastAsia="Times New Roman" w:hint="default"/>
                <w:sz w:val="16"/>
                <w:szCs w:val="16"/>
              </w:rPr>
            </w:pPr>
            <w:r>
              <w:rPr>
                <w:rFonts w:ascii="Times New Roman"/>
                <w:spacing w:val="-1"/>
                <w:sz w:val="16"/>
              </w:rPr>
              <w:t>42,241,717.64</w:t>
            </w:r>
          </w:p>
        </w:tc>
        <w:tc>
          <w:tcPr>
            <w:tcW w:w="1929"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04"/>
              <w:jc w:val="right"/>
              <w:rPr>
                <w:rFonts w:ascii="Times New Roman" w:hAnsi="Times New Roman" w:cs="Times New Roman" w:eastAsia="Times New Roman" w:hint="default"/>
                <w:sz w:val="16"/>
                <w:szCs w:val="16"/>
              </w:rPr>
            </w:pPr>
            <w:r>
              <w:rPr>
                <w:rFonts w:ascii="Times New Roman"/>
                <w:spacing w:val="-1"/>
                <w:sz w:val="16"/>
              </w:rPr>
              <w:t>39,377,048.68</w:t>
            </w:r>
          </w:p>
        </w:tc>
      </w:tr>
      <w:tr>
        <w:trPr>
          <w:trHeight w:val="349" w:hRule="exact"/>
        </w:trPr>
        <w:tc>
          <w:tcPr>
            <w:tcW w:w="647" w:type="dxa"/>
            <w:tcBorders>
              <w:top w:val="nil" w:sz="6" w:space="0" w:color="auto"/>
              <w:left w:val="nil" w:sz="6" w:space="0" w:color="auto"/>
              <w:bottom w:val="nil" w:sz="6" w:space="0" w:color="auto"/>
              <w:right w:val="nil" w:sz="6" w:space="0" w:color="auto"/>
            </w:tcBorders>
          </w:tcPr>
          <w:p>
            <w:pP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07" w:right="0"/>
              <w:jc w:val="left"/>
              <w:rPr>
                <w:rFonts w:ascii="宋体" w:hAnsi="宋体" w:cs="宋体" w:eastAsia="宋体" w:hint="default"/>
                <w:sz w:val="16"/>
                <w:szCs w:val="16"/>
              </w:rPr>
            </w:pPr>
            <w:r>
              <w:rPr>
                <w:rFonts w:ascii="宋体" w:hAnsi="宋体" w:cs="宋体" w:eastAsia="宋体" w:hint="default"/>
                <w:sz w:val="16"/>
                <w:szCs w:val="16"/>
              </w:rPr>
              <w:t>改造支出</w:t>
            </w:r>
          </w:p>
        </w:tc>
        <w:tc>
          <w:tcPr>
            <w:tcW w:w="1604" w:type="dxa"/>
            <w:tcBorders>
              <w:top w:val="nil" w:sz="6" w:space="0" w:color="auto"/>
              <w:left w:val="nil" w:sz="6" w:space="0" w:color="auto"/>
              <w:bottom w:val="nil" w:sz="6" w:space="0" w:color="auto"/>
              <w:right w:val="nil" w:sz="6" w:space="0" w:color="auto"/>
            </w:tcBorders>
          </w:tcPr>
          <w:p>
            <w:pPr/>
          </w:p>
        </w:tc>
        <w:tc>
          <w:tcPr>
            <w:tcW w:w="302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462"/>
              <w:jc w:val="right"/>
              <w:rPr>
                <w:rFonts w:ascii="Times New Roman" w:hAnsi="Times New Roman" w:cs="Times New Roman" w:eastAsia="Times New Roman" w:hint="default"/>
                <w:sz w:val="16"/>
                <w:szCs w:val="16"/>
              </w:rPr>
            </w:pPr>
            <w:r>
              <w:rPr>
                <w:rFonts w:ascii="Times New Roman"/>
                <w:spacing w:val="-1"/>
                <w:sz w:val="16"/>
              </w:rPr>
              <w:t>33,522,689.42</w:t>
            </w:r>
          </w:p>
        </w:tc>
        <w:tc>
          <w:tcPr>
            <w:tcW w:w="1929" w:type="dxa"/>
            <w:tcBorders>
              <w:top w:val="nil" w:sz="6" w:space="0" w:color="auto"/>
              <w:left w:val="nil" w:sz="6" w:space="0" w:color="auto"/>
              <w:bottom w:val="nil" w:sz="6" w:space="0" w:color="auto"/>
              <w:right w:val="nil" w:sz="6" w:space="0" w:color="auto"/>
            </w:tcBorders>
          </w:tcPr>
          <w:p>
            <w:pPr/>
          </w:p>
        </w:tc>
      </w:tr>
      <w:tr>
        <w:trPr>
          <w:trHeight w:val="349" w:hRule="exact"/>
        </w:trPr>
        <w:tc>
          <w:tcPr>
            <w:tcW w:w="647" w:type="dxa"/>
            <w:tcBorders>
              <w:top w:val="nil" w:sz="6" w:space="0" w:color="auto"/>
              <w:left w:val="nil" w:sz="6" w:space="0" w:color="auto"/>
              <w:bottom w:val="nil" w:sz="6" w:space="0" w:color="auto"/>
              <w:right w:val="nil" w:sz="6" w:space="0" w:color="auto"/>
            </w:tcBorders>
          </w:tcPr>
          <w:p>
            <w:pP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07" w:right="0"/>
              <w:jc w:val="left"/>
              <w:rPr>
                <w:rFonts w:ascii="宋体" w:hAnsi="宋体" w:cs="宋体" w:eastAsia="宋体" w:hint="default"/>
                <w:sz w:val="16"/>
                <w:szCs w:val="16"/>
              </w:rPr>
            </w:pPr>
            <w:r>
              <w:rPr>
                <w:rFonts w:ascii="宋体" w:hAnsi="宋体" w:cs="宋体" w:eastAsia="宋体" w:hint="default"/>
                <w:sz w:val="16"/>
                <w:szCs w:val="16"/>
              </w:rPr>
              <w:t>预付采购设备款</w:t>
            </w:r>
          </w:p>
        </w:tc>
        <w:tc>
          <w:tcPr>
            <w:tcW w:w="1604" w:type="dxa"/>
            <w:tcBorders>
              <w:top w:val="nil" w:sz="6" w:space="0" w:color="auto"/>
              <w:left w:val="nil" w:sz="6" w:space="0" w:color="auto"/>
              <w:bottom w:val="nil" w:sz="6" w:space="0" w:color="auto"/>
              <w:right w:val="nil" w:sz="6" w:space="0" w:color="auto"/>
            </w:tcBorders>
          </w:tcPr>
          <w:p>
            <w:pPr/>
          </w:p>
        </w:tc>
        <w:tc>
          <w:tcPr>
            <w:tcW w:w="302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462"/>
              <w:jc w:val="right"/>
              <w:rPr>
                <w:rFonts w:ascii="Times New Roman" w:hAnsi="Times New Roman" w:cs="Times New Roman" w:eastAsia="Times New Roman" w:hint="default"/>
                <w:sz w:val="16"/>
                <w:szCs w:val="16"/>
              </w:rPr>
            </w:pPr>
            <w:r>
              <w:rPr>
                <w:rFonts w:ascii="Times New Roman"/>
                <w:spacing w:val="-1"/>
                <w:sz w:val="16"/>
              </w:rPr>
              <w:t>31,332,409.04</w:t>
            </w:r>
          </w:p>
        </w:tc>
        <w:tc>
          <w:tcPr>
            <w:tcW w:w="1929"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4"/>
              <w:jc w:val="right"/>
              <w:rPr>
                <w:rFonts w:ascii="Times New Roman" w:hAnsi="Times New Roman" w:cs="Times New Roman" w:eastAsia="Times New Roman" w:hint="default"/>
                <w:sz w:val="16"/>
                <w:szCs w:val="16"/>
              </w:rPr>
            </w:pPr>
            <w:r>
              <w:rPr>
                <w:rFonts w:ascii="Times New Roman"/>
                <w:spacing w:val="-1"/>
                <w:sz w:val="16"/>
              </w:rPr>
              <w:t>55,369,032.31</w:t>
            </w:r>
          </w:p>
        </w:tc>
      </w:tr>
      <w:tr>
        <w:trPr>
          <w:trHeight w:val="349" w:hRule="exact"/>
        </w:trPr>
        <w:tc>
          <w:tcPr>
            <w:tcW w:w="647" w:type="dxa"/>
            <w:tcBorders>
              <w:top w:val="nil" w:sz="6" w:space="0" w:color="auto"/>
              <w:left w:val="nil" w:sz="6" w:space="0" w:color="auto"/>
              <w:bottom w:val="nil" w:sz="6" w:space="0" w:color="auto"/>
              <w:right w:val="nil" w:sz="6" w:space="0" w:color="auto"/>
            </w:tcBorders>
          </w:tcPr>
          <w:p>
            <w:pP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07" w:right="0"/>
              <w:jc w:val="left"/>
              <w:rPr>
                <w:rFonts w:ascii="宋体" w:hAnsi="宋体" w:cs="宋体" w:eastAsia="宋体" w:hint="default"/>
                <w:sz w:val="16"/>
                <w:szCs w:val="16"/>
              </w:rPr>
            </w:pPr>
            <w:r>
              <w:rPr>
                <w:rFonts w:ascii="宋体" w:hAnsi="宋体" w:cs="宋体" w:eastAsia="宋体" w:hint="default"/>
                <w:sz w:val="16"/>
                <w:szCs w:val="16"/>
              </w:rPr>
              <w:t>长期衍生金融资产</w:t>
            </w:r>
          </w:p>
        </w:tc>
        <w:tc>
          <w:tcPr>
            <w:tcW w:w="1604" w:type="dxa"/>
            <w:tcBorders>
              <w:top w:val="nil" w:sz="6" w:space="0" w:color="auto"/>
              <w:left w:val="nil" w:sz="6" w:space="0" w:color="auto"/>
              <w:bottom w:val="nil" w:sz="6" w:space="0" w:color="auto"/>
              <w:right w:val="nil" w:sz="6" w:space="0" w:color="auto"/>
            </w:tcBorders>
          </w:tcPr>
          <w:p>
            <w:pPr/>
          </w:p>
        </w:tc>
        <w:tc>
          <w:tcPr>
            <w:tcW w:w="302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462"/>
              <w:jc w:val="right"/>
              <w:rPr>
                <w:rFonts w:ascii="Times New Roman" w:hAnsi="Times New Roman" w:cs="Times New Roman" w:eastAsia="Times New Roman" w:hint="default"/>
                <w:sz w:val="16"/>
                <w:szCs w:val="16"/>
              </w:rPr>
            </w:pPr>
            <w:r>
              <w:rPr>
                <w:rFonts w:ascii="Times New Roman"/>
                <w:spacing w:val="-1"/>
                <w:sz w:val="16"/>
              </w:rPr>
              <w:t>14,792,782.26</w:t>
            </w:r>
          </w:p>
        </w:tc>
        <w:tc>
          <w:tcPr>
            <w:tcW w:w="1929"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4"/>
              <w:jc w:val="right"/>
              <w:rPr>
                <w:rFonts w:ascii="Times New Roman" w:hAnsi="Times New Roman" w:cs="Times New Roman" w:eastAsia="Times New Roman" w:hint="default"/>
                <w:sz w:val="16"/>
                <w:szCs w:val="16"/>
              </w:rPr>
            </w:pPr>
            <w:r>
              <w:rPr>
                <w:rFonts w:ascii="Times New Roman"/>
                <w:spacing w:val="-1"/>
                <w:sz w:val="16"/>
              </w:rPr>
              <w:t>14,678,651.35</w:t>
            </w:r>
          </w:p>
        </w:tc>
      </w:tr>
      <w:tr>
        <w:trPr>
          <w:trHeight w:val="349" w:hRule="exact"/>
        </w:trPr>
        <w:tc>
          <w:tcPr>
            <w:tcW w:w="647" w:type="dxa"/>
            <w:tcBorders>
              <w:top w:val="nil" w:sz="6" w:space="0" w:color="auto"/>
              <w:left w:val="nil" w:sz="6" w:space="0" w:color="auto"/>
              <w:bottom w:val="nil" w:sz="6" w:space="0" w:color="auto"/>
              <w:right w:val="nil" w:sz="6" w:space="0" w:color="auto"/>
            </w:tcBorders>
          </w:tcPr>
          <w:p>
            <w:pP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07" w:right="0"/>
              <w:jc w:val="left"/>
              <w:rPr>
                <w:rFonts w:ascii="宋体" w:hAnsi="宋体" w:cs="宋体" w:eastAsia="宋体" w:hint="default"/>
                <w:sz w:val="16"/>
                <w:szCs w:val="16"/>
              </w:rPr>
            </w:pPr>
            <w:r>
              <w:rPr>
                <w:rFonts w:ascii="宋体" w:hAnsi="宋体" w:cs="宋体" w:eastAsia="宋体" w:hint="default"/>
                <w:sz w:val="16"/>
                <w:szCs w:val="16"/>
              </w:rPr>
              <w:t>预付工程款</w:t>
            </w:r>
          </w:p>
        </w:tc>
        <w:tc>
          <w:tcPr>
            <w:tcW w:w="1604" w:type="dxa"/>
            <w:tcBorders>
              <w:top w:val="nil" w:sz="6" w:space="0" w:color="auto"/>
              <w:left w:val="nil" w:sz="6" w:space="0" w:color="auto"/>
              <w:bottom w:val="nil" w:sz="6" w:space="0" w:color="auto"/>
              <w:right w:val="nil" w:sz="6" w:space="0" w:color="auto"/>
            </w:tcBorders>
          </w:tcPr>
          <w:p>
            <w:pPr/>
          </w:p>
        </w:tc>
        <w:tc>
          <w:tcPr>
            <w:tcW w:w="302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462"/>
              <w:jc w:val="right"/>
              <w:rPr>
                <w:rFonts w:ascii="Times New Roman" w:hAnsi="Times New Roman" w:cs="Times New Roman" w:eastAsia="Times New Roman" w:hint="default"/>
                <w:sz w:val="16"/>
                <w:szCs w:val="16"/>
              </w:rPr>
            </w:pPr>
            <w:r>
              <w:rPr>
                <w:rFonts w:ascii="Times New Roman"/>
                <w:spacing w:val="-1"/>
                <w:sz w:val="16"/>
              </w:rPr>
              <w:t>12,920,070.16</w:t>
            </w:r>
          </w:p>
        </w:tc>
        <w:tc>
          <w:tcPr>
            <w:tcW w:w="1929"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4"/>
              <w:jc w:val="right"/>
              <w:rPr>
                <w:rFonts w:ascii="Times New Roman" w:hAnsi="Times New Roman" w:cs="Times New Roman" w:eastAsia="Times New Roman" w:hint="default"/>
                <w:sz w:val="16"/>
                <w:szCs w:val="16"/>
              </w:rPr>
            </w:pPr>
            <w:r>
              <w:rPr>
                <w:rFonts w:ascii="Times New Roman"/>
                <w:spacing w:val="-1"/>
                <w:sz w:val="16"/>
              </w:rPr>
              <w:t>13,068,465.97</w:t>
            </w:r>
          </w:p>
        </w:tc>
      </w:tr>
      <w:tr>
        <w:trPr>
          <w:trHeight w:val="354" w:hRule="exact"/>
        </w:trPr>
        <w:tc>
          <w:tcPr>
            <w:tcW w:w="647" w:type="dxa"/>
            <w:tcBorders>
              <w:top w:val="nil" w:sz="6" w:space="0" w:color="auto"/>
              <w:left w:val="nil" w:sz="6" w:space="0" w:color="auto"/>
              <w:bottom w:val="nil" w:sz="6" w:space="0" w:color="auto"/>
              <w:right w:val="nil" w:sz="6" w:space="0" w:color="auto"/>
            </w:tcBorders>
          </w:tcPr>
          <w:p>
            <w:pPr/>
          </w:p>
        </w:tc>
        <w:tc>
          <w:tcPr>
            <w:tcW w:w="1627" w:type="dxa"/>
            <w:tcBorders>
              <w:top w:val="nil" w:sz="6" w:space="0" w:color="auto"/>
              <w:left w:val="nil" w:sz="6" w:space="0" w:color="auto"/>
              <w:bottom w:val="single" w:sz="12" w:space="0" w:color="000000"/>
              <w:right w:val="nil" w:sz="6" w:space="0" w:color="auto"/>
            </w:tcBorders>
          </w:tcPr>
          <w:p>
            <w:pPr/>
          </w:p>
        </w:tc>
        <w:tc>
          <w:tcPr>
            <w:tcW w:w="1604" w:type="dxa"/>
            <w:tcBorders>
              <w:top w:val="nil" w:sz="6" w:space="0" w:color="auto"/>
              <w:left w:val="nil" w:sz="6" w:space="0" w:color="auto"/>
              <w:bottom w:val="single" w:sz="12" w:space="0" w:color="000000"/>
              <w:right w:val="nil" w:sz="6" w:space="0" w:color="auto"/>
            </w:tcBorders>
          </w:tcPr>
          <w:p>
            <w:pPr>
              <w:pStyle w:val="TableParagraph"/>
              <w:spacing w:line="240" w:lineRule="auto" w:before="37"/>
              <w:ind w:left="49"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3028" w:type="dxa"/>
            <w:tcBorders>
              <w:top w:val="nil" w:sz="6" w:space="0" w:color="auto"/>
              <w:left w:val="nil" w:sz="6" w:space="0" w:color="auto"/>
              <w:bottom w:val="single" w:sz="12" w:space="0" w:color="000000"/>
              <w:right w:val="nil" w:sz="6" w:space="0" w:color="auto"/>
            </w:tcBorders>
          </w:tcPr>
          <w:p>
            <w:pPr>
              <w:pStyle w:val="TableParagraph"/>
              <w:spacing w:line="240" w:lineRule="auto" w:before="80"/>
              <w:ind w:right="463"/>
              <w:jc w:val="right"/>
              <w:rPr>
                <w:rFonts w:ascii="Times New Roman" w:hAnsi="Times New Roman" w:cs="Times New Roman" w:eastAsia="Times New Roman" w:hint="default"/>
                <w:sz w:val="16"/>
                <w:szCs w:val="16"/>
              </w:rPr>
            </w:pPr>
            <w:r>
              <w:rPr>
                <w:rFonts w:ascii="Times New Roman"/>
                <w:spacing w:val="-1"/>
                <w:sz w:val="16"/>
              </w:rPr>
              <w:t>134,809,668.52</w:t>
            </w:r>
          </w:p>
        </w:tc>
        <w:tc>
          <w:tcPr>
            <w:tcW w:w="1929" w:type="dxa"/>
            <w:tcBorders>
              <w:top w:val="nil" w:sz="6" w:space="0" w:color="auto"/>
              <w:left w:val="nil" w:sz="6" w:space="0" w:color="auto"/>
              <w:bottom w:val="single" w:sz="12" w:space="0" w:color="000000"/>
              <w:right w:val="nil" w:sz="6" w:space="0" w:color="auto"/>
            </w:tcBorders>
          </w:tcPr>
          <w:p>
            <w:pPr>
              <w:pStyle w:val="TableParagraph"/>
              <w:spacing w:line="240" w:lineRule="auto" w:before="80"/>
              <w:ind w:right="105"/>
              <w:jc w:val="right"/>
              <w:rPr>
                <w:rFonts w:ascii="Times New Roman" w:hAnsi="Times New Roman" w:cs="Times New Roman" w:eastAsia="Times New Roman" w:hint="default"/>
                <w:sz w:val="16"/>
                <w:szCs w:val="16"/>
              </w:rPr>
            </w:pPr>
            <w:r>
              <w:rPr>
                <w:rFonts w:ascii="Times New Roman"/>
                <w:spacing w:val="-1"/>
                <w:sz w:val="16"/>
              </w:rPr>
              <w:t>122,493,198.31</w:t>
            </w:r>
          </w:p>
        </w:tc>
      </w:tr>
    </w:tbl>
    <w:p>
      <w:pPr>
        <w:spacing w:after="0" w:line="240" w:lineRule="auto"/>
        <w:jc w:val="right"/>
        <w:rPr>
          <w:rFonts w:ascii="Times New Roman" w:hAnsi="Times New Roman" w:cs="Times New Roman" w:eastAsia="Times New Roman" w:hint="default"/>
          <w:sz w:val="16"/>
          <w:szCs w:val="16"/>
        </w:rPr>
        <w:sectPr>
          <w:pgSz w:w="11910" w:h="16840"/>
          <w:pgMar w:header="0" w:footer="1001" w:top="1520" w:bottom="1200" w:left="1660" w:right="0"/>
        </w:sectPr>
      </w:pPr>
    </w:p>
    <w:p>
      <w:pPr>
        <w:spacing w:line="240" w:lineRule="auto" w:before="8"/>
        <w:rPr>
          <w:rFonts w:ascii="宋体" w:hAnsi="宋体" w:cs="宋体" w:eastAsia="宋体" w:hint="default"/>
          <w:b/>
          <w:bCs/>
          <w:sz w:val="13"/>
          <w:szCs w:val="13"/>
        </w:rPr>
      </w:pPr>
    </w:p>
    <w:tbl>
      <w:tblPr>
        <w:tblW w:w="0" w:type="auto"/>
        <w:jc w:val="left"/>
        <w:tblInd w:w="102" w:type="dxa"/>
        <w:tblLayout w:type="fixed"/>
        <w:tblCellMar>
          <w:top w:w="0" w:type="dxa"/>
          <w:left w:w="0" w:type="dxa"/>
          <w:bottom w:w="0" w:type="dxa"/>
          <w:right w:w="0" w:type="dxa"/>
        </w:tblCellMar>
        <w:tblLook w:val="01E0"/>
      </w:tblPr>
      <w:tblGrid>
        <w:gridCol w:w="647"/>
        <w:gridCol w:w="1309"/>
        <w:gridCol w:w="1922"/>
        <w:gridCol w:w="3046"/>
        <w:gridCol w:w="1911"/>
      </w:tblGrid>
      <w:tr>
        <w:trPr>
          <w:trHeight w:val="358" w:hRule="exact"/>
        </w:trPr>
        <w:tc>
          <w:tcPr>
            <w:tcW w:w="64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1309"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101" w:right="0"/>
              <w:jc w:val="left"/>
              <w:rPr>
                <w:rFonts w:ascii="宋体" w:hAnsi="宋体" w:cs="宋体" w:eastAsia="宋体" w:hint="default"/>
                <w:sz w:val="21"/>
                <w:szCs w:val="21"/>
              </w:rPr>
            </w:pPr>
            <w:r>
              <w:rPr>
                <w:rFonts w:ascii="宋体" w:hAnsi="宋体" w:cs="宋体" w:eastAsia="宋体" w:hint="default"/>
                <w:b/>
                <w:bCs/>
                <w:sz w:val="21"/>
                <w:szCs w:val="21"/>
              </w:rPr>
              <w:t>短期借款</w:t>
            </w:r>
            <w:r>
              <w:rPr>
                <w:rFonts w:ascii="宋体" w:hAnsi="宋体" w:cs="宋体" w:eastAsia="宋体" w:hint="default"/>
                <w:sz w:val="21"/>
                <w:szCs w:val="21"/>
              </w:rPr>
            </w:r>
          </w:p>
        </w:tc>
        <w:tc>
          <w:tcPr>
            <w:tcW w:w="6879" w:type="dxa"/>
            <w:gridSpan w:val="3"/>
            <w:tcBorders>
              <w:top w:val="nil" w:sz="6" w:space="0" w:color="auto"/>
              <w:left w:val="nil" w:sz="6" w:space="0" w:color="auto"/>
              <w:bottom w:val="single" w:sz="12" w:space="0" w:color="000000"/>
              <w:right w:val="nil" w:sz="6" w:space="0" w:color="auto"/>
            </w:tcBorders>
          </w:tcPr>
          <w:p>
            <w:pPr/>
          </w:p>
        </w:tc>
      </w:tr>
      <w:tr>
        <w:trPr>
          <w:trHeight w:val="357" w:hRule="exact"/>
        </w:trPr>
        <w:tc>
          <w:tcPr>
            <w:tcW w:w="647" w:type="dxa"/>
            <w:tcBorders>
              <w:top w:val="nil" w:sz="6" w:space="0" w:color="auto"/>
              <w:left w:val="nil" w:sz="6" w:space="0" w:color="auto"/>
              <w:bottom w:val="nil" w:sz="6" w:space="0" w:color="auto"/>
              <w:right w:val="nil" w:sz="6" w:space="0" w:color="auto"/>
            </w:tcBorders>
          </w:tcPr>
          <w:p>
            <w:pPr/>
          </w:p>
        </w:tc>
        <w:tc>
          <w:tcPr>
            <w:tcW w:w="1309" w:type="dxa"/>
            <w:tcBorders>
              <w:top w:val="single" w:sz="12" w:space="0" w:color="000000"/>
              <w:left w:val="nil" w:sz="6" w:space="0" w:color="auto"/>
              <w:bottom w:val="nil" w:sz="6" w:space="0" w:color="auto"/>
              <w:right w:val="nil" w:sz="6" w:space="0" w:color="auto"/>
            </w:tcBorders>
          </w:tcPr>
          <w:p>
            <w:pPr/>
          </w:p>
        </w:tc>
        <w:tc>
          <w:tcPr>
            <w:tcW w:w="1922" w:type="dxa"/>
            <w:tcBorders>
              <w:top w:val="single" w:sz="12" w:space="0" w:color="000000"/>
              <w:left w:val="nil" w:sz="6" w:space="0" w:color="auto"/>
              <w:bottom w:val="nil" w:sz="6" w:space="0" w:color="auto"/>
              <w:right w:val="nil" w:sz="6" w:space="0" w:color="auto"/>
            </w:tcBorders>
          </w:tcPr>
          <w:p>
            <w:pPr>
              <w:pStyle w:val="TableParagraph"/>
              <w:spacing w:line="240" w:lineRule="auto" w:before="38"/>
              <w:ind w:left="361" w:right="0"/>
              <w:jc w:val="left"/>
              <w:rPr>
                <w:rFonts w:ascii="宋体" w:hAnsi="宋体" w:cs="宋体" w:eastAsia="宋体" w:hint="default"/>
                <w:sz w:val="16"/>
                <w:szCs w:val="16"/>
              </w:rPr>
            </w:pPr>
            <w:r>
              <w:rPr>
                <w:rFonts w:ascii="宋体" w:hAnsi="宋体" w:cs="宋体" w:eastAsia="宋体" w:hint="default"/>
                <w:sz w:val="16"/>
                <w:szCs w:val="16"/>
              </w:rPr>
              <w:t>项目</w:t>
            </w:r>
          </w:p>
        </w:tc>
        <w:tc>
          <w:tcPr>
            <w:tcW w:w="3046" w:type="dxa"/>
            <w:tcBorders>
              <w:top w:val="single" w:sz="12" w:space="0" w:color="000000"/>
              <w:left w:val="nil" w:sz="6" w:space="0" w:color="auto"/>
              <w:bottom w:val="nil" w:sz="6" w:space="0" w:color="auto"/>
              <w:right w:val="nil" w:sz="6" w:space="0" w:color="auto"/>
            </w:tcBorders>
          </w:tcPr>
          <w:p>
            <w:pPr>
              <w:pStyle w:val="TableParagraph"/>
              <w:spacing w:line="240" w:lineRule="auto" w:before="38"/>
              <w:ind w:left="75" w:right="0"/>
              <w:jc w:val="center"/>
              <w:rPr>
                <w:rFonts w:ascii="宋体" w:hAnsi="宋体" w:cs="宋体" w:eastAsia="宋体" w:hint="default"/>
                <w:sz w:val="16"/>
                <w:szCs w:val="16"/>
              </w:rPr>
            </w:pPr>
            <w:r>
              <w:rPr>
                <w:rFonts w:ascii="宋体" w:hAnsi="宋体" w:cs="宋体" w:eastAsia="宋体" w:hint="default"/>
                <w:sz w:val="16"/>
                <w:szCs w:val="16"/>
              </w:rPr>
              <w:t>期末余额</w:t>
            </w:r>
          </w:p>
        </w:tc>
        <w:tc>
          <w:tcPr>
            <w:tcW w:w="1911" w:type="dxa"/>
            <w:tcBorders>
              <w:top w:val="single" w:sz="12" w:space="0" w:color="000000"/>
              <w:left w:val="nil" w:sz="6" w:space="0" w:color="auto"/>
              <w:bottom w:val="nil" w:sz="6" w:space="0" w:color="auto"/>
              <w:right w:val="nil" w:sz="6" w:space="0" w:color="auto"/>
            </w:tcBorders>
          </w:tcPr>
          <w:p>
            <w:pPr>
              <w:pStyle w:val="TableParagraph"/>
              <w:spacing w:line="240" w:lineRule="auto" w:before="38"/>
              <w:ind w:left="458" w:right="0"/>
              <w:jc w:val="left"/>
              <w:rPr>
                <w:rFonts w:ascii="宋体" w:hAnsi="宋体" w:cs="宋体" w:eastAsia="宋体" w:hint="default"/>
                <w:sz w:val="16"/>
                <w:szCs w:val="16"/>
              </w:rPr>
            </w:pPr>
            <w:r>
              <w:rPr>
                <w:rFonts w:ascii="宋体" w:hAnsi="宋体" w:cs="宋体" w:eastAsia="宋体" w:hint="default"/>
                <w:sz w:val="16"/>
                <w:szCs w:val="16"/>
              </w:rPr>
              <w:t>年初余额</w:t>
            </w:r>
          </w:p>
        </w:tc>
      </w:tr>
      <w:tr>
        <w:trPr>
          <w:trHeight w:val="356" w:hRule="exact"/>
        </w:trPr>
        <w:tc>
          <w:tcPr>
            <w:tcW w:w="647" w:type="dxa"/>
            <w:tcBorders>
              <w:top w:val="nil" w:sz="6" w:space="0" w:color="auto"/>
              <w:left w:val="nil" w:sz="6" w:space="0" w:color="auto"/>
              <w:bottom w:val="nil" w:sz="6" w:space="0" w:color="auto"/>
              <w:right w:val="nil" w:sz="6" w:space="0" w:color="auto"/>
            </w:tcBorders>
          </w:tcPr>
          <w:p>
            <w:pP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07" w:right="0"/>
              <w:jc w:val="left"/>
              <w:rPr>
                <w:rFonts w:ascii="宋体" w:hAnsi="宋体" w:cs="宋体" w:eastAsia="宋体" w:hint="default"/>
                <w:sz w:val="16"/>
                <w:szCs w:val="16"/>
              </w:rPr>
            </w:pPr>
            <w:r>
              <w:rPr>
                <w:rFonts w:ascii="宋体" w:hAnsi="宋体" w:cs="宋体" w:eastAsia="宋体" w:hint="default"/>
                <w:sz w:val="16"/>
                <w:szCs w:val="16"/>
              </w:rPr>
              <w:t>质押借款</w:t>
            </w:r>
          </w:p>
        </w:tc>
        <w:tc>
          <w:tcPr>
            <w:tcW w:w="1922" w:type="dxa"/>
            <w:tcBorders>
              <w:top w:val="nil" w:sz="6" w:space="0" w:color="auto"/>
              <w:left w:val="nil" w:sz="6" w:space="0" w:color="auto"/>
              <w:bottom w:val="nil" w:sz="6" w:space="0" w:color="auto"/>
              <w:right w:val="nil" w:sz="6" w:space="0" w:color="auto"/>
            </w:tcBorders>
          </w:tcPr>
          <w:p>
            <w:pPr/>
          </w:p>
        </w:tc>
        <w:tc>
          <w:tcPr>
            <w:tcW w:w="3046"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456"/>
              <w:jc w:val="right"/>
              <w:rPr>
                <w:rFonts w:ascii="Times New Roman" w:hAnsi="Times New Roman" w:cs="Times New Roman" w:eastAsia="Times New Roman" w:hint="default"/>
                <w:sz w:val="16"/>
                <w:szCs w:val="16"/>
              </w:rPr>
            </w:pPr>
            <w:r>
              <w:rPr>
                <w:rFonts w:ascii="Times New Roman"/>
                <w:spacing w:val="-1"/>
                <w:sz w:val="16"/>
              </w:rPr>
              <w:t>40,041,230.95</w:t>
            </w:r>
          </w:p>
        </w:tc>
        <w:tc>
          <w:tcPr>
            <w:tcW w:w="1911"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05"/>
              <w:jc w:val="right"/>
              <w:rPr>
                <w:rFonts w:ascii="Times New Roman" w:hAnsi="Times New Roman" w:cs="Times New Roman" w:eastAsia="Times New Roman" w:hint="default"/>
                <w:sz w:val="16"/>
                <w:szCs w:val="16"/>
              </w:rPr>
            </w:pPr>
            <w:r>
              <w:rPr>
                <w:rFonts w:ascii="Times New Roman"/>
                <w:spacing w:val="-1"/>
                <w:sz w:val="16"/>
              </w:rPr>
              <w:t>478,501,460.17</w:t>
            </w:r>
          </w:p>
        </w:tc>
      </w:tr>
      <w:tr>
        <w:trPr>
          <w:trHeight w:val="349" w:hRule="exact"/>
        </w:trPr>
        <w:tc>
          <w:tcPr>
            <w:tcW w:w="647" w:type="dxa"/>
            <w:tcBorders>
              <w:top w:val="nil" w:sz="6" w:space="0" w:color="auto"/>
              <w:left w:val="nil" w:sz="6" w:space="0" w:color="auto"/>
              <w:bottom w:val="nil" w:sz="6" w:space="0" w:color="auto"/>
              <w:right w:val="nil" w:sz="6" w:space="0" w:color="auto"/>
            </w:tcBorders>
          </w:tcPr>
          <w:p>
            <w:pP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07" w:right="0"/>
              <w:jc w:val="left"/>
              <w:rPr>
                <w:rFonts w:ascii="宋体" w:hAnsi="宋体" w:cs="宋体" w:eastAsia="宋体" w:hint="default"/>
                <w:sz w:val="16"/>
                <w:szCs w:val="16"/>
              </w:rPr>
            </w:pPr>
            <w:r>
              <w:rPr>
                <w:rFonts w:ascii="宋体" w:hAnsi="宋体" w:cs="宋体" w:eastAsia="宋体" w:hint="default"/>
                <w:sz w:val="16"/>
                <w:szCs w:val="16"/>
              </w:rPr>
              <w:t>抵押借款</w:t>
            </w:r>
          </w:p>
        </w:tc>
        <w:tc>
          <w:tcPr>
            <w:tcW w:w="1922" w:type="dxa"/>
            <w:tcBorders>
              <w:top w:val="nil" w:sz="6" w:space="0" w:color="auto"/>
              <w:left w:val="nil" w:sz="6" w:space="0" w:color="auto"/>
              <w:bottom w:val="nil" w:sz="6" w:space="0" w:color="auto"/>
              <w:right w:val="nil" w:sz="6" w:space="0" w:color="auto"/>
            </w:tcBorders>
          </w:tcPr>
          <w:p>
            <w:pPr/>
          </w:p>
        </w:tc>
        <w:tc>
          <w:tcPr>
            <w:tcW w:w="3046"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457"/>
              <w:jc w:val="right"/>
              <w:rPr>
                <w:rFonts w:ascii="Times New Roman" w:hAnsi="Times New Roman" w:cs="Times New Roman" w:eastAsia="Times New Roman" w:hint="default"/>
                <w:sz w:val="16"/>
                <w:szCs w:val="16"/>
              </w:rPr>
            </w:pPr>
            <w:r>
              <w:rPr>
                <w:rFonts w:ascii="Times New Roman"/>
                <w:spacing w:val="-1"/>
                <w:sz w:val="16"/>
              </w:rPr>
              <w:t>133,970,568.00</w:t>
            </w:r>
          </w:p>
        </w:tc>
        <w:tc>
          <w:tcPr>
            <w:tcW w:w="1911"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5"/>
              <w:jc w:val="right"/>
              <w:rPr>
                <w:rFonts w:ascii="Times New Roman" w:hAnsi="Times New Roman" w:cs="Times New Roman" w:eastAsia="Times New Roman" w:hint="default"/>
                <w:sz w:val="16"/>
                <w:szCs w:val="16"/>
              </w:rPr>
            </w:pPr>
            <w:r>
              <w:rPr>
                <w:rFonts w:ascii="Times New Roman"/>
                <w:spacing w:val="-1"/>
                <w:sz w:val="16"/>
              </w:rPr>
              <w:t>144,906,774.36</w:t>
            </w:r>
          </w:p>
        </w:tc>
      </w:tr>
      <w:tr>
        <w:trPr>
          <w:trHeight w:val="349" w:hRule="exact"/>
        </w:trPr>
        <w:tc>
          <w:tcPr>
            <w:tcW w:w="647" w:type="dxa"/>
            <w:tcBorders>
              <w:top w:val="nil" w:sz="6" w:space="0" w:color="auto"/>
              <w:left w:val="nil" w:sz="6" w:space="0" w:color="auto"/>
              <w:bottom w:val="nil" w:sz="6" w:space="0" w:color="auto"/>
              <w:right w:val="nil" w:sz="6" w:space="0" w:color="auto"/>
            </w:tcBorders>
          </w:tcPr>
          <w:p>
            <w:pP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07" w:right="0"/>
              <w:jc w:val="left"/>
              <w:rPr>
                <w:rFonts w:ascii="宋体" w:hAnsi="宋体" w:cs="宋体" w:eastAsia="宋体" w:hint="default"/>
                <w:sz w:val="16"/>
                <w:szCs w:val="16"/>
              </w:rPr>
            </w:pPr>
            <w:r>
              <w:rPr>
                <w:rFonts w:ascii="宋体" w:hAnsi="宋体" w:cs="宋体" w:eastAsia="宋体" w:hint="default"/>
                <w:sz w:val="16"/>
                <w:szCs w:val="16"/>
              </w:rPr>
              <w:t>保证借款</w:t>
            </w:r>
          </w:p>
        </w:tc>
        <w:tc>
          <w:tcPr>
            <w:tcW w:w="1922" w:type="dxa"/>
            <w:tcBorders>
              <w:top w:val="nil" w:sz="6" w:space="0" w:color="auto"/>
              <w:left w:val="nil" w:sz="6" w:space="0" w:color="auto"/>
              <w:bottom w:val="nil" w:sz="6" w:space="0" w:color="auto"/>
              <w:right w:val="nil" w:sz="6" w:space="0" w:color="auto"/>
            </w:tcBorders>
          </w:tcPr>
          <w:p>
            <w:pPr/>
          </w:p>
        </w:tc>
        <w:tc>
          <w:tcPr>
            <w:tcW w:w="3046"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456"/>
              <w:jc w:val="right"/>
              <w:rPr>
                <w:rFonts w:ascii="Times New Roman" w:hAnsi="Times New Roman" w:cs="Times New Roman" w:eastAsia="Times New Roman" w:hint="default"/>
                <w:sz w:val="16"/>
                <w:szCs w:val="16"/>
              </w:rPr>
            </w:pPr>
            <w:r>
              <w:rPr>
                <w:rFonts w:ascii="Times New Roman"/>
                <w:spacing w:val="-1"/>
                <w:sz w:val="16"/>
              </w:rPr>
              <w:t>94,000,000.00</w:t>
            </w:r>
          </w:p>
        </w:tc>
        <w:tc>
          <w:tcPr>
            <w:tcW w:w="1911"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4"/>
              <w:jc w:val="right"/>
              <w:rPr>
                <w:rFonts w:ascii="Times New Roman" w:hAnsi="Times New Roman" w:cs="Times New Roman" w:eastAsia="Times New Roman" w:hint="default"/>
                <w:sz w:val="16"/>
                <w:szCs w:val="16"/>
              </w:rPr>
            </w:pPr>
            <w:r>
              <w:rPr>
                <w:rFonts w:ascii="Times New Roman"/>
                <w:spacing w:val="-1"/>
                <w:sz w:val="16"/>
              </w:rPr>
              <w:t>89,000,000.00</w:t>
            </w:r>
          </w:p>
        </w:tc>
      </w:tr>
      <w:tr>
        <w:trPr>
          <w:trHeight w:val="349" w:hRule="exact"/>
        </w:trPr>
        <w:tc>
          <w:tcPr>
            <w:tcW w:w="647" w:type="dxa"/>
            <w:tcBorders>
              <w:top w:val="nil" w:sz="6" w:space="0" w:color="auto"/>
              <w:left w:val="nil" w:sz="6" w:space="0" w:color="auto"/>
              <w:bottom w:val="nil" w:sz="6" w:space="0" w:color="auto"/>
              <w:right w:val="nil" w:sz="6" w:space="0" w:color="auto"/>
            </w:tcBorders>
          </w:tcPr>
          <w:p>
            <w:pP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07" w:right="0"/>
              <w:jc w:val="left"/>
              <w:rPr>
                <w:rFonts w:ascii="宋体" w:hAnsi="宋体" w:cs="宋体" w:eastAsia="宋体" w:hint="default"/>
                <w:sz w:val="16"/>
                <w:szCs w:val="16"/>
              </w:rPr>
            </w:pPr>
            <w:r>
              <w:rPr>
                <w:rFonts w:ascii="宋体" w:hAnsi="宋体" w:cs="宋体" w:eastAsia="宋体" w:hint="default"/>
                <w:sz w:val="16"/>
                <w:szCs w:val="16"/>
              </w:rPr>
              <w:t>信用借款</w:t>
            </w:r>
          </w:p>
        </w:tc>
        <w:tc>
          <w:tcPr>
            <w:tcW w:w="1922" w:type="dxa"/>
            <w:tcBorders>
              <w:top w:val="nil" w:sz="6" w:space="0" w:color="auto"/>
              <w:left w:val="nil" w:sz="6" w:space="0" w:color="auto"/>
              <w:bottom w:val="nil" w:sz="6" w:space="0" w:color="auto"/>
              <w:right w:val="nil" w:sz="6" w:space="0" w:color="auto"/>
            </w:tcBorders>
          </w:tcPr>
          <w:p>
            <w:pPr/>
          </w:p>
        </w:tc>
        <w:tc>
          <w:tcPr>
            <w:tcW w:w="3046"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457"/>
              <w:jc w:val="right"/>
              <w:rPr>
                <w:rFonts w:ascii="Times New Roman" w:hAnsi="Times New Roman" w:cs="Times New Roman" w:eastAsia="Times New Roman" w:hint="default"/>
                <w:sz w:val="16"/>
                <w:szCs w:val="16"/>
              </w:rPr>
            </w:pPr>
            <w:r>
              <w:rPr>
                <w:rFonts w:ascii="Times New Roman"/>
                <w:spacing w:val="-1"/>
                <w:sz w:val="16"/>
              </w:rPr>
              <w:t>1,755,000,000.00</w:t>
            </w:r>
          </w:p>
        </w:tc>
        <w:tc>
          <w:tcPr>
            <w:tcW w:w="1911"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5"/>
              <w:jc w:val="right"/>
              <w:rPr>
                <w:rFonts w:ascii="Times New Roman" w:hAnsi="Times New Roman" w:cs="Times New Roman" w:eastAsia="Times New Roman" w:hint="default"/>
                <w:sz w:val="16"/>
                <w:szCs w:val="16"/>
              </w:rPr>
            </w:pPr>
            <w:r>
              <w:rPr>
                <w:rFonts w:ascii="Times New Roman"/>
                <w:spacing w:val="-1"/>
                <w:sz w:val="16"/>
              </w:rPr>
              <w:t>695,000,000.00</w:t>
            </w:r>
          </w:p>
        </w:tc>
      </w:tr>
      <w:tr>
        <w:trPr>
          <w:trHeight w:val="353" w:hRule="exact"/>
        </w:trPr>
        <w:tc>
          <w:tcPr>
            <w:tcW w:w="647" w:type="dxa"/>
            <w:tcBorders>
              <w:top w:val="nil" w:sz="6" w:space="0" w:color="auto"/>
              <w:left w:val="nil" w:sz="6" w:space="0" w:color="auto"/>
              <w:bottom w:val="nil" w:sz="6" w:space="0" w:color="auto"/>
              <w:right w:val="nil" w:sz="6" w:space="0" w:color="auto"/>
            </w:tcBorders>
          </w:tcPr>
          <w:p>
            <w:pPr/>
          </w:p>
        </w:tc>
        <w:tc>
          <w:tcPr>
            <w:tcW w:w="1309" w:type="dxa"/>
            <w:tcBorders>
              <w:top w:val="nil" w:sz="6" w:space="0" w:color="auto"/>
              <w:left w:val="nil" w:sz="6" w:space="0" w:color="auto"/>
              <w:bottom w:val="single" w:sz="12" w:space="0" w:color="000000"/>
              <w:right w:val="nil" w:sz="6" w:space="0" w:color="auto"/>
            </w:tcBorders>
          </w:tcPr>
          <w:p>
            <w:pPr/>
          </w:p>
        </w:tc>
        <w:tc>
          <w:tcPr>
            <w:tcW w:w="1922" w:type="dxa"/>
            <w:tcBorders>
              <w:top w:val="nil" w:sz="6" w:space="0" w:color="auto"/>
              <w:left w:val="nil" w:sz="6" w:space="0" w:color="auto"/>
              <w:bottom w:val="single" w:sz="12" w:space="0" w:color="000000"/>
              <w:right w:val="nil" w:sz="6" w:space="0" w:color="auto"/>
            </w:tcBorders>
          </w:tcPr>
          <w:p>
            <w:pPr>
              <w:pStyle w:val="TableParagraph"/>
              <w:spacing w:line="240" w:lineRule="auto" w:before="38"/>
              <w:ind w:left="361"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3046" w:type="dxa"/>
            <w:tcBorders>
              <w:top w:val="nil" w:sz="6" w:space="0" w:color="auto"/>
              <w:left w:val="nil" w:sz="6" w:space="0" w:color="auto"/>
              <w:bottom w:val="single" w:sz="12" w:space="0" w:color="000000"/>
              <w:right w:val="nil" w:sz="6" w:space="0" w:color="auto"/>
            </w:tcBorders>
          </w:tcPr>
          <w:p>
            <w:pPr>
              <w:pStyle w:val="TableParagraph"/>
              <w:spacing w:line="240" w:lineRule="auto" w:before="80"/>
              <w:ind w:right="457"/>
              <w:jc w:val="right"/>
              <w:rPr>
                <w:rFonts w:ascii="Times New Roman" w:hAnsi="Times New Roman" w:cs="Times New Roman" w:eastAsia="Times New Roman" w:hint="default"/>
                <w:sz w:val="16"/>
                <w:szCs w:val="16"/>
              </w:rPr>
            </w:pPr>
            <w:r>
              <w:rPr>
                <w:rFonts w:ascii="Times New Roman"/>
                <w:spacing w:val="-1"/>
                <w:sz w:val="16"/>
              </w:rPr>
              <w:t>2,023,011,798.95</w:t>
            </w:r>
          </w:p>
        </w:tc>
        <w:tc>
          <w:tcPr>
            <w:tcW w:w="1911" w:type="dxa"/>
            <w:tcBorders>
              <w:top w:val="nil" w:sz="6" w:space="0" w:color="auto"/>
              <w:left w:val="nil" w:sz="6" w:space="0" w:color="auto"/>
              <w:bottom w:val="single" w:sz="12" w:space="0" w:color="000000"/>
              <w:right w:val="nil" w:sz="6" w:space="0" w:color="auto"/>
            </w:tcBorders>
          </w:tcPr>
          <w:p>
            <w:pPr>
              <w:pStyle w:val="TableParagraph"/>
              <w:spacing w:line="240" w:lineRule="auto" w:before="80"/>
              <w:ind w:right="105"/>
              <w:jc w:val="right"/>
              <w:rPr>
                <w:rFonts w:ascii="Times New Roman" w:hAnsi="Times New Roman" w:cs="Times New Roman" w:eastAsia="Times New Roman" w:hint="default"/>
                <w:sz w:val="16"/>
                <w:szCs w:val="16"/>
              </w:rPr>
            </w:pPr>
            <w:r>
              <w:rPr>
                <w:rFonts w:ascii="Times New Roman"/>
                <w:spacing w:val="-1"/>
                <w:sz w:val="16"/>
              </w:rPr>
              <w:t>1,407,408,234.53</w:t>
            </w:r>
          </w:p>
        </w:tc>
      </w:tr>
    </w:tbl>
    <w:p>
      <w:pPr>
        <w:pStyle w:val="BodyText"/>
        <w:spacing w:line="240" w:lineRule="auto" w:before="78"/>
        <w:ind w:left="851" w:right="3681"/>
        <w:jc w:val="left"/>
      </w:pPr>
      <w:r>
        <w:rPr/>
        <w:pict>
          <v:group style="position:absolute;margin-left:119.520004pt;margin-top:-106.41626pt;width:411.75pt;height:104.2pt;mso-position-horizontal-relative:page;mso-position-vertical-relative:paragraph;z-index:-1385608" coordorigin="2390,-2128" coordsize="8235,2084">
            <v:shape style="position:absolute;left:6067;top:-2128;width:10;height:28" type="#_x0000_t75" stroked="false">
              <v:imagedata r:id="rId39" o:title=""/>
            </v:shape>
            <v:shape style="position:absolute;left:8330;top:-2128;width:10;height:28" type="#_x0000_t75" stroked="false">
              <v:imagedata r:id="rId39" o:title=""/>
            </v:shape>
            <v:shape style="position:absolute;left:6048;top:-2120;width:2311;height:349" type="#_x0000_t75" stroked="false">
              <v:imagedata r:id="rId229" o:title=""/>
            </v:shape>
            <v:shape style="position:absolute;left:2390;top:-1809;width:8234;height:1764" type="#_x0000_t75" stroked="false">
              <v:imagedata r:id="rId230" o:title=""/>
            </v:shape>
            <w10:wrap type="none"/>
          </v:group>
        </w:pict>
      </w:r>
      <w:r>
        <w:rPr/>
        <w:t>说明：</w:t>
      </w:r>
    </w:p>
    <w:p>
      <w:pPr>
        <w:pStyle w:val="BodyText"/>
        <w:spacing w:line="240" w:lineRule="auto" w:before="126"/>
        <w:ind w:left="851" w:right="1682"/>
        <w:jc w:val="left"/>
        <w:rPr>
          <w:rFonts w:ascii="Times New Roman" w:hAnsi="Times New Roman" w:cs="Times New Roman" w:eastAsia="Times New Roman" w:hint="default"/>
        </w:rPr>
      </w:pPr>
      <w:r>
        <w:rPr>
          <w:rFonts w:ascii="Times New Roman" w:hAnsi="Times New Roman" w:cs="Times New Roman" w:eastAsia="Times New Roman" w:hint="default"/>
        </w:rPr>
        <w:t>1</w:t>
      </w:r>
      <w:r>
        <w:rPr>
          <w:spacing w:val="-105"/>
        </w:rPr>
        <w:t>、</w:t>
      </w:r>
      <w:r>
        <w:rPr/>
        <w:t>质押借款</w:t>
      </w:r>
      <w:r>
        <w:rPr>
          <w:spacing w:val="-59"/>
        </w:rPr>
        <w:t> </w:t>
      </w:r>
      <w:r>
        <w:rPr>
          <w:rFonts w:ascii="Times New Roman" w:hAnsi="Times New Roman" w:cs="Times New Roman" w:eastAsia="Times New Roman" w:hint="default"/>
          <w:spacing w:val="-1"/>
        </w:rPr>
        <w:t>4</w:t>
      </w:r>
      <w:r>
        <w:rPr>
          <w:rFonts w:ascii="Times New Roman" w:hAnsi="Times New Roman" w:cs="Times New Roman" w:eastAsia="Times New Roman" w:hint="default"/>
        </w:rPr>
        <w:t>0,</w:t>
      </w:r>
      <w:r>
        <w:rPr>
          <w:rFonts w:ascii="Times New Roman" w:hAnsi="Times New Roman" w:cs="Times New Roman" w:eastAsia="Times New Roman" w:hint="default"/>
          <w:spacing w:val="-1"/>
        </w:rPr>
        <w:t>0</w:t>
      </w:r>
      <w:r>
        <w:rPr>
          <w:rFonts w:ascii="Times New Roman" w:hAnsi="Times New Roman" w:cs="Times New Roman" w:eastAsia="Times New Roman" w:hint="default"/>
        </w:rPr>
        <w:t>4</w:t>
      </w:r>
      <w:r>
        <w:rPr>
          <w:rFonts w:ascii="Times New Roman" w:hAnsi="Times New Roman" w:cs="Times New Roman" w:eastAsia="Times New Roman" w:hint="default"/>
          <w:spacing w:val="-1"/>
        </w:rPr>
        <w:t>1</w:t>
      </w:r>
      <w:r>
        <w:rPr>
          <w:rFonts w:ascii="Times New Roman" w:hAnsi="Times New Roman" w:cs="Times New Roman" w:eastAsia="Times New Roman" w:hint="default"/>
        </w:rPr>
        <w:t>,</w:t>
      </w:r>
      <w:r>
        <w:rPr>
          <w:rFonts w:ascii="Times New Roman" w:hAnsi="Times New Roman" w:cs="Times New Roman" w:eastAsia="Times New Roman" w:hint="default"/>
          <w:spacing w:val="-1"/>
        </w:rPr>
        <w:t>2</w:t>
      </w:r>
      <w:r>
        <w:rPr>
          <w:rFonts w:ascii="Times New Roman" w:hAnsi="Times New Roman" w:cs="Times New Roman" w:eastAsia="Times New Roman" w:hint="default"/>
        </w:rPr>
        <w:t>30</w:t>
      </w:r>
      <w:r>
        <w:rPr>
          <w:rFonts w:ascii="Times New Roman" w:hAnsi="Times New Roman" w:cs="Times New Roman" w:eastAsia="Times New Roman" w:hint="default"/>
          <w:spacing w:val="-1"/>
        </w:rPr>
        <w:t>.</w:t>
      </w:r>
      <w:r>
        <w:rPr>
          <w:rFonts w:ascii="Times New Roman" w:hAnsi="Times New Roman" w:cs="Times New Roman" w:eastAsia="Times New Roman" w:hint="default"/>
        </w:rPr>
        <w:t>95</w:t>
      </w:r>
      <w:r>
        <w:rPr>
          <w:rFonts w:ascii="Times New Roman" w:hAnsi="Times New Roman" w:cs="Times New Roman" w:eastAsia="Times New Roman" w:hint="default"/>
          <w:spacing w:val="-6"/>
        </w:rPr>
        <w:t> </w:t>
      </w:r>
      <w:r>
        <w:rPr/>
        <w:t>元为本公司之二级子公司柏怡电子有限公司以面值</w:t>
      </w:r>
      <w:r>
        <w:rPr>
          <w:spacing w:val="-57"/>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0</w:t>
      </w:r>
      <w:r>
        <w:rPr>
          <w:rFonts w:ascii="Times New Roman" w:hAnsi="Times New Roman" w:cs="Times New Roman" w:eastAsia="Times New Roman" w:hint="default"/>
        </w:rPr>
        <w:t>0.</w:t>
      </w:r>
      <w:r>
        <w:rPr>
          <w:rFonts w:ascii="Times New Roman" w:hAnsi="Times New Roman" w:cs="Times New Roman" w:eastAsia="Times New Roman" w:hint="default"/>
          <w:spacing w:val="-1"/>
        </w:rPr>
        <w:t>0</w:t>
      </w:r>
      <w:r>
        <w:rPr>
          <w:rFonts w:ascii="Times New Roman" w:hAnsi="Times New Roman" w:cs="Times New Roman" w:eastAsia="Times New Roman" w:hint="default"/>
        </w:rPr>
        <w:t>0</w:t>
      </w:r>
    </w:p>
    <w:p>
      <w:pPr>
        <w:pStyle w:val="BodyText"/>
        <w:spacing w:line="240" w:lineRule="auto"/>
        <w:ind w:left="851" w:right="1682"/>
        <w:jc w:val="left"/>
      </w:pPr>
      <w:r>
        <w:rPr/>
        <w:t>万美元的债券质押向香港汇丰银行借款</w:t>
      </w:r>
      <w:r>
        <w:rPr>
          <w:spacing w:val="-63"/>
        </w:rPr>
        <w:t> </w:t>
      </w:r>
      <w:r>
        <w:rPr>
          <w:rFonts w:ascii="Times New Roman" w:hAnsi="Times New Roman" w:cs="Times New Roman" w:eastAsia="Times New Roman" w:hint="default"/>
        </w:rPr>
        <w:t>31,438,110.95</w:t>
      </w:r>
      <w:r>
        <w:rPr>
          <w:rFonts w:ascii="Times New Roman" w:hAnsi="Times New Roman" w:cs="Times New Roman" w:eastAsia="Times New Roman" w:hint="default"/>
          <w:spacing w:val="-10"/>
        </w:rPr>
        <w:t> </w:t>
      </w:r>
      <w:r>
        <w:rPr/>
        <w:t>元，本公司之子公司长沙湘计</w:t>
      </w:r>
    </w:p>
    <w:p>
      <w:pPr>
        <w:pStyle w:val="BodyText"/>
        <w:spacing w:line="240" w:lineRule="auto"/>
        <w:ind w:left="851" w:right="1793"/>
        <w:jc w:val="left"/>
      </w:pPr>
      <w:r>
        <w:rPr/>
        <w:t>海盾科技有限公司以 </w:t>
      </w:r>
      <w:r>
        <w:rPr>
          <w:rFonts w:ascii="Times New Roman" w:hAnsi="Times New Roman" w:cs="Times New Roman" w:eastAsia="Times New Roman" w:hint="default"/>
        </w:rPr>
        <w:t>8,603,120.00</w:t>
      </w:r>
      <w:r>
        <w:rPr>
          <w:rFonts w:ascii="Times New Roman" w:hAnsi="Times New Roman" w:cs="Times New Roman" w:eastAsia="Times New Roman" w:hint="default"/>
          <w:spacing w:val="-7"/>
        </w:rPr>
        <w:t> </w:t>
      </w:r>
      <w:r>
        <w:rPr/>
        <w:t>元的商业承兑汇票向中国电子财务有限责任公司</w:t>
      </w:r>
    </w:p>
    <w:p>
      <w:pPr>
        <w:pStyle w:val="BodyText"/>
        <w:spacing w:line="240" w:lineRule="auto" w:before="110"/>
        <w:ind w:left="851" w:right="3681"/>
        <w:jc w:val="left"/>
      </w:pPr>
      <w:r>
        <w:rPr/>
        <w:t>贴现取得借款</w:t>
      </w:r>
      <w:r>
        <w:rPr>
          <w:spacing w:val="-56"/>
        </w:rPr>
        <w:t> </w:t>
      </w:r>
      <w:r>
        <w:rPr>
          <w:rFonts w:ascii="Times New Roman" w:hAnsi="Times New Roman" w:cs="Times New Roman" w:eastAsia="Times New Roman" w:hint="default"/>
        </w:rPr>
        <w:t>8,603,120.00</w:t>
      </w:r>
      <w:r>
        <w:rPr>
          <w:rFonts w:ascii="Times New Roman" w:hAnsi="Times New Roman" w:cs="Times New Roman" w:eastAsia="Times New Roman" w:hint="default"/>
          <w:spacing w:val="-3"/>
        </w:rPr>
        <w:t> </w:t>
      </w:r>
      <w:r>
        <w:rPr/>
        <w:t>元。</w:t>
      </w:r>
    </w:p>
    <w:p>
      <w:pPr>
        <w:pStyle w:val="BodyText"/>
        <w:spacing w:line="336" w:lineRule="auto"/>
        <w:ind w:left="851" w:right="1783" w:hanging="1"/>
        <w:jc w:val="left"/>
      </w:pPr>
      <w:r>
        <w:rPr>
          <w:rFonts w:ascii="Times New Roman" w:hAnsi="Times New Roman" w:cs="Times New Roman" w:eastAsia="Times New Roman" w:hint="default"/>
        </w:rPr>
        <w:t>2</w:t>
      </w:r>
      <w:r>
        <w:rPr/>
        <w:t>、抵押借款</w:t>
      </w:r>
      <w:r>
        <w:rPr>
          <w:spacing w:val="-64"/>
        </w:rPr>
        <w:t> </w:t>
      </w:r>
      <w:r>
        <w:rPr>
          <w:rFonts w:ascii="Times New Roman" w:hAnsi="Times New Roman" w:cs="Times New Roman" w:eastAsia="Times New Roman" w:hint="default"/>
        </w:rPr>
        <w:t>133,970,568.00</w:t>
      </w:r>
      <w:r>
        <w:rPr>
          <w:rFonts w:ascii="Times New Roman" w:hAnsi="Times New Roman" w:cs="Times New Roman" w:eastAsia="Times New Roman" w:hint="default"/>
          <w:spacing w:val="-10"/>
        </w:rPr>
        <w:t> </w:t>
      </w:r>
      <w:r>
        <w:rPr/>
        <w:t>元为本公司之子公司中国长城计算机（香港）控股有限 公司以香港北角屈臣道</w:t>
      </w:r>
      <w:r>
        <w:rPr>
          <w:spacing w:val="-54"/>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 </w:t>
      </w:r>
      <w:r>
        <w:rPr/>
        <w:t>至</w:t>
      </w:r>
      <w:r>
        <w:rPr>
          <w:spacing w:val="-55"/>
        </w:rPr>
        <w:t> </w:t>
      </w:r>
      <w:r>
        <w:rPr>
          <w:rFonts w:ascii="Times New Roman" w:hAnsi="Times New Roman" w:cs="Times New Roman" w:eastAsia="Times New Roman" w:hint="default"/>
        </w:rPr>
        <w:t>8</w:t>
      </w:r>
      <w:r>
        <w:rPr>
          <w:rFonts w:ascii="Times New Roman" w:hAnsi="Times New Roman" w:cs="Times New Roman" w:eastAsia="Times New Roman" w:hint="default"/>
          <w:spacing w:val="-1"/>
        </w:rPr>
        <w:t> </w:t>
      </w:r>
      <w:r>
        <w:rPr/>
        <w:t>号海景大厦</w:t>
      </w:r>
      <w:r>
        <w:rPr>
          <w:spacing w:val="-54"/>
        </w:rPr>
        <w:t> </w:t>
      </w:r>
      <w:r>
        <w:rPr>
          <w:rFonts w:ascii="Times New Roman" w:hAnsi="Times New Roman" w:cs="Times New Roman" w:eastAsia="Times New Roman" w:hint="default"/>
        </w:rPr>
        <w:t>C</w:t>
      </w:r>
      <w:r>
        <w:rPr>
          <w:rFonts w:ascii="Times New Roman" w:hAnsi="Times New Roman" w:cs="Times New Roman" w:eastAsia="Times New Roman" w:hint="default"/>
          <w:spacing w:val="-1"/>
        </w:rPr>
        <w:t> </w:t>
      </w:r>
      <w:r>
        <w:rPr/>
        <w:t>座四楼的房屋和土地使用权为抵押物向 华侨永亨银行借款</w:t>
      </w:r>
      <w:r>
        <w:rPr>
          <w:spacing w:val="-65"/>
        </w:rPr>
        <w:t> </w:t>
      </w:r>
      <w:r>
        <w:rPr>
          <w:rFonts w:ascii="Times New Roman" w:hAnsi="Times New Roman" w:cs="Times New Roman" w:eastAsia="Times New Roman" w:hint="default"/>
        </w:rPr>
        <w:t>25,970,568.00</w:t>
      </w:r>
      <w:r>
        <w:rPr>
          <w:rFonts w:ascii="Times New Roman" w:hAnsi="Times New Roman" w:cs="Times New Roman" w:eastAsia="Times New Roman" w:hint="default"/>
          <w:spacing w:val="-11"/>
        </w:rPr>
        <w:t> </w:t>
      </w:r>
      <w:r>
        <w:rPr/>
        <w:t>元，本公司之子公司长沙中电软件园有限公司以长 沙中电软件园总部大楼为抵押物向中国银行股份有限公司长沙市松桂园支行借款 </w:t>
      </w:r>
      <w:r>
        <w:rPr>
          <w:rFonts w:ascii="Times New Roman" w:hAnsi="Times New Roman" w:cs="Times New Roman" w:eastAsia="Times New Roman" w:hint="default"/>
        </w:rPr>
        <w:t>108,000,000.00</w:t>
      </w:r>
      <w:r>
        <w:rPr>
          <w:rFonts w:ascii="Times New Roman" w:hAnsi="Times New Roman" w:cs="Times New Roman" w:eastAsia="Times New Roman" w:hint="default"/>
          <w:spacing w:val="-6"/>
        </w:rPr>
        <w:t> </w:t>
      </w:r>
      <w:r>
        <w:rPr/>
        <w:t>元。</w:t>
      </w:r>
    </w:p>
    <w:p>
      <w:pPr>
        <w:pStyle w:val="BodyText"/>
        <w:spacing w:line="240" w:lineRule="auto" w:before="17"/>
        <w:ind w:left="851" w:right="1793"/>
        <w:jc w:val="left"/>
      </w:pPr>
      <w:r>
        <w:rPr>
          <w:rFonts w:ascii="Times New Roman" w:hAnsi="Times New Roman" w:cs="Times New Roman" w:eastAsia="Times New Roman" w:hint="default"/>
        </w:rPr>
        <w:t>3</w:t>
      </w:r>
      <w:r>
        <w:rPr/>
        <w:t>、保证借款</w:t>
      </w:r>
      <w:r>
        <w:rPr>
          <w:spacing w:val="-58"/>
        </w:rPr>
        <w:t> </w:t>
      </w:r>
      <w:r>
        <w:rPr>
          <w:rFonts w:ascii="Times New Roman" w:hAnsi="Times New Roman" w:cs="Times New Roman" w:eastAsia="Times New Roman" w:hint="default"/>
        </w:rPr>
        <w:t>94,000,000.00</w:t>
      </w:r>
      <w:r>
        <w:rPr>
          <w:rFonts w:ascii="Times New Roman" w:hAnsi="Times New Roman" w:cs="Times New Roman" w:eastAsia="Times New Roman" w:hint="default"/>
          <w:spacing w:val="-4"/>
        </w:rPr>
        <w:t> </w:t>
      </w:r>
      <w:r>
        <w:rPr/>
        <w:t>元为本公司之子公司湖南长城计算机系统有限公司向中</w:t>
      </w:r>
    </w:p>
    <w:p>
      <w:pPr>
        <w:pStyle w:val="BodyText"/>
        <w:spacing w:line="340" w:lineRule="auto"/>
        <w:ind w:left="851" w:right="1792"/>
        <w:jc w:val="both"/>
      </w:pPr>
      <w:r>
        <w:rPr/>
        <w:t>国电子财务有限责任公司借款</w:t>
      </w:r>
      <w:r>
        <w:rPr>
          <w:spacing w:val="-65"/>
        </w:rPr>
        <w:t> </w:t>
      </w:r>
      <w:r>
        <w:rPr>
          <w:rFonts w:ascii="Times New Roman" w:hAnsi="Times New Roman" w:cs="Times New Roman" w:eastAsia="Times New Roman" w:hint="default"/>
        </w:rPr>
        <w:t>20,000,000.00</w:t>
      </w:r>
      <w:r>
        <w:rPr>
          <w:rFonts w:ascii="Times New Roman" w:hAnsi="Times New Roman" w:cs="Times New Roman" w:eastAsia="Times New Roman" w:hint="default"/>
          <w:spacing w:val="-11"/>
        </w:rPr>
        <w:t> </w:t>
      </w:r>
      <w:r>
        <w:rPr/>
        <w:t>元，由本公司提供保证；本公司之三级 子公司武汉中原长江科技发展有限公司、武汉长光电源有限公司向中国电子财务有 限责任公司借款</w:t>
      </w:r>
      <w:r>
        <w:rPr>
          <w:spacing w:val="-57"/>
        </w:rPr>
        <w:t> </w:t>
      </w:r>
      <w:r>
        <w:rPr>
          <w:rFonts w:ascii="Times New Roman" w:hAnsi="Times New Roman" w:cs="Times New Roman" w:eastAsia="Times New Roman" w:hint="default"/>
        </w:rPr>
        <w:t>74,000,000.00</w:t>
      </w:r>
      <w:r>
        <w:rPr>
          <w:rFonts w:ascii="Times New Roman" w:hAnsi="Times New Roman" w:cs="Times New Roman" w:eastAsia="Times New Roman" w:hint="default"/>
          <w:spacing w:val="-4"/>
        </w:rPr>
        <w:t> </w:t>
      </w:r>
      <w:r>
        <w:rPr/>
        <w:t>元，由武汉中原电子集团有限公司提供保证。</w:t>
      </w:r>
    </w:p>
    <w:p>
      <w:pPr>
        <w:spacing w:line="240" w:lineRule="auto" w:before="5"/>
        <w:rPr>
          <w:rFonts w:ascii="宋体" w:hAnsi="宋体" w:cs="宋体" w:eastAsia="宋体" w:hint="default"/>
          <w:sz w:val="31"/>
          <w:szCs w:val="31"/>
        </w:rPr>
      </w:pPr>
    </w:p>
    <w:p>
      <w:pPr>
        <w:pStyle w:val="Heading5"/>
        <w:spacing w:line="240" w:lineRule="auto" w:before="0"/>
        <w:ind w:right="3681"/>
        <w:jc w:val="left"/>
        <w:rPr>
          <w:b w:val="0"/>
          <w:bCs w:val="0"/>
        </w:rPr>
      </w:pPr>
      <w:r>
        <w:rPr/>
        <w:pict>
          <v:group style="position:absolute;margin-left:119.010002pt;margin-top:15.379025pt;width:412pt;height:72.3pt;mso-position-horizontal-relative:page;mso-position-vertical-relative:paragraph;z-index:-1385584" coordorigin="2380,308" coordsize="8240,1446">
            <v:group style="position:absolute;left:2410;top:323;width:3704;height:2" coordorigin="2410,323" coordsize="3704,2">
              <v:shape style="position:absolute;left:2410;top:323;width:3704;height:2" coordorigin="2410,323" coordsize="3704,0" path="m2410,323l6113,323e" filled="false" stroked="true" strokeweight="1.5pt" strokecolor="#000000">
                <v:path arrowok="t"/>
              </v:shape>
              <v:shape style="position:absolute;left:6113;top:338;width:10;height:28" type="#_x0000_t75" stroked="false">
                <v:imagedata r:id="rId39" o:title=""/>
              </v:shape>
            </v:group>
            <v:group style="position:absolute;left:6113;top:323;width:2242;height:2" coordorigin="6113,323" coordsize="2242,2">
              <v:shape style="position:absolute;left:6113;top:323;width:2242;height:2" coordorigin="6113,323" coordsize="2242,0" path="m6113,323l8354,323e" filled="false" stroked="true" strokeweight="1.5pt" strokecolor="#000000">
                <v:path arrowok="t"/>
              </v:shape>
              <v:shape style="position:absolute;left:8354;top:338;width:10;height:28" type="#_x0000_t75" stroked="false">
                <v:imagedata r:id="rId39" o:title=""/>
              </v:shape>
            </v:group>
            <v:group style="position:absolute;left:8354;top:323;width:2243;height:2" coordorigin="8354,323" coordsize="2243,2">
              <v:shape style="position:absolute;left:8354;top:323;width:2243;height:2" coordorigin="8354,323" coordsize="2243,0" path="m8354,323l10597,323e" filled="false" stroked="true" strokeweight="1.5pt" strokecolor="#000000">
                <v:path arrowok="t"/>
              </v:shape>
              <v:shape style="position:absolute;left:6094;top:346;width:2290;height:349" type="#_x0000_t75" stroked="false">
                <v:imagedata r:id="rId231" o:title=""/>
              </v:shape>
            </v:group>
            <v:group style="position:absolute;left:2395;top:1739;width:3718;height:2" coordorigin="2395,1739" coordsize="3718,2">
              <v:shape style="position:absolute;left:2395;top:1739;width:3718;height:2" coordorigin="2395,1739" coordsize="3718,0" path="m2395,1739l6113,1739e" filled="false" stroked="true" strokeweight="1.5pt" strokecolor="#000000">
                <v:path arrowok="t"/>
              </v:shape>
            </v:group>
            <v:group style="position:absolute;left:6113;top:1739;width:2242;height:2" coordorigin="6113,1739" coordsize="2242,2">
              <v:shape style="position:absolute;left:6113;top:1739;width:2242;height:2" coordorigin="6113,1739" coordsize="2242,0" path="m6113,1739l8354,1739e" filled="false" stroked="true" strokeweight="1.5pt" strokecolor="#000000">
                <v:path arrowok="t"/>
              </v:shape>
              <v:shape style="position:absolute;left:2390;top:657;width:8230;height:1067" type="#_x0000_t75" stroked="false">
                <v:imagedata r:id="rId232" o:title=""/>
              </v:shape>
            </v:group>
            <v:group style="position:absolute;left:8354;top:1739;width:2243;height:2" coordorigin="8354,1739" coordsize="2243,2">
              <v:shape style="position:absolute;left:8354;top:1739;width:2243;height:2" coordorigin="8354,1739" coordsize="2243,0" path="m8354,1739l10597,1739e" filled="false" stroked="true" strokeweight="1.5pt" strokecolor="#000000">
                <v:path arrowok="t"/>
              </v:shape>
            </v:group>
            <w10:wrap type="none"/>
          </v:group>
        </w:pict>
      </w:r>
      <w:r>
        <w:rPr>
          <w:rFonts w:ascii="Times New Roman" w:hAnsi="Times New Roman" w:cs="Times New Roman" w:eastAsia="Times New Roman" w:hint="default"/>
        </w:rPr>
        <w:t>(</w:t>
      </w:r>
      <w:r>
        <w:rPr/>
        <w:t>二十一</w:t>
      </w:r>
      <w:r>
        <w:rPr>
          <w:rFonts w:ascii="Times New Roman" w:hAnsi="Times New Roman" w:cs="Times New Roman" w:eastAsia="Times New Roman" w:hint="default"/>
        </w:rPr>
        <w:t>)</w:t>
      </w:r>
      <w:r>
        <w:rPr>
          <w:rFonts w:ascii="Times New Roman" w:hAnsi="Times New Roman" w:cs="Times New Roman" w:eastAsia="Times New Roman" w:hint="default"/>
          <w:spacing w:val="22"/>
        </w:rPr>
        <w:t> </w:t>
      </w:r>
      <w:r>
        <w:rPr/>
        <w:t>应付票据及应付账款</w:t>
      </w:r>
      <w:r>
        <w:rPr>
          <w:b w:val="0"/>
          <w:bCs w:val="0"/>
        </w:rPr>
      </w:r>
    </w:p>
    <w:p>
      <w:pPr>
        <w:spacing w:line="240" w:lineRule="auto" w:before="6"/>
        <w:rPr>
          <w:rFonts w:ascii="宋体" w:hAnsi="宋体" w:cs="宋体" w:eastAsia="宋体" w:hint="default"/>
          <w:b/>
          <w:bCs/>
          <w:sz w:val="2"/>
          <w:szCs w:val="2"/>
        </w:rPr>
      </w:pPr>
    </w:p>
    <w:tbl>
      <w:tblPr>
        <w:tblW w:w="0" w:type="auto"/>
        <w:jc w:val="left"/>
        <w:tblInd w:w="787" w:type="dxa"/>
        <w:tblLayout w:type="fixed"/>
        <w:tblCellMar>
          <w:top w:w="0" w:type="dxa"/>
          <w:left w:w="0" w:type="dxa"/>
          <w:bottom w:w="0" w:type="dxa"/>
          <w:right w:w="0" w:type="dxa"/>
        </w:tblCellMar>
        <w:tblLook w:val="01E0"/>
      </w:tblPr>
      <w:tblGrid>
        <w:gridCol w:w="1182"/>
        <w:gridCol w:w="2041"/>
        <w:gridCol w:w="3035"/>
        <w:gridCol w:w="1855"/>
      </w:tblGrid>
      <w:tr>
        <w:trPr>
          <w:trHeight w:val="713" w:hRule="exact"/>
        </w:trPr>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left="70" w:right="0"/>
              <w:jc w:val="left"/>
              <w:rPr>
                <w:rFonts w:ascii="宋体" w:hAnsi="宋体" w:cs="宋体" w:eastAsia="宋体" w:hint="default"/>
                <w:sz w:val="16"/>
                <w:szCs w:val="16"/>
              </w:rPr>
            </w:pPr>
            <w:r>
              <w:rPr>
                <w:rFonts w:ascii="宋体" w:hAnsi="宋体" w:cs="宋体" w:eastAsia="宋体" w:hint="default"/>
                <w:sz w:val="16"/>
                <w:szCs w:val="16"/>
              </w:rPr>
              <w:t>应付票据</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473" w:right="0"/>
              <w:jc w:val="left"/>
              <w:rPr>
                <w:rFonts w:ascii="宋体" w:hAnsi="宋体" w:cs="宋体" w:eastAsia="宋体" w:hint="default"/>
                <w:sz w:val="16"/>
                <w:szCs w:val="16"/>
              </w:rPr>
            </w:pPr>
            <w:r>
              <w:rPr>
                <w:rFonts w:ascii="宋体" w:hAnsi="宋体" w:cs="宋体" w:eastAsia="宋体" w:hint="default"/>
                <w:sz w:val="16"/>
                <w:szCs w:val="16"/>
              </w:rPr>
              <w:t>项目</w:t>
            </w:r>
          </w:p>
        </w:tc>
        <w:tc>
          <w:tcPr>
            <w:tcW w:w="3035" w:type="dxa"/>
            <w:tcBorders>
              <w:top w:val="nil" w:sz="6" w:space="0" w:color="auto"/>
              <w:left w:val="nil" w:sz="6" w:space="0" w:color="auto"/>
              <w:bottom w:val="nil" w:sz="6" w:space="0" w:color="auto"/>
              <w:right w:val="nil" w:sz="6" w:space="0" w:color="auto"/>
            </w:tcBorders>
          </w:tcPr>
          <w:p>
            <w:pPr>
              <w:pStyle w:val="TableParagraph"/>
              <w:spacing w:line="240" w:lineRule="auto" w:before="53"/>
              <w:ind w:left="99" w:right="0"/>
              <w:jc w:val="center"/>
              <w:rPr>
                <w:rFonts w:ascii="宋体" w:hAnsi="宋体" w:cs="宋体" w:eastAsia="宋体" w:hint="default"/>
                <w:sz w:val="16"/>
                <w:szCs w:val="16"/>
              </w:rPr>
            </w:pPr>
            <w:r>
              <w:rPr>
                <w:rFonts w:ascii="宋体" w:hAnsi="宋体" w:cs="宋体" w:eastAsia="宋体" w:hint="default"/>
                <w:sz w:val="16"/>
                <w:szCs w:val="16"/>
              </w:rPr>
              <w:t>期末余额</w:t>
            </w:r>
          </w:p>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left="1581" w:right="0"/>
              <w:jc w:val="left"/>
              <w:rPr>
                <w:rFonts w:ascii="Times New Roman" w:hAnsi="Times New Roman" w:cs="Times New Roman" w:eastAsia="Times New Roman" w:hint="default"/>
                <w:sz w:val="16"/>
                <w:szCs w:val="16"/>
              </w:rPr>
            </w:pPr>
            <w:r>
              <w:rPr>
                <w:rFonts w:ascii="Times New Roman"/>
                <w:sz w:val="16"/>
              </w:rPr>
              <w:t>566,228,681.78</w:t>
            </w:r>
          </w:p>
        </w:tc>
        <w:tc>
          <w:tcPr>
            <w:tcW w:w="1855" w:type="dxa"/>
            <w:tcBorders>
              <w:top w:val="nil" w:sz="6" w:space="0" w:color="auto"/>
              <w:left w:val="nil" w:sz="6" w:space="0" w:color="auto"/>
              <w:bottom w:val="nil" w:sz="6" w:space="0" w:color="auto"/>
              <w:right w:val="nil" w:sz="6" w:space="0" w:color="auto"/>
            </w:tcBorders>
          </w:tcPr>
          <w:p>
            <w:pPr>
              <w:pStyle w:val="TableParagraph"/>
              <w:spacing w:line="240" w:lineRule="auto" w:before="53"/>
              <w:ind w:left="452" w:right="0"/>
              <w:jc w:val="left"/>
              <w:rPr>
                <w:rFonts w:ascii="宋体" w:hAnsi="宋体" w:cs="宋体" w:eastAsia="宋体" w:hint="default"/>
                <w:sz w:val="16"/>
                <w:szCs w:val="16"/>
              </w:rPr>
            </w:pPr>
            <w:r>
              <w:rPr>
                <w:rFonts w:ascii="宋体" w:hAnsi="宋体" w:cs="宋体" w:eastAsia="宋体" w:hint="default"/>
                <w:sz w:val="16"/>
                <w:szCs w:val="16"/>
              </w:rPr>
              <w:t>年初余额</w:t>
            </w:r>
          </w:p>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left="785" w:right="0"/>
              <w:jc w:val="left"/>
              <w:rPr>
                <w:rFonts w:ascii="Times New Roman" w:hAnsi="Times New Roman" w:cs="Times New Roman" w:eastAsia="Times New Roman" w:hint="default"/>
                <w:sz w:val="16"/>
                <w:szCs w:val="16"/>
              </w:rPr>
            </w:pPr>
            <w:r>
              <w:rPr>
                <w:rFonts w:ascii="Times New Roman"/>
                <w:sz w:val="16"/>
              </w:rPr>
              <w:t>447,726,353.67</w:t>
            </w:r>
          </w:p>
        </w:tc>
      </w:tr>
      <w:tr>
        <w:trPr>
          <w:trHeight w:val="349" w:hRule="exact"/>
        </w:trPr>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before="37"/>
              <w:ind w:left="70" w:right="0"/>
              <w:jc w:val="left"/>
              <w:rPr>
                <w:rFonts w:ascii="宋体" w:hAnsi="宋体" w:cs="宋体" w:eastAsia="宋体" w:hint="default"/>
                <w:sz w:val="16"/>
                <w:szCs w:val="16"/>
              </w:rPr>
            </w:pPr>
            <w:r>
              <w:rPr>
                <w:rFonts w:ascii="宋体" w:hAnsi="宋体" w:cs="宋体" w:eastAsia="宋体" w:hint="default"/>
                <w:sz w:val="16"/>
                <w:szCs w:val="16"/>
              </w:rPr>
              <w:t>应付账款</w:t>
            </w:r>
          </w:p>
        </w:tc>
        <w:tc>
          <w:tcPr>
            <w:tcW w:w="2041" w:type="dxa"/>
            <w:tcBorders>
              <w:top w:val="nil" w:sz="6" w:space="0" w:color="auto"/>
              <w:left w:val="nil" w:sz="6" w:space="0" w:color="auto"/>
              <w:bottom w:val="nil" w:sz="6" w:space="0" w:color="auto"/>
              <w:right w:val="nil" w:sz="6" w:space="0" w:color="auto"/>
            </w:tcBorders>
          </w:tcPr>
          <w:p>
            <w:pPr/>
          </w:p>
        </w:tc>
        <w:tc>
          <w:tcPr>
            <w:tcW w:w="3035"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450"/>
              <w:jc w:val="right"/>
              <w:rPr>
                <w:rFonts w:ascii="Times New Roman" w:hAnsi="Times New Roman" w:cs="Times New Roman" w:eastAsia="Times New Roman" w:hint="default"/>
                <w:sz w:val="16"/>
                <w:szCs w:val="16"/>
              </w:rPr>
            </w:pPr>
            <w:r>
              <w:rPr>
                <w:rFonts w:ascii="Times New Roman"/>
                <w:spacing w:val="-1"/>
                <w:sz w:val="16"/>
              </w:rPr>
              <w:t>2,147,299,726.58</w:t>
            </w:r>
          </w:p>
        </w:tc>
        <w:tc>
          <w:tcPr>
            <w:tcW w:w="1855"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8"/>
              <w:jc w:val="right"/>
              <w:rPr>
                <w:rFonts w:ascii="Times New Roman" w:hAnsi="Times New Roman" w:cs="Times New Roman" w:eastAsia="Times New Roman" w:hint="default"/>
                <w:sz w:val="16"/>
                <w:szCs w:val="16"/>
              </w:rPr>
            </w:pPr>
            <w:r>
              <w:rPr>
                <w:rFonts w:ascii="Times New Roman"/>
                <w:spacing w:val="-1"/>
                <w:sz w:val="16"/>
              </w:rPr>
              <w:t>1,716,494,617.02</w:t>
            </w:r>
          </w:p>
        </w:tc>
      </w:tr>
      <w:tr>
        <w:trPr>
          <w:trHeight w:val="354" w:hRule="exact"/>
        </w:trPr>
        <w:tc>
          <w:tcPr>
            <w:tcW w:w="1182" w:type="dxa"/>
            <w:tcBorders>
              <w:top w:val="nil" w:sz="6" w:space="0" w:color="auto"/>
              <w:left w:val="nil" w:sz="6" w:space="0" w:color="auto"/>
              <w:bottom w:val="nil" w:sz="6" w:space="0" w:color="auto"/>
              <w:right w:val="nil" w:sz="6" w:space="0" w:color="auto"/>
            </w:tcBorders>
          </w:tcPr>
          <w:p>
            <w:pP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7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3035"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450"/>
              <w:jc w:val="right"/>
              <w:rPr>
                <w:rFonts w:ascii="Times New Roman" w:hAnsi="Times New Roman" w:cs="Times New Roman" w:eastAsia="Times New Roman" w:hint="default"/>
                <w:sz w:val="16"/>
                <w:szCs w:val="16"/>
              </w:rPr>
            </w:pPr>
            <w:r>
              <w:rPr>
                <w:rFonts w:ascii="Times New Roman"/>
                <w:spacing w:val="-1"/>
                <w:sz w:val="16"/>
              </w:rPr>
              <w:t>2,713,528,408.36</w:t>
            </w:r>
          </w:p>
        </w:tc>
        <w:tc>
          <w:tcPr>
            <w:tcW w:w="1855"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8"/>
              <w:jc w:val="right"/>
              <w:rPr>
                <w:rFonts w:ascii="Times New Roman" w:hAnsi="Times New Roman" w:cs="Times New Roman" w:eastAsia="Times New Roman" w:hint="default"/>
                <w:sz w:val="16"/>
                <w:szCs w:val="16"/>
              </w:rPr>
            </w:pPr>
            <w:r>
              <w:rPr>
                <w:rFonts w:ascii="Times New Roman"/>
                <w:spacing w:val="-1"/>
                <w:sz w:val="16"/>
              </w:rPr>
              <w:t>2,164,220,970.69</w:t>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6"/>
          <w:szCs w:val="16"/>
        </w:rPr>
      </w:pPr>
    </w:p>
    <w:p>
      <w:pPr>
        <w:pStyle w:val="Heading5"/>
        <w:tabs>
          <w:tab w:pos="1397" w:val="left" w:leader="none"/>
        </w:tabs>
        <w:spacing w:line="240" w:lineRule="auto"/>
        <w:ind w:left="846" w:right="3681"/>
        <w:jc w:val="left"/>
        <w:rPr>
          <w:b w:val="0"/>
          <w:bCs w:val="0"/>
        </w:rPr>
      </w:pPr>
      <w:r>
        <w:rPr/>
        <w:pict>
          <v:group style="position:absolute;margin-left:119.010002pt;margin-top:17.073671pt;width:411.7pt;height:72.3pt;mso-position-horizontal-relative:page;mso-position-vertical-relative:paragraph;z-index:-1385560" coordorigin="2380,341" coordsize="8234,1446">
            <v:group style="position:absolute;left:2410;top:356;width:3371;height:2" coordorigin="2410,356" coordsize="3371,2">
              <v:shape style="position:absolute;left:2410;top:356;width:3371;height:2" coordorigin="2410,356" coordsize="3371,0" path="m2410,356l5780,356e" filled="false" stroked="true" strokeweight="1.5pt" strokecolor="#000000">
                <v:path arrowok="t"/>
              </v:shape>
              <v:shape style="position:absolute;left:5780;top:371;width:10;height:28" type="#_x0000_t75" stroked="false">
                <v:imagedata r:id="rId192" o:title=""/>
              </v:shape>
            </v:group>
            <v:group style="position:absolute;left:5780;top:356;width:2526;height:2" coordorigin="5780,356" coordsize="2526,2">
              <v:shape style="position:absolute;left:5780;top:356;width:2526;height:2" coordorigin="5780,356" coordsize="2526,0" path="m5780,356l8306,356e" filled="false" stroked="true" strokeweight="1.5pt" strokecolor="#000000">
                <v:path arrowok="t"/>
              </v:shape>
              <v:shape style="position:absolute;left:8306;top:371;width:10;height:28" type="#_x0000_t75" stroked="false">
                <v:imagedata r:id="rId192" o:title=""/>
              </v:shape>
            </v:group>
            <v:group style="position:absolute;left:8306;top:356;width:30;height:2" coordorigin="8306,356" coordsize="30,2">
              <v:shape style="position:absolute;left:8306;top:356;width:30;height:2" coordorigin="8306,356" coordsize="30,0" path="m8306,356l8336,356e" filled="false" stroked="true" strokeweight="1.5pt" strokecolor="#000000">
                <v:path arrowok="t"/>
              </v:shape>
            </v:group>
            <v:group style="position:absolute;left:8336;top:356;width:2261;height:2" coordorigin="8336,356" coordsize="2261,2">
              <v:shape style="position:absolute;left:8336;top:356;width:2261;height:2" coordorigin="8336,356" coordsize="2261,0" path="m8336,356l10597,356e" filled="false" stroked="true" strokeweight="1.5pt" strokecolor="#000000">
                <v:path arrowok="t"/>
              </v:shape>
              <v:shape style="position:absolute;left:5761;top:380;width:2574;height:350" type="#_x0000_t75" stroked="false">
                <v:imagedata r:id="rId233" o:title=""/>
              </v:shape>
            </v:group>
            <v:group style="position:absolute;left:2395;top:1772;width:3386;height:2" coordorigin="2395,1772" coordsize="3386,2">
              <v:shape style="position:absolute;left:2395;top:1772;width:3386;height:2" coordorigin="2395,1772" coordsize="3386,0" path="m2395,1772l5780,1772e" filled="false" stroked="true" strokeweight="1.5pt" strokecolor="#000000">
                <v:path arrowok="t"/>
              </v:shape>
            </v:group>
            <v:group style="position:absolute;left:5780;top:1772;width:2526;height:2" coordorigin="5780,1772" coordsize="2526,2">
              <v:shape style="position:absolute;left:5780;top:1772;width:2526;height:2" coordorigin="5780,1772" coordsize="2526,0" path="m5780,1772l8306,1772e" filled="false" stroked="true" strokeweight="1.5pt" strokecolor="#000000">
                <v:path arrowok="t"/>
              </v:shape>
              <v:shape style="position:absolute;left:2397;top:698;width:8217;height:1059" type="#_x0000_t75" stroked="false">
                <v:imagedata r:id="rId234" o:title=""/>
              </v:shape>
            </v:group>
            <v:group style="position:absolute;left:8306;top:1772;width:30;height:2" coordorigin="8306,1772" coordsize="30,2">
              <v:shape style="position:absolute;left:8306;top:1772;width:30;height:2" coordorigin="8306,1772" coordsize="30,0" path="m8306,1772l8336,1772e" filled="false" stroked="true" strokeweight="1.5pt" strokecolor="#000000">
                <v:path arrowok="t"/>
              </v:shape>
            </v:group>
            <v:group style="position:absolute;left:8336;top:1772;width:2261;height:2" coordorigin="8336,1772" coordsize="2261,2">
              <v:shape style="position:absolute;left:8336;top:1772;width:2261;height:2" coordorigin="8336,1772" coordsize="2261,0" path="m8336,1772l10597,1772e" filled="false" stroked="true" strokeweight="1.5pt" strokecolor="#000000">
                <v:path arrowok="t"/>
              </v:shape>
            </v:group>
            <w10:wrap type="none"/>
          </v:group>
        </w:pict>
      </w:r>
      <w:r>
        <w:rPr>
          <w:rFonts w:ascii="Times New Roman" w:hAnsi="Times New Roman" w:cs="Times New Roman" w:eastAsia="Times New Roman" w:hint="default"/>
          <w:w w:val="95"/>
        </w:rPr>
        <w:t>1</w:t>
      </w:r>
      <w:r>
        <w:rPr>
          <w:w w:val="95"/>
        </w:rPr>
        <w:t>、</w:t>
        <w:tab/>
      </w:r>
      <w:r>
        <w:rPr>
          <w:spacing w:val="1"/>
        </w:rPr>
        <w:t>应付票据</w:t>
      </w:r>
      <w:r>
        <w:rPr>
          <w:b w:val="0"/>
          <w:bCs w:val="0"/>
        </w:rPr>
      </w:r>
    </w:p>
    <w:p>
      <w:pPr>
        <w:spacing w:line="240" w:lineRule="auto" w:before="5"/>
        <w:rPr>
          <w:rFonts w:ascii="宋体" w:hAnsi="宋体" w:cs="宋体" w:eastAsia="宋体" w:hint="default"/>
          <w:b/>
          <w:bCs/>
          <w:sz w:val="2"/>
          <w:szCs w:val="2"/>
        </w:rPr>
      </w:pPr>
    </w:p>
    <w:tbl>
      <w:tblPr>
        <w:tblW w:w="0" w:type="auto"/>
        <w:jc w:val="left"/>
        <w:tblInd w:w="787" w:type="dxa"/>
        <w:tblLayout w:type="fixed"/>
        <w:tblCellMar>
          <w:top w:w="0" w:type="dxa"/>
          <w:left w:w="0" w:type="dxa"/>
          <w:bottom w:w="0" w:type="dxa"/>
          <w:right w:w="0" w:type="dxa"/>
        </w:tblCellMar>
        <w:tblLook w:val="01E0"/>
      </w:tblPr>
      <w:tblGrid>
        <w:gridCol w:w="1259"/>
        <w:gridCol w:w="1785"/>
        <w:gridCol w:w="3176"/>
        <w:gridCol w:w="1892"/>
      </w:tblGrid>
      <w:tr>
        <w:trPr>
          <w:trHeight w:val="714" w:hRule="exact"/>
        </w:trPr>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left="70" w:right="0"/>
              <w:jc w:val="left"/>
              <w:rPr>
                <w:rFonts w:ascii="宋体" w:hAnsi="宋体" w:cs="宋体" w:eastAsia="宋体" w:hint="default"/>
                <w:sz w:val="16"/>
                <w:szCs w:val="16"/>
              </w:rPr>
            </w:pPr>
            <w:r>
              <w:rPr>
                <w:rFonts w:ascii="宋体" w:hAnsi="宋体" w:cs="宋体" w:eastAsia="宋体" w:hint="default"/>
                <w:sz w:val="16"/>
                <w:szCs w:val="16"/>
              </w:rPr>
              <w:t>银行承兑汇票</w:t>
            </w:r>
          </w:p>
        </w:tc>
        <w:tc>
          <w:tcPr>
            <w:tcW w:w="1785"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30" w:right="0"/>
              <w:jc w:val="left"/>
              <w:rPr>
                <w:rFonts w:ascii="宋体" w:hAnsi="宋体" w:cs="宋体" w:eastAsia="宋体" w:hint="default"/>
                <w:sz w:val="16"/>
                <w:szCs w:val="16"/>
              </w:rPr>
            </w:pPr>
            <w:r>
              <w:rPr>
                <w:rFonts w:ascii="宋体" w:hAnsi="宋体" w:cs="宋体" w:eastAsia="宋体" w:hint="default"/>
                <w:sz w:val="16"/>
                <w:szCs w:val="16"/>
              </w:rPr>
              <w:t>种类</w:t>
            </w:r>
          </w:p>
        </w:tc>
        <w:tc>
          <w:tcPr>
            <w:tcW w:w="317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65"/>
              <w:jc w:val="center"/>
              <w:rPr>
                <w:rFonts w:ascii="宋体" w:hAnsi="宋体" w:cs="宋体" w:eastAsia="宋体" w:hint="default"/>
                <w:sz w:val="16"/>
                <w:szCs w:val="16"/>
              </w:rPr>
            </w:pPr>
            <w:r>
              <w:rPr>
                <w:rFonts w:ascii="宋体" w:hAnsi="宋体" w:cs="宋体" w:eastAsia="宋体" w:hint="default"/>
                <w:sz w:val="16"/>
                <w:szCs w:val="16"/>
              </w:rPr>
              <w:t>期末余额</w:t>
            </w:r>
          </w:p>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left="1710" w:right="0"/>
              <w:jc w:val="left"/>
              <w:rPr>
                <w:rFonts w:ascii="Times New Roman" w:hAnsi="Times New Roman" w:cs="Times New Roman" w:eastAsia="Times New Roman" w:hint="default"/>
                <w:sz w:val="16"/>
                <w:szCs w:val="16"/>
              </w:rPr>
            </w:pPr>
            <w:r>
              <w:rPr>
                <w:rFonts w:ascii="Times New Roman"/>
                <w:sz w:val="16"/>
              </w:rPr>
              <w:t>561,927,729.49</w:t>
            </w:r>
          </w:p>
        </w:tc>
        <w:tc>
          <w:tcPr>
            <w:tcW w:w="189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464" w:right="0"/>
              <w:jc w:val="left"/>
              <w:rPr>
                <w:rFonts w:ascii="宋体" w:hAnsi="宋体" w:cs="宋体" w:eastAsia="宋体" w:hint="default"/>
                <w:sz w:val="16"/>
                <w:szCs w:val="16"/>
              </w:rPr>
            </w:pPr>
            <w:r>
              <w:rPr>
                <w:rFonts w:ascii="宋体" w:hAnsi="宋体" w:cs="宋体" w:eastAsia="宋体" w:hint="default"/>
                <w:sz w:val="16"/>
                <w:szCs w:val="16"/>
              </w:rPr>
              <w:t>年初余额</w:t>
            </w:r>
          </w:p>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left="821" w:right="0"/>
              <w:jc w:val="left"/>
              <w:rPr>
                <w:rFonts w:ascii="Times New Roman" w:hAnsi="Times New Roman" w:cs="Times New Roman" w:eastAsia="Times New Roman" w:hint="default"/>
                <w:sz w:val="16"/>
                <w:szCs w:val="16"/>
              </w:rPr>
            </w:pPr>
            <w:r>
              <w:rPr>
                <w:rFonts w:ascii="Times New Roman"/>
                <w:sz w:val="16"/>
              </w:rPr>
              <w:t>389,477,583.95</w:t>
            </w:r>
          </w:p>
        </w:tc>
      </w:tr>
      <w:tr>
        <w:trPr>
          <w:trHeight w:val="349" w:hRule="exact"/>
        </w:trPr>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宋体" w:hAnsi="宋体" w:cs="宋体" w:eastAsia="宋体" w:hint="default"/>
                <w:sz w:val="16"/>
                <w:szCs w:val="16"/>
              </w:rPr>
              <w:t>商业承兑汇票</w:t>
            </w:r>
          </w:p>
        </w:tc>
        <w:tc>
          <w:tcPr>
            <w:tcW w:w="1785" w:type="dxa"/>
            <w:tcBorders>
              <w:top w:val="nil" w:sz="6" w:space="0" w:color="auto"/>
              <w:left w:val="nil" w:sz="6" w:space="0" w:color="auto"/>
              <w:bottom w:val="nil" w:sz="6" w:space="0" w:color="auto"/>
              <w:right w:val="nil" w:sz="6" w:space="0" w:color="auto"/>
            </w:tcBorders>
          </w:tcPr>
          <w:p>
            <w:pPr/>
          </w:p>
        </w:tc>
        <w:tc>
          <w:tcPr>
            <w:tcW w:w="3176"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464"/>
              <w:jc w:val="right"/>
              <w:rPr>
                <w:rFonts w:ascii="Times New Roman" w:hAnsi="Times New Roman" w:cs="Times New Roman" w:eastAsia="Times New Roman" w:hint="default"/>
                <w:sz w:val="16"/>
                <w:szCs w:val="16"/>
              </w:rPr>
            </w:pPr>
            <w:r>
              <w:rPr>
                <w:rFonts w:ascii="Times New Roman"/>
                <w:spacing w:val="-1"/>
                <w:sz w:val="16"/>
              </w:rPr>
              <w:t>4,300,952.29</w:t>
            </w:r>
          </w:p>
        </w:tc>
        <w:tc>
          <w:tcPr>
            <w:tcW w:w="1892"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8"/>
              <w:jc w:val="right"/>
              <w:rPr>
                <w:rFonts w:ascii="Times New Roman" w:hAnsi="Times New Roman" w:cs="Times New Roman" w:eastAsia="Times New Roman" w:hint="default"/>
                <w:sz w:val="16"/>
                <w:szCs w:val="16"/>
              </w:rPr>
            </w:pPr>
            <w:r>
              <w:rPr>
                <w:rFonts w:ascii="Times New Roman"/>
                <w:spacing w:val="-1"/>
                <w:sz w:val="16"/>
              </w:rPr>
              <w:t>58,248,769.72</w:t>
            </w:r>
          </w:p>
        </w:tc>
      </w:tr>
      <w:tr>
        <w:trPr>
          <w:trHeight w:val="353" w:hRule="exact"/>
        </w:trPr>
        <w:tc>
          <w:tcPr>
            <w:tcW w:w="1259" w:type="dxa"/>
            <w:tcBorders>
              <w:top w:val="nil" w:sz="6" w:space="0" w:color="auto"/>
              <w:left w:val="nil" w:sz="6" w:space="0" w:color="auto"/>
              <w:bottom w:val="nil" w:sz="6" w:space="0" w:color="auto"/>
              <w:right w:val="nil" w:sz="6" w:space="0" w:color="auto"/>
            </w:tcBorders>
          </w:tcPr>
          <w:p>
            <w:pPr/>
          </w:p>
        </w:tc>
        <w:tc>
          <w:tcPr>
            <w:tcW w:w="178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30"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3176"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463"/>
              <w:jc w:val="right"/>
              <w:rPr>
                <w:rFonts w:ascii="Times New Roman" w:hAnsi="Times New Roman" w:cs="Times New Roman" w:eastAsia="Times New Roman" w:hint="default"/>
                <w:sz w:val="16"/>
                <w:szCs w:val="16"/>
              </w:rPr>
            </w:pPr>
            <w:r>
              <w:rPr>
                <w:rFonts w:ascii="Times New Roman"/>
                <w:spacing w:val="-1"/>
                <w:sz w:val="16"/>
              </w:rPr>
              <w:t>566,228,681.78</w:t>
            </w:r>
          </w:p>
        </w:tc>
        <w:tc>
          <w:tcPr>
            <w:tcW w:w="1892"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8"/>
              <w:jc w:val="right"/>
              <w:rPr>
                <w:rFonts w:ascii="Times New Roman" w:hAnsi="Times New Roman" w:cs="Times New Roman" w:eastAsia="Times New Roman" w:hint="default"/>
                <w:sz w:val="16"/>
                <w:szCs w:val="16"/>
              </w:rPr>
            </w:pPr>
            <w:r>
              <w:rPr>
                <w:rFonts w:ascii="Times New Roman"/>
                <w:spacing w:val="-1"/>
                <w:sz w:val="16"/>
              </w:rPr>
              <w:t>447,726,353.67</w:t>
            </w:r>
          </w:p>
        </w:tc>
      </w:tr>
    </w:tbl>
    <w:p>
      <w:pPr>
        <w:spacing w:after="0" w:line="240" w:lineRule="auto"/>
        <w:jc w:val="right"/>
        <w:rPr>
          <w:rFonts w:ascii="Times New Roman" w:hAnsi="Times New Roman" w:cs="Times New Roman" w:eastAsia="Times New Roman" w:hint="default"/>
          <w:sz w:val="16"/>
          <w:szCs w:val="16"/>
        </w:rPr>
        <w:sectPr>
          <w:pgSz w:w="11910" w:h="16840"/>
          <w:pgMar w:header="0" w:footer="1001" w:top="1520" w:bottom="1200" w:left="1660" w:right="0"/>
        </w:sectPr>
      </w:pPr>
    </w:p>
    <w:p>
      <w:pPr>
        <w:spacing w:line="240" w:lineRule="auto" w:before="8"/>
        <w:rPr>
          <w:rFonts w:ascii="宋体" w:hAnsi="宋体" w:cs="宋体" w:eastAsia="宋体" w:hint="default"/>
          <w:b/>
          <w:bCs/>
          <w:sz w:val="13"/>
          <w:szCs w:val="13"/>
        </w:rPr>
      </w:pPr>
    </w:p>
    <w:p>
      <w:pPr>
        <w:pStyle w:val="Heading5"/>
        <w:tabs>
          <w:tab w:pos="1397" w:val="left" w:leader="none"/>
        </w:tabs>
        <w:spacing w:line="240" w:lineRule="auto"/>
        <w:ind w:left="846" w:right="3681"/>
        <w:jc w:val="left"/>
        <w:rPr>
          <w:b w:val="0"/>
          <w:bCs w:val="0"/>
        </w:rPr>
      </w:pPr>
      <w:r>
        <w:rPr>
          <w:rFonts w:ascii="Times New Roman" w:hAnsi="Times New Roman" w:cs="Times New Roman" w:eastAsia="Times New Roman" w:hint="default"/>
          <w:w w:val="95"/>
        </w:rPr>
        <w:t>2</w:t>
      </w:r>
      <w:r>
        <w:rPr>
          <w:w w:val="95"/>
        </w:rPr>
        <w:t>、</w:t>
        <w:tab/>
      </w:r>
      <w:r>
        <w:rPr>
          <w:spacing w:val="1"/>
        </w:rPr>
        <w:t>应付账款</w:t>
      </w:r>
      <w:r>
        <w:rPr>
          <w:b w:val="0"/>
          <w:bCs w:val="0"/>
        </w:rPr>
      </w:r>
    </w:p>
    <w:p>
      <w:pPr>
        <w:pStyle w:val="BodyText"/>
        <w:spacing w:line="240" w:lineRule="auto" w:before="110"/>
        <w:ind w:right="3681"/>
        <w:jc w:val="left"/>
      </w:pPr>
      <w:r>
        <w:rPr/>
        <w:pict>
          <v:group style="position:absolute;margin-left:119.010002pt;margin-top:20.823668pt;width:411.75pt;height:72.3pt;mso-position-horizontal-relative:page;mso-position-vertical-relative:paragraph;z-index:-1384720" coordorigin="2380,416" coordsize="8235,1446">
            <v:group style="position:absolute;left:2410;top:431;width:3372;height:2" coordorigin="2410,431" coordsize="3372,2">
              <v:shape style="position:absolute;left:2410;top:431;width:3372;height:2" coordorigin="2410,431" coordsize="3372,0" path="m2410,431l5782,431e" filled="false" stroked="true" strokeweight="1.5pt" strokecolor="#000000">
                <v:path arrowok="t"/>
              </v:shape>
              <v:shape style="position:absolute;left:5782;top:446;width:10;height:28" type="#_x0000_t75" stroked="false">
                <v:imagedata r:id="rId96" o:title=""/>
              </v:shape>
            </v:group>
            <v:group style="position:absolute;left:5782;top:431;width:2405;height:2" coordorigin="5782,431" coordsize="2405,2">
              <v:shape style="position:absolute;left:5782;top:431;width:2405;height:2" coordorigin="5782,431" coordsize="2405,0" path="m5782,431l8186,431e" filled="false" stroked="true" strokeweight="1.5pt" strokecolor="#000000">
                <v:path arrowok="t"/>
              </v:shape>
              <v:shape style="position:absolute;left:8186;top:446;width:10;height:28" type="#_x0000_t75" stroked="false">
                <v:imagedata r:id="rId96" o:title=""/>
              </v:shape>
            </v:group>
            <v:group style="position:absolute;left:8186;top:431;width:30;height:2" coordorigin="8186,431" coordsize="30,2">
              <v:shape style="position:absolute;left:8186;top:431;width:30;height:2" coordorigin="8186,431" coordsize="30,0" path="m8186,431l8216,431e" filled="false" stroked="true" strokeweight="1.5pt" strokecolor="#000000">
                <v:path arrowok="t"/>
              </v:shape>
            </v:group>
            <v:group style="position:absolute;left:8216;top:431;width:2381;height:2" coordorigin="8216,431" coordsize="2381,2">
              <v:shape style="position:absolute;left:8216;top:431;width:2381;height:2" coordorigin="8216,431" coordsize="2381,0" path="m8216,431l10597,431e" filled="false" stroked="true" strokeweight="1.5pt" strokecolor="#000000">
                <v:path arrowok="t"/>
              </v:shape>
              <v:shape style="position:absolute;left:5762;top:455;width:2453;height:350" type="#_x0000_t75" stroked="false">
                <v:imagedata r:id="rId235" o:title=""/>
              </v:shape>
            </v:group>
            <v:group style="position:absolute;left:2395;top:1847;width:3387;height:2" coordorigin="2395,1847" coordsize="3387,2">
              <v:shape style="position:absolute;left:2395;top:1847;width:3387;height:2" coordorigin="2395,1847" coordsize="3387,0" path="m2395,1847l5782,1847e" filled="false" stroked="true" strokeweight="1.5pt" strokecolor="#000000">
                <v:path arrowok="t"/>
              </v:shape>
            </v:group>
            <v:group style="position:absolute;left:5782;top:1847;width:2405;height:2" coordorigin="5782,1847" coordsize="2405,2">
              <v:shape style="position:absolute;left:5782;top:1847;width:2405;height:2" coordorigin="5782,1847" coordsize="2405,0" path="m5782,1847l8186,1847e" filled="false" stroked="true" strokeweight="1.5pt" strokecolor="#000000">
                <v:path arrowok="t"/>
              </v:shape>
              <v:shape style="position:absolute;left:2390;top:773;width:8225;height:1059" type="#_x0000_t75" stroked="false">
                <v:imagedata r:id="rId236" o:title=""/>
              </v:shape>
            </v:group>
            <v:group style="position:absolute;left:8186;top:1847;width:30;height:2" coordorigin="8186,1847" coordsize="30,2">
              <v:shape style="position:absolute;left:8186;top:1847;width:30;height:2" coordorigin="8186,1847" coordsize="30,0" path="m8186,1847l8216,1847e" filled="false" stroked="true" strokeweight="1.5pt" strokecolor="#000000">
                <v:path arrowok="t"/>
              </v:shape>
            </v:group>
            <v:group style="position:absolute;left:8216;top:1847;width:2381;height:2" coordorigin="8216,1847" coordsize="2381,2">
              <v:shape style="position:absolute;left:8216;top:1847;width:2381;height:2" coordorigin="8216,1847" coordsize="2381,0" path="m8216,1847l10597,1847e" filled="false" stroked="true" strokeweight="1.5pt" strokecolor="#000000">
                <v:path arrowok="t"/>
              </v:shape>
            </v:group>
            <w10:wrap type="none"/>
          </v:group>
        </w:pict>
      </w:r>
      <w:r>
        <w:rPr/>
        <w:t>（</w:t>
      </w:r>
      <w:r>
        <w:rPr>
          <w:rFonts w:ascii="Times New Roman" w:hAnsi="Times New Roman" w:cs="Times New Roman" w:eastAsia="Times New Roman" w:hint="default"/>
        </w:rPr>
        <w:t>1</w:t>
      </w:r>
      <w:r>
        <w:rPr/>
        <w:t>）应付账款列示</w:t>
      </w:r>
    </w:p>
    <w:p>
      <w:pPr>
        <w:spacing w:line="240" w:lineRule="auto" w:before="5"/>
        <w:rPr>
          <w:rFonts w:ascii="宋体" w:hAnsi="宋体" w:cs="宋体" w:eastAsia="宋体" w:hint="default"/>
          <w:sz w:val="2"/>
          <w:szCs w:val="2"/>
        </w:rPr>
      </w:pPr>
    </w:p>
    <w:tbl>
      <w:tblPr>
        <w:tblW w:w="0" w:type="auto"/>
        <w:jc w:val="left"/>
        <w:tblInd w:w="787" w:type="dxa"/>
        <w:tblLayout w:type="fixed"/>
        <w:tblCellMar>
          <w:top w:w="0" w:type="dxa"/>
          <w:left w:w="0" w:type="dxa"/>
          <w:bottom w:w="0" w:type="dxa"/>
          <w:right w:w="0" w:type="dxa"/>
        </w:tblCellMar>
        <w:tblLook w:val="01E0"/>
      </w:tblPr>
      <w:tblGrid>
        <w:gridCol w:w="1479"/>
        <w:gridCol w:w="1535"/>
        <w:gridCol w:w="3117"/>
        <w:gridCol w:w="1981"/>
      </w:tblGrid>
      <w:tr>
        <w:trPr>
          <w:trHeight w:val="714" w:hRule="exact"/>
        </w:trPr>
        <w:tc>
          <w:tcPr>
            <w:tcW w:w="147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70"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年以内（含</w:t>
            </w:r>
            <w:r>
              <w:rPr>
                <w:rFonts w:ascii="宋体" w:hAnsi="宋体" w:cs="宋体" w:eastAsia="宋体" w:hint="default"/>
                <w:spacing w:val="-42"/>
                <w:sz w:val="16"/>
                <w:szCs w:val="16"/>
              </w:rPr>
              <w:t> </w:t>
            </w:r>
            <w:r>
              <w:rPr>
                <w:rFonts w:ascii="Times New Roman" w:hAnsi="Times New Roman" w:cs="Times New Roman" w:eastAsia="Times New Roman" w:hint="default"/>
                <w:sz w:val="16"/>
                <w:szCs w:val="16"/>
              </w:rPr>
              <w:t>1 </w:t>
            </w:r>
            <w:r>
              <w:rPr>
                <w:rFonts w:ascii="宋体" w:hAnsi="宋体" w:cs="宋体" w:eastAsia="宋体" w:hint="default"/>
                <w:sz w:val="16"/>
                <w:szCs w:val="16"/>
              </w:rPr>
              <w:t>年）</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 w:right="0"/>
              <w:jc w:val="left"/>
              <w:rPr>
                <w:rFonts w:ascii="宋体" w:hAnsi="宋体" w:cs="宋体" w:eastAsia="宋体" w:hint="default"/>
                <w:sz w:val="16"/>
                <w:szCs w:val="16"/>
              </w:rPr>
            </w:pPr>
            <w:r>
              <w:rPr>
                <w:rFonts w:ascii="宋体" w:hAnsi="宋体" w:cs="宋体" w:eastAsia="宋体" w:hint="default"/>
                <w:sz w:val="16"/>
                <w:szCs w:val="16"/>
              </w:rPr>
              <w:t>项目</w:t>
            </w:r>
          </w:p>
        </w:tc>
        <w:tc>
          <w:tcPr>
            <w:tcW w:w="311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64"/>
              <w:jc w:val="center"/>
              <w:rPr>
                <w:rFonts w:ascii="宋体" w:hAnsi="宋体" w:cs="宋体" w:eastAsia="宋体" w:hint="default"/>
                <w:sz w:val="16"/>
                <w:szCs w:val="16"/>
              </w:rPr>
            </w:pPr>
            <w:r>
              <w:rPr>
                <w:rFonts w:ascii="宋体" w:hAnsi="宋体" w:cs="宋体" w:eastAsia="宋体" w:hint="default"/>
                <w:sz w:val="16"/>
                <w:szCs w:val="16"/>
              </w:rPr>
              <w:t>期末余额</w:t>
            </w:r>
          </w:p>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1501" w:right="0"/>
              <w:jc w:val="left"/>
              <w:rPr>
                <w:rFonts w:ascii="Times New Roman" w:hAnsi="Times New Roman" w:cs="Times New Roman" w:eastAsia="Times New Roman" w:hint="default"/>
                <w:sz w:val="16"/>
                <w:szCs w:val="16"/>
              </w:rPr>
            </w:pPr>
            <w:r>
              <w:rPr>
                <w:rFonts w:ascii="Times New Roman"/>
                <w:sz w:val="16"/>
              </w:rPr>
              <w:t>1,949,421,409.51</w:t>
            </w:r>
          </w:p>
        </w:tc>
        <w:tc>
          <w:tcPr>
            <w:tcW w:w="198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495" w:right="0"/>
              <w:jc w:val="left"/>
              <w:rPr>
                <w:rFonts w:ascii="宋体" w:hAnsi="宋体" w:cs="宋体" w:eastAsia="宋体" w:hint="default"/>
                <w:sz w:val="16"/>
                <w:szCs w:val="16"/>
              </w:rPr>
            </w:pPr>
            <w:r>
              <w:rPr>
                <w:rFonts w:ascii="宋体" w:hAnsi="宋体" w:cs="宋体" w:eastAsia="宋体" w:hint="default"/>
                <w:sz w:val="16"/>
                <w:szCs w:val="16"/>
              </w:rPr>
              <w:t>年初余额</w:t>
            </w:r>
          </w:p>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790" w:right="0"/>
              <w:jc w:val="left"/>
              <w:rPr>
                <w:rFonts w:ascii="Times New Roman" w:hAnsi="Times New Roman" w:cs="Times New Roman" w:eastAsia="Times New Roman" w:hint="default"/>
                <w:sz w:val="16"/>
                <w:szCs w:val="16"/>
              </w:rPr>
            </w:pPr>
            <w:r>
              <w:rPr>
                <w:rFonts w:ascii="Times New Roman"/>
                <w:sz w:val="16"/>
              </w:rPr>
              <w:t>1,459,027,998.59</w:t>
            </w:r>
          </w:p>
        </w:tc>
      </w:tr>
      <w:tr>
        <w:trPr>
          <w:trHeight w:val="349" w:hRule="exact"/>
        </w:trPr>
        <w:tc>
          <w:tcPr>
            <w:tcW w:w="147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年以上</w:t>
            </w:r>
          </w:p>
        </w:tc>
        <w:tc>
          <w:tcPr>
            <w:tcW w:w="1535" w:type="dxa"/>
            <w:tcBorders>
              <w:top w:val="nil" w:sz="6" w:space="0" w:color="auto"/>
              <w:left w:val="nil" w:sz="6" w:space="0" w:color="auto"/>
              <w:bottom w:val="nil" w:sz="6" w:space="0" w:color="auto"/>
              <w:right w:val="nil" w:sz="6" w:space="0" w:color="auto"/>
            </w:tcBorders>
          </w:tcPr>
          <w:p>
            <w:pPr/>
          </w:p>
        </w:tc>
        <w:tc>
          <w:tcPr>
            <w:tcW w:w="3117"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493"/>
              <w:jc w:val="right"/>
              <w:rPr>
                <w:rFonts w:ascii="Times New Roman" w:hAnsi="Times New Roman" w:cs="Times New Roman" w:eastAsia="Times New Roman" w:hint="default"/>
                <w:sz w:val="16"/>
                <w:szCs w:val="16"/>
              </w:rPr>
            </w:pPr>
            <w:r>
              <w:rPr>
                <w:rFonts w:ascii="Times New Roman"/>
                <w:spacing w:val="-1"/>
                <w:sz w:val="16"/>
              </w:rPr>
              <w:t>197,878,317.07</w:t>
            </w:r>
          </w:p>
        </w:tc>
        <w:tc>
          <w:tcPr>
            <w:tcW w:w="1981"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8"/>
              <w:jc w:val="right"/>
              <w:rPr>
                <w:rFonts w:ascii="Times New Roman" w:hAnsi="Times New Roman" w:cs="Times New Roman" w:eastAsia="Times New Roman" w:hint="default"/>
                <w:sz w:val="16"/>
                <w:szCs w:val="16"/>
              </w:rPr>
            </w:pPr>
            <w:r>
              <w:rPr>
                <w:rFonts w:ascii="Times New Roman"/>
                <w:spacing w:val="-1"/>
                <w:sz w:val="16"/>
              </w:rPr>
              <w:t>257,466,618.43</w:t>
            </w:r>
          </w:p>
        </w:tc>
      </w:tr>
      <w:tr>
        <w:trPr>
          <w:trHeight w:val="354" w:hRule="exact"/>
        </w:trPr>
        <w:tc>
          <w:tcPr>
            <w:tcW w:w="1479" w:type="dxa"/>
            <w:tcBorders>
              <w:top w:val="nil" w:sz="6" w:space="0" w:color="auto"/>
              <w:left w:val="nil" w:sz="6" w:space="0" w:color="auto"/>
              <w:bottom w:val="nil" w:sz="6" w:space="0" w:color="auto"/>
              <w:right w:val="nil" w:sz="6" w:space="0" w:color="auto"/>
            </w:tcBorders>
          </w:tcPr>
          <w:p>
            <w:pP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0"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311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493"/>
              <w:jc w:val="right"/>
              <w:rPr>
                <w:rFonts w:ascii="Times New Roman" w:hAnsi="Times New Roman" w:cs="Times New Roman" w:eastAsia="Times New Roman" w:hint="default"/>
                <w:sz w:val="16"/>
                <w:szCs w:val="16"/>
              </w:rPr>
            </w:pPr>
            <w:r>
              <w:rPr>
                <w:rFonts w:ascii="Times New Roman"/>
                <w:spacing w:val="-1"/>
                <w:sz w:val="16"/>
              </w:rPr>
              <w:t>2,147,299,726.58</w:t>
            </w:r>
          </w:p>
        </w:tc>
        <w:tc>
          <w:tcPr>
            <w:tcW w:w="198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68"/>
              <w:jc w:val="right"/>
              <w:rPr>
                <w:rFonts w:ascii="Times New Roman" w:hAnsi="Times New Roman" w:cs="Times New Roman" w:eastAsia="Times New Roman" w:hint="default"/>
                <w:sz w:val="16"/>
                <w:szCs w:val="16"/>
              </w:rPr>
            </w:pPr>
            <w:r>
              <w:rPr>
                <w:rFonts w:ascii="Times New Roman"/>
                <w:spacing w:val="-1"/>
                <w:sz w:val="16"/>
              </w:rPr>
              <w:t>1,716,494,617.02</w:t>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p>
      <w:pPr>
        <w:pStyle w:val="BodyText"/>
        <w:spacing w:line="240" w:lineRule="auto" w:before="35"/>
        <w:ind w:right="3681"/>
        <w:jc w:val="left"/>
      </w:pPr>
      <w:r>
        <w:rPr/>
        <w:pict>
          <v:group style="position:absolute;margin-left:119.010002pt;margin-top:17.133841pt;width:411.85pt;height:211.9pt;mso-position-horizontal-relative:page;mso-position-vertical-relative:paragraph;z-index:-1384696" coordorigin="2380,343" coordsize="8237,4238">
            <v:group style="position:absolute;left:2410;top:358;width:3670;height:2" coordorigin="2410,358" coordsize="3670,2">
              <v:shape style="position:absolute;left:2410;top:358;width:3670;height:2" coordorigin="2410,358" coordsize="3670,0" path="m2410,358l6079,358e" filled="false" stroked="true" strokeweight="1.5pt" strokecolor="#000000">
                <v:path arrowok="t"/>
              </v:shape>
              <v:shape style="position:absolute;left:6079;top:373;width:10;height:28" type="#_x0000_t75" stroked="false">
                <v:imagedata r:id="rId96" o:title=""/>
              </v:shape>
            </v:group>
            <v:group style="position:absolute;left:6079;top:358;width:2080;height:2" coordorigin="6079,358" coordsize="2080,2">
              <v:shape style="position:absolute;left:6079;top:358;width:2080;height:2" coordorigin="6079,358" coordsize="2080,0" path="m6079,358l8159,358e" filled="false" stroked="true" strokeweight="1.5pt" strokecolor="#000000">
                <v:path arrowok="t"/>
              </v:shape>
              <v:shape style="position:absolute;left:8159;top:373;width:10;height:28" type="#_x0000_t75" stroked="false">
                <v:imagedata r:id="rId96" o:title=""/>
              </v:shape>
            </v:group>
            <v:group style="position:absolute;left:8159;top:358;width:30;height:2" coordorigin="8159,358" coordsize="30,2">
              <v:shape style="position:absolute;left:8159;top:358;width:30;height:2" coordorigin="8159,358" coordsize="30,0" path="m8159,358l8189,358e" filled="false" stroked="true" strokeweight="1.5pt" strokecolor="#000000">
                <v:path arrowok="t"/>
              </v:shape>
            </v:group>
            <v:group style="position:absolute;left:8189;top:358;width:2409;height:2" coordorigin="8189,358" coordsize="2409,2">
              <v:shape style="position:absolute;left:8189;top:358;width:2409;height:2" coordorigin="8189,358" coordsize="2409,0" path="m8189,358l10597,358e" filled="false" stroked="true" strokeweight="1.5pt" strokecolor="#000000">
                <v:path arrowok="t"/>
              </v:shape>
              <v:shape style="position:absolute;left:6060;top:381;width:2128;height:349" type="#_x0000_t75" stroked="false">
                <v:imagedata r:id="rId237" o:title=""/>
              </v:shape>
            </v:group>
            <v:group style="position:absolute;left:2395;top:4565;width:3684;height:2" coordorigin="2395,4565" coordsize="3684,2">
              <v:shape style="position:absolute;left:2395;top:4565;width:3684;height:2" coordorigin="2395,4565" coordsize="3684,0" path="m2395,4565l6079,4565e" filled="false" stroked="true" strokeweight="1.5pt" strokecolor="#000000">
                <v:path arrowok="t"/>
              </v:shape>
            </v:group>
            <v:group style="position:absolute;left:6079;top:4565;width:2080;height:2" coordorigin="6079,4565" coordsize="2080,2">
              <v:shape style="position:absolute;left:6079;top:4565;width:2080;height:2" coordorigin="6079,4565" coordsize="2080,0" path="m6079,4565l8159,4565e" filled="false" stroked="true" strokeweight="1.5pt" strokecolor="#000000">
                <v:path arrowok="t"/>
              </v:shape>
              <v:shape style="position:absolute;left:2390;top:692;width:8226;height:3858" type="#_x0000_t75" stroked="false">
                <v:imagedata r:id="rId238" o:title=""/>
              </v:shape>
            </v:group>
            <v:group style="position:absolute;left:8159;top:4565;width:30;height:2" coordorigin="8159,4565" coordsize="30,2">
              <v:shape style="position:absolute;left:8159;top:4565;width:30;height:2" coordorigin="8159,4565" coordsize="30,0" path="m8159,4565l8189,4565e" filled="false" stroked="true" strokeweight="1.5pt" strokecolor="#000000">
                <v:path arrowok="t"/>
              </v:shape>
            </v:group>
            <v:group style="position:absolute;left:8189;top:4565;width:2409;height:2" coordorigin="8189,4565" coordsize="2409,2">
              <v:shape style="position:absolute;left:8189;top:4565;width:2409;height:2" coordorigin="8189,4565" coordsize="2409,0" path="m8189,4565l10597,4565e" filled="false" stroked="true" strokeweight="1.5pt" strokecolor="#000000">
                <v:path arrowok="t"/>
              </v:shape>
            </v:group>
            <w10:wrap type="none"/>
          </v:group>
        </w:pict>
      </w:r>
      <w:r>
        <w:rPr/>
        <w:t>（</w:t>
      </w:r>
      <w:r>
        <w:rPr>
          <w:rFonts w:ascii="Times New Roman" w:hAnsi="Times New Roman" w:cs="Times New Roman" w:eastAsia="Times New Roman" w:hint="default"/>
        </w:rPr>
        <w:t>2</w:t>
      </w:r>
      <w:r>
        <w:rPr/>
        <w:t>）账龄超过一年的重要应付账款</w:t>
      </w:r>
    </w:p>
    <w:p>
      <w:pPr>
        <w:spacing w:line="240" w:lineRule="auto" w:before="6"/>
        <w:rPr>
          <w:rFonts w:ascii="宋体" w:hAnsi="宋体" w:cs="宋体" w:eastAsia="宋体" w:hint="default"/>
          <w:sz w:val="2"/>
          <w:szCs w:val="2"/>
        </w:rPr>
      </w:pPr>
    </w:p>
    <w:tbl>
      <w:tblPr>
        <w:tblW w:w="0" w:type="auto"/>
        <w:jc w:val="left"/>
        <w:tblInd w:w="787" w:type="dxa"/>
        <w:tblLayout w:type="fixed"/>
        <w:tblCellMar>
          <w:top w:w="0" w:type="dxa"/>
          <w:left w:w="0" w:type="dxa"/>
          <w:bottom w:w="0" w:type="dxa"/>
          <w:right w:w="0" w:type="dxa"/>
        </w:tblCellMar>
        <w:tblLook w:val="01E0"/>
      </w:tblPr>
      <w:tblGrid>
        <w:gridCol w:w="3651"/>
        <w:gridCol w:w="2259"/>
        <w:gridCol w:w="2200"/>
      </w:tblGrid>
      <w:tr>
        <w:trPr>
          <w:trHeight w:val="713" w:hRule="exact"/>
        </w:trPr>
        <w:tc>
          <w:tcPr>
            <w:tcW w:w="3651" w:type="dxa"/>
            <w:tcBorders>
              <w:top w:val="nil" w:sz="6" w:space="0" w:color="auto"/>
              <w:left w:val="nil" w:sz="6" w:space="0" w:color="auto"/>
              <w:bottom w:val="nil" w:sz="6" w:space="0" w:color="auto"/>
              <w:right w:val="nil" w:sz="6" w:space="0" w:color="auto"/>
            </w:tcBorders>
          </w:tcPr>
          <w:p>
            <w:pPr>
              <w:pStyle w:val="TableParagraph"/>
              <w:spacing w:line="398" w:lineRule="auto" w:before="53"/>
              <w:ind w:left="70" w:right="1660" w:firstLine="1568"/>
              <w:jc w:val="left"/>
              <w:rPr>
                <w:rFonts w:ascii="宋体" w:hAnsi="宋体" w:cs="宋体" w:eastAsia="宋体" w:hint="default"/>
                <w:sz w:val="16"/>
                <w:szCs w:val="16"/>
              </w:rPr>
            </w:pPr>
            <w:r>
              <w:rPr>
                <w:rFonts w:ascii="宋体" w:hAnsi="宋体" w:cs="宋体" w:eastAsia="宋体" w:hint="default"/>
                <w:sz w:val="16"/>
                <w:szCs w:val="16"/>
              </w:rPr>
              <w:t>项目</w:t>
            </w:r>
            <w:r>
              <w:rPr>
                <w:rFonts w:ascii="宋体" w:hAnsi="宋体" w:cs="宋体" w:eastAsia="宋体" w:hint="default"/>
                <w:w w:val="99"/>
                <w:sz w:val="16"/>
                <w:szCs w:val="16"/>
              </w:rPr>
              <w:t> </w:t>
            </w:r>
            <w:r>
              <w:rPr>
                <w:rFonts w:ascii="宋体" w:hAnsi="宋体" w:cs="宋体" w:eastAsia="宋体" w:hint="default"/>
                <w:sz w:val="16"/>
                <w:szCs w:val="16"/>
              </w:rPr>
              <w:t>重庆金美通信有限责任公司</w:t>
            </w:r>
          </w:p>
        </w:tc>
        <w:tc>
          <w:tcPr>
            <w:tcW w:w="2259" w:type="dxa"/>
            <w:tcBorders>
              <w:top w:val="nil" w:sz="6" w:space="0" w:color="auto"/>
              <w:left w:val="nil" w:sz="6" w:space="0" w:color="auto"/>
              <w:bottom w:val="nil" w:sz="6" w:space="0" w:color="auto"/>
              <w:right w:val="nil" w:sz="6" w:space="0" w:color="auto"/>
            </w:tcBorders>
          </w:tcPr>
          <w:p>
            <w:pPr>
              <w:pStyle w:val="TableParagraph"/>
              <w:spacing w:line="240" w:lineRule="auto" w:before="53"/>
              <w:ind w:left="703" w:right="0"/>
              <w:jc w:val="left"/>
              <w:rPr>
                <w:rFonts w:ascii="宋体" w:hAnsi="宋体" w:cs="宋体" w:eastAsia="宋体" w:hint="default"/>
                <w:sz w:val="16"/>
                <w:szCs w:val="16"/>
              </w:rPr>
            </w:pPr>
            <w:r>
              <w:rPr>
                <w:rFonts w:ascii="宋体" w:hAnsi="宋体" w:cs="宋体" w:eastAsia="宋体" w:hint="default"/>
                <w:sz w:val="16"/>
                <w:szCs w:val="16"/>
              </w:rPr>
              <w:t>期末余额</w:t>
            </w:r>
          </w:p>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1035" w:right="0"/>
              <w:jc w:val="left"/>
              <w:rPr>
                <w:rFonts w:ascii="Times New Roman" w:hAnsi="Times New Roman" w:cs="Times New Roman" w:eastAsia="Times New Roman" w:hint="default"/>
                <w:sz w:val="16"/>
                <w:szCs w:val="16"/>
              </w:rPr>
            </w:pPr>
            <w:r>
              <w:rPr>
                <w:rFonts w:ascii="Times New Roman"/>
                <w:sz w:val="16"/>
              </w:rPr>
              <w:t>31,269,281.00</w:t>
            </w:r>
          </w:p>
        </w:tc>
        <w:tc>
          <w:tcPr>
            <w:tcW w:w="2200"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02" w:right="0"/>
              <w:jc w:val="left"/>
              <w:rPr>
                <w:rFonts w:ascii="宋体" w:hAnsi="宋体" w:cs="宋体" w:eastAsia="宋体" w:hint="default"/>
                <w:sz w:val="16"/>
                <w:szCs w:val="16"/>
              </w:rPr>
            </w:pPr>
            <w:r>
              <w:rPr>
                <w:rFonts w:ascii="宋体" w:hAnsi="宋体" w:cs="宋体" w:eastAsia="宋体" w:hint="default"/>
                <w:sz w:val="16"/>
                <w:szCs w:val="16"/>
              </w:rPr>
              <w:t>未偿还或结转的原因</w:t>
            </w:r>
          </w:p>
          <w:p>
            <w:pPr>
              <w:pStyle w:val="TableParagraph"/>
              <w:spacing w:line="240" w:lineRule="auto" w:before="138"/>
              <w:ind w:right="68"/>
              <w:jc w:val="right"/>
              <w:rPr>
                <w:rFonts w:ascii="宋体" w:hAnsi="宋体" w:cs="宋体" w:eastAsia="宋体" w:hint="default"/>
                <w:sz w:val="16"/>
                <w:szCs w:val="16"/>
              </w:rPr>
            </w:pPr>
            <w:r>
              <w:rPr>
                <w:rFonts w:ascii="宋体" w:hAnsi="宋体" w:cs="宋体" w:eastAsia="宋体" w:hint="default"/>
                <w:w w:val="95"/>
                <w:sz w:val="16"/>
                <w:szCs w:val="16"/>
              </w:rPr>
              <w:t>未结算</w:t>
            </w:r>
            <w:r>
              <w:rPr>
                <w:rFonts w:ascii="宋体" w:hAnsi="宋体" w:cs="宋体" w:eastAsia="宋体" w:hint="default"/>
                <w:sz w:val="16"/>
                <w:szCs w:val="16"/>
              </w:rPr>
            </w:r>
          </w:p>
        </w:tc>
      </w:tr>
      <w:tr>
        <w:trPr>
          <w:trHeight w:val="349" w:hRule="exact"/>
        </w:trPr>
        <w:tc>
          <w:tcPr>
            <w:tcW w:w="3651" w:type="dxa"/>
            <w:tcBorders>
              <w:top w:val="nil" w:sz="6" w:space="0" w:color="auto"/>
              <w:left w:val="nil" w:sz="6" w:space="0" w:color="auto"/>
              <w:bottom w:val="nil" w:sz="6" w:space="0" w:color="auto"/>
              <w:right w:val="nil" w:sz="6" w:space="0" w:color="auto"/>
            </w:tcBorders>
          </w:tcPr>
          <w:p>
            <w:pPr>
              <w:pStyle w:val="TableParagraph"/>
              <w:spacing w:line="240" w:lineRule="auto" w:before="37"/>
              <w:ind w:left="70" w:right="0"/>
              <w:jc w:val="left"/>
              <w:rPr>
                <w:rFonts w:ascii="宋体" w:hAnsi="宋体" w:cs="宋体" w:eastAsia="宋体" w:hint="default"/>
                <w:sz w:val="16"/>
                <w:szCs w:val="16"/>
              </w:rPr>
            </w:pPr>
            <w:r>
              <w:rPr>
                <w:rFonts w:ascii="宋体" w:hAnsi="宋体" w:cs="宋体" w:eastAsia="宋体" w:hint="default"/>
                <w:sz w:val="16"/>
                <w:szCs w:val="16"/>
              </w:rPr>
              <w:t>中国电子进出口有限公司</w:t>
            </w:r>
          </w:p>
        </w:tc>
        <w:tc>
          <w:tcPr>
            <w:tcW w:w="2259"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300"/>
              <w:jc w:val="right"/>
              <w:rPr>
                <w:rFonts w:ascii="Times New Roman" w:hAnsi="Times New Roman" w:cs="Times New Roman" w:eastAsia="Times New Roman" w:hint="default"/>
                <w:sz w:val="16"/>
                <w:szCs w:val="16"/>
              </w:rPr>
            </w:pPr>
            <w:r>
              <w:rPr>
                <w:rFonts w:ascii="Times New Roman"/>
                <w:spacing w:val="-1"/>
                <w:sz w:val="16"/>
              </w:rPr>
              <w:t>9,027,106.45</w:t>
            </w:r>
          </w:p>
        </w:tc>
        <w:tc>
          <w:tcPr>
            <w:tcW w:w="2200"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68"/>
              <w:jc w:val="right"/>
              <w:rPr>
                <w:rFonts w:ascii="宋体" w:hAnsi="宋体" w:cs="宋体" w:eastAsia="宋体" w:hint="default"/>
                <w:sz w:val="16"/>
                <w:szCs w:val="16"/>
              </w:rPr>
            </w:pPr>
            <w:r>
              <w:rPr>
                <w:rFonts w:ascii="宋体" w:hAnsi="宋体" w:cs="宋体" w:eastAsia="宋体" w:hint="default"/>
                <w:w w:val="95"/>
                <w:sz w:val="16"/>
                <w:szCs w:val="16"/>
              </w:rPr>
              <w:t>未结算</w:t>
            </w:r>
            <w:r>
              <w:rPr>
                <w:rFonts w:ascii="宋体" w:hAnsi="宋体" w:cs="宋体" w:eastAsia="宋体" w:hint="default"/>
                <w:sz w:val="16"/>
                <w:szCs w:val="16"/>
              </w:rPr>
            </w:r>
          </w:p>
        </w:tc>
      </w:tr>
      <w:tr>
        <w:trPr>
          <w:trHeight w:val="349" w:hRule="exact"/>
        </w:trPr>
        <w:tc>
          <w:tcPr>
            <w:tcW w:w="365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宋体" w:hAnsi="宋体" w:cs="宋体" w:eastAsia="宋体" w:hint="default"/>
                <w:w w:val="99"/>
                <w:sz w:val="16"/>
                <w:szCs w:val="16"/>
              </w:rPr>
              <w:t>鄂州明</w:t>
            </w:r>
            <w:r>
              <w:rPr>
                <w:rFonts w:ascii="宋体" w:hAnsi="宋体" w:cs="宋体" w:eastAsia="宋体" w:hint="default"/>
                <w:spacing w:val="1"/>
                <w:w w:val="99"/>
                <w:sz w:val="16"/>
                <w:szCs w:val="16"/>
              </w:rPr>
              <w:t>诚</w:t>
            </w:r>
            <w:r>
              <w:rPr>
                <w:rFonts w:ascii="宋体" w:hAnsi="宋体" w:cs="宋体" w:eastAsia="宋体" w:hint="default"/>
                <w:w w:val="99"/>
                <w:sz w:val="16"/>
                <w:szCs w:val="16"/>
              </w:rPr>
              <w:t>（旭</w:t>
            </w:r>
            <w:r>
              <w:rPr>
                <w:rFonts w:ascii="宋体" w:hAnsi="宋体" w:cs="宋体" w:eastAsia="宋体" w:hint="default"/>
                <w:spacing w:val="1"/>
                <w:w w:val="99"/>
                <w:sz w:val="16"/>
                <w:szCs w:val="16"/>
              </w:rPr>
              <w:t>宇</w:t>
            </w:r>
            <w:r>
              <w:rPr>
                <w:rFonts w:ascii="宋体" w:hAnsi="宋体" w:cs="宋体" w:eastAsia="宋体" w:hint="default"/>
                <w:spacing w:val="-80"/>
                <w:w w:val="99"/>
                <w:sz w:val="16"/>
                <w:szCs w:val="16"/>
              </w:rPr>
              <w:t>）</w:t>
            </w:r>
            <w:r>
              <w:rPr>
                <w:rFonts w:ascii="宋体" w:hAnsi="宋体" w:cs="宋体" w:eastAsia="宋体" w:hint="default"/>
                <w:w w:val="99"/>
                <w:sz w:val="16"/>
                <w:szCs w:val="16"/>
              </w:rPr>
              <w:t>（园信</w:t>
            </w:r>
            <w:r>
              <w:rPr>
                <w:rFonts w:ascii="宋体" w:hAnsi="宋体" w:cs="宋体" w:eastAsia="宋体" w:hint="default"/>
                <w:spacing w:val="1"/>
                <w:w w:val="99"/>
                <w:sz w:val="16"/>
                <w:szCs w:val="16"/>
              </w:rPr>
              <w:t>）</w:t>
            </w:r>
            <w:r>
              <w:rPr>
                <w:rFonts w:ascii="宋体" w:hAnsi="宋体" w:cs="宋体" w:eastAsia="宋体" w:hint="default"/>
                <w:w w:val="99"/>
                <w:sz w:val="16"/>
                <w:szCs w:val="16"/>
              </w:rPr>
              <w:t>机械</w:t>
            </w:r>
            <w:r>
              <w:rPr>
                <w:rFonts w:ascii="宋体" w:hAnsi="宋体" w:cs="宋体" w:eastAsia="宋体" w:hint="default"/>
                <w:spacing w:val="1"/>
                <w:w w:val="99"/>
                <w:sz w:val="16"/>
                <w:szCs w:val="16"/>
              </w:rPr>
              <w:t>有</w:t>
            </w:r>
            <w:r>
              <w:rPr>
                <w:rFonts w:ascii="宋体" w:hAnsi="宋体" w:cs="宋体" w:eastAsia="宋体" w:hint="default"/>
                <w:w w:val="99"/>
                <w:sz w:val="16"/>
                <w:szCs w:val="16"/>
              </w:rPr>
              <w:t>限公司</w:t>
            </w:r>
            <w:r>
              <w:rPr>
                <w:rFonts w:ascii="宋体" w:hAnsi="宋体" w:cs="宋体" w:eastAsia="宋体" w:hint="default"/>
                <w:sz w:val="16"/>
                <w:szCs w:val="16"/>
              </w:rPr>
            </w:r>
          </w:p>
        </w:tc>
        <w:tc>
          <w:tcPr>
            <w:tcW w:w="2259"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300"/>
              <w:jc w:val="right"/>
              <w:rPr>
                <w:rFonts w:ascii="Times New Roman" w:hAnsi="Times New Roman" w:cs="Times New Roman" w:eastAsia="Times New Roman" w:hint="default"/>
                <w:sz w:val="16"/>
                <w:szCs w:val="16"/>
              </w:rPr>
            </w:pPr>
            <w:r>
              <w:rPr>
                <w:rFonts w:ascii="Times New Roman"/>
                <w:spacing w:val="-1"/>
                <w:sz w:val="16"/>
              </w:rPr>
              <w:t>7,582,600.25</w:t>
            </w:r>
          </w:p>
        </w:tc>
        <w:tc>
          <w:tcPr>
            <w:tcW w:w="220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68"/>
              <w:jc w:val="right"/>
              <w:rPr>
                <w:rFonts w:ascii="宋体" w:hAnsi="宋体" w:cs="宋体" w:eastAsia="宋体" w:hint="default"/>
                <w:sz w:val="16"/>
                <w:szCs w:val="16"/>
              </w:rPr>
            </w:pPr>
            <w:r>
              <w:rPr>
                <w:rFonts w:ascii="宋体" w:hAnsi="宋体" w:cs="宋体" w:eastAsia="宋体" w:hint="default"/>
                <w:w w:val="95"/>
                <w:sz w:val="16"/>
                <w:szCs w:val="16"/>
              </w:rPr>
              <w:t>未结算</w:t>
            </w:r>
            <w:r>
              <w:rPr>
                <w:rFonts w:ascii="宋体" w:hAnsi="宋体" w:cs="宋体" w:eastAsia="宋体" w:hint="default"/>
                <w:sz w:val="16"/>
                <w:szCs w:val="16"/>
              </w:rPr>
            </w:r>
          </w:p>
        </w:tc>
      </w:tr>
      <w:tr>
        <w:trPr>
          <w:trHeight w:val="349" w:hRule="exact"/>
        </w:trPr>
        <w:tc>
          <w:tcPr>
            <w:tcW w:w="365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宋体" w:hAnsi="宋体" w:cs="宋体" w:eastAsia="宋体" w:hint="default"/>
                <w:sz w:val="16"/>
                <w:szCs w:val="16"/>
              </w:rPr>
              <w:t>武汉长江融达电子有限公司</w:t>
            </w:r>
          </w:p>
        </w:tc>
        <w:tc>
          <w:tcPr>
            <w:tcW w:w="2259"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300"/>
              <w:jc w:val="right"/>
              <w:rPr>
                <w:rFonts w:ascii="Times New Roman" w:hAnsi="Times New Roman" w:cs="Times New Roman" w:eastAsia="Times New Roman" w:hint="default"/>
                <w:sz w:val="16"/>
                <w:szCs w:val="16"/>
              </w:rPr>
            </w:pPr>
            <w:r>
              <w:rPr>
                <w:rFonts w:ascii="Times New Roman"/>
                <w:spacing w:val="-1"/>
                <w:sz w:val="16"/>
              </w:rPr>
              <w:t>5,883,400.00</w:t>
            </w:r>
          </w:p>
        </w:tc>
        <w:tc>
          <w:tcPr>
            <w:tcW w:w="220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68"/>
              <w:jc w:val="right"/>
              <w:rPr>
                <w:rFonts w:ascii="宋体" w:hAnsi="宋体" w:cs="宋体" w:eastAsia="宋体" w:hint="default"/>
                <w:sz w:val="16"/>
                <w:szCs w:val="16"/>
              </w:rPr>
            </w:pPr>
            <w:r>
              <w:rPr>
                <w:rFonts w:ascii="宋体" w:hAnsi="宋体" w:cs="宋体" w:eastAsia="宋体" w:hint="default"/>
                <w:w w:val="95"/>
                <w:sz w:val="16"/>
                <w:szCs w:val="16"/>
              </w:rPr>
              <w:t>未结算</w:t>
            </w:r>
            <w:r>
              <w:rPr>
                <w:rFonts w:ascii="宋体" w:hAnsi="宋体" w:cs="宋体" w:eastAsia="宋体" w:hint="default"/>
                <w:sz w:val="16"/>
                <w:szCs w:val="16"/>
              </w:rPr>
            </w:r>
          </w:p>
        </w:tc>
      </w:tr>
      <w:tr>
        <w:trPr>
          <w:trHeight w:val="349" w:hRule="exact"/>
        </w:trPr>
        <w:tc>
          <w:tcPr>
            <w:tcW w:w="365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宋体" w:hAnsi="宋体" w:cs="宋体" w:eastAsia="宋体" w:hint="default"/>
                <w:sz w:val="16"/>
                <w:szCs w:val="16"/>
              </w:rPr>
              <w:t>绵阳灵通电讯有限公司</w:t>
            </w:r>
          </w:p>
        </w:tc>
        <w:tc>
          <w:tcPr>
            <w:tcW w:w="2259"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300"/>
              <w:jc w:val="right"/>
              <w:rPr>
                <w:rFonts w:ascii="Times New Roman" w:hAnsi="Times New Roman" w:cs="Times New Roman" w:eastAsia="Times New Roman" w:hint="default"/>
                <w:sz w:val="16"/>
                <w:szCs w:val="16"/>
              </w:rPr>
            </w:pPr>
            <w:r>
              <w:rPr>
                <w:rFonts w:ascii="Times New Roman"/>
                <w:spacing w:val="-1"/>
                <w:sz w:val="16"/>
              </w:rPr>
              <w:t>5,800,000.00</w:t>
            </w:r>
          </w:p>
        </w:tc>
        <w:tc>
          <w:tcPr>
            <w:tcW w:w="220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68"/>
              <w:jc w:val="right"/>
              <w:rPr>
                <w:rFonts w:ascii="宋体" w:hAnsi="宋体" w:cs="宋体" w:eastAsia="宋体" w:hint="default"/>
                <w:sz w:val="16"/>
                <w:szCs w:val="16"/>
              </w:rPr>
            </w:pPr>
            <w:r>
              <w:rPr>
                <w:rFonts w:ascii="宋体" w:hAnsi="宋体" w:cs="宋体" w:eastAsia="宋体" w:hint="default"/>
                <w:w w:val="95"/>
                <w:sz w:val="16"/>
                <w:szCs w:val="16"/>
              </w:rPr>
              <w:t>未结算</w:t>
            </w:r>
            <w:r>
              <w:rPr>
                <w:rFonts w:ascii="宋体" w:hAnsi="宋体" w:cs="宋体" w:eastAsia="宋体" w:hint="default"/>
                <w:sz w:val="16"/>
                <w:szCs w:val="16"/>
              </w:rPr>
            </w:r>
          </w:p>
        </w:tc>
      </w:tr>
      <w:tr>
        <w:trPr>
          <w:trHeight w:val="349" w:hRule="exact"/>
        </w:trPr>
        <w:tc>
          <w:tcPr>
            <w:tcW w:w="365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宋体" w:hAnsi="宋体" w:cs="宋体" w:eastAsia="宋体" w:hint="default"/>
                <w:sz w:val="16"/>
                <w:szCs w:val="16"/>
              </w:rPr>
              <w:t>成都天奥电子有限公司</w:t>
            </w:r>
          </w:p>
        </w:tc>
        <w:tc>
          <w:tcPr>
            <w:tcW w:w="2259"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300"/>
              <w:jc w:val="right"/>
              <w:rPr>
                <w:rFonts w:ascii="Times New Roman" w:hAnsi="Times New Roman" w:cs="Times New Roman" w:eastAsia="Times New Roman" w:hint="default"/>
                <w:sz w:val="16"/>
                <w:szCs w:val="16"/>
              </w:rPr>
            </w:pPr>
            <w:r>
              <w:rPr>
                <w:rFonts w:ascii="Times New Roman"/>
                <w:spacing w:val="-1"/>
                <w:sz w:val="16"/>
              </w:rPr>
              <w:t>3,487,200.00</w:t>
            </w:r>
          </w:p>
        </w:tc>
        <w:tc>
          <w:tcPr>
            <w:tcW w:w="220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68"/>
              <w:jc w:val="right"/>
              <w:rPr>
                <w:rFonts w:ascii="宋体" w:hAnsi="宋体" w:cs="宋体" w:eastAsia="宋体" w:hint="default"/>
                <w:sz w:val="16"/>
                <w:szCs w:val="16"/>
              </w:rPr>
            </w:pPr>
            <w:r>
              <w:rPr>
                <w:rFonts w:ascii="宋体" w:hAnsi="宋体" w:cs="宋体" w:eastAsia="宋体" w:hint="default"/>
                <w:w w:val="95"/>
                <w:sz w:val="16"/>
                <w:szCs w:val="16"/>
              </w:rPr>
              <w:t>未结算</w:t>
            </w:r>
            <w:r>
              <w:rPr>
                <w:rFonts w:ascii="宋体" w:hAnsi="宋体" w:cs="宋体" w:eastAsia="宋体" w:hint="default"/>
                <w:sz w:val="16"/>
                <w:szCs w:val="16"/>
              </w:rPr>
            </w:r>
          </w:p>
        </w:tc>
      </w:tr>
      <w:tr>
        <w:trPr>
          <w:trHeight w:val="349" w:hRule="exact"/>
        </w:trPr>
        <w:tc>
          <w:tcPr>
            <w:tcW w:w="3651" w:type="dxa"/>
            <w:tcBorders>
              <w:top w:val="nil" w:sz="6" w:space="0" w:color="auto"/>
              <w:left w:val="nil" w:sz="6" w:space="0" w:color="auto"/>
              <w:bottom w:val="nil" w:sz="6" w:space="0" w:color="auto"/>
              <w:right w:val="nil" w:sz="6" w:space="0" w:color="auto"/>
            </w:tcBorders>
          </w:tcPr>
          <w:p>
            <w:pPr>
              <w:pStyle w:val="TableParagraph"/>
              <w:spacing w:line="240" w:lineRule="auto" w:before="37"/>
              <w:ind w:left="70" w:right="0"/>
              <w:jc w:val="left"/>
              <w:rPr>
                <w:rFonts w:ascii="宋体" w:hAnsi="宋体" w:cs="宋体" w:eastAsia="宋体" w:hint="default"/>
                <w:sz w:val="16"/>
                <w:szCs w:val="16"/>
              </w:rPr>
            </w:pPr>
            <w:r>
              <w:rPr>
                <w:rFonts w:ascii="宋体" w:hAnsi="宋体" w:cs="宋体" w:eastAsia="宋体" w:hint="default"/>
                <w:sz w:val="16"/>
                <w:szCs w:val="16"/>
              </w:rPr>
              <w:t>重庆俊杰科技有限公司</w:t>
            </w:r>
          </w:p>
        </w:tc>
        <w:tc>
          <w:tcPr>
            <w:tcW w:w="2259"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00"/>
              <w:jc w:val="right"/>
              <w:rPr>
                <w:rFonts w:ascii="Times New Roman" w:hAnsi="Times New Roman" w:cs="Times New Roman" w:eastAsia="Times New Roman" w:hint="default"/>
                <w:sz w:val="16"/>
                <w:szCs w:val="16"/>
              </w:rPr>
            </w:pPr>
            <w:r>
              <w:rPr>
                <w:rFonts w:ascii="Times New Roman"/>
                <w:spacing w:val="-1"/>
                <w:sz w:val="16"/>
              </w:rPr>
              <w:t>3,190,372.85</w:t>
            </w:r>
          </w:p>
        </w:tc>
        <w:tc>
          <w:tcPr>
            <w:tcW w:w="2200"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68"/>
              <w:jc w:val="right"/>
              <w:rPr>
                <w:rFonts w:ascii="宋体" w:hAnsi="宋体" w:cs="宋体" w:eastAsia="宋体" w:hint="default"/>
                <w:sz w:val="16"/>
                <w:szCs w:val="16"/>
              </w:rPr>
            </w:pPr>
            <w:r>
              <w:rPr>
                <w:rFonts w:ascii="宋体" w:hAnsi="宋体" w:cs="宋体" w:eastAsia="宋体" w:hint="default"/>
                <w:w w:val="95"/>
                <w:sz w:val="16"/>
                <w:szCs w:val="16"/>
              </w:rPr>
              <w:t>未结算</w:t>
            </w:r>
            <w:r>
              <w:rPr>
                <w:rFonts w:ascii="宋体" w:hAnsi="宋体" w:cs="宋体" w:eastAsia="宋体" w:hint="default"/>
                <w:sz w:val="16"/>
                <w:szCs w:val="16"/>
              </w:rPr>
            </w:r>
          </w:p>
        </w:tc>
      </w:tr>
      <w:tr>
        <w:trPr>
          <w:trHeight w:val="349" w:hRule="exact"/>
        </w:trPr>
        <w:tc>
          <w:tcPr>
            <w:tcW w:w="3651" w:type="dxa"/>
            <w:tcBorders>
              <w:top w:val="nil" w:sz="6" w:space="0" w:color="auto"/>
              <w:left w:val="nil" w:sz="6" w:space="0" w:color="auto"/>
              <w:bottom w:val="nil" w:sz="6" w:space="0" w:color="auto"/>
              <w:right w:val="nil" w:sz="6" w:space="0" w:color="auto"/>
            </w:tcBorders>
          </w:tcPr>
          <w:p>
            <w:pPr>
              <w:pStyle w:val="TableParagraph"/>
              <w:spacing w:line="240" w:lineRule="auto" w:before="37"/>
              <w:ind w:left="70" w:right="0"/>
              <w:jc w:val="left"/>
              <w:rPr>
                <w:rFonts w:ascii="宋体" w:hAnsi="宋体" w:cs="宋体" w:eastAsia="宋体" w:hint="default"/>
                <w:sz w:val="16"/>
                <w:szCs w:val="16"/>
              </w:rPr>
            </w:pPr>
            <w:r>
              <w:rPr>
                <w:rFonts w:ascii="宋体" w:hAnsi="宋体" w:cs="宋体" w:eastAsia="宋体" w:hint="default"/>
                <w:sz w:val="16"/>
                <w:szCs w:val="16"/>
              </w:rPr>
              <w:t>河北晓进机械制造股份有限公司</w:t>
            </w:r>
          </w:p>
        </w:tc>
        <w:tc>
          <w:tcPr>
            <w:tcW w:w="2259"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300"/>
              <w:jc w:val="right"/>
              <w:rPr>
                <w:rFonts w:ascii="Times New Roman" w:hAnsi="Times New Roman" w:cs="Times New Roman" w:eastAsia="Times New Roman" w:hint="default"/>
                <w:sz w:val="16"/>
                <w:szCs w:val="16"/>
              </w:rPr>
            </w:pPr>
            <w:r>
              <w:rPr>
                <w:rFonts w:ascii="Times New Roman"/>
                <w:spacing w:val="-1"/>
                <w:sz w:val="16"/>
              </w:rPr>
              <w:t>2,920,000.00</w:t>
            </w:r>
          </w:p>
        </w:tc>
        <w:tc>
          <w:tcPr>
            <w:tcW w:w="2200"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68"/>
              <w:jc w:val="right"/>
              <w:rPr>
                <w:rFonts w:ascii="宋体" w:hAnsi="宋体" w:cs="宋体" w:eastAsia="宋体" w:hint="default"/>
                <w:sz w:val="16"/>
                <w:szCs w:val="16"/>
              </w:rPr>
            </w:pPr>
            <w:r>
              <w:rPr>
                <w:rFonts w:ascii="宋体" w:hAnsi="宋体" w:cs="宋体" w:eastAsia="宋体" w:hint="default"/>
                <w:w w:val="95"/>
                <w:sz w:val="16"/>
                <w:szCs w:val="16"/>
              </w:rPr>
              <w:t>未结算</w:t>
            </w:r>
            <w:r>
              <w:rPr>
                <w:rFonts w:ascii="宋体" w:hAnsi="宋体" w:cs="宋体" w:eastAsia="宋体" w:hint="default"/>
                <w:sz w:val="16"/>
                <w:szCs w:val="16"/>
              </w:rPr>
            </w:r>
          </w:p>
        </w:tc>
      </w:tr>
      <w:tr>
        <w:trPr>
          <w:trHeight w:val="349" w:hRule="exact"/>
        </w:trPr>
        <w:tc>
          <w:tcPr>
            <w:tcW w:w="365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宋体" w:hAnsi="宋体" w:cs="宋体" w:eastAsia="宋体" w:hint="default"/>
                <w:sz w:val="16"/>
                <w:szCs w:val="16"/>
              </w:rPr>
              <w:t>中船重工（武汉）凌久电子有限责任公司</w:t>
            </w:r>
          </w:p>
        </w:tc>
        <w:tc>
          <w:tcPr>
            <w:tcW w:w="2259"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300"/>
              <w:jc w:val="right"/>
              <w:rPr>
                <w:rFonts w:ascii="Times New Roman" w:hAnsi="Times New Roman" w:cs="Times New Roman" w:eastAsia="Times New Roman" w:hint="default"/>
                <w:sz w:val="16"/>
                <w:szCs w:val="16"/>
              </w:rPr>
            </w:pPr>
            <w:r>
              <w:rPr>
                <w:rFonts w:ascii="Times New Roman"/>
                <w:spacing w:val="-1"/>
                <w:sz w:val="16"/>
              </w:rPr>
              <w:t>2,357,020.00</w:t>
            </w:r>
          </w:p>
        </w:tc>
        <w:tc>
          <w:tcPr>
            <w:tcW w:w="220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68"/>
              <w:jc w:val="right"/>
              <w:rPr>
                <w:rFonts w:ascii="宋体" w:hAnsi="宋体" w:cs="宋体" w:eastAsia="宋体" w:hint="default"/>
                <w:sz w:val="16"/>
                <w:szCs w:val="16"/>
              </w:rPr>
            </w:pPr>
            <w:r>
              <w:rPr>
                <w:rFonts w:ascii="宋体" w:hAnsi="宋体" w:cs="宋体" w:eastAsia="宋体" w:hint="default"/>
                <w:w w:val="95"/>
                <w:sz w:val="16"/>
                <w:szCs w:val="16"/>
              </w:rPr>
              <w:t>未结算</w:t>
            </w:r>
            <w:r>
              <w:rPr>
                <w:rFonts w:ascii="宋体" w:hAnsi="宋体" w:cs="宋体" w:eastAsia="宋体" w:hint="default"/>
                <w:sz w:val="16"/>
                <w:szCs w:val="16"/>
              </w:rPr>
            </w:r>
          </w:p>
        </w:tc>
      </w:tr>
      <w:tr>
        <w:trPr>
          <w:trHeight w:val="349" w:hRule="exact"/>
        </w:trPr>
        <w:tc>
          <w:tcPr>
            <w:tcW w:w="365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宋体" w:hAnsi="宋体" w:cs="宋体" w:eastAsia="宋体" w:hint="default"/>
                <w:sz w:val="16"/>
                <w:szCs w:val="16"/>
              </w:rPr>
              <w:t>中国电子科技集团公司第五十四研究所</w:t>
            </w:r>
          </w:p>
        </w:tc>
        <w:tc>
          <w:tcPr>
            <w:tcW w:w="2259"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300"/>
              <w:jc w:val="right"/>
              <w:rPr>
                <w:rFonts w:ascii="Times New Roman" w:hAnsi="Times New Roman" w:cs="Times New Roman" w:eastAsia="Times New Roman" w:hint="default"/>
                <w:sz w:val="16"/>
                <w:szCs w:val="16"/>
              </w:rPr>
            </w:pPr>
            <w:r>
              <w:rPr>
                <w:rFonts w:ascii="Times New Roman"/>
                <w:spacing w:val="-1"/>
                <w:sz w:val="16"/>
              </w:rPr>
              <w:t>2,257,000.00</w:t>
            </w:r>
          </w:p>
        </w:tc>
        <w:tc>
          <w:tcPr>
            <w:tcW w:w="220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68"/>
              <w:jc w:val="right"/>
              <w:rPr>
                <w:rFonts w:ascii="宋体" w:hAnsi="宋体" w:cs="宋体" w:eastAsia="宋体" w:hint="default"/>
                <w:sz w:val="16"/>
                <w:szCs w:val="16"/>
              </w:rPr>
            </w:pPr>
            <w:r>
              <w:rPr>
                <w:rFonts w:ascii="宋体" w:hAnsi="宋体" w:cs="宋体" w:eastAsia="宋体" w:hint="default"/>
                <w:w w:val="95"/>
                <w:sz w:val="16"/>
                <w:szCs w:val="16"/>
              </w:rPr>
              <w:t>未结算</w:t>
            </w:r>
            <w:r>
              <w:rPr>
                <w:rFonts w:ascii="宋体" w:hAnsi="宋体" w:cs="宋体" w:eastAsia="宋体" w:hint="default"/>
                <w:sz w:val="16"/>
                <w:szCs w:val="16"/>
              </w:rPr>
            </w:r>
          </w:p>
        </w:tc>
      </w:tr>
      <w:tr>
        <w:trPr>
          <w:trHeight w:val="353" w:hRule="exact"/>
        </w:trPr>
        <w:tc>
          <w:tcPr>
            <w:tcW w:w="365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3"/>
              <w:jc w:val="center"/>
              <w:rPr>
                <w:rFonts w:ascii="宋体" w:hAnsi="宋体" w:cs="宋体" w:eastAsia="宋体" w:hint="default"/>
                <w:sz w:val="16"/>
                <w:szCs w:val="16"/>
              </w:rPr>
            </w:pPr>
            <w:r>
              <w:rPr>
                <w:rFonts w:ascii="宋体" w:hAnsi="宋体" w:cs="宋体" w:eastAsia="宋体" w:hint="default"/>
                <w:sz w:val="16"/>
                <w:szCs w:val="16"/>
              </w:rPr>
              <w:t>合计</w:t>
            </w:r>
          </w:p>
        </w:tc>
        <w:tc>
          <w:tcPr>
            <w:tcW w:w="2259"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300"/>
              <w:jc w:val="right"/>
              <w:rPr>
                <w:rFonts w:ascii="Times New Roman" w:hAnsi="Times New Roman" w:cs="Times New Roman" w:eastAsia="Times New Roman" w:hint="default"/>
                <w:sz w:val="16"/>
                <w:szCs w:val="16"/>
              </w:rPr>
            </w:pPr>
            <w:r>
              <w:rPr>
                <w:rFonts w:ascii="Times New Roman"/>
                <w:spacing w:val="-1"/>
                <w:sz w:val="16"/>
              </w:rPr>
              <w:t>73,773,980.55</w:t>
            </w:r>
          </w:p>
        </w:tc>
        <w:tc>
          <w:tcPr>
            <w:tcW w:w="2200"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pStyle w:val="Heading5"/>
        <w:spacing w:line="240" w:lineRule="auto"/>
        <w:ind w:right="3681"/>
        <w:jc w:val="left"/>
        <w:rPr>
          <w:b w:val="0"/>
          <w:bCs w:val="0"/>
        </w:rPr>
      </w:pPr>
      <w:r>
        <w:rPr>
          <w:rFonts w:ascii="Times New Roman" w:hAnsi="Times New Roman" w:cs="Times New Roman" w:eastAsia="Times New Roman" w:hint="default"/>
        </w:rPr>
        <w:t>(</w:t>
      </w:r>
      <w:r>
        <w:rPr/>
        <w:t>二十二</w:t>
      </w:r>
      <w:r>
        <w:rPr>
          <w:rFonts w:ascii="Times New Roman" w:hAnsi="Times New Roman" w:cs="Times New Roman" w:eastAsia="Times New Roman" w:hint="default"/>
        </w:rPr>
        <w:t>)</w:t>
      </w:r>
      <w:r>
        <w:rPr>
          <w:rFonts w:ascii="Times New Roman" w:hAnsi="Times New Roman" w:cs="Times New Roman" w:eastAsia="Times New Roman" w:hint="default"/>
          <w:spacing w:val="23"/>
        </w:rPr>
        <w:t> </w:t>
      </w:r>
      <w:r>
        <w:rPr/>
        <w:t>预收款项</w:t>
      </w:r>
      <w:r>
        <w:rPr>
          <w:b w:val="0"/>
          <w:bCs w:val="0"/>
        </w:rPr>
      </w:r>
    </w:p>
    <w:p>
      <w:pPr>
        <w:pStyle w:val="Heading5"/>
        <w:tabs>
          <w:tab w:pos="1397" w:val="left" w:leader="none"/>
        </w:tabs>
        <w:spacing w:line="240" w:lineRule="auto" w:before="109"/>
        <w:ind w:left="846" w:right="3681"/>
        <w:jc w:val="left"/>
        <w:rPr>
          <w:b w:val="0"/>
          <w:bCs w:val="0"/>
        </w:rPr>
      </w:pPr>
      <w:r>
        <w:rPr>
          <w:rFonts w:ascii="Times New Roman" w:hAnsi="Times New Roman" w:cs="Times New Roman" w:eastAsia="Times New Roman" w:hint="default"/>
          <w:w w:val="95"/>
        </w:rPr>
        <w:t>1</w:t>
      </w:r>
      <w:r>
        <w:rPr>
          <w:w w:val="95"/>
        </w:rPr>
        <w:t>、</w:t>
        <w:tab/>
      </w:r>
      <w:r>
        <w:rPr/>
        <w:t>预收款项列示</w:t>
      </w:r>
      <w:r>
        <w:rPr>
          <w:b w:val="0"/>
          <w:bCs w:val="0"/>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1"/>
          <w:szCs w:val="11"/>
        </w:rPr>
      </w:pPr>
    </w:p>
    <w:p>
      <w:pPr>
        <w:spacing w:line="1446" w:lineRule="exact"/>
        <w:ind w:left="720" w:right="0" w:firstLine="0"/>
        <w:rPr>
          <w:rFonts w:ascii="宋体" w:hAnsi="宋体" w:cs="宋体" w:eastAsia="宋体" w:hint="default"/>
          <w:sz w:val="20"/>
          <w:szCs w:val="20"/>
        </w:rPr>
      </w:pPr>
      <w:r>
        <w:rPr>
          <w:rFonts w:ascii="宋体" w:hAnsi="宋体" w:cs="宋体" w:eastAsia="宋体" w:hint="default"/>
          <w:position w:val="-28"/>
          <w:sz w:val="20"/>
          <w:szCs w:val="20"/>
        </w:rPr>
        <w:pict>
          <v:group style="width:411.75pt;height:72.3pt;mso-position-horizontal-relative:char;mso-position-vertical-relative:line" coordorigin="0,0" coordsize="8235,1446">
            <v:group style="position:absolute;left:29;top:15;width:3372;height:2" coordorigin="29,15" coordsize="3372,2">
              <v:shape style="position:absolute;left:29;top:15;width:3372;height:2" coordorigin="29,15" coordsize="3372,0" path="m29,15l3401,15e" filled="false" stroked="true" strokeweight="1.5pt" strokecolor="#000000">
                <v:path arrowok="t"/>
              </v:shape>
              <v:shape style="position:absolute;left:3401;top:30;width:10;height:28" type="#_x0000_t75" stroked="false">
                <v:imagedata r:id="rId179" o:title=""/>
              </v:shape>
            </v:group>
            <v:group style="position:absolute;left:3401;top:15;width:2405;height:2" coordorigin="3401,15" coordsize="2405,2">
              <v:shape style="position:absolute;left:3401;top:15;width:2405;height:2" coordorigin="3401,15" coordsize="2405,0" path="m3401,15l5806,15e" filled="false" stroked="true" strokeweight="1.5pt" strokecolor="#000000">
                <v:path arrowok="t"/>
              </v:shape>
              <v:shape style="position:absolute;left:5806;top:30;width:10;height:28" type="#_x0000_t75" stroked="false">
                <v:imagedata r:id="rId179" o:title=""/>
              </v:shape>
            </v:group>
            <v:group style="position:absolute;left:5806;top:15;width:30;height:2" coordorigin="5806,15" coordsize="30,2">
              <v:shape style="position:absolute;left:5806;top:15;width:30;height:2" coordorigin="5806,15" coordsize="30,0" path="m5806,15l5836,15e" filled="false" stroked="true" strokeweight="1.5pt" strokecolor="#000000">
                <v:path arrowok="t"/>
              </v:shape>
            </v:group>
            <v:group style="position:absolute;left:5836;top:15;width:2381;height:2" coordorigin="5836,15" coordsize="2381,2">
              <v:shape style="position:absolute;left:5836;top:15;width:2381;height:2" coordorigin="5836,15" coordsize="2381,0" path="m5836,15l8217,15e" filled="false" stroked="true" strokeweight="1.5pt" strokecolor="#000000">
                <v:path arrowok="t"/>
              </v:shape>
              <v:shape style="position:absolute;left:3382;top:38;width:2453;height:349" type="#_x0000_t75" stroked="false">
                <v:imagedata r:id="rId239" o:title=""/>
              </v:shape>
            </v:group>
            <v:group style="position:absolute;left:15;top:1431;width:3387;height:2" coordorigin="15,1431" coordsize="3387,2">
              <v:shape style="position:absolute;left:15;top:1431;width:3387;height:2" coordorigin="15,1431" coordsize="3387,0" path="m15,1431l3401,1431e" filled="false" stroked="true" strokeweight="1.5pt" strokecolor="#000000">
                <v:path arrowok="t"/>
              </v:shape>
            </v:group>
            <v:group style="position:absolute;left:3401;top:1431;width:2405;height:2" coordorigin="3401,1431" coordsize="2405,2">
              <v:shape style="position:absolute;left:3401;top:1431;width:2405;height:2" coordorigin="3401,1431" coordsize="2405,0" path="m3401,1431l5806,1431e" filled="false" stroked="true" strokeweight="1.5pt" strokecolor="#000000">
                <v:path arrowok="t"/>
              </v:shape>
              <v:shape style="position:absolute;left:10;top:356;width:8225;height:1060" type="#_x0000_t75" stroked="false">
                <v:imagedata r:id="rId240" o:title=""/>
              </v:shape>
            </v:group>
            <v:group style="position:absolute;left:5806;top:1431;width:30;height:2" coordorigin="5806,1431" coordsize="30,2">
              <v:shape style="position:absolute;left:5806;top:1431;width:30;height:2" coordorigin="5806,1431" coordsize="30,0" path="m5806,1431l5836,1431e" filled="false" stroked="true" strokeweight="1.5pt" strokecolor="#000000">
                <v:path arrowok="t"/>
              </v:shape>
            </v:group>
            <v:group style="position:absolute;left:5836;top:1431;width:2381;height:2" coordorigin="5836,1431" coordsize="2381,2">
              <v:shape style="position:absolute;left:5836;top:1431;width:2381;height:2" coordorigin="5836,1431" coordsize="2381,0" path="m5836,1431l8217,1431e" filled="false" stroked="true" strokeweight="1.5pt" strokecolor="#000000">
                <v:path arrowok="t"/>
              </v:shape>
              <v:shape style="position:absolute;left:1557;top:118;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项目</w:t>
                      </w:r>
                      <w:r>
                        <w:rPr>
                          <w:rFonts w:ascii="宋体" w:hAnsi="宋体" w:cs="宋体" w:eastAsia="宋体" w:hint="default"/>
                          <w:sz w:val="16"/>
                          <w:szCs w:val="16"/>
                        </w:rPr>
                      </w:r>
                    </w:p>
                  </w:txbxContent>
                </v:textbox>
                <w10:wrap type="none"/>
              </v:shape>
              <v:shape style="position:absolute;left:4288;top:11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6694;top:11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年初余额</w:t>
                      </w:r>
                      <w:r>
                        <w:rPr>
                          <w:rFonts w:ascii="宋体" w:hAnsi="宋体" w:cs="宋体" w:eastAsia="宋体" w:hint="default"/>
                          <w:sz w:val="16"/>
                          <w:szCs w:val="16"/>
                        </w:rPr>
                      </w:r>
                    </w:p>
                  </w:txbxContent>
                </v:textbox>
                <w10:wrap type="none"/>
              </v:shape>
              <v:shape style="position:absolute;left:137;top:466;width:1400;height:169" type="#_x0000_t202" filled="false" stroked="false">
                <v:textbox inset="0,0,0,0">
                  <w:txbxContent>
                    <w:p>
                      <w:pPr>
                        <w:spacing w:line="168" w:lineRule="exact" w:before="0"/>
                        <w:ind w:left="0" w:right="0" w:firstLine="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年以内（含</w:t>
                      </w:r>
                      <w:r>
                        <w:rPr>
                          <w:rFonts w:ascii="宋体" w:hAnsi="宋体" w:cs="宋体" w:eastAsia="宋体" w:hint="default"/>
                          <w:spacing w:val="-42"/>
                          <w:sz w:val="16"/>
                          <w:szCs w:val="16"/>
                        </w:rPr>
                        <w:t> </w:t>
                      </w:r>
                      <w:r>
                        <w:rPr>
                          <w:rFonts w:ascii="Times New Roman" w:hAnsi="Times New Roman" w:cs="Times New Roman" w:eastAsia="Times New Roman" w:hint="default"/>
                          <w:sz w:val="16"/>
                          <w:szCs w:val="16"/>
                        </w:rPr>
                        <w:t>1 </w:t>
                      </w:r>
                      <w:r>
                        <w:rPr>
                          <w:rFonts w:ascii="宋体" w:hAnsi="宋体" w:cs="宋体" w:eastAsia="宋体" w:hint="default"/>
                          <w:sz w:val="16"/>
                          <w:szCs w:val="16"/>
                        </w:rPr>
                        <w:t>年）</w:t>
                      </w:r>
                    </w:p>
                  </w:txbxContent>
                </v:textbox>
                <w10:wrap type="none"/>
              </v:shape>
              <v:shape style="position:absolute;left:4703;top:480;width:100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121,357,552.14</w:t>
                      </w:r>
                      <w:r>
                        <w:rPr>
                          <w:rFonts w:ascii="Times New Roman"/>
                          <w:sz w:val="16"/>
                        </w:rPr>
                      </w:r>
                    </w:p>
                  </w:txbxContent>
                </v:textbox>
                <w10:wrap type="none"/>
              </v:shape>
              <v:shape style="position:absolute;left:7109;top:480;width:100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331,070,363.32</w:t>
                      </w:r>
                      <w:r>
                        <w:rPr>
                          <w:rFonts w:ascii="Times New Roman"/>
                          <w:sz w:val="16"/>
                        </w:rPr>
                      </w:r>
                    </w:p>
                  </w:txbxContent>
                </v:textbox>
                <w10:wrap type="none"/>
              </v:shape>
              <v:shape style="position:absolute;left:137;top:816;width:599;height:169" type="#_x0000_t202" filled="false" stroked="false">
                <v:textbox inset="0,0,0,0">
                  <w:txbxContent>
                    <w:p>
                      <w:pPr>
                        <w:spacing w:line="168" w:lineRule="exact" w:before="0"/>
                        <w:ind w:left="0" w:right="0" w:firstLine="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年以上</w:t>
                      </w:r>
                    </w:p>
                  </w:txbxContent>
                </v:textbox>
                <w10:wrap type="none"/>
              </v:shape>
              <v:shape style="position:absolute;left:4783;top:829;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25,068,335.76</w:t>
                      </w:r>
                      <w:r>
                        <w:rPr>
                          <w:rFonts w:ascii="Times New Roman"/>
                          <w:sz w:val="16"/>
                        </w:rPr>
                      </w:r>
                    </w:p>
                  </w:txbxContent>
                </v:textbox>
                <w10:wrap type="none"/>
              </v:shape>
              <v:shape style="position:absolute;left:7189;top:829;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21,766,482.63</w:t>
                      </w:r>
                      <w:r>
                        <w:rPr>
                          <w:rFonts w:ascii="Times New Roman"/>
                          <w:sz w:val="16"/>
                        </w:rPr>
                      </w:r>
                    </w:p>
                  </w:txbxContent>
                </v:textbox>
                <w10:wrap type="none"/>
              </v:shape>
              <v:shape style="position:absolute;left:1557;top:1165;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合计</w:t>
                      </w:r>
                      <w:r>
                        <w:rPr>
                          <w:rFonts w:ascii="宋体" w:hAnsi="宋体" w:cs="宋体" w:eastAsia="宋体" w:hint="default"/>
                          <w:sz w:val="16"/>
                          <w:szCs w:val="16"/>
                        </w:rPr>
                      </w:r>
                    </w:p>
                  </w:txbxContent>
                </v:textbox>
                <w10:wrap type="none"/>
              </v:shape>
              <v:shape style="position:absolute;left:4703;top:1178;width:100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146,425,887.90</w:t>
                      </w:r>
                      <w:r>
                        <w:rPr>
                          <w:rFonts w:ascii="Times New Roman"/>
                          <w:sz w:val="16"/>
                        </w:rPr>
                      </w:r>
                    </w:p>
                  </w:txbxContent>
                </v:textbox>
                <w10:wrap type="none"/>
              </v:shape>
              <v:shape style="position:absolute;left:7109;top:1178;width:100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352,836,845.95</w:t>
                      </w:r>
                      <w:r>
                        <w:rPr>
                          <w:rFonts w:ascii="Times New Roman"/>
                          <w:sz w:val="16"/>
                        </w:rPr>
                      </w:r>
                    </w:p>
                  </w:txbxContent>
                </v:textbox>
                <w10:wrap type="none"/>
              </v:shape>
            </v:group>
          </v:group>
        </w:pict>
      </w:r>
      <w:r>
        <w:rPr>
          <w:rFonts w:ascii="宋体" w:hAnsi="宋体" w:cs="宋体" w:eastAsia="宋体" w:hint="default"/>
          <w:position w:val="-28"/>
          <w:sz w:val="20"/>
          <w:szCs w:val="2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pStyle w:val="Heading5"/>
        <w:tabs>
          <w:tab w:pos="1397" w:val="left" w:leader="none"/>
        </w:tabs>
        <w:spacing w:line="240" w:lineRule="auto"/>
        <w:ind w:left="846" w:right="3681"/>
        <w:jc w:val="left"/>
        <w:rPr>
          <w:b w:val="0"/>
          <w:bCs w:val="0"/>
        </w:rPr>
      </w:pPr>
      <w:r>
        <w:rPr>
          <w:rFonts w:ascii="Times New Roman" w:hAnsi="Times New Roman" w:cs="Times New Roman" w:eastAsia="Times New Roman" w:hint="default"/>
          <w:w w:val="95"/>
        </w:rPr>
        <w:t>2</w:t>
      </w:r>
      <w:r>
        <w:rPr>
          <w:w w:val="95"/>
        </w:rPr>
        <w:t>、</w:t>
        <w:tab/>
      </w:r>
      <w:r>
        <w:rPr/>
        <w:t>账龄超过一年的重要预收款项</w:t>
      </w:r>
      <w:r>
        <w:rPr>
          <w:b w:val="0"/>
          <w:bCs w:val="0"/>
        </w:rPr>
      </w:r>
    </w:p>
    <w:p>
      <w:pPr>
        <w:spacing w:line="2493" w:lineRule="exact"/>
        <w:ind w:left="720" w:right="0" w:firstLine="0"/>
        <w:rPr>
          <w:rFonts w:ascii="宋体" w:hAnsi="宋体" w:cs="宋体" w:eastAsia="宋体" w:hint="default"/>
          <w:sz w:val="20"/>
          <w:szCs w:val="20"/>
        </w:rPr>
      </w:pPr>
      <w:r>
        <w:rPr>
          <w:rFonts w:ascii="宋体" w:hAnsi="宋体" w:cs="宋体" w:eastAsia="宋体" w:hint="default"/>
          <w:position w:val="-49"/>
          <w:sz w:val="20"/>
          <w:szCs w:val="20"/>
        </w:rPr>
        <w:pict>
          <v:group style="width:412pt;height:124.7pt;mso-position-horizontal-relative:char;mso-position-vertical-relative:line" coordorigin="0,0" coordsize="8240,2494">
            <v:group style="position:absolute;left:29;top:15;width:3764;height:2" coordorigin="29,15" coordsize="3764,2">
              <v:shape style="position:absolute;left:29;top:15;width:3764;height:2" coordorigin="29,15" coordsize="3764,0" path="m29,15l3793,15e" filled="false" stroked="true" strokeweight="1.5pt" strokecolor="#000000">
                <v:path arrowok="t"/>
              </v:shape>
              <v:shape style="position:absolute;left:3793;top:30;width:10;height:28" type="#_x0000_t75" stroked="false">
                <v:imagedata r:id="rId96" o:title=""/>
              </v:shape>
            </v:group>
            <v:group style="position:absolute;left:3793;top:15;width:2009;height:2" coordorigin="3793,15" coordsize="2009,2">
              <v:shape style="position:absolute;left:3793;top:15;width:2009;height:2" coordorigin="3793,15" coordsize="2009,0" path="m3793,15l5801,15e" filled="false" stroked="true" strokeweight="1.5pt" strokecolor="#000000">
                <v:path arrowok="t"/>
              </v:shape>
              <v:shape style="position:absolute;left:5801;top:30;width:10;height:28" type="#_x0000_t75" stroked="false">
                <v:imagedata r:id="rId96" o:title=""/>
              </v:shape>
            </v:group>
            <v:group style="position:absolute;left:5801;top:15;width:2416;height:2" coordorigin="5801,15" coordsize="2416,2">
              <v:shape style="position:absolute;left:5801;top:15;width:2416;height:2" coordorigin="5801,15" coordsize="2416,0" path="m5801,15l8217,15e" filled="false" stroked="true" strokeweight="1.5pt" strokecolor="#000000">
                <v:path arrowok="t"/>
              </v:shape>
              <v:shape style="position:absolute;left:3773;top:38;width:2057;height:350" type="#_x0000_t75" stroked="false">
                <v:imagedata r:id="rId241" o:title=""/>
              </v:shape>
            </v:group>
            <v:group style="position:absolute;left:15;top:2479;width:3778;height:2" coordorigin="15,2479" coordsize="3778,2">
              <v:shape style="position:absolute;left:15;top:2479;width:3778;height:2" coordorigin="15,2479" coordsize="3778,0" path="m15,2479l3793,2479e" filled="false" stroked="true" strokeweight="1.5pt" strokecolor="#000000">
                <v:path arrowok="t"/>
              </v:shape>
            </v:group>
            <v:group style="position:absolute;left:3793;top:2479;width:2009;height:2" coordorigin="3793,2479" coordsize="2009,2">
              <v:shape style="position:absolute;left:3793;top:2479;width:2009;height:2" coordorigin="3793,2479" coordsize="2009,0" path="m3793,2479l5801,2479e" filled="false" stroked="true" strokeweight="1.5pt" strokecolor="#000000">
                <v:path arrowok="t"/>
              </v:shape>
              <v:shape style="position:absolute;left:10;top:350;width:8230;height:2113" type="#_x0000_t75" stroked="false">
                <v:imagedata r:id="rId242" o:title=""/>
              </v:shape>
            </v:group>
            <v:group style="position:absolute;left:5801;top:2479;width:2416;height:2" coordorigin="5801,2479" coordsize="2416,2">
              <v:shape style="position:absolute;left:5801;top:2479;width:2416;height:2" coordorigin="5801,2479" coordsize="2416,0" path="m5801,2479l8217,2479e" filled="false" stroked="true" strokeweight="1.5pt" strokecolor="#000000">
                <v:path arrowok="t"/>
              </v:shape>
              <v:shape style="position:absolute;left:1753;top:118;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项目</w:t>
                      </w:r>
                      <w:r>
                        <w:rPr>
                          <w:rFonts w:ascii="宋体" w:hAnsi="宋体" w:cs="宋体" w:eastAsia="宋体" w:hint="default"/>
                          <w:sz w:val="16"/>
                          <w:szCs w:val="16"/>
                        </w:rPr>
                      </w:r>
                    </w:p>
                  </w:txbxContent>
                </v:textbox>
                <w10:wrap type="none"/>
              </v:shape>
              <v:shape style="position:absolute;left:4481;top:11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6291;top:118;width:14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未偿还或结转的原因</w:t>
                      </w:r>
                      <w:r>
                        <w:rPr>
                          <w:rFonts w:ascii="宋体" w:hAnsi="宋体" w:cs="宋体" w:eastAsia="宋体" w:hint="default"/>
                          <w:sz w:val="16"/>
                          <w:szCs w:val="16"/>
                        </w:rPr>
                      </w:r>
                    </w:p>
                  </w:txbxContent>
                </v:textbox>
                <w10:wrap type="none"/>
              </v:shape>
              <v:shape style="position:absolute;left:137;top:468;width:2559;height:509" type="#_x0000_t202" filled="false" stroked="false">
                <v:textbox inset="0,0,0,0">
                  <w:txbxContent>
                    <w:p>
                      <w:pPr>
                        <w:spacing w:line="172" w:lineRule="exact" w:before="0"/>
                        <w:ind w:left="0" w:right="0" w:firstLine="0"/>
                        <w:jc w:val="left"/>
                        <w:rPr>
                          <w:rFonts w:ascii="Times New Roman" w:hAnsi="Times New Roman" w:cs="Times New Roman" w:eastAsia="Times New Roman" w:hint="default"/>
                          <w:sz w:val="16"/>
                          <w:szCs w:val="16"/>
                        </w:rPr>
                      </w:pPr>
                      <w:r>
                        <w:rPr>
                          <w:rFonts w:ascii="宋体" w:hAnsi="宋体" w:cs="宋体" w:eastAsia="宋体" w:hint="default"/>
                          <w:sz w:val="16"/>
                          <w:szCs w:val="16"/>
                        </w:rPr>
                        <w:t>单位</w:t>
                      </w:r>
                      <w:r>
                        <w:rPr>
                          <w:rFonts w:ascii="宋体" w:hAnsi="宋体" w:cs="宋体" w:eastAsia="宋体" w:hint="default"/>
                          <w:spacing w:val="-42"/>
                          <w:sz w:val="16"/>
                          <w:szCs w:val="16"/>
                        </w:rPr>
                        <w:t> </w:t>
                      </w:r>
                      <w:r>
                        <w:rPr>
                          <w:rFonts w:ascii="Times New Roman" w:hAnsi="Times New Roman" w:cs="Times New Roman" w:eastAsia="Times New Roman" w:hint="default"/>
                          <w:sz w:val="16"/>
                          <w:szCs w:val="16"/>
                        </w:rPr>
                        <w:t>6</w:t>
                      </w:r>
                    </w:p>
                    <w:p>
                      <w:pPr>
                        <w:spacing w:before="127"/>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成都鼎盛中原电子技术服务有限公司</w:t>
                      </w:r>
                      <w:r>
                        <w:rPr>
                          <w:rFonts w:ascii="宋体" w:hAnsi="宋体" w:cs="宋体" w:eastAsia="宋体" w:hint="default"/>
                          <w:sz w:val="16"/>
                          <w:szCs w:val="16"/>
                        </w:rPr>
                      </w:r>
                    </w:p>
                  </w:txbxContent>
                </v:textbox>
                <w10:wrap type="none"/>
              </v:shape>
              <v:shape style="position:absolute;left:4858;top:481;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3,699,219.00</w:t>
                      </w:r>
                      <w:r>
                        <w:rPr>
                          <w:rFonts w:ascii="Times New Roman"/>
                          <w:sz w:val="16"/>
                        </w:rPr>
                      </w:r>
                    </w:p>
                  </w:txbxContent>
                </v:textbox>
                <w10:wrap type="none"/>
              </v:shape>
              <v:shape style="position:absolute;left:6771;top:468;width:4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未结算</w:t>
                      </w:r>
                      <w:r>
                        <w:rPr>
                          <w:rFonts w:ascii="宋体" w:hAnsi="宋体" w:cs="宋体" w:eastAsia="宋体" w:hint="default"/>
                          <w:sz w:val="16"/>
                          <w:szCs w:val="16"/>
                        </w:rPr>
                      </w:r>
                    </w:p>
                  </w:txbxContent>
                </v:textbox>
                <w10:wrap type="none"/>
              </v:shape>
              <v:shape style="position:absolute;left:4858;top:830;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2,109,310.00</w:t>
                      </w:r>
                      <w:r>
                        <w:rPr>
                          <w:rFonts w:ascii="Times New Roman"/>
                          <w:sz w:val="16"/>
                        </w:rPr>
                      </w:r>
                    </w:p>
                  </w:txbxContent>
                </v:textbox>
                <w10:wrap type="none"/>
              </v:shape>
              <v:shape style="position:absolute;left:6771;top:817;width:4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未结算</w:t>
                      </w:r>
                      <w:r>
                        <w:rPr>
                          <w:rFonts w:ascii="宋体" w:hAnsi="宋体" w:cs="宋体" w:eastAsia="宋体" w:hint="default"/>
                          <w:sz w:val="16"/>
                          <w:szCs w:val="16"/>
                        </w:rPr>
                      </w:r>
                    </w:p>
                  </w:txbxContent>
                </v:textbox>
                <w10:wrap type="none"/>
              </v:shape>
              <v:shape style="position:absolute;left:137;top:1166;width:439;height:169" type="#_x0000_t202" filled="false" stroked="false">
                <v:textbox inset="0,0,0,0">
                  <w:txbxContent>
                    <w:p>
                      <w:pPr>
                        <w:spacing w:line="168" w:lineRule="exact" w:before="0"/>
                        <w:ind w:left="0" w:right="0" w:firstLine="0"/>
                        <w:jc w:val="left"/>
                        <w:rPr>
                          <w:rFonts w:ascii="Times New Roman" w:hAnsi="Times New Roman" w:cs="Times New Roman" w:eastAsia="Times New Roman" w:hint="default"/>
                          <w:sz w:val="16"/>
                          <w:szCs w:val="16"/>
                        </w:rPr>
                      </w:pPr>
                      <w:r>
                        <w:rPr>
                          <w:rFonts w:ascii="宋体" w:hAnsi="宋体" w:cs="宋体" w:eastAsia="宋体" w:hint="default"/>
                          <w:sz w:val="16"/>
                          <w:szCs w:val="16"/>
                        </w:rPr>
                        <w:t>单位</w:t>
                      </w:r>
                      <w:r>
                        <w:rPr>
                          <w:rFonts w:ascii="宋体" w:hAnsi="宋体" w:cs="宋体" w:eastAsia="宋体" w:hint="default"/>
                          <w:spacing w:val="-42"/>
                          <w:sz w:val="16"/>
                          <w:szCs w:val="16"/>
                        </w:rPr>
                        <w:t> </w:t>
                      </w:r>
                      <w:r>
                        <w:rPr>
                          <w:rFonts w:ascii="Times New Roman" w:hAnsi="Times New Roman" w:cs="Times New Roman" w:eastAsia="Times New Roman" w:hint="default"/>
                          <w:sz w:val="16"/>
                          <w:szCs w:val="16"/>
                        </w:rPr>
                        <w:t>7</w:t>
                      </w:r>
                    </w:p>
                  </w:txbxContent>
                </v:textbox>
                <w10:wrap type="none"/>
              </v:shape>
              <v:shape style="position:absolute;left:4858;top:1180;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1,937,773.91</w:t>
                      </w:r>
                      <w:r>
                        <w:rPr>
                          <w:rFonts w:ascii="Times New Roman"/>
                          <w:sz w:val="16"/>
                        </w:rPr>
                      </w:r>
                    </w:p>
                  </w:txbxContent>
                </v:textbox>
                <w10:wrap type="none"/>
              </v:shape>
              <v:shape style="position:absolute;left:6771;top:1166;width:4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未结算</w:t>
                      </w:r>
                      <w:r>
                        <w:rPr>
                          <w:rFonts w:ascii="宋体" w:hAnsi="宋体" w:cs="宋体" w:eastAsia="宋体" w:hint="default"/>
                          <w:sz w:val="16"/>
                          <w:szCs w:val="16"/>
                        </w:rPr>
                      </w:r>
                    </w:p>
                  </w:txbxContent>
                </v:textbox>
                <w10:wrap type="none"/>
              </v:shape>
              <v:shape style="position:absolute;left:137;top:1529;width:1844;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z w:val="16"/>
                        </w:rPr>
                        <w:t>EMC HOLDINGS</w:t>
                      </w:r>
                      <w:r>
                        <w:rPr>
                          <w:rFonts w:ascii="Times New Roman"/>
                          <w:spacing w:val="-3"/>
                          <w:sz w:val="16"/>
                        </w:rPr>
                        <w:t> CO.,LTD</w:t>
                      </w:r>
                    </w:p>
                  </w:txbxContent>
                </v:textbox>
                <w10:wrap type="none"/>
              </v:shape>
              <v:shape style="position:absolute;left:4859;top:1529;width:84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1,132,647.63</w:t>
                      </w:r>
                      <w:r>
                        <w:rPr>
                          <w:rFonts w:ascii="Times New Roman"/>
                          <w:sz w:val="16"/>
                        </w:rPr>
                      </w:r>
                    </w:p>
                  </w:txbxContent>
                </v:textbox>
                <w10:wrap type="none"/>
              </v:shape>
              <v:shape style="position:absolute;left:6771;top:1515;width:4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未结算</w:t>
                      </w:r>
                      <w:r>
                        <w:rPr>
                          <w:rFonts w:ascii="宋体" w:hAnsi="宋体" w:cs="宋体" w:eastAsia="宋体" w:hint="default"/>
                          <w:sz w:val="16"/>
                          <w:szCs w:val="16"/>
                        </w:rPr>
                      </w:r>
                    </w:p>
                  </w:txbxContent>
                </v:textbox>
                <w10:wrap type="none"/>
              </v:shape>
              <v:shape style="position:absolute;left:137;top:1863;width:2718;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国网四川省电力公司仁寿县供电分公司</w:t>
                      </w:r>
                      <w:r>
                        <w:rPr>
                          <w:rFonts w:ascii="宋体" w:hAnsi="宋体" w:cs="宋体" w:eastAsia="宋体" w:hint="default"/>
                          <w:sz w:val="16"/>
                          <w:szCs w:val="16"/>
                        </w:rPr>
                      </w:r>
                    </w:p>
                  </w:txbxContent>
                </v:textbox>
                <w10:wrap type="none"/>
              </v:shape>
              <v:shape style="position:absolute;left:4978;top:1877;width:7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930,268.90</w:t>
                      </w:r>
                      <w:r>
                        <w:rPr>
                          <w:rFonts w:ascii="Times New Roman"/>
                          <w:sz w:val="16"/>
                        </w:rPr>
                      </w:r>
                    </w:p>
                  </w:txbxContent>
                </v:textbox>
                <w10:wrap type="none"/>
              </v:shape>
              <v:shape style="position:absolute;left:6771;top:1863;width:4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未结算</w:t>
                      </w:r>
                      <w:r>
                        <w:rPr>
                          <w:rFonts w:ascii="宋体" w:hAnsi="宋体" w:cs="宋体" w:eastAsia="宋体" w:hint="default"/>
                          <w:sz w:val="16"/>
                          <w:szCs w:val="16"/>
                        </w:rPr>
                      </w:r>
                    </w:p>
                  </w:txbxContent>
                </v:textbox>
                <w10:wrap type="none"/>
              </v:shape>
              <v:shape style="position:absolute;left:137;top:2226;width:167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z w:val="16"/>
                        </w:rPr>
                        <w:t>Greatwall Korea Co.,</w:t>
                      </w:r>
                      <w:r>
                        <w:rPr>
                          <w:rFonts w:ascii="Times New Roman"/>
                          <w:spacing w:val="-9"/>
                          <w:sz w:val="16"/>
                        </w:rPr>
                        <w:t> </w:t>
                      </w:r>
                      <w:r>
                        <w:rPr>
                          <w:rFonts w:ascii="Times New Roman"/>
                          <w:sz w:val="16"/>
                        </w:rPr>
                        <w:t>Ltd.</w:t>
                      </w:r>
                    </w:p>
                  </w:txbxContent>
                </v:textbox>
                <w10:wrap type="none"/>
              </v:shape>
              <v:shape style="position:absolute;left:4980;top:2226;width:720;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395,059.00</w:t>
                      </w:r>
                      <w:r>
                        <w:rPr>
                          <w:rFonts w:ascii="Times New Roman"/>
                          <w:sz w:val="16"/>
                        </w:rPr>
                      </w:r>
                    </w:p>
                  </w:txbxContent>
                </v:textbox>
                <w10:wrap type="none"/>
              </v:shape>
              <v:shape style="position:absolute;left:6771;top:2212;width:4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未结算</w:t>
                      </w:r>
                      <w:r>
                        <w:rPr>
                          <w:rFonts w:ascii="宋体" w:hAnsi="宋体" w:cs="宋体" w:eastAsia="宋体" w:hint="default"/>
                          <w:sz w:val="16"/>
                          <w:szCs w:val="16"/>
                        </w:rPr>
                      </w:r>
                    </w:p>
                  </w:txbxContent>
                </v:textbox>
                <w10:wrap type="none"/>
              </v:shape>
            </v:group>
          </v:group>
        </w:pict>
      </w:r>
      <w:r>
        <w:rPr>
          <w:rFonts w:ascii="宋体" w:hAnsi="宋体" w:cs="宋体" w:eastAsia="宋体" w:hint="default"/>
          <w:position w:val="-49"/>
          <w:sz w:val="20"/>
          <w:szCs w:val="20"/>
        </w:rPr>
      </w:r>
    </w:p>
    <w:p>
      <w:pPr>
        <w:spacing w:after="0" w:line="2493" w:lineRule="exact"/>
        <w:rPr>
          <w:rFonts w:ascii="宋体" w:hAnsi="宋体" w:cs="宋体" w:eastAsia="宋体" w:hint="default"/>
          <w:sz w:val="20"/>
          <w:szCs w:val="20"/>
        </w:rPr>
        <w:sectPr>
          <w:pgSz w:w="11910" w:h="16840"/>
          <w:pgMar w:header="0" w:footer="1001" w:top="1520" w:bottom="1200" w:left="1660" w:right="0"/>
        </w:sectPr>
      </w:pPr>
    </w:p>
    <w:p>
      <w:pPr>
        <w:spacing w:line="240" w:lineRule="auto" w:before="4"/>
        <w:rPr>
          <w:rFonts w:ascii="宋体" w:hAnsi="宋体" w:cs="宋体" w:eastAsia="宋体" w:hint="default"/>
          <w:b/>
          <w:bCs/>
          <w:sz w:val="10"/>
          <w:szCs w:val="10"/>
        </w:rPr>
      </w:pPr>
    </w:p>
    <w:tbl>
      <w:tblPr>
        <w:tblW w:w="0" w:type="auto"/>
        <w:jc w:val="left"/>
        <w:tblInd w:w="787" w:type="dxa"/>
        <w:tblLayout w:type="fixed"/>
        <w:tblCellMar>
          <w:top w:w="0" w:type="dxa"/>
          <w:left w:w="0" w:type="dxa"/>
          <w:bottom w:w="0" w:type="dxa"/>
          <w:right w:w="0" w:type="dxa"/>
        </w:tblCellMar>
        <w:tblLook w:val="01E0"/>
      </w:tblPr>
      <w:tblGrid>
        <w:gridCol w:w="3469"/>
        <w:gridCol w:w="2459"/>
        <w:gridCol w:w="1769"/>
      </w:tblGrid>
      <w:tr>
        <w:trPr>
          <w:trHeight w:val="714" w:hRule="exact"/>
        </w:trPr>
        <w:tc>
          <w:tcPr>
            <w:tcW w:w="3469"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685" w:right="0"/>
              <w:jc w:val="left"/>
              <w:rPr>
                <w:rFonts w:ascii="宋体" w:hAnsi="宋体" w:cs="宋体" w:eastAsia="宋体" w:hint="default"/>
                <w:sz w:val="16"/>
                <w:szCs w:val="16"/>
              </w:rPr>
            </w:pPr>
            <w:r>
              <w:rPr>
                <w:rFonts w:ascii="宋体" w:hAnsi="宋体" w:cs="宋体" w:eastAsia="宋体" w:hint="default"/>
                <w:sz w:val="16"/>
                <w:szCs w:val="16"/>
              </w:rPr>
              <w:t>项目</w:t>
            </w:r>
          </w:p>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left="70" w:right="0"/>
              <w:jc w:val="left"/>
              <w:rPr>
                <w:rFonts w:ascii="Times New Roman" w:hAnsi="Times New Roman" w:cs="Times New Roman" w:eastAsia="Times New Roman" w:hint="default"/>
                <w:sz w:val="16"/>
                <w:szCs w:val="16"/>
              </w:rPr>
            </w:pPr>
            <w:r>
              <w:rPr>
                <w:rFonts w:ascii="Times New Roman"/>
                <w:sz w:val="16"/>
              </w:rPr>
              <w:t>MONDOWEST</w:t>
            </w:r>
            <w:r>
              <w:rPr>
                <w:rFonts w:ascii="Times New Roman"/>
                <w:spacing w:val="-14"/>
                <w:sz w:val="16"/>
              </w:rPr>
              <w:t> </w:t>
            </w:r>
            <w:r>
              <w:rPr>
                <w:rFonts w:ascii="Times New Roman"/>
                <w:sz w:val="16"/>
              </w:rPr>
              <w:t>LIMITED</w:t>
            </w:r>
          </w:p>
        </w:tc>
        <w:tc>
          <w:tcPr>
            <w:tcW w:w="2459" w:type="dxa"/>
            <w:tcBorders>
              <w:top w:val="nil" w:sz="6" w:space="0" w:color="auto"/>
              <w:left w:val="nil" w:sz="6" w:space="0" w:color="auto"/>
              <w:bottom w:val="nil" w:sz="6" w:space="0" w:color="auto"/>
              <w:right w:val="nil" w:sz="6" w:space="0" w:color="auto"/>
            </w:tcBorders>
          </w:tcPr>
          <w:p>
            <w:pPr>
              <w:pStyle w:val="TableParagraph"/>
              <w:spacing w:line="240" w:lineRule="auto" w:before="53"/>
              <w:ind w:left="68" w:right="0"/>
              <w:jc w:val="center"/>
              <w:rPr>
                <w:rFonts w:ascii="宋体" w:hAnsi="宋体" w:cs="宋体" w:eastAsia="宋体" w:hint="default"/>
                <w:sz w:val="16"/>
                <w:szCs w:val="16"/>
              </w:rPr>
            </w:pPr>
            <w:r>
              <w:rPr>
                <w:rFonts w:ascii="宋体" w:hAnsi="宋体" w:cs="宋体" w:eastAsia="宋体" w:hint="default"/>
                <w:sz w:val="16"/>
                <w:szCs w:val="16"/>
              </w:rPr>
              <w:t>期末余额</w:t>
            </w:r>
          </w:p>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left="1441" w:right="0"/>
              <w:jc w:val="left"/>
              <w:rPr>
                <w:rFonts w:ascii="Times New Roman" w:hAnsi="Times New Roman" w:cs="Times New Roman" w:eastAsia="Times New Roman" w:hint="default"/>
                <w:sz w:val="16"/>
                <w:szCs w:val="16"/>
              </w:rPr>
            </w:pPr>
            <w:r>
              <w:rPr>
                <w:rFonts w:ascii="Times New Roman"/>
                <w:sz w:val="16"/>
              </w:rPr>
              <w:t>368,235.72</w:t>
            </w:r>
          </w:p>
        </w:tc>
        <w:tc>
          <w:tcPr>
            <w:tcW w:w="1769" w:type="dxa"/>
            <w:tcBorders>
              <w:top w:val="nil" w:sz="6" w:space="0" w:color="auto"/>
              <w:left w:val="nil" w:sz="6" w:space="0" w:color="auto"/>
              <w:bottom w:val="nil" w:sz="6" w:space="0" w:color="auto"/>
              <w:right w:val="nil" w:sz="6" w:space="0" w:color="auto"/>
            </w:tcBorders>
          </w:tcPr>
          <w:p>
            <w:pPr>
              <w:pStyle w:val="TableParagraph"/>
              <w:spacing w:line="400" w:lineRule="auto" w:before="53"/>
              <w:ind w:left="775" w:right="33" w:hanging="480"/>
              <w:jc w:val="left"/>
              <w:rPr>
                <w:rFonts w:ascii="宋体" w:hAnsi="宋体" w:cs="宋体" w:eastAsia="宋体" w:hint="default"/>
                <w:sz w:val="16"/>
                <w:szCs w:val="16"/>
              </w:rPr>
            </w:pPr>
            <w:r>
              <w:rPr>
                <w:rFonts w:ascii="宋体" w:hAnsi="宋体" w:cs="宋体" w:eastAsia="宋体" w:hint="default"/>
                <w:sz w:val="16"/>
                <w:szCs w:val="16"/>
              </w:rPr>
              <w:t>未偿还或结转的原因</w:t>
            </w:r>
            <w:r>
              <w:rPr>
                <w:rFonts w:ascii="宋体" w:hAnsi="宋体" w:cs="宋体" w:eastAsia="宋体" w:hint="default"/>
                <w:w w:val="99"/>
                <w:sz w:val="16"/>
                <w:szCs w:val="16"/>
              </w:rPr>
              <w:t> </w:t>
            </w:r>
            <w:r>
              <w:rPr>
                <w:rFonts w:ascii="宋体" w:hAnsi="宋体" w:cs="宋体" w:eastAsia="宋体" w:hint="default"/>
                <w:sz w:val="16"/>
                <w:szCs w:val="16"/>
              </w:rPr>
              <w:t>未结算</w:t>
            </w:r>
          </w:p>
        </w:tc>
      </w:tr>
      <w:tr>
        <w:trPr>
          <w:trHeight w:val="349" w:hRule="exact"/>
        </w:trPr>
        <w:tc>
          <w:tcPr>
            <w:tcW w:w="3469" w:type="dxa"/>
            <w:tcBorders>
              <w:top w:val="nil" w:sz="6" w:space="0" w:color="auto"/>
              <w:left w:val="nil" w:sz="6" w:space="0" w:color="auto"/>
              <w:bottom w:val="nil" w:sz="6" w:space="0" w:color="auto"/>
              <w:right w:val="nil" w:sz="6" w:space="0" w:color="auto"/>
            </w:tcBorders>
          </w:tcPr>
          <w:p>
            <w:pPr>
              <w:pStyle w:val="TableParagraph"/>
              <w:spacing w:line="240" w:lineRule="auto" w:before="80"/>
              <w:ind w:left="70" w:right="0"/>
              <w:jc w:val="left"/>
              <w:rPr>
                <w:rFonts w:ascii="Times New Roman" w:hAnsi="Times New Roman" w:cs="Times New Roman" w:eastAsia="Times New Roman" w:hint="default"/>
                <w:sz w:val="16"/>
                <w:szCs w:val="16"/>
              </w:rPr>
            </w:pPr>
            <w:r>
              <w:rPr>
                <w:rFonts w:ascii="Times New Roman"/>
                <w:sz w:val="16"/>
              </w:rPr>
              <w:t>ORION COMMUNICATION</w:t>
            </w:r>
            <w:r>
              <w:rPr>
                <w:rFonts w:ascii="Times New Roman"/>
                <w:spacing w:val="-29"/>
                <w:sz w:val="16"/>
              </w:rPr>
              <w:t> </w:t>
            </w:r>
            <w:r>
              <w:rPr>
                <w:rFonts w:ascii="Times New Roman"/>
                <w:sz w:val="16"/>
              </w:rPr>
              <w:t>Co.,Ltd</w:t>
            </w:r>
          </w:p>
        </w:tc>
        <w:tc>
          <w:tcPr>
            <w:tcW w:w="2459"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93"/>
              <w:jc w:val="right"/>
              <w:rPr>
                <w:rFonts w:ascii="Times New Roman" w:hAnsi="Times New Roman" w:cs="Times New Roman" w:eastAsia="Times New Roman" w:hint="default"/>
                <w:sz w:val="16"/>
                <w:szCs w:val="16"/>
              </w:rPr>
            </w:pPr>
            <w:r>
              <w:rPr>
                <w:rFonts w:ascii="Times New Roman"/>
                <w:spacing w:val="-1"/>
                <w:sz w:val="16"/>
              </w:rPr>
              <w:t>362,771.69</w:t>
            </w:r>
          </w:p>
        </w:tc>
        <w:tc>
          <w:tcPr>
            <w:tcW w:w="176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14"/>
              <w:jc w:val="right"/>
              <w:rPr>
                <w:rFonts w:ascii="宋体" w:hAnsi="宋体" w:cs="宋体" w:eastAsia="宋体" w:hint="default"/>
                <w:sz w:val="16"/>
                <w:szCs w:val="16"/>
              </w:rPr>
            </w:pPr>
            <w:r>
              <w:rPr>
                <w:rFonts w:ascii="宋体" w:hAnsi="宋体" w:cs="宋体" w:eastAsia="宋体" w:hint="default"/>
                <w:w w:val="95"/>
                <w:sz w:val="16"/>
                <w:szCs w:val="16"/>
              </w:rPr>
              <w:t>未结算</w:t>
            </w:r>
            <w:r>
              <w:rPr>
                <w:rFonts w:ascii="宋体" w:hAnsi="宋体" w:cs="宋体" w:eastAsia="宋体" w:hint="default"/>
                <w:sz w:val="16"/>
                <w:szCs w:val="16"/>
              </w:rPr>
            </w:r>
          </w:p>
        </w:tc>
      </w:tr>
      <w:tr>
        <w:trPr>
          <w:trHeight w:val="349" w:hRule="exact"/>
        </w:trPr>
        <w:tc>
          <w:tcPr>
            <w:tcW w:w="346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宋体" w:hAnsi="宋体" w:cs="宋体" w:eastAsia="宋体" w:hint="default"/>
                <w:sz w:val="16"/>
                <w:szCs w:val="16"/>
              </w:rPr>
              <w:t>郁南县教育局</w:t>
            </w:r>
          </w:p>
        </w:tc>
        <w:tc>
          <w:tcPr>
            <w:tcW w:w="2459"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94"/>
              <w:jc w:val="right"/>
              <w:rPr>
                <w:rFonts w:ascii="Times New Roman" w:hAnsi="Times New Roman" w:cs="Times New Roman" w:eastAsia="Times New Roman" w:hint="default"/>
                <w:sz w:val="16"/>
                <w:szCs w:val="16"/>
              </w:rPr>
            </w:pPr>
            <w:r>
              <w:rPr>
                <w:rFonts w:ascii="Times New Roman"/>
                <w:spacing w:val="-1"/>
                <w:sz w:val="16"/>
              </w:rPr>
              <w:t>252,424.50</w:t>
            </w:r>
          </w:p>
        </w:tc>
        <w:tc>
          <w:tcPr>
            <w:tcW w:w="176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14"/>
              <w:jc w:val="right"/>
              <w:rPr>
                <w:rFonts w:ascii="宋体" w:hAnsi="宋体" w:cs="宋体" w:eastAsia="宋体" w:hint="default"/>
                <w:sz w:val="16"/>
                <w:szCs w:val="16"/>
              </w:rPr>
            </w:pPr>
            <w:r>
              <w:rPr>
                <w:rFonts w:ascii="宋体" w:hAnsi="宋体" w:cs="宋体" w:eastAsia="宋体" w:hint="default"/>
                <w:w w:val="95"/>
                <w:sz w:val="16"/>
                <w:szCs w:val="16"/>
              </w:rPr>
              <w:t>未结算</w:t>
            </w:r>
            <w:r>
              <w:rPr>
                <w:rFonts w:ascii="宋体" w:hAnsi="宋体" w:cs="宋体" w:eastAsia="宋体" w:hint="default"/>
                <w:sz w:val="16"/>
                <w:szCs w:val="16"/>
              </w:rPr>
            </w:r>
          </w:p>
        </w:tc>
      </w:tr>
      <w:tr>
        <w:trPr>
          <w:trHeight w:val="349" w:hRule="exact"/>
        </w:trPr>
        <w:tc>
          <w:tcPr>
            <w:tcW w:w="346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宋体" w:hAnsi="宋体" w:cs="宋体" w:eastAsia="宋体" w:hint="default"/>
                <w:sz w:val="16"/>
                <w:szCs w:val="16"/>
              </w:rPr>
              <w:t>深圳华智融科技有限公司</w:t>
            </w:r>
          </w:p>
        </w:tc>
        <w:tc>
          <w:tcPr>
            <w:tcW w:w="2459"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94"/>
              <w:jc w:val="right"/>
              <w:rPr>
                <w:rFonts w:ascii="Times New Roman" w:hAnsi="Times New Roman" w:cs="Times New Roman" w:eastAsia="Times New Roman" w:hint="default"/>
                <w:sz w:val="16"/>
                <w:szCs w:val="16"/>
              </w:rPr>
            </w:pPr>
            <w:r>
              <w:rPr>
                <w:rFonts w:ascii="Times New Roman"/>
                <w:spacing w:val="-1"/>
                <w:sz w:val="16"/>
              </w:rPr>
              <w:t>242,400.00</w:t>
            </w:r>
          </w:p>
        </w:tc>
        <w:tc>
          <w:tcPr>
            <w:tcW w:w="176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512"/>
              <w:jc w:val="right"/>
              <w:rPr>
                <w:rFonts w:ascii="宋体" w:hAnsi="宋体" w:cs="宋体" w:eastAsia="宋体" w:hint="default"/>
                <w:sz w:val="16"/>
                <w:szCs w:val="16"/>
              </w:rPr>
            </w:pPr>
            <w:r>
              <w:rPr>
                <w:rFonts w:ascii="宋体" w:hAnsi="宋体" w:cs="宋体" w:eastAsia="宋体" w:hint="default"/>
                <w:w w:val="95"/>
                <w:sz w:val="16"/>
                <w:szCs w:val="16"/>
              </w:rPr>
              <w:t>未结算</w:t>
            </w:r>
            <w:r>
              <w:rPr>
                <w:rFonts w:ascii="宋体" w:hAnsi="宋体" w:cs="宋体" w:eastAsia="宋体" w:hint="default"/>
                <w:sz w:val="16"/>
                <w:szCs w:val="16"/>
              </w:rPr>
            </w:r>
          </w:p>
        </w:tc>
      </w:tr>
      <w:tr>
        <w:trPr>
          <w:trHeight w:val="354" w:hRule="exact"/>
        </w:trPr>
        <w:tc>
          <w:tcPr>
            <w:tcW w:w="3469" w:type="dxa"/>
            <w:tcBorders>
              <w:top w:val="nil" w:sz="6" w:space="0" w:color="auto"/>
              <w:left w:val="nil" w:sz="6" w:space="0" w:color="auto"/>
              <w:bottom w:val="nil" w:sz="6" w:space="0" w:color="auto"/>
              <w:right w:val="nil" w:sz="6" w:space="0" w:color="auto"/>
            </w:tcBorders>
          </w:tcPr>
          <w:p>
            <w:pPr>
              <w:pStyle w:val="TableParagraph"/>
              <w:spacing w:line="240" w:lineRule="auto" w:before="37"/>
              <w:ind w:left="220" w:right="0"/>
              <w:jc w:val="center"/>
              <w:rPr>
                <w:rFonts w:ascii="宋体" w:hAnsi="宋体" w:cs="宋体" w:eastAsia="宋体" w:hint="default"/>
                <w:sz w:val="16"/>
                <w:szCs w:val="16"/>
              </w:rPr>
            </w:pPr>
            <w:r>
              <w:rPr>
                <w:rFonts w:ascii="宋体" w:hAnsi="宋体" w:cs="宋体" w:eastAsia="宋体" w:hint="default"/>
                <w:sz w:val="16"/>
                <w:szCs w:val="16"/>
              </w:rPr>
              <w:t>合计</w:t>
            </w:r>
          </w:p>
        </w:tc>
        <w:tc>
          <w:tcPr>
            <w:tcW w:w="2459"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94"/>
              <w:jc w:val="right"/>
              <w:rPr>
                <w:rFonts w:ascii="Times New Roman" w:hAnsi="Times New Roman" w:cs="Times New Roman" w:eastAsia="Times New Roman" w:hint="default"/>
                <w:sz w:val="16"/>
                <w:szCs w:val="16"/>
              </w:rPr>
            </w:pPr>
            <w:r>
              <w:rPr>
                <w:rFonts w:ascii="Times New Roman"/>
                <w:spacing w:val="-2"/>
                <w:sz w:val="16"/>
              </w:rPr>
              <w:t>11,430,110.35</w:t>
            </w:r>
          </w:p>
        </w:tc>
        <w:tc>
          <w:tcPr>
            <w:tcW w:w="1769"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6"/>
          <w:szCs w:val="16"/>
        </w:rPr>
      </w:pPr>
    </w:p>
    <w:p>
      <w:pPr>
        <w:pStyle w:val="Heading5"/>
        <w:spacing w:line="240" w:lineRule="auto"/>
        <w:ind w:right="3681"/>
        <w:jc w:val="left"/>
        <w:rPr>
          <w:b w:val="0"/>
          <w:bCs w:val="0"/>
        </w:rPr>
      </w:pPr>
      <w:r>
        <w:rPr/>
        <w:pict>
          <v:group style="position:absolute;margin-left:119.010002pt;margin-top:-130.106186pt;width:412pt;height:107.25pt;mso-position-horizontal-relative:page;mso-position-vertical-relative:paragraph;z-index:-1382992" coordorigin="2380,-2602" coordsize="8240,2145">
            <v:group style="position:absolute;left:2410;top:-2587;width:3764;height:2" coordorigin="2410,-2587" coordsize="3764,2">
              <v:shape style="position:absolute;left:2410;top:-2587;width:3764;height:2" coordorigin="2410,-2587" coordsize="3764,0" path="m2410,-2587l6173,-2587e" filled="false" stroked="true" strokeweight="1.5pt" strokecolor="#000000">
                <v:path arrowok="t"/>
              </v:shape>
              <v:shape style="position:absolute;left:6173;top:-2572;width:10;height:28" type="#_x0000_t75" stroked="false">
                <v:imagedata r:id="rId37" o:title=""/>
              </v:shape>
            </v:group>
            <v:group style="position:absolute;left:6173;top:-2587;width:2009;height:2" coordorigin="6173,-2587" coordsize="2009,2">
              <v:shape style="position:absolute;left:6173;top:-2587;width:2009;height:2" coordorigin="6173,-2587" coordsize="2009,0" path="m6173,-2587l8182,-2587e" filled="false" stroked="true" strokeweight="1.5pt" strokecolor="#000000">
                <v:path arrowok="t"/>
              </v:shape>
              <v:shape style="position:absolute;left:8182;top:-2572;width:10;height:28" type="#_x0000_t75" stroked="false">
                <v:imagedata r:id="rId37" o:title=""/>
              </v:shape>
            </v:group>
            <v:group style="position:absolute;left:8182;top:-2587;width:2416;height:2" coordorigin="8182,-2587" coordsize="2416,2">
              <v:shape style="position:absolute;left:8182;top:-2587;width:2416;height:2" coordorigin="8182,-2587" coordsize="2416,0" path="m8182,-2587l10597,-2587e" filled="false" stroked="true" strokeweight="1.5pt" strokecolor="#000000">
                <v:path arrowok="t"/>
              </v:shape>
              <v:shape style="position:absolute;left:6154;top:-2564;width:2057;height:350" type="#_x0000_t75" stroked="false">
                <v:imagedata r:id="rId243" o:title=""/>
              </v:shape>
            </v:group>
            <v:group style="position:absolute;left:2395;top:-473;width:3778;height:2" coordorigin="2395,-473" coordsize="3778,2">
              <v:shape style="position:absolute;left:2395;top:-473;width:3778;height:2" coordorigin="2395,-473" coordsize="3778,0" path="m2395,-473l6173,-473e" filled="false" stroked="true" strokeweight="1.5pt" strokecolor="#000000">
                <v:path arrowok="t"/>
              </v:shape>
            </v:group>
            <v:group style="position:absolute;left:6173;top:-473;width:2009;height:2" coordorigin="6173,-473" coordsize="2009,2">
              <v:shape style="position:absolute;left:6173;top:-473;width:2009;height:2" coordorigin="6173,-473" coordsize="2009,0" path="m6173,-473l8182,-473e" filled="false" stroked="true" strokeweight="1.5pt" strokecolor="#000000">
                <v:path arrowok="t"/>
              </v:shape>
              <v:shape style="position:absolute;left:2390;top:-2252;width:8230;height:1764" type="#_x0000_t75" stroked="false">
                <v:imagedata r:id="rId244" o:title=""/>
              </v:shape>
            </v:group>
            <v:group style="position:absolute;left:8182;top:-473;width:2416;height:2" coordorigin="8182,-473" coordsize="2416,2">
              <v:shape style="position:absolute;left:8182;top:-473;width:2416;height:2" coordorigin="8182,-473" coordsize="2416,0" path="m8182,-473l10597,-473e" filled="false" stroked="true" strokeweight="1.5pt" strokecolor="#000000">
                <v:path arrowok="t"/>
              </v:shape>
            </v:group>
            <w10:wrap type="none"/>
          </v:group>
        </w:pict>
      </w:r>
      <w:r>
        <w:rPr/>
        <w:pict>
          <v:group style="position:absolute;margin-left:119.520004pt;margin-top:38.613487pt;width:411.3pt;height:121.7pt;mso-position-horizontal-relative:page;mso-position-vertical-relative:paragraph;z-index:-1382968" coordorigin="2390,772" coordsize="8226,2434">
            <v:shape style="position:absolute;left:4775;top:772;width:10;height:28" type="#_x0000_t75" stroked="false">
              <v:imagedata r:id="rId42" o:title=""/>
            </v:shape>
            <v:shape style="position:absolute;left:6172;top:772;width:10;height:28" type="#_x0000_t75" stroked="false">
              <v:imagedata r:id="rId42" o:title=""/>
            </v:shape>
            <v:shape style="position:absolute;left:7684;top:772;width:10;height:28" type="#_x0000_t75" stroked="false">
              <v:imagedata r:id="rId42" o:title=""/>
            </v:shape>
            <v:shape style="position:absolute;left:9196;top:772;width:10;height:28" type="#_x0000_t75" stroked="false">
              <v:imagedata r:id="rId42" o:title=""/>
            </v:shape>
            <v:shape style="position:absolute;left:4756;top:781;width:4469;height:350" type="#_x0000_t75" stroked="false">
              <v:imagedata r:id="rId245" o:title=""/>
            </v:shape>
            <v:shape style="position:absolute;left:2390;top:1093;width:8226;height:2113" type="#_x0000_t75" stroked="false">
              <v:imagedata r:id="rId246" o:title=""/>
            </v:shape>
            <w10:wrap type="none"/>
          </v:group>
        </w:pict>
      </w:r>
      <w:r>
        <w:rPr>
          <w:rFonts w:ascii="Times New Roman" w:hAnsi="Times New Roman" w:cs="Times New Roman" w:eastAsia="Times New Roman" w:hint="default"/>
        </w:rPr>
        <w:t>(</w:t>
      </w:r>
      <w:r>
        <w:rPr/>
        <w:t>二十三</w:t>
      </w:r>
      <w:r>
        <w:rPr>
          <w:rFonts w:ascii="Times New Roman" w:hAnsi="Times New Roman" w:cs="Times New Roman" w:eastAsia="Times New Roman" w:hint="default"/>
        </w:rPr>
        <w:t>)</w:t>
      </w:r>
      <w:r>
        <w:rPr>
          <w:rFonts w:ascii="Times New Roman" w:hAnsi="Times New Roman" w:cs="Times New Roman" w:eastAsia="Times New Roman" w:hint="default"/>
          <w:spacing w:val="20"/>
        </w:rPr>
        <w:t> </w:t>
      </w:r>
      <w:r>
        <w:rPr/>
        <w:t>应付职工薪酬</w:t>
      </w:r>
      <w:r>
        <w:rPr>
          <w:b w:val="0"/>
          <w:bCs w:val="0"/>
        </w:rPr>
      </w:r>
    </w:p>
    <w:p>
      <w:pPr>
        <w:spacing w:line="240" w:lineRule="auto" w:before="9"/>
        <w:rPr>
          <w:rFonts w:ascii="宋体" w:hAnsi="宋体" w:cs="宋体" w:eastAsia="宋体" w:hint="default"/>
          <w:b/>
          <w:bCs/>
          <w:sz w:val="5"/>
          <w:szCs w:val="5"/>
        </w:rPr>
      </w:pPr>
    </w:p>
    <w:tbl>
      <w:tblPr>
        <w:tblW w:w="0" w:type="auto"/>
        <w:jc w:val="left"/>
        <w:tblInd w:w="749" w:type="dxa"/>
        <w:tblLayout w:type="fixed"/>
        <w:tblCellMar>
          <w:top w:w="0" w:type="dxa"/>
          <w:left w:w="0" w:type="dxa"/>
          <w:bottom w:w="0" w:type="dxa"/>
          <w:right w:w="0" w:type="dxa"/>
        </w:tblCellMar>
        <w:tblLook w:val="01E0"/>
      </w:tblPr>
      <w:tblGrid>
        <w:gridCol w:w="2497"/>
        <w:gridCol w:w="1358"/>
        <w:gridCol w:w="1512"/>
        <w:gridCol w:w="1514"/>
        <w:gridCol w:w="1306"/>
      </w:tblGrid>
      <w:tr>
        <w:trPr>
          <w:trHeight w:val="357" w:hRule="exact"/>
        </w:trPr>
        <w:tc>
          <w:tcPr>
            <w:tcW w:w="2497" w:type="dxa"/>
            <w:tcBorders>
              <w:top w:val="nil" w:sz="6" w:space="0" w:color="auto"/>
              <w:left w:val="nil" w:sz="6" w:space="0" w:color="auto"/>
              <w:bottom w:val="single" w:sz="12" w:space="0" w:color="000000"/>
              <w:right w:val="nil" w:sz="6" w:space="0" w:color="auto"/>
            </w:tcBorders>
          </w:tcPr>
          <w:p>
            <w:pPr>
              <w:pStyle w:val="TableParagraph"/>
              <w:tabs>
                <w:tab w:pos="647" w:val="left" w:leader="none"/>
              </w:tabs>
              <w:spacing w:line="240" w:lineRule="auto" w:before="35"/>
              <w:ind w:left="97" w:right="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应付职工薪酬列示</w:t>
            </w:r>
            <w:r>
              <w:rPr>
                <w:rFonts w:ascii="宋体" w:hAnsi="宋体" w:cs="宋体" w:eastAsia="宋体" w:hint="default"/>
                <w:sz w:val="21"/>
                <w:szCs w:val="21"/>
              </w:rPr>
            </w:r>
          </w:p>
        </w:tc>
        <w:tc>
          <w:tcPr>
            <w:tcW w:w="5690" w:type="dxa"/>
            <w:gridSpan w:val="4"/>
            <w:tcBorders>
              <w:top w:val="nil" w:sz="6" w:space="0" w:color="auto"/>
              <w:left w:val="nil" w:sz="6" w:space="0" w:color="auto"/>
              <w:bottom w:val="single" w:sz="12" w:space="0" w:color="000000"/>
              <w:right w:val="nil" w:sz="6" w:space="0" w:color="auto"/>
            </w:tcBorders>
          </w:tcPr>
          <w:p>
            <w:pPr/>
          </w:p>
        </w:tc>
      </w:tr>
      <w:tr>
        <w:trPr>
          <w:trHeight w:val="358" w:hRule="exact"/>
        </w:trPr>
        <w:tc>
          <w:tcPr>
            <w:tcW w:w="2497" w:type="dxa"/>
            <w:tcBorders>
              <w:top w:val="single" w:sz="12" w:space="0" w:color="000000"/>
              <w:left w:val="nil" w:sz="6" w:space="0" w:color="auto"/>
              <w:bottom w:val="nil" w:sz="6" w:space="0" w:color="auto"/>
              <w:right w:val="nil" w:sz="6" w:space="0" w:color="auto"/>
            </w:tcBorders>
          </w:tcPr>
          <w:p>
            <w:pPr>
              <w:pStyle w:val="TableParagraph"/>
              <w:spacing w:line="240" w:lineRule="auto" w:before="38"/>
              <w:ind w:right="126"/>
              <w:jc w:val="center"/>
              <w:rPr>
                <w:rFonts w:ascii="宋体" w:hAnsi="宋体" w:cs="宋体" w:eastAsia="宋体" w:hint="default"/>
                <w:sz w:val="16"/>
                <w:szCs w:val="16"/>
              </w:rPr>
            </w:pPr>
            <w:r>
              <w:rPr>
                <w:rFonts w:ascii="宋体" w:hAnsi="宋体" w:cs="宋体" w:eastAsia="宋体" w:hint="default"/>
                <w:sz w:val="16"/>
                <w:szCs w:val="16"/>
              </w:rPr>
              <w:t>项目</w:t>
            </w:r>
          </w:p>
        </w:tc>
        <w:tc>
          <w:tcPr>
            <w:tcW w:w="1358" w:type="dxa"/>
            <w:tcBorders>
              <w:top w:val="single" w:sz="12" w:space="0" w:color="000000"/>
              <w:left w:val="nil" w:sz="6" w:space="0" w:color="auto"/>
              <w:bottom w:val="nil" w:sz="6" w:space="0" w:color="auto"/>
              <w:right w:val="nil" w:sz="6" w:space="0" w:color="auto"/>
            </w:tcBorders>
          </w:tcPr>
          <w:p>
            <w:pPr>
              <w:pStyle w:val="TableParagraph"/>
              <w:spacing w:line="240" w:lineRule="auto" w:before="38"/>
              <w:ind w:left="250" w:right="0"/>
              <w:jc w:val="left"/>
              <w:rPr>
                <w:rFonts w:ascii="宋体" w:hAnsi="宋体" w:cs="宋体" w:eastAsia="宋体" w:hint="default"/>
                <w:sz w:val="16"/>
                <w:szCs w:val="16"/>
              </w:rPr>
            </w:pPr>
            <w:r>
              <w:rPr>
                <w:rFonts w:ascii="宋体" w:hAnsi="宋体" w:cs="宋体" w:eastAsia="宋体" w:hint="default"/>
                <w:sz w:val="16"/>
                <w:szCs w:val="16"/>
              </w:rPr>
              <w:t>年初余额</w:t>
            </w:r>
          </w:p>
        </w:tc>
        <w:tc>
          <w:tcPr>
            <w:tcW w:w="1512" w:type="dxa"/>
            <w:tcBorders>
              <w:top w:val="single" w:sz="12" w:space="0" w:color="000000"/>
              <w:left w:val="nil" w:sz="6" w:space="0" w:color="auto"/>
              <w:bottom w:val="nil" w:sz="6" w:space="0" w:color="auto"/>
              <w:right w:val="nil" w:sz="6" w:space="0" w:color="auto"/>
            </w:tcBorders>
          </w:tcPr>
          <w:p>
            <w:pPr>
              <w:pStyle w:val="TableParagraph"/>
              <w:spacing w:line="240" w:lineRule="auto" w:before="38"/>
              <w:ind w:left="346" w:right="0"/>
              <w:jc w:val="left"/>
              <w:rPr>
                <w:rFonts w:ascii="宋体" w:hAnsi="宋体" w:cs="宋体" w:eastAsia="宋体" w:hint="default"/>
                <w:sz w:val="16"/>
                <w:szCs w:val="16"/>
              </w:rPr>
            </w:pPr>
            <w:r>
              <w:rPr>
                <w:rFonts w:ascii="宋体" w:hAnsi="宋体" w:cs="宋体" w:eastAsia="宋体" w:hint="default"/>
                <w:sz w:val="16"/>
                <w:szCs w:val="16"/>
              </w:rPr>
              <w:t>本期增加</w:t>
            </w:r>
          </w:p>
        </w:tc>
        <w:tc>
          <w:tcPr>
            <w:tcW w:w="1514" w:type="dxa"/>
            <w:tcBorders>
              <w:top w:val="single" w:sz="12" w:space="0" w:color="000000"/>
              <w:left w:val="nil" w:sz="6" w:space="0" w:color="auto"/>
              <w:bottom w:val="nil" w:sz="6" w:space="0" w:color="auto"/>
              <w:right w:val="nil" w:sz="6" w:space="0" w:color="auto"/>
            </w:tcBorders>
          </w:tcPr>
          <w:p>
            <w:pPr>
              <w:pStyle w:val="TableParagraph"/>
              <w:spacing w:line="240" w:lineRule="auto" w:before="38"/>
              <w:ind w:left="346" w:right="0"/>
              <w:jc w:val="left"/>
              <w:rPr>
                <w:rFonts w:ascii="宋体" w:hAnsi="宋体" w:cs="宋体" w:eastAsia="宋体" w:hint="default"/>
                <w:sz w:val="16"/>
                <w:szCs w:val="16"/>
              </w:rPr>
            </w:pPr>
            <w:r>
              <w:rPr>
                <w:rFonts w:ascii="宋体" w:hAnsi="宋体" w:cs="宋体" w:eastAsia="宋体" w:hint="default"/>
                <w:sz w:val="16"/>
                <w:szCs w:val="16"/>
              </w:rPr>
              <w:t>本期减少</w:t>
            </w:r>
          </w:p>
        </w:tc>
        <w:tc>
          <w:tcPr>
            <w:tcW w:w="1306" w:type="dxa"/>
            <w:tcBorders>
              <w:top w:val="single" w:sz="12" w:space="0" w:color="000000"/>
              <w:left w:val="nil" w:sz="6" w:space="0" w:color="auto"/>
              <w:bottom w:val="nil" w:sz="6" w:space="0" w:color="auto"/>
              <w:right w:val="nil" w:sz="6" w:space="0" w:color="auto"/>
            </w:tcBorders>
          </w:tcPr>
          <w:p>
            <w:pPr>
              <w:pStyle w:val="TableParagraph"/>
              <w:spacing w:line="240" w:lineRule="auto" w:before="38"/>
              <w:ind w:left="286" w:right="0"/>
              <w:jc w:val="left"/>
              <w:rPr>
                <w:rFonts w:ascii="宋体" w:hAnsi="宋体" w:cs="宋体" w:eastAsia="宋体" w:hint="default"/>
                <w:sz w:val="16"/>
                <w:szCs w:val="16"/>
              </w:rPr>
            </w:pPr>
            <w:r>
              <w:rPr>
                <w:rFonts w:ascii="宋体" w:hAnsi="宋体" w:cs="宋体" w:eastAsia="宋体" w:hint="default"/>
                <w:sz w:val="16"/>
                <w:szCs w:val="16"/>
              </w:rPr>
              <w:t>期末余额</w:t>
            </w:r>
          </w:p>
        </w:tc>
      </w:tr>
      <w:tr>
        <w:trPr>
          <w:trHeight w:val="356" w:hRule="exact"/>
        </w:trPr>
        <w:tc>
          <w:tcPr>
            <w:tcW w:w="2497"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07" w:right="0"/>
              <w:jc w:val="left"/>
              <w:rPr>
                <w:rFonts w:ascii="宋体" w:hAnsi="宋体" w:cs="宋体" w:eastAsia="宋体" w:hint="default"/>
                <w:sz w:val="16"/>
                <w:szCs w:val="16"/>
              </w:rPr>
            </w:pPr>
            <w:r>
              <w:rPr>
                <w:rFonts w:ascii="宋体" w:hAnsi="宋体" w:cs="宋体" w:eastAsia="宋体" w:hint="default"/>
                <w:sz w:val="16"/>
                <w:szCs w:val="16"/>
              </w:rPr>
              <w:t>短期薪酬</w:t>
            </w:r>
          </w:p>
        </w:tc>
        <w:tc>
          <w:tcPr>
            <w:tcW w:w="1358"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94"/>
              <w:jc w:val="right"/>
              <w:rPr>
                <w:rFonts w:ascii="Times New Roman" w:hAnsi="Times New Roman" w:cs="Times New Roman" w:eastAsia="Times New Roman" w:hint="default"/>
                <w:sz w:val="16"/>
                <w:szCs w:val="16"/>
              </w:rPr>
            </w:pPr>
            <w:r>
              <w:rPr>
                <w:rFonts w:ascii="Times New Roman"/>
                <w:spacing w:val="-1"/>
                <w:sz w:val="16"/>
              </w:rPr>
              <w:t>286,610,030.53</w:t>
            </w:r>
          </w:p>
        </w:tc>
        <w:tc>
          <w:tcPr>
            <w:tcW w:w="1512"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94"/>
              <w:jc w:val="right"/>
              <w:rPr>
                <w:rFonts w:ascii="Times New Roman" w:hAnsi="Times New Roman" w:cs="Times New Roman" w:eastAsia="Times New Roman" w:hint="default"/>
                <w:sz w:val="16"/>
                <w:szCs w:val="16"/>
              </w:rPr>
            </w:pPr>
            <w:r>
              <w:rPr>
                <w:rFonts w:ascii="Times New Roman"/>
                <w:spacing w:val="-1"/>
                <w:sz w:val="16"/>
              </w:rPr>
              <w:t>1,542,595,536.19</w:t>
            </w:r>
          </w:p>
        </w:tc>
        <w:tc>
          <w:tcPr>
            <w:tcW w:w="1514"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96"/>
              <w:jc w:val="right"/>
              <w:rPr>
                <w:rFonts w:ascii="Times New Roman" w:hAnsi="Times New Roman" w:cs="Times New Roman" w:eastAsia="Times New Roman" w:hint="default"/>
                <w:sz w:val="16"/>
                <w:szCs w:val="16"/>
              </w:rPr>
            </w:pPr>
            <w:r>
              <w:rPr>
                <w:rFonts w:ascii="Times New Roman"/>
                <w:spacing w:val="-1"/>
                <w:sz w:val="16"/>
              </w:rPr>
              <w:t>1,546,005,144.83</w:t>
            </w:r>
          </w:p>
        </w:tc>
        <w:tc>
          <w:tcPr>
            <w:tcW w:w="1306"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05"/>
              <w:jc w:val="right"/>
              <w:rPr>
                <w:rFonts w:ascii="Times New Roman" w:hAnsi="Times New Roman" w:cs="Times New Roman" w:eastAsia="Times New Roman" w:hint="default"/>
                <w:sz w:val="16"/>
                <w:szCs w:val="16"/>
              </w:rPr>
            </w:pPr>
            <w:r>
              <w:rPr>
                <w:rFonts w:ascii="Times New Roman"/>
                <w:spacing w:val="-1"/>
                <w:sz w:val="16"/>
              </w:rPr>
              <w:t>283,200,421.89</w:t>
            </w:r>
          </w:p>
        </w:tc>
      </w:tr>
      <w:tr>
        <w:trPr>
          <w:trHeight w:val="349" w:hRule="exact"/>
        </w:trPr>
        <w:tc>
          <w:tcPr>
            <w:tcW w:w="249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07" w:right="0"/>
              <w:jc w:val="left"/>
              <w:rPr>
                <w:rFonts w:ascii="宋体" w:hAnsi="宋体" w:cs="宋体" w:eastAsia="宋体" w:hint="default"/>
                <w:sz w:val="16"/>
                <w:szCs w:val="16"/>
              </w:rPr>
            </w:pPr>
            <w:r>
              <w:rPr>
                <w:rFonts w:ascii="宋体" w:hAnsi="宋体" w:cs="宋体" w:eastAsia="宋体" w:hint="default"/>
                <w:sz w:val="16"/>
                <w:szCs w:val="16"/>
              </w:rPr>
              <w:t>离职后福利</w:t>
            </w:r>
            <w:r>
              <w:rPr>
                <w:rFonts w:ascii="Times New Roman" w:hAnsi="Times New Roman" w:cs="Times New Roman" w:eastAsia="Times New Roman" w:hint="default"/>
                <w:sz w:val="16"/>
                <w:szCs w:val="16"/>
              </w:rPr>
              <w:t>-</w:t>
            </w:r>
            <w:r>
              <w:rPr>
                <w:rFonts w:ascii="宋体" w:hAnsi="宋体" w:cs="宋体" w:eastAsia="宋体" w:hint="default"/>
                <w:sz w:val="16"/>
                <w:szCs w:val="16"/>
              </w:rPr>
              <w:t>设定提存计划</w:t>
            </w:r>
          </w:p>
        </w:tc>
        <w:tc>
          <w:tcPr>
            <w:tcW w:w="135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93"/>
              <w:jc w:val="right"/>
              <w:rPr>
                <w:rFonts w:ascii="Times New Roman" w:hAnsi="Times New Roman" w:cs="Times New Roman" w:eastAsia="Times New Roman" w:hint="default"/>
                <w:sz w:val="16"/>
                <w:szCs w:val="16"/>
              </w:rPr>
            </w:pPr>
            <w:r>
              <w:rPr>
                <w:rFonts w:ascii="Times New Roman"/>
                <w:spacing w:val="-2"/>
                <w:sz w:val="16"/>
              </w:rPr>
              <w:t>30,792,111.10</w:t>
            </w:r>
          </w:p>
        </w:tc>
        <w:tc>
          <w:tcPr>
            <w:tcW w:w="1512"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94"/>
              <w:jc w:val="right"/>
              <w:rPr>
                <w:rFonts w:ascii="Times New Roman" w:hAnsi="Times New Roman" w:cs="Times New Roman" w:eastAsia="Times New Roman" w:hint="default"/>
                <w:sz w:val="16"/>
                <w:szCs w:val="16"/>
              </w:rPr>
            </w:pPr>
            <w:r>
              <w:rPr>
                <w:rFonts w:ascii="Times New Roman"/>
                <w:spacing w:val="-1"/>
                <w:sz w:val="16"/>
              </w:rPr>
              <w:t>154,345,589.30</w:t>
            </w:r>
          </w:p>
        </w:tc>
        <w:tc>
          <w:tcPr>
            <w:tcW w:w="1514"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96"/>
              <w:jc w:val="right"/>
              <w:rPr>
                <w:rFonts w:ascii="Times New Roman" w:hAnsi="Times New Roman" w:cs="Times New Roman" w:eastAsia="Times New Roman" w:hint="default"/>
                <w:sz w:val="16"/>
                <w:szCs w:val="16"/>
              </w:rPr>
            </w:pPr>
            <w:r>
              <w:rPr>
                <w:rFonts w:ascii="Times New Roman"/>
                <w:spacing w:val="-1"/>
                <w:sz w:val="16"/>
              </w:rPr>
              <w:t>150,427,633.33</w:t>
            </w:r>
          </w:p>
        </w:tc>
        <w:tc>
          <w:tcPr>
            <w:tcW w:w="1306"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4"/>
              <w:jc w:val="right"/>
              <w:rPr>
                <w:rFonts w:ascii="Times New Roman" w:hAnsi="Times New Roman" w:cs="Times New Roman" w:eastAsia="Times New Roman" w:hint="default"/>
                <w:sz w:val="16"/>
                <w:szCs w:val="16"/>
              </w:rPr>
            </w:pPr>
            <w:r>
              <w:rPr>
                <w:rFonts w:ascii="Times New Roman"/>
                <w:spacing w:val="-1"/>
                <w:sz w:val="16"/>
              </w:rPr>
              <w:t>34,710,067.07</w:t>
            </w:r>
          </w:p>
        </w:tc>
      </w:tr>
      <w:tr>
        <w:trPr>
          <w:trHeight w:val="691" w:hRule="exact"/>
        </w:trPr>
        <w:tc>
          <w:tcPr>
            <w:tcW w:w="2497" w:type="dxa"/>
            <w:tcBorders>
              <w:top w:val="nil" w:sz="6" w:space="0" w:color="auto"/>
              <w:left w:val="nil" w:sz="6" w:space="0" w:color="auto"/>
              <w:bottom w:val="nil" w:sz="6" w:space="0" w:color="auto"/>
              <w:right w:val="nil" w:sz="6" w:space="0" w:color="auto"/>
            </w:tcBorders>
          </w:tcPr>
          <w:p>
            <w:pPr>
              <w:pStyle w:val="TableParagraph"/>
              <w:spacing w:line="400" w:lineRule="auto" w:before="37"/>
              <w:ind w:left="107" w:right="788"/>
              <w:jc w:val="left"/>
              <w:rPr>
                <w:rFonts w:ascii="宋体" w:hAnsi="宋体" w:cs="宋体" w:eastAsia="宋体" w:hint="default"/>
                <w:sz w:val="16"/>
                <w:szCs w:val="16"/>
              </w:rPr>
            </w:pPr>
            <w:r>
              <w:rPr>
                <w:rFonts w:ascii="宋体" w:hAnsi="宋体" w:cs="宋体" w:eastAsia="宋体" w:hint="default"/>
                <w:sz w:val="16"/>
                <w:szCs w:val="16"/>
              </w:rPr>
              <w:t>辞退福利</w:t>
            </w:r>
            <w:r>
              <w:rPr>
                <w:rFonts w:ascii="宋体" w:hAnsi="宋体" w:cs="宋体" w:eastAsia="宋体" w:hint="default"/>
                <w:w w:val="99"/>
                <w:sz w:val="16"/>
                <w:szCs w:val="16"/>
              </w:rPr>
              <w:t> </w:t>
            </w:r>
            <w:r>
              <w:rPr>
                <w:rFonts w:ascii="宋体" w:hAnsi="宋体" w:cs="宋体" w:eastAsia="宋体" w:hint="default"/>
                <w:sz w:val="16"/>
                <w:szCs w:val="16"/>
              </w:rPr>
              <w:t>一年内到期的其他福利</w:t>
            </w:r>
          </w:p>
        </w:tc>
        <w:tc>
          <w:tcPr>
            <w:tcW w:w="135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93"/>
              <w:jc w:val="right"/>
              <w:rPr>
                <w:rFonts w:ascii="Times New Roman" w:hAnsi="Times New Roman" w:cs="Times New Roman" w:eastAsia="Times New Roman" w:hint="default"/>
                <w:sz w:val="16"/>
                <w:szCs w:val="16"/>
              </w:rPr>
            </w:pPr>
            <w:r>
              <w:rPr>
                <w:rFonts w:ascii="Times New Roman"/>
                <w:spacing w:val="-1"/>
                <w:sz w:val="16"/>
              </w:rPr>
              <w:t>2,372,725.41</w:t>
            </w:r>
          </w:p>
        </w:tc>
        <w:tc>
          <w:tcPr>
            <w:tcW w:w="151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93"/>
              <w:jc w:val="right"/>
              <w:rPr>
                <w:rFonts w:ascii="Times New Roman" w:hAnsi="Times New Roman" w:cs="Times New Roman" w:eastAsia="Times New Roman" w:hint="default"/>
                <w:sz w:val="16"/>
                <w:szCs w:val="16"/>
              </w:rPr>
            </w:pPr>
            <w:r>
              <w:rPr>
                <w:rFonts w:ascii="Times New Roman"/>
                <w:spacing w:val="-1"/>
                <w:sz w:val="16"/>
              </w:rPr>
              <w:t>5,968,490.42</w:t>
            </w:r>
          </w:p>
        </w:tc>
        <w:tc>
          <w:tcPr>
            <w:tcW w:w="1514"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95"/>
              <w:jc w:val="right"/>
              <w:rPr>
                <w:rFonts w:ascii="Times New Roman" w:hAnsi="Times New Roman" w:cs="Times New Roman" w:eastAsia="Times New Roman" w:hint="default"/>
                <w:sz w:val="16"/>
                <w:szCs w:val="16"/>
              </w:rPr>
            </w:pPr>
            <w:r>
              <w:rPr>
                <w:rFonts w:ascii="Times New Roman"/>
                <w:spacing w:val="-1"/>
                <w:sz w:val="16"/>
              </w:rPr>
              <w:t>6,899,598.13</w:t>
            </w:r>
          </w:p>
        </w:tc>
        <w:tc>
          <w:tcPr>
            <w:tcW w:w="130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4"/>
              <w:jc w:val="right"/>
              <w:rPr>
                <w:rFonts w:ascii="Times New Roman" w:hAnsi="Times New Roman" w:cs="Times New Roman" w:eastAsia="Times New Roman" w:hint="default"/>
                <w:sz w:val="16"/>
                <w:szCs w:val="16"/>
              </w:rPr>
            </w:pPr>
            <w:r>
              <w:rPr>
                <w:rFonts w:ascii="Times New Roman"/>
                <w:spacing w:val="-1"/>
                <w:sz w:val="16"/>
              </w:rPr>
              <w:t>1,441,617.70</w:t>
            </w:r>
          </w:p>
        </w:tc>
      </w:tr>
      <w:tr>
        <w:trPr>
          <w:trHeight w:val="349" w:hRule="exact"/>
        </w:trPr>
        <w:tc>
          <w:tcPr>
            <w:tcW w:w="2497"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07"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1358"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
        </w:tc>
        <w:tc>
          <w:tcPr>
            <w:tcW w:w="1514" w:type="dxa"/>
            <w:tcBorders>
              <w:top w:val="nil" w:sz="6" w:space="0" w:color="auto"/>
              <w:left w:val="nil" w:sz="6" w:space="0" w:color="auto"/>
              <w:bottom w:val="nil" w:sz="6" w:space="0" w:color="auto"/>
              <w:right w:val="nil" w:sz="6" w:space="0" w:color="auto"/>
            </w:tcBorders>
          </w:tcPr>
          <w:p>
            <w:pPr/>
          </w:p>
        </w:tc>
        <w:tc>
          <w:tcPr>
            <w:tcW w:w="1306" w:type="dxa"/>
            <w:tcBorders>
              <w:top w:val="nil" w:sz="6" w:space="0" w:color="auto"/>
              <w:left w:val="nil" w:sz="6" w:space="0" w:color="auto"/>
              <w:bottom w:val="nil" w:sz="6" w:space="0" w:color="auto"/>
              <w:right w:val="nil" w:sz="6" w:space="0" w:color="auto"/>
            </w:tcBorders>
          </w:tcPr>
          <w:p>
            <w:pPr/>
          </w:p>
        </w:tc>
      </w:tr>
      <w:tr>
        <w:trPr>
          <w:trHeight w:val="361" w:hRule="exact"/>
        </w:trPr>
        <w:tc>
          <w:tcPr>
            <w:tcW w:w="2497" w:type="dxa"/>
            <w:tcBorders>
              <w:top w:val="nil" w:sz="6" w:space="0" w:color="auto"/>
              <w:left w:val="nil" w:sz="6" w:space="0" w:color="auto"/>
              <w:bottom w:val="single" w:sz="12" w:space="0" w:color="000000"/>
              <w:right w:val="nil" w:sz="6" w:space="0" w:color="auto"/>
            </w:tcBorders>
          </w:tcPr>
          <w:p>
            <w:pPr>
              <w:pStyle w:val="TableParagraph"/>
              <w:spacing w:line="240" w:lineRule="auto" w:before="45"/>
              <w:ind w:right="126"/>
              <w:jc w:val="center"/>
              <w:rPr>
                <w:rFonts w:ascii="宋体" w:hAnsi="宋体" w:cs="宋体" w:eastAsia="宋体" w:hint="default"/>
                <w:sz w:val="16"/>
                <w:szCs w:val="16"/>
              </w:rPr>
            </w:pPr>
            <w:r>
              <w:rPr>
                <w:rFonts w:ascii="宋体" w:hAnsi="宋体" w:cs="宋体" w:eastAsia="宋体" w:hint="default"/>
                <w:sz w:val="16"/>
                <w:szCs w:val="16"/>
              </w:rPr>
              <w:t>合计</w:t>
            </w:r>
          </w:p>
        </w:tc>
        <w:tc>
          <w:tcPr>
            <w:tcW w:w="1358" w:type="dxa"/>
            <w:tcBorders>
              <w:top w:val="nil" w:sz="6" w:space="0" w:color="auto"/>
              <w:left w:val="nil" w:sz="6" w:space="0" w:color="auto"/>
              <w:bottom w:val="single" w:sz="12" w:space="0" w:color="000000"/>
              <w:right w:val="nil" w:sz="6" w:space="0" w:color="auto"/>
            </w:tcBorders>
          </w:tcPr>
          <w:p>
            <w:pPr>
              <w:pStyle w:val="TableParagraph"/>
              <w:spacing w:line="240" w:lineRule="auto" w:before="87"/>
              <w:ind w:right="194"/>
              <w:jc w:val="right"/>
              <w:rPr>
                <w:rFonts w:ascii="Times New Roman" w:hAnsi="Times New Roman" w:cs="Times New Roman" w:eastAsia="Times New Roman" w:hint="default"/>
                <w:sz w:val="16"/>
                <w:szCs w:val="16"/>
              </w:rPr>
            </w:pPr>
            <w:r>
              <w:rPr>
                <w:rFonts w:ascii="Times New Roman"/>
                <w:spacing w:val="-1"/>
                <w:sz w:val="16"/>
              </w:rPr>
              <w:t>319,774,867.04</w:t>
            </w:r>
          </w:p>
        </w:tc>
        <w:tc>
          <w:tcPr>
            <w:tcW w:w="1512" w:type="dxa"/>
            <w:tcBorders>
              <w:top w:val="nil" w:sz="6" w:space="0" w:color="auto"/>
              <w:left w:val="nil" w:sz="6" w:space="0" w:color="auto"/>
              <w:bottom w:val="single" w:sz="12" w:space="0" w:color="000000"/>
              <w:right w:val="nil" w:sz="6" w:space="0" w:color="auto"/>
            </w:tcBorders>
          </w:tcPr>
          <w:p>
            <w:pPr>
              <w:pStyle w:val="TableParagraph"/>
              <w:spacing w:line="240" w:lineRule="auto" w:before="87"/>
              <w:ind w:right="194"/>
              <w:jc w:val="right"/>
              <w:rPr>
                <w:rFonts w:ascii="Times New Roman" w:hAnsi="Times New Roman" w:cs="Times New Roman" w:eastAsia="Times New Roman" w:hint="default"/>
                <w:sz w:val="16"/>
                <w:szCs w:val="16"/>
              </w:rPr>
            </w:pPr>
            <w:r>
              <w:rPr>
                <w:rFonts w:ascii="Times New Roman"/>
                <w:spacing w:val="-1"/>
                <w:sz w:val="16"/>
              </w:rPr>
              <w:t>1,702,909,615.91</w:t>
            </w:r>
          </w:p>
        </w:tc>
        <w:tc>
          <w:tcPr>
            <w:tcW w:w="1514" w:type="dxa"/>
            <w:tcBorders>
              <w:top w:val="nil" w:sz="6" w:space="0" w:color="auto"/>
              <w:left w:val="nil" w:sz="6" w:space="0" w:color="auto"/>
              <w:bottom w:val="single" w:sz="12" w:space="0" w:color="000000"/>
              <w:right w:val="nil" w:sz="6" w:space="0" w:color="auto"/>
            </w:tcBorders>
          </w:tcPr>
          <w:p>
            <w:pPr>
              <w:pStyle w:val="TableParagraph"/>
              <w:spacing w:line="240" w:lineRule="auto" w:before="87"/>
              <w:ind w:right="196"/>
              <w:jc w:val="right"/>
              <w:rPr>
                <w:rFonts w:ascii="Times New Roman" w:hAnsi="Times New Roman" w:cs="Times New Roman" w:eastAsia="Times New Roman" w:hint="default"/>
                <w:sz w:val="16"/>
                <w:szCs w:val="16"/>
              </w:rPr>
            </w:pPr>
            <w:r>
              <w:rPr>
                <w:rFonts w:ascii="Times New Roman"/>
                <w:spacing w:val="-1"/>
                <w:sz w:val="16"/>
              </w:rPr>
              <w:t>1,703,332,376.29</w:t>
            </w:r>
          </w:p>
        </w:tc>
        <w:tc>
          <w:tcPr>
            <w:tcW w:w="1306" w:type="dxa"/>
            <w:tcBorders>
              <w:top w:val="nil" w:sz="6" w:space="0" w:color="auto"/>
              <w:left w:val="nil" w:sz="6" w:space="0" w:color="auto"/>
              <w:bottom w:val="single" w:sz="12" w:space="0" w:color="000000"/>
              <w:right w:val="nil" w:sz="6" w:space="0" w:color="auto"/>
            </w:tcBorders>
          </w:tcPr>
          <w:p>
            <w:pPr>
              <w:pStyle w:val="TableParagraph"/>
              <w:spacing w:line="240" w:lineRule="auto" w:before="87"/>
              <w:ind w:right="105"/>
              <w:jc w:val="right"/>
              <w:rPr>
                <w:rFonts w:ascii="Times New Roman" w:hAnsi="Times New Roman" w:cs="Times New Roman" w:eastAsia="Times New Roman" w:hint="default"/>
                <w:sz w:val="16"/>
                <w:szCs w:val="16"/>
              </w:rPr>
            </w:pPr>
            <w:r>
              <w:rPr>
                <w:rFonts w:ascii="Times New Roman"/>
                <w:spacing w:val="-1"/>
                <w:sz w:val="16"/>
              </w:rPr>
              <w:t>319,352,106.66</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p>
      <w:pPr>
        <w:pStyle w:val="Heading5"/>
        <w:tabs>
          <w:tab w:pos="1397" w:val="left" w:leader="none"/>
        </w:tabs>
        <w:spacing w:line="240" w:lineRule="auto"/>
        <w:ind w:left="846" w:right="3681"/>
        <w:jc w:val="left"/>
        <w:rPr>
          <w:b w:val="0"/>
          <w:bCs w:val="0"/>
        </w:rPr>
      </w:pPr>
      <w:r>
        <w:rPr>
          <w:rFonts w:ascii="Times New Roman" w:hAnsi="Times New Roman" w:cs="Times New Roman" w:eastAsia="Times New Roman" w:hint="default"/>
          <w:w w:val="95"/>
        </w:rPr>
        <w:t>2</w:t>
      </w:r>
      <w:r>
        <w:rPr>
          <w:w w:val="95"/>
        </w:rPr>
        <w:t>、</w:t>
        <w:tab/>
      </w:r>
      <w:r>
        <w:rPr/>
        <w:t>短期薪酬列示</w:t>
      </w:r>
      <w:r>
        <w:rPr>
          <w:b w:val="0"/>
          <w:bCs w:val="0"/>
        </w:rPr>
      </w:r>
    </w:p>
    <w:p>
      <w:pPr>
        <w:spacing w:line="5200" w:lineRule="exact"/>
        <w:ind w:left="720" w:right="0" w:firstLine="0"/>
        <w:rPr>
          <w:rFonts w:ascii="宋体" w:hAnsi="宋体" w:cs="宋体" w:eastAsia="宋体" w:hint="default"/>
          <w:sz w:val="20"/>
          <w:szCs w:val="20"/>
        </w:rPr>
      </w:pPr>
      <w:r>
        <w:rPr>
          <w:rFonts w:ascii="宋体" w:hAnsi="宋体" w:cs="宋体" w:eastAsia="宋体" w:hint="default"/>
          <w:position w:val="-103"/>
          <w:sz w:val="20"/>
          <w:szCs w:val="20"/>
        </w:rPr>
        <w:pict>
          <v:group style="width:411.7pt;height:260.05pt;mso-position-horizontal-relative:char;mso-position-vertical-relative:line" coordorigin="0,0" coordsize="8234,5201">
            <v:group style="position:absolute;left:29;top:15;width:2244;height:2" coordorigin="29,15" coordsize="2244,2">
              <v:shape style="position:absolute;left:29;top:15;width:2244;height:2" coordorigin="29,15" coordsize="2244,0" path="m29,15l2273,15e" filled="false" stroked="true" strokeweight="1.5pt" strokecolor="#000000">
                <v:path arrowok="t"/>
              </v:shape>
              <v:shape style="position:absolute;left:2273;top:30;width:10;height:28" type="#_x0000_t75" stroked="false">
                <v:imagedata r:id="rId96" o:title=""/>
              </v:shape>
            </v:group>
            <v:group style="position:absolute;left:2273;top:15;width:1422;height:2" coordorigin="2273,15" coordsize="1422,2">
              <v:shape style="position:absolute;left:2273;top:15;width:1422;height:2" coordorigin="2273,15" coordsize="1422,0" path="m2273,15l3695,15e" filled="false" stroked="true" strokeweight="1.5pt" strokecolor="#000000">
                <v:path arrowok="t"/>
              </v:shape>
              <v:shape style="position:absolute;left:3695;top:30;width:10;height:28" type="#_x0000_t75" stroked="false">
                <v:imagedata r:id="rId96" o:title=""/>
              </v:shape>
            </v:group>
            <v:group style="position:absolute;left:3695;top:15;width:1547;height:2" coordorigin="3695,15" coordsize="1547,2">
              <v:shape style="position:absolute;left:3695;top:15;width:1547;height:2" coordorigin="3695,15" coordsize="1547,0" path="m3695,15l5242,15e" filled="false" stroked="true" strokeweight="1.5pt" strokecolor="#000000">
                <v:path arrowok="t"/>
              </v:shape>
              <v:shape style="position:absolute;left:5242;top:30;width:10;height:28" type="#_x0000_t75" stroked="false">
                <v:imagedata r:id="rId96" o:title=""/>
              </v:shape>
            </v:group>
            <v:group style="position:absolute;left:5242;top:15;width:1548;height:2" coordorigin="5242,15" coordsize="1548,2">
              <v:shape style="position:absolute;left:5242;top:15;width:1548;height:2" coordorigin="5242,15" coordsize="1548,0" path="m5242,15l6790,15e" filled="false" stroked="true" strokeweight="1.5pt" strokecolor="#000000">
                <v:path arrowok="t"/>
              </v:shape>
              <v:shape style="position:absolute;left:6790;top:30;width:10;height:28" type="#_x0000_t75" stroked="false">
                <v:imagedata r:id="rId96" o:title=""/>
              </v:shape>
            </v:group>
            <v:group style="position:absolute;left:6790;top:15;width:1427;height:2" coordorigin="6790,15" coordsize="1427,2">
              <v:shape style="position:absolute;left:6790;top:15;width:1427;height:2" coordorigin="6790,15" coordsize="1427,0" path="m6790,15l8217,15e" filled="false" stroked="true" strokeweight="1.5pt" strokecolor="#000000">
                <v:path arrowok="t"/>
              </v:shape>
              <v:shape style="position:absolute;left:2254;top:38;width:4565;height:350" type="#_x0000_t75" stroked="false">
                <v:imagedata r:id="rId247" o:title=""/>
              </v:shape>
            </v:group>
            <v:group style="position:absolute;left:15;top:5186;width:2259;height:2" coordorigin="15,5186" coordsize="2259,2">
              <v:shape style="position:absolute;left:15;top:5186;width:2259;height:2" coordorigin="15,5186" coordsize="2259,0" path="m15,5186l2273,5186e" filled="false" stroked="true" strokeweight="1.5pt" strokecolor="#000000">
                <v:path arrowok="t"/>
              </v:shape>
            </v:group>
            <v:group style="position:absolute;left:2273;top:5186;width:1422;height:2" coordorigin="2273,5186" coordsize="1422,2">
              <v:shape style="position:absolute;left:2273;top:5186;width:1422;height:2" coordorigin="2273,5186" coordsize="1422,0" path="m2273,5186l3695,5186e" filled="false" stroked="true" strokeweight="1.5pt" strokecolor="#000000">
                <v:path arrowok="t"/>
              </v:shape>
            </v:group>
            <v:group style="position:absolute;left:3695;top:5186;width:1547;height:2" coordorigin="3695,5186" coordsize="1547,2">
              <v:shape style="position:absolute;left:3695;top:5186;width:1547;height:2" coordorigin="3695,5186" coordsize="1547,0" path="m3695,5186l5242,5186e" filled="false" stroked="true" strokeweight="1.5pt" strokecolor="#000000">
                <v:path arrowok="t"/>
              </v:shape>
            </v:group>
            <v:group style="position:absolute;left:5242;top:5186;width:1548;height:2" coordorigin="5242,5186" coordsize="1548,2">
              <v:shape style="position:absolute;left:5242;top:5186;width:1548;height:2" coordorigin="5242,5186" coordsize="1548,0" path="m5242,5186l6790,5186e" filled="false" stroked="true" strokeweight="1.5pt" strokecolor="#000000">
                <v:path arrowok="t"/>
              </v:shape>
              <v:shape style="position:absolute;left:17;top:357;width:8217;height:4814" type="#_x0000_t75" stroked="false">
                <v:imagedata r:id="rId248" o:title=""/>
              </v:shape>
            </v:group>
            <v:group style="position:absolute;left:6790;top:5186;width:1427;height:2" coordorigin="6790,5186" coordsize="1427,2">
              <v:shape style="position:absolute;left:6790;top:5186;width:1427;height:2" coordorigin="6790,5186" coordsize="1427,0" path="m6790,5186l8217,5186e" filled="false" stroked="true" strokeweight="1.5pt" strokecolor="#000000">
                <v:path arrowok="t"/>
              </v:shape>
              <v:shape style="position:absolute;left:137;top:118;width:2000;height:999" type="#_x0000_t202" filled="false" stroked="false">
                <v:textbox inset="0,0,0,0">
                  <w:txbxContent>
                    <w:p>
                      <w:pPr>
                        <w:spacing w:line="160" w:lineRule="exact" w:before="0"/>
                        <w:ind w:left="31" w:right="0" w:firstLine="0"/>
                        <w:jc w:val="center"/>
                        <w:rPr>
                          <w:rFonts w:ascii="宋体" w:hAnsi="宋体" w:cs="宋体" w:eastAsia="宋体" w:hint="default"/>
                          <w:sz w:val="16"/>
                          <w:szCs w:val="16"/>
                        </w:rPr>
                      </w:pPr>
                      <w:r>
                        <w:rPr>
                          <w:rFonts w:ascii="宋体" w:hAnsi="宋体" w:cs="宋体" w:eastAsia="宋体" w:hint="default"/>
                          <w:sz w:val="16"/>
                          <w:szCs w:val="16"/>
                        </w:rPr>
                        <w:t>项目</w:t>
                      </w:r>
                    </w:p>
                    <w:p>
                      <w:pPr>
                        <w:spacing w:line="208" w:lineRule="exact" w:before="122"/>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w:t>
                      </w:r>
                      <w:r>
                        <w:rPr>
                          <w:rFonts w:ascii="Times New Roman" w:hAnsi="Times New Roman" w:cs="Times New Roman" w:eastAsia="Times New Roman" w:hint="default"/>
                          <w:w w:val="95"/>
                          <w:sz w:val="16"/>
                          <w:szCs w:val="16"/>
                        </w:rPr>
                        <w:t>1</w:t>
                      </w:r>
                      <w:r>
                        <w:rPr>
                          <w:rFonts w:ascii="宋体" w:hAnsi="宋体" w:cs="宋体" w:eastAsia="宋体" w:hint="default"/>
                          <w:w w:val="95"/>
                          <w:sz w:val="16"/>
                          <w:szCs w:val="16"/>
                        </w:rPr>
                        <w:t>）工资、奖金、津贴和补</w:t>
                      </w:r>
                      <w:r>
                        <w:rPr>
                          <w:rFonts w:ascii="宋体" w:hAnsi="宋体" w:cs="宋体" w:eastAsia="宋体" w:hint="default"/>
                          <w:spacing w:val="22"/>
                          <w:w w:val="95"/>
                          <w:sz w:val="16"/>
                          <w:szCs w:val="16"/>
                        </w:rPr>
                        <w:t> </w:t>
                      </w:r>
                      <w:r>
                        <w:rPr>
                          <w:rFonts w:ascii="宋体" w:hAnsi="宋体" w:cs="宋体" w:eastAsia="宋体" w:hint="default"/>
                          <w:spacing w:val="22"/>
                          <w:w w:val="95"/>
                          <w:sz w:val="16"/>
                          <w:szCs w:val="16"/>
                        </w:rPr>
                      </w:r>
                      <w:r>
                        <w:rPr>
                          <w:rFonts w:ascii="宋体" w:hAnsi="宋体" w:cs="宋体" w:eastAsia="宋体" w:hint="default"/>
                          <w:sz w:val="16"/>
                          <w:szCs w:val="16"/>
                        </w:rPr>
                        <w:t>贴</w:t>
                      </w:r>
                    </w:p>
                    <w:p>
                      <w:pPr>
                        <w:spacing w:line="218" w:lineRule="exact" w:before="83"/>
                        <w:ind w:left="0" w:right="0" w:firstLine="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2</w:t>
                      </w:r>
                      <w:r>
                        <w:rPr>
                          <w:rFonts w:ascii="宋体" w:hAnsi="宋体" w:cs="宋体" w:eastAsia="宋体" w:hint="default"/>
                          <w:sz w:val="16"/>
                          <w:szCs w:val="16"/>
                        </w:rPr>
                        <w:t>）职工福利费</w:t>
                      </w:r>
                    </w:p>
                  </w:txbxContent>
                </v:textbox>
                <w10:wrap type="none"/>
              </v:shape>
              <v:shape style="position:absolute;left:2669;top:11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年初余额</w:t>
                      </w:r>
                      <w:r>
                        <w:rPr>
                          <w:rFonts w:ascii="宋体" w:hAnsi="宋体" w:cs="宋体" w:eastAsia="宋体" w:hint="default"/>
                          <w:sz w:val="16"/>
                          <w:szCs w:val="16"/>
                        </w:rPr>
                      </w:r>
                    </w:p>
                  </w:txbxContent>
                </v:textbox>
                <w10:wrap type="none"/>
              </v:shape>
              <v:shape style="position:absolute;left:4154;top:11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本期增加</w:t>
                      </w:r>
                      <w:r>
                        <w:rPr>
                          <w:rFonts w:ascii="宋体" w:hAnsi="宋体" w:cs="宋体" w:eastAsia="宋体" w:hint="default"/>
                          <w:sz w:val="16"/>
                          <w:szCs w:val="16"/>
                        </w:rPr>
                      </w:r>
                    </w:p>
                  </w:txbxContent>
                </v:textbox>
                <w10:wrap type="none"/>
              </v:shape>
              <v:shape style="position:absolute;left:5701;top:11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本期减少</w:t>
                      </w:r>
                      <w:r>
                        <w:rPr>
                          <w:rFonts w:ascii="宋体" w:hAnsi="宋体" w:cs="宋体" w:eastAsia="宋体" w:hint="default"/>
                          <w:sz w:val="16"/>
                          <w:szCs w:val="16"/>
                        </w:rPr>
                      </w:r>
                    </w:p>
                  </w:txbxContent>
                </v:textbox>
                <w10:wrap type="none"/>
              </v:shape>
              <v:shape style="position:absolute;left:7185;top:11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2593;top:547;width:100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280,376,412.75</w:t>
                      </w:r>
                      <w:r>
                        <w:rPr>
                          <w:rFonts w:ascii="Times New Roman"/>
                          <w:sz w:val="16"/>
                        </w:rPr>
                      </w:r>
                    </w:p>
                  </w:txbxContent>
                </v:textbox>
                <w10:wrap type="none"/>
              </v:shape>
              <v:shape style="position:absolute;left:4019;top:547;width:112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1,344,651,682.13</w:t>
                      </w:r>
                      <w:r>
                        <w:rPr>
                          <w:rFonts w:ascii="Times New Roman"/>
                          <w:sz w:val="16"/>
                        </w:rPr>
                      </w:r>
                    </w:p>
                  </w:txbxContent>
                </v:textbox>
                <w10:wrap type="none"/>
              </v:shape>
              <v:shape style="position:absolute;left:5566;top:547;width:112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1,349,520,836.58</w:t>
                      </w:r>
                      <w:r>
                        <w:rPr>
                          <w:rFonts w:ascii="Times New Roman"/>
                          <w:sz w:val="16"/>
                        </w:rPr>
                      </w:r>
                    </w:p>
                  </w:txbxContent>
                </v:textbox>
                <w10:wrap type="none"/>
              </v:shape>
              <v:shape style="position:absolute;left:7109;top:547;width:100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275,507,258.30</w:t>
                      </w:r>
                      <w:r>
                        <w:rPr>
                          <w:rFonts w:ascii="Times New Roman"/>
                          <w:sz w:val="16"/>
                        </w:rPr>
                      </w:r>
                    </w:p>
                  </w:txbxContent>
                </v:textbox>
                <w10:wrap type="none"/>
              </v:shape>
              <v:shape style="position:absolute;left:2872;top:962;width:7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230,187.20</w:t>
                      </w:r>
                      <w:r>
                        <w:rPr>
                          <w:rFonts w:ascii="Times New Roman"/>
                          <w:sz w:val="16"/>
                        </w:rPr>
                      </w:r>
                    </w:p>
                  </w:txbxContent>
                </v:textbox>
                <w10:wrap type="none"/>
              </v:shape>
              <v:shape style="position:absolute;left:4225;top:962;width:916;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pacing w:val="-1"/>
                          <w:sz w:val="16"/>
                        </w:rPr>
                        <w:t>39,311,621.58</w:t>
                      </w:r>
                    </w:p>
                  </w:txbxContent>
                </v:textbox>
                <w10:wrap type="none"/>
              </v:shape>
              <v:shape style="position:absolute;left:5765;top:962;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38,790,046.99</w:t>
                      </w:r>
                      <w:r>
                        <w:rPr>
                          <w:rFonts w:ascii="Times New Roman"/>
                          <w:sz w:val="16"/>
                        </w:rPr>
                      </w:r>
                    </w:p>
                  </w:txbxContent>
                </v:textbox>
                <w10:wrap type="none"/>
              </v:shape>
              <v:shape style="position:absolute;left:7389;top:962;width:7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751,761.79</w:t>
                      </w:r>
                      <w:r>
                        <w:rPr>
                          <w:rFonts w:ascii="Times New Roman"/>
                          <w:sz w:val="16"/>
                        </w:rPr>
                      </w:r>
                    </w:p>
                  </w:txbxContent>
                </v:textbox>
                <w10:wrap type="none"/>
              </v:shape>
              <v:shape style="position:absolute;left:137;top:1298;width:1280;height:508" type="#_x0000_t202" filled="false" stroked="false">
                <v:textbox inset="0,0,0,0">
                  <w:txbxContent>
                    <w:p>
                      <w:pPr>
                        <w:spacing w:line="172"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3</w:t>
                      </w:r>
                      <w:r>
                        <w:rPr>
                          <w:rFonts w:ascii="宋体" w:hAnsi="宋体" w:cs="宋体" w:eastAsia="宋体" w:hint="default"/>
                          <w:sz w:val="16"/>
                          <w:szCs w:val="16"/>
                        </w:rPr>
                        <w:t>）社会保险费</w:t>
                      </w:r>
                    </w:p>
                    <w:p>
                      <w:pPr>
                        <w:spacing w:before="126"/>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其中：医疗保险费</w:t>
                      </w:r>
                      <w:r>
                        <w:rPr>
                          <w:rFonts w:ascii="宋体" w:hAnsi="宋体" w:cs="宋体" w:eastAsia="宋体" w:hint="default"/>
                          <w:sz w:val="16"/>
                          <w:szCs w:val="16"/>
                        </w:rPr>
                      </w:r>
                    </w:p>
                  </w:txbxContent>
                </v:textbox>
                <w10:wrap type="none"/>
              </v:shape>
              <v:shape style="position:absolute;left:2872;top:1312;width:7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699,676.22</w:t>
                      </w:r>
                      <w:r>
                        <w:rPr>
                          <w:rFonts w:ascii="Times New Roman"/>
                          <w:sz w:val="16"/>
                        </w:rPr>
                      </w:r>
                    </w:p>
                  </w:txbxContent>
                </v:textbox>
                <w10:wrap type="none"/>
              </v:shape>
              <v:shape style="position:absolute;left:4219;top:1312;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57,998,828.06</w:t>
                      </w:r>
                      <w:r>
                        <w:rPr>
                          <w:rFonts w:ascii="Times New Roman"/>
                          <w:sz w:val="16"/>
                        </w:rPr>
                      </w:r>
                    </w:p>
                  </w:txbxContent>
                </v:textbox>
                <w10:wrap type="none"/>
              </v:shape>
              <v:shape style="position:absolute;left:5771;top:1312;width:916;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pacing w:val="-1"/>
                          <w:sz w:val="16"/>
                        </w:rPr>
                        <w:t>57,855,743.11</w:t>
                      </w:r>
                    </w:p>
                  </w:txbxContent>
                </v:textbox>
                <w10:wrap type="none"/>
              </v:shape>
              <v:shape style="position:absolute;left:7389;top:1312;width:7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842,761.17</w:t>
                      </w:r>
                      <w:r>
                        <w:rPr>
                          <w:rFonts w:ascii="Times New Roman"/>
                          <w:sz w:val="16"/>
                        </w:rPr>
                      </w:r>
                    </w:p>
                  </w:txbxContent>
                </v:textbox>
                <w10:wrap type="none"/>
              </v:shape>
              <v:shape style="position:absolute;left:2872;top:1660;width:7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561,065.89</w:t>
                      </w:r>
                      <w:r>
                        <w:rPr>
                          <w:rFonts w:ascii="Times New Roman"/>
                          <w:sz w:val="16"/>
                        </w:rPr>
                      </w:r>
                    </w:p>
                  </w:txbxContent>
                </v:textbox>
                <w10:wrap type="none"/>
              </v:shape>
              <v:shape style="position:absolute;left:4219;top:1660;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48,550,796.12</w:t>
                      </w:r>
                      <w:r>
                        <w:rPr>
                          <w:rFonts w:ascii="Times New Roman"/>
                          <w:sz w:val="16"/>
                        </w:rPr>
                      </w:r>
                    </w:p>
                  </w:txbxContent>
                </v:textbox>
                <w10:wrap type="none"/>
              </v:shape>
              <v:shape style="position:absolute;left:5765;top:1660;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48,424,244.76</w:t>
                      </w:r>
                      <w:r>
                        <w:rPr>
                          <w:rFonts w:ascii="Times New Roman"/>
                          <w:sz w:val="16"/>
                        </w:rPr>
                      </w:r>
                    </w:p>
                  </w:txbxContent>
                </v:textbox>
                <w10:wrap type="none"/>
              </v:shape>
              <v:shape style="position:absolute;left:7389;top:1660;width:7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687,617.25</w:t>
                      </w:r>
                      <w:r>
                        <w:rPr>
                          <w:rFonts w:ascii="Times New Roman"/>
                          <w:sz w:val="16"/>
                        </w:rPr>
                      </w:r>
                    </w:p>
                  </w:txbxContent>
                </v:textbox>
                <w10:wrap type="none"/>
              </v:shape>
              <v:shape style="position:absolute;left:137;top:1995;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工伤保险费</w:t>
                      </w:r>
                      <w:r>
                        <w:rPr>
                          <w:rFonts w:ascii="宋体" w:hAnsi="宋体" w:cs="宋体" w:eastAsia="宋体" w:hint="default"/>
                          <w:sz w:val="16"/>
                          <w:szCs w:val="16"/>
                        </w:rPr>
                      </w:r>
                    </w:p>
                  </w:txbxContent>
                </v:textbox>
                <w10:wrap type="none"/>
              </v:shape>
              <v:shape style="position:absolute;left:2953;top:2009;width:64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76,089.70</w:t>
                      </w:r>
                      <w:r>
                        <w:rPr>
                          <w:rFonts w:ascii="Times New Roman"/>
                          <w:sz w:val="16"/>
                        </w:rPr>
                      </w:r>
                    </w:p>
                  </w:txbxContent>
                </v:textbox>
                <w10:wrap type="none"/>
              </v:shape>
              <v:shape style="position:absolute;left:4299;top:2009;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4,782,439.02</w:t>
                      </w:r>
                      <w:r>
                        <w:rPr>
                          <w:rFonts w:ascii="Times New Roman"/>
                          <w:sz w:val="16"/>
                        </w:rPr>
                      </w:r>
                    </w:p>
                  </w:txbxContent>
                </v:textbox>
                <w10:wrap type="none"/>
              </v:shape>
              <v:shape style="position:absolute;left:5846;top:2009;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4,767,432.85</w:t>
                      </w:r>
                      <w:r>
                        <w:rPr>
                          <w:rFonts w:ascii="Times New Roman"/>
                          <w:sz w:val="16"/>
                        </w:rPr>
                      </w:r>
                    </w:p>
                  </w:txbxContent>
                </v:textbox>
                <w10:wrap type="none"/>
              </v:shape>
              <v:shape style="position:absolute;left:7469;top:2009;width:64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91,095.87</w:t>
                      </w:r>
                      <w:r>
                        <w:rPr>
                          <w:rFonts w:ascii="Times New Roman"/>
                          <w:sz w:val="16"/>
                        </w:rPr>
                      </w:r>
                    </w:p>
                  </w:txbxContent>
                </v:textbox>
                <w10:wrap type="none"/>
              </v:shape>
              <v:shape style="position:absolute;left:137;top:2344;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生育保险费</w:t>
                      </w:r>
                      <w:r>
                        <w:rPr>
                          <w:rFonts w:ascii="宋体" w:hAnsi="宋体" w:cs="宋体" w:eastAsia="宋体" w:hint="default"/>
                          <w:sz w:val="16"/>
                          <w:szCs w:val="16"/>
                        </w:rPr>
                      </w:r>
                    </w:p>
                  </w:txbxContent>
                </v:textbox>
                <w10:wrap type="none"/>
              </v:shape>
              <v:shape style="position:absolute;left:2953;top:2358;width:64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62,520.63</w:t>
                      </w:r>
                      <w:r>
                        <w:rPr>
                          <w:rFonts w:ascii="Times New Roman"/>
                          <w:sz w:val="16"/>
                        </w:rPr>
                      </w:r>
                    </w:p>
                  </w:txbxContent>
                </v:textbox>
                <w10:wrap type="none"/>
              </v:shape>
              <v:shape style="position:absolute;left:4299;top:2358;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4,344,577.88</w:t>
                      </w:r>
                      <w:r>
                        <w:rPr>
                          <w:rFonts w:ascii="Times New Roman"/>
                          <w:sz w:val="16"/>
                        </w:rPr>
                      </w:r>
                    </w:p>
                  </w:txbxContent>
                </v:textbox>
                <w10:wrap type="none"/>
              </v:shape>
              <v:shape style="position:absolute;left:5846;top:2358;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4,343,050.46</w:t>
                      </w:r>
                      <w:r>
                        <w:rPr>
                          <w:rFonts w:ascii="Times New Roman"/>
                          <w:sz w:val="16"/>
                        </w:rPr>
                      </w:r>
                    </w:p>
                  </w:txbxContent>
                </v:textbox>
                <w10:wrap type="none"/>
              </v:shape>
              <v:shape style="position:absolute;left:7469;top:2358;width:64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64,048.05</w:t>
                      </w:r>
                      <w:r>
                        <w:rPr>
                          <w:rFonts w:ascii="Times New Roman"/>
                          <w:sz w:val="16"/>
                        </w:rPr>
                      </w:r>
                    </w:p>
                  </w:txbxContent>
                </v:textbox>
                <w10:wrap type="none"/>
              </v:shape>
              <v:shape style="position:absolute;left:137;top:2694;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其他</w:t>
                      </w:r>
                      <w:r>
                        <w:rPr>
                          <w:rFonts w:ascii="宋体" w:hAnsi="宋体" w:cs="宋体" w:eastAsia="宋体" w:hint="default"/>
                          <w:sz w:val="16"/>
                          <w:szCs w:val="16"/>
                        </w:rPr>
                      </w:r>
                    </w:p>
                  </w:txbxContent>
                </v:textbox>
                <w10:wrap type="none"/>
              </v:shape>
              <v:shape style="position:absolute;left:4419;top:2707;width:7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321,015.04</w:t>
                      </w:r>
                      <w:r>
                        <w:rPr>
                          <w:rFonts w:ascii="Times New Roman"/>
                          <w:sz w:val="16"/>
                        </w:rPr>
                      </w:r>
                    </w:p>
                  </w:txbxContent>
                </v:textbox>
                <w10:wrap type="none"/>
              </v:shape>
              <v:shape style="position:absolute;left:5966;top:2707;width:7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321,015.04</w:t>
                      </w:r>
                      <w:r>
                        <w:rPr>
                          <w:rFonts w:ascii="Times New Roman"/>
                          <w:sz w:val="16"/>
                        </w:rPr>
                      </w:r>
                    </w:p>
                  </w:txbxContent>
                </v:textbox>
                <w10:wrap type="none"/>
              </v:shape>
              <v:shape style="position:absolute;left:137;top:3043;width:2000;height:998" type="#_x0000_t202" filled="false" stroked="false">
                <v:textbox inset="0,0,0,0">
                  <w:txbxContent>
                    <w:p>
                      <w:pPr>
                        <w:spacing w:line="172"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4</w:t>
                      </w:r>
                      <w:r>
                        <w:rPr>
                          <w:rFonts w:ascii="宋体" w:hAnsi="宋体" w:cs="宋体" w:eastAsia="宋体" w:hint="default"/>
                          <w:sz w:val="16"/>
                          <w:szCs w:val="16"/>
                        </w:rPr>
                        <w:t>）住房公积金</w:t>
                      </w:r>
                    </w:p>
                    <w:p>
                      <w:pPr>
                        <w:spacing w:line="208" w:lineRule="exact" w:before="109"/>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w:t>
                      </w:r>
                      <w:r>
                        <w:rPr>
                          <w:rFonts w:ascii="Times New Roman" w:hAnsi="Times New Roman" w:cs="Times New Roman" w:eastAsia="Times New Roman" w:hint="default"/>
                          <w:w w:val="95"/>
                          <w:sz w:val="16"/>
                          <w:szCs w:val="16"/>
                        </w:rPr>
                        <w:t>5</w:t>
                      </w:r>
                      <w:r>
                        <w:rPr>
                          <w:rFonts w:ascii="宋体" w:hAnsi="宋体" w:cs="宋体" w:eastAsia="宋体" w:hint="default"/>
                          <w:w w:val="95"/>
                          <w:sz w:val="16"/>
                          <w:szCs w:val="16"/>
                        </w:rPr>
                        <w:t>）工会经费和职工教育经</w:t>
                      </w:r>
                      <w:r>
                        <w:rPr>
                          <w:rFonts w:ascii="宋体" w:hAnsi="宋体" w:cs="宋体" w:eastAsia="宋体" w:hint="default"/>
                          <w:spacing w:val="22"/>
                          <w:w w:val="95"/>
                          <w:sz w:val="16"/>
                          <w:szCs w:val="16"/>
                        </w:rPr>
                        <w:t> </w:t>
                      </w:r>
                      <w:r>
                        <w:rPr>
                          <w:rFonts w:ascii="宋体" w:hAnsi="宋体" w:cs="宋体" w:eastAsia="宋体" w:hint="default"/>
                          <w:spacing w:val="22"/>
                          <w:w w:val="95"/>
                          <w:sz w:val="16"/>
                          <w:szCs w:val="16"/>
                        </w:rPr>
                      </w:r>
                      <w:r>
                        <w:rPr>
                          <w:rFonts w:ascii="宋体" w:hAnsi="宋体" w:cs="宋体" w:eastAsia="宋体" w:hint="default"/>
                          <w:sz w:val="16"/>
                          <w:szCs w:val="16"/>
                        </w:rPr>
                        <w:t>费</w:t>
                      </w:r>
                    </w:p>
                    <w:p>
                      <w:pPr>
                        <w:spacing w:line="218" w:lineRule="exact" w:before="82"/>
                        <w:ind w:left="0" w:right="0" w:firstLine="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6</w:t>
                      </w:r>
                      <w:r>
                        <w:rPr>
                          <w:rFonts w:ascii="宋体" w:hAnsi="宋体" w:cs="宋体" w:eastAsia="宋体" w:hint="default"/>
                          <w:sz w:val="16"/>
                          <w:szCs w:val="16"/>
                        </w:rPr>
                        <w:t>）短期带薪缺勤</w:t>
                      </w:r>
                    </w:p>
                  </w:txbxContent>
                </v:textbox>
                <w10:wrap type="none"/>
              </v:shape>
              <v:shape style="position:absolute;left:2752;top:3056;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3,055,908.24</w:t>
                      </w:r>
                      <w:r>
                        <w:rPr>
                          <w:rFonts w:ascii="Times New Roman"/>
                          <w:sz w:val="16"/>
                        </w:rPr>
                      </w:r>
                    </w:p>
                  </w:txbxContent>
                </v:textbox>
                <w10:wrap type="none"/>
              </v:shape>
              <v:shape style="position:absolute;left:4219;top:3056;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68,764,020.34</w:t>
                      </w:r>
                      <w:r>
                        <w:rPr>
                          <w:rFonts w:ascii="Times New Roman"/>
                          <w:sz w:val="16"/>
                        </w:rPr>
                      </w:r>
                    </w:p>
                  </w:txbxContent>
                </v:textbox>
                <w10:wrap type="none"/>
              </v:shape>
              <v:shape style="position:absolute;left:5765;top:3056;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68,713,123.22</w:t>
                      </w:r>
                      <w:r>
                        <w:rPr>
                          <w:rFonts w:ascii="Times New Roman"/>
                          <w:sz w:val="16"/>
                        </w:rPr>
                      </w:r>
                    </w:p>
                  </w:txbxContent>
                </v:textbox>
                <w10:wrap type="none"/>
              </v:shape>
              <v:shape style="position:absolute;left:7269;top:3056;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3,106,805.36</w:t>
                      </w:r>
                      <w:r>
                        <w:rPr>
                          <w:rFonts w:ascii="Times New Roman"/>
                          <w:sz w:val="16"/>
                        </w:rPr>
                      </w:r>
                    </w:p>
                  </w:txbxContent>
                </v:textbox>
                <w10:wrap type="none"/>
              </v:shape>
              <v:shape style="position:absolute;left:2752;top:3472;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2,247,846.12</w:t>
                      </w:r>
                      <w:r>
                        <w:rPr>
                          <w:rFonts w:ascii="Times New Roman"/>
                          <w:sz w:val="16"/>
                        </w:rPr>
                      </w:r>
                    </w:p>
                  </w:txbxContent>
                </v:textbox>
                <w10:wrap type="none"/>
              </v:shape>
              <v:shape style="position:absolute;left:4219;top:3472;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16,828,864.54</w:t>
                      </w:r>
                      <w:r>
                        <w:rPr>
                          <w:rFonts w:ascii="Times New Roman"/>
                          <w:sz w:val="16"/>
                        </w:rPr>
                      </w:r>
                    </w:p>
                  </w:txbxContent>
                </v:textbox>
                <w10:wrap type="none"/>
              </v:shape>
              <v:shape style="position:absolute;left:5765;top:3472;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16,531,616.88</w:t>
                      </w:r>
                      <w:r>
                        <w:rPr>
                          <w:rFonts w:ascii="Times New Roman"/>
                          <w:sz w:val="16"/>
                        </w:rPr>
                      </w:r>
                    </w:p>
                  </w:txbxContent>
                </v:textbox>
                <w10:wrap type="none"/>
              </v:shape>
              <v:shape style="position:absolute;left:7269;top:3472;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2,545,093.78</w:t>
                      </w:r>
                      <w:r>
                        <w:rPr>
                          <w:rFonts w:ascii="Times New Roman"/>
                          <w:sz w:val="16"/>
                        </w:rPr>
                      </w:r>
                    </w:p>
                  </w:txbxContent>
                </v:textbox>
                <w10:wrap type="none"/>
              </v:shape>
              <v:shape style="position:absolute;left:137;top:4221;width:1679;height:518" type="#_x0000_t202" filled="false" stroked="false">
                <v:textbox inset="0,0,0,0">
                  <w:txbxContent>
                    <w:p>
                      <w:pPr>
                        <w:spacing w:line="172"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w:t>
                      </w:r>
                      <w:r>
                        <w:rPr>
                          <w:rFonts w:ascii="Times New Roman" w:hAnsi="Times New Roman" w:cs="Times New Roman" w:eastAsia="Times New Roman" w:hint="default"/>
                          <w:w w:val="95"/>
                          <w:sz w:val="16"/>
                          <w:szCs w:val="16"/>
                        </w:rPr>
                        <w:t>7</w:t>
                      </w:r>
                      <w:r>
                        <w:rPr>
                          <w:rFonts w:ascii="宋体" w:hAnsi="宋体" w:cs="宋体" w:eastAsia="宋体" w:hint="default"/>
                          <w:w w:val="95"/>
                          <w:sz w:val="16"/>
                          <w:szCs w:val="16"/>
                        </w:rPr>
                        <w:t>）短期利润分享计划</w:t>
                      </w:r>
                      <w:r>
                        <w:rPr>
                          <w:rFonts w:ascii="宋体" w:hAnsi="宋体" w:cs="宋体" w:eastAsia="宋体" w:hint="default"/>
                          <w:sz w:val="16"/>
                          <w:szCs w:val="16"/>
                        </w:rPr>
                      </w:r>
                    </w:p>
                    <w:p>
                      <w:pPr>
                        <w:spacing w:line="218" w:lineRule="exact" w:before="127"/>
                        <w:ind w:left="0" w:right="0" w:firstLine="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8</w:t>
                      </w:r>
                      <w:r>
                        <w:rPr>
                          <w:rFonts w:ascii="宋体" w:hAnsi="宋体" w:cs="宋体" w:eastAsia="宋体" w:hint="default"/>
                          <w:sz w:val="16"/>
                          <w:szCs w:val="16"/>
                        </w:rPr>
                        <w:t>）其他短期薪酬</w:t>
                      </w:r>
                    </w:p>
                  </w:txbxContent>
                </v:textbox>
                <w10:wrap type="none"/>
              </v:shape>
              <v:shape style="position:absolute;left:4219;top:4584;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15,040,519.54</w:t>
                      </w:r>
                      <w:r>
                        <w:rPr>
                          <w:rFonts w:ascii="Times New Roman"/>
                          <w:sz w:val="16"/>
                        </w:rPr>
                      </w:r>
                    </w:p>
                  </w:txbxContent>
                </v:textbox>
                <w10:wrap type="none"/>
              </v:shape>
              <v:shape style="position:absolute;left:5765;top:4584;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14,593,778.05</w:t>
                      </w:r>
                      <w:r>
                        <w:rPr>
                          <w:rFonts w:ascii="Times New Roman"/>
                          <w:sz w:val="16"/>
                        </w:rPr>
                      </w:r>
                    </w:p>
                  </w:txbxContent>
                </v:textbox>
                <w10:wrap type="none"/>
              </v:shape>
              <v:shape style="position:absolute;left:7389;top:4584;width:7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446,741.49</w:t>
                      </w:r>
                      <w:r>
                        <w:rPr>
                          <w:rFonts w:ascii="Times New Roman"/>
                          <w:sz w:val="16"/>
                        </w:rPr>
                      </w:r>
                    </w:p>
                  </w:txbxContent>
                </v:textbox>
                <w10:wrap type="none"/>
              </v:shape>
              <v:shape style="position:absolute;left:993;top:4920;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合计</w:t>
                      </w:r>
                      <w:r>
                        <w:rPr>
                          <w:rFonts w:ascii="宋体" w:hAnsi="宋体" w:cs="宋体" w:eastAsia="宋体" w:hint="default"/>
                          <w:sz w:val="16"/>
                          <w:szCs w:val="16"/>
                        </w:rPr>
                      </w:r>
                    </w:p>
                  </w:txbxContent>
                </v:textbox>
                <w10:wrap type="none"/>
              </v:shape>
              <v:shape style="position:absolute;left:2593;top:4933;width:100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286,610,030.53</w:t>
                      </w:r>
                      <w:r>
                        <w:rPr>
                          <w:rFonts w:ascii="Times New Roman"/>
                          <w:sz w:val="16"/>
                        </w:rPr>
                      </w:r>
                    </w:p>
                  </w:txbxContent>
                </v:textbox>
                <w10:wrap type="none"/>
              </v:shape>
              <v:shape style="position:absolute;left:4019;top:4933;width:112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1,542,595,536.19</w:t>
                      </w:r>
                      <w:r>
                        <w:rPr>
                          <w:rFonts w:ascii="Times New Roman"/>
                          <w:sz w:val="16"/>
                        </w:rPr>
                      </w:r>
                    </w:p>
                  </w:txbxContent>
                </v:textbox>
                <w10:wrap type="none"/>
              </v:shape>
              <v:shape style="position:absolute;left:5566;top:4933;width:112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1,546,005,144.83</w:t>
                      </w:r>
                      <w:r>
                        <w:rPr>
                          <w:rFonts w:ascii="Times New Roman"/>
                          <w:sz w:val="16"/>
                        </w:rPr>
                      </w:r>
                    </w:p>
                  </w:txbxContent>
                </v:textbox>
                <w10:wrap type="none"/>
              </v:shape>
              <v:shape style="position:absolute;left:7109;top:4933;width:100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283,200,421.89</w:t>
                      </w:r>
                      <w:r>
                        <w:rPr>
                          <w:rFonts w:ascii="Times New Roman"/>
                          <w:sz w:val="16"/>
                        </w:rPr>
                      </w:r>
                    </w:p>
                  </w:txbxContent>
                </v:textbox>
                <w10:wrap type="none"/>
              </v:shape>
            </v:group>
          </v:group>
        </w:pict>
      </w:r>
      <w:r>
        <w:rPr>
          <w:rFonts w:ascii="宋体" w:hAnsi="宋体" w:cs="宋体" w:eastAsia="宋体" w:hint="default"/>
          <w:position w:val="-103"/>
          <w:sz w:val="20"/>
          <w:szCs w:val="20"/>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6"/>
          <w:szCs w:val="16"/>
        </w:rPr>
      </w:pPr>
    </w:p>
    <w:p>
      <w:pPr>
        <w:pStyle w:val="Heading5"/>
        <w:tabs>
          <w:tab w:pos="1397" w:val="left" w:leader="none"/>
        </w:tabs>
        <w:spacing w:line="240" w:lineRule="auto"/>
        <w:ind w:left="846" w:right="3681"/>
        <w:jc w:val="left"/>
        <w:rPr>
          <w:b w:val="0"/>
          <w:bCs w:val="0"/>
        </w:rPr>
      </w:pPr>
      <w:r>
        <w:rPr>
          <w:rFonts w:ascii="Times New Roman" w:hAnsi="Times New Roman" w:cs="Times New Roman" w:eastAsia="Times New Roman" w:hint="default"/>
          <w:w w:val="95"/>
        </w:rPr>
        <w:t>3</w:t>
      </w:r>
      <w:r>
        <w:rPr>
          <w:w w:val="95"/>
        </w:rPr>
        <w:t>、</w:t>
        <w:tab/>
      </w:r>
      <w:r>
        <w:rPr/>
        <w:t>设定提存计划列示</w:t>
      </w:r>
      <w:r>
        <w:rPr>
          <w:b w:val="0"/>
          <w:bCs w:val="0"/>
        </w:rPr>
      </w:r>
    </w:p>
    <w:p>
      <w:pPr>
        <w:spacing w:line="1096" w:lineRule="exact"/>
        <w:ind w:left="720" w:right="0" w:firstLine="0"/>
        <w:rPr>
          <w:rFonts w:ascii="宋体" w:hAnsi="宋体" w:cs="宋体" w:eastAsia="宋体" w:hint="default"/>
          <w:sz w:val="20"/>
          <w:szCs w:val="20"/>
        </w:rPr>
      </w:pPr>
      <w:r>
        <w:rPr>
          <w:rFonts w:ascii="宋体" w:hAnsi="宋体" w:cs="宋体" w:eastAsia="宋体" w:hint="default"/>
          <w:position w:val="-21"/>
          <w:sz w:val="20"/>
          <w:szCs w:val="20"/>
        </w:rPr>
        <w:pict>
          <v:group style="width:411.85pt;height:54.85pt;mso-position-horizontal-relative:char;mso-position-vertical-relative:line" coordorigin="0,0" coordsize="8237,1097">
            <v:group style="position:absolute;left:29;top:15;width:2482;height:2" coordorigin="29,15" coordsize="2482,2">
              <v:shape style="position:absolute;left:29;top:15;width:2482;height:2" coordorigin="29,15" coordsize="2482,0" path="m29,15l2511,15e" filled="false" stroked="true" strokeweight="1.5pt" strokecolor="#000000">
                <v:path arrowok="t"/>
              </v:shape>
              <v:shape style="position:absolute;left:2511;top:30;width:10;height:28" type="#_x0000_t75" stroked="false">
                <v:imagedata r:id="rId42" o:title=""/>
              </v:shape>
            </v:group>
            <v:group style="position:absolute;left:2511;top:15;width:1425;height:2" coordorigin="2511,15" coordsize="1425,2">
              <v:shape style="position:absolute;left:2511;top:15;width:1425;height:2" coordorigin="2511,15" coordsize="1425,0" path="m2511,15l3935,15e" filled="false" stroked="true" strokeweight="1.5pt" strokecolor="#000000">
                <v:path arrowok="t"/>
              </v:shape>
              <v:shape style="position:absolute;left:3935;top:30;width:10;height:28" type="#_x0000_t75" stroked="false">
                <v:imagedata r:id="rId42" o:title=""/>
              </v:shape>
            </v:group>
            <v:group style="position:absolute;left:3935;top:15;width:1427;height:2" coordorigin="3935,15" coordsize="1427,2">
              <v:shape style="position:absolute;left:3935;top:15;width:1427;height:2" coordorigin="3935,15" coordsize="1427,0" path="m3935,15l5362,15e" filled="false" stroked="true" strokeweight="1.5pt" strokecolor="#000000">
                <v:path arrowok="t"/>
              </v:shape>
              <v:shape style="position:absolute;left:5362;top:30;width:10;height:28" type="#_x0000_t75" stroked="false">
                <v:imagedata r:id="rId42" o:title=""/>
              </v:shape>
            </v:group>
            <v:group style="position:absolute;left:5362;top:15;width:1425;height:2" coordorigin="5362,15" coordsize="1425,2">
              <v:shape style="position:absolute;left:5362;top:15;width:1425;height:2" coordorigin="5362,15" coordsize="1425,0" path="m5362,15l6787,15e" filled="false" stroked="true" strokeweight="1.5pt" strokecolor="#000000">
                <v:path arrowok="t"/>
              </v:shape>
              <v:shape style="position:absolute;left:6787;top:30;width:10;height:28" type="#_x0000_t75" stroked="false">
                <v:imagedata r:id="rId42" o:title=""/>
              </v:shape>
            </v:group>
            <v:group style="position:absolute;left:6787;top:15;width:1431;height:2" coordorigin="6787,15" coordsize="1431,2">
              <v:shape style="position:absolute;left:6787;top:15;width:1431;height:2" coordorigin="6787,15" coordsize="1431,0" path="m6787,15l8217,15e" filled="false" stroked="true" strokeweight="1.5pt" strokecolor="#000000">
                <v:path arrowok="t"/>
              </v:shape>
              <v:shape style="position:absolute;left:2492;top:38;width:4324;height:350" type="#_x0000_t75" stroked="false">
                <v:imagedata r:id="rId249" o:title=""/>
              </v:shape>
            </v:group>
            <v:group style="position:absolute;left:15;top:1082;width:2496;height:2" coordorigin="15,1082" coordsize="2496,2">
              <v:shape style="position:absolute;left:15;top:1082;width:2496;height:2" coordorigin="15,1082" coordsize="2496,0" path="m15,1082l2511,1082e" filled="false" stroked="true" strokeweight="1.5pt" strokecolor="#000000">
                <v:path arrowok="t"/>
              </v:shape>
            </v:group>
            <v:group style="position:absolute;left:2511;top:1082;width:1425;height:2" coordorigin="2511,1082" coordsize="1425,2">
              <v:shape style="position:absolute;left:2511;top:1082;width:1425;height:2" coordorigin="2511,1082" coordsize="1425,0" path="m2511,1082l3935,1082e" filled="false" stroked="true" strokeweight="1.5pt" strokecolor="#000000">
                <v:path arrowok="t"/>
              </v:shape>
            </v:group>
            <v:group style="position:absolute;left:3935;top:1082;width:1427;height:2" coordorigin="3935,1082" coordsize="1427,2">
              <v:shape style="position:absolute;left:3935;top:1082;width:1427;height:2" coordorigin="3935,1082" coordsize="1427,0" path="m3935,1082l5362,1082e" filled="false" stroked="true" strokeweight="1.5pt" strokecolor="#000000">
                <v:path arrowok="t"/>
              </v:shape>
            </v:group>
            <v:group style="position:absolute;left:5362;top:1082;width:1425;height:2" coordorigin="5362,1082" coordsize="1425,2">
              <v:shape style="position:absolute;left:5362;top:1082;width:1425;height:2" coordorigin="5362,1082" coordsize="1425,0" path="m5362,1082l6787,1082e" filled="false" stroked="true" strokeweight="1.5pt" strokecolor="#000000">
                <v:path arrowok="t"/>
              </v:shape>
              <v:shape style="position:absolute;left:10;top:350;width:8226;height:716" type="#_x0000_t75" stroked="false">
                <v:imagedata r:id="rId250" o:title=""/>
              </v:shape>
            </v:group>
            <v:group style="position:absolute;left:6787;top:1082;width:1431;height:2" coordorigin="6787,1082" coordsize="1431,2">
              <v:shape style="position:absolute;left:6787;top:1082;width:1431;height:2" coordorigin="6787,1082" coordsize="1431,0" path="m6787,1082l8217,1082e" filled="false" stroked="true" strokeweight="1.5pt" strokecolor="#000000">
                <v:path arrowok="t"/>
              </v:shape>
              <v:shape style="position:absolute;left:1112;top:118;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项目</w:t>
                      </w:r>
                      <w:r>
                        <w:rPr>
                          <w:rFonts w:ascii="宋体" w:hAnsi="宋体" w:cs="宋体" w:eastAsia="宋体" w:hint="default"/>
                          <w:sz w:val="16"/>
                          <w:szCs w:val="16"/>
                        </w:rPr>
                      </w:r>
                    </w:p>
                  </w:txbxContent>
                </v:textbox>
                <w10:wrap type="none"/>
              </v:shape>
              <v:shape style="position:absolute;left:2907;top:11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年初余额</w:t>
                      </w:r>
                      <w:r>
                        <w:rPr>
                          <w:rFonts w:ascii="宋体" w:hAnsi="宋体" w:cs="宋体" w:eastAsia="宋体" w:hint="default"/>
                          <w:sz w:val="16"/>
                          <w:szCs w:val="16"/>
                        </w:rPr>
                      </w:r>
                    </w:p>
                  </w:txbxContent>
                </v:textbox>
                <w10:wrap type="none"/>
              </v:shape>
              <v:shape style="position:absolute;left:4333;top:11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本期增加</w:t>
                      </w:r>
                      <w:r>
                        <w:rPr>
                          <w:rFonts w:ascii="宋体" w:hAnsi="宋体" w:cs="宋体" w:eastAsia="宋体" w:hint="default"/>
                          <w:sz w:val="16"/>
                          <w:szCs w:val="16"/>
                        </w:rPr>
                      </w:r>
                    </w:p>
                  </w:txbxContent>
                </v:textbox>
                <w10:wrap type="none"/>
              </v:shape>
              <v:shape style="position:absolute;left:5758;top:11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本期减少</w:t>
                      </w:r>
                      <w:r>
                        <w:rPr>
                          <w:rFonts w:ascii="宋体" w:hAnsi="宋体" w:cs="宋体" w:eastAsia="宋体" w:hint="default"/>
                          <w:sz w:val="16"/>
                          <w:szCs w:val="16"/>
                        </w:rPr>
                      </w:r>
                    </w:p>
                  </w:txbxContent>
                </v:textbox>
                <w10:wrap type="none"/>
              </v:shape>
              <v:shape style="position:absolute;left:7183;top:11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137;top:468;width:95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基本养老保险</w:t>
                      </w:r>
                      <w:r>
                        <w:rPr>
                          <w:rFonts w:ascii="宋体" w:hAnsi="宋体" w:cs="宋体" w:eastAsia="宋体" w:hint="default"/>
                          <w:sz w:val="16"/>
                          <w:szCs w:val="16"/>
                        </w:rPr>
                      </w:r>
                    </w:p>
                  </w:txbxContent>
                </v:textbox>
                <w10:wrap type="none"/>
              </v:shape>
              <v:shape style="position:absolute;left:2911;top:481;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29,164,936.68</w:t>
                      </w:r>
                      <w:r>
                        <w:rPr>
                          <w:rFonts w:ascii="Times New Roman"/>
                          <w:sz w:val="16"/>
                        </w:rPr>
                      </w:r>
                    </w:p>
                  </w:txbxContent>
                </v:textbox>
                <w10:wrap type="none"/>
              </v:shape>
              <v:shape style="position:absolute;left:4258;top:481;width:100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130,731,443.92</w:t>
                      </w:r>
                      <w:r>
                        <w:rPr>
                          <w:rFonts w:ascii="Times New Roman"/>
                          <w:sz w:val="16"/>
                        </w:rPr>
                      </w:r>
                    </w:p>
                  </w:txbxContent>
                </v:textbox>
                <w10:wrap type="none"/>
              </v:shape>
              <v:shape style="position:absolute;left:5683;top:481;width:100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128,934,403.05</w:t>
                      </w:r>
                      <w:r>
                        <w:rPr>
                          <w:rFonts w:ascii="Times New Roman"/>
                          <w:sz w:val="16"/>
                        </w:rPr>
                      </w:r>
                    </w:p>
                  </w:txbxContent>
                </v:textbox>
                <w10:wrap type="none"/>
              </v:shape>
              <v:shape style="position:absolute;left:7187;top:481;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30,961,977.55</w:t>
                      </w:r>
                      <w:r>
                        <w:rPr>
                          <w:rFonts w:ascii="Times New Roman"/>
                          <w:sz w:val="16"/>
                        </w:rPr>
                      </w:r>
                    </w:p>
                  </w:txbxContent>
                </v:textbox>
                <w10:wrap type="none"/>
              </v:shape>
              <v:shape style="position:absolute;left:137;top:817;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失业保险费</w:t>
                      </w:r>
                      <w:r>
                        <w:rPr>
                          <w:rFonts w:ascii="宋体" w:hAnsi="宋体" w:cs="宋体" w:eastAsia="宋体" w:hint="default"/>
                          <w:sz w:val="16"/>
                          <w:szCs w:val="16"/>
                        </w:rPr>
                      </w:r>
                    </w:p>
                  </w:txbxContent>
                </v:textbox>
                <w10:wrap type="none"/>
              </v:shape>
              <v:shape style="position:absolute;left:3111;top:830;width:7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165,207.36</w:t>
                      </w:r>
                      <w:r>
                        <w:rPr>
                          <w:rFonts w:ascii="Times New Roman"/>
                          <w:sz w:val="16"/>
                        </w:rPr>
                      </w:r>
                    </w:p>
                  </w:txbxContent>
                </v:textbox>
                <w10:wrap type="none"/>
              </v:shape>
              <v:shape style="position:absolute;left:4418;top:830;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4,756,358.37</w:t>
                      </w:r>
                      <w:r>
                        <w:rPr>
                          <w:rFonts w:ascii="Times New Roman"/>
                          <w:sz w:val="16"/>
                        </w:rPr>
                      </w:r>
                    </w:p>
                  </w:txbxContent>
                </v:textbox>
                <w10:wrap type="none"/>
              </v:shape>
              <v:shape style="position:absolute;left:5842;top:830;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4,749,881.56</w:t>
                      </w:r>
                      <w:r>
                        <w:rPr>
                          <w:rFonts w:ascii="Times New Roman"/>
                          <w:sz w:val="16"/>
                        </w:rPr>
                      </w:r>
                    </w:p>
                  </w:txbxContent>
                </v:textbox>
                <w10:wrap type="none"/>
              </v:shape>
              <v:shape style="position:absolute;left:7388;top:830;width:7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171,684.17</w:t>
                      </w:r>
                      <w:r>
                        <w:rPr>
                          <w:rFonts w:ascii="Times New Roman"/>
                          <w:sz w:val="16"/>
                        </w:rPr>
                      </w:r>
                    </w:p>
                  </w:txbxContent>
                </v:textbox>
                <w10:wrap type="none"/>
              </v:shape>
            </v:group>
          </v:group>
        </w:pict>
      </w:r>
      <w:r>
        <w:rPr>
          <w:rFonts w:ascii="宋体" w:hAnsi="宋体" w:cs="宋体" w:eastAsia="宋体" w:hint="default"/>
          <w:position w:val="-21"/>
          <w:sz w:val="20"/>
          <w:szCs w:val="20"/>
        </w:rPr>
      </w:r>
    </w:p>
    <w:p>
      <w:pPr>
        <w:spacing w:after="0" w:line="1096" w:lineRule="exact"/>
        <w:rPr>
          <w:rFonts w:ascii="宋体" w:hAnsi="宋体" w:cs="宋体" w:eastAsia="宋体" w:hint="default"/>
          <w:sz w:val="20"/>
          <w:szCs w:val="20"/>
        </w:rPr>
        <w:sectPr>
          <w:pgSz w:w="11910" w:h="16840"/>
          <w:pgMar w:header="0" w:footer="1001" w:top="1520" w:bottom="1200" w:left="1660" w:right="0"/>
        </w:sectPr>
      </w:pPr>
    </w:p>
    <w:p>
      <w:pPr>
        <w:spacing w:line="240" w:lineRule="auto" w:before="5"/>
        <w:rPr>
          <w:rFonts w:ascii="Times New Roman" w:hAnsi="Times New Roman" w:cs="Times New Roman" w:eastAsia="Times New Roman" w:hint="default"/>
          <w:sz w:val="10"/>
          <w:szCs w:val="10"/>
        </w:rPr>
      </w:pPr>
      <w:r>
        <w:rPr/>
        <w:pict>
          <v:group style="position:absolute;margin-left:119.520004pt;margin-top:179.279678pt;width:411.25pt;height:226.4pt;mso-position-horizontal-relative:page;mso-position-vertical-relative:page;z-index:-1382560" coordorigin="2390,3586" coordsize="8225,4528">
            <v:shape style="position:absolute;left:5782;top:3586;width:10;height:28" type="#_x0000_t75" stroked="false">
              <v:imagedata r:id="rId192" o:title=""/>
            </v:shape>
            <v:shape style="position:absolute;left:8186;top:3586;width:10;height:28" type="#_x0000_t75" stroked="false">
              <v:imagedata r:id="rId192" o:title=""/>
            </v:shape>
            <v:shape style="position:absolute;left:5762;top:3594;width:2453;height:350" type="#_x0000_t75" stroked="false">
              <v:imagedata r:id="rId251" o:title=""/>
            </v:shape>
            <v:shape style="position:absolute;left:2390;top:3912;width:8225;height:4201" type="#_x0000_t75" stroked="false">
              <v:imagedata r:id="rId252" o:title=""/>
            </v:shape>
            <w10:wrap type="none"/>
          </v:group>
        </w:pict>
      </w:r>
      <w:r>
        <w:rPr/>
        <w:pict>
          <v:group style="position:absolute;margin-left:119.520004pt;margin-top:448.61969pt;width:411.5pt;height:86.8pt;mso-position-horizontal-relative:page;mso-position-vertical-relative:page;z-index:-1382536" coordorigin="2390,8972" coordsize="8230,1736">
            <v:shape style="position:absolute;left:6206;top:8972;width:10;height:28" type="#_x0000_t75" stroked="false">
              <v:imagedata r:id="rId45" o:title=""/>
            </v:shape>
            <v:shape style="position:absolute;left:8364;top:8972;width:10;height:28" type="#_x0000_t75" stroked="false">
              <v:imagedata r:id="rId45" o:title=""/>
            </v:shape>
            <v:shape style="position:absolute;left:6187;top:8981;width:2206;height:350" type="#_x0000_t75" stroked="false">
              <v:imagedata r:id="rId253" o:title=""/>
            </v:shape>
            <v:shape style="position:absolute;left:2390;top:9293;width:8230;height:1415" type="#_x0000_t75" stroked="false">
              <v:imagedata r:id="rId254" o:title=""/>
            </v:shape>
            <w10:wrap type="none"/>
          </v:group>
        </w:pict>
      </w:r>
      <w:r>
        <w:rPr/>
        <w:pict>
          <v:group style="position:absolute;margin-left:119.520004pt;margin-top:578.399658pt;width:411.25pt;height:69.3pt;mso-position-horizontal-relative:page;mso-position-vertical-relative:page;z-index:-1382512" coordorigin="2390,11568" coordsize="8225,1386">
            <v:shape style="position:absolute;left:5782;top:11568;width:10;height:28" type="#_x0000_t75" stroked="false">
              <v:imagedata r:id="rId32" o:title=""/>
            </v:shape>
            <v:shape style="position:absolute;left:8186;top:11568;width:10;height:28" type="#_x0000_t75" stroked="false">
              <v:imagedata r:id="rId32" o:title=""/>
            </v:shape>
            <v:shape style="position:absolute;left:5762;top:11576;width:2453;height:349" type="#_x0000_t75" stroked="false">
              <v:imagedata r:id="rId255" o:title=""/>
            </v:shape>
            <v:shape style="position:absolute;left:2390;top:11894;width:8225;height:1060" type="#_x0000_t75" stroked="false">
              <v:imagedata r:id="rId256" o:title=""/>
            </v:shape>
            <w10:wrap type="none"/>
          </v:group>
        </w:pict>
      </w:r>
      <w:r>
        <w:rPr/>
        <w:pict>
          <v:group style="position:absolute;margin-left:119.520004pt;margin-top:690.719666pt;width:411.3pt;height:51.85pt;mso-position-horizontal-relative:page;mso-position-vertical-relative:page;z-index:-1382488" coordorigin="2390,13814" coordsize="8226,1037">
            <v:shape style="position:absolute;left:5782;top:13814;width:10;height:28" type="#_x0000_t75" stroked="false">
              <v:imagedata r:id="rId32" o:title=""/>
            </v:shape>
            <v:shape style="position:absolute;left:8159;top:13814;width:10;height:28" type="#_x0000_t75" stroked="false">
              <v:imagedata r:id="rId32" o:title=""/>
            </v:shape>
            <v:shape style="position:absolute;left:5762;top:13823;width:2425;height:349" type="#_x0000_t75" stroked="false">
              <v:imagedata r:id="rId257" o:title=""/>
            </v:shape>
            <v:shape style="position:absolute;left:2390;top:14134;width:8226;height:718" type="#_x0000_t75" stroked="false">
              <v:imagedata r:id="rId258" o:title=""/>
            </v:shape>
            <w10:wrap type="none"/>
          </v:group>
        </w:pict>
      </w:r>
    </w:p>
    <w:p>
      <w:pPr>
        <w:spacing w:line="1098" w:lineRule="exact"/>
        <w:ind w:left="720"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1"/>
          <w:sz w:val="20"/>
          <w:szCs w:val="20"/>
        </w:rPr>
        <w:pict>
          <v:group style="width:411.85pt;height:54.9pt;mso-position-horizontal-relative:char;mso-position-vertical-relative:line" coordorigin="0,0" coordsize="8237,1098">
            <v:group style="position:absolute;left:29;top:15;width:2482;height:2" coordorigin="29,15" coordsize="2482,2">
              <v:shape style="position:absolute;left:29;top:15;width:2482;height:2" coordorigin="29,15" coordsize="2482,0" path="m29,15l2511,15e" filled="false" stroked="true" strokeweight="1.5pt" strokecolor="#000000">
                <v:path arrowok="t"/>
              </v:shape>
              <v:shape style="position:absolute;left:2511;top:30;width:10;height:28" type="#_x0000_t75" stroked="false">
                <v:imagedata r:id="rId37" o:title=""/>
              </v:shape>
            </v:group>
            <v:group style="position:absolute;left:2511;top:15;width:1425;height:2" coordorigin="2511,15" coordsize="1425,2">
              <v:shape style="position:absolute;left:2511;top:15;width:1425;height:2" coordorigin="2511,15" coordsize="1425,0" path="m2511,15l3935,15e" filled="false" stroked="true" strokeweight="1.5pt" strokecolor="#000000">
                <v:path arrowok="t"/>
              </v:shape>
              <v:shape style="position:absolute;left:3935;top:30;width:10;height:28" type="#_x0000_t75" stroked="false">
                <v:imagedata r:id="rId37" o:title=""/>
              </v:shape>
            </v:group>
            <v:group style="position:absolute;left:3935;top:15;width:1427;height:2" coordorigin="3935,15" coordsize="1427,2">
              <v:shape style="position:absolute;left:3935;top:15;width:1427;height:2" coordorigin="3935,15" coordsize="1427,0" path="m3935,15l5362,15e" filled="false" stroked="true" strokeweight="1.5pt" strokecolor="#000000">
                <v:path arrowok="t"/>
              </v:shape>
              <v:shape style="position:absolute;left:5362;top:30;width:10;height:28" type="#_x0000_t75" stroked="false">
                <v:imagedata r:id="rId37" o:title=""/>
              </v:shape>
            </v:group>
            <v:group style="position:absolute;left:5362;top:15;width:1425;height:2" coordorigin="5362,15" coordsize="1425,2">
              <v:shape style="position:absolute;left:5362;top:15;width:1425;height:2" coordorigin="5362,15" coordsize="1425,0" path="m5362,15l6787,15e" filled="false" stroked="true" strokeweight="1.5pt" strokecolor="#000000">
                <v:path arrowok="t"/>
              </v:shape>
              <v:shape style="position:absolute;left:6787;top:30;width:10;height:28" type="#_x0000_t75" stroked="false">
                <v:imagedata r:id="rId37" o:title=""/>
              </v:shape>
            </v:group>
            <v:group style="position:absolute;left:6787;top:15;width:1431;height:2" coordorigin="6787,15" coordsize="1431,2">
              <v:shape style="position:absolute;left:6787;top:15;width:1431;height:2" coordorigin="6787,15" coordsize="1431,0" path="m6787,15l8217,15e" filled="false" stroked="true" strokeweight="1.5pt" strokecolor="#000000">
                <v:path arrowok="t"/>
              </v:shape>
              <v:shape style="position:absolute;left:2492;top:38;width:4324;height:350" type="#_x0000_t75" stroked="false">
                <v:imagedata r:id="rId259" o:title=""/>
              </v:shape>
            </v:group>
            <v:group style="position:absolute;left:15;top:1083;width:2496;height:2" coordorigin="15,1083" coordsize="2496,2">
              <v:shape style="position:absolute;left:15;top:1083;width:2496;height:2" coordorigin="15,1083" coordsize="2496,0" path="m15,1083l2511,1083e" filled="false" stroked="true" strokeweight="1.5pt" strokecolor="#000000">
                <v:path arrowok="t"/>
              </v:shape>
            </v:group>
            <v:group style="position:absolute;left:2511;top:1083;width:1425;height:2" coordorigin="2511,1083" coordsize="1425,2">
              <v:shape style="position:absolute;left:2511;top:1083;width:1425;height:2" coordorigin="2511,1083" coordsize="1425,0" path="m2511,1083l3935,1083e" filled="false" stroked="true" strokeweight="1.5pt" strokecolor="#000000">
                <v:path arrowok="t"/>
              </v:shape>
            </v:group>
            <v:group style="position:absolute;left:3935;top:1083;width:1427;height:2" coordorigin="3935,1083" coordsize="1427,2">
              <v:shape style="position:absolute;left:3935;top:1083;width:1427;height:2" coordorigin="3935,1083" coordsize="1427,0" path="m3935,1083l5362,1083e" filled="false" stroked="true" strokeweight="1.5pt" strokecolor="#000000">
                <v:path arrowok="t"/>
              </v:shape>
            </v:group>
            <v:group style="position:absolute;left:5362;top:1083;width:1425;height:2" coordorigin="5362,1083" coordsize="1425,2">
              <v:shape style="position:absolute;left:5362;top:1083;width:1425;height:2" coordorigin="5362,1083" coordsize="1425,0" path="m5362,1083l6787,1083e" filled="false" stroked="true" strokeweight="1.5pt" strokecolor="#000000">
                <v:path arrowok="t"/>
              </v:shape>
              <v:shape style="position:absolute;left:10;top:350;width:8226;height:718" type="#_x0000_t75" stroked="false">
                <v:imagedata r:id="rId260" o:title=""/>
              </v:shape>
            </v:group>
            <v:group style="position:absolute;left:6787;top:1083;width:1431;height:2" coordorigin="6787,1083" coordsize="1431,2">
              <v:shape style="position:absolute;left:6787;top:1083;width:1431;height:2" coordorigin="6787,1083" coordsize="1431,0" path="m6787,1083l8217,1083e" filled="false" stroked="true" strokeweight="1.5pt" strokecolor="#000000">
                <v:path arrowok="t"/>
              </v:shape>
              <v:shape style="position:absolute;left:1112;top:118;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项目</w:t>
                      </w:r>
                      <w:r>
                        <w:rPr>
                          <w:rFonts w:ascii="宋体" w:hAnsi="宋体" w:cs="宋体" w:eastAsia="宋体" w:hint="default"/>
                          <w:sz w:val="16"/>
                          <w:szCs w:val="16"/>
                        </w:rPr>
                      </w:r>
                    </w:p>
                  </w:txbxContent>
                </v:textbox>
                <w10:wrap type="none"/>
              </v:shape>
              <v:shape style="position:absolute;left:2907;top:11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年初余额</w:t>
                      </w:r>
                      <w:r>
                        <w:rPr>
                          <w:rFonts w:ascii="宋体" w:hAnsi="宋体" w:cs="宋体" w:eastAsia="宋体" w:hint="default"/>
                          <w:sz w:val="16"/>
                          <w:szCs w:val="16"/>
                        </w:rPr>
                      </w:r>
                    </w:p>
                  </w:txbxContent>
                </v:textbox>
                <w10:wrap type="none"/>
              </v:shape>
              <v:shape style="position:absolute;left:4333;top:11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本期增加</w:t>
                      </w:r>
                      <w:r>
                        <w:rPr>
                          <w:rFonts w:ascii="宋体" w:hAnsi="宋体" w:cs="宋体" w:eastAsia="宋体" w:hint="default"/>
                          <w:sz w:val="16"/>
                          <w:szCs w:val="16"/>
                        </w:rPr>
                      </w:r>
                    </w:p>
                  </w:txbxContent>
                </v:textbox>
                <w10:wrap type="none"/>
              </v:shape>
              <v:shape style="position:absolute;left:5758;top:11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本期减少</w:t>
                      </w:r>
                      <w:r>
                        <w:rPr>
                          <w:rFonts w:ascii="宋体" w:hAnsi="宋体" w:cs="宋体" w:eastAsia="宋体" w:hint="default"/>
                          <w:sz w:val="16"/>
                          <w:szCs w:val="16"/>
                        </w:rPr>
                      </w:r>
                    </w:p>
                  </w:txbxContent>
                </v:textbox>
                <w10:wrap type="none"/>
              </v:shape>
              <v:shape style="position:absolute;left:7183;top:11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137;top:468;width:95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企业年金缴费</w:t>
                      </w:r>
                      <w:r>
                        <w:rPr>
                          <w:rFonts w:ascii="宋体" w:hAnsi="宋体" w:cs="宋体" w:eastAsia="宋体" w:hint="default"/>
                          <w:sz w:val="16"/>
                          <w:szCs w:val="16"/>
                        </w:rPr>
                      </w:r>
                    </w:p>
                  </w:txbxContent>
                </v:textbox>
                <w10:wrap type="none"/>
              </v:shape>
              <v:shape style="position:absolute;left:2991;top:481;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1,461,967.06</w:t>
                      </w:r>
                      <w:r>
                        <w:rPr>
                          <w:rFonts w:ascii="Times New Roman"/>
                          <w:sz w:val="16"/>
                        </w:rPr>
                      </w:r>
                    </w:p>
                  </w:txbxContent>
                </v:textbox>
                <w10:wrap type="none"/>
              </v:shape>
              <v:shape style="position:absolute;left:4337;top:481;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18,857,787.01</w:t>
                      </w:r>
                      <w:r>
                        <w:rPr>
                          <w:rFonts w:ascii="Times New Roman"/>
                          <w:sz w:val="16"/>
                        </w:rPr>
                      </w:r>
                    </w:p>
                  </w:txbxContent>
                </v:textbox>
                <w10:wrap type="none"/>
              </v:shape>
              <v:shape style="position:absolute;left:5762;top:481;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16,743,348.72</w:t>
                      </w:r>
                      <w:r>
                        <w:rPr>
                          <w:rFonts w:ascii="Times New Roman"/>
                          <w:sz w:val="16"/>
                        </w:rPr>
                      </w:r>
                    </w:p>
                  </w:txbxContent>
                </v:textbox>
                <w10:wrap type="none"/>
              </v:shape>
              <v:shape style="position:absolute;left:7268;top:481;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3,576,405.35</w:t>
                      </w:r>
                      <w:r>
                        <w:rPr>
                          <w:rFonts w:ascii="Times New Roman"/>
                          <w:sz w:val="16"/>
                        </w:rPr>
                      </w:r>
                    </w:p>
                  </w:txbxContent>
                </v:textbox>
                <w10:wrap type="none"/>
              </v:shape>
              <v:shape style="position:absolute;left:1112;top:817;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合计</w:t>
                      </w:r>
                      <w:r>
                        <w:rPr>
                          <w:rFonts w:ascii="宋体" w:hAnsi="宋体" w:cs="宋体" w:eastAsia="宋体" w:hint="default"/>
                          <w:sz w:val="16"/>
                          <w:szCs w:val="16"/>
                        </w:rPr>
                      </w:r>
                    </w:p>
                  </w:txbxContent>
                </v:textbox>
                <w10:wrap type="none"/>
              </v:shape>
              <v:shape style="position:absolute;left:2923;top:830;width:910;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pacing w:val="-2"/>
                          <w:sz w:val="16"/>
                        </w:rPr>
                        <w:t>30,792,111.10</w:t>
                      </w:r>
                    </w:p>
                  </w:txbxContent>
                </v:textbox>
                <w10:wrap type="none"/>
              </v:shape>
              <v:shape style="position:absolute;left:4258;top:830;width:100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154,345,589.30</w:t>
                      </w:r>
                      <w:r>
                        <w:rPr>
                          <w:rFonts w:ascii="Times New Roman"/>
                          <w:sz w:val="16"/>
                        </w:rPr>
                      </w:r>
                    </w:p>
                  </w:txbxContent>
                </v:textbox>
                <w10:wrap type="none"/>
              </v:shape>
              <v:shape style="position:absolute;left:5683;top:830;width:100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150,427,633.33</w:t>
                      </w:r>
                      <w:r>
                        <w:rPr>
                          <w:rFonts w:ascii="Times New Roman"/>
                          <w:sz w:val="16"/>
                        </w:rPr>
                      </w:r>
                    </w:p>
                  </w:txbxContent>
                </v:textbox>
                <w10:wrap type="none"/>
              </v:shape>
              <v:shape style="position:absolute;left:7187;top:830;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34,710,067.07</w:t>
                      </w:r>
                      <w:r>
                        <w:rPr>
                          <w:rFonts w:ascii="Times New Roman"/>
                          <w:sz w:val="16"/>
                        </w:rPr>
                      </w:r>
                    </w:p>
                  </w:txbxContent>
                </v:textbox>
                <w10:wrap type="none"/>
              </v:shape>
            </v:group>
          </v:group>
        </w:pict>
      </w:r>
      <w:r>
        <w:rPr>
          <w:rFonts w:ascii="Times New Roman" w:hAnsi="Times New Roman" w:cs="Times New Roman" w:eastAsia="Times New Roman" w:hint="default"/>
          <w:position w:val="-21"/>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9"/>
          <w:szCs w:val="19"/>
        </w:rPr>
      </w:pPr>
    </w:p>
    <w:tbl>
      <w:tblPr>
        <w:tblW w:w="0" w:type="auto"/>
        <w:jc w:val="left"/>
        <w:tblInd w:w="102" w:type="dxa"/>
        <w:tblLayout w:type="fixed"/>
        <w:tblCellMar>
          <w:top w:w="0" w:type="dxa"/>
          <w:left w:w="0" w:type="dxa"/>
          <w:bottom w:w="0" w:type="dxa"/>
          <w:right w:w="0" w:type="dxa"/>
        </w:tblCellMar>
        <w:tblLook w:val="01E0"/>
      </w:tblPr>
      <w:tblGrid>
        <w:gridCol w:w="1944"/>
        <w:gridCol w:w="1835"/>
        <w:gridCol w:w="3037"/>
        <w:gridCol w:w="2018"/>
      </w:tblGrid>
      <w:tr>
        <w:trPr>
          <w:trHeight w:val="357" w:hRule="exact"/>
        </w:trPr>
        <w:tc>
          <w:tcPr>
            <w:tcW w:w="1944"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二十四</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3"/>
                <w:sz w:val="21"/>
                <w:szCs w:val="21"/>
              </w:rPr>
              <w:t> </w:t>
            </w:r>
            <w:r>
              <w:rPr>
                <w:rFonts w:ascii="宋体" w:hAnsi="宋体" w:cs="宋体" w:eastAsia="宋体" w:hint="default"/>
                <w:b/>
                <w:bCs/>
                <w:sz w:val="21"/>
                <w:szCs w:val="21"/>
              </w:rPr>
              <w:t>应交税费</w:t>
            </w:r>
            <w:r>
              <w:rPr>
                <w:rFonts w:ascii="宋体" w:hAnsi="宋体" w:cs="宋体" w:eastAsia="宋体" w:hint="default"/>
                <w:sz w:val="21"/>
                <w:szCs w:val="21"/>
              </w:rPr>
            </w:r>
          </w:p>
        </w:tc>
        <w:tc>
          <w:tcPr>
            <w:tcW w:w="6890" w:type="dxa"/>
            <w:gridSpan w:val="3"/>
            <w:tcBorders>
              <w:top w:val="nil" w:sz="6" w:space="0" w:color="auto"/>
              <w:left w:val="nil" w:sz="6" w:space="0" w:color="auto"/>
              <w:bottom w:val="single" w:sz="12" w:space="0" w:color="000000"/>
              <w:right w:val="nil" w:sz="6" w:space="0" w:color="auto"/>
            </w:tcBorders>
          </w:tcPr>
          <w:p>
            <w:pPr/>
          </w:p>
        </w:tc>
      </w:tr>
      <w:tr>
        <w:trPr>
          <w:trHeight w:val="358" w:hRule="exact"/>
        </w:trPr>
        <w:tc>
          <w:tcPr>
            <w:tcW w:w="1944" w:type="dxa"/>
            <w:tcBorders>
              <w:top w:val="single" w:sz="12" w:space="0" w:color="000000"/>
              <w:left w:val="nil" w:sz="6" w:space="0" w:color="auto"/>
              <w:bottom w:val="nil" w:sz="6" w:space="0" w:color="auto"/>
              <w:right w:val="nil" w:sz="6" w:space="0" w:color="auto"/>
            </w:tcBorders>
          </w:tcPr>
          <w:p>
            <w:pPr/>
          </w:p>
        </w:tc>
        <w:tc>
          <w:tcPr>
            <w:tcW w:w="1835" w:type="dxa"/>
            <w:tcBorders>
              <w:top w:val="single" w:sz="12" w:space="0" w:color="000000"/>
              <w:left w:val="nil" w:sz="6" w:space="0" w:color="auto"/>
              <w:bottom w:val="nil" w:sz="6" w:space="0" w:color="auto"/>
              <w:right w:val="nil" w:sz="6" w:space="0" w:color="auto"/>
            </w:tcBorders>
          </w:tcPr>
          <w:p>
            <w:pPr>
              <w:pStyle w:val="TableParagraph"/>
              <w:spacing w:line="240" w:lineRule="auto" w:before="38"/>
              <w:ind w:right="1053"/>
              <w:jc w:val="center"/>
              <w:rPr>
                <w:rFonts w:ascii="宋体" w:hAnsi="宋体" w:cs="宋体" w:eastAsia="宋体" w:hint="default"/>
                <w:sz w:val="16"/>
                <w:szCs w:val="16"/>
              </w:rPr>
            </w:pPr>
            <w:r>
              <w:rPr>
                <w:rFonts w:ascii="宋体" w:hAnsi="宋体" w:cs="宋体" w:eastAsia="宋体" w:hint="default"/>
                <w:sz w:val="16"/>
                <w:szCs w:val="16"/>
              </w:rPr>
              <w:t>税费项目</w:t>
            </w:r>
          </w:p>
        </w:tc>
        <w:tc>
          <w:tcPr>
            <w:tcW w:w="3037" w:type="dxa"/>
            <w:tcBorders>
              <w:top w:val="single" w:sz="12" w:space="0" w:color="000000"/>
              <w:left w:val="nil" w:sz="6" w:space="0" w:color="auto"/>
              <w:bottom w:val="nil" w:sz="6" w:space="0" w:color="auto"/>
              <w:right w:val="nil" w:sz="6" w:space="0" w:color="auto"/>
            </w:tcBorders>
          </w:tcPr>
          <w:p>
            <w:pPr>
              <w:pStyle w:val="TableParagraph"/>
              <w:spacing w:line="240" w:lineRule="auto" w:before="38"/>
              <w:ind w:right="144"/>
              <w:jc w:val="center"/>
              <w:rPr>
                <w:rFonts w:ascii="宋体" w:hAnsi="宋体" w:cs="宋体" w:eastAsia="宋体" w:hint="default"/>
                <w:sz w:val="16"/>
                <w:szCs w:val="16"/>
              </w:rPr>
            </w:pPr>
            <w:r>
              <w:rPr>
                <w:rFonts w:ascii="宋体" w:hAnsi="宋体" w:cs="宋体" w:eastAsia="宋体" w:hint="default"/>
                <w:sz w:val="16"/>
                <w:szCs w:val="16"/>
              </w:rPr>
              <w:t>期末余额</w:t>
            </w:r>
          </w:p>
        </w:tc>
        <w:tc>
          <w:tcPr>
            <w:tcW w:w="2018" w:type="dxa"/>
            <w:tcBorders>
              <w:top w:val="single" w:sz="12" w:space="0" w:color="000000"/>
              <w:left w:val="nil" w:sz="6" w:space="0" w:color="auto"/>
              <w:bottom w:val="nil" w:sz="6" w:space="0" w:color="auto"/>
              <w:right w:val="nil" w:sz="6" w:space="0" w:color="auto"/>
            </w:tcBorders>
          </w:tcPr>
          <w:p>
            <w:pPr>
              <w:pStyle w:val="TableParagraph"/>
              <w:spacing w:line="240" w:lineRule="auto" w:before="38"/>
              <w:ind w:left="494" w:right="0"/>
              <w:jc w:val="left"/>
              <w:rPr>
                <w:rFonts w:ascii="宋体" w:hAnsi="宋体" w:cs="宋体" w:eastAsia="宋体" w:hint="default"/>
                <w:sz w:val="16"/>
                <w:szCs w:val="16"/>
              </w:rPr>
            </w:pPr>
            <w:r>
              <w:rPr>
                <w:rFonts w:ascii="宋体" w:hAnsi="宋体" w:cs="宋体" w:eastAsia="宋体" w:hint="default"/>
                <w:sz w:val="16"/>
                <w:szCs w:val="16"/>
              </w:rPr>
              <w:t>年初余额</w:t>
            </w:r>
          </w:p>
        </w:tc>
      </w:tr>
      <w:tr>
        <w:trPr>
          <w:trHeight w:val="356" w:hRule="exact"/>
        </w:trPr>
        <w:tc>
          <w:tcPr>
            <w:tcW w:w="1944" w:type="dxa"/>
            <w:tcBorders>
              <w:top w:val="nil" w:sz="6" w:space="0" w:color="auto"/>
              <w:left w:val="nil" w:sz="6" w:space="0" w:color="auto"/>
              <w:bottom w:val="nil" w:sz="6" w:space="0" w:color="auto"/>
              <w:right w:val="nil" w:sz="6" w:space="0" w:color="auto"/>
            </w:tcBorders>
          </w:tcPr>
          <w:p>
            <w:pPr>
              <w:pStyle w:val="TableParagraph"/>
              <w:spacing w:line="240" w:lineRule="auto" w:before="45"/>
              <w:ind w:left="755" w:right="0"/>
              <w:jc w:val="left"/>
              <w:rPr>
                <w:rFonts w:ascii="宋体" w:hAnsi="宋体" w:cs="宋体" w:eastAsia="宋体" w:hint="default"/>
                <w:sz w:val="16"/>
                <w:szCs w:val="16"/>
              </w:rPr>
            </w:pPr>
            <w:r>
              <w:rPr>
                <w:rFonts w:ascii="宋体" w:hAnsi="宋体" w:cs="宋体" w:eastAsia="宋体" w:hint="default"/>
                <w:sz w:val="16"/>
                <w:szCs w:val="16"/>
              </w:rPr>
              <w:t>企业所得税</w:t>
            </w:r>
          </w:p>
        </w:tc>
        <w:tc>
          <w:tcPr>
            <w:tcW w:w="1835" w:type="dxa"/>
            <w:tcBorders>
              <w:top w:val="nil" w:sz="6" w:space="0" w:color="auto"/>
              <w:left w:val="nil" w:sz="6" w:space="0" w:color="auto"/>
              <w:bottom w:val="nil" w:sz="6" w:space="0" w:color="auto"/>
              <w:right w:val="nil" w:sz="6" w:space="0" w:color="auto"/>
            </w:tcBorders>
          </w:tcPr>
          <w:p>
            <w:pPr/>
          </w:p>
        </w:tc>
        <w:tc>
          <w:tcPr>
            <w:tcW w:w="3037"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493"/>
              <w:jc w:val="right"/>
              <w:rPr>
                <w:rFonts w:ascii="Times New Roman" w:hAnsi="Times New Roman" w:cs="Times New Roman" w:eastAsia="Times New Roman" w:hint="default"/>
                <w:sz w:val="16"/>
                <w:szCs w:val="16"/>
              </w:rPr>
            </w:pPr>
            <w:r>
              <w:rPr>
                <w:rFonts w:ascii="Times New Roman"/>
                <w:spacing w:val="-1"/>
                <w:sz w:val="16"/>
              </w:rPr>
              <w:t>215,189,616.14</w:t>
            </w:r>
          </w:p>
        </w:tc>
        <w:tc>
          <w:tcPr>
            <w:tcW w:w="2018"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04"/>
              <w:jc w:val="right"/>
              <w:rPr>
                <w:rFonts w:ascii="Times New Roman" w:hAnsi="Times New Roman" w:cs="Times New Roman" w:eastAsia="Times New Roman" w:hint="default"/>
                <w:sz w:val="16"/>
                <w:szCs w:val="16"/>
              </w:rPr>
            </w:pPr>
            <w:r>
              <w:rPr>
                <w:rFonts w:ascii="Times New Roman"/>
                <w:spacing w:val="-1"/>
                <w:sz w:val="16"/>
              </w:rPr>
              <w:t>39,505,311.65</w:t>
            </w:r>
          </w:p>
        </w:tc>
      </w:tr>
      <w:tr>
        <w:trPr>
          <w:trHeight w:val="349" w:hRule="exact"/>
        </w:trPr>
        <w:tc>
          <w:tcPr>
            <w:tcW w:w="194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4" w:right="0"/>
              <w:jc w:val="center"/>
              <w:rPr>
                <w:rFonts w:ascii="宋体" w:hAnsi="宋体" w:cs="宋体" w:eastAsia="宋体" w:hint="default"/>
                <w:sz w:val="16"/>
                <w:szCs w:val="16"/>
              </w:rPr>
            </w:pPr>
            <w:r>
              <w:rPr>
                <w:rFonts w:ascii="宋体" w:hAnsi="宋体" w:cs="宋体" w:eastAsia="宋体" w:hint="default"/>
                <w:sz w:val="16"/>
                <w:szCs w:val="16"/>
              </w:rPr>
              <w:t>增值税</w:t>
            </w:r>
          </w:p>
        </w:tc>
        <w:tc>
          <w:tcPr>
            <w:tcW w:w="1835" w:type="dxa"/>
            <w:tcBorders>
              <w:top w:val="nil" w:sz="6" w:space="0" w:color="auto"/>
              <w:left w:val="nil" w:sz="6" w:space="0" w:color="auto"/>
              <w:bottom w:val="nil" w:sz="6" w:space="0" w:color="auto"/>
              <w:right w:val="nil" w:sz="6" w:space="0" w:color="auto"/>
            </w:tcBorders>
          </w:tcPr>
          <w:p>
            <w:pPr/>
          </w:p>
        </w:tc>
        <w:tc>
          <w:tcPr>
            <w:tcW w:w="3037"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492"/>
              <w:jc w:val="right"/>
              <w:rPr>
                <w:rFonts w:ascii="Times New Roman" w:hAnsi="Times New Roman" w:cs="Times New Roman" w:eastAsia="Times New Roman" w:hint="default"/>
                <w:sz w:val="16"/>
                <w:szCs w:val="16"/>
              </w:rPr>
            </w:pPr>
            <w:r>
              <w:rPr>
                <w:rFonts w:ascii="Times New Roman"/>
                <w:spacing w:val="-1"/>
                <w:sz w:val="16"/>
              </w:rPr>
              <w:t>60,442,129.92</w:t>
            </w:r>
          </w:p>
        </w:tc>
        <w:tc>
          <w:tcPr>
            <w:tcW w:w="201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4"/>
              <w:jc w:val="right"/>
              <w:rPr>
                <w:rFonts w:ascii="Times New Roman" w:hAnsi="Times New Roman" w:cs="Times New Roman" w:eastAsia="Times New Roman" w:hint="default"/>
                <w:sz w:val="16"/>
                <w:szCs w:val="16"/>
              </w:rPr>
            </w:pPr>
            <w:r>
              <w:rPr>
                <w:rFonts w:ascii="Times New Roman"/>
                <w:spacing w:val="-1"/>
                <w:sz w:val="16"/>
              </w:rPr>
              <w:t>28,737,745.44</w:t>
            </w:r>
          </w:p>
        </w:tc>
      </w:tr>
      <w:tr>
        <w:trPr>
          <w:trHeight w:val="349" w:hRule="exact"/>
        </w:trPr>
        <w:tc>
          <w:tcPr>
            <w:tcW w:w="194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55" w:right="0"/>
              <w:jc w:val="left"/>
              <w:rPr>
                <w:rFonts w:ascii="宋体" w:hAnsi="宋体" w:cs="宋体" w:eastAsia="宋体" w:hint="default"/>
                <w:sz w:val="16"/>
                <w:szCs w:val="16"/>
              </w:rPr>
            </w:pPr>
            <w:r>
              <w:rPr>
                <w:rFonts w:ascii="宋体" w:hAnsi="宋体" w:cs="宋体" w:eastAsia="宋体" w:hint="default"/>
                <w:sz w:val="16"/>
                <w:szCs w:val="16"/>
              </w:rPr>
              <w:t>个人所得税</w:t>
            </w:r>
          </w:p>
        </w:tc>
        <w:tc>
          <w:tcPr>
            <w:tcW w:w="1835" w:type="dxa"/>
            <w:tcBorders>
              <w:top w:val="nil" w:sz="6" w:space="0" w:color="auto"/>
              <w:left w:val="nil" w:sz="6" w:space="0" w:color="auto"/>
              <w:bottom w:val="nil" w:sz="6" w:space="0" w:color="auto"/>
              <w:right w:val="nil" w:sz="6" w:space="0" w:color="auto"/>
            </w:tcBorders>
          </w:tcPr>
          <w:p>
            <w:pPr/>
          </w:p>
        </w:tc>
        <w:tc>
          <w:tcPr>
            <w:tcW w:w="3037"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494"/>
              <w:jc w:val="right"/>
              <w:rPr>
                <w:rFonts w:ascii="Times New Roman" w:hAnsi="Times New Roman" w:cs="Times New Roman" w:eastAsia="Times New Roman" w:hint="default"/>
                <w:sz w:val="16"/>
                <w:szCs w:val="16"/>
              </w:rPr>
            </w:pPr>
            <w:r>
              <w:rPr>
                <w:rFonts w:ascii="Times New Roman"/>
                <w:spacing w:val="-1"/>
                <w:sz w:val="16"/>
              </w:rPr>
              <w:t>4,834,033.00</w:t>
            </w:r>
          </w:p>
        </w:tc>
        <w:tc>
          <w:tcPr>
            <w:tcW w:w="201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4"/>
              <w:jc w:val="right"/>
              <w:rPr>
                <w:rFonts w:ascii="Times New Roman" w:hAnsi="Times New Roman" w:cs="Times New Roman" w:eastAsia="Times New Roman" w:hint="default"/>
                <w:sz w:val="16"/>
                <w:szCs w:val="16"/>
              </w:rPr>
            </w:pPr>
            <w:r>
              <w:rPr>
                <w:rFonts w:ascii="Times New Roman"/>
                <w:spacing w:val="-1"/>
                <w:sz w:val="16"/>
              </w:rPr>
              <w:t>3,877,648.12</w:t>
            </w:r>
          </w:p>
        </w:tc>
      </w:tr>
      <w:tr>
        <w:trPr>
          <w:trHeight w:val="349" w:hRule="exact"/>
        </w:trPr>
        <w:tc>
          <w:tcPr>
            <w:tcW w:w="1944" w:type="dxa"/>
            <w:tcBorders>
              <w:top w:val="nil" w:sz="6" w:space="0" w:color="auto"/>
              <w:left w:val="nil" w:sz="6" w:space="0" w:color="auto"/>
              <w:bottom w:val="nil" w:sz="6" w:space="0" w:color="auto"/>
              <w:right w:val="nil" w:sz="6" w:space="0" w:color="auto"/>
            </w:tcBorders>
          </w:tcPr>
          <w:p>
            <w:pPr>
              <w:pStyle w:val="TableParagraph"/>
              <w:spacing w:line="240" w:lineRule="auto" w:before="37"/>
              <w:ind w:left="755" w:right="0"/>
              <w:jc w:val="left"/>
              <w:rPr>
                <w:rFonts w:ascii="宋体" w:hAnsi="宋体" w:cs="宋体" w:eastAsia="宋体" w:hint="default"/>
                <w:sz w:val="16"/>
                <w:szCs w:val="16"/>
              </w:rPr>
            </w:pPr>
            <w:r>
              <w:rPr>
                <w:rFonts w:ascii="宋体" w:hAnsi="宋体" w:cs="宋体" w:eastAsia="宋体" w:hint="default"/>
                <w:sz w:val="16"/>
                <w:szCs w:val="16"/>
              </w:rPr>
              <w:t>土地增值税</w:t>
            </w:r>
          </w:p>
        </w:tc>
        <w:tc>
          <w:tcPr>
            <w:tcW w:w="1835" w:type="dxa"/>
            <w:tcBorders>
              <w:top w:val="nil" w:sz="6" w:space="0" w:color="auto"/>
              <w:left w:val="nil" w:sz="6" w:space="0" w:color="auto"/>
              <w:bottom w:val="nil" w:sz="6" w:space="0" w:color="auto"/>
              <w:right w:val="nil" w:sz="6" w:space="0" w:color="auto"/>
            </w:tcBorders>
          </w:tcPr>
          <w:p>
            <w:pPr/>
          </w:p>
        </w:tc>
        <w:tc>
          <w:tcPr>
            <w:tcW w:w="303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494"/>
              <w:jc w:val="right"/>
              <w:rPr>
                <w:rFonts w:ascii="Times New Roman" w:hAnsi="Times New Roman" w:cs="Times New Roman" w:eastAsia="Times New Roman" w:hint="default"/>
                <w:sz w:val="16"/>
                <w:szCs w:val="16"/>
              </w:rPr>
            </w:pPr>
            <w:r>
              <w:rPr>
                <w:rFonts w:ascii="Times New Roman"/>
                <w:spacing w:val="-1"/>
                <w:sz w:val="16"/>
              </w:rPr>
              <w:t>3,456,238.83</w:t>
            </w:r>
          </w:p>
        </w:tc>
        <w:tc>
          <w:tcPr>
            <w:tcW w:w="201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4"/>
              <w:jc w:val="right"/>
              <w:rPr>
                <w:rFonts w:ascii="Times New Roman" w:hAnsi="Times New Roman" w:cs="Times New Roman" w:eastAsia="Times New Roman" w:hint="default"/>
                <w:sz w:val="16"/>
                <w:szCs w:val="16"/>
              </w:rPr>
            </w:pPr>
            <w:r>
              <w:rPr>
                <w:rFonts w:ascii="Times New Roman"/>
                <w:spacing w:val="-1"/>
                <w:sz w:val="16"/>
              </w:rPr>
              <w:t>33,273,188.39</w:t>
            </w:r>
          </w:p>
        </w:tc>
      </w:tr>
      <w:tr>
        <w:trPr>
          <w:trHeight w:val="349" w:hRule="exact"/>
        </w:trPr>
        <w:tc>
          <w:tcPr>
            <w:tcW w:w="1944" w:type="dxa"/>
            <w:tcBorders>
              <w:top w:val="nil" w:sz="6" w:space="0" w:color="auto"/>
              <w:left w:val="nil" w:sz="6" w:space="0" w:color="auto"/>
              <w:bottom w:val="nil" w:sz="6" w:space="0" w:color="auto"/>
              <w:right w:val="nil" w:sz="6" w:space="0" w:color="auto"/>
            </w:tcBorders>
          </w:tcPr>
          <w:p>
            <w:pPr>
              <w:pStyle w:val="TableParagraph"/>
              <w:spacing w:line="240" w:lineRule="auto" w:before="37"/>
              <w:ind w:left="755" w:right="0"/>
              <w:jc w:val="left"/>
              <w:rPr>
                <w:rFonts w:ascii="宋体" w:hAnsi="宋体" w:cs="宋体" w:eastAsia="宋体" w:hint="default"/>
                <w:sz w:val="16"/>
                <w:szCs w:val="16"/>
              </w:rPr>
            </w:pPr>
            <w:r>
              <w:rPr>
                <w:rFonts w:ascii="宋体" w:hAnsi="宋体" w:cs="宋体" w:eastAsia="宋体" w:hint="default"/>
                <w:sz w:val="16"/>
                <w:szCs w:val="16"/>
              </w:rPr>
              <w:t>城市维护建设税</w:t>
            </w:r>
          </w:p>
        </w:tc>
        <w:tc>
          <w:tcPr>
            <w:tcW w:w="1835" w:type="dxa"/>
            <w:tcBorders>
              <w:top w:val="nil" w:sz="6" w:space="0" w:color="auto"/>
              <w:left w:val="nil" w:sz="6" w:space="0" w:color="auto"/>
              <w:bottom w:val="nil" w:sz="6" w:space="0" w:color="auto"/>
              <w:right w:val="nil" w:sz="6" w:space="0" w:color="auto"/>
            </w:tcBorders>
          </w:tcPr>
          <w:p>
            <w:pPr/>
          </w:p>
        </w:tc>
        <w:tc>
          <w:tcPr>
            <w:tcW w:w="3037"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494"/>
              <w:jc w:val="right"/>
              <w:rPr>
                <w:rFonts w:ascii="Times New Roman" w:hAnsi="Times New Roman" w:cs="Times New Roman" w:eastAsia="Times New Roman" w:hint="default"/>
                <w:sz w:val="16"/>
                <w:szCs w:val="16"/>
              </w:rPr>
            </w:pPr>
            <w:r>
              <w:rPr>
                <w:rFonts w:ascii="Times New Roman"/>
                <w:spacing w:val="-1"/>
                <w:sz w:val="16"/>
              </w:rPr>
              <w:t>3,352,630.87</w:t>
            </w:r>
          </w:p>
        </w:tc>
        <w:tc>
          <w:tcPr>
            <w:tcW w:w="201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4"/>
              <w:jc w:val="right"/>
              <w:rPr>
                <w:rFonts w:ascii="Times New Roman" w:hAnsi="Times New Roman" w:cs="Times New Roman" w:eastAsia="Times New Roman" w:hint="default"/>
                <w:sz w:val="16"/>
                <w:szCs w:val="16"/>
              </w:rPr>
            </w:pPr>
            <w:r>
              <w:rPr>
                <w:rFonts w:ascii="Times New Roman"/>
                <w:spacing w:val="-1"/>
                <w:sz w:val="16"/>
              </w:rPr>
              <w:t>1,871,431.74</w:t>
            </w:r>
          </w:p>
        </w:tc>
      </w:tr>
      <w:tr>
        <w:trPr>
          <w:trHeight w:val="349" w:hRule="exact"/>
        </w:trPr>
        <w:tc>
          <w:tcPr>
            <w:tcW w:w="194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4" w:right="0"/>
              <w:jc w:val="center"/>
              <w:rPr>
                <w:rFonts w:ascii="宋体" w:hAnsi="宋体" w:cs="宋体" w:eastAsia="宋体" w:hint="default"/>
                <w:sz w:val="16"/>
                <w:szCs w:val="16"/>
              </w:rPr>
            </w:pPr>
            <w:r>
              <w:rPr>
                <w:rFonts w:ascii="宋体" w:hAnsi="宋体" w:cs="宋体" w:eastAsia="宋体" w:hint="default"/>
                <w:sz w:val="16"/>
                <w:szCs w:val="16"/>
              </w:rPr>
              <w:t>印花税</w:t>
            </w:r>
          </w:p>
        </w:tc>
        <w:tc>
          <w:tcPr>
            <w:tcW w:w="1835" w:type="dxa"/>
            <w:tcBorders>
              <w:top w:val="nil" w:sz="6" w:space="0" w:color="auto"/>
              <w:left w:val="nil" w:sz="6" w:space="0" w:color="auto"/>
              <w:bottom w:val="nil" w:sz="6" w:space="0" w:color="auto"/>
              <w:right w:val="nil" w:sz="6" w:space="0" w:color="auto"/>
            </w:tcBorders>
          </w:tcPr>
          <w:p>
            <w:pPr/>
          </w:p>
        </w:tc>
        <w:tc>
          <w:tcPr>
            <w:tcW w:w="3037"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494"/>
              <w:jc w:val="right"/>
              <w:rPr>
                <w:rFonts w:ascii="Times New Roman" w:hAnsi="Times New Roman" w:cs="Times New Roman" w:eastAsia="Times New Roman" w:hint="default"/>
                <w:sz w:val="16"/>
                <w:szCs w:val="16"/>
              </w:rPr>
            </w:pPr>
            <w:r>
              <w:rPr>
                <w:rFonts w:ascii="Times New Roman"/>
                <w:spacing w:val="-1"/>
                <w:sz w:val="16"/>
              </w:rPr>
              <w:t>3,224,236.79</w:t>
            </w:r>
          </w:p>
        </w:tc>
        <w:tc>
          <w:tcPr>
            <w:tcW w:w="201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4"/>
              <w:jc w:val="right"/>
              <w:rPr>
                <w:rFonts w:ascii="Times New Roman" w:hAnsi="Times New Roman" w:cs="Times New Roman" w:eastAsia="Times New Roman" w:hint="default"/>
                <w:sz w:val="16"/>
                <w:szCs w:val="16"/>
              </w:rPr>
            </w:pPr>
            <w:r>
              <w:rPr>
                <w:rFonts w:ascii="Times New Roman"/>
                <w:spacing w:val="-1"/>
                <w:sz w:val="16"/>
              </w:rPr>
              <w:t>2,447,299.92</w:t>
            </w:r>
          </w:p>
        </w:tc>
      </w:tr>
      <w:tr>
        <w:trPr>
          <w:trHeight w:val="349" w:hRule="exact"/>
        </w:trPr>
        <w:tc>
          <w:tcPr>
            <w:tcW w:w="194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55" w:right="0"/>
              <w:jc w:val="left"/>
              <w:rPr>
                <w:rFonts w:ascii="宋体" w:hAnsi="宋体" w:cs="宋体" w:eastAsia="宋体" w:hint="default"/>
                <w:sz w:val="16"/>
                <w:szCs w:val="16"/>
              </w:rPr>
            </w:pPr>
            <w:r>
              <w:rPr>
                <w:rFonts w:ascii="宋体" w:hAnsi="宋体" w:cs="宋体" w:eastAsia="宋体" w:hint="default"/>
                <w:sz w:val="16"/>
                <w:szCs w:val="16"/>
              </w:rPr>
              <w:t>教育费附加</w:t>
            </w:r>
          </w:p>
        </w:tc>
        <w:tc>
          <w:tcPr>
            <w:tcW w:w="1835" w:type="dxa"/>
            <w:tcBorders>
              <w:top w:val="nil" w:sz="6" w:space="0" w:color="auto"/>
              <w:left w:val="nil" w:sz="6" w:space="0" w:color="auto"/>
              <w:bottom w:val="nil" w:sz="6" w:space="0" w:color="auto"/>
              <w:right w:val="nil" w:sz="6" w:space="0" w:color="auto"/>
            </w:tcBorders>
          </w:tcPr>
          <w:p>
            <w:pPr/>
          </w:p>
        </w:tc>
        <w:tc>
          <w:tcPr>
            <w:tcW w:w="3037"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494"/>
              <w:jc w:val="right"/>
              <w:rPr>
                <w:rFonts w:ascii="Times New Roman" w:hAnsi="Times New Roman" w:cs="Times New Roman" w:eastAsia="Times New Roman" w:hint="default"/>
                <w:sz w:val="16"/>
                <w:szCs w:val="16"/>
              </w:rPr>
            </w:pPr>
            <w:r>
              <w:rPr>
                <w:rFonts w:ascii="Times New Roman"/>
                <w:spacing w:val="-1"/>
                <w:sz w:val="16"/>
              </w:rPr>
              <w:t>2,614,535.30</w:t>
            </w:r>
          </w:p>
        </w:tc>
        <w:tc>
          <w:tcPr>
            <w:tcW w:w="201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4"/>
              <w:jc w:val="right"/>
              <w:rPr>
                <w:rFonts w:ascii="Times New Roman" w:hAnsi="Times New Roman" w:cs="Times New Roman" w:eastAsia="Times New Roman" w:hint="default"/>
                <w:sz w:val="16"/>
                <w:szCs w:val="16"/>
              </w:rPr>
            </w:pPr>
            <w:r>
              <w:rPr>
                <w:rFonts w:ascii="Times New Roman"/>
                <w:spacing w:val="-1"/>
                <w:sz w:val="16"/>
              </w:rPr>
              <w:t>1,283,103.00</w:t>
            </w:r>
          </w:p>
        </w:tc>
      </w:tr>
      <w:tr>
        <w:trPr>
          <w:trHeight w:val="349" w:hRule="exact"/>
        </w:trPr>
        <w:tc>
          <w:tcPr>
            <w:tcW w:w="194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4" w:right="0"/>
              <w:jc w:val="center"/>
              <w:rPr>
                <w:rFonts w:ascii="宋体" w:hAnsi="宋体" w:cs="宋体" w:eastAsia="宋体" w:hint="default"/>
                <w:sz w:val="16"/>
                <w:szCs w:val="16"/>
              </w:rPr>
            </w:pPr>
            <w:r>
              <w:rPr>
                <w:rFonts w:ascii="宋体" w:hAnsi="宋体" w:cs="宋体" w:eastAsia="宋体" w:hint="default"/>
                <w:sz w:val="16"/>
                <w:szCs w:val="16"/>
              </w:rPr>
              <w:t>房产税</w:t>
            </w:r>
          </w:p>
        </w:tc>
        <w:tc>
          <w:tcPr>
            <w:tcW w:w="1835" w:type="dxa"/>
            <w:tcBorders>
              <w:top w:val="nil" w:sz="6" w:space="0" w:color="auto"/>
              <w:left w:val="nil" w:sz="6" w:space="0" w:color="auto"/>
              <w:bottom w:val="nil" w:sz="6" w:space="0" w:color="auto"/>
              <w:right w:val="nil" w:sz="6" w:space="0" w:color="auto"/>
            </w:tcBorders>
          </w:tcPr>
          <w:p>
            <w:pPr/>
          </w:p>
        </w:tc>
        <w:tc>
          <w:tcPr>
            <w:tcW w:w="3037"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494"/>
              <w:jc w:val="right"/>
              <w:rPr>
                <w:rFonts w:ascii="Times New Roman" w:hAnsi="Times New Roman" w:cs="Times New Roman" w:eastAsia="Times New Roman" w:hint="default"/>
                <w:sz w:val="16"/>
                <w:szCs w:val="16"/>
              </w:rPr>
            </w:pPr>
            <w:r>
              <w:rPr>
                <w:rFonts w:ascii="Times New Roman"/>
                <w:spacing w:val="-1"/>
                <w:sz w:val="16"/>
              </w:rPr>
              <w:t>1,338,533.53</w:t>
            </w:r>
          </w:p>
        </w:tc>
        <w:tc>
          <w:tcPr>
            <w:tcW w:w="201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4"/>
              <w:jc w:val="right"/>
              <w:rPr>
                <w:rFonts w:ascii="Times New Roman" w:hAnsi="Times New Roman" w:cs="Times New Roman" w:eastAsia="Times New Roman" w:hint="default"/>
                <w:sz w:val="16"/>
                <w:szCs w:val="16"/>
              </w:rPr>
            </w:pPr>
            <w:r>
              <w:rPr>
                <w:rFonts w:ascii="Times New Roman"/>
                <w:spacing w:val="-1"/>
                <w:sz w:val="16"/>
              </w:rPr>
              <w:t>3,172,130.79</w:t>
            </w:r>
          </w:p>
        </w:tc>
      </w:tr>
      <w:tr>
        <w:trPr>
          <w:trHeight w:val="349" w:hRule="exact"/>
        </w:trPr>
        <w:tc>
          <w:tcPr>
            <w:tcW w:w="194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44" w:right="0"/>
              <w:jc w:val="center"/>
              <w:rPr>
                <w:rFonts w:ascii="宋体" w:hAnsi="宋体" w:cs="宋体" w:eastAsia="宋体" w:hint="default"/>
                <w:sz w:val="16"/>
                <w:szCs w:val="16"/>
              </w:rPr>
            </w:pPr>
            <w:r>
              <w:rPr>
                <w:rFonts w:ascii="宋体" w:hAnsi="宋体" w:cs="宋体" w:eastAsia="宋体" w:hint="default"/>
                <w:sz w:val="16"/>
                <w:szCs w:val="16"/>
              </w:rPr>
              <w:t>消费税</w:t>
            </w:r>
          </w:p>
        </w:tc>
        <w:tc>
          <w:tcPr>
            <w:tcW w:w="1835" w:type="dxa"/>
            <w:tcBorders>
              <w:top w:val="nil" w:sz="6" w:space="0" w:color="auto"/>
              <w:left w:val="nil" w:sz="6" w:space="0" w:color="auto"/>
              <w:bottom w:val="nil" w:sz="6" w:space="0" w:color="auto"/>
              <w:right w:val="nil" w:sz="6" w:space="0" w:color="auto"/>
            </w:tcBorders>
          </w:tcPr>
          <w:p>
            <w:pPr/>
          </w:p>
        </w:tc>
        <w:tc>
          <w:tcPr>
            <w:tcW w:w="3037"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494"/>
              <w:jc w:val="right"/>
              <w:rPr>
                <w:rFonts w:ascii="Times New Roman" w:hAnsi="Times New Roman" w:cs="Times New Roman" w:eastAsia="Times New Roman" w:hint="default"/>
                <w:sz w:val="16"/>
                <w:szCs w:val="16"/>
              </w:rPr>
            </w:pPr>
            <w:r>
              <w:rPr>
                <w:rFonts w:ascii="Times New Roman"/>
                <w:spacing w:val="-1"/>
                <w:sz w:val="16"/>
              </w:rPr>
              <w:t>661,165.63</w:t>
            </w:r>
          </w:p>
        </w:tc>
        <w:tc>
          <w:tcPr>
            <w:tcW w:w="201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4"/>
              <w:jc w:val="right"/>
              <w:rPr>
                <w:rFonts w:ascii="Times New Roman" w:hAnsi="Times New Roman" w:cs="Times New Roman" w:eastAsia="Times New Roman" w:hint="default"/>
                <w:sz w:val="16"/>
                <w:szCs w:val="16"/>
              </w:rPr>
            </w:pPr>
            <w:r>
              <w:rPr>
                <w:rFonts w:ascii="Times New Roman"/>
                <w:spacing w:val="-1"/>
                <w:sz w:val="16"/>
              </w:rPr>
              <w:t>845,779.45</w:t>
            </w:r>
          </w:p>
        </w:tc>
      </w:tr>
      <w:tr>
        <w:trPr>
          <w:trHeight w:val="349" w:hRule="exact"/>
        </w:trPr>
        <w:tc>
          <w:tcPr>
            <w:tcW w:w="1944" w:type="dxa"/>
            <w:tcBorders>
              <w:top w:val="nil" w:sz="6" w:space="0" w:color="auto"/>
              <w:left w:val="nil" w:sz="6" w:space="0" w:color="auto"/>
              <w:bottom w:val="nil" w:sz="6" w:space="0" w:color="auto"/>
              <w:right w:val="nil" w:sz="6" w:space="0" w:color="auto"/>
            </w:tcBorders>
          </w:tcPr>
          <w:p>
            <w:pPr>
              <w:pStyle w:val="TableParagraph"/>
              <w:spacing w:line="240" w:lineRule="auto" w:before="37"/>
              <w:ind w:left="755" w:right="0"/>
              <w:jc w:val="left"/>
              <w:rPr>
                <w:rFonts w:ascii="宋体" w:hAnsi="宋体" w:cs="宋体" w:eastAsia="宋体" w:hint="default"/>
                <w:sz w:val="16"/>
                <w:szCs w:val="16"/>
              </w:rPr>
            </w:pPr>
            <w:r>
              <w:rPr>
                <w:rFonts w:ascii="宋体" w:hAnsi="宋体" w:cs="宋体" w:eastAsia="宋体" w:hint="default"/>
                <w:sz w:val="16"/>
                <w:szCs w:val="16"/>
              </w:rPr>
              <w:t>土地使用税</w:t>
            </w:r>
          </w:p>
        </w:tc>
        <w:tc>
          <w:tcPr>
            <w:tcW w:w="1835" w:type="dxa"/>
            <w:tcBorders>
              <w:top w:val="nil" w:sz="6" w:space="0" w:color="auto"/>
              <w:left w:val="nil" w:sz="6" w:space="0" w:color="auto"/>
              <w:bottom w:val="nil" w:sz="6" w:space="0" w:color="auto"/>
              <w:right w:val="nil" w:sz="6" w:space="0" w:color="auto"/>
            </w:tcBorders>
          </w:tcPr>
          <w:p>
            <w:pPr/>
          </w:p>
        </w:tc>
        <w:tc>
          <w:tcPr>
            <w:tcW w:w="303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494"/>
              <w:jc w:val="right"/>
              <w:rPr>
                <w:rFonts w:ascii="Times New Roman" w:hAnsi="Times New Roman" w:cs="Times New Roman" w:eastAsia="Times New Roman" w:hint="default"/>
                <w:sz w:val="16"/>
                <w:szCs w:val="16"/>
              </w:rPr>
            </w:pPr>
            <w:r>
              <w:rPr>
                <w:rFonts w:ascii="Times New Roman"/>
                <w:spacing w:val="-1"/>
                <w:sz w:val="16"/>
              </w:rPr>
              <w:t>635,037.30</w:t>
            </w:r>
          </w:p>
        </w:tc>
        <w:tc>
          <w:tcPr>
            <w:tcW w:w="201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4"/>
              <w:jc w:val="right"/>
              <w:rPr>
                <w:rFonts w:ascii="Times New Roman" w:hAnsi="Times New Roman" w:cs="Times New Roman" w:eastAsia="Times New Roman" w:hint="default"/>
                <w:sz w:val="16"/>
                <w:szCs w:val="16"/>
              </w:rPr>
            </w:pPr>
            <w:r>
              <w:rPr>
                <w:rFonts w:ascii="Times New Roman"/>
                <w:spacing w:val="-1"/>
                <w:sz w:val="16"/>
              </w:rPr>
              <w:t>1,259,571.29</w:t>
            </w:r>
          </w:p>
        </w:tc>
      </w:tr>
      <w:tr>
        <w:trPr>
          <w:trHeight w:val="349" w:hRule="exact"/>
        </w:trPr>
        <w:tc>
          <w:tcPr>
            <w:tcW w:w="1944"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14"/>
              <w:jc w:val="center"/>
              <w:rPr>
                <w:rFonts w:ascii="宋体" w:hAnsi="宋体" w:cs="宋体" w:eastAsia="宋体" w:hint="default"/>
                <w:sz w:val="16"/>
                <w:szCs w:val="16"/>
              </w:rPr>
            </w:pPr>
            <w:r>
              <w:rPr>
                <w:rFonts w:ascii="宋体" w:hAnsi="宋体" w:cs="宋体" w:eastAsia="宋体" w:hint="default"/>
                <w:sz w:val="16"/>
                <w:szCs w:val="16"/>
              </w:rPr>
              <w:t>其他</w:t>
            </w:r>
          </w:p>
        </w:tc>
        <w:tc>
          <w:tcPr>
            <w:tcW w:w="1835" w:type="dxa"/>
            <w:tcBorders>
              <w:top w:val="nil" w:sz="6" w:space="0" w:color="auto"/>
              <w:left w:val="nil" w:sz="6" w:space="0" w:color="auto"/>
              <w:bottom w:val="nil" w:sz="6" w:space="0" w:color="auto"/>
              <w:right w:val="nil" w:sz="6" w:space="0" w:color="auto"/>
            </w:tcBorders>
          </w:tcPr>
          <w:p>
            <w:pPr/>
          </w:p>
        </w:tc>
        <w:tc>
          <w:tcPr>
            <w:tcW w:w="3037"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493"/>
              <w:jc w:val="right"/>
              <w:rPr>
                <w:rFonts w:ascii="Times New Roman" w:hAnsi="Times New Roman" w:cs="Times New Roman" w:eastAsia="Times New Roman" w:hint="default"/>
                <w:sz w:val="16"/>
                <w:szCs w:val="16"/>
              </w:rPr>
            </w:pPr>
            <w:r>
              <w:rPr>
                <w:rFonts w:ascii="Times New Roman"/>
                <w:spacing w:val="-1"/>
                <w:w w:val="95"/>
                <w:sz w:val="16"/>
              </w:rPr>
              <w:t>1,283,030.11</w:t>
            </w:r>
            <w:r>
              <w:rPr>
                <w:rFonts w:ascii="Times New Roman"/>
                <w:spacing w:val="-1"/>
                <w:sz w:val="16"/>
              </w:rPr>
            </w:r>
          </w:p>
        </w:tc>
        <w:tc>
          <w:tcPr>
            <w:tcW w:w="201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4"/>
              <w:jc w:val="right"/>
              <w:rPr>
                <w:rFonts w:ascii="Times New Roman" w:hAnsi="Times New Roman" w:cs="Times New Roman" w:eastAsia="Times New Roman" w:hint="default"/>
                <w:sz w:val="16"/>
                <w:szCs w:val="16"/>
              </w:rPr>
            </w:pPr>
            <w:r>
              <w:rPr>
                <w:rFonts w:ascii="Times New Roman"/>
                <w:spacing w:val="-1"/>
                <w:sz w:val="16"/>
              </w:rPr>
              <w:t>2,441,540.53</w:t>
            </w:r>
          </w:p>
        </w:tc>
      </w:tr>
      <w:tr>
        <w:trPr>
          <w:trHeight w:val="354" w:hRule="exact"/>
        </w:trPr>
        <w:tc>
          <w:tcPr>
            <w:tcW w:w="1944" w:type="dxa"/>
            <w:tcBorders>
              <w:top w:val="nil" w:sz="6" w:space="0" w:color="auto"/>
              <w:left w:val="nil" w:sz="6" w:space="0" w:color="auto"/>
              <w:bottom w:val="single" w:sz="12" w:space="0" w:color="000000"/>
              <w:right w:val="nil" w:sz="6" w:space="0" w:color="auto"/>
            </w:tcBorders>
          </w:tcPr>
          <w:p>
            <w:pPr/>
          </w:p>
        </w:tc>
        <w:tc>
          <w:tcPr>
            <w:tcW w:w="1835" w:type="dxa"/>
            <w:tcBorders>
              <w:top w:val="nil" w:sz="6" w:space="0" w:color="auto"/>
              <w:left w:val="nil" w:sz="6" w:space="0" w:color="auto"/>
              <w:bottom w:val="single" w:sz="12" w:space="0" w:color="000000"/>
              <w:right w:val="nil" w:sz="6" w:space="0" w:color="auto"/>
            </w:tcBorders>
          </w:tcPr>
          <w:p>
            <w:pPr>
              <w:pStyle w:val="TableParagraph"/>
              <w:spacing w:line="240" w:lineRule="auto" w:before="38"/>
              <w:ind w:right="1053"/>
              <w:jc w:val="center"/>
              <w:rPr>
                <w:rFonts w:ascii="宋体" w:hAnsi="宋体" w:cs="宋体" w:eastAsia="宋体" w:hint="default"/>
                <w:sz w:val="16"/>
                <w:szCs w:val="16"/>
              </w:rPr>
            </w:pPr>
            <w:r>
              <w:rPr>
                <w:rFonts w:ascii="宋体" w:hAnsi="宋体" w:cs="宋体" w:eastAsia="宋体" w:hint="default"/>
                <w:sz w:val="16"/>
                <w:szCs w:val="16"/>
              </w:rPr>
              <w:t>合计</w:t>
            </w:r>
          </w:p>
        </w:tc>
        <w:tc>
          <w:tcPr>
            <w:tcW w:w="3037" w:type="dxa"/>
            <w:tcBorders>
              <w:top w:val="nil" w:sz="6" w:space="0" w:color="auto"/>
              <w:left w:val="nil" w:sz="6" w:space="0" w:color="auto"/>
              <w:bottom w:val="single" w:sz="12" w:space="0" w:color="000000"/>
              <w:right w:val="nil" w:sz="6" w:space="0" w:color="auto"/>
            </w:tcBorders>
          </w:tcPr>
          <w:p>
            <w:pPr>
              <w:pStyle w:val="TableParagraph"/>
              <w:spacing w:line="240" w:lineRule="auto" w:before="80"/>
              <w:ind w:right="493"/>
              <w:jc w:val="right"/>
              <w:rPr>
                <w:rFonts w:ascii="Times New Roman" w:hAnsi="Times New Roman" w:cs="Times New Roman" w:eastAsia="Times New Roman" w:hint="default"/>
                <w:sz w:val="16"/>
                <w:szCs w:val="16"/>
              </w:rPr>
            </w:pPr>
            <w:r>
              <w:rPr>
                <w:rFonts w:ascii="Times New Roman"/>
                <w:spacing w:val="-1"/>
                <w:sz w:val="16"/>
              </w:rPr>
              <w:t>297,031,187.42</w:t>
            </w:r>
          </w:p>
        </w:tc>
        <w:tc>
          <w:tcPr>
            <w:tcW w:w="2018" w:type="dxa"/>
            <w:tcBorders>
              <w:top w:val="nil" w:sz="6" w:space="0" w:color="auto"/>
              <w:left w:val="nil" w:sz="6" w:space="0" w:color="auto"/>
              <w:bottom w:val="single" w:sz="12" w:space="0" w:color="000000"/>
              <w:right w:val="nil" w:sz="6" w:space="0" w:color="auto"/>
            </w:tcBorders>
          </w:tcPr>
          <w:p>
            <w:pPr>
              <w:pStyle w:val="TableParagraph"/>
              <w:spacing w:line="240" w:lineRule="auto" w:before="80"/>
              <w:ind w:right="105"/>
              <w:jc w:val="right"/>
              <w:rPr>
                <w:rFonts w:ascii="Times New Roman" w:hAnsi="Times New Roman" w:cs="Times New Roman" w:eastAsia="Times New Roman" w:hint="default"/>
                <w:sz w:val="16"/>
                <w:szCs w:val="16"/>
              </w:rPr>
            </w:pPr>
            <w:r>
              <w:rPr>
                <w:rFonts w:ascii="Times New Roman"/>
                <w:spacing w:val="-1"/>
                <w:sz w:val="16"/>
              </w:rPr>
              <w:t>118,714,750.32</w:t>
            </w:r>
          </w:p>
        </w:tc>
      </w:tr>
    </w:tbl>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8"/>
          <w:szCs w:val="18"/>
        </w:rPr>
      </w:pPr>
    </w:p>
    <w:tbl>
      <w:tblPr>
        <w:tblW w:w="0" w:type="auto"/>
        <w:jc w:val="left"/>
        <w:tblInd w:w="102" w:type="dxa"/>
        <w:tblLayout w:type="fixed"/>
        <w:tblCellMar>
          <w:top w:w="0" w:type="dxa"/>
          <w:left w:w="0" w:type="dxa"/>
          <w:bottom w:w="0" w:type="dxa"/>
          <w:right w:w="0" w:type="dxa"/>
        </w:tblCellMar>
        <w:tblLook w:val="01E0"/>
      </w:tblPr>
      <w:tblGrid>
        <w:gridCol w:w="2163"/>
        <w:gridCol w:w="1794"/>
        <w:gridCol w:w="2993"/>
        <w:gridCol w:w="1885"/>
      </w:tblGrid>
      <w:tr>
        <w:trPr>
          <w:trHeight w:val="357" w:hRule="exact"/>
        </w:trPr>
        <w:tc>
          <w:tcPr>
            <w:tcW w:w="2163"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二十五</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1"/>
                <w:sz w:val="21"/>
                <w:szCs w:val="21"/>
              </w:rPr>
              <w:t> </w:t>
            </w:r>
            <w:r>
              <w:rPr>
                <w:rFonts w:ascii="宋体" w:hAnsi="宋体" w:cs="宋体" w:eastAsia="宋体" w:hint="default"/>
                <w:b/>
                <w:bCs/>
                <w:sz w:val="21"/>
                <w:szCs w:val="21"/>
              </w:rPr>
              <w:t>其他应付款</w:t>
            </w:r>
            <w:r>
              <w:rPr>
                <w:rFonts w:ascii="宋体" w:hAnsi="宋体" w:cs="宋体" w:eastAsia="宋体" w:hint="default"/>
                <w:sz w:val="21"/>
                <w:szCs w:val="21"/>
              </w:rPr>
            </w:r>
          </w:p>
        </w:tc>
        <w:tc>
          <w:tcPr>
            <w:tcW w:w="6672" w:type="dxa"/>
            <w:gridSpan w:val="3"/>
            <w:tcBorders>
              <w:top w:val="nil" w:sz="6" w:space="0" w:color="auto"/>
              <w:left w:val="nil" w:sz="6" w:space="0" w:color="auto"/>
              <w:bottom w:val="single" w:sz="12" w:space="0" w:color="000000"/>
              <w:right w:val="nil" w:sz="6" w:space="0" w:color="auto"/>
            </w:tcBorders>
          </w:tcPr>
          <w:p>
            <w:pPr/>
          </w:p>
        </w:tc>
      </w:tr>
      <w:tr>
        <w:trPr>
          <w:trHeight w:val="358" w:hRule="exact"/>
        </w:trPr>
        <w:tc>
          <w:tcPr>
            <w:tcW w:w="2163" w:type="dxa"/>
            <w:tcBorders>
              <w:top w:val="single" w:sz="12" w:space="0" w:color="000000"/>
              <w:left w:val="nil" w:sz="6" w:space="0" w:color="auto"/>
              <w:bottom w:val="nil" w:sz="6" w:space="0" w:color="auto"/>
              <w:right w:val="nil" w:sz="6" w:space="0" w:color="auto"/>
            </w:tcBorders>
          </w:tcPr>
          <w:p>
            <w:pPr/>
          </w:p>
        </w:tc>
        <w:tc>
          <w:tcPr>
            <w:tcW w:w="1794" w:type="dxa"/>
            <w:tcBorders>
              <w:top w:val="single" w:sz="12" w:space="0" w:color="000000"/>
              <w:left w:val="nil" w:sz="6" w:space="0" w:color="auto"/>
              <w:bottom w:val="nil" w:sz="6" w:space="0" w:color="auto"/>
              <w:right w:val="nil" w:sz="6" w:space="0" w:color="auto"/>
            </w:tcBorders>
          </w:tcPr>
          <w:p>
            <w:pPr>
              <w:pStyle w:val="TableParagraph"/>
              <w:spacing w:line="240" w:lineRule="auto" w:before="38"/>
              <w:ind w:left="224" w:right="0"/>
              <w:jc w:val="left"/>
              <w:rPr>
                <w:rFonts w:ascii="宋体" w:hAnsi="宋体" w:cs="宋体" w:eastAsia="宋体" w:hint="default"/>
                <w:sz w:val="16"/>
                <w:szCs w:val="16"/>
              </w:rPr>
            </w:pPr>
            <w:r>
              <w:rPr>
                <w:rFonts w:ascii="宋体" w:hAnsi="宋体" w:cs="宋体" w:eastAsia="宋体" w:hint="default"/>
                <w:sz w:val="16"/>
                <w:szCs w:val="16"/>
              </w:rPr>
              <w:t>项目</w:t>
            </w:r>
          </w:p>
        </w:tc>
        <w:tc>
          <w:tcPr>
            <w:tcW w:w="2993" w:type="dxa"/>
            <w:tcBorders>
              <w:top w:val="single" w:sz="12" w:space="0" w:color="000000"/>
              <w:left w:val="nil" w:sz="6" w:space="0" w:color="auto"/>
              <w:bottom w:val="nil" w:sz="6" w:space="0" w:color="auto"/>
              <w:right w:val="nil" w:sz="6" w:space="0" w:color="auto"/>
            </w:tcBorders>
          </w:tcPr>
          <w:p>
            <w:pPr>
              <w:pStyle w:val="TableParagraph"/>
              <w:spacing w:line="240" w:lineRule="auto" w:before="38"/>
              <w:ind w:left="146" w:right="0"/>
              <w:jc w:val="center"/>
              <w:rPr>
                <w:rFonts w:ascii="宋体" w:hAnsi="宋体" w:cs="宋体" w:eastAsia="宋体" w:hint="default"/>
                <w:sz w:val="16"/>
                <w:szCs w:val="16"/>
              </w:rPr>
            </w:pPr>
            <w:r>
              <w:rPr>
                <w:rFonts w:ascii="宋体" w:hAnsi="宋体" w:cs="宋体" w:eastAsia="宋体" w:hint="default"/>
                <w:sz w:val="16"/>
                <w:szCs w:val="16"/>
              </w:rPr>
              <w:t>期末余额</w:t>
            </w:r>
          </w:p>
        </w:tc>
        <w:tc>
          <w:tcPr>
            <w:tcW w:w="1885" w:type="dxa"/>
            <w:tcBorders>
              <w:top w:val="single" w:sz="12" w:space="0" w:color="000000"/>
              <w:left w:val="nil" w:sz="6" w:space="0" w:color="auto"/>
              <w:bottom w:val="nil" w:sz="6" w:space="0" w:color="auto"/>
              <w:right w:val="nil" w:sz="6" w:space="0" w:color="auto"/>
            </w:tcBorders>
          </w:tcPr>
          <w:p>
            <w:pPr>
              <w:pStyle w:val="TableParagraph"/>
              <w:spacing w:line="240" w:lineRule="auto" w:before="38"/>
              <w:ind w:left="449" w:right="0"/>
              <w:jc w:val="left"/>
              <w:rPr>
                <w:rFonts w:ascii="宋体" w:hAnsi="宋体" w:cs="宋体" w:eastAsia="宋体" w:hint="default"/>
                <w:sz w:val="16"/>
                <w:szCs w:val="16"/>
              </w:rPr>
            </w:pPr>
            <w:r>
              <w:rPr>
                <w:rFonts w:ascii="宋体" w:hAnsi="宋体" w:cs="宋体" w:eastAsia="宋体" w:hint="default"/>
                <w:sz w:val="16"/>
                <w:szCs w:val="16"/>
              </w:rPr>
              <w:t>年初余额</w:t>
            </w:r>
          </w:p>
        </w:tc>
      </w:tr>
      <w:tr>
        <w:trPr>
          <w:trHeight w:val="356" w:hRule="exact"/>
        </w:trPr>
        <w:tc>
          <w:tcPr>
            <w:tcW w:w="2163"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2"/>
              <w:jc w:val="center"/>
              <w:rPr>
                <w:rFonts w:ascii="宋体" w:hAnsi="宋体" w:cs="宋体" w:eastAsia="宋体" w:hint="default"/>
                <w:sz w:val="16"/>
                <w:szCs w:val="16"/>
              </w:rPr>
            </w:pPr>
            <w:r>
              <w:rPr>
                <w:rFonts w:ascii="宋体" w:hAnsi="宋体" w:cs="宋体" w:eastAsia="宋体" w:hint="default"/>
                <w:sz w:val="16"/>
                <w:szCs w:val="16"/>
              </w:rPr>
              <w:t>应付利息</w:t>
            </w:r>
          </w:p>
        </w:tc>
        <w:tc>
          <w:tcPr>
            <w:tcW w:w="1794" w:type="dxa"/>
            <w:tcBorders>
              <w:top w:val="nil" w:sz="6" w:space="0" w:color="auto"/>
              <w:left w:val="nil" w:sz="6" w:space="0" w:color="auto"/>
              <w:bottom w:val="nil" w:sz="6" w:space="0" w:color="auto"/>
              <w:right w:val="nil" w:sz="6" w:space="0" w:color="auto"/>
            </w:tcBorders>
          </w:tcPr>
          <w:p>
            <w:pPr/>
          </w:p>
        </w:tc>
        <w:tc>
          <w:tcPr>
            <w:tcW w:w="2993"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448"/>
              <w:jc w:val="right"/>
              <w:rPr>
                <w:rFonts w:ascii="Times New Roman" w:hAnsi="Times New Roman" w:cs="Times New Roman" w:eastAsia="Times New Roman" w:hint="default"/>
                <w:sz w:val="16"/>
                <w:szCs w:val="16"/>
              </w:rPr>
            </w:pPr>
            <w:r>
              <w:rPr>
                <w:rFonts w:ascii="Times New Roman"/>
                <w:spacing w:val="-1"/>
                <w:sz w:val="16"/>
              </w:rPr>
              <w:t>41,442.81</w:t>
            </w:r>
          </w:p>
        </w:tc>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05"/>
              <w:jc w:val="right"/>
              <w:rPr>
                <w:rFonts w:ascii="Times New Roman" w:hAnsi="Times New Roman" w:cs="Times New Roman" w:eastAsia="Times New Roman" w:hint="default"/>
                <w:sz w:val="16"/>
                <w:szCs w:val="16"/>
              </w:rPr>
            </w:pPr>
            <w:r>
              <w:rPr>
                <w:rFonts w:ascii="Times New Roman"/>
                <w:spacing w:val="-1"/>
                <w:sz w:val="16"/>
              </w:rPr>
              <w:t>145,926.55</w:t>
            </w:r>
          </w:p>
        </w:tc>
      </w:tr>
      <w:tr>
        <w:trPr>
          <w:trHeight w:val="349" w:hRule="exact"/>
        </w:trPr>
        <w:tc>
          <w:tcPr>
            <w:tcW w:w="2163"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2"/>
              <w:jc w:val="center"/>
              <w:rPr>
                <w:rFonts w:ascii="宋体" w:hAnsi="宋体" w:cs="宋体" w:eastAsia="宋体" w:hint="default"/>
                <w:sz w:val="16"/>
                <w:szCs w:val="16"/>
              </w:rPr>
            </w:pPr>
            <w:r>
              <w:rPr>
                <w:rFonts w:ascii="宋体" w:hAnsi="宋体" w:cs="宋体" w:eastAsia="宋体" w:hint="default"/>
                <w:sz w:val="16"/>
                <w:szCs w:val="16"/>
              </w:rPr>
              <w:t>应付股利</w:t>
            </w:r>
          </w:p>
        </w:tc>
        <w:tc>
          <w:tcPr>
            <w:tcW w:w="1794" w:type="dxa"/>
            <w:tcBorders>
              <w:top w:val="nil" w:sz="6" w:space="0" w:color="auto"/>
              <w:left w:val="nil" w:sz="6" w:space="0" w:color="auto"/>
              <w:bottom w:val="nil" w:sz="6" w:space="0" w:color="auto"/>
              <w:right w:val="nil" w:sz="6" w:space="0" w:color="auto"/>
            </w:tcBorders>
          </w:tcPr>
          <w:p>
            <w:pPr/>
          </w:p>
        </w:tc>
        <w:tc>
          <w:tcPr>
            <w:tcW w:w="299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449"/>
              <w:jc w:val="right"/>
              <w:rPr>
                <w:rFonts w:ascii="Times New Roman" w:hAnsi="Times New Roman" w:cs="Times New Roman" w:eastAsia="Times New Roman" w:hint="default"/>
                <w:sz w:val="16"/>
                <w:szCs w:val="16"/>
              </w:rPr>
            </w:pPr>
            <w:r>
              <w:rPr>
                <w:rFonts w:ascii="Times New Roman"/>
                <w:spacing w:val="-1"/>
                <w:sz w:val="16"/>
              </w:rPr>
              <w:t>1,698,626.38</w:t>
            </w:r>
          </w:p>
        </w:tc>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5"/>
              <w:jc w:val="right"/>
              <w:rPr>
                <w:rFonts w:ascii="Times New Roman" w:hAnsi="Times New Roman" w:cs="Times New Roman" w:eastAsia="Times New Roman" w:hint="default"/>
                <w:sz w:val="16"/>
                <w:szCs w:val="16"/>
              </w:rPr>
            </w:pPr>
            <w:r>
              <w:rPr>
                <w:rFonts w:ascii="Times New Roman"/>
                <w:spacing w:val="-1"/>
                <w:sz w:val="16"/>
              </w:rPr>
              <w:t>1,554,793.79</w:t>
            </w:r>
          </w:p>
        </w:tc>
      </w:tr>
      <w:tr>
        <w:trPr>
          <w:trHeight w:val="349" w:hRule="exact"/>
        </w:trPr>
        <w:tc>
          <w:tcPr>
            <w:tcW w:w="2163"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55" w:right="0"/>
              <w:jc w:val="left"/>
              <w:rPr>
                <w:rFonts w:ascii="宋体" w:hAnsi="宋体" w:cs="宋体" w:eastAsia="宋体" w:hint="default"/>
                <w:sz w:val="16"/>
                <w:szCs w:val="16"/>
              </w:rPr>
            </w:pPr>
            <w:r>
              <w:rPr>
                <w:rFonts w:ascii="宋体" w:hAnsi="宋体" w:cs="宋体" w:eastAsia="宋体" w:hint="default"/>
                <w:sz w:val="16"/>
                <w:szCs w:val="16"/>
              </w:rPr>
              <w:t>其他应付款</w:t>
            </w:r>
          </w:p>
        </w:tc>
        <w:tc>
          <w:tcPr>
            <w:tcW w:w="1794" w:type="dxa"/>
            <w:tcBorders>
              <w:top w:val="nil" w:sz="6" w:space="0" w:color="auto"/>
              <w:left w:val="nil" w:sz="6" w:space="0" w:color="auto"/>
              <w:bottom w:val="nil" w:sz="6" w:space="0" w:color="auto"/>
              <w:right w:val="nil" w:sz="6" w:space="0" w:color="auto"/>
            </w:tcBorders>
          </w:tcPr>
          <w:p>
            <w:pPr/>
          </w:p>
        </w:tc>
        <w:tc>
          <w:tcPr>
            <w:tcW w:w="299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448"/>
              <w:jc w:val="right"/>
              <w:rPr>
                <w:rFonts w:ascii="Times New Roman" w:hAnsi="Times New Roman" w:cs="Times New Roman" w:eastAsia="Times New Roman" w:hint="default"/>
                <w:sz w:val="16"/>
                <w:szCs w:val="16"/>
              </w:rPr>
            </w:pPr>
            <w:r>
              <w:rPr>
                <w:rFonts w:ascii="Times New Roman"/>
                <w:spacing w:val="-1"/>
                <w:sz w:val="16"/>
              </w:rPr>
              <w:t>766,035,959.95</w:t>
            </w:r>
          </w:p>
        </w:tc>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6"/>
              <w:jc w:val="right"/>
              <w:rPr>
                <w:rFonts w:ascii="Times New Roman" w:hAnsi="Times New Roman" w:cs="Times New Roman" w:eastAsia="Times New Roman" w:hint="default"/>
                <w:sz w:val="16"/>
                <w:szCs w:val="16"/>
              </w:rPr>
            </w:pPr>
            <w:r>
              <w:rPr>
                <w:rFonts w:ascii="Times New Roman"/>
                <w:spacing w:val="-1"/>
                <w:sz w:val="16"/>
              </w:rPr>
              <w:t>567,192,657.90</w:t>
            </w:r>
          </w:p>
        </w:tc>
      </w:tr>
      <w:tr>
        <w:trPr>
          <w:trHeight w:val="353" w:hRule="exact"/>
        </w:trPr>
        <w:tc>
          <w:tcPr>
            <w:tcW w:w="2163" w:type="dxa"/>
            <w:tcBorders>
              <w:top w:val="nil" w:sz="6" w:space="0" w:color="auto"/>
              <w:left w:val="nil" w:sz="6" w:space="0" w:color="auto"/>
              <w:bottom w:val="single" w:sz="12" w:space="0" w:color="000000"/>
              <w:right w:val="nil" w:sz="6" w:space="0" w:color="auto"/>
            </w:tcBorders>
          </w:tcPr>
          <w:p>
            <w:pPr/>
          </w:p>
        </w:tc>
        <w:tc>
          <w:tcPr>
            <w:tcW w:w="1794" w:type="dxa"/>
            <w:tcBorders>
              <w:top w:val="nil" w:sz="6" w:space="0" w:color="auto"/>
              <w:left w:val="nil" w:sz="6" w:space="0" w:color="auto"/>
              <w:bottom w:val="single" w:sz="12" w:space="0" w:color="000000"/>
              <w:right w:val="nil" w:sz="6" w:space="0" w:color="auto"/>
            </w:tcBorders>
          </w:tcPr>
          <w:p>
            <w:pPr>
              <w:pStyle w:val="TableParagraph"/>
              <w:spacing w:line="240" w:lineRule="auto" w:before="38"/>
              <w:ind w:left="224"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993" w:type="dxa"/>
            <w:tcBorders>
              <w:top w:val="nil" w:sz="6" w:space="0" w:color="auto"/>
              <w:left w:val="nil" w:sz="6" w:space="0" w:color="auto"/>
              <w:bottom w:val="single" w:sz="12" w:space="0" w:color="000000"/>
              <w:right w:val="nil" w:sz="6" w:space="0" w:color="auto"/>
            </w:tcBorders>
          </w:tcPr>
          <w:p>
            <w:pPr>
              <w:pStyle w:val="TableParagraph"/>
              <w:spacing w:line="240" w:lineRule="auto" w:before="80"/>
              <w:ind w:right="448"/>
              <w:jc w:val="right"/>
              <w:rPr>
                <w:rFonts w:ascii="Times New Roman" w:hAnsi="Times New Roman" w:cs="Times New Roman" w:eastAsia="Times New Roman" w:hint="default"/>
                <w:sz w:val="16"/>
                <w:szCs w:val="16"/>
              </w:rPr>
            </w:pPr>
            <w:r>
              <w:rPr>
                <w:rFonts w:ascii="Times New Roman"/>
                <w:spacing w:val="-1"/>
                <w:sz w:val="16"/>
              </w:rPr>
              <w:t>767,776,029.14</w:t>
            </w:r>
          </w:p>
        </w:tc>
        <w:tc>
          <w:tcPr>
            <w:tcW w:w="1885" w:type="dxa"/>
            <w:tcBorders>
              <w:top w:val="nil" w:sz="6" w:space="0" w:color="auto"/>
              <w:left w:val="nil" w:sz="6" w:space="0" w:color="auto"/>
              <w:bottom w:val="single" w:sz="12" w:space="0" w:color="000000"/>
              <w:right w:val="nil" w:sz="6" w:space="0" w:color="auto"/>
            </w:tcBorders>
          </w:tcPr>
          <w:p>
            <w:pPr>
              <w:pStyle w:val="TableParagraph"/>
              <w:spacing w:line="240" w:lineRule="auto" w:before="80"/>
              <w:ind w:right="106"/>
              <w:jc w:val="right"/>
              <w:rPr>
                <w:rFonts w:ascii="Times New Roman" w:hAnsi="Times New Roman" w:cs="Times New Roman" w:eastAsia="Times New Roman" w:hint="default"/>
                <w:sz w:val="16"/>
                <w:szCs w:val="16"/>
              </w:rPr>
            </w:pPr>
            <w:r>
              <w:rPr>
                <w:rFonts w:ascii="Times New Roman"/>
                <w:spacing w:val="-1"/>
                <w:sz w:val="16"/>
              </w:rPr>
              <w:t>568,893,378.24</w:t>
            </w:r>
          </w:p>
        </w:tc>
      </w:tr>
    </w:tbl>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18"/>
          <w:szCs w:val="18"/>
        </w:rPr>
      </w:pPr>
    </w:p>
    <w:tbl>
      <w:tblPr>
        <w:tblW w:w="0" w:type="auto"/>
        <w:jc w:val="left"/>
        <w:tblInd w:w="749" w:type="dxa"/>
        <w:tblLayout w:type="fixed"/>
        <w:tblCellMar>
          <w:top w:w="0" w:type="dxa"/>
          <w:left w:w="0" w:type="dxa"/>
          <w:bottom w:w="0" w:type="dxa"/>
          <w:right w:w="0" w:type="dxa"/>
        </w:tblCellMar>
        <w:tblLook w:val="01E0"/>
      </w:tblPr>
      <w:tblGrid>
        <w:gridCol w:w="3383"/>
        <w:gridCol w:w="1583"/>
        <w:gridCol w:w="1204"/>
        <w:gridCol w:w="1162"/>
        <w:gridCol w:w="856"/>
      </w:tblGrid>
      <w:tr>
        <w:trPr>
          <w:trHeight w:val="357" w:hRule="exact"/>
        </w:trPr>
        <w:tc>
          <w:tcPr>
            <w:tcW w:w="3383" w:type="dxa"/>
            <w:tcBorders>
              <w:top w:val="nil" w:sz="6" w:space="0" w:color="auto"/>
              <w:left w:val="nil" w:sz="6" w:space="0" w:color="auto"/>
              <w:bottom w:val="single" w:sz="12" w:space="0" w:color="000000"/>
              <w:right w:val="nil" w:sz="6" w:space="0" w:color="auto"/>
            </w:tcBorders>
          </w:tcPr>
          <w:p>
            <w:pPr>
              <w:pStyle w:val="TableParagraph"/>
              <w:tabs>
                <w:tab w:pos="647" w:val="left" w:leader="none"/>
              </w:tabs>
              <w:spacing w:line="240" w:lineRule="auto" w:before="35"/>
              <w:ind w:left="97" w:right="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pacing w:val="1"/>
                <w:sz w:val="21"/>
                <w:szCs w:val="21"/>
              </w:rPr>
              <w:t>应付利息</w:t>
            </w:r>
            <w:r>
              <w:rPr>
                <w:rFonts w:ascii="宋体" w:hAnsi="宋体" w:cs="宋体" w:eastAsia="宋体" w:hint="default"/>
                <w:sz w:val="21"/>
                <w:szCs w:val="21"/>
              </w:rPr>
            </w:r>
          </w:p>
        </w:tc>
        <w:tc>
          <w:tcPr>
            <w:tcW w:w="4805" w:type="dxa"/>
            <w:gridSpan w:val="4"/>
            <w:tcBorders>
              <w:top w:val="nil" w:sz="6" w:space="0" w:color="auto"/>
              <w:left w:val="nil" w:sz="6" w:space="0" w:color="auto"/>
              <w:bottom w:val="single" w:sz="12" w:space="0" w:color="000000"/>
              <w:right w:val="nil" w:sz="6" w:space="0" w:color="auto"/>
            </w:tcBorders>
          </w:tcPr>
          <w:p>
            <w:pPr/>
          </w:p>
        </w:tc>
      </w:tr>
      <w:tr>
        <w:trPr>
          <w:trHeight w:val="358" w:hRule="exact"/>
        </w:trPr>
        <w:tc>
          <w:tcPr>
            <w:tcW w:w="3383" w:type="dxa"/>
            <w:tcBorders>
              <w:top w:val="single" w:sz="12" w:space="0" w:color="000000"/>
              <w:left w:val="nil" w:sz="6" w:space="0" w:color="auto"/>
              <w:bottom w:val="nil" w:sz="6" w:space="0" w:color="auto"/>
              <w:right w:val="nil" w:sz="6" w:space="0" w:color="auto"/>
            </w:tcBorders>
          </w:tcPr>
          <w:p>
            <w:pPr>
              <w:pStyle w:val="TableParagraph"/>
              <w:spacing w:line="240" w:lineRule="auto" w:before="38"/>
              <w:ind w:right="6"/>
              <w:jc w:val="center"/>
              <w:rPr>
                <w:rFonts w:ascii="宋体" w:hAnsi="宋体" w:cs="宋体" w:eastAsia="宋体" w:hint="default"/>
                <w:sz w:val="16"/>
                <w:szCs w:val="16"/>
              </w:rPr>
            </w:pPr>
            <w:r>
              <w:rPr>
                <w:rFonts w:ascii="宋体" w:hAnsi="宋体" w:cs="宋体" w:eastAsia="宋体" w:hint="default"/>
                <w:sz w:val="16"/>
                <w:szCs w:val="16"/>
              </w:rPr>
              <w:t>项目</w:t>
            </w:r>
          </w:p>
        </w:tc>
        <w:tc>
          <w:tcPr>
            <w:tcW w:w="1583" w:type="dxa"/>
            <w:tcBorders>
              <w:top w:val="single" w:sz="12" w:space="0" w:color="000000"/>
              <w:left w:val="nil" w:sz="6" w:space="0" w:color="auto"/>
              <w:bottom w:val="nil" w:sz="6" w:space="0" w:color="auto"/>
              <w:right w:val="nil" w:sz="6" w:space="0" w:color="auto"/>
            </w:tcBorders>
          </w:tcPr>
          <w:p>
            <w:pPr>
              <w:pStyle w:val="TableParagraph"/>
              <w:spacing w:line="240" w:lineRule="auto" w:before="38"/>
              <w:ind w:left="876" w:right="0"/>
              <w:jc w:val="left"/>
              <w:rPr>
                <w:rFonts w:ascii="宋体" w:hAnsi="宋体" w:cs="宋体" w:eastAsia="宋体" w:hint="default"/>
                <w:sz w:val="16"/>
                <w:szCs w:val="16"/>
              </w:rPr>
            </w:pPr>
            <w:r>
              <w:rPr>
                <w:rFonts w:ascii="宋体" w:hAnsi="宋体" w:cs="宋体" w:eastAsia="宋体" w:hint="default"/>
                <w:sz w:val="16"/>
                <w:szCs w:val="16"/>
              </w:rPr>
              <w:t>期末余额</w:t>
            </w:r>
          </w:p>
        </w:tc>
        <w:tc>
          <w:tcPr>
            <w:tcW w:w="1204" w:type="dxa"/>
            <w:tcBorders>
              <w:top w:val="single" w:sz="12" w:space="0" w:color="000000"/>
              <w:left w:val="nil" w:sz="6" w:space="0" w:color="auto"/>
              <w:bottom w:val="nil" w:sz="6" w:space="0" w:color="auto"/>
              <w:right w:val="nil" w:sz="6" w:space="0" w:color="auto"/>
            </w:tcBorders>
          </w:tcPr>
          <w:p>
            <w:pPr/>
          </w:p>
        </w:tc>
        <w:tc>
          <w:tcPr>
            <w:tcW w:w="1162" w:type="dxa"/>
            <w:tcBorders>
              <w:top w:val="single" w:sz="12" w:space="0" w:color="000000"/>
              <w:left w:val="nil" w:sz="6" w:space="0" w:color="auto"/>
              <w:bottom w:val="nil" w:sz="6" w:space="0" w:color="auto"/>
              <w:right w:val="nil" w:sz="6" w:space="0" w:color="auto"/>
            </w:tcBorders>
          </w:tcPr>
          <w:p>
            <w:pPr>
              <w:pStyle w:val="TableParagraph"/>
              <w:spacing w:line="240" w:lineRule="auto" w:before="38"/>
              <w:ind w:left="494" w:right="0"/>
              <w:jc w:val="left"/>
              <w:rPr>
                <w:rFonts w:ascii="宋体" w:hAnsi="宋体" w:cs="宋体" w:eastAsia="宋体" w:hint="default"/>
                <w:sz w:val="16"/>
                <w:szCs w:val="16"/>
              </w:rPr>
            </w:pPr>
            <w:r>
              <w:rPr>
                <w:rFonts w:ascii="宋体" w:hAnsi="宋体" w:cs="宋体" w:eastAsia="宋体" w:hint="default"/>
                <w:sz w:val="16"/>
                <w:szCs w:val="16"/>
              </w:rPr>
              <w:t>年初余额</w:t>
            </w:r>
          </w:p>
        </w:tc>
        <w:tc>
          <w:tcPr>
            <w:tcW w:w="856" w:type="dxa"/>
            <w:tcBorders>
              <w:top w:val="single" w:sz="12" w:space="0" w:color="000000"/>
              <w:left w:val="nil" w:sz="6" w:space="0" w:color="auto"/>
              <w:bottom w:val="nil" w:sz="6" w:space="0" w:color="auto"/>
              <w:right w:val="nil" w:sz="6" w:space="0" w:color="auto"/>
            </w:tcBorders>
          </w:tcPr>
          <w:p>
            <w:pPr/>
          </w:p>
        </w:tc>
      </w:tr>
      <w:tr>
        <w:trPr>
          <w:trHeight w:val="355" w:hRule="exact"/>
        </w:trPr>
        <w:tc>
          <w:tcPr>
            <w:tcW w:w="3383"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07" w:right="0"/>
              <w:jc w:val="left"/>
              <w:rPr>
                <w:rFonts w:ascii="宋体" w:hAnsi="宋体" w:cs="宋体" w:eastAsia="宋体" w:hint="default"/>
                <w:sz w:val="16"/>
                <w:szCs w:val="16"/>
              </w:rPr>
            </w:pPr>
            <w:r>
              <w:rPr>
                <w:rFonts w:ascii="宋体" w:hAnsi="宋体" w:cs="宋体" w:eastAsia="宋体" w:hint="default"/>
                <w:sz w:val="16"/>
                <w:szCs w:val="16"/>
              </w:rPr>
              <w:t>分期付息到期还本的长期借款利息</w:t>
            </w:r>
          </w:p>
        </w:tc>
        <w:tc>
          <w:tcPr>
            <w:tcW w:w="1583" w:type="dxa"/>
            <w:tcBorders>
              <w:top w:val="nil" w:sz="6" w:space="0" w:color="auto"/>
              <w:left w:val="nil" w:sz="6" w:space="0" w:color="auto"/>
              <w:bottom w:val="nil" w:sz="6" w:space="0" w:color="auto"/>
              <w:right w:val="nil" w:sz="6" w:space="0" w:color="auto"/>
            </w:tcBorders>
          </w:tcPr>
          <w:p>
            <w:pPr/>
          </w:p>
        </w:tc>
        <w:tc>
          <w:tcPr>
            <w:tcW w:w="1204" w:type="dxa"/>
            <w:tcBorders>
              <w:top w:val="nil" w:sz="6" w:space="0" w:color="auto"/>
              <w:left w:val="nil" w:sz="6" w:space="0" w:color="auto"/>
              <w:bottom w:val="nil" w:sz="6" w:space="0" w:color="auto"/>
              <w:right w:val="nil" w:sz="6" w:space="0" w:color="auto"/>
            </w:tcBorders>
          </w:tcPr>
          <w:p>
            <w:pPr>
              <w:pStyle w:val="TableParagraph"/>
              <w:spacing w:line="240" w:lineRule="auto" w:before="87"/>
              <w:ind w:left="68" w:right="0"/>
              <w:jc w:val="left"/>
              <w:rPr>
                <w:rFonts w:ascii="Times New Roman" w:hAnsi="Times New Roman" w:cs="Times New Roman" w:eastAsia="Times New Roman" w:hint="default"/>
                <w:sz w:val="16"/>
                <w:szCs w:val="16"/>
              </w:rPr>
            </w:pPr>
            <w:r>
              <w:rPr>
                <w:rFonts w:ascii="Times New Roman"/>
                <w:sz w:val="16"/>
              </w:rPr>
              <w:t>38,000.00</w:t>
            </w:r>
          </w:p>
        </w:tc>
        <w:tc>
          <w:tcPr>
            <w:tcW w:w="1162" w:type="dxa"/>
            <w:tcBorders>
              <w:top w:val="nil" w:sz="6" w:space="0" w:color="auto"/>
              <w:left w:val="nil" w:sz="6" w:space="0" w:color="auto"/>
              <w:bottom w:val="nil" w:sz="6" w:space="0" w:color="auto"/>
              <w:right w:val="nil" w:sz="6" w:space="0" w:color="auto"/>
            </w:tcBorders>
          </w:tcPr>
          <w:p>
            <w:pPr/>
          </w:p>
        </w:tc>
        <w:tc>
          <w:tcPr>
            <w:tcW w:w="856"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05"/>
              <w:jc w:val="right"/>
              <w:rPr>
                <w:rFonts w:ascii="Times New Roman" w:hAnsi="Times New Roman" w:cs="Times New Roman" w:eastAsia="Times New Roman" w:hint="default"/>
                <w:sz w:val="16"/>
                <w:szCs w:val="16"/>
              </w:rPr>
            </w:pPr>
            <w:r>
              <w:rPr>
                <w:rFonts w:ascii="Times New Roman"/>
                <w:spacing w:val="-1"/>
                <w:sz w:val="16"/>
              </w:rPr>
              <w:t>38,000.00</w:t>
            </w:r>
          </w:p>
        </w:tc>
      </w:tr>
      <w:tr>
        <w:trPr>
          <w:trHeight w:val="349" w:hRule="exact"/>
        </w:trPr>
        <w:tc>
          <w:tcPr>
            <w:tcW w:w="3383"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07" w:right="0"/>
              <w:jc w:val="left"/>
              <w:rPr>
                <w:rFonts w:ascii="宋体" w:hAnsi="宋体" w:cs="宋体" w:eastAsia="宋体" w:hint="default"/>
                <w:sz w:val="16"/>
                <w:szCs w:val="16"/>
              </w:rPr>
            </w:pPr>
            <w:r>
              <w:rPr>
                <w:rFonts w:ascii="宋体" w:hAnsi="宋体" w:cs="宋体" w:eastAsia="宋体" w:hint="default"/>
                <w:sz w:val="16"/>
                <w:szCs w:val="16"/>
              </w:rPr>
              <w:t>短期借款应付利息</w:t>
            </w:r>
          </w:p>
        </w:tc>
        <w:tc>
          <w:tcPr>
            <w:tcW w:w="1583" w:type="dxa"/>
            <w:tcBorders>
              <w:top w:val="nil" w:sz="6" w:space="0" w:color="auto"/>
              <w:left w:val="nil" w:sz="6" w:space="0" w:color="auto"/>
              <w:bottom w:val="nil" w:sz="6" w:space="0" w:color="auto"/>
              <w:right w:val="nil" w:sz="6" w:space="0" w:color="auto"/>
            </w:tcBorders>
          </w:tcPr>
          <w:p>
            <w:pPr/>
          </w:p>
        </w:tc>
        <w:tc>
          <w:tcPr>
            <w:tcW w:w="1204" w:type="dxa"/>
            <w:tcBorders>
              <w:top w:val="nil" w:sz="6" w:space="0" w:color="auto"/>
              <w:left w:val="nil" w:sz="6" w:space="0" w:color="auto"/>
              <w:bottom w:val="nil" w:sz="6" w:space="0" w:color="auto"/>
              <w:right w:val="nil" w:sz="6" w:space="0" w:color="auto"/>
            </w:tcBorders>
          </w:tcPr>
          <w:p>
            <w:pPr>
              <w:pStyle w:val="TableParagraph"/>
              <w:spacing w:line="240" w:lineRule="auto" w:before="80"/>
              <w:ind w:left="147" w:right="0"/>
              <w:jc w:val="left"/>
              <w:rPr>
                <w:rFonts w:ascii="Times New Roman" w:hAnsi="Times New Roman" w:cs="Times New Roman" w:eastAsia="Times New Roman" w:hint="default"/>
                <w:sz w:val="16"/>
                <w:szCs w:val="16"/>
              </w:rPr>
            </w:pPr>
            <w:r>
              <w:rPr>
                <w:rFonts w:ascii="Times New Roman"/>
                <w:sz w:val="16"/>
              </w:rPr>
              <w:t>3,442.81</w:t>
            </w:r>
          </w:p>
        </w:tc>
        <w:tc>
          <w:tcPr>
            <w:tcW w:w="1162" w:type="dxa"/>
            <w:tcBorders>
              <w:top w:val="nil" w:sz="6" w:space="0" w:color="auto"/>
              <w:left w:val="nil" w:sz="6" w:space="0" w:color="auto"/>
              <w:bottom w:val="nil" w:sz="6" w:space="0" w:color="auto"/>
              <w:right w:val="nil" w:sz="6" w:space="0" w:color="auto"/>
            </w:tcBorders>
          </w:tcPr>
          <w:p>
            <w:pPr/>
          </w:p>
        </w:tc>
        <w:tc>
          <w:tcPr>
            <w:tcW w:w="856"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4"/>
              <w:jc w:val="right"/>
              <w:rPr>
                <w:rFonts w:ascii="Times New Roman" w:hAnsi="Times New Roman" w:cs="Times New Roman" w:eastAsia="Times New Roman" w:hint="default"/>
                <w:sz w:val="16"/>
                <w:szCs w:val="16"/>
              </w:rPr>
            </w:pPr>
            <w:r>
              <w:rPr>
                <w:rFonts w:ascii="Times New Roman"/>
                <w:spacing w:val="-1"/>
                <w:sz w:val="16"/>
              </w:rPr>
              <w:t>107,926.55</w:t>
            </w:r>
          </w:p>
        </w:tc>
      </w:tr>
      <w:tr>
        <w:trPr>
          <w:trHeight w:val="354" w:hRule="exact"/>
        </w:trPr>
        <w:tc>
          <w:tcPr>
            <w:tcW w:w="3383" w:type="dxa"/>
            <w:tcBorders>
              <w:top w:val="nil" w:sz="6" w:space="0" w:color="auto"/>
              <w:left w:val="nil" w:sz="6" w:space="0" w:color="auto"/>
              <w:bottom w:val="single" w:sz="12" w:space="0" w:color="000000"/>
              <w:right w:val="nil" w:sz="6" w:space="0" w:color="auto"/>
            </w:tcBorders>
          </w:tcPr>
          <w:p>
            <w:pPr>
              <w:pStyle w:val="TableParagraph"/>
              <w:spacing w:line="240" w:lineRule="auto" w:before="38"/>
              <w:ind w:right="6"/>
              <w:jc w:val="center"/>
              <w:rPr>
                <w:rFonts w:ascii="宋体" w:hAnsi="宋体" w:cs="宋体" w:eastAsia="宋体" w:hint="default"/>
                <w:sz w:val="16"/>
                <w:szCs w:val="16"/>
              </w:rPr>
            </w:pPr>
            <w:r>
              <w:rPr>
                <w:rFonts w:ascii="宋体" w:hAnsi="宋体" w:cs="宋体" w:eastAsia="宋体" w:hint="default"/>
                <w:sz w:val="16"/>
                <w:szCs w:val="16"/>
              </w:rPr>
              <w:t>合计</w:t>
            </w:r>
          </w:p>
        </w:tc>
        <w:tc>
          <w:tcPr>
            <w:tcW w:w="1583" w:type="dxa"/>
            <w:tcBorders>
              <w:top w:val="nil" w:sz="6" w:space="0" w:color="auto"/>
              <w:left w:val="nil" w:sz="6" w:space="0" w:color="auto"/>
              <w:bottom w:val="single" w:sz="12" w:space="0" w:color="000000"/>
              <w:right w:val="nil" w:sz="6" w:space="0" w:color="auto"/>
            </w:tcBorders>
          </w:tcPr>
          <w:p>
            <w:pPr/>
          </w:p>
        </w:tc>
        <w:tc>
          <w:tcPr>
            <w:tcW w:w="1204" w:type="dxa"/>
            <w:tcBorders>
              <w:top w:val="nil" w:sz="6" w:space="0" w:color="auto"/>
              <w:left w:val="nil" w:sz="6" w:space="0" w:color="auto"/>
              <w:bottom w:val="single" w:sz="12" w:space="0" w:color="000000"/>
              <w:right w:val="nil" w:sz="6" w:space="0" w:color="auto"/>
            </w:tcBorders>
          </w:tcPr>
          <w:p>
            <w:pPr>
              <w:pStyle w:val="TableParagraph"/>
              <w:spacing w:line="240" w:lineRule="auto" w:before="80"/>
              <w:ind w:left="68" w:right="0"/>
              <w:jc w:val="left"/>
              <w:rPr>
                <w:rFonts w:ascii="Times New Roman" w:hAnsi="Times New Roman" w:cs="Times New Roman" w:eastAsia="Times New Roman" w:hint="default"/>
                <w:sz w:val="16"/>
                <w:szCs w:val="16"/>
              </w:rPr>
            </w:pPr>
            <w:r>
              <w:rPr>
                <w:rFonts w:ascii="Times New Roman"/>
                <w:sz w:val="16"/>
              </w:rPr>
              <w:t>41,442.81</w:t>
            </w:r>
          </w:p>
        </w:tc>
        <w:tc>
          <w:tcPr>
            <w:tcW w:w="1162" w:type="dxa"/>
            <w:tcBorders>
              <w:top w:val="nil" w:sz="6" w:space="0" w:color="auto"/>
              <w:left w:val="nil" w:sz="6" w:space="0" w:color="auto"/>
              <w:bottom w:val="single" w:sz="12" w:space="0" w:color="000000"/>
              <w:right w:val="nil" w:sz="6" w:space="0" w:color="auto"/>
            </w:tcBorders>
          </w:tcPr>
          <w:p>
            <w:pPr/>
          </w:p>
        </w:tc>
        <w:tc>
          <w:tcPr>
            <w:tcW w:w="856" w:type="dxa"/>
            <w:tcBorders>
              <w:top w:val="nil" w:sz="6" w:space="0" w:color="auto"/>
              <w:left w:val="nil" w:sz="6" w:space="0" w:color="auto"/>
              <w:bottom w:val="single" w:sz="12" w:space="0" w:color="000000"/>
              <w:right w:val="nil" w:sz="6" w:space="0" w:color="auto"/>
            </w:tcBorders>
          </w:tcPr>
          <w:p>
            <w:pPr>
              <w:pStyle w:val="TableParagraph"/>
              <w:spacing w:line="240" w:lineRule="auto" w:before="80"/>
              <w:ind w:right="104"/>
              <w:jc w:val="right"/>
              <w:rPr>
                <w:rFonts w:ascii="Times New Roman" w:hAnsi="Times New Roman" w:cs="Times New Roman" w:eastAsia="Times New Roman" w:hint="default"/>
                <w:sz w:val="16"/>
                <w:szCs w:val="16"/>
              </w:rPr>
            </w:pPr>
            <w:r>
              <w:rPr>
                <w:rFonts w:ascii="Times New Roman"/>
                <w:spacing w:val="-1"/>
                <w:sz w:val="16"/>
              </w:rPr>
              <w:t>145,926.55</w:t>
            </w:r>
          </w:p>
        </w:tc>
      </w:tr>
    </w:tbl>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8"/>
          <w:szCs w:val="18"/>
        </w:rPr>
      </w:pPr>
    </w:p>
    <w:tbl>
      <w:tblPr>
        <w:tblW w:w="0" w:type="auto"/>
        <w:jc w:val="left"/>
        <w:tblInd w:w="749" w:type="dxa"/>
        <w:tblLayout w:type="fixed"/>
        <w:tblCellMar>
          <w:top w:w="0" w:type="dxa"/>
          <w:left w:w="0" w:type="dxa"/>
          <w:bottom w:w="0" w:type="dxa"/>
          <w:right w:w="0" w:type="dxa"/>
        </w:tblCellMar>
        <w:tblLook w:val="01E0"/>
      </w:tblPr>
      <w:tblGrid>
        <w:gridCol w:w="1510"/>
        <w:gridCol w:w="1536"/>
        <w:gridCol w:w="3103"/>
        <w:gridCol w:w="2039"/>
      </w:tblGrid>
      <w:tr>
        <w:trPr>
          <w:trHeight w:val="358" w:hRule="exact"/>
        </w:trPr>
        <w:tc>
          <w:tcPr>
            <w:tcW w:w="1510" w:type="dxa"/>
            <w:tcBorders>
              <w:top w:val="nil" w:sz="6" w:space="0" w:color="auto"/>
              <w:left w:val="nil" w:sz="6" w:space="0" w:color="auto"/>
              <w:bottom w:val="single" w:sz="12" w:space="0" w:color="000000"/>
              <w:right w:val="nil" w:sz="6" w:space="0" w:color="auto"/>
            </w:tcBorders>
          </w:tcPr>
          <w:p>
            <w:pPr>
              <w:pStyle w:val="TableParagraph"/>
              <w:tabs>
                <w:tab w:pos="647" w:val="left" w:leader="none"/>
              </w:tabs>
              <w:spacing w:line="240" w:lineRule="auto" w:before="35"/>
              <w:ind w:left="97" w:right="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pacing w:val="1"/>
                <w:sz w:val="21"/>
                <w:szCs w:val="21"/>
              </w:rPr>
              <w:t>应付股利</w:t>
            </w:r>
            <w:r>
              <w:rPr>
                <w:rFonts w:ascii="宋体" w:hAnsi="宋体" w:cs="宋体" w:eastAsia="宋体" w:hint="default"/>
                <w:sz w:val="21"/>
                <w:szCs w:val="21"/>
              </w:rPr>
            </w:r>
          </w:p>
        </w:tc>
        <w:tc>
          <w:tcPr>
            <w:tcW w:w="6677" w:type="dxa"/>
            <w:gridSpan w:val="3"/>
            <w:tcBorders>
              <w:top w:val="nil" w:sz="6" w:space="0" w:color="auto"/>
              <w:left w:val="nil" w:sz="6" w:space="0" w:color="auto"/>
              <w:bottom w:val="single" w:sz="12" w:space="0" w:color="000000"/>
              <w:right w:val="nil" w:sz="6" w:space="0" w:color="auto"/>
            </w:tcBorders>
          </w:tcPr>
          <w:p>
            <w:pPr/>
          </w:p>
        </w:tc>
      </w:tr>
      <w:tr>
        <w:trPr>
          <w:trHeight w:val="357" w:hRule="exact"/>
        </w:trPr>
        <w:tc>
          <w:tcPr>
            <w:tcW w:w="1510" w:type="dxa"/>
            <w:tcBorders>
              <w:top w:val="single" w:sz="12" w:space="0" w:color="000000"/>
              <w:left w:val="nil" w:sz="6" w:space="0" w:color="auto"/>
              <w:bottom w:val="nil" w:sz="6" w:space="0" w:color="auto"/>
              <w:right w:val="nil" w:sz="6" w:space="0" w:color="auto"/>
            </w:tcBorders>
          </w:tcPr>
          <w:p>
            <w:pPr/>
          </w:p>
        </w:tc>
        <w:tc>
          <w:tcPr>
            <w:tcW w:w="1536" w:type="dxa"/>
            <w:tcBorders>
              <w:top w:val="single" w:sz="12" w:space="0" w:color="000000"/>
              <w:left w:val="nil" w:sz="6" w:space="0" w:color="auto"/>
              <w:bottom w:val="nil" w:sz="6" w:space="0" w:color="auto"/>
              <w:right w:val="nil" w:sz="6" w:space="0" w:color="auto"/>
            </w:tcBorders>
          </w:tcPr>
          <w:p>
            <w:pPr>
              <w:pStyle w:val="TableParagraph"/>
              <w:spacing w:line="240" w:lineRule="auto" w:before="37"/>
              <w:ind w:left="17" w:right="0"/>
              <w:jc w:val="left"/>
              <w:rPr>
                <w:rFonts w:ascii="宋体" w:hAnsi="宋体" w:cs="宋体" w:eastAsia="宋体" w:hint="default"/>
                <w:sz w:val="16"/>
                <w:szCs w:val="16"/>
              </w:rPr>
            </w:pPr>
            <w:r>
              <w:rPr>
                <w:rFonts w:ascii="宋体" w:hAnsi="宋体" w:cs="宋体" w:eastAsia="宋体" w:hint="default"/>
                <w:sz w:val="16"/>
                <w:szCs w:val="16"/>
              </w:rPr>
              <w:t>项目</w:t>
            </w:r>
          </w:p>
        </w:tc>
        <w:tc>
          <w:tcPr>
            <w:tcW w:w="3103" w:type="dxa"/>
            <w:tcBorders>
              <w:top w:val="single" w:sz="12" w:space="0" w:color="000000"/>
              <w:left w:val="nil" w:sz="6" w:space="0" w:color="auto"/>
              <w:bottom w:val="nil" w:sz="6" w:space="0" w:color="auto"/>
              <w:right w:val="nil" w:sz="6" w:space="0" w:color="auto"/>
            </w:tcBorders>
          </w:tcPr>
          <w:p>
            <w:pPr>
              <w:pStyle w:val="TableParagraph"/>
              <w:spacing w:line="240" w:lineRule="auto" w:before="37"/>
              <w:ind w:right="63"/>
              <w:jc w:val="center"/>
              <w:rPr>
                <w:rFonts w:ascii="宋体" w:hAnsi="宋体" w:cs="宋体" w:eastAsia="宋体" w:hint="default"/>
                <w:sz w:val="16"/>
                <w:szCs w:val="16"/>
              </w:rPr>
            </w:pPr>
            <w:r>
              <w:rPr>
                <w:rFonts w:ascii="宋体" w:hAnsi="宋体" w:cs="宋体" w:eastAsia="宋体" w:hint="default"/>
                <w:sz w:val="16"/>
                <w:szCs w:val="16"/>
              </w:rPr>
              <w:t>期末余额</w:t>
            </w:r>
          </w:p>
        </w:tc>
        <w:tc>
          <w:tcPr>
            <w:tcW w:w="2039" w:type="dxa"/>
            <w:tcBorders>
              <w:top w:val="single" w:sz="12" w:space="0" w:color="000000"/>
              <w:left w:val="nil" w:sz="6" w:space="0" w:color="auto"/>
              <w:bottom w:val="nil" w:sz="6" w:space="0" w:color="auto"/>
              <w:right w:val="nil" w:sz="6" w:space="0" w:color="auto"/>
            </w:tcBorders>
          </w:tcPr>
          <w:p>
            <w:pPr>
              <w:pStyle w:val="TableParagraph"/>
              <w:spacing w:line="240" w:lineRule="auto" w:before="37"/>
              <w:ind w:left="501" w:right="0"/>
              <w:jc w:val="left"/>
              <w:rPr>
                <w:rFonts w:ascii="宋体" w:hAnsi="宋体" w:cs="宋体" w:eastAsia="宋体" w:hint="default"/>
                <w:sz w:val="16"/>
                <w:szCs w:val="16"/>
              </w:rPr>
            </w:pPr>
            <w:r>
              <w:rPr>
                <w:rFonts w:ascii="宋体" w:hAnsi="宋体" w:cs="宋体" w:eastAsia="宋体" w:hint="default"/>
                <w:sz w:val="16"/>
                <w:szCs w:val="16"/>
              </w:rPr>
              <w:t>年初余额</w:t>
            </w:r>
          </w:p>
        </w:tc>
      </w:tr>
      <w:tr>
        <w:trPr>
          <w:trHeight w:val="356" w:hRule="exact"/>
        </w:trPr>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07" w:right="0"/>
              <w:jc w:val="left"/>
              <w:rPr>
                <w:rFonts w:ascii="宋体" w:hAnsi="宋体" w:cs="宋体" w:eastAsia="宋体" w:hint="default"/>
                <w:sz w:val="16"/>
                <w:szCs w:val="16"/>
              </w:rPr>
            </w:pPr>
            <w:r>
              <w:rPr>
                <w:rFonts w:ascii="宋体" w:hAnsi="宋体" w:cs="宋体" w:eastAsia="宋体" w:hint="default"/>
                <w:sz w:val="16"/>
                <w:szCs w:val="16"/>
              </w:rPr>
              <w:t>子公司普通股股利</w:t>
            </w:r>
          </w:p>
        </w:tc>
        <w:tc>
          <w:tcPr>
            <w:tcW w:w="1536" w:type="dxa"/>
            <w:tcBorders>
              <w:top w:val="nil" w:sz="6" w:space="0" w:color="auto"/>
              <w:left w:val="nil" w:sz="6" w:space="0" w:color="auto"/>
              <w:bottom w:val="nil" w:sz="6" w:space="0" w:color="auto"/>
              <w:right w:val="nil" w:sz="6" w:space="0" w:color="auto"/>
            </w:tcBorders>
          </w:tcPr>
          <w:p>
            <w:pPr/>
          </w:p>
        </w:tc>
        <w:tc>
          <w:tcPr>
            <w:tcW w:w="3103"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499"/>
              <w:jc w:val="right"/>
              <w:rPr>
                <w:rFonts w:ascii="Times New Roman" w:hAnsi="Times New Roman" w:cs="Times New Roman" w:eastAsia="Times New Roman" w:hint="default"/>
                <w:sz w:val="16"/>
                <w:szCs w:val="16"/>
              </w:rPr>
            </w:pPr>
            <w:r>
              <w:rPr>
                <w:rFonts w:ascii="Times New Roman"/>
                <w:spacing w:val="-1"/>
                <w:sz w:val="16"/>
              </w:rPr>
              <w:t>1,698,626.38</w:t>
            </w:r>
          </w:p>
        </w:tc>
        <w:tc>
          <w:tcPr>
            <w:tcW w:w="2039"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04"/>
              <w:jc w:val="right"/>
              <w:rPr>
                <w:rFonts w:ascii="Times New Roman" w:hAnsi="Times New Roman" w:cs="Times New Roman" w:eastAsia="Times New Roman" w:hint="default"/>
                <w:sz w:val="16"/>
                <w:szCs w:val="16"/>
              </w:rPr>
            </w:pPr>
            <w:r>
              <w:rPr>
                <w:rFonts w:ascii="Times New Roman"/>
                <w:spacing w:val="-1"/>
                <w:sz w:val="16"/>
              </w:rPr>
              <w:t>1,554,793.79</w:t>
            </w:r>
          </w:p>
        </w:tc>
      </w:tr>
      <w:tr>
        <w:trPr>
          <w:trHeight w:val="354" w:hRule="exact"/>
        </w:trPr>
        <w:tc>
          <w:tcPr>
            <w:tcW w:w="1510" w:type="dxa"/>
            <w:tcBorders>
              <w:top w:val="nil" w:sz="6" w:space="0" w:color="auto"/>
              <w:left w:val="nil" w:sz="6" w:space="0" w:color="auto"/>
              <w:bottom w:val="single" w:sz="12" w:space="0" w:color="000000"/>
              <w:right w:val="nil" w:sz="6" w:space="0" w:color="auto"/>
            </w:tcBorders>
          </w:tcPr>
          <w:p>
            <w:pPr/>
          </w:p>
        </w:tc>
        <w:tc>
          <w:tcPr>
            <w:tcW w:w="1536" w:type="dxa"/>
            <w:tcBorders>
              <w:top w:val="nil" w:sz="6" w:space="0" w:color="auto"/>
              <w:left w:val="nil" w:sz="6" w:space="0" w:color="auto"/>
              <w:bottom w:val="single" w:sz="12" w:space="0" w:color="000000"/>
              <w:right w:val="nil" w:sz="6" w:space="0" w:color="auto"/>
            </w:tcBorders>
          </w:tcPr>
          <w:p>
            <w:pPr>
              <w:pStyle w:val="TableParagraph"/>
              <w:spacing w:line="240" w:lineRule="auto" w:before="38"/>
              <w:ind w:left="17"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3103" w:type="dxa"/>
            <w:tcBorders>
              <w:top w:val="nil" w:sz="6" w:space="0" w:color="auto"/>
              <w:left w:val="nil" w:sz="6" w:space="0" w:color="auto"/>
              <w:bottom w:val="single" w:sz="12" w:space="0" w:color="000000"/>
              <w:right w:val="nil" w:sz="6" w:space="0" w:color="auto"/>
            </w:tcBorders>
          </w:tcPr>
          <w:p>
            <w:pPr>
              <w:pStyle w:val="TableParagraph"/>
              <w:spacing w:line="240" w:lineRule="auto" w:before="80"/>
              <w:ind w:right="499"/>
              <w:jc w:val="right"/>
              <w:rPr>
                <w:rFonts w:ascii="Times New Roman" w:hAnsi="Times New Roman" w:cs="Times New Roman" w:eastAsia="Times New Roman" w:hint="default"/>
                <w:sz w:val="16"/>
                <w:szCs w:val="16"/>
              </w:rPr>
            </w:pPr>
            <w:r>
              <w:rPr>
                <w:rFonts w:ascii="Times New Roman"/>
                <w:spacing w:val="-1"/>
                <w:sz w:val="16"/>
              </w:rPr>
              <w:t>1,698,626.38</w:t>
            </w:r>
          </w:p>
        </w:tc>
        <w:tc>
          <w:tcPr>
            <w:tcW w:w="2039" w:type="dxa"/>
            <w:tcBorders>
              <w:top w:val="nil" w:sz="6" w:space="0" w:color="auto"/>
              <w:left w:val="nil" w:sz="6" w:space="0" w:color="auto"/>
              <w:bottom w:val="single" w:sz="12" w:space="0" w:color="000000"/>
              <w:right w:val="nil" w:sz="6" w:space="0" w:color="auto"/>
            </w:tcBorders>
          </w:tcPr>
          <w:p>
            <w:pPr>
              <w:pStyle w:val="TableParagraph"/>
              <w:spacing w:line="240" w:lineRule="auto" w:before="80"/>
              <w:ind w:right="104"/>
              <w:jc w:val="right"/>
              <w:rPr>
                <w:rFonts w:ascii="Times New Roman" w:hAnsi="Times New Roman" w:cs="Times New Roman" w:eastAsia="Times New Roman" w:hint="default"/>
                <w:sz w:val="16"/>
                <w:szCs w:val="16"/>
              </w:rPr>
            </w:pPr>
            <w:r>
              <w:rPr>
                <w:rFonts w:ascii="Times New Roman"/>
                <w:spacing w:val="-1"/>
                <w:sz w:val="16"/>
              </w:rPr>
              <w:t>1,554,793.79</w:t>
            </w:r>
          </w:p>
        </w:tc>
      </w:tr>
    </w:tbl>
    <w:p>
      <w:pPr>
        <w:spacing w:after="0" w:line="240" w:lineRule="auto"/>
        <w:jc w:val="right"/>
        <w:rPr>
          <w:rFonts w:ascii="Times New Roman" w:hAnsi="Times New Roman" w:cs="Times New Roman" w:eastAsia="Times New Roman" w:hint="default"/>
          <w:sz w:val="16"/>
          <w:szCs w:val="16"/>
        </w:rPr>
        <w:sectPr>
          <w:pgSz w:w="11910" w:h="16840"/>
          <w:pgMar w:header="0" w:footer="1001" w:top="1520" w:bottom="1200" w:left="1660" w:right="0"/>
        </w:sectPr>
      </w:pPr>
    </w:p>
    <w:p>
      <w:pPr>
        <w:spacing w:line="240" w:lineRule="auto" w:before="5"/>
        <w:rPr>
          <w:rFonts w:ascii="Times New Roman" w:hAnsi="Times New Roman" w:cs="Times New Roman" w:eastAsia="Times New Roman" w:hint="default"/>
          <w:sz w:val="15"/>
          <w:szCs w:val="15"/>
        </w:rPr>
      </w:pPr>
    </w:p>
    <w:p>
      <w:pPr>
        <w:pStyle w:val="Heading5"/>
        <w:tabs>
          <w:tab w:pos="1397" w:val="left" w:leader="none"/>
        </w:tabs>
        <w:spacing w:line="240" w:lineRule="auto"/>
        <w:ind w:left="846" w:right="3681"/>
        <w:jc w:val="left"/>
        <w:rPr>
          <w:b w:val="0"/>
          <w:bCs w:val="0"/>
        </w:rPr>
      </w:pPr>
      <w:r>
        <w:rPr>
          <w:rFonts w:ascii="Times New Roman" w:hAnsi="Times New Roman" w:cs="Times New Roman" w:eastAsia="Times New Roman" w:hint="default"/>
          <w:w w:val="95"/>
        </w:rPr>
        <w:t>3</w:t>
      </w:r>
      <w:r>
        <w:rPr>
          <w:w w:val="95"/>
        </w:rPr>
        <w:t>、</w:t>
        <w:tab/>
      </w:r>
      <w:r>
        <w:rPr/>
        <w:t>其他应付款</w:t>
      </w:r>
      <w:r>
        <w:rPr>
          <w:b w:val="0"/>
          <w:bCs w:val="0"/>
        </w:rPr>
      </w:r>
    </w:p>
    <w:p>
      <w:pPr>
        <w:pStyle w:val="BodyText"/>
        <w:spacing w:line="240" w:lineRule="auto" w:before="110"/>
        <w:ind w:right="3681"/>
        <w:jc w:val="left"/>
      </w:pPr>
      <w:r>
        <w:rPr/>
        <w:pict>
          <v:group style="position:absolute;margin-left:119.010002pt;margin-top:20.823668pt;width:411.85pt;height:124.7pt;mso-position-horizontal-relative:page;mso-position-vertical-relative:paragraph;z-index:-1382464" coordorigin="2380,416" coordsize="8237,2494">
            <v:group style="position:absolute;left:2410;top:431;width:3372;height:2" coordorigin="2410,431" coordsize="3372,2">
              <v:shape style="position:absolute;left:2410;top:431;width:3372;height:2" coordorigin="2410,431" coordsize="3372,0" path="m2410,431l5782,431e" filled="false" stroked="true" strokeweight="1.5pt" strokecolor="#000000">
                <v:path arrowok="t"/>
              </v:shape>
              <v:shape style="position:absolute;left:5782;top:446;width:10;height:28" type="#_x0000_t75" stroked="false">
                <v:imagedata r:id="rId96" o:title=""/>
              </v:shape>
            </v:group>
            <v:group style="position:absolute;left:5782;top:431;width:2378;height:2" coordorigin="5782,431" coordsize="2378,2">
              <v:shape style="position:absolute;left:5782;top:431;width:2378;height:2" coordorigin="5782,431" coordsize="2378,0" path="m5782,431l8159,431e" filled="false" stroked="true" strokeweight="1.5pt" strokecolor="#000000">
                <v:path arrowok="t"/>
              </v:shape>
              <v:shape style="position:absolute;left:8159;top:446;width:10;height:28" type="#_x0000_t75" stroked="false">
                <v:imagedata r:id="rId96" o:title=""/>
              </v:shape>
            </v:group>
            <v:group style="position:absolute;left:8159;top:431;width:30;height:2" coordorigin="8159,431" coordsize="30,2">
              <v:shape style="position:absolute;left:8159;top:431;width:30;height:2" coordorigin="8159,431" coordsize="30,0" path="m8159,431l8189,431e" filled="false" stroked="true" strokeweight="1.5pt" strokecolor="#000000">
                <v:path arrowok="t"/>
              </v:shape>
            </v:group>
            <v:group style="position:absolute;left:8189;top:431;width:2409;height:2" coordorigin="8189,431" coordsize="2409,2">
              <v:shape style="position:absolute;left:8189;top:431;width:2409;height:2" coordorigin="8189,431" coordsize="2409,0" path="m8189,431l10597,431e" filled="false" stroked="true" strokeweight="1.5pt" strokecolor="#000000">
                <v:path arrowok="t"/>
              </v:shape>
              <v:shape style="position:absolute;left:5762;top:455;width:2425;height:350" type="#_x0000_t75" stroked="false">
                <v:imagedata r:id="rId261" o:title=""/>
              </v:shape>
            </v:group>
            <v:group style="position:absolute;left:2395;top:2895;width:3387;height:2" coordorigin="2395,2895" coordsize="3387,2">
              <v:shape style="position:absolute;left:2395;top:2895;width:3387;height:2" coordorigin="2395,2895" coordsize="3387,0" path="m2395,2895l5782,2895e" filled="false" stroked="true" strokeweight="1.5pt" strokecolor="#000000">
                <v:path arrowok="t"/>
              </v:shape>
            </v:group>
            <v:group style="position:absolute;left:5782;top:2895;width:2378;height:2" coordorigin="5782,2895" coordsize="2378,2">
              <v:shape style="position:absolute;left:5782;top:2895;width:2378;height:2" coordorigin="5782,2895" coordsize="2378,0" path="m5782,2895l8159,2895e" filled="false" stroked="true" strokeweight="1.5pt" strokecolor="#000000">
                <v:path arrowok="t"/>
              </v:shape>
              <v:shape style="position:absolute;left:2390;top:767;width:8226;height:2113" type="#_x0000_t75" stroked="false">
                <v:imagedata r:id="rId262" o:title=""/>
              </v:shape>
            </v:group>
            <v:group style="position:absolute;left:8159;top:2895;width:30;height:2" coordorigin="8159,2895" coordsize="30,2">
              <v:shape style="position:absolute;left:8159;top:2895;width:30;height:2" coordorigin="8159,2895" coordsize="30,0" path="m8159,2895l8189,2895e" filled="false" stroked="true" strokeweight="1.5pt" strokecolor="#000000">
                <v:path arrowok="t"/>
              </v:shape>
            </v:group>
            <v:group style="position:absolute;left:8189;top:2895;width:2409;height:2" coordorigin="8189,2895" coordsize="2409,2">
              <v:shape style="position:absolute;left:8189;top:2895;width:2409;height:2" coordorigin="8189,2895" coordsize="2409,0" path="m8189,2895l10597,2895e" filled="false" stroked="true" strokeweight="1.5pt" strokecolor="#000000">
                <v:path arrowok="t"/>
              </v:shape>
            </v:group>
            <w10:wrap type="none"/>
          </v:group>
        </w:pict>
      </w:r>
      <w:r>
        <w:rPr/>
        <w:t>（</w:t>
      </w:r>
      <w:r>
        <w:rPr>
          <w:rFonts w:ascii="Times New Roman" w:hAnsi="Times New Roman" w:cs="Times New Roman" w:eastAsia="Times New Roman" w:hint="default"/>
        </w:rPr>
        <w:t>1</w:t>
      </w:r>
      <w:r>
        <w:rPr/>
        <w:t>）按款项性质列示其他应付款</w:t>
      </w:r>
    </w:p>
    <w:p>
      <w:pPr>
        <w:spacing w:line="240" w:lineRule="auto" w:before="5"/>
        <w:rPr>
          <w:rFonts w:ascii="宋体" w:hAnsi="宋体" w:cs="宋体" w:eastAsia="宋体" w:hint="default"/>
          <w:sz w:val="2"/>
          <w:szCs w:val="2"/>
        </w:rPr>
      </w:pPr>
    </w:p>
    <w:tbl>
      <w:tblPr>
        <w:tblW w:w="0" w:type="auto"/>
        <w:jc w:val="left"/>
        <w:tblInd w:w="787" w:type="dxa"/>
        <w:tblLayout w:type="fixed"/>
        <w:tblCellMar>
          <w:top w:w="0" w:type="dxa"/>
          <w:left w:w="0" w:type="dxa"/>
          <w:bottom w:w="0" w:type="dxa"/>
          <w:right w:w="0" w:type="dxa"/>
        </w:tblCellMar>
        <w:tblLook w:val="01E0"/>
      </w:tblPr>
      <w:tblGrid>
        <w:gridCol w:w="1339"/>
        <w:gridCol w:w="1669"/>
        <w:gridCol w:w="3102"/>
        <w:gridCol w:w="2002"/>
      </w:tblGrid>
      <w:tr>
        <w:trPr>
          <w:trHeight w:val="714" w:hRule="exact"/>
        </w:trPr>
        <w:tc>
          <w:tcPr>
            <w:tcW w:w="133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70" w:right="0"/>
              <w:jc w:val="left"/>
              <w:rPr>
                <w:rFonts w:ascii="宋体" w:hAnsi="宋体" w:cs="宋体" w:eastAsia="宋体" w:hint="default"/>
                <w:sz w:val="16"/>
                <w:szCs w:val="16"/>
              </w:rPr>
            </w:pPr>
            <w:r>
              <w:rPr>
                <w:rFonts w:ascii="宋体" w:hAnsi="宋体" w:cs="宋体" w:eastAsia="宋体" w:hint="default"/>
                <w:sz w:val="16"/>
                <w:szCs w:val="16"/>
              </w:rPr>
              <w:t>业务往来</w:t>
            </w: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50" w:right="0"/>
              <w:jc w:val="left"/>
              <w:rPr>
                <w:rFonts w:ascii="宋体" w:hAnsi="宋体" w:cs="宋体" w:eastAsia="宋体" w:hint="default"/>
                <w:sz w:val="16"/>
                <w:szCs w:val="16"/>
              </w:rPr>
            </w:pPr>
            <w:r>
              <w:rPr>
                <w:rFonts w:ascii="宋体" w:hAnsi="宋体" w:cs="宋体" w:eastAsia="宋体" w:hint="default"/>
                <w:sz w:val="16"/>
                <w:szCs w:val="16"/>
              </w:rPr>
              <w:t>项目</w:t>
            </w:r>
          </w:p>
        </w:tc>
        <w:tc>
          <w:tcPr>
            <w:tcW w:w="310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63"/>
              <w:jc w:val="center"/>
              <w:rPr>
                <w:rFonts w:ascii="宋体" w:hAnsi="宋体" w:cs="宋体" w:eastAsia="宋体" w:hint="default"/>
                <w:sz w:val="16"/>
                <w:szCs w:val="16"/>
              </w:rPr>
            </w:pPr>
            <w:r>
              <w:rPr>
                <w:rFonts w:ascii="宋体" w:hAnsi="宋体" w:cs="宋体" w:eastAsia="宋体" w:hint="default"/>
                <w:sz w:val="16"/>
                <w:szCs w:val="16"/>
              </w:rPr>
              <w:t>期末余额</w:t>
            </w:r>
          </w:p>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1599" w:right="0"/>
              <w:jc w:val="left"/>
              <w:rPr>
                <w:rFonts w:ascii="Times New Roman" w:hAnsi="Times New Roman" w:cs="Times New Roman" w:eastAsia="Times New Roman" w:hint="default"/>
                <w:sz w:val="16"/>
                <w:szCs w:val="16"/>
              </w:rPr>
            </w:pPr>
            <w:r>
              <w:rPr>
                <w:rFonts w:ascii="Times New Roman"/>
                <w:sz w:val="16"/>
              </w:rPr>
              <w:t>493,253,709.37</w:t>
            </w: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501" w:right="0"/>
              <w:jc w:val="left"/>
              <w:rPr>
                <w:rFonts w:ascii="宋体" w:hAnsi="宋体" w:cs="宋体" w:eastAsia="宋体" w:hint="default"/>
                <w:sz w:val="16"/>
                <w:szCs w:val="16"/>
              </w:rPr>
            </w:pPr>
            <w:r>
              <w:rPr>
                <w:rFonts w:ascii="宋体" w:hAnsi="宋体" w:cs="宋体" w:eastAsia="宋体" w:hint="default"/>
                <w:sz w:val="16"/>
                <w:szCs w:val="16"/>
              </w:rPr>
              <w:t>年初余额</w:t>
            </w:r>
          </w:p>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931" w:right="0"/>
              <w:jc w:val="left"/>
              <w:rPr>
                <w:rFonts w:ascii="Times New Roman" w:hAnsi="Times New Roman" w:cs="Times New Roman" w:eastAsia="Times New Roman" w:hint="default"/>
                <w:sz w:val="16"/>
                <w:szCs w:val="16"/>
              </w:rPr>
            </w:pPr>
            <w:r>
              <w:rPr>
                <w:rFonts w:ascii="Times New Roman"/>
                <w:sz w:val="16"/>
              </w:rPr>
              <w:t>251,417,147.20</w:t>
            </w:r>
          </w:p>
        </w:tc>
      </w:tr>
      <w:tr>
        <w:trPr>
          <w:trHeight w:val="349" w:hRule="exact"/>
        </w:trPr>
        <w:tc>
          <w:tcPr>
            <w:tcW w:w="133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宋体" w:hAnsi="宋体" w:cs="宋体" w:eastAsia="宋体" w:hint="default"/>
                <w:sz w:val="16"/>
                <w:szCs w:val="16"/>
              </w:rPr>
              <w:t>代垫及暂收款</w:t>
            </w:r>
          </w:p>
        </w:tc>
        <w:tc>
          <w:tcPr>
            <w:tcW w:w="1669" w:type="dxa"/>
            <w:tcBorders>
              <w:top w:val="nil" w:sz="6" w:space="0" w:color="auto"/>
              <w:left w:val="nil" w:sz="6" w:space="0" w:color="auto"/>
              <w:bottom w:val="nil" w:sz="6" w:space="0" w:color="auto"/>
              <w:right w:val="nil" w:sz="6" w:space="0" w:color="auto"/>
            </w:tcBorders>
          </w:tcPr>
          <w:p>
            <w:pPr/>
          </w:p>
        </w:tc>
        <w:tc>
          <w:tcPr>
            <w:tcW w:w="3102"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501"/>
              <w:jc w:val="right"/>
              <w:rPr>
                <w:rFonts w:ascii="Times New Roman" w:hAnsi="Times New Roman" w:cs="Times New Roman" w:eastAsia="Times New Roman" w:hint="default"/>
                <w:sz w:val="16"/>
                <w:szCs w:val="16"/>
              </w:rPr>
            </w:pPr>
            <w:r>
              <w:rPr>
                <w:rFonts w:ascii="Times New Roman"/>
                <w:spacing w:val="-1"/>
                <w:sz w:val="16"/>
              </w:rPr>
              <w:t>140,078,632.00</w:t>
            </w: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8"/>
              <w:jc w:val="right"/>
              <w:rPr>
                <w:rFonts w:ascii="Times New Roman" w:hAnsi="Times New Roman" w:cs="Times New Roman" w:eastAsia="Times New Roman" w:hint="default"/>
                <w:sz w:val="16"/>
                <w:szCs w:val="16"/>
              </w:rPr>
            </w:pPr>
            <w:r>
              <w:rPr>
                <w:rFonts w:ascii="Times New Roman"/>
                <w:spacing w:val="-1"/>
                <w:sz w:val="16"/>
              </w:rPr>
              <w:t>163,942,274.12</w:t>
            </w:r>
          </w:p>
        </w:tc>
      </w:tr>
      <w:tr>
        <w:trPr>
          <w:trHeight w:val="349" w:hRule="exact"/>
        </w:trPr>
        <w:tc>
          <w:tcPr>
            <w:tcW w:w="1339" w:type="dxa"/>
            <w:tcBorders>
              <w:top w:val="nil" w:sz="6" w:space="0" w:color="auto"/>
              <w:left w:val="nil" w:sz="6" w:space="0" w:color="auto"/>
              <w:bottom w:val="nil" w:sz="6" w:space="0" w:color="auto"/>
              <w:right w:val="nil" w:sz="6" w:space="0" w:color="auto"/>
            </w:tcBorders>
          </w:tcPr>
          <w:p>
            <w:pPr>
              <w:pStyle w:val="TableParagraph"/>
              <w:spacing w:line="240" w:lineRule="auto" w:before="37"/>
              <w:ind w:left="70" w:right="0"/>
              <w:jc w:val="left"/>
              <w:rPr>
                <w:rFonts w:ascii="宋体" w:hAnsi="宋体" w:cs="宋体" w:eastAsia="宋体" w:hint="default"/>
                <w:sz w:val="16"/>
                <w:szCs w:val="16"/>
              </w:rPr>
            </w:pPr>
            <w:r>
              <w:rPr>
                <w:rFonts w:ascii="宋体" w:hAnsi="宋体" w:cs="宋体" w:eastAsia="宋体" w:hint="default"/>
                <w:sz w:val="16"/>
                <w:szCs w:val="16"/>
              </w:rPr>
              <w:t>保证金</w:t>
            </w:r>
          </w:p>
        </w:tc>
        <w:tc>
          <w:tcPr>
            <w:tcW w:w="1669" w:type="dxa"/>
            <w:tcBorders>
              <w:top w:val="nil" w:sz="6" w:space="0" w:color="auto"/>
              <w:left w:val="nil" w:sz="6" w:space="0" w:color="auto"/>
              <w:bottom w:val="nil" w:sz="6" w:space="0" w:color="auto"/>
              <w:right w:val="nil" w:sz="6" w:space="0" w:color="auto"/>
            </w:tcBorders>
          </w:tcPr>
          <w:p>
            <w:pPr/>
          </w:p>
        </w:tc>
        <w:tc>
          <w:tcPr>
            <w:tcW w:w="310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500"/>
              <w:jc w:val="right"/>
              <w:rPr>
                <w:rFonts w:ascii="Times New Roman" w:hAnsi="Times New Roman" w:cs="Times New Roman" w:eastAsia="Times New Roman" w:hint="default"/>
                <w:sz w:val="16"/>
                <w:szCs w:val="16"/>
              </w:rPr>
            </w:pPr>
            <w:r>
              <w:rPr>
                <w:rFonts w:ascii="Times New Roman"/>
                <w:spacing w:val="-1"/>
                <w:sz w:val="16"/>
              </w:rPr>
              <w:t>48,823,436.48</w:t>
            </w: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68"/>
              <w:jc w:val="right"/>
              <w:rPr>
                <w:rFonts w:ascii="Times New Roman" w:hAnsi="Times New Roman" w:cs="Times New Roman" w:eastAsia="Times New Roman" w:hint="default"/>
                <w:sz w:val="16"/>
                <w:szCs w:val="16"/>
              </w:rPr>
            </w:pPr>
            <w:r>
              <w:rPr>
                <w:rFonts w:ascii="Times New Roman"/>
                <w:spacing w:val="-1"/>
                <w:sz w:val="16"/>
              </w:rPr>
              <w:t>45,543,604.02</w:t>
            </w:r>
          </w:p>
        </w:tc>
      </w:tr>
      <w:tr>
        <w:trPr>
          <w:trHeight w:val="349" w:hRule="exact"/>
        </w:trPr>
        <w:tc>
          <w:tcPr>
            <w:tcW w:w="1339" w:type="dxa"/>
            <w:tcBorders>
              <w:top w:val="nil" w:sz="6" w:space="0" w:color="auto"/>
              <w:left w:val="nil" w:sz="6" w:space="0" w:color="auto"/>
              <w:bottom w:val="nil" w:sz="6" w:space="0" w:color="auto"/>
              <w:right w:val="nil" w:sz="6" w:space="0" w:color="auto"/>
            </w:tcBorders>
          </w:tcPr>
          <w:p>
            <w:pPr>
              <w:pStyle w:val="TableParagraph"/>
              <w:spacing w:line="240" w:lineRule="auto" w:before="37"/>
              <w:ind w:left="70" w:right="0"/>
              <w:jc w:val="left"/>
              <w:rPr>
                <w:rFonts w:ascii="宋体" w:hAnsi="宋体" w:cs="宋体" w:eastAsia="宋体" w:hint="default"/>
                <w:sz w:val="16"/>
                <w:szCs w:val="16"/>
              </w:rPr>
            </w:pPr>
            <w:r>
              <w:rPr>
                <w:rFonts w:ascii="宋体" w:hAnsi="宋体" w:cs="宋体" w:eastAsia="宋体" w:hint="default"/>
                <w:sz w:val="16"/>
                <w:szCs w:val="16"/>
              </w:rPr>
              <w:t>设备款及工程款</w:t>
            </w:r>
          </w:p>
        </w:tc>
        <w:tc>
          <w:tcPr>
            <w:tcW w:w="1669" w:type="dxa"/>
            <w:tcBorders>
              <w:top w:val="nil" w:sz="6" w:space="0" w:color="auto"/>
              <w:left w:val="nil" w:sz="6" w:space="0" w:color="auto"/>
              <w:bottom w:val="nil" w:sz="6" w:space="0" w:color="auto"/>
              <w:right w:val="nil" w:sz="6" w:space="0" w:color="auto"/>
            </w:tcBorders>
          </w:tcPr>
          <w:p>
            <w:pPr/>
          </w:p>
        </w:tc>
        <w:tc>
          <w:tcPr>
            <w:tcW w:w="3102"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500"/>
              <w:jc w:val="right"/>
              <w:rPr>
                <w:rFonts w:ascii="Times New Roman" w:hAnsi="Times New Roman" w:cs="Times New Roman" w:eastAsia="Times New Roman" w:hint="default"/>
                <w:sz w:val="16"/>
                <w:szCs w:val="16"/>
              </w:rPr>
            </w:pPr>
            <w:r>
              <w:rPr>
                <w:rFonts w:ascii="Times New Roman"/>
                <w:spacing w:val="-1"/>
                <w:sz w:val="16"/>
              </w:rPr>
              <w:t>13,639,972.02</w:t>
            </w: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8"/>
              <w:jc w:val="right"/>
              <w:rPr>
                <w:rFonts w:ascii="Times New Roman" w:hAnsi="Times New Roman" w:cs="Times New Roman" w:eastAsia="Times New Roman" w:hint="default"/>
                <w:sz w:val="16"/>
                <w:szCs w:val="16"/>
              </w:rPr>
            </w:pPr>
            <w:r>
              <w:rPr>
                <w:rFonts w:ascii="Times New Roman"/>
                <w:spacing w:val="-1"/>
                <w:sz w:val="16"/>
              </w:rPr>
              <w:t>94,718,232.09</w:t>
            </w:r>
          </w:p>
        </w:tc>
      </w:tr>
      <w:tr>
        <w:trPr>
          <w:trHeight w:val="349" w:hRule="exact"/>
        </w:trPr>
        <w:tc>
          <w:tcPr>
            <w:tcW w:w="133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1669" w:type="dxa"/>
            <w:tcBorders>
              <w:top w:val="nil" w:sz="6" w:space="0" w:color="auto"/>
              <w:left w:val="nil" w:sz="6" w:space="0" w:color="auto"/>
              <w:bottom w:val="nil" w:sz="6" w:space="0" w:color="auto"/>
              <w:right w:val="nil" w:sz="6" w:space="0" w:color="auto"/>
            </w:tcBorders>
          </w:tcPr>
          <w:p>
            <w:pPr/>
          </w:p>
        </w:tc>
        <w:tc>
          <w:tcPr>
            <w:tcW w:w="3102"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500"/>
              <w:jc w:val="right"/>
              <w:rPr>
                <w:rFonts w:ascii="Times New Roman" w:hAnsi="Times New Roman" w:cs="Times New Roman" w:eastAsia="Times New Roman" w:hint="default"/>
                <w:sz w:val="16"/>
                <w:szCs w:val="16"/>
              </w:rPr>
            </w:pPr>
            <w:r>
              <w:rPr>
                <w:rFonts w:ascii="Times New Roman"/>
                <w:spacing w:val="-1"/>
                <w:sz w:val="16"/>
              </w:rPr>
              <w:t>70,240,210.08</w:t>
            </w: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8"/>
              <w:jc w:val="right"/>
              <w:rPr>
                <w:rFonts w:ascii="Times New Roman" w:hAnsi="Times New Roman" w:cs="Times New Roman" w:eastAsia="Times New Roman" w:hint="default"/>
                <w:sz w:val="16"/>
                <w:szCs w:val="16"/>
              </w:rPr>
            </w:pPr>
            <w:r>
              <w:rPr>
                <w:rFonts w:ascii="Times New Roman"/>
                <w:spacing w:val="-1"/>
                <w:sz w:val="16"/>
              </w:rPr>
              <w:t>11,571,400.47</w:t>
            </w:r>
          </w:p>
        </w:tc>
      </w:tr>
      <w:tr>
        <w:trPr>
          <w:trHeight w:val="354" w:hRule="exact"/>
        </w:trPr>
        <w:tc>
          <w:tcPr>
            <w:tcW w:w="1339" w:type="dxa"/>
            <w:tcBorders>
              <w:top w:val="nil" w:sz="6" w:space="0" w:color="auto"/>
              <w:left w:val="nil" w:sz="6" w:space="0" w:color="auto"/>
              <w:bottom w:val="nil" w:sz="6" w:space="0" w:color="auto"/>
              <w:right w:val="nil" w:sz="6" w:space="0" w:color="auto"/>
            </w:tcBorders>
          </w:tcPr>
          <w:p>
            <w:pPr/>
          </w:p>
        </w:tc>
        <w:tc>
          <w:tcPr>
            <w:tcW w:w="166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50"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3102"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499"/>
              <w:jc w:val="right"/>
              <w:rPr>
                <w:rFonts w:ascii="Times New Roman" w:hAnsi="Times New Roman" w:cs="Times New Roman" w:eastAsia="Times New Roman" w:hint="default"/>
                <w:sz w:val="16"/>
                <w:szCs w:val="16"/>
              </w:rPr>
            </w:pPr>
            <w:r>
              <w:rPr>
                <w:rFonts w:ascii="Times New Roman"/>
                <w:spacing w:val="-1"/>
                <w:sz w:val="16"/>
              </w:rPr>
              <w:t>766,035,959.95</w:t>
            </w: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8"/>
              <w:jc w:val="right"/>
              <w:rPr>
                <w:rFonts w:ascii="Times New Roman" w:hAnsi="Times New Roman" w:cs="Times New Roman" w:eastAsia="Times New Roman" w:hint="default"/>
                <w:sz w:val="16"/>
                <w:szCs w:val="16"/>
              </w:rPr>
            </w:pPr>
            <w:r>
              <w:rPr>
                <w:rFonts w:ascii="Times New Roman"/>
                <w:spacing w:val="-1"/>
                <w:sz w:val="16"/>
              </w:rPr>
              <w:t>567,192,657.90</w:t>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p>
      <w:pPr>
        <w:pStyle w:val="BodyText"/>
        <w:spacing w:line="240" w:lineRule="auto" w:before="35"/>
        <w:ind w:right="3681"/>
        <w:jc w:val="left"/>
      </w:pPr>
      <w:r>
        <w:rPr/>
        <w:pict>
          <v:group style="position:absolute;margin-left:119.010002pt;margin-top:17.073896pt;width:411.85pt;height:211.95pt;mso-position-horizontal-relative:page;mso-position-vertical-relative:paragraph;z-index:-1382440" coordorigin="2380,341" coordsize="8237,4239">
            <v:group style="position:absolute;left:2410;top:356;width:3372;height:2" coordorigin="2410,356" coordsize="3372,2">
              <v:shape style="position:absolute;left:2410;top:356;width:3372;height:2" coordorigin="2410,356" coordsize="3372,0" path="m2410,356l5782,356e" filled="false" stroked="true" strokeweight="1.5pt" strokecolor="#000000">
                <v:path arrowok="t"/>
              </v:shape>
              <v:shape style="position:absolute;left:5782;top:371;width:10;height:28" type="#_x0000_t75" stroked="false">
                <v:imagedata r:id="rId42" o:title=""/>
              </v:shape>
            </v:group>
            <v:group style="position:absolute;left:5782;top:356;width:2378;height:2" coordorigin="5782,356" coordsize="2378,2">
              <v:shape style="position:absolute;left:5782;top:356;width:2378;height:2" coordorigin="5782,356" coordsize="2378,0" path="m5782,356l8159,356e" filled="false" stroked="true" strokeweight="1.5pt" strokecolor="#000000">
                <v:path arrowok="t"/>
              </v:shape>
              <v:shape style="position:absolute;left:8159;top:371;width:10;height:28" type="#_x0000_t75" stroked="false">
                <v:imagedata r:id="rId42" o:title=""/>
              </v:shape>
            </v:group>
            <v:group style="position:absolute;left:8159;top:356;width:30;height:2" coordorigin="8159,356" coordsize="30,2">
              <v:shape style="position:absolute;left:8159;top:356;width:30;height:2" coordorigin="8159,356" coordsize="30,0" path="m8159,356l8189,356e" filled="false" stroked="true" strokeweight="1.5pt" strokecolor="#000000">
                <v:path arrowok="t"/>
              </v:shape>
            </v:group>
            <v:group style="position:absolute;left:8189;top:356;width:2409;height:2" coordorigin="8189,356" coordsize="2409,2">
              <v:shape style="position:absolute;left:8189;top:356;width:2409;height:2" coordorigin="8189,356" coordsize="2409,0" path="m8189,356l10597,356e" filled="false" stroked="true" strokeweight="1.5pt" strokecolor="#000000">
                <v:path arrowok="t"/>
              </v:shape>
              <v:shape style="position:absolute;left:5762;top:380;width:2425;height:350" type="#_x0000_t75" stroked="false">
                <v:imagedata r:id="rId263" o:title=""/>
              </v:shape>
            </v:group>
            <v:group style="position:absolute;left:2395;top:4565;width:3387;height:2" coordorigin="2395,4565" coordsize="3387,2">
              <v:shape style="position:absolute;left:2395;top:4565;width:3387;height:2" coordorigin="2395,4565" coordsize="3387,0" path="m2395,4565l5782,4565e" filled="false" stroked="true" strokeweight="1.5pt" strokecolor="#000000">
                <v:path arrowok="t"/>
              </v:shape>
            </v:group>
            <v:group style="position:absolute;left:5782;top:4565;width:2378;height:2" coordorigin="5782,4565" coordsize="2378,2">
              <v:shape style="position:absolute;left:5782;top:4565;width:2378;height:2" coordorigin="5782,4565" coordsize="2378,0" path="m5782,4565l8159,4565e" filled="false" stroked="true" strokeweight="1.5pt" strokecolor="#000000">
                <v:path arrowok="t"/>
              </v:shape>
              <v:shape style="position:absolute;left:2390;top:692;width:8226;height:3858" type="#_x0000_t75" stroked="false">
                <v:imagedata r:id="rId264" o:title=""/>
              </v:shape>
            </v:group>
            <v:group style="position:absolute;left:8159;top:4565;width:30;height:2" coordorigin="8159,4565" coordsize="30,2">
              <v:shape style="position:absolute;left:8159;top:4565;width:30;height:2" coordorigin="8159,4565" coordsize="30,0" path="m8159,4565l8189,4565e" filled="false" stroked="true" strokeweight="1.5pt" strokecolor="#000000">
                <v:path arrowok="t"/>
              </v:shape>
            </v:group>
            <v:group style="position:absolute;left:8189;top:4565;width:2409;height:2" coordorigin="8189,4565" coordsize="2409,2">
              <v:shape style="position:absolute;left:8189;top:4565;width:2409;height:2" coordorigin="8189,4565" coordsize="2409,0" path="m8189,4565l10597,4565e" filled="false" stroked="true" strokeweight="1.5pt" strokecolor="#000000">
                <v:path arrowok="t"/>
              </v:shape>
            </v:group>
            <w10:wrap type="none"/>
          </v:group>
        </w:pict>
      </w:r>
      <w:r>
        <w:rPr/>
        <w:t>（</w:t>
      </w:r>
      <w:r>
        <w:rPr>
          <w:rFonts w:ascii="Times New Roman" w:hAnsi="Times New Roman" w:cs="Times New Roman" w:eastAsia="Times New Roman" w:hint="default"/>
        </w:rPr>
        <w:t>2</w:t>
      </w:r>
      <w:r>
        <w:rPr/>
        <w:t>）账龄超过一年的重要其他应付款</w:t>
      </w:r>
    </w:p>
    <w:p>
      <w:pPr>
        <w:spacing w:line="240" w:lineRule="auto" w:before="5"/>
        <w:rPr>
          <w:rFonts w:ascii="宋体" w:hAnsi="宋体" w:cs="宋体" w:eastAsia="宋体" w:hint="default"/>
          <w:sz w:val="2"/>
          <w:szCs w:val="2"/>
        </w:rPr>
      </w:pPr>
    </w:p>
    <w:tbl>
      <w:tblPr>
        <w:tblW w:w="0" w:type="auto"/>
        <w:jc w:val="left"/>
        <w:tblInd w:w="787" w:type="dxa"/>
        <w:tblLayout w:type="fixed"/>
        <w:tblCellMar>
          <w:top w:w="0" w:type="dxa"/>
          <w:left w:w="0" w:type="dxa"/>
          <w:bottom w:w="0" w:type="dxa"/>
          <w:right w:w="0" w:type="dxa"/>
        </w:tblCellMar>
        <w:tblLook w:val="01E0"/>
      </w:tblPr>
      <w:tblGrid>
        <w:gridCol w:w="3418"/>
        <w:gridCol w:w="2493"/>
        <w:gridCol w:w="1776"/>
      </w:tblGrid>
      <w:tr>
        <w:trPr>
          <w:trHeight w:val="714" w:hRule="exact"/>
        </w:trPr>
        <w:tc>
          <w:tcPr>
            <w:tcW w:w="3418" w:type="dxa"/>
            <w:tcBorders>
              <w:top w:val="nil" w:sz="6" w:space="0" w:color="auto"/>
              <w:left w:val="nil" w:sz="6" w:space="0" w:color="auto"/>
              <w:bottom w:val="nil" w:sz="6" w:space="0" w:color="auto"/>
              <w:right w:val="nil" w:sz="6" w:space="0" w:color="auto"/>
            </w:tcBorders>
          </w:tcPr>
          <w:p>
            <w:pPr>
              <w:pStyle w:val="TableParagraph"/>
              <w:spacing w:line="400" w:lineRule="auto" w:before="53"/>
              <w:ind w:left="70" w:right="1607" w:firstLine="1419"/>
              <w:jc w:val="left"/>
              <w:rPr>
                <w:rFonts w:ascii="宋体" w:hAnsi="宋体" w:cs="宋体" w:eastAsia="宋体" w:hint="default"/>
                <w:sz w:val="16"/>
                <w:szCs w:val="16"/>
              </w:rPr>
            </w:pPr>
            <w:r>
              <w:rPr>
                <w:rFonts w:ascii="宋体" w:hAnsi="宋体" w:cs="宋体" w:eastAsia="宋体" w:hint="default"/>
                <w:sz w:val="16"/>
                <w:szCs w:val="16"/>
              </w:rPr>
              <w:t>项目</w:t>
            </w:r>
            <w:r>
              <w:rPr>
                <w:rFonts w:ascii="宋体" w:hAnsi="宋体" w:cs="宋体" w:eastAsia="宋体" w:hint="default"/>
                <w:w w:val="99"/>
                <w:sz w:val="16"/>
                <w:szCs w:val="16"/>
              </w:rPr>
              <w:t> </w:t>
            </w:r>
            <w:r>
              <w:rPr>
                <w:rFonts w:ascii="宋体" w:hAnsi="宋体" w:cs="宋体" w:eastAsia="宋体" w:hint="default"/>
                <w:sz w:val="16"/>
                <w:szCs w:val="16"/>
              </w:rPr>
              <w:t>香港爱卡电器有限公司</w:t>
            </w:r>
          </w:p>
        </w:tc>
        <w:tc>
          <w:tcPr>
            <w:tcW w:w="2493" w:type="dxa"/>
            <w:tcBorders>
              <w:top w:val="nil" w:sz="6" w:space="0" w:color="auto"/>
              <w:left w:val="nil" w:sz="6" w:space="0" w:color="auto"/>
              <w:bottom w:val="nil" w:sz="6" w:space="0" w:color="auto"/>
              <w:right w:val="nil" w:sz="6" w:space="0" w:color="auto"/>
            </w:tcBorders>
          </w:tcPr>
          <w:p>
            <w:pPr>
              <w:pStyle w:val="TableParagraph"/>
              <w:spacing w:line="240" w:lineRule="auto" w:before="53"/>
              <w:ind w:left="789" w:right="0"/>
              <w:jc w:val="left"/>
              <w:rPr>
                <w:rFonts w:ascii="宋体" w:hAnsi="宋体" w:cs="宋体" w:eastAsia="宋体" w:hint="default"/>
                <w:sz w:val="16"/>
                <w:szCs w:val="16"/>
              </w:rPr>
            </w:pPr>
            <w:r>
              <w:rPr>
                <w:rFonts w:ascii="宋体" w:hAnsi="宋体" w:cs="宋体" w:eastAsia="宋体" w:hint="default"/>
                <w:sz w:val="16"/>
                <w:szCs w:val="16"/>
              </w:rPr>
              <w:t>期末余额</w:t>
            </w:r>
          </w:p>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1269" w:right="0"/>
              <w:jc w:val="left"/>
              <w:rPr>
                <w:rFonts w:ascii="Times New Roman" w:hAnsi="Times New Roman" w:cs="Times New Roman" w:eastAsia="Times New Roman" w:hint="default"/>
                <w:sz w:val="16"/>
                <w:szCs w:val="16"/>
              </w:rPr>
            </w:pPr>
            <w:r>
              <w:rPr>
                <w:rFonts w:ascii="Times New Roman"/>
                <w:sz w:val="16"/>
              </w:rPr>
              <w:t>20,079,185.09</w:t>
            </w:r>
          </w:p>
        </w:tc>
        <w:tc>
          <w:tcPr>
            <w:tcW w:w="1776" w:type="dxa"/>
            <w:tcBorders>
              <w:top w:val="nil" w:sz="6" w:space="0" w:color="auto"/>
              <w:left w:val="nil" w:sz="6" w:space="0" w:color="auto"/>
              <w:bottom w:val="nil" w:sz="6" w:space="0" w:color="auto"/>
              <w:right w:val="nil" w:sz="6" w:space="0" w:color="auto"/>
            </w:tcBorders>
          </w:tcPr>
          <w:p>
            <w:pPr>
              <w:pStyle w:val="TableParagraph"/>
              <w:spacing w:line="400" w:lineRule="auto" w:before="53"/>
              <w:ind w:left="781" w:right="33" w:hanging="480"/>
              <w:jc w:val="left"/>
              <w:rPr>
                <w:rFonts w:ascii="宋体" w:hAnsi="宋体" w:cs="宋体" w:eastAsia="宋体" w:hint="default"/>
                <w:sz w:val="16"/>
                <w:szCs w:val="16"/>
              </w:rPr>
            </w:pPr>
            <w:r>
              <w:rPr>
                <w:rFonts w:ascii="宋体" w:hAnsi="宋体" w:cs="宋体" w:eastAsia="宋体" w:hint="default"/>
                <w:sz w:val="16"/>
                <w:szCs w:val="16"/>
              </w:rPr>
              <w:t>未偿还或结转的原因</w:t>
            </w:r>
            <w:r>
              <w:rPr>
                <w:rFonts w:ascii="宋体" w:hAnsi="宋体" w:cs="宋体" w:eastAsia="宋体" w:hint="default"/>
                <w:w w:val="99"/>
                <w:sz w:val="16"/>
                <w:szCs w:val="16"/>
              </w:rPr>
              <w:t> </w:t>
            </w:r>
            <w:r>
              <w:rPr>
                <w:rFonts w:ascii="宋体" w:hAnsi="宋体" w:cs="宋体" w:eastAsia="宋体" w:hint="default"/>
                <w:sz w:val="16"/>
                <w:szCs w:val="16"/>
              </w:rPr>
              <w:t>未结算</w:t>
            </w:r>
          </w:p>
        </w:tc>
      </w:tr>
      <w:tr>
        <w:trPr>
          <w:trHeight w:val="349" w:hRule="exact"/>
        </w:trPr>
        <w:tc>
          <w:tcPr>
            <w:tcW w:w="341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宋体" w:hAnsi="宋体" w:cs="宋体" w:eastAsia="宋体" w:hint="default"/>
                <w:sz w:val="16"/>
                <w:szCs w:val="16"/>
              </w:rPr>
              <w:t>武汉长江电源有限公司</w:t>
            </w:r>
          </w:p>
        </w:tc>
        <w:tc>
          <w:tcPr>
            <w:tcW w:w="249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99"/>
              <w:jc w:val="right"/>
              <w:rPr>
                <w:rFonts w:ascii="Times New Roman" w:hAnsi="Times New Roman" w:cs="Times New Roman" w:eastAsia="Times New Roman" w:hint="default"/>
                <w:sz w:val="16"/>
                <w:szCs w:val="16"/>
              </w:rPr>
            </w:pPr>
            <w:r>
              <w:rPr>
                <w:rFonts w:ascii="Times New Roman"/>
                <w:spacing w:val="-1"/>
                <w:sz w:val="16"/>
              </w:rPr>
              <w:t>16,365,712.01</w:t>
            </w:r>
          </w:p>
        </w:tc>
        <w:tc>
          <w:tcPr>
            <w:tcW w:w="177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66" w:right="0"/>
              <w:jc w:val="center"/>
              <w:rPr>
                <w:rFonts w:ascii="宋体" w:hAnsi="宋体" w:cs="宋体" w:eastAsia="宋体" w:hint="default"/>
                <w:sz w:val="16"/>
                <w:szCs w:val="16"/>
              </w:rPr>
            </w:pPr>
            <w:r>
              <w:rPr>
                <w:rFonts w:ascii="宋体" w:hAnsi="宋体" w:cs="宋体" w:eastAsia="宋体" w:hint="default"/>
                <w:sz w:val="16"/>
                <w:szCs w:val="16"/>
              </w:rPr>
              <w:t>未结算</w:t>
            </w:r>
          </w:p>
        </w:tc>
      </w:tr>
      <w:tr>
        <w:trPr>
          <w:trHeight w:val="349" w:hRule="exact"/>
        </w:trPr>
        <w:tc>
          <w:tcPr>
            <w:tcW w:w="341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宋体" w:hAnsi="宋体" w:cs="宋体" w:eastAsia="宋体" w:hint="default"/>
                <w:sz w:val="16"/>
                <w:szCs w:val="16"/>
              </w:rPr>
              <w:t>中国电子系统技术有限公司</w:t>
            </w:r>
          </w:p>
        </w:tc>
        <w:tc>
          <w:tcPr>
            <w:tcW w:w="249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99"/>
              <w:jc w:val="right"/>
              <w:rPr>
                <w:rFonts w:ascii="Times New Roman" w:hAnsi="Times New Roman" w:cs="Times New Roman" w:eastAsia="Times New Roman" w:hint="default"/>
                <w:sz w:val="16"/>
                <w:szCs w:val="16"/>
              </w:rPr>
            </w:pPr>
            <w:r>
              <w:rPr>
                <w:rFonts w:ascii="Times New Roman"/>
                <w:spacing w:val="-1"/>
                <w:sz w:val="16"/>
              </w:rPr>
              <w:t>11,705,020.07</w:t>
            </w:r>
          </w:p>
        </w:tc>
        <w:tc>
          <w:tcPr>
            <w:tcW w:w="177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66" w:right="0"/>
              <w:jc w:val="center"/>
              <w:rPr>
                <w:rFonts w:ascii="宋体" w:hAnsi="宋体" w:cs="宋体" w:eastAsia="宋体" w:hint="default"/>
                <w:sz w:val="16"/>
                <w:szCs w:val="16"/>
              </w:rPr>
            </w:pPr>
            <w:r>
              <w:rPr>
                <w:rFonts w:ascii="宋体" w:hAnsi="宋体" w:cs="宋体" w:eastAsia="宋体" w:hint="default"/>
                <w:sz w:val="16"/>
                <w:szCs w:val="16"/>
              </w:rPr>
              <w:t>未结算</w:t>
            </w:r>
          </w:p>
        </w:tc>
      </w:tr>
      <w:tr>
        <w:trPr>
          <w:trHeight w:val="349" w:hRule="exact"/>
        </w:trPr>
        <w:tc>
          <w:tcPr>
            <w:tcW w:w="3418" w:type="dxa"/>
            <w:tcBorders>
              <w:top w:val="nil" w:sz="6" w:space="0" w:color="auto"/>
              <w:left w:val="nil" w:sz="6" w:space="0" w:color="auto"/>
              <w:bottom w:val="nil" w:sz="6" w:space="0" w:color="auto"/>
              <w:right w:val="nil" w:sz="6" w:space="0" w:color="auto"/>
            </w:tcBorders>
          </w:tcPr>
          <w:p>
            <w:pPr>
              <w:pStyle w:val="TableParagraph"/>
              <w:spacing w:line="240" w:lineRule="auto" w:before="37"/>
              <w:ind w:left="70" w:right="0"/>
              <w:jc w:val="left"/>
              <w:rPr>
                <w:rFonts w:ascii="宋体" w:hAnsi="宋体" w:cs="宋体" w:eastAsia="宋体" w:hint="default"/>
                <w:sz w:val="16"/>
                <w:szCs w:val="16"/>
              </w:rPr>
            </w:pPr>
            <w:r>
              <w:rPr>
                <w:rFonts w:ascii="宋体" w:hAnsi="宋体" w:cs="宋体" w:eastAsia="宋体" w:hint="default"/>
                <w:sz w:val="16"/>
                <w:szCs w:val="16"/>
              </w:rPr>
              <w:t>中建三局集团有限公司</w:t>
            </w:r>
          </w:p>
        </w:tc>
        <w:tc>
          <w:tcPr>
            <w:tcW w:w="2493"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99"/>
              <w:jc w:val="right"/>
              <w:rPr>
                <w:rFonts w:ascii="Times New Roman" w:hAnsi="Times New Roman" w:cs="Times New Roman" w:eastAsia="Times New Roman" w:hint="default"/>
                <w:sz w:val="16"/>
                <w:szCs w:val="16"/>
              </w:rPr>
            </w:pPr>
            <w:r>
              <w:rPr>
                <w:rFonts w:ascii="Times New Roman"/>
                <w:spacing w:val="-1"/>
                <w:sz w:val="16"/>
              </w:rPr>
              <w:t>4,670,834.06</w:t>
            </w:r>
          </w:p>
        </w:tc>
        <w:tc>
          <w:tcPr>
            <w:tcW w:w="1776" w:type="dxa"/>
            <w:tcBorders>
              <w:top w:val="nil" w:sz="6" w:space="0" w:color="auto"/>
              <w:left w:val="nil" w:sz="6" w:space="0" w:color="auto"/>
              <w:bottom w:val="nil" w:sz="6" w:space="0" w:color="auto"/>
              <w:right w:val="nil" w:sz="6" w:space="0" w:color="auto"/>
            </w:tcBorders>
          </w:tcPr>
          <w:p>
            <w:pPr>
              <w:pStyle w:val="TableParagraph"/>
              <w:spacing w:line="240" w:lineRule="auto" w:before="37"/>
              <w:ind w:left="266" w:right="0"/>
              <w:jc w:val="center"/>
              <w:rPr>
                <w:rFonts w:ascii="宋体" w:hAnsi="宋体" w:cs="宋体" w:eastAsia="宋体" w:hint="default"/>
                <w:sz w:val="16"/>
                <w:szCs w:val="16"/>
              </w:rPr>
            </w:pPr>
            <w:r>
              <w:rPr>
                <w:rFonts w:ascii="宋体" w:hAnsi="宋体" w:cs="宋体" w:eastAsia="宋体" w:hint="default"/>
                <w:sz w:val="16"/>
                <w:szCs w:val="16"/>
              </w:rPr>
              <w:t>未结算</w:t>
            </w:r>
          </w:p>
        </w:tc>
      </w:tr>
      <w:tr>
        <w:trPr>
          <w:trHeight w:val="349" w:hRule="exact"/>
        </w:trPr>
        <w:tc>
          <w:tcPr>
            <w:tcW w:w="3418" w:type="dxa"/>
            <w:tcBorders>
              <w:top w:val="nil" w:sz="6" w:space="0" w:color="auto"/>
              <w:left w:val="nil" w:sz="6" w:space="0" w:color="auto"/>
              <w:bottom w:val="nil" w:sz="6" w:space="0" w:color="auto"/>
              <w:right w:val="nil" w:sz="6" w:space="0" w:color="auto"/>
            </w:tcBorders>
          </w:tcPr>
          <w:p>
            <w:pPr>
              <w:pStyle w:val="TableParagraph"/>
              <w:spacing w:line="240" w:lineRule="auto" w:before="37"/>
              <w:ind w:left="70" w:right="0"/>
              <w:jc w:val="left"/>
              <w:rPr>
                <w:rFonts w:ascii="宋体" w:hAnsi="宋体" w:cs="宋体" w:eastAsia="宋体" w:hint="default"/>
                <w:sz w:val="16"/>
                <w:szCs w:val="16"/>
              </w:rPr>
            </w:pPr>
            <w:r>
              <w:rPr>
                <w:rFonts w:ascii="宋体" w:hAnsi="宋体" w:cs="宋体" w:eastAsia="宋体" w:hint="default"/>
                <w:sz w:val="16"/>
                <w:szCs w:val="16"/>
              </w:rPr>
              <w:t>财政奖励金</w:t>
            </w:r>
          </w:p>
        </w:tc>
        <w:tc>
          <w:tcPr>
            <w:tcW w:w="249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99"/>
              <w:jc w:val="right"/>
              <w:rPr>
                <w:rFonts w:ascii="Times New Roman" w:hAnsi="Times New Roman" w:cs="Times New Roman" w:eastAsia="Times New Roman" w:hint="default"/>
                <w:sz w:val="16"/>
                <w:szCs w:val="16"/>
              </w:rPr>
            </w:pPr>
            <w:r>
              <w:rPr>
                <w:rFonts w:ascii="Times New Roman"/>
                <w:spacing w:val="-1"/>
                <w:sz w:val="16"/>
              </w:rPr>
              <w:t>2,951,103.00</w:t>
            </w:r>
          </w:p>
        </w:tc>
        <w:tc>
          <w:tcPr>
            <w:tcW w:w="1776" w:type="dxa"/>
            <w:tcBorders>
              <w:top w:val="nil" w:sz="6" w:space="0" w:color="auto"/>
              <w:left w:val="nil" w:sz="6" w:space="0" w:color="auto"/>
              <w:bottom w:val="nil" w:sz="6" w:space="0" w:color="auto"/>
              <w:right w:val="nil" w:sz="6" w:space="0" w:color="auto"/>
            </w:tcBorders>
          </w:tcPr>
          <w:p>
            <w:pPr>
              <w:pStyle w:val="TableParagraph"/>
              <w:spacing w:line="240" w:lineRule="auto" w:before="37"/>
              <w:ind w:left="267" w:right="0"/>
              <w:jc w:val="center"/>
              <w:rPr>
                <w:rFonts w:ascii="宋体" w:hAnsi="宋体" w:cs="宋体" w:eastAsia="宋体" w:hint="default"/>
                <w:sz w:val="16"/>
                <w:szCs w:val="16"/>
              </w:rPr>
            </w:pPr>
            <w:r>
              <w:rPr>
                <w:rFonts w:ascii="宋体" w:hAnsi="宋体" w:cs="宋体" w:eastAsia="宋体" w:hint="default"/>
                <w:sz w:val="16"/>
                <w:szCs w:val="16"/>
              </w:rPr>
              <w:t>拨款资金，待确认</w:t>
            </w:r>
          </w:p>
        </w:tc>
      </w:tr>
      <w:tr>
        <w:trPr>
          <w:trHeight w:val="349" w:hRule="exact"/>
        </w:trPr>
        <w:tc>
          <w:tcPr>
            <w:tcW w:w="341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宋体" w:hAnsi="宋体" w:cs="宋体" w:eastAsia="宋体" w:hint="default"/>
                <w:sz w:val="16"/>
                <w:szCs w:val="16"/>
              </w:rPr>
              <w:t>湖南财信投资控股公司（专项资金）</w:t>
            </w:r>
          </w:p>
        </w:tc>
        <w:tc>
          <w:tcPr>
            <w:tcW w:w="249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99"/>
              <w:jc w:val="right"/>
              <w:rPr>
                <w:rFonts w:ascii="Times New Roman" w:hAnsi="Times New Roman" w:cs="Times New Roman" w:eastAsia="Times New Roman" w:hint="default"/>
                <w:sz w:val="16"/>
                <w:szCs w:val="16"/>
              </w:rPr>
            </w:pPr>
            <w:r>
              <w:rPr>
                <w:rFonts w:ascii="Times New Roman"/>
                <w:spacing w:val="-1"/>
                <w:sz w:val="16"/>
              </w:rPr>
              <w:t>883,978.00</w:t>
            </w:r>
          </w:p>
        </w:tc>
        <w:tc>
          <w:tcPr>
            <w:tcW w:w="177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67" w:right="0"/>
              <w:jc w:val="center"/>
              <w:rPr>
                <w:rFonts w:ascii="宋体" w:hAnsi="宋体" w:cs="宋体" w:eastAsia="宋体" w:hint="default"/>
                <w:sz w:val="16"/>
                <w:szCs w:val="16"/>
              </w:rPr>
            </w:pPr>
            <w:r>
              <w:rPr>
                <w:rFonts w:ascii="宋体" w:hAnsi="宋体" w:cs="宋体" w:eastAsia="宋体" w:hint="default"/>
                <w:sz w:val="16"/>
                <w:szCs w:val="16"/>
              </w:rPr>
              <w:t>拨款资金，待确认</w:t>
            </w:r>
          </w:p>
        </w:tc>
      </w:tr>
      <w:tr>
        <w:trPr>
          <w:trHeight w:val="349" w:hRule="exact"/>
        </w:trPr>
        <w:tc>
          <w:tcPr>
            <w:tcW w:w="341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宋体" w:hAnsi="宋体" w:cs="宋体" w:eastAsia="宋体" w:hint="default"/>
                <w:sz w:val="16"/>
                <w:szCs w:val="16"/>
              </w:rPr>
              <w:t>长沙湘计开拓物业管理有限公司</w:t>
            </w:r>
          </w:p>
        </w:tc>
        <w:tc>
          <w:tcPr>
            <w:tcW w:w="249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99"/>
              <w:jc w:val="right"/>
              <w:rPr>
                <w:rFonts w:ascii="Times New Roman" w:hAnsi="Times New Roman" w:cs="Times New Roman" w:eastAsia="Times New Roman" w:hint="default"/>
                <w:sz w:val="16"/>
                <w:szCs w:val="16"/>
              </w:rPr>
            </w:pPr>
            <w:r>
              <w:rPr>
                <w:rFonts w:ascii="Times New Roman"/>
                <w:spacing w:val="-1"/>
                <w:sz w:val="16"/>
              </w:rPr>
              <w:t>700,000.00</w:t>
            </w:r>
          </w:p>
        </w:tc>
        <w:tc>
          <w:tcPr>
            <w:tcW w:w="177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66" w:right="0"/>
              <w:jc w:val="center"/>
              <w:rPr>
                <w:rFonts w:ascii="宋体" w:hAnsi="宋体" w:cs="宋体" w:eastAsia="宋体" w:hint="default"/>
                <w:sz w:val="16"/>
                <w:szCs w:val="16"/>
              </w:rPr>
            </w:pPr>
            <w:r>
              <w:rPr>
                <w:rFonts w:ascii="宋体" w:hAnsi="宋体" w:cs="宋体" w:eastAsia="宋体" w:hint="default"/>
                <w:sz w:val="16"/>
                <w:szCs w:val="16"/>
              </w:rPr>
              <w:t>保证金</w:t>
            </w:r>
          </w:p>
        </w:tc>
      </w:tr>
      <w:tr>
        <w:trPr>
          <w:trHeight w:val="349" w:hRule="exact"/>
        </w:trPr>
        <w:tc>
          <w:tcPr>
            <w:tcW w:w="341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961</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工程款</w:t>
            </w:r>
          </w:p>
        </w:tc>
        <w:tc>
          <w:tcPr>
            <w:tcW w:w="249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99"/>
              <w:jc w:val="right"/>
              <w:rPr>
                <w:rFonts w:ascii="Times New Roman" w:hAnsi="Times New Roman" w:cs="Times New Roman" w:eastAsia="Times New Roman" w:hint="default"/>
                <w:sz w:val="16"/>
                <w:szCs w:val="16"/>
              </w:rPr>
            </w:pPr>
            <w:r>
              <w:rPr>
                <w:rFonts w:ascii="Times New Roman"/>
                <w:spacing w:val="-1"/>
                <w:sz w:val="16"/>
              </w:rPr>
              <w:t>400,000.00</w:t>
            </w:r>
          </w:p>
        </w:tc>
        <w:tc>
          <w:tcPr>
            <w:tcW w:w="177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66" w:right="0"/>
              <w:jc w:val="center"/>
              <w:rPr>
                <w:rFonts w:ascii="宋体" w:hAnsi="宋体" w:cs="宋体" w:eastAsia="宋体" w:hint="default"/>
                <w:sz w:val="16"/>
                <w:szCs w:val="16"/>
              </w:rPr>
            </w:pPr>
            <w:r>
              <w:rPr>
                <w:rFonts w:ascii="宋体" w:hAnsi="宋体" w:cs="宋体" w:eastAsia="宋体" w:hint="default"/>
                <w:sz w:val="16"/>
                <w:szCs w:val="16"/>
              </w:rPr>
              <w:t>未结算</w:t>
            </w:r>
          </w:p>
        </w:tc>
      </w:tr>
      <w:tr>
        <w:trPr>
          <w:trHeight w:val="349" w:hRule="exact"/>
        </w:trPr>
        <w:tc>
          <w:tcPr>
            <w:tcW w:w="3418" w:type="dxa"/>
            <w:tcBorders>
              <w:top w:val="nil" w:sz="6" w:space="0" w:color="auto"/>
              <w:left w:val="nil" w:sz="6" w:space="0" w:color="auto"/>
              <w:bottom w:val="nil" w:sz="6" w:space="0" w:color="auto"/>
              <w:right w:val="nil" w:sz="6" w:space="0" w:color="auto"/>
            </w:tcBorders>
          </w:tcPr>
          <w:p>
            <w:pPr>
              <w:pStyle w:val="TableParagraph"/>
              <w:spacing w:line="240" w:lineRule="auto" w:before="38"/>
              <w:ind w:left="70" w:right="0"/>
              <w:jc w:val="left"/>
              <w:rPr>
                <w:rFonts w:ascii="宋体" w:hAnsi="宋体" w:cs="宋体" w:eastAsia="宋体" w:hint="default"/>
                <w:sz w:val="16"/>
                <w:szCs w:val="16"/>
              </w:rPr>
            </w:pPr>
            <w:r>
              <w:rPr>
                <w:rFonts w:ascii="宋体" w:hAnsi="宋体" w:cs="宋体" w:eastAsia="宋体" w:hint="default"/>
                <w:sz w:val="16"/>
                <w:szCs w:val="16"/>
              </w:rPr>
              <w:t>长沙正通建筑装饰有限公司</w:t>
            </w:r>
          </w:p>
        </w:tc>
        <w:tc>
          <w:tcPr>
            <w:tcW w:w="249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99"/>
              <w:jc w:val="right"/>
              <w:rPr>
                <w:rFonts w:ascii="Times New Roman" w:hAnsi="Times New Roman" w:cs="Times New Roman" w:eastAsia="Times New Roman" w:hint="default"/>
                <w:sz w:val="16"/>
                <w:szCs w:val="16"/>
              </w:rPr>
            </w:pPr>
            <w:r>
              <w:rPr>
                <w:rFonts w:ascii="Times New Roman"/>
                <w:spacing w:val="-1"/>
                <w:sz w:val="16"/>
              </w:rPr>
              <w:t>353,966.00</w:t>
            </w:r>
          </w:p>
        </w:tc>
        <w:tc>
          <w:tcPr>
            <w:tcW w:w="177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66" w:right="0"/>
              <w:jc w:val="center"/>
              <w:rPr>
                <w:rFonts w:ascii="宋体" w:hAnsi="宋体" w:cs="宋体" w:eastAsia="宋体" w:hint="default"/>
                <w:sz w:val="16"/>
                <w:szCs w:val="16"/>
              </w:rPr>
            </w:pPr>
            <w:r>
              <w:rPr>
                <w:rFonts w:ascii="宋体" w:hAnsi="宋体" w:cs="宋体" w:eastAsia="宋体" w:hint="default"/>
                <w:sz w:val="16"/>
                <w:szCs w:val="16"/>
              </w:rPr>
              <w:t>保证金</w:t>
            </w:r>
          </w:p>
        </w:tc>
      </w:tr>
      <w:tr>
        <w:trPr>
          <w:trHeight w:val="349" w:hRule="exact"/>
        </w:trPr>
        <w:tc>
          <w:tcPr>
            <w:tcW w:w="3418" w:type="dxa"/>
            <w:tcBorders>
              <w:top w:val="nil" w:sz="6" w:space="0" w:color="auto"/>
              <w:left w:val="nil" w:sz="6" w:space="0" w:color="auto"/>
              <w:bottom w:val="nil" w:sz="6" w:space="0" w:color="auto"/>
              <w:right w:val="nil" w:sz="6" w:space="0" w:color="auto"/>
            </w:tcBorders>
          </w:tcPr>
          <w:p>
            <w:pPr>
              <w:pStyle w:val="TableParagraph"/>
              <w:spacing w:line="240" w:lineRule="auto" w:before="37"/>
              <w:ind w:left="70" w:right="0"/>
              <w:jc w:val="left"/>
              <w:rPr>
                <w:rFonts w:ascii="宋体" w:hAnsi="宋体" w:cs="宋体" w:eastAsia="宋体" w:hint="default"/>
                <w:sz w:val="16"/>
                <w:szCs w:val="16"/>
              </w:rPr>
            </w:pPr>
            <w:r>
              <w:rPr>
                <w:rFonts w:ascii="宋体" w:hAnsi="宋体" w:cs="宋体" w:eastAsia="宋体" w:hint="default"/>
                <w:sz w:val="16"/>
                <w:szCs w:val="16"/>
              </w:rPr>
              <w:t>惠科股份有限公司</w:t>
            </w:r>
          </w:p>
        </w:tc>
        <w:tc>
          <w:tcPr>
            <w:tcW w:w="249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99"/>
              <w:jc w:val="right"/>
              <w:rPr>
                <w:rFonts w:ascii="Times New Roman" w:hAnsi="Times New Roman" w:cs="Times New Roman" w:eastAsia="Times New Roman" w:hint="default"/>
                <w:sz w:val="16"/>
                <w:szCs w:val="16"/>
              </w:rPr>
            </w:pPr>
            <w:r>
              <w:rPr>
                <w:rFonts w:ascii="Times New Roman"/>
                <w:spacing w:val="-1"/>
                <w:sz w:val="16"/>
              </w:rPr>
              <w:t>300,000.00</w:t>
            </w:r>
          </w:p>
        </w:tc>
        <w:tc>
          <w:tcPr>
            <w:tcW w:w="1776" w:type="dxa"/>
            <w:tcBorders>
              <w:top w:val="nil" w:sz="6" w:space="0" w:color="auto"/>
              <w:left w:val="nil" w:sz="6" w:space="0" w:color="auto"/>
              <w:bottom w:val="nil" w:sz="6" w:space="0" w:color="auto"/>
              <w:right w:val="nil" w:sz="6" w:space="0" w:color="auto"/>
            </w:tcBorders>
          </w:tcPr>
          <w:p>
            <w:pPr>
              <w:pStyle w:val="TableParagraph"/>
              <w:spacing w:line="240" w:lineRule="auto" w:before="37"/>
              <w:ind w:left="266" w:right="0"/>
              <w:jc w:val="center"/>
              <w:rPr>
                <w:rFonts w:ascii="宋体" w:hAnsi="宋体" w:cs="宋体" w:eastAsia="宋体" w:hint="default"/>
                <w:sz w:val="16"/>
                <w:szCs w:val="16"/>
              </w:rPr>
            </w:pPr>
            <w:r>
              <w:rPr>
                <w:rFonts w:ascii="宋体" w:hAnsi="宋体" w:cs="宋体" w:eastAsia="宋体" w:hint="default"/>
                <w:sz w:val="16"/>
                <w:szCs w:val="16"/>
              </w:rPr>
              <w:t>保证金</w:t>
            </w:r>
          </w:p>
        </w:tc>
      </w:tr>
      <w:tr>
        <w:trPr>
          <w:trHeight w:val="354" w:hRule="exact"/>
        </w:trPr>
        <w:tc>
          <w:tcPr>
            <w:tcW w:w="341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17"/>
              <w:jc w:val="center"/>
              <w:rPr>
                <w:rFonts w:ascii="宋体" w:hAnsi="宋体" w:cs="宋体" w:eastAsia="宋体" w:hint="default"/>
                <w:sz w:val="16"/>
                <w:szCs w:val="16"/>
              </w:rPr>
            </w:pPr>
            <w:r>
              <w:rPr>
                <w:rFonts w:ascii="宋体" w:hAnsi="宋体" w:cs="宋体" w:eastAsia="宋体" w:hint="default"/>
                <w:sz w:val="16"/>
                <w:szCs w:val="16"/>
              </w:rPr>
              <w:t>合计</w:t>
            </w:r>
          </w:p>
        </w:tc>
        <w:tc>
          <w:tcPr>
            <w:tcW w:w="249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99"/>
              <w:jc w:val="right"/>
              <w:rPr>
                <w:rFonts w:ascii="Times New Roman" w:hAnsi="Times New Roman" w:cs="Times New Roman" w:eastAsia="Times New Roman" w:hint="default"/>
                <w:sz w:val="16"/>
                <w:szCs w:val="16"/>
              </w:rPr>
            </w:pPr>
            <w:r>
              <w:rPr>
                <w:rFonts w:ascii="Times New Roman"/>
                <w:spacing w:val="-1"/>
                <w:sz w:val="16"/>
              </w:rPr>
              <w:t>58,409,798.23</w:t>
            </w:r>
          </w:p>
        </w:tc>
        <w:tc>
          <w:tcPr>
            <w:tcW w:w="1776"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p>
      <w:pPr>
        <w:pStyle w:val="Heading5"/>
        <w:spacing w:line="240" w:lineRule="auto"/>
        <w:ind w:right="3681"/>
        <w:jc w:val="left"/>
        <w:rPr>
          <w:b w:val="0"/>
          <w:bCs w:val="0"/>
        </w:rPr>
      </w:pPr>
      <w:r>
        <w:rPr/>
        <w:pict>
          <v:group style="position:absolute;margin-left:119.010002pt;margin-top:17.133923pt;width:411.85pt;height:72.3pt;mso-position-horizontal-relative:page;mso-position-vertical-relative:paragraph;z-index:-1382416" coordorigin="2380,343" coordsize="8237,1446">
            <v:group style="position:absolute;left:2410;top:358;width:3372;height:2" coordorigin="2410,358" coordsize="3372,2">
              <v:shape style="position:absolute;left:2410;top:358;width:3372;height:2" coordorigin="2410,358" coordsize="3372,0" path="m2410,358l5782,358e" filled="false" stroked="true" strokeweight="1.5pt" strokecolor="#000000">
                <v:path arrowok="t"/>
              </v:shape>
              <v:shape style="position:absolute;left:5782;top:373;width:10;height:28" type="#_x0000_t75" stroked="false">
                <v:imagedata r:id="rId61" o:title=""/>
              </v:shape>
            </v:group>
            <v:group style="position:absolute;left:5782;top:358;width:2378;height:2" coordorigin="5782,358" coordsize="2378,2">
              <v:shape style="position:absolute;left:5782;top:358;width:2378;height:2" coordorigin="5782,358" coordsize="2378,0" path="m5782,358l8159,358e" filled="false" stroked="true" strokeweight="1.5pt" strokecolor="#000000">
                <v:path arrowok="t"/>
              </v:shape>
              <v:shape style="position:absolute;left:8159;top:373;width:10;height:28" type="#_x0000_t75" stroked="false">
                <v:imagedata r:id="rId61" o:title=""/>
              </v:shape>
            </v:group>
            <v:group style="position:absolute;left:8159;top:358;width:30;height:2" coordorigin="8159,358" coordsize="30,2">
              <v:shape style="position:absolute;left:8159;top:358;width:30;height:2" coordorigin="8159,358" coordsize="30,0" path="m8159,358l8189,358e" filled="false" stroked="true" strokeweight="1.5pt" strokecolor="#000000">
                <v:path arrowok="t"/>
              </v:shape>
            </v:group>
            <v:group style="position:absolute;left:8189;top:358;width:2409;height:2" coordorigin="8189,358" coordsize="2409,2">
              <v:shape style="position:absolute;left:8189;top:358;width:2409;height:2" coordorigin="8189,358" coordsize="2409,0" path="m8189,358l10597,358e" filled="false" stroked="true" strokeweight="1.5pt" strokecolor="#000000">
                <v:path arrowok="t"/>
              </v:shape>
              <v:shape style="position:absolute;left:5762;top:381;width:2425;height:349" type="#_x0000_t75" stroked="false">
                <v:imagedata r:id="rId265" o:title=""/>
              </v:shape>
            </v:group>
            <v:group style="position:absolute;left:2395;top:1774;width:3387;height:2" coordorigin="2395,1774" coordsize="3387,2">
              <v:shape style="position:absolute;left:2395;top:1774;width:3387;height:2" coordorigin="2395,1774" coordsize="3387,0" path="m2395,1774l5782,1774e" filled="false" stroked="true" strokeweight="1.5pt" strokecolor="#000000">
                <v:path arrowok="t"/>
              </v:shape>
            </v:group>
            <v:group style="position:absolute;left:5782;top:1774;width:2378;height:2" coordorigin="5782,1774" coordsize="2378,2">
              <v:shape style="position:absolute;left:5782;top:1774;width:2378;height:2" coordorigin="5782,1774" coordsize="2378,0" path="m5782,1774l8159,1774e" filled="false" stroked="true" strokeweight="1.5pt" strokecolor="#000000">
                <v:path arrowok="t"/>
              </v:shape>
              <v:shape style="position:absolute;left:2390;top:692;width:8226;height:1067" type="#_x0000_t75" stroked="false">
                <v:imagedata r:id="rId266" o:title=""/>
              </v:shape>
            </v:group>
            <v:group style="position:absolute;left:8159;top:1774;width:30;height:2" coordorigin="8159,1774" coordsize="30,2">
              <v:shape style="position:absolute;left:8159;top:1774;width:30;height:2" coordorigin="8159,1774" coordsize="30,0" path="m8159,1774l8189,1774e" filled="false" stroked="true" strokeweight="1.5pt" strokecolor="#000000">
                <v:path arrowok="t"/>
              </v:shape>
            </v:group>
            <v:group style="position:absolute;left:8189;top:1774;width:2409;height:2" coordorigin="8189,1774" coordsize="2409,2">
              <v:shape style="position:absolute;left:8189;top:1774;width:2409;height:2" coordorigin="8189,1774" coordsize="2409,0" path="m8189,1774l10597,1774e" filled="false" stroked="true" strokeweight="1.5pt" strokecolor="#000000">
                <v:path arrowok="t"/>
              </v:shape>
            </v:group>
            <w10:wrap type="none"/>
          </v:group>
        </w:pict>
      </w:r>
      <w:r>
        <w:rPr>
          <w:rFonts w:ascii="Times New Roman" w:hAnsi="Times New Roman" w:cs="Times New Roman" w:eastAsia="Times New Roman" w:hint="default"/>
        </w:rPr>
        <w:t>(</w:t>
      </w:r>
      <w:r>
        <w:rPr/>
        <w:t>二十六</w:t>
      </w:r>
      <w:r>
        <w:rPr>
          <w:rFonts w:ascii="Times New Roman" w:hAnsi="Times New Roman" w:cs="Times New Roman" w:eastAsia="Times New Roman" w:hint="default"/>
        </w:rPr>
        <w:t>)</w:t>
      </w:r>
      <w:r>
        <w:rPr>
          <w:rFonts w:ascii="Times New Roman" w:hAnsi="Times New Roman" w:cs="Times New Roman" w:eastAsia="Times New Roman" w:hint="default"/>
          <w:spacing w:val="19"/>
        </w:rPr>
        <w:t> </w:t>
      </w:r>
      <w:r>
        <w:rPr/>
        <w:t>一年内到期的非流动负债</w:t>
      </w:r>
      <w:r>
        <w:rPr>
          <w:b w:val="0"/>
          <w:bCs w:val="0"/>
        </w:rPr>
      </w:r>
    </w:p>
    <w:p>
      <w:pPr>
        <w:spacing w:line="240" w:lineRule="auto" w:before="6"/>
        <w:rPr>
          <w:rFonts w:ascii="宋体" w:hAnsi="宋体" w:cs="宋体" w:eastAsia="宋体" w:hint="default"/>
          <w:b/>
          <w:bCs/>
          <w:sz w:val="2"/>
          <w:szCs w:val="2"/>
        </w:rPr>
      </w:pPr>
    </w:p>
    <w:tbl>
      <w:tblPr>
        <w:tblW w:w="0" w:type="auto"/>
        <w:jc w:val="left"/>
        <w:tblInd w:w="787" w:type="dxa"/>
        <w:tblLayout w:type="fixed"/>
        <w:tblCellMar>
          <w:top w:w="0" w:type="dxa"/>
          <w:left w:w="0" w:type="dxa"/>
          <w:bottom w:w="0" w:type="dxa"/>
          <w:right w:w="0" w:type="dxa"/>
        </w:tblCellMar>
        <w:tblLook w:val="01E0"/>
      </w:tblPr>
      <w:tblGrid>
        <w:gridCol w:w="3018"/>
        <w:gridCol w:w="3093"/>
        <w:gridCol w:w="2002"/>
      </w:tblGrid>
      <w:tr>
        <w:trPr>
          <w:trHeight w:val="713" w:hRule="exact"/>
        </w:trPr>
        <w:tc>
          <w:tcPr>
            <w:tcW w:w="3018" w:type="dxa"/>
            <w:tcBorders>
              <w:top w:val="nil" w:sz="6" w:space="0" w:color="auto"/>
              <w:left w:val="nil" w:sz="6" w:space="0" w:color="auto"/>
              <w:bottom w:val="nil" w:sz="6" w:space="0" w:color="auto"/>
              <w:right w:val="nil" w:sz="6" w:space="0" w:color="auto"/>
            </w:tcBorders>
          </w:tcPr>
          <w:p>
            <w:pPr>
              <w:pStyle w:val="TableParagraph"/>
              <w:spacing w:line="400" w:lineRule="auto" w:before="52"/>
              <w:ind w:left="70" w:right="1208" w:firstLine="1419"/>
              <w:jc w:val="left"/>
              <w:rPr>
                <w:rFonts w:ascii="宋体" w:hAnsi="宋体" w:cs="宋体" w:eastAsia="宋体" w:hint="default"/>
                <w:sz w:val="16"/>
                <w:szCs w:val="16"/>
              </w:rPr>
            </w:pPr>
            <w:r>
              <w:rPr>
                <w:rFonts w:ascii="宋体" w:hAnsi="宋体" w:cs="宋体" w:eastAsia="宋体" w:hint="default"/>
                <w:sz w:val="16"/>
                <w:szCs w:val="16"/>
              </w:rPr>
              <w:t>项目</w:t>
            </w:r>
            <w:r>
              <w:rPr>
                <w:rFonts w:ascii="宋体" w:hAnsi="宋体" w:cs="宋体" w:eastAsia="宋体" w:hint="default"/>
                <w:w w:val="99"/>
                <w:sz w:val="16"/>
                <w:szCs w:val="16"/>
              </w:rPr>
              <w:t> </w:t>
            </w:r>
            <w:r>
              <w:rPr>
                <w:rFonts w:ascii="宋体" w:hAnsi="宋体" w:cs="宋体" w:eastAsia="宋体" w:hint="default"/>
                <w:sz w:val="16"/>
                <w:szCs w:val="16"/>
              </w:rPr>
              <w:t>一年内到期的长期借款</w:t>
            </w:r>
          </w:p>
        </w:tc>
        <w:tc>
          <w:tcPr>
            <w:tcW w:w="3093"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72"/>
              <w:jc w:val="center"/>
              <w:rPr>
                <w:rFonts w:ascii="宋体" w:hAnsi="宋体" w:cs="宋体" w:eastAsia="宋体" w:hint="default"/>
                <w:sz w:val="16"/>
                <w:szCs w:val="16"/>
              </w:rPr>
            </w:pPr>
            <w:r>
              <w:rPr>
                <w:rFonts w:ascii="宋体" w:hAnsi="宋体" w:cs="宋体" w:eastAsia="宋体" w:hint="default"/>
                <w:sz w:val="16"/>
                <w:szCs w:val="16"/>
              </w:rPr>
              <w:t>期末余额</w:t>
            </w:r>
          </w:p>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left="1590" w:right="0"/>
              <w:jc w:val="left"/>
              <w:rPr>
                <w:rFonts w:ascii="Times New Roman" w:hAnsi="Times New Roman" w:cs="Times New Roman" w:eastAsia="Times New Roman" w:hint="default"/>
                <w:sz w:val="16"/>
                <w:szCs w:val="16"/>
              </w:rPr>
            </w:pPr>
            <w:r>
              <w:rPr>
                <w:rFonts w:ascii="Times New Roman"/>
                <w:sz w:val="16"/>
              </w:rPr>
              <w:t>784,000,000.00</w:t>
            </w: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52"/>
              <w:ind w:left="501" w:right="0"/>
              <w:jc w:val="left"/>
              <w:rPr>
                <w:rFonts w:ascii="宋体" w:hAnsi="宋体" w:cs="宋体" w:eastAsia="宋体" w:hint="default"/>
                <w:sz w:val="16"/>
                <w:szCs w:val="16"/>
              </w:rPr>
            </w:pPr>
            <w:r>
              <w:rPr>
                <w:rFonts w:ascii="宋体" w:hAnsi="宋体" w:cs="宋体" w:eastAsia="宋体" w:hint="default"/>
                <w:sz w:val="16"/>
                <w:szCs w:val="16"/>
              </w:rPr>
              <w:t>年初余额</w:t>
            </w:r>
          </w:p>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left="931" w:right="0"/>
              <w:jc w:val="left"/>
              <w:rPr>
                <w:rFonts w:ascii="Times New Roman" w:hAnsi="Times New Roman" w:cs="Times New Roman" w:eastAsia="Times New Roman" w:hint="default"/>
                <w:sz w:val="16"/>
                <w:szCs w:val="16"/>
              </w:rPr>
            </w:pPr>
            <w:r>
              <w:rPr>
                <w:rFonts w:ascii="Times New Roman"/>
                <w:sz w:val="16"/>
              </w:rPr>
              <w:t>400,000,000.00</w:t>
            </w:r>
          </w:p>
        </w:tc>
      </w:tr>
      <w:tr>
        <w:trPr>
          <w:trHeight w:val="349" w:hRule="exact"/>
        </w:trPr>
        <w:tc>
          <w:tcPr>
            <w:tcW w:w="301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187"/>
              <w:jc w:val="right"/>
              <w:rPr>
                <w:rFonts w:ascii="宋体" w:hAnsi="宋体" w:cs="宋体" w:eastAsia="宋体" w:hint="default"/>
                <w:sz w:val="16"/>
                <w:szCs w:val="16"/>
              </w:rPr>
            </w:pPr>
            <w:r>
              <w:rPr>
                <w:rFonts w:ascii="宋体" w:hAnsi="宋体" w:cs="宋体" w:eastAsia="宋体" w:hint="default"/>
                <w:w w:val="95"/>
                <w:sz w:val="16"/>
                <w:szCs w:val="16"/>
              </w:rPr>
              <w:t>一年内到期的长期应付款</w:t>
            </w:r>
            <w:r>
              <w:rPr>
                <w:rFonts w:ascii="宋体" w:hAnsi="宋体" w:cs="宋体" w:eastAsia="宋体" w:hint="default"/>
                <w:sz w:val="16"/>
                <w:szCs w:val="16"/>
              </w:rPr>
            </w:r>
          </w:p>
        </w:tc>
        <w:tc>
          <w:tcPr>
            <w:tcW w:w="3093" w:type="dxa"/>
            <w:tcBorders>
              <w:top w:val="nil" w:sz="6" w:space="0" w:color="auto"/>
              <w:left w:val="nil" w:sz="6" w:space="0" w:color="auto"/>
              <w:bottom w:val="nil" w:sz="6" w:space="0" w:color="auto"/>
              <w:right w:val="nil" w:sz="6" w:space="0" w:color="auto"/>
            </w:tcBorders>
          </w:tcPr>
          <w:p>
            <w:pP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8"/>
              <w:jc w:val="right"/>
              <w:rPr>
                <w:rFonts w:ascii="Times New Roman" w:hAnsi="Times New Roman" w:cs="Times New Roman" w:eastAsia="Times New Roman" w:hint="default"/>
                <w:sz w:val="16"/>
                <w:szCs w:val="16"/>
              </w:rPr>
            </w:pPr>
            <w:r>
              <w:rPr>
                <w:rFonts w:ascii="Times New Roman"/>
                <w:spacing w:val="-1"/>
                <w:sz w:val="16"/>
              </w:rPr>
              <w:t>1,250,000.00</w:t>
            </w:r>
          </w:p>
        </w:tc>
      </w:tr>
      <w:tr>
        <w:trPr>
          <w:trHeight w:val="354" w:hRule="exact"/>
        </w:trPr>
        <w:tc>
          <w:tcPr>
            <w:tcW w:w="301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208"/>
              <w:jc w:val="right"/>
              <w:rPr>
                <w:rFonts w:ascii="宋体" w:hAnsi="宋体" w:cs="宋体" w:eastAsia="宋体" w:hint="default"/>
                <w:sz w:val="16"/>
                <w:szCs w:val="16"/>
              </w:rPr>
            </w:pPr>
            <w:r>
              <w:rPr>
                <w:rFonts w:ascii="宋体" w:hAnsi="宋体" w:cs="宋体" w:eastAsia="宋体" w:hint="default"/>
                <w:w w:val="95"/>
                <w:sz w:val="16"/>
                <w:szCs w:val="16"/>
              </w:rPr>
              <w:t>合计</w:t>
            </w:r>
            <w:r>
              <w:rPr>
                <w:rFonts w:ascii="宋体" w:hAnsi="宋体" w:cs="宋体" w:eastAsia="宋体" w:hint="default"/>
                <w:sz w:val="16"/>
                <w:szCs w:val="16"/>
              </w:rPr>
            </w:r>
          </w:p>
        </w:tc>
        <w:tc>
          <w:tcPr>
            <w:tcW w:w="3093" w:type="dxa"/>
            <w:tcBorders>
              <w:top w:val="nil" w:sz="6" w:space="0" w:color="auto"/>
              <w:left w:val="nil" w:sz="6" w:space="0" w:color="auto"/>
              <w:bottom w:val="nil" w:sz="6" w:space="0" w:color="auto"/>
              <w:right w:val="nil" w:sz="6" w:space="0" w:color="auto"/>
            </w:tcBorders>
          </w:tcPr>
          <w:p>
            <w:pPr>
              <w:pStyle w:val="TableParagraph"/>
              <w:spacing w:line="240" w:lineRule="auto" w:before="80"/>
              <w:ind w:left="1590" w:right="0"/>
              <w:jc w:val="left"/>
              <w:rPr>
                <w:rFonts w:ascii="Times New Roman" w:hAnsi="Times New Roman" w:cs="Times New Roman" w:eastAsia="Times New Roman" w:hint="default"/>
                <w:sz w:val="16"/>
                <w:szCs w:val="16"/>
              </w:rPr>
            </w:pPr>
            <w:r>
              <w:rPr>
                <w:rFonts w:ascii="Times New Roman"/>
                <w:sz w:val="16"/>
              </w:rPr>
              <w:t>784,000,000.00</w:t>
            </w: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8"/>
              <w:jc w:val="right"/>
              <w:rPr>
                <w:rFonts w:ascii="Times New Roman" w:hAnsi="Times New Roman" w:cs="Times New Roman" w:eastAsia="Times New Roman" w:hint="default"/>
                <w:sz w:val="16"/>
                <w:szCs w:val="16"/>
              </w:rPr>
            </w:pPr>
            <w:r>
              <w:rPr>
                <w:rFonts w:ascii="Times New Roman"/>
                <w:spacing w:val="-1"/>
                <w:sz w:val="16"/>
              </w:rPr>
              <w:t>401,250,000.00</w:t>
            </w:r>
          </w:p>
        </w:tc>
      </w:tr>
    </w:tbl>
    <w:p>
      <w:pPr>
        <w:spacing w:line="240" w:lineRule="auto" w:before="7"/>
        <w:rPr>
          <w:rFonts w:ascii="宋体" w:hAnsi="宋体" w:cs="宋体" w:eastAsia="宋体" w:hint="default"/>
          <w:b/>
          <w:bCs/>
          <w:sz w:val="5"/>
          <w:szCs w:val="5"/>
        </w:rPr>
      </w:pPr>
    </w:p>
    <w:p>
      <w:pPr>
        <w:pStyle w:val="BodyText"/>
        <w:spacing w:line="240" w:lineRule="auto" w:before="35"/>
        <w:ind w:left="851" w:right="3681"/>
        <w:jc w:val="left"/>
      </w:pPr>
      <w:r>
        <w:rPr/>
        <w:t>说明：一年内到期的长期借款系：</w:t>
      </w:r>
    </w:p>
    <w:p>
      <w:pPr>
        <w:pStyle w:val="BodyText"/>
        <w:spacing w:line="240" w:lineRule="auto" w:before="125"/>
        <w:ind w:left="851" w:right="1682"/>
        <w:jc w:val="left"/>
        <w:rPr>
          <w:rFonts w:ascii="Times New Roman" w:hAnsi="Times New Roman" w:cs="Times New Roman" w:eastAsia="Times New Roman" w:hint="default"/>
        </w:rPr>
      </w:pPr>
      <w:r>
        <w:rPr>
          <w:rFonts w:ascii="Times New Roman" w:hAnsi="Times New Roman" w:cs="Times New Roman" w:eastAsia="Times New Roman" w:hint="default"/>
        </w:rPr>
        <w:t>1</w:t>
      </w:r>
      <w:r>
        <w:rPr/>
        <w:t>、本公司从中国电子财务有限责任公司取得的信用借款，借款期限</w:t>
      </w:r>
      <w:r>
        <w:rPr>
          <w:spacing w:val="-57"/>
        </w:rPr>
        <w:t> </w:t>
      </w:r>
      <w:r>
        <w:rPr>
          <w:rFonts w:ascii="Times New Roman" w:hAnsi="Times New Roman" w:cs="Times New Roman" w:eastAsia="Times New Roman" w:hint="default"/>
        </w:rPr>
        <w:t>2016</w:t>
      </w:r>
      <w:r>
        <w:rPr>
          <w:rFonts w:ascii="Times New Roman" w:hAnsi="Times New Roman" w:cs="Times New Roman" w:eastAsia="Times New Roman" w:hint="default"/>
          <w:spacing w:val="-4"/>
        </w:rPr>
        <w:t> </w:t>
      </w:r>
      <w:r>
        <w:rPr/>
        <w:t>年</w:t>
      </w:r>
      <w:r>
        <w:rPr>
          <w:spacing w:val="-58"/>
        </w:rPr>
        <w:t> </w:t>
      </w:r>
      <w:r>
        <w:rPr>
          <w:rFonts w:ascii="Times New Roman" w:hAnsi="Times New Roman" w:cs="Times New Roman" w:eastAsia="Times New Roman" w:hint="default"/>
        </w:rPr>
        <w:t>6</w:t>
      </w:r>
      <w:r>
        <w:rPr>
          <w:rFonts w:ascii="Times New Roman" w:hAnsi="Times New Roman" w:cs="Times New Roman" w:eastAsia="Times New Roman" w:hint="default"/>
          <w:spacing w:val="-4"/>
        </w:rPr>
        <w:t> </w:t>
      </w:r>
      <w:r>
        <w:rPr/>
        <w:t>月</w:t>
      </w:r>
      <w:r>
        <w:rPr>
          <w:spacing w:val="-58"/>
        </w:rPr>
        <w:t> </w:t>
      </w:r>
      <w:r>
        <w:rPr>
          <w:rFonts w:ascii="Times New Roman" w:hAnsi="Times New Roman" w:cs="Times New Roman" w:eastAsia="Times New Roman" w:hint="default"/>
        </w:rPr>
        <w:t>23</w:t>
      </w:r>
    </w:p>
    <w:p>
      <w:pPr>
        <w:pStyle w:val="BodyText"/>
        <w:spacing w:line="240" w:lineRule="auto"/>
        <w:ind w:left="851" w:right="3681"/>
        <w:jc w:val="left"/>
      </w:pPr>
      <w:r>
        <w:rPr/>
        <w:t>日至</w:t>
      </w:r>
      <w:r>
        <w:rPr>
          <w:spacing w:val="-54"/>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6</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23</w:t>
      </w:r>
      <w:r>
        <w:rPr>
          <w:rFonts w:ascii="Times New Roman" w:hAnsi="Times New Roman" w:cs="Times New Roman" w:eastAsia="Times New Roman" w:hint="default"/>
          <w:spacing w:val="-1"/>
        </w:rPr>
        <w:t> </w:t>
      </w:r>
      <w:r>
        <w:rPr/>
        <w:t>日，利率</w:t>
      </w:r>
      <w:r>
        <w:rPr>
          <w:spacing w:val="-54"/>
        </w:rPr>
        <w:t> </w:t>
      </w:r>
      <w:r>
        <w:rPr>
          <w:rFonts w:ascii="Times New Roman" w:hAnsi="Times New Roman" w:cs="Times New Roman" w:eastAsia="Times New Roman" w:hint="default"/>
        </w:rPr>
        <w:t>4.7500%</w:t>
      </w:r>
      <w:r>
        <w:rPr/>
        <w:t>。</w:t>
      </w:r>
    </w:p>
    <w:p>
      <w:pPr>
        <w:pStyle w:val="BodyText"/>
        <w:spacing w:line="240" w:lineRule="auto" w:before="110"/>
        <w:ind w:left="851" w:right="0"/>
        <w:jc w:val="left"/>
      </w:pPr>
      <w:r>
        <w:rPr>
          <w:rFonts w:ascii="Times New Roman" w:hAnsi="Times New Roman" w:cs="Times New Roman" w:eastAsia="Times New Roman" w:hint="default"/>
        </w:rPr>
        <w:t>2</w:t>
      </w:r>
      <w:r>
        <w:rPr>
          <w:spacing w:val="-105"/>
        </w:rPr>
        <w:t>、</w:t>
      </w:r>
      <w:r>
        <w:rPr/>
        <w:t>本公司</w:t>
      </w:r>
      <w:r>
        <w:rPr>
          <w:spacing w:val="-2"/>
        </w:rPr>
        <w:t>从</w:t>
      </w:r>
      <w:r>
        <w:rPr/>
        <w:t>国家开发银行股份有限公司湖南省分行取得保证借款</w:t>
      </w:r>
      <w:r>
        <w:rPr>
          <w:spacing w:val="-56"/>
        </w:rPr>
        <w:t> </w:t>
      </w:r>
      <w:r>
        <w:rPr>
          <w:rFonts w:ascii="Times New Roman" w:hAnsi="Times New Roman" w:cs="Times New Roman" w:eastAsia="Times New Roman" w:hint="default"/>
          <w:spacing w:val="-7"/>
        </w:rPr>
        <w:t>1</w:t>
      </w:r>
      <w:r>
        <w:rPr>
          <w:rFonts w:ascii="Times New Roman" w:hAnsi="Times New Roman" w:cs="Times New Roman" w:eastAsia="Times New Roman" w:hint="default"/>
          <w:spacing w:val="-1"/>
        </w:rPr>
        <w:t>1</w:t>
      </w:r>
      <w:r>
        <w:rPr>
          <w:rFonts w:ascii="Times New Roman" w:hAnsi="Times New Roman" w:cs="Times New Roman" w:eastAsia="Times New Roman" w:hint="default"/>
        </w:rPr>
        <w:t>2,</w:t>
      </w:r>
      <w:r>
        <w:rPr>
          <w:rFonts w:ascii="Times New Roman" w:hAnsi="Times New Roman" w:cs="Times New Roman" w:eastAsia="Times New Roman" w:hint="default"/>
          <w:spacing w:val="-1"/>
        </w:rPr>
        <w:t>0</w:t>
      </w:r>
      <w:r>
        <w:rPr>
          <w:rFonts w:ascii="Times New Roman" w:hAnsi="Times New Roman" w:cs="Times New Roman" w:eastAsia="Times New Roman" w:hint="default"/>
        </w:rPr>
        <w:t>00</w:t>
      </w:r>
      <w:r>
        <w:rPr>
          <w:rFonts w:ascii="Times New Roman" w:hAnsi="Times New Roman" w:cs="Times New Roman" w:eastAsia="Times New Roman" w:hint="default"/>
          <w:spacing w:val="-1"/>
        </w:rPr>
        <w:t>,</w:t>
      </w:r>
      <w:r>
        <w:rPr>
          <w:rFonts w:ascii="Times New Roman" w:hAnsi="Times New Roman" w:cs="Times New Roman" w:eastAsia="Times New Roman" w:hint="default"/>
        </w:rPr>
        <w:t>0</w:t>
      </w:r>
      <w:r>
        <w:rPr>
          <w:rFonts w:ascii="Times New Roman" w:hAnsi="Times New Roman" w:cs="Times New Roman" w:eastAsia="Times New Roman" w:hint="default"/>
          <w:spacing w:val="-1"/>
        </w:rPr>
        <w:t>0</w:t>
      </w:r>
      <w:r>
        <w:rPr>
          <w:rFonts w:ascii="Times New Roman" w:hAnsi="Times New Roman" w:cs="Times New Roman" w:eastAsia="Times New Roman" w:hint="default"/>
        </w:rPr>
        <w:t>0</w:t>
      </w:r>
      <w:r>
        <w:rPr>
          <w:rFonts w:ascii="Times New Roman" w:hAnsi="Times New Roman" w:cs="Times New Roman" w:eastAsia="Times New Roman" w:hint="default"/>
          <w:spacing w:val="-1"/>
        </w:rPr>
        <w:t>.</w:t>
      </w:r>
      <w:r>
        <w:rPr>
          <w:rFonts w:ascii="Times New Roman" w:hAnsi="Times New Roman" w:cs="Times New Roman" w:eastAsia="Times New Roman" w:hint="default"/>
        </w:rPr>
        <w:t>00</w:t>
      </w:r>
      <w:r>
        <w:rPr>
          <w:rFonts w:ascii="Times New Roman" w:hAnsi="Times New Roman" w:cs="Times New Roman" w:eastAsia="Times New Roman" w:hint="default"/>
          <w:spacing w:val="-3"/>
        </w:rPr>
        <w:t> </w:t>
      </w:r>
      <w:r>
        <w:rPr/>
        <w:t>元，</w:t>
      </w:r>
    </w:p>
    <w:p>
      <w:pPr>
        <w:pStyle w:val="BodyText"/>
        <w:spacing w:line="240" w:lineRule="auto"/>
        <w:ind w:left="851" w:right="3681"/>
        <w:jc w:val="left"/>
      </w:pPr>
      <w:r>
        <w:rPr/>
        <w:t>其中一年内到期的金额为</w:t>
      </w:r>
      <w:r>
        <w:rPr>
          <w:spacing w:val="-56"/>
        </w:rPr>
        <w:t> </w:t>
      </w:r>
      <w:r>
        <w:rPr>
          <w:rFonts w:ascii="Times New Roman" w:hAnsi="Times New Roman" w:cs="Times New Roman" w:eastAsia="Times New Roman" w:hint="default"/>
        </w:rPr>
        <w:t>4,000,000.00</w:t>
      </w:r>
      <w:r>
        <w:rPr>
          <w:rFonts w:ascii="Times New Roman" w:hAnsi="Times New Roman" w:cs="Times New Roman" w:eastAsia="Times New Roman" w:hint="default"/>
          <w:spacing w:val="-3"/>
        </w:rPr>
        <w:t> </w:t>
      </w:r>
      <w:r>
        <w:rPr/>
        <w:t>元。</w:t>
      </w:r>
    </w:p>
    <w:p>
      <w:pPr>
        <w:pStyle w:val="BodyText"/>
        <w:spacing w:line="331" w:lineRule="auto"/>
        <w:ind w:left="851" w:right="1788"/>
        <w:jc w:val="left"/>
      </w:pPr>
      <w:r>
        <w:rPr>
          <w:rFonts w:ascii="Times New Roman" w:hAnsi="Times New Roman" w:cs="Times New Roman" w:eastAsia="Times New Roman" w:hint="default"/>
        </w:rPr>
        <w:t>3</w:t>
      </w:r>
      <w:r>
        <w:rPr/>
        <w:t>、</w:t>
      </w: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月本公司二级子公司武汉中原电子集团有限公司与中国电子财务有限 </w:t>
      </w:r>
      <w:r>
        <w:rPr>
          <w:spacing w:val="-5"/>
        </w:rPr>
        <w:t>责任公司签订《委托贷款借款合同》，中国电子财务有限责任公司接受中国电子信息</w:t>
      </w:r>
    </w:p>
    <w:p>
      <w:pPr>
        <w:spacing w:after="0" w:line="331" w:lineRule="auto"/>
        <w:jc w:val="left"/>
        <w:sectPr>
          <w:pgSz w:w="11910" w:h="16840"/>
          <w:pgMar w:header="0" w:footer="1001" w:top="1520" w:bottom="1200" w:left="1660" w:right="0"/>
        </w:sectPr>
      </w:pPr>
    </w:p>
    <w:p>
      <w:pPr>
        <w:spacing w:line="240" w:lineRule="auto" w:before="8"/>
        <w:rPr>
          <w:rFonts w:ascii="宋体" w:hAnsi="宋体" w:cs="宋体" w:eastAsia="宋体" w:hint="default"/>
          <w:sz w:val="13"/>
          <w:szCs w:val="13"/>
        </w:rPr>
      </w:pPr>
    </w:p>
    <w:p>
      <w:pPr>
        <w:pStyle w:val="BodyText"/>
        <w:spacing w:line="336" w:lineRule="auto" w:before="35"/>
        <w:ind w:left="851" w:right="1686"/>
        <w:jc w:val="left"/>
        <w:rPr>
          <w:rFonts w:ascii="Times New Roman" w:hAnsi="Times New Roman" w:cs="Times New Roman" w:eastAsia="Times New Roman" w:hint="default"/>
        </w:rPr>
      </w:pPr>
      <w:r>
        <w:rPr/>
        <w:t>产业集团有限公司委托，向其发放流动资金贷款</w:t>
      </w:r>
      <w:r>
        <w:rPr>
          <w:spacing w:val="-55"/>
        </w:rPr>
        <w:t> </w:t>
      </w:r>
      <w:r>
        <w:rPr>
          <w:rFonts w:ascii="Times New Roman" w:hAnsi="Times New Roman" w:cs="Times New Roman" w:eastAsia="Times New Roman" w:hint="default"/>
        </w:rPr>
        <w:t>280,000,000.00</w:t>
      </w:r>
      <w:r>
        <w:rPr>
          <w:rFonts w:ascii="Times New Roman" w:hAnsi="Times New Roman" w:cs="Times New Roman" w:eastAsia="Times New Roman" w:hint="default"/>
          <w:spacing w:val="-2"/>
        </w:rPr>
        <w:t> </w:t>
      </w:r>
      <w:r>
        <w:rPr/>
        <w:t>元，用于生产经营 周转，期限两年。武汉中原电子集团有限公司将所拥有的完全所有权的房地产抵押 给中国电子财务有限责任公司，抵押期限为</w:t>
      </w:r>
      <w:r>
        <w:rPr>
          <w:spacing w:val="-58"/>
        </w:rPr>
        <w:t> </w:t>
      </w:r>
      <w:r>
        <w:rPr>
          <w:rFonts w:ascii="Times New Roman" w:hAnsi="Times New Roman" w:cs="Times New Roman" w:eastAsia="Times New Roman" w:hint="default"/>
        </w:rPr>
        <w:t>24</w:t>
      </w:r>
      <w:r>
        <w:rPr>
          <w:rFonts w:ascii="Times New Roman" w:hAnsi="Times New Roman" w:cs="Times New Roman" w:eastAsia="Times New Roman" w:hint="default"/>
          <w:spacing w:val="-5"/>
        </w:rPr>
        <w:t> </w:t>
      </w:r>
      <w:r>
        <w:rPr>
          <w:spacing w:val="-4"/>
        </w:rPr>
        <w:t>个月，抵押物为中原电子</w:t>
      </w:r>
      <w:r>
        <w:rPr>
          <w:spacing w:val="-58"/>
        </w:rPr>
        <w:t> </w:t>
      </w:r>
      <w:r>
        <w:rPr>
          <w:rFonts w:ascii="Times New Roman" w:hAnsi="Times New Roman" w:cs="Times New Roman" w:eastAsia="Times New Roman" w:hint="default"/>
        </w:rPr>
        <w:t>102</w:t>
      </w:r>
      <w:r>
        <w:rPr>
          <w:rFonts w:ascii="Times New Roman" w:hAnsi="Times New Roman" w:cs="Times New Roman" w:eastAsia="Times New Roman" w:hint="default"/>
          <w:spacing w:val="-5"/>
        </w:rPr>
        <w:t> </w:t>
      </w:r>
      <w:r>
        <w:rPr/>
        <w:t>研发科 </w:t>
      </w:r>
      <w:r>
        <w:rPr>
          <w:spacing w:val="-7"/>
        </w:rPr>
        <w:t>技大楼；</w:t>
      </w:r>
      <w:r>
        <w:rPr>
          <w:rFonts w:ascii="Times New Roman" w:hAnsi="Times New Roman" w:cs="Times New Roman" w:eastAsia="Times New Roman" w:hint="default"/>
          <w:spacing w:val="-7"/>
        </w:rPr>
        <w:t>112 </w:t>
      </w:r>
      <w:r>
        <w:rPr/>
        <w:t>国家交流中心</w:t>
      </w:r>
      <w:r>
        <w:rPr>
          <w:rFonts w:ascii="Times New Roman" w:hAnsi="Times New Roman" w:cs="Times New Roman" w:eastAsia="Times New Roman" w:hint="default"/>
        </w:rPr>
        <w:t>-1 </w:t>
      </w:r>
      <w:r>
        <w:rPr>
          <w:spacing w:val="-8"/>
        </w:rPr>
        <w:t>宿舍；</w:t>
      </w:r>
      <w:r>
        <w:rPr>
          <w:rFonts w:ascii="Times New Roman" w:hAnsi="Times New Roman" w:cs="Times New Roman" w:eastAsia="Times New Roman" w:hint="default"/>
          <w:spacing w:val="-8"/>
        </w:rPr>
        <w:t>112 </w:t>
      </w:r>
      <w:r>
        <w:rPr/>
        <w:t>国际交流中心</w:t>
      </w:r>
      <w:r>
        <w:rPr>
          <w:rFonts w:ascii="Times New Roman" w:hAnsi="Times New Roman" w:cs="Times New Roman" w:eastAsia="Times New Roman" w:hint="default"/>
        </w:rPr>
        <w:t>-2 </w:t>
      </w:r>
      <w:r>
        <w:rPr>
          <w:spacing w:val="-7"/>
        </w:rPr>
        <w:t>酒店；</w:t>
      </w:r>
      <w:r>
        <w:rPr>
          <w:rFonts w:ascii="Times New Roman" w:hAnsi="Times New Roman" w:cs="Times New Roman" w:eastAsia="Times New Roman" w:hint="default"/>
          <w:spacing w:val="-7"/>
        </w:rPr>
        <w:t>103 </w:t>
      </w:r>
      <w:r>
        <w:rPr/>
        <w:t>总装大楼 </w:t>
      </w:r>
      <w:r>
        <w:rPr>
          <w:rFonts w:ascii="Times New Roman" w:hAnsi="Times New Roman" w:cs="Times New Roman" w:eastAsia="Times New Roman" w:hint="default"/>
        </w:rPr>
        <w:t>1-3</w:t>
      </w:r>
      <w:r>
        <w:rPr>
          <w:rFonts w:ascii="Times New Roman" w:hAnsi="Times New Roman" w:cs="Times New Roman" w:eastAsia="Times New Roman" w:hint="default"/>
          <w:spacing w:val="-27"/>
        </w:rPr>
        <w:t> </w:t>
      </w:r>
      <w:r>
        <w:rPr/>
        <w:t>层；</w:t>
      </w:r>
      <w:r>
        <w:rPr>
          <w:spacing w:val="-2"/>
        </w:rPr>
        <w:t> </w:t>
      </w:r>
      <w:r>
        <w:rPr>
          <w:rFonts w:ascii="Times New Roman" w:hAnsi="Times New Roman" w:cs="Times New Roman" w:eastAsia="Times New Roman" w:hint="default"/>
          <w:spacing w:val="-6"/>
        </w:rPr>
        <w:t>111</w:t>
      </w:r>
      <w:r>
        <w:rPr>
          <w:rFonts w:ascii="Times New Roman" w:hAnsi="Times New Roman" w:cs="Times New Roman" w:eastAsia="Times New Roman" w:hint="default"/>
          <w:spacing w:val="-1"/>
        </w:rPr>
        <w:t> </w:t>
      </w:r>
      <w:r>
        <w:rPr/>
        <w:t>质检中心及计量站</w:t>
      </w:r>
      <w:r>
        <w:rPr>
          <w:spacing w:val="-54"/>
        </w:rPr>
        <w:t> </w:t>
      </w:r>
      <w:r>
        <w:rPr>
          <w:rFonts w:ascii="Times New Roman" w:hAnsi="Times New Roman" w:cs="Times New Roman" w:eastAsia="Times New Roman" w:hint="default"/>
        </w:rPr>
        <w:t>1-3</w:t>
      </w:r>
      <w:r>
        <w:rPr>
          <w:rFonts w:ascii="Times New Roman" w:hAnsi="Times New Roman" w:cs="Times New Roman" w:eastAsia="Times New Roman" w:hint="default"/>
          <w:spacing w:val="-2"/>
        </w:rPr>
        <w:t> </w:t>
      </w:r>
      <w:r>
        <w:rPr/>
        <w:t>层；</w:t>
      </w:r>
      <w:r>
        <w:rPr>
          <w:rFonts w:ascii="Times New Roman" w:hAnsi="Times New Roman" w:cs="Times New Roman" w:eastAsia="Times New Roman" w:hint="default"/>
        </w:rPr>
        <w:t>101</w:t>
      </w:r>
      <w:r>
        <w:rPr>
          <w:rFonts w:ascii="Times New Roman" w:hAnsi="Times New Roman" w:cs="Times New Roman" w:eastAsia="Times New Roman" w:hint="default"/>
          <w:spacing w:val="-1"/>
        </w:rPr>
        <w:t> </w:t>
      </w:r>
      <w:r>
        <w:rPr/>
        <w:t>综合办公大楼</w:t>
      </w:r>
      <w:r>
        <w:rPr>
          <w:spacing w:val="-54"/>
        </w:rPr>
        <w:t> </w:t>
      </w:r>
      <w:r>
        <w:rPr>
          <w:rFonts w:ascii="Times New Roman" w:hAnsi="Times New Roman" w:cs="Times New Roman" w:eastAsia="Times New Roman" w:hint="default"/>
        </w:rPr>
        <w:t>1-7</w:t>
      </w:r>
      <w:r>
        <w:rPr>
          <w:rFonts w:ascii="Times New Roman" w:hAnsi="Times New Roman" w:cs="Times New Roman" w:eastAsia="Times New Roman" w:hint="default"/>
          <w:spacing w:val="-2"/>
        </w:rPr>
        <w:t> </w:t>
      </w:r>
      <w:r>
        <w:rPr/>
        <w:t>层，</w:t>
      </w:r>
      <w:r>
        <w:rPr>
          <w:rFonts w:ascii="Times New Roman" w:hAnsi="Times New Roman" w:cs="Times New Roman" w:eastAsia="Times New Roman" w:hint="default"/>
        </w:rPr>
        <w:t>101A</w:t>
      </w:r>
      <w:r>
        <w:rPr>
          <w:rFonts w:ascii="Times New Roman" w:hAnsi="Times New Roman" w:cs="Times New Roman" w:eastAsia="Times New Roman" w:hint="default"/>
          <w:spacing w:val="-2"/>
        </w:rPr>
        <w:t> </w:t>
      </w:r>
      <w:r>
        <w:rPr/>
        <w:t>会议室</w:t>
      </w:r>
      <w:r>
        <w:rPr>
          <w:spacing w:val="-54"/>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层，</w:t>
      </w:r>
      <w:r>
        <w:rPr>
          <w:rFonts w:ascii="Times New Roman" w:hAnsi="Times New Roman" w:cs="Times New Roman" w:eastAsia="Times New Roman" w:hint="default"/>
        </w:rPr>
        <w:t>101B</w:t>
      </w:r>
    </w:p>
    <w:p>
      <w:pPr>
        <w:pStyle w:val="BodyText"/>
        <w:spacing w:line="240" w:lineRule="auto" w:before="16"/>
        <w:ind w:left="851" w:right="3681"/>
        <w:jc w:val="left"/>
      </w:pPr>
      <w:r>
        <w:rPr/>
        <w:t>会议室</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层。</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tbl>
      <w:tblPr>
        <w:tblW w:w="0" w:type="auto"/>
        <w:jc w:val="left"/>
        <w:tblInd w:w="102" w:type="dxa"/>
        <w:tblLayout w:type="fixed"/>
        <w:tblCellMar>
          <w:top w:w="0" w:type="dxa"/>
          <w:left w:w="0" w:type="dxa"/>
          <w:bottom w:w="0" w:type="dxa"/>
          <w:right w:w="0" w:type="dxa"/>
        </w:tblCellMar>
        <w:tblLook w:val="01E0"/>
      </w:tblPr>
      <w:tblGrid>
        <w:gridCol w:w="3700"/>
        <w:gridCol w:w="3117"/>
        <w:gridCol w:w="2018"/>
      </w:tblGrid>
      <w:tr>
        <w:trPr>
          <w:trHeight w:val="357" w:hRule="exact"/>
        </w:trPr>
        <w:tc>
          <w:tcPr>
            <w:tcW w:w="3700"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二十七</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0"/>
                <w:sz w:val="21"/>
                <w:szCs w:val="21"/>
              </w:rPr>
              <w:t> </w:t>
            </w:r>
            <w:r>
              <w:rPr>
                <w:rFonts w:ascii="宋体" w:hAnsi="宋体" w:cs="宋体" w:eastAsia="宋体" w:hint="default"/>
                <w:b/>
                <w:bCs/>
                <w:sz w:val="21"/>
                <w:szCs w:val="21"/>
              </w:rPr>
              <w:t>其他流动负债</w:t>
            </w:r>
            <w:r>
              <w:rPr>
                <w:rFonts w:ascii="宋体" w:hAnsi="宋体" w:cs="宋体" w:eastAsia="宋体" w:hint="default"/>
                <w:sz w:val="21"/>
                <w:szCs w:val="21"/>
              </w:rPr>
            </w:r>
          </w:p>
        </w:tc>
        <w:tc>
          <w:tcPr>
            <w:tcW w:w="5135" w:type="dxa"/>
            <w:gridSpan w:val="2"/>
            <w:tcBorders>
              <w:top w:val="nil" w:sz="6" w:space="0" w:color="auto"/>
              <w:left w:val="nil" w:sz="6" w:space="0" w:color="auto"/>
              <w:bottom w:val="single" w:sz="12" w:space="0" w:color="000000"/>
              <w:right w:val="nil" w:sz="6" w:space="0" w:color="auto"/>
            </w:tcBorders>
          </w:tcPr>
          <w:p>
            <w:pPr/>
          </w:p>
        </w:tc>
      </w:tr>
      <w:tr>
        <w:trPr>
          <w:trHeight w:val="363" w:hRule="exact"/>
        </w:trPr>
        <w:tc>
          <w:tcPr>
            <w:tcW w:w="3700"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174" w:right="0"/>
              <w:jc w:val="left"/>
              <w:rPr>
                <w:rFonts w:ascii="宋体" w:hAnsi="宋体" w:cs="宋体" w:eastAsia="宋体" w:hint="default"/>
                <w:sz w:val="16"/>
                <w:szCs w:val="16"/>
              </w:rPr>
            </w:pPr>
            <w:r>
              <w:rPr>
                <w:rFonts w:ascii="宋体" w:hAnsi="宋体" w:cs="宋体" w:eastAsia="宋体" w:hint="default"/>
                <w:sz w:val="16"/>
                <w:szCs w:val="16"/>
              </w:rPr>
              <w:t>项目</w:t>
            </w:r>
          </w:p>
        </w:tc>
        <w:tc>
          <w:tcPr>
            <w:tcW w:w="3117"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right="64"/>
              <w:jc w:val="center"/>
              <w:rPr>
                <w:rFonts w:ascii="宋体" w:hAnsi="宋体" w:cs="宋体" w:eastAsia="宋体" w:hint="default"/>
                <w:sz w:val="16"/>
                <w:szCs w:val="16"/>
              </w:rPr>
            </w:pPr>
            <w:r>
              <w:rPr>
                <w:rFonts w:ascii="宋体" w:hAnsi="宋体" w:cs="宋体" w:eastAsia="宋体" w:hint="default"/>
                <w:sz w:val="16"/>
                <w:szCs w:val="16"/>
              </w:rPr>
              <w:t>期末余额</w:t>
            </w:r>
          </w:p>
        </w:tc>
        <w:tc>
          <w:tcPr>
            <w:tcW w:w="2018"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494" w:right="0"/>
              <w:jc w:val="left"/>
              <w:rPr>
                <w:rFonts w:ascii="宋体" w:hAnsi="宋体" w:cs="宋体" w:eastAsia="宋体" w:hint="default"/>
                <w:sz w:val="16"/>
                <w:szCs w:val="16"/>
              </w:rPr>
            </w:pPr>
            <w:r>
              <w:rPr>
                <w:rFonts w:ascii="宋体" w:hAnsi="宋体" w:cs="宋体" w:eastAsia="宋体" w:hint="default"/>
                <w:sz w:val="16"/>
                <w:szCs w:val="16"/>
              </w:rPr>
              <w:t>年初余额</w:t>
            </w:r>
          </w:p>
        </w:tc>
      </w:tr>
      <w:tr>
        <w:trPr>
          <w:trHeight w:val="361" w:hRule="exact"/>
        </w:trPr>
        <w:tc>
          <w:tcPr>
            <w:tcW w:w="3700" w:type="dxa"/>
            <w:tcBorders>
              <w:top w:val="nil" w:sz="6" w:space="0" w:color="auto"/>
              <w:left w:val="nil" w:sz="6" w:space="0" w:color="auto"/>
              <w:bottom w:val="nil" w:sz="6" w:space="0" w:color="auto"/>
              <w:right w:val="nil" w:sz="6" w:space="0" w:color="auto"/>
            </w:tcBorders>
          </w:tcPr>
          <w:p>
            <w:pPr>
              <w:pStyle w:val="TableParagraph"/>
              <w:spacing w:line="240" w:lineRule="auto" w:before="47"/>
              <w:ind w:left="754" w:right="0"/>
              <w:jc w:val="left"/>
              <w:rPr>
                <w:rFonts w:ascii="宋体" w:hAnsi="宋体" w:cs="宋体" w:eastAsia="宋体" w:hint="default"/>
                <w:sz w:val="16"/>
                <w:szCs w:val="16"/>
              </w:rPr>
            </w:pPr>
            <w:r>
              <w:rPr>
                <w:rFonts w:ascii="宋体" w:hAnsi="宋体" w:cs="宋体" w:eastAsia="宋体" w:hint="default"/>
                <w:sz w:val="16"/>
                <w:szCs w:val="16"/>
              </w:rPr>
              <w:t>保用拨备</w:t>
            </w:r>
          </w:p>
        </w:tc>
        <w:tc>
          <w:tcPr>
            <w:tcW w:w="3117"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494"/>
              <w:jc w:val="right"/>
              <w:rPr>
                <w:rFonts w:ascii="Times New Roman" w:hAnsi="Times New Roman" w:cs="Times New Roman" w:eastAsia="Times New Roman" w:hint="default"/>
                <w:sz w:val="16"/>
                <w:szCs w:val="16"/>
              </w:rPr>
            </w:pPr>
            <w:r>
              <w:rPr>
                <w:rFonts w:ascii="Times New Roman"/>
                <w:spacing w:val="-1"/>
                <w:sz w:val="16"/>
              </w:rPr>
              <w:t>33,820,986.89</w:t>
            </w:r>
          </w:p>
        </w:tc>
        <w:tc>
          <w:tcPr>
            <w:tcW w:w="2018"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04"/>
              <w:jc w:val="right"/>
              <w:rPr>
                <w:rFonts w:ascii="Times New Roman" w:hAnsi="Times New Roman" w:cs="Times New Roman" w:eastAsia="Times New Roman" w:hint="default"/>
                <w:sz w:val="16"/>
                <w:szCs w:val="16"/>
              </w:rPr>
            </w:pPr>
            <w:r>
              <w:rPr>
                <w:rFonts w:ascii="Times New Roman"/>
                <w:spacing w:val="-1"/>
                <w:sz w:val="16"/>
              </w:rPr>
              <w:t>25,736,884.86</w:t>
            </w:r>
          </w:p>
        </w:tc>
      </w:tr>
      <w:tr>
        <w:trPr>
          <w:trHeight w:val="364" w:hRule="exact"/>
        </w:trPr>
        <w:tc>
          <w:tcPr>
            <w:tcW w:w="370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54" w:right="0"/>
              <w:jc w:val="left"/>
              <w:rPr>
                <w:rFonts w:ascii="宋体" w:hAnsi="宋体" w:cs="宋体" w:eastAsia="宋体" w:hint="default"/>
                <w:sz w:val="16"/>
                <w:szCs w:val="16"/>
              </w:rPr>
            </w:pPr>
            <w:r>
              <w:rPr>
                <w:rFonts w:ascii="宋体" w:hAnsi="宋体" w:cs="宋体" w:eastAsia="宋体" w:hint="default"/>
                <w:sz w:val="16"/>
                <w:szCs w:val="16"/>
              </w:rPr>
              <w:t>一年内结转的递延收益</w:t>
            </w:r>
          </w:p>
        </w:tc>
        <w:tc>
          <w:tcPr>
            <w:tcW w:w="311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92"/>
              <w:jc w:val="right"/>
              <w:rPr>
                <w:rFonts w:ascii="Times New Roman" w:hAnsi="Times New Roman" w:cs="Times New Roman" w:eastAsia="Times New Roman" w:hint="default"/>
                <w:sz w:val="16"/>
                <w:szCs w:val="16"/>
              </w:rPr>
            </w:pPr>
            <w:r>
              <w:rPr>
                <w:rFonts w:ascii="Times New Roman"/>
                <w:spacing w:val="-1"/>
                <w:sz w:val="16"/>
              </w:rPr>
              <w:t>8,850,138.56</w:t>
            </w:r>
          </w:p>
        </w:tc>
        <w:tc>
          <w:tcPr>
            <w:tcW w:w="201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4"/>
              <w:jc w:val="right"/>
              <w:rPr>
                <w:rFonts w:ascii="Times New Roman" w:hAnsi="Times New Roman" w:cs="Times New Roman" w:eastAsia="Times New Roman" w:hint="default"/>
                <w:sz w:val="16"/>
                <w:szCs w:val="16"/>
              </w:rPr>
            </w:pPr>
            <w:r>
              <w:rPr>
                <w:rFonts w:ascii="Times New Roman"/>
                <w:spacing w:val="-1"/>
                <w:sz w:val="16"/>
              </w:rPr>
              <w:t>9,735,851.00</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5"/>
          <w:szCs w:val="25"/>
        </w:rPr>
      </w:pPr>
    </w:p>
    <w:p>
      <w:pPr>
        <w:pStyle w:val="Heading5"/>
        <w:spacing w:line="240" w:lineRule="auto"/>
        <w:ind w:right="3681"/>
        <w:jc w:val="left"/>
        <w:rPr>
          <w:b w:val="0"/>
          <w:bCs w:val="0"/>
        </w:rPr>
      </w:pPr>
      <w:r>
        <w:rPr/>
        <w:pict>
          <v:group style="position:absolute;margin-left:119.010002pt;margin-top:-122.666451pt;width:411.75pt;height:99.8pt;mso-position-horizontal-relative:page;mso-position-vertical-relative:paragraph;z-index:-1382272" coordorigin="2380,-2453" coordsize="8235,1996">
            <v:shape style="position:absolute;left:5782;top:-2453;width:10;height:28" type="#_x0000_t75" stroked="false">
              <v:imagedata r:id="rId96" o:title=""/>
            </v:shape>
            <v:shape style="position:absolute;left:8186;top:-2453;width:10;height:28" type="#_x0000_t75" stroked="false">
              <v:imagedata r:id="rId96" o:title=""/>
            </v:shape>
            <v:shape style="position:absolute;left:5762;top:-2445;width:2453;height:354" type="#_x0000_t75" stroked="false">
              <v:imagedata r:id="rId235" o:title=""/>
            </v:shape>
            <v:group style="position:absolute;left:2395;top:-473;width:3387;height:2" coordorigin="2395,-473" coordsize="3387,2">
              <v:shape style="position:absolute;left:2395;top:-473;width:3387;height:2" coordorigin="2395,-473" coordsize="3387,0" path="m2395,-473l5782,-473e" filled="false" stroked="true" strokeweight="1.5pt" strokecolor="#000000">
                <v:path arrowok="t"/>
              </v:shape>
            </v:group>
            <v:group style="position:absolute;left:5782;top:-473;width:2405;height:2" coordorigin="5782,-473" coordsize="2405,2">
              <v:shape style="position:absolute;left:5782;top:-473;width:2405;height:2" coordorigin="5782,-473" coordsize="2405,0" path="m5782,-473l8186,-473e" filled="false" stroked="true" strokeweight="1.5pt" strokecolor="#000000">
                <v:path arrowok="t"/>
              </v:shape>
              <v:shape style="position:absolute;left:2390;top:-2123;width:8225;height:1635" type="#_x0000_t75" stroked="false">
                <v:imagedata r:id="rId267" o:title=""/>
              </v:shape>
            </v:group>
            <v:group style="position:absolute;left:8186;top:-473;width:30;height:2" coordorigin="8186,-473" coordsize="30,2">
              <v:shape style="position:absolute;left:8186;top:-473;width:30;height:2" coordorigin="8186,-473" coordsize="30,0" path="m8186,-473l8216,-473e" filled="false" stroked="true" strokeweight="1.5pt" strokecolor="#000000">
                <v:path arrowok="t"/>
              </v:shape>
            </v:group>
            <v:group style="position:absolute;left:8216;top:-473;width:2381;height:2" coordorigin="8216,-473" coordsize="2381,2">
              <v:shape style="position:absolute;left:8216;top:-473;width:2381;height:2" coordorigin="8216,-473" coordsize="2381,0" path="m8216,-473l10597,-473e" filled="false" stroked="true" strokeweight="1.5pt" strokecolor="#000000">
                <v:path arrowok="t"/>
              </v:shape>
              <v:shape style="position:absolute;left:2518;top:-1302;width:3170;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spacing w:val="7"/>
                          <w:w w:val="95"/>
                          <w:sz w:val="16"/>
                          <w:szCs w:val="16"/>
                        </w:rPr>
                        <w:t>已背书或贴现且在资产负债表日尚未到期的</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商业承兑汇票</w:t>
                      </w:r>
                    </w:p>
                  </w:txbxContent>
                </v:textbox>
                <w10:wrap type="none"/>
              </v:shape>
              <v:shape style="position:absolute;left:7163;top:-1184;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76,926,695.88</w:t>
                      </w:r>
                      <w:r>
                        <w:rPr>
                          <w:rFonts w:ascii="Times New Roman"/>
                          <w:sz w:val="16"/>
                        </w:rPr>
                      </w:r>
                    </w:p>
                  </w:txbxContent>
                </v:textbox>
                <w10:wrap type="none"/>
              </v:shape>
              <v:shape style="position:absolute;left:3937;top:-740;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合计</w:t>
                      </w:r>
                      <w:r>
                        <w:rPr>
                          <w:rFonts w:ascii="宋体" w:hAnsi="宋体" w:cs="宋体" w:eastAsia="宋体" w:hint="default"/>
                          <w:sz w:val="16"/>
                          <w:szCs w:val="16"/>
                        </w:rPr>
                      </w:r>
                    </w:p>
                  </w:txbxContent>
                </v:textbox>
                <w10:wrap type="none"/>
              </v:shape>
              <v:shape style="position:absolute;left:7090;top:-727;width:995;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pacing w:val="-1"/>
                          <w:sz w:val="16"/>
                        </w:rPr>
                        <w:t>119,597,821.33</w:t>
                      </w:r>
                    </w:p>
                  </w:txbxContent>
                </v:textbox>
                <w10:wrap type="none"/>
              </v:shape>
              <v:shape style="position:absolute;left:9569;top:-727;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35,472,735.86</w:t>
                      </w:r>
                      <w:r>
                        <w:rPr>
                          <w:rFonts w:ascii="Times New Roman"/>
                          <w:sz w:val="16"/>
                        </w:rPr>
                      </w:r>
                    </w:p>
                  </w:txbxContent>
                </v:textbox>
                <w10:wrap type="none"/>
              </v:shape>
            </v:group>
            <w10:wrap type="none"/>
          </v:group>
        </w:pict>
      </w:r>
      <w:r>
        <w:rPr/>
        <w:pict>
          <v:group style="position:absolute;margin-left:119.010002pt;margin-top:17.07383pt;width:411.75pt;height:108.55pt;mso-position-horizontal-relative:page;mso-position-vertical-relative:paragraph;z-index:-1382248" coordorigin="2380,341" coordsize="8235,2171">
            <v:group style="position:absolute;left:2410;top:356;width:3372;height:2" coordorigin="2410,356" coordsize="3372,2">
              <v:shape style="position:absolute;left:2410;top:356;width:3372;height:2" coordorigin="2410,356" coordsize="3372,0" path="m2410,356l5782,356e" filled="false" stroked="true" strokeweight="1.5pt" strokecolor="#000000">
                <v:path arrowok="t"/>
              </v:shape>
              <v:shape style="position:absolute;left:5782;top:371;width:10;height:28" type="#_x0000_t75" stroked="false">
                <v:imagedata r:id="rId192" o:title=""/>
              </v:shape>
            </v:group>
            <v:group style="position:absolute;left:5782;top:356;width:2405;height:2" coordorigin="5782,356" coordsize="2405,2">
              <v:shape style="position:absolute;left:5782;top:356;width:2405;height:2" coordorigin="5782,356" coordsize="2405,0" path="m5782,356l8186,356e" filled="false" stroked="true" strokeweight="1.5pt" strokecolor="#000000">
                <v:path arrowok="t"/>
              </v:shape>
              <v:shape style="position:absolute;left:8186;top:371;width:10;height:28" type="#_x0000_t75" stroked="false">
                <v:imagedata r:id="rId192" o:title=""/>
              </v:shape>
            </v:group>
            <v:group style="position:absolute;left:8186;top:356;width:30;height:2" coordorigin="8186,356" coordsize="30,2">
              <v:shape style="position:absolute;left:8186;top:356;width:30;height:2" coordorigin="8186,356" coordsize="30,0" path="m8186,356l8216,356e" filled="false" stroked="true" strokeweight="1.5pt" strokecolor="#000000">
                <v:path arrowok="t"/>
              </v:shape>
            </v:group>
            <v:group style="position:absolute;left:8216;top:356;width:2381;height:2" coordorigin="8216,356" coordsize="2381,2">
              <v:shape style="position:absolute;left:8216;top:356;width:2381;height:2" coordorigin="8216,356" coordsize="2381,0" path="m8216,356l10597,356e" filled="false" stroked="true" strokeweight="1.5pt" strokecolor="#000000">
                <v:path arrowok="t"/>
              </v:shape>
              <v:shape style="position:absolute;left:5762;top:380;width:2453;height:355" type="#_x0000_t75" stroked="false">
                <v:imagedata r:id="rId268" o:title=""/>
              </v:shape>
            </v:group>
            <v:group style="position:absolute;left:2395;top:2497;width:3387;height:2" coordorigin="2395,2497" coordsize="3387,2">
              <v:shape style="position:absolute;left:2395;top:2497;width:3387;height:2" coordorigin="2395,2497" coordsize="3387,0" path="m2395,2497l5782,2497e" filled="false" stroked="true" strokeweight="1.5pt" strokecolor="#000000">
                <v:path arrowok="t"/>
              </v:shape>
            </v:group>
            <v:group style="position:absolute;left:5782;top:2497;width:2405;height:2" coordorigin="5782,2497" coordsize="2405,2">
              <v:shape style="position:absolute;left:5782;top:2497;width:2405;height:2" coordorigin="5782,2497" coordsize="2405,0" path="m5782,2497l8186,2497e" filled="false" stroked="true" strokeweight="1.5pt" strokecolor="#000000">
                <v:path arrowok="t"/>
              </v:shape>
              <v:shape style="position:absolute;left:2390;top:703;width:8225;height:1779" type="#_x0000_t75" stroked="false">
                <v:imagedata r:id="rId269" o:title=""/>
              </v:shape>
            </v:group>
            <v:group style="position:absolute;left:8186;top:2497;width:30;height:2" coordorigin="8186,2497" coordsize="30,2">
              <v:shape style="position:absolute;left:8186;top:2497;width:30;height:2" coordorigin="8186,2497" coordsize="30,0" path="m8186,2497l8216,2497e" filled="false" stroked="true" strokeweight="1.5pt" strokecolor="#000000">
                <v:path arrowok="t"/>
              </v:shape>
            </v:group>
            <v:group style="position:absolute;left:8216;top:2497;width:2381;height:2" coordorigin="8216,2497" coordsize="2381,2">
              <v:shape style="position:absolute;left:8216;top:2497;width:2381;height:2" coordorigin="8216,2497" coordsize="2381,0" path="m8216,2497l10597,2497e" filled="false" stroked="true" strokeweight="1.5pt" strokecolor="#000000">
                <v:path arrowok="t"/>
              </v:shape>
            </v:group>
            <w10:wrap type="none"/>
          </v:group>
        </w:pict>
      </w:r>
      <w:r>
        <w:rPr>
          <w:rFonts w:ascii="Times New Roman" w:hAnsi="Times New Roman" w:cs="Times New Roman" w:eastAsia="Times New Roman" w:hint="default"/>
        </w:rPr>
        <w:t>(</w:t>
      </w:r>
      <w:r>
        <w:rPr/>
        <w:t>二十八</w:t>
      </w:r>
      <w:r>
        <w:rPr>
          <w:rFonts w:ascii="Times New Roman" w:hAnsi="Times New Roman" w:cs="Times New Roman" w:eastAsia="Times New Roman" w:hint="default"/>
        </w:rPr>
        <w:t>)</w:t>
      </w:r>
      <w:r>
        <w:rPr>
          <w:rFonts w:ascii="Times New Roman" w:hAnsi="Times New Roman" w:cs="Times New Roman" w:eastAsia="Times New Roman" w:hint="default"/>
          <w:spacing w:val="23"/>
        </w:rPr>
        <w:t> </w:t>
      </w:r>
      <w:r>
        <w:rPr/>
        <w:t>长期借款</w:t>
      </w:r>
      <w:r>
        <w:rPr>
          <w:b w:val="0"/>
          <w:bCs w:val="0"/>
        </w:rPr>
      </w:r>
    </w:p>
    <w:p>
      <w:pPr>
        <w:spacing w:line="240" w:lineRule="auto" w:before="5"/>
        <w:rPr>
          <w:rFonts w:ascii="宋体" w:hAnsi="宋体" w:cs="宋体" w:eastAsia="宋体" w:hint="default"/>
          <w:b/>
          <w:bCs/>
          <w:sz w:val="2"/>
          <w:szCs w:val="2"/>
        </w:rPr>
      </w:pPr>
    </w:p>
    <w:tbl>
      <w:tblPr>
        <w:tblW w:w="0" w:type="auto"/>
        <w:jc w:val="left"/>
        <w:tblInd w:w="787" w:type="dxa"/>
        <w:tblLayout w:type="fixed"/>
        <w:tblCellMar>
          <w:top w:w="0" w:type="dxa"/>
          <w:left w:w="0" w:type="dxa"/>
          <w:bottom w:w="0" w:type="dxa"/>
          <w:right w:w="0" w:type="dxa"/>
        </w:tblCellMar>
        <w:tblLook w:val="01E0"/>
      </w:tblPr>
      <w:tblGrid>
        <w:gridCol w:w="1099"/>
        <w:gridCol w:w="1916"/>
        <w:gridCol w:w="3117"/>
        <w:gridCol w:w="1981"/>
      </w:tblGrid>
      <w:tr>
        <w:trPr>
          <w:trHeight w:val="723" w:hRule="exact"/>
        </w:trPr>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left="70" w:right="0"/>
              <w:jc w:val="left"/>
              <w:rPr>
                <w:rFonts w:ascii="宋体" w:hAnsi="宋体" w:cs="宋体" w:eastAsia="宋体" w:hint="default"/>
                <w:sz w:val="16"/>
                <w:szCs w:val="16"/>
              </w:rPr>
            </w:pPr>
            <w:r>
              <w:rPr>
                <w:rFonts w:ascii="宋体" w:hAnsi="宋体" w:cs="宋体" w:eastAsia="宋体" w:hint="default"/>
                <w:sz w:val="16"/>
                <w:szCs w:val="16"/>
              </w:rPr>
              <w:t>质押借款</w:t>
            </w:r>
          </w:p>
        </w:tc>
        <w:tc>
          <w:tcPr>
            <w:tcW w:w="1916" w:type="dxa"/>
            <w:tcBorders>
              <w:top w:val="nil" w:sz="6" w:space="0" w:color="auto"/>
              <w:left w:val="nil" w:sz="6" w:space="0" w:color="auto"/>
              <w:bottom w:val="nil" w:sz="6" w:space="0" w:color="auto"/>
              <w:right w:val="nil" w:sz="6" w:space="0" w:color="auto"/>
            </w:tcBorders>
          </w:tcPr>
          <w:p>
            <w:pPr>
              <w:pStyle w:val="TableParagraph"/>
              <w:spacing w:line="240" w:lineRule="auto" w:before="57"/>
              <w:ind w:left="390" w:right="0"/>
              <w:jc w:val="left"/>
              <w:rPr>
                <w:rFonts w:ascii="宋体" w:hAnsi="宋体" w:cs="宋体" w:eastAsia="宋体" w:hint="default"/>
                <w:sz w:val="16"/>
                <w:szCs w:val="16"/>
              </w:rPr>
            </w:pPr>
            <w:r>
              <w:rPr>
                <w:rFonts w:ascii="宋体" w:hAnsi="宋体" w:cs="宋体" w:eastAsia="宋体" w:hint="default"/>
                <w:sz w:val="16"/>
                <w:szCs w:val="16"/>
              </w:rPr>
              <w:t>项目</w:t>
            </w:r>
          </w:p>
        </w:tc>
        <w:tc>
          <w:tcPr>
            <w:tcW w:w="3117"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64"/>
              <w:jc w:val="center"/>
              <w:rPr>
                <w:rFonts w:ascii="宋体" w:hAnsi="宋体" w:cs="宋体" w:eastAsia="宋体" w:hint="default"/>
                <w:sz w:val="16"/>
                <w:szCs w:val="16"/>
              </w:rPr>
            </w:pPr>
            <w:r>
              <w:rPr>
                <w:rFonts w:ascii="宋体" w:hAnsi="宋体" w:cs="宋体" w:eastAsia="宋体" w:hint="default"/>
                <w:sz w:val="16"/>
                <w:szCs w:val="16"/>
              </w:rPr>
              <w:t>期末余额</w:t>
            </w:r>
          </w:p>
        </w:tc>
        <w:tc>
          <w:tcPr>
            <w:tcW w:w="1981" w:type="dxa"/>
            <w:tcBorders>
              <w:top w:val="nil" w:sz="6" w:space="0" w:color="auto"/>
              <w:left w:val="nil" w:sz="6" w:space="0" w:color="auto"/>
              <w:bottom w:val="nil" w:sz="6" w:space="0" w:color="auto"/>
              <w:right w:val="nil" w:sz="6" w:space="0" w:color="auto"/>
            </w:tcBorders>
          </w:tcPr>
          <w:p>
            <w:pPr>
              <w:pStyle w:val="TableParagraph"/>
              <w:spacing w:line="240" w:lineRule="auto" w:before="57"/>
              <w:ind w:left="495" w:right="0"/>
              <w:jc w:val="left"/>
              <w:rPr>
                <w:rFonts w:ascii="宋体" w:hAnsi="宋体" w:cs="宋体" w:eastAsia="宋体" w:hint="default"/>
                <w:sz w:val="16"/>
                <w:szCs w:val="16"/>
              </w:rPr>
            </w:pPr>
            <w:r>
              <w:rPr>
                <w:rFonts w:ascii="宋体" w:hAnsi="宋体" w:cs="宋体" w:eastAsia="宋体" w:hint="default"/>
                <w:sz w:val="16"/>
                <w:szCs w:val="16"/>
              </w:rPr>
              <w:t>年初余额</w:t>
            </w:r>
          </w:p>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left="916" w:right="0"/>
              <w:jc w:val="left"/>
              <w:rPr>
                <w:rFonts w:ascii="Times New Roman" w:hAnsi="Times New Roman" w:cs="Times New Roman" w:eastAsia="Times New Roman" w:hint="default"/>
                <w:sz w:val="16"/>
                <w:szCs w:val="16"/>
              </w:rPr>
            </w:pPr>
            <w:r>
              <w:rPr>
                <w:rFonts w:ascii="Times New Roman"/>
                <w:sz w:val="16"/>
              </w:rPr>
              <w:t>112,000,000.00</w:t>
            </w:r>
          </w:p>
        </w:tc>
      </w:tr>
      <w:tr>
        <w:trPr>
          <w:trHeight w:val="353" w:hRule="exact"/>
        </w:trPr>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抵押借款</w:t>
            </w:r>
          </w:p>
        </w:tc>
        <w:tc>
          <w:tcPr>
            <w:tcW w:w="1916" w:type="dxa"/>
            <w:tcBorders>
              <w:top w:val="nil" w:sz="6" w:space="0" w:color="auto"/>
              <w:left w:val="nil" w:sz="6" w:space="0" w:color="auto"/>
              <w:bottom w:val="nil" w:sz="6" w:space="0" w:color="auto"/>
              <w:right w:val="nil" w:sz="6" w:space="0" w:color="auto"/>
            </w:tcBorders>
          </w:tcPr>
          <w:p>
            <w:pPr/>
          </w:p>
        </w:tc>
        <w:tc>
          <w:tcPr>
            <w:tcW w:w="311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93"/>
              <w:jc w:val="right"/>
              <w:rPr>
                <w:rFonts w:ascii="Times New Roman" w:hAnsi="Times New Roman" w:cs="Times New Roman" w:eastAsia="Times New Roman" w:hint="default"/>
                <w:sz w:val="16"/>
                <w:szCs w:val="16"/>
              </w:rPr>
            </w:pPr>
            <w:r>
              <w:rPr>
                <w:rFonts w:ascii="Times New Roman"/>
                <w:spacing w:val="-1"/>
                <w:sz w:val="16"/>
              </w:rPr>
              <w:t>595,584,695.47</w:t>
            </w:r>
          </w:p>
        </w:tc>
        <w:tc>
          <w:tcPr>
            <w:tcW w:w="198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510,990,872.15</w:t>
            </w:r>
          </w:p>
        </w:tc>
      </w:tr>
      <w:tr>
        <w:trPr>
          <w:trHeight w:val="354" w:hRule="exact"/>
        </w:trPr>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保证借款</w:t>
            </w:r>
          </w:p>
        </w:tc>
        <w:tc>
          <w:tcPr>
            <w:tcW w:w="1916" w:type="dxa"/>
            <w:tcBorders>
              <w:top w:val="nil" w:sz="6" w:space="0" w:color="auto"/>
              <w:left w:val="nil" w:sz="6" w:space="0" w:color="auto"/>
              <w:bottom w:val="nil" w:sz="6" w:space="0" w:color="auto"/>
              <w:right w:val="nil" w:sz="6" w:space="0" w:color="auto"/>
            </w:tcBorders>
          </w:tcPr>
          <w:p>
            <w:pPr/>
          </w:p>
        </w:tc>
        <w:tc>
          <w:tcPr>
            <w:tcW w:w="311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93"/>
              <w:jc w:val="right"/>
              <w:rPr>
                <w:rFonts w:ascii="Times New Roman" w:hAnsi="Times New Roman" w:cs="Times New Roman" w:eastAsia="Times New Roman" w:hint="default"/>
                <w:sz w:val="16"/>
                <w:szCs w:val="16"/>
              </w:rPr>
            </w:pPr>
            <w:r>
              <w:rPr>
                <w:rFonts w:ascii="Times New Roman"/>
                <w:spacing w:val="-1"/>
                <w:sz w:val="16"/>
              </w:rPr>
              <w:t>148,000,000.00</w:t>
            </w:r>
          </w:p>
        </w:tc>
        <w:tc>
          <w:tcPr>
            <w:tcW w:w="198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40,000,000.00</w:t>
            </w:r>
          </w:p>
        </w:tc>
      </w:tr>
      <w:tr>
        <w:trPr>
          <w:trHeight w:val="353" w:hRule="exact"/>
        </w:trPr>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信用借款</w:t>
            </w:r>
          </w:p>
        </w:tc>
        <w:tc>
          <w:tcPr>
            <w:tcW w:w="1916" w:type="dxa"/>
            <w:tcBorders>
              <w:top w:val="nil" w:sz="6" w:space="0" w:color="auto"/>
              <w:left w:val="nil" w:sz="6" w:space="0" w:color="auto"/>
              <w:bottom w:val="nil" w:sz="6" w:space="0" w:color="auto"/>
              <w:right w:val="nil" w:sz="6" w:space="0" w:color="auto"/>
            </w:tcBorders>
          </w:tcPr>
          <w:p>
            <w:pPr/>
          </w:p>
        </w:tc>
        <w:tc>
          <w:tcPr>
            <w:tcW w:w="311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93"/>
              <w:jc w:val="right"/>
              <w:rPr>
                <w:rFonts w:ascii="Times New Roman" w:hAnsi="Times New Roman" w:cs="Times New Roman" w:eastAsia="Times New Roman" w:hint="default"/>
                <w:sz w:val="16"/>
                <w:szCs w:val="16"/>
              </w:rPr>
            </w:pPr>
            <w:r>
              <w:rPr>
                <w:rFonts w:ascii="Times New Roman"/>
                <w:spacing w:val="-1"/>
                <w:sz w:val="16"/>
              </w:rPr>
              <w:t>500,000,000.00</w:t>
            </w:r>
          </w:p>
        </w:tc>
        <w:tc>
          <w:tcPr>
            <w:tcW w:w="198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500,000,000.00</w:t>
            </w:r>
          </w:p>
        </w:tc>
      </w:tr>
      <w:tr>
        <w:trPr>
          <w:trHeight w:val="357" w:hRule="exact"/>
        </w:trPr>
        <w:tc>
          <w:tcPr>
            <w:tcW w:w="1099" w:type="dxa"/>
            <w:tcBorders>
              <w:top w:val="nil" w:sz="6" w:space="0" w:color="auto"/>
              <w:left w:val="nil" w:sz="6" w:space="0" w:color="auto"/>
              <w:bottom w:val="nil" w:sz="6" w:space="0" w:color="auto"/>
              <w:right w:val="nil" w:sz="6" w:space="0" w:color="auto"/>
            </w:tcBorders>
          </w:tcPr>
          <w:p>
            <w:pPr/>
          </w:p>
        </w:tc>
        <w:tc>
          <w:tcPr>
            <w:tcW w:w="1916"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90"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311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93"/>
              <w:jc w:val="right"/>
              <w:rPr>
                <w:rFonts w:ascii="Times New Roman" w:hAnsi="Times New Roman" w:cs="Times New Roman" w:eastAsia="Times New Roman" w:hint="default"/>
                <w:sz w:val="16"/>
                <w:szCs w:val="16"/>
              </w:rPr>
            </w:pPr>
            <w:r>
              <w:rPr>
                <w:rFonts w:ascii="Times New Roman"/>
                <w:spacing w:val="-1"/>
                <w:sz w:val="16"/>
              </w:rPr>
              <w:t>1,243,584,695.47</w:t>
            </w:r>
          </w:p>
        </w:tc>
        <w:tc>
          <w:tcPr>
            <w:tcW w:w="198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1,162,990,872.15</w:t>
            </w:r>
          </w:p>
        </w:tc>
      </w:tr>
    </w:tbl>
    <w:p>
      <w:pPr>
        <w:spacing w:line="240" w:lineRule="auto" w:before="7"/>
        <w:rPr>
          <w:rFonts w:ascii="宋体" w:hAnsi="宋体" w:cs="宋体" w:eastAsia="宋体" w:hint="default"/>
          <w:b/>
          <w:bCs/>
          <w:sz w:val="5"/>
          <w:szCs w:val="5"/>
        </w:rPr>
      </w:pPr>
    </w:p>
    <w:p>
      <w:pPr>
        <w:pStyle w:val="BodyText"/>
        <w:spacing w:line="240" w:lineRule="auto" w:before="35"/>
        <w:ind w:left="851" w:right="3681"/>
        <w:jc w:val="left"/>
      </w:pPr>
      <w:r>
        <w:rPr/>
        <w:t>说明：</w:t>
      </w:r>
    </w:p>
    <w:p>
      <w:pPr>
        <w:pStyle w:val="BodyText"/>
        <w:spacing w:line="338" w:lineRule="auto" w:before="126"/>
        <w:ind w:left="851" w:right="1677"/>
        <w:jc w:val="left"/>
      </w:pPr>
      <w:r>
        <w:rPr>
          <w:rFonts w:ascii="Times New Roman" w:hAnsi="Times New Roman" w:cs="Times New Roman" w:eastAsia="Times New Roman" w:hint="default"/>
          <w:spacing w:val="-9"/>
        </w:rPr>
        <w:t>1</w:t>
      </w:r>
      <w:r>
        <w:rPr>
          <w:spacing w:val="-9"/>
        </w:rPr>
        <w:t>、抵押借款：</w:t>
      </w:r>
      <w:r>
        <w:rPr>
          <w:rFonts w:ascii="Times New Roman" w:hAnsi="Times New Roman" w:cs="Times New Roman" w:eastAsia="Times New Roman" w:hint="default"/>
          <w:spacing w:val="-9"/>
        </w:rPr>
        <w:t>2015</w:t>
      </w:r>
      <w:r>
        <w:rPr>
          <w:rFonts w:ascii="Times New Roman" w:hAnsi="Times New Roman" w:cs="Times New Roman" w:eastAsia="Times New Roman" w:hint="default"/>
          <w:spacing w:val="1"/>
        </w:rPr>
        <w:t> </w:t>
      </w:r>
      <w:r>
        <w:rPr/>
        <w:t>年</w:t>
      </w:r>
      <w:r>
        <w:rPr>
          <w:spacing w:val="-52"/>
        </w:rPr>
        <w:t> </w:t>
      </w:r>
      <w:r>
        <w:rPr>
          <w:rFonts w:ascii="Times New Roman" w:hAnsi="Times New Roman" w:cs="Times New Roman" w:eastAsia="Times New Roman" w:hint="default"/>
        </w:rPr>
        <w:t>12 </w:t>
      </w:r>
      <w:r>
        <w:rPr/>
        <w:t>月</w:t>
      </w:r>
      <w:r>
        <w:rPr>
          <w:spacing w:val="-52"/>
        </w:rPr>
        <w:t> </w:t>
      </w:r>
      <w:r>
        <w:rPr>
          <w:rFonts w:ascii="Times New Roman" w:hAnsi="Times New Roman" w:cs="Times New Roman" w:eastAsia="Times New Roman" w:hint="default"/>
        </w:rPr>
        <w:t>7</w:t>
      </w:r>
      <w:r>
        <w:rPr>
          <w:rFonts w:ascii="Times New Roman" w:hAnsi="Times New Roman" w:cs="Times New Roman" w:eastAsia="Times New Roman" w:hint="default"/>
          <w:spacing w:val="1"/>
        </w:rPr>
        <w:t> </w:t>
      </w:r>
      <w:r>
        <w:rPr>
          <w:spacing w:val="-6"/>
        </w:rPr>
        <w:t>日，本公司同中国建设银行深圳市分行（以下称为“建</w:t>
      </w:r>
      <w:r>
        <w:rPr>
          <w:spacing w:val="-102"/>
        </w:rPr>
        <w:t> </w:t>
      </w:r>
      <w:r>
        <w:rPr>
          <w:spacing w:val="-102"/>
        </w:rPr>
      </w:r>
      <w:r>
        <w:rPr>
          <w:spacing w:val="-6"/>
        </w:rPr>
        <w:t>行深圳分行”）和平安银行深圳分行（以下称为“平安银行”）签署深圳中电长城大</w:t>
      </w:r>
      <w:r>
        <w:rPr>
          <w:spacing w:val="-95"/>
        </w:rPr>
        <w:t> </w:t>
      </w:r>
      <w:r>
        <w:rPr>
          <w:spacing w:val="-95"/>
        </w:rPr>
      </w:r>
      <w:r>
        <w:rPr>
          <w:spacing w:val="-8"/>
        </w:rPr>
        <w:t>厦项目《银团贷款协议》，就本公司投资建设的深圳中电长城大厦项目提供专门借款，</w:t>
      </w:r>
      <w:r>
        <w:rPr>
          <w:spacing w:val="-79"/>
        </w:rPr>
        <w:t> </w:t>
      </w:r>
      <w:r>
        <w:rPr>
          <w:spacing w:val="-79"/>
        </w:rPr>
      </w:r>
      <w:r>
        <w:rPr/>
        <w:t>约定借款最高总额为人民币</w:t>
      </w:r>
      <w:r>
        <w:rPr>
          <w:spacing w:val="-54"/>
        </w:rPr>
        <w:t> </w:t>
      </w:r>
      <w:r>
        <w:rPr>
          <w:rFonts w:ascii="Times New Roman" w:hAnsi="Times New Roman" w:cs="Times New Roman" w:eastAsia="Times New Roman" w:hint="default"/>
        </w:rPr>
        <w:t>13.00</w:t>
      </w:r>
      <w:r>
        <w:rPr>
          <w:rFonts w:ascii="Times New Roman" w:hAnsi="Times New Roman" w:cs="Times New Roman" w:eastAsia="Times New Roman" w:hint="default"/>
          <w:spacing w:val="-1"/>
        </w:rPr>
        <w:t> </w:t>
      </w:r>
      <w:r>
        <w:rPr/>
        <w:t>亿元，其中建行深圳分行承贷人民币</w:t>
      </w:r>
      <w:r>
        <w:rPr>
          <w:spacing w:val="-54"/>
        </w:rPr>
        <w:t> </w:t>
      </w:r>
      <w:r>
        <w:rPr>
          <w:rFonts w:ascii="Times New Roman" w:hAnsi="Times New Roman" w:cs="Times New Roman" w:eastAsia="Times New Roman" w:hint="default"/>
        </w:rPr>
        <w:t>9.00 </w:t>
      </w:r>
      <w:r>
        <w:rPr/>
        <w:t>亿元， 平安银行承贷人民币</w:t>
      </w:r>
      <w:r>
        <w:rPr>
          <w:spacing w:val="-54"/>
        </w:rPr>
        <w:t> </w:t>
      </w:r>
      <w:r>
        <w:rPr>
          <w:rFonts w:ascii="Times New Roman" w:hAnsi="Times New Roman" w:cs="Times New Roman" w:eastAsia="Times New Roman" w:hint="default"/>
        </w:rPr>
        <w:t>4.00</w:t>
      </w:r>
      <w:r>
        <w:rPr>
          <w:rFonts w:ascii="Times New Roman" w:hAnsi="Times New Roman" w:cs="Times New Roman" w:eastAsia="Times New Roman" w:hint="default"/>
          <w:spacing w:val="-1"/>
        </w:rPr>
        <w:t> </w:t>
      </w:r>
      <w:r>
        <w:rPr/>
        <w:t>亿元，本年利率为</w:t>
      </w:r>
      <w:r>
        <w:rPr>
          <w:spacing w:val="-54"/>
        </w:rPr>
        <w:t> </w:t>
      </w:r>
      <w:r>
        <w:rPr>
          <w:rFonts w:ascii="Times New Roman" w:hAnsi="Times New Roman" w:cs="Times New Roman" w:eastAsia="Times New Roman" w:hint="default"/>
        </w:rPr>
        <w:t>5.37%</w:t>
      </w:r>
      <w:r>
        <w:rPr/>
        <w:t>至</w:t>
      </w:r>
      <w:r>
        <w:rPr>
          <w:spacing w:val="-54"/>
        </w:rPr>
        <w:t> </w:t>
      </w:r>
      <w:r>
        <w:rPr>
          <w:rFonts w:ascii="Times New Roman" w:hAnsi="Times New Roman" w:cs="Times New Roman" w:eastAsia="Times New Roman" w:hint="default"/>
        </w:rPr>
        <w:t>5.39%</w:t>
      </w:r>
      <w:r>
        <w:rPr/>
        <w:t>，贷款期限为</w:t>
      </w:r>
      <w:r>
        <w:rPr>
          <w:spacing w:val="-54"/>
        </w:rPr>
        <w:t> </w:t>
      </w:r>
      <w:r>
        <w:rPr>
          <w:rFonts w:ascii="Times New Roman" w:hAnsi="Times New Roman" w:cs="Times New Roman" w:eastAsia="Times New Roman" w:hint="default"/>
        </w:rPr>
        <w:t>8</w:t>
      </w:r>
      <w:r>
        <w:rPr>
          <w:rFonts w:ascii="Times New Roman" w:hAnsi="Times New Roman" w:cs="Times New Roman" w:eastAsia="Times New Roman" w:hint="default"/>
          <w:spacing w:val="-2"/>
        </w:rPr>
        <w:t> </w:t>
      </w:r>
      <w:r>
        <w:rPr/>
        <w:t>年；就 </w:t>
      </w:r>
      <w:r>
        <w:rPr>
          <w:spacing w:val="-6"/>
        </w:rPr>
        <w:t>该项借款合同签署了深圳中电长城大厦项目《质押合同》，抵押物为</w:t>
      </w:r>
      <w:r>
        <w:rPr>
          <w:spacing w:val="-51"/>
        </w:rPr>
        <w:t> </w:t>
      </w:r>
      <w:r>
        <w:rPr>
          <w:rFonts w:ascii="Times New Roman" w:hAnsi="Times New Roman" w:cs="Times New Roman" w:eastAsia="Times New Roman" w:hint="default"/>
        </w:rPr>
        <w:t>3</w:t>
      </w:r>
      <w:r>
        <w:rPr>
          <w:rFonts w:ascii="Times New Roman" w:hAnsi="Times New Roman" w:cs="Times New Roman" w:eastAsia="Times New Roman" w:hint="default"/>
          <w:spacing w:val="2"/>
        </w:rPr>
        <w:t> </w:t>
      </w:r>
      <w:r>
        <w:rPr>
          <w:spacing w:val="-1"/>
        </w:rPr>
        <w:t>号食堂整栋和</w:t>
      </w:r>
      <w:r>
        <w:rPr>
          <w:spacing w:val="-100"/>
        </w:rPr>
        <w:t> </w:t>
      </w:r>
      <w:r>
        <w:rPr>
          <w:spacing w:val="-100"/>
        </w:rPr>
      </w:r>
      <w:r>
        <w:rPr/>
        <w:t>宗地号</w:t>
      </w:r>
      <w:r>
        <w:rPr>
          <w:spacing w:val="-54"/>
        </w:rPr>
        <w:t> </w:t>
      </w:r>
      <w:r>
        <w:rPr>
          <w:rFonts w:ascii="Times New Roman" w:hAnsi="Times New Roman" w:cs="Times New Roman" w:eastAsia="Times New Roman" w:hint="default"/>
        </w:rPr>
        <w:t>T305-0001</w:t>
      </w:r>
      <w:r>
        <w:rPr>
          <w:rFonts w:ascii="Times New Roman" w:hAnsi="Times New Roman" w:cs="Times New Roman" w:eastAsia="Times New Roman" w:hint="default"/>
          <w:spacing w:val="-1"/>
        </w:rPr>
        <w:t> </w:t>
      </w:r>
      <w:r>
        <w:rPr/>
        <w:t>的土地使用权；</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26</w:t>
      </w:r>
      <w:r>
        <w:rPr>
          <w:rFonts w:ascii="Times New Roman" w:hAnsi="Times New Roman" w:cs="Times New Roman" w:eastAsia="Times New Roman" w:hint="default"/>
          <w:spacing w:val="-2"/>
        </w:rPr>
        <w:t> </w:t>
      </w:r>
      <w:r>
        <w:rPr/>
        <w:t>日，公司第七届董事会第二次会 </w:t>
      </w:r>
      <w:r>
        <w:rPr>
          <w:spacing w:val="-2"/>
        </w:rPr>
        <w:t>议决议通过同意更换中电长城大厦基建项目银团贷款抵押物，并签订补充贷款协议，</w:t>
      </w:r>
      <w:r>
        <w:rPr>
          <w:spacing w:val="-97"/>
        </w:rPr>
        <w:t> </w:t>
      </w:r>
      <w:r>
        <w:rPr>
          <w:spacing w:val="-97"/>
        </w:rPr>
      </w:r>
      <w:r>
        <w:rPr/>
        <w:t>更换抵押的资产为位于深圳市宝安区石岩街道长城计算机厂区</w:t>
      </w:r>
      <w:r>
        <w:rPr>
          <w:spacing w:val="-54"/>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号厂房的房屋和土</w:t>
      </w:r>
    </w:p>
    <w:p>
      <w:pPr>
        <w:pStyle w:val="BodyText"/>
        <w:spacing w:line="240" w:lineRule="auto" w:before="14"/>
        <w:ind w:left="851" w:right="1793"/>
        <w:jc w:val="left"/>
      </w:pPr>
      <w:r>
        <w:rPr/>
        <w:t>地使用权。建行深圳分行期末实际借款余额</w:t>
      </w:r>
      <w:r>
        <w:rPr>
          <w:spacing w:val="-56"/>
        </w:rPr>
        <w:t> </w:t>
      </w:r>
      <w:r>
        <w:rPr>
          <w:rFonts w:ascii="Times New Roman" w:hAnsi="Times New Roman" w:cs="Times New Roman" w:eastAsia="Times New Roman" w:hint="default"/>
        </w:rPr>
        <w:t>595,584,695.47</w:t>
      </w:r>
      <w:r>
        <w:rPr>
          <w:rFonts w:ascii="Times New Roman" w:hAnsi="Times New Roman" w:cs="Times New Roman" w:eastAsia="Times New Roman" w:hint="default"/>
          <w:spacing w:val="-4"/>
        </w:rPr>
        <w:t> </w:t>
      </w:r>
      <w:r>
        <w:rPr/>
        <w:t>元，其中本期新增抵押</w:t>
      </w:r>
    </w:p>
    <w:p>
      <w:pPr>
        <w:pStyle w:val="BodyText"/>
        <w:spacing w:line="240" w:lineRule="auto"/>
        <w:ind w:left="851" w:right="1793"/>
        <w:jc w:val="left"/>
      </w:pPr>
      <w:r>
        <w:rPr/>
        <w:t>借款</w:t>
      </w:r>
      <w:r>
        <w:rPr>
          <w:spacing w:val="-4"/>
        </w:rPr>
        <w:t> </w:t>
      </w:r>
      <w:r>
        <w:rPr>
          <w:rFonts w:ascii="Times New Roman" w:hAnsi="Times New Roman" w:cs="Times New Roman" w:eastAsia="Times New Roman" w:hint="default"/>
        </w:rPr>
        <w:t>388,342,324.81</w:t>
      </w:r>
      <w:r>
        <w:rPr>
          <w:rFonts w:ascii="Times New Roman" w:hAnsi="Times New Roman" w:cs="Times New Roman" w:eastAsia="Times New Roman" w:hint="default"/>
          <w:spacing w:val="-2"/>
        </w:rPr>
        <w:t> </w:t>
      </w:r>
      <w:r>
        <w:rPr/>
        <w:t>元，平安银行期末实际借款余额为</w:t>
      </w:r>
      <w:r>
        <w:rPr>
          <w:spacing w:val="-55"/>
        </w:rPr>
        <w:t> </w:t>
      </w:r>
      <w:r>
        <w:rPr>
          <w:rFonts w:ascii="Times New Roman" w:hAnsi="Times New Roman" w:cs="Times New Roman" w:eastAsia="Times New Roman" w:hint="default"/>
        </w:rPr>
        <w:t>0.00</w:t>
      </w:r>
      <w:r>
        <w:rPr>
          <w:rFonts w:ascii="Times New Roman" w:hAnsi="Times New Roman" w:cs="Times New Roman" w:eastAsia="Times New Roman" w:hint="default"/>
          <w:spacing w:val="-3"/>
        </w:rPr>
        <w:t> </w:t>
      </w:r>
      <w:r>
        <w:rPr/>
        <w:t>元。</w:t>
      </w:r>
    </w:p>
    <w:p>
      <w:pPr>
        <w:pStyle w:val="BodyText"/>
        <w:spacing w:line="240" w:lineRule="auto"/>
        <w:ind w:left="851" w:right="1682"/>
        <w:jc w:val="left"/>
      </w:pPr>
      <w:r>
        <w:rPr>
          <w:rFonts w:ascii="Times New Roman" w:hAnsi="Times New Roman" w:cs="Times New Roman" w:eastAsia="Times New Roman" w:hint="default"/>
        </w:rPr>
        <w:t>2</w:t>
      </w:r>
      <w:r>
        <w:rPr/>
        <w:t>、保证借款</w:t>
      </w:r>
      <w:r>
        <w:rPr>
          <w:spacing w:val="-65"/>
        </w:rPr>
        <w:t> </w:t>
      </w:r>
      <w:r>
        <w:rPr>
          <w:rFonts w:ascii="Times New Roman" w:hAnsi="Times New Roman" w:cs="Times New Roman" w:eastAsia="Times New Roman" w:hint="default"/>
        </w:rPr>
        <w:t>112,000,000.00</w:t>
      </w:r>
      <w:r>
        <w:rPr>
          <w:rFonts w:ascii="Times New Roman" w:hAnsi="Times New Roman" w:cs="Times New Roman" w:eastAsia="Times New Roman" w:hint="default"/>
          <w:spacing w:val="-11"/>
        </w:rPr>
        <w:t> </w:t>
      </w:r>
      <w:r>
        <w:rPr/>
        <w:t>元为本公司向国家开发银行股份有限公司湖南省分行取</w:t>
      </w:r>
    </w:p>
    <w:p>
      <w:pPr>
        <w:spacing w:after="0" w:line="240" w:lineRule="auto"/>
        <w:jc w:val="left"/>
        <w:sectPr>
          <w:pgSz w:w="11910" w:h="16840"/>
          <w:pgMar w:header="0" w:footer="1001" w:top="1520" w:bottom="1200" w:left="1660" w:right="0"/>
        </w:sectPr>
      </w:pPr>
    </w:p>
    <w:p>
      <w:pPr>
        <w:spacing w:line="240" w:lineRule="auto" w:before="8"/>
        <w:rPr>
          <w:rFonts w:ascii="宋体" w:hAnsi="宋体" w:cs="宋体" w:eastAsia="宋体" w:hint="default"/>
          <w:sz w:val="13"/>
          <w:szCs w:val="13"/>
        </w:rPr>
      </w:pPr>
    </w:p>
    <w:p>
      <w:pPr>
        <w:pStyle w:val="BodyText"/>
        <w:spacing w:line="336" w:lineRule="auto" w:before="35"/>
        <w:ind w:left="851" w:right="1791"/>
        <w:jc w:val="both"/>
      </w:pPr>
      <w:r>
        <w:rPr/>
        <w:t>得保证借款，其中一年内到期的金额为</w:t>
      </w:r>
      <w:r>
        <w:rPr>
          <w:spacing w:val="-55"/>
        </w:rPr>
        <w:t> </w:t>
      </w:r>
      <w:r>
        <w:rPr>
          <w:rFonts w:ascii="Times New Roman" w:hAnsi="Times New Roman" w:cs="Times New Roman" w:eastAsia="Times New Roman" w:hint="default"/>
        </w:rPr>
        <w:t>4,000,000.00</w:t>
      </w:r>
      <w:r>
        <w:rPr>
          <w:rFonts w:ascii="Times New Roman" w:hAnsi="Times New Roman" w:cs="Times New Roman" w:eastAsia="Times New Roman" w:hint="default"/>
          <w:spacing w:val="-2"/>
        </w:rPr>
        <w:t> </w:t>
      </w:r>
      <w:r>
        <w:rPr/>
        <w:t>元，由中国电子财务有限责任 公司为公司提供全额信用担保，同时公司与中国电子财务有限责任公司签署《反担 </w:t>
      </w:r>
      <w:r>
        <w:rPr>
          <w:spacing w:val="-8"/>
        </w:rPr>
        <w:t>保（存单质押）协议书》；</w:t>
      </w:r>
      <w:r>
        <w:rPr>
          <w:rFonts w:ascii="Times New Roman" w:hAnsi="Times New Roman" w:cs="Times New Roman" w:eastAsia="Times New Roman" w:hint="default"/>
          <w:spacing w:val="-8"/>
        </w:rPr>
        <w:t>40,000,000.00</w:t>
      </w:r>
      <w:r>
        <w:rPr>
          <w:rFonts w:ascii="Times New Roman" w:hAnsi="Times New Roman" w:cs="Times New Roman" w:eastAsia="Times New Roman" w:hint="default"/>
          <w:spacing w:val="30"/>
        </w:rPr>
        <w:t> </w:t>
      </w:r>
      <w:r>
        <w:rPr>
          <w:spacing w:val="-1"/>
        </w:rPr>
        <w:t>元为本公司之子公司长沙中电软件园有限公</w:t>
      </w:r>
      <w:r>
        <w:rPr>
          <w:spacing w:val="-96"/>
        </w:rPr>
        <w:t> </w:t>
      </w:r>
      <w:r>
        <w:rPr>
          <w:spacing w:val="-96"/>
        </w:rPr>
      </w:r>
      <w:r>
        <w:rPr/>
        <w:t>司向中国建设银行长沙芙蓉支行借款</w:t>
      </w:r>
      <w:r>
        <w:rPr>
          <w:spacing w:val="-57"/>
        </w:rPr>
        <w:t> </w:t>
      </w:r>
      <w:r>
        <w:rPr>
          <w:rFonts w:ascii="Times New Roman" w:hAnsi="Times New Roman" w:cs="Times New Roman" w:eastAsia="Times New Roman" w:hint="default"/>
        </w:rPr>
        <w:t>40,000,000.00</w:t>
      </w:r>
      <w:r>
        <w:rPr>
          <w:rFonts w:ascii="Times New Roman" w:hAnsi="Times New Roman" w:cs="Times New Roman" w:eastAsia="Times New Roman" w:hint="default"/>
          <w:spacing w:val="-4"/>
        </w:rPr>
        <w:t> </w:t>
      </w:r>
      <w:r>
        <w:rPr/>
        <w:t>元，由本公司提供保证。</w:t>
      </w:r>
    </w:p>
    <w:p>
      <w:pPr>
        <w:spacing w:line="240" w:lineRule="auto" w:before="2"/>
        <w:rPr>
          <w:rFonts w:ascii="宋体" w:hAnsi="宋体" w:cs="宋体" w:eastAsia="宋体" w:hint="default"/>
          <w:sz w:val="29"/>
          <w:szCs w:val="29"/>
        </w:rPr>
      </w:pPr>
    </w:p>
    <w:tbl>
      <w:tblPr>
        <w:tblW w:w="0" w:type="auto"/>
        <w:jc w:val="left"/>
        <w:tblInd w:w="102" w:type="dxa"/>
        <w:tblLayout w:type="fixed"/>
        <w:tblCellMar>
          <w:top w:w="0" w:type="dxa"/>
          <w:left w:w="0" w:type="dxa"/>
          <w:bottom w:w="0" w:type="dxa"/>
          <w:right w:w="0" w:type="dxa"/>
        </w:tblCellMar>
        <w:tblLook w:val="01E0"/>
      </w:tblPr>
      <w:tblGrid>
        <w:gridCol w:w="2140"/>
        <w:gridCol w:w="1760"/>
        <w:gridCol w:w="3015"/>
        <w:gridCol w:w="1919"/>
      </w:tblGrid>
      <w:tr>
        <w:trPr>
          <w:trHeight w:val="357" w:hRule="exact"/>
        </w:trPr>
        <w:tc>
          <w:tcPr>
            <w:tcW w:w="2140"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二十九</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1"/>
                <w:sz w:val="21"/>
                <w:szCs w:val="21"/>
              </w:rPr>
              <w:t> </w:t>
            </w:r>
            <w:r>
              <w:rPr>
                <w:rFonts w:ascii="宋体" w:hAnsi="宋体" w:cs="宋体" w:eastAsia="宋体" w:hint="default"/>
                <w:b/>
                <w:bCs/>
                <w:sz w:val="21"/>
                <w:szCs w:val="21"/>
              </w:rPr>
              <w:t>长期应付款</w:t>
            </w:r>
            <w:r>
              <w:rPr>
                <w:rFonts w:ascii="宋体" w:hAnsi="宋体" w:cs="宋体" w:eastAsia="宋体" w:hint="default"/>
                <w:sz w:val="21"/>
                <w:szCs w:val="21"/>
              </w:rPr>
            </w:r>
          </w:p>
        </w:tc>
        <w:tc>
          <w:tcPr>
            <w:tcW w:w="6694" w:type="dxa"/>
            <w:gridSpan w:val="3"/>
            <w:tcBorders>
              <w:top w:val="nil" w:sz="6" w:space="0" w:color="auto"/>
              <w:left w:val="nil" w:sz="6" w:space="0" w:color="auto"/>
              <w:bottom w:val="single" w:sz="12" w:space="0" w:color="000000"/>
              <w:right w:val="nil" w:sz="6" w:space="0" w:color="auto"/>
            </w:tcBorders>
          </w:tcPr>
          <w:p>
            <w:pPr/>
          </w:p>
        </w:tc>
      </w:tr>
      <w:tr>
        <w:trPr>
          <w:trHeight w:val="363" w:hRule="exact"/>
        </w:trPr>
        <w:tc>
          <w:tcPr>
            <w:tcW w:w="2140" w:type="dxa"/>
            <w:tcBorders>
              <w:top w:val="single" w:sz="12" w:space="0" w:color="000000"/>
              <w:left w:val="nil" w:sz="6" w:space="0" w:color="auto"/>
              <w:bottom w:val="nil" w:sz="6" w:space="0" w:color="auto"/>
              <w:right w:val="nil" w:sz="6" w:space="0" w:color="auto"/>
            </w:tcBorders>
          </w:tcPr>
          <w:p>
            <w:pPr/>
          </w:p>
        </w:tc>
        <w:tc>
          <w:tcPr>
            <w:tcW w:w="1760"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left="202" w:right="0"/>
              <w:jc w:val="left"/>
              <w:rPr>
                <w:rFonts w:ascii="宋体" w:hAnsi="宋体" w:cs="宋体" w:eastAsia="宋体" w:hint="default"/>
                <w:sz w:val="16"/>
                <w:szCs w:val="16"/>
              </w:rPr>
            </w:pPr>
            <w:r>
              <w:rPr>
                <w:rFonts w:ascii="宋体" w:hAnsi="宋体" w:cs="宋体" w:eastAsia="宋体" w:hint="default"/>
                <w:sz w:val="16"/>
                <w:szCs w:val="16"/>
              </w:rPr>
              <w:t>项目</w:t>
            </w:r>
          </w:p>
        </w:tc>
        <w:tc>
          <w:tcPr>
            <w:tcW w:w="3015"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left="99" w:right="0"/>
              <w:jc w:val="center"/>
              <w:rPr>
                <w:rFonts w:ascii="宋体" w:hAnsi="宋体" w:cs="宋体" w:eastAsia="宋体" w:hint="default"/>
                <w:sz w:val="16"/>
                <w:szCs w:val="16"/>
              </w:rPr>
            </w:pPr>
            <w:r>
              <w:rPr>
                <w:rFonts w:ascii="宋体" w:hAnsi="宋体" w:cs="宋体" w:eastAsia="宋体" w:hint="default"/>
                <w:sz w:val="16"/>
                <w:szCs w:val="16"/>
              </w:rPr>
              <w:t>期末余额</w:t>
            </w:r>
          </w:p>
        </w:tc>
        <w:tc>
          <w:tcPr>
            <w:tcW w:w="1919"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left="462" w:right="0"/>
              <w:jc w:val="left"/>
              <w:rPr>
                <w:rFonts w:ascii="宋体" w:hAnsi="宋体" w:cs="宋体" w:eastAsia="宋体" w:hint="default"/>
                <w:sz w:val="16"/>
                <w:szCs w:val="16"/>
              </w:rPr>
            </w:pPr>
            <w:r>
              <w:rPr>
                <w:rFonts w:ascii="宋体" w:hAnsi="宋体" w:cs="宋体" w:eastAsia="宋体" w:hint="default"/>
                <w:sz w:val="16"/>
                <w:szCs w:val="16"/>
              </w:rPr>
              <w:t>年初余额</w:t>
            </w:r>
          </w:p>
        </w:tc>
      </w:tr>
      <w:tr>
        <w:trPr>
          <w:trHeight w:val="361" w:hRule="exact"/>
        </w:trPr>
        <w:tc>
          <w:tcPr>
            <w:tcW w:w="2140" w:type="dxa"/>
            <w:tcBorders>
              <w:top w:val="nil" w:sz="6" w:space="0" w:color="auto"/>
              <w:left w:val="nil" w:sz="6" w:space="0" w:color="auto"/>
              <w:bottom w:val="nil" w:sz="6" w:space="0" w:color="auto"/>
              <w:right w:val="nil" w:sz="6" w:space="0" w:color="auto"/>
            </w:tcBorders>
          </w:tcPr>
          <w:p>
            <w:pPr>
              <w:pStyle w:val="TableParagraph"/>
              <w:spacing w:line="240" w:lineRule="auto" w:before="47"/>
              <w:ind w:left="755" w:right="0"/>
              <w:jc w:val="left"/>
              <w:rPr>
                <w:rFonts w:ascii="宋体" w:hAnsi="宋体" w:cs="宋体" w:eastAsia="宋体" w:hint="default"/>
                <w:sz w:val="16"/>
                <w:szCs w:val="16"/>
              </w:rPr>
            </w:pPr>
            <w:r>
              <w:rPr>
                <w:rFonts w:ascii="宋体" w:hAnsi="宋体" w:cs="宋体" w:eastAsia="宋体" w:hint="default"/>
                <w:sz w:val="16"/>
                <w:szCs w:val="16"/>
              </w:rPr>
              <w:t>长期应付款</w:t>
            </w:r>
          </w:p>
        </w:tc>
        <w:tc>
          <w:tcPr>
            <w:tcW w:w="1760" w:type="dxa"/>
            <w:tcBorders>
              <w:top w:val="nil" w:sz="6" w:space="0" w:color="auto"/>
              <w:left w:val="nil" w:sz="6" w:space="0" w:color="auto"/>
              <w:bottom w:val="nil" w:sz="6" w:space="0" w:color="auto"/>
              <w:right w:val="nil" w:sz="6" w:space="0" w:color="auto"/>
            </w:tcBorders>
          </w:tcPr>
          <w:p>
            <w:pPr/>
          </w:p>
        </w:tc>
        <w:tc>
          <w:tcPr>
            <w:tcW w:w="3015"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460"/>
              <w:jc w:val="right"/>
              <w:rPr>
                <w:rFonts w:ascii="Times New Roman" w:hAnsi="Times New Roman" w:cs="Times New Roman" w:eastAsia="Times New Roman" w:hint="default"/>
                <w:sz w:val="16"/>
                <w:szCs w:val="16"/>
              </w:rPr>
            </w:pPr>
            <w:r>
              <w:rPr>
                <w:rFonts w:ascii="Times New Roman"/>
                <w:spacing w:val="-1"/>
                <w:sz w:val="16"/>
              </w:rPr>
              <w:t>100,000,000.00</w:t>
            </w:r>
          </w:p>
        </w:tc>
        <w:tc>
          <w:tcPr>
            <w:tcW w:w="1919"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105"/>
              <w:jc w:val="right"/>
              <w:rPr>
                <w:rFonts w:ascii="Times New Roman" w:hAnsi="Times New Roman" w:cs="Times New Roman" w:eastAsia="Times New Roman" w:hint="default"/>
                <w:sz w:val="16"/>
                <w:szCs w:val="16"/>
              </w:rPr>
            </w:pPr>
            <w:r>
              <w:rPr>
                <w:rFonts w:ascii="Times New Roman"/>
                <w:spacing w:val="-1"/>
                <w:sz w:val="16"/>
              </w:rPr>
              <w:t>100,000,000.00</w:t>
            </w:r>
          </w:p>
        </w:tc>
      </w:tr>
      <w:tr>
        <w:trPr>
          <w:trHeight w:val="353" w:hRule="exact"/>
        </w:trPr>
        <w:tc>
          <w:tcPr>
            <w:tcW w:w="214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55" w:right="0"/>
              <w:jc w:val="left"/>
              <w:rPr>
                <w:rFonts w:ascii="宋体" w:hAnsi="宋体" w:cs="宋体" w:eastAsia="宋体" w:hint="default"/>
                <w:sz w:val="16"/>
                <w:szCs w:val="16"/>
              </w:rPr>
            </w:pPr>
            <w:r>
              <w:rPr>
                <w:rFonts w:ascii="宋体" w:hAnsi="宋体" w:cs="宋体" w:eastAsia="宋体" w:hint="default"/>
                <w:sz w:val="16"/>
                <w:szCs w:val="16"/>
              </w:rPr>
              <w:t>专项应付款</w:t>
            </w:r>
          </w:p>
        </w:tc>
        <w:tc>
          <w:tcPr>
            <w:tcW w:w="1760" w:type="dxa"/>
            <w:tcBorders>
              <w:top w:val="nil" w:sz="6" w:space="0" w:color="auto"/>
              <w:left w:val="nil" w:sz="6" w:space="0" w:color="auto"/>
              <w:bottom w:val="nil" w:sz="6" w:space="0" w:color="auto"/>
              <w:right w:val="nil" w:sz="6" w:space="0" w:color="auto"/>
            </w:tcBorders>
          </w:tcPr>
          <w:p>
            <w:pPr/>
          </w:p>
        </w:tc>
        <w:tc>
          <w:tcPr>
            <w:tcW w:w="301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60"/>
              <w:jc w:val="right"/>
              <w:rPr>
                <w:rFonts w:ascii="Times New Roman" w:hAnsi="Times New Roman" w:cs="Times New Roman" w:eastAsia="Times New Roman" w:hint="default"/>
                <w:sz w:val="16"/>
                <w:szCs w:val="16"/>
              </w:rPr>
            </w:pPr>
            <w:r>
              <w:rPr>
                <w:rFonts w:ascii="Times New Roman"/>
                <w:spacing w:val="-1"/>
                <w:sz w:val="16"/>
              </w:rPr>
              <w:t>435,381,362.88</w:t>
            </w:r>
          </w:p>
        </w:tc>
        <w:tc>
          <w:tcPr>
            <w:tcW w:w="191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5"/>
              <w:jc w:val="right"/>
              <w:rPr>
                <w:rFonts w:ascii="Times New Roman" w:hAnsi="Times New Roman" w:cs="Times New Roman" w:eastAsia="Times New Roman" w:hint="default"/>
                <w:sz w:val="16"/>
                <w:szCs w:val="16"/>
              </w:rPr>
            </w:pPr>
            <w:r>
              <w:rPr>
                <w:rFonts w:ascii="Times New Roman"/>
                <w:spacing w:val="-1"/>
                <w:sz w:val="16"/>
              </w:rPr>
              <w:t>432,301,362.88</w:t>
            </w:r>
          </w:p>
        </w:tc>
      </w:tr>
      <w:tr>
        <w:trPr>
          <w:trHeight w:val="357" w:hRule="exact"/>
        </w:trPr>
        <w:tc>
          <w:tcPr>
            <w:tcW w:w="2140" w:type="dxa"/>
            <w:tcBorders>
              <w:top w:val="nil" w:sz="6" w:space="0" w:color="auto"/>
              <w:left w:val="nil" w:sz="6" w:space="0" w:color="auto"/>
              <w:bottom w:val="single" w:sz="12" w:space="0" w:color="000000"/>
              <w:right w:val="nil" w:sz="6" w:space="0" w:color="auto"/>
            </w:tcBorders>
          </w:tcPr>
          <w:p>
            <w:pPr/>
          </w:p>
        </w:tc>
        <w:tc>
          <w:tcPr>
            <w:tcW w:w="1760"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left="202"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3015"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right="460"/>
              <w:jc w:val="right"/>
              <w:rPr>
                <w:rFonts w:ascii="Times New Roman" w:hAnsi="Times New Roman" w:cs="Times New Roman" w:eastAsia="Times New Roman" w:hint="default"/>
                <w:sz w:val="16"/>
                <w:szCs w:val="16"/>
              </w:rPr>
            </w:pPr>
            <w:r>
              <w:rPr>
                <w:rFonts w:ascii="Times New Roman"/>
                <w:spacing w:val="-1"/>
                <w:sz w:val="16"/>
              </w:rPr>
              <w:t>535,381,362.88</w:t>
            </w:r>
          </w:p>
        </w:tc>
        <w:tc>
          <w:tcPr>
            <w:tcW w:w="1919"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6"/>
                <w:szCs w:val="16"/>
              </w:rPr>
            </w:pPr>
            <w:r>
              <w:rPr>
                <w:rFonts w:ascii="Times New Roman"/>
                <w:spacing w:val="-1"/>
                <w:sz w:val="16"/>
              </w:rPr>
              <w:t>532,301,362.88</w:t>
            </w:r>
          </w:p>
        </w:tc>
      </w:tr>
    </w:tbl>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pStyle w:val="Heading5"/>
        <w:tabs>
          <w:tab w:pos="1397" w:val="left" w:leader="none"/>
        </w:tabs>
        <w:spacing w:line="240" w:lineRule="auto"/>
        <w:ind w:left="846" w:right="3681"/>
        <w:jc w:val="left"/>
        <w:rPr>
          <w:b w:val="0"/>
          <w:bCs w:val="0"/>
        </w:rPr>
      </w:pPr>
      <w:r>
        <w:rPr/>
        <w:pict>
          <v:group style="position:absolute;margin-left:119.839996pt;margin-top:-94.646217pt;width:411pt;height:70.2pt;mso-position-horizontal-relative:page;mso-position-vertical-relative:paragraph;z-index:-1381984" coordorigin="2397,-1893" coordsize="8220,1404">
            <v:shape style="position:absolute;left:6116;top:-1893;width:10;height:28" type="#_x0000_t75" stroked="false">
              <v:imagedata r:id="rId37" o:title=""/>
            </v:shape>
            <v:shape style="position:absolute;left:8318;top:-1893;width:10;height:28" type="#_x0000_t75" stroked="false">
              <v:imagedata r:id="rId37" o:title=""/>
            </v:shape>
            <v:shape style="position:absolute;left:6097;top:-1885;width:2250;height:355" type="#_x0000_t75" stroked="false">
              <v:imagedata r:id="rId270" o:title=""/>
            </v:shape>
            <v:shape style="position:absolute;left:2397;top:-1561;width:8219;height:1072" type="#_x0000_t75" stroked="false">
              <v:imagedata r:id="rId271" o:title=""/>
            </v:shape>
            <w10:wrap type="none"/>
          </v:group>
        </w:pict>
      </w:r>
      <w:r>
        <w:rPr/>
        <w:pict>
          <v:group style="position:absolute;margin-left:119.839996pt;margin-top:114.093742pt;width:410.9pt;height:105.55pt;mso-position-horizontal-relative:page;mso-position-vertical-relative:paragraph;z-index:-1381960" coordorigin="2397,2282" coordsize="8218,2111">
            <v:shape style="position:absolute;left:4120;top:2282;width:10;height:28" type="#_x0000_t75" stroked="false">
              <v:imagedata r:id="rId112" o:title=""/>
            </v:shape>
            <v:shape style="position:absolute;left:5492;top:2282;width:10;height:28" type="#_x0000_t75" stroked="false">
              <v:imagedata r:id="rId112" o:title=""/>
            </v:shape>
            <v:shape style="position:absolute;left:6775;top:2282;width:10;height:28" type="#_x0000_t75" stroked="false">
              <v:imagedata r:id="rId112" o:title=""/>
            </v:shape>
            <v:shape style="position:absolute;left:8057;top:2282;width:10;height:28" type="#_x0000_t75" stroked="false">
              <v:imagedata r:id="rId112" o:title=""/>
            </v:shape>
            <v:shape style="position:absolute;left:9431;top:2282;width:10;height:28" type="#_x0000_t75" stroked="false">
              <v:imagedata r:id="rId112" o:title=""/>
            </v:shape>
            <v:shape style="position:absolute;left:4100;top:2290;width:5359;height:354" type="#_x0000_t75" stroked="false">
              <v:imagedata r:id="rId272" o:title=""/>
            </v:shape>
            <v:shape style="position:absolute;left:2397;top:2612;width:8218;height:1780" type="#_x0000_t75" stroked="false">
              <v:imagedata r:id="rId273" o:title=""/>
            </v:shape>
            <w10:wrap type="none"/>
          </v:group>
        </w:pict>
      </w:r>
      <w:r>
        <w:rPr>
          <w:rFonts w:ascii="Times New Roman" w:hAnsi="Times New Roman" w:cs="Times New Roman" w:eastAsia="Times New Roman" w:hint="default"/>
          <w:w w:val="95"/>
        </w:rPr>
        <w:t>1</w:t>
      </w:r>
      <w:r>
        <w:rPr>
          <w:w w:val="95"/>
        </w:rPr>
        <w:t>、</w:t>
        <w:tab/>
      </w:r>
      <w:r>
        <w:rPr/>
        <w:t>长期应付款</w:t>
      </w:r>
      <w:r>
        <w:rPr>
          <w:b w:val="0"/>
          <w:bCs w:val="0"/>
        </w:rPr>
      </w:r>
    </w:p>
    <w:p>
      <w:pPr>
        <w:spacing w:line="1111" w:lineRule="exact"/>
        <w:ind w:left="720" w:right="0" w:firstLine="0"/>
        <w:rPr>
          <w:rFonts w:ascii="宋体" w:hAnsi="宋体" w:cs="宋体" w:eastAsia="宋体" w:hint="default"/>
          <w:sz w:val="20"/>
          <w:szCs w:val="20"/>
        </w:rPr>
      </w:pPr>
      <w:r>
        <w:rPr>
          <w:rFonts w:ascii="宋体" w:hAnsi="宋体" w:cs="宋体" w:eastAsia="宋体" w:hint="default"/>
          <w:position w:val="-21"/>
          <w:sz w:val="20"/>
          <w:szCs w:val="20"/>
        </w:rPr>
        <w:pict>
          <v:group style="width:411.75pt;height:55.6pt;mso-position-horizontal-relative:char;mso-position-vertical-relative:line" coordorigin="0,0" coordsize="8235,1112">
            <v:group style="position:absolute;left:29;top:15;width:3372;height:2" coordorigin="29,15" coordsize="3372,2">
              <v:shape style="position:absolute;left:29;top:15;width:3372;height:2" coordorigin="29,15" coordsize="3372,0" path="m29,15l3401,15e" filled="false" stroked="true" strokeweight="1.5pt" strokecolor="#000000">
                <v:path arrowok="t"/>
              </v:shape>
              <v:shape style="position:absolute;left:3401;top:30;width:10;height:28" type="#_x0000_t75" stroked="false">
                <v:imagedata r:id="rId102" o:title=""/>
              </v:shape>
            </v:group>
            <v:group style="position:absolute;left:3401;top:15;width:2405;height:2" coordorigin="3401,15" coordsize="2405,2">
              <v:shape style="position:absolute;left:3401;top:15;width:2405;height:2" coordorigin="3401,15" coordsize="2405,0" path="m3401,15l5806,15e" filled="false" stroked="true" strokeweight="1.5pt" strokecolor="#000000">
                <v:path arrowok="t"/>
              </v:shape>
              <v:shape style="position:absolute;left:5806;top:30;width:10;height:28" type="#_x0000_t75" stroked="false">
                <v:imagedata r:id="rId102" o:title=""/>
              </v:shape>
            </v:group>
            <v:group style="position:absolute;left:5806;top:15;width:30;height:2" coordorigin="5806,15" coordsize="30,2">
              <v:shape style="position:absolute;left:5806;top:15;width:30;height:2" coordorigin="5806,15" coordsize="30,0" path="m5806,15l5836,15e" filled="false" stroked="true" strokeweight="1.5pt" strokecolor="#000000">
                <v:path arrowok="t"/>
              </v:shape>
            </v:group>
            <v:group style="position:absolute;left:5836;top:15;width:2381;height:2" coordorigin="5836,15" coordsize="2381,2">
              <v:shape style="position:absolute;left:5836;top:15;width:2381;height:2" coordorigin="5836,15" coordsize="2381,0" path="m5836,15l8217,15e" filled="false" stroked="true" strokeweight="1.5pt" strokecolor="#000000">
                <v:path arrowok="t"/>
              </v:shape>
              <v:shape style="position:absolute;left:3382;top:38;width:2453;height:354" type="#_x0000_t75" stroked="false">
                <v:imagedata r:id="rId274" o:title=""/>
              </v:shape>
            </v:group>
            <v:group style="position:absolute;left:15;top:1096;width:3387;height:2" coordorigin="15,1096" coordsize="3387,2">
              <v:shape style="position:absolute;left:15;top:1096;width:3387;height:2" coordorigin="15,1096" coordsize="3387,0" path="m15,1096l3401,1096e" filled="false" stroked="true" strokeweight="1.5pt" strokecolor="#000000">
                <v:path arrowok="t"/>
              </v:shape>
            </v:group>
            <v:group style="position:absolute;left:3401;top:1096;width:2405;height:2" coordorigin="3401,1096" coordsize="2405,2">
              <v:shape style="position:absolute;left:3401;top:1096;width:2405;height:2" coordorigin="3401,1096" coordsize="2405,0" path="m3401,1096l5806,1096e" filled="false" stroked="true" strokeweight="1.5pt" strokecolor="#000000">
                <v:path arrowok="t"/>
              </v:shape>
              <v:shape style="position:absolute;left:10;top:360;width:8225;height:721" type="#_x0000_t75" stroked="false">
                <v:imagedata r:id="rId275" o:title=""/>
              </v:shape>
            </v:group>
            <v:group style="position:absolute;left:5806;top:1096;width:30;height:2" coordorigin="5806,1096" coordsize="30,2">
              <v:shape style="position:absolute;left:5806;top:1096;width:30;height:2" coordorigin="5806,1096" coordsize="30,0" path="m5806,1096l5836,1096e" filled="false" stroked="true" strokeweight="1.5pt" strokecolor="#000000">
                <v:path arrowok="t"/>
              </v:shape>
            </v:group>
            <v:group style="position:absolute;left:5836;top:1096;width:2381;height:2" coordorigin="5836,1096" coordsize="2381,2">
              <v:shape style="position:absolute;left:5836;top:1096;width:2381;height:2" coordorigin="5836,1096" coordsize="2381,0" path="m5836,1096l8217,1096e" filled="false" stroked="true" strokeweight="1.5pt" strokecolor="#000000">
                <v:path arrowok="t"/>
              </v:shape>
              <v:shape style="position:absolute;left:1557;top:121;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项目</w:t>
                      </w:r>
                      <w:r>
                        <w:rPr>
                          <w:rFonts w:ascii="宋体" w:hAnsi="宋体" w:cs="宋体" w:eastAsia="宋体" w:hint="default"/>
                          <w:sz w:val="16"/>
                          <w:szCs w:val="16"/>
                        </w:rPr>
                      </w:r>
                    </w:p>
                  </w:txbxContent>
                </v:textbox>
                <w10:wrap type="none"/>
              </v:shape>
              <v:shape style="position:absolute;left:4288;top:121;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6694;top:121;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年初余额</w:t>
                      </w:r>
                      <w:r>
                        <w:rPr>
                          <w:rFonts w:ascii="宋体" w:hAnsi="宋体" w:cs="宋体" w:eastAsia="宋体" w:hint="default"/>
                          <w:sz w:val="16"/>
                          <w:szCs w:val="16"/>
                        </w:rPr>
                      </w:r>
                    </w:p>
                  </w:txbxContent>
                </v:textbox>
                <w10:wrap type="none"/>
              </v:shape>
              <v:shape style="position:absolute;left:137;top:475;width:191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中国电子专项建设基金借款</w:t>
                      </w:r>
                      <w:r>
                        <w:rPr>
                          <w:rFonts w:ascii="宋体" w:hAnsi="宋体" w:cs="宋体" w:eastAsia="宋体" w:hint="default"/>
                          <w:sz w:val="16"/>
                          <w:szCs w:val="16"/>
                        </w:rPr>
                      </w:r>
                    </w:p>
                  </w:txbxContent>
                </v:textbox>
                <w10:wrap type="none"/>
              </v:shape>
              <v:shape style="position:absolute;left:4703;top:488;width:100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100,000,000.00</w:t>
                      </w:r>
                      <w:r>
                        <w:rPr>
                          <w:rFonts w:ascii="Times New Roman"/>
                          <w:sz w:val="16"/>
                        </w:rPr>
                      </w:r>
                    </w:p>
                  </w:txbxContent>
                </v:textbox>
                <w10:wrap type="none"/>
              </v:shape>
              <v:shape style="position:absolute;left:7109;top:488;width:100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100,000,000.00</w:t>
                      </w:r>
                      <w:r>
                        <w:rPr>
                          <w:rFonts w:ascii="Times New Roman"/>
                          <w:sz w:val="16"/>
                        </w:rPr>
                      </w:r>
                    </w:p>
                  </w:txbxContent>
                </v:textbox>
                <w10:wrap type="none"/>
              </v:shape>
              <v:shape style="position:absolute;left:1557;top:829;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合计</w:t>
                      </w:r>
                      <w:r>
                        <w:rPr>
                          <w:rFonts w:ascii="宋体" w:hAnsi="宋体" w:cs="宋体" w:eastAsia="宋体" w:hint="default"/>
                          <w:sz w:val="16"/>
                          <w:szCs w:val="16"/>
                        </w:rPr>
                      </w:r>
                    </w:p>
                  </w:txbxContent>
                </v:textbox>
                <w10:wrap type="none"/>
              </v:shape>
              <v:shape style="position:absolute;left:4703;top:842;width:100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100,000,000.00</w:t>
                      </w:r>
                      <w:r>
                        <w:rPr>
                          <w:rFonts w:ascii="Times New Roman"/>
                          <w:sz w:val="16"/>
                        </w:rPr>
                      </w:r>
                    </w:p>
                  </w:txbxContent>
                </v:textbox>
                <w10:wrap type="none"/>
              </v:shape>
              <v:shape style="position:absolute;left:7109;top:842;width:100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100,000,000.00</w:t>
                      </w:r>
                      <w:r>
                        <w:rPr>
                          <w:rFonts w:ascii="Times New Roman"/>
                          <w:sz w:val="16"/>
                        </w:rPr>
                      </w:r>
                    </w:p>
                  </w:txbxContent>
                </v:textbox>
                <w10:wrap type="none"/>
              </v:shape>
            </v:group>
          </v:group>
        </w:pict>
      </w:r>
      <w:r>
        <w:rPr>
          <w:rFonts w:ascii="宋体" w:hAnsi="宋体" w:cs="宋体" w:eastAsia="宋体" w:hint="default"/>
          <w:position w:val="-21"/>
          <w:sz w:val="20"/>
          <w:szCs w:val="2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6"/>
          <w:szCs w:val="16"/>
        </w:rPr>
      </w:pPr>
    </w:p>
    <w:tbl>
      <w:tblPr>
        <w:tblW w:w="0" w:type="auto"/>
        <w:jc w:val="left"/>
        <w:tblInd w:w="749" w:type="dxa"/>
        <w:tblLayout w:type="fixed"/>
        <w:tblCellMar>
          <w:top w:w="0" w:type="dxa"/>
          <w:left w:w="0" w:type="dxa"/>
          <w:bottom w:w="0" w:type="dxa"/>
          <w:right w:w="0" w:type="dxa"/>
        </w:tblCellMar>
        <w:tblLook w:val="01E0"/>
      </w:tblPr>
      <w:tblGrid>
        <w:gridCol w:w="1841"/>
        <w:gridCol w:w="1320"/>
        <w:gridCol w:w="1282"/>
        <w:gridCol w:w="1288"/>
        <w:gridCol w:w="1295"/>
        <w:gridCol w:w="1162"/>
      </w:tblGrid>
      <w:tr>
        <w:trPr>
          <w:trHeight w:val="357" w:hRule="exact"/>
        </w:trPr>
        <w:tc>
          <w:tcPr>
            <w:tcW w:w="1841" w:type="dxa"/>
            <w:tcBorders>
              <w:top w:val="nil" w:sz="6" w:space="0" w:color="auto"/>
              <w:left w:val="nil" w:sz="6" w:space="0" w:color="auto"/>
              <w:bottom w:val="single" w:sz="12" w:space="0" w:color="000000"/>
              <w:right w:val="nil" w:sz="6" w:space="0" w:color="auto"/>
            </w:tcBorders>
          </w:tcPr>
          <w:p>
            <w:pPr>
              <w:pStyle w:val="TableParagraph"/>
              <w:tabs>
                <w:tab w:pos="647" w:val="left" w:leader="none"/>
              </w:tabs>
              <w:spacing w:line="240" w:lineRule="auto" w:before="35"/>
              <w:ind w:left="97" w:right="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专项应付款</w:t>
            </w:r>
            <w:r>
              <w:rPr>
                <w:rFonts w:ascii="宋体" w:hAnsi="宋体" w:cs="宋体" w:eastAsia="宋体" w:hint="default"/>
                <w:sz w:val="21"/>
                <w:szCs w:val="21"/>
              </w:rPr>
            </w:r>
          </w:p>
        </w:tc>
        <w:tc>
          <w:tcPr>
            <w:tcW w:w="6347" w:type="dxa"/>
            <w:gridSpan w:val="5"/>
            <w:tcBorders>
              <w:top w:val="nil" w:sz="6" w:space="0" w:color="auto"/>
              <w:left w:val="nil" w:sz="6" w:space="0" w:color="auto"/>
              <w:bottom w:val="single" w:sz="12" w:space="0" w:color="000000"/>
              <w:right w:val="nil" w:sz="6" w:space="0" w:color="auto"/>
            </w:tcBorders>
          </w:tcPr>
          <w:p>
            <w:pPr/>
          </w:p>
        </w:tc>
      </w:tr>
      <w:tr>
        <w:trPr>
          <w:trHeight w:val="363" w:hRule="exact"/>
        </w:trPr>
        <w:tc>
          <w:tcPr>
            <w:tcW w:w="1841"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right="125"/>
              <w:jc w:val="center"/>
              <w:rPr>
                <w:rFonts w:ascii="宋体" w:hAnsi="宋体" w:cs="宋体" w:eastAsia="宋体" w:hint="default"/>
                <w:sz w:val="16"/>
                <w:szCs w:val="16"/>
              </w:rPr>
            </w:pPr>
            <w:r>
              <w:rPr>
                <w:rFonts w:ascii="宋体" w:hAnsi="宋体" w:cs="宋体" w:eastAsia="宋体" w:hint="default"/>
                <w:sz w:val="16"/>
                <w:szCs w:val="16"/>
              </w:rPr>
              <w:t>项目</w:t>
            </w:r>
          </w:p>
        </w:tc>
        <w:tc>
          <w:tcPr>
            <w:tcW w:w="1320"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left="240" w:right="0"/>
              <w:jc w:val="left"/>
              <w:rPr>
                <w:rFonts w:ascii="宋体" w:hAnsi="宋体" w:cs="宋体" w:eastAsia="宋体" w:hint="default"/>
                <w:sz w:val="16"/>
                <w:szCs w:val="16"/>
              </w:rPr>
            </w:pPr>
            <w:r>
              <w:rPr>
                <w:rFonts w:ascii="宋体" w:hAnsi="宋体" w:cs="宋体" w:eastAsia="宋体" w:hint="default"/>
                <w:sz w:val="16"/>
                <w:szCs w:val="16"/>
              </w:rPr>
              <w:t>年初余额</w:t>
            </w:r>
          </w:p>
        </w:tc>
        <w:tc>
          <w:tcPr>
            <w:tcW w:w="1282"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left="247" w:right="0"/>
              <w:jc w:val="left"/>
              <w:rPr>
                <w:rFonts w:ascii="宋体" w:hAnsi="宋体" w:cs="宋体" w:eastAsia="宋体" w:hint="default"/>
                <w:sz w:val="16"/>
                <w:szCs w:val="16"/>
              </w:rPr>
            </w:pPr>
            <w:r>
              <w:rPr>
                <w:rFonts w:ascii="宋体" w:hAnsi="宋体" w:cs="宋体" w:eastAsia="宋体" w:hint="default"/>
                <w:sz w:val="16"/>
                <w:szCs w:val="16"/>
              </w:rPr>
              <w:t>本期增加</w:t>
            </w:r>
          </w:p>
        </w:tc>
        <w:tc>
          <w:tcPr>
            <w:tcW w:w="1288"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left="247" w:right="0"/>
              <w:jc w:val="left"/>
              <w:rPr>
                <w:rFonts w:ascii="宋体" w:hAnsi="宋体" w:cs="宋体" w:eastAsia="宋体" w:hint="default"/>
                <w:sz w:val="16"/>
                <w:szCs w:val="16"/>
              </w:rPr>
            </w:pPr>
            <w:r>
              <w:rPr>
                <w:rFonts w:ascii="宋体" w:hAnsi="宋体" w:cs="宋体" w:eastAsia="宋体" w:hint="default"/>
                <w:sz w:val="16"/>
                <w:szCs w:val="16"/>
              </w:rPr>
              <w:t>本期减少</w:t>
            </w:r>
          </w:p>
        </w:tc>
        <w:tc>
          <w:tcPr>
            <w:tcW w:w="1295"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left="287" w:right="0"/>
              <w:jc w:val="left"/>
              <w:rPr>
                <w:rFonts w:ascii="宋体" w:hAnsi="宋体" w:cs="宋体" w:eastAsia="宋体" w:hint="default"/>
                <w:sz w:val="16"/>
                <w:szCs w:val="16"/>
              </w:rPr>
            </w:pPr>
            <w:r>
              <w:rPr>
                <w:rFonts w:ascii="宋体" w:hAnsi="宋体" w:cs="宋体" w:eastAsia="宋体" w:hint="default"/>
                <w:sz w:val="16"/>
                <w:szCs w:val="16"/>
              </w:rPr>
              <w:t>期末余额</w:t>
            </w:r>
          </w:p>
        </w:tc>
        <w:tc>
          <w:tcPr>
            <w:tcW w:w="1162"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left="259" w:right="0"/>
              <w:jc w:val="left"/>
              <w:rPr>
                <w:rFonts w:ascii="宋体" w:hAnsi="宋体" w:cs="宋体" w:eastAsia="宋体" w:hint="default"/>
                <w:sz w:val="16"/>
                <w:szCs w:val="16"/>
              </w:rPr>
            </w:pPr>
            <w:r>
              <w:rPr>
                <w:rFonts w:ascii="宋体" w:hAnsi="宋体" w:cs="宋体" w:eastAsia="宋体" w:hint="default"/>
                <w:sz w:val="16"/>
                <w:szCs w:val="16"/>
              </w:rPr>
              <w:t>形成原因</w:t>
            </w:r>
          </w:p>
        </w:tc>
      </w:tr>
      <w:tr>
        <w:trPr>
          <w:trHeight w:val="360" w:hRule="exact"/>
        </w:trPr>
        <w:tc>
          <w:tcPr>
            <w:tcW w:w="1841"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7" w:right="0"/>
              <w:jc w:val="left"/>
              <w:rPr>
                <w:rFonts w:ascii="宋体" w:hAnsi="宋体" w:cs="宋体" w:eastAsia="宋体" w:hint="default"/>
                <w:sz w:val="16"/>
                <w:szCs w:val="16"/>
              </w:rPr>
            </w:pPr>
            <w:r>
              <w:rPr>
                <w:rFonts w:ascii="宋体" w:hAnsi="宋体" w:cs="宋体" w:eastAsia="宋体" w:hint="default"/>
                <w:sz w:val="16"/>
                <w:szCs w:val="16"/>
              </w:rPr>
              <w:t>某项目</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78"/>
              <w:jc w:val="right"/>
              <w:rPr>
                <w:rFonts w:ascii="Times New Roman" w:hAnsi="Times New Roman" w:cs="Times New Roman" w:eastAsia="Times New Roman" w:hint="default"/>
                <w:sz w:val="16"/>
                <w:szCs w:val="16"/>
              </w:rPr>
            </w:pPr>
            <w:r>
              <w:rPr>
                <w:rFonts w:ascii="Times New Roman"/>
                <w:spacing w:val="-1"/>
                <w:sz w:val="16"/>
              </w:rPr>
              <w:t>402,000,000.00</w:t>
            </w: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79"/>
              <w:jc w:val="right"/>
              <w:rPr>
                <w:rFonts w:ascii="Times New Roman" w:hAnsi="Times New Roman" w:cs="Times New Roman" w:eastAsia="Times New Roman" w:hint="default"/>
                <w:sz w:val="16"/>
                <w:szCs w:val="16"/>
              </w:rPr>
            </w:pPr>
            <w:r>
              <w:rPr>
                <w:rFonts w:ascii="Times New Roman"/>
                <w:spacing w:val="-1"/>
                <w:sz w:val="16"/>
              </w:rPr>
              <w:t>15,000,000.00</w:t>
            </w:r>
          </w:p>
        </w:tc>
        <w:tc>
          <w:tcPr>
            <w:tcW w:w="1288" w:type="dxa"/>
            <w:tcBorders>
              <w:top w:val="nil" w:sz="6" w:space="0" w:color="auto"/>
              <w:left w:val="nil" w:sz="6" w:space="0" w:color="auto"/>
              <w:bottom w:val="nil" w:sz="6" w:space="0" w:color="auto"/>
              <w:right w:val="nil" w:sz="6" w:space="0" w:color="auto"/>
            </w:tcBorders>
          </w:tcPr>
          <w:p>
            <w:pPr>
              <w:pStyle w:val="TableParagraph"/>
              <w:spacing w:line="240" w:lineRule="auto" w:before="89"/>
              <w:ind w:left="179" w:right="0"/>
              <w:jc w:val="left"/>
              <w:rPr>
                <w:rFonts w:ascii="Times New Roman" w:hAnsi="Times New Roman" w:cs="Times New Roman" w:eastAsia="Times New Roman" w:hint="default"/>
                <w:sz w:val="16"/>
                <w:szCs w:val="16"/>
              </w:rPr>
            </w:pPr>
            <w:r>
              <w:rPr>
                <w:rFonts w:ascii="Times New Roman"/>
                <w:sz w:val="16"/>
              </w:rPr>
              <w:t>43,900,000.00</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05"/>
              <w:jc w:val="right"/>
              <w:rPr>
                <w:rFonts w:ascii="Times New Roman" w:hAnsi="Times New Roman" w:cs="Times New Roman" w:eastAsia="Times New Roman" w:hint="default"/>
                <w:sz w:val="16"/>
                <w:szCs w:val="16"/>
              </w:rPr>
            </w:pPr>
            <w:r>
              <w:rPr>
                <w:rFonts w:ascii="Times New Roman"/>
                <w:spacing w:val="-1"/>
                <w:sz w:val="16"/>
              </w:rPr>
              <w:t>373,100,000.00</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7" w:right="0"/>
              <w:jc w:val="left"/>
              <w:rPr>
                <w:rFonts w:ascii="宋体" w:hAnsi="宋体" w:cs="宋体" w:eastAsia="宋体" w:hint="default"/>
                <w:sz w:val="16"/>
                <w:szCs w:val="16"/>
              </w:rPr>
            </w:pPr>
            <w:r>
              <w:rPr>
                <w:rFonts w:ascii="宋体" w:hAnsi="宋体" w:cs="宋体" w:eastAsia="宋体" w:hint="default"/>
                <w:sz w:val="16"/>
                <w:szCs w:val="16"/>
              </w:rPr>
              <w:t>技术改造费</w:t>
            </w:r>
          </w:p>
        </w:tc>
      </w:tr>
      <w:tr>
        <w:trPr>
          <w:trHeight w:val="353" w:hRule="exact"/>
        </w:trPr>
        <w:tc>
          <w:tcPr>
            <w:tcW w:w="184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锂电池等相关项目</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79"/>
              <w:jc w:val="right"/>
              <w:rPr>
                <w:rFonts w:ascii="Times New Roman" w:hAnsi="Times New Roman" w:cs="Times New Roman" w:eastAsia="Times New Roman" w:hint="default"/>
                <w:sz w:val="16"/>
                <w:szCs w:val="16"/>
              </w:rPr>
            </w:pPr>
            <w:r>
              <w:rPr>
                <w:rFonts w:ascii="Times New Roman"/>
                <w:spacing w:val="-1"/>
                <w:sz w:val="16"/>
              </w:rPr>
              <w:t>18,801,362.88</w:t>
            </w: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79"/>
              <w:jc w:val="right"/>
              <w:rPr>
                <w:rFonts w:ascii="Times New Roman" w:hAnsi="Times New Roman" w:cs="Times New Roman" w:eastAsia="Times New Roman" w:hint="default"/>
                <w:sz w:val="16"/>
                <w:szCs w:val="16"/>
              </w:rPr>
            </w:pPr>
            <w:r>
              <w:rPr>
                <w:rFonts w:ascii="Times New Roman"/>
                <w:spacing w:val="-1"/>
                <w:sz w:val="16"/>
              </w:rPr>
              <w:t>6,000,000.00</w:t>
            </w:r>
          </w:p>
        </w:tc>
        <w:tc>
          <w:tcPr>
            <w:tcW w:w="1288"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6"/>
                <w:szCs w:val="16"/>
              </w:rPr>
            </w:pPr>
            <w:r>
              <w:rPr>
                <w:rFonts w:ascii="Times New Roman"/>
                <w:spacing w:val="-1"/>
                <w:sz w:val="16"/>
              </w:rPr>
              <w:t>24,801,362.88</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技术改造费</w:t>
            </w:r>
          </w:p>
        </w:tc>
      </w:tr>
      <w:tr>
        <w:trPr>
          <w:trHeight w:val="353" w:hRule="exact"/>
        </w:trPr>
        <w:tc>
          <w:tcPr>
            <w:tcW w:w="184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生产能力建设</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79"/>
              <w:jc w:val="right"/>
              <w:rPr>
                <w:rFonts w:ascii="Times New Roman" w:hAnsi="Times New Roman" w:cs="Times New Roman" w:eastAsia="Times New Roman" w:hint="default"/>
                <w:sz w:val="16"/>
                <w:szCs w:val="16"/>
              </w:rPr>
            </w:pPr>
            <w:r>
              <w:rPr>
                <w:rFonts w:ascii="Times New Roman"/>
                <w:spacing w:val="-1"/>
                <w:sz w:val="16"/>
              </w:rPr>
              <w:t>11,500,000.00</w:t>
            </w: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79"/>
              <w:jc w:val="right"/>
              <w:rPr>
                <w:rFonts w:ascii="Times New Roman" w:hAnsi="Times New Roman" w:cs="Times New Roman" w:eastAsia="Times New Roman" w:hint="default"/>
                <w:sz w:val="16"/>
                <w:szCs w:val="16"/>
              </w:rPr>
            </w:pPr>
            <w:r>
              <w:rPr>
                <w:rFonts w:ascii="Times New Roman"/>
                <w:spacing w:val="-1"/>
                <w:sz w:val="16"/>
              </w:rPr>
              <w:t>25,380,000.00</w:t>
            </w:r>
          </w:p>
        </w:tc>
        <w:tc>
          <w:tcPr>
            <w:tcW w:w="1288"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5"/>
              <w:jc w:val="right"/>
              <w:rPr>
                <w:rFonts w:ascii="Times New Roman" w:hAnsi="Times New Roman" w:cs="Times New Roman" w:eastAsia="Times New Roman" w:hint="default"/>
                <w:sz w:val="16"/>
                <w:szCs w:val="16"/>
              </w:rPr>
            </w:pPr>
            <w:r>
              <w:rPr>
                <w:rFonts w:ascii="Times New Roman"/>
                <w:spacing w:val="-1"/>
                <w:sz w:val="16"/>
              </w:rPr>
              <w:t>36,880,000.00</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上级拨入</w:t>
            </w:r>
          </w:p>
        </w:tc>
      </w:tr>
      <w:tr>
        <w:trPr>
          <w:trHeight w:val="353" w:hRule="exact"/>
        </w:trPr>
        <w:tc>
          <w:tcPr>
            <w:tcW w:w="184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镁海水项目</w:t>
            </w:r>
          </w:p>
        </w:tc>
        <w:tc>
          <w:tcPr>
            <w:tcW w:w="1320" w:type="dxa"/>
            <w:tcBorders>
              <w:top w:val="nil" w:sz="6" w:space="0" w:color="auto"/>
              <w:left w:val="nil" w:sz="6" w:space="0" w:color="auto"/>
              <w:bottom w:val="nil" w:sz="6" w:space="0" w:color="auto"/>
              <w:right w:val="nil" w:sz="6" w:space="0" w:color="auto"/>
            </w:tcBorders>
          </w:tcPr>
          <w:p>
            <w:pP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78"/>
              <w:jc w:val="right"/>
              <w:rPr>
                <w:rFonts w:ascii="Times New Roman" w:hAnsi="Times New Roman" w:cs="Times New Roman" w:eastAsia="Times New Roman" w:hint="default"/>
                <w:sz w:val="16"/>
                <w:szCs w:val="16"/>
              </w:rPr>
            </w:pPr>
            <w:r>
              <w:rPr>
                <w:rFonts w:ascii="Times New Roman"/>
                <w:spacing w:val="-1"/>
                <w:sz w:val="16"/>
              </w:rPr>
              <w:t>600,000.00</w:t>
            </w:r>
          </w:p>
        </w:tc>
        <w:tc>
          <w:tcPr>
            <w:tcW w:w="1288"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6"/>
                <w:szCs w:val="16"/>
              </w:rPr>
            </w:pPr>
            <w:r>
              <w:rPr>
                <w:rFonts w:ascii="Times New Roman"/>
                <w:spacing w:val="-1"/>
                <w:sz w:val="16"/>
              </w:rPr>
              <w:t>600,000.00</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上级拨入</w:t>
            </w:r>
          </w:p>
        </w:tc>
      </w:tr>
      <w:tr>
        <w:trPr>
          <w:trHeight w:val="357" w:hRule="exact"/>
        </w:trPr>
        <w:tc>
          <w:tcPr>
            <w:tcW w:w="1841"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right="125"/>
              <w:jc w:val="center"/>
              <w:rPr>
                <w:rFonts w:ascii="宋体" w:hAnsi="宋体" w:cs="宋体" w:eastAsia="宋体" w:hint="default"/>
                <w:sz w:val="16"/>
                <w:szCs w:val="16"/>
              </w:rPr>
            </w:pPr>
            <w:r>
              <w:rPr>
                <w:rFonts w:ascii="宋体" w:hAnsi="宋体" w:cs="宋体" w:eastAsia="宋体" w:hint="default"/>
                <w:sz w:val="16"/>
                <w:szCs w:val="16"/>
              </w:rPr>
              <w:t>合计</w:t>
            </w:r>
          </w:p>
        </w:tc>
        <w:tc>
          <w:tcPr>
            <w:tcW w:w="1320"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right="178"/>
              <w:jc w:val="right"/>
              <w:rPr>
                <w:rFonts w:ascii="Times New Roman" w:hAnsi="Times New Roman" w:cs="Times New Roman" w:eastAsia="Times New Roman" w:hint="default"/>
                <w:sz w:val="16"/>
                <w:szCs w:val="16"/>
              </w:rPr>
            </w:pPr>
            <w:r>
              <w:rPr>
                <w:rFonts w:ascii="Times New Roman"/>
                <w:spacing w:val="-1"/>
                <w:sz w:val="16"/>
              </w:rPr>
              <w:t>432,301,362.88</w:t>
            </w:r>
          </w:p>
        </w:tc>
        <w:tc>
          <w:tcPr>
            <w:tcW w:w="1282"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right="179"/>
              <w:jc w:val="right"/>
              <w:rPr>
                <w:rFonts w:ascii="Times New Roman" w:hAnsi="Times New Roman" w:cs="Times New Roman" w:eastAsia="Times New Roman" w:hint="default"/>
                <w:sz w:val="16"/>
                <w:szCs w:val="16"/>
              </w:rPr>
            </w:pPr>
            <w:r>
              <w:rPr>
                <w:rFonts w:ascii="Times New Roman"/>
                <w:spacing w:val="-1"/>
                <w:sz w:val="16"/>
              </w:rPr>
              <w:t>46,980,000.00</w:t>
            </w:r>
          </w:p>
        </w:tc>
        <w:tc>
          <w:tcPr>
            <w:tcW w:w="1288"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left="179" w:right="0"/>
              <w:jc w:val="left"/>
              <w:rPr>
                <w:rFonts w:ascii="Times New Roman" w:hAnsi="Times New Roman" w:cs="Times New Roman" w:eastAsia="Times New Roman" w:hint="default"/>
                <w:sz w:val="16"/>
                <w:szCs w:val="16"/>
              </w:rPr>
            </w:pPr>
            <w:r>
              <w:rPr>
                <w:rFonts w:ascii="Times New Roman"/>
                <w:sz w:val="16"/>
              </w:rPr>
              <w:t>43,900,000.00</w:t>
            </w:r>
          </w:p>
        </w:tc>
        <w:tc>
          <w:tcPr>
            <w:tcW w:w="1295"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6"/>
                <w:szCs w:val="16"/>
              </w:rPr>
            </w:pPr>
            <w:r>
              <w:rPr>
                <w:rFonts w:ascii="Times New Roman"/>
                <w:spacing w:val="-1"/>
                <w:sz w:val="16"/>
              </w:rPr>
              <w:t>435,381,362.88</w:t>
            </w:r>
          </w:p>
        </w:tc>
        <w:tc>
          <w:tcPr>
            <w:tcW w:w="1162" w:type="dxa"/>
            <w:tcBorders>
              <w:top w:val="nil" w:sz="6" w:space="0" w:color="auto"/>
              <w:left w:val="nil" w:sz="6" w:space="0" w:color="auto"/>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3"/>
          <w:szCs w:val="13"/>
        </w:rPr>
      </w:pPr>
    </w:p>
    <w:tbl>
      <w:tblPr>
        <w:tblW w:w="0" w:type="auto"/>
        <w:jc w:val="left"/>
        <w:tblInd w:w="102" w:type="dxa"/>
        <w:tblLayout w:type="fixed"/>
        <w:tblCellMar>
          <w:top w:w="0" w:type="dxa"/>
          <w:left w:w="0" w:type="dxa"/>
          <w:bottom w:w="0" w:type="dxa"/>
          <w:right w:w="0" w:type="dxa"/>
        </w:tblCellMar>
        <w:tblLook w:val="01E0"/>
      </w:tblPr>
      <w:tblGrid>
        <w:gridCol w:w="4137"/>
        <w:gridCol w:w="1436"/>
        <w:gridCol w:w="1244"/>
        <w:gridCol w:w="1162"/>
        <w:gridCol w:w="856"/>
      </w:tblGrid>
      <w:tr>
        <w:trPr>
          <w:trHeight w:val="357" w:hRule="exact"/>
        </w:trPr>
        <w:tc>
          <w:tcPr>
            <w:tcW w:w="4137"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45"/>
                <w:sz w:val="21"/>
                <w:szCs w:val="21"/>
              </w:rPr>
              <w:t> </w:t>
            </w:r>
            <w:r>
              <w:rPr>
                <w:rFonts w:ascii="宋体" w:hAnsi="宋体" w:cs="宋体" w:eastAsia="宋体" w:hint="default"/>
                <w:b/>
                <w:bCs/>
                <w:sz w:val="21"/>
                <w:szCs w:val="21"/>
              </w:rPr>
              <w:t>长期应付职工薪酬</w:t>
            </w:r>
            <w:r>
              <w:rPr>
                <w:rFonts w:ascii="宋体" w:hAnsi="宋体" w:cs="宋体" w:eastAsia="宋体" w:hint="default"/>
                <w:sz w:val="21"/>
                <w:szCs w:val="21"/>
              </w:rPr>
            </w:r>
          </w:p>
        </w:tc>
        <w:tc>
          <w:tcPr>
            <w:tcW w:w="4698" w:type="dxa"/>
            <w:gridSpan w:val="4"/>
            <w:tcBorders>
              <w:top w:val="nil" w:sz="6" w:space="0" w:color="auto"/>
              <w:left w:val="nil" w:sz="6" w:space="0" w:color="auto"/>
              <w:bottom w:val="single" w:sz="12" w:space="0" w:color="000000"/>
              <w:right w:val="nil" w:sz="6" w:space="0" w:color="auto"/>
            </w:tcBorders>
          </w:tcPr>
          <w:p>
            <w:pPr/>
          </w:p>
        </w:tc>
      </w:tr>
      <w:tr>
        <w:trPr>
          <w:trHeight w:val="363" w:hRule="exact"/>
        </w:trPr>
        <w:tc>
          <w:tcPr>
            <w:tcW w:w="4137"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531" w:right="0"/>
              <w:jc w:val="center"/>
              <w:rPr>
                <w:rFonts w:ascii="宋体" w:hAnsi="宋体" w:cs="宋体" w:eastAsia="宋体" w:hint="default"/>
                <w:sz w:val="16"/>
                <w:szCs w:val="16"/>
              </w:rPr>
            </w:pPr>
            <w:r>
              <w:rPr>
                <w:rFonts w:ascii="宋体" w:hAnsi="宋体" w:cs="宋体" w:eastAsia="宋体" w:hint="default"/>
                <w:sz w:val="16"/>
                <w:szCs w:val="16"/>
              </w:rPr>
              <w:t>项目</w:t>
            </w:r>
          </w:p>
        </w:tc>
        <w:tc>
          <w:tcPr>
            <w:tcW w:w="1436"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769" w:right="0"/>
              <w:jc w:val="left"/>
              <w:rPr>
                <w:rFonts w:ascii="宋体" w:hAnsi="宋体" w:cs="宋体" w:eastAsia="宋体" w:hint="default"/>
                <w:sz w:val="16"/>
                <w:szCs w:val="16"/>
              </w:rPr>
            </w:pPr>
            <w:r>
              <w:rPr>
                <w:rFonts w:ascii="宋体" w:hAnsi="宋体" w:cs="宋体" w:eastAsia="宋体" w:hint="default"/>
                <w:sz w:val="16"/>
                <w:szCs w:val="16"/>
              </w:rPr>
              <w:t>期末余额</w:t>
            </w:r>
          </w:p>
        </w:tc>
        <w:tc>
          <w:tcPr>
            <w:tcW w:w="1244" w:type="dxa"/>
            <w:tcBorders>
              <w:top w:val="single" w:sz="12" w:space="0" w:color="000000"/>
              <w:left w:val="nil" w:sz="6" w:space="0" w:color="auto"/>
              <w:bottom w:val="nil" w:sz="6" w:space="0" w:color="auto"/>
              <w:right w:val="nil" w:sz="6" w:space="0" w:color="auto"/>
            </w:tcBorders>
          </w:tcPr>
          <w:p>
            <w:pPr/>
          </w:p>
        </w:tc>
        <w:tc>
          <w:tcPr>
            <w:tcW w:w="1162"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494" w:right="0"/>
              <w:jc w:val="left"/>
              <w:rPr>
                <w:rFonts w:ascii="宋体" w:hAnsi="宋体" w:cs="宋体" w:eastAsia="宋体" w:hint="default"/>
                <w:sz w:val="16"/>
                <w:szCs w:val="16"/>
              </w:rPr>
            </w:pPr>
            <w:r>
              <w:rPr>
                <w:rFonts w:ascii="宋体" w:hAnsi="宋体" w:cs="宋体" w:eastAsia="宋体" w:hint="default"/>
                <w:sz w:val="16"/>
                <w:szCs w:val="16"/>
              </w:rPr>
              <w:t>年初余额</w:t>
            </w:r>
          </w:p>
        </w:tc>
        <w:tc>
          <w:tcPr>
            <w:tcW w:w="856" w:type="dxa"/>
            <w:tcBorders>
              <w:top w:val="single" w:sz="12" w:space="0" w:color="000000"/>
              <w:left w:val="nil" w:sz="6" w:space="0" w:color="auto"/>
              <w:bottom w:val="nil" w:sz="6" w:space="0" w:color="auto"/>
              <w:right w:val="nil" w:sz="6" w:space="0" w:color="auto"/>
            </w:tcBorders>
          </w:tcPr>
          <w:p>
            <w:pPr/>
          </w:p>
        </w:tc>
      </w:tr>
      <w:tr>
        <w:trPr>
          <w:trHeight w:val="358" w:hRule="exact"/>
        </w:trPr>
        <w:tc>
          <w:tcPr>
            <w:tcW w:w="4137" w:type="dxa"/>
            <w:tcBorders>
              <w:top w:val="nil" w:sz="6" w:space="0" w:color="auto"/>
              <w:left w:val="nil" w:sz="6" w:space="0" w:color="auto"/>
              <w:bottom w:val="nil" w:sz="6" w:space="0" w:color="auto"/>
              <w:right w:val="nil" w:sz="6" w:space="0" w:color="auto"/>
            </w:tcBorders>
          </w:tcPr>
          <w:p>
            <w:pPr>
              <w:pStyle w:val="TableParagraph"/>
              <w:spacing w:line="240" w:lineRule="auto" w:before="47"/>
              <w:ind w:left="755" w:right="0"/>
              <w:jc w:val="left"/>
              <w:rPr>
                <w:rFonts w:ascii="宋体" w:hAnsi="宋体" w:cs="宋体" w:eastAsia="宋体" w:hint="default"/>
                <w:sz w:val="16"/>
                <w:szCs w:val="16"/>
              </w:rPr>
            </w:pPr>
            <w:r>
              <w:rPr>
                <w:rFonts w:ascii="宋体" w:hAnsi="宋体" w:cs="宋体" w:eastAsia="宋体" w:hint="default"/>
                <w:sz w:val="16"/>
                <w:szCs w:val="16"/>
              </w:rPr>
              <w:t>一、离职后福利</w:t>
            </w:r>
            <w:r>
              <w:rPr>
                <w:rFonts w:ascii="Times New Roman" w:hAnsi="Times New Roman" w:cs="Times New Roman" w:eastAsia="Times New Roman" w:hint="default"/>
                <w:sz w:val="16"/>
                <w:szCs w:val="16"/>
              </w:rPr>
              <w:t>-</w:t>
            </w:r>
            <w:r>
              <w:rPr>
                <w:rFonts w:ascii="宋体" w:hAnsi="宋体" w:cs="宋体" w:eastAsia="宋体" w:hint="default"/>
                <w:sz w:val="16"/>
                <w:szCs w:val="16"/>
              </w:rPr>
              <w:t>设定受益计划净负债</w:t>
            </w:r>
          </w:p>
        </w:tc>
        <w:tc>
          <w:tcPr>
            <w:tcW w:w="1436"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nil" w:sz="6" w:space="0" w:color="auto"/>
            </w:tcBorders>
          </w:tcPr>
          <w:p>
            <w:pPr/>
          </w:p>
        </w:tc>
        <w:tc>
          <w:tcPr>
            <w:tcW w:w="856" w:type="dxa"/>
            <w:tcBorders>
              <w:top w:val="nil" w:sz="6" w:space="0" w:color="auto"/>
              <w:left w:val="nil" w:sz="6" w:space="0" w:color="auto"/>
              <w:bottom w:val="nil" w:sz="6" w:space="0" w:color="auto"/>
              <w:right w:val="nil" w:sz="6" w:space="0" w:color="auto"/>
            </w:tcBorders>
          </w:tcPr>
          <w:p>
            <w:pPr/>
          </w:p>
        </w:tc>
      </w:tr>
      <w:tr>
        <w:trPr>
          <w:trHeight w:val="702" w:hRule="exact"/>
        </w:trPr>
        <w:tc>
          <w:tcPr>
            <w:tcW w:w="4137" w:type="dxa"/>
            <w:tcBorders>
              <w:top w:val="nil" w:sz="6" w:space="0" w:color="auto"/>
              <w:left w:val="nil" w:sz="6" w:space="0" w:color="auto"/>
              <w:bottom w:val="nil" w:sz="6" w:space="0" w:color="auto"/>
              <w:right w:val="nil" w:sz="6" w:space="0" w:color="auto"/>
            </w:tcBorders>
          </w:tcPr>
          <w:p>
            <w:pPr>
              <w:pStyle w:val="TableParagraph"/>
              <w:spacing w:line="405" w:lineRule="auto" w:before="43"/>
              <w:ind w:left="755" w:right="2100"/>
              <w:jc w:val="left"/>
              <w:rPr>
                <w:rFonts w:ascii="宋体" w:hAnsi="宋体" w:cs="宋体" w:eastAsia="宋体" w:hint="default"/>
                <w:sz w:val="16"/>
                <w:szCs w:val="16"/>
              </w:rPr>
            </w:pPr>
            <w:r>
              <w:rPr>
                <w:rFonts w:ascii="宋体" w:hAnsi="宋体" w:cs="宋体" w:eastAsia="宋体" w:hint="default"/>
                <w:sz w:val="16"/>
                <w:szCs w:val="16"/>
              </w:rPr>
              <w:t>二、辞退福利</w:t>
            </w:r>
            <w:r>
              <w:rPr>
                <w:rFonts w:ascii="宋体" w:hAnsi="宋体" w:cs="宋体" w:eastAsia="宋体" w:hint="default"/>
                <w:w w:val="99"/>
                <w:sz w:val="16"/>
                <w:szCs w:val="16"/>
              </w:rPr>
              <w:t> </w:t>
            </w:r>
            <w:r>
              <w:rPr>
                <w:rFonts w:ascii="宋体" w:hAnsi="宋体" w:cs="宋体" w:eastAsia="宋体" w:hint="default"/>
                <w:sz w:val="16"/>
                <w:szCs w:val="16"/>
              </w:rPr>
              <w:t>三、其他长期福利</w:t>
            </w:r>
          </w:p>
        </w:tc>
        <w:tc>
          <w:tcPr>
            <w:tcW w:w="1436"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85"/>
              <w:ind w:left="28" w:right="0"/>
              <w:jc w:val="left"/>
              <w:rPr>
                <w:rFonts w:ascii="Times New Roman" w:hAnsi="Times New Roman" w:cs="Times New Roman" w:eastAsia="Times New Roman" w:hint="default"/>
                <w:sz w:val="16"/>
                <w:szCs w:val="16"/>
              </w:rPr>
            </w:pPr>
            <w:r>
              <w:rPr>
                <w:rFonts w:ascii="Times New Roman"/>
                <w:sz w:val="16"/>
              </w:rPr>
              <w:t>721,678.96</w:t>
            </w:r>
          </w:p>
        </w:tc>
        <w:tc>
          <w:tcPr>
            <w:tcW w:w="1162" w:type="dxa"/>
            <w:tcBorders>
              <w:top w:val="nil" w:sz="6" w:space="0" w:color="auto"/>
              <w:left w:val="nil" w:sz="6" w:space="0" w:color="auto"/>
              <w:bottom w:val="nil" w:sz="6" w:space="0" w:color="auto"/>
              <w:right w:val="nil" w:sz="6" w:space="0" w:color="auto"/>
            </w:tcBorders>
          </w:tcPr>
          <w:p>
            <w:pPr/>
          </w:p>
        </w:tc>
        <w:tc>
          <w:tcPr>
            <w:tcW w:w="856" w:type="dxa"/>
            <w:tcBorders>
              <w:top w:val="nil" w:sz="6" w:space="0" w:color="auto"/>
              <w:left w:val="nil" w:sz="6" w:space="0" w:color="auto"/>
              <w:bottom w:val="nil" w:sz="6" w:space="0" w:color="auto"/>
              <w:right w:val="nil" w:sz="6" w:space="0" w:color="auto"/>
            </w:tcBorders>
          </w:tcPr>
          <w:p>
            <w:pPr>
              <w:pStyle w:val="TableParagraph"/>
              <w:spacing w:line="240" w:lineRule="auto" w:before="85"/>
              <w:ind w:left="28" w:right="0"/>
              <w:jc w:val="left"/>
              <w:rPr>
                <w:rFonts w:ascii="Times New Roman" w:hAnsi="Times New Roman" w:cs="Times New Roman" w:eastAsia="Times New Roman" w:hint="default"/>
                <w:sz w:val="16"/>
                <w:szCs w:val="16"/>
              </w:rPr>
            </w:pPr>
            <w:r>
              <w:rPr>
                <w:rFonts w:ascii="Times New Roman"/>
                <w:sz w:val="16"/>
              </w:rPr>
              <w:t>240,081.27</w:t>
            </w:r>
          </w:p>
        </w:tc>
      </w:tr>
      <w:tr>
        <w:trPr>
          <w:trHeight w:val="365" w:hRule="exact"/>
        </w:trPr>
        <w:tc>
          <w:tcPr>
            <w:tcW w:w="4137" w:type="dxa"/>
            <w:tcBorders>
              <w:top w:val="nil" w:sz="6" w:space="0" w:color="auto"/>
              <w:left w:val="nil" w:sz="6" w:space="0" w:color="auto"/>
              <w:bottom w:val="single" w:sz="12" w:space="0" w:color="000000"/>
              <w:right w:val="nil" w:sz="6" w:space="0" w:color="auto"/>
            </w:tcBorders>
          </w:tcPr>
          <w:p>
            <w:pPr>
              <w:pStyle w:val="TableParagraph"/>
              <w:spacing w:line="240" w:lineRule="auto" w:before="47"/>
              <w:ind w:left="531" w:right="0"/>
              <w:jc w:val="center"/>
              <w:rPr>
                <w:rFonts w:ascii="宋体" w:hAnsi="宋体" w:cs="宋体" w:eastAsia="宋体" w:hint="default"/>
                <w:sz w:val="16"/>
                <w:szCs w:val="16"/>
              </w:rPr>
            </w:pPr>
            <w:r>
              <w:rPr>
                <w:rFonts w:ascii="宋体" w:hAnsi="宋体" w:cs="宋体" w:eastAsia="宋体" w:hint="default"/>
                <w:sz w:val="16"/>
                <w:szCs w:val="16"/>
              </w:rPr>
              <w:t>合计</w:t>
            </w:r>
          </w:p>
        </w:tc>
        <w:tc>
          <w:tcPr>
            <w:tcW w:w="1436" w:type="dxa"/>
            <w:tcBorders>
              <w:top w:val="nil" w:sz="6" w:space="0" w:color="auto"/>
              <w:left w:val="nil" w:sz="6" w:space="0" w:color="auto"/>
              <w:bottom w:val="single" w:sz="12" w:space="0" w:color="000000"/>
              <w:right w:val="nil" w:sz="6" w:space="0" w:color="auto"/>
            </w:tcBorders>
          </w:tcPr>
          <w:p>
            <w:pPr/>
          </w:p>
        </w:tc>
        <w:tc>
          <w:tcPr>
            <w:tcW w:w="1244" w:type="dxa"/>
            <w:tcBorders>
              <w:top w:val="nil" w:sz="6" w:space="0" w:color="auto"/>
              <w:left w:val="nil" w:sz="6" w:space="0" w:color="auto"/>
              <w:bottom w:val="single" w:sz="12" w:space="0" w:color="000000"/>
              <w:right w:val="nil" w:sz="6" w:space="0" w:color="auto"/>
            </w:tcBorders>
          </w:tcPr>
          <w:p>
            <w:pPr>
              <w:pStyle w:val="TableParagraph"/>
              <w:spacing w:line="240" w:lineRule="auto" w:before="89"/>
              <w:ind w:left="28" w:right="0"/>
              <w:jc w:val="left"/>
              <w:rPr>
                <w:rFonts w:ascii="Times New Roman" w:hAnsi="Times New Roman" w:cs="Times New Roman" w:eastAsia="Times New Roman" w:hint="default"/>
                <w:sz w:val="16"/>
                <w:szCs w:val="16"/>
              </w:rPr>
            </w:pPr>
            <w:r>
              <w:rPr>
                <w:rFonts w:ascii="Times New Roman"/>
                <w:sz w:val="16"/>
              </w:rPr>
              <w:t>721,678.96</w:t>
            </w:r>
          </w:p>
        </w:tc>
        <w:tc>
          <w:tcPr>
            <w:tcW w:w="1162" w:type="dxa"/>
            <w:tcBorders>
              <w:top w:val="nil" w:sz="6" w:space="0" w:color="auto"/>
              <w:left w:val="nil" w:sz="6" w:space="0" w:color="auto"/>
              <w:bottom w:val="single" w:sz="12" w:space="0" w:color="000000"/>
              <w:right w:val="nil" w:sz="6" w:space="0" w:color="auto"/>
            </w:tcBorders>
          </w:tcPr>
          <w:p>
            <w:pPr/>
          </w:p>
        </w:tc>
        <w:tc>
          <w:tcPr>
            <w:tcW w:w="856" w:type="dxa"/>
            <w:tcBorders>
              <w:top w:val="nil" w:sz="6" w:space="0" w:color="auto"/>
              <w:left w:val="nil" w:sz="6" w:space="0" w:color="auto"/>
              <w:bottom w:val="single" w:sz="12" w:space="0" w:color="000000"/>
              <w:right w:val="nil" w:sz="6" w:space="0" w:color="auto"/>
            </w:tcBorders>
          </w:tcPr>
          <w:p>
            <w:pPr>
              <w:pStyle w:val="TableParagraph"/>
              <w:spacing w:line="240" w:lineRule="auto" w:before="89"/>
              <w:ind w:left="28" w:right="0"/>
              <w:jc w:val="left"/>
              <w:rPr>
                <w:rFonts w:ascii="Times New Roman" w:hAnsi="Times New Roman" w:cs="Times New Roman" w:eastAsia="Times New Roman" w:hint="default"/>
                <w:sz w:val="16"/>
                <w:szCs w:val="16"/>
              </w:rPr>
            </w:pPr>
            <w:r>
              <w:rPr>
                <w:rFonts w:ascii="Times New Roman"/>
                <w:sz w:val="16"/>
              </w:rPr>
              <w:t>240,081.27</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p>
      <w:pPr>
        <w:pStyle w:val="Heading5"/>
        <w:spacing w:line="240" w:lineRule="auto"/>
        <w:ind w:right="3681"/>
        <w:jc w:val="left"/>
        <w:rPr>
          <w:b w:val="0"/>
          <w:bCs w:val="0"/>
        </w:rPr>
      </w:pPr>
      <w:r>
        <w:rPr/>
        <w:pict>
          <v:group style="position:absolute;margin-left:119.520004pt;margin-top:-112.286522pt;width:411.25pt;height:87.9pt;mso-position-horizontal-relative:page;mso-position-vertical-relative:paragraph;z-index:-1381936" coordorigin="2390,-2246" coordsize="8225,1758">
            <v:shape style="position:absolute;left:5782;top:-2246;width:10;height:28" type="#_x0000_t75" stroked="false">
              <v:imagedata r:id="rId42" o:title=""/>
            </v:shape>
            <v:shape style="position:absolute;left:8186;top:-2246;width:10;height:28" type="#_x0000_t75" stroked="false">
              <v:imagedata r:id="rId42" o:title=""/>
            </v:shape>
            <v:shape style="position:absolute;left:5762;top:-2237;width:2453;height:354" type="#_x0000_t75" stroked="false">
              <v:imagedata r:id="rId276" o:title=""/>
            </v:shape>
            <v:shape style="position:absolute;left:2390;top:-1915;width:8225;height:1428" type="#_x0000_t75" stroked="false">
              <v:imagedata r:id="rId277" o:title=""/>
            </v:shape>
            <w10:wrap type="none"/>
          </v:group>
        </w:pict>
      </w:r>
      <w:r>
        <w:rPr/>
        <w:pict>
          <v:group style="position:absolute;margin-left:119.010002pt;margin-top:17.073820pt;width:411.7pt;height:73.2pt;mso-position-horizontal-relative:page;mso-position-vertical-relative:paragraph;z-index:-1381912" coordorigin="2380,341" coordsize="8234,1464">
            <v:group style="position:absolute;left:2410;top:356;width:2524;height:2" coordorigin="2410,356" coordsize="2524,2">
              <v:shape style="position:absolute;left:2410;top:356;width:2524;height:2" coordorigin="2410,356" coordsize="2524,0" path="m2410,356l4933,356e" filled="false" stroked="true" strokeweight="1.5pt" strokecolor="#000000">
                <v:path arrowok="t"/>
              </v:shape>
              <v:shape style="position:absolute;left:4933;top:371;width:10;height:28" type="#_x0000_t75" stroked="false">
                <v:imagedata r:id="rId174" o:title=""/>
              </v:shape>
            </v:group>
            <v:group style="position:absolute;left:4933;top:356;width:2086;height:2" coordorigin="4933,356" coordsize="2086,2">
              <v:shape style="position:absolute;left:4933;top:356;width:2086;height:2" coordorigin="4933,356" coordsize="2086,0" path="m4933,356l7019,356e" filled="false" stroked="true" strokeweight="1.5pt" strokecolor="#000000">
                <v:path arrowok="t"/>
              </v:shape>
              <v:shape style="position:absolute;left:7019;top:371;width:10;height:28" type="#_x0000_t75" stroked="false">
                <v:imagedata r:id="rId174" o:title=""/>
              </v:shape>
            </v:group>
            <v:group style="position:absolute;left:7019;top:356;width:30;height:2" coordorigin="7019,356" coordsize="30,2">
              <v:shape style="position:absolute;left:7019;top:356;width:30;height:2" coordorigin="7019,356" coordsize="30,0" path="m7019,356l7049,356e" filled="false" stroked="true" strokeweight="1.5pt" strokecolor="#000000">
                <v:path arrowok="t"/>
              </v:shape>
            </v:group>
            <v:group style="position:absolute;left:7049;top:356;width:2055;height:2" coordorigin="7049,356" coordsize="2055,2">
              <v:shape style="position:absolute;left:7049;top:356;width:2055;height:2" coordorigin="7049,356" coordsize="2055,0" path="m7049,356l9103,356e" filled="false" stroked="true" strokeweight="1.5pt" strokecolor="#000000">
                <v:path arrowok="t"/>
              </v:shape>
              <v:shape style="position:absolute;left:9103;top:371;width:10;height:28" type="#_x0000_t75" stroked="false">
                <v:imagedata r:id="rId174" o:title=""/>
              </v:shape>
            </v:group>
            <v:group style="position:absolute;left:9103;top:356;width:1494;height:2" coordorigin="9103,356" coordsize="1494,2">
              <v:shape style="position:absolute;left:9103;top:356;width:1494;height:2" coordorigin="9103,356" coordsize="1494,0" path="m9103,356l10597,356e" filled="false" stroked="true" strokeweight="1.5pt" strokecolor="#000000">
                <v:path arrowok="t"/>
              </v:shape>
              <v:shape style="position:absolute;left:4914;top:380;width:4218;height:355" type="#_x0000_t75" stroked="false">
                <v:imagedata r:id="rId278" o:title=""/>
              </v:shape>
            </v:group>
            <v:group style="position:absolute;left:2395;top:1790;width:2538;height:2" coordorigin="2395,1790" coordsize="2538,2">
              <v:shape style="position:absolute;left:2395;top:1790;width:2538;height:2" coordorigin="2395,1790" coordsize="2538,0" path="m2395,1790l4933,1790e" filled="false" stroked="true" strokeweight="1.5pt" strokecolor="#000000">
                <v:path arrowok="t"/>
              </v:shape>
            </v:group>
            <v:group style="position:absolute;left:4933;top:1790;width:2086;height:2" coordorigin="4933,1790" coordsize="2086,2">
              <v:shape style="position:absolute;left:4933;top:1790;width:2086;height:2" coordorigin="4933,1790" coordsize="2086,0" path="m4933,1790l7019,1790e" filled="false" stroked="true" strokeweight="1.5pt" strokecolor="#000000">
                <v:path arrowok="t"/>
              </v:shape>
            </v:group>
            <v:group style="position:absolute;left:7019;top:1790;width:30;height:2" coordorigin="7019,1790" coordsize="30,2">
              <v:shape style="position:absolute;left:7019;top:1790;width:30;height:2" coordorigin="7019,1790" coordsize="30,0" path="m7019,1790l7049,1790e" filled="false" stroked="true" strokeweight="1.5pt" strokecolor="#000000">
                <v:path arrowok="t"/>
              </v:shape>
            </v:group>
            <v:group style="position:absolute;left:7049;top:1790;width:2055;height:2" coordorigin="7049,1790" coordsize="2055,2">
              <v:shape style="position:absolute;left:7049;top:1790;width:2055;height:2" coordorigin="7049,1790" coordsize="2055,0" path="m7049,1790l9103,1790e" filled="false" stroked="true" strokeweight="1.5pt" strokecolor="#000000">
                <v:path arrowok="t"/>
              </v:shape>
              <v:shape style="position:absolute;left:2397;top:703;width:8217;height:1072" type="#_x0000_t75" stroked="false">
                <v:imagedata r:id="rId279" o:title=""/>
              </v:shape>
            </v:group>
            <v:group style="position:absolute;left:9103;top:1790;width:1494;height:2" coordorigin="9103,1790" coordsize="1494,2">
              <v:shape style="position:absolute;left:9103;top:1790;width:1494;height:2" coordorigin="9103,1790" coordsize="1494,0" path="m9103,1790l10597,1790e" filled="false" stroked="true" strokeweight="1.5pt" strokecolor="#000000">
                <v:path arrowok="t"/>
              </v:shape>
            </v:group>
            <w10:wrap type="none"/>
          </v:group>
        </w:pict>
      </w:r>
      <w:r>
        <w:rPr>
          <w:rFonts w:ascii="Times New Roman" w:hAnsi="Times New Roman" w:cs="Times New Roman" w:eastAsia="Times New Roman" w:hint="default"/>
        </w:rPr>
        <w:t>(</w:t>
      </w:r>
      <w:r>
        <w:rPr/>
        <w:t>三十一</w:t>
      </w:r>
      <w:r>
        <w:rPr>
          <w:rFonts w:ascii="Times New Roman" w:hAnsi="Times New Roman" w:cs="Times New Roman" w:eastAsia="Times New Roman" w:hint="default"/>
        </w:rPr>
        <w:t>)</w:t>
      </w:r>
      <w:r>
        <w:rPr>
          <w:rFonts w:ascii="Times New Roman" w:hAnsi="Times New Roman" w:cs="Times New Roman" w:eastAsia="Times New Roman" w:hint="default"/>
          <w:spacing w:val="23"/>
        </w:rPr>
        <w:t> </w:t>
      </w:r>
      <w:r>
        <w:rPr/>
        <w:t>预计负债</w:t>
      </w:r>
      <w:r>
        <w:rPr>
          <w:b w:val="0"/>
          <w:bCs w:val="0"/>
        </w:rPr>
      </w:r>
    </w:p>
    <w:p>
      <w:pPr>
        <w:spacing w:line="240" w:lineRule="auto" w:before="5"/>
        <w:rPr>
          <w:rFonts w:ascii="宋体" w:hAnsi="宋体" w:cs="宋体" w:eastAsia="宋体" w:hint="default"/>
          <w:b/>
          <w:bCs/>
          <w:sz w:val="2"/>
          <w:szCs w:val="2"/>
        </w:rPr>
      </w:pPr>
    </w:p>
    <w:tbl>
      <w:tblPr>
        <w:tblW w:w="0" w:type="auto"/>
        <w:jc w:val="left"/>
        <w:tblInd w:w="787" w:type="dxa"/>
        <w:tblLayout w:type="fixed"/>
        <w:tblCellMar>
          <w:top w:w="0" w:type="dxa"/>
          <w:left w:w="0" w:type="dxa"/>
          <w:bottom w:w="0" w:type="dxa"/>
          <w:right w:w="0" w:type="dxa"/>
        </w:tblCellMar>
        <w:tblLook w:val="01E0"/>
      </w:tblPr>
      <w:tblGrid>
        <w:gridCol w:w="2298"/>
        <w:gridCol w:w="2585"/>
        <w:gridCol w:w="1777"/>
        <w:gridCol w:w="1097"/>
      </w:tblGrid>
      <w:tr>
        <w:trPr>
          <w:trHeight w:val="723" w:hRule="exact"/>
        </w:trPr>
        <w:tc>
          <w:tcPr>
            <w:tcW w:w="2298" w:type="dxa"/>
            <w:tcBorders>
              <w:top w:val="nil" w:sz="6" w:space="0" w:color="auto"/>
              <w:left w:val="nil" w:sz="6" w:space="0" w:color="auto"/>
              <w:bottom w:val="nil" w:sz="6" w:space="0" w:color="auto"/>
              <w:right w:val="nil" w:sz="6" w:space="0" w:color="auto"/>
            </w:tcBorders>
          </w:tcPr>
          <w:p>
            <w:pPr>
              <w:pStyle w:val="TableParagraph"/>
              <w:spacing w:line="240" w:lineRule="auto" w:before="57"/>
              <w:ind w:left="152" w:right="0"/>
              <w:jc w:val="center"/>
              <w:rPr>
                <w:rFonts w:ascii="宋体" w:hAnsi="宋体" w:cs="宋体" w:eastAsia="宋体" w:hint="default"/>
                <w:sz w:val="16"/>
                <w:szCs w:val="16"/>
              </w:rPr>
            </w:pPr>
            <w:r>
              <w:rPr>
                <w:rFonts w:ascii="宋体" w:hAnsi="宋体" w:cs="宋体" w:eastAsia="宋体" w:hint="default"/>
                <w:sz w:val="16"/>
                <w:szCs w:val="16"/>
              </w:rPr>
              <w:t>项目</w:t>
            </w:r>
          </w:p>
          <w:p>
            <w:pPr>
              <w:pStyle w:val="TableParagraph"/>
              <w:spacing w:line="240" w:lineRule="auto" w:before="143"/>
              <w:ind w:left="70" w:right="0"/>
              <w:jc w:val="left"/>
              <w:rPr>
                <w:rFonts w:ascii="宋体" w:hAnsi="宋体" w:cs="宋体" w:eastAsia="宋体" w:hint="default"/>
                <w:sz w:val="16"/>
                <w:szCs w:val="16"/>
              </w:rPr>
            </w:pPr>
            <w:r>
              <w:rPr>
                <w:rFonts w:ascii="宋体" w:hAnsi="宋体" w:cs="宋体" w:eastAsia="宋体" w:hint="default"/>
                <w:sz w:val="16"/>
                <w:szCs w:val="16"/>
              </w:rPr>
              <w:t>产品质量保证</w:t>
            </w:r>
          </w:p>
        </w:tc>
        <w:tc>
          <w:tcPr>
            <w:tcW w:w="2585"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18"/>
              <w:jc w:val="center"/>
              <w:rPr>
                <w:rFonts w:ascii="宋体" w:hAnsi="宋体" w:cs="宋体" w:eastAsia="宋体" w:hint="default"/>
                <w:sz w:val="16"/>
                <w:szCs w:val="16"/>
              </w:rPr>
            </w:pPr>
            <w:r>
              <w:rPr>
                <w:rFonts w:ascii="宋体" w:hAnsi="宋体" w:cs="宋体" w:eastAsia="宋体" w:hint="default"/>
                <w:sz w:val="16"/>
                <w:szCs w:val="16"/>
              </w:rPr>
              <w:t>期末余额</w:t>
            </w:r>
          </w:p>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left="1247" w:right="0"/>
              <w:jc w:val="left"/>
              <w:rPr>
                <w:rFonts w:ascii="Times New Roman" w:hAnsi="Times New Roman" w:cs="Times New Roman" w:eastAsia="Times New Roman" w:hint="default"/>
                <w:sz w:val="16"/>
                <w:szCs w:val="16"/>
              </w:rPr>
            </w:pPr>
            <w:r>
              <w:rPr>
                <w:rFonts w:ascii="Times New Roman"/>
                <w:sz w:val="16"/>
              </w:rPr>
              <w:t>22,334,893.04</w:t>
            </w:r>
          </w:p>
        </w:tc>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before="57"/>
              <w:ind w:left="415" w:right="0"/>
              <w:jc w:val="left"/>
              <w:rPr>
                <w:rFonts w:ascii="宋体" w:hAnsi="宋体" w:cs="宋体" w:eastAsia="宋体" w:hint="default"/>
                <w:sz w:val="16"/>
                <w:szCs w:val="16"/>
              </w:rPr>
            </w:pPr>
            <w:r>
              <w:rPr>
                <w:rFonts w:ascii="宋体" w:hAnsi="宋体" w:cs="宋体" w:eastAsia="宋体" w:hint="default"/>
                <w:sz w:val="16"/>
                <w:szCs w:val="16"/>
              </w:rPr>
              <w:t>年初余额</w:t>
            </w:r>
          </w:p>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left="748" w:right="0"/>
              <w:jc w:val="left"/>
              <w:rPr>
                <w:rFonts w:ascii="Times New Roman" w:hAnsi="Times New Roman" w:cs="Times New Roman" w:eastAsia="Times New Roman" w:hint="default"/>
                <w:sz w:val="16"/>
                <w:szCs w:val="16"/>
              </w:rPr>
            </w:pPr>
            <w:r>
              <w:rPr>
                <w:rFonts w:ascii="Times New Roman"/>
                <w:sz w:val="16"/>
              </w:rPr>
              <w:t>28,630,360.93</w:t>
            </w:r>
          </w:p>
        </w:tc>
        <w:tc>
          <w:tcPr>
            <w:tcW w:w="1097" w:type="dxa"/>
            <w:tcBorders>
              <w:top w:val="nil" w:sz="6" w:space="0" w:color="auto"/>
              <w:left w:val="nil" w:sz="6" w:space="0" w:color="auto"/>
              <w:bottom w:val="nil" w:sz="6" w:space="0" w:color="auto"/>
              <w:right w:val="nil" w:sz="6" w:space="0" w:color="auto"/>
            </w:tcBorders>
          </w:tcPr>
          <w:p>
            <w:pPr>
              <w:pStyle w:val="TableParagraph"/>
              <w:spacing w:line="405" w:lineRule="auto" w:before="57"/>
              <w:ind w:left="106" w:right="33" w:firstLine="316"/>
              <w:jc w:val="left"/>
              <w:rPr>
                <w:rFonts w:ascii="宋体" w:hAnsi="宋体" w:cs="宋体" w:eastAsia="宋体" w:hint="default"/>
                <w:sz w:val="16"/>
                <w:szCs w:val="16"/>
              </w:rPr>
            </w:pPr>
            <w:r>
              <w:rPr>
                <w:rFonts w:ascii="宋体" w:hAnsi="宋体" w:cs="宋体" w:eastAsia="宋体" w:hint="default"/>
                <w:sz w:val="16"/>
                <w:szCs w:val="16"/>
              </w:rPr>
              <w:t>形成原因</w:t>
            </w:r>
            <w:r>
              <w:rPr>
                <w:rFonts w:ascii="宋体" w:hAnsi="宋体" w:cs="宋体" w:eastAsia="宋体" w:hint="default"/>
                <w:w w:val="99"/>
                <w:sz w:val="16"/>
                <w:szCs w:val="16"/>
              </w:rPr>
              <w:t> </w:t>
            </w:r>
            <w:r>
              <w:rPr>
                <w:rFonts w:ascii="宋体" w:hAnsi="宋体" w:cs="宋体" w:eastAsia="宋体" w:hint="default"/>
                <w:sz w:val="16"/>
                <w:szCs w:val="16"/>
              </w:rPr>
              <w:t>维修责任</w:t>
            </w:r>
          </w:p>
        </w:tc>
      </w:tr>
      <w:tr>
        <w:trPr>
          <w:trHeight w:val="353" w:hRule="exact"/>
        </w:trPr>
        <w:tc>
          <w:tcPr>
            <w:tcW w:w="2298"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待执行的亏损合同</w:t>
            </w:r>
          </w:p>
        </w:tc>
        <w:tc>
          <w:tcPr>
            <w:tcW w:w="2585" w:type="dxa"/>
            <w:tcBorders>
              <w:top w:val="nil" w:sz="6" w:space="0" w:color="auto"/>
              <w:left w:val="nil" w:sz="6" w:space="0" w:color="auto"/>
              <w:bottom w:val="nil" w:sz="6" w:space="0" w:color="auto"/>
              <w:right w:val="nil" w:sz="6" w:space="0" w:color="auto"/>
            </w:tcBorders>
          </w:tcPr>
          <w:p>
            <w:pPr>
              <w:pStyle w:val="TableParagraph"/>
              <w:spacing w:line="240" w:lineRule="auto" w:before="83"/>
              <w:ind w:left="1528" w:right="0"/>
              <w:jc w:val="left"/>
              <w:rPr>
                <w:rFonts w:ascii="Times New Roman" w:hAnsi="Times New Roman" w:cs="Times New Roman" w:eastAsia="Times New Roman" w:hint="default"/>
                <w:sz w:val="16"/>
                <w:szCs w:val="16"/>
              </w:rPr>
            </w:pPr>
            <w:r>
              <w:rPr>
                <w:rFonts w:ascii="Times New Roman"/>
                <w:sz w:val="16"/>
              </w:rPr>
              <w:t>92,180.39</w:t>
            </w:r>
          </w:p>
        </w:tc>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6"/>
                <w:szCs w:val="16"/>
              </w:rPr>
            </w:pPr>
            <w:r>
              <w:rPr>
                <w:rFonts w:ascii="Times New Roman"/>
                <w:spacing w:val="-1"/>
                <w:sz w:val="16"/>
              </w:rPr>
              <w:t>87,761.56</w:t>
            </w: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6" w:right="0"/>
              <w:jc w:val="left"/>
              <w:rPr>
                <w:rFonts w:ascii="宋体" w:hAnsi="宋体" w:cs="宋体" w:eastAsia="宋体" w:hint="default"/>
                <w:sz w:val="16"/>
                <w:szCs w:val="16"/>
              </w:rPr>
            </w:pPr>
            <w:r>
              <w:rPr>
                <w:rFonts w:ascii="宋体" w:hAnsi="宋体" w:cs="宋体" w:eastAsia="宋体" w:hint="default"/>
                <w:sz w:val="16"/>
                <w:szCs w:val="16"/>
              </w:rPr>
              <w:t>客户破产</w:t>
            </w:r>
          </w:p>
        </w:tc>
      </w:tr>
      <w:tr>
        <w:trPr>
          <w:trHeight w:val="357" w:hRule="exact"/>
        </w:trPr>
        <w:tc>
          <w:tcPr>
            <w:tcW w:w="2298"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违约金</w:t>
            </w:r>
          </w:p>
        </w:tc>
        <w:tc>
          <w:tcPr>
            <w:tcW w:w="2585" w:type="dxa"/>
            <w:tcBorders>
              <w:top w:val="nil" w:sz="6" w:space="0" w:color="auto"/>
              <w:left w:val="nil" w:sz="6" w:space="0" w:color="auto"/>
              <w:bottom w:val="nil" w:sz="6" w:space="0" w:color="auto"/>
              <w:right w:val="nil" w:sz="6" w:space="0" w:color="auto"/>
            </w:tcBorders>
          </w:tcPr>
          <w:p>
            <w:pPr/>
          </w:p>
        </w:tc>
        <w:tc>
          <w:tcPr>
            <w:tcW w:w="177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6"/>
                <w:szCs w:val="16"/>
              </w:rPr>
            </w:pPr>
            <w:r>
              <w:rPr>
                <w:rFonts w:ascii="Times New Roman"/>
                <w:spacing w:val="-1"/>
                <w:sz w:val="16"/>
              </w:rPr>
              <w:t>250,000.00</w:t>
            </w: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6" w:right="0"/>
              <w:jc w:val="left"/>
              <w:rPr>
                <w:rFonts w:ascii="宋体" w:hAnsi="宋体" w:cs="宋体" w:eastAsia="宋体" w:hint="default"/>
                <w:sz w:val="16"/>
                <w:szCs w:val="16"/>
              </w:rPr>
            </w:pPr>
            <w:r>
              <w:rPr>
                <w:rFonts w:ascii="宋体" w:hAnsi="宋体" w:cs="宋体" w:eastAsia="宋体" w:hint="default"/>
                <w:sz w:val="16"/>
                <w:szCs w:val="16"/>
              </w:rPr>
              <w:t>合同赔偿</w:t>
            </w:r>
          </w:p>
        </w:tc>
      </w:tr>
    </w:tbl>
    <w:p>
      <w:pPr>
        <w:spacing w:after="0" w:line="240" w:lineRule="auto"/>
        <w:jc w:val="left"/>
        <w:rPr>
          <w:rFonts w:ascii="宋体" w:hAnsi="宋体" w:cs="宋体" w:eastAsia="宋体" w:hint="default"/>
          <w:sz w:val="16"/>
          <w:szCs w:val="16"/>
        </w:rPr>
        <w:sectPr>
          <w:pgSz w:w="11910" w:h="16840"/>
          <w:pgMar w:header="0" w:footer="1001" w:top="1520" w:bottom="1200" w:left="1660" w:right="0"/>
        </w:sectPr>
      </w:pPr>
    </w:p>
    <w:p>
      <w:pPr>
        <w:spacing w:line="240" w:lineRule="auto" w:before="2"/>
        <w:rPr>
          <w:rFonts w:ascii="宋体" w:hAnsi="宋体" w:cs="宋体" w:eastAsia="宋体" w:hint="default"/>
          <w:b/>
          <w:bCs/>
          <w:sz w:val="9"/>
          <w:szCs w:val="9"/>
        </w:rPr>
      </w:pPr>
    </w:p>
    <w:p>
      <w:pPr>
        <w:spacing w:line="757" w:lineRule="exact"/>
        <w:ind w:left="720" w:right="0" w:firstLine="0"/>
        <w:rPr>
          <w:rFonts w:ascii="宋体" w:hAnsi="宋体" w:cs="宋体" w:eastAsia="宋体" w:hint="default"/>
          <w:sz w:val="20"/>
          <w:szCs w:val="20"/>
        </w:rPr>
      </w:pPr>
      <w:r>
        <w:rPr>
          <w:rFonts w:ascii="宋体" w:hAnsi="宋体" w:cs="宋体" w:eastAsia="宋体" w:hint="default"/>
          <w:position w:val="-14"/>
          <w:sz w:val="20"/>
          <w:szCs w:val="20"/>
        </w:rPr>
        <w:pict>
          <v:group style="width:411.6pt;height:37.9pt;mso-position-horizontal-relative:char;mso-position-vertical-relative:line" coordorigin="0,0" coordsize="8232,758">
            <v:group style="position:absolute;left:29;top:15;width:2524;height:2" coordorigin="29,15" coordsize="2524,2">
              <v:shape style="position:absolute;left:29;top:15;width:2524;height:2" coordorigin="29,15" coordsize="2524,0" path="m29,15l2553,15e" filled="false" stroked="true" strokeweight="1.5pt" strokecolor="#000000">
                <v:path arrowok="t"/>
              </v:shape>
              <v:shape style="position:absolute;left:2553;top:30;width:10;height:28" type="#_x0000_t75" stroked="false">
                <v:imagedata r:id="rId37" o:title=""/>
              </v:shape>
            </v:group>
            <v:group style="position:absolute;left:2553;top:15;width:2086;height:2" coordorigin="2553,15" coordsize="2086,2">
              <v:shape style="position:absolute;left:2553;top:15;width:2086;height:2" coordorigin="2553,15" coordsize="2086,0" path="m2553,15l4639,15e" filled="false" stroked="true" strokeweight="1.5pt" strokecolor="#000000">
                <v:path arrowok="t"/>
              </v:shape>
              <v:shape style="position:absolute;left:4639;top:30;width:10;height:28" type="#_x0000_t75" stroked="false">
                <v:imagedata r:id="rId37" o:title=""/>
              </v:shape>
            </v:group>
            <v:group style="position:absolute;left:4639;top:15;width:30;height:2" coordorigin="4639,15" coordsize="30,2">
              <v:shape style="position:absolute;left:4639;top:15;width:30;height:2" coordorigin="4639,15" coordsize="30,0" path="m4639,15l4669,15e" filled="false" stroked="true" strokeweight="1.5pt" strokecolor="#000000">
                <v:path arrowok="t"/>
              </v:shape>
            </v:group>
            <v:group style="position:absolute;left:4669;top:15;width:2055;height:2" coordorigin="4669,15" coordsize="2055,2">
              <v:shape style="position:absolute;left:4669;top:15;width:2055;height:2" coordorigin="4669,15" coordsize="2055,0" path="m4669,15l6723,15e" filled="false" stroked="true" strokeweight="1.5pt" strokecolor="#000000">
                <v:path arrowok="t"/>
              </v:shape>
              <v:shape style="position:absolute;left:6723;top:30;width:10;height:28" type="#_x0000_t75" stroked="false">
                <v:imagedata r:id="rId37" o:title=""/>
              </v:shape>
            </v:group>
            <v:group style="position:absolute;left:6723;top:15;width:1494;height:2" coordorigin="6723,15" coordsize="1494,2">
              <v:shape style="position:absolute;left:6723;top:15;width:1494;height:2" coordorigin="6723,15" coordsize="1494,0" path="m6723,15l8217,15e" filled="false" stroked="true" strokeweight="1.5pt" strokecolor="#000000">
                <v:path arrowok="t"/>
              </v:shape>
            </v:group>
            <v:group style="position:absolute;left:15;top:742;width:2538;height:2" coordorigin="15,742" coordsize="2538,2">
              <v:shape style="position:absolute;left:15;top:742;width:2538;height:2" coordorigin="15,742" coordsize="2538,0" path="m15,742l2553,742e" filled="false" stroked="true" strokeweight="1.5pt" strokecolor="#000000">
                <v:path arrowok="t"/>
              </v:shape>
            </v:group>
            <v:group style="position:absolute;left:2553;top:742;width:2086;height:2" coordorigin="2553,742" coordsize="2086,2">
              <v:shape style="position:absolute;left:2553;top:742;width:2086;height:2" coordorigin="2553,742" coordsize="2086,0" path="m2553,742l4639,742e" filled="false" stroked="true" strokeweight="1.5pt" strokecolor="#000000">
                <v:path arrowok="t"/>
              </v:shape>
            </v:group>
            <v:group style="position:absolute;left:4639;top:742;width:30;height:2" coordorigin="4639,742" coordsize="30,2">
              <v:shape style="position:absolute;left:4639;top:742;width:30;height:2" coordorigin="4639,742" coordsize="30,0" path="m4639,742l4669,742e" filled="false" stroked="true" strokeweight="1.5pt" strokecolor="#000000">
                <v:path arrowok="t"/>
              </v:shape>
            </v:group>
            <v:group style="position:absolute;left:4669;top:742;width:2055;height:2" coordorigin="4669,742" coordsize="2055,2">
              <v:shape style="position:absolute;left:4669;top:742;width:2055;height:2" coordorigin="4669,742" coordsize="2055,0" path="m4669,742l6723,742e" filled="false" stroked="true" strokeweight="1.5pt" strokecolor="#000000">
                <v:path arrowok="t"/>
              </v:shape>
              <v:shape style="position:absolute;left:17;top:38;width:8207;height:689" type="#_x0000_t75" stroked="false">
                <v:imagedata r:id="rId280" o:title=""/>
              </v:shape>
            </v:group>
            <v:group style="position:absolute;left:6723;top:742;width:1494;height:2" coordorigin="6723,742" coordsize="1494,2">
              <v:shape style="position:absolute;left:6723;top:742;width:1494;height:2" coordorigin="6723,742" coordsize="1494,0" path="m6723,742l8217,742e" filled="false" stroked="true" strokeweight="1.5pt" strokecolor="#000000">
                <v:path arrowok="t"/>
              </v:shape>
              <v:shape style="position:absolute;left:1133;top:122;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项目</w:t>
                      </w:r>
                      <w:r>
                        <w:rPr>
                          <w:rFonts w:ascii="宋体" w:hAnsi="宋体" w:cs="宋体" w:eastAsia="宋体" w:hint="default"/>
                          <w:sz w:val="16"/>
                          <w:szCs w:val="16"/>
                        </w:rPr>
                      </w:r>
                    </w:p>
                  </w:txbxContent>
                </v:textbox>
                <w10:wrap type="none"/>
              </v:shape>
              <v:shape style="position:absolute;left:3279;top:122;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5366;top:122;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年初余额</w:t>
                      </w:r>
                      <w:r>
                        <w:rPr>
                          <w:rFonts w:ascii="宋体" w:hAnsi="宋体" w:cs="宋体" w:eastAsia="宋体" w:hint="default"/>
                          <w:sz w:val="16"/>
                          <w:szCs w:val="16"/>
                        </w:rPr>
                      </w:r>
                    </w:p>
                  </w:txbxContent>
                </v:textbox>
                <w10:wrap type="none"/>
              </v:shape>
              <v:shape style="position:absolute;left:7151;top:122;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形成原因</w:t>
                      </w:r>
                      <w:r>
                        <w:rPr>
                          <w:rFonts w:ascii="宋体" w:hAnsi="宋体" w:cs="宋体" w:eastAsia="宋体" w:hint="default"/>
                          <w:sz w:val="16"/>
                          <w:szCs w:val="16"/>
                        </w:rPr>
                      </w:r>
                    </w:p>
                  </w:txbxContent>
                </v:textbox>
                <w10:wrap type="none"/>
              </v:shape>
              <v:shape style="position:absolute;left:1133;top:475;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合计</w:t>
                      </w:r>
                      <w:r>
                        <w:rPr>
                          <w:rFonts w:ascii="宋体" w:hAnsi="宋体" w:cs="宋体" w:eastAsia="宋体" w:hint="default"/>
                          <w:sz w:val="16"/>
                          <w:szCs w:val="16"/>
                        </w:rPr>
                      </w:r>
                    </w:p>
                  </w:txbxContent>
                </v:textbox>
                <w10:wrap type="none"/>
              </v:shape>
              <v:shape style="position:absolute;left:3614;top:490;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22,427,073.43</w:t>
                      </w:r>
                      <w:r>
                        <w:rPr>
                          <w:rFonts w:ascii="Times New Roman"/>
                          <w:sz w:val="16"/>
                        </w:rPr>
                      </w:r>
                    </w:p>
                  </w:txbxContent>
                </v:textbox>
                <w10:wrap type="none"/>
              </v:shape>
              <v:shape style="position:absolute;left:5699;top:490;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28,968,122.49</w:t>
                      </w:r>
                      <w:r>
                        <w:rPr>
                          <w:rFonts w:ascii="Times New Roman"/>
                          <w:sz w:val="16"/>
                        </w:rPr>
                      </w:r>
                    </w:p>
                  </w:txbxContent>
                </v:textbox>
                <w10:wrap type="none"/>
              </v:shape>
            </v:group>
          </v:group>
        </w:pict>
      </w:r>
      <w:r>
        <w:rPr>
          <w:rFonts w:ascii="宋体" w:hAnsi="宋体" w:cs="宋体" w:eastAsia="宋体" w:hint="default"/>
          <w:position w:val="-14"/>
          <w:sz w:val="20"/>
          <w:szCs w:val="20"/>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p>
      <w:pPr>
        <w:pStyle w:val="Heading5"/>
        <w:spacing w:line="240" w:lineRule="auto"/>
        <w:ind w:right="3681"/>
        <w:jc w:val="left"/>
        <w:rPr>
          <w:b w:val="0"/>
          <w:bCs w:val="0"/>
        </w:rPr>
      </w:pPr>
      <w:r>
        <w:rPr>
          <w:rFonts w:ascii="Times New Roman" w:hAnsi="Times New Roman" w:cs="Times New Roman" w:eastAsia="Times New Roman" w:hint="default"/>
        </w:rPr>
        <w:t>(</w:t>
      </w:r>
      <w:r>
        <w:rPr/>
        <w:t>三十二</w:t>
      </w:r>
      <w:r>
        <w:rPr>
          <w:rFonts w:ascii="Times New Roman" w:hAnsi="Times New Roman" w:cs="Times New Roman" w:eastAsia="Times New Roman" w:hint="default"/>
        </w:rPr>
        <w:t>)</w:t>
      </w:r>
      <w:r>
        <w:rPr>
          <w:rFonts w:ascii="Times New Roman" w:hAnsi="Times New Roman" w:cs="Times New Roman" w:eastAsia="Times New Roman" w:hint="default"/>
          <w:spacing w:val="23"/>
        </w:rPr>
        <w:t> </w:t>
      </w:r>
      <w:r>
        <w:rPr/>
        <w:t>递延收益</w:t>
      </w:r>
      <w:r>
        <w:rPr>
          <w:b w:val="0"/>
          <w:bCs w:val="0"/>
        </w:rPr>
      </w:r>
    </w:p>
    <w:p>
      <w:pPr>
        <w:spacing w:line="1110" w:lineRule="exact"/>
        <w:ind w:left="720" w:right="0" w:firstLine="0"/>
        <w:rPr>
          <w:rFonts w:ascii="宋体" w:hAnsi="宋体" w:cs="宋体" w:eastAsia="宋体" w:hint="default"/>
          <w:sz w:val="20"/>
          <w:szCs w:val="20"/>
        </w:rPr>
      </w:pPr>
      <w:r>
        <w:rPr>
          <w:rFonts w:ascii="宋体" w:hAnsi="宋体" w:cs="宋体" w:eastAsia="宋体" w:hint="default"/>
          <w:position w:val="-21"/>
          <w:sz w:val="20"/>
          <w:szCs w:val="20"/>
        </w:rPr>
        <w:pict>
          <v:group style="width:411.75pt;height:55.5pt;mso-position-horizontal-relative:char;mso-position-vertical-relative:line" coordorigin="0,0" coordsize="8235,1110">
            <v:group style="position:absolute;left:29;top:15;width:1192;height:2" coordorigin="29,15" coordsize="1192,2">
              <v:shape style="position:absolute;left:29;top:15;width:1192;height:2" coordorigin="29,15" coordsize="1192,0" path="m29,15l1221,15e" filled="false" stroked="true" strokeweight="1.5pt" strokecolor="#000000">
                <v:path arrowok="t"/>
              </v:shape>
              <v:shape style="position:absolute;left:1221;top:30;width:10;height:28" type="#_x0000_t75" stroked="false">
                <v:imagedata r:id="rId90" o:title=""/>
              </v:shape>
            </v:group>
            <v:group style="position:absolute;left:1221;top:15;width:1396;height:2" coordorigin="1221,15" coordsize="1396,2">
              <v:shape style="position:absolute;left:1221;top:15;width:1396;height:2" coordorigin="1221,15" coordsize="1396,0" path="m1221,15l2617,15e" filled="false" stroked="true" strokeweight="1.5pt" strokecolor="#000000">
                <v:path arrowok="t"/>
              </v:shape>
              <v:shape style="position:absolute;left:2617;top:30;width:10;height:28" type="#_x0000_t75" stroked="false">
                <v:imagedata r:id="rId90" o:title=""/>
              </v:shape>
            </v:group>
            <v:group style="position:absolute;left:2617;top:15;width:1371;height:2" coordorigin="2617,15" coordsize="1371,2">
              <v:shape style="position:absolute;left:2617;top:15;width:1371;height:2" coordorigin="2617,15" coordsize="1371,0" path="m2617,15l3987,15e" filled="false" stroked="true" strokeweight="1.5pt" strokecolor="#000000">
                <v:path arrowok="t"/>
              </v:shape>
              <v:shape style="position:absolute;left:3987;top:30;width:10;height:28" type="#_x0000_t75" stroked="false">
                <v:imagedata r:id="rId90" o:title=""/>
              </v:shape>
            </v:group>
            <v:group style="position:absolute;left:3987;top:15;width:1370;height:2" coordorigin="3987,15" coordsize="1370,2">
              <v:shape style="position:absolute;left:3987;top:15;width:1370;height:2" coordorigin="3987,15" coordsize="1370,0" path="m3987,15l5356,15e" filled="false" stroked="true" strokeweight="1.5pt" strokecolor="#000000">
                <v:path arrowok="t"/>
              </v:shape>
              <v:shape style="position:absolute;left:5356;top:30;width:10;height:28" type="#_x0000_t75" stroked="false">
                <v:imagedata r:id="rId90" o:title=""/>
              </v:shape>
            </v:group>
            <v:group style="position:absolute;left:5356;top:15;width:1397;height:2" coordorigin="5356,15" coordsize="1397,2">
              <v:shape style="position:absolute;left:5356;top:15;width:1397;height:2" coordorigin="5356,15" coordsize="1397,0" path="m5356,15l6753,15e" filled="false" stroked="true" strokeweight="1.5pt" strokecolor="#000000">
                <v:path arrowok="t"/>
              </v:shape>
              <v:shape style="position:absolute;left:6753;top:30;width:10;height:28" type="#_x0000_t75" stroked="false">
                <v:imagedata r:id="rId90" o:title=""/>
              </v:shape>
            </v:group>
            <v:group style="position:absolute;left:6753;top:15;width:1464;height:2" coordorigin="6753,15" coordsize="1464,2">
              <v:shape style="position:absolute;left:6753;top:15;width:1464;height:2" coordorigin="6753,15" coordsize="1464,0" path="m6753,15l8217,15e" filled="false" stroked="true" strokeweight="1.5pt" strokecolor="#000000">
                <v:path arrowok="t"/>
              </v:shape>
              <v:shape style="position:absolute;left:1202;top:38;width:5580;height:354" type="#_x0000_t75" stroked="false">
                <v:imagedata r:id="rId281" o:title=""/>
              </v:shape>
            </v:group>
            <v:group style="position:absolute;left:15;top:1095;width:1206;height:2" coordorigin="15,1095" coordsize="1206,2">
              <v:shape style="position:absolute;left:15;top:1095;width:1206;height:2" coordorigin="15,1095" coordsize="1206,0" path="m15,1095l1221,1095e" filled="false" stroked="true" strokeweight="1.5pt" strokecolor="#000000">
                <v:path arrowok="t"/>
              </v:shape>
            </v:group>
            <v:group style="position:absolute;left:1221;top:1095;width:1396;height:2" coordorigin="1221,1095" coordsize="1396,2">
              <v:shape style="position:absolute;left:1221;top:1095;width:1396;height:2" coordorigin="1221,1095" coordsize="1396,0" path="m1221,1095l2617,1095e" filled="false" stroked="true" strokeweight="1.5pt" strokecolor="#000000">
                <v:path arrowok="t"/>
              </v:shape>
            </v:group>
            <v:group style="position:absolute;left:2617;top:1095;width:1371;height:2" coordorigin="2617,1095" coordsize="1371,2">
              <v:shape style="position:absolute;left:2617;top:1095;width:1371;height:2" coordorigin="2617,1095" coordsize="1371,0" path="m2617,1095l3987,1095e" filled="false" stroked="true" strokeweight="1.5pt" strokecolor="#000000">
                <v:path arrowok="t"/>
              </v:shape>
            </v:group>
            <v:group style="position:absolute;left:3987;top:1095;width:1370;height:2" coordorigin="3987,1095" coordsize="1370,2">
              <v:shape style="position:absolute;left:3987;top:1095;width:1370;height:2" coordorigin="3987,1095" coordsize="1370,0" path="m3987,1095l5356,1095e" filled="false" stroked="true" strokeweight="1.5pt" strokecolor="#000000">
                <v:path arrowok="t"/>
              </v:shape>
            </v:group>
            <v:group style="position:absolute;left:5356;top:1095;width:1397;height:2" coordorigin="5356,1095" coordsize="1397,2">
              <v:shape style="position:absolute;left:5356;top:1095;width:1397;height:2" coordorigin="5356,1095" coordsize="1397,0" path="m5356,1095l6753,1095e" filled="false" stroked="true" strokeweight="1.5pt" strokecolor="#000000">
                <v:path arrowok="t"/>
              </v:shape>
              <v:shape style="position:absolute;left:17;top:360;width:8218;height:720" type="#_x0000_t75" stroked="false">
                <v:imagedata r:id="rId282" o:title=""/>
              </v:shape>
            </v:group>
            <v:group style="position:absolute;left:6753;top:1095;width:1464;height:2" coordorigin="6753,1095" coordsize="1464,2">
              <v:shape style="position:absolute;left:6753;top:1095;width:1464;height:2" coordorigin="6753,1095" coordsize="1464,0" path="m6753,1095l8217,1095e" filled="false" stroked="true" strokeweight="1.5pt" strokecolor="#000000">
                <v:path arrowok="t"/>
              </v:shape>
              <v:shape style="position:absolute;left:467;top:121;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项目</w:t>
                      </w:r>
                      <w:r>
                        <w:rPr>
                          <w:rFonts w:ascii="宋体" w:hAnsi="宋体" w:cs="宋体" w:eastAsia="宋体" w:hint="default"/>
                          <w:sz w:val="16"/>
                          <w:szCs w:val="16"/>
                        </w:rPr>
                      </w:r>
                    </w:p>
                  </w:txbxContent>
                </v:textbox>
                <w10:wrap type="none"/>
              </v:shape>
              <v:shape style="position:absolute;left:1603;top:121;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年初余额</w:t>
                      </w:r>
                      <w:r>
                        <w:rPr>
                          <w:rFonts w:ascii="宋体" w:hAnsi="宋体" w:cs="宋体" w:eastAsia="宋体" w:hint="default"/>
                          <w:sz w:val="16"/>
                          <w:szCs w:val="16"/>
                        </w:rPr>
                      </w:r>
                    </w:p>
                  </w:txbxContent>
                </v:textbox>
                <w10:wrap type="none"/>
              </v:shape>
              <v:shape style="position:absolute;left:2985;top:121;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本期增加</w:t>
                      </w:r>
                      <w:r>
                        <w:rPr>
                          <w:rFonts w:ascii="宋体" w:hAnsi="宋体" w:cs="宋体" w:eastAsia="宋体" w:hint="default"/>
                          <w:sz w:val="16"/>
                          <w:szCs w:val="16"/>
                        </w:rPr>
                      </w:r>
                    </w:p>
                  </w:txbxContent>
                </v:textbox>
                <w10:wrap type="none"/>
              </v:shape>
              <v:shape style="position:absolute;left:4355;top:121;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本期减少</w:t>
                      </w:r>
                      <w:r>
                        <w:rPr>
                          <w:rFonts w:ascii="宋体" w:hAnsi="宋体" w:cs="宋体" w:eastAsia="宋体" w:hint="default"/>
                          <w:sz w:val="16"/>
                          <w:szCs w:val="16"/>
                        </w:rPr>
                      </w:r>
                    </w:p>
                  </w:txbxContent>
                </v:textbox>
                <w10:wrap type="none"/>
              </v:shape>
              <v:shape style="position:absolute;left:5739;top:121;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7167;top:121;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形成原因</w:t>
                      </w:r>
                      <w:r>
                        <w:rPr>
                          <w:rFonts w:ascii="宋体" w:hAnsi="宋体" w:cs="宋体" w:eastAsia="宋体" w:hint="default"/>
                          <w:sz w:val="16"/>
                          <w:szCs w:val="16"/>
                        </w:rPr>
                      </w:r>
                    </w:p>
                  </w:txbxContent>
                </v:textbox>
                <w10:wrap type="none"/>
              </v:shape>
              <v:shape style="position:absolute;left:137;top:475;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政府补助</w:t>
                      </w:r>
                      <w:r>
                        <w:rPr>
                          <w:rFonts w:ascii="宋体" w:hAnsi="宋体" w:cs="宋体" w:eastAsia="宋体" w:hint="default"/>
                          <w:sz w:val="16"/>
                          <w:szCs w:val="16"/>
                        </w:rPr>
                      </w:r>
                    </w:p>
                  </w:txbxContent>
                </v:textbox>
                <w10:wrap type="none"/>
              </v:shape>
              <v:shape style="position:absolute;left:1513;top:488;width:100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329,004,231.26</w:t>
                      </w:r>
                      <w:r>
                        <w:rPr>
                          <w:rFonts w:ascii="Times New Roman"/>
                          <w:sz w:val="16"/>
                        </w:rPr>
                      </w:r>
                    </w:p>
                  </w:txbxContent>
                </v:textbox>
                <w10:wrap type="none"/>
              </v:shape>
              <v:shape style="position:absolute;left:2962;top:488;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90,219,060.75</w:t>
                      </w:r>
                      <w:r>
                        <w:rPr>
                          <w:rFonts w:ascii="Times New Roman"/>
                          <w:sz w:val="16"/>
                        </w:rPr>
                      </w:r>
                    </w:p>
                  </w:txbxContent>
                </v:textbox>
                <w10:wrap type="none"/>
              </v:shape>
              <v:shape style="position:absolute;left:4333;top:488;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79,059,103.28</w:t>
                      </w:r>
                      <w:r>
                        <w:rPr>
                          <w:rFonts w:ascii="Times New Roman"/>
                          <w:sz w:val="16"/>
                        </w:rPr>
                      </w:r>
                    </w:p>
                  </w:txbxContent>
                </v:textbox>
                <w10:wrap type="none"/>
              </v:shape>
              <v:shape style="position:absolute;left:5649;top:488;width:100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340,164,188.73</w:t>
                      </w:r>
                      <w:r>
                        <w:rPr>
                          <w:rFonts w:ascii="Times New Roman"/>
                          <w:sz w:val="16"/>
                        </w:rPr>
                      </w:r>
                    </w:p>
                  </w:txbxContent>
                </v:textbox>
                <w10:wrap type="none"/>
              </v:shape>
              <v:shape style="position:absolute;left:7469;top:475;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财政拨款</w:t>
                      </w:r>
                      <w:r>
                        <w:rPr>
                          <w:rFonts w:ascii="宋体" w:hAnsi="宋体" w:cs="宋体" w:eastAsia="宋体" w:hint="default"/>
                          <w:sz w:val="16"/>
                          <w:szCs w:val="16"/>
                        </w:rPr>
                      </w:r>
                    </w:p>
                  </w:txbxContent>
                </v:textbox>
                <w10:wrap type="none"/>
              </v:shape>
              <v:shape style="position:absolute;left:467;top:828;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合计</w:t>
                      </w:r>
                      <w:r>
                        <w:rPr>
                          <w:rFonts w:ascii="宋体" w:hAnsi="宋体" w:cs="宋体" w:eastAsia="宋体" w:hint="default"/>
                          <w:sz w:val="16"/>
                          <w:szCs w:val="16"/>
                        </w:rPr>
                      </w:r>
                    </w:p>
                  </w:txbxContent>
                </v:textbox>
                <w10:wrap type="none"/>
              </v:shape>
              <v:shape style="position:absolute;left:1513;top:842;width:100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329,004,231.26</w:t>
                      </w:r>
                      <w:r>
                        <w:rPr>
                          <w:rFonts w:ascii="Times New Roman"/>
                          <w:sz w:val="16"/>
                        </w:rPr>
                      </w:r>
                    </w:p>
                  </w:txbxContent>
                </v:textbox>
                <w10:wrap type="none"/>
              </v:shape>
              <v:shape style="position:absolute;left:2962;top:842;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90,219,060.75</w:t>
                      </w:r>
                      <w:r>
                        <w:rPr>
                          <w:rFonts w:ascii="Times New Roman"/>
                          <w:sz w:val="16"/>
                        </w:rPr>
                      </w:r>
                    </w:p>
                  </w:txbxContent>
                </v:textbox>
                <w10:wrap type="none"/>
              </v:shape>
              <v:shape style="position:absolute;left:4333;top:842;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79,059,103.28</w:t>
                      </w:r>
                      <w:r>
                        <w:rPr>
                          <w:rFonts w:ascii="Times New Roman"/>
                          <w:sz w:val="16"/>
                        </w:rPr>
                      </w:r>
                    </w:p>
                  </w:txbxContent>
                </v:textbox>
                <w10:wrap type="none"/>
              </v:shape>
              <v:shape style="position:absolute;left:5649;top:842;width:100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340,164,188.73</w:t>
                      </w:r>
                      <w:r>
                        <w:rPr>
                          <w:rFonts w:ascii="Times New Roman"/>
                          <w:sz w:val="16"/>
                        </w:rPr>
                      </w:r>
                    </w:p>
                  </w:txbxContent>
                </v:textbox>
                <w10:wrap type="none"/>
              </v:shape>
            </v:group>
          </v:group>
        </w:pict>
      </w:r>
      <w:r>
        <w:rPr>
          <w:rFonts w:ascii="宋体" w:hAnsi="宋体" w:cs="宋体" w:eastAsia="宋体" w:hint="default"/>
          <w:position w:val="-21"/>
          <w:sz w:val="20"/>
          <w:szCs w:val="20"/>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6"/>
          <w:szCs w:val="16"/>
        </w:rPr>
      </w:pPr>
    </w:p>
    <w:p>
      <w:pPr>
        <w:pStyle w:val="BodyText"/>
        <w:spacing w:line="240" w:lineRule="auto" w:before="35"/>
        <w:ind w:left="851" w:right="3681"/>
        <w:jc w:val="left"/>
      </w:pPr>
      <w:r>
        <w:rPr/>
        <w:pict>
          <v:group style="position:absolute;margin-left:119.010002pt;margin-top:17.073967pt;width:411.9pt;height:512.8pt;mso-position-horizontal-relative:page;mso-position-vertical-relative:paragraph;z-index:-1380736" coordorigin="2380,341" coordsize="8238,10256">
            <v:group style="position:absolute;left:2410;top:356;width:1102;height:2" coordorigin="2410,356" coordsize="1102,2">
              <v:shape style="position:absolute;left:2410;top:356;width:1102;height:2" coordorigin="2410,356" coordsize="1102,0" path="m2410,356l3511,356e" filled="false" stroked="true" strokeweight="1.5pt" strokecolor="#000000">
                <v:path arrowok="t"/>
              </v:shape>
              <v:shape style="position:absolute;left:3511;top:371;width:10;height:28" type="#_x0000_t75" stroked="false">
                <v:imagedata r:id="rId61" o:title=""/>
              </v:shape>
            </v:group>
            <v:group style="position:absolute;left:3511;top:356;width:1341;height:2" coordorigin="3511,356" coordsize="1341,2">
              <v:shape style="position:absolute;left:3511;top:356;width:1341;height:2" coordorigin="3511,356" coordsize="1341,0" path="m3511,356l4852,356e" filled="false" stroked="true" strokeweight="1.5pt" strokecolor="#000000">
                <v:path arrowok="t"/>
              </v:shape>
              <v:shape style="position:absolute;left:4852;top:371;width:10;height:28" type="#_x0000_t75" stroked="false">
                <v:imagedata r:id="rId61" o:title=""/>
              </v:shape>
            </v:group>
            <v:group style="position:absolute;left:4852;top:356;width:1252;height:2" coordorigin="4852,356" coordsize="1252,2">
              <v:shape style="position:absolute;left:4852;top:356;width:1252;height:2" coordorigin="4852,356" coordsize="1252,0" path="m4852,356l6103,356e" filled="false" stroked="true" strokeweight="1.5pt" strokecolor="#000000">
                <v:path arrowok="t"/>
              </v:shape>
              <v:shape style="position:absolute;left:6103;top:371;width:10;height:28" type="#_x0000_t75" stroked="false">
                <v:imagedata r:id="rId61" o:title=""/>
              </v:shape>
            </v:group>
            <v:group style="position:absolute;left:6103;top:356;width:1258;height:2" coordorigin="6103,356" coordsize="1258,2">
              <v:shape style="position:absolute;left:6103;top:356;width:1258;height:2" coordorigin="6103,356" coordsize="1258,0" path="m6103,356l7361,356e" filled="false" stroked="true" strokeweight="1.5pt" strokecolor="#000000">
                <v:path arrowok="t"/>
              </v:shape>
              <v:shape style="position:absolute;left:7361;top:371;width:10;height:28" type="#_x0000_t75" stroked="false">
                <v:imagedata r:id="rId61" o:title=""/>
              </v:shape>
            </v:group>
            <v:group style="position:absolute;left:7361;top:356;width:1245;height:2" coordorigin="7361,356" coordsize="1245,2">
              <v:shape style="position:absolute;left:7361;top:356;width:1245;height:2" coordorigin="7361,356" coordsize="1245,0" path="m7361,356l8605,356e" filled="false" stroked="true" strokeweight="1.5pt" strokecolor="#000000">
                <v:path arrowok="t"/>
              </v:shape>
              <v:shape style="position:absolute;left:8605;top:371;width:10;height:28" type="#_x0000_t75" stroked="false">
                <v:imagedata r:id="rId61" o:title=""/>
              </v:shape>
            </v:group>
            <v:group style="position:absolute;left:8605;top:356;width:1341;height:2" coordorigin="8605,356" coordsize="1341,2">
              <v:shape style="position:absolute;left:8605;top:356;width:1341;height:2" coordorigin="8605,356" coordsize="1341,0" path="m8605,356l9946,356e" filled="false" stroked="true" strokeweight="1.5pt" strokecolor="#000000">
                <v:path arrowok="t"/>
              </v:shape>
              <v:shape style="position:absolute;left:9946;top:371;width:10;height:28" type="#_x0000_t75" stroked="false">
                <v:imagedata r:id="rId61" o:title=""/>
              </v:shape>
            </v:group>
            <v:group style="position:absolute;left:9946;top:356;width:652;height:2" coordorigin="9946,356" coordsize="652,2">
              <v:shape style="position:absolute;left:9946;top:356;width:652;height:2" coordorigin="9946,356" coordsize="652,0" path="m9946,356l10597,356e" filled="false" stroked="true" strokeweight="1.5pt" strokecolor="#000000">
                <v:path arrowok="t"/>
              </v:shape>
              <v:shape style="position:absolute;left:3492;top:380;width:6482;height:866" type="#_x0000_t75" stroked="false">
                <v:imagedata r:id="rId283" o:title=""/>
              </v:shape>
            </v:group>
            <v:group style="position:absolute;left:2395;top:10582;width:1116;height:2" coordorigin="2395,10582" coordsize="1116,2">
              <v:shape style="position:absolute;left:2395;top:10582;width:1116;height:2" coordorigin="2395,10582" coordsize="1116,0" path="m2395,10582l3511,10582e" filled="false" stroked="true" strokeweight="1.5pt" strokecolor="#000000">
                <v:path arrowok="t"/>
              </v:shape>
            </v:group>
            <v:group style="position:absolute;left:3511;top:10582;width:1341;height:2" coordorigin="3511,10582" coordsize="1341,2">
              <v:shape style="position:absolute;left:3511;top:10582;width:1341;height:2" coordorigin="3511,10582" coordsize="1341,0" path="m3511,10582l4852,10582e" filled="false" stroked="true" strokeweight="1.5pt" strokecolor="#000000">
                <v:path arrowok="t"/>
              </v:shape>
            </v:group>
            <v:group style="position:absolute;left:4852;top:10582;width:1252;height:2" coordorigin="4852,10582" coordsize="1252,2">
              <v:shape style="position:absolute;left:4852;top:10582;width:1252;height:2" coordorigin="4852,10582" coordsize="1252,0" path="m4852,10582l6103,10582e" filled="false" stroked="true" strokeweight="1.5pt" strokecolor="#000000">
                <v:path arrowok="t"/>
              </v:shape>
            </v:group>
            <v:group style="position:absolute;left:6103;top:10582;width:1258;height:2" coordorigin="6103,10582" coordsize="1258,2">
              <v:shape style="position:absolute;left:6103;top:10582;width:1258;height:2" coordorigin="6103,10582" coordsize="1258,0" path="m6103,10582l7361,10582e" filled="false" stroked="true" strokeweight="1.5pt" strokecolor="#000000">
                <v:path arrowok="t"/>
              </v:shape>
            </v:group>
            <v:group style="position:absolute;left:7361;top:10582;width:1245;height:2" coordorigin="7361,10582" coordsize="1245,2">
              <v:shape style="position:absolute;left:7361;top:10582;width:1245;height:2" coordorigin="7361,10582" coordsize="1245,0" path="m7361,10582l8605,10582e" filled="false" stroked="true" strokeweight="1.5pt" strokecolor="#000000">
                <v:path arrowok="t"/>
              </v:shape>
            </v:group>
            <v:group style="position:absolute;left:8605;top:10582;width:1341;height:2" coordorigin="8605,10582" coordsize="1341,2">
              <v:shape style="position:absolute;left:8605;top:10582;width:1341;height:2" coordorigin="8605,10582" coordsize="1341,0" path="m8605,10582l9946,10582e" filled="false" stroked="true" strokeweight="1.5pt" strokecolor="#000000">
                <v:path arrowok="t"/>
              </v:shape>
              <v:shape style="position:absolute;left:2390;top:1214;width:8227;height:9353" type="#_x0000_t75" stroked="false">
                <v:imagedata r:id="rId284" o:title=""/>
              </v:shape>
            </v:group>
            <v:group style="position:absolute;left:9946;top:10582;width:652;height:2" coordorigin="9946,10582" coordsize="652,2">
              <v:shape style="position:absolute;left:9946;top:10582;width:652;height:2" coordorigin="9946,10582" coordsize="652,0" path="m9946,10582l10597,10582e" filled="false" stroked="true" strokeweight="1.5pt" strokecolor="#000000">
                <v:path arrowok="t"/>
              </v:shape>
              <v:shape style="position:absolute;left:10063;top:437;width:422;height:141" type="#_x0000_t202" filled="false" stroked="false">
                <v:textbox inset="0,0,0,0">
                  <w:txbxContent>
                    <w:p>
                      <w:pPr>
                        <w:spacing w:line="140" w:lineRule="exact" w:before="0"/>
                        <w:ind w:left="0" w:right="0" w:firstLine="0"/>
                        <w:jc w:val="left"/>
                        <w:rPr>
                          <w:rFonts w:ascii="宋体" w:hAnsi="宋体" w:cs="宋体" w:eastAsia="宋体" w:hint="default"/>
                          <w:sz w:val="14"/>
                          <w:szCs w:val="14"/>
                        </w:rPr>
                      </w:pPr>
                      <w:r>
                        <w:rPr>
                          <w:rFonts w:ascii="宋体" w:hAnsi="宋体" w:cs="宋体" w:eastAsia="宋体" w:hint="default"/>
                          <w:sz w:val="14"/>
                          <w:szCs w:val="14"/>
                        </w:rPr>
                        <w:t>与资产</w:t>
                      </w:r>
                    </w:p>
                  </w:txbxContent>
                </v:textbox>
                <w10:wrap type="none"/>
              </v:shape>
              <v:shape style="position:absolute;left:2822;top:737;width:281;height:141" type="#_x0000_t202" filled="false" stroked="false">
                <v:textbox inset="0,0,0,0">
                  <w:txbxContent>
                    <w:p>
                      <w:pPr>
                        <w:spacing w:line="140" w:lineRule="exact" w:before="0"/>
                        <w:ind w:left="0" w:right="0" w:firstLine="0"/>
                        <w:jc w:val="left"/>
                        <w:rPr>
                          <w:rFonts w:ascii="宋体" w:hAnsi="宋体" w:cs="宋体" w:eastAsia="宋体" w:hint="default"/>
                          <w:sz w:val="14"/>
                          <w:szCs w:val="14"/>
                        </w:rPr>
                      </w:pPr>
                      <w:r>
                        <w:rPr>
                          <w:rFonts w:ascii="宋体" w:hAnsi="宋体" w:cs="宋体" w:eastAsia="宋体" w:hint="default"/>
                          <w:sz w:val="14"/>
                          <w:szCs w:val="14"/>
                        </w:rPr>
                        <w:t>项目</w:t>
                      </w:r>
                    </w:p>
                  </w:txbxContent>
                </v:textbox>
                <w10:wrap type="none"/>
              </v:shape>
              <v:shape style="position:absolute;left:3905;top:737;width:562;height:141" type="#_x0000_t202" filled="false" stroked="false">
                <v:textbox inset="0,0,0,0">
                  <w:txbxContent>
                    <w:p>
                      <w:pPr>
                        <w:spacing w:line="140" w:lineRule="exact" w:before="0"/>
                        <w:ind w:left="0" w:right="0" w:firstLine="0"/>
                        <w:jc w:val="left"/>
                        <w:rPr>
                          <w:rFonts w:ascii="宋体" w:hAnsi="宋体" w:cs="宋体" w:eastAsia="宋体" w:hint="default"/>
                          <w:sz w:val="14"/>
                          <w:szCs w:val="14"/>
                        </w:rPr>
                      </w:pPr>
                      <w:r>
                        <w:rPr>
                          <w:rFonts w:ascii="宋体" w:hAnsi="宋体" w:cs="宋体" w:eastAsia="宋体" w:hint="default"/>
                          <w:sz w:val="14"/>
                          <w:szCs w:val="14"/>
                        </w:rPr>
                        <w:t>年初余额</w:t>
                      </w:r>
                    </w:p>
                  </w:txbxContent>
                </v:textbox>
                <w10:wrap type="none"/>
              </v:shape>
              <v:shape style="position:absolute;left:5062;top:637;width:842;height:341" type="#_x0000_t202" filled="false" stroked="false">
                <v:textbox inset="0,0,0,0">
                  <w:txbxContent>
                    <w:p>
                      <w:pPr>
                        <w:spacing w:line="140" w:lineRule="exact" w:before="0"/>
                        <w:ind w:left="0" w:right="0" w:firstLine="0"/>
                        <w:jc w:val="center"/>
                        <w:rPr>
                          <w:rFonts w:ascii="宋体" w:hAnsi="宋体" w:cs="宋体" w:eastAsia="宋体" w:hint="default"/>
                          <w:sz w:val="14"/>
                          <w:szCs w:val="14"/>
                        </w:rPr>
                      </w:pPr>
                      <w:r>
                        <w:rPr>
                          <w:rFonts w:ascii="宋体" w:hAnsi="宋体" w:cs="宋体" w:eastAsia="宋体" w:hint="default"/>
                          <w:spacing w:val="-1"/>
                          <w:sz w:val="14"/>
                          <w:szCs w:val="14"/>
                        </w:rPr>
                        <w:t>本期新增补助</w:t>
                      </w:r>
                    </w:p>
                    <w:p>
                      <w:pPr>
                        <w:spacing w:before="17"/>
                        <w:ind w:left="1" w:right="0" w:firstLine="0"/>
                        <w:jc w:val="center"/>
                        <w:rPr>
                          <w:rFonts w:ascii="宋体" w:hAnsi="宋体" w:cs="宋体" w:eastAsia="宋体" w:hint="default"/>
                          <w:sz w:val="14"/>
                          <w:szCs w:val="14"/>
                        </w:rPr>
                      </w:pPr>
                      <w:r>
                        <w:rPr>
                          <w:rFonts w:ascii="宋体" w:hAnsi="宋体" w:cs="宋体" w:eastAsia="宋体" w:hint="default"/>
                          <w:sz w:val="14"/>
                          <w:szCs w:val="14"/>
                        </w:rPr>
                        <w:t>金额</w:t>
                      </w:r>
                    </w:p>
                  </w:txbxContent>
                </v:textbox>
                <w10:wrap type="none"/>
              </v:shape>
              <v:shape style="position:absolute;left:6245;top:637;width:982;height:341" type="#_x0000_t202" filled="false" stroked="false">
                <v:textbox inset="0,0,0,0">
                  <w:txbxContent>
                    <w:p>
                      <w:pPr>
                        <w:spacing w:line="140" w:lineRule="exact" w:before="0"/>
                        <w:ind w:left="0" w:right="0" w:firstLine="0"/>
                        <w:jc w:val="center"/>
                        <w:rPr>
                          <w:rFonts w:ascii="宋体" w:hAnsi="宋体" w:cs="宋体" w:eastAsia="宋体" w:hint="default"/>
                          <w:sz w:val="14"/>
                          <w:szCs w:val="14"/>
                        </w:rPr>
                      </w:pPr>
                      <w:r>
                        <w:rPr>
                          <w:rFonts w:ascii="宋体" w:hAnsi="宋体" w:cs="宋体" w:eastAsia="宋体" w:hint="default"/>
                          <w:spacing w:val="-1"/>
                          <w:sz w:val="14"/>
                          <w:szCs w:val="14"/>
                        </w:rPr>
                        <w:t>本期计入当期损</w:t>
                      </w:r>
                    </w:p>
                    <w:p>
                      <w:pPr>
                        <w:spacing w:before="17"/>
                        <w:ind w:left="1" w:right="0" w:firstLine="0"/>
                        <w:jc w:val="center"/>
                        <w:rPr>
                          <w:rFonts w:ascii="宋体" w:hAnsi="宋体" w:cs="宋体" w:eastAsia="宋体" w:hint="default"/>
                          <w:sz w:val="14"/>
                          <w:szCs w:val="14"/>
                        </w:rPr>
                      </w:pPr>
                      <w:r>
                        <w:rPr>
                          <w:rFonts w:ascii="宋体" w:hAnsi="宋体" w:cs="宋体" w:eastAsia="宋体" w:hint="default"/>
                          <w:sz w:val="14"/>
                          <w:szCs w:val="14"/>
                        </w:rPr>
                        <w:t>益金额</w:t>
                      </w:r>
                    </w:p>
                  </w:txbxContent>
                </v:textbox>
                <w10:wrap type="none"/>
              </v:shape>
              <v:shape style="position:absolute;left:7706;top:737;width:562;height:141" type="#_x0000_t202" filled="false" stroked="false">
                <v:textbox inset="0,0,0,0">
                  <w:txbxContent>
                    <w:p>
                      <w:pPr>
                        <w:spacing w:line="140" w:lineRule="exact" w:before="0"/>
                        <w:ind w:left="0" w:right="0" w:firstLine="0"/>
                        <w:jc w:val="left"/>
                        <w:rPr>
                          <w:rFonts w:ascii="宋体" w:hAnsi="宋体" w:cs="宋体" w:eastAsia="宋体" w:hint="default"/>
                          <w:sz w:val="14"/>
                          <w:szCs w:val="14"/>
                        </w:rPr>
                      </w:pPr>
                      <w:r>
                        <w:rPr>
                          <w:rFonts w:ascii="宋体" w:hAnsi="宋体" w:cs="宋体" w:eastAsia="宋体" w:hint="default"/>
                          <w:sz w:val="14"/>
                          <w:szCs w:val="14"/>
                        </w:rPr>
                        <w:t>其他变动</w:t>
                      </w:r>
                    </w:p>
                  </w:txbxContent>
                </v:textbox>
                <w10:wrap type="none"/>
              </v:shape>
              <v:shape style="position:absolute;left:8999;top:737;width:562;height:141" type="#_x0000_t202" filled="false" stroked="false">
                <v:textbox inset="0,0,0,0">
                  <w:txbxContent>
                    <w:p>
                      <w:pPr>
                        <w:spacing w:line="140" w:lineRule="exact" w:before="0"/>
                        <w:ind w:left="0" w:right="0" w:firstLine="0"/>
                        <w:jc w:val="left"/>
                        <w:rPr>
                          <w:rFonts w:ascii="宋体" w:hAnsi="宋体" w:cs="宋体" w:eastAsia="宋体" w:hint="default"/>
                          <w:sz w:val="14"/>
                          <w:szCs w:val="14"/>
                        </w:rPr>
                      </w:pPr>
                      <w:r>
                        <w:rPr>
                          <w:rFonts w:ascii="宋体" w:hAnsi="宋体" w:cs="宋体" w:eastAsia="宋体" w:hint="default"/>
                          <w:sz w:val="14"/>
                          <w:szCs w:val="14"/>
                        </w:rPr>
                        <w:t>期末余额</w:t>
                      </w:r>
                    </w:p>
                  </w:txbxContent>
                </v:textbox>
                <w10:wrap type="none"/>
              </v:shape>
              <v:shape style="position:absolute;left:10063;top:637;width:422;height:540" type="#_x0000_t202" filled="false" stroked="false">
                <v:textbox inset="0,0,0,0">
                  <w:txbxContent>
                    <w:p>
                      <w:pPr>
                        <w:spacing w:line="151" w:lineRule="exact" w:before="0"/>
                        <w:ind w:left="0" w:right="0" w:firstLine="50"/>
                        <w:jc w:val="left"/>
                        <w:rPr>
                          <w:rFonts w:ascii="Times New Roman" w:hAnsi="Times New Roman" w:cs="Times New Roman" w:eastAsia="Times New Roman" w:hint="default"/>
                          <w:sz w:val="14"/>
                          <w:szCs w:val="14"/>
                        </w:rPr>
                      </w:pPr>
                      <w:r>
                        <w:rPr>
                          <w:rFonts w:ascii="宋体" w:hAnsi="宋体" w:cs="宋体" w:eastAsia="宋体" w:hint="default"/>
                          <w:sz w:val="14"/>
                          <w:szCs w:val="14"/>
                        </w:rPr>
                        <w:t>相关</w:t>
                      </w:r>
                      <w:r>
                        <w:rPr>
                          <w:rFonts w:ascii="Times New Roman" w:hAnsi="Times New Roman" w:cs="Times New Roman" w:eastAsia="Times New Roman" w:hint="default"/>
                          <w:sz w:val="14"/>
                          <w:szCs w:val="14"/>
                        </w:rPr>
                        <w:t>/</w:t>
                      </w:r>
                    </w:p>
                    <w:p>
                      <w:pPr>
                        <w:spacing w:line="261" w:lineRule="auto" w:before="6"/>
                        <w:ind w:left="70" w:right="0" w:hanging="71"/>
                        <w:jc w:val="left"/>
                        <w:rPr>
                          <w:rFonts w:ascii="宋体" w:hAnsi="宋体" w:cs="宋体" w:eastAsia="宋体" w:hint="default"/>
                          <w:sz w:val="14"/>
                          <w:szCs w:val="14"/>
                        </w:rPr>
                      </w:pPr>
                      <w:r>
                        <w:rPr>
                          <w:rFonts w:ascii="宋体" w:hAnsi="宋体" w:cs="宋体" w:eastAsia="宋体" w:hint="default"/>
                          <w:sz w:val="14"/>
                          <w:szCs w:val="14"/>
                        </w:rPr>
                        <w:t>与收益</w:t>
                      </w:r>
                      <w:r>
                        <w:rPr>
                          <w:rFonts w:ascii="宋体" w:hAnsi="宋体" w:cs="宋体" w:eastAsia="宋体" w:hint="default"/>
                          <w:w w:val="100"/>
                          <w:sz w:val="14"/>
                          <w:szCs w:val="14"/>
                        </w:rPr>
                        <w:t> </w:t>
                      </w:r>
                      <w:r>
                        <w:rPr>
                          <w:rFonts w:ascii="宋体" w:hAnsi="宋体" w:cs="宋体" w:eastAsia="宋体" w:hint="default"/>
                          <w:sz w:val="14"/>
                          <w:szCs w:val="14"/>
                        </w:rPr>
                        <w:t>相关</w:t>
                      </w:r>
                    </w:p>
                  </w:txbxContent>
                </v:textbox>
                <w10:wrap type="none"/>
              </v:shape>
              <v:shape style="position:absolute;left:2518;top:1303;width:901;height:540" type="#_x0000_t202" filled="false" stroked="false">
                <v:textbox inset="0,0,0,0">
                  <w:txbxContent>
                    <w:p>
                      <w:pPr>
                        <w:spacing w:line="140" w:lineRule="exact" w:before="0"/>
                        <w:ind w:left="0" w:right="0" w:firstLine="0"/>
                        <w:jc w:val="left"/>
                        <w:rPr>
                          <w:rFonts w:ascii="宋体" w:hAnsi="宋体" w:cs="宋体" w:eastAsia="宋体" w:hint="default"/>
                          <w:sz w:val="14"/>
                          <w:szCs w:val="14"/>
                        </w:rPr>
                      </w:pPr>
                      <w:r>
                        <w:rPr>
                          <w:rFonts w:ascii="宋体" w:hAnsi="宋体" w:cs="宋体" w:eastAsia="宋体" w:hint="default"/>
                          <w:spacing w:val="8"/>
                          <w:sz w:val="14"/>
                          <w:szCs w:val="14"/>
                        </w:rPr>
                        <w:t>长沙市财政局</w:t>
                      </w:r>
                      <w:r>
                        <w:rPr>
                          <w:rFonts w:ascii="宋体" w:hAnsi="宋体" w:cs="宋体" w:eastAsia="宋体" w:hint="default"/>
                          <w:sz w:val="14"/>
                          <w:szCs w:val="14"/>
                        </w:rPr>
                      </w:r>
                    </w:p>
                    <w:p>
                      <w:pPr>
                        <w:spacing w:line="261" w:lineRule="auto" w:before="17"/>
                        <w:ind w:left="0" w:right="0" w:firstLine="0"/>
                        <w:jc w:val="left"/>
                        <w:rPr>
                          <w:rFonts w:ascii="宋体" w:hAnsi="宋体" w:cs="宋体" w:eastAsia="宋体" w:hint="default"/>
                          <w:sz w:val="14"/>
                          <w:szCs w:val="14"/>
                        </w:rPr>
                      </w:pPr>
                      <w:r>
                        <w:rPr>
                          <w:rFonts w:ascii="宋体" w:hAnsi="宋体" w:cs="宋体" w:eastAsia="宋体" w:hint="default"/>
                          <w:spacing w:val="8"/>
                          <w:sz w:val="14"/>
                          <w:szCs w:val="14"/>
                        </w:rPr>
                        <w:t>高新区分局专</w:t>
                      </w:r>
                      <w:r>
                        <w:rPr>
                          <w:rFonts w:ascii="宋体" w:hAnsi="宋体" w:cs="宋体" w:eastAsia="宋体" w:hint="default"/>
                          <w:spacing w:val="-62"/>
                          <w:sz w:val="14"/>
                          <w:szCs w:val="14"/>
                        </w:rPr>
                        <w:t> </w:t>
                      </w:r>
                      <w:r>
                        <w:rPr>
                          <w:rFonts w:ascii="宋体" w:hAnsi="宋体" w:cs="宋体" w:eastAsia="宋体" w:hint="default"/>
                          <w:sz w:val="14"/>
                          <w:szCs w:val="14"/>
                        </w:rPr>
                        <w:t>项资金</w:t>
                      </w:r>
                    </w:p>
                  </w:txbxContent>
                </v:textbox>
                <w10:wrap type="none"/>
              </v:shape>
              <v:shape style="position:absolute;left:10058;top:1403;width:432;height:341" type="#_x0000_t202" filled="false" stroked="false">
                <v:textbox inset="0,0,0,0">
                  <w:txbxContent>
                    <w:p>
                      <w:pPr>
                        <w:spacing w:line="140" w:lineRule="exact" w:before="0"/>
                        <w:ind w:left="0" w:right="0" w:firstLine="0"/>
                        <w:jc w:val="left"/>
                        <w:rPr>
                          <w:rFonts w:ascii="宋体" w:hAnsi="宋体" w:cs="宋体" w:eastAsia="宋体" w:hint="default"/>
                          <w:sz w:val="14"/>
                          <w:szCs w:val="14"/>
                        </w:rPr>
                      </w:pPr>
                      <w:r>
                        <w:rPr>
                          <w:rFonts w:ascii="宋体" w:hAnsi="宋体" w:cs="宋体" w:eastAsia="宋体" w:hint="default"/>
                          <w:spacing w:val="2"/>
                          <w:sz w:val="14"/>
                          <w:szCs w:val="14"/>
                        </w:rPr>
                        <w:t>与资产</w:t>
                      </w:r>
                    </w:p>
                    <w:p>
                      <w:pPr>
                        <w:spacing w:before="17"/>
                        <w:ind w:left="0" w:right="0" w:firstLine="0"/>
                        <w:jc w:val="left"/>
                        <w:rPr>
                          <w:rFonts w:ascii="宋体" w:hAnsi="宋体" w:cs="宋体" w:eastAsia="宋体" w:hint="default"/>
                          <w:sz w:val="14"/>
                          <w:szCs w:val="14"/>
                        </w:rPr>
                      </w:pPr>
                      <w:r>
                        <w:rPr>
                          <w:rFonts w:ascii="宋体" w:hAnsi="宋体" w:cs="宋体" w:eastAsia="宋体" w:hint="default"/>
                          <w:sz w:val="14"/>
                          <w:szCs w:val="14"/>
                        </w:rPr>
                        <w:t>相关</w:t>
                      </w:r>
                    </w:p>
                  </w:txbxContent>
                </v:textbox>
                <w10:wrap type="none"/>
              </v:shape>
              <v:shape style="position:absolute;left:2518;top:2069;width:901;height:6302" type="#_x0000_t202" filled="false" stroked="false">
                <v:textbox inset="0,0,0,0">
                  <w:txbxContent>
                    <w:p>
                      <w:pPr>
                        <w:spacing w:line="140" w:lineRule="exact" w:before="0"/>
                        <w:ind w:left="0" w:right="0" w:firstLine="0"/>
                        <w:jc w:val="both"/>
                        <w:rPr>
                          <w:rFonts w:ascii="宋体" w:hAnsi="宋体" w:cs="宋体" w:eastAsia="宋体" w:hint="default"/>
                          <w:sz w:val="14"/>
                          <w:szCs w:val="14"/>
                        </w:rPr>
                      </w:pPr>
                      <w:r>
                        <w:rPr>
                          <w:rFonts w:ascii="宋体" w:hAnsi="宋体" w:cs="宋体" w:eastAsia="宋体" w:hint="default"/>
                          <w:sz w:val="14"/>
                          <w:szCs w:val="14"/>
                        </w:rPr>
                        <w:t>工业发展基金</w:t>
                      </w:r>
                    </w:p>
                    <w:p>
                      <w:pPr>
                        <w:spacing w:line="240" w:lineRule="auto" w:before="13"/>
                        <w:rPr>
                          <w:rFonts w:ascii="宋体" w:hAnsi="宋体" w:cs="宋体" w:eastAsia="宋体" w:hint="default"/>
                          <w:sz w:val="13"/>
                          <w:szCs w:val="13"/>
                        </w:rPr>
                      </w:pPr>
                    </w:p>
                    <w:p>
                      <w:pPr>
                        <w:spacing w:line="261" w:lineRule="auto" w:before="0"/>
                        <w:ind w:left="0" w:right="0" w:firstLine="0"/>
                        <w:jc w:val="both"/>
                        <w:rPr>
                          <w:rFonts w:ascii="宋体" w:hAnsi="宋体" w:cs="宋体" w:eastAsia="宋体" w:hint="default"/>
                          <w:sz w:val="14"/>
                          <w:szCs w:val="14"/>
                        </w:rPr>
                      </w:pPr>
                      <w:r>
                        <w:rPr>
                          <w:rFonts w:ascii="宋体" w:hAnsi="宋体" w:cs="宋体" w:eastAsia="宋体" w:hint="default"/>
                          <w:spacing w:val="8"/>
                          <w:sz w:val="14"/>
                          <w:szCs w:val="14"/>
                        </w:rPr>
                        <w:t>安全可靠技术</w:t>
                      </w:r>
                      <w:r>
                        <w:rPr>
                          <w:rFonts w:ascii="宋体" w:hAnsi="宋体" w:cs="宋体" w:eastAsia="宋体" w:hint="default"/>
                          <w:spacing w:val="-62"/>
                          <w:sz w:val="14"/>
                          <w:szCs w:val="14"/>
                        </w:rPr>
                        <w:t> </w:t>
                      </w:r>
                      <w:r>
                        <w:rPr>
                          <w:rFonts w:ascii="宋体" w:hAnsi="宋体" w:cs="宋体" w:eastAsia="宋体" w:hint="default"/>
                          <w:sz w:val="14"/>
                          <w:szCs w:val="14"/>
                        </w:rPr>
                        <w:t>支持</w:t>
                      </w:r>
                    </w:p>
                    <w:p>
                      <w:pPr>
                        <w:spacing w:line="261" w:lineRule="auto" w:before="70"/>
                        <w:ind w:left="0" w:right="0" w:firstLine="0"/>
                        <w:jc w:val="both"/>
                        <w:rPr>
                          <w:rFonts w:ascii="宋体" w:hAnsi="宋体" w:cs="宋体" w:eastAsia="宋体" w:hint="default"/>
                          <w:sz w:val="14"/>
                          <w:szCs w:val="14"/>
                        </w:rPr>
                      </w:pPr>
                      <w:r>
                        <w:rPr>
                          <w:rFonts w:ascii="宋体" w:hAnsi="宋体" w:cs="宋体" w:eastAsia="宋体" w:hint="default"/>
                          <w:spacing w:val="8"/>
                          <w:sz w:val="14"/>
                          <w:szCs w:val="14"/>
                        </w:rPr>
                        <w:t>长沙市财政局</w:t>
                      </w:r>
                      <w:r>
                        <w:rPr>
                          <w:rFonts w:ascii="宋体" w:hAnsi="宋体" w:cs="宋体" w:eastAsia="宋体" w:hint="default"/>
                          <w:spacing w:val="-62"/>
                          <w:sz w:val="14"/>
                          <w:szCs w:val="14"/>
                        </w:rPr>
                        <w:t> </w:t>
                      </w:r>
                      <w:r>
                        <w:rPr>
                          <w:rFonts w:ascii="宋体" w:hAnsi="宋体" w:cs="宋体" w:eastAsia="宋体" w:hint="default"/>
                          <w:spacing w:val="8"/>
                          <w:sz w:val="14"/>
                          <w:szCs w:val="14"/>
                        </w:rPr>
                        <w:t>高新区分局公</w:t>
                      </w:r>
                      <w:r>
                        <w:rPr>
                          <w:rFonts w:ascii="宋体" w:hAnsi="宋体" w:cs="宋体" w:eastAsia="宋体" w:hint="default"/>
                          <w:spacing w:val="-62"/>
                          <w:sz w:val="14"/>
                          <w:szCs w:val="14"/>
                        </w:rPr>
                        <w:t> </w:t>
                      </w:r>
                      <w:r>
                        <w:rPr>
                          <w:rFonts w:ascii="宋体" w:hAnsi="宋体" w:cs="宋体" w:eastAsia="宋体" w:hint="default"/>
                          <w:spacing w:val="8"/>
                          <w:sz w:val="14"/>
                          <w:szCs w:val="14"/>
                        </w:rPr>
                        <w:t>租房项目专项</w:t>
                      </w:r>
                      <w:r>
                        <w:rPr>
                          <w:rFonts w:ascii="宋体" w:hAnsi="宋体" w:cs="宋体" w:eastAsia="宋体" w:hint="default"/>
                          <w:spacing w:val="-62"/>
                          <w:sz w:val="14"/>
                          <w:szCs w:val="14"/>
                        </w:rPr>
                        <w:t> </w:t>
                      </w:r>
                      <w:r>
                        <w:rPr>
                          <w:rFonts w:ascii="宋体" w:hAnsi="宋体" w:cs="宋体" w:eastAsia="宋体" w:hint="default"/>
                          <w:sz w:val="14"/>
                          <w:szCs w:val="14"/>
                        </w:rPr>
                        <w:t>补助资金</w:t>
                      </w:r>
                    </w:p>
                    <w:p>
                      <w:pPr>
                        <w:spacing w:line="261" w:lineRule="auto" w:before="69"/>
                        <w:ind w:left="0" w:right="0" w:firstLine="0"/>
                        <w:jc w:val="both"/>
                        <w:rPr>
                          <w:rFonts w:ascii="宋体" w:hAnsi="宋体" w:cs="宋体" w:eastAsia="宋体" w:hint="default"/>
                          <w:sz w:val="14"/>
                          <w:szCs w:val="14"/>
                        </w:rPr>
                      </w:pPr>
                      <w:r>
                        <w:rPr>
                          <w:rFonts w:ascii="宋体" w:hAnsi="宋体" w:cs="宋体" w:eastAsia="宋体" w:hint="default"/>
                          <w:spacing w:val="8"/>
                          <w:sz w:val="14"/>
                          <w:szCs w:val="14"/>
                        </w:rPr>
                        <w:t>自主可控云平</w:t>
                      </w:r>
                      <w:r>
                        <w:rPr>
                          <w:rFonts w:ascii="宋体" w:hAnsi="宋体" w:cs="宋体" w:eastAsia="宋体" w:hint="default"/>
                          <w:spacing w:val="-62"/>
                          <w:sz w:val="14"/>
                          <w:szCs w:val="14"/>
                        </w:rPr>
                        <w:t> </w:t>
                      </w:r>
                      <w:r>
                        <w:rPr>
                          <w:rFonts w:ascii="宋体" w:hAnsi="宋体" w:cs="宋体" w:eastAsia="宋体" w:hint="default"/>
                          <w:sz w:val="14"/>
                          <w:szCs w:val="14"/>
                        </w:rPr>
                        <w:t>台实验室</w:t>
                      </w:r>
                    </w:p>
                    <w:p>
                      <w:pPr>
                        <w:spacing w:line="261" w:lineRule="auto" w:before="70"/>
                        <w:ind w:left="0" w:right="0" w:firstLine="0"/>
                        <w:jc w:val="both"/>
                        <w:rPr>
                          <w:rFonts w:ascii="宋体" w:hAnsi="宋体" w:cs="宋体" w:eastAsia="宋体" w:hint="default"/>
                          <w:sz w:val="14"/>
                          <w:szCs w:val="14"/>
                        </w:rPr>
                      </w:pPr>
                      <w:r>
                        <w:rPr>
                          <w:rFonts w:ascii="宋体" w:hAnsi="宋体" w:cs="宋体" w:eastAsia="宋体" w:hint="default"/>
                          <w:spacing w:val="8"/>
                          <w:sz w:val="14"/>
                          <w:szCs w:val="14"/>
                        </w:rPr>
                        <w:t>财政局移动互</w:t>
                      </w:r>
                      <w:r>
                        <w:rPr>
                          <w:rFonts w:ascii="宋体" w:hAnsi="宋体" w:cs="宋体" w:eastAsia="宋体" w:hint="default"/>
                          <w:spacing w:val="-62"/>
                          <w:sz w:val="14"/>
                          <w:szCs w:val="14"/>
                        </w:rPr>
                        <w:t> </w:t>
                      </w:r>
                      <w:r>
                        <w:rPr>
                          <w:rFonts w:ascii="宋体" w:hAnsi="宋体" w:cs="宋体" w:eastAsia="宋体" w:hint="default"/>
                          <w:spacing w:val="8"/>
                          <w:sz w:val="14"/>
                          <w:szCs w:val="14"/>
                        </w:rPr>
                        <w:t>联产业补助资</w:t>
                      </w:r>
                      <w:r>
                        <w:rPr>
                          <w:rFonts w:ascii="宋体" w:hAnsi="宋体" w:cs="宋体" w:eastAsia="宋体" w:hint="default"/>
                          <w:spacing w:val="-62"/>
                          <w:sz w:val="14"/>
                          <w:szCs w:val="14"/>
                        </w:rPr>
                        <w:t> </w:t>
                      </w:r>
                      <w:r>
                        <w:rPr>
                          <w:rFonts w:ascii="宋体" w:hAnsi="宋体" w:cs="宋体" w:eastAsia="宋体" w:hint="default"/>
                          <w:sz w:val="14"/>
                          <w:szCs w:val="14"/>
                        </w:rPr>
                        <w:t>金</w:t>
                      </w:r>
                    </w:p>
                    <w:p>
                      <w:pPr>
                        <w:spacing w:line="256" w:lineRule="auto" w:before="70"/>
                        <w:ind w:left="0" w:right="0" w:firstLine="0"/>
                        <w:jc w:val="both"/>
                        <w:rPr>
                          <w:rFonts w:ascii="宋体" w:hAnsi="宋体" w:cs="宋体" w:eastAsia="宋体" w:hint="default"/>
                          <w:sz w:val="14"/>
                          <w:szCs w:val="14"/>
                        </w:rPr>
                      </w:pPr>
                      <w:r>
                        <w:rPr>
                          <w:rFonts w:ascii="宋体" w:hAnsi="宋体" w:cs="宋体" w:eastAsia="宋体" w:hint="default"/>
                          <w:spacing w:val="8"/>
                          <w:sz w:val="14"/>
                          <w:szCs w:val="14"/>
                        </w:rPr>
                        <w:t>收湖南省湘江</w:t>
                      </w:r>
                      <w:r>
                        <w:rPr>
                          <w:rFonts w:ascii="宋体" w:hAnsi="宋体" w:cs="宋体" w:eastAsia="宋体" w:hint="default"/>
                          <w:spacing w:val="-62"/>
                          <w:sz w:val="14"/>
                          <w:szCs w:val="14"/>
                        </w:rPr>
                        <w:t> </w:t>
                      </w:r>
                      <w:r>
                        <w:rPr>
                          <w:rFonts w:ascii="宋体" w:hAnsi="宋体" w:cs="宋体" w:eastAsia="宋体" w:hint="default"/>
                          <w:spacing w:val="8"/>
                          <w:sz w:val="14"/>
                          <w:szCs w:val="14"/>
                        </w:rPr>
                        <w:t>新区管委会财</w:t>
                      </w:r>
                      <w:r>
                        <w:rPr>
                          <w:rFonts w:ascii="宋体" w:hAnsi="宋体" w:cs="宋体" w:eastAsia="宋体" w:hint="default"/>
                          <w:spacing w:val="-62"/>
                          <w:sz w:val="14"/>
                          <w:szCs w:val="14"/>
                        </w:rPr>
                        <w:t> </w:t>
                      </w:r>
                      <w:r>
                        <w:rPr>
                          <w:rFonts w:ascii="宋体" w:hAnsi="宋体" w:cs="宋体" w:eastAsia="宋体" w:hint="default"/>
                          <w:sz w:val="14"/>
                          <w:szCs w:val="14"/>
                        </w:rPr>
                        <w:t>政局</w:t>
                      </w:r>
                      <w:r>
                        <w:rPr>
                          <w:rFonts w:ascii="宋体" w:hAnsi="宋体" w:cs="宋体" w:eastAsia="宋体" w:hint="default"/>
                          <w:spacing w:val="-46"/>
                          <w:sz w:val="14"/>
                          <w:szCs w:val="14"/>
                        </w:rPr>
                        <w:t> </w:t>
                      </w:r>
                      <w:r>
                        <w:rPr>
                          <w:rFonts w:ascii="Times New Roman" w:hAnsi="Times New Roman" w:cs="Times New Roman" w:eastAsia="Times New Roman" w:hint="default"/>
                          <w:sz w:val="14"/>
                          <w:szCs w:val="14"/>
                        </w:rPr>
                        <w:t>2018</w:t>
                      </w:r>
                      <w:r>
                        <w:rPr>
                          <w:rFonts w:ascii="Times New Roman" w:hAnsi="Times New Roman" w:cs="Times New Roman" w:eastAsia="Times New Roman" w:hint="default"/>
                          <w:spacing w:val="-10"/>
                          <w:sz w:val="14"/>
                          <w:szCs w:val="14"/>
                        </w:rPr>
                        <w:t> </w:t>
                      </w:r>
                      <w:r>
                        <w:rPr>
                          <w:rFonts w:ascii="宋体" w:hAnsi="宋体" w:cs="宋体" w:eastAsia="宋体" w:hint="default"/>
                          <w:sz w:val="14"/>
                          <w:szCs w:val="14"/>
                        </w:rPr>
                        <w:t>年双</w:t>
                      </w:r>
                      <w:r>
                        <w:rPr>
                          <w:rFonts w:ascii="宋体" w:hAnsi="宋体" w:cs="宋体" w:eastAsia="宋体" w:hint="default"/>
                          <w:w w:val="100"/>
                          <w:sz w:val="14"/>
                          <w:szCs w:val="14"/>
                        </w:rPr>
                        <w:t> </w:t>
                      </w:r>
                      <w:r>
                        <w:rPr>
                          <w:rFonts w:ascii="宋体" w:hAnsi="宋体" w:cs="宋体" w:eastAsia="宋体" w:hint="default"/>
                          <w:sz w:val="14"/>
                          <w:szCs w:val="14"/>
                        </w:rPr>
                        <w:t>创项目款</w:t>
                      </w:r>
                    </w:p>
                    <w:p>
                      <w:pPr>
                        <w:spacing w:line="261" w:lineRule="auto" w:before="72"/>
                        <w:ind w:left="0" w:right="0" w:firstLine="0"/>
                        <w:jc w:val="both"/>
                        <w:rPr>
                          <w:rFonts w:ascii="宋体" w:hAnsi="宋体" w:cs="宋体" w:eastAsia="宋体" w:hint="default"/>
                          <w:sz w:val="14"/>
                          <w:szCs w:val="14"/>
                        </w:rPr>
                      </w:pPr>
                      <w:r>
                        <w:rPr>
                          <w:rFonts w:ascii="宋体" w:hAnsi="宋体" w:cs="宋体" w:eastAsia="宋体" w:hint="default"/>
                          <w:spacing w:val="8"/>
                          <w:sz w:val="14"/>
                          <w:szCs w:val="14"/>
                        </w:rPr>
                        <w:t>科研、创新项</w:t>
                      </w:r>
                      <w:r>
                        <w:rPr>
                          <w:rFonts w:ascii="宋体" w:hAnsi="宋体" w:cs="宋体" w:eastAsia="宋体" w:hint="default"/>
                          <w:spacing w:val="-62"/>
                          <w:sz w:val="14"/>
                          <w:szCs w:val="14"/>
                        </w:rPr>
                        <w:t> </w:t>
                      </w:r>
                      <w:r>
                        <w:rPr>
                          <w:rFonts w:ascii="宋体" w:hAnsi="宋体" w:cs="宋体" w:eastAsia="宋体" w:hint="default"/>
                          <w:sz w:val="14"/>
                          <w:szCs w:val="14"/>
                        </w:rPr>
                        <w:t>目</w:t>
                      </w:r>
                    </w:p>
                    <w:p>
                      <w:pPr>
                        <w:spacing w:line="261" w:lineRule="auto" w:before="70"/>
                        <w:ind w:left="0" w:right="0" w:firstLine="0"/>
                        <w:jc w:val="both"/>
                        <w:rPr>
                          <w:rFonts w:ascii="宋体" w:hAnsi="宋体" w:cs="宋体" w:eastAsia="宋体" w:hint="default"/>
                          <w:sz w:val="14"/>
                          <w:szCs w:val="14"/>
                        </w:rPr>
                      </w:pPr>
                      <w:r>
                        <w:rPr>
                          <w:rFonts w:ascii="宋体" w:hAnsi="宋体" w:cs="宋体" w:eastAsia="宋体" w:hint="default"/>
                          <w:spacing w:val="8"/>
                          <w:sz w:val="14"/>
                          <w:szCs w:val="14"/>
                        </w:rPr>
                        <w:t>信息通信设备</w:t>
                      </w:r>
                      <w:r>
                        <w:rPr>
                          <w:rFonts w:ascii="宋体" w:hAnsi="宋体" w:cs="宋体" w:eastAsia="宋体" w:hint="default"/>
                          <w:spacing w:val="-62"/>
                          <w:sz w:val="14"/>
                          <w:szCs w:val="14"/>
                        </w:rPr>
                        <w:t> </w:t>
                      </w:r>
                      <w:r>
                        <w:rPr>
                          <w:rFonts w:ascii="宋体" w:hAnsi="宋体" w:cs="宋体" w:eastAsia="宋体" w:hint="default"/>
                          <w:sz w:val="14"/>
                          <w:szCs w:val="14"/>
                        </w:rPr>
                        <w:t>及系统</w:t>
                      </w:r>
                    </w:p>
                    <w:p>
                      <w:pPr>
                        <w:spacing w:line="261" w:lineRule="auto" w:before="70"/>
                        <w:ind w:left="0" w:right="0" w:firstLine="0"/>
                        <w:jc w:val="both"/>
                        <w:rPr>
                          <w:rFonts w:ascii="宋体" w:hAnsi="宋体" w:cs="宋体" w:eastAsia="宋体" w:hint="default"/>
                          <w:sz w:val="14"/>
                          <w:szCs w:val="14"/>
                        </w:rPr>
                      </w:pPr>
                      <w:r>
                        <w:rPr>
                          <w:rFonts w:ascii="宋体" w:hAnsi="宋体" w:cs="宋体" w:eastAsia="宋体" w:hint="default"/>
                          <w:spacing w:val="8"/>
                          <w:sz w:val="14"/>
                          <w:szCs w:val="14"/>
                        </w:rPr>
                        <w:t>长沙市财政局</w:t>
                      </w:r>
                      <w:r>
                        <w:rPr>
                          <w:rFonts w:ascii="宋体" w:hAnsi="宋体" w:cs="宋体" w:eastAsia="宋体" w:hint="default"/>
                          <w:spacing w:val="-62"/>
                          <w:sz w:val="14"/>
                          <w:szCs w:val="14"/>
                        </w:rPr>
                        <w:t> </w:t>
                      </w:r>
                      <w:r>
                        <w:rPr>
                          <w:rFonts w:ascii="宋体" w:hAnsi="宋体" w:cs="宋体" w:eastAsia="宋体" w:hint="default"/>
                          <w:spacing w:val="8"/>
                          <w:sz w:val="14"/>
                          <w:szCs w:val="14"/>
                        </w:rPr>
                        <w:t>战略性新兴产</w:t>
                      </w:r>
                      <w:r>
                        <w:rPr>
                          <w:rFonts w:ascii="宋体" w:hAnsi="宋体" w:cs="宋体" w:eastAsia="宋体" w:hint="default"/>
                          <w:spacing w:val="-62"/>
                          <w:sz w:val="14"/>
                          <w:szCs w:val="14"/>
                        </w:rPr>
                        <w:t> </w:t>
                      </w:r>
                      <w:r>
                        <w:rPr>
                          <w:rFonts w:ascii="宋体" w:hAnsi="宋体" w:cs="宋体" w:eastAsia="宋体" w:hint="default"/>
                          <w:spacing w:val="8"/>
                          <w:sz w:val="14"/>
                          <w:szCs w:val="14"/>
                        </w:rPr>
                        <w:t>业和新型工业</w:t>
                      </w:r>
                      <w:r>
                        <w:rPr>
                          <w:rFonts w:ascii="宋体" w:hAnsi="宋体" w:cs="宋体" w:eastAsia="宋体" w:hint="default"/>
                          <w:spacing w:val="-62"/>
                          <w:sz w:val="14"/>
                          <w:szCs w:val="14"/>
                        </w:rPr>
                        <w:t> </w:t>
                      </w:r>
                      <w:r>
                        <w:rPr>
                          <w:rFonts w:ascii="宋体" w:hAnsi="宋体" w:cs="宋体" w:eastAsia="宋体" w:hint="default"/>
                          <w:sz w:val="14"/>
                          <w:szCs w:val="14"/>
                        </w:rPr>
                        <w:t>化专项资金</w:t>
                      </w:r>
                    </w:p>
                    <w:p>
                      <w:pPr>
                        <w:spacing w:line="261" w:lineRule="auto" w:before="70"/>
                        <w:ind w:left="0" w:right="0" w:firstLine="0"/>
                        <w:jc w:val="both"/>
                        <w:rPr>
                          <w:rFonts w:ascii="宋体" w:hAnsi="宋体" w:cs="宋体" w:eastAsia="宋体" w:hint="default"/>
                          <w:sz w:val="14"/>
                          <w:szCs w:val="14"/>
                        </w:rPr>
                      </w:pPr>
                      <w:r>
                        <w:rPr>
                          <w:rFonts w:ascii="宋体" w:hAnsi="宋体" w:cs="宋体" w:eastAsia="宋体" w:hint="default"/>
                          <w:spacing w:val="8"/>
                          <w:sz w:val="14"/>
                          <w:szCs w:val="14"/>
                        </w:rPr>
                        <w:t>高密度服务器</w:t>
                      </w:r>
                      <w:r>
                        <w:rPr>
                          <w:rFonts w:ascii="宋体" w:hAnsi="宋体" w:cs="宋体" w:eastAsia="宋体" w:hint="default"/>
                          <w:spacing w:val="-62"/>
                          <w:sz w:val="14"/>
                          <w:szCs w:val="14"/>
                        </w:rPr>
                        <w:t> </w:t>
                      </w:r>
                      <w:r>
                        <w:rPr>
                          <w:rFonts w:ascii="宋体" w:hAnsi="宋体" w:cs="宋体" w:eastAsia="宋体" w:hint="default"/>
                          <w:sz w:val="14"/>
                          <w:szCs w:val="14"/>
                        </w:rPr>
                        <w:t>结项转入资产</w:t>
                      </w:r>
                    </w:p>
                    <w:p>
                      <w:pPr>
                        <w:spacing w:line="247" w:lineRule="auto" w:before="70"/>
                        <w:ind w:left="0" w:right="7" w:firstLine="0"/>
                        <w:jc w:val="both"/>
                        <w:rPr>
                          <w:rFonts w:ascii="宋体" w:hAnsi="宋体" w:cs="宋体" w:eastAsia="宋体" w:hint="default"/>
                          <w:sz w:val="14"/>
                          <w:szCs w:val="14"/>
                        </w:rPr>
                      </w:pPr>
                      <w:r>
                        <w:rPr>
                          <w:rFonts w:ascii="宋体" w:hAnsi="宋体" w:cs="宋体" w:eastAsia="宋体" w:hint="default"/>
                          <w:sz w:val="14"/>
                          <w:szCs w:val="14"/>
                        </w:rPr>
                        <w:t>基于 </w:t>
                      </w:r>
                      <w:r>
                        <w:rPr>
                          <w:rFonts w:ascii="Times New Roman" w:hAnsi="Times New Roman" w:cs="Times New Roman" w:eastAsia="Times New Roman" w:hint="default"/>
                          <w:sz w:val="14"/>
                          <w:szCs w:val="14"/>
                        </w:rPr>
                        <w:t>RAM</w:t>
                      </w:r>
                      <w:r>
                        <w:rPr>
                          <w:rFonts w:ascii="Times New Roman" w:hAnsi="Times New Roman" w:cs="Times New Roman" w:eastAsia="Times New Roman" w:hint="default"/>
                          <w:spacing w:val="8"/>
                          <w:sz w:val="14"/>
                          <w:szCs w:val="14"/>
                        </w:rPr>
                        <w:t> </w:t>
                      </w:r>
                      <w:r>
                        <w:rPr>
                          <w:rFonts w:ascii="宋体" w:hAnsi="宋体" w:cs="宋体" w:eastAsia="宋体" w:hint="default"/>
                          <w:sz w:val="14"/>
                          <w:szCs w:val="14"/>
                        </w:rPr>
                        <w:t>的</w:t>
                      </w:r>
                      <w:r>
                        <w:rPr>
                          <w:rFonts w:ascii="宋体" w:hAnsi="宋体" w:cs="宋体" w:eastAsia="宋体" w:hint="default"/>
                          <w:w w:val="100"/>
                          <w:sz w:val="14"/>
                          <w:szCs w:val="14"/>
                        </w:rPr>
                        <w:t> </w:t>
                      </w:r>
                      <w:r>
                        <w:rPr>
                          <w:rFonts w:ascii="宋体" w:hAnsi="宋体" w:cs="宋体" w:eastAsia="宋体" w:hint="default"/>
                          <w:sz w:val="14"/>
                          <w:szCs w:val="14"/>
                        </w:rPr>
                        <w:t>国产处理器</w:t>
                      </w:r>
                    </w:p>
                  </w:txbxContent>
                </v:textbox>
                <w10:wrap type="none"/>
              </v:shape>
              <v:shape style="position:absolute;left:10058;top:1969;width:432;height:807" type="#_x0000_t202" filled="false" stroked="false">
                <v:textbox inset="0,0,0,0">
                  <w:txbxContent>
                    <w:p>
                      <w:pPr>
                        <w:spacing w:line="140" w:lineRule="exact" w:before="0"/>
                        <w:ind w:left="0" w:right="0" w:firstLine="0"/>
                        <w:jc w:val="left"/>
                        <w:rPr>
                          <w:rFonts w:ascii="宋体" w:hAnsi="宋体" w:cs="宋体" w:eastAsia="宋体" w:hint="default"/>
                          <w:sz w:val="14"/>
                          <w:szCs w:val="14"/>
                        </w:rPr>
                      </w:pPr>
                      <w:r>
                        <w:rPr>
                          <w:rFonts w:ascii="宋体" w:hAnsi="宋体" w:cs="宋体" w:eastAsia="宋体" w:hint="default"/>
                          <w:spacing w:val="2"/>
                          <w:sz w:val="14"/>
                          <w:szCs w:val="14"/>
                        </w:rPr>
                        <w:t>与资产</w:t>
                      </w:r>
                    </w:p>
                    <w:p>
                      <w:pPr>
                        <w:spacing w:before="17"/>
                        <w:ind w:left="0" w:right="0" w:firstLine="0"/>
                        <w:jc w:val="left"/>
                        <w:rPr>
                          <w:rFonts w:ascii="宋体" w:hAnsi="宋体" w:cs="宋体" w:eastAsia="宋体" w:hint="default"/>
                          <w:sz w:val="14"/>
                          <w:szCs w:val="14"/>
                        </w:rPr>
                      </w:pPr>
                      <w:r>
                        <w:rPr>
                          <w:rFonts w:ascii="宋体" w:hAnsi="宋体" w:cs="宋体" w:eastAsia="宋体" w:hint="default"/>
                          <w:sz w:val="14"/>
                          <w:szCs w:val="14"/>
                        </w:rPr>
                        <w:t>相关</w:t>
                      </w:r>
                    </w:p>
                    <w:p>
                      <w:pPr>
                        <w:spacing w:line="261" w:lineRule="auto" w:before="82"/>
                        <w:ind w:left="0" w:right="0" w:firstLine="0"/>
                        <w:jc w:val="left"/>
                        <w:rPr>
                          <w:rFonts w:ascii="宋体" w:hAnsi="宋体" w:cs="宋体" w:eastAsia="宋体" w:hint="default"/>
                          <w:sz w:val="14"/>
                          <w:szCs w:val="14"/>
                        </w:rPr>
                      </w:pPr>
                      <w:r>
                        <w:rPr>
                          <w:rFonts w:ascii="宋体" w:hAnsi="宋体" w:cs="宋体" w:eastAsia="宋体" w:hint="default"/>
                          <w:spacing w:val="2"/>
                          <w:sz w:val="14"/>
                          <w:szCs w:val="14"/>
                        </w:rPr>
                        <w:t>与资产</w:t>
                      </w:r>
                      <w:r>
                        <w:rPr>
                          <w:rFonts w:ascii="宋体" w:hAnsi="宋体" w:cs="宋体" w:eastAsia="宋体" w:hint="default"/>
                          <w:spacing w:val="-65"/>
                          <w:sz w:val="14"/>
                          <w:szCs w:val="14"/>
                        </w:rPr>
                        <w:t> </w:t>
                      </w:r>
                      <w:r>
                        <w:rPr>
                          <w:rFonts w:ascii="宋体" w:hAnsi="宋体" w:cs="宋体" w:eastAsia="宋体" w:hint="default"/>
                          <w:spacing w:val="-65"/>
                          <w:sz w:val="14"/>
                          <w:szCs w:val="14"/>
                        </w:rPr>
                      </w:r>
                      <w:r>
                        <w:rPr>
                          <w:rFonts w:ascii="宋体" w:hAnsi="宋体" w:cs="宋体" w:eastAsia="宋体" w:hint="default"/>
                          <w:sz w:val="14"/>
                          <w:szCs w:val="14"/>
                        </w:rPr>
                        <w:t>相关</w:t>
                      </w:r>
                    </w:p>
                  </w:txbxContent>
                </v:textbox>
                <w10:wrap type="none"/>
              </v:shape>
              <v:shape style="position:absolute;left:10058;top:3101;width:432;height:4137" type="#_x0000_t202" filled="false" stroked="false">
                <v:textbox inset="0,0,0,0">
                  <w:txbxContent>
                    <w:p>
                      <w:pPr>
                        <w:spacing w:line="140" w:lineRule="exact" w:before="0"/>
                        <w:ind w:left="0" w:right="0" w:firstLine="0"/>
                        <w:jc w:val="left"/>
                        <w:rPr>
                          <w:rFonts w:ascii="宋体" w:hAnsi="宋体" w:cs="宋体" w:eastAsia="宋体" w:hint="default"/>
                          <w:sz w:val="14"/>
                          <w:szCs w:val="14"/>
                        </w:rPr>
                      </w:pPr>
                      <w:r>
                        <w:rPr>
                          <w:rFonts w:ascii="宋体" w:hAnsi="宋体" w:cs="宋体" w:eastAsia="宋体" w:hint="default"/>
                          <w:spacing w:val="2"/>
                          <w:sz w:val="14"/>
                          <w:szCs w:val="14"/>
                        </w:rPr>
                        <w:t>与资产</w:t>
                      </w:r>
                    </w:p>
                    <w:p>
                      <w:pPr>
                        <w:spacing w:before="17"/>
                        <w:ind w:left="0" w:right="0" w:firstLine="0"/>
                        <w:jc w:val="left"/>
                        <w:rPr>
                          <w:rFonts w:ascii="宋体" w:hAnsi="宋体" w:cs="宋体" w:eastAsia="宋体" w:hint="default"/>
                          <w:sz w:val="14"/>
                          <w:szCs w:val="14"/>
                        </w:rPr>
                      </w:pPr>
                      <w:r>
                        <w:rPr>
                          <w:rFonts w:ascii="宋体" w:hAnsi="宋体" w:cs="宋体" w:eastAsia="宋体" w:hint="default"/>
                          <w:sz w:val="14"/>
                          <w:szCs w:val="14"/>
                        </w:rPr>
                        <w:t>相关</w:t>
                      </w:r>
                    </w:p>
                    <w:p>
                      <w:pPr>
                        <w:spacing w:line="240" w:lineRule="auto" w:before="0"/>
                        <w:rPr>
                          <w:rFonts w:ascii="宋体" w:hAnsi="宋体" w:cs="宋体" w:eastAsia="宋体" w:hint="default"/>
                          <w:sz w:val="14"/>
                          <w:szCs w:val="14"/>
                        </w:rPr>
                      </w:pPr>
                    </w:p>
                    <w:p>
                      <w:pPr>
                        <w:spacing w:line="261" w:lineRule="auto" w:before="99"/>
                        <w:ind w:left="0" w:right="0" w:firstLine="0"/>
                        <w:jc w:val="left"/>
                        <w:rPr>
                          <w:rFonts w:ascii="宋体" w:hAnsi="宋体" w:cs="宋体" w:eastAsia="宋体" w:hint="default"/>
                          <w:sz w:val="14"/>
                          <w:szCs w:val="14"/>
                        </w:rPr>
                      </w:pPr>
                      <w:r>
                        <w:rPr>
                          <w:rFonts w:ascii="宋体" w:hAnsi="宋体" w:cs="宋体" w:eastAsia="宋体" w:hint="default"/>
                          <w:spacing w:val="2"/>
                          <w:sz w:val="14"/>
                          <w:szCs w:val="14"/>
                        </w:rPr>
                        <w:t>与资产</w:t>
                      </w:r>
                      <w:r>
                        <w:rPr>
                          <w:rFonts w:ascii="宋体" w:hAnsi="宋体" w:cs="宋体" w:eastAsia="宋体" w:hint="default"/>
                          <w:spacing w:val="-65"/>
                          <w:sz w:val="14"/>
                          <w:szCs w:val="14"/>
                        </w:rPr>
                        <w:t> </w:t>
                      </w:r>
                      <w:r>
                        <w:rPr>
                          <w:rFonts w:ascii="宋体" w:hAnsi="宋体" w:cs="宋体" w:eastAsia="宋体" w:hint="default"/>
                          <w:spacing w:val="-65"/>
                          <w:sz w:val="14"/>
                          <w:szCs w:val="14"/>
                        </w:rPr>
                      </w:r>
                      <w:r>
                        <w:rPr>
                          <w:rFonts w:ascii="宋体" w:hAnsi="宋体" w:cs="宋体" w:eastAsia="宋体" w:hint="default"/>
                          <w:sz w:val="14"/>
                          <w:szCs w:val="14"/>
                        </w:rPr>
                        <w:t>相关</w:t>
                      </w:r>
                    </w:p>
                    <w:p>
                      <w:pPr>
                        <w:spacing w:line="240" w:lineRule="auto" w:before="0"/>
                        <w:rPr>
                          <w:rFonts w:ascii="宋体" w:hAnsi="宋体" w:cs="宋体" w:eastAsia="宋体" w:hint="default"/>
                          <w:sz w:val="13"/>
                          <w:szCs w:val="13"/>
                        </w:rPr>
                      </w:pPr>
                    </w:p>
                    <w:p>
                      <w:pPr>
                        <w:spacing w:line="261" w:lineRule="auto" w:before="0"/>
                        <w:ind w:left="0" w:right="0" w:firstLine="0"/>
                        <w:jc w:val="left"/>
                        <w:rPr>
                          <w:rFonts w:ascii="宋体" w:hAnsi="宋体" w:cs="宋体" w:eastAsia="宋体" w:hint="default"/>
                          <w:sz w:val="14"/>
                          <w:szCs w:val="14"/>
                        </w:rPr>
                      </w:pPr>
                      <w:r>
                        <w:rPr>
                          <w:rFonts w:ascii="宋体" w:hAnsi="宋体" w:cs="宋体" w:eastAsia="宋体" w:hint="default"/>
                          <w:spacing w:val="2"/>
                          <w:sz w:val="14"/>
                          <w:szCs w:val="14"/>
                        </w:rPr>
                        <w:t>与资产</w:t>
                      </w:r>
                      <w:r>
                        <w:rPr>
                          <w:rFonts w:ascii="宋体" w:hAnsi="宋体" w:cs="宋体" w:eastAsia="宋体" w:hint="default"/>
                          <w:spacing w:val="-65"/>
                          <w:sz w:val="14"/>
                          <w:szCs w:val="14"/>
                        </w:rPr>
                        <w:t> </w:t>
                      </w:r>
                      <w:r>
                        <w:rPr>
                          <w:rFonts w:ascii="宋体" w:hAnsi="宋体" w:cs="宋体" w:eastAsia="宋体" w:hint="default"/>
                          <w:spacing w:val="-65"/>
                          <w:sz w:val="14"/>
                          <w:szCs w:val="14"/>
                        </w:rPr>
                      </w:r>
                      <w:r>
                        <w:rPr>
                          <w:rFonts w:ascii="宋体" w:hAnsi="宋体" w:cs="宋体" w:eastAsia="宋体" w:hint="default"/>
                          <w:sz w:val="14"/>
                          <w:szCs w:val="14"/>
                        </w:rPr>
                        <w:t>相关</w:t>
                      </w:r>
                    </w:p>
                    <w:p>
                      <w:pPr>
                        <w:spacing w:line="240" w:lineRule="auto" w:before="0"/>
                        <w:rPr>
                          <w:rFonts w:ascii="宋体" w:hAnsi="宋体" w:cs="宋体" w:eastAsia="宋体" w:hint="default"/>
                          <w:sz w:val="14"/>
                          <w:szCs w:val="14"/>
                        </w:rPr>
                      </w:pPr>
                    </w:p>
                    <w:p>
                      <w:pPr>
                        <w:spacing w:line="240" w:lineRule="auto" w:before="3"/>
                        <w:rPr>
                          <w:rFonts w:ascii="宋体" w:hAnsi="宋体" w:cs="宋体" w:eastAsia="宋体" w:hint="default"/>
                          <w:sz w:val="14"/>
                          <w:szCs w:val="14"/>
                        </w:rPr>
                      </w:pPr>
                    </w:p>
                    <w:p>
                      <w:pPr>
                        <w:spacing w:line="261" w:lineRule="auto" w:before="0"/>
                        <w:ind w:left="0" w:right="0" w:firstLine="0"/>
                        <w:jc w:val="left"/>
                        <w:rPr>
                          <w:rFonts w:ascii="宋体" w:hAnsi="宋体" w:cs="宋体" w:eastAsia="宋体" w:hint="default"/>
                          <w:sz w:val="14"/>
                          <w:szCs w:val="14"/>
                        </w:rPr>
                      </w:pPr>
                      <w:r>
                        <w:rPr>
                          <w:rFonts w:ascii="宋体" w:hAnsi="宋体" w:cs="宋体" w:eastAsia="宋体" w:hint="default"/>
                          <w:spacing w:val="2"/>
                          <w:sz w:val="14"/>
                          <w:szCs w:val="14"/>
                        </w:rPr>
                        <w:t>与资产</w:t>
                      </w:r>
                      <w:r>
                        <w:rPr>
                          <w:rFonts w:ascii="宋体" w:hAnsi="宋体" w:cs="宋体" w:eastAsia="宋体" w:hint="default"/>
                          <w:spacing w:val="-65"/>
                          <w:sz w:val="14"/>
                          <w:szCs w:val="14"/>
                        </w:rPr>
                        <w:t> </w:t>
                      </w:r>
                      <w:r>
                        <w:rPr>
                          <w:rFonts w:ascii="宋体" w:hAnsi="宋体" w:cs="宋体" w:eastAsia="宋体" w:hint="default"/>
                          <w:spacing w:val="-65"/>
                          <w:sz w:val="14"/>
                          <w:szCs w:val="14"/>
                        </w:rPr>
                      </w:r>
                      <w:r>
                        <w:rPr>
                          <w:rFonts w:ascii="宋体" w:hAnsi="宋体" w:cs="宋体" w:eastAsia="宋体" w:hint="default"/>
                          <w:sz w:val="14"/>
                          <w:szCs w:val="14"/>
                        </w:rPr>
                        <w:t>相关</w:t>
                      </w:r>
                    </w:p>
                    <w:p>
                      <w:pPr>
                        <w:spacing w:line="240" w:lineRule="auto" w:before="8"/>
                        <w:rPr>
                          <w:rFonts w:ascii="宋体" w:hAnsi="宋体" w:cs="宋体" w:eastAsia="宋体" w:hint="default"/>
                          <w:sz w:val="20"/>
                          <w:szCs w:val="20"/>
                        </w:rPr>
                      </w:pPr>
                    </w:p>
                    <w:p>
                      <w:pPr>
                        <w:spacing w:line="261" w:lineRule="auto" w:before="0"/>
                        <w:ind w:left="0" w:right="0" w:firstLine="0"/>
                        <w:jc w:val="left"/>
                        <w:rPr>
                          <w:rFonts w:ascii="宋体" w:hAnsi="宋体" w:cs="宋体" w:eastAsia="宋体" w:hint="default"/>
                          <w:sz w:val="14"/>
                          <w:szCs w:val="14"/>
                        </w:rPr>
                      </w:pPr>
                      <w:r>
                        <w:rPr>
                          <w:rFonts w:ascii="宋体" w:hAnsi="宋体" w:cs="宋体" w:eastAsia="宋体" w:hint="default"/>
                          <w:spacing w:val="2"/>
                          <w:sz w:val="14"/>
                          <w:szCs w:val="14"/>
                        </w:rPr>
                        <w:t>与资产</w:t>
                      </w:r>
                      <w:r>
                        <w:rPr>
                          <w:rFonts w:ascii="宋体" w:hAnsi="宋体" w:cs="宋体" w:eastAsia="宋体" w:hint="default"/>
                          <w:spacing w:val="-65"/>
                          <w:sz w:val="14"/>
                          <w:szCs w:val="14"/>
                        </w:rPr>
                        <w:t> </w:t>
                      </w:r>
                      <w:r>
                        <w:rPr>
                          <w:rFonts w:ascii="宋体" w:hAnsi="宋体" w:cs="宋体" w:eastAsia="宋体" w:hint="default"/>
                          <w:spacing w:val="-65"/>
                          <w:sz w:val="14"/>
                          <w:szCs w:val="14"/>
                        </w:rPr>
                      </w:r>
                      <w:r>
                        <w:rPr>
                          <w:rFonts w:ascii="宋体" w:hAnsi="宋体" w:cs="宋体" w:eastAsia="宋体" w:hint="default"/>
                          <w:sz w:val="14"/>
                          <w:szCs w:val="14"/>
                        </w:rPr>
                        <w:t>相关</w:t>
                      </w:r>
                    </w:p>
                    <w:p>
                      <w:pPr>
                        <w:spacing w:line="261" w:lineRule="auto" w:before="70"/>
                        <w:ind w:left="0" w:right="0" w:firstLine="0"/>
                        <w:jc w:val="left"/>
                        <w:rPr>
                          <w:rFonts w:ascii="宋体" w:hAnsi="宋体" w:cs="宋体" w:eastAsia="宋体" w:hint="default"/>
                          <w:sz w:val="14"/>
                          <w:szCs w:val="14"/>
                        </w:rPr>
                      </w:pPr>
                      <w:r>
                        <w:rPr>
                          <w:rFonts w:ascii="宋体" w:hAnsi="宋体" w:cs="宋体" w:eastAsia="宋体" w:hint="default"/>
                          <w:spacing w:val="2"/>
                          <w:sz w:val="14"/>
                          <w:szCs w:val="14"/>
                        </w:rPr>
                        <w:t>与资产</w:t>
                      </w:r>
                      <w:r>
                        <w:rPr>
                          <w:rFonts w:ascii="宋体" w:hAnsi="宋体" w:cs="宋体" w:eastAsia="宋体" w:hint="default"/>
                          <w:spacing w:val="-65"/>
                          <w:sz w:val="14"/>
                          <w:szCs w:val="14"/>
                        </w:rPr>
                        <w:t> </w:t>
                      </w:r>
                      <w:r>
                        <w:rPr>
                          <w:rFonts w:ascii="宋体" w:hAnsi="宋体" w:cs="宋体" w:eastAsia="宋体" w:hint="default"/>
                          <w:spacing w:val="-65"/>
                          <w:sz w:val="14"/>
                          <w:szCs w:val="14"/>
                        </w:rPr>
                      </w:r>
                      <w:r>
                        <w:rPr>
                          <w:rFonts w:ascii="宋体" w:hAnsi="宋体" w:cs="宋体" w:eastAsia="宋体" w:hint="default"/>
                          <w:sz w:val="14"/>
                          <w:szCs w:val="14"/>
                        </w:rPr>
                        <w:t>相关</w:t>
                      </w:r>
                    </w:p>
                    <w:p>
                      <w:pPr>
                        <w:spacing w:line="240" w:lineRule="auto" w:before="9"/>
                        <w:rPr>
                          <w:rFonts w:ascii="宋体" w:hAnsi="宋体" w:cs="宋体" w:eastAsia="宋体" w:hint="default"/>
                          <w:sz w:val="20"/>
                          <w:szCs w:val="20"/>
                        </w:rPr>
                      </w:pPr>
                    </w:p>
                    <w:p>
                      <w:pPr>
                        <w:spacing w:line="261" w:lineRule="auto" w:before="0"/>
                        <w:ind w:left="0" w:right="0" w:firstLine="0"/>
                        <w:jc w:val="left"/>
                        <w:rPr>
                          <w:rFonts w:ascii="宋体" w:hAnsi="宋体" w:cs="宋体" w:eastAsia="宋体" w:hint="default"/>
                          <w:sz w:val="14"/>
                          <w:szCs w:val="14"/>
                        </w:rPr>
                      </w:pPr>
                      <w:r>
                        <w:rPr>
                          <w:rFonts w:ascii="宋体" w:hAnsi="宋体" w:cs="宋体" w:eastAsia="宋体" w:hint="default"/>
                          <w:spacing w:val="2"/>
                          <w:sz w:val="14"/>
                          <w:szCs w:val="14"/>
                        </w:rPr>
                        <w:t>与资产</w:t>
                      </w:r>
                      <w:r>
                        <w:rPr>
                          <w:rFonts w:ascii="宋体" w:hAnsi="宋体" w:cs="宋体" w:eastAsia="宋体" w:hint="default"/>
                          <w:spacing w:val="-65"/>
                          <w:sz w:val="14"/>
                          <w:szCs w:val="14"/>
                        </w:rPr>
                        <w:t> </w:t>
                      </w:r>
                      <w:r>
                        <w:rPr>
                          <w:rFonts w:ascii="宋体" w:hAnsi="宋体" w:cs="宋体" w:eastAsia="宋体" w:hint="default"/>
                          <w:spacing w:val="-65"/>
                          <w:sz w:val="14"/>
                          <w:szCs w:val="14"/>
                        </w:rPr>
                      </w:r>
                      <w:r>
                        <w:rPr>
                          <w:rFonts w:ascii="宋体" w:hAnsi="宋体" w:cs="宋体" w:eastAsia="宋体" w:hint="default"/>
                          <w:sz w:val="14"/>
                          <w:szCs w:val="14"/>
                        </w:rPr>
                        <w:t>相关</w:t>
                      </w:r>
                    </w:p>
                  </w:txbxContent>
                </v:textbox>
                <w10:wrap type="none"/>
              </v:shape>
              <v:shape style="position:absolute;left:2518;top:8596;width:842;height:141" type="#_x0000_t202" filled="false" stroked="false">
                <v:textbox inset="0,0,0,0">
                  <w:txbxContent>
                    <w:p>
                      <w:pPr>
                        <w:spacing w:line="140" w:lineRule="exact" w:before="0"/>
                        <w:ind w:left="0" w:right="0" w:firstLine="0"/>
                        <w:jc w:val="left"/>
                        <w:rPr>
                          <w:rFonts w:ascii="宋体" w:hAnsi="宋体" w:cs="宋体" w:eastAsia="宋体" w:hint="default"/>
                          <w:sz w:val="14"/>
                          <w:szCs w:val="14"/>
                        </w:rPr>
                      </w:pPr>
                      <w:r>
                        <w:rPr>
                          <w:rFonts w:ascii="宋体" w:hAnsi="宋体" w:cs="宋体" w:eastAsia="宋体" w:hint="default"/>
                          <w:spacing w:val="-1"/>
                          <w:sz w:val="14"/>
                          <w:szCs w:val="14"/>
                        </w:rPr>
                        <w:t>基地建设补贴</w:t>
                      </w:r>
                    </w:p>
                  </w:txbxContent>
                </v:textbox>
                <w10:wrap type="none"/>
              </v:shape>
              <v:shape style="position:absolute;left:2518;top:9061;width:842;height:141" type="#_x0000_t202" filled="false" stroked="false">
                <v:textbox inset="0,0,0,0">
                  <w:txbxContent>
                    <w:p>
                      <w:pPr>
                        <w:spacing w:line="140" w:lineRule="exact" w:before="0"/>
                        <w:ind w:left="0" w:right="0" w:firstLine="0"/>
                        <w:jc w:val="left"/>
                        <w:rPr>
                          <w:rFonts w:ascii="宋体" w:hAnsi="宋体" w:cs="宋体" w:eastAsia="宋体" w:hint="default"/>
                          <w:sz w:val="14"/>
                          <w:szCs w:val="14"/>
                        </w:rPr>
                      </w:pPr>
                      <w:r>
                        <w:rPr>
                          <w:rFonts w:ascii="宋体" w:hAnsi="宋体" w:cs="宋体" w:eastAsia="宋体" w:hint="default"/>
                          <w:spacing w:val="-1"/>
                          <w:sz w:val="14"/>
                          <w:szCs w:val="14"/>
                        </w:rPr>
                        <w:t>其他小额合计</w:t>
                      </w:r>
                    </w:p>
                  </w:txbxContent>
                </v:textbox>
                <w10:wrap type="none"/>
              </v:shape>
              <v:shape style="position:absolute;left:10058;top:7564;width:432;height:1738" type="#_x0000_t202" filled="false" stroked="false">
                <v:textbox inset="0,0,0,0">
                  <w:txbxContent>
                    <w:p>
                      <w:pPr>
                        <w:spacing w:line="140" w:lineRule="exact" w:before="0"/>
                        <w:ind w:left="0" w:right="0" w:firstLine="0"/>
                        <w:jc w:val="left"/>
                        <w:rPr>
                          <w:rFonts w:ascii="宋体" w:hAnsi="宋体" w:cs="宋体" w:eastAsia="宋体" w:hint="default"/>
                          <w:sz w:val="14"/>
                          <w:szCs w:val="14"/>
                        </w:rPr>
                      </w:pPr>
                      <w:r>
                        <w:rPr>
                          <w:rFonts w:ascii="宋体" w:hAnsi="宋体" w:cs="宋体" w:eastAsia="宋体" w:hint="default"/>
                          <w:spacing w:val="2"/>
                          <w:sz w:val="14"/>
                          <w:szCs w:val="14"/>
                        </w:rPr>
                        <w:t>与资产</w:t>
                      </w:r>
                    </w:p>
                    <w:p>
                      <w:pPr>
                        <w:spacing w:before="16"/>
                        <w:ind w:left="0" w:right="0" w:firstLine="0"/>
                        <w:jc w:val="left"/>
                        <w:rPr>
                          <w:rFonts w:ascii="宋体" w:hAnsi="宋体" w:cs="宋体" w:eastAsia="宋体" w:hint="default"/>
                          <w:sz w:val="14"/>
                          <w:szCs w:val="14"/>
                        </w:rPr>
                      </w:pPr>
                      <w:r>
                        <w:rPr>
                          <w:rFonts w:ascii="宋体" w:hAnsi="宋体" w:cs="宋体" w:eastAsia="宋体" w:hint="default"/>
                          <w:sz w:val="14"/>
                          <w:szCs w:val="14"/>
                        </w:rPr>
                        <w:t>相关</w:t>
                      </w:r>
                    </w:p>
                    <w:p>
                      <w:pPr>
                        <w:spacing w:line="261" w:lineRule="auto" w:before="83"/>
                        <w:ind w:left="0" w:right="0" w:firstLine="0"/>
                        <w:jc w:val="left"/>
                        <w:rPr>
                          <w:rFonts w:ascii="宋体" w:hAnsi="宋体" w:cs="宋体" w:eastAsia="宋体" w:hint="default"/>
                          <w:sz w:val="14"/>
                          <w:szCs w:val="14"/>
                        </w:rPr>
                      </w:pPr>
                      <w:r>
                        <w:rPr>
                          <w:rFonts w:ascii="宋体" w:hAnsi="宋体" w:cs="宋体" w:eastAsia="宋体" w:hint="default"/>
                          <w:spacing w:val="2"/>
                          <w:sz w:val="14"/>
                          <w:szCs w:val="14"/>
                        </w:rPr>
                        <w:t>与资产</w:t>
                      </w:r>
                      <w:r>
                        <w:rPr>
                          <w:rFonts w:ascii="宋体" w:hAnsi="宋体" w:cs="宋体" w:eastAsia="宋体" w:hint="default"/>
                          <w:spacing w:val="-65"/>
                          <w:sz w:val="14"/>
                          <w:szCs w:val="14"/>
                        </w:rPr>
                        <w:t> </w:t>
                      </w:r>
                      <w:r>
                        <w:rPr>
                          <w:rFonts w:ascii="宋体" w:hAnsi="宋体" w:cs="宋体" w:eastAsia="宋体" w:hint="default"/>
                          <w:spacing w:val="-65"/>
                          <w:sz w:val="14"/>
                          <w:szCs w:val="14"/>
                        </w:rPr>
                      </w:r>
                      <w:r>
                        <w:rPr>
                          <w:rFonts w:ascii="宋体" w:hAnsi="宋体" w:cs="宋体" w:eastAsia="宋体" w:hint="default"/>
                          <w:sz w:val="14"/>
                          <w:szCs w:val="14"/>
                        </w:rPr>
                        <w:t>相关</w:t>
                      </w:r>
                    </w:p>
                    <w:p>
                      <w:pPr>
                        <w:spacing w:line="261" w:lineRule="auto" w:before="69"/>
                        <w:ind w:left="0" w:right="0" w:firstLine="0"/>
                        <w:jc w:val="left"/>
                        <w:rPr>
                          <w:rFonts w:ascii="宋体" w:hAnsi="宋体" w:cs="宋体" w:eastAsia="宋体" w:hint="default"/>
                          <w:sz w:val="14"/>
                          <w:szCs w:val="14"/>
                        </w:rPr>
                      </w:pPr>
                      <w:r>
                        <w:rPr>
                          <w:rFonts w:ascii="宋体" w:hAnsi="宋体" w:cs="宋体" w:eastAsia="宋体" w:hint="default"/>
                          <w:spacing w:val="2"/>
                          <w:sz w:val="14"/>
                          <w:szCs w:val="14"/>
                        </w:rPr>
                        <w:t>与资产</w:t>
                      </w:r>
                      <w:r>
                        <w:rPr>
                          <w:rFonts w:ascii="宋体" w:hAnsi="宋体" w:cs="宋体" w:eastAsia="宋体" w:hint="default"/>
                          <w:spacing w:val="-65"/>
                          <w:sz w:val="14"/>
                          <w:szCs w:val="14"/>
                        </w:rPr>
                        <w:t> </w:t>
                      </w:r>
                      <w:r>
                        <w:rPr>
                          <w:rFonts w:ascii="宋体" w:hAnsi="宋体" w:cs="宋体" w:eastAsia="宋体" w:hint="default"/>
                          <w:spacing w:val="-65"/>
                          <w:sz w:val="14"/>
                          <w:szCs w:val="14"/>
                        </w:rPr>
                      </w:r>
                      <w:r>
                        <w:rPr>
                          <w:rFonts w:ascii="宋体" w:hAnsi="宋体" w:cs="宋体" w:eastAsia="宋体" w:hint="default"/>
                          <w:sz w:val="14"/>
                          <w:szCs w:val="14"/>
                        </w:rPr>
                        <w:t>相关</w:t>
                      </w:r>
                    </w:p>
                    <w:p>
                      <w:pPr>
                        <w:spacing w:line="261" w:lineRule="auto" w:before="70"/>
                        <w:ind w:left="0" w:right="0" w:firstLine="0"/>
                        <w:jc w:val="left"/>
                        <w:rPr>
                          <w:rFonts w:ascii="宋体" w:hAnsi="宋体" w:cs="宋体" w:eastAsia="宋体" w:hint="default"/>
                          <w:sz w:val="14"/>
                          <w:szCs w:val="14"/>
                        </w:rPr>
                      </w:pPr>
                      <w:r>
                        <w:rPr>
                          <w:rFonts w:ascii="宋体" w:hAnsi="宋体" w:cs="宋体" w:eastAsia="宋体" w:hint="default"/>
                          <w:spacing w:val="2"/>
                          <w:sz w:val="14"/>
                          <w:szCs w:val="14"/>
                        </w:rPr>
                        <w:t>与资产</w:t>
                      </w:r>
                      <w:r>
                        <w:rPr>
                          <w:rFonts w:ascii="宋体" w:hAnsi="宋体" w:cs="宋体" w:eastAsia="宋体" w:hint="default"/>
                          <w:spacing w:val="-65"/>
                          <w:sz w:val="14"/>
                          <w:szCs w:val="14"/>
                        </w:rPr>
                        <w:t> </w:t>
                      </w:r>
                      <w:r>
                        <w:rPr>
                          <w:rFonts w:ascii="宋体" w:hAnsi="宋体" w:cs="宋体" w:eastAsia="宋体" w:hint="default"/>
                          <w:spacing w:val="-65"/>
                          <w:sz w:val="14"/>
                          <w:szCs w:val="14"/>
                        </w:rPr>
                      </w:r>
                      <w:r>
                        <w:rPr>
                          <w:rFonts w:ascii="宋体" w:hAnsi="宋体" w:cs="宋体" w:eastAsia="宋体" w:hint="default"/>
                          <w:sz w:val="14"/>
                          <w:szCs w:val="14"/>
                        </w:rPr>
                        <w:t>相关</w:t>
                      </w:r>
                    </w:p>
                  </w:txbxContent>
                </v:textbox>
                <w10:wrap type="none"/>
              </v:shape>
              <v:shape style="position:absolute;left:2518;top:9427;width:901;height:741" type="#_x0000_t202" filled="false" stroked="false">
                <v:textbox inset="0,0,0,0">
                  <w:txbxContent>
                    <w:p>
                      <w:pPr>
                        <w:spacing w:line="151" w:lineRule="exact" w:before="0"/>
                        <w:ind w:left="0" w:right="0" w:firstLine="0"/>
                        <w:jc w:val="both"/>
                        <w:rPr>
                          <w:rFonts w:ascii="宋体" w:hAnsi="宋体" w:cs="宋体" w:eastAsia="宋体" w:hint="default"/>
                          <w:sz w:val="14"/>
                          <w:szCs w:val="14"/>
                        </w:rPr>
                      </w:pPr>
                      <w:r>
                        <w:rPr>
                          <w:rFonts w:ascii="Times New Roman" w:hAnsi="Times New Roman" w:cs="Times New Roman" w:eastAsia="Times New Roman" w:hint="default"/>
                          <w:sz w:val="14"/>
                          <w:szCs w:val="14"/>
                        </w:rPr>
                        <w:t>2017</w:t>
                      </w:r>
                      <w:r>
                        <w:rPr>
                          <w:rFonts w:ascii="Times New Roman" w:hAnsi="Times New Roman" w:cs="Times New Roman" w:eastAsia="Times New Roman" w:hint="default"/>
                          <w:spacing w:val="14"/>
                          <w:sz w:val="14"/>
                          <w:szCs w:val="14"/>
                        </w:rPr>
                        <w:t> </w:t>
                      </w:r>
                      <w:r>
                        <w:rPr>
                          <w:rFonts w:ascii="宋体" w:hAnsi="宋体" w:cs="宋体" w:eastAsia="宋体" w:hint="default"/>
                          <w:sz w:val="14"/>
                          <w:szCs w:val="14"/>
                        </w:rPr>
                        <w:t>智能制造</w:t>
                      </w:r>
                    </w:p>
                    <w:p>
                      <w:pPr>
                        <w:spacing w:line="261" w:lineRule="auto" w:before="6"/>
                        <w:ind w:left="0" w:right="0" w:firstLine="0"/>
                        <w:jc w:val="both"/>
                        <w:rPr>
                          <w:rFonts w:ascii="宋体" w:hAnsi="宋体" w:cs="宋体" w:eastAsia="宋体" w:hint="default"/>
                          <w:sz w:val="14"/>
                          <w:szCs w:val="14"/>
                        </w:rPr>
                      </w:pPr>
                      <w:r>
                        <w:rPr>
                          <w:rFonts w:ascii="宋体" w:hAnsi="宋体" w:cs="宋体" w:eastAsia="宋体" w:hint="default"/>
                          <w:spacing w:val="8"/>
                          <w:sz w:val="14"/>
                          <w:szCs w:val="14"/>
                        </w:rPr>
                        <w:t>综合标准化与</w:t>
                      </w:r>
                      <w:r>
                        <w:rPr>
                          <w:rFonts w:ascii="宋体" w:hAnsi="宋体" w:cs="宋体" w:eastAsia="宋体" w:hint="default"/>
                          <w:spacing w:val="-62"/>
                          <w:sz w:val="14"/>
                          <w:szCs w:val="14"/>
                        </w:rPr>
                        <w:t> </w:t>
                      </w:r>
                      <w:r>
                        <w:rPr>
                          <w:rFonts w:ascii="宋体" w:hAnsi="宋体" w:cs="宋体" w:eastAsia="宋体" w:hint="default"/>
                          <w:spacing w:val="8"/>
                          <w:sz w:val="14"/>
                          <w:szCs w:val="14"/>
                        </w:rPr>
                        <w:t>新模式应用项</w:t>
                      </w:r>
                      <w:r>
                        <w:rPr>
                          <w:rFonts w:ascii="宋体" w:hAnsi="宋体" w:cs="宋体" w:eastAsia="宋体" w:hint="default"/>
                          <w:spacing w:val="-62"/>
                          <w:sz w:val="14"/>
                          <w:szCs w:val="14"/>
                        </w:rPr>
                        <w:t> </w:t>
                      </w:r>
                      <w:r>
                        <w:rPr>
                          <w:rFonts w:ascii="宋体" w:hAnsi="宋体" w:cs="宋体" w:eastAsia="宋体" w:hint="default"/>
                          <w:sz w:val="14"/>
                          <w:szCs w:val="14"/>
                        </w:rPr>
                        <w:t>目</w:t>
                      </w:r>
                    </w:p>
                  </w:txbxContent>
                </v:textbox>
                <w10:wrap type="none"/>
              </v:shape>
              <v:shape style="position:absolute;left:4014;top:9742;width:735;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5,000,000.00</w:t>
                      </w:r>
                      <w:r>
                        <w:rPr>
                          <w:rFonts w:ascii="Times New Roman"/>
                          <w:sz w:val="14"/>
                        </w:rPr>
                      </w:r>
                    </w:p>
                  </w:txbxContent>
                </v:textbox>
                <w10:wrap type="none"/>
              </v:shape>
              <v:shape style="position:absolute;left:9108;top:9628;width:1383;height:340" type="#_x0000_t202" filled="false" stroked="false">
                <v:textbox inset="0,0,0,0">
                  <w:txbxContent>
                    <w:p>
                      <w:pPr>
                        <w:spacing w:line="119" w:lineRule="exact" w:before="0"/>
                        <w:ind w:left="0" w:right="0" w:firstLine="0"/>
                        <w:jc w:val="right"/>
                        <w:rPr>
                          <w:rFonts w:ascii="宋体" w:hAnsi="宋体" w:cs="宋体" w:eastAsia="宋体" w:hint="default"/>
                          <w:sz w:val="14"/>
                          <w:szCs w:val="14"/>
                        </w:rPr>
                      </w:pPr>
                      <w:r>
                        <w:rPr>
                          <w:rFonts w:ascii="宋体" w:hAnsi="宋体" w:cs="宋体" w:eastAsia="宋体" w:hint="default"/>
                          <w:spacing w:val="2"/>
                          <w:sz w:val="14"/>
                          <w:szCs w:val="14"/>
                        </w:rPr>
                        <w:t>与收益</w:t>
                      </w:r>
                    </w:p>
                    <w:p>
                      <w:pPr>
                        <w:tabs>
                          <w:tab w:pos="950" w:val="left" w:leader="none"/>
                        </w:tabs>
                        <w:spacing w:line="219" w:lineRule="exact" w:before="0"/>
                        <w:ind w:left="0" w:right="0" w:firstLine="0"/>
                        <w:jc w:val="left"/>
                        <w:rPr>
                          <w:rFonts w:ascii="宋体" w:hAnsi="宋体" w:cs="宋体" w:eastAsia="宋体" w:hint="default"/>
                          <w:sz w:val="14"/>
                          <w:szCs w:val="14"/>
                        </w:rPr>
                      </w:pPr>
                      <w:r>
                        <w:rPr>
                          <w:rFonts w:ascii="Times New Roman" w:hAnsi="Times New Roman" w:cs="Times New Roman" w:eastAsia="Times New Roman" w:hint="default"/>
                          <w:spacing w:val="-1"/>
                          <w:sz w:val="14"/>
                          <w:szCs w:val="14"/>
                        </w:rPr>
                        <w:t>5,000,000.00</w:t>
                        <w:tab/>
                      </w:r>
                      <w:r>
                        <w:rPr>
                          <w:rFonts w:ascii="宋体" w:hAnsi="宋体" w:cs="宋体" w:eastAsia="宋体" w:hint="default"/>
                          <w:position w:val="-8"/>
                          <w:sz w:val="14"/>
                          <w:szCs w:val="14"/>
                        </w:rPr>
                        <w:t>相关</w:t>
                      </w:r>
                      <w:r>
                        <w:rPr>
                          <w:rFonts w:ascii="宋体" w:hAnsi="宋体" w:cs="宋体" w:eastAsia="宋体" w:hint="default"/>
                          <w:sz w:val="14"/>
                          <w:szCs w:val="14"/>
                        </w:rPr>
                      </w:r>
                    </w:p>
                  </w:txbxContent>
                </v:textbox>
                <w10:wrap type="none"/>
              </v:shape>
              <v:shape style="position:absolute;left:2518;top:10334;width:901;height:141" type="#_x0000_t202" filled="false" stroked="false">
                <v:textbox inset="0,0,0,0">
                  <w:txbxContent>
                    <w:p>
                      <w:pPr>
                        <w:spacing w:line="140" w:lineRule="exact" w:before="0"/>
                        <w:ind w:left="0" w:right="0" w:firstLine="0"/>
                        <w:jc w:val="left"/>
                        <w:rPr>
                          <w:rFonts w:ascii="宋体" w:hAnsi="宋体" w:cs="宋体" w:eastAsia="宋体" w:hint="default"/>
                          <w:sz w:val="14"/>
                          <w:szCs w:val="14"/>
                        </w:rPr>
                      </w:pPr>
                      <w:r>
                        <w:rPr>
                          <w:rFonts w:ascii="宋体" w:hAnsi="宋体" w:cs="宋体" w:eastAsia="宋体" w:hint="default"/>
                          <w:spacing w:val="8"/>
                          <w:sz w:val="14"/>
                          <w:szCs w:val="14"/>
                        </w:rPr>
                        <w:t>通信指挥系统</w:t>
                      </w:r>
                      <w:r>
                        <w:rPr>
                          <w:rFonts w:ascii="宋体" w:hAnsi="宋体" w:cs="宋体" w:eastAsia="宋体" w:hint="default"/>
                          <w:sz w:val="14"/>
                          <w:szCs w:val="14"/>
                        </w:rPr>
                      </w:r>
                    </w:p>
                  </w:txbxContent>
                </v:textbox>
                <w10:wrap type="none"/>
              </v:shape>
              <v:shape style="position:absolute;left:4014;top:10349;width:735;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4,800,000.00</w:t>
                      </w:r>
                      <w:r>
                        <w:rPr>
                          <w:rFonts w:ascii="Times New Roman"/>
                          <w:sz w:val="14"/>
                        </w:rPr>
                      </w:r>
                    </w:p>
                  </w:txbxContent>
                </v:textbox>
                <w10:wrap type="none"/>
              </v:shape>
              <v:shape style="position:absolute;left:9108;top:10334;width:1383;height:156" type="#_x0000_t202" filled="false" stroked="false">
                <v:textbox inset="0,0,0,0">
                  <w:txbxContent>
                    <w:p>
                      <w:pPr>
                        <w:tabs>
                          <w:tab w:pos="950" w:val="left" w:leader="none"/>
                        </w:tabs>
                        <w:spacing w:line="155" w:lineRule="exact" w:before="0"/>
                        <w:ind w:left="0" w:right="0" w:firstLine="0"/>
                        <w:jc w:val="left"/>
                        <w:rPr>
                          <w:rFonts w:ascii="宋体" w:hAnsi="宋体" w:cs="宋体" w:eastAsia="宋体" w:hint="default"/>
                          <w:sz w:val="14"/>
                          <w:szCs w:val="14"/>
                        </w:rPr>
                      </w:pPr>
                      <w:r>
                        <w:rPr>
                          <w:rFonts w:ascii="Times New Roman" w:hAnsi="Times New Roman" w:cs="Times New Roman" w:eastAsia="Times New Roman" w:hint="default"/>
                          <w:spacing w:val="-1"/>
                          <w:sz w:val="14"/>
                          <w:szCs w:val="14"/>
                        </w:rPr>
                        <w:t>4,800,000.00</w:t>
                        <w:tab/>
                      </w:r>
                      <w:r>
                        <w:rPr>
                          <w:rFonts w:ascii="宋体" w:hAnsi="宋体" w:cs="宋体" w:eastAsia="宋体" w:hint="default"/>
                          <w:spacing w:val="3"/>
                          <w:position w:val="1"/>
                          <w:sz w:val="14"/>
                          <w:szCs w:val="14"/>
                        </w:rPr>
                        <w:t>与收益</w:t>
                      </w:r>
                      <w:r>
                        <w:rPr>
                          <w:rFonts w:ascii="宋体" w:hAnsi="宋体" w:cs="宋体" w:eastAsia="宋体" w:hint="default"/>
                          <w:spacing w:val="3"/>
                          <w:sz w:val="14"/>
                          <w:szCs w:val="14"/>
                        </w:rPr>
                      </w:r>
                    </w:p>
                  </w:txbxContent>
                </v:textbox>
                <w10:wrap type="none"/>
              </v:shape>
            </v:group>
            <w10:wrap type="none"/>
          </v:group>
        </w:pict>
      </w:r>
      <w:r>
        <w:rPr/>
        <w:t>涉及政府补助的项目</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8"/>
          <w:szCs w:val="28"/>
        </w:rPr>
      </w:pPr>
    </w:p>
    <w:tbl>
      <w:tblPr>
        <w:tblW w:w="0" w:type="auto"/>
        <w:jc w:val="left"/>
        <w:tblInd w:w="2248" w:type="dxa"/>
        <w:tblLayout w:type="fixed"/>
        <w:tblCellMar>
          <w:top w:w="0" w:type="dxa"/>
          <w:left w:w="0" w:type="dxa"/>
          <w:bottom w:w="0" w:type="dxa"/>
          <w:right w:w="0" w:type="dxa"/>
        </w:tblCellMar>
        <w:tblLook w:val="01E0"/>
      </w:tblPr>
      <w:tblGrid>
        <w:gridCol w:w="1064"/>
        <w:gridCol w:w="1254"/>
        <w:gridCol w:w="1262"/>
        <w:gridCol w:w="1246"/>
        <w:gridCol w:w="1144"/>
      </w:tblGrid>
      <w:tr>
        <w:trPr>
          <w:trHeight w:val="401" w:hRule="exact"/>
        </w:trPr>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220"/>
              <w:jc w:val="right"/>
              <w:rPr>
                <w:rFonts w:ascii="Times New Roman" w:hAnsi="Times New Roman" w:cs="Times New Roman" w:eastAsia="Times New Roman" w:hint="default"/>
                <w:sz w:val="14"/>
                <w:szCs w:val="14"/>
              </w:rPr>
            </w:pPr>
            <w:r>
              <w:rPr>
                <w:rFonts w:ascii="Times New Roman"/>
                <w:spacing w:val="-1"/>
                <w:sz w:val="14"/>
              </w:rPr>
              <w:t>80,355,423.04</w:t>
            </w:r>
          </w:p>
        </w:tc>
        <w:tc>
          <w:tcPr>
            <w:tcW w:w="1254"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224"/>
              <w:jc w:val="right"/>
              <w:rPr>
                <w:rFonts w:ascii="Times New Roman" w:hAnsi="Times New Roman" w:cs="Times New Roman" w:eastAsia="Times New Roman" w:hint="default"/>
                <w:sz w:val="14"/>
                <w:szCs w:val="14"/>
              </w:rPr>
            </w:pPr>
            <w:r>
              <w:rPr>
                <w:rFonts w:ascii="Times New Roman"/>
                <w:spacing w:val="-1"/>
                <w:sz w:val="14"/>
              </w:rPr>
              <w:t>74,800,000.00</w:t>
            </w:r>
          </w:p>
        </w:tc>
        <w:tc>
          <w:tcPr>
            <w:tcW w:w="1262" w:type="dxa"/>
            <w:tcBorders>
              <w:top w:val="nil" w:sz="6" w:space="0" w:color="auto"/>
              <w:left w:val="nil" w:sz="6" w:space="0" w:color="auto"/>
              <w:bottom w:val="nil" w:sz="6" w:space="0" w:color="auto"/>
              <w:right w:val="nil" w:sz="6" w:space="0" w:color="auto"/>
            </w:tcBorders>
          </w:tcPr>
          <w:p>
            <w:pPr>
              <w:pStyle w:val="TableParagraph"/>
              <w:spacing w:line="240" w:lineRule="auto" w:before="30"/>
              <w:ind w:left="64" w:right="0"/>
              <w:jc w:val="center"/>
              <w:rPr>
                <w:rFonts w:ascii="Times New Roman" w:hAnsi="Times New Roman" w:cs="Times New Roman" w:eastAsia="Times New Roman" w:hint="default"/>
                <w:sz w:val="14"/>
                <w:szCs w:val="14"/>
              </w:rPr>
            </w:pPr>
            <w:r>
              <w:rPr>
                <w:rFonts w:ascii="Times New Roman"/>
                <w:sz w:val="14"/>
              </w:rPr>
              <w:t>4,002,599.21</w:t>
            </w:r>
          </w:p>
        </w:tc>
        <w:tc>
          <w:tcPr>
            <w:tcW w:w="239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0"/>
              <w:ind w:left="1479" w:right="0"/>
              <w:jc w:val="left"/>
              <w:rPr>
                <w:rFonts w:ascii="Times New Roman" w:hAnsi="Times New Roman" w:cs="Times New Roman" w:eastAsia="Times New Roman" w:hint="default"/>
                <w:sz w:val="14"/>
                <w:szCs w:val="14"/>
              </w:rPr>
            </w:pPr>
            <w:r>
              <w:rPr>
                <w:rFonts w:ascii="Times New Roman"/>
                <w:sz w:val="14"/>
              </w:rPr>
              <w:t>151,152,823.83</w:t>
            </w:r>
          </w:p>
        </w:tc>
      </w:tr>
      <w:tr>
        <w:trPr>
          <w:trHeight w:val="516" w:hRule="exact"/>
        </w:trPr>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20"/>
              <w:jc w:val="right"/>
              <w:rPr>
                <w:rFonts w:ascii="Times New Roman" w:hAnsi="Times New Roman" w:cs="Times New Roman" w:eastAsia="Times New Roman" w:hint="default"/>
                <w:sz w:val="14"/>
                <w:szCs w:val="14"/>
              </w:rPr>
            </w:pPr>
            <w:r>
              <w:rPr>
                <w:rFonts w:ascii="Times New Roman"/>
                <w:spacing w:val="-1"/>
                <w:sz w:val="14"/>
              </w:rPr>
              <w:t>92,674,834.30</w:t>
            </w:r>
          </w:p>
        </w:tc>
        <w:tc>
          <w:tcPr>
            <w:tcW w:w="1254" w:type="dxa"/>
            <w:tcBorders>
              <w:top w:val="nil" w:sz="6" w:space="0" w:color="auto"/>
              <w:left w:val="nil" w:sz="6" w:space="0" w:color="auto"/>
              <w:bottom w:val="nil" w:sz="6" w:space="0" w:color="auto"/>
              <w:right w:val="nil" w:sz="6" w:space="0" w:color="auto"/>
            </w:tcBorders>
          </w:tcPr>
          <w:p>
            <w:pPr/>
          </w:p>
        </w:tc>
        <w:tc>
          <w:tcPr>
            <w:tcW w:w="126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64" w:right="0"/>
              <w:jc w:val="center"/>
              <w:rPr>
                <w:rFonts w:ascii="Times New Roman" w:hAnsi="Times New Roman" w:cs="Times New Roman" w:eastAsia="Times New Roman" w:hint="default"/>
                <w:sz w:val="14"/>
                <w:szCs w:val="14"/>
              </w:rPr>
            </w:pPr>
            <w:r>
              <w:rPr>
                <w:rFonts w:ascii="Times New Roman"/>
                <w:sz w:val="14"/>
              </w:rPr>
              <w:t>3,009,265.94</w:t>
            </w:r>
          </w:p>
        </w:tc>
        <w:tc>
          <w:tcPr>
            <w:tcW w:w="239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548" w:right="0"/>
              <w:jc w:val="left"/>
              <w:rPr>
                <w:rFonts w:ascii="Times New Roman" w:hAnsi="Times New Roman" w:cs="Times New Roman" w:eastAsia="Times New Roman" w:hint="default"/>
                <w:sz w:val="14"/>
                <w:szCs w:val="14"/>
              </w:rPr>
            </w:pPr>
            <w:r>
              <w:rPr>
                <w:rFonts w:ascii="Times New Roman"/>
                <w:sz w:val="14"/>
              </w:rPr>
              <w:t>89,665,568.36</w:t>
            </w:r>
          </w:p>
        </w:tc>
      </w:tr>
      <w:tr>
        <w:trPr>
          <w:trHeight w:val="304" w:hRule="exact"/>
        </w:trPr>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1"/>
                <w:szCs w:val="11"/>
              </w:rPr>
            </w:pPr>
          </w:p>
          <w:p>
            <w:pPr>
              <w:pStyle w:val="TableParagraph"/>
              <w:spacing w:line="240" w:lineRule="auto"/>
              <w:ind w:right="220"/>
              <w:jc w:val="right"/>
              <w:rPr>
                <w:rFonts w:ascii="Times New Roman" w:hAnsi="Times New Roman" w:cs="Times New Roman" w:eastAsia="Times New Roman" w:hint="default"/>
                <w:sz w:val="14"/>
                <w:szCs w:val="14"/>
              </w:rPr>
            </w:pPr>
            <w:r>
              <w:rPr>
                <w:rFonts w:ascii="Times New Roman"/>
                <w:spacing w:val="-1"/>
                <w:sz w:val="14"/>
              </w:rPr>
              <w:t>24,864,000.00</w:t>
            </w:r>
          </w:p>
        </w:tc>
        <w:tc>
          <w:tcPr>
            <w:tcW w:w="1254" w:type="dxa"/>
            <w:tcBorders>
              <w:top w:val="nil" w:sz="6" w:space="0" w:color="auto"/>
              <w:left w:val="nil" w:sz="6" w:space="0" w:color="auto"/>
              <w:bottom w:val="nil" w:sz="6" w:space="0" w:color="auto"/>
              <w:right w:val="nil" w:sz="6" w:space="0" w:color="auto"/>
            </w:tcBorders>
          </w:tcPr>
          <w:p>
            <w:pPr/>
          </w:p>
        </w:tc>
        <w:tc>
          <w:tcPr>
            <w:tcW w:w="1262" w:type="dxa"/>
            <w:tcBorders>
              <w:top w:val="nil" w:sz="6" w:space="0" w:color="auto"/>
              <w:left w:val="nil" w:sz="6" w:space="0" w:color="auto"/>
              <w:bottom w:val="nil" w:sz="6" w:space="0" w:color="auto"/>
              <w:right w:val="nil" w:sz="6" w:space="0" w:color="auto"/>
            </w:tcBorders>
          </w:tcPr>
          <w:p>
            <w:pPr/>
          </w:p>
        </w:tc>
        <w:tc>
          <w:tcPr>
            <w:tcW w:w="239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1"/>
                <w:szCs w:val="11"/>
              </w:rPr>
            </w:pPr>
          </w:p>
          <w:p>
            <w:pPr>
              <w:pStyle w:val="TableParagraph"/>
              <w:spacing w:line="240" w:lineRule="auto"/>
              <w:ind w:left="1548" w:right="0"/>
              <w:jc w:val="left"/>
              <w:rPr>
                <w:rFonts w:ascii="Times New Roman" w:hAnsi="Times New Roman" w:cs="Times New Roman" w:eastAsia="Times New Roman" w:hint="default"/>
                <w:sz w:val="14"/>
                <w:szCs w:val="14"/>
              </w:rPr>
            </w:pPr>
            <w:r>
              <w:rPr>
                <w:rFonts w:ascii="Times New Roman"/>
                <w:sz w:val="14"/>
              </w:rPr>
              <w:t>24,864,000.00</w:t>
            </w:r>
          </w:p>
        </w:tc>
      </w:tr>
      <w:tr>
        <w:trPr>
          <w:trHeight w:val="305" w:hRule="exact"/>
        </w:trPr>
        <w:tc>
          <w:tcPr>
            <w:tcW w:w="5970" w:type="dxa"/>
            <w:gridSpan w:val="5"/>
            <w:tcBorders>
              <w:top w:val="nil" w:sz="6" w:space="0" w:color="auto"/>
              <w:left w:val="nil" w:sz="6" w:space="0" w:color="auto"/>
              <w:bottom w:val="nil" w:sz="6" w:space="0" w:color="auto"/>
              <w:right w:val="nil" w:sz="6" w:space="0" w:color="auto"/>
            </w:tcBorders>
          </w:tcPr>
          <w:p>
            <w:pPr/>
          </w:p>
        </w:tc>
      </w:tr>
      <w:tr>
        <w:trPr>
          <w:trHeight w:val="361" w:hRule="exact"/>
        </w:trPr>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220"/>
              <w:jc w:val="right"/>
              <w:rPr>
                <w:rFonts w:ascii="Times New Roman" w:hAnsi="Times New Roman" w:cs="Times New Roman" w:eastAsia="Times New Roman" w:hint="default"/>
                <w:sz w:val="14"/>
                <w:szCs w:val="14"/>
              </w:rPr>
            </w:pPr>
            <w:r>
              <w:rPr>
                <w:rFonts w:ascii="Times New Roman"/>
                <w:spacing w:val="-1"/>
                <w:sz w:val="14"/>
              </w:rPr>
              <w:t>12,480,808.00</w:t>
            </w:r>
          </w:p>
        </w:tc>
        <w:tc>
          <w:tcPr>
            <w:tcW w:w="251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654" w:right="0"/>
              <w:jc w:val="left"/>
              <w:rPr>
                <w:rFonts w:ascii="Times New Roman" w:hAnsi="Times New Roman" w:cs="Times New Roman" w:eastAsia="Times New Roman" w:hint="default"/>
                <w:sz w:val="14"/>
                <w:szCs w:val="14"/>
              </w:rPr>
            </w:pPr>
            <w:r>
              <w:rPr>
                <w:rFonts w:ascii="Times New Roman"/>
                <w:sz w:val="14"/>
              </w:rPr>
              <w:t>265,400.00</w:t>
            </w:r>
          </w:p>
        </w:tc>
        <w:tc>
          <w:tcPr>
            <w:tcW w:w="239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548" w:right="0"/>
              <w:jc w:val="left"/>
              <w:rPr>
                <w:rFonts w:ascii="Times New Roman" w:hAnsi="Times New Roman" w:cs="Times New Roman" w:eastAsia="Times New Roman" w:hint="default"/>
                <w:sz w:val="14"/>
                <w:szCs w:val="14"/>
              </w:rPr>
            </w:pPr>
            <w:r>
              <w:rPr>
                <w:rFonts w:ascii="Times New Roman"/>
                <w:sz w:val="14"/>
              </w:rPr>
              <w:t>12,215,408.00</w:t>
            </w:r>
          </w:p>
        </w:tc>
      </w:tr>
      <w:tr>
        <w:trPr>
          <w:trHeight w:val="305" w:hRule="exact"/>
        </w:trPr>
        <w:tc>
          <w:tcPr>
            <w:tcW w:w="5970" w:type="dxa"/>
            <w:gridSpan w:val="5"/>
            <w:tcBorders>
              <w:top w:val="nil" w:sz="6" w:space="0" w:color="auto"/>
              <w:left w:val="nil" w:sz="6" w:space="0" w:color="auto"/>
              <w:bottom w:val="nil" w:sz="6" w:space="0" w:color="auto"/>
              <w:right w:val="nil" w:sz="6" w:space="0" w:color="auto"/>
            </w:tcBorders>
          </w:tcPr>
          <w:p>
            <w:pPr/>
          </w:p>
        </w:tc>
      </w:tr>
      <w:tr>
        <w:trPr>
          <w:trHeight w:val="361" w:hRule="exact"/>
        </w:trPr>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221"/>
              <w:jc w:val="right"/>
              <w:rPr>
                <w:rFonts w:ascii="Times New Roman" w:hAnsi="Times New Roman" w:cs="Times New Roman" w:eastAsia="Times New Roman" w:hint="default"/>
                <w:sz w:val="14"/>
                <w:szCs w:val="14"/>
              </w:rPr>
            </w:pPr>
            <w:r>
              <w:rPr>
                <w:rFonts w:ascii="Times New Roman"/>
                <w:spacing w:val="-2"/>
                <w:sz w:val="14"/>
              </w:rPr>
              <w:t>6,170,794.11</w:t>
            </w:r>
          </w:p>
        </w:tc>
        <w:tc>
          <w:tcPr>
            <w:tcW w:w="125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223"/>
              <w:jc w:val="right"/>
              <w:rPr>
                <w:rFonts w:ascii="Times New Roman" w:hAnsi="Times New Roman" w:cs="Times New Roman" w:eastAsia="Times New Roman" w:hint="default"/>
                <w:sz w:val="14"/>
                <w:szCs w:val="14"/>
              </w:rPr>
            </w:pPr>
            <w:r>
              <w:rPr>
                <w:rFonts w:ascii="Times New Roman"/>
                <w:spacing w:val="-1"/>
                <w:sz w:val="14"/>
              </w:rPr>
              <w:t>3,000,000.00</w:t>
            </w:r>
          </w:p>
        </w:tc>
        <w:tc>
          <w:tcPr>
            <w:tcW w:w="250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603" w:right="0"/>
              <w:jc w:val="left"/>
              <w:rPr>
                <w:rFonts w:ascii="Times New Roman" w:hAnsi="Times New Roman" w:cs="Times New Roman" w:eastAsia="Times New Roman" w:hint="default"/>
                <w:sz w:val="14"/>
                <w:szCs w:val="14"/>
              </w:rPr>
            </w:pPr>
            <w:r>
              <w:rPr>
                <w:rFonts w:ascii="Times New Roman"/>
                <w:sz w:val="14"/>
              </w:rPr>
              <w:t>-117,259.89</w:t>
            </w:r>
          </w:p>
        </w:tc>
        <w:tc>
          <w:tcPr>
            <w:tcW w:w="114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33"/>
              <w:jc w:val="right"/>
              <w:rPr>
                <w:rFonts w:ascii="Times New Roman" w:hAnsi="Times New Roman" w:cs="Times New Roman" w:eastAsia="Times New Roman" w:hint="default"/>
                <w:sz w:val="14"/>
                <w:szCs w:val="14"/>
              </w:rPr>
            </w:pPr>
            <w:r>
              <w:rPr>
                <w:rFonts w:ascii="Times New Roman"/>
                <w:spacing w:val="-1"/>
                <w:sz w:val="14"/>
              </w:rPr>
              <w:t>9,053,534.22</w:t>
            </w:r>
          </w:p>
        </w:tc>
      </w:tr>
      <w:tr>
        <w:trPr>
          <w:trHeight w:val="255" w:hRule="exact"/>
        </w:trPr>
        <w:tc>
          <w:tcPr>
            <w:tcW w:w="5970" w:type="dxa"/>
            <w:gridSpan w:val="5"/>
            <w:tcBorders>
              <w:top w:val="nil" w:sz="6" w:space="0" w:color="auto"/>
              <w:left w:val="nil" w:sz="6" w:space="0" w:color="auto"/>
              <w:bottom w:val="nil" w:sz="6" w:space="0" w:color="auto"/>
              <w:right w:val="nil" w:sz="6" w:space="0" w:color="auto"/>
            </w:tcBorders>
          </w:tcPr>
          <w:p>
            <w:pPr/>
          </w:p>
        </w:tc>
      </w:tr>
      <w:tr>
        <w:trPr>
          <w:trHeight w:val="624" w:hRule="exact"/>
        </w:trPr>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1"/>
                <w:szCs w:val="11"/>
              </w:rPr>
            </w:pPr>
          </w:p>
          <w:p>
            <w:pPr>
              <w:pStyle w:val="TableParagraph"/>
              <w:spacing w:line="240" w:lineRule="auto"/>
              <w:ind w:right="220"/>
              <w:jc w:val="right"/>
              <w:rPr>
                <w:rFonts w:ascii="Times New Roman" w:hAnsi="Times New Roman" w:cs="Times New Roman" w:eastAsia="Times New Roman" w:hint="default"/>
                <w:sz w:val="14"/>
                <w:szCs w:val="14"/>
              </w:rPr>
            </w:pPr>
            <w:r>
              <w:rPr>
                <w:rFonts w:ascii="Times New Roman"/>
                <w:spacing w:val="-1"/>
                <w:sz w:val="14"/>
              </w:rPr>
              <w:t>18,700,000.00</w:t>
            </w:r>
          </w:p>
        </w:tc>
        <w:tc>
          <w:tcPr>
            <w:tcW w:w="1254" w:type="dxa"/>
            <w:tcBorders>
              <w:top w:val="nil" w:sz="6" w:space="0" w:color="auto"/>
              <w:left w:val="nil" w:sz="6" w:space="0" w:color="auto"/>
              <w:bottom w:val="nil" w:sz="6" w:space="0" w:color="auto"/>
              <w:right w:val="nil" w:sz="6" w:space="0" w:color="auto"/>
            </w:tcBorders>
          </w:tcPr>
          <w:p>
            <w:pPr/>
          </w:p>
        </w:tc>
        <w:tc>
          <w:tcPr>
            <w:tcW w:w="126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1"/>
                <w:szCs w:val="11"/>
              </w:rPr>
            </w:pPr>
          </w:p>
          <w:p>
            <w:pPr>
              <w:pStyle w:val="TableParagraph"/>
              <w:spacing w:line="240" w:lineRule="auto"/>
              <w:ind w:right="3"/>
              <w:jc w:val="center"/>
              <w:rPr>
                <w:rFonts w:ascii="Times New Roman" w:hAnsi="Times New Roman" w:cs="Times New Roman" w:eastAsia="Times New Roman" w:hint="default"/>
                <w:sz w:val="14"/>
                <w:szCs w:val="14"/>
              </w:rPr>
            </w:pPr>
            <w:r>
              <w:rPr>
                <w:rFonts w:ascii="Times New Roman"/>
                <w:sz w:val="14"/>
              </w:rPr>
              <w:t>10,536,663.17</w:t>
            </w:r>
          </w:p>
        </w:tc>
        <w:tc>
          <w:tcPr>
            <w:tcW w:w="239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1"/>
                <w:szCs w:val="11"/>
              </w:rPr>
            </w:pPr>
          </w:p>
          <w:p>
            <w:pPr>
              <w:pStyle w:val="TableParagraph"/>
              <w:spacing w:line="240" w:lineRule="auto"/>
              <w:ind w:right="33"/>
              <w:jc w:val="right"/>
              <w:rPr>
                <w:rFonts w:ascii="Times New Roman" w:hAnsi="Times New Roman" w:cs="Times New Roman" w:eastAsia="Times New Roman" w:hint="default"/>
                <w:sz w:val="14"/>
                <w:szCs w:val="14"/>
              </w:rPr>
            </w:pPr>
            <w:r>
              <w:rPr>
                <w:rFonts w:ascii="Times New Roman"/>
                <w:spacing w:val="-1"/>
                <w:sz w:val="14"/>
              </w:rPr>
              <w:t>8,163,336.83</w:t>
            </w:r>
          </w:p>
        </w:tc>
      </w:tr>
      <w:tr>
        <w:trPr>
          <w:trHeight w:val="454" w:hRule="exact"/>
        </w:trPr>
        <w:tc>
          <w:tcPr>
            <w:tcW w:w="1064" w:type="dxa"/>
            <w:tcBorders>
              <w:top w:val="nil" w:sz="6" w:space="0" w:color="auto"/>
              <w:left w:val="nil" w:sz="6" w:space="0" w:color="auto"/>
              <w:bottom w:val="nil" w:sz="6" w:space="0" w:color="auto"/>
              <w:right w:val="nil" w:sz="6" w:space="0" w:color="auto"/>
            </w:tcBorders>
          </w:tcPr>
          <w:p>
            <w:pPr/>
          </w:p>
        </w:tc>
        <w:tc>
          <w:tcPr>
            <w:tcW w:w="125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2"/>
              <w:ind w:right="223"/>
              <w:jc w:val="right"/>
              <w:rPr>
                <w:rFonts w:ascii="Times New Roman" w:hAnsi="Times New Roman" w:cs="Times New Roman" w:eastAsia="Times New Roman" w:hint="default"/>
                <w:sz w:val="14"/>
                <w:szCs w:val="14"/>
              </w:rPr>
            </w:pPr>
            <w:r>
              <w:rPr>
                <w:rFonts w:ascii="Times New Roman"/>
                <w:spacing w:val="-1"/>
                <w:sz w:val="14"/>
              </w:rPr>
              <w:t>6,400,000.00</w:t>
            </w:r>
          </w:p>
        </w:tc>
        <w:tc>
          <w:tcPr>
            <w:tcW w:w="1262" w:type="dxa"/>
            <w:tcBorders>
              <w:top w:val="nil" w:sz="6" w:space="0" w:color="auto"/>
              <w:left w:val="nil" w:sz="6" w:space="0" w:color="auto"/>
              <w:bottom w:val="nil" w:sz="6" w:space="0" w:color="auto"/>
              <w:right w:val="nil" w:sz="6" w:space="0" w:color="auto"/>
            </w:tcBorders>
          </w:tcPr>
          <w:p>
            <w:pPr/>
          </w:p>
        </w:tc>
        <w:tc>
          <w:tcPr>
            <w:tcW w:w="2390"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2"/>
              <w:ind w:right="33"/>
              <w:jc w:val="right"/>
              <w:rPr>
                <w:rFonts w:ascii="Times New Roman" w:hAnsi="Times New Roman" w:cs="Times New Roman" w:eastAsia="Times New Roman" w:hint="default"/>
                <w:sz w:val="14"/>
                <w:szCs w:val="14"/>
              </w:rPr>
            </w:pPr>
            <w:r>
              <w:rPr>
                <w:rFonts w:ascii="Times New Roman"/>
                <w:spacing w:val="-1"/>
                <w:sz w:val="14"/>
              </w:rPr>
              <w:t>6,400,000.00</w:t>
            </w:r>
          </w:p>
        </w:tc>
      </w:tr>
      <w:tr>
        <w:trPr>
          <w:trHeight w:val="309" w:hRule="exact"/>
        </w:trPr>
        <w:tc>
          <w:tcPr>
            <w:tcW w:w="5970" w:type="dxa"/>
            <w:gridSpan w:val="5"/>
            <w:tcBorders>
              <w:top w:val="nil" w:sz="6" w:space="0" w:color="auto"/>
              <w:left w:val="nil" w:sz="6" w:space="0" w:color="auto"/>
              <w:bottom w:val="nil" w:sz="6" w:space="0" w:color="auto"/>
              <w:right w:val="nil" w:sz="6" w:space="0" w:color="auto"/>
            </w:tcBorders>
          </w:tcPr>
          <w:p>
            <w:pPr/>
          </w:p>
        </w:tc>
      </w:tr>
      <w:tr>
        <w:trPr>
          <w:trHeight w:val="520" w:hRule="exact"/>
        </w:trPr>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221"/>
              <w:jc w:val="right"/>
              <w:rPr>
                <w:rFonts w:ascii="Times New Roman" w:hAnsi="Times New Roman" w:cs="Times New Roman" w:eastAsia="Times New Roman" w:hint="default"/>
                <w:sz w:val="14"/>
                <w:szCs w:val="14"/>
              </w:rPr>
            </w:pPr>
            <w:r>
              <w:rPr>
                <w:rFonts w:ascii="Times New Roman"/>
                <w:spacing w:val="-1"/>
                <w:sz w:val="14"/>
              </w:rPr>
              <w:t>4,268,788.40</w:t>
            </w:r>
            <w:r>
              <w:rPr>
                <w:rFonts w:ascii="Times New Roman"/>
                <w:sz w:val="14"/>
              </w:rPr>
            </w:r>
          </w:p>
        </w:tc>
        <w:tc>
          <w:tcPr>
            <w:tcW w:w="3762"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232"/>
              <w:jc w:val="right"/>
              <w:rPr>
                <w:rFonts w:ascii="Times New Roman" w:hAnsi="Times New Roman" w:cs="Times New Roman" w:eastAsia="Times New Roman" w:hint="default"/>
                <w:sz w:val="14"/>
                <w:szCs w:val="14"/>
              </w:rPr>
            </w:pPr>
            <w:r>
              <w:rPr>
                <w:rFonts w:ascii="Times New Roman"/>
                <w:spacing w:val="-2"/>
                <w:sz w:val="14"/>
              </w:rPr>
              <w:t>-11,087.64</w:t>
            </w:r>
            <w:r>
              <w:rPr>
                <w:rFonts w:ascii="Times New Roman"/>
                <w:sz w:val="14"/>
              </w:rPr>
            </w:r>
          </w:p>
        </w:tc>
        <w:tc>
          <w:tcPr>
            <w:tcW w:w="114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34"/>
              <w:jc w:val="right"/>
              <w:rPr>
                <w:rFonts w:ascii="Times New Roman" w:hAnsi="Times New Roman" w:cs="Times New Roman" w:eastAsia="Times New Roman" w:hint="default"/>
                <w:sz w:val="14"/>
                <w:szCs w:val="14"/>
              </w:rPr>
            </w:pPr>
            <w:r>
              <w:rPr>
                <w:rFonts w:ascii="Times New Roman"/>
                <w:spacing w:val="-1"/>
                <w:sz w:val="14"/>
              </w:rPr>
              <w:t>4,257,700.76</w:t>
            </w:r>
            <w:r>
              <w:rPr>
                <w:rFonts w:ascii="Times New Roman"/>
                <w:sz w:val="14"/>
              </w:rPr>
            </w:r>
          </w:p>
        </w:tc>
      </w:tr>
      <w:tr>
        <w:trPr>
          <w:trHeight w:val="303" w:hRule="exact"/>
        </w:trPr>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1"/>
                <w:szCs w:val="11"/>
              </w:rPr>
            </w:pPr>
          </w:p>
          <w:p>
            <w:pPr>
              <w:pStyle w:val="TableParagraph"/>
              <w:spacing w:line="240" w:lineRule="auto"/>
              <w:ind w:right="221"/>
              <w:jc w:val="right"/>
              <w:rPr>
                <w:rFonts w:ascii="Times New Roman" w:hAnsi="Times New Roman" w:cs="Times New Roman" w:eastAsia="Times New Roman" w:hint="default"/>
                <w:sz w:val="14"/>
                <w:szCs w:val="14"/>
              </w:rPr>
            </w:pPr>
            <w:r>
              <w:rPr>
                <w:rFonts w:ascii="Times New Roman"/>
                <w:spacing w:val="-1"/>
                <w:sz w:val="14"/>
              </w:rPr>
              <w:t>4,000,000.00</w:t>
            </w:r>
            <w:r>
              <w:rPr>
                <w:rFonts w:ascii="Times New Roman"/>
                <w:sz w:val="14"/>
              </w:rPr>
            </w:r>
          </w:p>
        </w:tc>
        <w:tc>
          <w:tcPr>
            <w:tcW w:w="3762" w:type="dxa"/>
            <w:gridSpan w:val="3"/>
            <w:tcBorders>
              <w:top w:val="nil" w:sz="6" w:space="0" w:color="auto"/>
              <w:left w:val="nil" w:sz="6" w:space="0" w:color="auto"/>
              <w:bottom w:val="nil" w:sz="6" w:space="0" w:color="auto"/>
              <w:right w:val="nil" w:sz="6" w:space="0" w:color="auto"/>
            </w:tcBorders>
          </w:tcPr>
          <w:p>
            <w:pPr/>
          </w:p>
        </w:tc>
        <w:tc>
          <w:tcPr>
            <w:tcW w:w="114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1"/>
                <w:szCs w:val="11"/>
              </w:rPr>
            </w:pPr>
          </w:p>
          <w:p>
            <w:pPr>
              <w:pStyle w:val="TableParagraph"/>
              <w:spacing w:line="240" w:lineRule="auto"/>
              <w:ind w:right="33"/>
              <w:jc w:val="right"/>
              <w:rPr>
                <w:rFonts w:ascii="Times New Roman" w:hAnsi="Times New Roman" w:cs="Times New Roman" w:eastAsia="Times New Roman" w:hint="default"/>
                <w:sz w:val="14"/>
                <w:szCs w:val="14"/>
              </w:rPr>
            </w:pPr>
            <w:r>
              <w:rPr>
                <w:rFonts w:ascii="Times New Roman"/>
                <w:spacing w:val="-1"/>
                <w:sz w:val="14"/>
              </w:rPr>
              <w:t>4,000,000.00</w:t>
            </w:r>
          </w:p>
        </w:tc>
      </w:tr>
      <w:tr>
        <w:trPr>
          <w:trHeight w:val="305" w:hRule="exact"/>
        </w:trPr>
        <w:tc>
          <w:tcPr>
            <w:tcW w:w="5970" w:type="dxa"/>
            <w:gridSpan w:val="5"/>
            <w:tcBorders>
              <w:top w:val="nil" w:sz="6" w:space="0" w:color="auto"/>
              <w:left w:val="nil" w:sz="6" w:space="0" w:color="auto"/>
              <w:bottom w:val="nil" w:sz="6" w:space="0" w:color="auto"/>
              <w:right w:val="nil" w:sz="6" w:space="0" w:color="auto"/>
            </w:tcBorders>
          </w:tcPr>
          <w:p>
            <w:pPr/>
          </w:p>
        </w:tc>
      </w:tr>
      <w:tr>
        <w:trPr>
          <w:trHeight w:val="361" w:hRule="exact"/>
        </w:trPr>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221"/>
              <w:jc w:val="right"/>
              <w:rPr>
                <w:rFonts w:ascii="Times New Roman" w:hAnsi="Times New Roman" w:cs="Times New Roman" w:eastAsia="Times New Roman" w:hint="default"/>
                <w:sz w:val="14"/>
                <w:szCs w:val="14"/>
              </w:rPr>
            </w:pPr>
            <w:r>
              <w:rPr>
                <w:rFonts w:ascii="Times New Roman"/>
                <w:spacing w:val="-1"/>
                <w:sz w:val="14"/>
              </w:rPr>
              <w:t>5,000,000.00</w:t>
            </w:r>
            <w:r>
              <w:rPr>
                <w:rFonts w:ascii="Times New Roman"/>
                <w:sz w:val="14"/>
              </w:rPr>
            </w:r>
          </w:p>
        </w:tc>
        <w:tc>
          <w:tcPr>
            <w:tcW w:w="251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549" w:right="0"/>
              <w:jc w:val="left"/>
              <w:rPr>
                <w:rFonts w:ascii="Times New Roman" w:hAnsi="Times New Roman" w:cs="Times New Roman" w:eastAsia="Times New Roman" w:hint="default"/>
                <w:sz w:val="14"/>
                <w:szCs w:val="14"/>
              </w:rPr>
            </w:pPr>
            <w:r>
              <w:rPr>
                <w:rFonts w:ascii="Times New Roman"/>
                <w:sz w:val="14"/>
              </w:rPr>
              <w:t>3,100,336.24</w:t>
            </w:r>
          </w:p>
        </w:tc>
        <w:tc>
          <w:tcPr>
            <w:tcW w:w="239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33"/>
              <w:jc w:val="right"/>
              <w:rPr>
                <w:rFonts w:ascii="Times New Roman" w:hAnsi="Times New Roman" w:cs="Times New Roman" w:eastAsia="Times New Roman" w:hint="default"/>
                <w:sz w:val="14"/>
                <w:szCs w:val="14"/>
              </w:rPr>
            </w:pPr>
            <w:r>
              <w:rPr>
                <w:rFonts w:ascii="Times New Roman"/>
                <w:spacing w:val="-1"/>
                <w:sz w:val="14"/>
              </w:rPr>
              <w:t>1,899,663.76</w:t>
            </w:r>
          </w:p>
        </w:tc>
      </w:tr>
      <w:tr>
        <w:trPr>
          <w:trHeight w:val="305" w:hRule="exact"/>
        </w:trPr>
        <w:tc>
          <w:tcPr>
            <w:tcW w:w="5970" w:type="dxa"/>
            <w:gridSpan w:val="5"/>
            <w:tcBorders>
              <w:top w:val="nil" w:sz="6" w:space="0" w:color="auto"/>
              <w:left w:val="nil" w:sz="6" w:space="0" w:color="auto"/>
              <w:bottom w:val="nil" w:sz="6" w:space="0" w:color="auto"/>
              <w:right w:val="nil" w:sz="6" w:space="0" w:color="auto"/>
            </w:tcBorders>
          </w:tcPr>
          <w:p>
            <w:pPr/>
          </w:p>
        </w:tc>
      </w:tr>
      <w:tr>
        <w:trPr>
          <w:trHeight w:val="523" w:hRule="exact"/>
        </w:trPr>
        <w:tc>
          <w:tcPr>
            <w:tcW w:w="1064" w:type="dxa"/>
            <w:tcBorders>
              <w:top w:val="nil" w:sz="6" w:space="0" w:color="auto"/>
              <w:left w:val="nil" w:sz="6" w:space="0" w:color="auto"/>
              <w:bottom w:val="nil" w:sz="6" w:space="0" w:color="auto"/>
              <w:right w:val="nil" w:sz="6" w:space="0" w:color="auto"/>
            </w:tcBorders>
          </w:tcPr>
          <w:p>
            <w:pPr/>
          </w:p>
        </w:tc>
        <w:tc>
          <w:tcPr>
            <w:tcW w:w="125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223"/>
              <w:jc w:val="right"/>
              <w:rPr>
                <w:rFonts w:ascii="Times New Roman" w:hAnsi="Times New Roman" w:cs="Times New Roman" w:eastAsia="Times New Roman" w:hint="default"/>
                <w:sz w:val="14"/>
                <w:szCs w:val="14"/>
              </w:rPr>
            </w:pPr>
            <w:r>
              <w:rPr>
                <w:rFonts w:ascii="Times New Roman"/>
                <w:spacing w:val="-1"/>
                <w:sz w:val="14"/>
              </w:rPr>
              <w:t>1,000,000.00</w:t>
            </w:r>
          </w:p>
        </w:tc>
        <w:tc>
          <w:tcPr>
            <w:tcW w:w="1262" w:type="dxa"/>
            <w:tcBorders>
              <w:top w:val="nil" w:sz="6" w:space="0" w:color="auto"/>
              <w:left w:val="nil" w:sz="6" w:space="0" w:color="auto"/>
              <w:bottom w:val="nil" w:sz="6" w:space="0" w:color="auto"/>
              <w:right w:val="nil" w:sz="6" w:space="0" w:color="auto"/>
            </w:tcBorders>
          </w:tcPr>
          <w:p>
            <w:pPr/>
          </w:p>
        </w:tc>
        <w:tc>
          <w:tcPr>
            <w:tcW w:w="1246" w:type="dxa"/>
            <w:tcBorders>
              <w:top w:val="nil" w:sz="6" w:space="0" w:color="auto"/>
              <w:left w:val="nil" w:sz="6" w:space="0" w:color="auto"/>
              <w:bottom w:val="nil" w:sz="6" w:space="0" w:color="auto"/>
              <w:right w:val="nil" w:sz="6" w:space="0" w:color="auto"/>
            </w:tcBorders>
          </w:tcPr>
          <w:p>
            <w:pPr/>
          </w:p>
        </w:tc>
        <w:tc>
          <w:tcPr>
            <w:tcW w:w="114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33"/>
              <w:jc w:val="right"/>
              <w:rPr>
                <w:rFonts w:ascii="Times New Roman" w:hAnsi="Times New Roman" w:cs="Times New Roman" w:eastAsia="Times New Roman" w:hint="default"/>
                <w:sz w:val="14"/>
                <w:szCs w:val="14"/>
              </w:rPr>
            </w:pPr>
            <w:r>
              <w:rPr>
                <w:rFonts w:ascii="Times New Roman"/>
                <w:spacing w:val="-1"/>
                <w:sz w:val="14"/>
              </w:rPr>
              <w:t>1,000,000.00</w:t>
            </w:r>
          </w:p>
        </w:tc>
      </w:tr>
      <w:tr>
        <w:trPr>
          <w:trHeight w:val="466" w:hRule="exact"/>
        </w:trPr>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1"/>
                <w:szCs w:val="11"/>
              </w:rPr>
            </w:pPr>
          </w:p>
          <w:p>
            <w:pPr>
              <w:pStyle w:val="TableParagraph"/>
              <w:spacing w:line="240" w:lineRule="auto"/>
              <w:ind w:right="221"/>
              <w:jc w:val="right"/>
              <w:rPr>
                <w:rFonts w:ascii="Times New Roman" w:hAnsi="Times New Roman" w:cs="Times New Roman" w:eastAsia="Times New Roman" w:hint="default"/>
                <w:sz w:val="14"/>
                <w:szCs w:val="14"/>
              </w:rPr>
            </w:pPr>
            <w:r>
              <w:rPr>
                <w:rFonts w:ascii="Times New Roman"/>
                <w:spacing w:val="-1"/>
                <w:sz w:val="14"/>
              </w:rPr>
              <w:t>4,800,000.00</w:t>
            </w:r>
          </w:p>
        </w:tc>
        <w:tc>
          <w:tcPr>
            <w:tcW w:w="125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1"/>
                <w:szCs w:val="11"/>
              </w:rPr>
            </w:pPr>
          </w:p>
          <w:p>
            <w:pPr>
              <w:pStyle w:val="TableParagraph"/>
              <w:spacing w:line="240" w:lineRule="auto"/>
              <w:ind w:right="223"/>
              <w:jc w:val="right"/>
              <w:rPr>
                <w:rFonts w:ascii="Times New Roman" w:hAnsi="Times New Roman" w:cs="Times New Roman" w:eastAsia="Times New Roman" w:hint="default"/>
                <w:sz w:val="14"/>
                <w:szCs w:val="14"/>
              </w:rPr>
            </w:pPr>
            <w:r>
              <w:rPr>
                <w:rFonts w:ascii="Times New Roman"/>
                <w:spacing w:val="-1"/>
                <w:sz w:val="14"/>
              </w:rPr>
              <w:t>829,059.98</w:t>
            </w:r>
          </w:p>
        </w:tc>
        <w:tc>
          <w:tcPr>
            <w:tcW w:w="126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1"/>
                <w:szCs w:val="11"/>
              </w:rPr>
            </w:pPr>
          </w:p>
          <w:p>
            <w:pPr>
              <w:pStyle w:val="TableParagraph"/>
              <w:spacing w:line="240" w:lineRule="auto"/>
              <w:ind w:left="64" w:right="0"/>
              <w:jc w:val="center"/>
              <w:rPr>
                <w:rFonts w:ascii="Times New Roman" w:hAnsi="Times New Roman" w:cs="Times New Roman" w:eastAsia="Times New Roman" w:hint="default"/>
                <w:sz w:val="14"/>
                <w:szCs w:val="14"/>
              </w:rPr>
            </w:pPr>
            <w:r>
              <w:rPr>
                <w:rFonts w:ascii="Times New Roman"/>
                <w:sz w:val="14"/>
              </w:rPr>
              <w:t>3,970,940.02</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1"/>
                <w:szCs w:val="11"/>
              </w:rPr>
            </w:pPr>
          </w:p>
          <w:p>
            <w:pPr>
              <w:pStyle w:val="TableParagraph"/>
              <w:spacing w:line="240" w:lineRule="auto"/>
              <w:ind w:right="230"/>
              <w:jc w:val="right"/>
              <w:rPr>
                <w:rFonts w:ascii="Times New Roman" w:hAnsi="Times New Roman" w:cs="Times New Roman" w:eastAsia="Times New Roman" w:hint="default"/>
                <w:sz w:val="14"/>
                <w:szCs w:val="14"/>
              </w:rPr>
            </w:pPr>
            <w:r>
              <w:rPr>
                <w:rFonts w:ascii="Times New Roman"/>
                <w:spacing w:val="-1"/>
                <w:sz w:val="14"/>
              </w:rPr>
              <w:t>-1,170,356.32</w:t>
            </w:r>
          </w:p>
        </w:tc>
        <w:tc>
          <w:tcPr>
            <w:tcW w:w="114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1"/>
                <w:szCs w:val="11"/>
              </w:rPr>
            </w:pPr>
          </w:p>
          <w:p>
            <w:pPr>
              <w:pStyle w:val="TableParagraph"/>
              <w:spacing w:line="240" w:lineRule="auto"/>
              <w:ind w:right="33"/>
              <w:jc w:val="right"/>
              <w:rPr>
                <w:rFonts w:ascii="Times New Roman" w:hAnsi="Times New Roman" w:cs="Times New Roman" w:eastAsia="Times New Roman" w:hint="default"/>
                <w:sz w:val="14"/>
                <w:szCs w:val="14"/>
              </w:rPr>
            </w:pPr>
            <w:r>
              <w:rPr>
                <w:rFonts w:ascii="Times New Roman"/>
                <w:spacing w:val="-1"/>
                <w:sz w:val="14"/>
              </w:rPr>
              <w:t>487,763.64</w:t>
            </w:r>
          </w:p>
        </w:tc>
      </w:tr>
      <w:tr>
        <w:trPr>
          <w:trHeight w:val="466" w:hRule="exact"/>
        </w:trPr>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1"/>
                <w:szCs w:val="11"/>
              </w:rPr>
            </w:pPr>
          </w:p>
          <w:p>
            <w:pPr>
              <w:pStyle w:val="TableParagraph"/>
              <w:spacing w:line="240" w:lineRule="auto"/>
              <w:ind w:right="221"/>
              <w:jc w:val="right"/>
              <w:rPr>
                <w:rFonts w:ascii="Times New Roman" w:hAnsi="Times New Roman" w:cs="Times New Roman" w:eastAsia="Times New Roman" w:hint="default"/>
                <w:sz w:val="14"/>
                <w:szCs w:val="14"/>
              </w:rPr>
            </w:pPr>
            <w:r>
              <w:rPr>
                <w:rFonts w:ascii="Times New Roman"/>
                <w:spacing w:val="-1"/>
                <w:sz w:val="14"/>
              </w:rPr>
              <w:t>600,000.00</w:t>
            </w:r>
          </w:p>
        </w:tc>
        <w:tc>
          <w:tcPr>
            <w:tcW w:w="1254" w:type="dxa"/>
            <w:tcBorders>
              <w:top w:val="nil" w:sz="6" w:space="0" w:color="auto"/>
              <w:left w:val="nil" w:sz="6" w:space="0" w:color="auto"/>
              <w:bottom w:val="nil" w:sz="6" w:space="0" w:color="auto"/>
              <w:right w:val="nil" w:sz="6" w:space="0" w:color="auto"/>
            </w:tcBorders>
          </w:tcPr>
          <w:p>
            <w:pPr/>
          </w:p>
        </w:tc>
        <w:tc>
          <w:tcPr>
            <w:tcW w:w="126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1"/>
                <w:szCs w:val="11"/>
              </w:rPr>
            </w:pPr>
          </w:p>
          <w:p>
            <w:pPr>
              <w:pStyle w:val="TableParagraph"/>
              <w:spacing w:line="240" w:lineRule="auto"/>
              <w:ind w:left="168" w:right="0"/>
              <w:jc w:val="center"/>
              <w:rPr>
                <w:rFonts w:ascii="Times New Roman" w:hAnsi="Times New Roman" w:cs="Times New Roman" w:eastAsia="Times New Roman" w:hint="default"/>
                <w:sz w:val="14"/>
                <w:szCs w:val="14"/>
              </w:rPr>
            </w:pPr>
            <w:r>
              <w:rPr>
                <w:rFonts w:ascii="Times New Roman"/>
                <w:sz w:val="14"/>
              </w:rPr>
              <w:t>600,000.00</w:t>
            </w:r>
          </w:p>
        </w:tc>
        <w:tc>
          <w:tcPr>
            <w:tcW w:w="1246" w:type="dxa"/>
            <w:tcBorders>
              <w:top w:val="nil" w:sz="6" w:space="0" w:color="auto"/>
              <w:left w:val="nil" w:sz="6" w:space="0" w:color="auto"/>
              <w:bottom w:val="nil" w:sz="6" w:space="0" w:color="auto"/>
              <w:right w:val="nil" w:sz="6" w:space="0" w:color="auto"/>
            </w:tcBorders>
          </w:tcPr>
          <w:p>
            <w:pPr/>
          </w:p>
        </w:tc>
        <w:tc>
          <w:tcPr>
            <w:tcW w:w="1144" w:type="dxa"/>
            <w:tcBorders>
              <w:top w:val="nil" w:sz="6" w:space="0" w:color="auto"/>
              <w:left w:val="nil" w:sz="6" w:space="0" w:color="auto"/>
              <w:bottom w:val="nil" w:sz="6" w:space="0" w:color="auto"/>
              <w:right w:val="nil" w:sz="6" w:space="0" w:color="auto"/>
            </w:tcBorders>
          </w:tcPr>
          <w:p>
            <w:pPr/>
          </w:p>
        </w:tc>
      </w:tr>
      <w:tr>
        <w:trPr>
          <w:trHeight w:val="303" w:hRule="exact"/>
        </w:trPr>
        <w:tc>
          <w:tcPr>
            <w:tcW w:w="106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1"/>
                <w:szCs w:val="11"/>
              </w:rPr>
            </w:pPr>
          </w:p>
          <w:p>
            <w:pPr>
              <w:pStyle w:val="TableParagraph"/>
              <w:spacing w:line="240" w:lineRule="auto"/>
              <w:ind w:right="221"/>
              <w:jc w:val="right"/>
              <w:rPr>
                <w:rFonts w:ascii="Times New Roman" w:hAnsi="Times New Roman" w:cs="Times New Roman" w:eastAsia="Times New Roman" w:hint="default"/>
                <w:sz w:val="14"/>
                <w:szCs w:val="14"/>
              </w:rPr>
            </w:pPr>
            <w:r>
              <w:rPr>
                <w:rFonts w:ascii="Times New Roman"/>
                <w:spacing w:val="-1"/>
                <w:sz w:val="14"/>
              </w:rPr>
              <w:t>4,021,785.62</w:t>
            </w:r>
          </w:p>
        </w:tc>
        <w:tc>
          <w:tcPr>
            <w:tcW w:w="125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1"/>
                <w:szCs w:val="11"/>
              </w:rPr>
            </w:pPr>
          </w:p>
          <w:p>
            <w:pPr>
              <w:pStyle w:val="TableParagraph"/>
              <w:spacing w:line="240" w:lineRule="auto"/>
              <w:ind w:right="223"/>
              <w:jc w:val="right"/>
              <w:rPr>
                <w:rFonts w:ascii="Times New Roman" w:hAnsi="Times New Roman" w:cs="Times New Roman" w:eastAsia="Times New Roman" w:hint="default"/>
                <w:sz w:val="14"/>
                <w:szCs w:val="14"/>
              </w:rPr>
            </w:pPr>
            <w:r>
              <w:rPr>
                <w:rFonts w:ascii="Times New Roman"/>
                <w:spacing w:val="-1"/>
                <w:sz w:val="14"/>
              </w:rPr>
              <w:t>0.77</w:t>
            </w:r>
          </w:p>
        </w:tc>
        <w:tc>
          <w:tcPr>
            <w:tcW w:w="126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1"/>
                <w:szCs w:val="11"/>
              </w:rPr>
            </w:pPr>
          </w:p>
          <w:p>
            <w:pPr>
              <w:pStyle w:val="TableParagraph"/>
              <w:spacing w:line="240" w:lineRule="auto"/>
              <w:ind w:left="168" w:right="0"/>
              <w:jc w:val="center"/>
              <w:rPr>
                <w:rFonts w:ascii="Times New Roman" w:hAnsi="Times New Roman" w:cs="Times New Roman" w:eastAsia="Times New Roman" w:hint="default"/>
                <w:sz w:val="14"/>
                <w:szCs w:val="14"/>
              </w:rPr>
            </w:pPr>
            <w:r>
              <w:rPr>
                <w:rFonts w:ascii="Times New Roman"/>
                <w:sz w:val="14"/>
              </w:rPr>
              <w:t>150,000.00</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1"/>
                <w:szCs w:val="11"/>
              </w:rPr>
            </w:pPr>
          </w:p>
          <w:p>
            <w:pPr>
              <w:pStyle w:val="TableParagraph"/>
              <w:spacing w:line="240" w:lineRule="auto"/>
              <w:ind w:right="231"/>
              <w:jc w:val="right"/>
              <w:rPr>
                <w:rFonts w:ascii="Times New Roman" w:hAnsi="Times New Roman" w:cs="Times New Roman" w:eastAsia="Times New Roman" w:hint="default"/>
                <w:sz w:val="14"/>
                <w:szCs w:val="14"/>
              </w:rPr>
            </w:pPr>
            <w:r>
              <w:rPr>
                <w:rFonts w:ascii="Times New Roman"/>
                <w:spacing w:val="-1"/>
                <w:sz w:val="14"/>
              </w:rPr>
              <w:t>-497,397.06</w:t>
            </w:r>
          </w:p>
        </w:tc>
        <w:tc>
          <w:tcPr>
            <w:tcW w:w="114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1"/>
                <w:szCs w:val="11"/>
              </w:rPr>
            </w:pPr>
          </w:p>
          <w:p>
            <w:pPr>
              <w:pStyle w:val="TableParagraph"/>
              <w:spacing w:line="240" w:lineRule="auto"/>
              <w:ind w:right="33"/>
              <w:jc w:val="right"/>
              <w:rPr>
                <w:rFonts w:ascii="Times New Roman" w:hAnsi="Times New Roman" w:cs="Times New Roman" w:eastAsia="Times New Roman" w:hint="default"/>
                <w:sz w:val="14"/>
                <w:szCs w:val="14"/>
              </w:rPr>
            </w:pPr>
            <w:r>
              <w:rPr>
                <w:rFonts w:ascii="Times New Roman"/>
                <w:spacing w:val="-1"/>
                <w:sz w:val="14"/>
              </w:rPr>
              <w:t>3,374,389.33</w:t>
            </w:r>
          </w:p>
        </w:tc>
      </w:tr>
    </w:tbl>
    <w:p>
      <w:pPr>
        <w:spacing w:after="0" w:line="240" w:lineRule="auto"/>
        <w:jc w:val="right"/>
        <w:rPr>
          <w:rFonts w:ascii="Times New Roman" w:hAnsi="Times New Roman" w:cs="Times New Roman" w:eastAsia="Times New Roman" w:hint="default"/>
          <w:sz w:val="14"/>
          <w:szCs w:val="14"/>
        </w:rPr>
        <w:sectPr>
          <w:pgSz w:w="11910" w:h="16840"/>
          <w:pgMar w:header="0" w:footer="1001" w:top="1520" w:bottom="1200" w:left="166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6"/>
          <w:szCs w:val="16"/>
        </w:rPr>
      </w:pPr>
    </w:p>
    <w:tbl>
      <w:tblPr>
        <w:tblW w:w="0" w:type="auto"/>
        <w:jc w:val="left"/>
        <w:tblInd w:w="787" w:type="dxa"/>
        <w:tblLayout w:type="fixed"/>
        <w:tblCellMar>
          <w:top w:w="0" w:type="dxa"/>
          <w:left w:w="0" w:type="dxa"/>
          <w:bottom w:w="0" w:type="dxa"/>
          <w:right w:w="0" w:type="dxa"/>
        </w:tblCellMar>
        <w:tblLook w:val="01E0"/>
      </w:tblPr>
      <w:tblGrid>
        <w:gridCol w:w="1169"/>
        <w:gridCol w:w="1356"/>
        <w:gridCol w:w="1254"/>
        <w:gridCol w:w="1262"/>
        <w:gridCol w:w="1246"/>
        <w:gridCol w:w="1144"/>
      </w:tblGrid>
      <w:tr>
        <w:trPr>
          <w:trHeight w:val="381" w:hRule="exact"/>
        </w:trPr>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85"/>
              <w:jc w:val="center"/>
              <w:rPr>
                <w:rFonts w:ascii="宋体" w:hAnsi="宋体" w:cs="宋体" w:eastAsia="宋体" w:hint="default"/>
                <w:sz w:val="14"/>
                <w:szCs w:val="14"/>
              </w:rPr>
            </w:pPr>
            <w:r>
              <w:rPr>
                <w:rFonts w:ascii="宋体" w:hAnsi="宋体" w:cs="宋体" w:eastAsia="宋体" w:hint="default"/>
                <w:sz w:val="14"/>
                <w:szCs w:val="14"/>
              </w:rPr>
              <w:t>其他小额合计</w:t>
            </w:r>
          </w:p>
        </w:tc>
        <w:tc>
          <w:tcPr>
            <w:tcW w:w="1356"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20"/>
              <w:jc w:val="right"/>
              <w:rPr>
                <w:rFonts w:ascii="Times New Roman" w:hAnsi="Times New Roman" w:cs="Times New Roman" w:eastAsia="Times New Roman" w:hint="default"/>
                <w:sz w:val="14"/>
                <w:szCs w:val="14"/>
              </w:rPr>
            </w:pPr>
            <w:r>
              <w:rPr>
                <w:rFonts w:ascii="Times New Roman"/>
                <w:spacing w:val="-1"/>
                <w:sz w:val="14"/>
              </w:rPr>
              <w:t>920,000.00</w:t>
            </w:r>
          </w:p>
        </w:tc>
        <w:tc>
          <w:tcPr>
            <w:tcW w:w="1254" w:type="dxa"/>
            <w:tcBorders>
              <w:top w:val="nil" w:sz="6" w:space="0" w:color="auto"/>
              <w:left w:val="nil" w:sz="6" w:space="0" w:color="auto"/>
              <w:bottom w:val="nil" w:sz="6" w:space="0" w:color="auto"/>
              <w:right w:val="nil" w:sz="6" w:space="0" w:color="auto"/>
            </w:tcBorders>
          </w:tcPr>
          <w:p>
            <w:pPr>
              <w:pStyle w:val="TableParagraph"/>
              <w:spacing w:line="240" w:lineRule="auto" w:before="97"/>
              <w:ind w:left="68" w:right="0"/>
              <w:jc w:val="center"/>
              <w:rPr>
                <w:rFonts w:ascii="Times New Roman" w:hAnsi="Times New Roman" w:cs="Times New Roman" w:eastAsia="Times New Roman" w:hint="default"/>
                <w:sz w:val="14"/>
                <w:szCs w:val="14"/>
              </w:rPr>
            </w:pPr>
            <w:r>
              <w:rPr>
                <w:rFonts w:ascii="Times New Roman"/>
                <w:sz w:val="14"/>
              </w:rPr>
              <w:t>1,190,000.00</w:t>
            </w:r>
          </w:p>
        </w:tc>
        <w:tc>
          <w:tcPr>
            <w:tcW w:w="1262"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29"/>
              <w:jc w:val="right"/>
              <w:rPr>
                <w:rFonts w:ascii="Times New Roman" w:hAnsi="Times New Roman" w:cs="Times New Roman" w:eastAsia="Times New Roman" w:hint="default"/>
                <w:sz w:val="14"/>
                <w:szCs w:val="14"/>
              </w:rPr>
            </w:pPr>
            <w:r>
              <w:rPr>
                <w:rFonts w:ascii="Times New Roman"/>
                <w:spacing w:val="-1"/>
                <w:sz w:val="14"/>
              </w:rPr>
              <w:t>300,000.00</w:t>
            </w:r>
          </w:p>
        </w:tc>
        <w:tc>
          <w:tcPr>
            <w:tcW w:w="1246" w:type="dxa"/>
            <w:tcBorders>
              <w:top w:val="nil" w:sz="6" w:space="0" w:color="auto"/>
              <w:left w:val="nil" w:sz="6" w:space="0" w:color="auto"/>
              <w:bottom w:val="nil" w:sz="6" w:space="0" w:color="auto"/>
              <w:right w:val="nil" w:sz="6" w:space="0" w:color="auto"/>
            </w:tcBorders>
          </w:tcPr>
          <w:p>
            <w:pPr/>
          </w:p>
        </w:tc>
        <w:tc>
          <w:tcPr>
            <w:tcW w:w="1144"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33"/>
              <w:jc w:val="right"/>
              <w:rPr>
                <w:rFonts w:ascii="Times New Roman" w:hAnsi="Times New Roman" w:cs="Times New Roman" w:eastAsia="Times New Roman" w:hint="default"/>
                <w:sz w:val="14"/>
                <w:szCs w:val="14"/>
              </w:rPr>
            </w:pPr>
            <w:r>
              <w:rPr>
                <w:rFonts w:ascii="Times New Roman"/>
                <w:spacing w:val="-1"/>
                <w:sz w:val="14"/>
              </w:rPr>
              <w:t>1,810,000.00</w:t>
            </w:r>
          </w:p>
        </w:tc>
      </w:tr>
      <w:tr>
        <w:trPr>
          <w:trHeight w:val="373" w:hRule="exact"/>
        </w:trPr>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36"/>
              <w:jc w:val="center"/>
              <w:rPr>
                <w:rFonts w:ascii="宋体" w:hAnsi="宋体" w:cs="宋体" w:eastAsia="宋体" w:hint="default"/>
                <w:sz w:val="14"/>
                <w:szCs w:val="14"/>
              </w:rPr>
            </w:pPr>
            <w:r>
              <w:rPr>
                <w:rFonts w:ascii="宋体" w:hAnsi="宋体" w:cs="宋体" w:eastAsia="宋体" w:hint="default"/>
                <w:sz w:val="14"/>
                <w:szCs w:val="14"/>
              </w:rPr>
              <w:t>合计</w:t>
            </w:r>
          </w:p>
        </w:tc>
        <w:tc>
          <w:tcPr>
            <w:tcW w:w="1356"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20"/>
              <w:jc w:val="right"/>
              <w:rPr>
                <w:rFonts w:ascii="Times New Roman" w:hAnsi="Times New Roman" w:cs="Times New Roman" w:eastAsia="Times New Roman" w:hint="default"/>
                <w:sz w:val="14"/>
                <w:szCs w:val="14"/>
              </w:rPr>
            </w:pPr>
            <w:r>
              <w:rPr>
                <w:rFonts w:ascii="Times New Roman"/>
                <w:spacing w:val="-1"/>
                <w:sz w:val="14"/>
              </w:rPr>
              <w:t>329,004,231.26</w:t>
            </w:r>
          </w:p>
        </w:tc>
        <w:tc>
          <w:tcPr>
            <w:tcW w:w="1254"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0"/>
              <w:jc w:val="center"/>
              <w:rPr>
                <w:rFonts w:ascii="Times New Roman" w:hAnsi="Times New Roman" w:cs="Times New Roman" w:eastAsia="Times New Roman" w:hint="default"/>
                <w:sz w:val="14"/>
                <w:szCs w:val="14"/>
              </w:rPr>
            </w:pPr>
            <w:r>
              <w:rPr>
                <w:rFonts w:ascii="Times New Roman"/>
                <w:sz w:val="14"/>
              </w:rPr>
              <w:t>90,219,060.75</w:t>
            </w:r>
          </w:p>
        </w:tc>
        <w:tc>
          <w:tcPr>
            <w:tcW w:w="1262"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30"/>
              <w:jc w:val="right"/>
              <w:rPr>
                <w:rFonts w:ascii="Times New Roman" w:hAnsi="Times New Roman" w:cs="Times New Roman" w:eastAsia="Times New Roman" w:hint="default"/>
                <w:sz w:val="14"/>
                <w:szCs w:val="14"/>
              </w:rPr>
            </w:pPr>
            <w:r>
              <w:rPr>
                <w:rFonts w:ascii="Times New Roman"/>
                <w:spacing w:val="-1"/>
                <w:sz w:val="14"/>
              </w:rPr>
              <w:t>75,783,002.37</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123"/>
              <w:ind w:left="230" w:right="0"/>
              <w:jc w:val="left"/>
              <w:rPr>
                <w:rFonts w:ascii="Times New Roman" w:hAnsi="Times New Roman" w:cs="Times New Roman" w:eastAsia="Times New Roman" w:hint="default"/>
                <w:sz w:val="14"/>
                <w:szCs w:val="14"/>
              </w:rPr>
            </w:pPr>
            <w:r>
              <w:rPr>
                <w:rFonts w:ascii="Times New Roman"/>
                <w:sz w:val="14"/>
              </w:rPr>
              <w:t>-3,276,100.91</w:t>
            </w:r>
          </w:p>
        </w:tc>
        <w:tc>
          <w:tcPr>
            <w:tcW w:w="1144"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3"/>
              <w:jc w:val="right"/>
              <w:rPr>
                <w:rFonts w:ascii="Times New Roman" w:hAnsi="Times New Roman" w:cs="Times New Roman" w:eastAsia="Times New Roman" w:hint="default"/>
                <w:sz w:val="14"/>
                <w:szCs w:val="14"/>
              </w:rPr>
            </w:pPr>
            <w:r>
              <w:rPr>
                <w:rFonts w:ascii="Times New Roman"/>
                <w:spacing w:val="-1"/>
                <w:sz w:val="14"/>
              </w:rPr>
              <w:t>340,164,188.73</w:t>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p>
      <w:pPr>
        <w:pStyle w:val="Heading5"/>
        <w:spacing w:line="240" w:lineRule="auto"/>
        <w:ind w:right="3681"/>
        <w:jc w:val="left"/>
        <w:rPr>
          <w:b w:val="0"/>
          <w:bCs w:val="0"/>
        </w:rPr>
      </w:pPr>
      <w:r>
        <w:rPr/>
        <w:pict>
          <v:group style="position:absolute;margin-left:119.010002pt;margin-top:-393.326172pt;width:411.9pt;height:370.45pt;mso-position-horizontal-relative:page;mso-position-vertical-relative:paragraph;z-index:-1379488" coordorigin="2380,-7867" coordsize="8238,7409">
            <v:group style="position:absolute;left:2410;top:-7852;width:1102;height:2" coordorigin="2410,-7852" coordsize="1102,2">
              <v:shape style="position:absolute;left:2410;top:-7852;width:1102;height:2" coordorigin="2410,-7852" coordsize="1102,0" path="m2410,-7852l3511,-7852e" filled="false" stroked="true" strokeweight="1.5pt" strokecolor="#000000">
                <v:path arrowok="t"/>
              </v:shape>
              <v:shape style="position:absolute;left:3511;top:-7837;width:10;height:28" type="#_x0000_t75" stroked="false">
                <v:imagedata r:id="rId37" o:title=""/>
              </v:shape>
            </v:group>
            <v:group style="position:absolute;left:3511;top:-7852;width:1341;height:2" coordorigin="3511,-7852" coordsize="1341,2">
              <v:shape style="position:absolute;left:3511;top:-7852;width:1341;height:2" coordorigin="3511,-7852" coordsize="1341,0" path="m3511,-7852l4852,-7852e" filled="false" stroked="true" strokeweight="1.5pt" strokecolor="#000000">
                <v:path arrowok="t"/>
              </v:shape>
              <v:shape style="position:absolute;left:4852;top:-7837;width:10;height:28" type="#_x0000_t75" stroked="false">
                <v:imagedata r:id="rId37" o:title=""/>
              </v:shape>
            </v:group>
            <v:group style="position:absolute;left:4852;top:-7852;width:1252;height:2" coordorigin="4852,-7852" coordsize="1252,2">
              <v:shape style="position:absolute;left:4852;top:-7852;width:1252;height:2" coordorigin="4852,-7852" coordsize="1252,0" path="m4852,-7852l6103,-7852e" filled="false" stroked="true" strokeweight="1.5pt" strokecolor="#000000">
                <v:path arrowok="t"/>
              </v:shape>
              <v:shape style="position:absolute;left:6103;top:-7837;width:10;height:28" type="#_x0000_t75" stroked="false">
                <v:imagedata r:id="rId37" o:title=""/>
              </v:shape>
            </v:group>
            <v:group style="position:absolute;left:6103;top:-7852;width:1258;height:2" coordorigin="6103,-7852" coordsize="1258,2">
              <v:shape style="position:absolute;left:6103;top:-7852;width:1258;height:2" coordorigin="6103,-7852" coordsize="1258,0" path="m6103,-7852l7361,-7852e" filled="false" stroked="true" strokeweight="1.5pt" strokecolor="#000000">
                <v:path arrowok="t"/>
              </v:shape>
              <v:shape style="position:absolute;left:7361;top:-7837;width:10;height:28" type="#_x0000_t75" stroked="false">
                <v:imagedata r:id="rId37" o:title=""/>
              </v:shape>
            </v:group>
            <v:group style="position:absolute;left:7361;top:-7852;width:1245;height:2" coordorigin="7361,-7852" coordsize="1245,2">
              <v:shape style="position:absolute;left:7361;top:-7852;width:1245;height:2" coordorigin="7361,-7852" coordsize="1245,0" path="m7361,-7852l8605,-7852e" filled="false" stroked="true" strokeweight="1.5pt" strokecolor="#000000">
                <v:path arrowok="t"/>
              </v:shape>
              <v:shape style="position:absolute;left:8605;top:-7837;width:10;height:28" type="#_x0000_t75" stroked="false">
                <v:imagedata r:id="rId37" o:title=""/>
              </v:shape>
            </v:group>
            <v:group style="position:absolute;left:8605;top:-7852;width:1341;height:2" coordorigin="8605,-7852" coordsize="1341,2">
              <v:shape style="position:absolute;left:8605;top:-7852;width:1341;height:2" coordorigin="8605,-7852" coordsize="1341,0" path="m8605,-7852l9946,-7852e" filled="false" stroked="true" strokeweight="1.5pt" strokecolor="#000000">
                <v:path arrowok="t"/>
              </v:shape>
              <v:shape style="position:absolute;left:9946;top:-7837;width:10;height:28" type="#_x0000_t75" stroked="false">
                <v:imagedata r:id="rId37" o:title=""/>
              </v:shape>
            </v:group>
            <v:group style="position:absolute;left:9946;top:-7852;width:652;height:2" coordorigin="9946,-7852" coordsize="652,2">
              <v:shape style="position:absolute;left:9946;top:-7852;width:652;height:2" coordorigin="9946,-7852" coordsize="652,0" path="m9946,-7852l10597,-7852e" filled="false" stroked="true" strokeweight="1.5pt" strokecolor="#000000">
                <v:path arrowok="t"/>
              </v:shape>
              <v:shape style="position:absolute;left:3492;top:-7828;width:6482;height:868" type="#_x0000_t75" stroked="false">
                <v:imagedata r:id="rId285" o:title=""/>
              </v:shape>
            </v:group>
            <v:group style="position:absolute;left:2395;top:-473;width:1116;height:2" coordorigin="2395,-473" coordsize="1116,2">
              <v:shape style="position:absolute;left:2395;top:-473;width:1116;height:2" coordorigin="2395,-473" coordsize="1116,0" path="m2395,-473l3511,-473e" filled="false" stroked="true" strokeweight="1.5pt" strokecolor="#000000">
                <v:path arrowok="t"/>
              </v:shape>
            </v:group>
            <v:group style="position:absolute;left:3511;top:-473;width:1341;height:2" coordorigin="3511,-473" coordsize="1341,2">
              <v:shape style="position:absolute;left:3511;top:-473;width:1341;height:2" coordorigin="3511,-473" coordsize="1341,0" path="m3511,-473l4852,-473e" filled="false" stroked="true" strokeweight="1.5pt" strokecolor="#000000">
                <v:path arrowok="t"/>
              </v:shape>
            </v:group>
            <v:group style="position:absolute;left:4852;top:-473;width:1252;height:2" coordorigin="4852,-473" coordsize="1252,2">
              <v:shape style="position:absolute;left:4852;top:-473;width:1252;height:2" coordorigin="4852,-473" coordsize="1252,0" path="m4852,-473l6103,-473e" filled="false" stroked="true" strokeweight="1.5pt" strokecolor="#000000">
                <v:path arrowok="t"/>
              </v:shape>
            </v:group>
            <v:group style="position:absolute;left:6103;top:-473;width:1258;height:2" coordorigin="6103,-473" coordsize="1258,2">
              <v:shape style="position:absolute;left:6103;top:-473;width:1258;height:2" coordorigin="6103,-473" coordsize="1258,0" path="m6103,-473l7361,-473e" filled="false" stroked="true" strokeweight="1.5pt" strokecolor="#000000">
                <v:path arrowok="t"/>
              </v:shape>
            </v:group>
            <v:group style="position:absolute;left:7361;top:-473;width:1245;height:2" coordorigin="7361,-473" coordsize="1245,2">
              <v:shape style="position:absolute;left:7361;top:-473;width:1245;height:2" coordorigin="7361,-473" coordsize="1245,0" path="m7361,-473l8605,-473e" filled="false" stroked="true" strokeweight="1.5pt" strokecolor="#000000">
                <v:path arrowok="t"/>
              </v:shape>
            </v:group>
            <v:group style="position:absolute;left:8605;top:-473;width:1341;height:2" coordorigin="8605,-473" coordsize="1341,2">
              <v:shape style="position:absolute;left:8605;top:-473;width:1341;height:2" coordorigin="8605,-473" coordsize="1341,0" path="m8605,-473l9946,-473e" filled="false" stroked="true" strokeweight="1.5pt" strokecolor="#000000">
                <v:path arrowok="t"/>
              </v:shape>
              <v:shape style="position:absolute;left:2390;top:-6999;width:8227;height:6511" type="#_x0000_t75" stroked="false">
                <v:imagedata r:id="rId286" o:title=""/>
              </v:shape>
            </v:group>
            <v:group style="position:absolute;left:9946;top:-473;width:652;height:2" coordorigin="9946,-473" coordsize="652,2">
              <v:shape style="position:absolute;left:9946;top:-473;width:652;height:2" coordorigin="9946,-473" coordsize="652,0" path="m9946,-473l10597,-473e" filled="false" stroked="true" strokeweight="1.5pt" strokecolor="#000000">
                <v:path arrowok="t"/>
              </v:shape>
              <v:shape style="position:absolute;left:10063;top:-7770;width:422;height:141" type="#_x0000_t202" filled="false" stroked="false">
                <v:textbox inset="0,0,0,0">
                  <w:txbxContent>
                    <w:p>
                      <w:pPr>
                        <w:spacing w:line="140" w:lineRule="exact" w:before="0"/>
                        <w:ind w:left="0" w:right="0" w:firstLine="0"/>
                        <w:jc w:val="left"/>
                        <w:rPr>
                          <w:rFonts w:ascii="宋体" w:hAnsi="宋体" w:cs="宋体" w:eastAsia="宋体" w:hint="default"/>
                          <w:sz w:val="14"/>
                          <w:szCs w:val="14"/>
                        </w:rPr>
                      </w:pPr>
                      <w:r>
                        <w:rPr>
                          <w:rFonts w:ascii="宋体" w:hAnsi="宋体" w:cs="宋体" w:eastAsia="宋体" w:hint="default"/>
                          <w:sz w:val="14"/>
                          <w:szCs w:val="14"/>
                        </w:rPr>
                        <w:t>与资产</w:t>
                      </w:r>
                    </w:p>
                  </w:txbxContent>
                </v:textbox>
                <w10:wrap type="none"/>
              </v:shape>
              <v:shape style="position:absolute;left:2822;top:-7470;width:281;height:141" type="#_x0000_t202" filled="false" stroked="false">
                <v:textbox inset="0,0,0,0">
                  <w:txbxContent>
                    <w:p>
                      <w:pPr>
                        <w:spacing w:line="140" w:lineRule="exact" w:before="0"/>
                        <w:ind w:left="0" w:right="0" w:firstLine="0"/>
                        <w:jc w:val="left"/>
                        <w:rPr>
                          <w:rFonts w:ascii="宋体" w:hAnsi="宋体" w:cs="宋体" w:eastAsia="宋体" w:hint="default"/>
                          <w:sz w:val="14"/>
                          <w:szCs w:val="14"/>
                        </w:rPr>
                      </w:pPr>
                      <w:r>
                        <w:rPr>
                          <w:rFonts w:ascii="宋体" w:hAnsi="宋体" w:cs="宋体" w:eastAsia="宋体" w:hint="default"/>
                          <w:sz w:val="14"/>
                          <w:szCs w:val="14"/>
                        </w:rPr>
                        <w:t>项目</w:t>
                      </w:r>
                    </w:p>
                  </w:txbxContent>
                </v:textbox>
                <w10:wrap type="none"/>
              </v:shape>
              <v:shape style="position:absolute;left:3905;top:-7470;width:562;height:141" type="#_x0000_t202" filled="false" stroked="false">
                <v:textbox inset="0,0,0,0">
                  <w:txbxContent>
                    <w:p>
                      <w:pPr>
                        <w:spacing w:line="140" w:lineRule="exact" w:before="0"/>
                        <w:ind w:left="0" w:right="0" w:firstLine="0"/>
                        <w:jc w:val="left"/>
                        <w:rPr>
                          <w:rFonts w:ascii="宋体" w:hAnsi="宋体" w:cs="宋体" w:eastAsia="宋体" w:hint="default"/>
                          <w:sz w:val="14"/>
                          <w:szCs w:val="14"/>
                        </w:rPr>
                      </w:pPr>
                      <w:r>
                        <w:rPr>
                          <w:rFonts w:ascii="宋体" w:hAnsi="宋体" w:cs="宋体" w:eastAsia="宋体" w:hint="default"/>
                          <w:sz w:val="14"/>
                          <w:szCs w:val="14"/>
                        </w:rPr>
                        <w:t>年初余额</w:t>
                      </w:r>
                    </w:p>
                  </w:txbxContent>
                </v:textbox>
                <w10:wrap type="none"/>
              </v:shape>
              <v:shape style="position:absolute;left:5062;top:-7571;width:842;height:341" type="#_x0000_t202" filled="false" stroked="false">
                <v:textbox inset="0,0,0,0">
                  <w:txbxContent>
                    <w:p>
                      <w:pPr>
                        <w:spacing w:line="140" w:lineRule="exact" w:before="0"/>
                        <w:ind w:left="0" w:right="0" w:firstLine="0"/>
                        <w:jc w:val="center"/>
                        <w:rPr>
                          <w:rFonts w:ascii="宋体" w:hAnsi="宋体" w:cs="宋体" w:eastAsia="宋体" w:hint="default"/>
                          <w:sz w:val="14"/>
                          <w:szCs w:val="14"/>
                        </w:rPr>
                      </w:pPr>
                      <w:r>
                        <w:rPr>
                          <w:rFonts w:ascii="宋体" w:hAnsi="宋体" w:cs="宋体" w:eastAsia="宋体" w:hint="default"/>
                          <w:spacing w:val="-1"/>
                          <w:sz w:val="14"/>
                          <w:szCs w:val="14"/>
                        </w:rPr>
                        <w:t>本期新增补助</w:t>
                      </w:r>
                    </w:p>
                    <w:p>
                      <w:pPr>
                        <w:spacing w:before="17"/>
                        <w:ind w:left="1" w:right="0" w:firstLine="0"/>
                        <w:jc w:val="center"/>
                        <w:rPr>
                          <w:rFonts w:ascii="宋体" w:hAnsi="宋体" w:cs="宋体" w:eastAsia="宋体" w:hint="default"/>
                          <w:sz w:val="14"/>
                          <w:szCs w:val="14"/>
                        </w:rPr>
                      </w:pPr>
                      <w:r>
                        <w:rPr>
                          <w:rFonts w:ascii="宋体" w:hAnsi="宋体" w:cs="宋体" w:eastAsia="宋体" w:hint="default"/>
                          <w:sz w:val="14"/>
                          <w:szCs w:val="14"/>
                        </w:rPr>
                        <w:t>金额</w:t>
                      </w:r>
                    </w:p>
                  </w:txbxContent>
                </v:textbox>
                <w10:wrap type="none"/>
              </v:shape>
              <v:shape style="position:absolute;left:6245;top:-7571;width:982;height:341" type="#_x0000_t202" filled="false" stroked="false">
                <v:textbox inset="0,0,0,0">
                  <w:txbxContent>
                    <w:p>
                      <w:pPr>
                        <w:spacing w:line="140" w:lineRule="exact" w:before="0"/>
                        <w:ind w:left="0" w:right="0" w:firstLine="0"/>
                        <w:jc w:val="center"/>
                        <w:rPr>
                          <w:rFonts w:ascii="宋体" w:hAnsi="宋体" w:cs="宋体" w:eastAsia="宋体" w:hint="default"/>
                          <w:sz w:val="14"/>
                          <w:szCs w:val="14"/>
                        </w:rPr>
                      </w:pPr>
                      <w:r>
                        <w:rPr>
                          <w:rFonts w:ascii="宋体" w:hAnsi="宋体" w:cs="宋体" w:eastAsia="宋体" w:hint="default"/>
                          <w:spacing w:val="-1"/>
                          <w:sz w:val="14"/>
                          <w:szCs w:val="14"/>
                        </w:rPr>
                        <w:t>本期计入当期损</w:t>
                      </w:r>
                    </w:p>
                    <w:p>
                      <w:pPr>
                        <w:spacing w:before="17"/>
                        <w:ind w:left="1" w:right="0" w:firstLine="0"/>
                        <w:jc w:val="center"/>
                        <w:rPr>
                          <w:rFonts w:ascii="宋体" w:hAnsi="宋体" w:cs="宋体" w:eastAsia="宋体" w:hint="default"/>
                          <w:sz w:val="14"/>
                          <w:szCs w:val="14"/>
                        </w:rPr>
                      </w:pPr>
                      <w:r>
                        <w:rPr>
                          <w:rFonts w:ascii="宋体" w:hAnsi="宋体" w:cs="宋体" w:eastAsia="宋体" w:hint="default"/>
                          <w:sz w:val="14"/>
                          <w:szCs w:val="14"/>
                        </w:rPr>
                        <w:t>益金额</w:t>
                      </w:r>
                    </w:p>
                  </w:txbxContent>
                </v:textbox>
                <w10:wrap type="none"/>
              </v:shape>
              <v:shape style="position:absolute;left:7706;top:-7470;width:562;height:141" type="#_x0000_t202" filled="false" stroked="false">
                <v:textbox inset="0,0,0,0">
                  <w:txbxContent>
                    <w:p>
                      <w:pPr>
                        <w:spacing w:line="140" w:lineRule="exact" w:before="0"/>
                        <w:ind w:left="0" w:right="0" w:firstLine="0"/>
                        <w:jc w:val="left"/>
                        <w:rPr>
                          <w:rFonts w:ascii="宋体" w:hAnsi="宋体" w:cs="宋体" w:eastAsia="宋体" w:hint="default"/>
                          <w:sz w:val="14"/>
                          <w:szCs w:val="14"/>
                        </w:rPr>
                      </w:pPr>
                      <w:r>
                        <w:rPr>
                          <w:rFonts w:ascii="宋体" w:hAnsi="宋体" w:cs="宋体" w:eastAsia="宋体" w:hint="default"/>
                          <w:sz w:val="14"/>
                          <w:szCs w:val="14"/>
                        </w:rPr>
                        <w:t>其他变动</w:t>
                      </w:r>
                    </w:p>
                  </w:txbxContent>
                </v:textbox>
                <w10:wrap type="none"/>
              </v:shape>
              <v:shape style="position:absolute;left:8999;top:-7470;width:562;height:141" type="#_x0000_t202" filled="false" stroked="false">
                <v:textbox inset="0,0,0,0">
                  <w:txbxContent>
                    <w:p>
                      <w:pPr>
                        <w:spacing w:line="140" w:lineRule="exact" w:before="0"/>
                        <w:ind w:left="0" w:right="0" w:firstLine="0"/>
                        <w:jc w:val="left"/>
                        <w:rPr>
                          <w:rFonts w:ascii="宋体" w:hAnsi="宋体" w:cs="宋体" w:eastAsia="宋体" w:hint="default"/>
                          <w:sz w:val="14"/>
                          <w:szCs w:val="14"/>
                        </w:rPr>
                      </w:pPr>
                      <w:r>
                        <w:rPr>
                          <w:rFonts w:ascii="宋体" w:hAnsi="宋体" w:cs="宋体" w:eastAsia="宋体" w:hint="default"/>
                          <w:sz w:val="14"/>
                          <w:szCs w:val="14"/>
                        </w:rPr>
                        <w:t>期末余额</w:t>
                      </w:r>
                    </w:p>
                  </w:txbxContent>
                </v:textbox>
                <w10:wrap type="none"/>
              </v:shape>
              <v:shape style="position:absolute;left:2518;top:-6905;width:701;height:141" type="#_x0000_t202" filled="false" stroked="false">
                <v:textbox inset="0,0,0,0">
                  <w:txbxContent>
                    <w:p>
                      <w:pPr>
                        <w:spacing w:line="140" w:lineRule="exact" w:before="0"/>
                        <w:ind w:left="0" w:right="0" w:firstLine="0"/>
                        <w:jc w:val="left"/>
                        <w:rPr>
                          <w:rFonts w:ascii="宋体" w:hAnsi="宋体" w:cs="宋体" w:eastAsia="宋体" w:hint="default"/>
                          <w:sz w:val="14"/>
                          <w:szCs w:val="14"/>
                        </w:rPr>
                      </w:pPr>
                      <w:r>
                        <w:rPr>
                          <w:rFonts w:ascii="宋体" w:hAnsi="宋体" w:cs="宋体" w:eastAsia="宋体" w:hint="default"/>
                          <w:spacing w:val="-1"/>
                          <w:sz w:val="14"/>
                          <w:szCs w:val="14"/>
                        </w:rPr>
                        <w:t>及设备军贸</w:t>
                      </w:r>
                    </w:p>
                  </w:txbxContent>
                </v:textbox>
                <w10:wrap type="none"/>
              </v:shape>
              <v:shape style="position:absolute;left:10058;top:-7571;width:427;height:807" type="#_x0000_t202" filled="false" stroked="false">
                <v:textbox inset="0,0,0,0">
                  <w:txbxContent>
                    <w:p>
                      <w:pPr>
                        <w:spacing w:line="151" w:lineRule="exact" w:before="0"/>
                        <w:ind w:left="4" w:right="0" w:firstLine="50"/>
                        <w:jc w:val="left"/>
                        <w:rPr>
                          <w:rFonts w:ascii="Times New Roman" w:hAnsi="Times New Roman" w:cs="Times New Roman" w:eastAsia="Times New Roman" w:hint="default"/>
                          <w:sz w:val="14"/>
                          <w:szCs w:val="14"/>
                        </w:rPr>
                      </w:pPr>
                      <w:r>
                        <w:rPr>
                          <w:rFonts w:ascii="宋体" w:hAnsi="宋体" w:cs="宋体" w:eastAsia="宋体" w:hint="default"/>
                          <w:sz w:val="14"/>
                          <w:szCs w:val="14"/>
                        </w:rPr>
                        <w:t>相关</w:t>
                      </w:r>
                      <w:r>
                        <w:rPr>
                          <w:rFonts w:ascii="Times New Roman" w:hAnsi="Times New Roman" w:cs="Times New Roman" w:eastAsia="Times New Roman" w:hint="default"/>
                          <w:sz w:val="14"/>
                          <w:szCs w:val="14"/>
                        </w:rPr>
                        <w:t>/</w:t>
                      </w:r>
                    </w:p>
                    <w:p>
                      <w:pPr>
                        <w:spacing w:line="261" w:lineRule="auto" w:before="6"/>
                        <w:ind w:left="0" w:right="0" w:firstLine="4"/>
                        <w:jc w:val="left"/>
                        <w:rPr>
                          <w:rFonts w:ascii="宋体" w:hAnsi="宋体" w:cs="宋体" w:eastAsia="宋体" w:hint="default"/>
                          <w:sz w:val="14"/>
                          <w:szCs w:val="14"/>
                        </w:rPr>
                      </w:pPr>
                      <w:r>
                        <w:rPr>
                          <w:rFonts w:ascii="宋体" w:hAnsi="宋体" w:cs="宋体" w:eastAsia="宋体" w:hint="default"/>
                          <w:sz w:val="14"/>
                          <w:szCs w:val="14"/>
                        </w:rPr>
                        <w:t>与收益</w:t>
                      </w:r>
                      <w:r>
                        <w:rPr>
                          <w:rFonts w:ascii="宋体" w:hAnsi="宋体" w:cs="宋体" w:eastAsia="宋体" w:hint="default"/>
                          <w:w w:val="100"/>
                          <w:sz w:val="14"/>
                          <w:szCs w:val="14"/>
                        </w:rPr>
                        <w:t> </w:t>
                      </w:r>
                      <w:r>
                        <w:rPr>
                          <w:rFonts w:ascii="宋体" w:hAnsi="宋体" w:cs="宋体" w:eastAsia="宋体" w:hint="default"/>
                          <w:sz w:val="14"/>
                          <w:szCs w:val="14"/>
                        </w:rPr>
                        <w:t>相关</w:t>
                      </w:r>
                    </w:p>
                    <w:p>
                      <w:pPr>
                        <w:spacing w:before="69"/>
                        <w:ind w:left="0" w:right="0" w:firstLine="0"/>
                        <w:jc w:val="left"/>
                        <w:rPr>
                          <w:rFonts w:ascii="宋体" w:hAnsi="宋体" w:cs="宋体" w:eastAsia="宋体" w:hint="default"/>
                          <w:sz w:val="14"/>
                          <w:szCs w:val="14"/>
                        </w:rPr>
                      </w:pPr>
                      <w:r>
                        <w:rPr>
                          <w:rFonts w:ascii="宋体" w:hAnsi="宋体" w:cs="宋体" w:eastAsia="宋体" w:hint="default"/>
                          <w:sz w:val="14"/>
                          <w:szCs w:val="14"/>
                        </w:rPr>
                        <w:t>相关</w:t>
                      </w:r>
                    </w:p>
                  </w:txbxContent>
                </v:textbox>
                <w10:wrap type="none"/>
              </v:shape>
              <v:shape style="position:absolute;left:2518;top:-6556;width:901;height:3405" type="#_x0000_t202" filled="false" stroked="false">
                <v:textbox inset="0,0,0,0">
                  <w:txbxContent>
                    <w:p>
                      <w:pPr>
                        <w:spacing w:line="151" w:lineRule="exact" w:before="0"/>
                        <w:ind w:left="0" w:right="0" w:firstLine="0"/>
                        <w:jc w:val="both"/>
                        <w:rPr>
                          <w:rFonts w:ascii="宋体" w:hAnsi="宋体" w:cs="宋体" w:eastAsia="宋体" w:hint="default"/>
                          <w:sz w:val="14"/>
                          <w:szCs w:val="14"/>
                        </w:rPr>
                      </w:pPr>
                      <w:r>
                        <w:rPr>
                          <w:rFonts w:ascii="Times New Roman" w:hAnsi="Times New Roman" w:cs="Times New Roman" w:eastAsia="Times New Roman" w:hint="default"/>
                          <w:sz w:val="14"/>
                          <w:szCs w:val="14"/>
                        </w:rPr>
                        <w:t>2017</w:t>
                      </w:r>
                      <w:r>
                        <w:rPr>
                          <w:rFonts w:ascii="Times New Roman" w:hAnsi="Times New Roman" w:cs="Times New Roman" w:eastAsia="Times New Roman" w:hint="default"/>
                          <w:spacing w:val="14"/>
                          <w:sz w:val="14"/>
                          <w:szCs w:val="14"/>
                        </w:rPr>
                        <w:t> </w:t>
                      </w:r>
                      <w:r>
                        <w:rPr>
                          <w:rFonts w:ascii="宋体" w:hAnsi="宋体" w:cs="宋体" w:eastAsia="宋体" w:hint="default"/>
                          <w:sz w:val="14"/>
                          <w:szCs w:val="14"/>
                        </w:rPr>
                        <w:t>湖南省制</w:t>
                      </w:r>
                    </w:p>
                    <w:p>
                      <w:pPr>
                        <w:spacing w:line="261" w:lineRule="auto" w:before="6"/>
                        <w:ind w:left="0" w:right="0" w:firstLine="0"/>
                        <w:jc w:val="both"/>
                        <w:rPr>
                          <w:rFonts w:ascii="宋体" w:hAnsi="宋体" w:cs="宋体" w:eastAsia="宋体" w:hint="default"/>
                          <w:sz w:val="14"/>
                          <w:szCs w:val="14"/>
                        </w:rPr>
                      </w:pPr>
                      <w:r>
                        <w:rPr>
                          <w:rFonts w:ascii="宋体" w:hAnsi="宋体" w:cs="宋体" w:eastAsia="宋体" w:hint="default"/>
                          <w:spacing w:val="8"/>
                          <w:sz w:val="14"/>
                          <w:szCs w:val="14"/>
                        </w:rPr>
                        <w:t>造强省专项资</w:t>
                      </w:r>
                      <w:r>
                        <w:rPr>
                          <w:rFonts w:ascii="宋体" w:hAnsi="宋体" w:cs="宋体" w:eastAsia="宋体" w:hint="default"/>
                          <w:spacing w:val="-62"/>
                          <w:sz w:val="14"/>
                          <w:szCs w:val="14"/>
                        </w:rPr>
                        <w:t> </w:t>
                      </w:r>
                      <w:r>
                        <w:rPr>
                          <w:rFonts w:ascii="宋体" w:hAnsi="宋体" w:cs="宋体" w:eastAsia="宋体" w:hint="default"/>
                          <w:sz w:val="14"/>
                          <w:szCs w:val="14"/>
                        </w:rPr>
                        <w:t>金</w:t>
                      </w:r>
                    </w:p>
                    <w:p>
                      <w:pPr>
                        <w:spacing w:line="261" w:lineRule="auto" w:before="69"/>
                        <w:ind w:left="0" w:right="0" w:firstLine="0"/>
                        <w:jc w:val="both"/>
                        <w:rPr>
                          <w:rFonts w:ascii="宋体" w:hAnsi="宋体" w:cs="宋体" w:eastAsia="宋体" w:hint="default"/>
                          <w:sz w:val="14"/>
                          <w:szCs w:val="14"/>
                        </w:rPr>
                      </w:pPr>
                      <w:r>
                        <w:rPr>
                          <w:rFonts w:ascii="宋体" w:hAnsi="宋体" w:cs="宋体" w:eastAsia="宋体" w:hint="default"/>
                          <w:spacing w:val="8"/>
                          <w:sz w:val="14"/>
                          <w:szCs w:val="14"/>
                        </w:rPr>
                        <w:t>科研、创新项</w:t>
                      </w:r>
                      <w:r>
                        <w:rPr>
                          <w:rFonts w:ascii="宋体" w:hAnsi="宋体" w:cs="宋体" w:eastAsia="宋体" w:hint="default"/>
                          <w:spacing w:val="-62"/>
                          <w:sz w:val="14"/>
                          <w:szCs w:val="14"/>
                        </w:rPr>
                        <w:t> </w:t>
                      </w:r>
                      <w:r>
                        <w:rPr>
                          <w:rFonts w:ascii="宋体" w:hAnsi="宋体" w:cs="宋体" w:eastAsia="宋体" w:hint="default"/>
                          <w:sz w:val="14"/>
                          <w:szCs w:val="14"/>
                        </w:rPr>
                        <w:t>目</w:t>
                      </w:r>
                    </w:p>
                    <w:p>
                      <w:pPr>
                        <w:spacing w:line="261" w:lineRule="auto" w:before="70"/>
                        <w:ind w:left="0" w:right="0" w:firstLine="0"/>
                        <w:jc w:val="both"/>
                        <w:rPr>
                          <w:rFonts w:ascii="宋体" w:hAnsi="宋体" w:cs="宋体" w:eastAsia="宋体" w:hint="default"/>
                          <w:sz w:val="14"/>
                          <w:szCs w:val="14"/>
                        </w:rPr>
                      </w:pPr>
                      <w:r>
                        <w:rPr>
                          <w:rFonts w:ascii="宋体" w:hAnsi="宋体" w:cs="宋体" w:eastAsia="宋体" w:hint="default"/>
                          <w:spacing w:val="8"/>
                          <w:sz w:val="14"/>
                          <w:szCs w:val="14"/>
                        </w:rPr>
                        <w:t>财政局移动互</w:t>
                      </w:r>
                      <w:r>
                        <w:rPr>
                          <w:rFonts w:ascii="宋体" w:hAnsi="宋体" w:cs="宋体" w:eastAsia="宋体" w:hint="default"/>
                          <w:spacing w:val="-62"/>
                          <w:sz w:val="14"/>
                          <w:szCs w:val="14"/>
                        </w:rPr>
                        <w:t> </w:t>
                      </w:r>
                      <w:r>
                        <w:rPr>
                          <w:rFonts w:ascii="宋体" w:hAnsi="宋体" w:cs="宋体" w:eastAsia="宋体" w:hint="default"/>
                          <w:spacing w:val="8"/>
                          <w:sz w:val="14"/>
                          <w:szCs w:val="14"/>
                        </w:rPr>
                        <w:t>联产业补助资</w:t>
                      </w:r>
                      <w:r>
                        <w:rPr>
                          <w:rFonts w:ascii="宋体" w:hAnsi="宋体" w:cs="宋体" w:eastAsia="宋体" w:hint="default"/>
                          <w:spacing w:val="-62"/>
                          <w:sz w:val="14"/>
                          <w:szCs w:val="14"/>
                        </w:rPr>
                        <w:t> </w:t>
                      </w:r>
                      <w:r>
                        <w:rPr>
                          <w:rFonts w:ascii="宋体" w:hAnsi="宋体" w:cs="宋体" w:eastAsia="宋体" w:hint="default"/>
                          <w:sz w:val="14"/>
                          <w:szCs w:val="14"/>
                        </w:rPr>
                        <w:t>金</w:t>
                      </w:r>
                    </w:p>
                    <w:p>
                      <w:pPr>
                        <w:spacing w:line="256" w:lineRule="auto" w:before="70"/>
                        <w:ind w:left="0" w:right="0" w:firstLine="0"/>
                        <w:jc w:val="both"/>
                        <w:rPr>
                          <w:rFonts w:ascii="宋体" w:hAnsi="宋体" w:cs="宋体" w:eastAsia="宋体" w:hint="default"/>
                          <w:sz w:val="14"/>
                          <w:szCs w:val="14"/>
                        </w:rPr>
                      </w:pPr>
                      <w:r>
                        <w:rPr>
                          <w:rFonts w:ascii="宋体" w:hAnsi="宋体" w:cs="宋体" w:eastAsia="宋体" w:hint="default"/>
                          <w:spacing w:val="8"/>
                          <w:sz w:val="14"/>
                          <w:szCs w:val="14"/>
                        </w:rPr>
                        <w:t>长沙市经开区</w:t>
                      </w:r>
                      <w:r>
                        <w:rPr>
                          <w:rFonts w:ascii="宋体" w:hAnsi="宋体" w:cs="宋体" w:eastAsia="宋体" w:hint="default"/>
                          <w:spacing w:val="-62"/>
                          <w:sz w:val="14"/>
                          <w:szCs w:val="14"/>
                        </w:rPr>
                        <w:t> </w:t>
                      </w:r>
                      <w:r>
                        <w:rPr>
                          <w:rFonts w:ascii="宋体" w:hAnsi="宋体" w:cs="宋体" w:eastAsia="宋体" w:hint="default"/>
                          <w:sz w:val="14"/>
                          <w:szCs w:val="14"/>
                        </w:rPr>
                        <w:t>财政局</w:t>
                      </w:r>
                      <w:r>
                        <w:rPr>
                          <w:rFonts w:ascii="宋体" w:hAnsi="宋体" w:cs="宋体" w:eastAsia="宋体" w:hint="default"/>
                          <w:spacing w:val="-46"/>
                          <w:sz w:val="14"/>
                          <w:szCs w:val="14"/>
                        </w:rPr>
                        <w:t> </w:t>
                      </w:r>
                      <w:r>
                        <w:rPr>
                          <w:rFonts w:ascii="Times New Roman" w:hAnsi="Times New Roman" w:cs="Times New Roman" w:eastAsia="Times New Roman" w:hint="default"/>
                          <w:sz w:val="14"/>
                          <w:szCs w:val="14"/>
                        </w:rPr>
                        <w:t>2018</w:t>
                      </w:r>
                      <w:r>
                        <w:rPr>
                          <w:rFonts w:ascii="Times New Roman" w:hAnsi="Times New Roman" w:cs="Times New Roman" w:eastAsia="Times New Roman" w:hint="default"/>
                          <w:spacing w:val="-10"/>
                          <w:sz w:val="14"/>
                          <w:szCs w:val="14"/>
                        </w:rPr>
                        <w:t> </w:t>
                      </w:r>
                      <w:r>
                        <w:rPr>
                          <w:rFonts w:ascii="宋体" w:hAnsi="宋体" w:cs="宋体" w:eastAsia="宋体" w:hint="default"/>
                          <w:sz w:val="14"/>
                          <w:szCs w:val="14"/>
                        </w:rPr>
                        <w:t>年</w:t>
                      </w:r>
                      <w:r>
                        <w:rPr>
                          <w:rFonts w:ascii="宋体" w:hAnsi="宋体" w:cs="宋体" w:eastAsia="宋体" w:hint="default"/>
                          <w:w w:val="100"/>
                          <w:sz w:val="14"/>
                          <w:szCs w:val="14"/>
                        </w:rPr>
                        <w:t> </w:t>
                      </w:r>
                      <w:r>
                        <w:rPr>
                          <w:rFonts w:ascii="宋体" w:hAnsi="宋体" w:cs="宋体" w:eastAsia="宋体" w:hint="default"/>
                          <w:spacing w:val="8"/>
                          <w:sz w:val="14"/>
                          <w:szCs w:val="14"/>
                        </w:rPr>
                        <w:t>度第四批制造</w:t>
                      </w:r>
                      <w:r>
                        <w:rPr>
                          <w:rFonts w:ascii="宋体" w:hAnsi="宋体" w:cs="宋体" w:eastAsia="宋体" w:hint="default"/>
                          <w:spacing w:val="-62"/>
                          <w:sz w:val="14"/>
                          <w:szCs w:val="14"/>
                        </w:rPr>
                        <w:t> </w:t>
                      </w:r>
                      <w:r>
                        <w:rPr>
                          <w:rFonts w:ascii="宋体" w:hAnsi="宋体" w:cs="宋体" w:eastAsia="宋体" w:hint="default"/>
                          <w:spacing w:val="-62"/>
                          <w:sz w:val="14"/>
                          <w:szCs w:val="14"/>
                        </w:rPr>
                      </w:r>
                      <w:r>
                        <w:rPr>
                          <w:rFonts w:ascii="宋体" w:hAnsi="宋体" w:cs="宋体" w:eastAsia="宋体" w:hint="default"/>
                          <w:sz w:val="14"/>
                          <w:szCs w:val="14"/>
                        </w:rPr>
                        <w:t>强省专项资金</w:t>
                      </w:r>
                    </w:p>
                    <w:p>
                      <w:pPr>
                        <w:spacing w:line="261" w:lineRule="auto" w:before="72"/>
                        <w:ind w:left="0" w:right="0" w:firstLine="0"/>
                        <w:jc w:val="both"/>
                        <w:rPr>
                          <w:rFonts w:ascii="宋体" w:hAnsi="宋体" w:cs="宋体" w:eastAsia="宋体" w:hint="default"/>
                          <w:sz w:val="14"/>
                          <w:szCs w:val="14"/>
                        </w:rPr>
                      </w:pPr>
                      <w:r>
                        <w:rPr>
                          <w:rFonts w:ascii="宋体" w:hAnsi="宋体" w:cs="宋体" w:eastAsia="宋体" w:hint="default"/>
                          <w:spacing w:val="8"/>
                          <w:sz w:val="14"/>
                          <w:szCs w:val="14"/>
                        </w:rPr>
                        <w:t>基于大数据的</w:t>
                      </w:r>
                      <w:r>
                        <w:rPr>
                          <w:rFonts w:ascii="宋体" w:hAnsi="宋体" w:cs="宋体" w:eastAsia="宋体" w:hint="default"/>
                          <w:spacing w:val="-62"/>
                          <w:sz w:val="14"/>
                          <w:szCs w:val="14"/>
                        </w:rPr>
                        <w:t> </w:t>
                      </w:r>
                      <w:r>
                        <w:rPr>
                          <w:rFonts w:ascii="宋体" w:hAnsi="宋体" w:cs="宋体" w:eastAsia="宋体" w:hint="default"/>
                          <w:spacing w:val="8"/>
                          <w:sz w:val="14"/>
                          <w:szCs w:val="14"/>
                        </w:rPr>
                        <w:t>非入侵式负荷</w:t>
                      </w:r>
                      <w:r>
                        <w:rPr>
                          <w:rFonts w:ascii="宋体" w:hAnsi="宋体" w:cs="宋体" w:eastAsia="宋体" w:hint="default"/>
                          <w:spacing w:val="-62"/>
                          <w:sz w:val="14"/>
                          <w:szCs w:val="14"/>
                        </w:rPr>
                        <w:t> </w:t>
                      </w:r>
                      <w:r>
                        <w:rPr>
                          <w:rFonts w:ascii="宋体" w:hAnsi="宋体" w:cs="宋体" w:eastAsia="宋体" w:hint="default"/>
                          <w:spacing w:val="8"/>
                          <w:sz w:val="14"/>
                          <w:szCs w:val="14"/>
                        </w:rPr>
                        <w:t>检测平台及传</w:t>
                      </w:r>
                      <w:r>
                        <w:rPr>
                          <w:rFonts w:ascii="宋体" w:hAnsi="宋体" w:cs="宋体" w:eastAsia="宋体" w:hint="default"/>
                          <w:spacing w:val="-62"/>
                          <w:sz w:val="14"/>
                          <w:szCs w:val="14"/>
                        </w:rPr>
                        <w:t> </w:t>
                      </w:r>
                      <w:r>
                        <w:rPr>
                          <w:rFonts w:ascii="宋体" w:hAnsi="宋体" w:cs="宋体" w:eastAsia="宋体" w:hint="default"/>
                          <w:sz w:val="14"/>
                          <w:szCs w:val="14"/>
                        </w:rPr>
                        <w:t>感器研发</w:t>
                      </w:r>
                    </w:p>
                  </w:txbxContent>
                </v:textbox>
                <w10:wrap type="none"/>
              </v:shape>
              <v:shape style="position:absolute;left:4014;top:-6340;width:735;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4,000,000.00</w:t>
                      </w:r>
                      <w:r>
                        <w:rPr>
                          <w:rFonts w:ascii="Times New Roman"/>
                          <w:sz w:val="14"/>
                        </w:rPr>
                      </w:r>
                    </w:p>
                  </w:txbxContent>
                </v:textbox>
                <w10:wrap type="none"/>
              </v:shape>
              <v:shape style="position:absolute;left:9108;top:-6455;width:1383;height:340" type="#_x0000_t202" filled="false" stroked="false">
                <v:textbox inset="0,0,0,0">
                  <w:txbxContent>
                    <w:p>
                      <w:pPr>
                        <w:spacing w:line="119" w:lineRule="exact" w:before="0"/>
                        <w:ind w:left="0" w:right="0" w:firstLine="0"/>
                        <w:jc w:val="right"/>
                        <w:rPr>
                          <w:rFonts w:ascii="宋体" w:hAnsi="宋体" w:cs="宋体" w:eastAsia="宋体" w:hint="default"/>
                          <w:sz w:val="14"/>
                          <w:szCs w:val="14"/>
                        </w:rPr>
                      </w:pPr>
                      <w:r>
                        <w:rPr>
                          <w:rFonts w:ascii="宋体" w:hAnsi="宋体" w:cs="宋体" w:eastAsia="宋体" w:hint="default"/>
                          <w:spacing w:val="2"/>
                          <w:sz w:val="14"/>
                          <w:szCs w:val="14"/>
                        </w:rPr>
                        <w:t>与收益</w:t>
                      </w:r>
                    </w:p>
                    <w:p>
                      <w:pPr>
                        <w:tabs>
                          <w:tab w:pos="950" w:val="left" w:leader="none"/>
                        </w:tabs>
                        <w:spacing w:line="219" w:lineRule="exact" w:before="0"/>
                        <w:ind w:left="0" w:right="0" w:firstLine="0"/>
                        <w:jc w:val="left"/>
                        <w:rPr>
                          <w:rFonts w:ascii="宋体" w:hAnsi="宋体" w:cs="宋体" w:eastAsia="宋体" w:hint="default"/>
                          <w:sz w:val="14"/>
                          <w:szCs w:val="14"/>
                        </w:rPr>
                      </w:pPr>
                      <w:r>
                        <w:rPr>
                          <w:rFonts w:ascii="Times New Roman" w:hAnsi="Times New Roman" w:cs="Times New Roman" w:eastAsia="Times New Roman" w:hint="default"/>
                          <w:spacing w:val="-1"/>
                          <w:sz w:val="14"/>
                          <w:szCs w:val="14"/>
                        </w:rPr>
                        <w:t>4,000,000.00</w:t>
                        <w:tab/>
                      </w:r>
                      <w:r>
                        <w:rPr>
                          <w:rFonts w:ascii="宋体" w:hAnsi="宋体" w:cs="宋体" w:eastAsia="宋体" w:hint="default"/>
                          <w:position w:val="-8"/>
                          <w:sz w:val="14"/>
                          <w:szCs w:val="14"/>
                        </w:rPr>
                        <w:t>相关</w:t>
                      </w:r>
                      <w:r>
                        <w:rPr>
                          <w:rFonts w:ascii="宋体" w:hAnsi="宋体" w:cs="宋体" w:eastAsia="宋体" w:hint="default"/>
                          <w:sz w:val="14"/>
                          <w:szCs w:val="14"/>
                        </w:rPr>
                      </w:r>
                    </w:p>
                  </w:txbxContent>
                </v:textbox>
                <w10:wrap type="none"/>
              </v:shape>
              <v:shape style="position:absolute;left:4014;top:-5774;width:735;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3,500,000.00</w:t>
                      </w:r>
                      <w:r>
                        <w:rPr>
                          <w:rFonts w:ascii="Times New Roman"/>
                          <w:sz w:val="14"/>
                        </w:rPr>
                      </w:r>
                    </w:p>
                  </w:txbxContent>
                </v:textbox>
                <w10:wrap type="none"/>
              </v:shape>
              <v:shape style="position:absolute;left:9108;top:-5774;width:735;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3,500,000.00</w:t>
                      </w:r>
                    </w:p>
                  </w:txbxContent>
                </v:textbox>
                <w10:wrap type="none"/>
              </v:shape>
              <v:shape style="position:absolute;left:10058;top:-5890;width:432;height:341" type="#_x0000_t202" filled="false" stroked="false">
                <v:textbox inset="0,0,0,0">
                  <w:txbxContent>
                    <w:p>
                      <w:pPr>
                        <w:spacing w:line="140" w:lineRule="exact" w:before="0"/>
                        <w:ind w:left="0" w:right="0" w:firstLine="0"/>
                        <w:jc w:val="left"/>
                        <w:rPr>
                          <w:rFonts w:ascii="宋体" w:hAnsi="宋体" w:cs="宋体" w:eastAsia="宋体" w:hint="default"/>
                          <w:sz w:val="14"/>
                          <w:szCs w:val="14"/>
                        </w:rPr>
                      </w:pPr>
                      <w:r>
                        <w:rPr>
                          <w:rFonts w:ascii="宋体" w:hAnsi="宋体" w:cs="宋体" w:eastAsia="宋体" w:hint="default"/>
                          <w:spacing w:val="2"/>
                          <w:sz w:val="14"/>
                          <w:szCs w:val="14"/>
                        </w:rPr>
                        <w:t>与收益</w:t>
                      </w:r>
                    </w:p>
                    <w:p>
                      <w:pPr>
                        <w:spacing w:before="17"/>
                        <w:ind w:left="0" w:right="0" w:firstLine="0"/>
                        <w:jc w:val="left"/>
                        <w:rPr>
                          <w:rFonts w:ascii="宋体" w:hAnsi="宋体" w:cs="宋体" w:eastAsia="宋体" w:hint="default"/>
                          <w:sz w:val="14"/>
                          <w:szCs w:val="14"/>
                        </w:rPr>
                      </w:pPr>
                      <w:r>
                        <w:rPr>
                          <w:rFonts w:ascii="宋体" w:hAnsi="宋体" w:cs="宋体" w:eastAsia="宋体" w:hint="default"/>
                          <w:sz w:val="14"/>
                          <w:szCs w:val="14"/>
                        </w:rPr>
                        <w:t>相关</w:t>
                      </w:r>
                    </w:p>
                  </w:txbxContent>
                </v:textbox>
                <w10:wrap type="none"/>
              </v:shape>
              <v:shape style="position:absolute;left:4014;top:-5209;width:735;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3,000,000.00</w:t>
                      </w:r>
                      <w:r>
                        <w:rPr>
                          <w:rFonts w:ascii="Times New Roman"/>
                          <w:sz w:val="14"/>
                        </w:rPr>
                      </w:r>
                    </w:p>
                  </w:txbxContent>
                </v:textbox>
                <w10:wrap type="none"/>
              </v:shape>
              <v:shape style="position:absolute;left:9108;top:-5209;width:735;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3,000,000.00</w:t>
                      </w:r>
                    </w:p>
                  </w:txbxContent>
                </v:textbox>
                <w10:wrap type="none"/>
              </v:shape>
              <v:shape style="position:absolute;left:10058;top:-5323;width:432;height:341" type="#_x0000_t202" filled="false" stroked="false">
                <v:textbox inset="0,0,0,0">
                  <w:txbxContent>
                    <w:p>
                      <w:pPr>
                        <w:spacing w:line="140" w:lineRule="exact" w:before="0"/>
                        <w:ind w:left="0" w:right="0" w:firstLine="0"/>
                        <w:jc w:val="left"/>
                        <w:rPr>
                          <w:rFonts w:ascii="宋体" w:hAnsi="宋体" w:cs="宋体" w:eastAsia="宋体" w:hint="default"/>
                          <w:sz w:val="14"/>
                          <w:szCs w:val="14"/>
                        </w:rPr>
                      </w:pPr>
                      <w:r>
                        <w:rPr>
                          <w:rFonts w:ascii="宋体" w:hAnsi="宋体" w:cs="宋体" w:eastAsia="宋体" w:hint="default"/>
                          <w:spacing w:val="2"/>
                          <w:sz w:val="14"/>
                          <w:szCs w:val="14"/>
                        </w:rPr>
                        <w:t>与收益</w:t>
                      </w:r>
                    </w:p>
                    <w:p>
                      <w:pPr>
                        <w:spacing w:before="17"/>
                        <w:ind w:left="0" w:right="0" w:firstLine="0"/>
                        <w:jc w:val="left"/>
                        <w:rPr>
                          <w:rFonts w:ascii="宋体" w:hAnsi="宋体" w:cs="宋体" w:eastAsia="宋体" w:hint="default"/>
                          <w:sz w:val="14"/>
                          <w:szCs w:val="14"/>
                        </w:rPr>
                      </w:pPr>
                      <w:r>
                        <w:rPr>
                          <w:rFonts w:ascii="宋体" w:hAnsi="宋体" w:cs="宋体" w:eastAsia="宋体" w:hint="default"/>
                          <w:sz w:val="14"/>
                          <w:szCs w:val="14"/>
                        </w:rPr>
                        <w:t>相关</w:t>
                      </w:r>
                    </w:p>
                  </w:txbxContent>
                </v:textbox>
                <w10:wrap type="none"/>
              </v:shape>
              <v:shape style="position:absolute;left:5266;top:-4442;width:735;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1,000,000.00</w:t>
                      </w:r>
                    </w:p>
                  </w:txbxContent>
                </v:textbox>
                <w10:wrap type="none"/>
              </v:shape>
              <v:shape style="position:absolute;left:9108;top:-4442;width:735;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1,000,000.00</w:t>
                      </w:r>
                    </w:p>
                  </w:txbxContent>
                </v:textbox>
                <w10:wrap type="none"/>
              </v:shape>
              <v:shape style="position:absolute;left:10058;top:-4558;width:432;height:341" type="#_x0000_t202" filled="false" stroked="false">
                <v:textbox inset="0,0,0,0">
                  <w:txbxContent>
                    <w:p>
                      <w:pPr>
                        <w:spacing w:line="140" w:lineRule="exact" w:before="0"/>
                        <w:ind w:left="0" w:right="0" w:firstLine="0"/>
                        <w:jc w:val="left"/>
                        <w:rPr>
                          <w:rFonts w:ascii="宋体" w:hAnsi="宋体" w:cs="宋体" w:eastAsia="宋体" w:hint="default"/>
                          <w:sz w:val="14"/>
                          <w:szCs w:val="14"/>
                        </w:rPr>
                      </w:pPr>
                      <w:r>
                        <w:rPr>
                          <w:rFonts w:ascii="宋体" w:hAnsi="宋体" w:cs="宋体" w:eastAsia="宋体" w:hint="default"/>
                          <w:spacing w:val="2"/>
                          <w:sz w:val="14"/>
                          <w:szCs w:val="14"/>
                        </w:rPr>
                        <w:t>与收益</w:t>
                      </w:r>
                    </w:p>
                    <w:p>
                      <w:pPr>
                        <w:spacing w:before="17"/>
                        <w:ind w:left="0" w:right="0" w:firstLine="0"/>
                        <w:jc w:val="left"/>
                        <w:rPr>
                          <w:rFonts w:ascii="宋体" w:hAnsi="宋体" w:cs="宋体" w:eastAsia="宋体" w:hint="default"/>
                          <w:sz w:val="14"/>
                          <w:szCs w:val="14"/>
                        </w:rPr>
                      </w:pPr>
                      <w:r>
                        <w:rPr>
                          <w:rFonts w:ascii="宋体" w:hAnsi="宋体" w:cs="宋体" w:eastAsia="宋体" w:hint="default"/>
                          <w:sz w:val="14"/>
                          <w:szCs w:val="14"/>
                        </w:rPr>
                        <w:t>相关</w:t>
                      </w:r>
                    </w:p>
                  </w:txbxContent>
                </v:textbox>
                <w10:wrap type="none"/>
              </v:shape>
              <v:shape style="position:absolute;left:5266;top:-3577;width:735;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2,000,000.00</w:t>
                      </w:r>
                    </w:p>
                  </w:txbxContent>
                </v:textbox>
                <w10:wrap type="none"/>
              </v:shape>
              <v:shape style="position:absolute;left:7720;top:-3577;width:782;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-1,480,000.00</w:t>
                      </w:r>
                      <w:r>
                        <w:rPr>
                          <w:rFonts w:ascii="Times New Roman"/>
                          <w:sz w:val="14"/>
                        </w:rPr>
                      </w:r>
                    </w:p>
                  </w:txbxContent>
                </v:textbox>
                <w10:wrap type="none"/>
              </v:shape>
              <v:shape style="position:absolute;left:9212;top:-3577;width:631;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520,000.00</w:t>
                      </w:r>
                      <w:r>
                        <w:rPr>
                          <w:rFonts w:ascii="Times New Roman"/>
                          <w:sz w:val="14"/>
                        </w:rPr>
                      </w:r>
                    </w:p>
                  </w:txbxContent>
                </v:textbox>
                <w10:wrap type="none"/>
              </v:shape>
              <v:shape style="position:absolute;left:10058;top:-3691;width:432;height:341" type="#_x0000_t202" filled="false" stroked="false">
                <v:textbox inset="0,0,0,0">
                  <w:txbxContent>
                    <w:p>
                      <w:pPr>
                        <w:spacing w:line="140" w:lineRule="exact" w:before="0"/>
                        <w:ind w:left="0" w:right="0" w:firstLine="0"/>
                        <w:jc w:val="left"/>
                        <w:rPr>
                          <w:rFonts w:ascii="宋体" w:hAnsi="宋体" w:cs="宋体" w:eastAsia="宋体" w:hint="default"/>
                          <w:sz w:val="14"/>
                          <w:szCs w:val="14"/>
                        </w:rPr>
                      </w:pPr>
                      <w:r>
                        <w:rPr>
                          <w:rFonts w:ascii="宋体" w:hAnsi="宋体" w:cs="宋体" w:eastAsia="宋体" w:hint="default"/>
                          <w:spacing w:val="2"/>
                          <w:sz w:val="14"/>
                          <w:szCs w:val="14"/>
                        </w:rPr>
                        <w:t>与收益</w:t>
                      </w:r>
                    </w:p>
                    <w:p>
                      <w:pPr>
                        <w:spacing w:before="17"/>
                        <w:ind w:left="0" w:right="0" w:firstLine="0"/>
                        <w:jc w:val="left"/>
                        <w:rPr>
                          <w:rFonts w:ascii="宋体" w:hAnsi="宋体" w:cs="宋体" w:eastAsia="宋体" w:hint="default"/>
                          <w:sz w:val="14"/>
                          <w:szCs w:val="14"/>
                        </w:rPr>
                      </w:pPr>
                      <w:r>
                        <w:rPr>
                          <w:rFonts w:ascii="宋体" w:hAnsi="宋体" w:cs="宋体" w:eastAsia="宋体" w:hint="default"/>
                          <w:sz w:val="14"/>
                          <w:szCs w:val="14"/>
                        </w:rPr>
                        <w:t>相关</w:t>
                      </w:r>
                    </w:p>
                  </w:txbxContent>
                </v:textbox>
                <w10:wrap type="none"/>
              </v:shape>
              <v:shape style="position:absolute;left:2518;top:-2926;width:842;height:141" type="#_x0000_t202" filled="false" stroked="false">
                <v:textbox inset="0,0,0,0">
                  <w:txbxContent>
                    <w:p>
                      <w:pPr>
                        <w:spacing w:line="140" w:lineRule="exact" w:before="0"/>
                        <w:ind w:left="0" w:right="0" w:firstLine="0"/>
                        <w:jc w:val="left"/>
                        <w:rPr>
                          <w:rFonts w:ascii="宋体" w:hAnsi="宋体" w:cs="宋体" w:eastAsia="宋体" w:hint="default"/>
                          <w:sz w:val="14"/>
                          <w:szCs w:val="14"/>
                        </w:rPr>
                      </w:pPr>
                      <w:r>
                        <w:rPr>
                          <w:rFonts w:ascii="宋体" w:hAnsi="宋体" w:cs="宋体" w:eastAsia="宋体" w:hint="default"/>
                          <w:spacing w:val="-1"/>
                          <w:sz w:val="14"/>
                          <w:szCs w:val="14"/>
                        </w:rPr>
                        <w:t>工业发展基金</w:t>
                      </w:r>
                    </w:p>
                  </w:txbxContent>
                </v:textbox>
                <w10:wrap type="none"/>
              </v:shape>
              <v:shape style="position:absolute;left:3943;top:-2911;width:807;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29,813,997.79</w:t>
                      </w:r>
                    </w:p>
                  </w:txbxContent>
                </v:textbox>
                <w10:wrap type="none"/>
              </v:shape>
              <v:shape style="position:absolute;left:6451;top:-2911;width:807;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29,813,997.79</w:t>
                      </w:r>
                    </w:p>
                  </w:txbxContent>
                </v:textbox>
                <w10:wrap type="none"/>
              </v:shape>
              <v:shape style="position:absolute;left:10058;top:-3025;width:432;height:341" type="#_x0000_t202" filled="false" stroked="false">
                <v:textbox inset="0,0,0,0">
                  <w:txbxContent>
                    <w:p>
                      <w:pPr>
                        <w:spacing w:line="140" w:lineRule="exact" w:before="0"/>
                        <w:ind w:left="0" w:right="0" w:firstLine="0"/>
                        <w:jc w:val="left"/>
                        <w:rPr>
                          <w:rFonts w:ascii="宋体" w:hAnsi="宋体" w:cs="宋体" w:eastAsia="宋体" w:hint="default"/>
                          <w:sz w:val="14"/>
                          <w:szCs w:val="14"/>
                        </w:rPr>
                      </w:pPr>
                      <w:r>
                        <w:rPr>
                          <w:rFonts w:ascii="宋体" w:hAnsi="宋体" w:cs="宋体" w:eastAsia="宋体" w:hint="default"/>
                          <w:spacing w:val="2"/>
                          <w:sz w:val="14"/>
                          <w:szCs w:val="14"/>
                        </w:rPr>
                        <w:t>与收益</w:t>
                      </w:r>
                    </w:p>
                    <w:p>
                      <w:pPr>
                        <w:spacing w:before="17"/>
                        <w:ind w:left="0" w:right="0" w:firstLine="0"/>
                        <w:jc w:val="left"/>
                        <w:rPr>
                          <w:rFonts w:ascii="宋体" w:hAnsi="宋体" w:cs="宋体" w:eastAsia="宋体" w:hint="default"/>
                          <w:sz w:val="14"/>
                          <w:szCs w:val="14"/>
                        </w:rPr>
                      </w:pPr>
                      <w:r>
                        <w:rPr>
                          <w:rFonts w:ascii="宋体" w:hAnsi="宋体" w:cs="宋体" w:eastAsia="宋体" w:hint="default"/>
                          <w:sz w:val="14"/>
                          <w:szCs w:val="14"/>
                        </w:rPr>
                        <w:t>相关</w:t>
                      </w:r>
                    </w:p>
                  </w:txbxContent>
                </v:textbox>
                <w10:wrap type="none"/>
              </v:shape>
              <v:shape style="position:absolute;left:2518;top:-2560;width:901;height:1208" type="#_x0000_t202" filled="false" stroked="false">
                <v:textbox inset="0,0,0,0">
                  <w:txbxContent>
                    <w:p>
                      <w:pPr>
                        <w:spacing w:line="140" w:lineRule="exact" w:before="0"/>
                        <w:ind w:left="0" w:right="0" w:firstLine="0"/>
                        <w:jc w:val="both"/>
                        <w:rPr>
                          <w:rFonts w:ascii="宋体" w:hAnsi="宋体" w:cs="宋体" w:eastAsia="宋体" w:hint="default"/>
                          <w:sz w:val="14"/>
                          <w:szCs w:val="14"/>
                        </w:rPr>
                      </w:pPr>
                      <w:r>
                        <w:rPr>
                          <w:rFonts w:ascii="宋体" w:hAnsi="宋体" w:cs="宋体" w:eastAsia="宋体" w:hint="default"/>
                          <w:spacing w:val="8"/>
                          <w:sz w:val="14"/>
                          <w:szCs w:val="14"/>
                        </w:rPr>
                        <w:t>长沙市财政局</w:t>
                      </w:r>
                      <w:r>
                        <w:rPr>
                          <w:rFonts w:ascii="宋体" w:hAnsi="宋体" w:cs="宋体" w:eastAsia="宋体" w:hint="default"/>
                          <w:sz w:val="14"/>
                          <w:szCs w:val="14"/>
                        </w:rPr>
                      </w:r>
                    </w:p>
                    <w:p>
                      <w:pPr>
                        <w:spacing w:line="261" w:lineRule="auto" w:before="17"/>
                        <w:ind w:left="0" w:right="0" w:firstLine="0"/>
                        <w:jc w:val="both"/>
                        <w:rPr>
                          <w:rFonts w:ascii="宋体" w:hAnsi="宋体" w:cs="宋体" w:eastAsia="宋体" w:hint="default"/>
                          <w:sz w:val="14"/>
                          <w:szCs w:val="14"/>
                        </w:rPr>
                      </w:pPr>
                      <w:r>
                        <w:rPr>
                          <w:rFonts w:ascii="宋体" w:hAnsi="宋体" w:cs="宋体" w:eastAsia="宋体" w:hint="default"/>
                          <w:spacing w:val="8"/>
                          <w:sz w:val="14"/>
                          <w:szCs w:val="14"/>
                        </w:rPr>
                        <w:t>高新区分局引</w:t>
                      </w:r>
                      <w:r>
                        <w:rPr>
                          <w:rFonts w:ascii="宋体" w:hAnsi="宋体" w:cs="宋体" w:eastAsia="宋体" w:hint="default"/>
                          <w:spacing w:val="-62"/>
                          <w:sz w:val="14"/>
                          <w:szCs w:val="14"/>
                        </w:rPr>
                        <w:t> </w:t>
                      </w:r>
                      <w:r>
                        <w:rPr>
                          <w:rFonts w:ascii="宋体" w:hAnsi="宋体" w:cs="宋体" w:eastAsia="宋体" w:hint="default"/>
                          <w:spacing w:val="8"/>
                          <w:sz w:val="14"/>
                          <w:szCs w:val="14"/>
                        </w:rPr>
                        <w:t>进腾讯众创空</w:t>
                      </w:r>
                      <w:r>
                        <w:rPr>
                          <w:rFonts w:ascii="宋体" w:hAnsi="宋体" w:cs="宋体" w:eastAsia="宋体" w:hint="default"/>
                          <w:spacing w:val="-62"/>
                          <w:sz w:val="14"/>
                          <w:szCs w:val="14"/>
                        </w:rPr>
                        <w:t> </w:t>
                      </w:r>
                      <w:r>
                        <w:rPr>
                          <w:rFonts w:ascii="宋体" w:hAnsi="宋体" w:cs="宋体" w:eastAsia="宋体" w:hint="default"/>
                          <w:sz w:val="14"/>
                          <w:szCs w:val="14"/>
                        </w:rPr>
                        <w:t>间专项补贴款</w:t>
                      </w:r>
                    </w:p>
                    <w:p>
                      <w:pPr>
                        <w:spacing w:line="261" w:lineRule="auto" w:before="70"/>
                        <w:ind w:left="0" w:right="0" w:firstLine="0"/>
                        <w:jc w:val="both"/>
                        <w:rPr>
                          <w:rFonts w:ascii="宋体" w:hAnsi="宋体" w:cs="宋体" w:eastAsia="宋体" w:hint="default"/>
                          <w:sz w:val="14"/>
                          <w:szCs w:val="14"/>
                        </w:rPr>
                      </w:pPr>
                      <w:r>
                        <w:rPr>
                          <w:rFonts w:ascii="宋体" w:hAnsi="宋体" w:cs="宋体" w:eastAsia="宋体" w:hint="default"/>
                          <w:spacing w:val="8"/>
                          <w:sz w:val="14"/>
                          <w:szCs w:val="14"/>
                        </w:rPr>
                        <w:t>安全可靠技术</w:t>
                      </w:r>
                      <w:r>
                        <w:rPr>
                          <w:rFonts w:ascii="宋体" w:hAnsi="宋体" w:cs="宋体" w:eastAsia="宋体" w:hint="default"/>
                          <w:spacing w:val="-62"/>
                          <w:sz w:val="14"/>
                          <w:szCs w:val="14"/>
                        </w:rPr>
                        <w:t> </w:t>
                      </w:r>
                      <w:r>
                        <w:rPr>
                          <w:rFonts w:ascii="宋体" w:hAnsi="宋体" w:cs="宋体" w:eastAsia="宋体" w:hint="default"/>
                          <w:sz w:val="14"/>
                          <w:szCs w:val="14"/>
                        </w:rPr>
                        <w:t>支持</w:t>
                      </w:r>
                    </w:p>
                  </w:txbxContent>
                </v:textbox>
                <w10:wrap type="none"/>
              </v:shape>
              <v:shape style="position:absolute;left:3943;top:-2245;width:807;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19,633,800.00</w:t>
                      </w:r>
                    </w:p>
                  </w:txbxContent>
                </v:textbox>
                <w10:wrap type="none"/>
              </v:shape>
              <v:shape style="position:absolute;left:6451;top:-2245;width:807;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19,633,800.00</w:t>
                      </w:r>
                    </w:p>
                  </w:txbxContent>
                </v:textbox>
                <w10:wrap type="none"/>
              </v:shape>
              <v:shape style="position:absolute;left:10058;top:-2359;width:432;height:341" type="#_x0000_t202" filled="false" stroked="false">
                <v:textbox inset="0,0,0,0">
                  <w:txbxContent>
                    <w:p>
                      <w:pPr>
                        <w:spacing w:line="140" w:lineRule="exact" w:before="0"/>
                        <w:ind w:left="0" w:right="0" w:firstLine="0"/>
                        <w:jc w:val="left"/>
                        <w:rPr>
                          <w:rFonts w:ascii="宋体" w:hAnsi="宋体" w:cs="宋体" w:eastAsia="宋体" w:hint="default"/>
                          <w:sz w:val="14"/>
                          <w:szCs w:val="14"/>
                        </w:rPr>
                      </w:pPr>
                      <w:r>
                        <w:rPr>
                          <w:rFonts w:ascii="宋体" w:hAnsi="宋体" w:cs="宋体" w:eastAsia="宋体" w:hint="default"/>
                          <w:spacing w:val="2"/>
                          <w:sz w:val="14"/>
                          <w:szCs w:val="14"/>
                        </w:rPr>
                        <w:t>与收益</w:t>
                      </w:r>
                    </w:p>
                    <w:p>
                      <w:pPr>
                        <w:spacing w:before="17"/>
                        <w:ind w:left="0" w:right="0" w:firstLine="0"/>
                        <w:jc w:val="left"/>
                        <w:rPr>
                          <w:rFonts w:ascii="宋体" w:hAnsi="宋体" w:cs="宋体" w:eastAsia="宋体" w:hint="default"/>
                          <w:sz w:val="14"/>
                          <w:szCs w:val="14"/>
                        </w:rPr>
                      </w:pPr>
                      <w:r>
                        <w:rPr>
                          <w:rFonts w:ascii="宋体" w:hAnsi="宋体" w:cs="宋体" w:eastAsia="宋体" w:hint="default"/>
                          <w:sz w:val="14"/>
                          <w:szCs w:val="14"/>
                        </w:rPr>
                        <w:t>相关</w:t>
                      </w:r>
                    </w:p>
                  </w:txbxContent>
                </v:textbox>
                <w10:wrap type="none"/>
              </v:shape>
              <v:shape style="position:absolute;left:4118;top:-1579;width:631;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400,000.00</w:t>
                      </w:r>
                    </w:p>
                  </w:txbxContent>
                </v:textbox>
                <w10:wrap type="none"/>
              </v:shape>
              <v:shape style="position:absolute;left:6626;top:-1579;width:631;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400,000.00</w:t>
                      </w:r>
                    </w:p>
                  </w:txbxContent>
                </v:textbox>
                <w10:wrap type="none"/>
              </v:shape>
              <v:shape style="position:absolute;left:10058;top:-1693;width:432;height:807" type="#_x0000_t202" filled="false" stroked="false">
                <v:textbox inset="0,0,0,0">
                  <w:txbxContent>
                    <w:p>
                      <w:pPr>
                        <w:spacing w:line="140" w:lineRule="exact" w:before="0"/>
                        <w:ind w:left="0" w:right="0" w:firstLine="0"/>
                        <w:jc w:val="left"/>
                        <w:rPr>
                          <w:rFonts w:ascii="宋体" w:hAnsi="宋体" w:cs="宋体" w:eastAsia="宋体" w:hint="default"/>
                          <w:sz w:val="14"/>
                          <w:szCs w:val="14"/>
                        </w:rPr>
                      </w:pPr>
                      <w:r>
                        <w:rPr>
                          <w:rFonts w:ascii="宋体" w:hAnsi="宋体" w:cs="宋体" w:eastAsia="宋体" w:hint="default"/>
                          <w:spacing w:val="2"/>
                          <w:sz w:val="14"/>
                          <w:szCs w:val="14"/>
                        </w:rPr>
                        <w:t>与收益</w:t>
                      </w:r>
                    </w:p>
                    <w:p>
                      <w:pPr>
                        <w:spacing w:before="17"/>
                        <w:ind w:left="0" w:right="0" w:firstLine="0"/>
                        <w:jc w:val="left"/>
                        <w:rPr>
                          <w:rFonts w:ascii="宋体" w:hAnsi="宋体" w:cs="宋体" w:eastAsia="宋体" w:hint="default"/>
                          <w:sz w:val="14"/>
                          <w:szCs w:val="14"/>
                        </w:rPr>
                      </w:pPr>
                      <w:r>
                        <w:rPr>
                          <w:rFonts w:ascii="宋体" w:hAnsi="宋体" w:cs="宋体" w:eastAsia="宋体" w:hint="default"/>
                          <w:sz w:val="14"/>
                          <w:szCs w:val="14"/>
                        </w:rPr>
                        <w:t>相关</w:t>
                      </w:r>
                    </w:p>
                    <w:p>
                      <w:pPr>
                        <w:spacing w:line="261" w:lineRule="auto" w:before="82"/>
                        <w:ind w:left="0" w:right="0" w:firstLine="0"/>
                        <w:jc w:val="left"/>
                        <w:rPr>
                          <w:rFonts w:ascii="宋体" w:hAnsi="宋体" w:cs="宋体" w:eastAsia="宋体" w:hint="default"/>
                          <w:sz w:val="14"/>
                          <w:szCs w:val="14"/>
                        </w:rPr>
                      </w:pPr>
                      <w:r>
                        <w:rPr>
                          <w:rFonts w:ascii="宋体" w:hAnsi="宋体" w:cs="宋体" w:eastAsia="宋体" w:hint="default"/>
                          <w:spacing w:val="2"/>
                          <w:sz w:val="14"/>
                          <w:szCs w:val="14"/>
                        </w:rPr>
                        <w:t>与收益</w:t>
                      </w:r>
                      <w:r>
                        <w:rPr>
                          <w:rFonts w:ascii="宋体" w:hAnsi="宋体" w:cs="宋体" w:eastAsia="宋体" w:hint="default"/>
                          <w:spacing w:val="-65"/>
                          <w:sz w:val="14"/>
                          <w:szCs w:val="14"/>
                        </w:rPr>
                        <w:t> </w:t>
                      </w:r>
                      <w:r>
                        <w:rPr>
                          <w:rFonts w:ascii="宋体" w:hAnsi="宋体" w:cs="宋体" w:eastAsia="宋体" w:hint="default"/>
                          <w:spacing w:val="-65"/>
                          <w:sz w:val="14"/>
                          <w:szCs w:val="14"/>
                        </w:rPr>
                      </w:r>
                      <w:r>
                        <w:rPr>
                          <w:rFonts w:ascii="宋体" w:hAnsi="宋体" w:cs="宋体" w:eastAsia="宋体" w:hint="default"/>
                          <w:sz w:val="14"/>
                          <w:szCs w:val="14"/>
                        </w:rPr>
                        <w:t>相关</w:t>
                      </w:r>
                    </w:p>
                  </w:txbxContent>
                </v:textbox>
                <w10:wrap type="none"/>
              </v:shape>
            </v:group>
            <w10:wrap type="none"/>
          </v:group>
        </w:pict>
      </w:r>
      <w:r>
        <w:rPr>
          <w:rFonts w:ascii="Times New Roman" w:hAnsi="Times New Roman" w:cs="Times New Roman" w:eastAsia="Times New Roman" w:hint="default"/>
        </w:rPr>
        <w:t>(</w:t>
      </w:r>
      <w:r>
        <w:rPr/>
        <w:t>三十三</w:t>
      </w:r>
      <w:r>
        <w:rPr>
          <w:rFonts w:ascii="Times New Roman" w:hAnsi="Times New Roman" w:cs="Times New Roman" w:eastAsia="Times New Roman" w:hint="default"/>
        </w:rPr>
        <w:t>)</w:t>
      </w:r>
      <w:r>
        <w:rPr>
          <w:rFonts w:ascii="Times New Roman" w:hAnsi="Times New Roman" w:cs="Times New Roman" w:eastAsia="Times New Roman" w:hint="default"/>
          <w:spacing w:val="22"/>
        </w:rPr>
        <w:t> </w:t>
      </w:r>
      <w:r>
        <w:rPr/>
        <w:t>股本</w:t>
      </w:r>
      <w:r>
        <w:rPr>
          <w:b w:val="0"/>
          <w:bCs w:val="0"/>
        </w:rPr>
      </w:r>
    </w:p>
    <w:p>
      <w:pPr>
        <w:spacing w:line="1318" w:lineRule="exact"/>
        <w:ind w:left="720" w:right="0" w:firstLine="0"/>
        <w:rPr>
          <w:rFonts w:ascii="宋体" w:hAnsi="宋体" w:cs="宋体" w:eastAsia="宋体" w:hint="default"/>
          <w:sz w:val="20"/>
          <w:szCs w:val="20"/>
        </w:rPr>
      </w:pPr>
      <w:r>
        <w:rPr>
          <w:rFonts w:ascii="宋体" w:hAnsi="宋体" w:cs="宋体" w:eastAsia="宋体" w:hint="default"/>
          <w:position w:val="-25"/>
          <w:sz w:val="20"/>
          <w:szCs w:val="20"/>
        </w:rPr>
        <w:pict>
          <v:group style="width:411.6pt;height:65.95pt;mso-position-horizontal-relative:char;mso-position-vertical-relative:line" coordorigin="0,0" coordsize="8232,1319">
            <v:group style="position:absolute;left:29;top:15;width:857;height:2" coordorigin="29,15" coordsize="857,2">
              <v:shape style="position:absolute;left:29;top:15;width:857;height:2" coordorigin="29,15" coordsize="857,0" path="m29,15l886,15e" filled="false" stroked="true" strokeweight="1.5pt" strokecolor="#000000">
                <v:path arrowok="t"/>
              </v:shape>
              <v:shape style="position:absolute;left:886;top:30;width:10;height:28" type="#_x0000_t75" stroked="false">
                <v:imagedata r:id="rId174" o:title=""/>
              </v:shape>
            </v:group>
            <v:group style="position:absolute;left:886;top:15;width:1541;height:2" coordorigin="886,15" coordsize="1541,2">
              <v:shape style="position:absolute;left:886;top:15;width:1541;height:2" coordorigin="886,15" coordsize="1541,0" path="m886,15l2427,15e" filled="false" stroked="true" strokeweight="1.5pt" strokecolor="#000000">
                <v:path arrowok="t"/>
              </v:shape>
              <v:shape style="position:absolute;left:2427;top:30;width:10;height:28" type="#_x0000_t75" stroked="false">
                <v:imagedata r:id="rId174" o:title=""/>
              </v:shape>
            </v:group>
            <v:group style="position:absolute;left:2427;top:15;width:4310;height:2" coordorigin="2427,15" coordsize="4310,2">
              <v:shape style="position:absolute;left:2427;top:15;width:4310;height:2" coordorigin="2427,15" coordsize="4310,0" path="m2427,15l6736,15e" filled="false" stroked="true" strokeweight="1.5pt" strokecolor="#000000">
                <v:path arrowok="t"/>
              </v:shape>
              <v:shape style="position:absolute;left:6736;top:30;width:10;height:28" type="#_x0000_t75" stroked="false">
                <v:imagedata r:id="rId174" o:title=""/>
              </v:shape>
            </v:group>
            <v:group style="position:absolute;left:6736;top:15;width:1481;height:2" coordorigin="6736,15" coordsize="1481,2">
              <v:shape style="position:absolute;left:6736;top:15;width:1481;height:2" coordorigin="6736,15" coordsize="1481,0" path="m6736,15l8217,15e" filled="false" stroked="true" strokeweight="1.5pt" strokecolor="#000000">
                <v:path arrowok="t"/>
              </v:shape>
            </v:group>
            <v:group style="position:absolute;left:15;top:1304;width:872;height:2" coordorigin="15,1304" coordsize="872,2">
              <v:shape style="position:absolute;left:15;top:1304;width:872;height:2" coordorigin="15,1304" coordsize="872,0" path="m15,1304l886,1304e" filled="false" stroked="true" strokeweight="1.5pt" strokecolor="#000000">
                <v:path arrowok="t"/>
              </v:shape>
            </v:group>
            <v:group style="position:absolute;left:886;top:1304;width:1541;height:2" coordorigin="886,1304" coordsize="1541,2">
              <v:shape style="position:absolute;left:886;top:1304;width:1541;height:2" coordorigin="886,1304" coordsize="1541,0" path="m886,1304l2427,1304e" filled="false" stroked="true" strokeweight="1.5pt" strokecolor="#000000">
                <v:path arrowok="t"/>
              </v:shape>
            </v:group>
            <v:group style="position:absolute;left:2427;top:1304;width:641;height:2" coordorigin="2427,1304" coordsize="641,2">
              <v:shape style="position:absolute;left:2427;top:1304;width:641;height:2" coordorigin="2427,1304" coordsize="641,0" path="m2427,1304l3068,1304e" filled="false" stroked="true" strokeweight="1.5pt" strokecolor="#000000">
                <v:path arrowok="t"/>
              </v:shape>
            </v:group>
            <v:group style="position:absolute;left:3068;top:1304;width:530;height:2" coordorigin="3068,1304" coordsize="530,2">
              <v:shape style="position:absolute;left:3068;top:1304;width:530;height:2" coordorigin="3068,1304" coordsize="530,0" path="m3068,1304l3597,1304e" filled="false" stroked="true" strokeweight="1.5pt" strokecolor="#000000">
                <v:path arrowok="t"/>
              </v:shape>
            </v:group>
            <v:group style="position:absolute;left:3597;top:1304;width:698;height:2" coordorigin="3597,1304" coordsize="698,2">
              <v:shape style="position:absolute;left:3597;top:1304;width:698;height:2" coordorigin="3597,1304" coordsize="698,0" path="m3597,1304l4294,1304e" filled="false" stroked="true" strokeweight="1.5pt" strokecolor="#000000">
                <v:path arrowok="t"/>
              </v:shape>
            </v:group>
            <v:group style="position:absolute;left:4294;top:1304;width:1222;height:2" coordorigin="4294,1304" coordsize="1222,2">
              <v:shape style="position:absolute;left:4294;top:1304;width:1222;height:2" coordorigin="4294,1304" coordsize="1222,0" path="m4294,1304l5516,1304e" filled="false" stroked="true" strokeweight="1.5pt" strokecolor="#000000">
                <v:path arrowok="t"/>
              </v:shape>
            </v:group>
            <v:group style="position:absolute;left:5516;top:1304;width:1221;height:2" coordorigin="5516,1304" coordsize="1221,2">
              <v:shape style="position:absolute;left:5516;top:1304;width:1221;height:2" coordorigin="5516,1304" coordsize="1221,0" path="m5516,1304l6736,1304e" filled="false" stroked="true" strokeweight="1.5pt" strokecolor="#000000">
                <v:path arrowok="t"/>
              </v:shape>
              <v:shape style="position:absolute;left:17;top:38;width:8208;height:1250" type="#_x0000_t75" stroked="false">
                <v:imagedata r:id="rId287" o:title=""/>
              </v:shape>
            </v:group>
            <v:group style="position:absolute;left:6736;top:1304;width:1481;height:2" coordorigin="6736,1304" coordsize="1481,2">
              <v:shape style="position:absolute;left:6736;top:1304;width:1481;height:2" coordorigin="6736,1304" coordsize="1481,0" path="m6736,1304l8217,1304e" filled="false" stroked="true" strokeweight="1.5pt" strokecolor="#000000">
                <v:path arrowok="t"/>
              </v:shape>
              <v:shape style="position:absolute;left:3661;top:122;width:1848;height:169" type="#_x0000_t202" filled="false" stroked="false">
                <v:textbox inset="0,0,0,0">
                  <w:txbxContent>
                    <w:p>
                      <w:pPr>
                        <w:spacing w:line="168"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本期变动增（</w:t>
                      </w:r>
                      <w:r>
                        <w:rPr>
                          <w:rFonts w:ascii="Times New Roman" w:hAnsi="Times New Roman" w:cs="Times New Roman" w:eastAsia="Times New Roman" w:hint="default"/>
                          <w:w w:val="95"/>
                          <w:sz w:val="16"/>
                          <w:szCs w:val="16"/>
                        </w:rPr>
                        <w:t>+</w:t>
                      </w:r>
                      <w:r>
                        <w:rPr>
                          <w:rFonts w:ascii="宋体" w:hAnsi="宋体" w:cs="宋体" w:eastAsia="宋体" w:hint="default"/>
                          <w:w w:val="95"/>
                          <w:sz w:val="16"/>
                          <w:szCs w:val="16"/>
                        </w:rPr>
                        <w:t>）减（－）</w:t>
                      </w:r>
                      <w:r>
                        <w:rPr>
                          <w:rFonts w:ascii="宋体" w:hAnsi="宋体" w:cs="宋体" w:eastAsia="宋体" w:hint="default"/>
                          <w:sz w:val="16"/>
                          <w:szCs w:val="16"/>
                        </w:rPr>
                      </w:r>
                    </w:p>
                  </w:txbxContent>
                </v:textbox>
                <w10:wrap type="none"/>
              </v:shape>
              <v:shape style="position:absolute;left:299;top:403;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项目</w:t>
                      </w:r>
                      <w:r>
                        <w:rPr>
                          <w:rFonts w:ascii="宋体" w:hAnsi="宋体" w:cs="宋体" w:eastAsia="宋体" w:hint="default"/>
                          <w:sz w:val="16"/>
                          <w:szCs w:val="16"/>
                        </w:rPr>
                      </w:r>
                    </w:p>
                  </w:txbxContent>
                </v:textbox>
                <w10:wrap type="none"/>
              </v:shape>
              <v:shape style="position:absolute;left:1340;top:403;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年初余额</w:t>
                      </w:r>
                      <w:r>
                        <w:rPr>
                          <w:rFonts w:ascii="宋体" w:hAnsi="宋体" w:cs="宋体" w:eastAsia="宋体" w:hint="default"/>
                          <w:sz w:val="16"/>
                          <w:szCs w:val="16"/>
                        </w:rPr>
                      </w:r>
                    </w:p>
                  </w:txbxContent>
                </v:textbox>
                <w10:wrap type="none"/>
              </v:shape>
              <v:shape style="position:absolute;left:2590;top:475;width:320;height:369"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发行</w:t>
                      </w:r>
                      <w:r>
                        <w:rPr>
                          <w:rFonts w:ascii="宋体" w:hAnsi="宋体" w:cs="宋体" w:eastAsia="宋体" w:hint="default"/>
                          <w:sz w:val="16"/>
                          <w:szCs w:val="16"/>
                        </w:rPr>
                      </w:r>
                    </w:p>
                    <w:p>
                      <w:pPr>
                        <w:spacing w:line="209"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新股</w:t>
                      </w:r>
                      <w:r>
                        <w:rPr>
                          <w:rFonts w:ascii="宋体" w:hAnsi="宋体" w:cs="宋体" w:eastAsia="宋体" w:hint="default"/>
                          <w:sz w:val="16"/>
                          <w:szCs w:val="16"/>
                        </w:rPr>
                      </w:r>
                    </w:p>
                  </w:txbxContent>
                </v:textbox>
                <w10:wrap type="none"/>
              </v:shape>
              <v:shape style="position:absolute;left:3256;top:475;width:160;height:369"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送</w:t>
                      </w:r>
                      <w:r>
                        <w:rPr>
                          <w:rFonts w:ascii="宋体" w:hAnsi="宋体" w:cs="宋体" w:eastAsia="宋体" w:hint="default"/>
                          <w:sz w:val="16"/>
                          <w:szCs w:val="16"/>
                        </w:rPr>
                      </w:r>
                    </w:p>
                    <w:p>
                      <w:pPr>
                        <w:spacing w:line="209"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股</w:t>
                      </w:r>
                      <w:r>
                        <w:rPr>
                          <w:rFonts w:ascii="宋体" w:hAnsi="宋体" w:cs="宋体" w:eastAsia="宋体" w:hint="default"/>
                          <w:sz w:val="16"/>
                          <w:szCs w:val="16"/>
                        </w:rPr>
                      </w:r>
                    </w:p>
                  </w:txbxContent>
                </v:textbox>
                <w10:wrap type="none"/>
              </v:shape>
              <v:shape style="position:absolute;left:3710;top:475;width:479;height:369" type="#_x0000_t202" filled="false" stroked="false">
                <v:textbox inset="0,0,0,0">
                  <w:txbxContent>
                    <w:p>
                      <w:pPr>
                        <w:spacing w:line="159" w:lineRule="exact" w:before="0"/>
                        <w:ind w:left="79" w:right="0" w:hanging="80"/>
                        <w:jc w:val="left"/>
                        <w:rPr>
                          <w:rFonts w:ascii="宋体" w:hAnsi="宋体" w:cs="宋体" w:eastAsia="宋体" w:hint="default"/>
                          <w:sz w:val="16"/>
                          <w:szCs w:val="16"/>
                        </w:rPr>
                      </w:pPr>
                      <w:r>
                        <w:rPr>
                          <w:rFonts w:ascii="宋体" w:hAnsi="宋体" w:cs="宋体" w:eastAsia="宋体" w:hint="default"/>
                          <w:w w:val="95"/>
                          <w:sz w:val="16"/>
                          <w:szCs w:val="16"/>
                        </w:rPr>
                        <w:t>公积金</w:t>
                      </w:r>
                      <w:r>
                        <w:rPr>
                          <w:rFonts w:ascii="宋体" w:hAnsi="宋体" w:cs="宋体" w:eastAsia="宋体" w:hint="default"/>
                          <w:sz w:val="16"/>
                          <w:szCs w:val="16"/>
                        </w:rPr>
                      </w:r>
                    </w:p>
                    <w:p>
                      <w:pPr>
                        <w:spacing w:line="209" w:lineRule="exact" w:before="0"/>
                        <w:ind w:left="79" w:right="0" w:firstLine="0"/>
                        <w:jc w:val="left"/>
                        <w:rPr>
                          <w:rFonts w:ascii="宋体" w:hAnsi="宋体" w:cs="宋体" w:eastAsia="宋体" w:hint="default"/>
                          <w:sz w:val="16"/>
                          <w:szCs w:val="16"/>
                        </w:rPr>
                      </w:pPr>
                      <w:r>
                        <w:rPr>
                          <w:rFonts w:ascii="宋体" w:hAnsi="宋体" w:cs="宋体" w:eastAsia="宋体" w:hint="default"/>
                          <w:sz w:val="16"/>
                          <w:szCs w:val="16"/>
                        </w:rPr>
                        <w:t>转股</w:t>
                      </w:r>
                    </w:p>
                  </w:txbxContent>
                </v:textbox>
                <w10:wrap type="none"/>
              </v:shape>
              <v:shape style="position:absolute;left:7159;top:403;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4749;top:579;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其他</w:t>
                      </w:r>
                      <w:r>
                        <w:rPr>
                          <w:rFonts w:ascii="宋体" w:hAnsi="宋体" w:cs="宋体" w:eastAsia="宋体" w:hint="default"/>
                          <w:sz w:val="16"/>
                          <w:szCs w:val="16"/>
                        </w:rPr>
                      </w:r>
                    </w:p>
                  </w:txbxContent>
                </v:textbox>
                <w10:wrap type="none"/>
              </v:shape>
              <v:shape style="position:absolute;left:5969;top:579;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小计</w:t>
                      </w:r>
                      <w:r>
                        <w:rPr>
                          <w:rFonts w:ascii="宋体" w:hAnsi="宋体" w:cs="宋体" w:eastAsia="宋体" w:hint="default"/>
                          <w:sz w:val="16"/>
                          <w:szCs w:val="16"/>
                        </w:rPr>
                      </w:r>
                    </w:p>
                  </w:txbxContent>
                </v:textbox>
                <w10:wrap type="none"/>
              </v:shape>
              <v:shape style="position:absolute;left:137;top:1036;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股份总额</w:t>
                      </w:r>
                      <w:r>
                        <w:rPr>
                          <w:rFonts w:ascii="宋体" w:hAnsi="宋体" w:cs="宋体" w:eastAsia="宋体" w:hint="default"/>
                          <w:sz w:val="16"/>
                          <w:szCs w:val="16"/>
                        </w:rPr>
                      </w:r>
                    </w:p>
                  </w:txbxContent>
                </v:textbox>
                <w10:wrap type="none"/>
              </v:shape>
              <v:shape style="position:absolute;left:1203;top:1050;width:112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2,944,069,459.00</w:t>
                      </w:r>
                      <w:r>
                        <w:rPr>
                          <w:rFonts w:ascii="Times New Roman"/>
                          <w:sz w:val="16"/>
                        </w:rPr>
                      </w:r>
                    </w:p>
                  </w:txbxContent>
                </v:textbox>
                <w10:wrap type="none"/>
              </v:shape>
              <v:shape style="position:absolute;left:4520;top:1050;width:894;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-7,903,899.00</w:t>
                      </w:r>
                      <w:r>
                        <w:rPr>
                          <w:rFonts w:ascii="Times New Roman"/>
                          <w:sz w:val="16"/>
                        </w:rPr>
                      </w:r>
                    </w:p>
                  </w:txbxContent>
                </v:textbox>
                <w10:wrap type="none"/>
              </v:shape>
              <v:shape style="position:absolute;left:5740;top:1050;width:894;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-7,903,899.00</w:t>
                      </w:r>
                      <w:r>
                        <w:rPr>
                          <w:rFonts w:ascii="Times New Roman"/>
                          <w:sz w:val="16"/>
                        </w:rPr>
                      </w:r>
                    </w:p>
                  </w:txbxContent>
                </v:textbox>
                <w10:wrap type="none"/>
              </v:shape>
              <v:shape style="position:absolute;left:6989;top:1050;width:112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2,936,165,560.00</w:t>
                      </w:r>
                      <w:r>
                        <w:rPr>
                          <w:rFonts w:ascii="Times New Roman"/>
                          <w:sz w:val="16"/>
                        </w:rPr>
                      </w:r>
                    </w:p>
                  </w:txbxContent>
                </v:textbox>
                <w10:wrap type="none"/>
              </v:shape>
            </v:group>
          </v:group>
        </w:pict>
      </w:r>
      <w:r>
        <w:rPr>
          <w:rFonts w:ascii="宋体" w:hAnsi="宋体" w:cs="宋体" w:eastAsia="宋体" w:hint="default"/>
          <w:position w:val="-25"/>
          <w:sz w:val="20"/>
          <w:szCs w:val="20"/>
        </w:rPr>
      </w:r>
    </w:p>
    <w:p>
      <w:pPr>
        <w:spacing w:line="240" w:lineRule="auto" w:before="9"/>
        <w:rPr>
          <w:rFonts w:ascii="宋体" w:hAnsi="宋体" w:cs="宋体" w:eastAsia="宋体" w:hint="default"/>
          <w:b/>
          <w:bCs/>
          <w:sz w:val="5"/>
          <w:szCs w:val="5"/>
        </w:rPr>
      </w:pPr>
    </w:p>
    <w:p>
      <w:pPr>
        <w:pStyle w:val="BodyText"/>
        <w:spacing w:line="240" w:lineRule="auto" w:before="35"/>
        <w:ind w:left="851" w:right="0"/>
        <w:jc w:val="both"/>
      </w:pPr>
      <w:r>
        <w:rPr/>
        <w:t>说明：公司于</w:t>
      </w:r>
      <w:r>
        <w:rPr>
          <w:spacing w:val="-54"/>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4</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26</w:t>
      </w:r>
      <w:r>
        <w:rPr>
          <w:rFonts w:ascii="Times New Roman" w:hAnsi="Times New Roman" w:cs="Times New Roman" w:eastAsia="Times New Roman" w:hint="default"/>
          <w:spacing w:val="-1"/>
        </w:rPr>
        <w:t> </w:t>
      </w:r>
      <w:r>
        <w:rPr/>
        <w:t>日召开第七届董事会第二次会议，审议通过了《关于</w:t>
      </w:r>
    </w:p>
    <w:p>
      <w:pPr>
        <w:pStyle w:val="BodyText"/>
        <w:spacing w:line="338" w:lineRule="auto"/>
        <w:ind w:left="851" w:right="1791"/>
        <w:jc w:val="both"/>
      </w:pPr>
      <w:r>
        <w:rPr/>
        <w:t>重大资产重组购入资产</w:t>
      </w:r>
      <w:r>
        <w:rPr>
          <w:spacing w:val="-53"/>
        </w:rPr>
        <w:t> </w:t>
      </w:r>
      <w:r>
        <w:rPr>
          <w:rFonts w:ascii="Times New Roman" w:hAnsi="Times New Roman" w:cs="Times New Roman" w:eastAsia="Times New Roman" w:hint="default"/>
        </w:rPr>
        <w:t>2017 </w:t>
      </w:r>
      <w:r>
        <w:rPr>
          <w:spacing w:val="-3"/>
        </w:rPr>
        <w:t>年度业绩承诺实现情况及业绩补偿方案的议案》和《提</w:t>
      </w:r>
      <w:r>
        <w:rPr/>
        <w:t> 请股东大会授权董事会全权办理补偿股份回购、注销相关事宜并因注册资本变更修 </w:t>
      </w:r>
      <w:r>
        <w:rPr>
          <w:spacing w:val="-6"/>
        </w:rPr>
        <w:t>订</w:t>
      </w:r>
      <w:r>
        <w:rPr>
          <w:rFonts w:ascii="Times New Roman" w:hAnsi="Times New Roman" w:cs="Times New Roman" w:eastAsia="Times New Roman" w:hint="default"/>
          <w:spacing w:val="-6"/>
        </w:rPr>
        <w:t>&lt;</w:t>
      </w:r>
      <w:r>
        <w:rPr>
          <w:spacing w:val="-6"/>
        </w:rPr>
        <w:t>公司章程</w:t>
      </w:r>
      <w:r>
        <w:rPr>
          <w:rFonts w:ascii="Times New Roman" w:hAnsi="Times New Roman" w:cs="Times New Roman" w:eastAsia="Times New Roman" w:hint="default"/>
          <w:spacing w:val="-6"/>
        </w:rPr>
        <w:t>&gt;</w:t>
      </w:r>
      <w:r>
        <w:rPr>
          <w:spacing w:val="-6"/>
        </w:rPr>
        <w:t>》，因公司重大资产重组购入资产北京圣非凡电子系统技术开发有限公</w:t>
      </w:r>
      <w:r>
        <w:rPr>
          <w:spacing w:val="-77"/>
        </w:rPr>
        <w:t> </w:t>
      </w:r>
      <w:r>
        <w:rPr>
          <w:spacing w:val="-77"/>
        </w:rPr>
      </w:r>
      <w:r>
        <w:rPr/>
        <w:t>司</w:t>
      </w:r>
      <w:r>
        <w:rPr>
          <w:spacing w:val="-41"/>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2"/>
        </w:rPr>
        <w:t> </w:t>
      </w:r>
      <w:r>
        <w:rPr>
          <w:spacing w:val="-3"/>
        </w:rPr>
        <w:t>年度扣除非经常性损益归属于母公司所有者的净利润未达业绩承诺，资产注</w:t>
      </w:r>
      <w:r>
        <w:rPr>
          <w:spacing w:val="-102"/>
        </w:rPr>
        <w:t> </w:t>
      </w:r>
      <w:r>
        <w:rPr>
          <w:spacing w:val="-102"/>
        </w:rPr>
      </w:r>
      <w:r>
        <w:rPr/>
        <w:t>入方中国电子信息产业集团有限公司需向公司进行股份补偿，根据双方签署的《盈 </w:t>
      </w:r>
      <w:r>
        <w:rPr>
          <w:spacing w:val="-8"/>
        </w:rPr>
        <w:t>利预测补偿协议》、《盈利预测补偿协议之补充协议》约定，公司以</w:t>
      </w:r>
      <w:r>
        <w:rPr/>
        <w:t> </w:t>
      </w:r>
      <w:r>
        <w:rPr>
          <w:rFonts w:ascii="Times New Roman" w:hAnsi="Times New Roman" w:cs="Times New Roman" w:eastAsia="Times New Roman" w:hint="default"/>
        </w:rPr>
        <w:t>1</w:t>
      </w:r>
      <w:r>
        <w:rPr>
          <w:rFonts w:ascii="Times New Roman" w:hAnsi="Times New Roman" w:cs="Times New Roman" w:eastAsia="Times New Roman" w:hint="default"/>
          <w:spacing w:val="-26"/>
        </w:rPr>
        <w:t> </w:t>
      </w:r>
      <w:r>
        <w:rPr/>
        <w:t>元的价格回购</w:t>
      </w:r>
    </w:p>
    <w:p>
      <w:pPr>
        <w:pStyle w:val="BodyText"/>
        <w:spacing w:line="328" w:lineRule="auto" w:before="13"/>
        <w:ind w:left="851" w:right="1832"/>
        <w:jc w:val="both"/>
      </w:pPr>
      <w:r>
        <w:rPr/>
        <w:t>中国电子信息产业集团有限公司</w:t>
      </w:r>
      <w:r>
        <w:rPr>
          <w:spacing w:val="-55"/>
        </w:rPr>
        <w:t> </w:t>
      </w:r>
      <w:r>
        <w:rPr>
          <w:rFonts w:ascii="Times New Roman" w:hAnsi="Times New Roman" w:cs="Times New Roman" w:eastAsia="Times New Roman" w:hint="default"/>
        </w:rPr>
        <w:t>7,903,899</w:t>
      </w:r>
      <w:r>
        <w:rPr>
          <w:rFonts w:ascii="Times New Roman" w:hAnsi="Times New Roman" w:cs="Times New Roman" w:eastAsia="Times New Roman" w:hint="default"/>
          <w:spacing w:val="-2"/>
        </w:rPr>
        <w:t> </w:t>
      </w:r>
      <w:r>
        <w:rPr/>
        <w:t>股并于</w:t>
      </w:r>
      <w:r>
        <w:rPr>
          <w:spacing w:val="-55"/>
        </w:rPr>
        <w:t> </w:t>
      </w:r>
      <w:r>
        <w:rPr>
          <w:rFonts w:ascii="Times New Roman" w:hAnsi="Times New Roman" w:cs="Times New Roman" w:eastAsia="Times New Roman" w:hint="default"/>
        </w:rPr>
        <w:t>2018</w:t>
      </w:r>
      <w:r>
        <w:rPr>
          <w:rFonts w:ascii="Times New Roman" w:hAnsi="Times New Roman" w:cs="Times New Roman" w:eastAsia="Times New Roman" w:hint="default"/>
          <w:spacing w:val="-2"/>
        </w:rPr>
        <w:t> </w:t>
      </w:r>
      <w:r>
        <w:rPr/>
        <w:t>年</w:t>
      </w:r>
      <w:r>
        <w:rPr>
          <w:spacing w:val="-56"/>
        </w:rPr>
        <w:t> </w:t>
      </w:r>
      <w:r>
        <w:rPr>
          <w:rFonts w:ascii="Times New Roman" w:hAnsi="Times New Roman" w:cs="Times New Roman" w:eastAsia="Times New Roman" w:hint="default"/>
        </w:rPr>
        <w:t>8</w:t>
      </w:r>
      <w:r>
        <w:rPr>
          <w:rFonts w:ascii="Times New Roman" w:hAnsi="Times New Roman" w:cs="Times New Roman" w:eastAsia="Times New Roman" w:hint="default"/>
          <w:spacing w:val="-3"/>
        </w:rPr>
        <w:t> </w:t>
      </w:r>
      <w:r>
        <w:rPr/>
        <w:t>月</w:t>
      </w:r>
      <w:r>
        <w:rPr>
          <w:spacing w:val="-55"/>
        </w:rPr>
        <w:t> </w:t>
      </w:r>
      <w:r>
        <w:rPr>
          <w:rFonts w:ascii="Times New Roman" w:hAnsi="Times New Roman" w:cs="Times New Roman" w:eastAsia="Times New Roman" w:hint="default"/>
        </w:rPr>
        <w:t>8</w:t>
      </w:r>
      <w:r>
        <w:rPr>
          <w:rFonts w:ascii="Times New Roman" w:hAnsi="Times New Roman" w:cs="Times New Roman" w:eastAsia="Times New Roman" w:hint="default"/>
          <w:spacing w:val="-2"/>
        </w:rPr>
        <w:t> </w:t>
      </w:r>
      <w:r>
        <w:rPr/>
        <w:t>日在中国证券登记 结算有限责任公司深圳分公司完成注销手续。</w:t>
      </w:r>
    </w:p>
    <w:p>
      <w:pPr>
        <w:spacing w:after="0" w:line="328" w:lineRule="auto"/>
        <w:jc w:val="both"/>
        <w:sectPr>
          <w:pgSz w:w="11910" w:h="16840"/>
          <w:pgMar w:header="0" w:footer="1001" w:top="1520" w:bottom="1200" w:left="1660" w:right="0"/>
        </w:sectPr>
      </w:pPr>
    </w:p>
    <w:p>
      <w:pPr>
        <w:spacing w:line="240" w:lineRule="auto" w:before="8"/>
        <w:rPr>
          <w:rFonts w:ascii="宋体" w:hAnsi="宋体" w:cs="宋体" w:eastAsia="宋体" w:hint="default"/>
          <w:sz w:val="13"/>
          <w:szCs w:val="13"/>
        </w:rPr>
      </w:pPr>
    </w:p>
    <w:p>
      <w:pPr>
        <w:pStyle w:val="Heading5"/>
        <w:spacing w:line="240" w:lineRule="auto"/>
        <w:ind w:right="3681"/>
        <w:jc w:val="left"/>
        <w:rPr>
          <w:b w:val="0"/>
          <w:bCs w:val="0"/>
        </w:rPr>
      </w:pPr>
      <w:r>
        <w:rPr/>
        <w:pict>
          <v:group style="position:absolute;margin-left:119.010002pt;margin-top:17.133949pt;width:412.05pt;height:73.2pt;mso-position-horizontal-relative:page;mso-position-vertical-relative:paragraph;z-index:-1379080" coordorigin="2380,343" coordsize="8241,1464">
            <v:group style="position:absolute;left:2410;top:358;width:2036;height:2" coordorigin="2410,358" coordsize="2036,2">
              <v:shape style="position:absolute;left:2410;top:358;width:2036;height:2" coordorigin="2410,358" coordsize="2036,0" path="m2410,358l4445,358e" filled="false" stroked="true" strokeweight="1.5pt" strokecolor="#000000">
                <v:path arrowok="t"/>
              </v:shape>
              <v:shape style="position:absolute;left:4445;top:373;width:10;height:28" type="#_x0000_t75" stroked="false">
                <v:imagedata r:id="rId39" o:title=""/>
              </v:shape>
            </v:group>
            <v:group style="position:absolute;left:4445;top:358;width:1538;height:2" coordorigin="4445,358" coordsize="1538,2">
              <v:shape style="position:absolute;left:4445;top:358;width:1538;height:2" coordorigin="4445,358" coordsize="1538,0" path="m4445,358l5982,358e" filled="false" stroked="true" strokeweight="1.5pt" strokecolor="#000000">
                <v:path arrowok="t"/>
              </v:shape>
              <v:shape style="position:absolute;left:5982;top:373;width:10;height:28" type="#_x0000_t75" stroked="false">
                <v:imagedata r:id="rId39" o:title=""/>
              </v:shape>
            </v:group>
            <v:group style="position:absolute;left:5982;top:358;width:1538;height:2" coordorigin="5982,358" coordsize="1538,2">
              <v:shape style="position:absolute;left:5982;top:358;width:1538;height:2" coordorigin="5982,358" coordsize="1538,0" path="m5982,358l7519,358e" filled="false" stroked="true" strokeweight="1.5pt" strokecolor="#000000">
                <v:path arrowok="t"/>
              </v:shape>
              <v:shape style="position:absolute;left:7519;top:373;width:10;height:28" type="#_x0000_t75" stroked="false">
                <v:imagedata r:id="rId39" o:title=""/>
              </v:shape>
            </v:group>
            <v:group style="position:absolute;left:7519;top:358;width:30;height:2" coordorigin="7519,358" coordsize="30,2">
              <v:shape style="position:absolute;left:7519;top:358;width:30;height:2" coordorigin="7519,358" coordsize="30,0" path="m7519,358l7549,358e" filled="false" stroked="true" strokeweight="1.5pt" strokecolor="#000000">
                <v:path arrowok="t"/>
              </v:shape>
            </v:group>
            <v:group style="position:absolute;left:7549;top:358;width:1508;height:2" coordorigin="7549,358" coordsize="1508,2">
              <v:shape style="position:absolute;left:7549;top:358;width:1508;height:2" coordorigin="7549,358" coordsize="1508,0" path="m7549,358l9056,358e" filled="false" stroked="true" strokeweight="1.5pt" strokecolor="#000000">
                <v:path arrowok="t"/>
              </v:shape>
              <v:shape style="position:absolute;left:9056;top:373;width:10;height:28" type="#_x0000_t75" stroked="false">
                <v:imagedata r:id="rId39" o:title=""/>
              </v:shape>
            </v:group>
            <v:group style="position:absolute;left:9056;top:358;width:1541;height:2" coordorigin="9056,358" coordsize="1541,2">
              <v:shape style="position:absolute;left:9056;top:358;width:1541;height:2" coordorigin="9056,358" coordsize="1541,0" path="m9056,358l10597,358e" filled="false" stroked="true" strokeweight="1.5pt" strokecolor="#000000">
                <v:path arrowok="t"/>
              </v:shape>
              <v:shape style="position:absolute;left:4426;top:381;width:4660;height:354" type="#_x0000_t75" stroked="false">
                <v:imagedata r:id="rId288" o:title=""/>
              </v:shape>
            </v:group>
            <v:group style="position:absolute;left:2395;top:1792;width:2050;height:2" coordorigin="2395,1792" coordsize="2050,2">
              <v:shape style="position:absolute;left:2395;top:1792;width:2050;height:2" coordorigin="2395,1792" coordsize="2050,0" path="m2395,1792l4445,1792e" filled="false" stroked="true" strokeweight="1.5pt" strokecolor="#000000">
                <v:path arrowok="t"/>
              </v:shape>
            </v:group>
            <v:group style="position:absolute;left:4445;top:1792;width:1538;height:2" coordorigin="4445,1792" coordsize="1538,2">
              <v:shape style="position:absolute;left:4445;top:1792;width:1538;height:2" coordorigin="4445,1792" coordsize="1538,0" path="m4445,1792l5982,1792e" filled="false" stroked="true" strokeweight="1.5pt" strokecolor="#000000">
                <v:path arrowok="t"/>
              </v:shape>
            </v:group>
            <v:group style="position:absolute;left:5982;top:1792;width:1538;height:2" coordorigin="5982,1792" coordsize="1538,2">
              <v:shape style="position:absolute;left:5982;top:1792;width:1538;height:2" coordorigin="5982,1792" coordsize="1538,0" path="m5982,1792l7519,1792e" filled="false" stroked="true" strokeweight="1.5pt" strokecolor="#000000">
                <v:path arrowok="t"/>
              </v:shape>
            </v:group>
            <v:group style="position:absolute;left:7519;top:1792;width:30;height:2" coordorigin="7519,1792" coordsize="30,2">
              <v:shape style="position:absolute;left:7519;top:1792;width:30;height:2" coordorigin="7519,1792" coordsize="30,0" path="m7519,1792l7549,1792e" filled="false" stroked="true" strokeweight="1.5pt" strokecolor="#000000">
                <v:path arrowok="t"/>
              </v:shape>
            </v:group>
            <v:group style="position:absolute;left:7549;top:1792;width:1508;height:2" coordorigin="7549,1792" coordsize="1508,2">
              <v:shape style="position:absolute;left:7549;top:1792;width:1508;height:2" coordorigin="7549,1792" coordsize="1508,0" path="m7549,1792l9056,1792e" filled="false" stroked="true" strokeweight="1.5pt" strokecolor="#000000">
                <v:path arrowok="t"/>
              </v:shape>
              <v:shape style="position:absolute;left:2390;top:697;width:8231;height:1080" type="#_x0000_t75" stroked="false">
                <v:imagedata r:id="rId289" o:title=""/>
              </v:shape>
            </v:group>
            <v:group style="position:absolute;left:9056;top:1792;width:1541;height:2" coordorigin="9056,1792" coordsize="1541,2">
              <v:shape style="position:absolute;left:9056;top:1792;width:1541;height:2" coordorigin="9056,1792" coordsize="1541,0" path="m9056,1792l10597,1792e" filled="false" stroked="true" strokeweight="1.5pt" strokecolor="#000000">
                <v:path arrowok="t"/>
              </v:shape>
            </v:group>
            <w10:wrap type="none"/>
          </v:group>
        </w:pict>
      </w:r>
      <w:r>
        <w:rPr>
          <w:rFonts w:ascii="Times New Roman" w:hAnsi="Times New Roman" w:cs="Times New Roman" w:eastAsia="Times New Roman" w:hint="default"/>
        </w:rPr>
        <w:t>(</w:t>
      </w:r>
      <w:r>
        <w:rPr/>
        <w:t>三十四</w:t>
      </w:r>
      <w:r>
        <w:rPr>
          <w:rFonts w:ascii="Times New Roman" w:hAnsi="Times New Roman" w:cs="Times New Roman" w:eastAsia="Times New Roman" w:hint="default"/>
        </w:rPr>
        <w:t>)</w:t>
      </w:r>
      <w:r>
        <w:rPr>
          <w:rFonts w:ascii="Times New Roman" w:hAnsi="Times New Roman" w:cs="Times New Roman" w:eastAsia="Times New Roman" w:hint="default"/>
          <w:spacing w:val="23"/>
        </w:rPr>
        <w:t> </w:t>
      </w:r>
      <w:r>
        <w:rPr/>
        <w:t>资本公积</w:t>
      </w:r>
      <w:r>
        <w:rPr>
          <w:b w:val="0"/>
          <w:bCs w:val="0"/>
        </w:rPr>
      </w:r>
    </w:p>
    <w:p>
      <w:pPr>
        <w:spacing w:line="240" w:lineRule="auto" w:before="6"/>
        <w:rPr>
          <w:rFonts w:ascii="宋体" w:hAnsi="宋体" w:cs="宋体" w:eastAsia="宋体" w:hint="default"/>
          <w:b/>
          <w:bCs/>
          <w:sz w:val="2"/>
          <w:szCs w:val="2"/>
        </w:rPr>
      </w:pPr>
    </w:p>
    <w:tbl>
      <w:tblPr>
        <w:tblW w:w="0" w:type="auto"/>
        <w:jc w:val="left"/>
        <w:tblInd w:w="787" w:type="dxa"/>
        <w:tblLayout w:type="fixed"/>
        <w:tblCellMar>
          <w:top w:w="0" w:type="dxa"/>
          <w:left w:w="0" w:type="dxa"/>
          <w:bottom w:w="0" w:type="dxa"/>
          <w:right w:w="0" w:type="dxa"/>
        </w:tblCellMar>
        <w:tblLook w:val="01E0"/>
      </w:tblPr>
      <w:tblGrid>
        <w:gridCol w:w="2050"/>
        <w:gridCol w:w="1650"/>
        <w:gridCol w:w="1537"/>
        <w:gridCol w:w="1537"/>
        <w:gridCol w:w="1338"/>
      </w:tblGrid>
      <w:tr>
        <w:trPr>
          <w:trHeight w:val="723" w:hRule="exact"/>
        </w:trPr>
        <w:tc>
          <w:tcPr>
            <w:tcW w:w="2050" w:type="dxa"/>
            <w:tcBorders>
              <w:top w:val="nil" w:sz="6" w:space="0" w:color="auto"/>
              <w:left w:val="nil" w:sz="6" w:space="0" w:color="auto"/>
              <w:bottom w:val="nil" w:sz="6" w:space="0" w:color="auto"/>
              <w:right w:val="nil" w:sz="6" w:space="0" w:color="auto"/>
            </w:tcBorders>
          </w:tcPr>
          <w:p>
            <w:pPr>
              <w:pStyle w:val="TableParagraph"/>
              <w:spacing w:line="405" w:lineRule="auto" w:before="56"/>
              <w:ind w:left="70" w:right="379" w:firstLine="751"/>
              <w:jc w:val="left"/>
              <w:rPr>
                <w:rFonts w:ascii="宋体" w:hAnsi="宋体" w:cs="宋体" w:eastAsia="宋体" w:hint="default"/>
                <w:sz w:val="16"/>
                <w:szCs w:val="16"/>
              </w:rPr>
            </w:pPr>
            <w:r>
              <w:rPr>
                <w:rFonts w:ascii="宋体" w:hAnsi="宋体" w:cs="宋体" w:eastAsia="宋体" w:hint="default"/>
                <w:sz w:val="16"/>
                <w:szCs w:val="16"/>
              </w:rPr>
              <w:t>项目</w:t>
            </w:r>
            <w:r>
              <w:rPr>
                <w:rFonts w:ascii="宋体" w:hAnsi="宋体" w:cs="宋体" w:eastAsia="宋体" w:hint="default"/>
                <w:w w:val="99"/>
                <w:sz w:val="16"/>
                <w:szCs w:val="16"/>
              </w:rPr>
              <w:t> </w:t>
            </w:r>
            <w:r>
              <w:rPr>
                <w:rFonts w:ascii="宋体" w:hAnsi="宋体" w:cs="宋体" w:eastAsia="宋体" w:hint="default"/>
                <w:w w:val="95"/>
                <w:sz w:val="16"/>
                <w:szCs w:val="16"/>
              </w:rPr>
              <w:t>资本溢价（股本溢价）</w:t>
            </w:r>
            <w:r>
              <w:rPr>
                <w:rFonts w:ascii="宋体" w:hAnsi="宋体" w:cs="宋体" w:eastAsia="宋体" w:hint="default"/>
                <w:sz w:val="16"/>
                <w:szCs w:val="16"/>
              </w:rPr>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56"/>
              <w:ind w:left="400" w:right="0"/>
              <w:jc w:val="left"/>
              <w:rPr>
                <w:rFonts w:ascii="宋体" w:hAnsi="宋体" w:cs="宋体" w:eastAsia="宋体" w:hint="default"/>
                <w:sz w:val="16"/>
                <w:szCs w:val="16"/>
              </w:rPr>
            </w:pPr>
            <w:r>
              <w:rPr>
                <w:rFonts w:ascii="宋体" w:hAnsi="宋体" w:cs="宋体" w:eastAsia="宋体" w:hint="default"/>
                <w:sz w:val="16"/>
                <w:szCs w:val="16"/>
              </w:rPr>
              <w:t>年初余额</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56"/>
              <w:ind w:left="287" w:right="0"/>
              <w:jc w:val="left"/>
              <w:rPr>
                <w:rFonts w:ascii="宋体" w:hAnsi="宋体" w:cs="宋体" w:eastAsia="宋体" w:hint="default"/>
                <w:sz w:val="16"/>
                <w:szCs w:val="16"/>
              </w:rPr>
            </w:pPr>
            <w:r>
              <w:rPr>
                <w:rFonts w:ascii="宋体" w:hAnsi="宋体" w:cs="宋体" w:eastAsia="宋体" w:hint="default"/>
                <w:sz w:val="16"/>
                <w:szCs w:val="16"/>
              </w:rPr>
              <w:t>本期增加</w:t>
            </w:r>
          </w:p>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267" w:right="0"/>
              <w:jc w:val="left"/>
              <w:rPr>
                <w:rFonts w:ascii="Times New Roman" w:hAnsi="Times New Roman" w:cs="Times New Roman" w:eastAsia="Times New Roman" w:hint="default"/>
                <w:sz w:val="16"/>
                <w:szCs w:val="16"/>
              </w:rPr>
            </w:pPr>
            <w:r>
              <w:rPr>
                <w:rFonts w:ascii="Times New Roman"/>
                <w:sz w:val="16"/>
              </w:rPr>
              <w:t>104,499,556.22</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56"/>
              <w:ind w:left="287" w:right="0"/>
              <w:jc w:val="left"/>
              <w:rPr>
                <w:rFonts w:ascii="宋体" w:hAnsi="宋体" w:cs="宋体" w:eastAsia="宋体" w:hint="default"/>
                <w:sz w:val="16"/>
                <w:szCs w:val="16"/>
              </w:rPr>
            </w:pPr>
            <w:r>
              <w:rPr>
                <w:rFonts w:ascii="宋体" w:hAnsi="宋体" w:cs="宋体" w:eastAsia="宋体" w:hint="default"/>
                <w:sz w:val="16"/>
                <w:szCs w:val="16"/>
              </w:rPr>
              <w:t>本期减少</w:t>
            </w:r>
          </w:p>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268" w:right="0"/>
              <w:jc w:val="left"/>
              <w:rPr>
                <w:rFonts w:ascii="Times New Roman" w:hAnsi="Times New Roman" w:cs="Times New Roman" w:eastAsia="Times New Roman" w:hint="default"/>
                <w:sz w:val="16"/>
                <w:szCs w:val="16"/>
              </w:rPr>
            </w:pPr>
            <w:r>
              <w:rPr>
                <w:rFonts w:ascii="Times New Roman"/>
                <w:sz w:val="16"/>
              </w:rPr>
              <w:t>104,499,556.22</w:t>
            </w:r>
          </w:p>
        </w:tc>
        <w:tc>
          <w:tcPr>
            <w:tcW w:w="1338" w:type="dxa"/>
            <w:tcBorders>
              <w:top w:val="nil" w:sz="6" w:space="0" w:color="auto"/>
              <w:left w:val="nil" w:sz="6" w:space="0" w:color="auto"/>
              <w:bottom w:val="nil" w:sz="6" w:space="0" w:color="auto"/>
              <w:right w:val="nil" w:sz="6" w:space="0" w:color="auto"/>
            </w:tcBorders>
          </w:tcPr>
          <w:p>
            <w:pPr>
              <w:pStyle w:val="TableParagraph"/>
              <w:spacing w:line="240" w:lineRule="auto" w:before="56"/>
              <w:ind w:left="287" w:right="0"/>
              <w:jc w:val="left"/>
              <w:rPr>
                <w:rFonts w:ascii="宋体" w:hAnsi="宋体" w:cs="宋体" w:eastAsia="宋体" w:hint="default"/>
                <w:sz w:val="16"/>
                <w:szCs w:val="16"/>
              </w:rPr>
            </w:pPr>
            <w:r>
              <w:rPr>
                <w:rFonts w:ascii="宋体" w:hAnsi="宋体" w:cs="宋体" w:eastAsia="宋体" w:hint="default"/>
                <w:sz w:val="16"/>
                <w:szCs w:val="16"/>
              </w:rPr>
              <w:t>期末余额</w:t>
            </w:r>
          </w:p>
        </w:tc>
      </w:tr>
      <w:tr>
        <w:trPr>
          <w:trHeight w:val="353" w:hRule="exact"/>
        </w:trPr>
        <w:tc>
          <w:tcPr>
            <w:tcW w:w="205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其他资本公积</w:t>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82"/>
              <w:ind w:left="381" w:right="0"/>
              <w:jc w:val="left"/>
              <w:rPr>
                <w:rFonts w:ascii="Times New Roman" w:hAnsi="Times New Roman" w:cs="Times New Roman" w:eastAsia="Times New Roman" w:hint="default"/>
                <w:sz w:val="16"/>
                <w:szCs w:val="16"/>
              </w:rPr>
            </w:pPr>
            <w:r>
              <w:rPr>
                <w:rFonts w:ascii="Times New Roman"/>
                <w:sz w:val="16"/>
              </w:rPr>
              <w:t>393,823,634.91</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0"/>
              <w:jc w:val="center"/>
              <w:rPr>
                <w:rFonts w:ascii="Times New Roman" w:hAnsi="Times New Roman" w:cs="Times New Roman" w:eastAsia="Times New Roman" w:hint="default"/>
                <w:sz w:val="16"/>
                <w:szCs w:val="16"/>
              </w:rPr>
            </w:pPr>
            <w:r>
              <w:rPr>
                <w:rFonts w:ascii="Times New Roman"/>
                <w:sz w:val="16"/>
              </w:rPr>
              <w:t>170,244,623.25</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66"/>
              <w:jc w:val="right"/>
              <w:rPr>
                <w:rFonts w:ascii="Times New Roman" w:hAnsi="Times New Roman" w:cs="Times New Roman" w:eastAsia="Times New Roman" w:hint="default"/>
                <w:sz w:val="16"/>
                <w:szCs w:val="16"/>
              </w:rPr>
            </w:pPr>
            <w:r>
              <w:rPr>
                <w:rFonts w:ascii="Times New Roman"/>
                <w:spacing w:val="-1"/>
                <w:sz w:val="16"/>
              </w:rPr>
              <w:t>7,903,898.00</w:t>
            </w:r>
          </w:p>
        </w:tc>
        <w:tc>
          <w:tcPr>
            <w:tcW w:w="1338" w:type="dxa"/>
            <w:tcBorders>
              <w:top w:val="nil" w:sz="6" w:space="0" w:color="auto"/>
              <w:left w:val="nil" w:sz="6" w:space="0" w:color="auto"/>
              <w:bottom w:val="nil" w:sz="6" w:space="0" w:color="auto"/>
              <w:right w:val="nil" w:sz="6" w:space="0" w:color="auto"/>
            </w:tcBorders>
          </w:tcPr>
          <w:p>
            <w:pPr>
              <w:pStyle w:val="TableParagraph"/>
              <w:spacing w:line="240" w:lineRule="auto" w:before="82"/>
              <w:ind w:left="268" w:right="0"/>
              <w:jc w:val="left"/>
              <w:rPr>
                <w:rFonts w:ascii="Times New Roman" w:hAnsi="Times New Roman" w:cs="Times New Roman" w:eastAsia="Times New Roman" w:hint="default"/>
                <w:sz w:val="16"/>
                <w:szCs w:val="16"/>
              </w:rPr>
            </w:pPr>
            <w:r>
              <w:rPr>
                <w:rFonts w:ascii="Times New Roman"/>
                <w:sz w:val="16"/>
              </w:rPr>
              <w:t>556,164,360.16</w:t>
            </w:r>
          </w:p>
        </w:tc>
      </w:tr>
      <w:tr>
        <w:trPr>
          <w:trHeight w:val="358" w:hRule="exact"/>
        </w:trPr>
        <w:tc>
          <w:tcPr>
            <w:tcW w:w="205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86"/>
              <w:jc w:val="center"/>
              <w:rPr>
                <w:rFonts w:ascii="宋体" w:hAnsi="宋体" w:cs="宋体" w:eastAsia="宋体" w:hint="default"/>
                <w:sz w:val="16"/>
                <w:szCs w:val="16"/>
              </w:rPr>
            </w:pPr>
            <w:r>
              <w:rPr>
                <w:rFonts w:ascii="宋体" w:hAnsi="宋体" w:cs="宋体" w:eastAsia="宋体" w:hint="default"/>
                <w:sz w:val="16"/>
                <w:szCs w:val="16"/>
              </w:rPr>
              <w:t>合计</w:t>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81" w:right="0"/>
              <w:jc w:val="left"/>
              <w:rPr>
                <w:rFonts w:ascii="Times New Roman" w:hAnsi="Times New Roman" w:cs="Times New Roman" w:eastAsia="Times New Roman" w:hint="default"/>
                <w:sz w:val="16"/>
                <w:szCs w:val="16"/>
              </w:rPr>
            </w:pPr>
            <w:r>
              <w:rPr>
                <w:rFonts w:ascii="Times New Roman"/>
                <w:sz w:val="16"/>
              </w:rPr>
              <w:t>393,823,634.91</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0"/>
              <w:jc w:val="center"/>
              <w:rPr>
                <w:rFonts w:ascii="Times New Roman" w:hAnsi="Times New Roman" w:cs="Times New Roman" w:eastAsia="Times New Roman" w:hint="default"/>
                <w:sz w:val="16"/>
                <w:szCs w:val="16"/>
              </w:rPr>
            </w:pPr>
            <w:r>
              <w:rPr>
                <w:rFonts w:ascii="Times New Roman"/>
                <w:sz w:val="16"/>
              </w:rPr>
              <w:t>274,744,179.47</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66"/>
              <w:jc w:val="right"/>
              <w:rPr>
                <w:rFonts w:ascii="Times New Roman" w:hAnsi="Times New Roman" w:cs="Times New Roman" w:eastAsia="Times New Roman" w:hint="default"/>
                <w:sz w:val="16"/>
                <w:szCs w:val="16"/>
              </w:rPr>
            </w:pPr>
            <w:r>
              <w:rPr>
                <w:rFonts w:ascii="Times New Roman"/>
                <w:spacing w:val="-1"/>
                <w:sz w:val="16"/>
              </w:rPr>
              <w:t>112,403,454.22</w:t>
            </w:r>
          </w:p>
        </w:tc>
        <w:tc>
          <w:tcPr>
            <w:tcW w:w="1338" w:type="dxa"/>
            <w:tcBorders>
              <w:top w:val="nil" w:sz="6" w:space="0" w:color="auto"/>
              <w:left w:val="nil" w:sz="6" w:space="0" w:color="auto"/>
              <w:bottom w:val="nil" w:sz="6" w:space="0" w:color="auto"/>
              <w:right w:val="nil" w:sz="6" w:space="0" w:color="auto"/>
            </w:tcBorders>
          </w:tcPr>
          <w:p>
            <w:pPr>
              <w:pStyle w:val="TableParagraph"/>
              <w:spacing w:line="240" w:lineRule="auto" w:before="83"/>
              <w:ind w:left="268" w:right="0"/>
              <w:jc w:val="left"/>
              <w:rPr>
                <w:rFonts w:ascii="Times New Roman" w:hAnsi="Times New Roman" w:cs="Times New Roman" w:eastAsia="Times New Roman" w:hint="default"/>
                <w:sz w:val="16"/>
                <w:szCs w:val="16"/>
              </w:rPr>
            </w:pPr>
            <w:r>
              <w:rPr>
                <w:rFonts w:ascii="Times New Roman"/>
                <w:sz w:val="16"/>
              </w:rPr>
              <w:t>556,164,360.16</w:t>
            </w:r>
          </w:p>
        </w:tc>
      </w:tr>
    </w:tbl>
    <w:p>
      <w:pPr>
        <w:spacing w:line="240" w:lineRule="auto" w:before="7"/>
        <w:rPr>
          <w:rFonts w:ascii="宋体" w:hAnsi="宋体" w:cs="宋体" w:eastAsia="宋体" w:hint="default"/>
          <w:b/>
          <w:bCs/>
          <w:sz w:val="5"/>
          <w:szCs w:val="5"/>
        </w:rPr>
      </w:pPr>
    </w:p>
    <w:p>
      <w:pPr>
        <w:pStyle w:val="BodyText"/>
        <w:spacing w:line="240" w:lineRule="auto" w:before="35"/>
        <w:ind w:left="851" w:right="3681"/>
        <w:jc w:val="left"/>
      </w:pPr>
      <w:r>
        <w:rPr/>
        <w:t>说明：</w:t>
      </w:r>
    </w:p>
    <w:p>
      <w:pPr>
        <w:pStyle w:val="BodyText"/>
        <w:spacing w:line="240" w:lineRule="auto" w:before="125"/>
        <w:ind w:left="851" w:right="0"/>
        <w:jc w:val="left"/>
      </w:pPr>
      <w:r>
        <w:rPr>
          <w:rFonts w:ascii="Times New Roman" w:hAnsi="Times New Roman" w:cs="Times New Roman" w:eastAsia="Times New Roman" w:hint="default"/>
          <w:spacing w:val="-3"/>
        </w:rPr>
        <w:t>1</w:t>
      </w:r>
      <w:r>
        <w:rPr>
          <w:spacing w:val="-3"/>
        </w:rPr>
        <w:t>、本期授予员工的股票期权激励费用增加资本公积</w:t>
      </w:r>
      <w:r>
        <w:rPr>
          <w:rFonts w:ascii="Times New Roman" w:hAnsi="Times New Roman" w:cs="Times New Roman" w:eastAsia="Times New Roman" w:hint="default"/>
          <w:spacing w:val="-3"/>
        </w:rPr>
        <w:t>-</w:t>
      </w:r>
      <w:r>
        <w:rPr>
          <w:spacing w:val="-3"/>
        </w:rPr>
        <w:t>其他资本公积</w:t>
      </w:r>
      <w:r>
        <w:rPr>
          <w:spacing w:val="-57"/>
        </w:rPr>
        <w:t> </w:t>
      </w:r>
      <w:r>
        <w:rPr>
          <w:rFonts w:ascii="Times New Roman" w:hAnsi="Times New Roman" w:cs="Times New Roman" w:eastAsia="Times New Roman" w:hint="default"/>
        </w:rPr>
        <w:t>22,239,692.97</w:t>
      </w:r>
      <w:r>
        <w:rPr>
          <w:rFonts w:ascii="Times New Roman" w:hAnsi="Times New Roman" w:cs="Times New Roman" w:eastAsia="Times New Roman" w:hint="default"/>
          <w:spacing w:val="-3"/>
        </w:rPr>
        <w:t> </w:t>
      </w:r>
      <w:r>
        <w:rPr/>
        <w:t>元；</w:t>
      </w:r>
    </w:p>
    <w:p>
      <w:pPr>
        <w:pStyle w:val="BodyText"/>
        <w:spacing w:line="338" w:lineRule="auto"/>
        <w:ind w:left="851" w:right="1726"/>
        <w:jc w:val="left"/>
      </w:pPr>
      <w:r>
        <w:rPr>
          <w:rFonts w:ascii="Times New Roman" w:hAnsi="Times New Roman" w:cs="Times New Roman" w:eastAsia="Times New Roman" w:hint="default"/>
          <w:spacing w:val="-6"/>
        </w:rPr>
        <w:t>2</w:t>
      </w:r>
      <w:r>
        <w:rPr>
          <w:spacing w:val="-6"/>
        </w:rPr>
        <w:t>、</w:t>
      </w:r>
      <w:r>
        <w:rPr>
          <w:rFonts w:ascii="Times New Roman" w:hAnsi="Times New Roman" w:cs="Times New Roman" w:eastAsia="Times New Roman" w:hint="default"/>
          <w:spacing w:val="-6"/>
        </w:rPr>
        <w:t>2018</w:t>
      </w:r>
      <w:r>
        <w:rPr>
          <w:rFonts w:ascii="Times New Roman" w:hAnsi="Times New Roman" w:cs="Times New Roman" w:eastAsia="Times New Roman" w:hint="default"/>
          <w:spacing w:val="1"/>
        </w:rPr>
        <w:t> </w:t>
      </w:r>
      <w:r>
        <w:rPr/>
        <w:t>年</w:t>
      </w:r>
      <w:r>
        <w:rPr>
          <w:spacing w:val="-51"/>
        </w:rPr>
        <w:t> </w:t>
      </w:r>
      <w:r>
        <w:rPr>
          <w:rFonts w:ascii="Times New Roman" w:hAnsi="Times New Roman" w:cs="Times New Roman" w:eastAsia="Times New Roman" w:hint="default"/>
        </w:rPr>
        <w:t>7</w:t>
      </w:r>
      <w:r>
        <w:rPr>
          <w:rFonts w:ascii="Times New Roman" w:hAnsi="Times New Roman" w:cs="Times New Roman" w:eastAsia="Times New Roman" w:hint="default"/>
          <w:spacing w:val="1"/>
        </w:rPr>
        <w:t> </w:t>
      </w:r>
      <w:r>
        <w:rPr/>
        <w:t>月</w:t>
      </w:r>
      <w:r>
        <w:rPr>
          <w:spacing w:val="-51"/>
        </w:rPr>
        <w:t> </w:t>
      </w:r>
      <w:r>
        <w:rPr>
          <w:rFonts w:ascii="Times New Roman" w:hAnsi="Times New Roman" w:cs="Times New Roman" w:eastAsia="Times New Roman" w:hint="default"/>
          <w:spacing w:val="-1"/>
        </w:rPr>
        <w:t>20</w:t>
      </w:r>
      <w:r>
        <w:rPr>
          <w:rFonts w:ascii="Times New Roman" w:hAnsi="Times New Roman" w:cs="Times New Roman" w:eastAsia="Times New Roman" w:hint="default"/>
          <w:spacing w:val="2"/>
        </w:rPr>
        <w:t> </w:t>
      </w:r>
      <w:r>
        <w:rPr>
          <w:spacing w:val="-1"/>
        </w:rPr>
        <w:t>日公司实施</w:t>
      </w:r>
      <w:r>
        <w:rPr>
          <w:spacing w:val="-51"/>
        </w:rPr>
        <w:t> </w:t>
      </w:r>
      <w:r>
        <w:rPr>
          <w:rFonts w:ascii="Times New Roman" w:hAnsi="Times New Roman" w:cs="Times New Roman" w:eastAsia="Times New Roman" w:hint="default"/>
          <w:spacing w:val="-1"/>
        </w:rPr>
        <w:t>2017</w:t>
      </w:r>
      <w:r>
        <w:rPr>
          <w:rFonts w:ascii="Times New Roman" w:hAnsi="Times New Roman" w:cs="Times New Roman" w:eastAsia="Times New Roman" w:hint="default"/>
          <w:spacing w:val="2"/>
        </w:rPr>
        <w:t> </w:t>
      </w:r>
      <w:r>
        <w:rPr>
          <w:spacing w:val="-14"/>
        </w:rPr>
        <w:t>年度权益分派，根据《盈利预测补偿协议》、《盈</w:t>
      </w:r>
      <w:r>
        <w:rPr>
          <w:spacing w:val="-102"/>
        </w:rPr>
        <w:t> </w:t>
      </w:r>
      <w:r>
        <w:rPr>
          <w:spacing w:val="-102"/>
        </w:rPr>
      </w:r>
      <w:r>
        <w:rPr/>
        <w:t>利预测补偿协议之补充协议》约定，公司在补偿期限内实施现金分配，现金分配的 部分应作相应返还，据此，业绩补偿股份</w:t>
      </w:r>
      <w:r>
        <w:rPr>
          <w:spacing w:val="-56"/>
        </w:rPr>
        <w:t> </w:t>
      </w:r>
      <w:r>
        <w:rPr>
          <w:rFonts w:ascii="Times New Roman" w:hAnsi="Times New Roman" w:cs="Times New Roman" w:eastAsia="Times New Roman" w:hint="default"/>
        </w:rPr>
        <w:t>7,903,899</w:t>
      </w:r>
      <w:r>
        <w:rPr>
          <w:rFonts w:ascii="Times New Roman" w:hAnsi="Times New Roman" w:cs="Times New Roman" w:eastAsia="Times New Roman" w:hint="default"/>
          <w:spacing w:val="-3"/>
        </w:rPr>
        <w:t> </w:t>
      </w:r>
      <w:r>
        <w:rPr/>
        <w:t>股对应返还金额</w:t>
      </w:r>
      <w:r>
        <w:rPr>
          <w:spacing w:val="-56"/>
        </w:rPr>
        <w:t> </w:t>
      </w:r>
      <w:r>
        <w:rPr>
          <w:rFonts w:ascii="Times New Roman" w:hAnsi="Times New Roman" w:cs="Times New Roman" w:eastAsia="Times New Roman" w:hint="default"/>
        </w:rPr>
        <w:t>474,233.94</w:t>
      </w:r>
      <w:r>
        <w:rPr>
          <w:rFonts w:ascii="Times New Roman" w:hAnsi="Times New Roman" w:cs="Times New Roman" w:eastAsia="Times New Roman" w:hint="default"/>
          <w:spacing w:val="-3"/>
        </w:rPr>
        <w:t> </w:t>
      </w:r>
      <w:r>
        <w:rPr/>
        <w:t>元， 公司在向中国电子信息产业集团有限公司派发现金红利时直接扣减应返还部分，对 应增加资本公积</w:t>
      </w:r>
      <w:r>
        <w:rPr>
          <w:rFonts w:ascii="Times New Roman" w:hAnsi="Times New Roman" w:cs="Times New Roman" w:eastAsia="Times New Roman" w:hint="default"/>
        </w:rPr>
        <w:t>-</w:t>
      </w:r>
      <w:r>
        <w:rPr/>
        <w:t>资本溢价</w:t>
      </w:r>
      <w:r>
        <w:rPr>
          <w:spacing w:val="-54"/>
        </w:rPr>
        <w:t> </w:t>
      </w:r>
      <w:r>
        <w:rPr>
          <w:rFonts w:ascii="Times New Roman" w:hAnsi="Times New Roman" w:cs="Times New Roman" w:eastAsia="Times New Roman" w:hint="default"/>
        </w:rPr>
        <w:t>474,233.94</w:t>
      </w:r>
      <w:r>
        <w:rPr>
          <w:rFonts w:ascii="Times New Roman" w:hAnsi="Times New Roman" w:cs="Times New Roman" w:eastAsia="Times New Roman" w:hint="default"/>
          <w:spacing w:val="-1"/>
        </w:rPr>
        <w:t> </w:t>
      </w:r>
      <w:r>
        <w:rPr/>
        <w:t>元； </w:t>
      </w:r>
      <w:r>
        <w:rPr>
          <w:rFonts w:ascii="Times New Roman" w:hAnsi="Times New Roman" w:cs="Times New Roman" w:eastAsia="Times New Roman" w:hint="default"/>
          <w:spacing w:val="-2"/>
        </w:rPr>
        <w:t>3</w:t>
      </w:r>
      <w:r>
        <w:rPr>
          <w:spacing w:val="-2"/>
        </w:rPr>
        <w:t>、本期二级子公司北京圣非凡电子系统技术开发有限公司因国防科工局拨款建造的</w:t>
      </w:r>
      <w:r>
        <w:rPr>
          <w:spacing w:val="-99"/>
        </w:rPr>
        <w:t> </w:t>
      </w:r>
      <w:r>
        <w:rPr>
          <w:spacing w:val="-99"/>
        </w:rPr>
      </w:r>
      <w:r>
        <w:rPr/>
        <w:t>研制保障项目竣工验收，公司根据拨款文件将国拨资金转为国有独享资本公积，增 加资本公积</w:t>
      </w:r>
      <w:r>
        <w:rPr>
          <w:rFonts w:ascii="Times New Roman" w:hAnsi="Times New Roman" w:cs="Times New Roman" w:eastAsia="Times New Roman" w:hint="default"/>
        </w:rPr>
        <w:t>-</w:t>
      </w:r>
      <w:r>
        <w:rPr/>
        <w:t>其他资本公积</w:t>
      </w:r>
      <w:r>
        <w:rPr>
          <w:spacing w:val="-57"/>
        </w:rPr>
        <w:t> </w:t>
      </w:r>
      <w:r>
        <w:rPr>
          <w:rFonts w:ascii="Times New Roman" w:hAnsi="Times New Roman" w:cs="Times New Roman" w:eastAsia="Times New Roman" w:hint="default"/>
        </w:rPr>
        <w:t>43,900,000.00</w:t>
      </w:r>
      <w:r>
        <w:rPr>
          <w:rFonts w:ascii="Times New Roman" w:hAnsi="Times New Roman" w:cs="Times New Roman" w:eastAsia="Times New Roman" w:hint="default"/>
          <w:spacing w:val="-3"/>
        </w:rPr>
        <w:t> </w:t>
      </w:r>
      <w:r>
        <w:rPr/>
        <w:t>元；</w:t>
      </w:r>
    </w:p>
    <w:p>
      <w:pPr>
        <w:pStyle w:val="BodyText"/>
        <w:spacing w:line="240" w:lineRule="auto" w:before="13"/>
        <w:ind w:left="851" w:right="1793"/>
        <w:jc w:val="left"/>
      </w:pPr>
      <w:r>
        <w:rPr>
          <w:rFonts w:ascii="Times New Roman" w:hAnsi="Times New Roman" w:cs="Times New Roman" w:eastAsia="Times New Roman" w:hint="default"/>
        </w:rPr>
        <w:t>4</w:t>
      </w:r>
      <w:r>
        <w:rPr/>
        <w:t>、公司以</w:t>
      </w:r>
      <w:r>
        <w:rPr>
          <w:spacing w:val="-56"/>
        </w:rPr>
        <w:t> </w:t>
      </w:r>
      <w:r>
        <w:rPr>
          <w:rFonts w:ascii="Times New Roman" w:hAnsi="Times New Roman" w:cs="Times New Roman" w:eastAsia="Times New Roman" w:hint="default"/>
        </w:rPr>
        <w:t>1</w:t>
      </w:r>
      <w:r>
        <w:rPr>
          <w:rFonts w:ascii="Times New Roman" w:hAnsi="Times New Roman" w:cs="Times New Roman" w:eastAsia="Times New Roman" w:hint="default"/>
          <w:spacing w:val="-3"/>
        </w:rPr>
        <w:t> </w:t>
      </w:r>
      <w:r>
        <w:rPr/>
        <w:t>元的价格回购中国电子信息产业集团有限公司</w:t>
      </w:r>
      <w:r>
        <w:rPr>
          <w:spacing w:val="-55"/>
        </w:rPr>
        <w:t> </w:t>
      </w:r>
      <w:r>
        <w:rPr>
          <w:rFonts w:ascii="Times New Roman" w:hAnsi="Times New Roman" w:cs="Times New Roman" w:eastAsia="Times New Roman" w:hint="default"/>
        </w:rPr>
        <w:t>7,903,899</w:t>
      </w:r>
      <w:r>
        <w:rPr>
          <w:rFonts w:ascii="Times New Roman" w:hAnsi="Times New Roman" w:cs="Times New Roman" w:eastAsia="Times New Roman" w:hint="default"/>
          <w:spacing w:val="-2"/>
        </w:rPr>
        <w:t> </w:t>
      </w:r>
      <w:r>
        <w:rPr/>
        <w:t>股并注销，确</w:t>
      </w:r>
    </w:p>
    <w:p>
      <w:pPr>
        <w:pStyle w:val="BodyText"/>
        <w:spacing w:line="240" w:lineRule="auto"/>
        <w:ind w:left="851" w:right="0"/>
        <w:jc w:val="left"/>
      </w:pPr>
      <w:r>
        <w:rPr/>
        <w:t>认资本公积</w:t>
      </w:r>
      <w:r>
        <w:rPr>
          <w:rFonts w:ascii="Times New Roman" w:hAnsi="Times New Roman" w:cs="Times New Roman" w:eastAsia="Times New Roman" w:hint="default"/>
          <w:spacing w:val="-1"/>
        </w:rPr>
        <w:t>-</w:t>
      </w:r>
      <w:r>
        <w:rPr/>
        <w:t>资本溢价</w:t>
      </w:r>
      <w:r>
        <w:rPr>
          <w:spacing w:val="-53"/>
        </w:rPr>
        <w:t> </w:t>
      </w:r>
      <w:r>
        <w:rPr>
          <w:rFonts w:ascii="Times New Roman" w:hAnsi="Times New Roman" w:cs="Times New Roman" w:eastAsia="Times New Roman" w:hint="default"/>
        </w:rPr>
        <w:t>7</w:t>
      </w:r>
      <w:r>
        <w:rPr>
          <w:rFonts w:ascii="Times New Roman" w:hAnsi="Times New Roman" w:cs="Times New Roman" w:eastAsia="Times New Roman" w:hint="default"/>
          <w:spacing w:val="-1"/>
        </w:rPr>
        <w:t>,9</w:t>
      </w:r>
      <w:r>
        <w:rPr>
          <w:rFonts w:ascii="Times New Roman" w:hAnsi="Times New Roman" w:cs="Times New Roman" w:eastAsia="Times New Roman" w:hint="default"/>
        </w:rPr>
        <w:t>03</w:t>
      </w:r>
      <w:r>
        <w:rPr>
          <w:rFonts w:ascii="Times New Roman" w:hAnsi="Times New Roman" w:cs="Times New Roman" w:eastAsia="Times New Roman" w:hint="default"/>
          <w:spacing w:val="-1"/>
        </w:rPr>
        <w:t>,</w:t>
      </w:r>
      <w:r>
        <w:rPr>
          <w:rFonts w:ascii="Times New Roman" w:hAnsi="Times New Roman" w:cs="Times New Roman" w:eastAsia="Times New Roman" w:hint="default"/>
        </w:rPr>
        <w:t>8</w:t>
      </w:r>
      <w:r>
        <w:rPr>
          <w:rFonts w:ascii="Times New Roman" w:hAnsi="Times New Roman" w:cs="Times New Roman" w:eastAsia="Times New Roman" w:hint="default"/>
          <w:spacing w:val="-1"/>
        </w:rPr>
        <w:t>9</w:t>
      </w:r>
      <w:r>
        <w:rPr>
          <w:rFonts w:ascii="Times New Roman" w:hAnsi="Times New Roman" w:cs="Times New Roman" w:eastAsia="Times New Roman" w:hint="default"/>
        </w:rPr>
        <w:t>8</w:t>
      </w:r>
      <w:r>
        <w:rPr>
          <w:rFonts w:ascii="Times New Roman" w:hAnsi="Times New Roman" w:cs="Times New Roman" w:eastAsia="Times New Roman" w:hint="default"/>
          <w:spacing w:val="-1"/>
        </w:rPr>
        <w:t>.</w:t>
      </w:r>
      <w:r>
        <w:rPr>
          <w:rFonts w:ascii="Times New Roman" w:hAnsi="Times New Roman" w:cs="Times New Roman" w:eastAsia="Times New Roman" w:hint="default"/>
        </w:rPr>
        <w:t>00 </w:t>
      </w:r>
      <w:r>
        <w:rPr/>
        <w:t>元</w:t>
      </w:r>
      <w:r>
        <w:rPr>
          <w:spacing w:val="-102"/>
        </w:rPr>
        <w:t>，</w:t>
      </w:r>
      <w:r>
        <w:rPr/>
        <w:t>冲减资本公积</w:t>
      </w:r>
      <w:r>
        <w:rPr>
          <w:rFonts w:ascii="Times New Roman" w:hAnsi="Times New Roman" w:cs="Times New Roman" w:eastAsia="Times New Roman" w:hint="default"/>
          <w:spacing w:val="-1"/>
        </w:rPr>
        <w:t>-</w:t>
      </w:r>
      <w:r>
        <w:rPr/>
        <w:t>其他资本公积</w:t>
      </w:r>
      <w:r>
        <w:rPr>
          <w:spacing w:val="-53"/>
        </w:rPr>
        <w:t> </w:t>
      </w:r>
      <w:r>
        <w:rPr>
          <w:rFonts w:ascii="Times New Roman" w:hAnsi="Times New Roman" w:cs="Times New Roman" w:eastAsia="Times New Roman" w:hint="default"/>
        </w:rPr>
        <w:t>7</w:t>
      </w:r>
      <w:r>
        <w:rPr>
          <w:rFonts w:ascii="Times New Roman" w:hAnsi="Times New Roman" w:cs="Times New Roman" w:eastAsia="Times New Roman" w:hint="default"/>
          <w:spacing w:val="-1"/>
        </w:rPr>
        <w:t>,</w:t>
      </w:r>
      <w:r>
        <w:rPr>
          <w:rFonts w:ascii="Times New Roman" w:hAnsi="Times New Roman" w:cs="Times New Roman" w:eastAsia="Times New Roman" w:hint="default"/>
        </w:rPr>
        <w:t>9</w:t>
      </w:r>
      <w:r>
        <w:rPr>
          <w:rFonts w:ascii="Times New Roman" w:hAnsi="Times New Roman" w:cs="Times New Roman" w:eastAsia="Times New Roman" w:hint="default"/>
          <w:spacing w:val="-1"/>
        </w:rPr>
        <w:t>0</w:t>
      </w:r>
      <w:r>
        <w:rPr>
          <w:rFonts w:ascii="Times New Roman" w:hAnsi="Times New Roman" w:cs="Times New Roman" w:eastAsia="Times New Roman" w:hint="default"/>
        </w:rPr>
        <w:t>3,</w:t>
      </w:r>
      <w:r>
        <w:rPr>
          <w:rFonts w:ascii="Times New Roman" w:hAnsi="Times New Roman" w:cs="Times New Roman" w:eastAsia="Times New Roman" w:hint="default"/>
          <w:spacing w:val="-1"/>
        </w:rPr>
        <w:t>89</w:t>
      </w:r>
      <w:r>
        <w:rPr>
          <w:rFonts w:ascii="Times New Roman" w:hAnsi="Times New Roman" w:cs="Times New Roman" w:eastAsia="Times New Roman" w:hint="default"/>
        </w:rPr>
        <w:t>8.</w:t>
      </w:r>
      <w:r>
        <w:rPr>
          <w:rFonts w:ascii="Times New Roman" w:hAnsi="Times New Roman" w:cs="Times New Roman" w:eastAsia="Times New Roman" w:hint="default"/>
          <w:spacing w:val="-1"/>
        </w:rPr>
        <w:t>0</w:t>
      </w:r>
      <w:r>
        <w:rPr>
          <w:rFonts w:ascii="Times New Roman" w:hAnsi="Times New Roman" w:cs="Times New Roman" w:eastAsia="Times New Roman" w:hint="default"/>
        </w:rPr>
        <w:t>0 </w:t>
      </w:r>
      <w:r>
        <w:rPr>
          <w:spacing w:val="-2"/>
        </w:rPr>
        <w:t>元；</w:t>
      </w:r>
      <w:r>
        <w:rPr/>
      </w:r>
    </w:p>
    <w:p>
      <w:pPr>
        <w:pStyle w:val="BodyText"/>
        <w:spacing w:line="338" w:lineRule="auto" w:before="110"/>
        <w:ind w:left="851" w:right="1677"/>
        <w:jc w:val="left"/>
      </w:pPr>
      <w:r>
        <w:rPr>
          <w:rFonts w:ascii="Times New Roman" w:hAnsi="Times New Roman" w:cs="Times New Roman" w:eastAsia="Times New Roman" w:hint="default"/>
        </w:rPr>
        <w:t>5</w:t>
      </w:r>
      <w:r>
        <w:rPr/>
        <w:t>、公司重大资产重组购入资产北京圣非凡电子系统技术开发有限公司</w:t>
      </w:r>
      <w:r>
        <w:rPr>
          <w:spacing w:val="-54"/>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年度扣 </w:t>
      </w:r>
      <w:r>
        <w:rPr>
          <w:spacing w:val="-2"/>
        </w:rPr>
        <w:t>除非经常性损益归属于母公司所有者的净利润未达业绩承诺，根据协议条款的约定，</w:t>
      </w:r>
      <w:r>
        <w:rPr>
          <w:spacing w:val="-97"/>
        </w:rPr>
        <w:t> </w:t>
      </w:r>
      <w:r>
        <w:rPr>
          <w:spacing w:val="-97"/>
        </w:rPr>
      </w:r>
      <w:r>
        <w:rPr/>
        <w:t>公司有权以</w:t>
      </w:r>
      <w:r>
        <w:rPr>
          <w:spacing w:val="-54"/>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元的总价格回购中国电子信息产业集团有限公司持有的本公司部分股</w:t>
      </w:r>
    </w:p>
    <w:p>
      <w:pPr>
        <w:pStyle w:val="BodyText"/>
        <w:spacing w:line="240" w:lineRule="auto" w:before="14"/>
        <w:ind w:left="851" w:right="1793"/>
        <w:jc w:val="left"/>
      </w:pPr>
      <w:r>
        <w:rPr/>
        <w:t>份。本公司据此在报告期内确认了库存股</w:t>
      </w:r>
      <w:r>
        <w:rPr>
          <w:spacing w:val="-57"/>
        </w:rPr>
        <w:t> </w:t>
      </w:r>
      <w:r>
        <w:rPr>
          <w:rFonts w:ascii="Times New Roman" w:hAnsi="Times New Roman" w:cs="Times New Roman" w:eastAsia="Times New Roman" w:hint="default"/>
        </w:rPr>
        <w:t>7,983,507</w:t>
      </w:r>
      <w:r>
        <w:rPr>
          <w:rFonts w:ascii="Times New Roman" w:hAnsi="Times New Roman" w:cs="Times New Roman" w:eastAsia="Times New Roman" w:hint="default"/>
          <w:spacing w:val="-4"/>
        </w:rPr>
        <w:t> </w:t>
      </w:r>
      <w:r>
        <w:rPr/>
        <w:t>股，同时增加资本公积</w:t>
      </w:r>
      <w:r>
        <w:rPr>
          <w:rFonts w:ascii="Times New Roman" w:hAnsi="Times New Roman" w:cs="Times New Roman" w:eastAsia="Times New Roman" w:hint="default"/>
        </w:rPr>
        <w:t>-</w:t>
      </w:r>
      <w:r>
        <w:rPr/>
        <w:t>其他资</w:t>
      </w:r>
    </w:p>
    <w:p>
      <w:pPr>
        <w:pStyle w:val="BodyText"/>
        <w:spacing w:line="240" w:lineRule="auto"/>
        <w:ind w:left="851" w:right="1682"/>
        <w:jc w:val="left"/>
      </w:pPr>
      <w:r>
        <w:rPr/>
        <w:t>本公积</w:t>
      </w:r>
      <w:r>
        <w:rPr>
          <w:spacing w:val="-65"/>
        </w:rPr>
        <w:t> </w:t>
      </w:r>
      <w:r>
        <w:rPr>
          <w:rFonts w:ascii="Times New Roman" w:hAnsi="Times New Roman" w:cs="Times New Roman" w:eastAsia="Times New Roman" w:hint="default"/>
        </w:rPr>
        <w:t>104,104,930.28</w:t>
      </w:r>
      <w:r>
        <w:rPr>
          <w:rFonts w:ascii="Times New Roman" w:hAnsi="Times New Roman" w:cs="Times New Roman" w:eastAsia="Times New Roman" w:hint="default"/>
          <w:spacing w:val="-12"/>
        </w:rPr>
        <w:t> </w:t>
      </w:r>
      <w:r>
        <w:rPr/>
        <w:t>元、冲减资本公积</w:t>
      </w:r>
      <w:r>
        <w:rPr>
          <w:rFonts w:ascii="Times New Roman" w:hAnsi="Times New Roman" w:cs="Times New Roman" w:eastAsia="Times New Roman" w:hint="default"/>
        </w:rPr>
        <w:t>-</w:t>
      </w:r>
      <w:r>
        <w:rPr/>
        <w:t>资本溢价</w:t>
      </w:r>
      <w:r>
        <w:rPr>
          <w:spacing w:val="-65"/>
        </w:rPr>
        <w:t> </w:t>
      </w:r>
      <w:r>
        <w:rPr>
          <w:rFonts w:ascii="Times New Roman" w:hAnsi="Times New Roman" w:cs="Times New Roman" w:eastAsia="Times New Roman" w:hint="default"/>
        </w:rPr>
        <w:t>96,121,424.28</w:t>
      </w:r>
      <w:r>
        <w:rPr>
          <w:rFonts w:ascii="Times New Roman" w:hAnsi="Times New Roman" w:cs="Times New Roman" w:eastAsia="Times New Roman" w:hint="default"/>
          <w:spacing w:val="-11"/>
        </w:rPr>
        <w:t> </w:t>
      </w:r>
      <w:r>
        <w:rPr/>
        <w:t>元；因资本溢价不</w:t>
      </w:r>
    </w:p>
    <w:p>
      <w:pPr>
        <w:pStyle w:val="BodyText"/>
        <w:spacing w:line="331" w:lineRule="auto"/>
        <w:ind w:left="851" w:right="1791"/>
        <w:jc w:val="left"/>
        <w:rPr>
          <w:rFonts w:ascii="Times New Roman" w:hAnsi="Times New Roman" w:cs="Times New Roman" w:eastAsia="Times New Roman" w:hint="default"/>
        </w:rPr>
      </w:pPr>
      <w:r>
        <w:rPr/>
        <w:t>足冲减，冲减盈余公积</w:t>
      </w:r>
      <w:r>
        <w:rPr>
          <w:spacing w:val="-54"/>
        </w:rPr>
        <w:t> </w:t>
      </w:r>
      <w:r>
        <w:rPr>
          <w:rFonts w:ascii="Times New Roman" w:hAnsi="Times New Roman" w:cs="Times New Roman" w:eastAsia="Times New Roman" w:hint="default"/>
        </w:rPr>
        <w:t>96,121,424.28</w:t>
      </w:r>
      <w:r>
        <w:rPr>
          <w:rFonts w:ascii="Times New Roman" w:hAnsi="Times New Roman" w:cs="Times New Roman" w:eastAsia="Times New Roman" w:hint="default"/>
          <w:spacing w:val="-2"/>
        </w:rPr>
        <w:t> </w:t>
      </w:r>
      <w:r>
        <w:rPr/>
        <w:t>元； </w:t>
      </w:r>
      <w:r>
        <w:rPr>
          <w:rFonts w:ascii="Times New Roman" w:hAnsi="Times New Roman" w:cs="Times New Roman" w:eastAsia="Times New Roman" w:hint="default"/>
          <w:spacing w:val="-2"/>
        </w:rPr>
        <w:t>6</w:t>
      </w:r>
      <w:r>
        <w:rPr>
          <w:spacing w:val="-2"/>
        </w:rPr>
        <w:t>、本期子公司中国长城计算机（香港）控股有限公司购买子公司柏怡国际控股有限</w:t>
      </w:r>
      <w:r>
        <w:rPr>
          <w:spacing w:val="-99"/>
        </w:rPr>
        <w:t> </w:t>
      </w:r>
      <w:r>
        <w:rPr>
          <w:spacing w:val="-99"/>
        </w:rPr>
      </w:r>
      <w:r>
        <w:rPr/>
        <w:t>公司少数股权支付对价超过取得净资产差额减少资本公积</w:t>
      </w:r>
      <w:r>
        <w:rPr>
          <w:rFonts w:ascii="Times New Roman" w:hAnsi="Times New Roman" w:cs="Times New Roman" w:eastAsia="Times New Roman" w:hint="default"/>
        </w:rPr>
        <w:t>-</w:t>
      </w:r>
      <w:r>
        <w:rPr/>
        <w:t>资本溢价</w:t>
      </w:r>
      <w:r>
        <w:rPr>
          <w:spacing w:val="-59"/>
        </w:rPr>
        <w:t> </w:t>
      </w:r>
      <w:r>
        <w:rPr>
          <w:rFonts w:ascii="Times New Roman" w:hAnsi="Times New Roman" w:cs="Times New Roman" w:eastAsia="Times New Roman" w:hint="default"/>
        </w:rPr>
        <w:t>8,378,131.94</w:t>
      </w:r>
    </w:p>
    <w:p>
      <w:pPr>
        <w:pStyle w:val="BodyText"/>
        <w:spacing w:line="240" w:lineRule="auto" w:before="20"/>
        <w:ind w:left="851" w:right="3681"/>
        <w:jc w:val="left"/>
      </w:pPr>
      <w:r>
        <w:rPr/>
        <w:t>元；因资本溢价不足冲减，冲减盈余公积</w:t>
      </w:r>
      <w:r>
        <w:rPr>
          <w:spacing w:val="-56"/>
        </w:rPr>
        <w:t> </w:t>
      </w:r>
      <w:r>
        <w:rPr>
          <w:rFonts w:ascii="Times New Roman" w:hAnsi="Times New Roman" w:cs="Times New Roman" w:eastAsia="Times New Roman" w:hint="default"/>
        </w:rPr>
        <w:t>6,380,170.30</w:t>
      </w:r>
      <w:r>
        <w:rPr>
          <w:rFonts w:ascii="Times New Roman" w:hAnsi="Times New Roman" w:cs="Times New Roman" w:eastAsia="Times New Roman" w:hint="default"/>
          <w:spacing w:val="-3"/>
        </w:rPr>
        <w:t> </w:t>
      </w:r>
      <w:r>
        <w:rPr/>
        <w:t>元。</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pStyle w:val="Heading5"/>
        <w:spacing w:line="240" w:lineRule="auto" w:before="0"/>
        <w:ind w:right="3681"/>
        <w:jc w:val="left"/>
        <w:rPr>
          <w:b w:val="0"/>
          <w:bCs w:val="0"/>
        </w:rPr>
      </w:pPr>
      <w:r>
        <w:rPr>
          <w:rFonts w:ascii="Times New Roman" w:hAnsi="Times New Roman" w:cs="Times New Roman" w:eastAsia="Times New Roman" w:hint="default"/>
        </w:rPr>
        <w:t>(</w:t>
      </w:r>
      <w:r>
        <w:rPr/>
        <w:t>三十五</w:t>
      </w:r>
      <w:r>
        <w:rPr>
          <w:rFonts w:ascii="Times New Roman" w:hAnsi="Times New Roman" w:cs="Times New Roman" w:eastAsia="Times New Roman" w:hint="default"/>
        </w:rPr>
        <w:t>)</w:t>
      </w:r>
      <w:r>
        <w:rPr>
          <w:rFonts w:ascii="Times New Roman" w:hAnsi="Times New Roman" w:cs="Times New Roman" w:eastAsia="Times New Roman" w:hint="default"/>
          <w:spacing w:val="24"/>
        </w:rPr>
        <w:t> </w:t>
      </w:r>
      <w:r>
        <w:rPr/>
        <w:t>库存股</w:t>
      </w:r>
      <w:r>
        <w:rPr>
          <w:b w:val="0"/>
          <w:bCs w:val="0"/>
        </w:rPr>
      </w:r>
    </w:p>
    <w:p>
      <w:pPr>
        <w:spacing w:line="1111" w:lineRule="exact"/>
        <w:ind w:left="720" w:right="0" w:firstLine="0"/>
        <w:rPr>
          <w:rFonts w:ascii="宋体" w:hAnsi="宋体" w:cs="宋体" w:eastAsia="宋体" w:hint="default"/>
          <w:sz w:val="20"/>
          <w:szCs w:val="20"/>
        </w:rPr>
      </w:pPr>
      <w:r>
        <w:rPr>
          <w:rFonts w:ascii="宋体" w:hAnsi="宋体" w:cs="宋体" w:eastAsia="宋体" w:hint="default"/>
          <w:position w:val="-21"/>
          <w:sz w:val="20"/>
          <w:szCs w:val="20"/>
        </w:rPr>
        <w:pict>
          <v:group style="width:411.6pt;height:55.6pt;mso-position-horizontal-relative:char;mso-position-vertical-relative:line" coordorigin="0,0" coordsize="8232,1112">
            <v:group style="position:absolute;left:29;top:15;width:2056;height:2" coordorigin="29,15" coordsize="2056,2">
              <v:shape style="position:absolute;left:29;top:15;width:2056;height:2" coordorigin="29,15" coordsize="2056,0" path="m29,15l2085,15e" filled="false" stroked="true" strokeweight="1.5pt" strokecolor="#000000">
                <v:path arrowok="t"/>
              </v:shape>
              <v:shape style="position:absolute;left:2085;top:30;width:10;height:28" type="#_x0000_t75" stroked="false">
                <v:imagedata r:id="rId67" o:title=""/>
              </v:shape>
            </v:group>
            <v:group style="position:absolute;left:2085;top:15;width:1532;height:2" coordorigin="2085,15" coordsize="1532,2">
              <v:shape style="position:absolute;left:2085;top:15;width:1532;height:2" coordorigin="2085,15" coordsize="1532,0" path="m2085,15l3616,15e" filled="false" stroked="true" strokeweight="1.5pt" strokecolor="#000000">
                <v:path arrowok="t"/>
              </v:shape>
              <v:shape style="position:absolute;left:3616;top:30;width:10;height:28" type="#_x0000_t75" stroked="false">
                <v:imagedata r:id="rId67" o:title=""/>
              </v:shape>
            </v:group>
            <v:group style="position:absolute;left:3616;top:15;width:1533;height:2" coordorigin="3616,15" coordsize="1533,2">
              <v:shape style="position:absolute;left:3616;top:15;width:1533;height:2" coordorigin="3616,15" coordsize="1533,0" path="m3616,15l5149,15e" filled="false" stroked="true" strokeweight="1.5pt" strokecolor="#000000">
                <v:path arrowok="t"/>
              </v:shape>
              <v:shape style="position:absolute;left:5149;top:30;width:10;height:28" type="#_x0000_t75" stroked="false">
                <v:imagedata r:id="rId67" o:title=""/>
              </v:shape>
            </v:group>
            <v:group style="position:absolute;left:5149;top:15;width:30;height:2" coordorigin="5149,15" coordsize="30,2">
              <v:shape style="position:absolute;left:5149;top:15;width:30;height:2" coordorigin="5149,15" coordsize="30,0" path="m5149,15l5179,15e" filled="false" stroked="true" strokeweight="1.5pt" strokecolor="#000000">
                <v:path arrowok="t"/>
              </v:shape>
            </v:group>
            <v:group style="position:absolute;left:5179;top:15;width:1503;height:2" coordorigin="5179,15" coordsize="1503,2">
              <v:shape style="position:absolute;left:5179;top:15;width:1503;height:2" coordorigin="5179,15" coordsize="1503,0" path="m5179,15l6681,15e" filled="false" stroked="true" strokeweight="1.5pt" strokecolor="#000000">
                <v:path arrowok="t"/>
              </v:shape>
              <v:shape style="position:absolute;left:6681;top:30;width:10;height:28" type="#_x0000_t75" stroked="false">
                <v:imagedata r:id="rId67" o:title=""/>
              </v:shape>
            </v:group>
            <v:group style="position:absolute;left:6681;top:15;width:1536;height:2" coordorigin="6681,15" coordsize="1536,2">
              <v:shape style="position:absolute;left:6681;top:15;width:1536;height:2" coordorigin="6681,15" coordsize="1536,0" path="m6681,15l8217,15e" filled="false" stroked="true" strokeweight="1.5pt" strokecolor="#000000">
                <v:path arrowok="t"/>
              </v:shape>
              <v:shape style="position:absolute;left:2066;top:38;width:4644;height:355" type="#_x0000_t75" stroked="false">
                <v:imagedata r:id="rId290" o:title=""/>
              </v:shape>
            </v:group>
            <v:group style="position:absolute;left:15;top:1096;width:2070;height:2" coordorigin="15,1096" coordsize="2070,2">
              <v:shape style="position:absolute;left:15;top:1096;width:2070;height:2" coordorigin="15,1096" coordsize="2070,0" path="m15,1096l2085,1096e" filled="false" stroked="true" strokeweight="1.5pt" strokecolor="#000000">
                <v:path arrowok="t"/>
              </v:shape>
            </v:group>
            <v:group style="position:absolute;left:2085;top:1096;width:1532;height:2" coordorigin="2085,1096" coordsize="1532,2">
              <v:shape style="position:absolute;left:2085;top:1096;width:1532;height:2" coordorigin="2085,1096" coordsize="1532,0" path="m2085,1096l3616,1096e" filled="false" stroked="true" strokeweight="1.5pt" strokecolor="#000000">
                <v:path arrowok="t"/>
              </v:shape>
            </v:group>
            <v:group style="position:absolute;left:3616;top:1096;width:1533;height:2" coordorigin="3616,1096" coordsize="1533,2">
              <v:shape style="position:absolute;left:3616;top:1096;width:1533;height:2" coordorigin="3616,1096" coordsize="1533,0" path="m3616,1096l5149,1096e" filled="false" stroked="true" strokeweight="1.5pt" strokecolor="#000000">
                <v:path arrowok="t"/>
              </v:shape>
            </v:group>
            <v:group style="position:absolute;left:5149;top:1096;width:30;height:2" coordorigin="5149,1096" coordsize="30,2">
              <v:shape style="position:absolute;left:5149;top:1096;width:30;height:2" coordorigin="5149,1096" coordsize="30,0" path="m5149,1096l5179,1096e" filled="false" stroked="true" strokeweight="1.5pt" strokecolor="#000000">
                <v:path arrowok="t"/>
              </v:shape>
            </v:group>
            <v:group style="position:absolute;left:5179;top:1096;width:1503;height:2" coordorigin="5179,1096" coordsize="1503,2">
              <v:shape style="position:absolute;left:5179;top:1096;width:1503;height:2" coordorigin="5179,1096" coordsize="1503,0" path="m5179,1096l6681,1096e" filled="false" stroked="true" strokeweight="1.5pt" strokecolor="#000000">
                <v:path arrowok="t"/>
              </v:shape>
              <v:shape style="position:absolute;left:17;top:362;width:8213;height:720" type="#_x0000_t75" stroked="false">
                <v:imagedata r:id="rId291" o:title=""/>
              </v:shape>
            </v:group>
            <v:group style="position:absolute;left:6681;top:1096;width:1536;height:2" coordorigin="6681,1096" coordsize="1536,2">
              <v:shape style="position:absolute;left:6681;top:1096;width:1536;height:2" coordorigin="6681,1096" coordsize="1536,0" path="m6681,1096l8217,1096e" filled="false" stroked="true" strokeweight="1.5pt" strokecolor="#000000">
                <v:path arrowok="t"/>
              </v:shape>
              <v:shape style="position:absolute;left:899;top:122;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项目</w:t>
                      </w:r>
                      <w:r>
                        <w:rPr>
                          <w:rFonts w:ascii="宋体" w:hAnsi="宋体" w:cs="宋体" w:eastAsia="宋体" w:hint="default"/>
                          <w:sz w:val="16"/>
                          <w:szCs w:val="16"/>
                        </w:rPr>
                      </w:r>
                    </w:p>
                  </w:txbxContent>
                </v:textbox>
                <w10:wrap type="none"/>
              </v:shape>
              <v:shape style="position:absolute;left:2535;top:122;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年初余额</w:t>
                      </w:r>
                      <w:r>
                        <w:rPr>
                          <w:rFonts w:ascii="宋体" w:hAnsi="宋体" w:cs="宋体" w:eastAsia="宋体" w:hint="default"/>
                          <w:sz w:val="16"/>
                          <w:szCs w:val="16"/>
                        </w:rPr>
                      </w:r>
                    </w:p>
                  </w:txbxContent>
                </v:textbox>
                <w10:wrap type="none"/>
              </v:shape>
              <v:shape style="position:absolute;left:4067;top:122;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本期增加</w:t>
                      </w:r>
                      <w:r>
                        <w:rPr>
                          <w:rFonts w:ascii="宋体" w:hAnsi="宋体" w:cs="宋体" w:eastAsia="宋体" w:hint="default"/>
                          <w:sz w:val="16"/>
                          <w:szCs w:val="16"/>
                        </w:rPr>
                      </w:r>
                    </w:p>
                  </w:txbxContent>
                </v:textbox>
                <w10:wrap type="none"/>
              </v:shape>
              <v:shape style="position:absolute;left:5600;top:122;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本期减少</w:t>
                      </w:r>
                      <w:r>
                        <w:rPr>
                          <w:rFonts w:ascii="宋体" w:hAnsi="宋体" w:cs="宋体" w:eastAsia="宋体" w:hint="default"/>
                          <w:sz w:val="16"/>
                          <w:szCs w:val="16"/>
                        </w:rPr>
                      </w:r>
                    </w:p>
                  </w:txbxContent>
                </v:textbox>
                <w10:wrap type="none"/>
              </v:shape>
              <v:shape style="position:absolute;left:7131;top:122;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137;top:475;width:111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圣非凡业绩补偿</w:t>
                      </w:r>
                      <w:r>
                        <w:rPr>
                          <w:rFonts w:ascii="宋体" w:hAnsi="宋体" w:cs="宋体" w:eastAsia="宋体" w:hint="default"/>
                          <w:sz w:val="16"/>
                          <w:szCs w:val="16"/>
                        </w:rPr>
                      </w:r>
                    </w:p>
                  </w:txbxContent>
                </v:textbox>
                <w10:wrap type="none"/>
              </v:shape>
              <v:shape style="position:absolute;left:2673;top:490;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7,903,899.00</w:t>
                      </w:r>
                      <w:r>
                        <w:rPr>
                          <w:rFonts w:ascii="Times New Roman"/>
                          <w:sz w:val="16"/>
                        </w:rPr>
                      </w:r>
                    </w:p>
                  </w:txbxContent>
                </v:textbox>
                <w10:wrap type="none"/>
              </v:shape>
              <v:shape style="position:absolute;left:4205;top:490;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7,983,507.00</w:t>
                      </w:r>
                      <w:r>
                        <w:rPr>
                          <w:rFonts w:ascii="Times New Roman"/>
                          <w:sz w:val="16"/>
                        </w:rPr>
                      </w:r>
                    </w:p>
                  </w:txbxContent>
                </v:textbox>
                <w10:wrap type="none"/>
              </v:shape>
              <v:shape style="position:absolute;left:5738;top:490;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7,903,899.00</w:t>
                      </w:r>
                      <w:r>
                        <w:rPr>
                          <w:rFonts w:ascii="Times New Roman"/>
                          <w:sz w:val="16"/>
                        </w:rPr>
                      </w:r>
                    </w:p>
                  </w:txbxContent>
                </v:textbox>
                <w10:wrap type="none"/>
              </v:shape>
              <v:shape style="position:absolute;left:7269;top:490;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7,983,507.00</w:t>
                      </w:r>
                      <w:r>
                        <w:rPr>
                          <w:rFonts w:ascii="Times New Roman"/>
                          <w:sz w:val="16"/>
                        </w:rPr>
                      </w:r>
                    </w:p>
                  </w:txbxContent>
                </v:textbox>
                <w10:wrap type="none"/>
              </v:shape>
              <v:shape style="position:absolute;left:899;top:829;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合计</w:t>
                      </w:r>
                      <w:r>
                        <w:rPr>
                          <w:rFonts w:ascii="宋体" w:hAnsi="宋体" w:cs="宋体" w:eastAsia="宋体" w:hint="default"/>
                          <w:sz w:val="16"/>
                          <w:szCs w:val="16"/>
                        </w:rPr>
                      </w:r>
                    </w:p>
                  </w:txbxContent>
                </v:textbox>
                <w10:wrap type="none"/>
              </v:shape>
              <v:shape style="position:absolute;left:2673;top:842;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7,903,899.00</w:t>
                      </w:r>
                      <w:r>
                        <w:rPr>
                          <w:rFonts w:ascii="Times New Roman"/>
                          <w:sz w:val="16"/>
                        </w:rPr>
                      </w:r>
                    </w:p>
                  </w:txbxContent>
                </v:textbox>
                <w10:wrap type="none"/>
              </v:shape>
              <v:shape style="position:absolute;left:4205;top:842;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7,983,507.00</w:t>
                      </w:r>
                      <w:r>
                        <w:rPr>
                          <w:rFonts w:ascii="Times New Roman"/>
                          <w:sz w:val="16"/>
                        </w:rPr>
                      </w:r>
                    </w:p>
                  </w:txbxContent>
                </v:textbox>
                <w10:wrap type="none"/>
              </v:shape>
              <v:shape style="position:absolute;left:5738;top:842;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7,903,899.00</w:t>
                      </w:r>
                      <w:r>
                        <w:rPr>
                          <w:rFonts w:ascii="Times New Roman"/>
                          <w:sz w:val="16"/>
                        </w:rPr>
                      </w:r>
                    </w:p>
                  </w:txbxContent>
                </v:textbox>
                <w10:wrap type="none"/>
              </v:shape>
              <v:shape style="position:absolute;left:7269;top:842;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7,983,507.00</w:t>
                      </w:r>
                      <w:r>
                        <w:rPr>
                          <w:rFonts w:ascii="Times New Roman"/>
                          <w:sz w:val="16"/>
                        </w:rPr>
                      </w:r>
                    </w:p>
                  </w:txbxContent>
                </v:textbox>
                <w10:wrap type="none"/>
              </v:shape>
            </v:group>
          </v:group>
        </w:pict>
      </w:r>
      <w:r>
        <w:rPr>
          <w:rFonts w:ascii="宋体" w:hAnsi="宋体" w:cs="宋体" w:eastAsia="宋体" w:hint="default"/>
          <w:position w:val="-21"/>
          <w:sz w:val="20"/>
          <w:szCs w:val="20"/>
        </w:rPr>
      </w:r>
    </w:p>
    <w:p>
      <w:pPr>
        <w:spacing w:line="240" w:lineRule="auto" w:before="8"/>
        <w:rPr>
          <w:rFonts w:ascii="宋体" w:hAnsi="宋体" w:cs="宋体" w:eastAsia="宋体" w:hint="default"/>
          <w:b/>
          <w:bCs/>
          <w:sz w:val="5"/>
          <w:szCs w:val="5"/>
        </w:rPr>
      </w:pPr>
    </w:p>
    <w:p>
      <w:pPr>
        <w:pStyle w:val="BodyText"/>
        <w:spacing w:line="240" w:lineRule="auto" w:before="35"/>
        <w:ind w:left="851" w:right="3681"/>
        <w:jc w:val="left"/>
      </w:pPr>
      <w:r>
        <w:rPr/>
        <w:t>说明：本期变动详见（三十四）资本公积说明</w:t>
      </w:r>
      <w:r>
        <w:rPr>
          <w:spacing w:val="-54"/>
        </w:rPr>
        <w:t> </w:t>
      </w:r>
      <w:r>
        <w:rPr>
          <w:rFonts w:ascii="Times New Roman" w:hAnsi="Times New Roman" w:cs="Times New Roman" w:eastAsia="Times New Roman" w:hint="default"/>
        </w:rPr>
        <w:t>4</w:t>
      </w:r>
      <w:r>
        <w:rPr/>
        <w:t>、</w:t>
      </w:r>
      <w:r>
        <w:rPr>
          <w:rFonts w:ascii="Times New Roman" w:hAnsi="Times New Roman" w:cs="Times New Roman" w:eastAsia="Times New Roman" w:hint="default"/>
        </w:rPr>
        <w:t>5</w:t>
      </w:r>
      <w:r>
        <w:rPr/>
        <w:t>。</w:t>
      </w:r>
    </w:p>
    <w:p>
      <w:pPr>
        <w:spacing w:after="0" w:line="240" w:lineRule="auto"/>
        <w:jc w:val="left"/>
        <w:sectPr>
          <w:pgSz w:w="11910" w:h="16840"/>
          <w:pgMar w:header="0" w:footer="1001" w:top="1520" w:bottom="1200" w:left="1660" w:right="0"/>
        </w:sectPr>
      </w:pPr>
    </w:p>
    <w:p>
      <w:pPr>
        <w:spacing w:before="142"/>
        <w:ind w:left="139" w:right="0" w:firstLine="0"/>
        <w:jc w:val="left"/>
        <w:rPr>
          <w:rFonts w:ascii="宋体" w:hAnsi="宋体" w:cs="宋体" w:eastAsia="宋体" w:hint="default"/>
          <w:sz w:val="18"/>
          <w:szCs w:val="18"/>
        </w:rPr>
      </w:pPr>
      <w:r>
        <w:rPr>
          <w:rFonts w:ascii="宋体" w:hAnsi="宋体" w:cs="宋体" w:eastAsia="宋体" w:hint="default"/>
          <w:sz w:val="18"/>
          <w:szCs w:val="18"/>
        </w:rPr>
        <w:t>财务报表附注</w:t>
      </w:r>
    </w:p>
    <w:p>
      <w:pPr>
        <w:spacing w:line="240" w:lineRule="auto" w:before="7"/>
        <w:rPr>
          <w:rFonts w:ascii="宋体" w:hAnsi="宋体" w:cs="宋体" w:eastAsia="宋体" w:hint="default"/>
          <w:sz w:val="3"/>
          <w:szCs w:val="3"/>
        </w:r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701.5pt;height:.5pt;mso-position-horizontal-relative:char;mso-position-vertical-relative:line" coordorigin="0,0" coordsize="14030,10">
            <v:group style="position:absolute;left:5;top:5;width:14020;height:2" coordorigin="5,5" coordsize="14020,2">
              <v:shape style="position:absolute;left:5;top:5;width:14020;height:2" coordorigin="5,5" coordsize="14020,0" path="m5,5l14024,5e" filled="false" stroked="true" strokeweight=".48pt" strokecolor="#000000">
                <v:path arrowok="t"/>
              </v:shape>
            </v:group>
          </v:group>
        </w:pict>
      </w:r>
      <w:r>
        <w:rPr>
          <w:rFonts w:ascii="宋体" w:hAnsi="宋体" w:cs="宋体" w:eastAsia="宋体" w:hint="default"/>
          <w:sz w:val="2"/>
          <w:szCs w:val="2"/>
        </w:rPr>
      </w:r>
    </w:p>
    <w:p>
      <w:pPr>
        <w:spacing w:line="240" w:lineRule="auto" w:before="6"/>
        <w:rPr>
          <w:rFonts w:ascii="宋体" w:hAnsi="宋体" w:cs="宋体" w:eastAsia="宋体" w:hint="default"/>
          <w:sz w:val="23"/>
          <w:szCs w:val="23"/>
        </w:rPr>
      </w:pPr>
    </w:p>
    <w:p>
      <w:pPr>
        <w:pStyle w:val="Heading5"/>
        <w:spacing w:line="240" w:lineRule="auto"/>
        <w:ind w:left="139" w:right="0"/>
        <w:jc w:val="left"/>
        <w:rPr>
          <w:b w:val="0"/>
          <w:bCs w:val="0"/>
        </w:rPr>
      </w:pPr>
      <w:r>
        <w:rPr/>
        <w:pict>
          <v:group style="position:absolute;margin-left:101.121002pt;margin-top:17.073685pt;width:683.1pt;height:235.35pt;mso-position-horizontal-relative:page;mso-position-vertical-relative:paragraph;z-index:-1378792" coordorigin="2022,341" coordsize="13662,4707">
            <v:group style="position:absolute;left:2052;top:356;width:3783;height:2" coordorigin="2052,356" coordsize="3783,2">
              <v:shape style="position:absolute;left:2052;top:356;width:3783;height:2" coordorigin="2052,356" coordsize="3783,0" path="m2052,356l5834,356e" filled="false" stroked="true" strokeweight="1.5pt" strokecolor="#000000">
                <v:path arrowok="t"/>
              </v:shape>
              <v:shape style="position:absolute;left:5834;top:371;width:10;height:28" type="#_x0000_t75" stroked="false">
                <v:imagedata r:id="rId169" o:title=""/>
              </v:shape>
            </v:group>
            <v:group style="position:absolute;left:5834;top:356;width:1476;height:2" coordorigin="5834,356" coordsize="1476,2">
              <v:shape style="position:absolute;left:5834;top:356;width:1476;height:2" coordorigin="5834,356" coordsize="1476,0" path="m5834,356l7310,356e" filled="false" stroked="true" strokeweight="1.5pt" strokecolor="#000000">
                <v:path arrowok="t"/>
              </v:shape>
              <v:shape style="position:absolute;left:7310;top:371;width:10;height:28" type="#_x0000_t75" stroked="false">
                <v:imagedata r:id="rId169" o:title=""/>
              </v:shape>
            </v:group>
            <v:group style="position:absolute;left:7310;top:356;width:7011;height:2" coordorigin="7310,356" coordsize="7011,2">
              <v:shape style="position:absolute;left:7310;top:356;width:7011;height:2" coordorigin="7310,356" coordsize="7011,0" path="m7310,356l14321,356e" filled="false" stroked="true" strokeweight="1.5pt" strokecolor="#000000">
                <v:path arrowok="t"/>
              </v:shape>
              <v:shape style="position:absolute;left:14321;top:371;width:10;height:28" type="#_x0000_t75" stroked="false">
                <v:imagedata r:id="rId169" o:title=""/>
              </v:shape>
            </v:group>
            <v:group style="position:absolute;left:14321;top:356;width:1340;height:2" coordorigin="14321,356" coordsize="1340,2">
              <v:shape style="position:absolute;left:14321;top:356;width:1340;height:2" coordorigin="14321,356" coordsize="1340,0" path="m14321,356l15660,356e" filled="false" stroked="true" strokeweight="1.5pt" strokecolor="#000000">
                <v:path arrowok="t"/>
              </v:shape>
              <v:shape style="position:absolute;left:5815;top:380;width:8534;height:1122" type="#_x0000_t75" stroked="false">
                <v:imagedata r:id="rId294" o:title=""/>
              </v:shape>
            </v:group>
            <v:group style="position:absolute;left:2037;top:5033;width:3797;height:2" coordorigin="2037,5033" coordsize="3797,2">
              <v:shape style="position:absolute;left:2037;top:5033;width:3797;height:2" coordorigin="2037,5033" coordsize="3797,0" path="m2037,5033l5834,5033e" filled="false" stroked="true" strokeweight="1.5pt" strokecolor="#000000">
                <v:path arrowok="t"/>
              </v:shape>
            </v:group>
            <v:group style="position:absolute;left:5834;top:5033;width:1476;height:2" coordorigin="5834,5033" coordsize="1476,2">
              <v:shape style="position:absolute;left:5834;top:5033;width:1476;height:2" coordorigin="5834,5033" coordsize="1476,0" path="m5834,5033l7310,5033e" filled="false" stroked="true" strokeweight="1.5pt" strokecolor="#000000">
                <v:path arrowok="t"/>
              </v:shape>
            </v:group>
            <v:group style="position:absolute;left:7310;top:5033;width:1533;height:2" coordorigin="7310,5033" coordsize="1533,2">
              <v:shape style="position:absolute;left:7310;top:5033;width:1533;height:2" coordorigin="7310,5033" coordsize="1533,0" path="m7310,5033l8843,5033e" filled="false" stroked="true" strokeweight="1.5pt" strokecolor="#000000">
                <v:path arrowok="t"/>
              </v:shape>
            </v:group>
            <v:group style="position:absolute;left:8843;top:5033;width:1341;height:2" coordorigin="8843,5033" coordsize="1341,2">
              <v:shape style="position:absolute;left:8843;top:5033;width:1341;height:2" coordorigin="8843,5033" coordsize="1341,0" path="m8843,5033l10183,5033e" filled="false" stroked="true" strokeweight="1.5pt" strokecolor="#000000">
                <v:path arrowok="t"/>
              </v:shape>
            </v:group>
            <v:group style="position:absolute;left:10183;top:5033;width:1402;height:2" coordorigin="10183,5033" coordsize="1402,2">
              <v:shape style="position:absolute;left:10183;top:5033;width:1402;height:2" coordorigin="10183,5033" coordsize="1402,0" path="m10183,5033l11585,5033e" filled="false" stroked="true" strokeweight="1.5pt" strokecolor="#000000">
                <v:path arrowok="t"/>
              </v:shape>
            </v:group>
            <v:group style="position:absolute;left:11585;top:5033;width:1536;height:2" coordorigin="11585,5033" coordsize="1536,2">
              <v:shape style="position:absolute;left:11585;top:5033;width:1536;height:2" coordorigin="11585,5033" coordsize="1536,0" path="m11585,5033l13121,5033e" filled="false" stroked="true" strokeweight="1.5pt" strokecolor="#000000">
                <v:path arrowok="t"/>
              </v:shape>
            </v:group>
            <v:group style="position:absolute;left:13121;top:5033;width:1200;height:2" coordorigin="13121,5033" coordsize="1200,2">
              <v:shape style="position:absolute;left:13121;top:5033;width:1200;height:2" coordorigin="13121,5033" coordsize="1200,0" path="m13121,5033l14321,5033e" filled="false" stroked="true" strokeweight="1.5pt" strokecolor="#000000">
                <v:path arrowok="t"/>
              </v:shape>
              <v:shape style="position:absolute;left:2033;top:1463;width:13651;height:3554" type="#_x0000_t75" stroked="false">
                <v:imagedata r:id="rId295" o:title=""/>
              </v:shape>
            </v:group>
            <v:group style="position:absolute;left:14321;top:5033;width:1340;height:2" coordorigin="14321,5033" coordsize="1340,2">
              <v:shape style="position:absolute;left:14321;top:5033;width:1340;height:2" coordorigin="14321,5033" coordsize="1340,0" path="m14321,5033l15660,5033e" filled="false" stroked="true" strokeweight="1.5pt" strokecolor="#000000">
                <v:path arrowok="t"/>
              </v:shape>
              <v:shape style="position:absolute;left:10419;top:462;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本期发生额</w:t>
                      </w:r>
                      <w:r>
                        <w:rPr>
                          <w:rFonts w:ascii="宋体" w:hAnsi="宋体" w:cs="宋体" w:eastAsia="宋体" w:hint="default"/>
                          <w:sz w:val="16"/>
                          <w:szCs w:val="16"/>
                        </w:rPr>
                      </w:r>
                    </w:p>
                  </w:txbxContent>
                </v:textbox>
                <w10:wrap type="none"/>
              </v:shape>
              <v:shape style="position:absolute;left:3785;top:846;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项目</w:t>
                      </w:r>
                      <w:r>
                        <w:rPr>
                          <w:rFonts w:ascii="宋体" w:hAnsi="宋体" w:cs="宋体" w:eastAsia="宋体" w:hint="default"/>
                          <w:sz w:val="16"/>
                          <w:szCs w:val="16"/>
                        </w:rPr>
                      </w:r>
                    </w:p>
                  </w:txbxContent>
                </v:textbox>
                <w10:wrap type="none"/>
              </v:shape>
              <v:shape style="position:absolute;left:6257;top:846;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年初余额</w:t>
                      </w:r>
                      <w:r>
                        <w:rPr>
                          <w:rFonts w:ascii="宋体" w:hAnsi="宋体" w:cs="宋体" w:eastAsia="宋体" w:hint="default"/>
                          <w:sz w:val="16"/>
                          <w:szCs w:val="16"/>
                        </w:rPr>
                      </w:r>
                    </w:p>
                  </w:txbxContent>
                </v:textbox>
                <w10:wrap type="none"/>
              </v:shape>
              <v:shape style="position:absolute;left:7441;top:920;width:1280;height:368" type="#_x0000_t202" filled="false" stroked="false">
                <v:textbox inset="0,0,0,0">
                  <w:txbxContent>
                    <w:p>
                      <w:pPr>
                        <w:spacing w:line="159" w:lineRule="exact" w:before="0"/>
                        <w:ind w:left="0" w:right="0" w:firstLine="0"/>
                        <w:jc w:val="center"/>
                        <w:rPr>
                          <w:rFonts w:ascii="宋体" w:hAnsi="宋体" w:cs="宋体" w:eastAsia="宋体" w:hint="default"/>
                          <w:sz w:val="16"/>
                          <w:szCs w:val="16"/>
                        </w:rPr>
                      </w:pPr>
                      <w:r>
                        <w:rPr>
                          <w:rFonts w:ascii="宋体" w:hAnsi="宋体" w:cs="宋体" w:eastAsia="宋体" w:hint="default"/>
                          <w:w w:val="95"/>
                          <w:sz w:val="16"/>
                          <w:szCs w:val="16"/>
                        </w:rPr>
                        <w:t>本期所得税前发生</w:t>
                      </w:r>
                      <w:r>
                        <w:rPr>
                          <w:rFonts w:ascii="宋体" w:hAnsi="宋体" w:cs="宋体" w:eastAsia="宋体" w:hint="default"/>
                          <w:sz w:val="16"/>
                          <w:szCs w:val="16"/>
                        </w:rPr>
                      </w:r>
                    </w:p>
                    <w:p>
                      <w:pPr>
                        <w:spacing w:line="208" w:lineRule="exact" w:before="0"/>
                        <w:ind w:left="1" w:right="0" w:firstLine="0"/>
                        <w:jc w:val="center"/>
                        <w:rPr>
                          <w:rFonts w:ascii="宋体" w:hAnsi="宋体" w:cs="宋体" w:eastAsia="宋体" w:hint="default"/>
                          <w:sz w:val="16"/>
                          <w:szCs w:val="16"/>
                        </w:rPr>
                      </w:pPr>
                      <w:r>
                        <w:rPr>
                          <w:rFonts w:ascii="宋体" w:hAnsi="宋体" w:cs="宋体" w:eastAsia="宋体" w:hint="default"/>
                          <w:w w:val="99"/>
                          <w:sz w:val="16"/>
                          <w:szCs w:val="16"/>
                        </w:rPr>
                        <w:t>额</w:t>
                      </w:r>
                      <w:r>
                        <w:rPr>
                          <w:rFonts w:ascii="宋体" w:hAnsi="宋体" w:cs="宋体" w:eastAsia="宋体" w:hint="default"/>
                          <w:sz w:val="16"/>
                          <w:szCs w:val="16"/>
                        </w:rPr>
                      </w:r>
                    </w:p>
                  </w:txbxContent>
                </v:textbox>
                <w10:wrap type="none"/>
              </v:shape>
              <v:shape style="position:absolute;left:8958;top:816;width:1119;height:366" type="#_x0000_t202" filled="false" stroked="false">
                <v:textbox inset="0,0,0,0">
                  <w:txbxContent>
                    <w:p>
                      <w:pPr>
                        <w:spacing w:line="158"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减：前期计入其</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他综合收益当期</w:t>
                      </w:r>
                      <w:r>
                        <w:rPr>
                          <w:rFonts w:ascii="宋体" w:hAnsi="宋体" w:cs="宋体" w:eastAsia="宋体" w:hint="default"/>
                          <w:sz w:val="16"/>
                          <w:szCs w:val="16"/>
                        </w:rPr>
                      </w:r>
                    </w:p>
                  </w:txbxContent>
                </v:textbox>
                <w10:wrap type="none"/>
              </v:shape>
              <v:shape style="position:absolute;left:14671;top:846;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10328;top:1024;width:111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减：所得税费用</w:t>
                      </w:r>
                      <w:r>
                        <w:rPr>
                          <w:rFonts w:ascii="宋体" w:hAnsi="宋体" w:cs="宋体" w:eastAsia="宋体" w:hint="default"/>
                          <w:sz w:val="16"/>
                          <w:szCs w:val="16"/>
                        </w:rPr>
                      </w:r>
                    </w:p>
                  </w:txbxContent>
                </v:textbox>
                <w10:wrap type="none"/>
              </v:shape>
              <v:shape style="position:absolute;left:11717;top:1024;width:12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税后归属于母公司</w:t>
                      </w:r>
                      <w:r>
                        <w:rPr>
                          <w:rFonts w:ascii="宋体" w:hAnsi="宋体" w:cs="宋体" w:eastAsia="宋体" w:hint="default"/>
                          <w:sz w:val="16"/>
                          <w:szCs w:val="16"/>
                        </w:rPr>
                      </w:r>
                    </w:p>
                  </w:txbxContent>
                </v:textbox>
                <w10:wrap type="none"/>
              </v:shape>
              <v:shape style="position:absolute;left:13244;top:920;width:959;height:368" type="#_x0000_t202" filled="false" stroked="false">
                <v:textbox inset="0,0,0,0">
                  <w:txbxContent>
                    <w:p>
                      <w:pPr>
                        <w:spacing w:line="159" w:lineRule="exact" w:before="0"/>
                        <w:ind w:left="0" w:right="0" w:firstLine="0"/>
                        <w:jc w:val="center"/>
                        <w:rPr>
                          <w:rFonts w:ascii="宋体" w:hAnsi="宋体" w:cs="宋体" w:eastAsia="宋体" w:hint="default"/>
                          <w:sz w:val="16"/>
                          <w:szCs w:val="16"/>
                        </w:rPr>
                      </w:pPr>
                      <w:r>
                        <w:rPr>
                          <w:rFonts w:ascii="宋体" w:hAnsi="宋体" w:cs="宋体" w:eastAsia="宋体" w:hint="default"/>
                          <w:w w:val="95"/>
                          <w:sz w:val="16"/>
                          <w:szCs w:val="16"/>
                        </w:rPr>
                        <w:t>税后归属于少</w:t>
                      </w:r>
                      <w:r>
                        <w:rPr>
                          <w:rFonts w:ascii="宋体" w:hAnsi="宋体" w:cs="宋体" w:eastAsia="宋体" w:hint="default"/>
                          <w:sz w:val="16"/>
                          <w:szCs w:val="16"/>
                        </w:rPr>
                      </w:r>
                    </w:p>
                    <w:p>
                      <w:pPr>
                        <w:spacing w:line="208" w:lineRule="exact" w:before="0"/>
                        <w:ind w:left="0" w:right="0" w:firstLine="0"/>
                        <w:jc w:val="center"/>
                        <w:rPr>
                          <w:rFonts w:ascii="宋体" w:hAnsi="宋体" w:cs="宋体" w:eastAsia="宋体" w:hint="default"/>
                          <w:sz w:val="16"/>
                          <w:szCs w:val="16"/>
                        </w:rPr>
                      </w:pPr>
                      <w:r>
                        <w:rPr>
                          <w:rFonts w:ascii="宋体" w:hAnsi="宋体" w:cs="宋体" w:eastAsia="宋体" w:hint="default"/>
                          <w:sz w:val="16"/>
                          <w:szCs w:val="16"/>
                        </w:rPr>
                        <w:t>数股东</w:t>
                      </w:r>
                    </w:p>
                  </w:txbxContent>
                </v:textbox>
                <w10:wrap type="none"/>
              </v:shape>
              <v:shape style="position:absolute;left:2160;top:1584;width:3358;height:3341" type="#_x0000_t202" filled="false" stroked="false">
                <v:textbox inset="0,0,0,0">
                  <w:txbxContent>
                    <w:p>
                      <w:pPr>
                        <w:spacing w:line="172" w:lineRule="exact" w:before="0"/>
                        <w:ind w:left="0" w:right="0" w:firstLine="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宋体" w:hAnsi="宋体" w:cs="宋体" w:eastAsia="宋体" w:hint="default"/>
                          <w:sz w:val="16"/>
                          <w:szCs w:val="16"/>
                        </w:rPr>
                        <w:t>．不能重分类进损益的其他综合收益</w:t>
                      </w:r>
                    </w:p>
                    <w:p>
                      <w:pPr>
                        <w:spacing w:line="403" w:lineRule="auto" w:before="132"/>
                        <w:ind w:left="0" w:right="0" w:firstLine="0"/>
                        <w:jc w:val="left"/>
                        <w:rPr>
                          <w:rFonts w:ascii="宋体" w:hAnsi="宋体" w:cs="宋体" w:eastAsia="宋体" w:hint="default"/>
                          <w:sz w:val="16"/>
                          <w:szCs w:val="16"/>
                        </w:rPr>
                      </w:pPr>
                      <w:r>
                        <w:rPr>
                          <w:rFonts w:ascii="宋体" w:hAnsi="宋体" w:cs="宋体" w:eastAsia="宋体" w:hint="default"/>
                          <w:sz w:val="16"/>
                          <w:szCs w:val="16"/>
                        </w:rPr>
                        <w:t>其中：重新计量设定受益计划变动额</w:t>
                      </w:r>
                      <w:r>
                        <w:rPr>
                          <w:rFonts w:ascii="宋体" w:hAnsi="宋体" w:cs="宋体" w:eastAsia="宋体" w:hint="default"/>
                          <w:w w:val="99"/>
                          <w:sz w:val="16"/>
                          <w:szCs w:val="16"/>
                        </w:rPr>
                        <w:t> </w:t>
                      </w:r>
                      <w:r>
                        <w:rPr>
                          <w:rFonts w:ascii="宋体" w:hAnsi="宋体" w:cs="宋体" w:eastAsia="宋体" w:hint="default"/>
                          <w:sz w:val="16"/>
                          <w:szCs w:val="16"/>
                        </w:rPr>
                        <w:t>权益法下不能转损益的其他综合收益</w:t>
                      </w:r>
                      <w:r>
                        <w:rPr>
                          <w:rFonts w:ascii="宋体" w:hAnsi="宋体" w:cs="宋体" w:eastAsia="宋体" w:hint="default"/>
                          <w:w w:val="99"/>
                          <w:sz w:val="16"/>
                          <w:szCs w:val="16"/>
                        </w:rPr>
                        <w:t> </w:t>
                      </w:r>
                      <w:r>
                        <w:rPr>
                          <w:rFonts w:ascii="Times New Roman" w:hAnsi="Times New Roman" w:cs="Times New Roman" w:eastAsia="Times New Roman" w:hint="default"/>
                          <w:sz w:val="16"/>
                          <w:szCs w:val="16"/>
                        </w:rPr>
                        <w:t>2</w:t>
                      </w:r>
                      <w:r>
                        <w:rPr>
                          <w:rFonts w:ascii="宋体" w:hAnsi="宋体" w:cs="宋体" w:eastAsia="宋体" w:hint="default"/>
                          <w:sz w:val="16"/>
                          <w:szCs w:val="16"/>
                        </w:rPr>
                        <w:t>．将重分类进损益的其他综合收益</w:t>
                      </w:r>
                      <w:r>
                        <w:rPr>
                          <w:rFonts w:ascii="宋体" w:hAnsi="宋体" w:cs="宋体" w:eastAsia="宋体" w:hint="default"/>
                          <w:w w:val="99"/>
                          <w:sz w:val="16"/>
                          <w:szCs w:val="16"/>
                        </w:rPr>
                        <w:t> </w:t>
                      </w:r>
                      <w:r>
                        <w:rPr>
                          <w:rFonts w:ascii="宋体" w:hAnsi="宋体" w:cs="宋体" w:eastAsia="宋体" w:hint="default"/>
                          <w:sz w:val="16"/>
                          <w:szCs w:val="16"/>
                        </w:rPr>
                        <w:t>其中：权益法下可转损益的其他综合收益</w:t>
                      </w:r>
                      <w:r>
                        <w:rPr>
                          <w:rFonts w:ascii="宋体" w:hAnsi="宋体" w:cs="宋体" w:eastAsia="宋体" w:hint="default"/>
                          <w:w w:val="99"/>
                          <w:sz w:val="16"/>
                          <w:szCs w:val="16"/>
                        </w:rPr>
                        <w:t> </w:t>
                      </w:r>
                      <w:r>
                        <w:rPr>
                          <w:rFonts w:ascii="宋体" w:hAnsi="宋体" w:cs="宋体" w:eastAsia="宋体" w:hint="default"/>
                          <w:sz w:val="16"/>
                          <w:szCs w:val="16"/>
                        </w:rPr>
                        <w:t>可供出售金融资产公允价值变动损益</w:t>
                      </w:r>
                      <w:r>
                        <w:rPr>
                          <w:rFonts w:ascii="宋体" w:hAnsi="宋体" w:cs="宋体" w:eastAsia="宋体" w:hint="default"/>
                          <w:w w:val="99"/>
                          <w:sz w:val="16"/>
                          <w:szCs w:val="16"/>
                        </w:rPr>
                        <w:t> </w:t>
                      </w:r>
                      <w:r>
                        <w:rPr>
                          <w:rFonts w:ascii="宋体" w:hAnsi="宋体" w:cs="宋体" w:eastAsia="宋体" w:hint="default"/>
                          <w:w w:val="95"/>
                          <w:sz w:val="16"/>
                          <w:szCs w:val="16"/>
                        </w:rPr>
                        <w:t>持有至到期投资重分类为可供出售金融资产损益</w:t>
                      </w:r>
                      <w:r>
                        <w:rPr>
                          <w:rFonts w:ascii="宋体" w:hAnsi="宋体" w:cs="宋体" w:eastAsia="宋体" w:hint="default"/>
                          <w:spacing w:val="12"/>
                          <w:w w:val="95"/>
                          <w:sz w:val="16"/>
                          <w:szCs w:val="16"/>
                        </w:rPr>
                        <w:t> </w:t>
                      </w:r>
                      <w:r>
                        <w:rPr>
                          <w:rFonts w:ascii="宋体" w:hAnsi="宋体" w:cs="宋体" w:eastAsia="宋体" w:hint="default"/>
                          <w:spacing w:val="12"/>
                          <w:w w:val="95"/>
                          <w:sz w:val="16"/>
                          <w:szCs w:val="16"/>
                        </w:rPr>
                      </w:r>
                      <w:r>
                        <w:rPr>
                          <w:rFonts w:ascii="宋体" w:hAnsi="宋体" w:cs="宋体" w:eastAsia="宋体" w:hint="default"/>
                          <w:sz w:val="16"/>
                          <w:szCs w:val="16"/>
                        </w:rPr>
                        <w:t>现金流量套期损益的有效部分</w:t>
                      </w:r>
                      <w:r>
                        <w:rPr>
                          <w:rFonts w:ascii="宋体" w:hAnsi="宋体" w:cs="宋体" w:eastAsia="宋体" w:hint="default"/>
                          <w:w w:val="99"/>
                          <w:sz w:val="16"/>
                          <w:szCs w:val="16"/>
                        </w:rPr>
                        <w:t> </w:t>
                      </w:r>
                      <w:r>
                        <w:rPr>
                          <w:rFonts w:ascii="宋体" w:hAnsi="宋体" w:cs="宋体" w:eastAsia="宋体" w:hint="default"/>
                          <w:sz w:val="16"/>
                          <w:szCs w:val="16"/>
                        </w:rPr>
                        <w:t>外币财务报表折算差额</w:t>
                      </w:r>
                    </w:p>
                    <w:p>
                      <w:pPr>
                        <w:spacing w:before="34"/>
                        <w:ind w:left="1146" w:right="0" w:firstLine="0"/>
                        <w:jc w:val="left"/>
                        <w:rPr>
                          <w:rFonts w:ascii="宋体" w:hAnsi="宋体" w:cs="宋体" w:eastAsia="宋体" w:hint="default"/>
                          <w:sz w:val="16"/>
                          <w:szCs w:val="16"/>
                        </w:rPr>
                      </w:pPr>
                      <w:r>
                        <w:rPr>
                          <w:rFonts w:ascii="宋体" w:hAnsi="宋体" w:cs="宋体" w:eastAsia="宋体" w:hint="default"/>
                          <w:sz w:val="16"/>
                          <w:szCs w:val="16"/>
                        </w:rPr>
                        <w:t>其他综合收益合计</w:t>
                      </w:r>
                    </w:p>
                  </w:txbxContent>
                </v:textbox>
                <w10:wrap type="none"/>
              </v:shape>
            </v:group>
            <w10:wrap type="none"/>
          </v:group>
        </w:pict>
      </w:r>
      <w:r>
        <w:rPr>
          <w:rFonts w:ascii="Times New Roman" w:hAnsi="Times New Roman" w:cs="Times New Roman" w:eastAsia="Times New Roman" w:hint="default"/>
        </w:rPr>
        <w:t>(</w:t>
      </w:r>
      <w:r>
        <w:rPr/>
        <w:t>三十六</w:t>
      </w:r>
      <w:r>
        <w:rPr>
          <w:rFonts w:ascii="Times New Roman" w:hAnsi="Times New Roman" w:cs="Times New Roman" w:eastAsia="Times New Roman" w:hint="default"/>
        </w:rPr>
        <w:t>)</w:t>
      </w:r>
      <w:r>
        <w:rPr>
          <w:rFonts w:ascii="Times New Roman" w:hAnsi="Times New Roman" w:cs="Times New Roman" w:eastAsia="Times New Roman" w:hint="default"/>
          <w:spacing w:val="20"/>
        </w:rPr>
        <w:t> </w:t>
      </w:r>
      <w:r>
        <w:rPr/>
        <w:t>其他综合收益</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9"/>
          <w:szCs w:val="29"/>
        </w:rPr>
      </w:pPr>
    </w:p>
    <w:tbl>
      <w:tblPr>
        <w:tblW w:w="0" w:type="auto"/>
        <w:jc w:val="left"/>
        <w:tblInd w:w="4752" w:type="dxa"/>
        <w:tblLayout w:type="fixed"/>
        <w:tblCellMar>
          <w:top w:w="0" w:type="dxa"/>
          <w:left w:w="0" w:type="dxa"/>
          <w:bottom w:w="0" w:type="dxa"/>
          <w:right w:w="0" w:type="dxa"/>
        </w:tblCellMar>
        <w:tblLook w:val="01E0"/>
      </w:tblPr>
      <w:tblGrid>
        <w:gridCol w:w="1395"/>
        <w:gridCol w:w="1464"/>
        <w:gridCol w:w="1344"/>
        <w:gridCol w:w="1408"/>
        <w:gridCol w:w="1594"/>
        <w:gridCol w:w="1130"/>
        <w:gridCol w:w="1235"/>
      </w:tblGrid>
      <w:tr>
        <w:trPr>
          <w:trHeight w:val="1860" w:hRule="exact"/>
        </w:trPr>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6"/>
              <w:ind w:right="0"/>
              <w:jc w:val="left"/>
              <w:rPr>
                <w:rFonts w:ascii="宋体" w:hAnsi="宋体" w:cs="宋体" w:eastAsia="宋体" w:hint="default"/>
                <w:b/>
                <w:bCs/>
                <w:sz w:val="11"/>
                <w:szCs w:val="11"/>
              </w:rPr>
            </w:pPr>
          </w:p>
          <w:p>
            <w:pPr>
              <w:pStyle w:val="TableParagraph"/>
              <w:spacing w:line="240" w:lineRule="auto"/>
              <w:ind w:right="237"/>
              <w:jc w:val="right"/>
              <w:rPr>
                <w:rFonts w:ascii="Times New Roman" w:hAnsi="Times New Roman" w:cs="Times New Roman" w:eastAsia="Times New Roman" w:hint="default"/>
                <w:sz w:val="16"/>
                <w:szCs w:val="16"/>
              </w:rPr>
            </w:pPr>
            <w:r>
              <w:rPr>
                <w:rFonts w:ascii="Times New Roman"/>
                <w:spacing w:val="-1"/>
                <w:sz w:val="16"/>
              </w:rPr>
              <w:t>1,219,420,299.88</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6"/>
              <w:ind w:right="0"/>
              <w:jc w:val="left"/>
              <w:rPr>
                <w:rFonts w:ascii="宋体" w:hAnsi="宋体" w:cs="宋体" w:eastAsia="宋体" w:hint="default"/>
                <w:b/>
                <w:bCs/>
                <w:sz w:val="11"/>
                <w:szCs w:val="11"/>
              </w:rPr>
            </w:pPr>
          </w:p>
          <w:p>
            <w:pPr>
              <w:pStyle w:val="TableParagraph"/>
              <w:spacing w:line="240" w:lineRule="auto"/>
              <w:ind w:right="168"/>
              <w:jc w:val="right"/>
              <w:rPr>
                <w:rFonts w:ascii="Times New Roman" w:hAnsi="Times New Roman" w:cs="Times New Roman" w:eastAsia="Times New Roman" w:hint="default"/>
                <w:sz w:val="16"/>
                <w:szCs w:val="16"/>
              </w:rPr>
            </w:pPr>
            <w:r>
              <w:rPr>
                <w:rFonts w:ascii="Times New Roman"/>
                <w:spacing w:val="-1"/>
                <w:sz w:val="16"/>
              </w:rPr>
              <w:t>-498,194,637.14</w:t>
            </w:r>
          </w:p>
        </w:tc>
        <w:tc>
          <w:tcPr>
            <w:tcW w:w="1344" w:type="dxa"/>
            <w:tcBorders>
              <w:top w:val="nil" w:sz="6" w:space="0" w:color="auto"/>
              <w:left w:val="nil" w:sz="6" w:space="0" w:color="auto"/>
              <w:bottom w:val="nil" w:sz="6" w:space="0" w:color="auto"/>
              <w:right w:val="nil" w:sz="6" w:space="0" w:color="auto"/>
            </w:tcBorders>
          </w:tcPr>
          <w:p>
            <w:pPr>
              <w:pStyle w:val="TableParagraph"/>
              <w:spacing w:line="160" w:lineRule="exact"/>
              <w:ind w:left="286" w:right="0"/>
              <w:jc w:val="left"/>
              <w:rPr>
                <w:rFonts w:ascii="宋体" w:hAnsi="宋体" w:cs="宋体" w:eastAsia="宋体" w:hint="default"/>
                <w:sz w:val="16"/>
                <w:szCs w:val="16"/>
              </w:rPr>
            </w:pPr>
            <w:r>
              <w:rPr>
                <w:rFonts w:ascii="宋体" w:hAnsi="宋体" w:cs="宋体" w:eastAsia="宋体" w:hint="default"/>
                <w:sz w:val="16"/>
                <w:szCs w:val="16"/>
              </w:rPr>
              <w:t>转入损益</w:t>
            </w: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left="170" w:right="0"/>
              <w:jc w:val="left"/>
              <w:rPr>
                <w:rFonts w:ascii="Times New Roman" w:hAnsi="Times New Roman" w:cs="Times New Roman" w:eastAsia="Times New Roman" w:hint="default"/>
                <w:sz w:val="16"/>
                <w:szCs w:val="16"/>
              </w:rPr>
            </w:pPr>
            <w:r>
              <w:rPr>
                <w:rFonts w:ascii="Times New Roman"/>
                <w:sz w:val="16"/>
              </w:rPr>
              <w:t>814,279,287.90</w:t>
            </w:r>
          </w:p>
        </w:tc>
        <w:tc>
          <w:tcPr>
            <w:tcW w:w="140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6"/>
              <w:ind w:right="0"/>
              <w:jc w:val="left"/>
              <w:rPr>
                <w:rFonts w:ascii="宋体" w:hAnsi="宋体" w:cs="宋体" w:eastAsia="宋体" w:hint="default"/>
                <w:b/>
                <w:bCs/>
                <w:sz w:val="11"/>
                <w:szCs w:val="11"/>
              </w:rPr>
            </w:pPr>
          </w:p>
          <w:p>
            <w:pPr>
              <w:pStyle w:val="TableParagraph"/>
              <w:spacing w:line="240" w:lineRule="auto"/>
              <w:ind w:right="4"/>
              <w:jc w:val="center"/>
              <w:rPr>
                <w:rFonts w:ascii="Times New Roman" w:hAnsi="Times New Roman" w:cs="Times New Roman" w:eastAsia="Times New Roman" w:hint="default"/>
                <w:sz w:val="16"/>
                <w:szCs w:val="16"/>
              </w:rPr>
            </w:pPr>
            <w:r>
              <w:rPr>
                <w:rFonts w:ascii="Times New Roman"/>
                <w:sz w:val="16"/>
              </w:rPr>
              <w:t>-182,159,834.00</w:t>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6"/>
              <w:ind w:right="0"/>
              <w:jc w:val="left"/>
              <w:rPr>
                <w:rFonts w:ascii="宋体" w:hAnsi="宋体" w:cs="宋体" w:eastAsia="宋体" w:hint="default"/>
                <w:b/>
                <w:bCs/>
                <w:sz w:val="11"/>
                <w:szCs w:val="11"/>
              </w:rPr>
            </w:pPr>
          </w:p>
          <w:p>
            <w:pPr>
              <w:pStyle w:val="TableParagraph"/>
              <w:spacing w:line="240" w:lineRule="auto"/>
              <w:ind w:right="237"/>
              <w:jc w:val="right"/>
              <w:rPr>
                <w:rFonts w:ascii="Times New Roman" w:hAnsi="Times New Roman" w:cs="Times New Roman" w:eastAsia="Times New Roman" w:hint="default"/>
                <w:sz w:val="16"/>
                <w:szCs w:val="16"/>
              </w:rPr>
            </w:pPr>
            <w:r>
              <w:rPr>
                <w:rFonts w:ascii="Times New Roman"/>
                <w:spacing w:val="-1"/>
                <w:sz w:val="16"/>
              </w:rPr>
              <w:t>-1,130,656,207.65</w:t>
            </w:r>
          </w:p>
        </w:tc>
        <w:tc>
          <w:tcPr>
            <w:tcW w:w="113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6"/>
              <w:ind w:right="0"/>
              <w:jc w:val="left"/>
              <w:rPr>
                <w:rFonts w:ascii="宋体" w:hAnsi="宋体" w:cs="宋体" w:eastAsia="宋体" w:hint="default"/>
                <w:b/>
                <w:bCs/>
                <w:sz w:val="11"/>
                <w:szCs w:val="11"/>
              </w:rPr>
            </w:pPr>
          </w:p>
          <w:p>
            <w:pPr>
              <w:pStyle w:val="TableParagraph"/>
              <w:spacing w:line="240" w:lineRule="auto"/>
              <w:ind w:right="167"/>
              <w:jc w:val="right"/>
              <w:rPr>
                <w:rFonts w:ascii="Times New Roman" w:hAnsi="Times New Roman" w:cs="Times New Roman" w:eastAsia="Times New Roman" w:hint="default"/>
                <w:sz w:val="16"/>
                <w:szCs w:val="16"/>
              </w:rPr>
            </w:pPr>
            <w:r>
              <w:rPr>
                <w:rFonts w:ascii="Times New Roman"/>
                <w:spacing w:val="-1"/>
                <w:w w:val="95"/>
                <w:sz w:val="16"/>
              </w:rPr>
              <w:t>342,116.61</w:t>
            </w:r>
            <w:r>
              <w:rPr>
                <w:rFonts w:ascii="Times New Roman"/>
                <w:spacing w:val="-1"/>
                <w:sz w:val="16"/>
              </w:rPr>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6"/>
              <w:ind w:right="0"/>
              <w:jc w:val="left"/>
              <w:rPr>
                <w:rFonts w:ascii="宋体" w:hAnsi="宋体" w:cs="宋体" w:eastAsia="宋体" w:hint="default"/>
                <w:b/>
                <w:bCs/>
                <w:sz w:val="11"/>
                <w:szCs w:val="11"/>
              </w:rPr>
            </w:pPr>
          </w:p>
          <w:p>
            <w:pPr>
              <w:pStyle w:val="TableParagraph"/>
              <w:spacing w:line="240" w:lineRule="auto"/>
              <w:ind w:right="68"/>
              <w:jc w:val="right"/>
              <w:rPr>
                <w:rFonts w:ascii="Times New Roman" w:hAnsi="Times New Roman" w:cs="Times New Roman" w:eastAsia="Times New Roman" w:hint="default"/>
                <w:sz w:val="16"/>
                <w:szCs w:val="16"/>
              </w:rPr>
            </w:pPr>
            <w:r>
              <w:rPr>
                <w:rFonts w:ascii="Times New Roman"/>
                <w:spacing w:val="-1"/>
                <w:sz w:val="16"/>
              </w:rPr>
              <w:t>88,764,092.23</w:t>
            </w:r>
          </w:p>
        </w:tc>
      </w:tr>
      <w:tr>
        <w:trPr>
          <w:trHeight w:val="884" w:hRule="exact"/>
        </w:trPr>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right="237"/>
              <w:jc w:val="right"/>
              <w:rPr>
                <w:rFonts w:ascii="Times New Roman" w:hAnsi="Times New Roman" w:cs="Times New Roman" w:eastAsia="Times New Roman" w:hint="default"/>
                <w:sz w:val="16"/>
                <w:szCs w:val="16"/>
              </w:rPr>
            </w:pPr>
            <w:r>
              <w:rPr>
                <w:rFonts w:ascii="Times New Roman"/>
                <w:spacing w:val="-1"/>
                <w:sz w:val="16"/>
              </w:rPr>
              <w:t>1,248,104,534.04</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right="168"/>
              <w:jc w:val="right"/>
              <w:rPr>
                <w:rFonts w:ascii="Times New Roman" w:hAnsi="Times New Roman" w:cs="Times New Roman" w:eastAsia="Times New Roman" w:hint="default"/>
                <w:sz w:val="16"/>
                <w:szCs w:val="16"/>
              </w:rPr>
            </w:pPr>
            <w:r>
              <w:rPr>
                <w:rFonts w:ascii="Times New Roman"/>
                <w:spacing w:val="-1"/>
                <w:sz w:val="16"/>
              </w:rPr>
              <w:t>-500,956,008.48</w:t>
            </w:r>
          </w:p>
        </w:tc>
        <w:tc>
          <w:tcPr>
            <w:tcW w:w="134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right="171"/>
              <w:jc w:val="right"/>
              <w:rPr>
                <w:rFonts w:ascii="Times New Roman" w:hAnsi="Times New Roman" w:cs="Times New Roman" w:eastAsia="Times New Roman" w:hint="default"/>
                <w:sz w:val="16"/>
                <w:szCs w:val="16"/>
              </w:rPr>
            </w:pPr>
            <w:r>
              <w:rPr>
                <w:rFonts w:ascii="Times New Roman"/>
                <w:spacing w:val="-1"/>
                <w:sz w:val="16"/>
              </w:rPr>
              <w:t>814,279,287.90</w:t>
            </w:r>
          </w:p>
        </w:tc>
        <w:tc>
          <w:tcPr>
            <w:tcW w:w="140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right="4"/>
              <w:jc w:val="center"/>
              <w:rPr>
                <w:rFonts w:ascii="Times New Roman" w:hAnsi="Times New Roman" w:cs="Times New Roman" w:eastAsia="Times New Roman" w:hint="default"/>
                <w:sz w:val="16"/>
                <w:szCs w:val="16"/>
              </w:rPr>
            </w:pPr>
            <w:r>
              <w:rPr>
                <w:rFonts w:ascii="Times New Roman"/>
                <w:sz w:val="16"/>
              </w:rPr>
              <w:t>-182,159,834.00</w:t>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right="237"/>
              <w:jc w:val="right"/>
              <w:rPr>
                <w:rFonts w:ascii="Times New Roman" w:hAnsi="Times New Roman" w:cs="Times New Roman" w:eastAsia="Times New Roman" w:hint="default"/>
                <w:sz w:val="16"/>
                <w:szCs w:val="16"/>
              </w:rPr>
            </w:pPr>
            <w:r>
              <w:rPr>
                <w:rFonts w:ascii="Times New Roman"/>
                <w:spacing w:val="-1"/>
                <w:sz w:val="16"/>
              </w:rPr>
              <w:t>-1,133,449,602.53</w:t>
            </w:r>
          </w:p>
        </w:tc>
        <w:tc>
          <w:tcPr>
            <w:tcW w:w="113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right="167"/>
              <w:jc w:val="right"/>
              <w:rPr>
                <w:rFonts w:ascii="Times New Roman" w:hAnsi="Times New Roman" w:cs="Times New Roman" w:eastAsia="Times New Roman" w:hint="default"/>
                <w:sz w:val="16"/>
                <w:szCs w:val="16"/>
              </w:rPr>
            </w:pPr>
            <w:r>
              <w:rPr>
                <w:rFonts w:ascii="Times New Roman"/>
                <w:spacing w:val="-1"/>
                <w:sz w:val="16"/>
              </w:rPr>
              <w:t>374,140.15</w:t>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right="68"/>
              <w:jc w:val="right"/>
              <w:rPr>
                <w:rFonts w:ascii="Times New Roman" w:hAnsi="Times New Roman" w:cs="Times New Roman" w:eastAsia="Times New Roman" w:hint="default"/>
                <w:sz w:val="16"/>
                <w:szCs w:val="16"/>
              </w:rPr>
            </w:pPr>
            <w:r>
              <w:rPr>
                <w:rFonts w:ascii="Times New Roman"/>
                <w:spacing w:val="-1"/>
                <w:sz w:val="16"/>
              </w:rPr>
              <w:t>114,654,931.51</w:t>
            </w:r>
          </w:p>
        </w:tc>
      </w:tr>
      <w:tr>
        <w:trPr>
          <w:trHeight w:val="707" w:hRule="exact"/>
        </w:trPr>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11"/>
              <w:ind w:right="0"/>
              <w:jc w:val="left"/>
              <w:rPr>
                <w:rFonts w:ascii="宋体" w:hAnsi="宋体" w:cs="宋体" w:eastAsia="宋体" w:hint="default"/>
                <w:b/>
                <w:bCs/>
                <w:sz w:val="16"/>
                <w:szCs w:val="16"/>
              </w:rPr>
            </w:pPr>
          </w:p>
          <w:p>
            <w:pPr>
              <w:pStyle w:val="TableParagraph"/>
              <w:spacing w:line="240" w:lineRule="auto"/>
              <w:ind w:right="236"/>
              <w:jc w:val="right"/>
              <w:rPr>
                <w:rFonts w:ascii="Times New Roman" w:hAnsi="Times New Roman" w:cs="Times New Roman" w:eastAsia="Times New Roman" w:hint="default"/>
                <w:sz w:val="16"/>
                <w:szCs w:val="16"/>
              </w:rPr>
            </w:pPr>
            <w:r>
              <w:rPr>
                <w:rFonts w:ascii="Times New Roman"/>
                <w:spacing w:val="-1"/>
                <w:sz w:val="16"/>
              </w:rPr>
              <w:t>-28,684,234.16</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11"/>
              <w:ind w:right="0"/>
              <w:jc w:val="left"/>
              <w:rPr>
                <w:rFonts w:ascii="宋体" w:hAnsi="宋体" w:cs="宋体" w:eastAsia="宋体" w:hint="default"/>
                <w:b/>
                <w:bCs/>
                <w:sz w:val="16"/>
                <w:szCs w:val="16"/>
              </w:rPr>
            </w:pPr>
          </w:p>
          <w:p>
            <w:pPr>
              <w:pStyle w:val="TableParagraph"/>
              <w:spacing w:line="240" w:lineRule="auto"/>
              <w:ind w:right="168"/>
              <w:jc w:val="right"/>
              <w:rPr>
                <w:rFonts w:ascii="Times New Roman" w:hAnsi="Times New Roman" w:cs="Times New Roman" w:eastAsia="Times New Roman" w:hint="default"/>
                <w:sz w:val="16"/>
                <w:szCs w:val="16"/>
              </w:rPr>
            </w:pPr>
            <w:r>
              <w:rPr>
                <w:rFonts w:ascii="Times New Roman"/>
                <w:spacing w:val="-1"/>
                <w:sz w:val="16"/>
              </w:rPr>
              <w:t>2,761,371.34</w:t>
            </w:r>
          </w:p>
        </w:tc>
        <w:tc>
          <w:tcPr>
            <w:tcW w:w="1344" w:type="dxa"/>
            <w:tcBorders>
              <w:top w:val="nil" w:sz="6" w:space="0" w:color="auto"/>
              <w:left w:val="nil" w:sz="6" w:space="0" w:color="auto"/>
              <w:bottom w:val="nil" w:sz="6" w:space="0" w:color="auto"/>
              <w:right w:val="nil" w:sz="6" w:space="0" w:color="auto"/>
            </w:tcBorders>
          </w:tcPr>
          <w:p>
            <w:pPr/>
          </w:p>
        </w:tc>
        <w:tc>
          <w:tcPr>
            <w:tcW w:w="1408" w:type="dxa"/>
            <w:tcBorders>
              <w:top w:val="nil" w:sz="6" w:space="0" w:color="auto"/>
              <w:left w:val="nil" w:sz="6" w:space="0" w:color="auto"/>
              <w:bottom w:val="nil" w:sz="6" w:space="0" w:color="auto"/>
              <w:right w:val="nil" w:sz="6" w:space="0" w:color="auto"/>
            </w:tcBorders>
          </w:tcPr>
          <w:p>
            <w:pP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11"/>
              <w:ind w:right="0"/>
              <w:jc w:val="left"/>
              <w:rPr>
                <w:rFonts w:ascii="宋体" w:hAnsi="宋体" w:cs="宋体" w:eastAsia="宋体" w:hint="default"/>
                <w:b/>
                <w:bCs/>
                <w:sz w:val="16"/>
                <w:szCs w:val="16"/>
              </w:rPr>
            </w:pPr>
          </w:p>
          <w:p>
            <w:pPr>
              <w:pStyle w:val="TableParagraph"/>
              <w:spacing w:line="240" w:lineRule="auto"/>
              <w:ind w:right="237"/>
              <w:jc w:val="right"/>
              <w:rPr>
                <w:rFonts w:ascii="Times New Roman" w:hAnsi="Times New Roman" w:cs="Times New Roman" w:eastAsia="Times New Roman" w:hint="default"/>
                <w:sz w:val="16"/>
                <w:szCs w:val="16"/>
              </w:rPr>
            </w:pPr>
            <w:r>
              <w:rPr>
                <w:rFonts w:ascii="Times New Roman"/>
                <w:spacing w:val="-1"/>
                <w:sz w:val="16"/>
              </w:rPr>
              <w:t>2,793,394.88</w:t>
            </w:r>
          </w:p>
        </w:tc>
        <w:tc>
          <w:tcPr>
            <w:tcW w:w="113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11"/>
              <w:ind w:right="0"/>
              <w:jc w:val="left"/>
              <w:rPr>
                <w:rFonts w:ascii="宋体" w:hAnsi="宋体" w:cs="宋体" w:eastAsia="宋体" w:hint="default"/>
                <w:b/>
                <w:bCs/>
                <w:sz w:val="16"/>
                <w:szCs w:val="16"/>
              </w:rPr>
            </w:pPr>
          </w:p>
          <w:p>
            <w:pPr>
              <w:pStyle w:val="TableParagraph"/>
              <w:spacing w:line="240" w:lineRule="auto"/>
              <w:ind w:right="167"/>
              <w:jc w:val="right"/>
              <w:rPr>
                <w:rFonts w:ascii="Times New Roman" w:hAnsi="Times New Roman" w:cs="Times New Roman" w:eastAsia="Times New Roman" w:hint="default"/>
                <w:sz w:val="16"/>
                <w:szCs w:val="16"/>
              </w:rPr>
            </w:pPr>
            <w:r>
              <w:rPr>
                <w:rFonts w:ascii="Times New Roman"/>
                <w:spacing w:val="-1"/>
                <w:sz w:val="16"/>
              </w:rPr>
              <w:t>-32,023.54</w:t>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11"/>
              <w:ind w:right="0"/>
              <w:jc w:val="left"/>
              <w:rPr>
                <w:rFonts w:ascii="宋体" w:hAnsi="宋体" w:cs="宋体" w:eastAsia="宋体" w:hint="default"/>
                <w:b/>
                <w:bCs/>
                <w:sz w:val="16"/>
                <w:szCs w:val="16"/>
              </w:rPr>
            </w:pPr>
          </w:p>
          <w:p>
            <w:pPr>
              <w:pStyle w:val="TableParagraph"/>
              <w:spacing w:line="240" w:lineRule="auto"/>
              <w:ind w:right="68"/>
              <w:jc w:val="right"/>
              <w:rPr>
                <w:rFonts w:ascii="Times New Roman" w:hAnsi="Times New Roman" w:cs="Times New Roman" w:eastAsia="Times New Roman" w:hint="default"/>
                <w:sz w:val="16"/>
                <w:szCs w:val="16"/>
              </w:rPr>
            </w:pPr>
            <w:r>
              <w:rPr>
                <w:rFonts w:ascii="Times New Roman"/>
                <w:spacing w:val="-1"/>
                <w:sz w:val="16"/>
              </w:rPr>
              <w:t>-25,890,839.28</w:t>
            </w:r>
          </w:p>
        </w:tc>
      </w:tr>
      <w:tr>
        <w:trPr>
          <w:trHeight w:val="350" w:hRule="exact"/>
        </w:trPr>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37"/>
              <w:jc w:val="right"/>
              <w:rPr>
                <w:rFonts w:ascii="Times New Roman" w:hAnsi="Times New Roman" w:cs="Times New Roman" w:eastAsia="Times New Roman" w:hint="default"/>
                <w:sz w:val="16"/>
                <w:szCs w:val="16"/>
              </w:rPr>
            </w:pPr>
            <w:r>
              <w:rPr>
                <w:rFonts w:ascii="Times New Roman"/>
                <w:spacing w:val="-1"/>
                <w:sz w:val="16"/>
              </w:rPr>
              <w:t>1,219,420,299.88</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68"/>
              <w:jc w:val="right"/>
              <w:rPr>
                <w:rFonts w:ascii="Times New Roman" w:hAnsi="Times New Roman" w:cs="Times New Roman" w:eastAsia="Times New Roman" w:hint="default"/>
                <w:sz w:val="16"/>
                <w:szCs w:val="16"/>
              </w:rPr>
            </w:pPr>
            <w:r>
              <w:rPr>
                <w:rFonts w:ascii="Times New Roman"/>
                <w:spacing w:val="-1"/>
                <w:sz w:val="16"/>
              </w:rPr>
              <w:t>-498,194,637.14</w:t>
            </w:r>
          </w:p>
        </w:tc>
        <w:tc>
          <w:tcPr>
            <w:tcW w:w="134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71"/>
              <w:jc w:val="right"/>
              <w:rPr>
                <w:rFonts w:ascii="Times New Roman" w:hAnsi="Times New Roman" w:cs="Times New Roman" w:eastAsia="Times New Roman" w:hint="default"/>
                <w:sz w:val="16"/>
                <w:szCs w:val="16"/>
              </w:rPr>
            </w:pPr>
            <w:r>
              <w:rPr>
                <w:rFonts w:ascii="Times New Roman"/>
                <w:spacing w:val="-1"/>
                <w:sz w:val="16"/>
              </w:rPr>
              <w:t>814,279,287.90</w:t>
            </w:r>
          </w:p>
        </w:tc>
        <w:tc>
          <w:tcPr>
            <w:tcW w:w="1408"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4"/>
              <w:jc w:val="center"/>
              <w:rPr>
                <w:rFonts w:ascii="Times New Roman" w:hAnsi="Times New Roman" w:cs="Times New Roman" w:eastAsia="Times New Roman" w:hint="default"/>
                <w:sz w:val="16"/>
                <w:szCs w:val="16"/>
              </w:rPr>
            </w:pPr>
            <w:r>
              <w:rPr>
                <w:rFonts w:ascii="Times New Roman"/>
                <w:sz w:val="16"/>
              </w:rPr>
              <w:t>-182,159,834.00</w:t>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37"/>
              <w:jc w:val="right"/>
              <w:rPr>
                <w:rFonts w:ascii="Times New Roman" w:hAnsi="Times New Roman" w:cs="Times New Roman" w:eastAsia="Times New Roman" w:hint="default"/>
                <w:sz w:val="16"/>
                <w:szCs w:val="16"/>
              </w:rPr>
            </w:pPr>
            <w:r>
              <w:rPr>
                <w:rFonts w:ascii="Times New Roman"/>
                <w:spacing w:val="-1"/>
                <w:sz w:val="16"/>
              </w:rPr>
              <w:t>-1,130,656,207.65</w:t>
            </w:r>
          </w:p>
        </w:tc>
        <w:tc>
          <w:tcPr>
            <w:tcW w:w="1130"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67"/>
              <w:jc w:val="right"/>
              <w:rPr>
                <w:rFonts w:ascii="Times New Roman" w:hAnsi="Times New Roman" w:cs="Times New Roman" w:eastAsia="Times New Roman" w:hint="default"/>
                <w:sz w:val="16"/>
                <w:szCs w:val="16"/>
              </w:rPr>
            </w:pPr>
            <w:r>
              <w:rPr>
                <w:rFonts w:ascii="Times New Roman"/>
                <w:spacing w:val="-1"/>
                <w:w w:val="95"/>
                <w:sz w:val="16"/>
              </w:rPr>
              <w:t>342,116.61</w:t>
            </w:r>
            <w:r>
              <w:rPr>
                <w:rFonts w:ascii="Times New Roman"/>
                <w:spacing w:val="-1"/>
                <w:sz w:val="16"/>
              </w:rPr>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68"/>
              <w:jc w:val="right"/>
              <w:rPr>
                <w:rFonts w:ascii="Times New Roman" w:hAnsi="Times New Roman" w:cs="Times New Roman" w:eastAsia="Times New Roman" w:hint="default"/>
                <w:sz w:val="16"/>
                <w:szCs w:val="16"/>
              </w:rPr>
            </w:pPr>
            <w:r>
              <w:rPr>
                <w:rFonts w:ascii="Times New Roman"/>
                <w:spacing w:val="-1"/>
                <w:sz w:val="16"/>
              </w:rPr>
              <w:t>88,764,092.23</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4"/>
          <w:szCs w:val="24"/>
        </w:rPr>
      </w:pPr>
    </w:p>
    <w:p>
      <w:pPr>
        <w:spacing w:before="44"/>
        <w:ind w:left="6199" w:right="6461" w:firstLine="0"/>
        <w:jc w:val="center"/>
        <w:rPr>
          <w:rFonts w:ascii="宋体" w:hAnsi="宋体" w:cs="宋体" w:eastAsia="宋体" w:hint="default"/>
          <w:sz w:val="18"/>
          <w:szCs w:val="18"/>
        </w:rPr>
      </w:pPr>
      <w:r>
        <w:rPr>
          <w:rFonts w:ascii="宋体" w:hAnsi="宋体" w:cs="宋体" w:eastAsia="宋体" w:hint="default"/>
          <w:sz w:val="18"/>
          <w:szCs w:val="18"/>
        </w:rPr>
        <w:t>财务报表附注第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8"/>
          <w:szCs w:val="18"/>
        </w:rPr>
      </w:pPr>
    </w:p>
    <w:p>
      <w:pPr>
        <w:spacing w:line="371" w:lineRule="exact"/>
        <w:ind w:left="10484" w:right="0" w:firstLine="0"/>
        <w:rPr>
          <w:rFonts w:ascii="宋体" w:hAnsi="宋体" w:cs="宋体" w:eastAsia="宋体" w:hint="default"/>
          <w:sz w:val="20"/>
          <w:szCs w:val="20"/>
        </w:rPr>
      </w:pPr>
      <w:r>
        <w:rPr>
          <w:rFonts w:ascii="宋体" w:hAnsi="宋体" w:cs="宋体" w:eastAsia="宋体" w:hint="default"/>
          <w:position w:val="-6"/>
          <w:sz w:val="20"/>
          <w:szCs w:val="20"/>
        </w:rPr>
        <w:drawing>
          <wp:inline distT="0" distB="0" distL="0" distR="0">
            <wp:extent cx="524065" cy="236029"/>
            <wp:effectExtent l="0" t="0" r="0" b="0"/>
            <wp:docPr id="29" name="image1.jpeg" descr=""/>
            <wp:cNvGraphicFramePr>
              <a:graphicFrameLocks noChangeAspect="1"/>
            </wp:cNvGraphicFramePr>
            <a:graphic>
              <a:graphicData uri="http://schemas.openxmlformats.org/drawingml/2006/picture">
                <pic:pic>
                  <pic:nvPicPr>
                    <pic:cNvPr id="30" name="image1.jpeg"/>
                    <pic:cNvPicPr/>
                  </pic:nvPicPr>
                  <pic:blipFill>
                    <a:blip r:embed="rId79" cstate="print"/>
                    <a:stretch>
                      <a:fillRect/>
                    </a:stretch>
                  </pic:blipFill>
                  <pic:spPr>
                    <a:xfrm>
                      <a:off x="0" y="0"/>
                      <a:ext cx="524065" cy="236029"/>
                    </a:xfrm>
                    <a:prstGeom prst="rect">
                      <a:avLst/>
                    </a:prstGeom>
                  </pic:spPr>
                </pic:pic>
              </a:graphicData>
            </a:graphic>
          </wp:inline>
        </w:drawing>
      </w:r>
      <w:r>
        <w:rPr>
          <w:rFonts w:ascii="宋体" w:hAnsi="宋体" w:cs="宋体" w:eastAsia="宋体" w:hint="default"/>
          <w:position w:val="-6"/>
          <w:sz w:val="20"/>
          <w:szCs w:val="20"/>
        </w:rPr>
      </w:r>
    </w:p>
    <w:p>
      <w:pPr>
        <w:spacing w:after="0" w:line="371" w:lineRule="exact"/>
        <w:rPr>
          <w:rFonts w:ascii="宋体" w:hAnsi="宋体" w:cs="宋体" w:eastAsia="宋体" w:hint="default"/>
          <w:sz w:val="20"/>
          <w:szCs w:val="20"/>
        </w:rPr>
        <w:sectPr>
          <w:headerReference w:type="default" r:id="rId292"/>
          <w:footerReference w:type="default" r:id="rId293"/>
          <w:pgSz w:w="16840" w:h="11910" w:orient="landscape"/>
          <w:pgMar w:header="0" w:footer="0" w:top="1100" w:bottom="0" w:left="1300" w:right="1040"/>
        </w:sectPr>
      </w:pPr>
    </w:p>
    <w:p>
      <w:pPr>
        <w:spacing w:line="240" w:lineRule="auto" w:before="8"/>
        <w:rPr>
          <w:rFonts w:ascii="宋体" w:hAnsi="宋体" w:cs="宋体" w:eastAsia="宋体" w:hint="default"/>
          <w:sz w:val="13"/>
          <w:szCs w:val="13"/>
        </w:rPr>
      </w:pPr>
    </w:p>
    <w:p>
      <w:pPr>
        <w:pStyle w:val="Heading5"/>
        <w:spacing w:line="240" w:lineRule="auto"/>
        <w:ind w:right="3681"/>
        <w:jc w:val="left"/>
        <w:rPr>
          <w:b w:val="0"/>
          <w:bCs w:val="0"/>
        </w:rPr>
      </w:pPr>
      <w:r>
        <w:rPr/>
        <w:pict>
          <v:group style="position:absolute;margin-left:119.010002pt;margin-top:17.133949pt;width:411.9pt;height:55.5pt;mso-position-horizontal-relative:page;mso-position-vertical-relative:paragraph;z-index:-1378624" coordorigin="2380,343" coordsize="8238,1110">
            <v:group style="position:absolute;left:2410;top:358;width:1832;height:2" coordorigin="2410,358" coordsize="1832,2">
              <v:shape style="position:absolute;left:2410;top:358;width:1832;height:2" coordorigin="2410,358" coordsize="1832,0" path="m2410,358l4241,358e" filled="false" stroked="true" strokeweight="1.5pt" strokecolor="#000000">
                <v:path arrowok="t"/>
              </v:shape>
              <v:shape style="position:absolute;left:4241;top:373;width:10;height:28" type="#_x0000_t75" stroked="false">
                <v:imagedata r:id="rId39" o:title=""/>
              </v:shape>
            </v:group>
            <v:group style="position:absolute;left:4241;top:358;width:1588;height:2" coordorigin="4241,358" coordsize="1588,2">
              <v:shape style="position:absolute;left:4241;top:358;width:1588;height:2" coordorigin="4241,358" coordsize="1588,0" path="m4241,358l5828,358e" filled="false" stroked="true" strokeweight="1.5pt" strokecolor="#000000">
                <v:path arrowok="t"/>
              </v:shape>
              <v:shape style="position:absolute;left:5828;top:373;width:10;height:28" type="#_x0000_t75" stroked="false">
                <v:imagedata r:id="rId39" o:title=""/>
              </v:shape>
            </v:group>
            <v:group style="position:absolute;left:5828;top:358;width:1589;height:2" coordorigin="5828,358" coordsize="1589,2">
              <v:shape style="position:absolute;left:5828;top:358;width:1589;height:2" coordorigin="5828,358" coordsize="1589,0" path="m5828,358l7417,358e" filled="false" stroked="true" strokeweight="1.5pt" strokecolor="#000000">
                <v:path arrowok="t"/>
              </v:shape>
              <v:shape style="position:absolute;left:7417;top:373;width:10;height:28" type="#_x0000_t75" stroked="false">
                <v:imagedata r:id="rId39" o:title=""/>
              </v:shape>
            </v:group>
            <v:group style="position:absolute;left:7417;top:358;width:1588;height:2" coordorigin="7417,358" coordsize="1588,2">
              <v:shape style="position:absolute;left:7417;top:358;width:1588;height:2" coordorigin="7417,358" coordsize="1588,0" path="m7417,358l9005,358e" filled="false" stroked="true" strokeweight="1.5pt" strokecolor="#000000">
                <v:path arrowok="t"/>
              </v:shape>
              <v:shape style="position:absolute;left:9005;top:373;width:10;height:28" type="#_x0000_t75" stroked="false">
                <v:imagedata r:id="rId39" o:title=""/>
              </v:shape>
            </v:group>
            <v:group style="position:absolute;left:9005;top:358;width:1593;height:2" coordorigin="9005,358" coordsize="1593,2">
              <v:shape style="position:absolute;left:9005;top:358;width:1593;height:2" coordorigin="9005,358" coordsize="1593,0" path="m9005,358l10597,358e" filled="false" stroked="true" strokeweight="1.5pt" strokecolor="#000000">
                <v:path arrowok="t"/>
              </v:shape>
              <v:shape style="position:absolute;left:4222;top:381;width:4812;height:354" type="#_x0000_t75" stroked="false">
                <v:imagedata r:id="rId297" o:title=""/>
              </v:shape>
            </v:group>
            <v:group style="position:absolute;left:2395;top:1438;width:1846;height:2" coordorigin="2395,1438" coordsize="1846,2">
              <v:shape style="position:absolute;left:2395;top:1438;width:1846;height:2" coordorigin="2395,1438" coordsize="1846,0" path="m2395,1438l4241,1438e" filled="false" stroked="true" strokeweight="1.5pt" strokecolor="#000000">
                <v:path arrowok="t"/>
              </v:shape>
            </v:group>
            <v:group style="position:absolute;left:4241;top:1438;width:1588;height:2" coordorigin="4241,1438" coordsize="1588,2">
              <v:shape style="position:absolute;left:4241;top:1438;width:1588;height:2" coordorigin="4241,1438" coordsize="1588,0" path="m4241,1438l5828,1438e" filled="false" stroked="true" strokeweight="1.5pt" strokecolor="#000000">
                <v:path arrowok="t"/>
              </v:shape>
            </v:group>
            <v:group style="position:absolute;left:5828;top:1438;width:1589;height:2" coordorigin="5828,1438" coordsize="1589,2">
              <v:shape style="position:absolute;left:5828;top:1438;width:1589;height:2" coordorigin="5828,1438" coordsize="1589,0" path="m5828,1438l7417,1438e" filled="false" stroked="true" strokeweight="1.5pt" strokecolor="#000000">
                <v:path arrowok="t"/>
              </v:shape>
            </v:group>
            <v:group style="position:absolute;left:7417;top:1438;width:1588;height:2" coordorigin="7417,1438" coordsize="1588,2">
              <v:shape style="position:absolute;left:7417;top:1438;width:1588;height:2" coordorigin="7417,1438" coordsize="1588,0" path="m7417,1438l9005,1438e" filled="false" stroked="true" strokeweight="1.5pt" strokecolor="#000000">
                <v:path arrowok="t"/>
              </v:shape>
              <v:shape style="position:absolute;left:2390;top:697;width:8227;height:726" type="#_x0000_t75" stroked="false">
                <v:imagedata r:id="rId298" o:title=""/>
              </v:shape>
            </v:group>
            <v:group style="position:absolute;left:9005;top:1438;width:1593;height:2" coordorigin="9005,1438" coordsize="1593,2">
              <v:shape style="position:absolute;left:9005;top:1438;width:1593;height:2" coordorigin="9005,1438" coordsize="1593,0" path="m9005,1438l10597,1438e" filled="false" stroked="true" strokeweight="1.5pt" strokecolor="#000000">
                <v:path arrowok="t"/>
              </v:shape>
              <v:shape style="position:absolute;left:3167;top:464;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项目</w:t>
                      </w:r>
                      <w:r>
                        <w:rPr>
                          <w:rFonts w:ascii="宋体" w:hAnsi="宋体" w:cs="宋体" w:eastAsia="宋体" w:hint="default"/>
                          <w:sz w:val="16"/>
                          <w:szCs w:val="16"/>
                        </w:rPr>
                      </w:r>
                    </w:p>
                  </w:txbxContent>
                </v:textbox>
                <w10:wrap type="none"/>
              </v:shape>
              <v:shape style="position:absolute;left:4718;top:464;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年初余额</w:t>
                      </w:r>
                      <w:r>
                        <w:rPr>
                          <w:rFonts w:ascii="宋体" w:hAnsi="宋体" w:cs="宋体" w:eastAsia="宋体" w:hint="default"/>
                          <w:sz w:val="16"/>
                          <w:szCs w:val="16"/>
                        </w:rPr>
                      </w:r>
                    </w:p>
                  </w:txbxContent>
                </v:textbox>
                <w10:wrap type="none"/>
              </v:shape>
              <v:shape style="position:absolute;left:6307;top:464;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本期增加</w:t>
                      </w:r>
                      <w:r>
                        <w:rPr>
                          <w:rFonts w:ascii="宋体" w:hAnsi="宋体" w:cs="宋体" w:eastAsia="宋体" w:hint="default"/>
                          <w:sz w:val="16"/>
                          <w:szCs w:val="16"/>
                        </w:rPr>
                      </w:r>
                    </w:p>
                  </w:txbxContent>
                </v:textbox>
                <w10:wrap type="none"/>
              </v:shape>
              <v:shape style="position:absolute;left:7895;top:464;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本期减少</w:t>
                      </w:r>
                      <w:r>
                        <w:rPr>
                          <w:rFonts w:ascii="宋体" w:hAnsi="宋体" w:cs="宋体" w:eastAsia="宋体" w:hint="default"/>
                          <w:sz w:val="16"/>
                          <w:szCs w:val="16"/>
                        </w:rPr>
                      </w:r>
                    </w:p>
                  </w:txbxContent>
                </v:textbox>
                <w10:wrap type="none"/>
              </v:shape>
              <v:shape style="position:absolute;left:9484;top:464;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2518;top:818;width:969;height:513"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安全生产费</w:t>
                      </w:r>
                    </w:p>
                    <w:p>
                      <w:pPr>
                        <w:spacing w:before="143"/>
                        <w:ind w:left="0" w:right="0" w:firstLine="0"/>
                        <w:jc w:val="right"/>
                        <w:rPr>
                          <w:rFonts w:ascii="宋体" w:hAnsi="宋体" w:cs="宋体" w:eastAsia="宋体" w:hint="default"/>
                          <w:sz w:val="16"/>
                          <w:szCs w:val="16"/>
                        </w:rPr>
                      </w:pPr>
                      <w:r>
                        <w:rPr>
                          <w:rFonts w:ascii="宋体" w:hAnsi="宋体" w:cs="宋体" w:eastAsia="宋体" w:hint="default"/>
                          <w:w w:val="95"/>
                          <w:sz w:val="16"/>
                          <w:szCs w:val="16"/>
                        </w:rPr>
                        <w:t>合计</w:t>
                      </w:r>
                      <w:r>
                        <w:rPr>
                          <w:rFonts w:ascii="宋体" w:hAnsi="宋体" w:cs="宋体" w:eastAsia="宋体" w:hint="default"/>
                          <w:sz w:val="16"/>
                          <w:szCs w:val="16"/>
                        </w:rPr>
                      </w:r>
                    </w:p>
                  </w:txbxContent>
                </v:textbox>
                <w10:wrap type="none"/>
              </v:shape>
            </v:group>
            <w10:wrap type="none"/>
          </v:group>
        </w:pict>
      </w:r>
      <w:r>
        <w:rPr>
          <w:rFonts w:ascii="Times New Roman" w:hAnsi="Times New Roman" w:cs="Times New Roman" w:eastAsia="Times New Roman" w:hint="default"/>
        </w:rPr>
        <w:t>(</w:t>
      </w:r>
      <w:r>
        <w:rPr/>
        <w:t>三十七</w:t>
      </w:r>
      <w:r>
        <w:rPr>
          <w:rFonts w:ascii="Times New Roman" w:hAnsi="Times New Roman" w:cs="Times New Roman" w:eastAsia="Times New Roman" w:hint="default"/>
        </w:rPr>
        <w:t>)</w:t>
      </w:r>
      <w:r>
        <w:rPr>
          <w:rFonts w:ascii="Times New Roman" w:hAnsi="Times New Roman" w:cs="Times New Roman" w:eastAsia="Times New Roman" w:hint="default"/>
          <w:spacing w:val="23"/>
        </w:rPr>
        <w:t> </w:t>
      </w:r>
      <w:r>
        <w:rPr/>
        <w:t>专项储备</w:t>
      </w:r>
      <w:r>
        <w:rPr>
          <w:b w:val="0"/>
          <w:bCs w:val="0"/>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8"/>
          <w:szCs w:val="18"/>
        </w:rPr>
      </w:pPr>
    </w:p>
    <w:tbl>
      <w:tblPr>
        <w:tblW w:w="0" w:type="auto"/>
        <w:jc w:val="left"/>
        <w:tblInd w:w="3188" w:type="dxa"/>
        <w:tblLayout w:type="fixed"/>
        <w:tblCellMar>
          <w:top w:w="0" w:type="dxa"/>
          <w:left w:w="0" w:type="dxa"/>
          <w:bottom w:w="0" w:type="dxa"/>
          <w:right w:w="0" w:type="dxa"/>
        </w:tblCellMar>
        <w:tblLook w:val="01E0"/>
      </w:tblPr>
      <w:tblGrid>
        <w:gridCol w:w="1250"/>
        <w:gridCol w:w="1588"/>
        <w:gridCol w:w="1588"/>
        <w:gridCol w:w="1285"/>
      </w:tblGrid>
      <w:tr>
        <w:trPr>
          <w:trHeight w:val="256" w:hRule="exact"/>
        </w:trPr>
        <w:tc>
          <w:tcPr>
            <w:tcW w:w="1250" w:type="dxa"/>
            <w:tcBorders>
              <w:top w:val="nil" w:sz="6" w:space="0" w:color="auto"/>
              <w:left w:val="nil" w:sz="6" w:space="0" w:color="auto"/>
              <w:bottom w:val="nil" w:sz="6" w:space="0" w:color="auto"/>
              <w:right w:val="nil" w:sz="6" w:space="0" w:color="auto"/>
            </w:tcBorders>
          </w:tcPr>
          <w:p>
            <w:pPr>
              <w:pStyle w:val="TableParagraph"/>
              <w:spacing w:line="163" w:lineRule="exact"/>
              <w:ind w:left="35" w:right="0"/>
              <w:jc w:val="left"/>
              <w:rPr>
                <w:rFonts w:ascii="Times New Roman" w:hAnsi="Times New Roman" w:cs="Times New Roman" w:eastAsia="Times New Roman" w:hint="default"/>
                <w:sz w:val="16"/>
                <w:szCs w:val="16"/>
              </w:rPr>
            </w:pPr>
            <w:r>
              <w:rPr>
                <w:rFonts w:ascii="Times New Roman"/>
                <w:sz w:val="16"/>
              </w:rPr>
              <w:t>3,746,671.08</w:t>
            </w:r>
          </w:p>
        </w:tc>
        <w:tc>
          <w:tcPr>
            <w:tcW w:w="1588" w:type="dxa"/>
            <w:tcBorders>
              <w:top w:val="nil" w:sz="6" w:space="0" w:color="auto"/>
              <w:left w:val="nil" w:sz="6" w:space="0" w:color="auto"/>
              <w:bottom w:val="nil" w:sz="6" w:space="0" w:color="auto"/>
              <w:right w:val="nil" w:sz="6" w:space="0" w:color="auto"/>
            </w:tcBorders>
          </w:tcPr>
          <w:p>
            <w:pPr>
              <w:pStyle w:val="TableParagraph"/>
              <w:spacing w:line="163" w:lineRule="exact"/>
              <w:ind w:right="0"/>
              <w:jc w:val="center"/>
              <w:rPr>
                <w:rFonts w:ascii="Times New Roman" w:hAnsi="Times New Roman" w:cs="Times New Roman" w:eastAsia="Times New Roman" w:hint="default"/>
                <w:sz w:val="16"/>
                <w:szCs w:val="16"/>
              </w:rPr>
            </w:pPr>
            <w:r>
              <w:rPr>
                <w:rFonts w:ascii="Times New Roman"/>
                <w:sz w:val="16"/>
              </w:rPr>
              <w:t>3,840,465.35</w:t>
            </w:r>
          </w:p>
        </w:tc>
        <w:tc>
          <w:tcPr>
            <w:tcW w:w="1588" w:type="dxa"/>
            <w:tcBorders>
              <w:top w:val="nil" w:sz="6" w:space="0" w:color="auto"/>
              <w:left w:val="nil" w:sz="6" w:space="0" w:color="auto"/>
              <w:bottom w:val="nil" w:sz="6" w:space="0" w:color="auto"/>
              <w:right w:val="nil" w:sz="6" w:space="0" w:color="auto"/>
            </w:tcBorders>
          </w:tcPr>
          <w:p>
            <w:pPr>
              <w:pStyle w:val="TableParagraph"/>
              <w:spacing w:line="163" w:lineRule="exact"/>
              <w:ind w:right="0"/>
              <w:jc w:val="center"/>
              <w:rPr>
                <w:rFonts w:ascii="Times New Roman" w:hAnsi="Times New Roman" w:cs="Times New Roman" w:eastAsia="Times New Roman" w:hint="default"/>
                <w:sz w:val="16"/>
                <w:szCs w:val="16"/>
              </w:rPr>
            </w:pPr>
            <w:r>
              <w:rPr>
                <w:rFonts w:ascii="Times New Roman"/>
                <w:sz w:val="16"/>
              </w:rPr>
              <w:t>6,351,354.33</w:t>
            </w:r>
          </w:p>
        </w:tc>
        <w:tc>
          <w:tcPr>
            <w:tcW w:w="1285" w:type="dxa"/>
            <w:tcBorders>
              <w:top w:val="nil" w:sz="6" w:space="0" w:color="auto"/>
              <w:left w:val="nil" w:sz="6" w:space="0" w:color="auto"/>
              <w:bottom w:val="nil" w:sz="6" w:space="0" w:color="auto"/>
              <w:right w:val="nil" w:sz="6" w:space="0" w:color="auto"/>
            </w:tcBorders>
          </w:tcPr>
          <w:p>
            <w:pPr>
              <w:pStyle w:val="TableParagraph"/>
              <w:spacing w:line="163" w:lineRule="exact"/>
              <w:ind w:right="68"/>
              <w:jc w:val="right"/>
              <w:rPr>
                <w:rFonts w:ascii="Times New Roman" w:hAnsi="Times New Roman" w:cs="Times New Roman" w:eastAsia="Times New Roman" w:hint="default"/>
                <w:sz w:val="16"/>
                <w:szCs w:val="16"/>
              </w:rPr>
            </w:pPr>
            <w:r>
              <w:rPr>
                <w:rFonts w:ascii="Times New Roman"/>
                <w:spacing w:val="-1"/>
                <w:sz w:val="16"/>
              </w:rPr>
              <w:t>1,235,782.10</w:t>
            </w:r>
          </w:p>
        </w:tc>
      </w:tr>
      <w:tr>
        <w:trPr>
          <w:trHeight w:val="350" w:hRule="exact"/>
        </w:trPr>
        <w:tc>
          <w:tcPr>
            <w:tcW w:w="1250" w:type="dxa"/>
            <w:tcBorders>
              <w:top w:val="nil" w:sz="6" w:space="0" w:color="auto"/>
              <w:left w:val="nil" w:sz="6" w:space="0" w:color="auto"/>
              <w:bottom w:val="nil" w:sz="6" w:space="0" w:color="auto"/>
              <w:right w:val="nil" w:sz="6" w:space="0" w:color="auto"/>
            </w:tcBorders>
          </w:tcPr>
          <w:p>
            <w:pPr>
              <w:pStyle w:val="TableParagraph"/>
              <w:spacing w:line="240" w:lineRule="auto" w:before="75"/>
              <w:ind w:left="35" w:right="0"/>
              <w:jc w:val="left"/>
              <w:rPr>
                <w:rFonts w:ascii="Times New Roman" w:hAnsi="Times New Roman" w:cs="Times New Roman" w:eastAsia="Times New Roman" w:hint="default"/>
                <w:sz w:val="16"/>
                <w:szCs w:val="16"/>
              </w:rPr>
            </w:pPr>
            <w:r>
              <w:rPr>
                <w:rFonts w:ascii="Times New Roman"/>
                <w:sz w:val="16"/>
              </w:rPr>
              <w:t>3,746,671.08</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0"/>
              <w:jc w:val="center"/>
              <w:rPr>
                <w:rFonts w:ascii="Times New Roman" w:hAnsi="Times New Roman" w:cs="Times New Roman" w:eastAsia="Times New Roman" w:hint="default"/>
                <w:sz w:val="16"/>
                <w:szCs w:val="16"/>
              </w:rPr>
            </w:pPr>
            <w:r>
              <w:rPr>
                <w:rFonts w:ascii="Times New Roman"/>
                <w:sz w:val="16"/>
              </w:rPr>
              <w:t>3,840,465.35</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0"/>
              <w:jc w:val="center"/>
              <w:rPr>
                <w:rFonts w:ascii="Times New Roman" w:hAnsi="Times New Roman" w:cs="Times New Roman" w:eastAsia="Times New Roman" w:hint="default"/>
                <w:sz w:val="16"/>
                <w:szCs w:val="16"/>
              </w:rPr>
            </w:pPr>
            <w:r>
              <w:rPr>
                <w:rFonts w:ascii="Times New Roman"/>
                <w:sz w:val="16"/>
              </w:rPr>
              <w:t>6,351,354.33</w:t>
            </w:r>
          </w:p>
        </w:tc>
        <w:tc>
          <w:tcPr>
            <w:tcW w:w="1285"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68"/>
              <w:jc w:val="right"/>
              <w:rPr>
                <w:rFonts w:ascii="Times New Roman" w:hAnsi="Times New Roman" w:cs="Times New Roman" w:eastAsia="Times New Roman" w:hint="default"/>
                <w:sz w:val="16"/>
                <w:szCs w:val="16"/>
              </w:rPr>
            </w:pPr>
            <w:r>
              <w:rPr>
                <w:rFonts w:ascii="Times New Roman"/>
                <w:spacing w:val="-1"/>
                <w:sz w:val="16"/>
              </w:rPr>
              <w:t>1,235,782.10</w:t>
            </w:r>
          </w:p>
        </w:tc>
      </w:tr>
    </w:tbl>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6"/>
          <w:szCs w:val="16"/>
        </w:rPr>
      </w:pPr>
    </w:p>
    <w:tbl>
      <w:tblPr>
        <w:tblW w:w="0" w:type="auto"/>
        <w:jc w:val="left"/>
        <w:tblInd w:w="102" w:type="dxa"/>
        <w:tblLayout w:type="fixed"/>
        <w:tblCellMar>
          <w:top w:w="0" w:type="dxa"/>
          <w:left w:w="0" w:type="dxa"/>
          <w:bottom w:w="0" w:type="dxa"/>
          <w:right w:w="0" w:type="dxa"/>
        </w:tblCellMar>
        <w:tblLook w:val="01E0"/>
      </w:tblPr>
      <w:tblGrid>
        <w:gridCol w:w="2316"/>
        <w:gridCol w:w="1896"/>
        <w:gridCol w:w="1603"/>
        <w:gridCol w:w="1603"/>
        <w:gridCol w:w="1416"/>
      </w:tblGrid>
      <w:tr>
        <w:trPr>
          <w:trHeight w:val="357" w:hRule="exact"/>
        </w:trPr>
        <w:tc>
          <w:tcPr>
            <w:tcW w:w="2316"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right="584"/>
              <w:jc w:val="righ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三十八</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3"/>
                <w:sz w:val="21"/>
                <w:szCs w:val="21"/>
              </w:rPr>
              <w:t> </w:t>
            </w:r>
            <w:r>
              <w:rPr>
                <w:rFonts w:ascii="宋体" w:hAnsi="宋体" w:cs="宋体" w:eastAsia="宋体" w:hint="default"/>
                <w:b/>
                <w:bCs/>
                <w:sz w:val="21"/>
                <w:szCs w:val="21"/>
              </w:rPr>
              <w:t>盈余公积</w:t>
            </w:r>
            <w:r>
              <w:rPr>
                <w:rFonts w:ascii="宋体" w:hAnsi="宋体" w:cs="宋体" w:eastAsia="宋体" w:hint="default"/>
                <w:sz w:val="21"/>
                <w:szCs w:val="21"/>
              </w:rPr>
            </w:r>
          </w:p>
        </w:tc>
        <w:tc>
          <w:tcPr>
            <w:tcW w:w="6518" w:type="dxa"/>
            <w:gridSpan w:val="4"/>
            <w:tcBorders>
              <w:top w:val="nil" w:sz="6" w:space="0" w:color="auto"/>
              <w:left w:val="nil" w:sz="6" w:space="0" w:color="auto"/>
              <w:bottom w:val="single" w:sz="12" w:space="0" w:color="000000"/>
              <w:right w:val="nil" w:sz="6" w:space="0" w:color="auto"/>
            </w:tcBorders>
          </w:tcPr>
          <w:p>
            <w:pPr/>
          </w:p>
        </w:tc>
      </w:tr>
      <w:tr>
        <w:trPr>
          <w:trHeight w:val="363" w:hRule="exact"/>
        </w:trPr>
        <w:tc>
          <w:tcPr>
            <w:tcW w:w="2316"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right="621"/>
              <w:jc w:val="right"/>
              <w:rPr>
                <w:rFonts w:ascii="宋体" w:hAnsi="宋体" w:cs="宋体" w:eastAsia="宋体" w:hint="default"/>
                <w:sz w:val="16"/>
                <w:szCs w:val="16"/>
              </w:rPr>
            </w:pPr>
            <w:r>
              <w:rPr>
                <w:rFonts w:ascii="宋体" w:hAnsi="宋体" w:cs="宋体" w:eastAsia="宋体" w:hint="default"/>
                <w:w w:val="95"/>
                <w:sz w:val="16"/>
                <w:szCs w:val="16"/>
              </w:rPr>
              <w:t>项目</w:t>
            </w:r>
            <w:r>
              <w:rPr>
                <w:rFonts w:ascii="宋体" w:hAnsi="宋体" w:cs="宋体" w:eastAsia="宋体" w:hint="default"/>
                <w:sz w:val="16"/>
                <w:szCs w:val="16"/>
              </w:rPr>
            </w:r>
          </w:p>
        </w:tc>
        <w:tc>
          <w:tcPr>
            <w:tcW w:w="1896"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586" w:right="0"/>
              <w:jc w:val="left"/>
              <w:rPr>
                <w:rFonts w:ascii="宋体" w:hAnsi="宋体" w:cs="宋体" w:eastAsia="宋体" w:hint="default"/>
                <w:sz w:val="16"/>
                <w:szCs w:val="16"/>
              </w:rPr>
            </w:pPr>
            <w:r>
              <w:rPr>
                <w:rFonts w:ascii="宋体" w:hAnsi="宋体" w:cs="宋体" w:eastAsia="宋体" w:hint="default"/>
                <w:sz w:val="16"/>
                <w:szCs w:val="16"/>
              </w:rPr>
              <w:t>年初余额</w:t>
            </w:r>
          </w:p>
        </w:tc>
        <w:tc>
          <w:tcPr>
            <w:tcW w:w="1603"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93" w:right="0"/>
              <w:jc w:val="left"/>
              <w:rPr>
                <w:rFonts w:ascii="宋体" w:hAnsi="宋体" w:cs="宋体" w:eastAsia="宋体" w:hint="default"/>
                <w:sz w:val="16"/>
                <w:szCs w:val="16"/>
              </w:rPr>
            </w:pPr>
            <w:r>
              <w:rPr>
                <w:rFonts w:ascii="宋体" w:hAnsi="宋体" w:cs="宋体" w:eastAsia="宋体" w:hint="default"/>
                <w:sz w:val="16"/>
                <w:szCs w:val="16"/>
              </w:rPr>
              <w:t>本期增加</w:t>
            </w:r>
          </w:p>
        </w:tc>
        <w:tc>
          <w:tcPr>
            <w:tcW w:w="1603"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93" w:right="0"/>
              <w:jc w:val="left"/>
              <w:rPr>
                <w:rFonts w:ascii="宋体" w:hAnsi="宋体" w:cs="宋体" w:eastAsia="宋体" w:hint="default"/>
                <w:sz w:val="16"/>
                <w:szCs w:val="16"/>
              </w:rPr>
            </w:pPr>
            <w:r>
              <w:rPr>
                <w:rFonts w:ascii="宋体" w:hAnsi="宋体" w:cs="宋体" w:eastAsia="宋体" w:hint="default"/>
                <w:sz w:val="16"/>
                <w:szCs w:val="16"/>
              </w:rPr>
              <w:t>本期减少</w:t>
            </w:r>
          </w:p>
        </w:tc>
        <w:tc>
          <w:tcPr>
            <w:tcW w:w="1416"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94" w:right="0"/>
              <w:jc w:val="left"/>
              <w:rPr>
                <w:rFonts w:ascii="宋体" w:hAnsi="宋体" w:cs="宋体" w:eastAsia="宋体" w:hint="default"/>
                <w:sz w:val="16"/>
                <w:szCs w:val="16"/>
              </w:rPr>
            </w:pPr>
            <w:r>
              <w:rPr>
                <w:rFonts w:ascii="宋体" w:hAnsi="宋体" w:cs="宋体" w:eastAsia="宋体" w:hint="default"/>
                <w:sz w:val="16"/>
                <w:szCs w:val="16"/>
              </w:rPr>
              <w:t>期末余额</w:t>
            </w:r>
          </w:p>
        </w:tc>
      </w:tr>
      <w:tr>
        <w:trPr>
          <w:trHeight w:val="360" w:hRule="exact"/>
        </w:trPr>
        <w:tc>
          <w:tcPr>
            <w:tcW w:w="2316"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600"/>
              <w:jc w:val="right"/>
              <w:rPr>
                <w:rFonts w:ascii="宋体" w:hAnsi="宋体" w:cs="宋体" w:eastAsia="宋体" w:hint="default"/>
                <w:sz w:val="16"/>
                <w:szCs w:val="16"/>
              </w:rPr>
            </w:pPr>
            <w:r>
              <w:rPr>
                <w:rFonts w:ascii="宋体" w:hAnsi="宋体" w:cs="宋体" w:eastAsia="宋体" w:hint="default"/>
                <w:w w:val="95"/>
                <w:sz w:val="16"/>
                <w:szCs w:val="16"/>
              </w:rPr>
              <w:t>法定盈余公积</w:t>
            </w:r>
            <w:r>
              <w:rPr>
                <w:rFonts w:ascii="宋体" w:hAnsi="宋体" w:cs="宋体" w:eastAsia="宋体" w:hint="default"/>
                <w:sz w:val="16"/>
                <w:szCs w:val="16"/>
              </w:rPr>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292"/>
              <w:jc w:val="right"/>
              <w:rPr>
                <w:rFonts w:ascii="Times New Roman" w:hAnsi="Times New Roman" w:cs="Times New Roman" w:eastAsia="Times New Roman" w:hint="default"/>
                <w:sz w:val="16"/>
                <w:szCs w:val="16"/>
              </w:rPr>
            </w:pPr>
            <w:r>
              <w:rPr>
                <w:rFonts w:ascii="Times New Roman"/>
                <w:spacing w:val="-1"/>
                <w:sz w:val="16"/>
              </w:rPr>
              <w:t>287,781,288.70</w:t>
            </w:r>
          </w:p>
        </w:tc>
        <w:tc>
          <w:tcPr>
            <w:tcW w:w="1603"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291"/>
              <w:jc w:val="right"/>
              <w:rPr>
                <w:rFonts w:ascii="Times New Roman" w:hAnsi="Times New Roman" w:cs="Times New Roman" w:eastAsia="Times New Roman" w:hint="default"/>
                <w:sz w:val="16"/>
                <w:szCs w:val="16"/>
              </w:rPr>
            </w:pPr>
            <w:r>
              <w:rPr>
                <w:rFonts w:ascii="Times New Roman"/>
                <w:spacing w:val="-1"/>
                <w:sz w:val="16"/>
              </w:rPr>
              <w:t>61,570,950.03</w:t>
            </w:r>
          </w:p>
        </w:tc>
        <w:tc>
          <w:tcPr>
            <w:tcW w:w="1603" w:type="dxa"/>
            <w:tcBorders>
              <w:top w:val="nil" w:sz="6" w:space="0" w:color="auto"/>
              <w:left w:val="nil" w:sz="6" w:space="0" w:color="auto"/>
              <w:bottom w:val="nil" w:sz="6" w:space="0" w:color="auto"/>
              <w:right w:val="nil" w:sz="6" w:space="0" w:color="auto"/>
            </w:tcBorders>
          </w:tcPr>
          <w:p>
            <w:pPr>
              <w:pStyle w:val="TableParagraph"/>
              <w:spacing w:line="240" w:lineRule="auto" w:before="89"/>
              <w:ind w:left="308" w:right="0"/>
              <w:jc w:val="left"/>
              <w:rPr>
                <w:rFonts w:ascii="Times New Roman" w:hAnsi="Times New Roman" w:cs="Times New Roman" w:eastAsia="Times New Roman" w:hint="default"/>
                <w:sz w:val="16"/>
                <w:szCs w:val="16"/>
              </w:rPr>
            </w:pPr>
            <w:r>
              <w:rPr>
                <w:rFonts w:ascii="Times New Roman"/>
                <w:sz w:val="16"/>
              </w:rPr>
              <w:t>104,176,128.81</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05"/>
              <w:jc w:val="right"/>
              <w:rPr>
                <w:rFonts w:ascii="Times New Roman" w:hAnsi="Times New Roman" w:cs="Times New Roman" w:eastAsia="Times New Roman" w:hint="default"/>
                <w:sz w:val="16"/>
                <w:szCs w:val="16"/>
              </w:rPr>
            </w:pPr>
            <w:r>
              <w:rPr>
                <w:rFonts w:ascii="Times New Roman"/>
                <w:spacing w:val="-1"/>
                <w:sz w:val="16"/>
              </w:rPr>
              <w:t>245,176,109.92</w:t>
            </w:r>
          </w:p>
        </w:tc>
      </w:tr>
      <w:tr>
        <w:trPr>
          <w:trHeight w:val="701" w:hRule="exact"/>
        </w:trPr>
        <w:tc>
          <w:tcPr>
            <w:tcW w:w="2316" w:type="dxa"/>
            <w:tcBorders>
              <w:top w:val="nil" w:sz="6" w:space="0" w:color="auto"/>
              <w:left w:val="nil" w:sz="6" w:space="0" w:color="auto"/>
              <w:bottom w:val="nil" w:sz="6" w:space="0" w:color="auto"/>
              <w:right w:val="nil" w:sz="6" w:space="0" w:color="auto"/>
            </w:tcBorders>
          </w:tcPr>
          <w:p>
            <w:pPr>
              <w:pStyle w:val="TableParagraph"/>
              <w:spacing w:line="405" w:lineRule="auto" w:before="40"/>
              <w:ind w:left="755" w:right="600"/>
              <w:jc w:val="left"/>
              <w:rPr>
                <w:rFonts w:ascii="宋体" w:hAnsi="宋体" w:cs="宋体" w:eastAsia="宋体" w:hint="default"/>
                <w:sz w:val="16"/>
                <w:szCs w:val="16"/>
              </w:rPr>
            </w:pPr>
            <w:r>
              <w:rPr>
                <w:rFonts w:ascii="宋体" w:hAnsi="宋体" w:cs="宋体" w:eastAsia="宋体" w:hint="default"/>
                <w:sz w:val="16"/>
                <w:szCs w:val="16"/>
              </w:rPr>
              <w:t>任意盈余公积</w:t>
            </w:r>
            <w:r>
              <w:rPr>
                <w:rFonts w:ascii="宋体" w:hAnsi="宋体" w:cs="宋体" w:eastAsia="宋体" w:hint="default"/>
                <w:w w:val="99"/>
                <w:sz w:val="16"/>
                <w:szCs w:val="16"/>
              </w:rPr>
              <w:t> </w:t>
            </w:r>
            <w:r>
              <w:rPr>
                <w:rFonts w:ascii="宋体" w:hAnsi="宋体" w:cs="宋体" w:eastAsia="宋体" w:hint="default"/>
                <w:sz w:val="16"/>
                <w:szCs w:val="16"/>
              </w:rPr>
              <w:t>储备基金</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93"/>
              <w:jc w:val="right"/>
              <w:rPr>
                <w:rFonts w:ascii="Times New Roman" w:hAnsi="Times New Roman" w:cs="Times New Roman" w:eastAsia="Times New Roman" w:hint="default"/>
                <w:sz w:val="16"/>
                <w:szCs w:val="16"/>
              </w:rPr>
            </w:pPr>
            <w:r>
              <w:rPr>
                <w:rFonts w:ascii="Times New Roman"/>
                <w:spacing w:val="-1"/>
                <w:sz w:val="16"/>
              </w:rPr>
              <w:t>3,607,282.75</w:t>
            </w:r>
          </w:p>
        </w:tc>
        <w:tc>
          <w:tcPr>
            <w:tcW w:w="1603" w:type="dxa"/>
            <w:tcBorders>
              <w:top w:val="nil" w:sz="6" w:space="0" w:color="auto"/>
              <w:left w:val="nil" w:sz="6" w:space="0" w:color="auto"/>
              <w:bottom w:val="nil" w:sz="6" w:space="0" w:color="auto"/>
              <w:right w:val="nil" w:sz="6" w:space="0" w:color="auto"/>
            </w:tcBorders>
          </w:tcPr>
          <w:p>
            <w:pPr/>
          </w:p>
        </w:tc>
        <w:tc>
          <w:tcPr>
            <w:tcW w:w="1603"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4"/>
              <w:jc w:val="right"/>
              <w:rPr>
                <w:rFonts w:ascii="Times New Roman" w:hAnsi="Times New Roman" w:cs="Times New Roman" w:eastAsia="Times New Roman" w:hint="default"/>
                <w:sz w:val="16"/>
                <w:szCs w:val="16"/>
              </w:rPr>
            </w:pPr>
            <w:r>
              <w:rPr>
                <w:rFonts w:ascii="Times New Roman"/>
                <w:spacing w:val="-1"/>
                <w:sz w:val="16"/>
              </w:rPr>
              <w:t>3,607,282.75</w:t>
            </w:r>
          </w:p>
        </w:tc>
      </w:tr>
      <w:tr>
        <w:trPr>
          <w:trHeight w:val="353" w:hRule="exact"/>
        </w:trPr>
        <w:tc>
          <w:tcPr>
            <w:tcW w:w="2316"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600"/>
              <w:jc w:val="right"/>
              <w:rPr>
                <w:rFonts w:ascii="宋体" w:hAnsi="宋体" w:cs="宋体" w:eastAsia="宋体" w:hint="default"/>
                <w:sz w:val="16"/>
                <w:szCs w:val="16"/>
              </w:rPr>
            </w:pPr>
            <w:r>
              <w:rPr>
                <w:rFonts w:ascii="宋体" w:hAnsi="宋体" w:cs="宋体" w:eastAsia="宋体" w:hint="default"/>
                <w:w w:val="95"/>
                <w:sz w:val="16"/>
                <w:szCs w:val="16"/>
              </w:rPr>
              <w:t>企业发展基金</w:t>
            </w:r>
            <w:r>
              <w:rPr>
                <w:rFonts w:ascii="宋体" w:hAnsi="宋体" w:cs="宋体" w:eastAsia="宋体" w:hint="default"/>
                <w:sz w:val="16"/>
                <w:szCs w:val="16"/>
              </w:rPr>
            </w:r>
          </w:p>
        </w:tc>
        <w:tc>
          <w:tcPr>
            <w:tcW w:w="1896" w:type="dxa"/>
            <w:tcBorders>
              <w:top w:val="nil" w:sz="6" w:space="0" w:color="auto"/>
              <w:left w:val="nil" w:sz="6" w:space="0" w:color="auto"/>
              <w:bottom w:val="nil" w:sz="6" w:space="0" w:color="auto"/>
              <w:right w:val="nil" w:sz="6" w:space="0" w:color="auto"/>
            </w:tcBorders>
          </w:tcPr>
          <w:p>
            <w:pPr/>
          </w:p>
        </w:tc>
        <w:tc>
          <w:tcPr>
            <w:tcW w:w="1603" w:type="dxa"/>
            <w:tcBorders>
              <w:top w:val="nil" w:sz="6" w:space="0" w:color="auto"/>
              <w:left w:val="nil" w:sz="6" w:space="0" w:color="auto"/>
              <w:bottom w:val="nil" w:sz="6" w:space="0" w:color="auto"/>
              <w:right w:val="nil" w:sz="6" w:space="0" w:color="auto"/>
            </w:tcBorders>
          </w:tcPr>
          <w:p>
            <w:pPr/>
          </w:p>
        </w:tc>
        <w:tc>
          <w:tcPr>
            <w:tcW w:w="1603"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
        </w:tc>
      </w:tr>
      <w:tr>
        <w:trPr>
          <w:trHeight w:val="353" w:hRule="exact"/>
        </w:trPr>
        <w:tc>
          <w:tcPr>
            <w:tcW w:w="2316" w:type="dxa"/>
            <w:tcBorders>
              <w:top w:val="nil" w:sz="6" w:space="0" w:color="auto"/>
              <w:left w:val="nil" w:sz="6" w:space="0" w:color="auto"/>
              <w:bottom w:val="nil" w:sz="6" w:space="0" w:color="auto"/>
              <w:right w:val="nil" w:sz="6" w:space="0" w:color="auto"/>
            </w:tcBorders>
          </w:tcPr>
          <w:p>
            <w:pPr>
              <w:pStyle w:val="TableParagraph"/>
              <w:spacing w:line="240" w:lineRule="auto" w:before="47"/>
              <w:ind w:left="755"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1896" w:type="dxa"/>
            <w:tcBorders>
              <w:top w:val="nil" w:sz="6" w:space="0" w:color="auto"/>
              <w:left w:val="nil" w:sz="6" w:space="0" w:color="auto"/>
              <w:bottom w:val="nil" w:sz="6" w:space="0" w:color="auto"/>
              <w:right w:val="nil" w:sz="6" w:space="0" w:color="auto"/>
            </w:tcBorders>
          </w:tcPr>
          <w:p>
            <w:pPr/>
          </w:p>
        </w:tc>
        <w:tc>
          <w:tcPr>
            <w:tcW w:w="1603" w:type="dxa"/>
            <w:tcBorders>
              <w:top w:val="nil" w:sz="6" w:space="0" w:color="auto"/>
              <w:left w:val="nil" w:sz="6" w:space="0" w:color="auto"/>
              <w:bottom w:val="nil" w:sz="6" w:space="0" w:color="auto"/>
              <w:right w:val="nil" w:sz="6" w:space="0" w:color="auto"/>
            </w:tcBorders>
          </w:tcPr>
          <w:p>
            <w:pPr/>
          </w:p>
        </w:tc>
        <w:tc>
          <w:tcPr>
            <w:tcW w:w="1603"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
        </w:tc>
      </w:tr>
      <w:tr>
        <w:trPr>
          <w:trHeight w:val="365" w:hRule="exact"/>
        </w:trPr>
        <w:tc>
          <w:tcPr>
            <w:tcW w:w="2316" w:type="dxa"/>
            <w:tcBorders>
              <w:top w:val="nil" w:sz="6" w:space="0" w:color="auto"/>
              <w:left w:val="nil" w:sz="6" w:space="0" w:color="auto"/>
              <w:bottom w:val="single" w:sz="12" w:space="0" w:color="000000"/>
              <w:right w:val="nil" w:sz="6" w:space="0" w:color="auto"/>
            </w:tcBorders>
          </w:tcPr>
          <w:p>
            <w:pPr>
              <w:pStyle w:val="TableParagraph"/>
              <w:spacing w:line="240" w:lineRule="auto" w:before="47"/>
              <w:ind w:right="621"/>
              <w:jc w:val="right"/>
              <w:rPr>
                <w:rFonts w:ascii="宋体" w:hAnsi="宋体" w:cs="宋体" w:eastAsia="宋体" w:hint="default"/>
                <w:sz w:val="16"/>
                <w:szCs w:val="16"/>
              </w:rPr>
            </w:pPr>
            <w:r>
              <w:rPr>
                <w:rFonts w:ascii="宋体" w:hAnsi="宋体" w:cs="宋体" w:eastAsia="宋体" w:hint="default"/>
                <w:w w:val="95"/>
                <w:sz w:val="16"/>
                <w:szCs w:val="16"/>
              </w:rPr>
              <w:t>合计</w:t>
            </w:r>
            <w:r>
              <w:rPr>
                <w:rFonts w:ascii="宋体" w:hAnsi="宋体" w:cs="宋体" w:eastAsia="宋体" w:hint="default"/>
                <w:sz w:val="16"/>
                <w:szCs w:val="16"/>
              </w:rPr>
            </w:r>
          </w:p>
        </w:tc>
        <w:tc>
          <w:tcPr>
            <w:tcW w:w="1896" w:type="dxa"/>
            <w:tcBorders>
              <w:top w:val="nil" w:sz="6" w:space="0" w:color="auto"/>
              <w:left w:val="nil" w:sz="6" w:space="0" w:color="auto"/>
              <w:bottom w:val="single" w:sz="12" w:space="0" w:color="000000"/>
              <w:right w:val="nil" w:sz="6" w:space="0" w:color="auto"/>
            </w:tcBorders>
          </w:tcPr>
          <w:p>
            <w:pPr>
              <w:pStyle w:val="TableParagraph"/>
              <w:spacing w:line="240" w:lineRule="auto" w:before="89"/>
              <w:ind w:right="292"/>
              <w:jc w:val="right"/>
              <w:rPr>
                <w:rFonts w:ascii="Times New Roman" w:hAnsi="Times New Roman" w:cs="Times New Roman" w:eastAsia="Times New Roman" w:hint="default"/>
                <w:sz w:val="16"/>
                <w:szCs w:val="16"/>
              </w:rPr>
            </w:pPr>
            <w:r>
              <w:rPr>
                <w:rFonts w:ascii="Times New Roman"/>
                <w:spacing w:val="-1"/>
                <w:sz w:val="16"/>
              </w:rPr>
              <w:t>291,388,571.45</w:t>
            </w:r>
          </w:p>
        </w:tc>
        <w:tc>
          <w:tcPr>
            <w:tcW w:w="1603" w:type="dxa"/>
            <w:tcBorders>
              <w:top w:val="nil" w:sz="6" w:space="0" w:color="auto"/>
              <w:left w:val="nil" w:sz="6" w:space="0" w:color="auto"/>
              <w:bottom w:val="single" w:sz="12" w:space="0" w:color="000000"/>
              <w:right w:val="nil" w:sz="6" w:space="0" w:color="auto"/>
            </w:tcBorders>
          </w:tcPr>
          <w:p>
            <w:pPr>
              <w:pStyle w:val="TableParagraph"/>
              <w:spacing w:line="240" w:lineRule="auto" w:before="89"/>
              <w:ind w:right="291"/>
              <w:jc w:val="right"/>
              <w:rPr>
                <w:rFonts w:ascii="Times New Roman" w:hAnsi="Times New Roman" w:cs="Times New Roman" w:eastAsia="Times New Roman" w:hint="default"/>
                <w:sz w:val="16"/>
                <w:szCs w:val="16"/>
              </w:rPr>
            </w:pPr>
            <w:r>
              <w:rPr>
                <w:rFonts w:ascii="Times New Roman"/>
                <w:spacing w:val="-1"/>
                <w:sz w:val="16"/>
              </w:rPr>
              <w:t>61,570,950.03</w:t>
            </w:r>
          </w:p>
        </w:tc>
        <w:tc>
          <w:tcPr>
            <w:tcW w:w="1603" w:type="dxa"/>
            <w:tcBorders>
              <w:top w:val="nil" w:sz="6" w:space="0" w:color="auto"/>
              <w:left w:val="nil" w:sz="6" w:space="0" w:color="auto"/>
              <w:bottom w:val="single" w:sz="12" w:space="0" w:color="000000"/>
              <w:right w:val="nil" w:sz="6" w:space="0" w:color="auto"/>
            </w:tcBorders>
          </w:tcPr>
          <w:p>
            <w:pPr>
              <w:pStyle w:val="TableParagraph"/>
              <w:spacing w:line="240" w:lineRule="auto" w:before="89"/>
              <w:ind w:left="308" w:right="0"/>
              <w:jc w:val="left"/>
              <w:rPr>
                <w:rFonts w:ascii="Times New Roman" w:hAnsi="Times New Roman" w:cs="Times New Roman" w:eastAsia="Times New Roman" w:hint="default"/>
                <w:sz w:val="16"/>
                <w:szCs w:val="16"/>
              </w:rPr>
            </w:pPr>
            <w:r>
              <w:rPr>
                <w:rFonts w:ascii="Times New Roman"/>
                <w:sz w:val="16"/>
              </w:rPr>
              <w:t>104,176,128.81</w:t>
            </w:r>
          </w:p>
        </w:tc>
        <w:tc>
          <w:tcPr>
            <w:tcW w:w="1416" w:type="dxa"/>
            <w:tcBorders>
              <w:top w:val="nil" w:sz="6" w:space="0" w:color="auto"/>
              <w:left w:val="nil" w:sz="6" w:space="0" w:color="auto"/>
              <w:bottom w:val="single" w:sz="12" w:space="0" w:color="000000"/>
              <w:right w:val="nil" w:sz="6" w:space="0" w:color="auto"/>
            </w:tcBorders>
          </w:tcPr>
          <w:p>
            <w:pPr>
              <w:pStyle w:val="TableParagraph"/>
              <w:spacing w:line="240" w:lineRule="auto" w:before="89"/>
              <w:ind w:right="105"/>
              <w:jc w:val="right"/>
              <w:rPr>
                <w:rFonts w:ascii="Times New Roman" w:hAnsi="Times New Roman" w:cs="Times New Roman" w:eastAsia="Times New Roman" w:hint="default"/>
                <w:sz w:val="16"/>
                <w:szCs w:val="16"/>
              </w:rPr>
            </w:pPr>
            <w:r>
              <w:rPr>
                <w:rFonts w:ascii="Times New Roman"/>
                <w:spacing w:val="-1"/>
                <w:sz w:val="16"/>
              </w:rPr>
              <w:t>248,783,392.67</w:t>
            </w:r>
          </w:p>
        </w:tc>
      </w:tr>
    </w:tbl>
    <w:p>
      <w:pPr>
        <w:pStyle w:val="BodyText"/>
        <w:spacing w:line="240" w:lineRule="auto" w:before="78"/>
        <w:ind w:left="851" w:right="0"/>
        <w:jc w:val="both"/>
      </w:pPr>
      <w:r>
        <w:rPr/>
        <w:pict>
          <v:group style="position:absolute;margin-left:119.520004pt;margin-top:-125.496338pt;width:411.6pt;height:123.25pt;mso-position-horizontal-relative:page;mso-position-vertical-relative:paragraph;z-index:-1378600" coordorigin="2390,-2510" coordsize="8232,2465">
            <v:shape style="position:absolute;left:4178;top:-2510;width:10;height:28" type="#_x0000_t75" stroked="false">
              <v:imagedata r:id="rId45" o:title=""/>
            </v:shape>
            <v:shape style="position:absolute;left:5784;top:-2510;width:10;height:28" type="#_x0000_t75" stroked="false">
              <v:imagedata r:id="rId45" o:title=""/>
            </v:shape>
            <v:shape style="position:absolute;left:7387;top:-2510;width:10;height:28" type="#_x0000_t75" stroked="false">
              <v:imagedata r:id="rId45" o:title=""/>
            </v:shape>
            <v:shape style="position:absolute;left:8990;top:-2510;width:10;height:28" type="#_x0000_t75" stroked="false">
              <v:imagedata r:id="rId45" o:title=""/>
            </v:shape>
            <v:shape style="position:absolute;left:4159;top:-2502;width:4860;height:354" type="#_x0000_t75" stroked="false">
              <v:imagedata r:id="rId299" o:title=""/>
            </v:shape>
            <v:shape style="position:absolute;left:2390;top:-2186;width:8232;height:2141" type="#_x0000_t75" stroked="false">
              <v:imagedata r:id="rId300" o:title=""/>
            </v:shape>
            <w10:wrap type="none"/>
          </v:group>
        </w:pict>
      </w:r>
      <w:r>
        <w:rPr/>
        <w:t>说明：</w:t>
      </w:r>
    </w:p>
    <w:p>
      <w:pPr>
        <w:pStyle w:val="BodyText"/>
        <w:spacing w:line="240" w:lineRule="auto" w:before="125"/>
        <w:ind w:left="851" w:right="0"/>
        <w:jc w:val="both"/>
      </w:pPr>
      <w:r>
        <w:rPr>
          <w:rFonts w:ascii="Times New Roman" w:hAnsi="Times New Roman" w:cs="Times New Roman" w:eastAsia="Times New Roman" w:hint="default"/>
        </w:rPr>
        <w:t>1</w:t>
      </w:r>
      <w:r>
        <w:rPr/>
        <w:t>、本期按母公司净利润</w:t>
      </w:r>
      <w:r>
        <w:rPr>
          <w:spacing w:val="-58"/>
        </w:rPr>
        <w:t> </w:t>
      </w:r>
      <w:r>
        <w:rPr>
          <w:rFonts w:ascii="Times New Roman" w:hAnsi="Times New Roman" w:cs="Times New Roman" w:eastAsia="Times New Roman" w:hint="default"/>
        </w:rPr>
        <w:t>10%</w:t>
      </w:r>
      <w:r>
        <w:rPr/>
        <w:t>计提法定盈余公积</w:t>
      </w:r>
      <w:r>
        <w:rPr>
          <w:spacing w:val="-58"/>
        </w:rPr>
        <w:t> </w:t>
      </w:r>
      <w:r>
        <w:rPr>
          <w:rFonts w:ascii="Times New Roman" w:hAnsi="Times New Roman" w:cs="Times New Roman" w:eastAsia="Times New Roman" w:hint="default"/>
        </w:rPr>
        <w:t>61,570,950.03</w:t>
      </w:r>
      <w:r>
        <w:rPr>
          <w:rFonts w:ascii="Times New Roman" w:hAnsi="Times New Roman" w:cs="Times New Roman" w:eastAsia="Times New Roman" w:hint="default"/>
          <w:spacing w:val="-5"/>
        </w:rPr>
        <w:t> </w:t>
      </w:r>
      <w:r>
        <w:rPr/>
        <w:t>元；</w:t>
      </w:r>
    </w:p>
    <w:p>
      <w:pPr>
        <w:pStyle w:val="BodyText"/>
        <w:spacing w:line="340" w:lineRule="auto"/>
        <w:ind w:left="851" w:right="1792"/>
        <w:jc w:val="both"/>
      </w:pPr>
      <w:r>
        <w:rPr>
          <w:rFonts w:ascii="Times New Roman" w:hAnsi="Times New Roman" w:cs="Times New Roman" w:eastAsia="Times New Roman" w:hint="default"/>
          <w:spacing w:val="-2"/>
        </w:rPr>
        <w:t>2</w:t>
      </w:r>
      <w:r>
        <w:rPr>
          <w:spacing w:val="-2"/>
        </w:rPr>
        <w:t>、本期子公司中国长城计算机（香港）控股有限公司、二级子公司武汉中原电子集</w:t>
      </w:r>
      <w:r>
        <w:rPr>
          <w:spacing w:val="-99"/>
        </w:rPr>
        <w:t> </w:t>
      </w:r>
      <w:r>
        <w:rPr>
          <w:spacing w:val="-99"/>
        </w:rPr>
      </w:r>
      <w:r>
        <w:rPr/>
        <w:t>团有限公司购买少数股权支付对价超过取得净资产差额因资本溢价不足冲减，冲减 盈余公积共计</w:t>
      </w:r>
      <w:r>
        <w:rPr>
          <w:spacing w:val="-56"/>
        </w:rPr>
        <w:t> </w:t>
      </w:r>
      <w:r>
        <w:rPr>
          <w:rFonts w:ascii="Times New Roman" w:hAnsi="Times New Roman" w:cs="Times New Roman" w:eastAsia="Times New Roman" w:hint="default"/>
        </w:rPr>
        <w:t>8,054,704.53</w:t>
      </w:r>
      <w:r>
        <w:rPr>
          <w:rFonts w:ascii="Times New Roman" w:hAnsi="Times New Roman" w:cs="Times New Roman" w:eastAsia="Times New Roman" w:hint="default"/>
          <w:spacing w:val="-3"/>
        </w:rPr>
        <w:t> </w:t>
      </w:r>
      <w:r>
        <w:rPr/>
        <w:t>元；</w:t>
      </w:r>
    </w:p>
    <w:p>
      <w:pPr>
        <w:pStyle w:val="BodyText"/>
        <w:spacing w:line="240" w:lineRule="auto" w:before="11"/>
        <w:ind w:left="851" w:right="0"/>
        <w:jc w:val="both"/>
      </w:pPr>
      <w:r>
        <w:rPr>
          <w:rFonts w:ascii="Times New Roman" w:hAnsi="Times New Roman" w:cs="Times New Roman" w:eastAsia="Times New Roman" w:hint="default"/>
        </w:rPr>
        <w:t>3</w:t>
      </w:r>
      <w:r>
        <w:rPr/>
        <w:t>、本期减少盈余公积</w:t>
      </w:r>
      <w:r>
        <w:rPr>
          <w:spacing w:val="-57"/>
        </w:rPr>
        <w:t> </w:t>
      </w:r>
      <w:r>
        <w:rPr>
          <w:rFonts w:ascii="Times New Roman" w:hAnsi="Times New Roman" w:cs="Times New Roman" w:eastAsia="Times New Roman" w:hint="default"/>
        </w:rPr>
        <w:t>96,121,424.28</w:t>
      </w:r>
      <w:r>
        <w:rPr>
          <w:rFonts w:ascii="Times New Roman" w:hAnsi="Times New Roman" w:cs="Times New Roman" w:eastAsia="Times New Roman" w:hint="default"/>
          <w:spacing w:val="-4"/>
        </w:rPr>
        <w:t> </w:t>
      </w:r>
      <w:r>
        <w:rPr/>
        <w:t>元详见（三十四）资本公积说明</w:t>
      </w:r>
      <w:r>
        <w:rPr>
          <w:spacing w:val="-57"/>
        </w:rPr>
        <w:t> </w:t>
      </w:r>
      <w:r>
        <w:rPr>
          <w:rFonts w:ascii="Times New Roman" w:hAnsi="Times New Roman" w:cs="Times New Roman" w:eastAsia="Times New Roman" w:hint="default"/>
        </w:rPr>
        <w:t>5</w:t>
      </w:r>
      <w:r>
        <w:rPr/>
        <w:t>。</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tbl>
      <w:tblPr>
        <w:tblW w:w="0" w:type="auto"/>
        <w:jc w:val="left"/>
        <w:tblInd w:w="102" w:type="dxa"/>
        <w:tblLayout w:type="fixed"/>
        <w:tblCellMar>
          <w:top w:w="0" w:type="dxa"/>
          <w:left w:w="0" w:type="dxa"/>
          <w:bottom w:w="0" w:type="dxa"/>
          <w:right w:w="0" w:type="dxa"/>
        </w:tblCellMar>
        <w:tblLook w:val="01E0"/>
      </w:tblPr>
      <w:tblGrid>
        <w:gridCol w:w="4804"/>
        <w:gridCol w:w="2342"/>
        <w:gridCol w:w="1688"/>
      </w:tblGrid>
      <w:tr>
        <w:trPr>
          <w:trHeight w:val="357" w:hRule="exact"/>
        </w:trPr>
        <w:tc>
          <w:tcPr>
            <w:tcW w:w="4804"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三十九</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1"/>
                <w:sz w:val="21"/>
                <w:szCs w:val="21"/>
              </w:rPr>
              <w:t> </w:t>
            </w:r>
            <w:r>
              <w:rPr>
                <w:rFonts w:ascii="宋体" w:hAnsi="宋体" w:cs="宋体" w:eastAsia="宋体" w:hint="default"/>
                <w:b/>
                <w:bCs/>
                <w:sz w:val="21"/>
                <w:szCs w:val="21"/>
              </w:rPr>
              <w:t>未分配利润</w:t>
            </w:r>
            <w:r>
              <w:rPr>
                <w:rFonts w:ascii="宋体" w:hAnsi="宋体" w:cs="宋体" w:eastAsia="宋体" w:hint="default"/>
                <w:sz w:val="21"/>
                <w:szCs w:val="21"/>
              </w:rPr>
            </w:r>
          </w:p>
        </w:tc>
        <w:tc>
          <w:tcPr>
            <w:tcW w:w="4030" w:type="dxa"/>
            <w:gridSpan w:val="2"/>
            <w:tcBorders>
              <w:top w:val="nil" w:sz="6" w:space="0" w:color="auto"/>
              <w:left w:val="nil" w:sz="6" w:space="0" w:color="auto"/>
              <w:bottom w:val="single" w:sz="12" w:space="0" w:color="000000"/>
              <w:right w:val="nil" w:sz="6" w:space="0" w:color="auto"/>
            </w:tcBorders>
          </w:tcPr>
          <w:p>
            <w:pPr/>
          </w:p>
        </w:tc>
      </w:tr>
      <w:tr>
        <w:trPr>
          <w:trHeight w:val="363" w:hRule="exact"/>
        </w:trPr>
        <w:tc>
          <w:tcPr>
            <w:tcW w:w="4804"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left="595" w:right="0"/>
              <w:jc w:val="center"/>
              <w:rPr>
                <w:rFonts w:ascii="宋体" w:hAnsi="宋体" w:cs="宋体" w:eastAsia="宋体" w:hint="default"/>
                <w:sz w:val="16"/>
                <w:szCs w:val="16"/>
              </w:rPr>
            </w:pPr>
            <w:r>
              <w:rPr>
                <w:rFonts w:ascii="宋体" w:hAnsi="宋体" w:cs="宋体" w:eastAsia="宋体" w:hint="default"/>
                <w:sz w:val="16"/>
                <w:szCs w:val="16"/>
              </w:rPr>
              <w:t>项目</w:t>
            </w:r>
          </w:p>
        </w:tc>
        <w:tc>
          <w:tcPr>
            <w:tcW w:w="2342"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right="404"/>
              <w:jc w:val="center"/>
              <w:rPr>
                <w:rFonts w:ascii="宋体" w:hAnsi="宋体" w:cs="宋体" w:eastAsia="宋体" w:hint="default"/>
                <w:sz w:val="16"/>
                <w:szCs w:val="16"/>
              </w:rPr>
            </w:pPr>
            <w:r>
              <w:rPr>
                <w:rFonts w:ascii="宋体" w:hAnsi="宋体" w:cs="宋体" w:eastAsia="宋体" w:hint="default"/>
                <w:sz w:val="16"/>
                <w:szCs w:val="16"/>
              </w:rPr>
              <w:t>本期</w:t>
            </w:r>
          </w:p>
        </w:tc>
        <w:tc>
          <w:tcPr>
            <w:tcW w:w="1688"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left="506" w:right="0"/>
              <w:jc w:val="left"/>
              <w:rPr>
                <w:rFonts w:ascii="宋体" w:hAnsi="宋体" w:cs="宋体" w:eastAsia="宋体" w:hint="default"/>
                <w:sz w:val="16"/>
                <w:szCs w:val="16"/>
              </w:rPr>
            </w:pPr>
            <w:r>
              <w:rPr>
                <w:rFonts w:ascii="宋体" w:hAnsi="宋体" w:cs="宋体" w:eastAsia="宋体" w:hint="default"/>
                <w:sz w:val="16"/>
                <w:szCs w:val="16"/>
              </w:rPr>
              <w:t>上期</w:t>
            </w:r>
          </w:p>
        </w:tc>
      </w:tr>
      <w:tr>
        <w:trPr>
          <w:trHeight w:val="360" w:hRule="exact"/>
        </w:trPr>
        <w:tc>
          <w:tcPr>
            <w:tcW w:w="4804" w:type="dxa"/>
            <w:tcBorders>
              <w:top w:val="nil" w:sz="6" w:space="0" w:color="auto"/>
              <w:left w:val="nil" w:sz="6" w:space="0" w:color="auto"/>
              <w:bottom w:val="nil" w:sz="6" w:space="0" w:color="auto"/>
              <w:right w:val="nil" w:sz="6" w:space="0" w:color="auto"/>
            </w:tcBorders>
          </w:tcPr>
          <w:p>
            <w:pPr>
              <w:pStyle w:val="TableParagraph"/>
              <w:spacing w:line="240" w:lineRule="auto" w:before="47"/>
              <w:ind w:left="754" w:right="0"/>
              <w:jc w:val="left"/>
              <w:rPr>
                <w:rFonts w:ascii="宋体" w:hAnsi="宋体" w:cs="宋体" w:eastAsia="宋体" w:hint="default"/>
                <w:sz w:val="16"/>
                <w:szCs w:val="16"/>
              </w:rPr>
            </w:pPr>
            <w:r>
              <w:rPr>
                <w:rFonts w:ascii="宋体" w:hAnsi="宋体" w:cs="宋体" w:eastAsia="宋体" w:hint="default"/>
                <w:sz w:val="16"/>
                <w:szCs w:val="16"/>
              </w:rPr>
              <w:t>调整前上期末未分配利润</w:t>
            </w:r>
          </w:p>
        </w:tc>
        <w:tc>
          <w:tcPr>
            <w:tcW w:w="2342"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458"/>
              <w:jc w:val="right"/>
              <w:rPr>
                <w:rFonts w:ascii="Times New Roman" w:hAnsi="Times New Roman" w:cs="Times New Roman" w:eastAsia="Times New Roman" w:hint="default"/>
                <w:sz w:val="16"/>
                <w:szCs w:val="16"/>
              </w:rPr>
            </w:pPr>
            <w:r>
              <w:rPr>
                <w:rFonts w:ascii="Times New Roman"/>
                <w:spacing w:val="-1"/>
                <w:sz w:val="16"/>
              </w:rPr>
              <w:t>1,829,793,778.08</w:t>
            </w:r>
          </w:p>
        </w:tc>
        <w:tc>
          <w:tcPr>
            <w:tcW w:w="1688"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05"/>
              <w:jc w:val="right"/>
              <w:rPr>
                <w:rFonts w:ascii="Times New Roman" w:hAnsi="Times New Roman" w:cs="Times New Roman" w:eastAsia="Times New Roman" w:hint="default"/>
                <w:sz w:val="16"/>
                <w:szCs w:val="16"/>
              </w:rPr>
            </w:pPr>
            <w:r>
              <w:rPr>
                <w:rFonts w:ascii="Times New Roman"/>
                <w:spacing w:val="-1"/>
                <w:sz w:val="16"/>
              </w:rPr>
              <w:t>614,227,560.87</w:t>
            </w:r>
          </w:p>
        </w:tc>
      </w:tr>
      <w:tr>
        <w:trPr>
          <w:trHeight w:val="353" w:hRule="exact"/>
        </w:trPr>
        <w:tc>
          <w:tcPr>
            <w:tcW w:w="480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54" w:right="0"/>
              <w:jc w:val="left"/>
              <w:rPr>
                <w:rFonts w:ascii="宋体" w:hAnsi="宋体" w:cs="宋体" w:eastAsia="宋体" w:hint="default"/>
                <w:sz w:val="16"/>
                <w:szCs w:val="16"/>
              </w:rPr>
            </w:pPr>
            <w:r>
              <w:rPr>
                <w:rFonts w:ascii="宋体" w:hAnsi="宋体" w:cs="宋体" w:eastAsia="宋体" w:hint="default"/>
                <w:sz w:val="16"/>
                <w:szCs w:val="16"/>
              </w:rPr>
              <w:t>调整年初未分配利润合计数（调增</w:t>
            </w:r>
            <w:r>
              <w:rPr>
                <w:rFonts w:ascii="Times New Roman" w:hAnsi="Times New Roman" w:cs="Times New Roman" w:eastAsia="Times New Roman" w:hint="default"/>
                <w:sz w:val="16"/>
                <w:szCs w:val="16"/>
              </w:rPr>
              <w:t>+</w:t>
            </w:r>
            <w:r>
              <w:rPr>
                <w:rFonts w:ascii="宋体" w:hAnsi="宋体" w:cs="宋体" w:eastAsia="宋体" w:hint="default"/>
                <w:sz w:val="16"/>
                <w:szCs w:val="16"/>
              </w:rPr>
              <w:t>，调减－）</w:t>
            </w:r>
          </w:p>
        </w:tc>
        <w:tc>
          <w:tcPr>
            <w:tcW w:w="2342" w:type="dxa"/>
            <w:tcBorders>
              <w:top w:val="nil" w:sz="6" w:space="0" w:color="auto"/>
              <w:left w:val="nil" w:sz="6" w:space="0" w:color="auto"/>
              <w:bottom w:val="nil" w:sz="6" w:space="0" w:color="auto"/>
              <w:right w:val="nil" w:sz="6" w:space="0" w:color="auto"/>
            </w:tcBorders>
          </w:tcPr>
          <w:p>
            <w:pPr/>
          </w:p>
        </w:tc>
        <w:tc>
          <w:tcPr>
            <w:tcW w:w="168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6"/>
                <w:szCs w:val="16"/>
              </w:rPr>
            </w:pPr>
            <w:r>
              <w:rPr>
                <w:rFonts w:ascii="Times New Roman"/>
                <w:spacing w:val="-1"/>
                <w:sz w:val="16"/>
              </w:rPr>
              <w:t>1,116,829,284.35</w:t>
            </w:r>
          </w:p>
        </w:tc>
      </w:tr>
      <w:tr>
        <w:trPr>
          <w:trHeight w:val="353" w:hRule="exact"/>
        </w:trPr>
        <w:tc>
          <w:tcPr>
            <w:tcW w:w="480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54" w:right="0"/>
              <w:jc w:val="left"/>
              <w:rPr>
                <w:rFonts w:ascii="宋体" w:hAnsi="宋体" w:cs="宋体" w:eastAsia="宋体" w:hint="default"/>
                <w:sz w:val="16"/>
                <w:szCs w:val="16"/>
              </w:rPr>
            </w:pPr>
            <w:r>
              <w:rPr>
                <w:rFonts w:ascii="宋体" w:hAnsi="宋体" w:cs="宋体" w:eastAsia="宋体" w:hint="default"/>
                <w:sz w:val="16"/>
                <w:szCs w:val="16"/>
              </w:rPr>
              <w:t>调整后年初未分配利润</w:t>
            </w:r>
          </w:p>
        </w:tc>
        <w:tc>
          <w:tcPr>
            <w:tcW w:w="234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58"/>
              <w:jc w:val="right"/>
              <w:rPr>
                <w:rFonts w:ascii="Times New Roman" w:hAnsi="Times New Roman" w:cs="Times New Roman" w:eastAsia="Times New Roman" w:hint="default"/>
                <w:sz w:val="16"/>
                <w:szCs w:val="16"/>
              </w:rPr>
            </w:pPr>
            <w:r>
              <w:rPr>
                <w:rFonts w:ascii="Times New Roman"/>
                <w:spacing w:val="-1"/>
                <w:sz w:val="16"/>
              </w:rPr>
              <w:t>1,829,793,778.08</w:t>
            </w:r>
          </w:p>
        </w:tc>
        <w:tc>
          <w:tcPr>
            <w:tcW w:w="168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5"/>
              <w:jc w:val="right"/>
              <w:rPr>
                <w:rFonts w:ascii="Times New Roman" w:hAnsi="Times New Roman" w:cs="Times New Roman" w:eastAsia="Times New Roman" w:hint="default"/>
                <w:sz w:val="16"/>
                <w:szCs w:val="16"/>
              </w:rPr>
            </w:pPr>
            <w:r>
              <w:rPr>
                <w:rFonts w:ascii="Times New Roman"/>
                <w:spacing w:val="-1"/>
                <w:sz w:val="16"/>
              </w:rPr>
              <w:t>1,731,056,845.22</w:t>
            </w:r>
          </w:p>
        </w:tc>
      </w:tr>
      <w:tr>
        <w:trPr>
          <w:trHeight w:val="354" w:hRule="exact"/>
        </w:trPr>
        <w:tc>
          <w:tcPr>
            <w:tcW w:w="480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54" w:right="0"/>
              <w:jc w:val="left"/>
              <w:rPr>
                <w:rFonts w:ascii="宋体" w:hAnsi="宋体" w:cs="宋体" w:eastAsia="宋体" w:hint="default"/>
                <w:sz w:val="16"/>
                <w:szCs w:val="16"/>
              </w:rPr>
            </w:pPr>
            <w:r>
              <w:rPr>
                <w:rFonts w:ascii="宋体" w:hAnsi="宋体" w:cs="宋体" w:eastAsia="宋体" w:hint="default"/>
                <w:sz w:val="16"/>
                <w:szCs w:val="16"/>
              </w:rPr>
              <w:t>加：本期归属于母公司所有者的净利润</w:t>
            </w:r>
          </w:p>
        </w:tc>
        <w:tc>
          <w:tcPr>
            <w:tcW w:w="234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58"/>
              <w:jc w:val="right"/>
              <w:rPr>
                <w:rFonts w:ascii="Times New Roman" w:hAnsi="Times New Roman" w:cs="Times New Roman" w:eastAsia="Times New Roman" w:hint="default"/>
                <w:sz w:val="16"/>
                <w:szCs w:val="16"/>
              </w:rPr>
            </w:pPr>
            <w:r>
              <w:rPr>
                <w:rFonts w:ascii="Times New Roman"/>
                <w:spacing w:val="-1"/>
                <w:sz w:val="16"/>
              </w:rPr>
              <w:t>987,100,274.54</w:t>
            </w:r>
          </w:p>
        </w:tc>
        <w:tc>
          <w:tcPr>
            <w:tcW w:w="168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6"/>
                <w:szCs w:val="16"/>
              </w:rPr>
            </w:pPr>
            <w:r>
              <w:rPr>
                <w:rFonts w:ascii="Times New Roman"/>
                <w:spacing w:val="-1"/>
                <w:sz w:val="16"/>
              </w:rPr>
              <w:t>581,043,323.65</w:t>
            </w:r>
          </w:p>
        </w:tc>
      </w:tr>
      <w:tr>
        <w:trPr>
          <w:trHeight w:val="353" w:hRule="exact"/>
        </w:trPr>
        <w:tc>
          <w:tcPr>
            <w:tcW w:w="480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54" w:right="0"/>
              <w:jc w:val="left"/>
              <w:rPr>
                <w:rFonts w:ascii="宋体" w:hAnsi="宋体" w:cs="宋体" w:eastAsia="宋体" w:hint="default"/>
                <w:sz w:val="16"/>
                <w:szCs w:val="16"/>
              </w:rPr>
            </w:pPr>
            <w:r>
              <w:rPr>
                <w:rFonts w:ascii="宋体" w:hAnsi="宋体" w:cs="宋体" w:eastAsia="宋体" w:hint="default"/>
                <w:sz w:val="16"/>
                <w:szCs w:val="16"/>
              </w:rPr>
              <w:t>其他调整因素</w:t>
            </w:r>
          </w:p>
        </w:tc>
        <w:tc>
          <w:tcPr>
            <w:tcW w:w="234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58"/>
              <w:jc w:val="right"/>
              <w:rPr>
                <w:rFonts w:ascii="Times New Roman" w:hAnsi="Times New Roman" w:cs="Times New Roman" w:eastAsia="Times New Roman" w:hint="default"/>
                <w:sz w:val="16"/>
                <w:szCs w:val="16"/>
              </w:rPr>
            </w:pPr>
            <w:r>
              <w:rPr>
                <w:rFonts w:ascii="Times New Roman"/>
                <w:spacing w:val="-1"/>
                <w:sz w:val="16"/>
              </w:rPr>
              <w:t>-161,324,829.99</w:t>
            </w:r>
          </w:p>
        </w:tc>
        <w:tc>
          <w:tcPr>
            <w:tcW w:w="1688" w:type="dxa"/>
            <w:tcBorders>
              <w:top w:val="nil" w:sz="6" w:space="0" w:color="auto"/>
              <w:left w:val="nil" w:sz="6" w:space="0" w:color="auto"/>
              <w:bottom w:val="nil" w:sz="6" w:space="0" w:color="auto"/>
              <w:right w:val="nil" w:sz="6" w:space="0" w:color="auto"/>
            </w:tcBorders>
          </w:tcPr>
          <w:p>
            <w:pPr/>
          </w:p>
        </w:tc>
      </w:tr>
      <w:tr>
        <w:trPr>
          <w:trHeight w:val="700" w:hRule="exact"/>
        </w:trPr>
        <w:tc>
          <w:tcPr>
            <w:tcW w:w="4804" w:type="dxa"/>
            <w:tcBorders>
              <w:top w:val="nil" w:sz="6" w:space="0" w:color="auto"/>
              <w:left w:val="nil" w:sz="6" w:space="0" w:color="auto"/>
              <w:bottom w:val="nil" w:sz="6" w:space="0" w:color="auto"/>
              <w:right w:val="nil" w:sz="6" w:space="0" w:color="auto"/>
            </w:tcBorders>
          </w:tcPr>
          <w:p>
            <w:pPr>
              <w:pStyle w:val="TableParagraph"/>
              <w:spacing w:line="405" w:lineRule="auto" w:before="40"/>
              <w:ind w:left="754" w:right="2449"/>
              <w:jc w:val="left"/>
              <w:rPr>
                <w:rFonts w:ascii="宋体" w:hAnsi="宋体" w:cs="宋体" w:eastAsia="宋体" w:hint="default"/>
                <w:sz w:val="16"/>
                <w:szCs w:val="16"/>
              </w:rPr>
            </w:pPr>
            <w:r>
              <w:rPr>
                <w:rFonts w:ascii="宋体" w:hAnsi="宋体" w:cs="宋体" w:eastAsia="宋体" w:hint="default"/>
                <w:sz w:val="16"/>
                <w:szCs w:val="16"/>
              </w:rPr>
              <w:t>减：提取法定盈余公积</w:t>
            </w:r>
            <w:r>
              <w:rPr>
                <w:rFonts w:ascii="宋体" w:hAnsi="宋体" w:cs="宋体" w:eastAsia="宋体" w:hint="default"/>
                <w:w w:val="99"/>
                <w:sz w:val="16"/>
                <w:szCs w:val="16"/>
              </w:rPr>
              <w:t> </w:t>
            </w:r>
            <w:r>
              <w:rPr>
                <w:rFonts w:ascii="宋体" w:hAnsi="宋体" w:cs="宋体" w:eastAsia="宋体" w:hint="default"/>
                <w:sz w:val="16"/>
                <w:szCs w:val="16"/>
              </w:rPr>
              <w:t>提取任意盈余公积</w:t>
            </w:r>
          </w:p>
        </w:tc>
        <w:tc>
          <w:tcPr>
            <w:tcW w:w="234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58"/>
              <w:jc w:val="right"/>
              <w:rPr>
                <w:rFonts w:ascii="Times New Roman" w:hAnsi="Times New Roman" w:cs="Times New Roman" w:eastAsia="Times New Roman" w:hint="default"/>
                <w:sz w:val="16"/>
                <w:szCs w:val="16"/>
              </w:rPr>
            </w:pPr>
            <w:r>
              <w:rPr>
                <w:rFonts w:ascii="Times New Roman"/>
                <w:spacing w:val="-1"/>
                <w:sz w:val="16"/>
              </w:rPr>
              <w:t>61,570,950.03</w:t>
            </w:r>
          </w:p>
        </w:tc>
        <w:tc>
          <w:tcPr>
            <w:tcW w:w="168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6"/>
                <w:szCs w:val="16"/>
              </w:rPr>
            </w:pPr>
            <w:r>
              <w:rPr>
                <w:rFonts w:ascii="Times New Roman"/>
                <w:spacing w:val="-1"/>
                <w:sz w:val="16"/>
              </w:rPr>
              <w:t>29,206,226.94</w:t>
            </w:r>
          </w:p>
        </w:tc>
      </w:tr>
      <w:tr>
        <w:trPr>
          <w:trHeight w:val="353" w:hRule="exact"/>
        </w:trPr>
        <w:tc>
          <w:tcPr>
            <w:tcW w:w="4804" w:type="dxa"/>
            <w:tcBorders>
              <w:top w:val="nil" w:sz="6" w:space="0" w:color="auto"/>
              <w:left w:val="nil" w:sz="6" w:space="0" w:color="auto"/>
              <w:bottom w:val="nil" w:sz="6" w:space="0" w:color="auto"/>
              <w:right w:val="nil" w:sz="6" w:space="0" w:color="auto"/>
            </w:tcBorders>
          </w:tcPr>
          <w:p>
            <w:pPr>
              <w:pStyle w:val="TableParagraph"/>
              <w:spacing w:line="240" w:lineRule="auto" w:before="47"/>
              <w:ind w:left="754" w:right="0"/>
              <w:jc w:val="left"/>
              <w:rPr>
                <w:rFonts w:ascii="宋体" w:hAnsi="宋体" w:cs="宋体" w:eastAsia="宋体" w:hint="default"/>
                <w:sz w:val="16"/>
                <w:szCs w:val="16"/>
              </w:rPr>
            </w:pPr>
            <w:r>
              <w:rPr>
                <w:rFonts w:ascii="宋体" w:hAnsi="宋体" w:cs="宋体" w:eastAsia="宋体" w:hint="default"/>
                <w:sz w:val="16"/>
                <w:szCs w:val="16"/>
              </w:rPr>
              <w:t>提取一般风险准备</w:t>
            </w:r>
          </w:p>
        </w:tc>
        <w:tc>
          <w:tcPr>
            <w:tcW w:w="2342" w:type="dxa"/>
            <w:tcBorders>
              <w:top w:val="nil" w:sz="6" w:space="0" w:color="auto"/>
              <w:left w:val="nil" w:sz="6" w:space="0" w:color="auto"/>
              <w:bottom w:val="nil" w:sz="6" w:space="0" w:color="auto"/>
              <w:right w:val="nil" w:sz="6" w:space="0" w:color="auto"/>
            </w:tcBorders>
          </w:tcPr>
          <w:p>
            <w:pPr/>
          </w:p>
        </w:tc>
        <w:tc>
          <w:tcPr>
            <w:tcW w:w="1688" w:type="dxa"/>
            <w:tcBorders>
              <w:top w:val="nil" w:sz="6" w:space="0" w:color="auto"/>
              <w:left w:val="nil" w:sz="6" w:space="0" w:color="auto"/>
              <w:bottom w:val="nil" w:sz="6" w:space="0" w:color="auto"/>
              <w:right w:val="nil" w:sz="6" w:space="0" w:color="auto"/>
            </w:tcBorders>
          </w:tcPr>
          <w:p>
            <w:pPr/>
          </w:p>
        </w:tc>
      </w:tr>
      <w:tr>
        <w:trPr>
          <w:trHeight w:val="707" w:hRule="exact"/>
        </w:trPr>
        <w:tc>
          <w:tcPr>
            <w:tcW w:w="4804" w:type="dxa"/>
            <w:tcBorders>
              <w:top w:val="nil" w:sz="6" w:space="0" w:color="auto"/>
              <w:left w:val="nil" w:sz="6" w:space="0" w:color="auto"/>
              <w:bottom w:val="nil" w:sz="6" w:space="0" w:color="auto"/>
              <w:right w:val="nil" w:sz="6" w:space="0" w:color="auto"/>
            </w:tcBorders>
          </w:tcPr>
          <w:p>
            <w:pPr>
              <w:pStyle w:val="TableParagraph"/>
              <w:spacing w:line="405" w:lineRule="auto" w:before="47"/>
              <w:ind w:left="754" w:right="2449"/>
              <w:jc w:val="left"/>
              <w:rPr>
                <w:rFonts w:ascii="宋体" w:hAnsi="宋体" w:cs="宋体" w:eastAsia="宋体" w:hint="default"/>
                <w:sz w:val="16"/>
                <w:szCs w:val="16"/>
              </w:rPr>
            </w:pPr>
            <w:r>
              <w:rPr>
                <w:rFonts w:ascii="宋体" w:hAnsi="宋体" w:cs="宋体" w:eastAsia="宋体" w:hint="default"/>
                <w:sz w:val="16"/>
                <w:szCs w:val="16"/>
              </w:rPr>
              <w:t>应付普通股股利</w:t>
            </w:r>
            <w:r>
              <w:rPr>
                <w:rFonts w:ascii="宋体" w:hAnsi="宋体" w:cs="宋体" w:eastAsia="宋体" w:hint="default"/>
                <w:w w:val="99"/>
                <w:sz w:val="16"/>
                <w:szCs w:val="16"/>
              </w:rPr>
              <w:t> </w:t>
            </w:r>
            <w:r>
              <w:rPr>
                <w:rFonts w:ascii="宋体" w:hAnsi="宋体" w:cs="宋体" w:eastAsia="宋体" w:hint="default"/>
                <w:sz w:val="16"/>
                <w:szCs w:val="16"/>
              </w:rPr>
              <w:t>转作股本的普通股股利</w:t>
            </w:r>
          </w:p>
        </w:tc>
        <w:tc>
          <w:tcPr>
            <w:tcW w:w="2342"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458"/>
              <w:jc w:val="right"/>
              <w:rPr>
                <w:rFonts w:ascii="Times New Roman" w:hAnsi="Times New Roman" w:cs="Times New Roman" w:eastAsia="Times New Roman" w:hint="default"/>
                <w:sz w:val="16"/>
                <w:szCs w:val="16"/>
              </w:rPr>
            </w:pPr>
            <w:r>
              <w:rPr>
                <w:rFonts w:ascii="Times New Roman"/>
                <w:spacing w:val="-1"/>
                <w:sz w:val="16"/>
              </w:rPr>
              <w:t>176,644,167.54</w:t>
            </w:r>
          </w:p>
        </w:tc>
        <w:tc>
          <w:tcPr>
            <w:tcW w:w="1688" w:type="dxa"/>
            <w:tcBorders>
              <w:top w:val="nil" w:sz="6" w:space="0" w:color="auto"/>
              <w:left w:val="nil" w:sz="6" w:space="0" w:color="auto"/>
              <w:bottom w:val="nil" w:sz="6" w:space="0" w:color="auto"/>
              <w:right w:val="nil" w:sz="6" w:space="0" w:color="auto"/>
            </w:tcBorders>
          </w:tcPr>
          <w:p>
            <w:pPr/>
          </w:p>
        </w:tc>
      </w:tr>
      <w:tr>
        <w:trPr>
          <w:trHeight w:val="361" w:hRule="exact"/>
        </w:trPr>
        <w:tc>
          <w:tcPr>
            <w:tcW w:w="4804" w:type="dxa"/>
            <w:tcBorders>
              <w:top w:val="nil" w:sz="6" w:space="0" w:color="auto"/>
              <w:left w:val="nil" w:sz="6" w:space="0" w:color="auto"/>
              <w:bottom w:val="nil" w:sz="6" w:space="0" w:color="auto"/>
              <w:right w:val="nil" w:sz="6" w:space="0" w:color="auto"/>
            </w:tcBorders>
          </w:tcPr>
          <w:p>
            <w:pPr>
              <w:pStyle w:val="TableParagraph"/>
              <w:spacing w:line="240" w:lineRule="auto" w:before="47"/>
              <w:ind w:left="754" w:right="0"/>
              <w:jc w:val="left"/>
              <w:rPr>
                <w:rFonts w:ascii="宋体" w:hAnsi="宋体" w:cs="宋体" w:eastAsia="宋体" w:hint="default"/>
                <w:sz w:val="16"/>
                <w:szCs w:val="16"/>
              </w:rPr>
            </w:pPr>
            <w:r>
              <w:rPr>
                <w:rFonts w:ascii="宋体" w:hAnsi="宋体" w:cs="宋体" w:eastAsia="宋体" w:hint="default"/>
                <w:sz w:val="16"/>
                <w:szCs w:val="16"/>
              </w:rPr>
              <w:t>其他减少</w:t>
            </w:r>
          </w:p>
        </w:tc>
        <w:tc>
          <w:tcPr>
            <w:tcW w:w="2342" w:type="dxa"/>
            <w:tcBorders>
              <w:top w:val="nil" w:sz="6" w:space="0" w:color="auto"/>
              <w:left w:val="nil" w:sz="6" w:space="0" w:color="auto"/>
              <w:bottom w:val="nil" w:sz="6" w:space="0" w:color="auto"/>
              <w:right w:val="nil" w:sz="6" w:space="0" w:color="auto"/>
            </w:tcBorders>
          </w:tcPr>
          <w:p>
            <w:pPr/>
          </w:p>
        </w:tc>
        <w:tc>
          <w:tcPr>
            <w:tcW w:w="1688"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05"/>
              <w:jc w:val="right"/>
              <w:rPr>
                <w:rFonts w:ascii="Times New Roman" w:hAnsi="Times New Roman" w:cs="Times New Roman" w:eastAsia="Times New Roman" w:hint="default"/>
                <w:sz w:val="16"/>
                <w:szCs w:val="16"/>
              </w:rPr>
            </w:pPr>
            <w:r>
              <w:rPr>
                <w:rFonts w:ascii="Times New Roman"/>
                <w:spacing w:val="-1"/>
                <w:sz w:val="16"/>
              </w:rPr>
              <w:t>453,100,163.85</w:t>
            </w:r>
          </w:p>
        </w:tc>
      </w:tr>
      <w:tr>
        <w:trPr>
          <w:trHeight w:val="358" w:hRule="exact"/>
        </w:trPr>
        <w:tc>
          <w:tcPr>
            <w:tcW w:w="4804"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left="754" w:right="0"/>
              <w:jc w:val="left"/>
              <w:rPr>
                <w:rFonts w:ascii="宋体" w:hAnsi="宋体" w:cs="宋体" w:eastAsia="宋体" w:hint="default"/>
                <w:sz w:val="16"/>
                <w:szCs w:val="16"/>
              </w:rPr>
            </w:pPr>
            <w:r>
              <w:rPr>
                <w:rFonts w:ascii="宋体" w:hAnsi="宋体" w:cs="宋体" w:eastAsia="宋体" w:hint="default"/>
                <w:sz w:val="16"/>
                <w:szCs w:val="16"/>
              </w:rPr>
              <w:t>期末未分配利润</w:t>
            </w:r>
          </w:p>
        </w:tc>
        <w:tc>
          <w:tcPr>
            <w:tcW w:w="2342"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right="458"/>
              <w:jc w:val="right"/>
              <w:rPr>
                <w:rFonts w:ascii="Times New Roman" w:hAnsi="Times New Roman" w:cs="Times New Roman" w:eastAsia="Times New Roman" w:hint="default"/>
                <w:sz w:val="16"/>
                <w:szCs w:val="16"/>
              </w:rPr>
            </w:pPr>
            <w:r>
              <w:rPr>
                <w:rFonts w:ascii="Times New Roman"/>
                <w:spacing w:val="-1"/>
                <w:sz w:val="16"/>
              </w:rPr>
              <w:t>2,417,354,105.06</w:t>
            </w:r>
          </w:p>
        </w:tc>
        <w:tc>
          <w:tcPr>
            <w:tcW w:w="1688"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6"/>
                <w:szCs w:val="16"/>
              </w:rPr>
            </w:pPr>
            <w:r>
              <w:rPr>
                <w:rFonts w:ascii="Times New Roman"/>
                <w:spacing w:val="-1"/>
                <w:sz w:val="16"/>
              </w:rPr>
              <w:t>1,829,793,778.08</w:t>
            </w:r>
          </w:p>
        </w:tc>
      </w:tr>
    </w:tbl>
    <w:p>
      <w:pPr>
        <w:pStyle w:val="BodyText"/>
        <w:spacing w:line="348" w:lineRule="auto" w:before="78"/>
        <w:ind w:left="851" w:right="1813"/>
        <w:jc w:val="left"/>
      </w:pPr>
      <w:r>
        <w:rPr/>
        <w:pict>
          <v:group style="position:absolute;margin-left:119.520004pt;margin-top:-231.576248pt;width:411.3pt;height:229.35pt;mso-position-horizontal-relative:page;mso-position-vertical-relative:paragraph;z-index:-1378576" coordorigin="2390,-4632" coordsize="8226,4587">
            <v:shape style="position:absolute;left:6512;top:-4632;width:10;height:28" type="#_x0000_t75" stroked="false">
              <v:imagedata r:id="rId174" o:title=""/>
            </v:shape>
            <v:shape style="position:absolute;left:8552;top:-4632;width:10;height:28" type="#_x0000_t75" stroked="false">
              <v:imagedata r:id="rId174" o:title=""/>
            </v:shape>
            <v:shape style="position:absolute;left:6493;top:-4623;width:2088;height:355" type="#_x0000_t75" stroked="false">
              <v:imagedata r:id="rId301" o:title=""/>
            </v:shape>
            <v:shape style="position:absolute;left:2390;top:-4306;width:8226;height:4261" type="#_x0000_t75" stroked="false">
              <v:imagedata r:id="rId302" o:title=""/>
            </v:shape>
            <w10:wrap type="none"/>
          </v:group>
        </w:pict>
      </w:r>
      <w:r>
        <w:rPr/>
        <w:t>说明：本期二级子公司武汉中原电子集团有限公司购买少数股权支付对价超过取得 净资产差额因资本溢价不足冲减，冲减盈余公积</w:t>
      </w:r>
      <w:r>
        <w:rPr>
          <w:spacing w:val="-57"/>
        </w:rPr>
        <w:t> </w:t>
      </w:r>
      <w:r>
        <w:rPr>
          <w:rFonts w:ascii="Times New Roman" w:hAnsi="Times New Roman" w:cs="Times New Roman" w:eastAsia="Times New Roman" w:hint="default"/>
        </w:rPr>
        <w:t>1,674,534.23</w:t>
      </w:r>
      <w:r>
        <w:rPr>
          <w:rFonts w:ascii="Times New Roman" w:hAnsi="Times New Roman" w:cs="Times New Roman" w:eastAsia="Times New Roman" w:hint="default"/>
          <w:spacing w:val="-4"/>
        </w:rPr>
        <w:t> </w:t>
      </w:r>
      <w:r>
        <w:rPr/>
        <w:t>元，冲减未分配利润</w:t>
      </w:r>
    </w:p>
    <w:p>
      <w:pPr>
        <w:spacing w:after="0" w:line="348" w:lineRule="auto"/>
        <w:jc w:val="left"/>
        <w:sectPr>
          <w:footerReference w:type="default" r:id="rId296"/>
          <w:pgSz w:w="11910" w:h="16840"/>
          <w:pgMar w:footer="1001" w:header="0" w:top="1520" w:bottom="1200" w:left="1660" w:right="0"/>
          <w:pgNumType w:start="64"/>
        </w:sectPr>
      </w:pPr>
    </w:p>
    <w:p>
      <w:pPr>
        <w:spacing w:line="240" w:lineRule="auto" w:before="8"/>
        <w:rPr>
          <w:rFonts w:ascii="宋体" w:hAnsi="宋体" w:cs="宋体" w:eastAsia="宋体" w:hint="default"/>
          <w:sz w:val="13"/>
          <w:szCs w:val="13"/>
        </w:rPr>
      </w:pPr>
      <w:r>
        <w:rPr/>
        <w:pict>
          <v:group style="position:absolute;margin-left:119.520004pt;margin-top:255.299698pt;width:411.45pt;height:158.6pt;mso-position-horizontal-relative:page;mso-position-vertical-relative:page;z-index:-1378528" coordorigin="2390,5106" coordsize="8229,3172">
            <v:shape style="position:absolute;left:5825;top:5106;width:10;height:28" type="#_x0000_t75" stroked="false">
              <v:imagedata r:id="rId37" o:title=""/>
            </v:shape>
            <v:shape style="position:absolute;left:8209;top:5106;width:10;height:28" type="#_x0000_t75" stroked="false">
              <v:imagedata r:id="rId37" o:title=""/>
            </v:shape>
            <v:shape style="position:absolute;left:5806;top:5114;width:2432;height:355" type="#_x0000_t75" stroked="false">
              <v:imagedata r:id="rId303" o:title=""/>
            </v:shape>
            <v:shape style="position:absolute;left:2390;top:5431;width:8228;height:2846" type="#_x0000_t75" stroked="false">
              <v:imagedata r:id="rId304" o:title=""/>
            </v:shape>
            <w10:wrap type="none"/>
          </v:group>
        </w:pict>
      </w:r>
      <w:r>
        <w:rPr/>
        <w:pict>
          <v:group style="position:absolute;margin-left:119.520004pt;margin-top:456.899689pt;width:411.25pt;height:211.65pt;mso-position-horizontal-relative:page;mso-position-vertical-relative:page;z-index:-1378504" coordorigin="2390,9138" coordsize="8225,4233">
            <v:shape style="position:absolute;left:5782;top:9138;width:10;height:28" type="#_x0000_t75" stroked="false">
              <v:imagedata r:id="rId37" o:title=""/>
            </v:shape>
            <v:shape style="position:absolute;left:8186;top:9138;width:10;height:28" type="#_x0000_t75" stroked="false">
              <v:imagedata r:id="rId37" o:title=""/>
            </v:shape>
            <v:shape style="position:absolute;left:5762;top:9146;width:2453;height:354" type="#_x0000_t75" stroked="false">
              <v:imagedata r:id="rId305" o:title=""/>
            </v:shape>
            <v:shape style="position:absolute;left:2390;top:9468;width:8225;height:3902" type="#_x0000_t75" stroked="false">
              <v:imagedata r:id="rId306" o:title=""/>
            </v:shape>
            <w10:wrap type="none"/>
          </v:group>
        </w:pict>
      </w:r>
      <w:r>
        <w:rPr/>
        <w:pict>
          <v:group style="position:absolute;margin-left:119.520004pt;margin-top:711.479675pt;width:411.4pt;height:52.6pt;mso-position-horizontal-relative:page;mso-position-vertical-relative:page;z-index:-1378480" coordorigin="2390,14230" coordsize="8228,1052">
            <v:shape style="position:absolute;left:5843;top:14230;width:10;height:28" type="#_x0000_t75" stroked="false">
              <v:imagedata r:id="rId42" o:title=""/>
            </v:shape>
            <v:shape style="position:absolute;left:8218;top:14230;width:10;height:28" type="#_x0000_t75" stroked="false">
              <v:imagedata r:id="rId42" o:title=""/>
            </v:shape>
            <v:shape style="position:absolute;left:5824;top:14238;width:2423;height:354" type="#_x0000_t75" stroked="false">
              <v:imagedata r:id="rId307" o:title=""/>
            </v:shape>
            <v:shape style="position:absolute;left:2390;top:14554;width:8227;height:727" type="#_x0000_t75" stroked="false">
              <v:imagedata r:id="rId308" o:title=""/>
            </v:shape>
            <w10:wrap type="none"/>
          </v:group>
        </w:pict>
      </w:r>
    </w:p>
    <w:p>
      <w:pPr>
        <w:pStyle w:val="BodyText"/>
        <w:spacing w:line="240" w:lineRule="auto" w:before="35"/>
        <w:ind w:left="851" w:right="3681"/>
        <w:jc w:val="left"/>
      </w:pPr>
      <w:r>
        <w:rPr>
          <w:rFonts w:ascii="Times New Roman" w:hAnsi="Times New Roman" w:cs="Times New Roman" w:eastAsia="Times New Roman" w:hint="default"/>
        </w:rPr>
        <w:t>161,324,829.99</w:t>
      </w:r>
      <w:r>
        <w:rPr>
          <w:rFonts w:ascii="Times New Roman" w:hAnsi="Times New Roman" w:cs="Times New Roman" w:eastAsia="Times New Roman" w:hint="default"/>
          <w:spacing w:val="-5"/>
        </w:rPr>
        <w:t> </w:t>
      </w:r>
      <w:r>
        <w:rPr/>
        <w:t>元；本期公司分配股利</w:t>
      </w:r>
      <w:r>
        <w:rPr>
          <w:spacing w:val="-58"/>
        </w:rPr>
        <w:t> </w:t>
      </w:r>
      <w:r>
        <w:rPr>
          <w:rFonts w:ascii="Times New Roman" w:hAnsi="Times New Roman" w:cs="Times New Roman" w:eastAsia="Times New Roman" w:hint="default"/>
        </w:rPr>
        <w:t>176,644,167.54</w:t>
      </w:r>
      <w:r>
        <w:rPr>
          <w:rFonts w:ascii="Times New Roman" w:hAnsi="Times New Roman" w:cs="Times New Roman" w:eastAsia="Times New Roman" w:hint="default"/>
          <w:spacing w:val="-5"/>
        </w:rPr>
        <w:t> </w:t>
      </w:r>
      <w:r>
        <w:rPr/>
        <w:t>元。</w:t>
      </w:r>
    </w:p>
    <w:p>
      <w:pPr>
        <w:pStyle w:val="Heading5"/>
        <w:spacing w:line="240" w:lineRule="auto" w:before="110"/>
        <w:ind w:right="3681"/>
        <w:jc w:val="left"/>
        <w:rPr>
          <w:b w:val="0"/>
          <w:bCs w:val="0"/>
        </w:rPr>
      </w:pPr>
      <w:r>
        <w:rPr/>
        <w:pict>
          <v:group style="position:absolute;margin-left:119.010002pt;margin-top:20.823668pt;width:411.65pt;height:90.9pt;mso-position-horizontal-relative:page;mso-position-vertical-relative:paragraph;z-index:-1378552" coordorigin="2380,416" coordsize="8233,1818">
            <v:group style="position:absolute;left:2410;top:431;width:1302;height:2" coordorigin="2410,431" coordsize="1302,2">
              <v:shape style="position:absolute;left:2410;top:431;width:1302;height:2" coordorigin="2410,431" coordsize="1302,0" path="m2410,431l3712,431e" filled="false" stroked="true" strokeweight="1.5pt" strokecolor="#000000">
                <v:path arrowok="t"/>
              </v:shape>
              <v:shape style="position:absolute;left:3712;top:446;width:10;height:28" type="#_x0000_t75" stroked="false">
                <v:imagedata r:id="rId96" o:title=""/>
              </v:shape>
            </v:group>
            <v:group style="position:absolute;left:3712;top:431;width:3441;height:2" coordorigin="3712,431" coordsize="3441,2">
              <v:shape style="position:absolute;left:3712;top:431;width:3441;height:2" coordorigin="3712,431" coordsize="3441,0" path="m3712,431l7152,431e" filled="false" stroked="true" strokeweight="1.5pt" strokecolor="#000000">
                <v:path arrowok="t"/>
              </v:shape>
              <v:shape style="position:absolute;left:7152;top:446;width:10;height:28" type="#_x0000_t75" stroked="false">
                <v:imagedata r:id="rId96" o:title=""/>
              </v:shape>
            </v:group>
            <v:group style="position:absolute;left:7152;top:431;width:3446;height:2" coordorigin="7152,431" coordsize="3446,2">
              <v:shape style="position:absolute;left:7152;top:431;width:3446;height:2" coordorigin="7152,431" coordsize="3446,0" path="m7152,431l10597,431e" filled="false" stroked="true" strokeweight="1.5pt" strokecolor="#000000">
                <v:path arrowok="t"/>
              </v:shape>
              <v:shape style="position:absolute;left:3692;top:455;width:3488;height:354" type="#_x0000_t75" stroked="false">
                <v:imagedata r:id="rId309" o:title=""/>
              </v:shape>
              <v:shape style="position:absolute;left:3699;top:777;width:6914;height:380" type="#_x0000_t75" stroked="false">
                <v:imagedata r:id="rId310" o:title=""/>
              </v:shape>
            </v:group>
            <v:group style="position:absolute;left:2395;top:2219;width:1317;height:2" coordorigin="2395,2219" coordsize="1317,2">
              <v:shape style="position:absolute;left:2395;top:2219;width:1317;height:2" coordorigin="2395,2219" coordsize="1317,0" path="m2395,2219l3712,2219e" filled="false" stroked="true" strokeweight="1.5pt" strokecolor="#000000">
                <v:path arrowok="t"/>
              </v:shape>
            </v:group>
            <v:group style="position:absolute;left:3712;top:2219;width:1721;height:2" coordorigin="3712,2219" coordsize="1721,2">
              <v:shape style="position:absolute;left:3712;top:2219;width:1721;height:2" coordorigin="3712,2219" coordsize="1721,0" path="m3712,2219l5432,2219e" filled="false" stroked="true" strokeweight="1.5pt" strokecolor="#000000">
                <v:path arrowok="t"/>
              </v:shape>
            </v:group>
            <v:group style="position:absolute;left:5432;top:2219;width:1720;height:2" coordorigin="5432,2219" coordsize="1720,2">
              <v:shape style="position:absolute;left:5432;top:2219;width:1720;height:2" coordorigin="5432,2219" coordsize="1720,0" path="m5432,2219l7152,2219e" filled="false" stroked="true" strokeweight="1.5pt" strokecolor="#000000">
                <v:path arrowok="t"/>
              </v:shape>
            </v:group>
            <v:group style="position:absolute;left:7152;top:2219;width:1720;height:2" coordorigin="7152,2219" coordsize="1720,2">
              <v:shape style="position:absolute;left:7152;top:2219;width:1720;height:2" coordorigin="7152,2219" coordsize="1720,0" path="m7152,2219l8872,2219e" filled="false" stroked="true" strokeweight="1.5pt" strokecolor="#000000">
                <v:path arrowok="t"/>
              </v:shape>
              <v:shape style="position:absolute;left:2397;top:1131;width:8216;height:1074" type="#_x0000_t75" stroked="false">
                <v:imagedata r:id="rId311" o:title=""/>
              </v:shape>
            </v:group>
            <v:group style="position:absolute;left:8872;top:2219;width:1726;height:2" coordorigin="8872,2219" coordsize="1726,2">
              <v:shape style="position:absolute;left:8872;top:2219;width:1726;height:2" coordorigin="8872,2219" coordsize="1726,0" path="m8872,2219l10597,2219e" filled="false" stroked="true" strokeweight="1.5pt" strokecolor="#000000">
                <v:path arrowok="t"/>
              </v:shape>
            </v:group>
            <w10:wrap type="none"/>
          </v:group>
        </w:pict>
      </w:r>
      <w:r>
        <w:rPr>
          <w:rFonts w:ascii="Times New Roman" w:hAnsi="Times New Roman" w:cs="Times New Roman" w:eastAsia="Times New Roman" w:hint="default"/>
        </w:rPr>
        <w:t>(</w:t>
      </w:r>
      <w:r>
        <w:rPr/>
        <w:t>四十</w:t>
      </w:r>
      <w:r>
        <w:rPr>
          <w:rFonts w:ascii="Times New Roman" w:hAnsi="Times New Roman" w:cs="Times New Roman" w:eastAsia="Times New Roman" w:hint="default"/>
        </w:rPr>
        <w:t>) </w:t>
      </w:r>
      <w:r>
        <w:rPr>
          <w:rFonts w:ascii="Times New Roman" w:hAnsi="Times New Roman" w:cs="Times New Roman" w:eastAsia="Times New Roman" w:hint="default"/>
          <w:spacing w:val="45"/>
        </w:rPr>
        <w:t> </w:t>
      </w:r>
      <w:r>
        <w:rPr/>
        <w:t>营业收入和营业成本</w:t>
      </w:r>
      <w:r>
        <w:rPr>
          <w:b w:val="0"/>
          <w:bCs w:val="0"/>
        </w:rPr>
      </w:r>
    </w:p>
    <w:p>
      <w:pPr>
        <w:spacing w:line="240" w:lineRule="auto" w:before="5"/>
        <w:rPr>
          <w:rFonts w:ascii="宋体" w:hAnsi="宋体" w:cs="宋体" w:eastAsia="宋体" w:hint="default"/>
          <w:b/>
          <w:bCs/>
          <w:sz w:val="2"/>
          <w:szCs w:val="2"/>
        </w:rPr>
      </w:pPr>
    </w:p>
    <w:tbl>
      <w:tblPr>
        <w:tblW w:w="0" w:type="auto"/>
        <w:jc w:val="left"/>
        <w:tblInd w:w="787" w:type="dxa"/>
        <w:tblLayout w:type="fixed"/>
        <w:tblCellMar>
          <w:top w:w="0" w:type="dxa"/>
          <w:left w:w="0" w:type="dxa"/>
          <w:bottom w:w="0" w:type="dxa"/>
          <w:right w:w="0" w:type="dxa"/>
        </w:tblCellMar>
        <w:tblLook w:val="01E0"/>
      </w:tblPr>
      <w:tblGrid>
        <w:gridCol w:w="1227"/>
        <w:gridCol w:w="2207"/>
        <w:gridCol w:w="1466"/>
        <w:gridCol w:w="1974"/>
        <w:gridCol w:w="1238"/>
      </w:tblGrid>
      <w:tr>
        <w:trPr>
          <w:trHeight w:val="717" w:hRule="exact"/>
        </w:trPr>
        <w:tc>
          <w:tcPr>
            <w:tcW w:w="122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right="451"/>
              <w:jc w:val="right"/>
              <w:rPr>
                <w:rFonts w:ascii="宋体" w:hAnsi="宋体" w:cs="宋体" w:eastAsia="宋体" w:hint="default"/>
                <w:sz w:val="16"/>
                <w:szCs w:val="16"/>
              </w:rPr>
            </w:pPr>
            <w:r>
              <w:rPr>
                <w:rFonts w:ascii="宋体" w:hAnsi="宋体" w:cs="宋体" w:eastAsia="宋体" w:hint="default"/>
                <w:w w:val="95"/>
                <w:sz w:val="16"/>
                <w:szCs w:val="16"/>
              </w:rPr>
              <w:t>项目</w:t>
            </w:r>
            <w:r>
              <w:rPr>
                <w:rFonts w:ascii="宋体" w:hAnsi="宋体" w:cs="宋体" w:eastAsia="宋体" w:hint="default"/>
                <w:sz w:val="16"/>
                <w:szCs w:val="16"/>
              </w:rPr>
            </w: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361" w:right="0"/>
              <w:jc w:val="left"/>
              <w:rPr>
                <w:rFonts w:ascii="宋体" w:hAnsi="宋体" w:cs="宋体" w:eastAsia="宋体" w:hint="default"/>
                <w:sz w:val="16"/>
                <w:szCs w:val="16"/>
              </w:rPr>
            </w:pPr>
            <w:r>
              <w:rPr>
                <w:rFonts w:ascii="宋体" w:hAnsi="宋体" w:cs="宋体" w:eastAsia="宋体" w:hint="default"/>
                <w:sz w:val="16"/>
                <w:szCs w:val="16"/>
              </w:rPr>
              <w:t>本期发生额</w:t>
            </w:r>
          </w:p>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right="403"/>
              <w:jc w:val="center"/>
              <w:rPr>
                <w:rFonts w:ascii="宋体" w:hAnsi="宋体" w:cs="宋体" w:eastAsia="宋体" w:hint="default"/>
                <w:sz w:val="16"/>
                <w:szCs w:val="16"/>
              </w:rPr>
            </w:pPr>
            <w:r>
              <w:rPr>
                <w:rFonts w:ascii="宋体" w:hAnsi="宋体" w:cs="宋体" w:eastAsia="宋体" w:hint="default"/>
                <w:sz w:val="16"/>
                <w:szCs w:val="16"/>
              </w:rPr>
              <w:t>收入</w:t>
            </w:r>
          </w:p>
        </w:tc>
        <w:tc>
          <w:tcPr>
            <w:tcW w:w="146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left="253" w:right="0"/>
              <w:jc w:val="left"/>
              <w:rPr>
                <w:rFonts w:ascii="宋体" w:hAnsi="宋体" w:cs="宋体" w:eastAsia="宋体" w:hint="default"/>
                <w:sz w:val="16"/>
                <w:szCs w:val="16"/>
              </w:rPr>
            </w:pPr>
            <w:r>
              <w:rPr>
                <w:rFonts w:ascii="宋体" w:hAnsi="宋体" w:cs="宋体" w:eastAsia="宋体" w:hint="default"/>
                <w:sz w:val="16"/>
                <w:szCs w:val="16"/>
              </w:rPr>
              <w:t>成本</w:t>
            </w:r>
          </w:p>
        </w:tc>
        <w:tc>
          <w:tcPr>
            <w:tcW w:w="1974"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127" w:right="0"/>
              <w:jc w:val="left"/>
              <w:rPr>
                <w:rFonts w:ascii="宋体" w:hAnsi="宋体" w:cs="宋体" w:eastAsia="宋体" w:hint="default"/>
                <w:sz w:val="16"/>
                <w:szCs w:val="16"/>
              </w:rPr>
            </w:pPr>
            <w:r>
              <w:rPr>
                <w:rFonts w:ascii="宋体" w:hAnsi="宋体" w:cs="宋体" w:eastAsia="宋体" w:hint="default"/>
                <w:sz w:val="16"/>
                <w:szCs w:val="16"/>
              </w:rPr>
              <w:t>上期发生额</w:t>
            </w:r>
          </w:p>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left="507" w:right="0"/>
              <w:jc w:val="left"/>
              <w:rPr>
                <w:rFonts w:ascii="宋体" w:hAnsi="宋体" w:cs="宋体" w:eastAsia="宋体" w:hint="default"/>
                <w:sz w:val="16"/>
                <w:szCs w:val="16"/>
              </w:rPr>
            </w:pPr>
            <w:r>
              <w:rPr>
                <w:rFonts w:ascii="宋体" w:hAnsi="宋体" w:cs="宋体" w:eastAsia="宋体" w:hint="default"/>
                <w:sz w:val="16"/>
                <w:szCs w:val="16"/>
              </w:rPr>
              <w:t>收入</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left="253" w:right="0"/>
              <w:jc w:val="left"/>
              <w:rPr>
                <w:rFonts w:ascii="宋体" w:hAnsi="宋体" w:cs="宋体" w:eastAsia="宋体" w:hint="default"/>
                <w:sz w:val="16"/>
                <w:szCs w:val="16"/>
              </w:rPr>
            </w:pPr>
            <w:r>
              <w:rPr>
                <w:rFonts w:ascii="宋体" w:hAnsi="宋体" w:cs="宋体" w:eastAsia="宋体" w:hint="default"/>
                <w:sz w:val="16"/>
                <w:szCs w:val="16"/>
              </w:rPr>
              <w:t>成本</w:t>
            </w:r>
          </w:p>
        </w:tc>
      </w:tr>
      <w:tr>
        <w:trPr>
          <w:trHeight w:val="360" w:hRule="exact"/>
        </w:trPr>
        <w:tc>
          <w:tcPr>
            <w:tcW w:w="1227" w:type="dxa"/>
            <w:tcBorders>
              <w:top w:val="nil" w:sz="6" w:space="0" w:color="auto"/>
              <w:left w:val="nil" w:sz="6" w:space="0" w:color="auto"/>
              <w:bottom w:val="nil" w:sz="6" w:space="0" w:color="auto"/>
              <w:right w:val="nil" w:sz="6" w:space="0" w:color="auto"/>
            </w:tcBorders>
          </w:tcPr>
          <w:p>
            <w:pPr>
              <w:pStyle w:val="TableParagraph"/>
              <w:spacing w:line="240" w:lineRule="auto" w:before="47"/>
              <w:ind w:left="70" w:right="0"/>
              <w:jc w:val="left"/>
              <w:rPr>
                <w:rFonts w:ascii="宋体" w:hAnsi="宋体" w:cs="宋体" w:eastAsia="宋体" w:hint="default"/>
                <w:sz w:val="16"/>
                <w:szCs w:val="16"/>
              </w:rPr>
            </w:pPr>
            <w:r>
              <w:rPr>
                <w:rFonts w:ascii="宋体" w:hAnsi="宋体" w:cs="宋体" w:eastAsia="宋体" w:hint="default"/>
                <w:sz w:val="16"/>
                <w:szCs w:val="16"/>
              </w:rPr>
              <w:t>主营业务</w:t>
            </w: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551"/>
              <w:jc w:val="right"/>
              <w:rPr>
                <w:rFonts w:ascii="Times New Roman" w:hAnsi="Times New Roman" w:cs="Times New Roman" w:eastAsia="Times New Roman" w:hint="default"/>
                <w:sz w:val="16"/>
                <w:szCs w:val="16"/>
              </w:rPr>
            </w:pPr>
            <w:r>
              <w:rPr>
                <w:rFonts w:ascii="Times New Roman"/>
                <w:spacing w:val="-1"/>
                <w:sz w:val="16"/>
              </w:rPr>
              <w:t>9,107,726,123.84</w:t>
            </w:r>
          </w:p>
        </w:tc>
        <w:tc>
          <w:tcPr>
            <w:tcW w:w="1466"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297"/>
              <w:jc w:val="right"/>
              <w:rPr>
                <w:rFonts w:ascii="Times New Roman" w:hAnsi="Times New Roman" w:cs="Times New Roman" w:eastAsia="Times New Roman" w:hint="default"/>
                <w:sz w:val="16"/>
                <w:szCs w:val="16"/>
              </w:rPr>
            </w:pPr>
            <w:r>
              <w:rPr>
                <w:rFonts w:ascii="Times New Roman"/>
                <w:spacing w:val="-1"/>
                <w:sz w:val="16"/>
              </w:rPr>
              <w:t>7,123,838,383.43</w:t>
            </w:r>
          </w:p>
        </w:tc>
        <w:tc>
          <w:tcPr>
            <w:tcW w:w="1974"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552"/>
              <w:jc w:val="right"/>
              <w:rPr>
                <w:rFonts w:ascii="Times New Roman" w:hAnsi="Times New Roman" w:cs="Times New Roman" w:eastAsia="Times New Roman" w:hint="default"/>
                <w:sz w:val="16"/>
                <w:szCs w:val="16"/>
              </w:rPr>
            </w:pPr>
            <w:r>
              <w:rPr>
                <w:rFonts w:ascii="Times New Roman"/>
                <w:spacing w:val="-1"/>
                <w:sz w:val="16"/>
              </w:rPr>
              <w:t>8,528,962,603.09</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68"/>
              <w:jc w:val="right"/>
              <w:rPr>
                <w:rFonts w:ascii="Times New Roman" w:hAnsi="Times New Roman" w:cs="Times New Roman" w:eastAsia="Times New Roman" w:hint="default"/>
                <w:sz w:val="16"/>
                <w:szCs w:val="16"/>
              </w:rPr>
            </w:pPr>
            <w:r>
              <w:rPr>
                <w:rFonts w:ascii="Times New Roman"/>
                <w:spacing w:val="-1"/>
                <w:sz w:val="16"/>
              </w:rPr>
              <w:t>6,656,661,244.42</w:t>
            </w:r>
          </w:p>
        </w:tc>
      </w:tr>
      <w:tr>
        <w:trPr>
          <w:trHeight w:val="353" w:hRule="exact"/>
        </w:trPr>
        <w:tc>
          <w:tcPr>
            <w:tcW w:w="1227"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其他业务</w:t>
            </w: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551"/>
              <w:jc w:val="right"/>
              <w:rPr>
                <w:rFonts w:ascii="Times New Roman" w:hAnsi="Times New Roman" w:cs="Times New Roman" w:eastAsia="Times New Roman" w:hint="default"/>
                <w:sz w:val="16"/>
                <w:szCs w:val="16"/>
              </w:rPr>
            </w:pPr>
            <w:r>
              <w:rPr>
                <w:rFonts w:ascii="Times New Roman"/>
                <w:spacing w:val="-1"/>
                <w:sz w:val="16"/>
              </w:rPr>
              <w:t>901,757,372.90</w:t>
            </w:r>
          </w:p>
        </w:tc>
        <w:tc>
          <w:tcPr>
            <w:tcW w:w="146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97"/>
              <w:jc w:val="right"/>
              <w:rPr>
                <w:rFonts w:ascii="Times New Roman" w:hAnsi="Times New Roman" w:cs="Times New Roman" w:eastAsia="Times New Roman" w:hint="default"/>
                <w:sz w:val="16"/>
                <w:szCs w:val="16"/>
              </w:rPr>
            </w:pPr>
            <w:r>
              <w:rPr>
                <w:rFonts w:ascii="Times New Roman"/>
                <w:spacing w:val="-1"/>
                <w:sz w:val="16"/>
              </w:rPr>
              <w:t>690,846,976.85</w:t>
            </w:r>
          </w:p>
        </w:tc>
        <w:tc>
          <w:tcPr>
            <w:tcW w:w="197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552"/>
              <w:jc w:val="right"/>
              <w:rPr>
                <w:rFonts w:ascii="Times New Roman" w:hAnsi="Times New Roman" w:cs="Times New Roman" w:eastAsia="Times New Roman" w:hint="default"/>
                <w:sz w:val="16"/>
                <w:szCs w:val="16"/>
              </w:rPr>
            </w:pPr>
            <w:r>
              <w:rPr>
                <w:rFonts w:ascii="Times New Roman"/>
                <w:spacing w:val="-1"/>
                <w:sz w:val="16"/>
              </w:rPr>
              <w:t>977,876,233.03</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790,134,864.68</w:t>
            </w:r>
          </w:p>
        </w:tc>
      </w:tr>
      <w:tr>
        <w:trPr>
          <w:trHeight w:val="358" w:hRule="exact"/>
        </w:trPr>
        <w:tc>
          <w:tcPr>
            <w:tcW w:w="122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51"/>
              <w:jc w:val="right"/>
              <w:rPr>
                <w:rFonts w:ascii="宋体" w:hAnsi="宋体" w:cs="宋体" w:eastAsia="宋体" w:hint="default"/>
                <w:sz w:val="16"/>
                <w:szCs w:val="16"/>
              </w:rPr>
            </w:pPr>
            <w:r>
              <w:rPr>
                <w:rFonts w:ascii="宋体" w:hAnsi="宋体" w:cs="宋体" w:eastAsia="宋体" w:hint="default"/>
                <w:w w:val="95"/>
                <w:sz w:val="16"/>
                <w:szCs w:val="16"/>
              </w:rPr>
              <w:t>合计</w:t>
            </w:r>
            <w:r>
              <w:rPr>
                <w:rFonts w:ascii="宋体" w:hAnsi="宋体" w:cs="宋体" w:eastAsia="宋体" w:hint="default"/>
                <w:sz w:val="16"/>
                <w:szCs w:val="16"/>
              </w:rPr>
            </w: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550"/>
              <w:jc w:val="right"/>
              <w:rPr>
                <w:rFonts w:ascii="Times New Roman" w:hAnsi="Times New Roman" w:cs="Times New Roman" w:eastAsia="Times New Roman" w:hint="default"/>
                <w:sz w:val="16"/>
                <w:szCs w:val="16"/>
              </w:rPr>
            </w:pPr>
            <w:r>
              <w:rPr>
                <w:rFonts w:ascii="Times New Roman"/>
                <w:spacing w:val="-1"/>
                <w:sz w:val="16"/>
              </w:rPr>
              <w:t>10,009,483,496.74</w:t>
            </w:r>
          </w:p>
        </w:tc>
        <w:tc>
          <w:tcPr>
            <w:tcW w:w="1466"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97"/>
              <w:jc w:val="right"/>
              <w:rPr>
                <w:rFonts w:ascii="Times New Roman" w:hAnsi="Times New Roman" w:cs="Times New Roman" w:eastAsia="Times New Roman" w:hint="default"/>
                <w:sz w:val="16"/>
                <w:szCs w:val="16"/>
              </w:rPr>
            </w:pPr>
            <w:r>
              <w:rPr>
                <w:rFonts w:ascii="Times New Roman"/>
                <w:spacing w:val="-1"/>
                <w:sz w:val="16"/>
              </w:rPr>
              <w:t>7,814,685,360.28</w:t>
            </w:r>
          </w:p>
        </w:tc>
        <w:tc>
          <w:tcPr>
            <w:tcW w:w="197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552"/>
              <w:jc w:val="right"/>
              <w:rPr>
                <w:rFonts w:ascii="Times New Roman" w:hAnsi="Times New Roman" w:cs="Times New Roman" w:eastAsia="Times New Roman" w:hint="default"/>
                <w:sz w:val="16"/>
                <w:szCs w:val="16"/>
              </w:rPr>
            </w:pPr>
            <w:r>
              <w:rPr>
                <w:rFonts w:ascii="Times New Roman"/>
                <w:spacing w:val="-1"/>
                <w:sz w:val="16"/>
              </w:rPr>
              <w:t>9,506,838,836.12</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7,446,796,109.10</w:t>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6"/>
          <w:szCs w:val="16"/>
        </w:rPr>
      </w:pPr>
    </w:p>
    <w:tbl>
      <w:tblPr>
        <w:tblW w:w="0" w:type="auto"/>
        <w:jc w:val="left"/>
        <w:tblInd w:w="102" w:type="dxa"/>
        <w:tblLayout w:type="fixed"/>
        <w:tblCellMar>
          <w:top w:w="0" w:type="dxa"/>
          <w:left w:w="0" w:type="dxa"/>
          <w:bottom w:w="0" w:type="dxa"/>
          <w:right w:w="0" w:type="dxa"/>
        </w:tblCellMar>
        <w:tblLook w:val="01E0"/>
      </w:tblPr>
      <w:tblGrid>
        <w:gridCol w:w="2067"/>
        <w:gridCol w:w="1620"/>
        <w:gridCol w:w="3106"/>
        <w:gridCol w:w="2041"/>
      </w:tblGrid>
      <w:tr>
        <w:trPr>
          <w:trHeight w:val="357" w:hRule="exact"/>
        </w:trPr>
        <w:tc>
          <w:tcPr>
            <w:tcW w:w="2067"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right="127"/>
              <w:jc w:val="righ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四十一</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1"/>
                <w:sz w:val="21"/>
                <w:szCs w:val="21"/>
              </w:rPr>
              <w:t> </w:t>
            </w:r>
            <w:r>
              <w:rPr>
                <w:rFonts w:ascii="宋体" w:hAnsi="宋体" w:cs="宋体" w:eastAsia="宋体" w:hint="default"/>
                <w:b/>
                <w:bCs/>
                <w:sz w:val="21"/>
                <w:szCs w:val="21"/>
              </w:rPr>
              <w:t>税金及附加</w:t>
            </w:r>
            <w:r>
              <w:rPr>
                <w:rFonts w:ascii="宋体" w:hAnsi="宋体" w:cs="宋体" w:eastAsia="宋体" w:hint="default"/>
                <w:sz w:val="21"/>
                <w:szCs w:val="21"/>
              </w:rPr>
            </w:r>
          </w:p>
        </w:tc>
        <w:tc>
          <w:tcPr>
            <w:tcW w:w="6767" w:type="dxa"/>
            <w:gridSpan w:val="3"/>
            <w:tcBorders>
              <w:top w:val="nil" w:sz="6" w:space="0" w:color="auto"/>
              <w:left w:val="nil" w:sz="6" w:space="0" w:color="auto"/>
              <w:bottom w:val="single" w:sz="12" w:space="0" w:color="000000"/>
              <w:right w:val="nil" w:sz="6" w:space="0" w:color="auto"/>
            </w:tcBorders>
          </w:tcPr>
          <w:p>
            <w:pPr/>
          </w:p>
        </w:tc>
      </w:tr>
      <w:tr>
        <w:trPr>
          <w:trHeight w:val="363" w:hRule="exact"/>
        </w:trPr>
        <w:tc>
          <w:tcPr>
            <w:tcW w:w="2067" w:type="dxa"/>
            <w:tcBorders>
              <w:top w:val="single" w:sz="12" w:space="0" w:color="000000"/>
              <w:left w:val="nil" w:sz="6" w:space="0" w:color="auto"/>
              <w:bottom w:val="nil" w:sz="6" w:space="0" w:color="auto"/>
              <w:right w:val="nil" w:sz="6" w:space="0" w:color="auto"/>
            </w:tcBorders>
          </w:tcPr>
          <w:p>
            <w:pPr/>
          </w:p>
        </w:tc>
        <w:tc>
          <w:tcPr>
            <w:tcW w:w="1620"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left="129" w:right="0"/>
              <w:jc w:val="left"/>
              <w:rPr>
                <w:rFonts w:ascii="宋体" w:hAnsi="宋体" w:cs="宋体" w:eastAsia="宋体" w:hint="default"/>
                <w:sz w:val="16"/>
                <w:szCs w:val="16"/>
              </w:rPr>
            </w:pPr>
            <w:r>
              <w:rPr>
                <w:rFonts w:ascii="宋体" w:hAnsi="宋体" w:cs="宋体" w:eastAsia="宋体" w:hint="default"/>
                <w:sz w:val="16"/>
                <w:szCs w:val="16"/>
              </w:rPr>
              <w:t>项目</w:t>
            </w:r>
          </w:p>
        </w:tc>
        <w:tc>
          <w:tcPr>
            <w:tcW w:w="3106"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left="36" w:right="0"/>
              <w:jc w:val="center"/>
              <w:rPr>
                <w:rFonts w:ascii="宋体" w:hAnsi="宋体" w:cs="宋体" w:eastAsia="宋体" w:hint="default"/>
                <w:sz w:val="16"/>
                <w:szCs w:val="16"/>
              </w:rPr>
            </w:pPr>
            <w:r>
              <w:rPr>
                <w:rFonts w:ascii="宋体" w:hAnsi="宋体" w:cs="宋体" w:eastAsia="宋体" w:hint="default"/>
                <w:sz w:val="16"/>
                <w:szCs w:val="16"/>
              </w:rPr>
              <w:t>本期发生额</w:t>
            </w:r>
          </w:p>
        </w:tc>
        <w:tc>
          <w:tcPr>
            <w:tcW w:w="2041"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left="448" w:right="0"/>
              <w:jc w:val="left"/>
              <w:rPr>
                <w:rFonts w:ascii="宋体" w:hAnsi="宋体" w:cs="宋体" w:eastAsia="宋体" w:hint="default"/>
                <w:sz w:val="16"/>
                <w:szCs w:val="16"/>
              </w:rPr>
            </w:pPr>
            <w:r>
              <w:rPr>
                <w:rFonts w:ascii="宋体" w:hAnsi="宋体" w:cs="宋体" w:eastAsia="宋体" w:hint="default"/>
                <w:sz w:val="16"/>
                <w:szCs w:val="16"/>
              </w:rPr>
              <w:t>上期发生额</w:t>
            </w:r>
          </w:p>
        </w:tc>
      </w:tr>
      <w:tr>
        <w:trPr>
          <w:trHeight w:val="360" w:hRule="exact"/>
        </w:trPr>
        <w:tc>
          <w:tcPr>
            <w:tcW w:w="2067"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76"/>
              <w:jc w:val="center"/>
              <w:rPr>
                <w:rFonts w:ascii="宋体" w:hAnsi="宋体" w:cs="宋体" w:eastAsia="宋体" w:hint="default"/>
                <w:sz w:val="16"/>
                <w:szCs w:val="16"/>
              </w:rPr>
            </w:pPr>
            <w:r>
              <w:rPr>
                <w:rFonts w:ascii="宋体" w:hAnsi="宋体" w:cs="宋体" w:eastAsia="宋体" w:hint="default"/>
                <w:sz w:val="16"/>
                <w:szCs w:val="16"/>
              </w:rPr>
              <w:t>房产税</w:t>
            </w:r>
          </w:p>
        </w:tc>
        <w:tc>
          <w:tcPr>
            <w:tcW w:w="1620" w:type="dxa"/>
            <w:tcBorders>
              <w:top w:val="nil" w:sz="6" w:space="0" w:color="auto"/>
              <w:left w:val="nil" w:sz="6" w:space="0" w:color="auto"/>
              <w:bottom w:val="nil" w:sz="6" w:space="0" w:color="auto"/>
              <w:right w:val="nil" w:sz="6" w:space="0" w:color="auto"/>
            </w:tcBorders>
          </w:tcPr>
          <w:p>
            <w:pPr/>
          </w:p>
        </w:tc>
        <w:tc>
          <w:tcPr>
            <w:tcW w:w="3106"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446"/>
              <w:jc w:val="right"/>
              <w:rPr>
                <w:rFonts w:ascii="Times New Roman" w:hAnsi="Times New Roman" w:cs="Times New Roman" w:eastAsia="Times New Roman" w:hint="default"/>
                <w:sz w:val="16"/>
                <w:szCs w:val="16"/>
              </w:rPr>
            </w:pPr>
            <w:r>
              <w:rPr>
                <w:rFonts w:ascii="Times New Roman"/>
                <w:spacing w:val="-1"/>
                <w:sz w:val="16"/>
              </w:rPr>
              <w:t>20,952,821.12</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04"/>
              <w:jc w:val="right"/>
              <w:rPr>
                <w:rFonts w:ascii="Times New Roman" w:hAnsi="Times New Roman" w:cs="Times New Roman" w:eastAsia="Times New Roman" w:hint="default"/>
                <w:sz w:val="16"/>
                <w:szCs w:val="16"/>
              </w:rPr>
            </w:pPr>
            <w:r>
              <w:rPr>
                <w:rFonts w:ascii="Times New Roman"/>
                <w:spacing w:val="-1"/>
                <w:sz w:val="16"/>
              </w:rPr>
              <w:t>25,727,073.47</w:t>
            </w:r>
          </w:p>
        </w:tc>
      </w:tr>
      <w:tr>
        <w:trPr>
          <w:trHeight w:val="353" w:hRule="exact"/>
        </w:trPr>
        <w:tc>
          <w:tcPr>
            <w:tcW w:w="206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91"/>
              <w:jc w:val="right"/>
              <w:rPr>
                <w:rFonts w:ascii="宋体" w:hAnsi="宋体" w:cs="宋体" w:eastAsia="宋体" w:hint="default"/>
                <w:sz w:val="16"/>
                <w:szCs w:val="16"/>
              </w:rPr>
            </w:pPr>
            <w:r>
              <w:rPr>
                <w:rFonts w:ascii="宋体" w:hAnsi="宋体" w:cs="宋体" w:eastAsia="宋体" w:hint="default"/>
                <w:w w:val="95"/>
                <w:sz w:val="16"/>
                <w:szCs w:val="16"/>
              </w:rPr>
              <w:t>城市维护建设税</w:t>
            </w:r>
            <w:r>
              <w:rPr>
                <w:rFonts w:ascii="宋体" w:hAnsi="宋体" w:cs="宋体" w:eastAsia="宋体" w:hint="default"/>
                <w:sz w:val="16"/>
                <w:szCs w:val="16"/>
              </w:rPr>
            </w:r>
          </w:p>
        </w:tc>
        <w:tc>
          <w:tcPr>
            <w:tcW w:w="1620" w:type="dxa"/>
            <w:tcBorders>
              <w:top w:val="nil" w:sz="6" w:space="0" w:color="auto"/>
              <w:left w:val="nil" w:sz="6" w:space="0" w:color="auto"/>
              <w:bottom w:val="nil" w:sz="6" w:space="0" w:color="auto"/>
              <w:right w:val="nil" w:sz="6" w:space="0" w:color="auto"/>
            </w:tcBorders>
          </w:tcPr>
          <w:p>
            <w:pPr/>
          </w:p>
        </w:tc>
        <w:tc>
          <w:tcPr>
            <w:tcW w:w="3106"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46"/>
              <w:jc w:val="right"/>
              <w:rPr>
                <w:rFonts w:ascii="Times New Roman" w:hAnsi="Times New Roman" w:cs="Times New Roman" w:eastAsia="Times New Roman" w:hint="default"/>
                <w:sz w:val="16"/>
                <w:szCs w:val="16"/>
              </w:rPr>
            </w:pPr>
            <w:r>
              <w:rPr>
                <w:rFonts w:ascii="Times New Roman"/>
                <w:spacing w:val="-1"/>
                <w:sz w:val="16"/>
              </w:rPr>
              <w:t>12,870,848.45</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4"/>
              <w:jc w:val="right"/>
              <w:rPr>
                <w:rFonts w:ascii="Times New Roman" w:hAnsi="Times New Roman" w:cs="Times New Roman" w:eastAsia="Times New Roman" w:hint="default"/>
                <w:sz w:val="16"/>
                <w:szCs w:val="16"/>
              </w:rPr>
            </w:pPr>
            <w:r>
              <w:rPr>
                <w:rFonts w:ascii="Times New Roman"/>
                <w:spacing w:val="-1"/>
                <w:sz w:val="16"/>
              </w:rPr>
              <w:t>12,056,998.39</w:t>
            </w:r>
          </w:p>
        </w:tc>
      </w:tr>
      <w:tr>
        <w:trPr>
          <w:trHeight w:val="354" w:hRule="exact"/>
        </w:trPr>
        <w:tc>
          <w:tcPr>
            <w:tcW w:w="2067"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55" w:right="0"/>
              <w:jc w:val="left"/>
              <w:rPr>
                <w:rFonts w:ascii="宋体" w:hAnsi="宋体" w:cs="宋体" w:eastAsia="宋体" w:hint="default"/>
                <w:sz w:val="16"/>
                <w:szCs w:val="16"/>
              </w:rPr>
            </w:pPr>
            <w:r>
              <w:rPr>
                <w:rFonts w:ascii="宋体" w:hAnsi="宋体" w:cs="宋体" w:eastAsia="宋体" w:hint="default"/>
                <w:sz w:val="16"/>
                <w:szCs w:val="16"/>
              </w:rPr>
              <w:t>教育费附加</w:t>
            </w:r>
          </w:p>
        </w:tc>
        <w:tc>
          <w:tcPr>
            <w:tcW w:w="1620" w:type="dxa"/>
            <w:tcBorders>
              <w:top w:val="nil" w:sz="6" w:space="0" w:color="auto"/>
              <w:left w:val="nil" w:sz="6" w:space="0" w:color="auto"/>
              <w:bottom w:val="nil" w:sz="6" w:space="0" w:color="auto"/>
              <w:right w:val="nil" w:sz="6" w:space="0" w:color="auto"/>
            </w:tcBorders>
          </w:tcPr>
          <w:p>
            <w:pPr/>
          </w:p>
        </w:tc>
        <w:tc>
          <w:tcPr>
            <w:tcW w:w="3106"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46"/>
              <w:jc w:val="right"/>
              <w:rPr>
                <w:rFonts w:ascii="Times New Roman" w:hAnsi="Times New Roman" w:cs="Times New Roman" w:eastAsia="Times New Roman" w:hint="default"/>
                <w:sz w:val="16"/>
                <w:szCs w:val="16"/>
              </w:rPr>
            </w:pPr>
            <w:r>
              <w:rPr>
                <w:rFonts w:ascii="Times New Roman"/>
                <w:spacing w:val="-1"/>
                <w:sz w:val="16"/>
              </w:rPr>
              <w:t>9,895,399.77</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4"/>
              <w:jc w:val="right"/>
              <w:rPr>
                <w:rFonts w:ascii="Times New Roman" w:hAnsi="Times New Roman" w:cs="Times New Roman" w:eastAsia="Times New Roman" w:hint="default"/>
                <w:sz w:val="16"/>
                <w:szCs w:val="16"/>
              </w:rPr>
            </w:pPr>
            <w:r>
              <w:rPr>
                <w:rFonts w:ascii="Times New Roman"/>
                <w:spacing w:val="-1"/>
                <w:sz w:val="16"/>
              </w:rPr>
              <w:t>8,797,027.57</w:t>
            </w:r>
          </w:p>
        </w:tc>
      </w:tr>
      <w:tr>
        <w:trPr>
          <w:trHeight w:val="353" w:hRule="exact"/>
        </w:trPr>
        <w:tc>
          <w:tcPr>
            <w:tcW w:w="206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76"/>
              <w:jc w:val="center"/>
              <w:rPr>
                <w:rFonts w:ascii="宋体" w:hAnsi="宋体" w:cs="宋体" w:eastAsia="宋体" w:hint="default"/>
                <w:sz w:val="16"/>
                <w:szCs w:val="16"/>
              </w:rPr>
            </w:pPr>
            <w:r>
              <w:rPr>
                <w:rFonts w:ascii="宋体" w:hAnsi="宋体" w:cs="宋体" w:eastAsia="宋体" w:hint="default"/>
                <w:sz w:val="16"/>
                <w:szCs w:val="16"/>
              </w:rPr>
              <w:t>消费税</w:t>
            </w:r>
          </w:p>
        </w:tc>
        <w:tc>
          <w:tcPr>
            <w:tcW w:w="1620" w:type="dxa"/>
            <w:tcBorders>
              <w:top w:val="nil" w:sz="6" w:space="0" w:color="auto"/>
              <w:left w:val="nil" w:sz="6" w:space="0" w:color="auto"/>
              <w:bottom w:val="nil" w:sz="6" w:space="0" w:color="auto"/>
              <w:right w:val="nil" w:sz="6" w:space="0" w:color="auto"/>
            </w:tcBorders>
          </w:tcPr>
          <w:p>
            <w:pPr/>
          </w:p>
        </w:tc>
        <w:tc>
          <w:tcPr>
            <w:tcW w:w="310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46"/>
              <w:jc w:val="right"/>
              <w:rPr>
                <w:rFonts w:ascii="Times New Roman" w:hAnsi="Times New Roman" w:cs="Times New Roman" w:eastAsia="Times New Roman" w:hint="default"/>
                <w:sz w:val="16"/>
                <w:szCs w:val="16"/>
              </w:rPr>
            </w:pPr>
            <w:r>
              <w:rPr>
                <w:rFonts w:ascii="Times New Roman"/>
                <w:spacing w:val="-1"/>
                <w:sz w:val="16"/>
              </w:rPr>
              <w:t>8,385,018.85</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6"/>
                <w:szCs w:val="16"/>
              </w:rPr>
            </w:pPr>
            <w:r>
              <w:rPr>
                <w:rFonts w:ascii="Times New Roman"/>
                <w:spacing w:val="-1"/>
                <w:sz w:val="16"/>
              </w:rPr>
              <w:t>8,462,324.99</w:t>
            </w:r>
          </w:p>
        </w:tc>
      </w:tr>
      <w:tr>
        <w:trPr>
          <w:trHeight w:val="353" w:hRule="exact"/>
        </w:trPr>
        <w:tc>
          <w:tcPr>
            <w:tcW w:w="2067"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55" w:right="0"/>
              <w:jc w:val="left"/>
              <w:rPr>
                <w:rFonts w:ascii="宋体" w:hAnsi="宋体" w:cs="宋体" w:eastAsia="宋体" w:hint="default"/>
                <w:sz w:val="16"/>
                <w:szCs w:val="16"/>
              </w:rPr>
            </w:pPr>
            <w:r>
              <w:rPr>
                <w:rFonts w:ascii="宋体" w:hAnsi="宋体" w:cs="宋体" w:eastAsia="宋体" w:hint="default"/>
                <w:sz w:val="16"/>
                <w:szCs w:val="16"/>
              </w:rPr>
              <w:t>土地使用税</w:t>
            </w:r>
          </w:p>
        </w:tc>
        <w:tc>
          <w:tcPr>
            <w:tcW w:w="1620" w:type="dxa"/>
            <w:tcBorders>
              <w:top w:val="nil" w:sz="6" w:space="0" w:color="auto"/>
              <w:left w:val="nil" w:sz="6" w:space="0" w:color="auto"/>
              <w:bottom w:val="nil" w:sz="6" w:space="0" w:color="auto"/>
              <w:right w:val="nil" w:sz="6" w:space="0" w:color="auto"/>
            </w:tcBorders>
          </w:tcPr>
          <w:p>
            <w:pPr/>
          </w:p>
        </w:tc>
        <w:tc>
          <w:tcPr>
            <w:tcW w:w="3106"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46"/>
              <w:jc w:val="right"/>
              <w:rPr>
                <w:rFonts w:ascii="Times New Roman" w:hAnsi="Times New Roman" w:cs="Times New Roman" w:eastAsia="Times New Roman" w:hint="default"/>
                <w:sz w:val="16"/>
                <w:szCs w:val="16"/>
              </w:rPr>
            </w:pPr>
            <w:r>
              <w:rPr>
                <w:rFonts w:ascii="Times New Roman"/>
                <w:spacing w:val="-1"/>
                <w:sz w:val="16"/>
              </w:rPr>
              <w:t>7,291,339.83</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4"/>
              <w:jc w:val="right"/>
              <w:rPr>
                <w:rFonts w:ascii="Times New Roman" w:hAnsi="Times New Roman" w:cs="Times New Roman" w:eastAsia="Times New Roman" w:hint="default"/>
                <w:sz w:val="16"/>
                <w:szCs w:val="16"/>
              </w:rPr>
            </w:pPr>
            <w:r>
              <w:rPr>
                <w:rFonts w:ascii="Times New Roman"/>
                <w:spacing w:val="-1"/>
                <w:w w:val="95"/>
                <w:sz w:val="16"/>
              </w:rPr>
              <w:t>7,582,112.19</w:t>
            </w:r>
            <w:r>
              <w:rPr>
                <w:rFonts w:ascii="Times New Roman"/>
                <w:spacing w:val="-1"/>
                <w:sz w:val="16"/>
              </w:rPr>
            </w:r>
          </w:p>
        </w:tc>
      </w:tr>
      <w:tr>
        <w:trPr>
          <w:trHeight w:val="353" w:hRule="exact"/>
        </w:trPr>
        <w:tc>
          <w:tcPr>
            <w:tcW w:w="206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76"/>
              <w:jc w:val="center"/>
              <w:rPr>
                <w:rFonts w:ascii="宋体" w:hAnsi="宋体" w:cs="宋体" w:eastAsia="宋体" w:hint="default"/>
                <w:sz w:val="16"/>
                <w:szCs w:val="16"/>
              </w:rPr>
            </w:pPr>
            <w:r>
              <w:rPr>
                <w:rFonts w:ascii="宋体" w:hAnsi="宋体" w:cs="宋体" w:eastAsia="宋体" w:hint="default"/>
                <w:sz w:val="16"/>
                <w:szCs w:val="16"/>
              </w:rPr>
              <w:t>印花税</w:t>
            </w:r>
          </w:p>
        </w:tc>
        <w:tc>
          <w:tcPr>
            <w:tcW w:w="1620" w:type="dxa"/>
            <w:tcBorders>
              <w:top w:val="nil" w:sz="6" w:space="0" w:color="auto"/>
              <w:left w:val="nil" w:sz="6" w:space="0" w:color="auto"/>
              <w:bottom w:val="nil" w:sz="6" w:space="0" w:color="auto"/>
              <w:right w:val="nil" w:sz="6" w:space="0" w:color="auto"/>
            </w:tcBorders>
          </w:tcPr>
          <w:p>
            <w:pPr/>
          </w:p>
        </w:tc>
        <w:tc>
          <w:tcPr>
            <w:tcW w:w="310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46"/>
              <w:jc w:val="right"/>
              <w:rPr>
                <w:rFonts w:ascii="Times New Roman" w:hAnsi="Times New Roman" w:cs="Times New Roman" w:eastAsia="Times New Roman" w:hint="default"/>
                <w:sz w:val="16"/>
                <w:szCs w:val="16"/>
              </w:rPr>
            </w:pPr>
            <w:r>
              <w:rPr>
                <w:rFonts w:ascii="Times New Roman"/>
                <w:spacing w:val="-1"/>
                <w:sz w:val="16"/>
              </w:rPr>
              <w:t>6,106,109.94</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6"/>
                <w:szCs w:val="16"/>
              </w:rPr>
            </w:pPr>
            <w:r>
              <w:rPr>
                <w:rFonts w:ascii="Times New Roman"/>
                <w:spacing w:val="-1"/>
                <w:sz w:val="16"/>
              </w:rPr>
              <w:t>5,314,792.05</w:t>
            </w:r>
          </w:p>
        </w:tc>
      </w:tr>
      <w:tr>
        <w:trPr>
          <w:trHeight w:val="353" w:hRule="exact"/>
        </w:trPr>
        <w:tc>
          <w:tcPr>
            <w:tcW w:w="206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37"/>
              <w:jc w:val="center"/>
              <w:rPr>
                <w:rFonts w:ascii="宋体" w:hAnsi="宋体" w:cs="宋体" w:eastAsia="宋体" w:hint="default"/>
                <w:sz w:val="16"/>
                <w:szCs w:val="16"/>
              </w:rPr>
            </w:pPr>
            <w:r>
              <w:rPr>
                <w:rFonts w:ascii="宋体" w:hAnsi="宋体" w:cs="宋体" w:eastAsia="宋体" w:hint="default"/>
                <w:sz w:val="16"/>
                <w:szCs w:val="16"/>
              </w:rPr>
              <w:t>其他</w:t>
            </w:r>
          </w:p>
        </w:tc>
        <w:tc>
          <w:tcPr>
            <w:tcW w:w="1620" w:type="dxa"/>
            <w:tcBorders>
              <w:top w:val="nil" w:sz="6" w:space="0" w:color="auto"/>
              <w:left w:val="nil" w:sz="6" w:space="0" w:color="auto"/>
              <w:bottom w:val="nil" w:sz="6" w:space="0" w:color="auto"/>
              <w:right w:val="nil" w:sz="6" w:space="0" w:color="auto"/>
            </w:tcBorders>
          </w:tcPr>
          <w:p>
            <w:pPr/>
          </w:p>
        </w:tc>
        <w:tc>
          <w:tcPr>
            <w:tcW w:w="3106"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46"/>
              <w:jc w:val="right"/>
              <w:rPr>
                <w:rFonts w:ascii="Times New Roman" w:hAnsi="Times New Roman" w:cs="Times New Roman" w:eastAsia="Times New Roman" w:hint="default"/>
                <w:sz w:val="16"/>
                <w:szCs w:val="16"/>
              </w:rPr>
            </w:pPr>
            <w:r>
              <w:rPr>
                <w:rFonts w:ascii="Times New Roman"/>
                <w:spacing w:val="-1"/>
                <w:sz w:val="16"/>
              </w:rPr>
              <w:t>7,925,107.38</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4"/>
              <w:jc w:val="right"/>
              <w:rPr>
                <w:rFonts w:ascii="Times New Roman" w:hAnsi="Times New Roman" w:cs="Times New Roman" w:eastAsia="Times New Roman" w:hint="default"/>
                <w:sz w:val="16"/>
                <w:szCs w:val="16"/>
              </w:rPr>
            </w:pPr>
            <w:r>
              <w:rPr>
                <w:rFonts w:ascii="Times New Roman"/>
                <w:spacing w:val="-1"/>
                <w:sz w:val="16"/>
              </w:rPr>
              <w:t>9,461,384.69</w:t>
            </w:r>
          </w:p>
        </w:tc>
      </w:tr>
      <w:tr>
        <w:trPr>
          <w:trHeight w:val="357" w:hRule="exact"/>
        </w:trPr>
        <w:tc>
          <w:tcPr>
            <w:tcW w:w="2067" w:type="dxa"/>
            <w:tcBorders>
              <w:top w:val="nil" w:sz="6" w:space="0" w:color="auto"/>
              <w:left w:val="nil" w:sz="6" w:space="0" w:color="auto"/>
              <w:bottom w:val="single" w:sz="12" w:space="0" w:color="000000"/>
              <w:right w:val="nil" w:sz="6" w:space="0" w:color="auto"/>
            </w:tcBorders>
          </w:tcPr>
          <w:p>
            <w:pPr/>
          </w:p>
        </w:tc>
        <w:tc>
          <w:tcPr>
            <w:tcW w:w="1620"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left="129"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3106"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446"/>
              <w:jc w:val="right"/>
              <w:rPr>
                <w:rFonts w:ascii="Times New Roman" w:hAnsi="Times New Roman" w:cs="Times New Roman" w:eastAsia="Times New Roman" w:hint="default"/>
                <w:sz w:val="16"/>
                <w:szCs w:val="16"/>
              </w:rPr>
            </w:pPr>
            <w:r>
              <w:rPr>
                <w:rFonts w:ascii="Times New Roman"/>
                <w:spacing w:val="-1"/>
                <w:sz w:val="16"/>
              </w:rPr>
              <w:t>73,426,645.34</w:t>
            </w:r>
          </w:p>
        </w:tc>
        <w:tc>
          <w:tcPr>
            <w:tcW w:w="2041"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6"/>
                <w:szCs w:val="16"/>
              </w:rPr>
            </w:pPr>
            <w:r>
              <w:rPr>
                <w:rFonts w:ascii="Times New Roman"/>
                <w:spacing w:val="-1"/>
                <w:sz w:val="16"/>
              </w:rPr>
              <w:t>77,401,713.35</w:t>
            </w:r>
          </w:p>
        </w:tc>
      </w:tr>
    </w:tbl>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3"/>
          <w:szCs w:val="13"/>
        </w:rPr>
      </w:pPr>
    </w:p>
    <w:tbl>
      <w:tblPr>
        <w:tblW w:w="0" w:type="auto"/>
        <w:jc w:val="left"/>
        <w:tblInd w:w="102" w:type="dxa"/>
        <w:tblLayout w:type="fixed"/>
        <w:tblCellMar>
          <w:top w:w="0" w:type="dxa"/>
          <w:left w:w="0" w:type="dxa"/>
          <w:bottom w:w="0" w:type="dxa"/>
          <w:right w:w="0" w:type="dxa"/>
        </w:tblCellMar>
        <w:tblLook w:val="01E0"/>
      </w:tblPr>
      <w:tblGrid>
        <w:gridCol w:w="1952"/>
        <w:gridCol w:w="1708"/>
        <w:gridCol w:w="3117"/>
        <w:gridCol w:w="2058"/>
      </w:tblGrid>
      <w:tr>
        <w:trPr>
          <w:trHeight w:val="357" w:hRule="exact"/>
        </w:trPr>
        <w:tc>
          <w:tcPr>
            <w:tcW w:w="1952"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right="220"/>
              <w:jc w:val="righ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四十二</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3"/>
                <w:sz w:val="21"/>
                <w:szCs w:val="21"/>
              </w:rPr>
              <w:t> </w:t>
            </w:r>
            <w:r>
              <w:rPr>
                <w:rFonts w:ascii="宋体" w:hAnsi="宋体" w:cs="宋体" w:eastAsia="宋体" w:hint="default"/>
                <w:b/>
                <w:bCs/>
                <w:sz w:val="21"/>
                <w:szCs w:val="21"/>
              </w:rPr>
              <w:t>销售费用</w:t>
            </w:r>
            <w:r>
              <w:rPr>
                <w:rFonts w:ascii="宋体" w:hAnsi="宋体" w:cs="宋体" w:eastAsia="宋体" w:hint="default"/>
                <w:sz w:val="21"/>
                <w:szCs w:val="21"/>
              </w:rPr>
            </w:r>
          </w:p>
        </w:tc>
        <w:tc>
          <w:tcPr>
            <w:tcW w:w="6883" w:type="dxa"/>
            <w:gridSpan w:val="3"/>
            <w:tcBorders>
              <w:top w:val="nil" w:sz="6" w:space="0" w:color="auto"/>
              <w:left w:val="nil" w:sz="6" w:space="0" w:color="auto"/>
              <w:bottom w:val="single" w:sz="12" w:space="0" w:color="000000"/>
              <w:right w:val="nil" w:sz="6" w:space="0" w:color="auto"/>
            </w:tcBorders>
          </w:tcPr>
          <w:p>
            <w:pPr/>
          </w:p>
        </w:tc>
      </w:tr>
      <w:tr>
        <w:trPr>
          <w:trHeight w:val="363" w:hRule="exact"/>
        </w:trPr>
        <w:tc>
          <w:tcPr>
            <w:tcW w:w="1952" w:type="dxa"/>
            <w:tcBorders>
              <w:top w:val="single" w:sz="12" w:space="0" w:color="000000"/>
              <w:left w:val="nil" w:sz="6" w:space="0" w:color="auto"/>
              <w:bottom w:val="nil" w:sz="6" w:space="0" w:color="auto"/>
              <w:right w:val="nil" w:sz="6" w:space="0" w:color="auto"/>
            </w:tcBorders>
          </w:tcPr>
          <w:p>
            <w:pPr/>
          </w:p>
        </w:tc>
        <w:tc>
          <w:tcPr>
            <w:tcW w:w="1708"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22" w:right="0"/>
              <w:jc w:val="left"/>
              <w:rPr>
                <w:rFonts w:ascii="宋体" w:hAnsi="宋体" w:cs="宋体" w:eastAsia="宋体" w:hint="default"/>
                <w:sz w:val="16"/>
                <w:szCs w:val="16"/>
              </w:rPr>
            </w:pPr>
            <w:r>
              <w:rPr>
                <w:rFonts w:ascii="宋体" w:hAnsi="宋体" w:cs="宋体" w:eastAsia="宋体" w:hint="default"/>
                <w:sz w:val="16"/>
                <w:szCs w:val="16"/>
              </w:rPr>
              <w:t>项目</w:t>
            </w:r>
          </w:p>
        </w:tc>
        <w:tc>
          <w:tcPr>
            <w:tcW w:w="3117"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13" w:right="0"/>
              <w:jc w:val="center"/>
              <w:rPr>
                <w:rFonts w:ascii="宋体" w:hAnsi="宋体" w:cs="宋体" w:eastAsia="宋体" w:hint="default"/>
                <w:sz w:val="16"/>
                <w:szCs w:val="16"/>
              </w:rPr>
            </w:pPr>
            <w:r>
              <w:rPr>
                <w:rFonts w:ascii="宋体" w:hAnsi="宋体" w:cs="宋体" w:eastAsia="宋体" w:hint="default"/>
                <w:sz w:val="16"/>
                <w:szCs w:val="16"/>
              </w:rPr>
              <w:t>本期发生额</w:t>
            </w:r>
          </w:p>
        </w:tc>
        <w:tc>
          <w:tcPr>
            <w:tcW w:w="2058"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454" w:right="0"/>
              <w:jc w:val="left"/>
              <w:rPr>
                <w:rFonts w:ascii="宋体" w:hAnsi="宋体" w:cs="宋体" w:eastAsia="宋体" w:hint="default"/>
                <w:sz w:val="16"/>
                <w:szCs w:val="16"/>
              </w:rPr>
            </w:pPr>
            <w:r>
              <w:rPr>
                <w:rFonts w:ascii="宋体" w:hAnsi="宋体" w:cs="宋体" w:eastAsia="宋体" w:hint="default"/>
                <w:sz w:val="16"/>
                <w:szCs w:val="16"/>
              </w:rPr>
              <w:t>上期发生额</w:t>
            </w:r>
          </w:p>
        </w:tc>
      </w:tr>
      <w:tr>
        <w:trPr>
          <w:trHeight w:val="360" w:hRule="exact"/>
        </w:trPr>
        <w:tc>
          <w:tcPr>
            <w:tcW w:w="1952" w:type="dxa"/>
            <w:tcBorders>
              <w:top w:val="nil" w:sz="6" w:space="0" w:color="auto"/>
              <w:left w:val="nil" w:sz="6" w:space="0" w:color="auto"/>
              <w:bottom w:val="nil" w:sz="6" w:space="0" w:color="auto"/>
              <w:right w:val="nil" w:sz="6" w:space="0" w:color="auto"/>
            </w:tcBorders>
          </w:tcPr>
          <w:p>
            <w:pPr>
              <w:pStyle w:val="TableParagraph"/>
              <w:spacing w:line="240" w:lineRule="auto" w:before="47"/>
              <w:ind w:left="755" w:right="0"/>
              <w:jc w:val="left"/>
              <w:rPr>
                <w:rFonts w:ascii="宋体" w:hAnsi="宋体" w:cs="宋体" w:eastAsia="宋体" w:hint="default"/>
                <w:sz w:val="16"/>
                <w:szCs w:val="16"/>
              </w:rPr>
            </w:pPr>
            <w:r>
              <w:rPr>
                <w:rFonts w:ascii="宋体" w:hAnsi="宋体" w:cs="宋体" w:eastAsia="宋体" w:hint="default"/>
                <w:sz w:val="16"/>
                <w:szCs w:val="16"/>
              </w:rPr>
              <w:t>工资费用</w:t>
            </w:r>
          </w:p>
        </w:tc>
        <w:tc>
          <w:tcPr>
            <w:tcW w:w="1708" w:type="dxa"/>
            <w:tcBorders>
              <w:top w:val="nil" w:sz="6" w:space="0" w:color="auto"/>
              <w:left w:val="nil" w:sz="6" w:space="0" w:color="auto"/>
              <w:bottom w:val="nil" w:sz="6" w:space="0" w:color="auto"/>
              <w:right w:val="nil" w:sz="6" w:space="0" w:color="auto"/>
            </w:tcBorders>
          </w:tcPr>
          <w:p>
            <w:pPr/>
          </w:p>
        </w:tc>
        <w:tc>
          <w:tcPr>
            <w:tcW w:w="3117"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453"/>
              <w:jc w:val="right"/>
              <w:rPr>
                <w:rFonts w:ascii="Times New Roman" w:hAnsi="Times New Roman" w:cs="Times New Roman" w:eastAsia="Times New Roman" w:hint="default"/>
                <w:sz w:val="16"/>
                <w:szCs w:val="16"/>
              </w:rPr>
            </w:pPr>
            <w:r>
              <w:rPr>
                <w:rFonts w:ascii="Times New Roman"/>
                <w:spacing w:val="-1"/>
                <w:sz w:val="16"/>
              </w:rPr>
              <w:t>193,059,523.38</w:t>
            </w:r>
          </w:p>
        </w:tc>
        <w:tc>
          <w:tcPr>
            <w:tcW w:w="2058"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05"/>
              <w:jc w:val="right"/>
              <w:rPr>
                <w:rFonts w:ascii="Times New Roman" w:hAnsi="Times New Roman" w:cs="Times New Roman" w:eastAsia="Times New Roman" w:hint="default"/>
                <w:sz w:val="16"/>
                <w:szCs w:val="16"/>
              </w:rPr>
            </w:pPr>
            <w:r>
              <w:rPr>
                <w:rFonts w:ascii="Times New Roman"/>
                <w:spacing w:val="-1"/>
                <w:sz w:val="16"/>
              </w:rPr>
              <w:t>161,404,191.70</w:t>
            </w:r>
          </w:p>
        </w:tc>
      </w:tr>
      <w:tr>
        <w:trPr>
          <w:trHeight w:val="354" w:hRule="exact"/>
        </w:trPr>
        <w:tc>
          <w:tcPr>
            <w:tcW w:w="195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6" w:right="0"/>
              <w:jc w:val="center"/>
              <w:rPr>
                <w:rFonts w:ascii="宋体" w:hAnsi="宋体" w:cs="宋体" w:eastAsia="宋体" w:hint="default"/>
                <w:sz w:val="16"/>
                <w:szCs w:val="16"/>
              </w:rPr>
            </w:pPr>
            <w:r>
              <w:rPr>
                <w:rFonts w:ascii="宋体" w:hAnsi="宋体" w:cs="宋体" w:eastAsia="宋体" w:hint="default"/>
                <w:sz w:val="16"/>
                <w:szCs w:val="16"/>
              </w:rPr>
              <w:t>运输费</w:t>
            </w:r>
          </w:p>
        </w:tc>
        <w:tc>
          <w:tcPr>
            <w:tcW w:w="1708" w:type="dxa"/>
            <w:tcBorders>
              <w:top w:val="nil" w:sz="6" w:space="0" w:color="auto"/>
              <w:left w:val="nil" w:sz="6" w:space="0" w:color="auto"/>
              <w:bottom w:val="nil" w:sz="6" w:space="0" w:color="auto"/>
              <w:right w:val="nil" w:sz="6" w:space="0" w:color="auto"/>
            </w:tcBorders>
          </w:tcPr>
          <w:p>
            <w:pPr/>
          </w:p>
        </w:tc>
        <w:tc>
          <w:tcPr>
            <w:tcW w:w="311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52"/>
              <w:jc w:val="right"/>
              <w:rPr>
                <w:rFonts w:ascii="Times New Roman" w:hAnsi="Times New Roman" w:cs="Times New Roman" w:eastAsia="Times New Roman" w:hint="default"/>
                <w:sz w:val="16"/>
                <w:szCs w:val="16"/>
              </w:rPr>
            </w:pPr>
            <w:r>
              <w:rPr>
                <w:rFonts w:ascii="Times New Roman"/>
                <w:spacing w:val="-1"/>
                <w:sz w:val="16"/>
              </w:rPr>
              <w:t>66,913,971.42</w:t>
            </w:r>
          </w:p>
        </w:tc>
        <w:tc>
          <w:tcPr>
            <w:tcW w:w="205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4"/>
              <w:jc w:val="right"/>
              <w:rPr>
                <w:rFonts w:ascii="Times New Roman" w:hAnsi="Times New Roman" w:cs="Times New Roman" w:eastAsia="Times New Roman" w:hint="default"/>
                <w:sz w:val="16"/>
                <w:szCs w:val="16"/>
              </w:rPr>
            </w:pPr>
            <w:r>
              <w:rPr>
                <w:rFonts w:ascii="Times New Roman"/>
                <w:spacing w:val="-1"/>
                <w:sz w:val="16"/>
              </w:rPr>
              <w:t>81,112,226.62</w:t>
            </w:r>
          </w:p>
        </w:tc>
      </w:tr>
      <w:tr>
        <w:trPr>
          <w:trHeight w:val="353" w:hRule="exact"/>
        </w:trPr>
        <w:tc>
          <w:tcPr>
            <w:tcW w:w="195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6" w:right="0"/>
              <w:jc w:val="center"/>
              <w:rPr>
                <w:rFonts w:ascii="宋体" w:hAnsi="宋体" w:cs="宋体" w:eastAsia="宋体" w:hint="default"/>
                <w:sz w:val="16"/>
                <w:szCs w:val="16"/>
              </w:rPr>
            </w:pPr>
            <w:r>
              <w:rPr>
                <w:rFonts w:ascii="宋体" w:hAnsi="宋体" w:cs="宋体" w:eastAsia="宋体" w:hint="default"/>
                <w:sz w:val="16"/>
                <w:szCs w:val="16"/>
              </w:rPr>
              <w:t>差旅费</w:t>
            </w:r>
          </w:p>
        </w:tc>
        <w:tc>
          <w:tcPr>
            <w:tcW w:w="1708" w:type="dxa"/>
            <w:tcBorders>
              <w:top w:val="nil" w:sz="6" w:space="0" w:color="auto"/>
              <w:left w:val="nil" w:sz="6" w:space="0" w:color="auto"/>
              <w:bottom w:val="nil" w:sz="6" w:space="0" w:color="auto"/>
              <w:right w:val="nil" w:sz="6" w:space="0" w:color="auto"/>
            </w:tcBorders>
          </w:tcPr>
          <w:p>
            <w:pPr/>
          </w:p>
        </w:tc>
        <w:tc>
          <w:tcPr>
            <w:tcW w:w="311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52"/>
              <w:jc w:val="right"/>
              <w:rPr>
                <w:rFonts w:ascii="Times New Roman" w:hAnsi="Times New Roman" w:cs="Times New Roman" w:eastAsia="Times New Roman" w:hint="default"/>
                <w:sz w:val="16"/>
                <w:szCs w:val="16"/>
              </w:rPr>
            </w:pPr>
            <w:r>
              <w:rPr>
                <w:rFonts w:ascii="Times New Roman"/>
                <w:spacing w:val="-1"/>
                <w:sz w:val="16"/>
              </w:rPr>
              <w:t>25,424,215.49</w:t>
            </w:r>
          </w:p>
        </w:tc>
        <w:tc>
          <w:tcPr>
            <w:tcW w:w="205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6"/>
                <w:szCs w:val="16"/>
              </w:rPr>
            </w:pPr>
            <w:r>
              <w:rPr>
                <w:rFonts w:ascii="Times New Roman"/>
                <w:spacing w:val="-1"/>
                <w:sz w:val="16"/>
              </w:rPr>
              <w:t>28,138,557.58</w:t>
            </w:r>
          </w:p>
        </w:tc>
      </w:tr>
      <w:tr>
        <w:trPr>
          <w:trHeight w:val="353" w:hRule="exact"/>
        </w:trPr>
        <w:tc>
          <w:tcPr>
            <w:tcW w:w="195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55" w:right="0"/>
              <w:jc w:val="left"/>
              <w:rPr>
                <w:rFonts w:ascii="宋体" w:hAnsi="宋体" w:cs="宋体" w:eastAsia="宋体" w:hint="default"/>
                <w:sz w:val="16"/>
                <w:szCs w:val="16"/>
              </w:rPr>
            </w:pPr>
            <w:r>
              <w:rPr>
                <w:rFonts w:ascii="宋体" w:hAnsi="宋体" w:cs="宋体" w:eastAsia="宋体" w:hint="default"/>
                <w:sz w:val="16"/>
                <w:szCs w:val="16"/>
              </w:rPr>
              <w:t>业务招待费</w:t>
            </w:r>
          </w:p>
        </w:tc>
        <w:tc>
          <w:tcPr>
            <w:tcW w:w="1708" w:type="dxa"/>
            <w:tcBorders>
              <w:top w:val="nil" w:sz="6" w:space="0" w:color="auto"/>
              <w:left w:val="nil" w:sz="6" w:space="0" w:color="auto"/>
              <w:bottom w:val="nil" w:sz="6" w:space="0" w:color="auto"/>
              <w:right w:val="nil" w:sz="6" w:space="0" w:color="auto"/>
            </w:tcBorders>
          </w:tcPr>
          <w:p>
            <w:pPr/>
          </w:p>
        </w:tc>
        <w:tc>
          <w:tcPr>
            <w:tcW w:w="311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52"/>
              <w:jc w:val="right"/>
              <w:rPr>
                <w:rFonts w:ascii="Times New Roman" w:hAnsi="Times New Roman" w:cs="Times New Roman" w:eastAsia="Times New Roman" w:hint="default"/>
                <w:sz w:val="16"/>
                <w:szCs w:val="16"/>
              </w:rPr>
            </w:pPr>
            <w:r>
              <w:rPr>
                <w:rFonts w:ascii="Times New Roman"/>
                <w:spacing w:val="-1"/>
                <w:sz w:val="16"/>
              </w:rPr>
              <w:t>23,325,114.60</w:t>
            </w:r>
          </w:p>
        </w:tc>
        <w:tc>
          <w:tcPr>
            <w:tcW w:w="205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4"/>
              <w:jc w:val="right"/>
              <w:rPr>
                <w:rFonts w:ascii="Times New Roman" w:hAnsi="Times New Roman" w:cs="Times New Roman" w:eastAsia="Times New Roman" w:hint="default"/>
                <w:sz w:val="16"/>
                <w:szCs w:val="16"/>
              </w:rPr>
            </w:pPr>
            <w:r>
              <w:rPr>
                <w:rFonts w:ascii="Times New Roman"/>
                <w:spacing w:val="-1"/>
                <w:sz w:val="16"/>
              </w:rPr>
              <w:t>37,049,783.13</w:t>
            </w:r>
          </w:p>
        </w:tc>
      </w:tr>
      <w:tr>
        <w:trPr>
          <w:trHeight w:val="353" w:hRule="exact"/>
        </w:trPr>
        <w:tc>
          <w:tcPr>
            <w:tcW w:w="1952"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36"/>
              <w:jc w:val="right"/>
              <w:rPr>
                <w:rFonts w:ascii="宋体" w:hAnsi="宋体" w:cs="宋体" w:eastAsia="宋体" w:hint="default"/>
                <w:sz w:val="16"/>
                <w:szCs w:val="16"/>
              </w:rPr>
            </w:pPr>
            <w:r>
              <w:rPr>
                <w:rFonts w:ascii="宋体" w:hAnsi="宋体" w:cs="宋体" w:eastAsia="宋体" w:hint="default"/>
                <w:w w:val="95"/>
                <w:sz w:val="16"/>
                <w:szCs w:val="16"/>
              </w:rPr>
              <w:t>出口客户佣金</w:t>
            </w:r>
            <w:r>
              <w:rPr>
                <w:rFonts w:ascii="宋体" w:hAnsi="宋体" w:cs="宋体" w:eastAsia="宋体" w:hint="default"/>
                <w:sz w:val="16"/>
                <w:szCs w:val="16"/>
              </w:rPr>
            </w:r>
          </w:p>
        </w:tc>
        <w:tc>
          <w:tcPr>
            <w:tcW w:w="1708" w:type="dxa"/>
            <w:tcBorders>
              <w:top w:val="nil" w:sz="6" w:space="0" w:color="auto"/>
              <w:left w:val="nil" w:sz="6" w:space="0" w:color="auto"/>
              <w:bottom w:val="nil" w:sz="6" w:space="0" w:color="auto"/>
              <w:right w:val="nil" w:sz="6" w:space="0" w:color="auto"/>
            </w:tcBorders>
          </w:tcPr>
          <w:p>
            <w:pPr/>
          </w:p>
        </w:tc>
        <w:tc>
          <w:tcPr>
            <w:tcW w:w="311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52"/>
              <w:jc w:val="right"/>
              <w:rPr>
                <w:rFonts w:ascii="Times New Roman" w:hAnsi="Times New Roman" w:cs="Times New Roman" w:eastAsia="Times New Roman" w:hint="default"/>
                <w:sz w:val="16"/>
                <w:szCs w:val="16"/>
              </w:rPr>
            </w:pPr>
            <w:r>
              <w:rPr>
                <w:rFonts w:ascii="Times New Roman"/>
                <w:spacing w:val="-1"/>
                <w:sz w:val="16"/>
              </w:rPr>
              <w:t>14,843,226.42</w:t>
            </w:r>
          </w:p>
        </w:tc>
        <w:tc>
          <w:tcPr>
            <w:tcW w:w="205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6"/>
                <w:szCs w:val="16"/>
              </w:rPr>
            </w:pPr>
            <w:r>
              <w:rPr>
                <w:rFonts w:ascii="Times New Roman"/>
                <w:spacing w:val="-1"/>
                <w:sz w:val="16"/>
              </w:rPr>
              <w:t>7,053,688.20</w:t>
            </w:r>
          </w:p>
        </w:tc>
      </w:tr>
      <w:tr>
        <w:trPr>
          <w:trHeight w:val="353" w:hRule="exact"/>
        </w:trPr>
        <w:tc>
          <w:tcPr>
            <w:tcW w:w="195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6" w:right="0"/>
              <w:jc w:val="center"/>
              <w:rPr>
                <w:rFonts w:ascii="宋体" w:hAnsi="宋体" w:cs="宋体" w:eastAsia="宋体" w:hint="default"/>
                <w:sz w:val="16"/>
                <w:szCs w:val="16"/>
              </w:rPr>
            </w:pPr>
            <w:r>
              <w:rPr>
                <w:rFonts w:ascii="宋体" w:hAnsi="宋体" w:cs="宋体" w:eastAsia="宋体" w:hint="default"/>
                <w:sz w:val="16"/>
                <w:szCs w:val="16"/>
              </w:rPr>
              <w:t>租赁费</w:t>
            </w:r>
          </w:p>
        </w:tc>
        <w:tc>
          <w:tcPr>
            <w:tcW w:w="1708" w:type="dxa"/>
            <w:tcBorders>
              <w:top w:val="nil" w:sz="6" w:space="0" w:color="auto"/>
              <w:left w:val="nil" w:sz="6" w:space="0" w:color="auto"/>
              <w:bottom w:val="nil" w:sz="6" w:space="0" w:color="auto"/>
              <w:right w:val="nil" w:sz="6" w:space="0" w:color="auto"/>
            </w:tcBorders>
          </w:tcPr>
          <w:p>
            <w:pPr/>
          </w:p>
        </w:tc>
        <w:tc>
          <w:tcPr>
            <w:tcW w:w="311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52"/>
              <w:jc w:val="right"/>
              <w:rPr>
                <w:rFonts w:ascii="Times New Roman" w:hAnsi="Times New Roman" w:cs="Times New Roman" w:eastAsia="Times New Roman" w:hint="default"/>
                <w:sz w:val="16"/>
                <w:szCs w:val="16"/>
              </w:rPr>
            </w:pPr>
            <w:r>
              <w:rPr>
                <w:rFonts w:ascii="Times New Roman"/>
                <w:spacing w:val="-1"/>
                <w:sz w:val="16"/>
              </w:rPr>
              <w:t>8,658,006.46</w:t>
            </w:r>
          </w:p>
        </w:tc>
        <w:tc>
          <w:tcPr>
            <w:tcW w:w="205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4"/>
              <w:jc w:val="right"/>
              <w:rPr>
                <w:rFonts w:ascii="Times New Roman" w:hAnsi="Times New Roman" w:cs="Times New Roman" w:eastAsia="Times New Roman" w:hint="default"/>
                <w:sz w:val="16"/>
                <w:szCs w:val="16"/>
              </w:rPr>
            </w:pPr>
            <w:r>
              <w:rPr>
                <w:rFonts w:ascii="Times New Roman"/>
                <w:spacing w:val="-1"/>
                <w:sz w:val="16"/>
              </w:rPr>
              <w:t>8,810,987.96</w:t>
            </w:r>
          </w:p>
        </w:tc>
      </w:tr>
      <w:tr>
        <w:trPr>
          <w:trHeight w:val="353" w:hRule="exact"/>
        </w:trPr>
        <w:tc>
          <w:tcPr>
            <w:tcW w:w="195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55" w:right="0"/>
              <w:jc w:val="left"/>
              <w:rPr>
                <w:rFonts w:ascii="宋体" w:hAnsi="宋体" w:cs="宋体" w:eastAsia="宋体" w:hint="default"/>
                <w:sz w:val="16"/>
                <w:szCs w:val="16"/>
              </w:rPr>
            </w:pPr>
            <w:r>
              <w:rPr>
                <w:rFonts w:ascii="宋体" w:hAnsi="宋体" w:cs="宋体" w:eastAsia="宋体" w:hint="default"/>
                <w:sz w:val="16"/>
                <w:szCs w:val="16"/>
              </w:rPr>
              <w:t>物料消耗</w:t>
            </w:r>
          </w:p>
        </w:tc>
        <w:tc>
          <w:tcPr>
            <w:tcW w:w="1708" w:type="dxa"/>
            <w:tcBorders>
              <w:top w:val="nil" w:sz="6" w:space="0" w:color="auto"/>
              <w:left w:val="nil" w:sz="6" w:space="0" w:color="auto"/>
              <w:bottom w:val="nil" w:sz="6" w:space="0" w:color="auto"/>
              <w:right w:val="nil" w:sz="6" w:space="0" w:color="auto"/>
            </w:tcBorders>
          </w:tcPr>
          <w:p>
            <w:pPr/>
          </w:p>
        </w:tc>
        <w:tc>
          <w:tcPr>
            <w:tcW w:w="311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52"/>
              <w:jc w:val="right"/>
              <w:rPr>
                <w:rFonts w:ascii="Times New Roman" w:hAnsi="Times New Roman" w:cs="Times New Roman" w:eastAsia="Times New Roman" w:hint="default"/>
                <w:sz w:val="16"/>
                <w:szCs w:val="16"/>
              </w:rPr>
            </w:pPr>
            <w:r>
              <w:rPr>
                <w:rFonts w:ascii="Times New Roman"/>
                <w:spacing w:val="-1"/>
                <w:sz w:val="16"/>
              </w:rPr>
              <w:t>7,946,192.34</w:t>
            </w:r>
          </w:p>
        </w:tc>
        <w:tc>
          <w:tcPr>
            <w:tcW w:w="205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6"/>
                <w:szCs w:val="16"/>
              </w:rPr>
            </w:pPr>
            <w:r>
              <w:rPr>
                <w:rFonts w:ascii="Times New Roman"/>
                <w:spacing w:val="-1"/>
                <w:sz w:val="16"/>
              </w:rPr>
              <w:t>12,699,765.03</w:t>
            </w:r>
          </w:p>
        </w:tc>
      </w:tr>
      <w:tr>
        <w:trPr>
          <w:trHeight w:val="354" w:hRule="exact"/>
        </w:trPr>
        <w:tc>
          <w:tcPr>
            <w:tcW w:w="195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6" w:right="0"/>
              <w:jc w:val="center"/>
              <w:rPr>
                <w:rFonts w:ascii="宋体" w:hAnsi="宋体" w:cs="宋体" w:eastAsia="宋体" w:hint="default"/>
                <w:sz w:val="16"/>
                <w:szCs w:val="16"/>
              </w:rPr>
            </w:pPr>
            <w:r>
              <w:rPr>
                <w:rFonts w:ascii="宋体" w:hAnsi="宋体" w:cs="宋体" w:eastAsia="宋体" w:hint="default"/>
                <w:sz w:val="16"/>
                <w:szCs w:val="16"/>
              </w:rPr>
              <w:t>办公费</w:t>
            </w:r>
          </w:p>
        </w:tc>
        <w:tc>
          <w:tcPr>
            <w:tcW w:w="1708" w:type="dxa"/>
            <w:tcBorders>
              <w:top w:val="nil" w:sz="6" w:space="0" w:color="auto"/>
              <w:left w:val="nil" w:sz="6" w:space="0" w:color="auto"/>
              <w:bottom w:val="nil" w:sz="6" w:space="0" w:color="auto"/>
              <w:right w:val="nil" w:sz="6" w:space="0" w:color="auto"/>
            </w:tcBorders>
          </w:tcPr>
          <w:p>
            <w:pPr/>
          </w:p>
        </w:tc>
        <w:tc>
          <w:tcPr>
            <w:tcW w:w="311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52"/>
              <w:jc w:val="right"/>
              <w:rPr>
                <w:rFonts w:ascii="Times New Roman" w:hAnsi="Times New Roman" w:cs="Times New Roman" w:eastAsia="Times New Roman" w:hint="default"/>
                <w:sz w:val="16"/>
                <w:szCs w:val="16"/>
              </w:rPr>
            </w:pPr>
            <w:r>
              <w:rPr>
                <w:rFonts w:ascii="Times New Roman"/>
                <w:spacing w:val="-1"/>
                <w:sz w:val="16"/>
              </w:rPr>
              <w:t>7,003,263.72</w:t>
            </w:r>
          </w:p>
        </w:tc>
        <w:tc>
          <w:tcPr>
            <w:tcW w:w="205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4"/>
              <w:jc w:val="right"/>
              <w:rPr>
                <w:rFonts w:ascii="Times New Roman" w:hAnsi="Times New Roman" w:cs="Times New Roman" w:eastAsia="Times New Roman" w:hint="default"/>
                <w:sz w:val="16"/>
                <w:szCs w:val="16"/>
              </w:rPr>
            </w:pPr>
            <w:r>
              <w:rPr>
                <w:rFonts w:ascii="Times New Roman"/>
                <w:spacing w:val="-1"/>
                <w:sz w:val="16"/>
              </w:rPr>
              <w:t>8,655,170.06</w:t>
            </w:r>
          </w:p>
        </w:tc>
      </w:tr>
      <w:tr>
        <w:trPr>
          <w:trHeight w:val="353" w:hRule="exact"/>
        </w:trPr>
        <w:tc>
          <w:tcPr>
            <w:tcW w:w="195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6" w:right="0"/>
              <w:jc w:val="center"/>
              <w:rPr>
                <w:rFonts w:ascii="宋体" w:hAnsi="宋体" w:cs="宋体" w:eastAsia="宋体" w:hint="default"/>
                <w:sz w:val="16"/>
                <w:szCs w:val="16"/>
              </w:rPr>
            </w:pPr>
            <w:r>
              <w:rPr>
                <w:rFonts w:ascii="宋体" w:hAnsi="宋体" w:cs="宋体" w:eastAsia="宋体" w:hint="default"/>
                <w:sz w:val="16"/>
                <w:szCs w:val="16"/>
              </w:rPr>
              <w:t>维修费</w:t>
            </w:r>
          </w:p>
        </w:tc>
        <w:tc>
          <w:tcPr>
            <w:tcW w:w="1708" w:type="dxa"/>
            <w:tcBorders>
              <w:top w:val="nil" w:sz="6" w:space="0" w:color="auto"/>
              <w:left w:val="nil" w:sz="6" w:space="0" w:color="auto"/>
              <w:bottom w:val="nil" w:sz="6" w:space="0" w:color="auto"/>
              <w:right w:val="nil" w:sz="6" w:space="0" w:color="auto"/>
            </w:tcBorders>
          </w:tcPr>
          <w:p>
            <w:pPr/>
          </w:p>
        </w:tc>
        <w:tc>
          <w:tcPr>
            <w:tcW w:w="311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52"/>
              <w:jc w:val="right"/>
              <w:rPr>
                <w:rFonts w:ascii="Times New Roman" w:hAnsi="Times New Roman" w:cs="Times New Roman" w:eastAsia="Times New Roman" w:hint="default"/>
                <w:sz w:val="16"/>
                <w:szCs w:val="16"/>
              </w:rPr>
            </w:pPr>
            <w:r>
              <w:rPr>
                <w:rFonts w:ascii="Times New Roman"/>
                <w:spacing w:val="-1"/>
                <w:sz w:val="16"/>
              </w:rPr>
              <w:t>5,518,369.76</w:t>
            </w:r>
          </w:p>
        </w:tc>
        <w:tc>
          <w:tcPr>
            <w:tcW w:w="205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4"/>
              <w:jc w:val="right"/>
              <w:rPr>
                <w:rFonts w:ascii="Times New Roman" w:hAnsi="Times New Roman" w:cs="Times New Roman" w:eastAsia="Times New Roman" w:hint="default"/>
                <w:sz w:val="16"/>
                <w:szCs w:val="16"/>
              </w:rPr>
            </w:pPr>
            <w:r>
              <w:rPr>
                <w:rFonts w:ascii="Times New Roman"/>
                <w:spacing w:val="-1"/>
                <w:sz w:val="16"/>
              </w:rPr>
              <w:t>14,069,444.66</w:t>
            </w:r>
          </w:p>
        </w:tc>
      </w:tr>
      <w:tr>
        <w:trPr>
          <w:trHeight w:val="353" w:hRule="exact"/>
        </w:trPr>
        <w:tc>
          <w:tcPr>
            <w:tcW w:w="1952"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20"/>
              <w:jc w:val="center"/>
              <w:rPr>
                <w:rFonts w:ascii="宋体" w:hAnsi="宋体" w:cs="宋体" w:eastAsia="宋体" w:hint="default"/>
                <w:sz w:val="16"/>
                <w:szCs w:val="16"/>
              </w:rPr>
            </w:pPr>
            <w:r>
              <w:rPr>
                <w:rFonts w:ascii="宋体" w:hAnsi="宋体" w:cs="宋体" w:eastAsia="宋体" w:hint="default"/>
                <w:sz w:val="16"/>
                <w:szCs w:val="16"/>
              </w:rPr>
              <w:t>其他</w:t>
            </w:r>
          </w:p>
        </w:tc>
        <w:tc>
          <w:tcPr>
            <w:tcW w:w="1708" w:type="dxa"/>
            <w:tcBorders>
              <w:top w:val="nil" w:sz="6" w:space="0" w:color="auto"/>
              <w:left w:val="nil" w:sz="6" w:space="0" w:color="auto"/>
              <w:bottom w:val="nil" w:sz="6" w:space="0" w:color="auto"/>
              <w:right w:val="nil" w:sz="6" w:space="0" w:color="auto"/>
            </w:tcBorders>
          </w:tcPr>
          <w:p>
            <w:pPr/>
          </w:p>
        </w:tc>
        <w:tc>
          <w:tcPr>
            <w:tcW w:w="311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52"/>
              <w:jc w:val="right"/>
              <w:rPr>
                <w:rFonts w:ascii="Times New Roman" w:hAnsi="Times New Roman" w:cs="Times New Roman" w:eastAsia="Times New Roman" w:hint="default"/>
                <w:sz w:val="16"/>
                <w:szCs w:val="16"/>
              </w:rPr>
            </w:pPr>
            <w:r>
              <w:rPr>
                <w:rFonts w:ascii="Times New Roman"/>
                <w:spacing w:val="-1"/>
                <w:sz w:val="16"/>
              </w:rPr>
              <w:t>24,493,008.87</w:t>
            </w:r>
          </w:p>
        </w:tc>
        <w:tc>
          <w:tcPr>
            <w:tcW w:w="205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6"/>
                <w:szCs w:val="16"/>
              </w:rPr>
            </w:pPr>
            <w:r>
              <w:rPr>
                <w:rFonts w:ascii="Times New Roman"/>
                <w:spacing w:val="-1"/>
                <w:sz w:val="16"/>
              </w:rPr>
              <w:t>35,574,016.41</w:t>
            </w:r>
          </w:p>
        </w:tc>
      </w:tr>
      <w:tr>
        <w:trPr>
          <w:trHeight w:val="358" w:hRule="exact"/>
        </w:trPr>
        <w:tc>
          <w:tcPr>
            <w:tcW w:w="1952" w:type="dxa"/>
            <w:tcBorders>
              <w:top w:val="nil" w:sz="6" w:space="0" w:color="auto"/>
              <w:left w:val="nil" w:sz="6" w:space="0" w:color="auto"/>
              <w:bottom w:val="single" w:sz="12" w:space="0" w:color="000000"/>
              <w:right w:val="nil" w:sz="6" w:space="0" w:color="auto"/>
            </w:tcBorders>
          </w:tcPr>
          <w:p>
            <w:pPr/>
          </w:p>
        </w:tc>
        <w:tc>
          <w:tcPr>
            <w:tcW w:w="1708"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left="222"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3117"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right="453"/>
              <w:jc w:val="right"/>
              <w:rPr>
                <w:rFonts w:ascii="Times New Roman" w:hAnsi="Times New Roman" w:cs="Times New Roman" w:eastAsia="Times New Roman" w:hint="default"/>
                <w:sz w:val="16"/>
                <w:szCs w:val="16"/>
              </w:rPr>
            </w:pPr>
            <w:r>
              <w:rPr>
                <w:rFonts w:ascii="Times New Roman"/>
                <w:spacing w:val="-1"/>
                <w:sz w:val="16"/>
              </w:rPr>
              <w:t>377,184,892.46</w:t>
            </w:r>
          </w:p>
        </w:tc>
        <w:tc>
          <w:tcPr>
            <w:tcW w:w="2058"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6"/>
                <w:szCs w:val="16"/>
              </w:rPr>
            </w:pPr>
            <w:r>
              <w:rPr>
                <w:rFonts w:ascii="Times New Roman"/>
                <w:spacing w:val="-1"/>
                <w:sz w:val="16"/>
              </w:rPr>
              <w:t>394,567,831.35</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tbl>
      <w:tblPr>
        <w:tblW w:w="0" w:type="auto"/>
        <w:jc w:val="left"/>
        <w:tblInd w:w="102" w:type="dxa"/>
        <w:tblLayout w:type="fixed"/>
        <w:tblCellMar>
          <w:top w:w="0" w:type="dxa"/>
          <w:left w:w="0" w:type="dxa"/>
          <w:bottom w:w="0" w:type="dxa"/>
          <w:right w:w="0" w:type="dxa"/>
        </w:tblCellMar>
        <w:tblLook w:val="01E0"/>
      </w:tblPr>
      <w:tblGrid>
        <w:gridCol w:w="1968"/>
        <w:gridCol w:w="1731"/>
        <w:gridCol w:w="3101"/>
        <w:gridCol w:w="2035"/>
      </w:tblGrid>
      <w:tr>
        <w:trPr>
          <w:trHeight w:val="357" w:hRule="exact"/>
        </w:trPr>
        <w:tc>
          <w:tcPr>
            <w:tcW w:w="1968"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四十三</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3"/>
                <w:sz w:val="21"/>
                <w:szCs w:val="21"/>
              </w:rPr>
              <w:t> </w:t>
            </w:r>
            <w:r>
              <w:rPr>
                <w:rFonts w:ascii="宋体" w:hAnsi="宋体" w:cs="宋体" w:eastAsia="宋体" w:hint="default"/>
                <w:b/>
                <w:bCs/>
                <w:sz w:val="21"/>
                <w:szCs w:val="21"/>
              </w:rPr>
              <w:t>管理费用</w:t>
            </w:r>
            <w:r>
              <w:rPr>
                <w:rFonts w:ascii="宋体" w:hAnsi="宋体" w:cs="宋体" w:eastAsia="宋体" w:hint="default"/>
                <w:sz w:val="21"/>
                <w:szCs w:val="21"/>
              </w:rPr>
            </w:r>
          </w:p>
        </w:tc>
        <w:tc>
          <w:tcPr>
            <w:tcW w:w="6867" w:type="dxa"/>
            <w:gridSpan w:val="3"/>
            <w:tcBorders>
              <w:top w:val="nil" w:sz="6" w:space="0" w:color="auto"/>
              <w:left w:val="nil" w:sz="6" w:space="0" w:color="auto"/>
              <w:bottom w:val="single" w:sz="12" w:space="0" w:color="000000"/>
              <w:right w:val="nil" w:sz="6" w:space="0" w:color="auto"/>
            </w:tcBorders>
          </w:tcPr>
          <w:p>
            <w:pPr/>
          </w:p>
        </w:tc>
      </w:tr>
      <w:tr>
        <w:trPr>
          <w:trHeight w:val="363" w:hRule="exact"/>
        </w:trPr>
        <w:tc>
          <w:tcPr>
            <w:tcW w:w="1968" w:type="dxa"/>
            <w:tcBorders>
              <w:top w:val="single" w:sz="12" w:space="0" w:color="000000"/>
              <w:left w:val="nil" w:sz="6" w:space="0" w:color="auto"/>
              <w:bottom w:val="nil" w:sz="6" w:space="0" w:color="auto"/>
              <w:right w:val="nil" w:sz="6" w:space="0" w:color="auto"/>
            </w:tcBorders>
          </w:tcPr>
          <w:p>
            <w:pPr/>
          </w:p>
        </w:tc>
        <w:tc>
          <w:tcPr>
            <w:tcW w:w="1731"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left="238" w:right="0"/>
              <w:jc w:val="left"/>
              <w:rPr>
                <w:rFonts w:ascii="宋体" w:hAnsi="宋体" w:cs="宋体" w:eastAsia="宋体" w:hint="default"/>
                <w:sz w:val="16"/>
                <w:szCs w:val="16"/>
              </w:rPr>
            </w:pPr>
            <w:r>
              <w:rPr>
                <w:rFonts w:ascii="宋体" w:hAnsi="宋体" w:cs="宋体" w:eastAsia="宋体" w:hint="default"/>
                <w:sz w:val="16"/>
                <w:szCs w:val="16"/>
              </w:rPr>
              <w:t>项目</w:t>
            </w:r>
          </w:p>
        </w:tc>
        <w:tc>
          <w:tcPr>
            <w:tcW w:w="3101"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left="44" w:right="0"/>
              <w:jc w:val="center"/>
              <w:rPr>
                <w:rFonts w:ascii="宋体" w:hAnsi="宋体" w:cs="宋体" w:eastAsia="宋体" w:hint="default"/>
                <w:sz w:val="16"/>
                <w:szCs w:val="16"/>
              </w:rPr>
            </w:pPr>
            <w:r>
              <w:rPr>
                <w:rFonts w:ascii="宋体" w:hAnsi="宋体" w:cs="宋体" w:eastAsia="宋体" w:hint="default"/>
                <w:sz w:val="16"/>
                <w:szCs w:val="16"/>
              </w:rPr>
              <w:t>本期发生额</w:t>
            </w:r>
          </w:p>
        </w:tc>
        <w:tc>
          <w:tcPr>
            <w:tcW w:w="2035"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left="446" w:right="0"/>
              <w:jc w:val="left"/>
              <w:rPr>
                <w:rFonts w:ascii="宋体" w:hAnsi="宋体" w:cs="宋体" w:eastAsia="宋体" w:hint="default"/>
                <w:sz w:val="16"/>
                <w:szCs w:val="16"/>
              </w:rPr>
            </w:pPr>
            <w:r>
              <w:rPr>
                <w:rFonts w:ascii="宋体" w:hAnsi="宋体" w:cs="宋体" w:eastAsia="宋体" w:hint="default"/>
                <w:sz w:val="16"/>
                <w:szCs w:val="16"/>
              </w:rPr>
              <w:t>上期发生额</w:t>
            </w:r>
          </w:p>
        </w:tc>
      </w:tr>
      <w:tr>
        <w:trPr>
          <w:trHeight w:val="360" w:hRule="exact"/>
        </w:trPr>
        <w:tc>
          <w:tcPr>
            <w:tcW w:w="196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755" w:right="0"/>
              <w:jc w:val="left"/>
              <w:rPr>
                <w:rFonts w:ascii="宋体" w:hAnsi="宋体" w:cs="宋体" w:eastAsia="宋体" w:hint="default"/>
                <w:sz w:val="16"/>
                <w:szCs w:val="16"/>
              </w:rPr>
            </w:pPr>
            <w:r>
              <w:rPr>
                <w:rFonts w:ascii="宋体" w:hAnsi="宋体" w:cs="宋体" w:eastAsia="宋体" w:hint="default"/>
                <w:sz w:val="16"/>
                <w:szCs w:val="16"/>
              </w:rPr>
              <w:t>工资费用</w:t>
            </w:r>
          </w:p>
        </w:tc>
        <w:tc>
          <w:tcPr>
            <w:tcW w:w="1731" w:type="dxa"/>
            <w:tcBorders>
              <w:top w:val="nil" w:sz="6" w:space="0" w:color="auto"/>
              <w:left w:val="nil" w:sz="6" w:space="0" w:color="auto"/>
              <w:bottom w:val="nil" w:sz="6" w:space="0" w:color="auto"/>
              <w:right w:val="nil" w:sz="6" w:space="0" w:color="auto"/>
            </w:tcBorders>
          </w:tcPr>
          <w:p>
            <w:pP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445"/>
              <w:jc w:val="right"/>
              <w:rPr>
                <w:rFonts w:ascii="Times New Roman" w:hAnsi="Times New Roman" w:cs="Times New Roman" w:eastAsia="Times New Roman" w:hint="default"/>
                <w:sz w:val="16"/>
                <w:szCs w:val="16"/>
              </w:rPr>
            </w:pPr>
            <w:r>
              <w:rPr>
                <w:rFonts w:ascii="Times New Roman"/>
                <w:spacing w:val="-1"/>
                <w:sz w:val="16"/>
              </w:rPr>
              <w:t>411,156,497.96</w:t>
            </w:r>
          </w:p>
        </w:tc>
        <w:tc>
          <w:tcPr>
            <w:tcW w:w="2035"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05"/>
              <w:jc w:val="right"/>
              <w:rPr>
                <w:rFonts w:ascii="Times New Roman" w:hAnsi="Times New Roman" w:cs="Times New Roman" w:eastAsia="Times New Roman" w:hint="default"/>
                <w:sz w:val="16"/>
                <w:szCs w:val="16"/>
              </w:rPr>
            </w:pPr>
            <w:r>
              <w:rPr>
                <w:rFonts w:ascii="Times New Roman"/>
                <w:spacing w:val="-1"/>
                <w:sz w:val="16"/>
              </w:rPr>
              <w:t>380,434,918.15</w:t>
            </w:r>
          </w:p>
        </w:tc>
      </w:tr>
      <w:tr>
        <w:trPr>
          <w:trHeight w:val="358" w:hRule="exact"/>
        </w:trPr>
        <w:tc>
          <w:tcPr>
            <w:tcW w:w="1968"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left="21" w:right="0"/>
              <w:jc w:val="center"/>
              <w:rPr>
                <w:rFonts w:ascii="宋体" w:hAnsi="宋体" w:cs="宋体" w:eastAsia="宋体" w:hint="default"/>
                <w:sz w:val="16"/>
                <w:szCs w:val="16"/>
              </w:rPr>
            </w:pPr>
            <w:r>
              <w:rPr>
                <w:rFonts w:ascii="宋体" w:hAnsi="宋体" w:cs="宋体" w:eastAsia="宋体" w:hint="default"/>
                <w:sz w:val="16"/>
                <w:szCs w:val="16"/>
              </w:rPr>
              <w:t>折旧费</w:t>
            </w:r>
          </w:p>
        </w:tc>
        <w:tc>
          <w:tcPr>
            <w:tcW w:w="1731" w:type="dxa"/>
            <w:tcBorders>
              <w:top w:val="nil" w:sz="6" w:space="0" w:color="auto"/>
              <w:left w:val="nil" w:sz="6" w:space="0" w:color="auto"/>
              <w:bottom w:val="single" w:sz="12" w:space="0" w:color="000000"/>
              <w:right w:val="nil" w:sz="6" w:space="0" w:color="auto"/>
            </w:tcBorders>
          </w:tcPr>
          <w:p>
            <w:pPr/>
          </w:p>
        </w:tc>
        <w:tc>
          <w:tcPr>
            <w:tcW w:w="3101"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right="444"/>
              <w:jc w:val="right"/>
              <w:rPr>
                <w:rFonts w:ascii="Times New Roman" w:hAnsi="Times New Roman" w:cs="Times New Roman" w:eastAsia="Times New Roman" w:hint="default"/>
                <w:sz w:val="16"/>
                <w:szCs w:val="16"/>
              </w:rPr>
            </w:pPr>
            <w:r>
              <w:rPr>
                <w:rFonts w:ascii="Times New Roman"/>
                <w:spacing w:val="-1"/>
                <w:sz w:val="16"/>
              </w:rPr>
              <w:t>39,794,495.20</w:t>
            </w:r>
          </w:p>
        </w:tc>
        <w:tc>
          <w:tcPr>
            <w:tcW w:w="2035"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right="104"/>
              <w:jc w:val="right"/>
              <w:rPr>
                <w:rFonts w:ascii="Times New Roman" w:hAnsi="Times New Roman" w:cs="Times New Roman" w:eastAsia="Times New Roman" w:hint="default"/>
                <w:sz w:val="16"/>
                <w:szCs w:val="16"/>
              </w:rPr>
            </w:pPr>
            <w:r>
              <w:rPr>
                <w:rFonts w:ascii="Times New Roman"/>
                <w:spacing w:val="-1"/>
                <w:sz w:val="16"/>
              </w:rPr>
              <w:t>49,822,462.12</w:t>
            </w:r>
          </w:p>
        </w:tc>
      </w:tr>
    </w:tbl>
    <w:p>
      <w:pPr>
        <w:spacing w:after="0" w:line="240" w:lineRule="auto"/>
        <w:jc w:val="right"/>
        <w:rPr>
          <w:rFonts w:ascii="Times New Roman" w:hAnsi="Times New Roman" w:cs="Times New Roman" w:eastAsia="Times New Roman" w:hint="default"/>
          <w:sz w:val="16"/>
          <w:szCs w:val="16"/>
        </w:rPr>
        <w:sectPr>
          <w:pgSz w:w="11910" w:h="16840"/>
          <w:pgMar w:header="0" w:footer="1001" w:top="1520" w:bottom="1200" w:left="1660" w:right="0"/>
        </w:sectPr>
      </w:pPr>
    </w:p>
    <w:p>
      <w:pPr>
        <w:spacing w:line="240" w:lineRule="auto" w:before="9"/>
        <w:rPr>
          <w:rFonts w:ascii="Times New Roman" w:hAnsi="Times New Roman" w:cs="Times New Roman" w:eastAsia="Times New Roman" w:hint="default"/>
          <w:sz w:val="11"/>
          <w:szCs w:val="11"/>
        </w:rPr>
      </w:pPr>
      <w:r>
        <w:rPr/>
        <w:pict>
          <v:group style="position:absolute;margin-left:119.010002pt;margin-top:82.919998pt;width:411.9pt;height:179.3pt;mso-position-horizontal-relative:page;mso-position-vertical-relative:page;z-index:-1378456" coordorigin="2380,1658" coordsize="8238,3586">
            <v:group style="position:absolute;left:2410;top:1673;width:3434;height:2" coordorigin="2410,1673" coordsize="3434,2">
              <v:shape style="position:absolute;left:2410;top:1673;width:3434;height:2" coordorigin="2410,1673" coordsize="3434,0" path="m2410,1673l5843,1673e" filled="false" stroked="true" strokeweight="1.5pt" strokecolor="#000000">
                <v:path arrowok="t"/>
              </v:shape>
              <v:shape style="position:absolute;left:5843;top:1688;width:10;height:28" type="#_x0000_t75" stroked="false">
                <v:imagedata r:id="rId37" o:title=""/>
              </v:shape>
            </v:group>
            <v:group style="position:absolute;left:5843;top:1673;width:2375;height:2" coordorigin="5843,1673" coordsize="2375,2">
              <v:shape style="position:absolute;left:5843;top:1673;width:2375;height:2" coordorigin="5843,1673" coordsize="2375,0" path="m5843,1673l8218,1673e" filled="false" stroked="true" strokeweight="1.5pt" strokecolor="#000000">
                <v:path arrowok="t"/>
              </v:shape>
              <v:shape style="position:absolute;left:8218;top:1688;width:10;height:28" type="#_x0000_t75" stroked="false">
                <v:imagedata r:id="rId37" o:title=""/>
              </v:shape>
            </v:group>
            <v:group style="position:absolute;left:8218;top:1673;width:30;height:2" coordorigin="8218,1673" coordsize="30,2">
              <v:shape style="position:absolute;left:8218;top:1673;width:30;height:2" coordorigin="8218,1673" coordsize="30,0" path="m8218,1673l8248,1673e" filled="false" stroked="true" strokeweight="1.5pt" strokecolor="#000000">
                <v:path arrowok="t"/>
              </v:shape>
            </v:group>
            <v:group style="position:absolute;left:8248;top:1673;width:2350;height:2" coordorigin="8248,1673" coordsize="2350,2">
              <v:shape style="position:absolute;left:8248;top:1673;width:2350;height:2" coordorigin="8248,1673" coordsize="2350,0" path="m8248,1673l10597,1673e" filled="false" stroked="true" strokeweight="1.5pt" strokecolor="#000000">
                <v:path arrowok="t"/>
              </v:shape>
              <v:shape style="position:absolute;left:5824;top:1697;width:2423;height:355" type="#_x0000_t75" stroked="false">
                <v:imagedata r:id="rId313" o:title=""/>
              </v:shape>
            </v:group>
            <v:group style="position:absolute;left:2395;top:5229;width:3448;height:2" coordorigin="2395,5229" coordsize="3448,2">
              <v:shape style="position:absolute;left:2395;top:5229;width:3448;height:2" coordorigin="2395,5229" coordsize="3448,0" path="m2395,5229l5843,5229e" filled="false" stroked="true" strokeweight="1.5pt" strokecolor="#000000">
                <v:path arrowok="t"/>
              </v:shape>
            </v:group>
            <v:group style="position:absolute;left:5843;top:5229;width:2375;height:2" coordorigin="5843,5229" coordsize="2375,2">
              <v:shape style="position:absolute;left:5843;top:5229;width:2375;height:2" coordorigin="5843,5229" coordsize="2375,0" path="m5843,5229l8218,5229e" filled="false" stroked="true" strokeweight="1.5pt" strokecolor="#000000">
                <v:path arrowok="t"/>
              </v:shape>
              <v:shape style="position:absolute;left:2390;top:2014;width:8227;height:3200" type="#_x0000_t75" stroked="false">
                <v:imagedata r:id="rId314" o:title=""/>
              </v:shape>
            </v:group>
            <v:group style="position:absolute;left:8218;top:5229;width:30;height:2" coordorigin="8218,5229" coordsize="30,2">
              <v:shape style="position:absolute;left:8218;top:5229;width:30;height:2" coordorigin="8218,5229" coordsize="30,0" path="m8218,5229l8248,5229e" filled="false" stroked="true" strokeweight="1.5pt" strokecolor="#000000">
                <v:path arrowok="t"/>
              </v:shape>
            </v:group>
            <v:group style="position:absolute;left:8248;top:5229;width:2350;height:2" coordorigin="8248,5229" coordsize="2350,2">
              <v:shape style="position:absolute;left:8248;top:5229;width:2350;height:2" coordorigin="8248,5229" coordsize="2350,0" path="m8248,5229l10597,5229e" filled="false" stroked="true" strokeweight="1.5pt" strokecolor="#000000">
                <v:path arrowok="t"/>
              </v:shape>
            </v:group>
            <w10:wrap type="none"/>
          </v:group>
        </w:pict>
      </w:r>
      <w:r>
        <w:rPr/>
        <w:pict>
          <v:group style="position:absolute;margin-left:119.520004pt;margin-top:303.719696pt;width:411.4pt;height:211.6pt;mso-position-horizontal-relative:page;mso-position-vertical-relative:page;z-index:-1378432" coordorigin="2390,6074" coordsize="8228,4232">
            <v:shape style="position:absolute;left:5843;top:6074;width:10;height:28" type="#_x0000_t75" stroked="false">
              <v:imagedata r:id="rId112" o:title=""/>
            </v:shape>
            <v:shape style="position:absolute;left:8218;top:6074;width:10;height:28" type="#_x0000_t75" stroked="false">
              <v:imagedata r:id="rId112" o:title=""/>
            </v:shape>
            <v:shape style="position:absolute;left:5824;top:6083;width:2423;height:354" type="#_x0000_t75" stroked="false">
              <v:imagedata r:id="rId315" o:title=""/>
            </v:shape>
            <v:shape style="position:absolute;left:2390;top:6398;width:8227;height:3907" type="#_x0000_t75" stroked="false">
              <v:imagedata r:id="rId316" o:title=""/>
            </v:shape>
            <w10:wrap type="none"/>
          </v:group>
        </w:pict>
      </w:r>
      <w:r>
        <w:rPr/>
        <w:pict>
          <v:group style="position:absolute;margin-left:119.520004pt;margin-top:558.299622pt;width:411.25pt;height:105.55pt;mso-position-horizontal-relative:page;mso-position-vertical-relative:page;z-index:-1378408" coordorigin="2390,11166" coordsize="8225,2111">
            <v:shape style="position:absolute;left:5782;top:11166;width:10;height:28" type="#_x0000_t75" stroked="false">
              <v:imagedata r:id="rId61" o:title=""/>
            </v:shape>
            <v:shape style="position:absolute;left:8186;top:11166;width:10;height:28" type="#_x0000_t75" stroked="false">
              <v:imagedata r:id="rId61" o:title=""/>
            </v:shape>
            <v:shape style="position:absolute;left:5762;top:11174;width:2453;height:354" type="#_x0000_t75" stroked="false">
              <v:imagedata r:id="rId317" o:title=""/>
            </v:shape>
            <v:shape style="position:absolute;left:2390;top:11496;width:8225;height:1780" type="#_x0000_t75" stroked="false">
              <v:imagedata r:id="rId318" o:title=""/>
            </v:shape>
            <w10:wrap type="none"/>
          </v:group>
        </w:pict>
      </w:r>
      <w:r>
        <w:rPr/>
        <w:pict>
          <v:group style="position:absolute;margin-left:119.520004pt;margin-top:706.85968pt;width:411.25pt;height:52.5pt;mso-position-horizontal-relative:page;mso-position-vertical-relative:page;z-index:-1378384" coordorigin="2390,14137" coordsize="8225,1050">
            <v:shape style="position:absolute;left:5782;top:14137;width:10;height:28" type="#_x0000_t75" stroked="false">
              <v:imagedata r:id="rId45" o:title=""/>
            </v:shape>
            <v:shape style="position:absolute;left:8186;top:14137;width:10;height:28" type="#_x0000_t75" stroked="false">
              <v:imagedata r:id="rId45" o:title=""/>
            </v:shape>
            <v:shape style="position:absolute;left:5762;top:14146;width:2453;height:354" type="#_x0000_t75" stroked="false">
              <v:imagedata r:id="rId319" o:title=""/>
            </v:shape>
            <v:shape style="position:absolute;left:2390;top:14468;width:8225;height:720" type="#_x0000_t75" stroked="false">
              <v:imagedata r:id="rId320" o:title=""/>
            </v:shape>
            <w10:wrap type="none"/>
          </v:group>
        </w:pict>
      </w:r>
    </w:p>
    <w:tbl>
      <w:tblPr>
        <w:tblW w:w="0" w:type="auto"/>
        <w:jc w:val="left"/>
        <w:tblInd w:w="787" w:type="dxa"/>
        <w:tblLayout w:type="fixed"/>
        <w:tblCellMar>
          <w:top w:w="0" w:type="dxa"/>
          <w:left w:w="0" w:type="dxa"/>
          <w:bottom w:w="0" w:type="dxa"/>
          <w:right w:w="0" w:type="dxa"/>
        </w:tblCellMar>
        <w:tblLook w:val="01E0"/>
      </w:tblPr>
      <w:tblGrid>
        <w:gridCol w:w="1275"/>
        <w:gridCol w:w="1739"/>
        <w:gridCol w:w="3101"/>
        <w:gridCol w:w="1998"/>
      </w:tblGrid>
      <w:tr>
        <w:trPr>
          <w:trHeight w:val="724" w:hRule="exact"/>
        </w:trPr>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8"/>
              <w:ind w:right="0"/>
              <w:jc w:val="left"/>
              <w:rPr>
                <w:rFonts w:ascii="Times New Roman" w:hAnsi="Times New Roman" w:cs="Times New Roman" w:eastAsia="Times New Roman" w:hint="default"/>
                <w:sz w:val="19"/>
                <w:szCs w:val="19"/>
              </w:rPr>
            </w:pPr>
          </w:p>
          <w:p>
            <w:pPr>
              <w:pStyle w:val="TableParagraph"/>
              <w:spacing w:line="240" w:lineRule="auto"/>
              <w:ind w:left="70" w:right="0"/>
              <w:jc w:val="left"/>
              <w:rPr>
                <w:rFonts w:ascii="宋体" w:hAnsi="宋体" w:cs="宋体" w:eastAsia="宋体" w:hint="default"/>
                <w:sz w:val="16"/>
                <w:szCs w:val="16"/>
              </w:rPr>
            </w:pPr>
            <w:r>
              <w:rPr>
                <w:rFonts w:ascii="宋体" w:hAnsi="宋体" w:cs="宋体" w:eastAsia="宋体" w:hint="default"/>
                <w:sz w:val="16"/>
                <w:szCs w:val="16"/>
              </w:rPr>
              <w:t>股权激励费</w:t>
            </w:r>
          </w:p>
        </w:tc>
        <w:tc>
          <w:tcPr>
            <w:tcW w:w="1739" w:type="dxa"/>
            <w:tcBorders>
              <w:top w:val="nil" w:sz="6" w:space="0" w:color="auto"/>
              <w:left w:val="nil" w:sz="6" w:space="0" w:color="auto"/>
              <w:bottom w:val="nil" w:sz="6" w:space="0" w:color="auto"/>
              <w:right w:val="nil" w:sz="6" w:space="0" w:color="auto"/>
            </w:tcBorders>
          </w:tcPr>
          <w:p>
            <w:pPr>
              <w:pStyle w:val="TableParagraph"/>
              <w:spacing w:line="240" w:lineRule="auto" w:before="57"/>
              <w:ind w:left="246" w:right="0"/>
              <w:jc w:val="left"/>
              <w:rPr>
                <w:rFonts w:ascii="宋体" w:hAnsi="宋体" w:cs="宋体" w:eastAsia="宋体" w:hint="default"/>
                <w:sz w:val="16"/>
                <w:szCs w:val="16"/>
              </w:rPr>
            </w:pPr>
            <w:r>
              <w:rPr>
                <w:rFonts w:ascii="宋体" w:hAnsi="宋体" w:cs="宋体" w:eastAsia="宋体" w:hint="default"/>
                <w:sz w:val="16"/>
                <w:szCs w:val="16"/>
              </w:rPr>
              <w:t>项目</w:t>
            </w: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57"/>
              <w:ind w:left="44" w:right="0"/>
              <w:jc w:val="center"/>
              <w:rPr>
                <w:rFonts w:ascii="宋体" w:hAnsi="宋体" w:cs="宋体" w:eastAsia="宋体" w:hint="default"/>
                <w:sz w:val="16"/>
                <w:szCs w:val="16"/>
              </w:rPr>
            </w:pPr>
            <w:r>
              <w:rPr>
                <w:rFonts w:ascii="宋体" w:hAnsi="宋体" w:cs="宋体" w:eastAsia="宋体" w:hint="default"/>
                <w:sz w:val="16"/>
                <w:szCs w:val="16"/>
              </w:rPr>
              <w:t>本期发生额</w:t>
            </w:r>
          </w:p>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left="1732" w:right="0"/>
              <w:jc w:val="left"/>
              <w:rPr>
                <w:rFonts w:ascii="Times New Roman" w:hAnsi="Times New Roman" w:cs="Times New Roman" w:eastAsia="Times New Roman" w:hint="default"/>
                <w:sz w:val="16"/>
                <w:szCs w:val="16"/>
              </w:rPr>
            </w:pPr>
            <w:r>
              <w:rPr>
                <w:rFonts w:ascii="Times New Roman"/>
                <w:sz w:val="16"/>
              </w:rPr>
              <w:t>23,164,213.31</w:t>
            </w:r>
          </w:p>
        </w:tc>
        <w:tc>
          <w:tcPr>
            <w:tcW w:w="1998" w:type="dxa"/>
            <w:tcBorders>
              <w:top w:val="nil" w:sz="6" w:space="0" w:color="auto"/>
              <w:left w:val="nil" w:sz="6" w:space="0" w:color="auto"/>
              <w:bottom w:val="nil" w:sz="6" w:space="0" w:color="auto"/>
              <w:right w:val="nil" w:sz="6" w:space="0" w:color="auto"/>
            </w:tcBorders>
          </w:tcPr>
          <w:p>
            <w:pPr>
              <w:pStyle w:val="TableParagraph"/>
              <w:spacing w:line="240" w:lineRule="auto" w:before="57"/>
              <w:ind w:left="446" w:right="0"/>
              <w:jc w:val="left"/>
              <w:rPr>
                <w:rFonts w:ascii="宋体" w:hAnsi="宋体" w:cs="宋体" w:eastAsia="宋体" w:hint="default"/>
                <w:sz w:val="16"/>
                <w:szCs w:val="16"/>
              </w:rPr>
            </w:pPr>
            <w:r>
              <w:rPr>
                <w:rFonts w:ascii="宋体" w:hAnsi="宋体" w:cs="宋体" w:eastAsia="宋体" w:hint="default"/>
                <w:sz w:val="16"/>
                <w:szCs w:val="16"/>
              </w:rPr>
              <w:t>上期发生额</w:t>
            </w:r>
          </w:p>
        </w:tc>
      </w:tr>
      <w:tr>
        <w:trPr>
          <w:trHeight w:val="353" w:hRule="exact"/>
        </w:trPr>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无形资产摊销</w:t>
            </w:r>
          </w:p>
        </w:tc>
        <w:tc>
          <w:tcPr>
            <w:tcW w:w="1739" w:type="dxa"/>
            <w:tcBorders>
              <w:top w:val="nil" w:sz="6" w:space="0" w:color="auto"/>
              <w:left w:val="nil" w:sz="6" w:space="0" w:color="auto"/>
              <w:bottom w:val="nil" w:sz="6" w:space="0" w:color="auto"/>
              <w:right w:val="nil" w:sz="6" w:space="0" w:color="auto"/>
            </w:tcBorders>
          </w:tcPr>
          <w:p>
            <w:pP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44"/>
              <w:jc w:val="right"/>
              <w:rPr>
                <w:rFonts w:ascii="Times New Roman" w:hAnsi="Times New Roman" w:cs="Times New Roman" w:eastAsia="Times New Roman" w:hint="default"/>
                <w:sz w:val="16"/>
                <w:szCs w:val="16"/>
              </w:rPr>
            </w:pPr>
            <w:r>
              <w:rPr>
                <w:rFonts w:ascii="Times New Roman"/>
                <w:spacing w:val="-1"/>
                <w:sz w:val="16"/>
              </w:rPr>
              <w:t>21,190,581.33</w:t>
            </w:r>
          </w:p>
        </w:tc>
        <w:tc>
          <w:tcPr>
            <w:tcW w:w="199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22,424,994.35</w:t>
            </w:r>
          </w:p>
        </w:tc>
      </w:tr>
      <w:tr>
        <w:trPr>
          <w:trHeight w:val="353" w:hRule="exact"/>
        </w:trPr>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差旅费</w:t>
            </w:r>
          </w:p>
        </w:tc>
        <w:tc>
          <w:tcPr>
            <w:tcW w:w="1739" w:type="dxa"/>
            <w:tcBorders>
              <w:top w:val="nil" w:sz="6" w:space="0" w:color="auto"/>
              <w:left w:val="nil" w:sz="6" w:space="0" w:color="auto"/>
              <w:bottom w:val="nil" w:sz="6" w:space="0" w:color="auto"/>
              <w:right w:val="nil" w:sz="6" w:space="0" w:color="auto"/>
            </w:tcBorders>
          </w:tcPr>
          <w:p>
            <w:pP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46"/>
              <w:jc w:val="right"/>
              <w:rPr>
                <w:rFonts w:ascii="Times New Roman" w:hAnsi="Times New Roman" w:cs="Times New Roman" w:eastAsia="Times New Roman" w:hint="default"/>
                <w:sz w:val="16"/>
                <w:szCs w:val="16"/>
              </w:rPr>
            </w:pPr>
            <w:r>
              <w:rPr>
                <w:rFonts w:ascii="Times New Roman"/>
                <w:spacing w:val="-1"/>
                <w:sz w:val="16"/>
              </w:rPr>
              <w:t>11,646,704.10</w:t>
            </w:r>
          </w:p>
        </w:tc>
        <w:tc>
          <w:tcPr>
            <w:tcW w:w="199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15,186,342.75</w:t>
            </w:r>
          </w:p>
        </w:tc>
      </w:tr>
      <w:tr>
        <w:trPr>
          <w:trHeight w:val="353" w:hRule="exact"/>
        </w:trPr>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水电费</w:t>
            </w:r>
          </w:p>
        </w:tc>
        <w:tc>
          <w:tcPr>
            <w:tcW w:w="1739" w:type="dxa"/>
            <w:tcBorders>
              <w:top w:val="nil" w:sz="6" w:space="0" w:color="auto"/>
              <w:left w:val="nil" w:sz="6" w:space="0" w:color="auto"/>
              <w:bottom w:val="nil" w:sz="6" w:space="0" w:color="auto"/>
              <w:right w:val="nil" w:sz="6" w:space="0" w:color="auto"/>
            </w:tcBorders>
          </w:tcPr>
          <w:p>
            <w:pP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46"/>
              <w:jc w:val="right"/>
              <w:rPr>
                <w:rFonts w:ascii="Times New Roman" w:hAnsi="Times New Roman" w:cs="Times New Roman" w:eastAsia="Times New Roman" w:hint="default"/>
                <w:sz w:val="16"/>
                <w:szCs w:val="16"/>
              </w:rPr>
            </w:pPr>
            <w:r>
              <w:rPr>
                <w:rFonts w:ascii="Times New Roman"/>
                <w:spacing w:val="-1"/>
                <w:sz w:val="16"/>
              </w:rPr>
              <w:t>9,950,221.02</w:t>
            </w:r>
          </w:p>
        </w:tc>
        <w:tc>
          <w:tcPr>
            <w:tcW w:w="199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10,874,925.36</w:t>
            </w:r>
          </w:p>
        </w:tc>
      </w:tr>
      <w:tr>
        <w:trPr>
          <w:trHeight w:val="353" w:hRule="exact"/>
        </w:trPr>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咨询费</w:t>
            </w:r>
          </w:p>
        </w:tc>
        <w:tc>
          <w:tcPr>
            <w:tcW w:w="1739" w:type="dxa"/>
            <w:tcBorders>
              <w:top w:val="nil" w:sz="6" w:space="0" w:color="auto"/>
              <w:left w:val="nil" w:sz="6" w:space="0" w:color="auto"/>
              <w:bottom w:val="nil" w:sz="6" w:space="0" w:color="auto"/>
              <w:right w:val="nil" w:sz="6" w:space="0" w:color="auto"/>
            </w:tcBorders>
          </w:tcPr>
          <w:p>
            <w:pP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46"/>
              <w:jc w:val="right"/>
              <w:rPr>
                <w:rFonts w:ascii="Times New Roman" w:hAnsi="Times New Roman" w:cs="Times New Roman" w:eastAsia="Times New Roman" w:hint="default"/>
                <w:sz w:val="16"/>
                <w:szCs w:val="16"/>
              </w:rPr>
            </w:pPr>
            <w:r>
              <w:rPr>
                <w:rFonts w:ascii="Times New Roman"/>
                <w:spacing w:val="-1"/>
                <w:sz w:val="16"/>
              </w:rPr>
              <w:t>8,853,770.00</w:t>
            </w:r>
          </w:p>
        </w:tc>
        <w:tc>
          <w:tcPr>
            <w:tcW w:w="199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8,215,485.30</w:t>
            </w:r>
          </w:p>
        </w:tc>
      </w:tr>
      <w:tr>
        <w:trPr>
          <w:trHeight w:val="353" w:hRule="exact"/>
        </w:trPr>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办公费</w:t>
            </w:r>
          </w:p>
        </w:tc>
        <w:tc>
          <w:tcPr>
            <w:tcW w:w="1739" w:type="dxa"/>
            <w:tcBorders>
              <w:top w:val="nil" w:sz="6" w:space="0" w:color="auto"/>
              <w:left w:val="nil" w:sz="6" w:space="0" w:color="auto"/>
              <w:bottom w:val="nil" w:sz="6" w:space="0" w:color="auto"/>
              <w:right w:val="nil" w:sz="6" w:space="0" w:color="auto"/>
            </w:tcBorders>
          </w:tcPr>
          <w:p>
            <w:pP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46"/>
              <w:jc w:val="right"/>
              <w:rPr>
                <w:rFonts w:ascii="Times New Roman" w:hAnsi="Times New Roman" w:cs="Times New Roman" w:eastAsia="Times New Roman" w:hint="default"/>
                <w:sz w:val="16"/>
                <w:szCs w:val="16"/>
              </w:rPr>
            </w:pPr>
            <w:r>
              <w:rPr>
                <w:rFonts w:ascii="Times New Roman"/>
                <w:spacing w:val="-1"/>
                <w:sz w:val="16"/>
              </w:rPr>
              <w:t>8,196,181.24</w:t>
            </w:r>
          </w:p>
        </w:tc>
        <w:tc>
          <w:tcPr>
            <w:tcW w:w="199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12,810,805.04</w:t>
            </w:r>
          </w:p>
        </w:tc>
      </w:tr>
      <w:tr>
        <w:trPr>
          <w:trHeight w:val="353" w:hRule="exact"/>
        </w:trPr>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修理费</w:t>
            </w:r>
          </w:p>
        </w:tc>
        <w:tc>
          <w:tcPr>
            <w:tcW w:w="1739" w:type="dxa"/>
            <w:tcBorders>
              <w:top w:val="nil" w:sz="6" w:space="0" w:color="auto"/>
              <w:left w:val="nil" w:sz="6" w:space="0" w:color="auto"/>
              <w:bottom w:val="nil" w:sz="6" w:space="0" w:color="auto"/>
              <w:right w:val="nil" w:sz="6" w:space="0" w:color="auto"/>
            </w:tcBorders>
          </w:tcPr>
          <w:p>
            <w:pP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46"/>
              <w:jc w:val="right"/>
              <w:rPr>
                <w:rFonts w:ascii="Times New Roman" w:hAnsi="Times New Roman" w:cs="Times New Roman" w:eastAsia="Times New Roman" w:hint="default"/>
                <w:sz w:val="16"/>
                <w:szCs w:val="16"/>
              </w:rPr>
            </w:pPr>
            <w:r>
              <w:rPr>
                <w:rFonts w:ascii="Times New Roman"/>
                <w:spacing w:val="-1"/>
                <w:sz w:val="16"/>
              </w:rPr>
              <w:t>6,208,574.26</w:t>
            </w:r>
          </w:p>
        </w:tc>
        <w:tc>
          <w:tcPr>
            <w:tcW w:w="199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9,666,769.59</w:t>
            </w:r>
          </w:p>
        </w:tc>
      </w:tr>
      <w:tr>
        <w:trPr>
          <w:trHeight w:val="354" w:hRule="exact"/>
        </w:trPr>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1739" w:type="dxa"/>
            <w:tcBorders>
              <w:top w:val="nil" w:sz="6" w:space="0" w:color="auto"/>
              <w:left w:val="nil" w:sz="6" w:space="0" w:color="auto"/>
              <w:bottom w:val="nil" w:sz="6" w:space="0" w:color="auto"/>
              <w:right w:val="nil" w:sz="6" w:space="0" w:color="auto"/>
            </w:tcBorders>
          </w:tcPr>
          <w:p>
            <w:pP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44"/>
              <w:jc w:val="right"/>
              <w:rPr>
                <w:rFonts w:ascii="Times New Roman" w:hAnsi="Times New Roman" w:cs="Times New Roman" w:eastAsia="Times New Roman" w:hint="default"/>
                <w:sz w:val="16"/>
                <w:szCs w:val="16"/>
              </w:rPr>
            </w:pPr>
            <w:r>
              <w:rPr>
                <w:rFonts w:ascii="Times New Roman"/>
                <w:spacing w:val="-1"/>
                <w:sz w:val="16"/>
              </w:rPr>
              <w:t>66,148,774.44</w:t>
            </w:r>
          </w:p>
        </w:tc>
        <w:tc>
          <w:tcPr>
            <w:tcW w:w="199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58,834,190.75</w:t>
            </w:r>
          </w:p>
        </w:tc>
      </w:tr>
      <w:tr>
        <w:trPr>
          <w:trHeight w:val="357" w:hRule="exact"/>
        </w:trPr>
        <w:tc>
          <w:tcPr>
            <w:tcW w:w="1275" w:type="dxa"/>
            <w:tcBorders>
              <w:top w:val="nil" w:sz="6" w:space="0" w:color="auto"/>
              <w:left w:val="nil" w:sz="6" w:space="0" w:color="auto"/>
              <w:bottom w:val="nil" w:sz="6" w:space="0" w:color="auto"/>
              <w:right w:val="nil" w:sz="6" w:space="0" w:color="auto"/>
            </w:tcBorders>
          </w:tcPr>
          <w:p>
            <w:pPr/>
          </w:p>
        </w:tc>
        <w:tc>
          <w:tcPr>
            <w:tcW w:w="173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246"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45"/>
              <w:jc w:val="right"/>
              <w:rPr>
                <w:rFonts w:ascii="Times New Roman" w:hAnsi="Times New Roman" w:cs="Times New Roman" w:eastAsia="Times New Roman" w:hint="default"/>
                <w:sz w:val="16"/>
                <w:szCs w:val="16"/>
              </w:rPr>
            </w:pPr>
            <w:r>
              <w:rPr>
                <w:rFonts w:ascii="Times New Roman"/>
                <w:spacing w:val="-1"/>
                <w:sz w:val="16"/>
              </w:rPr>
              <w:t>606,310,012.86</w:t>
            </w:r>
          </w:p>
        </w:tc>
        <w:tc>
          <w:tcPr>
            <w:tcW w:w="199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568,270,893.41</w:t>
            </w:r>
          </w:p>
        </w:tc>
      </w:tr>
    </w:tbl>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21"/>
          <w:szCs w:val="21"/>
        </w:rPr>
      </w:pPr>
    </w:p>
    <w:tbl>
      <w:tblPr>
        <w:tblW w:w="0" w:type="auto"/>
        <w:jc w:val="left"/>
        <w:tblInd w:w="102" w:type="dxa"/>
        <w:tblLayout w:type="fixed"/>
        <w:tblCellMar>
          <w:top w:w="0" w:type="dxa"/>
          <w:left w:w="0" w:type="dxa"/>
          <w:bottom w:w="0" w:type="dxa"/>
          <w:right w:w="0" w:type="dxa"/>
        </w:tblCellMar>
        <w:tblLook w:val="01E0"/>
      </w:tblPr>
      <w:tblGrid>
        <w:gridCol w:w="1968"/>
        <w:gridCol w:w="1731"/>
        <w:gridCol w:w="3101"/>
        <w:gridCol w:w="2035"/>
      </w:tblGrid>
      <w:tr>
        <w:trPr>
          <w:trHeight w:val="358" w:hRule="exact"/>
        </w:trPr>
        <w:tc>
          <w:tcPr>
            <w:tcW w:w="1968"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right="236"/>
              <w:jc w:val="righ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四十四</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3"/>
                <w:sz w:val="21"/>
                <w:szCs w:val="21"/>
              </w:rPr>
              <w:t> </w:t>
            </w:r>
            <w:r>
              <w:rPr>
                <w:rFonts w:ascii="宋体" w:hAnsi="宋体" w:cs="宋体" w:eastAsia="宋体" w:hint="default"/>
                <w:b/>
                <w:bCs/>
                <w:sz w:val="21"/>
                <w:szCs w:val="21"/>
              </w:rPr>
              <w:t>研发费用</w:t>
            </w:r>
            <w:r>
              <w:rPr>
                <w:rFonts w:ascii="宋体" w:hAnsi="宋体" w:cs="宋体" w:eastAsia="宋体" w:hint="default"/>
                <w:sz w:val="21"/>
                <w:szCs w:val="21"/>
              </w:rPr>
            </w:r>
          </w:p>
        </w:tc>
        <w:tc>
          <w:tcPr>
            <w:tcW w:w="6867" w:type="dxa"/>
            <w:gridSpan w:val="3"/>
            <w:tcBorders>
              <w:top w:val="nil" w:sz="6" w:space="0" w:color="auto"/>
              <w:left w:val="nil" w:sz="6" w:space="0" w:color="auto"/>
              <w:bottom w:val="single" w:sz="12" w:space="0" w:color="000000"/>
              <w:right w:val="nil" w:sz="6" w:space="0" w:color="auto"/>
            </w:tcBorders>
          </w:tcPr>
          <w:p>
            <w:pPr/>
          </w:p>
        </w:tc>
      </w:tr>
      <w:tr>
        <w:trPr>
          <w:trHeight w:val="363" w:hRule="exact"/>
        </w:trPr>
        <w:tc>
          <w:tcPr>
            <w:tcW w:w="1968" w:type="dxa"/>
            <w:tcBorders>
              <w:top w:val="single" w:sz="12" w:space="0" w:color="000000"/>
              <w:left w:val="nil" w:sz="6" w:space="0" w:color="auto"/>
              <w:bottom w:val="nil" w:sz="6" w:space="0" w:color="auto"/>
              <w:right w:val="nil" w:sz="6" w:space="0" w:color="auto"/>
            </w:tcBorders>
          </w:tcPr>
          <w:p>
            <w:pPr/>
          </w:p>
        </w:tc>
        <w:tc>
          <w:tcPr>
            <w:tcW w:w="1731"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38" w:right="0"/>
              <w:jc w:val="left"/>
              <w:rPr>
                <w:rFonts w:ascii="宋体" w:hAnsi="宋体" w:cs="宋体" w:eastAsia="宋体" w:hint="default"/>
                <w:sz w:val="16"/>
                <w:szCs w:val="16"/>
              </w:rPr>
            </w:pPr>
            <w:r>
              <w:rPr>
                <w:rFonts w:ascii="宋体" w:hAnsi="宋体" w:cs="宋体" w:eastAsia="宋体" w:hint="default"/>
                <w:sz w:val="16"/>
                <w:szCs w:val="16"/>
              </w:rPr>
              <w:t>项目</w:t>
            </w:r>
          </w:p>
        </w:tc>
        <w:tc>
          <w:tcPr>
            <w:tcW w:w="3101"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44" w:right="0"/>
              <w:jc w:val="center"/>
              <w:rPr>
                <w:rFonts w:ascii="宋体" w:hAnsi="宋体" w:cs="宋体" w:eastAsia="宋体" w:hint="default"/>
                <w:sz w:val="16"/>
                <w:szCs w:val="16"/>
              </w:rPr>
            </w:pPr>
            <w:r>
              <w:rPr>
                <w:rFonts w:ascii="宋体" w:hAnsi="宋体" w:cs="宋体" w:eastAsia="宋体" w:hint="default"/>
                <w:sz w:val="16"/>
                <w:szCs w:val="16"/>
              </w:rPr>
              <w:t>本期发生额</w:t>
            </w:r>
          </w:p>
        </w:tc>
        <w:tc>
          <w:tcPr>
            <w:tcW w:w="2035"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446" w:right="0"/>
              <w:jc w:val="left"/>
              <w:rPr>
                <w:rFonts w:ascii="宋体" w:hAnsi="宋体" w:cs="宋体" w:eastAsia="宋体" w:hint="default"/>
                <w:sz w:val="16"/>
                <w:szCs w:val="16"/>
              </w:rPr>
            </w:pPr>
            <w:r>
              <w:rPr>
                <w:rFonts w:ascii="宋体" w:hAnsi="宋体" w:cs="宋体" w:eastAsia="宋体" w:hint="default"/>
                <w:sz w:val="16"/>
                <w:szCs w:val="16"/>
              </w:rPr>
              <w:t>上期发生额</w:t>
            </w:r>
          </w:p>
        </w:tc>
      </w:tr>
      <w:tr>
        <w:trPr>
          <w:trHeight w:val="360" w:hRule="exact"/>
        </w:trPr>
        <w:tc>
          <w:tcPr>
            <w:tcW w:w="196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755" w:right="0"/>
              <w:jc w:val="left"/>
              <w:rPr>
                <w:rFonts w:ascii="宋体" w:hAnsi="宋体" w:cs="宋体" w:eastAsia="宋体" w:hint="default"/>
                <w:sz w:val="16"/>
                <w:szCs w:val="16"/>
              </w:rPr>
            </w:pPr>
            <w:r>
              <w:rPr>
                <w:rFonts w:ascii="宋体" w:hAnsi="宋体" w:cs="宋体" w:eastAsia="宋体" w:hint="default"/>
                <w:sz w:val="16"/>
                <w:szCs w:val="16"/>
              </w:rPr>
              <w:t>职工薪酬</w:t>
            </w:r>
          </w:p>
        </w:tc>
        <w:tc>
          <w:tcPr>
            <w:tcW w:w="1731" w:type="dxa"/>
            <w:tcBorders>
              <w:top w:val="nil" w:sz="6" w:space="0" w:color="auto"/>
              <w:left w:val="nil" w:sz="6" w:space="0" w:color="auto"/>
              <w:bottom w:val="nil" w:sz="6" w:space="0" w:color="auto"/>
              <w:right w:val="nil" w:sz="6" w:space="0" w:color="auto"/>
            </w:tcBorders>
          </w:tcPr>
          <w:p>
            <w:pP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445"/>
              <w:jc w:val="right"/>
              <w:rPr>
                <w:rFonts w:ascii="Times New Roman" w:hAnsi="Times New Roman" w:cs="Times New Roman" w:eastAsia="Times New Roman" w:hint="default"/>
                <w:sz w:val="16"/>
                <w:szCs w:val="16"/>
              </w:rPr>
            </w:pPr>
            <w:r>
              <w:rPr>
                <w:rFonts w:ascii="Times New Roman"/>
                <w:spacing w:val="-1"/>
                <w:sz w:val="16"/>
              </w:rPr>
              <w:t>398,883,921.54</w:t>
            </w:r>
          </w:p>
        </w:tc>
        <w:tc>
          <w:tcPr>
            <w:tcW w:w="2035"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05"/>
              <w:jc w:val="right"/>
              <w:rPr>
                <w:rFonts w:ascii="Times New Roman" w:hAnsi="Times New Roman" w:cs="Times New Roman" w:eastAsia="Times New Roman" w:hint="default"/>
                <w:sz w:val="16"/>
                <w:szCs w:val="16"/>
              </w:rPr>
            </w:pPr>
            <w:r>
              <w:rPr>
                <w:rFonts w:ascii="Times New Roman"/>
                <w:spacing w:val="-1"/>
                <w:sz w:val="16"/>
              </w:rPr>
              <w:t>346,434,365.46</w:t>
            </w:r>
          </w:p>
        </w:tc>
      </w:tr>
      <w:tr>
        <w:trPr>
          <w:trHeight w:val="353" w:hRule="exact"/>
        </w:trPr>
        <w:tc>
          <w:tcPr>
            <w:tcW w:w="1968"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55" w:right="0"/>
              <w:jc w:val="left"/>
              <w:rPr>
                <w:rFonts w:ascii="宋体" w:hAnsi="宋体" w:cs="宋体" w:eastAsia="宋体" w:hint="default"/>
                <w:sz w:val="16"/>
                <w:szCs w:val="16"/>
              </w:rPr>
            </w:pPr>
            <w:r>
              <w:rPr>
                <w:rFonts w:ascii="宋体" w:hAnsi="宋体" w:cs="宋体" w:eastAsia="宋体" w:hint="default"/>
                <w:sz w:val="16"/>
                <w:szCs w:val="16"/>
              </w:rPr>
              <w:t>机物料消耗</w:t>
            </w:r>
          </w:p>
        </w:tc>
        <w:tc>
          <w:tcPr>
            <w:tcW w:w="1731" w:type="dxa"/>
            <w:tcBorders>
              <w:top w:val="nil" w:sz="6" w:space="0" w:color="auto"/>
              <w:left w:val="nil" w:sz="6" w:space="0" w:color="auto"/>
              <w:bottom w:val="nil" w:sz="6" w:space="0" w:color="auto"/>
              <w:right w:val="nil" w:sz="6" w:space="0" w:color="auto"/>
            </w:tcBorders>
          </w:tcPr>
          <w:p>
            <w:pP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44"/>
              <w:jc w:val="right"/>
              <w:rPr>
                <w:rFonts w:ascii="Times New Roman" w:hAnsi="Times New Roman" w:cs="Times New Roman" w:eastAsia="Times New Roman" w:hint="default"/>
                <w:sz w:val="16"/>
                <w:szCs w:val="16"/>
              </w:rPr>
            </w:pPr>
            <w:r>
              <w:rPr>
                <w:rFonts w:ascii="Times New Roman"/>
                <w:spacing w:val="-1"/>
                <w:sz w:val="16"/>
              </w:rPr>
              <w:t>62,599,274.10</w:t>
            </w:r>
          </w:p>
        </w:tc>
        <w:tc>
          <w:tcPr>
            <w:tcW w:w="203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6"/>
                <w:szCs w:val="16"/>
              </w:rPr>
            </w:pPr>
            <w:r>
              <w:rPr>
                <w:rFonts w:ascii="Times New Roman"/>
                <w:spacing w:val="-1"/>
                <w:sz w:val="16"/>
              </w:rPr>
              <w:t>37,408,666.62</w:t>
            </w:r>
          </w:p>
        </w:tc>
      </w:tr>
      <w:tr>
        <w:trPr>
          <w:trHeight w:val="353" w:hRule="exact"/>
        </w:trPr>
        <w:tc>
          <w:tcPr>
            <w:tcW w:w="1968"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55" w:right="0"/>
              <w:jc w:val="left"/>
              <w:rPr>
                <w:rFonts w:ascii="宋体" w:hAnsi="宋体" w:cs="宋体" w:eastAsia="宋体" w:hint="default"/>
                <w:sz w:val="16"/>
                <w:szCs w:val="16"/>
              </w:rPr>
            </w:pPr>
            <w:r>
              <w:rPr>
                <w:rFonts w:ascii="宋体" w:hAnsi="宋体" w:cs="宋体" w:eastAsia="宋体" w:hint="default"/>
                <w:sz w:val="16"/>
                <w:szCs w:val="16"/>
              </w:rPr>
              <w:t>研发协作费</w:t>
            </w:r>
          </w:p>
        </w:tc>
        <w:tc>
          <w:tcPr>
            <w:tcW w:w="1731" w:type="dxa"/>
            <w:tcBorders>
              <w:top w:val="nil" w:sz="6" w:space="0" w:color="auto"/>
              <w:left w:val="nil" w:sz="6" w:space="0" w:color="auto"/>
              <w:bottom w:val="nil" w:sz="6" w:space="0" w:color="auto"/>
              <w:right w:val="nil" w:sz="6" w:space="0" w:color="auto"/>
            </w:tcBorders>
          </w:tcPr>
          <w:p>
            <w:pP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44"/>
              <w:jc w:val="right"/>
              <w:rPr>
                <w:rFonts w:ascii="Times New Roman" w:hAnsi="Times New Roman" w:cs="Times New Roman" w:eastAsia="Times New Roman" w:hint="default"/>
                <w:sz w:val="16"/>
                <w:szCs w:val="16"/>
              </w:rPr>
            </w:pPr>
            <w:r>
              <w:rPr>
                <w:rFonts w:ascii="Times New Roman"/>
                <w:spacing w:val="-1"/>
                <w:sz w:val="16"/>
              </w:rPr>
              <w:t>40,397,294.74</w:t>
            </w:r>
          </w:p>
        </w:tc>
        <w:tc>
          <w:tcPr>
            <w:tcW w:w="203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4"/>
              <w:jc w:val="right"/>
              <w:rPr>
                <w:rFonts w:ascii="Times New Roman" w:hAnsi="Times New Roman" w:cs="Times New Roman" w:eastAsia="Times New Roman" w:hint="default"/>
                <w:sz w:val="16"/>
                <w:szCs w:val="16"/>
              </w:rPr>
            </w:pPr>
            <w:r>
              <w:rPr>
                <w:rFonts w:ascii="Times New Roman"/>
                <w:spacing w:val="-1"/>
                <w:sz w:val="16"/>
              </w:rPr>
              <w:t>35,354,693.27</w:t>
            </w:r>
          </w:p>
        </w:tc>
      </w:tr>
      <w:tr>
        <w:trPr>
          <w:trHeight w:val="353" w:hRule="exact"/>
        </w:trPr>
        <w:tc>
          <w:tcPr>
            <w:tcW w:w="1968" w:type="dxa"/>
            <w:tcBorders>
              <w:top w:val="nil" w:sz="6" w:space="0" w:color="auto"/>
              <w:left w:val="nil" w:sz="6" w:space="0" w:color="auto"/>
              <w:bottom w:val="nil" w:sz="6" w:space="0" w:color="auto"/>
              <w:right w:val="nil" w:sz="6" w:space="0" w:color="auto"/>
            </w:tcBorders>
          </w:tcPr>
          <w:p>
            <w:pPr>
              <w:pStyle w:val="TableParagraph"/>
              <w:spacing w:line="240" w:lineRule="auto" w:before="40"/>
              <w:ind w:left="21" w:right="0"/>
              <w:jc w:val="center"/>
              <w:rPr>
                <w:rFonts w:ascii="宋体" w:hAnsi="宋体" w:cs="宋体" w:eastAsia="宋体" w:hint="default"/>
                <w:sz w:val="16"/>
                <w:szCs w:val="16"/>
              </w:rPr>
            </w:pPr>
            <w:r>
              <w:rPr>
                <w:rFonts w:ascii="宋体" w:hAnsi="宋体" w:cs="宋体" w:eastAsia="宋体" w:hint="default"/>
                <w:sz w:val="16"/>
                <w:szCs w:val="16"/>
              </w:rPr>
              <w:t>折旧费</w:t>
            </w:r>
          </w:p>
        </w:tc>
        <w:tc>
          <w:tcPr>
            <w:tcW w:w="1731" w:type="dxa"/>
            <w:tcBorders>
              <w:top w:val="nil" w:sz="6" w:space="0" w:color="auto"/>
              <w:left w:val="nil" w:sz="6" w:space="0" w:color="auto"/>
              <w:bottom w:val="nil" w:sz="6" w:space="0" w:color="auto"/>
              <w:right w:val="nil" w:sz="6" w:space="0" w:color="auto"/>
            </w:tcBorders>
          </w:tcPr>
          <w:p>
            <w:pP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44"/>
              <w:jc w:val="right"/>
              <w:rPr>
                <w:rFonts w:ascii="Times New Roman" w:hAnsi="Times New Roman" w:cs="Times New Roman" w:eastAsia="Times New Roman" w:hint="default"/>
                <w:sz w:val="16"/>
                <w:szCs w:val="16"/>
              </w:rPr>
            </w:pPr>
            <w:r>
              <w:rPr>
                <w:rFonts w:ascii="Times New Roman"/>
                <w:spacing w:val="-1"/>
                <w:sz w:val="16"/>
              </w:rPr>
              <w:t>25,589,257.49</w:t>
            </w:r>
          </w:p>
        </w:tc>
        <w:tc>
          <w:tcPr>
            <w:tcW w:w="203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6"/>
                <w:szCs w:val="16"/>
              </w:rPr>
            </w:pPr>
            <w:r>
              <w:rPr>
                <w:rFonts w:ascii="Times New Roman"/>
                <w:spacing w:val="-1"/>
                <w:sz w:val="16"/>
              </w:rPr>
              <w:t>11,804,808.93</w:t>
            </w:r>
          </w:p>
        </w:tc>
      </w:tr>
      <w:tr>
        <w:trPr>
          <w:trHeight w:val="353" w:hRule="exact"/>
        </w:trPr>
        <w:tc>
          <w:tcPr>
            <w:tcW w:w="1968"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55" w:right="0"/>
              <w:jc w:val="left"/>
              <w:rPr>
                <w:rFonts w:ascii="宋体" w:hAnsi="宋体" w:cs="宋体" w:eastAsia="宋体" w:hint="default"/>
                <w:sz w:val="16"/>
                <w:szCs w:val="16"/>
              </w:rPr>
            </w:pPr>
            <w:r>
              <w:rPr>
                <w:rFonts w:ascii="宋体" w:hAnsi="宋体" w:cs="宋体" w:eastAsia="宋体" w:hint="default"/>
                <w:sz w:val="16"/>
                <w:szCs w:val="16"/>
              </w:rPr>
              <w:t>技术服务费</w:t>
            </w:r>
          </w:p>
        </w:tc>
        <w:tc>
          <w:tcPr>
            <w:tcW w:w="1731" w:type="dxa"/>
            <w:tcBorders>
              <w:top w:val="nil" w:sz="6" w:space="0" w:color="auto"/>
              <w:left w:val="nil" w:sz="6" w:space="0" w:color="auto"/>
              <w:bottom w:val="nil" w:sz="6" w:space="0" w:color="auto"/>
              <w:right w:val="nil" w:sz="6" w:space="0" w:color="auto"/>
            </w:tcBorders>
          </w:tcPr>
          <w:p>
            <w:pP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44"/>
              <w:jc w:val="right"/>
              <w:rPr>
                <w:rFonts w:ascii="Times New Roman" w:hAnsi="Times New Roman" w:cs="Times New Roman" w:eastAsia="Times New Roman" w:hint="default"/>
                <w:sz w:val="16"/>
                <w:szCs w:val="16"/>
              </w:rPr>
            </w:pPr>
            <w:r>
              <w:rPr>
                <w:rFonts w:ascii="Times New Roman"/>
                <w:spacing w:val="-1"/>
                <w:sz w:val="16"/>
              </w:rPr>
              <w:t>19,132,958.28</w:t>
            </w:r>
          </w:p>
        </w:tc>
        <w:tc>
          <w:tcPr>
            <w:tcW w:w="203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4"/>
              <w:jc w:val="right"/>
              <w:rPr>
                <w:rFonts w:ascii="Times New Roman" w:hAnsi="Times New Roman" w:cs="Times New Roman" w:eastAsia="Times New Roman" w:hint="default"/>
                <w:sz w:val="16"/>
                <w:szCs w:val="16"/>
              </w:rPr>
            </w:pPr>
            <w:r>
              <w:rPr>
                <w:rFonts w:ascii="Times New Roman"/>
                <w:spacing w:val="-1"/>
                <w:sz w:val="16"/>
              </w:rPr>
              <w:t>12,763,371.69</w:t>
            </w:r>
          </w:p>
        </w:tc>
      </w:tr>
      <w:tr>
        <w:trPr>
          <w:trHeight w:val="354" w:hRule="exact"/>
        </w:trPr>
        <w:tc>
          <w:tcPr>
            <w:tcW w:w="1968" w:type="dxa"/>
            <w:tcBorders>
              <w:top w:val="nil" w:sz="6" w:space="0" w:color="auto"/>
              <w:left w:val="nil" w:sz="6" w:space="0" w:color="auto"/>
              <w:bottom w:val="nil" w:sz="6" w:space="0" w:color="auto"/>
              <w:right w:val="nil" w:sz="6" w:space="0" w:color="auto"/>
            </w:tcBorders>
          </w:tcPr>
          <w:p>
            <w:pPr>
              <w:pStyle w:val="TableParagraph"/>
              <w:spacing w:line="240" w:lineRule="auto" w:before="40"/>
              <w:ind w:left="21" w:right="0"/>
              <w:jc w:val="center"/>
              <w:rPr>
                <w:rFonts w:ascii="宋体" w:hAnsi="宋体" w:cs="宋体" w:eastAsia="宋体" w:hint="default"/>
                <w:sz w:val="16"/>
                <w:szCs w:val="16"/>
              </w:rPr>
            </w:pPr>
            <w:r>
              <w:rPr>
                <w:rFonts w:ascii="宋体" w:hAnsi="宋体" w:cs="宋体" w:eastAsia="宋体" w:hint="default"/>
                <w:sz w:val="16"/>
                <w:szCs w:val="16"/>
              </w:rPr>
              <w:t>差旅费</w:t>
            </w:r>
          </w:p>
        </w:tc>
        <w:tc>
          <w:tcPr>
            <w:tcW w:w="1731" w:type="dxa"/>
            <w:tcBorders>
              <w:top w:val="nil" w:sz="6" w:space="0" w:color="auto"/>
              <w:left w:val="nil" w:sz="6" w:space="0" w:color="auto"/>
              <w:bottom w:val="nil" w:sz="6" w:space="0" w:color="auto"/>
              <w:right w:val="nil" w:sz="6" w:space="0" w:color="auto"/>
            </w:tcBorders>
          </w:tcPr>
          <w:p>
            <w:pP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44"/>
              <w:jc w:val="right"/>
              <w:rPr>
                <w:rFonts w:ascii="Times New Roman" w:hAnsi="Times New Roman" w:cs="Times New Roman" w:eastAsia="Times New Roman" w:hint="default"/>
                <w:sz w:val="16"/>
                <w:szCs w:val="16"/>
              </w:rPr>
            </w:pPr>
            <w:r>
              <w:rPr>
                <w:rFonts w:ascii="Times New Roman"/>
                <w:spacing w:val="-1"/>
                <w:sz w:val="16"/>
              </w:rPr>
              <w:t>18,479,175.40</w:t>
            </w:r>
          </w:p>
        </w:tc>
        <w:tc>
          <w:tcPr>
            <w:tcW w:w="203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4"/>
              <w:jc w:val="right"/>
              <w:rPr>
                <w:rFonts w:ascii="Times New Roman" w:hAnsi="Times New Roman" w:cs="Times New Roman" w:eastAsia="Times New Roman" w:hint="default"/>
                <w:sz w:val="16"/>
                <w:szCs w:val="16"/>
              </w:rPr>
            </w:pPr>
            <w:r>
              <w:rPr>
                <w:rFonts w:ascii="Times New Roman"/>
                <w:spacing w:val="-1"/>
                <w:sz w:val="16"/>
              </w:rPr>
              <w:t>18,231,109.59</w:t>
            </w:r>
          </w:p>
        </w:tc>
      </w:tr>
      <w:tr>
        <w:trPr>
          <w:trHeight w:val="353" w:hRule="exact"/>
        </w:trPr>
        <w:tc>
          <w:tcPr>
            <w:tcW w:w="1968"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55" w:right="0"/>
              <w:jc w:val="left"/>
              <w:rPr>
                <w:rFonts w:ascii="宋体" w:hAnsi="宋体" w:cs="宋体" w:eastAsia="宋体" w:hint="default"/>
                <w:sz w:val="16"/>
                <w:szCs w:val="16"/>
              </w:rPr>
            </w:pPr>
            <w:r>
              <w:rPr>
                <w:rFonts w:ascii="宋体" w:hAnsi="宋体" w:cs="宋体" w:eastAsia="宋体" w:hint="default"/>
                <w:sz w:val="16"/>
                <w:szCs w:val="16"/>
              </w:rPr>
              <w:t>设计试验费</w:t>
            </w:r>
          </w:p>
        </w:tc>
        <w:tc>
          <w:tcPr>
            <w:tcW w:w="1731" w:type="dxa"/>
            <w:tcBorders>
              <w:top w:val="nil" w:sz="6" w:space="0" w:color="auto"/>
              <w:left w:val="nil" w:sz="6" w:space="0" w:color="auto"/>
              <w:bottom w:val="nil" w:sz="6" w:space="0" w:color="auto"/>
              <w:right w:val="nil" w:sz="6" w:space="0" w:color="auto"/>
            </w:tcBorders>
          </w:tcPr>
          <w:p>
            <w:pP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44"/>
              <w:jc w:val="right"/>
              <w:rPr>
                <w:rFonts w:ascii="Times New Roman" w:hAnsi="Times New Roman" w:cs="Times New Roman" w:eastAsia="Times New Roman" w:hint="default"/>
                <w:sz w:val="16"/>
                <w:szCs w:val="16"/>
              </w:rPr>
            </w:pPr>
            <w:r>
              <w:rPr>
                <w:rFonts w:ascii="Times New Roman"/>
                <w:spacing w:val="-1"/>
                <w:sz w:val="16"/>
              </w:rPr>
              <w:t>15,952,443.25</w:t>
            </w:r>
          </w:p>
        </w:tc>
        <w:tc>
          <w:tcPr>
            <w:tcW w:w="203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6"/>
                <w:szCs w:val="16"/>
              </w:rPr>
            </w:pPr>
            <w:r>
              <w:rPr>
                <w:rFonts w:ascii="Times New Roman"/>
                <w:spacing w:val="-2"/>
                <w:sz w:val="16"/>
              </w:rPr>
              <w:t>11,261,110.19</w:t>
            </w:r>
          </w:p>
        </w:tc>
      </w:tr>
      <w:tr>
        <w:trPr>
          <w:trHeight w:val="353" w:hRule="exact"/>
        </w:trPr>
        <w:tc>
          <w:tcPr>
            <w:tcW w:w="1968"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51"/>
              <w:jc w:val="right"/>
              <w:rPr>
                <w:rFonts w:ascii="宋体" w:hAnsi="宋体" w:cs="宋体" w:eastAsia="宋体" w:hint="default"/>
                <w:sz w:val="16"/>
                <w:szCs w:val="16"/>
              </w:rPr>
            </w:pPr>
            <w:r>
              <w:rPr>
                <w:rFonts w:ascii="宋体" w:hAnsi="宋体" w:cs="宋体" w:eastAsia="宋体" w:hint="default"/>
                <w:w w:val="95"/>
                <w:sz w:val="16"/>
                <w:szCs w:val="16"/>
              </w:rPr>
              <w:t>房租及水电费</w:t>
            </w:r>
            <w:r>
              <w:rPr>
                <w:rFonts w:ascii="宋体" w:hAnsi="宋体" w:cs="宋体" w:eastAsia="宋体" w:hint="default"/>
                <w:sz w:val="16"/>
                <w:szCs w:val="16"/>
              </w:rPr>
            </w:r>
          </w:p>
        </w:tc>
        <w:tc>
          <w:tcPr>
            <w:tcW w:w="1731" w:type="dxa"/>
            <w:tcBorders>
              <w:top w:val="nil" w:sz="6" w:space="0" w:color="auto"/>
              <w:left w:val="nil" w:sz="6" w:space="0" w:color="auto"/>
              <w:bottom w:val="nil" w:sz="6" w:space="0" w:color="auto"/>
              <w:right w:val="nil" w:sz="6" w:space="0" w:color="auto"/>
            </w:tcBorders>
          </w:tcPr>
          <w:p>
            <w:pP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44"/>
              <w:jc w:val="right"/>
              <w:rPr>
                <w:rFonts w:ascii="Times New Roman" w:hAnsi="Times New Roman" w:cs="Times New Roman" w:eastAsia="Times New Roman" w:hint="default"/>
                <w:sz w:val="16"/>
                <w:szCs w:val="16"/>
              </w:rPr>
            </w:pPr>
            <w:r>
              <w:rPr>
                <w:rFonts w:ascii="Times New Roman"/>
                <w:spacing w:val="-1"/>
                <w:sz w:val="16"/>
              </w:rPr>
              <w:t>7,671,760.84</w:t>
            </w:r>
          </w:p>
        </w:tc>
        <w:tc>
          <w:tcPr>
            <w:tcW w:w="203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4"/>
              <w:jc w:val="right"/>
              <w:rPr>
                <w:rFonts w:ascii="Times New Roman" w:hAnsi="Times New Roman" w:cs="Times New Roman" w:eastAsia="Times New Roman" w:hint="default"/>
                <w:sz w:val="16"/>
                <w:szCs w:val="16"/>
              </w:rPr>
            </w:pPr>
            <w:r>
              <w:rPr>
                <w:rFonts w:ascii="Times New Roman"/>
                <w:spacing w:val="-1"/>
                <w:sz w:val="16"/>
              </w:rPr>
              <w:t>6,561,178.84</w:t>
            </w:r>
          </w:p>
        </w:tc>
      </w:tr>
      <w:tr>
        <w:trPr>
          <w:trHeight w:val="353" w:hRule="exact"/>
        </w:trPr>
        <w:tc>
          <w:tcPr>
            <w:tcW w:w="1968" w:type="dxa"/>
            <w:tcBorders>
              <w:top w:val="nil" w:sz="6" w:space="0" w:color="auto"/>
              <w:left w:val="nil" w:sz="6" w:space="0" w:color="auto"/>
              <w:bottom w:val="nil" w:sz="6" w:space="0" w:color="auto"/>
              <w:right w:val="nil" w:sz="6" w:space="0" w:color="auto"/>
            </w:tcBorders>
          </w:tcPr>
          <w:p>
            <w:pPr>
              <w:pStyle w:val="TableParagraph"/>
              <w:spacing w:line="240" w:lineRule="auto" w:before="40"/>
              <w:ind w:left="21" w:right="0"/>
              <w:jc w:val="center"/>
              <w:rPr>
                <w:rFonts w:ascii="宋体" w:hAnsi="宋体" w:cs="宋体" w:eastAsia="宋体" w:hint="default"/>
                <w:sz w:val="16"/>
                <w:szCs w:val="16"/>
              </w:rPr>
            </w:pPr>
            <w:r>
              <w:rPr>
                <w:rFonts w:ascii="宋体" w:hAnsi="宋体" w:cs="宋体" w:eastAsia="宋体" w:hint="default"/>
                <w:sz w:val="16"/>
                <w:szCs w:val="16"/>
              </w:rPr>
              <w:t>维修费</w:t>
            </w:r>
          </w:p>
        </w:tc>
        <w:tc>
          <w:tcPr>
            <w:tcW w:w="1731" w:type="dxa"/>
            <w:tcBorders>
              <w:top w:val="nil" w:sz="6" w:space="0" w:color="auto"/>
              <w:left w:val="nil" w:sz="6" w:space="0" w:color="auto"/>
              <w:bottom w:val="nil" w:sz="6" w:space="0" w:color="auto"/>
              <w:right w:val="nil" w:sz="6" w:space="0" w:color="auto"/>
            </w:tcBorders>
          </w:tcPr>
          <w:p>
            <w:pP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44"/>
              <w:jc w:val="right"/>
              <w:rPr>
                <w:rFonts w:ascii="Times New Roman" w:hAnsi="Times New Roman" w:cs="Times New Roman" w:eastAsia="Times New Roman" w:hint="default"/>
                <w:sz w:val="16"/>
                <w:szCs w:val="16"/>
              </w:rPr>
            </w:pPr>
            <w:r>
              <w:rPr>
                <w:rFonts w:ascii="Times New Roman"/>
                <w:spacing w:val="-1"/>
                <w:sz w:val="16"/>
              </w:rPr>
              <w:t>6,237,924.75</w:t>
            </w:r>
          </w:p>
        </w:tc>
        <w:tc>
          <w:tcPr>
            <w:tcW w:w="203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6"/>
                <w:szCs w:val="16"/>
              </w:rPr>
            </w:pPr>
            <w:r>
              <w:rPr>
                <w:rFonts w:ascii="Times New Roman"/>
                <w:spacing w:val="-1"/>
                <w:sz w:val="16"/>
              </w:rPr>
              <w:t>3,009,855.72</w:t>
            </w:r>
          </w:p>
        </w:tc>
      </w:tr>
      <w:tr>
        <w:trPr>
          <w:trHeight w:val="353" w:hRule="exact"/>
        </w:trPr>
        <w:tc>
          <w:tcPr>
            <w:tcW w:w="1968"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36"/>
              <w:jc w:val="center"/>
              <w:rPr>
                <w:rFonts w:ascii="宋体" w:hAnsi="宋体" w:cs="宋体" w:eastAsia="宋体" w:hint="default"/>
                <w:sz w:val="16"/>
                <w:szCs w:val="16"/>
              </w:rPr>
            </w:pPr>
            <w:r>
              <w:rPr>
                <w:rFonts w:ascii="宋体" w:hAnsi="宋体" w:cs="宋体" w:eastAsia="宋体" w:hint="default"/>
                <w:sz w:val="16"/>
                <w:szCs w:val="16"/>
              </w:rPr>
              <w:t>其他</w:t>
            </w:r>
          </w:p>
        </w:tc>
        <w:tc>
          <w:tcPr>
            <w:tcW w:w="1731" w:type="dxa"/>
            <w:tcBorders>
              <w:top w:val="nil" w:sz="6" w:space="0" w:color="auto"/>
              <w:left w:val="nil" w:sz="6" w:space="0" w:color="auto"/>
              <w:bottom w:val="nil" w:sz="6" w:space="0" w:color="auto"/>
              <w:right w:val="nil" w:sz="6" w:space="0" w:color="auto"/>
            </w:tcBorders>
          </w:tcPr>
          <w:p>
            <w:pP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44"/>
              <w:jc w:val="right"/>
              <w:rPr>
                <w:rFonts w:ascii="Times New Roman" w:hAnsi="Times New Roman" w:cs="Times New Roman" w:eastAsia="Times New Roman" w:hint="default"/>
                <w:sz w:val="16"/>
                <w:szCs w:val="16"/>
              </w:rPr>
            </w:pPr>
            <w:r>
              <w:rPr>
                <w:rFonts w:ascii="Times New Roman"/>
                <w:spacing w:val="-1"/>
                <w:sz w:val="16"/>
              </w:rPr>
              <w:t>49,774,327.59</w:t>
            </w:r>
          </w:p>
        </w:tc>
        <w:tc>
          <w:tcPr>
            <w:tcW w:w="203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4"/>
              <w:jc w:val="right"/>
              <w:rPr>
                <w:rFonts w:ascii="Times New Roman" w:hAnsi="Times New Roman" w:cs="Times New Roman" w:eastAsia="Times New Roman" w:hint="default"/>
                <w:sz w:val="16"/>
                <w:szCs w:val="16"/>
              </w:rPr>
            </w:pPr>
            <w:r>
              <w:rPr>
                <w:rFonts w:ascii="Times New Roman"/>
                <w:spacing w:val="-1"/>
                <w:sz w:val="16"/>
              </w:rPr>
              <w:t>55,103,286.18</w:t>
            </w:r>
          </w:p>
        </w:tc>
      </w:tr>
      <w:tr>
        <w:trPr>
          <w:trHeight w:val="357" w:hRule="exact"/>
        </w:trPr>
        <w:tc>
          <w:tcPr>
            <w:tcW w:w="1968" w:type="dxa"/>
            <w:tcBorders>
              <w:top w:val="nil" w:sz="6" w:space="0" w:color="auto"/>
              <w:left w:val="nil" w:sz="6" w:space="0" w:color="auto"/>
              <w:bottom w:val="single" w:sz="12" w:space="0" w:color="000000"/>
              <w:right w:val="nil" w:sz="6" w:space="0" w:color="auto"/>
            </w:tcBorders>
          </w:tcPr>
          <w:p>
            <w:pPr/>
          </w:p>
        </w:tc>
        <w:tc>
          <w:tcPr>
            <w:tcW w:w="1731"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left="238"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3101"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445"/>
              <w:jc w:val="right"/>
              <w:rPr>
                <w:rFonts w:ascii="Times New Roman" w:hAnsi="Times New Roman" w:cs="Times New Roman" w:eastAsia="Times New Roman" w:hint="default"/>
                <w:sz w:val="16"/>
                <w:szCs w:val="16"/>
              </w:rPr>
            </w:pPr>
            <w:r>
              <w:rPr>
                <w:rFonts w:ascii="Times New Roman"/>
                <w:spacing w:val="-1"/>
                <w:sz w:val="16"/>
              </w:rPr>
              <w:t>644,718,337.98</w:t>
            </w:r>
          </w:p>
        </w:tc>
        <w:tc>
          <w:tcPr>
            <w:tcW w:w="2035"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105"/>
              <w:jc w:val="right"/>
              <w:rPr>
                <w:rFonts w:ascii="Times New Roman" w:hAnsi="Times New Roman" w:cs="Times New Roman" w:eastAsia="Times New Roman" w:hint="default"/>
                <w:sz w:val="16"/>
                <w:szCs w:val="16"/>
              </w:rPr>
            </w:pPr>
            <w:r>
              <w:rPr>
                <w:rFonts w:ascii="Times New Roman"/>
                <w:spacing w:val="-1"/>
                <w:sz w:val="16"/>
              </w:rPr>
              <w:t>537,932,446.49</w:t>
            </w:r>
          </w:p>
        </w:tc>
      </w:tr>
    </w:tbl>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18"/>
          <w:szCs w:val="18"/>
        </w:rPr>
      </w:pPr>
    </w:p>
    <w:tbl>
      <w:tblPr>
        <w:tblW w:w="0" w:type="auto"/>
        <w:jc w:val="left"/>
        <w:tblInd w:w="102" w:type="dxa"/>
        <w:tblLayout w:type="fixed"/>
        <w:tblCellMar>
          <w:top w:w="0" w:type="dxa"/>
          <w:left w:w="0" w:type="dxa"/>
          <w:bottom w:w="0" w:type="dxa"/>
          <w:right w:w="0" w:type="dxa"/>
        </w:tblCellMar>
        <w:tblLook w:val="01E0"/>
      </w:tblPr>
      <w:tblGrid>
        <w:gridCol w:w="1952"/>
        <w:gridCol w:w="1708"/>
        <w:gridCol w:w="3117"/>
        <w:gridCol w:w="2058"/>
      </w:tblGrid>
      <w:tr>
        <w:trPr>
          <w:trHeight w:val="357" w:hRule="exact"/>
        </w:trPr>
        <w:tc>
          <w:tcPr>
            <w:tcW w:w="1952"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right="220"/>
              <w:jc w:val="righ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四十五</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3"/>
                <w:sz w:val="21"/>
                <w:szCs w:val="21"/>
              </w:rPr>
              <w:t> </w:t>
            </w:r>
            <w:r>
              <w:rPr>
                <w:rFonts w:ascii="宋体" w:hAnsi="宋体" w:cs="宋体" w:eastAsia="宋体" w:hint="default"/>
                <w:b/>
                <w:bCs/>
                <w:sz w:val="21"/>
                <w:szCs w:val="21"/>
              </w:rPr>
              <w:t>财务费用</w:t>
            </w:r>
            <w:r>
              <w:rPr>
                <w:rFonts w:ascii="宋体" w:hAnsi="宋体" w:cs="宋体" w:eastAsia="宋体" w:hint="default"/>
                <w:sz w:val="21"/>
                <w:szCs w:val="21"/>
              </w:rPr>
            </w:r>
          </w:p>
        </w:tc>
        <w:tc>
          <w:tcPr>
            <w:tcW w:w="6883" w:type="dxa"/>
            <w:gridSpan w:val="3"/>
            <w:tcBorders>
              <w:top w:val="nil" w:sz="6" w:space="0" w:color="auto"/>
              <w:left w:val="nil" w:sz="6" w:space="0" w:color="auto"/>
              <w:bottom w:val="single" w:sz="12" w:space="0" w:color="000000"/>
              <w:right w:val="nil" w:sz="6" w:space="0" w:color="auto"/>
            </w:tcBorders>
          </w:tcPr>
          <w:p>
            <w:pPr/>
          </w:p>
        </w:tc>
      </w:tr>
      <w:tr>
        <w:trPr>
          <w:trHeight w:val="363" w:hRule="exact"/>
        </w:trPr>
        <w:tc>
          <w:tcPr>
            <w:tcW w:w="1952" w:type="dxa"/>
            <w:tcBorders>
              <w:top w:val="single" w:sz="12" w:space="0" w:color="000000"/>
              <w:left w:val="nil" w:sz="6" w:space="0" w:color="auto"/>
              <w:bottom w:val="nil" w:sz="6" w:space="0" w:color="auto"/>
              <w:right w:val="nil" w:sz="6" w:space="0" w:color="auto"/>
            </w:tcBorders>
          </w:tcPr>
          <w:p>
            <w:pPr/>
          </w:p>
        </w:tc>
        <w:tc>
          <w:tcPr>
            <w:tcW w:w="1708"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22" w:right="0"/>
              <w:jc w:val="left"/>
              <w:rPr>
                <w:rFonts w:ascii="宋体" w:hAnsi="宋体" w:cs="宋体" w:eastAsia="宋体" w:hint="default"/>
                <w:sz w:val="16"/>
                <w:szCs w:val="16"/>
              </w:rPr>
            </w:pPr>
            <w:r>
              <w:rPr>
                <w:rFonts w:ascii="宋体" w:hAnsi="宋体" w:cs="宋体" w:eastAsia="宋体" w:hint="default"/>
                <w:sz w:val="16"/>
                <w:szCs w:val="16"/>
              </w:rPr>
              <w:t>项目</w:t>
            </w:r>
          </w:p>
        </w:tc>
        <w:tc>
          <w:tcPr>
            <w:tcW w:w="3117"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13" w:right="0"/>
              <w:jc w:val="center"/>
              <w:rPr>
                <w:rFonts w:ascii="宋体" w:hAnsi="宋体" w:cs="宋体" w:eastAsia="宋体" w:hint="default"/>
                <w:sz w:val="16"/>
                <w:szCs w:val="16"/>
              </w:rPr>
            </w:pPr>
            <w:r>
              <w:rPr>
                <w:rFonts w:ascii="宋体" w:hAnsi="宋体" w:cs="宋体" w:eastAsia="宋体" w:hint="default"/>
                <w:sz w:val="16"/>
                <w:szCs w:val="16"/>
              </w:rPr>
              <w:t>本期发生额</w:t>
            </w:r>
          </w:p>
        </w:tc>
        <w:tc>
          <w:tcPr>
            <w:tcW w:w="2058"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454" w:right="0"/>
              <w:jc w:val="left"/>
              <w:rPr>
                <w:rFonts w:ascii="宋体" w:hAnsi="宋体" w:cs="宋体" w:eastAsia="宋体" w:hint="default"/>
                <w:sz w:val="16"/>
                <w:szCs w:val="16"/>
              </w:rPr>
            </w:pPr>
            <w:r>
              <w:rPr>
                <w:rFonts w:ascii="宋体" w:hAnsi="宋体" w:cs="宋体" w:eastAsia="宋体" w:hint="default"/>
                <w:sz w:val="16"/>
                <w:szCs w:val="16"/>
              </w:rPr>
              <w:t>上期发生额</w:t>
            </w:r>
          </w:p>
        </w:tc>
      </w:tr>
      <w:tr>
        <w:trPr>
          <w:trHeight w:val="360" w:hRule="exact"/>
        </w:trPr>
        <w:tc>
          <w:tcPr>
            <w:tcW w:w="1952" w:type="dxa"/>
            <w:tcBorders>
              <w:top w:val="nil" w:sz="6" w:space="0" w:color="auto"/>
              <w:left w:val="nil" w:sz="6" w:space="0" w:color="auto"/>
              <w:bottom w:val="nil" w:sz="6" w:space="0" w:color="auto"/>
              <w:right w:val="nil" w:sz="6" w:space="0" w:color="auto"/>
            </w:tcBorders>
          </w:tcPr>
          <w:p>
            <w:pPr>
              <w:pStyle w:val="TableParagraph"/>
              <w:spacing w:line="240" w:lineRule="auto" w:before="47"/>
              <w:ind w:left="755" w:right="0"/>
              <w:jc w:val="left"/>
              <w:rPr>
                <w:rFonts w:ascii="宋体" w:hAnsi="宋体" w:cs="宋体" w:eastAsia="宋体" w:hint="default"/>
                <w:sz w:val="16"/>
                <w:szCs w:val="16"/>
              </w:rPr>
            </w:pPr>
            <w:r>
              <w:rPr>
                <w:rFonts w:ascii="宋体" w:hAnsi="宋体" w:cs="宋体" w:eastAsia="宋体" w:hint="default"/>
                <w:sz w:val="16"/>
                <w:szCs w:val="16"/>
              </w:rPr>
              <w:t>利息费用</w:t>
            </w:r>
          </w:p>
        </w:tc>
        <w:tc>
          <w:tcPr>
            <w:tcW w:w="1708" w:type="dxa"/>
            <w:tcBorders>
              <w:top w:val="nil" w:sz="6" w:space="0" w:color="auto"/>
              <w:left w:val="nil" w:sz="6" w:space="0" w:color="auto"/>
              <w:bottom w:val="nil" w:sz="6" w:space="0" w:color="auto"/>
              <w:right w:val="nil" w:sz="6" w:space="0" w:color="auto"/>
            </w:tcBorders>
          </w:tcPr>
          <w:p>
            <w:pPr/>
          </w:p>
        </w:tc>
        <w:tc>
          <w:tcPr>
            <w:tcW w:w="3117"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452"/>
              <w:jc w:val="right"/>
              <w:rPr>
                <w:rFonts w:ascii="Times New Roman" w:hAnsi="Times New Roman" w:cs="Times New Roman" w:eastAsia="Times New Roman" w:hint="default"/>
                <w:sz w:val="16"/>
                <w:szCs w:val="16"/>
              </w:rPr>
            </w:pPr>
            <w:r>
              <w:rPr>
                <w:rFonts w:ascii="Times New Roman"/>
                <w:spacing w:val="-1"/>
                <w:sz w:val="16"/>
              </w:rPr>
              <w:t>80,751,865.69</w:t>
            </w:r>
          </w:p>
        </w:tc>
        <w:tc>
          <w:tcPr>
            <w:tcW w:w="2058"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04"/>
              <w:jc w:val="right"/>
              <w:rPr>
                <w:rFonts w:ascii="Times New Roman" w:hAnsi="Times New Roman" w:cs="Times New Roman" w:eastAsia="Times New Roman" w:hint="default"/>
                <w:sz w:val="16"/>
                <w:szCs w:val="16"/>
              </w:rPr>
            </w:pPr>
            <w:r>
              <w:rPr>
                <w:rFonts w:ascii="Times New Roman"/>
                <w:spacing w:val="-1"/>
                <w:sz w:val="16"/>
              </w:rPr>
              <w:t>59,828,500.68</w:t>
            </w:r>
          </w:p>
        </w:tc>
      </w:tr>
      <w:tr>
        <w:trPr>
          <w:trHeight w:val="354" w:hRule="exact"/>
        </w:trPr>
        <w:tc>
          <w:tcPr>
            <w:tcW w:w="1952"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36"/>
              <w:jc w:val="right"/>
              <w:rPr>
                <w:rFonts w:ascii="宋体" w:hAnsi="宋体" w:cs="宋体" w:eastAsia="宋体" w:hint="default"/>
                <w:sz w:val="16"/>
                <w:szCs w:val="16"/>
              </w:rPr>
            </w:pPr>
            <w:r>
              <w:rPr>
                <w:rFonts w:ascii="宋体" w:hAnsi="宋体" w:cs="宋体" w:eastAsia="宋体" w:hint="default"/>
                <w:w w:val="95"/>
                <w:sz w:val="16"/>
                <w:szCs w:val="16"/>
              </w:rPr>
              <w:t>减：利息收入</w:t>
            </w:r>
            <w:r>
              <w:rPr>
                <w:rFonts w:ascii="宋体" w:hAnsi="宋体" w:cs="宋体" w:eastAsia="宋体" w:hint="default"/>
                <w:sz w:val="16"/>
                <w:szCs w:val="16"/>
              </w:rPr>
            </w:r>
          </w:p>
        </w:tc>
        <w:tc>
          <w:tcPr>
            <w:tcW w:w="1708" w:type="dxa"/>
            <w:tcBorders>
              <w:top w:val="nil" w:sz="6" w:space="0" w:color="auto"/>
              <w:left w:val="nil" w:sz="6" w:space="0" w:color="auto"/>
              <w:bottom w:val="nil" w:sz="6" w:space="0" w:color="auto"/>
              <w:right w:val="nil" w:sz="6" w:space="0" w:color="auto"/>
            </w:tcBorders>
          </w:tcPr>
          <w:p>
            <w:pPr/>
          </w:p>
        </w:tc>
        <w:tc>
          <w:tcPr>
            <w:tcW w:w="311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52"/>
              <w:jc w:val="right"/>
              <w:rPr>
                <w:rFonts w:ascii="Times New Roman" w:hAnsi="Times New Roman" w:cs="Times New Roman" w:eastAsia="Times New Roman" w:hint="default"/>
                <w:sz w:val="16"/>
                <w:szCs w:val="16"/>
              </w:rPr>
            </w:pPr>
            <w:r>
              <w:rPr>
                <w:rFonts w:ascii="Times New Roman"/>
                <w:spacing w:val="-1"/>
                <w:sz w:val="16"/>
              </w:rPr>
              <w:t>36,783,438.92</w:t>
            </w:r>
          </w:p>
        </w:tc>
        <w:tc>
          <w:tcPr>
            <w:tcW w:w="205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4"/>
              <w:jc w:val="right"/>
              <w:rPr>
                <w:rFonts w:ascii="Times New Roman" w:hAnsi="Times New Roman" w:cs="Times New Roman" w:eastAsia="Times New Roman" w:hint="default"/>
                <w:sz w:val="16"/>
                <w:szCs w:val="16"/>
              </w:rPr>
            </w:pPr>
            <w:r>
              <w:rPr>
                <w:rFonts w:ascii="Times New Roman"/>
                <w:spacing w:val="-1"/>
                <w:sz w:val="16"/>
              </w:rPr>
              <w:t>27,293,029.68</w:t>
            </w:r>
          </w:p>
        </w:tc>
      </w:tr>
      <w:tr>
        <w:trPr>
          <w:trHeight w:val="353" w:hRule="exact"/>
        </w:trPr>
        <w:tc>
          <w:tcPr>
            <w:tcW w:w="195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55" w:right="0"/>
              <w:jc w:val="left"/>
              <w:rPr>
                <w:rFonts w:ascii="宋体" w:hAnsi="宋体" w:cs="宋体" w:eastAsia="宋体" w:hint="default"/>
                <w:sz w:val="16"/>
                <w:szCs w:val="16"/>
              </w:rPr>
            </w:pPr>
            <w:r>
              <w:rPr>
                <w:rFonts w:ascii="宋体" w:hAnsi="宋体" w:cs="宋体" w:eastAsia="宋体" w:hint="default"/>
                <w:sz w:val="16"/>
                <w:szCs w:val="16"/>
              </w:rPr>
              <w:t>汇兑损益</w:t>
            </w:r>
          </w:p>
        </w:tc>
        <w:tc>
          <w:tcPr>
            <w:tcW w:w="1708" w:type="dxa"/>
            <w:tcBorders>
              <w:top w:val="nil" w:sz="6" w:space="0" w:color="auto"/>
              <w:left w:val="nil" w:sz="6" w:space="0" w:color="auto"/>
              <w:bottom w:val="nil" w:sz="6" w:space="0" w:color="auto"/>
              <w:right w:val="nil" w:sz="6" w:space="0" w:color="auto"/>
            </w:tcBorders>
          </w:tcPr>
          <w:p>
            <w:pPr/>
          </w:p>
        </w:tc>
        <w:tc>
          <w:tcPr>
            <w:tcW w:w="311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53"/>
              <w:jc w:val="right"/>
              <w:rPr>
                <w:rFonts w:ascii="Times New Roman" w:hAnsi="Times New Roman" w:cs="Times New Roman" w:eastAsia="Times New Roman" w:hint="default"/>
                <w:sz w:val="16"/>
                <w:szCs w:val="16"/>
              </w:rPr>
            </w:pPr>
            <w:r>
              <w:rPr>
                <w:rFonts w:ascii="Times New Roman"/>
                <w:spacing w:val="-1"/>
                <w:sz w:val="16"/>
              </w:rPr>
              <w:t>-9,057,880.61</w:t>
            </w:r>
          </w:p>
        </w:tc>
        <w:tc>
          <w:tcPr>
            <w:tcW w:w="205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6"/>
                <w:szCs w:val="16"/>
              </w:rPr>
            </w:pPr>
            <w:r>
              <w:rPr>
                <w:rFonts w:ascii="Times New Roman"/>
                <w:spacing w:val="-1"/>
                <w:sz w:val="16"/>
              </w:rPr>
              <w:t>8,745,902.04</w:t>
            </w:r>
          </w:p>
        </w:tc>
      </w:tr>
      <w:tr>
        <w:trPr>
          <w:trHeight w:val="353" w:hRule="exact"/>
        </w:trPr>
        <w:tc>
          <w:tcPr>
            <w:tcW w:w="1952"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20"/>
              <w:jc w:val="center"/>
              <w:rPr>
                <w:rFonts w:ascii="宋体" w:hAnsi="宋体" w:cs="宋体" w:eastAsia="宋体" w:hint="default"/>
                <w:sz w:val="16"/>
                <w:szCs w:val="16"/>
              </w:rPr>
            </w:pPr>
            <w:r>
              <w:rPr>
                <w:rFonts w:ascii="宋体" w:hAnsi="宋体" w:cs="宋体" w:eastAsia="宋体" w:hint="default"/>
                <w:sz w:val="16"/>
                <w:szCs w:val="16"/>
              </w:rPr>
              <w:t>其他</w:t>
            </w:r>
          </w:p>
        </w:tc>
        <w:tc>
          <w:tcPr>
            <w:tcW w:w="1708" w:type="dxa"/>
            <w:tcBorders>
              <w:top w:val="nil" w:sz="6" w:space="0" w:color="auto"/>
              <w:left w:val="nil" w:sz="6" w:space="0" w:color="auto"/>
              <w:bottom w:val="nil" w:sz="6" w:space="0" w:color="auto"/>
              <w:right w:val="nil" w:sz="6" w:space="0" w:color="auto"/>
            </w:tcBorders>
          </w:tcPr>
          <w:p>
            <w:pPr/>
          </w:p>
        </w:tc>
        <w:tc>
          <w:tcPr>
            <w:tcW w:w="311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52"/>
              <w:jc w:val="right"/>
              <w:rPr>
                <w:rFonts w:ascii="Times New Roman" w:hAnsi="Times New Roman" w:cs="Times New Roman" w:eastAsia="Times New Roman" w:hint="default"/>
                <w:sz w:val="16"/>
                <w:szCs w:val="16"/>
              </w:rPr>
            </w:pPr>
            <w:r>
              <w:rPr>
                <w:rFonts w:ascii="Times New Roman"/>
                <w:spacing w:val="-1"/>
                <w:sz w:val="16"/>
              </w:rPr>
              <w:t>7,753,554.66</w:t>
            </w:r>
          </w:p>
        </w:tc>
        <w:tc>
          <w:tcPr>
            <w:tcW w:w="205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4"/>
              <w:jc w:val="right"/>
              <w:rPr>
                <w:rFonts w:ascii="Times New Roman" w:hAnsi="Times New Roman" w:cs="Times New Roman" w:eastAsia="Times New Roman" w:hint="default"/>
                <w:sz w:val="16"/>
                <w:szCs w:val="16"/>
              </w:rPr>
            </w:pPr>
            <w:r>
              <w:rPr>
                <w:rFonts w:ascii="Times New Roman"/>
                <w:spacing w:val="-1"/>
                <w:sz w:val="16"/>
              </w:rPr>
              <w:t>5,545,939.50</w:t>
            </w:r>
          </w:p>
        </w:tc>
      </w:tr>
      <w:tr>
        <w:trPr>
          <w:trHeight w:val="357" w:hRule="exact"/>
        </w:trPr>
        <w:tc>
          <w:tcPr>
            <w:tcW w:w="1952" w:type="dxa"/>
            <w:tcBorders>
              <w:top w:val="nil" w:sz="6" w:space="0" w:color="auto"/>
              <w:left w:val="nil" w:sz="6" w:space="0" w:color="auto"/>
              <w:bottom w:val="single" w:sz="12" w:space="0" w:color="000000"/>
              <w:right w:val="nil" w:sz="6" w:space="0" w:color="auto"/>
            </w:tcBorders>
          </w:tcPr>
          <w:p>
            <w:pPr/>
          </w:p>
        </w:tc>
        <w:tc>
          <w:tcPr>
            <w:tcW w:w="1708"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left="222"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3117"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452"/>
              <w:jc w:val="right"/>
              <w:rPr>
                <w:rFonts w:ascii="Times New Roman" w:hAnsi="Times New Roman" w:cs="Times New Roman" w:eastAsia="Times New Roman" w:hint="default"/>
                <w:sz w:val="16"/>
                <w:szCs w:val="16"/>
              </w:rPr>
            </w:pPr>
            <w:r>
              <w:rPr>
                <w:rFonts w:ascii="Times New Roman"/>
                <w:spacing w:val="-1"/>
                <w:sz w:val="16"/>
              </w:rPr>
              <w:t>42,664,100.82</w:t>
            </w:r>
          </w:p>
        </w:tc>
        <w:tc>
          <w:tcPr>
            <w:tcW w:w="2058"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6"/>
                <w:szCs w:val="16"/>
              </w:rPr>
            </w:pPr>
            <w:r>
              <w:rPr>
                <w:rFonts w:ascii="Times New Roman"/>
                <w:spacing w:val="-1"/>
                <w:sz w:val="16"/>
              </w:rPr>
              <w:t>46,827,312.54</w:t>
            </w:r>
          </w:p>
        </w:tc>
      </w:tr>
    </w:tbl>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8"/>
          <w:szCs w:val="18"/>
        </w:rPr>
      </w:pPr>
    </w:p>
    <w:tbl>
      <w:tblPr>
        <w:tblW w:w="0" w:type="auto"/>
        <w:jc w:val="left"/>
        <w:tblInd w:w="102" w:type="dxa"/>
        <w:tblLayout w:type="fixed"/>
        <w:tblCellMar>
          <w:top w:w="0" w:type="dxa"/>
          <w:left w:w="0" w:type="dxa"/>
          <w:bottom w:w="0" w:type="dxa"/>
          <w:right w:w="0" w:type="dxa"/>
        </w:tblCellMar>
        <w:tblLook w:val="01E0"/>
      </w:tblPr>
      <w:tblGrid>
        <w:gridCol w:w="2161"/>
        <w:gridCol w:w="1498"/>
        <w:gridCol w:w="3117"/>
        <w:gridCol w:w="2058"/>
      </w:tblGrid>
      <w:tr>
        <w:trPr>
          <w:trHeight w:val="358" w:hRule="exact"/>
        </w:trPr>
        <w:tc>
          <w:tcPr>
            <w:tcW w:w="2161"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四十六</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0"/>
                <w:sz w:val="21"/>
                <w:szCs w:val="21"/>
              </w:rPr>
              <w:t> </w:t>
            </w:r>
            <w:r>
              <w:rPr>
                <w:rFonts w:ascii="宋体" w:hAnsi="宋体" w:cs="宋体" w:eastAsia="宋体" w:hint="default"/>
                <w:b/>
                <w:bCs/>
                <w:sz w:val="21"/>
                <w:szCs w:val="21"/>
              </w:rPr>
              <w:t>资产减值损失</w:t>
            </w:r>
            <w:r>
              <w:rPr>
                <w:rFonts w:ascii="宋体" w:hAnsi="宋体" w:cs="宋体" w:eastAsia="宋体" w:hint="default"/>
                <w:sz w:val="21"/>
                <w:szCs w:val="21"/>
              </w:rPr>
            </w:r>
          </w:p>
        </w:tc>
        <w:tc>
          <w:tcPr>
            <w:tcW w:w="6673" w:type="dxa"/>
            <w:gridSpan w:val="3"/>
            <w:tcBorders>
              <w:top w:val="nil" w:sz="6" w:space="0" w:color="auto"/>
              <w:left w:val="nil" w:sz="6" w:space="0" w:color="auto"/>
              <w:bottom w:val="single" w:sz="12" w:space="0" w:color="000000"/>
              <w:right w:val="nil" w:sz="6" w:space="0" w:color="auto"/>
            </w:tcBorders>
          </w:tcPr>
          <w:p>
            <w:pPr/>
          </w:p>
        </w:tc>
      </w:tr>
      <w:tr>
        <w:trPr>
          <w:trHeight w:val="363" w:hRule="exact"/>
        </w:trPr>
        <w:tc>
          <w:tcPr>
            <w:tcW w:w="2161" w:type="dxa"/>
            <w:tcBorders>
              <w:top w:val="single" w:sz="12" w:space="0" w:color="000000"/>
              <w:left w:val="nil" w:sz="6" w:space="0" w:color="auto"/>
              <w:bottom w:val="nil" w:sz="6" w:space="0" w:color="auto"/>
              <w:right w:val="nil" w:sz="6" w:space="0" w:color="auto"/>
            </w:tcBorders>
          </w:tcPr>
          <w:p>
            <w:pPr/>
          </w:p>
        </w:tc>
        <w:tc>
          <w:tcPr>
            <w:tcW w:w="1498"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13" w:right="0"/>
              <w:jc w:val="left"/>
              <w:rPr>
                <w:rFonts w:ascii="宋体" w:hAnsi="宋体" w:cs="宋体" w:eastAsia="宋体" w:hint="default"/>
                <w:sz w:val="16"/>
                <w:szCs w:val="16"/>
              </w:rPr>
            </w:pPr>
            <w:r>
              <w:rPr>
                <w:rFonts w:ascii="宋体" w:hAnsi="宋体" w:cs="宋体" w:eastAsia="宋体" w:hint="default"/>
                <w:sz w:val="16"/>
                <w:szCs w:val="16"/>
              </w:rPr>
              <w:t>项目</w:t>
            </w:r>
          </w:p>
        </w:tc>
        <w:tc>
          <w:tcPr>
            <w:tcW w:w="3117"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13" w:right="0"/>
              <w:jc w:val="center"/>
              <w:rPr>
                <w:rFonts w:ascii="宋体" w:hAnsi="宋体" w:cs="宋体" w:eastAsia="宋体" w:hint="default"/>
                <w:sz w:val="16"/>
                <w:szCs w:val="16"/>
              </w:rPr>
            </w:pPr>
            <w:r>
              <w:rPr>
                <w:rFonts w:ascii="宋体" w:hAnsi="宋体" w:cs="宋体" w:eastAsia="宋体" w:hint="default"/>
                <w:sz w:val="16"/>
                <w:szCs w:val="16"/>
              </w:rPr>
              <w:t>本期发生额</w:t>
            </w:r>
          </w:p>
        </w:tc>
        <w:tc>
          <w:tcPr>
            <w:tcW w:w="2058"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454" w:right="0"/>
              <w:jc w:val="left"/>
              <w:rPr>
                <w:rFonts w:ascii="宋体" w:hAnsi="宋体" w:cs="宋体" w:eastAsia="宋体" w:hint="default"/>
                <w:sz w:val="16"/>
                <w:szCs w:val="16"/>
              </w:rPr>
            </w:pPr>
            <w:r>
              <w:rPr>
                <w:rFonts w:ascii="宋体" w:hAnsi="宋体" w:cs="宋体" w:eastAsia="宋体" w:hint="default"/>
                <w:sz w:val="16"/>
                <w:szCs w:val="16"/>
              </w:rPr>
              <w:t>上期发生额</w:t>
            </w:r>
          </w:p>
        </w:tc>
      </w:tr>
      <w:tr>
        <w:trPr>
          <w:trHeight w:val="360" w:hRule="exact"/>
        </w:trPr>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2"/>
              <w:jc w:val="center"/>
              <w:rPr>
                <w:rFonts w:ascii="宋体" w:hAnsi="宋体" w:cs="宋体" w:eastAsia="宋体" w:hint="default"/>
                <w:sz w:val="16"/>
                <w:szCs w:val="16"/>
              </w:rPr>
            </w:pPr>
            <w:r>
              <w:rPr>
                <w:rFonts w:ascii="宋体" w:hAnsi="宋体" w:cs="宋体" w:eastAsia="宋体" w:hint="default"/>
                <w:sz w:val="16"/>
                <w:szCs w:val="16"/>
              </w:rPr>
              <w:t>坏账损失</w:t>
            </w:r>
          </w:p>
        </w:tc>
        <w:tc>
          <w:tcPr>
            <w:tcW w:w="1498" w:type="dxa"/>
            <w:tcBorders>
              <w:top w:val="nil" w:sz="6" w:space="0" w:color="auto"/>
              <w:left w:val="nil" w:sz="6" w:space="0" w:color="auto"/>
              <w:bottom w:val="nil" w:sz="6" w:space="0" w:color="auto"/>
              <w:right w:val="nil" w:sz="6" w:space="0" w:color="auto"/>
            </w:tcBorders>
          </w:tcPr>
          <w:p>
            <w:pPr/>
          </w:p>
        </w:tc>
        <w:tc>
          <w:tcPr>
            <w:tcW w:w="3117"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452"/>
              <w:jc w:val="right"/>
              <w:rPr>
                <w:rFonts w:ascii="Times New Roman" w:hAnsi="Times New Roman" w:cs="Times New Roman" w:eastAsia="Times New Roman" w:hint="default"/>
                <w:sz w:val="16"/>
                <w:szCs w:val="16"/>
              </w:rPr>
            </w:pPr>
            <w:r>
              <w:rPr>
                <w:rFonts w:ascii="Times New Roman"/>
                <w:spacing w:val="-1"/>
                <w:sz w:val="16"/>
              </w:rPr>
              <w:t>70,943,466.82</w:t>
            </w:r>
          </w:p>
        </w:tc>
        <w:tc>
          <w:tcPr>
            <w:tcW w:w="2058"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04"/>
              <w:jc w:val="right"/>
              <w:rPr>
                <w:rFonts w:ascii="Times New Roman" w:hAnsi="Times New Roman" w:cs="Times New Roman" w:eastAsia="Times New Roman" w:hint="default"/>
                <w:sz w:val="16"/>
                <w:szCs w:val="16"/>
              </w:rPr>
            </w:pPr>
            <w:r>
              <w:rPr>
                <w:rFonts w:ascii="Times New Roman"/>
                <w:spacing w:val="-1"/>
                <w:sz w:val="16"/>
              </w:rPr>
              <w:t>42,956,804.44</w:t>
            </w:r>
          </w:p>
        </w:tc>
      </w:tr>
      <w:tr>
        <w:trPr>
          <w:trHeight w:val="357" w:hRule="exact"/>
        </w:trPr>
        <w:tc>
          <w:tcPr>
            <w:tcW w:w="2161"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left="755" w:right="0"/>
              <w:jc w:val="left"/>
              <w:rPr>
                <w:rFonts w:ascii="宋体" w:hAnsi="宋体" w:cs="宋体" w:eastAsia="宋体" w:hint="default"/>
                <w:sz w:val="16"/>
                <w:szCs w:val="16"/>
              </w:rPr>
            </w:pPr>
            <w:r>
              <w:rPr>
                <w:rFonts w:ascii="宋体" w:hAnsi="宋体" w:cs="宋体" w:eastAsia="宋体" w:hint="default"/>
                <w:sz w:val="16"/>
                <w:szCs w:val="16"/>
              </w:rPr>
              <w:t>存货跌价损失</w:t>
            </w:r>
          </w:p>
        </w:tc>
        <w:tc>
          <w:tcPr>
            <w:tcW w:w="1498" w:type="dxa"/>
            <w:tcBorders>
              <w:top w:val="nil" w:sz="6" w:space="0" w:color="auto"/>
              <w:left w:val="nil" w:sz="6" w:space="0" w:color="auto"/>
              <w:bottom w:val="single" w:sz="12" w:space="0" w:color="000000"/>
              <w:right w:val="nil" w:sz="6" w:space="0" w:color="auto"/>
            </w:tcBorders>
          </w:tcPr>
          <w:p>
            <w:pPr/>
          </w:p>
        </w:tc>
        <w:tc>
          <w:tcPr>
            <w:tcW w:w="3117"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452"/>
              <w:jc w:val="right"/>
              <w:rPr>
                <w:rFonts w:ascii="Times New Roman" w:hAnsi="Times New Roman" w:cs="Times New Roman" w:eastAsia="Times New Roman" w:hint="default"/>
                <w:sz w:val="16"/>
                <w:szCs w:val="16"/>
              </w:rPr>
            </w:pPr>
            <w:r>
              <w:rPr>
                <w:rFonts w:ascii="Times New Roman"/>
                <w:spacing w:val="-1"/>
                <w:sz w:val="16"/>
              </w:rPr>
              <w:t>23,805,543.45</w:t>
            </w:r>
          </w:p>
        </w:tc>
        <w:tc>
          <w:tcPr>
            <w:tcW w:w="2058"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6"/>
                <w:szCs w:val="16"/>
              </w:rPr>
            </w:pPr>
            <w:r>
              <w:rPr>
                <w:rFonts w:ascii="Times New Roman"/>
                <w:spacing w:val="-1"/>
                <w:sz w:val="16"/>
              </w:rPr>
              <w:t>57,409,063.99</w:t>
            </w:r>
          </w:p>
        </w:tc>
      </w:tr>
    </w:tbl>
    <w:p>
      <w:pPr>
        <w:spacing w:after="0" w:line="240" w:lineRule="auto"/>
        <w:jc w:val="right"/>
        <w:rPr>
          <w:rFonts w:ascii="Times New Roman" w:hAnsi="Times New Roman" w:cs="Times New Roman" w:eastAsia="Times New Roman" w:hint="default"/>
          <w:sz w:val="16"/>
          <w:szCs w:val="16"/>
        </w:rPr>
        <w:sectPr>
          <w:footerReference w:type="default" r:id="rId312"/>
          <w:pgSz w:w="11910" w:h="16840"/>
          <w:pgMar w:footer="1001" w:header="0" w:top="1520" w:bottom="1200" w:left="1660" w:right="0"/>
          <w:pgNumType w:start="66"/>
        </w:sectPr>
      </w:pPr>
    </w:p>
    <w:p>
      <w:pPr>
        <w:spacing w:line="240" w:lineRule="auto" w:before="9"/>
        <w:rPr>
          <w:rFonts w:ascii="Times New Roman" w:hAnsi="Times New Roman" w:cs="Times New Roman" w:eastAsia="Times New Roman" w:hint="default"/>
          <w:sz w:val="11"/>
          <w:szCs w:val="11"/>
        </w:rPr>
      </w:pPr>
      <w:r>
        <w:rPr/>
        <w:pict>
          <v:group style="position:absolute;margin-left:119.010002pt;margin-top:82.919998pt;width:411.75pt;height:55.6pt;mso-position-horizontal-relative:page;mso-position-vertical-relative:page;z-index:-1378360" coordorigin="2380,1658" coordsize="8235,1112">
            <v:group style="position:absolute;left:2410;top:1673;width:3372;height:2" coordorigin="2410,1673" coordsize="3372,2">
              <v:shape style="position:absolute;left:2410;top:1673;width:3372;height:2" coordorigin="2410,1673" coordsize="3372,0" path="m2410,1673l5782,1673e" filled="false" stroked="true" strokeweight="1.5pt" strokecolor="#000000">
                <v:path arrowok="t"/>
              </v:shape>
              <v:shape style="position:absolute;left:5782;top:1688;width:10;height:28" type="#_x0000_t75" stroked="false">
                <v:imagedata r:id="rId37" o:title=""/>
              </v:shape>
            </v:group>
            <v:group style="position:absolute;left:5782;top:1673;width:2405;height:2" coordorigin="5782,1673" coordsize="2405,2">
              <v:shape style="position:absolute;left:5782;top:1673;width:2405;height:2" coordorigin="5782,1673" coordsize="2405,0" path="m5782,1673l8186,1673e" filled="false" stroked="true" strokeweight="1.5pt" strokecolor="#000000">
                <v:path arrowok="t"/>
              </v:shape>
              <v:shape style="position:absolute;left:8186;top:1688;width:10;height:28" type="#_x0000_t75" stroked="false">
                <v:imagedata r:id="rId37" o:title=""/>
              </v:shape>
            </v:group>
            <v:group style="position:absolute;left:8186;top:1673;width:30;height:2" coordorigin="8186,1673" coordsize="30,2">
              <v:shape style="position:absolute;left:8186;top:1673;width:30;height:2" coordorigin="8186,1673" coordsize="30,0" path="m8186,1673l8216,1673e" filled="false" stroked="true" strokeweight="1.5pt" strokecolor="#000000">
                <v:path arrowok="t"/>
              </v:shape>
            </v:group>
            <v:group style="position:absolute;left:8216;top:1673;width:2381;height:2" coordorigin="8216,1673" coordsize="2381,2">
              <v:shape style="position:absolute;left:8216;top:1673;width:2381;height:2" coordorigin="8216,1673" coordsize="2381,0" path="m8216,1673l10597,1673e" filled="false" stroked="true" strokeweight="1.5pt" strokecolor="#000000">
                <v:path arrowok="t"/>
              </v:shape>
              <v:shape style="position:absolute;left:5762;top:1697;width:2453;height:355" type="#_x0000_t75" stroked="false">
                <v:imagedata r:id="rId305" o:title=""/>
              </v:shape>
            </v:group>
            <v:group style="position:absolute;left:2395;top:2755;width:3387;height:2" coordorigin="2395,2755" coordsize="3387,2">
              <v:shape style="position:absolute;left:2395;top:2755;width:3387;height:2" coordorigin="2395,2755" coordsize="3387,0" path="m2395,2755l5782,2755e" filled="false" stroked="true" strokeweight="1.5pt" strokecolor="#000000">
                <v:path arrowok="t"/>
              </v:shape>
            </v:group>
            <v:group style="position:absolute;left:5782;top:2755;width:2405;height:2" coordorigin="5782,2755" coordsize="2405,2">
              <v:shape style="position:absolute;left:5782;top:2755;width:2405;height:2" coordorigin="5782,2755" coordsize="2405,0" path="m5782,2755l8186,2755e" filled="false" stroked="true" strokeweight="1.5pt" strokecolor="#000000">
                <v:path arrowok="t"/>
              </v:shape>
              <v:shape style="position:absolute;left:2390;top:2020;width:8225;height:720" type="#_x0000_t75" stroked="false">
                <v:imagedata r:id="rId321" o:title=""/>
              </v:shape>
            </v:group>
            <v:group style="position:absolute;left:8186;top:2755;width:30;height:2" coordorigin="8186,2755" coordsize="30,2">
              <v:shape style="position:absolute;left:8186;top:2755;width:30;height:2" coordorigin="8186,2755" coordsize="30,0" path="m8186,2755l8216,2755e" filled="false" stroked="true" strokeweight="1.5pt" strokecolor="#000000">
                <v:path arrowok="t"/>
              </v:shape>
            </v:group>
            <v:group style="position:absolute;left:8216;top:2755;width:2381;height:2" coordorigin="8216,2755" coordsize="2381,2">
              <v:shape style="position:absolute;left:8216;top:2755;width:2381;height:2" coordorigin="8216,2755" coordsize="2381,0" path="m8216,2755l10597,2755e" filled="false" stroked="true" strokeweight="1.5pt" strokecolor="#000000">
                <v:path arrowok="t"/>
              </v:shape>
            </v:group>
            <w10:wrap type="none"/>
          </v:group>
        </w:pict>
      </w:r>
      <w:r>
        <w:rPr/>
        <w:pict>
          <v:group style="position:absolute;margin-left:119.520004pt;margin-top:179.99971pt;width:411.7pt;height:353pt;mso-position-horizontal-relative:page;mso-position-vertical-relative:page;z-index:-1378336" coordorigin="2390,3600" coordsize="8234,7060">
            <v:shape style="position:absolute;left:5188;top:3600;width:10;height:28" type="#_x0000_t75" stroked="false">
              <v:imagedata r:id="rId32" o:title=""/>
            </v:shape>
            <v:shape style="position:absolute;left:6822;top:3600;width:10;height:28" type="#_x0000_t75" stroked="false">
              <v:imagedata r:id="rId32" o:title=""/>
            </v:shape>
            <v:shape style="position:absolute;left:8425;top:3600;width:10;height:28" type="#_x0000_t75" stroked="false">
              <v:imagedata r:id="rId32" o:title=""/>
            </v:shape>
            <v:shape style="position:absolute;left:5168;top:3608;width:3286;height:354" type="#_x0000_t75" stroked="false">
              <v:imagedata r:id="rId322" o:title=""/>
            </v:shape>
            <v:shape style="position:absolute;left:2390;top:3924;width:8233;height:6736" type="#_x0000_t75" stroked="false">
              <v:imagedata r:id="rId323" o:title=""/>
            </v:shape>
            <w10:wrap type="none"/>
          </v:group>
        </w:pict>
      </w:r>
    </w:p>
    <w:tbl>
      <w:tblPr>
        <w:tblW w:w="0" w:type="auto"/>
        <w:jc w:val="left"/>
        <w:tblInd w:w="787" w:type="dxa"/>
        <w:tblLayout w:type="fixed"/>
        <w:tblCellMar>
          <w:top w:w="0" w:type="dxa"/>
          <w:left w:w="0" w:type="dxa"/>
          <w:bottom w:w="0" w:type="dxa"/>
          <w:right w:w="0" w:type="dxa"/>
        </w:tblCellMar>
        <w:tblLook w:val="01E0"/>
      </w:tblPr>
      <w:tblGrid>
        <w:gridCol w:w="1419"/>
        <w:gridCol w:w="1555"/>
        <w:gridCol w:w="3117"/>
        <w:gridCol w:w="2021"/>
      </w:tblGrid>
      <w:tr>
        <w:trPr>
          <w:trHeight w:val="724" w:hRule="exact"/>
        </w:trPr>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8"/>
              <w:ind w:right="0"/>
              <w:jc w:val="left"/>
              <w:rPr>
                <w:rFonts w:ascii="Times New Roman" w:hAnsi="Times New Roman" w:cs="Times New Roman" w:eastAsia="Times New Roman" w:hint="default"/>
                <w:sz w:val="19"/>
                <w:szCs w:val="19"/>
              </w:rPr>
            </w:pPr>
          </w:p>
          <w:p>
            <w:pPr>
              <w:pStyle w:val="TableParagraph"/>
              <w:spacing w:line="240" w:lineRule="auto"/>
              <w:ind w:left="70" w:right="0"/>
              <w:jc w:val="left"/>
              <w:rPr>
                <w:rFonts w:ascii="宋体" w:hAnsi="宋体" w:cs="宋体" w:eastAsia="宋体" w:hint="default"/>
                <w:sz w:val="16"/>
                <w:szCs w:val="16"/>
              </w:rPr>
            </w:pPr>
            <w:r>
              <w:rPr>
                <w:rFonts w:ascii="宋体" w:hAnsi="宋体" w:cs="宋体" w:eastAsia="宋体" w:hint="default"/>
                <w:sz w:val="16"/>
                <w:szCs w:val="16"/>
              </w:rPr>
              <w:t>固定资产减值损失</w:t>
            </w:r>
          </w:p>
        </w:tc>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57"/>
              <w:ind w:left="70" w:right="0"/>
              <w:jc w:val="left"/>
              <w:rPr>
                <w:rFonts w:ascii="宋体" w:hAnsi="宋体" w:cs="宋体" w:eastAsia="宋体" w:hint="default"/>
                <w:sz w:val="16"/>
                <w:szCs w:val="16"/>
              </w:rPr>
            </w:pPr>
            <w:r>
              <w:rPr>
                <w:rFonts w:ascii="宋体" w:hAnsi="宋体" w:cs="宋体" w:eastAsia="宋体" w:hint="default"/>
                <w:sz w:val="16"/>
                <w:szCs w:val="16"/>
              </w:rPr>
              <w:t>项目</w:t>
            </w:r>
          </w:p>
        </w:tc>
        <w:tc>
          <w:tcPr>
            <w:tcW w:w="3117" w:type="dxa"/>
            <w:tcBorders>
              <w:top w:val="nil" w:sz="6" w:space="0" w:color="auto"/>
              <w:left w:val="nil" w:sz="6" w:space="0" w:color="auto"/>
              <w:bottom w:val="nil" w:sz="6" w:space="0" w:color="auto"/>
              <w:right w:val="nil" w:sz="6" w:space="0" w:color="auto"/>
            </w:tcBorders>
          </w:tcPr>
          <w:p>
            <w:pPr>
              <w:pStyle w:val="TableParagraph"/>
              <w:spacing w:line="240" w:lineRule="auto" w:before="57"/>
              <w:ind w:left="13" w:right="0"/>
              <w:jc w:val="center"/>
              <w:rPr>
                <w:rFonts w:ascii="宋体" w:hAnsi="宋体" w:cs="宋体" w:eastAsia="宋体" w:hint="default"/>
                <w:sz w:val="16"/>
                <w:szCs w:val="16"/>
              </w:rPr>
            </w:pPr>
            <w:r>
              <w:rPr>
                <w:rFonts w:ascii="宋体" w:hAnsi="宋体" w:cs="宋体" w:eastAsia="宋体" w:hint="default"/>
                <w:sz w:val="16"/>
                <w:szCs w:val="16"/>
              </w:rPr>
              <w:t>本期发生额</w:t>
            </w:r>
          </w:p>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left="1941" w:right="0"/>
              <w:jc w:val="left"/>
              <w:rPr>
                <w:rFonts w:ascii="Times New Roman" w:hAnsi="Times New Roman" w:cs="Times New Roman" w:eastAsia="Times New Roman" w:hint="default"/>
                <w:sz w:val="16"/>
                <w:szCs w:val="16"/>
              </w:rPr>
            </w:pPr>
            <w:r>
              <w:rPr>
                <w:rFonts w:ascii="Times New Roman"/>
                <w:sz w:val="16"/>
              </w:rPr>
              <w:t>734,159.81</w:t>
            </w:r>
          </w:p>
        </w:tc>
        <w:tc>
          <w:tcPr>
            <w:tcW w:w="2021" w:type="dxa"/>
            <w:tcBorders>
              <w:top w:val="nil" w:sz="6" w:space="0" w:color="auto"/>
              <w:left w:val="nil" w:sz="6" w:space="0" w:color="auto"/>
              <w:bottom w:val="nil" w:sz="6" w:space="0" w:color="auto"/>
              <w:right w:val="nil" w:sz="6" w:space="0" w:color="auto"/>
            </w:tcBorders>
          </w:tcPr>
          <w:p>
            <w:pPr>
              <w:pStyle w:val="TableParagraph"/>
              <w:spacing w:line="240" w:lineRule="auto" w:before="57"/>
              <w:ind w:left="454" w:right="0"/>
              <w:jc w:val="left"/>
              <w:rPr>
                <w:rFonts w:ascii="宋体" w:hAnsi="宋体" w:cs="宋体" w:eastAsia="宋体" w:hint="default"/>
                <w:sz w:val="16"/>
                <w:szCs w:val="16"/>
              </w:rPr>
            </w:pPr>
            <w:r>
              <w:rPr>
                <w:rFonts w:ascii="宋体" w:hAnsi="宋体" w:cs="宋体" w:eastAsia="宋体" w:hint="default"/>
                <w:sz w:val="16"/>
                <w:szCs w:val="16"/>
              </w:rPr>
              <w:t>上期发生额</w:t>
            </w:r>
          </w:p>
        </w:tc>
      </w:tr>
      <w:tr>
        <w:trPr>
          <w:trHeight w:val="357" w:hRule="exact"/>
        </w:trPr>
        <w:tc>
          <w:tcPr>
            <w:tcW w:w="1419" w:type="dxa"/>
            <w:tcBorders>
              <w:top w:val="nil" w:sz="6" w:space="0" w:color="auto"/>
              <w:left w:val="nil" w:sz="6" w:space="0" w:color="auto"/>
              <w:bottom w:val="nil" w:sz="6" w:space="0" w:color="auto"/>
              <w:right w:val="nil" w:sz="6" w:space="0" w:color="auto"/>
            </w:tcBorders>
          </w:tcPr>
          <w:p>
            <w:pPr/>
          </w:p>
        </w:tc>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3117" w:type="dxa"/>
            <w:tcBorders>
              <w:top w:val="nil" w:sz="6" w:space="0" w:color="auto"/>
              <w:left w:val="nil" w:sz="6" w:space="0" w:color="auto"/>
              <w:bottom w:val="nil" w:sz="6" w:space="0" w:color="auto"/>
              <w:right w:val="nil" w:sz="6" w:space="0" w:color="auto"/>
            </w:tcBorders>
          </w:tcPr>
          <w:p>
            <w:pPr>
              <w:pStyle w:val="TableParagraph"/>
              <w:spacing w:line="240" w:lineRule="auto" w:before="82"/>
              <w:ind w:left="1740" w:right="0"/>
              <w:jc w:val="left"/>
              <w:rPr>
                <w:rFonts w:ascii="Times New Roman" w:hAnsi="Times New Roman" w:cs="Times New Roman" w:eastAsia="Times New Roman" w:hint="default"/>
                <w:sz w:val="16"/>
                <w:szCs w:val="16"/>
              </w:rPr>
            </w:pPr>
            <w:r>
              <w:rPr>
                <w:rFonts w:ascii="Times New Roman"/>
                <w:sz w:val="16"/>
              </w:rPr>
              <w:t>95,483,170.08</w:t>
            </w:r>
          </w:p>
        </w:tc>
        <w:tc>
          <w:tcPr>
            <w:tcW w:w="2021" w:type="dxa"/>
            <w:tcBorders>
              <w:top w:val="nil" w:sz="6" w:space="0" w:color="auto"/>
              <w:left w:val="nil" w:sz="6" w:space="0" w:color="auto"/>
              <w:bottom w:val="nil" w:sz="6" w:space="0" w:color="auto"/>
              <w:right w:val="nil" w:sz="6" w:space="0" w:color="auto"/>
            </w:tcBorders>
          </w:tcPr>
          <w:p>
            <w:pPr>
              <w:pStyle w:val="TableParagraph"/>
              <w:spacing w:line="240" w:lineRule="auto" w:before="82"/>
              <w:ind w:left="950" w:right="0"/>
              <w:jc w:val="left"/>
              <w:rPr>
                <w:rFonts w:ascii="Times New Roman" w:hAnsi="Times New Roman" w:cs="Times New Roman" w:eastAsia="Times New Roman" w:hint="default"/>
                <w:sz w:val="16"/>
                <w:szCs w:val="16"/>
              </w:rPr>
            </w:pPr>
            <w:r>
              <w:rPr>
                <w:rFonts w:ascii="Times New Roman"/>
                <w:sz w:val="16"/>
              </w:rPr>
              <w:t>100,365,868.43</w:t>
            </w:r>
          </w:p>
        </w:tc>
      </w:tr>
    </w:tbl>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21"/>
          <w:szCs w:val="21"/>
        </w:rPr>
      </w:pPr>
    </w:p>
    <w:tbl>
      <w:tblPr>
        <w:tblW w:w="0" w:type="auto"/>
        <w:jc w:val="left"/>
        <w:tblInd w:w="102" w:type="dxa"/>
        <w:tblLayout w:type="fixed"/>
        <w:tblCellMar>
          <w:top w:w="0" w:type="dxa"/>
          <w:left w:w="0" w:type="dxa"/>
          <w:bottom w:w="0" w:type="dxa"/>
          <w:right w:w="0" w:type="dxa"/>
        </w:tblCellMar>
        <w:tblLook w:val="01E0"/>
      </w:tblPr>
      <w:tblGrid>
        <w:gridCol w:w="3260"/>
        <w:gridCol w:w="1919"/>
        <w:gridCol w:w="1488"/>
        <w:gridCol w:w="2168"/>
      </w:tblGrid>
      <w:tr>
        <w:trPr>
          <w:trHeight w:val="358" w:hRule="exact"/>
        </w:trPr>
        <w:tc>
          <w:tcPr>
            <w:tcW w:w="3260"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四十七</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3"/>
                <w:sz w:val="21"/>
                <w:szCs w:val="21"/>
              </w:rPr>
              <w:t> </w:t>
            </w:r>
            <w:r>
              <w:rPr>
                <w:rFonts w:ascii="宋体" w:hAnsi="宋体" w:cs="宋体" w:eastAsia="宋体" w:hint="default"/>
                <w:b/>
                <w:bCs/>
                <w:sz w:val="21"/>
                <w:szCs w:val="21"/>
              </w:rPr>
              <w:t>其他收益</w:t>
            </w:r>
            <w:r>
              <w:rPr>
                <w:rFonts w:ascii="宋体" w:hAnsi="宋体" w:cs="宋体" w:eastAsia="宋体" w:hint="default"/>
                <w:sz w:val="21"/>
                <w:szCs w:val="21"/>
              </w:rPr>
            </w:r>
          </w:p>
        </w:tc>
        <w:tc>
          <w:tcPr>
            <w:tcW w:w="5575" w:type="dxa"/>
            <w:gridSpan w:val="3"/>
            <w:tcBorders>
              <w:top w:val="nil" w:sz="6" w:space="0" w:color="auto"/>
              <w:left w:val="nil" w:sz="6" w:space="0" w:color="auto"/>
              <w:bottom w:val="single" w:sz="12" w:space="0" w:color="000000"/>
              <w:right w:val="nil" w:sz="6" w:space="0" w:color="auto"/>
            </w:tcBorders>
          </w:tcPr>
          <w:p>
            <w:pPr/>
          </w:p>
        </w:tc>
      </w:tr>
      <w:tr>
        <w:trPr>
          <w:trHeight w:val="366" w:hRule="exact"/>
        </w:trPr>
        <w:tc>
          <w:tcPr>
            <w:tcW w:w="3260"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1718" w:right="0"/>
              <w:jc w:val="left"/>
              <w:rPr>
                <w:rFonts w:ascii="宋体" w:hAnsi="宋体" w:cs="宋体" w:eastAsia="宋体" w:hint="default"/>
                <w:sz w:val="16"/>
                <w:szCs w:val="16"/>
              </w:rPr>
            </w:pPr>
            <w:r>
              <w:rPr>
                <w:rFonts w:ascii="宋体" w:hAnsi="宋体" w:cs="宋体" w:eastAsia="宋体" w:hint="default"/>
                <w:sz w:val="16"/>
                <w:szCs w:val="16"/>
              </w:rPr>
              <w:t>补助项目</w:t>
            </w:r>
          </w:p>
        </w:tc>
        <w:tc>
          <w:tcPr>
            <w:tcW w:w="1919"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586" w:right="0"/>
              <w:jc w:val="left"/>
              <w:rPr>
                <w:rFonts w:ascii="宋体" w:hAnsi="宋体" w:cs="宋体" w:eastAsia="宋体" w:hint="default"/>
                <w:sz w:val="16"/>
                <w:szCs w:val="16"/>
              </w:rPr>
            </w:pPr>
            <w:r>
              <w:rPr>
                <w:rFonts w:ascii="宋体" w:hAnsi="宋体" w:cs="宋体" w:eastAsia="宋体" w:hint="default"/>
                <w:sz w:val="16"/>
                <w:szCs w:val="16"/>
              </w:rPr>
              <w:t>本期发生额</w:t>
            </w:r>
          </w:p>
        </w:tc>
        <w:tc>
          <w:tcPr>
            <w:tcW w:w="1488"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84" w:right="0"/>
              <w:jc w:val="left"/>
              <w:rPr>
                <w:rFonts w:ascii="宋体" w:hAnsi="宋体" w:cs="宋体" w:eastAsia="宋体" w:hint="default"/>
                <w:sz w:val="16"/>
                <w:szCs w:val="16"/>
              </w:rPr>
            </w:pPr>
            <w:r>
              <w:rPr>
                <w:rFonts w:ascii="宋体" w:hAnsi="宋体" w:cs="宋体" w:eastAsia="宋体" w:hint="default"/>
                <w:sz w:val="16"/>
                <w:szCs w:val="16"/>
              </w:rPr>
              <w:t>上期发生额</w:t>
            </w:r>
          </w:p>
        </w:tc>
        <w:tc>
          <w:tcPr>
            <w:tcW w:w="2168"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60" w:right="0"/>
              <w:jc w:val="left"/>
              <w:rPr>
                <w:rFonts w:ascii="宋体" w:hAnsi="宋体" w:cs="宋体" w:eastAsia="宋体" w:hint="default"/>
                <w:sz w:val="16"/>
                <w:szCs w:val="16"/>
              </w:rPr>
            </w:pPr>
            <w:r>
              <w:rPr>
                <w:rFonts w:ascii="宋体" w:hAnsi="宋体" w:cs="宋体" w:eastAsia="宋体" w:hint="default"/>
                <w:sz w:val="16"/>
                <w:szCs w:val="16"/>
              </w:rPr>
              <w:t>与资产相关</w:t>
            </w:r>
            <w:r>
              <w:rPr>
                <w:rFonts w:ascii="Times New Roman" w:hAnsi="Times New Roman" w:cs="Times New Roman" w:eastAsia="Times New Roman" w:hint="default"/>
                <w:sz w:val="16"/>
                <w:szCs w:val="16"/>
              </w:rPr>
              <w:t>/</w:t>
            </w:r>
            <w:r>
              <w:rPr>
                <w:rFonts w:ascii="宋体" w:hAnsi="宋体" w:cs="宋体" w:eastAsia="宋体" w:hint="default"/>
                <w:sz w:val="16"/>
                <w:szCs w:val="16"/>
              </w:rPr>
              <w:t>与收益相关</w:t>
            </w:r>
          </w:p>
        </w:tc>
      </w:tr>
      <w:tr>
        <w:trPr>
          <w:trHeight w:val="356" w:hRule="exact"/>
        </w:trPr>
        <w:tc>
          <w:tcPr>
            <w:tcW w:w="3260" w:type="dxa"/>
            <w:tcBorders>
              <w:top w:val="nil" w:sz="6" w:space="0" w:color="auto"/>
              <w:left w:val="nil" w:sz="6" w:space="0" w:color="auto"/>
              <w:bottom w:val="nil" w:sz="6" w:space="0" w:color="auto"/>
              <w:right w:val="nil" w:sz="6" w:space="0" w:color="auto"/>
            </w:tcBorders>
          </w:tcPr>
          <w:p>
            <w:pPr>
              <w:pStyle w:val="TableParagraph"/>
              <w:spacing w:line="240" w:lineRule="auto" w:before="42"/>
              <w:ind w:left="755" w:right="0"/>
              <w:jc w:val="left"/>
              <w:rPr>
                <w:rFonts w:ascii="宋体" w:hAnsi="宋体" w:cs="宋体" w:eastAsia="宋体" w:hint="default"/>
                <w:sz w:val="16"/>
                <w:szCs w:val="16"/>
              </w:rPr>
            </w:pPr>
            <w:r>
              <w:rPr>
                <w:rFonts w:ascii="宋体" w:hAnsi="宋体" w:cs="宋体" w:eastAsia="宋体" w:hint="default"/>
                <w:sz w:val="16"/>
                <w:szCs w:val="16"/>
              </w:rPr>
              <w:t>科研补贴</w:t>
            </w:r>
          </w:p>
        </w:tc>
        <w:tc>
          <w:tcPr>
            <w:tcW w:w="1919"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19"/>
              <w:jc w:val="right"/>
              <w:rPr>
                <w:rFonts w:ascii="Times New Roman" w:hAnsi="Times New Roman" w:cs="Times New Roman" w:eastAsia="Times New Roman" w:hint="default"/>
                <w:sz w:val="16"/>
                <w:szCs w:val="16"/>
              </w:rPr>
            </w:pPr>
            <w:r>
              <w:rPr>
                <w:rFonts w:ascii="Times New Roman"/>
                <w:spacing w:val="-1"/>
                <w:sz w:val="16"/>
              </w:rPr>
              <w:t>51,716,810.00</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5"/>
              <w:jc w:val="right"/>
              <w:rPr>
                <w:rFonts w:ascii="Times New Roman" w:hAnsi="Times New Roman" w:cs="Times New Roman" w:eastAsia="Times New Roman" w:hint="default"/>
                <w:sz w:val="16"/>
                <w:szCs w:val="16"/>
              </w:rPr>
            </w:pPr>
            <w:r>
              <w:rPr>
                <w:rFonts w:ascii="Times New Roman"/>
                <w:spacing w:val="-1"/>
                <w:sz w:val="16"/>
              </w:rPr>
              <w:t>8,045,000.00</w:t>
            </w:r>
          </w:p>
        </w:tc>
        <w:tc>
          <w:tcPr>
            <w:tcW w:w="2168"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07" w:right="0"/>
              <w:jc w:val="left"/>
              <w:rPr>
                <w:rFonts w:ascii="宋体" w:hAnsi="宋体" w:cs="宋体" w:eastAsia="宋体" w:hint="default"/>
                <w:sz w:val="16"/>
                <w:szCs w:val="16"/>
              </w:rPr>
            </w:pPr>
            <w:r>
              <w:rPr>
                <w:rFonts w:ascii="宋体" w:hAnsi="宋体" w:cs="宋体" w:eastAsia="宋体" w:hint="default"/>
                <w:sz w:val="16"/>
                <w:szCs w:val="16"/>
              </w:rPr>
              <w:t>与收益相关</w:t>
            </w:r>
          </w:p>
        </w:tc>
      </w:tr>
      <w:tr>
        <w:trPr>
          <w:trHeight w:val="353" w:hRule="exact"/>
        </w:trPr>
        <w:tc>
          <w:tcPr>
            <w:tcW w:w="326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55" w:right="0"/>
              <w:jc w:val="left"/>
              <w:rPr>
                <w:rFonts w:ascii="宋体" w:hAnsi="宋体" w:cs="宋体" w:eastAsia="宋体" w:hint="default"/>
                <w:sz w:val="16"/>
                <w:szCs w:val="16"/>
              </w:rPr>
            </w:pPr>
            <w:r>
              <w:rPr>
                <w:rFonts w:ascii="宋体" w:hAnsi="宋体" w:cs="宋体" w:eastAsia="宋体" w:hint="default"/>
                <w:sz w:val="16"/>
                <w:szCs w:val="16"/>
              </w:rPr>
              <w:t>工业发展基金</w:t>
            </w:r>
          </w:p>
        </w:tc>
        <w:tc>
          <w:tcPr>
            <w:tcW w:w="191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19"/>
              <w:jc w:val="right"/>
              <w:rPr>
                <w:rFonts w:ascii="Times New Roman" w:hAnsi="Times New Roman" w:cs="Times New Roman" w:eastAsia="Times New Roman" w:hint="default"/>
                <w:sz w:val="16"/>
                <w:szCs w:val="16"/>
              </w:rPr>
            </w:pPr>
            <w:r>
              <w:rPr>
                <w:rFonts w:ascii="Times New Roman"/>
                <w:spacing w:val="-1"/>
                <w:sz w:val="16"/>
              </w:rPr>
              <w:t>31,814,897.79</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5"/>
              <w:jc w:val="right"/>
              <w:rPr>
                <w:rFonts w:ascii="Times New Roman" w:hAnsi="Times New Roman" w:cs="Times New Roman" w:eastAsia="Times New Roman" w:hint="default"/>
                <w:sz w:val="16"/>
                <w:szCs w:val="16"/>
              </w:rPr>
            </w:pPr>
            <w:r>
              <w:rPr>
                <w:rFonts w:ascii="Times New Roman"/>
                <w:spacing w:val="-1"/>
                <w:sz w:val="16"/>
              </w:rPr>
              <w:t>21,086,002.21</w:t>
            </w:r>
          </w:p>
        </w:tc>
        <w:tc>
          <w:tcPr>
            <w:tcW w:w="2168"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与收益相关</w:t>
            </w:r>
          </w:p>
        </w:tc>
      </w:tr>
      <w:tr>
        <w:trPr>
          <w:trHeight w:val="353" w:hRule="exact"/>
        </w:trPr>
        <w:tc>
          <w:tcPr>
            <w:tcW w:w="326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55" w:right="0"/>
              <w:jc w:val="left"/>
              <w:rPr>
                <w:rFonts w:ascii="宋体" w:hAnsi="宋体" w:cs="宋体" w:eastAsia="宋体" w:hint="default"/>
                <w:sz w:val="16"/>
                <w:szCs w:val="16"/>
              </w:rPr>
            </w:pPr>
            <w:r>
              <w:rPr>
                <w:rFonts w:ascii="宋体" w:hAnsi="宋体" w:cs="宋体" w:eastAsia="宋体" w:hint="default"/>
                <w:sz w:val="16"/>
                <w:szCs w:val="16"/>
              </w:rPr>
              <w:t>退税补贴</w:t>
            </w:r>
          </w:p>
        </w:tc>
        <w:tc>
          <w:tcPr>
            <w:tcW w:w="191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19"/>
              <w:jc w:val="right"/>
              <w:rPr>
                <w:rFonts w:ascii="Times New Roman" w:hAnsi="Times New Roman" w:cs="Times New Roman" w:eastAsia="Times New Roman" w:hint="default"/>
                <w:sz w:val="16"/>
                <w:szCs w:val="16"/>
              </w:rPr>
            </w:pPr>
            <w:r>
              <w:rPr>
                <w:rFonts w:ascii="Times New Roman"/>
                <w:spacing w:val="-1"/>
                <w:sz w:val="16"/>
              </w:rPr>
              <w:t>28,031,315.80</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6"/>
                <w:szCs w:val="16"/>
              </w:rPr>
            </w:pPr>
            <w:r>
              <w:rPr>
                <w:rFonts w:ascii="Times New Roman"/>
                <w:spacing w:val="-1"/>
                <w:sz w:val="16"/>
              </w:rPr>
              <w:t>27,137,807.64</w:t>
            </w:r>
          </w:p>
        </w:tc>
        <w:tc>
          <w:tcPr>
            <w:tcW w:w="2168"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与收益相关</w:t>
            </w:r>
          </w:p>
        </w:tc>
      </w:tr>
      <w:tr>
        <w:trPr>
          <w:trHeight w:val="353" w:hRule="exact"/>
        </w:trPr>
        <w:tc>
          <w:tcPr>
            <w:tcW w:w="326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55" w:right="0"/>
              <w:jc w:val="left"/>
              <w:rPr>
                <w:rFonts w:ascii="宋体" w:hAnsi="宋体" w:cs="宋体" w:eastAsia="宋体" w:hint="default"/>
                <w:sz w:val="16"/>
                <w:szCs w:val="16"/>
              </w:rPr>
            </w:pPr>
            <w:r>
              <w:rPr>
                <w:rFonts w:ascii="宋体" w:hAnsi="宋体" w:cs="宋体" w:eastAsia="宋体" w:hint="default"/>
                <w:sz w:val="16"/>
                <w:szCs w:val="16"/>
              </w:rPr>
              <w:t>企业技术创新补贴</w:t>
            </w:r>
          </w:p>
        </w:tc>
        <w:tc>
          <w:tcPr>
            <w:tcW w:w="191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19"/>
              <w:jc w:val="right"/>
              <w:rPr>
                <w:rFonts w:ascii="Times New Roman" w:hAnsi="Times New Roman" w:cs="Times New Roman" w:eastAsia="Times New Roman" w:hint="default"/>
                <w:sz w:val="16"/>
                <w:szCs w:val="16"/>
              </w:rPr>
            </w:pPr>
            <w:r>
              <w:rPr>
                <w:rFonts w:ascii="Times New Roman"/>
                <w:spacing w:val="-1"/>
                <w:sz w:val="16"/>
              </w:rPr>
              <w:t>5,746,700.00</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5"/>
              <w:jc w:val="right"/>
              <w:rPr>
                <w:rFonts w:ascii="Times New Roman" w:hAnsi="Times New Roman" w:cs="Times New Roman" w:eastAsia="Times New Roman" w:hint="default"/>
                <w:sz w:val="16"/>
                <w:szCs w:val="16"/>
              </w:rPr>
            </w:pPr>
            <w:r>
              <w:rPr>
                <w:rFonts w:ascii="Times New Roman"/>
                <w:spacing w:val="-1"/>
                <w:sz w:val="16"/>
              </w:rPr>
              <w:t>16,440,400.00</w:t>
            </w:r>
          </w:p>
        </w:tc>
        <w:tc>
          <w:tcPr>
            <w:tcW w:w="2168"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与收益相关</w:t>
            </w:r>
          </w:p>
        </w:tc>
      </w:tr>
      <w:tr>
        <w:trPr>
          <w:trHeight w:val="353" w:hRule="exact"/>
        </w:trPr>
        <w:tc>
          <w:tcPr>
            <w:tcW w:w="326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55" w:right="0"/>
              <w:jc w:val="left"/>
              <w:rPr>
                <w:rFonts w:ascii="宋体" w:hAnsi="宋体" w:cs="宋体" w:eastAsia="宋体" w:hint="default"/>
                <w:sz w:val="16"/>
                <w:szCs w:val="16"/>
              </w:rPr>
            </w:pPr>
            <w:r>
              <w:rPr>
                <w:rFonts w:ascii="宋体" w:hAnsi="宋体" w:cs="宋体" w:eastAsia="宋体" w:hint="default"/>
                <w:sz w:val="16"/>
                <w:szCs w:val="16"/>
              </w:rPr>
              <w:t>税收奖励</w:t>
            </w:r>
          </w:p>
        </w:tc>
        <w:tc>
          <w:tcPr>
            <w:tcW w:w="191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19"/>
              <w:jc w:val="right"/>
              <w:rPr>
                <w:rFonts w:ascii="Times New Roman" w:hAnsi="Times New Roman" w:cs="Times New Roman" w:eastAsia="Times New Roman" w:hint="default"/>
                <w:sz w:val="16"/>
                <w:szCs w:val="16"/>
              </w:rPr>
            </w:pPr>
            <w:r>
              <w:rPr>
                <w:rFonts w:ascii="Times New Roman"/>
                <w:spacing w:val="-1"/>
                <w:sz w:val="16"/>
              </w:rPr>
              <w:t>3,582,000.00</w:t>
            </w:r>
          </w:p>
        </w:tc>
        <w:tc>
          <w:tcPr>
            <w:tcW w:w="1488" w:type="dxa"/>
            <w:tcBorders>
              <w:top w:val="nil" w:sz="6" w:space="0" w:color="auto"/>
              <w:left w:val="nil" w:sz="6" w:space="0" w:color="auto"/>
              <w:bottom w:val="nil" w:sz="6" w:space="0" w:color="auto"/>
              <w:right w:val="nil" w:sz="6" w:space="0" w:color="auto"/>
            </w:tcBorders>
          </w:tcPr>
          <w:p>
            <w:pPr/>
          </w:p>
        </w:tc>
        <w:tc>
          <w:tcPr>
            <w:tcW w:w="2168"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与收益相关</w:t>
            </w:r>
          </w:p>
        </w:tc>
      </w:tr>
      <w:tr>
        <w:trPr>
          <w:trHeight w:val="354" w:hRule="exact"/>
        </w:trPr>
        <w:tc>
          <w:tcPr>
            <w:tcW w:w="326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55" w:right="0"/>
              <w:jc w:val="left"/>
              <w:rPr>
                <w:rFonts w:ascii="宋体" w:hAnsi="宋体" w:cs="宋体" w:eastAsia="宋体" w:hint="default"/>
                <w:sz w:val="16"/>
                <w:szCs w:val="16"/>
              </w:rPr>
            </w:pPr>
            <w:r>
              <w:rPr>
                <w:rFonts w:ascii="宋体" w:hAnsi="宋体" w:cs="宋体" w:eastAsia="宋体" w:hint="default"/>
                <w:sz w:val="16"/>
                <w:szCs w:val="16"/>
              </w:rPr>
              <w:t>建设基金</w:t>
            </w:r>
          </w:p>
        </w:tc>
        <w:tc>
          <w:tcPr>
            <w:tcW w:w="191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19"/>
              <w:jc w:val="right"/>
              <w:rPr>
                <w:rFonts w:ascii="Times New Roman" w:hAnsi="Times New Roman" w:cs="Times New Roman" w:eastAsia="Times New Roman" w:hint="default"/>
                <w:sz w:val="16"/>
                <w:szCs w:val="16"/>
              </w:rPr>
            </w:pPr>
            <w:r>
              <w:rPr>
                <w:rFonts w:ascii="Times New Roman"/>
                <w:spacing w:val="-1"/>
                <w:sz w:val="16"/>
              </w:rPr>
              <w:t>2,800,000.00</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6"/>
                <w:szCs w:val="16"/>
              </w:rPr>
            </w:pPr>
            <w:r>
              <w:rPr>
                <w:rFonts w:ascii="Times New Roman"/>
                <w:spacing w:val="-1"/>
                <w:sz w:val="16"/>
              </w:rPr>
              <w:t>51,590,000.00</w:t>
            </w:r>
          </w:p>
        </w:tc>
        <w:tc>
          <w:tcPr>
            <w:tcW w:w="2168"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与收益相关</w:t>
            </w:r>
          </w:p>
        </w:tc>
      </w:tr>
      <w:tr>
        <w:trPr>
          <w:trHeight w:val="353" w:hRule="exact"/>
        </w:trPr>
        <w:tc>
          <w:tcPr>
            <w:tcW w:w="326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55" w:right="0"/>
              <w:jc w:val="left"/>
              <w:rPr>
                <w:rFonts w:ascii="宋体" w:hAnsi="宋体" w:cs="宋体" w:eastAsia="宋体" w:hint="default"/>
                <w:sz w:val="16"/>
                <w:szCs w:val="16"/>
              </w:rPr>
            </w:pPr>
            <w:r>
              <w:rPr>
                <w:rFonts w:ascii="宋体" w:hAnsi="宋体" w:cs="宋体" w:eastAsia="宋体" w:hint="default"/>
                <w:sz w:val="16"/>
                <w:szCs w:val="16"/>
              </w:rPr>
              <w:t>贸易补贴</w:t>
            </w:r>
          </w:p>
        </w:tc>
        <w:tc>
          <w:tcPr>
            <w:tcW w:w="191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19"/>
              <w:jc w:val="right"/>
              <w:rPr>
                <w:rFonts w:ascii="Times New Roman" w:hAnsi="Times New Roman" w:cs="Times New Roman" w:eastAsia="Times New Roman" w:hint="default"/>
                <w:sz w:val="16"/>
                <w:szCs w:val="16"/>
              </w:rPr>
            </w:pPr>
            <w:r>
              <w:rPr>
                <w:rFonts w:ascii="Times New Roman"/>
                <w:spacing w:val="-1"/>
                <w:sz w:val="16"/>
              </w:rPr>
              <w:t>2,608,400.00</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5"/>
              <w:jc w:val="right"/>
              <w:rPr>
                <w:rFonts w:ascii="Times New Roman" w:hAnsi="Times New Roman" w:cs="Times New Roman" w:eastAsia="Times New Roman" w:hint="default"/>
                <w:sz w:val="16"/>
                <w:szCs w:val="16"/>
              </w:rPr>
            </w:pPr>
            <w:r>
              <w:rPr>
                <w:rFonts w:ascii="Times New Roman"/>
                <w:spacing w:val="-1"/>
                <w:sz w:val="16"/>
              </w:rPr>
              <w:t>1,903,864.00</w:t>
            </w:r>
          </w:p>
        </w:tc>
        <w:tc>
          <w:tcPr>
            <w:tcW w:w="2168"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与收益相关</w:t>
            </w:r>
          </w:p>
        </w:tc>
      </w:tr>
      <w:tr>
        <w:trPr>
          <w:trHeight w:val="353" w:hRule="exact"/>
        </w:trPr>
        <w:tc>
          <w:tcPr>
            <w:tcW w:w="326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55" w:right="0"/>
              <w:jc w:val="left"/>
              <w:rPr>
                <w:rFonts w:ascii="宋体" w:hAnsi="宋体" w:cs="宋体" w:eastAsia="宋体" w:hint="default"/>
                <w:sz w:val="16"/>
                <w:szCs w:val="16"/>
              </w:rPr>
            </w:pPr>
            <w:r>
              <w:rPr>
                <w:rFonts w:ascii="宋体" w:hAnsi="宋体" w:cs="宋体" w:eastAsia="宋体" w:hint="default"/>
                <w:sz w:val="16"/>
                <w:szCs w:val="16"/>
              </w:rPr>
              <w:t>稳岗补贴</w:t>
            </w:r>
          </w:p>
        </w:tc>
        <w:tc>
          <w:tcPr>
            <w:tcW w:w="191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19"/>
              <w:jc w:val="right"/>
              <w:rPr>
                <w:rFonts w:ascii="Times New Roman" w:hAnsi="Times New Roman" w:cs="Times New Roman" w:eastAsia="Times New Roman" w:hint="default"/>
                <w:sz w:val="16"/>
                <w:szCs w:val="16"/>
              </w:rPr>
            </w:pPr>
            <w:r>
              <w:rPr>
                <w:rFonts w:ascii="Times New Roman"/>
                <w:spacing w:val="-1"/>
                <w:sz w:val="16"/>
              </w:rPr>
              <w:t>2,491,546.50</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6"/>
                <w:szCs w:val="16"/>
              </w:rPr>
            </w:pPr>
            <w:r>
              <w:rPr>
                <w:rFonts w:ascii="Times New Roman"/>
                <w:spacing w:val="-1"/>
                <w:sz w:val="16"/>
              </w:rPr>
              <w:t>2,665,866.69</w:t>
            </w:r>
          </w:p>
        </w:tc>
        <w:tc>
          <w:tcPr>
            <w:tcW w:w="2168"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与收益相关</w:t>
            </w:r>
          </w:p>
        </w:tc>
      </w:tr>
      <w:tr>
        <w:trPr>
          <w:trHeight w:val="353" w:hRule="exact"/>
        </w:trPr>
        <w:tc>
          <w:tcPr>
            <w:tcW w:w="326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55" w:right="0"/>
              <w:jc w:val="left"/>
              <w:rPr>
                <w:rFonts w:ascii="宋体" w:hAnsi="宋体" w:cs="宋体" w:eastAsia="宋体" w:hint="default"/>
                <w:sz w:val="16"/>
                <w:szCs w:val="16"/>
              </w:rPr>
            </w:pPr>
            <w:r>
              <w:rPr>
                <w:rFonts w:ascii="宋体" w:hAnsi="宋体" w:cs="宋体" w:eastAsia="宋体" w:hint="default"/>
                <w:sz w:val="16"/>
                <w:szCs w:val="16"/>
              </w:rPr>
              <w:t>专利补助</w:t>
            </w:r>
          </w:p>
        </w:tc>
        <w:tc>
          <w:tcPr>
            <w:tcW w:w="191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19"/>
              <w:jc w:val="right"/>
              <w:rPr>
                <w:rFonts w:ascii="Times New Roman" w:hAnsi="Times New Roman" w:cs="Times New Roman" w:eastAsia="Times New Roman" w:hint="default"/>
                <w:sz w:val="16"/>
                <w:szCs w:val="16"/>
              </w:rPr>
            </w:pPr>
            <w:r>
              <w:rPr>
                <w:rFonts w:ascii="Times New Roman"/>
                <w:spacing w:val="-1"/>
                <w:sz w:val="16"/>
              </w:rPr>
              <w:t>1,108,900.00</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5"/>
              <w:jc w:val="right"/>
              <w:rPr>
                <w:rFonts w:ascii="Times New Roman" w:hAnsi="Times New Roman" w:cs="Times New Roman" w:eastAsia="Times New Roman" w:hint="default"/>
                <w:sz w:val="16"/>
                <w:szCs w:val="16"/>
              </w:rPr>
            </w:pPr>
            <w:r>
              <w:rPr>
                <w:rFonts w:ascii="Times New Roman"/>
                <w:spacing w:val="-1"/>
                <w:sz w:val="16"/>
              </w:rPr>
              <w:t>485,672.00</w:t>
            </w:r>
          </w:p>
        </w:tc>
        <w:tc>
          <w:tcPr>
            <w:tcW w:w="2168"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与收益相关</w:t>
            </w:r>
          </w:p>
        </w:tc>
      </w:tr>
      <w:tr>
        <w:trPr>
          <w:trHeight w:val="353" w:hRule="exact"/>
        </w:trPr>
        <w:tc>
          <w:tcPr>
            <w:tcW w:w="326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55" w:right="0"/>
              <w:jc w:val="left"/>
              <w:rPr>
                <w:rFonts w:ascii="宋体" w:hAnsi="宋体" w:cs="宋体" w:eastAsia="宋体" w:hint="default"/>
                <w:sz w:val="16"/>
                <w:szCs w:val="16"/>
              </w:rPr>
            </w:pPr>
            <w:r>
              <w:rPr>
                <w:rFonts w:ascii="宋体" w:hAnsi="宋体" w:cs="宋体" w:eastAsia="宋体" w:hint="default"/>
                <w:sz w:val="16"/>
                <w:szCs w:val="16"/>
              </w:rPr>
              <w:t>人才补贴</w:t>
            </w:r>
          </w:p>
        </w:tc>
        <w:tc>
          <w:tcPr>
            <w:tcW w:w="191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19"/>
              <w:jc w:val="right"/>
              <w:rPr>
                <w:rFonts w:ascii="Times New Roman" w:hAnsi="Times New Roman" w:cs="Times New Roman" w:eastAsia="Times New Roman" w:hint="default"/>
                <w:sz w:val="16"/>
                <w:szCs w:val="16"/>
              </w:rPr>
            </w:pPr>
            <w:r>
              <w:rPr>
                <w:rFonts w:ascii="Times New Roman"/>
                <w:spacing w:val="-1"/>
                <w:sz w:val="16"/>
              </w:rPr>
              <w:t>772,470.00</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6"/>
                <w:szCs w:val="16"/>
              </w:rPr>
            </w:pPr>
            <w:r>
              <w:rPr>
                <w:rFonts w:ascii="Times New Roman"/>
                <w:spacing w:val="-1"/>
                <w:sz w:val="16"/>
              </w:rPr>
              <w:t>1,342,990.00</w:t>
            </w:r>
          </w:p>
        </w:tc>
        <w:tc>
          <w:tcPr>
            <w:tcW w:w="2168"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与收益相关</w:t>
            </w:r>
          </w:p>
        </w:tc>
      </w:tr>
      <w:tr>
        <w:trPr>
          <w:trHeight w:val="353" w:hRule="exact"/>
        </w:trPr>
        <w:tc>
          <w:tcPr>
            <w:tcW w:w="326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55"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191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19"/>
              <w:jc w:val="right"/>
              <w:rPr>
                <w:rFonts w:ascii="Times New Roman" w:hAnsi="Times New Roman" w:cs="Times New Roman" w:eastAsia="Times New Roman" w:hint="default"/>
                <w:sz w:val="16"/>
                <w:szCs w:val="16"/>
              </w:rPr>
            </w:pPr>
            <w:r>
              <w:rPr>
                <w:rFonts w:ascii="Times New Roman"/>
                <w:spacing w:val="-1"/>
                <w:sz w:val="16"/>
              </w:rPr>
              <w:t>4,331,772.43</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5"/>
              <w:jc w:val="right"/>
              <w:rPr>
                <w:rFonts w:ascii="Times New Roman" w:hAnsi="Times New Roman" w:cs="Times New Roman" w:eastAsia="Times New Roman" w:hint="default"/>
                <w:sz w:val="16"/>
                <w:szCs w:val="16"/>
              </w:rPr>
            </w:pPr>
            <w:r>
              <w:rPr>
                <w:rFonts w:ascii="Times New Roman"/>
                <w:spacing w:val="-1"/>
                <w:sz w:val="16"/>
              </w:rPr>
              <w:t>3,099,358.75</w:t>
            </w:r>
          </w:p>
        </w:tc>
        <w:tc>
          <w:tcPr>
            <w:tcW w:w="2168"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与收益相关</w:t>
            </w:r>
          </w:p>
        </w:tc>
      </w:tr>
      <w:tr>
        <w:trPr>
          <w:trHeight w:val="353" w:hRule="exact"/>
        </w:trPr>
        <w:tc>
          <w:tcPr>
            <w:tcW w:w="326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55" w:right="0"/>
              <w:jc w:val="left"/>
              <w:rPr>
                <w:rFonts w:ascii="宋体" w:hAnsi="宋体" w:cs="宋体" w:eastAsia="宋体" w:hint="default"/>
                <w:sz w:val="16"/>
                <w:szCs w:val="16"/>
              </w:rPr>
            </w:pPr>
            <w:r>
              <w:rPr>
                <w:rFonts w:ascii="宋体" w:hAnsi="宋体" w:cs="宋体" w:eastAsia="宋体" w:hint="default"/>
                <w:sz w:val="16"/>
                <w:szCs w:val="16"/>
              </w:rPr>
              <w:t>工业发展基金</w:t>
            </w:r>
          </w:p>
        </w:tc>
        <w:tc>
          <w:tcPr>
            <w:tcW w:w="191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19"/>
              <w:jc w:val="right"/>
              <w:rPr>
                <w:rFonts w:ascii="Times New Roman" w:hAnsi="Times New Roman" w:cs="Times New Roman" w:eastAsia="Times New Roman" w:hint="default"/>
                <w:sz w:val="16"/>
                <w:szCs w:val="16"/>
              </w:rPr>
            </w:pPr>
            <w:r>
              <w:rPr>
                <w:rFonts w:ascii="Times New Roman"/>
                <w:spacing w:val="-1"/>
                <w:sz w:val="16"/>
              </w:rPr>
              <w:t>9,209,938.42</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6"/>
                <w:szCs w:val="16"/>
              </w:rPr>
            </w:pPr>
            <w:r>
              <w:rPr>
                <w:rFonts w:ascii="Times New Roman"/>
                <w:spacing w:val="-1"/>
                <w:sz w:val="16"/>
              </w:rPr>
              <w:t>3,251,350.88</w:t>
            </w:r>
          </w:p>
        </w:tc>
        <w:tc>
          <w:tcPr>
            <w:tcW w:w="2168"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与资产相关</w:t>
            </w:r>
          </w:p>
        </w:tc>
      </w:tr>
      <w:tr>
        <w:trPr>
          <w:trHeight w:val="354" w:hRule="exact"/>
        </w:trPr>
        <w:tc>
          <w:tcPr>
            <w:tcW w:w="326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55" w:right="0"/>
              <w:jc w:val="left"/>
              <w:rPr>
                <w:rFonts w:ascii="宋体" w:hAnsi="宋体" w:cs="宋体" w:eastAsia="宋体" w:hint="default"/>
                <w:sz w:val="16"/>
                <w:szCs w:val="16"/>
              </w:rPr>
            </w:pPr>
            <w:r>
              <w:rPr>
                <w:rFonts w:ascii="宋体" w:hAnsi="宋体" w:cs="宋体" w:eastAsia="宋体" w:hint="default"/>
                <w:sz w:val="16"/>
                <w:szCs w:val="16"/>
              </w:rPr>
              <w:t>企业技术创新补贴</w:t>
            </w:r>
          </w:p>
        </w:tc>
        <w:tc>
          <w:tcPr>
            <w:tcW w:w="191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19"/>
              <w:jc w:val="right"/>
              <w:rPr>
                <w:rFonts w:ascii="Times New Roman" w:hAnsi="Times New Roman" w:cs="Times New Roman" w:eastAsia="Times New Roman" w:hint="default"/>
                <w:sz w:val="16"/>
                <w:szCs w:val="16"/>
              </w:rPr>
            </w:pPr>
            <w:r>
              <w:rPr>
                <w:rFonts w:ascii="Times New Roman"/>
                <w:spacing w:val="-1"/>
                <w:sz w:val="16"/>
              </w:rPr>
              <w:t>7,048,726.93</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6"/>
                <w:szCs w:val="16"/>
              </w:rPr>
            </w:pPr>
            <w:r>
              <w:rPr>
                <w:rFonts w:ascii="Times New Roman"/>
                <w:spacing w:val="-1"/>
                <w:sz w:val="16"/>
              </w:rPr>
              <w:t>3,437,257.24</w:t>
            </w:r>
          </w:p>
        </w:tc>
        <w:tc>
          <w:tcPr>
            <w:tcW w:w="2168"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与资产相关</w:t>
            </w:r>
          </w:p>
        </w:tc>
      </w:tr>
      <w:tr>
        <w:trPr>
          <w:trHeight w:val="353" w:hRule="exact"/>
        </w:trPr>
        <w:tc>
          <w:tcPr>
            <w:tcW w:w="326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659"/>
              <w:jc w:val="right"/>
              <w:rPr>
                <w:rFonts w:ascii="宋体" w:hAnsi="宋体" w:cs="宋体" w:eastAsia="宋体" w:hint="default"/>
                <w:sz w:val="16"/>
                <w:szCs w:val="16"/>
              </w:rPr>
            </w:pPr>
            <w:r>
              <w:rPr>
                <w:rFonts w:ascii="Times New Roman" w:hAnsi="Times New Roman" w:cs="Times New Roman" w:eastAsia="Times New Roman" w:hint="default"/>
                <w:sz w:val="16"/>
                <w:szCs w:val="16"/>
              </w:rPr>
              <w:t>ARM</w:t>
            </w:r>
            <w:r>
              <w:rPr>
                <w:rFonts w:ascii="Times New Roman" w:hAnsi="Times New Roman" w:cs="Times New Roman" w:eastAsia="Times New Roman" w:hint="default"/>
                <w:spacing w:val="-3"/>
                <w:sz w:val="16"/>
                <w:szCs w:val="16"/>
              </w:rPr>
              <w:t> </w:t>
            </w:r>
            <w:r>
              <w:rPr>
                <w:rFonts w:ascii="宋体" w:hAnsi="宋体" w:cs="宋体" w:eastAsia="宋体" w:hint="default"/>
                <w:sz w:val="16"/>
                <w:szCs w:val="16"/>
              </w:rPr>
              <w:t>国产处理器项目结项</w:t>
            </w:r>
          </w:p>
        </w:tc>
        <w:tc>
          <w:tcPr>
            <w:tcW w:w="191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19"/>
              <w:jc w:val="right"/>
              <w:rPr>
                <w:rFonts w:ascii="Times New Roman" w:hAnsi="Times New Roman" w:cs="Times New Roman" w:eastAsia="Times New Roman" w:hint="default"/>
                <w:sz w:val="16"/>
                <w:szCs w:val="16"/>
              </w:rPr>
            </w:pPr>
            <w:r>
              <w:rPr>
                <w:rFonts w:ascii="Times New Roman"/>
                <w:spacing w:val="-1"/>
                <w:sz w:val="16"/>
              </w:rPr>
              <w:t>3,970,940.02</w:t>
            </w:r>
          </w:p>
        </w:tc>
        <w:tc>
          <w:tcPr>
            <w:tcW w:w="1488" w:type="dxa"/>
            <w:tcBorders>
              <w:top w:val="nil" w:sz="6" w:space="0" w:color="auto"/>
              <w:left w:val="nil" w:sz="6" w:space="0" w:color="auto"/>
              <w:bottom w:val="nil" w:sz="6" w:space="0" w:color="auto"/>
              <w:right w:val="nil" w:sz="6" w:space="0" w:color="auto"/>
            </w:tcBorders>
          </w:tcPr>
          <w:p>
            <w:pPr/>
          </w:p>
        </w:tc>
        <w:tc>
          <w:tcPr>
            <w:tcW w:w="2168"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与资产相关</w:t>
            </w:r>
          </w:p>
        </w:tc>
      </w:tr>
      <w:tr>
        <w:trPr>
          <w:trHeight w:val="353" w:hRule="exact"/>
        </w:trPr>
        <w:tc>
          <w:tcPr>
            <w:tcW w:w="326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584"/>
              <w:jc w:val="right"/>
              <w:rPr>
                <w:rFonts w:ascii="宋体" w:hAnsi="宋体" w:cs="宋体" w:eastAsia="宋体" w:hint="default"/>
                <w:sz w:val="16"/>
                <w:szCs w:val="16"/>
              </w:rPr>
            </w:pPr>
            <w:r>
              <w:rPr>
                <w:rFonts w:ascii="宋体" w:hAnsi="宋体" w:cs="宋体" w:eastAsia="宋体" w:hint="default"/>
                <w:w w:val="95"/>
                <w:sz w:val="16"/>
                <w:szCs w:val="16"/>
              </w:rPr>
              <w:t>智能移动终端支出项目结项</w:t>
            </w:r>
            <w:r>
              <w:rPr>
                <w:rFonts w:ascii="宋体" w:hAnsi="宋体" w:cs="宋体" w:eastAsia="宋体" w:hint="default"/>
                <w:sz w:val="16"/>
                <w:szCs w:val="16"/>
              </w:rPr>
            </w:r>
          </w:p>
        </w:tc>
        <w:tc>
          <w:tcPr>
            <w:tcW w:w="191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19"/>
              <w:jc w:val="right"/>
              <w:rPr>
                <w:rFonts w:ascii="Times New Roman" w:hAnsi="Times New Roman" w:cs="Times New Roman" w:eastAsia="Times New Roman" w:hint="default"/>
                <w:sz w:val="16"/>
                <w:szCs w:val="16"/>
              </w:rPr>
            </w:pPr>
            <w:r>
              <w:rPr>
                <w:rFonts w:ascii="Times New Roman"/>
                <w:spacing w:val="-1"/>
                <w:sz w:val="16"/>
              </w:rPr>
              <w:t>2,500,000.00</w:t>
            </w:r>
          </w:p>
        </w:tc>
        <w:tc>
          <w:tcPr>
            <w:tcW w:w="1488" w:type="dxa"/>
            <w:tcBorders>
              <w:top w:val="nil" w:sz="6" w:space="0" w:color="auto"/>
              <w:left w:val="nil" w:sz="6" w:space="0" w:color="auto"/>
              <w:bottom w:val="nil" w:sz="6" w:space="0" w:color="auto"/>
              <w:right w:val="nil" w:sz="6" w:space="0" w:color="auto"/>
            </w:tcBorders>
          </w:tcPr>
          <w:p>
            <w:pPr/>
          </w:p>
        </w:tc>
        <w:tc>
          <w:tcPr>
            <w:tcW w:w="2168"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与资产相关</w:t>
            </w:r>
          </w:p>
        </w:tc>
      </w:tr>
      <w:tr>
        <w:trPr>
          <w:trHeight w:val="353" w:hRule="exact"/>
        </w:trPr>
        <w:tc>
          <w:tcPr>
            <w:tcW w:w="326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55" w:right="0"/>
              <w:jc w:val="left"/>
              <w:rPr>
                <w:rFonts w:ascii="宋体" w:hAnsi="宋体" w:cs="宋体" w:eastAsia="宋体" w:hint="default"/>
                <w:sz w:val="16"/>
                <w:szCs w:val="16"/>
              </w:rPr>
            </w:pPr>
            <w:r>
              <w:rPr>
                <w:rFonts w:ascii="宋体" w:hAnsi="宋体" w:cs="宋体" w:eastAsia="宋体" w:hint="default"/>
                <w:sz w:val="16"/>
                <w:szCs w:val="16"/>
              </w:rPr>
              <w:t>科研补贴</w:t>
            </w:r>
          </w:p>
        </w:tc>
        <w:tc>
          <w:tcPr>
            <w:tcW w:w="191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19"/>
              <w:jc w:val="right"/>
              <w:rPr>
                <w:rFonts w:ascii="Times New Roman" w:hAnsi="Times New Roman" w:cs="Times New Roman" w:eastAsia="Times New Roman" w:hint="default"/>
                <w:sz w:val="16"/>
                <w:szCs w:val="16"/>
              </w:rPr>
            </w:pPr>
            <w:r>
              <w:rPr>
                <w:rFonts w:ascii="Times New Roman"/>
                <w:spacing w:val="-1"/>
                <w:sz w:val="16"/>
              </w:rPr>
              <w:t>1,970,199.21</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5"/>
              <w:jc w:val="right"/>
              <w:rPr>
                <w:rFonts w:ascii="Times New Roman" w:hAnsi="Times New Roman" w:cs="Times New Roman" w:eastAsia="Times New Roman" w:hint="default"/>
                <w:sz w:val="16"/>
                <w:szCs w:val="16"/>
              </w:rPr>
            </w:pPr>
            <w:r>
              <w:rPr>
                <w:rFonts w:ascii="Times New Roman"/>
                <w:spacing w:val="-1"/>
                <w:sz w:val="16"/>
              </w:rPr>
              <w:t>150,000.00</w:t>
            </w:r>
          </w:p>
        </w:tc>
        <w:tc>
          <w:tcPr>
            <w:tcW w:w="2168"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与资产相关</w:t>
            </w:r>
          </w:p>
        </w:tc>
      </w:tr>
      <w:tr>
        <w:trPr>
          <w:trHeight w:val="353" w:hRule="exact"/>
        </w:trPr>
        <w:tc>
          <w:tcPr>
            <w:tcW w:w="326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55" w:right="0"/>
              <w:jc w:val="left"/>
              <w:rPr>
                <w:rFonts w:ascii="宋体" w:hAnsi="宋体" w:cs="宋体" w:eastAsia="宋体" w:hint="default"/>
                <w:sz w:val="16"/>
                <w:szCs w:val="16"/>
              </w:rPr>
            </w:pPr>
            <w:r>
              <w:rPr>
                <w:rFonts w:ascii="宋体" w:hAnsi="宋体" w:cs="宋体" w:eastAsia="宋体" w:hint="default"/>
                <w:sz w:val="16"/>
                <w:szCs w:val="16"/>
              </w:rPr>
              <w:t>建设基金</w:t>
            </w:r>
          </w:p>
        </w:tc>
        <w:tc>
          <w:tcPr>
            <w:tcW w:w="191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19"/>
              <w:jc w:val="right"/>
              <w:rPr>
                <w:rFonts w:ascii="Times New Roman" w:hAnsi="Times New Roman" w:cs="Times New Roman" w:eastAsia="Times New Roman" w:hint="default"/>
                <w:sz w:val="16"/>
                <w:szCs w:val="16"/>
              </w:rPr>
            </w:pPr>
            <w:r>
              <w:rPr>
                <w:rFonts w:ascii="Times New Roman"/>
                <w:spacing w:val="-1"/>
                <w:sz w:val="16"/>
              </w:rPr>
              <w:t>785,400.00</w:t>
            </w:r>
          </w:p>
        </w:tc>
        <w:tc>
          <w:tcPr>
            <w:tcW w:w="1488" w:type="dxa"/>
            <w:tcBorders>
              <w:top w:val="nil" w:sz="6" w:space="0" w:color="auto"/>
              <w:left w:val="nil" w:sz="6" w:space="0" w:color="auto"/>
              <w:bottom w:val="nil" w:sz="6" w:space="0" w:color="auto"/>
              <w:right w:val="nil" w:sz="6" w:space="0" w:color="auto"/>
            </w:tcBorders>
          </w:tcPr>
          <w:p>
            <w:pPr/>
          </w:p>
        </w:tc>
        <w:tc>
          <w:tcPr>
            <w:tcW w:w="2168"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与资产相关</w:t>
            </w:r>
          </w:p>
        </w:tc>
      </w:tr>
      <w:tr>
        <w:trPr>
          <w:trHeight w:val="353" w:hRule="exact"/>
        </w:trPr>
        <w:tc>
          <w:tcPr>
            <w:tcW w:w="326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55"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191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19"/>
              <w:jc w:val="right"/>
              <w:rPr>
                <w:rFonts w:ascii="Times New Roman" w:hAnsi="Times New Roman" w:cs="Times New Roman" w:eastAsia="Times New Roman" w:hint="default"/>
                <w:sz w:val="16"/>
                <w:szCs w:val="16"/>
              </w:rPr>
            </w:pPr>
            <w:r>
              <w:rPr>
                <w:rFonts w:ascii="Times New Roman"/>
                <w:spacing w:val="-1"/>
                <w:sz w:val="16"/>
              </w:rPr>
              <w:t>2,002,753.37</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5"/>
              <w:jc w:val="right"/>
              <w:rPr>
                <w:rFonts w:ascii="Times New Roman" w:hAnsi="Times New Roman" w:cs="Times New Roman" w:eastAsia="Times New Roman" w:hint="default"/>
                <w:sz w:val="16"/>
                <w:szCs w:val="16"/>
              </w:rPr>
            </w:pPr>
            <w:r>
              <w:rPr>
                <w:rFonts w:ascii="Times New Roman"/>
                <w:spacing w:val="-1"/>
                <w:sz w:val="16"/>
              </w:rPr>
              <w:t>1,676,530.75</w:t>
            </w:r>
          </w:p>
        </w:tc>
        <w:tc>
          <w:tcPr>
            <w:tcW w:w="2168"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与资产相关</w:t>
            </w:r>
          </w:p>
        </w:tc>
      </w:tr>
      <w:tr>
        <w:trPr>
          <w:trHeight w:val="358" w:hRule="exact"/>
        </w:trPr>
        <w:tc>
          <w:tcPr>
            <w:tcW w:w="3260"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left="1878"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1919"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right="221"/>
              <w:jc w:val="right"/>
              <w:rPr>
                <w:rFonts w:ascii="Times New Roman" w:hAnsi="Times New Roman" w:cs="Times New Roman" w:eastAsia="Times New Roman" w:hint="default"/>
                <w:sz w:val="16"/>
                <w:szCs w:val="16"/>
              </w:rPr>
            </w:pPr>
            <w:r>
              <w:rPr>
                <w:rFonts w:ascii="Times New Roman"/>
                <w:spacing w:val="-1"/>
                <w:sz w:val="16"/>
              </w:rPr>
              <w:t>162,492,770.47</w:t>
            </w:r>
          </w:p>
        </w:tc>
        <w:tc>
          <w:tcPr>
            <w:tcW w:w="1488"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6"/>
                <w:szCs w:val="16"/>
              </w:rPr>
            </w:pPr>
            <w:r>
              <w:rPr>
                <w:rFonts w:ascii="Times New Roman"/>
                <w:spacing w:val="-1"/>
                <w:sz w:val="16"/>
              </w:rPr>
              <w:t>142,312,100.16</w:t>
            </w:r>
          </w:p>
        </w:tc>
        <w:tc>
          <w:tcPr>
            <w:tcW w:w="2168" w:type="dxa"/>
            <w:tcBorders>
              <w:top w:val="nil" w:sz="6" w:space="0" w:color="auto"/>
              <w:left w:val="nil" w:sz="6" w:space="0" w:color="auto"/>
              <w:bottom w:val="single" w:sz="12" w:space="0" w:color="000000"/>
              <w:right w:val="nil" w:sz="6" w:space="0" w:color="auto"/>
            </w:tcBorders>
          </w:tcPr>
          <w:p>
            <w:pPr/>
          </w:p>
        </w:tc>
      </w:tr>
    </w:tbl>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8"/>
          <w:szCs w:val="18"/>
        </w:rPr>
      </w:pPr>
    </w:p>
    <w:tbl>
      <w:tblPr>
        <w:tblW w:w="0" w:type="auto"/>
        <w:jc w:val="left"/>
        <w:tblInd w:w="102" w:type="dxa"/>
        <w:tblLayout w:type="fixed"/>
        <w:tblCellMar>
          <w:top w:w="0" w:type="dxa"/>
          <w:left w:w="0" w:type="dxa"/>
          <w:bottom w:w="0" w:type="dxa"/>
          <w:right w:w="0" w:type="dxa"/>
        </w:tblCellMar>
        <w:tblLook w:val="01E0"/>
      </w:tblPr>
      <w:tblGrid>
        <w:gridCol w:w="4729"/>
        <w:gridCol w:w="2548"/>
        <w:gridCol w:w="1558"/>
      </w:tblGrid>
      <w:tr>
        <w:trPr>
          <w:trHeight w:val="358" w:hRule="exact"/>
        </w:trPr>
        <w:tc>
          <w:tcPr>
            <w:tcW w:w="4729"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四十八</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3"/>
                <w:sz w:val="21"/>
                <w:szCs w:val="21"/>
              </w:rPr>
              <w:t> </w:t>
            </w:r>
            <w:r>
              <w:rPr>
                <w:rFonts w:ascii="宋体" w:hAnsi="宋体" w:cs="宋体" w:eastAsia="宋体" w:hint="default"/>
                <w:b/>
                <w:bCs/>
                <w:sz w:val="21"/>
                <w:szCs w:val="21"/>
              </w:rPr>
              <w:t>投资收益</w:t>
            </w:r>
            <w:r>
              <w:rPr>
                <w:rFonts w:ascii="宋体" w:hAnsi="宋体" w:cs="宋体" w:eastAsia="宋体" w:hint="default"/>
                <w:sz w:val="21"/>
                <w:szCs w:val="21"/>
              </w:rPr>
            </w:r>
          </w:p>
        </w:tc>
        <w:tc>
          <w:tcPr>
            <w:tcW w:w="4105" w:type="dxa"/>
            <w:gridSpan w:val="2"/>
            <w:tcBorders>
              <w:top w:val="nil" w:sz="6" w:space="0" w:color="auto"/>
              <w:left w:val="nil" w:sz="6" w:space="0" w:color="auto"/>
              <w:bottom w:val="single" w:sz="12" w:space="0" w:color="000000"/>
              <w:right w:val="nil" w:sz="6" w:space="0" w:color="auto"/>
            </w:tcBorders>
          </w:tcPr>
          <w:p>
            <w:pPr/>
          </w:p>
        </w:tc>
      </w:tr>
      <w:tr>
        <w:trPr>
          <w:trHeight w:val="362" w:hRule="exact"/>
        </w:trPr>
        <w:tc>
          <w:tcPr>
            <w:tcW w:w="4729"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843" w:right="0"/>
              <w:jc w:val="left"/>
              <w:rPr>
                <w:rFonts w:ascii="宋体" w:hAnsi="宋体" w:cs="宋体" w:eastAsia="宋体" w:hint="default"/>
                <w:sz w:val="16"/>
                <w:szCs w:val="16"/>
              </w:rPr>
            </w:pPr>
            <w:r>
              <w:rPr>
                <w:rFonts w:ascii="宋体" w:hAnsi="宋体" w:cs="宋体" w:eastAsia="宋体" w:hint="default"/>
                <w:sz w:val="16"/>
                <w:szCs w:val="16"/>
              </w:rPr>
              <w:t>项目</w:t>
            </w:r>
          </w:p>
        </w:tc>
        <w:tc>
          <w:tcPr>
            <w:tcW w:w="2548"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1096" w:right="0"/>
              <w:jc w:val="left"/>
              <w:rPr>
                <w:rFonts w:ascii="宋体" w:hAnsi="宋体" w:cs="宋体" w:eastAsia="宋体" w:hint="default"/>
                <w:sz w:val="16"/>
                <w:szCs w:val="16"/>
              </w:rPr>
            </w:pPr>
            <w:r>
              <w:rPr>
                <w:rFonts w:ascii="宋体" w:hAnsi="宋体" w:cs="宋体" w:eastAsia="宋体" w:hint="default"/>
                <w:sz w:val="16"/>
                <w:szCs w:val="16"/>
              </w:rPr>
              <w:t>本期发生额</w:t>
            </w:r>
          </w:p>
        </w:tc>
        <w:tc>
          <w:tcPr>
            <w:tcW w:w="1558"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87" w:right="0"/>
              <w:jc w:val="left"/>
              <w:rPr>
                <w:rFonts w:ascii="宋体" w:hAnsi="宋体" w:cs="宋体" w:eastAsia="宋体" w:hint="default"/>
                <w:sz w:val="16"/>
                <w:szCs w:val="16"/>
              </w:rPr>
            </w:pPr>
            <w:r>
              <w:rPr>
                <w:rFonts w:ascii="宋体" w:hAnsi="宋体" w:cs="宋体" w:eastAsia="宋体" w:hint="default"/>
                <w:sz w:val="16"/>
                <w:szCs w:val="16"/>
              </w:rPr>
              <w:t>上期发生额</w:t>
            </w:r>
          </w:p>
        </w:tc>
      </w:tr>
      <w:tr>
        <w:trPr>
          <w:trHeight w:val="361" w:hRule="exact"/>
        </w:trPr>
        <w:tc>
          <w:tcPr>
            <w:tcW w:w="4729" w:type="dxa"/>
            <w:tcBorders>
              <w:top w:val="nil" w:sz="6" w:space="0" w:color="auto"/>
              <w:left w:val="nil" w:sz="6" w:space="0" w:color="auto"/>
              <w:bottom w:val="nil" w:sz="6" w:space="0" w:color="auto"/>
              <w:right w:val="nil" w:sz="6" w:space="0" w:color="auto"/>
            </w:tcBorders>
          </w:tcPr>
          <w:p>
            <w:pPr>
              <w:pStyle w:val="TableParagraph"/>
              <w:spacing w:line="240" w:lineRule="auto" w:before="47"/>
              <w:ind w:left="755" w:right="0"/>
              <w:jc w:val="left"/>
              <w:rPr>
                <w:rFonts w:ascii="宋体" w:hAnsi="宋体" w:cs="宋体" w:eastAsia="宋体" w:hint="default"/>
                <w:sz w:val="16"/>
                <w:szCs w:val="16"/>
              </w:rPr>
            </w:pPr>
            <w:r>
              <w:rPr>
                <w:rFonts w:ascii="宋体" w:hAnsi="宋体" w:cs="宋体" w:eastAsia="宋体" w:hint="default"/>
                <w:sz w:val="16"/>
                <w:szCs w:val="16"/>
              </w:rPr>
              <w:t>权益法核算的长期股权投资收益</w:t>
            </w:r>
          </w:p>
        </w:tc>
        <w:tc>
          <w:tcPr>
            <w:tcW w:w="2548"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286"/>
              <w:jc w:val="right"/>
              <w:rPr>
                <w:rFonts w:ascii="Times New Roman" w:hAnsi="Times New Roman" w:cs="Times New Roman" w:eastAsia="Times New Roman" w:hint="default"/>
                <w:sz w:val="16"/>
                <w:szCs w:val="16"/>
              </w:rPr>
            </w:pPr>
            <w:r>
              <w:rPr>
                <w:rFonts w:ascii="Times New Roman"/>
                <w:spacing w:val="-1"/>
                <w:sz w:val="16"/>
              </w:rPr>
              <w:t>-2,545,048.37</w:t>
            </w:r>
          </w:p>
        </w:tc>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104"/>
              <w:jc w:val="right"/>
              <w:rPr>
                <w:rFonts w:ascii="Times New Roman" w:hAnsi="Times New Roman" w:cs="Times New Roman" w:eastAsia="Times New Roman" w:hint="default"/>
                <w:sz w:val="16"/>
                <w:szCs w:val="16"/>
              </w:rPr>
            </w:pPr>
            <w:r>
              <w:rPr>
                <w:rFonts w:ascii="Times New Roman"/>
                <w:spacing w:val="-1"/>
                <w:sz w:val="16"/>
              </w:rPr>
              <w:t>9,125,183.29</w:t>
            </w:r>
          </w:p>
        </w:tc>
      </w:tr>
      <w:tr>
        <w:trPr>
          <w:trHeight w:val="353" w:hRule="exact"/>
        </w:trPr>
        <w:tc>
          <w:tcPr>
            <w:tcW w:w="472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55" w:right="0"/>
              <w:jc w:val="left"/>
              <w:rPr>
                <w:rFonts w:ascii="宋体" w:hAnsi="宋体" w:cs="宋体" w:eastAsia="宋体" w:hint="default"/>
                <w:sz w:val="16"/>
                <w:szCs w:val="16"/>
              </w:rPr>
            </w:pPr>
            <w:r>
              <w:rPr>
                <w:rFonts w:ascii="宋体" w:hAnsi="宋体" w:cs="宋体" w:eastAsia="宋体" w:hint="default"/>
                <w:sz w:val="16"/>
                <w:szCs w:val="16"/>
              </w:rPr>
              <w:t>处置长期股权投资产生的投资收益</w:t>
            </w:r>
          </w:p>
        </w:tc>
        <w:tc>
          <w:tcPr>
            <w:tcW w:w="254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85"/>
              <w:jc w:val="right"/>
              <w:rPr>
                <w:rFonts w:ascii="Times New Roman" w:hAnsi="Times New Roman" w:cs="Times New Roman" w:eastAsia="Times New Roman" w:hint="default"/>
                <w:sz w:val="16"/>
                <w:szCs w:val="16"/>
              </w:rPr>
            </w:pPr>
            <w:r>
              <w:rPr>
                <w:rFonts w:ascii="Times New Roman"/>
                <w:spacing w:val="-1"/>
                <w:sz w:val="16"/>
              </w:rPr>
              <w:t>38,478,347.36</w:t>
            </w:r>
          </w:p>
        </w:tc>
        <w:tc>
          <w:tcPr>
            <w:tcW w:w="1558" w:type="dxa"/>
            <w:tcBorders>
              <w:top w:val="nil" w:sz="6" w:space="0" w:color="auto"/>
              <w:left w:val="nil" w:sz="6" w:space="0" w:color="auto"/>
              <w:bottom w:val="nil" w:sz="6" w:space="0" w:color="auto"/>
              <w:right w:val="nil" w:sz="6" w:space="0" w:color="auto"/>
            </w:tcBorders>
          </w:tcPr>
          <w:p>
            <w:pPr/>
          </w:p>
        </w:tc>
      </w:tr>
      <w:tr>
        <w:trPr>
          <w:trHeight w:val="353" w:hRule="exact"/>
        </w:trPr>
        <w:tc>
          <w:tcPr>
            <w:tcW w:w="472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55" w:right="0"/>
              <w:jc w:val="left"/>
              <w:rPr>
                <w:rFonts w:ascii="宋体" w:hAnsi="宋体" w:cs="宋体" w:eastAsia="宋体" w:hint="default"/>
                <w:sz w:val="16"/>
                <w:szCs w:val="16"/>
              </w:rPr>
            </w:pPr>
            <w:r>
              <w:rPr>
                <w:rFonts w:ascii="宋体" w:hAnsi="宋体" w:cs="宋体" w:eastAsia="宋体" w:hint="default"/>
                <w:sz w:val="16"/>
                <w:szCs w:val="16"/>
              </w:rPr>
              <w:t>可供出售金融资产在持有期间的投资收益</w:t>
            </w:r>
          </w:p>
        </w:tc>
        <w:tc>
          <w:tcPr>
            <w:tcW w:w="254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85"/>
              <w:jc w:val="right"/>
              <w:rPr>
                <w:rFonts w:ascii="Times New Roman" w:hAnsi="Times New Roman" w:cs="Times New Roman" w:eastAsia="Times New Roman" w:hint="default"/>
                <w:sz w:val="16"/>
                <w:szCs w:val="16"/>
              </w:rPr>
            </w:pPr>
            <w:r>
              <w:rPr>
                <w:rFonts w:ascii="Times New Roman"/>
                <w:spacing w:val="-1"/>
                <w:sz w:val="16"/>
              </w:rPr>
              <w:t>19,838,442.84</w:t>
            </w:r>
          </w:p>
        </w:tc>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4"/>
              <w:jc w:val="right"/>
              <w:rPr>
                <w:rFonts w:ascii="Times New Roman" w:hAnsi="Times New Roman" w:cs="Times New Roman" w:eastAsia="Times New Roman" w:hint="default"/>
                <w:sz w:val="16"/>
                <w:szCs w:val="16"/>
              </w:rPr>
            </w:pPr>
            <w:r>
              <w:rPr>
                <w:rFonts w:ascii="Times New Roman"/>
                <w:spacing w:val="-1"/>
                <w:sz w:val="16"/>
              </w:rPr>
              <w:t>45,292,157.75</w:t>
            </w:r>
          </w:p>
        </w:tc>
      </w:tr>
      <w:tr>
        <w:trPr>
          <w:trHeight w:val="353" w:hRule="exact"/>
        </w:trPr>
        <w:tc>
          <w:tcPr>
            <w:tcW w:w="472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55" w:right="0"/>
              <w:jc w:val="left"/>
              <w:rPr>
                <w:rFonts w:ascii="宋体" w:hAnsi="宋体" w:cs="宋体" w:eastAsia="宋体" w:hint="default"/>
                <w:sz w:val="16"/>
                <w:szCs w:val="16"/>
              </w:rPr>
            </w:pPr>
            <w:r>
              <w:rPr>
                <w:rFonts w:ascii="宋体" w:hAnsi="宋体" w:cs="宋体" w:eastAsia="宋体" w:hint="default"/>
                <w:sz w:val="16"/>
                <w:szCs w:val="16"/>
              </w:rPr>
              <w:t>处置可供出售金融资产取得的投资收益</w:t>
            </w:r>
          </w:p>
        </w:tc>
        <w:tc>
          <w:tcPr>
            <w:tcW w:w="254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86"/>
              <w:jc w:val="right"/>
              <w:rPr>
                <w:rFonts w:ascii="Times New Roman" w:hAnsi="Times New Roman" w:cs="Times New Roman" w:eastAsia="Times New Roman" w:hint="default"/>
                <w:sz w:val="16"/>
                <w:szCs w:val="16"/>
              </w:rPr>
            </w:pPr>
            <w:r>
              <w:rPr>
                <w:rFonts w:ascii="Times New Roman"/>
                <w:spacing w:val="-1"/>
                <w:sz w:val="16"/>
              </w:rPr>
              <w:t>751,580,825.29</w:t>
            </w:r>
          </w:p>
        </w:tc>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5"/>
              <w:jc w:val="right"/>
              <w:rPr>
                <w:rFonts w:ascii="Times New Roman" w:hAnsi="Times New Roman" w:cs="Times New Roman" w:eastAsia="Times New Roman" w:hint="default"/>
                <w:sz w:val="16"/>
                <w:szCs w:val="16"/>
              </w:rPr>
            </w:pPr>
            <w:r>
              <w:rPr>
                <w:rFonts w:ascii="Times New Roman"/>
                <w:spacing w:val="-1"/>
                <w:sz w:val="16"/>
              </w:rPr>
              <w:t>249,529,320.64</w:t>
            </w:r>
          </w:p>
        </w:tc>
      </w:tr>
      <w:tr>
        <w:trPr>
          <w:trHeight w:val="353" w:hRule="exact"/>
        </w:trPr>
        <w:tc>
          <w:tcPr>
            <w:tcW w:w="472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55"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254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85"/>
              <w:jc w:val="right"/>
              <w:rPr>
                <w:rFonts w:ascii="Times New Roman" w:hAnsi="Times New Roman" w:cs="Times New Roman" w:eastAsia="Times New Roman" w:hint="default"/>
                <w:sz w:val="16"/>
                <w:szCs w:val="16"/>
              </w:rPr>
            </w:pPr>
            <w:r>
              <w:rPr>
                <w:rFonts w:ascii="Times New Roman"/>
                <w:spacing w:val="-1"/>
                <w:sz w:val="16"/>
              </w:rPr>
              <w:t>5,174,368.20</w:t>
            </w:r>
          </w:p>
        </w:tc>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4"/>
              <w:jc w:val="right"/>
              <w:rPr>
                <w:rFonts w:ascii="Times New Roman" w:hAnsi="Times New Roman" w:cs="Times New Roman" w:eastAsia="Times New Roman" w:hint="default"/>
                <w:sz w:val="16"/>
                <w:szCs w:val="16"/>
              </w:rPr>
            </w:pPr>
            <w:r>
              <w:rPr>
                <w:rFonts w:ascii="Times New Roman"/>
                <w:spacing w:val="-1"/>
                <w:sz w:val="16"/>
              </w:rPr>
              <w:t>4,340,514.47</w:t>
            </w:r>
          </w:p>
        </w:tc>
      </w:tr>
      <w:tr>
        <w:trPr>
          <w:trHeight w:val="357" w:hRule="exact"/>
        </w:trPr>
        <w:tc>
          <w:tcPr>
            <w:tcW w:w="4729"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left="284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548"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286"/>
              <w:jc w:val="right"/>
              <w:rPr>
                <w:rFonts w:ascii="Times New Roman" w:hAnsi="Times New Roman" w:cs="Times New Roman" w:eastAsia="Times New Roman" w:hint="default"/>
                <w:sz w:val="16"/>
                <w:szCs w:val="16"/>
              </w:rPr>
            </w:pPr>
            <w:r>
              <w:rPr>
                <w:rFonts w:ascii="Times New Roman"/>
                <w:spacing w:val="-1"/>
                <w:sz w:val="16"/>
              </w:rPr>
              <w:t>812,526,935.32</w:t>
            </w:r>
          </w:p>
        </w:tc>
        <w:tc>
          <w:tcPr>
            <w:tcW w:w="1558"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105"/>
              <w:jc w:val="right"/>
              <w:rPr>
                <w:rFonts w:ascii="Times New Roman" w:hAnsi="Times New Roman" w:cs="Times New Roman" w:eastAsia="Times New Roman" w:hint="default"/>
                <w:sz w:val="16"/>
                <w:szCs w:val="16"/>
              </w:rPr>
            </w:pPr>
            <w:r>
              <w:rPr>
                <w:rFonts w:ascii="Times New Roman"/>
                <w:spacing w:val="-1"/>
                <w:sz w:val="16"/>
              </w:rPr>
              <w:t>308,287,176.15</w:t>
            </w:r>
          </w:p>
        </w:tc>
      </w:tr>
    </w:tbl>
    <w:p>
      <w:pPr>
        <w:pStyle w:val="BodyText"/>
        <w:spacing w:line="240" w:lineRule="auto" w:before="78"/>
        <w:ind w:left="851" w:right="3681"/>
        <w:jc w:val="left"/>
      </w:pPr>
      <w:r>
        <w:rPr/>
        <w:pict>
          <v:group style="position:absolute;margin-left:119.520004pt;margin-top:-125.436371pt;width:411.55pt;height:123.2pt;mso-position-horizontal-relative:page;mso-position-vertical-relative:paragraph;z-index:-1378312" coordorigin="2390,-2509" coordsize="8231,2464">
            <v:shape style="position:absolute;left:7117;top:-2509;width:10;height:28" type="#_x0000_t75" stroked="false">
              <v:imagedata r:id="rId35" o:title=""/>
            </v:shape>
            <v:shape style="position:absolute;left:8855;top:-2509;width:10;height:28" type="#_x0000_t75" stroked="false">
              <v:imagedata r:id="rId35" o:title=""/>
            </v:shape>
            <v:shape style="position:absolute;left:7098;top:-2500;width:1786;height:354" type="#_x0000_t75" stroked="false">
              <v:imagedata r:id="rId324" o:title=""/>
            </v:shape>
            <v:shape style="position:absolute;left:2390;top:-2185;width:8231;height:2140" type="#_x0000_t75" stroked="false">
              <v:imagedata r:id="rId325" o:title=""/>
            </v:shape>
            <w10:wrap type="none"/>
          </v:group>
        </w:pict>
      </w:r>
      <w:r>
        <w:rPr/>
        <w:t>说明：</w:t>
      </w:r>
    </w:p>
    <w:p>
      <w:pPr>
        <w:pStyle w:val="BodyText"/>
        <w:spacing w:line="240" w:lineRule="auto" w:before="126"/>
        <w:ind w:left="851" w:right="1793"/>
        <w:jc w:val="left"/>
      </w:pPr>
      <w:r>
        <w:rPr>
          <w:rFonts w:ascii="Times New Roman" w:hAnsi="Times New Roman" w:cs="Times New Roman" w:eastAsia="Times New Roman" w:hint="default"/>
        </w:rPr>
        <w:t>1</w:t>
      </w:r>
      <w:r>
        <w:rPr/>
        <w:t>、可供出售金融资产在持有期间的投资收益主要为东方证券分红形成投资收益</w:t>
      </w:r>
    </w:p>
    <w:p>
      <w:pPr>
        <w:pStyle w:val="BodyText"/>
        <w:spacing w:line="240" w:lineRule="auto"/>
        <w:ind w:left="851" w:right="3681"/>
        <w:jc w:val="left"/>
      </w:pPr>
      <w:r>
        <w:rPr>
          <w:rFonts w:ascii="Times New Roman" w:hAnsi="Times New Roman" w:cs="Times New Roman" w:eastAsia="Times New Roman" w:hint="default"/>
        </w:rPr>
        <w:t>17,974,156.60</w:t>
      </w:r>
      <w:r>
        <w:rPr>
          <w:rFonts w:ascii="Times New Roman" w:hAnsi="Times New Roman" w:cs="Times New Roman" w:eastAsia="Times New Roman" w:hint="default"/>
          <w:spacing w:val="-5"/>
        </w:rPr>
        <w:t> </w:t>
      </w:r>
      <w:r>
        <w:rPr/>
        <w:t>元；</w:t>
      </w:r>
    </w:p>
    <w:p>
      <w:pPr>
        <w:spacing w:after="0" w:line="240" w:lineRule="auto"/>
        <w:jc w:val="left"/>
        <w:sectPr>
          <w:pgSz w:w="11910" w:h="16840"/>
          <w:pgMar w:header="0" w:footer="1001" w:top="1520" w:bottom="1200" w:left="1660" w:right="0"/>
        </w:sectPr>
      </w:pPr>
    </w:p>
    <w:p>
      <w:pPr>
        <w:spacing w:line="240" w:lineRule="auto" w:before="8"/>
        <w:rPr>
          <w:rFonts w:ascii="宋体" w:hAnsi="宋体" w:cs="宋体" w:eastAsia="宋体" w:hint="default"/>
          <w:sz w:val="13"/>
          <w:szCs w:val="13"/>
        </w:rPr>
      </w:pPr>
    </w:p>
    <w:p>
      <w:pPr>
        <w:pStyle w:val="BodyText"/>
        <w:spacing w:line="331" w:lineRule="auto" w:before="35"/>
        <w:ind w:left="851" w:right="1782"/>
        <w:jc w:val="left"/>
      </w:pPr>
      <w:r>
        <w:rPr>
          <w:rFonts w:ascii="Times New Roman" w:hAnsi="Times New Roman" w:cs="Times New Roman" w:eastAsia="Times New Roman" w:hint="default"/>
          <w:spacing w:val="-2"/>
        </w:rPr>
        <w:t>2</w:t>
      </w:r>
      <w:r>
        <w:rPr>
          <w:spacing w:val="-2"/>
        </w:rPr>
        <w:t>、处置可供出售金融资产取得的投资收益为本期处置持有的部分东方证券股票形成</w:t>
      </w:r>
      <w:r>
        <w:rPr>
          <w:spacing w:val="-99"/>
        </w:rPr>
        <w:t> </w:t>
      </w:r>
      <w:r>
        <w:rPr>
          <w:spacing w:val="-99"/>
        </w:rPr>
      </w:r>
      <w:r>
        <w:rPr/>
        <w:t>投资收益</w:t>
      </w:r>
      <w:r>
        <w:rPr>
          <w:spacing w:val="-56"/>
        </w:rPr>
        <w:t> </w:t>
      </w:r>
      <w:r>
        <w:rPr>
          <w:rFonts w:ascii="Times New Roman" w:hAnsi="Times New Roman" w:cs="Times New Roman" w:eastAsia="Times New Roman" w:hint="default"/>
        </w:rPr>
        <w:t>751,580,825.29</w:t>
      </w:r>
      <w:r>
        <w:rPr>
          <w:rFonts w:ascii="Times New Roman" w:hAnsi="Times New Roman" w:cs="Times New Roman" w:eastAsia="Times New Roman" w:hint="default"/>
          <w:spacing w:val="-4"/>
        </w:rPr>
        <w:t> </w:t>
      </w:r>
      <w:r>
        <w:rPr/>
        <w:t>元；</w:t>
      </w:r>
    </w:p>
    <w:p>
      <w:pPr>
        <w:pStyle w:val="BodyText"/>
        <w:spacing w:line="240" w:lineRule="auto" w:before="20"/>
        <w:ind w:left="851" w:right="3681"/>
        <w:jc w:val="left"/>
      </w:pPr>
      <w:r>
        <w:rPr>
          <w:rFonts w:ascii="Times New Roman" w:hAnsi="Times New Roman" w:cs="Times New Roman" w:eastAsia="Times New Roman" w:hint="default"/>
        </w:rPr>
        <w:t>3</w:t>
      </w:r>
      <w:r>
        <w:rPr>
          <w:spacing w:val="-105"/>
        </w:rPr>
        <w:t>、</w:t>
      </w:r>
      <w:r>
        <w:rPr/>
        <w:t>“其他</w:t>
      </w:r>
      <w:r>
        <w:rPr>
          <w:spacing w:val="-2"/>
        </w:rPr>
        <w:t>”</w:t>
      </w:r>
      <w:r>
        <w:rPr/>
        <w:t>项主要为理财产品收益。</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pStyle w:val="Heading5"/>
        <w:spacing w:line="240" w:lineRule="auto" w:before="0"/>
        <w:ind w:right="3681"/>
        <w:jc w:val="left"/>
        <w:rPr>
          <w:b w:val="0"/>
          <w:bCs w:val="0"/>
        </w:rPr>
      </w:pPr>
      <w:r>
        <w:rPr>
          <w:rFonts w:ascii="Times New Roman" w:hAnsi="Times New Roman" w:cs="Times New Roman" w:eastAsia="Times New Roman" w:hint="default"/>
        </w:rPr>
        <w:t>(</w:t>
      </w:r>
      <w:r>
        <w:rPr/>
        <w:t>四十九</w:t>
      </w:r>
      <w:r>
        <w:rPr>
          <w:rFonts w:ascii="Times New Roman" w:hAnsi="Times New Roman" w:cs="Times New Roman" w:eastAsia="Times New Roman" w:hint="default"/>
        </w:rPr>
        <w:t>)</w:t>
      </w:r>
      <w:r>
        <w:rPr>
          <w:rFonts w:ascii="Times New Roman" w:hAnsi="Times New Roman" w:cs="Times New Roman" w:eastAsia="Times New Roman" w:hint="default"/>
          <w:spacing w:val="20"/>
        </w:rPr>
        <w:t> </w:t>
      </w:r>
      <w:r>
        <w:rPr/>
        <w:t>资产处置收益</w:t>
      </w:r>
      <w:r>
        <w:rPr>
          <w:b w:val="0"/>
          <w:bCs w:val="0"/>
        </w:rPr>
      </w:r>
    </w:p>
    <w:p>
      <w:pPr>
        <w:spacing w:line="1111" w:lineRule="exact"/>
        <w:ind w:left="720" w:right="0" w:firstLine="0"/>
        <w:rPr>
          <w:rFonts w:ascii="宋体" w:hAnsi="宋体" w:cs="宋体" w:eastAsia="宋体" w:hint="default"/>
          <w:sz w:val="20"/>
          <w:szCs w:val="20"/>
        </w:rPr>
      </w:pPr>
      <w:r>
        <w:rPr>
          <w:rFonts w:ascii="宋体" w:hAnsi="宋体" w:cs="宋体" w:eastAsia="宋体" w:hint="default"/>
          <w:position w:val="-21"/>
          <w:sz w:val="20"/>
          <w:szCs w:val="20"/>
        </w:rPr>
        <w:pict>
          <v:group style="width:411.75pt;height:55.6pt;mso-position-horizontal-relative:char;mso-position-vertical-relative:line" coordorigin="0,0" coordsize="8235,1112">
            <v:group style="position:absolute;left:29;top:15;width:1950;height:2" coordorigin="29,15" coordsize="1950,2">
              <v:shape style="position:absolute;left:29;top:15;width:1950;height:2" coordorigin="29,15" coordsize="1950,0" path="m29,15l1979,15e" filled="false" stroked="true" strokeweight="1.5pt" strokecolor="#000000">
                <v:path arrowok="t"/>
              </v:shape>
              <v:shape style="position:absolute;left:1979;top:30;width:10;height:28" type="#_x0000_t75" stroked="false">
                <v:imagedata r:id="rId42" o:title=""/>
              </v:shape>
            </v:group>
            <v:group style="position:absolute;left:1979;top:15;width:1778;height:2" coordorigin="1979,15" coordsize="1778,2">
              <v:shape style="position:absolute;left:1979;top:15;width:1778;height:2" coordorigin="1979,15" coordsize="1778,0" path="m1979,15l3757,15e" filled="false" stroked="true" strokeweight="1.5pt" strokecolor="#000000">
                <v:path arrowok="t"/>
              </v:shape>
              <v:shape style="position:absolute;left:3757;top:30;width:10;height:28" type="#_x0000_t75" stroked="false">
                <v:imagedata r:id="rId42" o:title=""/>
              </v:shape>
            </v:group>
            <v:group style="position:absolute;left:3757;top:15;width:1778;height:2" coordorigin="3757,15" coordsize="1778,2">
              <v:shape style="position:absolute;left:3757;top:15;width:1778;height:2" coordorigin="3757,15" coordsize="1778,0" path="m3757,15l5534,15e" filled="false" stroked="true" strokeweight="1.5pt" strokecolor="#000000">
                <v:path arrowok="t"/>
              </v:shape>
              <v:shape style="position:absolute;left:5534;top:30;width:10;height:28" type="#_x0000_t75" stroked="false">
                <v:imagedata r:id="rId42" o:title=""/>
              </v:shape>
            </v:group>
            <v:group style="position:absolute;left:5534;top:15;width:2684;height:2" coordorigin="5534,15" coordsize="2684,2">
              <v:shape style="position:absolute;left:5534;top:15;width:2684;height:2" coordorigin="5534,15" coordsize="2684,0" path="m5534,15l8217,15e" filled="false" stroked="true" strokeweight="1.5pt" strokecolor="#000000">
                <v:path arrowok="t"/>
              </v:shape>
              <v:shape style="position:absolute;left:1960;top:38;width:3602;height:354" type="#_x0000_t75" stroked="false">
                <v:imagedata r:id="rId326" o:title=""/>
              </v:shape>
            </v:group>
            <v:group style="position:absolute;left:15;top:1096;width:1965;height:2" coordorigin="15,1096" coordsize="1965,2">
              <v:shape style="position:absolute;left:15;top:1096;width:1965;height:2" coordorigin="15,1096" coordsize="1965,0" path="m15,1096l1979,1096e" filled="false" stroked="true" strokeweight="1.5pt" strokecolor="#000000">
                <v:path arrowok="t"/>
              </v:shape>
            </v:group>
            <v:group style="position:absolute;left:1979;top:1096;width:1778;height:2" coordorigin="1979,1096" coordsize="1778,2">
              <v:shape style="position:absolute;left:1979;top:1096;width:1778;height:2" coordorigin="1979,1096" coordsize="1778,0" path="m1979,1096l3757,1096e" filled="false" stroked="true" strokeweight="1.5pt" strokecolor="#000000">
                <v:path arrowok="t"/>
              </v:shape>
            </v:group>
            <v:group style="position:absolute;left:3757;top:1096;width:1778;height:2" coordorigin="3757,1096" coordsize="1778,2">
              <v:shape style="position:absolute;left:3757;top:1096;width:1778;height:2" coordorigin="3757,1096" coordsize="1778,0" path="m3757,1096l5534,1096e" filled="false" stroked="true" strokeweight="1.5pt" strokecolor="#000000">
                <v:path arrowok="t"/>
              </v:shape>
              <v:shape style="position:absolute;left:17;top:360;width:8218;height:721" type="#_x0000_t75" stroked="false">
                <v:imagedata r:id="rId327" o:title=""/>
              </v:shape>
            </v:group>
            <v:group style="position:absolute;left:5534;top:1096;width:2684;height:2" coordorigin="5534,1096" coordsize="2684,2">
              <v:shape style="position:absolute;left:5534;top:1096;width:2684;height:2" coordorigin="5534,1096" coordsize="2684,0" path="m5534,1096l8217,1096e" filled="false" stroked="true" strokeweight="1.5pt" strokecolor="#000000">
                <v:path arrowok="t"/>
              </v:shape>
              <v:shape style="position:absolute;left:847;top:121;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项目</w:t>
                      </w:r>
                      <w:r>
                        <w:rPr>
                          <w:rFonts w:ascii="宋体" w:hAnsi="宋体" w:cs="宋体" w:eastAsia="宋体" w:hint="default"/>
                          <w:sz w:val="16"/>
                          <w:szCs w:val="16"/>
                        </w:rPr>
                      </w:r>
                    </w:p>
                  </w:txbxContent>
                </v:textbox>
                <w10:wrap type="none"/>
              </v:shape>
              <v:shape style="position:absolute;left:2473;top:121;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本期发生额</w:t>
                      </w:r>
                      <w:r>
                        <w:rPr>
                          <w:rFonts w:ascii="宋体" w:hAnsi="宋体" w:cs="宋体" w:eastAsia="宋体" w:hint="default"/>
                          <w:sz w:val="16"/>
                          <w:szCs w:val="16"/>
                        </w:rPr>
                      </w:r>
                    </w:p>
                  </w:txbxContent>
                </v:textbox>
                <w10:wrap type="none"/>
              </v:shape>
              <v:shape style="position:absolute;left:4249;top:121;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上期发生额</w:t>
                      </w:r>
                      <w:r>
                        <w:rPr>
                          <w:rFonts w:ascii="宋体" w:hAnsi="宋体" w:cs="宋体" w:eastAsia="宋体" w:hint="default"/>
                          <w:sz w:val="16"/>
                          <w:szCs w:val="16"/>
                        </w:rPr>
                      </w:r>
                    </w:p>
                  </w:txbxContent>
                </v:textbox>
                <w10:wrap type="none"/>
              </v:shape>
              <v:shape style="position:absolute;left:5836;top:121;width:20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计入当期非经常性损益的金额</w:t>
                      </w:r>
                      <w:r>
                        <w:rPr>
                          <w:rFonts w:ascii="宋体" w:hAnsi="宋体" w:cs="宋体" w:eastAsia="宋体" w:hint="default"/>
                          <w:sz w:val="16"/>
                          <w:szCs w:val="16"/>
                        </w:rPr>
                      </w:r>
                    </w:p>
                  </w:txbxContent>
                </v:textbox>
                <w10:wrap type="none"/>
              </v:shape>
              <v:shape style="position:absolute;left:137;top:475;width:14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非流动资产处置收益</w:t>
                      </w:r>
                      <w:r>
                        <w:rPr>
                          <w:rFonts w:ascii="宋体" w:hAnsi="宋体" w:cs="宋体" w:eastAsia="宋体" w:hint="default"/>
                          <w:sz w:val="16"/>
                          <w:szCs w:val="16"/>
                        </w:rPr>
                      </w:r>
                    </w:p>
                  </w:txbxContent>
                </v:textbox>
                <w10:wrap type="none"/>
              </v:shape>
              <v:shape style="position:absolute;left:2761;top:488;width:894;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-2,295,823.91</w:t>
                      </w:r>
                      <w:r>
                        <w:rPr>
                          <w:rFonts w:ascii="Times New Roman"/>
                          <w:sz w:val="16"/>
                        </w:rPr>
                      </w:r>
                    </w:p>
                  </w:txbxContent>
                </v:textbox>
                <w10:wrap type="none"/>
              </v:shape>
              <v:shape style="position:absolute;left:4589;top:488;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7,034,133.86</w:t>
                      </w:r>
                      <w:r>
                        <w:rPr>
                          <w:rFonts w:ascii="Times New Roman"/>
                          <w:sz w:val="16"/>
                        </w:rPr>
                      </w:r>
                    </w:p>
                  </w:txbxContent>
                </v:textbox>
                <w10:wrap type="none"/>
              </v:shape>
              <v:shape style="position:absolute;left:7215;top:488;width:894;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-2,295,823.91</w:t>
                      </w:r>
                      <w:r>
                        <w:rPr>
                          <w:rFonts w:ascii="Times New Roman"/>
                          <w:sz w:val="16"/>
                        </w:rPr>
                      </w:r>
                    </w:p>
                  </w:txbxContent>
                </v:textbox>
                <w10:wrap type="none"/>
              </v:shape>
              <v:shape style="position:absolute;left:847;top:829;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合计</w:t>
                      </w:r>
                      <w:r>
                        <w:rPr>
                          <w:rFonts w:ascii="宋体" w:hAnsi="宋体" w:cs="宋体" w:eastAsia="宋体" w:hint="default"/>
                          <w:sz w:val="16"/>
                          <w:szCs w:val="16"/>
                        </w:rPr>
                      </w:r>
                    </w:p>
                  </w:txbxContent>
                </v:textbox>
                <w10:wrap type="none"/>
              </v:shape>
              <v:shape style="position:absolute;left:2761;top:842;width:894;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-2,295,823.91</w:t>
                      </w:r>
                      <w:r>
                        <w:rPr>
                          <w:rFonts w:ascii="Times New Roman"/>
                          <w:sz w:val="16"/>
                        </w:rPr>
                      </w:r>
                    </w:p>
                  </w:txbxContent>
                </v:textbox>
                <w10:wrap type="none"/>
              </v:shape>
              <v:shape style="position:absolute;left:4589;top:842;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7,034,133.86</w:t>
                      </w:r>
                      <w:r>
                        <w:rPr>
                          <w:rFonts w:ascii="Times New Roman"/>
                          <w:sz w:val="16"/>
                        </w:rPr>
                      </w:r>
                    </w:p>
                  </w:txbxContent>
                </v:textbox>
                <w10:wrap type="none"/>
              </v:shape>
              <v:shape style="position:absolute;left:7215;top:842;width:894;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-2,295,823.91</w:t>
                      </w:r>
                      <w:r>
                        <w:rPr>
                          <w:rFonts w:ascii="Times New Roman"/>
                          <w:sz w:val="16"/>
                        </w:rPr>
                      </w:r>
                    </w:p>
                  </w:txbxContent>
                </v:textbox>
                <w10:wrap type="none"/>
              </v:shape>
            </v:group>
          </v:group>
        </w:pict>
      </w:r>
      <w:r>
        <w:rPr>
          <w:rFonts w:ascii="宋体" w:hAnsi="宋体" w:cs="宋体" w:eastAsia="宋体" w:hint="default"/>
          <w:position w:val="-21"/>
          <w:sz w:val="20"/>
          <w:szCs w:val="2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6"/>
          <w:szCs w:val="16"/>
        </w:rPr>
      </w:pPr>
    </w:p>
    <w:p>
      <w:pPr>
        <w:pStyle w:val="Heading5"/>
        <w:spacing w:line="240" w:lineRule="auto"/>
        <w:ind w:right="3681"/>
        <w:jc w:val="left"/>
        <w:rPr>
          <w:b w:val="0"/>
          <w:bCs w:val="0"/>
        </w:rPr>
      </w:pPr>
      <w:r>
        <w:rPr/>
        <w:pict>
          <v:group style="position:absolute;margin-left:119.010002pt;margin-top:17.073891pt;width:412.15pt;height:118.95pt;mso-position-horizontal-relative:page;mso-position-vertical-relative:paragraph;z-index:-1377568" coordorigin="2380,341" coordsize="8243,2379">
            <v:group style="position:absolute;left:2410;top:356;width:2927;height:2" coordorigin="2410,356" coordsize="2927,2">
              <v:shape style="position:absolute;left:2410;top:356;width:2927;height:2" coordorigin="2410,356" coordsize="2927,0" path="m2410,356l5336,356e" filled="false" stroked="true" strokeweight="1.5pt" strokecolor="#000000">
                <v:path arrowok="t"/>
              </v:shape>
              <v:shape style="position:absolute;left:5336;top:371;width:10;height:28" type="#_x0000_t75" stroked="false">
                <v:imagedata r:id="rId96" o:title=""/>
              </v:shape>
            </v:group>
            <v:group style="position:absolute;left:5336;top:356;width:1571;height:2" coordorigin="5336,356" coordsize="1571,2">
              <v:shape style="position:absolute;left:5336;top:356;width:1571;height:2" coordorigin="5336,356" coordsize="1571,0" path="m5336,356l6907,356e" filled="false" stroked="true" strokeweight="1.5pt" strokecolor="#000000">
                <v:path arrowok="t"/>
              </v:shape>
              <v:shape style="position:absolute;left:6907;top:371;width:10;height:28" type="#_x0000_t75" stroked="false">
                <v:imagedata r:id="rId96" o:title=""/>
              </v:shape>
            </v:group>
            <v:group style="position:absolute;left:6907;top:356;width:1844;height:2" coordorigin="6907,356" coordsize="1844,2">
              <v:shape style="position:absolute;left:6907;top:356;width:1844;height:2" coordorigin="6907,356" coordsize="1844,0" path="m6907,356l8750,356e" filled="false" stroked="true" strokeweight="1.5pt" strokecolor="#000000">
                <v:path arrowok="t"/>
              </v:shape>
              <v:shape style="position:absolute;left:8750;top:371;width:10;height:28" type="#_x0000_t75" stroked="false">
                <v:imagedata r:id="rId96" o:title=""/>
              </v:shape>
            </v:group>
            <v:group style="position:absolute;left:8750;top:356;width:1847;height:2" coordorigin="8750,356" coordsize="1847,2">
              <v:shape style="position:absolute;left:8750;top:356;width:1847;height:2" coordorigin="8750,356" coordsize="1847,0" path="m8750,356l10597,356e" filled="false" stroked="true" strokeweight="1.5pt" strokecolor="#000000">
                <v:path arrowok="t"/>
              </v:shape>
              <v:shape style="position:absolute;left:5317;top:380;width:3462;height:562" type="#_x0000_t75" stroked="false">
                <v:imagedata r:id="rId328" o:title=""/>
              </v:shape>
            </v:group>
            <v:group style="position:absolute;left:2395;top:2705;width:2942;height:2" coordorigin="2395,2705" coordsize="2942,2">
              <v:shape style="position:absolute;left:2395;top:2705;width:2942;height:2" coordorigin="2395,2705" coordsize="2942,0" path="m2395,2705l5336,2705e" filled="false" stroked="true" strokeweight="1.5pt" strokecolor="#000000">
                <v:path arrowok="t"/>
              </v:shape>
            </v:group>
            <v:group style="position:absolute;left:5336;top:2705;width:1571;height:2" coordorigin="5336,2705" coordsize="1571,2">
              <v:shape style="position:absolute;left:5336;top:2705;width:1571;height:2" coordorigin="5336,2705" coordsize="1571,0" path="m5336,2705l6907,2705e" filled="false" stroked="true" strokeweight="1.5pt" strokecolor="#000000">
                <v:path arrowok="t"/>
              </v:shape>
            </v:group>
            <v:group style="position:absolute;left:6907;top:2705;width:1844;height:2" coordorigin="6907,2705" coordsize="1844,2">
              <v:shape style="position:absolute;left:6907;top:2705;width:1844;height:2" coordorigin="6907,2705" coordsize="1844,0" path="m6907,2705l8750,2705e" filled="false" stroked="true" strokeweight="1.5pt" strokecolor="#000000">
                <v:path arrowok="t"/>
              </v:shape>
              <v:shape style="position:absolute;left:2390;top:903;width:8232;height:1787" type="#_x0000_t75" stroked="false">
                <v:imagedata r:id="rId329" o:title=""/>
              </v:shape>
            </v:group>
            <v:group style="position:absolute;left:8750;top:2705;width:1847;height:2" coordorigin="8750,2705" coordsize="1847,2">
              <v:shape style="position:absolute;left:8750;top:2705;width:1847;height:2" coordorigin="8750,2705" coordsize="1847,0" path="m8750,2705l10597,2705e" filled="false" stroked="true" strokeweight="1.5pt" strokecolor="#000000">
                <v:path arrowok="t"/>
              </v:shape>
              <v:shape style="position:absolute;left:3715;top:567;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项目</w:t>
                      </w:r>
                      <w:r>
                        <w:rPr>
                          <w:rFonts w:ascii="宋体" w:hAnsi="宋体" w:cs="宋体" w:eastAsia="宋体" w:hint="default"/>
                          <w:sz w:val="16"/>
                          <w:szCs w:val="16"/>
                        </w:rPr>
                      </w:r>
                    </w:p>
                  </w:txbxContent>
                </v:textbox>
                <w10:wrap type="none"/>
              </v:shape>
              <v:shape style="position:absolute;left:5725;top:567;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本期发生额</w:t>
                      </w:r>
                      <w:r>
                        <w:rPr>
                          <w:rFonts w:ascii="宋体" w:hAnsi="宋体" w:cs="宋体" w:eastAsia="宋体" w:hint="default"/>
                          <w:sz w:val="16"/>
                          <w:szCs w:val="16"/>
                        </w:rPr>
                      </w:r>
                    </w:p>
                  </w:txbxContent>
                </v:textbox>
                <w10:wrap type="none"/>
              </v:shape>
              <v:shape style="position:absolute;left:7432;top:567;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上期发生额</w:t>
                      </w:r>
                      <w:r>
                        <w:rPr>
                          <w:rFonts w:ascii="宋体" w:hAnsi="宋体" w:cs="宋体" w:eastAsia="宋体" w:hint="default"/>
                          <w:sz w:val="16"/>
                          <w:szCs w:val="16"/>
                        </w:rPr>
                      </w:r>
                    </w:p>
                  </w:txbxContent>
                </v:textbox>
                <w10:wrap type="none"/>
              </v:shape>
              <v:shape style="position:absolute;left:8875;top:464;width:1599;height:368" type="#_x0000_t202" filled="false" stroked="false">
                <v:textbox inset="0,0,0,0">
                  <w:txbxContent>
                    <w:p>
                      <w:pPr>
                        <w:spacing w:line="159" w:lineRule="exact" w:before="0"/>
                        <w:ind w:left="0" w:right="0" w:firstLine="0"/>
                        <w:jc w:val="center"/>
                        <w:rPr>
                          <w:rFonts w:ascii="宋体" w:hAnsi="宋体" w:cs="宋体" w:eastAsia="宋体" w:hint="default"/>
                          <w:sz w:val="16"/>
                          <w:szCs w:val="16"/>
                        </w:rPr>
                      </w:pPr>
                      <w:r>
                        <w:rPr>
                          <w:rFonts w:ascii="宋体" w:hAnsi="宋体" w:cs="宋体" w:eastAsia="宋体" w:hint="default"/>
                          <w:w w:val="95"/>
                          <w:sz w:val="16"/>
                          <w:szCs w:val="16"/>
                        </w:rPr>
                        <w:t>计入当期非经常性损益</w:t>
                      </w:r>
                      <w:r>
                        <w:rPr>
                          <w:rFonts w:ascii="宋体" w:hAnsi="宋体" w:cs="宋体" w:eastAsia="宋体" w:hint="default"/>
                          <w:sz w:val="16"/>
                          <w:szCs w:val="16"/>
                        </w:rPr>
                      </w:r>
                    </w:p>
                    <w:p>
                      <w:pPr>
                        <w:spacing w:line="208" w:lineRule="exact" w:before="0"/>
                        <w:ind w:left="1" w:right="0" w:firstLine="0"/>
                        <w:jc w:val="center"/>
                        <w:rPr>
                          <w:rFonts w:ascii="宋体" w:hAnsi="宋体" w:cs="宋体" w:eastAsia="宋体" w:hint="default"/>
                          <w:sz w:val="16"/>
                          <w:szCs w:val="16"/>
                        </w:rPr>
                      </w:pPr>
                      <w:r>
                        <w:rPr>
                          <w:rFonts w:ascii="宋体" w:hAnsi="宋体" w:cs="宋体" w:eastAsia="宋体" w:hint="default"/>
                          <w:sz w:val="16"/>
                          <w:szCs w:val="16"/>
                        </w:rPr>
                        <w:t>的金额</w:t>
                      </w:r>
                    </w:p>
                  </w:txbxContent>
                </v:textbox>
                <w10:wrap type="none"/>
              </v:shape>
            </v:group>
            <w10:wrap type="none"/>
          </v:group>
        </w:pict>
      </w:r>
      <w:r>
        <w:rPr>
          <w:rFonts w:ascii="Times New Roman" w:hAnsi="Times New Roman" w:cs="Times New Roman" w:eastAsia="Times New Roman" w:hint="default"/>
        </w:rPr>
        <w:t>(</w:t>
      </w:r>
      <w:r>
        <w:rPr/>
        <w:t>五十</w:t>
      </w:r>
      <w:r>
        <w:rPr>
          <w:rFonts w:ascii="Times New Roman" w:hAnsi="Times New Roman" w:cs="Times New Roman" w:eastAsia="Times New Roman" w:hint="default"/>
        </w:rPr>
        <w:t>) </w:t>
      </w:r>
      <w:r>
        <w:rPr>
          <w:rFonts w:ascii="Times New Roman" w:hAnsi="Times New Roman" w:cs="Times New Roman" w:eastAsia="Times New Roman" w:hint="default"/>
          <w:spacing w:val="44"/>
        </w:rPr>
        <w:t> </w:t>
      </w:r>
      <w:r>
        <w:rPr/>
        <w:t>营业外收入</w:t>
      </w:r>
      <w:r>
        <w:rPr>
          <w:b w:val="0"/>
          <w:bCs w:val="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5"/>
          <w:szCs w:val="25"/>
        </w:rPr>
      </w:pPr>
    </w:p>
    <w:tbl>
      <w:tblPr>
        <w:tblW w:w="0" w:type="auto"/>
        <w:jc w:val="left"/>
        <w:tblInd w:w="787" w:type="dxa"/>
        <w:tblLayout w:type="fixed"/>
        <w:tblCellMar>
          <w:top w:w="0" w:type="dxa"/>
          <w:left w:w="0" w:type="dxa"/>
          <w:bottom w:w="0" w:type="dxa"/>
          <w:right w:w="0" w:type="dxa"/>
        </w:tblCellMar>
        <w:tblLook w:val="01E0"/>
      </w:tblPr>
      <w:tblGrid>
        <w:gridCol w:w="2912"/>
        <w:gridCol w:w="1946"/>
        <w:gridCol w:w="1843"/>
        <w:gridCol w:w="1412"/>
      </w:tblGrid>
      <w:tr>
        <w:trPr>
          <w:trHeight w:val="364" w:hRule="exact"/>
        </w:trPr>
        <w:tc>
          <w:tcPr>
            <w:tcW w:w="291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70" w:right="0"/>
              <w:jc w:val="left"/>
              <w:rPr>
                <w:rFonts w:ascii="宋体" w:hAnsi="宋体" w:cs="宋体" w:eastAsia="宋体" w:hint="default"/>
                <w:sz w:val="16"/>
                <w:szCs w:val="16"/>
              </w:rPr>
            </w:pPr>
            <w:r>
              <w:rPr>
                <w:rFonts w:ascii="宋体" w:hAnsi="宋体" w:cs="宋体" w:eastAsia="宋体" w:hint="default"/>
                <w:sz w:val="16"/>
                <w:szCs w:val="16"/>
              </w:rPr>
              <w:t>非流动资产毁损报废利得</w:t>
            </w:r>
          </w:p>
        </w:tc>
        <w:tc>
          <w:tcPr>
            <w:tcW w:w="1946"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500"/>
              <w:jc w:val="right"/>
              <w:rPr>
                <w:rFonts w:ascii="Times New Roman" w:hAnsi="Times New Roman" w:cs="Times New Roman" w:eastAsia="Times New Roman" w:hint="default"/>
                <w:sz w:val="16"/>
                <w:szCs w:val="16"/>
              </w:rPr>
            </w:pPr>
            <w:r>
              <w:rPr>
                <w:rFonts w:ascii="Times New Roman"/>
                <w:spacing w:val="-1"/>
                <w:sz w:val="16"/>
              </w:rPr>
              <w:t>303.33</w:t>
            </w:r>
          </w:p>
        </w:tc>
        <w:tc>
          <w:tcPr>
            <w:tcW w:w="1843" w:type="dxa"/>
            <w:tcBorders>
              <w:top w:val="nil" w:sz="6" w:space="0" w:color="auto"/>
              <w:left w:val="nil" w:sz="6" w:space="0" w:color="auto"/>
              <w:bottom w:val="nil" w:sz="6" w:space="0" w:color="auto"/>
              <w:right w:val="nil" w:sz="6" w:space="0" w:color="auto"/>
            </w:tcBorders>
          </w:tcPr>
          <w:p>
            <w:pPr/>
          </w:p>
        </w:tc>
        <w:tc>
          <w:tcPr>
            <w:tcW w:w="1412"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68"/>
              <w:jc w:val="right"/>
              <w:rPr>
                <w:rFonts w:ascii="Times New Roman" w:hAnsi="Times New Roman" w:cs="Times New Roman" w:eastAsia="Times New Roman" w:hint="default"/>
                <w:sz w:val="16"/>
                <w:szCs w:val="16"/>
              </w:rPr>
            </w:pPr>
            <w:r>
              <w:rPr>
                <w:rFonts w:ascii="Times New Roman"/>
                <w:spacing w:val="-1"/>
                <w:sz w:val="16"/>
              </w:rPr>
              <w:t>303.33</w:t>
            </w:r>
          </w:p>
        </w:tc>
      </w:tr>
      <w:tr>
        <w:trPr>
          <w:trHeight w:val="353" w:hRule="exact"/>
        </w:trPr>
        <w:tc>
          <w:tcPr>
            <w:tcW w:w="291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接受捐赠</w:t>
            </w:r>
          </w:p>
        </w:tc>
        <w:tc>
          <w:tcPr>
            <w:tcW w:w="1946"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99"/>
              <w:jc w:val="right"/>
              <w:rPr>
                <w:rFonts w:ascii="Times New Roman" w:hAnsi="Times New Roman" w:cs="Times New Roman" w:eastAsia="Times New Roman" w:hint="default"/>
                <w:sz w:val="16"/>
                <w:szCs w:val="16"/>
              </w:rPr>
            </w:pPr>
            <w:r>
              <w:rPr>
                <w:rFonts w:ascii="Times New Roman"/>
                <w:spacing w:val="-1"/>
                <w:sz w:val="16"/>
              </w:rPr>
              <w:t>9,700.00</w:t>
            </w:r>
          </w:p>
        </w:tc>
        <w:tc>
          <w:tcPr>
            <w:tcW w:w="1412" w:type="dxa"/>
            <w:tcBorders>
              <w:top w:val="nil" w:sz="6" w:space="0" w:color="auto"/>
              <w:left w:val="nil" w:sz="6" w:space="0" w:color="auto"/>
              <w:bottom w:val="nil" w:sz="6" w:space="0" w:color="auto"/>
              <w:right w:val="nil" w:sz="6" w:space="0" w:color="auto"/>
            </w:tcBorders>
          </w:tcPr>
          <w:p>
            <w:pPr/>
          </w:p>
        </w:tc>
      </w:tr>
      <w:tr>
        <w:trPr>
          <w:trHeight w:val="353" w:hRule="exact"/>
        </w:trPr>
        <w:tc>
          <w:tcPr>
            <w:tcW w:w="291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与企业日常活动无关的政府补助</w:t>
            </w:r>
          </w:p>
        </w:tc>
        <w:tc>
          <w:tcPr>
            <w:tcW w:w="194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99"/>
              <w:jc w:val="right"/>
              <w:rPr>
                <w:rFonts w:ascii="Times New Roman" w:hAnsi="Times New Roman" w:cs="Times New Roman" w:eastAsia="Times New Roman" w:hint="default"/>
                <w:sz w:val="16"/>
                <w:szCs w:val="16"/>
              </w:rPr>
            </w:pPr>
            <w:r>
              <w:rPr>
                <w:rFonts w:ascii="Times New Roman"/>
                <w:spacing w:val="-1"/>
                <w:sz w:val="16"/>
              </w:rPr>
              <w:t>17,000.00</w:t>
            </w:r>
          </w:p>
        </w:tc>
        <w:tc>
          <w:tcPr>
            <w:tcW w:w="1843" w:type="dxa"/>
            <w:tcBorders>
              <w:top w:val="nil" w:sz="6" w:space="0" w:color="auto"/>
              <w:left w:val="nil" w:sz="6" w:space="0" w:color="auto"/>
              <w:bottom w:val="nil" w:sz="6" w:space="0" w:color="auto"/>
              <w:right w:val="nil" w:sz="6" w:space="0" w:color="auto"/>
            </w:tcBorders>
          </w:tcPr>
          <w:p>
            <w:pPr/>
          </w:p>
        </w:tc>
        <w:tc>
          <w:tcPr>
            <w:tcW w:w="141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17,000.00</w:t>
            </w:r>
          </w:p>
        </w:tc>
      </w:tr>
      <w:tr>
        <w:trPr>
          <w:trHeight w:val="353" w:hRule="exact"/>
        </w:trPr>
        <w:tc>
          <w:tcPr>
            <w:tcW w:w="291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1946"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500"/>
              <w:jc w:val="right"/>
              <w:rPr>
                <w:rFonts w:ascii="Times New Roman" w:hAnsi="Times New Roman" w:cs="Times New Roman" w:eastAsia="Times New Roman" w:hint="default"/>
                <w:sz w:val="16"/>
                <w:szCs w:val="16"/>
              </w:rPr>
            </w:pPr>
            <w:r>
              <w:rPr>
                <w:rFonts w:ascii="Times New Roman"/>
                <w:spacing w:val="-1"/>
                <w:sz w:val="16"/>
              </w:rPr>
              <w:t>3,836,048.53</w:t>
            </w:r>
          </w:p>
        </w:tc>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500"/>
              <w:jc w:val="right"/>
              <w:rPr>
                <w:rFonts w:ascii="Times New Roman" w:hAnsi="Times New Roman" w:cs="Times New Roman" w:eastAsia="Times New Roman" w:hint="default"/>
                <w:sz w:val="16"/>
                <w:szCs w:val="16"/>
              </w:rPr>
            </w:pPr>
            <w:r>
              <w:rPr>
                <w:rFonts w:ascii="Times New Roman"/>
                <w:spacing w:val="-1"/>
                <w:sz w:val="16"/>
              </w:rPr>
              <w:t>9,267,409.06</w:t>
            </w:r>
          </w:p>
        </w:tc>
        <w:tc>
          <w:tcPr>
            <w:tcW w:w="141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3,836,048.53</w:t>
            </w:r>
          </w:p>
        </w:tc>
      </w:tr>
      <w:tr>
        <w:trPr>
          <w:trHeight w:val="357" w:hRule="exact"/>
        </w:trPr>
        <w:tc>
          <w:tcPr>
            <w:tcW w:w="2912"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55"/>
              <w:jc w:val="center"/>
              <w:rPr>
                <w:rFonts w:ascii="宋体" w:hAnsi="宋体" w:cs="宋体" w:eastAsia="宋体" w:hint="default"/>
                <w:sz w:val="16"/>
                <w:szCs w:val="16"/>
              </w:rPr>
            </w:pPr>
            <w:r>
              <w:rPr>
                <w:rFonts w:ascii="宋体" w:hAnsi="宋体" w:cs="宋体" w:eastAsia="宋体" w:hint="default"/>
                <w:sz w:val="16"/>
                <w:szCs w:val="16"/>
              </w:rPr>
              <w:t>合计</w:t>
            </w:r>
          </w:p>
        </w:tc>
        <w:tc>
          <w:tcPr>
            <w:tcW w:w="1946"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99"/>
              <w:jc w:val="right"/>
              <w:rPr>
                <w:rFonts w:ascii="Times New Roman" w:hAnsi="Times New Roman" w:cs="Times New Roman" w:eastAsia="Times New Roman" w:hint="default"/>
                <w:sz w:val="16"/>
                <w:szCs w:val="16"/>
              </w:rPr>
            </w:pPr>
            <w:r>
              <w:rPr>
                <w:rFonts w:ascii="Times New Roman"/>
                <w:spacing w:val="-1"/>
                <w:sz w:val="16"/>
              </w:rPr>
              <w:t>3,853,351.86</w:t>
            </w:r>
          </w:p>
        </w:tc>
        <w:tc>
          <w:tcPr>
            <w:tcW w:w="1843"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500"/>
              <w:jc w:val="right"/>
              <w:rPr>
                <w:rFonts w:ascii="Times New Roman" w:hAnsi="Times New Roman" w:cs="Times New Roman" w:eastAsia="Times New Roman" w:hint="default"/>
                <w:sz w:val="16"/>
                <w:szCs w:val="16"/>
              </w:rPr>
            </w:pPr>
            <w:r>
              <w:rPr>
                <w:rFonts w:ascii="Times New Roman"/>
                <w:spacing w:val="-1"/>
                <w:sz w:val="16"/>
              </w:rPr>
              <w:t>9,277,109.06</w:t>
            </w:r>
          </w:p>
        </w:tc>
        <w:tc>
          <w:tcPr>
            <w:tcW w:w="141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3,853,351.86</w:t>
            </w:r>
          </w:p>
        </w:tc>
      </w:tr>
    </w:tbl>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6"/>
          <w:szCs w:val="16"/>
        </w:rPr>
      </w:pPr>
    </w:p>
    <w:p>
      <w:pPr>
        <w:pStyle w:val="BodyText"/>
        <w:spacing w:line="240" w:lineRule="auto" w:before="35"/>
        <w:ind w:left="851" w:right="3681"/>
        <w:jc w:val="left"/>
      </w:pPr>
      <w:r>
        <w:rPr/>
        <w:t>计入营业外收入的政府补助</w:t>
      </w:r>
    </w:p>
    <w:p>
      <w:pPr>
        <w:spacing w:line="240" w:lineRule="auto" w:before="6"/>
        <w:rPr>
          <w:rFonts w:ascii="宋体" w:hAnsi="宋体" w:cs="宋体" w:eastAsia="宋体" w:hint="default"/>
          <w:sz w:val="2"/>
          <w:szCs w:val="2"/>
        </w:rPr>
      </w:pPr>
    </w:p>
    <w:p>
      <w:pPr>
        <w:spacing w:line="1671" w:lineRule="exact"/>
        <w:ind w:left="720" w:right="0" w:firstLine="0"/>
        <w:rPr>
          <w:rFonts w:ascii="宋体" w:hAnsi="宋体" w:cs="宋体" w:eastAsia="宋体" w:hint="default"/>
          <w:sz w:val="20"/>
          <w:szCs w:val="20"/>
        </w:rPr>
      </w:pPr>
      <w:r>
        <w:rPr>
          <w:rFonts w:ascii="宋体" w:hAnsi="宋体" w:cs="宋体" w:eastAsia="宋体" w:hint="default"/>
          <w:position w:val="-32"/>
          <w:sz w:val="20"/>
          <w:szCs w:val="20"/>
        </w:rPr>
        <w:pict>
          <v:group style="width:412.15pt;height:83.6pt;mso-position-horizontal-relative:char;mso-position-vertical-relative:line" coordorigin="0,0" coordsize="8243,1672">
            <v:group style="position:absolute;left:29;top:15;width:2628;height:2" coordorigin="29,15" coordsize="2628,2">
              <v:shape style="position:absolute;left:29;top:15;width:2628;height:2" coordorigin="29,15" coordsize="2628,0" path="m29,15l2657,15e" filled="false" stroked="true" strokeweight="1.5pt" strokecolor="#000000">
                <v:path arrowok="t"/>
              </v:shape>
              <v:shape style="position:absolute;left:2657;top:30;width:10;height:28" type="#_x0000_t75" stroked="false">
                <v:imagedata r:id="rId67" o:title=""/>
              </v:shape>
            </v:group>
            <v:group style="position:absolute;left:2657;top:15;width:1852;height:2" coordorigin="2657,15" coordsize="1852,2">
              <v:shape style="position:absolute;left:2657;top:15;width:1852;height:2" coordorigin="2657,15" coordsize="1852,0" path="m2657,15l4509,15e" filled="false" stroked="true" strokeweight="1.5pt" strokecolor="#000000">
                <v:path arrowok="t"/>
              </v:shape>
              <v:shape style="position:absolute;left:4509;top:30;width:10;height:28" type="#_x0000_t75" stroked="false">
                <v:imagedata r:id="rId67" o:title=""/>
              </v:shape>
            </v:group>
            <v:group style="position:absolute;left:4509;top:15;width:1852;height:2" coordorigin="4509,15" coordsize="1852,2">
              <v:shape style="position:absolute;left:4509;top:15;width:1852;height:2" coordorigin="4509,15" coordsize="1852,0" path="m4509,15l6361,15e" filled="false" stroked="true" strokeweight="1.5pt" strokecolor="#000000">
                <v:path arrowok="t"/>
              </v:shape>
              <v:shape style="position:absolute;left:6361;top:30;width:10;height:28" type="#_x0000_t75" stroked="false">
                <v:imagedata r:id="rId67" o:title=""/>
              </v:shape>
            </v:group>
            <v:group style="position:absolute;left:6361;top:15;width:1857;height:2" coordorigin="6361,15" coordsize="1857,2">
              <v:shape style="position:absolute;left:6361;top:15;width:1857;height:2" coordorigin="6361,15" coordsize="1857,0" path="m6361,15l8217,15e" filled="false" stroked="true" strokeweight="1.5pt" strokecolor="#000000">
                <v:path arrowok="t"/>
              </v:shape>
              <v:shape style="position:absolute;left:2638;top:38;width:3751;height:562" type="#_x0000_t75" stroked="false">
                <v:imagedata r:id="rId330" o:title=""/>
              </v:shape>
            </v:group>
            <v:group style="position:absolute;left:15;top:1657;width:2643;height:2" coordorigin="15,1657" coordsize="2643,2">
              <v:shape style="position:absolute;left:15;top:1657;width:2643;height:2" coordorigin="15,1657" coordsize="2643,0" path="m15,1657l2657,1657e" filled="false" stroked="true" strokeweight="1.5pt" strokecolor="#000000">
                <v:path arrowok="t"/>
              </v:shape>
            </v:group>
            <v:group style="position:absolute;left:2657;top:1657;width:1852;height:2" coordorigin="2657,1657" coordsize="1852,2">
              <v:shape style="position:absolute;left:2657;top:1657;width:1852;height:2" coordorigin="2657,1657" coordsize="1852,0" path="m2657,1657l4509,1657e" filled="false" stroked="true" strokeweight="1.5pt" strokecolor="#000000">
                <v:path arrowok="t"/>
              </v:shape>
            </v:group>
            <v:group style="position:absolute;left:4509;top:1657;width:1852;height:2" coordorigin="4509,1657" coordsize="1852,2">
              <v:shape style="position:absolute;left:4509;top:1657;width:1852;height:2" coordorigin="4509,1657" coordsize="1852,0" path="m4509,1657l6361,1657e" filled="false" stroked="true" strokeweight="1.5pt" strokecolor="#000000">
                <v:path arrowok="t"/>
              </v:shape>
              <v:shape style="position:absolute;left:10;top:562;width:8232;height:1080" type="#_x0000_t75" stroked="false">
                <v:imagedata r:id="rId331" o:title=""/>
              </v:shape>
            </v:group>
            <v:group style="position:absolute;left:6361;top:1657;width:1857;height:2" coordorigin="6361,1657" coordsize="1857,2">
              <v:shape style="position:absolute;left:6361;top:1657;width:1857;height:2" coordorigin="6361,1657" coordsize="1857,0" path="m6361,1657l8217,1657e" filled="false" stroked="true" strokeweight="1.5pt" strokecolor="#000000">
                <v:path arrowok="t"/>
              </v:shape>
              <v:shape style="position:absolute;left:1025;top:225;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补助项目</w:t>
                      </w:r>
                      <w:r>
                        <w:rPr>
                          <w:rFonts w:ascii="宋体" w:hAnsi="宋体" w:cs="宋体" w:eastAsia="宋体" w:hint="default"/>
                          <w:sz w:val="16"/>
                          <w:szCs w:val="16"/>
                        </w:rPr>
                      </w:r>
                    </w:p>
                  </w:txbxContent>
                </v:textbox>
                <w10:wrap type="none"/>
              </v:shape>
              <v:shape style="position:absolute;left:3107;top:225;width:95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本期发生金额</w:t>
                      </w:r>
                      <w:r>
                        <w:rPr>
                          <w:rFonts w:ascii="宋体" w:hAnsi="宋体" w:cs="宋体" w:eastAsia="宋体" w:hint="default"/>
                          <w:sz w:val="16"/>
                          <w:szCs w:val="16"/>
                        </w:rPr>
                      </w:r>
                    </w:p>
                  </w:txbxContent>
                </v:textbox>
                <w10:wrap type="none"/>
              </v:shape>
              <v:shape style="position:absolute;left:4958;top:225;width:95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上期发生金额</w:t>
                      </w:r>
                      <w:r>
                        <w:rPr>
                          <w:rFonts w:ascii="宋体" w:hAnsi="宋体" w:cs="宋体" w:eastAsia="宋体" w:hint="default"/>
                          <w:sz w:val="16"/>
                          <w:szCs w:val="16"/>
                        </w:rPr>
                      </w:r>
                    </w:p>
                  </w:txbxContent>
                </v:textbox>
                <w10:wrap type="none"/>
              </v:shape>
              <v:shape style="position:absolute;left:6548;top:121;width:1484;height:369" type="#_x0000_t202" filled="false" stroked="false">
                <v:textbox inset="0,0,0,0">
                  <w:txbxContent>
                    <w:p>
                      <w:pPr>
                        <w:spacing w:line="165" w:lineRule="exact" w:before="0"/>
                        <w:ind w:left="0" w:right="0" w:firstLine="0"/>
                        <w:jc w:val="center"/>
                        <w:rPr>
                          <w:rFonts w:ascii="宋体" w:hAnsi="宋体" w:cs="宋体" w:eastAsia="宋体" w:hint="default"/>
                          <w:sz w:val="16"/>
                          <w:szCs w:val="16"/>
                        </w:rPr>
                      </w:pPr>
                      <w:r>
                        <w:rPr>
                          <w:rFonts w:ascii="宋体" w:hAnsi="宋体" w:cs="宋体" w:eastAsia="宋体" w:hint="default"/>
                          <w:w w:val="95"/>
                          <w:sz w:val="16"/>
                          <w:szCs w:val="16"/>
                        </w:rPr>
                        <w:t>与资产相关</w:t>
                      </w:r>
                      <w:r>
                        <w:rPr>
                          <w:rFonts w:ascii="Times New Roman" w:hAnsi="Times New Roman" w:cs="Times New Roman" w:eastAsia="Times New Roman" w:hint="default"/>
                          <w:w w:val="95"/>
                          <w:sz w:val="16"/>
                          <w:szCs w:val="16"/>
                        </w:rPr>
                        <w:t>/</w:t>
                      </w:r>
                      <w:r>
                        <w:rPr>
                          <w:rFonts w:ascii="宋体" w:hAnsi="宋体" w:cs="宋体" w:eastAsia="宋体" w:hint="default"/>
                          <w:w w:val="95"/>
                          <w:sz w:val="16"/>
                          <w:szCs w:val="16"/>
                        </w:rPr>
                        <w:t>与收益相</w:t>
                      </w:r>
                      <w:r>
                        <w:rPr>
                          <w:rFonts w:ascii="宋体" w:hAnsi="宋体" w:cs="宋体" w:eastAsia="宋体" w:hint="default"/>
                          <w:sz w:val="16"/>
                          <w:szCs w:val="16"/>
                        </w:rPr>
                      </w:r>
                    </w:p>
                    <w:p>
                      <w:pPr>
                        <w:spacing w:line="203" w:lineRule="exact" w:before="0"/>
                        <w:ind w:left="1" w:right="0" w:firstLine="0"/>
                        <w:jc w:val="center"/>
                        <w:rPr>
                          <w:rFonts w:ascii="宋体" w:hAnsi="宋体" w:cs="宋体" w:eastAsia="宋体" w:hint="default"/>
                          <w:sz w:val="16"/>
                          <w:szCs w:val="16"/>
                        </w:rPr>
                      </w:pPr>
                      <w:r>
                        <w:rPr>
                          <w:rFonts w:ascii="宋体" w:hAnsi="宋体" w:cs="宋体" w:eastAsia="宋体" w:hint="default"/>
                          <w:w w:val="99"/>
                          <w:sz w:val="16"/>
                          <w:szCs w:val="16"/>
                        </w:rPr>
                        <w:t>关</w:t>
                      </w:r>
                      <w:r>
                        <w:rPr>
                          <w:rFonts w:ascii="宋体" w:hAnsi="宋体" w:cs="宋体" w:eastAsia="宋体" w:hint="default"/>
                          <w:sz w:val="16"/>
                          <w:szCs w:val="16"/>
                        </w:rPr>
                      </w:r>
                    </w:p>
                  </w:txbxContent>
                </v:textbox>
                <w10:wrap type="none"/>
              </v:shape>
              <v:shape style="position:absolute;left:137;top:682;width:1758;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收北京报废车辆政府补贴</w:t>
                      </w:r>
                      <w:r>
                        <w:rPr>
                          <w:rFonts w:ascii="宋体" w:hAnsi="宋体" w:cs="宋体" w:eastAsia="宋体" w:hint="default"/>
                          <w:sz w:val="16"/>
                          <w:szCs w:val="16"/>
                        </w:rPr>
                      </w:r>
                    </w:p>
                  </w:txbxContent>
                </v:textbox>
                <w10:wrap type="none"/>
              </v:shape>
              <v:shape style="position:absolute;left:3845;top:696;width:56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z w:val="16"/>
                        </w:rPr>
                        <w:t>8,000.00</w:t>
                      </w:r>
                    </w:p>
                  </w:txbxContent>
                </v:textbox>
                <w10:wrap type="none"/>
              </v:shape>
              <v:shape style="position:absolute;left:6890;top:682;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与收益相关</w:t>
                      </w:r>
                      <w:r>
                        <w:rPr>
                          <w:rFonts w:ascii="宋体" w:hAnsi="宋体" w:cs="宋体" w:eastAsia="宋体" w:hint="default"/>
                          <w:sz w:val="16"/>
                          <w:szCs w:val="16"/>
                        </w:rPr>
                      </w:r>
                    </w:p>
                  </w:txbxContent>
                </v:textbox>
                <w10:wrap type="none"/>
              </v:shape>
              <v:shape style="position:absolute;left:137;top:1035;width:12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收中巴车处置补贴</w:t>
                      </w:r>
                      <w:r>
                        <w:rPr>
                          <w:rFonts w:ascii="宋体" w:hAnsi="宋体" w:cs="宋体" w:eastAsia="宋体" w:hint="default"/>
                          <w:sz w:val="16"/>
                          <w:szCs w:val="16"/>
                        </w:rPr>
                      </w:r>
                    </w:p>
                  </w:txbxContent>
                </v:textbox>
                <w10:wrap type="none"/>
              </v:shape>
              <v:shape style="position:absolute;left:3845;top:1050;width:56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z w:val="16"/>
                        </w:rPr>
                        <w:t>9,000.00</w:t>
                      </w:r>
                    </w:p>
                  </w:txbxContent>
                </v:textbox>
                <w10:wrap type="none"/>
              </v:shape>
              <v:shape style="position:absolute;left:6890;top:1035;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与收益相关</w:t>
                      </w:r>
                      <w:r>
                        <w:rPr>
                          <w:rFonts w:ascii="宋体" w:hAnsi="宋体" w:cs="宋体" w:eastAsia="宋体" w:hint="default"/>
                          <w:sz w:val="16"/>
                          <w:szCs w:val="16"/>
                        </w:rPr>
                      </w:r>
                    </w:p>
                  </w:txbxContent>
                </v:textbox>
                <w10:wrap type="none"/>
              </v:shape>
              <v:shape style="position:absolute;left:1185;top:1389;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合计</w:t>
                      </w:r>
                      <w:r>
                        <w:rPr>
                          <w:rFonts w:ascii="宋体" w:hAnsi="宋体" w:cs="宋体" w:eastAsia="宋体" w:hint="default"/>
                          <w:sz w:val="16"/>
                          <w:szCs w:val="16"/>
                        </w:rPr>
                      </w:r>
                    </w:p>
                  </w:txbxContent>
                </v:textbox>
                <w10:wrap type="none"/>
              </v:shape>
              <v:shape style="position:absolute;left:3766;top:1403;width:64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17,000.00</w:t>
                      </w:r>
                      <w:r>
                        <w:rPr>
                          <w:rFonts w:ascii="Times New Roman"/>
                          <w:sz w:val="16"/>
                        </w:rPr>
                      </w:r>
                    </w:p>
                  </w:txbxContent>
                </v:textbox>
                <w10:wrap type="none"/>
              </v:shape>
            </v:group>
          </v:group>
        </w:pict>
      </w:r>
      <w:r>
        <w:rPr>
          <w:rFonts w:ascii="宋体" w:hAnsi="宋体" w:cs="宋体" w:eastAsia="宋体" w:hint="default"/>
          <w:position w:val="-32"/>
          <w:sz w:val="20"/>
          <w:szCs w:val="20"/>
        </w:rPr>
      </w:r>
    </w:p>
    <w:p>
      <w:pPr>
        <w:pStyle w:val="BodyText"/>
        <w:spacing w:line="240" w:lineRule="auto" w:before="93"/>
        <w:ind w:left="851" w:right="3681"/>
        <w:jc w:val="left"/>
      </w:pPr>
      <w:r>
        <w:rPr/>
        <w:t>说明</w:t>
      </w:r>
      <w:r>
        <w:rPr>
          <w:spacing w:val="-105"/>
        </w:rPr>
        <w:t>：</w:t>
      </w:r>
      <w:r>
        <w:rPr/>
        <w:t>“其</w:t>
      </w:r>
      <w:r>
        <w:rPr>
          <w:spacing w:val="-2"/>
        </w:rPr>
        <w:t>他</w:t>
      </w:r>
      <w:r>
        <w:rPr/>
        <w:t>”项主要为核销无需支付的负债。</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pStyle w:val="Heading5"/>
        <w:spacing w:line="240" w:lineRule="auto" w:before="0"/>
        <w:ind w:right="3681"/>
        <w:jc w:val="left"/>
        <w:rPr>
          <w:b w:val="0"/>
          <w:bCs w:val="0"/>
        </w:rPr>
      </w:pPr>
      <w:r>
        <w:rPr/>
        <w:pict>
          <v:group style="position:absolute;margin-left:119.010002pt;margin-top:15.324268pt;width:411.75pt;height:136.65pt;mso-position-horizontal-relative:page;mso-position-vertical-relative:paragraph;z-index:-1377448" coordorigin="2380,306" coordsize="8235,2733">
            <v:group style="position:absolute;left:2410;top:321;width:2753;height:2" coordorigin="2410,321" coordsize="2753,2">
              <v:shape style="position:absolute;left:2410;top:321;width:2753;height:2" coordorigin="2410,321" coordsize="2753,0" path="m2410,321l5162,321e" filled="false" stroked="true" strokeweight="1.5pt" strokecolor="#000000">
                <v:path arrowok="t"/>
              </v:shape>
              <v:shape style="position:absolute;left:5162;top:336;width:10;height:28" type="#_x0000_t75" stroked="false">
                <v:imagedata r:id="rId192" o:title=""/>
              </v:shape>
            </v:group>
            <v:group style="position:absolute;left:5162;top:321;width:1810;height:2" coordorigin="5162,321" coordsize="1810,2">
              <v:shape style="position:absolute;left:5162;top:321;width:1810;height:2" coordorigin="5162,321" coordsize="1810,0" path="m5162,321l6972,321e" filled="false" stroked="true" strokeweight="1.5pt" strokecolor="#000000">
                <v:path arrowok="t"/>
              </v:shape>
              <v:shape style="position:absolute;left:6972;top:336;width:10;height:28" type="#_x0000_t75" stroked="false">
                <v:imagedata r:id="rId192" o:title=""/>
              </v:shape>
            </v:group>
            <v:group style="position:absolute;left:6972;top:321;width:1810;height:2" coordorigin="6972,321" coordsize="1810,2">
              <v:shape style="position:absolute;left:6972;top:321;width:1810;height:2" coordorigin="6972,321" coordsize="1810,0" path="m6972,321l8782,321e" filled="false" stroked="true" strokeweight="1.5pt" strokecolor="#000000">
                <v:path arrowok="t"/>
              </v:shape>
              <v:shape style="position:absolute;left:8782;top:336;width:10;height:28" type="#_x0000_t75" stroked="false">
                <v:imagedata r:id="rId192" o:title=""/>
              </v:shape>
            </v:group>
            <v:group style="position:absolute;left:8782;top:321;width:1816;height:2" coordorigin="8782,321" coordsize="1816,2">
              <v:shape style="position:absolute;left:8782;top:321;width:1816;height:2" coordorigin="8782,321" coordsize="1816,0" path="m8782,321l10597,321e" filled="false" stroked="true" strokeweight="1.5pt" strokecolor="#000000">
                <v:path arrowok="t"/>
              </v:shape>
              <v:shape style="position:absolute;left:5143;top:345;width:3667;height:562" type="#_x0000_t75" stroked="false">
                <v:imagedata r:id="rId332" o:title=""/>
              </v:shape>
            </v:group>
            <v:group style="position:absolute;left:2395;top:3024;width:2768;height:2" coordorigin="2395,3024" coordsize="2768,2">
              <v:shape style="position:absolute;left:2395;top:3024;width:2768;height:2" coordorigin="2395,3024" coordsize="2768,0" path="m2395,3024l5162,3024e" filled="false" stroked="true" strokeweight="1.5pt" strokecolor="#000000">
                <v:path arrowok="t"/>
              </v:shape>
            </v:group>
            <v:group style="position:absolute;left:5162;top:3024;width:1810;height:2" coordorigin="5162,3024" coordsize="1810,2">
              <v:shape style="position:absolute;left:5162;top:3024;width:1810;height:2" coordorigin="5162,3024" coordsize="1810,0" path="m5162,3024l6972,3024e" filled="false" stroked="true" strokeweight="1.5pt" strokecolor="#000000">
                <v:path arrowok="t"/>
              </v:shape>
            </v:group>
            <v:group style="position:absolute;left:6972;top:3024;width:1810;height:2" coordorigin="6972,3024" coordsize="1810,2">
              <v:shape style="position:absolute;left:6972;top:3024;width:1810;height:2" coordorigin="6972,3024" coordsize="1810,0" path="m6972,3024l8782,3024e" filled="false" stroked="true" strokeweight="1.5pt" strokecolor="#000000">
                <v:path arrowok="t"/>
              </v:shape>
              <v:shape style="position:absolute;left:2390;top:874;width:8225;height:2134" type="#_x0000_t75" stroked="false">
                <v:imagedata r:id="rId333" o:title=""/>
              </v:shape>
            </v:group>
            <v:group style="position:absolute;left:8782;top:3024;width:1816;height:2" coordorigin="8782,3024" coordsize="1816,2">
              <v:shape style="position:absolute;left:8782;top:3024;width:1816;height:2" coordorigin="8782,3024" coordsize="1816,0" path="m8782,3024l10597,3024e" filled="false" stroked="true" strokeweight="1.5pt" strokecolor="#000000">
                <v:path arrowok="t"/>
              </v:shape>
              <v:shape style="position:absolute;left:3628;top:532;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项目</w:t>
                      </w:r>
                      <w:r>
                        <w:rPr>
                          <w:rFonts w:ascii="宋体" w:hAnsi="宋体" w:cs="宋体" w:eastAsia="宋体" w:hint="default"/>
                          <w:sz w:val="16"/>
                          <w:szCs w:val="16"/>
                        </w:rPr>
                      </w:r>
                    </w:p>
                  </w:txbxContent>
                </v:textbox>
                <w10:wrap type="none"/>
              </v:shape>
              <v:shape style="position:absolute;left:5670;top:532;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本期发生额</w:t>
                      </w:r>
                      <w:r>
                        <w:rPr>
                          <w:rFonts w:ascii="宋体" w:hAnsi="宋体" w:cs="宋体" w:eastAsia="宋体" w:hint="default"/>
                          <w:sz w:val="16"/>
                          <w:szCs w:val="16"/>
                        </w:rPr>
                      </w:r>
                    </w:p>
                  </w:txbxContent>
                </v:textbox>
                <w10:wrap type="none"/>
              </v:shape>
              <v:shape style="position:absolute;left:7480;top:532;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上期发生额</w:t>
                      </w:r>
                      <w:r>
                        <w:rPr>
                          <w:rFonts w:ascii="宋体" w:hAnsi="宋体" w:cs="宋体" w:eastAsia="宋体" w:hint="default"/>
                          <w:sz w:val="16"/>
                          <w:szCs w:val="16"/>
                        </w:rPr>
                      </w:r>
                    </w:p>
                  </w:txbxContent>
                </v:textbox>
                <w10:wrap type="none"/>
              </v:shape>
              <v:shape style="position:absolute;left:8971;top:427;width:1439;height:368" type="#_x0000_t202" filled="false" stroked="false">
                <v:textbox inset="0,0,0,0">
                  <w:txbxContent>
                    <w:p>
                      <w:pPr>
                        <w:spacing w:line="159" w:lineRule="exact" w:before="0"/>
                        <w:ind w:left="0" w:right="0" w:firstLine="0"/>
                        <w:jc w:val="center"/>
                        <w:rPr>
                          <w:rFonts w:ascii="宋体" w:hAnsi="宋体" w:cs="宋体" w:eastAsia="宋体" w:hint="default"/>
                          <w:sz w:val="16"/>
                          <w:szCs w:val="16"/>
                        </w:rPr>
                      </w:pPr>
                      <w:r>
                        <w:rPr>
                          <w:rFonts w:ascii="宋体" w:hAnsi="宋体" w:cs="宋体" w:eastAsia="宋体" w:hint="default"/>
                          <w:w w:val="95"/>
                          <w:sz w:val="16"/>
                          <w:szCs w:val="16"/>
                        </w:rPr>
                        <w:t>计入当期非经常性损</w:t>
                      </w:r>
                      <w:r>
                        <w:rPr>
                          <w:rFonts w:ascii="宋体" w:hAnsi="宋体" w:cs="宋体" w:eastAsia="宋体" w:hint="default"/>
                          <w:sz w:val="16"/>
                          <w:szCs w:val="16"/>
                        </w:rPr>
                      </w:r>
                    </w:p>
                    <w:p>
                      <w:pPr>
                        <w:spacing w:line="208" w:lineRule="exact" w:before="0"/>
                        <w:ind w:left="1" w:right="0" w:firstLine="0"/>
                        <w:jc w:val="center"/>
                        <w:rPr>
                          <w:rFonts w:ascii="宋体" w:hAnsi="宋体" w:cs="宋体" w:eastAsia="宋体" w:hint="default"/>
                          <w:sz w:val="16"/>
                          <w:szCs w:val="16"/>
                        </w:rPr>
                      </w:pPr>
                      <w:r>
                        <w:rPr>
                          <w:rFonts w:ascii="宋体" w:hAnsi="宋体" w:cs="宋体" w:eastAsia="宋体" w:hint="default"/>
                          <w:sz w:val="16"/>
                          <w:szCs w:val="16"/>
                        </w:rPr>
                        <w:t>益的金额</w:t>
                      </w:r>
                    </w:p>
                  </w:txbxContent>
                </v:textbox>
                <w10:wrap type="none"/>
              </v:shape>
            </v:group>
            <w10:wrap type="none"/>
          </v:group>
        </w:pict>
      </w:r>
      <w:r>
        <w:rPr>
          <w:rFonts w:ascii="Times New Roman" w:hAnsi="Times New Roman" w:cs="Times New Roman" w:eastAsia="Times New Roman" w:hint="default"/>
        </w:rPr>
        <w:t>(</w:t>
      </w:r>
      <w:r>
        <w:rPr/>
        <w:t>五十一</w:t>
      </w:r>
      <w:r>
        <w:rPr>
          <w:rFonts w:ascii="Times New Roman" w:hAnsi="Times New Roman" w:cs="Times New Roman" w:eastAsia="Times New Roman" w:hint="default"/>
        </w:rPr>
        <w:t>)</w:t>
      </w:r>
      <w:r>
        <w:rPr>
          <w:rFonts w:ascii="Times New Roman" w:hAnsi="Times New Roman" w:cs="Times New Roman" w:eastAsia="Times New Roman" w:hint="default"/>
          <w:spacing w:val="21"/>
        </w:rPr>
        <w:t> </w:t>
      </w:r>
      <w:r>
        <w:rPr/>
        <w:t>营业外支出</w:t>
      </w:r>
      <w:r>
        <w:rPr>
          <w:b w:val="0"/>
          <w:bCs w:val="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5"/>
          <w:szCs w:val="25"/>
        </w:rPr>
      </w:pPr>
    </w:p>
    <w:tbl>
      <w:tblPr>
        <w:tblW w:w="0" w:type="auto"/>
        <w:jc w:val="left"/>
        <w:tblInd w:w="787" w:type="dxa"/>
        <w:tblLayout w:type="fixed"/>
        <w:tblCellMar>
          <w:top w:w="0" w:type="dxa"/>
          <w:left w:w="0" w:type="dxa"/>
          <w:bottom w:w="0" w:type="dxa"/>
          <w:right w:w="0" w:type="dxa"/>
        </w:tblCellMar>
        <w:tblLook w:val="01E0"/>
      </w:tblPr>
      <w:tblGrid>
        <w:gridCol w:w="2664"/>
        <w:gridCol w:w="2201"/>
        <w:gridCol w:w="1811"/>
        <w:gridCol w:w="1437"/>
      </w:tblGrid>
      <w:tr>
        <w:trPr>
          <w:trHeight w:val="363" w:hRule="exact"/>
        </w:trPr>
        <w:tc>
          <w:tcPr>
            <w:tcW w:w="2664" w:type="dxa"/>
            <w:tcBorders>
              <w:top w:val="nil" w:sz="6" w:space="0" w:color="auto"/>
              <w:left w:val="nil" w:sz="6" w:space="0" w:color="auto"/>
              <w:bottom w:val="nil" w:sz="6" w:space="0" w:color="auto"/>
              <w:right w:val="nil" w:sz="6" w:space="0" w:color="auto"/>
            </w:tcBorders>
          </w:tcPr>
          <w:p>
            <w:pPr>
              <w:pStyle w:val="TableParagraph"/>
              <w:spacing w:line="240" w:lineRule="auto" w:before="50"/>
              <w:ind w:left="70" w:right="0"/>
              <w:jc w:val="left"/>
              <w:rPr>
                <w:rFonts w:ascii="宋体" w:hAnsi="宋体" w:cs="宋体" w:eastAsia="宋体" w:hint="default"/>
                <w:sz w:val="16"/>
                <w:szCs w:val="16"/>
              </w:rPr>
            </w:pPr>
            <w:r>
              <w:rPr>
                <w:rFonts w:ascii="宋体" w:hAnsi="宋体" w:cs="宋体" w:eastAsia="宋体" w:hint="default"/>
                <w:sz w:val="16"/>
                <w:szCs w:val="16"/>
              </w:rPr>
              <w:t>非流动资产毁损报废损失</w:t>
            </w:r>
          </w:p>
        </w:tc>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443"/>
              <w:jc w:val="right"/>
              <w:rPr>
                <w:rFonts w:ascii="Times New Roman" w:hAnsi="Times New Roman" w:cs="Times New Roman" w:eastAsia="Times New Roman" w:hint="default"/>
                <w:sz w:val="16"/>
                <w:szCs w:val="16"/>
              </w:rPr>
            </w:pPr>
            <w:r>
              <w:rPr>
                <w:rFonts w:ascii="Times New Roman"/>
                <w:spacing w:val="-1"/>
                <w:sz w:val="16"/>
              </w:rPr>
              <w:t>1,348,337.45</w:t>
            </w:r>
          </w:p>
        </w:tc>
        <w:tc>
          <w:tcPr>
            <w:tcW w:w="1811" w:type="dxa"/>
            <w:tcBorders>
              <w:top w:val="nil" w:sz="6" w:space="0" w:color="auto"/>
              <w:left w:val="nil" w:sz="6" w:space="0" w:color="auto"/>
              <w:bottom w:val="nil" w:sz="6" w:space="0" w:color="auto"/>
              <w:right w:val="nil" w:sz="6" w:space="0" w:color="auto"/>
            </w:tcBorders>
          </w:tcPr>
          <w:p>
            <w:pPr/>
          </w:p>
        </w:tc>
        <w:tc>
          <w:tcPr>
            <w:tcW w:w="1437"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68"/>
              <w:jc w:val="right"/>
              <w:rPr>
                <w:rFonts w:ascii="Times New Roman" w:hAnsi="Times New Roman" w:cs="Times New Roman" w:eastAsia="Times New Roman" w:hint="default"/>
                <w:sz w:val="16"/>
                <w:szCs w:val="16"/>
              </w:rPr>
            </w:pPr>
            <w:r>
              <w:rPr>
                <w:rFonts w:ascii="Times New Roman"/>
                <w:spacing w:val="-1"/>
                <w:sz w:val="16"/>
              </w:rPr>
              <w:t>1,348,337.45</w:t>
            </w:r>
          </w:p>
        </w:tc>
      </w:tr>
      <w:tr>
        <w:trPr>
          <w:trHeight w:val="353" w:hRule="exact"/>
        </w:trPr>
        <w:tc>
          <w:tcPr>
            <w:tcW w:w="266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债务重组损失</w:t>
            </w:r>
          </w:p>
        </w:tc>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43"/>
              <w:jc w:val="right"/>
              <w:rPr>
                <w:rFonts w:ascii="Times New Roman" w:hAnsi="Times New Roman" w:cs="Times New Roman" w:eastAsia="Times New Roman" w:hint="default"/>
                <w:sz w:val="16"/>
                <w:szCs w:val="16"/>
              </w:rPr>
            </w:pPr>
            <w:r>
              <w:rPr>
                <w:rFonts w:ascii="Times New Roman"/>
                <w:spacing w:val="-1"/>
                <w:sz w:val="16"/>
              </w:rPr>
              <w:t>939,984.71</w:t>
            </w:r>
          </w:p>
        </w:tc>
        <w:tc>
          <w:tcPr>
            <w:tcW w:w="1811" w:type="dxa"/>
            <w:tcBorders>
              <w:top w:val="nil" w:sz="6" w:space="0" w:color="auto"/>
              <w:left w:val="nil" w:sz="6" w:space="0" w:color="auto"/>
              <w:bottom w:val="nil" w:sz="6" w:space="0" w:color="auto"/>
              <w:right w:val="nil" w:sz="6" w:space="0" w:color="auto"/>
            </w:tcBorders>
          </w:tcPr>
          <w:p>
            <w:pPr/>
          </w:p>
        </w:tc>
        <w:tc>
          <w:tcPr>
            <w:tcW w:w="143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939,984.71</w:t>
            </w:r>
          </w:p>
        </w:tc>
      </w:tr>
      <w:tr>
        <w:trPr>
          <w:trHeight w:val="353" w:hRule="exact"/>
        </w:trPr>
        <w:tc>
          <w:tcPr>
            <w:tcW w:w="266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对外捐赠</w:t>
            </w:r>
          </w:p>
        </w:tc>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43"/>
              <w:jc w:val="right"/>
              <w:rPr>
                <w:rFonts w:ascii="Times New Roman" w:hAnsi="Times New Roman" w:cs="Times New Roman" w:eastAsia="Times New Roman" w:hint="default"/>
                <w:sz w:val="16"/>
                <w:szCs w:val="16"/>
              </w:rPr>
            </w:pPr>
            <w:r>
              <w:rPr>
                <w:rFonts w:ascii="Times New Roman"/>
                <w:spacing w:val="-1"/>
                <w:sz w:val="16"/>
              </w:rPr>
              <w:t>700,000.00</w:t>
            </w:r>
          </w:p>
        </w:tc>
        <w:tc>
          <w:tcPr>
            <w:tcW w:w="1811" w:type="dxa"/>
            <w:tcBorders>
              <w:top w:val="nil" w:sz="6" w:space="0" w:color="auto"/>
              <w:left w:val="nil" w:sz="6" w:space="0" w:color="auto"/>
              <w:bottom w:val="nil" w:sz="6" w:space="0" w:color="auto"/>
              <w:right w:val="nil" w:sz="6" w:space="0" w:color="auto"/>
            </w:tcBorders>
          </w:tcPr>
          <w:p>
            <w:pPr>
              <w:pStyle w:val="TableParagraph"/>
              <w:spacing w:line="240" w:lineRule="auto" w:before="83"/>
              <w:ind w:left="199" w:right="0"/>
              <w:jc w:val="center"/>
              <w:rPr>
                <w:rFonts w:ascii="Times New Roman" w:hAnsi="Times New Roman" w:cs="Times New Roman" w:eastAsia="Times New Roman" w:hint="default"/>
                <w:sz w:val="16"/>
                <w:szCs w:val="16"/>
              </w:rPr>
            </w:pPr>
            <w:r>
              <w:rPr>
                <w:rFonts w:ascii="Times New Roman"/>
                <w:sz w:val="16"/>
              </w:rPr>
              <w:t>803,280.00</w:t>
            </w:r>
          </w:p>
        </w:tc>
        <w:tc>
          <w:tcPr>
            <w:tcW w:w="143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700,000.00</w:t>
            </w:r>
          </w:p>
        </w:tc>
      </w:tr>
      <w:tr>
        <w:trPr>
          <w:trHeight w:val="354" w:hRule="exact"/>
        </w:trPr>
        <w:tc>
          <w:tcPr>
            <w:tcW w:w="266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诉讼赔偿</w:t>
            </w:r>
          </w:p>
        </w:tc>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43"/>
              <w:jc w:val="right"/>
              <w:rPr>
                <w:rFonts w:ascii="Times New Roman" w:hAnsi="Times New Roman" w:cs="Times New Roman" w:eastAsia="Times New Roman" w:hint="default"/>
                <w:sz w:val="16"/>
                <w:szCs w:val="16"/>
              </w:rPr>
            </w:pPr>
            <w:r>
              <w:rPr>
                <w:rFonts w:ascii="Times New Roman"/>
                <w:spacing w:val="-1"/>
                <w:sz w:val="16"/>
              </w:rPr>
              <w:t>5,193,350.79</w:t>
            </w:r>
          </w:p>
        </w:tc>
        <w:tc>
          <w:tcPr>
            <w:tcW w:w="181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
              <w:jc w:val="center"/>
              <w:rPr>
                <w:rFonts w:ascii="Times New Roman" w:hAnsi="Times New Roman" w:cs="Times New Roman" w:eastAsia="Times New Roman" w:hint="default"/>
                <w:sz w:val="16"/>
                <w:szCs w:val="16"/>
              </w:rPr>
            </w:pPr>
            <w:r>
              <w:rPr>
                <w:rFonts w:ascii="Times New Roman"/>
                <w:sz w:val="16"/>
              </w:rPr>
              <w:t>13,352,178.18</w:t>
            </w:r>
          </w:p>
        </w:tc>
        <w:tc>
          <w:tcPr>
            <w:tcW w:w="143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5,193,350.79</w:t>
            </w:r>
          </w:p>
        </w:tc>
      </w:tr>
      <w:tr>
        <w:trPr>
          <w:trHeight w:val="353" w:hRule="exact"/>
        </w:trPr>
        <w:tc>
          <w:tcPr>
            <w:tcW w:w="266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43"/>
              <w:jc w:val="right"/>
              <w:rPr>
                <w:rFonts w:ascii="Times New Roman" w:hAnsi="Times New Roman" w:cs="Times New Roman" w:eastAsia="Times New Roman" w:hint="default"/>
                <w:sz w:val="16"/>
                <w:szCs w:val="16"/>
              </w:rPr>
            </w:pPr>
            <w:r>
              <w:rPr>
                <w:rFonts w:ascii="Times New Roman"/>
                <w:spacing w:val="-1"/>
                <w:sz w:val="16"/>
              </w:rPr>
              <w:t>2,798,972.79</w:t>
            </w:r>
          </w:p>
        </w:tc>
        <w:tc>
          <w:tcPr>
            <w:tcW w:w="1811" w:type="dxa"/>
            <w:tcBorders>
              <w:top w:val="nil" w:sz="6" w:space="0" w:color="auto"/>
              <w:left w:val="nil" w:sz="6" w:space="0" w:color="auto"/>
              <w:bottom w:val="nil" w:sz="6" w:space="0" w:color="auto"/>
              <w:right w:val="nil" w:sz="6" w:space="0" w:color="auto"/>
            </w:tcBorders>
          </w:tcPr>
          <w:p>
            <w:pPr>
              <w:pStyle w:val="TableParagraph"/>
              <w:spacing w:line="240" w:lineRule="auto" w:before="82"/>
              <w:ind w:left="79" w:right="0"/>
              <w:jc w:val="center"/>
              <w:rPr>
                <w:rFonts w:ascii="Times New Roman" w:hAnsi="Times New Roman" w:cs="Times New Roman" w:eastAsia="Times New Roman" w:hint="default"/>
                <w:sz w:val="16"/>
                <w:szCs w:val="16"/>
              </w:rPr>
            </w:pPr>
            <w:r>
              <w:rPr>
                <w:rFonts w:ascii="Times New Roman"/>
                <w:sz w:val="16"/>
              </w:rPr>
              <w:t>5,846,081.35</w:t>
            </w:r>
          </w:p>
        </w:tc>
        <w:tc>
          <w:tcPr>
            <w:tcW w:w="143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2,798,972.79</w:t>
            </w:r>
          </w:p>
        </w:tc>
      </w:tr>
      <w:tr>
        <w:trPr>
          <w:trHeight w:val="358" w:hRule="exact"/>
        </w:trPr>
        <w:tc>
          <w:tcPr>
            <w:tcW w:w="266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5" w:right="0"/>
              <w:jc w:val="center"/>
              <w:rPr>
                <w:rFonts w:ascii="宋体" w:hAnsi="宋体" w:cs="宋体" w:eastAsia="宋体" w:hint="default"/>
                <w:sz w:val="16"/>
                <w:szCs w:val="16"/>
              </w:rPr>
            </w:pPr>
            <w:r>
              <w:rPr>
                <w:rFonts w:ascii="宋体" w:hAnsi="宋体" w:cs="宋体" w:eastAsia="宋体" w:hint="default"/>
                <w:sz w:val="16"/>
                <w:szCs w:val="16"/>
              </w:rPr>
              <w:t>合计</w:t>
            </w:r>
          </w:p>
        </w:tc>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43"/>
              <w:jc w:val="right"/>
              <w:rPr>
                <w:rFonts w:ascii="Times New Roman" w:hAnsi="Times New Roman" w:cs="Times New Roman" w:eastAsia="Times New Roman" w:hint="default"/>
                <w:sz w:val="16"/>
                <w:szCs w:val="16"/>
              </w:rPr>
            </w:pPr>
            <w:r>
              <w:rPr>
                <w:rFonts w:ascii="Times New Roman"/>
                <w:spacing w:val="-1"/>
                <w:sz w:val="16"/>
              </w:rPr>
              <w:t>10,980,645.74</w:t>
            </w:r>
          </w:p>
        </w:tc>
        <w:tc>
          <w:tcPr>
            <w:tcW w:w="181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
              <w:jc w:val="center"/>
              <w:rPr>
                <w:rFonts w:ascii="Times New Roman" w:hAnsi="Times New Roman" w:cs="Times New Roman" w:eastAsia="Times New Roman" w:hint="default"/>
                <w:sz w:val="16"/>
                <w:szCs w:val="16"/>
              </w:rPr>
            </w:pPr>
            <w:r>
              <w:rPr>
                <w:rFonts w:ascii="Times New Roman"/>
                <w:sz w:val="16"/>
              </w:rPr>
              <w:t>20,001,539.53</w:t>
            </w:r>
          </w:p>
        </w:tc>
        <w:tc>
          <w:tcPr>
            <w:tcW w:w="143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10,980,645.74</w:t>
            </w:r>
          </w:p>
        </w:tc>
      </w:tr>
    </w:tbl>
    <w:p>
      <w:pPr>
        <w:spacing w:line="240" w:lineRule="auto" w:before="7"/>
        <w:rPr>
          <w:rFonts w:ascii="宋体" w:hAnsi="宋体" w:cs="宋体" w:eastAsia="宋体" w:hint="default"/>
          <w:b/>
          <w:bCs/>
          <w:sz w:val="5"/>
          <w:szCs w:val="5"/>
        </w:rPr>
      </w:pPr>
    </w:p>
    <w:p>
      <w:pPr>
        <w:pStyle w:val="BodyText"/>
        <w:spacing w:line="240" w:lineRule="auto" w:before="35"/>
        <w:ind w:left="851" w:right="3681"/>
        <w:jc w:val="left"/>
      </w:pPr>
      <w:r>
        <w:rPr/>
        <w:t>说明</w:t>
      </w:r>
      <w:r>
        <w:rPr>
          <w:spacing w:val="-105"/>
        </w:rPr>
        <w:t>：</w:t>
      </w:r>
      <w:r>
        <w:rPr/>
        <w:t>“其</w:t>
      </w:r>
      <w:r>
        <w:rPr>
          <w:spacing w:val="-2"/>
        </w:rPr>
        <w:t>他</w:t>
      </w:r>
      <w:r>
        <w:rPr/>
        <w:t>”项主要为罚款支出</w:t>
      </w:r>
      <w:r>
        <w:rPr>
          <w:spacing w:val="-53"/>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,0</w:t>
      </w:r>
      <w:r>
        <w:rPr>
          <w:rFonts w:ascii="Times New Roman" w:hAnsi="Times New Roman" w:cs="Times New Roman" w:eastAsia="Times New Roman" w:hint="default"/>
        </w:rPr>
        <w:t>31</w:t>
      </w:r>
      <w:r>
        <w:rPr>
          <w:rFonts w:ascii="Times New Roman" w:hAnsi="Times New Roman" w:cs="Times New Roman" w:eastAsia="Times New Roman" w:hint="default"/>
          <w:spacing w:val="-1"/>
        </w:rPr>
        <w:t>,</w:t>
      </w:r>
      <w:r>
        <w:rPr>
          <w:rFonts w:ascii="Times New Roman" w:hAnsi="Times New Roman" w:cs="Times New Roman" w:eastAsia="Times New Roman" w:hint="default"/>
        </w:rPr>
        <w:t>4</w:t>
      </w:r>
      <w:r>
        <w:rPr>
          <w:rFonts w:ascii="Times New Roman" w:hAnsi="Times New Roman" w:cs="Times New Roman" w:eastAsia="Times New Roman" w:hint="default"/>
          <w:spacing w:val="-1"/>
        </w:rPr>
        <w:t>7</w:t>
      </w:r>
      <w:r>
        <w:rPr>
          <w:rFonts w:ascii="Times New Roman" w:hAnsi="Times New Roman" w:cs="Times New Roman" w:eastAsia="Times New Roman" w:hint="default"/>
        </w:rPr>
        <w:t>5</w:t>
      </w:r>
      <w:r>
        <w:rPr>
          <w:rFonts w:ascii="Times New Roman" w:hAnsi="Times New Roman" w:cs="Times New Roman" w:eastAsia="Times New Roman" w:hint="default"/>
          <w:spacing w:val="-1"/>
        </w:rPr>
        <w:t>.</w:t>
      </w:r>
      <w:r>
        <w:rPr>
          <w:rFonts w:ascii="Times New Roman" w:hAnsi="Times New Roman" w:cs="Times New Roman" w:eastAsia="Times New Roman" w:hint="default"/>
        </w:rPr>
        <w:t>27 </w:t>
      </w:r>
      <w:r>
        <w:rPr>
          <w:spacing w:val="-2"/>
        </w:rPr>
        <w:t>元。</w:t>
      </w:r>
      <w:r>
        <w:rPr/>
      </w:r>
    </w:p>
    <w:p>
      <w:pPr>
        <w:spacing w:after="0" w:line="240" w:lineRule="auto"/>
        <w:jc w:val="left"/>
        <w:sectPr>
          <w:pgSz w:w="11910" w:h="16840"/>
          <w:pgMar w:header="0" w:footer="1001" w:top="1520" w:bottom="1200" w:left="1660" w:right="0"/>
        </w:sectPr>
      </w:pPr>
    </w:p>
    <w:p>
      <w:pPr>
        <w:spacing w:line="240" w:lineRule="auto" w:before="8"/>
        <w:rPr>
          <w:rFonts w:ascii="宋体" w:hAnsi="宋体" w:cs="宋体" w:eastAsia="宋体" w:hint="default"/>
          <w:sz w:val="13"/>
          <w:szCs w:val="13"/>
        </w:rPr>
      </w:pPr>
      <w:r>
        <w:rPr/>
        <w:pict>
          <v:group style="position:absolute;margin-left:119.520004pt;margin-top:645.419678pt;width:411.3pt;height:105.6pt;mso-position-horizontal-relative:page;mso-position-vertical-relative:page;z-index:-1377352" coordorigin="2390,12908" coordsize="8226,2112">
            <v:shape style="position:absolute;left:6320;top:12908;width:10;height:28" type="#_x0000_t75" stroked="false">
              <v:imagedata r:id="rId45" o:title=""/>
            </v:shape>
            <v:shape style="position:absolute;left:8456;top:12908;width:10;height:28" type="#_x0000_t75" stroked="false">
              <v:imagedata r:id="rId45" o:title=""/>
            </v:shape>
            <v:shape style="position:absolute;left:6301;top:12917;width:2184;height:355" type="#_x0000_t75" stroked="false">
              <v:imagedata r:id="rId334" o:title=""/>
            </v:shape>
            <v:shape style="position:absolute;left:2390;top:13234;width:8226;height:1787" type="#_x0000_t75" stroked="false">
              <v:imagedata r:id="rId335" o:title=""/>
            </v:shape>
            <w10:wrap type="none"/>
          </v:group>
        </w:pict>
      </w:r>
    </w:p>
    <w:p>
      <w:pPr>
        <w:pStyle w:val="Heading5"/>
        <w:spacing w:line="240" w:lineRule="auto"/>
        <w:ind w:right="3681"/>
        <w:jc w:val="left"/>
        <w:rPr>
          <w:b w:val="0"/>
          <w:bCs w:val="0"/>
        </w:rPr>
      </w:pPr>
      <w:r>
        <w:rPr/>
        <w:pict>
          <v:group style="position:absolute;margin-left:119.520004pt;margin-top:38.61367pt;width:411.25pt;height:70.2pt;mso-position-horizontal-relative:page;mso-position-vertical-relative:paragraph;z-index:-1377424" coordorigin="2390,772" coordsize="8225,1404">
            <v:shape style="position:absolute;left:5782;top:772;width:10;height:28" type="#_x0000_t75" stroked="false">
              <v:imagedata r:id="rId96" o:title=""/>
            </v:shape>
            <v:shape style="position:absolute;left:8186;top:772;width:10;height:28" type="#_x0000_t75" stroked="false">
              <v:imagedata r:id="rId96" o:title=""/>
            </v:shape>
            <v:shape style="position:absolute;left:5762;top:781;width:2453;height:354" type="#_x0000_t75" stroked="false">
              <v:imagedata r:id="rId235" o:title=""/>
            </v:shape>
            <v:shape style="position:absolute;left:2390;top:1103;width:8225;height:1074" type="#_x0000_t75" stroked="false">
              <v:imagedata r:id="rId336" o:title=""/>
            </v:shape>
            <w10:wrap type="none"/>
          </v:group>
        </w:pict>
      </w:r>
      <w:r>
        <w:rPr>
          <w:rFonts w:ascii="Times New Roman" w:hAnsi="Times New Roman" w:cs="Times New Roman" w:eastAsia="Times New Roman" w:hint="default"/>
        </w:rPr>
        <w:t>(</w:t>
      </w:r>
      <w:r>
        <w:rPr/>
        <w:t>五十二</w:t>
      </w:r>
      <w:r>
        <w:rPr>
          <w:rFonts w:ascii="Times New Roman" w:hAnsi="Times New Roman" w:cs="Times New Roman" w:eastAsia="Times New Roman" w:hint="default"/>
        </w:rPr>
        <w:t>)</w:t>
      </w:r>
      <w:r>
        <w:rPr>
          <w:rFonts w:ascii="Times New Roman" w:hAnsi="Times New Roman" w:cs="Times New Roman" w:eastAsia="Times New Roman" w:hint="default"/>
          <w:spacing w:val="21"/>
        </w:rPr>
        <w:t> </w:t>
      </w:r>
      <w:r>
        <w:rPr/>
        <w:t>所得税费用</w:t>
      </w:r>
      <w:r>
        <w:rPr>
          <w:b w:val="0"/>
          <w:bCs w:val="0"/>
        </w:rPr>
      </w:r>
    </w:p>
    <w:p>
      <w:pPr>
        <w:spacing w:line="240" w:lineRule="auto" w:before="9"/>
        <w:rPr>
          <w:rFonts w:ascii="宋体" w:hAnsi="宋体" w:cs="宋体" w:eastAsia="宋体" w:hint="default"/>
          <w:b/>
          <w:bCs/>
          <w:sz w:val="5"/>
          <w:szCs w:val="5"/>
        </w:rPr>
      </w:pPr>
    </w:p>
    <w:tbl>
      <w:tblPr>
        <w:tblW w:w="0" w:type="auto"/>
        <w:jc w:val="left"/>
        <w:tblInd w:w="749" w:type="dxa"/>
        <w:tblLayout w:type="fixed"/>
        <w:tblCellMar>
          <w:top w:w="0" w:type="dxa"/>
          <w:left w:w="0" w:type="dxa"/>
          <w:bottom w:w="0" w:type="dxa"/>
          <w:right w:w="0" w:type="dxa"/>
        </w:tblCellMar>
        <w:tblLook w:val="01E0"/>
      </w:tblPr>
      <w:tblGrid>
        <w:gridCol w:w="3045"/>
        <w:gridCol w:w="3085"/>
        <w:gridCol w:w="2058"/>
      </w:tblGrid>
      <w:tr>
        <w:trPr>
          <w:trHeight w:val="357" w:hRule="exact"/>
        </w:trPr>
        <w:tc>
          <w:tcPr>
            <w:tcW w:w="3045" w:type="dxa"/>
            <w:tcBorders>
              <w:top w:val="nil" w:sz="6" w:space="0" w:color="auto"/>
              <w:left w:val="nil" w:sz="6" w:space="0" w:color="auto"/>
              <w:bottom w:val="single" w:sz="12" w:space="0" w:color="000000"/>
              <w:right w:val="nil" w:sz="6" w:space="0" w:color="auto"/>
            </w:tcBorders>
          </w:tcPr>
          <w:p>
            <w:pPr>
              <w:pStyle w:val="TableParagraph"/>
              <w:tabs>
                <w:tab w:pos="647" w:val="left" w:leader="none"/>
              </w:tabs>
              <w:spacing w:line="240" w:lineRule="auto" w:before="35"/>
              <w:ind w:left="97" w:right="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所得税费用表</w:t>
            </w:r>
            <w:r>
              <w:rPr>
                <w:rFonts w:ascii="宋体" w:hAnsi="宋体" w:cs="宋体" w:eastAsia="宋体" w:hint="default"/>
                <w:sz w:val="21"/>
                <w:szCs w:val="21"/>
              </w:rPr>
            </w:r>
          </w:p>
        </w:tc>
        <w:tc>
          <w:tcPr>
            <w:tcW w:w="5143" w:type="dxa"/>
            <w:gridSpan w:val="2"/>
            <w:tcBorders>
              <w:top w:val="nil" w:sz="6" w:space="0" w:color="auto"/>
              <w:left w:val="nil" w:sz="6" w:space="0" w:color="auto"/>
              <w:bottom w:val="single" w:sz="12" w:space="0" w:color="000000"/>
              <w:right w:val="nil" w:sz="6" w:space="0" w:color="auto"/>
            </w:tcBorders>
          </w:tcPr>
          <w:p>
            <w:pPr/>
          </w:p>
        </w:tc>
      </w:tr>
      <w:tr>
        <w:trPr>
          <w:trHeight w:val="363" w:hRule="exact"/>
        </w:trPr>
        <w:tc>
          <w:tcPr>
            <w:tcW w:w="3045"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right="1196"/>
              <w:jc w:val="right"/>
              <w:rPr>
                <w:rFonts w:ascii="宋体" w:hAnsi="宋体" w:cs="宋体" w:eastAsia="宋体" w:hint="default"/>
                <w:sz w:val="16"/>
                <w:szCs w:val="16"/>
              </w:rPr>
            </w:pPr>
            <w:r>
              <w:rPr>
                <w:rFonts w:ascii="宋体" w:hAnsi="宋体" w:cs="宋体" w:eastAsia="宋体" w:hint="default"/>
                <w:w w:val="95"/>
                <w:sz w:val="16"/>
                <w:szCs w:val="16"/>
              </w:rPr>
              <w:t>项目</w:t>
            </w:r>
            <w:r>
              <w:rPr>
                <w:rFonts w:ascii="宋体" w:hAnsi="宋体" w:cs="宋体" w:eastAsia="宋体" w:hint="default"/>
                <w:sz w:val="16"/>
                <w:szCs w:val="16"/>
              </w:rPr>
            </w:r>
          </w:p>
        </w:tc>
        <w:tc>
          <w:tcPr>
            <w:tcW w:w="3085"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right="16"/>
              <w:jc w:val="center"/>
              <w:rPr>
                <w:rFonts w:ascii="宋体" w:hAnsi="宋体" w:cs="宋体" w:eastAsia="宋体" w:hint="default"/>
                <w:sz w:val="16"/>
                <w:szCs w:val="16"/>
              </w:rPr>
            </w:pPr>
            <w:r>
              <w:rPr>
                <w:rFonts w:ascii="宋体" w:hAnsi="宋体" w:cs="宋体" w:eastAsia="宋体" w:hint="default"/>
                <w:sz w:val="16"/>
                <w:szCs w:val="16"/>
              </w:rPr>
              <w:t>本期发生额</w:t>
            </w:r>
          </w:p>
        </w:tc>
        <w:tc>
          <w:tcPr>
            <w:tcW w:w="2058"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454" w:right="0"/>
              <w:jc w:val="left"/>
              <w:rPr>
                <w:rFonts w:ascii="宋体" w:hAnsi="宋体" w:cs="宋体" w:eastAsia="宋体" w:hint="default"/>
                <w:sz w:val="16"/>
                <w:szCs w:val="16"/>
              </w:rPr>
            </w:pPr>
            <w:r>
              <w:rPr>
                <w:rFonts w:ascii="宋体" w:hAnsi="宋体" w:cs="宋体" w:eastAsia="宋体" w:hint="default"/>
                <w:sz w:val="16"/>
                <w:szCs w:val="16"/>
              </w:rPr>
              <w:t>上期发生额</w:t>
            </w:r>
          </w:p>
        </w:tc>
      </w:tr>
      <w:tr>
        <w:trPr>
          <w:trHeight w:val="361" w:hRule="exact"/>
        </w:trPr>
        <w:tc>
          <w:tcPr>
            <w:tcW w:w="3045"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7" w:right="0"/>
              <w:jc w:val="left"/>
              <w:rPr>
                <w:rFonts w:ascii="宋体" w:hAnsi="宋体" w:cs="宋体" w:eastAsia="宋体" w:hint="default"/>
                <w:sz w:val="16"/>
                <w:szCs w:val="16"/>
              </w:rPr>
            </w:pPr>
            <w:r>
              <w:rPr>
                <w:rFonts w:ascii="宋体" w:hAnsi="宋体" w:cs="宋体" w:eastAsia="宋体" w:hint="default"/>
                <w:sz w:val="16"/>
                <w:szCs w:val="16"/>
              </w:rPr>
              <w:t>当期所得税费用</w:t>
            </w:r>
          </w:p>
        </w:tc>
        <w:tc>
          <w:tcPr>
            <w:tcW w:w="3085"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453"/>
              <w:jc w:val="right"/>
              <w:rPr>
                <w:rFonts w:ascii="Times New Roman" w:hAnsi="Times New Roman" w:cs="Times New Roman" w:eastAsia="Times New Roman" w:hint="default"/>
                <w:sz w:val="16"/>
                <w:szCs w:val="16"/>
              </w:rPr>
            </w:pPr>
            <w:r>
              <w:rPr>
                <w:rFonts w:ascii="Times New Roman"/>
                <w:spacing w:val="-1"/>
                <w:sz w:val="16"/>
              </w:rPr>
              <w:t>275,380,877.31</w:t>
            </w:r>
          </w:p>
        </w:tc>
        <w:tc>
          <w:tcPr>
            <w:tcW w:w="2058"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04"/>
              <w:jc w:val="right"/>
              <w:rPr>
                <w:rFonts w:ascii="Times New Roman" w:hAnsi="Times New Roman" w:cs="Times New Roman" w:eastAsia="Times New Roman" w:hint="default"/>
                <w:sz w:val="16"/>
                <w:szCs w:val="16"/>
              </w:rPr>
            </w:pPr>
            <w:r>
              <w:rPr>
                <w:rFonts w:ascii="Times New Roman"/>
                <w:spacing w:val="-1"/>
                <w:sz w:val="16"/>
              </w:rPr>
              <w:t>91,720,725.02</w:t>
            </w:r>
          </w:p>
        </w:tc>
      </w:tr>
      <w:tr>
        <w:trPr>
          <w:trHeight w:val="353" w:hRule="exact"/>
        </w:trPr>
        <w:tc>
          <w:tcPr>
            <w:tcW w:w="3045"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递延所得税费用</w:t>
            </w:r>
          </w:p>
        </w:tc>
        <w:tc>
          <w:tcPr>
            <w:tcW w:w="308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52"/>
              <w:jc w:val="right"/>
              <w:rPr>
                <w:rFonts w:ascii="Times New Roman" w:hAnsi="Times New Roman" w:cs="Times New Roman" w:eastAsia="Times New Roman" w:hint="default"/>
                <w:sz w:val="16"/>
                <w:szCs w:val="16"/>
              </w:rPr>
            </w:pPr>
            <w:r>
              <w:rPr>
                <w:rFonts w:ascii="Times New Roman"/>
                <w:spacing w:val="-1"/>
                <w:sz w:val="16"/>
              </w:rPr>
              <w:t>-11,138,914.23</w:t>
            </w:r>
          </w:p>
        </w:tc>
        <w:tc>
          <w:tcPr>
            <w:tcW w:w="205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6"/>
                <w:szCs w:val="16"/>
              </w:rPr>
            </w:pPr>
            <w:r>
              <w:rPr>
                <w:rFonts w:ascii="Times New Roman"/>
                <w:spacing w:val="-1"/>
                <w:sz w:val="16"/>
              </w:rPr>
              <w:t>-6,219,861.82</w:t>
            </w:r>
          </w:p>
        </w:tc>
      </w:tr>
      <w:tr>
        <w:trPr>
          <w:trHeight w:val="357" w:hRule="exact"/>
        </w:trPr>
        <w:tc>
          <w:tcPr>
            <w:tcW w:w="3045"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right="1196"/>
              <w:jc w:val="right"/>
              <w:rPr>
                <w:rFonts w:ascii="宋体" w:hAnsi="宋体" w:cs="宋体" w:eastAsia="宋体" w:hint="default"/>
                <w:sz w:val="16"/>
                <w:szCs w:val="16"/>
              </w:rPr>
            </w:pPr>
            <w:r>
              <w:rPr>
                <w:rFonts w:ascii="宋体" w:hAnsi="宋体" w:cs="宋体" w:eastAsia="宋体" w:hint="default"/>
                <w:w w:val="95"/>
                <w:sz w:val="16"/>
                <w:szCs w:val="16"/>
              </w:rPr>
              <w:t>合计</w:t>
            </w:r>
            <w:r>
              <w:rPr>
                <w:rFonts w:ascii="宋体" w:hAnsi="宋体" w:cs="宋体" w:eastAsia="宋体" w:hint="default"/>
                <w:sz w:val="16"/>
                <w:szCs w:val="16"/>
              </w:rPr>
            </w:r>
          </w:p>
        </w:tc>
        <w:tc>
          <w:tcPr>
            <w:tcW w:w="3085"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453"/>
              <w:jc w:val="right"/>
              <w:rPr>
                <w:rFonts w:ascii="Times New Roman" w:hAnsi="Times New Roman" w:cs="Times New Roman" w:eastAsia="Times New Roman" w:hint="default"/>
                <w:sz w:val="16"/>
                <w:szCs w:val="16"/>
              </w:rPr>
            </w:pPr>
            <w:r>
              <w:rPr>
                <w:rFonts w:ascii="Times New Roman"/>
                <w:spacing w:val="-1"/>
                <w:sz w:val="16"/>
              </w:rPr>
              <w:t>264,241,963.08</w:t>
            </w:r>
          </w:p>
        </w:tc>
        <w:tc>
          <w:tcPr>
            <w:tcW w:w="2058"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6"/>
                <w:szCs w:val="16"/>
              </w:rPr>
            </w:pPr>
            <w:r>
              <w:rPr>
                <w:rFonts w:ascii="Times New Roman"/>
                <w:spacing w:val="-1"/>
                <w:sz w:val="16"/>
              </w:rPr>
              <w:t>85,500,863.20</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p>
      <w:pPr>
        <w:pStyle w:val="Heading5"/>
        <w:tabs>
          <w:tab w:pos="1397" w:val="left" w:leader="none"/>
        </w:tabs>
        <w:spacing w:line="240" w:lineRule="auto"/>
        <w:ind w:left="846" w:right="3681"/>
        <w:jc w:val="left"/>
        <w:rPr>
          <w:b w:val="0"/>
          <w:bCs w:val="0"/>
        </w:rPr>
      </w:pPr>
      <w:r>
        <w:rPr/>
        <w:pict>
          <v:group style="position:absolute;margin-left:119.010002pt;margin-top:17.133816pt;width:412pt;height:196.95pt;mso-position-horizontal-relative:page;mso-position-vertical-relative:paragraph;z-index:-1377400" coordorigin="2380,343" coordsize="8240,3939">
            <v:group style="position:absolute;left:2410;top:358;width:5897;height:2" coordorigin="2410,358" coordsize="5897,2">
              <v:shape style="position:absolute;left:2410;top:358;width:5897;height:2" coordorigin="2410,358" coordsize="5897,0" path="m2410,358l8306,358e" filled="false" stroked="true" strokeweight="1.5pt" strokecolor="#000000">
                <v:path arrowok="t"/>
              </v:shape>
            </v:group>
            <v:group style="position:absolute;left:8306;top:358;width:30;height:2" coordorigin="8306,358" coordsize="30,2">
              <v:shape style="position:absolute;left:8306;top:358;width:30;height:2" coordorigin="8306,358" coordsize="30,0" path="m8306,358l8336,358e" filled="false" stroked="true" strokeweight="1.5pt" strokecolor="#000000">
                <v:path arrowok="t"/>
              </v:shape>
            </v:group>
            <v:group style="position:absolute;left:8336;top:358;width:2261;height:2" coordorigin="8336,358" coordsize="2261,2">
              <v:shape style="position:absolute;left:8336;top:358;width:2261;height:2" coordorigin="8336,358" coordsize="2261,0" path="m8336,358l10597,358e" filled="false" stroked="true" strokeweight="1.5pt" strokecolor="#000000">
                <v:path arrowok="t"/>
              </v:shape>
              <v:shape style="position:absolute;left:8306;top:373;width:10;height:343" type="#_x0000_t75" stroked="false">
                <v:imagedata r:id="rId337" o:title=""/>
              </v:shape>
            </v:group>
            <v:group style="position:absolute;left:2395;top:4266;width:5912;height:2" coordorigin="2395,4266" coordsize="5912,2">
              <v:shape style="position:absolute;left:2395;top:4266;width:5912;height:2" coordorigin="2395,4266" coordsize="5912,0" path="m2395,4266l8306,4266e" filled="false" stroked="true" strokeweight="1.5pt" strokecolor="#000000">
                <v:path arrowok="t"/>
              </v:shape>
              <v:shape style="position:absolute;left:2390;top:697;width:8230;height:3554" type="#_x0000_t75" stroked="false">
                <v:imagedata r:id="rId338" o:title=""/>
              </v:shape>
            </v:group>
            <v:group style="position:absolute;left:8306;top:4266;width:30;height:2" coordorigin="8306,4266" coordsize="30,2">
              <v:shape style="position:absolute;left:8306;top:4266;width:30;height:2" coordorigin="8306,4266" coordsize="30,0" path="m8306,4266l8336,4266e" filled="false" stroked="true" strokeweight="1.5pt" strokecolor="#000000">
                <v:path arrowok="t"/>
              </v:shape>
            </v:group>
            <v:group style="position:absolute;left:8336;top:4266;width:2261;height:2" coordorigin="8336,4266" coordsize="2261,2">
              <v:shape style="position:absolute;left:8336;top:4266;width:2261;height:2" coordorigin="8336,4266" coordsize="2261,0" path="m8336,4266l10597,4266e" filled="false" stroked="true" strokeweight="1.5pt" strokecolor="#000000">
                <v:path arrowok="t"/>
              </v:shape>
            </v:group>
            <w10:wrap type="none"/>
          </v:group>
        </w:pict>
      </w:r>
      <w:r>
        <w:rPr>
          <w:rFonts w:ascii="Times New Roman" w:hAnsi="Times New Roman" w:cs="Times New Roman" w:eastAsia="Times New Roman" w:hint="default"/>
          <w:w w:val="95"/>
        </w:rPr>
        <w:t>2</w:t>
      </w:r>
      <w:r>
        <w:rPr>
          <w:w w:val="95"/>
        </w:rPr>
        <w:t>、</w:t>
        <w:tab/>
      </w:r>
      <w:r>
        <w:rPr/>
        <w:t>会计利润与所得税费用调整过程</w:t>
      </w:r>
      <w:r>
        <w:rPr>
          <w:b w:val="0"/>
          <w:bCs w:val="0"/>
        </w:rPr>
      </w:r>
    </w:p>
    <w:p>
      <w:pPr>
        <w:spacing w:line="240" w:lineRule="auto" w:before="6"/>
        <w:rPr>
          <w:rFonts w:ascii="宋体" w:hAnsi="宋体" w:cs="宋体" w:eastAsia="宋体" w:hint="default"/>
          <w:b/>
          <w:bCs/>
          <w:sz w:val="2"/>
          <w:szCs w:val="2"/>
        </w:rPr>
      </w:pPr>
    </w:p>
    <w:tbl>
      <w:tblPr>
        <w:tblW w:w="0" w:type="auto"/>
        <w:jc w:val="left"/>
        <w:tblInd w:w="787" w:type="dxa"/>
        <w:tblLayout w:type="fixed"/>
        <w:tblCellMar>
          <w:top w:w="0" w:type="dxa"/>
          <w:left w:w="0" w:type="dxa"/>
          <w:bottom w:w="0" w:type="dxa"/>
          <w:right w:w="0" w:type="dxa"/>
        </w:tblCellMar>
        <w:tblLook w:val="01E0"/>
      </w:tblPr>
      <w:tblGrid>
        <w:gridCol w:w="5736"/>
        <w:gridCol w:w="2376"/>
      </w:tblGrid>
      <w:tr>
        <w:trPr>
          <w:trHeight w:val="723" w:hRule="exact"/>
        </w:trPr>
        <w:tc>
          <w:tcPr>
            <w:tcW w:w="5736" w:type="dxa"/>
            <w:tcBorders>
              <w:top w:val="nil" w:sz="6" w:space="0" w:color="auto"/>
              <w:left w:val="nil" w:sz="6" w:space="0" w:color="auto"/>
              <w:bottom w:val="nil" w:sz="6" w:space="0" w:color="auto"/>
              <w:right w:val="nil" w:sz="6" w:space="0" w:color="auto"/>
            </w:tcBorders>
          </w:tcPr>
          <w:p>
            <w:pPr>
              <w:pStyle w:val="TableParagraph"/>
              <w:spacing w:line="240" w:lineRule="auto" w:before="56"/>
              <w:ind w:left="86" w:right="0"/>
              <w:jc w:val="center"/>
              <w:rPr>
                <w:rFonts w:ascii="宋体" w:hAnsi="宋体" w:cs="宋体" w:eastAsia="宋体" w:hint="default"/>
                <w:sz w:val="16"/>
                <w:szCs w:val="16"/>
              </w:rPr>
            </w:pPr>
            <w:r>
              <w:rPr>
                <w:rFonts w:ascii="宋体" w:hAnsi="宋体" w:cs="宋体" w:eastAsia="宋体" w:hint="default"/>
                <w:sz w:val="16"/>
                <w:szCs w:val="16"/>
              </w:rPr>
              <w:t>项目</w:t>
            </w:r>
          </w:p>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left="70" w:right="0"/>
              <w:jc w:val="left"/>
              <w:rPr>
                <w:rFonts w:ascii="宋体" w:hAnsi="宋体" w:cs="宋体" w:eastAsia="宋体" w:hint="default"/>
                <w:sz w:val="16"/>
                <w:szCs w:val="16"/>
              </w:rPr>
            </w:pPr>
            <w:r>
              <w:rPr>
                <w:rFonts w:ascii="宋体" w:hAnsi="宋体" w:cs="宋体" w:eastAsia="宋体" w:hint="default"/>
                <w:sz w:val="16"/>
                <w:szCs w:val="16"/>
              </w:rPr>
              <w:t>利润总额</w:t>
            </w:r>
          </w:p>
        </w:tc>
        <w:tc>
          <w:tcPr>
            <w:tcW w:w="2376" w:type="dxa"/>
            <w:tcBorders>
              <w:top w:val="nil" w:sz="6" w:space="0" w:color="auto"/>
              <w:left w:val="nil" w:sz="6" w:space="0" w:color="auto"/>
              <w:bottom w:val="nil" w:sz="6" w:space="0" w:color="auto"/>
              <w:right w:val="nil" w:sz="6" w:space="0" w:color="auto"/>
            </w:tcBorders>
          </w:tcPr>
          <w:p>
            <w:pPr>
              <w:pStyle w:val="TableParagraph"/>
              <w:spacing w:line="240" w:lineRule="auto" w:before="56"/>
              <w:ind w:left="868" w:right="0"/>
              <w:jc w:val="left"/>
              <w:rPr>
                <w:rFonts w:ascii="宋体" w:hAnsi="宋体" w:cs="宋体" w:eastAsia="宋体" w:hint="default"/>
                <w:sz w:val="16"/>
                <w:szCs w:val="16"/>
              </w:rPr>
            </w:pPr>
            <w:r>
              <w:rPr>
                <w:rFonts w:ascii="宋体" w:hAnsi="宋体" w:cs="宋体" w:eastAsia="宋体" w:hint="default"/>
                <w:sz w:val="16"/>
                <w:szCs w:val="16"/>
              </w:rPr>
              <w:t>本期发生额</w:t>
            </w:r>
          </w:p>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1185" w:right="0"/>
              <w:jc w:val="left"/>
              <w:rPr>
                <w:rFonts w:ascii="Times New Roman" w:hAnsi="Times New Roman" w:cs="Times New Roman" w:eastAsia="Times New Roman" w:hint="default"/>
                <w:sz w:val="16"/>
                <w:szCs w:val="16"/>
              </w:rPr>
            </w:pPr>
            <w:r>
              <w:rPr>
                <w:rFonts w:ascii="Times New Roman"/>
                <w:sz w:val="16"/>
              </w:rPr>
              <w:t>1,320,607,564.92</w:t>
            </w:r>
          </w:p>
        </w:tc>
      </w:tr>
      <w:tr>
        <w:trPr>
          <w:trHeight w:val="353" w:hRule="exact"/>
        </w:trPr>
        <w:tc>
          <w:tcPr>
            <w:tcW w:w="5736"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按法定</w:t>
            </w:r>
            <w:r>
              <w:rPr>
                <w:rFonts w:ascii="Times New Roman" w:hAnsi="Times New Roman" w:cs="Times New Roman" w:eastAsia="Times New Roman" w:hint="default"/>
                <w:sz w:val="16"/>
                <w:szCs w:val="16"/>
              </w:rPr>
              <w:t>[</w:t>
            </w:r>
            <w:r>
              <w:rPr>
                <w:rFonts w:ascii="宋体" w:hAnsi="宋体" w:cs="宋体" w:eastAsia="宋体" w:hint="default"/>
                <w:sz w:val="16"/>
                <w:szCs w:val="16"/>
              </w:rPr>
              <w:t>或适用</w:t>
            </w:r>
            <w:r>
              <w:rPr>
                <w:rFonts w:ascii="Times New Roman" w:hAnsi="Times New Roman" w:cs="Times New Roman" w:eastAsia="Times New Roman" w:hint="default"/>
                <w:sz w:val="16"/>
                <w:szCs w:val="16"/>
              </w:rPr>
              <w:t>]</w:t>
            </w:r>
            <w:r>
              <w:rPr>
                <w:rFonts w:ascii="宋体" w:hAnsi="宋体" w:cs="宋体" w:eastAsia="宋体" w:hint="default"/>
                <w:sz w:val="16"/>
                <w:szCs w:val="16"/>
              </w:rPr>
              <w:t>税率计算的所得税费用</w:t>
            </w:r>
          </w:p>
        </w:tc>
        <w:tc>
          <w:tcPr>
            <w:tcW w:w="237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198,091,134.74</w:t>
            </w:r>
          </w:p>
        </w:tc>
      </w:tr>
      <w:tr>
        <w:trPr>
          <w:trHeight w:val="353" w:hRule="exact"/>
        </w:trPr>
        <w:tc>
          <w:tcPr>
            <w:tcW w:w="5736"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子公司适用不同税率的影响</w:t>
            </w:r>
          </w:p>
        </w:tc>
        <w:tc>
          <w:tcPr>
            <w:tcW w:w="2376"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106,224,423.56</w:t>
            </w:r>
          </w:p>
        </w:tc>
      </w:tr>
      <w:tr>
        <w:trPr>
          <w:trHeight w:val="354" w:hRule="exact"/>
        </w:trPr>
        <w:tc>
          <w:tcPr>
            <w:tcW w:w="5736"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调整以前期间所得税的影响</w:t>
            </w:r>
          </w:p>
        </w:tc>
        <w:tc>
          <w:tcPr>
            <w:tcW w:w="2376"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-3,865,841.44</w:t>
            </w:r>
          </w:p>
        </w:tc>
      </w:tr>
      <w:tr>
        <w:trPr>
          <w:trHeight w:val="353" w:hRule="exact"/>
        </w:trPr>
        <w:tc>
          <w:tcPr>
            <w:tcW w:w="5736"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非应税收入的影响</w:t>
            </w:r>
          </w:p>
        </w:tc>
        <w:tc>
          <w:tcPr>
            <w:tcW w:w="237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-29,435,569.14</w:t>
            </w:r>
          </w:p>
        </w:tc>
      </w:tr>
      <w:tr>
        <w:trPr>
          <w:trHeight w:val="353" w:hRule="exact"/>
        </w:trPr>
        <w:tc>
          <w:tcPr>
            <w:tcW w:w="5736"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不可抵扣的成本、费用和损失的影响</w:t>
            </w:r>
          </w:p>
        </w:tc>
        <w:tc>
          <w:tcPr>
            <w:tcW w:w="2376"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w w:val="95"/>
                <w:sz w:val="16"/>
              </w:rPr>
              <w:t>-1,348,072.11</w:t>
            </w:r>
            <w:r>
              <w:rPr>
                <w:rFonts w:ascii="Times New Roman"/>
                <w:spacing w:val="-1"/>
                <w:sz w:val="16"/>
              </w:rPr>
            </w:r>
          </w:p>
        </w:tc>
      </w:tr>
      <w:tr>
        <w:trPr>
          <w:trHeight w:val="353" w:hRule="exact"/>
        </w:trPr>
        <w:tc>
          <w:tcPr>
            <w:tcW w:w="5736"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使用前期未确认递延所得税资产的可抵扣亏损的影响</w:t>
            </w:r>
          </w:p>
        </w:tc>
        <w:tc>
          <w:tcPr>
            <w:tcW w:w="237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-6,994,204.05</w:t>
            </w:r>
          </w:p>
        </w:tc>
      </w:tr>
      <w:tr>
        <w:trPr>
          <w:trHeight w:val="353" w:hRule="exact"/>
        </w:trPr>
        <w:tc>
          <w:tcPr>
            <w:tcW w:w="5736"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本期未确认递延所得税资产的可抵扣暂时性差异或可抵扣亏损的影响</w:t>
            </w:r>
          </w:p>
        </w:tc>
        <w:tc>
          <w:tcPr>
            <w:tcW w:w="2376"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41,494,180.63</w:t>
            </w:r>
          </w:p>
        </w:tc>
      </w:tr>
      <w:tr>
        <w:trPr>
          <w:trHeight w:val="353" w:hRule="exact"/>
        </w:trPr>
        <w:tc>
          <w:tcPr>
            <w:tcW w:w="5736"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237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-39,924,089.11</w:t>
            </w:r>
          </w:p>
        </w:tc>
      </w:tr>
      <w:tr>
        <w:trPr>
          <w:trHeight w:val="358" w:hRule="exact"/>
        </w:trPr>
        <w:tc>
          <w:tcPr>
            <w:tcW w:w="5736"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所得税费用</w:t>
            </w:r>
          </w:p>
        </w:tc>
        <w:tc>
          <w:tcPr>
            <w:tcW w:w="2376"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264,241,963.08</w:t>
            </w:r>
          </w:p>
        </w:tc>
      </w:tr>
    </w:tbl>
    <w:p>
      <w:pPr>
        <w:spacing w:line="240" w:lineRule="auto" w:before="7"/>
        <w:rPr>
          <w:rFonts w:ascii="宋体" w:hAnsi="宋体" w:cs="宋体" w:eastAsia="宋体" w:hint="default"/>
          <w:b/>
          <w:bCs/>
          <w:sz w:val="5"/>
          <w:szCs w:val="5"/>
        </w:rPr>
      </w:pPr>
    </w:p>
    <w:p>
      <w:pPr>
        <w:pStyle w:val="BodyText"/>
        <w:spacing w:line="240" w:lineRule="auto" w:before="35"/>
        <w:ind w:left="767" w:right="3681"/>
        <w:jc w:val="left"/>
      </w:pPr>
      <w:r>
        <w:rPr/>
        <w:t>说明</w:t>
      </w:r>
      <w:r>
        <w:rPr>
          <w:spacing w:val="-105"/>
        </w:rPr>
        <w:t>：</w:t>
      </w:r>
      <w:r>
        <w:rPr/>
        <w:t>“其</w:t>
      </w:r>
      <w:r>
        <w:rPr>
          <w:spacing w:val="-2"/>
        </w:rPr>
        <w:t>他</w:t>
      </w:r>
      <w:r>
        <w:rPr/>
        <w:t>”项主要为研发支出加计扣除影响。</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pStyle w:val="Heading5"/>
        <w:spacing w:line="240" w:lineRule="auto" w:before="0"/>
        <w:ind w:right="3681"/>
        <w:jc w:val="left"/>
        <w:rPr>
          <w:b w:val="0"/>
          <w:bCs w:val="0"/>
        </w:rPr>
      </w:pPr>
      <w:r>
        <w:rPr/>
        <w:pict>
          <v:group style="position:absolute;margin-left:119.520004pt;margin-top:36.803917pt;width:411.3pt;height:87.9pt;mso-position-horizontal-relative:page;mso-position-vertical-relative:paragraph;z-index:-1377376" coordorigin="2390,736" coordsize="8226,1758">
            <v:shape style="position:absolute;left:6260;top:736;width:10;height:28" type="#_x0000_t75" stroked="false">
              <v:imagedata r:id="rId35" o:title=""/>
            </v:shape>
            <v:shape style="position:absolute;left:8428;top:736;width:10;height:28" type="#_x0000_t75" stroked="false">
              <v:imagedata r:id="rId35" o:title=""/>
            </v:shape>
            <v:shape style="position:absolute;left:6241;top:744;width:2215;height:354" type="#_x0000_t75" stroked="false">
              <v:imagedata r:id="rId339" o:title=""/>
            </v:shape>
            <v:shape style="position:absolute;left:2390;top:1060;width:8226;height:1434" type="#_x0000_t75" stroked="false">
              <v:imagedata r:id="rId340" o:title=""/>
            </v:shape>
            <w10:wrap type="none"/>
          </v:group>
        </w:pict>
      </w:r>
      <w:r>
        <w:rPr>
          <w:rFonts w:ascii="Times New Roman" w:hAnsi="Times New Roman" w:cs="Times New Roman" w:eastAsia="Times New Roman" w:hint="default"/>
        </w:rPr>
        <w:t>(</w:t>
      </w:r>
      <w:r>
        <w:rPr/>
        <w:t>五十三</w:t>
      </w:r>
      <w:r>
        <w:rPr>
          <w:rFonts w:ascii="Times New Roman" w:hAnsi="Times New Roman" w:cs="Times New Roman" w:eastAsia="Times New Roman" w:hint="default"/>
        </w:rPr>
        <w:t>)</w:t>
      </w:r>
      <w:r>
        <w:rPr>
          <w:rFonts w:ascii="Times New Roman" w:hAnsi="Times New Roman" w:cs="Times New Roman" w:eastAsia="Times New Roman" w:hint="default"/>
          <w:spacing w:val="20"/>
        </w:rPr>
        <w:t> </w:t>
      </w:r>
      <w:r>
        <w:rPr/>
        <w:t>现金流量表项目</w:t>
      </w:r>
      <w:r>
        <w:rPr>
          <w:b w:val="0"/>
          <w:bCs w:val="0"/>
        </w:rPr>
      </w:r>
    </w:p>
    <w:p>
      <w:pPr>
        <w:spacing w:line="240" w:lineRule="auto" w:before="8"/>
        <w:rPr>
          <w:rFonts w:ascii="宋体" w:hAnsi="宋体" w:cs="宋体" w:eastAsia="宋体" w:hint="default"/>
          <w:b/>
          <w:bCs/>
          <w:sz w:val="5"/>
          <w:szCs w:val="5"/>
        </w:rPr>
      </w:pPr>
    </w:p>
    <w:tbl>
      <w:tblPr>
        <w:tblW w:w="0" w:type="auto"/>
        <w:jc w:val="left"/>
        <w:tblInd w:w="749" w:type="dxa"/>
        <w:tblLayout w:type="fixed"/>
        <w:tblCellMar>
          <w:top w:w="0" w:type="dxa"/>
          <w:left w:w="0" w:type="dxa"/>
          <w:bottom w:w="0" w:type="dxa"/>
          <w:right w:w="0" w:type="dxa"/>
        </w:tblCellMar>
        <w:tblLook w:val="01E0"/>
      </w:tblPr>
      <w:tblGrid>
        <w:gridCol w:w="4174"/>
        <w:gridCol w:w="2151"/>
        <w:gridCol w:w="1863"/>
      </w:tblGrid>
      <w:tr>
        <w:trPr>
          <w:trHeight w:val="357" w:hRule="exact"/>
        </w:trPr>
        <w:tc>
          <w:tcPr>
            <w:tcW w:w="4174" w:type="dxa"/>
            <w:tcBorders>
              <w:top w:val="nil" w:sz="6" w:space="0" w:color="auto"/>
              <w:left w:val="nil" w:sz="6" w:space="0" w:color="auto"/>
              <w:bottom w:val="single" w:sz="12" w:space="0" w:color="000000"/>
              <w:right w:val="nil" w:sz="6" w:space="0" w:color="auto"/>
            </w:tcBorders>
          </w:tcPr>
          <w:p>
            <w:pPr>
              <w:pStyle w:val="TableParagraph"/>
              <w:tabs>
                <w:tab w:pos="647" w:val="left" w:leader="none"/>
              </w:tabs>
              <w:spacing w:line="240" w:lineRule="auto" w:before="35"/>
              <w:ind w:left="97" w:right="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收到的其他与经营活动有关的现金</w:t>
            </w:r>
            <w:r>
              <w:rPr>
                <w:rFonts w:ascii="宋体" w:hAnsi="宋体" w:cs="宋体" w:eastAsia="宋体" w:hint="default"/>
                <w:sz w:val="21"/>
                <w:szCs w:val="21"/>
              </w:rPr>
            </w:r>
          </w:p>
        </w:tc>
        <w:tc>
          <w:tcPr>
            <w:tcW w:w="4014" w:type="dxa"/>
            <w:gridSpan w:val="2"/>
            <w:tcBorders>
              <w:top w:val="nil" w:sz="6" w:space="0" w:color="auto"/>
              <w:left w:val="nil" w:sz="6" w:space="0" w:color="auto"/>
              <w:bottom w:val="single" w:sz="12" w:space="0" w:color="000000"/>
              <w:right w:val="nil" w:sz="6" w:space="0" w:color="auto"/>
            </w:tcBorders>
          </w:tcPr>
          <w:p>
            <w:pPr/>
          </w:p>
        </w:tc>
      </w:tr>
      <w:tr>
        <w:trPr>
          <w:trHeight w:val="363" w:hRule="exact"/>
        </w:trPr>
        <w:tc>
          <w:tcPr>
            <w:tcW w:w="4174"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right="317"/>
              <w:jc w:val="center"/>
              <w:rPr>
                <w:rFonts w:ascii="宋体" w:hAnsi="宋体" w:cs="宋体" w:eastAsia="宋体" w:hint="default"/>
                <w:sz w:val="16"/>
                <w:szCs w:val="16"/>
              </w:rPr>
            </w:pPr>
            <w:r>
              <w:rPr>
                <w:rFonts w:ascii="宋体" w:hAnsi="宋体" w:cs="宋体" w:eastAsia="宋体" w:hint="default"/>
                <w:sz w:val="16"/>
                <w:szCs w:val="16"/>
              </w:rPr>
              <w:t>项目</w:t>
            </w:r>
          </w:p>
        </w:tc>
        <w:tc>
          <w:tcPr>
            <w:tcW w:w="2151"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left="364" w:right="0"/>
              <w:jc w:val="left"/>
              <w:rPr>
                <w:rFonts w:ascii="宋体" w:hAnsi="宋体" w:cs="宋体" w:eastAsia="宋体" w:hint="default"/>
                <w:sz w:val="16"/>
                <w:szCs w:val="16"/>
              </w:rPr>
            </w:pPr>
            <w:r>
              <w:rPr>
                <w:rFonts w:ascii="宋体" w:hAnsi="宋体" w:cs="宋体" w:eastAsia="宋体" w:hint="default"/>
                <w:sz w:val="16"/>
                <w:szCs w:val="16"/>
              </w:rPr>
              <w:t>本期发生额</w:t>
            </w:r>
          </w:p>
        </w:tc>
        <w:tc>
          <w:tcPr>
            <w:tcW w:w="1863"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left="379" w:right="0"/>
              <w:jc w:val="left"/>
              <w:rPr>
                <w:rFonts w:ascii="宋体" w:hAnsi="宋体" w:cs="宋体" w:eastAsia="宋体" w:hint="default"/>
                <w:sz w:val="16"/>
                <w:szCs w:val="16"/>
              </w:rPr>
            </w:pPr>
            <w:r>
              <w:rPr>
                <w:rFonts w:ascii="宋体" w:hAnsi="宋体" w:cs="宋体" w:eastAsia="宋体" w:hint="default"/>
                <w:sz w:val="16"/>
                <w:szCs w:val="16"/>
              </w:rPr>
              <w:t>上期发生额</w:t>
            </w:r>
          </w:p>
        </w:tc>
      </w:tr>
      <w:tr>
        <w:trPr>
          <w:trHeight w:val="360" w:hRule="exact"/>
        </w:trPr>
        <w:tc>
          <w:tcPr>
            <w:tcW w:w="4174"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7" w:right="0"/>
              <w:jc w:val="left"/>
              <w:rPr>
                <w:rFonts w:ascii="宋体" w:hAnsi="宋体" w:cs="宋体" w:eastAsia="宋体" w:hint="default"/>
                <w:sz w:val="16"/>
                <w:szCs w:val="16"/>
              </w:rPr>
            </w:pPr>
            <w:r>
              <w:rPr>
                <w:rFonts w:ascii="宋体" w:hAnsi="宋体" w:cs="宋体" w:eastAsia="宋体" w:hint="default"/>
                <w:sz w:val="16"/>
                <w:szCs w:val="16"/>
              </w:rPr>
              <w:t>收到的政府补助</w:t>
            </w:r>
          </w:p>
        </w:tc>
        <w:tc>
          <w:tcPr>
            <w:tcW w:w="2151"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407"/>
              <w:jc w:val="right"/>
              <w:rPr>
                <w:rFonts w:ascii="Times New Roman" w:hAnsi="Times New Roman" w:cs="Times New Roman" w:eastAsia="Times New Roman" w:hint="default"/>
                <w:sz w:val="16"/>
                <w:szCs w:val="16"/>
              </w:rPr>
            </w:pPr>
            <w:r>
              <w:rPr>
                <w:rFonts w:ascii="Times New Roman"/>
                <w:spacing w:val="-1"/>
                <w:sz w:val="16"/>
              </w:rPr>
              <w:t>193,897,814.73</w:t>
            </w:r>
          </w:p>
        </w:tc>
        <w:tc>
          <w:tcPr>
            <w:tcW w:w="1863"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05"/>
              <w:jc w:val="right"/>
              <w:rPr>
                <w:rFonts w:ascii="Times New Roman" w:hAnsi="Times New Roman" w:cs="Times New Roman" w:eastAsia="Times New Roman" w:hint="default"/>
                <w:sz w:val="16"/>
                <w:szCs w:val="16"/>
              </w:rPr>
            </w:pPr>
            <w:r>
              <w:rPr>
                <w:rFonts w:ascii="Times New Roman"/>
                <w:spacing w:val="-1"/>
                <w:sz w:val="16"/>
              </w:rPr>
              <w:t>150,032,979.30</w:t>
            </w:r>
          </w:p>
        </w:tc>
      </w:tr>
      <w:tr>
        <w:trPr>
          <w:trHeight w:val="353" w:hRule="exact"/>
        </w:trPr>
        <w:tc>
          <w:tcPr>
            <w:tcW w:w="417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收回的往来款</w:t>
            </w:r>
          </w:p>
        </w:tc>
        <w:tc>
          <w:tcPr>
            <w:tcW w:w="215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07"/>
              <w:jc w:val="right"/>
              <w:rPr>
                <w:rFonts w:ascii="Times New Roman" w:hAnsi="Times New Roman" w:cs="Times New Roman" w:eastAsia="Times New Roman" w:hint="default"/>
                <w:sz w:val="16"/>
                <w:szCs w:val="16"/>
              </w:rPr>
            </w:pPr>
            <w:r>
              <w:rPr>
                <w:rFonts w:ascii="Times New Roman"/>
                <w:spacing w:val="-1"/>
                <w:sz w:val="16"/>
              </w:rPr>
              <w:t>167,910,022.36</w:t>
            </w:r>
          </w:p>
        </w:tc>
        <w:tc>
          <w:tcPr>
            <w:tcW w:w="1863"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6"/>
                <w:szCs w:val="16"/>
              </w:rPr>
            </w:pPr>
            <w:r>
              <w:rPr>
                <w:rFonts w:ascii="Times New Roman"/>
                <w:spacing w:val="-1"/>
                <w:sz w:val="16"/>
              </w:rPr>
              <w:t>514,566,459.45</w:t>
            </w:r>
          </w:p>
        </w:tc>
      </w:tr>
      <w:tr>
        <w:trPr>
          <w:trHeight w:val="353" w:hRule="exact"/>
        </w:trPr>
        <w:tc>
          <w:tcPr>
            <w:tcW w:w="417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利息收入</w:t>
            </w:r>
          </w:p>
        </w:tc>
        <w:tc>
          <w:tcPr>
            <w:tcW w:w="215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06"/>
              <w:jc w:val="right"/>
              <w:rPr>
                <w:rFonts w:ascii="Times New Roman" w:hAnsi="Times New Roman" w:cs="Times New Roman" w:eastAsia="Times New Roman" w:hint="default"/>
                <w:sz w:val="16"/>
                <w:szCs w:val="16"/>
              </w:rPr>
            </w:pPr>
            <w:r>
              <w:rPr>
                <w:rFonts w:ascii="Times New Roman"/>
                <w:spacing w:val="-1"/>
                <w:sz w:val="16"/>
              </w:rPr>
              <w:t>36,783,438.92</w:t>
            </w:r>
          </w:p>
        </w:tc>
        <w:tc>
          <w:tcPr>
            <w:tcW w:w="186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6"/>
                <w:szCs w:val="16"/>
              </w:rPr>
            </w:pPr>
            <w:r>
              <w:rPr>
                <w:rFonts w:ascii="Times New Roman"/>
                <w:spacing w:val="-1"/>
                <w:sz w:val="16"/>
              </w:rPr>
              <w:t>27,293,029.68</w:t>
            </w:r>
          </w:p>
        </w:tc>
      </w:tr>
      <w:tr>
        <w:trPr>
          <w:trHeight w:val="358" w:hRule="exact"/>
        </w:trPr>
        <w:tc>
          <w:tcPr>
            <w:tcW w:w="4174"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right="317"/>
              <w:jc w:val="center"/>
              <w:rPr>
                <w:rFonts w:ascii="宋体" w:hAnsi="宋体" w:cs="宋体" w:eastAsia="宋体" w:hint="default"/>
                <w:sz w:val="16"/>
                <w:szCs w:val="16"/>
              </w:rPr>
            </w:pPr>
            <w:r>
              <w:rPr>
                <w:rFonts w:ascii="宋体" w:hAnsi="宋体" w:cs="宋体" w:eastAsia="宋体" w:hint="default"/>
                <w:sz w:val="16"/>
                <w:szCs w:val="16"/>
              </w:rPr>
              <w:t>合计</w:t>
            </w:r>
          </w:p>
        </w:tc>
        <w:tc>
          <w:tcPr>
            <w:tcW w:w="2151"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right="407"/>
              <w:jc w:val="right"/>
              <w:rPr>
                <w:rFonts w:ascii="Times New Roman" w:hAnsi="Times New Roman" w:cs="Times New Roman" w:eastAsia="Times New Roman" w:hint="default"/>
                <w:sz w:val="16"/>
                <w:szCs w:val="16"/>
              </w:rPr>
            </w:pPr>
            <w:r>
              <w:rPr>
                <w:rFonts w:ascii="Times New Roman"/>
                <w:spacing w:val="-1"/>
                <w:sz w:val="16"/>
              </w:rPr>
              <w:t>398,591,276.01</w:t>
            </w:r>
          </w:p>
        </w:tc>
        <w:tc>
          <w:tcPr>
            <w:tcW w:w="1863"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6"/>
                <w:szCs w:val="16"/>
              </w:rPr>
            </w:pPr>
            <w:r>
              <w:rPr>
                <w:rFonts w:ascii="Times New Roman"/>
                <w:spacing w:val="-1"/>
                <w:sz w:val="16"/>
              </w:rPr>
              <w:t>691,892,468.43</w:t>
            </w:r>
          </w:p>
        </w:tc>
      </w:tr>
      <w:tr>
        <w:trPr>
          <w:trHeight w:val="829" w:hRule="exact"/>
        </w:trPr>
        <w:tc>
          <w:tcPr>
            <w:tcW w:w="4174" w:type="dxa"/>
            <w:tcBorders>
              <w:top w:val="single" w:sz="12" w:space="0" w:color="000000"/>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22"/>
                <w:szCs w:val="22"/>
              </w:rPr>
            </w:pPr>
          </w:p>
          <w:p>
            <w:pPr>
              <w:pStyle w:val="TableParagraph"/>
              <w:spacing w:line="240" w:lineRule="auto" w:before="9"/>
              <w:ind w:right="0"/>
              <w:jc w:val="left"/>
              <w:rPr>
                <w:rFonts w:ascii="宋体" w:hAnsi="宋体" w:cs="宋体" w:eastAsia="宋体" w:hint="default"/>
                <w:b/>
                <w:bCs/>
                <w:sz w:val="15"/>
                <w:szCs w:val="15"/>
              </w:rPr>
            </w:pPr>
          </w:p>
          <w:p>
            <w:pPr>
              <w:pStyle w:val="TableParagraph"/>
              <w:tabs>
                <w:tab w:pos="647" w:val="left" w:leader="none"/>
              </w:tabs>
              <w:spacing w:line="240" w:lineRule="auto"/>
              <w:ind w:left="97" w:right="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支付的其他与经营活动有关的现金</w:t>
            </w:r>
            <w:r>
              <w:rPr>
                <w:rFonts w:ascii="宋体" w:hAnsi="宋体" w:cs="宋体" w:eastAsia="宋体" w:hint="default"/>
                <w:sz w:val="21"/>
                <w:szCs w:val="21"/>
              </w:rPr>
            </w:r>
          </w:p>
        </w:tc>
        <w:tc>
          <w:tcPr>
            <w:tcW w:w="2151" w:type="dxa"/>
            <w:tcBorders>
              <w:top w:val="single" w:sz="12" w:space="0" w:color="000000"/>
              <w:left w:val="nil" w:sz="6" w:space="0" w:color="auto"/>
              <w:bottom w:val="single" w:sz="12" w:space="0" w:color="000000"/>
              <w:right w:val="nil" w:sz="6" w:space="0" w:color="auto"/>
            </w:tcBorders>
          </w:tcPr>
          <w:p>
            <w:pPr/>
          </w:p>
        </w:tc>
        <w:tc>
          <w:tcPr>
            <w:tcW w:w="1863" w:type="dxa"/>
            <w:tcBorders>
              <w:top w:val="single" w:sz="12" w:space="0" w:color="000000"/>
              <w:left w:val="nil" w:sz="6" w:space="0" w:color="auto"/>
              <w:bottom w:val="single" w:sz="12" w:space="0" w:color="000000"/>
              <w:right w:val="nil" w:sz="6" w:space="0" w:color="auto"/>
            </w:tcBorders>
          </w:tcPr>
          <w:p>
            <w:pPr/>
          </w:p>
        </w:tc>
      </w:tr>
      <w:tr>
        <w:trPr>
          <w:trHeight w:val="363" w:hRule="exact"/>
        </w:trPr>
        <w:tc>
          <w:tcPr>
            <w:tcW w:w="4174"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right="257"/>
              <w:jc w:val="center"/>
              <w:rPr>
                <w:rFonts w:ascii="宋体" w:hAnsi="宋体" w:cs="宋体" w:eastAsia="宋体" w:hint="default"/>
                <w:sz w:val="16"/>
                <w:szCs w:val="16"/>
              </w:rPr>
            </w:pPr>
            <w:r>
              <w:rPr>
                <w:rFonts w:ascii="宋体" w:hAnsi="宋体" w:cs="宋体" w:eastAsia="宋体" w:hint="default"/>
                <w:sz w:val="16"/>
                <w:szCs w:val="16"/>
              </w:rPr>
              <w:t>项目</w:t>
            </w:r>
          </w:p>
        </w:tc>
        <w:tc>
          <w:tcPr>
            <w:tcW w:w="2151"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left="409" w:right="0"/>
              <w:jc w:val="left"/>
              <w:rPr>
                <w:rFonts w:ascii="宋体" w:hAnsi="宋体" w:cs="宋体" w:eastAsia="宋体" w:hint="default"/>
                <w:sz w:val="16"/>
                <w:szCs w:val="16"/>
              </w:rPr>
            </w:pPr>
            <w:r>
              <w:rPr>
                <w:rFonts w:ascii="宋体" w:hAnsi="宋体" w:cs="宋体" w:eastAsia="宋体" w:hint="default"/>
                <w:sz w:val="16"/>
                <w:szCs w:val="16"/>
              </w:rPr>
              <w:t>本期发生额</w:t>
            </w:r>
          </w:p>
        </w:tc>
        <w:tc>
          <w:tcPr>
            <w:tcW w:w="1863"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left="394" w:right="0"/>
              <w:jc w:val="left"/>
              <w:rPr>
                <w:rFonts w:ascii="宋体" w:hAnsi="宋体" w:cs="宋体" w:eastAsia="宋体" w:hint="default"/>
                <w:sz w:val="16"/>
                <w:szCs w:val="16"/>
              </w:rPr>
            </w:pPr>
            <w:r>
              <w:rPr>
                <w:rFonts w:ascii="宋体" w:hAnsi="宋体" w:cs="宋体" w:eastAsia="宋体" w:hint="default"/>
                <w:sz w:val="16"/>
                <w:szCs w:val="16"/>
              </w:rPr>
              <w:t>上期发生额</w:t>
            </w:r>
          </w:p>
        </w:tc>
      </w:tr>
      <w:tr>
        <w:trPr>
          <w:trHeight w:val="360" w:hRule="exact"/>
        </w:trPr>
        <w:tc>
          <w:tcPr>
            <w:tcW w:w="4174"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7" w:right="0"/>
              <w:jc w:val="left"/>
              <w:rPr>
                <w:rFonts w:ascii="宋体" w:hAnsi="宋体" w:cs="宋体" w:eastAsia="宋体" w:hint="default"/>
                <w:sz w:val="16"/>
                <w:szCs w:val="16"/>
              </w:rPr>
            </w:pPr>
            <w:r>
              <w:rPr>
                <w:rFonts w:ascii="宋体" w:hAnsi="宋体" w:cs="宋体" w:eastAsia="宋体" w:hint="default"/>
                <w:sz w:val="16"/>
                <w:szCs w:val="16"/>
              </w:rPr>
              <w:t>往来款</w:t>
            </w:r>
          </w:p>
        </w:tc>
        <w:tc>
          <w:tcPr>
            <w:tcW w:w="2151"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378"/>
              <w:jc w:val="right"/>
              <w:rPr>
                <w:rFonts w:ascii="Times New Roman" w:hAnsi="Times New Roman" w:cs="Times New Roman" w:eastAsia="Times New Roman" w:hint="default"/>
                <w:sz w:val="16"/>
                <w:szCs w:val="16"/>
              </w:rPr>
            </w:pPr>
            <w:r>
              <w:rPr>
                <w:rFonts w:ascii="Times New Roman"/>
                <w:spacing w:val="-1"/>
                <w:sz w:val="16"/>
              </w:rPr>
              <w:t>390,888,446.35</w:t>
            </w:r>
          </w:p>
        </w:tc>
        <w:tc>
          <w:tcPr>
            <w:tcW w:w="1863"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05"/>
              <w:jc w:val="right"/>
              <w:rPr>
                <w:rFonts w:ascii="Times New Roman" w:hAnsi="Times New Roman" w:cs="Times New Roman" w:eastAsia="Times New Roman" w:hint="default"/>
                <w:sz w:val="16"/>
                <w:szCs w:val="16"/>
              </w:rPr>
            </w:pPr>
            <w:r>
              <w:rPr>
                <w:rFonts w:ascii="Times New Roman"/>
                <w:spacing w:val="-1"/>
                <w:sz w:val="16"/>
              </w:rPr>
              <w:t>735,619,577.44</w:t>
            </w:r>
          </w:p>
        </w:tc>
      </w:tr>
      <w:tr>
        <w:trPr>
          <w:trHeight w:val="354" w:hRule="exact"/>
        </w:trPr>
        <w:tc>
          <w:tcPr>
            <w:tcW w:w="417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运输费</w:t>
            </w:r>
          </w:p>
        </w:tc>
        <w:tc>
          <w:tcPr>
            <w:tcW w:w="215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77"/>
              <w:jc w:val="right"/>
              <w:rPr>
                <w:rFonts w:ascii="Times New Roman" w:hAnsi="Times New Roman" w:cs="Times New Roman" w:eastAsia="Times New Roman" w:hint="default"/>
                <w:sz w:val="16"/>
                <w:szCs w:val="16"/>
              </w:rPr>
            </w:pPr>
            <w:r>
              <w:rPr>
                <w:rFonts w:ascii="Times New Roman"/>
                <w:spacing w:val="-1"/>
                <w:sz w:val="16"/>
              </w:rPr>
              <w:t>74,151,504.23</w:t>
            </w:r>
          </w:p>
        </w:tc>
        <w:tc>
          <w:tcPr>
            <w:tcW w:w="1863"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4"/>
              <w:jc w:val="right"/>
              <w:rPr>
                <w:rFonts w:ascii="Times New Roman" w:hAnsi="Times New Roman" w:cs="Times New Roman" w:eastAsia="Times New Roman" w:hint="default"/>
                <w:sz w:val="16"/>
                <w:szCs w:val="16"/>
              </w:rPr>
            </w:pPr>
            <w:r>
              <w:rPr>
                <w:rFonts w:ascii="Times New Roman"/>
                <w:spacing w:val="-1"/>
                <w:sz w:val="16"/>
              </w:rPr>
              <w:t>90,726,600.71</w:t>
            </w:r>
          </w:p>
        </w:tc>
      </w:tr>
      <w:tr>
        <w:trPr>
          <w:trHeight w:val="353" w:hRule="exact"/>
        </w:trPr>
        <w:tc>
          <w:tcPr>
            <w:tcW w:w="417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差旅费</w:t>
            </w:r>
          </w:p>
        </w:tc>
        <w:tc>
          <w:tcPr>
            <w:tcW w:w="215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77"/>
              <w:jc w:val="right"/>
              <w:rPr>
                <w:rFonts w:ascii="Times New Roman" w:hAnsi="Times New Roman" w:cs="Times New Roman" w:eastAsia="Times New Roman" w:hint="default"/>
                <w:sz w:val="16"/>
                <w:szCs w:val="16"/>
              </w:rPr>
            </w:pPr>
            <w:r>
              <w:rPr>
                <w:rFonts w:ascii="Times New Roman"/>
                <w:spacing w:val="-1"/>
                <w:sz w:val="16"/>
              </w:rPr>
              <w:t>55,550,094.99</w:t>
            </w:r>
          </w:p>
        </w:tc>
        <w:tc>
          <w:tcPr>
            <w:tcW w:w="1863"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4"/>
              <w:jc w:val="right"/>
              <w:rPr>
                <w:rFonts w:ascii="Times New Roman" w:hAnsi="Times New Roman" w:cs="Times New Roman" w:eastAsia="Times New Roman" w:hint="default"/>
                <w:sz w:val="16"/>
                <w:szCs w:val="16"/>
              </w:rPr>
            </w:pPr>
            <w:r>
              <w:rPr>
                <w:rFonts w:ascii="Times New Roman"/>
                <w:spacing w:val="-1"/>
                <w:sz w:val="16"/>
              </w:rPr>
              <w:t>38,626,672.87</w:t>
            </w:r>
          </w:p>
        </w:tc>
      </w:tr>
      <w:tr>
        <w:trPr>
          <w:trHeight w:val="353" w:hRule="exact"/>
        </w:trPr>
        <w:tc>
          <w:tcPr>
            <w:tcW w:w="417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业务招待费</w:t>
            </w:r>
          </w:p>
        </w:tc>
        <w:tc>
          <w:tcPr>
            <w:tcW w:w="215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77"/>
              <w:jc w:val="right"/>
              <w:rPr>
                <w:rFonts w:ascii="Times New Roman" w:hAnsi="Times New Roman" w:cs="Times New Roman" w:eastAsia="Times New Roman" w:hint="default"/>
                <w:sz w:val="16"/>
                <w:szCs w:val="16"/>
              </w:rPr>
            </w:pPr>
            <w:r>
              <w:rPr>
                <w:rFonts w:ascii="Times New Roman"/>
                <w:spacing w:val="-1"/>
                <w:sz w:val="16"/>
              </w:rPr>
              <w:t>30,446,410.96</w:t>
            </w:r>
          </w:p>
        </w:tc>
        <w:tc>
          <w:tcPr>
            <w:tcW w:w="186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6"/>
                <w:szCs w:val="16"/>
              </w:rPr>
            </w:pPr>
            <w:r>
              <w:rPr>
                <w:rFonts w:ascii="Times New Roman"/>
                <w:spacing w:val="-1"/>
                <w:sz w:val="16"/>
              </w:rPr>
              <w:t>43,301,658.67</w:t>
            </w:r>
          </w:p>
        </w:tc>
      </w:tr>
      <w:tr>
        <w:trPr>
          <w:trHeight w:val="358" w:hRule="exact"/>
        </w:trPr>
        <w:tc>
          <w:tcPr>
            <w:tcW w:w="4174"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租赁费</w:t>
            </w:r>
          </w:p>
        </w:tc>
        <w:tc>
          <w:tcPr>
            <w:tcW w:w="2151"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right="377"/>
              <w:jc w:val="right"/>
              <w:rPr>
                <w:rFonts w:ascii="Times New Roman" w:hAnsi="Times New Roman" w:cs="Times New Roman" w:eastAsia="Times New Roman" w:hint="default"/>
                <w:sz w:val="16"/>
                <w:szCs w:val="16"/>
              </w:rPr>
            </w:pPr>
            <w:r>
              <w:rPr>
                <w:rFonts w:ascii="Times New Roman"/>
                <w:spacing w:val="-1"/>
                <w:sz w:val="16"/>
              </w:rPr>
              <w:t>21,978,352.89</w:t>
            </w:r>
          </w:p>
        </w:tc>
        <w:tc>
          <w:tcPr>
            <w:tcW w:w="1863"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right="104"/>
              <w:jc w:val="right"/>
              <w:rPr>
                <w:rFonts w:ascii="Times New Roman" w:hAnsi="Times New Roman" w:cs="Times New Roman" w:eastAsia="Times New Roman" w:hint="default"/>
                <w:sz w:val="16"/>
                <w:szCs w:val="16"/>
              </w:rPr>
            </w:pPr>
            <w:r>
              <w:rPr>
                <w:rFonts w:ascii="Times New Roman"/>
                <w:spacing w:val="-1"/>
                <w:sz w:val="16"/>
              </w:rPr>
              <w:t>18,850,290.22</w:t>
            </w:r>
          </w:p>
        </w:tc>
      </w:tr>
    </w:tbl>
    <w:p>
      <w:pPr>
        <w:spacing w:after="0" w:line="240" w:lineRule="auto"/>
        <w:jc w:val="right"/>
        <w:rPr>
          <w:rFonts w:ascii="Times New Roman" w:hAnsi="Times New Roman" w:cs="Times New Roman" w:eastAsia="Times New Roman" w:hint="default"/>
          <w:sz w:val="16"/>
          <w:szCs w:val="16"/>
        </w:rPr>
        <w:sectPr>
          <w:pgSz w:w="11910" w:h="16840"/>
          <w:pgMar w:header="0" w:footer="1001" w:top="1520" w:bottom="1200" w:left="1660" w:right="0"/>
        </w:sectPr>
      </w:pPr>
    </w:p>
    <w:p>
      <w:pPr>
        <w:spacing w:line="240" w:lineRule="auto" w:before="4"/>
        <w:rPr>
          <w:rFonts w:ascii="宋体" w:hAnsi="宋体" w:cs="宋体" w:eastAsia="宋体" w:hint="default"/>
          <w:b/>
          <w:bCs/>
          <w:sz w:val="10"/>
          <w:szCs w:val="10"/>
        </w:rPr>
      </w:pPr>
    </w:p>
    <w:tbl>
      <w:tblPr>
        <w:tblW w:w="0" w:type="auto"/>
        <w:jc w:val="left"/>
        <w:tblInd w:w="787" w:type="dxa"/>
        <w:tblLayout w:type="fixed"/>
        <w:tblCellMar>
          <w:top w:w="0" w:type="dxa"/>
          <w:left w:w="0" w:type="dxa"/>
          <w:bottom w:w="0" w:type="dxa"/>
          <w:right w:w="0" w:type="dxa"/>
        </w:tblCellMar>
        <w:tblLook w:val="01E0"/>
      </w:tblPr>
      <w:tblGrid>
        <w:gridCol w:w="1394"/>
        <w:gridCol w:w="1918"/>
        <w:gridCol w:w="2982"/>
        <w:gridCol w:w="1819"/>
      </w:tblGrid>
      <w:tr>
        <w:trPr>
          <w:trHeight w:val="724" w:hRule="exact"/>
        </w:trPr>
        <w:tc>
          <w:tcPr>
            <w:tcW w:w="139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left="70" w:right="0"/>
              <w:jc w:val="left"/>
              <w:rPr>
                <w:rFonts w:ascii="宋体" w:hAnsi="宋体" w:cs="宋体" w:eastAsia="宋体" w:hint="default"/>
                <w:sz w:val="16"/>
                <w:szCs w:val="16"/>
              </w:rPr>
            </w:pPr>
            <w:r>
              <w:rPr>
                <w:rFonts w:ascii="宋体" w:hAnsi="宋体" w:cs="宋体" w:eastAsia="宋体" w:hint="default"/>
                <w:sz w:val="16"/>
                <w:szCs w:val="16"/>
              </w:rPr>
              <w:t>技术服务费</w:t>
            </w:r>
          </w:p>
        </w:tc>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57"/>
              <w:ind w:left="365" w:right="0"/>
              <w:jc w:val="left"/>
              <w:rPr>
                <w:rFonts w:ascii="宋体" w:hAnsi="宋体" w:cs="宋体" w:eastAsia="宋体" w:hint="default"/>
                <w:sz w:val="16"/>
                <w:szCs w:val="16"/>
              </w:rPr>
            </w:pPr>
            <w:r>
              <w:rPr>
                <w:rFonts w:ascii="宋体" w:hAnsi="宋体" w:cs="宋体" w:eastAsia="宋体" w:hint="default"/>
                <w:sz w:val="16"/>
                <w:szCs w:val="16"/>
              </w:rPr>
              <w:t>项目</w:t>
            </w:r>
          </w:p>
        </w:tc>
        <w:tc>
          <w:tcPr>
            <w:tcW w:w="2982" w:type="dxa"/>
            <w:tcBorders>
              <w:top w:val="nil" w:sz="6" w:space="0" w:color="auto"/>
              <w:left w:val="nil" w:sz="6" w:space="0" w:color="auto"/>
              <w:bottom w:val="nil" w:sz="6" w:space="0" w:color="auto"/>
              <w:right w:val="nil" w:sz="6" w:space="0" w:color="auto"/>
            </w:tcBorders>
          </w:tcPr>
          <w:p>
            <w:pPr>
              <w:pStyle w:val="TableParagraph"/>
              <w:spacing w:line="240" w:lineRule="auto" w:before="57"/>
              <w:ind w:left="1232" w:right="0"/>
              <w:jc w:val="left"/>
              <w:rPr>
                <w:rFonts w:ascii="宋体" w:hAnsi="宋体" w:cs="宋体" w:eastAsia="宋体" w:hint="default"/>
                <w:sz w:val="16"/>
                <w:szCs w:val="16"/>
              </w:rPr>
            </w:pPr>
            <w:r>
              <w:rPr>
                <w:rFonts w:ascii="宋体" w:hAnsi="宋体" w:cs="宋体" w:eastAsia="宋体" w:hint="default"/>
                <w:sz w:val="16"/>
                <w:szCs w:val="16"/>
              </w:rPr>
              <w:t>本期发生额</w:t>
            </w:r>
          </w:p>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1673" w:right="0"/>
              <w:jc w:val="left"/>
              <w:rPr>
                <w:rFonts w:ascii="Times New Roman" w:hAnsi="Times New Roman" w:cs="Times New Roman" w:eastAsia="Times New Roman" w:hint="default"/>
                <w:sz w:val="16"/>
                <w:szCs w:val="16"/>
              </w:rPr>
            </w:pPr>
            <w:r>
              <w:rPr>
                <w:rFonts w:ascii="Times New Roman"/>
                <w:sz w:val="16"/>
              </w:rPr>
              <w:t>19,132,958.28</w:t>
            </w:r>
          </w:p>
        </w:tc>
        <w:tc>
          <w:tcPr>
            <w:tcW w:w="1819" w:type="dxa"/>
            <w:tcBorders>
              <w:top w:val="nil" w:sz="6" w:space="0" w:color="auto"/>
              <w:left w:val="nil" w:sz="6" w:space="0" w:color="auto"/>
              <w:bottom w:val="nil" w:sz="6" w:space="0" w:color="auto"/>
              <w:right w:val="nil" w:sz="6" w:space="0" w:color="auto"/>
            </w:tcBorders>
          </w:tcPr>
          <w:p>
            <w:pPr>
              <w:pStyle w:val="TableParagraph"/>
              <w:spacing w:line="240" w:lineRule="auto" w:before="57"/>
              <w:ind w:left="386" w:right="0"/>
              <w:jc w:val="left"/>
              <w:rPr>
                <w:rFonts w:ascii="宋体" w:hAnsi="宋体" w:cs="宋体" w:eastAsia="宋体" w:hint="default"/>
                <w:sz w:val="16"/>
                <w:szCs w:val="16"/>
              </w:rPr>
            </w:pPr>
            <w:r>
              <w:rPr>
                <w:rFonts w:ascii="宋体" w:hAnsi="宋体" w:cs="宋体" w:eastAsia="宋体" w:hint="default"/>
                <w:sz w:val="16"/>
                <w:szCs w:val="16"/>
              </w:rPr>
              <w:t>上期发生额</w:t>
            </w:r>
          </w:p>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827" w:right="0"/>
              <w:jc w:val="left"/>
              <w:rPr>
                <w:rFonts w:ascii="Times New Roman" w:hAnsi="Times New Roman" w:cs="Times New Roman" w:eastAsia="Times New Roman" w:hint="default"/>
                <w:sz w:val="16"/>
                <w:szCs w:val="16"/>
              </w:rPr>
            </w:pPr>
            <w:r>
              <w:rPr>
                <w:rFonts w:ascii="Times New Roman"/>
                <w:sz w:val="16"/>
              </w:rPr>
              <w:t>14,893,008.61</w:t>
            </w:r>
          </w:p>
        </w:tc>
      </w:tr>
      <w:tr>
        <w:trPr>
          <w:trHeight w:val="353" w:hRule="exact"/>
        </w:trPr>
        <w:tc>
          <w:tcPr>
            <w:tcW w:w="139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办公费</w:t>
            </w:r>
          </w:p>
        </w:tc>
        <w:tc>
          <w:tcPr>
            <w:tcW w:w="1918" w:type="dxa"/>
            <w:tcBorders>
              <w:top w:val="nil" w:sz="6" w:space="0" w:color="auto"/>
              <w:left w:val="nil" w:sz="6" w:space="0" w:color="auto"/>
              <w:bottom w:val="nil" w:sz="6" w:space="0" w:color="auto"/>
              <w:right w:val="nil" w:sz="6" w:space="0" w:color="auto"/>
            </w:tcBorders>
          </w:tcPr>
          <w:p>
            <w:pPr/>
          </w:p>
        </w:tc>
        <w:tc>
          <w:tcPr>
            <w:tcW w:w="298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84"/>
              <w:jc w:val="right"/>
              <w:rPr>
                <w:rFonts w:ascii="Times New Roman" w:hAnsi="Times New Roman" w:cs="Times New Roman" w:eastAsia="Times New Roman" w:hint="default"/>
                <w:sz w:val="16"/>
                <w:szCs w:val="16"/>
              </w:rPr>
            </w:pPr>
            <w:r>
              <w:rPr>
                <w:rFonts w:ascii="Times New Roman"/>
                <w:spacing w:val="-1"/>
                <w:sz w:val="16"/>
              </w:rPr>
              <w:t>18,187,845.02</w:t>
            </w:r>
          </w:p>
        </w:tc>
        <w:tc>
          <w:tcPr>
            <w:tcW w:w="181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13,510,889.51</w:t>
            </w:r>
          </w:p>
        </w:tc>
      </w:tr>
      <w:tr>
        <w:trPr>
          <w:trHeight w:val="353" w:hRule="exact"/>
        </w:trPr>
        <w:tc>
          <w:tcPr>
            <w:tcW w:w="139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销售服务费</w:t>
            </w:r>
          </w:p>
        </w:tc>
        <w:tc>
          <w:tcPr>
            <w:tcW w:w="1918" w:type="dxa"/>
            <w:tcBorders>
              <w:top w:val="nil" w:sz="6" w:space="0" w:color="auto"/>
              <w:left w:val="nil" w:sz="6" w:space="0" w:color="auto"/>
              <w:bottom w:val="nil" w:sz="6" w:space="0" w:color="auto"/>
              <w:right w:val="nil" w:sz="6" w:space="0" w:color="auto"/>
            </w:tcBorders>
          </w:tcPr>
          <w:p>
            <w:pPr/>
          </w:p>
        </w:tc>
        <w:tc>
          <w:tcPr>
            <w:tcW w:w="298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84"/>
              <w:jc w:val="right"/>
              <w:rPr>
                <w:rFonts w:ascii="Times New Roman" w:hAnsi="Times New Roman" w:cs="Times New Roman" w:eastAsia="Times New Roman" w:hint="default"/>
                <w:sz w:val="16"/>
                <w:szCs w:val="16"/>
              </w:rPr>
            </w:pPr>
            <w:r>
              <w:rPr>
                <w:rFonts w:ascii="Times New Roman"/>
                <w:spacing w:val="-1"/>
                <w:sz w:val="16"/>
              </w:rPr>
              <w:t>14,843,226.42</w:t>
            </w:r>
          </w:p>
        </w:tc>
        <w:tc>
          <w:tcPr>
            <w:tcW w:w="181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12,940,179.83</w:t>
            </w:r>
          </w:p>
        </w:tc>
      </w:tr>
      <w:tr>
        <w:trPr>
          <w:trHeight w:val="353" w:hRule="exact"/>
        </w:trPr>
        <w:tc>
          <w:tcPr>
            <w:tcW w:w="139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咨询费</w:t>
            </w:r>
          </w:p>
        </w:tc>
        <w:tc>
          <w:tcPr>
            <w:tcW w:w="1918" w:type="dxa"/>
            <w:tcBorders>
              <w:top w:val="nil" w:sz="6" w:space="0" w:color="auto"/>
              <w:left w:val="nil" w:sz="6" w:space="0" w:color="auto"/>
              <w:bottom w:val="nil" w:sz="6" w:space="0" w:color="auto"/>
              <w:right w:val="nil" w:sz="6" w:space="0" w:color="auto"/>
            </w:tcBorders>
          </w:tcPr>
          <w:p>
            <w:pPr/>
          </w:p>
        </w:tc>
        <w:tc>
          <w:tcPr>
            <w:tcW w:w="298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84"/>
              <w:jc w:val="right"/>
              <w:rPr>
                <w:rFonts w:ascii="Times New Roman" w:hAnsi="Times New Roman" w:cs="Times New Roman" w:eastAsia="Times New Roman" w:hint="default"/>
                <w:sz w:val="16"/>
                <w:szCs w:val="16"/>
              </w:rPr>
            </w:pPr>
            <w:r>
              <w:rPr>
                <w:rFonts w:ascii="Times New Roman"/>
                <w:spacing w:val="-1"/>
                <w:sz w:val="16"/>
              </w:rPr>
              <w:t>13,304,005.72</w:t>
            </w:r>
          </w:p>
        </w:tc>
        <w:tc>
          <w:tcPr>
            <w:tcW w:w="181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10,984,926.05</w:t>
            </w:r>
          </w:p>
        </w:tc>
      </w:tr>
      <w:tr>
        <w:trPr>
          <w:trHeight w:val="353" w:hRule="exact"/>
        </w:trPr>
        <w:tc>
          <w:tcPr>
            <w:tcW w:w="139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水电费</w:t>
            </w:r>
          </w:p>
        </w:tc>
        <w:tc>
          <w:tcPr>
            <w:tcW w:w="1918" w:type="dxa"/>
            <w:tcBorders>
              <w:top w:val="nil" w:sz="6" w:space="0" w:color="auto"/>
              <w:left w:val="nil" w:sz="6" w:space="0" w:color="auto"/>
              <w:bottom w:val="nil" w:sz="6" w:space="0" w:color="auto"/>
              <w:right w:val="nil" w:sz="6" w:space="0" w:color="auto"/>
            </w:tcBorders>
          </w:tcPr>
          <w:p>
            <w:pPr/>
          </w:p>
        </w:tc>
        <w:tc>
          <w:tcPr>
            <w:tcW w:w="298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84"/>
              <w:jc w:val="right"/>
              <w:rPr>
                <w:rFonts w:ascii="Times New Roman" w:hAnsi="Times New Roman" w:cs="Times New Roman" w:eastAsia="Times New Roman" w:hint="default"/>
                <w:sz w:val="16"/>
                <w:szCs w:val="16"/>
              </w:rPr>
            </w:pPr>
            <w:r>
              <w:rPr>
                <w:rFonts w:ascii="Times New Roman"/>
                <w:spacing w:val="-1"/>
                <w:sz w:val="16"/>
              </w:rPr>
              <w:t>10,726,891.02</w:t>
            </w:r>
          </w:p>
        </w:tc>
        <w:tc>
          <w:tcPr>
            <w:tcW w:w="181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11,727,090.43</w:t>
            </w:r>
          </w:p>
        </w:tc>
      </w:tr>
      <w:tr>
        <w:trPr>
          <w:trHeight w:val="353" w:hRule="exact"/>
        </w:trPr>
        <w:tc>
          <w:tcPr>
            <w:tcW w:w="139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广告费</w:t>
            </w:r>
          </w:p>
        </w:tc>
        <w:tc>
          <w:tcPr>
            <w:tcW w:w="1918" w:type="dxa"/>
            <w:tcBorders>
              <w:top w:val="nil" w:sz="6" w:space="0" w:color="auto"/>
              <w:left w:val="nil" w:sz="6" w:space="0" w:color="auto"/>
              <w:bottom w:val="nil" w:sz="6" w:space="0" w:color="auto"/>
              <w:right w:val="nil" w:sz="6" w:space="0" w:color="auto"/>
            </w:tcBorders>
          </w:tcPr>
          <w:p>
            <w:pPr/>
          </w:p>
        </w:tc>
        <w:tc>
          <w:tcPr>
            <w:tcW w:w="298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84"/>
              <w:jc w:val="right"/>
              <w:rPr>
                <w:rFonts w:ascii="Times New Roman" w:hAnsi="Times New Roman" w:cs="Times New Roman" w:eastAsia="Times New Roman" w:hint="default"/>
                <w:sz w:val="16"/>
                <w:szCs w:val="16"/>
              </w:rPr>
            </w:pPr>
            <w:r>
              <w:rPr>
                <w:rFonts w:ascii="Times New Roman"/>
                <w:spacing w:val="-1"/>
                <w:sz w:val="16"/>
              </w:rPr>
              <w:t>8,050,346.04</w:t>
            </w:r>
          </w:p>
        </w:tc>
        <w:tc>
          <w:tcPr>
            <w:tcW w:w="181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1,661,397.24</w:t>
            </w:r>
          </w:p>
        </w:tc>
      </w:tr>
      <w:tr>
        <w:trPr>
          <w:trHeight w:val="353" w:hRule="exact"/>
        </w:trPr>
        <w:tc>
          <w:tcPr>
            <w:tcW w:w="139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修理费</w:t>
            </w:r>
          </w:p>
        </w:tc>
        <w:tc>
          <w:tcPr>
            <w:tcW w:w="1918" w:type="dxa"/>
            <w:tcBorders>
              <w:top w:val="nil" w:sz="6" w:space="0" w:color="auto"/>
              <w:left w:val="nil" w:sz="6" w:space="0" w:color="auto"/>
              <w:bottom w:val="nil" w:sz="6" w:space="0" w:color="auto"/>
              <w:right w:val="nil" w:sz="6" w:space="0" w:color="auto"/>
            </w:tcBorders>
          </w:tcPr>
          <w:p>
            <w:pPr/>
          </w:p>
        </w:tc>
        <w:tc>
          <w:tcPr>
            <w:tcW w:w="298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84"/>
              <w:jc w:val="right"/>
              <w:rPr>
                <w:rFonts w:ascii="Times New Roman" w:hAnsi="Times New Roman" w:cs="Times New Roman" w:eastAsia="Times New Roman" w:hint="default"/>
                <w:sz w:val="16"/>
                <w:szCs w:val="16"/>
              </w:rPr>
            </w:pPr>
            <w:r>
              <w:rPr>
                <w:rFonts w:ascii="Times New Roman"/>
                <w:spacing w:val="-1"/>
                <w:sz w:val="16"/>
              </w:rPr>
              <w:t>6,215,039.91</w:t>
            </w:r>
          </w:p>
        </w:tc>
        <w:tc>
          <w:tcPr>
            <w:tcW w:w="181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2,761,658.24</w:t>
            </w:r>
          </w:p>
        </w:tc>
      </w:tr>
      <w:tr>
        <w:trPr>
          <w:trHeight w:val="354" w:hRule="exact"/>
        </w:trPr>
        <w:tc>
          <w:tcPr>
            <w:tcW w:w="139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审计费</w:t>
            </w:r>
          </w:p>
        </w:tc>
        <w:tc>
          <w:tcPr>
            <w:tcW w:w="1918" w:type="dxa"/>
            <w:tcBorders>
              <w:top w:val="nil" w:sz="6" w:space="0" w:color="auto"/>
              <w:left w:val="nil" w:sz="6" w:space="0" w:color="auto"/>
              <w:bottom w:val="nil" w:sz="6" w:space="0" w:color="auto"/>
              <w:right w:val="nil" w:sz="6" w:space="0" w:color="auto"/>
            </w:tcBorders>
          </w:tcPr>
          <w:p>
            <w:pPr/>
          </w:p>
        </w:tc>
        <w:tc>
          <w:tcPr>
            <w:tcW w:w="298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84"/>
              <w:jc w:val="right"/>
              <w:rPr>
                <w:rFonts w:ascii="Times New Roman" w:hAnsi="Times New Roman" w:cs="Times New Roman" w:eastAsia="Times New Roman" w:hint="default"/>
                <w:sz w:val="16"/>
                <w:szCs w:val="16"/>
              </w:rPr>
            </w:pPr>
            <w:r>
              <w:rPr>
                <w:rFonts w:ascii="Times New Roman"/>
                <w:spacing w:val="-1"/>
                <w:sz w:val="16"/>
              </w:rPr>
              <w:t>6,138,109.94</w:t>
            </w:r>
          </w:p>
        </w:tc>
        <w:tc>
          <w:tcPr>
            <w:tcW w:w="181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6,798,735.53</w:t>
            </w:r>
          </w:p>
        </w:tc>
      </w:tr>
      <w:tr>
        <w:trPr>
          <w:trHeight w:val="353" w:hRule="exact"/>
        </w:trPr>
        <w:tc>
          <w:tcPr>
            <w:tcW w:w="139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其他付现费用</w:t>
            </w:r>
          </w:p>
        </w:tc>
        <w:tc>
          <w:tcPr>
            <w:tcW w:w="1918" w:type="dxa"/>
            <w:tcBorders>
              <w:top w:val="nil" w:sz="6" w:space="0" w:color="auto"/>
              <w:left w:val="nil" w:sz="6" w:space="0" w:color="auto"/>
              <w:bottom w:val="nil" w:sz="6" w:space="0" w:color="auto"/>
              <w:right w:val="nil" w:sz="6" w:space="0" w:color="auto"/>
            </w:tcBorders>
          </w:tcPr>
          <w:p>
            <w:pPr/>
          </w:p>
        </w:tc>
        <w:tc>
          <w:tcPr>
            <w:tcW w:w="298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85"/>
              <w:jc w:val="right"/>
              <w:rPr>
                <w:rFonts w:ascii="Times New Roman" w:hAnsi="Times New Roman" w:cs="Times New Roman" w:eastAsia="Times New Roman" w:hint="default"/>
                <w:sz w:val="16"/>
                <w:szCs w:val="16"/>
              </w:rPr>
            </w:pPr>
            <w:r>
              <w:rPr>
                <w:rFonts w:ascii="Times New Roman"/>
                <w:spacing w:val="-1"/>
                <w:sz w:val="16"/>
              </w:rPr>
              <w:t>121,622,672.82</w:t>
            </w:r>
          </w:p>
        </w:tc>
        <w:tc>
          <w:tcPr>
            <w:tcW w:w="181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67,710,131.56</w:t>
            </w:r>
          </w:p>
        </w:tc>
      </w:tr>
      <w:tr>
        <w:trPr>
          <w:trHeight w:val="358" w:hRule="exact"/>
        </w:trPr>
        <w:tc>
          <w:tcPr>
            <w:tcW w:w="1394" w:type="dxa"/>
            <w:tcBorders>
              <w:top w:val="nil" w:sz="6" w:space="0" w:color="auto"/>
              <w:left w:val="nil" w:sz="6" w:space="0" w:color="auto"/>
              <w:bottom w:val="nil" w:sz="6" w:space="0" w:color="auto"/>
              <w:right w:val="nil" w:sz="6" w:space="0" w:color="auto"/>
            </w:tcBorders>
          </w:tcPr>
          <w:p>
            <w:pPr/>
          </w:p>
        </w:tc>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65"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98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85"/>
              <w:jc w:val="right"/>
              <w:rPr>
                <w:rFonts w:ascii="Times New Roman" w:hAnsi="Times New Roman" w:cs="Times New Roman" w:eastAsia="Times New Roman" w:hint="default"/>
                <w:sz w:val="16"/>
                <w:szCs w:val="16"/>
              </w:rPr>
            </w:pPr>
            <w:r>
              <w:rPr>
                <w:rFonts w:ascii="Times New Roman"/>
                <w:spacing w:val="-1"/>
                <w:sz w:val="16"/>
              </w:rPr>
              <w:t>791,235,904.59</w:t>
            </w:r>
          </w:p>
        </w:tc>
        <w:tc>
          <w:tcPr>
            <w:tcW w:w="181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1,070,112,816.91</w:t>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6"/>
          <w:szCs w:val="16"/>
        </w:rPr>
      </w:pPr>
    </w:p>
    <w:p>
      <w:pPr>
        <w:pStyle w:val="Heading5"/>
        <w:tabs>
          <w:tab w:pos="1397" w:val="left" w:leader="none"/>
        </w:tabs>
        <w:spacing w:line="240" w:lineRule="auto"/>
        <w:ind w:left="846" w:right="3681"/>
        <w:jc w:val="left"/>
        <w:rPr>
          <w:b w:val="0"/>
          <w:bCs w:val="0"/>
        </w:rPr>
      </w:pPr>
      <w:r>
        <w:rPr/>
        <w:pict>
          <v:group style="position:absolute;margin-left:119.010002pt;margin-top:-219.866196pt;width:411.85pt;height:197pt;mso-position-horizontal-relative:page;mso-position-vertical-relative:paragraph;z-index:-1376176" coordorigin="2380,-4397" coordsize="8237,3940">
            <v:group style="position:absolute;left:2410;top:-4382;width:3911;height:2" coordorigin="2410,-4382" coordsize="3911,2">
              <v:shape style="position:absolute;left:2410;top:-4382;width:3911;height:2" coordorigin="2410,-4382" coordsize="3911,0" path="m2410,-4382l6320,-4382e" filled="false" stroked="true" strokeweight="1.5pt" strokecolor="#000000">
                <v:path arrowok="t"/>
              </v:shape>
              <v:shape style="position:absolute;left:6320;top:-4367;width:10;height:28" type="#_x0000_t75" stroked="false">
                <v:imagedata r:id="rId37" o:title=""/>
              </v:shape>
            </v:group>
            <v:group style="position:absolute;left:6320;top:-4382;width:2136;height:2" coordorigin="6320,-4382" coordsize="2136,2">
              <v:shape style="position:absolute;left:6320;top:-4382;width:2136;height:2" coordorigin="6320,-4382" coordsize="2136,0" path="m6320,-4382l8456,-4382e" filled="false" stroked="true" strokeweight="1.5pt" strokecolor="#000000">
                <v:path arrowok="t"/>
              </v:shape>
              <v:shape style="position:absolute;left:8456;top:-4367;width:10;height:28" type="#_x0000_t75" stroked="false">
                <v:imagedata r:id="rId37" o:title=""/>
              </v:shape>
            </v:group>
            <v:group style="position:absolute;left:8456;top:-4382;width:2141;height:2" coordorigin="8456,-4382" coordsize="2141,2">
              <v:shape style="position:absolute;left:8456;top:-4382;width:2141;height:2" coordorigin="8456,-4382" coordsize="2141,0" path="m8456,-4382l10597,-4382e" filled="false" stroked="true" strokeweight="1.5pt" strokecolor="#000000">
                <v:path arrowok="t"/>
              </v:shape>
              <v:shape style="position:absolute;left:6301;top:-4359;width:2184;height:355" type="#_x0000_t75" stroked="false">
                <v:imagedata r:id="rId341" o:title=""/>
              </v:shape>
            </v:group>
            <v:group style="position:absolute;left:2395;top:-473;width:3926;height:2" coordorigin="2395,-473" coordsize="3926,2">
              <v:shape style="position:absolute;left:2395;top:-473;width:3926;height:2" coordorigin="2395,-473" coordsize="3926,0" path="m2395,-473l6320,-473e" filled="false" stroked="true" strokeweight="1.5pt" strokecolor="#000000">
                <v:path arrowok="t"/>
              </v:shape>
            </v:group>
            <v:group style="position:absolute;left:6320;top:-473;width:2136;height:2" coordorigin="6320,-473" coordsize="2136,2">
              <v:shape style="position:absolute;left:6320;top:-473;width:2136;height:2" coordorigin="6320,-473" coordsize="2136,0" path="m6320,-473l8456,-473e" filled="false" stroked="true" strokeweight="1.5pt" strokecolor="#000000">
                <v:path arrowok="t"/>
              </v:shape>
              <v:shape style="position:absolute;left:2390;top:-4042;width:8226;height:3554" type="#_x0000_t75" stroked="false">
                <v:imagedata r:id="rId342" o:title=""/>
              </v:shape>
            </v:group>
            <v:group style="position:absolute;left:8456;top:-473;width:2141;height:2" coordorigin="8456,-473" coordsize="2141,2">
              <v:shape style="position:absolute;left:8456;top:-473;width:2141;height:2" coordorigin="8456,-473" coordsize="2141,0" path="m8456,-473l10597,-473e" filled="false" stroked="true" strokeweight="1.5pt" strokecolor="#000000">
                <v:path arrowok="t"/>
              </v:shape>
            </v:group>
            <w10:wrap type="none"/>
          </v:group>
        </w:pict>
      </w:r>
      <w:r>
        <w:rPr>
          <w:rFonts w:ascii="Times New Roman" w:hAnsi="Times New Roman" w:cs="Times New Roman" w:eastAsia="Times New Roman" w:hint="default"/>
          <w:w w:val="95"/>
        </w:rPr>
        <w:t>3</w:t>
      </w:r>
      <w:r>
        <w:rPr>
          <w:w w:val="95"/>
        </w:rPr>
        <w:t>、</w:t>
        <w:tab/>
      </w:r>
      <w:r>
        <w:rPr/>
        <w:t>收到的其他与投资活动有关的现金</w:t>
      </w:r>
      <w:r>
        <w:rPr>
          <w:b w:val="0"/>
          <w:bCs w:val="0"/>
        </w:rPr>
      </w:r>
    </w:p>
    <w:p>
      <w:pPr>
        <w:spacing w:line="1111" w:lineRule="exact"/>
        <w:ind w:left="720" w:right="0" w:firstLine="0"/>
        <w:rPr>
          <w:rFonts w:ascii="宋体" w:hAnsi="宋体" w:cs="宋体" w:eastAsia="宋体" w:hint="default"/>
          <w:sz w:val="20"/>
          <w:szCs w:val="20"/>
        </w:rPr>
      </w:pPr>
      <w:r>
        <w:rPr>
          <w:rFonts w:ascii="宋体" w:hAnsi="宋体" w:cs="宋体" w:eastAsia="宋体" w:hint="default"/>
          <w:position w:val="-21"/>
          <w:sz w:val="20"/>
          <w:szCs w:val="20"/>
        </w:rPr>
        <w:pict>
          <v:group style="width:411.85pt;height:55.6pt;mso-position-horizontal-relative:char;mso-position-vertical-relative:line" coordorigin="0,0" coordsize="8237,1112">
            <v:group style="position:absolute;left:29;top:15;width:3911;height:2" coordorigin="29,15" coordsize="3911,2">
              <v:shape style="position:absolute;left:29;top:15;width:3911;height:2" coordorigin="29,15" coordsize="3911,0" path="m29,15l3940,15e" filled="false" stroked="true" strokeweight="1.5pt" strokecolor="#000000">
                <v:path arrowok="t"/>
              </v:shape>
              <v:shape style="position:absolute;left:3940;top:30;width:10;height:28" type="#_x0000_t75" stroked="false">
                <v:imagedata r:id="rId192" o:title=""/>
              </v:shape>
            </v:group>
            <v:group style="position:absolute;left:3940;top:15;width:2136;height:2" coordorigin="3940,15" coordsize="2136,2">
              <v:shape style="position:absolute;left:3940;top:15;width:2136;height:2" coordorigin="3940,15" coordsize="2136,0" path="m3940,15l6076,15e" filled="false" stroked="true" strokeweight="1.5pt" strokecolor="#000000">
                <v:path arrowok="t"/>
              </v:shape>
              <v:shape style="position:absolute;left:6076;top:30;width:10;height:28" type="#_x0000_t75" stroked="false">
                <v:imagedata r:id="rId192" o:title=""/>
              </v:shape>
            </v:group>
            <v:group style="position:absolute;left:6076;top:15;width:2141;height:2" coordorigin="6076,15" coordsize="2141,2">
              <v:shape style="position:absolute;left:6076;top:15;width:2141;height:2" coordorigin="6076,15" coordsize="2141,0" path="m6076,15l8217,15e" filled="false" stroked="true" strokeweight="1.5pt" strokecolor="#000000">
                <v:path arrowok="t"/>
              </v:shape>
              <v:shape style="position:absolute;left:3921;top:38;width:2184;height:354" type="#_x0000_t75" stroked="false">
                <v:imagedata r:id="rId343" o:title=""/>
              </v:shape>
            </v:group>
            <v:group style="position:absolute;left:15;top:1096;width:3926;height:2" coordorigin="15,1096" coordsize="3926,2">
              <v:shape style="position:absolute;left:15;top:1096;width:3926;height:2" coordorigin="15,1096" coordsize="3926,0" path="m15,1096l3940,1096e" filled="false" stroked="true" strokeweight="1.5pt" strokecolor="#000000">
                <v:path arrowok="t"/>
              </v:shape>
            </v:group>
            <v:group style="position:absolute;left:3940;top:1096;width:2136;height:2" coordorigin="3940,1096" coordsize="2136,2">
              <v:shape style="position:absolute;left:3940;top:1096;width:2136;height:2" coordorigin="3940,1096" coordsize="2136,0" path="m3940,1096l6076,1096e" filled="false" stroked="true" strokeweight="1.5pt" strokecolor="#000000">
                <v:path arrowok="t"/>
              </v:shape>
              <v:shape style="position:absolute;left:10;top:354;width:8226;height:727" type="#_x0000_t75" stroked="false">
                <v:imagedata r:id="rId344" o:title=""/>
              </v:shape>
            </v:group>
            <v:group style="position:absolute;left:6076;top:1096;width:2141;height:2" coordorigin="6076,1096" coordsize="2141,2">
              <v:shape style="position:absolute;left:6076;top:1096;width:2141;height:2" coordorigin="6076,1096" coordsize="2141,0" path="m6076,1096l8217,1096e" filled="false" stroked="true" strokeweight="1.5pt" strokecolor="#000000">
                <v:path arrowok="t"/>
              </v:shape>
              <v:shape style="position:absolute;left:1827;top:122;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项目</w:t>
                      </w:r>
                      <w:r>
                        <w:rPr>
                          <w:rFonts w:ascii="宋体" w:hAnsi="宋体" w:cs="宋体" w:eastAsia="宋体" w:hint="default"/>
                          <w:sz w:val="16"/>
                          <w:szCs w:val="16"/>
                        </w:rPr>
                      </w:r>
                    </w:p>
                  </w:txbxContent>
                </v:textbox>
                <w10:wrap type="none"/>
              </v:shape>
              <v:shape style="position:absolute;left:4612;top:122;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本期发生额</w:t>
                      </w:r>
                      <w:r>
                        <w:rPr>
                          <w:rFonts w:ascii="宋体" w:hAnsi="宋体" w:cs="宋体" w:eastAsia="宋体" w:hint="default"/>
                          <w:sz w:val="16"/>
                          <w:szCs w:val="16"/>
                        </w:rPr>
                      </w:r>
                    </w:p>
                  </w:txbxContent>
                </v:textbox>
                <w10:wrap type="none"/>
              </v:shape>
              <v:shape style="position:absolute;left:6748;top:122;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上期发生额</w:t>
                      </w:r>
                      <w:r>
                        <w:rPr>
                          <w:rFonts w:ascii="宋体" w:hAnsi="宋体" w:cs="宋体" w:eastAsia="宋体" w:hint="default"/>
                          <w:sz w:val="16"/>
                          <w:szCs w:val="16"/>
                        </w:rPr>
                      </w:r>
                    </w:p>
                  </w:txbxContent>
                </v:textbox>
                <w10:wrap type="none"/>
              </v:shape>
              <v:shape style="position:absolute;left:137;top:475;width:159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与资产相关的政府补助</w:t>
                      </w:r>
                      <w:r>
                        <w:rPr>
                          <w:rFonts w:ascii="宋体" w:hAnsi="宋体" w:cs="宋体" w:eastAsia="宋体" w:hint="default"/>
                          <w:sz w:val="16"/>
                          <w:szCs w:val="16"/>
                        </w:rPr>
                      </w:r>
                    </w:p>
                  </w:txbxContent>
                </v:textbox>
                <w10:wrap type="none"/>
              </v:shape>
              <v:shape style="position:absolute;left:7269;top:488;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9,562,514.10</w:t>
                      </w:r>
                      <w:r>
                        <w:rPr>
                          <w:rFonts w:ascii="Times New Roman"/>
                          <w:sz w:val="16"/>
                        </w:rPr>
                      </w:r>
                    </w:p>
                  </w:txbxContent>
                </v:textbox>
                <w10:wrap type="none"/>
              </v:shape>
              <v:shape style="position:absolute;left:1827;top:829;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合计</w:t>
                      </w:r>
                      <w:r>
                        <w:rPr>
                          <w:rFonts w:ascii="宋体" w:hAnsi="宋体" w:cs="宋体" w:eastAsia="宋体" w:hint="default"/>
                          <w:sz w:val="16"/>
                          <w:szCs w:val="16"/>
                        </w:rPr>
                      </w:r>
                    </w:p>
                  </w:txbxContent>
                </v:textbox>
                <w10:wrap type="none"/>
              </v:shape>
              <v:shape style="position:absolute;left:7269;top:842;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9,562,514.10</w:t>
                      </w:r>
                      <w:r>
                        <w:rPr>
                          <w:rFonts w:ascii="Times New Roman"/>
                          <w:sz w:val="16"/>
                        </w:rPr>
                      </w:r>
                    </w:p>
                  </w:txbxContent>
                </v:textbox>
                <w10:wrap type="none"/>
              </v:shape>
            </v:group>
          </v:group>
        </w:pict>
      </w:r>
      <w:r>
        <w:rPr>
          <w:rFonts w:ascii="宋体" w:hAnsi="宋体" w:cs="宋体" w:eastAsia="宋体" w:hint="default"/>
          <w:position w:val="-21"/>
          <w:sz w:val="20"/>
          <w:szCs w:val="2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6"/>
          <w:szCs w:val="16"/>
        </w:rPr>
      </w:pPr>
    </w:p>
    <w:p>
      <w:pPr>
        <w:pStyle w:val="Heading5"/>
        <w:tabs>
          <w:tab w:pos="1397" w:val="left" w:leader="none"/>
        </w:tabs>
        <w:spacing w:line="240" w:lineRule="auto"/>
        <w:ind w:left="846" w:right="3681"/>
        <w:jc w:val="left"/>
        <w:rPr>
          <w:b w:val="0"/>
          <w:bCs w:val="0"/>
        </w:rPr>
      </w:pPr>
      <w:r>
        <w:rPr>
          <w:rFonts w:ascii="Times New Roman" w:hAnsi="Times New Roman" w:cs="Times New Roman" w:eastAsia="Times New Roman" w:hint="default"/>
          <w:w w:val="95"/>
        </w:rPr>
        <w:t>4</w:t>
      </w:r>
      <w:r>
        <w:rPr>
          <w:w w:val="95"/>
        </w:rPr>
        <w:t>、</w:t>
        <w:tab/>
      </w:r>
      <w:r>
        <w:rPr/>
        <w:t>支付的其他与投资活动有关的现金</w:t>
      </w:r>
      <w:r>
        <w:rPr>
          <w:b w:val="0"/>
          <w:bCs w:val="0"/>
        </w:rPr>
      </w:r>
    </w:p>
    <w:p>
      <w:pPr>
        <w:spacing w:line="2170" w:lineRule="exact"/>
        <w:ind w:left="720" w:right="0" w:firstLine="0"/>
        <w:rPr>
          <w:rFonts w:ascii="宋体" w:hAnsi="宋体" w:cs="宋体" w:eastAsia="宋体" w:hint="default"/>
          <w:sz w:val="20"/>
          <w:szCs w:val="20"/>
        </w:rPr>
      </w:pPr>
      <w:r>
        <w:rPr>
          <w:rFonts w:ascii="宋体" w:hAnsi="宋体" w:cs="宋体" w:eastAsia="宋体" w:hint="default"/>
          <w:position w:val="-42"/>
          <w:sz w:val="20"/>
          <w:szCs w:val="20"/>
        </w:rPr>
        <w:pict>
          <v:group style="width:411.75pt;height:108.55pt;mso-position-horizontal-relative:char;mso-position-vertical-relative:line" coordorigin="0,0" coordsize="8235,2171">
            <v:group style="position:absolute;left:29;top:15;width:3966;height:2" coordorigin="29,15" coordsize="3966,2">
              <v:shape style="position:absolute;left:29;top:15;width:3966;height:2" coordorigin="29,15" coordsize="3966,0" path="m29,15l3995,15e" filled="false" stroked="true" strokeweight="1.5pt" strokecolor="#000000">
                <v:path arrowok="t"/>
              </v:shape>
              <v:shape style="position:absolute;left:3995;top:30;width:10;height:28" type="#_x0000_t75" stroked="false">
                <v:imagedata r:id="rId64" o:title=""/>
              </v:shape>
            </v:group>
            <v:group style="position:absolute;left:3995;top:15;width:30;height:2" coordorigin="3995,15" coordsize="30,2">
              <v:shape style="position:absolute;left:3995;top:15;width:30;height:2" coordorigin="3995,15" coordsize="30,0" path="m3995,15l4025,15e" filled="false" stroked="true" strokeweight="1.5pt" strokecolor="#000000">
                <v:path arrowok="t"/>
              </v:shape>
            </v:group>
            <v:group style="position:absolute;left:4025;top:15;width:2050;height:2" coordorigin="4025,15" coordsize="2050,2">
              <v:shape style="position:absolute;left:4025;top:15;width:2050;height:2" coordorigin="4025,15" coordsize="2050,0" path="m4025,15l6075,15e" filled="false" stroked="true" strokeweight="1.5pt" strokecolor="#000000">
                <v:path arrowok="t"/>
              </v:shape>
              <v:shape style="position:absolute;left:6075;top:30;width:10;height:28" type="#_x0000_t75" stroked="false">
                <v:imagedata r:id="rId64" o:title=""/>
              </v:shape>
            </v:group>
            <v:group style="position:absolute;left:6075;top:15;width:2142;height:2" coordorigin="6075,15" coordsize="2142,2">
              <v:shape style="position:absolute;left:6075;top:15;width:2142;height:2" coordorigin="6075,15" coordsize="2142,0" path="m6075,15l8217,15e" filled="false" stroked="true" strokeweight="1.5pt" strokecolor="#000000">
                <v:path arrowok="t"/>
              </v:shape>
              <v:shape style="position:absolute;left:3976;top:38;width:2128;height:355" type="#_x0000_t75" stroked="false">
                <v:imagedata r:id="rId345" o:title=""/>
              </v:shape>
            </v:group>
            <v:group style="position:absolute;left:15;top:2156;width:3981;height:2" coordorigin="15,2156" coordsize="3981,2">
              <v:shape style="position:absolute;left:15;top:2156;width:3981;height:2" coordorigin="15,2156" coordsize="3981,0" path="m15,2156l3995,2156e" filled="false" stroked="true" strokeweight="1.5pt" strokecolor="#000000">
                <v:path arrowok="t"/>
              </v:shape>
            </v:group>
            <v:group style="position:absolute;left:3995;top:2156;width:30;height:2" coordorigin="3995,2156" coordsize="30,2">
              <v:shape style="position:absolute;left:3995;top:2156;width:30;height:2" coordorigin="3995,2156" coordsize="30,0" path="m3995,2156l4025,2156e" filled="false" stroked="true" strokeweight="1.5pt" strokecolor="#000000">
                <v:path arrowok="t"/>
              </v:shape>
            </v:group>
            <v:group style="position:absolute;left:4025;top:2156;width:2050;height:2" coordorigin="4025,2156" coordsize="2050,2">
              <v:shape style="position:absolute;left:4025;top:2156;width:2050;height:2" coordorigin="4025,2156" coordsize="2050,0" path="m4025,2156l6075,2156e" filled="false" stroked="true" strokeweight="1.5pt" strokecolor="#000000">
                <v:path arrowok="t"/>
              </v:shape>
              <v:shape style="position:absolute;left:10;top:362;width:8225;height:1779" type="#_x0000_t75" stroked="false">
                <v:imagedata r:id="rId346" o:title=""/>
              </v:shape>
            </v:group>
            <v:group style="position:absolute;left:6075;top:2156;width:2142;height:2" coordorigin="6075,2156" coordsize="2142,2">
              <v:shape style="position:absolute;left:6075;top:2156;width:2142;height:2" coordorigin="6075,2156" coordsize="2142,0" path="m6075,2156l8217,2156e" filled="false" stroked="true" strokeweight="1.5pt" strokecolor="#000000">
                <v:path arrowok="t"/>
              </v:shape>
              <v:shape style="position:absolute;left:1855;top:122;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项目</w:t>
                      </w:r>
                      <w:r>
                        <w:rPr>
                          <w:rFonts w:ascii="宋体" w:hAnsi="宋体" w:cs="宋体" w:eastAsia="宋体" w:hint="default"/>
                          <w:sz w:val="16"/>
                          <w:szCs w:val="16"/>
                        </w:rPr>
                      </w:r>
                    </w:p>
                  </w:txbxContent>
                </v:textbox>
                <w10:wrap type="none"/>
              </v:shape>
              <v:shape style="position:absolute;left:4639;top:122;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本期发生额</w:t>
                      </w:r>
                      <w:r>
                        <w:rPr>
                          <w:rFonts w:ascii="宋体" w:hAnsi="宋体" w:cs="宋体" w:eastAsia="宋体" w:hint="default"/>
                          <w:sz w:val="16"/>
                          <w:szCs w:val="16"/>
                        </w:rPr>
                      </w:r>
                    </w:p>
                  </w:txbxContent>
                </v:textbox>
                <w10:wrap type="none"/>
              </v:shape>
              <v:shape style="position:absolute;left:6747;top:122;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上期发生额</w:t>
                      </w:r>
                      <w:r>
                        <w:rPr>
                          <w:rFonts w:ascii="宋体" w:hAnsi="宋体" w:cs="宋体" w:eastAsia="宋体" w:hint="default"/>
                          <w:sz w:val="16"/>
                          <w:szCs w:val="16"/>
                        </w:rPr>
                      </w:r>
                    </w:p>
                  </w:txbxContent>
                </v:textbox>
                <w10:wrap type="none"/>
              </v:shape>
              <v:shape style="position:absolute;left:137;top:475;width:1758;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取得投资收益支付的税费</w:t>
                      </w:r>
                      <w:r>
                        <w:rPr>
                          <w:rFonts w:ascii="宋体" w:hAnsi="宋体" w:cs="宋体" w:eastAsia="宋体" w:hint="default"/>
                          <w:sz w:val="16"/>
                          <w:szCs w:val="16"/>
                        </w:rPr>
                      </w:r>
                    </w:p>
                  </w:txbxContent>
                </v:textbox>
                <w10:wrap type="none"/>
              </v:shape>
              <v:shape style="position:absolute;left:5050;top:488;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48,523,253.09</w:t>
                      </w:r>
                      <w:r>
                        <w:rPr>
                          <w:rFonts w:ascii="Times New Roman"/>
                          <w:sz w:val="16"/>
                        </w:rPr>
                      </w:r>
                    </w:p>
                  </w:txbxContent>
                </v:textbox>
                <w10:wrap type="none"/>
              </v:shape>
              <v:shape style="position:absolute;left:137;top:829;width:95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物业改造支出</w:t>
                      </w:r>
                      <w:r>
                        <w:rPr>
                          <w:rFonts w:ascii="宋体" w:hAnsi="宋体" w:cs="宋体" w:eastAsia="宋体" w:hint="default"/>
                          <w:sz w:val="16"/>
                          <w:szCs w:val="16"/>
                        </w:rPr>
                      </w:r>
                    </w:p>
                  </w:txbxContent>
                </v:textbox>
                <w10:wrap type="none"/>
              </v:shape>
              <v:shape style="position:absolute;left:5050;top:842;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32,723,726.92</w:t>
                      </w:r>
                      <w:r>
                        <w:rPr>
                          <w:rFonts w:ascii="Times New Roman"/>
                          <w:sz w:val="16"/>
                        </w:rPr>
                      </w:r>
                    </w:p>
                  </w:txbxContent>
                </v:textbox>
                <w10:wrap type="none"/>
              </v:shape>
              <v:shape style="position:absolute;left:137;top:1182;width:159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原子公司冠捷科技转出</w:t>
                      </w:r>
                      <w:r>
                        <w:rPr>
                          <w:rFonts w:ascii="宋体" w:hAnsi="宋体" w:cs="宋体" w:eastAsia="宋体" w:hint="default"/>
                          <w:sz w:val="16"/>
                          <w:szCs w:val="16"/>
                        </w:rPr>
                      </w:r>
                    </w:p>
                  </w:txbxContent>
                </v:textbox>
                <w10:wrap type="none"/>
              </v:shape>
              <v:shape style="position:absolute;left:6989;top:1195;width:112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4,540,190,193.00</w:t>
                      </w:r>
                      <w:r>
                        <w:rPr>
                          <w:rFonts w:ascii="Times New Roman"/>
                          <w:sz w:val="16"/>
                        </w:rPr>
                      </w:r>
                    </w:p>
                  </w:txbxContent>
                </v:textbox>
                <w10:wrap type="none"/>
              </v:shape>
              <v:shape style="position:absolute;left:137;top:1536;width:20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支付的重大资产重组项目费用</w:t>
                      </w:r>
                      <w:r>
                        <w:rPr>
                          <w:rFonts w:ascii="宋体" w:hAnsi="宋体" w:cs="宋体" w:eastAsia="宋体" w:hint="default"/>
                          <w:sz w:val="16"/>
                          <w:szCs w:val="16"/>
                        </w:rPr>
                      </w:r>
                    </w:p>
                  </w:txbxContent>
                </v:textbox>
                <w10:wrap type="none"/>
              </v:shape>
              <v:shape style="position:absolute;left:7269;top:1549;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2,616,585.40</w:t>
                      </w:r>
                      <w:r>
                        <w:rPr>
                          <w:rFonts w:ascii="Times New Roman"/>
                          <w:sz w:val="16"/>
                        </w:rPr>
                      </w:r>
                    </w:p>
                  </w:txbxContent>
                </v:textbox>
                <w10:wrap type="none"/>
              </v:shape>
              <v:shape style="position:absolute;left:1855;top:1890;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合计</w:t>
                      </w:r>
                      <w:r>
                        <w:rPr>
                          <w:rFonts w:ascii="宋体" w:hAnsi="宋体" w:cs="宋体" w:eastAsia="宋体" w:hint="default"/>
                          <w:sz w:val="16"/>
                          <w:szCs w:val="16"/>
                        </w:rPr>
                      </w:r>
                    </w:p>
                  </w:txbxContent>
                </v:textbox>
                <w10:wrap type="none"/>
              </v:shape>
              <v:shape style="position:absolute;left:5050;top:1903;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81,246,980.01</w:t>
                      </w:r>
                      <w:r>
                        <w:rPr>
                          <w:rFonts w:ascii="Times New Roman"/>
                          <w:sz w:val="16"/>
                        </w:rPr>
                      </w:r>
                    </w:p>
                  </w:txbxContent>
                </v:textbox>
                <w10:wrap type="none"/>
              </v:shape>
              <v:shape style="position:absolute;left:6989;top:1903;width:112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4,542,806,778.40</w:t>
                      </w:r>
                      <w:r>
                        <w:rPr>
                          <w:rFonts w:ascii="Times New Roman"/>
                          <w:sz w:val="16"/>
                        </w:rPr>
                      </w:r>
                    </w:p>
                  </w:txbxContent>
                </v:textbox>
                <w10:wrap type="none"/>
              </v:shape>
            </v:group>
          </v:group>
        </w:pict>
      </w:r>
      <w:r>
        <w:rPr>
          <w:rFonts w:ascii="宋体" w:hAnsi="宋体" w:cs="宋体" w:eastAsia="宋体" w:hint="default"/>
          <w:position w:val="-42"/>
          <w:sz w:val="20"/>
          <w:szCs w:val="20"/>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6"/>
          <w:szCs w:val="16"/>
        </w:rPr>
      </w:pPr>
    </w:p>
    <w:p>
      <w:pPr>
        <w:pStyle w:val="Heading5"/>
        <w:tabs>
          <w:tab w:pos="1397" w:val="left" w:leader="none"/>
        </w:tabs>
        <w:spacing w:line="240" w:lineRule="auto"/>
        <w:ind w:left="846" w:right="3681"/>
        <w:jc w:val="left"/>
        <w:rPr>
          <w:b w:val="0"/>
          <w:bCs w:val="0"/>
        </w:rPr>
      </w:pPr>
      <w:r>
        <w:rPr>
          <w:rFonts w:ascii="Times New Roman" w:hAnsi="Times New Roman" w:cs="Times New Roman" w:eastAsia="Times New Roman" w:hint="default"/>
          <w:w w:val="95"/>
        </w:rPr>
        <w:t>5</w:t>
      </w:r>
      <w:r>
        <w:rPr>
          <w:w w:val="95"/>
        </w:rPr>
        <w:t>、</w:t>
        <w:tab/>
      </w:r>
      <w:r>
        <w:rPr/>
        <w:t>收到的其他与筹资活动有关的现金</w:t>
      </w:r>
      <w:r>
        <w:rPr>
          <w:b w:val="0"/>
          <w:bCs w:val="0"/>
        </w:rPr>
      </w:r>
    </w:p>
    <w:p>
      <w:pPr>
        <w:spacing w:line="1111" w:lineRule="exact"/>
        <w:ind w:left="720" w:right="0" w:firstLine="0"/>
        <w:rPr>
          <w:rFonts w:ascii="宋体" w:hAnsi="宋体" w:cs="宋体" w:eastAsia="宋体" w:hint="default"/>
          <w:sz w:val="20"/>
          <w:szCs w:val="20"/>
        </w:rPr>
      </w:pPr>
      <w:r>
        <w:rPr>
          <w:rFonts w:ascii="宋体" w:hAnsi="宋体" w:cs="宋体" w:eastAsia="宋体" w:hint="default"/>
          <w:position w:val="-21"/>
          <w:sz w:val="20"/>
          <w:szCs w:val="20"/>
        </w:rPr>
        <w:pict>
          <v:group style="width:411.85pt;height:55.6pt;mso-position-horizontal-relative:char;mso-position-vertical-relative:line" coordorigin="0,0" coordsize="8237,1112">
            <v:group style="position:absolute;left:29;top:15;width:3911;height:2" coordorigin="29,15" coordsize="3911,2">
              <v:shape style="position:absolute;left:29;top:15;width:3911;height:2" coordorigin="29,15" coordsize="3911,0" path="m29,15l3940,15e" filled="false" stroked="true" strokeweight="1.5pt" strokecolor="#000000">
                <v:path arrowok="t"/>
              </v:shape>
              <v:shape style="position:absolute;left:3940;top:30;width:10;height:28" type="#_x0000_t75" stroked="false">
                <v:imagedata r:id="rId35" o:title=""/>
              </v:shape>
            </v:group>
            <v:group style="position:absolute;left:3940;top:15;width:2136;height:2" coordorigin="3940,15" coordsize="2136,2">
              <v:shape style="position:absolute;left:3940;top:15;width:2136;height:2" coordorigin="3940,15" coordsize="2136,0" path="m3940,15l6076,15e" filled="false" stroked="true" strokeweight="1.5pt" strokecolor="#000000">
                <v:path arrowok="t"/>
              </v:shape>
              <v:shape style="position:absolute;left:6076;top:30;width:10;height:28" type="#_x0000_t75" stroked="false">
                <v:imagedata r:id="rId35" o:title=""/>
              </v:shape>
            </v:group>
            <v:group style="position:absolute;left:6076;top:15;width:2141;height:2" coordorigin="6076,15" coordsize="2141,2">
              <v:shape style="position:absolute;left:6076;top:15;width:2141;height:2" coordorigin="6076,15" coordsize="2141,0" path="m6076,15l8217,15e" filled="false" stroked="true" strokeweight="1.5pt" strokecolor="#000000">
                <v:path arrowok="t"/>
              </v:shape>
              <v:shape style="position:absolute;left:3921;top:38;width:2184;height:354" type="#_x0000_t75" stroked="false">
                <v:imagedata r:id="rId347" o:title=""/>
              </v:shape>
            </v:group>
            <v:group style="position:absolute;left:15;top:1096;width:3926;height:2" coordorigin="15,1096" coordsize="3926,2">
              <v:shape style="position:absolute;left:15;top:1096;width:3926;height:2" coordorigin="15,1096" coordsize="3926,0" path="m15,1096l3940,1096e" filled="false" stroked="true" strokeweight="1.5pt" strokecolor="#000000">
                <v:path arrowok="t"/>
              </v:shape>
            </v:group>
            <v:group style="position:absolute;left:3940;top:1096;width:2136;height:2" coordorigin="3940,1096" coordsize="2136,2">
              <v:shape style="position:absolute;left:3940;top:1096;width:2136;height:2" coordorigin="3940,1096" coordsize="2136,0" path="m3940,1096l6076,1096e" filled="false" stroked="true" strokeweight="1.5pt" strokecolor="#000000">
                <v:path arrowok="t"/>
              </v:shape>
              <v:shape style="position:absolute;left:10;top:354;width:8226;height:727" type="#_x0000_t75" stroked="false">
                <v:imagedata r:id="rId348" o:title=""/>
              </v:shape>
            </v:group>
            <v:group style="position:absolute;left:6076;top:1096;width:2141;height:2" coordorigin="6076,1096" coordsize="2141,2">
              <v:shape style="position:absolute;left:6076;top:1096;width:2141;height:2" coordorigin="6076,1096" coordsize="2141,0" path="m6076,1096l8217,1096e" filled="false" stroked="true" strokeweight="1.5pt" strokecolor="#000000">
                <v:path arrowok="t"/>
              </v:shape>
              <v:shape style="position:absolute;left:1827;top:121;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项目</w:t>
                      </w:r>
                      <w:r>
                        <w:rPr>
                          <w:rFonts w:ascii="宋体" w:hAnsi="宋体" w:cs="宋体" w:eastAsia="宋体" w:hint="default"/>
                          <w:sz w:val="16"/>
                          <w:szCs w:val="16"/>
                        </w:rPr>
                      </w:r>
                    </w:p>
                  </w:txbxContent>
                </v:textbox>
                <w10:wrap type="none"/>
              </v:shape>
              <v:shape style="position:absolute;left:4612;top:121;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本期发生额</w:t>
                      </w:r>
                      <w:r>
                        <w:rPr>
                          <w:rFonts w:ascii="宋体" w:hAnsi="宋体" w:cs="宋体" w:eastAsia="宋体" w:hint="default"/>
                          <w:sz w:val="16"/>
                          <w:szCs w:val="16"/>
                        </w:rPr>
                      </w:r>
                    </w:p>
                  </w:txbxContent>
                </v:textbox>
                <w10:wrap type="none"/>
              </v:shape>
              <v:shape style="position:absolute;left:6748;top:121;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上期发生额</w:t>
                      </w:r>
                      <w:r>
                        <w:rPr>
                          <w:rFonts w:ascii="宋体" w:hAnsi="宋体" w:cs="宋体" w:eastAsia="宋体" w:hint="default"/>
                          <w:sz w:val="16"/>
                          <w:szCs w:val="16"/>
                        </w:rPr>
                      </w:r>
                    </w:p>
                  </w:txbxContent>
                </v:textbox>
                <w10:wrap type="none"/>
              </v:shape>
              <v:shape style="position:absolute;left:137;top:475;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国拨资金</w:t>
                      </w:r>
                      <w:r>
                        <w:rPr>
                          <w:rFonts w:ascii="宋体" w:hAnsi="宋体" w:cs="宋体" w:eastAsia="宋体" w:hint="default"/>
                          <w:sz w:val="16"/>
                          <w:szCs w:val="16"/>
                        </w:rPr>
                      </w:r>
                    </w:p>
                  </w:txbxContent>
                </v:textbox>
                <w10:wrap type="none"/>
              </v:shape>
              <v:shape style="position:absolute;left:5053;top:488;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46,980,000.00</w:t>
                      </w:r>
                      <w:r>
                        <w:rPr>
                          <w:rFonts w:ascii="Times New Roman"/>
                          <w:sz w:val="16"/>
                        </w:rPr>
                      </w:r>
                    </w:p>
                  </w:txbxContent>
                </v:textbox>
                <w10:wrap type="none"/>
              </v:shape>
              <v:shape style="position:absolute;left:7189;top:488;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82,900,000.00</w:t>
                      </w:r>
                      <w:r>
                        <w:rPr>
                          <w:rFonts w:ascii="Times New Roman"/>
                          <w:sz w:val="16"/>
                        </w:rPr>
                      </w:r>
                    </w:p>
                  </w:txbxContent>
                </v:textbox>
                <w10:wrap type="none"/>
              </v:shape>
              <v:shape style="position:absolute;left:1827;top:829;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合计</w:t>
                      </w:r>
                      <w:r>
                        <w:rPr>
                          <w:rFonts w:ascii="宋体" w:hAnsi="宋体" w:cs="宋体" w:eastAsia="宋体" w:hint="default"/>
                          <w:sz w:val="16"/>
                          <w:szCs w:val="16"/>
                        </w:rPr>
                      </w:r>
                    </w:p>
                  </w:txbxContent>
                </v:textbox>
                <w10:wrap type="none"/>
              </v:shape>
              <v:shape style="position:absolute;left:5053;top:842;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46,980,000.00</w:t>
                      </w:r>
                      <w:r>
                        <w:rPr>
                          <w:rFonts w:ascii="Times New Roman"/>
                          <w:sz w:val="16"/>
                        </w:rPr>
                      </w:r>
                    </w:p>
                  </w:txbxContent>
                </v:textbox>
                <w10:wrap type="none"/>
              </v:shape>
              <v:shape style="position:absolute;left:7189;top:842;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82,900,000.00</w:t>
                      </w:r>
                      <w:r>
                        <w:rPr>
                          <w:rFonts w:ascii="Times New Roman"/>
                          <w:sz w:val="16"/>
                        </w:rPr>
                      </w:r>
                    </w:p>
                  </w:txbxContent>
                </v:textbox>
                <w10:wrap type="none"/>
              </v:shape>
            </v:group>
          </v:group>
        </w:pict>
      </w:r>
      <w:r>
        <w:rPr>
          <w:rFonts w:ascii="宋体" w:hAnsi="宋体" w:cs="宋体" w:eastAsia="宋体" w:hint="default"/>
          <w:position w:val="-21"/>
          <w:sz w:val="20"/>
          <w:szCs w:val="2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6"/>
          <w:szCs w:val="16"/>
        </w:rPr>
      </w:pPr>
    </w:p>
    <w:p>
      <w:pPr>
        <w:pStyle w:val="Heading5"/>
        <w:tabs>
          <w:tab w:pos="1397" w:val="left" w:leader="none"/>
        </w:tabs>
        <w:spacing w:line="240" w:lineRule="auto"/>
        <w:ind w:left="846" w:right="3681"/>
        <w:jc w:val="left"/>
        <w:rPr>
          <w:b w:val="0"/>
          <w:bCs w:val="0"/>
        </w:rPr>
      </w:pPr>
      <w:r>
        <w:rPr>
          <w:rFonts w:ascii="Times New Roman" w:hAnsi="Times New Roman" w:cs="Times New Roman" w:eastAsia="Times New Roman" w:hint="default"/>
          <w:w w:val="95"/>
        </w:rPr>
        <w:t>6</w:t>
      </w:r>
      <w:r>
        <w:rPr>
          <w:w w:val="95"/>
        </w:rPr>
        <w:t>、</w:t>
        <w:tab/>
      </w:r>
      <w:r>
        <w:rPr/>
        <w:t>支付的其他与筹资活动有关的现金</w:t>
      </w:r>
      <w:r>
        <w:rPr>
          <w:b w:val="0"/>
          <w:bCs w:val="0"/>
        </w:rPr>
      </w:r>
    </w:p>
    <w:p>
      <w:pPr>
        <w:spacing w:line="2170" w:lineRule="exact"/>
        <w:ind w:left="720" w:right="0" w:firstLine="0"/>
        <w:rPr>
          <w:rFonts w:ascii="宋体" w:hAnsi="宋体" w:cs="宋体" w:eastAsia="宋体" w:hint="default"/>
          <w:sz w:val="20"/>
          <w:szCs w:val="20"/>
        </w:rPr>
      </w:pPr>
      <w:r>
        <w:rPr>
          <w:rFonts w:ascii="宋体" w:hAnsi="宋体" w:cs="宋体" w:eastAsia="宋体" w:hint="default"/>
          <w:position w:val="-42"/>
          <w:sz w:val="20"/>
          <w:szCs w:val="20"/>
        </w:rPr>
        <w:pict>
          <v:group style="width:411.85pt;height:108.55pt;mso-position-horizontal-relative:char;mso-position-vertical-relative:line" coordorigin="0,0" coordsize="8237,2171">
            <v:group style="position:absolute;left:29;top:15;width:3911;height:2" coordorigin="29,15" coordsize="3911,2">
              <v:shape style="position:absolute;left:29;top:15;width:3911;height:2" coordorigin="29,15" coordsize="3911,0" path="m29,15l3940,15e" filled="false" stroked="true" strokeweight="1.5pt" strokecolor="#000000">
                <v:path arrowok="t"/>
              </v:shape>
              <v:shape style="position:absolute;left:3940;top:30;width:10;height:28" type="#_x0000_t75" stroked="false">
                <v:imagedata r:id="rId32" o:title=""/>
              </v:shape>
            </v:group>
            <v:group style="position:absolute;left:3940;top:15;width:2136;height:2" coordorigin="3940,15" coordsize="2136,2">
              <v:shape style="position:absolute;left:3940;top:15;width:2136;height:2" coordorigin="3940,15" coordsize="2136,0" path="m3940,15l6076,15e" filled="false" stroked="true" strokeweight="1.5pt" strokecolor="#000000">
                <v:path arrowok="t"/>
              </v:shape>
              <v:shape style="position:absolute;left:6076;top:30;width:10;height:28" type="#_x0000_t75" stroked="false">
                <v:imagedata r:id="rId32" o:title=""/>
              </v:shape>
            </v:group>
            <v:group style="position:absolute;left:6076;top:15;width:2141;height:2" coordorigin="6076,15" coordsize="2141,2">
              <v:shape style="position:absolute;left:6076;top:15;width:2141;height:2" coordorigin="6076,15" coordsize="2141,0" path="m6076,15l8217,15e" filled="false" stroked="true" strokeweight="1.5pt" strokecolor="#000000">
                <v:path arrowok="t"/>
              </v:shape>
              <v:shape style="position:absolute;left:3921;top:38;width:2184;height:354" type="#_x0000_t75" stroked="false">
                <v:imagedata r:id="rId349" o:title=""/>
              </v:shape>
            </v:group>
            <v:group style="position:absolute;left:15;top:2156;width:3926;height:2" coordorigin="15,2156" coordsize="3926,2">
              <v:shape style="position:absolute;left:15;top:2156;width:3926;height:2" coordorigin="15,2156" coordsize="3926,0" path="m15,2156l3940,2156e" filled="false" stroked="true" strokeweight="1.5pt" strokecolor="#000000">
                <v:path arrowok="t"/>
              </v:shape>
            </v:group>
            <v:group style="position:absolute;left:3940;top:2156;width:2136;height:2" coordorigin="3940,2156" coordsize="2136,2">
              <v:shape style="position:absolute;left:3940;top:2156;width:2136;height:2" coordorigin="3940,2156" coordsize="2136,0" path="m3940,2156l6076,2156e" filled="false" stroked="true" strokeweight="1.5pt" strokecolor="#000000">
                <v:path arrowok="t"/>
              </v:shape>
              <v:shape style="position:absolute;left:10;top:354;width:8226;height:1787" type="#_x0000_t75" stroked="false">
                <v:imagedata r:id="rId350" o:title=""/>
              </v:shape>
            </v:group>
            <v:group style="position:absolute;left:6076;top:2156;width:2141;height:2" coordorigin="6076,2156" coordsize="2141,2">
              <v:shape style="position:absolute;left:6076;top:2156;width:2141;height:2" coordorigin="6076,2156" coordsize="2141,0" path="m6076,2156l8217,2156e" filled="false" stroked="true" strokeweight="1.5pt" strokecolor="#000000">
                <v:path arrowok="t"/>
              </v:shape>
              <v:shape style="position:absolute;left:1827;top:122;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项目</w:t>
                      </w:r>
                      <w:r>
                        <w:rPr>
                          <w:rFonts w:ascii="宋体" w:hAnsi="宋体" w:cs="宋体" w:eastAsia="宋体" w:hint="default"/>
                          <w:sz w:val="16"/>
                          <w:szCs w:val="16"/>
                        </w:rPr>
                      </w:r>
                    </w:p>
                  </w:txbxContent>
                </v:textbox>
                <w10:wrap type="none"/>
              </v:shape>
              <v:shape style="position:absolute;left:4612;top:122;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本期发生额</w:t>
                      </w:r>
                      <w:r>
                        <w:rPr>
                          <w:rFonts w:ascii="宋体" w:hAnsi="宋体" w:cs="宋体" w:eastAsia="宋体" w:hint="default"/>
                          <w:sz w:val="16"/>
                          <w:szCs w:val="16"/>
                        </w:rPr>
                      </w:r>
                    </w:p>
                  </w:txbxContent>
                </v:textbox>
                <w10:wrap type="none"/>
              </v:shape>
              <v:shape style="position:absolute;left:6748;top:122;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上期发生额</w:t>
                      </w:r>
                      <w:r>
                        <w:rPr>
                          <w:rFonts w:ascii="宋体" w:hAnsi="宋体" w:cs="宋体" w:eastAsia="宋体" w:hint="default"/>
                          <w:sz w:val="16"/>
                          <w:szCs w:val="16"/>
                        </w:rPr>
                      </w:r>
                    </w:p>
                  </w:txbxContent>
                </v:textbox>
                <w10:wrap type="none"/>
              </v:shape>
              <v:shape style="position:absolute;left:137;top:475;width:14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用于担保的定期存款</w:t>
                      </w:r>
                      <w:r>
                        <w:rPr>
                          <w:rFonts w:ascii="宋体" w:hAnsi="宋体" w:cs="宋体" w:eastAsia="宋体" w:hint="default"/>
                          <w:sz w:val="16"/>
                          <w:szCs w:val="16"/>
                        </w:rPr>
                      </w:r>
                    </w:p>
                  </w:txbxContent>
                </v:textbox>
                <w10:wrap type="none"/>
              </v:shape>
              <v:shape style="position:absolute;left:4979;top:488;width:995;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pacing w:val="-1"/>
                          <w:sz w:val="16"/>
                        </w:rPr>
                        <w:t>112,000,000.00</w:t>
                      </w:r>
                    </w:p>
                  </w:txbxContent>
                </v:textbox>
                <w10:wrap type="none"/>
              </v:shape>
              <v:shape style="position:absolute;left:137;top:829;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票据保证金</w:t>
                      </w:r>
                      <w:r>
                        <w:rPr>
                          <w:rFonts w:ascii="宋体" w:hAnsi="宋体" w:cs="宋体" w:eastAsia="宋体" w:hint="default"/>
                          <w:sz w:val="16"/>
                          <w:szCs w:val="16"/>
                        </w:rPr>
                      </w:r>
                    </w:p>
                  </w:txbxContent>
                </v:textbox>
                <w10:wrap type="none"/>
              </v:shape>
              <v:shape style="position:absolute;left:5133;top:842;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4,928,505.59</w:t>
                      </w:r>
                      <w:r>
                        <w:rPr>
                          <w:rFonts w:ascii="Times New Roman"/>
                          <w:sz w:val="16"/>
                        </w:rPr>
                      </w:r>
                    </w:p>
                  </w:txbxContent>
                </v:textbox>
                <w10:wrap type="none"/>
              </v:shape>
              <v:shape style="position:absolute;left:137;top:1182;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偿还拆借款</w:t>
                      </w:r>
                      <w:r>
                        <w:rPr>
                          <w:rFonts w:ascii="宋体" w:hAnsi="宋体" w:cs="宋体" w:eastAsia="宋体" w:hint="default"/>
                          <w:sz w:val="16"/>
                          <w:szCs w:val="16"/>
                        </w:rPr>
                      </w:r>
                    </w:p>
                  </w:txbxContent>
                </v:textbox>
                <w10:wrap type="none"/>
              </v:shape>
              <v:shape style="position:absolute;left:5133;top:1195;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3,440,000.00</w:t>
                      </w:r>
                      <w:r>
                        <w:rPr>
                          <w:rFonts w:ascii="Times New Roman"/>
                          <w:sz w:val="16"/>
                        </w:rPr>
                      </w:r>
                    </w:p>
                  </w:txbxContent>
                </v:textbox>
                <w10:wrap type="none"/>
              </v:shape>
              <v:shape style="position:absolute;left:137;top:1536;width:95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融资租赁款项</w:t>
                      </w:r>
                      <w:r>
                        <w:rPr>
                          <w:rFonts w:ascii="宋体" w:hAnsi="宋体" w:cs="宋体" w:eastAsia="宋体" w:hint="default"/>
                          <w:sz w:val="16"/>
                          <w:szCs w:val="16"/>
                        </w:rPr>
                      </w:r>
                    </w:p>
                  </w:txbxContent>
                </v:textbox>
                <w10:wrap type="none"/>
              </v:shape>
              <v:shape style="position:absolute;left:5253;top:1549;width:7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765,626.00</w:t>
                      </w:r>
                      <w:r>
                        <w:rPr>
                          <w:rFonts w:ascii="Times New Roman"/>
                          <w:sz w:val="16"/>
                        </w:rPr>
                      </w:r>
                    </w:p>
                  </w:txbxContent>
                </v:textbox>
                <w10:wrap type="none"/>
              </v:shape>
              <v:shape style="position:absolute;left:7269;top:1549;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5,000,000.00</w:t>
                      </w:r>
                      <w:r>
                        <w:rPr>
                          <w:rFonts w:ascii="Times New Roman"/>
                          <w:sz w:val="16"/>
                        </w:rPr>
                      </w:r>
                    </w:p>
                  </w:txbxContent>
                </v:textbox>
                <w10:wrap type="none"/>
              </v:shape>
              <v:shape style="position:absolute;left:137;top:1888;width:20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贷款、发股手续费、咨询费等</w:t>
                      </w:r>
                      <w:r>
                        <w:rPr>
                          <w:rFonts w:ascii="宋体" w:hAnsi="宋体" w:cs="宋体" w:eastAsia="宋体" w:hint="default"/>
                          <w:sz w:val="16"/>
                          <w:szCs w:val="16"/>
                        </w:rPr>
                      </w:r>
                    </w:p>
                  </w:txbxContent>
                </v:textbox>
                <w10:wrap type="none"/>
              </v:shape>
              <v:shape style="position:absolute;left:7389;top:1903;width:7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124,309.98</w:t>
                      </w:r>
                      <w:r>
                        <w:rPr>
                          <w:rFonts w:ascii="Times New Roman"/>
                          <w:sz w:val="16"/>
                        </w:rPr>
                      </w:r>
                    </w:p>
                  </w:txbxContent>
                </v:textbox>
                <w10:wrap type="none"/>
              </v:shape>
            </v:group>
          </v:group>
        </w:pict>
      </w:r>
      <w:r>
        <w:rPr>
          <w:rFonts w:ascii="宋体" w:hAnsi="宋体" w:cs="宋体" w:eastAsia="宋体" w:hint="default"/>
          <w:position w:val="-42"/>
          <w:sz w:val="20"/>
          <w:szCs w:val="20"/>
        </w:rPr>
      </w:r>
    </w:p>
    <w:p>
      <w:pPr>
        <w:spacing w:after="0" w:line="2170" w:lineRule="exact"/>
        <w:rPr>
          <w:rFonts w:ascii="宋体" w:hAnsi="宋体" w:cs="宋体" w:eastAsia="宋体" w:hint="default"/>
          <w:sz w:val="20"/>
          <w:szCs w:val="20"/>
        </w:rPr>
        <w:sectPr>
          <w:pgSz w:w="11910" w:h="16840"/>
          <w:pgMar w:header="0" w:footer="1001" w:top="1520" w:bottom="1200" w:left="1660" w:right="0"/>
        </w:sectPr>
      </w:pPr>
    </w:p>
    <w:p>
      <w:pPr>
        <w:spacing w:line="240" w:lineRule="auto" w:before="4"/>
        <w:rPr>
          <w:rFonts w:ascii="宋体" w:hAnsi="宋体" w:cs="宋体" w:eastAsia="宋体" w:hint="default"/>
          <w:b/>
          <w:bCs/>
          <w:sz w:val="10"/>
          <w:szCs w:val="10"/>
        </w:rPr>
      </w:pPr>
      <w:r>
        <w:rPr/>
        <w:pict>
          <v:group style="position:absolute;margin-left:119.520004pt;margin-top:84.419701pt;width:410.35pt;height:34.9pt;mso-position-horizontal-relative:page;mso-position-vertical-relative:page;z-index:-1376104" coordorigin="2390,1688" coordsize="8207,698">
            <v:shape style="position:absolute;left:6320;top:1688;width:10;height:28" type="#_x0000_t75" stroked="false">
              <v:imagedata r:id="rId37" o:title=""/>
            </v:shape>
            <v:shape style="position:absolute;left:8456;top:1688;width:10;height:28" type="#_x0000_t75" stroked="false">
              <v:imagedata r:id="rId37" o:title=""/>
            </v:shape>
            <v:shape style="position:absolute;left:2390;top:1697;width:8207;height:689" type="#_x0000_t75" stroked="false">
              <v:imagedata r:id="rId351" o:title=""/>
            </v:shape>
            <w10:wrap type="none"/>
          </v:group>
        </w:pict>
      </w:r>
    </w:p>
    <w:tbl>
      <w:tblPr>
        <w:tblW w:w="0" w:type="auto"/>
        <w:jc w:val="left"/>
        <w:tblInd w:w="102" w:type="dxa"/>
        <w:tblLayout w:type="fixed"/>
        <w:tblCellMar>
          <w:top w:w="0" w:type="dxa"/>
          <w:left w:w="0" w:type="dxa"/>
          <w:bottom w:w="0" w:type="dxa"/>
          <w:right w:w="0" w:type="dxa"/>
        </w:tblCellMar>
        <w:tblLook w:val="01E0"/>
      </w:tblPr>
      <w:tblGrid>
        <w:gridCol w:w="4582"/>
        <w:gridCol w:w="2551"/>
        <w:gridCol w:w="1701"/>
      </w:tblGrid>
      <w:tr>
        <w:trPr>
          <w:trHeight w:val="727" w:hRule="exact"/>
        </w:trPr>
        <w:tc>
          <w:tcPr>
            <w:tcW w:w="4582" w:type="dxa"/>
            <w:tcBorders>
              <w:top w:val="single" w:sz="12" w:space="0" w:color="000000"/>
              <w:left w:val="nil" w:sz="6" w:space="0" w:color="auto"/>
              <w:bottom w:val="single" w:sz="12" w:space="0" w:color="000000"/>
              <w:right w:val="nil" w:sz="6" w:space="0" w:color="auto"/>
            </w:tcBorders>
          </w:tcPr>
          <w:p>
            <w:pPr>
              <w:pStyle w:val="TableParagraph"/>
              <w:spacing w:line="405" w:lineRule="auto" w:before="42"/>
              <w:ind w:left="2444" w:right="1816"/>
              <w:jc w:val="center"/>
              <w:rPr>
                <w:rFonts w:ascii="宋体" w:hAnsi="宋体" w:cs="宋体" w:eastAsia="宋体" w:hint="default"/>
                <w:sz w:val="16"/>
                <w:szCs w:val="16"/>
              </w:rPr>
            </w:pPr>
            <w:r>
              <w:rPr>
                <w:rFonts w:ascii="宋体" w:hAnsi="宋体" w:cs="宋体" w:eastAsia="宋体" w:hint="default"/>
                <w:sz w:val="16"/>
                <w:szCs w:val="16"/>
              </w:rPr>
              <w:t>项目</w:t>
            </w:r>
            <w:r>
              <w:rPr>
                <w:rFonts w:ascii="宋体" w:hAnsi="宋体" w:cs="宋体" w:eastAsia="宋体" w:hint="default"/>
                <w:w w:val="99"/>
                <w:sz w:val="16"/>
                <w:szCs w:val="16"/>
              </w:rPr>
              <w:t> </w:t>
            </w:r>
            <w:r>
              <w:rPr>
                <w:rFonts w:ascii="宋体" w:hAnsi="宋体" w:cs="宋体" w:eastAsia="宋体" w:hint="default"/>
                <w:sz w:val="16"/>
                <w:szCs w:val="16"/>
              </w:rPr>
              <w:t>合计</w:t>
            </w:r>
          </w:p>
        </w:tc>
        <w:tc>
          <w:tcPr>
            <w:tcW w:w="2551" w:type="dxa"/>
            <w:tcBorders>
              <w:top w:val="single" w:sz="12" w:space="0" w:color="000000"/>
              <w:left w:val="nil" w:sz="6" w:space="0" w:color="auto"/>
              <w:bottom w:val="single" w:sz="12" w:space="0" w:color="000000"/>
              <w:right w:val="nil" w:sz="6" w:space="0" w:color="auto"/>
            </w:tcBorders>
          </w:tcPr>
          <w:p>
            <w:pPr>
              <w:pStyle w:val="TableParagraph"/>
              <w:spacing w:line="240" w:lineRule="auto" w:before="42"/>
              <w:ind w:left="647" w:right="0"/>
              <w:jc w:val="left"/>
              <w:rPr>
                <w:rFonts w:ascii="宋体" w:hAnsi="宋体" w:cs="宋体" w:eastAsia="宋体" w:hint="default"/>
                <w:sz w:val="16"/>
                <w:szCs w:val="16"/>
              </w:rPr>
            </w:pPr>
            <w:r>
              <w:rPr>
                <w:rFonts w:ascii="宋体" w:hAnsi="宋体" w:cs="宋体" w:eastAsia="宋体" w:hint="default"/>
                <w:sz w:val="16"/>
                <w:szCs w:val="16"/>
              </w:rPr>
              <w:t>本期发生额</w:t>
            </w:r>
          </w:p>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1008" w:right="0"/>
              <w:jc w:val="left"/>
              <w:rPr>
                <w:rFonts w:ascii="Times New Roman" w:hAnsi="Times New Roman" w:cs="Times New Roman" w:eastAsia="Times New Roman" w:hint="default"/>
                <w:sz w:val="16"/>
                <w:szCs w:val="16"/>
              </w:rPr>
            </w:pPr>
            <w:r>
              <w:rPr>
                <w:rFonts w:ascii="Times New Roman"/>
                <w:sz w:val="16"/>
              </w:rPr>
              <w:t>121,134,131.59</w:t>
            </w:r>
          </w:p>
        </w:tc>
        <w:tc>
          <w:tcPr>
            <w:tcW w:w="1701" w:type="dxa"/>
            <w:tcBorders>
              <w:top w:val="single" w:sz="12" w:space="0" w:color="000000"/>
              <w:left w:val="nil" w:sz="6" w:space="0" w:color="auto"/>
              <w:bottom w:val="single" w:sz="12" w:space="0" w:color="000000"/>
              <w:right w:val="nil" w:sz="6" w:space="0" w:color="auto"/>
            </w:tcBorders>
          </w:tcPr>
          <w:p>
            <w:pPr>
              <w:pStyle w:val="TableParagraph"/>
              <w:spacing w:line="240" w:lineRule="auto" w:before="42"/>
              <w:ind w:left="232" w:right="0"/>
              <w:jc w:val="left"/>
              <w:rPr>
                <w:rFonts w:ascii="宋体" w:hAnsi="宋体" w:cs="宋体" w:eastAsia="宋体" w:hint="default"/>
                <w:sz w:val="16"/>
                <w:szCs w:val="16"/>
              </w:rPr>
            </w:pPr>
            <w:r>
              <w:rPr>
                <w:rFonts w:ascii="宋体" w:hAnsi="宋体" w:cs="宋体" w:eastAsia="宋体" w:hint="default"/>
                <w:sz w:val="16"/>
                <w:szCs w:val="16"/>
              </w:rPr>
              <w:t>上期发生额</w:t>
            </w:r>
          </w:p>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753" w:right="0"/>
              <w:jc w:val="left"/>
              <w:rPr>
                <w:rFonts w:ascii="Times New Roman" w:hAnsi="Times New Roman" w:cs="Times New Roman" w:eastAsia="Times New Roman" w:hint="default"/>
                <w:sz w:val="16"/>
                <w:szCs w:val="16"/>
              </w:rPr>
            </w:pPr>
            <w:r>
              <w:rPr>
                <w:rFonts w:ascii="Times New Roman"/>
                <w:sz w:val="16"/>
              </w:rPr>
              <w:t>5,124,309.98</w:t>
            </w:r>
          </w:p>
        </w:tc>
      </w:tr>
      <w:tr>
        <w:trPr>
          <w:trHeight w:val="884" w:hRule="exact"/>
        </w:trPr>
        <w:tc>
          <w:tcPr>
            <w:tcW w:w="4582"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2"/>
                <w:szCs w:val="22"/>
              </w:rPr>
            </w:pPr>
          </w:p>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35"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五十四</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2"/>
                <w:sz w:val="21"/>
                <w:szCs w:val="21"/>
              </w:rPr>
              <w:t> </w:t>
            </w:r>
            <w:r>
              <w:rPr>
                <w:rFonts w:ascii="宋体" w:hAnsi="宋体" w:cs="宋体" w:eastAsia="宋体" w:hint="default"/>
                <w:b/>
                <w:bCs/>
                <w:sz w:val="21"/>
                <w:szCs w:val="21"/>
              </w:rPr>
              <w:t>现金流量表补充资料</w:t>
            </w:r>
            <w:r>
              <w:rPr>
                <w:rFonts w:ascii="宋体" w:hAnsi="宋体" w:cs="宋体" w:eastAsia="宋体" w:hint="default"/>
                <w:sz w:val="21"/>
                <w:szCs w:val="21"/>
              </w:rPr>
            </w:r>
          </w:p>
        </w:tc>
        <w:tc>
          <w:tcPr>
            <w:tcW w:w="2551" w:type="dxa"/>
            <w:tcBorders>
              <w:top w:val="single" w:sz="12" w:space="0" w:color="000000"/>
              <w:left w:val="nil" w:sz="6" w:space="0" w:color="auto"/>
              <w:bottom w:val="nil" w:sz="6" w:space="0" w:color="auto"/>
              <w:right w:val="nil" w:sz="6" w:space="0" w:color="auto"/>
            </w:tcBorders>
          </w:tcPr>
          <w:p>
            <w:pPr/>
          </w:p>
        </w:tc>
        <w:tc>
          <w:tcPr>
            <w:tcW w:w="1701" w:type="dxa"/>
            <w:tcBorders>
              <w:top w:val="single" w:sz="12" w:space="0" w:color="000000"/>
              <w:left w:val="nil" w:sz="6" w:space="0" w:color="auto"/>
              <w:bottom w:val="nil" w:sz="6" w:space="0" w:color="auto"/>
              <w:right w:val="nil" w:sz="6" w:space="0" w:color="auto"/>
            </w:tcBorders>
          </w:tcPr>
          <w:p>
            <w:pPr/>
          </w:p>
        </w:tc>
      </w:tr>
      <w:tr>
        <w:trPr>
          <w:trHeight w:val="346" w:hRule="exact"/>
        </w:trPr>
        <w:tc>
          <w:tcPr>
            <w:tcW w:w="4582" w:type="dxa"/>
            <w:tcBorders>
              <w:top w:val="nil" w:sz="6" w:space="0" w:color="auto"/>
              <w:left w:val="nil" w:sz="6" w:space="0" w:color="auto"/>
              <w:bottom w:val="single" w:sz="12" w:space="0" w:color="000000"/>
              <w:right w:val="nil" w:sz="6" w:space="0" w:color="auto"/>
            </w:tcBorders>
          </w:tcPr>
          <w:p>
            <w:pPr>
              <w:pStyle w:val="TableParagraph"/>
              <w:tabs>
                <w:tab w:pos="1294" w:val="left" w:leader="none"/>
              </w:tabs>
              <w:spacing w:line="240" w:lineRule="auto" w:before="24"/>
              <w:ind w:left="744" w:right="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现金流量表补充资料</w:t>
            </w:r>
            <w:r>
              <w:rPr>
                <w:rFonts w:ascii="宋体" w:hAnsi="宋体" w:cs="宋体" w:eastAsia="宋体" w:hint="default"/>
                <w:sz w:val="21"/>
                <w:szCs w:val="21"/>
              </w:rPr>
            </w:r>
          </w:p>
        </w:tc>
        <w:tc>
          <w:tcPr>
            <w:tcW w:w="2551" w:type="dxa"/>
            <w:tcBorders>
              <w:top w:val="nil" w:sz="6" w:space="0" w:color="auto"/>
              <w:left w:val="nil" w:sz="6" w:space="0" w:color="auto"/>
              <w:bottom w:val="single" w:sz="12" w:space="0" w:color="000000"/>
              <w:right w:val="nil" w:sz="6" w:space="0" w:color="auto"/>
            </w:tcBorders>
          </w:tcPr>
          <w:p>
            <w:pPr/>
          </w:p>
        </w:tc>
        <w:tc>
          <w:tcPr>
            <w:tcW w:w="1701" w:type="dxa"/>
            <w:tcBorders>
              <w:top w:val="nil" w:sz="6" w:space="0" w:color="auto"/>
              <w:left w:val="nil" w:sz="6" w:space="0" w:color="auto"/>
              <w:bottom w:val="single" w:sz="12" w:space="0" w:color="000000"/>
              <w:right w:val="nil" w:sz="6" w:space="0" w:color="auto"/>
            </w:tcBorders>
          </w:tcPr>
          <w:p>
            <w:pPr/>
          </w:p>
        </w:tc>
      </w:tr>
      <w:tr>
        <w:trPr>
          <w:trHeight w:val="363" w:hRule="exact"/>
        </w:trPr>
        <w:tc>
          <w:tcPr>
            <w:tcW w:w="4582"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left="2593" w:right="0"/>
              <w:jc w:val="left"/>
              <w:rPr>
                <w:rFonts w:ascii="宋体" w:hAnsi="宋体" w:cs="宋体" w:eastAsia="宋体" w:hint="default"/>
                <w:sz w:val="16"/>
                <w:szCs w:val="16"/>
              </w:rPr>
            </w:pPr>
            <w:r>
              <w:rPr>
                <w:rFonts w:ascii="宋体" w:hAnsi="宋体" w:cs="宋体" w:eastAsia="宋体" w:hint="default"/>
                <w:sz w:val="16"/>
                <w:szCs w:val="16"/>
              </w:rPr>
              <w:t>补充资料</w:t>
            </w:r>
          </w:p>
        </w:tc>
        <w:tc>
          <w:tcPr>
            <w:tcW w:w="2551"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left="1192" w:right="0"/>
              <w:jc w:val="left"/>
              <w:rPr>
                <w:rFonts w:ascii="宋体" w:hAnsi="宋体" w:cs="宋体" w:eastAsia="宋体" w:hint="default"/>
                <w:sz w:val="16"/>
                <w:szCs w:val="16"/>
              </w:rPr>
            </w:pPr>
            <w:r>
              <w:rPr>
                <w:rFonts w:ascii="宋体" w:hAnsi="宋体" w:cs="宋体" w:eastAsia="宋体" w:hint="default"/>
                <w:sz w:val="16"/>
                <w:szCs w:val="16"/>
              </w:rPr>
              <w:t>本期金额</w:t>
            </w:r>
          </w:p>
        </w:tc>
        <w:tc>
          <w:tcPr>
            <w:tcW w:w="1701"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left="467" w:right="0"/>
              <w:jc w:val="left"/>
              <w:rPr>
                <w:rFonts w:ascii="宋体" w:hAnsi="宋体" w:cs="宋体" w:eastAsia="宋体" w:hint="default"/>
                <w:sz w:val="16"/>
                <w:szCs w:val="16"/>
              </w:rPr>
            </w:pPr>
            <w:r>
              <w:rPr>
                <w:rFonts w:ascii="宋体" w:hAnsi="宋体" w:cs="宋体" w:eastAsia="宋体" w:hint="default"/>
                <w:sz w:val="16"/>
                <w:szCs w:val="16"/>
              </w:rPr>
              <w:t>上期金额</w:t>
            </w:r>
          </w:p>
        </w:tc>
      </w:tr>
      <w:tr>
        <w:trPr>
          <w:trHeight w:val="358" w:hRule="exact"/>
        </w:trPr>
        <w:tc>
          <w:tcPr>
            <w:tcW w:w="4582" w:type="dxa"/>
            <w:tcBorders>
              <w:top w:val="nil" w:sz="6" w:space="0" w:color="auto"/>
              <w:left w:val="nil" w:sz="6" w:space="0" w:color="auto"/>
              <w:bottom w:val="nil" w:sz="6" w:space="0" w:color="auto"/>
              <w:right w:val="nil" w:sz="6" w:space="0" w:color="auto"/>
            </w:tcBorders>
          </w:tcPr>
          <w:p>
            <w:pPr>
              <w:pStyle w:val="TableParagraph"/>
              <w:spacing w:line="240" w:lineRule="auto" w:before="47"/>
              <w:ind w:left="755"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宋体" w:hAnsi="宋体" w:cs="宋体" w:eastAsia="宋体" w:hint="default"/>
                <w:sz w:val="16"/>
                <w:szCs w:val="16"/>
              </w:rPr>
              <w:t>、将净利润调节为经营活动现金流量</w:t>
            </w:r>
          </w:p>
        </w:tc>
        <w:tc>
          <w:tcPr>
            <w:tcW w:w="2551" w:type="dxa"/>
            <w:tcBorders>
              <w:top w:val="nil" w:sz="6" w:space="0" w:color="auto"/>
              <w:left w:val="nil" w:sz="6" w:space="0" w:color="auto"/>
              <w:bottom w:val="nil" w:sz="6" w:space="0" w:color="auto"/>
              <w:right w:val="nil" w:sz="6" w:space="0" w:color="auto"/>
            </w:tcBorders>
          </w:tcPr>
          <w:p>
            <w:pPr/>
          </w:p>
        </w:tc>
        <w:tc>
          <w:tcPr>
            <w:tcW w:w="1701" w:type="dxa"/>
            <w:tcBorders>
              <w:top w:val="nil" w:sz="6" w:space="0" w:color="auto"/>
              <w:left w:val="nil" w:sz="6" w:space="0" w:color="auto"/>
              <w:bottom w:val="nil" w:sz="6" w:space="0" w:color="auto"/>
              <w:right w:val="nil" w:sz="6" w:space="0" w:color="auto"/>
            </w:tcBorders>
          </w:tcPr>
          <w:p>
            <w:pPr/>
          </w:p>
        </w:tc>
      </w:tr>
      <w:tr>
        <w:trPr>
          <w:trHeight w:val="356" w:hRule="exact"/>
        </w:trPr>
        <w:tc>
          <w:tcPr>
            <w:tcW w:w="4582" w:type="dxa"/>
            <w:tcBorders>
              <w:top w:val="nil" w:sz="6" w:space="0" w:color="auto"/>
              <w:left w:val="nil" w:sz="6" w:space="0" w:color="auto"/>
              <w:bottom w:val="nil" w:sz="6" w:space="0" w:color="auto"/>
              <w:right w:val="nil" w:sz="6" w:space="0" w:color="auto"/>
            </w:tcBorders>
          </w:tcPr>
          <w:p>
            <w:pPr>
              <w:pStyle w:val="TableParagraph"/>
              <w:spacing w:line="240" w:lineRule="auto" w:before="43"/>
              <w:ind w:left="755" w:right="0"/>
              <w:jc w:val="left"/>
              <w:rPr>
                <w:rFonts w:ascii="宋体" w:hAnsi="宋体" w:cs="宋体" w:eastAsia="宋体" w:hint="default"/>
                <w:sz w:val="16"/>
                <w:szCs w:val="16"/>
              </w:rPr>
            </w:pPr>
            <w:r>
              <w:rPr>
                <w:rFonts w:ascii="宋体" w:hAnsi="宋体" w:cs="宋体" w:eastAsia="宋体" w:hint="default"/>
                <w:sz w:val="16"/>
                <w:szCs w:val="16"/>
              </w:rPr>
              <w:t>净利润</w:t>
            </w:r>
          </w:p>
        </w:tc>
        <w:tc>
          <w:tcPr>
            <w:tcW w:w="2551"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230"/>
              <w:jc w:val="right"/>
              <w:rPr>
                <w:rFonts w:ascii="Times New Roman" w:hAnsi="Times New Roman" w:cs="Times New Roman" w:eastAsia="Times New Roman" w:hint="default"/>
                <w:sz w:val="16"/>
                <w:szCs w:val="16"/>
              </w:rPr>
            </w:pPr>
            <w:r>
              <w:rPr>
                <w:rFonts w:ascii="Times New Roman"/>
                <w:spacing w:val="-1"/>
                <w:sz w:val="16"/>
              </w:rPr>
              <w:t>1,056,365,601.84</w:t>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05"/>
              <w:jc w:val="right"/>
              <w:rPr>
                <w:rFonts w:ascii="Times New Roman" w:hAnsi="Times New Roman" w:cs="Times New Roman" w:eastAsia="Times New Roman" w:hint="default"/>
                <w:sz w:val="16"/>
                <w:szCs w:val="16"/>
              </w:rPr>
            </w:pPr>
            <w:r>
              <w:rPr>
                <w:rFonts w:ascii="Times New Roman"/>
                <w:spacing w:val="-1"/>
                <w:sz w:val="16"/>
              </w:rPr>
              <w:t>696,084,777.95</w:t>
            </w:r>
          </w:p>
        </w:tc>
      </w:tr>
      <w:tr>
        <w:trPr>
          <w:trHeight w:val="354" w:hRule="exact"/>
        </w:trPr>
        <w:tc>
          <w:tcPr>
            <w:tcW w:w="458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55" w:right="0"/>
              <w:jc w:val="left"/>
              <w:rPr>
                <w:rFonts w:ascii="宋体" w:hAnsi="宋体" w:cs="宋体" w:eastAsia="宋体" w:hint="default"/>
                <w:sz w:val="16"/>
                <w:szCs w:val="16"/>
              </w:rPr>
            </w:pPr>
            <w:r>
              <w:rPr>
                <w:rFonts w:ascii="宋体" w:hAnsi="宋体" w:cs="宋体" w:eastAsia="宋体" w:hint="default"/>
                <w:sz w:val="16"/>
                <w:szCs w:val="16"/>
              </w:rPr>
              <w:t>加：资产减值准备</w:t>
            </w:r>
          </w:p>
        </w:tc>
        <w:tc>
          <w:tcPr>
            <w:tcW w:w="255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30"/>
              <w:jc w:val="right"/>
              <w:rPr>
                <w:rFonts w:ascii="Times New Roman" w:hAnsi="Times New Roman" w:cs="Times New Roman" w:eastAsia="Times New Roman" w:hint="default"/>
                <w:sz w:val="16"/>
                <w:szCs w:val="16"/>
              </w:rPr>
            </w:pPr>
            <w:r>
              <w:rPr>
                <w:rFonts w:ascii="Times New Roman"/>
                <w:spacing w:val="-1"/>
                <w:sz w:val="16"/>
              </w:rPr>
              <w:t>95,483,170.08</w:t>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6"/>
                <w:szCs w:val="16"/>
              </w:rPr>
            </w:pPr>
            <w:r>
              <w:rPr>
                <w:rFonts w:ascii="Times New Roman"/>
                <w:spacing w:val="-1"/>
                <w:sz w:val="16"/>
              </w:rPr>
              <w:t>100,365,868.43</w:t>
            </w:r>
          </w:p>
        </w:tc>
      </w:tr>
      <w:tr>
        <w:trPr>
          <w:trHeight w:val="353" w:hRule="exact"/>
        </w:trPr>
        <w:tc>
          <w:tcPr>
            <w:tcW w:w="458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55" w:right="0"/>
              <w:jc w:val="left"/>
              <w:rPr>
                <w:rFonts w:ascii="宋体" w:hAnsi="宋体" w:cs="宋体" w:eastAsia="宋体" w:hint="default"/>
                <w:sz w:val="16"/>
                <w:szCs w:val="16"/>
              </w:rPr>
            </w:pPr>
            <w:r>
              <w:rPr>
                <w:rFonts w:ascii="宋体" w:hAnsi="宋体" w:cs="宋体" w:eastAsia="宋体" w:hint="default"/>
                <w:sz w:val="16"/>
                <w:szCs w:val="16"/>
              </w:rPr>
              <w:t>固定资产折旧</w:t>
            </w:r>
          </w:p>
        </w:tc>
        <w:tc>
          <w:tcPr>
            <w:tcW w:w="255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30"/>
              <w:jc w:val="right"/>
              <w:rPr>
                <w:rFonts w:ascii="Times New Roman" w:hAnsi="Times New Roman" w:cs="Times New Roman" w:eastAsia="Times New Roman" w:hint="default"/>
                <w:sz w:val="16"/>
                <w:szCs w:val="16"/>
              </w:rPr>
            </w:pPr>
            <w:r>
              <w:rPr>
                <w:rFonts w:ascii="Times New Roman"/>
                <w:spacing w:val="-1"/>
                <w:sz w:val="16"/>
              </w:rPr>
              <w:t>191,420,274.00</w:t>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5"/>
              <w:jc w:val="right"/>
              <w:rPr>
                <w:rFonts w:ascii="Times New Roman" w:hAnsi="Times New Roman" w:cs="Times New Roman" w:eastAsia="Times New Roman" w:hint="default"/>
                <w:sz w:val="16"/>
                <w:szCs w:val="16"/>
              </w:rPr>
            </w:pPr>
            <w:r>
              <w:rPr>
                <w:rFonts w:ascii="Times New Roman"/>
                <w:spacing w:val="-1"/>
                <w:sz w:val="16"/>
              </w:rPr>
              <w:t>179,785,174.42</w:t>
            </w:r>
          </w:p>
        </w:tc>
      </w:tr>
      <w:tr>
        <w:trPr>
          <w:trHeight w:val="353" w:hRule="exact"/>
        </w:trPr>
        <w:tc>
          <w:tcPr>
            <w:tcW w:w="458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55" w:right="0"/>
              <w:jc w:val="left"/>
              <w:rPr>
                <w:rFonts w:ascii="宋体" w:hAnsi="宋体" w:cs="宋体" w:eastAsia="宋体" w:hint="default"/>
                <w:sz w:val="16"/>
                <w:szCs w:val="16"/>
              </w:rPr>
            </w:pPr>
            <w:r>
              <w:rPr>
                <w:rFonts w:ascii="宋体" w:hAnsi="宋体" w:cs="宋体" w:eastAsia="宋体" w:hint="default"/>
                <w:sz w:val="16"/>
                <w:szCs w:val="16"/>
              </w:rPr>
              <w:t>无形资产摊销</w:t>
            </w:r>
          </w:p>
        </w:tc>
        <w:tc>
          <w:tcPr>
            <w:tcW w:w="255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30"/>
              <w:jc w:val="right"/>
              <w:rPr>
                <w:rFonts w:ascii="Times New Roman" w:hAnsi="Times New Roman" w:cs="Times New Roman" w:eastAsia="Times New Roman" w:hint="default"/>
                <w:sz w:val="16"/>
                <w:szCs w:val="16"/>
              </w:rPr>
            </w:pPr>
            <w:r>
              <w:rPr>
                <w:rFonts w:ascii="Times New Roman"/>
                <w:spacing w:val="-1"/>
                <w:sz w:val="16"/>
              </w:rPr>
              <w:t>31,592,656.23</w:t>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4"/>
              <w:jc w:val="right"/>
              <w:rPr>
                <w:rFonts w:ascii="Times New Roman" w:hAnsi="Times New Roman" w:cs="Times New Roman" w:eastAsia="Times New Roman" w:hint="default"/>
                <w:sz w:val="16"/>
                <w:szCs w:val="16"/>
              </w:rPr>
            </w:pPr>
            <w:r>
              <w:rPr>
                <w:rFonts w:ascii="Times New Roman"/>
                <w:spacing w:val="-1"/>
                <w:sz w:val="16"/>
              </w:rPr>
              <w:t>36,157,903.99</w:t>
            </w:r>
          </w:p>
        </w:tc>
      </w:tr>
      <w:tr>
        <w:trPr>
          <w:trHeight w:val="263" w:hRule="exact"/>
        </w:trPr>
        <w:tc>
          <w:tcPr>
            <w:tcW w:w="458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55" w:right="0"/>
              <w:jc w:val="left"/>
              <w:rPr>
                <w:rFonts w:ascii="宋体" w:hAnsi="宋体" w:cs="宋体" w:eastAsia="宋体" w:hint="default"/>
                <w:sz w:val="16"/>
                <w:szCs w:val="16"/>
              </w:rPr>
            </w:pPr>
            <w:r>
              <w:rPr>
                <w:rFonts w:ascii="宋体" w:hAnsi="宋体" w:cs="宋体" w:eastAsia="宋体" w:hint="default"/>
                <w:sz w:val="16"/>
                <w:szCs w:val="16"/>
              </w:rPr>
              <w:t>长期待摊费用摊销</w:t>
            </w:r>
          </w:p>
        </w:tc>
        <w:tc>
          <w:tcPr>
            <w:tcW w:w="255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30"/>
              <w:jc w:val="right"/>
              <w:rPr>
                <w:rFonts w:ascii="Times New Roman" w:hAnsi="Times New Roman" w:cs="Times New Roman" w:eastAsia="Times New Roman" w:hint="default"/>
                <w:sz w:val="16"/>
                <w:szCs w:val="16"/>
              </w:rPr>
            </w:pPr>
            <w:r>
              <w:rPr>
                <w:rFonts w:ascii="Times New Roman"/>
                <w:spacing w:val="-1"/>
                <w:sz w:val="16"/>
              </w:rPr>
              <w:t>5,738,528.19</w:t>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6"/>
                <w:szCs w:val="16"/>
              </w:rPr>
            </w:pPr>
            <w:r>
              <w:rPr>
                <w:rFonts w:ascii="Times New Roman"/>
                <w:spacing w:val="-1"/>
                <w:w w:val="95"/>
                <w:sz w:val="16"/>
              </w:rPr>
              <w:t>3,305,611.39</w:t>
            </w:r>
            <w:r>
              <w:rPr>
                <w:rFonts w:ascii="Times New Roman"/>
                <w:spacing w:val="-1"/>
                <w:sz w:val="16"/>
              </w:rPr>
            </w:r>
          </w:p>
        </w:tc>
      </w:tr>
      <w:tr>
        <w:trPr>
          <w:trHeight w:val="349" w:hRule="exact"/>
        </w:trPr>
        <w:tc>
          <w:tcPr>
            <w:tcW w:w="8835"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31"/>
              <w:ind w:left="755" w:right="0"/>
              <w:jc w:val="left"/>
              <w:rPr>
                <w:rFonts w:ascii="Times New Roman" w:hAnsi="Times New Roman" w:cs="Times New Roman" w:eastAsia="Times New Roman" w:hint="default"/>
                <w:sz w:val="16"/>
                <w:szCs w:val="16"/>
              </w:rPr>
            </w:pPr>
            <w:r>
              <w:rPr>
                <w:rFonts w:ascii="宋体" w:hAnsi="宋体" w:cs="宋体" w:eastAsia="宋体" w:hint="default"/>
                <w:sz w:val="16"/>
                <w:szCs w:val="16"/>
              </w:rPr>
              <w:t>处置固定资产、无形资产和其他长期资产的损失（收益以</w:t>
            </w:r>
            <w:r>
              <w:rPr>
                <w:rFonts w:ascii="Times New Roman" w:hAnsi="Times New Roman" w:cs="Times New Roman" w:eastAsia="Times New Roman" w:hint="default"/>
                <w:sz w:val="16"/>
                <w:szCs w:val="16"/>
              </w:rPr>
              <w:t>“</w:t>
            </w:r>
            <w:r>
              <w:rPr>
                <w:rFonts w:ascii="宋体" w:hAnsi="宋体" w:cs="宋体" w:eastAsia="宋体" w:hint="default"/>
                <w:sz w:val="16"/>
                <w:szCs w:val="16"/>
              </w:rPr>
              <w:t>－</w:t>
            </w:r>
            <w:r>
              <w:rPr>
                <w:rFonts w:ascii="Times New Roman" w:hAnsi="Times New Roman" w:cs="Times New Roman" w:eastAsia="Times New Roman" w:hint="default"/>
                <w:sz w:val="16"/>
                <w:szCs w:val="16"/>
              </w:rPr>
              <w:t>”</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26"/>
          <w:szCs w:val="26"/>
        </w:rPr>
      </w:pPr>
    </w:p>
    <w:p>
      <w:pPr>
        <w:pStyle w:val="Heading5"/>
        <w:tabs>
          <w:tab w:pos="1397" w:val="left" w:leader="none"/>
        </w:tabs>
        <w:spacing w:line="240" w:lineRule="auto"/>
        <w:ind w:left="846" w:right="3681"/>
        <w:jc w:val="left"/>
        <w:rPr>
          <w:b w:val="0"/>
          <w:bCs w:val="0"/>
        </w:rPr>
      </w:pPr>
      <w:r>
        <w:rPr/>
        <w:pict>
          <v:group style="position:absolute;margin-left:119.010002pt;margin-top:-546.866516pt;width:411.95pt;height:524pt;mso-position-horizontal-relative:page;mso-position-vertical-relative:paragraph;z-index:-1375144" coordorigin="2380,-10937" coordsize="8239,10480">
            <v:shape style="position:absolute;left:6938;top:-10937;width:10;height:28" type="#_x0000_t75" stroked="false">
              <v:imagedata r:id="rId102" o:title=""/>
            </v:shape>
            <v:shape style="position:absolute;left:8766;top:-10937;width:10;height:28" type="#_x0000_t75" stroked="false">
              <v:imagedata r:id="rId102" o:title=""/>
            </v:shape>
            <v:shape style="position:absolute;left:6919;top:-10929;width:1876;height:355" type="#_x0000_t75" stroked="false">
              <v:imagedata r:id="rId352" o:title=""/>
            </v:shape>
            <v:group style="position:absolute;left:2395;top:-473;width:4544;height:2" coordorigin="2395,-473" coordsize="4544,2">
              <v:shape style="position:absolute;left:2395;top:-473;width:4544;height:2" coordorigin="2395,-473" coordsize="4544,0" path="m2395,-473l6938,-473e" filled="false" stroked="true" strokeweight="1.5pt" strokecolor="#000000">
                <v:path arrowok="t"/>
              </v:shape>
            </v:group>
            <v:group style="position:absolute;left:6938;top:-473;width:1828;height:2" coordorigin="6938,-473" coordsize="1828,2">
              <v:shape style="position:absolute;left:6938;top:-473;width:1828;height:2" coordorigin="6938,-473" coordsize="1828,0" path="m6938,-473l8766,-473e" filled="false" stroked="true" strokeweight="1.5pt" strokecolor="#000000">
                <v:path arrowok="t"/>
              </v:shape>
              <v:shape style="position:absolute;left:2390;top:-10612;width:8228;height:10124" type="#_x0000_t75" stroked="false">
                <v:imagedata r:id="rId353" o:title=""/>
              </v:shape>
            </v:group>
            <v:group style="position:absolute;left:8766;top:-473;width:1832;height:2" coordorigin="8766,-473" coordsize="1832,2">
              <v:shape style="position:absolute;left:8766;top:-473;width:1832;height:2" coordorigin="8766,-473" coordsize="1832,0" path="m8766,-473l10597,-473e" filled="false" stroked="true" strokeweight="1.5pt" strokecolor="#000000">
                <v:path arrowok="t"/>
              </v:shape>
              <v:shape style="position:absolute;left:2518;top:-8163;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号填列）</w:t>
                      </w:r>
                      <w:r>
                        <w:rPr>
                          <w:rFonts w:ascii="宋体" w:hAnsi="宋体" w:cs="宋体" w:eastAsia="宋体" w:hint="default"/>
                          <w:sz w:val="16"/>
                          <w:szCs w:val="16"/>
                        </w:rPr>
                      </w:r>
                    </w:p>
                  </w:txbxContent>
                </v:textbox>
                <w10:wrap type="none"/>
              </v:shape>
              <v:shape style="position:absolute;left:7823;top:-8254;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2,295,823.91</w:t>
                      </w:r>
                      <w:r>
                        <w:rPr>
                          <w:rFonts w:ascii="Times New Roman"/>
                          <w:sz w:val="16"/>
                        </w:rPr>
                      </w:r>
                    </w:p>
                  </w:txbxContent>
                </v:textbox>
                <w10:wrap type="none"/>
              </v:shape>
              <v:shape style="position:absolute;left:9596;top:-8254;width:894;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-7,034,133.86</w:t>
                      </w:r>
                      <w:r>
                        <w:rPr>
                          <w:rFonts w:ascii="Times New Roman"/>
                          <w:sz w:val="16"/>
                        </w:rPr>
                      </w:r>
                    </w:p>
                  </w:txbxContent>
                </v:textbox>
                <w10:wrap type="none"/>
              </v:shape>
              <v:shape style="position:absolute;left:2518;top:-7810;width:2860;height:169" type="#_x0000_t202" filled="false" stroked="false">
                <v:textbox inset="0,0,0,0">
                  <w:txbxContent>
                    <w:p>
                      <w:pPr>
                        <w:spacing w:line="168"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固定资产报废损失（收益以</w:t>
                      </w:r>
                      <w:r>
                        <w:rPr>
                          <w:rFonts w:ascii="Times New Roman" w:hAnsi="Times New Roman" w:cs="Times New Roman" w:eastAsia="Times New Roman" w:hint="default"/>
                          <w:w w:val="95"/>
                          <w:sz w:val="16"/>
                          <w:szCs w:val="16"/>
                        </w:rPr>
                        <w:t>“</w:t>
                      </w:r>
                      <w:r>
                        <w:rPr>
                          <w:rFonts w:ascii="宋体" w:hAnsi="宋体" w:cs="宋体" w:eastAsia="宋体" w:hint="default"/>
                          <w:w w:val="95"/>
                          <w:sz w:val="16"/>
                          <w:szCs w:val="16"/>
                        </w:rPr>
                        <w:t>－</w:t>
                      </w:r>
                      <w:r>
                        <w:rPr>
                          <w:rFonts w:ascii="Times New Roman" w:hAnsi="Times New Roman" w:cs="Times New Roman" w:eastAsia="Times New Roman" w:hint="default"/>
                          <w:w w:val="95"/>
                          <w:sz w:val="16"/>
                          <w:szCs w:val="16"/>
                        </w:rPr>
                        <w:t>”</w:t>
                      </w:r>
                      <w:r>
                        <w:rPr>
                          <w:rFonts w:ascii="宋体" w:hAnsi="宋体" w:cs="宋体" w:eastAsia="宋体" w:hint="default"/>
                          <w:w w:val="95"/>
                          <w:sz w:val="16"/>
                          <w:szCs w:val="16"/>
                        </w:rPr>
                        <w:t>号填列）</w:t>
                      </w:r>
                      <w:r>
                        <w:rPr>
                          <w:rFonts w:ascii="宋体" w:hAnsi="宋体" w:cs="宋体" w:eastAsia="宋体" w:hint="default"/>
                          <w:sz w:val="16"/>
                          <w:szCs w:val="16"/>
                        </w:rPr>
                      </w:r>
                    </w:p>
                  </w:txbxContent>
                </v:textbox>
                <w10:wrap type="none"/>
              </v:shape>
              <v:shape style="position:absolute;left:7823;top:-7797;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1,348,034.12</w:t>
                      </w:r>
                      <w:r>
                        <w:rPr>
                          <w:rFonts w:ascii="Times New Roman"/>
                          <w:sz w:val="16"/>
                        </w:rPr>
                      </w:r>
                    </w:p>
                  </w:txbxContent>
                </v:textbox>
                <w10:wrap type="none"/>
              </v:shape>
              <v:shape style="position:absolute;left:2518;top:-7456;width:2860;height:522" type="#_x0000_t202" filled="false" stroked="false">
                <v:textbox inset="0,0,0,0">
                  <w:txbxContent>
                    <w:p>
                      <w:pPr>
                        <w:spacing w:line="172"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公允价值变动损失（收益以</w:t>
                      </w:r>
                      <w:r>
                        <w:rPr>
                          <w:rFonts w:ascii="Times New Roman" w:hAnsi="Times New Roman" w:cs="Times New Roman" w:eastAsia="Times New Roman" w:hint="default"/>
                          <w:w w:val="95"/>
                          <w:sz w:val="16"/>
                          <w:szCs w:val="16"/>
                        </w:rPr>
                        <w:t>“</w:t>
                      </w:r>
                      <w:r>
                        <w:rPr>
                          <w:rFonts w:ascii="宋体" w:hAnsi="宋体" w:cs="宋体" w:eastAsia="宋体" w:hint="default"/>
                          <w:w w:val="95"/>
                          <w:sz w:val="16"/>
                          <w:szCs w:val="16"/>
                        </w:rPr>
                        <w:t>－</w:t>
                      </w:r>
                      <w:r>
                        <w:rPr>
                          <w:rFonts w:ascii="Times New Roman" w:hAnsi="Times New Roman" w:cs="Times New Roman" w:eastAsia="Times New Roman" w:hint="default"/>
                          <w:w w:val="95"/>
                          <w:sz w:val="16"/>
                          <w:szCs w:val="16"/>
                        </w:rPr>
                        <w:t>”</w:t>
                      </w:r>
                      <w:r>
                        <w:rPr>
                          <w:rFonts w:ascii="宋体" w:hAnsi="宋体" w:cs="宋体" w:eastAsia="宋体" w:hint="default"/>
                          <w:w w:val="95"/>
                          <w:sz w:val="16"/>
                          <w:szCs w:val="16"/>
                        </w:rPr>
                        <w:t>号填列）</w:t>
                      </w:r>
                      <w:r>
                        <w:rPr>
                          <w:rFonts w:ascii="宋体" w:hAnsi="宋体" w:cs="宋体" w:eastAsia="宋体" w:hint="default"/>
                          <w:sz w:val="16"/>
                          <w:szCs w:val="16"/>
                        </w:rPr>
                      </w:r>
                    </w:p>
                    <w:p>
                      <w:pPr>
                        <w:spacing w:line="218" w:lineRule="exact" w:before="131"/>
                        <w:ind w:left="0" w:right="0" w:firstLine="0"/>
                        <w:jc w:val="left"/>
                        <w:rPr>
                          <w:rFonts w:ascii="宋体" w:hAnsi="宋体" w:cs="宋体" w:eastAsia="宋体" w:hint="default"/>
                          <w:sz w:val="16"/>
                          <w:szCs w:val="16"/>
                        </w:rPr>
                      </w:pPr>
                      <w:r>
                        <w:rPr>
                          <w:rFonts w:ascii="宋体" w:hAnsi="宋体" w:cs="宋体" w:eastAsia="宋体" w:hint="default"/>
                          <w:sz w:val="16"/>
                          <w:szCs w:val="16"/>
                        </w:rPr>
                        <w:t>财务费用（收益以</w:t>
                      </w:r>
                      <w:r>
                        <w:rPr>
                          <w:rFonts w:ascii="Times New Roman" w:hAnsi="Times New Roman" w:cs="Times New Roman" w:eastAsia="Times New Roman" w:hint="default"/>
                          <w:sz w:val="16"/>
                          <w:szCs w:val="16"/>
                        </w:rPr>
                        <w:t>“</w:t>
                      </w:r>
                      <w:r>
                        <w:rPr>
                          <w:rFonts w:ascii="宋体" w:hAnsi="宋体" w:cs="宋体" w:eastAsia="宋体" w:hint="default"/>
                          <w:sz w:val="16"/>
                          <w:szCs w:val="16"/>
                        </w:rPr>
                        <w:t>－</w:t>
                      </w:r>
                      <w:r>
                        <w:rPr>
                          <w:rFonts w:ascii="Times New Roman" w:hAnsi="Times New Roman" w:cs="Times New Roman" w:eastAsia="Times New Roman" w:hint="default"/>
                          <w:sz w:val="16"/>
                          <w:szCs w:val="16"/>
                        </w:rPr>
                        <w:t>”</w:t>
                      </w:r>
                      <w:r>
                        <w:rPr>
                          <w:rFonts w:ascii="宋体" w:hAnsi="宋体" w:cs="宋体" w:eastAsia="宋体" w:hint="default"/>
                          <w:sz w:val="16"/>
                          <w:szCs w:val="16"/>
                        </w:rPr>
                        <w:t>号填列）</w:t>
                      </w:r>
                    </w:p>
                  </w:txbxContent>
                </v:textbox>
                <w10:wrap type="none"/>
              </v:shape>
              <v:shape style="position:absolute;left:7742;top:-7089;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96,758,019.84</w:t>
                      </w:r>
                      <w:r>
                        <w:rPr>
                          <w:rFonts w:ascii="Times New Roman"/>
                          <w:sz w:val="16"/>
                        </w:rPr>
                      </w:r>
                    </w:p>
                  </w:txbxContent>
                </v:textbox>
                <w10:wrap type="none"/>
              </v:shape>
              <v:shape style="position:absolute;left:9569;top:-7089;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59,828,500.68</w:t>
                      </w:r>
                      <w:r>
                        <w:rPr>
                          <w:rFonts w:ascii="Times New Roman"/>
                          <w:sz w:val="16"/>
                        </w:rPr>
                      </w:r>
                    </w:p>
                  </w:txbxContent>
                </v:textbox>
                <w10:wrap type="none"/>
              </v:shape>
              <v:shape style="position:absolute;left:2518;top:-6750;width:2220;height:169" type="#_x0000_t202" filled="false" stroked="false">
                <v:textbox inset="0,0,0,0">
                  <w:txbxContent>
                    <w:p>
                      <w:pPr>
                        <w:spacing w:line="168"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投资损失（收益以</w:t>
                      </w:r>
                      <w:r>
                        <w:rPr>
                          <w:rFonts w:ascii="Times New Roman" w:hAnsi="Times New Roman" w:cs="Times New Roman" w:eastAsia="Times New Roman" w:hint="default"/>
                          <w:w w:val="95"/>
                          <w:sz w:val="16"/>
                          <w:szCs w:val="16"/>
                        </w:rPr>
                        <w:t>“</w:t>
                      </w:r>
                      <w:r>
                        <w:rPr>
                          <w:rFonts w:ascii="宋体" w:hAnsi="宋体" w:cs="宋体" w:eastAsia="宋体" w:hint="default"/>
                          <w:w w:val="95"/>
                          <w:sz w:val="16"/>
                          <w:szCs w:val="16"/>
                        </w:rPr>
                        <w:t>－</w:t>
                      </w:r>
                      <w:r>
                        <w:rPr>
                          <w:rFonts w:ascii="Times New Roman" w:hAnsi="Times New Roman" w:cs="Times New Roman" w:eastAsia="Times New Roman" w:hint="default"/>
                          <w:w w:val="95"/>
                          <w:sz w:val="16"/>
                          <w:szCs w:val="16"/>
                        </w:rPr>
                        <w:t>”</w:t>
                      </w:r>
                      <w:r>
                        <w:rPr>
                          <w:rFonts w:ascii="宋体" w:hAnsi="宋体" w:cs="宋体" w:eastAsia="宋体" w:hint="default"/>
                          <w:w w:val="95"/>
                          <w:sz w:val="16"/>
                          <w:szCs w:val="16"/>
                        </w:rPr>
                        <w:t>号填列）</w:t>
                      </w:r>
                      <w:r>
                        <w:rPr>
                          <w:rFonts w:ascii="宋体" w:hAnsi="宋体" w:cs="宋体" w:eastAsia="宋体" w:hint="default"/>
                          <w:sz w:val="16"/>
                          <w:szCs w:val="16"/>
                        </w:rPr>
                      </w:r>
                    </w:p>
                  </w:txbxContent>
                </v:textbox>
                <w10:wrap type="none"/>
              </v:shape>
              <v:shape style="position:absolute;left:7609;top:-6736;width:1055;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-812,526,935.32</w:t>
                      </w:r>
                      <w:r>
                        <w:rPr>
                          <w:rFonts w:ascii="Times New Roman"/>
                          <w:sz w:val="16"/>
                        </w:rPr>
                      </w:r>
                    </w:p>
                  </w:txbxContent>
                </v:textbox>
                <w10:wrap type="none"/>
              </v:shape>
              <v:shape style="position:absolute;left:9436;top:-6736;width:1055;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-308,287,176.15</w:t>
                      </w:r>
                      <w:r>
                        <w:rPr>
                          <w:rFonts w:ascii="Times New Roman"/>
                          <w:sz w:val="16"/>
                        </w:rPr>
                      </w:r>
                    </w:p>
                  </w:txbxContent>
                </v:textbox>
                <w10:wrap type="none"/>
              </v:shape>
              <v:shape style="position:absolute;left:2518;top:-6396;width:3020;height:169" type="#_x0000_t202" filled="false" stroked="false">
                <v:textbox inset="0,0,0,0">
                  <w:txbxContent>
                    <w:p>
                      <w:pPr>
                        <w:spacing w:line="168"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递延所得税资产减少（增加以</w:t>
                      </w:r>
                      <w:r>
                        <w:rPr>
                          <w:rFonts w:ascii="Times New Roman" w:hAnsi="Times New Roman" w:cs="Times New Roman" w:eastAsia="Times New Roman" w:hint="default"/>
                          <w:w w:val="95"/>
                          <w:sz w:val="16"/>
                          <w:szCs w:val="16"/>
                        </w:rPr>
                        <w:t>“</w:t>
                      </w:r>
                      <w:r>
                        <w:rPr>
                          <w:rFonts w:ascii="宋体" w:hAnsi="宋体" w:cs="宋体" w:eastAsia="宋体" w:hint="default"/>
                          <w:w w:val="95"/>
                          <w:sz w:val="16"/>
                          <w:szCs w:val="16"/>
                        </w:rPr>
                        <w:t>－</w:t>
                      </w:r>
                      <w:r>
                        <w:rPr>
                          <w:rFonts w:ascii="Times New Roman" w:hAnsi="Times New Roman" w:cs="Times New Roman" w:eastAsia="Times New Roman" w:hint="default"/>
                          <w:w w:val="95"/>
                          <w:sz w:val="16"/>
                          <w:szCs w:val="16"/>
                        </w:rPr>
                        <w:t>”</w:t>
                      </w:r>
                      <w:r>
                        <w:rPr>
                          <w:rFonts w:ascii="宋体" w:hAnsi="宋体" w:cs="宋体" w:eastAsia="宋体" w:hint="default"/>
                          <w:w w:val="95"/>
                          <w:sz w:val="16"/>
                          <w:szCs w:val="16"/>
                        </w:rPr>
                        <w:t>号填列）</w:t>
                      </w:r>
                      <w:r>
                        <w:rPr>
                          <w:rFonts w:ascii="宋体" w:hAnsi="宋体" w:cs="宋体" w:eastAsia="宋体" w:hint="default"/>
                          <w:sz w:val="16"/>
                          <w:szCs w:val="16"/>
                        </w:rPr>
                      </w:r>
                    </w:p>
                  </w:txbxContent>
                </v:textbox>
                <w10:wrap type="none"/>
              </v:shape>
              <v:shape style="position:absolute;left:7696;top:-6382;width:969;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pacing w:val="-1"/>
                          <w:sz w:val="16"/>
                        </w:rPr>
                        <w:t>-11,134,159.32</w:t>
                      </w:r>
                    </w:p>
                  </w:txbxContent>
                </v:textbox>
                <w10:wrap type="none"/>
              </v:shape>
              <v:shape style="position:absolute;left:9596;top:-6382;width:894;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-6,042,705.13</w:t>
                      </w:r>
                      <w:r>
                        <w:rPr>
                          <w:rFonts w:ascii="Times New Roman"/>
                          <w:sz w:val="16"/>
                        </w:rPr>
                      </w:r>
                    </w:p>
                  </w:txbxContent>
                </v:textbox>
                <w10:wrap type="none"/>
              </v:shape>
              <v:shape style="position:absolute;left:2518;top:-6043;width:3020;height:169" type="#_x0000_t202" filled="false" stroked="false">
                <v:textbox inset="0,0,0,0">
                  <w:txbxContent>
                    <w:p>
                      <w:pPr>
                        <w:spacing w:line="168"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递延所得税负债增加（减少以</w:t>
                      </w:r>
                      <w:r>
                        <w:rPr>
                          <w:rFonts w:ascii="Times New Roman" w:hAnsi="Times New Roman" w:cs="Times New Roman" w:eastAsia="Times New Roman" w:hint="default"/>
                          <w:w w:val="95"/>
                          <w:sz w:val="16"/>
                          <w:szCs w:val="16"/>
                        </w:rPr>
                        <w:t>“</w:t>
                      </w:r>
                      <w:r>
                        <w:rPr>
                          <w:rFonts w:ascii="宋体" w:hAnsi="宋体" w:cs="宋体" w:eastAsia="宋体" w:hint="default"/>
                          <w:w w:val="95"/>
                          <w:sz w:val="16"/>
                          <w:szCs w:val="16"/>
                        </w:rPr>
                        <w:t>－</w:t>
                      </w:r>
                      <w:r>
                        <w:rPr>
                          <w:rFonts w:ascii="Times New Roman" w:hAnsi="Times New Roman" w:cs="Times New Roman" w:eastAsia="Times New Roman" w:hint="default"/>
                          <w:w w:val="95"/>
                          <w:sz w:val="16"/>
                          <w:szCs w:val="16"/>
                        </w:rPr>
                        <w:t>”</w:t>
                      </w:r>
                      <w:r>
                        <w:rPr>
                          <w:rFonts w:ascii="宋体" w:hAnsi="宋体" w:cs="宋体" w:eastAsia="宋体" w:hint="default"/>
                          <w:w w:val="95"/>
                          <w:sz w:val="16"/>
                          <w:szCs w:val="16"/>
                        </w:rPr>
                        <w:t>号填列）</w:t>
                      </w:r>
                      <w:r>
                        <w:rPr>
                          <w:rFonts w:ascii="宋体" w:hAnsi="宋体" w:cs="宋体" w:eastAsia="宋体" w:hint="default"/>
                          <w:sz w:val="16"/>
                          <w:szCs w:val="16"/>
                        </w:rPr>
                      </w:r>
                    </w:p>
                  </w:txbxContent>
                </v:textbox>
                <w10:wrap type="none"/>
              </v:shape>
              <v:shape style="position:absolute;left:8029;top:-6029;width:635;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pacing w:val="-1"/>
                          <w:sz w:val="16"/>
                        </w:rPr>
                        <w:t>30,551.11</w:t>
                      </w:r>
                    </w:p>
                  </w:txbxContent>
                </v:textbox>
                <w10:wrap type="none"/>
              </v:shape>
              <v:shape style="position:absolute;left:9716;top:-6029;width:774;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-177,156.69</w:t>
                      </w:r>
                      <w:r>
                        <w:rPr>
                          <w:rFonts w:ascii="Times New Roman"/>
                          <w:sz w:val="16"/>
                        </w:rPr>
                      </w:r>
                    </w:p>
                  </w:txbxContent>
                </v:textbox>
                <w10:wrap type="none"/>
              </v:shape>
              <v:shape style="position:absolute;left:2518;top:-5689;width:3180;height:522" type="#_x0000_t202" filled="false" stroked="false">
                <v:textbox inset="0,0,0,0">
                  <w:txbxContent>
                    <w:p>
                      <w:pPr>
                        <w:spacing w:line="172"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存货的减少（增加以</w:t>
                      </w:r>
                      <w:r>
                        <w:rPr>
                          <w:rFonts w:ascii="Times New Roman" w:hAnsi="Times New Roman" w:cs="Times New Roman" w:eastAsia="Times New Roman" w:hint="default"/>
                          <w:sz w:val="16"/>
                          <w:szCs w:val="16"/>
                        </w:rPr>
                        <w:t>“</w:t>
                      </w:r>
                      <w:r>
                        <w:rPr>
                          <w:rFonts w:ascii="宋体" w:hAnsi="宋体" w:cs="宋体" w:eastAsia="宋体" w:hint="default"/>
                          <w:sz w:val="16"/>
                          <w:szCs w:val="16"/>
                        </w:rPr>
                        <w:t>－</w:t>
                      </w:r>
                      <w:r>
                        <w:rPr>
                          <w:rFonts w:ascii="Times New Roman" w:hAnsi="Times New Roman" w:cs="Times New Roman" w:eastAsia="Times New Roman" w:hint="default"/>
                          <w:sz w:val="16"/>
                          <w:szCs w:val="16"/>
                        </w:rPr>
                        <w:t>”</w:t>
                      </w:r>
                      <w:r>
                        <w:rPr>
                          <w:rFonts w:ascii="宋体" w:hAnsi="宋体" w:cs="宋体" w:eastAsia="宋体" w:hint="default"/>
                          <w:sz w:val="16"/>
                          <w:szCs w:val="16"/>
                        </w:rPr>
                        <w:t>号填列）</w:t>
                      </w:r>
                    </w:p>
                    <w:p>
                      <w:pPr>
                        <w:spacing w:line="218" w:lineRule="exact" w:before="131"/>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经营性应收项目的减少（增加以</w:t>
                      </w:r>
                      <w:r>
                        <w:rPr>
                          <w:rFonts w:ascii="Times New Roman" w:hAnsi="Times New Roman" w:cs="Times New Roman" w:eastAsia="Times New Roman" w:hint="default"/>
                          <w:w w:val="95"/>
                          <w:sz w:val="16"/>
                          <w:szCs w:val="16"/>
                        </w:rPr>
                        <w:t>“</w:t>
                      </w:r>
                      <w:r>
                        <w:rPr>
                          <w:rFonts w:ascii="宋体" w:hAnsi="宋体" w:cs="宋体" w:eastAsia="宋体" w:hint="default"/>
                          <w:w w:val="95"/>
                          <w:sz w:val="16"/>
                          <w:szCs w:val="16"/>
                        </w:rPr>
                        <w:t>－</w:t>
                      </w:r>
                      <w:r>
                        <w:rPr>
                          <w:rFonts w:ascii="Times New Roman" w:hAnsi="Times New Roman" w:cs="Times New Roman" w:eastAsia="Times New Roman" w:hint="default"/>
                          <w:w w:val="95"/>
                          <w:sz w:val="16"/>
                          <w:szCs w:val="16"/>
                        </w:rPr>
                        <w:t>”</w:t>
                      </w:r>
                      <w:r>
                        <w:rPr>
                          <w:rFonts w:ascii="宋体" w:hAnsi="宋体" w:cs="宋体" w:eastAsia="宋体" w:hint="default"/>
                          <w:w w:val="95"/>
                          <w:sz w:val="16"/>
                          <w:szCs w:val="16"/>
                        </w:rPr>
                        <w:t>号填列）</w:t>
                      </w:r>
                      <w:r>
                        <w:rPr>
                          <w:rFonts w:ascii="宋体" w:hAnsi="宋体" w:cs="宋体" w:eastAsia="宋体" w:hint="default"/>
                          <w:sz w:val="16"/>
                          <w:szCs w:val="16"/>
                        </w:rPr>
                      </w:r>
                    </w:p>
                  </w:txbxContent>
                </v:textbox>
                <w10:wrap type="none"/>
              </v:shape>
              <v:shape style="position:absolute;left:7609;top:-5675;width:1055;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-344,606,287.74</w:t>
                      </w:r>
                      <w:r>
                        <w:rPr>
                          <w:rFonts w:ascii="Times New Roman"/>
                          <w:sz w:val="16"/>
                        </w:rPr>
                      </w:r>
                    </w:p>
                  </w:txbxContent>
                </v:textbox>
                <w10:wrap type="none"/>
              </v:shape>
              <v:shape style="position:absolute;left:9490;top:-5675;width:100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480,008,961.10</w:t>
                      </w:r>
                      <w:r>
                        <w:rPr>
                          <w:rFonts w:ascii="Times New Roman"/>
                          <w:sz w:val="16"/>
                        </w:rPr>
                      </w:r>
                    </w:p>
                  </w:txbxContent>
                </v:textbox>
                <w10:wrap type="none"/>
              </v:shape>
              <v:shape style="position:absolute;left:7609;top:-5323;width:1055;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-782,542,367.30</w:t>
                      </w:r>
                      <w:r>
                        <w:rPr>
                          <w:rFonts w:ascii="Times New Roman"/>
                          <w:sz w:val="16"/>
                        </w:rPr>
                      </w:r>
                    </w:p>
                  </w:txbxContent>
                </v:textbox>
                <w10:wrap type="none"/>
              </v:shape>
              <v:shape style="position:absolute;left:9316;top:-5323;width:1175;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-1,189,205,266.32</w:t>
                      </w:r>
                      <w:r>
                        <w:rPr>
                          <w:rFonts w:ascii="Times New Roman"/>
                          <w:sz w:val="16"/>
                        </w:rPr>
                      </w:r>
                    </w:p>
                  </w:txbxContent>
                </v:textbox>
                <w10:wrap type="none"/>
              </v:shape>
              <v:shape style="position:absolute;left:2518;top:-4982;width:3180;height:169" type="#_x0000_t202" filled="false" stroked="false">
                <v:textbox inset="0,0,0,0">
                  <w:txbxContent>
                    <w:p>
                      <w:pPr>
                        <w:spacing w:line="168"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经营性应付项目的增加（减少以</w:t>
                      </w:r>
                      <w:r>
                        <w:rPr>
                          <w:rFonts w:ascii="Times New Roman" w:hAnsi="Times New Roman" w:cs="Times New Roman" w:eastAsia="Times New Roman" w:hint="default"/>
                          <w:w w:val="95"/>
                          <w:sz w:val="16"/>
                          <w:szCs w:val="16"/>
                        </w:rPr>
                        <w:t>“</w:t>
                      </w:r>
                      <w:r>
                        <w:rPr>
                          <w:rFonts w:ascii="宋体" w:hAnsi="宋体" w:cs="宋体" w:eastAsia="宋体" w:hint="default"/>
                          <w:w w:val="95"/>
                          <w:sz w:val="16"/>
                          <w:szCs w:val="16"/>
                        </w:rPr>
                        <w:t>－</w:t>
                      </w:r>
                      <w:r>
                        <w:rPr>
                          <w:rFonts w:ascii="Times New Roman" w:hAnsi="Times New Roman" w:cs="Times New Roman" w:eastAsia="Times New Roman" w:hint="default"/>
                          <w:w w:val="95"/>
                          <w:sz w:val="16"/>
                          <w:szCs w:val="16"/>
                        </w:rPr>
                        <w:t>”</w:t>
                      </w:r>
                      <w:r>
                        <w:rPr>
                          <w:rFonts w:ascii="宋体" w:hAnsi="宋体" w:cs="宋体" w:eastAsia="宋体" w:hint="default"/>
                          <w:w w:val="95"/>
                          <w:sz w:val="16"/>
                          <w:szCs w:val="16"/>
                        </w:rPr>
                        <w:t>号填列）</w:t>
                      </w:r>
                      <w:r>
                        <w:rPr>
                          <w:rFonts w:ascii="宋体" w:hAnsi="宋体" w:cs="宋体" w:eastAsia="宋体" w:hint="default"/>
                          <w:sz w:val="16"/>
                          <w:szCs w:val="16"/>
                        </w:rPr>
                      </w:r>
                    </w:p>
                  </w:txbxContent>
                </v:textbox>
                <w10:wrap type="none"/>
              </v:shape>
              <v:shape style="position:absolute;left:7663;top:-4969;width:100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514,637,078.10</w:t>
                      </w:r>
                      <w:r>
                        <w:rPr>
                          <w:rFonts w:ascii="Times New Roman"/>
                          <w:sz w:val="16"/>
                        </w:rPr>
                      </w:r>
                    </w:p>
                  </w:txbxContent>
                </v:textbox>
                <w10:wrap type="none"/>
              </v:shape>
              <v:shape style="position:absolute;left:9436;top:-4969;width:1055;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-447,451,281.65</w:t>
                      </w:r>
                      <w:r>
                        <w:rPr>
                          <w:rFonts w:ascii="Times New Roman"/>
                          <w:sz w:val="16"/>
                        </w:rPr>
                      </w:r>
                    </w:p>
                  </w:txbxContent>
                </v:textbox>
                <w10:wrap type="none"/>
              </v:shape>
              <v:shape style="position:absolute;left:2518;top:-4629;width:2079;height:514"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其他</w:t>
                      </w:r>
                    </w:p>
                    <w:p>
                      <w:pPr>
                        <w:spacing w:line="240" w:lineRule="auto" w:before="1"/>
                        <w:rPr>
                          <w:rFonts w:ascii="宋体" w:hAnsi="宋体" w:cs="宋体" w:eastAsia="宋体" w:hint="default"/>
                          <w:b/>
                          <w:bCs/>
                          <w:sz w:val="11"/>
                          <w:szCs w:val="11"/>
                        </w:rPr>
                      </w:pPr>
                    </w:p>
                    <w:p>
                      <w:pPr>
                        <w:spacing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经营活动产生的现金流量净额</w:t>
                      </w:r>
                      <w:r>
                        <w:rPr>
                          <w:rFonts w:ascii="宋体" w:hAnsi="宋体" w:cs="宋体" w:eastAsia="宋体" w:hint="default"/>
                          <w:sz w:val="16"/>
                          <w:szCs w:val="16"/>
                        </w:rPr>
                      </w:r>
                    </w:p>
                  </w:txbxContent>
                </v:textbox>
                <w10:wrap type="none"/>
              </v:shape>
              <v:shape style="position:absolute;left:7742;top:-4262;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44,859,987.74</w:t>
                      </w:r>
                      <w:r>
                        <w:rPr>
                          <w:rFonts w:ascii="Times New Roman"/>
                          <w:sz w:val="16"/>
                        </w:rPr>
                      </w:r>
                    </w:p>
                  </w:txbxContent>
                </v:textbox>
                <w10:wrap type="none"/>
              </v:shape>
              <v:shape style="position:absolute;left:9436;top:-4262;width:1055;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-402,660,921.84</w:t>
                      </w:r>
                      <w:r>
                        <w:rPr>
                          <w:rFonts w:ascii="Times New Roman"/>
                          <w:sz w:val="16"/>
                        </w:rPr>
                      </w:r>
                    </w:p>
                  </w:txbxContent>
                </v:textbox>
                <w10:wrap type="none"/>
              </v:shape>
              <v:shape style="position:absolute;left:2518;top:-3921;width:2958;height:1926" type="#_x0000_t202" filled="false" stroked="false">
                <v:textbox inset="0,0,0,0">
                  <w:txbxContent>
                    <w:p>
                      <w:pPr>
                        <w:spacing w:line="172" w:lineRule="exact" w:before="0"/>
                        <w:ind w:left="0" w:right="0" w:firstLine="0"/>
                        <w:jc w:val="left"/>
                        <w:rPr>
                          <w:rFonts w:ascii="宋体" w:hAnsi="宋体" w:cs="宋体" w:eastAsia="宋体" w:hint="default"/>
                          <w:sz w:val="16"/>
                          <w:szCs w:val="16"/>
                        </w:rPr>
                      </w:pPr>
                      <w:r>
                        <w:rPr>
                          <w:rFonts w:ascii="Times New Roman" w:hAnsi="Times New Roman" w:cs="Times New Roman" w:eastAsia="Times New Roman" w:hint="default"/>
                          <w:w w:val="95"/>
                          <w:sz w:val="16"/>
                          <w:szCs w:val="16"/>
                        </w:rPr>
                        <w:t>2</w:t>
                      </w:r>
                      <w:r>
                        <w:rPr>
                          <w:rFonts w:ascii="宋体" w:hAnsi="宋体" w:cs="宋体" w:eastAsia="宋体" w:hint="default"/>
                          <w:w w:val="95"/>
                          <w:sz w:val="16"/>
                          <w:szCs w:val="16"/>
                        </w:rPr>
                        <w:t>、不涉及现金收支的重大投资和筹资活动</w:t>
                      </w:r>
                      <w:r>
                        <w:rPr>
                          <w:rFonts w:ascii="宋体" w:hAnsi="宋体" w:cs="宋体" w:eastAsia="宋体" w:hint="default"/>
                          <w:sz w:val="16"/>
                          <w:szCs w:val="16"/>
                        </w:rPr>
                      </w:r>
                    </w:p>
                    <w:p>
                      <w:pPr>
                        <w:spacing w:line="405" w:lineRule="auto" w:before="131"/>
                        <w:ind w:left="0" w:right="637" w:firstLine="0"/>
                        <w:jc w:val="left"/>
                        <w:rPr>
                          <w:rFonts w:ascii="宋体" w:hAnsi="宋体" w:cs="宋体" w:eastAsia="宋体" w:hint="default"/>
                          <w:sz w:val="16"/>
                          <w:szCs w:val="16"/>
                        </w:rPr>
                      </w:pPr>
                      <w:r>
                        <w:rPr>
                          <w:rFonts w:ascii="宋体" w:hAnsi="宋体" w:cs="宋体" w:eastAsia="宋体" w:hint="default"/>
                          <w:sz w:val="16"/>
                          <w:szCs w:val="16"/>
                        </w:rPr>
                        <w:t>债务转为资本</w:t>
                      </w:r>
                      <w:r>
                        <w:rPr>
                          <w:rFonts w:ascii="宋体" w:hAnsi="宋体" w:cs="宋体" w:eastAsia="宋体" w:hint="default"/>
                          <w:w w:val="99"/>
                          <w:sz w:val="16"/>
                          <w:szCs w:val="16"/>
                        </w:rPr>
                        <w:t> </w:t>
                      </w:r>
                      <w:r>
                        <w:rPr>
                          <w:rFonts w:ascii="宋体" w:hAnsi="宋体" w:cs="宋体" w:eastAsia="宋体" w:hint="default"/>
                          <w:sz w:val="16"/>
                          <w:szCs w:val="16"/>
                        </w:rPr>
                        <w:t>一年内到期的可转换公司债券</w:t>
                      </w:r>
                      <w:r>
                        <w:rPr>
                          <w:rFonts w:ascii="宋体" w:hAnsi="宋体" w:cs="宋体" w:eastAsia="宋体" w:hint="default"/>
                          <w:w w:val="99"/>
                          <w:sz w:val="16"/>
                          <w:szCs w:val="16"/>
                        </w:rPr>
                        <w:t> </w:t>
                      </w:r>
                      <w:r>
                        <w:rPr>
                          <w:rFonts w:ascii="宋体" w:hAnsi="宋体" w:cs="宋体" w:eastAsia="宋体" w:hint="default"/>
                          <w:sz w:val="16"/>
                          <w:szCs w:val="16"/>
                        </w:rPr>
                        <w:t>融资租入固定资产</w:t>
                      </w:r>
                      <w:r>
                        <w:rPr>
                          <w:rFonts w:ascii="宋体" w:hAnsi="宋体" w:cs="宋体" w:eastAsia="宋体" w:hint="default"/>
                          <w:w w:val="99"/>
                          <w:sz w:val="16"/>
                          <w:szCs w:val="16"/>
                        </w:rPr>
                        <w:t> </w:t>
                      </w:r>
                      <w:r>
                        <w:rPr>
                          <w:rFonts w:ascii="Times New Roman" w:hAnsi="Times New Roman" w:cs="Times New Roman" w:eastAsia="Times New Roman" w:hint="default"/>
                          <w:w w:val="95"/>
                          <w:sz w:val="16"/>
                          <w:szCs w:val="16"/>
                        </w:rPr>
                        <w:t>3</w:t>
                      </w:r>
                      <w:r>
                        <w:rPr>
                          <w:rFonts w:ascii="宋体" w:hAnsi="宋体" w:cs="宋体" w:eastAsia="宋体" w:hint="default"/>
                          <w:w w:val="95"/>
                          <w:sz w:val="16"/>
                          <w:szCs w:val="16"/>
                        </w:rPr>
                        <w:t>、现金及现金等价物净变动情况</w:t>
                      </w:r>
                      <w:r>
                        <w:rPr>
                          <w:rFonts w:ascii="宋体" w:hAnsi="宋体" w:cs="宋体" w:eastAsia="宋体" w:hint="default"/>
                          <w:sz w:val="16"/>
                          <w:szCs w:val="16"/>
                        </w:rPr>
                      </w:r>
                    </w:p>
                    <w:p>
                      <w:pPr>
                        <w:spacing w:before="9"/>
                        <w:ind w:left="0" w:right="0" w:firstLine="0"/>
                        <w:jc w:val="left"/>
                        <w:rPr>
                          <w:rFonts w:ascii="宋体" w:hAnsi="宋体" w:cs="宋体" w:eastAsia="宋体" w:hint="default"/>
                          <w:sz w:val="16"/>
                          <w:szCs w:val="16"/>
                        </w:rPr>
                      </w:pPr>
                      <w:r>
                        <w:rPr>
                          <w:rFonts w:ascii="宋体" w:hAnsi="宋体" w:cs="宋体" w:eastAsia="宋体" w:hint="default"/>
                          <w:sz w:val="16"/>
                          <w:szCs w:val="16"/>
                        </w:rPr>
                        <w:t>现金的期末余额</w:t>
                      </w:r>
                    </w:p>
                  </w:txbxContent>
                </v:textbox>
                <w10:wrap type="none"/>
              </v:shape>
              <v:shape style="position:absolute;left:7543;top:-2140;width:112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3,202,699,658.70</w:t>
                      </w:r>
                      <w:r>
                        <w:rPr>
                          <w:rFonts w:ascii="Times New Roman"/>
                          <w:sz w:val="16"/>
                        </w:rPr>
                      </w:r>
                    </w:p>
                  </w:txbxContent>
                </v:textbox>
                <w10:wrap type="none"/>
              </v:shape>
              <v:shape style="position:absolute;left:9370;top:-2140;width:112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2,943,664,838.40</w:t>
                      </w:r>
                      <w:r>
                        <w:rPr>
                          <w:rFonts w:ascii="Times New Roman"/>
                          <w:sz w:val="16"/>
                        </w:rPr>
                      </w:r>
                    </w:p>
                  </w:txbxContent>
                </v:textbox>
                <w10:wrap type="none"/>
              </v:shape>
              <v:shape style="position:absolute;left:2518;top:-1801;width:14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减：现金的期初余额</w:t>
                      </w:r>
                      <w:r>
                        <w:rPr>
                          <w:rFonts w:ascii="宋体" w:hAnsi="宋体" w:cs="宋体" w:eastAsia="宋体" w:hint="default"/>
                          <w:sz w:val="16"/>
                          <w:szCs w:val="16"/>
                        </w:rPr>
                      </w:r>
                    </w:p>
                  </w:txbxContent>
                </v:textbox>
                <w10:wrap type="none"/>
              </v:shape>
              <v:shape style="position:absolute;left:7543;top:-1787;width:112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2,943,664,838.40</w:t>
                      </w:r>
                      <w:r>
                        <w:rPr>
                          <w:rFonts w:ascii="Times New Roman"/>
                          <w:sz w:val="16"/>
                        </w:rPr>
                      </w:r>
                    </w:p>
                  </w:txbxContent>
                </v:textbox>
                <w10:wrap type="none"/>
              </v:shape>
              <v:shape style="position:absolute;left:9370;top:-1787;width:112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2,828,245,659.73</w:t>
                      </w:r>
                      <w:r>
                        <w:rPr>
                          <w:rFonts w:ascii="Times New Roman"/>
                          <w:sz w:val="16"/>
                        </w:rPr>
                      </w:r>
                    </w:p>
                  </w:txbxContent>
                </v:textbox>
                <w10:wrap type="none"/>
              </v:shape>
              <v:shape style="position:absolute;left:2518;top:-1447;width:1919;height:513"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加：现金等价物的期末余额</w:t>
                      </w:r>
                      <w:r>
                        <w:rPr>
                          <w:rFonts w:ascii="宋体" w:hAnsi="宋体" w:cs="宋体" w:eastAsia="宋体" w:hint="default"/>
                          <w:sz w:val="16"/>
                          <w:szCs w:val="16"/>
                        </w:rPr>
                      </w:r>
                    </w:p>
                    <w:p>
                      <w:pPr>
                        <w:spacing w:before="143"/>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减：现金等价物的期初余额</w:t>
                      </w:r>
                      <w:r>
                        <w:rPr>
                          <w:rFonts w:ascii="宋体" w:hAnsi="宋体" w:cs="宋体" w:eastAsia="宋体" w:hint="default"/>
                          <w:sz w:val="16"/>
                          <w:szCs w:val="16"/>
                        </w:rPr>
                      </w:r>
                    </w:p>
                  </w:txbxContent>
                </v:textbox>
                <w10:wrap type="none"/>
              </v:shape>
              <v:shape style="position:absolute;left:9370;top:-1081;width:112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4,540,190,193.00</w:t>
                      </w:r>
                      <w:r>
                        <w:rPr>
                          <w:rFonts w:ascii="Times New Roman"/>
                          <w:sz w:val="16"/>
                        </w:rPr>
                      </w:r>
                    </w:p>
                  </w:txbxContent>
                </v:textbox>
                <w10:wrap type="none"/>
              </v:shape>
              <v:shape style="position:absolute;left:2518;top:-740;width:191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现金及现金等价物净增加额</w:t>
                      </w:r>
                      <w:r>
                        <w:rPr>
                          <w:rFonts w:ascii="宋体" w:hAnsi="宋体" w:cs="宋体" w:eastAsia="宋体" w:hint="default"/>
                          <w:sz w:val="16"/>
                          <w:szCs w:val="16"/>
                        </w:rPr>
                      </w:r>
                    </w:p>
                  </w:txbxContent>
                </v:textbox>
                <w10:wrap type="none"/>
              </v:shape>
              <v:shape style="position:absolute;left:7663;top:-727;width:100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259,034,820.30</w:t>
                      </w:r>
                      <w:r>
                        <w:rPr>
                          <w:rFonts w:ascii="Times New Roman"/>
                          <w:sz w:val="16"/>
                        </w:rPr>
                      </w:r>
                    </w:p>
                  </w:txbxContent>
                </v:textbox>
                <w10:wrap type="none"/>
              </v:shape>
              <v:shape style="position:absolute;left:9316;top:-727;width:1175;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-4,424,771,014.33</w:t>
                      </w:r>
                      <w:r>
                        <w:rPr>
                          <w:rFonts w:ascii="Times New Roman"/>
                          <w:sz w:val="16"/>
                        </w:rPr>
                      </w:r>
                    </w:p>
                  </w:txbxContent>
                </v:textbox>
                <w10:wrap type="none"/>
              </v:shape>
            </v:group>
            <w10:wrap type="none"/>
          </v:group>
        </w:pict>
      </w:r>
      <w:r>
        <w:rPr>
          <w:rFonts w:ascii="Times New Roman" w:hAnsi="Times New Roman" w:cs="Times New Roman" w:eastAsia="Times New Roman" w:hint="default"/>
          <w:w w:val="95"/>
        </w:rPr>
        <w:t>2</w:t>
      </w:r>
      <w:r>
        <w:rPr>
          <w:w w:val="95"/>
        </w:rPr>
        <w:t>、</w:t>
        <w:tab/>
      </w:r>
      <w:r>
        <w:rPr/>
        <w:t>本期收到的处置子公司的现金净额</w:t>
      </w:r>
      <w:r>
        <w:rPr>
          <w:b w:val="0"/>
          <w:bCs w:val="0"/>
        </w:rPr>
      </w:r>
    </w:p>
    <w:p>
      <w:pPr>
        <w:spacing w:line="404" w:lineRule="exact"/>
        <w:ind w:left="720"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11.6pt;height:20.25pt;mso-position-horizontal-relative:char;mso-position-vertical-relative:line" coordorigin="0,0" coordsize="8232,405">
            <v:group style="position:absolute;left:29;top:15;width:5513;height:2" coordorigin="29,15" coordsize="5513,2">
              <v:shape style="position:absolute;left:29;top:15;width:5513;height:2" coordorigin="29,15" coordsize="5513,0" path="m29,15l5542,15e" filled="false" stroked="true" strokeweight="1.5pt" strokecolor="#000000">
                <v:path arrowok="t"/>
              </v:shape>
            </v:group>
            <v:group style="position:absolute;left:5542;top:15;width:2675;height:2" coordorigin="5542,15" coordsize="2675,2">
              <v:shape style="position:absolute;left:5542;top:15;width:2675;height:2" coordorigin="5542,15" coordsize="2675,0" path="m5542,15l8217,15e" filled="false" stroked="true" strokeweight="1.5pt" strokecolor="#000000">
                <v:path arrowok="t"/>
              </v:shape>
            </v:group>
            <v:group style="position:absolute;left:15;top:389;width:5528;height:2" coordorigin="15,389" coordsize="5528,2">
              <v:shape style="position:absolute;left:15;top:389;width:5528;height:2" coordorigin="15,389" coordsize="5528,0" path="m15,389l5542,389e" filled="false" stroked="true" strokeweight="1.5pt" strokecolor="#000000">
                <v:path arrowok="t"/>
              </v:shape>
              <v:shape style="position:absolute;left:5542;top:30;width:10;height:344" type="#_x0000_t75" stroked="false">
                <v:imagedata r:id="rId354" o:title=""/>
              </v:shape>
            </v:group>
            <v:group style="position:absolute;left:5542;top:389;width:2675;height:2" coordorigin="5542,389" coordsize="2675,2">
              <v:shape style="position:absolute;left:5542;top:389;width:2675;height:2" coordorigin="5542,389" coordsize="2675,0" path="m5542,389l8217,389e" filled="false" stroked="true" strokeweight="1.5pt" strokecolor="#000000">
                <v:path arrowok="t"/>
              </v:shape>
              <v:shape style="position:absolute;left:6722;top:122;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金额</w:t>
                      </w:r>
                      <w:r>
                        <w:rPr>
                          <w:rFonts w:ascii="宋体" w:hAnsi="宋体" w:cs="宋体" w:eastAsia="宋体" w:hint="default"/>
                          <w:sz w:val="16"/>
                          <w:szCs w:val="16"/>
                        </w:rPr>
                      </w:r>
                    </w:p>
                  </w:txbxContent>
                </v:textbox>
                <w10:wrap type="none"/>
              </v:shape>
            </v:group>
          </v:group>
        </w:pict>
      </w:r>
      <w:r>
        <w:rPr>
          <w:rFonts w:ascii="宋体" w:hAnsi="宋体" w:cs="宋体" w:eastAsia="宋体" w:hint="default"/>
          <w:position w:val="-7"/>
          <w:sz w:val="20"/>
          <w:szCs w:val="20"/>
        </w:rPr>
      </w:r>
    </w:p>
    <w:p>
      <w:pPr>
        <w:spacing w:after="0" w:line="404" w:lineRule="exact"/>
        <w:rPr>
          <w:rFonts w:ascii="宋体" w:hAnsi="宋体" w:cs="宋体" w:eastAsia="宋体" w:hint="default"/>
          <w:sz w:val="20"/>
          <w:szCs w:val="20"/>
        </w:rPr>
        <w:sectPr>
          <w:pgSz w:w="11910" w:h="16840"/>
          <w:pgMar w:header="0" w:footer="1001" w:top="1520" w:bottom="1200" w:left="1660" w:right="0"/>
        </w:sectPr>
      </w:pPr>
    </w:p>
    <w:p>
      <w:pPr>
        <w:spacing w:line="240" w:lineRule="auto" w:before="2"/>
        <w:rPr>
          <w:rFonts w:ascii="宋体" w:hAnsi="宋体" w:cs="宋体" w:eastAsia="宋体" w:hint="default"/>
          <w:b/>
          <w:bCs/>
          <w:sz w:val="9"/>
          <w:szCs w:val="9"/>
        </w:rPr>
      </w:pPr>
    </w:p>
    <w:p>
      <w:pPr>
        <w:spacing w:line="2172" w:lineRule="exact"/>
        <w:ind w:left="720" w:right="0" w:firstLine="0"/>
        <w:rPr>
          <w:rFonts w:ascii="宋体" w:hAnsi="宋体" w:cs="宋体" w:eastAsia="宋体" w:hint="default"/>
          <w:sz w:val="20"/>
          <w:szCs w:val="20"/>
        </w:rPr>
      </w:pPr>
      <w:r>
        <w:rPr>
          <w:rFonts w:ascii="宋体" w:hAnsi="宋体" w:cs="宋体" w:eastAsia="宋体" w:hint="default"/>
          <w:position w:val="-42"/>
          <w:sz w:val="20"/>
          <w:szCs w:val="20"/>
        </w:rPr>
        <w:pict>
          <v:group style="width:412pt;height:108.6pt;mso-position-horizontal-relative:char;mso-position-vertical-relative:line" coordorigin="0,0" coordsize="8240,2172">
            <v:group style="position:absolute;left:29;top:15;width:5513;height:2" coordorigin="29,15" coordsize="5513,2">
              <v:shape style="position:absolute;left:29;top:15;width:5513;height:2" coordorigin="29,15" coordsize="5513,0" path="m29,15l5542,15e" filled="false" stroked="true" strokeweight="1.5pt" strokecolor="#000000">
                <v:path arrowok="t"/>
              </v:shape>
            </v:group>
            <v:group style="position:absolute;left:5542;top:15;width:2675;height:2" coordorigin="5542,15" coordsize="2675,2">
              <v:shape style="position:absolute;left:5542;top:15;width:2675;height:2" coordorigin="5542,15" coordsize="2675,0" path="m5542,15l8217,15e" filled="false" stroked="true" strokeweight="1.5pt" strokecolor="#000000">
                <v:path arrowok="t"/>
              </v:shape>
              <v:shape style="position:absolute;left:5542;top:30;width:10;height:344" type="#_x0000_t75" stroked="false">
                <v:imagedata r:id="rId355" o:title=""/>
              </v:shape>
            </v:group>
            <v:group style="position:absolute;left:15;top:2157;width:5528;height:2" coordorigin="15,2157" coordsize="5528,2">
              <v:shape style="position:absolute;left:15;top:2157;width:5528;height:2" coordorigin="15,2157" coordsize="5528,0" path="m15,2157l5542,2157e" filled="false" stroked="true" strokeweight="1.5pt" strokecolor="#000000">
                <v:path arrowok="t"/>
              </v:shape>
              <v:shape style="position:absolute;left:10;top:355;width:8230;height:1787" type="#_x0000_t75" stroked="false">
                <v:imagedata r:id="rId356" o:title=""/>
              </v:shape>
            </v:group>
            <v:group style="position:absolute;left:5542;top:2157;width:2675;height:2" coordorigin="5542,2157" coordsize="2675,2">
              <v:shape style="position:absolute;left:5542;top:2157;width:2675;height:2" coordorigin="5542,2157" coordsize="2675,0" path="m5542,2157l8217,2157e" filled="false" stroked="true" strokeweight="1.5pt" strokecolor="#000000">
                <v:path arrowok="t"/>
              </v:shape>
              <v:shape style="position:absolute;left:6722;top:122;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金额</w:t>
                      </w:r>
                      <w:r>
                        <w:rPr>
                          <w:rFonts w:ascii="宋体" w:hAnsi="宋体" w:cs="宋体" w:eastAsia="宋体" w:hint="default"/>
                          <w:sz w:val="16"/>
                          <w:szCs w:val="16"/>
                        </w:rPr>
                      </w:r>
                    </w:p>
                  </w:txbxContent>
                </v:textbox>
                <w10:wrap type="none"/>
              </v:shape>
              <v:shape style="position:absolute;left:137;top:475;width:3358;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本期处置子公司于本期收到的现金或现金等价物</w:t>
                      </w:r>
                      <w:r>
                        <w:rPr>
                          <w:rFonts w:ascii="宋体" w:hAnsi="宋体" w:cs="宋体" w:eastAsia="宋体" w:hint="default"/>
                          <w:sz w:val="16"/>
                          <w:szCs w:val="16"/>
                        </w:rPr>
                      </w:r>
                    </w:p>
                  </w:txbxContent>
                </v:textbox>
                <w10:wrap type="none"/>
              </v:shape>
              <v:shape style="position:absolute;left:7189;top:490;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51,508,800.00</w:t>
                      </w:r>
                      <w:r>
                        <w:rPr>
                          <w:rFonts w:ascii="Times New Roman"/>
                          <w:sz w:val="16"/>
                        </w:rPr>
                      </w:r>
                    </w:p>
                  </w:txbxContent>
                </v:textbox>
                <w10:wrap type="none"/>
              </v:shape>
              <v:shape style="position:absolute;left:137;top:829;width:2878;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其中：深圳市湘计长岛电脑设备有限公司</w:t>
                      </w:r>
                      <w:r>
                        <w:rPr>
                          <w:rFonts w:ascii="宋体" w:hAnsi="宋体" w:cs="宋体" w:eastAsia="宋体" w:hint="default"/>
                          <w:sz w:val="16"/>
                          <w:szCs w:val="16"/>
                        </w:rPr>
                      </w:r>
                    </w:p>
                  </w:txbxContent>
                </v:textbox>
                <w10:wrap type="none"/>
              </v:shape>
              <v:shape style="position:absolute;left:7189;top:842;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51,508,800.00</w:t>
                      </w:r>
                      <w:r>
                        <w:rPr>
                          <w:rFonts w:ascii="Times New Roman"/>
                          <w:sz w:val="16"/>
                        </w:rPr>
                      </w:r>
                    </w:p>
                  </w:txbxContent>
                </v:textbox>
                <w10:wrap type="none"/>
              </v:shape>
              <v:shape style="position:absolute;left:137;top:1183;width:351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减：丧失控制权日子公司持有的现金及现金等价物</w:t>
                      </w:r>
                      <w:r>
                        <w:rPr>
                          <w:rFonts w:ascii="宋体" w:hAnsi="宋体" w:cs="宋体" w:eastAsia="宋体" w:hint="default"/>
                          <w:sz w:val="16"/>
                          <w:szCs w:val="16"/>
                        </w:rPr>
                      </w:r>
                    </w:p>
                  </w:txbxContent>
                </v:textbox>
                <w10:wrap type="none"/>
              </v:shape>
              <v:shape style="position:absolute;left:7389;top:1196;width:7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741,863.82</w:t>
                      </w:r>
                      <w:r>
                        <w:rPr>
                          <w:rFonts w:ascii="Times New Roman"/>
                          <w:sz w:val="16"/>
                        </w:rPr>
                      </w:r>
                    </w:p>
                  </w:txbxContent>
                </v:textbox>
                <w10:wrap type="none"/>
              </v:shape>
              <v:shape style="position:absolute;left:137;top:1536;width:3998;height:514"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加：以前期间处置子公司于本期收到的现金或现金等价物</w:t>
                      </w:r>
                      <w:r>
                        <w:rPr>
                          <w:rFonts w:ascii="宋体" w:hAnsi="宋体" w:cs="宋体" w:eastAsia="宋体" w:hint="default"/>
                          <w:sz w:val="16"/>
                          <w:szCs w:val="16"/>
                        </w:rPr>
                      </w:r>
                    </w:p>
                    <w:p>
                      <w:pPr>
                        <w:spacing w:line="240" w:lineRule="auto" w:before="1"/>
                        <w:rPr>
                          <w:rFonts w:ascii="宋体" w:hAnsi="宋体" w:cs="宋体" w:eastAsia="宋体" w:hint="default"/>
                          <w:b/>
                          <w:bCs/>
                          <w:sz w:val="11"/>
                          <w:szCs w:val="11"/>
                        </w:rPr>
                      </w:pPr>
                    </w:p>
                    <w:p>
                      <w:pPr>
                        <w:spacing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处置子公司收到的现金净额</w:t>
                      </w:r>
                    </w:p>
                  </w:txbxContent>
                </v:textbox>
                <w10:wrap type="none"/>
              </v:shape>
              <v:shape style="position:absolute;left:7189;top:1903;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50,766,936.18</w:t>
                      </w:r>
                      <w:r>
                        <w:rPr>
                          <w:rFonts w:ascii="Times New Roman"/>
                          <w:sz w:val="16"/>
                        </w:rPr>
                      </w:r>
                    </w:p>
                  </w:txbxContent>
                </v:textbox>
                <w10:wrap type="none"/>
              </v:shape>
            </v:group>
          </v:group>
        </w:pict>
      </w:r>
      <w:r>
        <w:rPr>
          <w:rFonts w:ascii="宋体" w:hAnsi="宋体" w:cs="宋体" w:eastAsia="宋体" w:hint="default"/>
          <w:position w:val="-42"/>
          <w:sz w:val="20"/>
          <w:szCs w:val="2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tbl>
      <w:tblPr>
        <w:tblW w:w="0" w:type="auto"/>
        <w:jc w:val="left"/>
        <w:tblInd w:w="749" w:type="dxa"/>
        <w:tblLayout w:type="fixed"/>
        <w:tblCellMar>
          <w:top w:w="0" w:type="dxa"/>
          <w:left w:w="0" w:type="dxa"/>
          <w:bottom w:w="0" w:type="dxa"/>
          <w:right w:w="0" w:type="dxa"/>
        </w:tblCellMar>
        <w:tblLook w:val="01E0"/>
      </w:tblPr>
      <w:tblGrid>
        <w:gridCol w:w="4654"/>
        <w:gridCol w:w="1907"/>
        <w:gridCol w:w="1627"/>
      </w:tblGrid>
      <w:tr>
        <w:trPr>
          <w:trHeight w:val="357" w:hRule="exact"/>
        </w:trPr>
        <w:tc>
          <w:tcPr>
            <w:tcW w:w="4654" w:type="dxa"/>
            <w:tcBorders>
              <w:top w:val="nil" w:sz="6" w:space="0" w:color="auto"/>
              <w:left w:val="nil" w:sz="6" w:space="0" w:color="auto"/>
              <w:bottom w:val="single" w:sz="12" w:space="0" w:color="000000"/>
              <w:right w:val="nil" w:sz="6" w:space="0" w:color="auto"/>
            </w:tcBorders>
          </w:tcPr>
          <w:p>
            <w:pPr>
              <w:pStyle w:val="TableParagraph"/>
              <w:tabs>
                <w:tab w:pos="647" w:val="left" w:leader="none"/>
              </w:tabs>
              <w:spacing w:line="240" w:lineRule="auto" w:before="35"/>
              <w:ind w:left="97" w:right="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3</w:t>
            </w:r>
            <w:r>
              <w:rPr>
                <w:rFonts w:ascii="宋体" w:hAnsi="宋体" w:cs="宋体" w:eastAsia="宋体" w:hint="default"/>
                <w:b/>
                <w:bCs/>
                <w:w w:val="95"/>
                <w:sz w:val="21"/>
                <w:szCs w:val="21"/>
              </w:rPr>
              <w:t>、</w:t>
              <w:tab/>
            </w:r>
            <w:r>
              <w:rPr>
                <w:rFonts w:ascii="宋体" w:hAnsi="宋体" w:cs="宋体" w:eastAsia="宋体" w:hint="default"/>
                <w:b/>
                <w:bCs/>
                <w:sz w:val="21"/>
                <w:szCs w:val="21"/>
              </w:rPr>
              <w:t>现金和现金等价物的构成</w:t>
            </w:r>
            <w:r>
              <w:rPr>
                <w:rFonts w:ascii="宋体" w:hAnsi="宋体" w:cs="宋体" w:eastAsia="宋体" w:hint="default"/>
                <w:sz w:val="21"/>
                <w:szCs w:val="21"/>
              </w:rPr>
            </w:r>
          </w:p>
        </w:tc>
        <w:tc>
          <w:tcPr>
            <w:tcW w:w="3534" w:type="dxa"/>
            <w:gridSpan w:val="2"/>
            <w:tcBorders>
              <w:top w:val="nil" w:sz="6" w:space="0" w:color="auto"/>
              <w:left w:val="nil" w:sz="6" w:space="0" w:color="auto"/>
              <w:bottom w:val="single" w:sz="12" w:space="0" w:color="000000"/>
              <w:right w:val="nil" w:sz="6" w:space="0" w:color="auto"/>
            </w:tcBorders>
          </w:tcPr>
          <w:p>
            <w:pPr/>
          </w:p>
        </w:tc>
      </w:tr>
      <w:tr>
        <w:trPr>
          <w:trHeight w:val="363" w:hRule="exact"/>
        </w:trPr>
        <w:tc>
          <w:tcPr>
            <w:tcW w:w="4654"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right="233"/>
              <w:jc w:val="center"/>
              <w:rPr>
                <w:rFonts w:ascii="宋体" w:hAnsi="宋体" w:cs="宋体" w:eastAsia="宋体" w:hint="default"/>
                <w:sz w:val="16"/>
                <w:szCs w:val="16"/>
              </w:rPr>
            </w:pPr>
            <w:r>
              <w:rPr>
                <w:rFonts w:ascii="宋体" w:hAnsi="宋体" w:cs="宋体" w:eastAsia="宋体" w:hint="default"/>
                <w:sz w:val="16"/>
                <w:szCs w:val="16"/>
              </w:rPr>
              <w:t>项目</w:t>
            </w:r>
          </w:p>
        </w:tc>
        <w:tc>
          <w:tcPr>
            <w:tcW w:w="1907"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left="387" w:right="0"/>
              <w:jc w:val="left"/>
              <w:rPr>
                <w:rFonts w:ascii="宋体" w:hAnsi="宋体" w:cs="宋体" w:eastAsia="宋体" w:hint="default"/>
                <w:sz w:val="16"/>
                <w:szCs w:val="16"/>
              </w:rPr>
            </w:pPr>
            <w:r>
              <w:rPr>
                <w:rFonts w:ascii="宋体" w:hAnsi="宋体" w:cs="宋体" w:eastAsia="宋体" w:hint="default"/>
                <w:sz w:val="16"/>
                <w:szCs w:val="16"/>
              </w:rPr>
              <w:t>期末余额</w:t>
            </w:r>
          </w:p>
        </w:tc>
        <w:tc>
          <w:tcPr>
            <w:tcW w:w="1627"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left="364" w:right="0"/>
              <w:jc w:val="left"/>
              <w:rPr>
                <w:rFonts w:ascii="宋体" w:hAnsi="宋体" w:cs="宋体" w:eastAsia="宋体" w:hint="default"/>
                <w:sz w:val="16"/>
                <w:szCs w:val="16"/>
              </w:rPr>
            </w:pPr>
            <w:r>
              <w:rPr>
                <w:rFonts w:ascii="宋体" w:hAnsi="宋体" w:cs="宋体" w:eastAsia="宋体" w:hint="default"/>
                <w:sz w:val="16"/>
                <w:szCs w:val="16"/>
              </w:rPr>
              <w:t>年初余额</w:t>
            </w:r>
          </w:p>
        </w:tc>
      </w:tr>
      <w:tr>
        <w:trPr>
          <w:trHeight w:val="360" w:hRule="exact"/>
        </w:trPr>
        <w:tc>
          <w:tcPr>
            <w:tcW w:w="4654"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7" w:right="0"/>
              <w:jc w:val="left"/>
              <w:rPr>
                <w:rFonts w:ascii="宋体" w:hAnsi="宋体" w:cs="宋体" w:eastAsia="宋体" w:hint="default"/>
                <w:sz w:val="16"/>
                <w:szCs w:val="16"/>
              </w:rPr>
            </w:pPr>
            <w:r>
              <w:rPr>
                <w:rFonts w:ascii="宋体" w:hAnsi="宋体" w:cs="宋体" w:eastAsia="宋体" w:hint="default"/>
                <w:sz w:val="16"/>
                <w:szCs w:val="16"/>
              </w:rPr>
              <w:t>一、现金</w:t>
            </w:r>
          </w:p>
        </w:tc>
        <w:tc>
          <w:tcPr>
            <w:tcW w:w="1907"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362"/>
              <w:jc w:val="right"/>
              <w:rPr>
                <w:rFonts w:ascii="Times New Roman" w:hAnsi="Times New Roman" w:cs="Times New Roman" w:eastAsia="Times New Roman" w:hint="default"/>
                <w:sz w:val="16"/>
                <w:szCs w:val="16"/>
              </w:rPr>
            </w:pPr>
            <w:r>
              <w:rPr>
                <w:rFonts w:ascii="Times New Roman"/>
                <w:spacing w:val="-1"/>
                <w:sz w:val="16"/>
              </w:rPr>
              <w:t>3,202,699,658.70</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05"/>
              <w:jc w:val="right"/>
              <w:rPr>
                <w:rFonts w:ascii="Times New Roman" w:hAnsi="Times New Roman" w:cs="Times New Roman" w:eastAsia="Times New Roman" w:hint="default"/>
                <w:sz w:val="16"/>
                <w:szCs w:val="16"/>
              </w:rPr>
            </w:pPr>
            <w:r>
              <w:rPr>
                <w:rFonts w:ascii="Times New Roman"/>
                <w:spacing w:val="-1"/>
                <w:sz w:val="16"/>
              </w:rPr>
              <w:t>2,943,664,838.40</w:t>
            </w:r>
          </w:p>
        </w:tc>
      </w:tr>
      <w:tr>
        <w:trPr>
          <w:trHeight w:val="353" w:hRule="exact"/>
        </w:trPr>
        <w:tc>
          <w:tcPr>
            <w:tcW w:w="465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其中：库存现金</w:t>
            </w:r>
          </w:p>
        </w:tc>
        <w:tc>
          <w:tcPr>
            <w:tcW w:w="190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62"/>
              <w:jc w:val="right"/>
              <w:rPr>
                <w:rFonts w:ascii="Times New Roman" w:hAnsi="Times New Roman" w:cs="Times New Roman" w:eastAsia="Times New Roman" w:hint="default"/>
                <w:sz w:val="16"/>
                <w:szCs w:val="16"/>
              </w:rPr>
            </w:pPr>
            <w:r>
              <w:rPr>
                <w:rFonts w:ascii="Times New Roman"/>
                <w:spacing w:val="-1"/>
                <w:sz w:val="16"/>
              </w:rPr>
              <w:t>417,574.15</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4"/>
              <w:jc w:val="right"/>
              <w:rPr>
                <w:rFonts w:ascii="Times New Roman" w:hAnsi="Times New Roman" w:cs="Times New Roman" w:eastAsia="Times New Roman" w:hint="default"/>
                <w:sz w:val="16"/>
                <w:szCs w:val="16"/>
              </w:rPr>
            </w:pPr>
            <w:r>
              <w:rPr>
                <w:rFonts w:ascii="Times New Roman"/>
                <w:spacing w:val="-1"/>
                <w:sz w:val="16"/>
              </w:rPr>
              <w:t>383,999.59</w:t>
            </w:r>
          </w:p>
        </w:tc>
      </w:tr>
      <w:tr>
        <w:trPr>
          <w:trHeight w:val="354" w:hRule="exact"/>
        </w:trPr>
        <w:tc>
          <w:tcPr>
            <w:tcW w:w="465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可随时用于支付的银行存款</w:t>
            </w:r>
          </w:p>
        </w:tc>
        <w:tc>
          <w:tcPr>
            <w:tcW w:w="190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62"/>
              <w:jc w:val="right"/>
              <w:rPr>
                <w:rFonts w:ascii="Times New Roman" w:hAnsi="Times New Roman" w:cs="Times New Roman" w:eastAsia="Times New Roman" w:hint="default"/>
                <w:sz w:val="16"/>
                <w:szCs w:val="16"/>
              </w:rPr>
            </w:pPr>
            <w:r>
              <w:rPr>
                <w:rFonts w:ascii="Times New Roman"/>
                <w:spacing w:val="-1"/>
                <w:sz w:val="16"/>
              </w:rPr>
              <w:t>3,202,282,084.55</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6"/>
                <w:szCs w:val="16"/>
              </w:rPr>
            </w:pPr>
            <w:r>
              <w:rPr>
                <w:rFonts w:ascii="Times New Roman"/>
                <w:spacing w:val="-1"/>
                <w:sz w:val="16"/>
              </w:rPr>
              <w:t>2,927,972,656.46</w:t>
            </w:r>
          </w:p>
        </w:tc>
      </w:tr>
      <w:tr>
        <w:trPr>
          <w:trHeight w:val="353" w:hRule="exact"/>
        </w:trPr>
        <w:tc>
          <w:tcPr>
            <w:tcW w:w="465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可随时用于支付的其他货币资金</w:t>
            </w:r>
          </w:p>
        </w:tc>
        <w:tc>
          <w:tcPr>
            <w:tcW w:w="1907" w:type="dxa"/>
            <w:tcBorders>
              <w:top w:val="nil" w:sz="6" w:space="0" w:color="auto"/>
              <w:left w:val="nil" w:sz="6" w:space="0" w:color="auto"/>
              <w:bottom w:val="nil" w:sz="6" w:space="0" w:color="auto"/>
              <w:right w:val="nil" w:sz="6" w:space="0" w:color="auto"/>
            </w:tcBorders>
          </w:tcPr>
          <w:p>
            <w:pP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6"/>
                <w:szCs w:val="16"/>
              </w:rPr>
            </w:pPr>
            <w:r>
              <w:rPr>
                <w:rFonts w:ascii="Times New Roman"/>
                <w:spacing w:val="-1"/>
                <w:sz w:val="16"/>
              </w:rPr>
              <w:t>15,308,182.35</w:t>
            </w:r>
          </w:p>
        </w:tc>
      </w:tr>
      <w:tr>
        <w:trPr>
          <w:trHeight w:val="347" w:hRule="exact"/>
        </w:trPr>
        <w:tc>
          <w:tcPr>
            <w:tcW w:w="465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可用于支付的存放中央银行款项</w:t>
            </w:r>
          </w:p>
        </w:tc>
        <w:tc>
          <w:tcPr>
            <w:tcW w:w="1907" w:type="dxa"/>
            <w:tcBorders>
              <w:top w:val="nil" w:sz="6" w:space="0" w:color="auto"/>
              <w:left w:val="nil" w:sz="6" w:space="0" w:color="auto"/>
              <w:bottom w:val="nil" w:sz="6" w:space="0" w:color="auto"/>
              <w:right w:val="nil" w:sz="6" w:space="0" w:color="auto"/>
            </w:tcBorders>
          </w:tcPr>
          <w:p>
            <w:pPr/>
          </w:p>
        </w:tc>
        <w:tc>
          <w:tcPr>
            <w:tcW w:w="1627" w:type="dxa"/>
            <w:tcBorders>
              <w:top w:val="nil" w:sz="6" w:space="0" w:color="auto"/>
              <w:left w:val="nil" w:sz="6" w:space="0" w:color="auto"/>
              <w:bottom w:val="nil" w:sz="6" w:space="0" w:color="auto"/>
              <w:right w:val="nil" w:sz="6" w:space="0" w:color="auto"/>
            </w:tcBorders>
          </w:tcPr>
          <w:p>
            <w:pPr/>
          </w:p>
        </w:tc>
      </w:tr>
      <w:tr>
        <w:trPr>
          <w:trHeight w:val="353" w:hRule="exact"/>
        </w:trPr>
        <w:tc>
          <w:tcPr>
            <w:tcW w:w="4654"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7" w:right="0"/>
              <w:jc w:val="left"/>
              <w:rPr>
                <w:rFonts w:ascii="宋体" w:hAnsi="宋体" w:cs="宋体" w:eastAsia="宋体" w:hint="default"/>
                <w:sz w:val="16"/>
                <w:szCs w:val="16"/>
              </w:rPr>
            </w:pPr>
            <w:r>
              <w:rPr>
                <w:rFonts w:ascii="宋体" w:hAnsi="宋体" w:cs="宋体" w:eastAsia="宋体" w:hint="default"/>
                <w:sz w:val="16"/>
                <w:szCs w:val="16"/>
              </w:rPr>
              <w:t>存放同业款项</w:t>
            </w:r>
          </w:p>
        </w:tc>
        <w:tc>
          <w:tcPr>
            <w:tcW w:w="1907" w:type="dxa"/>
            <w:tcBorders>
              <w:top w:val="nil" w:sz="6" w:space="0" w:color="auto"/>
              <w:left w:val="nil" w:sz="6" w:space="0" w:color="auto"/>
              <w:bottom w:val="nil" w:sz="6" w:space="0" w:color="auto"/>
              <w:right w:val="nil" w:sz="6" w:space="0" w:color="auto"/>
            </w:tcBorders>
          </w:tcPr>
          <w:p>
            <w:pPr/>
          </w:p>
        </w:tc>
        <w:tc>
          <w:tcPr>
            <w:tcW w:w="1627" w:type="dxa"/>
            <w:tcBorders>
              <w:top w:val="nil" w:sz="6" w:space="0" w:color="auto"/>
              <w:left w:val="nil" w:sz="6" w:space="0" w:color="auto"/>
              <w:bottom w:val="nil" w:sz="6" w:space="0" w:color="auto"/>
              <w:right w:val="nil" w:sz="6" w:space="0" w:color="auto"/>
            </w:tcBorders>
          </w:tcPr>
          <w:p>
            <w:pPr/>
          </w:p>
        </w:tc>
      </w:tr>
      <w:tr>
        <w:trPr>
          <w:trHeight w:val="353" w:hRule="exact"/>
        </w:trPr>
        <w:tc>
          <w:tcPr>
            <w:tcW w:w="4654"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7" w:right="0"/>
              <w:jc w:val="left"/>
              <w:rPr>
                <w:rFonts w:ascii="宋体" w:hAnsi="宋体" w:cs="宋体" w:eastAsia="宋体" w:hint="default"/>
                <w:sz w:val="16"/>
                <w:szCs w:val="16"/>
              </w:rPr>
            </w:pPr>
            <w:r>
              <w:rPr>
                <w:rFonts w:ascii="宋体" w:hAnsi="宋体" w:cs="宋体" w:eastAsia="宋体" w:hint="default"/>
                <w:sz w:val="16"/>
                <w:szCs w:val="16"/>
              </w:rPr>
              <w:t>拆放同业款项</w:t>
            </w:r>
          </w:p>
        </w:tc>
        <w:tc>
          <w:tcPr>
            <w:tcW w:w="1907" w:type="dxa"/>
            <w:tcBorders>
              <w:top w:val="nil" w:sz="6" w:space="0" w:color="auto"/>
              <w:left w:val="nil" w:sz="6" w:space="0" w:color="auto"/>
              <w:bottom w:val="nil" w:sz="6" w:space="0" w:color="auto"/>
              <w:right w:val="nil" w:sz="6" w:space="0" w:color="auto"/>
            </w:tcBorders>
          </w:tcPr>
          <w:p>
            <w:pPr/>
          </w:p>
        </w:tc>
        <w:tc>
          <w:tcPr>
            <w:tcW w:w="1627" w:type="dxa"/>
            <w:tcBorders>
              <w:top w:val="nil" w:sz="6" w:space="0" w:color="auto"/>
              <w:left w:val="nil" w:sz="6" w:space="0" w:color="auto"/>
              <w:bottom w:val="nil" w:sz="6" w:space="0" w:color="auto"/>
              <w:right w:val="nil" w:sz="6" w:space="0" w:color="auto"/>
            </w:tcBorders>
          </w:tcPr>
          <w:p>
            <w:pPr/>
          </w:p>
        </w:tc>
      </w:tr>
      <w:tr>
        <w:trPr>
          <w:trHeight w:val="353" w:hRule="exact"/>
        </w:trPr>
        <w:tc>
          <w:tcPr>
            <w:tcW w:w="4654"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7" w:right="0"/>
              <w:jc w:val="left"/>
              <w:rPr>
                <w:rFonts w:ascii="宋体" w:hAnsi="宋体" w:cs="宋体" w:eastAsia="宋体" w:hint="default"/>
                <w:sz w:val="16"/>
                <w:szCs w:val="16"/>
              </w:rPr>
            </w:pPr>
            <w:r>
              <w:rPr>
                <w:rFonts w:ascii="宋体" w:hAnsi="宋体" w:cs="宋体" w:eastAsia="宋体" w:hint="default"/>
                <w:sz w:val="16"/>
                <w:szCs w:val="16"/>
              </w:rPr>
              <w:t>二、现金等价物</w:t>
            </w:r>
          </w:p>
        </w:tc>
        <w:tc>
          <w:tcPr>
            <w:tcW w:w="1907" w:type="dxa"/>
            <w:tcBorders>
              <w:top w:val="nil" w:sz="6" w:space="0" w:color="auto"/>
              <w:left w:val="nil" w:sz="6" w:space="0" w:color="auto"/>
              <w:bottom w:val="nil" w:sz="6" w:space="0" w:color="auto"/>
              <w:right w:val="nil" w:sz="6" w:space="0" w:color="auto"/>
            </w:tcBorders>
          </w:tcPr>
          <w:p>
            <w:pPr/>
          </w:p>
        </w:tc>
        <w:tc>
          <w:tcPr>
            <w:tcW w:w="1627" w:type="dxa"/>
            <w:tcBorders>
              <w:top w:val="nil" w:sz="6" w:space="0" w:color="auto"/>
              <w:left w:val="nil" w:sz="6" w:space="0" w:color="auto"/>
              <w:bottom w:val="nil" w:sz="6" w:space="0" w:color="auto"/>
              <w:right w:val="nil" w:sz="6" w:space="0" w:color="auto"/>
            </w:tcBorders>
          </w:tcPr>
          <w:p>
            <w:pPr/>
          </w:p>
        </w:tc>
      </w:tr>
      <w:tr>
        <w:trPr>
          <w:trHeight w:val="353" w:hRule="exact"/>
        </w:trPr>
        <w:tc>
          <w:tcPr>
            <w:tcW w:w="4654"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7" w:right="0"/>
              <w:jc w:val="left"/>
              <w:rPr>
                <w:rFonts w:ascii="宋体" w:hAnsi="宋体" w:cs="宋体" w:eastAsia="宋体" w:hint="default"/>
                <w:sz w:val="16"/>
                <w:szCs w:val="16"/>
              </w:rPr>
            </w:pPr>
            <w:r>
              <w:rPr>
                <w:rFonts w:ascii="宋体" w:hAnsi="宋体" w:cs="宋体" w:eastAsia="宋体" w:hint="default"/>
                <w:sz w:val="16"/>
                <w:szCs w:val="16"/>
              </w:rPr>
              <w:t>其中：三个月内到期的债券投资</w:t>
            </w:r>
          </w:p>
        </w:tc>
        <w:tc>
          <w:tcPr>
            <w:tcW w:w="1907" w:type="dxa"/>
            <w:tcBorders>
              <w:top w:val="nil" w:sz="6" w:space="0" w:color="auto"/>
              <w:left w:val="nil" w:sz="6" w:space="0" w:color="auto"/>
              <w:bottom w:val="nil" w:sz="6" w:space="0" w:color="auto"/>
              <w:right w:val="nil" w:sz="6" w:space="0" w:color="auto"/>
            </w:tcBorders>
          </w:tcPr>
          <w:p>
            <w:pPr/>
          </w:p>
        </w:tc>
        <w:tc>
          <w:tcPr>
            <w:tcW w:w="1627" w:type="dxa"/>
            <w:tcBorders>
              <w:top w:val="nil" w:sz="6" w:space="0" w:color="auto"/>
              <w:left w:val="nil" w:sz="6" w:space="0" w:color="auto"/>
              <w:bottom w:val="nil" w:sz="6" w:space="0" w:color="auto"/>
              <w:right w:val="nil" w:sz="6" w:space="0" w:color="auto"/>
            </w:tcBorders>
          </w:tcPr>
          <w:p>
            <w:pPr/>
          </w:p>
        </w:tc>
      </w:tr>
      <w:tr>
        <w:trPr>
          <w:trHeight w:val="361" w:hRule="exact"/>
        </w:trPr>
        <w:tc>
          <w:tcPr>
            <w:tcW w:w="4654"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7" w:right="0"/>
              <w:jc w:val="left"/>
              <w:rPr>
                <w:rFonts w:ascii="宋体" w:hAnsi="宋体" w:cs="宋体" w:eastAsia="宋体" w:hint="default"/>
                <w:sz w:val="16"/>
                <w:szCs w:val="16"/>
              </w:rPr>
            </w:pPr>
            <w:r>
              <w:rPr>
                <w:rFonts w:ascii="宋体" w:hAnsi="宋体" w:cs="宋体" w:eastAsia="宋体" w:hint="default"/>
                <w:sz w:val="16"/>
                <w:szCs w:val="16"/>
              </w:rPr>
              <w:t>三、期末现金及现金等价物余额</w:t>
            </w:r>
          </w:p>
        </w:tc>
        <w:tc>
          <w:tcPr>
            <w:tcW w:w="1907"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362"/>
              <w:jc w:val="right"/>
              <w:rPr>
                <w:rFonts w:ascii="Times New Roman" w:hAnsi="Times New Roman" w:cs="Times New Roman" w:eastAsia="Times New Roman" w:hint="default"/>
                <w:sz w:val="16"/>
                <w:szCs w:val="16"/>
              </w:rPr>
            </w:pPr>
            <w:r>
              <w:rPr>
                <w:rFonts w:ascii="Times New Roman"/>
                <w:spacing w:val="-1"/>
                <w:sz w:val="16"/>
              </w:rPr>
              <w:t>3,202,699,658.70</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105"/>
              <w:jc w:val="right"/>
              <w:rPr>
                <w:rFonts w:ascii="Times New Roman" w:hAnsi="Times New Roman" w:cs="Times New Roman" w:eastAsia="Times New Roman" w:hint="default"/>
                <w:sz w:val="16"/>
                <w:szCs w:val="16"/>
              </w:rPr>
            </w:pPr>
            <w:r>
              <w:rPr>
                <w:rFonts w:ascii="Times New Roman"/>
                <w:spacing w:val="-1"/>
                <w:sz w:val="16"/>
              </w:rPr>
              <w:t>2,943,664,838.40</w:t>
            </w:r>
          </w:p>
        </w:tc>
      </w:tr>
      <w:tr>
        <w:trPr>
          <w:trHeight w:val="565" w:hRule="exact"/>
        </w:trPr>
        <w:tc>
          <w:tcPr>
            <w:tcW w:w="4654"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left="107" w:right="385"/>
              <w:jc w:val="left"/>
              <w:rPr>
                <w:rFonts w:ascii="宋体" w:hAnsi="宋体" w:cs="宋体" w:eastAsia="宋体" w:hint="default"/>
                <w:sz w:val="16"/>
                <w:szCs w:val="16"/>
              </w:rPr>
            </w:pPr>
            <w:r>
              <w:rPr>
                <w:rFonts w:ascii="宋体" w:hAnsi="宋体" w:cs="宋体" w:eastAsia="宋体" w:hint="default"/>
                <w:w w:val="95"/>
                <w:sz w:val="16"/>
                <w:szCs w:val="16"/>
              </w:rPr>
              <w:t>其中：母公司或集团内子公司使用受限制的现金和现金等价 </w:t>
            </w:r>
            <w:r>
              <w:rPr>
                <w:rFonts w:ascii="宋体" w:hAnsi="宋体" w:cs="宋体" w:eastAsia="宋体" w:hint="default"/>
                <w:spacing w:val="52"/>
                <w:w w:val="95"/>
                <w:sz w:val="16"/>
                <w:szCs w:val="16"/>
              </w:rPr>
              <w:t> </w:t>
            </w:r>
            <w:r>
              <w:rPr>
                <w:rFonts w:ascii="宋体" w:hAnsi="宋体" w:cs="宋体" w:eastAsia="宋体" w:hint="default"/>
                <w:spacing w:val="52"/>
                <w:w w:val="95"/>
                <w:sz w:val="16"/>
                <w:szCs w:val="16"/>
              </w:rPr>
            </w:r>
            <w:r>
              <w:rPr>
                <w:rFonts w:ascii="宋体" w:hAnsi="宋体" w:cs="宋体" w:eastAsia="宋体" w:hint="default"/>
                <w:sz w:val="16"/>
                <w:szCs w:val="16"/>
              </w:rPr>
              <w:t>物</w:t>
            </w:r>
          </w:p>
        </w:tc>
        <w:tc>
          <w:tcPr>
            <w:tcW w:w="1907" w:type="dxa"/>
            <w:tcBorders>
              <w:top w:val="nil" w:sz="6" w:space="0" w:color="auto"/>
              <w:left w:val="nil" w:sz="6" w:space="0" w:color="auto"/>
              <w:bottom w:val="single" w:sz="12" w:space="0" w:color="000000"/>
              <w:right w:val="nil" w:sz="6" w:space="0" w:color="auto"/>
            </w:tcBorders>
          </w:tcPr>
          <w:p>
            <w:pPr/>
          </w:p>
        </w:tc>
        <w:tc>
          <w:tcPr>
            <w:tcW w:w="1627" w:type="dxa"/>
            <w:tcBorders>
              <w:top w:val="nil" w:sz="6" w:space="0" w:color="auto"/>
              <w:left w:val="nil" w:sz="6" w:space="0" w:color="auto"/>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p>
      <w:pPr>
        <w:pStyle w:val="Heading5"/>
        <w:spacing w:line="240" w:lineRule="auto"/>
        <w:ind w:right="3681"/>
        <w:jc w:val="left"/>
        <w:rPr>
          <w:b w:val="0"/>
          <w:bCs w:val="0"/>
        </w:rPr>
      </w:pPr>
      <w:r>
        <w:rPr/>
        <w:pict>
          <v:group style="position:absolute;margin-left:119.520004pt;margin-top:-246.38649pt;width:411.45pt;height:223pt;mso-position-horizontal-relative:page;mso-position-vertical-relative:paragraph;z-index:-1374880" coordorigin="2390,-4928" coordsize="8229,4460">
            <v:shape style="position:absolute;left:6824;top:-4928;width:10;height:28" type="#_x0000_t75" stroked="false">
              <v:imagedata r:id="rId179" o:title=""/>
            </v:shape>
            <v:shape style="position:absolute;left:8708;top:-4928;width:10;height:28" type="#_x0000_t75" stroked="false">
              <v:imagedata r:id="rId179" o:title=""/>
            </v:shape>
            <v:shape style="position:absolute;left:6805;top:-4919;width:1932;height:355" type="#_x0000_t75" stroked="false">
              <v:imagedata r:id="rId357" o:title=""/>
            </v:shape>
            <v:shape style="position:absolute;left:2390;top:-4603;width:8228;height:4134" type="#_x0000_t75" stroked="false">
              <v:imagedata r:id="rId358" o:title=""/>
            </v:shape>
            <v:shape style="position:absolute;left:8689;top:-1030;width:48;height:562" type="#_x0000_t75" stroked="false">
              <v:imagedata r:id="rId359" o:title=""/>
            </v:shape>
            <w10:wrap type="none"/>
          </v:group>
        </w:pict>
      </w:r>
      <w:r>
        <w:rPr/>
        <w:pict>
          <v:group style="position:absolute;margin-left:119.010002pt;margin-top:37.113819pt;width:412.2pt;height:175.05pt;mso-position-horizontal-relative:page;mso-position-vertical-relative:paragraph;z-index:-1374568" coordorigin="2380,742" coordsize="8244,3501">
            <v:group style="position:absolute;left:2410;top:757;width:2327;height:2" coordorigin="2410,757" coordsize="2327,2">
              <v:shape style="position:absolute;left:2410;top:757;width:2327;height:2" coordorigin="2410,757" coordsize="2327,0" path="m2410,757l4736,757e" filled="false" stroked="true" strokeweight="1.5pt" strokecolor="#000000">
                <v:path arrowok="t"/>
              </v:shape>
              <v:shape style="position:absolute;left:4736;top:772;width:10;height:28" type="#_x0000_t75" stroked="false">
                <v:imagedata r:id="rId61" o:title=""/>
              </v:shape>
            </v:group>
            <v:group style="position:absolute;left:4736;top:757;width:1692;height:2" coordorigin="4736,757" coordsize="1692,2">
              <v:shape style="position:absolute;left:4736;top:757;width:1692;height:2" coordorigin="4736,757" coordsize="1692,0" path="m4736,757l6428,757e" filled="false" stroked="true" strokeweight="1.5pt" strokecolor="#000000">
                <v:path arrowok="t"/>
              </v:shape>
              <v:shape style="position:absolute;left:6428;top:772;width:10;height:28" type="#_x0000_t75" stroked="false">
                <v:imagedata r:id="rId61" o:title=""/>
              </v:shape>
            </v:group>
            <v:group style="position:absolute;left:6428;top:757;width:4169;height:2" coordorigin="6428,757" coordsize="4169,2">
              <v:shape style="position:absolute;left:6428;top:757;width:4169;height:2" coordorigin="6428,757" coordsize="4169,0" path="m6428,757l10597,757e" filled="false" stroked="true" strokeweight="1.5pt" strokecolor="#000000">
                <v:path arrowok="t"/>
              </v:shape>
              <v:shape style="position:absolute;left:4717;top:781;width:1740;height:354" type="#_x0000_t75" stroked="false">
                <v:imagedata r:id="rId360" o:title=""/>
              </v:shape>
            </v:group>
            <v:group style="position:absolute;left:2395;top:4228;width:2342;height:2" coordorigin="2395,4228" coordsize="2342,2">
              <v:shape style="position:absolute;left:2395;top:4228;width:2342;height:2" coordorigin="2395,4228" coordsize="2342,0" path="m2395,4228l4736,4228e" filled="false" stroked="true" strokeweight="1.5pt" strokecolor="#000000">
                <v:path arrowok="t"/>
              </v:shape>
            </v:group>
            <v:group style="position:absolute;left:4736;top:4228;width:1692;height:2" coordorigin="4736,4228" coordsize="1692,2">
              <v:shape style="position:absolute;left:4736;top:4228;width:1692;height:2" coordorigin="4736,4228" coordsize="1692,0" path="m4736,4228l6428,4228e" filled="false" stroked="true" strokeweight="1.5pt" strokecolor="#000000">
                <v:path arrowok="t"/>
              </v:shape>
              <v:shape style="position:absolute;left:2390;top:1096;width:8233;height:3116" type="#_x0000_t75" stroked="false">
                <v:imagedata r:id="rId361" o:title=""/>
              </v:shape>
            </v:group>
            <v:group style="position:absolute;left:6428;top:4228;width:4169;height:2" coordorigin="6428,4228" coordsize="4169,2">
              <v:shape style="position:absolute;left:6428;top:4228;width:4169;height:2" coordorigin="6428,4228" coordsize="4169,0" path="m6428,4228l10597,4228e" filled="false" stroked="true" strokeweight="1.5pt" strokecolor="#000000">
                <v:path arrowok="t"/>
              </v:shape>
              <v:shape style="position:absolute;left:3415;top:863;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项目</w:t>
                      </w:r>
                      <w:r>
                        <w:rPr>
                          <w:rFonts w:ascii="宋体" w:hAnsi="宋体" w:cs="宋体" w:eastAsia="宋体" w:hint="default"/>
                          <w:sz w:val="16"/>
                          <w:szCs w:val="16"/>
                        </w:rPr>
                      </w:r>
                    </w:p>
                  </w:txbxContent>
                </v:textbox>
                <w10:wrap type="none"/>
              </v:shape>
              <v:shape style="position:absolute;left:5107;top:863;width:95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期末账面价值</w:t>
                      </w:r>
                      <w:r>
                        <w:rPr>
                          <w:rFonts w:ascii="宋体" w:hAnsi="宋体" w:cs="宋体" w:eastAsia="宋体" w:hint="default"/>
                          <w:sz w:val="16"/>
                          <w:szCs w:val="16"/>
                        </w:rPr>
                      </w:r>
                    </w:p>
                  </w:txbxContent>
                </v:textbox>
                <w10:wrap type="none"/>
              </v:shape>
              <v:shape style="position:absolute;left:8195;top:863;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受限原因</w:t>
                      </w:r>
                      <w:r>
                        <w:rPr>
                          <w:rFonts w:ascii="宋体" w:hAnsi="宋体" w:cs="宋体" w:eastAsia="宋体" w:hint="default"/>
                          <w:sz w:val="16"/>
                          <w:szCs w:val="16"/>
                        </w:rPr>
                      </w:r>
                    </w:p>
                  </w:txbxContent>
                </v:textbox>
                <w10:wrap type="none"/>
              </v:shape>
              <v:shape style="position:absolute;left:2518;top:1320;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货币资金</w:t>
                      </w:r>
                      <w:r>
                        <w:rPr>
                          <w:rFonts w:ascii="宋体" w:hAnsi="宋体" w:cs="宋体" w:eastAsia="宋体" w:hint="default"/>
                          <w:sz w:val="16"/>
                          <w:szCs w:val="16"/>
                        </w:rPr>
                      </w:r>
                    </w:p>
                  </w:txbxContent>
                </v:textbox>
                <w10:wrap type="none"/>
              </v:shape>
              <v:shape style="position:absolute;left:5326;top:1217;width:5163;height:376" type="#_x0000_t202" filled="false" stroked="false">
                <v:textbox inset="0,0,0,0">
                  <w:txbxContent>
                    <w:p>
                      <w:pPr>
                        <w:spacing w:line="128" w:lineRule="exact" w:before="0"/>
                        <w:ind w:left="1215" w:right="0" w:firstLine="0"/>
                        <w:jc w:val="left"/>
                        <w:rPr>
                          <w:rFonts w:ascii="宋体" w:hAnsi="宋体" w:cs="宋体" w:eastAsia="宋体" w:hint="default"/>
                          <w:sz w:val="16"/>
                          <w:szCs w:val="16"/>
                        </w:rPr>
                      </w:pPr>
                      <w:r>
                        <w:rPr>
                          <w:rFonts w:ascii="宋体" w:hAnsi="宋体" w:cs="宋体" w:eastAsia="宋体" w:hint="default"/>
                          <w:spacing w:val="-2"/>
                          <w:w w:val="95"/>
                          <w:sz w:val="16"/>
                          <w:szCs w:val="16"/>
                        </w:rPr>
                        <w:t>用于担保的定期存款、票据保证金、履约保证金、证券保</w:t>
                      </w:r>
                      <w:r>
                        <w:rPr>
                          <w:rFonts w:ascii="宋体" w:hAnsi="宋体" w:cs="宋体" w:eastAsia="宋体" w:hint="default"/>
                          <w:spacing w:val="-2"/>
                          <w:sz w:val="16"/>
                          <w:szCs w:val="16"/>
                        </w:rPr>
                      </w:r>
                    </w:p>
                    <w:p>
                      <w:pPr>
                        <w:tabs>
                          <w:tab w:pos="1215" w:val="left" w:leader="none"/>
                        </w:tabs>
                        <w:spacing w:line="248" w:lineRule="exact" w:before="0"/>
                        <w:ind w:left="0" w:right="0" w:firstLine="0"/>
                        <w:jc w:val="left"/>
                        <w:rPr>
                          <w:rFonts w:ascii="宋体" w:hAnsi="宋体" w:cs="宋体" w:eastAsia="宋体" w:hint="default"/>
                          <w:sz w:val="16"/>
                          <w:szCs w:val="16"/>
                        </w:rPr>
                      </w:pPr>
                      <w:r>
                        <w:rPr>
                          <w:rFonts w:ascii="Times New Roman" w:hAnsi="Times New Roman" w:cs="Times New Roman" w:eastAsia="Times New Roman" w:hint="default"/>
                          <w:spacing w:val="-1"/>
                          <w:sz w:val="16"/>
                          <w:szCs w:val="16"/>
                        </w:rPr>
                        <w:t>173,691,618.99</w:t>
                        <w:tab/>
                      </w:r>
                      <w:r>
                        <w:rPr>
                          <w:rFonts w:ascii="宋体" w:hAnsi="宋体" w:cs="宋体" w:eastAsia="宋体" w:hint="default"/>
                          <w:spacing w:val="-1"/>
                          <w:position w:val="-9"/>
                          <w:sz w:val="16"/>
                          <w:szCs w:val="16"/>
                        </w:rPr>
                        <w:t>证金、</w:t>
                      </w:r>
                      <w:r>
                        <w:rPr>
                          <w:rFonts w:ascii="Times New Roman" w:hAnsi="Times New Roman" w:cs="Times New Roman" w:eastAsia="Times New Roman" w:hint="default"/>
                          <w:spacing w:val="-1"/>
                          <w:position w:val="-9"/>
                          <w:sz w:val="16"/>
                          <w:szCs w:val="16"/>
                        </w:rPr>
                        <w:t>ETC</w:t>
                      </w:r>
                      <w:r>
                        <w:rPr>
                          <w:rFonts w:ascii="Times New Roman" w:hAnsi="Times New Roman" w:cs="Times New Roman" w:eastAsia="Times New Roman" w:hint="default"/>
                          <w:position w:val="-9"/>
                          <w:sz w:val="16"/>
                          <w:szCs w:val="16"/>
                        </w:rPr>
                        <w:t> </w:t>
                      </w:r>
                      <w:r>
                        <w:rPr>
                          <w:rFonts w:ascii="宋体" w:hAnsi="宋体" w:cs="宋体" w:eastAsia="宋体" w:hint="default"/>
                          <w:spacing w:val="1"/>
                          <w:position w:val="-9"/>
                          <w:sz w:val="16"/>
                          <w:szCs w:val="16"/>
                        </w:rPr>
                        <w:t>保证金</w:t>
                      </w:r>
                      <w:r>
                        <w:rPr>
                          <w:rFonts w:ascii="宋体" w:hAnsi="宋体" w:cs="宋体" w:eastAsia="宋体" w:hint="default"/>
                          <w:sz w:val="16"/>
                          <w:szCs w:val="16"/>
                        </w:rPr>
                      </w:r>
                    </w:p>
                  </w:txbxContent>
                </v:textbox>
                <w10:wrap type="none"/>
              </v:shape>
              <v:shape style="position:absolute;left:2518;top:1882;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应收票据</w:t>
                      </w:r>
                      <w:r>
                        <w:rPr>
                          <w:rFonts w:ascii="宋体" w:hAnsi="宋体" w:cs="宋体" w:eastAsia="宋体" w:hint="default"/>
                          <w:sz w:val="16"/>
                          <w:szCs w:val="16"/>
                        </w:rPr>
                      </w:r>
                    </w:p>
                  </w:txbxContent>
                </v:textbox>
                <w10:wrap type="none"/>
              </v:shape>
              <v:shape style="position:absolute;left:5405;top:1895;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85,529,815.88</w:t>
                      </w:r>
                      <w:r>
                        <w:rPr>
                          <w:rFonts w:ascii="Times New Roman"/>
                          <w:sz w:val="16"/>
                        </w:rPr>
                      </w:r>
                    </w:p>
                  </w:txbxContent>
                </v:textbox>
                <w10:wrap type="none"/>
              </v:shape>
              <v:shape style="position:absolute;left:6541;top:1778;width:3838;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已背书或贴现且在资产负债表日尚未到期的商业承兑汇</w:t>
                      </w:r>
                      <w:r>
                        <w:rPr>
                          <w:rFonts w:ascii="宋体" w:hAnsi="宋体" w:cs="宋体" w:eastAsia="宋体" w:hint="default"/>
                          <w:sz w:val="16"/>
                          <w:szCs w:val="16"/>
                        </w:rPr>
                      </w:r>
                    </w:p>
                  </w:txbxContent>
                </v:textbox>
                <w10:wrap type="none"/>
              </v:shape>
              <v:shape style="position:absolute;left:2518;top:3400;width:1972;height:368" type="#_x0000_t202" filled="false" stroked="false">
                <v:textbox inset="0,0,0,0">
                  <w:txbxContent>
                    <w:p>
                      <w:pPr>
                        <w:spacing w:line="165"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可供出售金融资产</w:t>
                      </w:r>
                      <w:r>
                        <w:rPr>
                          <w:rFonts w:ascii="Times New Roman" w:hAnsi="Times New Roman" w:cs="Times New Roman" w:eastAsia="Times New Roman" w:hint="default"/>
                          <w:w w:val="95"/>
                          <w:sz w:val="16"/>
                          <w:szCs w:val="16"/>
                        </w:rPr>
                        <w:t>-</w:t>
                      </w:r>
                      <w:r>
                        <w:rPr>
                          <w:rFonts w:ascii="宋体" w:hAnsi="宋体" w:cs="宋体" w:eastAsia="宋体" w:hint="default"/>
                          <w:w w:val="95"/>
                          <w:sz w:val="16"/>
                          <w:szCs w:val="16"/>
                        </w:rPr>
                        <w:t>可供出售</w:t>
                      </w:r>
                      <w:r>
                        <w:rPr>
                          <w:rFonts w:ascii="宋体" w:hAnsi="宋体" w:cs="宋体" w:eastAsia="宋体" w:hint="default"/>
                          <w:sz w:val="16"/>
                          <w:szCs w:val="16"/>
                        </w:rPr>
                      </w:r>
                    </w:p>
                    <w:p>
                      <w:pPr>
                        <w:spacing w:line="202"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债务工具</w:t>
                      </w:r>
                    </w:p>
                  </w:txbxContent>
                </v:textbox>
                <w10:wrap type="none"/>
              </v:shape>
              <v:shape style="position:absolute;left:5405;top:3503;width:1775;height:174" type="#_x0000_t202" filled="false" stroked="false">
                <v:textbox inset="0,0,0,0">
                  <w:txbxContent>
                    <w:p>
                      <w:pPr>
                        <w:tabs>
                          <w:tab w:pos="1136" w:val="left" w:leader="none"/>
                        </w:tabs>
                        <w:spacing w:line="173" w:lineRule="exact" w:before="0"/>
                        <w:ind w:left="0" w:right="0" w:firstLine="0"/>
                        <w:jc w:val="left"/>
                        <w:rPr>
                          <w:rFonts w:ascii="宋体" w:hAnsi="宋体" w:cs="宋体" w:eastAsia="宋体" w:hint="default"/>
                          <w:sz w:val="16"/>
                          <w:szCs w:val="16"/>
                        </w:rPr>
                      </w:pPr>
                      <w:r>
                        <w:rPr>
                          <w:rFonts w:ascii="Times New Roman" w:hAnsi="Times New Roman" w:cs="Times New Roman" w:eastAsia="Times New Roman" w:hint="default"/>
                          <w:spacing w:val="-1"/>
                          <w:sz w:val="16"/>
                          <w:szCs w:val="16"/>
                        </w:rPr>
                        <w:t>28,081,425.01</w:t>
                        <w:tab/>
                      </w:r>
                      <w:r>
                        <w:rPr>
                          <w:rFonts w:ascii="宋体" w:hAnsi="宋体" w:cs="宋体" w:eastAsia="宋体" w:hint="default"/>
                          <w:w w:val="95"/>
                          <w:sz w:val="16"/>
                          <w:szCs w:val="16"/>
                        </w:rPr>
                        <w:t>质押借款</w:t>
                      </w:r>
                      <w:r>
                        <w:rPr>
                          <w:rFonts w:ascii="宋体" w:hAnsi="宋体" w:cs="宋体" w:eastAsia="宋体" w:hint="default"/>
                          <w:sz w:val="16"/>
                          <w:szCs w:val="16"/>
                        </w:rPr>
                      </w:r>
                    </w:p>
                  </w:txbxContent>
                </v:textbox>
                <w10:wrap type="none"/>
              </v:shape>
              <v:shape style="position:absolute;left:3415;top:3960;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合计</w:t>
                      </w:r>
                      <w:r>
                        <w:rPr>
                          <w:rFonts w:ascii="宋体" w:hAnsi="宋体" w:cs="宋体" w:eastAsia="宋体" w:hint="default"/>
                          <w:sz w:val="16"/>
                          <w:szCs w:val="16"/>
                        </w:rPr>
                      </w:r>
                    </w:p>
                  </w:txbxContent>
                </v:textbox>
                <w10:wrap type="none"/>
              </v:shape>
              <v:shape style="position:absolute;left:5206;top:3974;width:112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1,044,287,784.84</w:t>
                      </w:r>
                      <w:r>
                        <w:rPr>
                          <w:rFonts w:ascii="Times New Roman"/>
                          <w:sz w:val="16"/>
                        </w:rPr>
                      </w:r>
                    </w:p>
                  </w:txbxContent>
                </v:textbox>
                <w10:wrap type="none"/>
              </v:shape>
            </v:group>
            <w10:wrap type="none"/>
          </v:group>
        </w:pict>
      </w:r>
      <w:r>
        <w:rPr>
          <w:rFonts w:ascii="Times New Roman" w:hAnsi="Times New Roman" w:cs="Times New Roman" w:eastAsia="Times New Roman" w:hint="default"/>
        </w:rPr>
        <w:t>(</w:t>
      </w:r>
      <w:r>
        <w:rPr/>
        <w:t>五十五</w:t>
      </w:r>
      <w:r>
        <w:rPr>
          <w:rFonts w:ascii="Times New Roman" w:hAnsi="Times New Roman" w:cs="Times New Roman" w:eastAsia="Times New Roman" w:hint="default"/>
        </w:rPr>
        <w:t>)</w:t>
      </w:r>
      <w:r>
        <w:rPr>
          <w:rFonts w:ascii="Times New Roman" w:hAnsi="Times New Roman" w:cs="Times New Roman" w:eastAsia="Times New Roman" w:hint="default"/>
          <w:spacing w:val="20"/>
        </w:rPr>
        <w:t> </w:t>
      </w:r>
      <w:r>
        <w:rPr/>
        <w:t>所有权或使用权受到限制的资产</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26"/>
          <w:szCs w:val="26"/>
        </w:rPr>
      </w:pPr>
    </w:p>
    <w:tbl>
      <w:tblPr>
        <w:tblW w:w="0" w:type="auto"/>
        <w:jc w:val="left"/>
        <w:tblInd w:w="822" w:type="dxa"/>
        <w:tblLayout w:type="fixed"/>
        <w:tblCellMar>
          <w:top w:w="0" w:type="dxa"/>
          <w:left w:w="0" w:type="dxa"/>
          <w:bottom w:w="0" w:type="dxa"/>
          <w:right w:w="0" w:type="dxa"/>
        </w:tblCellMar>
        <w:tblLook w:val="01E0"/>
      </w:tblPr>
      <w:tblGrid>
        <w:gridCol w:w="1918"/>
        <w:gridCol w:w="2033"/>
        <w:gridCol w:w="781"/>
      </w:tblGrid>
      <w:tr>
        <w:trPr>
          <w:trHeight w:val="616" w:hRule="exact"/>
        </w:trPr>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23"/>
                <w:szCs w:val="23"/>
              </w:rPr>
            </w:pPr>
          </w:p>
          <w:p>
            <w:pPr>
              <w:pStyle w:val="TableParagraph"/>
              <w:spacing w:line="240" w:lineRule="auto"/>
              <w:ind w:left="35" w:right="0"/>
              <w:jc w:val="left"/>
              <w:rPr>
                <w:rFonts w:ascii="宋体" w:hAnsi="宋体" w:cs="宋体" w:eastAsia="宋体" w:hint="default"/>
                <w:sz w:val="16"/>
                <w:szCs w:val="16"/>
              </w:rPr>
            </w:pPr>
            <w:r>
              <w:rPr>
                <w:rFonts w:ascii="宋体" w:hAnsi="宋体" w:cs="宋体" w:eastAsia="宋体" w:hint="default"/>
                <w:sz w:val="16"/>
                <w:szCs w:val="16"/>
              </w:rPr>
              <w:t>固定资产</w:t>
            </w:r>
          </w:p>
        </w:tc>
        <w:tc>
          <w:tcPr>
            <w:tcW w:w="203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136"/>
              <w:ind w:right="105"/>
              <w:jc w:val="right"/>
              <w:rPr>
                <w:rFonts w:ascii="Times New Roman" w:hAnsi="Times New Roman" w:cs="Times New Roman" w:eastAsia="Times New Roman" w:hint="default"/>
                <w:sz w:val="16"/>
                <w:szCs w:val="16"/>
              </w:rPr>
            </w:pPr>
            <w:r>
              <w:rPr>
                <w:rFonts w:ascii="Times New Roman"/>
                <w:spacing w:val="-1"/>
                <w:sz w:val="16"/>
              </w:rPr>
              <w:t>499,017,530.31</w:t>
            </w:r>
          </w:p>
        </w:tc>
        <w:tc>
          <w:tcPr>
            <w:tcW w:w="781" w:type="dxa"/>
            <w:tcBorders>
              <w:top w:val="nil" w:sz="6" w:space="0" w:color="auto"/>
              <w:left w:val="nil" w:sz="6" w:space="0" w:color="auto"/>
              <w:bottom w:val="nil" w:sz="6" w:space="0" w:color="auto"/>
              <w:right w:val="nil" w:sz="6" w:space="0" w:color="auto"/>
            </w:tcBorders>
          </w:tcPr>
          <w:p>
            <w:pPr>
              <w:pStyle w:val="TableParagraph"/>
              <w:spacing w:line="160" w:lineRule="exact"/>
              <w:ind w:left="107" w:right="0"/>
              <w:jc w:val="left"/>
              <w:rPr>
                <w:rFonts w:ascii="宋体" w:hAnsi="宋体" w:cs="宋体" w:eastAsia="宋体" w:hint="default"/>
                <w:sz w:val="16"/>
                <w:szCs w:val="16"/>
              </w:rPr>
            </w:pPr>
            <w:r>
              <w:rPr>
                <w:rFonts w:ascii="宋体" w:hAnsi="宋体" w:cs="宋体" w:eastAsia="宋体" w:hint="default"/>
                <w:w w:val="99"/>
                <w:sz w:val="16"/>
                <w:szCs w:val="16"/>
              </w:rPr>
              <w:t>票</w:t>
            </w:r>
            <w:r>
              <w:rPr>
                <w:rFonts w:ascii="宋体" w:hAnsi="宋体" w:cs="宋体" w:eastAsia="宋体" w:hint="default"/>
                <w:sz w:val="16"/>
                <w:szCs w:val="16"/>
              </w:rPr>
            </w:r>
          </w:p>
          <w:p>
            <w:pPr>
              <w:pStyle w:val="TableParagraph"/>
              <w:spacing w:line="240" w:lineRule="auto" w:before="143"/>
              <w:ind w:left="107" w:right="0"/>
              <w:jc w:val="left"/>
              <w:rPr>
                <w:rFonts w:ascii="宋体" w:hAnsi="宋体" w:cs="宋体" w:eastAsia="宋体" w:hint="default"/>
                <w:sz w:val="16"/>
                <w:szCs w:val="16"/>
              </w:rPr>
            </w:pPr>
            <w:r>
              <w:rPr>
                <w:rFonts w:ascii="宋体" w:hAnsi="宋体" w:cs="宋体" w:eastAsia="宋体" w:hint="default"/>
                <w:sz w:val="16"/>
                <w:szCs w:val="16"/>
              </w:rPr>
              <w:t>抵押借款</w:t>
            </w:r>
          </w:p>
        </w:tc>
      </w:tr>
      <w:tr>
        <w:trPr>
          <w:trHeight w:val="353" w:hRule="exact"/>
        </w:trPr>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5" w:right="0"/>
              <w:jc w:val="left"/>
              <w:rPr>
                <w:rFonts w:ascii="宋体" w:hAnsi="宋体" w:cs="宋体" w:eastAsia="宋体" w:hint="default"/>
                <w:sz w:val="16"/>
                <w:szCs w:val="16"/>
              </w:rPr>
            </w:pPr>
            <w:r>
              <w:rPr>
                <w:rFonts w:ascii="宋体" w:hAnsi="宋体" w:cs="宋体" w:eastAsia="宋体" w:hint="default"/>
                <w:sz w:val="16"/>
                <w:szCs w:val="16"/>
              </w:rPr>
              <w:t>投资性房地产</w:t>
            </w:r>
          </w:p>
        </w:tc>
        <w:tc>
          <w:tcPr>
            <w:tcW w:w="203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7"/>
              <w:jc w:val="right"/>
              <w:rPr>
                <w:rFonts w:ascii="Times New Roman" w:hAnsi="Times New Roman" w:cs="Times New Roman" w:eastAsia="Times New Roman" w:hint="default"/>
                <w:sz w:val="16"/>
                <w:szCs w:val="16"/>
              </w:rPr>
            </w:pPr>
            <w:r>
              <w:rPr>
                <w:rFonts w:ascii="Times New Roman"/>
                <w:spacing w:val="-1"/>
                <w:sz w:val="16"/>
              </w:rPr>
              <w:t>234,251,438.43</w:t>
            </w:r>
          </w:p>
        </w:tc>
        <w:tc>
          <w:tcPr>
            <w:tcW w:w="78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3"/>
              <w:jc w:val="right"/>
              <w:rPr>
                <w:rFonts w:ascii="宋体" w:hAnsi="宋体" w:cs="宋体" w:eastAsia="宋体" w:hint="default"/>
                <w:sz w:val="16"/>
                <w:szCs w:val="16"/>
              </w:rPr>
            </w:pPr>
            <w:r>
              <w:rPr>
                <w:rFonts w:ascii="宋体" w:hAnsi="宋体" w:cs="宋体" w:eastAsia="宋体" w:hint="default"/>
                <w:w w:val="95"/>
                <w:sz w:val="16"/>
                <w:szCs w:val="16"/>
              </w:rPr>
              <w:t>抵押借款</w:t>
            </w:r>
            <w:r>
              <w:rPr>
                <w:rFonts w:ascii="宋体" w:hAnsi="宋体" w:cs="宋体" w:eastAsia="宋体" w:hint="default"/>
                <w:sz w:val="16"/>
                <w:szCs w:val="16"/>
              </w:rPr>
            </w:r>
          </w:p>
        </w:tc>
      </w:tr>
      <w:tr>
        <w:trPr>
          <w:trHeight w:val="364" w:hRule="exact"/>
        </w:trPr>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5" w:right="0"/>
              <w:jc w:val="left"/>
              <w:rPr>
                <w:rFonts w:ascii="宋体" w:hAnsi="宋体" w:cs="宋体" w:eastAsia="宋体" w:hint="default"/>
                <w:sz w:val="16"/>
                <w:szCs w:val="16"/>
              </w:rPr>
            </w:pPr>
            <w:r>
              <w:rPr>
                <w:rFonts w:ascii="宋体" w:hAnsi="宋体" w:cs="宋体" w:eastAsia="宋体" w:hint="default"/>
                <w:sz w:val="16"/>
                <w:szCs w:val="16"/>
              </w:rPr>
              <w:t>无形资产</w:t>
            </w:r>
          </w:p>
        </w:tc>
        <w:tc>
          <w:tcPr>
            <w:tcW w:w="2033"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6"/>
                <w:szCs w:val="16"/>
              </w:rPr>
            </w:pPr>
            <w:r>
              <w:rPr>
                <w:rFonts w:ascii="Times New Roman"/>
                <w:spacing w:val="-1"/>
                <w:sz w:val="16"/>
              </w:rPr>
              <w:t>23,715,956.22</w:t>
            </w:r>
          </w:p>
        </w:tc>
        <w:tc>
          <w:tcPr>
            <w:tcW w:w="78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3"/>
              <w:jc w:val="right"/>
              <w:rPr>
                <w:rFonts w:ascii="宋体" w:hAnsi="宋体" w:cs="宋体" w:eastAsia="宋体" w:hint="default"/>
                <w:sz w:val="16"/>
                <w:szCs w:val="16"/>
              </w:rPr>
            </w:pPr>
            <w:r>
              <w:rPr>
                <w:rFonts w:ascii="宋体" w:hAnsi="宋体" w:cs="宋体" w:eastAsia="宋体" w:hint="default"/>
                <w:w w:val="95"/>
                <w:sz w:val="16"/>
                <w:szCs w:val="16"/>
              </w:rPr>
              <w:t>抵押借款</w:t>
            </w:r>
            <w:r>
              <w:rPr>
                <w:rFonts w:ascii="宋体" w:hAnsi="宋体" w:cs="宋体" w:eastAsia="宋体" w:hint="default"/>
                <w:sz w:val="16"/>
                <w:szCs w:val="16"/>
              </w:rPr>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5"/>
          <w:szCs w:val="25"/>
        </w:rPr>
      </w:pPr>
    </w:p>
    <w:p>
      <w:pPr>
        <w:pStyle w:val="Heading5"/>
        <w:spacing w:line="240" w:lineRule="auto"/>
        <w:ind w:right="3681"/>
        <w:jc w:val="left"/>
        <w:rPr>
          <w:b w:val="0"/>
          <w:bCs w:val="0"/>
        </w:rPr>
      </w:pPr>
      <w:r>
        <w:rPr>
          <w:rFonts w:ascii="Times New Roman" w:hAnsi="Times New Roman" w:cs="Times New Roman" w:eastAsia="Times New Roman" w:hint="default"/>
        </w:rPr>
        <w:t>(</w:t>
      </w:r>
      <w:r>
        <w:rPr/>
        <w:t>五十六</w:t>
      </w:r>
      <w:r>
        <w:rPr>
          <w:rFonts w:ascii="Times New Roman" w:hAnsi="Times New Roman" w:cs="Times New Roman" w:eastAsia="Times New Roman" w:hint="default"/>
        </w:rPr>
        <w:t>)</w:t>
      </w:r>
      <w:r>
        <w:rPr>
          <w:rFonts w:ascii="Times New Roman" w:hAnsi="Times New Roman" w:cs="Times New Roman" w:eastAsia="Times New Roman" w:hint="default"/>
          <w:spacing w:val="20"/>
        </w:rPr>
        <w:t> </w:t>
      </w:r>
      <w:r>
        <w:rPr/>
        <w:t>外币货币性项目</w:t>
      </w:r>
      <w:r>
        <w:rPr>
          <w:b w:val="0"/>
          <w:bCs w:val="0"/>
        </w:rPr>
      </w:r>
    </w:p>
    <w:p>
      <w:pPr>
        <w:pStyle w:val="Heading5"/>
        <w:tabs>
          <w:tab w:pos="1397" w:val="left" w:leader="none"/>
        </w:tabs>
        <w:spacing w:line="240" w:lineRule="auto" w:before="110"/>
        <w:ind w:left="846" w:right="3681"/>
        <w:jc w:val="left"/>
        <w:rPr>
          <w:b w:val="0"/>
          <w:bCs w:val="0"/>
        </w:rPr>
      </w:pPr>
      <w:r>
        <w:rPr>
          <w:rFonts w:ascii="Times New Roman" w:hAnsi="Times New Roman" w:cs="Times New Roman" w:eastAsia="Times New Roman" w:hint="default"/>
          <w:w w:val="95"/>
        </w:rPr>
        <w:t>1</w:t>
      </w:r>
      <w:r>
        <w:rPr>
          <w:w w:val="95"/>
        </w:rPr>
        <w:t>、</w:t>
        <w:tab/>
      </w:r>
      <w:r>
        <w:rPr/>
        <w:t>外币货币性项目</w:t>
      </w:r>
      <w:r>
        <w:rPr>
          <w:b w:val="0"/>
          <w:bCs w:val="0"/>
        </w:rPr>
      </w:r>
    </w:p>
    <w:p>
      <w:pPr>
        <w:spacing w:after="0" w:line="240" w:lineRule="auto"/>
        <w:jc w:val="left"/>
        <w:sectPr>
          <w:pgSz w:w="11910" w:h="16840"/>
          <w:pgMar w:header="0" w:footer="1001" w:top="1520" w:bottom="1200" w:left="1660" w:right="0"/>
        </w:sectPr>
      </w:pPr>
    </w:p>
    <w:p>
      <w:pPr>
        <w:spacing w:line="240" w:lineRule="auto" w:before="4"/>
        <w:rPr>
          <w:rFonts w:ascii="宋体" w:hAnsi="宋体" w:cs="宋体" w:eastAsia="宋体" w:hint="default"/>
          <w:b/>
          <w:bCs/>
          <w:sz w:val="10"/>
          <w:szCs w:val="10"/>
        </w:rPr>
      </w:pPr>
    </w:p>
    <w:tbl>
      <w:tblPr>
        <w:tblW w:w="0" w:type="auto"/>
        <w:jc w:val="left"/>
        <w:tblInd w:w="787" w:type="dxa"/>
        <w:tblLayout w:type="fixed"/>
        <w:tblCellMar>
          <w:top w:w="0" w:type="dxa"/>
          <w:left w:w="0" w:type="dxa"/>
          <w:bottom w:w="0" w:type="dxa"/>
          <w:right w:w="0" w:type="dxa"/>
        </w:tblCellMar>
        <w:tblLook w:val="01E0"/>
      </w:tblPr>
      <w:tblGrid>
        <w:gridCol w:w="2202"/>
        <w:gridCol w:w="2462"/>
        <w:gridCol w:w="1405"/>
        <w:gridCol w:w="2044"/>
      </w:tblGrid>
      <w:tr>
        <w:trPr>
          <w:trHeight w:val="724" w:hRule="exact"/>
        </w:trPr>
        <w:tc>
          <w:tcPr>
            <w:tcW w:w="2202" w:type="dxa"/>
            <w:tcBorders>
              <w:top w:val="nil" w:sz="6" w:space="0" w:color="auto"/>
              <w:left w:val="nil" w:sz="6" w:space="0" w:color="auto"/>
              <w:bottom w:val="nil" w:sz="6" w:space="0" w:color="auto"/>
              <w:right w:val="nil" w:sz="6" w:space="0" w:color="auto"/>
            </w:tcBorders>
          </w:tcPr>
          <w:p>
            <w:pPr>
              <w:pStyle w:val="TableParagraph"/>
              <w:spacing w:line="240" w:lineRule="auto" w:before="57"/>
              <w:ind w:left="239" w:right="0"/>
              <w:jc w:val="center"/>
              <w:rPr>
                <w:rFonts w:ascii="宋体" w:hAnsi="宋体" w:cs="宋体" w:eastAsia="宋体" w:hint="default"/>
                <w:sz w:val="16"/>
                <w:szCs w:val="16"/>
              </w:rPr>
            </w:pPr>
            <w:r>
              <w:rPr>
                <w:rFonts w:ascii="宋体" w:hAnsi="宋体" w:cs="宋体" w:eastAsia="宋体" w:hint="default"/>
                <w:sz w:val="16"/>
                <w:szCs w:val="16"/>
              </w:rPr>
              <w:t>项目</w:t>
            </w:r>
          </w:p>
          <w:p>
            <w:pPr>
              <w:pStyle w:val="TableParagraph"/>
              <w:spacing w:line="240" w:lineRule="auto" w:before="143"/>
              <w:ind w:left="70" w:right="0"/>
              <w:jc w:val="left"/>
              <w:rPr>
                <w:rFonts w:ascii="宋体" w:hAnsi="宋体" w:cs="宋体" w:eastAsia="宋体" w:hint="default"/>
                <w:sz w:val="16"/>
                <w:szCs w:val="16"/>
              </w:rPr>
            </w:pPr>
            <w:r>
              <w:rPr>
                <w:rFonts w:ascii="宋体" w:hAnsi="宋体" w:cs="宋体" w:eastAsia="宋体" w:hint="default"/>
                <w:sz w:val="16"/>
                <w:szCs w:val="16"/>
              </w:rPr>
              <w:t>货币资金</w:t>
            </w:r>
          </w:p>
        </w:tc>
        <w:tc>
          <w:tcPr>
            <w:tcW w:w="2462" w:type="dxa"/>
            <w:tcBorders>
              <w:top w:val="nil" w:sz="6" w:space="0" w:color="auto"/>
              <w:left w:val="nil" w:sz="6" w:space="0" w:color="auto"/>
              <w:bottom w:val="nil" w:sz="6" w:space="0" w:color="auto"/>
              <w:right w:val="nil" w:sz="6" w:space="0" w:color="auto"/>
            </w:tcBorders>
          </w:tcPr>
          <w:p>
            <w:pPr>
              <w:pStyle w:val="TableParagraph"/>
              <w:spacing w:line="240" w:lineRule="auto" w:before="57"/>
              <w:ind w:left="821" w:right="0"/>
              <w:jc w:val="left"/>
              <w:rPr>
                <w:rFonts w:ascii="宋体" w:hAnsi="宋体" w:cs="宋体" w:eastAsia="宋体" w:hint="default"/>
                <w:sz w:val="16"/>
                <w:szCs w:val="16"/>
              </w:rPr>
            </w:pPr>
            <w:r>
              <w:rPr>
                <w:rFonts w:ascii="宋体" w:hAnsi="宋体" w:cs="宋体" w:eastAsia="宋体" w:hint="default"/>
                <w:sz w:val="16"/>
                <w:szCs w:val="16"/>
              </w:rPr>
              <w:t>期末外币余额</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57"/>
              <w:ind w:left="243" w:right="0"/>
              <w:jc w:val="left"/>
              <w:rPr>
                <w:rFonts w:ascii="宋体" w:hAnsi="宋体" w:cs="宋体" w:eastAsia="宋体" w:hint="default"/>
                <w:sz w:val="16"/>
                <w:szCs w:val="16"/>
              </w:rPr>
            </w:pPr>
            <w:r>
              <w:rPr>
                <w:rFonts w:ascii="宋体" w:hAnsi="宋体" w:cs="宋体" w:eastAsia="宋体" w:hint="default"/>
                <w:sz w:val="16"/>
                <w:szCs w:val="16"/>
              </w:rPr>
              <w:t>折算汇率</w:t>
            </w:r>
          </w:p>
        </w:tc>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57"/>
              <w:ind w:left="248" w:right="0"/>
              <w:jc w:val="left"/>
              <w:rPr>
                <w:rFonts w:ascii="宋体" w:hAnsi="宋体" w:cs="宋体" w:eastAsia="宋体" w:hint="default"/>
                <w:sz w:val="16"/>
                <w:szCs w:val="16"/>
              </w:rPr>
            </w:pPr>
            <w:r>
              <w:rPr>
                <w:rFonts w:ascii="宋体" w:hAnsi="宋体" w:cs="宋体" w:eastAsia="宋体" w:hint="default"/>
                <w:sz w:val="16"/>
                <w:szCs w:val="16"/>
              </w:rPr>
              <w:t>期末折算人民币余额</w:t>
            </w:r>
          </w:p>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1052" w:right="0"/>
              <w:jc w:val="left"/>
              <w:rPr>
                <w:rFonts w:ascii="Times New Roman" w:hAnsi="Times New Roman" w:cs="Times New Roman" w:eastAsia="Times New Roman" w:hint="default"/>
                <w:sz w:val="16"/>
                <w:szCs w:val="16"/>
              </w:rPr>
            </w:pPr>
            <w:r>
              <w:rPr>
                <w:rFonts w:ascii="Times New Roman"/>
                <w:sz w:val="16"/>
              </w:rPr>
              <w:t>87,899,164.90</w:t>
            </w:r>
          </w:p>
        </w:tc>
      </w:tr>
      <w:tr>
        <w:trPr>
          <w:trHeight w:val="353" w:hRule="exact"/>
        </w:trPr>
        <w:tc>
          <w:tcPr>
            <w:tcW w:w="220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其中：美元</w:t>
            </w:r>
          </w:p>
        </w:tc>
        <w:tc>
          <w:tcPr>
            <w:tcW w:w="246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41"/>
              <w:jc w:val="right"/>
              <w:rPr>
                <w:rFonts w:ascii="Times New Roman" w:hAnsi="Times New Roman" w:cs="Times New Roman" w:eastAsia="Times New Roman" w:hint="default"/>
                <w:sz w:val="16"/>
                <w:szCs w:val="16"/>
              </w:rPr>
            </w:pPr>
            <w:r>
              <w:rPr>
                <w:rFonts w:ascii="Times New Roman"/>
                <w:spacing w:val="-1"/>
                <w:sz w:val="16"/>
              </w:rPr>
              <w:t>10,908,875.32</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46"/>
              <w:jc w:val="right"/>
              <w:rPr>
                <w:rFonts w:ascii="Times New Roman" w:hAnsi="Times New Roman" w:cs="Times New Roman" w:eastAsia="Times New Roman" w:hint="default"/>
                <w:sz w:val="16"/>
                <w:szCs w:val="16"/>
              </w:rPr>
            </w:pPr>
            <w:r>
              <w:rPr>
                <w:rFonts w:ascii="Times New Roman"/>
                <w:spacing w:val="-1"/>
                <w:sz w:val="16"/>
              </w:rPr>
              <w:t>6.8632</w:t>
            </w:r>
          </w:p>
        </w:tc>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74,869,793.10</w:t>
            </w:r>
          </w:p>
        </w:tc>
      </w:tr>
      <w:tr>
        <w:trPr>
          <w:trHeight w:val="353" w:hRule="exact"/>
        </w:trPr>
        <w:tc>
          <w:tcPr>
            <w:tcW w:w="220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日元</w:t>
            </w:r>
          </w:p>
        </w:tc>
        <w:tc>
          <w:tcPr>
            <w:tcW w:w="246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41"/>
              <w:jc w:val="right"/>
              <w:rPr>
                <w:rFonts w:ascii="Times New Roman" w:hAnsi="Times New Roman" w:cs="Times New Roman" w:eastAsia="Times New Roman" w:hint="default"/>
                <w:sz w:val="16"/>
                <w:szCs w:val="16"/>
              </w:rPr>
            </w:pPr>
            <w:r>
              <w:rPr>
                <w:rFonts w:ascii="Times New Roman"/>
                <w:spacing w:val="-1"/>
                <w:sz w:val="16"/>
              </w:rPr>
              <w:t>42,127,500.02</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46"/>
              <w:jc w:val="right"/>
              <w:rPr>
                <w:rFonts w:ascii="Times New Roman" w:hAnsi="Times New Roman" w:cs="Times New Roman" w:eastAsia="Times New Roman" w:hint="default"/>
                <w:sz w:val="16"/>
                <w:szCs w:val="16"/>
              </w:rPr>
            </w:pPr>
            <w:r>
              <w:rPr>
                <w:rFonts w:ascii="Times New Roman"/>
                <w:spacing w:val="-1"/>
                <w:sz w:val="16"/>
              </w:rPr>
              <w:t>0.0619</w:t>
            </w:r>
          </w:p>
        </w:tc>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2,607,692.25</w:t>
            </w:r>
          </w:p>
        </w:tc>
      </w:tr>
      <w:tr>
        <w:trPr>
          <w:trHeight w:val="353" w:hRule="exact"/>
        </w:trPr>
        <w:tc>
          <w:tcPr>
            <w:tcW w:w="220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港元</w:t>
            </w:r>
          </w:p>
        </w:tc>
        <w:tc>
          <w:tcPr>
            <w:tcW w:w="246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41"/>
              <w:jc w:val="right"/>
              <w:rPr>
                <w:rFonts w:ascii="Times New Roman" w:hAnsi="Times New Roman" w:cs="Times New Roman" w:eastAsia="Times New Roman" w:hint="default"/>
                <w:sz w:val="16"/>
                <w:szCs w:val="16"/>
              </w:rPr>
            </w:pPr>
            <w:r>
              <w:rPr>
                <w:rFonts w:ascii="Times New Roman"/>
                <w:spacing w:val="-1"/>
                <w:sz w:val="16"/>
              </w:rPr>
              <w:t>11,471,609.48</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46"/>
              <w:jc w:val="right"/>
              <w:rPr>
                <w:rFonts w:ascii="Times New Roman" w:hAnsi="Times New Roman" w:cs="Times New Roman" w:eastAsia="Times New Roman" w:hint="default"/>
                <w:sz w:val="16"/>
                <w:szCs w:val="16"/>
              </w:rPr>
            </w:pPr>
            <w:r>
              <w:rPr>
                <w:rFonts w:ascii="Times New Roman"/>
                <w:spacing w:val="-1"/>
                <w:sz w:val="16"/>
              </w:rPr>
              <w:t>0.8762</w:t>
            </w:r>
          </w:p>
        </w:tc>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10,051,424.23</w:t>
            </w:r>
          </w:p>
        </w:tc>
      </w:tr>
      <w:tr>
        <w:trPr>
          <w:trHeight w:val="353" w:hRule="exact"/>
        </w:trPr>
        <w:tc>
          <w:tcPr>
            <w:tcW w:w="220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澳门元</w:t>
            </w:r>
          </w:p>
        </w:tc>
        <w:tc>
          <w:tcPr>
            <w:tcW w:w="246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41"/>
              <w:jc w:val="right"/>
              <w:rPr>
                <w:rFonts w:ascii="Times New Roman" w:hAnsi="Times New Roman" w:cs="Times New Roman" w:eastAsia="Times New Roman" w:hint="default"/>
                <w:sz w:val="16"/>
                <w:szCs w:val="16"/>
              </w:rPr>
            </w:pPr>
            <w:r>
              <w:rPr>
                <w:rFonts w:ascii="Times New Roman"/>
                <w:spacing w:val="-1"/>
                <w:sz w:val="16"/>
              </w:rPr>
              <w:t>213,832.59</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46"/>
              <w:jc w:val="right"/>
              <w:rPr>
                <w:rFonts w:ascii="Times New Roman" w:hAnsi="Times New Roman" w:cs="Times New Roman" w:eastAsia="Times New Roman" w:hint="default"/>
                <w:sz w:val="16"/>
                <w:szCs w:val="16"/>
              </w:rPr>
            </w:pPr>
            <w:r>
              <w:rPr>
                <w:rFonts w:ascii="Times New Roman"/>
                <w:spacing w:val="-1"/>
                <w:sz w:val="16"/>
              </w:rPr>
              <w:t>0.8542</w:t>
            </w:r>
          </w:p>
        </w:tc>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182,655.80</w:t>
            </w:r>
          </w:p>
        </w:tc>
      </w:tr>
      <w:tr>
        <w:trPr>
          <w:trHeight w:val="353" w:hRule="exact"/>
        </w:trPr>
        <w:tc>
          <w:tcPr>
            <w:tcW w:w="220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欧元</w:t>
            </w:r>
          </w:p>
        </w:tc>
        <w:tc>
          <w:tcPr>
            <w:tcW w:w="246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42"/>
              <w:jc w:val="right"/>
              <w:rPr>
                <w:rFonts w:ascii="Times New Roman" w:hAnsi="Times New Roman" w:cs="Times New Roman" w:eastAsia="Times New Roman" w:hint="default"/>
                <w:sz w:val="16"/>
                <w:szCs w:val="16"/>
              </w:rPr>
            </w:pPr>
            <w:r>
              <w:rPr>
                <w:rFonts w:ascii="Times New Roman"/>
                <w:spacing w:val="-1"/>
                <w:sz w:val="16"/>
              </w:rPr>
              <w:t>22,069.96</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46"/>
              <w:jc w:val="right"/>
              <w:rPr>
                <w:rFonts w:ascii="Times New Roman" w:hAnsi="Times New Roman" w:cs="Times New Roman" w:eastAsia="Times New Roman" w:hint="default"/>
                <w:sz w:val="16"/>
                <w:szCs w:val="16"/>
              </w:rPr>
            </w:pPr>
            <w:r>
              <w:rPr>
                <w:rFonts w:ascii="Times New Roman"/>
                <w:spacing w:val="-1"/>
                <w:sz w:val="16"/>
              </w:rPr>
              <w:t>7.8473</w:t>
            </w:r>
          </w:p>
        </w:tc>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173,189.60</w:t>
            </w:r>
          </w:p>
        </w:tc>
      </w:tr>
      <w:tr>
        <w:trPr>
          <w:trHeight w:val="353" w:hRule="exact"/>
        </w:trPr>
        <w:tc>
          <w:tcPr>
            <w:tcW w:w="220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英镑</w:t>
            </w:r>
          </w:p>
        </w:tc>
        <w:tc>
          <w:tcPr>
            <w:tcW w:w="246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41"/>
              <w:jc w:val="right"/>
              <w:rPr>
                <w:rFonts w:ascii="Times New Roman" w:hAnsi="Times New Roman" w:cs="Times New Roman" w:eastAsia="Times New Roman" w:hint="default"/>
                <w:sz w:val="16"/>
                <w:szCs w:val="16"/>
              </w:rPr>
            </w:pPr>
            <w:r>
              <w:rPr>
                <w:rFonts w:ascii="Times New Roman"/>
                <w:spacing w:val="-1"/>
                <w:sz w:val="16"/>
              </w:rPr>
              <w:t>537.20</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46"/>
              <w:jc w:val="right"/>
              <w:rPr>
                <w:rFonts w:ascii="Times New Roman" w:hAnsi="Times New Roman" w:cs="Times New Roman" w:eastAsia="Times New Roman" w:hint="default"/>
                <w:sz w:val="16"/>
                <w:szCs w:val="16"/>
              </w:rPr>
            </w:pPr>
            <w:r>
              <w:rPr>
                <w:rFonts w:ascii="Times New Roman"/>
                <w:spacing w:val="-1"/>
                <w:sz w:val="16"/>
              </w:rPr>
              <w:t>8.6762</w:t>
            </w:r>
          </w:p>
        </w:tc>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4,660.85</w:t>
            </w:r>
          </w:p>
        </w:tc>
      </w:tr>
      <w:tr>
        <w:trPr>
          <w:trHeight w:val="354" w:hRule="exact"/>
        </w:trPr>
        <w:tc>
          <w:tcPr>
            <w:tcW w:w="220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新台币</w:t>
            </w:r>
          </w:p>
        </w:tc>
        <w:tc>
          <w:tcPr>
            <w:tcW w:w="246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42"/>
              <w:jc w:val="right"/>
              <w:rPr>
                <w:rFonts w:ascii="Times New Roman" w:hAnsi="Times New Roman" w:cs="Times New Roman" w:eastAsia="Times New Roman" w:hint="default"/>
                <w:sz w:val="16"/>
                <w:szCs w:val="16"/>
              </w:rPr>
            </w:pPr>
            <w:r>
              <w:rPr>
                <w:rFonts w:ascii="Times New Roman"/>
                <w:spacing w:val="-1"/>
                <w:sz w:val="16"/>
              </w:rPr>
              <w:t>18,443.01</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46"/>
              <w:jc w:val="right"/>
              <w:rPr>
                <w:rFonts w:ascii="Times New Roman" w:hAnsi="Times New Roman" w:cs="Times New Roman" w:eastAsia="Times New Roman" w:hint="default"/>
                <w:sz w:val="16"/>
                <w:szCs w:val="16"/>
              </w:rPr>
            </w:pPr>
            <w:r>
              <w:rPr>
                <w:rFonts w:ascii="Times New Roman"/>
                <w:spacing w:val="-1"/>
                <w:sz w:val="16"/>
              </w:rPr>
              <w:t>0.2234</w:t>
            </w:r>
          </w:p>
        </w:tc>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4,120.17</w:t>
            </w:r>
          </w:p>
        </w:tc>
      </w:tr>
      <w:tr>
        <w:trPr>
          <w:trHeight w:val="353" w:hRule="exact"/>
        </w:trPr>
        <w:tc>
          <w:tcPr>
            <w:tcW w:w="220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马来西亚林吉特</w:t>
            </w:r>
          </w:p>
        </w:tc>
        <w:tc>
          <w:tcPr>
            <w:tcW w:w="246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41"/>
              <w:jc w:val="right"/>
              <w:rPr>
                <w:rFonts w:ascii="Times New Roman" w:hAnsi="Times New Roman" w:cs="Times New Roman" w:eastAsia="Times New Roman" w:hint="default"/>
                <w:sz w:val="16"/>
                <w:szCs w:val="16"/>
              </w:rPr>
            </w:pPr>
            <w:r>
              <w:rPr>
                <w:rFonts w:ascii="Times New Roman"/>
                <w:spacing w:val="-1"/>
                <w:sz w:val="16"/>
              </w:rPr>
              <w:t>464.45</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46"/>
              <w:jc w:val="right"/>
              <w:rPr>
                <w:rFonts w:ascii="Times New Roman" w:hAnsi="Times New Roman" w:cs="Times New Roman" w:eastAsia="Times New Roman" w:hint="default"/>
                <w:sz w:val="16"/>
                <w:szCs w:val="16"/>
              </w:rPr>
            </w:pPr>
            <w:r>
              <w:rPr>
                <w:rFonts w:ascii="Times New Roman"/>
                <w:spacing w:val="-1"/>
                <w:sz w:val="16"/>
              </w:rPr>
              <w:t>2.1905</w:t>
            </w:r>
          </w:p>
        </w:tc>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1,017.38</w:t>
            </w:r>
          </w:p>
        </w:tc>
      </w:tr>
      <w:tr>
        <w:trPr>
          <w:trHeight w:val="353" w:hRule="exact"/>
        </w:trPr>
        <w:tc>
          <w:tcPr>
            <w:tcW w:w="220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新加坡元</w:t>
            </w:r>
          </w:p>
        </w:tc>
        <w:tc>
          <w:tcPr>
            <w:tcW w:w="246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41"/>
              <w:jc w:val="right"/>
              <w:rPr>
                <w:rFonts w:ascii="Times New Roman" w:hAnsi="Times New Roman" w:cs="Times New Roman" w:eastAsia="Times New Roman" w:hint="default"/>
                <w:sz w:val="16"/>
                <w:szCs w:val="16"/>
              </w:rPr>
            </w:pPr>
            <w:r>
              <w:rPr>
                <w:rFonts w:ascii="Times New Roman"/>
                <w:spacing w:val="-1"/>
                <w:sz w:val="16"/>
              </w:rPr>
              <w:t>605.80</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46"/>
              <w:jc w:val="right"/>
              <w:rPr>
                <w:rFonts w:ascii="Times New Roman" w:hAnsi="Times New Roman" w:cs="Times New Roman" w:eastAsia="Times New Roman" w:hint="default"/>
                <w:sz w:val="16"/>
                <w:szCs w:val="16"/>
              </w:rPr>
            </w:pPr>
            <w:r>
              <w:rPr>
                <w:rFonts w:ascii="Times New Roman"/>
                <w:spacing w:val="-1"/>
                <w:sz w:val="16"/>
              </w:rPr>
              <w:t>5.0062</w:t>
            </w:r>
          </w:p>
        </w:tc>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3,032.76</w:t>
            </w:r>
          </w:p>
        </w:tc>
      </w:tr>
      <w:tr>
        <w:trPr>
          <w:trHeight w:val="353" w:hRule="exact"/>
        </w:trPr>
        <w:tc>
          <w:tcPr>
            <w:tcW w:w="220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菲律宾比索</w:t>
            </w:r>
          </w:p>
        </w:tc>
        <w:tc>
          <w:tcPr>
            <w:tcW w:w="246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42"/>
              <w:jc w:val="right"/>
              <w:rPr>
                <w:rFonts w:ascii="Times New Roman" w:hAnsi="Times New Roman" w:cs="Times New Roman" w:eastAsia="Times New Roman" w:hint="default"/>
                <w:sz w:val="16"/>
                <w:szCs w:val="16"/>
              </w:rPr>
            </w:pPr>
            <w:r>
              <w:rPr>
                <w:rFonts w:ascii="Times New Roman"/>
                <w:spacing w:val="-1"/>
                <w:sz w:val="16"/>
              </w:rPr>
              <w:t>12,070.00</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46"/>
              <w:jc w:val="right"/>
              <w:rPr>
                <w:rFonts w:ascii="Times New Roman" w:hAnsi="Times New Roman" w:cs="Times New Roman" w:eastAsia="Times New Roman" w:hint="default"/>
                <w:sz w:val="16"/>
                <w:szCs w:val="16"/>
              </w:rPr>
            </w:pPr>
            <w:r>
              <w:rPr>
                <w:rFonts w:ascii="Times New Roman"/>
                <w:spacing w:val="-1"/>
                <w:sz w:val="16"/>
              </w:rPr>
              <w:t>0.1308</w:t>
            </w:r>
          </w:p>
        </w:tc>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1,578.76</w:t>
            </w:r>
          </w:p>
        </w:tc>
      </w:tr>
      <w:tr>
        <w:trPr>
          <w:trHeight w:val="353" w:hRule="exact"/>
        </w:trPr>
        <w:tc>
          <w:tcPr>
            <w:tcW w:w="220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应收账款</w:t>
            </w:r>
          </w:p>
        </w:tc>
        <w:tc>
          <w:tcPr>
            <w:tcW w:w="2462" w:type="dxa"/>
            <w:tcBorders>
              <w:top w:val="nil" w:sz="6" w:space="0" w:color="auto"/>
              <w:left w:val="nil" w:sz="6" w:space="0" w:color="auto"/>
              <w:bottom w:val="nil" w:sz="6" w:space="0" w:color="auto"/>
              <w:right w:val="nil" w:sz="6" w:space="0" w:color="auto"/>
            </w:tcBorders>
          </w:tcPr>
          <w:p>
            <w:pPr/>
          </w:p>
        </w:tc>
        <w:tc>
          <w:tcPr>
            <w:tcW w:w="1405" w:type="dxa"/>
            <w:tcBorders>
              <w:top w:val="nil" w:sz="6" w:space="0" w:color="auto"/>
              <w:left w:val="nil" w:sz="6" w:space="0" w:color="auto"/>
              <w:bottom w:val="nil" w:sz="6" w:space="0" w:color="auto"/>
              <w:right w:val="nil" w:sz="6" w:space="0" w:color="auto"/>
            </w:tcBorders>
          </w:tcPr>
          <w:p>
            <w:pPr/>
          </w:p>
        </w:tc>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569,656,153.56</w:t>
            </w:r>
          </w:p>
        </w:tc>
      </w:tr>
      <w:tr>
        <w:trPr>
          <w:trHeight w:val="353" w:hRule="exact"/>
        </w:trPr>
        <w:tc>
          <w:tcPr>
            <w:tcW w:w="220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其中：美元</w:t>
            </w:r>
          </w:p>
        </w:tc>
        <w:tc>
          <w:tcPr>
            <w:tcW w:w="246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41"/>
              <w:jc w:val="right"/>
              <w:rPr>
                <w:rFonts w:ascii="Times New Roman" w:hAnsi="Times New Roman" w:cs="Times New Roman" w:eastAsia="Times New Roman" w:hint="default"/>
                <w:sz w:val="16"/>
                <w:szCs w:val="16"/>
              </w:rPr>
            </w:pPr>
            <w:r>
              <w:rPr>
                <w:rFonts w:ascii="Times New Roman"/>
                <w:spacing w:val="-1"/>
                <w:sz w:val="16"/>
              </w:rPr>
              <w:t>82,877,261.59</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46"/>
              <w:jc w:val="right"/>
              <w:rPr>
                <w:rFonts w:ascii="Times New Roman" w:hAnsi="Times New Roman" w:cs="Times New Roman" w:eastAsia="Times New Roman" w:hint="default"/>
                <w:sz w:val="16"/>
                <w:szCs w:val="16"/>
              </w:rPr>
            </w:pPr>
            <w:r>
              <w:rPr>
                <w:rFonts w:ascii="Times New Roman"/>
                <w:spacing w:val="-1"/>
                <w:sz w:val="16"/>
              </w:rPr>
              <w:t>6.8632</w:t>
            </w:r>
          </w:p>
        </w:tc>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568,803,221.74</w:t>
            </w:r>
          </w:p>
        </w:tc>
      </w:tr>
      <w:tr>
        <w:trPr>
          <w:trHeight w:val="354" w:hRule="exact"/>
        </w:trPr>
        <w:tc>
          <w:tcPr>
            <w:tcW w:w="220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港元</w:t>
            </w:r>
          </w:p>
        </w:tc>
        <w:tc>
          <w:tcPr>
            <w:tcW w:w="246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41"/>
              <w:jc w:val="right"/>
              <w:rPr>
                <w:rFonts w:ascii="Times New Roman" w:hAnsi="Times New Roman" w:cs="Times New Roman" w:eastAsia="Times New Roman" w:hint="default"/>
                <w:sz w:val="16"/>
                <w:szCs w:val="16"/>
              </w:rPr>
            </w:pPr>
            <w:r>
              <w:rPr>
                <w:rFonts w:ascii="Times New Roman"/>
                <w:spacing w:val="-1"/>
                <w:sz w:val="16"/>
              </w:rPr>
              <w:t>973,444.21</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46"/>
              <w:jc w:val="right"/>
              <w:rPr>
                <w:rFonts w:ascii="Times New Roman" w:hAnsi="Times New Roman" w:cs="Times New Roman" w:eastAsia="Times New Roman" w:hint="default"/>
                <w:sz w:val="16"/>
                <w:szCs w:val="16"/>
              </w:rPr>
            </w:pPr>
            <w:r>
              <w:rPr>
                <w:rFonts w:ascii="Times New Roman"/>
                <w:spacing w:val="-1"/>
                <w:sz w:val="16"/>
              </w:rPr>
              <w:t>0.8762</w:t>
            </w:r>
          </w:p>
        </w:tc>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852,931.82</w:t>
            </w:r>
          </w:p>
        </w:tc>
      </w:tr>
      <w:tr>
        <w:trPr>
          <w:trHeight w:val="353" w:hRule="exact"/>
        </w:trPr>
        <w:tc>
          <w:tcPr>
            <w:tcW w:w="220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其他应收款</w:t>
            </w:r>
          </w:p>
        </w:tc>
        <w:tc>
          <w:tcPr>
            <w:tcW w:w="2462" w:type="dxa"/>
            <w:tcBorders>
              <w:top w:val="nil" w:sz="6" w:space="0" w:color="auto"/>
              <w:left w:val="nil" w:sz="6" w:space="0" w:color="auto"/>
              <w:bottom w:val="nil" w:sz="6" w:space="0" w:color="auto"/>
              <w:right w:val="nil" w:sz="6" w:space="0" w:color="auto"/>
            </w:tcBorders>
          </w:tcPr>
          <w:p>
            <w:pPr/>
          </w:p>
        </w:tc>
        <w:tc>
          <w:tcPr>
            <w:tcW w:w="1405" w:type="dxa"/>
            <w:tcBorders>
              <w:top w:val="nil" w:sz="6" w:space="0" w:color="auto"/>
              <w:left w:val="nil" w:sz="6" w:space="0" w:color="auto"/>
              <w:bottom w:val="nil" w:sz="6" w:space="0" w:color="auto"/>
              <w:right w:val="nil" w:sz="6" w:space="0" w:color="auto"/>
            </w:tcBorders>
          </w:tcPr>
          <w:p>
            <w:pPr/>
          </w:p>
        </w:tc>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3,189,835.53</w:t>
            </w:r>
          </w:p>
        </w:tc>
      </w:tr>
      <w:tr>
        <w:trPr>
          <w:trHeight w:val="353" w:hRule="exact"/>
        </w:trPr>
        <w:tc>
          <w:tcPr>
            <w:tcW w:w="220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其中：美元</w:t>
            </w:r>
          </w:p>
        </w:tc>
        <w:tc>
          <w:tcPr>
            <w:tcW w:w="246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41"/>
              <w:jc w:val="right"/>
              <w:rPr>
                <w:rFonts w:ascii="Times New Roman" w:hAnsi="Times New Roman" w:cs="Times New Roman" w:eastAsia="Times New Roman" w:hint="default"/>
                <w:sz w:val="16"/>
                <w:szCs w:val="16"/>
              </w:rPr>
            </w:pPr>
            <w:r>
              <w:rPr>
                <w:rFonts w:ascii="Times New Roman"/>
                <w:spacing w:val="-1"/>
                <w:sz w:val="16"/>
              </w:rPr>
              <w:t>416,665.23</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46"/>
              <w:jc w:val="right"/>
              <w:rPr>
                <w:rFonts w:ascii="Times New Roman" w:hAnsi="Times New Roman" w:cs="Times New Roman" w:eastAsia="Times New Roman" w:hint="default"/>
                <w:sz w:val="16"/>
                <w:szCs w:val="16"/>
              </w:rPr>
            </w:pPr>
            <w:r>
              <w:rPr>
                <w:rFonts w:ascii="Times New Roman"/>
                <w:spacing w:val="-1"/>
                <w:sz w:val="16"/>
              </w:rPr>
              <w:t>6.8632</w:t>
            </w:r>
          </w:p>
        </w:tc>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2,859,656.81</w:t>
            </w:r>
          </w:p>
        </w:tc>
      </w:tr>
      <w:tr>
        <w:trPr>
          <w:trHeight w:val="353" w:hRule="exact"/>
        </w:trPr>
        <w:tc>
          <w:tcPr>
            <w:tcW w:w="220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新台币</w:t>
            </w:r>
          </w:p>
        </w:tc>
        <w:tc>
          <w:tcPr>
            <w:tcW w:w="246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41"/>
              <w:jc w:val="right"/>
              <w:rPr>
                <w:rFonts w:ascii="Times New Roman" w:hAnsi="Times New Roman" w:cs="Times New Roman" w:eastAsia="Times New Roman" w:hint="default"/>
                <w:sz w:val="16"/>
                <w:szCs w:val="16"/>
              </w:rPr>
            </w:pPr>
            <w:r>
              <w:rPr>
                <w:rFonts w:ascii="Times New Roman"/>
                <w:spacing w:val="-1"/>
                <w:sz w:val="16"/>
              </w:rPr>
              <w:t>1,477,971.00</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46"/>
              <w:jc w:val="right"/>
              <w:rPr>
                <w:rFonts w:ascii="Times New Roman" w:hAnsi="Times New Roman" w:cs="Times New Roman" w:eastAsia="Times New Roman" w:hint="default"/>
                <w:sz w:val="16"/>
                <w:szCs w:val="16"/>
              </w:rPr>
            </w:pPr>
            <w:r>
              <w:rPr>
                <w:rFonts w:ascii="Times New Roman"/>
                <w:spacing w:val="-1"/>
                <w:sz w:val="16"/>
              </w:rPr>
              <w:t>0.2234</w:t>
            </w:r>
          </w:p>
        </w:tc>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330,178.72</w:t>
            </w:r>
          </w:p>
        </w:tc>
      </w:tr>
      <w:tr>
        <w:trPr>
          <w:trHeight w:val="353" w:hRule="exact"/>
        </w:trPr>
        <w:tc>
          <w:tcPr>
            <w:tcW w:w="220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应收利息</w:t>
            </w:r>
          </w:p>
        </w:tc>
        <w:tc>
          <w:tcPr>
            <w:tcW w:w="2462" w:type="dxa"/>
            <w:tcBorders>
              <w:top w:val="nil" w:sz="6" w:space="0" w:color="auto"/>
              <w:left w:val="nil" w:sz="6" w:space="0" w:color="auto"/>
              <w:bottom w:val="nil" w:sz="6" w:space="0" w:color="auto"/>
              <w:right w:val="nil" w:sz="6" w:space="0" w:color="auto"/>
            </w:tcBorders>
          </w:tcPr>
          <w:p>
            <w:pPr/>
          </w:p>
        </w:tc>
        <w:tc>
          <w:tcPr>
            <w:tcW w:w="1405" w:type="dxa"/>
            <w:tcBorders>
              <w:top w:val="nil" w:sz="6" w:space="0" w:color="auto"/>
              <w:left w:val="nil" w:sz="6" w:space="0" w:color="auto"/>
              <w:bottom w:val="nil" w:sz="6" w:space="0" w:color="auto"/>
              <w:right w:val="nil" w:sz="6" w:space="0" w:color="auto"/>
            </w:tcBorders>
          </w:tcPr>
          <w:p>
            <w:pPr/>
          </w:p>
        </w:tc>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677,799.76</w:t>
            </w:r>
          </w:p>
        </w:tc>
      </w:tr>
      <w:tr>
        <w:trPr>
          <w:trHeight w:val="353" w:hRule="exact"/>
        </w:trPr>
        <w:tc>
          <w:tcPr>
            <w:tcW w:w="220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其中：港元</w:t>
            </w:r>
          </w:p>
        </w:tc>
        <w:tc>
          <w:tcPr>
            <w:tcW w:w="246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41"/>
              <w:jc w:val="right"/>
              <w:rPr>
                <w:rFonts w:ascii="Times New Roman" w:hAnsi="Times New Roman" w:cs="Times New Roman" w:eastAsia="Times New Roman" w:hint="default"/>
                <w:sz w:val="16"/>
                <w:szCs w:val="16"/>
              </w:rPr>
            </w:pPr>
            <w:r>
              <w:rPr>
                <w:rFonts w:ascii="Times New Roman"/>
                <w:spacing w:val="-1"/>
                <w:sz w:val="16"/>
              </w:rPr>
              <w:t>773,567.40</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46"/>
              <w:jc w:val="right"/>
              <w:rPr>
                <w:rFonts w:ascii="Times New Roman" w:hAnsi="Times New Roman" w:cs="Times New Roman" w:eastAsia="Times New Roman" w:hint="default"/>
                <w:sz w:val="16"/>
                <w:szCs w:val="16"/>
              </w:rPr>
            </w:pPr>
            <w:r>
              <w:rPr>
                <w:rFonts w:ascii="Times New Roman"/>
                <w:spacing w:val="-1"/>
                <w:sz w:val="16"/>
              </w:rPr>
              <w:t>0.8762</w:t>
            </w:r>
          </w:p>
        </w:tc>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677,799.76</w:t>
            </w:r>
          </w:p>
        </w:tc>
      </w:tr>
      <w:tr>
        <w:trPr>
          <w:trHeight w:val="354" w:hRule="exact"/>
        </w:trPr>
        <w:tc>
          <w:tcPr>
            <w:tcW w:w="220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短期借款</w:t>
            </w:r>
          </w:p>
        </w:tc>
        <w:tc>
          <w:tcPr>
            <w:tcW w:w="2462" w:type="dxa"/>
            <w:tcBorders>
              <w:top w:val="nil" w:sz="6" w:space="0" w:color="auto"/>
              <w:left w:val="nil" w:sz="6" w:space="0" w:color="auto"/>
              <w:bottom w:val="nil" w:sz="6" w:space="0" w:color="auto"/>
              <w:right w:val="nil" w:sz="6" w:space="0" w:color="auto"/>
            </w:tcBorders>
          </w:tcPr>
          <w:p>
            <w:pPr/>
          </w:p>
        </w:tc>
        <w:tc>
          <w:tcPr>
            <w:tcW w:w="1405" w:type="dxa"/>
            <w:tcBorders>
              <w:top w:val="nil" w:sz="6" w:space="0" w:color="auto"/>
              <w:left w:val="nil" w:sz="6" w:space="0" w:color="auto"/>
              <w:bottom w:val="nil" w:sz="6" w:space="0" w:color="auto"/>
              <w:right w:val="nil" w:sz="6" w:space="0" w:color="auto"/>
            </w:tcBorders>
          </w:tcPr>
          <w:p>
            <w:pPr/>
          </w:p>
        </w:tc>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57,408,678.95</w:t>
            </w:r>
          </w:p>
        </w:tc>
      </w:tr>
      <w:tr>
        <w:trPr>
          <w:trHeight w:val="353" w:hRule="exact"/>
        </w:trPr>
        <w:tc>
          <w:tcPr>
            <w:tcW w:w="220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其中：港元</w:t>
            </w:r>
          </w:p>
        </w:tc>
        <w:tc>
          <w:tcPr>
            <w:tcW w:w="246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41"/>
              <w:jc w:val="right"/>
              <w:rPr>
                <w:rFonts w:ascii="Times New Roman" w:hAnsi="Times New Roman" w:cs="Times New Roman" w:eastAsia="Times New Roman" w:hint="default"/>
                <w:sz w:val="16"/>
                <w:szCs w:val="16"/>
              </w:rPr>
            </w:pPr>
            <w:r>
              <w:rPr>
                <w:rFonts w:ascii="Times New Roman"/>
                <w:spacing w:val="-1"/>
                <w:sz w:val="16"/>
              </w:rPr>
              <w:t>65,520,062.71</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46"/>
              <w:jc w:val="right"/>
              <w:rPr>
                <w:rFonts w:ascii="Times New Roman" w:hAnsi="Times New Roman" w:cs="Times New Roman" w:eastAsia="Times New Roman" w:hint="default"/>
                <w:sz w:val="16"/>
                <w:szCs w:val="16"/>
              </w:rPr>
            </w:pPr>
            <w:r>
              <w:rPr>
                <w:rFonts w:ascii="Times New Roman"/>
                <w:spacing w:val="-1"/>
                <w:sz w:val="16"/>
              </w:rPr>
              <w:t>0.8762</w:t>
            </w:r>
          </w:p>
        </w:tc>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57,408,678.95</w:t>
            </w:r>
          </w:p>
        </w:tc>
      </w:tr>
      <w:tr>
        <w:trPr>
          <w:trHeight w:val="353" w:hRule="exact"/>
        </w:trPr>
        <w:tc>
          <w:tcPr>
            <w:tcW w:w="220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应付票据</w:t>
            </w:r>
          </w:p>
        </w:tc>
        <w:tc>
          <w:tcPr>
            <w:tcW w:w="2462" w:type="dxa"/>
            <w:tcBorders>
              <w:top w:val="nil" w:sz="6" w:space="0" w:color="auto"/>
              <w:left w:val="nil" w:sz="6" w:space="0" w:color="auto"/>
              <w:bottom w:val="nil" w:sz="6" w:space="0" w:color="auto"/>
              <w:right w:val="nil" w:sz="6" w:space="0" w:color="auto"/>
            </w:tcBorders>
          </w:tcPr>
          <w:p>
            <w:pPr/>
          </w:p>
        </w:tc>
        <w:tc>
          <w:tcPr>
            <w:tcW w:w="1405" w:type="dxa"/>
            <w:tcBorders>
              <w:top w:val="nil" w:sz="6" w:space="0" w:color="auto"/>
              <w:left w:val="nil" w:sz="6" w:space="0" w:color="auto"/>
              <w:bottom w:val="nil" w:sz="6" w:space="0" w:color="auto"/>
              <w:right w:val="nil" w:sz="6" w:space="0" w:color="auto"/>
            </w:tcBorders>
          </w:tcPr>
          <w:p>
            <w:pPr/>
          </w:p>
        </w:tc>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w w:val="95"/>
                <w:sz w:val="16"/>
              </w:rPr>
              <w:t>106,115.00</w:t>
            </w:r>
            <w:r>
              <w:rPr>
                <w:rFonts w:ascii="Times New Roman"/>
                <w:spacing w:val="-1"/>
                <w:sz w:val="16"/>
              </w:rPr>
            </w:r>
          </w:p>
        </w:tc>
      </w:tr>
      <w:tr>
        <w:trPr>
          <w:trHeight w:val="353" w:hRule="exact"/>
        </w:trPr>
        <w:tc>
          <w:tcPr>
            <w:tcW w:w="220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其中：新台币</w:t>
            </w:r>
          </w:p>
        </w:tc>
        <w:tc>
          <w:tcPr>
            <w:tcW w:w="246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41"/>
              <w:jc w:val="right"/>
              <w:rPr>
                <w:rFonts w:ascii="Times New Roman" w:hAnsi="Times New Roman" w:cs="Times New Roman" w:eastAsia="Times New Roman" w:hint="default"/>
                <w:sz w:val="16"/>
                <w:szCs w:val="16"/>
              </w:rPr>
            </w:pPr>
            <w:r>
              <w:rPr>
                <w:rFonts w:ascii="Times New Roman"/>
                <w:spacing w:val="-1"/>
                <w:sz w:val="16"/>
              </w:rPr>
              <w:t>475,000.00</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46"/>
              <w:jc w:val="right"/>
              <w:rPr>
                <w:rFonts w:ascii="Times New Roman" w:hAnsi="Times New Roman" w:cs="Times New Roman" w:eastAsia="Times New Roman" w:hint="default"/>
                <w:sz w:val="16"/>
                <w:szCs w:val="16"/>
              </w:rPr>
            </w:pPr>
            <w:r>
              <w:rPr>
                <w:rFonts w:ascii="Times New Roman"/>
                <w:spacing w:val="-1"/>
                <w:sz w:val="16"/>
              </w:rPr>
              <w:t>0.2234</w:t>
            </w:r>
          </w:p>
        </w:tc>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w w:val="95"/>
                <w:sz w:val="16"/>
              </w:rPr>
              <w:t>106,115.00</w:t>
            </w:r>
            <w:r>
              <w:rPr>
                <w:rFonts w:ascii="Times New Roman"/>
                <w:spacing w:val="-1"/>
                <w:sz w:val="16"/>
              </w:rPr>
            </w:r>
          </w:p>
        </w:tc>
      </w:tr>
      <w:tr>
        <w:trPr>
          <w:trHeight w:val="353" w:hRule="exact"/>
        </w:trPr>
        <w:tc>
          <w:tcPr>
            <w:tcW w:w="220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应付账款</w:t>
            </w:r>
          </w:p>
        </w:tc>
        <w:tc>
          <w:tcPr>
            <w:tcW w:w="2462" w:type="dxa"/>
            <w:tcBorders>
              <w:top w:val="nil" w:sz="6" w:space="0" w:color="auto"/>
              <w:left w:val="nil" w:sz="6" w:space="0" w:color="auto"/>
              <w:bottom w:val="nil" w:sz="6" w:space="0" w:color="auto"/>
              <w:right w:val="nil" w:sz="6" w:space="0" w:color="auto"/>
            </w:tcBorders>
          </w:tcPr>
          <w:p>
            <w:pPr/>
          </w:p>
        </w:tc>
        <w:tc>
          <w:tcPr>
            <w:tcW w:w="1405" w:type="dxa"/>
            <w:tcBorders>
              <w:top w:val="nil" w:sz="6" w:space="0" w:color="auto"/>
              <w:left w:val="nil" w:sz="6" w:space="0" w:color="auto"/>
              <w:bottom w:val="nil" w:sz="6" w:space="0" w:color="auto"/>
              <w:right w:val="nil" w:sz="6" w:space="0" w:color="auto"/>
            </w:tcBorders>
          </w:tcPr>
          <w:p>
            <w:pPr/>
          </w:p>
        </w:tc>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477,115,076.74</w:t>
            </w:r>
          </w:p>
        </w:tc>
      </w:tr>
      <w:tr>
        <w:trPr>
          <w:trHeight w:val="353" w:hRule="exact"/>
        </w:trPr>
        <w:tc>
          <w:tcPr>
            <w:tcW w:w="220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其中：美元</w:t>
            </w:r>
          </w:p>
        </w:tc>
        <w:tc>
          <w:tcPr>
            <w:tcW w:w="246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41"/>
              <w:jc w:val="right"/>
              <w:rPr>
                <w:rFonts w:ascii="Times New Roman" w:hAnsi="Times New Roman" w:cs="Times New Roman" w:eastAsia="Times New Roman" w:hint="default"/>
                <w:sz w:val="16"/>
                <w:szCs w:val="16"/>
              </w:rPr>
            </w:pPr>
            <w:r>
              <w:rPr>
                <w:rFonts w:ascii="Times New Roman"/>
                <w:spacing w:val="-1"/>
                <w:sz w:val="16"/>
              </w:rPr>
              <w:t>23,653,856.51</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46"/>
              <w:jc w:val="right"/>
              <w:rPr>
                <w:rFonts w:ascii="Times New Roman" w:hAnsi="Times New Roman" w:cs="Times New Roman" w:eastAsia="Times New Roman" w:hint="default"/>
                <w:sz w:val="16"/>
                <w:szCs w:val="16"/>
              </w:rPr>
            </w:pPr>
            <w:r>
              <w:rPr>
                <w:rFonts w:ascii="Times New Roman"/>
                <w:spacing w:val="-1"/>
                <w:sz w:val="16"/>
              </w:rPr>
              <w:t>6.8632</w:t>
            </w:r>
          </w:p>
        </w:tc>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162,341,148.00</w:t>
            </w:r>
          </w:p>
        </w:tc>
      </w:tr>
      <w:tr>
        <w:trPr>
          <w:trHeight w:val="353" w:hRule="exact"/>
        </w:trPr>
        <w:tc>
          <w:tcPr>
            <w:tcW w:w="220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港元</w:t>
            </w:r>
          </w:p>
        </w:tc>
        <w:tc>
          <w:tcPr>
            <w:tcW w:w="246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42"/>
              <w:jc w:val="right"/>
              <w:rPr>
                <w:rFonts w:ascii="Times New Roman" w:hAnsi="Times New Roman" w:cs="Times New Roman" w:eastAsia="Times New Roman" w:hint="default"/>
                <w:sz w:val="16"/>
                <w:szCs w:val="16"/>
              </w:rPr>
            </w:pPr>
            <w:r>
              <w:rPr>
                <w:rFonts w:ascii="Times New Roman"/>
                <w:spacing w:val="-1"/>
                <w:sz w:val="16"/>
              </w:rPr>
              <w:t>343,539,720.93</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46"/>
              <w:jc w:val="right"/>
              <w:rPr>
                <w:rFonts w:ascii="Times New Roman" w:hAnsi="Times New Roman" w:cs="Times New Roman" w:eastAsia="Times New Roman" w:hint="default"/>
                <w:sz w:val="16"/>
                <w:szCs w:val="16"/>
              </w:rPr>
            </w:pPr>
            <w:r>
              <w:rPr>
                <w:rFonts w:ascii="Times New Roman"/>
                <w:spacing w:val="-1"/>
                <w:sz w:val="16"/>
              </w:rPr>
              <w:t>0.8762</w:t>
            </w:r>
          </w:p>
        </w:tc>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301,009,503.48</w:t>
            </w:r>
          </w:p>
        </w:tc>
      </w:tr>
      <w:tr>
        <w:trPr>
          <w:trHeight w:val="354" w:hRule="exact"/>
        </w:trPr>
        <w:tc>
          <w:tcPr>
            <w:tcW w:w="220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欧元</w:t>
            </w:r>
          </w:p>
        </w:tc>
        <w:tc>
          <w:tcPr>
            <w:tcW w:w="246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41"/>
              <w:jc w:val="right"/>
              <w:rPr>
                <w:rFonts w:ascii="Times New Roman" w:hAnsi="Times New Roman" w:cs="Times New Roman" w:eastAsia="Times New Roman" w:hint="default"/>
                <w:sz w:val="16"/>
                <w:szCs w:val="16"/>
              </w:rPr>
            </w:pPr>
            <w:r>
              <w:rPr>
                <w:rFonts w:ascii="Times New Roman"/>
                <w:spacing w:val="-1"/>
                <w:sz w:val="16"/>
              </w:rPr>
              <w:t>1,988.02</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46"/>
              <w:jc w:val="right"/>
              <w:rPr>
                <w:rFonts w:ascii="Times New Roman" w:hAnsi="Times New Roman" w:cs="Times New Roman" w:eastAsia="Times New Roman" w:hint="default"/>
                <w:sz w:val="16"/>
                <w:szCs w:val="16"/>
              </w:rPr>
            </w:pPr>
            <w:r>
              <w:rPr>
                <w:rFonts w:ascii="Times New Roman"/>
                <w:spacing w:val="-1"/>
                <w:sz w:val="16"/>
              </w:rPr>
              <w:t>7.8473</w:t>
            </w:r>
          </w:p>
        </w:tc>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15,600.59</w:t>
            </w:r>
          </w:p>
        </w:tc>
      </w:tr>
      <w:tr>
        <w:trPr>
          <w:trHeight w:val="353" w:hRule="exact"/>
        </w:trPr>
        <w:tc>
          <w:tcPr>
            <w:tcW w:w="220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澳门元</w:t>
            </w:r>
          </w:p>
        </w:tc>
        <w:tc>
          <w:tcPr>
            <w:tcW w:w="246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41"/>
              <w:jc w:val="right"/>
              <w:rPr>
                <w:rFonts w:ascii="Times New Roman" w:hAnsi="Times New Roman" w:cs="Times New Roman" w:eastAsia="Times New Roman" w:hint="default"/>
                <w:sz w:val="16"/>
                <w:szCs w:val="16"/>
              </w:rPr>
            </w:pPr>
            <w:r>
              <w:rPr>
                <w:rFonts w:ascii="Times New Roman"/>
                <w:spacing w:val="-1"/>
                <w:sz w:val="16"/>
              </w:rPr>
              <w:t>16,042,200.30</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46"/>
              <w:jc w:val="right"/>
              <w:rPr>
                <w:rFonts w:ascii="Times New Roman" w:hAnsi="Times New Roman" w:cs="Times New Roman" w:eastAsia="Times New Roman" w:hint="default"/>
                <w:sz w:val="16"/>
                <w:szCs w:val="16"/>
              </w:rPr>
            </w:pPr>
            <w:r>
              <w:rPr>
                <w:rFonts w:ascii="Times New Roman"/>
                <w:spacing w:val="-1"/>
                <w:sz w:val="16"/>
              </w:rPr>
              <w:t>0.8542</w:t>
            </w:r>
          </w:p>
        </w:tc>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13,703,247.50</w:t>
            </w:r>
          </w:p>
        </w:tc>
      </w:tr>
      <w:tr>
        <w:trPr>
          <w:trHeight w:val="353" w:hRule="exact"/>
        </w:trPr>
        <w:tc>
          <w:tcPr>
            <w:tcW w:w="220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新台币</w:t>
            </w:r>
          </w:p>
        </w:tc>
        <w:tc>
          <w:tcPr>
            <w:tcW w:w="246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41"/>
              <w:jc w:val="right"/>
              <w:rPr>
                <w:rFonts w:ascii="Times New Roman" w:hAnsi="Times New Roman" w:cs="Times New Roman" w:eastAsia="Times New Roman" w:hint="default"/>
                <w:sz w:val="16"/>
                <w:szCs w:val="16"/>
              </w:rPr>
            </w:pPr>
            <w:r>
              <w:rPr>
                <w:rFonts w:ascii="Times New Roman"/>
                <w:spacing w:val="-1"/>
                <w:sz w:val="16"/>
              </w:rPr>
              <w:t>204,016.00</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46"/>
              <w:jc w:val="right"/>
              <w:rPr>
                <w:rFonts w:ascii="Times New Roman" w:hAnsi="Times New Roman" w:cs="Times New Roman" w:eastAsia="Times New Roman" w:hint="default"/>
                <w:sz w:val="16"/>
                <w:szCs w:val="16"/>
              </w:rPr>
            </w:pPr>
            <w:r>
              <w:rPr>
                <w:rFonts w:ascii="Times New Roman"/>
                <w:spacing w:val="-1"/>
                <w:sz w:val="16"/>
              </w:rPr>
              <w:t>0.2234</w:t>
            </w:r>
          </w:p>
        </w:tc>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45,577.17</w:t>
            </w:r>
          </w:p>
        </w:tc>
      </w:tr>
      <w:tr>
        <w:trPr>
          <w:trHeight w:val="353" w:hRule="exact"/>
        </w:trPr>
        <w:tc>
          <w:tcPr>
            <w:tcW w:w="220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其他应付款</w:t>
            </w:r>
          </w:p>
        </w:tc>
        <w:tc>
          <w:tcPr>
            <w:tcW w:w="2462" w:type="dxa"/>
            <w:tcBorders>
              <w:top w:val="nil" w:sz="6" w:space="0" w:color="auto"/>
              <w:left w:val="nil" w:sz="6" w:space="0" w:color="auto"/>
              <w:bottom w:val="nil" w:sz="6" w:space="0" w:color="auto"/>
              <w:right w:val="nil" w:sz="6" w:space="0" w:color="auto"/>
            </w:tcBorders>
          </w:tcPr>
          <w:p>
            <w:pPr/>
          </w:p>
        </w:tc>
        <w:tc>
          <w:tcPr>
            <w:tcW w:w="1405" w:type="dxa"/>
            <w:tcBorders>
              <w:top w:val="nil" w:sz="6" w:space="0" w:color="auto"/>
              <w:left w:val="nil" w:sz="6" w:space="0" w:color="auto"/>
              <w:bottom w:val="nil" w:sz="6" w:space="0" w:color="auto"/>
              <w:right w:val="nil" w:sz="6" w:space="0" w:color="auto"/>
            </w:tcBorders>
          </w:tcPr>
          <w:p>
            <w:pPr/>
          </w:p>
        </w:tc>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3,025,655.03</w:t>
            </w:r>
          </w:p>
        </w:tc>
      </w:tr>
      <w:tr>
        <w:trPr>
          <w:trHeight w:val="353" w:hRule="exact"/>
        </w:trPr>
        <w:tc>
          <w:tcPr>
            <w:tcW w:w="220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其中：美元</w:t>
            </w:r>
          </w:p>
        </w:tc>
        <w:tc>
          <w:tcPr>
            <w:tcW w:w="246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41"/>
              <w:jc w:val="right"/>
              <w:rPr>
                <w:rFonts w:ascii="Times New Roman" w:hAnsi="Times New Roman" w:cs="Times New Roman" w:eastAsia="Times New Roman" w:hint="default"/>
                <w:sz w:val="16"/>
                <w:szCs w:val="16"/>
              </w:rPr>
            </w:pPr>
            <w:r>
              <w:rPr>
                <w:rFonts w:ascii="Times New Roman"/>
                <w:spacing w:val="-1"/>
                <w:sz w:val="16"/>
              </w:rPr>
              <w:t>440,851.94</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46"/>
              <w:jc w:val="right"/>
              <w:rPr>
                <w:rFonts w:ascii="Times New Roman" w:hAnsi="Times New Roman" w:cs="Times New Roman" w:eastAsia="Times New Roman" w:hint="default"/>
                <w:sz w:val="16"/>
                <w:szCs w:val="16"/>
              </w:rPr>
            </w:pPr>
            <w:r>
              <w:rPr>
                <w:rFonts w:ascii="Times New Roman"/>
                <w:spacing w:val="-1"/>
                <w:sz w:val="16"/>
              </w:rPr>
              <w:t>6.8632</w:t>
            </w:r>
          </w:p>
        </w:tc>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3,025,655.03</w:t>
            </w:r>
          </w:p>
        </w:tc>
      </w:tr>
      <w:tr>
        <w:trPr>
          <w:trHeight w:val="354" w:hRule="exact"/>
        </w:trPr>
        <w:tc>
          <w:tcPr>
            <w:tcW w:w="220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应付利息</w:t>
            </w:r>
          </w:p>
        </w:tc>
        <w:tc>
          <w:tcPr>
            <w:tcW w:w="2462" w:type="dxa"/>
            <w:tcBorders>
              <w:top w:val="nil" w:sz="6" w:space="0" w:color="auto"/>
              <w:left w:val="nil" w:sz="6" w:space="0" w:color="auto"/>
              <w:bottom w:val="nil" w:sz="6" w:space="0" w:color="auto"/>
              <w:right w:val="nil" w:sz="6" w:space="0" w:color="auto"/>
            </w:tcBorders>
          </w:tcPr>
          <w:p>
            <w:pPr/>
          </w:p>
        </w:tc>
        <w:tc>
          <w:tcPr>
            <w:tcW w:w="1405" w:type="dxa"/>
            <w:tcBorders>
              <w:top w:val="nil" w:sz="6" w:space="0" w:color="auto"/>
              <w:left w:val="nil" w:sz="6" w:space="0" w:color="auto"/>
              <w:bottom w:val="nil" w:sz="6" w:space="0" w:color="auto"/>
              <w:right w:val="nil" w:sz="6" w:space="0" w:color="auto"/>
            </w:tcBorders>
          </w:tcPr>
          <w:p>
            <w:pPr/>
          </w:p>
        </w:tc>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3,442.81</w:t>
            </w:r>
          </w:p>
        </w:tc>
      </w:tr>
      <w:tr>
        <w:trPr>
          <w:trHeight w:val="357" w:hRule="exact"/>
        </w:trPr>
        <w:tc>
          <w:tcPr>
            <w:tcW w:w="220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其中：港元</w:t>
            </w:r>
          </w:p>
        </w:tc>
        <w:tc>
          <w:tcPr>
            <w:tcW w:w="246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41"/>
              <w:jc w:val="right"/>
              <w:rPr>
                <w:rFonts w:ascii="Times New Roman" w:hAnsi="Times New Roman" w:cs="Times New Roman" w:eastAsia="Times New Roman" w:hint="default"/>
                <w:sz w:val="16"/>
                <w:szCs w:val="16"/>
              </w:rPr>
            </w:pPr>
            <w:r>
              <w:rPr>
                <w:rFonts w:ascii="Times New Roman"/>
                <w:spacing w:val="-1"/>
                <w:sz w:val="16"/>
              </w:rPr>
              <w:t>3,929.25</w:t>
            </w:r>
          </w:p>
        </w:tc>
        <w:tc>
          <w:tcPr>
            <w:tcW w:w="140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46"/>
              <w:jc w:val="right"/>
              <w:rPr>
                <w:rFonts w:ascii="Times New Roman" w:hAnsi="Times New Roman" w:cs="Times New Roman" w:eastAsia="Times New Roman" w:hint="default"/>
                <w:sz w:val="16"/>
                <w:szCs w:val="16"/>
              </w:rPr>
            </w:pPr>
            <w:r>
              <w:rPr>
                <w:rFonts w:ascii="Times New Roman"/>
                <w:spacing w:val="-1"/>
                <w:sz w:val="16"/>
              </w:rPr>
              <w:t>0.8762</w:t>
            </w:r>
          </w:p>
        </w:tc>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3,442.81</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26"/>
          <w:szCs w:val="26"/>
        </w:rPr>
      </w:pPr>
    </w:p>
    <w:p>
      <w:pPr>
        <w:tabs>
          <w:tab w:pos="1397" w:val="left" w:leader="none"/>
        </w:tabs>
        <w:spacing w:line="328" w:lineRule="auto" w:before="35"/>
        <w:ind w:left="1413" w:right="1793" w:hanging="567"/>
        <w:jc w:val="left"/>
        <w:rPr>
          <w:rFonts w:ascii="宋体" w:hAnsi="宋体" w:cs="宋体" w:eastAsia="宋体" w:hint="default"/>
          <w:sz w:val="21"/>
          <w:szCs w:val="21"/>
        </w:rPr>
      </w:pPr>
      <w:r>
        <w:rPr/>
        <w:pict>
          <v:group style="position:absolute;margin-left:119.010002pt;margin-top:-646.406494pt;width:411.6pt;height:603.5pt;mso-position-horizontal-relative:page;mso-position-vertical-relative:paragraph;z-index:-1374544" coordorigin="2380,-12928" coordsize="8232,12070">
            <v:group style="position:absolute;left:2410;top:-12913;width:2514;height:2" coordorigin="2410,-12913" coordsize="2514,2">
              <v:shape style="position:absolute;left:2410;top:-12913;width:2514;height:2" coordorigin="2410,-12913" coordsize="2514,0" path="m2410,-12913l4924,-12913e" filled="false" stroked="true" strokeweight="1.5pt" strokecolor="#000000">
                <v:path arrowok="t"/>
              </v:shape>
              <v:shape style="position:absolute;left:4924;top:-12898;width:10;height:28" type="#_x0000_t75" stroked="false">
                <v:imagedata r:id="rId37" o:title=""/>
              </v:shape>
            </v:group>
            <v:group style="position:absolute;left:4924;top:-12913;width:2046;height:2" coordorigin="4924,-12913" coordsize="2046,2">
              <v:shape style="position:absolute;left:4924;top:-12913;width:2046;height:2" coordorigin="4924,-12913" coordsize="2046,0" path="m4924,-12913l6970,-12913e" filled="false" stroked="true" strokeweight="1.5pt" strokecolor="#000000">
                <v:path arrowok="t"/>
              </v:shape>
              <v:shape style="position:absolute;left:6970;top:-12898;width:10;height:28" type="#_x0000_t75" stroked="false">
                <v:imagedata r:id="rId37" o:title=""/>
              </v:shape>
            </v:group>
            <v:group style="position:absolute;left:6970;top:-12913;width:1401;height:2" coordorigin="6970,-12913" coordsize="1401,2">
              <v:shape style="position:absolute;left:6970;top:-12913;width:1401;height:2" coordorigin="6970,-12913" coordsize="1401,0" path="m6970,-12913l8370,-12913e" filled="false" stroked="true" strokeweight="1.5pt" strokecolor="#000000">
                <v:path arrowok="t"/>
              </v:shape>
              <v:shape style="position:absolute;left:8370;top:-12898;width:10;height:28" type="#_x0000_t75" stroked="false">
                <v:imagedata r:id="rId37" o:title=""/>
              </v:shape>
            </v:group>
            <v:group style="position:absolute;left:8370;top:-12913;width:2228;height:2" coordorigin="8370,-12913" coordsize="2228,2">
              <v:shape style="position:absolute;left:8370;top:-12913;width:2228;height:2" coordorigin="8370,-12913" coordsize="2228,0" path="m8370,-12913l10597,-12913e" filled="false" stroked="true" strokeweight="1.5pt" strokecolor="#000000">
                <v:path arrowok="t"/>
              </v:shape>
              <v:shape style="position:absolute;left:4904;top:-12890;width:3494;height:355" type="#_x0000_t75" stroked="false">
                <v:imagedata r:id="rId362" o:title=""/>
              </v:shape>
            </v:group>
            <v:group style="position:absolute;left:2395;top:-874;width:2529;height:2" coordorigin="2395,-874" coordsize="2529,2">
              <v:shape style="position:absolute;left:2395;top:-874;width:2529;height:2" coordorigin="2395,-874" coordsize="2529,0" path="m2395,-874l4924,-874e" filled="false" stroked="true" strokeweight="1.5pt" strokecolor="#000000">
                <v:path arrowok="t"/>
              </v:shape>
            </v:group>
            <v:group style="position:absolute;left:4924;top:-874;width:2046;height:2" coordorigin="4924,-874" coordsize="2046,2">
              <v:shape style="position:absolute;left:4924;top:-874;width:2046;height:2" coordorigin="4924,-874" coordsize="2046,0" path="m4924,-874l6970,-874e" filled="false" stroked="true" strokeweight="1.5pt" strokecolor="#000000">
                <v:path arrowok="t"/>
              </v:shape>
            </v:group>
            <v:group style="position:absolute;left:6970;top:-874;width:1401;height:2" coordorigin="6970,-874" coordsize="1401,2">
              <v:shape style="position:absolute;left:6970;top:-874;width:1401;height:2" coordorigin="6970,-874" coordsize="1401,0" path="m6970,-874l8370,-874e" filled="false" stroked="true" strokeweight="1.5pt" strokecolor="#000000">
                <v:path arrowok="t"/>
              </v:shape>
              <v:shape style="position:absolute;left:2397;top:-12567;width:8213;height:11678" type="#_x0000_t75" stroked="false">
                <v:imagedata r:id="rId363" o:title=""/>
              </v:shape>
            </v:group>
            <v:group style="position:absolute;left:8370;top:-874;width:2228;height:2" coordorigin="8370,-874" coordsize="2228,2">
              <v:shape style="position:absolute;left:8370;top:-874;width:2228;height:2" coordorigin="8370,-874" coordsize="2228,0" path="m8370,-874l10597,-874e" filled="false" stroked="true" strokeweight="1.5pt" strokecolor="#000000">
                <v:path arrowok="t"/>
              </v:shape>
            </v:group>
            <w10:wrap type="none"/>
          </v:group>
        </w:pict>
      </w: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境外经营实体说明</w:t>
      </w:r>
      <w:r>
        <w:rPr>
          <w:rFonts w:ascii="宋体" w:hAnsi="宋体" w:cs="宋体" w:eastAsia="宋体" w:hint="default"/>
          <w:b/>
          <w:bCs/>
          <w:spacing w:val="1"/>
          <w:w w:val="99"/>
          <w:sz w:val="21"/>
          <w:szCs w:val="21"/>
        </w:rPr>
        <w:t> </w:t>
      </w:r>
      <w:r>
        <w:rPr>
          <w:rFonts w:ascii="宋体" w:hAnsi="宋体" w:cs="宋体" w:eastAsia="宋体" w:hint="default"/>
          <w:spacing w:val="-4"/>
          <w:sz w:val="21"/>
          <w:szCs w:val="21"/>
        </w:rPr>
        <w:t>本公司之子公司中国长城计算机（香港）控股有限公司、柏怡国际控股有限公</w:t>
      </w:r>
    </w:p>
    <w:p>
      <w:pPr>
        <w:spacing w:after="0" w:line="328" w:lineRule="auto"/>
        <w:jc w:val="left"/>
        <w:rPr>
          <w:rFonts w:ascii="宋体" w:hAnsi="宋体" w:cs="宋体" w:eastAsia="宋体" w:hint="default"/>
          <w:sz w:val="21"/>
          <w:szCs w:val="21"/>
        </w:rPr>
        <w:sectPr>
          <w:pgSz w:w="11910" w:h="16840"/>
          <w:pgMar w:header="0" w:footer="1001" w:top="1520" w:bottom="1200" w:left="1660" w:right="0"/>
        </w:sect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2pt;height:.5pt;mso-position-horizontal-relative:char;mso-position-vertical-relative:line" coordorigin="0,0" coordsize="8384,10">
            <v:group style="position:absolute;left:5;top:5;width:8374;height:2" coordorigin="5,5" coordsize="8374,2">
              <v:shape style="position:absolute;left:5;top:5;width:8374;height:2" coordorigin="5,5" coordsize="8374,0" path="m5,5l8378,5e" filled="false" stroked="true" strokeweight=".47998pt" strokecolor="#000000">
                <v:path arrowok="t"/>
              </v:shape>
            </v:group>
          </v:group>
        </w:pict>
      </w:r>
      <w:r>
        <w:rPr>
          <w:rFonts w:ascii="宋体" w:hAnsi="宋体" w:cs="宋体" w:eastAsia="宋体" w:hint="default"/>
          <w:sz w:val="2"/>
          <w:szCs w:val="2"/>
        </w:rPr>
      </w:r>
    </w:p>
    <w:p>
      <w:pPr>
        <w:spacing w:line="240" w:lineRule="auto" w:before="10"/>
        <w:rPr>
          <w:rFonts w:ascii="宋体" w:hAnsi="宋体" w:cs="宋体" w:eastAsia="宋体" w:hint="default"/>
          <w:sz w:val="12"/>
          <w:szCs w:val="12"/>
        </w:rPr>
      </w:pPr>
    </w:p>
    <w:p>
      <w:pPr>
        <w:pStyle w:val="BodyText"/>
        <w:spacing w:line="340" w:lineRule="auto" w:before="35"/>
        <w:ind w:right="1792"/>
        <w:jc w:val="both"/>
      </w:pPr>
      <w:r>
        <w:rPr>
          <w:spacing w:val="-4"/>
        </w:rPr>
        <w:t>司根据其经营所处的主要经济环境以港币作为记账本位币，本公司之三级子公</w:t>
      </w:r>
      <w:r>
        <w:rPr>
          <w:spacing w:val="-73"/>
        </w:rPr>
        <w:t> </w:t>
      </w:r>
      <w:r>
        <w:rPr>
          <w:spacing w:val="-73"/>
        </w:rPr>
      </w:r>
      <w:r>
        <w:rPr/>
        <w:t>司</w:t>
      </w:r>
      <w:r>
        <w:rPr>
          <w:spacing w:val="-54"/>
        </w:rPr>
        <w:t> </w:t>
      </w:r>
      <w:r>
        <w:rPr>
          <w:rFonts w:ascii="Times New Roman" w:hAnsi="Times New Roman" w:cs="Times New Roman" w:eastAsia="Times New Roman" w:hint="default"/>
        </w:rPr>
        <w:t>Perfect</w:t>
      </w:r>
      <w:r>
        <w:rPr>
          <w:rFonts w:ascii="Times New Roman" w:hAnsi="Times New Roman" w:cs="Times New Roman" w:eastAsia="Times New Roman" w:hint="default"/>
          <w:spacing w:val="-1"/>
        </w:rPr>
        <w:t> </w:t>
      </w:r>
      <w:r>
        <w:rPr>
          <w:rFonts w:ascii="Times New Roman" w:hAnsi="Times New Roman" w:cs="Times New Roman" w:eastAsia="Times New Roman" w:hint="default"/>
        </w:rPr>
        <w:t>Galaxy</w:t>
      </w:r>
      <w:r>
        <w:rPr>
          <w:rFonts w:ascii="Times New Roman" w:hAnsi="Times New Roman" w:cs="Times New Roman" w:eastAsia="Times New Roman" w:hint="default"/>
          <w:spacing w:val="-1"/>
        </w:rPr>
        <w:t> </w:t>
      </w:r>
      <w:r>
        <w:rPr>
          <w:rFonts w:ascii="Times New Roman" w:hAnsi="Times New Roman" w:cs="Times New Roman" w:eastAsia="Times New Roman" w:hint="default"/>
        </w:rPr>
        <w:t>International</w:t>
      </w:r>
      <w:r>
        <w:rPr>
          <w:rFonts w:ascii="Times New Roman" w:hAnsi="Times New Roman" w:cs="Times New Roman" w:eastAsia="Times New Roman" w:hint="default"/>
          <w:spacing w:val="-2"/>
        </w:rPr>
        <w:t> </w:t>
      </w:r>
      <w:r>
        <w:rPr>
          <w:rFonts w:ascii="Times New Roman" w:hAnsi="Times New Roman" w:cs="Times New Roman" w:eastAsia="Times New Roman" w:hint="default"/>
        </w:rPr>
        <w:t>Ltd</w:t>
      </w:r>
      <w:r>
        <w:rPr>
          <w:rFonts w:ascii="Times New Roman" w:hAnsi="Times New Roman" w:cs="Times New Roman" w:eastAsia="Times New Roman" w:hint="default"/>
          <w:spacing w:val="-2"/>
        </w:rPr>
        <w:t> </w:t>
      </w:r>
      <w:r>
        <w:rPr/>
        <w:t>根据其经营所处的主要经济环境以美元作为 记账本位币。</w:t>
      </w:r>
    </w:p>
    <w:p>
      <w:pPr>
        <w:spacing w:after="0" w:line="340" w:lineRule="auto"/>
        <w:jc w:val="both"/>
        <w:sectPr>
          <w:headerReference w:type="default" r:id="rId364"/>
          <w:pgSz w:w="11910" w:h="16840"/>
          <w:pgMar w:header="1302" w:footer="1001" w:top="1520" w:bottom="1200" w:left="1660" w:right="0"/>
        </w:sectPr>
      </w:pPr>
    </w:p>
    <w:p>
      <w:pPr>
        <w:spacing w:line="240" w:lineRule="auto" w:before="5"/>
        <w:rPr>
          <w:rFonts w:ascii="宋体" w:hAnsi="宋体" w:cs="宋体" w:eastAsia="宋体" w:hint="default"/>
          <w:sz w:val="18"/>
          <w:szCs w:val="18"/>
        </w:rPr>
      </w:pPr>
    </w:p>
    <w:p>
      <w:pPr>
        <w:spacing w:before="44"/>
        <w:ind w:left="139" w:right="9623" w:firstLine="0"/>
        <w:jc w:val="left"/>
        <w:rPr>
          <w:rFonts w:ascii="宋体" w:hAnsi="宋体" w:cs="宋体" w:eastAsia="宋体" w:hint="default"/>
          <w:sz w:val="18"/>
          <w:szCs w:val="18"/>
        </w:rPr>
      </w:pPr>
      <w:r>
        <w:rPr>
          <w:rFonts w:ascii="宋体" w:hAnsi="宋体" w:cs="宋体" w:eastAsia="宋体" w:hint="default"/>
          <w:sz w:val="18"/>
          <w:szCs w:val="18"/>
        </w:rPr>
        <w:t>财务报表附注</w:t>
      </w:r>
    </w:p>
    <w:p>
      <w:pPr>
        <w:spacing w:line="240" w:lineRule="auto" w:before="7"/>
        <w:rPr>
          <w:rFonts w:ascii="宋体" w:hAnsi="宋体" w:cs="宋体" w:eastAsia="宋体" w:hint="default"/>
          <w:sz w:val="3"/>
          <w:szCs w:val="3"/>
        </w:r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701.5pt;height:.5pt;mso-position-horizontal-relative:char;mso-position-vertical-relative:line" coordorigin="0,0" coordsize="14030,10">
            <v:group style="position:absolute;left:5;top:5;width:14020;height:2" coordorigin="5,5" coordsize="14020,2">
              <v:shape style="position:absolute;left:5;top:5;width:14020;height:2" coordorigin="5,5" coordsize="14020,0" path="m5,5l14024,5e" filled="false" stroked="true" strokeweight=".48pt" strokecolor="#000000">
                <v:path arrowok="t"/>
              </v:shape>
            </v:group>
          </v:group>
        </w:pict>
      </w:r>
      <w:r>
        <w:rPr>
          <w:rFonts w:ascii="宋体" w:hAnsi="宋体" w:cs="宋体" w:eastAsia="宋体" w:hint="default"/>
          <w:sz w:val="2"/>
          <w:szCs w:val="2"/>
        </w:rPr>
      </w:r>
    </w:p>
    <w:p>
      <w:pPr>
        <w:spacing w:line="240" w:lineRule="auto" w:before="11"/>
        <w:rPr>
          <w:rFonts w:ascii="宋体" w:hAnsi="宋体" w:cs="宋体" w:eastAsia="宋体" w:hint="default"/>
          <w:sz w:val="12"/>
          <w:szCs w:val="12"/>
        </w:rPr>
      </w:pPr>
    </w:p>
    <w:p>
      <w:pPr>
        <w:pStyle w:val="Heading5"/>
        <w:tabs>
          <w:tab w:pos="853" w:val="left" w:leader="none"/>
        </w:tabs>
        <w:spacing w:line="240" w:lineRule="auto"/>
        <w:ind w:left="139" w:right="9623"/>
        <w:jc w:val="left"/>
        <w:rPr>
          <w:b w:val="0"/>
          <w:bCs w:val="0"/>
        </w:rPr>
      </w:pPr>
      <w:r>
        <w:rPr>
          <w:w w:val="95"/>
        </w:rPr>
        <w:t>六、</w:t>
        <w:tab/>
      </w:r>
      <w:r>
        <w:rPr/>
        <w:t>合并范围的变更</w:t>
      </w:r>
      <w:r>
        <w:rPr>
          <w:b w:val="0"/>
          <w:bCs w:val="0"/>
        </w:rPr>
      </w:r>
    </w:p>
    <w:p>
      <w:pPr>
        <w:pStyle w:val="Heading5"/>
        <w:tabs>
          <w:tab w:pos="853" w:val="left" w:leader="none"/>
        </w:tabs>
        <w:spacing w:line="331" w:lineRule="auto" w:before="125"/>
        <w:ind w:left="848" w:right="9623" w:hanging="710"/>
        <w:jc w:val="left"/>
        <w:rPr>
          <w:b w:val="0"/>
          <w:bCs w:val="0"/>
        </w:rPr>
      </w:pPr>
      <w:r>
        <w:rPr/>
        <w:pict>
          <v:group style="position:absolute;margin-left:101.121002pt;margin-top:41.613224pt;width:682.65pt;height:110.5pt;mso-position-horizontal-relative:page;mso-position-vertical-relative:paragraph;z-index:-1374064" coordorigin="2022,832" coordsize="13653,2210">
            <v:group style="position:absolute;left:2052;top:847;width:1535;height:2" coordorigin="2052,847" coordsize="1535,2">
              <v:shape style="position:absolute;left:2052;top:847;width:1535;height:2" coordorigin="2052,847" coordsize="1535,0" path="m2052,847l3587,847e" filled="false" stroked="true" strokeweight="1.5pt" strokecolor="#000000">
                <v:path arrowok="t"/>
              </v:shape>
              <v:shape style="position:absolute;left:3587;top:862;width:10;height:28" type="#_x0000_t75" stroked="false">
                <v:imagedata r:id="rId367" o:title=""/>
              </v:shape>
            </v:group>
            <v:group style="position:absolute;left:3587;top:847;width:1146;height:2" coordorigin="3587,847" coordsize="1146,2">
              <v:shape style="position:absolute;left:3587;top:847;width:1146;height:2" coordorigin="3587,847" coordsize="1146,0" path="m3587,847l4733,847e" filled="false" stroked="true" strokeweight="1.5pt" strokecolor="#000000">
                <v:path arrowok="t"/>
              </v:shape>
              <v:shape style="position:absolute;left:4733;top:862;width:10;height:28" type="#_x0000_t75" stroked="false">
                <v:imagedata r:id="rId367" o:title=""/>
              </v:shape>
            </v:group>
            <v:group style="position:absolute;left:4733;top:847;width:717;height:2" coordorigin="4733,847" coordsize="717,2">
              <v:shape style="position:absolute;left:4733;top:847;width:717;height:2" coordorigin="4733,847" coordsize="717,0" path="m4733,847l5449,847e" filled="false" stroked="true" strokeweight="1.5pt" strokecolor="#000000">
                <v:path arrowok="t"/>
              </v:shape>
              <v:shape style="position:absolute;left:5449;top:862;width:10;height:28" type="#_x0000_t75" stroked="false">
                <v:imagedata r:id="rId367" o:title=""/>
              </v:shape>
            </v:group>
            <v:group style="position:absolute;left:5449;top:847;width:1272;height:2" coordorigin="5449,847" coordsize="1272,2">
              <v:shape style="position:absolute;left:5449;top:847;width:1272;height:2" coordorigin="5449,847" coordsize="1272,0" path="m5449,847l6721,847e" filled="false" stroked="true" strokeweight="1.5pt" strokecolor="#000000">
                <v:path arrowok="t"/>
              </v:shape>
              <v:shape style="position:absolute;left:6721;top:862;width:10;height:28" type="#_x0000_t75" stroked="false">
                <v:imagedata r:id="rId367" o:title=""/>
              </v:shape>
            </v:group>
            <v:group style="position:absolute;left:6721;top:847;width:977;height:2" coordorigin="6721,847" coordsize="977,2">
              <v:shape style="position:absolute;left:6721;top:847;width:977;height:2" coordorigin="6721,847" coordsize="977,0" path="m6721,847l7698,847e" filled="false" stroked="true" strokeweight="1.5pt" strokecolor="#000000">
                <v:path arrowok="t"/>
              </v:shape>
              <v:shape style="position:absolute;left:7698;top:862;width:10;height:28" type="#_x0000_t75" stroked="false">
                <v:imagedata r:id="rId367" o:title=""/>
              </v:shape>
            </v:group>
            <v:group style="position:absolute;left:7698;top:847;width:800;height:2" coordorigin="7698,847" coordsize="800,2">
              <v:shape style="position:absolute;left:7698;top:847;width:800;height:2" coordorigin="7698,847" coordsize="800,0" path="m7698,847l8497,847e" filled="false" stroked="true" strokeweight="1.5pt" strokecolor="#000000">
                <v:path arrowok="t"/>
              </v:shape>
              <v:shape style="position:absolute;left:8497;top:862;width:10;height:28" type="#_x0000_t75" stroked="false">
                <v:imagedata r:id="rId367" o:title=""/>
              </v:shape>
            </v:group>
            <v:group style="position:absolute;left:8497;top:847;width:1266;height:2" coordorigin="8497,847" coordsize="1266,2">
              <v:shape style="position:absolute;left:8497;top:847;width:1266;height:2" coordorigin="8497,847" coordsize="1266,0" path="m8497,847l9763,847e" filled="false" stroked="true" strokeweight="1.5pt" strokecolor="#000000">
                <v:path arrowok="t"/>
              </v:shape>
              <v:shape style="position:absolute;left:9763;top:862;width:10;height:28" type="#_x0000_t75" stroked="false">
                <v:imagedata r:id="rId367" o:title=""/>
              </v:shape>
            </v:group>
            <v:group style="position:absolute;left:9763;top:847;width:960;height:2" coordorigin="9763,847" coordsize="960,2">
              <v:shape style="position:absolute;left:9763;top:847;width:960;height:2" coordorigin="9763,847" coordsize="960,0" path="m9763,847l10723,847e" filled="false" stroked="true" strokeweight="1.5pt" strokecolor="#000000">
                <v:path arrowok="t"/>
              </v:shape>
              <v:shape style="position:absolute;left:10723;top:862;width:10;height:28" type="#_x0000_t75" stroked="false">
                <v:imagedata r:id="rId367" o:title=""/>
              </v:shape>
            </v:group>
            <v:group style="position:absolute;left:10723;top:847;width:911;height:2" coordorigin="10723,847" coordsize="911,2">
              <v:shape style="position:absolute;left:10723;top:847;width:911;height:2" coordorigin="10723,847" coordsize="911,0" path="m10723,847l11634,847e" filled="false" stroked="true" strokeweight="1.5pt" strokecolor="#000000">
                <v:path arrowok="t"/>
              </v:shape>
              <v:shape style="position:absolute;left:11634;top:862;width:10;height:28" type="#_x0000_t75" stroked="false">
                <v:imagedata r:id="rId367" o:title=""/>
              </v:shape>
            </v:group>
            <v:group style="position:absolute;left:11634;top:847;width:987;height:2" coordorigin="11634,847" coordsize="987,2">
              <v:shape style="position:absolute;left:11634;top:847;width:987;height:2" coordorigin="11634,847" coordsize="987,0" path="m11634,847l12620,847e" filled="false" stroked="true" strokeweight="1.5pt" strokecolor="#000000">
                <v:path arrowok="t"/>
              </v:shape>
              <v:shape style="position:absolute;left:12620;top:862;width:10;height:28" type="#_x0000_t75" stroked="false">
                <v:imagedata r:id="rId367" o:title=""/>
              </v:shape>
            </v:group>
            <v:group style="position:absolute;left:12620;top:847;width:987;height:2" coordorigin="12620,847" coordsize="987,2">
              <v:shape style="position:absolute;left:12620;top:847;width:987;height:2" coordorigin="12620,847" coordsize="987,0" path="m12620,847l13607,847e" filled="false" stroked="true" strokeweight="1.5pt" strokecolor="#000000">
                <v:path arrowok="t"/>
              </v:shape>
              <v:shape style="position:absolute;left:13607;top:862;width:10;height:28" type="#_x0000_t75" stroked="false">
                <v:imagedata r:id="rId367" o:title=""/>
              </v:shape>
            </v:group>
            <v:group style="position:absolute;left:13607;top:847;width:950;height:2" coordorigin="13607,847" coordsize="950,2">
              <v:shape style="position:absolute;left:13607;top:847;width:950;height:2" coordorigin="13607,847" coordsize="950,0" path="m13607,847l14556,847e" filled="false" stroked="true" strokeweight="1.5pt" strokecolor="#000000">
                <v:path arrowok="t"/>
              </v:shape>
              <v:shape style="position:absolute;left:14556;top:862;width:10;height:28" type="#_x0000_t75" stroked="false">
                <v:imagedata r:id="rId367" o:title=""/>
              </v:shape>
            </v:group>
            <v:group style="position:absolute;left:14556;top:847;width:1104;height:2" coordorigin="14556,847" coordsize="1104,2">
              <v:shape style="position:absolute;left:14556;top:847;width:1104;height:2" coordorigin="14556,847" coordsize="1104,0" path="m14556,847l15660,847e" filled="false" stroked="true" strokeweight="1.5pt" strokecolor="#000000">
                <v:path arrowok="t"/>
              </v:shape>
            </v:group>
            <v:group style="position:absolute;left:2037;top:3026;width:1550;height:2" coordorigin="2037,3026" coordsize="1550,2">
              <v:shape style="position:absolute;left:2037;top:3026;width:1550;height:2" coordorigin="2037,3026" coordsize="1550,0" path="m2037,3026l3587,3026e" filled="false" stroked="true" strokeweight="1.5pt" strokecolor="#000000">
                <v:path arrowok="t"/>
              </v:shape>
              <v:shape style="position:absolute;left:2033;top:871;width:13627;height:2160" type="#_x0000_t75" stroked="false">
                <v:imagedata r:id="rId368" o:title=""/>
              </v:shape>
            </v:group>
            <v:group style="position:absolute;left:3587;top:3026;width:1146;height:2" coordorigin="3587,3026" coordsize="1146,2">
              <v:shape style="position:absolute;left:3587;top:3026;width:1146;height:2" coordorigin="3587,3026" coordsize="1146,0" path="m3587,3026l4733,3026e" filled="false" stroked="true" strokeweight="1.5pt" strokecolor="#000000">
                <v:path arrowok="t"/>
              </v:shape>
              <v:shape style="position:absolute;left:4713;top:2470;width:48;height:560" type="#_x0000_t75" stroked="false">
                <v:imagedata r:id="rId369" o:title=""/>
              </v:shape>
            </v:group>
            <v:group style="position:absolute;left:4733;top:3026;width:717;height:2" coordorigin="4733,3026" coordsize="717,2">
              <v:shape style="position:absolute;left:4733;top:3026;width:717;height:2" coordorigin="4733,3026" coordsize="717,0" path="m4733,3026l5449,3026e" filled="false" stroked="true" strokeweight="1.5pt" strokecolor="#000000">
                <v:path arrowok="t"/>
              </v:shape>
              <v:shape style="position:absolute;left:5430;top:2470;width:48;height:560" type="#_x0000_t75" stroked="false">
                <v:imagedata r:id="rId370" o:title=""/>
              </v:shape>
            </v:group>
            <v:group style="position:absolute;left:5449;top:3026;width:1272;height:2" coordorigin="5449,3026" coordsize="1272,2">
              <v:shape style="position:absolute;left:5449;top:3026;width:1272;height:2" coordorigin="5449,3026" coordsize="1272,0" path="m5449,3026l6721,3026e" filled="false" stroked="true" strokeweight="1.5pt" strokecolor="#000000">
                <v:path arrowok="t"/>
              </v:shape>
              <v:shape style="position:absolute;left:6702;top:2470;width:48;height:560" type="#_x0000_t75" stroked="false">
                <v:imagedata r:id="rId370" o:title=""/>
              </v:shape>
            </v:group>
            <v:group style="position:absolute;left:6721;top:3026;width:977;height:2" coordorigin="6721,3026" coordsize="977,2">
              <v:shape style="position:absolute;left:6721;top:3026;width:977;height:2" coordorigin="6721,3026" coordsize="977,0" path="m6721,3026l7698,3026e" filled="false" stroked="true" strokeweight="1.5pt" strokecolor="#000000">
                <v:path arrowok="t"/>
              </v:shape>
              <v:shape style="position:absolute;left:7679;top:2470;width:48;height:560" type="#_x0000_t75" stroked="false">
                <v:imagedata r:id="rId370" o:title=""/>
              </v:shape>
            </v:group>
            <v:group style="position:absolute;left:7698;top:3026;width:800;height:2" coordorigin="7698,3026" coordsize="800,2">
              <v:shape style="position:absolute;left:7698;top:3026;width:800;height:2" coordorigin="7698,3026" coordsize="800,0" path="m7698,3026l8497,3026e" filled="false" stroked="true" strokeweight="1.5pt" strokecolor="#000000">
                <v:path arrowok="t"/>
              </v:shape>
              <v:shape style="position:absolute;left:8478;top:2470;width:48;height:560" type="#_x0000_t75" stroked="false">
                <v:imagedata r:id="rId370" o:title=""/>
              </v:shape>
            </v:group>
            <v:group style="position:absolute;left:8497;top:3026;width:1266;height:2" coordorigin="8497,3026" coordsize="1266,2">
              <v:shape style="position:absolute;left:8497;top:3026;width:1266;height:2" coordorigin="8497,3026" coordsize="1266,0" path="m8497,3026l9763,3026e" filled="false" stroked="true" strokeweight="1.5pt" strokecolor="#000000">
                <v:path arrowok="t"/>
              </v:shape>
              <v:shape style="position:absolute;left:9744;top:2470;width:48;height:560" type="#_x0000_t75" stroked="false">
                <v:imagedata r:id="rId369" o:title=""/>
              </v:shape>
            </v:group>
            <v:group style="position:absolute;left:9763;top:3026;width:960;height:2" coordorigin="9763,3026" coordsize="960,2">
              <v:shape style="position:absolute;left:9763;top:3026;width:960;height:2" coordorigin="9763,3026" coordsize="960,0" path="m9763,3026l10723,3026e" filled="false" stroked="true" strokeweight="1.5pt" strokecolor="#000000">
                <v:path arrowok="t"/>
              </v:shape>
              <v:shape style="position:absolute;left:10704;top:2470;width:48;height:560" type="#_x0000_t75" stroked="false">
                <v:imagedata r:id="rId369" o:title=""/>
              </v:shape>
            </v:group>
            <v:group style="position:absolute;left:10723;top:3026;width:911;height:2" coordorigin="10723,3026" coordsize="911,2">
              <v:shape style="position:absolute;left:10723;top:3026;width:911;height:2" coordorigin="10723,3026" coordsize="911,0" path="m10723,3026l11634,3026e" filled="false" stroked="true" strokeweight="1.5pt" strokecolor="#000000">
                <v:path arrowok="t"/>
              </v:shape>
              <v:shape style="position:absolute;left:11615;top:2470;width:48;height:557" type="#_x0000_t75" stroked="false">
                <v:imagedata r:id="rId371" o:title=""/>
              </v:shape>
            </v:group>
            <v:group style="position:absolute;left:11634;top:3026;width:987;height:2" coordorigin="11634,3026" coordsize="987,2">
              <v:shape style="position:absolute;left:11634;top:3026;width:987;height:2" coordorigin="11634,3026" coordsize="987,0" path="m11634,3026l12620,3026e" filled="false" stroked="true" strokeweight="1.5pt" strokecolor="#000000">
                <v:path arrowok="t"/>
              </v:shape>
              <v:shape style="position:absolute;left:12601;top:2470;width:48;height:560" type="#_x0000_t75" stroked="false">
                <v:imagedata r:id="rId370" o:title=""/>
              </v:shape>
            </v:group>
            <v:group style="position:absolute;left:12620;top:3026;width:987;height:2" coordorigin="12620,3026" coordsize="987,2">
              <v:shape style="position:absolute;left:12620;top:3026;width:987;height:2" coordorigin="12620,3026" coordsize="987,0" path="m12620,3026l13607,3026e" filled="false" stroked="true" strokeweight="1.5pt" strokecolor="#000000">
                <v:path arrowok="t"/>
              </v:shape>
              <v:shape style="position:absolute;left:13587;top:2470;width:48;height:560" type="#_x0000_t75" stroked="false">
                <v:imagedata r:id="rId370" o:title=""/>
              </v:shape>
            </v:group>
            <v:group style="position:absolute;left:13607;top:3026;width:950;height:2" coordorigin="13607,3026" coordsize="950,2">
              <v:shape style="position:absolute;left:13607;top:3026;width:950;height:2" coordorigin="13607,3026" coordsize="950,0" path="m13607,3026l14556,3026e" filled="false" stroked="true" strokeweight="1.5pt" strokecolor="#000000">
                <v:path arrowok="t"/>
              </v:shape>
              <v:shape style="position:absolute;left:14537;top:2470;width:48;height:560" type="#_x0000_t75" stroked="false">
                <v:imagedata r:id="rId370" o:title=""/>
              </v:shape>
            </v:group>
            <v:group style="position:absolute;left:14556;top:3026;width:1104;height:2" coordorigin="14556,3026" coordsize="1104,2">
              <v:shape style="position:absolute;left:14556;top:3026;width:1104;height:2" coordorigin="14556,3026" coordsize="1104,0" path="m14556,3026l15660,3026e" filled="false" stroked="true" strokeweight="1.5pt" strokecolor="#000000">
                <v:path arrowok="t"/>
              </v:shape>
              <v:shape style="position:absolute;left:2420;top:1576;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子公司名称</w:t>
                      </w:r>
                      <w:r>
                        <w:rPr>
                          <w:rFonts w:ascii="宋体" w:hAnsi="宋体" w:cs="宋体" w:eastAsia="宋体" w:hint="default"/>
                          <w:sz w:val="16"/>
                          <w:szCs w:val="16"/>
                        </w:rPr>
                      </w:r>
                    </w:p>
                  </w:txbxContent>
                </v:textbox>
                <w10:wrap type="none"/>
              </v:shape>
              <v:shape style="position:absolute;left:3763;top:1472;width:800;height:369" type="#_x0000_t202" filled="false" stroked="false">
                <v:textbox inset="0,0,0,0">
                  <w:txbxContent>
                    <w:p>
                      <w:pPr>
                        <w:spacing w:line="159" w:lineRule="exact" w:before="0"/>
                        <w:ind w:left="0" w:right="0" w:firstLine="0"/>
                        <w:jc w:val="center"/>
                        <w:rPr>
                          <w:rFonts w:ascii="宋体" w:hAnsi="宋体" w:cs="宋体" w:eastAsia="宋体" w:hint="default"/>
                          <w:sz w:val="16"/>
                          <w:szCs w:val="16"/>
                        </w:rPr>
                      </w:pPr>
                      <w:r>
                        <w:rPr>
                          <w:rFonts w:ascii="宋体" w:hAnsi="宋体" w:cs="宋体" w:eastAsia="宋体" w:hint="default"/>
                          <w:w w:val="95"/>
                          <w:sz w:val="16"/>
                          <w:szCs w:val="16"/>
                        </w:rPr>
                        <w:t>股权处置价</w:t>
                      </w:r>
                      <w:r>
                        <w:rPr>
                          <w:rFonts w:ascii="宋体" w:hAnsi="宋体" w:cs="宋体" w:eastAsia="宋体" w:hint="default"/>
                          <w:sz w:val="16"/>
                          <w:szCs w:val="16"/>
                        </w:rPr>
                      </w:r>
                    </w:p>
                    <w:p>
                      <w:pPr>
                        <w:spacing w:line="209" w:lineRule="exact" w:before="0"/>
                        <w:ind w:left="1" w:right="0" w:firstLine="0"/>
                        <w:jc w:val="center"/>
                        <w:rPr>
                          <w:rFonts w:ascii="宋体" w:hAnsi="宋体" w:cs="宋体" w:eastAsia="宋体" w:hint="default"/>
                          <w:sz w:val="16"/>
                          <w:szCs w:val="16"/>
                        </w:rPr>
                      </w:pPr>
                      <w:r>
                        <w:rPr>
                          <w:rFonts w:ascii="宋体" w:hAnsi="宋体" w:cs="宋体" w:eastAsia="宋体" w:hint="default"/>
                          <w:w w:val="99"/>
                          <w:sz w:val="16"/>
                          <w:szCs w:val="16"/>
                        </w:rPr>
                        <w:t>款</w:t>
                      </w:r>
                      <w:r>
                        <w:rPr>
                          <w:rFonts w:ascii="宋体" w:hAnsi="宋体" w:cs="宋体" w:eastAsia="宋体" w:hint="default"/>
                          <w:sz w:val="16"/>
                          <w:szCs w:val="16"/>
                        </w:rPr>
                      </w:r>
                    </w:p>
                  </w:txbxContent>
                </v:textbox>
                <w10:wrap type="none"/>
              </v:shape>
              <v:shape style="position:absolute;left:4855;top:1368;width:479;height:584" type="#_x0000_t202" filled="false" stroked="false">
                <v:textbox inset="0,0,0,0">
                  <w:txbxContent>
                    <w:p>
                      <w:pPr>
                        <w:spacing w:line="158"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股权处</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置比例</w:t>
                      </w:r>
                      <w:r>
                        <w:rPr>
                          <w:rFonts w:ascii="宋体" w:hAnsi="宋体" w:cs="宋体" w:eastAsia="宋体" w:hint="default"/>
                          <w:sz w:val="16"/>
                          <w:szCs w:val="16"/>
                        </w:rPr>
                      </w:r>
                    </w:p>
                    <w:p>
                      <w:pPr>
                        <w:spacing w:line="218" w:lineRule="exact" w:before="0"/>
                        <w:ind w:left="13" w:right="0" w:firstLine="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w:t>
                      </w:r>
                      <w:r>
                        <w:rPr>
                          <w:rFonts w:ascii="宋体" w:hAnsi="宋体" w:cs="宋体" w:eastAsia="宋体" w:hint="default"/>
                          <w:sz w:val="16"/>
                          <w:szCs w:val="16"/>
                        </w:rPr>
                        <w:t>）</w:t>
                      </w:r>
                    </w:p>
                  </w:txbxContent>
                </v:textbox>
                <w10:wrap type="none"/>
              </v:shape>
              <v:shape style="position:absolute;left:5610;top:1576;width:95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股权处置方式</w:t>
                      </w:r>
                      <w:r>
                        <w:rPr>
                          <w:rFonts w:ascii="宋体" w:hAnsi="宋体" w:cs="宋体" w:eastAsia="宋体" w:hint="default"/>
                          <w:sz w:val="16"/>
                          <w:szCs w:val="16"/>
                        </w:rPr>
                      </w:r>
                    </w:p>
                  </w:txbxContent>
                </v:textbox>
                <w10:wrap type="none"/>
              </v:shape>
              <v:shape style="position:absolute;left:13765;top:953;width:639;height:1406" type="#_x0000_t202" filled="false" stroked="false">
                <v:textbox inset="0,0,0,0">
                  <w:txbxContent>
                    <w:p>
                      <w:pPr>
                        <w:spacing w:line="158" w:lineRule="exact" w:before="0"/>
                        <w:ind w:left="0" w:right="0" w:firstLine="0"/>
                        <w:jc w:val="center"/>
                        <w:rPr>
                          <w:rFonts w:ascii="宋体" w:hAnsi="宋体" w:cs="宋体" w:eastAsia="宋体" w:hint="default"/>
                          <w:sz w:val="16"/>
                          <w:szCs w:val="16"/>
                        </w:rPr>
                      </w:pPr>
                      <w:r>
                        <w:rPr>
                          <w:rFonts w:ascii="宋体" w:hAnsi="宋体" w:cs="宋体" w:eastAsia="宋体" w:hint="default"/>
                          <w:w w:val="95"/>
                          <w:sz w:val="16"/>
                          <w:szCs w:val="16"/>
                        </w:rPr>
                        <w:t>丧失控制</w:t>
                      </w:r>
                      <w:r>
                        <w:rPr>
                          <w:rFonts w:ascii="宋体" w:hAnsi="宋体" w:cs="宋体" w:eastAsia="宋体" w:hint="default"/>
                          <w:sz w:val="16"/>
                          <w:szCs w:val="16"/>
                        </w:rPr>
                      </w:r>
                    </w:p>
                    <w:p>
                      <w:pPr>
                        <w:spacing w:before="0"/>
                        <w:ind w:left="0" w:right="0" w:firstLine="0"/>
                        <w:jc w:val="center"/>
                        <w:rPr>
                          <w:rFonts w:ascii="宋体" w:hAnsi="宋体" w:cs="宋体" w:eastAsia="宋体" w:hint="default"/>
                          <w:sz w:val="16"/>
                          <w:szCs w:val="16"/>
                        </w:rPr>
                      </w:pPr>
                      <w:r>
                        <w:rPr>
                          <w:rFonts w:ascii="宋体" w:hAnsi="宋体" w:cs="宋体" w:eastAsia="宋体" w:hint="default"/>
                          <w:w w:val="95"/>
                          <w:sz w:val="16"/>
                          <w:szCs w:val="16"/>
                        </w:rPr>
                        <w:t>权之日剩</w:t>
                      </w:r>
                      <w:r>
                        <w:rPr>
                          <w:rFonts w:ascii="宋体" w:hAnsi="宋体" w:cs="宋体" w:eastAsia="宋体" w:hint="default"/>
                          <w:spacing w:val="-46"/>
                          <w:w w:val="95"/>
                          <w:sz w:val="16"/>
                          <w:szCs w:val="16"/>
                        </w:rPr>
                        <w:t> </w:t>
                      </w:r>
                      <w:r>
                        <w:rPr>
                          <w:rFonts w:ascii="宋体" w:hAnsi="宋体" w:cs="宋体" w:eastAsia="宋体" w:hint="default"/>
                          <w:w w:val="95"/>
                          <w:sz w:val="16"/>
                          <w:szCs w:val="16"/>
                        </w:rPr>
                        <w:t>余股权公</w:t>
                      </w:r>
                      <w:r>
                        <w:rPr>
                          <w:rFonts w:ascii="宋体" w:hAnsi="宋体" w:cs="宋体" w:eastAsia="宋体" w:hint="default"/>
                          <w:spacing w:val="-46"/>
                          <w:w w:val="95"/>
                          <w:sz w:val="16"/>
                          <w:szCs w:val="16"/>
                        </w:rPr>
                        <w:t> </w:t>
                      </w:r>
                      <w:r>
                        <w:rPr>
                          <w:rFonts w:ascii="宋体" w:hAnsi="宋体" w:cs="宋体" w:eastAsia="宋体" w:hint="default"/>
                          <w:w w:val="95"/>
                          <w:sz w:val="16"/>
                          <w:szCs w:val="16"/>
                        </w:rPr>
                        <w:t>允价值的</w:t>
                      </w:r>
                      <w:r>
                        <w:rPr>
                          <w:rFonts w:ascii="宋体" w:hAnsi="宋体" w:cs="宋体" w:eastAsia="宋体" w:hint="default"/>
                          <w:spacing w:val="-46"/>
                          <w:w w:val="95"/>
                          <w:sz w:val="16"/>
                          <w:szCs w:val="16"/>
                        </w:rPr>
                        <w:t> </w:t>
                      </w:r>
                      <w:r>
                        <w:rPr>
                          <w:rFonts w:ascii="宋体" w:hAnsi="宋体" w:cs="宋体" w:eastAsia="宋体" w:hint="default"/>
                          <w:w w:val="95"/>
                          <w:sz w:val="16"/>
                          <w:szCs w:val="16"/>
                        </w:rPr>
                        <w:t>确定方法</w:t>
                      </w:r>
                      <w:r>
                        <w:rPr>
                          <w:rFonts w:ascii="宋体" w:hAnsi="宋体" w:cs="宋体" w:eastAsia="宋体" w:hint="default"/>
                          <w:spacing w:val="-46"/>
                          <w:w w:val="95"/>
                          <w:sz w:val="16"/>
                          <w:szCs w:val="16"/>
                        </w:rPr>
                        <w:t> </w:t>
                      </w:r>
                      <w:r>
                        <w:rPr>
                          <w:rFonts w:ascii="宋体" w:hAnsi="宋体" w:cs="宋体" w:eastAsia="宋体" w:hint="default"/>
                          <w:w w:val="95"/>
                          <w:sz w:val="16"/>
                          <w:szCs w:val="16"/>
                        </w:rPr>
                        <w:t>及主要假</w:t>
                      </w:r>
                      <w:r>
                        <w:rPr>
                          <w:rFonts w:ascii="宋体" w:hAnsi="宋体" w:cs="宋体" w:eastAsia="宋体" w:hint="default"/>
                          <w:spacing w:val="-46"/>
                          <w:w w:val="95"/>
                          <w:sz w:val="16"/>
                          <w:szCs w:val="16"/>
                        </w:rPr>
                        <w:t> </w:t>
                      </w:r>
                      <w:r>
                        <w:rPr>
                          <w:rFonts w:ascii="宋体" w:hAnsi="宋体" w:cs="宋体" w:eastAsia="宋体" w:hint="default"/>
                          <w:sz w:val="16"/>
                          <w:szCs w:val="16"/>
                        </w:rPr>
                        <w:t>设</w:t>
                      </w:r>
                    </w:p>
                  </w:txbxContent>
                </v:textbox>
                <w10:wrap type="none"/>
              </v:shape>
              <v:shape style="position:absolute;left:14709;top:1058;width:800;height:1198" type="#_x0000_t202" filled="false" stroked="false">
                <v:textbox inset="0,0,0,0">
                  <w:txbxContent>
                    <w:p>
                      <w:pPr>
                        <w:spacing w:line="158" w:lineRule="exact" w:before="0"/>
                        <w:ind w:left="0" w:right="0" w:firstLine="0"/>
                        <w:jc w:val="center"/>
                        <w:rPr>
                          <w:rFonts w:ascii="宋体" w:hAnsi="宋体" w:cs="宋体" w:eastAsia="宋体" w:hint="default"/>
                          <w:sz w:val="16"/>
                          <w:szCs w:val="16"/>
                        </w:rPr>
                      </w:pPr>
                      <w:r>
                        <w:rPr>
                          <w:rFonts w:ascii="宋体" w:hAnsi="宋体" w:cs="宋体" w:eastAsia="宋体" w:hint="default"/>
                          <w:w w:val="95"/>
                          <w:sz w:val="16"/>
                          <w:szCs w:val="16"/>
                        </w:rPr>
                        <w:t>与原子公司</w:t>
                      </w:r>
                      <w:r>
                        <w:rPr>
                          <w:rFonts w:ascii="宋体" w:hAnsi="宋体" w:cs="宋体" w:eastAsia="宋体" w:hint="default"/>
                          <w:sz w:val="16"/>
                          <w:szCs w:val="16"/>
                        </w:rPr>
                      </w:r>
                    </w:p>
                    <w:p>
                      <w:pPr>
                        <w:spacing w:before="0"/>
                        <w:ind w:left="0" w:right="0" w:firstLine="0"/>
                        <w:jc w:val="center"/>
                        <w:rPr>
                          <w:rFonts w:ascii="宋体" w:hAnsi="宋体" w:cs="宋体" w:eastAsia="宋体" w:hint="default"/>
                          <w:sz w:val="16"/>
                          <w:szCs w:val="16"/>
                        </w:rPr>
                      </w:pPr>
                      <w:r>
                        <w:rPr>
                          <w:rFonts w:ascii="宋体" w:hAnsi="宋体" w:cs="宋体" w:eastAsia="宋体" w:hint="default"/>
                          <w:w w:val="95"/>
                          <w:sz w:val="16"/>
                          <w:szCs w:val="16"/>
                        </w:rPr>
                        <w:t>股权投资相</w:t>
                      </w:r>
                      <w:r>
                        <w:rPr>
                          <w:rFonts w:ascii="宋体" w:hAnsi="宋体" w:cs="宋体" w:eastAsia="宋体" w:hint="default"/>
                          <w:spacing w:val="-38"/>
                          <w:w w:val="95"/>
                          <w:sz w:val="16"/>
                          <w:szCs w:val="16"/>
                        </w:rPr>
                        <w:t> </w:t>
                      </w:r>
                      <w:r>
                        <w:rPr>
                          <w:rFonts w:ascii="宋体" w:hAnsi="宋体" w:cs="宋体" w:eastAsia="宋体" w:hint="default"/>
                          <w:spacing w:val="-38"/>
                          <w:w w:val="95"/>
                          <w:sz w:val="16"/>
                          <w:szCs w:val="16"/>
                        </w:rPr>
                      </w:r>
                      <w:r>
                        <w:rPr>
                          <w:rFonts w:ascii="宋体" w:hAnsi="宋体" w:cs="宋体" w:eastAsia="宋体" w:hint="default"/>
                          <w:w w:val="95"/>
                          <w:sz w:val="16"/>
                          <w:szCs w:val="16"/>
                        </w:rPr>
                        <w:t>关的其他综</w:t>
                      </w:r>
                      <w:r>
                        <w:rPr>
                          <w:rFonts w:ascii="宋体" w:hAnsi="宋体" w:cs="宋体" w:eastAsia="宋体" w:hint="default"/>
                          <w:spacing w:val="-38"/>
                          <w:w w:val="95"/>
                          <w:sz w:val="16"/>
                          <w:szCs w:val="16"/>
                        </w:rPr>
                        <w:t> </w:t>
                      </w:r>
                      <w:r>
                        <w:rPr>
                          <w:rFonts w:ascii="宋体" w:hAnsi="宋体" w:cs="宋体" w:eastAsia="宋体" w:hint="default"/>
                          <w:spacing w:val="-38"/>
                          <w:w w:val="95"/>
                          <w:sz w:val="16"/>
                          <w:szCs w:val="16"/>
                        </w:rPr>
                      </w:r>
                      <w:r>
                        <w:rPr>
                          <w:rFonts w:ascii="宋体" w:hAnsi="宋体" w:cs="宋体" w:eastAsia="宋体" w:hint="default"/>
                          <w:w w:val="95"/>
                          <w:sz w:val="16"/>
                          <w:szCs w:val="16"/>
                        </w:rPr>
                        <w:t>合收益转入</w:t>
                      </w:r>
                      <w:r>
                        <w:rPr>
                          <w:rFonts w:ascii="宋体" w:hAnsi="宋体" w:cs="宋体" w:eastAsia="宋体" w:hint="default"/>
                          <w:spacing w:val="-38"/>
                          <w:w w:val="95"/>
                          <w:sz w:val="16"/>
                          <w:szCs w:val="16"/>
                        </w:rPr>
                        <w:t> </w:t>
                      </w:r>
                      <w:r>
                        <w:rPr>
                          <w:rFonts w:ascii="宋体" w:hAnsi="宋体" w:cs="宋体" w:eastAsia="宋体" w:hint="default"/>
                          <w:spacing w:val="-38"/>
                          <w:w w:val="95"/>
                          <w:sz w:val="16"/>
                          <w:szCs w:val="16"/>
                        </w:rPr>
                      </w:r>
                      <w:r>
                        <w:rPr>
                          <w:rFonts w:ascii="宋体" w:hAnsi="宋体" w:cs="宋体" w:eastAsia="宋体" w:hint="default"/>
                          <w:w w:val="95"/>
                          <w:sz w:val="16"/>
                          <w:szCs w:val="16"/>
                        </w:rPr>
                        <w:t>投资损益的</w:t>
                      </w:r>
                      <w:r>
                        <w:rPr>
                          <w:rFonts w:ascii="宋体" w:hAnsi="宋体" w:cs="宋体" w:eastAsia="宋体" w:hint="default"/>
                          <w:spacing w:val="-38"/>
                          <w:w w:val="95"/>
                          <w:sz w:val="16"/>
                          <w:szCs w:val="16"/>
                        </w:rPr>
                        <w:t> </w:t>
                      </w:r>
                      <w:r>
                        <w:rPr>
                          <w:rFonts w:ascii="宋体" w:hAnsi="宋体" w:cs="宋体" w:eastAsia="宋体" w:hint="default"/>
                          <w:spacing w:val="-38"/>
                          <w:w w:val="95"/>
                          <w:sz w:val="16"/>
                          <w:szCs w:val="16"/>
                        </w:rPr>
                      </w:r>
                      <w:r>
                        <w:rPr>
                          <w:rFonts w:ascii="宋体" w:hAnsi="宋体" w:cs="宋体" w:eastAsia="宋体" w:hint="default"/>
                          <w:sz w:val="16"/>
                          <w:szCs w:val="16"/>
                        </w:rPr>
                        <w:t>金额</w:t>
                      </w:r>
                    </w:p>
                  </w:txbxContent>
                </v:textbox>
                <w10:wrap type="none"/>
              </v:shape>
              <v:shape style="position:absolute;left:2160;top:2552;width:1280;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深圳市湘计长岛电</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脑设备有限公司</w:t>
                      </w:r>
                    </w:p>
                  </w:txbxContent>
                </v:textbox>
                <w10:wrap type="none"/>
              </v:shape>
              <v:shape style="position:absolute;left:3709;top:2669;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52,560,000.00</w:t>
                      </w:r>
                      <w:r>
                        <w:rPr>
                          <w:rFonts w:ascii="Times New Roman"/>
                          <w:sz w:val="16"/>
                        </w:rPr>
                      </w:r>
                    </w:p>
                  </w:txbxContent>
                </v:textbox>
                <w10:wrap type="none"/>
              </v:shape>
              <v:shape style="position:absolute;left:4905;top:2656;width:1616;height:174" type="#_x0000_t202" filled="false" stroked="false">
                <v:textbox inset="0,0,0,0">
                  <w:txbxContent>
                    <w:p>
                      <w:pPr>
                        <w:tabs>
                          <w:tab w:pos="656" w:val="left" w:leader="none"/>
                        </w:tabs>
                        <w:spacing w:line="173" w:lineRule="exact" w:before="0"/>
                        <w:ind w:left="0" w:right="0" w:firstLine="0"/>
                        <w:jc w:val="left"/>
                        <w:rPr>
                          <w:rFonts w:ascii="宋体" w:hAnsi="宋体" w:cs="宋体" w:eastAsia="宋体" w:hint="default"/>
                          <w:sz w:val="16"/>
                          <w:szCs w:val="16"/>
                        </w:rPr>
                      </w:pPr>
                      <w:r>
                        <w:rPr>
                          <w:rFonts w:ascii="Times New Roman" w:hAnsi="Times New Roman" w:cs="Times New Roman" w:eastAsia="Times New Roman" w:hint="default"/>
                          <w:spacing w:val="-1"/>
                          <w:sz w:val="16"/>
                          <w:szCs w:val="16"/>
                        </w:rPr>
                        <w:t>100.00</w:t>
                        <w:tab/>
                      </w:r>
                      <w:r>
                        <w:rPr>
                          <w:rFonts w:ascii="宋体" w:hAnsi="宋体" w:cs="宋体" w:eastAsia="宋体" w:hint="default"/>
                          <w:w w:val="95"/>
                          <w:sz w:val="16"/>
                          <w:szCs w:val="16"/>
                        </w:rPr>
                        <w:t>公开挂牌转让</w:t>
                      </w:r>
                      <w:r>
                        <w:rPr>
                          <w:rFonts w:ascii="宋体" w:hAnsi="宋体" w:cs="宋体" w:eastAsia="宋体" w:hint="default"/>
                          <w:sz w:val="16"/>
                          <w:szCs w:val="16"/>
                        </w:rPr>
                      </w:r>
                    </w:p>
                  </w:txbxContent>
                </v:textbox>
                <w10:wrap type="none"/>
              </v:shape>
              <v:shape style="position:absolute;left:6881;top:2669;width:667;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2018-3-29</w:t>
                      </w:r>
                      <w:r>
                        <w:rPr>
                          <w:rFonts w:ascii="Times New Roman"/>
                          <w:sz w:val="16"/>
                        </w:rPr>
                      </w:r>
                    </w:p>
                  </w:txbxContent>
                </v:textbox>
                <w10:wrap type="none"/>
              </v:shape>
              <v:shape style="position:absolute;left:7811;top:2552;width:479;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股权交</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割完成</w:t>
                      </w:r>
                      <w:r>
                        <w:rPr>
                          <w:rFonts w:ascii="宋体" w:hAnsi="宋体" w:cs="宋体" w:eastAsia="宋体" w:hint="default"/>
                          <w:sz w:val="16"/>
                          <w:szCs w:val="16"/>
                        </w:rPr>
                      </w:r>
                    </w:p>
                  </w:txbxContent>
                </v:textbox>
                <w10:wrap type="none"/>
              </v:shape>
              <v:shape style="position:absolute;left:8751;top:2669;width:910;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pacing w:val="-2"/>
                          <w:sz w:val="16"/>
                        </w:rPr>
                        <w:t>48,111,755.90</w:t>
                      </w:r>
                    </w:p>
                  </w:txbxContent>
                </v:textbox>
                <w10:wrap type="none"/>
              </v:shape>
              <v:shape style="position:absolute;left:10340;top:2669;width:28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z w:val="16"/>
                        </w:rPr>
                        <w:t>0.00</w:t>
                      </w:r>
                    </w:p>
                  </w:txbxContent>
                </v:textbox>
                <w10:wrap type="none"/>
              </v:shape>
              <v:shape style="position:absolute;left:11251;top:2669;width:28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z w:val="16"/>
                        </w:rPr>
                        <w:t>0.00</w:t>
                      </w:r>
                    </w:p>
                  </w:txbxContent>
                </v:textbox>
                <w10:wrap type="none"/>
              </v:shape>
              <v:shape style="position:absolute;left:12237;top:2669;width:28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z w:val="16"/>
                        </w:rPr>
                        <w:t>0.00</w:t>
                      </w:r>
                    </w:p>
                  </w:txbxContent>
                </v:textbox>
                <w10:wrap type="none"/>
              </v:shape>
              <v:shape style="position:absolute;left:13224;top:2656;width:974;height:174" type="#_x0000_t202" filled="false" stroked="false">
                <v:textbox inset="0,0,0,0">
                  <w:txbxContent>
                    <w:p>
                      <w:pPr>
                        <w:tabs>
                          <w:tab w:pos="494" w:val="left" w:leader="none"/>
                        </w:tabs>
                        <w:spacing w:line="173" w:lineRule="exact" w:before="0"/>
                        <w:ind w:left="0" w:right="0" w:firstLine="0"/>
                        <w:jc w:val="left"/>
                        <w:rPr>
                          <w:rFonts w:ascii="宋体" w:hAnsi="宋体" w:cs="宋体" w:eastAsia="宋体" w:hint="default"/>
                          <w:sz w:val="16"/>
                          <w:szCs w:val="16"/>
                        </w:rPr>
                      </w:pPr>
                      <w:r>
                        <w:rPr>
                          <w:rFonts w:ascii="Times New Roman" w:hAnsi="Times New Roman" w:cs="Times New Roman" w:eastAsia="Times New Roman" w:hint="default"/>
                          <w:spacing w:val="-1"/>
                          <w:sz w:val="16"/>
                          <w:szCs w:val="16"/>
                        </w:rPr>
                        <w:t>0.00</w:t>
                        <w:tab/>
                      </w:r>
                      <w:r>
                        <w:rPr>
                          <w:rFonts w:ascii="宋体" w:hAnsi="宋体" w:cs="宋体" w:eastAsia="宋体" w:hint="default"/>
                          <w:w w:val="95"/>
                          <w:sz w:val="16"/>
                          <w:szCs w:val="16"/>
                        </w:rPr>
                        <w:t>不适用</w:t>
                      </w:r>
                      <w:r>
                        <w:rPr>
                          <w:rFonts w:ascii="宋体" w:hAnsi="宋体" w:cs="宋体" w:eastAsia="宋体" w:hint="default"/>
                          <w:sz w:val="16"/>
                          <w:szCs w:val="16"/>
                        </w:rPr>
                      </w:r>
                    </w:p>
                  </w:txbxContent>
                </v:textbox>
                <w10:wrap type="none"/>
              </v:shape>
              <v:shape style="position:absolute;left:15272;top:2669;width:28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z w:val="16"/>
                        </w:rPr>
                        <w:t>0.00</w:t>
                      </w:r>
                    </w:p>
                  </w:txbxContent>
                </v:textbox>
                <w10:wrap type="none"/>
              </v:shape>
            </v:group>
            <w10:wrap type="none"/>
          </v:group>
        </w:pict>
      </w:r>
      <w:r>
        <w:rPr>
          <w:rFonts w:ascii="Times New Roman" w:hAnsi="Times New Roman" w:cs="Times New Roman" w:eastAsia="Times New Roman" w:hint="default"/>
          <w:w w:val="95"/>
        </w:rPr>
        <w:t>(</w:t>
      </w:r>
      <w:r>
        <w:rPr>
          <w:w w:val="95"/>
        </w:rPr>
        <w:t>一</w:t>
      </w:r>
      <w:r>
        <w:rPr>
          <w:rFonts w:ascii="Times New Roman" w:hAnsi="Times New Roman" w:cs="Times New Roman" w:eastAsia="Times New Roman" w:hint="default"/>
          <w:w w:val="95"/>
        </w:rPr>
        <w:t>)</w:t>
        <w:tab/>
        <w:tab/>
      </w:r>
      <w:r>
        <w:rPr/>
        <w:t>处置子公司</w:t>
      </w:r>
      <w:r>
        <w:rPr>
          <w:w w:val="99"/>
        </w:rPr>
        <w:t> </w:t>
      </w:r>
      <w:r>
        <w:rPr/>
        <w:t>单次处置对子公司投资即丧失控制权的情形</w:t>
      </w:r>
      <w:r>
        <w:rPr>
          <w:b w:val="0"/>
          <w:bCs w:val="0"/>
        </w:rPr>
      </w:r>
    </w:p>
    <w:p>
      <w:pPr>
        <w:spacing w:line="240" w:lineRule="auto" w:before="7"/>
        <w:rPr>
          <w:rFonts w:ascii="宋体" w:hAnsi="宋体" w:cs="宋体" w:eastAsia="宋体" w:hint="default"/>
          <w:b/>
          <w:bCs/>
          <w:sz w:val="13"/>
          <w:szCs w:val="13"/>
        </w:rPr>
      </w:pPr>
    </w:p>
    <w:tbl>
      <w:tblPr>
        <w:tblW w:w="0" w:type="auto"/>
        <w:jc w:val="left"/>
        <w:tblInd w:w="5558" w:type="dxa"/>
        <w:tblLayout w:type="fixed"/>
        <w:tblCellMar>
          <w:top w:w="0" w:type="dxa"/>
          <w:left w:w="0" w:type="dxa"/>
          <w:bottom w:w="0" w:type="dxa"/>
          <w:right w:w="0" w:type="dxa"/>
        </w:tblCellMar>
        <w:tblLook w:val="01E0"/>
      </w:tblPr>
      <w:tblGrid>
        <w:gridCol w:w="838"/>
        <w:gridCol w:w="800"/>
        <w:gridCol w:w="1273"/>
        <w:gridCol w:w="944"/>
        <w:gridCol w:w="942"/>
        <w:gridCol w:w="967"/>
        <w:gridCol w:w="847"/>
      </w:tblGrid>
      <w:tr>
        <w:trPr>
          <w:trHeight w:val="183" w:hRule="exact"/>
        </w:trPr>
        <w:tc>
          <w:tcPr>
            <w:tcW w:w="838" w:type="dxa"/>
            <w:vMerge w:val="restart"/>
            <w:tcBorders>
              <w:top w:val="nil" w:sz="6" w:space="0" w:color="auto"/>
              <w:left w:val="nil" w:sz="6" w:space="0" w:color="auto"/>
              <w:right w:val="nil" w:sz="6" w:space="0" w:color="auto"/>
            </w:tcBorders>
          </w:tcPr>
          <w:p>
            <w:pPr/>
          </w:p>
        </w:tc>
        <w:tc>
          <w:tcPr>
            <w:tcW w:w="800" w:type="dxa"/>
            <w:tcBorders>
              <w:top w:val="nil" w:sz="6" w:space="0" w:color="auto"/>
              <w:left w:val="nil" w:sz="6" w:space="0" w:color="auto"/>
              <w:bottom w:val="nil" w:sz="6" w:space="0" w:color="auto"/>
              <w:right w:val="nil" w:sz="6" w:space="0" w:color="auto"/>
            </w:tcBorders>
          </w:tcPr>
          <w:p>
            <w:pPr/>
          </w:p>
        </w:tc>
        <w:tc>
          <w:tcPr>
            <w:tcW w:w="1273" w:type="dxa"/>
            <w:tcBorders>
              <w:top w:val="nil" w:sz="6" w:space="0" w:color="auto"/>
              <w:left w:val="nil" w:sz="6" w:space="0" w:color="auto"/>
              <w:bottom w:val="nil" w:sz="6" w:space="0" w:color="auto"/>
              <w:right w:val="nil" w:sz="6" w:space="0" w:color="auto"/>
            </w:tcBorders>
          </w:tcPr>
          <w:p>
            <w:pPr>
              <w:pStyle w:val="TableParagraph"/>
              <w:spacing w:line="160" w:lineRule="exact"/>
              <w:ind w:right="0"/>
              <w:jc w:val="center"/>
              <w:rPr>
                <w:rFonts w:ascii="宋体" w:hAnsi="宋体" w:cs="宋体" w:eastAsia="宋体" w:hint="default"/>
                <w:sz w:val="16"/>
                <w:szCs w:val="16"/>
              </w:rPr>
            </w:pPr>
            <w:r>
              <w:rPr>
                <w:rFonts w:ascii="宋体" w:hAnsi="宋体" w:cs="宋体" w:eastAsia="宋体" w:hint="default"/>
                <w:sz w:val="16"/>
                <w:szCs w:val="16"/>
              </w:rPr>
              <w:t>处置价款与处</w:t>
            </w:r>
          </w:p>
        </w:tc>
        <w:tc>
          <w:tcPr>
            <w:tcW w:w="944" w:type="dxa"/>
            <w:tcBorders>
              <w:top w:val="nil" w:sz="6" w:space="0" w:color="auto"/>
              <w:left w:val="nil" w:sz="6" w:space="0" w:color="auto"/>
              <w:bottom w:val="nil" w:sz="6" w:space="0" w:color="auto"/>
              <w:right w:val="nil" w:sz="6" w:space="0" w:color="auto"/>
            </w:tcBorders>
          </w:tcPr>
          <w:p>
            <w:pPr/>
          </w:p>
        </w:tc>
        <w:tc>
          <w:tcPr>
            <w:tcW w:w="942" w:type="dxa"/>
            <w:tcBorders>
              <w:top w:val="nil" w:sz="6" w:space="0" w:color="auto"/>
              <w:left w:val="nil" w:sz="6" w:space="0" w:color="auto"/>
              <w:bottom w:val="nil" w:sz="6" w:space="0" w:color="auto"/>
              <w:right w:val="nil" w:sz="6" w:space="0" w:color="auto"/>
            </w:tcBorders>
          </w:tcPr>
          <w:p>
            <w:pPr/>
          </w:p>
        </w:tc>
        <w:tc>
          <w:tcPr>
            <w:tcW w:w="967"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nil" w:sz="6" w:space="0" w:color="auto"/>
            </w:tcBorders>
          </w:tcPr>
          <w:p>
            <w:pPr>
              <w:pStyle w:val="TableParagraph"/>
              <w:spacing w:line="160" w:lineRule="exact"/>
              <w:ind w:left="138" w:right="0"/>
              <w:jc w:val="center"/>
              <w:rPr>
                <w:rFonts w:ascii="宋体" w:hAnsi="宋体" w:cs="宋体" w:eastAsia="宋体" w:hint="default"/>
                <w:sz w:val="16"/>
                <w:szCs w:val="16"/>
              </w:rPr>
            </w:pPr>
            <w:r>
              <w:rPr>
                <w:rFonts w:ascii="宋体" w:hAnsi="宋体" w:cs="宋体" w:eastAsia="宋体" w:hint="default"/>
                <w:sz w:val="16"/>
                <w:szCs w:val="16"/>
              </w:rPr>
              <w:t>按照公允</w:t>
            </w:r>
          </w:p>
        </w:tc>
      </w:tr>
      <w:tr>
        <w:trPr>
          <w:trHeight w:val="208" w:hRule="exact"/>
        </w:trPr>
        <w:tc>
          <w:tcPr>
            <w:tcW w:w="838" w:type="dxa"/>
            <w:vMerge/>
            <w:tcBorders>
              <w:left w:val="nil" w:sz="6" w:space="0" w:color="auto"/>
              <w:bottom w:val="nil" w:sz="6" w:space="0" w:color="auto"/>
              <w:right w:val="nil" w:sz="6" w:space="0" w:color="auto"/>
            </w:tcBorders>
          </w:tcPr>
          <w:p>
            <w:pPr/>
          </w:p>
        </w:tc>
        <w:tc>
          <w:tcPr>
            <w:tcW w:w="800" w:type="dxa"/>
            <w:tcBorders>
              <w:top w:val="nil" w:sz="6" w:space="0" w:color="auto"/>
              <w:left w:val="nil" w:sz="6" w:space="0" w:color="auto"/>
              <w:bottom w:val="nil" w:sz="6" w:space="0" w:color="auto"/>
              <w:right w:val="nil" w:sz="6" w:space="0" w:color="auto"/>
            </w:tcBorders>
          </w:tcPr>
          <w:p>
            <w:pPr>
              <w:pStyle w:val="TableParagraph"/>
              <w:spacing w:line="184" w:lineRule="exact"/>
              <w:ind w:left="8" w:right="0"/>
              <w:jc w:val="center"/>
              <w:rPr>
                <w:rFonts w:ascii="宋体" w:hAnsi="宋体" w:cs="宋体" w:eastAsia="宋体" w:hint="default"/>
                <w:sz w:val="16"/>
                <w:szCs w:val="16"/>
              </w:rPr>
            </w:pPr>
            <w:r>
              <w:rPr>
                <w:rFonts w:ascii="宋体" w:hAnsi="宋体" w:cs="宋体" w:eastAsia="宋体" w:hint="default"/>
                <w:sz w:val="16"/>
                <w:szCs w:val="16"/>
              </w:rPr>
              <w:t>丧失控</w:t>
            </w:r>
          </w:p>
        </w:tc>
        <w:tc>
          <w:tcPr>
            <w:tcW w:w="1273" w:type="dxa"/>
            <w:tcBorders>
              <w:top w:val="nil" w:sz="6" w:space="0" w:color="auto"/>
              <w:left w:val="nil" w:sz="6" w:space="0" w:color="auto"/>
              <w:bottom w:val="nil" w:sz="6" w:space="0" w:color="auto"/>
              <w:right w:val="nil" w:sz="6" w:space="0" w:color="auto"/>
            </w:tcBorders>
          </w:tcPr>
          <w:p>
            <w:pPr>
              <w:pStyle w:val="TableParagraph"/>
              <w:spacing w:line="183" w:lineRule="exact"/>
              <w:ind w:right="0"/>
              <w:jc w:val="center"/>
              <w:rPr>
                <w:rFonts w:ascii="宋体" w:hAnsi="宋体" w:cs="宋体" w:eastAsia="宋体" w:hint="default"/>
                <w:sz w:val="16"/>
                <w:szCs w:val="16"/>
              </w:rPr>
            </w:pPr>
            <w:r>
              <w:rPr>
                <w:rFonts w:ascii="宋体" w:hAnsi="宋体" w:cs="宋体" w:eastAsia="宋体" w:hint="default"/>
                <w:sz w:val="16"/>
                <w:szCs w:val="16"/>
              </w:rPr>
              <w:t>置投资对应的</w:t>
            </w:r>
          </w:p>
        </w:tc>
        <w:tc>
          <w:tcPr>
            <w:tcW w:w="944" w:type="dxa"/>
            <w:tcBorders>
              <w:top w:val="nil" w:sz="6" w:space="0" w:color="auto"/>
              <w:left w:val="nil" w:sz="6" w:space="0" w:color="auto"/>
              <w:bottom w:val="nil" w:sz="6" w:space="0" w:color="auto"/>
              <w:right w:val="nil" w:sz="6" w:space="0" w:color="auto"/>
            </w:tcBorders>
          </w:tcPr>
          <w:p>
            <w:pPr>
              <w:pStyle w:val="TableParagraph"/>
              <w:spacing w:line="184" w:lineRule="exact"/>
              <w:ind w:left="8" w:right="0"/>
              <w:jc w:val="center"/>
              <w:rPr>
                <w:rFonts w:ascii="宋体" w:hAnsi="宋体" w:cs="宋体" w:eastAsia="宋体" w:hint="default"/>
                <w:sz w:val="16"/>
                <w:szCs w:val="16"/>
              </w:rPr>
            </w:pPr>
            <w:r>
              <w:rPr>
                <w:rFonts w:ascii="宋体" w:hAnsi="宋体" w:cs="宋体" w:eastAsia="宋体" w:hint="default"/>
                <w:sz w:val="16"/>
                <w:szCs w:val="16"/>
              </w:rPr>
              <w:t>丧失控制</w:t>
            </w:r>
          </w:p>
        </w:tc>
        <w:tc>
          <w:tcPr>
            <w:tcW w:w="942" w:type="dxa"/>
            <w:tcBorders>
              <w:top w:val="nil" w:sz="6" w:space="0" w:color="auto"/>
              <w:left w:val="nil" w:sz="6" w:space="0" w:color="auto"/>
              <w:bottom w:val="nil" w:sz="6" w:space="0" w:color="auto"/>
              <w:right w:val="nil" w:sz="6" w:space="0" w:color="auto"/>
            </w:tcBorders>
          </w:tcPr>
          <w:p>
            <w:pPr>
              <w:pStyle w:val="TableParagraph"/>
              <w:spacing w:line="184" w:lineRule="exact"/>
              <w:ind w:right="4"/>
              <w:jc w:val="center"/>
              <w:rPr>
                <w:rFonts w:ascii="宋体" w:hAnsi="宋体" w:cs="宋体" w:eastAsia="宋体" w:hint="default"/>
                <w:sz w:val="16"/>
                <w:szCs w:val="16"/>
              </w:rPr>
            </w:pPr>
            <w:r>
              <w:rPr>
                <w:rFonts w:ascii="宋体" w:hAnsi="宋体" w:cs="宋体" w:eastAsia="宋体" w:hint="default"/>
                <w:sz w:val="16"/>
                <w:szCs w:val="16"/>
              </w:rPr>
              <w:t>丧失控制</w:t>
            </w:r>
          </w:p>
        </w:tc>
        <w:tc>
          <w:tcPr>
            <w:tcW w:w="967" w:type="dxa"/>
            <w:tcBorders>
              <w:top w:val="nil" w:sz="6" w:space="0" w:color="auto"/>
              <w:left w:val="nil" w:sz="6" w:space="0" w:color="auto"/>
              <w:bottom w:val="nil" w:sz="6" w:space="0" w:color="auto"/>
              <w:right w:val="nil" w:sz="6" w:space="0" w:color="auto"/>
            </w:tcBorders>
          </w:tcPr>
          <w:p>
            <w:pPr>
              <w:pStyle w:val="TableParagraph"/>
              <w:spacing w:line="184" w:lineRule="exact"/>
              <w:ind w:right="17"/>
              <w:jc w:val="center"/>
              <w:rPr>
                <w:rFonts w:ascii="宋体" w:hAnsi="宋体" w:cs="宋体" w:eastAsia="宋体" w:hint="default"/>
                <w:sz w:val="16"/>
                <w:szCs w:val="16"/>
              </w:rPr>
            </w:pPr>
            <w:r>
              <w:rPr>
                <w:rFonts w:ascii="宋体" w:hAnsi="宋体" w:cs="宋体" w:eastAsia="宋体" w:hint="default"/>
                <w:sz w:val="16"/>
                <w:szCs w:val="16"/>
              </w:rPr>
              <w:t>丧失控制</w:t>
            </w:r>
          </w:p>
        </w:tc>
        <w:tc>
          <w:tcPr>
            <w:tcW w:w="847" w:type="dxa"/>
            <w:tcBorders>
              <w:top w:val="nil" w:sz="6" w:space="0" w:color="auto"/>
              <w:left w:val="nil" w:sz="6" w:space="0" w:color="auto"/>
              <w:bottom w:val="nil" w:sz="6" w:space="0" w:color="auto"/>
              <w:right w:val="nil" w:sz="6" w:space="0" w:color="auto"/>
            </w:tcBorders>
          </w:tcPr>
          <w:p>
            <w:pPr>
              <w:pStyle w:val="TableParagraph"/>
              <w:spacing w:line="183" w:lineRule="exact"/>
              <w:ind w:left="138" w:right="0"/>
              <w:jc w:val="center"/>
              <w:rPr>
                <w:rFonts w:ascii="宋体" w:hAnsi="宋体" w:cs="宋体" w:eastAsia="宋体" w:hint="default"/>
                <w:sz w:val="16"/>
                <w:szCs w:val="16"/>
              </w:rPr>
            </w:pPr>
            <w:r>
              <w:rPr>
                <w:rFonts w:ascii="宋体" w:hAnsi="宋体" w:cs="宋体" w:eastAsia="宋体" w:hint="default"/>
                <w:sz w:val="16"/>
                <w:szCs w:val="16"/>
              </w:rPr>
              <w:t>价值重新</w:t>
            </w:r>
          </w:p>
        </w:tc>
      </w:tr>
      <w:tr>
        <w:trPr>
          <w:trHeight w:val="207" w:hRule="exact"/>
        </w:trPr>
        <w:tc>
          <w:tcPr>
            <w:tcW w:w="838" w:type="dxa"/>
            <w:tcBorders>
              <w:top w:val="nil" w:sz="6" w:space="0" w:color="auto"/>
              <w:left w:val="nil" w:sz="6" w:space="0" w:color="auto"/>
              <w:bottom w:val="nil" w:sz="6" w:space="0" w:color="auto"/>
              <w:right w:val="nil" w:sz="6" w:space="0" w:color="auto"/>
            </w:tcBorders>
          </w:tcPr>
          <w:p>
            <w:pPr>
              <w:pStyle w:val="TableParagraph"/>
              <w:spacing w:line="183" w:lineRule="exact"/>
              <w:ind w:left="35" w:right="0"/>
              <w:jc w:val="left"/>
              <w:rPr>
                <w:rFonts w:ascii="宋体" w:hAnsi="宋体" w:cs="宋体" w:eastAsia="宋体" w:hint="default"/>
                <w:sz w:val="16"/>
                <w:szCs w:val="16"/>
              </w:rPr>
            </w:pPr>
            <w:r>
              <w:rPr>
                <w:rFonts w:ascii="宋体" w:hAnsi="宋体" w:cs="宋体" w:eastAsia="宋体" w:hint="default"/>
                <w:sz w:val="16"/>
                <w:szCs w:val="16"/>
              </w:rPr>
              <w:t>丧失控制</w:t>
            </w:r>
          </w:p>
        </w:tc>
        <w:tc>
          <w:tcPr>
            <w:tcW w:w="800" w:type="dxa"/>
            <w:tcBorders>
              <w:top w:val="nil" w:sz="6" w:space="0" w:color="auto"/>
              <w:left w:val="nil" w:sz="6" w:space="0" w:color="auto"/>
              <w:bottom w:val="nil" w:sz="6" w:space="0" w:color="auto"/>
              <w:right w:val="nil" w:sz="6" w:space="0" w:color="auto"/>
            </w:tcBorders>
          </w:tcPr>
          <w:p>
            <w:pPr>
              <w:pStyle w:val="TableParagraph"/>
              <w:spacing w:line="183" w:lineRule="exact"/>
              <w:ind w:left="8" w:right="0"/>
              <w:jc w:val="center"/>
              <w:rPr>
                <w:rFonts w:ascii="宋体" w:hAnsi="宋体" w:cs="宋体" w:eastAsia="宋体" w:hint="default"/>
                <w:sz w:val="16"/>
                <w:szCs w:val="16"/>
              </w:rPr>
            </w:pPr>
            <w:r>
              <w:rPr>
                <w:rFonts w:ascii="宋体" w:hAnsi="宋体" w:cs="宋体" w:eastAsia="宋体" w:hint="default"/>
                <w:sz w:val="16"/>
                <w:szCs w:val="16"/>
              </w:rPr>
              <w:t>制权时</w:t>
            </w:r>
          </w:p>
        </w:tc>
        <w:tc>
          <w:tcPr>
            <w:tcW w:w="1273" w:type="dxa"/>
            <w:tcBorders>
              <w:top w:val="nil" w:sz="6" w:space="0" w:color="auto"/>
              <w:left w:val="nil" w:sz="6" w:space="0" w:color="auto"/>
              <w:bottom w:val="nil" w:sz="6" w:space="0" w:color="auto"/>
              <w:right w:val="nil" w:sz="6" w:space="0" w:color="auto"/>
            </w:tcBorders>
          </w:tcPr>
          <w:p>
            <w:pPr>
              <w:pStyle w:val="TableParagraph"/>
              <w:spacing w:line="183" w:lineRule="exact"/>
              <w:ind w:right="0"/>
              <w:jc w:val="center"/>
              <w:rPr>
                <w:rFonts w:ascii="宋体" w:hAnsi="宋体" w:cs="宋体" w:eastAsia="宋体" w:hint="default"/>
                <w:sz w:val="16"/>
                <w:szCs w:val="16"/>
              </w:rPr>
            </w:pPr>
            <w:r>
              <w:rPr>
                <w:rFonts w:ascii="宋体" w:hAnsi="宋体" w:cs="宋体" w:eastAsia="宋体" w:hint="default"/>
                <w:sz w:val="16"/>
                <w:szCs w:val="16"/>
              </w:rPr>
              <w:t>合并财务报表</w:t>
            </w:r>
          </w:p>
        </w:tc>
        <w:tc>
          <w:tcPr>
            <w:tcW w:w="944" w:type="dxa"/>
            <w:tcBorders>
              <w:top w:val="nil" w:sz="6" w:space="0" w:color="auto"/>
              <w:left w:val="nil" w:sz="6" w:space="0" w:color="auto"/>
              <w:bottom w:val="nil" w:sz="6" w:space="0" w:color="auto"/>
              <w:right w:val="nil" w:sz="6" w:space="0" w:color="auto"/>
            </w:tcBorders>
          </w:tcPr>
          <w:p>
            <w:pPr>
              <w:pStyle w:val="TableParagraph"/>
              <w:spacing w:line="183" w:lineRule="exact"/>
              <w:ind w:left="8" w:right="0"/>
              <w:jc w:val="center"/>
              <w:rPr>
                <w:rFonts w:ascii="宋体" w:hAnsi="宋体" w:cs="宋体" w:eastAsia="宋体" w:hint="default"/>
                <w:sz w:val="16"/>
                <w:szCs w:val="16"/>
              </w:rPr>
            </w:pPr>
            <w:r>
              <w:rPr>
                <w:rFonts w:ascii="宋体" w:hAnsi="宋体" w:cs="宋体" w:eastAsia="宋体" w:hint="default"/>
                <w:sz w:val="16"/>
                <w:szCs w:val="16"/>
              </w:rPr>
              <w:t>权之日剩</w:t>
            </w:r>
          </w:p>
        </w:tc>
        <w:tc>
          <w:tcPr>
            <w:tcW w:w="942" w:type="dxa"/>
            <w:tcBorders>
              <w:top w:val="nil" w:sz="6" w:space="0" w:color="auto"/>
              <w:left w:val="nil" w:sz="6" w:space="0" w:color="auto"/>
              <w:bottom w:val="nil" w:sz="6" w:space="0" w:color="auto"/>
              <w:right w:val="nil" w:sz="6" w:space="0" w:color="auto"/>
            </w:tcBorders>
          </w:tcPr>
          <w:p>
            <w:pPr>
              <w:pStyle w:val="TableParagraph"/>
              <w:spacing w:line="183" w:lineRule="exact"/>
              <w:ind w:right="4"/>
              <w:jc w:val="center"/>
              <w:rPr>
                <w:rFonts w:ascii="宋体" w:hAnsi="宋体" w:cs="宋体" w:eastAsia="宋体" w:hint="default"/>
                <w:sz w:val="16"/>
                <w:szCs w:val="16"/>
              </w:rPr>
            </w:pPr>
            <w:r>
              <w:rPr>
                <w:rFonts w:ascii="宋体" w:hAnsi="宋体" w:cs="宋体" w:eastAsia="宋体" w:hint="default"/>
                <w:sz w:val="16"/>
                <w:szCs w:val="16"/>
              </w:rPr>
              <w:t>权之日剩</w:t>
            </w:r>
          </w:p>
        </w:tc>
        <w:tc>
          <w:tcPr>
            <w:tcW w:w="967" w:type="dxa"/>
            <w:tcBorders>
              <w:top w:val="nil" w:sz="6" w:space="0" w:color="auto"/>
              <w:left w:val="nil" w:sz="6" w:space="0" w:color="auto"/>
              <w:bottom w:val="nil" w:sz="6" w:space="0" w:color="auto"/>
              <w:right w:val="nil" w:sz="6" w:space="0" w:color="auto"/>
            </w:tcBorders>
          </w:tcPr>
          <w:p>
            <w:pPr>
              <w:pStyle w:val="TableParagraph"/>
              <w:spacing w:line="183" w:lineRule="exact"/>
              <w:ind w:right="17"/>
              <w:jc w:val="center"/>
              <w:rPr>
                <w:rFonts w:ascii="宋体" w:hAnsi="宋体" w:cs="宋体" w:eastAsia="宋体" w:hint="default"/>
                <w:sz w:val="16"/>
                <w:szCs w:val="16"/>
              </w:rPr>
            </w:pPr>
            <w:r>
              <w:rPr>
                <w:rFonts w:ascii="宋体" w:hAnsi="宋体" w:cs="宋体" w:eastAsia="宋体" w:hint="default"/>
                <w:sz w:val="16"/>
                <w:szCs w:val="16"/>
              </w:rPr>
              <w:t>权之日剩</w:t>
            </w:r>
          </w:p>
        </w:tc>
        <w:tc>
          <w:tcPr>
            <w:tcW w:w="847" w:type="dxa"/>
            <w:tcBorders>
              <w:top w:val="nil" w:sz="6" w:space="0" w:color="auto"/>
              <w:left w:val="nil" w:sz="6" w:space="0" w:color="auto"/>
              <w:bottom w:val="nil" w:sz="6" w:space="0" w:color="auto"/>
              <w:right w:val="nil" w:sz="6" w:space="0" w:color="auto"/>
            </w:tcBorders>
          </w:tcPr>
          <w:p>
            <w:pPr>
              <w:pStyle w:val="TableParagraph"/>
              <w:spacing w:line="183" w:lineRule="exact"/>
              <w:ind w:left="138" w:right="0"/>
              <w:jc w:val="center"/>
              <w:rPr>
                <w:rFonts w:ascii="宋体" w:hAnsi="宋体" w:cs="宋体" w:eastAsia="宋体" w:hint="default"/>
                <w:sz w:val="16"/>
                <w:szCs w:val="16"/>
              </w:rPr>
            </w:pPr>
            <w:r>
              <w:rPr>
                <w:rFonts w:ascii="宋体" w:hAnsi="宋体" w:cs="宋体" w:eastAsia="宋体" w:hint="default"/>
                <w:sz w:val="16"/>
                <w:szCs w:val="16"/>
              </w:rPr>
              <w:t>计量剩余</w:t>
            </w:r>
          </w:p>
        </w:tc>
      </w:tr>
      <w:tr>
        <w:trPr>
          <w:trHeight w:val="208" w:hRule="exact"/>
        </w:trPr>
        <w:tc>
          <w:tcPr>
            <w:tcW w:w="838" w:type="dxa"/>
            <w:tcBorders>
              <w:top w:val="nil" w:sz="6" w:space="0" w:color="auto"/>
              <w:left w:val="nil" w:sz="6" w:space="0" w:color="auto"/>
              <w:bottom w:val="nil" w:sz="6" w:space="0" w:color="auto"/>
              <w:right w:val="nil" w:sz="6" w:space="0" w:color="auto"/>
            </w:tcBorders>
          </w:tcPr>
          <w:p>
            <w:pPr>
              <w:pStyle w:val="TableParagraph"/>
              <w:spacing w:line="185" w:lineRule="exact"/>
              <w:ind w:left="35" w:right="0"/>
              <w:jc w:val="left"/>
              <w:rPr>
                <w:rFonts w:ascii="宋体" w:hAnsi="宋体" w:cs="宋体" w:eastAsia="宋体" w:hint="default"/>
                <w:sz w:val="16"/>
                <w:szCs w:val="16"/>
              </w:rPr>
            </w:pPr>
            <w:r>
              <w:rPr>
                <w:rFonts w:ascii="宋体" w:hAnsi="宋体" w:cs="宋体" w:eastAsia="宋体" w:hint="default"/>
                <w:sz w:val="16"/>
                <w:szCs w:val="16"/>
              </w:rPr>
              <w:t>权的时点</w:t>
            </w:r>
          </w:p>
        </w:tc>
        <w:tc>
          <w:tcPr>
            <w:tcW w:w="800" w:type="dxa"/>
            <w:tcBorders>
              <w:top w:val="nil" w:sz="6" w:space="0" w:color="auto"/>
              <w:left w:val="nil" w:sz="6" w:space="0" w:color="auto"/>
              <w:bottom w:val="nil" w:sz="6" w:space="0" w:color="auto"/>
              <w:right w:val="nil" w:sz="6" w:space="0" w:color="auto"/>
            </w:tcBorders>
          </w:tcPr>
          <w:p>
            <w:pPr>
              <w:pStyle w:val="TableParagraph"/>
              <w:spacing w:line="184" w:lineRule="exact"/>
              <w:ind w:left="8" w:right="0"/>
              <w:jc w:val="center"/>
              <w:rPr>
                <w:rFonts w:ascii="宋体" w:hAnsi="宋体" w:cs="宋体" w:eastAsia="宋体" w:hint="default"/>
                <w:sz w:val="16"/>
                <w:szCs w:val="16"/>
              </w:rPr>
            </w:pPr>
            <w:r>
              <w:rPr>
                <w:rFonts w:ascii="宋体" w:hAnsi="宋体" w:cs="宋体" w:eastAsia="宋体" w:hint="default"/>
                <w:sz w:val="16"/>
                <w:szCs w:val="16"/>
              </w:rPr>
              <w:t>点的确</w:t>
            </w:r>
          </w:p>
        </w:tc>
        <w:tc>
          <w:tcPr>
            <w:tcW w:w="1273" w:type="dxa"/>
            <w:tcBorders>
              <w:top w:val="nil" w:sz="6" w:space="0" w:color="auto"/>
              <w:left w:val="nil" w:sz="6" w:space="0" w:color="auto"/>
              <w:bottom w:val="nil" w:sz="6" w:space="0" w:color="auto"/>
              <w:right w:val="nil" w:sz="6" w:space="0" w:color="auto"/>
            </w:tcBorders>
          </w:tcPr>
          <w:p>
            <w:pPr>
              <w:pStyle w:val="TableParagraph"/>
              <w:spacing w:line="184" w:lineRule="exact"/>
              <w:ind w:right="0"/>
              <w:jc w:val="center"/>
              <w:rPr>
                <w:rFonts w:ascii="宋体" w:hAnsi="宋体" w:cs="宋体" w:eastAsia="宋体" w:hint="default"/>
                <w:sz w:val="16"/>
                <w:szCs w:val="16"/>
              </w:rPr>
            </w:pPr>
            <w:r>
              <w:rPr>
                <w:rFonts w:ascii="宋体" w:hAnsi="宋体" w:cs="宋体" w:eastAsia="宋体" w:hint="default"/>
                <w:sz w:val="16"/>
                <w:szCs w:val="16"/>
              </w:rPr>
              <w:t>层面享有该子</w:t>
            </w:r>
          </w:p>
        </w:tc>
        <w:tc>
          <w:tcPr>
            <w:tcW w:w="944" w:type="dxa"/>
            <w:tcBorders>
              <w:top w:val="nil" w:sz="6" w:space="0" w:color="auto"/>
              <w:left w:val="nil" w:sz="6" w:space="0" w:color="auto"/>
              <w:bottom w:val="nil" w:sz="6" w:space="0" w:color="auto"/>
              <w:right w:val="nil" w:sz="6" w:space="0" w:color="auto"/>
            </w:tcBorders>
          </w:tcPr>
          <w:p>
            <w:pPr>
              <w:pStyle w:val="TableParagraph"/>
              <w:spacing w:line="184" w:lineRule="exact"/>
              <w:ind w:left="8" w:right="0"/>
              <w:jc w:val="center"/>
              <w:rPr>
                <w:rFonts w:ascii="宋体" w:hAnsi="宋体" w:cs="宋体" w:eastAsia="宋体" w:hint="default"/>
                <w:sz w:val="16"/>
                <w:szCs w:val="16"/>
              </w:rPr>
            </w:pPr>
            <w:r>
              <w:rPr>
                <w:rFonts w:ascii="宋体" w:hAnsi="宋体" w:cs="宋体" w:eastAsia="宋体" w:hint="default"/>
                <w:sz w:val="16"/>
                <w:szCs w:val="16"/>
              </w:rPr>
              <w:t>余股权的</w:t>
            </w:r>
          </w:p>
        </w:tc>
        <w:tc>
          <w:tcPr>
            <w:tcW w:w="942" w:type="dxa"/>
            <w:tcBorders>
              <w:top w:val="nil" w:sz="6" w:space="0" w:color="auto"/>
              <w:left w:val="nil" w:sz="6" w:space="0" w:color="auto"/>
              <w:bottom w:val="nil" w:sz="6" w:space="0" w:color="auto"/>
              <w:right w:val="nil" w:sz="6" w:space="0" w:color="auto"/>
            </w:tcBorders>
          </w:tcPr>
          <w:p>
            <w:pPr>
              <w:pStyle w:val="TableParagraph"/>
              <w:spacing w:line="184" w:lineRule="exact"/>
              <w:ind w:right="4"/>
              <w:jc w:val="center"/>
              <w:rPr>
                <w:rFonts w:ascii="宋体" w:hAnsi="宋体" w:cs="宋体" w:eastAsia="宋体" w:hint="default"/>
                <w:sz w:val="16"/>
                <w:szCs w:val="16"/>
              </w:rPr>
            </w:pPr>
            <w:r>
              <w:rPr>
                <w:rFonts w:ascii="宋体" w:hAnsi="宋体" w:cs="宋体" w:eastAsia="宋体" w:hint="default"/>
                <w:sz w:val="16"/>
                <w:szCs w:val="16"/>
              </w:rPr>
              <w:t>余股权的</w:t>
            </w:r>
          </w:p>
        </w:tc>
        <w:tc>
          <w:tcPr>
            <w:tcW w:w="967" w:type="dxa"/>
            <w:tcBorders>
              <w:top w:val="nil" w:sz="6" w:space="0" w:color="auto"/>
              <w:left w:val="nil" w:sz="6" w:space="0" w:color="auto"/>
              <w:bottom w:val="nil" w:sz="6" w:space="0" w:color="auto"/>
              <w:right w:val="nil" w:sz="6" w:space="0" w:color="auto"/>
            </w:tcBorders>
          </w:tcPr>
          <w:p>
            <w:pPr>
              <w:pStyle w:val="TableParagraph"/>
              <w:spacing w:line="184" w:lineRule="exact"/>
              <w:ind w:right="17"/>
              <w:jc w:val="center"/>
              <w:rPr>
                <w:rFonts w:ascii="宋体" w:hAnsi="宋体" w:cs="宋体" w:eastAsia="宋体" w:hint="default"/>
                <w:sz w:val="16"/>
                <w:szCs w:val="16"/>
              </w:rPr>
            </w:pPr>
            <w:r>
              <w:rPr>
                <w:rFonts w:ascii="宋体" w:hAnsi="宋体" w:cs="宋体" w:eastAsia="宋体" w:hint="default"/>
                <w:sz w:val="16"/>
                <w:szCs w:val="16"/>
              </w:rPr>
              <w:t>余股权的</w:t>
            </w:r>
          </w:p>
        </w:tc>
        <w:tc>
          <w:tcPr>
            <w:tcW w:w="847" w:type="dxa"/>
            <w:tcBorders>
              <w:top w:val="nil" w:sz="6" w:space="0" w:color="auto"/>
              <w:left w:val="nil" w:sz="6" w:space="0" w:color="auto"/>
              <w:bottom w:val="nil" w:sz="6" w:space="0" w:color="auto"/>
              <w:right w:val="nil" w:sz="6" w:space="0" w:color="auto"/>
            </w:tcBorders>
          </w:tcPr>
          <w:p>
            <w:pPr>
              <w:pStyle w:val="TableParagraph"/>
              <w:spacing w:line="184" w:lineRule="exact"/>
              <w:ind w:left="138" w:right="0"/>
              <w:jc w:val="center"/>
              <w:rPr>
                <w:rFonts w:ascii="宋体" w:hAnsi="宋体" w:cs="宋体" w:eastAsia="宋体" w:hint="default"/>
                <w:sz w:val="16"/>
                <w:szCs w:val="16"/>
              </w:rPr>
            </w:pPr>
            <w:r>
              <w:rPr>
                <w:rFonts w:ascii="宋体" w:hAnsi="宋体" w:cs="宋体" w:eastAsia="宋体" w:hint="default"/>
                <w:sz w:val="16"/>
                <w:szCs w:val="16"/>
              </w:rPr>
              <w:t>股权产生</w:t>
            </w:r>
          </w:p>
        </w:tc>
      </w:tr>
      <w:tr>
        <w:trPr>
          <w:trHeight w:val="208" w:hRule="exact"/>
        </w:trPr>
        <w:tc>
          <w:tcPr>
            <w:tcW w:w="838" w:type="dxa"/>
            <w:tcBorders>
              <w:top w:val="nil" w:sz="6" w:space="0" w:color="auto"/>
              <w:left w:val="nil" w:sz="6" w:space="0" w:color="auto"/>
              <w:bottom w:val="nil" w:sz="6" w:space="0" w:color="auto"/>
              <w:right w:val="nil" w:sz="6" w:space="0" w:color="auto"/>
            </w:tcBorders>
          </w:tcPr>
          <w:p>
            <w:pPr/>
          </w:p>
        </w:tc>
        <w:tc>
          <w:tcPr>
            <w:tcW w:w="800" w:type="dxa"/>
            <w:tcBorders>
              <w:top w:val="nil" w:sz="6" w:space="0" w:color="auto"/>
              <w:left w:val="nil" w:sz="6" w:space="0" w:color="auto"/>
              <w:bottom w:val="nil" w:sz="6" w:space="0" w:color="auto"/>
              <w:right w:val="nil" w:sz="6" w:space="0" w:color="auto"/>
            </w:tcBorders>
          </w:tcPr>
          <w:p>
            <w:pPr>
              <w:pStyle w:val="TableParagraph"/>
              <w:spacing w:line="184" w:lineRule="exact"/>
              <w:ind w:left="8" w:right="0"/>
              <w:jc w:val="center"/>
              <w:rPr>
                <w:rFonts w:ascii="宋体" w:hAnsi="宋体" w:cs="宋体" w:eastAsia="宋体" w:hint="default"/>
                <w:sz w:val="16"/>
                <w:szCs w:val="16"/>
              </w:rPr>
            </w:pPr>
            <w:r>
              <w:rPr>
                <w:rFonts w:ascii="宋体" w:hAnsi="宋体" w:cs="宋体" w:eastAsia="宋体" w:hint="default"/>
                <w:sz w:val="16"/>
                <w:szCs w:val="16"/>
              </w:rPr>
              <w:t>定依据</w:t>
            </w:r>
          </w:p>
        </w:tc>
        <w:tc>
          <w:tcPr>
            <w:tcW w:w="1273" w:type="dxa"/>
            <w:tcBorders>
              <w:top w:val="nil" w:sz="6" w:space="0" w:color="auto"/>
              <w:left w:val="nil" w:sz="6" w:space="0" w:color="auto"/>
              <w:bottom w:val="nil" w:sz="6" w:space="0" w:color="auto"/>
              <w:right w:val="nil" w:sz="6" w:space="0" w:color="auto"/>
            </w:tcBorders>
          </w:tcPr>
          <w:p>
            <w:pPr>
              <w:pStyle w:val="TableParagraph"/>
              <w:spacing w:line="183" w:lineRule="exact"/>
              <w:ind w:right="0"/>
              <w:jc w:val="center"/>
              <w:rPr>
                <w:rFonts w:ascii="宋体" w:hAnsi="宋体" w:cs="宋体" w:eastAsia="宋体" w:hint="default"/>
                <w:sz w:val="16"/>
                <w:szCs w:val="16"/>
              </w:rPr>
            </w:pPr>
            <w:r>
              <w:rPr>
                <w:rFonts w:ascii="宋体" w:hAnsi="宋体" w:cs="宋体" w:eastAsia="宋体" w:hint="default"/>
                <w:sz w:val="16"/>
                <w:szCs w:val="16"/>
              </w:rPr>
              <w:t>公司净资产份</w:t>
            </w:r>
          </w:p>
        </w:tc>
        <w:tc>
          <w:tcPr>
            <w:tcW w:w="944" w:type="dxa"/>
            <w:tcBorders>
              <w:top w:val="nil" w:sz="6" w:space="0" w:color="auto"/>
              <w:left w:val="nil" w:sz="6" w:space="0" w:color="auto"/>
              <w:bottom w:val="nil" w:sz="6" w:space="0" w:color="auto"/>
              <w:right w:val="nil" w:sz="6" w:space="0" w:color="auto"/>
            </w:tcBorders>
          </w:tcPr>
          <w:p>
            <w:pPr>
              <w:pStyle w:val="TableParagraph"/>
              <w:spacing w:line="184" w:lineRule="exact"/>
              <w:ind w:left="8" w:right="0"/>
              <w:jc w:val="center"/>
              <w:rPr>
                <w:rFonts w:ascii="宋体" w:hAnsi="宋体" w:cs="宋体" w:eastAsia="宋体" w:hint="default"/>
                <w:sz w:val="16"/>
                <w:szCs w:val="16"/>
              </w:rPr>
            </w:pPr>
            <w:r>
              <w:rPr>
                <w:rFonts w:ascii="宋体" w:hAnsi="宋体" w:cs="宋体" w:eastAsia="宋体" w:hint="default"/>
                <w:sz w:val="16"/>
                <w:szCs w:val="16"/>
              </w:rPr>
              <w:t>比例</w:t>
            </w:r>
          </w:p>
        </w:tc>
        <w:tc>
          <w:tcPr>
            <w:tcW w:w="942" w:type="dxa"/>
            <w:tcBorders>
              <w:top w:val="nil" w:sz="6" w:space="0" w:color="auto"/>
              <w:left w:val="nil" w:sz="6" w:space="0" w:color="auto"/>
              <w:bottom w:val="nil" w:sz="6" w:space="0" w:color="auto"/>
              <w:right w:val="nil" w:sz="6" w:space="0" w:color="auto"/>
            </w:tcBorders>
          </w:tcPr>
          <w:p>
            <w:pPr>
              <w:pStyle w:val="TableParagraph"/>
              <w:spacing w:line="184" w:lineRule="exact"/>
              <w:ind w:right="4"/>
              <w:jc w:val="center"/>
              <w:rPr>
                <w:rFonts w:ascii="宋体" w:hAnsi="宋体" w:cs="宋体" w:eastAsia="宋体" w:hint="default"/>
                <w:sz w:val="16"/>
                <w:szCs w:val="16"/>
              </w:rPr>
            </w:pPr>
            <w:r>
              <w:rPr>
                <w:rFonts w:ascii="宋体" w:hAnsi="宋体" w:cs="宋体" w:eastAsia="宋体" w:hint="default"/>
                <w:sz w:val="16"/>
                <w:szCs w:val="16"/>
              </w:rPr>
              <w:t>账面价值</w:t>
            </w:r>
          </w:p>
        </w:tc>
        <w:tc>
          <w:tcPr>
            <w:tcW w:w="967" w:type="dxa"/>
            <w:tcBorders>
              <w:top w:val="nil" w:sz="6" w:space="0" w:color="auto"/>
              <w:left w:val="nil" w:sz="6" w:space="0" w:color="auto"/>
              <w:bottom w:val="nil" w:sz="6" w:space="0" w:color="auto"/>
              <w:right w:val="nil" w:sz="6" w:space="0" w:color="auto"/>
            </w:tcBorders>
          </w:tcPr>
          <w:p>
            <w:pPr>
              <w:pStyle w:val="TableParagraph"/>
              <w:spacing w:line="184" w:lineRule="exact"/>
              <w:ind w:right="17"/>
              <w:jc w:val="center"/>
              <w:rPr>
                <w:rFonts w:ascii="宋体" w:hAnsi="宋体" w:cs="宋体" w:eastAsia="宋体" w:hint="default"/>
                <w:sz w:val="16"/>
                <w:szCs w:val="16"/>
              </w:rPr>
            </w:pPr>
            <w:r>
              <w:rPr>
                <w:rFonts w:ascii="宋体" w:hAnsi="宋体" w:cs="宋体" w:eastAsia="宋体" w:hint="default"/>
                <w:sz w:val="16"/>
                <w:szCs w:val="16"/>
              </w:rPr>
              <w:t>公允价值</w:t>
            </w:r>
          </w:p>
        </w:tc>
        <w:tc>
          <w:tcPr>
            <w:tcW w:w="847" w:type="dxa"/>
            <w:tcBorders>
              <w:top w:val="nil" w:sz="6" w:space="0" w:color="auto"/>
              <w:left w:val="nil" w:sz="6" w:space="0" w:color="auto"/>
              <w:bottom w:val="nil" w:sz="6" w:space="0" w:color="auto"/>
              <w:right w:val="nil" w:sz="6" w:space="0" w:color="auto"/>
            </w:tcBorders>
          </w:tcPr>
          <w:p>
            <w:pPr>
              <w:pStyle w:val="TableParagraph"/>
              <w:spacing w:line="183" w:lineRule="exact"/>
              <w:ind w:left="138" w:right="0"/>
              <w:jc w:val="center"/>
              <w:rPr>
                <w:rFonts w:ascii="宋体" w:hAnsi="宋体" w:cs="宋体" w:eastAsia="宋体" w:hint="default"/>
                <w:sz w:val="16"/>
                <w:szCs w:val="16"/>
              </w:rPr>
            </w:pPr>
            <w:r>
              <w:rPr>
                <w:rFonts w:ascii="宋体" w:hAnsi="宋体" w:cs="宋体" w:eastAsia="宋体" w:hint="default"/>
                <w:sz w:val="16"/>
                <w:szCs w:val="16"/>
              </w:rPr>
              <w:t>的利得或</w:t>
            </w:r>
          </w:p>
        </w:tc>
      </w:tr>
      <w:tr>
        <w:trPr>
          <w:trHeight w:val="184" w:hRule="exact"/>
        </w:trPr>
        <w:tc>
          <w:tcPr>
            <w:tcW w:w="838" w:type="dxa"/>
            <w:tcBorders>
              <w:top w:val="nil" w:sz="6" w:space="0" w:color="auto"/>
              <w:left w:val="nil" w:sz="6" w:space="0" w:color="auto"/>
              <w:bottom w:val="nil" w:sz="6" w:space="0" w:color="auto"/>
              <w:right w:val="nil" w:sz="6" w:space="0" w:color="auto"/>
            </w:tcBorders>
          </w:tcPr>
          <w:p>
            <w:pPr/>
          </w:p>
        </w:tc>
        <w:tc>
          <w:tcPr>
            <w:tcW w:w="800" w:type="dxa"/>
            <w:tcBorders>
              <w:top w:val="nil" w:sz="6" w:space="0" w:color="auto"/>
              <w:left w:val="nil" w:sz="6" w:space="0" w:color="auto"/>
              <w:bottom w:val="nil" w:sz="6" w:space="0" w:color="auto"/>
              <w:right w:val="nil" w:sz="6" w:space="0" w:color="auto"/>
            </w:tcBorders>
          </w:tcPr>
          <w:p>
            <w:pPr/>
          </w:p>
        </w:tc>
        <w:tc>
          <w:tcPr>
            <w:tcW w:w="1273" w:type="dxa"/>
            <w:tcBorders>
              <w:top w:val="nil" w:sz="6" w:space="0" w:color="auto"/>
              <w:left w:val="nil" w:sz="6" w:space="0" w:color="auto"/>
              <w:bottom w:val="nil" w:sz="6" w:space="0" w:color="auto"/>
              <w:right w:val="nil" w:sz="6" w:space="0" w:color="auto"/>
            </w:tcBorders>
          </w:tcPr>
          <w:p>
            <w:pPr>
              <w:pStyle w:val="TableParagraph"/>
              <w:spacing w:line="184" w:lineRule="exact"/>
              <w:ind w:right="0"/>
              <w:jc w:val="center"/>
              <w:rPr>
                <w:rFonts w:ascii="宋体" w:hAnsi="宋体" w:cs="宋体" w:eastAsia="宋体" w:hint="default"/>
                <w:sz w:val="16"/>
                <w:szCs w:val="16"/>
              </w:rPr>
            </w:pPr>
            <w:r>
              <w:rPr>
                <w:rFonts w:ascii="宋体" w:hAnsi="宋体" w:cs="宋体" w:eastAsia="宋体" w:hint="default"/>
                <w:sz w:val="16"/>
                <w:szCs w:val="16"/>
              </w:rPr>
              <w:t>额的差额</w:t>
            </w:r>
          </w:p>
        </w:tc>
        <w:tc>
          <w:tcPr>
            <w:tcW w:w="944" w:type="dxa"/>
            <w:tcBorders>
              <w:top w:val="nil" w:sz="6" w:space="0" w:color="auto"/>
              <w:left w:val="nil" w:sz="6" w:space="0" w:color="auto"/>
              <w:bottom w:val="nil" w:sz="6" w:space="0" w:color="auto"/>
              <w:right w:val="nil" w:sz="6" w:space="0" w:color="auto"/>
            </w:tcBorders>
          </w:tcPr>
          <w:p>
            <w:pPr/>
          </w:p>
        </w:tc>
        <w:tc>
          <w:tcPr>
            <w:tcW w:w="942" w:type="dxa"/>
            <w:tcBorders>
              <w:top w:val="nil" w:sz="6" w:space="0" w:color="auto"/>
              <w:left w:val="nil" w:sz="6" w:space="0" w:color="auto"/>
              <w:bottom w:val="nil" w:sz="6" w:space="0" w:color="auto"/>
              <w:right w:val="nil" w:sz="6" w:space="0" w:color="auto"/>
            </w:tcBorders>
          </w:tcPr>
          <w:p>
            <w:pPr/>
          </w:p>
        </w:tc>
        <w:tc>
          <w:tcPr>
            <w:tcW w:w="967"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nil" w:sz="6" w:space="0" w:color="auto"/>
            </w:tcBorders>
          </w:tcPr>
          <w:p>
            <w:pPr>
              <w:pStyle w:val="TableParagraph"/>
              <w:spacing w:line="184" w:lineRule="exact"/>
              <w:ind w:left="138" w:right="0"/>
              <w:jc w:val="center"/>
              <w:rPr>
                <w:rFonts w:ascii="宋体" w:hAnsi="宋体" w:cs="宋体" w:eastAsia="宋体" w:hint="default"/>
                <w:sz w:val="16"/>
                <w:szCs w:val="16"/>
              </w:rPr>
            </w:pPr>
            <w:r>
              <w:rPr>
                <w:rFonts w:ascii="宋体" w:hAnsi="宋体" w:cs="宋体" w:eastAsia="宋体" w:hint="default"/>
                <w:sz w:val="16"/>
                <w:szCs w:val="16"/>
              </w:rPr>
              <w:t>损失</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p>
      <w:pPr>
        <w:pStyle w:val="Heading5"/>
        <w:tabs>
          <w:tab w:pos="853" w:val="left" w:leader="none"/>
        </w:tabs>
        <w:spacing w:line="240" w:lineRule="auto"/>
        <w:ind w:left="139" w:right="9623"/>
        <w:jc w:val="left"/>
        <w:rPr>
          <w:b w:val="0"/>
          <w:bCs w:val="0"/>
        </w:rPr>
      </w:pPr>
      <w:r>
        <w:rPr>
          <w:rFonts w:ascii="Times New Roman" w:hAnsi="Times New Roman" w:cs="Times New Roman" w:eastAsia="Times New Roman" w:hint="default"/>
          <w:w w:val="95"/>
        </w:rPr>
        <w:t>(</w:t>
      </w:r>
      <w:r>
        <w:rPr>
          <w:w w:val="95"/>
        </w:rPr>
        <w:t>二</w:t>
      </w:r>
      <w:r>
        <w:rPr>
          <w:rFonts w:ascii="Times New Roman" w:hAnsi="Times New Roman" w:cs="Times New Roman" w:eastAsia="Times New Roman" w:hint="default"/>
          <w:w w:val="95"/>
        </w:rPr>
        <w:t>)</w:t>
        <w:tab/>
      </w:r>
      <w:r>
        <w:rPr/>
        <w:t>其他原因的合并范围变动</w:t>
      </w:r>
      <w:r>
        <w:rPr>
          <w:b w:val="0"/>
          <w:bCs w:val="0"/>
        </w:rPr>
      </w:r>
    </w:p>
    <w:p>
      <w:pPr>
        <w:pStyle w:val="BodyText"/>
        <w:spacing w:line="240" w:lineRule="auto" w:before="110"/>
        <w:ind w:left="853" w:right="271"/>
        <w:jc w:val="left"/>
      </w:pPr>
      <w:r>
        <w:rPr>
          <w:rFonts w:ascii="Times New Roman" w:hAnsi="Times New Roman" w:cs="Times New Roman" w:eastAsia="Times New Roman" w:hint="default"/>
        </w:rPr>
        <w:t>1</w:t>
      </w:r>
      <w:r>
        <w:rPr/>
        <w:t>、本年度注销子公司</w:t>
      </w:r>
      <w:r>
        <w:rPr>
          <w:spacing w:val="-54"/>
        </w:rPr>
        <w:t> </w:t>
      </w:r>
      <w:r>
        <w:rPr>
          <w:rFonts w:ascii="Times New Roman" w:hAnsi="Times New Roman" w:cs="Times New Roman" w:eastAsia="Times New Roman" w:hint="default"/>
        </w:rPr>
        <w:t>3</w:t>
      </w:r>
      <w:r>
        <w:rPr>
          <w:rFonts w:ascii="Times New Roman" w:hAnsi="Times New Roman" w:cs="Times New Roman" w:eastAsia="Times New Roman" w:hint="default"/>
          <w:spacing w:val="-2"/>
        </w:rPr>
        <w:t> </w:t>
      </w:r>
      <w:r>
        <w:rPr/>
        <w:t>户，具体情况如下：</w:t>
      </w:r>
    </w:p>
    <w:p>
      <w:pPr>
        <w:pStyle w:val="BodyText"/>
        <w:spacing w:line="240" w:lineRule="auto"/>
        <w:ind w:left="853" w:right="271"/>
        <w:jc w:val="left"/>
      </w:pPr>
      <w:r>
        <w:rPr>
          <w:rFonts w:ascii="Times New Roman" w:hAnsi="Times New Roman" w:cs="Times New Roman" w:eastAsia="Times New Roman" w:hint="default"/>
        </w:rPr>
        <w:t>2018</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t>月，注销子公司深圳普士科技有限公司；</w:t>
      </w:r>
    </w:p>
    <w:p>
      <w:pPr>
        <w:pStyle w:val="BodyText"/>
        <w:spacing w:line="240" w:lineRule="auto"/>
        <w:ind w:left="853" w:right="271"/>
        <w:jc w:val="left"/>
      </w:pPr>
      <w:r>
        <w:rPr>
          <w:rFonts w:ascii="Times New Roman" w:hAnsi="Times New Roman" w:cs="Times New Roman" w:eastAsia="Times New Roman" w:hint="default"/>
        </w:rPr>
        <w:t>2018</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rPr>
        <w:t>9</w:t>
      </w:r>
      <w:r>
        <w:rPr>
          <w:rFonts w:ascii="Times New Roman" w:hAnsi="Times New Roman" w:cs="Times New Roman" w:eastAsia="Times New Roman" w:hint="default"/>
          <w:spacing w:val="-1"/>
        </w:rPr>
        <w:t> </w:t>
      </w:r>
      <w:r>
        <w:rPr/>
        <w:t>月，注销子公司长城信息海南系统技术有限公司；</w:t>
      </w:r>
    </w:p>
    <w:p>
      <w:pPr>
        <w:pStyle w:val="BodyText"/>
        <w:spacing w:line="240" w:lineRule="auto" w:before="110"/>
        <w:ind w:left="853" w:right="271"/>
        <w:jc w:val="left"/>
      </w:pPr>
      <w:r>
        <w:rPr>
          <w:rFonts w:ascii="Times New Roman" w:hAnsi="Times New Roman" w:cs="Times New Roman" w:eastAsia="Times New Roman" w:hint="default"/>
        </w:rPr>
        <w:t>2018</w:t>
      </w:r>
      <w:r>
        <w:rPr>
          <w:rFonts w:ascii="Times New Roman" w:hAnsi="Times New Roman" w:cs="Times New Roman" w:eastAsia="Times New Roman" w:hint="default"/>
          <w:spacing w:val="-3"/>
        </w:rPr>
        <w:t> </w:t>
      </w: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月，注销子公司北海长城能源科技有限公司。</w:t>
      </w:r>
    </w:p>
    <w:p>
      <w:pPr>
        <w:pStyle w:val="BodyText"/>
        <w:spacing w:line="240" w:lineRule="auto"/>
        <w:ind w:left="853" w:right="271"/>
        <w:jc w:val="left"/>
      </w:pPr>
      <w:r>
        <w:rPr>
          <w:rFonts w:ascii="Times New Roman" w:hAnsi="Times New Roman" w:cs="Times New Roman" w:eastAsia="Times New Roman" w:hint="default"/>
        </w:rPr>
        <w:t>2</w:t>
      </w:r>
      <w:r>
        <w:rPr/>
        <w:t>、本年度新设三级子公司</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户，具体情况如下：</w:t>
      </w:r>
    </w:p>
    <w:p>
      <w:pPr>
        <w:pStyle w:val="BodyText"/>
        <w:spacing w:line="240" w:lineRule="auto"/>
        <w:ind w:left="853" w:right="271"/>
        <w:jc w:val="left"/>
      </w:pPr>
      <w:r>
        <w:rPr>
          <w:rFonts w:ascii="Times New Roman" w:hAnsi="Times New Roman" w:cs="Times New Roman" w:eastAsia="Times New Roman" w:hint="default"/>
        </w:rPr>
        <w:t>2018</w:t>
      </w:r>
      <w:r>
        <w:rPr>
          <w:rFonts w:ascii="Times New Roman" w:hAnsi="Times New Roman" w:cs="Times New Roman" w:eastAsia="Times New Roman" w:hint="default"/>
          <w:spacing w:val="-16"/>
        </w:rPr>
        <w:t> </w:t>
      </w:r>
      <w:r>
        <w:rPr/>
        <w:t>年</w:t>
      </w:r>
      <w:r>
        <w:rPr>
          <w:spacing w:val="-68"/>
        </w:rPr>
        <w:t> </w:t>
      </w:r>
      <w:r>
        <w:rPr>
          <w:rFonts w:ascii="Times New Roman" w:hAnsi="Times New Roman" w:cs="Times New Roman" w:eastAsia="Times New Roman" w:hint="default"/>
        </w:rPr>
        <w:t>7</w:t>
      </w:r>
      <w:r>
        <w:rPr>
          <w:rFonts w:ascii="Times New Roman" w:hAnsi="Times New Roman" w:cs="Times New Roman" w:eastAsia="Times New Roman" w:hint="default"/>
          <w:spacing w:val="-15"/>
        </w:rPr>
        <w:t> </w:t>
      </w:r>
      <w:r>
        <w:rPr/>
        <w:t>月，公司子公司北京圣非凡电子系统技术开发有限公司和湖南天易集团有限公司共同出资设立湖南长城非凡信息科技有限公司，公司类</w:t>
      </w:r>
    </w:p>
    <w:p>
      <w:pPr>
        <w:pStyle w:val="BodyText"/>
        <w:spacing w:line="328" w:lineRule="auto" w:before="110"/>
        <w:ind w:left="853" w:right="271"/>
        <w:jc w:val="left"/>
      </w:pPr>
      <w:r>
        <w:rPr>
          <w:spacing w:val="-3"/>
        </w:rPr>
        <w:t>型为有限责任公司，注册资本人民币</w:t>
      </w:r>
      <w:r>
        <w:rPr>
          <w:spacing w:val="-59"/>
        </w:rPr>
        <w:t> </w:t>
      </w:r>
      <w:r>
        <w:rPr>
          <w:rFonts w:ascii="Times New Roman" w:hAnsi="Times New Roman" w:cs="Times New Roman" w:eastAsia="Times New Roman" w:hint="default"/>
        </w:rPr>
        <w:t>30,000</w:t>
      </w:r>
      <w:r>
        <w:rPr>
          <w:rFonts w:ascii="Times New Roman" w:hAnsi="Times New Roman" w:cs="Times New Roman" w:eastAsia="Times New Roman" w:hint="default"/>
          <w:spacing w:val="-5"/>
        </w:rPr>
        <w:t> </w:t>
      </w:r>
      <w:r>
        <w:rPr/>
        <w:t>万元，其中北京圣非凡电子系统技术开发有限公司认缴出资人民币</w:t>
      </w:r>
      <w:r>
        <w:rPr>
          <w:spacing w:val="-59"/>
        </w:rPr>
        <w:t> </w:t>
      </w:r>
      <w:r>
        <w:rPr>
          <w:rFonts w:ascii="Times New Roman" w:hAnsi="Times New Roman" w:cs="Times New Roman" w:eastAsia="Times New Roman" w:hint="default"/>
        </w:rPr>
        <w:t>18,000.00</w:t>
      </w:r>
      <w:r>
        <w:rPr>
          <w:rFonts w:ascii="Times New Roman" w:hAnsi="Times New Roman" w:cs="Times New Roman" w:eastAsia="Times New Roman" w:hint="default"/>
          <w:spacing w:val="-7"/>
        </w:rPr>
        <w:t> </w:t>
      </w:r>
      <w:r>
        <w:rPr>
          <w:spacing w:val="-6"/>
        </w:rPr>
        <w:t>万元，持股比例</w:t>
      </w:r>
      <w:r>
        <w:rPr>
          <w:spacing w:val="-59"/>
        </w:rPr>
        <w:t> </w:t>
      </w:r>
      <w:r>
        <w:rPr>
          <w:rFonts w:ascii="Times New Roman" w:hAnsi="Times New Roman" w:cs="Times New Roman" w:eastAsia="Times New Roman" w:hint="default"/>
        </w:rPr>
        <w:t>60.00%</w:t>
      </w:r>
      <w:r>
        <w:rPr/>
        <w:t>， 湖南天易集团有限公司认缴出资人民币</w:t>
      </w:r>
      <w:r>
        <w:rPr>
          <w:spacing w:val="-56"/>
        </w:rPr>
        <w:t> </w:t>
      </w:r>
      <w:r>
        <w:rPr>
          <w:rFonts w:ascii="Times New Roman" w:hAnsi="Times New Roman" w:cs="Times New Roman" w:eastAsia="Times New Roman" w:hint="default"/>
        </w:rPr>
        <w:t>12,000.00</w:t>
      </w:r>
      <w:r>
        <w:rPr>
          <w:rFonts w:ascii="Times New Roman" w:hAnsi="Times New Roman" w:cs="Times New Roman" w:eastAsia="Times New Roman" w:hint="default"/>
          <w:spacing w:val="-3"/>
        </w:rPr>
        <w:t> </w:t>
      </w:r>
      <w:r>
        <w:rPr/>
        <w:t>万元，持股比例</w:t>
      </w:r>
      <w:r>
        <w:rPr>
          <w:spacing w:val="-56"/>
        </w:rPr>
        <w:t> </w:t>
      </w:r>
      <w:r>
        <w:rPr>
          <w:rFonts w:ascii="Times New Roman" w:hAnsi="Times New Roman" w:cs="Times New Roman" w:eastAsia="Times New Roman" w:hint="default"/>
        </w:rPr>
        <w:t>40.00%</w:t>
      </w:r>
      <w:r>
        <w:rPr/>
        <w:t>。</w:t>
      </w:r>
    </w:p>
    <w:p>
      <w:pPr>
        <w:pStyle w:val="BodyText"/>
        <w:spacing w:line="240" w:lineRule="auto" w:before="23"/>
        <w:ind w:left="853" w:right="271"/>
        <w:jc w:val="left"/>
        <w:rPr>
          <w:rFonts w:ascii="Times New Roman" w:hAnsi="Times New Roman" w:cs="Times New Roman" w:eastAsia="Times New Roman" w:hint="default"/>
        </w:rPr>
      </w:pPr>
      <w:r>
        <w:rPr>
          <w:rFonts w:ascii="Times New Roman" w:hAnsi="Times New Roman" w:cs="Times New Roman" w:eastAsia="Times New Roman" w:hint="default"/>
        </w:rPr>
        <w:t>3</w:t>
      </w:r>
      <w:r>
        <w:rPr/>
        <w:t>、</w:t>
      </w:r>
      <w:r>
        <w:rPr>
          <w:rFonts w:ascii="Times New Roman" w:hAnsi="Times New Roman" w:cs="Times New Roman" w:eastAsia="Times New Roman" w:hint="default"/>
        </w:rPr>
        <w:t>2018</w:t>
      </w:r>
      <w:r>
        <w:rPr>
          <w:rFonts w:ascii="Times New Roman" w:hAnsi="Times New Roman" w:cs="Times New Roman" w:eastAsia="Times New Roman" w:hint="default"/>
          <w:spacing w:val="-2"/>
        </w:rPr>
        <w:t> </w:t>
      </w:r>
      <w:r>
        <w:rPr/>
        <w:t>年</w:t>
      </w:r>
      <w:r>
        <w:rPr>
          <w:spacing w:val="-56"/>
        </w:rPr>
        <w:t> </w:t>
      </w:r>
      <w:r>
        <w:rPr>
          <w:rFonts w:ascii="Times New Roman" w:hAnsi="Times New Roman" w:cs="Times New Roman" w:eastAsia="Times New Roman" w:hint="default"/>
        </w:rPr>
        <w:t>10</w:t>
      </w:r>
      <w:r>
        <w:rPr>
          <w:rFonts w:ascii="Times New Roman" w:hAnsi="Times New Roman" w:cs="Times New Roman" w:eastAsia="Times New Roman" w:hint="default"/>
          <w:spacing w:val="-2"/>
        </w:rPr>
        <w:t> </w:t>
      </w:r>
      <w:r>
        <w:rPr/>
        <w:t>月</w:t>
      </w:r>
      <w:r>
        <w:rPr>
          <w:spacing w:val="-56"/>
        </w:rPr>
        <w:t> </w:t>
      </w:r>
      <w:r>
        <w:rPr>
          <w:rFonts w:ascii="Times New Roman" w:hAnsi="Times New Roman" w:cs="Times New Roman" w:eastAsia="Times New Roman" w:hint="default"/>
          <w:spacing w:val="-4"/>
        </w:rPr>
        <w:t>11</w:t>
      </w:r>
      <w:r>
        <w:rPr>
          <w:rFonts w:ascii="Times New Roman" w:hAnsi="Times New Roman" w:cs="Times New Roman" w:eastAsia="Times New Roman" w:hint="default"/>
          <w:spacing w:val="-2"/>
        </w:rPr>
        <w:t> </w:t>
      </w:r>
      <w:r>
        <w:rPr/>
        <w:t>日，公司第七次董事会第七次会议审议通过关于对全资子公司股权结构调整，将持有的武汉中原电子集团有限公司</w:t>
      </w:r>
      <w:r>
        <w:rPr>
          <w:spacing w:val="-55"/>
        </w:rPr>
        <w:t> </w:t>
      </w:r>
      <w:r>
        <w:rPr>
          <w:rFonts w:ascii="Times New Roman" w:hAnsi="Times New Roman" w:cs="Times New Roman" w:eastAsia="Times New Roman" w:hint="default"/>
        </w:rPr>
        <w:t>100.00%</w:t>
      </w:r>
    </w:p>
    <w:p>
      <w:pPr>
        <w:pStyle w:val="BodyText"/>
        <w:spacing w:line="328" w:lineRule="auto" w:before="110"/>
        <w:ind w:left="853" w:right="270" w:hanging="1"/>
        <w:jc w:val="left"/>
      </w:pPr>
      <w:r>
        <w:rPr/>
        <w:t>股权和北京圣非凡电子系统技术开发有限公司</w:t>
      </w:r>
      <w:r>
        <w:rPr>
          <w:spacing w:val="-77"/>
        </w:rPr>
        <w:t> </w:t>
      </w:r>
      <w:r>
        <w:rPr>
          <w:rFonts w:ascii="Times New Roman" w:hAnsi="Times New Roman" w:cs="Times New Roman" w:eastAsia="Times New Roman" w:hint="default"/>
        </w:rPr>
        <w:t>100.00%</w:t>
      </w:r>
      <w:r>
        <w:rPr/>
        <w:t>股权按</w:t>
      </w:r>
      <w:r>
        <w:rPr>
          <w:spacing w:val="-77"/>
        </w:rPr>
        <w:t> </w:t>
      </w:r>
      <w:r>
        <w:rPr>
          <w:rFonts w:ascii="Times New Roman" w:hAnsi="Times New Roman" w:cs="Times New Roman" w:eastAsia="Times New Roman" w:hint="default"/>
        </w:rPr>
        <w:t>2017</w:t>
      </w:r>
      <w:r>
        <w:rPr>
          <w:rFonts w:ascii="Times New Roman" w:hAnsi="Times New Roman" w:cs="Times New Roman" w:eastAsia="Times New Roman" w:hint="default"/>
          <w:spacing w:val="-24"/>
        </w:rPr>
        <w:t> </w:t>
      </w:r>
      <w:r>
        <w:rPr/>
        <w:t>年</w:t>
      </w:r>
      <w:r>
        <w:rPr>
          <w:spacing w:val="-77"/>
        </w:rPr>
        <w:t> </w:t>
      </w:r>
      <w:r>
        <w:rPr>
          <w:rFonts w:ascii="Times New Roman" w:hAnsi="Times New Roman" w:cs="Times New Roman" w:eastAsia="Times New Roman" w:hint="default"/>
        </w:rPr>
        <w:t>12</w:t>
      </w:r>
      <w:r>
        <w:rPr>
          <w:rFonts w:ascii="Times New Roman" w:hAnsi="Times New Roman" w:cs="Times New Roman" w:eastAsia="Times New Roman" w:hint="default"/>
          <w:spacing w:val="-26"/>
        </w:rPr>
        <w:t> </w:t>
      </w:r>
      <w:r>
        <w:rPr/>
        <w:t>月</w:t>
      </w:r>
      <w:r>
        <w:rPr>
          <w:spacing w:val="-77"/>
        </w:rPr>
        <w:t> </w:t>
      </w:r>
      <w:r>
        <w:rPr>
          <w:rFonts w:ascii="Times New Roman" w:hAnsi="Times New Roman" w:cs="Times New Roman" w:eastAsia="Times New Roman" w:hint="default"/>
        </w:rPr>
        <w:t>31</w:t>
      </w:r>
      <w:r>
        <w:rPr>
          <w:rFonts w:ascii="Times New Roman" w:hAnsi="Times New Roman" w:cs="Times New Roman" w:eastAsia="Times New Roman" w:hint="default"/>
          <w:spacing w:val="-24"/>
        </w:rPr>
        <w:t> </w:t>
      </w:r>
      <w:r>
        <w:rPr/>
        <w:t>日经审计的账面净值划转给全资子公司湖南长城科技信息有限公司。 经上述结构调整后，武汉中原电子集团有限公司和北京圣非凡电子系统技术开发有限公司级次下沉。</w:t>
      </w:r>
    </w:p>
    <w:p>
      <w:pPr>
        <w:spacing w:line="240" w:lineRule="auto" w:before="6"/>
        <w:rPr>
          <w:rFonts w:ascii="宋体" w:hAnsi="宋体" w:cs="宋体" w:eastAsia="宋体" w:hint="default"/>
          <w:sz w:val="11"/>
          <w:szCs w:val="11"/>
        </w:rPr>
      </w:pPr>
    </w:p>
    <w:p>
      <w:pPr>
        <w:spacing w:before="44"/>
        <w:ind w:left="6245" w:right="6487" w:firstLine="0"/>
        <w:jc w:val="center"/>
        <w:rPr>
          <w:rFonts w:ascii="宋体" w:hAnsi="宋体" w:cs="宋体" w:eastAsia="宋体" w:hint="default"/>
          <w:sz w:val="18"/>
          <w:szCs w:val="18"/>
        </w:rPr>
      </w:pPr>
      <w:r>
        <w:rPr>
          <w:rFonts w:ascii="宋体" w:hAnsi="宋体" w:cs="宋体" w:eastAsia="宋体" w:hint="default"/>
          <w:sz w:val="18"/>
          <w:szCs w:val="18"/>
        </w:rPr>
        <w:t>财务报表附注第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8"/>
          <w:szCs w:val="18"/>
        </w:rPr>
      </w:pPr>
    </w:p>
    <w:p>
      <w:pPr>
        <w:spacing w:line="371" w:lineRule="exact"/>
        <w:ind w:left="10484" w:right="0" w:firstLine="0"/>
        <w:rPr>
          <w:rFonts w:ascii="宋体" w:hAnsi="宋体" w:cs="宋体" w:eastAsia="宋体" w:hint="default"/>
          <w:sz w:val="20"/>
          <w:szCs w:val="20"/>
        </w:rPr>
      </w:pPr>
      <w:r>
        <w:rPr>
          <w:rFonts w:ascii="宋体" w:hAnsi="宋体" w:cs="宋体" w:eastAsia="宋体" w:hint="default"/>
          <w:position w:val="-6"/>
          <w:sz w:val="20"/>
          <w:szCs w:val="20"/>
        </w:rPr>
        <w:drawing>
          <wp:inline distT="0" distB="0" distL="0" distR="0">
            <wp:extent cx="524065" cy="236029"/>
            <wp:effectExtent l="0" t="0" r="0" b="0"/>
            <wp:docPr id="31" name="image1.jpeg" descr=""/>
            <wp:cNvGraphicFramePr>
              <a:graphicFrameLocks noChangeAspect="1"/>
            </wp:cNvGraphicFramePr>
            <a:graphic>
              <a:graphicData uri="http://schemas.openxmlformats.org/drawingml/2006/picture">
                <pic:pic>
                  <pic:nvPicPr>
                    <pic:cNvPr id="32" name="image1.jpeg"/>
                    <pic:cNvPicPr/>
                  </pic:nvPicPr>
                  <pic:blipFill>
                    <a:blip r:embed="rId79" cstate="print"/>
                    <a:stretch>
                      <a:fillRect/>
                    </a:stretch>
                  </pic:blipFill>
                  <pic:spPr>
                    <a:xfrm>
                      <a:off x="0" y="0"/>
                      <a:ext cx="524065" cy="236029"/>
                    </a:xfrm>
                    <a:prstGeom prst="rect">
                      <a:avLst/>
                    </a:prstGeom>
                  </pic:spPr>
                </pic:pic>
              </a:graphicData>
            </a:graphic>
          </wp:inline>
        </w:drawing>
      </w:r>
      <w:r>
        <w:rPr>
          <w:rFonts w:ascii="宋体" w:hAnsi="宋体" w:cs="宋体" w:eastAsia="宋体" w:hint="default"/>
          <w:position w:val="-6"/>
          <w:sz w:val="20"/>
          <w:szCs w:val="20"/>
        </w:rPr>
      </w:r>
    </w:p>
    <w:p>
      <w:pPr>
        <w:spacing w:after="0" w:line="371" w:lineRule="exact"/>
        <w:rPr>
          <w:rFonts w:ascii="宋体" w:hAnsi="宋体" w:cs="宋体" w:eastAsia="宋体" w:hint="default"/>
          <w:sz w:val="20"/>
          <w:szCs w:val="20"/>
        </w:rPr>
        <w:sectPr>
          <w:headerReference w:type="default" r:id="rId365"/>
          <w:footerReference w:type="default" r:id="rId366"/>
          <w:pgSz w:w="16840" w:h="11910" w:orient="landscape"/>
          <w:pgMar w:header="0" w:footer="0" w:top="1100" w:bottom="0" w:left="1300" w:right="1060"/>
        </w:sectPr>
      </w:pPr>
    </w:p>
    <w:p>
      <w:pPr>
        <w:spacing w:line="240" w:lineRule="auto" w:before="7"/>
        <w:rPr>
          <w:rFonts w:ascii="宋体" w:hAnsi="宋体" w:cs="宋体" w:eastAsia="宋体" w:hint="default"/>
          <w:sz w:val="3"/>
          <w:szCs w:val="3"/>
        </w:rPr>
      </w:pPr>
      <w:r>
        <w:rPr/>
        <w:pict>
          <v:group style="position:absolute;margin-left:119.010002pt;margin-top:534.899658pt;width:411.8pt;height:64.4pt;mso-position-horizontal-relative:page;mso-position-vertical-relative:page;z-index:-1372624" coordorigin="2380,10698" coordsize="8236,1288">
            <v:shape style="position:absolute;left:4907;top:10698;width:10;height:28" type="#_x0000_t75" stroked="false">
              <v:imagedata r:id="rId67" o:title=""/>
            </v:shape>
            <v:shape style="position:absolute;left:5957;top:10698;width:10;height:28" type="#_x0000_t75" stroked="false">
              <v:imagedata r:id="rId67" o:title=""/>
            </v:shape>
            <v:shape style="position:absolute;left:7561;top:10698;width:10;height:28" type="#_x0000_t75" stroked="false">
              <v:imagedata r:id="rId67" o:title=""/>
            </v:shape>
            <v:shape style="position:absolute;left:9096;top:10698;width:10;height:28" type="#_x0000_t75" stroked="false">
              <v:imagedata r:id="rId67" o:title=""/>
            </v:shape>
            <v:shape style="position:absolute;left:4888;top:10706;width:4237;height:562" type="#_x0000_t75" stroked="false">
              <v:imagedata r:id="rId374" o:title=""/>
            </v:shape>
            <v:group style="position:absolute;left:2395;top:11971;width:2512;height:2" coordorigin="2395,11971" coordsize="2512,2">
              <v:shape style="position:absolute;left:2395;top:11971;width:2512;height:2" coordorigin="2395,11971" coordsize="2512,0" path="m2395,11971l4907,11971e" filled="false" stroked="true" strokeweight="1.5pt" strokecolor="#000000">
                <v:path arrowok="t"/>
              </v:shape>
            </v:group>
            <v:group style="position:absolute;left:4907;top:11971;width:1050;height:2" coordorigin="4907,11971" coordsize="1050,2">
              <v:shape style="position:absolute;left:4907;top:11971;width:1050;height:2" coordorigin="4907,11971" coordsize="1050,0" path="m4907,11971l5957,11971e" filled="false" stroked="true" strokeweight="1.5pt" strokecolor="#000000">
                <v:path arrowok="t"/>
              </v:shape>
            </v:group>
            <v:group style="position:absolute;left:5957;top:11971;width:1605;height:2" coordorigin="5957,11971" coordsize="1605,2">
              <v:shape style="position:absolute;left:5957;top:11971;width:1605;height:2" coordorigin="5957,11971" coordsize="1605,0" path="m5957,11971l7561,11971e" filled="false" stroked="true" strokeweight="1.5pt" strokecolor="#000000">
                <v:path arrowok="t"/>
              </v:shape>
            </v:group>
            <v:group style="position:absolute;left:7561;top:11971;width:1535;height:2" coordorigin="7561,11971" coordsize="1535,2">
              <v:shape style="position:absolute;left:7561;top:11971;width:1535;height:2" coordorigin="7561,11971" coordsize="1535,0" path="m7561,11971l9096,11971e" filled="false" stroked="true" strokeweight="1.5pt" strokecolor="#000000">
                <v:path arrowok="t"/>
              </v:shape>
              <v:shape style="position:absolute;left:2397;top:11236;width:8219;height:720" type="#_x0000_t75" stroked="false">
                <v:imagedata r:id="rId375" o:title=""/>
              </v:shape>
            </v:group>
            <v:group style="position:absolute;left:9096;top:11971;width:1502;height:2" coordorigin="9096,11971" coordsize="1502,2">
              <v:shape style="position:absolute;left:9096;top:11971;width:1502;height:2" coordorigin="9096,11971" coordsize="1502,0" path="m9096,11971l10597,11971e" filled="false" stroked="true" strokeweight="1.5pt" strokecolor="#000000">
                <v:path arrowok="t"/>
              </v:shape>
              <v:shape style="position:absolute;left:5018;top:10996;width:914;height:169" type="#_x0000_t202" filled="false" stroked="false">
                <v:textbox inset="0,0,0,0">
                  <w:txbxContent>
                    <w:p>
                      <w:pPr>
                        <w:spacing w:line="168" w:lineRule="exact" w:before="0"/>
                        <w:ind w:left="0" w:right="0" w:firstLine="0"/>
                        <w:jc w:val="left"/>
                        <w:rPr>
                          <w:rFonts w:ascii="宋体" w:hAnsi="宋体" w:cs="宋体" w:eastAsia="宋体" w:hint="default"/>
                          <w:sz w:val="16"/>
                          <w:szCs w:val="16"/>
                        </w:rPr>
                      </w:pPr>
                      <w:r>
                        <w:rPr>
                          <w:rFonts w:ascii="宋体" w:hAnsi="宋体" w:cs="宋体" w:eastAsia="宋体" w:hint="default"/>
                          <w:spacing w:val="-4"/>
                          <w:sz w:val="16"/>
                          <w:szCs w:val="16"/>
                        </w:rPr>
                        <w:t>股比例（</w:t>
                      </w:r>
                      <w:r>
                        <w:rPr>
                          <w:rFonts w:ascii="Times New Roman" w:hAnsi="Times New Roman" w:cs="Times New Roman" w:eastAsia="Times New Roman" w:hint="default"/>
                          <w:spacing w:val="-4"/>
                          <w:sz w:val="16"/>
                          <w:szCs w:val="16"/>
                        </w:rPr>
                        <w:t>%</w:t>
                      </w:r>
                      <w:r>
                        <w:rPr>
                          <w:rFonts w:ascii="宋体" w:hAnsi="宋体" w:cs="宋体" w:eastAsia="宋体" w:hint="default"/>
                          <w:spacing w:val="-4"/>
                          <w:sz w:val="16"/>
                          <w:szCs w:val="16"/>
                        </w:rPr>
                        <w:t>）</w:t>
                      </w:r>
                    </w:p>
                  </w:txbxContent>
                </v:textbox>
                <w10:wrap type="none"/>
              </v:shape>
              <v:shape style="position:absolute;left:6443;top:10996;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东的损益</w:t>
                      </w:r>
                      <w:r>
                        <w:rPr>
                          <w:rFonts w:ascii="宋体" w:hAnsi="宋体" w:cs="宋体" w:eastAsia="宋体" w:hint="default"/>
                          <w:sz w:val="16"/>
                          <w:szCs w:val="16"/>
                        </w:rPr>
                      </w:r>
                    </w:p>
                  </w:txbxContent>
                </v:textbox>
                <w10:wrap type="none"/>
              </v:shape>
              <v:shape style="position:absolute;left:7852;top:10996;width:95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告分派的股利</w:t>
                      </w:r>
                      <w:r>
                        <w:rPr>
                          <w:rFonts w:ascii="宋体" w:hAnsi="宋体" w:cs="宋体" w:eastAsia="宋体" w:hint="default"/>
                          <w:sz w:val="16"/>
                          <w:szCs w:val="16"/>
                        </w:rPr>
                      </w:r>
                    </w:p>
                  </w:txbxContent>
                </v:textbox>
                <w10:wrap type="none"/>
              </v:shape>
              <v:shape style="position:absolute;left:9688;top:10996;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余额</w:t>
                      </w:r>
                      <w:r>
                        <w:rPr>
                          <w:rFonts w:ascii="宋体" w:hAnsi="宋体" w:cs="宋体" w:eastAsia="宋体" w:hint="default"/>
                          <w:sz w:val="16"/>
                          <w:szCs w:val="16"/>
                        </w:rPr>
                      </w:r>
                    </w:p>
                  </w:txbxContent>
                </v:textbox>
                <w10:wrap type="none"/>
              </v:shape>
            </v:group>
            <w10:wrap type="none"/>
          </v:group>
        </w:pict>
      </w: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2pt;height:.5pt;mso-position-horizontal-relative:char;mso-position-vertical-relative:line" coordorigin="0,0" coordsize="8384,10">
            <v:group style="position:absolute;left:5;top:5;width:8374;height:2" coordorigin="5,5" coordsize="8374,2">
              <v:shape style="position:absolute;left:5;top:5;width:8374;height:2" coordorigin="5,5" coordsize="8374,0" path="m5,5l8378,5e" filled="false" stroked="true" strokeweight=".47998pt" strokecolor="#000000">
                <v:path arrowok="t"/>
              </v:shape>
            </v:group>
          </v:group>
        </w:pict>
      </w:r>
      <w:r>
        <w:rPr>
          <w:rFonts w:ascii="宋体" w:hAnsi="宋体" w:cs="宋体" w:eastAsia="宋体" w:hint="default"/>
          <w:sz w:val="2"/>
          <w:szCs w:val="2"/>
        </w:rPr>
      </w:r>
    </w:p>
    <w:p>
      <w:pPr>
        <w:spacing w:line="240" w:lineRule="auto" w:before="10"/>
        <w:rPr>
          <w:rFonts w:ascii="宋体" w:hAnsi="宋体" w:cs="宋体" w:eastAsia="宋体" w:hint="default"/>
          <w:sz w:val="12"/>
          <w:szCs w:val="12"/>
        </w:rPr>
      </w:pPr>
    </w:p>
    <w:p>
      <w:pPr>
        <w:pStyle w:val="Heading5"/>
        <w:tabs>
          <w:tab w:pos="851" w:val="left" w:leader="none"/>
        </w:tabs>
        <w:spacing w:line="240" w:lineRule="auto"/>
        <w:ind w:right="3681"/>
        <w:jc w:val="left"/>
        <w:rPr>
          <w:b w:val="0"/>
          <w:bCs w:val="0"/>
        </w:rPr>
      </w:pPr>
      <w:r>
        <w:rPr>
          <w:w w:val="95"/>
        </w:rPr>
        <w:t>七、</w:t>
        <w:tab/>
      </w:r>
      <w:r>
        <w:rPr/>
        <w:t>在其他主体中的权益</w:t>
      </w:r>
      <w:r>
        <w:rPr>
          <w:b w:val="0"/>
          <w:bCs w:val="0"/>
        </w:rPr>
      </w:r>
    </w:p>
    <w:p>
      <w:pPr>
        <w:pStyle w:val="Heading5"/>
        <w:tabs>
          <w:tab w:pos="851" w:val="left" w:leader="none"/>
        </w:tabs>
        <w:spacing w:line="240" w:lineRule="auto" w:before="125"/>
        <w:ind w:right="3681"/>
        <w:jc w:val="left"/>
        <w:rPr>
          <w:b w:val="0"/>
          <w:bCs w:val="0"/>
        </w:rPr>
      </w:pPr>
      <w:r>
        <w:rPr>
          <w:rFonts w:ascii="Times New Roman" w:hAnsi="Times New Roman" w:cs="Times New Roman" w:eastAsia="Times New Roman" w:hint="default"/>
          <w:w w:val="95"/>
        </w:rPr>
        <w:t>(</w:t>
      </w:r>
      <w:r>
        <w:rPr>
          <w:w w:val="95"/>
        </w:rPr>
        <w:t>一</w:t>
      </w:r>
      <w:r>
        <w:rPr>
          <w:rFonts w:ascii="Times New Roman" w:hAnsi="Times New Roman" w:cs="Times New Roman" w:eastAsia="Times New Roman" w:hint="default"/>
          <w:w w:val="95"/>
        </w:rPr>
        <w:t>)</w:t>
        <w:tab/>
      </w:r>
      <w:r>
        <w:rPr/>
        <w:t>在子公司中的权益</w:t>
      </w:r>
      <w:r>
        <w:rPr>
          <w:b w:val="0"/>
          <w:bCs w:val="0"/>
        </w:rPr>
      </w:r>
    </w:p>
    <w:p>
      <w:pPr>
        <w:pStyle w:val="Heading5"/>
        <w:tabs>
          <w:tab w:pos="1397" w:val="left" w:leader="none"/>
        </w:tabs>
        <w:spacing w:line="240" w:lineRule="auto" w:before="110"/>
        <w:ind w:left="846" w:right="3681"/>
        <w:jc w:val="left"/>
        <w:rPr>
          <w:b w:val="0"/>
          <w:bCs w:val="0"/>
        </w:rPr>
      </w:pPr>
      <w:r>
        <w:rPr/>
        <w:pict>
          <v:group style="position:absolute;margin-left:119.520004pt;margin-top:20.823244pt;width:411.55pt;height:342.8pt;mso-position-horizontal-relative:page;mso-position-vertical-relative:paragraph;z-index:-1372744" coordorigin="2390,416" coordsize="8231,6856">
            <v:group style="position:absolute;left:2410;top:431;width:2645;height:2" coordorigin="2410,431" coordsize="2645,2">
              <v:shape style="position:absolute;left:2410;top:431;width:2645;height:2" coordorigin="2410,431" coordsize="2645,0" path="m2410,431l5054,431e" filled="false" stroked="true" strokeweight="1.5pt" strokecolor="#000000">
                <v:path arrowok="t"/>
              </v:shape>
              <v:shape style="position:absolute;left:5054;top:446;width:10;height:28" type="#_x0000_t75" stroked="false">
                <v:imagedata r:id="rId102" o:title=""/>
              </v:shape>
            </v:group>
            <v:group style="position:absolute;left:5054;top:431;width:986;height:2" coordorigin="5054,431" coordsize="986,2">
              <v:shape style="position:absolute;left:5054;top:431;width:986;height:2" coordorigin="5054,431" coordsize="986,0" path="m5054,431l6040,431e" filled="false" stroked="true" strokeweight="1.5pt" strokecolor="#000000">
                <v:path arrowok="t"/>
              </v:shape>
              <v:shape style="position:absolute;left:6040;top:446;width:10;height:28" type="#_x0000_t75" stroked="false">
                <v:imagedata r:id="rId102" o:title=""/>
              </v:shape>
            </v:group>
            <v:group style="position:absolute;left:6040;top:431;width:989;height:2" coordorigin="6040,431" coordsize="989,2">
              <v:shape style="position:absolute;left:6040;top:431;width:989;height:2" coordorigin="6040,431" coordsize="989,0" path="m6040,431l7028,431e" filled="false" stroked="true" strokeweight="1.5pt" strokecolor="#000000">
                <v:path arrowok="t"/>
              </v:shape>
              <v:shape style="position:absolute;left:7028;top:446;width:10;height:28" type="#_x0000_t75" stroked="false">
                <v:imagedata r:id="rId102" o:title=""/>
              </v:shape>
            </v:group>
            <v:group style="position:absolute;left:7028;top:431;width:882;height:2" coordorigin="7028,431" coordsize="882,2">
              <v:shape style="position:absolute;left:7028;top:431;width:882;height:2" coordorigin="7028,431" coordsize="882,0" path="m7028,431l7910,431e" filled="false" stroked="true" strokeweight="1.5pt" strokecolor="#000000">
                <v:path arrowok="t"/>
              </v:shape>
              <v:shape style="position:absolute;left:7910;top:446;width:10;height:28" type="#_x0000_t75" stroked="false">
                <v:imagedata r:id="rId102" o:title=""/>
              </v:shape>
            </v:group>
            <v:group style="position:absolute;left:7910;top:431;width:1463;height:2" coordorigin="7910,431" coordsize="1463,2">
              <v:shape style="position:absolute;left:7910;top:431;width:1463;height:2" coordorigin="7910,431" coordsize="1463,0" path="m7910,431l9373,431e" filled="false" stroked="true" strokeweight="1.5pt" strokecolor="#000000">
                <v:path arrowok="t"/>
              </v:shape>
              <v:shape style="position:absolute;left:9373;top:446;width:10;height:28" type="#_x0000_t75" stroked="false">
                <v:imagedata r:id="rId102" o:title=""/>
              </v:shape>
            </v:group>
            <v:group style="position:absolute;left:9373;top:431;width:1224;height:2" coordorigin="9373,431" coordsize="1224,2">
              <v:shape style="position:absolute;left:9373;top:431;width:1224;height:2" coordorigin="9373,431" coordsize="1224,0" path="m9373,431l10597,431e" filled="false" stroked="true" strokeweight="1.5pt" strokecolor="#000000">
                <v:path arrowok="t"/>
              </v:shape>
              <v:shape style="position:absolute;left:5035;top:455;width:4367;height:708" type="#_x0000_t75" stroked="false">
                <v:imagedata r:id="rId376" o:title=""/>
              </v:shape>
              <v:shape style="position:absolute;left:2390;top:1124;width:8231;height:6148" type="#_x0000_t75" stroked="false">
                <v:imagedata r:id="rId377" o:title=""/>
              </v:shape>
              <v:shape style="position:absolute;left:6020;top:6710;width:48;height:562" type="#_x0000_t75" stroked="false">
                <v:imagedata r:id="rId378" o:title=""/>
              </v:shape>
              <v:shape style="position:absolute;left:7009;top:6710;width:48;height:562" type="#_x0000_t75" stroked="false">
                <v:imagedata r:id="rId378" o:title=""/>
              </v:shape>
              <v:shape style="position:absolute;left:7891;top:6710;width:48;height:562" type="#_x0000_t75" stroked="false">
                <v:imagedata r:id="rId379" o:title=""/>
              </v:shape>
              <v:shape style="position:absolute;left:8629;top:6710;width:48;height:562" type="#_x0000_t75" stroked="false">
                <v:imagedata r:id="rId378" o:title=""/>
              </v:shape>
              <v:shape style="position:absolute;left:9354;top:6710;width:48;height:562" type="#_x0000_t75" stroked="false">
                <v:imagedata r:id="rId378" o:title=""/>
              </v:shape>
              <v:shape style="position:absolute;left:3334;top:714;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子公司名称</w:t>
                      </w:r>
                      <w:r>
                        <w:rPr>
                          <w:rFonts w:ascii="宋体" w:hAnsi="宋体" w:cs="宋体" w:eastAsia="宋体" w:hint="default"/>
                          <w:sz w:val="16"/>
                          <w:szCs w:val="16"/>
                        </w:rPr>
                      </w:r>
                    </w:p>
                  </w:txbxContent>
                </v:textbox>
                <w10:wrap type="none"/>
              </v:shape>
              <v:shape style="position:absolute;left:5232;top:611;width:639;height:368" type="#_x0000_t202" filled="false" stroked="false">
                <v:textbox inset="0,0,0,0">
                  <w:txbxContent>
                    <w:p>
                      <w:pPr>
                        <w:spacing w:line="159" w:lineRule="exact" w:before="0"/>
                        <w:ind w:left="0" w:right="0" w:firstLine="0"/>
                        <w:jc w:val="center"/>
                        <w:rPr>
                          <w:rFonts w:ascii="宋体" w:hAnsi="宋体" w:cs="宋体" w:eastAsia="宋体" w:hint="default"/>
                          <w:sz w:val="16"/>
                          <w:szCs w:val="16"/>
                        </w:rPr>
                      </w:pPr>
                      <w:r>
                        <w:rPr>
                          <w:rFonts w:ascii="宋体" w:hAnsi="宋体" w:cs="宋体" w:eastAsia="宋体" w:hint="default"/>
                          <w:w w:val="95"/>
                          <w:sz w:val="16"/>
                          <w:szCs w:val="16"/>
                        </w:rPr>
                        <w:t>主要经营</w:t>
                      </w:r>
                      <w:r>
                        <w:rPr>
                          <w:rFonts w:ascii="宋体" w:hAnsi="宋体" w:cs="宋体" w:eastAsia="宋体" w:hint="default"/>
                          <w:sz w:val="16"/>
                          <w:szCs w:val="16"/>
                        </w:rPr>
                      </w:r>
                    </w:p>
                    <w:p>
                      <w:pPr>
                        <w:spacing w:line="208" w:lineRule="exact" w:before="0"/>
                        <w:ind w:left="1" w:right="0" w:firstLine="0"/>
                        <w:jc w:val="center"/>
                        <w:rPr>
                          <w:rFonts w:ascii="宋体" w:hAnsi="宋体" w:cs="宋体" w:eastAsia="宋体" w:hint="default"/>
                          <w:sz w:val="16"/>
                          <w:szCs w:val="16"/>
                        </w:rPr>
                      </w:pPr>
                      <w:r>
                        <w:rPr>
                          <w:rFonts w:ascii="宋体" w:hAnsi="宋体" w:cs="宋体" w:eastAsia="宋体" w:hint="default"/>
                          <w:w w:val="99"/>
                          <w:sz w:val="16"/>
                          <w:szCs w:val="16"/>
                        </w:rPr>
                        <w:t>地</w:t>
                      </w:r>
                      <w:r>
                        <w:rPr>
                          <w:rFonts w:ascii="宋体" w:hAnsi="宋体" w:cs="宋体" w:eastAsia="宋体" w:hint="default"/>
                          <w:sz w:val="16"/>
                          <w:szCs w:val="16"/>
                        </w:rPr>
                      </w:r>
                    </w:p>
                  </w:txbxContent>
                </v:textbox>
                <w10:wrap type="none"/>
              </v:shape>
              <v:shape style="position:absolute;left:8206;top:537;width:879;height:169" type="#_x0000_t202" filled="false" stroked="false">
                <v:textbox inset="0,0,0,0">
                  <w:txbxContent>
                    <w:p>
                      <w:pPr>
                        <w:spacing w:line="168" w:lineRule="exact" w:before="0"/>
                        <w:ind w:left="0" w:right="0" w:firstLine="0"/>
                        <w:jc w:val="left"/>
                        <w:rPr>
                          <w:rFonts w:ascii="Times New Roman" w:hAnsi="Times New Roman" w:cs="Times New Roman" w:eastAsia="Times New Roman" w:hint="default"/>
                          <w:sz w:val="16"/>
                          <w:szCs w:val="16"/>
                        </w:rPr>
                      </w:pPr>
                      <w:r>
                        <w:rPr>
                          <w:rFonts w:ascii="宋体" w:hAnsi="宋体" w:cs="宋体" w:eastAsia="宋体" w:hint="default"/>
                          <w:w w:val="95"/>
                          <w:sz w:val="16"/>
                          <w:szCs w:val="16"/>
                        </w:rPr>
                        <w:t>持股比例</w:t>
                      </w:r>
                      <w:r>
                        <w:rPr>
                          <w:rFonts w:ascii="Times New Roman" w:hAnsi="Times New Roman" w:cs="Times New Roman" w:eastAsia="Times New Roman" w:hint="default"/>
                          <w:w w:val="95"/>
                          <w:sz w:val="16"/>
                          <w:szCs w:val="16"/>
                        </w:rPr>
                        <w:t>(%)</w:t>
                      </w:r>
                      <w:r>
                        <w:rPr>
                          <w:rFonts w:ascii="Times New Roman" w:hAnsi="Times New Roman" w:cs="Times New Roman" w:eastAsia="Times New Roman" w:hint="default"/>
                          <w:sz w:val="16"/>
                          <w:szCs w:val="16"/>
                        </w:rPr>
                      </w:r>
                    </w:p>
                  </w:txbxContent>
                </v:textbox>
                <w10:wrap type="none"/>
              </v:shape>
              <v:shape style="position:absolute;left:6299;top:714;width:4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注册地</w:t>
                      </w:r>
                      <w:r>
                        <w:rPr>
                          <w:rFonts w:ascii="宋体" w:hAnsi="宋体" w:cs="宋体" w:eastAsia="宋体" w:hint="default"/>
                          <w:sz w:val="16"/>
                          <w:szCs w:val="16"/>
                        </w:rPr>
                      </w:r>
                    </w:p>
                  </w:txbxContent>
                </v:textbox>
                <w10:wrap type="none"/>
              </v:shape>
              <v:shape style="position:absolute;left:7154;top:714;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业务性质</w:t>
                      </w:r>
                      <w:r>
                        <w:rPr>
                          <w:rFonts w:ascii="宋体" w:hAnsi="宋体" w:cs="宋体" w:eastAsia="宋体" w:hint="default"/>
                          <w:sz w:val="16"/>
                          <w:szCs w:val="16"/>
                        </w:rPr>
                      </w:r>
                    </w:p>
                  </w:txbxContent>
                </v:textbox>
                <w10:wrap type="none"/>
              </v:shape>
              <v:shape style="position:absolute;left:9667;top:714;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取得方式</w:t>
                      </w:r>
                      <w:r>
                        <w:rPr>
                          <w:rFonts w:ascii="宋体" w:hAnsi="宋体" w:cs="宋体" w:eastAsia="宋体" w:hint="default"/>
                          <w:sz w:val="16"/>
                          <w:szCs w:val="16"/>
                        </w:rPr>
                      </w:r>
                    </w:p>
                  </w:txbxContent>
                </v:textbox>
                <w10:wrap type="none"/>
              </v:shape>
              <v:shape style="position:absolute;left:8123;top:891;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直接</w:t>
                      </w:r>
                      <w:r>
                        <w:rPr>
                          <w:rFonts w:ascii="宋体" w:hAnsi="宋体" w:cs="宋体" w:eastAsia="宋体" w:hint="default"/>
                          <w:sz w:val="16"/>
                          <w:szCs w:val="16"/>
                        </w:rPr>
                      </w:r>
                    </w:p>
                  </w:txbxContent>
                </v:textbox>
                <w10:wrap type="none"/>
              </v:shape>
              <v:shape style="position:absolute;left:8854;top:891;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间接</w:t>
                      </w:r>
                      <w:r>
                        <w:rPr>
                          <w:rFonts w:ascii="宋体" w:hAnsi="宋体" w:cs="宋体" w:eastAsia="宋体" w:hint="default"/>
                          <w:sz w:val="16"/>
                          <w:szCs w:val="16"/>
                        </w:rPr>
                      </w:r>
                    </w:p>
                  </w:txbxContent>
                </v:textbox>
                <w10:wrap type="none"/>
              </v:shape>
              <v:shape style="position:absolute;left:2518;top:1244;width:191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湖南长城科技信息有限公司</w:t>
                      </w:r>
                      <w:r>
                        <w:rPr>
                          <w:rFonts w:ascii="宋体" w:hAnsi="宋体" w:cs="宋体" w:eastAsia="宋体" w:hint="default"/>
                          <w:sz w:val="16"/>
                          <w:szCs w:val="16"/>
                        </w:rPr>
                      </w:r>
                    </w:p>
                  </w:txbxContent>
                </v:textbox>
                <w10:wrap type="none"/>
              </v:shape>
              <v:shape style="position:absolute;left:5167;top:1244;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湖南长沙</w:t>
                      </w:r>
                      <w:r>
                        <w:rPr>
                          <w:rFonts w:ascii="宋体" w:hAnsi="宋体" w:cs="宋体" w:eastAsia="宋体" w:hint="default"/>
                          <w:sz w:val="16"/>
                          <w:szCs w:val="16"/>
                        </w:rPr>
                      </w:r>
                    </w:p>
                  </w:txbxContent>
                </v:textbox>
                <w10:wrap type="none"/>
              </v:shape>
              <v:shape style="position:absolute;left:6152;top:1244;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湖南长沙</w:t>
                      </w:r>
                      <w:r>
                        <w:rPr>
                          <w:rFonts w:ascii="宋体" w:hAnsi="宋体" w:cs="宋体" w:eastAsia="宋体" w:hint="default"/>
                          <w:sz w:val="16"/>
                          <w:szCs w:val="16"/>
                        </w:rPr>
                      </w:r>
                    </w:p>
                  </w:txbxContent>
                </v:textbox>
                <w10:wrap type="none"/>
              </v:shape>
              <v:shape style="position:absolute;left:7141;top:1244;width:4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制造业</w:t>
                      </w:r>
                      <w:r>
                        <w:rPr>
                          <w:rFonts w:ascii="宋体" w:hAnsi="宋体" w:cs="宋体" w:eastAsia="宋体" w:hint="default"/>
                          <w:sz w:val="16"/>
                          <w:szCs w:val="16"/>
                        </w:rPr>
                      </w:r>
                    </w:p>
                  </w:txbxContent>
                </v:textbox>
                <w10:wrap type="none"/>
              </v:shape>
              <v:shape style="position:absolute;left:8104;top:1258;width:4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z w:val="16"/>
                        </w:rPr>
                        <w:t>100.00</w:t>
                      </w:r>
                    </w:p>
                  </w:txbxContent>
                </v:textbox>
                <w10:wrap type="none"/>
              </v:shape>
              <v:shape style="position:absolute;left:9485;top:1244;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设立</w:t>
                      </w:r>
                      <w:r>
                        <w:rPr>
                          <w:rFonts w:ascii="宋体" w:hAnsi="宋体" w:cs="宋体" w:eastAsia="宋体" w:hint="default"/>
                          <w:sz w:val="16"/>
                          <w:szCs w:val="16"/>
                        </w:rPr>
                      </w:r>
                    </w:p>
                  </w:txbxContent>
                </v:textbox>
                <w10:wrap type="none"/>
              </v:shape>
              <v:shape style="position:absolute;left:2518;top:1701;width:191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深圳中电长城能源有限公司</w:t>
                      </w:r>
                      <w:r>
                        <w:rPr>
                          <w:rFonts w:ascii="宋体" w:hAnsi="宋体" w:cs="宋体" w:eastAsia="宋体" w:hint="default"/>
                          <w:sz w:val="16"/>
                          <w:szCs w:val="16"/>
                        </w:rPr>
                      </w:r>
                    </w:p>
                  </w:txbxContent>
                </v:textbox>
                <w10:wrap type="none"/>
              </v:shape>
              <v:shape style="position:absolute;left:5167;top:1701;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广东深圳</w:t>
                      </w:r>
                      <w:r>
                        <w:rPr>
                          <w:rFonts w:ascii="宋体" w:hAnsi="宋体" w:cs="宋体" w:eastAsia="宋体" w:hint="default"/>
                          <w:sz w:val="16"/>
                          <w:szCs w:val="16"/>
                        </w:rPr>
                      </w:r>
                    </w:p>
                  </w:txbxContent>
                </v:textbox>
                <w10:wrap type="none"/>
              </v:shape>
              <v:shape style="position:absolute;left:6152;top:1701;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广东深圳</w:t>
                      </w:r>
                      <w:r>
                        <w:rPr>
                          <w:rFonts w:ascii="宋体" w:hAnsi="宋体" w:cs="宋体" w:eastAsia="宋体" w:hint="default"/>
                          <w:sz w:val="16"/>
                          <w:szCs w:val="16"/>
                        </w:rPr>
                      </w:r>
                    </w:p>
                  </w:txbxContent>
                </v:textbox>
                <w10:wrap type="none"/>
              </v:shape>
              <v:shape style="position:absolute;left:7141;top:1701;width:4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制造业</w:t>
                      </w:r>
                      <w:r>
                        <w:rPr>
                          <w:rFonts w:ascii="宋体" w:hAnsi="宋体" w:cs="宋体" w:eastAsia="宋体" w:hint="default"/>
                          <w:sz w:val="16"/>
                          <w:szCs w:val="16"/>
                        </w:rPr>
                      </w:r>
                    </w:p>
                  </w:txbxContent>
                </v:textbox>
                <w10:wrap type="none"/>
              </v:shape>
              <v:shape style="position:absolute;left:8104;top:1715;width:4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z w:val="16"/>
                        </w:rPr>
                        <w:t>100.00</w:t>
                      </w:r>
                    </w:p>
                  </w:txbxContent>
                </v:textbox>
                <w10:wrap type="none"/>
              </v:shape>
              <v:shape style="position:absolute;left:9485;top:1598;width:959;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同一控制下企</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业合并</w:t>
                      </w:r>
                    </w:p>
                  </w:txbxContent>
                </v:textbox>
                <w10:wrap type="none"/>
              </v:shape>
              <v:shape style="position:absolute;left:2518;top:2159;width:191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海南长城系统科技有限公司</w:t>
                      </w:r>
                      <w:r>
                        <w:rPr>
                          <w:rFonts w:ascii="宋体" w:hAnsi="宋体" w:cs="宋体" w:eastAsia="宋体" w:hint="default"/>
                          <w:sz w:val="16"/>
                          <w:szCs w:val="16"/>
                        </w:rPr>
                      </w:r>
                    </w:p>
                  </w:txbxContent>
                </v:textbox>
                <w10:wrap type="none"/>
              </v:shape>
              <v:shape style="position:absolute;left:5167;top:2159;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海南澄迈</w:t>
                      </w:r>
                      <w:r>
                        <w:rPr>
                          <w:rFonts w:ascii="宋体" w:hAnsi="宋体" w:cs="宋体" w:eastAsia="宋体" w:hint="default"/>
                          <w:sz w:val="16"/>
                          <w:szCs w:val="16"/>
                        </w:rPr>
                      </w:r>
                    </w:p>
                  </w:txbxContent>
                </v:textbox>
                <w10:wrap type="none"/>
              </v:shape>
              <v:shape style="position:absolute;left:6152;top:2159;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海南澄迈</w:t>
                      </w:r>
                      <w:r>
                        <w:rPr>
                          <w:rFonts w:ascii="宋体" w:hAnsi="宋体" w:cs="宋体" w:eastAsia="宋体" w:hint="default"/>
                          <w:sz w:val="16"/>
                          <w:szCs w:val="16"/>
                        </w:rPr>
                      </w:r>
                    </w:p>
                  </w:txbxContent>
                </v:textbox>
                <w10:wrap type="none"/>
              </v:shape>
              <v:shape style="position:absolute;left:7141;top:2159;width:4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制造业</w:t>
                      </w:r>
                      <w:r>
                        <w:rPr>
                          <w:rFonts w:ascii="宋体" w:hAnsi="宋体" w:cs="宋体" w:eastAsia="宋体" w:hint="default"/>
                          <w:sz w:val="16"/>
                          <w:szCs w:val="16"/>
                        </w:rPr>
                      </w:r>
                    </w:p>
                  </w:txbxContent>
                </v:textbox>
                <w10:wrap type="none"/>
              </v:shape>
              <v:shape style="position:absolute;left:8104;top:2173;width:4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z w:val="16"/>
                        </w:rPr>
                        <w:t>100.00</w:t>
                      </w:r>
                    </w:p>
                  </w:txbxContent>
                </v:textbox>
                <w10:wrap type="none"/>
              </v:shape>
              <v:shape style="position:absolute;left:9485;top:2159;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设立</w:t>
                      </w:r>
                      <w:r>
                        <w:rPr>
                          <w:rFonts w:ascii="宋体" w:hAnsi="宋体" w:cs="宋体" w:eastAsia="宋体" w:hint="default"/>
                          <w:sz w:val="16"/>
                          <w:szCs w:val="16"/>
                        </w:rPr>
                      </w:r>
                    </w:p>
                  </w:txbxContent>
                </v:textbox>
                <w10:wrap type="none"/>
              </v:shape>
              <v:shape style="position:absolute;left:2518;top:2513;width:20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湖南长城计算机系统有限公司</w:t>
                      </w:r>
                      <w:r>
                        <w:rPr>
                          <w:rFonts w:ascii="宋体" w:hAnsi="宋体" w:cs="宋体" w:eastAsia="宋体" w:hint="default"/>
                          <w:sz w:val="16"/>
                          <w:szCs w:val="16"/>
                        </w:rPr>
                      </w:r>
                    </w:p>
                  </w:txbxContent>
                </v:textbox>
                <w10:wrap type="none"/>
              </v:shape>
              <v:shape style="position:absolute;left:5167;top:2513;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湖南株洲</w:t>
                      </w:r>
                      <w:r>
                        <w:rPr>
                          <w:rFonts w:ascii="宋体" w:hAnsi="宋体" w:cs="宋体" w:eastAsia="宋体" w:hint="default"/>
                          <w:sz w:val="16"/>
                          <w:szCs w:val="16"/>
                        </w:rPr>
                      </w:r>
                    </w:p>
                  </w:txbxContent>
                </v:textbox>
                <w10:wrap type="none"/>
              </v:shape>
              <v:shape style="position:absolute;left:6152;top:2513;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湖南株洲</w:t>
                      </w:r>
                      <w:r>
                        <w:rPr>
                          <w:rFonts w:ascii="宋体" w:hAnsi="宋体" w:cs="宋体" w:eastAsia="宋体" w:hint="default"/>
                          <w:sz w:val="16"/>
                          <w:szCs w:val="16"/>
                        </w:rPr>
                      </w:r>
                    </w:p>
                  </w:txbxContent>
                </v:textbox>
                <w10:wrap type="none"/>
              </v:shape>
              <v:shape style="position:absolute;left:7141;top:2513;width:4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制造业</w:t>
                      </w:r>
                      <w:r>
                        <w:rPr>
                          <w:rFonts w:ascii="宋体" w:hAnsi="宋体" w:cs="宋体" w:eastAsia="宋体" w:hint="default"/>
                          <w:sz w:val="16"/>
                          <w:szCs w:val="16"/>
                        </w:rPr>
                      </w:r>
                    </w:p>
                  </w:txbxContent>
                </v:textbox>
                <w10:wrap type="none"/>
              </v:shape>
              <v:shape style="position:absolute;left:8104;top:2526;width:4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z w:val="16"/>
                        </w:rPr>
                        <w:t>100.00</w:t>
                      </w:r>
                    </w:p>
                  </w:txbxContent>
                </v:textbox>
                <w10:wrap type="none"/>
              </v:shape>
              <v:shape style="position:absolute;left:9485;top:2513;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设立</w:t>
                      </w:r>
                      <w:r>
                        <w:rPr>
                          <w:rFonts w:ascii="宋体" w:hAnsi="宋体" w:cs="宋体" w:eastAsia="宋体" w:hint="default"/>
                          <w:sz w:val="16"/>
                          <w:szCs w:val="16"/>
                        </w:rPr>
                      </w:r>
                    </w:p>
                  </w:txbxContent>
                </v:textbox>
                <w10:wrap type="none"/>
              </v:shape>
              <v:shape style="position:absolute;left:2518;top:2867;width:2399;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中国长城计算机（香港）控股有限</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公司</w:t>
                      </w:r>
                    </w:p>
                  </w:txbxContent>
                </v:textbox>
                <w10:wrap type="none"/>
              </v:shape>
              <v:shape style="position:absolute;left:5167;top:2970;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中国香港</w:t>
                      </w:r>
                      <w:r>
                        <w:rPr>
                          <w:rFonts w:ascii="宋体" w:hAnsi="宋体" w:cs="宋体" w:eastAsia="宋体" w:hint="default"/>
                          <w:sz w:val="16"/>
                          <w:szCs w:val="16"/>
                        </w:rPr>
                      </w:r>
                    </w:p>
                  </w:txbxContent>
                </v:textbox>
                <w10:wrap type="none"/>
              </v:shape>
              <v:shape style="position:absolute;left:6152;top:2970;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中国香港</w:t>
                      </w:r>
                      <w:r>
                        <w:rPr>
                          <w:rFonts w:ascii="宋体" w:hAnsi="宋体" w:cs="宋体" w:eastAsia="宋体" w:hint="default"/>
                          <w:sz w:val="16"/>
                          <w:szCs w:val="16"/>
                        </w:rPr>
                      </w:r>
                    </w:p>
                  </w:txbxContent>
                </v:textbox>
                <w10:wrap type="none"/>
              </v:shape>
              <v:shape style="position:absolute;left:7141;top:2970;width:4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制造业</w:t>
                      </w:r>
                      <w:r>
                        <w:rPr>
                          <w:rFonts w:ascii="宋体" w:hAnsi="宋体" w:cs="宋体" w:eastAsia="宋体" w:hint="default"/>
                          <w:sz w:val="16"/>
                          <w:szCs w:val="16"/>
                        </w:rPr>
                      </w:r>
                    </w:p>
                  </w:txbxContent>
                </v:textbox>
                <w10:wrap type="none"/>
              </v:shape>
              <v:shape style="position:absolute;left:8104;top:2983;width:4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z w:val="16"/>
                        </w:rPr>
                        <w:t>100.00</w:t>
                      </w:r>
                    </w:p>
                  </w:txbxContent>
                </v:textbox>
                <w10:wrap type="none"/>
              </v:shape>
              <v:shape style="position:absolute;left:9485;top:2867;width:959;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同一控制下企</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业合并</w:t>
                      </w:r>
                    </w:p>
                  </w:txbxContent>
                </v:textbox>
                <w10:wrap type="none"/>
              </v:shape>
              <v:shape style="position:absolute;left:2518;top:3531;width:159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柏怡国际控股有限公司</w:t>
                      </w:r>
                      <w:r>
                        <w:rPr>
                          <w:rFonts w:ascii="宋体" w:hAnsi="宋体" w:cs="宋体" w:eastAsia="宋体" w:hint="default"/>
                          <w:sz w:val="16"/>
                          <w:szCs w:val="16"/>
                        </w:rPr>
                      </w:r>
                    </w:p>
                  </w:txbxContent>
                </v:textbox>
                <w10:wrap type="none"/>
              </v:shape>
              <v:shape style="position:absolute;left:5167;top:3427;width:639;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英属维尔</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京群岛</w:t>
                      </w:r>
                    </w:p>
                  </w:txbxContent>
                </v:textbox>
                <w10:wrap type="none"/>
              </v:shape>
              <v:shape style="position:absolute;left:6152;top:3531;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中国香港</w:t>
                      </w:r>
                      <w:r>
                        <w:rPr>
                          <w:rFonts w:ascii="宋体" w:hAnsi="宋体" w:cs="宋体" w:eastAsia="宋体" w:hint="default"/>
                          <w:sz w:val="16"/>
                          <w:szCs w:val="16"/>
                        </w:rPr>
                      </w:r>
                    </w:p>
                  </w:txbxContent>
                </v:textbox>
                <w10:wrap type="none"/>
              </v:shape>
              <v:shape style="position:absolute;left:7141;top:3531;width:4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制造业</w:t>
                      </w:r>
                      <w:r>
                        <w:rPr>
                          <w:rFonts w:ascii="宋体" w:hAnsi="宋体" w:cs="宋体" w:eastAsia="宋体" w:hint="default"/>
                          <w:sz w:val="16"/>
                          <w:szCs w:val="16"/>
                        </w:rPr>
                      </w:r>
                    </w:p>
                  </w:txbxContent>
                </v:textbox>
                <w10:wrap type="none"/>
              </v:shape>
              <v:shape style="position:absolute;left:8184;top:3545;width:36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z w:val="16"/>
                        </w:rPr>
                        <w:t>51.00</w:t>
                      </w:r>
                    </w:p>
                  </w:txbxContent>
                </v:textbox>
                <w10:wrap type="none"/>
              </v:shape>
              <v:shape style="position:absolute;left:8909;top:3427;width:1535;height:368" type="#_x0000_t202" filled="false" stroked="false">
                <v:textbox inset="0,0,0,0">
                  <w:txbxContent>
                    <w:p>
                      <w:pPr>
                        <w:spacing w:line="128" w:lineRule="exact" w:before="0"/>
                        <w:ind w:left="575" w:right="0" w:firstLine="0"/>
                        <w:jc w:val="left"/>
                        <w:rPr>
                          <w:rFonts w:ascii="宋体" w:hAnsi="宋体" w:cs="宋体" w:eastAsia="宋体" w:hint="default"/>
                          <w:sz w:val="16"/>
                          <w:szCs w:val="16"/>
                        </w:rPr>
                      </w:pPr>
                      <w:r>
                        <w:rPr>
                          <w:rFonts w:ascii="宋体" w:hAnsi="宋体" w:cs="宋体" w:eastAsia="宋体" w:hint="default"/>
                          <w:w w:val="95"/>
                          <w:sz w:val="16"/>
                          <w:szCs w:val="16"/>
                        </w:rPr>
                        <w:t>非同一控制下</w:t>
                      </w:r>
                      <w:r>
                        <w:rPr>
                          <w:rFonts w:ascii="宋体" w:hAnsi="宋体" w:cs="宋体" w:eastAsia="宋体" w:hint="default"/>
                          <w:sz w:val="16"/>
                          <w:szCs w:val="16"/>
                        </w:rPr>
                      </w:r>
                    </w:p>
                    <w:p>
                      <w:pPr>
                        <w:tabs>
                          <w:tab w:pos="575" w:val="left" w:leader="none"/>
                        </w:tabs>
                        <w:spacing w:line="239" w:lineRule="exact" w:before="0"/>
                        <w:ind w:left="0" w:right="0" w:firstLine="0"/>
                        <w:jc w:val="left"/>
                        <w:rPr>
                          <w:rFonts w:ascii="宋体" w:hAnsi="宋体" w:cs="宋体" w:eastAsia="宋体" w:hint="default"/>
                          <w:sz w:val="16"/>
                          <w:szCs w:val="16"/>
                        </w:rPr>
                      </w:pPr>
                      <w:r>
                        <w:rPr>
                          <w:rFonts w:ascii="Times New Roman" w:hAnsi="Times New Roman" w:cs="Times New Roman" w:eastAsia="Times New Roman" w:hint="default"/>
                          <w:spacing w:val="-1"/>
                          <w:sz w:val="16"/>
                          <w:szCs w:val="16"/>
                        </w:rPr>
                        <w:t>20.00</w:t>
                        <w:tab/>
                      </w:r>
                      <w:r>
                        <w:rPr>
                          <w:rFonts w:ascii="宋体" w:hAnsi="宋体" w:cs="宋体" w:eastAsia="宋体" w:hint="default"/>
                          <w:position w:val="-9"/>
                          <w:sz w:val="16"/>
                          <w:szCs w:val="16"/>
                        </w:rPr>
                        <w:t>企业合并</w:t>
                      </w:r>
                      <w:r>
                        <w:rPr>
                          <w:rFonts w:ascii="宋体" w:hAnsi="宋体" w:cs="宋体" w:eastAsia="宋体" w:hint="default"/>
                          <w:sz w:val="16"/>
                          <w:szCs w:val="16"/>
                        </w:rPr>
                      </w:r>
                    </w:p>
                  </w:txbxContent>
                </v:textbox>
                <w10:wrap type="none"/>
              </v:shape>
              <v:shape style="position:absolute;left:2518;top:3989;width:239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湖南长城信息金融设备有限责任公</w:t>
                      </w:r>
                      <w:r>
                        <w:rPr>
                          <w:rFonts w:ascii="宋体" w:hAnsi="宋体" w:cs="宋体" w:eastAsia="宋体" w:hint="default"/>
                          <w:sz w:val="16"/>
                          <w:szCs w:val="16"/>
                        </w:rPr>
                      </w:r>
                    </w:p>
                  </w:txbxContent>
                </v:textbox>
                <w10:wrap type="none"/>
              </v:shape>
              <v:shape style="position:absolute;left:5167;top:4092;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湖南长沙</w:t>
                      </w:r>
                      <w:r>
                        <w:rPr>
                          <w:rFonts w:ascii="宋体" w:hAnsi="宋体" w:cs="宋体" w:eastAsia="宋体" w:hint="default"/>
                          <w:sz w:val="16"/>
                          <w:szCs w:val="16"/>
                        </w:rPr>
                      </w:r>
                    </w:p>
                  </w:txbxContent>
                </v:textbox>
                <w10:wrap type="none"/>
              </v:shape>
              <v:shape style="position:absolute;left:6152;top:4092;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湖南长沙</w:t>
                      </w:r>
                      <w:r>
                        <w:rPr>
                          <w:rFonts w:ascii="宋体" w:hAnsi="宋体" w:cs="宋体" w:eastAsia="宋体" w:hint="default"/>
                          <w:sz w:val="16"/>
                          <w:szCs w:val="16"/>
                        </w:rPr>
                      </w:r>
                    </w:p>
                  </w:txbxContent>
                </v:textbox>
                <w10:wrap type="none"/>
              </v:shape>
              <v:shape style="position:absolute;left:7141;top:4092;width:4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制造业</w:t>
                      </w:r>
                      <w:r>
                        <w:rPr>
                          <w:rFonts w:ascii="宋体" w:hAnsi="宋体" w:cs="宋体" w:eastAsia="宋体" w:hint="default"/>
                          <w:sz w:val="16"/>
                          <w:szCs w:val="16"/>
                        </w:rPr>
                      </w:r>
                    </w:p>
                  </w:txbxContent>
                </v:textbox>
                <w10:wrap type="none"/>
              </v:shape>
              <v:shape style="position:absolute;left:8104;top:4105;width:4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z w:val="16"/>
                        </w:rPr>
                        <w:t>100.00</w:t>
                      </w:r>
                    </w:p>
                  </w:txbxContent>
                </v:textbox>
                <w10:wrap type="none"/>
              </v:shape>
              <v:shape style="position:absolute;left:9485;top:3989;width:95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同一控制下企</w:t>
                      </w:r>
                      <w:r>
                        <w:rPr>
                          <w:rFonts w:ascii="宋体" w:hAnsi="宋体" w:cs="宋体" w:eastAsia="宋体" w:hint="default"/>
                          <w:sz w:val="16"/>
                          <w:szCs w:val="16"/>
                        </w:rPr>
                      </w:r>
                    </w:p>
                  </w:txbxContent>
                </v:textbox>
                <w10:wrap type="none"/>
              </v:shape>
              <v:shape style="position:absolute;left:9485;top:4757;width:4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业合并</w:t>
                      </w:r>
                      <w:r>
                        <w:rPr>
                          <w:rFonts w:ascii="宋体" w:hAnsi="宋体" w:cs="宋体" w:eastAsia="宋体" w:hint="default"/>
                          <w:sz w:val="16"/>
                          <w:szCs w:val="16"/>
                        </w:rPr>
                      </w:r>
                    </w:p>
                  </w:txbxContent>
                </v:textbox>
                <w10:wrap type="none"/>
              </v:shape>
              <v:shape style="position:absolute;left:8989;top:5227;width:975;height:251" type="#_x0000_t202" filled="false" stroked="false">
                <v:textbox inset="0,0,0,0">
                  <w:txbxContent>
                    <w:p>
                      <w:pPr>
                        <w:tabs>
                          <w:tab w:pos="495" w:val="left" w:leader="none"/>
                        </w:tabs>
                        <w:spacing w:line="250" w:lineRule="exact" w:before="0"/>
                        <w:ind w:left="0" w:right="0" w:firstLine="0"/>
                        <w:jc w:val="left"/>
                        <w:rPr>
                          <w:rFonts w:ascii="宋体" w:hAnsi="宋体" w:cs="宋体" w:eastAsia="宋体" w:hint="default"/>
                          <w:sz w:val="16"/>
                          <w:szCs w:val="16"/>
                        </w:rPr>
                      </w:pPr>
                      <w:r>
                        <w:rPr>
                          <w:rFonts w:ascii="Times New Roman" w:hAnsi="Times New Roman" w:cs="Times New Roman" w:eastAsia="Times New Roman" w:hint="default"/>
                          <w:spacing w:val="-1"/>
                          <w:sz w:val="16"/>
                          <w:szCs w:val="16"/>
                        </w:rPr>
                        <w:t>2.00</w:t>
                        <w:tab/>
                      </w:r>
                      <w:r>
                        <w:rPr>
                          <w:rFonts w:ascii="宋体" w:hAnsi="宋体" w:cs="宋体" w:eastAsia="宋体" w:hint="default"/>
                          <w:w w:val="95"/>
                          <w:position w:val="-9"/>
                          <w:sz w:val="16"/>
                          <w:szCs w:val="16"/>
                        </w:rPr>
                        <w:t>业合并</w:t>
                      </w:r>
                      <w:r>
                        <w:rPr>
                          <w:rFonts w:ascii="宋体" w:hAnsi="宋体" w:cs="宋体" w:eastAsia="宋体" w:hint="default"/>
                          <w:sz w:val="16"/>
                          <w:szCs w:val="16"/>
                        </w:rPr>
                      </w:r>
                    </w:p>
                  </w:txbxContent>
                </v:textbox>
                <w10:wrap type="none"/>
              </v:shape>
              <v:shape style="position:absolute;left:9485;top:5879;width:4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业合并</w:t>
                      </w:r>
                      <w:r>
                        <w:rPr>
                          <w:rFonts w:ascii="宋体" w:hAnsi="宋体" w:cs="宋体" w:eastAsia="宋体" w:hint="default"/>
                          <w:sz w:val="16"/>
                          <w:szCs w:val="16"/>
                        </w:rPr>
                      </w:r>
                    </w:p>
                  </w:txbxContent>
                </v:textbox>
                <w10:wrap type="none"/>
              </v:shape>
            </v:group>
            <w10:wrap type="none"/>
          </v:group>
        </w:pict>
      </w:r>
      <w:r>
        <w:rPr>
          <w:rFonts w:ascii="Times New Roman" w:hAnsi="Times New Roman" w:cs="Times New Roman" w:eastAsia="Times New Roman" w:hint="default"/>
          <w:w w:val="95"/>
        </w:rPr>
        <w:t>1</w:t>
      </w:r>
      <w:r>
        <w:rPr>
          <w:w w:val="95"/>
        </w:rPr>
        <w:t>、</w:t>
        <w:tab/>
      </w:r>
      <w:r>
        <w:rPr/>
        <w:t>企业集团的构成</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0"/>
          <w:szCs w:val="10"/>
        </w:rPr>
      </w:pPr>
    </w:p>
    <w:tbl>
      <w:tblPr>
        <w:tblW w:w="0" w:type="auto"/>
        <w:jc w:val="left"/>
        <w:tblInd w:w="735" w:type="dxa"/>
        <w:tblLayout w:type="fixed"/>
        <w:tblCellMar>
          <w:top w:w="0" w:type="dxa"/>
          <w:left w:w="0" w:type="dxa"/>
          <w:bottom w:w="0" w:type="dxa"/>
          <w:right w:w="0" w:type="dxa"/>
        </w:tblCellMar>
        <w:tblLook w:val="01E0"/>
      </w:tblPr>
      <w:tblGrid>
        <w:gridCol w:w="2666"/>
        <w:gridCol w:w="941"/>
        <w:gridCol w:w="963"/>
        <w:gridCol w:w="880"/>
        <w:gridCol w:w="1145"/>
        <w:gridCol w:w="1606"/>
      </w:tblGrid>
      <w:tr>
        <w:trPr>
          <w:trHeight w:val="824" w:hRule="exact"/>
        </w:trPr>
        <w:tc>
          <w:tcPr>
            <w:tcW w:w="2666" w:type="dxa"/>
            <w:tcBorders>
              <w:top w:val="nil" w:sz="6" w:space="0" w:color="auto"/>
              <w:left w:val="nil" w:sz="6" w:space="0" w:color="auto"/>
              <w:bottom w:val="nil" w:sz="6" w:space="0" w:color="auto"/>
              <w:right w:val="nil" w:sz="6" w:space="0" w:color="auto"/>
            </w:tcBorders>
          </w:tcPr>
          <w:p>
            <w:pPr>
              <w:pStyle w:val="TableParagraph"/>
              <w:spacing w:line="160" w:lineRule="exact"/>
              <w:ind w:left="122" w:right="0"/>
              <w:jc w:val="left"/>
              <w:rPr>
                <w:rFonts w:ascii="宋体" w:hAnsi="宋体" w:cs="宋体" w:eastAsia="宋体" w:hint="default"/>
                <w:sz w:val="16"/>
                <w:szCs w:val="16"/>
              </w:rPr>
            </w:pPr>
            <w:r>
              <w:rPr>
                <w:rFonts w:ascii="宋体" w:hAnsi="宋体" w:cs="宋体" w:eastAsia="宋体" w:hint="default"/>
                <w:w w:val="99"/>
                <w:sz w:val="16"/>
                <w:szCs w:val="16"/>
              </w:rPr>
              <w:t>司</w:t>
            </w:r>
            <w:r>
              <w:rPr>
                <w:rFonts w:ascii="宋体" w:hAnsi="宋体" w:cs="宋体" w:eastAsia="宋体" w:hint="default"/>
                <w:sz w:val="16"/>
                <w:szCs w:val="16"/>
              </w:rPr>
            </w:r>
          </w:p>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122" w:right="0"/>
              <w:jc w:val="left"/>
              <w:rPr>
                <w:rFonts w:ascii="宋体" w:hAnsi="宋体" w:cs="宋体" w:eastAsia="宋体" w:hint="default"/>
                <w:sz w:val="16"/>
                <w:szCs w:val="16"/>
              </w:rPr>
            </w:pPr>
            <w:r>
              <w:rPr>
                <w:rFonts w:ascii="宋体" w:hAnsi="宋体" w:cs="宋体" w:eastAsia="宋体" w:hint="default"/>
                <w:sz w:val="16"/>
                <w:szCs w:val="16"/>
              </w:rPr>
              <w:t>长沙湘计海盾科技有限公司</w:t>
            </w:r>
          </w:p>
        </w:tc>
        <w:tc>
          <w:tcPr>
            <w:tcW w:w="94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2"/>
              <w:ind w:right="0"/>
              <w:jc w:val="left"/>
              <w:rPr>
                <w:rFonts w:ascii="宋体" w:hAnsi="宋体" w:cs="宋体" w:eastAsia="宋体" w:hint="default"/>
                <w:b/>
                <w:bCs/>
                <w:sz w:val="15"/>
                <w:szCs w:val="15"/>
              </w:rPr>
            </w:pPr>
          </w:p>
          <w:p>
            <w:pPr>
              <w:pStyle w:val="TableParagraph"/>
              <w:spacing w:line="240" w:lineRule="auto"/>
              <w:ind w:right="195"/>
              <w:jc w:val="right"/>
              <w:rPr>
                <w:rFonts w:ascii="宋体" w:hAnsi="宋体" w:cs="宋体" w:eastAsia="宋体" w:hint="default"/>
                <w:sz w:val="16"/>
                <w:szCs w:val="16"/>
              </w:rPr>
            </w:pPr>
            <w:r>
              <w:rPr>
                <w:rFonts w:ascii="宋体" w:hAnsi="宋体" w:cs="宋体" w:eastAsia="宋体" w:hint="default"/>
                <w:w w:val="95"/>
                <w:sz w:val="16"/>
                <w:szCs w:val="16"/>
              </w:rPr>
              <w:t>湖南长沙</w:t>
            </w:r>
            <w:r>
              <w:rPr>
                <w:rFonts w:ascii="宋体" w:hAnsi="宋体" w:cs="宋体" w:eastAsia="宋体" w:hint="default"/>
                <w:sz w:val="16"/>
                <w:szCs w:val="16"/>
              </w:rPr>
            </w:r>
          </w:p>
        </w:tc>
        <w:tc>
          <w:tcPr>
            <w:tcW w:w="96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2"/>
              <w:ind w:right="0"/>
              <w:jc w:val="left"/>
              <w:rPr>
                <w:rFonts w:ascii="宋体" w:hAnsi="宋体" w:cs="宋体" w:eastAsia="宋体" w:hint="default"/>
                <w:b/>
                <w:bCs/>
                <w:sz w:val="15"/>
                <w:szCs w:val="15"/>
              </w:rPr>
            </w:pPr>
          </w:p>
          <w:p>
            <w:pPr>
              <w:pStyle w:val="TableParagraph"/>
              <w:spacing w:line="240" w:lineRule="auto"/>
              <w:ind w:right="23"/>
              <w:jc w:val="center"/>
              <w:rPr>
                <w:rFonts w:ascii="宋体" w:hAnsi="宋体" w:cs="宋体" w:eastAsia="宋体" w:hint="default"/>
                <w:sz w:val="16"/>
                <w:szCs w:val="16"/>
              </w:rPr>
            </w:pPr>
            <w:r>
              <w:rPr>
                <w:rFonts w:ascii="宋体" w:hAnsi="宋体" w:cs="宋体" w:eastAsia="宋体" w:hint="default"/>
                <w:sz w:val="16"/>
                <w:szCs w:val="16"/>
              </w:rPr>
              <w:t>湖南长沙</w:t>
            </w:r>
          </w:p>
        </w:tc>
        <w:tc>
          <w:tcPr>
            <w:tcW w:w="88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2"/>
              <w:ind w:right="0"/>
              <w:jc w:val="left"/>
              <w:rPr>
                <w:rFonts w:ascii="宋体" w:hAnsi="宋体" w:cs="宋体" w:eastAsia="宋体" w:hint="default"/>
                <w:b/>
                <w:bCs/>
                <w:sz w:val="15"/>
                <w:szCs w:val="15"/>
              </w:rPr>
            </w:pPr>
          </w:p>
          <w:p>
            <w:pPr>
              <w:pStyle w:val="TableParagraph"/>
              <w:spacing w:line="240" w:lineRule="auto"/>
              <w:ind w:left="175" w:right="0"/>
              <w:jc w:val="left"/>
              <w:rPr>
                <w:rFonts w:ascii="宋体" w:hAnsi="宋体" w:cs="宋体" w:eastAsia="宋体" w:hint="default"/>
                <w:sz w:val="16"/>
                <w:szCs w:val="16"/>
              </w:rPr>
            </w:pPr>
            <w:r>
              <w:rPr>
                <w:rFonts w:ascii="宋体" w:hAnsi="宋体" w:cs="宋体" w:eastAsia="宋体" w:hint="default"/>
                <w:sz w:val="16"/>
                <w:szCs w:val="16"/>
              </w:rPr>
              <w:t>制造业</w:t>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5"/>
              <w:ind w:right="0"/>
              <w:jc w:val="left"/>
              <w:rPr>
                <w:rFonts w:ascii="宋体" w:hAnsi="宋体" w:cs="宋体" w:eastAsia="宋体" w:hint="default"/>
                <w:b/>
                <w:bCs/>
                <w:sz w:val="18"/>
                <w:szCs w:val="18"/>
              </w:rPr>
            </w:pPr>
          </w:p>
          <w:p>
            <w:pPr>
              <w:pStyle w:val="TableParagraph"/>
              <w:spacing w:line="240" w:lineRule="auto"/>
              <w:ind w:left="258" w:right="0"/>
              <w:jc w:val="left"/>
              <w:rPr>
                <w:rFonts w:ascii="Times New Roman" w:hAnsi="Times New Roman" w:cs="Times New Roman" w:eastAsia="Times New Roman" w:hint="default"/>
                <w:sz w:val="16"/>
                <w:szCs w:val="16"/>
              </w:rPr>
            </w:pPr>
            <w:r>
              <w:rPr>
                <w:rFonts w:ascii="Times New Roman"/>
                <w:sz w:val="16"/>
              </w:rPr>
              <w:t>100.00</w:t>
            </w:r>
          </w:p>
        </w:tc>
        <w:tc>
          <w:tcPr>
            <w:tcW w:w="1606" w:type="dxa"/>
            <w:tcBorders>
              <w:top w:val="nil" w:sz="6" w:space="0" w:color="auto"/>
              <w:left w:val="nil" w:sz="6" w:space="0" w:color="auto"/>
              <w:bottom w:val="nil" w:sz="6" w:space="0" w:color="auto"/>
              <w:right w:val="nil" w:sz="6" w:space="0" w:color="auto"/>
            </w:tcBorders>
          </w:tcPr>
          <w:p>
            <w:pPr>
              <w:pStyle w:val="TableParagraph"/>
              <w:spacing w:line="160" w:lineRule="exact"/>
              <w:ind w:left="493" w:right="0"/>
              <w:jc w:val="left"/>
              <w:rPr>
                <w:rFonts w:ascii="宋体" w:hAnsi="宋体" w:cs="宋体" w:eastAsia="宋体" w:hint="default"/>
                <w:sz w:val="16"/>
                <w:szCs w:val="16"/>
              </w:rPr>
            </w:pPr>
            <w:r>
              <w:rPr>
                <w:rFonts w:ascii="宋体" w:hAnsi="宋体" w:cs="宋体" w:eastAsia="宋体" w:hint="default"/>
                <w:sz w:val="16"/>
                <w:szCs w:val="16"/>
              </w:rPr>
              <w:t>业合并</w:t>
            </w:r>
          </w:p>
          <w:p>
            <w:pPr>
              <w:pStyle w:val="TableParagraph"/>
              <w:spacing w:line="240" w:lineRule="auto" w:before="143"/>
              <w:ind w:left="493" w:right="0"/>
              <w:jc w:val="left"/>
              <w:rPr>
                <w:rFonts w:ascii="宋体" w:hAnsi="宋体" w:cs="宋体" w:eastAsia="宋体" w:hint="default"/>
                <w:sz w:val="16"/>
                <w:szCs w:val="16"/>
              </w:rPr>
            </w:pPr>
            <w:r>
              <w:rPr>
                <w:rFonts w:ascii="宋体" w:hAnsi="宋体" w:cs="宋体" w:eastAsia="宋体" w:hint="default"/>
                <w:sz w:val="16"/>
                <w:szCs w:val="16"/>
              </w:rPr>
              <w:t>同一控制下企</w:t>
            </w:r>
          </w:p>
        </w:tc>
      </w:tr>
      <w:tr>
        <w:trPr>
          <w:trHeight w:val="561" w:hRule="exact"/>
        </w:trPr>
        <w:tc>
          <w:tcPr>
            <w:tcW w:w="2666" w:type="dxa"/>
            <w:tcBorders>
              <w:top w:val="nil" w:sz="6" w:space="0" w:color="auto"/>
              <w:left w:val="nil" w:sz="6" w:space="0" w:color="auto"/>
              <w:bottom w:val="nil" w:sz="6" w:space="0" w:color="auto"/>
              <w:right w:val="nil" w:sz="6" w:space="0" w:color="auto"/>
            </w:tcBorders>
          </w:tcPr>
          <w:p>
            <w:pPr>
              <w:pStyle w:val="TableParagraph"/>
              <w:spacing w:line="240" w:lineRule="auto" w:before="144"/>
              <w:ind w:left="122" w:right="0"/>
              <w:jc w:val="left"/>
              <w:rPr>
                <w:rFonts w:ascii="宋体" w:hAnsi="宋体" w:cs="宋体" w:eastAsia="宋体" w:hint="default"/>
                <w:sz w:val="16"/>
                <w:szCs w:val="16"/>
              </w:rPr>
            </w:pPr>
            <w:r>
              <w:rPr>
                <w:rFonts w:ascii="宋体" w:hAnsi="宋体" w:cs="宋体" w:eastAsia="宋体" w:hint="default"/>
                <w:sz w:val="16"/>
                <w:szCs w:val="16"/>
              </w:rPr>
              <w:t>湖南长城医疗科技有限公司</w:t>
            </w:r>
          </w:p>
        </w:tc>
        <w:tc>
          <w:tcPr>
            <w:tcW w:w="941" w:type="dxa"/>
            <w:tcBorders>
              <w:top w:val="nil" w:sz="6" w:space="0" w:color="auto"/>
              <w:left w:val="nil" w:sz="6" w:space="0" w:color="auto"/>
              <w:bottom w:val="nil" w:sz="6" w:space="0" w:color="auto"/>
              <w:right w:val="nil" w:sz="6" w:space="0" w:color="auto"/>
            </w:tcBorders>
          </w:tcPr>
          <w:p>
            <w:pPr>
              <w:pStyle w:val="TableParagraph"/>
              <w:spacing w:line="240" w:lineRule="auto" w:before="144"/>
              <w:ind w:right="195"/>
              <w:jc w:val="right"/>
              <w:rPr>
                <w:rFonts w:ascii="宋体" w:hAnsi="宋体" w:cs="宋体" w:eastAsia="宋体" w:hint="default"/>
                <w:sz w:val="16"/>
                <w:szCs w:val="16"/>
              </w:rPr>
            </w:pPr>
            <w:r>
              <w:rPr>
                <w:rFonts w:ascii="宋体" w:hAnsi="宋体" w:cs="宋体" w:eastAsia="宋体" w:hint="default"/>
                <w:w w:val="95"/>
                <w:sz w:val="16"/>
                <w:szCs w:val="16"/>
              </w:rPr>
              <w:t>湖南长沙</w:t>
            </w:r>
            <w:r>
              <w:rPr>
                <w:rFonts w:ascii="宋体" w:hAnsi="宋体" w:cs="宋体" w:eastAsia="宋体" w:hint="default"/>
                <w:sz w:val="16"/>
                <w:szCs w:val="16"/>
              </w:rPr>
            </w:r>
          </w:p>
        </w:tc>
        <w:tc>
          <w:tcPr>
            <w:tcW w:w="963" w:type="dxa"/>
            <w:tcBorders>
              <w:top w:val="nil" w:sz="6" w:space="0" w:color="auto"/>
              <w:left w:val="nil" w:sz="6" w:space="0" w:color="auto"/>
              <w:bottom w:val="nil" w:sz="6" w:space="0" w:color="auto"/>
              <w:right w:val="nil" w:sz="6" w:space="0" w:color="auto"/>
            </w:tcBorders>
          </w:tcPr>
          <w:p>
            <w:pPr>
              <w:pStyle w:val="TableParagraph"/>
              <w:spacing w:line="240" w:lineRule="auto" w:before="144"/>
              <w:ind w:right="23"/>
              <w:jc w:val="center"/>
              <w:rPr>
                <w:rFonts w:ascii="宋体" w:hAnsi="宋体" w:cs="宋体" w:eastAsia="宋体" w:hint="default"/>
                <w:sz w:val="16"/>
                <w:szCs w:val="16"/>
              </w:rPr>
            </w:pPr>
            <w:r>
              <w:rPr>
                <w:rFonts w:ascii="宋体" w:hAnsi="宋体" w:cs="宋体" w:eastAsia="宋体" w:hint="default"/>
                <w:sz w:val="16"/>
                <w:szCs w:val="16"/>
              </w:rPr>
              <w:t>湖南长沙</w:t>
            </w:r>
          </w:p>
        </w:tc>
        <w:tc>
          <w:tcPr>
            <w:tcW w:w="880" w:type="dxa"/>
            <w:tcBorders>
              <w:top w:val="nil" w:sz="6" w:space="0" w:color="auto"/>
              <w:left w:val="nil" w:sz="6" w:space="0" w:color="auto"/>
              <w:bottom w:val="nil" w:sz="6" w:space="0" w:color="auto"/>
              <w:right w:val="nil" w:sz="6" w:space="0" w:color="auto"/>
            </w:tcBorders>
          </w:tcPr>
          <w:p>
            <w:pPr>
              <w:pStyle w:val="TableParagraph"/>
              <w:spacing w:line="240" w:lineRule="auto" w:before="144"/>
              <w:ind w:left="175" w:right="0"/>
              <w:jc w:val="left"/>
              <w:rPr>
                <w:rFonts w:ascii="宋体" w:hAnsi="宋体" w:cs="宋体" w:eastAsia="宋体" w:hint="default"/>
                <w:sz w:val="16"/>
                <w:szCs w:val="16"/>
              </w:rPr>
            </w:pPr>
            <w:r>
              <w:rPr>
                <w:rFonts w:ascii="宋体" w:hAnsi="宋体" w:cs="宋体" w:eastAsia="宋体" w:hint="default"/>
                <w:sz w:val="16"/>
                <w:szCs w:val="16"/>
              </w:rPr>
              <w:t>制造业</w:t>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left="338" w:right="0"/>
              <w:jc w:val="left"/>
              <w:rPr>
                <w:rFonts w:ascii="Times New Roman" w:hAnsi="Times New Roman" w:cs="Times New Roman" w:eastAsia="Times New Roman" w:hint="default"/>
                <w:sz w:val="16"/>
                <w:szCs w:val="16"/>
              </w:rPr>
            </w:pPr>
            <w:r>
              <w:rPr>
                <w:rFonts w:ascii="Times New Roman"/>
                <w:sz w:val="16"/>
              </w:rPr>
              <w:t>98.00</w:t>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51"/>
              <w:jc w:val="right"/>
              <w:rPr>
                <w:rFonts w:ascii="宋体" w:hAnsi="宋体" w:cs="宋体" w:eastAsia="宋体" w:hint="default"/>
                <w:sz w:val="16"/>
                <w:szCs w:val="16"/>
              </w:rPr>
            </w:pPr>
            <w:r>
              <w:rPr>
                <w:rFonts w:ascii="宋体" w:hAnsi="宋体" w:cs="宋体" w:eastAsia="宋体" w:hint="default"/>
                <w:w w:val="95"/>
                <w:sz w:val="16"/>
                <w:szCs w:val="16"/>
              </w:rPr>
              <w:t>同一控制下企</w:t>
            </w:r>
            <w:r>
              <w:rPr>
                <w:rFonts w:ascii="宋体" w:hAnsi="宋体" w:cs="宋体" w:eastAsia="宋体" w:hint="default"/>
                <w:sz w:val="16"/>
                <w:szCs w:val="16"/>
              </w:rPr>
            </w:r>
          </w:p>
        </w:tc>
      </w:tr>
      <w:tr>
        <w:trPr>
          <w:trHeight w:val="561" w:hRule="exact"/>
        </w:trPr>
        <w:tc>
          <w:tcPr>
            <w:tcW w:w="266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left="122" w:right="0"/>
              <w:jc w:val="left"/>
              <w:rPr>
                <w:rFonts w:ascii="宋体" w:hAnsi="宋体" w:cs="宋体" w:eastAsia="宋体" w:hint="default"/>
                <w:sz w:val="16"/>
                <w:szCs w:val="16"/>
              </w:rPr>
            </w:pPr>
            <w:r>
              <w:rPr>
                <w:rFonts w:ascii="宋体" w:hAnsi="宋体" w:cs="宋体" w:eastAsia="宋体" w:hint="default"/>
                <w:sz w:val="16"/>
                <w:szCs w:val="16"/>
              </w:rPr>
              <w:t>长沙中电软件园有限公司</w:t>
            </w:r>
          </w:p>
        </w:tc>
        <w:tc>
          <w:tcPr>
            <w:tcW w:w="94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right="195"/>
              <w:jc w:val="right"/>
              <w:rPr>
                <w:rFonts w:ascii="宋体" w:hAnsi="宋体" w:cs="宋体" w:eastAsia="宋体" w:hint="default"/>
                <w:sz w:val="16"/>
                <w:szCs w:val="16"/>
              </w:rPr>
            </w:pPr>
            <w:r>
              <w:rPr>
                <w:rFonts w:ascii="宋体" w:hAnsi="宋体" w:cs="宋体" w:eastAsia="宋体" w:hint="default"/>
                <w:w w:val="95"/>
                <w:sz w:val="16"/>
                <w:szCs w:val="16"/>
              </w:rPr>
              <w:t>湖南长沙</w:t>
            </w:r>
            <w:r>
              <w:rPr>
                <w:rFonts w:ascii="宋体" w:hAnsi="宋体" w:cs="宋体" w:eastAsia="宋体" w:hint="default"/>
                <w:sz w:val="16"/>
                <w:szCs w:val="16"/>
              </w:rPr>
            </w:r>
          </w:p>
        </w:tc>
        <w:tc>
          <w:tcPr>
            <w:tcW w:w="963"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right="23"/>
              <w:jc w:val="center"/>
              <w:rPr>
                <w:rFonts w:ascii="宋体" w:hAnsi="宋体" w:cs="宋体" w:eastAsia="宋体" w:hint="default"/>
                <w:sz w:val="16"/>
                <w:szCs w:val="16"/>
              </w:rPr>
            </w:pPr>
            <w:r>
              <w:rPr>
                <w:rFonts w:ascii="宋体" w:hAnsi="宋体" w:cs="宋体" w:eastAsia="宋体" w:hint="default"/>
                <w:sz w:val="16"/>
                <w:szCs w:val="16"/>
              </w:rPr>
              <w:t>湖南长沙</w:t>
            </w:r>
          </w:p>
        </w:tc>
        <w:tc>
          <w:tcPr>
            <w:tcW w:w="88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left="175" w:right="0"/>
              <w:jc w:val="left"/>
              <w:rPr>
                <w:rFonts w:ascii="宋体" w:hAnsi="宋体" w:cs="宋体" w:eastAsia="宋体" w:hint="default"/>
                <w:sz w:val="16"/>
                <w:szCs w:val="16"/>
              </w:rPr>
            </w:pPr>
            <w:r>
              <w:rPr>
                <w:rFonts w:ascii="宋体" w:hAnsi="宋体" w:cs="宋体" w:eastAsia="宋体" w:hint="default"/>
                <w:sz w:val="16"/>
                <w:szCs w:val="16"/>
              </w:rPr>
              <w:t>制造业</w:t>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338" w:right="0"/>
              <w:jc w:val="left"/>
              <w:rPr>
                <w:rFonts w:ascii="Times New Roman" w:hAnsi="Times New Roman" w:cs="Times New Roman" w:eastAsia="Times New Roman" w:hint="default"/>
                <w:sz w:val="16"/>
                <w:szCs w:val="16"/>
              </w:rPr>
            </w:pPr>
            <w:r>
              <w:rPr>
                <w:rFonts w:ascii="Times New Roman"/>
                <w:sz w:val="16"/>
              </w:rPr>
              <w:t>70.00</w:t>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51"/>
              <w:jc w:val="right"/>
              <w:rPr>
                <w:rFonts w:ascii="宋体" w:hAnsi="宋体" w:cs="宋体" w:eastAsia="宋体" w:hint="default"/>
                <w:sz w:val="16"/>
                <w:szCs w:val="16"/>
              </w:rPr>
            </w:pPr>
            <w:r>
              <w:rPr>
                <w:rFonts w:ascii="宋体" w:hAnsi="宋体" w:cs="宋体" w:eastAsia="宋体" w:hint="default"/>
                <w:w w:val="95"/>
                <w:sz w:val="16"/>
                <w:szCs w:val="16"/>
              </w:rPr>
              <w:t>同一控制下企</w:t>
            </w:r>
            <w:r>
              <w:rPr>
                <w:rFonts w:ascii="宋体" w:hAnsi="宋体" w:cs="宋体" w:eastAsia="宋体" w:hint="default"/>
                <w:sz w:val="16"/>
                <w:szCs w:val="16"/>
              </w:rPr>
            </w:r>
          </w:p>
        </w:tc>
      </w:tr>
      <w:tr>
        <w:trPr>
          <w:trHeight w:val="367" w:hRule="exact"/>
        </w:trPr>
        <w:tc>
          <w:tcPr>
            <w:tcW w:w="2666" w:type="dxa"/>
            <w:tcBorders>
              <w:top w:val="nil" w:sz="6" w:space="0" w:color="auto"/>
              <w:left w:val="nil" w:sz="6" w:space="0" w:color="auto"/>
              <w:bottom w:val="nil" w:sz="6" w:space="0" w:color="auto"/>
              <w:right w:val="nil" w:sz="6" w:space="0" w:color="auto"/>
            </w:tcBorders>
          </w:tcPr>
          <w:p>
            <w:pPr>
              <w:pStyle w:val="TableParagraph"/>
              <w:spacing w:line="240" w:lineRule="auto" w:before="144"/>
              <w:ind w:left="122" w:right="0"/>
              <w:jc w:val="left"/>
              <w:rPr>
                <w:rFonts w:ascii="宋体" w:hAnsi="宋体" w:cs="宋体" w:eastAsia="宋体" w:hint="default"/>
                <w:sz w:val="16"/>
                <w:szCs w:val="16"/>
              </w:rPr>
            </w:pPr>
            <w:r>
              <w:rPr>
                <w:rFonts w:ascii="宋体" w:hAnsi="宋体" w:cs="宋体" w:eastAsia="宋体" w:hint="default"/>
                <w:sz w:val="16"/>
                <w:szCs w:val="16"/>
              </w:rPr>
              <w:t>湖南凯杰科技有限责任公司</w:t>
            </w:r>
          </w:p>
        </w:tc>
        <w:tc>
          <w:tcPr>
            <w:tcW w:w="941" w:type="dxa"/>
            <w:tcBorders>
              <w:top w:val="nil" w:sz="6" w:space="0" w:color="auto"/>
              <w:left w:val="nil" w:sz="6" w:space="0" w:color="auto"/>
              <w:bottom w:val="nil" w:sz="6" w:space="0" w:color="auto"/>
              <w:right w:val="nil" w:sz="6" w:space="0" w:color="auto"/>
            </w:tcBorders>
          </w:tcPr>
          <w:p>
            <w:pPr>
              <w:pStyle w:val="TableParagraph"/>
              <w:spacing w:line="240" w:lineRule="auto" w:before="144"/>
              <w:ind w:right="195"/>
              <w:jc w:val="right"/>
              <w:rPr>
                <w:rFonts w:ascii="宋体" w:hAnsi="宋体" w:cs="宋体" w:eastAsia="宋体" w:hint="default"/>
                <w:sz w:val="16"/>
                <w:szCs w:val="16"/>
              </w:rPr>
            </w:pPr>
            <w:r>
              <w:rPr>
                <w:rFonts w:ascii="宋体" w:hAnsi="宋体" w:cs="宋体" w:eastAsia="宋体" w:hint="default"/>
                <w:w w:val="95"/>
                <w:sz w:val="16"/>
                <w:szCs w:val="16"/>
              </w:rPr>
              <w:t>湖南长沙</w:t>
            </w:r>
            <w:r>
              <w:rPr>
                <w:rFonts w:ascii="宋体" w:hAnsi="宋体" w:cs="宋体" w:eastAsia="宋体" w:hint="default"/>
                <w:sz w:val="16"/>
                <w:szCs w:val="16"/>
              </w:rPr>
            </w:r>
          </w:p>
        </w:tc>
        <w:tc>
          <w:tcPr>
            <w:tcW w:w="963" w:type="dxa"/>
            <w:tcBorders>
              <w:top w:val="nil" w:sz="6" w:space="0" w:color="auto"/>
              <w:left w:val="nil" w:sz="6" w:space="0" w:color="auto"/>
              <w:bottom w:val="nil" w:sz="6" w:space="0" w:color="auto"/>
              <w:right w:val="nil" w:sz="6" w:space="0" w:color="auto"/>
            </w:tcBorders>
          </w:tcPr>
          <w:p>
            <w:pPr>
              <w:pStyle w:val="TableParagraph"/>
              <w:spacing w:line="240" w:lineRule="auto" w:before="144"/>
              <w:ind w:right="23"/>
              <w:jc w:val="center"/>
              <w:rPr>
                <w:rFonts w:ascii="宋体" w:hAnsi="宋体" w:cs="宋体" w:eastAsia="宋体" w:hint="default"/>
                <w:sz w:val="16"/>
                <w:szCs w:val="16"/>
              </w:rPr>
            </w:pPr>
            <w:r>
              <w:rPr>
                <w:rFonts w:ascii="宋体" w:hAnsi="宋体" w:cs="宋体" w:eastAsia="宋体" w:hint="default"/>
                <w:sz w:val="16"/>
                <w:szCs w:val="16"/>
              </w:rPr>
              <w:t>湖南长沙</w:t>
            </w:r>
          </w:p>
        </w:tc>
        <w:tc>
          <w:tcPr>
            <w:tcW w:w="880" w:type="dxa"/>
            <w:tcBorders>
              <w:top w:val="nil" w:sz="6" w:space="0" w:color="auto"/>
              <w:left w:val="nil" w:sz="6" w:space="0" w:color="auto"/>
              <w:bottom w:val="nil" w:sz="6" w:space="0" w:color="auto"/>
              <w:right w:val="nil" w:sz="6" w:space="0" w:color="auto"/>
            </w:tcBorders>
          </w:tcPr>
          <w:p>
            <w:pPr>
              <w:pStyle w:val="TableParagraph"/>
              <w:spacing w:line="240" w:lineRule="auto" w:before="144"/>
              <w:ind w:left="175" w:right="0"/>
              <w:jc w:val="left"/>
              <w:rPr>
                <w:rFonts w:ascii="宋体" w:hAnsi="宋体" w:cs="宋体" w:eastAsia="宋体" w:hint="default"/>
                <w:sz w:val="16"/>
                <w:szCs w:val="16"/>
              </w:rPr>
            </w:pPr>
            <w:r>
              <w:rPr>
                <w:rFonts w:ascii="宋体" w:hAnsi="宋体" w:cs="宋体" w:eastAsia="宋体" w:hint="default"/>
                <w:sz w:val="16"/>
                <w:szCs w:val="16"/>
              </w:rPr>
              <w:t>制造业</w:t>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left="258" w:right="0"/>
              <w:jc w:val="left"/>
              <w:rPr>
                <w:rFonts w:ascii="Times New Roman" w:hAnsi="Times New Roman" w:cs="Times New Roman" w:eastAsia="Times New Roman" w:hint="default"/>
                <w:sz w:val="16"/>
                <w:szCs w:val="16"/>
              </w:rPr>
            </w:pPr>
            <w:r>
              <w:rPr>
                <w:rFonts w:ascii="Times New Roman"/>
                <w:sz w:val="16"/>
              </w:rPr>
              <w:t>100.00</w:t>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51"/>
              <w:jc w:val="right"/>
              <w:rPr>
                <w:rFonts w:ascii="宋体" w:hAnsi="宋体" w:cs="宋体" w:eastAsia="宋体" w:hint="default"/>
                <w:sz w:val="16"/>
                <w:szCs w:val="16"/>
              </w:rPr>
            </w:pPr>
            <w:r>
              <w:rPr>
                <w:rFonts w:ascii="宋体" w:hAnsi="宋体" w:cs="宋体" w:eastAsia="宋体" w:hint="default"/>
                <w:w w:val="95"/>
                <w:sz w:val="16"/>
                <w:szCs w:val="16"/>
              </w:rPr>
              <w:t>同一控制下企</w:t>
            </w:r>
            <w:r>
              <w:rPr>
                <w:rFonts w:ascii="宋体" w:hAnsi="宋体" w:cs="宋体" w:eastAsia="宋体" w:hint="default"/>
                <w:sz w:val="16"/>
                <w:szCs w:val="16"/>
              </w:rPr>
            </w:r>
          </w:p>
        </w:tc>
      </w:tr>
      <w:tr>
        <w:trPr>
          <w:trHeight w:val="468" w:hRule="exact"/>
        </w:trPr>
        <w:tc>
          <w:tcPr>
            <w:tcW w:w="8202" w:type="dxa"/>
            <w:gridSpan w:val="6"/>
            <w:tcBorders>
              <w:top w:val="nil" w:sz="6" w:space="0" w:color="auto"/>
              <w:left w:val="nil" w:sz="6" w:space="0" w:color="auto"/>
              <w:bottom w:val="nil" w:sz="6" w:space="0" w:color="auto"/>
              <w:right w:val="nil" w:sz="6" w:space="0" w:color="auto"/>
            </w:tcBorders>
          </w:tcPr>
          <w:p>
            <w:pPr>
              <w:pStyle w:val="TableParagraph"/>
              <w:spacing w:line="91" w:lineRule="exact"/>
              <w:ind w:right="631"/>
              <w:jc w:val="right"/>
              <w:rPr>
                <w:rFonts w:ascii="宋体" w:hAnsi="宋体" w:cs="宋体" w:eastAsia="宋体" w:hint="default"/>
                <w:sz w:val="16"/>
                <w:szCs w:val="16"/>
              </w:rPr>
            </w:pPr>
            <w:r>
              <w:rPr>
                <w:rFonts w:ascii="宋体" w:hAnsi="宋体" w:cs="宋体" w:eastAsia="宋体" w:hint="default"/>
                <w:w w:val="95"/>
                <w:sz w:val="16"/>
                <w:szCs w:val="16"/>
              </w:rPr>
              <w:t>业合并</w:t>
            </w:r>
            <w:r>
              <w:rPr>
                <w:rFonts w:ascii="宋体" w:hAnsi="宋体" w:cs="宋体" w:eastAsia="宋体" w:hint="default"/>
                <w:sz w:val="16"/>
                <w:szCs w:val="16"/>
              </w:rPr>
            </w:r>
          </w:p>
          <w:p>
            <w:pPr>
              <w:pStyle w:val="TableParagraph"/>
              <w:tabs>
                <w:tab w:pos="7089" w:val="left" w:leader="none"/>
              </w:tabs>
              <w:spacing w:line="240" w:lineRule="auto" w:before="143"/>
              <w:ind w:left="122" w:right="0"/>
              <w:jc w:val="left"/>
              <w:rPr>
                <w:rFonts w:ascii="宋体" w:hAnsi="宋体" w:cs="宋体" w:eastAsia="宋体" w:hint="default"/>
                <w:sz w:val="16"/>
                <w:szCs w:val="16"/>
              </w:rPr>
            </w:pPr>
            <w:r>
              <w:rPr>
                <w:rFonts w:ascii="宋体" w:hAnsi="宋体" w:cs="宋体" w:eastAsia="宋体" w:hint="default"/>
                <w:w w:val="95"/>
                <w:sz w:val="16"/>
                <w:szCs w:val="16"/>
              </w:rPr>
              <w:t>深圳中电长城信息安全系统有限公</w:t>
              <w:tab/>
            </w:r>
            <w:r>
              <w:rPr>
                <w:rFonts w:ascii="宋体" w:hAnsi="宋体" w:cs="宋体" w:eastAsia="宋体" w:hint="default"/>
                <w:sz w:val="16"/>
                <w:szCs w:val="16"/>
              </w:rPr>
              <w:t>同一控制下企</w:t>
            </w:r>
          </w:p>
        </w:tc>
      </w:tr>
      <w:tr>
        <w:trPr>
          <w:trHeight w:val="291" w:hRule="exact"/>
        </w:trPr>
        <w:tc>
          <w:tcPr>
            <w:tcW w:w="2666" w:type="dxa"/>
            <w:tcBorders>
              <w:top w:val="nil" w:sz="6" w:space="0" w:color="auto"/>
              <w:left w:val="nil" w:sz="6" w:space="0" w:color="auto"/>
              <w:bottom w:val="single" w:sz="12" w:space="0" w:color="000000"/>
              <w:right w:val="nil" w:sz="6" w:space="0" w:color="auto"/>
            </w:tcBorders>
          </w:tcPr>
          <w:p>
            <w:pPr>
              <w:pStyle w:val="TableParagraph"/>
              <w:spacing w:line="184" w:lineRule="exact"/>
              <w:ind w:left="122" w:right="0"/>
              <w:jc w:val="left"/>
              <w:rPr>
                <w:rFonts w:ascii="宋体" w:hAnsi="宋体" w:cs="宋体" w:eastAsia="宋体" w:hint="default"/>
                <w:sz w:val="16"/>
                <w:szCs w:val="16"/>
              </w:rPr>
            </w:pPr>
            <w:r>
              <w:rPr>
                <w:rFonts w:ascii="宋体" w:hAnsi="宋体" w:cs="宋体" w:eastAsia="宋体" w:hint="default"/>
                <w:w w:val="99"/>
                <w:sz w:val="16"/>
                <w:szCs w:val="16"/>
              </w:rPr>
              <w:t>司</w:t>
            </w:r>
            <w:r>
              <w:rPr>
                <w:rFonts w:ascii="宋体" w:hAnsi="宋体" w:cs="宋体" w:eastAsia="宋体" w:hint="default"/>
                <w:sz w:val="16"/>
                <w:szCs w:val="16"/>
              </w:rPr>
            </w:r>
          </w:p>
        </w:tc>
        <w:tc>
          <w:tcPr>
            <w:tcW w:w="5536" w:type="dxa"/>
            <w:gridSpan w:val="5"/>
            <w:tcBorders>
              <w:top w:val="nil" w:sz="6" w:space="0" w:color="auto"/>
              <w:left w:val="nil" w:sz="6" w:space="0" w:color="auto"/>
              <w:bottom w:val="single" w:sz="12" w:space="0" w:color="000000"/>
              <w:right w:val="nil" w:sz="6" w:space="0" w:color="auto"/>
            </w:tcBorders>
          </w:tcPr>
          <w:p>
            <w:pPr>
              <w:pStyle w:val="TableParagraph"/>
              <w:tabs>
                <w:tab w:pos="1090" w:val="left" w:leader="none"/>
                <w:tab w:pos="2079" w:val="left" w:leader="none"/>
                <w:tab w:pos="3041" w:val="left" w:leader="none"/>
                <w:tab w:pos="4423" w:val="left" w:leader="none"/>
              </w:tabs>
              <w:spacing w:line="185" w:lineRule="exact"/>
              <w:ind w:left="105" w:right="0"/>
              <w:jc w:val="left"/>
              <w:rPr>
                <w:rFonts w:ascii="宋体" w:hAnsi="宋体" w:cs="宋体" w:eastAsia="宋体" w:hint="default"/>
                <w:sz w:val="16"/>
                <w:szCs w:val="16"/>
              </w:rPr>
            </w:pPr>
            <w:r>
              <w:rPr>
                <w:rFonts w:ascii="宋体" w:hAnsi="宋体" w:cs="宋体" w:eastAsia="宋体" w:hint="default"/>
                <w:w w:val="95"/>
                <w:position w:val="1"/>
                <w:sz w:val="16"/>
                <w:szCs w:val="16"/>
              </w:rPr>
              <w:t>广东深圳</w:t>
              <w:tab/>
              <w:t>广东深圳</w:t>
              <w:tab/>
              <w:t>制造业</w:t>
              <w:tab/>
            </w:r>
            <w:r>
              <w:rPr>
                <w:rFonts w:ascii="Times New Roman" w:hAnsi="Times New Roman" w:cs="Times New Roman" w:eastAsia="Times New Roman" w:hint="default"/>
                <w:spacing w:val="-1"/>
                <w:sz w:val="16"/>
                <w:szCs w:val="16"/>
              </w:rPr>
              <w:t>100.00</w:t>
              <w:tab/>
            </w:r>
            <w:r>
              <w:rPr>
                <w:rFonts w:ascii="宋体" w:hAnsi="宋体" w:cs="宋体" w:eastAsia="宋体" w:hint="default"/>
                <w:position w:val="-9"/>
                <w:sz w:val="16"/>
                <w:szCs w:val="16"/>
              </w:rPr>
              <w:t>业合并</w:t>
            </w:r>
            <w:r>
              <w:rPr>
                <w:rFonts w:ascii="宋体" w:hAnsi="宋体" w:cs="宋体" w:eastAsia="宋体" w:hint="default"/>
                <w:sz w:val="16"/>
                <w:szCs w:val="16"/>
              </w:rPr>
            </w:r>
          </w:p>
        </w:tc>
      </w:tr>
      <w:tr>
        <w:trPr>
          <w:trHeight w:val="830" w:hRule="exact"/>
        </w:trPr>
        <w:tc>
          <w:tcPr>
            <w:tcW w:w="2666" w:type="dxa"/>
            <w:tcBorders>
              <w:top w:val="single" w:sz="12" w:space="0" w:color="000000"/>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22"/>
                <w:szCs w:val="22"/>
              </w:rPr>
            </w:pPr>
          </w:p>
          <w:p>
            <w:pPr>
              <w:pStyle w:val="TableParagraph"/>
              <w:spacing w:line="240" w:lineRule="auto" w:before="9"/>
              <w:ind w:right="0"/>
              <w:jc w:val="left"/>
              <w:rPr>
                <w:rFonts w:ascii="宋体" w:hAnsi="宋体" w:cs="宋体" w:eastAsia="宋体" w:hint="default"/>
                <w:b/>
                <w:bCs/>
                <w:sz w:val="15"/>
                <w:szCs w:val="15"/>
              </w:rPr>
            </w:pPr>
          </w:p>
          <w:p>
            <w:pPr>
              <w:pStyle w:val="TableParagraph"/>
              <w:tabs>
                <w:tab w:pos="662" w:val="left" w:leader="none"/>
              </w:tabs>
              <w:spacing w:line="240" w:lineRule="auto"/>
              <w:ind w:left="111" w:right="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重要的非全资子公司</w:t>
            </w:r>
            <w:r>
              <w:rPr>
                <w:rFonts w:ascii="宋体" w:hAnsi="宋体" w:cs="宋体" w:eastAsia="宋体" w:hint="default"/>
                <w:sz w:val="21"/>
                <w:szCs w:val="21"/>
              </w:rPr>
            </w:r>
          </w:p>
        </w:tc>
        <w:tc>
          <w:tcPr>
            <w:tcW w:w="5536" w:type="dxa"/>
            <w:gridSpan w:val="5"/>
            <w:tcBorders>
              <w:top w:val="single" w:sz="12" w:space="0" w:color="000000"/>
              <w:left w:val="nil" w:sz="6" w:space="0" w:color="auto"/>
              <w:bottom w:val="single" w:sz="12" w:space="0" w:color="000000"/>
              <w:right w:val="nil" w:sz="6" w:space="0" w:color="auto"/>
            </w:tcBorders>
          </w:tcPr>
          <w:p>
            <w:pPr/>
          </w:p>
        </w:tc>
      </w:tr>
      <w:tr>
        <w:trPr>
          <w:trHeight w:val="574" w:hRule="exact"/>
        </w:trPr>
        <w:tc>
          <w:tcPr>
            <w:tcW w:w="8202" w:type="dxa"/>
            <w:gridSpan w:val="6"/>
            <w:tcBorders>
              <w:top w:val="nil" w:sz="6" w:space="0" w:color="auto"/>
              <w:left w:val="nil" w:sz="6" w:space="0" w:color="auto"/>
              <w:bottom w:val="nil" w:sz="6" w:space="0" w:color="auto"/>
              <w:right w:val="nil" w:sz="6" w:space="0" w:color="auto"/>
            </w:tcBorders>
          </w:tcPr>
          <w:p>
            <w:pPr>
              <w:pStyle w:val="TableParagraph"/>
              <w:tabs>
                <w:tab w:pos="2639" w:val="left" w:leader="none"/>
                <w:tab w:pos="3727" w:val="left" w:leader="none"/>
                <w:tab w:pos="5296" w:val="left" w:leader="none"/>
                <w:tab w:pos="6813" w:val="left" w:leader="none"/>
              </w:tabs>
              <w:spacing w:line="240" w:lineRule="auto" w:before="56"/>
              <w:ind w:left="865" w:right="0"/>
              <w:jc w:val="left"/>
              <w:rPr>
                <w:rFonts w:ascii="宋体" w:hAnsi="宋体" w:cs="宋体" w:eastAsia="宋体" w:hint="default"/>
                <w:sz w:val="16"/>
                <w:szCs w:val="16"/>
              </w:rPr>
            </w:pPr>
            <w:r>
              <w:rPr>
                <w:rFonts w:ascii="宋体" w:hAnsi="宋体" w:cs="宋体" w:eastAsia="宋体" w:hint="default"/>
                <w:w w:val="95"/>
                <w:position w:val="-9"/>
                <w:sz w:val="16"/>
                <w:szCs w:val="16"/>
              </w:rPr>
              <w:t>子公司名称</w:t>
              <w:tab/>
            </w:r>
            <w:r>
              <w:rPr>
                <w:rFonts w:ascii="宋体" w:hAnsi="宋体" w:cs="宋体" w:eastAsia="宋体" w:hint="default"/>
                <w:w w:val="95"/>
                <w:sz w:val="16"/>
                <w:szCs w:val="16"/>
              </w:rPr>
              <w:t>少数股东持</w:t>
              <w:tab/>
              <w:t>本期归属于少数股</w:t>
              <w:tab/>
              <w:t>本期向少数股东宣</w:t>
              <w:tab/>
            </w:r>
            <w:r>
              <w:rPr>
                <w:rFonts w:ascii="宋体" w:hAnsi="宋体" w:cs="宋体" w:eastAsia="宋体" w:hint="default"/>
                <w:sz w:val="16"/>
                <w:szCs w:val="16"/>
              </w:rPr>
              <w:t>期末少数股东权益</w:t>
            </w:r>
          </w:p>
        </w:tc>
      </w:tr>
      <w:tr>
        <w:trPr>
          <w:trHeight w:val="356" w:hRule="exact"/>
        </w:trPr>
        <w:tc>
          <w:tcPr>
            <w:tcW w:w="2666"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22" w:right="0"/>
              <w:jc w:val="left"/>
              <w:rPr>
                <w:rFonts w:ascii="宋体" w:hAnsi="宋体" w:cs="宋体" w:eastAsia="宋体" w:hint="default"/>
                <w:sz w:val="16"/>
                <w:szCs w:val="16"/>
              </w:rPr>
            </w:pPr>
            <w:r>
              <w:rPr>
                <w:rFonts w:ascii="宋体" w:hAnsi="宋体" w:cs="宋体" w:eastAsia="宋体" w:hint="default"/>
                <w:sz w:val="16"/>
                <w:szCs w:val="16"/>
              </w:rPr>
              <w:t>柏怡国际控股有限公司</w:t>
            </w:r>
          </w:p>
        </w:tc>
        <w:tc>
          <w:tcPr>
            <w:tcW w:w="941"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47"/>
              <w:jc w:val="right"/>
              <w:rPr>
                <w:rFonts w:ascii="Times New Roman" w:hAnsi="Times New Roman" w:cs="Times New Roman" w:eastAsia="Times New Roman" w:hint="default"/>
                <w:sz w:val="16"/>
                <w:szCs w:val="16"/>
              </w:rPr>
            </w:pPr>
            <w:r>
              <w:rPr>
                <w:rFonts w:ascii="Times New Roman"/>
                <w:spacing w:val="-1"/>
                <w:sz w:val="16"/>
              </w:rPr>
              <w:t>29.00</w:t>
            </w:r>
          </w:p>
        </w:tc>
        <w:tc>
          <w:tcPr>
            <w:tcW w:w="184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5"/>
              <w:ind w:left="533" w:right="0"/>
              <w:jc w:val="left"/>
              <w:rPr>
                <w:rFonts w:ascii="Times New Roman" w:hAnsi="Times New Roman" w:cs="Times New Roman" w:eastAsia="Times New Roman" w:hint="default"/>
                <w:sz w:val="16"/>
                <w:szCs w:val="16"/>
              </w:rPr>
            </w:pPr>
            <w:r>
              <w:rPr>
                <w:rFonts w:ascii="Times New Roman"/>
                <w:sz w:val="16"/>
              </w:rPr>
              <w:t>19,498,282.62</w:t>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2"/>
              <w:jc w:val="right"/>
              <w:rPr>
                <w:rFonts w:ascii="Times New Roman" w:hAnsi="Times New Roman" w:cs="Times New Roman" w:eastAsia="Times New Roman" w:hint="default"/>
                <w:sz w:val="16"/>
                <w:szCs w:val="16"/>
              </w:rPr>
            </w:pPr>
            <w:r>
              <w:rPr>
                <w:rFonts w:ascii="Times New Roman"/>
                <w:spacing w:val="-1"/>
                <w:sz w:val="16"/>
              </w:rPr>
              <w:t>15,616,838.95</w:t>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05"/>
              <w:jc w:val="right"/>
              <w:rPr>
                <w:rFonts w:ascii="Times New Roman" w:hAnsi="Times New Roman" w:cs="Times New Roman" w:eastAsia="Times New Roman" w:hint="default"/>
                <w:sz w:val="16"/>
                <w:szCs w:val="16"/>
              </w:rPr>
            </w:pPr>
            <w:r>
              <w:rPr>
                <w:rFonts w:ascii="Times New Roman"/>
                <w:spacing w:val="-1"/>
                <w:sz w:val="16"/>
              </w:rPr>
              <w:t>128,891,918.30</w:t>
            </w:r>
          </w:p>
        </w:tc>
      </w:tr>
      <w:tr>
        <w:trPr>
          <w:trHeight w:val="358" w:hRule="exact"/>
        </w:trPr>
        <w:tc>
          <w:tcPr>
            <w:tcW w:w="2666"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2" w:right="0"/>
              <w:jc w:val="left"/>
              <w:rPr>
                <w:rFonts w:ascii="宋体" w:hAnsi="宋体" w:cs="宋体" w:eastAsia="宋体" w:hint="default"/>
                <w:sz w:val="16"/>
                <w:szCs w:val="16"/>
              </w:rPr>
            </w:pPr>
            <w:r>
              <w:rPr>
                <w:rFonts w:ascii="宋体" w:hAnsi="宋体" w:cs="宋体" w:eastAsia="宋体" w:hint="default"/>
                <w:sz w:val="16"/>
                <w:szCs w:val="16"/>
              </w:rPr>
              <w:t>长沙中电软件园有限公司</w:t>
            </w:r>
          </w:p>
        </w:tc>
        <w:tc>
          <w:tcPr>
            <w:tcW w:w="94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47"/>
              <w:jc w:val="right"/>
              <w:rPr>
                <w:rFonts w:ascii="Times New Roman" w:hAnsi="Times New Roman" w:cs="Times New Roman" w:eastAsia="Times New Roman" w:hint="default"/>
                <w:sz w:val="16"/>
                <w:szCs w:val="16"/>
              </w:rPr>
            </w:pPr>
            <w:r>
              <w:rPr>
                <w:rFonts w:ascii="Times New Roman"/>
                <w:spacing w:val="-1"/>
                <w:sz w:val="16"/>
              </w:rPr>
              <w:t>30.00</w:t>
            </w:r>
          </w:p>
        </w:tc>
        <w:tc>
          <w:tcPr>
            <w:tcW w:w="184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3"/>
              <w:ind w:left="533" w:right="0"/>
              <w:jc w:val="left"/>
              <w:rPr>
                <w:rFonts w:ascii="Times New Roman" w:hAnsi="Times New Roman" w:cs="Times New Roman" w:eastAsia="Times New Roman" w:hint="default"/>
                <w:sz w:val="16"/>
                <w:szCs w:val="16"/>
              </w:rPr>
            </w:pPr>
            <w:r>
              <w:rPr>
                <w:rFonts w:ascii="Times New Roman"/>
                <w:sz w:val="16"/>
              </w:rPr>
              <w:t>22,428,810.96</w:t>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
              <w:jc w:val="right"/>
              <w:rPr>
                <w:rFonts w:ascii="Times New Roman" w:hAnsi="Times New Roman" w:cs="Times New Roman" w:eastAsia="Times New Roman" w:hint="default"/>
                <w:sz w:val="16"/>
                <w:szCs w:val="16"/>
              </w:rPr>
            </w:pPr>
            <w:r>
              <w:rPr>
                <w:rFonts w:ascii="Times New Roman"/>
                <w:spacing w:val="-1"/>
                <w:sz w:val="16"/>
              </w:rPr>
              <w:t>5,665,418.34</w:t>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4"/>
              <w:jc w:val="right"/>
              <w:rPr>
                <w:rFonts w:ascii="Times New Roman" w:hAnsi="Times New Roman" w:cs="Times New Roman" w:eastAsia="Times New Roman" w:hint="default"/>
                <w:sz w:val="16"/>
                <w:szCs w:val="16"/>
              </w:rPr>
            </w:pPr>
            <w:r>
              <w:rPr>
                <w:rFonts w:ascii="Times New Roman"/>
                <w:spacing w:val="-1"/>
                <w:sz w:val="16"/>
              </w:rPr>
              <w:t>86,023,750.06</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6"/>
          <w:szCs w:val="16"/>
        </w:rPr>
      </w:pPr>
    </w:p>
    <w:p>
      <w:pPr>
        <w:spacing w:before="0"/>
        <w:ind w:left="0" w:right="1657" w:firstLine="0"/>
        <w:jc w:val="center"/>
        <w:rPr>
          <w:rFonts w:ascii="宋体" w:hAnsi="宋体" w:cs="宋体" w:eastAsia="宋体" w:hint="default"/>
          <w:sz w:val="18"/>
          <w:szCs w:val="18"/>
        </w:rPr>
      </w:pPr>
      <w:r>
        <w:rPr/>
        <w:pict>
          <v:shape style="position:absolute;margin-left:535.609985pt;margin-top:27.649025pt;width:59.499296pt;height:26.797393pt;mso-position-horizontal-relative:page;mso-position-vertical-relative:paragraph;z-index:31264" type="#_x0000_t75" stroked="false">
            <v:imagedata r:id="rId79" o:title=""/>
          </v:shape>
        </w:pict>
      </w:r>
      <w:r>
        <w:rPr>
          <w:rFonts w:ascii="宋体" w:hAnsi="宋体" w:cs="宋体" w:eastAsia="宋体" w:hint="default"/>
          <w:sz w:val="18"/>
          <w:szCs w:val="18"/>
        </w:rPr>
        <w:t>财务报表附注第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p>
      <w:pPr>
        <w:spacing w:after="0"/>
        <w:jc w:val="center"/>
        <w:rPr>
          <w:rFonts w:ascii="宋体" w:hAnsi="宋体" w:cs="宋体" w:eastAsia="宋体" w:hint="default"/>
          <w:sz w:val="18"/>
          <w:szCs w:val="18"/>
        </w:rPr>
        <w:sectPr>
          <w:headerReference w:type="default" r:id="rId372"/>
          <w:footerReference w:type="default" r:id="rId373"/>
          <w:pgSz w:w="11910" w:h="16840"/>
          <w:pgMar w:header="1302" w:footer="0" w:top="1620" w:bottom="0" w:left="1660" w:right="0"/>
        </w:sectPr>
      </w:pPr>
    </w:p>
    <w:p>
      <w:pPr>
        <w:spacing w:line="240" w:lineRule="auto" w:before="5"/>
        <w:rPr>
          <w:rFonts w:ascii="宋体" w:hAnsi="宋体" w:cs="宋体" w:eastAsia="宋体" w:hint="default"/>
          <w:sz w:val="18"/>
          <w:szCs w:val="18"/>
        </w:rPr>
      </w:pPr>
    </w:p>
    <w:p>
      <w:pPr>
        <w:spacing w:before="44"/>
        <w:ind w:left="139" w:right="0" w:firstLine="0"/>
        <w:jc w:val="left"/>
        <w:rPr>
          <w:rFonts w:ascii="宋体" w:hAnsi="宋体" w:cs="宋体" w:eastAsia="宋体" w:hint="default"/>
          <w:sz w:val="18"/>
          <w:szCs w:val="18"/>
        </w:rPr>
      </w:pPr>
      <w:r>
        <w:rPr>
          <w:rFonts w:ascii="宋体" w:hAnsi="宋体" w:cs="宋体" w:eastAsia="宋体" w:hint="default"/>
          <w:sz w:val="18"/>
          <w:szCs w:val="18"/>
        </w:rPr>
        <w:t>财务报表附注</w:t>
      </w:r>
    </w:p>
    <w:p>
      <w:pPr>
        <w:spacing w:line="240" w:lineRule="auto" w:before="7"/>
        <w:rPr>
          <w:rFonts w:ascii="宋体" w:hAnsi="宋体" w:cs="宋体" w:eastAsia="宋体" w:hint="default"/>
          <w:sz w:val="3"/>
          <w:szCs w:val="3"/>
        </w:r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701.5pt;height:.5pt;mso-position-horizontal-relative:char;mso-position-vertical-relative:line" coordorigin="0,0" coordsize="14030,10">
            <v:group style="position:absolute;left:5;top:5;width:14020;height:2" coordorigin="5,5" coordsize="14020,2">
              <v:shape style="position:absolute;left:5;top:5;width:14020;height:2" coordorigin="5,5" coordsize="14020,0" path="m5,5l14024,5e" filled="false" stroked="true" strokeweight=".48pt" strokecolor="#000000">
                <v:path arrowok="t"/>
              </v:shape>
            </v:group>
          </v:group>
        </w:pict>
      </w:r>
      <w:r>
        <w:rPr>
          <w:rFonts w:ascii="宋体" w:hAnsi="宋体" w:cs="宋体" w:eastAsia="宋体" w:hint="default"/>
          <w:sz w:val="2"/>
          <w:szCs w:val="2"/>
        </w:rPr>
      </w:r>
    </w:p>
    <w:p>
      <w:pPr>
        <w:spacing w:line="240" w:lineRule="auto" w:before="11"/>
        <w:rPr>
          <w:rFonts w:ascii="宋体" w:hAnsi="宋体" w:cs="宋体" w:eastAsia="宋体" w:hint="default"/>
          <w:sz w:val="12"/>
          <w:szCs w:val="12"/>
        </w:rPr>
      </w:pPr>
    </w:p>
    <w:p>
      <w:pPr>
        <w:pStyle w:val="Heading5"/>
        <w:tabs>
          <w:tab w:pos="1399" w:val="left" w:leader="none"/>
        </w:tabs>
        <w:spacing w:line="240" w:lineRule="auto"/>
        <w:ind w:left="849" w:right="0"/>
        <w:jc w:val="left"/>
        <w:rPr>
          <w:b w:val="0"/>
          <w:bCs w:val="0"/>
        </w:rPr>
      </w:pPr>
      <w:r>
        <w:rPr>
          <w:rFonts w:ascii="Times New Roman" w:hAnsi="Times New Roman" w:cs="Times New Roman" w:eastAsia="Times New Roman" w:hint="default"/>
          <w:w w:val="95"/>
        </w:rPr>
        <w:t>3</w:t>
      </w:r>
      <w:r>
        <w:rPr>
          <w:w w:val="95"/>
        </w:rPr>
        <w:t>、</w:t>
        <w:tab/>
      </w:r>
      <w:r>
        <w:rPr/>
        <w:t>重要非全资子公司的主要财务信息</w:t>
      </w:r>
      <w:r>
        <w:rPr>
          <w:b w:val="0"/>
          <w:bCs w:val="0"/>
        </w:rPr>
      </w:r>
    </w:p>
    <w:p>
      <w:pPr>
        <w:spacing w:line="1839" w:lineRule="exact"/>
        <w:ind w:left="722" w:right="0" w:firstLine="0"/>
        <w:rPr>
          <w:rFonts w:ascii="宋体" w:hAnsi="宋体" w:cs="宋体" w:eastAsia="宋体" w:hint="default"/>
          <w:sz w:val="20"/>
          <w:szCs w:val="20"/>
        </w:rPr>
      </w:pPr>
      <w:r>
        <w:rPr>
          <w:rFonts w:ascii="宋体" w:hAnsi="宋体" w:cs="宋体" w:eastAsia="宋体" w:hint="default"/>
          <w:position w:val="-36"/>
          <w:sz w:val="20"/>
          <w:szCs w:val="20"/>
        </w:rPr>
        <w:pict>
          <v:group style="width:683.25pt;height:92pt;mso-position-horizontal-relative:char;mso-position-vertical-relative:line" coordorigin="0,0" coordsize="13665,1840">
            <v:group style="position:absolute;left:29;top:15;width:953;height:2" coordorigin="29,15" coordsize="953,2">
              <v:shape style="position:absolute;left:29;top:15;width:953;height:2" coordorigin="29,15" coordsize="953,0" path="m29,15l982,15e" filled="false" stroked="true" strokeweight="1.5pt" strokecolor="#000000">
                <v:path arrowok="t"/>
              </v:shape>
              <v:shape style="position:absolute;left:982;top:30;width:10;height:28" type="#_x0000_t75" stroked="false">
                <v:imagedata r:id="rId186" o:title=""/>
              </v:shape>
            </v:group>
            <v:group style="position:absolute;left:982;top:15;width:6200;height:2" coordorigin="982,15" coordsize="6200,2">
              <v:shape style="position:absolute;left:982;top:15;width:6200;height:2" coordorigin="982,15" coordsize="6200,0" path="m982,15l7181,15e" filled="false" stroked="true" strokeweight="1.5pt" strokecolor="#000000">
                <v:path arrowok="t"/>
              </v:shape>
              <v:shape style="position:absolute;left:7181;top:30;width:10;height:28" type="#_x0000_t75" stroked="false">
                <v:imagedata r:id="rId186" o:title=""/>
              </v:shape>
            </v:group>
            <v:group style="position:absolute;left:7181;top:15;width:6456;height:2" coordorigin="7181,15" coordsize="6456,2">
              <v:shape style="position:absolute;left:7181;top:15;width:6456;height:2" coordorigin="7181,15" coordsize="6456,0" path="m7181,15l13637,15e" filled="false" stroked="true" strokeweight="1.5pt" strokecolor="#000000">
                <v:path arrowok="t"/>
              </v:shape>
              <v:shape style="position:absolute;left:963;top:38;width:6247;height:350" type="#_x0000_t75" stroked="false">
                <v:imagedata r:id="rId382" o:title=""/>
              </v:shape>
              <v:shape style="position:absolute;left:963;top:350;width:12702;height:386" type="#_x0000_t75" stroked="false">
                <v:imagedata r:id="rId383" o:title=""/>
              </v:shape>
            </v:group>
            <v:group style="position:absolute;left:15;top:1825;width:968;height:2" coordorigin="15,1825" coordsize="968,2">
              <v:shape style="position:absolute;left:15;top:1825;width:968;height:2" coordorigin="15,1825" coordsize="968,0" path="m15,1825l982,1825e" filled="false" stroked="true" strokeweight="1.5pt" strokecolor="#000000">
                <v:path arrowok="t"/>
              </v:shape>
              <v:shape style="position:absolute;left:10;top:698;width:13655;height:1130" type="#_x0000_t75" stroked="false">
                <v:imagedata r:id="rId384" o:title=""/>
              </v:shape>
            </v:group>
            <v:group style="position:absolute;left:982;top:1825;width:959;height:2" coordorigin="982,1825" coordsize="959,2">
              <v:shape style="position:absolute;left:982;top:1825;width:959;height:2" coordorigin="982,1825" coordsize="959,0" path="m982,1825l1941,1825e" filled="false" stroked="true" strokeweight="1.5pt" strokecolor="#000000">
                <v:path arrowok="t"/>
              </v:shape>
              <v:shape style="position:absolute;left:1922;top:1283;width:48;height:546" type="#_x0000_t75" stroked="false">
                <v:imagedata r:id="rId385" o:title=""/>
              </v:shape>
            </v:group>
            <v:group style="position:absolute;left:1941;top:1825;width:959;height:2" coordorigin="1941,1825" coordsize="959,2">
              <v:shape style="position:absolute;left:1941;top:1825;width:959;height:2" coordorigin="1941,1825" coordsize="959,0" path="m1941,1825l2900,1825e" filled="false" stroked="true" strokeweight="1.5pt" strokecolor="#000000">
                <v:path arrowok="t"/>
              </v:shape>
              <v:shape style="position:absolute;left:2881;top:1283;width:48;height:546" type="#_x0000_t75" stroked="false">
                <v:imagedata r:id="rId385" o:title=""/>
              </v:shape>
            </v:group>
            <v:group style="position:absolute;left:2900;top:1825;width:977;height:2" coordorigin="2900,1825" coordsize="977,2">
              <v:shape style="position:absolute;left:2900;top:1825;width:977;height:2" coordorigin="2900,1825" coordsize="977,0" path="m2900,1825l3877,1825e" filled="false" stroked="true" strokeweight="1.5pt" strokecolor="#000000">
                <v:path arrowok="t"/>
              </v:shape>
              <v:shape style="position:absolute;left:3857;top:1283;width:48;height:546" type="#_x0000_t75" stroked="false">
                <v:imagedata r:id="rId385" o:title=""/>
              </v:shape>
            </v:group>
            <v:group style="position:absolute;left:3877;top:1825;width:1126;height:2" coordorigin="3877,1825" coordsize="1126,2">
              <v:shape style="position:absolute;left:3877;top:1825;width:1126;height:2" coordorigin="3877,1825" coordsize="1126,0" path="m3877,1825l5002,1825e" filled="false" stroked="true" strokeweight="1.5pt" strokecolor="#000000">
                <v:path arrowok="t"/>
              </v:shape>
              <v:shape style="position:absolute;left:4983;top:1283;width:48;height:546" type="#_x0000_t75" stroked="false">
                <v:imagedata r:id="rId385" o:title=""/>
              </v:shape>
            </v:group>
            <v:group style="position:absolute;left:5002;top:1825;width:1054;height:2" coordorigin="5002,1825" coordsize="1054,2">
              <v:shape style="position:absolute;left:5002;top:1825;width:1054;height:2" coordorigin="5002,1825" coordsize="1054,0" path="m5002,1825l6056,1825e" filled="false" stroked="true" strokeweight="1.5pt" strokecolor="#000000">
                <v:path arrowok="t"/>
              </v:shape>
              <v:shape style="position:absolute;left:6037;top:1283;width:48;height:546" type="#_x0000_t75" stroked="false">
                <v:imagedata r:id="rId385" o:title=""/>
              </v:shape>
            </v:group>
            <v:group style="position:absolute;left:6056;top:1825;width:1126;height:2" coordorigin="6056,1825" coordsize="1126,2">
              <v:shape style="position:absolute;left:6056;top:1825;width:1126;height:2" coordorigin="6056,1825" coordsize="1126,0" path="m6056,1825l7181,1825e" filled="false" stroked="true" strokeweight="1.5pt" strokecolor="#000000">
                <v:path arrowok="t"/>
              </v:shape>
              <v:shape style="position:absolute;left:7162;top:1283;width:48;height:546" type="#_x0000_t75" stroked="false">
                <v:imagedata r:id="rId385" o:title=""/>
              </v:shape>
            </v:group>
            <v:group style="position:absolute;left:7181;top:1825;width:1121;height:2" coordorigin="7181,1825" coordsize="1121,2">
              <v:shape style="position:absolute;left:7181;top:1825;width:1121;height:2" coordorigin="7181,1825" coordsize="1121,0" path="m7181,1825l8302,1825e" filled="false" stroked="true" strokeweight="1.5pt" strokecolor="#000000">
                <v:path arrowok="t"/>
              </v:shape>
              <v:shape style="position:absolute;left:8283;top:1283;width:48;height:546" type="#_x0000_t75" stroked="false">
                <v:imagedata r:id="rId385" o:title=""/>
              </v:shape>
            </v:group>
            <v:group style="position:absolute;left:8302;top:1825;width:1127;height:2" coordorigin="8302,1825" coordsize="1127,2">
              <v:shape style="position:absolute;left:8302;top:1825;width:1127;height:2" coordorigin="8302,1825" coordsize="1127,0" path="m8302,1825l9429,1825e" filled="false" stroked="true" strokeweight="1.5pt" strokecolor="#000000">
                <v:path arrowok="t"/>
              </v:shape>
              <v:shape style="position:absolute;left:9410;top:1283;width:48;height:546" type="#_x0000_t75" stroked="false">
                <v:imagedata r:id="rId385" o:title=""/>
              </v:shape>
            </v:group>
            <v:group style="position:absolute;left:9429;top:1825;width:1126;height:2" coordorigin="9429,1825" coordsize="1126,2">
              <v:shape style="position:absolute;left:9429;top:1825;width:1126;height:2" coordorigin="9429,1825" coordsize="1126,0" path="m9429,1825l10555,1825e" filled="false" stroked="true" strokeweight="1.5pt" strokecolor="#000000">
                <v:path arrowok="t"/>
              </v:shape>
              <v:shape style="position:absolute;left:10535;top:1283;width:48;height:538" type="#_x0000_t75" stroked="false">
                <v:imagedata r:id="rId386" o:title=""/>
              </v:shape>
            </v:group>
            <v:group style="position:absolute;left:10555;top:1825;width:1126;height:2" coordorigin="10555,1825" coordsize="1126,2">
              <v:shape style="position:absolute;left:10555;top:1825;width:1126;height:2" coordorigin="10555,1825" coordsize="1126,0" path="m10555,1825l11680,1825e" filled="false" stroked="true" strokeweight="1.5pt" strokecolor="#000000">
                <v:path arrowok="t"/>
              </v:shape>
              <v:shape style="position:absolute;left:11661;top:1283;width:48;height:546" type="#_x0000_t75" stroked="false">
                <v:imagedata r:id="rId385" o:title=""/>
              </v:shape>
            </v:group>
            <v:group style="position:absolute;left:11680;top:1825;width:1054;height:2" coordorigin="11680,1825" coordsize="1054,2">
              <v:shape style="position:absolute;left:11680;top:1825;width:1054;height:2" coordorigin="11680,1825" coordsize="1054,0" path="m11680,1825l12734,1825e" filled="false" stroked="true" strokeweight="1.5pt" strokecolor="#000000">
                <v:path arrowok="t"/>
              </v:shape>
              <v:shape style="position:absolute;left:12715;top:1283;width:48;height:546" type="#_x0000_t75" stroked="false">
                <v:imagedata r:id="rId385" o:title=""/>
              </v:shape>
            </v:group>
            <v:group style="position:absolute;left:12734;top:1825;width:904;height:2" coordorigin="12734,1825" coordsize="904,2">
              <v:shape style="position:absolute;left:12734;top:1825;width:904;height:2" coordorigin="12734,1825" coordsize="904,0" path="m12734,1825l13637,1825e" filled="false" stroked="true" strokeweight="1.5pt" strokecolor="#000000">
                <v:path arrowok="t"/>
              </v:shape>
              <v:shape style="position:absolute;left:3886;top:175;width:399;height:100" type="#_x0000_t202" filled="false" stroked="false">
                <v:textbox inset="0,0,0,0">
                  <w:txbxContent>
                    <w:p>
                      <w:pPr>
                        <w:spacing w:line="100" w:lineRule="exact" w:before="0"/>
                        <w:ind w:left="0" w:right="0" w:firstLine="0"/>
                        <w:jc w:val="left"/>
                        <w:rPr>
                          <w:rFonts w:ascii="宋体" w:hAnsi="宋体" w:cs="宋体" w:eastAsia="宋体" w:hint="default"/>
                          <w:sz w:val="10"/>
                          <w:szCs w:val="10"/>
                        </w:rPr>
                      </w:pPr>
                      <w:r>
                        <w:rPr>
                          <w:rFonts w:ascii="宋体" w:hAnsi="宋体" w:cs="宋体" w:eastAsia="宋体" w:hint="default"/>
                          <w:w w:val="95"/>
                          <w:sz w:val="10"/>
                          <w:szCs w:val="10"/>
                        </w:rPr>
                        <w:t>期末余额</w:t>
                      </w:r>
                      <w:r>
                        <w:rPr>
                          <w:rFonts w:ascii="宋体" w:hAnsi="宋体" w:cs="宋体" w:eastAsia="宋体" w:hint="default"/>
                          <w:sz w:val="10"/>
                          <w:szCs w:val="10"/>
                        </w:rPr>
                      </w:r>
                    </w:p>
                  </w:txbxContent>
                </v:textbox>
                <w10:wrap type="none"/>
              </v:shape>
              <v:shape style="position:absolute;left:10211;top:175;width:399;height:100" type="#_x0000_t202" filled="false" stroked="false">
                <v:textbox inset="0,0,0,0">
                  <w:txbxContent>
                    <w:p>
                      <w:pPr>
                        <w:spacing w:line="100" w:lineRule="exact" w:before="0"/>
                        <w:ind w:left="0" w:right="0" w:firstLine="0"/>
                        <w:jc w:val="left"/>
                        <w:rPr>
                          <w:rFonts w:ascii="宋体" w:hAnsi="宋体" w:cs="宋体" w:eastAsia="宋体" w:hint="default"/>
                          <w:sz w:val="10"/>
                          <w:szCs w:val="10"/>
                        </w:rPr>
                      </w:pPr>
                      <w:r>
                        <w:rPr>
                          <w:rFonts w:ascii="宋体" w:hAnsi="宋体" w:cs="宋体" w:eastAsia="宋体" w:hint="default"/>
                          <w:w w:val="95"/>
                          <w:sz w:val="10"/>
                          <w:szCs w:val="10"/>
                        </w:rPr>
                        <w:t>年初余额</w:t>
                      </w:r>
                      <w:r>
                        <w:rPr>
                          <w:rFonts w:ascii="宋体" w:hAnsi="宋体" w:cs="宋体" w:eastAsia="宋体" w:hint="default"/>
                          <w:sz w:val="10"/>
                          <w:szCs w:val="10"/>
                        </w:rPr>
                      </w:r>
                    </w:p>
                  </w:txbxContent>
                </v:textbox>
                <w10:wrap type="none"/>
              </v:shape>
              <v:shape style="position:absolute;left:257;top:349;width:500;height:100" type="#_x0000_t202" filled="false" stroked="false">
                <v:textbox inset="0,0,0,0">
                  <w:txbxContent>
                    <w:p>
                      <w:pPr>
                        <w:spacing w:line="100" w:lineRule="exact" w:before="0"/>
                        <w:ind w:left="0" w:right="0" w:firstLine="0"/>
                        <w:jc w:val="left"/>
                        <w:rPr>
                          <w:rFonts w:ascii="宋体" w:hAnsi="宋体" w:cs="宋体" w:eastAsia="宋体" w:hint="default"/>
                          <w:sz w:val="10"/>
                          <w:szCs w:val="10"/>
                        </w:rPr>
                      </w:pPr>
                      <w:r>
                        <w:rPr>
                          <w:rFonts w:ascii="宋体" w:hAnsi="宋体" w:cs="宋体" w:eastAsia="宋体" w:hint="default"/>
                          <w:w w:val="95"/>
                          <w:sz w:val="10"/>
                          <w:szCs w:val="10"/>
                        </w:rPr>
                        <w:t>子公司名称</w:t>
                      </w:r>
                      <w:r>
                        <w:rPr>
                          <w:rFonts w:ascii="宋体" w:hAnsi="宋体" w:cs="宋体" w:eastAsia="宋体" w:hint="default"/>
                          <w:sz w:val="10"/>
                          <w:szCs w:val="10"/>
                        </w:rPr>
                      </w:r>
                    </w:p>
                  </w:txbxContent>
                </v:textbox>
                <w10:wrap type="none"/>
              </v:shape>
              <v:shape style="position:absolute;left:1265;top:524;width:399;height:100" type="#_x0000_t202" filled="false" stroked="false">
                <v:textbox inset="0,0,0,0">
                  <w:txbxContent>
                    <w:p>
                      <w:pPr>
                        <w:spacing w:line="100" w:lineRule="exact" w:before="0"/>
                        <w:ind w:left="0" w:right="0" w:firstLine="0"/>
                        <w:jc w:val="left"/>
                        <w:rPr>
                          <w:rFonts w:ascii="宋体" w:hAnsi="宋体" w:cs="宋体" w:eastAsia="宋体" w:hint="default"/>
                          <w:sz w:val="10"/>
                          <w:szCs w:val="10"/>
                        </w:rPr>
                      </w:pPr>
                      <w:r>
                        <w:rPr>
                          <w:rFonts w:ascii="宋体" w:hAnsi="宋体" w:cs="宋体" w:eastAsia="宋体" w:hint="default"/>
                          <w:w w:val="95"/>
                          <w:sz w:val="10"/>
                          <w:szCs w:val="10"/>
                        </w:rPr>
                        <w:t>流动资产</w:t>
                      </w:r>
                      <w:r>
                        <w:rPr>
                          <w:rFonts w:ascii="宋体" w:hAnsi="宋体" w:cs="宋体" w:eastAsia="宋体" w:hint="default"/>
                          <w:sz w:val="10"/>
                          <w:szCs w:val="10"/>
                        </w:rPr>
                      </w:r>
                    </w:p>
                  </w:txbxContent>
                </v:textbox>
                <w10:wrap type="none"/>
              </v:shape>
              <v:shape style="position:absolute;left:2175;top:524;width:500;height:100" type="#_x0000_t202" filled="false" stroked="false">
                <v:textbox inset="0,0,0,0">
                  <w:txbxContent>
                    <w:p>
                      <w:pPr>
                        <w:spacing w:line="100" w:lineRule="exact" w:before="0"/>
                        <w:ind w:left="0" w:right="0" w:firstLine="0"/>
                        <w:jc w:val="left"/>
                        <w:rPr>
                          <w:rFonts w:ascii="宋体" w:hAnsi="宋体" w:cs="宋体" w:eastAsia="宋体" w:hint="default"/>
                          <w:sz w:val="10"/>
                          <w:szCs w:val="10"/>
                        </w:rPr>
                      </w:pPr>
                      <w:r>
                        <w:rPr>
                          <w:rFonts w:ascii="宋体" w:hAnsi="宋体" w:cs="宋体" w:eastAsia="宋体" w:hint="default"/>
                          <w:w w:val="95"/>
                          <w:sz w:val="10"/>
                          <w:szCs w:val="10"/>
                        </w:rPr>
                        <w:t>非流动资产</w:t>
                      </w:r>
                      <w:r>
                        <w:rPr>
                          <w:rFonts w:ascii="宋体" w:hAnsi="宋体" w:cs="宋体" w:eastAsia="宋体" w:hint="default"/>
                          <w:sz w:val="10"/>
                          <w:szCs w:val="10"/>
                        </w:rPr>
                      </w:r>
                    </w:p>
                  </w:txbxContent>
                </v:textbox>
                <w10:wrap type="none"/>
              </v:shape>
              <v:shape style="position:absolute;left:3193;top:524;width:399;height:100" type="#_x0000_t202" filled="false" stroked="false">
                <v:textbox inset="0,0,0,0">
                  <w:txbxContent>
                    <w:p>
                      <w:pPr>
                        <w:spacing w:line="100" w:lineRule="exact" w:before="0"/>
                        <w:ind w:left="0" w:right="0" w:firstLine="0"/>
                        <w:jc w:val="left"/>
                        <w:rPr>
                          <w:rFonts w:ascii="宋体" w:hAnsi="宋体" w:cs="宋体" w:eastAsia="宋体" w:hint="default"/>
                          <w:sz w:val="10"/>
                          <w:szCs w:val="10"/>
                        </w:rPr>
                      </w:pPr>
                      <w:r>
                        <w:rPr>
                          <w:rFonts w:ascii="宋体" w:hAnsi="宋体" w:cs="宋体" w:eastAsia="宋体" w:hint="default"/>
                          <w:w w:val="95"/>
                          <w:sz w:val="10"/>
                          <w:szCs w:val="10"/>
                        </w:rPr>
                        <w:t>资产合计</w:t>
                      </w:r>
                      <w:r>
                        <w:rPr>
                          <w:rFonts w:ascii="宋体" w:hAnsi="宋体" w:cs="宋体" w:eastAsia="宋体" w:hint="default"/>
                          <w:sz w:val="10"/>
                          <w:szCs w:val="10"/>
                        </w:rPr>
                      </w:r>
                    </w:p>
                  </w:txbxContent>
                </v:textbox>
                <w10:wrap type="none"/>
              </v:shape>
              <v:shape style="position:absolute;left:4244;top:524;width:399;height:100" type="#_x0000_t202" filled="false" stroked="false">
                <v:textbox inset="0,0,0,0">
                  <w:txbxContent>
                    <w:p>
                      <w:pPr>
                        <w:spacing w:line="100" w:lineRule="exact" w:before="0"/>
                        <w:ind w:left="0" w:right="0" w:firstLine="0"/>
                        <w:jc w:val="left"/>
                        <w:rPr>
                          <w:rFonts w:ascii="宋体" w:hAnsi="宋体" w:cs="宋体" w:eastAsia="宋体" w:hint="default"/>
                          <w:sz w:val="10"/>
                          <w:szCs w:val="10"/>
                        </w:rPr>
                      </w:pPr>
                      <w:r>
                        <w:rPr>
                          <w:rFonts w:ascii="宋体" w:hAnsi="宋体" w:cs="宋体" w:eastAsia="宋体" w:hint="default"/>
                          <w:w w:val="95"/>
                          <w:sz w:val="10"/>
                          <w:szCs w:val="10"/>
                        </w:rPr>
                        <w:t>流动负债</w:t>
                      </w:r>
                      <w:r>
                        <w:rPr>
                          <w:rFonts w:ascii="宋体" w:hAnsi="宋体" w:cs="宋体" w:eastAsia="宋体" w:hint="default"/>
                          <w:sz w:val="10"/>
                          <w:szCs w:val="10"/>
                        </w:rPr>
                      </w:r>
                    </w:p>
                  </w:txbxContent>
                </v:textbox>
                <w10:wrap type="none"/>
              </v:shape>
              <v:shape style="position:absolute;left:5283;top:524;width:500;height:100" type="#_x0000_t202" filled="false" stroked="false">
                <v:textbox inset="0,0,0,0">
                  <w:txbxContent>
                    <w:p>
                      <w:pPr>
                        <w:spacing w:line="100" w:lineRule="exact" w:before="0"/>
                        <w:ind w:left="0" w:right="0" w:firstLine="0"/>
                        <w:jc w:val="left"/>
                        <w:rPr>
                          <w:rFonts w:ascii="宋体" w:hAnsi="宋体" w:cs="宋体" w:eastAsia="宋体" w:hint="default"/>
                          <w:sz w:val="10"/>
                          <w:szCs w:val="10"/>
                        </w:rPr>
                      </w:pPr>
                      <w:r>
                        <w:rPr>
                          <w:rFonts w:ascii="宋体" w:hAnsi="宋体" w:cs="宋体" w:eastAsia="宋体" w:hint="default"/>
                          <w:w w:val="95"/>
                          <w:sz w:val="10"/>
                          <w:szCs w:val="10"/>
                        </w:rPr>
                        <w:t>非流动负债</w:t>
                      </w:r>
                      <w:r>
                        <w:rPr>
                          <w:rFonts w:ascii="宋体" w:hAnsi="宋体" w:cs="宋体" w:eastAsia="宋体" w:hint="default"/>
                          <w:sz w:val="10"/>
                          <w:szCs w:val="10"/>
                        </w:rPr>
                      </w:r>
                    </w:p>
                  </w:txbxContent>
                </v:textbox>
                <w10:wrap type="none"/>
              </v:shape>
              <v:shape style="position:absolute;left:6423;top:524;width:399;height:100" type="#_x0000_t202" filled="false" stroked="false">
                <v:textbox inset="0,0,0,0">
                  <w:txbxContent>
                    <w:p>
                      <w:pPr>
                        <w:spacing w:line="100" w:lineRule="exact" w:before="0"/>
                        <w:ind w:left="0" w:right="0" w:firstLine="0"/>
                        <w:jc w:val="left"/>
                        <w:rPr>
                          <w:rFonts w:ascii="宋体" w:hAnsi="宋体" w:cs="宋体" w:eastAsia="宋体" w:hint="default"/>
                          <w:sz w:val="10"/>
                          <w:szCs w:val="10"/>
                        </w:rPr>
                      </w:pPr>
                      <w:r>
                        <w:rPr>
                          <w:rFonts w:ascii="宋体" w:hAnsi="宋体" w:cs="宋体" w:eastAsia="宋体" w:hint="default"/>
                          <w:w w:val="95"/>
                          <w:sz w:val="10"/>
                          <w:szCs w:val="10"/>
                        </w:rPr>
                        <w:t>负债合计</w:t>
                      </w:r>
                      <w:r>
                        <w:rPr>
                          <w:rFonts w:ascii="宋体" w:hAnsi="宋体" w:cs="宋体" w:eastAsia="宋体" w:hint="default"/>
                          <w:sz w:val="10"/>
                          <w:szCs w:val="10"/>
                        </w:rPr>
                      </w:r>
                    </w:p>
                  </w:txbxContent>
                </v:textbox>
                <w10:wrap type="none"/>
              </v:shape>
              <v:shape style="position:absolute;left:7546;top:524;width:399;height:100" type="#_x0000_t202" filled="false" stroked="false">
                <v:textbox inset="0,0,0,0">
                  <w:txbxContent>
                    <w:p>
                      <w:pPr>
                        <w:spacing w:line="100" w:lineRule="exact" w:before="0"/>
                        <w:ind w:left="0" w:right="0" w:firstLine="0"/>
                        <w:jc w:val="left"/>
                        <w:rPr>
                          <w:rFonts w:ascii="宋体" w:hAnsi="宋体" w:cs="宋体" w:eastAsia="宋体" w:hint="default"/>
                          <w:sz w:val="10"/>
                          <w:szCs w:val="10"/>
                        </w:rPr>
                      </w:pPr>
                      <w:r>
                        <w:rPr>
                          <w:rFonts w:ascii="宋体" w:hAnsi="宋体" w:cs="宋体" w:eastAsia="宋体" w:hint="default"/>
                          <w:w w:val="95"/>
                          <w:sz w:val="10"/>
                          <w:szCs w:val="10"/>
                        </w:rPr>
                        <w:t>流动资产</w:t>
                      </w:r>
                      <w:r>
                        <w:rPr>
                          <w:rFonts w:ascii="宋体" w:hAnsi="宋体" w:cs="宋体" w:eastAsia="宋体" w:hint="default"/>
                          <w:sz w:val="10"/>
                          <w:szCs w:val="10"/>
                        </w:rPr>
                      </w:r>
                    </w:p>
                  </w:txbxContent>
                </v:textbox>
                <w10:wrap type="none"/>
              </v:shape>
              <v:shape style="position:absolute;left:8619;top:524;width:500;height:100" type="#_x0000_t202" filled="false" stroked="false">
                <v:textbox inset="0,0,0,0">
                  <w:txbxContent>
                    <w:p>
                      <w:pPr>
                        <w:spacing w:line="100" w:lineRule="exact" w:before="0"/>
                        <w:ind w:left="0" w:right="0" w:firstLine="0"/>
                        <w:jc w:val="left"/>
                        <w:rPr>
                          <w:rFonts w:ascii="宋体" w:hAnsi="宋体" w:cs="宋体" w:eastAsia="宋体" w:hint="default"/>
                          <w:sz w:val="10"/>
                          <w:szCs w:val="10"/>
                        </w:rPr>
                      </w:pPr>
                      <w:r>
                        <w:rPr>
                          <w:rFonts w:ascii="宋体" w:hAnsi="宋体" w:cs="宋体" w:eastAsia="宋体" w:hint="default"/>
                          <w:w w:val="95"/>
                          <w:sz w:val="10"/>
                          <w:szCs w:val="10"/>
                        </w:rPr>
                        <w:t>非流动资产</w:t>
                      </w:r>
                      <w:r>
                        <w:rPr>
                          <w:rFonts w:ascii="宋体" w:hAnsi="宋体" w:cs="宋体" w:eastAsia="宋体" w:hint="default"/>
                          <w:sz w:val="10"/>
                          <w:szCs w:val="10"/>
                        </w:rPr>
                      </w:r>
                    </w:p>
                  </w:txbxContent>
                </v:textbox>
                <w10:wrap type="none"/>
              </v:shape>
              <v:shape style="position:absolute;left:9796;top:524;width:399;height:100" type="#_x0000_t202" filled="false" stroked="false">
                <v:textbox inset="0,0,0,0">
                  <w:txbxContent>
                    <w:p>
                      <w:pPr>
                        <w:spacing w:line="100" w:lineRule="exact" w:before="0"/>
                        <w:ind w:left="0" w:right="0" w:firstLine="0"/>
                        <w:jc w:val="left"/>
                        <w:rPr>
                          <w:rFonts w:ascii="宋体" w:hAnsi="宋体" w:cs="宋体" w:eastAsia="宋体" w:hint="default"/>
                          <w:sz w:val="10"/>
                          <w:szCs w:val="10"/>
                        </w:rPr>
                      </w:pPr>
                      <w:r>
                        <w:rPr>
                          <w:rFonts w:ascii="宋体" w:hAnsi="宋体" w:cs="宋体" w:eastAsia="宋体" w:hint="default"/>
                          <w:w w:val="95"/>
                          <w:sz w:val="10"/>
                          <w:szCs w:val="10"/>
                        </w:rPr>
                        <w:t>资产合计</w:t>
                      </w:r>
                      <w:r>
                        <w:rPr>
                          <w:rFonts w:ascii="宋体" w:hAnsi="宋体" w:cs="宋体" w:eastAsia="宋体" w:hint="default"/>
                          <w:sz w:val="10"/>
                          <w:szCs w:val="10"/>
                        </w:rPr>
                      </w:r>
                    </w:p>
                  </w:txbxContent>
                </v:textbox>
                <w10:wrap type="none"/>
              </v:shape>
              <v:shape style="position:absolute;left:10922;top:524;width:399;height:100" type="#_x0000_t202" filled="false" stroked="false">
                <v:textbox inset="0,0,0,0">
                  <w:txbxContent>
                    <w:p>
                      <w:pPr>
                        <w:spacing w:line="100" w:lineRule="exact" w:before="0"/>
                        <w:ind w:left="0" w:right="0" w:firstLine="0"/>
                        <w:jc w:val="left"/>
                        <w:rPr>
                          <w:rFonts w:ascii="宋体" w:hAnsi="宋体" w:cs="宋体" w:eastAsia="宋体" w:hint="default"/>
                          <w:sz w:val="10"/>
                          <w:szCs w:val="10"/>
                        </w:rPr>
                      </w:pPr>
                      <w:r>
                        <w:rPr>
                          <w:rFonts w:ascii="宋体" w:hAnsi="宋体" w:cs="宋体" w:eastAsia="宋体" w:hint="default"/>
                          <w:w w:val="95"/>
                          <w:sz w:val="10"/>
                          <w:szCs w:val="10"/>
                        </w:rPr>
                        <w:t>流动负债</w:t>
                      </w:r>
                      <w:r>
                        <w:rPr>
                          <w:rFonts w:ascii="宋体" w:hAnsi="宋体" w:cs="宋体" w:eastAsia="宋体" w:hint="default"/>
                          <w:sz w:val="10"/>
                          <w:szCs w:val="10"/>
                        </w:rPr>
                      </w:r>
                    </w:p>
                  </w:txbxContent>
                </v:textbox>
                <w10:wrap type="none"/>
              </v:shape>
              <v:shape style="position:absolute;left:11961;top:524;width:500;height:100" type="#_x0000_t202" filled="false" stroked="false">
                <v:textbox inset="0,0,0,0">
                  <w:txbxContent>
                    <w:p>
                      <w:pPr>
                        <w:spacing w:line="100" w:lineRule="exact" w:before="0"/>
                        <w:ind w:left="0" w:right="0" w:firstLine="0"/>
                        <w:jc w:val="left"/>
                        <w:rPr>
                          <w:rFonts w:ascii="宋体" w:hAnsi="宋体" w:cs="宋体" w:eastAsia="宋体" w:hint="default"/>
                          <w:sz w:val="10"/>
                          <w:szCs w:val="10"/>
                        </w:rPr>
                      </w:pPr>
                      <w:r>
                        <w:rPr>
                          <w:rFonts w:ascii="宋体" w:hAnsi="宋体" w:cs="宋体" w:eastAsia="宋体" w:hint="default"/>
                          <w:w w:val="95"/>
                          <w:sz w:val="10"/>
                          <w:szCs w:val="10"/>
                        </w:rPr>
                        <w:t>非流动负债</w:t>
                      </w:r>
                      <w:r>
                        <w:rPr>
                          <w:rFonts w:ascii="宋体" w:hAnsi="宋体" w:cs="宋体" w:eastAsia="宋体" w:hint="default"/>
                          <w:sz w:val="10"/>
                          <w:szCs w:val="10"/>
                        </w:rPr>
                      </w:r>
                    </w:p>
                  </w:txbxContent>
                </v:textbox>
                <w10:wrap type="none"/>
              </v:shape>
              <v:shape style="position:absolute;left:12988;top:524;width:399;height:100" type="#_x0000_t202" filled="false" stroked="false">
                <v:textbox inset="0,0,0,0">
                  <w:txbxContent>
                    <w:p>
                      <w:pPr>
                        <w:spacing w:line="100" w:lineRule="exact" w:before="0"/>
                        <w:ind w:left="0" w:right="0" w:firstLine="0"/>
                        <w:jc w:val="left"/>
                        <w:rPr>
                          <w:rFonts w:ascii="宋体" w:hAnsi="宋体" w:cs="宋体" w:eastAsia="宋体" w:hint="default"/>
                          <w:sz w:val="10"/>
                          <w:szCs w:val="10"/>
                        </w:rPr>
                      </w:pPr>
                      <w:r>
                        <w:rPr>
                          <w:rFonts w:ascii="宋体" w:hAnsi="宋体" w:cs="宋体" w:eastAsia="宋体" w:hint="default"/>
                          <w:w w:val="95"/>
                          <w:sz w:val="10"/>
                          <w:szCs w:val="10"/>
                        </w:rPr>
                        <w:t>负债合计</w:t>
                      </w:r>
                      <w:r>
                        <w:rPr>
                          <w:rFonts w:ascii="宋体" w:hAnsi="宋体" w:cs="宋体" w:eastAsia="宋体" w:hint="default"/>
                          <w:sz w:val="10"/>
                          <w:szCs w:val="10"/>
                        </w:rPr>
                      </w:r>
                    </w:p>
                  </w:txbxContent>
                </v:textbox>
                <w10:wrap type="none"/>
              </v:shape>
              <v:shape style="position:absolute;left:137;top:871;width:699;height:300" type="#_x0000_t202" filled="false" stroked="false">
                <v:textbox inset="0,0,0,0">
                  <w:txbxContent>
                    <w:p>
                      <w:pPr>
                        <w:spacing w:line="100" w:lineRule="exact" w:before="0"/>
                        <w:ind w:left="0" w:right="0" w:firstLine="0"/>
                        <w:jc w:val="left"/>
                        <w:rPr>
                          <w:rFonts w:ascii="宋体" w:hAnsi="宋体" w:cs="宋体" w:eastAsia="宋体" w:hint="default"/>
                          <w:sz w:val="10"/>
                          <w:szCs w:val="10"/>
                        </w:rPr>
                      </w:pPr>
                      <w:r>
                        <w:rPr>
                          <w:rFonts w:ascii="宋体" w:hAnsi="宋体" w:cs="宋体" w:eastAsia="宋体" w:hint="default"/>
                          <w:w w:val="95"/>
                          <w:sz w:val="10"/>
                          <w:szCs w:val="10"/>
                        </w:rPr>
                        <w:t>柏怡国际控股有</w:t>
                      </w:r>
                      <w:r>
                        <w:rPr>
                          <w:rFonts w:ascii="宋体" w:hAnsi="宋体" w:cs="宋体" w:eastAsia="宋体" w:hint="default"/>
                          <w:sz w:val="10"/>
                          <w:szCs w:val="10"/>
                        </w:rPr>
                      </w:r>
                    </w:p>
                    <w:p>
                      <w:pPr>
                        <w:spacing w:before="69"/>
                        <w:ind w:left="0" w:right="0" w:firstLine="0"/>
                        <w:jc w:val="left"/>
                        <w:rPr>
                          <w:rFonts w:ascii="宋体" w:hAnsi="宋体" w:cs="宋体" w:eastAsia="宋体" w:hint="default"/>
                          <w:sz w:val="10"/>
                          <w:szCs w:val="10"/>
                        </w:rPr>
                      </w:pPr>
                      <w:r>
                        <w:rPr>
                          <w:rFonts w:ascii="宋体" w:hAnsi="宋体" w:cs="宋体" w:eastAsia="宋体" w:hint="default"/>
                          <w:sz w:val="10"/>
                          <w:szCs w:val="10"/>
                        </w:rPr>
                        <w:t>限公司</w:t>
                      </w:r>
                    </w:p>
                  </w:txbxContent>
                </v:textbox>
                <w10:wrap type="none"/>
              </v:shape>
              <v:shape style="position:absolute;left:1211;top:991;width:627;height:100" type="#_x0000_t202" filled="false" stroked="false">
                <v:textbox inset="0,0,0,0">
                  <w:txbxContent>
                    <w:p>
                      <w:pPr>
                        <w:spacing w:line="100" w:lineRule="exact" w:before="0"/>
                        <w:ind w:left="0" w:right="0" w:firstLine="0"/>
                        <w:jc w:val="left"/>
                        <w:rPr>
                          <w:rFonts w:ascii="Times New Roman" w:hAnsi="Times New Roman" w:cs="Times New Roman" w:eastAsia="Times New Roman" w:hint="default"/>
                          <w:sz w:val="10"/>
                          <w:szCs w:val="10"/>
                        </w:rPr>
                      </w:pPr>
                      <w:r>
                        <w:rPr>
                          <w:rFonts w:ascii="Times New Roman"/>
                          <w:w w:val="95"/>
                          <w:sz w:val="10"/>
                        </w:rPr>
                        <w:t>692,553,224.96</w:t>
                      </w:r>
                      <w:r>
                        <w:rPr>
                          <w:rFonts w:ascii="Times New Roman"/>
                          <w:sz w:val="10"/>
                        </w:rPr>
                      </w:r>
                    </w:p>
                  </w:txbxContent>
                </v:textbox>
                <w10:wrap type="none"/>
              </v:shape>
              <v:shape style="position:absolute;left:2171;top:991;width:627;height:100" type="#_x0000_t202" filled="false" stroked="false">
                <v:textbox inset="0,0,0,0">
                  <w:txbxContent>
                    <w:p>
                      <w:pPr>
                        <w:spacing w:line="100" w:lineRule="exact" w:before="0"/>
                        <w:ind w:left="0" w:right="0" w:firstLine="0"/>
                        <w:jc w:val="left"/>
                        <w:rPr>
                          <w:rFonts w:ascii="Times New Roman" w:hAnsi="Times New Roman" w:cs="Times New Roman" w:eastAsia="Times New Roman" w:hint="default"/>
                          <w:sz w:val="10"/>
                          <w:szCs w:val="10"/>
                        </w:rPr>
                      </w:pPr>
                      <w:r>
                        <w:rPr>
                          <w:rFonts w:ascii="Times New Roman"/>
                          <w:w w:val="95"/>
                          <w:sz w:val="10"/>
                        </w:rPr>
                        <w:t>183,614,083.01</w:t>
                      </w:r>
                      <w:r>
                        <w:rPr>
                          <w:rFonts w:ascii="Times New Roman"/>
                          <w:sz w:val="10"/>
                        </w:rPr>
                      </w:r>
                    </w:p>
                  </w:txbxContent>
                </v:textbox>
                <w10:wrap type="none"/>
              </v:shape>
              <v:shape style="position:absolute;left:3148;top:991;width:627;height:100" type="#_x0000_t202" filled="false" stroked="false">
                <v:textbox inset="0,0,0,0">
                  <w:txbxContent>
                    <w:p>
                      <w:pPr>
                        <w:spacing w:line="100" w:lineRule="exact" w:before="0"/>
                        <w:ind w:left="0" w:right="0" w:firstLine="0"/>
                        <w:jc w:val="left"/>
                        <w:rPr>
                          <w:rFonts w:ascii="Times New Roman" w:hAnsi="Times New Roman" w:cs="Times New Roman" w:eastAsia="Times New Roman" w:hint="default"/>
                          <w:sz w:val="10"/>
                          <w:szCs w:val="10"/>
                        </w:rPr>
                      </w:pPr>
                      <w:r>
                        <w:rPr>
                          <w:rFonts w:ascii="Times New Roman"/>
                          <w:w w:val="95"/>
                          <w:sz w:val="10"/>
                        </w:rPr>
                        <w:t>876,167,307.97</w:t>
                      </w:r>
                      <w:r>
                        <w:rPr>
                          <w:rFonts w:ascii="Times New Roman"/>
                          <w:sz w:val="10"/>
                        </w:rPr>
                      </w:r>
                    </w:p>
                  </w:txbxContent>
                </v:textbox>
                <w10:wrap type="none"/>
              </v:shape>
              <v:shape style="position:absolute;left:4274;top:991;width:627;height:100" type="#_x0000_t202" filled="false" stroked="false">
                <v:textbox inset="0,0,0,0">
                  <w:txbxContent>
                    <w:p>
                      <w:pPr>
                        <w:spacing w:line="100" w:lineRule="exact" w:before="0"/>
                        <w:ind w:left="0" w:right="0" w:firstLine="0"/>
                        <w:jc w:val="left"/>
                        <w:rPr>
                          <w:rFonts w:ascii="Times New Roman" w:hAnsi="Times New Roman" w:cs="Times New Roman" w:eastAsia="Times New Roman" w:hint="default"/>
                          <w:sz w:val="10"/>
                          <w:szCs w:val="10"/>
                        </w:rPr>
                      </w:pPr>
                      <w:r>
                        <w:rPr>
                          <w:rFonts w:ascii="Times New Roman"/>
                          <w:w w:val="95"/>
                          <w:sz w:val="10"/>
                        </w:rPr>
                        <w:t>433,640,646.69</w:t>
                      </w:r>
                      <w:r>
                        <w:rPr>
                          <w:rFonts w:ascii="Times New Roman"/>
                          <w:sz w:val="10"/>
                        </w:rPr>
                      </w:r>
                    </w:p>
                  </w:txbxContent>
                </v:textbox>
                <w10:wrap type="none"/>
              </v:shape>
              <v:shape style="position:absolute;left:5378;top:991;width:577;height:100" type="#_x0000_t202" filled="false" stroked="false">
                <v:textbox inset="0,0,0,0">
                  <w:txbxContent>
                    <w:p>
                      <w:pPr>
                        <w:spacing w:line="100" w:lineRule="exact" w:before="0"/>
                        <w:ind w:left="0" w:right="0" w:firstLine="0"/>
                        <w:jc w:val="left"/>
                        <w:rPr>
                          <w:rFonts w:ascii="Times New Roman" w:hAnsi="Times New Roman" w:cs="Times New Roman" w:eastAsia="Times New Roman" w:hint="default"/>
                          <w:sz w:val="10"/>
                          <w:szCs w:val="10"/>
                        </w:rPr>
                      </w:pPr>
                      <w:r>
                        <w:rPr>
                          <w:rFonts w:ascii="Times New Roman"/>
                          <w:w w:val="95"/>
                          <w:sz w:val="10"/>
                        </w:rPr>
                        <w:t>22,036,358.56</w:t>
                      </w:r>
                      <w:r>
                        <w:rPr>
                          <w:rFonts w:ascii="Times New Roman"/>
                          <w:sz w:val="10"/>
                        </w:rPr>
                      </w:r>
                    </w:p>
                  </w:txbxContent>
                </v:textbox>
                <w10:wrap type="none"/>
              </v:shape>
              <v:shape style="position:absolute;left:6454;top:991;width:627;height:100" type="#_x0000_t202" filled="false" stroked="false">
                <v:textbox inset="0,0,0,0">
                  <w:txbxContent>
                    <w:p>
                      <w:pPr>
                        <w:spacing w:line="100" w:lineRule="exact" w:before="0"/>
                        <w:ind w:left="0" w:right="0" w:firstLine="0"/>
                        <w:jc w:val="left"/>
                        <w:rPr>
                          <w:rFonts w:ascii="Times New Roman" w:hAnsi="Times New Roman" w:cs="Times New Roman" w:eastAsia="Times New Roman" w:hint="default"/>
                          <w:sz w:val="10"/>
                          <w:szCs w:val="10"/>
                        </w:rPr>
                      </w:pPr>
                      <w:r>
                        <w:rPr>
                          <w:rFonts w:ascii="Times New Roman"/>
                          <w:w w:val="95"/>
                          <w:sz w:val="10"/>
                        </w:rPr>
                        <w:t>455,677,005.25</w:t>
                      </w:r>
                      <w:r>
                        <w:rPr>
                          <w:rFonts w:ascii="Times New Roman"/>
                          <w:sz w:val="10"/>
                        </w:rPr>
                      </w:r>
                    </w:p>
                  </w:txbxContent>
                </v:textbox>
                <w10:wrap type="none"/>
              </v:shape>
              <v:shape style="position:absolute;left:7578;top:991;width:623;height:100" type="#_x0000_t202" filled="false" stroked="false">
                <v:textbox inset="0,0,0,0">
                  <w:txbxContent>
                    <w:p>
                      <w:pPr>
                        <w:spacing w:line="100" w:lineRule="exact" w:before="0"/>
                        <w:ind w:left="0" w:right="0" w:firstLine="0"/>
                        <w:jc w:val="left"/>
                        <w:rPr>
                          <w:rFonts w:ascii="Times New Roman" w:hAnsi="Times New Roman" w:cs="Times New Roman" w:eastAsia="Times New Roman" w:hint="default"/>
                          <w:sz w:val="10"/>
                          <w:szCs w:val="10"/>
                        </w:rPr>
                      </w:pPr>
                      <w:r>
                        <w:rPr>
                          <w:rFonts w:ascii="Times New Roman"/>
                          <w:spacing w:val="-1"/>
                          <w:sz w:val="10"/>
                        </w:rPr>
                        <w:t>627,118,269.16</w:t>
                      </w:r>
                    </w:p>
                  </w:txbxContent>
                </v:textbox>
                <w10:wrap type="none"/>
              </v:shape>
              <v:shape style="position:absolute;left:8700;top:991;width:627;height:100" type="#_x0000_t202" filled="false" stroked="false">
                <v:textbox inset="0,0,0,0">
                  <w:txbxContent>
                    <w:p>
                      <w:pPr>
                        <w:spacing w:line="100" w:lineRule="exact" w:before="0"/>
                        <w:ind w:left="0" w:right="0" w:firstLine="0"/>
                        <w:jc w:val="left"/>
                        <w:rPr>
                          <w:rFonts w:ascii="Times New Roman" w:hAnsi="Times New Roman" w:cs="Times New Roman" w:eastAsia="Times New Roman" w:hint="default"/>
                          <w:sz w:val="10"/>
                          <w:szCs w:val="10"/>
                        </w:rPr>
                      </w:pPr>
                      <w:r>
                        <w:rPr>
                          <w:rFonts w:ascii="Times New Roman"/>
                          <w:w w:val="95"/>
                          <w:sz w:val="10"/>
                        </w:rPr>
                        <w:t>182,433,396.67</w:t>
                      </w:r>
                      <w:r>
                        <w:rPr>
                          <w:rFonts w:ascii="Times New Roman"/>
                          <w:sz w:val="10"/>
                        </w:rPr>
                      </w:r>
                    </w:p>
                  </w:txbxContent>
                </v:textbox>
                <w10:wrap type="none"/>
              </v:shape>
              <v:shape style="position:absolute;left:9827;top:991;width:626;height:100" type="#_x0000_t202" filled="false" stroked="false">
                <v:textbox inset="0,0,0,0">
                  <w:txbxContent>
                    <w:p>
                      <w:pPr>
                        <w:spacing w:line="100" w:lineRule="exact" w:before="0"/>
                        <w:ind w:left="0" w:right="0" w:firstLine="0"/>
                        <w:jc w:val="left"/>
                        <w:rPr>
                          <w:rFonts w:ascii="Times New Roman" w:hAnsi="Times New Roman" w:cs="Times New Roman" w:eastAsia="Times New Roman" w:hint="default"/>
                          <w:sz w:val="10"/>
                          <w:szCs w:val="10"/>
                        </w:rPr>
                      </w:pPr>
                      <w:r>
                        <w:rPr>
                          <w:rFonts w:ascii="Times New Roman"/>
                          <w:w w:val="95"/>
                          <w:sz w:val="10"/>
                        </w:rPr>
                        <w:t>809,551,665.83</w:t>
                      </w:r>
                      <w:r>
                        <w:rPr>
                          <w:rFonts w:ascii="Times New Roman"/>
                          <w:sz w:val="10"/>
                        </w:rPr>
                      </w:r>
                    </w:p>
                  </w:txbxContent>
                </v:textbox>
                <w10:wrap type="none"/>
              </v:shape>
              <v:shape style="position:absolute;left:10952;top:991;width:627;height:100" type="#_x0000_t202" filled="false" stroked="false">
                <v:textbox inset="0,0,0,0">
                  <w:txbxContent>
                    <w:p>
                      <w:pPr>
                        <w:spacing w:line="100" w:lineRule="exact" w:before="0"/>
                        <w:ind w:left="0" w:right="0" w:firstLine="0"/>
                        <w:jc w:val="left"/>
                        <w:rPr>
                          <w:rFonts w:ascii="Times New Roman" w:hAnsi="Times New Roman" w:cs="Times New Roman" w:eastAsia="Times New Roman" w:hint="default"/>
                          <w:sz w:val="10"/>
                          <w:szCs w:val="10"/>
                        </w:rPr>
                      </w:pPr>
                      <w:r>
                        <w:rPr>
                          <w:rFonts w:ascii="Times New Roman"/>
                          <w:w w:val="95"/>
                          <w:sz w:val="10"/>
                        </w:rPr>
                        <w:t>368,020,129.82</w:t>
                      </w:r>
                      <w:r>
                        <w:rPr>
                          <w:rFonts w:ascii="Times New Roman"/>
                          <w:sz w:val="10"/>
                        </w:rPr>
                      </w:r>
                    </w:p>
                  </w:txbxContent>
                </v:textbox>
                <w10:wrap type="none"/>
              </v:shape>
              <v:shape style="position:absolute;left:12056;top:991;width:577;height:100" type="#_x0000_t202" filled="false" stroked="false">
                <v:textbox inset="0,0,0,0">
                  <w:txbxContent>
                    <w:p>
                      <w:pPr>
                        <w:spacing w:line="100" w:lineRule="exact" w:before="0"/>
                        <w:ind w:left="0" w:right="0" w:firstLine="0"/>
                        <w:jc w:val="left"/>
                        <w:rPr>
                          <w:rFonts w:ascii="Times New Roman" w:hAnsi="Times New Roman" w:cs="Times New Roman" w:eastAsia="Times New Roman" w:hint="default"/>
                          <w:sz w:val="10"/>
                          <w:szCs w:val="10"/>
                        </w:rPr>
                      </w:pPr>
                      <w:r>
                        <w:rPr>
                          <w:rFonts w:ascii="Times New Roman"/>
                          <w:w w:val="95"/>
                          <w:sz w:val="10"/>
                        </w:rPr>
                        <w:t>28,472,596.49</w:t>
                      </w:r>
                      <w:r>
                        <w:rPr>
                          <w:rFonts w:ascii="Times New Roman"/>
                          <w:sz w:val="10"/>
                        </w:rPr>
                      </w:r>
                    </w:p>
                  </w:txbxContent>
                </v:textbox>
                <w10:wrap type="none"/>
              </v:shape>
              <v:shape style="position:absolute;left:12904;top:991;width:627;height:100" type="#_x0000_t202" filled="false" stroked="false">
                <v:textbox inset="0,0,0,0">
                  <w:txbxContent>
                    <w:p>
                      <w:pPr>
                        <w:spacing w:line="100" w:lineRule="exact" w:before="0"/>
                        <w:ind w:left="0" w:right="0" w:firstLine="0"/>
                        <w:jc w:val="left"/>
                        <w:rPr>
                          <w:rFonts w:ascii="Times New Roman" w:hAnsi="Times New Roman" w:cs="Times New Roman" w:eastAsia="Times New Roman" w:hint="default"/>
                          <w:sz w:val="10"/>
                          <w:szCs w:val="10"/>
                        </w:rPr>
                      </w:pPr>
                      <w:r>
                        <w:rPr>
                          <w:rFonts w:ascii="Times New Roman"/>
                          <w:w w:val="95"/>
                          <w:sz w:val="10"/>
                        </w:rPr>
                        <w:t>396,492,726.31</w:t>
                      </w:r>
                      <w:r>
                        <w:rPr>
                          <w:rFonts w:ascii="Times New Roman"/>
                          <w:sz w:val="10"/>
                        </w:rPr>
                      </w:r>
                    </w:p>
                  </w:txbxContent>
                </v:textbox>
                <w10:wrap type="none"/>
              </v:shape>
              <v:shape style="position:absolute;left:137;top:1417;width:748;height:300" type="#_x0000_t202" filled="false" stroked="false">
                <v:textbox inset="0,0,0,0">
                  <w:txbxContent>
                    <w:p>
                      <w:pPr>
                        <w:spacing w:line="100" w:lineRule="exact" w:before="0"/>
                        <w:ind w:left="0" w:right="0" w:firstLine="0"/>
                        <w:jc w:val="left"/>
                        <w:rPr>
                          <w:rFonts w:ascii="宋体" w:hAnsi="宋体" w:cs="宋体" w:eastAsia="宋体" w:hint="default"/>
                          <w:sz w:val="10"/>
                          <w:szCs w:val="10"/>
                        </w:rPr>
                      </w:pPr>
                      <w:r>
                        <w:rPr>
                          <w:rFonts w:ascii="宋体" w:hAnsi="宋体" w:cs="宋体" w:eastAsia="宋体" w:hint="default"/>
                          <w:spacing w:val="7"/>
                          <w:w w:val="95"/>
                          <w:sz w:val="10"/>
                          <w:szCs w:val="10"/>
                        </w:rPr>
                        <w:t>长沙中电软件园</w:t>
                      </w:r>
                      <w:r>
                        <w:rPr>
                          <w:rFonts w:ascii="宋体" w:hAnsi="宋体" w:cs="宋体" w:eastAsia="宋体" w:hint="default"/>
                          <w:sz w:val="10"/>
                          <w:szCs w:val="10"/>
                        </w:rPr>
                      </w:r>
                    </w:p>
                    <w:p>
                      <w:pPr>
                        <w:spacing w:before="69"/>
                        <w:ind w:left="0" w:right="0" w:firstLine="0"/>
                        <w:jc w:val="left"/>
                        <w:rPr>
                          <w:rFonts w:ascii="宋体" w:hAnsi="宋体" w:cs="宋体" w:eastAsia="宋体" w:hint="default"/>
                          <w:sz w:val="10"/>
                          <w:szCs w:val="10"/>
                        </w:rPr>
                      </w:pPr>
                      <w:r>
                        <w:rPr>
                          <w:rFonts w:ascii="宋体" w:hAnsi="宋体" w:cs="宋体" w:eastAsia="宋体" w:hint="default"/>
                          <w:sz w:val="10"/>
                          <w:szCs w:val="10"/>
                        </w:rPr>
                        <w:t>有限公司</w:t>
                      </w:r>
                    </w:p>
                  </w:txbxContent>
                </v:textbox>
                <w10:wrap type="none"/>
              </v:shape>
              <v:shape style="position:absolute;left:1211;top:1537;width:627;height:100" type="#_x0000_t202" filled="false" stroked="false">
                <v:textbox inset="0,0,0,0">
                  <w:txbxContent>
                    <w:p>
                      <w:pPr>
                        <w:spacing w:line="100" w:lineRule="exact" w:before="0"/>
                        <w:ind w:left="0" w:right="0" w:firstLine="0"/>
                        <w:jc w:val="left"/>
                        <w:rPr>
                          <w:rFonts w:ascii="Times New Roman" w:hAnsi="Times New Roman" w:cs="Times New Roman" w:eastAsia="Times New Roman" w:hint="default"/>
                          <w:sz w:val="10"/>
                          <w:szCs w:val="10"/>
                        </w:rPr>
                      </w:pPr>
                      <w:r>
                        <w:rPr>
                          <w:rFonts w:ascii="Times New Roman"/>
                          <w:w w:val="95"/>
                          <w:sz w:val="10"/>
                        </w:rPr>
                        <w:t>153,168,343.02</w:t>
                      </w:r>
                      <w:r>
                        <w:rPr>
                          <w:rFonts w:ascii="Times New Roman"/>
                          <w:sz w:val="10"/>
                        </w:rPr>
                      </w:r>
                    </w:p>
                  </w:txbxContent>
                </v:textbox>
                <w10:wrap type="none"/>
              </v:shape>
              <v:shape style="position:absolute;left:2171;top:1537;width:627;height:100" type="#_x0000_t202" filled="false" stroked="false">
                <v:textbox inset="0,0,0,0">
                  <w:txbxContent>
                    <w:p>
                      <w:pPr>
                        <w:spacing w:line="100" w:lineRule="exact" w:before="0"/>
                        <w:ind w:left="0" w:right="0" w:firstLine="0"/>
                        <w:jc w:val="left"/>
                        <w:rPr>
                          <w:rFonts w:ascii="Times New Roman" w:hAnsi="Times New Roman" w:cs="Times New Roman" w:eastAsia="Times New Roman" w:hint="default"/>
                          <w:sz w:val="10"/>
                          <w:szCs w:val="10"/>
                        </w:rPr>
                      </w:pPr>
                      <w:r>
                        <w:rPr>
                          <w:rFonts w:ascii="Times New Roman"/>
                          <w:w w:val="95"/>
                          <w:sz w:val="10"/>
                        </w:rPr>
                        <w:t>450,571,633.16</w:t>
                      </w:r>
                      <w:r>
                        <w:rPr>
                          <w:rFonts w:ascii="Times New Roman"/>
                          <w:sz w:val="10"/>
                        </w:rPr>
                      </w:r>
                    </w:p>
                  </w:txbxContent>
                </v:textbox>
                <w10:wrap type="none"/>
              </v:shape>
              <v:shape style="position:absolute;left:3148;top:1537;width:627;height:100" type="#_x0000_t202" filled="false" stroked="false">
                <v:textbox inset="0,0,0,0">
                  <w:txbxContent>
                    <w:p>
                      <w:pPr>
                        <w:spacing w:line="100" w:lineRule="exact" w:before="0"/>
                        <w:ind w:left="0" w:right="0" w:firstLine="0"/>
                        <w:jc w:val="left"/>
                        <w:rPr>
                          <w:rFonts w:ascii="Times New Roman" w:hAnsi="Times New Roman" w:cs="Times New Roman" w:eastAsia="Times New Roman" w:hint="default"/>
                          <w:sz w:val="10"/>
                          <w:szCs w:val="10"/>
                        </w:rPr>
                      </w:pPr>
                      <w:r>
                        <w:rPr>
                          <w:rFonts w:ascii="Times New Roman"/>
                          <w:w w:val="95"/>
                          <w:sz w:val="10"/>
                        </w:rPr>
                        <w:t>603,739,976.18</w:t>
                      </w:r>
                      <w:r>
                        <w:rPr>
                          <w:rFonts w:ascii="Times New Roman"/>
                          <w:sz w:val="10"/>
                        </w:rPr>
                      </w:r>
                    </w:p>
                  </w:txbxContent>
                </v:textbox>
                <w10:wrap type="none"/>
              </v:shape>
              <v:shape style="position:absolute;left:4274;top:1537;width:627;height:100" type="#_x0000_t202" filled="false" stroked="false">
                <v:textbox inset="0,0,0,0">
                  <w:txbxContent>
                    <w:p>
                      <w:pPr>
                        <w:spacing w:line="100" w:lineRule="exact" w:before="0"/>
                        <w:ind w:left="0" w:right="0" w:firstLine="0"/>
                        <w:jc w:val="left"/>
                        <w:rPr>
                          <w:rFonts w:ascii="Times New Roman" w:hAnsi="Times New Roman" w:cs="Times New Roman" w:eastAsia="Times New Roman" w:hint="default"/>
                          <w:sz w:val="10"/>
                          <w:szCs w:val="10"/>
                        </w:rPr>
                      </w:pPr>
                      <w:r>
                        <w:rPr>
                          <w:rFonts w:ascii="Times New Roman"/>
                          <w:w w:val="95"/>
                          <w:sz w:val="10"/>
                        </w:rPr>
                        <w:t>160,492,910.24</w:t>
                      </w:r>
                      <w:r>
                        <w:rPr>
                          <w:rFonts w:ascii="Times New Roman"/>
                          <w:sz w:val="10"/>
                        </w:rPr>
                      </w:r>
                    </w:p>
                  </w:txbxContent>
                </v:textbox>
                <w10:wrap type="none"/>
              </v:shape>
              <v:shape style="position:absolute;left:5327;top:1537;width:627;height:100" type="#_x0000_t202" filled="false" stroked="false">
                <v:textbox inset="0,0,0,0">
                  <w:txbxContent>
                    <w:p>
                      <w:pPr>
                        <w:spacing w:line="100" w:lineRule="exact" w:before="0"/>
                        <w:ind w:left="0" w:right="0" w:firstLine="0"/>
                        <w:jc w:val="left"/>
                        <w:rPr>
                          <w:rFonts w:ascii="Times New Roman" w:hAnsi="Times New Roman" w:cs="Times New Roman" w:eastAsia="Times New Roman" w:hint="default"/>
                          <w:sz w:val="10"/>
                          <w:szCs w:val="10"/>
                        </w:rPr>
                      </w:pPr>
                      <w:r>
                        <w:rPr>
                          <w:rFonts w:ascii="Times New Roman"/>
                          <w:w w:val="95"/>
                          <w:sz w:val="10"/>
                        </w:rPr>
                        <w:t>156,501,232.42</w:t>
                      </w:r>
                      <w:r>
                        <w:rPr>
                          <w:rFonts w:ascii="Times New Roman"/>
                          <w:sz w:val="10"/>
                        </w:rPr>
                      </w:r>
                    </w:p>
                  </w:txbxContent>
                </v:textbox>
                <w10:wrap type="none"/>
              </v:shape>
              <v:shape style="position:absolute;left:6453;top:1537;width:627;height:100" type="#_x0000_t202" filled="false" stroked="false">
                <v:textbox inset="0,0,0,0">
                  <w:txbxContent>
                    <w:p>
                      <w:pPr>
                        <w:spacing w:line="100" w:lineRule="exact" w:before="0"/>
                        <w:ind w:left="0" w:right="0" w:firstLine="0"/>
                        <w:jc w:val="left"/>
                        <w:rPr>
                          <w:rFonts w:ascii="Times New Roman" w:hAnsi="Times New Roman" w:cs="Times New Roman" w:eastAsia="Times New Roman" w:hint="default"/>
                          <w:sz w:val="10"/>
                          <w:szCs w:val="10"/>
                        </w:rPr>
                      </w:pPr>
                      <w:r>
                        <w:rPr>
                          <w:rFonts w:ascii="Times New Roman"/>
                          <w:w w:val="95"/>
                          <w:sz w:val="10"/>
                        </w:rPr>
                        <w:t>316,994,142.66</w:t>
                      </w:r>
                      <w:r>
                        <w:rPr>
                          <w:rFonts w:ascii="Times New Roman"/>
                          <w:sz w:val="10"/>
                        </w:rPr>
                      </w:r>
                    </w:p>
                  </w:txbxContent>
                </v:textbox>
                <w10:wrap type="none"/>
              </v:shape>
              <v:shape style="position:absolute;left:7574;top:1537;width:627;height:100" type="#_x0000_t202" filled="false" stroked="false">
                <v:textbox inset="0,0,0,0">
                  <w:txbxContent>
                    <w:p>
                      <w:pPr>
                        <w:spacing w:line="100" w:lineRule="exact" w:before="0"/>
                        <w:ind w:left="0" w:right="0" w:firstLine="0"/>
                        <w:jc w:val="left"/>
                        <w:rPr>
                          <w:rFonts w:ascii="Times New Roman" w:hAnsi="Times New Roman" w:cs="Times New Roman" w:eastAsia="Times New Roman" w:hint="default"/>
                          <w:sz w:val="10"/>
                          <w:szCs w:val="10"/>
                        </w:rPr>
                      </w:pPr>
                      <w:r>
                        <w:rPr>
                          <w:rFonts w:ascii="Times New Roman"/>
                          <w:w w:val="95"/>
                          <w:sz w:val="10"/>
                        </w:rPr>
                        <w:t>153,362,189.18</w:t>
                      </w:r>
                      <w:r>
                        <w:rPr>
                          <w:rFonts w:ascii="Times New Roman"/>
                          <w:sz w:val="10"/>
                        </w:rPr>
                      </w:r>
                    </w:p>
                  </w:txbxContent>
                </v:textbox>
                <w10:wrap type="none"/>
              </v:shape>
              <v:shape style="position:absolute;left:8699;top:1537;width:627;height:100" type="#_x0000_t202" filled="false" stroked="false">
                <v:textbox inset="0,0,0,0">
                  <w:txbxContent>
                    <w:p>
                      <w:pPr>
                        <w:spacing w:line="100" w:lineRule="exact" w:before="0"/>
                        <w:ind w:left="0" w:right="0" w:firstLine="0"/>
                        <w:jc w:val="left"/>
                        <w:rPr>
                          <w:rFonts w:ascii="Times New Roman" w:hAnsi="Times New Roman" w:cs="Times New Roman" w:eastAsia="Times New Roman" w:hint="default"/>
                          <w:sz w:val="10"/>
                          <w:szCs w:val="10"/>
                        </w:rPr>
                      </w:pPr>
                      <w:r>
                        <w:rPr>
                          <w:rFonts w:ascii="Times New Roman"/>
                          <w:w w:val="95"/>
                          <w:sz w:val="10"/>
                        </w:rPr>
                        <w:t>540,072,367.14</w:t>
                      </w:r>
                      <w:r>
                        <w:rPr>
                          <w:rFonts w:ascii="Times New Roman"/>
                          <w:sz w:val="10"/>
                        </w:rPr>
                      </w:r>
                    </w:p>
                  </w:txbxContent>
                </v:textbox>
                <w10:wrap type="none"/>
              </v:shape>
              <v:shape style="position:absolute;left:9826;top:1537;width:627;height:100" type="#_x0000_t202" filled="false" stroked="false">
                <v:textbox inset="0,0,0,0">
                  <w:txbxContent>
                    <w:p>
                      <w:pPr>
                        <w:spacing w:line="100" w:lineRule="exact" w:before="0"/>
                        <w:ind w:left="0" w:right="0" w:firstLine="0"/>
                        <w:jc w:val="left"/>
                        <w:rPr>
                          <w:rFonts w:ascii="Times New Roman" w:hAnsi="Times New Roman" w:cs="Times New Roman" w:eastAsia="Times New Roman" w:hint="default"/>
                          <w:sz w:val="10"/>
                          <w:szCs w:val="10"/>
                        </w:rPr>
                      </w:pPr>
                      <w:r>
                        <w:rPr>
                          <w:rFonts w:ascii="Times New Roman"/>
                          <w:w w:val="95"/>
                          <w:sz w:val="10"/>
                        </w:rPr>
                        <w:t>693,434,556.32</w:t>
                      </w:r>
                      <w:r>
                        <w:rPr>
                          <w:rFonts w:ascii="Times New Roman"/>
                          <w:sz w:val="10"/>
                        </w:rPr>
                      </w:r>
                    </w:p>
                  </w:txbxContent>
                </v:textbox>
                <w10:wrap type="none"/>
              </v:shape>
              <v:shape style="position:absolute;left:10952;top:1537;width:627;height:100" type="#_x0000_t202" filled="false" stroked="false">
                <v:textbox inset="0,0,0,0">
                  <w:txbxContent>
                    <w:p>
                      <w:pPr>
                        <w:spacing w:line="100" w:lineRule="exact" w:before="0"/>
                        <w:ind w:left="0" w:right="0" w:firstLine="0"/>
                        <w:jc w:val="left"/>
                        <w:rPr>
                          <w:rFonts w:ascii="Times New Roman" w:hAnsi="Times New Roman" w:cs="Times New Roman" w:eastAsia="Times New Roman" w:hint="default"/>
                          <w:sz w:val="10"/>
                          <w:szCs w:val="10"/>
                        </w:rPr>
                      </w:pPr>
                      <w:r>
                        <w:rPr>
                          <w:rFonts w:ascii="Times New Roman"/>
                          <w:w w:val="95"/>
                          <w:sz w:val="10"/>
                        </w:rPr>
                        <w:t>300,346,667.17</w:t>
                      </w:r>
                      <w:r>
                        <w:rPr>
                          <w:rFonts w:ascii="Times New Roman"/>
                          <w:sz w:val="10"/>
                        </w:rPr>
                      </w:r>
                    </w:p>
                  </w:txbxContent>
                </v:textbox>
                <w10:wrap type="none"/>
              </v:shape>
              <v:shape style="position:absolute;left:12005;top:1537;width:627;height:100" type="#_x0000_t202" filled="false" stroked="false">
                <v:textbox inset="0,0,0,0">
                  <w:txbxContent>
                    <w:p>
                      <w:pPr>
                        <w:spacing w:line="100" w:lineRule="exact" w:before="0"/>
                        <w:ind w:left="0" w:right="0" w:firstLine="0"/>
                        <w:jc w:val="left"/>
                        <w:rPr>
                          <w:rFonts w:ascii="Times New Roman" w:hAnsi="Times New Roman" w:cs="Times New Roman" w:eastAsia="Times New Roman" w:hint="default"/>
                          <w:sz w:val="10"/>
                          <w:szCs w:val="10"/>
                        </w:rPr>
                      </w:pPr>
                      <w:r>
                        <w:rPr>
                          <w:rFonts w:ascii="Times New Roman"/>
                          <w:w w:val="95"/>
                          <w:sz w:val="10"/>
                        </w:rPr>
                        <w:t>162,220,031.04</w:t>
                      </w:r>
                      <w:r>
                        <w:rPr>
                          <w:rFonts w:ascii="Times New Roman"/>
                          <w:sz w:val="10"/>
                        </w:rPr>
                      </w:r>
                    </w:p>
                  </w:txbxContent>
                </v:textbox>
                <w10:wrap type="none"/>
              </v:shape>
              <v:shape style="position:absolute;left:12904;top:1537;width:627;height:100" type="#_x0000_t202" filled="false" stroked="false">
                <v:textbox inset="0,0,0,0">
                  <w:txbxContent>
                    <w:p>
                      <w:pPr>
                        <w:spacing w:line="100" w:lineRule="exact" w:before="0"/>
                        <w:ind w:left="0" w:right="0" w:firstLine="0"/>
                        <w:jc w:val="left"/>
                        <w:rPr>
                          <w:rFonts w:ascii="Times New Roman" w:hAnsi="Times New Roman" w:cs="Times New Roman" w:eastAsia="Times New Roman" w:hint="default"/>
                          <w:sz w:val="10"/>
                          <w:szCs w:val="10"/>
                        </w:rPr>
                      </w:pPr>
                      <w:r>
                        <w:rPr>
                          <w:rFonts w:ascii="Times New Roman"/>
                          <w:w w:val="95"/>
                          <w:sz w:val="10"/>
                        </w:rPr>
                        <w:t>462,566,698.21</w:t>
                      </w:r>
                      <w:r>
                        <w:rPr>
                          <w:rFonts w:ascii="Times New Roman"/>
                          <w:sz w:val="10"/>
                        </w:rPr>
                      </w:r>
                    </w:p>
                  </w:txbxContent>
                </v:textbox>
                <w10:wrap type="none"/>
              </v:shape>
            </v:group>
          </v:group>
        </w:pict>
      </w:r>
      <w:r>
        <w:rPr>
          <w:rFonts w:ascii="宋体" w:hAnsi="宋体" w:cs="宋体" w:eastAsia="宋体" w:hint="default"/>
          <w:position w:val="-36"/>
          <w:sz w:val="20"/>
          <w:szCs w:val="2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1"/>
          <w:szCs w:val="11"/>
        </w:rPr>
      </w:pPr>
    </w:p>
    <w:p>
      <w:pPr>
        <w:spacing w:line="1446" w:lineRule="exact"/>
        <w:ind w:left="722" w:right="0" w:firstLine="0"/>
        <w:rPr>
          <w:rFonts w:ascii="宋体" w:hAnsi="宋体" w:cs="宋体" w:eastAsia="宋体" w:hint="default"/>
          <w:sz w:val="20"/>
          <w:szCs w:val="20"/>
        </w:rPr>
      </w:pPr>
      <w:r>
        <w:rPr>
          <w:rFonts w:ascii="宋体" w:hAnsi="宋体" w:cs="宋体" w:eastAsia="宋体" w:hint="default"/>
          <w:position w:val="-28"/>
          <w:sz w:val="20"/>
          <w:szCs w:val="20"/>
        </w:rPr>
        <w:pict>
          <v:group style="width:682.85pt;height:72.3pt;mso-position-horizontal-relative:char;mso-position-vertical-relative:line" coordorigin="0,0" coordsize="13657,1446">
            <v:group style="position:absolute;left:29;top:15;width:2066;height:2" coordorigin="29,15" coordsize="2066,2">
              <v:shape style="position:absolute;left:29;top:15;width:2066;height:2" coordorigin="29,15" coordsize="2066,0" path="m29,15l2095,15e" filled="false" stroked="true" strokeweight="1.5pt" strokecolor="#000000">
                <v:path arrowok="t"/>
              </v:shape>
              <v:shape style="position:absolute;left:2095;top:30;width:10;height:28" type="#_x0000_t75" stroked="false">
                <v:imagedata r:id="rId367" o:title=""/>
              </v:shape>
            </v:group>
            <v:group style="position:absolute;left:2095;top:15;width:5770;height:2" coordorigin="2095,15" coordsize="5770,2">
              <v:shape style="position:absolute;left:2095;top:15;width:5770;height:2" coordorigin="2095,15" coordsize="5770,0" path="m2095,15l7864,15e" filled="false" stroked="true" strokeweight="1.5pt" strokecolor="#000000">
                <v:path arrowok="t"/>
              </v:shape>
              <v:shape style="position:absolute;left:7864;top:30;width:10;height:28" type="#_x0000_t75" stroked="false">
                <v:imagedata r:id="rId367" o:title=""/>
              </v:shape>
            </v:group>
            <v:group style="position:absolute;left:7864;top:15;width:5774;height:2" coordorigin="7864,15" coordsize="5774,2">
              <v:shape style="position:absolute;left:7864;top:15;width:5774;height:2" coordorigin="7864,15" coordsize="5774,0" path="m7864,15l13637,15e" filled="false" stroked="true" strokeweight="1.5pt" strokecolor="#000000">
                <v:path arrowok="t"/>
              </v:shape>
              <v:shape style="position:absolute;left:2075;top:38;width:5818;height:349" type="#_x0000_t75" stroked="false">
                <v:imagedata r:id="rId387" o:title=""/>
              </v:shape>
              <v:shape style="position:absolute;left:2082;top:356;width:11574;height:375" type="#_x0000_t75" stroked="false">
                <v:imagedata r:id="rId388" o:title=""/>
              </v:shape>
            </v:group>
            <v:group style="position:absolute;left:15;top:1431;width:2080;height:2" coordorigin="15,1431" coordsize="2080,2">
              <v:shape style="position:absolute;left:15;top:1431;width:2080;height:2" coordorigin="15,1431" coordsize="2080,0" path="m15,1431l2095,1431e" filled="false" stroked="true" strokeweight="1.5pt" strokecolor="#000000">
                <v:path arrowok="t"/>
              </v:shape>
            </v:group>
            <v:group style="position:absolute;left:2095;top:1431;width:30;height:2" coordorigin="2095,1431" coordsize="30,2">
              <v:shape style="position:absolute;left:2095;top:1431;width:30;height:2" coordorigin="2095,1431" coordsize="30,0" path="m2095,1431l2125,1431e" filled="false" stroked="true" strokeweight="1.5pt" strokecolor="#000000">
                <v:path arrowok="t"/>
              </v:shape>
            </v:group>
            <v:group style="position:absolute;left:2125;top:1431;width:1497;height:2" coordorigin="2125,1431" coordsize="1497,2">
              <v:shape style="position:absolute;left:2125;top:1431;width:1497;height:2" coordorigin="2125,1431" coordsize="1497,0" path="m2125,1431l3621,1431e" filled="false" stroked="true" strokeweight="1.5pt" strokecolor="#000000">
                <v:path arrowok="t"/>
              </v:shape>
            </v:group>
            <v:group style="position:absolute;left:3621;top:1431;width:1395;height:2" coordorigin="3621,1431" coordsize="1395,2">
              <v:shape style="position:absolute;left:3621;top:1431;width:1395;height:2" coordorigin="3621,1431" coordsize="1395,0" path="m3621,1431l5015,1431e" filled="false" stroked="true" strokeweight="1.5pt" strokecolor="#000000">
                <v:path arrowok="t"/>
              </v:shape>
            </v:group>
            <v:group style="position:absolute;left:5015;top:1431;width:1395;height:2" coordorigin="5015,1431" coordsize="1395,2">
              <v:shape style="position:absolute;left:5015;top:1431;width:1395;height:2" coordorigin="5015,1431" coordsize="1395,0" path="m5015,1431l6410,1431e" filled="false" stroked="true" strokeweight="1.5pt" strokecolor="#000000">
                <v:path arrowok="t"/>
              </v:shape>
            </v:group>
            <v:group style="position:absolute;left:6410;top:1431;width:1455;height:2" coordorigin="6410,1431" coordsize="1455,2">
              <v:shape style="position:absolute;left:6410;top:1431;width:1455;height:2" coordorigin="6410,1431" coordsize="1455,0" path="m6410,1431l7864,1431e" filled="false" stroked="true" strokeweight="1.5pt" strokecolor="#000000">
                <v:path arrowok="t"/>
              </v:shape>
            </v:group>
            <v:group style="position:absolute;left:7864;top:1431;width:1332;height:2" coordorigin="7864,1431" coordsize="1332,2">
              <v:shape style="position:absolute;left:7864;top:1431;width:1332;height:2" coordorigin="7864,1431" coordsize="1332,0" path="m7864,1431l9196,1431e" filled="false" stroked="true" strokeweight="1.5pt" strokecolor="#000000">
                <v:path arrowok="t"/>
              </v:shape>
            </v:group>
            <v:group style="position:absolute;left:9196;top:1431;width:1394;height:2" coordorigin="9196,1431" coordsize="1394,2">
              <v:shape style="position:absolute;left:9196;top:1431;width:1394;height:2" coordorigin="9196,1431" coordsize="1394,0" path="m9196,1431l10589,1431e" filled="false" stroked="true" strokeweight="1.5pt" strokecolor="#000000">
                <v:path arrowok="t"/>
              </v:shape>
            </v:group>
            <v:group style="position:absolute;left:10589;top:1431;width:1394;height:2" coordorigin="10589,1431" coordsize="1394,2">
              <v:shape style="position:absolute;left:10589;top:1431;width:1394;height:2" coordorigin="10589,1431" coordsize="1394,0" path="m10589,1431l11983,1431e" filled="false" stroked="true" strokeweight="1.5pt" strokecolor="#000000">
                <v:path arrowok="t"/>
              </v:shape>
              <v:shape style="position:absolute;left:17;top:705;width:13640;height:711" type="#_x0000_t75" stroked="false">
                <v:imagedata r:id="rId389" o:title=""/>
              </v:shape>
            </v:group>
            <v:group style="position:absolute;left:11983;top:1431;width:1655;height:2" coordorigin="11983,1431" coordsize="1655,2">
              <v:shape style="position:absolute;left:11983;top:1431;width:1655;height:2" coordorigin="11983,1431" coordsize="1655,0" path="m11983,1431l13637,1431e" filled="false" stroked="true" strokeweight="1.5pt" strokecolor="#000000">
                <v:path arrowok="t"/>
              </v:shape>
              <v:shape style="position:absolute;left:4634;top:137;width:701;height:141" type="#_x0000_t202" filled="false" stroked="false">
                <v:textbox inset="0,0,0,0">
                  <w:txbxContent>
                    <w:p>
                      <w:pPr>
                        <w:spacing w:line="140" w:lineRule="exact" w:before="0"/>
                        <w:ind w:left="0" w:right="0" w:firstLine="0"/>
                        <w:jc w:val="left"/>
                        <w:rPr>
                          <w:rFonts w:ascii="宋体" w:hAnsi="宋体" w:cs="宋体" w:eastAsia="宋体" w:hint="default"/>
                          <w:sz w:val="14"/>
                          <w:szCs w:val="14"/>
                        </w:rPr>
                      </w:pPr>
                      <w:r>
                        <w:rPr>
                          <w:rFonts w:ascii="宋体" w:hAnsi="宋体" w:cs="宋体" w:eastAsia="宋体" w:hint="default"/>
                          <w:spacing w:val="-1"/>
                          <w:sz w:val="14"/>
                          <w:szCs w:val="14"/>
                        </w:rPr>
                        <w:t>本期发生额</w:t>
                      </w:r>
                    </w:p>
                  </w:txbxContent>
                </v:textbox>
                <w10:wrap type="none"/>
              </v:shape>
              <v:shape style="position:absolute;left:10402;top:137;width:701;height:141" type="#_x0000_t202" filled="false" stroked="false">
                <v:textbox inset="0,0,0,0">
                  <w:txbxContent>
                    <w:p>
                      <w:pPr>
                        <w:spacing w:line="140" w:lineRule="exact" w:before="0"/>
                        <w:ind w:left="0" w:right="0" w:firstLine="0"/>
                        <w:jc w:val="left"/>
                        <w:rPr>
                          <w:rFonts w:ascii="宋体" w:hAnsi="宋体" w:cs="宋体" w:eastAsia="宋体" w:hint="default"/>
                          <w:sz w:val="14"/>
                          <w:szCs w:val="14"/>
                        </w:rPr>
                      </w:pPr>
                      <w:r>
                        <w:rPr>
                          <w:rFonts w:ascii="宋体" w:hAnsi="宋体" w:cs="宋体" w:eastAsia="宋体" w:hint="default"/>
                          <w:spacing w:val="-1"/>
                          <w:sz w:val="14"/>
                          <w:szCs w:val="14"/>
                        </w:rPr>
                        <w:t>上期发生额</w:t>
                      </w:r>
                    </w:p>
                  </w:txbxContent>
                </v:textbox>
                <w10:wrap type="none"/>
              </v:shape>
              <v:shape style="position:absolute;left:715;top:313;width:701;height:141" type="#_x0000_t202" filled="false" stroked="false">
                <v:textbox inset="0,0,0,0">
                  <w:txbxContent>
                    <w:p>
                      <w:pPr>
                        <w:spacing w:line="140" w:lineRule="exact" w:before="0"/>
                        <w:ind w:left="0" w:right="0" w:firstLine="0"/>
                        <w:jc w:val="left"/>
                        <w:rPr>
                          <w:rFonts w:ascii="宋体" w:hAnsi="宋体" w:cs="宋体" w:eastAsia="宋体" w:hint="default"/>
                          <w:sz w:val="14"/>
                          <w:szCs w:val="14"/>
                        </w:rPr>
                      </w:pPr>
                      <w:r>
                        <w:rPr>
                          <w:rFonts w:ascii="宋体" w:hAnsi="宋体" w:cs="宋体" w:eastAsia="宋体" w:hint="default"/>
                          <w:spacing w:val="-1"/>
                          <w:sz w:val="14"/>
                          <w:szCs w:val="14"/>
                        </w:rPr>
                        <w:t>子公司名称</w:t>
                      </w:r>
                    </w:p>
                  </w:txbxContent>
                </v:textbox>
                <w10:wrap type="none"/>
              </v:shape>
              <v:shape style="position:absolute;left:2582;top:487;width:562;height:141" type="#_x0000_t202" filled="false" stroked="false">
                <v:textbox inset="0,0,0,0">
                  <w:txbxContent>
                    <w:p>
                      <w:pPr>
                        <w:spacing w:line="140" w:lineRule="exact" w:before="0"/>
                        <w:ind w:left="0" w:right="0" w:firstLine="0"/>
                        <w:jc w:val="left"/>
                        <w:rPr>
                          <w:rFonts w:ascii="宋体" w:hAnsi="宋体" w:cs="宋体" w:eastAsia="宋体" w:hint="default"/>
                          <w:sz w:val="14"/>
                          <w:szCs w:val="14"/>
                        </w:rPr>
                      </w:pPr>
                      <w:r>
                        <w:rPr>
                          <w:rFonts w:ascii="宋体" w:hAnsi="宋体" w:cs="宋体" w:eastAsia="宋体" w:hint="default"/>
                          <w:sz w:val="14"/>
                          <w:szCs w:val="14"/>
                        </w:rPr>
                        <w:t>营业收入</w:t>
                      </w:r>
                    </w:p>
                  </w:txbxContent>
                </v:textbox>
                <w10:wrap type="none"/>
              </v:shape>
              <v:shape style="position:absolute;left:4113;top:487;width:422;height:141" type="#_x0000_t202" filled="false" stroked="false">
                <v:textbox inset="0,0,0,0">
                  <w:txbxContent>
                    <w:p>
                      <w:pPr>
                        <w:spacing w:line="140" w:lineRule="exact" w:before="0"/>
                        <w:ind w:left="0" w:right="0" w:firstLine="0"/>
                        <w:jc w:val="left"/>
                        <w:rPr>
                          <w:rFonts w:ascii="宋体" w:hAnsi="宋体" w:cs="宋体" w:eastAsia="宋体" w:hint="default"/>
                          <w:sz w:val="14"/>
                          <w:szCs w:val="14"/>
                        </w:rPr>
                      </w:pPr>
                      <w:r>
                        <w:rPr>
                          <w:rFonts w:ascii="宋体" w:hAnsi="宋体" w:cs="宋体" w:eastAsia="宋体" w:hint="default"/>
                          <w:sz w:val="14"/>
                          <w:szCs w:val="14"/>
                        </w:rPr>
                        <w:t>净利润</w:t>
                      </w:r>
                    </w:p>
                  </w:txbxContent>
                </v:textbox>
                <w10:wrap type="none"/>
              </v:shape>
              <v:shape style="position:absolute;left:5297;top:487;width:842;height:141" type="#_x0000_t202" filled="false" stroked="false">
                <v:textbox inset="0,0,0,0">
                  <w:txbxContent>
                    <w:p>
                      <w:pPr>
                        <w:spacing w:line="140" w:lineRule="exact" w:before="0"/>
                        <w:ind w:left="0" w:right="0" w:firstLine="0"/>
                        <w:jc w:val="left"/>
                        <w:rPr>
                          <w:rFonts w:ascii="宋体" w:hAnsi="宋体" w:cs="宋体" w:eastAsia="宋体" w:hint="default"/>
                          <w:sz w:val="14"/>
                          <w:szCs w:val="14"/>
                        </w:rPr>
                      </w:pPr>
                      <w:r>
                        <w:rPr>
                          <w:rFonts w:ascii="宋体" w:hAnsi="宋体" w:cs="宋体" w:eastAsia="宋体" w:hint="default"/>
                          <w:spacing w:val="-1"/>
                          <w:sz w:val="14"/>
                          <w:szCs w:val="14"/>
                        </w:rPr>
                        <w:t>综合收益总额</w:t>
                      </w:r>
                    </w:p>
                  </w:txbxContent>
                </v:textbox>
                <w10:wrap type="none"/>
              </v:shape>
              <v:shape style="position:absolute;left:6581;top:487;width:1121;height:141" type="#_x0000_t202" filled="false" stroked="false">
                <v:textbox inset="0,0,0,0">
                  <w:txbxContent>
                    <w:p>
                      <w:pPr>
                        <w:spacing w:line="140" w:lineRule="exact" w:before="0"/>
                        <w:ind w:left="0" w:right="0" w:firstLine="0"/>
                        <w:jc w:val="left"/>
                        <w:rPr>
                          <w:rFonts w:ascii="宋体" w:hAnsi="宋体" w:cs="宋体" w:eastAsia="宋体" w:hint="default"/>
                          <w:sz w:val="14"/>
                          <w:szCs w:val="14"/>
                        </w:rPr>
                      </w:pPr>
                      <w:r>
                        <w:rPr>
                          <w:rFonts w:ascii="宋体" w:hAnsi="宋体" w:cs="宋体" w:eastAsia="宋体" w:hint="default"/>
                          <w:spacing w:val="-1"/>
                          <w:sz w:val="14"/>
                          <w:szCs w:val="14"/>
                        </w:rPr>
                        <w:t>经营活动现金流量</w:t>
                      </w:r>
                    </w:p>
                  </w:txbxContent>
                </v:textbox>
                <w10:wrap type="none"/>
              </v:shape>
              <v:shape style="position:absolute;left:8253;top:487;width:562;height:141" type="#_x0000_t202" filled="false" stroked="false">
                <v:textbox inset="0,0,0,0">
                  <w:txbxContent>
                    <w:p>
                      <w:pPr>
                        <w:spacing w:line="140" w:lineRule="exact" w:before="0"/>
                        <w:ind w:left="0" w:right="0" w:firstLine="0"/>
                        <w:jc w:val="left"/>
                        <w:rPr>
                          <w:rFonts w:ascii="宋体" w:hAnsi="宋体" w:cs="宋体" w:eastAsia="宋体" w:hint="default"/>
                          <w:sz w:val="14"/>
                          <w:szCs w:val="14"/>
                        </w:rPr>
                      </w:pPr>
                      <w:r>
                        <w:rPr>
                          <w:rFonts w:ascii="宋体" w:hAnsi="宋体" w:cs="宋体" w:eastAsia="宋体" w:hint="default"/>
                          <w:sz w:val="14"/>
                          <w:szCs w:val="14"/>
                        </w:rPr>
                        <w:t>营业收入</w:t>
                      </w:r>
                    </w:p>
                  </w:txbxContent>
                </v:textbox>
                <w10:wrap type="none"/>
              </v:shape>
              <v:shape style="position:absolute;left:9687;top:487;width:422;height:141" type="#_x0000_t202" filled="false" stroked="false">
                <v:textbox inset="0,0,0,0">
                  <w:txbxContent>
                    <w:p>
                      <w:pPr>
                        <w:spacing w:line="140" w:lineRule="exact" w:before="0"/>
                        <w:ind w:left="0" w:right="0" w:firstLine="0"/>
                        <w:jc w:val="left"/>
                        <w:rPr>
                          <w:rFonts w:ascii="宋体" w:hAnsi="宋体" w:cs="宋体" w:eastAsia="宋体" w:hint="default"/>
                          <w:sz w:val="14"/>
                          <w:szCs w:val="14"/>
                        </w:rPr>
                      </w:pPr>
                      <w:r>
                        <w:rPr>
                          <w:rFonts w:ascii="宋体" w:hAnsi="宋体" w:cs="宋体" w:eastAsia="宋体" w:hint="default"/>
                          <w:sz w:val="14"/>
                          <w:szCs w:val="14"/>
                        </w:rPr>
                        <w:t>净利润</w:t>
                      </w:r>
                    </w:p>
                  </w:txbxContent>
                </v:textbox>
                <w10:wrap type="none"/>
              </v:shape>
              <v:shape style="position:absolute;left:10870;top:487;width:842;height:141" type="#_x0000_t202" filled="false" stroked="false">
                <v:textbox inset="0,0,0,0">
                  <w:txbxContent>
                    <w:p>
                      <w:pPr>
                        <w:spacing w:line="140" w:lineRule="exact" w:before="0"/>
                        <w:ind w:left="0" w:right="0" w:firstLine="0"/>
                        <w:jc w:val="left"/>
                        <w:rPr>
                          <w:rFonts w:ascii="宋体" w:hAnsi="宋体" w:cs="宋体" w:eastAsia="宋体" w:hint="default"/>
                          <w:sz w:val="14"/>
                          <w:szCs w:val="14"/>
                        </w:rPr>
                      </w:pPr>
                      <w:r>
                        <w:rPr>
                          <w:rFonts w:ascii="宋体" w:hAnsi="宋体" w:cs="宋体" w:eastAsia="宋体" w:hint="default"/>
                          <w:spacing w:val="-1"/>
                          <w:sz w:val="14"/>
                          <w:szCs w:val="14"/>
                        </w:rPr>
                        <w:t>综合收益总额</w:t>
                      </w:r>
                    </w:p>
                  </w:txbxContent>
                </v:textbox>
                <w10:wrap type="none"/>
              </v:shape>
              <v:shape style="position:absolute;left:12253;top:487;width:1121;height:141" type="#_x0000_t202" filled="false" stroked="false">
                <v:textbox inset="0,0,0,0">
                  <w:txbxContent>
                    <w:p>
                      <w:pPr>
                        <w:spacing w:line="140" w:lineRule="exact" w:before="0"/>
                        <w:ind w:left="0" w:right="0" w:firstLine="0"/>
                        <w:jc w:val="left"/>
                        <w:rPr>
                          <w:rFonts w:ascii="宋体" w:hAnsi="宋体" w:cs="宋体" w:eastAsia="宋体" w:hint="default"/>
                          <w:sz w:val="14"/>
                          <w:szCs w:val="14"/>
                        </w:rPr>
                      </w:pPr>
                      <w:r>
                        <w:rPr>
                          <w:rFonts w:ascii="宋体" w:hAnsi="宋体" w:cs="宋体" w:eastAsia="宋体" w:hint="default"/>
                          <w:spacing w:val="-1"/>
                          <w:sz w:val="14"/>
                          <w:szCs w:val="14"/>
                        </w:rPr>
                        <w:t>经营活动现金流量</w:t>
                      </w:r>
                    </w:p>
                  </w:txbxContent>
                </v:textbox>
                <w10:wrap type="none"/>
              </v:shape>
              <v:shape style="position:absolute;left:137;top:836;width:1401;height:141" type="#_x0000_t202" filled="false" stroked="false">
                <v:textbox inset="0,0,0,0">
                  <w:txbxContent>
                    <w:p>
                      <w:pPr>
                        <w:spacing w:line="140" w:lineRule="exact" w:before="0"/>
                        <w:ind w:left="0" w:right="0" w:firstLine="0"/>
                        <w:jc w:val="left"/>
                        <w:rPr>
                          <w:rFonts w:ascii="宋体" w:hAnsi="宋体" w:cs="宋体" w:eastAsia="宋体" w:hint="default"/>
                          <w:sz w:val="14"/>
                          <w:szCs w:val="14"/>
                        </w:rPr>
                      </w:pPr>
                      <w:r>
                        <w:rPr>
                          <w:rFonts w:ascii="宋体" w:hAnsi="宋体" w:cs="宋体" w:eastAsia="宋体" w:hint="default"/>
                          <w:spacing w:val="-1"/>
                          <w:sz w:val="14"/>
                          <w:szCs w:val="14"/>
                        </w:rPr>
                        <w:t>柏怡国际控股有限公司</w:t>
                      </w:r>
                    </w:p>
                  </w:txbxContent>
                </v:textbox>
                <w10:wrap type="none"/>
              </v:shape>
              <v:shape style="position:absolute;left:2537;top:851;width:982;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1,462,131,372.83</w:t>
                      </w:r>
                    </w:p>
                  </w:txbxContent>
                </v:textbox>
                <w10:wrap type="none"/>
              </v:shape>
              <v:shape style="position:absolute;left:4107;top:851;width:807;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60,436,219.97</w:t>
                      </w:r>
                    </w:p>
                  </w:txbxContent>
                </v:textbox>
                <w10:wrap type="none"/>
              </v:shape>
              <v:shape style="position:absolute;left:5501;top:851;width:807;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63,337,145.60</w:t>
                      </w:r>
                    </w:p>
                  </w:txbxContent>
                </v:textbox>
                <w10:wrap type="none"/>
              </v:shape>
              <v:shape style="position:absolute;left:6956;top:851;width:807;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22,240,078.97</w:t>
                      </w:r>
                    </w:p>
                  </w:txbxContent>
                </v:textbox>
                <w10:wrap type="none"/>
              </v:shape>
              <v:shape style="position:absolute;left:8111;top:851;width:982;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1,441,152,803.52</w:t>
                      </w:r>
                    </w:p>
                  </w:txbxContent>
                </v:textbox>
                <w10:wrap type="none"/>
              </v:shape>
              <v:shape style="position:absolute;left:9681;top:851;width:807;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96,599,666.18</w:t>
                      </w:r>
                    </w:p>
                  </w:txbxContent>
                </v:textbox>
                <w10:wrap type="none"/>
              </v:shape>
              <v:shape style="position:absolute;left:11074;top:851;width:807;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90,036,155.59</w:t>
                      </w:r>
                    </w:p>
                  </w:txbxContent>
                </v:textbox>
                <w10:wrap type="none"/>
              </v:shape>
              <v:shape style="position:absolute;left:12724;top:851;width:807;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73,227,987.50</w:t>
                      </w:r>
                    </w:p>
                  </w:txbxContent>
                </v:textbox>
                <w10:wrap type="none"/>
              </v:shape>
              <v:shape style="position:absolute;left:137;top:1185;width:1541;height:141" type="#_x0000_t202" filled="false" stroked="false">
                <v:textbox inset="0,0,0,0">
                  <w:txbxContent>
                    <w:p>
                      <w:pPr>
                        <w:spacing w:line="140" w:lineRule="exact" w:before="0"/>
                        <w:ind w:left="0" w:right="0" w:firstLine="0"/>
                        <w:jc w:val="left"/>
                        <w:rPr>
                          <w:rFonts w:ascii="宋体" w:hAnsi="宋体" w:cs="宋体" w:eastAsia="宋体" w:hint="default"/>
                          <w:sz w:val="14"/>
                          <w:szCs w:val="14"/>
                        </w:rPr>
                      </w:pPr>
                      <w:r>
                        <w:rPr>
                          <w:rFonts w:ascii="宋体" w:hAnsi="宋体" w:cs="宋体" w:eastAsia="宋体" w:hint="default"/>
                          <w:spacing w:val="-1"/>
                          <w:sz w:val="14"/>
                          <w:szCs w:val="14"/>
                        </w:rPr>
                        <w:t>长沙中电软件园有限公司</w:t>
                      </w:r>
                    </w:p>
                  </w:txbxContent>
                </v:textbox>
                <w10:wrap type="none"/>
              </v:shape>
              <v:shape style="position:absolute;left:2643;top:1200;width:876;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177,354,570.20</w:t>
                      </w:r>
                    </w:p>
                  </w:txbxContent>
                </v:textbox>
                <w10:wrap type="none"/>
              </v:shape>
              <v:shape style="position:absolute;left:4107;top:1200;width:807;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74,762,703.20</w:t>
                      </w:r>
                    </w:p>
                  </w:txbxContent>
                </v:textbox>
                <w10:wrap type="none"/>
              </v:shape>
              <v:shape style="position:absolute;left:5501;top:1200;width:807;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74,762,703.20</w:t>
                      </w:r>
                    </w:p>
                  </w:txbxContent>
                </v:textbox>
                <w10:wrap type="none"/>
              </v:shape>
              <v:shape style="position:absolute;left:6956;top:1200;width:807;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47,042,704.56</w:t>
                      </w:r>
                    </w:p>
                  </w:txbxContent>
                </v:textbox>
                <w10:wrap type="none"/>
              </v:shape>
              <v:shape style="position:absolute;left:8217;top:1200;width:876;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182,190,173.49</w:t>
                      </w:r>
                    </w:p>
                  </w:txbxContent>
                </v:textbox>
                <w10:wrap type="none"/>
              </v:shape>
              <v:shape style="position:absolute;left:9681;top:1200;width:807;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37,769,455.58</w:t>
                      </w:r>
                    </w:p>
                  </w:txbxContent>
                </v:textbox>
                <w10:wrap type="none"/>
              </v:shape>
              <v:shape style="position:absolute;left:11074;top:1200;width:807;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37,769,455.58</w:t>
                      </w:r>
                    </w:p>
                  </w:txbxContent>
                </v:textbox>
                <w10:wrap type="none"/>
              </v:shape>
              <v:shape style="position:absolute;left:12724;top:1200;width:807;height:141" type="#_x0000_t202" filled="false" stroked="false">
                <v:textbox inset="0,0,0,0">
                  <w:txbxContent>
                    <w:p>
                      <w:pPr>
                        <w:spacing w:line="140" w:lineRule="exact" w:before="0"/>
                        <w:ind w:left="0" w:right="0" w:firstLine="0"/>
                        <w:jc w:val="left"/>
                        <w:rPr>
                          <w:rFonts w:ascii="Times New Roman" w:hAnsi="Times New Roman" w:cs="Times New Roman" w:eastAsia="Times New Roman" w:hint="default"/>
                          <w:sz w:val="14"/>
                          <w:szCs w:val="14"/>
                        </w:rPr>
                      </w:pPr>
                      <w:r>
                        <w:rPr>
                          <w:rFonts w:ascii="Times New Roman"/>
                          <w:spacing w:val="-1"/>
                          <w:sz w:val="14"/>
                        </w:rPr>
                        <w:t>25,339,761.39</w:t>
                      </w:r>
                    </w:p>
                  </w:txbxContent>
                </v:textbox>
                <w10:wrap type="none"/>
              </v:shape>
            </v:group>
          </v:group>
        </w:pict>
      </w:r>
      <w:r>
        <w:rPr>
          <w:rFonts w:ascii="宋体" w:hAnsi="宋体" w:cs="宋体" w:eastAsia="宋体" w:hint="default"/>
          <w:position w:val="-28"/>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0"/>
          <w:szCs w:val="20"/>
        </w:rPr>
      </w:pPr>
    </w:p>
    <w:p>
      <w:pPr>
        <w:spacing w:before="44"/>
        <w:ind w:left="6199" w:right="6461" w:firstLine="0"/>
        <w:jc w:val="center"/>
        <w:rPr>
          <w:rFonts w:ascii="宋体" w:hAnsi="宋体" w:cs="宋体" w:eastAsia="宋体" w:hint="default"/>
          <w:sz w:val="18"/>
          <w:szCs w:val="18"/>
        </w:rPr>
      </w:pPr>
      <w:r>
        <w:rPr>
          <w:rFonts w:ascii="宋体" w:hAnsi="宋体" w:cs="宋体" w:eastAsia="宋体" w:hint="default"/>
          <w:sz w:val="18"/>
          <w:szCs w:val="18"/>
        </w:rPr>
        <w:t>财务报表附注第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8"/>
          <w:szCs w:val="18"/>
        </w:rPr>
      </w:pPr>
    </w:p>
    <w:p>
      <w:pPr>
        <w:spacing w:line="371" w:lineRule="exact"/>
        <w:ind w:left="10484" w:right="0" w:firstLine="0"/>
        <w:rPr>
          <w:rFonts w:ascii="宋体" w:hAnsi="宋体" w:cs="宋体" w:eastAsia="宋体" w:hint="default"/>
          <w:sz w:val="20"/>
          <w:szCs w:val="20"/>
        </w:rPr>
      </w:pPr>
      <w:r>
        <w:rPr>
          <w:rFonts w:ascii="宋体" w:hAnsi="宋体" w:cs="宋体" w:eastAsia="宋体" w:hint="default"/>
          <w:position w:val="-6"/>
          <w:sz w:val="20"/>
          <w:szCs w:val="20"/>
        </w:rPr>
        <w:drawing>
          <wp:inline distT="0" distB="0" distL="0" distR="0">
            <wp:extent cx="524065" cy="236029"/>
            <wp:effectExtent l="0" t="0" r="0" b="0"/>
            <wp:docPr id="33" name="image1.jpeg" descr=""/>
            <wp:cNvGraphicFramePr>
              <a:graphicFrameLocks noChangeAspect="1"/>
            </wp:cNvGraphicFramePr>
            <a:graphic>
              <a:graphicData uri="http://schemas.openxmlformats.org/drawingml/2006/picture">
                <pic:pic>
                  <pic:nvPicPr>
                    <pic:cNvPr id="34" name="image1.jpeg"/>
                    <pic:cNvPicPr/>
                  </pic:nvPicPr>
                  <pic:blipFill>
                    <a:blip r:embed="rId79" cstate="print"/>
                    <a:stretch>
                      <a:fillRect/>
                    </a:stretch>
                  </pic:blipFill>
                  <pic:spPr>
                    <a:xfrm>
                      <a:off x="0" y="0"/>
                      <a:ext cx="524065" cy="236029"/>
                    </a:xfrm>
                    <a:prstGeom prst="rect">
                      <a:avLst/>
                    </a:prstGeom>
                  </pic:spPr>
                </pic:pic>
              </a:graphicData>
            </a:graphic>
          </wp:inline>
        </w:drawing>
      </w:r>
      <w:r>
        <w:rPr>
          <w:rFonts w:ascii="宋体" w:hAnsi="宋体" w:cs="宋体" w:eastAsia="宋体" w:hint="default"/>
          <w:position w:val="-6"/>
          <w:sz w:val="20"/>
          <w:szCs w:val="20"/>
        </w:rPr>
      </w:r>
    </w:p>
    <w:p>
      <w:pPr>
        <w:spacing w:after="0" w:line="371" w:lineRule="exact"/>
        <w:rPr>
          <w:rFonts w:ascii="宋体" w:hAnsi="宋体" w:cs="宋体" w:eastAsia="宋体" w:hint="default"/>
          <w:sz w:val="20"/>
          <w:szCs w:val="20"/>
        </w:rPr>
        <w:sectPr>
          <w:headerReference w:type="default" r:id="rId380"/>
          <w:footerReference w:type="default" r:id="rId381"/>
          <w:pgSz w:w="16840" w:h="11910" w:orient="landscape"/>
          <w:pgMar w:header="0" w:footer="0" w:top="1100" w:bottom="0" w:left="1300" w:right="1040"/>
        </w:sectPr>
      </w:pPr>
    </w:p>
    <w:p>
      <w:pPr>
        <w:pStyle w:val="Heading5"/>
        <w:tabs>
          <w:tab w:pos="713" w:val="left" w:leader="none"/>
        </w:tabs>
        <w:spacing w:line="240" w:lineRule="auto" w:before="126"/>
        <w:ind w:left="0" w:right="3775"/>
        <w:jc w:val="center"/>
        <w:rPr>
          <w:b w:val="0"/>
          <w:bCs w:val="0"/>
        </w:rPr>
      </w:pPr>
      <w:r>
        <w:rPr/>
        <w:pict>
          <v:group style="position:absolute;margin-left:88.379997pt;margin-top:-4.596040pt;width:418.7pt;height:.1pt;mso-position-horizontal-relative:page;mso-position-vertical-relative:paragraph;z-index:33040" coordorigin="1768,-92" coordsize="8374,2">
            <v:shape style="position:absolute;left:1768;top:-92;width:8374;height:2" coordorigin="1768,-92" coordsize="8374,0" path="m1768,-92l10141,-92e" filled="false" stroked="true" strokeweight=".47998pt" strokecolor="#000000">
              <v:path arrowok="t"/>
            </v:shape>
            <w10:wrap type="none"/>
          </v:group>
        </w:pict>
      </w:r>
      <w:r>
        <w:rPr>
          <w:rFonts w:ascii="Times New Roman" w:hAnsi="Times New Roman" w:cs="Times New Roman" w:eastAsia="Times New Roman" w:hint="default"/>
          <w:w w:val="95"/>
        </w:rPr>
        <w:t>(</w:t>
      </w:r>
      <w:r>
        <w:rPr>
          <w:w w:val="95"/>
        </w:rPr>
        <w:t>二</w:t>
      </w:r>
      <w:r>
        <w:rPr>
          <w:rFonts w:ascii="Times New Roman" w:hAnsi="Times New Roman" w:cs="Times New Roman" w:eastAsia="Times New Roman" w:hint="default"/>
          <w:w w:val="95"/>
        </w:rPr>
        <w:t>)</w:t>
        <w:tab/>
      </w:r>
      <w:r>
        <w:rPr/>
        <w:t>在子公司的所有者权益份额发生变化且仍控制子公司的交易</w:t>
      </w:r>
      <w:r>
        <w:rPr>
          <w:b w:val="0"/>
          <w:bCs w:val="0"/>
        </w:rPr>
      </w:r>
    </w:p>
    <w:p>
      <w:pPr>
        <w:pStyle w:val="Heading5"/>
        <w:tabs>
          <w:tab w:pos="550" w:val="left" w:leader="none"/>
        </w:tabs>
        <w:spacing w:line="240" w:lineRule="auto" w:before="110"/>
        <w:ind w:left="0" w:right="3783"/>
        <w:jc w:val="center"/>
        <w:rPr>
          <w:b w:val="0"/>
          <w:bCs w:val="0"/>
        </w:rPr>
      </w:pPr>
      <w:r>
        <w:rPr>
          <w:rFonts w:ascii="Times New Roman" w:hAnsi="Times New Roman" w:cs="Times New Roman" w:eastAsia="Times New Roman" w:hint="default"/>
          <w:w w:val="95"/>
        </w:rPr>
        <w:t>1</w:t>
      </w:r>
      <w:r>
        <w:rPr>
          <w:w w:val="95"/>
        </w:rPr>
        <w:t>、</w:t>
        <w:tab/>
      </w:r>
      <w:r>
        <w:rPr/>
        <w:t>在子公司所有者权益份额的变化情况的说明：</w:t>
      </w:r>
      <w:r>
        <w:rPr>
          <w:b w:val="0"/>
          <w:bCs w:val="0"/>
        </w:rPr>
      </w:r>
    </w:p>
    <w:p>
      <w:pPr>
        <w:pStyle w:val="BodyText"/>
        <w:spacing w:line="331" w:lineRule="auto"/>
        <w:ind w:right="1783"/>
        <w:jc w:val="left"/>
      </w:pPr>
      <w:r>
        <w:rPr/>
        <w:pict>
          <v:group style="position:absolute;margin-left:119.520004pt;margin-top:122.292915pt;width:411.55pt;height:176.3pt;mso-position-horizontal-relative:page;mso-position-vertical-relative:paragraph;z-index:-1370800" coordorigin="2390,2446" coordsize="8231,3526">
            <v:shape style="position:absolute;left:8010;top:2446;width:10;height:343" type="#_x0000_t75" stroked="false">
              <v:imagedata r:id="rId391" o:title=""/>
            </v:shape>
            <v:shape style="position:absolute;left:2390;top:2770;width:8231;height:3202" type="#_x0000_t75" stroked="false">
              <v:imagedata r:id="rId392" o:title=""/>
            </v:shape>
            <w10:wrap type="none"/>
          </v:group>
        </w:pict>
      </w:r>
      <w:r>
        <w:rPr>
          <w:rFonts w:ascii="Times New Roman" w:hAnsi="Times New Roman" w:cs="Times New Roman" w:eastAsia="Times New Roman" w:hint="default"/>
        </w:rPr>
        <w:t>2018</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月，公司子公司中国长城计算机（香港）控股有限公司收购公司子 公司柏怡国际控股有限公司</w:t>
      </w:r>
      <w:r>
        <w:rPr>
          <w:spacing w:val="-54"/>
        </w:rPr>
        <w:t> </w:t>
      </w:r>
      <w:r>
        <w:rPr>
          <w:rFonts w:ascii="Times New Roman" w:hAnsi="Times New Roman" w:cs="Times New Roman" w:eastAsia="Times New Roman" w:hint="default"/>
        </w:rPr>
        <w:t>20.00%</w:t>
      </w:r>
      <w:r>
        <w:rPr/>
        <w:t>股权，即现发行</w:t>
      </w:r>
      <w:r>
        <w:rPr>
          <w:spacing w:val="-54"/>
        </w:rPr>
        <w:t> </w:t>
      </w:r>
      <w:r>
        <w:rPr>
          <w:rFonts w:ascii="Times New Roman" w:hAnsi="Times New Roman" w:cs="Times New Roman" w:eastAsia="Times New Roman" w:hint="default"/>
        </w:rPr>
        <w:t>5,790,000.00</w:t>
      </w:r>
      <w:r>
        <w:rPr>
          <w:rFonts w:ascii="Times New Roman" w:hAnsi="Times New Roman" w:cs="Times New Roman" w:eastAsia="Times New Roman" w:hint="default"/>
          <w:spacing w:val="-1"/>
        </w:rPr>
        <w:t> </w:t>
      </w:r>
      <w:r>
        <w:rPr/>
        <w:t>股中的 </w:t>
      </w:r>
      <w:r>
        <w:rPr>
          <w:rFonts w:ascii="Times New Roman" w:hAnsi="Times New Roman" w:cs="Times New Roman" w:eastAsia="Times New Roman" w:hint="default"/>
        </w:rPr>
        <w:t>1,158,000.00</w:t>
      </w:r>
      <w:r>
        <w:rPr>
          <w:rFonts w:ascii="Times New Roman" w:hAnsi="Times New Roman" w:cs="Times New Roman" w:eastAsia="Times New Roman" w:hint="default"/>
          <w:spacing w:val="-12"/>
        </w:rPr>
        <w:t> </w:t>
      </w:r>
      <w:r>
        <w:rPr>
          <w:spacing w:val="-3"/>
        </w:rPr>
        <w:t>股，总交易价格为</w:t>
      </w:r>
      <w:r>
        <w:rPr>
          <w:spacing w:val="-64"/>
        </w:rPr>
        <w:t> </w:t>
      </w:r>
      <w:r>
        <w:rPr>
          <w:rFonts w:ascii="Times New Roman" w:hAnsi="Times New Roman" w:cs="Times New Roman" w:eastAsia="Times New Roman" w:hint="default"/>
        </w:rPr>
        <w:t>1.14</w:t>
      </w:r>
      <w:r>
        <w:rPr>
          <w:rFonts w:ascii="Times New Roman" w:hAnsi="Times New Roman" w:cs="Times New Roman" w:eastAsia="Times New Roman" w:hint="default"/>
          <w:spacing w:val="-12"/>
        </w:rPr>
        <w:t> </w:t>
      </w:r>
      <w:r>
        <w:rPr/>
        <w:t>亿港币。上述收购事项完成后，公司直接 和间接持有柏怡国际控股有限公司股权共计</w:t>
      </w:r>
      <w:r>
        <w:rPr>
          <w:spacing w:val="-55"/>
        </w:rPr>
        <w:t> </w:t>
      </w:r>
      <w:r>
        <w:rPr>
          <w:rFonts w:ascii="Times New Roman" w:hAnsi="Times New Roman" w:cs="Times New Roman" w:eastAsia="Times New Roman" w:hint="default"/>
        </w:rPr>
        <w:t>71.00%</w:t>
      </w:r>
      <w:r>
        <w:rPr/>
        <w:t>。</w:t>
      </w:r>
    </w:p>
    <w:p>
      <w:pPr>
        <w:spacing w:line="240" w:lineRule="auto" w:before="7"/>
        <w:rPr>
          <w:rFonts w:ascii="宋体" w:hAnsi="宋体" w:cs="宋体" w:eastAsia="宋体" w:hint="default"/>
          <w:sz w:val="29"/>
          <w:szCs w:val="29"/>
        </w:rPr>
      </w:pPr>
    </w:p>
    <w:tbl>
      <w:tblPr>
        <w:tblW w:w="0" w:type="auto"/>
        <w:jc w:val="left"/>
        <w:tblInd w:w="749" w:type="dxa"/>
        <w:tblLayout w:type="fixed"/>
        <w:tblCellMar>
          <w:top w:w="0" w:type="dxa"/>
          <w:left w:w="0" w:type="dxa"/>
          <w:bottom w:w="0" w:type="dxa"/>
          <w:right w:w="0" w:type="dxa"/>
        </w:tblCellMar>
        <w:tblLook w:val="01E0"/>
      </w:tblPr>
      <w:tblGrid>
        <w:gridCol w:w="6006"/>
        <w:gridCol w:w="2182"/>
      </w:tblGrid>
      <w:tr>
        <w:trPr>
          <w:trHeight w:val="357" w:hRule="exact"/>
        </w:trPr>
        <w:tc>
          <w:tcPr>
            <w:tcW w:w="6006" w:type="dxa"/>
            <w:tcBorders>
              <w:top w:val="nil" w:sz="6" w:space="0" w:color="auto"/>
              <w:left w:val="nil" w:sz="6" w:space="0" w:color="auto"/>
              <w:bottom w:val="single" w:sz="12" w:space="0" w:color="000000"/>
              <w:right w:val="nil" w:sz="6" w:space="0" w:color="auto"/>
            </w:tcBorders>
          </w:tcPr>
          <w:p>
            <w:pPr>
              <w:pStyle w:val="TableParagraph"/>
              <w:tabs>
                <w:tab w:pos="647" w:val="left" w:leader="none"/>
              </w:tabs>
              <w:spacing w:line="240" w:lineRule="auto" w:before="35"/>
              <w:ind w:left="97" w:right="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2</w:t>
            </w:r>
            <w:r>
              <w:rPr>
                <w:rFonts w:ascii="宋体" w:hAnsi="宋体" w:cs="宋体" w:eastAsia="宋体" w:hint="default"/>
                <w:b/>
                <w:bCs/>
                <w:w w:val="95"/>
                <w:sz w:val="21"/>
                <w:szCs w:val="21"/>
              </w:rPr>
              <w:t>、</w:t>
              <w:tab/>
            </w:r>
            <w:r>
              <w:rPr>
                <w:rFonts w:ascii="宋体" w:hAnsi="宋体" w:cs="宋体" w:eastAsia="宋体" w:hint="default"/>
                <w:b/>
                <w:bCs/>
                <w:sz w:val="21"/>
                <w:szCs w:val="21"/>
              </w:rPr>
              <w:t>交易对于少数股东权益及归属于母公司所有者权益的影响</w:t>
            </w:r>
            <w:r>
              <w:rPr>
                <w:rFonts w:ascii="宋体" w:hAnsi="宋体" w:cs="宋体" w:eastAsia="宋体" w:hint="default"/>
                <w:sz w:val="21"/>
                <w:szCs w:val="21"/>
              </w:rPr>
            </w:r>
          </w:p>
        </w:tc>
        <w:tc>
          <w:tcPr>
            <w:tcW w:w="2182" w:type="dxa"/>
            <w:tcBorders>
              <w:top w:val="nil" w:sz="6" w:space="0" w:color="auto"/>
              <w:left w:val="nil" w:sz="6" w:space="0" w:color="auto"/>
              <w:bottom w:val="single" w:sz="12" w:space="0" w:color="000000"/>
              <w:right w:val="nil" w:sz="6" w:space="0" w:color="auto"/>
            </w:tcBorders>
          </w:tcPr>
          <w:p>
            <w:pPr/>
          </w:p>
        </w:tc>
      </w:tr>
      <w:tr>
        <w:trPr>
          <w:trHeight w:val="363" w:hRule="exact"/>
        </w:trPr>
        <w:tc>
          <w:tcPr>
            <w:tcW w:w="6006" w:type="dxa"/>
            <w:tcBorders>
              <w:top w:val="single" w:sz="12" w:space="0" w:color="000000"/>
              <w:left w:val="nil" w:sz="6" w:space="0" w:color="auto"/>
              <w:bottom w:val="nil" w:sz="6" w:space="0" w:color="auto"/>
              <w:right w:val="nil" w:sz="6" w:space="0" w:color="auto"/>
            </w:tcBorders>
          </w:tcPr>
          <w:p>
            <w:pPr/>
          </w:p>
        </w:tc>
        <w:tc>
          <w:tcPr>
            <w:tcW w:w="2182"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90" w:right="0"/>
              <w:jc w:val="left"/>
              <w:rPr>
                <w:rFonts w:ascii="宋体" w:hAnsi="宋体" w:cs="宋体" w:eastAsia="宋体" w:hint="default"/>
                <w:sz w:val="16"/>
                <w:szCs w:val="16"/>
              </w:rPr>
            </w:pPr>
            <w:r>
              <w:rPr>
                <w:rFonts w:ascii="宋体" w:hAnsi="宋体" w:cs="宋体" w:eastAsia="宋体" w:hint="default"/>
                <w:sz w:val="16"/>
                <w:szCs w:val="16"/>
              </w:rPr>
              <w:t>柏怡国际控股有限公司</w:t>
            </w:r>
          </w:p>
        </w:tc>
      </w:tr>
      <w:tr>
        <w:trPr>
          <w:trHeight w:val="358" w:hRule="exact"/>
        </w:trPr>
        <w:tc>
          <w:tcPr>
            <w:tcW w:w="6006"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7" w:right="0"/>
              <w:jc w:val="left"/>
              <w:rPr>
                <w:rFonts w:ascii="宋体" w:hAnsi="宋体" w:cs="宋体" w:eastAsia="宋体" w:hint="default"/>
                <w:sz w:val="16"/>
                <w:szCs w:val="16"/>
              </w:rPr>
            </w:pPr>
            <w:r>
              <w:rPr>
                <w:rFonts w:ascii="宋体" w:hAnsi="宋体" w:cs="宋体" w:eastAsia="宋体" w:hint="default"/>
                <w:sz w:val="16"/>
                <w:szCs w:val="16"/>
              </w:rPr>
              <w:t>购买成本</w:t>
            </w:r>
            <w:r>
              <w:rPr>
                <w:rFonts w:ascii="Times New Roman" w:hAnsi="Times New Roman" w:cs="Times New Roman" w:eastAsia="Times New Roman" w:hint="default"/>
                <w:sz w:val="16"/>
                <w:szCs w:val="16"/>
              </w:rPr>
              <w:t>/</w:t>
            </w:r>
            <w:r>
              <w:rPr>
                <w:rFonts w:ascii="宋体" w:hAnsi="宋体" w:cs="宋体" w:eastAsia="宋体" w:hint="default"/>
                <w:sz w:val="16"/>
                <w:szCs w:val="16"/>
              </w:rPr>
              <w:t>处置对价</w:t>
            </w:r>
          </w:p>
        </w:tc>
        <w:tc>
          <w:tcPr>
            <w:tcW w:w="2182" w:type="dxa"/>
            <w:tcBorders>
              <w:top w:val="nil" w:sz="6" w:space="0" w:color="auto"/>
              <w:left w:val="nil" w:sz="6" w:space="0" w:color="auto"/>
              <w:bottom w:val="nil" w:sz="6" w:space="0" w:color="auto"/>
              <w:right w:val="nil" w:sz="6" w:space="0" w:color="auto"/>
            </w:tcBorders>
          </w:tcPr>
          <w:p>
            <w:pPr/>
          </w:p>
        </w:tc>
      </w:tr>
      <w:tr>
        <w:trPr>
          <w:trHeight w:val="707" w:hRule="exact"/>
        </w:trPr>
        <w:tc>
          <w:tcPr>
            <w:tcW w:w="6006" w:type="dxa"/>
            <w:tcBorders>
              <w:top w:val="nil" w:sz="6" w:space="0" w:color="auto"/>
              <w:left w:val="nil" w:sz="6" w:space="0" w:color="auto"/>
              <w:bottom w:val="nil" w:sz="6" w:space="0" w:color="auto"/>
              <w:right w:val="nil" w:sz="6" w:space="0" w:color="auto"/>
            </w:tcBorders>
          </w:tcPr>
          <w:p>
            <w:pPr>
              <w:pStyle w:val="TableParagraph"/>
              <w:spacing w:line="240" w:lineRule="auto" w:before="43"/>
              <w:ind w:left="107"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w:t>
            </w:r>
            <w:r>
              <w:rPr>
                <w:rFonts w:ascii="宋体" w:hAnsi="宋体" w:cs="宋体" w:eastAsia="宋体" w:hint="default"/>
                <w:sz w:val="16"/>
                <w:szCs w:val="16"/>
              </w:rPr>
              <w:t>现金</w:t>
            </w:r>
          </w:p>
          <w:p>
            <w:pPr>
              <w:pStyle w:val="TableParagraph"/>
              <w:spacing w:line="240" w:lineRule="auto" w:before="131"/>
              <w:ind w:left="107"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w:t>
            </w:r>
            <w:r>
              <w:rPr>
                <w:rFonts w:ascii="宋体" w:hAnsi="宋体" w:cs="宋体" w:eastAsia="宋体" w:hint="default"/>
                <w:sz w:val="16"/>
                <w:szCs w:val="16"/>
              </w:rPr>
              <w:t>非现金资产的公允价值</w:t>
            </w:r>
          </w:p>
        </w:tc>
        <w:tc>
          <w:tcPr>
            <w:tcW w:w="2182"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04"/>
              <w:jc w:val="right"/>
              <w:rPr>
                <w:rFonts w:ascii="Times New Roman" w:hAnsi="Times New Roman" w:cs="Times New Roman" w:eastAsia="Times New Roman" w:hint="default"/>
                <w:sz w:val="16"/>
                <w:szCs w:val="16"/>
              </w:rPr>
            </w:pPr>
            <w:r>
              <w:rPr>
                <w:rFonts w:ascii="Times New Roman"/>
                <w:spacing w:val="-1"/>
                <w:sz w:val="16"/>
              </w:rPr>
              <w:t>99,886,800.00</w:t>
            </w:r>
          </w:p>
        </w:tc>
      </w:tr>
      <w:tr>
        <w:trPr>
          <w:trHeight w:val="356" w:hRule="exact"/>
        </w:trPr>
        <w:tc>
          <w:tcPr>
            <w:tcW w:w="6006" w:type="dxa"/>
            <w:tcBorders>
              <w:top w:val="nil" w:sz="6" w:space="0" w:color="auto"/>
              <w:left w:val="nil" w:sz="6" w:space="0" w:color="auto"/>
              <w:bottom w:val="nil" w:sz="6" w:space="0" w:color="auto"/>
              <w:right w:val="nil" w:sz="6" w:space="0" w:color="auto"/>
            </w:tcBorders>
          </w:tcPr>
          <w:p>
            <w:pPr>
              <w:pStyle w:val="TableParagraph"/>
              <w:spacing w:line="240" w:lineRule="auto" w:before="43"/>
              <w:ind w:left="107" w:right="0"/>
              <w:jc w:val="left"/>
              <w:rPr>
                <w:rFonts w:ascii="宋体" w:hAnsi="宋体" w:cs="宋体" w:eastAsia="宋体" w:hint="default"/>
                <w:sz w:val="16"/>
                <w:szCs w:val="16"/>
              </w:rPr>
            </w:pPr>
            <w:r>
              <w:rPr>
                <w:rFonts w:ascii="宋体" w:hAnsi="宋体" w:cs="宋体" w:eastAsia="宋体" w:hint="default"/>
                <w:sz w:val="16"/>
                <w:szCs w:val="16"/>
              </w:rPr>
              <w:t>购买成本</w:t>
            </w:r>
            <w:r>
              <w:rPr>
                <w:rFonts w:ascii="Times New Roman" w:hAnsi="Times New Roman" w:cs="Times New Roman" w:eastAsia="Times New Roman" w:hint="default"/>
                <w:sz w:val="16"/>
                <w:szCs w:val="16"/>
              </w:rPr>
              <w:t>/</w:t>
            </w:r>
            <w:r>
              <w:rPr>
                <w:rFonts w:ascii="宋体" w:hAnsi="宋体" w:cs="宋体" w:eastAsia="宋体" w:hint="default"/>
                <w:sz w:val="16"/>
                <w:szCs w:val="16"/>
              </w:rPr>
              <w:t>处置对价合计</w:t>
            </w:r>
          </w:p>
        </w:tc>
        <w:tc>
          <w:tcPr>
            <w:tcW w:w="2182"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04"/>
              <w:jc w:val="right"/>
              <w:rPr>
                <w:rFonts w:ascii="Times New Roman" w:hAnsi="Times New Roman" w:cs="Times New Roman" w:eastAsia="Times New Roman" w:hint="default"/>
                <w:sz w:val="16"/>
                <w:szCs w:val="16"/>
              </w:rPr>
            </w:pPr>
            <w:r>
              <w:rPr>
                <w:rFonts w:ascii="Times New Roman"/>
                <w:spacing w:val="-1"/>
                <w:sz w:val="16"/>
              </w:rPr>
              <w:t>99,886,800.00</w:t>
            </w:r>
          </w:p>
        </w:tc>
      </w:tr>
      <w:tr>
        <w:trPr>
          <w:trHeight w:val="354" w:hRule="exact"/>
        </w:trPr>
        <w:tc>
          <w:tcPr>
            <w:tcW w:w="6006"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减：按取得</w:t>
            </w:r>
            <w:r>
              <w:rPr>
                <w:rFonts w:ascii="Times New Roman" w:hAnsi="Times New Roman" w:cs="Times New Roman" w:eastAsia="Times New Roman" w:hint="default"/>
                <w:sz w:val="16"/>
                <w:szCs w:val="16"/>
              </w:rPr>
              <w:t>/</w:t>
            </w:r>
            <w:r>
              <w:rPr>
                <w:rFonts w:ascii="宋体" w:hAnsi="宋体" w:cs="宋体" w:eastAsia="宋体" w:hint="default"/>
                <w:sz w:val="16"/>
                <w:szCs w:val="16"/>
              </w:rPr>
              <w:t>处置的股权比例计算的子公司净资产份额</w:t>
            </w:r>
          </w:p>
        </w:tc>
        <w:tc>
          <w:tcPr>
            <w:tcW w:w="218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4"/>
              <w:jc w:val="right"/>
              <w:rPr>
                <w:rFonts w:ascii="Times New Roman" w:hAnsi="Times New Roman" w:cs="Times New Roman" w:eastAsia="Times New Roman" w:hint="default"/>
                <w:sz w:val="16"/>
                <w:szCs w:val="16"/>
              </w:rPr>
            </w:pPr>
            <w:r>
              <w:rPr>
                <w:rFonts w:ascii="Times New Roman"/>
                <w:spacing w:val="-1"/>
                <w:sz w:val="16"/>
              </w:rPr>
              <w:t>85,128,497.76</w:t>
            </w:r>
          </w:p>
        </w:tc>
      </w:tr>
      <w:tr>
        <w:trPr>
          <w:trHeight w:val="353" w:hRule="exact"/>
        </w:trPr>
        <w:tc>
          <w:tcPr>
            <w:tcW w:w="6006"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差额</w:t>
            </w:r>
          </w:p>
        </w:tc>
        <w:tc>
          <w:tcPr>
            <w:tcW w:w="218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6"/>
                <w:szCs w:val="16"/>
              </w:rPr>
            </w:pPr>
            <w:r>
              <w:rPr>
                <w:rFonts w:ascii="Times New Roman"/>
                <w:spacing w:val="-1"/>
                <w:sz w:val="16"/>
              </w:rPr>
              <w:t>14,758,302.24</w:t>
            </w:r>
          </w:p>
        </w:tc>
      </w:tr>
      <w:tr>
        <w:trPr>
          <w:trHeight w:val="353" w:hRule="exact"/>
        </w:trPr>
        <w:tc>
          <w:tcPr>
            <w:tcW w:w="6006"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其中：调整资本公积</w:t>
            </w:r>
          </w:p>
        </w:tc>
        <w:tc>
          <w:tcPr>
            <w:tcW w:w="218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4"/>
              <w:jc w:val="right"/>
              <w:rPr>
                <w:rFonts w:ascii="Times New Roman" w:hAnsi="Times New Roman" w:cs="Times New Roman" w:eastAsia="Times New Roman" w:hint="default"/>
                <w:sz w:val="16"/>
                <w:szCs w:val="16"/>
              </w:rPr>
            </w:pPr>
            <w:r>
              <w:rPr>
                <w:rFonts w:ascii="Times New Roman"/>
                <w:spacing w:val="-1"/>
                <w:sz w:val="16"/>
              </w:rPr>
              <w:t>8,378,131.94</w:t>
            </w:r>
          </w:p>
        </w:tc>
      </w:tr>
      <w:tr>
        <w:trPr>
          <w:trHeight w:val="711" w:hRule="exact"/>
        </w:trPr>
        <w:tc>
          <w:tcPr>
            <w:tcW w:w="6006" w:type="dxa"/>
            <w:tcBorders>
              <w:top w:val="nil" w:sz="6" w:space="0" w:color="auto"/>
              <w:left w:val="nil" w:sz="6" w:space="0" w:color="auto"/>
              <w:bottom w:val="single" w:sz="12" w:space="0" w:color="000000"/>
              <w:right w:val="nil" w:sz="6" w:space="0" w:color="auto"/>
            </w:tcBorders>
          </w:tcPr>
          <w:p>
            <w:pPr>
              <w:pStyle w:val="TableParagraph"/>
              <w:spacing w:line="405" w:lineRule="auto" w:before="40"/>
              <w:ind w:left="107" w:right="4777"/>
              <w:jc w:val="left"/>
              <w:rPr>
                <w:rFonts w:ascii="宋体" w:hAnsi="宋体" w:cs="宋体" w:eastAsia="宋体" w:hint="default"/>
                <w:sz w:val="16"/>
                <w:szCs w:val="16"/>
              </w:rPr>
            </w:pPr>
            <w:r>
              <w:rPr>
                <w:rFonts w:ascii="宋体" w:hAnsi="宋体" w:cs="宋体" w:eastAsia="宋体" w:hint="default"/>
                <w:sz w:val="16"/>
                <w:szCs w:val="16"/>
              </w:rPr>
              <w:t>调整盈余公积</w:t>
            </w:r>
            <w:r>
              <w:rPr>
                <w:rFonts w:ascii="宋体" w:hAnsi="宋体" w:cs="宋体" w:eastAsia="宋体" w:hint="default"/>
                <w:w w:val="99"/>
                <w:sz w:val="16"/>
                <w:szCs w:val="16"/>
              </w:rPr>
              <w:t> </w:t>
            </w:r>
            <w:r>
              <w:rPr>
                <w:rFonts w:ascii="宋体" w:hAnsi="宋体" w:cs="宋体" w:eastAsia="宋体" w:hint="default"/>
                <w:sz w:val="16"/>
                <w:szCs w:val="16"/>
              </w:rPr>
              <w:t>调整未分配利润</w:t>
            </w:r>
          </w:p>
        </w:tc>
        <w:tc>
          <w:tcPr>
            <w:tcW w:w="2182"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6"/>
                <w:szCs w:val="16"/>
              </w:rPr>
            </w:pPr>
            <w:r>
              <w:rPr>
                <w:rFonts w:ascii="Times New Roman"/>
                <w:spacing w:val="-1"/>
                <w:sz w:val="16"/>
              </w:rPr>
              <w:t>6,380,170.30</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tbl>
      <w:tblPr>
        <w:tblW w:w="0" w:type="auto"/>
        <w:jc w:val="left"/>
        <w:tblInd w:w="102" w:type="dxa"/>
        <w:tblLayout w:type="fixed"/>
        <w:tblCellMar>
          <w:top w:w="0" w:type="dxa"/>
          <w:left w:w="0" w:type="dxa"/>
          <w:bottom w:w="0" w:type="dxa"/>
          <w:right w:w="0" w:type="dxa"/>
        </w:tblCellMar>
        <w:tblLook w:val="01E0"/>
      </w:tblPr>
      <w:tblGrid>
        <w:gridCol w:w="647"/>
        <w:gridCol w:w="5975"/>
        <w:gridCol w:w="2212"/>
      </w:tblGrid>
      <w:tr>
        <w:trPr>
          <w:trHeight w:val="757" w:hRule="exact"/>
        </w:trPr>
        <w:tc>
          <w:tcPr>
            <w:tcW w:w="64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5975"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101" w:right="0"/>
              <w:jc w:val="left"/>
              <w:rPr>
                <w:rFonts w:ascii="宋体" w:hAnsi="宋体" w:cs="宋体" w:eastAsia="宋体" w:hint="default"/>
                <w:sz w:val="21"/>
                <w:szCs w:val="21"/>
              </w:rPr>
            </w:pPr>
            <w:r>
              <w:rPr>
                <w:rFonts w:ascii="宋体" w:hAnsi="宋体" w:cs="宋体" w:eastAsia="宋体" w:hint="default"/>
                <w:b/>
                <w:bCs/>
                <w:sz w:val="21"/>
                <w:szCs w:val="21"/>
              </w:rPr>
              <w:t>在合营安排或联营企业中的权益</w:t>
            </w:r>
            <w:r>
              <w:rPr>
                <w:rFonts w:ascii="宋体" w:hAnsi="宋体" w:cs="宋体" w:eastAsia="宋体" w:hint="default"/>
                <w:sz w:val="21"/>
                <w:szCs w:val="21"/>
              </w:rPr>
            </w:r>
          </w:p>
          <w:p>
            <w:pPr>
              <w:pStyle w:val="TableParagraph"/>
              <w:tabs>
                <w:tab w:pos="647" w:val="left" w:leader="none"/>
              </w:tabs>
              <w:spacing w:line="240" w:lineRule="auto" w:before="125"/>
              <w:ind w:left="97" w:right="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不重要的合营企业和联营企业的汇总财务信息</w:t>
            </w:r>
            <w:r>
              <w:rPr>
                <w:rFonts w:ascii="宋体" w:hAnsi="宋体" w:cs="宋体" w:eastAsia="宋体" w:hint="default"/>
                <w:sz w:val="21"/>
                <w:szCs w:val="21"/>
              </w:rPr>
            </w:r>
          </w:p>
        </w:tc>
        <w:tc>
          <w:tcPr>
            <w:tcW w:w="2212" w:type="dxa"/>
            <w:tcBorders>
              <w:top w:val="nil" w:sz="6" w:space="0" w:color="auto"/>
              <w:left w:val="nil" w:sz="6" w:space="0" w:color="auto"/>
              <w:bottom w:val="single" w:sz="12" w:space="0" w:color="000000"/>
              <w:right w:val="nil" w:sz="6" w:space="0" w:color="auto"/>
            </w:tcBorders>
          </w:tcPr>
          <w:p>
            <w:pPr/>
          </w:p>
        </w:tc>
      </w:tr>
      <w:tr>
        <w:trPr>
          <w:trHeight w:val="367" w:hRule="exact"/>
        </w:trPr>
        <w:tc>
          <w:tcPr>
            <w:tcW w:w="647" w:type="dxa"/>
            <w:tcBorders>
              <w:top w:val="nil" w:sz="6" w:space="0" w:color="auto"/>
              <w:left w:val="nil" w:sz="6" w:space="0" w:color="auto"/>
              <w:bottom w:val="nil" w:sz="6" w:space="0" w:color="auto"/>
              <w:right w:val="nil" w:sz="6" w:space="0" w:color="auto"/>
            </w:tcBorders>
          </w:tcPr>
          <w:p>
            <w:pPr/>
          </w:p>
        </w:tc>
        <w:tc>
          <w:tcPr>
            <w:tcW w:w="5975"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3869" w:right="0"/>
              <w:jc w:val="left"/>
              <w:rPr>
                <w:rFonts w:ascii="宋体" w:hAnsi="宋体" w:cs="宋体" w:eastAsia="宋体" w:hint="default"/>
                <w:sz w:val="16"/>
                <w:szCs w:val="16"/>
              </w:rPr>
            </w:pPr>
            <w:r>
              <w:rPr>
                <w:rFonts w:ascii="宋体" w:hAnsi="宋体" w:cs="宋体" w:eastAsia="宋体" w:hint="default"/>
                <w:sz w:val="16"/>
                <w:szCs w:val="16"/>
              </w:rPr>
              <w:t>期末余额</w:t>
            </w:r>
            <w:r>
              <w:rPr>
                <w:rFonts w:ascii="Times New Roman" w:hAnsi="Times New Roman" w:cs="Times New Roman" w:eastAsia="Times New Roman" w:hint="default"/>
                <w:sz w:val="16"/>
                <w:szCs w:val="16"/>
              </w:rPr>
              <w:t>/</w:t>
            </w:r>
            <w:r>
              <w:rPr>
                <w:rFonts w:ascii="宋体" w:hAnsi="宋体" w:cs="宋体" w:eastAsia="宋体" w:hint="default"/>
                <w:sz w:val="16"/>
                <w:szCs w:val="16"/>
              </w:rPr>
              <w:t>本期发生额</w:t>
            </w:r>
          </w:p>
        </w:tc>
        <w:tc>
          <w:tcPr>
            <w:tcW w:w="2212"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78" w:right="0"/>
              <w:jc w:val="left"/>
              <w:rPr>
                <w:rFonts w:ascii="宋体" w:hAnsi="宋体" w:cs="宋体" w:eastAsia="宋体" w:hint="default"/>
                <w:sz w:val="16"/>
                <w:szCs w:val="16"/>
              </w:rPr>
            </w:pPr>
            <w:r>
              <w:rPr>
                <w:rFonts w:ascii="宋体" w:hAnsi="宋体" w:cs="宋体" w:eastAsia="宋体" w:hint="default"/>
                <w:sz w:val="16"/>
                <w:szCs w:val="16"/>
              </w:rPr>
              <w:t>年初余额</w:t>
            </w:r>
            <w:r>
              <w:rPr>
                <w:rFonts w:ascii="Times New Roman" w:hAnsi="Times New Roman" w:cs="Times New Roman" w:eastAsia="Times New Roman" w:hint="default"/>
                <w:sz w:val="16"/>
                <w:szCs w:val="16"/>
              </w:rPr>
              <w:t>/</w:t>
            </w:r>
            <w:r>
              <w:rPr>
                <w:rFonts w:ascii="宋体" w:hAnsi="宋体" w:cs="宋体" w:eastAsia="宋体" w:hint="default"/>
                <w:sz w:val="16"/>
                <w:szCs w:val="16"/>
              </w:rPr>
              <w:t>上期发生额</w:t>
            </w:r>
          </w:p>
        </w:tc>
      </w:tr>
      <w:tr>
        <w:trPr>
          <w:trHeight w:val="349" w:hRule="exact"/>
        </w:trPr>
        <w:tc>
          <w:tcPr>
            <w:tcW w:w="647" w:type="dxa"/>
            <w:tcBorders>
              <w:top w:val="nil" w:sz="6" w:space="0" w:color="auto"/>
              <w:left w:val="nil" w:sz="6" w:space="0" w:color="auto"/>
              <w:bottom w:val="nil" w:sz="6" w:space="0" w:color="auto"/>
              <w:right w:val="nil" w:sz="6" w:space="0" w:color="auto"/>
            </w:tcBorders>
          </w:tcPr>
          <w:p>
            <w:pPr/>
          </w:p>
        </w:tc>
        <w:tc>
          <w:tcPr>
            <w:tcW w:w="5975" w:type="dxa"/>
            <w:tcBorders>
              <w:top w:val="nil" w:sz="6" w:space="0" w:color="auto"/>
              <w:left w:val="nil" w:sz="6" w:space="0" w:color="auto"/>
              <w:bottom w:val="nil" w:sz="6" w:space="0" w:color="auto"/>
              <w:right w:val="nil" w:sz="6" w:space="0" w:color="auto"/>
            </w:tcBorders>
          </w:tcPr>
          <w:p>
            <w:pPr>
              <w:pStyle w:val="TableParagraph"/>
              <w:spacing w:line="240" w:lineRule="auto" w:before="43"/>
              <w:ind w:left="107" w:right="0"/>
              <w:jc w:val="left"/>
              <w:rPr>
                <w:rFonts w:ascii="宋体" w:hAnsi="宋体" w:cs="宋体" w:eastAsia="宋体" w:hint="default"/>
                <w:sz w:val="16"/>
                <w:szCs w:val="16"/>
              </w:rPr>
            </w:pPr>
            <w:r>
              <w:rPr>
                <w:rFonts w:ascii="宋体" w:hAnsi="宋体" w:cs="宋体" w:eastAsia="宋体" w:hint="default"/>
                <w:sz w:val="16"/>
                <w:szCs w:val="16"/>
              </w:rPr>
              <w:t>联营企业：</w:t>
            </w:r>
          </w:p>
        </w:tc>
        <w:tc>
          <w:tcPr>
            <w:tcW w:w="2212" w:type="dxa"/>
            <w:tcBorders>
              <w:top w:val="nil" w:sz="6" w:space="0" w:color="auto"/>
              <w:left w:val="nil" w:sz="6" w:space="0" w:color="auto"/>
              <w:bottom w:val="nil" w:sz="6" w:space="0" w:color="auto"/>
              <w:right w:val="nil" w:sz="6" w:space="0" w:color="auto"/>
            </w:tcBorders>
          </w:tcPr>
          <w:p>
            <w:pPr/>
          </w:p>
        </w:tc>
      </w:tr>
      <w:tr>
        <w:trPr>
          <w:trHeight w:val="707" w:hRule="exact"/>
        </w:trPr>
        <w:tc>
          <w:tcPr>
            <w:tcW w:w="647" w:type="dxa"/>
            <w:tcBorders>
              <w:top w:val="nil" w:sz="6" w:space="0" w:color="auto"/>
              <w:left w:val="nil" w:sz="6" w:space="0" w:color="auto"/>
              <w:bottom w:val="nil" w:sz="6" w:space="0" w:color="auto"/>
              <w:right w:val="nil" w:sz="6" w:space="0" w:color="auto"/>
            </w:tcBorders>
          </w:tcPr>
          <w:p>
            <w:pPr/>
          </w:p>
        </w:tc>
        <w:tc>
          <w:tcPr>
            <w:tcW w:w="5975" w:type="dxa"/>
            <w:tcBorders>
              <w:top w:val="nil" w:sz="6" w:space="0" w:color="auto"/>
              <w:left w:val="nil" w:sz="6" w:space="0" w:color="auto"/>
              <w:bottom w:val="nil" w:sz="6" w:space="0" w:color="auto"/>
              <w:right w:val="nil" w:sz="6" w:space="0" w:color="auto"/>
            </w:tcBorders>
          </w:tcPr>
          <w:p>
            <w:pPr>
              <w:pStyle w:val="TableParagraph"/>
              <w:tabs>
                <w:tab w:pos="4696" w:val="left" w:leader="none"/>
              </w:tabs>
              <w:spacing w:line="240" w:lineRule="auto" w:before="51"/>
              <w:ind w:left="107" w:right="0"/>
              <w:jc w:val="left"/>
              <w:rPr>
                <w:rFonts w:ascii="Times New Roman" w:hAnsi="Times New Roman" w:cs="Times New Roman" w:eastAsia="Times New Roman" w:hint="default"/>
                <w:sz w:val="16"/>
                <w:szCs w:val="16"/>
              </w:rPr>
            </w:pPr>
            <w:r>
              <w:rPr>
                <w:rFonts w:ascii="宋体" w:hAnsi="宋体" w:cs="宋体" w:eastAsia="宋体" w:hint="default"/>
                <w:w w:val="95"/>
                <w:sz w:val="16"/>
                <w:szCs w:val="16"/>
              </w:rPr>
              <w:t>投资账面价值合计</w:t>
              <w:tab/>
            </w:r>
            <w:r>
              <w:rPr>
                <w:rFonts w:ascii="Times New Roman" w:hAnsi="Times New Roman" w:cs="Times New Roman" w:eastAsia="Times New Roman" w:hint="default"/>
                <w:sz w:val="16"/>
                <w:szCs w:val="16"/>
              </w:rPr>
              <w:t>309,387,196.78</w:t>
            </w:r>
          </w:p>
          <w:p>
            <w:pPr>
              <w:pStyle w:val="TableParagraph"/>
              <w:spacing w:line="240" w:lineRule="auto" w:before="127"/>
              <w:ind w:left="107" w:right="0"/>
              <w:jc w:val="left"/>
              <w:rPr>
                <w:rFonts w:ascii="宋体" w:hAnsi="宋体" w:cs="宋体" w:eastAsia="宋体" w:hint="default"/>
                <w:sz w:val="16"/>
                <w:szCs w:val="16"/>
              </w:rPr>
            </w:pPr>
            <w:r>
              <w:rPr>
                <w:rFonts w:ascii="宋体" w:hAnsi="宋体" w:cs="宋体" w:eastAsia="宋体" w:hint="default"/>
                <w:sz w:val="16"/>
                <w:szCs w:val="16"/>
              </w:rPr>
              <w:t>下列各项按持股比例计算的合计数</w:t>
            </w:r>
          </w:p>
        </w:tc>
        <w:tc>
          <w:tcPr>
            <w:tcW w:w="2212" w:type="dxa"/>
            <w:tcBorders>
              <w:top w:val="nil" w:sz="6" w:space="0" w:color="auto"/>
              <w:left w:val="nil" w:sz="6" w:space="0" w:color="auto"/>
              <w:bottom w:val="nil" w:sz="6" w:space="0" w:color="auto"/>
              <w:right w:val="nil" w:sz="6" w:space="0" w:color="auto"/>
            </w:tcBorders>
          </w:tcPr>
          <w:p>
            <w:pPr>
              <w:pStyle w:val="TableParagraph"/>
              <w:spacing w:line="240" w:lineRule="auto" w:before="89"/>
              <w:ind w:left="1184" w:right="0"/>
              <w:jc w:val="left"/>
              <w:rPr>
                <w:rFonts w:ascii="Times New Roman" w:hAnsi="Times New Roman" w:cs="Times New Roman" w:eastAsia="Times New Roman" w:hint="default"/>
                <w:sz w:val="16"/>
                <w:szCs w:val="16"/>
              </w:rPr>
            </w:pPr>
            <w:r>
              <w:rPr>
                <w:rFonts w:ascii="Times New Roman"/>
                <w:sz w:val="16"/>
              </w:rPr>
              <w:t>70,873,381.15</w:t>
            </w:r>
          </w:p>
        </w:tc>
      </w:tr>
      <w:tr>
        <w:trPr>
          <w:trHeight w:val="1071" w:hRule="exact"/>
        </w:trPr>
        <w:tc>
          <w:tcPr>
            <w:tcW w:w="647" w:type="dxa"/>
            <w:tcBorders>
              <w:top w:val="nil" w:sz="6" w:space="0" w:color="auto"/>
              <w:left w:val="nil" w:sz="6" w:space="0" w:color="auto"/>
              <w:bottom w:val="nil" w:sz="6" w:space="0" w:color="auto"/>
              <w:right w:val="nil" w:sz="6" w:space="0" w:color="auto"/>
            </w:tcBorders>
          </w:tcPr>
          <w:p>
            <w:pPr/>
          </w:p>
        </w:tc>
        <w:tc>
          <w:tcPr>
            <w:tcW w:w="5975" w:type="dxa"/>
            <w:tcBorders>
              <w:top w:val="nil" w:sz="6" w:space="0" w:color="auto"/>
              <w:left w:val="nil" w:sz="6" w:space="0" w:color="auto"/>
              <w:bottom w:val="single" w:sz="12" w:space="0" w:color="000000"/>
              <w:right w:val="nil" w:sz="6" w:space="0" w:color="auto"/>
            </w:tcBorders>
          </w:tcPr>
          <w:p>
            <w:pPr>
              <w:pStyle w:val="TableParagraph"/>
              <w:tabs>
                <w:tab w:pos="4803" w:val="left" w:leader="none"/>
              </w:tabs>
              <w:spacing w:line="240" w:lineRule="auto" w:before="51"/>
              <w:ind w:left="107" w:right="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w w:val="95"/>
                <w:sz w:val="16"/>
                <w:szCs w:val="16"/>
              </w:rPr>
              <w:t>—</w:t>
            </w:r>
            <w:r>
              <w:rPr>
                <w:rFonts w:ascii="宋体" w:hAnsi="宋体" w:cs="宋体" w:eastAsia="宋体" w:hint="default"/>
                <w:w w:val="95"/>
                <w:sz w:val="16"/>
                <w:szCs w:val="16"/>
              </w:rPr>
              <w:t>净利润</w:t>
              <w:tab/>
            </w:r>
            <w:r>
              <w:rPr>
                <w:rFonts w:ascii="Times New Roman" w:hAnsi="Times New Roman" w:cs="Times New Roman" w:eastAsia="Times New Roman" w:hint="default"/>
                <w:sz w:val="16"/>
                <w:szCs w:val="16"/>
              </w:rPr>
              <w:t>-2,545,048.37</w:t>
            </w:r>
          </w:p>
          <w:p>
            <w:pPr>
              <w:pStyle w:val="TableParagraph"/>
              <w:spacing w:line="240" w:lineRule="auto" w:before="127"/>
              <w:ind w:left="107"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w:t>
            </w:r>
            <w:r>
              <w:rPr>
                <w:rFonts w:ascii="宋体" w:hAnsi="宋体" w:cs="宋体" w:eastAsia="宋体" w:hint="default"/>
                <w:sz w:val="16"/>
                <w:szCs w:val="16"/>
              </w:rPr>
              <w:t>其他综合收益</w:t>
            </w:r>
          </w:p>
          <w:p>
            <w:pPr>
              <w:pStyle w:val="TableParagraph"/>
              <w:tabs>
                <w:tab w:pos="4803" w:val="left" w:leader="none"/>
              </w:tabs>
              <w:spacing w:line="240" w:lineRule="auto" w:before="127"/>
              <w:ind w:left="107" w:right="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w w:val="95"/>
                <w:position w:val="1"/>
                <w:sz w:val="16"/>
                <w:szCs w:val="16"/>
              </w:rPr>
              <w:t>—</w:t>
            </w:r>
            <w:r>
              <w:rPr>
                <w:rFonts w:ascii="宋体" w:hAnsi="宋体" w:cs="宋体" w:eastAsia="宋体" w:hint="default"/>
                <w:w w:val="95"/>
                <w:position w:val="1"/>
                <w:sz w:val="16"/>
                <w:szCs w:val="16"/>
              </w:rPr>
              <w:t>综合收益总额</w:t>
              <w:tab/>
            </w:r>
            <w:r>
              <w:rPr>
                <w:rFonts w:ascii="Times New Roman" w:hAnsi="Times New Roman" w:cs="Times New Roman" w:eastAsia="Times New Roman" w:hint="default"/>
                <w:sz w:val="16"/>
                <w:szCs w:val="16"/>
              </w:rPr>
              <w:t>-2,545,048.37</w:t>
            </w:r>
          </w:p>
        </w:tc>
        <w:tc>
          <w:tcPr>
            <w:tcW w:w="2212" w:type="dxa"/>
            <w:tcBorders>
              <w:top w:val="nil" w:sz="6" w:space="0" w:color="auto"/>
              <w:left w:val="nil" w:sz="6" w:space="0" w:color="auto"/>
              <w:bottom w:val="single" w:sz="12" w:space="0" w:color="000000"/>
              <w:right w:val="nil" w:sz="6" w:space="0" w:color="auto"/>
            </w:tcBorders>
          </w:tcPr>
          <w:p>
            <w:pPr>
              <w:pStyle w:val="TableParagraph"/>
              <w:spacing w:line="240" w:lineRule="auto" w:before="89"/>
              <w:ind w:left="1184" w:right="0"/>
              <w:jc w:val="left"/>
              <w:rPr>
                <w:rFonts w:ascii="Times New Roman" w:hAnsi="Times New Roman" w:cs="Times New Roman" w:eastAsia="Times New Roman" w:hint="default"/>
                <w:sz w:val="16"/>
                <w:szCs w:val="16"/>
              </w:rPr>
            </w:pPr>
            <w:r>
              <w:rPr>
                <w:rFonts w:ascii="Times New Roman"/>
                <w:sz w:val="16"/>
              </w:rPr>
              <w:t>27,275,476.86</w:t>
            </w: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05"/>
              <w:ind w:left="1184" w:right="0"/>
              <w:jc w:val="left"/>
              <w:rPr>
                <w:rFonts w:ascii="Times New Roman" w:hAnsi="Times New Roman" w:cs="Times New Roman" w:eastAsia="Times New Roman" w:hint="default"/>
                <w:sz w:val="16"/>
                <w:szCs w:val="16"/>
              </w:rPr>
            </w:pPr>
            <w:r>
              <w:rPr>
                <w:rFonts w:ascii="Times New Roman"/>
                <w:sz w:val="16"/>
              </w:rPr>
              <w:t>27,275,476.86</w:t>
            </w:r>
          </w:p>
        </w:tc>
      </w:tr>
    </w:tbl>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pStyle w:val="Heading5"/>
        <w:tabs>
          <w:tab w:pos="1397" w:val="left" w:leader="none"/>
        </w:tabs>
        <w:spacing w:line="240" w:lineRule="auto"/>
        <w:ind w:left="846" w:right="3681"/>
        <w:jc w:val="left"/>
        <w:rPr>
          <w:b w:val="0"/>
          <w:bCs w:val="0"/>
        </w:rPr>
      </w:pPr>
      <w:r>
        <w:rPr/>
        <w:pict>
          <v:group style="position:absolute;margin-left:119.520004pt;margin-top:-147.626373pt;width:411.5pt;height:123.2pt;mso-position-horizontal-relative:page;mso-position-vertical-relative:paragraph;z-index:-1370776" coordorigin="2390,-2953" coordsize="8230,2464">
            <v:shape style="position:absolute;left:5827;top:-2953;width:10;height:28" type="#_x0000_t75" stroked="false">
              <v:imagedata r:id="rId102" o:title=""/>
            </v:shape>
            <v:shape style="position:absolute;left:8210;top:-2953;width:10;height:28" type="#_x0000_t75" stroked="false">
              <v:imagedata r:id="rId102" o:title=""/>
            </v:shape>
            <v:shape style="position:absolute;left:5808;top:-2944;width:2431;height:354" type="#_x0000_t75" stroked="false">
              <v:imagedata r:id="rId393" o:title=""/>
            </v:shape>
            <v:shape style="position:absolute;left:2390;top:-2629;width:8230;height:2140" type="#_x0000_t75" stroked="false">
              <v:imagedata r:id="rId394" o:title=""/>
            </v:shape>
            <w10:wrap type="none"/>
          </v:group>
        </w:pict>
      </w:r>
      <w:r>
        <w:rPr>
          <w:rFonts w:ascii="Times New Roman" w:hAnsi="Times New Roman" w:cs="Times New Roman" w:eastAsia="Times New Roman" w:hint="default"/>
          <w:w w:val="95"/>
        </w:rPr>
        <w:t>2</w:t>
      </w:r>
      <w:r>
        <w:rPr>
          <w:w w:val="95"/>
        </w:rPr>
        <w:t>、</w:t>
        <w:tab/>
      </w:r>
      <w:r>
        <w:rPr/>
        <w:t>联营企业向本公司转移资金的能力不存在重大限制</w:t>
      </w:r>
      <w:r>
        <w:rPr>
          <w:b w:val="0"/>
          <w:bCs w:val="0"/>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pStyle w:val="BodyText"/>
        <w:tabs>
          <w:tab w:pos="851" w:val="left" w:leader="none"/>
        </w:tabs>
        <w:spacing w:line="350" w:lineRule="auto" w:before="0"/>
        <w:ind w:left="851" w:right="1830" w:hanging="714"/>
        <w:jc w:val="left"/>
      </w:pPr>
      <w:r>
        <w:rPr>
          <w:rFonts w:ascii="宋体" w:hAnsi="宋体" w:cs="宋体" w:eastAsia="宋体" w:hint="default"/>
          <w:b/>
          <w:bCs/>
          <w:w w:val="95"/>
        </w:rPr>
        <w:t>八、</w:t>
        <w:tab/>
      </w:r>
      <w:r>
        <w:rPr>
          <w:rFonts w:ascii="宋体" w:hAnsi="宋体" w:cs="宋体" w:eastAsia="宋体" w:hint="default"/>
          <w:b/>
          <w:bCs/>
        </w:rPr>
        <w:t>与金融工具相关的风险</w:t>
      </w:r>
      <w:r>
        <w:rPr>
          <w:rFonts w:ascii="宋体" w:hAnsi="宋体" w:cs="宋体" w:eastAsia="宋体" w:hint="default"/>
          <w:b/>
          <w:bCs/>
          <w:w w:val="99"/>
        </w:rPr>
        <w:t> </w:t>
      </w:r>
      <w:r>
        <w:rPr/>
        <w:t>本公司的主要金融工具包括借款、应收款项、应付款项、可供出售金融资产等，各 项金融工具的详细情况说明见本附注五。与这些金融工具有关的风险，以及本公司 为降低这些风险所采取的风险管理政策如下所述。本公司管理层对这些风险敞口进 行管理和监控以确保将上述风险控制在限定的范围之内。</w:t>
      </w:r>
    </w:p>
    <w:p>
      <w:pPr>
        <w:spacing w:after="0" w:line="350" w:lineRule="auto"/>
        <w:jc w:val="left"/>
        <w:sectPr>
          <w:footerReference w:type="default" r:id="rId390"/>
          <w:pgSz w:w="11910" w:h="16840"/>
          <w:pgMar w:footer="1001" w:header="0" w:top="1620" w:bottom="1200" w:left="1660" w:right="0"/>
          <w:pgNumType w:start="78"/>
        </w:sectPr>
      </w:pPr>
    </w:p>
    <w:p>
      <w:pPr>
        <w:spacing w:line="240" w:lineRule="auto" w:before="8"/>
        <w:rPr>
          <w:rFonts w:ascii="宋体" w:hAnsi="宋体" w:cs="宋体" w:eastAsia="宋体" w:hint="default"/>
          <w:sz w:val="13"/>
          <w:szCs w:val="13"/>
        </w:rPr>
      </w:pPr>
    </w:p>
    <w:p>
      <w:pPr>
        <w:pStyle w:val="BodyText"/>
        <w:spacing w:line="350" w:lineRule="auto" w:before="35"/>
        <w:ind w:left="851" w:right="1830"/>
        <w:jc w:val="both"/>
      </w:pPr>
      <w:r>
        <w:rPr/>
        <w:t>本公司从事风险管理的目标是在风险和收益之间取得适当的平衡，将风险对本公司 经营业绩的负面影响降低到最低水平，使股东及其它权益投资者的利益最大化。基 于该风险管理目标，本公司风险管理的基本策略是确定和分析本公司所面临的各种 风险，建立适当的风险承受底线并进行风险管理，并及时可靠地对各种风险进行监 督，将风险控制在限定的范围之内。</w:t>
      </w:r>
    </w:p>
    <w:p>
      <w:pPr>
        <w:pStyle w:val="BodyText"/>
        <w:spacing w:line="240" w:lineRule="auto" w:before="28"/>
        <w:ind w:left="851" w:right="3681"/>
        <w:jc w:val="left"/>
      </w:pPr>
      <w:r>
        <w:rPr/>
        <w:t>（一）市场风险</w:t>
      </w:r>
    </w:p>
    <w:p>
      <w:pPr>
        <w:pStyle w:val="BodyText"/>
        <w:spacing w:line="331" w:lineRule="auto" w:before="125"/>
        <w:ind w:left="851" w:right="2023" w:hanging="1"/>
        <w:jc w:val="left"/>
      </w:pPr>
      <w:r>
        <w:rPr>
          <w:rFonts w:ascii="Times New Roman" w:hAnsi="Times New Roman" w:cs="Times New Roman" w:eastAsia="Times New Roman" w:hint="default"/>
        </w:rPr>
        <w:t>1</w:t>
      </w:r>
      <w:r>
        <w:rPr/>
        <w:t>、汇率风险 本公司承受的汇率风险主要来自子公司柏怡国际控股有限公司和中国长城计算机</w:t>
      </w:r>
    </w:p>
    <w:p>
      <w:pPr>
        <w:pStyle w:val="BodyText"/>
        <w:spacing w:line="348" w:lineRule="auto" w:before="45"/>
        <w:ind w:left="851" w:right="1778"/>
        <w:jc w:val="left"/>
      </w:pPr>
      <w:r>
        <w:rPr/>
        <w:t>（香港）控股有限公司，其外汇风险主要与美元、港币有关；除上述公司以美元、 </w:t>
      </w:r>
      <w:r>
        <w:rPr>
          <w:spacing w:val="-3"/>
        </w:rPr>
        <w:t>港币进行采购和销售外，本公司的其它主要业务活动以人民币计价结算。于 </w:t>
      </w:r>
      <w:r>
        <w:rPr>
          <w:rFonts w:ascii="Times New Roman" w:hAnsi="Times New Roman" w:cs="Times New Roman" w:eastAsia="Times New Roman" w:hint="default"/>
        </w:rPr>
        <w:t>2018</w:t>
      </w:r>
      <w:r>
        <w:rPr>
          <w:rFonts w:ascii="Times New Roman" w:hAnsi="Times New Roman" w:cs="Times New Roman" w:eastAsia="Times New Roman" w:hint="default"/>
          <w:spacing w:val="-21"/>
        </w:rPr>
        <w:t> </w:t>
      </w:r>
      <w:r>
        <w:rPr/>
        <w:t>年</w:t>
      </w:r>
    </w:p>
    <w:p>
      <w:pPr>
        <w:pStyle w:val="BodyText"/>
        <w:spacing w:line="343" w:lineRule="auto" w:before="5"/>
        <w:ind w:left="851" w:right="1782"/>
        <w:jc w:val="left"/>
      </w:pP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0"/>
        </w:rPr>
        <w:t> </w:t>
      </w:r>
      <w:r>
        <w:rPr>
          <w:rFonts w:ascii="Times New Roman" w:hAnsi="Times New Roman" w:cs="Times New Roman" w:eastAsia="Times New Roman" w:hint="default"/>
          <w:spacing w:val="-1"/>
        </w:rPr>
        <w:t>31</w:t>
      </w:r>
      <w:r>
        <w:rPr>
          <w:rFonts w:ascii="Times New Roman" w:hAnsi="Times New Roman" w:cs="Times New Roman" w:eastAsia="Times New Roman" w:hint="default"/>
          <w:spacing w:val="3"/>
        </w:rPr>
        <w:t> </w:t>
      </w:r>
      <w:r>
        <w:rPr>
          <w:spacing w:val="-4"/>
        </w:rPr>
        <w:t>日，除本附注“五、（五十六）外币货币性项目”中所述资产及负债的外币</w:t>
      </w:r>
      <w:r>
        <w:rPr/>
        <w:t> 余额外，本公司的资产及负债均为人民币余额。该等外币余额的资产和负债产生的 汇率风险可能对本公司的经营业绩产生影响。 本公司密切关注汇率变动对本公司的影响。</w:t>
      </w:r>
    </w:p>
    <w:p>
      <w:pPr>
        <w:pStyle w:val="BodyText"/>
        <w:spacing w:line="348" w:lineRule="auto" w:before="34"/>
        <w:ind w:left="851" w:right="1813" w:hanging="1"/>
        <w:jc w:val="left"/>
      </w:pPr>
      <w:r>
        <w:rPr>
          <w:rFonts w:ascii="Times New Roman" w:hAnsi="Times New Roman" w:cs="Times New Roman" w:eastAsia="Times New Roman" w:hint="default"/>
        </w:rPr>
        <w:t>2</w:t>
      </w:r>
      <w:r>
        <w:rPr/>
        <w:t>、利率风险 本公司的利率风险产生于银行借款等带息债务。浮动利率的金融负债使本公司面临 现金流量利率风险，固定利率的金融负债使本公司面临公允价值利率风险。本公司 根据当时的市场环境来决定固定利率及浮动利率合同的相对比例。 本公司因利率变动引起金融工具公允价值变动的风险主要与固定利率银行借款有 关。对于固定利率借款，本公司的目标是保持其浮动利率。 本公司因利率变动引起金融工具现金流量变动的风险主要与浮动利率银行借款有 关。本公司的政策是保持这些借款的浮动利率，以消除利率变动的公允价值风险。 </w:t>
      </w:r>
      <w:r>
        <w:rPr>
          <w:rFonts w:ascii="Times New Roman" w:hAnsi="Times New Roman" w:cs="Times New Roman" w:eastAsia="Times New Roman" w:hint="default"/>
        </w:rPr>
        <w:t>3</w:t>
      </w:r>
      <w:r>
        <w:rPr/>
        <w:t>、价格风险</w:t>
      </w:r>
    </w:p>
    <w:p>
      <w:pPr>
        <w:pStyle w:val="BodyText"/>
        <w:spacing w:line="240" w:lineRule="auto" w:before="4"/>
        <w:ind w:left="851" w:right="1793"/>
        <w:jc w:val="left"/>
      </w:pPr>
      <w:r>
        <w:rPr/>
        <w:t>本公司以市场价格销售电子产品，因此受到此等价格波动的影响。</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pStyle w:val="BodyText"/>
        <w:spacing w:line="240" w:lineRule="auto" w:before="0"/>
        <w:ind w:left="851" w:right="3681"/>
        <w:jc w:val="left"/>
      </w:pPr>
      <w:r>
        <w:rPr/>
        <w:t>（二）信用风险</w:t>
      </w:r>
    </w:p>
    <w:p>
      <w:pPr>
        <w:pStyle w:val="BodyText"/>
        <w:spacing w:line="345" w:lineRule="auto" w:before="125"/>
        <w:ind w:left="851" w:right="1782"/>
        <w:jc w:val="left"/>
      </w:pPr>
      <w:r>
        <w:rPr/>
        <w:t>于</w:t>
      </w:r>
      <w:r>
        <w:rPr>
          <w:spacing w:val="-51"/>
        </w:rPr>
        <w:t> </w:t>
      </w:r>
      <w:r>
        <w:rPr>
          <w:rFonts w:ascii="Times New Roman" w:hAnsi="Times New Roman" w:cs="Times New Roman" w:eastAsia="Times New Roman" w:hint="default"/>
        </w:rPr>
        <w:t>2018</w:t>
      </w:r>
      <w:r>
        <w:rPr>
          <w:rFonts w:ascii="Times New Roman" w:hAnsi="Times New Roman" w:cs="Times New Roman" w:eastAsia="Times New Roman" w:hint="default"/>
          <w:spacing w:val="2"/>
        </w:rPr>
        <w:t> </w:t>
      </w:r>
      <w:r>
        <w:rPr/>
        <w:t>年</w:t>
      </w:r>
      <w:r>
        <w:rPr>
          <w:spacing w:val="-51"/>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2"/>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spacing w:val="-3"/>
        </w:rPr>
        <w:t>日，可能引起本公司财务损失的最大信用风险敞口主要来自于合</w:t>
      </w:r>
      <w:r>
        <w:rPr/>
        <w:t> 同另一方未能履行义务而导致本公司金融资产产生的损失以及本公司承担的财务担 保，具体包括： 合并资产负债表中已确认的金融资产的账面金额；对于以公允价值计量的金融工具 而言，账面价值反映了其风险敞口，但并非最大风险敞口，其最大风险敞口将随着 未来公允价值的变化而改变。 为降低信用风险，本公司成立专门部门确定信用额度、进行信用审批，并执行其它 监控程序以确保采取必要的措施回收过期债权。此外，本公司于每个资产负债表日</w:t>
      </w:r>
    </w:p>
    <w:p>
      <w:pPr>
        <w:spacing w:after="0" w:line="345" w:lineRule="auto"/>
        <w:jc w:val="left"/>
        <w:sectPr>
          <w:pgSz w:w="11910" w:h="16840"/>
          <w:pgMar w:header="0" w:footer="1001" w:top="1520" w:bottom="1200" w:left="1660" w:right="0"/>
        </w:sectPr>
      </w:pPr>
    </w:p>
    <w:p>
      <w:pPr>
        <w:spacing w:line="240" w:lineRule="auto" w:before="8"/>
        <w:rPr>
          <w:rFonts w:ascii="宋体" w:hAnsi="宋体" w:cs="宋体" w:eastAsia="宋体" w:hint="default"/>
          <w:sz w:val="13"/>
          <w:szCs w:val="13"/>
        </w:rPr>
      </w:pPr>
    </w:p>
    <w:p>
      <w:pPr>
        <w:pStyle w:val="BodyText"/>
        <w:spacing w:line="350" w:lineRule="auto" w:before="35"/>
        <w:ind w:left="851" w:right="1813"/>
        <w:jc w:val="left"/>
      </w:pPr>
      <w:r>
        <w:rPr/>
        <w:t>审核每一单项应收款的回收情况，以确保就无法回收的款项计提充分的坏账准备。 因此，本公司管理层认为本公司所承担的信用风险已经大为降低。 本公司的流动资金存放在信用评级较高的银行，故流动资金的信用风险较低。 本公司采用了必要的政策确保所有销售客户均具有良好的信用记录。除应收账款金 额前五名外，本公司无其他重大信用集中风险。应收账款前五名金额合计为 </w:t>
      </w:r>
      <w:r>
        <w:rPr>
          <w:rFonts w:ascii="Times New Roman" w:hAnsi="Times New Roman" w:cs="Times New Roman" w:eastAsia="Times New Roman" w:hint="default"/>
        </w:rPr>
        <w:t>492,503,725.12</w:t>
      </w:r>
      <w:r>
        <w:rPr>
          <w:rFonts w:ascii="Times New Roman" w:hAnsi="Times New Roman" w:cs="Times New Roman" w:eastAsia="Times New Roman" w:hint="default"/>
          <w:spacing w:val="-6"/>
        </w:rPr>
        <w:t> </w:t>
      </w:r>
      <w:r>
        <w:rPr/>
        <w:t>元。</w:t>
      </w:r>
    </w:p>
    <w:p>
      <w:pPr>
        <w:pStyle w:val="BodyText"/>
        <w:spacing w:line="350" w:lineRule="auto" w:before="2"/>
        <w:ind w:left="851" w:right="1813"/>
        <w:jc w:val="left"/>
      </w:pPr>
      <w:r>
        <w:rPr/>
        <w:t>（三）流动风险 流动风险为本公司在到期日无法履行其财务义务的风险。本公司管理流动性风险的 方法是确保有足够的资金流动性来履行到期债务，而不至于造成不可接受的损失或 对企业信誉造成损害。本公司定期分析负债结构和期限，以确保有充裕的资金。本 公司管理层对银行借款的使用情况进行监控并确保遵守借款协议。同时与金融机构 进行融资磋商，以保持一定的授信额度，减低流动性风险。</w:t>
      </w:r>
    </w:p>
    <w:p>
      <w:pPr>
        <w:spacing w:line="240" w:lineRule="auto" w:before="0"/>
        <w:rPr>
          <w:rFonts w:ascii="宋体" w:hAnsi="宋体" w:cs="宋体" w:eastAsia="宋体" w:hint="default"/>
          <w:sz w:val="20"/>
          <w:szCs w:val="20"/>
        </w:rPr>
      </w:pPr>
    </w:p>
    <w:p>
      <w:pPr>
        <w:pStyle w:val="Heading5"/>
        <w:tabs>
          <w:tab w:pos="851" w:val="left" w:leader="none"/>
        </w:tabs>
        <w:spacing w:line="240" w:lineRule="auto" w:before="167"/>
        <w:ind w:right="3681"/>
        <w:jc w:val="left"/>
        <w:rPr>
          <w:b w:val="0"/>
          <w:bCs w:val="0"/>
        </w:rPr>
      </w:pPr>
      <w:r>
        <w:rPr>
          <w:w w:val="95"/>
        </w:rPr>
        <w:t>九、</w:t>
        <w:tab/>
      </w:r>
      <w:r>
        <w:rPr/>
        <w:t>公允价值的披露</w:t>
      </w:r>
      <w:r>
        <w:rPr>
          <w:b w:val="0"/>
          <w:bCs w:val="0"/>
        </w:rPr>
      </w:r>
    </w:p>
    <w:p>
      <w:pPr>
        <w:pStyle w:val="BodyText"/>
        <w:spacing w:line="350" w:lineRule="auto" w:before="125"/>
        <w:ind w:left="851" w:right="1813"/>
        <w:jc w:val="left"/>
      </w:pPr>
      <w:r>
        <w:rPr/>
        <w:t>公允价值计量所使用的输入值划分为三个层次： 第一层次输入值是在计量日能够取得的相同资产或负债在活跃市场上未经调整的报 价。 第二层次输入值是除第一层次输入值外相关资产或负债直接或间接可观察的输入 值。</w:t>
      </w:r>
    </w:p>
    <w:p>
      <w:pPr>
        <w:pStyle w:val="BodyText"/>
        <w:spacing w:line="348" w:lineRule="auto" w:before="29"/>
        <w:ind w:left="851" w:right="1813"/>
        <w:jc w:val="left"/>
      </w:pPr>
      <w:r>
        <w:rPr/>
        <w:t>第三层次输入值是相关资产或负债的不可观察输入值。 公允价值计量结果所属的层次，由对公允价值计量整体而言具有重要意义的输入值 所属的最低层次决定。</w:t>
      </w:r>
    </w:p>
    <w:p>
      <w:pPr>
        <w:spacing w:line="240" w:lineRule="auto" w:before="0"/>
        <w:rPr>
          <w:rFonts w:ascii="宋体" w:hAnsi="宋体" w:cs="宋体" w:eastAsia="宋体" w:hint="default"/>
          <w:sz w:val="20"/>
          <w:szCs w:val="20"/>
        </w:rPr>
      </w:pPr>
    </w:p>
    <w:p>
      <w:pPr>
        <w:pStyle w:val="Heading5"/>
        <w:tabs>
          <w:tab w:pos="851" w:val="left" w:leader="none"/>
        </w:tabs>
        <w:spacing w:line="240" w:lineRule="auto" w:before="169"/>
        <w:ind w:right="3681"/>
        <w:jc w:val="left"/>
        <w:rPr>
          <w:b w:val="0"/>
          <w:bCs w:val="0"/>
        </w:rPr>
      </w:pPr>
      <w:r>
        <w:rPr/>
        <w:pict>
          <v:group style="position:absolute;margin-left:119.010002pt;margin-top:23.766912pt;width:411.6pt;height:192.75pt;mso-position-horizontal-relative:page;mso-position-vertical-relative:paragraph;z-index:-1370512" coordorigin="2380,475" coordsize="8232,3855">
            <v:group style="position:absolute;left:2410;top:490;width:2855;height:2" coordorigin="2410,490" coordsize="2855,2">
              <v:shape style="position:absolute;left:2410;top:490;width:2855;height:2" coordorigin="2410,490" coordsize="2855,0" path="m2410,490l5264,490e" filled="false" stroked="true" strokeweight="1.5pt" strokecolor="#000000">
                <v:path arrowok="t"/>
              </v:shape>
            </v:group>
            <v:group style="position:absolute;left:5264;top:490;width:5333;height:2" coordorigin="5264,490" coordsize="5333,2">
              <v:shape style="position:absolute;left:5264;top:490;width:5333;height:2" coordorigin="5264,490" coordsize="5333,0" path="m5264,490l10597,490e" filled="false" stroked="true" strokeweight="1.5pt" strokecolor="#000000">
                <v:path arrowok="t"/>
              </v:shape>
              <v:shape style="position:absolute;left:5264;top:505;width:10;height:344" type="#_x0000_t75" stroked="false">
                <v:imagedata r:id="rId355" o:title=""/>
              </v:shape>
              <v:shape style="position:absolute;left:5252;top:837;width:5360;height:586" type="#_x0000_t75" stroked="false">
                <v:imagedata r:id="rId395" o:title=""/>
              </v:shape>
            </v:group>
            <v:group style="position:absolute;left:2395;top:4315;width:2870;height:2" coordorigin="2395,4315" coordsize="2870,2">
              <v:shape style="position:absolute;left:2395;top:4315;width:2870;height:2" coordorigin="2395,4315" coordsize="2870,0" path="m2395,4315l5264,4315e" filled="false" stroked="true" strokeweight="1.5pt" strokecolor="#000000">
                <v:path arrowok="t"/>
              </v:shape>
              <v:shape style="position:absolute;left:2397;top:1397;width:8214;height:2922" type="#_x0000_t75" stroked="false">
                <v:imagedata r:id="rId396" o:title=""/>
              </v:shape>
            </v:group>
            <v:group style="position:absolute;left:5264;top:4315;width:1394;height:2" coordorigin="5264,4315" coordsize="1394,2">
              <v:shape style="position:absolute;left:5264;top:4315;width:1394;height:2" coordorigin="5264,4315" coordsize="1394,0" path="m5264,4315l6658,4315e" filled="false" stroked="true" strokeweight="1.5pt" strokecolor="#000000">
                <v:path arrowok="t"/>
              </v:shape>
              <v:shape style="position:absolute;left:6638;top:3759;width:48;height:560" type="#_x0000_t75" stroked="false">
                <v:imagedata r:id="rId397" o:title=""/>
              </v:shape>
            </v:group>
            <v:group style="position:absolute;left:6658;top:4315;width:1240;height:2" coordorigin="6658,4315" coordsize="1240,2">
              <v:shape style="position:absolute;left:6658;top:4315;width:1240;height:2" coordorigin="6658,4315" coordsize="1240,0" path="m6658,4315l7897,4315e" filled="false" stroked="true" strokeweight="1.5pt" strokecolor="#000000">
                <v:path arrowok="t"/>
              </v:shape>
              <v:shape style="position:absolute;left:7878;top:3759;width:48;height:560" type="#_x0000_t75" stroked="false">
                <v:imagedata r:id="rId397" o:title=""/>
              </v:shape>
            </v:group>
            <v:group style="position:absolute;left:7897;top:4315;width:1329;height:2" coordorigin="7897,4315" coordsize="1329,2">
              <v:shape style="position:absolute;left:7897;top:4315;width:1329;height:2" coordorigin="7897,4315" coordsize="1329,0" path="m7897,4315l9226,4315e" filled="false" stroked="true" strokeweight="1.5pt" strokecolor="#000000">
                <v:path arrowok="t"/>
              </v:shape>
              <v:shape style="position:absolute;left:9206;top:3759;width:48;height:560" type="#_x0000_t75" stroked="false">
                <v:imagedata r:id="rId398" o:title=""/>
              </v:shape>
            </v:group>
            <v:group style="position:absolute;left:9226;top:4315;width:1372;height:2" coordorigin="9226,4315" coordsize="1372,2">
              <v:shape style="position:absolute;left:9226;top:4315;width:1372;height:2" coordorigin="9226,4315" coordsize="1372,0" path="m9226,4315l10597,4315e" filled="false" stroked="true" strokeweight="1.5pt" strokecolor="#000000">
                <v:path arrowok="t"/>
              </v:shape>
              <v:shape style="position:absolute;left:7453;top:597;width:95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期末公允价值</w:t>
                      </w:r>
                      <w:r>
                        <w:rPr>
                          <w:rFonts w:ascii="宋体" w:hAnsi="宋体" w:cs="宋体" w:eastAsia="宋体" w:hint="default"/>
                          <w:sz w:val="16"/>
                          <w:szCs w:val="16"/>
                        </w:rPr>
                      </w:r>
                    </w:p>
                  </w:txbxContent>
                </v:textbox>
                <w10:wrap type="none"/>
              </v:shape>
              <v:shape style="position:absolute;left:3679;top:878;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项目</w:t>
                      </w:r>
                      <w:r>
                        <w:rPr>
                          <w:rFonts w:ascii="宋体" w:hAnsi="宋体" w:cs="宋体" w:eastAsia="宋体" w:hint="default"/>
                          <w:sz w:val="16"/>
                          <w:szCs w:val="16"/>
                        </w:rPr>
                      </w:r>
                    </w:p>
                  </w:txbxContent>
                </v:textbox>
                <w10:wrap type="none"/>
              </v:shape>
              <v:shape style="position:absolute;left:5406;top:950;width:1119;height:369" type="#_x0000_t202" filled="false" stroked="false">
                <v:textbox inset="0,0,0,0">
                  <w:txbxContent>
                    <w:p>
                      <w:pPr>
                        <w:spacing w:line="159" w:lineRule="exact" w:before="0"/>
                        <w:ind w:left="-1" w:right="0" w:firstLine="0"/>
                        <w:jc w:val="center"/>
                        <w:rPr>
                          <w:rFonts w:ascii="宋体" w:hAnsi="宋体" w:cs="宋体" w:eastAsia="宋体" w:hint="default"/>
                          <w:sz w:val="16"/>
                          <w:szCs w:val="16"/>
                        </w:rPr>
                      </w:pPr>
                      <w:r>
                        <w:rPr>
                          <w:rFonts w:ascii="宋体" w:hAnsi="宋体" w:cs="宋体" w:eastAsia="宋体" w:hint="default"/>
                          <w:w w:val="95"/>
                          <w:sz w:val="16"/>
                          <w:szCs w:val="16"/>
                        </w:rPr>
                        <w:t>第一层次公允价</w:t>
                      </w:r>
                      <w:r>
                        <w:rPr>
                          <w:rFonts w:ascii="宋体" w:hAnsi="宋体" w:cs="宋体" w:eastAsia="宋体" w:hint="default"/>
                          <w:sz w:val="16"/>
                          <w:szCs w:val="16"/>
                        </w:rPr>
                      </w:r>
                    </w:p>
                    <w:p>
                      <w:pPr>
                        <w:spacing w:line="209" w:lineRule="exact" w:before="0"/>
                        <w:ind w:left="0" w:right="1" w:firstLine="0"/>
                        <w:jc w:val="center"/>
                        <w:rPr>
                          <w:rFonts w:ascii="宋体" w:hAnsi="宋体" w:cs="宋体" w:eastAsia="宋体" w:hint="default"/>
                          <w:sz w:val="16"/>
                          <w:szCs w:val="16"/>
                        </w:rPr>
                      </w:pPr>
                      <w:r>
                        <w:rPr>
                          <w:rFonts w:ascii="宋体" w:hAnsi="宋体" w:cs="宋体" w:eastAsia="宋体" w:hint="default"/>
                          <w:sz w:val="16"/>
                          <w:szCs w:val="16"/>
                        </w:rPr>
                        <w:t>值计量</w:t>
                      </w:r>
                    </w:p>
                  </w:txbxContent>
                </v:textbox>
                <w10:wrap type="none"/>
              </v:shape>
              <v:shape style="position:absolute;left:6802;top:950;width:959;height:369" type="#_x0000_t202" filled="false" stroked="false">
                <v:textbox inset="0,0,0,0">
                  <w:txbxContent>
                    <w:p>
                      <w:pPr>
                        <w:spacing w:line="159" w:lineRule="exact" w:before="0"/>
                        <w:ind w:left="-1" w:right="0" w:firstLine="0"/>
                        <w:jc w:val="center"/>
                        <w:rPr>
                          <w:rFonts w:ascii="宋体" w:hAnsi="宋体" w:cs="宋体" w:eastAsia="宋体" w:hint="default"/>
                          <w:sz w:val="16"/>
                          <w:szCs w:val="16"/>
                        </w:rPr>
                      </w:pPr>
                      <w:r>
                        <w:rPr>
                          <w:rFonts w:ascii="宋体" w:hAnsi="宋体" w:cs="宋体" w:eastAsia="宋体" w:hint="default"/>
                          <w:w w:val="95"/>
                          <w:sz w:val="16"/>
                          <w:szCs w:val="16"/>
                        </w:rPr>
                        <w:t>第二层次公允</w:t>
                      </w:r>
                      <w:r>
                        <w:rPr>
                          <w:rFonts w:ascii="宋体" w:hAnsi="宋体" w:cs="宋体" w:eastAsia="宋体" w:hint="default"/>
                          <w:sz w:val="16"/>
                          <w:szCs w:val="16"/>
                        </w:rPr>
                      </w:r>
                    </w:p>
                    <w:p>
                      <w:pPr>
                        <w:spacing w:line="209" w:lineRule="exact" w:before="0"/>
                        <w:ind w:left="0" w:right="1" w:firstLine="0"/>
                        <w:jc w:val="center"/>
                        <w:rPr>
                          <w:rFonts w:ascii="宋体" w:hAnsi="宋体" w:cs="宋体" w:eastAsia="宋体" w:hint="default"/>
                          <w:sz w:val="16"/>
                          <w:szCs w:val="16"/>
                        </w:rPr>
                      </w:pPr>
                      <w:r>
                        <w:rPr>
                          <w:rFonts w:ascii="宋体" w:hAnsi="宋体" w:cs="宋体" w:eastAsia="宋体" w:hint="default"/>
                          <w:sz w:val="16"/>
                          <w:szCs w:val="16"/>
                        </w:rPr>
                        <w:t>价值计量</w:t>
                      </w:r>
                    </w:p>
                  </w:txbxContent>
                </v:textbox>
                <w10:wrap type="none"/>
              </v:shape>
              <v:shape style="position:absolute;left:8084;top:950;width:959;height:369" type="#_x0000_t202" filled="false" stroked="false">
                <v:textbox inset="0,0,0,0">
                  <w:txbxContent>
                    <w:p>
                      <w:pPr>
                        <w:spacing w:line="159" w:lineRule="exact" w:before="0"/>
                        <w:ind w:left="0" w:right="0" w:firstLine="0"/>
                        <w:jc w:val="center"/>
                        <w:rPr>
                          <w:rFonts w:ascii="宋体" w:hAnsi="宋体" w:cs="宋体" w:eastAsia="宋体" w:hint="default"/>
                          <w:sz w:val="16"/>
                          <w:szCs w:val="16"/>
                        </w:rPr>
                      </w:pPr>
                      <w:r>
                        <w:rPr>
                          <w:rFonts w:ascii="宋体" w:hAnsi="宋体" w:cs="宋体" w:eastAsia="宋体" w:hint="default"/>
                          <w:w w:val="95"/>
                          <w:sz w:val="16"/>
                          <w:szCs w:val="16"/>
                        </w:rPr>
                        <w:t>第三层次公允</w:t>
                      </w:r>
                      <w:r>
                        <w:rPr>
                          <w:rFonts w:ascii="宋体" w:hAnsi="宋体" w:cs="宋体" w:eastAsia="宋体" w:hint="default"/>
                          <w:sz w:val="16"/>
                          <w:szCs w:val="16"/>
                        </w:rPr>
                      </w:r>
                    </w:p>
                    <w:p>
                      <w:pPr>
                        <w:spacing w:line="209" w:lineRule="exact" w:before="0"/>
                        <w:ind w:left="1" w:right="0" w:firstLine="0"/>
                        <w:jc w:val="center"/>
                        <w:rPr>
                          <w:rFonts w:ascii="宋体" w:hAnsi="宋体" w:cs="宋体" w:eastAsia="宋体" w:hint="default"/>
                          <w:sz w:val="16"/>
                          <w:szCs w:val="16"/>
                        </w:rPr>
                      </w:pPr>
                      <w:r>
                        <w:rPr>
                          <w:rFonts w:ascii="宋体" w:hAnsi="宋体" w:cs="宋体" w:eastAsia="宋体" w:hint="default"/>
                          <w:sz w:val="16"/>
                          <w:szCs w:val="16"/>
                        </w:rPr>
                        <w:t>价值计量</w:t>
                      </w:r>
                    </w:p>
                  </w:txbxContent>
                </v:textbox>
                <w10:wrap type="none"/>
              </v:shape>
              <v:shape style="position:absolute;left:9754;top:1055;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合计</w:t>
                      </w:r>
                      <w:r>
                        <w:rPr>
                          <w:rFonts w:ascii="宋体" w:hAnsi="宋体" w:cs="宋体" w:eastAsia="宋体" w:hint="default"/>
                          <w:sz w:val="16"/>
                          <w:szCs w:val="16"/>
                        </w:rPr>
                      </w:r>
                    </w:p>
                  </w:txbxContent>
                </v:textbox>
                <w10:wrap type="none"/>
              </v:shape>
              <v:shape style="position:absolute;left:2518;top:1512;width:2559;height:722"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一、持续的公允价值计量</w:t>
                      </w:r>
                      <w:r>
                        <w:rPr>
                          <w:rFonts w:ascii="宋体" w:hAnsi="宋体" w:cs="宋体" w:eastAsia="宋体" w:hint="default"/>
                          <w:sz w:val="16"/>
                          <w:szCs w:val="16"/>
                        </w:rPr>
                      </w:r>
                    </w:p>
                    <w:p>
                      <w:pPr>
                        <w:spacing w:before="143"/>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◆以公允价值计量且变动计入当期损</w:t>
                      </w:r>
                      <w:r>
                        <w:rPr>
                          <w:rFonts w:ascii="宋体" w:hAnsi="宋体" w:cs="宋体" w:eastAsia="宋体" w:hint="default"/>
                          <w:spacing w:val="49"/>
                          <w:w w:val="95"/>
                          <w:sz w:val="16"/>
                          <w:szCs w:val="16"/>
                        </w:rPr>
                        <w:t> </w:t>
                      </w:r>
                      <w:r>
                        <w:rPr>
                          <w:rFonts w:ascii="宋体" w:hAnsi="宋体" w:cs="宋体" w:eastAsia="宋体" w:hint="default"/>
                          <w:spacing w:val="49"/>
                          <w:w w:val="95"/>
                          <w:sz w:val="16"/>
                          <w:szCs w:val="16"/>
                        </w:rPr>
                      </w:r>
                      <w:r>
                        <w:rPr>
                          <w:rFonts w:ascii="宋体" w:hAnsi="宋体" w:cs="宋体" w:eastAsia="宋体" w:hint="default"/>
                          <w:sz w:val="16"/>
                          <w:szCs w:val="16"/>
                        </w:rPr>
                        <w:t>益的金融资产</w:t>
                      </w:r>
                    </w:p>
                  </w:txbxContent>
                </v:textbox>
                <w10:wrap type="none"/>
              </v:shape>
              <v:shape style="position:absolute;left:8201;top:1983;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17,524,000.00</w:t>
                      </w:r>
                      <w:r>
                        <w:rPr>
                          <w:rFonts w:ascii="Times New Roman"/>
                          <w:sz w:val="16"/>
                        </w:rPr>
                      </w:r>
                    </w:p>
                  </w:txbxContent>
                </v:textbox>
                <w10:wrap type="none"/>
              </v:shape>
              <v:shape style="position:absolute;left:9569;top:1983;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17,524,000.00</w:t>
                      </w:r>
                      <w:r>
                        <w:rPr>
                          <w:rFonts w:ascii="Times New Roman"/>
                          <w:sz w:val="16"/>
                        </w:rPr>
                      </w:r>
                    </w:p>
                  </w:txbxContent>
                </v:textbox>
                <w10:wrap type="none"/>
              </v:shape>
              <v:shape style="position:absolute;left:2518;top:3840;width:2519;height:369" type="#_x0000_t202" filled="false" stroked="false">
                <v:textbox inset="0,0,0,0">
                  <w:txbxContent>
                    <w:p>
                      <w:pPr>
                        <w:spacing w:line="165" w:lineRule="exact" w:before="0"/>
                        <w:ind w:left="158" w:right="0" w:firstLine="0"/>
                        <w:jc w:val="left"/>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宋体" w:hAnsi="宋体" w:cs="宋体" w:eastAsia="宋体" w:hint="default"/>
                          <w:sz w:val="16"/>
                          <w:szCs w:val="16"/>
                        </w:rPr>
                        <w:t>指定以公允价值计量且其变动计</w:t>
                      </w:r>
                    </w:p>
                    <w:p>
                      <w:pPr>
                        <w:spacing w:line="203"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入当期损益的金融资产</w:t>
                      </w:r>
                    </w:p>
                  </w:txbxContent>
                </v:textbox>
                <w10:wrap type="none"/>
              </v:shape>
            </v:group>
            <w10:wrap type="none"/>
          </v:group>
        </w:pict>
      </w:r>
      <w:r>
        <w:rPr>
          <w:rFonts w:ascii="Times New Roman" w:hAnsi="Times New Roman" w:cs="Times New Roman" w:eastAsia="Times New Roman" w:hint="default"/>
          <w:w w:val="95"/>
        </w:rPr>
        <w:t>(</w:t>
      </w:r>
      <w:r>
        <w:rPr>
          <w:w w:val="95"/>
        </w:rPr>
        <w:t>一</w:t>
      </w:r>
      <w:r>
        <w:rPr>
          <w:rFonts w:ascii="Times New Roman" w:hAnsi="Times New Roman" w:cs="Times New Roman" w:eastAsia="Times New Roman" w:hint="default"/>
          <w:w w:val="95"/>
        </w:rPr>
        <w:t>)</w:t>
        <w:tab/>
      </w:r>
      <w:r>
        <w:rPr/>
        <w:t>以公允价值计量的资产和负债的期末公允价值</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2"/>
          <w:szCs w:val="22"/>
        </w:rPr>
      </w:pPr>
    </w:p>
    <w:tbl>
      <w:tblPr>
        <w:tblW w:w="0" w:type="auto"/>
        <w:jc w:val="left"/>
        <w:tblInd w:w="822" w:type="dxa"/>
        <w:tblLayout w:type="fixed"/>
        <w:tblCellMar>
          <w:top w:w="0" w:type="dxa"/>
          <w:left w:w="0" w:type="dxa"/>
          <w:bottom w:w="0" w:type="dxa"/>
          <w:right w:w="0" w:type="dxa"/>
        </w:tblCellMar>
        <w:tblLook w:val="01E0"/>
      </w:tblPr>
      <w:tblGrid>
        <w:gridCol w:w="3576"/>
        <w:gridCol w:w="3287"/>
        <w:gridCol w:w="1180"/>
      </w:tblGrid>
      <w:tr>
        <w:trPr>
          <w:trHeight w:val="1068" w:hRule="exact"/>
        </w:trPr>
        <w:tc>
          <w:tcPr>
            <w:tcW w:w="357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946"/>
              <w:jc w:val="center"/>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宋体" w:hAnsi="宋体" w:cs="宋体" w:eastAsia="宋体" w:hint="default"/>
                <w:sz w:val="16"/>
                <w:szCs w:val="16"/>
              </w:rPr>
              <w:t>交易性金融资产</w:t>
            </w:r>
          </w:p>
          <w:p>
            <w:pPr>
              <w:pStyle w:val="TableParagraph"/>
              <w:spacing w:line="240" w:lineRule="auto" w:before="132"/>
              <w:ind w:right="2144"/>
              <w:jc w:val="center"/>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1</w:t>
            </w:r>
            <w:r>
              <w:rPr>
                <w:rFonts w:ascii="宋体" w:hAnsi="宋体" w:cs="宋体" w:eastAsia="宋体" w:hint="default"/>
                <w:sz w:val="16"/>
                <w:szCs w:val="16"/>
              </w:rPr>
              <w:t>）债务工具投资</w:t>
            </w:r>
          </w:p>
          <w:p>
            <w:pPr>
              <w:pStyle w:val="TableParagraph"/>
              <w:spacing w:line="240" w:lineRule="auto" w:before="131"/>
              <w:ind w:right="2144"/>
              <w:jc w:val="center"/>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2</w:t>
            </w:r>
            <w:r>
              <w:rPr>
                <w:rFonts w:ascii="宋体" w:hAnsi="宋体" w:cs="宋体" w:eastAsia="宋体" w:hint="default"/>
                <w:sz w:val="16"/>
                <w:szCs w:val="16"/>
              </w:rPr>
              <w:t>）权益工具投资</w:t>
            </w:r>
          </w:p>
        </w:tc>
        <w:tc>
          <w:tcPr>
            <w:tcW w:w="3287"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21"/>
              <w:jc w:val="right"/>
              <w:rPr>
                <w:rFonts w:ascii="Times New Roman" w:hAnsi="Times New Roman" w:cs="Times New Roman" w:eastAsia="Times New Roman" w:hint="default"/>
                <w:sz w:val="16"/>
                <w:szCs w:val="16"/>
              </w:rPr>
            </w:pPr>
            <w:r>
              <w:rPr>
                <w:rFonts w:ascii="Times New Roman"/>
                <w:spacing w:val="-1"/>
                <w:sz w:val="16"/>
              </w:rPr>
              <w:t>17,524,000.00</w:t>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33"/>
              <w:jc w:val="right"/>
              <w:rPr>
                <w:rFonts w:ascii="Times New Roman" w:hAnsi="Times New Roman" w:cs="Times New Roman" w:eastAsia="Times New Roman" w:hint="default"/>
                <w:sz w:val="16"/>
                <w:szCs w:val="16"/>
              </w:rPr>
            </w:pPr>
            <w:r>
              <w:rPr>
                <w:rFonts w:ascii="Times New Roman"/>
                <w:spacing w:val="-1"/>
                <w:sz w:val="16"/>
              </w:rPr>
              <w:t>17,524,000.00</w:t>
            </w:r>
          </w:p>
        </w:tc>
      </w:tr>
      <w:tr>
        <w:trPr>
          <w:trHeight w:val="366" w:hRule="exact"/>
        </w:trPr>
        <w:tc>
          <w:tcPr>
            <w:tcW w:w="3576" w:type="dxa"/>
            <w:tcBorders>
              <w:top w:val="nil" w:sz="6" w:space="0" w:color="auto"/>
              <w:left w:val="nil" w:sz="6" w:space="0" w:color="auto"/>
              <w:bottom w:val="nil" w:sz="6" w:space="0" w:color="auto"/>
              <w:right w:val="nil" w:sz="6" w:space="0" w:color="auto"/>
            </w:tcBorders>
          </w:tcPr>
          <w:p>
            <w:pPr>
              <w:pStyle w:val="TableParagraph"/>
              <w:spacing w:line="240" w:lineRule="auto" w:before="43"/>
              <w:ind w:left="35" w:right="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3</w:t>
            </w:r>
            <w:r>
              <w:rPr>
                <w:rFonts w:ascii="宋体" w:hAnsi="宋体" w:cs="宋体" w:eastAsia="宋体" w:hint="default"/>
                <w:sz w:val="16"/>
                <w:szCs w:val="16"/>
              </w:rPr>
              <w:t>）衍生金融资产</w:t>
            </w:r>
          </w:p>
        </w:tc>
        <w:tc>
          <w:tcPr>
            <w:tcW w:w="3287"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221"/>
              <w:jc w:val="right"/>
              <w:rPr>
                <w:rFonts w:ascii="Times New Roman" w:hAnsi="Times New Roman" w:cs="Times New Roman" w:eastAsia="Times New Roman" w:hint="default"/>
                <w:sz w:val="16"/>
                <w:szCs w:val="16"/>
              </w:rPr>
            </w:pPr>
            <w:r>
              <w:rPr>
                <w:rFonts w:ascii="Times New Roman"/>
                <w:spacing w:val="-1"/>
                <w:sz w:val="16"/>
              </w:rPr>
              <w:t>17,524,000.00</w:t>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33"/>
              <w:jc w:val="right"/>
              <w:rPr>
                <w:rFonts w:ascii="Times New Roman" w:hAnsi="Times New Roman" w:cs="Times New Roman" w:eastAsia="Times New Roman" w:hint="default"/>
                <w:sz w:val="16"/>
                <w:szCs w:val="16"/>
              </w:rPr>
            </w:pPr>
            <w:r>
              <w:rPr>
                <w:rFonts w:ascii="Times New Roman"/>
                <w:spacing w:val="-1"/>
                <w:sz w:val="16"/>
              </w:rPr>
              <w:t>17,524,000.00</w:t>
            </w:r>
          </w:p>
        </w:tc>
      </w:tr>
    </w:tbl>
    <w:p>
      <w:pPr>
        <w:spacing w:after="0" w:line="240" w:lineRule="auto"/>
        <w:jc w:val="right"/>
        <w:rPr>
          <w:rFonts w:ascii="Times New Roman" w:hAnsi="Times New Roman" w:cs="Times New Roman" w:eastAsia="Times New Roman" w:hint="default"/>
          <w:sz w:val="16"/>
          <w:szCs w:val="16"/>
        </w:rPr>
        <w:sectPr>
          <w:pgSz w:w="11910" w:h="16840"/>
          <w:pgMar w:header="0" w:footer="1001" w:top="1520" w:bottom="1200" w:left="1660" w:right="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20"/>
          <w:szCs w:val="20"/>
        </w:rPr>
      </w:pPr>
    </w:p>
    <w:tbl>
      <w:tblPr>
        <w:tblW w:w="0" w:type="auto"/>
        <w:jc w:val="left"/>
        <w:tblInd w:w="787" w:type="dxa"/>
        <w:tblLayout w:type="fixed"/>
        <w:tblCellMar>
          <w:top w:w="0" w:type="dxa"/>
          <w:left w:w="0" w:type="dxa"/>
          <w:bottom w:w="0" w:type="dxa"/>
          <w:right w:w="0" w:type="dxa"/>
        </w:tblCellMar>
        <w:tblLook w:val="01E0"/>
      </w:tblPr>
      <w:tblGrid>
        <w:gridCol w:w="2868"/>
        <w:gridCol w:w="1398"/>
        <w:gridCol w:w="1284"/>
        <w:gridCol w:w="1309"/>
        <w:gridCol w:w="1254"/>
      </w:tblGrid>
      <w:tr>
        <w:trPr>
          <w:trHeight w:val="714" w:hRule="exact"/>
        </w:trPr>
        <w:tc>
          <w:tcPr>
            <w:tcW w:w="2868" w:type="dxa"/>
            <w:tcBorders>
              <w:top w:val="nil" w:sz="6" w:space="0" w:color="auto"/>
              <w:left w:val="nil" w:sz="6" w:space="0" w:color="auto"/>
              <w:bottom w:val="nil" w:sz="6" w:space="0" w:color="auto"/>
              <w:right w:val="nil" w:sz="6" w:space="0" w:color="auto"/>
            </w:tcBorders>
          </w:tcPr>
          <w:p>
            <w:pPr>
              <w:pStyle w:val="TableParagraph"/>
              <w:spacing w:line="240" w:lineRule="auto" w:before="50"/>
              <w:ind w:left="70" w:right="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1</w:t>
            </w:r>
            <w:r>
              <w:rPr>
                <w:rFonts w:ascii="宋体" w:hAnsi="宋体" w:cs="宋体" w:eastAsia="宋体" w:hint="default"/>
                <w:sz w:val="16"/>
                <w:szCs w:val="16"/>
              </w:rPr>
              <w:t>）债务工具投资</w:t>
            </w:r>
          </w:p>
          <w:p>
            <w:pPr>
              <w:pStyle w:val="TableParagraph"/>
              <w:spacing w:line="240" w:lineRule="auto" w:before="131"/>
              <w:ind w:left="70" w:right="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2</w:t>
            </w:r>
            <w:r>
              <w:rPr>
                <w:rFonts w:ascii="宋体" w:hAnsi="宋体" w:cs="宋体" w:eastAsia="宋体" w:hint="default"/>
                <w:sz w:val="16"/>
                <w:szCs w:val="16"/>
              </w:rPr>
              <w:t>）权益工具投资</w:t>
            </w:r>
          </w:p>
        </w:tc>
        <w:tc>
          <w:tcPr>
            <w:tcW w:w="5245" w:type="dxa"/>
            <w:gridSpan w:val="4"/>
            <w:tcBorders>
              <w:top w:val="nil" w:sz="6" w:space="0" w:color="auto"/>
              <w:left w:val="nil" w:sz="6" w:space="0" w:color="auto"/>
              <w:bottom w:val="nil" w:sz="6" w:space="0" w:color="auto"/>
              <w:right w:val="nil" w:sz="6" w:space="0" w:color="auto"/>
            </w:tcBorders>
          </w:tcPr>
          <w:p>
            <w:pPr/>
          </w:p>
        </w:tc>
      </w:tr>
      <w:tr>
        <w:trPr>
          <w:trHeight w:val="356" w:hRule="exact"/>
        </w:trPr>
        <w:tc>
          <w:tcPr>
            <w:tcW w:w="2868" w:type="dxa"/>
            <w:tcBorders>
              <w:top w:val="nil" w:sz="6" w:space="0" w:color="auto"/>
              <w:left w:val="nil" w:sz="6" w:space="0" w:color="auto"/>
              <w:bottom w:val="nil" w:sz="6" w:space="0" w:color="auto"/>
              <w:right w:val="nil" w:sz="6" w:space="0" w:color="auto"/>
            </w:tcBorders>
          </w:tcPr>
          <w:p>
            <w:pPr>
              <w:pStyle w:val="TableParagraph"/>
              <w:spacing w:line="240" w:lineRule="auto" w:before="43"/>
              <w:ind w:left="70" w:right="0"/>
              <w:jc w:val="left"/>
              <w:rPr>
                <w:rFonts w:ascii="宋体" w:hAnsi="宋体" w:cs="宋体" w:eastAsia="宋体" w:hint="default"/>
                <w:sz w:val="16"/>
                <w:szCs w:val="16"/>
              </w:rPr>
            </w:pPr>
            <w:r>
              <w:rPr>
                <w:rFonts w:ascii="宋体" w:hAnsi="宋体" w:cs="宋体" w:eastAsia="宋体" w:hint="default"/>
                <w:sz w:val="16"/>
                <w:szCs w:val="16"/>
              </w:rPr>
              <w:t>◆可供出售金融资产</w:t>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56"/>
              <w:jc w:val="right"/>
              <w:rPr>
                <w:rFonts w:ascii="Times New Roman" w:hAnsi="Times New Roman" w:cs="Times New Roman" w:eastAsia="Times New Roman" w:hint="default"/>
                <w:sz w:val="16"/>
                <w:szCs w:val="16"/>
              </w:rPr>
            </w:pPr>
            <w:r>
              <w:rPr>
                <w:rFonts w:ascii="Times New Roman"/>
                <w:spacing w:val="-1"/>
                <w:sz w:val="16"/>
              </w:rPr>
              <w:t>200,988,285.41</w:t>
            </w:r>
          </w:p>
        </w:tc>
        <w:tc>
          <w:tcPr>
            <w:tcW w:w="1284" w:type="dxa"/>
            <w:tcBorders>
              <w:top w:val="nil" w:sz="6" w:space="0" w:color="auto"/>
              <w:left w:val="nil" w:sz="6" w:space="0" w:color="auto"/>
              <w:bottom w:val="nil" w:sz="6" w:space="0" w:color="auto"/>
              <w:right w:val="nil" w:sz="6" w:space="0" w:color="auto"/>
            </w:tcBorders>
          </w:tcPr>
          <w:p>
            <w:pPr>
              <w:pStyle w:val="TableParagraph"/>
              <w:spacing w:line="240" w:lineRule="auto" w:before="85"/>
              <w:ind w:left="158" w:right="0"/>
              <w:jc w:val="left"/>
              <w:rPr>
                <w:rFonts w:ascii="Times New Roman" w:hAnsi="Times New Roman" w:cs="Times New Roman" w:eastAsia="Times New Roman" w:hint="default"/>
                <w:sz w:val="16"/>
                <w:szCs w:val="16"/>
              </w:rPr>
            </w:pPr>
            <w:r>
              <w:rPr>
                <w:rFonts w:ascii="Times New Roman"/>
                <w:sz w:val="16"/>
              </w:rPr>
              <w:t>28,081,425.01</w:t>
            </w:r>
          </w:p>
        </w:tc>
        <w:tc>
          <w:tcPr>
            <w:tcW w:w="1309" w:type="dxa"/>
            <w:tcBorders>
              <w:top w:val="nil" w:sz="6" w:space="0" w:color="auto"/>
              <w:left w:val="nil" w:sz="6" w:space="0" w:color="auto"/>
              <w:bottom w:val="nil" w:sz="6" w:space="0" w:color="auto"/>
              <w:right w:val="nil" w:sz="6" w:space="0" w:color="auto"/>
            </w:tcBorders>
          </w:tcPr>
          <w:p>
            <w:pPr/>
          </w:p>
        </w:tc>
        <w:tc>
          <w:tcPr>
            <w:tcW w:w="1254"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68"/>
              <w:jc w:val="right"/>
              <w:rPr>
                <w:rFonts w:ascii="Times New Roman" w:hAnsi="Times New Roman" w:cs="Times New Roman" w:eastAsia="Times New Roman" w:hint="default"/>
                <w:sz w:val="16"/>
                <w:szCs w:val="16"/>
              </w:rPr>
            </w:pPr>
            <w:r>
              <w:rPr>
                <w:rFonts w:ascii="Times New Roman"/>
                <w:spacing w:val="-1"/>
                <w:sz w:val="16"/>
              </w:rPr>
              <w:t>229,069,710.42</w:t>
            </w:r>
          </w:p>
        </w:tc>
      </w:tr>
      <w:tr>
        <w:trPr>
          <w:trHeight w:val="353" w:hRule="exact"/>
        </w:trPr>
        <w:tc>
          <w:tcPr>
            <w:tcW w:w="2868"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1</w:t>
            </w:r>
            <w:r>
              <w:rPr>
                <w:rFonts w:ascii="宋体" w:hAnsi="宋体" w:cs="宋体" w:eastAsia="宋体" w:hint="default"/>
                <w:sz w:val="16"/>
                <w:szCs w:val="16"/>
              </w:rPr>
              <w:t>）债务工具投资</w:t>
            </w:r>
          </w:p>
        </w:tc>
        <w:tc>
          <w:tcPr>
            <w:tcW w:w="1398" w:type="dxa"/>
            <w:tcBorders>
              <w:top w:val="nil" w:sz="6" w:space="0" w:color="auto"/>
              <w:left w:val="nil" w:sz="6" w:space="0" w:color="auto"/>
              <w:bottom w:val="nil" w:sz="6" w:space="0" w:color="auto"/>
              <w:right w:val="nil" w:sz="6" w:space="0" w:color="auto"/>
            </w:tcBorders>
          </w:tcPr>
          <w:p>
            <w:pPr/>
          </w:p>
        </w:tc>
        <w:tc>
          <w:tcPr>
            <w:tcW w:w="1284" w:type="dxa"/>
            <w:tcBorders>
              <w:top w:val="nil" w:sz="6" w:space="0" w:color="auto"/>
              <w:left w:val="nil" w:sz="6" w:space="0" w:color="auto"/>
              <w:bottom w:val="nil" w:sz="6" w:space="0" w:color="auto"/>
              <w:right w:val="nil" w:sz="6" w:space="0" w:color="auto"/>
            </w:tcBorders>
          </w:tcPr>
          <w:p>
            <w:pPr>
              <w:pStyle w:val="TableParagraph"/>
              <w:spacing w:line="240" w:lineRule="auto" w:before="83"/>
              <w:ind w:left="158" w:right="0"/>
              <w:jc w:val="left"/>
              <w:rPr>
                <w:rFonts w:ascii="Times New Roman" w:hAnsi="Times New Roman" w:cs="Times New Roman" w:eastAsia="Times New Roman" w:hint="default"/>
                <w:sz w:val="16"/>
                <w:szCs w:val="16"/>
              </w:rPr>
            </w:pPr>
            <w:r>
              <w:rPr>
                <w:rFonts w:ascii="Times New Roman"/>
                <w:sz w:val="16"/>
              </w:rPr>
              <w:t>28,081,425.01</w:t>
            </w:r>
          </w:p>
        </w:tc>
        <w:tc>
          <w:tcPr>
            <w:tcW w:w="1309" w:type="dxa"/>
            <w:tcBorders>
              <w:top w:val="nil" w:sz="6" w:space="0" w:color="auto"/>
              <w:left w:val="nil" w:sz="6" w:space="0" w:color="auto"/>
              <w:bottom w:val="nil" w:sz="6" w:space="0" w:color="auto"/>
              <w:right w:val="nil" w:sz="6" w:space="0" w:color="auto"/>
            </w:tcBorders>
          </w:tcPr>
          <w:p>
            <w:pPr/>
          </w:p>
        </w:tc>
        <w:tc>
          <w:tcPr>
            <w:tcW w:w="125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28,081,425.01</w:t>
            </w:r>
          </w:p>
        </w:tc>
      </w:tr>
      <w:tr>
        <w:trPr>
          <w:trHeight w:val="353" w:hRule="exact"/>
        </w:trPr>
        <w:tc>
          <w:tcPr>
            <w:tcW w:w="2868"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2</w:t>
            </w:r>
            <w:r>
              <w:rPr>
                <w:rFonts w:ascii="宋体" w:hAnsi="宋体" w:cs="宋体" w:eastAsia="宋体" w:hint="default"/>
                <w:sz w:val="16"/>
                <w:szCs w:val="16"/>
              </w:rPr>
              <w:t>）权益工具投资</w:t>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56"/>
              <w:jc w:val="right"/>
              <w:rPr>
                <w:rFonts w:ascii="Times New Roman" w:hAnsi="Times New Roman" w:cs="Times New Roman" w:eastAsia="Times New Roman" w:hint="default"/>
                <w:sz w:val="16"/>
                <w:szCs w:val="16"/>
              </w:rPr>
            </w:pPr>
            <w:r>
              <w:rPr>
                <w:rFonts w:ascii="Times New Roman"/>
                <w:spacing w:val="-1"/>
                <w:sz w:val="16"/>
              </w:rPr>
              <w:t>200,988,285.41</w:t>
            </w:r>
          </w:p>
        </w:tc>
        <w:tc>
          <w:tcPr>
            <w:tcW w:w="1284" w:type="dxa"/>
            <w:tcBorders>
              <w:top w:val="nil" w:sz="6" w:space="0" w:color="auto"/>
              <w:left w:val="nil" w:sz="6" w:space="0" w:color="auto"/>
              <w:bottom w:val="nil" w:sz="6" w:space="0" w:color="auto"/>
              <w:right w:val="nil" w:sz="6" w:space="0" w:color="auto"/>
            </w:tcBorders>
          </w:tcPr>
          <w:p>
            <w:pPr/>
          </w:p>
        </w:tc>
        <w:tc>
          <w:tcPr>
            <w:tcW w:w="1309" w:type="dxa"/>
            <w:tcBorders>
              <w:top w:val="nil" w:sz="6" w:space="0" w:color="auto"/>
              <w:left w:val="nil" w:sz="6" w:space="0" w:color="auto"/>
              <w:bottom w:val="nil" w:sz="6" w:space="0" w:color="auto"/>
              <w:right w:val="nil" w:sz="6" w:space="0" w:color="auto"/>
            </w:tcBorders>
          </w:tcPr>
          <w:p>
            <w:pPr/>
          </w:p>
        </w:tc>
        <w:tc>
          <w:tcPr>
            <w:tcW w:w="125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200,988,285.41</w:t>
            </w:r>
          </w:p>
        </w:tc>
      </w:tr>
      <w:tr>
        <w:trPr>
          <w:trHeight w:val="351" w:hRule="exact"/>
        </w:trPr>
        <w:tc>
          <w:tcPr>
            <w:tcW w:w="2868"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3</w:t>
            </w:r>
            <w:r>
              <w:rPr>
                <w:rFonts w:ascii="宋体" w:hAnsi="宋体" w:cs="宋体" w:eastAsia="宋体" w:hint="default"/>
                <w:sz w:val="16"/>
                <w:szCs w:val="16"/>
              </w:rPr>
              <w:t>）其他</w:t>
            </w:r>
          </w:p>
        </w:tc>
        <w:tc>
          <w:tcPr>
            <w:tcW w:w="1398" w:type="dxa"/>
            <w:tcBorders>
              <w:top w:val="nil" w:sz="6" w:space="0" w:color="auto"/>
              <w:left w:val="nil" w:sz="6" w:space="0" w:color="auto"/>
              <w:bottom w:val="nil" w:sz="6" w:space="0" w:color="auto"/>
              <w:right w:val="nil" w:sz="6" w:space="0" w:color="auto"/>
            </w:tcBorders>
          </w:tcPr>
          <w:p>
            <w:pPr/>
          </w:p>
        </w:tc>
        <w:tc>
          <w:tcPr>
            <w:tcW w:w="1284" w:type="dxa"/>
            <w:tcBorders>
              <w:top w:val="nil" w:sz="6" w:space="0" w:color="auto"/>
              <w:left w:val="nil" w:sz="6" w:space="0" w:color="auto"/>
              <w:bottom w:val="nil" w:sz="6" w:space="0" w:color="auto"/>
              <w:right w:val="nil" w:sz="6" w:space="0" w:color="auto"/>
            </w:tcBorders>
          </w:tcPr>
          <w:p>
            <w:pPr/>
          </w:p>
        </w:tc>
        <w:tc>
          <w:tcPr>
            <w:tcW w:w="1309" w:type="dxa"/>
            <w:tcBorders>
              <w:top w:val="nil" w:sz="6" w:space="0" w:color="auto"/>
              <w:left w:val="nil" w:sz="6" w:space="0" w:color="auto"/>
              <w:bottom w:val="nil" w:sz="6" w:space="0" w:color="auto"/>
              <w:right w:val="nil" w:sz="6" w:space="0" w:color="auto"/>
            </w:tcBorders>
          </w:tcPr>
          <w:p>
            <w:pPr/>
          </w:p>
        </w:tc>
        <w:tc>
          <w:tcPr>
            <w:tcW w:w="1254" w:type="dxa"/>
            <w:tcBorders>
              <w:top w:val="nil" w:sz="6" w:space="0" w:color="auto"/>
              <w:left w:val="nil" w:sz="6" w:space="0" w:color="auto"/>
              <w:bottom w:val="nil" w:sz="6" w:space="0" w:color="auto"/>
              <w:right w:val="nil" w:sz="6" w:space="0" w:color="auto"/>
            </w:tcBorders>
          </w:tcPr>
          <w:p>
            <w:pPr/>
          </w:p>
        </w:tc>
      </w:tr>
      <w:tr>
        <w:trPr>
          <w:trHeight w:val="356" w:hRule="exact"/>
        </w:trPr>
        <w:tc>
          <w:tcPr>
            <w:tcW w:w="2868" w:type="dxa"/>
            <w:tcBorders>
              <w:top w:val="nil" w:sz="6" w:space="0" w:color="auto"/>
              <w:left w:val="nil" w:sz="6" w:space="0" w:color="auto"/>
              <w:bottom w:val="nil" w:sz="6" w:space="0" w:color="auto"/>
              <w:right w:val="nil" w:sz="6" w:space="0" w:color="auto"/>
            </w:tcBorders>
          </w:tcPr>
          <w:p>
            <w:pPr>
              <w:pStyle w:val="TableParagraph"/>
              <w:spacing w:line="240" w:lineRule="auto" w:before="42"/>
              <w:ind w:left="70" w:right="0"/>
              <w:jc w:val="left"/>
              <w:rPr>
                <w:rFonts w:ascii="宋体" w:hAnsi="宋体" w:cs="宋体" w:eastAsia="宋体" w:hint="default"/>
                <w:sz w:val="16"/>
                <w:szCs w:val="16"/>
              </w:rPr>
            </w:pPr>
            <w:r>
              <w:rPr>
                <w:rFonts w:ascii="宋体" w:hAnsi="宋体" w:cs="宋体" w:eastAsia="宋体" w:hint="default"/>
                <w:b/>
                <w:bCs/>
                <w:sz w:val="16"/>
                <w:szCs w:val="16"/>
              </w:rPr>
              <w:t>持续以公允价值计量的资产总额</w:t>
            </w:r>
            <w:r>
              <w:rPr>
                <w:rFonts w:ascii="宋体" w:hAnsi="宋体" w:cs="宋体" w:eastAsia="宋体" w:hint="default"/>
                <w:sz w:val="16"/>
                <w:szCs w:val="16"/>
              </w:rPr>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56"/>
              <w:jc w:val="right"/>
              <w:rPr>
                <w:rFonts w:ascii="Times New Roman" w:hAnsi="Times New Roman" w:cs="Times New Roman" w:eastAsia="Times New Roman" w:hint="default"/>
                <w:sz w:val="16"/>
                <w:szCs w:val="16"/>
              </w:rPr>
            </w:pPr>
            <w:r>
              <w:rPr>
                <w:rFonts w:ascii="Times New Roman"/>
                <w:spacing w:val="-1"/>
                <w:sz w:val="16"/>
              </w:rPr>
              <w:t>200,988,285.41</w:t>
            </w:r>
          </w:p>
        </w:tc>
        <w:tc>
          <w:tcPr>
            <w:tcW w:w="1284" w:type="dxa"/>
            <w:tcBorders>
              <w:top w:val="nil" w:sz="6" w:space="0" w:color="auto"/>
              <w:left w:val="nil" w:sz="6" w:space="0" w:color="auto"/>
              <w:bottom w:val="nil" w:sz="6" w:space="0" w:color="auto"/>
              <w:right w:val="nil" w:sz="6" w:space="0" w:color="auto"/>
            </w:tcBorders>
          </w:tcPr>
          <w:p>
            <w:pPr>
              <w:pStyle w:val="TableParagraph"/>
              <w:spacing w:line="240" w:lineRule="auto" w:before="86"/>
              <w:ind w:left="158" w:right="0"/>
              <w:jc w:val="left"/>
              <w:rPr>
                <w:rFonts w:ascii="Times New Roman" w:hAnsi="Times New Roman" w:cs="Times New Roman" w:eastAsia="Times New Roman" w:hint="default"/>
                <w:sz w:val="16"/>
                <w:szCs w:val="16"/>
              </w:rPr>
            </w:pPr>
            <w:r>
              <w:rPr>
                <w:rFonts w:ascii="Times New Roman"/>
                <w:sz w:val="16"/>
              </w:rPr>
              <w:t>28,081,425.01</w:t>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86"/>
              <w:ind w:left="203" w:right="0"/>
              <w:jc w:val="left"/>
              <w:rPr>
                <w:rFonts w:ascii="Times New Roman" w:hAnsi="Times New Roman" w:cs="Times New Roman" w:eastAsia="Times New Roman" w:hint="default"/>
                <w:sz w:val="16"/>
                <w:szCs w:val="16"/>
              </w:rPr>
            </w:pPr>
            <w:r>
              <w:rPr>
                <w:rFonts w:ascii="Times New Roman"/>
                <w:sz w:val="16"/>
              </w:rPr>
              <w:t>17,524,000.00</w:t>
            </w:r>
          </w:p>
        </w:tc>
        <w:tc>
          <w:tcPr>
            <w:tcW w:w="1254"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68"/>
              <w:jc w:val="right"/>
              <w:rPr>
                <w:rFonts w:ascii="Times New Roman" w:hAnsi="Times New Roman" w:cs="Times New Roman" w:eastAsia="Times New Roman" w:hint="default"/>
                <w:sz w:val="16"/>
                <w:szCs w:val="16"/>
              </w:rPr>
            </w:pPr>
            <w:r>
              <w:rPr>
                <w:rFonts w:ascii="Times New Roman"/>
                <w:spacing w:val="-1"/>
                <w:sz w:val="16"/>
              </w:rPr>
              <w:t>246,593,710.42</w:t>
            </w:r>
          </w:p>
        </w:tc>
      </w:tr>
      <w:tr>
        <w:trPr>
          <w:trHeight w:val="347" w:hRule="exact"/>
        </w:trPr>
        <w:tc>
          <w:tcPr>
            <w:tcW w:w="2868"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◆交易性金融负债</w:t>
            </w:r>
          </w:p>
        </w:tc>
        <w:tc>
          <w:tcPr>
            <w:tcW w:w="5245" w:type="dxa"/>
            <w:gridSpan w:val="4"/>
            <w:vMerge w:val="restart"/>
            <w:tcBorders>
              <w:top w:val="nil" w:sz="6" w:space="0" w:color="auto"/>
              <w:left w:val="nil" w:sz="6" w:space="0" w:color="auto"/>
              <w:right w:val="nil" w:sz="6" w:space="0" w:color="auto"/>
            </w:tcBorders>
          </w:tcPr>
          <w:p>
            <w:pPr/>
          </w:p>
        </w:tc>
      </w:tr>
      <w:tr>
        <w:trPr>
          <w:trHeight w:val="353" w:hRule="exact"/>
        </w:trPr>
        <w:tc>
          <w:tcPr>
            <w:tcW w:w="286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70" w:right="0"/>
              <w:jc w:val="left"/>
              <w:rPr>
                <w:rFonts w:ascii="宋体" w:hAnsi="宋体" w:cs="宋体" w:eastAsia="宋体" w:hint="default"/>
                <w:sz w:val="16"/>
                <w:szCs w:val="16"/>
              </w:rPr>
            </w:pPr>
            <w:r>
              <w:rPr>
                <w:rFonts w:ascii="宋体" w:hAnsi="宋体" w:cs="宋体" w:eastAsia="宋体" w:hint="default"/>
                <w:sz w:val="16"/>
                <w:szCs w:val="16"/>
              </w:rPr>
              <w:t>其中：发行的交易性债券</w:t>
            </w:r>
          </w:p>
        </w:tc>
        <w:tc>
          <w:tcPr>
            <w:tcW w:w="5245" w:type="dxa"/>
            <w:gridSpan w:val="4"/>
            <w:vMerge/>
            <w:tcBorders>
              <w:left w:val="nil" w:sz="6" w:space="0" w:color="auto"/>
              <w:right w:val="nil" w:sz="6" w:space="0" w:color="auto"/>
            </w:tcBorders>
          </w:tcPr>
          <w:p>
            <w:pPr/>
          </w:p>
        </w:tc>
      </w:tr>
      <w:tr>
        <w:trPr>
          <w:trHeight w:val="353" w:hRule="exact"/>
        </w:trPr>
        <w:tc>
          <w:tcPr>
            <w:tcW w:w="286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70" w:right="0"/>
              <w:jc w:val="left"/>
              <w:rPr>
                <w:rFonts w:ascii="宋体" w:hAnsi="宋体" w:cs="宋体" w:eastAsia="宋体" w:hint="default"/>
                <w:sz w:val="16"/>
                <w:szCs w:val="16"/>
              </w:rPr>
            </w:pPr>
            <w:r>
              <w:rPr>
                <w:rFonts w:ascii="宋体" w:hAnsi="宋体" w:cs="宋体" w:eastAsia="宋体" w:hint="default"/>
                <w:sz w:val="16"/>
                <w:szCs w:val="16"/>
              </w:rPr>
              <w:t>衍生金融负债</w:t>
            </w:r>
          </w:p>
        </w:tc>
        <w:tc>
          <w:tcPr>
            <w:tcW w:w="5245" w:type="dxa"/>
            <w:gridSpan w:val="4"/>
            <w:vMerge/>
            <w:tcBorders>
              <w:left w:val="nil" w:sz="6" w:space="0" w:color="auto"/>
              <w:right w:val="nil" w:sz="6" w:space="0" w:color="auto"/>
            </w:tcBorders>
          </w:tcPr>
          <w:p>
            <w:pPr/>
          </w:p>
        </w:tc>
      </w:tr>
      <w:tr>
        <w:trPr>
          <w:trHeight w:val="353" w:hRule="exact"/>
        </w:trPr>
        <w:tc>
          <w:tcPr>
            <w:tcW w:w="286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70"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5245" w:type="dxa"/>
            <w:gridSpan w:val="4"/>
            <w:vMerge/>
            <w:tcBorders>
              <w:left w:val="nil" w:sz="6" w:space="0" w:color="auto"/>
              <w:right w:val="nil" w:sz="6" w:space="0" w:color="auto"/>
            </w:tcBorders>
          </w:tcPr>
          <w:p>
            <w:pPr/>
          </w:p>
        </w:tc>
      </w:tr>
      <w:tr>
        <w:trPr>
          <w:trHeight w:val="562" w:hRule="exact"/>
        </w:trPr>
        <w:tc>
          <w:tcPr>
            <w:tcW w:w="286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70" w:right="237"/>
              <w:jc w:val="left"/>
              <w:rPr>
                <w:rFonts w:ascii="宋体" w:hAnsi="宋体" w:cs="宋体" w:eastAsia="宋体" w:hint="default"/>
                <w:sz w:val="16"/>
                <w:szCs w:val="16"/>
              </w:rPr>
            </w:pPr>
            <w:r>
              <w:rPr>
                <w:rFonts w:ascii="宋体" w:hAnsi="宋体" w:cs="宋体" w:eastAsia="宋体" w:hint="default"/>
                <w:w w:val="95"/>
                <w:sz w:val="16"/>
                <w:szCs w:val="16"/>
              </w:rPr>
              <w:t>◆指定以公允价值计量且变动计入当</w:t>
            </w:r>
            <w:r>
              <w:rPr>
                <w:rFonts w:ascii="宋体" w:hAnsi="宋体" w:cs="宋体" w:eastAsia="宋体" w:hint="default"/>
                <w:spacing w:val="49"/>
                <w:w w:val="95"/>
                <w:sz w:val="16"/>
                <w:szCs w:val="16"/>
              </w:rPr>
              <w:t> </w:t>
            </w:r>
            <w:r>
              <w:rPr>
                <w:rFonts w:ascii="宋体" w:hAnsi="宋体" w:cs="宋体" w:eastAsia="宋体" w:hint="default"/>
                <w:spacing w:val="49"/>
                <w:w w:val="95"/>
                <w:sz w:val="16"/>
                <w:szCs w:val="16"/>
              </w:rPr>
            </w:r>
            <w:r>
              <w:rPr>
                <w:rFonts w:ascii="宋体" w:hAnsi="宋体" w:cs="宋体" w:eastAsia="宋体" w:hint="default"/>
                <w:sz w:val="16"/>
                <w:szCs w:val="16"/>
              </w:rPr>
              <w:t>期损益的金融负债</w:t>
            </w:r>
          </w:p>
        </w:tc>
        <w:tc>
          <w:tcPr>
            <w:tcW w:w="5245" w:type="dxa"/>
            <w:gridSpan w:val="4"/>
            <w:vMerge/>
            <w:tcBorders>
              <w:left w:val="nil" w:sz="6" w:space="0" w:color="auto"/>
              <w:right w:val="nil" w:sz="6" w:space="0" w:color="auto"/>
            </w:tcBorders>
          </w:tcPr>
          <w:p>
            <w:pPr/>
          </w:p>
        </w:tc>
      </w:tr>
      <w:tr>
        <w:trPr>
          <w:trHeight w:val="353" w:hRule="exact"/>
        </w:trPr>
        <w:tc>
          <w:tcPr>
            <w:tcW w:w="286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70" w:right="0"/>
              <w:jc w:val="left"/>
              <w:rPr>
                <w:rFonts w:ascii="宋体" w:hAnsi="宋体" w:cs="宋体" w:eastAsia="宋体" w:hint="default"/>
                <w:sz w:val="16"/>
                <w:szCs w:val="16"/>
              </w:rPr>
            </w:pPr>
            <w:r>
              <w:rPr>
                <w:rFonts w:ascii="宋体" w:hAnsi="宋体" w:cs="宋体" w:eastAsia="宋体" w:hint="default"/>
                <w:b/>
                <w:bCs/>
                <w:sz w:val="16"/>
                <w:szCs w:val="16"/>
              </w:rPr>
              <w:t>持续以公允价值计量的负债总额</w:t>
            </w:r>
            <w:r>
              <w:rPr>
                <w:rFonts w:ascii="宋体" w:hAnsi="宋体" w:cs="宋体" w:eastAsia="宋体" w:hint="default"/>
                <w:sz w:val="16"/>
                <w:szCs w:val="16"/>
              </w:rPr>
            </w:r>
          </w:p>
        </w:tc>
        <w:tc>
          <w:tcPr>
            <w:tcW w:w="5245" w:type="dxa"/>
            <w:gridSpan w:val="4"/>
            <w:vMerge/>
            <w:tcBorders>
              <w:left w:val="nil" w:sz="6" w:space="0" w:color="auto"/>
              <w:right w:val="nil" w:sz="6" w:space="0" w:color="auto"/>
            </w:tcBorders>
          </w:tcPr>
          <w:p>
            <w:pPr/>
          </w:p>
        </w:tc>
      </w:tr>
      <w:tr>
        <w:trPr>
          <w:trHeight w:val="353" w:hRule="exact"/>
        </w:trPr>
        <w:tc>
          <w:tcPr>
            <w:tcW w:w="286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70" w:right="0"/>
              <w:jc w:val="left"/>
              <w:rPr>
                <w:rFonts w:ascii="宋体" w:hAnsi="宋体" w:cs="宋体" w:eastAsia="宋体" w:hint="default"/>
                <w:sz w:val="16"/>
                <w:szCs w:val="16"/>
              </w:rPr>
            </w:pPr>
            <w:r>
              <w:rPr>
                <w:rFonts w:ascii="宋体" w:hAnsi="宋体" w:cs="宋体" w:eastAsia="宋体" w:hint="default"/>
                <w:b/>
                <w:bCs/>
                <w:sz w:val="16"/>
                <w:szCs w:val="16"/>
              </w:rPr>
              <w:t>二、非持续的公允价值计量</w:t>
            </w:r>
            <w:r>
              <w:rPr>
                <w:rFonts w:ascii="宋体" w:hAnsi="宋体" w:cs="宋体" w:eastAsia="宋体" w:hint="default"/>
                <w:sz w:val="16"/>
                <w:szCs w:val="16"/>
              </w:rPr>
            </w:r>
          </w:p>
        </w:tc>
        <w:tc>
          <w:tcPr>
            <w:tcW w:w="5245" w:type="dxa"/>
            <w:gridSpan w:val="4"/>
            <w:vMerge/>
            <w:tcBorders>
              <w:left w:val="nil" w:sz="6" w:space="0" w:color="auto"/>
              <w:right w:val="nil" w:sz="6" w:space="0" w:color="auto"/>
            </w:tcBorders>
          </w:tcPr>
          <w:p>
            <w:pPr/>
          </w:p>
        </w:tc>
      </w:tr>
      <w:tr>
        <w:trPr>
          <w:trHeight w:val="354" w:hRule="exact"/>
        </w:trPr>
        <w:tc>
          <w:tcPr>
            <w:tcW w:w="286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70" w:right="0"/>
              <w:jc w:val="left"/>
              <w:rPr>
                <w:rFonts w:ascii="宋体" w:hAnsi="宋体" w:cs="宋体" w:eastAsia="宋体" w:hint="default"/>
                <w:sz w:val="16"/>
                <w:szCs w:val="16"/>
              </w:rPr>
            </w:pPr>
            <w:r>
              <w:rPr>
                <w:rFonts w:ascii="宋体" w:hAnsi="宋体" w:cs="宋体" w:eastAsia="宋体" w:hint="default"/>
                <w:sz w:val="16"/>
                <w:szCs w:val="16"/>
              </w:rPr>
              <w:t>（一）持有待售资产</w:t>
            </w:r>
          </w:p>
        </w:tc>
        <w:tc>
          <w:tcPr>
            <w:tcW w:w="5245" w:type="dxa"/>
            <w:gridSpan w:val="4"/>
            <w:vMerge/>
            <w:tcBorders>
              <w:left w:val="nil" w:sz="6" w:space="0" w:color="auto"/>
              <w:right w:val="nil" w:sz="6" w:space="0" w:color="auto"/>
            </w:tcBorders>
          </w:tcPr>
          <w:p>
            <w:pPr/>
          </w:p>
        </w:tc>
      </w:tr>
      <w:tr>
        <w:trPr>
          <w:trHeight w:val="353" w:hRule="exact"/>
        </w:trPr>
        <w:tc>
          <w:tcPr>
            <w:tcW w:w="286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70" w:right="0"/>
              <w:jc w:val="left"/>
              <w:rPr>
                <w:rFonts w:ascii="宋体" w:hAnsi="宋体" w:cs="宋体" w:eastAsia="宋体" w:hint="default"/>
                <w:sz w:val="16"/>
                <w:szCs w:val="16"/>
              </w:rPr>
            </w:pPr>
            <w:r>
              <w:rPr>
                <w:rFonts w:ascii="宋体" w:hAnsi="宋体" w:cs="宋体" w:eastAsia="宋体" w:hint="default"/>
                <w:b/>
                <w:bCs/>
                <w:sz w:val="16"/>
                <w:szCs w:val="16"/>
              </w:rPr>
              <w:t>非持续以公允价值计量的资产总额</w:t>
            </w:r>
            <w:r>
              <w:rPr>
                <w:rFonts w:ascii="宋体" w:hAnsi="宋体" w:cs="宋体" w:eastAsia="宋体" w:hint="default"/>
                <w:sz w:val="16"/>
                <w:szCs w:val="16"/>
              </w:rPr>
            </w:r>
          </w:p>
        </w:tc>
        <w:tc>
          <w:tcPr>
            <w:tcW w:w="5245" w:type="dxa"/>
            <w:gridSpan w:val="4"/>
            <w:vMerge/>
            <w:tcBorders>
              <w:left w:val="nil" w:sz="6" w:space="0" w:color="auto"/>
              <w:right w:val="nil" w:sz="6" w:space="0" w:color="auto"/>
            </w:tcBorders>
          </w:tcPr>
          <w:p>
            <w:pPr/>
          </w:p>
        </w:tc>
      </w:tr>
      <w:tr>
        <w:trPr>
          <w:trHeight w:val="353" w:hRule="exact"/>
        </w:trPr>
        <w:tc>
          <w:tcPr>
            <w:tcW w:w="286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70" w:right="0"/>
              <w:jc w:val="left"/>
              <w:rPr>
                <w:rFonts w:ascii="宋体" w:hAnsi="宋体" w:cs="宋体" w:eastAsia="宋体" w:hint="default"/>
                <w:sz w:val="16"/>
                <w:szCs w:val="16"/>
              </w:rPr>
            </w:pPr>
            <w:r>
              <w:rPr>
                <w:rFonts w:ascii="宋体" w:hAnsi="宋体" w:cs="宋体" w:eastAsia="宋体" w:hint="default"/>
                <w:sz w:val="16"/>
                <w:szCs w:val="16"/>
              </w:rPr>
              <w:t>如：持有待售负债</w:t>
            </w:r>
          </w:p>
        </w:tc>
        <w:tc>
          <w:tcPr>
            <w:tcW w:w="5245" w:type="dxa"/>
            <w:gridSpan w:val="4"/>
            <w:vMerge/>
            <w:tcBorders>
              <w:left w:val="nil" w:sz="6" w:space="0" w:color="auto"/>
              <w:right w:val="nil" w:sz="6" w:space="0" w:color="auto"/>
            </w:tcBorders>
          </w:tcPr>
          <w:p>
            <w:pPr/>
          </w:p>
        </w:tc>
      </w:tr>
      <w:tr>
        <w:trPr>
          <w:trHeight w:val="365" w:hRule="exact"/>
        </w:trPr>
        <w:tc>
          <w:tcPr>
            <w:tcW w:w="286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70" w:right="0"/>
              <w:jc w:val="left"/>
              <w:rPr>
                <w:rFonts w:ascii="宋体" w:hAnsi="宋体" w:cs="宋体" w:eastAsia="宋体" w:hint="default"/>
                <w:sz w:val="16"/>
                <w:szCs w:val="16"/>
              </w:rPr>
            </w:pPr>
            <w:r>
              <w:rPr>
                <w:rFonts w:ascii="宋体" w:hAnsi="宋体" w:cs="宋体" w:eastAsia="宋体" w:hint="default"/>
                <w:b/>
                <w:bCs/>
                <w:sz w:val="16"/>
                <w:szCs w:val="16"/>
              </w:rPr>
              <w:t>非持续以公允价值计量的负债总额</w:t>
            </w:r>
            <w:r>
              <w:rPr>
                <w:rFonts w:ascii="宋体" w:hAnsi="宋体" w:cs="宋体" w:eastAsia="宋体" w:hint="default"/>
                <w:sz w:val="16"/>
                <w:szCs w:val="16"/>
              </w:rPr>
            </w:r>
          </w:p>
        </w:tc>
        <w:tc>
          <w:tcPr>
            <w:tcW w:w="5245" w:type="dxa"/>
            <w:gridSpan w:val="4"/>
            <w:vMerge/>
            <w:tcBorders>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5"/>
          <w:szCs w:val="15"/>
        </w:rPr>
      </w:pPr>
    </w:p>
    <w:p>
      <w:pPr>
        <w:tabs>
          <w:tab w:pos="851" w:val="left" w:leader="none"/>
        </w:tabs>
        <w:spacing w:line="326" w:lineRule="auto" w:before="0"/>
        <w:ind w:left="851" w:right="1830" w:hanging="714"/>
        <w:jc w:val="left"/>
        <w:rPr>
          <w:rFonts w:ascii="宋体" w:hAnsi="宋体" w:cs="宋体" w:eastAsia="宋体" w:hint="default"/>
          <w:sz w:val="21"/>
          <w:szCs w:val="21"/>
        </w:rPr>
      </w:pPr>
      <w:r>
        <w:rPr/>
        <w:pict>
          <v:group style="position:absolute;margin-left:119.010002pt;margin-top:-399.395569pt;width:411.6pt;height:376.8pt;mso-position-horizontal-relative:page;mso-position-vertical-relative:paragraph;z-index:-1370344" coordorigin="2380,-7988" coordsize="8232,7536">
            <v:group style="position:absolute;left:2410;top:-7973;width:2855;height:2" coordorigin="2410,-7973" coordsize="2855,2">
              <v:shape style="position:absolute;left:2410;top:-7973;width:2855;height:2" coordorigin="2410,-7973" coordsize="2855,0" path="m2410,-7973l5264,-7973e" filled="false" stroked="true" strokeweight="1.5pt" strokecolor="#000000">
                <v:path arrowok="t"/>
              </v:shape>
            </v:group>
            <v:group style="position:absolute;left:5264;top:-7973;width:5333;height:2" coordorigin="5264,-7973" coordsize="5333,2">
              <v:shape style="position:absolute;left:5264;top:-7973;width:5333;height:2" coordorigin="5264,-7973" coordsize="5333,0" path="m5264,-7973l10597,-7973e" filled="false" stroked="true" strokeweight="1.5pt" strokecolor="#000000">
                <v:path arrowok="t"/>
              </v:shape>
              <v:shape style="position:absolute;left:5264;top:-7958;width:10;height:344" type="#_x0000_t75" stroked="false">
                <v:imagedata r:id="rId355" o:title=""/>
              </v:shape>
              <v:shape style="position:absolute;left:5252;top:-7626;width:5360;height:586" type="#_x0000_t75" stroked="false">
                <v:imagedata r:id="rId399" o:title=""/>
              </v:shape>
            </v:group>
            <v:group style="position:absolute;left:2395;top:-467;width:2870;height:2" coordorigin="2395,-467" coordsize="2870,2">
              <v:shape style="position:absolute;left:2395;top:-467;width:2870;height:2" coordorigin="2395,-467" coordsize="2870,0" path="m2395,-467l5264,-467e" filled="false" stroked="true" strokeweight="1.5pt" strokecolor="#000000">
                <v:path arrowok="t"/>
              </v:shape>
            </v:group>
            <v:group style="position:absolute;left:5264;top:-467;width:1394;height:2" coordorigin="5264,-467" coordsize="1394,2">
              <v:shape style="position:absolute;left:5264;top:-467;width:1394;height:2" coordorigin="5264,-467" coordsize="1394,0" path="m5264,-467l6658,-467e" filled="false" stroked="true" strokeweight="1.5pt" strokecolor="#000000">
                <v:path arrowok="t"/>
              </v:shape>
            </v:group>
            <v:group style="position:absolute;left:6658;top:-467;width:1240;height:2" coordorigin="6658,-467" coordsize="1240,2">
              <v:shape style="position:absolute;left:6658;top:-467;width:1240;height:2" coordorigin="6658,-467" coordsize="1240,0" path="m6658,-467l7897,-467e" filled="false" stroked="true" strokeweight="1.5pt" strokecolor="#000000">
                <v:path arrowok="t"/>
              </v:shape>
            </v:group>
            <v:group style="position:absolute;left:7897;top:-467;width:1329;height:2" coordorigin="7897,-467" coordsize="1329,2">
              <v:shape style="position:absolute;left:7897;top:-467;width:1329;height:2" coordorigin="7897,-467" coordsize="1329,0" path="m7897,-467l9226,-467e" filled="false" stroked="true" strokeweight="1.5pt" strokecolor="#000000">
                <v:path arrowok="t"/>
              </v:shape>
              <v:shape style="position:absolute;left:2397;top:-7066;width:8214;height:6584" type="#_x0000_t75" stroked="false">
                <v:imagedata r:id="rId400" o:title=""/>
              </v:shape>
            </v:group>
            <v:group style="position:absolute;left:9226;top:-467;width:1372;height:2" coordorigin="9226,-467" coordsize="1372,2">
              <v:shape style="position:absolute;left:9226;top:-467;width:1372;height:2" coordorigin="9226,-467" coordsize="1372,0" path="m9226,-467l10597,-467e" filled="false" stroked="true" strokeweight="1.5pt" strokecolor="#000000">
                <v:path arrowok="t"/>
              </v:shape>
              <v:shape style="position:absolute;left:7453;top:-7866;width:95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期末公允价值</w:t>
                      </w:r>
                      <w:r>
                        <w:rPr>
                          <w:rFonts w:ascii="宋体" w:hAnsi="宋体" w:cs="宋体" w:eastAsia="宋体" w:hint="default"/>
                          <w:sz w:val="16"/>
                          <w:szCs w:val="16"/>
                        </w:rPr>
                      </w:r>
                    </w:p>
                  </w:txbxContent>
                </v:textbox>
                <w10:wrap type="none"/>
              </v:shape>
              <v:shape style="position:absolute;left:3679;top:-7585;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项目</w:t>
                      </w:r>
                      <w:r>
                        <w:rPr>
                          <w:rFonts w:ascii="宋体" w:hAnsi="宋体" w:cs="宋体" w:eastAsia="宋体" w:hint="default"/>
                          <w:sz w:val="16"/>
                          <w:szCs w:val="16"/>
                        </w:rPr>
                      </w:r>
                    </w:p>
                  </w:txbxContent>
                </v:textbox>
                <w10:wrap type="none"/>
              </v:shape>
              <v:shape style="position:absolute;left:5406;top:-7513;width:1119;height:369" type="#_x0000_t202" filled="false" stroked="false">
                <v:textbox inset="0,0,0,0">
                  <w:txbxContent>
                    <w:p>
                      <w:pPr>
                        <w:spacing w:line="159" w:lineRule="exact" w:before="0"/>
                        <w:ind w:left="-1" w:right="0" w:firstLine="0"/>
                        <w:jc w:val="center"/>
                        <w:rPr>
                          <w:rFonts w:ascii="宋体" w:hAnsi="宋体" w:cs="宋体" w:eastAsia="宋体" w:hint="default"/>
                          <w:sz w:val="16"/>
                          <w:szCs w:val="16"/>
                        </w:rPr>
                      </w:pPr>
                      <w:r>
                        <w:rPr>
                          <w:rFonts w:ascii="宋体" w:hAnsi="宋体" w:cs="宋体" w:eastAsia="宋体" w:hint="default"/>
                          <w:w w:val="95"/>
                          <w:sz w:val="16"/>
                          <w:szCs w:val="16"/>
                        </w:rPr>
                        <w:t>第一层次公允价</w:t>
                      </w:r>
                      <w:r>
                        <w:rPr>
                          <w:rFonts w:ascii="宋体" w:hAnsi="宋体" w:cs="宋体" w:eastAsia="宋体" w:hint="default"/>
                          <w:sz w:val="16"/>
                          <w:szCs w:val="16"/>
                        </w:rPr>
                      </w:r>
                    </w:p>
                    <w:p>
                      <w:pPr>
                        <w:spacing w:line="209" w:lineRule="exact" w:before="0"/>
                        <w:ind w:left="0" w:right="1" w:firstLine="0"/>
                        <w:jc w:val="center"/>
                        <w:rPr>
                          <w:rFonts w:ascii="宋体" w:hAnsi="宋体" w:cs="宋体" w:eastAsia="宋体" w:hint="default"/>
                          <w:sz w:val="16"/>
                          <w:szCs w:val="16"/>
                        </w:rPr>
                      </w:pPr>
                      <w:r>
                        <w:rPr>
                          <w:rFonts w:ascii="宋体" w:hAnsi="宋体" w:cs="宋体" w:eastAsia="宋体" w:hint="default"/>
                          <w:sz w:val="16"/>
                          <w:szCs w:val="16"/>
                        </w:rPr>
                        <w:t>值计量</w:t>
                      </w:r>
                    </w:p>
                  </w:txbxContent>
                </v:textbox>
                <w10:wrap type="none"/>
              </v:shape>
              <v:shape style="position:absolute;left:6802;top:-7513;width:959;height:369" type="#_x0000_t202" filled="false" stroked="false">
                <v:textbox inset="0,0,0,0">
                  <w:txbxContent>
                    <w:p>
                      <w:pPr>
                        <w:spacing w:line="159" w:lineRule="exact" w:before="0"/>
                        <w:ind w:left="-1" w:right="0" w:firstLine="0"/>
                        <w:jc w:val="center"/>
                        <w:rPr>
                          <w:rFonts w:ascii="宋体" w:hAnsi="宋体" w:cs="宋体" w:eastAsia="宋体" w:hint="default"/>
                          <w:sz w:val="16"/>
                          <w:szCs w:val="16"/>
                        </w:rPr>
                      </w:pPr>
                      <w:r>
                        <w:rPr>
                          <w:rFonts w:ascii="宋体" w:hAnsi="宋体" w:cs="宋体" w:eastAsia="宋体" w:hint="default"/>
                          <w:w w:val="95"/>
                          <w:sz w:val="16"/>
                          <w:szCs w:val="16"/>
                        </w:rPr>
                        <w:t>第二层次公允</w:t>
                      </w:r>
                      <w:r>
                        <w:rPr>
                          <w:rFonts w:ascii="宋体" w:hAnsi="宋体" w:cs="宋体" w:eastAsia="宋体" w:hint="default"/>
                          <w:sz w:val="16"/>
                          <w:szCs w:val="16"/>
                        </w:rPr>
                      </w:r>
                    </w:p>
                    <w:p>
                      <w:pPr>
                        <w:spacing w:line="209" w:lineRule="exact" w:before="0"/>
                        <w:ind w:left="0" w:right="1" w:firstLine="0"/>
                        <w:jc w:val="center"/>
                        <w:rPr>
                          <w:rFonts w:ascii="宋体" w:hAnsi="宋体" w:cs="宋体" w:eastAsia="宋体" w:hint="default"/>
                          <w:sz w:val="16"/>
                          <w:szCs w:val="16"/>
                        </w:rPr>
                      </w:pPr>
                      <w:r>
                        <w:rPr>
                          <w:rFonts w:ascii="宋体" w:hAnsi="宋体" w:cs="宋体" w:eastAsia="宋体" w:hint="default"/>
                          <w:sz w:val="16"/>
                          <w:szCs w:val="16"/>
                        </w:rPr>
                        <w:t>价值计量</w:t>
                      </w:r>
                    </w:p>
                  </w:txbxContent>
                </v:textbox>
                <w10:wrap type="none"/>
              </v:shape>
              <v:shape style="position:absolute;left:8084;top:-7513;width:959;height:369" type="#_x0000_t202" filled="false" stroked="false">
                <v:textbox inset="0,0,0,0">
                  <w:txbxContent>
                    <w:p>
                      <w:pPr>
                        <w:spacing w:line="159" w:lineRule="exact" w:before="0"/>
                        <w:ind w:left="0" w:right="0" w:firstLine="0"/>
                        <w:jc w:val="center"/>
                        <w:rPr>
                          <w:rFonts w:ascii="宋体" w:hAnsi="宋体" w:cs="宋体" w:eastAsia="宋体" w:hint="default"/>
                          <w:sz w:val="16"/>
                          <w:szCs w:val="16"/>
                        </w:rPr>
                      </w:pPr>
                      <w:r>
                        <w:rPr>
                          <w:rFonts w:ascii="宋体" w:hAnsi="宋体" w:cs="宋体" w:eastAsia="宋体" w:hint="default"/>
                          <w:w w:val="95"/>
                          <w:sz w:val="16"/>
                          <w:szCs w:val="16"/>
                        </w:rPr>
                        <w:t>第三层次公允</w:t>
                      </w:r>
                      <w:r>
                        <w:rPr>
                          <w:rFonts w:ascii="宋体" w:hAnsi="宋体" w:cs="宋体" w:eastAsia="宋体" w:hint="default"/>
                          <w:sz w:val="16"/>
                          <w:szCs w:val="16"/>
                        </w:rPr>
                      </w:r>
                    </w:p>
                    <w:p>
                      <w:pPr>
                        <w:spacing w:line="209" w:lineRule="exact" w:before="0"/>
                        <w:ind w:left="1" w:right="0" w:firstLine="0"/>
                        <w:jc w:val="center"/>
                        <w:rPr>
                          <w:rFonts w:ascii="宋体" w:hAnsi="宋体" w:cs="宋体" w:eastAsia="宋体" w:hint="default"/>
                          <w:sz w:val="16"/>
                          <w:szCs w:val="16"/>
                        </w:rPr>
                      </w:pPr>
                      <w:r>
                        <w:rPr>
                          <w:rFonts w:ascii="宋体" w:hAnsi="宋体" w:cs="宋体" w:eastAsia="宋体" w:hint="default"/>
                          <w:sz w:val="16"/>
                          <w:szCs w:val="16"/>
                        </w:rPr>
                        <w:t>价值计量</w:t>
                      </w:r>
                    </w:p>
                  </w:txbxContent>
                </v:textbox>
                <w10:wrap type="none"/>
              </v:shape>
              <v:shape style="position:absolute;left:9754;top:-7409;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合计</w:t>
                      </w:r>
                      <w:r>
                        <w:rPr>
                          <w:rFonts w:ascii="宋体" w:hAnsi="宋体" w:cs="宋体" w:eastAsia="宋体" w:hint="default"/>
                          <w:sz w:val="16"/>
                          <w:szCs w:val="16"/>
                        </w:rPr>
                      </w:r>
                    </w:p>
                  </w:txbxContent>
                </v:textbox>
                <w10:wrap type="none"/>
              </v:shape>
            </v:group>
            <w10:wrap type="none"/>
          </v:group>
        </w:pict>
      </w: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二</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持续和非持续第一层次公允价值计量项目市价的确定依据</w:t>
      </w:r>
      <w:r>
        <w:rPr>
          <w:rFonts w:ascii="宋体" w:hAnsi="宋体" w:cs="宋体" w:eastAsia="宋体" w:hint="default"/>
          <w:b/>
          <w:bCs/>
          <w:w w:val="99"/>
          <w:sz w:val="21"/>
          <w:szCs w:val="21"/>
        </w:rPr>
        <w:t> </w:t>
      </w:r>
      <w:r>
        <w:rPr>
          <w:rFonts w:ascii="宋体" w:hAnsi="宋体" w:cs="宋体" w:eastAsia="宋体" w:hint="default"/>
          <w:sz w:val="21"/>
          <w:szCs w:val="21"/>
        </w:rPr>
        <w:t>第一层次输入值是企业在计量日能够取得的相同资产或负债在活跃市场上未经调整 的报价。活跃市场，是指相关资产或负债交易量及交易频率足以持续提供定价信息 的市场。</w:t>
      </w:r>
    </w:p>
    <w:p>
      <w:pPr>
        <w:spacing w:line="240" w:lineRule="auto" w:before="0"/>
        <w:rPr>
          <w:rFonts w:ascii="宋体" w:hAnsi="宋体" w:cs="宋体" w:eastAsia="宋体" w:hint="default"/>
          <w:sz w:val="20"/>
          <w:szCs w:val="20"/>
        </w:rPr>
      </w:pPr>
    </w:p>
    <w:p>
      <w:pPr>
        <w:pStyle w:val="BodyText"/>
        <w:tabs>
          <w:tab w:pos="851" w:val="left" w:leader="none"/>
        </w:tabs>
        <w:spacing w:line="321" w:lineRule="auto" w:before="148"/>
        <w:ind w:left="846" w:right="1805" w:hanging="710"/>
        <w:jc w:val="left"/>
      </w:pPr>
      <w:r>
        <w:rPr>
          <w:rFonts w:ascii="Times New Roman" w:hAnsi="Times New Roman" w:cs="Times New Roman" w:eastAsia="Times New Roman" w:hint="default"/>
          <w:b/>
          <w:bCs/>
          <w:w w:val="95"/>
        </w:rPr>
        <w:t>(</w:t>
      </w:r>
      <w:r>
        <w:rPr>
          <w:rFonts w:ascii="宋体" w:hAnsi="宋体" w:cs="宋体" w:eastAsia="宋体" w:hint="default"/>
          <w:b/>
          <w:bCs/>
          <w:w w:val="95"/>
        </w:rPr>
        <w:t>三</w:t>
      </w:r>
      <w:r>
        <w:rPr>
          <w:rFonts w:ascii="Times New Roman" w:hAnsi="Times New Roman" w:cs="Times New Roman" w:eastAsia="Times New Roman" w:hint="default"/>
          <w:b/>
          <w:bCs/>
          <w:w w:val="95"/>
        </w:rPr>
        <w:t>)</w:t>
        <w:tab/>
        <w:tab/>
      </w:r>
      <w:r>
        <w:rPr>
          <w:rFonts w:ascii="宋体" w:hAnsi="宋体" w:cs="宋体" w:eastAsia="宋体" w:hint="default"/>
          <w:b/>
          <w:bCs/>
        </w:rPr>
        <w:t>持续和非持续第二层次公允价值计量项目，采用的估值技术和重要参数的定性及定</w:t>
      </w:r>
      <w:r>
        <w:rPr>
          <w:rFonts w:ascii="宋体" w:hAnsi="宋体" w:cs="宋体" w:eastAsia="宋体" w:hint="default"/>
          <w:b/>
          <w:bCs/>
          <w:w w:val="99"/>
        </w:rPr>
        <w:t> </w:t>
      </w:r>
      <w:r>
        <w:rPr>
          <w:rFonts w:ascii="宋体" w:hAnsi="宋体" w:cs="宋体" w:eastAsia="宋体" w:hint="default"/>
          <w:b/>
          <w:bCs/>
        </w:rPr>
        <w:t>量信息</w:t>
      </w:r>
      <w:r>
        <w:rPr>
          <w:rFonts w:ascii="宋体" w:hAnsi="宋体" w:cs="宋体" w:eastAsia="宋体" w:hint="default"/>
          <w:b/>
          <w:bCs/>
          <w:spacing w:val="1"/>
          <w:w w:val="99"/>
        </w:rPr>
        <w:t> </w:t>
      </w:r>
      <w:r>
        <w:rPr/>
        <w:t>第二层次输入值是除第一层次输入值外相关资产或负债直接或间接可观察的输入 值。对于具有特定期限（如合同期限）的相关资产或负债，第二层次输入值必须在 </w:t>
      </w:r>
      <w:r>
        <w:rPr>
          <w:spacing w:val="-3"/>
        </w:rPr>
        <w:t>其几乎整个期限内是可观察的。第二层次输入值包括：（</w:t>
      </w:r>
      <w:r>
        <w:rPr>
          <w:rFonts w:ascii="Times New Roman" w:hAnsi="Times New Roman" w:cs="Times New Roman" w:eastAsia="Times New Roman" w:hint="default"/>
          <w:spacing w:val="-3"/>
        </w:rPr>
        <w:t>1</w:t>
      </w:r>
      <w:r>
        <w:rPr>
          <w:spacing w:val="-3"/>
        </w:rPr>
        <w:t>）活跃市场中类似资产或</w:t>
      </w:r>
      <w:r>
        <w:rPr/>
        <w:t> </w:t>
      </w:r>
      <w:r>
        <w:rPr>
          <w:spacing w:val="-6"/>
        </w:rPr>
        <w:t>负债的报价。（</w:t>
      </w:r>
      <w:r>
        <w:rPr>
          <w:rFonts w:ascii="Times New Roman" w:hAnsi="Times New Roman" w:cs="Times New Roman" w:eastAsia="Times New Roman" w:hint="default"/>
          <w:spacing w:val="-6"/>
        </w:rPr>
        <w:t>2</w:t>
      </w:r>
      <w:r>
        <w:rPr>
          <w:spacing w:val="-6"/>
        </w:rPr>
        <w:t>）非活跃市场中相同或类似资产或负债的报价。（</w:t>
      </w:r>
      <w:r>
        <w:rPr>
          <w:rFonts w:ascii="Times New Roman" w:hAnsi="Times New Roman" w:cs="Times New Roman" w:eastAsia="Times New Roman" w:hint="default"/>
          <w:spacing w:val="-6"/>
        </w:rPr>
        <w:t>3</w:t>
      </w:r>
      <w:r>
        <w:rPr>
          <w:spacing w:val="-6"/>
        </w:rPr>
        <w:t>）除报价以外的</w:t>
      </w:r>
      <w:r>
        <w:rPr/>
        <w:t> 其他可观察输入值，包括在正常报价间隔期间可观察的利率和收益率曲线等。</w:t>
      </w:r>
    </w:p>
    <w:p>
      <w:pPr>
        <w:spacing w:line="240" w:lineRule="auto" w:before="0"/>
        <w:rPr>
          <w:rFonts w:ascii="宋体" w:hAnsi="宋体" w:cs="宋体" w:eastAsia="宋体" w:hint="default"/>
          <w:sz w:val="20"/>
          <w:szCs w:val="20"/>
        </w:rPr>
      </w:pPr>
    </w:p>
    <w:p>
      <w:pPr>
        <w:pStyle w:val="Heading5"/>
        <w:tabs>
          <w:tab w:pos="851" w:val="left" w:leader="none"/>
        </w:tabs>
        <w:spacing w:line="314" w:lineRule="auto" w:before="151"/>
        <w:ind w:left="846" w:right="1805" w:hanging="710"/>
        <w:jc w:val="left"/>
        <w:rPr>
          <w:b w:val="0"/>
          <w:bCs w:val="0"/>
        </w:rPr>
      </w:pPr>
      <w:r>
        <w:rPr>
          <w:rFonts w:ascii="Times New Roman" w:hAnsi="Times New Roman" w:cs="Times New Roman" w:eastAsia="Times New Roman" w:hint="default"/>
          <w:w w:val="95"/>
        </w:rPr>
        <w:t>(</w:t>
      </w:r>
      <w:r>
        <w:rPr>
          <w:w w:val="95"/>
        </w:rPr>
        <w:t>四</w:t>
      </w:r>
      <w:r>
        <w:rPr>
          <w:rFonts w:ascii="Times New Roman" w:hAnsi="Times New Roman" w:cs="Times New Roman" w:eastAsia="Times New Roman" w:hint="default"/>
          <w:w w:val="95"/>
        </w:rPr>
        <w:t>)</w:t>
        <w:tab/>
        <w:tab/>
      </w:r>
      <w:r>
        <w:rPr/>
        <w:t>持续和非持续第三层次公允价值计量项目，采用的估值技术和重要参数的定性及定</w:t>
      </w:r>
      <w:r>
        <w:rPr>
          <w:w w:val="99"/>
        </w:rPr>
        <w:t> </w:t>
      </w:r>
      <w:r>
        <w:rPr/>
        <w:t>量信息</w:t>
      </w:r>
      <w:r>
        <w:rPr>
          <w:b w:val="0"/>
          <w:bCs w:val="0"/>
        </w:rPr>
      </w:r>
    </w:p>
    <w:p>
      <w:pPr>
        <w:spacing w:after="0" w:line="314" w:lineRule="auto"/>
        <w:jc w:val="left"/>
        <w:sectPr>
          <w:pgSz w:w="11910" w:h="16840"/>
          <w:pgMar w:header="0" w:footer="1001" w:top="1520" w:bottom="1200" w:left="1660" w:right="0"/>
        </w:sectPr>
      </w:pPr>
    </w:p>
    <w:p>
      <w:pPr>
        <w:spacing w:line="240" w:lineRule="auto" w:before="0"/>
        <w:rPr>
          <w:rFonts w:ascii="宋体" w:hAnsi="宋体" w:cs="宋体" w:eastAsia="宋体" w:hint="default"/>
          <w:b/>
          <w:bCs/>
          <w:sz w:val="12"/>
          <w:szCs w:val="12"/>
        </w:rPr>
      </w:pPr>
    </w:p>
    <w:p>
      <w:pPr>
        <w:pStyle w:val="BodyText"/>
        <w:spacing w:line="331" w:lineRule="auto" w:before="35"/>
        <w:ind w:left="846" w:right="1835"/>
        <w:jc w:val="both"/>
      </w:pPr>
      <w:r>
        <w:rPr/>
        <w:t>第三层次输入值是相关资产或负债的不可观察输入值。第三层次输入值包括不能直 接观察和无法由可观察市场数据验证的利率、股票波动率、企业合并中承担的弃置 义务的未来现金流量、企业使用自身数据作出的财务预测等。</w:t>
      </w:r>
    </w:p>
    <w:p>
      <w:pPr>
        <w:tabs>
          <w:tab w:pos="851" w:val="left" w:leader="none"/>
        </w:tabs>
        <w:spacing w:line="343" w:lineRule="auto" w:before="45"/>
        <w:ind w:left="846" w:right="1805" w:hanging="71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五</w:t>
      </w:r>
      <w:r>
        <w:rPr>
          <w:rFonts w:ascii="Times New Roman" w:hAnsi="Times New Roman" w:cs="Times New Roman" w:eastAsia="Times New Roman" w:hint="default"/>
          <w:b/>
          <w:bCs/>
          <w:w w:val="95"/>
          <w:sz w:val="21"/>
          <w:szCs w:val="21"/>
        </w:rPr>
        <w:t>)</w:t>
        <w:tab/>
        <w:tab/>
      </w:r>
      <w:r>
        <w:rPr>
          <w:rFonts w:ascii="宋体" w:hAnsi="宋体" w:cs="宋体" w:eastAsia="宋体" w:hint="default"/>
          <w:b/>
          <w:bCs/>
          <w:sz w:val="21"/>
          <w:szCs w:val="21"/>
        </w:rPr>
        <w:t>持续的第三层次公允价值计量项目，年初与期末账面价值间的调节信息及不可观察</w:t>
      </w:r>
      <w:r>
        <w:rPr>
          <w:rFonts w:ascii="宋体" w:hAnsi="宋体" w:cs="宋体" w:eastAsia="宋体" w:hint="default"/>
          <w:b/>
          <w:bCs/>
          <w:w w:val="99"/>
          <w:sz w:val="21"/>
          <w:szCs w:val="21"/>
        </w:rPr>
        <w:t> </w:t>
      </w:r>
      <w:r>
        <w:rPr>
          <w:rFonts w:ascii="宋体" w:hAnsi="宋体" w:cs="宋体" w:eastAsia="宋体" w:hint="default"/>
          <w:b/>
          <w:bCs/>
          <w:sz w:val="21"/>
          <w:szCs w:val="21"/>
        </w:rPr>
        <w:t>参数敏感性分析</w:t>
      </w:r>
      <w:r>
        <w:rPr>
          <w:rFonts w:ascii="宋体" w:hAnsi="宋体" w:cs="宋体" w:eastAsia="宋体" w:hint="default"/>
          <w:b/>
          <w:bCs/>
          <w:w w:val="99"/>
          <w:sz w:val="21"/>
          <w:szCs w:val="21"/>
        </w:rPr>
        <w:t> </w:t>
      </w:r>
      <w:r>
        <w:rPr>
          <w:rFonts w:ascii="宋体" w:hAnsi="宋体" w:cs="宋体" w:eastAsia="宋体" w:hint="default"/>
          <w:sz w:val="21"/>
          <w:szCs w:val="21"/>
        </w:rPr>
        <w:t>权益工具的估值系管理层综合考虑未来的回报和折现以及经营判断而预计该等权利 的价值，管理层认为，该权益工具的账面价值与公允价值相当。</w:t>
      </w:r>
    </w:p>
    <w:p>
      <w:pPr>
        <w:spacing w:line="240" w:lineRule="auto" w:before="0"/>
        <w:rPr>
          <w:rFonts w:ascii="宋体" w:hAnsi="宋体" w:cs="宋体" w:eastAsia="宋体" w:hint="default"/>
          <w:sz w:val="20"/>
          <w:szCs w:val="20"/>
        </w:rPr>
      </w:pPr>
    </w:p>
    <w:p>
      <w:pPr>
        <w:pStyle w:val="Heading5"/>
        <w:tabs>
          <w:tab w:pos="851" w:val="left" w:leader="none"/>
        </w:tabs>
        <w:spacing w:line="328" w:lineRule="auto" w:before="173"/>
        <w:ind w:left="846" w:right="1805" w:hanging="710"/>
        <w:jc w:val="left"/>
        <w:rPr>
          <w:b w:val="0"/>
          <w:bCs w:val="0"/>
        </w:rPr>
      </w:pPr>
      <w:r>
        <w:rPr>
          <w:rFonts w:ascii="Times New Roman" w:hAnsi="Times New Roman" w:cs="Times New Roman" w:eastAsia="Times New Roman" w:hint="default"/>
          <w:w w:val="95"/>
        </w:rPr>
        <w:t>(</w:t>
      </w:r>
      <w:r>
        <w:rPr>
          <w:w w:val="95"/>
        </w:rPr>
        <w:t>六</w:t>
      </w:r>
      <w:r>
        <w:rPr>
          <w:rFonts w:ascii="Times New Roman" w:hAnsi="Times New Roman" w:cs="Times New Roman" w:eastAsia="Times New Roman" w:hint="default"/>
          <w:w w:val="95"/>
        </w:rPr>
        <w:t>)</w:t>
        <w:tab/>
        <w:tab/>
      </w:r>
      <w:r>
        <w:rPr/>
        <w:t>持续的公允价值计量项目，本期内发生各层级之间转换的，转换的原因及确定转换</w:t>
      </w:r>
      <w:r>
        <w:rPr>
          <w:w w:val="99"/>
        </w:rPr>
        <w:t> </w:t>
      </w:r>
      <w:r>
        <w:rPr/>
        <w:t>时点的政策</w:t>
      </w:r>
      <w:r>
        <w:rPr>
          <w:b w:val="0"/>
          <w:bCs w:val="0"/>
        </w:rPr>
      </w:r>
    </w:p>
    <w:p>
      <w:pPr>
        <w:pStyle w:val="BodyText"/>
        <w:spacing w:line="240" w:lineRule="auto" w:before="48"/>
        <w:ind w:left="851" w:right="0"/>
        <w:jc w:val="both"/>
      </w:pPr>
      <w:r>
        <w:rPr/>
        <w:t>无。</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5"/>
        <w:tabs>
          <w:tab w:pos="851" w:val="left" w:leader="none"/>
        </w:tabs>
        <w:spacing w:line="331" w:lineRule="auto" w:before="0"/>
        <w:ind w:left="851" w:right="5808" w:hanging="714"/>
        <w:jc w:val="left"/>
        <w:rPr>
          <w:rFonts w:ascii="宋体" w:hAnsi="宋体" w:cs="宋体" w:eastAsia="宋体" w:hint="default"/>
          <w:b w:val="0"/>
          <w:bCs w:val="0"/>
        </w:rPr>
      </w:pPr>
      <w:r>
        <w:rPr>
          <w:rFonts w:ascii="Times New Roman" w:hAnsi="Times New Roman" w:cs="Times New Roman" w:eastAsia="Times New Roman" w:hint="default"/>
          <w:w w:val="95"/>
        </w:rPr>
        <w:t>(</w:t>
      </w:r>
      <w:r>
        <w:rPr>
          <w:w w:val="95"/>
        </w:rPr>
        <w:t>七</w:t>
      </w:r>
      <w:r>
        <w:rPr>
          <w:rFonts w:ascii="Times New Roman" w:hAnsi="Times New Roman" w:cs="Times New Roman" w:eastAsia="Times New Roman" w:hint="default"/>
          <w:w w:val="95"/>
        </w:rPr>
        <w:t>)</w:t>
        <w:tab/>
      </w:r>
      <w:r>
        <w:rPr/>
        <w:t>本期内发生的估值技术变更及变更原因</w:t>
      </w:r>
      <w:r>
        <w:rPr>
          <w:w w:val="99"/>
        </w:rPr>
        <w:t> </w:t>
      </w:r>
      <w:r>
        <w:rPr>
          <w:rFonts w:ascii="宋体" w:hAnsi="宋体" w:cs="宋体" w:eastAsia="宋体" w:hint="default"/>
          <w:b w:val="0"/>
          <w:bCs w:val="0"/>
        </w:rPr>
        <w:t>无。</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pStyle w:val="Heading5"/>
        <w:tabs>
          <w:tab w:pos="851" w:val="left" w:leader="none"/>
        </w:tabs>
        <w:spacing w:line="331" w:lineRule="auto" w:before="0"/>
        <w:ind w:left="851" w:right="4122" w:hanging="714"/>
        <w:jc w:val="left"/>
        <w:rPr>
          <w:rFonts w:ascii="宋体" w:hAnsi="宋体" w:cs="宋体" w:eastAsia="宋体" w:hint="default"/>
          <w:b w:val="0"/>
          <w:bCs w:val="0"/>
        </w:rPr>
      </w:pPr>
      <w:r>
        <w:rPr>
          <w:rFonts w:ascii="Times New Roman" w:hAnsi="Times New Roman" w:cs="Times New Roman" w:eastAsia="Times New Roman" w:hint="default"/>
          <w:w w:val="95"/>
        </w:rPr>
        <w:t>(</w:t>
      </w:r>
      <w:r>
        <w:rPr>
          <w:w w:val="95"/>
        </w:rPr>
        <w:t>八</w:t>
      </w:r>
      <w:r>
        <w:rPr>
          <w:rFonts w:ascii="Times New Roman" w:hAnsi="Times New Roman" w:cs="Times New Roman" w:eastAsia="Times New Roman" w:hint="default"/>
          <w:w w:val="95"/>
        </w:rPr>
        <w:t>)</w:t>
        <w:tab/>
      </w:r>
      <w:r>
        <w:rPr/>
        <w:t>不以公允价值计量的金融资产和金融负债的公允价值情况</w:t>
      </w:r>
      <w:r>
        <w:rPr>
          <w:w w:val="99"/>
        </w:rPr>
        <w:t> </w:t>
      </w:r>
      <w:r>
        <w:rPr>
          <w:rFonts w:ascii="宋体" w:hAnsi="宋体" w:cs="宋体" w:eastAsia="宋体" w:hint="default"/>
          <w:b w:val="0"/>
          <w:bCs w:val="0"/>
        </w:rPr>
        <w:t>无。</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pStyle w:val="Heading5"/>
        <w:tabs>
          <w:tab w:pos="851" w:val="left" w:leader="none"/>
        </w:tabs>
        <w:spacing w:line="240" w:lineRule="auto" w:before="0"/>
        <w:ind w:right="3681"/>
        <w:jc w:val="left"/>
        <w:rPr>
          <w:b w:val="0"/>
          <w:bCs w:val="0"/>
        </w:rPr>
      </w:pPr>
      <w:r>
        <w:rPr>
          <w:w w:val="95"/>
        </w:rPr>
        <w:t>十、</w:t>
        <w:tab/>
      </w:r>
      <w:r>
        <w:rPr/>
        <w:t>关联方及关联交易</w:t>
      </w:r>
      <w:r>
        <w:rPr>
          <w:b w:val="0"/>
          <w:bCs w:val="0"/>
        </w:rPr>
      </w:r>
    </w:p>
    <w:p>
      <w:pPr>
        <w:pStyle w:val="Heading5"/>
        <w:tabs>
          <w:tab w:pos="851" w:val="left" w:leader="none"/>
        </w:tabs>
        <w:spacing w:line="240" w:lineRule="auto" w:before="126"/>
        <w:ind w:right="3681"/>
        <w:jc w:val="left"/>
        <w:rPr>
          <w:b w:val="0"/>
          <w:bCs w:val="0"/>
        </w:rPr>
      </w:pPr>
      <w:r>
        <w:rPr>
          <w:rFonts w:ascii="Times New Roman" w:hAnsi="Times New Roman" w:cs="Times New Roman" w:eastAsia="Times New Roman" w:hint="default"/>
          <w:w w:val="95"/>
        </w:rPr>
        <w:t>(</w:t>
      </w:r>
      <w:r>
        <w:rPr>
          <w:w w:val="95"/>
        </w:rPr>
        <w:t>一</w:t>
      </w:r>
      <w:r>
        <w:rPr>
          <w:rFonts w:ascii="Times New Roman" w:hAnsi="Times New Roman" w:cs="Times New Roman" w:eastAsia="Times New Roman" w:hint="default"/>
          <w:w w:val="95"/>
        </w:rPr>
        <w:t>)</w:t>
        <w:tab/>
      </w:r>
      <w:r>
        <w:rPr/>
        <w:t>本公司的母公司情况</w:t>
      </w:r>
      <w:r>
        <w:rPr>
          <w:b w:val="0"/>
          <w:bCs w:val="0"/>
        </w:rPr>
      </w:r>
    </w:p>
    <w:p>
      <w:pPr>
        <w:spacing w:line="1371" w:lineRule="exact"/>
        <w:ind w:left="720" w:right="0" w:firstLine="0"/>
        <w:rPr>
          <w:rFonts w:ascii="宋体" w:hAnsi="宋体" w:cs="宋体" w:eastAsia="宋体" w:hint="default"/>
          <w:sz w:val="20"/>
          <w:szCs w:val="20"/>
        </w:rPr>
      </w:pPr>
      <w:r>
        <w:rPr>
          <w:rFonts w:ascii="宋体" w:hAnsi="宋体" w:cs="宋体" w:eastAsia="宋体" w:hint="default"/>
          <w:position w:val="-26"/>
          <w:sz w:val="20"/>
          <w:szCs w:val="20"/>
        </w:rPr>
        <w:pict>
          <v:group style="width:411.6pt;height:68.6pt;mso-position-horizontal-relative:char;mso-position-vertical-relative:line" coordorigin="0,0" coordsize="8232,1372">
            <v:group style="position:absolute;left:29;top:15;width:2475;height:2" coordorigin="29,15" coordsize="2475,2">
              <v:shape style="position:absolute;left:29;top:15;width:2475;height:2" coordorigin="29,15" coordsize="2475,0" path="m29,15l2504,15e" filled="false" stroked="true" strokeweight="1.5pt" strokecolor="#000000">
                <v:path arrowok="t"/>
              </v:shape>
              <v:shape style="position:absolute;left:2504;top:30;width:10;height:28" type="#_x0000_t75" stroked="false">
                <v:imagedata r:id="rId32" o:title=""/>
              </v:shape>
            </v:group>
            <v:group style="position:absolute;left:2504;top:15;width:660;height:2" coordorigin="2504,15" coordsize="660,2">
              <v:shape style="position:absolute;left:2504;top:15;width:660;height:2" coordorigin="2504,15" coordsize="660,0" path="m2504,15l3164,15e" filled="false" stroked="true" strokeweight="1.5pt" strokecolor="#000000">
                <v:path arrowok="t"/>
              </v:shape>
              <v:shape style="position:absolute;left:3164;top:30;width:10;height:28" type="#_x0000_t75" stroked="false">
                <v:imagedata r:id="rId32" o:title=""/>
              </v:shape>
            </v:group>
            <v:group style="position:absolute;left:3164;top:15;width:1017;height:2" coordorigin="3164,15" coordsize="1017,2">
              <v:shape style="position:absolute;left:3164;top:15;width:1017;height:2" coordorigin="3164,15" coordsize="1017,0" path="m3164,15l4180,15e" filled="false" stroked="true" strokeweight="1.5pt" strokecolor="#000000">
                <v:path arrowok="t"/>
              </v:shape>
              <v:shape style="position:absolute;left:4180;top:30;width:10;height:28" type="#_x0000_t75" stroked="false">
                <v:imagedata r:id="rId32" o:title=""/>
              </v:shape>
            </v:group>
            <v:group style="position:absolute;left:4180;top:15;width:1451;height:2" coordorigin="4180,15" coordsize="1451,2">
              <v:shape style="position:absolute;left:4180;top:15;width:1451;height:2" coordorigin="4180,15" coordsize="1451,0" path="m4180,15l5631,15e" filled="false" stroked="true" strokeweight="1.5pt" strokecolor="#000000">
                <v:path arrowok="t"/>
              </v:shape>
              <v:shape style="position:absolute;left:5631;top:30;width:10;height:28" type="#_x0000_t75" stroked="false">
                <v:imagedata r:id="rId32" o:title=""/>
              </v:shape>
            </v:group>
            <v:group style="position:absolute;left:5631;top:15;width:1196;height:2" coordorigin="5631,15" coordsize="1196,2">
              <v:shape style="position:absolute;left:5631;top:15;width:1196;height:2" coordorigin="5631,15" coordsize="1196,0" path="m5631,15l6826,15e" filled="false" stroked="true" strokeweight="1.5pt" strokecolor="#000000">
                <v:path arrowok="t"/>
              </v:shape>
              <v:shape style="position:absolute;left:6826;top:30;width:10;height:28" type="#_x0000_t75" stroked="false">
                <v:imagedata r:id="rId32" o:title=""/>
              </v:shape>
            </v:group>
            <v:group style="position:absolute;left:6826;top:15;width:1391;height:2" coordorigin="6826,15" coordsize="1391,2">
              <v:shape style="position:absolute;left:6826;top:15;width:1391;height:2" coordorigin="6826,15" coordsize="1391,0" path="m6826,15l8217,15e" filled="false" stroked="true" strokeweight="1.5pt" strokecolor="#000000">
                <v:path arrowok="t"/>
              </v:shape>
            </v:group>
            <v:group style="position:absolute;left:15;top:1357;width:2489;height:2" coordorigin="15,1357" coordsize="2489,2">
              <v:shape style="position:absolute;left:15;top:1357;width:2489;height:2" coordorigin="15,1357" coordsize="2489,0" path="m15,1357l2504,1357e" filled="false" stroked="true" strokeweight="1.5pt" strokecolor="#000000">
                <v:path arrowok="t"/>
              </v:shape>
              <v:shape style="position:absolute;left:17;top:44;width:8202;height:1316" type="#_x0000_t75" stroked="false">
                <v:imagedata r:id="rId401" o:title=""/>
              </v:shape>
            </v:group>
            <v:group style="position:absolute;left:2504;top:1357;width:660;height:2" coordorigin="2504,1357" coordsize="660,2">
              <v:shape style="position:absolute;left:2504;top:1357;width:660;height:2" coordorigin="2504,1357" coordsize="660,0" path="m2504,1357l3164,1357e" filled="false" stroked="true" strokeweight="1.5pt" strokecolor="#000000">
                <v:path arrowok="t"/>
              </v:shape>
              <v:shape style="position:absolute;left:3145;top:800;width:48;height:560" type="#_x0000_t75" stroked="false">
                <v:imagedata r:id="rId402" o:title=""/>
              </v:shape>
            </v:group>
            <v:group style="position:absolute;left:3164;top:1357;width:1017;height:2" coordorigin="3164,1357" coordsize="1017,2">
              <v:shape style="position:absolute;left:3164;top:1357;width:1017;height:2" coordorigin="3164,1357" coordsize="1017,0" path="m3164,1357l4180,1357e" filled="false" stroked="true" strokeweight="1.5pt" strokecolor="#000000">
                <v:path arrowok="t"/>
              </v:shape>
              <v:shape style="position:absolute;left:4161;top:800;width:48;height:560" type="#_x0000_t75" stroked="false">
                <v:imagedata r:id="rId402" o:title=""/>
              </v:shape>
            </v:group>
            <v:group style="position:absolute;left:4180;top:1357;width:1451;height:2" coordorigin="4180,1357" coordsize="1451,2">
              <v:shape style="position:absolute;left:4180;top:1357;width:1451;height:2" coordorigin="4180,1357" coordsize="1451,0" path="m4180,1357l5631,1357e" filled="false" stroked="true" strokeweight="1.5pt" strokecolor="#000000">
                <v:path arrowok="t"/>
              </v:shape>
              <v:shape style="position:absolute;left:5612;top:800;width:48;height:560" type="#_x0000_t75" stroked="false">
                <v:imagedata r:id="rId402" o:title=""/>
              </v:shape>
            </v:group>
            <v:group style="position:absolute;left:5631;top:1357;width:1196;height:2" coordorigin="5631,1357" coordsize="1196,2">
              <v:shape style="position:absolute;left:5631;top:1357;width:1196;height:2" coordorigin="5631,1357" coordsize="1196,0" path="m5631,1357l6826,1357e" filled="false" stroked="true" strokeweight="1.5pt" strokecolor="#000000">
                <v:path arrowok="t"/>
              </v:shape>
              <v:shape style="position:absolute;left:6807;top:800;width:48;height:560" type="#_x0000_t75" stroked="false">
                <v:imagedata r:id="rId403" o:title=""/>
              </v:shape>
            </v:group>
            <v:group style="position:absolute;left:6826;top:1357;width:1391;height:2" coordorigin="6826,1357" coordsize="1391,2">
              <v:shape style="position:absolute;left:6826;top:1357;width:1391;height:2" coordorigin="6826,1357" coordsize="1391,0" path="m6826,1357l8217,1357e" filled="false" stroked="true" strokeweight="1.5pt" strokecolor="#000000">
                <v:path arrowok="t"/>
              </v:shape>
              <v:shape style="position:absolute;left:868;top:325;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母公司名称</w:t>
                      </w:r>
                      <w:r>
                        <w:rPr>
                          <w:rFonts w:ascii="宋体" w:hAnsi="宋体" w:cs="宋体" w:eastAsia="宋体" w:hint="default"/>
                          <w:sz w:val="16"/>
                          <w:szCs w:val="16"/>
                        </w:rPr>
                      </w:r>
                    </w:p>
                  </w:txbxContent>
                </v:textbox>
                <w10:wrap type="none"/>
              </v:shape>
              <v:shape style="position:absolute;left:2677;top:222;width:320;height:368" type="#_x0000_t202" filled="false" stroked="false">
                <v:textbox inset="0,0,0,0">
                  <w:txbxContent>
                    <w:p>
                      <w:pPr>
                        <w:spacing w:line="159" w:lineRule="exact" w:before="0"/>
                        <w:ind w:left="80" w:right="0" w:hanging="81"/>
                        <w:jc w:val="left"/>
                        <w:rPr>
                          <w:rFonts w:ascii="宋体" w:hAnsi="宋体" w:cs="宋体" w:eastAsia="宋体" w:hint="default"/>
                          <w:sz w:val="16"/>
                          <w:szCs w:val="16"/>
                        </w:rPr>
                      </w:pPr>
                      <w:r>
                        <w:rPr>
                          <w:rFonts w:ascii="宋体" w:hAnsi="宋体" w:cs="宋体" w:eastAsia="宋体" w:hint="default"/>
                          <w:sz w:val="16"/>
                          <w:szCs w:val="16"/>
                        </w:rPr>
                        <w:t>注册</w:t>
                      </w:r>
                    </w:p>
                    <w:p>
                      <w:pPr>
                        <w:spacing w:line="208" w:lineRule="exact" w:before="0"/>
                        <w:ind w:left="80" w:right="0" w:firstLine="0"/>
                        <w:jc w:val="left"/>
                        <w:rPr>
                          <w:rFonts w:ascii="宋体" w:hAnsi="宋体" w:cs="宋体" w:eastAsia="宋体" w:hint="default"/>
                          <w:sz w:val="16"/>
                          <w:szCs w:val="16"/>
                        </w:rPr>
                      </w:pPr>
                      <w:r>
                        <w:rPr>
                          <w:rFonts w:ascii="宋体" w:hAnsi="宋体" w:cs="宋体" w:eastAsia="宋体" w:hint="default"/>
                          <w:w w:val="99"/>
                          <w:sz w:val="16"/>
                          <w:szCs w:val="16"/>
                        </w:rPr>
                        <w:t>地</w:t>
                      </w:r>
                      <w:r>
                        <w:rPr>
                          <w:rFonts w:ascii="宋体" w:hAnsi="宋体" w:cs="宋体" w:eastAsia="宋体" w:hint="default"/>
                          <w:sz w:val="16"/>
                          <w:szCs w:val="16"/>
                        </w:rPr>
                      </w:r>
                    </w:p>
                  </w:txbxContent>
                </v:textbox>
                <w10:wrap type="none"/>
              </v:shape>
              <v:shape style="position:absolute;left:3356;top:325;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业务性质</w:t>
                      </w:r>
                      <w:r>
                        <w:rPr>
                          <w:rFonts w:ascii="宋体" w:hAnsi="宋体" w:cs="宋体" w:eastAsia="宋体" w:hint="default"/>
                          <w:sz w:val="16"/>
                          <w:szCs w:val="16"/>
                        </w:rPr>
                      </w:r>
                    </w:p>
                  </w:txbxContent>
                </v:textbox>
                <w10:wrap type="none"/>
              </v:shape>
              <v:shape style="position:absolute;left:4292;top:121;width:2420;height:586" type="#_x0000_t202" filled="false" stroked="false">
                <v:textbox inset="0,0,0,0">
                  <w:txbxContent>
                    <w:p>
                      <w:pPr>
                        <w:spacing w:line="159" w:lineRule="exact" w:before="0"/>
                        <w:ind w:left="0" w:right="0" w:firstLine="1460"/>
                        <w:jc w:val="left"/>
                        <w:rPr>
                          <w:rFonts w:ascii="宋体" w:hAnsi="宋体" w:cs="宋体" w:eastAsia="宋体" w:hint="default"/>
                          <w:sz w:val="16"/>
                          <w:szCs w:val="16"/>
                        </w:rPr>
                      </w:pPr>
                      <w:r>
                        <w:rPr>
                          <w:rFonts w:ascii="宋体" w:hAnsi="宋体" w:cs="宋体" w:eastAsia="宋体" w:hint="default"/>
                          <w:w w:val="95"/>
                          <w:sz w:val="16"/>
                          <w:szCs w:val="16"/>
                        </w:rPr>
                        <w:t>母公司对本公</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注册资本（万元） </w:t>
                      </w:r>
                      <w:r>
                        <w:rPr>
                          <w:rFonts w:ascii="宋体" w:hAnsi="宋体" w:cs="宋体" w:eastAsia="宋体" w:hint="default"/>
                          <w:spacing w:val="18"/>
                          <w:sz w:val="16"/>
                          <w:szCs w:val="16"/>
                        </w:rPr>
                        <w:t> </w:t>
                      </w:r>
                      <w:r>
                        <w:rPr>
                          <w:rFonts w:ascii="宋体" w:hAnsi="宋体" w:cs="宋体" w:eastAsia="宋体" w:hint="default"/>
                          <w:sz w:val="16"/>
                          <w:szCs w:val="16"/>
                        </w:rPr>
                        <w:t>司的持股比例</w:t>
                      </w:r>
                    </w:p>
                    <w:p>
                      <w:pPr>
                        <w:spacing w:line="181" w:lineRule="exact" w:before="38"/>
                        <w:ind w:left="0" w:right="357" w:firstLine="0"/>
                        <w:jc w:val="right"/>
                        <w:rPr>
                          <w:rFonts w:ascii="Times New Roman" w:hAnsi="Times New Roman" w:cs="Times New Roman" w:eastAsia="Times New Roman" w:hint="default"/>
                          <w:sz w:val="16"/>
                          <w:szCs w:val="16"/>
                        </w:rPr>
                      </w:pPr>
                      <w:r>
                        <w:rPr>
                          <w:rFonts w:ascii="Times New Roman"/>
                          <w:spacing w:val="-2"/>
                          <w:w w:val="95"/>
                          <w:sz w:val="16"/>
                        </w:rPr>
                        <w:t>(%)</w:t>
                      </w:r>
                      <w:r>
                        <w:rPr>
                          <w:rFonts w:ascii="Times New Roman"/>
                          <w:sz w:val="16"/>
                        </w:rPr>
                      </w:r>
                    </w:p>
                  </w:txbxContent>
                </v:textbox>
                <w10:wrap type="none"/>
              </v:shape>
              <v:shape style="position:absolute;left:6964;top:121;width:1119;height:586" type="#_x0000_t202" filled="false" stroked="false">
                <v:textbox inset="0,0,0,0">
                  <w:txbxContent>
                    <w:p>
                      <w:pPr>
                        <w:spacing w:line="159" w:lineRule="exact" w:before="0"/>
                        <w:ind w:left="-1" w:right="0" w:firstLine="0"/>
                        <w:jc w:val="center"/>
                        <w:rPr>
                          <w:rFonts w:ascii="宋体" w:hAnsi="宋体" w:cs="宋体" w:eastAsia="宋体" w:hint="default"/>
                          <w:sz w:val="16"/>
                          <w:szCs w:val="16"/>
                        </w:rPr>
                      </w:pPr>
                      <w:r>
                        <w:rPr>
                          <w:rFonts w:ascii="宋体" w:hAnsi="宋体" w:cs="宋体" w:eastAsia="宋体" w:hint="default"/>
                          <w:w w:val="95"/>
                          <w:sz w:val="16"/>
                          <w:szCs w:val="16"/>
                        </w:rPr>
                        <w:t>母公司对本公司</w:t>
                      </w:r>
                      <w:r>
                        <w:rPr>
                          <w:rFonts w:ascii="宋体" w:hAnsi="宋体" w:cs="宋体" w:eastAsia="宋体" w:hint="default"/>
                          <w:sz w:val="16"/>
                          <w:szCs w:val="16"/>
                        </w:rPr>
                      </w:r>
                    </w:p>
                    <w:p>
                      <w:pPr>
                        <w:spacing w:line="208" w:lineRule="exact" w:before="0"/>
                        <w:ind w:left="0" w:right="1" w:firstLine="0"/>
                        <w:jc w:val="center"/>
                        <w:rPr>
                          <w:rFonts w:ascii="宋体" w:hAnsi="宋体" w:cs="宋体" w:eastAsia="宋体" w:hint="default"/>
                          <w:sz w:val="16"/>
                          <w:szCs w:val="16"/>
                        </w:rPr>
                      </w:pPr>
                      <w:r>
                        <w:rPr>
                          <w:rFonts w:ascii="宋体" w:hAnsi="宋体" w:cs="宋体" w:eastAsia="宋体" w:hint="default"/>
                          <w:sz w:val="16"/>
                          <w:szCs w:val="16"/>
                        </w:rPr>
                        <w:t>的表决权比例</w:t>
                      </w:r>
                    </w:p>
                    <w:p>
                      <w:pPr>
                        <w:spacing w:line="181" w:lineRule="exact" w:before="38"/>
                        <w:ind w:left="0" w:right="0" w:firstLine="0"/>
                        <w:jc w:val="center"/>
                        <w:rPr>
                          <w:rFonts w:ascii="Times New Roman" w:hAnsi="Times New Roman" w:cs="Times New Roman" w:eastAsia="Times New Roman" w:hint="default"/>
                          <w:sz w:val="16"/>
                          <w:szCs w:val="16"/>
                        </w:rPr>
                      </w:pPr>
                      <w:r>
                        <w:rPr>
                          <w:rFonts w:ascii="Times New Roman"/>
                          <w:sz w:val="16"/>
                        </w:rPr>
                        <w:t>(%)</w:t>
                      </w:r>
                    </w:p>
                  </w:txbxContent>
                </v:textbox>
                <w10:wrap type="none"/>
              </v:shape>
              <v:shape style="position:absolute;left:137;top:986;width:2798;height:160" type="#_x0000_t202" filled="false" stroked="false">
                <v:textbox inset="0,0,0,0">
                  <w:txbxContent>
                    <w:p>
                      <w:pPr>
                        <w:tabs>
                          <w:tab w:pos="2477" w:val="left" w:leader="none"/>
                        </w:tabs>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中国电子信息产业集团有限公司</w:t>
                        <w:tab/>
                      </w:r>
                      <w:r>
                        <w:rPr>
                          <w:rFonts w:ascii="宋体" w:hAnsi="宋体" w:cs="宋体" w:eastAsia="宋体" w:hint="default"/>
                          <w:sz w:val="16"/>
                          <w:szCs w:val="16"/>
                        </w:rPr>
                        <w:t>北京</w:t>
                      </w:r>
                    </w:p>
                  </w:txbxContent>
                </v:textbox>
                <w10:wrap type="none"/>
              </v:shape>
              <v:shape style="position:absolute;left:3275;top:883;width:800;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其他电子设</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备制造</w:t>
                      </w:r>
                    </w:p>
                  </w:txbxContent>
                </v:textbox>
                <w10:wrap type="none"/>
              </v:shape>
              <v:shape style="position:absolute;left:4366;top:1000;width:116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1,848,225.199664</w:t>
                      </w:r>
                      <w:r>
                        <w:rPr>
                          <w:rFonts w:ascii="Times New Roman"/>
                          <w:sz w:val="16"/>
                        </w:rPr>
                      </w:r>
                    </w:p>
                  </w:txbxContent>
                </v:textbox>
                <w10:wrap type="none"/>
              </v:shape>
              <v:shape style="position:absolute;left:6363;top:1000;width:36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z w:val="16"/>
                        </w:rPr>
                        <w:t>40.75</w:t>
                      </w:r>
                    </w:p>
                  </w:txbxContent>
                </v:textbox>
                <w10:wrap type="none"/>
              </v:shape>
              <v:shape style="position:absolute;left:7749;top:1000;width:36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z w:val="16"/>
                        </w:rPr>
                        <w:t>40.75</w:t>
                      </w:r>
                    </w:p>
                  </w:txbxContent>
                </v:textbox>
                <w10:wrap type="none"/>
              </v:shape>
            </v:group>
          </v:group>
        </w:pict>
      </w:r>
      <w:r>
        <w:rPr>
          <w:rFonts w:ascii="宋体" w:hAnsi="宋体" w:cs="宋体" w:eastAsia="宋体" w:hint="default"/>
          <w:position w:val="-26"/>
          <w:sz w:val="20"/>
          <w:szCs w:val="20"/>
        </w:rPr>
      </w:r>
    </w:p>
    <w:p>
      <w:pPr>
        <w:spacing w:line="240" w:lineRule="auto" w:before="9"/>
        <w:rPr>
          <w:rFonts w:ascii="宋体" w:hAnsi="宋体" w:cs="宋体" w:eastAsia="宋体" w:hint="default"/>
          <w:b/>
          <w:bCs/>
          <w:sz w:val="5"/>
          <w:szCs w:val="5"/>
        </w:rPr>
      </w:pPr>
    </w:p>
    <w:p>
      <w:pPr>
        <w:pStyle w:val="BodyText"/>
        <w:spacing w:line="240" w:lineRule="auto" w:before="35"/>
        <w:ind w:left="851" w:right="1793"/>
        <w:jc w:val="left"/>
      </w:pPr>
      <w:r>
        <w:rPr/>
        <w:t>本公司的母公司及最终控制方是：中国电子信息产业集团有限公司</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tabs>
          <w:tab w:pos="851" w:val="left" w:leader="none"/>
        </w:tabs>
        <w:spacing w:line="328" w:lineRule="auto" w:before="0"/>
        <w:ind w:left="851" w:right="3615" w:hanging="714"/>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二</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本公司的子公司情况</w:t>
      </w:r>
      <w:r>
        <w:rPr>
          <w:rFonts w:ascii="宋体" w:hAnsi="宋体" w:cs="宋体" w:eastAsia="宋体" w:hint="default"/>
          <w:b/>
          <w:bCs/>
          <w:spacing w:val="1"/>
          <w:w w:val="99"/>
          <w:sz w:val="21"/>
          <w:szCs w:val="21"/>
        </w:rPr>
        <w:t> </w:t>
      </w:r>
      <w:r>
        <w:rPr>
          <w:rFonts w:ascii="宋体" w:hAnsi="宋体" w:cs="宋体" w:eastAsia="宋体" w:hint="default"/>
          <w:spacing w:val="-4"/>
          <w:sz w:val="21"/>
          <w:szCs w:val="21"/>
        </w:rPr>
        <w:t>本公司子公司的情况详见本附注“七、在其他主体中的权益”。</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pStyle w:val="BodyText"/>
        <w:tabs>
          <w:tab w:pos="851" w:val="left" w:leader="none"/>
        </w:tabs>
        <w:spacing w:line="343" w:lineRule="auto" w:before="0"/>
        <w:ind w:left="851" w:right="1830" w:hanging="714"/>
        <w:jc w:val="left"/>
      </w:pPr>
      <w:r>
        <w:rPr/>
        <w:pict>
          <v:group style="position:absolute;margin-left:119.010002pt;margin-top:75.324211pt;width:411.6pt;height:37.9pt;mso-position-horizontal-relative:page;mso-position-vertical-relative:paragraph;z-index:-1369960" coordorigin="2380,1506" coordsize="8232,758">
            <v:group style="position:absolute;left:2410;top:1521;width:5189;height:2" coordorigin="2410,1521" coordsize="5189,2">
              <v:shape style="position:absolute;left:2410;top:1521;width:5189;height:2" coordorigin="2410,1521" coordsize="5189,0" path="m2410,1521l7598,1521e" filled="false" stroked="true" strokeweight="1.5pt" strokecolor="#000000">
                <v:path arrowok="t"/>
              </v:shape>
            </v:group>
            <v:group style="position:absolute;left:7598;top:1521;width:2999;height:2" coordorigin="7598,1521" coordsize="2999,2">
              <v:shape style="position:absolute;left:7598;top:1521;width:2999;height:2" coordorigin="7598,1521" coordsize="2999,0" path="m7598,1521l10597,1521e" filled="false" stroked="true" strokeweight="1.5pt" strokecolor="#000000">
                <v:path arrowok="t"/>
              </v:shape>
            </v:group>
            <v:group style="position:absolute;left:2395;top:2249;width:5204;height:2" coordorigin="2395,2249" coordsize="5204,2">
              <v:shape style="position:absolute;left:2395;top:2249;width:5204;height:2" coordorigin="2395,2249" coordsize="5204,0" path="m2395,2249l7598,2249e" filled="false" stroked="true" strokeweight="1.5pt" strokecolor="#000000">
                <v:path arrowok="t"/>
              </v:shape>
              <v:shape style="position:absolute;left:2390;top:1536;width:8213;height:697" type="#_x0000_t75" stroked="false">
                <v:imagedata r:id="rId404" o:title=""/>
              </v:shape>
            </v:group>
            <v:group style="position:absolute;left:7598;top:2249;width:2999;height:2" coordorigin="7598,2249" coordsize="2999,2">
              <v:shape style="position:absolute;left:7598;top:2249;width:2999;height:2" coordorigin="7598,2249" coordsize="2999,0" path="m7598,2249l10597,2249e" filled="false" stroked="true" strokeweight="1.5pt" strokecolor="#000000">
                <v:path arrowok="t"/>
              </v:shape>
              <v:shape style="position:absolute;left:4286;top:1629;width:14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合营或联营企业名称</w:t>
                      </w:r>
                      <w:r>
                        <w:rPr>
                          <w:rFonts w:ascii="宋体" w:hAnsi="宋体" w:cs="宋体" w:eastAsia="宋体" w:hint="default"/>
                          <w:sz w:val="16"/>
                          <w:szCs w:val="16"/>
                        </w:rPr>
                      </w:r>
                    </w:p>
                  </w:txbxContent>
                </v:textbox>
                <w10:wrap type="none"/>
              </v:shape>
              <v:shape style="position:absolute;left:8620;top:1629;width:95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与本公司关系</w:t>
                      </w:r>
                      <w:r>
                        <w:rPr>
                          <w:rFonts w:ascii="宋体" w:hAnsi="宋体" w:cs="宋体" w:eastAsia="宋体" w:hint="default"/>
                          <w:sz w:val="16"/>
                          <w:szCs w:val="16"/>
                        </w:rPr>
                      </w:r>
                    </w:p>
                  </w:txbxContent>
                </v:textbox>
                <w10:wrap type="none"/>
              </v:shape>
              <v:shape style="position:absolute;left:2518;top:1981;width:191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桂林长海科技有限责任公司</w:t>
                      </w:r>
                      <w:r>
                        <w:rPr>
                          <w:rFonts w:ascii="宋体" w:hAnsi="宋体" w:cs="宋体" w:eastAsia="宋体" w:hint="default"/>
                          <w:sz w:val="16"/>
                          <w:szCs w:val="16"/>
                        </w:rPr>
                      </w:r>
                    </w:p>
                  </w:txbxContent>
                </v:textbox>
                <w10:wrap type="none"/>
              </v:shape>
              <v:shape style="position:absolute;left:7711;top:1981;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联营企业</w:t>
                      </w:r>
                      <w:r>
                        <w:rPr>
                          <w:rFonts w:ascii="宋体" w:hAnsi="宋体" w:cs="宋体" w:eastAsia="宋体" w:hint="default"/>
                          <w:sz w:val="16"/>
                          <w:szCs w:val="16"/>
                        </w:rPr>
                      </w:r>
                    </w:p>
                  </w:txbxContent>
                </v:textbox>
                <w10:wrap type="none"/>
              </v:shape>
            </v:group>
            <w10:wrap type="none"/>
          </v:group>
        </w:pict>
      </w:r>
      <w:r>
        <w:rPr>
          <w:rFonts w:ascii="Times New Roman" w:hAnsi="Times New Roman" w:cs="Times New Roman" w:eastAsia="Times New Roman" w:hint="default"/>
          <w:b/>
          <w:bCs/>
          <w:w w:val="95"/>
        </w:rPr>
        <w:t>(</w:t>
      </w:r>
      <w:r>
        <w:rPr>
          <w:rFonts w:ascii="宋体" w:hAnsi="宋体" w:cs="宋体" w:eastAsia="宋体" w:hint="default"/>
          <w:b/>
          <w:bCs/>
          <w:w w:val="95"/>
        </w:rPr>
        <w:t>三</w:t>
      </w:r>
      <w:r>
        <w:rPr>
          <w:rFonts w:ascii="Times New Roman" w:hAnsi="Times New Roman" w:cs="Times New Roman" w:eastAsia="Times New Roman" w:hint="default"/>
          <w:b/>
          <w:bCs/>
          <w:w w:val="95"/>
        </w:rPr>
        <w:t>)</w:t>
        <w:tab/>
      </w:r>
      <w:r>
        <w:rPr>
          <w:rFonts w:ascii="宋体" w:hAnsi="宋体" w:cs="宋体" w:eastAsia="宋体" w:hint="default"/>
          <w:b/>
          <w:bCs/>
        </w:rPr>
        <w:t>本公司的合营和联营企业情况</w:t>
      </w:r>
      <w:r>
        <w:rPr>
          <w:rFonts w:ascii="宋体" w:hAnsi="宋体" w:cs="宋体" w:eastAsia="宋体" w:hint="default"/>
          <w:b/>
          <w:bCs/>
          <w:spacing w:val="1"/>
          <w:w w:val="99"/>
        </w:rPr>
        <w:t> </w:t>
      </w:r>
      <w:r>
        <w:rPr>
          <w:spacing w:val="-4"/>
        </w:rPr>
        <w:t>本公司重要的合营或联营企业详见本附注“七、在其他主体中的权益”。</w:t>
      </w:r>
      <w:r>
        <w:rPr/>
        <w:t> 本期与本公司发生关联方交易，或前期与本公司发生关联方交易形成余额的其他合 营或联营企业情况如下：</w:t>
      </w:r>
    </w:p>
    <w:p>
      <w:pPr>
        <w:spacing w:after="0" w:line="343" w:lineRule="auto"/>
        <w:jc w:val="left"/>
        <w:sectPr>
          <w:pgSz w:w="11910" w:h="16840"/>
          <w:pgMar w:header="0" w:footer="1001" w:top="1520" w:bottom="1200" w:left="1660" w:right="0"/>
        </w:sectPr>
      </w:pPr>
    </w:p>
    <w:p>
      <w:pPr>
        <w:spacing w:line="240" w:lineRule="auto" w:before="2"/>
        <w:rPr>
          <w:rFonts w:ascii="宋体" w:hAnsi="宋体" w:cs="宋体" w:eastAsia="宋体" w:hint="default"/>
          <w:sz w:val="9"/>
          <w:szCs w:val="9"/>
        </w:rPr>
      </w:pPr>
    </w:p>
    <w:p>
      <w:pPr>
        <w:spacing w:line="2524" w:lineRule="exact"/>
        <w:ind w:left="720" w:right="0" w:firstLine="0"/>
        <w:rPr>
          <w:rFonts w:ascii="宋体" w:hAnsi="宋体" w:cs="宋体" w:eastAsia="宋体" w:hint="default"/>
          <w:sz w:val="20"/>
          <w:szCs w:val="20"/>
        </w:rPr>
      </w:pPr>
      <w:r>
        <w:rPr>
          <w:rFonts w:ascii="宋体" w:hAnsi="宋体" w:cs="宋体" w:eastAsia="宋体" w:hint="default"/>
          <w:position w:val="-49"/>
          <w:sz w:val="20"/>
          <w:szCs w:val="20"/>
        </w:rPr>
        <w:pict>
          <v:group style="width:412.15pt;height:126.25pt;mso-position-horizontal-relative:char;mso-position-vertical-relative:line" coordorigin="0,0" coordsize="8243,2525">
            <v:group style="position:absolute;left:29;top:15;width:5189;height:2" coordorigin="29,15" coordsize="5189,2">
              <v:shape style="position:absolute;left:29;top:15;width:5189;height:2" coordorigin="29,15" coordsize="5189,0" path="m29,15l5218,15e" filled="false" stroked="true" strokeweight="1.5pt" strokecolor="#000000">
                <v:path arrowok="t"/>
              </v:shape>
            </v:group>
            <v:group style="position:absolute;left:5218;top:15;width:2999;height:2" coordorigin="5218,15" coordsize="2999,2">
              <v:shape style="position:absolute;left:5218;top:15;width:2999;height:2" coordorigin="5218,15" coordsize="2999,0" path="m5218,15l8217,15e" filled="false" stroked="true" strokeweight="1.5pt" strokecolor="#000000">
                <v:path arrowok="t"/>
              </v:shape>
              <v:shape style="position:absolute;left:5218;top:30;width:10;height:344" type="#_x0000_t75" stroked="false">
                <v:imagedata r:id="rId355" o:title=""/>
              </v:shape>
            </v:group>
            <v:group style="position:absolute;left:15;top:2510;width:5204;height:2" coordorigin="15,2510" coordsize="5204,2">
              <v:shape style="position:absolute;left:15;top:2510;width:5204;height:2" coordorigin="15,2510" coordsize="5204,0" path="m15,2510l5218,2510e" filled="false" stroked="true" strokeweight="1.5pt" strokecolor="#000000">
                <v:path arrowok="t"/>
              </v:shape>
              <v:shape style="position:absolute;left:10;top:355;width:8232;height:2140" type="#_x0000_t75" stroked="false">
                <v:imagedata r:id="rId405" o:title=""/>
              </v:shape>
            </v:group>
            <v:group style="position:absolute;left:5218;top:2510;width:2999;height:2" coordorigin="5218,2510" coordsize="2999,2">
              <v:shape style="position:absolute;left:5218;top:2510;width:2999;height:2" coordorigin="5218,2510" coordsize="2999,0" path="m5218,2510l8217,2510e" filled="false" stroked="true" strokeweight="1.5pt" strokecolor="#000000">
                <v:path arrowok="t"/>
              </v:shape>
              <v:shape style="position:absolute;left:1906;top:122;width:14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合营或联营企业名称</w:t>
                      </w:r>
                      <w:r>
                        <w:rPr>
                          <w:rFonts w:ascii="宋体" w:hAnsi="宋体" w:cs="宋体" w:eastAsia="宋体" w:hint="default"/>
                          <w:sz w:val="16"/>
                          <w:szCs w:val="16"/>
                        </w:rPr>
                      </w:r>
                    </w:p>
                  </w:txbxContent>
                </v:textbox>
                <w10:wrap type="none"/>
              </v:shape>
              <v:shape style="position:absolute;left:6239;top:122;width:95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与本公司关系</w:t>
                      </w:r>
                      <w:r>
                        <w:rPr>
                          <w:rFonts w:ascii="宋体" w:hAnsi="宋体" w:cs="宋体" w:eastAsia="宋体" w:hint="default"/>
                          <w:sz w:val="16"/>
                          <w:szCs w:val="16"/>
                        </w:rPr>
                      </w:r>
                    </w:p>
                  </w:txbxContent>
                </v:textbox>
                <w10:wrap type="none"/>
              </v:shape>
              <v:shape style="position:absolute;left:137;top:475;width:191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湖南长城银河科技有限公司</w:t>
                      </w:r>
                      <w:r>
                        <w:rPr>
                          <w:rFonts w:ascii="宋体" w:hAnsi="宋体" w:cs="宋体" w:eastAsia="宋体" w:hint="default"/>
                          <w:sz w:val="16"/>
                          <w:szCs w:val="16"/>
                        </w:rPr>
                      </w:r>
                    </w:p>
                  </w:txbxContent>
                </v:textbox>
                <w10:wrap type="none"/>
              </v:shape>
              <v:shape style="position:absolute;left:5331;top:475;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联营企业</w:t>
                      </w:r>
                      <w:r>
                        <w:rPr>
                          <w:rFonts w:ascii="宋体" w:hAnsi="宋体" w:cs="宋体" w:eastAsia="宋体" w:hint="default"/>
                          <w:sz w:val="16"/>
                          <w:szCs w:val="16"/>
                        </w:rPr>
                      </w:r>
                    </w:p>
                  </w:txbxContent>
                </v:textbox>
                <w10:wrap type="none"/>
              </v:shape>
              <v:shape style="position:absolute;left:137;top:829;width:191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深圳中电蓝海控股有限公司</w:t>
                      </w:r>
                      <w:r>
                        <w:rPr>
                          <w:rFonts w:ascii="宋体" w:hAnsi="宋体" w:cs="宋体" w:eastAsia="宋体" w:hint="default"/>
                          <w:sz w:val="16"/>
                          <w:szCs w:val="16"/>
                        </w:rPr>
                      </w:r>
                    </w:p>
                  </w:txbxContent>
                </v:textbox>
                <w10:wrap type="none"/>
              </v:shape>
              <v:shape style="position:absolute;left:5331;top:829;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联营企业</w:t>
                      </w:r>
                      <w:r>
                        <w:rPr>
                          <w:rFonts w:ascii="宋体" w:hAnsi="宋体" w:cs="宋体" w:eastAsia="宋体" w:hint="default"/>
                          <w:sz w:val="16"/>
                          <w:szCs w:val="16"/>
                        </w:rPr>
                      </w:r>
                    </w:p>
                  </w:txbxContent>
                </v:textbox>
                <w10:wrap type="none"/>
              </v:shape>
              <v:shape style="position:absolute;left:137;top:1183;width:191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武汉长江融达电子有限公司</w:t>
                      </w:r>
                      <w:r>
                        <w:rPr>
                          <w:rFonts w:ascii="宋体" w:hAnsi="宋体" w:cs="宋体" w:eastAsia="宋体" w:hint="default"/>
                          <w:sz w:val="16"/>
                          <w:szCs w:val="16"/>
                        </w:rPr>
                      </w:r>
                    </w:p>
                  </w:txbxContent>
                </v:textbox>
                <w10:wrap type="none"/>
              </v:shape>
              <v:shape style="position:absolute;left:5331;top:1183;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联营企业</w:t>
                      </w:r>
                      <w:r>
                        <w:rPr>
                          <w:rFonts w:ascii="宋体" w:hAnsi="宋体" w:cs="宋体" w:eastAsia="宋体" w:hint="default"/>
                          <w:sz w:val="16"/>
                          <w:szCs w:val="16"/>
                        </w:rPr>
                      </w:r>
                    </w:p>
                  </w:txbxContent>
                </v:textbox>
                <w10:wrap type="none"/>
              </v:shape>
              <v:shape style="position:absolute;left:137;top:1536;width:2238;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长城超云（北京）科技有限公司</w:t>
                      </w:r>
                      <w:r>
                        <w:rPr>
                          <w:rFonts w:ascii="宋体" w:hAnsi="宋体" w:cs="宋体" w:eastAsia="宋体" w:hint="default"/>
                          <w:sz w:val="16"/>
                          <w:szCs w:val="16"/>
                        </w:rPr>
                      </w:r>
                    </w:p>
                  </w:txbxContent>
                </v:textbox>
                <w10:wrap type="none"/>
              </v:shape>
              <v:shape style="position:absolute;left:5331;top:1536;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联营企业</w:t>
                      </w:r>
                      <w:r>
                        <w:rPr>
                          <w:rFonts w:ascii="宋体" w:hAnsi="宋体" w:cs="宋体" w:eastAsia="宋体" w:hint="default"/>
                          <w:sz w:val="16"/>
                          <w:szCs w:val="16"/>
                        </w:rPr>
                      </w:r>
                    </w:p>
                  </w:txbxContent>
                </v:textbox>
                <w10:wrap type="none"/>
              </v:shape>
              <v:shape style="position:absolute;left:137;top:1890;width:2238;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长信数码信息文化发展有限公司</w:t>
                      </w:r>
                      <w:r>
                        <w:rPr>
                          <w:rFonts w:ascii="宋体" w:hAnsi="宋体" w:cs="宋体" w:eastAsia="宋体" w:hint="default"/>
                          <w:sz w:val="16"/>
                          <w:szCs w:val="16"/>
                        </w:rPr>
                      </w:r>
                    </w:p>
                  </w:txbxContent>
                </v:textbox>
                <w10:wrap type="none"/>
              </v:shape>
              <v:shape style="position:absolute;left:5331;top:1890;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联营企业</w:t>
                      </w:r>
                      <w:r>
                        <w:rPr>
                          <w:rFonts w:ascii="宋体" w:hAnsi="宋体" w:cs="宋体" w:eastAsia="宋体" w:hint="default"/>
                          <w:sz w:val="16"/>
                          <w:szCs w:val="16"/>
                        </w:rPr>
                      </w:r>
                    </w:p>
                  </w:txbxContent>
                </v:textbox>
                <w10:wrap type="none"/>
              </v:shape>
              <v:shape style="position:absolute;left:137;top:2242;width:2238;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中科长城海洋信息系统有限公司</w:t>
                      </w:r>
                      <w:r>
                        <w:rPr>
                          <w:rFonts w:ascii="宋体" w:hAnsi="宋体" w:cs="宋体" w:eastAsia="宋体" w:hint="default"/>
                          <w:sz w:val="16"/>
                          <w:szCs w:val="16"/>
                        </w:rPr>
                      </w:r>
                    </w:p>
                  </w:txbxContent>
                </v:textbox>
                <w10:wrap type="none"/>
              </v:shape>
              <v:shape style="position:absolute;left:5331;top:2242;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联营企业</w:t>
                      </w:r>
                      <w:r>
                        <w:rPr>
                          <w:rFonts w:ascii="宋体" w:hAnsi="宋体" w:cs="宋体" w:eastAsia="宋体" w:hint="default"/>
                          <w:sz w:val="16"/>
                          <w:szCs w:val="16"/>
                        </w:rPr>
                      </w:r>
                    </w:p>
                  </w:txbxContent>
                </v:textbox>
                <w10:wrap type="none"/>
              </v:shape>
            </v:group>
          </v:group>
        </w:pict>
      </w:r>
      <w:r>
        <w:rPr>
          <w:rFonts w:ascii="宋体" w:hAnsi="宋体" w:cs="宋体" w:eastAsia="宋体" w:hint="default"/>
          <w:position w:val="-49"/>
          <w:sz w:val="20"/>
          <w:szCs w:val="20"/>
        </w:rPr>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spacing w:after="0" w:line="240" w:lineRule="auto"/>
        <w:rPr>
          <w:rFonts w:ascii="宋体" w:hAnsi="宋体" w:cs="宋体" w:eastAsia="宋体" w:hint="default"/>
          <w:sz w:val="15"/>
          <w:szCs w:val="15"/>
        </w:rPr>
        <w:sectPr>
          <w:pgSz w:w="11910" w:h="16840"/>
          <w:pgMar w:header="0" w:footer="1001" w:top="1520" w:bottom="1200" w:left="1660" w:right="0"/>
        </w:sectPr>
      </w:pPr>
    </w:p>
    <w:p>
      <w:pPr>
        <w:pStyle w:val="Heading5"/>
        <w:tabs>
          <w:tab w:pos="851" w:val="left" w:leader="none"/>
        </w:tabs>
        <w:spacing w:line="240" w:lineRule="auto"/>
        <w:ind w:right="0"/>
        <w:jc w:val="left"/>
        <w:rPr>
          <w:b w:val="0"/>
          <w:bCs w:val="0"/>
        </w:rPr>
      </w:pPr>
      <w:r>
        <w:rPr>
          <w:rFonts w:ascii="Times New Roman" w:hAnsi="Times New Roman" w:cs="Times New Roman" w:eastAsia="Times New Roman" w:hint="default"/>
          <w:w w:val="95"/>
        </w:rPr>
        <w:t>(</w:t>
      </w:r>
      <w:r>
        <w:rPr>
          <w:w w:val="95"/>
        </w:rPr>
        <w:t>四</w:t>
      </w:r>
      <w:r>
        <w:rPr>
          <w:rFonts w:ascii="Times New Roman" w:hAnsi="Times New Roman" w:cs="Times New Roman" w:eastAsia="Times New Roman" w:hint="default"/>
          <w:w w:val="95"/>
        </w:rPr>
        <w:t>)</w:t>
        <w:tab/>
      </w:r>
      <w:r>
        <w:rPr>
          <w:w w:val="95"/>
        </w:rPr>
        <w:t>其他关联方情况</w:t>
      </w:r>
      <w:r>
        <w:rPr>
          <w:b w:val="0"/>
          <w:bCs w:val="0"/>
        </w:rPr>
      </w:r>
    </w:p>
    <w:p>
      <w:pPr>
        <w:spacing w:line="240" w:lineRule="auto" w:before="0"/>
        <w:rPr>
          <w:rFonts w:ascii="宋体" w:hAnsi="宋体" w:cs="宋体" w:eastAsia="宋体" w:hint="default"/>
          <w:b/>
          <w:bCs/>
          <w:sz w:val="16"/>
          <w:szCs w:val="16"/>
        </w:rPr>
      </w:pPr>
      <w:r>
        <w:rPr/>
        <w:br w:type="column"/>
      </w:r>
      <w:r>
        <w:rPr>
          <w:rFonts w:ascii="宋体"/>
          <w:b/>
          <w:sz w:val="16"/>
        </w:rPr>
      </w:r>
    </w:p>
    <w:p>
      <w:pPr>
        <w:spacing w:line="240" w:lineRule="auto" w:before="7"/>
        <w:rPr>
          <w:rFonts w:ascii="宋体" w:hAnsi="宋体" w:cs="宋体" w:eastAsia="宋体" w:hint="default"/>
          <w:b/>
          <w:bCs/>
          <w:sz w:val="15"/>
          <w:szCs w:val="15"/>
        </w:rPr>
      </w:pPr>
    </w:p>
    <w:p>
      <w:pPr>
        <w:tabs>
          <w:tab w:pos="3814" w:val="left" w:leader="none"/>
        </w:tabs>
        <w:spacing w:before="0"/>
        <w:ind w:left="120" w:right="0" w:firstLine="0"/>
        <w:jc w:val="left"/>
        <w:rPr>
          <w:rFonts w:ascii="宋体" w:hAnsi="宋体" w:cs="宋体" w:eastAsia="宋体" w:hint="default"/>
          <w:sz w:val="16"/>
          <w:szCs w:val="16"/>
        </w:rPr>
      </w:pPr>
      <w:r>
        <w:rPr/>
        <w:pict>
          <v:group style="position:absolute;margin-left:119.010002pt;margin-top:-3.555962pt;width:411.65pt;height:515.0500pt;mso-position-horizontal-relative:page;mso-position-vertical-relative:paragraph;z-index:-1369576" coordorigin="2380,-71" coordsize="8233,10301">
            <v:group style="position:absolute;left:2410;top:-56;width:4590;height:2" coordorigin="2410,-56" coordsize="4590,2">
              <v:shape style="position:absolute;left:2410;top:-56;width:4590;height:2" coordorigin="2410,-56" coordsize="4590,0" path="m2410,-56l7000,-56e" filled="false" stroked="true" strokeweight="1.5pt" strokecolor="#000000">
                <v:path arrowok="t"/>
              </v:shape>
            </v:group>
            <v:group style="position:absolute;left:7000;top:-56;width:3598;height:2" coordorigin="7000,-56" coordsize="3598,2">
              <v:shape style="position:absolute;left:7000;top:-56;width:3598;height:2" coordorigin="7000,-56" coordsize="3598,0" path="m7000,-56l10597,-56e" filled="false" stroked="true" strokeweight="1.5pt" strokecolor="#000000">
                <v:path arrowok="t"/>
              </v:shape>
              <v:shape style="position:absolute;left:7000;top:-41;width:10;height:343" type="#_x0000_t75" stroked="false">
                <v:imagedata r:id="rId406" o:title=""/>
              </v:shape>
            </v:group>
            <v:group style="position:absolute;left:2395;top:10215;width:4605;height:2" coordorigin="2395,10215" coordsize="4605,2">
              <v:shape style="position:absolute;left:2395;top:10215;width:4605;height:2" coordorigin="2395,10215" coordsize="4605,0" path="m2395,10215l7000,10215e" filled="false" stroked="true" strokeweight="1.5pt" strokecolor="#000000">
                <v:path arrowok="t"/>
              </v:shape>
              <v:shape style="position:absolute;left:2397;top:289;width:8216;height:9910" type="#_x0000_t75" stroked="false">
                <v:imagedata r:id="rId407" o:title=""/>
              </v:shape>
            </v:group>
            <v:group style="position:absolute;left:7000;top:10215;width:3598;height:2" coordorigin="7000,10215" coordsize="3598,2">
              <v:shape style="position:absolute;left:7000;top:10215;width:3598;height:2" coordorigin="7000,10215" coordsize="3598,0" path="m7000,10215l10597,10215e" filled="false" stroked="true" strokeweight="1.5pt" strokecolor="#000000">
                <v:path arrowok="t"/>
              </v:shape>
            </v:group>
            <w10:wrap type="none"/>
          </v:group>
        </w:pict>
      </w:r>
      <w:r>
        <w:rPr>
          <w:rFonts w:ascii="宋体" w:hAnsi="宋体" w:cs="宋体" w:eastAsia="宋体" w:hint="default"/>
          <w:w w:val="95"/>
          <w:sz w:val="16"/>
          <w:szCs w:val="16"/>
        </w:rPr>
        <w:t>其他关联方名称</w:t>
        <w:tab/>
      </w:r>
      <w:r>
        <w:rPr>
          <w:rFonts w:ascii="宋体" w:hAnsi="宋体" w:cs="宋体" w:eastAsia="宋体" w:hint="default"/>
          <w:sz w:val="16"/>
          <w:szCs w:val="16"/>
        </w:rPr>
        <w:t>其他关联方与本公司的关系</w:t>
      </w:r>
    </w:p>
    <w:p>
      <w:pPr>
        <w:spacing w:after="0"/>
        <w:jc w:val="left"/>
        <w:rPr>
          <w:rFonts w:ascii="宋体" w:hAnsi="宋体" w:cs="宋体" w:eastAsia="宋体" w:hint="default"/>
          <w:sz w:val="16"/>
          <w:szCs w:val="16"/>
        </w:rPr>
        <w:sectPr>
          <w:type w:val="continuous"/>
          <w:pgSz w:w="11910" w:h="16840"/>
          <w:pgMar w:top="1100" w:bottom="700" w:left="1660" w:right="0"/>
          <w:cols w:num="2" w:equalWidth="0">
            <w:col w:w="2327" w:space="40"/>
            <w:col w:w="7883"/>
          </w:cols>
        </w:sectPr>
      </w:pPr>
    </w:p>
    <w:p>
      <w:pPr>
        <w:spacing w:line="240" w:lineRule="auto" w:before="1"/>
        <w:rPr>
          <w:rFonts w:ascii="宋体" w:hAnsi="宋体" w:cs="宋体" w:eastAsia="宋体" w:hint="default"/>
          <w:sz w:val="11"/>
          <w:szCs w:val="11"/>
        </w:rPr>
      </w:pPr>
    </w:p>
    <w:p>
      <w:pPr>
        <w:tabs>
          <w:tab w:pos="5452" w:val="left" w:leader="none"/>
        </w:tabs>
        <w:spacing w:before="0"/>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北京长荣发科技发展有限公司</w:t>
        <w:tab/>
      </w:r>
      <w:r>
        <w:rPr>
          <w:rFonts w:ascii="宋体" w:hAnsi="宋体" w:cs="宋体" w:eastAsia="宋体" w:hint="default"/>
          <w:sz w:val="16"/>
          <w:szCs w:val="16"/>
        </w:rPr>
        <w:t>受同一最终控制方控制</w:t>
      </w:r>
    </w:p>
    <w:p>
      <w:pPr>
        <w:tabs>
          <w:tab w:pos="5452" w:val="left" w:leader="none"/>
        </w:tabs>
        <w:spacing w:before="143"/>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北京中电华大电子设计有限责任公司</w:t>
        <w:tab/>
      </w:r>
      <w:r>
        <w:rPr>
          <w:rFonts w:ascii="宋体" w:hAnsi="宋体" w:cs="宋体" w:eastAsia="宋体" w:hint="default"/>
          <w:sz w:val="16"/>
          <w:szCs w:val="16"/>
        </w:rPr>
        <w:t>受同一最终控制方控制</w:t>
      </w:r>
    </w:p>
    <w:p>
      <w:pPr>
        <w:spacing w:line="240" w:lineRule="auto" w:before="1"/>
        <w:rPr>
          <w:rFonts w:ascii="宋体" w:hAnsi="宋体" w:cs="宋体" w:eastAsia="宋体" w:hint="default"/>
          <w:sz w:val="11"/>
          <w:szCs w:val="11"/>
        </w:rPr>
      </w:pPr>
    </w:p>
    <w:p>
      <w:pPr>
        <w:tabs>
          <w:tab w:pos="5452" w:val="left" w:leader="none"/>
        </w:tabs>
        <w:spacing w:before="0"/>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北京中电瑞达物业有限公司</w:t>
        <w:tab/>
      </w:r>
      <w:r>
        <w:rPr>
          <w:rFonts w:ascii="宋体" w:hAnsi="宋体" w:cs="宋体" w:eastAsia="宋体" w:hint="default"/>
          <w:sz w:val="16"/>
          <w:szCs w:val="16"/>
        </w:rPr>
        <w:t>受同一最终控制方控制</w:t>
      </w:r>
    </w:p>
    <w:p>
      <w:pPr>
        <w:spacing w:line="240" w:lineRule="auto" w:before="1"/>
        <w:rPr>
          <w:rFonts w:ascii="宋体" w:hAnsi="宋体" w:cs="宋体" w:eastAsia="宋体" w:hint="default"/>
          <w:sz w:val="11"/>
          <w:szCs w:val="11"/>
        </w:rPr>
      </w:pPr>
    </w:p>
    <w:p>
      <w:pPr>
        <w:tabs>
          <w:tab w:pos="5452" w:val="left" w:leader="none"/>
        </w:tabs>
        <w:spacing w:before="0"/>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北京中软万维网络技术有限公司</w:t>
        <w:tab/>
      </w:r>
      <w:r>
        <w:rPr>
          <w:rFonts w:ascii="宋体" w:hAnsi="宋体" w:cs="宋体" w:eastAsia="宋体" w:hint="default"/>
          <w:sz w:val="16"/>
          <w:szCs w:val="16"/>
        </w:rPr>
        <w:t>受同一最终控制方控制</w:t>
      </w:r>
    </w:p>
    <w:p>
      <w:pPr>
        <w:tabs>
          <w:tab w:pos="5452" w:val="left" w:leader="none"/>
        </w:tabs>
        <w:spacing w:before="143"/>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成都锦江电子系统工程有限公司</w:t>
        <w:tab/>
      </w:r>
      <w:r>
        <w:rPr>
          <w:rFonts w:ascii="宋体" w:hAnsi="宋体" w:cs="宋体" w:eastAsia="宋体" w:hint="default"/>
          <w:sz w:val="16"/>
          <w:szCs w:val="16"/>
        </w:rPr>
        <w:t>受同一最终控制方控制</w:t>
      </w:r>
    </w:p>
    <w:p>
      <w:pPr>
        <w:spacing w:line="240" w:lineRule="auto" w:before="1"/>
        <w:rPr>
          <w:rFonts w:ascii="宋体" w:hAnsi="宋体" w:cs="宋体" w:eastAsia="宋体" w:hint="default"/>
          <w:sz w:val="11"/>
          <w:szCs w:val="11"/>
        </w:rPr>
      </w:pPr>
    </w:p>
    <w:p>
      <w:pPr>
        <w:tabs>
          <w:tab w:pos="5452" w:val="left" w:leader="none"/>
        </w:tabs>
        <w:spacing w:before="0"/>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东莞市振华新能源科技有限公司</w:t>
        <w:tab/>
      </w:r>
      <w:r>
        <w:rPr>
          <w:rFonts w:ascii="宋体" w:hAnsi="宋体" w:cs="宋体" w:eastAsia="宋体" w:hint="default"/>
          <w:sz w:val="16"/>
          <w:szCs w:val="16"/>
        </w:rPr>
        <w:t>受同一最终控制方控制</w:t>
      </w:r>
    </w:p>
    <w:p>
      <w:pPr>
        <w:tabs>
          <w:tab w:pos="5452" w:val="left" w:leader="none"/>
        </w:tabs>
        <w:spacing w:before="143"/>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福建捷联电子有限公司</w:t>
        <w:tab/>
      </w:r>
      <w:r>
        <w:rPr>
          <w:rFonts w:ascii="宋体" w:hAnsi="宋体" w:cs="宋体" w:eastAsia="宋体" w:hint="default"/>
          <w:sz w:val="16"/>
          <w:szCs w:val="16"/>
        </w:rPr>
        <w:t>受同一最终控制方控制</w:t>
      </w:r>
    </w:p>
    <w:p>
      <w:pPr>
        <w:spacing w:line="240" w:lineRule="auto" w:before="1"/>
        <w:rPr>
          <w:rFonts w:ascii="宋体" w:hAnsi="宋体" w:cs="宋体" w:eastAsia="宋体" w:hint="default"/>
          <w:sz w:val="11"/>
          <w:szCs w:val="11"/>
        </w:rPr>
      </w:pPr>
    </w:p>
    <w:p>
      <w:pPr>
        <w:tabs>
          <w:tab w:pos="5452" w:val="left" w:leader="none"/>
        </w:tabs>
        <w:spacing w:before="0"/>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广东亿安仓供应链科技有限公司</w:t>
        <w:tab/>
      </w:r>
      <w:r>
        <w:rPr>
          <w:rFonts w:ascii="宋体" w:hAnsi="宋体" w:cs="宋体" w:eastAsia="宋体" w:hint="default"/>
          <w:sz w:val="16"/>
          <w:szCs w:val="16"/>
        </w:rPr>
        <w:t>受同一最终控制方控制</w:t>
      </w:r>
    </w:p>
    <w:p>
      <w:pPr>
        <w:tabs>
          <w:tab w:pos="5452" w:val="left" w:leader="none"/>
        </w:tabs>
        <w:spacing w:before="143"/>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广州中软信息技术有限公司</w:t>
        <w:tab/>
      </w:r>
      <w:r>
        <w:rPr>
          <w:rFonts w:ascii="宋体" w:hAnsi="宋体" w:cs="宋体" w:eastAsia="宋体" w:hint="default"/>
          <w:sz w:val="16"/>
          <w:szCs w:val="16"/>
        </w:rPr>
        <w:t>受同一最终控制方控制</w:t>
      </w:r>
    </w:p>
    <w:p>
      <w:pPr>
        <w:spacing w:line="240" w:lineRule="auto" w:before="1"/>
        <w:rPr>
          <w:rFonts w:ascii="宋体" w:hAnsi="宋体" w:cs="宋体" w:eastAsia="宋体" w:hint="default"/>
          <w:sz w:val="11"/>
          <w:szCs w:val="11"/>
        </w:rPr>
      </w:pPr>
    </w:p>
    <w:p>
      <w:pPr>
        <w:tabs>
          <w:tab w:pos="5452" w:val="left" w:leader="none"/>
        </w:tabs>
        <w:spacing w:before="0"/>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贵州振华红云电子有限公司</w:t>
        <w:tab/>
      </w:r>
      <w:r>
        <w:rPr>
          <w:rFonts w:ascii="宋体" w:hAnsi="宋体" w:cs="宋体" w:eastAsia="宋体" w:hint="default"/>
          <w:sz w:val="16"/>
          <w:szCs w:val="16"/>
        </w:rPr>
        <w:t>受同一最终控制方控制</w:t>
      </w:r>
    </w:p>
    <w:p>
      <w:pPr>
        <w:spacing w:line="240" w:lineRule="auto" w:before="1"/>
        <w:rPr>
          <w:rFonts w:ascii="宋体" w:hAnsi="宋体" w:cs="宋体" w:eastAsia="宋体" w:hint="default"/>
          <w:sz w:val="11"/>
          <w:szCs w:val="11"/>
        </w:rPr>
      </w:pPr>
    </w:p>
    <w:p>
      <w:pPr>
        <w:tabs>
          <w:tab w:pos="5452" w:val="left" w:leader="none"/>
        </w:tabs>
        <w:spacing w:before="0"/>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贵州振华华联电子有限公司</w:t>
        <w:tab/>
      </w:r>
      <w:r>
        <w:rPr>
          <w:rFonts w:ascii="宋体" w:hAnsi="宋体" w:cs="宋体" w:eastAsia="宋体" w:hint="default"/>
          <w:sz w:val="16"/>
          <w:szCs w:val="16"/>
        </w:rPr>
        <w:t>受同一最终控制方控制</w:t>
      </w:r>
    </w:p>
    <w:p>
      <w:pPr>
        <w:tabs>
          <w:tab w:pos="5452" w:val="left" w:leader="none"/>
        </w:tabs>
        <w:spacing w:before="143"/>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贵州振华群英电器有限公司</w:t>
        <w:tab/>
      </w:r>
      <w:r>
        <w:rPr>
          <w:rFonts w:ascii="宋体" w:hAnsi="宋体" w:cs="宋体" w:eastAsia="宋体" w:hint="default"/>
          <w:sz w:val="16"/>
          <w:szCs w:val="16"/>
        </w:rPr>
        <w:t>受同一最终控制方控制</w:t>
      </w:r>
    </w:p>
    <w:p>
      <w:pPr>
        <w:spacing w:line="240" w:lineRule="auto" w:before="1"/>
        <w:rPr>
          <w:rFonts w:ascii="宋体" w:hAnsi="宋体" w:cs="宋体" w:eastAsia="宋体" w:hint="default"/>
          <w:sz w:val="11"/>
          <w:szCs w:val="11"/>
        </w:rPr>
      </w:pPr>
    </w:p>
    <w:p>
      <w:pPr>
        <w:tabs>
          <w:tab w:pos="5452" w:val="left" w:leader="none"/>
        </w:tabs>
        <w:spacing w:before="0"/>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桂林长海发展有限责任公司</w:t>
        <w:tab/>
      </w:r>
      <w:r>
        <w:rPr>
          <w:rFonts w:ascii="宋体" w:hAnsi="宋体" w:cs="宋体" w:eastAsia="宋体" w:hint="default"/>
          <w:sz w:val="16"/>
          <w:szCs w:val="16"/>
        </w:rPr>
        <w:t>受同一最终控制方控制</w:t>
      </w:r>
    </w:p>
    <w:p>
      <w:pPr>
        <w:tabs>
          <w:tab w:pos="5452" w:val="left" w:leader="none"/>
        </w:tabs>
        <w:spacing w:before="143"/>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湖南计算机厂有限公司</w:t>
        <w:tab/>
      </w:r>
      <w:r>
        <w:rPr>
          <w:rFonts w:ascii="宋体" w:hAnsi="宋体" w:cs="宋体" w:eastAsia="宋体" w:hint="default"/>
          <w:sz w:val="16"/>
          <w:szCs w:val="16"/>
        </w:rPr>
        <w:t>受同一最终控制方控制</w:t>
      </w:r>
    </w:p>
    <w:p>
      <w:pPr>
        <w:spacing w:line="240" w:lineRule="auto" w:before="1"/>
        <w:rPr>
          <w:rFonts w:ascii="宋体" w:hAnsi="宋体" w:cs="宋体" w:eastAsia="宋体" w:hint="default"/>
          <w:sz w:val="11"/>
          <w:szCs w:val="11"/>
        </w:rPr>
      </w:pPr>
    </w:p>
    <w:p>
      <w:pPr>
        <w:tabs>
          <w:tab w:pos="5452" w:val="left" w:leader="none"/>
        </w:tabs>
        <w:spacing w:before="0"/>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惠州长城开发科技有限公司</w:t>
        <w:tab/>
      </w:r>
      <w:r>
        <w:rPr>
          <w:rFonts w:ascii="宋体" w:hAnsi="宋体" w:cs="宋体" w:eastAsia="宋体" w:hint="default"/>
          <w:sz w:val="16"/>
          <w:szCs w:val="16"/>
        </w:rPr>
        <w:t>受同一最终控制方控制</w:t>
      </w:r>
    </w:p>
    <w:p>
      <w:pPr>
        <w:spacing w:line="240" w:lineRule="auto" w:before="1"/>
        <w:rPr>
          <w:rFonts w:ascii="宋体" w:hAnsi="宋体" w:cs="宋体" w:eastAsia="宋体" w:hint="default"/>
          <w:sz w:val="11"/>
          <w:szCs w:val="11"/>
        </w:rPr>
      </w:pPr>
    </w:p>
    <w:p>
      <w:pPr>
        <w:tabs>
          <w:tab w:pos="5452" w:val="left" w:leader="none"/>
        </w:tabs>
        <w:spacing w:before="0"/>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建通工程建设监理有限公司</w:t>
        <w:tab/>
      </w:r>
      <w:r>
        <w:rPr>
          <w:rFonts w:ascii="宋体" w:hAnsi="宋体" w:cs="宋体" w:eastAsia="宋体" w:hint="default"/>
          <w:sz w:val="16"/>
          <w:szCs w:val="16"/>
        </w:rPr>
        <w:t>受同一最终控制方控制</w:t>
      </w:r>
    </w:p>
    <w:p>
      <w:pPr>
        <w:tabs>
          <w:tab w:pos="5452" w:val="left" w:leader="none"/>
        </w:tabs>
        <w:spacing w:before="143"/>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迈普通信技术股份有限公司</w:t>
        <w:tab/>
      </w:r>
      <w:r>
        <w:rPr>
          <w:rFonts w:ascii="宋体" w:hAnsi="宋体" w:cs="宋体" w:eastAsia="宋体" w:hint="default"/>
          <w:sz w:val="16"/>
          <w:szCs w:val="16"/>
        </w:rPr>
        <w:t>受同一最终控制方控制</w:t>
      </w:r>
    </w:p>
    <w:p>
      <w:pPr>
        <w:spacing w:line="240" w:lineRule="auto" w:before="1"/>
        <w:rPr>
          <w:rFonts w:ascii="宋体" w:hAnsi="宋体" w:cs="宋体" w:eastAsia="宋体" w:hint="default"/>
          <w:sz w:val="11"/>
          <w:szCs w:val="11"/>
        </w:rPr>
      </w:pPr>
    </w:p>
    <w:p>
      <w:pPr>
        <w:tabs>
          <w:tab w:pos="5452" w:val="left" w:leader="none"/>
        </w:tabs>
        <w:spacing w:before="0"/>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南京熊猫汉达科技有限公司</w:t>
        <w:tab/>
      </w:r>
      <w:r>
        <w:rPr>
          <w:rFonts w:ascii="宋体" w:hAnsi="宋体" w:cs="宋体" w:eastAsia="宋体" w:hint="default"/>
          <w:sz w:val="16"/>
          <w:szCs w:val="16"/>
        </w:rPr>
        <w:t>受同一最终控制方控制</w:t>
      </w:r>
    </w:p>
    <w:p>
      <w:pPr>
        <w:tabs>
          <w:tab w:pos="5452" w:val="left" w:leader="none"/>
        </w:tabs>
        <w:spacing w:before="143"/>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南京中电熊猫家电有限公司</w:t>
        <w:tab/>
      </w:r>
      <w:r>
        <w:rPr>
          <w:rFonts w:ascii="宋体" w:hAnsi="宋体" w:cs="宋体" w:eastAsia="宋体" w:hint="default"/>
          <w:sz w:val="16"/>
          <w:szCs w:val="16"/>
        </w:rPr>
        <w:t>受同一最终控制方控制</w:t>
      </w:r>
    </w:p>
    <w:p>
      <w:pPr>
        <w:spacing w:line="240" w:lineRule="auto" w:before="1"/>
        <w:rPr>
          <w:rFonts w:ascii="宋体" w:hAnsi="宋体" w:cs="宋体" w:eastAsia="宋体" w:hint="default"/>
          <w:sz w:val="11"/>
          <w:szCs w:val="11"/>
        </w:rPr>
      </w:pPr>
    </w:p>
    <w:p>
      <w:pPr>
        <w:tabs>
          <w:tab w:pos="5452" w:val="left" w:leader="none"/>
        </w:tabs>
        <w:spacing w:before="0"/>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南京中电熊猫平板显示科技有限公司</w:t>
        <w:tab/>
      </w:r>
      <w:r>
        <w:rPr>
          <w:rFonts w:ascii="宋体" w:hAnsi="宋体" w:cs="宋体" w:eastAsia="宋体" w:hint="default"/>
          <w:sz w:val="16"/>
          <w:szCs w:val="16"/>
        </w:rPr>
        <w:t>受同一最终控制方控制</w:t>
      </w:r>
    </w:p>
    <w:p>
      <w:pPr>
        <w:tabs>
          <w:tab w:pos="5452" w:val="left" w:leader="none"/>
        </w:tabs>
        <w:spacing w:before="143"/>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南京中电熊猫液晶显示科技有限公司</w:t>
        <w:tab/>
      </w:r>
      <w:r>
        <w:rPr>
          <w:rFonts w:ascii="宋体" w:hAnsi="宋体" w:cs="宋体" w:eastAsia="宋体" w:hint="default"/>
          <w:sz w:val="16"/>
          <w:szCs w:val="16"/>
        </w:rPr>
        <w:t>受同一最终控制方控制</w:t>
      </w:r>
    </w:p>
    <w:p>
      <w:pPr>
        <w:spacing w:line="240" w:lineRule="auto" w:before="1"/>
        <w:rPr>
          <w:rFonts w:ascii="宋体" w:hAnsi="宋体" w:cs="宋体" w:eastAsia="宋体" w:hint="default"/>
          <w:sz w:val="11"/>
          <w:szCs w:val="11"/>
        </w:rPr>
      </w:pPr>
    </w:p>
    <w:p>
      <w:pPr>
        <w:tabs>
          <w:tab w:pos="5452" w:val="left" w:leader="none"/>
        </w:tabs>
        <w:spacing w:before="0"/>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南京中软软件与技术服务有限公司</w:t>
        <w:tab/>
      </w:r>
      <w:r>
        <w:rPr>
          <w:rFonts w:ascii="宋体" w:hAnsi="宋体" w:cs="宋体" w:eastAsia="宋体" w:hint="default"/>
          <w:sz w:val="16"/>
          <w:szCs w:val="16"/>
        </w:rPr>
        <w:t>受同一最终控制方控制</w:t>
      </w:r>
    </w:p>
    <w:p>
      <w:pPr>
        <w:spacing w:line="240" w:lineRule="auto" w:before="1"/>
        <w:rPr>
          <w:rFonts w:ascii="宋体" w:hAnsi="宋体" w:cs="宋体" w:eastAsia="宋体" w:hint="default"/>
          <w:sz w:val="11"/>
          <w:szCs w:val="11"/>
        </w:rPr>
      </w:pPr>
    </w:p>
    <w:p>
      <w:pPr>
        <w:tabs>
          <w:tab w:pos="5452" w:val="left" w:leader="none"/>
        </w:tabs>
        <w:spacing w:before="0"/>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上海贝岭股份有限公司</w:t>
        <w:tab/>
      </w:r>
      <w:r>
        <w:rPr>
          <w:rFonts w:ascii="宋体" w:hAnsi="宋体" w:cs="宋体" w:eastAsia="宋体" w:hint="default"/>
          <w:sz w:val="16"/>
          <w:szCs w:val="16"/>
        </w:rPr>
        <w:t>受同一最终控制方控制</w:t>
      </w:r>
    </w:p>
    <w:p>
      <w:pPr>
        <w:tabs>
          <w:tab w:pos="5452" w:val="left" w:leader="none"/>
        </w:tabs>
        <w:spacing w:before="143"/>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深圳京裕电子有限公司</w:t>
        <w:tab/>
      </w:r>
      <w:r>
        <w:rPr>
          <w:rFonts w:ascii="宋体" w:hAnsi="宋体" w:cs="宋体" w:eastAsia="宋体" w:hint="default"/>
          <w:sz w:val="16"/>
          <w:szCs w:val="16"/>
        </w:rPr>
        <w:t>受同一最终控制方控制</w:t>
      </w:r>
    </w:p>
    <w:p>
      <w:pPr>
        <w:spacing w:line="240" w:lineRule="auto" w:before="1"/>
        <w:rPr>
          <w:rFonts w:ascii="宋体" w:hAnsi="宋体" w:cs="宋体" w:eastAsia="宋体" w:hint="default"/>
          <w:sz w:val="11"/>
          <w:szCs w:val="11"/>
        </w:rPr>
      </w:pPr>
    </w:p>
    <w:p>
      <w:pPr>
        <w:tabs>
          <w:tab w:pos="5452" w:val="left" w:leader="none"/>
        </w:tabs>
        <w:spacing w:before="0"/>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深圳神彩物流有限公司</w:t>
        <w:tab/>
      </w:r>
      <w:r>
        <w:rPr>
          <w:rFonts w:ascii="宋体" w:hAnsi="宋体" w:cs="宋体" w:eastAsia="宋体" w:hint="default"/>
          <w:sz w:val="16"/>
          <w:szCs w:val="16"/>
        </w:rPr>
        <w:t>受同一最终控制方控制</w:t>
      </w:r>
    </w:p>
    <w:p>
      <w:pPr>
        <w:tabs>
          <w:tab w:pos="5452" w:val="left" w:leader="none"/>
        </w:tabs>
        <w:spacing w:before="143"/>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深圳市爱华电子有限公司</w:t>
        <w:tab/>
      </w:r>
      <w:r>
        <w:rPr>
          <w:rFonts w:ascii="宋体" w:hAnsi="宋体" w:cs="宋体" w:eastAsia="宋体" w:hint="default"/>
          <w:sz w:val="16"/>
          <w:szCs w:val="16"/>
        </w:rPr>
        <w:t>受同一最终控制方控制</w:t>
      </w:r>
    </w:p>
    <w:p>
      <w:pPr>
        <w:spacing w:line="240" w:lineRule="auto" w:before="1"/>
        <w:rPr>
          <w:rFonts w:ascii="宋体" w:hAnsi="宋体" w:cs="宋体" w:eastAsia="宋体" w:hint="default"/>
          <w:sz w:val="11"/>
          <w:szCs w:val="11"/>
        </w:rPr>
      </w:pPr>
    </w:p>
    <w:p>
      <w:pPr>
        <w:tabs>
          <w:tab w:pos="5452" w:val="left" w:leader="none"/>
        </w:tabs>
        <w:spacing w:before="0"/>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深圳市振华微电子有限公司</w:t>
        <w:tab/>
      </w:r>
      <w:r>
        <w:rPr>
          <w:rFonts w:ascii="宋体" w:hAnsi="宋体" w:cs="宋体" w:eastAsia="宋体" w:hint="default"/>
          <w:sz w:val="16"/>
          <w:szCs w:val="16"/>
        </w:rPr>
        <w:t>受同一最终控制方控制</w:t>
      </w:r>
    </w:p>
    <w:p>
      <w:pPr>
        <w:tabs>
          <w:tab w:pos="5452" w:val="left" w:leader="none"/>
        </w:tabs>
        <w:spacing w:before="143"/>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深圳长城开发精密技术有限公司</w:t>
        <w:tab/>
      </w:r>
      <w:r>
        <w:rPr>
          <w:rFonts w:ascii="宋体" w:hAnsi="宋体" w:cs="宋体" w:eastAsia="宋体" w:hint="default"/>
          <w:sz w:val="16"/>
          <w:szCs w:val="16"/>
        </w:rPr>
        <w:t>受同一最终控制方控制</w:t>
      </w:r>
    </w:p>
    <w:p>
      <w:pPr>
        <w:spacing w:after="0"/>
        <w:jc w:val="left"/>
        <w:rPr>
          <w:rFonts w:ascii="宋体" w:hAnsi="宋体" w:cs="宋体" w:eastAsia="宋体" w:hint="default"/>
          <w:sz w:val="16"/>
          <w:szCs w:val="16"/>
        </w:rPr>
        <w:sectPr>
          <w:type w:val="continuous"/>
          <w:pgSz w:w="11910" w:h="16840"/>
          <w:pgMar w:top="1100" w:bottom="700" w:left="1660" w:right="0"/>
        </w:sectPr>
      </w:pPr>
    </w:p>
    <w:p>
      <w:pPr>
        <w:spacing w:line="240" w:lineRule="auto" w:before="11"/>
        <w:rPr>
          <w:rFonts w:ascii="宋体" w:hAnsi="宋体" w:cs="宋体" w:eastAsia="宋体" w:hint="default"/>
          <w:sz w:val="10"/>
          <w:szCs w:val="10"/>
        </w:rPr>
      </w:pPr>
      <w:r>
        <w:rPr/>
        <w:pict>
          <v:group style="position:absolute;margin-left:119.010002pt;margin-top:82.919998pt;width:411.65pt;height:674.2pt;mso-position-horizontal-relative:page;mso-position-vertical-relative:page;z-index:-1369552" coordorigin="2380,1658" coordsize="8233,13484">
            <v:group style="position:absolute;left:2410;top:1673;width:4590;height:2" coordorigin="2410,1673" coordsize="4590,2">
              <v:shape style="position:absolute;left:2410;top:1673;width:4590;height:2" coordorigin="2410,1673" coordsize="4590,0" path="m2410,1673l7000,1673e" filled="false" stroked="true" strokeweight="1.5pt" strokecolor="#000000">
                <v:path arrowok="t"/>
              </v:shape>
            </v:group>
            <v:group style="position:absolute;left:7000;top:1673;width:3598;height:2" coordorigin="7000,1673" coordsize="3598,2">
              <v:shape style="position:absolute;left:7000;top:1673;width:3598;height:2" coordorigin="7000,1673" coordsize="3598,0" path="m7000,1673l10597,1673e" filled="false" stroked="true" strokeweight="1.5pt" strokecolor="#000000">
                <v:path arrowok="t"/>
              </v:shape>
              <v:shape style="position:absolute;left:7000;top:1688;width:10;height:344" type="#_x0000_t75" stroked="false">
                <v:imagedata r:id="rId355" o:title=""/>
              </v:shape>
            </v:group>
            <v:group style="position:absolute;left:2395;top:15127;width:4605;height:2" coordorigin="2395,15127" coordsize="4605,2">
              <v:shape style="position:absolute;left:2395;top:15127;width:4605;height:2" coordorigin="2395,15127" coordsize="4605,0" path="m2395,15127l7000,15127e" filled="false" stroked="true" strokeweight="1.5pt" strokecolor="#000000">
                <v:path arrowok="t"/>
              </v:shape>
              <v:shape style="position:absolute;left:2397;top:2020;width:8216;height:13092" type="#_x0000_t75" stroked="false">
                <v:imagedata r:id="rId408" o:title=""/>
              </v:shape>
            </v:group>
            <v:group style="position:absolute;left:7000;top:15127;width:3598;height:2" coordorigin="7000,15127" coordsize="3598,2">
              <v:shape style="position:absolute;left:7000;top:15127;width:3598;height:2" coordorigin="7000,15127" coordsize="3598,0" path="m7000,15127l10597,15127e" filled="false" stroked="true" strokeweight="1.5pt" strokecolor="#000000">
                <v:path arrowok="t"/>
              </v:shape>
            </v:group>
            <w10:wrap type="none"/>
          </v:group>
        </w:pict>
      </w:r>
    </w:p>
    <w:p>
      <w:pPr>
        <w:tabs>
          <w:tab w:pos="6180" w:val="left" w:leader="none"/>
        </w:tabs>
        <w:spacing w:before="50"/>
        <w:ind w:left="2487" w:right="1793" w:firstLine="0"/>
        <w:jc w:val="left"/>
        <w:rPr>
          <w:rFonts w:ascii="宋体" w:hAnsi="宋体" w:cs="宋体" w:eastAsia="宋体" w:hint="default"/>
          <w:sz w:val="16"/>
          <w:szCs w:val="16"/>
        </w:rPr>
      </w:pPr>
      <w:r>
        <w:rPr>
          <w:rFonts w:ascii="宋体" w:hAnsi="宋体" w:cs="宋体" w:eastAsia="宋体" w:hint="default"/>
          <w:w w:val="95"/>
          <w:sz w:val="16"/>
          <w:szCs w:val="16"/>
        </w:rPr>
        <w:t>其他关联方名称</w:t>
        <w:tab/>
      </w:r>
      <w:r>
        <w:rPr>
          <w:rFonts w:ascii="宋体" w:hAnsi="宋体" w:cs="宋体" w:eastAsia="宋体" w:hint="default"/>
          <w:sz w:val="16"/>
          <w:szCs w:val="16"/>
        </w:rPr>
        <w:t>其他关联方与本公司的关系</w:t>
      </w:r>
    </w:p>
    <w:p>
      <w:pPr>
        <w:tabs>
          <w:tab w:pos="5452" w:val="left" w:leader="none"/>
        </w:tabs>
        <w:spacing w:before="143"/>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深圳长城开发科技股份有限公司</w:t>
        <w:tab/>
      </w:r>
      <w:r>
        <w:rPr>
          <w:rFonts w:ascii="宋体" w:hAnsi="宋体" w:cs="宋体" w:eastAsia="宋体" w:hint="default"/>
          <w:sz w:val="16"/>
          <w:szCs w:val="16"/>
        </w:rPr>
        <w:t>受同一最终控制方控制</w:t>
      </w:r>
    </w:p>
    <w:p>
      <w:pPr>
        <w:spacing w:line="240" w:lineRule="auto" w:before="1"/>
        <w:rPr>
          <w:rFonts w:ascii="宋体" w:hAnsi="宋体" w:cs="宋体" w:eastAsia="宋体" w:hint="default"/>
          <w:sz w:val="11"/>
          <w:szCs w:val="11"/>
        </w:rPr>
      </w:pPr>
    </w:p>
    <w:p>
      <w:pPr>
        <w:tabs>
          <w:tab w:pos="5452" w:val="left" w:leader="none"/>
        </w:tabs>
        <w:spacing w:before="0"/>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深圳振华富电子有限公司</w:t>
        <w:tab/>
      </w:r>
      <w:r>
        <w:rPr>
          <w:rFonts w:ascii="宋体" w:hAnsi="宋体" w:cs="宋体" w:eastAsia="宋体" w:hint="default"/>
          <w:sz w:val="16"/>
          <w:szCs w:val="16"/>
        </w:rPr>
        <w:t>受同一最终控制方控制</w:t>
      </w:r>
    </w:p>
    <w:p>
      <w:pPr>
        <w:spacing w:line="240" w:lineRule="auto" w:before="1"/>
        <w:rPr>
          <w:rFonts w:ascii="宋体" w:hAnsi="宋体" w:cs="宋体" w:eastAsia="宋体" w:hint="default"/>
          <w:sz w:val="11"/>
          <w:szCs w:val="11"/>
        </w:rPr>
      </w:pPr>
    </w:p>
    <w:p>
      <w:pPr>
        <w:tabs>
          <w:tab w:pos="5452" w:val="left" w:leader="none"/>
        </w:tabs>
        <w:spacing w:before="0"/>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深圳中电国际信息科技有限公司</w:t>
        <w:tab/>
      </w:r>
      <w:r>
        <w:rPr>
          <w:rFonts w:ascii="宋体" w:hAnsi="宋体" w:cs="宋体" w:eastAsia="宋体" w:hint="default"/>
          <w:sz w:val="16"/>
          <w:szCs w:val="16"/>
        </w:rPr>
        <w:t>受同一最终控制方控制</w:t>
      </w:r>
    </w:p>
    <w:p>
      <w:pPr>
        <w:tabs>
          <w:tab w:pos="5452" w:val="left" w:leader="none"/>
        </w:tabs>
        <w:spacing w:before="143"/>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深圳中电投资股份有限公司</w:t>
        <w:tab/>
      </w:r>
      <w:r>
        <w:rPr>
          <w:rFonts w:ascii="宋体" w:hAnsi="宋体" w:cs="宋体" w:eastAsia="宋体" w:hint="default"/>
          <w:sz w:val="16"/>
          <w:szCs w:val="16"/>
        </w:rPr>
        <w:t>受同一最终控制方控制</w:t>
      </w:r>
    </w:p>
    <w:p>
      <w:pPr>
        <w:spacing w:line="240" w:lineRule="auto" w:before="1"/>
        <w:rPr>
          <w:rFonts w:ascii="宋体" w:hAnsi="宋体" w:cs="宋体" w:eastAsia="宋体" w:hint="default"/>
          <w:sz w:val="11"/>
          <w:szCs w:val="11"/>
        </w:rPr>
      </w:pPr>
    </w:p>
    <w:p>
      <w:pPr>
        <w:tabs>
          <w:tab w:pos="5452" w:val="left" w:leader="none"/>
        </w:tabs>
        <w:spacing w:before="0"/>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天津麒麟信息技术有限公司</w:t>
        <w:tab/>
      </w:r>
      <w:r>
        <w:rPr>
          <w:rFonts w:ascii="宋体" w:hAnsi="宋体" w:cs="宋体" w:eastAsia="宋体" w:hint="default"/>
          <w:sz w:val="16"/>
          <w:szCs w:val="16"/>
        </w:rPr>
        <w:t>受同一最终控制方控制</w:t>
      </w:r>
    </w:p>
    <w:p>
      <w:pPr>
        <w:tabs>
          <w:tab w:pos="5452" w:val="left" w:leader="none"/>
        </w:tabs>
        <w:spacing w:before="143"/>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武汉艾德蒙科技股份有限公司</w:t>
        <w:tab/>
      </w:r>
      <w:r>
        <w:rPr>
          <w:rFonts w:ascii="宋体" w:hAnsi="宋体" w:cs="宋体" w:eastAsia="宋体" w:hint="default"/>
          <w:sz w:val="16"/>
          <w:szCs w:val="16"/>
        </w:rPr>
        <w:t>受同一最终控制方控制</w:t>
      </w:r>
    </w:p>
    <w:p>
      <w:pPr>
        <w:spacing w:line="240" w:lineRule="auto" w:before="1"/>
        <w:rPr>
          <w:rFonts w:ascii="宋体" w:hAnsi="宋体" w:cs="宋体" w:eastAsia="宋体" w:hint="default"/>
          <w:sz w:val="11"/>
          <w:szCs w:val="11"/>
        </w:rPr>
      </w:pPr>
    </w:p>
    <w:p>
      <w:pPr>
        <w:tabs>
          <w:tab w:pos="5452" w:val="left" w:leader="none"/>
        </w:tabs>
        <w:spacing w:before="0"/>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武汉长江电源有限公司</w:t>
        <w:tab/>
      </w:r>
      <w:r>
        <w:rPr>
          <w:rFonts w:ascii="宋体" w:hAnsi="宋体" w:cs="宋体" w:eastAsia="宋体" w:hint="default"/>
          <w:sz w:val="16"/>
          <w:szCs w:val="16"/>
        </w:rPr>
        <w:t>受同一最终控制方控制</w:t>
      </w:r>
    </w:p>
    <w:p>
      <w:pPr>
        <w:tabs>
          <w:tab w:pos="5452" w:val="left" w:leader="none"/>
        </w:tabs>
        <w:spacing w:before="143"/>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武汉中元物业发展有限公司</w:t>
        <w:tab/>
      </w:r>
      <w:r>
        <w:rPr>
          <w:rFonts w:ascii="宋体" w:hAnsi="宋体" w:cs="宋体" w:eastAsia="宋体" w:hint="default"/>
          <w:sz w:val="16"/>
          <w:szCs w:val="16"/>
        </w:rPr>
        <w:t>受同一最终控制方控制</w:t>
      </w:r>
    </w:p>
    <w:p>
      <w:pPr>
        <w:spacing w:line="240" w:lineRule="auto" w:before="1"/>
        <w:rPr>
          <w:rFonts w:ascii="宋体" w:hAnsi="宋体" w:cs="宋体" w:eastAsia="宋体" w:hint="default"/>
          <w:sz w:val="11"/>
          <w:szCs w:val="11"/>
        </w:rPr>
      </w:pPr>
    </w:p>
    <w:p>
      <w:pPr>
        <w:tabs>
          <w:tab w:pos="5452" w:val="left" w:leader="none"/>
        </w:tabs>
        <w:spacing w:before="0"/>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长城计算机软件与系统有限公司</w:t>
        <w:tab/>
      </w:r>
      <w:r>
        <w:rPr>
          <w:rFonts w:ascii="宋体" w:hAnsi="宋体" w:cs="宋体" w:eastAsia="宋体" w:hint="default"/>
          <w:sz w:val="16"/>
          <w:szCs w:val="16"/>
        </w:rPr>
        <w:t>受同一最终控制方控制</w:t>
      </w:r>
    </w:p>
    <w:p>
      <w:pPr>
        <w:spacing w:line="240" w:lineRule="auto" w:before="1"/>
        <w:rPr>
          <w:rFonts w:ascii="宋体" w:hAnsi="宋体" w:cs="宋体" w:eastAsia="宋体" w:hint="default"/>
          <w:sz w:val="11"/>
          <w:szCs w:val="11"/>
        </w:rPr>
      </w:pPr>
    </w:p>
    <w:p>
      <w:pPr>
        <w:tabs>
          <w:tab w:pos="5452" w:val="left" w:leader="none"/>
        </w:tabs>
        <w:spacing w:before="0"/>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长沙湘计开拓物业管理有限公司</w:t>
        <w:tab/>
      </w:r>
      <w:r>
        <w:rPr>
          <w:rFonts w:ascii="宋体" w:hAnsi="宋体" w:cs="宋体" w:eastAsia="宋体" w:hint="default"/>
          <w:sz w:val="16"/>
          <w:szCs w:val="16"/>
        </w:rPr>
        <w:t>受同一最终控制方控制</w:t>
      </w:r>
    </w:p>
    <w:p>
      <w:pPr>
        <w:tabs>
          <w:tab w:pos="5452" w:val="left" w:leader="none"/>
        </w:tabs>
        <w:spacing w:before="143"/>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长沙智能制造研究总院有限公司</w:t>
        <w:tab/>
      </w:r>
      <w:r>
        <w:rPr>
          <w:rFonts w:ascii="宋体" w:hAnsi="宋体" w:cs="宋体" w:eastAsia="宋体" w:hint="default"/>
          <w:sz w:val="16"/>
          <w:szCs w:val="16"/>
        </w:rPr>
        <w:t>受同一最终控制方控制</w:t>
      </w:r>
    </w:p>
    <w:p>
      <w:pPr>
        <w:spacing w:line="240" w:lineRule="auto" w:before="1"/>
        <w:rPr>
          <w:rFonts w:ascii="宋体" w:hAnsi="宋体" w:cs="宋体" w:eastAsia="宋体" w:hint="default"/>
          <w:sz w:val="11"/>
          <w:szCs w:val="11"/>
        </w:rPr>
      </w:pPr>
    </w:p>
    <w:p>
      <w:pPr>
        <w:tabs>
          <w:tab w:pos="5452" w:val="left" w:leader="none"/>
        </w:tabs>
        <w:spacing w:before="0"/>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中标软件有限公司</w:t>
        <w:tab/>
      </w:r>
      <w:r>
        <w:rPr>
          <w:rFonts w:ascii="宋体" w:hAnsi="宋体" w:cs="宋体" w:eastAsia="宋体" w:hint="default"/>
          <w:sz w:val="16"/>
          <w:szCs w:val="16"/>
        </w:rPr>
        <w:t>受同一最终控制方控制</w:t>
      </w:r>
    </w:p>
    <w:p>
      <w:pPr>
        <w:tabs>
          <w:tab w:pos="5452" w:val="left" w:leader="none"/>
        </w:tabs>
        <w:spacing w:before="143"/>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中电基础产品装备公司</w:t>
        <w:tab/>
      </w:r>
      <w:r>
        <w:rPr>
          <w:rFonts w:ascii="宋体" w:hAnsi="宋体" w:cs="宋体" w:eastAsia="宋体" w:hint="default"/>
          <w:sz w:val="16"/>
          <w:szCs w:val="16"/>
        </w:rPr>
        <w:t>受同一最终控制方控制</w:t>
      </w:r>
    </w:p>
    <w:p>
      <w:pPr>
        <w:spacing w:line="240" w:lineRule="auto" w:before="1"/>
        <w:rPr>
          <w:rFonts w:ascii="宋体" w:hAnsi="宋体" w:cs="宋体" w:eastAsia="宋体" w:hint="default"/>
          <w:sz w:val="11"/>
          <w:szCs w:val="11"/>
        </w:rPr>
      </w:pPr>
    </w:p>
    <w:p>
      <w:pPr>
        <w:tabs>
          <w:tab w:pos="5452" w:val="left" w:leader="none"/>
        </w:tabs>
        <w:spacing w:before="0"/>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中电金融设备系统（深圳）有限公司</w:t>
        <w:tab/>
      </w:r>
      <w:r>
        <w:rPr>
          <w:rFonts w:ascii="宋体" w:hAnsi="宋体" w:cs="宋体" w:eastAsia="宋体" w:hint="default"/>
          <w:sz w:val="16"/>
          <w:szCs w:val="16"/>
        </w:rPr>
        <w:t>受同一最终控制方控制</w:t>
      </w:r>
    </w:p>
    <w:p>
      <w:pPr>
        <w:spacing w:line="240" w:lineRule="auto" w:before="1"/>
        <w:rPr>
          <w:rFonts w:ascii="宋体" w:hAnsi="宋体" w:cs="宋体" w:eastAsia="宋体" w:hint="default"/>
          <w:sz w:val="11"/>
          <w:szCs w:val="11"/>
        </w:rPr>
      </w:pPr>
    </w:p>
    <w:p>
      <w:pPr>
        <w:tabs>
          <w:tab w:pos="5452" w:val="left" w:leader="none"/>
        </w:tabs>
        <w:spacing w:before="0"/>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中电九天智能科技有限公司</w:t>
        <w:tab/>
      </w:r>
      <w:r>
        <w:rPr>
          <w:rFonts w:ascii="宋体" w:hAnsi="宋体" w:cs="宋体" w:eastAsia="宋体" w:hint="default"/>
          <w:sz w:val="16"/>
          <w:szCs w:val="16"/>
        </w:rPr>
        <w:t>受同一最终控制方控制</w:t>
      </w:r>
    </w:p>
    <w:p>
      <w:pPr>
        <w:tabs>
          <w:tab w:pos="5452" w:val="left" w:leader="none"/>
        </w:tabs>
        <w:spacing w:before="143"/>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中电系统建设工程有限公司</w:t>
        <w:tab/>
      </w:r>
      <w:r>
        <w:rPr>
          <w:rFonts w:ascii="宋体" w:hAnsi="宋体" w:cs="宋体" w:eastAsia="宋体" w:hint="default"/>
          <w:sz w:val="16"/>
          <w:szCs w:val="16"/>
        </w:rPr>
        <w:t>受同一最终控制方控制</w:t>
      </w:r>
    </w:p>
    <w:p>
      <w:pPr>
        <w:spacing w:line="240" w:lineRule="auto" w:before="1"/>
        <w:rPr>
          <w:rFonts w:ascii="宋体" w:hAnsi="宋体" w:cs="宋体" w:eastAsia="宋体" w:hint="default"/>
          <w:sz w:val="11"/>
          <w:szCs w:val="11"/>
        </w:rPr>
      </w:pPr>
    </w:p>
    <w:p>
      <w:pPr>
        <w:tabs>
          <w:tab w:pos="5452" w:val="left" w:leader="none"/>
        </w:tabs>
        <w:spacing w:before="0"/>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中电长城计算机集团公司</w:t>
        <w:tab/>
      </w:r>
      <w:r>
        <w:rPr>
          <w:rFonts w:ascii="宋体" w:hAnsi="宋体" w:cs="宋体" w:eastAsia="宋体" w:hint="default"/>
          <w:sz w:val="16"/>
          <w:szCs w:val="16"/>
        </w:rPr>
        <w:t>受同一最终控制方控制</w:t>
      </w:r>
    </w:p>
    <w:p>
      <w:pPr>
        <w:tabs>
          <w:tab w:pos="5452" w:val="left" w:leader="none"/>
        </w:tabs>
        <w:spacing w:before="143"/>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中电长城网际系统应用（武汉）有限公司</w:t>
        <w:tab/>
      </w:r>
      <w:r>
        <w:rPr>
          <w:rFonts w:ascii="宋体" w:hAnsi="宋体" w:cs="宋体" w:eastAsia="宋体" w:hint="default"/>
          <w:sz w:val="16"/>
          <w:szCs w:val="16"/>
        </w:rPr>
        <w:t>受同一最终控制方控制</w:t>
      </w:r>
    </w:p>
    <w:p>
      <w:pPr>
        <w:spacing w:line="240" w:lineRule="auto" w:before="1"/>
        <w:rPr>
          <w:rFonts w:ascii="宋体" w:hAnsi="宋体" w:cs="宋体" w:eastAsia="宋体" w:hint="default"/>
          <w:sz w:val="11"/>
          <w:szCs w:val="11"/>
        </w:rPr>
      </w:pPr>
    </w:p>
    <w:p>
      <w:pPr>
        <w:tabs>
          <w:tab w:pos="5452" w:val="left" w:leader="none"/>
        </w:tabs>
        <w:spacing w:before="0"/>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中电长城网际系统应用广东有限公司</w:t>
        <w:tab/>
      </w:r>
      <w:r>
        <w:rPr>
          <w:rFonts w:ascii="宋体" w:hAnsi="宋体" w:cs="宋体" w:eastAsia="宋体" w:hint="default"/>
          <w:sz w:val="16"/>
          <w:szCs w:val="16"/>
        </w:rPr>
        <w:t>受同一最终控制方控制</w:t>
      </w:r>
    </w:p>
    <w:p>
      <w:pPr>
        <w:tabs>
          <w:tab w:pos="5452" w:val="left" w:leader="none"/>
        </w:tabs>
        <w:spacing w:before="143"/>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中电长城网际系统应用有限公司</w:t>
        <w:tab/>
      </w:r>
      <w:r>
        <w:rPr>
          <w:rFonts w:ascii="宋体" w:hAnsi="宋体" w:cs="宋体" w:eastAsia="宋体" w:hint="default"/>
          <w:sz w:val="16"/>
          <w:szCs w:val="16"/>
        </w:rPr>
        <w:t>受同一最终控制方控制</w:t>
      </w:r>
    </w:p>
    <w:p>
      <w:pPr>
        <w:spacing w:line="240" w:lineRule="auto" w:before="1"/>
        <w:rPr>
          <w:rFonts w:ascii="宋体" w:hAnsi="宋体" w:cs="宋体" w:eastAsia="宋体" w:hint="default"/>
          <w:sz w:val="11"/>
          <w:szCs w:val="11"/>
        </w:rPr>
      </w:pPr>
    </w:p>
    <w:p>
      <w:pPr>
        <w:tabs>
          <w:tab w:pos="5452" w:val="left" w:leader="none"/>
        </w:tabs>
        <w:spacing w:before="0"/>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中电智行技术有限公司</w:t>
        <w:tab/>
      </w:r>
      <w:r>
        <w:rPr>
          <w:rFonts w:ascii="宋体" w:hAnsi="宋体" w:cs="宋体" w:eastAsia="宋体" w:hint="default"/>
          <w:sz w:val="16"/>
          <w:szCs w:val="16"/>
        </w:rPr>
        <w:t>受同一最终控制方控制</w:t>
      </w:r>
    </w:p>
    <w:p>
      <w:pPr>
        <w:spacing w:line="240" w:lineRule="auto" w:before="1"/>
        <w:rPr>
          <w:rFonts w:ascii="宋体" w:hAnsi="宋体" w:cs="宋体" w:eastAsia="宋体" w:hint="default"/>
          <w:sz w:val="11"/>
          <w:szCs w:val="11"/>
        </w:rPr>
      </w:pPr>
    </w:p>
    <w:p>
      <w:pPr>
        <w:tabs>
          <w:tab w:pos="5452" w:val="left" w:leader="none"/>
        </w:tabs>
        <w:spacing w:before="0"/>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中国电子财务有限责任公司</w:t>
        <w:tab/>
      </w:r>
      <w:r>
        <w:rPr>
          <w:rFonts w:ascii="宋体" w:hAnsi="宋体" w:cs="宋体" w:eastAsia="宋体" w:hint="default"/>
          <w:sz w:val="16"/>
          <w:szCs w:val="16"/>
        </w:rPr>
        <w:t>受同一最终控制方控制</w:t>
      </w:r>
    </w:p>
    <w:p>
      <w:pPr>
        <w:tabs>
          <w:tab w:pos="5452" w:val="left" w:leader="none"/>
        </w:tabs>
        <w:spacing w:before="143"/>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中国电子产业开发公司</w:t>
        <w:tab/>
      </w:r>
      <w:r>
        <w:rPr>
          <w:rFonts w:ascii="宋体" w:hAnsi="宋体" w:cs="宋体" w:eastAsia="宋体" w:hint="default"/>
          <w:sz w:val="16"/>
          <w:szCs w:val="16"/>
        </w:rPr>
        <w:t>受同一最终控制方控制</w:t>
      </w:r>
    </w:p>
    <w:p>
      <w:pPr>
        <w:spacing w:line="240" w:lineRule="auto" w:before="1"/>
        <w:rPr>
          <w:rFonts w:ascii="宋体" w:hAnsi="宋体" w:cs="宋体" w:eastAsia="宋体" w:hint="default"/>
          <w:sz w:val="11"/>
          <w:szCs w:val="11"/>
        </w:rPr>
      </w:pPr>
    </w:p>
    <w:p>
      <w:pPr>
        <w:tabs>
          <w:tab w:pos="5452" w:val="left" w:leader="none"/>
        </w:tabs>
        <w:spacing w:before="0"/>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中国电子国际展览广告有限责任公司</w:t>
        <w:tab/>
      </w:r>
      <w:r>
        <w:rPr>
          <w:rFonts w:ascii="宋体" w:hAnsi="宋体" w:cs="宋体" w:eastAsia="宋体" w:hint="default"/>
          <w:sz w:val="16"/>
          <w:szCs w:val="16"/>
        </w:rPr>
        <w:t>受同一最终控制方控制</w:t>
      </w:r>
    </w:p>
    <w:p>
      <w:pPr>
        <w:tabs>
          <w:tab w:pos="5452" w:val="left" w:leader="none"/>
        </w:tabs>
        <w:spacing w:before="143"/>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中国电子进出口有限公司</w:t>
        <w:tab/>
      </w:r>
      <w:r>
        <w:rPr>
          <w:rFonts w:ascii="宋体" w:hAnsi="宋体" w:cs="宋体" w:eastAsia="宋体" w:hint="default"/>
          <w:sz w:val="16"/>
          <w:szCs w:val="16"/>
        </w:rPr>
        <w:t>受同一最终控制方控制</w:t>
      </w:r>
    </w:p>
    <w:p>
      <w:pPr>
        <w:spacing w:line="240" w:lineRule="auto" w:before="1"/>
        <w:rPr>
          <w:rFonts w:ascii="宋体" w:hAnsi="宋体" w:cs="宋体" w:eastAsia="宋体" w:hint="default"/>
          <w:sz w:val="11"/>
          <w:szCs w:val="11"/>
        </w:rPr>
      </w:pPr>
    </w:p>
    <w:p>
      <w:pPr>
        <w:tabs>
          <w:tab w:pos="5452" w:val="left" w:leader="none"/>
        </w:tabs>
        <w:spacing w:before="0"/>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中国电子器材国际有限公司</w:t>
        <w:tab/>
      </w:r>
      <w:r>
        <w:rPr>
          <w:rFonts w:ascii="宋体" w:hAnsi="宋体" w:cs="宋体" w:eastAsia="宋体" w:hint="default"/>
          <w:sz w:val="16"/>
          <w:szCs w:val="16"/>
        </w:rPr>
        <w:t>受同一最终控制方控制</w:t>
      </w:r>
    </w:p>
    <w:p>
      <w:pPr>
        <w:tabs>
          <w:tab w:pos="5452" w:val="left" w:leader="none"/>
        </w:tabs>
        <w:spacing w:before="143"/>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中国电子系统工程第二建设有限公司</w:t>
        <w:tab/>
      </w:r>
      <w:r>
        <w:rPr>
          <w:rFonts w:ascii="宋体" w:hAnsi="宋体" w:cs="宋体" w:eastAsia="宋体" w:hint="default"/>
          <w:sz w:val="16"/>
          <w:szCs w:val="16"/>
        </w:rPr>
        <w:t>受同一最终控制方控制</w:t>
      </w:r>
    </w:p>
    <w:p>
      <w:pPr>
        <w:spacing w:line="240" w:lineRule="auto" w:before="1"/>
        <w:rPr>
          <w:rFonts w:ascii="宋体" w:hAnsi="宋体" w:cs="宋体" w:eastAsia="宋体" w:hint="default"/>
          <w:sz w:val="11"/>
          <w:szCs w:val="11"/>
        </w:rPr>
      </w:pPr>
    </w:p>
    <w:p>
      <w:pPr>
        <w:tabs>
          <w:tab w:pos="5452" w:val="left" w:leader="none"/>
        </w:tabs>
        <w:spacing w:before="0"/>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中国电子系统技术有限公司</w:t>
        <w:tab/>
      </w:r>
      <w:r>
        <w:rPr>
          <w:rFonts w:ascii="宋体" w:hAnsi="宋体" w:cs="宋体" w:eastAsia="宋体" w:hint="default"/>
          <w:sz w:val="16"/>
          <w:szCs w:val="16"/>
        </w:rPr>
        <w:t>受同一最终控制方控制</w:t>
      </w:r>
    </w:p>
    <w:p>
      <w:pPr>
        <w:spacing w:line="240" w:lineRule="auto" w:before="1"/>
        <w:rPr>
          <w:rFonts w:ascii="宋体" w:hAnsi="宋体" w:cs="宋体" w:eastAsia="宋体" w:hint="default"/>
          <w:sz w:val="11"/>
          <w:szCs w:val="11"/>
        </w:rPr>
      </w:pPr>
    </w:p>
    <w:p>
      <w:pPr>
        <w:tabs>
          <w:tab w:pos="5452" w:val="left" w:leader="none"/>
        </w:tabs>
        <w:spacing w:before="0"/>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中国电子信息产业集团有限公司第六研究所</w:t>
        <w:tab/>
      </w:r>
      <w:r>
        <w:rPr>
          <w:rFonts w:ascii="宋体" w:hAnsi="宋体" w:cs="宋体" w:eastAsia="宋体" w:hint="default"/>
          <w:sz w:val="16"/>
          <w:szCs w:val="16"/>
        </w:rPr>
        <w:t>受同一最终控制方控制</w:t>
      </w:r>
    </w:p>
    <w:p>
      <w:pPr>
        <w:tabs>
          <w:tab w:pos="5452" w:val="left" w:leader="none"/>
        </w:tabs>
        <w:spacing w:before="143"/>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中国软件与技术服务股份有限公司</w:t>
        <w:tab/>
      </w:r>
      <w:r>
        <w:rPr>
          <w:rFonts w:ascii="宋体" w:hAnsi="宋体" w:cs="宋体" w:eastAsia="宋体" w:hint="default"/>
          <w:sz w:val="16"/>
          <w:szCs w:val="16"/>
        </w:rPr>
        <w:t>受同一最终控制方控制</w:t>
      </w:r>
    </w:p>
    <w:p>
      <w:pPr>
        <w:spacing w:line="240" w:lineRule="auto" w:before="1"/>
        <w:rPr>
          <w:rFonts w:ascii="宋体" w:hAnsi="宋体" w:cs="宋体" w:eastAsia="宋体" w:hint="default"/>
          <w:sz w:val="11"/>
          <w:szCs w:val="11"/>
        </w:rPr>
      </w:pPr>
    </w:p>
    <w:p>
      <w:pPr>
        <w:tabs>
          <w:tab w:pos="5452" w:val="left" w:leader="none"/>
        </w:tabs>
        <w:spacing w:before="0"/>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中国瑞达投资发展集团公司</w:t>
        <w:tab/>
      </w:r>
      <w:r>
        <w:rPr>
          <w:rFonts w:ascii="宋体" w:hAnsi="宋体" w:cs="宋体" w:eastAsia="宋体" w:hint="default"/>
          <w:sz w:val="16"/>
          <w:szCs w:val="16"/>
        </w:rPr>
        <w:t>受同一最终控制方控制</w:t>
      </w:r>
    </w:p>
    <w:p>
      <w:pPr>
        <w:tabs>
          <w:tab w:pos="5452" w:val="left" w:leader="none"/>
        </w:tabs>
        <w:spacing w:before="143"/>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中国信息安全研究院有限公司</w:t>
        <w:tab/>
      </w:r>
      <w:r>
        <w:rPr>
          <w:rFonts w:ascii="宋体" w:hAnsi="宋体" w:cs="宋体" w:eastAsia="宋体" w:hint="default"/>
          <w:sz w:val="16"/>
          <w:szCs w:val="16"/>
        </w:rPr>
        <w:t>受同一最终控制方控制</w:t>
      </w:r>
    </w:p>
    <w:p>
      <w:pPr>
        <w:spacing w:line="240" w:lineRule="auto" w:before="1"/>
        <w:rPr>
          <w:rFonts w:ascii="宋体" w:hAnsi="宋体" w:cs="宋体" w:eastAsia="宋体" w:hint="default"/>
          <w:sz w:val="11"/>
          <w:szCs w:val="11"/>
        </w:rPr>
      </w:pPr>
    </w:p>
    <w:p>
      <w:pPr>
        <w:tabs>
          <w:tab w:pos="5452" w:val="left" w:leader="none"/>
        </w:tabs>
        <w:spacing w:before="0"/>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中国振华（集团）新云电子元器件有限责任公司</w:t>
        <w:tab/>
      </w:r>
      <w:r>
        <w:rPr>
          <w:rFonts w:ascii="宋体" w:hAnsi="宋体" w:cs="宋体" w:eastAsia="宋体" w:hint="default"/>
          <w:sz w:val="16"/>
          <w:szCs w:val="16"/>
        </w:rPr>
        <w:t>受同一最终控制方控制</w:t>
      </w:r>
    </w:p>
    <w:p>
      <w:pPr>
        <w:spacing w:line="240" w:lineRule="auto" w:before="1"/>
        <w:rPr>
          <w:rFonts w:ascii="宋体" w:hAnsi="宋体" w:cs="宋体" w:eastAsia="宋体" w:hint="default"/>
          <w:sz w:val="11"/>
          <w:szCs w:val="11"/>
        </w:rPr>
      </w:pPr>
    </w:p>
    <w:p>
      <w:pPr>
        <w:tabs>
          <w:tab w:pos="5452" w:val="left" w:leader="none"/>
        </w:tabs>
        <w:spacing w:before="0"/>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中国振华电子集团有限公司</w:t>
        <w:tab/>
      </w:r>
      <w:r>
        <w:rPr>
          <w:rFonts w:ascii="宋体" w:hAnsi="宋体" w:cs="宋体" w:eastAsia="宋体" w:hint="default"/>
          <w:sz w:val="16"/>
          <w:szCs w:val="16"/>
        </w:rPr>
        <w:t>受同一最终控制方控制</w:t>
      </w:r>
    </w:p>
    <w:p>
      <w:pPr>
        <w:tabs>
          <w:tab w:pos="5452" w:val="left" w:leader="none"/>
        </w:tabs>
        <w:spacing w:before="143"/>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中国振华集团永光电子有限公司</w:t>
        <w:tab/>
      </w:r>
      <w:r>
        <w:rPr>
          <w:rFonts w:ascii="宋体" w:hAnsi="宋体" w:cs="宋体" w:eastAsia="宋体" w:hint="default"/>
          <w:sz w:val="16"/>
          <w:szCs w:val="16"/>
        </w:rPr>
        <w:t>受同一最终控制方控制</w:t>
      </w:r>
    </w:p>
    <w:p>
      <w:pPr>
        <w:spacing w:line="240" w:lineRule="auto" w:before="1"/>
        <w:rPr>
          <w:rFonts w:ascii="宋体" w:hAnsi="宋体" w:cs="宋体" w:eastAsia="宋体" w:hint="default"/>
          <w:sz w:val="11"/>
          <w:szCs w:val="11"/>
        </w:rPr>
      </w:pPr>
    </w:p>
    <w:p>
      <w:pPr>
        <w:tabs>
          <w:tab w:pos="5452" w:val="left" w:leader="none"/>
        </w:tabs>
        <w:spacing w:before="0"/>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中国振华集团云科电子有限公司</w:t>
        <w:tab/>
      </w:r>
      <w:r>
        <w:rPr>
          <w:rFonts w:ascii="宋体" w:hAnsi="宋体" w:cs="宋体" w:eastAsia="宋体" w:hint="default"/>
          <w:sz w:val="16"/>
          <w:szCs w:val="16"/>
        </w:rPr>
        <w:t>受同一最终控制方控制</w:t>
      </w:r>
    </w:p>
    <w:p>
      <w:pPr>
        <w:tabs>
          <w:tab w:pos="5452" w:val="left" w:leader="none"/>
        </w:tabs>
        <w:spacing w:before="143"/>
        <w:ind w:left="857" w:right="1793" w:firstLine="0"/>
        <w:jc w:val="left"/>
        <w:rPr>
          <w:rFonts w:ascii="宋体" w:hAnsi="宋体" w:cs="宋体" w:eastAsia="宋体" w:hint="default"/>
          <w:sz w:val="16"/>
          <w:szCs w:val="16"/>
        </w:rPr>
      </w:pPr>
      <w:r>
        <w:rPr>
          <w:rFonts w:ascii="宋体" w:hAnsi="宋体" w:cs="宋体" w:eastAsia="宋体" w:hint="default"/>
          <w:w w:val="95"/>
          <w:sz w:val="16"/>
          <w:szCs w:val="16"/>
        </w:rPr>
        <w:t>中国中电国际信息服务有限公司</w:t>
        <w:tab/>
      </w:r>
      <w:r>
        <w:rPr>
          <w:rFonts w:ascii="宋体" w:hAnsi="宋体" w:cs="宋体" w:eastAsia="宋体" w:hint="default"/>
          <w:sz w:val="16"/>
          <w:szCs w:val="16"/>
        </w:rPr>
        <w:t>受同一最终控制方控制</w:t>
      </w:r>
    </w:p>
    <w:p>
      <w:pPr>
        <w:spacing w:after="0"/>
        <w:jc w:val="left"/>
        <w:rPr>
          <w:rFonts w:ascii="宋体" w:hAnsi="宋体" w:cs="宋体" w:eastAsia="宋体" w:hint="default"/>
          <w:sz w:val="16"/>
          <w:szCs w:val="16"/>
        </w:rPr>
        <w:sectPr>
          <w:pgSz w:w="11910" w:h="16840"/>
          <w:pgMar w:header="0" w:footer="1001" w:top="1520" w:bottom="1200" w:left="1660" w:right="0"/>
        </w:sectPr>
      </w:pPr>
    </w:p>
    <w:p>
      <w:pPr>
        <w:spacing w:line="240" w:lineRule="auto" w:before="2"/>
        <w:rPr>
          <w:rFonts w:ascii="宋体" w:hAnsi="宋体" w:cs="宋体" w:eastAsia="宋体" w:hint="default"/>
          <w:sz w:val="9"/>
          <w:szCs w:val="9"/>
        </w:rPr>
      </w:pPr>
    </w:p>
    <w:p>
      <w:pPr>
        <w:spacing w:line="2524" w:lineRule="exact"/>
        <w:ind w:left="720" w:right="0" w:firstLine="0"/>
        <w:rPr>
          <w:rFonts w:ascii="宋体" w:hAnsi="宋体" w:cs="宋体" w:eastAsia="宋体" w:hint="default"/>
          <w:sz w:val="20"/>
          <w:szCs w:val="20"/>
        </w:rPr>
      </w:pPr>
      <w:r>
        <w:rPr>
          <w:rFonts w:ascii="宋体" w:hAnsi="宋体" w:cs="宋体" w:eastAsia="宋体" w:hint="default"/>
          <w:position w:val="-49"/>
          <w:sz w:val="20"/>
          <w:szCs w:val="20"/>
        </w:rPr>
        <w:pict>
          <v:group style="width:411.65pt;height:126.25pt;mso-position-horizontal-relative:char;mso-position-vertical-relative:line" coordorigin="0,0" coordsize="8233,2525">
            <v:group style="position:absolute;left:29;top:15;width:4590;height:2" coordorigin="29,15" coordsize="4590,2">
              <v:shape style="position:absolute;left:29;top:15;width:4590;height:2" coordorigin="29,15" coordsize="4590,0" path="m29,15l4619,15e" filled="false" stroked="true" strokeweight="1.5pt" strokecolor="#000000">
                <v:path arrowok="t"/>
              </v:shape>
            </v:group>
            <v:group style="position:absolute;left:4619;top:15;width:3598;height:2" coordorigin="4619,15" coordsize="3598,2">
              <v:shape style="position:absolute;left:4619;top:15;width:3598;height:2" coordorigin="4619,15" coordsize="3598,0" path="m4619,15l8217,15e" filled="false" stroked="true" strokeweight="1.5pt" strokecolor="#000000">
                <v:path arrowok="t"/>
              </v:shape>
              <v:shape style="position:absolute;left:4619;top:30;width:10;height:344" type="#_x0000_t75" stroked="false">
                <v:imagedata r:id="rId355" o:title=""/>
              </v:shape>
            </v:group>
            <v:group style="position:absolute;left:15;top:2510;width:4605;height:2" coordorigin="15,2510" coordsize="4605,2">
              <v:shape style="position:absolute;left:15;top:2510;width:4605;height:2" coordorigin="15,2510" coordsize="4605,0" path="m15,2510l4619,2510e" filled="false" stroked="true" strokeweight="1.5pt" strokecolor="#000000">
                <v:path arrowok="t"/>
              </v:shape>
              <v:shape style="position:absolute;left:17;top:362;width:8216;height:2133" type="#_x0000_t75" stroked="false">
                <v:imagedata r:id="rId409" o:title=""/>
              </v:shape>
            </v:group>
            <v:group style="position:absolute;left:4619;top:2510;width:3598;height:2" coordorigin="4619,2510" coordsize="3598,2">
              <v:shape style="position:absolute;left:4619;top:2510;width:3598;height:2" coordorigin="4619,2510" coordsize="3598,0" path="m4619,2510l8217,2510e" filled="false" stroked="true" strokeweight="1.5pt" strokecolor="#000000">
                <v:path arrowok="t"/>
              </v:shape>
              <v:shape style="position:absolute;left:1767;top:122;width:111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其他关联方名称</w:t>
                      </w:r>
                      <w:r>
                        <w:rPr>
                          <w:rFonts w:ascii="宋体" w:hAnsi="宋体" w:cs="宋体" w:eastAsia="宋体" w:hint="default"/>
                          <w:sz w:val="16"/>
                          <w:szCs w:val="16"/>
                        </w:rPr>
                      </w:r>
                    </w:p>
                  </w:txbxContent>
                </v:textbox>
                <w10:wrap type="none"/>
              </v:shape>
              <v:shape style="position:absolute;left:5461;top:122;width:191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其他关联方与本公司的关系</w:t>
                      </w:r>
                      <w:r>
                        <w:rPr>
                          <w:rFonts w:ascii="宋体" w:hAnsi="宋体" w:cs="宋体" w:eastAsia="宋体" w:hint="default"/>
                          <w:sz w:val="16"/>
                          <w:szCs w:val="16"/>
                        </w:rPr>
                      </w:r>
                    </w:p>
                  </w:txbxContent>
                </v:textbox>
                <w10:wrap type="none"/>
              </v:shape>
              <v:shape style="position:absolute;left:137;top:475;width:191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中软信息系统工程有限公司</w:t>
                      </w:r>
                      <w:r>
                        <w:rPr>
                          <w:rFonts w:ascii="宋体" w:hAnsi="宋体" w:cs="宋体" w:eastAsia="宋体" w:hint="default"/>
                          <w:sz w:val="16"/>
                          <w:szCs w:val="16"/>
                        </w:rPr>
                      </w:r>
                    </w:p>
                  </w:txbxContent>
                </v:textbox>
                <w10:wrap type="none"/>
              </v:shape>
              <v:shape style="position:absolute;left:4732;top:475;width:159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受同一最终控制方控制</w:t>
                      </w:r>
                      <w:r>
                        <w:rPr>
                          <w:rFonts w:ascii="宋体" w:hAnsi="宋体" w:cs="宋体" w:eastAsia="宋体" w:hint="default"/>
                          <w:sz w:val="16"/>
                          <w:szCs w:val="16"/>
                        </w:rPr>
                      </w:r>
                    </w:p>
                  </w:txbxContent>
                </v:textbox>
                <w10:wrap type="none"/>
              </v:shape>
              <v:shape style="position:absolute;left:137;top:829;width:12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中国电子有限公司</w:t>
                      </w:r>
                      <w:r>
                        <w:rPr>
                          <w:rFonts w:ascii="宋体" w:hAnsi="宋体" w:cs="宋体" w:eastAsia="宋体" w:hint="default"/>
                          <w:sz w:val="16"/>
                          <w:szCs w:val="16"/>
                        </w:rPr>
                      </w:r>
                    </w:p>
                  </w:txbxContent>
                </v:textbox>
                <w10:wrap type="none"/>
              </v:shape>
              <v:shape style="position:absolute;left:4732;top:829;width:159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受同一最终控制方控制</w:t>
                      </w:r>
                      <w:r>
                        <w:rPr>
                          <w:rFonts w:ascii="宋体" w:hAnsi="宋体" w:cs="宋体" w:eastAsia="宋体" w:hint="default"/>
                          <w:sz w:val="16"/>
                          <w:szCs w:val="16"/>
                        </w:rPr>
                      </w:r>
                    </w:p>
                  </w:txbxContent>
                </v:textbox>
                <w10:wrap type="none"/>
              </v:shape>
              <v:shape style="position:absolute;left:137;top:1196;width:2305;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pacing w:val="-4"/>
                          <w:sz w:val="16"/>
                        </w:rPr>
                        <w:t>KAIFA </w:t>
                      </w:r>
                      <w:r>
                        <w:rPr>
                          <w:rFonts w:ascii="Times New Roman"/>
                          <w:sz w:val="16"/>
                        </w:rPr>
                        <w:t>TECHNOLOGY (HK)</w:t>
                      </w:r>
                      <w:r>
                        <w:rPr>
                          <w:rFonts w:ascii="Times New Roman"/>
                          <w:spacing w:val="-18"/>
                          <w:sz w:val="16"/>
                        </w:rPr>
                        <w:t> </w:t>
                      </w:r>
                      <w:r>
                        <w:rPr>
                          <w:rFonts w:ascii="Times New Roman"/>
                          <w:spacing w:val="-6"/>
                          <w:sz w:val="16"/>
                        </w:rPr>
                        <w:t>LTD</w:t>
                      </w:r>
                    </w:p>
                  </w:txbxContent>
                </v:textbox>
                <w10:wrap type="none"/>
              </v:shape>
              <v:shape style="position:absolute;left:4732;top:1183;width:159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受同一最终控制方控制</w:t>
                      </w:r>
                      <w:r>
                        <w:rPr>
                          <w:rFonts w:ascii="宋体" w:hAnsi="宋体" w:cs="宋体" w:eastAsia="宋体" w:hint="default"/>
                          <w:sz w:val="16"/>
                          <w:szCs w:val="16"/>
                        </w:rPr>
                      </w:r>
                    </w:p>
                  </w:txbxContent>
                </v:textbox>
                <w10:wrap type="none"/>
              </v:shape>
              <v:shape style="position:absolute;left:137;top:1536;width:191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成都长城开发科技有限公司</w:t>
                      </w:r>
                      <w:r>
                        <w:rPr>
                          <w:rFonts w:ascii="宋体" w:hAnsi="宋体" w:cs="宋体" w:eastAsia="宋体" w:hint="default"/>
                          <w:sz w:val="16"/>
                          <w:szCs w:val="16"/>
                        </w:rPr>
                      </w:r>
                    </w:p>
                  </w:txbxContent>
                </v:textbox>
                <w10:wrap type="none"/>
              </v:shape>
              <v:shape style="position:absolute;left:4732;top:1536;width:159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受同一最终控制方控制</w:t>
                      </w:r>
                      <w:r>
                        <w:rPr>
                          <w:rFonts w:ascii="宋体" w:hAnsi="宋体" w:cs="宋体" w:eastAsia="宋体" w:hint="default"/>
                          <w:sz w:val="16"/>
                          <w:szCs w:val="16"/>
                        </w:rPr>
                      </w:r>
                    </w:p>
                  </w:txbxContent>
                </v:textbox>
                <w10:wrap type="none"/>
              </v:shape>
              <v:shape style="position:absolute;left:137;top:1890;width:191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盛科网络（苏州）有限公司</w:t>
                      </w:r>
                      <w:r>
                        <w:rPr>
                          <w:rFonts w:ascii="宋体" w:hAnsi="宋体" w:cs="宋体" w:eastAsia="宋体" w:hint="default"/>
                          <w:sz w:val="16"/>
                          <w:szCs w:val="16"/>
                        </w:rPr>
                      </w:r>
                    </w:p>
                  </w:txbxContent>
                </v:textbox>
                <w10:wrap type="none"/>
              </v:shape>
              <v:shape style="position:absolute;left:4732;top:1890;width:12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上市公司规则认定</w:t>
                      </w:r>
                      <w:r>
                        <w:rPr>
                          <w:rFonts w:ascii="宋体" w:hAnsi="宋体" w:cs="宋体" w:eastAsia="宋体" w:hint="default"/>
                          <w:sz w:val="16"/>
                          <w:szCs w:val="16"/>
                        </w:rPr>
                      </w:r>
                    </w:p>
                  </w:txbxContent>
                </v:textbox>
                <w10:wrap type="none"/>
              </v:shape>
              <v:shape style="position:absolute;left:137;top:2242;width:191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天津飞腾信息技术有限公司</w:t>
                      </w:r>
                      <w:r>
                        <w:rPr>
                          <w:rFonts w:ascii="宋体" w:hAnsi="宋体" w:cs="宋体" w:eastAsia="宋体" w:hint="default"/>
                          <w:sz w:val="16"/>
                          <w:szCs w:val="16"/>
                        </w:rPr>
                      </w:r>
                    </w:p>
                  </w:txbxContent>
                </v:textbox>
                <w10:wrap type="none"/>
              </v:shape>
              <v:shape style="position:absolute;left:4732;top:2242;width:12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上市公司规则认定</w:t>
                      </w:r>
                      <w:r>
                        <w:rPr>
                          <w:rFonts w:ascii="宋体" w:hAnsi="宋体" w:cs="宋体" w:eastAsia="宋体" w:hint="default"/>
                          <w:sz w:val="16"/>
                          <w:szCs w:val="16"/>
                        </w:rPr>
                      </w:r>
                    </w:p>
                  </w:txbxContent>
                </v:textbox>
                <w10:wrap type="none"/>
              </v:shape>
            </v:group>
          </v:group>
        </w:pict>
      </w:r>
      <w:r>
        <w:rPr>
          <w:rFonts w:ascii="宋体" w:hAnsi="宋体" w:cs="宋体" w:eastAsia="宋体" w:hint="default"/>
          <w:position w:val="-49"/>
          <w:sz w:val="20"/>
          <w:szCs w:val="20"/>
        </w:rPr>
      </w:r>
    </w:p>
    <w:p>
      <w:pPr>
        <w:pStyle w:val="Heading5"/>
        <w:tabs>
          <w:tab w:pos="851" w:val="left" w:leader="none"/>
        </w:tabs>
        <w:spacing w:line="240" w:lineRule="auto" w:before="94"/>
        <w:ind w:right="3681"/>
        <w:jc w:val="left"/>
        <w:rPr>
          <w:b w:val="0"/>
          <w:bCs w:val="0"/>
        </w:rPr>
      </w:pPr>
      <w:r>
        <w:rPr>
          <w:rFonts w:ascii="Times New Roman" w:hAnsi="Times New Roman" w:cs="Times New Roman" w:eastAsia="Times New Roman" w:hint="default"/>
          <w:w w:val="95"/>
        </w:rPr>
        <w:t>(</w:t>
      </w:r>
      <w:r>
        <w:rPr>
          <w:w w:val="95"/>
        </w:rPr>
        <w:t>五</w:t>
      </w:r>
      <w:r>
        <w:rPr>
          <w:rFonts w:ascii="Times New Roman" w:hAnsi="Times New Roman" w:cs="Times New Roman" w:eastAsia="Times New Roman" w:hint="default"/>
          <w:w w:val="95"/>
        </w:rPr>
        <w:t>)</w:t>
        <w:tab/>
      </w:r>
      <w:r>
        <w:rPr/>
        <w:t>关联交易情况</w:t>
      </w:r>
      <w:r>
        <w:rPr>
          <w:b w:val="0"/>
          <w:bCs w:val="0"/>
        </w:rPr>
      </w:r>
    </w:p>
    <w:p>
      <w:pPr>
        <w:tabs>
          <w:tab w:pos="1397" w:val="left" w:leader="none"/>
        </w:tabs>
        <w:spacing w:line="328" w:lineRule="auto" w:before="110"/>
        <w:ind w:left="1413" w:right="5262" w:hanging="567"/>
        <w:jc w:val="left"/>
        <w:rPr>
          <w:rFonts w:ascii="宋体" w:hAnsi="宋体" w:cs="宋体" w:eastAsia="宋体" w:hint="default"/>
          <w:sz w:val="21"/>
          <w:szCs w:val="21"/>
        </w:rPr>
      </w:pPr>
      <w:r>
        <w:rPr/>
        <w:pict>
          <v:group style="position:absolute;margin-left:119.010002pt;margin-top:40.803677pt;width:411.75pt;height:497.4pt;mso-position-horizontal-relative:page;mso-position-vertical-relative:paragraph;z-index:-1369168" coordorigin="2380,816" coordsize="8235,9948">
            <v:group style="position:absolute;left:2410;top:831;width:3990;height:2" coordorigin="2410,831" coordsize="3990,2">
              <v:shape style="position:absolute;left:2410;top:831;width:3990;height:2" coordorigin="2410,831" coordsize="3990,0" path="m2410,831l6400,831e" filled="false" stroked="true" strokeweight="1.5pt" strokecolor="#000000">
                <v:path arrowok="t"/>
              </v:shape>
              <v:shape style="position:absolute;left:6400;top:846;width:10;height:28" type="#_x0000_t75" stroked="false">
                <v:imagedata r:id="rId37" o:title=""/>
              </v:shape>
            </v:group>
            <v:group style="position:absolute;left:6400;top:831;width:1427;height:2" coordorigin="6400,831" coordsize="1427,2">
              <v:shape style="position:absolute;left:6400;top:831;width:1427;height:2" coordorigin="6400,831" coordsize="1427,0" path="m6400,831l7826,831e" filled="false" stroked="true" strokeweight="1.5pt" strokecolor="#000000">
                <v:path arrowok="t"/>
              </v:shape>
              <v:shape style="position:absolute;left:7826;top:846;width:10;height:28" type="#_x0000_t75" stroked="false">
                <v:imagedata r:id="rId37" o:title=""/>
              </v:shape>
            </v:group>
            <v:group style="position:absolute;left:7826;top:831;width:1416;height:2" coordorigin="7826,831" coordsize="1416,2">
              <v:shape style="position:absolute;left:7826;top:831;width:1416;height:2" coordorigin="7826,831" coordsize="1416,0" path="m7826,831l9242,831e" filled="false" stroked="true" strokeweight="1.5pt" strokecolor="#000000">
                <v:path arrowok="t"/>
              </v:shape>
              <v:shape style="position:absolute;left:9242;top:846;width:10;height:28" type="#_x0000_t75" stroked="false">
                <v:imagedata r:id="rId37" o:title=""/>
              </v:shape>
            </v:group>
            <v:group style="position:absolute;left:9242;top:831;width:1355;height:2" coordorigin="9242,831" coordsize="1355,2">
              <v:shape style="position:absolute;left:9242;top:831;width:1355;height:2" coordorigin="9242,831" coordsize="1355,0" path="m9242,831l10597,831e" filled="false" stroked="true" strokeweight="1.5pt" strokecolor="#000000">
                <v:path arrowok="t"/>
              </v:shape>
              <v:shape style="position:absolute;left:6380;top:854;width:2891;height:354" type="#_x0000_t75" stroked="false">
                <v:imagedata r:id="rId410" o:title=""/>
              </v:shape>
            </v:group>
            <v:group style="position:absolute;left:2395;top:10749;width:4005;height:2" coordorigin="2395,10749" coordsize="4005,2">
              <v:shape style="position:absolute;left:2395;top:10749;width:4005;height:2" coordorigin="2395,10749" coordsize="4005,0" path="m2395,10749l6400,10749e" filled="false" stroked="true" strokeweight="1.5pt" strokecolor="#000000">
                <v:path arrowok="t"/>
              </v:shape>
            </v:group>
            <v:group style="position:absolute;left:6400;top:10749;width:1427;height:2" coordorigin="6400,10749" coordsize="1427,2">
              <v:shape style="position:absolute;left:6400;top:10749;width:1427;height:2" coordorigin="6400,10749" coordsize="1427,0" path="m6400,10749l7826,10749e" filled="false" stroked="true" strokeweight="1.5pt" strokecolor="#000000">
                <v:path arrowok="t"/>
              </v:shape>
            </v:group>
            <v:group style="position:absolute;left:7826;top:10749;width:1416;height:2" coordorigin="7826,10749" coordsize="1416,2">
              <v:shape style="position:absolute;left:7826;top:10749;width:1416;height:2" coordorigin="7826,10749" coordsize="1416,0" path="m7826,10749l9242,10749e" filled="false" stroked="true" strokeweight="1.5pt" strokecolor="#000000">
                <v:path arrowok="t"/>
              </v:shape>
              <v:shape style="position:absolute;left:2390;top:1176;width:8225;height:9558" type="#_x0000_t75" stroked="false">
                <v:imagedata r:id="rId411" o:title=""/>
              </v:shape>
            </v:group>
            <v:group style="position:absolute;left:9242;top:10749;width:1355;height:2" coordorigin="9242,10749" coordsize="1355,2">
              <v:shape style="position:absolute;left:9242;top:10749;width:1355;height:2" coordorigin="9242,10749" coordsize="1355,0" path="m9242,10749l10597,10749e" filled="false" stroked="true" strokeweight="1.5pt" strokecolor="#000000">
                <v:path arrowok="t"/>
              </v:shape>
            </v:group>
            <w10:wrap type="none"/>
          </v:group>
        </w:pict>
      </w:r>
      <w:r>
        <w:rPr/>
        <w:pict>
          <v:shape style="position:absolute;margin-left:122.379997pt;margin-top:41.553677pt;width:405.65pt;height:495.9pt;mso-position-horizontal-relative:page;mso-position-vertical-relative:paragraph;z-index:3472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809"/>
                    <w:gridCol w:w="1611"/>
                    <w:gridCol w:w="1448"/>
                    <w:gridCol w:w="1245"/>
                  </w:tblGrid>
                  <w:tr>
                    <w:trPr>
                      <w:trHeight w:val="723" w:hRule="exact"/>
                    </w:trPr>
                    <w:tc>
                      <w:tcPr>
                        <w:tcW w:w="3809" w:type="dxa"/>
                        <w:tcBorders>
                          <w:top w:val="nil" w:sz="6" w:space="0" w:color="auto"/>
                          <w:left w:val="nil" w:sz="6" w:space="0" w:color="auto"/>
                          <w:bottom w:val="nil" w:sz="6" w:space="0" w:color="auto"/>
                          <w:right w:val="nil" w:sz="6" w:space="0" w:color="auto"/>
                        </w:tcBorders>
                      </w:tcPr>
                      <w:p>
                        <w:pPr>
                          <w:pStyle w:val="TableParagraph"/>
                          <w:spacing w:line="405" w:lineRule="auto" w:before="57"/>
                          <w:ind w:left="70" w:right="1610" w:firstLine="1648"/>
                          <w:jc w:val="left"/>
                          <w:rPr>
                            <w:rFonts w:ascii="宋体" w:hAnsi="宋体" w:cs="宋体" w:eastAsia="宋体" w:hint="default"/>
                            <w:sz w:val="16"/>
                            <w:szCs w:val="16"/>
                          </w:rPr>
                        </w:pPr>
                        <w:r>
                          <w:rPr>
                            <w:rFonts w:ascii="宋体" w:hAnsi="宋体" w:cs="宋体" w:eastAsia="宋体" w:hint="default"/>
                            <w:w w:val="95"/>
                            <w:sz w:val="16"/>
                            <w:szCs w:val="16"/>
                          </w:rPr>
                          <w:t>关联方</w:t>
                        </w:r>
                        <w:r>
                          <w:rPr>
                            <w:rFonts w:ascii="宋体" w:hAnsi="宋体" w:cs="宋体" w:eastAsia="宋体" w:hint="default"/>
                            <w:w w:val="99"/>
                            <w:sz w:val="16"/>
                            <w:szCs w:val="16"/>
                          </w:rPr>
                          <w:t> </w:t>
                        </w:r>
                        <w:r>
                          <w:rPr>
                            <w:rFonts w:ascii="宋体" w:hAnsi="宋体" w:cs="宋体" w:eastAsia="宋体" w:hint="default"/>
                            <w:sz w:val="16"/>
                            <w:szCs w:val="16"/>
                          </w:rPr>
                          <w:t>桂林长海科技有限责任公司</w:t>
                        </w:r>
                      </w:p>
                    </w:tc>
                    <w:tc>
                      <w:tcPr>
                        <w:tcW w:w="1611" w:type="dxa"/>
                        <w:tcBorders>
                          <w:top w:val="nil" w:sz="6" w:space="0" w:color="auto"/>
                          <w:left w:val="nil" w:sz="6" w:space="0" w:color="auto"/>
                          <w:bottom w:val="nil" w:sz="6" w:space="0" w:color="auto"/>
                          <w:right w:val="nil" w:sz="6" w:space="0" w:color="auto"/>
                        </w:tcBorders>
                      </w:tcPr>
                      <w:p>
                        <w:pPr>
                          <w:pStyle w:val="TableParagraph"/>
                          <w:spacing w:line="405" w:lineRule="auto" w:before="57"/>
                          <w:ind w:left="540" w:right="269" w:hanging="160"/>
                          <w:jc w:val="left"/>
                          <w:rPr>
                            <w:rFonts w:ascii="宋体" w:hAnsi="宋体" w:cs="宋体" w:eastAsia="宋体" w:hint="default"/>
                            <w:sz w:val="16"/>
                            <w:szCs w:val="16"/>
                          </w:rPr>
                        </w:pPr>
                        <w:r>
                          <w:rPr>
                            <w:rFonts w:ascii="宋体" w:hAnsi="宋体" w:cs="宋体" w:eastAsia="宋体" w:hint="default"/>
                            <w:sz w:val="16"/>
                            <w:szCs w:val="16"/>
                          </w:rPr>
                          <w:t>关联交易内容</w:t>
                        </w:r>
                        <w:r>
                          <w:rPr>
                            <w:rFonts w:ascii="宋体" w:hAnsi="宋体" w:cs="宋体" w:eastAsia="宋体" w:hint="default"/>
                            <w:w w:val="99"/>
                            <w:sz w:val="16"/>
                            <w:szCs w:val="16"/>
                          </w:rPr>
                          <w:t> </w:t>
                        </w:r>
                        <w:r>
                          <w:rPr>
                            <w:rFonts w:ascii="宋体" w:hAnsi="宋体" w:cs="宋体" w:eastAsia="宋体" w:hint="default"/>
                            <w:sz w:val="16"/>
                            <w:szCs w:val="16"/>
                          </w:rPr>
                          <w:t>采购商品</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57"/>
                          <w:ind w:left="271" w:right="0"/>
                          <w:jc w:val="left"/>
                          <w:rPr>
                            <w:rFonts w:ascii="宋体" w:hAnsi="宋体" w:cs="宋体" w:eastAsia="宋体" w:hint="default"/>
                            <w:sz w:val="16"/>
                            <w:szCs w:val="16"/>
                          </w:rPr>
                        </w:pPr>
                        <w:r>
                          <w:rPr>
                            <w:rFonts w:ascii="宋体" w:hAnsi="宋体" w:cs="宋体" w:eastAsia="宋体" w:hint="default"/>
                            <w:sz w:val="16"/>
                            <w:szCs w:val="16"/>
                          </w:rPr>
                          <w:t>本期发生额</w:t>
                        </w:r>
                      </w:p>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272" w:right="0"/>
                          <w:jc w:val="left"/>
                          <w:rPr>
                            <w:rFonts w:ascii="Times New Roman" w:hAnsi="Times New Roman" w:cs="Times New Roman" w:eastAsia="Times New Roman" w:hint="default"/>
                            <w:sz w:val="16"/>
                            <w:szCs w:val="16"/>
                          </w:rPr>
                        </w:pPr>
                        <w:r>
                          <w:rPr>
                            <w:rFonts w:ascii="Times New Roman"/>
                            <w:sz w:val="16"/>
                          </w:rPr>
                          <w:t>364,895,231.98</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57"/>
                          <w:ind w:left="206" w:right="0"/>
                          <w:jc w:val="left"/>
                          <w:rPr>
                            <w:rFonts w:ascii="宋体" w:hAnsi="宋体" w:cs="宋体" w:eastAsia="宋体" w:hint="default"/>
                            <w:sz w:val="16"/>
                            <w:szCs w:val="16"/>
                          </w:rPr>
                        </w:pPr>
                        <w:r>
                          <w:rPr>
                            <w:rFonts w:ascii="宋体" w:hAnsi="宋体" w:cs="宋体" w:eastAsia="宋体" w:hint="default"/>
                            <w:sz w:val="16"/>
                            <w:szCs w:val="16"/>
                          </w:rPr>
                          <w:t>上期发生额</w:t>
                        </w:r>
                      </w:p>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174" w:right="0"/>
                          <w:jc w:val="left"/>
                          <w:rPr>
                            <w:rFonts w:ascii="Times New Roman" w:hAnsi="Times New Roman" w:cs="Times New Roman" w:eastAsia="Times New Roman" w:hint="default"/>
                            <w:sz w:val="16"/>
                            <w:szCs w:val="16"/>
                          </w:rPr>
                        </w:pPr>
                        <w:r>
                          <w:rPr>
                            <w:rFonts w:ascii="Times New Roman"/>
                            <w:sz w:val="16"/>
                          </w:rPr>
                          <w:t>279,439,319.90</w:t>
                        </w:r>
                      </w:p>
                    </w:tc>
                  </w:tr>
                  <w:tr>
                    <w:trPr>
                      <w:trHeight w:val="353" w:hRule="exact"/>
                    </w:trPr>
                    <w:tc>
                      <w:tcPr>
                        <w:tcW w:w="380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天津飞腾信息技术有限公司</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30"/>
                          <w:jc w:val="right"/>
                          <w:rPr>
                            <w:rFonts w:ascii="宋体" w:hAnsi="宋体" w:cs="宋体" w:eastAsia="宋体" w:hint="default"/>
                            <w:sz w:val="16"/>
                            <w:szCs w:val="16"/>
                          </w:rPr>
                        </w:pPr>
                        <w:r>
                          <w:rPr>
                            <w:rFonts w:ascii="宋体" w:hAnsi="宋体" w:cs="宋体" w:eastAsia="宋体" w:hint="default"/>
                            <w:w w:val="95"/>
                            <w:sz w:val="16"/>
                            <w:szCs w:val="16"/>
                          </w:rPr>
                          <w:t>采购商品</w:t>
                        </w:r>
                        <w:r>
                          <w:rPr>
                            <w:rFonts w:ascii="宋体" w:hAnsi="宋体" w:cs="宋体" w:eastAsia="宋体" w:hint="default"/>
                            <w:sz w:val="16"/>
                            <w:szCs w:val="16"/>
                          </w:rPr>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72"/>
                          <w:jc w:val="right"/>
                          <w:rPr>
                            <w:rFonts w:ascii="Times New Roman" w:hAnsi="Times New Roman" w:cs="Times New Roman" w:eastAsia="Times New Roman" w:hint="default"/>
                            <w:sz w:val="16"/>
                            <w:szCs w:val="16"/>
                          </w:rPr>
                        </w:pPr>
                        <w:r>
                          <w:rPr>
                            <w:rFonts w:ascii="Times New Roman"/>
                            <w:spacing w:val="-1"/>
                            <w:sz w:val="16"/>
                          </w:rPr>
                          <w:t>26,242,771.65</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5,969,230.77</w:t>
                        </w:r>
                      </w:p>
                    </w:tc>
                  </w:tr>
                  <w:tr>
                    <w:trPr>
                      <w:trHeight w:val="353" w:hRule="exact"/>
                    </w:trPr>
                    <w:tc>
                      <w:tcPr>
                        <w:tcW w:w="380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湖南长城银河科技有限公司</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30"/>
                          <w:jc w:val="right"/>
                          <w:rPr>
                            <w:rFonts w:ascii="宋体" w:hAnsi="宋体" w:cs="宋体" w:eastAsia="宋体" w:hint="default"/>
                            <w:sz w:val="16"/>
                            <w:szCs w:val="16"/>
                          </w:rPr>
                        </w:pPr>
                        <w:r>
                          <w:rPr>
                            <w:rFonts w:ascii="宋体" w:hAnsi="宋体" w:cs="宋体" w:eastAsia="宋体" w:hint="default"/>
                            <w:w w:val="95"/>
                            <w:sz w:val="16"/>
                            <w:szCs w:val="16"/>
                          </w:rPr>
                          <w:t>采购商品</w:t>
                        </w:r>
                        <w:r>
                          <w:rPr>
                            <w:rFonts w:ascii="宋体" w:hAnsi="宋体" w:cs="宋体" w:eastAsia="宋体" w:hint="default"/>
                            <w:sz w:val="16"/>
                            <w:szCs w:val="16"/>
                          </w:rPr>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72"/>
                          <w:jc w:val="right"/>
                          <w:rPr>
                            <w:rFonts w:ascii="Times New Roman" w:hAnsi="Times New Roman" w:cs="Times New Roman" w:eastAsia="Times New Roman" w:hint="default"/>
                            <w:sz w:val="16"/>
                            <w:szCs w:val="16"/>
                          </w:rPr>
                        </w:pPr>
                        <w:r>
                          <w:rPr>
                            <w:rFonts w:ascii="Times New Roman"/>
                            <w:spacing w:val="-1"/>
                            <w:sz w:val="16"/>
                          </w:rPr>
                          <w:t>16,437,362.71</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11,633,317.50</w:t>
                        </w:r>
                      </w:p>
                    </w:tc>
                  </w:tr>
                  <w:tr>
                    <w:trPr>
                      <w:trHeight w:val="353" w:hRule="exact"/>
                    </w:trPr>
                    <w:tc>
                      <w:tcPr>
                        <w:tcW w:w="380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盛科网络（苏州）有限公司</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30"/>
                          <w:jc w:val="right"/>
                          <w:rPr>
                            <w:rFonts w:ascii="宋体" w:hAnsi="宋体" w:cs="宋体" w:eastAsia="宋体" w:hint="default"/>
                            <w:sz w:val="16"/>
                            <w:szCs w:val="16"/>
                          </w:rPr>
                        </w:pPr>
                        <w:r>
                          <w:rPr>
                            <w:rFonts w:ascii="宋体" w:hAnsi="宋体" w:cs="宋体" w:eastAsia="宋体" w:hint="default"/>
                            <w:w w:val="95"/>
                            <w:sz w:val="16"/>
                            <w:szCs w:val="16"/>
                          </w:rPr>
                          <w:t>采购商品</w:t>
                        </w:r>
                        <w:r>
                          <w:rPr>
                            <w:rFonts w:ascii="宋体" w:hAnsi="宋体" w:cs="宋体" w:eastAsia="宋体" w:hint="default"/>
                            <w:sz w:val="16"/>
                            <w:szCs w:val="16"/>
                          </w:rPr>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72"/>
                          <w:jc w:val="right"/>
                          <w:rPr>
                            <w:rFonts w:ascii="Times New Roman" w:hAnsi="Times New Roman" w:cs="Times New Roman" w:eastAsia="Times New Roman" w:hint="default"/>
                            <w:sz w:val="16"/>
                            <w:szCs w:val="16"/>
                          </w:rPr>
                        </w:pPr>
                        <w:r>
                          <w:rPr>
                            <w:rFonts w:ascii="Times New Roman"/>
                            <w:spacing w:val="-1"/>
                            <w:sz w:val="16"/>
                          </w:rPr>
                          <w:t>15,259,000.06</w:t>
                        </w:r>
                      </w:p>
                    </w:tc>
                    <w:tc>
                      <w:tcPr>
                        <w:tcW w:w="1245" w:type="dxa"/>
                        <w:tcBorders>
                          <w:top w:val="nil" w:sz="6" w:space="0" w:color="auto"/>
                          <w:left w:val="nil" w:sz="6" w:space="0" w:color="auto"/>
                          <w:bottom w:val="nil" w:sz="6" w:space="0" w:color="auto"/>
                          <w:right w:val="nil" w:sz="6" w:space="0" w:color="auto"/>
                        </w:tcBorders>
                      </w:tcPr>
                      <w:p>
                        <w:pPr/>
                      </w:p>
                    </w:tc>
                  </w:tr>
                  <w:tr>
                    <w:trPr>
                      <w:trHeight w:val="354" w:hRule="exact"/>
                    </w:trPr>
                    <w:tc>
                      <w:tcPr>
                        <w:tcW w:w="380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武汉艾德蒙科技股份有限公司</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30"/>
                          <w:jc w:val="right"/>
                          <w:rPr>
                            <w:rFonts w:ascii="宋体" w:hAnsi="宋体" w:cs="宋体" w:eastAsia="宋体" w:hint="default"/>
                            <w:sz w:val="16"/>
                            <w:szCs w:val="16"/>
                          </w:rPr>
                        </w:pPr>
                        <w:r>
                          <w:rPr>
                            <w:rFonts w:ascii="宋体" w:hAnsi="宋体" w:cs="宋体" w:eastAsia="宋体" w:hint="default"/>
                            <w:w w:val="95"/>
                            <w:sz w:val="16"/>
                            <w:szCs w:val="16"/>
                          </w:rPr>
                          <w:t>采购商品</w:t>
                        </w:r>
                        <w:r>
                          <w:rPr>
                            <w:rFonts w:ascii="宋体" w:hAnsi="宋体" w:cs="宋体" w:eastAsia="宋体" w:hint="default"/>
                            <w:sz w:val="16"/>
                            <w:szCs w:val="16"/>
                          </w:rPr>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72"/>
                          <w:jc w:val="right"/>
                          <w:rPr>
                            <w:rFonts w:ascii="Times New Roman" w:hAnsi="Times New Roman" w:cs="Times New Roman" w:eastAsia="Times New Roman" w:hint="default"/>
                            <w:sz w:val="16"/>
                            <w:szCs w:val="16"/>
                          </w:rPr>
                        </w:pPr>
                        <w:r>
                          <w:rPr>
                            <w:rFonts w:ascii="Times New Roman"/>
                            <w:spacing w:val="-1"/>
                            <w:sz w:val="16"/>
                          </w:rPr>
                          <w:t>13,264,233.63</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4,686,242.74</w:t>
                        </w:r>
                      </w:p>
                    </w:tc>
                  </w:tr>
                  <w:tr>
                    <w:trPr>
                      <w:trHeight w:val="353" w:hRule="exact"/>
                    </w:trPr>
                    <w:tc>
                      <w:tcPr>
                        <w:tcW w:w="380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广东亿安仓供应链科技有限公司</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30"/>
                          <w:jc w:val="right"/>
                          <w:rPr>
                            <w:rFonts w:ascii="宋体" w:hAnsi="宋体" w:cs="宋体" w:eastAsia="宋体" w:hint="default"/>
                            <w:sz w:val="16"/>
                            <w:szCs w:val="16"/>
                          </w:rPr>
                        </w:pPr>
                        <w:r>
                          <w:rPr>
                            <w:rFonts w:ascii="宋体" w:hAnsi="宋体" w:cs="宋体" w:eastAsia="宋体" w:hint="default"/>
                            <w:w w:val="95"/>
                            <w:sz w:val="16"/>
                            <w:szCs w:val="16"/>
                          </w:rPr>
                          <w:t>采购商品</w:t>
                        </w:r>
                        <w:r>
                          <w:rPr>
                            <w:rFonts w:ascii="宋体" w:hAnsi="宋体" w:cs="宋体" w:eastAsia="宋体" w:hint="default"/>
                            <w:sz w:val="16"/>
                            <w:szCs w:val="16"/>
                          </w:rPr>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72"/>
                          <w:jc w:val="right"/>
                          <w:rPr>
                            <w:rFonts w:ascii="Times New Roman" w:hAnsi="Times New Roman" w:cs="Times New Roman" w:eastAsia="Times New Roman" w:hint="default"/>
                            <w:sz w:val="16"/>
                            <w:szCs w:val="16"/>
                          </w:rPr>
                        </w:pPr>
                        <w:r>
                          <w:rPr>
                            <w:rFonts w:ascii="Times New Roman"/>
                            <w:spacing w:val="-1"/>
                            <w:sz w:val="16"/>
                          </w:rPr>
                          <w:t>10,698,559.05</w:t>
                        </w:r>
                      </w:p>
                    </w:tc>
                    <w:tc>
                      <w:tcPr>
                        <w:tcW w:w="1245" w:type="dxa"/>
                        <w:tcBorders>
                          <w:top w:val="nil" w:sz="6" w:space="0" w:color="auto"/>
                          <w:left w:val="nil" w:sz="6" w:space="0" w:color="auto"/>
                          <w:bottom w:val="nil" w:sz="6" w:space="0" w:color="auto"/>
                          <w:right w:val="nil" w:sz="6" w:space="0" w:color="auto"/>
                        </w:tcBorders>
                      </w:tcPr>
                      <w:p>
                        <w:pPr/>
                      </w:p>
                    </w:tc>
                  </w:tr>
                  <w:tr>
                    <w:trPr>
                      <w:trHeight w:val="353" w:hRule="exact"/>
                    </w:trPr>
                    <w:tc>
                      <w:tcPr>
                        <w:tcW w:w="380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长城超云（北京）科技有限公司</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30"/>
                          <w:jc w:val="right"/>
                          <w:rPr>
                            <w:rFonts w:ascii="宋体" w:hAnsi="宋体" w:cs="宋体" w:eastAsia="宋体" w:hint="default"/>
                            <w:sz w:val="16"/>
                            <w:szCs w:val="16"/>
                          </w:rPr>
                        </w:pPr>
                        <w:r>
                          <w:rPr>
                            <w:rFonts w:ascii="宋体" w:hAnsi="宋体" w:cs="宋体" w:eastAsia="宋体" w:hint="default"/>
                            <w:w w:val="95"/>
                            <w:sz w:val="16"/>
                            <w:szCs w:val="16"/>
                          </w:rPr>
                          <w:t>采购商品</w:t>
                        </w:r>
                        <w:r>
                          <w:rPr>
                            <w:rFonts w:ascii="宋体" w:hAnsi="宋体" w:cs="宋体" w:eastAsia="宋体" w:hint="default"/>
                            <w:sz w:val="16"/>
                            <w:szCs w:val="16"/>
                          </w:rPr>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72"/>
                          <w:jc w:val="right"/>
                          <w:rPr>
                            <w:rFonts w:ascii="Times New Roman" w:hAnsi="Times New Roman" w:cs="Times New Roman" w:eastAsia="Times New Roman" w:hint="default"/>
                            <w:sz w:val="16"/>
                            <w:szCs w:val="16"/>
                          </w:rPr>
                        </w:pPr>
                        <w:r>
                          <w:rPr>
                            <w:rFonts w:ascii="Times New Roman"/>
                            <w:spacing w:val="-1"/>
                            <w:sz w:val="16"/>
                          </w:rPr>
                          <w:t>6,681,937.12</w:t>
                        </w:r>
                      </w:p>
                    </w:tc>
                    <w:tc>
                      <w:tcPr>
                        <w:tcW w:w="1245" w:type="dxa"/>
                        <w:tcBorders>
                          <w:top w:val="nil" w:sz="6" w:space="0" w:color="auto"/>
                          <w:left w:val="nil" w:sz="6" w:space="0" w:color="auto"/>
                          <w:bottom w:val="nil" w:sz="6" w:space="0" w:color="auto"/>
                          <w:right w:val="nil" w:sz="6" w:space="0" w:color="auto"/>
                        </w:tcBorders>
                      </w:tcPr>
                      <w:p>
                        <w:pPr/>
                      </w:p>
                    </w:tc>
                  </w:tr>
                  <w:tr>
                    <w:trPr>
                      <w:trHeight w:val="353" w:hRule="exact"/>
                    </w:trPr>
                    <w:tc>
                      <w:tcPr>
                        <w:tcW w:w="380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天津麒麟信息技术有限公司</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30"/>
                          <w:jc w:val="right"/>
                          <w:rPr>
                            <w:rFonts w:ascii="宋体" w:hAnsi="宋体" w:cs="宋体" w:eastAsia="宋体" w:hint="default"/>
                            <w:sz w:val="16"/>
                            <w:szCs w:val="16"/>
                          </w:rPr>
                        </w:pPr>
                        <w:r>
                          <w:rPr>
                            <w:rFonts w:ascii="宋体" w:hAnsi="宋体" w:cs="宋体" w:eastAsia="宋体" w:hint="default"/>
                            <w:w w:val="95"/>
                            <w:sz w:val="16"/>
                            <w:szCs w:val="16"/>
                          </w:rPr>
                          <w:t>采购商品</w:t>
                        </w:r>
                        <w:r>
                          <w:rPr>
                            <w:rFonts w:ascii="宋体" w:hAnsi="宋体" w:cs="宋体" w:eastAsia="宋体" w:hint="default"/>
                            <w:sz w:val="16"/>
                            <w:szCs w:val="16"/>
                          </w:rPr>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72"/>
                          <w:jc w:val="right"/>
                          <w:rPr>
                            <w:rFonts w:ascii="Times New Roman" w:hAnsi="Times New Roman" w:cs="Times New Roman" w:eastAsia="Times New Roman" w:hint="default"/>
                            <w:sz w:val="16"/>
                            <w:szCs w:val="16"/>
                          </w:rPr>
                        </w:pPr>
                        <w:r>
                          <w:rPr>
                            <w:rFonts w:ascii="Times New Roman"/>
                            <w:spacing w:val="-1"/>
                            <w:sz w:val="16"/>
                          </w:rPr>
                          <w:t>6,322,440.49</w:t>
                        </w:r>
                      </w:p>
                    </w:tc>
                    <w:tc>
                      <w:tcPr>
                        <w:tcW w:w="1245" w:type="dxa"/>
                        <w:tcBorders>
                          <w:top w:val="nil" w:sz="6" w:space="0" w:color="auto"/>
                          <w:left w:val="nil" w:sz="6" w:space="0" w:color="auto"/>
                          <w:bottom w:val="nil" w:sz="6" w:space="0" w:color="auto"/>
                          <w:right w:val="nil" w:sz="6" w:space="0" w:color="auto"/>
                        </w:tcBorders>
                      </w:tcPr>
                      <w:p>
                        <w:pPr/>
                      </w:p>
                    </w:tc>
                  </w:tr>
                  <w:tr>
                    <w:trPr>
                      <w:trHeight w:val="353" w:hRule="exact"/>
                    </w:trPr>
                    <w:tc>
                      <w:tcPr>
                        <w:tcW w:w="380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深圳中电国际信息科技有限公司</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30"/>
                          <w:jc w:val="right"/>
                          <w:rPr>
                            <w:rFonts w:ascii="宋体" w:hAnsi="宋体" w:cs="宋体" w:eastAsia="宋体" w:hint="default"/>
                            <w:sz w:val="16"/>
                            <w:szCs w:val="16"/>
                          </w:rPr>
                        </w:pPr>
                        <w:r>
                          <w:rPr>
                            <w:rFonts w:ascii="宋体" w:hAnsi="宋体" w:cs="宋体" w:eastAsia="宋体" w:hint="default"/>
                            <w:w w:val="95"/>
                            <w:sz w:val="16"/>
                            <w:szCs w:val="16"/>
                          </w:rPr>
                          <w:t>采购商品</w:t>
                        </w:r>
                        <w:r>
                          <w:rPr>
                            <w:rFonts w:ascii="宋体" w:hAnsi="宋体" w:cs="宋体" w:eastAsia="宋体" w:hint="default"/>
                            <w:sz w:val="16"/>
                            <w:szCs w:val="16"/>
                          </w:rPr>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72"/>
                          <w:jc w:val="right"/>
                          <w:rPr>
                            <w:rFonts w:ascii="Times New Roman" w:hAnsi="Times New Roman" w:cs="Times New Roman" w:eastAsia="Times New Roman" w:hint="default"/>
                            <w:sz w:val="16"/>
                            <w:szCs w:val="16"/>
                          </w:rPr>
                        </w:pPr>
                        <w:r>
                          <w:rPr>
                            <w:rFonts w:ascii="Times New Roman"/>
                            <w:spacing w:val="-1"/>
                            <w:sz w:val="16"/>
                          </w:rPr>
                          <w:t>5,289,848.48</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11,830,758.18</w:t>
                        </w:r>
                      </w:p>
                    </w:tc>
                  </w:tr>
                  <w:tr>
                    <w:trPr>
                      <w:trHeight w:val="353" w:hRule="exact"/>
                    </w:trPr>
                    <w:tc>
                      <w:tcPr>
                        <w:tcW w:w="380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南京熊猫汉达科技有限公司</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30"/>
                          <w:jc w:val="right"/>
                          <w:rPr>
                            <w:rFonts w:ascii="宋体" w:hAnsi="宋体" w:cs="宋体" w:eastAsia="宋体" w:hint="default"/>
                            <w:sz w:val="16"/>
                            <w:szCs w:val="16"/>
                          </w:rPr>
                        </w:pPr>
                        <w:r>
                          <w:rPr>
                            <w:rFonts w:ascii="宋体" w:hAnsi="宋体" w:cs="宋体" w:eastAsia="宋体" w:hint="default"/>
                            <w:w w:val="95"/>
                            <w:sz w:val="16"/>
                            <w:szCs w:val="16"/>
                          </w:rPr>
                          <w:t>采购商品</w:t>
                        </w:r>
                        <w:r>
                          <w:rPr>
                            <w:rFonts w:ascii="宋体" w:hAnsi="宋体" w:cs="宋体" w:eastAsia="宋体" w:hint="default"/>
                            <w:sz w:val="16"/>
                            <w:szCs w:val="16"/>
                          </w:rPr>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72"/>
                          <w:jc w:val="right"/>
                          <w:rPr>
                            <w:rFonts w:ascii="Times New Roman" w:hAnsi="Times New Roman" w:cs="Times New Roman" w:eastAsia="Times New Roman" w:hint="default"/>
                            <w:sz w:val="16"/>
                            <w:szCs w:val="16"/>
                          </w:rPr>
                        </w:pPr>
                        <w:r>
                          <w:rPr>
                            <w:rFonts w:ascii="Times New Roman"/>
                            <w:spacing w:val="-1"/>
                            <w:sz w:val="16"/>
                          </w:rPr>
                          <w:t>2,080,441.38</w:t>
                        </w:r>
                      </w:p>
                    </w:tc>
                    <w:tc>
                      <w:tcPr>
                        <w:tcW w:w="1245" w:type="dxa"/>
                        <w:tcBorders>
                          <w:top w:val="nil" w:sz="6" w:space="0" w:color="auto"/>
                          <w:left w:val="nil" w:sz="6" w:space="0" w:color="auto"/>
                          <w:bottom w:val="nil" w:sz="6" w:space="0" w:color="auto"/>
                          <w:right w:val="nil" w:sz="6" w:space="0" w:color="auto"/>
                        </w:tcBorders>
                      </w:tcPr>
                      <w:p>
                        <w:pPr/>
                      </w:p>
                    </w:tc>
                  </w:tr>
                  <w:tr>
                    <w:trPr>
                      <w:trHeight w:val="354" w:hRule="exact"/>
                    </w:trPr>
                    <w:tc>
                      <w:tcPr>
                        <w:tcW w:w="380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中国电子信息产业集团有限公司第六研究所</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30"/>
                          <w:jc w:val="right"/>
                          <w:rPr>
                            <w:rFonts w:ascii="宋体" w:hAnsi="宋体" w:cs="宋体" w:eastAsia="宋体" w:hint="default"/>
                            <w:sz w:val="16"/>
                            <w:szCs w:val="16"/>
                          </w:rPr>
                        </w:pPr>
                        <w:r>
                          <w:rPr>
                            <w:rFonts w:ascii="宋体" w:hAnsi="宋体" w:cs="宋体" w:eastAsia="宋体" w:hint="default"/>
                            <w:w w:val="95"/>
                            <w:sz w:val="16"/>
                            <w:szCs w:val="16"/>
                          </w:rPr>
                          <w:t>采购商品</w:t>
                        </w:r>
                        <w:r>
                          <w:rPr>
                            <w:rFonts w:ascii="宋体" w:hAnsi="宋体" w:cs="宋体" w:eastAsia="宋体" w:hint="default"/>
                            <w:sz w:val="16"/>
                            <w:szCs w:val="16"/>
                          </w:rPr>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72"/>
                          <w:jc w:val="right"/>
                          <w:rPr>
                            <w:rFonts w:ascii="Times New Roman" w:hAnsi="Times New Roman" w:cs="Times New Roman" w:eastAsia="Times New Roman" w:hint="default"/>
                            <w:sz w:val="16"/>
                            <w:szCs w:val="16"/>
                          </w:rPr>
                        </w:pPr>
                        <w:r>
                          <w:rPr>
                            <w:rFonts w:ascii="Times New Roman"/>
                            <w:spacing w:val="-1"/>
                            <w:sz w:val="16"/>
                          </w:rPr>
                          <w:t>1,977,600.00</w:t>
                        </w:r>
                      </w:p>
                    </w:tc>
                    <w:tc>
                      <w:tcPr>
                        <w:tcW w:w="1245" w:type="dxa"/>
                        <w:tcBorders>
                          <w:top w:val="nil" w:sz="6" w:space="0" w:color="auto"/>
                          <w:left w:val="nil" w:sz="6" w:space="0" w:color="auto"/>
                          <w:bottom w:val="nil" w:sz="6" w:space="0" w:color="auto"/>
                          <w:right w:val="nil" w:sz="6" w:space="0" w:color="auto"/>
                        </w:tcBorders>
                      </w:tcPr>
                      <w:p>
                        <w:pPr/>
                      </w:p>
                    </w:tc>
                  </w:tr>
                  <w:tr>
                    <w:trPr>
                      <w:trHeight w:val="353" w:hRule="exact"/>
                    </w:trPr>
                    <w:tc>
                      <w:tcPr>
                        <w:tcW w:w="380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迈普通信技术股份有限公司</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30"/>
                          <w:jc w:val="right"/>
                          <w:rPr>
                            <w:rFonts w:ascii="宋体" w:hAnsi="宋体" w:cs="宋体" w:eastAsia="宋体" w:hint="default"/>
                            <w:sz w:val="16"/>
                            <w:szCs w:val="16"/>
                          </w:rPr>
                        </w:pPr>
                        <w:r>
                          <w:rPr>
                            <w:rFonts w:ascii="宋体" w:hAnsi="宋体" w:cs="宋体" w:eastAsia="宋体" w:hint="default"/>
                            <w:w w:val="95"/>
                            <w:sz w:val="16"/>
                            <w:szCs w:val="16"/>
                          </w:rPr>
                          <w:t>采购商品</w:t>
                        </w:r>
                        <w:r>
                          <w:rPr>
                            <w:rFonts w:ascii="宋体" w:hAnsi="宋体" w:cs="宋体" w:eastAsia="宋体" w:hint="default"/>
                            <w:sz w:val="16"/>
                            <w:szCs w:val="16"/>
                          </w:rPr>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72"/>
                          <w:jc w:val="right"/>
                          <w:rPr>
                            <w:rFonts w:ascii="Times New Roman" w:hAnsi="Times New Roman" w:cs="Times New Roman" w:eastAsia="Times New Roman" w:hint="default"/>
                            <w:sz w:val="16"/>
                            <w:szCs w:val="16"/>
                          </w:rPr>
                        </w:pPr>
                        <w:r>
                          <w:rPr>
                            <w:rFonts w:ascii="Times New Roman"/>
                            <w:spacing w:val="-1"/>
                            <w:sz w:val="16"/>
                          </w:rPr>
                          <w:t>1,961,296.00</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1,640,924.06</w:t>
                        </w:r>
                      </w:p>
                    </w:tc>
                  </w:tr>
                  <w:tr>
                    <w:trPr>
                      <w:trHeight w:val="353" w:hRule="exact"/>
                    </w:trPr>
                    <w:tc>
                      <w:tcPr>
                        <w:tcW w:w="380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深圳京裕电子有限公司</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30"/>
                          <w:jc w:val="right"/>
                          <w:rPr>
                            <w:rFonts w:ascii="宋体" w:hAnsi="宋体" w:cs="宋体" w:eastAsia="宋体" w:hint="default"/>
                            <w:sz w:val="16"/>
                            <w:szCs w:val="16"/>
                          </w:rPr>
                        </w:pPr>
                        <w:r>
                          <w:rPr>
                            <w:rFonts w:ascii="宋体" w:hAnsi="宋体" w:cs="宋体" w:eastAsia="宋体" w:hint="default"/>
                            <w:w w:val="95"/>
                            <w:sz w:val="16"/>
                            <w:szCs w:val="16"/>
                          </w:rPr>
                          <w:t>采购商品</w:t>
                        </w:r>
                        <w:r>
                          <w:rPr>
                            <w:rFonts w:ascii="宋体" w:hAnsi="宋体" w:cs="宋体" w:eastAsia="宋体" w:hint="default"/>
                            <w:sz w:val="16"/>
                            <w:szCs w:val="16"/>
                          </w:rPr>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72"/>
                          <w:jc w:val="right"/>
                          <w:rPr>
                            <w:rFonts w:ascii="Times New Roman" w:hAnsi="Times New Roman" w:cs="Times New Roman" w:eastAsia="Times New Roman" w:hint="default"/>
                            <w:sz w:val="16"/>
                            <w:szCs w:val="16"/>
                          </w:rPr>
                        </w:pPr>
                        <w:r>
                          <w:rPr>
                            <w:rFonts w:ascii="Times New Roman"/>
                            <w:spacing w:val="-1"/>
                            <w:sz w:val="16"/>
                          </w:rPr>
                          <w:t>1,868,032.41</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1,833,709.85</w:t>
                        </w:r>
                      </w:p>
                    </w:tc>
                  </w:tr>
                  <w:tr>
                    <w:trPr>
                      <w:trHeight w:val="353" w:hRule="exact"/>
                    </w:trPr>
                    <w:tc>
                      <w:tcPr>
                        <w:tcW w:w="380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中国振华（集团）新云电子元器件有限责任公司</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30"/>
                          <w:jc w:val="right"/>
                          <w:rPr>
                            <w:rFonts w:ascii="宋体" w:hAnsi="宋体" w:cs="宋体" w:eastAsia="宋体" w:hint="default"/>
                            <w:sz w:val="16"/>
                            <w:szCs w:val="16"/>
                          </w:rPr>
                        </w:pPr>
                        <w:r>
                          <w:rPr>
                            <w:rFonts w:ascii="宋体" w:hAnsi="宋体" w:cs="宋体" w:eastAsia="宋体" w:hint="default"/>
                            <w:w w:val="95"/>
                            <w:sz w:val="16"/>
                            <w:szCs w:val="16"/>
                          </w:rPr>
                          <w:t>采购商品</w:t>
                        </w:r>
                        <w:r>
                          <w:rPr>
                            <w:rFonts w:ascii="宋体" w:hAnsi="宋体" w:cs="宋体" w:eastAsia="宋体" w:hint="default"/>
                            <w:sz w:val="16"/>
                            <w:szCs w:val="16"/>
                          </w:rPr>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72"/>
                          <w:jc w:val="right"/>
                          <w:rPr>
                            <w:rFonts w:ascii="Times New Roman" w:hAnsi="Times New Roman" w:cs="Times New Roman" w:eastAsia="Times New Roman" w:hint="default"/>
                            <w:sz w:val="16"/>
                            <w:szCs w:val="16"/>
                          </w:rPr>
                        </w:pPr>
                        <w:r>
                          <w:rPr>
                            <w:rFonts w:ascii="Times New Roman"/>
                            <w:spacing w:val="-1"/>
                            <w:sz w:val="16"/>
                          </w:rPr>
                          <w:t>1,782,360.16</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2,452,793.86</w:t>
                        </w:r>
                      </w:p>
                    </w:tc>
                  </w:tr>
                  <w:tr>
                    <w:trPr>
                      <w:trHeight w:val="353" w:hRule="exact"/>
                    </w:trPr>
                    <w:tc>
                      <w:tcPr>
                        <w:tcW w:w="380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中国信息安全研究院有限公司</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30"/>
                          <w:jc w:val="right"/>
                          <w:rPr>
                            <w:rFonts w:ascii="宋体" w:hAnsi="宋体" w:cs="宋体" w:eastAsia="宋体" w:hint="default"/>
                            <w:sz w:val="16"/>
                            <w:szCs w:val="16"/>
                          </w:rPr>
                        </w:pPr>
                        <w:r>
                          <w:rPr>
                            <w:rFonts w:ascii="宋体" w:hAnsi="宋体" w:cs="宋体" w:eastAsia="宋体" w:hint="default"/>
                            <w:w w:val="95"/>
                            <w:sz w:val="16"/>
                            <w:szCs w:val="16"/>
                          </w:rPr>
                          <w:t>采购商品</w:t>
                        </w:r>
                        <w:r>
                          <w:rPr>
                            <w:rFonts w:ascii="宋体" w:hAnsi="宋体" w:cs="宋体" w:eastAsia="宋体" w:hint="default"/>
                            <w:sz w:val="16"/>
                            <w:szCs w:val="16"/>
                          </w:rPr>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72"/>
                          <w:jc w:val="right"/>
                          <w:rPr>
                            <w:rFonts w:ascii="Times New Roman" w:hAnsi="Times New Roman" w:cs="Times New Roman" w:eastAsia="Times New Roman" w:hint="default"/>
                            <w:sz w:val="16"/>
                            <w:szCs w:val="16"/>
                          </w:rPr>
                        </w:pPr>
                        <w:r>
                          <w:rPr>
                            <w:rFonts w:ascii="Times New Roman"/>
                            <w:spacing w:val="-1"/>
                            <w:sz w:val="16"/>
                          </w:rPr>
                          <w:t>1,714,897.44</w:t>
                        </w:r>
                      </w:p>
                    </w:tc>
                    <w:tc>
                      <w:tcPr>
                        <w:tcW w:w="1245" w:type="dxa"/>
                        <w:tcBorders>
                          <w:top w:val="nil" w:sz="6" w:space="0" w:color="auto"/>
                          <w:left w:val="nil" w:sz="6" w:space="0" w:color="auto"/>
                          <w:bottom w:val="nil" w:sz="6" w:space="0" w:color="auto"/>
                          <w:right w:val="nil" w:sz="6" w:space="0" w:color="auto"/>
                        </w:tcBorders>
                      </w:tcPr>
                      <w:p>
                        <w:pPr/>
                      </w:p>
                    </w:tc>
                  </w:tr>
                  <w:tr>
                    <w:trPr>
                      <w:trHeight w:val="353" w:hRule="exact"/>
                    </w:trPr>
                    <w:tc>
                      <w:tcPr>
                        <w:tcW w:w="380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深圳振华富电子有限公司</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30"/>
                          <w:jc w:val="right"/>
                          <w:rPr>
                            <w:rFonts w:ascii="宋体" w:hAnsi="宋体" w:cs="宋体" w:eastAsia="宋体" w:hint="default"/>
                            <w:sz w:val="16"/>
                            <w:szCs w:val="16"/>
                          </w:rPr>
                        </w:pPr>
                        <w:r>
                          <w:rPr>
                            <w:rFonts w:ascii="宋体" w:hAnsi="宋体" w:cs="宋体" w:eastAsia="宋体" w:hint="default"/>
                            <w:w w:val="95"/>
                            <w:sz w:val="16"/>
                            <w:szCs w:val="16"/>
                          </w:rPr>
                          <w:t>采购商品</w:t>
                        </w:r>
                        <w:r>
                          <w:rPr>
                            <w:rFonts w:ascii="宋体" w:hAnsi="宋体" w:cs="宋体" w:eastAsia="宋体" w:hint="default"/>
                            <w:sz w:val="16"/>
                            <w:szCs w:val="16"/>
                          </w:rPr>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72"/>
                          <w:jc w:val="right"/>
                          <w:rPr>
                            <w:rFonts w:ascii="Times New Roman" w:hAnsi="Times New Roman" w:cs="Times New Roman" w:eastAsia="Times New Roman" w:hint="default"/>
                            <w:sz w:val="16"/>
                            <w:szCs w:val="16"/>
                          </w:rPr>
                        </w:pPr>
                        <w:r>
                          <w:rPr>
                            <w:rFonts w:ascii="Times New Roman"/>
                            <w:spacing w:val="-1"/>
                            <w:sz w:val="16"/>
                          </w:rPr>
                          <w:t>1,357,204.06</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1,060,550.05</w:t>
                        </w:r>
                      </w:p>
                    </w:tc>
                  </w:tr>
                  <w:tr>
                    <w:trPr>
                      <w:trHeight w:val="354" w:hRule="exact"/>
                    </w:trPr>
                    <w:tc>
                      <w:tcPr>
                        <w:tcW w:w="380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贵州振华华联电子有限公司</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30"/>
                          <w:jc w:val="right"/>
                          <w:rPr>
                            <w:rFonts w:ascii="宋体" w:hAnsi="宋体" w:cs="宋体" w:eastAsia="宋体" w:hint="default"/>
                            <w:sz w:val="16"/>
                            <w:szCs w:val="16"/>
                          </w:rPr>
                        </w:pPr>
                        <w:r>
                          <w:rPr>
                            <w:rFonts w:ascii="宋体" w:hAnsi="宋体" w:cs="宋体" w:eastAsia="宋体" w:hint="default"/>
                            <w:w w:val="95"/>
                            <w:sz w:val="16"/>
                            <w:szCs w:val="16"/>
                          </w:rPr>
                          <w:t>采购商品</w:t>
                        </w:r>
                        <w:r>
                          <w:rPr>
                            <w:rFonts w:ascii="宋体" w:hAnsi="宋体" w:cs="宋体" w:eastAsia="宋体" w:hint="default"/>
                            <w:sz w:val="16"/>
                            <w:szCs w:val="16"/>
                          </w:rPr>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72"/>
                          <w:jc w:val="right"/>
                          <w:rPr>
                            <w:rFonts w:ascii="Times New Roman" w:hAnsi="Times New Roman" w:cs="Times New Roman" w:eastAsia="Times New Roman" w:hint="default"/>
                            <w:sz w:val="16"/>
                            <w:szCs w:val="16"/>
                          </w:rPr>
                        </w:pPr>
                        <w:r>
                          <w:rPr>
                            <w:rFonts w:ascii="Times New Roman"/>
                            <w:spacing w:val="-1"/>
                            <w:sz w:val="16"/>
                          </w:rPr>
                          <w:t>1,102,954.78</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189,712.00</w:t>
                        </w:r>
                      </w:p>
                    </w:tc>
                  </w:tr>
                  <w:tr>
                    <w:trPr>
                      <w:trHeight w:val="353" w:hRule="exact"/>
                    </w:trPr>
                    <w:tc>
                      <w:tcPr>
                        <w:tcW w:w="380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中国振华集团永光电子有限公司</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30"/>
                          <w:jc w:val="right"/>
                          <w:rPr>
                            <w:rFonts w:ascii="宋体" w:hAnsi="宋体" w:cs="宋体" w:eastAsia="宋体" w:hint="default"/>
                            <w:sz w:val="16"/>
                            <w:szCs w:val="16"/>
                          </w:rPr>
                        </w:pPr>
                        <w:r>
                          <w:rPr>
                            <w:rFonts w:ascii="宋体" w:hAnsi="宋体" w:cs="宋体" w:eastAsia="宋体" w:hint="default"/>
                            <w:w w:val="95"/>
                            <w:sz w:val="16"/>
                            <w:szCs w:val="16"/>
                          </w:rPr>
                          <w:t>采购商品</w:t>
                        </w:r>
                        <w:r>
                          <w:rPr>
                            <w:rFonts w:ascii="宋体" w:hAnsi="宋体" w:cs="宋体" w:eastAsia="宋体" w:hint="default"/>
                            <w:sz w:val="16"/>
                            <w:szCs w:val="16"/>
                          </w:rPr>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72"/>
                          <w:jc w:val="right"/>
                          <w:rPr>
                            <w:rFonts w:ascii="Times New Roman" w:hAnsi="Times New Roman" w:cs="Times New Roman" w:eastAsia="Times New Roman" w:hint="default"/>
                            <w:sz w:val="16"/>
                            <w:szCs w:val="16"/>
                          </w:rPr>
                        </w:pPr>
                        <w:r>
                          <w:rPr>
                            <w:rFonts w:ascii="Times New Roman"/>
                            <w:spacing w:val="-1"/>
                            <w:sz w:val="16"/>
                          </w:rPr>
                          <w:t>1,089,414.98</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517,091.45</w:t>
                        </w:r>
                      </w:p>
                    </w:tc>
                  </w:tr>
                  <w:tr>
                    <w:trPr>
                      <w:trHeight w:val="353" w:hRule="exact"/>
                    </w:trPr>
                    <w:tc>
                      <w:tcPr>
                        <w:tcW w:w="380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中标软件有限公司</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30"/>
                          <w:jc w:val="right"/>
                          <w:rPr>
                            <w:rFonts w:ascii="宋体" w:hAnsi="宋体" w:cs="宋体" w:eastAsia="宋体" w:hint="default"/>
                            <w:sz w:val="16"/>
                            <w:szCs w:val="16"/>
                          </w:rPr>
                        </w:pPr>
                        <w:r>
                          <w:rPr>
                            <w:rFonts w:ascii="宋体" w:hAnsi="宋体" w:cs="宋体" w:eastAsia="宋体" w:hint="default"/>
                            <w:w w:val="95"/>
                            <w:sz w:val="16"/>
                            <w:szCs w:val="16"/>
                          </w:rPr>
                          <w:t>采购商品</w:t>
                        </w:r>
                        <w:r>
                          <w:rPr>
                            <w:rFonts w:ascii="宋体" w:hAnsi="宋体" w:cs="宋体" w:eastAsia="宋体" w:hint="default"/>
                            <w:sz w:val="16"/>
                            <w:szCs w:val="16"/>
                          </w:rPr>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72"/>
                          <w:jc w:val="right"/>
                          <w:rPr>
                            <w:rFonts w:ascii="Times New Roman" w:hAnsi="Times New Roman" w:cs="Times New Roman" w:eastAsia="Times New Roman" w:hint="default"/>
                            <w:sz w:val="16"/>
                            <w:szCs w:val="16"/>
                          </w:rPr>
                        </w:pPr>
                        <w:r>
                          <w:rPr>
                            <w:rFonts w:ascii="Times New Roman"/>
                            <w:spacing w:val="-1"/>
                            <w:sz w:val="16"/>
                          </w:rPr>
                          <w:t>458,000.00</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322,478.63</w:t>
                        </w:r>
                      </w:p>
                    </w:tc>
                  </w:tr>
                  <w:tr>
                    <w:trPr>
                      <w:trHeight w:val="353" w:hRule="exact"/>
                    </w:trPr>
                    <w:tc>
                      <w:tcPr>
                        <w:tcW w:w="380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深圳市振华微电子有限公司</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30"/>
                          <w:jc w:val="right"/>
                          <w:rPr>
                            <w:rFonts w:ascii="宋体" w:hAnsi="宋体" w:cs="宋体" w:eastAsia="宋体" w:hint="default"/>
                            <w:sz w:val="16"/>
                            <w:szCs w:val="16"/>
                          </w:rPr>
                        </w:pPr>
                        <w:r>
                          <w:rPr>
                            <w:rFonts w:ascii="宋体" w:hAnsi="宋体" w:cs="宋体" w:eastAsia="宋体" w:hint="default"/>
                            <w:w w:val="95"/>
                            <w:sz w:val="16"/>
                            <w:szCs w:val="16"/>
                          </w:rPr>
                          <w:t>采购商品</w:t>
                        </w:r>
                        <w:r>
                          <w:rPr>
                            <w:rFonts w:ascii="宋体" w:hAnsi="宋体" w:cs="宋体" w:eastAsia="宋体" w:hint="default"/>
                            <w:sz w:val="16"/>
                            <w:szCs w:val="16"/>
                          </w:rPr>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72"/>
                          <w:jc w:val="right"/>
                          <w:rPr>
                            <w:rFonts w:ascii="Times New Roman" w:hAnsi="Times New Roman" w:cs="Times New Roman" w:eastAsia="Times New Roman" w:hint="default"/>
                            <w:sz w:val="16"/>
                            <w:szCs w:val="16"/>
                          </w:rPr>
                        </w:pPr>
                        <w:r>
                          <w:rPr>
                            <w:rFonts w:ascii="Times New Roman"/>
                            <w:spacing w:val="-1"/>
                            <w:sz w:val="16"/>
                          </w:rPr>
                          <w:t>291,000.00</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w w:val="95"/>
                            <w:sz w:val="16"/>
                          </w:rPr>
                          <w:t>118,360.70</w:t>
                        </w:r>
                        <w:r>
                          <w:rPr>
                            <w:rFonts w:ascii="Times New Roman"/>
                            <w:spacing w:val="-1"/>
                            <w:sz w:val="16"/>
                          </w:rPr>
                        </w:r>
                      </w:p>
                    </w:tc>
                  </w:tr>
                  <w:tr>
                    <w:trPr>
                      <w:trHeight w:val="353" w:hRule="exact"/>
                    </w:trPr>
                    <w:tc>
                      <w:tcPr>
                        <w:tcW w:w="380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中电基础产品装备公司</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30"/>
                          <w:jc w:val="right"/>
                          <w:rPr>
                            <w:rFonts w:ascii="宋体" w:hAnsi="宋体" w:cs="宋体" w:eastAsia="宋体" w:hint="default"/>
                            <w:sz w:val="16"/>
                            <w:szCs w:val="16"/>
                          </w:rPr>
                        </w:pPr>
                        <w:r>
                          <w:rPr>
                            <w:rFonts w:ascii="宋体" w:hAnsi="宋体" w:cs="宋体" w:eastAsia="宋体" w:hint="default"/>
                            <w:w w:val="95"/>
                            <w:sz w:val="16"/>
                            <w:szCs w:val="16"/>
                          </w:rPr>
                          <w:t>采购商品</w:t>
                        </w:r>
                        <w:r>
                          <w:rPr>
                            <w:rFonts w:ascii="宋体" w:hAnsi="宋体" w:cs="宋体" w:eastAsia="宋体" w:hint="default"/>
                            <w:sz w:val="16"/>
                            <w:szCs w:val="16"/>
                          </w:rPr>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72"/>
                          <w:jc w:val="right"/>
                          <w:rPr>
                            <w:rFonts w:ascii="Times New Roman" w:hAnsi="Times New Roman" w:cs="Times New Roman" w:eastAsia="Times New Roman" w:hint="default"/>
                            <w:sz w:val="16"/>
                            <w:szCs w:val="16"/>
                          </w:rPr>
                        </w:pPr>
                        <w:r>
                          <w:rPr>
                            <w:rFonts w:ascii="Times New Roman"/>
                            <w:spacing w:val="-1"/>
                            <w:sz w:val="16"/>
                          </w:rPr>
                          <w:t>159,376.05</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w w:val="95"/>
                            <w:sz w:val="16"/>
                          </w:rPr>
                          <w:t>329,117.60</w:t>
                        </w:r>
                        <w:r>
                          <w:rPr>
                            <w:rFonts w:ascii="Times New Roman"/>
                            <w:spacing w:val="-1"/>
                            <w:sz w:val="16"/>
                          </w:rPr>
                        </w:r>
                      </w:p>
                    </w:tc>
                  </w:tr>
                  <w:tr>
                    <w:trPr>
                      <w:trHeight w:val="353" w:hRule="exact"/>
                    </w:trPr>
                    <w:tc>
                      <w:tcPr>
                        <w:tcW w:w="380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贵州振华群英电器有限公司</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30"/>
                          <w:jc w:val="right"/>
                          <w:rPr>
                            <w:rFonts w:ascii="宋体" w:hAnsi="宋体" w:cs="宋体" w:eastAsia="宋体" w:hint="default"/>
                            <w:sz w:val="16"/>
                            <w:szCs w:val="16"/>
                          </w:rPr>
                        </w:pPr>
                        <w:r>
                          <w:rPr>
                            <w:rFonts w:ascii="宋体" w:hAnsi="宋体" w:cs="宋体" w:eastAsia="宋体" w:hint="default"/>
                            <w:w w:val="95"/>
                            <w:sz w:val="16"/>
                            <w:szCs w:val="16"/>
                          </w:rPr>
                          <w:t>采购商品</w:t>
                        </w:r>
                        <w:r>
                          <w:rPr>
                            <w:rFonts w:ascii="宋体" w:hAnsi="宋体" w:cs="宋体" w:eastAsia="宋体" w:hint="default"/>
                            <w:sz w:val="16"/>
                            <w:szCs w:val="16"/>
                          </w:rPr>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72"/>
                          <w:jc w:val="right"/>
                          <w:rPr>
                            <w:rFonts w:ascii="Times New Roman" w:hAnsi="Times New Roman" w:cs="Times New Roman" w:eastAsia="Times New Roman" w:hint="default"/>
                            <w:sz w:val="16"/>
                            <w:szCs w:val="16"/>
                          </w:rPr>
                        </w:pPr>
                        <w:r>
                          <w:rPr>
                            <w:rFonts w:ascii="Times New Roman"/>
                            <w:spacing w:val="-1"/>
                            <w:sz w:val="16"/>
                          </w:rPr>
                          <w:t>136,540.00</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25,300.00</w:t>
                        </w:r>
                      </w:p>
                    </w:tc>
                  </w:tr>
                  <w:tr>
                    <w:trPr>
                      <w:trHeight w:val="353" w:hRule="exact"/>
                    </w:trPr>
                    <w:tc>
                      <w:tcPr>
                        <w:tcW w:w="380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中国振华集团云科电子有限公司</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30"/>
                          <w:jc w:val="right"/>
                          <w:rPr>
                            <w:rFonts w:ascii="宋体" w:hAnsi="宋体" w:cs="宋体" w:eastAsia="宋体" w:hint="default"/>
                            <w:sz w:val="16"/>
                            <w:szCs w:val="16"/>
                          </w:rPr>
                        </w:pPr>
                        <w:r>
                          <w:rPr>
                            <w:rFonts w:ascii="宋体" w:hAnsi="宋体" w:cs="宋体" w:eastAsia="宋体" w:hint="default"/>
                            <w:w w:val="95"/>
                            <w:sz w:val="16"/>
                            <w:szCs w:val="16"/>
                          </w:rPr>
                          <w:t>采购商品</w:t>
                        </w:r>
                        <w:r>
                          <w:rPr>
                            <w:rFonts w:ascii="宋体" w:hAnsi="宋体" w:cs="宋体" w:eastAsia="宋体" w:hint="default"/>
                            <w:sz w:val="16"/>
                            <w:szCs w:val="16"/>
                          </w:rPr>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72"/>
                          <w:jc w:val="right"/>
                          <w:rPr>
                            <w:rFonts w:ascii="Times New Roman" w:hAnsi="Times New Roman" w:cs="Times New Roman" w:eastAsia="Times New Roman" w:hint="default"/>
                            <w:sz w:val="16"/>
                            <w:szCs w:val="16"/>
                          </w:rPr>
                        </w:pPr>
                        <w:r>
                          <w:rPr>
                            <w:rFonts w:ascii="Times New Roman"/>
                            <w:spacing w:val="-1"/>
                            <w:sz w:val="16"/>
                          </w:rPr>
                          <w:t>121,626.82</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199,074.57</w:t>
                        </w:r>
                      </w:p>
                    </w:tc>
                  </w:tr>
                  <w:tr>
                    <w:trPr>
                      <w:trHeight w:val="354" w:hRule="exact"/>
                    </w:trPr>
                    <w:tc>
                      <w:tcPr>
                        <w:tcW w:w="380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南京中电熊猫家电有限公司</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30"/>
                          <w:jc w:val="right"/>
                          <w:rPr>
                            <w:rFonts w:ascii="宋体" w:hAnsi="宋体" w:cs="宋体" w:eastAsia="宋体" w:hint="default"/>
                            <w:sz w:val="16"/>
                            <w:szCs w:val="16"/>
                          </w:rPr>
                        </w:pPr>
                        <w:r>
                          <w:rPr>
                            <w:rFonts w:ascii="宋体" w:hAnsi="宋体" w:cs="宋体" w:eastAsia="宋体" w:hint="default"/>
                            <w:w w:val="95"/>
                            <w:sz w:val="16"/>
                            <w:szCs w:val="16"/>
                          </w:rPr>
                          <w:t>采购商品</w:t>
                        </w:r>
                        <w:r>
                          <w:rPr>
                            <w:rFonts w:ascii="宋体" w:hAnsi="宋体" w:cs="宋体" w:eastAsia="宋体" w:hint="default"/>
                            <w:sz w:val="16"/>
                            <w:szCs w:val="16"/>
                          </w:rPr>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73"/>
                          <w:jc w:val="right"/>
                          <w:rPr>
                            <w:rFonts w:ascii="Times New Roman" w:hAnsi="Times New Roman" w:cs="Times New Roman" w:eastAsia="Times New Roman" w:hint="default"/>
                            <w:sz w:val="16"/>
                            <w:szCs w:val="16"/>
                          </w:rPr>
                        </w:pPr>
                        <w:r>
                          <w:rPr>
                            <w:rFonts w:ascii="Times New Roman"/>
                            <w:spacing w:val="-1"/>
                            <w:sz w:val="16"/>
                          </w:rPr>
                          <w:t>93,750.37</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35,196.58</w:t>
                        </w:r>
                      </w:p>
                    </w:tc>
                  </w:tr>
                  <w:tr>
                    <w:trPr>
                      <w:trHeight w:val="353" w:hRule="exact"/>
                    </w:trPr>
                    <w:tc>
                      <w:tcPr>
                        <w:tcW w:w="380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东莞市振华新能源科技有限公司</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30"/>
                          <w:jc w:val="right"/>
                          <w:rPr>
                            <w:rFonts w:ascii="宋体" w:hAnsi="宋体" w:cs="宋体" w:eastAsia="宋体" w:hint="default"/>
                            <w:sz w:val="16"/>
                            <w:szCs w:val="16"/>
                          </w:rPr>
                        </w:pPr>
                        <w:r>
                          <w:rPr>
                            <w:rFonts w:ascii="宋体" w:hAnsi="宋体" w:cs="宋体" w:eastAsia="宋体" w:hint="default"/>
                            <w:w w:val="95"/>
                            <w:sz w:val="16"/>
                            <w:szCs w:val="16"/>
                          </w:rPr>
                          <w:t>采购商品</w:t>
                        </w:r>
                        <w:r>
                          <w:rPr>
                            <w:rFonts w:ascii="宋体" w:hAnsi="宋体" w:cs="宋体" w:eastAsia="宋体" w:hint="default"/>
                            <w:sz w:val="16"/>
                            <w:szCs w:val="16"/>
                          </w:rPr>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73"/>
                          <w:jc w:val="right"/>
                          <w:rPr>
                            <w:rFonts w:ascii="Times New Roman" w:hAnsi="Times New Roman" w:cs="Times New Roman" w:eastAsia="Times New Roman" w:hint="default"/>
                            <w:sz w:val="16"/>
                            <w:szCs w:val="16"/>
                          </w:rPr>
                        </w:pPr>
                        <w:r>
                          <w:rPr>
                            <w:rFonts w:ascii="Times New Roman"/>
                            <w:spacing w:val="-1"/>
                            <w:sz w:val="16"/>
                          </w:rPr>
                          <w:t>73,882.30</w:t>
                        </w:r>
                      </w:p>
                    </w:tc>
                    <w:tc>
                      <w:tcPr>
                        <w:tcW w:w="1245" w:type="dxa"/>
                        <w:tcBorders>
                          <w:top w:val="nil" w:sz="6" w:space="0" w:color="auto"/>
                          <w:left w:val="nil" w:sz="6" w:space="0" w:color="auto"/>
                          <w:bottom w:val="nil" w:sz="6" w:space="0" w:color="auto"/>
                          <w:right w:val="nil" w:sz="6" w:space="0" w:color="auto"/>
                        </w:tcBorders>
                      </w:tcPr>
                      <w:p>
                        <w:pPr/>
                      </w:p>
                    </w:tc>
                  </w:tr>
                  <w:tr>
                    <w:trPr>
                      <w:trHeight w:val="353" w:hRule="exact"/>
                    </w:trPr>
                    <w:tc>
                      <w:tcPr>
                        <w:tcW w:w="380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武汉长江融达电子有限公司</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30"/>
                          <w:jc w:val="right"/>
                          <w:rPr>
                            <w:rFonts w:ascii="宋体" w:hAnsi="宋体" w:cs="宋体" w:eastAsia="宋体" w:hint="default"/>
                            <w:sz w:val="16"/>
                            <w:szCs w:val="16"/>
                          </w:rPr>
                        </w:pPr>
                        <w:r>
                          <w:rPr>
                            <w:rFonts w:ascii="宋体" w:hAnsi="宋体" w:cs="宋体" w:eastAsia="宋体" w:hint="default"/>
                            <w:w w:val="95"/>
                            <w:sz w:val="16"/>
                            <w:szCs w:val="16"/>
                          </w:rPr>
                          <w:t>采购商品</w:t>
                        </w:r>
                        <w:r>
                          <w:rPr>
                            <w:rFonts w:ascii="宋体" w:hAnsi="宋体" w:cs="宋体" w:eastAsia="宋体" w:hint="default"/>
                            <w:sz w:val="16"/>
                            <w:szCs w:val="16"/>
                          </w:rPr>
                        </w:r>
                      </w:p>
                    </w:tc>
                    <w:tc>
                      <w:tcPr>
                        <w:tcW w:w="1448" w:type="dxa"/>
                        <w:tcBorders>
                          <w:top w:val="nil" w:sz="6" w:space="0" w:color="auto"/>
                          <w:left w:val="nil" w:sz="6" w:space="0" w:color="auto"/>
                          <w:bottom w:val="nil" w:sz="6" w:space="0" w:color="auto"/>
                          <w:right w:val="nil" w:sz="6" w:space="0" w:color="auto"/>
                        </w:tcBorders>
                      </w:tcPr>
                      <w:p>
                        <w:pP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8,580,000.00</w:t>
                        </w:r>
                      </w:p>
                    </w:tc>
                  </w:tr>
                  <w:tr>
                    <w:trPr>
                      <w:trHeight w:val="357" w:hRule="exact"/>
                    </w:trPr>
                    <w:tc>
                      <w:tcPr>
                        <w:tcW w:w="380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上海贝岭股份有限公司</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30"/>
                          <w:jc w:val="right"/>
                          <w:rPr>
                            <w:rFonts w:ascii="宋体" w:hAnsi="宋体" w:cs="宋体" w:eastAsia="宋体" w:hint="default"/>
                            <w:sz w:val="16"/>
                            <w:szCs w:val="16"/>
                          </w:rPr>
                        </w:pPr>
                        <w:r>
                          <w:rPr>
                            <w:rFonts w:ascii="宋体" w:hAnsi="宋体" w:cs="宋体" w:eastAsia="宋体" w:hint="default"/>
                            <w:w w:val="95"/>
                            <w:sz w:val="16"/>
                            <w:szCs w:val="16"/>
                          </w:rPr>
                          <w:t>采购商品</w:t>
                        </w:r>
                        <w:r>
                          <w:rPr>
                            <w:rFonts w:ascii="宋体" w:hAnsi="宋体" w:cs="宋体" w:eastAsia="宋体" w:hint="default"/>
                            <w:sz w:val="16"/>
                            <w:szCs w:val="16"/>
                          </w:rPr>
                        </w:r>
                      </w:p>
                    </w:tc>
                    <w:tc>
                      <w:tcPr>
                        <w:tcW w:w="1448" w:type="dxa"/>
                        <w:tcBorders>
                          <w:top w:val="nil" w:sz="6" w:space="0" w:color="auto"/>
                          <w:left w:val="nil" w:sz="6" w:space="0" w:color="auto"/>
                          <w:bottom w:val="nil" w:sz="6" w:space="0" w:color="auto"/>
                          <w:right w:val="nil" w:sz="6" w:space="0" w:color="auto"/>
                        </w:tcBorders>
                      </w:tcPr>
                      <w:p>
                        <w:pP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287,692.31</w:t>
                        </w:r>
                      </w:p>
                    </w:tc>
                  </w:tr>
                </w:tbl>
                <w:p>
                  <w:pPr/>
                </w:p>
              </w:txbxContent>
            </v:textbox>
            <w10:wrap type="none"/>
          </v:shape>
        </w:pict>
      </w: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购销商品、提供和接受劳务的关联交易</w:t>
      </w:r>
      <w:r>
        <w:rPr>
          <w:rFonts w:ascii="宋体" w:hAnsi="宋体" w:cs="宋体" w:eastAsia="宋体" w:hint="default"/>
          <w:b/>
          <w:bCs/>
          <w:w w:val="99"/>
          <w:sz w:val="21"/>
          <w:szCs w:val="21"/>
        </w:rPr>
        <w:t> </w:t>
      </w:r>
      <w:r>
        <w:rPr>
          <w:rFonts w:ascii="宋体" w:hAnsi="宋体" w:cs="宋体" w:eastAsia="宋体" w:hint="default"/>
          <w:sz w:val="21"/>
          <w:szCs w:val="21"/>
        </w:rPr>
        <w:t>采购商品</w:t>
      </w:r>
      <w:r>
        <w:rPr>
          <w:rFonts w:ascii="Times New Roman" w:hAnsi="Times New Roman" w:cs="Times New Roman" w:eastAsia="Times New Roman" w:hint="default"/>
          <w:sz w:val="21"/>
          <w:szCs w:val="21"/>
        </w:rPr>
        <w:t>/</w:t>
      </w:r>
      <w:r>
        <w:rPr>
          <w:rFonts w:ascii="宋体" w:hAnsi="宋体" w:cs="宋体" w:eastAsia="宋体" w:hint="default"/>
          <w:sz w:val="21"/>
          <w:szCs w:val="21"/>
        </w:rPr>
        <w:t>接受劳务情况表</w:t>
      </w:r>
    </w:p>
    <w:p>
      <w:pPr>
        <w:spacing w:after="0" w:line="328" w:lineRule="auto"/>
        <w:jc w:val="left"/>
        <w:rPr>
          <w:rFonts w:ascii="宋体" w:hAnsi="宋体" w:cs="宋体" w:eastAsia="宋体" w:hint="default"/>
          <w:sz w:val="21"/>
          <w:szCs w:val="21"/>
        </w:rPr>
        <w:sectPr>
          <w:pgSz w:w="11910" w:h="16840"/>
          <w:pgMar w:header="0" w:footer="1001" w:top="1520" w:bottom="1200" w:left="1660" w:right="0"/>
        </w:sectPr>
      </w:pPr>
    </w:p>
    <w:p>
      <w:pPr>
        <w:spacing w:line="240" w:lineRule="auto" w:before="9"/>
        <w:rPr>
          <w:rFonts w:ascii="Times New Roman" w:hAnsi="Times New Roman" w:cs="Times New Roman" w:eastAsia="Times New Roman" w:hint="default"/>
          <w:sz w:val="11"/>
          <w:szCs w:val="11"/>
        </w:rPr>
      </w:pPr>
      <w:r>
        <w:rPr/>
        <w:pict>
          <v:group style="position:absolute;margin-left:119.010002pt;margin-top:82.919998pt;width:411.75pt;height:250pt;mso-position-horizontal-relative:page;mso-position-vertical-relative:page;z-index:-1369120" coordorigin="2380,1658" coordsize="8235,5000">
            <v:group style="position:absolute;left:2410;top:1673;width:3990;height:2" coordorigin="2410,1673" coordsize="3990,2">
              <v:shape style="position:absolute;left:2410;top:1673;width:3990;height:2" coordorigin="2410,1673" coordsize="3990,0" path="m2410,1673l6400,1673e" filled="false" stroked="true" strokeweight="1.5pt" strokecolor="#000000">
                <v:path arrowok="t"/>
              </v:shape>
              <v:shape style="position:absolute;left:6400;top:1688;width:10;height:28" type="#_x0000_t75" stroked="false">
                <v:imagedata r:id="rId37" o:title=""/>
              </v:shape>
            </v:group>
            <v:group style="position:absolute;left:6400;top:1673;width:1427;height:2" coordorigin="6400,1673" coordsize="1427,2">
              <v:shape style="position:absolute;left:6400;top:1673;width:1427;height:2" coordorigin="6400,1673" coordsize="1427,0" path="m6400,1673l7826,1673e" filled="false" stroked="true" strokeweight="1.5pt" strokecolor="#000000">
                <v:path arrowok="t"/>
              </v:shape>
              <v:shape style="position:absolute;left:7826;top:1688;width:10;height:28" type="#_x0000_t75" stroked="false">
                <v:imagedata r:id="rId37" o:title=""/>
              </v:shape>
            </v:group>
            <v:group style="position:absolute;left:7826;top:1673;width:1416;height:2" coordorigin="7826,1673" coordsize="1416,2">
              <v:shape style="position:absolute;left:7826;top:1673;width:1416;height:2" coordorigin="7826,1673" coordsize="1416,0" path="m7826,1673l9242,1673e" filled="false" stroked="true" strokeweight="1.5pt" strokecolor="#000000">
                <v:path arrowok="t"/>
              </v:shape>
              <v:shape style="position:absolute;left:9242;top:1688;width:10;height:28" type="#_x0000_t75" stroked="false">
                <v:imagedata r:id="rId37" o:title=""/>
              </v:shape>
            </v:group>
            <v:group style="position:absolute;left:9242;top:1673;width:1355;height:2" coordorigin="9242,1673" coordsize="1355,2">
              <v:shape style="position:absolute;left:9242;top:1673;width:1355;height:2" coordorigin="9242,1673" coordsize="1355,0" path="m9242,1673l10597,1673e" filled="false" stroked="true" strokeweight="1.5pt" strokecolor="#000000">
                <v:path arrowok="t"/>
              </v:shape>
              <v:shape style="position:absolute;left:6380;top:1697;width:2891;height:355" type="#_x0000_t75" stroked="false">
                <v:imagedata r:id="rId410" o:title=""/>
              </v:shape>
            </v:group>
            <v:group style="position:absolute;left:2395;top:6643;width:4005;height:2" coordorigin="2395,6643" coordsize="4005,2">
              <v:shape style="position:absolute;left:2395;top:6643;width:4005;height:2" coordorigin="2395,6643" coordsize="4005,0" path="m2395,6643l6400,6643e" filled="false" stroked="true" strokeweight="1.5pt" strokecolor="#000000">
                <v:path arrowok="t"/>
              </v:shape>
            </v:group>
            <v:group style="position:absolute;left:6400;top:6643;width:1427;height:2" coordorigin="6400,6643" coordsize="1427,2">
              <v:shape style="position:absolute;left:6400;top:6643;width:1427;height:2" coordorigin="6400,6643" coordsize="1427,0" path="m6400,6643l7826,6643e" filled="false" stroked="true" strokeweight="1.5pt" strokecolor="#000000">
                <v:path arrowok="t"/>
              </v:shape>
            </v:group>
            <v:group style="position:absolute;left:7826;top:6643;width:1416;height:2" coordorigin="7826,6643" coordsize="1416,2">
              <v:shape style="position:absolute;left:7826;top:6643;width:1416;height:2" coordorigin="7826,6643" coordsize="1416,0" path="m7826,6643l9242,6643e" filled="false" stroked="true" strokeweight="1.5pt" strokecolor="#000000">
                <v:path arrowok="t"/>
              </v:shape>
              <v:shape style="position:absolute;left:2390;top:2020;width:8225;height:4608" type="#_x0000_t75" stroked="false">
                <v:imagedata r:id="rId412" o:title=""/>
              </v:shape>
            </v:group>
            <v:group style="position:absolute;left:9242;top:6643;width:1355;height:2" coordorigin="9242,6643" coordsize="1355,2">
              <v:shape style="position:absolute;left:9242;top:6643;width:1355;height:2" coordorigin="9242,6643" coordsize="1355,0" path="m9242,6643l10597,6643e" filled="false" stroked="true" strokeweight="1.5pt" strokecolor="#000000">
                <v:path arrowok="t"/>
              </v:shape>
            </v:group>
            <w10:wrap type="none"/>
          </v:group>
        </w:pict>
      </w:r>
      <w:r>
        <w:rPr/>
        <w:pict>
          <v:group style="position:absolute;margin-left:119.520004pt;margin-top:374.399689pt;width:411.25pt;height:388.35pt;mso-position-horizontal-relative:page;mso-position-vertical-relative:page;z-index:-1369096" coordorigin="2390,7488" coordsize="8225,7767">
            <v:shape style="position:absolute;left:6128;top:7488;width:10;height:28" type="#_x0000_t75" stroked="false">
              <v:imagedata r:id="rId35" o:title=""/>
            </v:shape>
            <v:shape style="position:absolute;left:7508;top:7488;width:10;height:28" type="#_x0000_t75" stroked="false">
              <v:imagedata r:id="rId35" o:title=""/>
            </v:shape>
            <v:shape style="position:absolute;left:9050;top:7488;width:10;height:28" type="#_x0000_t75" stroked="false">
              <v:imagedata r:id="rId35" o:title=""/>
            </v:shape>
            <v:shape style="position:absolute;left:6109;top:7496;width:2970;height:354" type="#_x0000_t75" stroked="false">
              <v:imagedata r:id="rId413" o:title=""/>
            </v:shape>
            <v:shape style="position:absolute;left:2390;top:7818;width:8225;height:7436" type="#_x0000_t75" stroked="false">
              <v:imagedata r:id="rId414" o:title=""/>
            </v:shape>
            <w10:wrap type="none"/>
          </v:group>
        </w:pict>
      </w:r>
    </w:p>
    <w:tbl>
      <w:tblPr>
        <w:tblW w:w="0" w:type="auto"/>
        <w:jc w:val="left"/>
        <w:tblInd w:w="787" w:type="dxa"/>
        <w:tblLayout w:type="fixed"/>
        <w:tblCellMar>
          <w:top w:w="0" w:type="dxa"/>
          <w:left w:w="0" w:type="dxa"/>
          <w:bottom w:w="0" w:type="dxa"/>
          <w:right w:w="0" w:type="dxa"/>
        </w:tblCellMar>
        <w:tblLook w:val="01E0"/>
      </w:tblPr>
      <w:tblGrid>
        <w:gridCol w:w="3409"/>
        <w:gridCol w:w="2011"/>
        <w:gridCol w:w="1464"/>
        <w:gridCol w:w="1229"/>
      </w:tblGrid>
      <w:tr>
        <w:trPr>
          <w:trHeight w:val="724" w:hRule="exact"/>
        </w:trPr>
        <w:tc>
          <w:tcPr>
            <w:tcW w:w="3409" w:type="dxa"/>
            <w:tcBorders>
              <w:top w:val="nil" w:sz="6" w:space="0" w:color="auto"/>
              <w:left w:val="nil" w:sz="6" w:space="0" w:color="auto"/>
              <w:bottom w:val="nil" w:sz="6" w:space="0" w:color="auto"/>
              <w:right w:val="nil" w:sz="6" w:space="0" w:color="auto"/>
            </w:tcBorders>
          </w:tcPr>
          <w:p>
            <w:pPr>
              <w:pStyle w:val="TableParagraph"/>
              <w:spacing w:line="405" w:lineRule="auto" w:before="57"/>
              <w:ind w:left="70" w:right="1209" w:firstLine="1648"/>
              <w:jc w:val="left"/>
              <w:rPr>
                <w:rFonts w:ascii="宋体" w:hAnsi="宋体" w:cs="宋体" w:eastAsia="宋体" w:hint="default"/>
                <w:sz w:val="16"/>
                <w:szCs w:val="16"/>
              </w:rPr>
            </w:pPr>
            <w:r>
              <w:rPr>
                <w:rFonts w:ascii="宋体" w:hAnsi="宋体" w:cs="宋体" w:eastAsia="宋体" w:hint="default"/>
                <w:sz w:val="16"/>
                <w:szCs w:val="16"/>
              </w:rPr>
              <w:t>关联方</w:t>
            </w:r>
            <w:r>
              <w:rPr>
                <w:rFonts w:ascii="宋体" w:hAnsi="宋体" w:cs="宋体" w:eastAsia="宋体" w:hint="default"/>
                <w:w w:val="99"/>
                <w:sz w:val="16"/>
                <w:szCs w:val="16"/>
              </w:rPr>
              <w:t> </w:t>
            </w:r>
            <w:r>
              <w:rPr>
                <w:rFonts w:ascii="宋体" w:hAnsi="宋体" w:cs="宋体" w:eastAsia="宋体" w:hint="default"/>
                <w:sz w:val="16"/>
                <w:szCs w:val="16"/>
              </w:rPr>
              <w:t>贵州振华红云电子有限公司</w:t>
            </w:r>
          </w:p>
        </w:tc>
        <w:tc>
          <w:tcPr>
            <w:tcW w:w="2011" w:type="dxa"/>
            <w:tcBorders>
              <w:top w:val="nil" w:sz="6" w:space="0" w:color="auto"/>
              <w:left w:val="nil" w:sz="6" w:space="0" w:color="auto"/>
              <w:bottom w:val="nil" w:sz="6" w:space="0" w:color="auto"/>
              <w:right w:val="nil" w:sz="6" w:space="0" w:color="auto"/>
            </w:tcBorders>
          </w:tcPr>
          <w:p>
            <w:pPr>
              <w:pStyle w:val="TableParagraph"/>
              <w:spacing w:line="405" w:lineRule="auto" w:before="57"/>
              <w:ind w:left="940" w:right="269" w:hanging="160"/>
              <w:jc w:val="left"/>
              <w:rPr>
                <w:rFonts w:ascii="宋体" w:hAnsi="宋体" w:cs="宋体" w:eastAsia="宋体" w:hint="default"/>
                <w:sz w:val="16"/>
                <w:szCs w:val="16"/>
              </w:rPr>
            </w:pPr>
            <w:r>
              <w:rPr>
                <w:rFonts w:ascii="宋体" w:hAnsi="宋体" w:cs="宋体" w:eastAsia="宋体" w:hint="default"/>
                <w:sz w:val="16"/>
                <w:szCs w:val="16"/>
              </w:rPr>
              <w:t>关联交易内容</w:t>
            </w:r>
            <w:r>
              <w:rPr>
                <w:rFonts w:ascii="宋体" w:hAnsi="宋体" w:cs="宋体" w:eastAsia="宋体" w:hint="default"/>
                <w:w w:val="99"/>
                <w:sz w:val="16"/>
                <w:szCs w:val="16"/>
              </w:rPr>
              <w:t> </w:t>
            </w:r>
            <w:r>
              <w:rPr>
                <w:rFonts w:ascii="宋体" w:hAnsi="宋体" w:cs="宋体" w:eastAsia="宋体" w:hint="default"/>
                <w:sz w:val="16"/>
                <w:szCs w:val="16"/>
              </w:rPr>
              <w:t>采购商品</w:t>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57"/>
              <w:ind w:left="271" w:right="0"/>
              <w:jc w:val="left"/>
              <w:rPr>
                <w:rFonts w:ascii="宋体" w:hAnsi="宋体" w:cs="宋体" w:eastAsia="宋体" w:hint="default"/>
                <w:sz w:val="16"/>
                <w:szCs w:val="16"/>
              </w:rPr>
            </w:pPr>
            <w:r>
              <w:rPr>
                <w:rFonts w:ascii="宋体" w:hAnsi="宋体" w:cs="宋体" w:eastAsia="宋体" w:hint="default"/>
                <w:sz w:val="16"/>
                <w:szCs w:val="16"/>
              </w:rPr>
              <w:t>本期发生额</w:t>
            </w:r>
          </w:p>
        </w:tc>
        <w:tc>
          <w:tcPr>
            <w:tcW w:w="1229" w:type="dxa"/>
            <w:tcBorders>
              <w:top w:val="nil" w:sz="6" w:space="0" w:color="auto"/>
              <w:left w:val="nil" w:sz="6" w:space="0" w:color="auto"/>
              <w:bottom w:val="nil" w:sz="6" w:space="0" w:color="auto"/>
              <w:right w:val="nil" w:sz="6" w:space="0" w:color="auto"/>
            </w:tcBorders>
          </w:tcPr>
          <w:p>
            <w:pPr>
              <w:pStyle w:val="TableParagraph"/>
              <w:spacing w:line="240" w:lineRule="auto" w:before="57"/>
              <w:ind w:left="190" w:right="0"/>
              <w:jc w:val="left"/>
              <w:rPr>
                <w:rFonts w:ascii="宋体" w:hAnsi="宋体" w:cs="宋体" w:eastAsia="宋体" w:hint="default"/>
                <w:sz w:val="16"/>
                <w:szCs w:val="16"/>
              </w:rPr>
            </w:pPr>
            <w:r>
              <w:rPr>
                <w:rFonts w:ascii="宋体" w:hAnsi="宋体" w:cs="宋体" w:eastAsia="宋体" w:hint="default"/>
                <w:sz w:val="16"/>
                <w:szCs w:val="16"/>
              </w:rPr>
              <w:t>上期发生额</w:t>
            </w:r>
          </w:p>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left="597" w:right="0"/>
              <w:jc w:val="left"/>
              <w:rPr>
                <w:rFonts w:ascii="Times New Roman" w:hAnsi="Times New Roman" w:cs="Times New Roman" w:eastAsia="Times New Roman" w:hint="default"/>
                <w:sz w:val="16"/>
                <w:szCs w:val="16"/>
              </w:rPr>
            </w:pPr>
            <w:r>
              <w:rPr>
                <w:rFonts w:ascii="Times New Roman"/>
                <w:sz w:val="16"/>
              </w:rPr>
              <w:t>1,076.18</w:t>
            </w:r>
          </w:p>
        </w:tc>
      </w:tr>
      <w:tr>
        <w:trPr>
          <w:trHeight w:val="353" w:hRule="exact"/>
        </w:trPr>
        <w:tc>
          <w:tcPr>
            <w:tcW w:w="340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中国电子系统技术有限公司</w:t>
            </w:r>
          </w:p>
        </w:tc>
        <w:tc>
          <w:tcPr>
            <w:tcW w:w="201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30"/>
              <w:jc w:val="right"/>
              <w:rPr>
                <w:rFonts w:ascii="宋体" w:hAnsi="宋体" w:cs="宋体" w:eastAsia="宋体" w:hint="default"/>
                <w:sz w:val="16"/>
                <w:szCs w:val="16"/>
              </w:rPr>
            </w:pPr>
            <w:r>
              <w:rPr>
                <w:rFonts w:ascii="宋体" w:hAnsi="宋体" w:cs="宋体" w:eastAsia="宋体" w:hint="default"/>
                <w:w w:val="95"/>
                <w:sz w:val="16"/>
                <w:szCs w:val="16"/>
              </w:rPr>
              <w:t>接受劳务</w:t>
            </w:r>
            <w:r>
              <w:rPr>
                <w:rFonts w:ascii="宋体" w:hAnsi="宋体" w:cs="宋体" w:eastAsia="宋体" w:hint="default"/>
                <w:sz w:val="16"/>
                <w:szCs w:val="16"/>
              </w:rPr>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88"/>
              <w:jc w:val="right"/>
              <w:rPr>
                <w:rFonts w:ascii="Times New Roman" w:hAnsi="Times New Roman" w:cs="Times New Roman" w:eastAsia="Times New Roman" w:hint="default"/>
                <w:sz w:val="16"/>
                <w:szCs w:val="16"/>
              </w:rPr>
            </w:pPr>
            <w:r>
              <w:rPr>
                <w:rFonts w:ascii="Times New Roman"/>
                <w:spacing w:val="-1"/>
                <w:sz w:val="16"/>
              </w:rPr>
              <w:t>19,673,962.81</w:t>
            </w:r>
          </w:p>
        </w:tc>
        <w:tc>
          <w:tcPr>
            <w:tcW w:w="1229" w:type="dxa"/>
            <w:tcBorders>
              <w:top w:val="nil" w:sz="6" w:space="0" w:color="auto"/>
              <w:left w:val="nil" w:sz="6" w:space="0" w:color="auto"/>
              <w:bottom w:val="nil" w:sz="6" w:space="0" w:color="auto"/>
              <w:right w:val="nil" w:sz="6" w:space="0" w:color="auto"/>
            </w:tcBorders>
          </w:tcPr>
          <w:p>
            <w:pPr/>
          </w:p>
        </w:tc>
      </w:tr>
      <w:tr>
        <w:trPr>
          <w:trHeight w:val="353" w:hRule="exact"/>
        </w:trPr>
        <w:tc>
          <w:tcPr>
            <w:tcW w:w="340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中国中电国际信息服务有限公司</w:t>
            </w:r>
          </w:p>
        </w:tc>
        <w:tc>
          <w:tcPr>
            <w:tcW w:w="201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30"/>
              <w:jc w:val="right"/>
              <w:rPr>
                <w:rFonts w:ascii="宋体" w:hAnsi="宋体" w:cs="宋体" w:eastAsia="宋体" w:hint="default"/>
                <w:sz w:val="16"/>
                <w:szCs w:val="16"/>
              </w:rPr>
            </w:pPr>
            <w:r>
              <w:rPr>
                <w:rFonts w:ascii="宋体" w:hAnsi="宋体" w:cs="宋体" w:eastAsia="宋体" w:hint="default"/>
                <w:w w:val="95"/>
                <w:sz w:val="16"/>
                <w:szCs w:val="16"/>
              </w:rPr>
              <w:t>接受劳务</w:t>
            </w:r>
            <w:r>
              <w:rPr>
                <w:rFonts w:ascii="宋体" w:hAnsi="宋体" w:cs="宋体" w:eastAsia="宋体" w:hint="default"/>
                <w:sz w:val="16"/>
                <w:szCs w:val="16"/>
              </w:rPr>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88"/>
              <w:jc w:val="right"/>
              <w:rPr>
                <w:rFonts w:ascii="Times New Roman" w:hAnsi="Times New Roman" w:cs="Times New Roman" w:eastAsia="Times New Roman" w:hint="default"/>
                <w:sz w:val="16"/>
                <w:szCs w:val="16"/>
              </w:rPr>
            </w:pPr>
            <w:r>
              <w:rPr>
                <w:rFonts w:ascii="Times New Roman"/>
                <w:spacing w:val="-1"/>
                <w:sz w:val="16"/>
              </w:rPr>
              <w:t>3,200,000.00</w:t>
            </w:r>
          </w:p>
        </w:tc>
        <w:tc>
          <w:tcPr>
            <w:tcW w:w="122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3,800,000.00</w:t>
            </w:r>
          </w:p>
        </w:tc>
      </w:tr>
      <w:tr>
        <w:trPr>
          <w:trHeight w:val="353" w:hRule="exact"/>
        </w:trPr>
        <w:tc>
          <w:tcPr>
            <w:tcW w:w="340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中国信息安全研究院有限公司</w:t>
            </w:r>
          </w:p>
        </w:tc>
        <w:tc>
          <w:tcPr>
            <w:tcW w:w="201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30"/>
              <w:jc w:val="right"/>
              <w:rPr>
                <w:rFonts w:ascii="宋体" w:hAnsi="宋体" w:cs="宋体" w:eastAsia="宋体" w:hint="default"/>
                <w:sz w:val="16"/>
                <w:szCs w:val="16"/>
              </w:rPr>
            </w:pPr>
            <w:r>
              <w:rPr>
                <w:rFonts w:ascii="宋体" w:hAnsi="宋体" w:cs="宋体" w:eastAsia="宋体" w:hint="default"/>
                <w:w w:val="95"/>
                <w:sz w:val="16"/>
                <w:szCs w:val="16"/>
              </w:rPr>
              <w:t>接受劳务</w:t>
            </w:r>
            <w:r>
              <w:rPr>
                <w:rFonts w:ascii="宋体" w:hAnsi="宋体" w:cs="宋体" w:eastAsia="宋体" w:hint="default"/>
                <w:sz w:val="16"/>
                <w:szCs w:val="16"/>
              </w:rPr>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88"/>
              <w:jc w:val="right"/>
              <w:rPr>
                <w:rFonts w:ascii="Times New Roman" w:hAnsi="Times New Roman" w:cs="Times New Roman" w:eastAsia="Times New Roman" w:hint="default"/>
                <w:sz w:val="16"/>
                <w:szCs w:val="16"/>
              </w:rPr>
            </w:pPr>
            <w:r>
              <w:rPr>
                <w:rFonts w:ascii="Times New Roman"/>
                <w:spacing w:val="-1"/>
                <w:sz w:val="16"/>
              </w:rPr>
              <w:t>1,515,094.30</w:t>
            </w:r>
          </w:p>
        </w:tc>
        <w:tc>
          <w:tcPr>
            <w:tcW w:w="122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4,366,971.57</w:t>
            </w:r>
          </w:p>
        </w:tc>
      </w:tr>
      <w:tr>
        <w:trPr>
          <w:trHeight w:val="353" w:hRule="exact"/>
        </w:trPr>
        <w:tc>
          <w:tcPr>
            <w:tcW w:w="340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桂林长海科技有限责任公司</w:t>
            </w:r>
          </w:p>
        </w:tc>
        <w:tc>
          <w:tcPr>
            <w:tcW w:w="201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30"/>
              <w:jc w:val="right"/>
              <w:rPr>
                <w:rFonts w:ascii="宋体" w:hAnsi="宋体" w:cs="宋体" w:eastAsia="宋体" w:hint="default"/>
                <w:sz w:val="16"/>
                <w:szCs w:val="16"/>
              </w:rPr>
            </w:pPr>
            <w:r>
              <w:rPr>
                <w:rFonts w:ascii="宋体" w:hAnsi="宋体" w:cs="宋体" w:eastAsia="宋体" w:hint="default"/>
                <w:w w:val="95"/>
                <w:sz w:val="16"/>
                <w:szCs w:val="16"/>
              </w:rPr>
              <w:t>接受劳务</w:t>
            </w:r>
            <w:r>
              <w:rPr>
                <w:rFonts w:ascii="宋体" w:hAnsi="宋体" w:cs="宋体" w:eastAsia="宋体" w:hint="default"/>
                <w:sz w:val="16"/>
                <w:szCs w:val="16"/>
              </w:rPr>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88"/>
              <w:jc w:val="right"/>
              <w:rPr>
                <w:rFonts w:ascii="Times New Roman" w:hAnsi="Times New Roman" w:cs="Times New Roman" w:eastAsia="Times New Roman" w:hint="default"/>
                <w:sz w:val="16"/>
                <w:szCs w:val="16"/>
              </w:rPr>
            </w:pPr>
            <w:r>
              <w:rPr>
                <w:rFonts w:ascii="Times New Roman"/>
                <w:spacing w:val="-1"/>
                <w:sz w:val="16"/>
              </w:rPr>
              <w:t>1,031,383.50</w:t>
            </w:r>
          </w:p>
        </w:tc>
        <w:tc>
          <w:tcPr>
            <w:tcW w:w="1229" w:type="dxa"/>
            <w:tcBorders>
              <w:top w:val="nil" w:sz="6" w:space="0" w:color="auto"/>
              <w:left w:val="nil" w:sz="6" w:space="0" w:color="auto"/>
              <w:bottom w:val="nil" w:sz="6" w:space="0" w:color="auto"/>
              <w:right w:val="nil" w:sz="6" w:space="0" w:color="auto"/>
            </w:tcBorders>
          </w:tcPr>
          <w:p>
            <w:pPr/>
          </w:p>
        </w:tc>
      </w:tr>
      <w:tr>
        <w:trPr>
          <w:trHeight w:val="353" w:hRule="exact"/>
        </w:trPr>
        <w:tc>
          <w:tcPr>
            <w:tcW w:w="340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湖南长城银河科技有限公司</w:t>
            </w:r>
          </w:p>
        </w:tc>
        <w:tc>
          <w:tcPr>
            <w:tcW w:w="201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30"/>
              <w:jc w:val="right"/>
              <w:rPr>
                <w:rFonts w:ascii="宋体" w:hAnsi="宋体" w:cs="宋体" w:eastAsia="宋体" w:hint="default"/>
                <w:sz w:val="16"/>
                <w:szCs w:val="16"/>
              </w:rPr>
            </w:pPr>
            <w:r>
              <w:rPr>
                <w:rFonts w:ascii="宋体" w:hAnsi="宋体" w:cs="宋体" w:eastAsia="宋体" w:hint="default"/>
                <w:w w:val="95"/>
                <w:sz w:val="16"/>
                <w:szCs w:val="16"/>
              </w:rPr>
              <w:t>接受劳务</w:t>
            </w:r>
            <w:r>
              <w:rPr>
                <w:rFonts w:ascii="宋体" w:hAnsi="宋体" w:cs="宋体" w:eastAsia="宋体" w:hint="default"/>
                <w:sz w:val="16"/>
                <w:szCs w:val="16"/>
              </w:rPr>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88"/>
              <w:jc w:val="right"/>
              <w:rPr>
                <w:rFonts w:ascii="Times New Roman" w:hAnsi="Times New Roman" w:cs="Times New Roman" w:eastAsia="Times New Roman" w:hint="default"/>
                <w:sz w:val="16"/>
                <w:szCs w:val="16"/>
              </w:rPr>
            </w:pPr>
            <w:r>
              <w:rPr>
                <w:rFonts w:ascii="Times New Roman"/>
                <w:spacing w:val="-1"/>
                <w:sz w:val="16"/>
              </w:rPr>
              <w:t>849,056.60</w:t>
            </w:r>
          </w:p>
        </w:tc>
        <w:tc>
          <w:tcPr>
            <w:tcW w:w="122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51,282.05</w:t>
            </w:r>
          </w:p>
        </w:tc>
      </w:tr>
      <w:tr>
        <w:trPr>
          <w:trHeight w:val="353" w:hRule="exact"/>
        </w:trPr>
        <w:tc>
          <w:tcPr>
            <w:tcW w:w="340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中国电子国际展览广告有限责任公司</w:t>
            </w:r>
          </w:p>
        </w:tc>
        <w:tc>
          <w:tcPr>
            <w:tcW w:w="201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30"/>
              <w:jc w:val="right"/>
              <w:rPr>
                <w:rFonts w:ascii="宋体" w:hAnsi="宋体" w:cs="宋体" w:eastAsia="宋体" w:hint="default"/>
                <w:sz w:val="16"/>
                <w:szCs w:val="16"/>
              </w:rPr>
            </w:pPr>
            <w:r>
              <w:rPr>
                <w:rFonts w:ascii="宋体" w:hAnsi="宋体" w:cs="宋体" w:eastAsia="宋体" w:hint="default"/>
                <w:w w:val="95"/>
                <w:sz w:val="16"/>
                <w:szCs w:val="16"/>
              </w:rPr>
              <w:t>接受劳务</w:t>
            </w:r>
            <w:r>
              <w:rPr>
                <w:rFonts w:ascii="宋体" w:hAnsi="宋体" w:cs="宋体" w:eastAsia="宋体" w:hint="default"/>
                <w:sz w:val="16"/>
                <w:szCs w:val="16"/>
              </w:rPr>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88"/>
              <w:jc w:val="right"/>
              <w:rPr>
                <w:rFonts w:ascii="Times New Roman" w:hAnsi="Times New Roman" w:cs="Times New Roman" w:eastAsia="Times New Roman" w:hint="default"/>
                <w:sz w:val="16"/>
                <w:szCs w:val="16"/>
              </w:rPr>
            </w:pPr>
            <w:r>
              <w:rPr>
                <w:rFonts w:ascii="Times New Roman"/>
                <w:spacing w:val="-1"/>
                <w:sz w:val="16"/>
              </w:rPr>
              <w:t>555,224.15</w:t>
            </w:r>
          </w:p>
        </w:tc>
        <w:tc>
          <w:tcPr>
            <w:tcW w:w="1229" w:type="dxa"/>
            <w:tcBorders>
              <w:top w:val="nil" w:sz="6" w:space="0" w:color="auto"/>
              <w:left w:val="nil" w:sz="6" w:space="0" w:color="auto"/>
              <w:bottom w:val="nil" w:sz="6" w:space="0" w:color="auto"/>
              <w:right w:val="nil" w:sz="6" w:space="0" w:color="auto"/>
            </w:tcBorders>
          </w:tcPr>
          <w:p>
            <w:pPr/>
          </w:p>
        </w:tc>
      </w:tr>
      <w:tr>
        <w:trPr>
          <w:trHeight w:val="354" w:hRule="exact"/>
        </w:trPr>
        <w:tc>
          <w:tcPr>
            <w:tcW w:w="340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中国软件与技术服务股份有限公司</w:t>
            </w:r>
          </w:p>
        </w:tc>
        <w:tc>
          <w:tcPr>
            <w:tcW w:w="201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30"/>
              <w:jc w:val="right"/>
              <w:rPr>
                <w:rFonts w:ascii="宋体" w:hAnsi="宋体" w:cs="宋体" w:eastAsia="宋体" w:hint="default"/>
                <w:sz w:val="16"/>
                <w:szCs w:val="16"/>
              </w:rPr>
            </w:pPr>
            <w:r>
              <w:rPr>
                <w:rFonts w:ascii="宋体" w:hAnsi="宋体" w:cs="宋体" w:eastAsia="宋体" w:hint="default"/>
                <w:w w:val="95"/>
                <w:sz w:val="16"/>
                <w:szCs w:val="16"/>
              </w:rPr>
              <w:t>接受劳务</w:t>
            </w:r>
            <w:r>
              <w:rPr>
                <w:rFonts w:ascii="宋体" w:hAnsi="宋体" w:cs="宋体" w:eastAsia="宋体" w:hint="default"/>
                <w:sz w:val="16"/>
                <w:szCs w:val="16"/>
              </w:rPr>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88"/>
              <w:jc w:val="right"/>
              <w:rPr>
                <w:rFonts w:ascii="Times New Roman" w:hAnsi="Times New Roman" w:cs="Times New Roman" w:eastAsia="Times New Roman" w:hint="default"/>
                <w:sz w:val="16"/>
                <w:szCs w:val="16"/>
              </w:rPr>
            </w:pPr>
            <w:r>
              <w:rPr>
                <w:rFonts w:ascii="Times New Roman"/>
                <w:spacing w:val="-1"/>
                <w:sz w:val="16"/>
              </w:rPr>
              <w:t>341,822.64</w:t>
            </w:r>
          </w:p>
        </w:tc>
        <w:tc>
          <w:tcPr>
            <w:tcW w:w="122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341,822.64</w:t>
            </w:r>
          </w:p>
        </w:tc>
      </w:tr>
      <w:tr>
        <w:trPr>
          <w:trHeight w:val="353" w:hRule="exact"/>
        </w:trPr>
        <w:tc>
          <w:tcPr>
            <w:tcW w:w="340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深圳神彩物流有限公司</w:t>
            </w:r>
          </w:p>
        </w:tc>
        <w:tc>
          <w:tcPr>
            <w:tcW w:w="201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30"/>
              <w:jc w:val="right"/>
              <w:rPr>
                <w:rFonts w:ascii="宋体" w:hAnsi="宋体" w:cs="宋体" w:eastAsia="宋体" w:hint="default"/>
                <w:sz w:val="16"/>
                <w:szCs w:val="16"/>
              </w:rPr>
            </w:pPr>
            <w:r>
              <w:rPr>
                <w:rFonts w:ascii="宋体" w:hAnsi="宋体" w:cs="宋体" w:eastAsia="宋体" w:hint="default"/>
                <w:w w:val="95"/>
                <w:sz w:val="16"/>
                <w:szCs w:val="16"/>
              </w:rPr>
              <w:t>接受劳务</w:t>
            </w:r>
            <w:r>
              <w:rPr>
                <w:rFonts w:ascii="宋体" w:hAnsi="宋体" w:cs="宋体" w:eastAsia="宋体" w:hint="default"/>
                <w:sz w:val="16"/>
                <w:szCs w:val="16"/>
              </w:rPr>
            </w:r>
          </w:p>
        </w:tc>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88"/>
              <w:jc w:val="right"/>
              <w:rPr>
                <w:rFonts w:ascii="Times New Roman" w:hAnsi="Times New Roman" w:cs="Times New Roman" w:eastAsia="Times New Roman" w:hint="default"/>
                <w:sz w:val="16"/>
                <w:szCs w:val="16"/>
              </w:rPr>
            </w:pPr>
            <w:r>
              <w:rPr>
                <w:rFonts w:ascii="Times New Roman"/>
                <w:spacing w:val="-1"/>
                <w:sz w:val="16"/>
              </w:rPr>
              <w:t>216,963.25</w:t>
            </w:r>
          </w:p>
        </w:tc>
        <w:tc>
          <w:tcPr>
            <w:tcW w:w="122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471,004.35</w:t>
            </w:r>
          </w:p>
        </w:tc>
      </w:tr>
      <w:tr>
        <w:trPr>
          <w:trHeight w:val="353" w:hRule="exact"/>
        </w:trPr>
        <w:tc>
          <w:tcPr>
            <w:tcW w:w="340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长沙湘计开拓物业管理有限公司</w:t>
            </w:r>
          </w:p>
        </w:tc>
        <w:tc>
          <w:tcPr>
            <w:tcW w:w="201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30"/>
              <w:jc w:val="right"/>
              <w:rPr>
                <w:rFonts w:ascii="宋体" w:hAnsi="宋体" w:cs="宋体" w:eastAsia="宋体" w:hint="default"/>
                <w:sz w:val="16"/>
                <w:szCs w:val="16"/>
              </w:rPr>
            </w:pPr>
            <w:r>
              <w:rPr>
                <w:rFonts w:ascii="宋体" w:hAnsi="宋体" w:cs="宋体" w:eastAsia="宋体" w:hint="default"/>
                <w:w w:val="95"/>
                <w:sz w:val="16"/>
                <w:szCs w:val="16"/>
              </w:rPr>
              <w:t>接受劳务</w:t>
            </w:r>
            <w:r>
              <w:rPr>
                <w:rFonts w:ascii="宋体" w:hAnsi="宋体" w:cs="宋体" w:eastAsia="宋体" w:hint="default"/>
                <w:sz w:val="16"/>
                <w:szCs w:val="16"/>
              </w:rPr>
            </w:r>
          </w:p>
        </w:tc>
        <w:tc>
          <w:tcPr>
            <w:tcW w:w="1464" w:type="dxa"/>
            <w:tcBorders>
              <w:top w:val="nil" w:sz="6" w:space="0" w:color="auto"/>
              <w:left w:val="nil" w:sz="6" w:space="0" w:color="auto"/>
              <w:bottom w:val="nil" w:sz="6" w:space="0" w:color="auto"/>
              <w:right w:val="nil" w:sz="6" w:space="0" w:color="auto"/>
            </w:tcBorders>
          </w:tcPr>
          <w:p>
            <w:pPr/>
          </w:p>
        </w:tc>
        <w:tc>
          <w:tcPr>
            <w:tcW w:w="122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1,548,202.17</w:t>
            </w:r>
          </w:p>
        </w:tc>
      </w:tr>
      <w:tr>
        <w:trPr>
          <w:trHeight w:val="353" w:hRule="exact"/>
        </w:trPr>
        <w:tc>
          <w:tcPr>
            <w:tcW w:w="340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北京中电瑞达物业有限公司</w:t>
            </w:r>
          </w:p>
        </w:tc>
        <w:tc>
          <w:tcPr>
            <w:tcW w:w="201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30"/>
              <w:jc w:val="right"/>
              <w:rPr>
                <w:rFonts w:ascii="宋体" w:hAnsi="宋体" w:cs="宋体" w:eastAsia="宋体" w:hint="default"/>
                <w:sz w:val="16"/>
                <w:szCs w:val="16"/>
              </w:rPr>
            </w:pPr>
            <w:r>
              <w:rPr>
                <w:rFonts w:ascii="宋体" w:hAnsi="宋体" w:cs="宋体" w:eastAsia="宋体" w:hint="default"/>
                <w:w w:val="95"/>
                <w:sz w:val="16"/>
                <w:szCs w:val="16"/>
              </w:rPr>
              <w:t>接受劳务</w:t>
            </w:r>
            <w:r>
              <w:rPr>
                <w:rFonts w:ascii="宋体" w:hAnsi="宋体" w:cs="宋体" w:eastAsia="宋体" w:hint="default"/>
                <w:sz w:val="16"/>
                <w:szCs w:val="16"/>
              </w:rPr>
            </w:r>
          </w:p>
        </w:tc>
        <w:tc>
          <w:tcPr>
            <w:tcW w:w="1464" w:type="dxa"/>
            <w:tcBorders>
              <w:top w:val="nil" w:sz="6" w:space="0" w:color="auto"/>
              <w:left w:val="nil" w:sz="6" w:space="0" w:color="auto"/>
              <w:bottom w:val="nil" w:sz="6" w:space="0" w:color="auto"/>
              <w:right w:val="nil" w:sz="6" w:space="0" w:color="auto"/>
            </w:tcBorders>
          </w:tcPr>
          <w:p>
            <w:pPr/>
          </w:p>
        </w:tc>
        <w:tc>
          <w:tcPr>
            <w:tcW w:w="122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279,280.18</w:t>
            </w:r>
          </w:p>
        </w:tc>
      </w:tr>
      <w:tr>
        <w:trPr>
          <w:trHeight w:val="353" w:hRule="exact"/>
        </w:trPr>
        <w:tc>
          <w:tcPr>
            <w:tcW w:w="340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深圳中电投资股份有限公司</w:t>
            </w:r>
          </w:p>
        </w:tc>
        <w:tc>
          <w:tcPr>
            <w:tcW w:w="201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30"/>
              <w:jc w:val="right"/>
              <w:rPr>
                <w:rFonts w:ascii="宋体" w:hAnsi="宋体" w:cs="宋体" w:eastAsia="宋体" w:hint="default"/>
                <w:sz w:val="16"/>
                <w:szCs w:val="16"/>
              </w:rPr>
            </w:pPr>
            <w:r>
              <w:rPr>
                <w:rFonts w:ascii="宋体" w:hAnsi="宋体" w:cs="宋体" w:eastAsia="宋体" w:hint="default"/>
                <w:w w:val="95"/>
                <w:sz w:val="16"/>
                <w:szCs w:val="16"/>
              </w:rPr>
              <w:t>接受劳务</w:t>
            </w:r>
            <w:r>
              <w:rPr>
                <w:rFonts w:ascii="宋体" w:hAnsi="宋体" w:cs="宋体" w:eastAsia="宋体" w:hint="default"/>
                <w:sz w:val="16"/>
                <w:szCs w:val="16"/>
              </w:rPr>
            </w:r>
          </w:p>
        </w:tc>
        <w:tc>
          <w:tcPr>
            <w:tcW w:w="1464" w:type="dxa"/>
            <w:tcBorders>
              <w:top w:val="nil" w:sz="6" w:space="0" w:color="auto"/>
              <w:left w:val="nil" w:sz="6" w:space="0" w:color="auto"/>
              <w:bottom w:val="nil" w:sz="6" w:space="0" w:color="auto"/>
              <w:right w:val="nil" w:sz="6" w:space="0" w:color="auto"/>
            </w:tcBorders>
          </w:tcPr>
          <w:p>
            <w:pPr/>
          </w:p>
        </w:tc>
        <w:tc>
          <w:tcPr>
            <w:tcW w:w="122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13,645.50</w:t>
            </w:r>
          </w:p>
        </w:tc>
      </w:tr>
      <w:tr>
        <w:trPr>
          <w:trHeight w:val="357" w:hRule="exact"/>
        </w:trPr>
        <w:tc>
          <w:tcPr>
            <w:tcW w:w="340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长沙智能制造研究总院有限公司</w:t>
            </w:r>
          </w:p>
        </w:tc>
        <w:tc>
          <w:tcPr>
            <w:tcW w:w="201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30"/>
              <w:jc w:val="right"/>
              <w:rPr>
                <w:rFonts w:ascii="宋体" w:hAnsi="宋体" w:cs="宋体" w:eastAsia="宋体" w:hint="default"/>
                <w:sz w:val="16"/>
                <w:szCs w:val="16"/>
              </w:rPr>
            </w:pPr>
            <w:r>
              <w:rPr>
                <w:rFonts w:ascii="宋体" w:hAnsi="宋体" w:cs="宋体" w:eastAsia="宋体" w:hint="default"/>
                <w:w w:val="95"/>
                <w:sz w:val="16"/>
                <w:szCs w:val="16"/>
              </w:rPr>
              <w:t>接受劳务</w:t>
            </w:r>
            <w:r>
              <w:rPr>
                <w:rFonts w:ascii="宋体" w:hAnsi="宋体" w:cs="宋体" w:eastAsia="宋体" w:hint="default"/>
                <w:sz w:val="16"/>
                <w:szCs w:val="16"/>
              </w:rPr>
            </w:r>
          </w:p>
        </w:tc>
        <w:tc>
          <w:tcPr>
            <w:tcW w:w="1464" w:type="dxa"/>
            <w:tcBorders>
              <w:top w:val="nil" w:sz="6" w:space="0" w:color="auto"/>
              <w:left w:val="nil" w:sz="6" w:space="0" w:color="auto"/>
              <w:bottom w:val="nil" w:sz="6" w:space="0" w:color="auto"/>
              <w:right w:val="nil" w:sz="6" w:space="0" w:color="auto"/>
            </w:tcBorders>
          </w:tcPr>
          <w:p>
            <w:pPr/>
          </w:p>
        </w:tc>
        <w:tc>
          <w:tcPr>
            <w:tcW w:w="122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9,433.96</w:t>
            </w:r>
          </w:p>
        </w:tc>
      </w:tr>
    </w:tbl>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21"/>
          <w:szCs w:val="21"/>
        </w:rPr>
      </w:pPr>
    </w:p>
    <w:tbl>
      <w:tblPr>
        <w:tblW w:w="0" w:type="auto"/>
        <w:jc w:val="left"/>
        <w:tblInd w:w="749" w:type="dxa"/>
        <w:tblLayout w:type="fixed"/>
        <w:tblCellMar>
          <w:top w:w="0" w:type="dxa"/>
          <w:left w:w="0" w:type="dxa"/>
          <w:bottom w:w="0" w:type="dxa"/>
          <w:right w:w="0" w:type="dxa"/>
        </w:tblCellMar>
        <w:tblLook w:val="01E0"/>
      </w:tblPr>
      <w:tblGrid>
        <w:gridCol w:w="3483"/>
        <w:gridCol w:w="1700"/>
        <w:gridCol w:w="1594"/>
        <w:gridCol w:w="1410"/>
      </w:tblGrid>
      <w:tr>
        <w:trPr>
          <w:trHeight w:val="357" w:hRule="exact"/>
        </w:trPr>
        <w:tc>
          <w:tcPr>
            <w:tcW w:w="3483"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663" w:right="0"/>
              <w:jc w:val="left"/>
              <w:rPr>
                <w:rFonts w:ascii="宋体" w:hAnsi="宋体" w:cs="宋体" w:eastAsia="宋体" w:hint="default"/>
                <w:sz w:val="21"/>
                <w:szCs w:val="21"/>
              </w:rPr>
            </w:pPr>
            <w:r>
              <w:rPr>
                <w:rFonts w:ascii="宋体" w:hAnsi="宋体" w:cs="宋体" w:eastAsia="宋体" w:hint="default"/>
                <w:sz w:val="21"/>
                <w:szCs w:val="21"/>
              </w:rPr>
              <w:t>出售商品</w:t>
            </w:r>
            <w:r>
              <w:rPr>
                <w:rFonts w:ascii="Times New Roman" w:hAnsi="Times New Roman" w:cs="Times New Roman" w:eastAsia="Times New Roman" w:hint="default"/>
                <w:sz w:val="21"/>
                <w:szCs w:val="21"/>
              </w:rPr>
              <w:t>/</w:t>
            </w:r>
            <w:r>
              <w:rPr>
                <w:rFonts w:ascii="宋体" w:hAnsi="宋体" w:cs="宋体" w:eastAsia="宋体" w:hint="default"/>
                <w:sz w:val="21"/>
                <w:szCs w:val="21"/>
              </w:rPr>
              <w:t>提供劳务情况表</w:t>
            </w:r>
          </w:p>
        </w:tc>
        <w:tc>
          <w:tcPr>
            <w:tcW w:w="4705" w:type="dxa"/>
            <w:gridSpan w:val="3"/>
            <w:tcBorders>
              <w:top w:val="nil" w:sz="6" w:space="0" w:color="auto"/>
              <w:left w:val="nil" w:sz="6" w:space="0" w:color="auto"/>
              <w:bottom w:val="single" w:sz="12" w:space="0" w:color="000000"/>
              <w:right w:val="nil" w:sz="6" w:space="0" w:color="auto"/>
            </w:tcBorders>
          </w:tcPr>
          <w:p>
            <w:pPr/>
          </w:p>
        </w:tc>
      </w:tr>
      <w:tr>
        <w:trPr>
          <w:trHeight w:val="363" w:hRule="exact"/>
        </w:trPr>
        <w:tc>
          <w:tcPr>
            <w:tcW w:w="3483"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38" w:right="0"/>
              <w:jc w:val="center"/>
              <w:rPr>
                <w:rFonts w:ascii="宋体" w:hAnsi="宋体" w:cs="宋体" w:eastAsia="宋体" w:hint="default"/>
                <w:sz w:val="16"/>
                <w:szCs w:val="16"/>
              </w:rPr>
            </w:pPr>
            <w:r>
              <w:rPr>
                <w:rFonts w:ascii="宋体" w:hAnsi="宋体" w:cs="宋体" w:eastAsia="宋体" w:hint="default"/>
                <w:sz w:val="16"/>
                <w:szCs w:val="16"/>
              </w:rPr>
              <w:t>关联方</w:t>
            </w:r>
          </w:p>
        </w:tc>
        <w:tc>
          <w:tcPr>
            <w:tcW w:w="1700"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159" w:right="0"/>
              <w:jc w:val="center"/>
              <w:rPr>
                <w:rFonts w:ascii="宋体" w:hAnsi="宋体" w:cs="宋体" w:eastAsia="宋体" w:hint="default"/>
                <w:sz w:val="16"/>
                <w:szCs w:val="16"/>
              </w:rPr>
            </w:pPr>
            <w:r>
              <w:rPr>
                <w:rFonts w:ascii="宋体" w:hAnsi="宋体" w:cs="宋体" w:eastAsia="宋体" w:hint="default"/>
                <w:sz w:val="16"/>
                <w:szCs w:val="16"/>
              </w:rPr>
              <w:t>关联交易内容</w:t>
            </w:r>
          </w:p>
        </w:tc>
        <w:tc>
          <w:tcPr>
            <w:tcW w:w="1594"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90" w:right="0"/>
              <w:jc w:val="left"/>
              <w:rPr>
                <w:rFonts w:ascii="宋体" w:hAnsi="宋体" w:cs="宋体" w:eastAsia="宋体" w:hint="default"/>
                <w:sz w:val="16"/>
                <w:szCs w:val="16"/>
              </w:rPr>
            </w:pPr>
            <w:r>
              <w:rPr>
                <w:rFonts w:ascii="宋体" w:hAnsi="宋体" w:cs="宋体" w:eastAsia="宋体" w:hint="default"/>
                <w:sz w:val="16"/>
                <w:szCs w:val="16"/>
              </w:rPr>
              <w:t>本期发生额</w:t>
            </w:r>
          </w:p>
        </w:tc>
        <w:tc>
          <w:tcPr>
            <w:tcW w:w="1410"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38" w:right="0"/>
              <w:jc w:val="left"/>
              <w:rPr>
                <w:rFonts w:ascii="宋体" w:hAnsi="宋体" w:cs="宋体" w:eastAsia="宋体" w:hint="default"/>
                <w:sz w:val="16"/>
                <w:szCs w:val="16"/>
              </w:rPr>
            </w:pPr>
            <w:r>
              <w:rPr>
                <w:rFonts w:ascii="宋体" w:hAnsi="宋体" w:cs="宋体" w:eastAsia="宋体" w:hint="default"/>
                <w:sz w:val="16"/>
                <w:szCs w:val="16"/>
              </w:rPr>
              <w:t>上期发生额</w:t>
            </w:r>
          </w:p>
        </w:tc>
      </w:tr>
      <w:tr>
        <w:trPr>
          <w:trHeight w:val="360" w:hRule="exact"/>
        </w:trPr>
        <w:tc>
          <w:tcPr>
            <w:tcW w:w="3483"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7" w:right="0"/>
              <w:jc w:val="left"/>
              <w:rPr>
                <w:rFonts w:ascii="宋体" w:hAnsi="宋体" w:cs="宋体" w:eastAsia="宋体" w:hint="default"/>
                <w:sz w:val="16"/>
                <w:szCs w:val="16"/>
              </w:rPr>
            </w:pPr>
            <w:r>
              <w:rPr>
                <w:rFonts w:ascii="宋体" w:hAnsi="宋体" w:cs="宋体" w:eastAsia="宋体" w:hint="default"/>
                <w:sz w:val="16"/>
                <w:szCs w:val="16"/>
              </w:rPr>
              <w:t>桂林长海科技有限责任公司</w:t>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58" w:right="0"/>
              <w:jc w:val="center"/>
              <w:rPr>
                <w:rFonts w:ascii="宋体" w:hAnsi="宋体" w:cs="宋体" w:eastAsia="宋体" w:hint="default"/>
                <w:sz w:val="16"/>
                <w:szCs w:val="16"/>
              </w:rPr>
            </w:pPr>
            <w:r>
              <w:rPr>
                <w:rFonts w:ascii="宋体" w:hAnsi="宋体" w:cs="宋体" w:eastAsia="宋体" w:hint="default"/>
                <w:sz w:val="16"/>
                <w:szCs w:val="16"/>
              </w:rPr>
              <w:t>销售商品</w:t>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237"/>
              <w:jc w:val="right"/>
              <w:rPr>
                <w:rFonts w:ascii="Times New Roman" w:hAnsi="Times New Roman" w:cs="Times New Roman" w:eastAsia="Times New Roman" w:hint="default"/>
                <w:sz w:val="16"/>
                <w:szCs w:val="16"/>
              </w:rPr>
            </w:pPr>
            <w:r>
              <w:rPr>
                <w:rFonts w:ascii="Times New Roman"/>
                <w:spacing w:val="-1"/>
                <w:sz w:val="16"/>
              </w:rPr>
              <w:t>295,804,183.72</w:t>
            </w:r>
          </w:p>
        </w:tc>
        <w:tc>
          <w:tcPr>
            <w:tcW w:w="1410"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05"/>
              <w:jc w:val="right"/>
              <w:rPr>
                <w:rFonts w:ascii="Times New Roman" w:hAnsi="Times New Roman" w:cs="Times New Roman" w:eastAsia="Times New Roman" w:hint="default"/>
                <w:sz w:val="16"/>
                <w:szCs w:val="16"/>
              </w:rPr>
            </w:pPr>
            <w:r>
              <w:rPr>
                <w:rFonts w:ascii="Times New Roman"/>
                <w:spacing w:val="-1"/>
                <w:sz w:val="16"/>
              </w:rPr>
              <w:t>240,360,899.50</w:t>
            </w:r>
          </w:p>
        </w:tc>
      </w:tr>
      <w:tr>
        <w:trPr>
          <w:trHeight w:val="354" w:hRule="exact"/>
        </w:trPr>
        <w:tc>
          <w:tcPr>
            <w:tcW w:w="3483"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中国软件与技术服务股份有限公司</w:t>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58" w:right="0"/>
              <w:jc w:val="center"/>
              <w:rPr>
                <w:rFonts w:ascii="宋体" w:hAnsi="宋体" w:cs="宋体" w:eastAsia="宋体" w:hint="default"/>
                <w:sz w:val="16"/>
                <w:szCs w:val="16"/>
              </w:rPr>
            </w:pPr>
            <w:r>
              <w:rPr>
                <w:rFonts w:ascii="宋体" w:hAnsi="宋体" w:cs="宋体" w:eastAsia="宋体" w:hint="default"/>
                <w:sz w:val="16"/>
                <w:szCs w:val="16"/>
              </w:rPr>
              <w:t>销售商品</w:t>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36"/>
              <w:jc w:val="right"/>
              <w:rPr>
                <w:rFonts w:ascii="Times New Roman" w:hAnsi="Times New Roman" w:cs="Times New Roman" w:eastAsia="Times New Roman" w:hint="default"/>
                <w:sz w:val="16"/>
                <w:szCs w:val="16"/>
              </w:rPr>
            </w:pPr>
            <w:r>
              <w:rPr>
                <w:rFonts w:ascii="Times New Roman"/>
                <w:spacing w:val="-1"/>
                <w:sz w:val="16"/>
              </w:rPr>
              <w:t>22,912,441.38</w:t>
            </w:r>
          </w:p>
        </w:tc>
        <w:tc>
          <w:tcPr>
            <w:tcW w:w="141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4"/>
              <w:jc w:val="right"/>
              <w:rPr>
                <w:rFonts w:ascii="Times New Roman" w:hAnsi="Times New Roman" w:cs="Times New Roman" w:eastAsia="Times New Roman" w:hint="default"/>
                <w:sz w:val="16"/>
                <w:szCs w:val="16"/>
              </w:rPr>
            </w:pPr>
            <w:r>
              <w:rPr>
                <w:rFonts w:ascii="Times New Roman"/>
                <w:spacing w:val="-1"/>
                <w:sz w:val="16"/>
              </w:rPr>
              <w:t>170,141.03</w:t>
            </w:r>
          </w:p>
        </w:tc>
      </w:tr>
      <w:tr>
        <w:trPr>
          <w:trHeight w:val="353" w:hRule="exact"/>
        </w:trPr>
        <w:tc>
          <w:tcPr>
            <w:tcW w:w="3483"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桂林长海发展有限责任公司</w:t>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58" w:right="0"/>
              <w:jc w:val="center"/>
              <w:rPr>
                <w:rFonts w:ascii="宋体" w:hAnsi="宋体" w:cs="宋体" w:eastAsia="宋体" w:hint="default"/>
                <w:sz w:val="16"/>
                <w:szCs w:val="16"/>
              </w:rPr>
            </w:pPr>
            <w:r>
              <w:rPr>
                <w:rFonts w:ascii="宋体" w:hAnsi="宋体" w:cs="宋体" w:eastAsia="宋体" w:hint="default"/>
                <w:sz w:val="16"/>
                <w:szCs w:val="16"/>
              </w:rPr>
              <w:t>销售商品</w:t>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36"/>
              <w:jc w:val="right"/>
              <w:rPr>
                <w:rFonts w:ascii="Times New Roman" w:hAnsi="Times New Roman" w:cs="Times New Roman" w:eastAsia="Times New Roman" w:hint="default"/>
                <w:sz w:val="16"/>
                <w:szCs w:val="16"/>
              </w:rPr>
            </w:pPr>
            <w:r>
              <w:rPr>
                <w:rFonts w:ascii="Times New Roman"/>
                <w:spacing w:val="-1"/>
                <w:sz w:val="16"/>
              </w:rPr>
              <w:t>15,799,093.00</w:t>
            </w:r>
          </w:p>
        </w:tc>
        <w:tc>
          <w:tcPr>
            <w:tcW w:w="141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5"/>
              <w:jc w:val="right"/>
              <w:rPr>
                <w:rFonts w:ascii="Times New Roman" w:hAnsi="Times New Roman" w:cs="Times New Roman" w:eastAsia="Times New Roman" w:hint="default"/>
                <w:sz w:val="16"/>
                <w:szCs w:val="16"/>
              </w:rPr>
            </w:pPr>
            <w:r>
              <w:rPr>
                <w:rFonts w:ascii="Times New Roman"/>
                <w:spacing w:val="-1"/>
                <w:sz w:val="16"/>
              </w:rPr>
              <w:t>61,415.09</w:t>
            </w:r>
          </w:p>
        </w:tc>
      </w:tr>
      <w:tr>
        <w:trPr>
          <w:trHeight w:val="353" w:hRule="exact"/>
        </w:trPr>
        <w:tc>
          <w:tcPr>
            <w:tcW w:w="3483"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湖南长城银河科技有限公司</w:t>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58" w:right="0"/>
              <w:jc w:val="center"/>
              <w:rPr>
                <w:rFonts w:ascii="宋体" w:hAnsi="宋体" w:cs="宋体" w:eastAsia="宋体" w:hint="default"/>
                <w:sz w:val="16"/>
                <w:szCs w:val="16"/>
              </w:rPr>
            </w:pPr>
            <w:r>
              <w:rPr>
                <w:rFonts w:ascii="宋体" w:hAnsi="宋体" w:cs="宋体" w:eastAsia="宋体" w:hint="default"/>
                <w:sz w:val="16"/>
                <w:szCs w:val="16"/>
              </w:rPr>
              <w:t>销售商品</w:t>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36"/>
              <w:jc w:val="right"/>
              <w:rPr>
                <w:rFonts w:ascii="Times New Roman" w:hAnsi="Times New Roman" w:cs="Times New Roman" w:eastAsia="Times New Roman" w:hint="default"/>
                <w:sz w:val="16"/>
                <w:szCs w:val="16"/>
              </w:rPr>
            </w:pPr>
            <w:r>
              <w:rPr>
                <w:rFonts w:ascii="Times New Roman"/>
                <w:spacing w:val="-1"/>
                <w:sz w:val="16"/>
              </w:rPr>
              <w:t>12,021,119.37</w:t>
            </w:r>
          </w:p>
        </w:tc>
        <w:tc>
          <w:tcPr>
            <w:tcW w:w="141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4"/>
              <w:jc w:val="right"/>
              <w:rPr>
                <w:rFonts w:ascii="Times New Roman" w:hAnsi="Times New Roman" w:cs="Times New Roman" w:eastAsia="Times New Roman" w:hint="default"/>
                <w:sz w:val="16"/>
                <w:szCs w:val="16"/>
              </w:rPr>
            </w:pPr>
            <w:r>
              <w:rPr>
                <w:rFonts w:ascii="Times New Roman"/>
                <w:spacing w:val="-1"/>
                <w:sz w:val="16"/>
              </w:rPr>
              <w:t>7,438,645.82</w:t>
            </w:r>
          </w:p>
        </w:tc>
      </w:tr>
      <w:tr>
        <w:trPr>
          <w:trHeight w:val="353" w:hRule="exact"/>
        </w:trPr>
        <w:tc>
          <w:tcPr>
            <w:tcW w:w="3483"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中软信息系统工程有限公司</w:t>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58" w:right="0"/>
              <w:jc w:val="center"/>
              <w:rPr>
                <w:rFonts w:ascii="宋体" w:hAnsi="宋体" w:cs="宋体" w:eastAsia="宋体" w:hint="default"/>
                <w:sz w:val="16"/>
                <w:szCs w:val="16"/>
              </w:rPr>
            </w:pPr>
            <w:r>
              <w:rPr>
                <w:rFonts w:ascii="宋体" w:hAnsi="宋体" w:cs="宋体" w:eastAsia="宋体" w:hint="default"/>
                <w:sz w:val="16"/>
                <w:szCs w:val="16"/>
              </w:rPr>
              <w:t>销售商品</w:t>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36"/>
              <w:jc w:val="right"/>
              <w:rPr>
                <w:rFonts w:ascii="Times New Roman" w:hAnsi="Times New Roman" w:cs="Times New Roman" w:eastAsia="Times New Roman" w:hint="default"/>
                <w:sz w:val="16"/>
                <w:szCs w:val="16"/>
              </w:rPr>
            </w:pPr>
            <w:r>
              <w:rPr>
                <w:rFonts w:ascii="Times New Roman"/>
                <w:spacing w:val="-1"/>
                <w:sz w:val="16"/>
              </w:rPr>
              <w:t>7,961,206.90</w:t>
            </w:r>
          </w:p>
        </w:tc>
        <w:tc>
          <w:tcPr>
            <w:tcW w:w="141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6"/>
                <w:szCs w:val="16"/>
              </w:rPr>
            </w:pPr>
            <w:r>
              <w:rPr>
                <w:rFonts w:ascii="Times New Roman"/>
                <w:spacing w:val="-1"/>
                <w:sz w:val="16"/>
              </w:rPr>
              <w:t>21,921,967.03</w:t>
            </w:r>
          </w:p>
        </w:tc>
      </w:tr>
      <w:tr>
        <w:trPr>
          <w:trHeight w:val="353" w:hRule="exact"/>
        </w:trPr>
        <w:tc>
          <w:tcPr>
            <w:tcW w:w="3483"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南京中电熊猫液晶显示科技有限公司</w:t>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58" w:right="0"/>
              <w:jc w:val="center"/>
              <w:rPr>
                <w:rFonts w:ascii="宋体" w:hAnsi="宋体" w:cs="宋体" w:eastAsia="宋体" w:hint="default"/>
                <w:sz w:val="16"/>
                <w:szCs w:val="16"/>
              </w:rPr>
            </w:pPr>
            <w:r>
              <w:rPr>
                <w:rFonts w:ascii="宋体" w:hAnsi="宋体" w:cs="宋体" w:eastAsia="宋体" w:hint="default"/>
                <w:sz w:val="16"/>
                <w:szCs w:val="16"/>
              </w:rPr>
              <w:t>销售商品</w:t>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36"/>
              <w:jc w:val="right"/>
              <w:rPr>
                <w:rFonts w:ascii="Times New Roman" w:hAnsi="Times New Roman" w:cs="Times New Roman" w:eastAsia="Times New Roman" w:hint="default"/>
                <w:sz w:val="16"/>
                <w:szCs w:val="16"/>
              </w:rPr>
            </w:pPr>
            <w:r>
              <w:rPr>
                <w:rFonts w:ascii="Times New Roman"/>
                <w:spacing w:val="-1"/>
                <w:sz w:val="16"/>
              </w:rPr>
              <w:t>7,800,515.74</w:t>
            </w:r>
          </w:p>
        </w:tc>
        <w:tc>
          <w:tcPr>
            <w:tcW w:w="141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6"/>
                <w:szCs w:val="16"/>
              </w:rPr>
            </w:pPr>
            <w:r>
              <w:rPr>
                <w:rFonts w:ascii="Times New Roman"/>
                <w:spacing w:val="-1"/>
                <w:w w:val="95"/>
                <w:sz w:val="16"/>
              </w:rPr>
              <w:t>3,041,786.11</w:t>
            </w:r>
            <w:r>
              <w:rPr>
                <w:rFonts w:ascii="Times New Roman"/>
                <w:spacing w:val="-1"/>
                <w:sz w:val="16"/>
              </w:rPr>
            </w:r>
          </w:p>
        </w:tc>
      </w:tr>
      <w:tr>
        <w:trPr>
          <w:trHeight w:val="353" w:hRule="exact"/>
        </w:trPr>
        <w:tc>
          <w:tcPr>
            <w:tcW w:w="3483"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南京中电熊猫平板显示科技有限公司</w:t>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58" w:right="0"/>
              <w:jc w:val="center"/>
              <w:rPr>
                <w:rFonts w:ascii="宋体" w:hAnsi="宋体" w:cs="宋体" w:eastAsia="宋体" w:hint="default"/>
                <w:sz w:val="16"/>
                <w:szCs w:val="16"/>
              </w:rPr>
            </w:pPr>
            <w:r>
              <w:rPr>
                <w:rFonts w:ascii="宋体" w:hAnsi="宋体" w:cs="宋体" w:eastAsia="宋体" w:hint="default"/>
                <w:sz w:val="16"/>
                <w:szCs w:val="16"/>
              </w:rPr>
              <w:t>销售商品</w:t>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36"/>
              <w:jc w:val="right"/>
              <w:rPr>
                <w:rFonts w:ascii="Times New Roman" w:hAnsi="Times New Roman" w:cs="Times New Roman" w:eastAsia="Times New Roman" w:hint="default"/>
                <w:sz w:val="16"/>
                <w:szCs w:val="16"/>
              </w:rPr>
            </w:pPr>
            <w:r>
              <w:rPr>
                <w:rFonts w:ascii="Times New Roman"/>
                <w:spacing w:val="-1"/>
                <w:sz w:val="16"/>
              </w:rPr>
              <w:t>6,895,721.44</w:t>
            </w:r>
          </w:p>
        </w:tc>
        <w:tc>
          <w:tcPr>
            <w:tcW w:w="141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6"/>
                <w:szCs w:val="16"/>
              </w:rPr>
            </w:pPr>
            <w:r>
              <w:rPr>
                <w:rFonts w:ascii="Times New Roman"/>
                <w:spacing w:val="-1"/>
                <w:sz w:val="16"/>
              </w:rPr>
              <w:t>92,799,636.92</w:t>
            </w:r>
          </w:p>
        </w:tc>
      </w:tr>
      <w:tr>
        <w:trPr>
          <w:trHeight w:val="354" w:hRule="exact"/>
        </w:trPr>
        <w:tc>
          <w:tcPr>
            <w:tcW w:w="3483"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中电系统建设工程有限公司</w:t>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58" w:right="0"/>
              <w:jc w:val="center"/>
              <w:rPr>
                <w:rFonts w:ascii="宋体" w:hAnsi="宋体" w:cs="宋体" w:eastAsia="宋体" w:hint="default"/>
                <w:sz w:val="16"/>
                <w:szCs w:val="16"/>
              </w:rPr>
            </w:pPr>
            <w:r>
              <w:rPr>
                <w:rFonts w:ascii="宋体" w:hAnsi="宋体" w:cs="宋体" w:eastAsia="宋体" w:hint="default"/>
                <w:sz w:val="16"/>
                <w:szCs w:val="16"/>
              </w:rPr>
              <w:t>销售商品</w:t>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36"/>
              <w:jc w:val="right"/>
              <w:rPr>
                <w:rFonts w:ascii="Times New Roman" w:hAnsi="Times New Roman" w:cs="Times New Roman" w:eastAsia="Times New Roman" w:hint="default"/>
                <w:sz w:val="16"/>
                <w:szCs w:val="16"/>
              </w:rPr>
            </w:pPr>
            <w:r>
              <w:rPr>
                <w:rFonts w:ascii="Times New Roman"/>
                <w:spacing w:val="-1"/>
                <w:sz w:val="16"/>
              </w:rPr>
              <w:t>3,144,876.45</w:t>
            </w:r>
          </w:p>
        </w:tc>
        <w:tc>
          <w:tcPr>
            <w:tcW w:w="1410" w:type="dxa"/>
            <w:tcBorders>
              <w:top w:val="nil" w:sz="6" w:space="0" w:color="auto"/>
              <w:left w:val="nil" w:sz="6" w:space="0" w:color="auto"/>
              <w:bottom w:val="nil" w:sz="6" w:space="0" w:color="auto"/>
              <w:right w:val="nil" w:sz="6" w:space="0" w:color="auto"/>
            </w:tcBorders>
          </w:tcPr>
          <w:p>
            <w:pPr/>
          </w:p>
        </w:tc>
      </w:tr>
      <w:tr>
        <w:trPr>
          <w:trHeight w:val="353" w:hRule="exact"/>
        </w:trPr>
        <w:tc>
          <w:tcPr>
            <w:tcW w:w="3483"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中电长城网际系统应用有限公司</w:t>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58" w:right="0"/>
              <w:jc w:val="center"/>
              <w:rPr>
                <w:rFonts w:ascii="宋体" w:hAnsi="宋体" w:cs="宋体" w:eastAsia="宋体" w:hint="default"/>
                <w:sz w:val="16"/>
                <w:szCs w:val="16"/>
              </w:rPr>
            </w:pPr>
            <w:r>
              <w:rPr>
                <w:rFonts w:ascii="宋体" w:hAnsi="宋体" w:cs="宋体" w:eastAsia="宋体" w:hint="default"/>
                <w:sz w:val="16"/>
                <w:szCs w:val="16"/>
              </w:rPr>
              <w:t>销售商品</w:t>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36"/>
              <w:jc w:val="right"/>
              <w:rPr>
                <w:rFonts w:ascii="Times New Roman" w:hAnsi="Times New Roman" w:cs="Times New Roman" w:eastAsia="Times New Roman" w:hint="default"/>
                <w:sz w:val="16"/>
                <w:szCs w:val="16"/>
              </w:rPr>
            </w:pPr>
            <w:r>
              <w:rPr>
                <w:rFonts w:ascii="Times New Roman"/>
                <w:spacing w:val="-1"/>
                <w:sz w:val="16"/>
              </w:rPr>
              <w:t>2,264,357.44</w:t>
            </w:r>
          </w:p>
        </w:tc>
        <w:tc>
          <w:tcPr>
            <w:tcW w:w="141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4"/>
              <w:jc w:val="right"/>
              <w:rPr>
                <w:rFonts w:ascii="Times New Roman" w:hAnsi="Times New Roman" w:cs="Times New Roman" w:eastAsia="Times New Roman" w:hint="default"/>
                <w:sz w:val="16"/>
                <w:szCs w:val="16"/>
              </w:rPr>
            </w:pPr>
            <w:r>
              <w:rPr>
                <w:rFonts w:ascii="Times New Roman"/>
                <w:spacing w:val="-1"/>
                <w:sz w:val="16"/>
              </w:rPr>
              <w:t>8,952,733.34</w:t>
            </w:r>
          </w:p>
        </w:tc>
      </w:tr>
      <w:tr>
        <w:trPr>
          <w:trHeight w:val="353" w:hRule="exact"/>
        </w:trPr>
        <w:tc>
          <w:tcPr>
            <w:tcW w:w="3483"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中国电子系统技术有限公司</w:t>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58" w:right="0"/>
              <w:jc w:val="center"/>
              <w:rPr>
                <w:rFonts w:ascii="宋体" w:hAnsi="宋体" w:cs="宋体" w:eastAsia="宋体" w:hint="default"/>
                <w:sz w:val="16"/>
                <w:szCs w:val="16"/>
              </w:rPr>
            </w:pPr>
            <w:r>
              <w:rPr>
                <w:rFonts w:ascii="宋体" w:hAnsi="宋体" w:cs="宋体" w:eastAsia="宋体" w:hint="default"/>
                <w:sz w:val="16"/>
                <w:szCs w:val="16"/>
              </w:rPr>
              <w:t>销售商品</w:t>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36"/>
              <w:jc w:val="right"/>
              <w:rPr>
                <w:rFonts w:ascii="Times New Roman" w:hAnsi="Times New Roman" w:cs="Times New Roman" w:eastAsia="Times New Roman" w:hint="default"/>
                <w:sz w:val="16"/>
                <w:szCs w:val="16"/>
              </w:rPr>
            </w:pPr>
            <w:r>
              <w:rPr>
                <w:rFonts w:ascii="Times New Roman"/>
                <w:spacing w:val="-1"/>
                <w:sz w:val="16"/>
              </w:rPr>
              <w:t>2,080,281.55</w:t>
            </w:r>
          </w:p>
        </w:tc>
        <w:tc>
          <w:tcPr>
            <w:tcW w:w="1410" w:type="dxa"/>
            <w:tcBorders>
              <w:top w:val="nil" w:sz="6" w:space="0" w:color="auto"/>
              <w:left w:val="nil" w:sz="6" w:space="0" w:color="auto"/>
              <w:bottom w:val="nil" w:sz="6" w:space="0" w:color="auto"/>
              <w:right w:val="nil" w:sz="6" w:space="0" w:color="auto"/>
            </w:tcBorders>
          </w:tcPr>
          <w:p>
            <w:pPr/>
          </w:p>
        </w:tc>
      </w:tr>
      <w:tr>
        <w:trPr>
          <w:trHeight w:val="353" w:hRule="exact"/>
        </w:trPr>
        <w:tc>
          <w:tcPr>
            <w:tcW w:w="3483"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迈普通信技术股份有限公司</w:t>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58" w:right="0"/>
              <w:jc w:val="center"/>
              <w:rPr>
                <w:rFonts w:ascii="宋体" w:hAnsi="宋体" w:cs="宋体" w:eastAsia="宋体" w:hint="default"/>
                <w:sz w:val="16"/>
                <w:szCs w:val="16"/>
              </w:rPr>
            </w:pPr>
            <w:r>
              <w:rPr>
                <w:rFonts w:ascii="宋体" w:hAnsi="宋体" w:cs="宋体" w:eastAsia="宋体" w:hint="default"/>
                <w:sz w:val="16"/>
                <w:szCs w:val="16"/>
              </w:rPr>
              <w:t>销售商品</w:t>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36"/>
              <w:jc w:val="right"/>
              <w:rPr>
                <w:rFonts w:ascii="Times New Roman" w:hAnsi="Times New Roman" w:cs="Times New Roman" w:eastAsia="Times New Roman" w:hint="default"/>
                <w:sz w:val="16"/>
                <w:szCs w:val="16"/>
              </w:rPr>
            </w:pPr>
            <w:r>
              <w:rPr>
                <w:rFonts w:ascii="Times New Roman"/>
                <w:spacing w:val="-1"/>
                <w:sz w:val="16"/>
              </w:rPr>
              <w:t>906,702.50</w:t>
            </w:r>
          </w:p>
        </w:tc>
        <w:tc>
          <w:tcPr>
            <w:tcW w:w="141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4"/>
              <w:jc w:val="right"/>
              <w:rPr>
                <w:rFonts w:ascii="Times New Roman" w:hAnsi="Times New Roman" w:cs="Times New Roman" w:eastAsia="Times New Roman" w:hint="default"/>
                <w:sz w:val="16"/>
                <w:szCs w:val="16"/>
              </w:rPr>
            </w:pPr>
            <w:r>
              <w:rPr>
                <w:rFonts w:ascii="Times New Roman"/>
                <w:spacing w:val="-1"/>
                <w:sz w:val="16"/>
              </w:rPr>
              <w:t>287,333.34</w:t>
            </w:r>
          </w:p>
        </w:tc>
      </w:tr>
      <w:tr>
        <w:trPr>
          <w:trHeight w:val="353" w:hRule="exact"/>
        </w:trPr>
        <w:tc>
          <w:tcPr>
            <w:tcW w:w="3483"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长城计算机软件与系统有限公司</w:t>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58" w:right="0"/>
              <w:jc w:val="center"/>
              <w:rPr>
                <w:rFonts w:ascii="宋体" w:hAnsi="宋体" w:cs="宋体" w:eastAsia="宋体" w:hint="default"/>
                <w:sz w:val="16"/>
                <w:szCs w:val="16"/>
              </w:rPr>
            </w:pPr>
            <w:r>
              <w:rPr>
                <w:rFonts w:ascii="宋体" w:hAnsi="宋体" w:cs="宋体" w:eastAsia="宋体" w:hint="default"/>
                <w:sz w:val="16"/>
                <w:szCs w:val="16"/>
              </w:rPr>
              <w:t>销售商品</w:t>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36"/>
              <w:jc w:val="right"/>
              <w:rPr>
                <w:rFonts w:ascii="Times New Roman" w:hAnsi="Times New Roman" w:cs="Times New Roman" w:eastAsia="Times New Roman" w:hint="default"/>
                <w:sz w:val="16"/>
                <w:szCs w:val="16"/>
              </w:rPr>
            </w:pPr>
            <w:r>
              <w:rPr>
                <w:rFonts w:ascii="Times New Roman"/>
                <w:spacing w:val="-1"/>
                <w:sz w:val="16"/>
              </w:rPr>
              <w:t>765,862.07</w:t>
            </w:r>
          </w:p>
        </w:tc>
        <w:tc>
          <w:tcPr>
            <w:tcW w:w="1410" w:type="dxa"/>
            <w:tcBorders>
              <w:top w:val="nil" w:sz="6" w:space="0" w:color="auto"/>
              <w:left w:val="nil" w:sz="6" w:space="0" w:color="auto"/>
              <w:bottom w:val="nil" w:sz="6" w:space="0" w:color="auto"/>
              <w:right w:val="nil" w:sz="6" w:space="0" w:color="auto"/>
            </w:tcBorders>
          </w:tcPr>
          <w:p>
            <w:pPr/>
          </w:p>
        </w:tc>
      </w:tr>
      <w:tr>
        <w:trPr>
          <w:trHeight w:val="353" w:hRule="exact"/>
        </w:trPr>
        <w:tc>
          <w:tcPr>
            <w:tcW w:w="3483"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成都锦江电子系统工程有限公司</w:t>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58" w:right="0"/>
              <w:jc w:val="center"/>
              <w:rPr>
                <w:rFonts w:ascii="宋体" w:hAnsi="宋体" w:cs="宋体" w:eastAsia="宋体" w:hint="default"/>
                <w:sz w:val="16"/>
                <w:szCs w:val="16"/>
              </w:rPr>
            </w:pPr>
            <w:r>
              <w:rPr>
                <w:rFonts w:ascii="宋体" w:hAnsi="宋体" w:cs="宋体" w:eastAsia="宋体" w:hint="default"/>
                <w:sz w:val="16"/>
                <w:szCs w:val="16"/>
              </w:rPr>
              <w:t>销售商品</w:t>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36"/>
              <w:jc w:val="right"/>
              <w:rPr>
                <w:rFonts w:ascii="Times New Roman" w:hAnsi="Times New Roman" w:cs="Times New Roman" w:eastAsia="Times New Roman" w:hint="default"/>
                <w:sz w:val="16"/>
                <w:szCs w:val="16"/>
              </w:rPr>
            </w:pPr>
            <w:r>
              <w:rPr>
                <w:rFonts w:ascii="Times New Roman"/>
                <w:spacing w:val="-1"/>
                <w:sz w:val="16"/>
              </w:rPr>
              <w:t>571,000.00</w:t>
            </w:r>
          </w:p>
        </w:tc>
        <w:tc>
          <w:tcPr>
            <w:tcW w:w="141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4"/>
              <w:jc w:val="right"/>
              <w:rPr>
                <w:rFonts w:ascii="Times New Roman" w:hAnsi="Times New Roman" w:cs="Times New Roman" w:eastAsia="Times New Roman" w:hint="default"/>
                <w:sz w:val="16"/>
                <w:szCs w:val="16"/>
              </w:rPr>
            </w:pPr>
            <w:r>
              <w:rPr>
                <w:rFonts w:ascii="Times New Roman"/>
                <w:spacing w:val="-1"/>
                <w:sz w:val="16"/>
              </w:rPr>
              <w:t>1,764,000.00</w:t>
            </w:r>
          </w:p>
        </w:tc>
      </w:tr>
      <w:tr>
        <w:trPr>
          <w:trHeight w:val="354" w:hRule="exact"/>
        </w:trPr>
        <w:tc>
          <w:tcPr>
            <w:tcW w:w="3483"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长城超云（北京）科技有限公司</w:t>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58" w:right="0"/>
              <w:jc w:val="center"/>
              <w:rPr>
                <w:rFonts w:ascii="宋体" w:hAnsi="宋体" w:cs="宋体" w:eastAsia="宋体" w:hint="default"/>
                <w:sz w:val="16"/>
                <w:szCs w:val="16"/>
              </w:rPr>
            </w:pPr>
            <w:r>
              <w:rPr>
                <w:rFonts w:ascii="宋体" w:hAnsi="宋体" w:cs="宋体" w:eastAsia="宋体" w:hint="default"/>
                <w:sz w:val="16"/>
                <w:szCs w:val="16"/>
              </w:rPr>
              <w:t>销售商品</w:t>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36"/>
              <w:jc w:val="right"/>
              <w:rPr>
                <w:rFonts w:ascii="Times New Roman" w:hAnsi="Times New Roman" w:cs="Times New Roman" w:eastAsia="Times New Roman" w:hint="default"/>
                <w:sz w:val="16"/>
                <w:szCs w:val="16"/>
              </w:rPr>
            </w:pPr>
            <w:r>
              <w:rPr>
                <w:rFonts w:ascii="Times New Roman"/>
                <w:spacing w:val="-1"/>
                <w:sz w:val="16"/>
              </w:rPr>
              <w:t>569,860.35</w:t>
            </w:r>
          </w:p>
        </w:tc>
        <w:tc>
          <w:tcPr>
            <w:tcW w:w="1410" w:type="dxa"/>
            <w:tcBorders>
              <w:top w:val="nil" w:sz="6" w:space="0" w:color="auto"/>
              <w:left w:val="nil" w:sz="6" w:space="0" w:color="auto"/>
              <w:bottom w:val="nil" w:sz="6" w:space="0" w:color="auto"/>
              <w:right w:val="nil" w:sz="6" w:space="0" w:color="auto"/>
            </w:tcBorders>
          </w:tcPr>
          <w:p>
            <w:pPr/>
          </w:p>
        </w:tc>
      </w:tr>
      <w:tr>
        <w:trPr>
          <w:trHeight w:val="353" w:hRule="exact"/>
        </w:trPr>
        <w:tc>
          <w:tcPr>
            <w:tcW w:w="3483"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福建捷联电子有限公司</w:t>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58" w:right="0"/>
              <w:jc w:val="center"/>
              <w:rPr>
                <w:rFonts w:ascii="宋体" w:hAnsi="宋体" w:cs="宋体" w:eastAsia="宋体" w:hint="default"/>
                <w:sz w:val="16"/>
                <w:szCs w:val="16"/>
              </w:rPr>
            </w:pPr>
            <w:r>
              <w:rPr>
                <w:rFonts w:ascii="宋体" w:hAnsi="宋体" w:cs="宋体" w:eastAsia="宋体" w:hint="default"/>
                <w:sz w:val="16"/>
                <w:szCs w:val="16"/>
              </w:rPr>
              <w:t>销售商品</w:t>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36"/>
              <w:jc w:val="right"/>
              <w:rPr>
                <w:rFonts w:ascii="Times New Roman" w:hAnsi="Times New Roman" w:cs="Times New Roman" w:eastAsia="Times New Roman" w:hint="default"/>
                <w:sz w:val="16"/>
                <w:szCs w:val="16"/>
              </w:rPr>
            </w:pPr>
            <w:r>
              <w:rPr>
                <w:rFonts w:ascii="Times New Roman"/>
                <w:spacing w:val="-1"/>
                <w:sz w:val="16"/>
              </w:rPr>
              <w:t>529,783.14</w:t>
            </w:r>
          </w:p>
        </w:tc>
        <w:tc>
          <w:tcPr>
            <w:tcW w:w="141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6"/>
                <w:szCs w:val="16"/>
              </w:rPr>
            </w:pPr>
            <w:r>
              <w:rPr>
                <w:rFonts w:ascii="Times New Roman"/>
                <w:spacing w:val="-1"/>
                <w:sz w:val="16"/>
              </w:rPr>
              <w:t>943,485.73</w:t>
            </w:r>
          </w:p>
        </w:tc>
      </w:tr>
      <w:tr>
        <w:trPr>
          <w:trHeight w:val="353" w:hRule="exact"/>
        </w:trPr>
        <w:tc>
          <w:tcPr>
            <w:tcW w:w="3483"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惠州长城开发科技有限公司</w:t>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58" w:right="0"/>
              <w:jc w:val="center"/>
              <w:rPr>
                <w:rFonts w:ascii="宋体" w:hAnsi="宋体" w:cs="宋体" w:eastAsia="宋体" w:hint="default"/>
                <w:sz w:val="16"/>
                <w:szCs w:val="16"/>
              </w:rPr>
            </w:pPr>
            <w:r>
              <w:rPr>
                <w:rFonts w:ascii="宋体" w:hAnsi="宋体" w:cs="宋体" w:eastAsia="宋体" w:hint="default"/>
                <w:sz w:val="16"/>
                <w:szCs w:val="16"/>
              </w:rPr>
              <w:t>销售商品</w:t>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36"/>
              <w:jc w:val="right"/>
              <w:rPr>
                <w:rFonts w:ascii="Times New Roman" w:hAnsi="Times New Roman" w:cs="Times New Roman" w:eastAsia="Times New Roman" w:hint="default"/>
                <w:sz w:val="16"/>
                <w:szCs w:val="16"/>
              </w:rPr>
            </w:pPr>
            <w:r>
              <w:rPr>
                <w:rFonts w:ascii="Times New Roman"/>
                <w:spacing w:val="-1"/>
                <w:sz w:val="16"/>
              </w:rPr>
              <w:t>489,853.20</w:t>
            </w:r>
          </w:p>
        </w:tc>
        <w:tc>
          <w:tcPr>
            <w:tcW w:w="141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4"/>
              <w:jc w:val="right"/>
              <w:rPr>
                <w:rFonts w:ascii="Times New Roman" w:hAnsi="Times New Roman" w:cs="Times New Roman" w:eastAsia="Times New Roman" w:hint="default"/>
                <w:sz w:val="16"/>
                <w:szCs w:val="16"/>
              </w:rPr>
            </w:pPr>
            <w:r>
              <w:rPr>
                <w:rFonts w:ascii="Times New Roman"/>
                <w:spacing w:val="-1"/>
                <w:sz w:val="16"/>
              </w:rPr>
              <w:t>518,198.15</w:t>
            </w:r>
          </w:p>
        </w:tc>
      </w:tr>
      <w:tr>
        <w:trPr>
          <w:trHeight w:val="353" w:hRule="exact"/>
        </w:trPr>
        <w:tc>
          <w:tcPr>
            <w:tcW w:w="3483"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北京中软万维网络技术有限公司</w:t>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58" w:right="0"/>
              <w:jc w:val="center"/>
              <w:rPr>
                <w:rFonts w:ascii="宋体" w:hAnsi="宋体" w:cs="宋体" w:eastAsia="宋体" w:hint="default"/>
                <w:sz w:val="16"/>
                <w:szCs w:val="16"/>
              </w:rPr>
            </w:pPr>
            <w:r>
              <w:rPr>
                <w:rFonts w:ascii="宋体" w:hAnsi="宋体" w:cs="宋体" w:eastAsia="宋体" w:hint="default"/>
                <w:sz w:val="16"/>
                <w:szCs w:val="16"/>
              </w:rPr>
              <w:t>销售商品</w:t>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36"/>
              <w:jc w:val="right"/>
              <w:rPr>
                <w:rFonts w:ascii="Times New Roman" w:hAnsi="Times New Roman" w:cs="Times New Roman" w:eastAsia="Times New Roman" w:hint="default"/>
                <w:sz w:val="16"/>
                <w:szCs w:val="16"/>
              </w:rPr>
            </w:pPr>
            <w:r>
              <w:rPr>
                <w:rFonts w:ascii="Times New Roman"/>
                <w:spacing w:val="-1"/>
                <w:sz w:val="16"/>
              </w:rPr>
              <w:t>428,076.92</w:t>
            </w:r>
          </w:p>
        </w:tc>
        <w:tc>
          <w:tcPr>
            <w:tcW w:w="141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6"/>
                <w:szCs w:val="16"/>
              </w:rPr>
            </w:pPr>
            <w:r>
              <w:rPr>
                <w:rFonts w:ascii="Times New Roman"/>
                <w:spacing w:val="-1"/>
                <w:sz w:val="16"/>
              </w:rPr>
              <w:t>538,034.19</w:t>
            </w:r>
          </w:p>
        </w:tc>
      </w:tr>
      <w:tr>
        <w:trPr>
          <w:trHeight w:val="353" w:hRule="exact"/>
        </w:trPr>
        <w:tc>
          <w:tcPr>
            <w:tcW w:w="3483"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南京中软软件与技术服务有限公司</w:t>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58" w:right="0"/>
              <w:jc w:val="center"/>
              <w:rPr>
                <w:rFonts w:ascii="宋体" w:hAnsi="宋体" w:cs="宋体" w:eastAsia="宋体" w:hint="default"/>
                <w:sz w:val="16"/>
                <w:szCs w:val="16"/>
              </w:rPr>
            </w:pPr>
            <w:r>
              <w:rPr>
                <w:rFonts w:ascii="宋体" w:hAnsi="宋体" w:cs="宋体" w:eastAsia="宋体" w:hint="default"/>
                <w:sz w:val="16"/>
                <w:szCs w:val="16"/>
              </w:rPr>
              <w:t>销售商品</w:t>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36"/>
              <w:jc w:val="right"/>
              <w:rPr>
                <w:rFonts w:ascii="Times New Roman" w:hAnsi="Times New Roman" w:cs="Times New Roman" w:eastAsia="Times New Roman" w:hint="default"/>
                <w:sz w:val="16"/>
                <w:szCs w:val="16"/>
              </w:rPr>
            </w:pPr>
            <w:r>
              <w:rPr>
                <w:rFonts w:ascii="Times New Roman"/>
                <w:spacing w:val="-1"/>
                <w:sz w:val="16"/>
              </w:rPr>
              <w:t>173,282.05</w:t>
            </w:r>
          </w:p>
        </w:tc>
        <w:tc>
          <w:tcPr>
            <w:tcW w:w="1410" w:type="dxa"/>
            <w:tcBorders>
              <w:top w:val="nil" w:sz="6" w:space="0" w:color="auto"/>
              <w:left w:val="nil" w:sz="6" w:space="0" w:color="auto"/>
              <w:bottom w:val="nil" w:sz="6" w:space="0" w:color="auto"/>
              <w:right w:val="nil" w:sz="6" w:space="0" w:color="auto"/>
            </w:tcBorders>
          </w:tcPr>
          <w:p>
            <w:pPr/>
          </w:p>
        </w:tc>
      </w:tr>
      <w:tr>
        <w:trPr>
          <w:trHeight w:val="353" w:hRule="exact"/>
        </w:trPr>
        <w:tc>
          <w:tcPr>
            <w:tcW w:w="3483"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中国电子进出口有限公司</w:t>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58" w:right="0"/>
              <w:jc w:val="center"/>
              <w:rPr>
                <w:rFonts w:ascii="宋体" w:hAnsi="宋体" w:cs="宋体" w:eastAsia="宋体" w:hint="default"/>
                <w:sz w:val="16"/>
                <w:szCs w:val="16"/>
              </w:rPr>
            </w:pPr>
            <w:r>
              <w:rPr>
                <w:rFonts w:ascii="宋体" w:hAnsi="宋体" w:cs="宋体" w:eastAsia="宋体" w:hint="default"/>
                <w:sz w:val="16"/>
                <w:szCs w:val="16"/>
              </w:rPr>
              <w:t>销售商品</w:t>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36"/>
              <w:jc w:val="right"/>
              <w:rPr>
                <w:rFonts w:ascii="Times New Roman" w:hAnsi="Times New Roman" w:cs="Times New Roman" w:eastAsia="Times New Roman" w:hint="default"/>
                <w:sz w:val="16"/>
                <w:szCs w:val="16"/>
              </w:rPr>
            </w:pPr>
            <w:r>
              <w:rPr>
                <w:rFonts w:ascii="Times New Roman"/>
                <w:spacing w:val="-1"/>
                <w:sz w:val="16"/>
              </w:rPr>
              <w:t>144,756.75</w:t>
            </w:r>
          </w:p>
        </w:tc>
        <w:tc>
          <w:tcPr>
            <w:tcW w:w="141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6"/>
                <w:szCs w:val="16"/>
              </w:rPr>
            </w:pPr>
            <w:r>
              <w:rPr>
                <w:rFonts w:ascii="Times New Roman"/>
                <w:spacing w:val="-1"/>
                <w:sz w:val="16"/>
              </w:rPr>
              <w:t>11,347,750.00</w:t>
            </w:r>
          </w:p>
        </w:tc>
      </w:tr>
      <w:tr>
        <w:trPr>
          <w:trHeight w:val="353" w:hRule="exact"/>
        </w:trPr>
        <w:tc>
          <w:tcPr>
            <w:tcW w:w="3483"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武汉长江融达电子有限公司</w:t>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58" w:right="0"/>
              <w:jc w:val="center"/>
              <w:rPr>
                <w:rFonts w:ascii="宋体" w:hAnsi="宋体" w:cs="宋体" w:eastAsia="宋体" w:hint="default"/>
                <w:sz w:val="16"/>
                <w:szCs w:val="16"/>
              </w:rPr>
            </w:pPr>
            <w:r>
              <w:rPr>
                <w:rFonts w:ascii="宋体" w:hAnsi="宋体" w:cs="宋体" w:eastAsia="宋体" w:hint="default"/>
                <w:sz w:val="16"/>
                <w:szCs w:val="16"/>
              </w:rPr>
              <w:t>销售商品</w:t>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36"/>
              <w:jc w:val="right"/>
              <w:rPr>
                <w:rFonts w:ascii="Times New Roman" w:hAnsi="Times New Roman" w:cs="Times New Roman" w:eastAsia="Times New Roman" w:hint="default"/>
                <w:sz w:val="16"/>
                <w:szCs w:val="16"/>
              </w:rPr>
            </w:pPr>
            <w:r>
              <w:rPr>
                <w:rFonts w:ascii="Times New Roman"/>
                <w:spacing w:val="-1"/>
                <w:sz w:val="16"/>
              </w:rPr>
              <w:t>102,241.40</w:t>
            </w:r>
          </w:p>
        </w:tc>
        <w:tc>
          <w:tcPr>
            <w:tcW w:w="141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4"/>
              <w:jc w:val="right"/>
              <w:rPr>
                <w:rFonts w:ascii="Times New Roman" w:hAnsi="Times New Roman" w:cs="Times New Roman" w:eastAsia="Times New Roman" w:hint="default"/>
                <w:sz w:val="16"/>
                <w:szCs w:val="16"/>
              </w:rPr>
            </w:pPr>
            <w:r>
              <w:rPr>
                <w:rFonts w:ascii="Times New Roman"/>
                <w:spacing w:val="-1"/>
                <w:sz w:val="16"/>
              </w:rPr>
              <w:t>283,080.27</w:t>
            </w:r>
          </w:p>
        </w:tc>
      </w:tr>
      <w:tr>
        <w:trPr>
          <w:trHeight w:val="357" w:hRule="exact"/>
        </w:trPr>
        <w:tc>
          <w:tcPr>
            <w:tcW w:w="3483"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成都长城开发科技有限公司</w:t>
            </w:r>
          </w:p>
        </w:tc>
        <w:tc>
          <w:tcPr>
            <w:tcW w:w="1700"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left="158" w:right="0"/>
              <w:jc w:val="center"/>
              <w:rPr>
                <w:rFonts w:ascii="宋体" w:hAnsi="宋体" w:cs="宋体" w:eastAsia="宋体" w:hint="default"/>
                <w:sz w:val="16"/>
                <w:szCs w:val="16"/>
              </w:rPr>
            </w:pPr>
            <w:r>
              <w:rPr>
                <w:rFonts w:ascii="宋体" w:hAnsi="宋体" w:cs="宋体" w:eastAsia="宋体" w:hint="default"/>
                <w:sz w:val="16"/>
                <w:szCs w:val="16"/>
              </w:rPr>
              <w:t>销售商品</w:t>
            </w:r>
          </w:p>
        </w:tc>
        <w:tc>
          <w:tcPr>
            <w:tcW w:w="1594"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right="237"/>
              <w:jc w:val="right"/>
              <w:rPr>
                <w:rFonts w:ascii="Times New Roman" w:hAnsi="Times New Roman" w:cs="Times New Roman" w:eastAsia="Times New Roman" w:hint="default"/>
                <w:sz w:val="16"/>
                <w:szCs w:val="16"/>
              </w:rPr>
            </w:pPr>
            <w:r>
              <w:rPr>
                <w:rFonts w:ascii="Times New Roman"/>
                <w:spacing w:val="-1"/>
                <w:sz w:val="16"/>
              </w:rPr>
              <w:t>46,453.82</w:t>
            </w:r>
          </w:p>
        </w:tc>
        <w:tc>
          <w:tcPr>
            <w:tcW w:w="1410" w:type="dxa"/>
            <w:tcBorders>
              <w:top w:val="nil" w:sz="6" w:space="0" w:color="auto"/>
              <w:left w:val="nil" w:sz="6" w:space="0" w:color="auto"/>
              <w:bottom w:val="single" w:sz="12" w:space="0" w:color="000000"/>
              <w:right w:val="nil" w:sz="6" w:space="0" w:color="auto"/>
            </w:tcBorders>
          </w:tcPr>
          <w:p>
            <w:pPr/>
          </w:p>
        </w:tc>
      </w:tr>
    </w:tbl>
    <w:p>
      <w:pPr>
        <w:spacing w:after="0"/>
        <w:sectPr>
          <w:pgSz w:w="11910" w:h="16840"/>
          <w:pgMar w:header="0" w:footer="1001" w:top="1520" w:bottom="1200" w:left="1660" w:right="0"/>
        </w:sectPr>
      </w:pPr>
    </w:p>
    <w:p>
      <w:pPr>
        <w:spacing w:line="240" w:lineRule="auto" w:before="9"/>
        <w:rPr>
          <w:rFonts w:ascii="Times New Roman" w:hAnsi="Times New Roman" w:cs="Times New Roman" w:eastAsia="Times New Roman" w:hint="default"/>
          <w:sz w:val="11"/>
          <w:szCs w:val="11"/>
        </w:rPr>
      </w:pPr>
    </w:p>
    <w:tbl>
      <w:tblPr>
        <w:tblW w:w="0" w:type="auto"/>
        <w:jc w:val="left"/>
        <w:tblInd w:w="787" w:type="dxa"/>
        <w:tblLayout w:type="fixed"/>
        <w:tblCellMar>
          <w:top w:w="0" w:type="dxa"/>
          <w:left w:w="0" w:type="dxa"/>
          <w:bottom w:w="0" w:type="dxa"/>
          <w:right w:w="0" w:type="dxa"/>
        </w:tblCellMar>
        <w:tblLook w:val="01E0"/>
      </w:tblPr>
      <w:tblGrid>
        <w:gridCol w:w="3422"/>
        <w:gridCol w:w="1724"/>
        <w:gridCol w:w="1594"/>
        <w:gridCol w:w="1373"/>
      </w:tblGrid>
      <w:tr>
        <w:trPr>
          <w:trHeight w:val="724" w:hRule="exact"/>
        </w:trPr>
        <w:tc>
          <w:tcPr>
            <w:tcW w:w="3422" w:type="dxa"/>
            <w:tcBorders>
              <w:top w:val="nil" w:sz="6" w:space="0" w:color="auto"/>
              <w:left w:val="nil" w:sz="6" w:space="0" w:color="auto"/>
              <w:bottom w:val="nil" w:sz="6" w:space="0" w:color="auto"/>
              <w:right w:val="nil" w:sz="6" w:space="0" w:color="auto"/>
            </w:tcBorders>
          </w:tcPr>
          <w:p>
            <w:pPr>
              <w:pStyle w:val="TableParagraph"/>
              <w:spacing w:line="405" w:lineRule="auto" w:before="57"/>
              <w:ind w:left="70" w:right="1357" w:firstLine="1513"/>
              <w:jc w:val="left"/>
              <w:rPr>
                <w:rFonts w:ascii="宋体" w:hAnsi="宋体" w:cs="宋体" w:eastAsia="宋体" w:hint="default"/>
                <w:sz w:val="16"/>
                <w:szCs w:val="16"/>
              </w:rPr>
            </w:pPr>
            <w:r>
              <w:rPr>
                <w:rFonts w:ascii="宋体" w:hAnsi="宋体" w:cs="宋体" w:eastAsia="宋体" w:hint="default"/>
                <w:sz w:val="16"/>
                <w:szCs w:val="16"/>
              </w:rPr>
              <w:t>关联方</w:t>
            </w:r>
            <w:r>
              <w:rPr>
                <w:rFonts w:ascii="宋体" w:hAnsi="宋体" w:cs="宋体" w:eastAsia="宋体" w:hint="default"/>
                <w:w w:val="99"/>
                <w:sz w:val="16"/>
                <w:szCs w:val="16"/>
              </w:rPr>
              <w:t> </w:t>
            </w:r>
            <w:r>
              <w:rPr>
                <w:rFonts w:ascii="宋体" w:hAnsi="宋体" w:cs="宋体" w:eastAsia="宋体" w:hint="default"/>
                <w:sz w:val="16"/>
                <w:szCs w:val="16"/>
              </w:rPr>
              <w:t>广州中软信息技术有限公司</w:t>
            </w:r>
          </w:p>
        </w:tc>
        <w:tc>
          <w:tcPr>
            <w:tcW w:w="1724" w:type="dxa"/>
            <w:tcBorders>
              <w:top w:val="nil" w:sz="6" w:space="0" w:color="auto"/>
              <w:left w:val="nil" w:sz="6" w:space="0" w:color="auto"/>
              <w:bottom w:val="nil" w:sz="6" w:space="0" w:color="auto"/>
              <w:right w:val="nil" w:sz="6" w:space="0" w:color="auto"/>
            </w:tcBorders>
          </w:tcPr>
          <w:p>
            <w:pPr>
              <w:pStyle w:val="TableParagraph"/>
              <w:spacing w:line="405" w:lineRule="auto" w:before="57"/>
              <w:ind w:left="633" w:right="290" w:hanging="160"/>
              <w:jc w:val="left"/>
              <w:rPr>
                <w:rFonts w:ascii="宋体" w:hAnsi="宋体" w:cs="宋体" w:eastAsia="宋体" w:hint="default"/>
                <w:sz w:val="16"/>
                <w:szCs w:val="16"/>
              </w:rPr>
            </w:pPr>
            <w:r>
              <w:rPr>
                <w:rFonts w:ascii="宋体" w:hAnsi="宋体" w:cs="宋体" w:eastAsia="宋体" w:hint="default"/>
                <w:sz w:val="16"/>
                <w:szCs w:val="16"/>
              </w:rPr>
              <w:t>关联交易内容</w:t>
            </w:r>
            <w:r>
              <w:rPr>
                <w:rFonts w:ascii="宋体" w:hAnsi="宋体" w:cs="宋体" w:eastAsia="宋体" w:hint="default"/>
                <w:w w:val="99"/>
                <w:sz w:val="16"/>
                <w:szCs w:val="16"/>
              </w:rPr>
              <w:t> </w:t>
            </w:r>
            <w:r>
              <w:rPr>
                <w:rFonts w:ascii="宋体" w:hAnsi="宋体" w:cs="宋体" w:eastAsia="宋体" w:hint="default"/>
                <w:sz w:val="16"/>
                <w:szCs w:val="16"/>
              </w:rPr>
              <w:t>销售商品</w:t>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57"/>
              <w:ind w:left="290" w:right="0"/>
              <w:jc w:val="left"/>
              <w:rPr>
                <w:rFonts w:ascii="宋体" w:hAnsi="宋体" w:cs="宋体" w:eastAsia="宋体" w:hint="default"/>
                <w:sz w:val="16"/>
                <w:szCs w:val="16"/>
              </w:rPr>
            </w:pPr>
            <w:r>
              <w:rPr>
                <w:rFonts w:ascii="宋体" w:hAnsi="宋体" w:cs="宋体" w:eastAsia="宋体" w:hint="default"/>
                <w:sz w:val="16"/>
                <w:szCs w:val="16"/>
              </w:rPr>
              <w:t>本期发生额</w:t>
            </w:r>
          </w:p>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left="714" w:right="0"/>
              <w:jc w:val="left"/>
              <w:rPr>
                <w:rFonts w:ascii="Times New Roman" w:hAnsi="Times New Roman" w:cs="Times New Roman" w:eastAsia="Times New Roman" w:hint="default"/>
                <w:sz w:val="16"/>
                <w:szCs w:val="16"/>
              </w:rPr>
            </w:pPr>
            <w:r>
              <w:rPr>
                <w:rFonts w:ascii="Times New Roman"/>
                <w:sz w:val="16"/>
              </w:rPr>
              <w:t>41,379.31</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57"/>
              <w:ind w:left="238" w:right="0"/>
              <w:jc w:val="left"/>
              <w:rPr>
                <w:rFonts w:ascii="宋体" w:hAnsi="宋体" w:cs="宋体" w:eastAsia="宋体" w:hint="default"/>
                <w:sz w:val="16"/>
                <w:szCs w:val="16"/>
              </w:rPr>
            </w:pPr>
            <w:r>
              <w:rPr>
                <w:rFonts w:ascii="宋体" w:hAnsi="宋体" w:cs="宋体" w:eastAsia="宋体" w:hint="default"/>
                <w:sz w:val="16"/>
                <w:szCs w:val="16"/>
              </w:rPr>
              <w:t>上期发生额</w:t>
            </w:r>
          </w:p>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left="741" w:right="0"/>
              <w:jc w:val="left"/>
              <w:rPr>
                <w:rFonts w:ascii="Times New Roman" w:hAnsi="Times New Roman" w:cs="Times New Roman" w:eastAsia="Times New Roman" w:hint="default"/>
                <w:sz w:val="16"/>
                <w:szCs w:val="16"/>
              </w:rPr>
            </w:pPr>
            <w:r>
              <w:rPr>
                <w:rFonts w:ascii="Times New Roman"/>
                <w:sz w:val="16"/>
              </w:rPr>
              <w:t>3,162.39</w:t>
            </w:r>
          </w:p>
        </w:tc>
      </w:tr>
      <w:tr>
        <w:trPr>
          <w:trHeight w:val="353" w:hRule="exact"/>
        </w:trPr>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中电长城网际系统应用广东有限公司</w:t>
            </w:r>
          </w:p>
        </w:tc>
        <w:tc>
          <w:tcPr>
            <w:tcW w:w="172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49"/>
              <w:jc w:val="right"/>
              <w:rPr>
                <w:rFonts w:ascii="宋体" w:hAnsi="宋体" w:cs="宋体" w:eastAsia="宋体" w:hint="default"/>
                <w:sz w:val="16"/>
                <w:szCs w:val="16"/>
              </w:rPr>
            </w:pPr>
            <w:r>
              <w:rPr>
                <w:rFonts w:ascii="宋体" w:hAnsi="宋体" w:cs="宋体" w:eastAsia="宋体" w:hint="default"/>
                <w:w w:val="95"/>
                <w:sz w:val="16"/>
                <w:szCs w:val="16"/>
              </w:rPr>
              <w:t>销售商品</w:t>
            </w:r>
            <w:r>
              <w:rPr>
                <w:rFonts w:ascii="宋体" w:hAnsi="宋体" w:cs="宋体" w:eastAsia="宋体" w:hint="default"/>
                <w:sz w:val="16"/>
                <w:szCs w:val="16"/>
              </w:rPr>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37"/>
              <w:jc w:val="right"/>
              <w:rPr>
                <w:rFonts w:ascii="Times New Roman" w:hAnsi="Times New Roman" w:cs="Times New Roman" w:eastAsia="Times New Roman" w:hint="default"/>
                <w:sz w:val="16"/>
                <w:szCs w:val="16"/>
              </w:rPr>
            </w:pPr>
            <w:r>
              <w:rPr>
                <w:rFonts w:ascii="Times New Roman"/>
                <w:spacing w:val="-1"/>
                <w:sz w:val="16"/>
              </w:rPr>
              <w:t>40,129.41</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757,826.49</w:t>
            </w:r>
          </w:p>
        </w:tc>
      </w:tr>
      <w:tr>
        <w:trPr>
          <w:trHeight w:val="353" w:hRule="exact"/>
        </w:trPr>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83"/>
              <w:ind w:left="70" w:right="0"/>
              <w:jc w:val="left"/>
              <w:rPr>
                <w:rFonts w:ascii="Times New Roman" w:hAnsi="Times New Roman" w:cs="Times New Roman" w:eastAsia="Times New Roman" w:hint="default"/>
                <w:sz w:val="16"/>
                <w:szCs w:val="16"/>
              </w:rPr>
            </w:pPr>
            <w:r>
              <w:rPr>
                <w:rFonts w:ascii="Times New Roman"/>
                <w:spacing w:val="-4"/>
                <w:sz w:val="16"/>
              </w:rPr>
              <w:t>KAIFA </w:t>
            </w:r>
            <w:r>
              <w:rPr>
                <w:rFonts w:ascii="Times New Roman"/>
                <w:sz w:val="16"/>
              </w:rPr>
              <w:t>TECHNOLOGY (HK)</w:t>
            </w:r>
            <w:r>
              <w:rPr>
                <w:rFonts w:ascii="Times New Roman"/>
                <w:spacing w:val="-18"/>
                <w:sz w:val="16"/>
              </w:rPr>
              <w:t> </w:t>
            </w:r>
            <w:r>
              <w:rPr>
                <w:rFonts w:ascii="Times New Roman"/>
                <w:spacing w:val="-6"/>
                <w:sz w:val="16"/>
              </w:rPr>
              <w:t>LTD</w:t>
            </w:r>
          </w:p>
        </w:tc>
        <w:tc>
          <w:tcPr>
            <w:tcW w:w="172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49"/>
              <w:jc w:val="right"/>
              <w:rPr>
                <w:rFonts w:ascii="宋体" w:hAnsi="宋体" w:cs="宋体" w:eastAsia="宋体" w:hint="default"/>
                <w:sz w:val="16"/>
                <w:szCs w:val="16"/>
              </w:rPr>
            </w:pPr>
            <w:r>
              <w:rPr>
                <w:rFonts w:ascii="宋体" w:hAnsi="宋体" w:cs="宋体" w:eastAsia="宋体" w:hint="default"/>
                <w:w w:val="95"/>
                <w:sz w:val="16"/>
                <w:szCs w:val="16"/>
              </w:rPr>
              <w:t>销售商品</w:t>
            </w:r>
            <w:r>
              <w:rPr>
                <w:rFonts w:ascii="宋体" w:hAnsi="宋体" w:cs="宋体" w:eastAsia="宋体" w:hint="default"/>
                <w:sz w:val="16"/>
                <w:szCs w:val="16"/>
              </w:rPr>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37"/>
              <w:jc w:val="right"/>
              <w:rPr>
                <w:rFonts w:ascii="Times New Roman" w:hAnsi="Times New Roman" w:cs="Times New Roman" w:eastAsia="Times New Roman" w:hint="default"/>
                <w:sz w:val="16"/>
                <w:szCs w:val="16"/>
              </w:rPr>
            </w:pPr>
            <w:r>
              <w:rPr>
                <w:rFonts w:ascii="Times New Roman"/>
                <w:spacing w:val="-1"/>
                <w:sz w:val="16"/>
              </w:rPr>
              <w:t>33,608.81</w:t>
            </w:r>
          </w:p>
        </w:tc>
        <w:tc>
          <w:tcPr>
            <w:tcW w:w="1373" w:type="dxa"/>
            <w:tcBorders>
              <w:top w:val="nil" w:sz="6" w:space="0" w:color="auto"/>
              <w:left w:val="nil" w:sz="6" w:space="0" w:color="auto"/>
              <w:bottom w:val="nil" w:sz="6" w:space="0" w:color="auto"/>
              <w:right w:val="nil" w:sz="6" w:space="0" w:color="auto"/>
            </w:tcBorders>
          </w:tcPr>
          <w:p>
            <w:pPr/>
          </w:p>
        </w:tc>
      </w:tr>
      <w:tr>
        <w:trPr>
          <w:trHeight w:val="353" w:hRule="exact"/>
        </w:trPr>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中国电子器材国际有限公司</w:t>
            </w:r>
          </w:p>
        </w:tc>
        <w:tc>
          <w:tcPr>
            <w:tcW w:w="172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49"/>
              <w:jc w:val="right"/>
              <w:rPr>
                <w:rFonts w:ascii="宋体" w:hAnsi="宋体" w:cs="宋体" w:eastAsia="宋体" w:hint="default"/>
                <w:sz w:val="16"/>
                <w:szCs w:val="16"/>
              </w:rPr>
            </w:pPr>
            <w:r>
              <w:rPr>
                <w:rFonts w:ascii="宋体" w:hAnsi="宋体" w:cs="宋体" w:eastAsia="宋体" w:hint="default"/>
                <w:w w:val="95"/>
                <w:sz w:val="16"/>
                <w:szCs w:val="16"/>
              </w:rPr>
              <w:t>销售商品</w:t>
            </w:r>
            <w:r>
              <w:rPr>
                <w:rFonts w:ascii="宋体" w:hAnsi="宋体" w:cs="宋体" w:eastAsia="宋体" w:hint="default"/>
                <w:sz w:val="16"/>
                <w:szCs w:val="16"/>
              </w:rPr>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37"/>
              <w:jc w:val="right"/>
              <w:rPr>
                <w:rFonts w:ascii="Times New Roman" w:hAnsi="Times New Roman" w:cs="Times New Roman" w:eastAsia="Times New Roman" w:hint="default"/>
                <w:sz w:val="16"/>
                <w:szCs w:val="16"/>
              </w:rPr>
            </w:pPr>
            <w:r>
              <w:rPr>
                <w:rFonts w:ascii="Times New Roman"/>
                <w:spacing w:val="-1"/>
                <w:sz w:val="16"/>
              </w:rPr>
              <w:t>21,953.06</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37,661,189.67</w:t>
            </w:r>
          </w:p>
        </w:tc>
      </w:tr>
      <w:tr>
        <w:trPr>
          <w:trHeight w:val="353" w:hRule="exact"/>
        </w:trPr>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深圳中电投资股份有限公司</w:t>
            </w:r>
          </w:p>
        </w:tc>
        <w:tc>
          <w:tcPr>
            <w:tcW w:w="172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49"/>
              <w:jc w:val="right"/>
              <w:rPr>
                <w:rFonts w:ascii="宋体" w:hAnsi="宋体" w:cs="宋体" w:eastAsia="宋体" w:hint="default"/>
                <w:sz w:val="16"/>
                <w:szCs w:val="16"/>
              </w:rPr>
            </w:pPr>
            <w:r>
              <w:rPr>
                <w:rFonts w:ascii="宋体" w:hAnsi="宋体" w:cs="宋体" w:eastAsia="宋体" w:hint="default"/>
                <w:w w:val="95"/>
                <w:sz w:val="16"/>
                <w:szCs w:val="16"/>
              </w:rPr>
              <w:t>销售商品</w:t>
            </w:r>
            <w:r>
              <w:rPr>
                <w:rFonts w:ascii="宋体" w:hAnsi="宋体" w:cs="宋体" w:eastAsia="宋体" w:hint="default"/>
                <w:sz w:val="16"/>
                <w:szCs w:val="16"/>
              </w:rPr>
            </w:r>
          </w:p>
        </w:tc>
        <w:tc>
          <w:tcPr>
            <w:tcW w:w="1594" w:type="dxa"/>
            <w:tcBorders>
              <w:top w:val="nil" w:sz="6" w:space="0" w:color="auto"/>
              <w:left w:val="nil" w:sz="6" w:space="0" w:color="auto"/>
              <w:bottom w:val="nil" w:sz="6" w:space="0" w:color="auto"/>
              <w:right w:val="nil" w:sz="6" w:space="0" w:color="auto"/>
            </w:tcBorders>
          </w:tcPr>
          <w:p>
            <w:pP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10,237,171.62</w:t>
            </w:r>
          </w:p>
        </w:tc>
      </w:tr>
      <w:tr>
        <w:trPr>
          <w:trHeight w:val="353" w:hRule="exact"/>
        </w:trPr>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中电长城网际系统应用（武汉）有限公司</w:t>
            </w:r>
          </w:p>
        </w:tc>
        <w:tc>
          <w:tcPr>
            <w:tcW w:w="172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49"/>
              <w:jc w:val="right"/>
              <w:rPr>
                <w:rFonts w:ascii="宋体" w:hAnsi="宋体" w:cs="宋体" w:eastAsia="宋体" w:hint="default"/>
                <w:sz w:val="16"/>
                <w:szCs w:val="16"/>
              </w:rPr>
            </w:pPr>
            <w:r>
              <w:rPr>
                <w:rFonts w:ascii="宋体" w:hAnsi="宋体" w:cs="宋体" w:eastAsia="宋体" w:hint="default"/>
                <w:w w:val="95"/>
                <w:sz w:val="16"/>
                <w:szCs w:val="16"/>
              </w:rPr>
              <w:t>销售商品</w:t>
            </w:r>
            <w:r>
              <w:rPr>
                <w:rFonts w:ascii="宋体" w:hAnsi="宋体" w:cs="宋体" w:eastAsia="宋体" w:hint="default"/>
                <w:sz w:val="16"/>
                <w:szCs w:val="16"/>
              </w:rPr>
            </w:r>
          </w:p>
        </w:tc>
        <w:tc>
          <w:tcPr>
            <w:tcW w:w="1594" w:type="dxa"/>
            <w:tcBorders>
              <w:top w:val="nil" w:sz="6" w:space="0" w:color="auto"/>
              <w:left w:val="nil" w:sz="6" w:space="0" w:color="auto"/>
              <w:bottom w:val="nil" w:sz="6" w:space="0" w:color="auto"/>
              <w:right w:val="nil" w:sz="6" w:space="0" w:color="auto"/>
            </w:tcBorders>
          </w:tcPr>
          <w:p>
            <w:pP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2,576,265.81</w:t>
            </w:r>
          </w:p>
        </w:tc>
      </w:tr>
      <w:tr>
        <w:trPr>
          <w:trHeight w:val="353" w:hRule="exact"/>
        </w:trPr>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南京熊猫汉达科技有限公司</w:t>
            </w:r>
          </w:p>
        </w:tc>
        <w:tc>
          <w:tcPr>
            <w:tcW w:w="172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49"/>
              <w:jc w:val="right"/>
              <w:rPr>
                <w:rFonts w:ascii="宋体" w:hAnsi="宋体" w:cs="宋体" w:eastAsia="宋体" w:hint="default"/>
                <w:sz w:val="16"/>
                <w:szCs w:val="16"/>
              </w:rPr>
            </w:pPr>
            <w:r>
              <w:rPr>
                <w:rFonts w:ascii="宋体" w:hAnsi="宋体" w:cs="宋体" w:eastAsia="宋体" w:hint="default"/>
                <w:w w:val="95"/>
                <w:sz w:val="16"/>
                <w:szCs w:val="16"/>
              </w:rPr>
              <w:t>销售商品</w:t>
            </w:r>
            <w:r>
              <w:rPr>
                <w:rFonts w:ascii="宋体" w:hAnsi="宋体" w:cs="宋体" w:eastAsia="宋体" w:hint="default"/>
                <w:sz w:val="16"/>
                <w:szCs w:val="16"/>
              </w:rPr>
            </w:r>
          </w:p>
        </w:tc>
        <w:tc>
          <w:tcPr>
            <w:tcW w:w="1594" w:type="dxa"/>
            <w:tcBorders>
              <w:top w:val="nil" w:sz="6" w:space="0" w:color="auto"/>
              <w:left w:val="nil" w:sz="6" w:space="0" w:color="auto"/>
              <w:bottom w:val="nil" w:sz="6" w:space="0" w:color="auto"/>
              <w:right w:val="nil" w:sz="6" w:space="0" w:color="auto"/>
            </w:tcBorders>
          </w:tcPr>
          <w:p>
            <w:pP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354,000.00</w:t>
            </w:r>
          </w:p>
        </w:tc>
      </w:tr>
      <w:tr>
        <w:trPr>
          <w:trHeight w:val="354" w:hRule="exact"/>
        </w:trPr>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天津飞腾信息技术有限公司</w:t>
            </w:r>
          </w:p>
        </w:tc>
        <w:tc>
          <w:tcPr>
            <w:tcW w:w="172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49"/>
              <w:jc w:val="right"/>
              <w:rPr>
                <w:rFonts w:ascii="宋体" w:hAnsi="宋体" w:cs="宋体" w:eastAsia="宋体" w:hint="default"/>
                <w:sz w:val="16"/>
                <w:szCs w:val="16"/>
              </w:rPr>
            </w:pPr>
            <w:r>
              <w:rPr>
                <w:rFonts w:ascii="宋体" w:hAnsi="宋体" w:cs="宋体" w:eastAsia="宋体" w:hint="default"/>
                <w:w w:val="95"/>
                <w:sz w:val="16"/>
                <w:szCs w:val="16"/>
              </w:rPr>
              <w:t>销售商品</w:t>
            </w:r>
            <w:r>
              <w:rPr>
                <w:rFonts w:ascii="宋体" w:hAnsi="宋体" w:cs="宋体" w:eastAsia="宋体" w:hint="default"/>
                <w:sz w:val="16"/>
                <w:szCs w:val="16"/>
              </w:rPr>
            </w:r>
          </w:p>
        </w:tc>
        <w:tc>
          <w:tcPr>
            <w:tcW w:w="1594" w:type="dxa"/>
            <w:tcBorders>
              <w:top w:val="nil" w:sz="6" w:space="0" w:color="auto"/>
              <w:left w:val="nil" w:sz="6" w:space="0" w:color="auto"/>
              <w:bottom w:val="nil" w:sz="6" w:space="0" w:color="auto"/>
              <w:right w:val="nil" w:sz="6" w:space="0" w:color="auto"/>
            </w:tcBorders>
          </w:tcPr>
          <w:p>
            <w:pP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45,641.03</w:t>
            </w:r>
          </w:p>
        </w:tc>
      </w:tr>
      <w:tr>
        <w:trPr>
          <w:trHeight w:val="353" w:hRule="exact"/>
        </w:trPr>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桂林长海科技有限责任公司</w:t>
            </w:r>
          </w:p>
        </w:tc>
        <w:tc>
          <w:tcPr>
            <w:tcW w:w="172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49"/>
              <w:jc w:val="right"/>
              <w:rPr>
                <w:rFonts w:ascii="宋体" w:hAnsi="宋体" w:cs="宋体" w:eastAsia="宋体" w:hint="default"/>
                <w:sz w:val="16"/>
                <w:szCs w:val="16"/>
              </w:rPr>
            </w:pPr>
            <w:r>
              <w:rPr>
                <w:rFonts w:ascii="宋体" w:hAnsi="宋体" w:cs="宋体" w:eastAsia="宋体" w:hint="default"/>
                <w:w w:val="95"/>
                <w:sz w:val="16"/>
                <w:szCs w:val="16"/>
              </w:rPr>
              <w:t>提供劳务</w:t>
            </w:r>
            <w:r>
              <w:rPr>
                <w:rFonts w:ascii="宋体" w:hAnsi="宋体" w:cs="宋体" w:eastAsia="宋体" w:hint="default"/>
                <w:sz w:val="16"/>
                <w:szCs w:val="16"/>
              </w:rPr>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36"/>
              <w:jc w:val="right"/>
              <w:rPr>
                <w:rFonts w:ascii="Times New Roman" w:hAnsi="Times New Roman" w:cs="Times New Roman" w:eastAsia="Times New Roman" w:hint="default"/>
                <w:sz w:val="16"/>
                <w:szCs w:val="16"/>
              </w:rPr>
            </w:pPr>
            <w:r>
              <w:rPr>
                <w:rFonts w:ascii="Times New Roman"/>
                <w:spacing w:val="-1"/>
                <w:sz w:val="16"/>
              </w:rPr>
              <w:t>810,609.13</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802,558.56</w:t>
            </w:r>
          </w:p>
        </w:tc>
      </w:tr>
      <w:tr>
        <w:trPr>
          <w:trHeight w:val="353" w:hRule="exact"/>
        </w:trPr>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中电金融设备系统（深圳）有限公司</w:t>
            </w:r>
          </w:p>
        </w:tc>
        <w:tc>
          <w:tcPr>
            <w:tcW w:w="172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49"/>
              <w:jc w:val="right"/>
              <w:rPr>
                <w:rFonts w:ascii="宋体" w:hAnsi="宋体" w:cs="宋体" w:eastAsia="宋体" w:hint="default"/>
                <w:sz w:val="16"/>
                <w:szCs w:val="16"/>
              </w:rPr>
            </w:pPr>
            <w:r>
              <w:rPr>
                <w:rFonts w:ascii="宋体" w:hAnsi="宋体" w:cs="宋体" w:eastAsia="宋体" w:hint="default"/>
                <w:w w:val="95"/>
                <w:sz w:val="16"/>
                <w:szCs w:val="16"/>
              </w:rPr>
              <w:t>提供劳务</w:t>
            </w:r>
            <w:r>
              <w:rPr>
                <w:rFonts w:ascii="宋体" w:hAnsi="宋体" w:cs="宋体" w:eastAsia="宋体" w:hint="default"/>
                <w:sz w:val="16"/>
                <w:szCs w:val="16"/>
              </w:rPr>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36"/>
              <w:jc w:val="right"/>
              <w:rPr>
                <w:rFonts w:ascii="Times New Roman" w:hAnsi="Times New Roman" w:cs="Times New Roman" w:eastAsia="Times New Roman" w:hint="default"/>
                <w:sz w:val="16"/>
                <w:szCs w:val="16"/>
              </w:rPr>
            </w:pPr>
            <w:r>
              <w:rPr>
                <w:rFonts w:ascii="Times New Roman"/>
                <w:spacing w:val="-1"/>
                <w:sz w:val="16"/>
              </w:rPr>
              <w:t>550,000.00</w:t>
            </w:r>
          </w:p>
        </w:tc>
        <w:tc>
          <w:tcPr>
            <w:tcW w:w="1373" w:type="dxa"/>
            <w:tcBorders>
              <w:top w:val="nil" w:sz="6" w:space="0" w:color="auto"/>
              <w:left w:val="nil" w:sz="6" w:space="0" w:color="auto"/>
              <w:bottom w:val="nil" w:sz="6" w:space="0" w:color="auto"/>
              <w:right w:val="nil" w:sz="6" w:space="0" w:color="auto"/>
            </w:tcBorders>
          </w:tcPr>
          <w:p>
            <w:pPr/>
          </w:p>
        </w:tc>
      </w:tr>
      <w:tr>
        <w:trPr>
          <w:trHeight w:val="353" w:hRule="exact"/>
        </w:trPr>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桂林长海发展有限责任公司</w:t>
            </w:r>
          </w:p>
        </w:tc>
        <w:tc>
          <w:tcPr>
            <w:tcW w:w="172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49"/>
              <w:jc w:val="right"/>
              <w:rPr>
                <w:rFonts w:ascii="宋体" w:hAnsi="宋体" w:cs="宋体" w:eastAsia="宋体" w:hint="default"/>
                <w:sz w:val="16"/>
                <w:szCs w:val="16"/>
              </w:rPr>
            </w:pPr>
            <w:r>
              <w:rPr>
                <w:rFonts w:ascii="宋体" w:hAnsi="宋体" w:cs="宋体" w:eastAsia="宋体" w:hint="default"/>
                <w:w w:val="95"/>
                <w:sz w:val="16"/>
                <w:szCs w:val="16"/>
              </w:rPr>
              <w:t>提供劳务</w:t>
            </w:r>
            <w:r>
              <w:rPr>
                <w:rFonts w:ascii="宋体" w:hAnsi="宋体" w:cs="宋体" w:eastAsia="宋体" w:hint="default"/>
                <w:sz w:val="16"/>
                <w:szCs w:val="16"/>
              </w:rPr>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37"/>
              <w:jc w:val="right"/>
              <w:rPr>
                <w:rFonts w:ascii="Times New Roman" w:hAnsi="Times New Roman" w:cs="Times New Roman" w:eastAsia="Times New Roman" w:hint="default"/>
                <w:sz w:val="16"/>
                <w:szCs w:val="16"/>
              </w:rPr>
            </w:pPr>
            <w:r>
              <w:rPr>
                <w:rFonts w:ascii="Times New Roman"/>
                <w:spacing w:val="-1"/>
                <w:sz w:val="16"/>
              </w:rPr>
              <w:t>97,641.51</w:t>
            </w:r>
          </w:p>
        </w:tc>
        <w:tc>
          <w:tcPr>
            <w:tcW w:w="1373" w:type="dxa"/>
            <w:tcBorders>
              <w:top w:val="nil" w:sz="6" w:space="0" w:color="auto"/>
              <w:left w:val="nil" w:sz="6" w:space="0" w:color="auto"/>
              <w:bottom w:val="nil" w:sz="6" w:space="0" w:color="auto"/>
              <w:right w:val="nil" w:sz="6" w:space="0" w:color="auto"/>
            </w:tcBorders>
          </w:tcPr>
          <w:p>
            <w:pPr/>
          </w:p>
        </w:tc>
      </w:tr>
      <w:tr>
        <w:trPr>
          <w:trHeight w:val="353" w:hRule="exact"/>
        </w:trPr>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中科长城海洋信息系统有限公司</w:t>
            </w:r>
          </w:p>
        </w:tc>
        <w:tc>
          <w:tcPr>
            <w:tcW w:w="172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49"/>
              <w:jc w:val="right"/>
              <w:rPr>
                <w:rFonts w:ascii="宋体" w:hAnsi="宋体" w:cs="宋体" w:eastAsia="宋体" w:hint="default"/>
                <w:sz w:val="16"/>
                <w:szCs w:val="16"/>
              </w:rPr>
            </w:pPr>
            <w:r>
              <w:rPr>
                <w:rFonts w:ascii="宋体" w:hAnsi="宋体" w:cs="宋体" w:eastAsia="宋体" w:hint="default"/>
                <w:w w:val="95"/>
                <w:sz w:val="16"/>
                <w:szCs w:val="16"/>
              </w:rPr>
              <w:t>提供劳务</w:t>
            </w:r>
            <w:r>
              <w:rPr>
                <w:rFonts w:ascii="宋体" w:hAnsi="宋体" w:cs="宋体" w:eastAsia="宋体" w:hint="default"/>
                <w:sz w:val="16"/>
                <w:szCs w:val="16"/>
              </w:rPr>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37"/>
              <w:jc w:val="right"/>
              <w:rPr>
                <w:rFonts w:ascii="Times New Roman" w:hAnsi="Times New Roman" w:cs="Times New Roman" w:eastAsia="Times New Roman" w:hint="default"/>
                <w:sz w:val="16"/>
                <w:szCs w:val="16"/>
              </w:rPr>
            </w:pPr>
            <w:r>
              <w:rPr>
                <w:rFonts w:ascii="Times New Roman"/>
                <w:spacing w:val="-1"/>
                <w:sz w:val="16"/>
              </w:rPr>
              <w:t>48,548.00</w:t>
            </w:r>
          </w:p>
        </w:tc>
        <w:tc>
          <w:tcPr>
            <w:tcW w:w="1373" w:type="dxa"/>
            <w:tcBorders>
              <w:top w:val="nil" w:sz="6" w:space="0" w:color="auto"/>
              <w:left w:val="nil" w:sz="6" w:space="0" w:color="auto"/>
              <w:bottom w:val="nil" w:sz="6" w:space="0" w:color="auto"/>
              <w:right w:val="nil" w:sz="6" w:space="0" w:color="auto"/>
            </w:tcBorders>
          </w:tcPr>
          <w:p>
            <w:pPr/>
          </w:p>
        </w:tc>
      </w:tr>
      <w:tr>
        <w:trPr>
          <w:trHeight w:val="353" w:hRule="exact"/>
        </w:trPr>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中国电子信息产业集团有限公司</w:t>
            </w:r>
          </w:p>
        </w:tc>
        <w:tc>
          <w:tcPr>
            <w:tcW w:w="172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49"/>
              <w:jc w:val="right"/>
              <w:rPr>
                <w:rFonts w:ascii="宋体" w:hAnsi="宋体" w:cs="宋体" w:eastAsia="宋体" w:hint="default"/>
                <w:sz w:val="16"/>
                <w:szCs w:val="16"/>
              </w:rPr>
            </w:pPr>
            <w:r>
              <w:rPr>
                <w:rFonts w:ascii="宋体" w:hAnsi="宋体" w:cs="宋体" w:eastAsia="宋体" w:hint="default"/>
                <w:w w:val="95"/>
                <w:sz w:val="16"/>
                <w:szCs w:val="16"/>
              </w:rPr>
              <w:t>提供劳务</w:t>
            </w:r>
            <w:r>
              <w:rPr>
                <w:rFonts w:ascii="宋体" w:hAnsi="宋体" w:cs="宋体" w:eastAsia="宋体" w:hint="default"/>
                <w:sz w:val="16"/>
                <w:szCs w:val="16"/>
              </w:rPr>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37"/>
              <w:jc w:val="right"/>
              <w:rPr>
                <w:rFonts w:ascii="Times New Roman" w:hAnsi="Times New Roman" w:cs="Times New Roman" w:eastAsia="Times New Roman" w:hint="default"/>
                <w:sz w:val="16"/>
                <w:szCs w:val="16"/>
              </w:rPr>
            </w:pPr>
            <w:r>
              <w:rPr>
                <w:rFonts w:ascii="Times New Roman"/>
                <w:spacing w:val="-1"/>
                <w:sz w:val="16"/>
              </w:rPr>
              <w:t>47,169.81</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6,627.35</w:t>
            </w:r>
          </w:p>
        </w:tc>
      </w:tr>
      <w:tr>
        <w:trPr>
          <w:trHeight w:val="354" w:hRule="exact"/>
        </w:trPr>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武汉长江融达电子有限公司</w:t>
            </w:r>
          </w:p>
        </w:tc>
        <w:tc>
          <w:tcPr>
            <w:tcW w:w="172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49"/>
              <w:jc w:val="right"/>
              <w:rPr>
                <w:rFonts w:ascii="宋体" w:hAnsi="宋体" w:cs="宋体" w:eastAsia="宋体" w:hint="default"/>
                <w:sz w:val="16"/>
                <w:szCs w:val="16"/>
              </w:rPr>
            </w:pPr>
            <w:r>
              <w:rPr>
                <w:rFonts w:ascii="宋体" w:hAnsi="宋体" w:cs="宋体" w:eastAsia="宋体" w:hint="default"/>
                <w:w w:val="95"/>
                <w:sz w:val="16"/>
                <w:szCs w:val="16"/>
              </w:rPr>
              <w:t>提供劳务</w:t>
            </w:r>
            <w:r>
              <w:rPr>
                <w:rFonts w:ascii="宋体" w:hAnsi="宋体" w:cs="宋体" w:eastAsia="宋体" w:hint="default"/>
                <w:sz w:val="16"/>
                <w:szCs w:val="16"/>
              </w:rPr>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37"/>
              <w:jc w:val="right"/>
              <w:rPr>
                <w:rFonts w:ascii="Times New Roman" w:hAnsi="Times New Roman" w:cs="Times New Roman" w:eastAsia="Times New Roman" w:hint="default"/>
                <w:sz w:val="16"/>
                <w:szCs w:val="16"/>
              </w:rPr>
            </w:pPr>
            <w:r>
              <w:rPr>
                <w:rFonts w:ascii="Times New Roman"/>
                <w:spacing w:val="-1"/>
                <w:sz w:val="16"/>
              </w:rPr>
              <w:t>19,051.92</w:t>
            </w:r>
          </w:p>
        </w:tc>
        <w:tc>
          <w:tcPr>
            <w:tcW w:w="1373" w:type="dxa"/>
            <w:tcBorders>
              <w:top w:val="nil" w:sz="6" w:space="0" w:color="auto"/>
              <w:left w:val="nil" w:sz="6" w:space="0" w:color="auto"/>
              <w:bottom w:val="nil" w:sz="6" w:space="0" w:color="auto"/>
              <w:right w:val="nil" w:sz="6" w:space="0" w:color="auto"/>
            </w:tcBorders>
          </w:tcPr>
          <w:p>
            <w:pPr/>
          </w:p>
        </w:tc>
      </w:tr>
      <w:tr>
        <w:trPr>
          <w:trHeight w:val="353" w:hRule="exact"/>
        </w:trPr>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迈普通信技术股份有限公司</w:t>
            </w:r>
          </w:p>
        </w:tc>
        <w:tc>
          <w:tcPr>
            <w:tcW w:w="172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49"/>
              <w:jc w:val="right"/>
              <w:rPr>
                <w:rFonts w:ascii="宋体" w:hAnsi="宋体" w:cs="宋体" w:eastAsia="宋体" w:hint="default"/>
                <w:sz w:val="16"/>
                <w:szCs w:val="16"/>
              </w:rPr>
            </w:pPr>
            <w:r>
              <w:rPr>
                <w:rFonts w:ascii="宋体" w:hAnsi="宋体" w:cs="宋体" w:eastAsia="宋体" w:hint="default"/>
                <w:w w:val="95"/>
                <w:sz w:val="16"/>
                <w:szCs w:val="16"/>
              </w:rPr>
              <w:t>提供劳务</w:t>
            </w:r>
            <w:r>
              <w:rPr>
                <w:rFonts w:ascii="宋体" w:hAnsi="宋体" w:cs="宋体" w:eastAsia="宋体" w:hint="default"/>
                <w:sz w:val="16"/>
                <w:szCs w:val="16"/>
              </w:rPr>
            </w:r>
          </w:p>
        </w:tc>
        <w:tc>
          <w:tcPr>
            <w:tcW w:w="1594" w:type="dxa"/>
            <w:tcBorders>
              <w:top w:val="nil" w:sz="6" w:space="0" w:color="auto"/>
              <w:left w:val="nil" w:sz="6" w:space="0" w:color="auto"/>
              <w:bottom w:val="nil" w:sz="6" w:space="0" w:color="auto"/>
              <w:right w:val="nil" w:sz="6" w:space="0" w:color="auto"/>
            </w:tcBorders>
          </w:tcPr>
          <w:p>
            <w:pP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66,037.74</w:t>
            </w:r>
          </w:p>
        </w:tc>
      </w:tr>
      <w:tr>
        <w:trPr>
          <w:trHeight w:val="357" w:hRule="exact"/>
        </w:trPr>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中软信息系统工程有限公司</w:t>
            </w:r>
          </w:p>
        </w:tc>
        <w:tc>
          <w:tcPr>
            <w:tcW w:w="172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49"/>
              <w:jc w:val="right"/>
              <w:rPr>
                <w:rFonts w:ascii="宋体" w:hAnsi="宋体" w:cs="宋体" w:eastAsia="宋体" w:hint="default"/>
                <w:sz w:val="16"/>
                <w:szCs w:val="16"/>
              </w:rPr>
            </w:pPr>
            <w:r>
              <w:rPr>
                <w:rFonts w:ascii="宋体" w:hAnsi="宋体" w:cs="宋体" w:eastAsia="宋体" w:hint="default"/>
                <w:w w:val="95"/>
                <w:sz w:val="16"/>
                <w:szCs w:val="16"/>
              </w:rPr>
              <w:t>提供劳务</w:t>
            </w:r>
            <w:r>
              <w:rPr>
                <w:rFonts w:ascii="宋体" w:hAnsi="宋体" w:cs="宋体" w:eastAsia="宋体" w:hint="default"/>
                <w:sz w:val="16"/>
                <w:szCs w:val="16"/>
              </w:rPr>
            </w:r>
          </w:p>
        </w:tc>
        <w:tc>
          <w:tcPr>
            <w:tcW w:w="1594" w:type="dxa"/>
            <w:tcBorders>
              <w:top w:val="nil" w:sz="6" w:space="0" w:color="auto"/>
              <w:left w:val="nil" w:sz="6" w:space="0" w:color="auto"/>
              <w:bottom w:val="nil" w:sz="6" w:space="0" w:color="auto"/>
              <w:right w:val="nil" w:sz="6" w:space="0" w:color="auto"/>
            </w:tcBorders>
          </w:tcPr>
          <w:p>
            <w:pP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316.24</w:t>
            </w:r>
          </w:p>
        </w:tc>
      </w:tr>
    </w:tbl>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21"/>
          <w:szCs w:val="21"/>
        </w:rPr>
      </w:pPr>
    </w:p>
    <w:p>
      <w:pPr>
        <w:pStyle w:val="Heading5"/>
        <w:tabs>
          <w:tab w:pos="1397" w:val="left" w:leader="none"/>
        </w:tabs>
        <w:spacing w:line="240" w:lineRule="auto"/>
        <w:ind w:left="846" w:right="3681"/>
        <w:jc w:val="left"/>
        <w:rPr>
          <w:b w:val="0"/>
          <w:bCs w:val="0"/>
        </w:rPr>
      </w:pPr>
      <w:r>
        <w:rPr/>
        <w:pict>
          <v:group style="position:absolute;margin-left:119.010002pt;margin-top:-325.886169pt;width:411.75pt;height:303pt;mso-position-horizontal-relative:page;mso-position-vertical-relative:paragraph;z-index:-1369072" coordorigin="2380,-6518" coordsize="8235,6060">
            <v:group style="position:absolute;left:2410;top:-6503;width:3719;height:2" coordorigin="2410,-6503" coordsize="3719,2">
              <v:shape style="position:absolute;left:2410;top:-6503;width:3719;height:2" coordorigin="2410,-6503" coordsize="3719,0" path="m2410,-6503l6128,-6503e" filled="false" stroked="true" strokeweight="1.5pt" strokecolor="#000000">
                <v:path arrowok="t"/>
              </v:shape>
              <v:shape style="position:absolute;left:6128;top:-6488;width:10;height:28" type="#_x0000_t75" stroked="false">
                <v:imagedata r:id="rId37" o:title=""/>
              </v:shape>
            </v:group>
            <v:group style="position:absolute;left:6128;top:-6503;width:1380;height:2" coordorigin="6128,-6503" coordsize="1380,2">
              <v:shape style="position:absolute;left:6128;top:-6503;width:1380;height:2" coordorigin="6128,-6503" coordsize="1380,0" path="m6128,-6503l7508,-6503e" filled="false" stroked="true" strokeweight="1.5pt" strokecolor="#000000">
                <v:path arrowok="t"/>
              </v:shape>
              <v:shape style="position:absolute;left:7508;top:-6488;width:10;height:28" type="#_x0000_t75" stroked="false">
                <v:imagedata r:id="rId37" o:title=""/>
              </v:shape>
            </v:group>
            <v:group style="position:absolute;left:7508;top:-6503;width:1542;height:2" coordorigin="7508,-6503" coordsize="1542,2">
              <v:shape style="position:absolute;left:7508;top:-6503;width:1542;height:2" coordorigin="7508,-6503" coordsize="1542,0" path="m7508,-6503l9050,-6503e" filled="false" stroked="true" strokeweight="1.5pt" strokecolor="#000000">
                <v:path arrowok="t"/>
              </v:shape>
              <v:shape style="position:absolute;left:9050;top:-6488;width:10;height:28" type="#_x0000_t75" stroked="false">
                <v:imagedata r:id="rId37" o:title=""/>
              </v:shape>
            </v:group>
            <v:group style="position:absolute;left:9050;top:-6503;width:1547;height:2" coordorigin="9050,-6503" coordsize="1547,2">
              <v:shape style="position:absolute;left:9050;top:-6503;width:1547;height:2" coordorigin="9050,-6503" coordsize="1547,0" path="m9050,-6503l10597,-6503e" filled="false" stroked="true" strokeweight="1.5pt" strokecolor="#000000">
                <v:path arrowok="t"/>
              </v:shape>
              <v:shape style="position:absolute;left:6109;top:-6479;width:2970;height:355" type="#_x0000_t75" stroked="false">
                <v:imagedata r:id="rId415" o:title=""/>
              </v:shape>
            </v:group>
            <v:group style="position:absolute;left:2395;top:-473;width:3734;height:2" coordorigin="2395,-473" coordsize="3734,2">
              <v:shape style="position:absolute;left:2395;top:-473;width:3734;height:2" coordorigin="2395,-473" coordsize="3734,0" path="m2395,-473l6128,-473e" filled="false" stroked="true" strokeweight="1.5pt" strokecolor="#000000">
                <v:path arrowok="t"/>
              </v:shape>
            </v:group>
            <v:group style="position:absolute;left:6128;top:-473;width:1380;height:2" coordorigin="6128,-473" coordsize="1380,2">
              <v:shape style="position:absolute;left:6128;top:-473;width:1380;height:2" coordorigin="6128,-473" coordsize="1380,0" path="m6128,-473l7508,-473e" filled="false" stroked="true" strokeweight="1.5pt" strokecolor="#000000">
                <v:path arrowok="t"/>
              </v:shape>
            </v:group>
            <v:group style="position:absolute;left:7508;top:-473;width:1542;height:2" coordorigin="7508,-473" coordsize="1542,2">
              <v:shape style="position:absolute;left:7508;top:-473;width:1542;height:2" coordorigin="7508,-473" coordsize="1542,0" path="m7508,-473l9050,-473e" filled="false" stroked="true" strokeweight="1.5pt" strokecolor="#000000">
                <v:path arrowok="t"/>
              </v:shape>
              <v:shape style="position:absolute;left:2390;top:-6156;width:8225;height:5668" type="#_x0000_t75" stroked="false">
                <v:imagedata r:id="rId416" o:title=""/>
              </v:shape>
            </v:group>
            <v:group style="position:absolute;left:9050;top:-473;width:1547;height:2" coordorigin="9050,-473" coordsize="1547,2">
              <v:shape style="position:absolute;left:9050;top:-473;width:1547;height:2" coordorigin="9050,-473" coordsize="1547,0" path="m9050,-473l10597,-473e" filled="false" stroked="true" strokeweight="1.5pt" strokecolor="#000000">
                <v:path arrowok="t"/>
              </v:shape>
            </v:group>
            <w10:wrap type="none"/>
          </v:group>
        </w:pict>
      </w:r>
      <w:r>
        <w:rPr/>
        <w:pict>
          <v:group style="position:absolute;margin-left:119.010002pt;margin-top:17.133818pt;width:411.6pt;height:79.350pt;mso-position-horizontal-relative:page;mso-position-vertical-relative:paragraph;z-index:-1368904" coordorigin="2380,343" coordsize="8232,1587">
            <v:group style="position:absolute;left:2410;top:358;width:1229;height:2" coordorigin="2410,358" coordsize="1229,2">
              <v:shape style="position:absolute;left:2410;top:358;width:1229;height:2" coordorigin="2410,358" coordsize="1229,0" path="m2410,358l3638,358e" filled="false" stroked="true" strokeweight="1.5pt" strokecolor="#000000">
                <v:path arrowok="t"/>
              </v:shape>
              <v:shape style="position:absolute;left:3638;top:373;width:10;height:28" type="#_x0000_t75" stroked="false">
                <v:imagedata r:id="rId64" o:title=""/>
              </v:shape>
            </v:group>
            <v:group style="position:absolute;left:3638;top:358;width:1235;height:2" coordorigin="3638,358" coordsize="1235,2">
              <v:shape style="position:absolute;left:3638;top:358;width:1235;height:2" coordorigin="3638,358" coordsize="1235,0" path="m3638,358l4873,358e" filled="false" stroked="true" strokeweight="1.5pt" strokecolor="#000000">
                <v:path arrowok="t"/>
              </v:shape>
              <v:shape style="position:absolute;left:4873;top:373;width:10;height:28" type="#_x0000_t75" stroked="false">
                <v:imagedata r:id="rId64" o:title=""/>
              </v:shape>
            </v:group>
            <v:group style="position:absolute;left:4873;top:358;width:1073;height:2" coordorigin="4873,358" coordsize="1073,2">
              <v:shape style="position:absolute;left:4873;top:358;width:1073;height:2" coordorigin="4873,358" coordsize="1073,0" path="m4873,358l5946,358e" filled="false" stroked="true" strokeweight="1.5pt" strokecolor="#000000">
                <v:path arrowok="t"/>
              </v:shape>
              <v:shape style="position:absolute;left:5946;top:373;width:10;height:28" type="#_x0000_t75" stroked="false">
                <v:imagedata r:id="rId64" o:title=""/>
              </v:shape>
            </v:group>
            <v:group style="position:absolute;left:5946;top:358;width:966;height:2" coordorigin="5946,358" coordsize="966,2">
              <v:shape style="position:absolute;left:5946;top:358;width:966;height:2" coordorigin="5946,358" coordsize="966,0" path="m5946,358l6912,358e" filled="false" stroked="true" strokeweight="1.5pt" strokecolor="#000000">
                <v:path arrowok="t"/>
              </v:shape>
              <v:shape style="position:absolute;left:6912;top:373;width:10;height:28" type="#_x0000_t75" stroked="false">
                <v:imagedata r:id="rId64" o:title=""/>
              </v:shape>
            </v:group>
            <v:group style="position:absolute;left:6912;top:358;width:951;height:2" coordorigin="6912,358" coordsize="951,2">
              <v:shape style="position:absolute;left:6912;top:358;width:951;height:2" coordorigin="6912,358" coordsize="951,0" path="m6912,358l7862,358e" filled="false" stroked="true" strokeweight="1.5pt" strokecolor="#000000">
                <v:path arrowok="t"/>
              </v:shape>
              <v:shape style="position:absolute;left:7862;top:373;width:10;height:28" type="#_x0000_t75" stroked="false">
                <v:imagedata r:id="rId64" o:title=""/>
              </v:shape>
            </v:group>
            <v:group style="position:absolute;left:7862;top:358;width:1266;height:2" coordorigin="7862,358" coordsize="1266,2">
              <v:shape style="position:absolute;left:7862;top:358;width:1266;height:2" coordorigin="7862,358" coordsize="1266,0" path="m7862,358l9128,358e" filled="false" stroked="true" strokeweight="1.5pt" strokecolor="#000000">
                <v:path arrowok="t"/>
              </v:shape>
              <v:shape style="position:absolute;left:9128;top:373;width:10;height:28" type="#_x0000_t75" stroked="false">
                <v:imagedata r:id="rId64" o:title=""/>
              </v:shape>
            </v:group>
            <v:group style="position:absolute;left:9128;top:358;width:1469;height:2" coordorigin="9128,358" coordsize="1469,2">
              <v:shape style="position:absolute;left:9128;top:358;width:1469;height:2" coordorigin="9128,358" coordsize="1469,0" path="m9128,358l10597,358e" filled="false" stroked="true" strokeweight="1.5pt" strokecolor="#000000">
                <v:path arrowok="t"/>
              </v:shape>
            </v:group>
            <v:group style="position:absolute;left:2395;top:1914;width:1244;height:2" coordorigin="2395,1914" coordsize="1244,2">
              <v:shape style="position:absolute;left:2395;top:1914;width:1244;height:2" coordorigin="2395,1914" coordsize="1244,0" path="m2395,1914l3638,1914e" filled="false" stroked="true" strokeweight="1.5pt" strokecolor="#000000">
                <v:path arrowok="t"/>
              </v:shape>
              <v:shape style="position:absolute;left:2390;top:381;width:8207;height:1534" type="#_x0000_t75" stroked="false">
                <v:imagedata r:id="rId417" o:title=""/>
              </v:shape>
            </v:group>
            <v:group style="position:absolute;left:3638;top:1914;width:1235;height:2" coordorigin="3638,1914" coordsize="1235,2">
              <v:shape style="position:absolute;left:3638;top:1914;width:1235;height:2" coordorigin="3638,1914" coordsize="1235,0" path="m3638,1914l4873,1914e" filled="false" stroked="true" strokeweight="1.5pt" strokecolor="#000000">
                <v:path arrowok="t"/>
              </v:shape>
              <v:shape style="position:absolute;left:4858;top:946;width:41;height:968" type="#_x0000_t75" stroked="false">
                <v:imagedata r:id="rId418" o:title=""/>
              </v:shape>
            </v:group>
            <v:group style="position:absolute;left:4873;top:1914;width:1073;height:2" coordorigin="4873,1914" coordsize="1073,2">
              <v:shape style="position:absolute;left:4873;top:1914;width:1073;height:2" coordorigin="4873,1914" coordsize="1073,0" path="m4873,1914l5946,1914e" filled="false" stroked="true" strokeweight="1.5pt" strokecolor="#000000">
                <v:path arrowok="t"/>
              </v:shape>
              <v:shape style="position:absolute;left:5930;top:946;width:41;height:968" type="#_x0000_t75" stroked="false">
                <v:imagedata r:id="rId419" o:title=""/>
              </v:shape>
            </v:group>
            <v:group style="position:absolute;left:5946;top:1914;width:966;height:2" coordorigin="5946,1914" coordsize="966,2">
              <v:shape style="position:absolute;left:5946;top:1914;width:966;height:2" coordorigin="5946,1914" coordsize="966,0" path="m5946,1914l6912,1914e" filled="false" stroked="true" strokeweight="1.5pt" strokecolor="#000000">
                <v:path arrowok="t"/>
              </v:shape>
              <v:shape style="position:absolute;left:6896;top:946;width:41;height:968" type="#_x0000_t75" stroked="false">
                <v:imagedata r:id="rId419" o:title=""/>
              </v:shape>
            </v:group>
            <v:group style="position:absolute;left:6912;top:1914;width:951;height:2" coordorigin="6912,1914" coordsize="951,2">
              <v:shape style="position:absolute;left:6912;top:1914;width:951;height:2" coordorigin="6912,1914" coordsize="951,0" path="m6912,1914l7862,1914e" filled="false" stroked="true" strokeweight="1.5pt" strokecolor="#000000">
                <v:path arrowok="t"/>
              </v:shape>
              <v:shape style="position:absolute;left:7847;top:946;width:41;height:968" type="#_x0000_t75" stroked="false">
                <v:imagedata r:id="rId420" o:title=""/>
              </v:shape>
            </v:group>
            <v:group style="position:absolute;left:7862;top:1914;width:1266;height:2" coordorigin="7862,1914" coordsize="1266,2">
              <v:shape style="position:absolute;left:7862;top:1914;width:1266;height:2" coordorigin="7862,1914" coordsize="1266,0" path="m7862,1914l9128,1914e" filled="false" stroked="true" strokeweight="1.5pt" strokecolor="#000000">
                <v:path arrowok="t"/>
              </v:shape>
              <v:shape style="position:absolute;left:9109;top:943;width:48;height:960" type="#_x0000_t75" stroked="false">
                <v:imagedata r:id="rId421" o:title=""/>
              </v:shape>
            </v:group>
            <v:group style="position:absolute;left:9128;top:1914;width:1469;height:2" coordorigin="9128,1914" coordsize="1469,2">
              <v:shape style="position:absolute;left:9128;top:1914;width:1469;height:2" coordorigin="9128,1914" coordsize="1469,0" path="m9128,1914l10597,1914e" filled="false" stroked="true" strokeweight="1.5pt" strokecolor="#000000">
                <v:path arrowok="t"/>
              </v:shape>
              <v:shape style="position:absolute;left:2518;top:1128;width:2264;height:575" type="#_x0000_t202" filled="false" stroked="false">
                <v:textbox inset="0,0,0,0">
                  <w:txbxContent>
                    <w:p>
                      <w:pPr>
                        <w:tabs>
                          <w:tab w:pos="1233" w:val="left" w:leader="none"/>
                        </w:tabs>
                        <w:spacing w:line="160" w:lineRule="auto" w:before="12"/>
                        <w:ind w:left="0" w:right="0" w:firstLine="0"/>
                        <w:jc w:val="left"/>
                        <w:rPr>
                          <w:rFonts w:ascii="宋体" w:hAnsi="宋体" w:cs="宋体" w:eastAsia="宋体" w:hint="default"/>
                          <w:sz w:val="16"/>
                          <w:szCs w:val="16"/>
                        </w:rPr>
                      </w:pPr>
                      <w:r>
                        <w:rPr>
                          <w:rFonts w:ascii="宋体" w:hAnsi="宋体" w:cs="宋体" w:eastAsia="宋体" w:hint="default"/>
                          <w:spacing w:val="10"/>
                          <w:w w:val="95"/>
                          <w:sz w:val="16"/>
                          <w:szCs w:val="16"/>
                        </w:rPr>
                        <w:t>中国电子信息</w:t>
                        <w:tab/>
                      </w:r>
                      <w:r>
                        <w:rPr>
                          <w:rFonts w:ascii="宋体" w:hAnsi="宋体" w:cs="宋体" w:eastAsia="宋体" w:hint="default"/>
                          <w:spacing w:val="12"/>
                          <w:w w:val="95"/>
                          <w:position w:val="-9"/>
                          <w:sz w:val="16"/>
                          <w:szCs w:val="16"/>
                        </w:rPr>
                        <w:t>武汉中原电子</w:t>
                      </w:r>
                      <w:r>
                        <w:rPr>
                          <w:rFonts w:ascii="宋体" w:hAnsi="宋体" w:cs="宋体" w:eastAsia="宋体" w:hint="default"/>
                          <w:spacing w:val="-31"/>
                          <w:w w:val="95"/>
                          <w:position w:val="-9"/>
                          <w:sz w:val="16"/>
                          <w:szCs w:val="16"/>
                        </w:rPr>
                        <w:t> </w:t>
                      </w:r>
                      <w:r>
                        <w:rPr>
                          <w:rFonts w:ascii="宋体" w:hAnsi="宋体" w:cs="宋体" w:eastAsia="宋体" w:hint="default"/>
                          <w:spacing w:val="-31"/>
                          <w:w w:val="95"/>
                          <w:position w:val="-9"/>
                          <w:sz w:val="16"/>
                          <w:szCs w:val="16"/>
                        </w:rPr>
                      </w:r>
                      <w:r>
                        <w:rPr>
                          <w:rFonts w:ascii="宋体" w:hAnsi="宋体" w:cs="宋体" w:eastAsia="宋体" w:hint="default"/>
                          <w:spacing w:val="12"/>
                          <w:sz w:val="16"/>
                          <w:szCs w:val="16"/>
                        </w:rPr>
                        <w:t>产业集团有限</w:t>
                      </w:r>
                      <w:r>
                        <w:rPr>
                          <w:rFonts w:ascii="宋体" w:hAnsi="宋体" w:cs="宋体" w:eastAsia="宋体" w:hint="default"/>
                          <w:sz w:val="16"/>
                          <w:szCs w:val="16"/>
                        </w:rPr>
                      </w:r>
                    </w:p>
                    <w:p>
                      <w:pPr>
                        <w:tabs>
                          <w:tab w:pos="1233" w:val="left" w:leader="none"/>
                        </w:tabs>
                        <w:spacing w:line="213" w:lineRule="exact" w:before="0"/>
                        <w:ind w:left="0" w:right="0" w:firstLine="0"/>
                        <w:jc w:val="left"/>
                        <w:rPr>
                          <w:rFonts w:ascii="宋体" w:hAnsi="宋体" w:cs="宋体" w:eastAsia="宋体" w:hint="default"/>
                          <w:sz w:val="16"/>
                          <w:szCs w:val="16"/>
                        </w:rPr>
                      </w:pPr>
                      <w:r>
                        <w:rPr>
                          <w:rFonts w:ascii="宋体" w:hAnsi="宋体" w:cs="宋体" w:eastAsia="宋体" w:hint="default"/>
                          <w:w w:val="95"/>
                          <w:position w:val="-9"/>
                          <w:sz w:val="16"/>
                          <w:szCs w:val="16"/>
                        </w:rPr>
                        <w:t>公司</w:t>
                        <w:tab/>
                      </w:r>
                      <w:r>
                        <w:rPr>
                          <w:rFonts w:ascii="宋体" w:hAnsi="宋体" w:cs="宋体" w:eastAsia="宋体" w:hint="default"/>
                          <w:sz w:val="16"/>
                          <w:szCs w:val="16"/>
                        </w:rPr>
                        <w:t>集团有限公司</w:t>
                      </w:r>
                    </w:p>
                  </w:txbxContent>
                </v:textbox>
                <w10:wrap type="none"/>
              </v:shape>
              <v:shape style="position:absolute;left:4985;top:1025;width:870;height:783" type="#_x0000_t202" filled="false" stroked="false">
                <v:textbox inset="0,0,0,0">
                  <w:txbxContent>
                    <w:p>
                      <w:pPr>
                        <w:spacing w:line="158" w:lineRule="exact" w:before="0"/>
                        <w:ind w:left="0" w:right="0" w:firstLine="0"/>
                        <w:jc w:val="both"/>
                        <w:rPr>
                          <w:rFonts w:ascii="宋体" w:hAnsi="宋体" w:cs="宋体" w:eastAsia="宋体" w:hint="default"/>
                          <w:sz w:val="16"/>
                          <w:szCs w:val="16"/>
                        </w:rPr>
                      </w:pPr>
                      <w:r>
                        <w:rPr>
                          <w:rFonts w:ascii="宋体" w:hAnsi="宋体" w:cs="宋体" w:eastAsia="宋体" w:hint="default"/>
                          <w:spacing w:val="11"/>
                          <w:sz w:val="16"/>
                          <w:szCs w:val="16"/>
                        </w:rPr>
                        <w:t>武汉中原物</w:t>
                      </w:r>
                      <w:r>
                        <w:rPr>
                          <w:rFonts w:ascii="宋体" w:hAnsi="宋体" w:cs="宋体" w:eastAsia="宋体" w:hint="default"/>
                          <w:spacing w:val="-66"/>
                          <w:sz w:val="16"/>
                          <w:szCs w:val="16"/>
                        </w:rPr>
                        <w:t> </w:t>
                      </w:r>
                      <w:r>
                        <w:rPr>
                          <w:rFonts w:ascii="宋体" w:hAnsi="宋体" w:cs="宋体" w:eastAsia="宋体" w:hint="default"/>
                          <w:sz w:val="16"/>
                          <w:szCs w:val="16"/>
                        </w:rPr>
                      </w:r>
                    </w:p>
                    <w:p>
                      <w:pPr>
                        <w:spacing w:before="0"/>
                        <w:ind w:left="0" w:right="0" w:firstLine="0"/>
                        <w:jc w:val="both"/>
                        <w:rPr>
                          <w:rFonts w:ascii="宋体" w:hAnsi="宋体" w:cs="宋体" w:eastAsia="宋体" w:hint="default"/>
                          <w:sz w:val="16"/>
                          <w:szCs w:val="16"/>
                        </w:rPr>
                      </w:pPr>
                      <w:r>
                        <w:rPr>
                          <w:rFonts w:ascii="宋体" w:hAnsi="宋体" w:cs="宋体" w:eastAsia="宋体" w:hint="default"/>
                          <w:spacing w:val="11"/>
                          <w:sz w:val="16"/>
                          <w:szCs w:val="16"/>
                        </w:rPr>
                        <w:t>业发展有限</w:t>
                      </w:r>
                      <w:r>
                        <w:rPr>
                          <w:rFonts w:ascii="宋体" w:hAnsi="宋体" w:cs="宋体" w:eastAsia="宋体" w:hint="default"/>
                          <w:spacing w:val="-66"/>
                          <w:sz w:val="16"/>
                          <w:szCs w:val="16"/>
                        </w:rPr>
                        <w:t> </w:t>
                      </w:r>
                      <w:r>
                        <w:rPr>
                          <w:rFonts w:ascii="宋体" w:hAnsi="宋体" w:cs="宋体" w:eastAsia="宋体" w:hint="default"/>
                          <w:spacing w:val="11"/>
                          <w:sz w:val="16"/>
                          <w:szCs w:val="16"/>
                        </w:rPr>
                        <w:t>公司日常经</w:t>
                      </w:r>
                      <w:r>
                        <w:rPr>
                          <w:rFonts w:ascii="宋体" w:hAnsi="宋体" w:cs="宋体" w:eastAsia="宋体" w:hint="default"/>
                          <w:spacing w:val="-66"/>
                          <w:sz w:val="16"/>
                          <w:szCs w:val="16"/>
                        </w:rPr>
                        <w:t> </w:t>
                      </w:r>
                      <w:r>
                        <w:rPr>
                          <w:rFonts w:ascii="宋体" w:hAnsi="宋体" w:cs="宋体" w:eastAsia="宋体" w:hint="default"/>
                          <w:sz w:val="16"/>
                          <w:szCs w:val="16"/>
                        </w:rPr>
                        <w:t>营管理</w:t>
                      </w:r>
                    </w:p>
                  </w:txbxContent>
                </v:textbox>
                <w10:wrap type="none"/>
              </v:shape>
              <v:shape style="position:absolute;left:6100;top:1349;width:667;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2016-4-25</w:t>
                      </w:r>
                      <w:r>
                        <w:rPr>
                          <w:rFonts w:ascii="Times New Roman"/>
                          <w:sz w:val="16"/>
                        </w:rPr>
                      </w:r>
                    </w:p>
                  </w:txbxContent>
                </v:textbox>
                <w10:wrap type="none"/>
              </v:shape>
              <v:shape style="position:absolute;left:7151;top:1336;width:4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未约定</w:t>
                      </w:r>
                      <w:r>
                        <w:rPr>
                          <w:rFonts w:ascii="宋体" w:hAnsi="宋体" w:cs="宋体" w:eastAsia="宋体" w:hint="default"/>
                          <w:sz w:val="16"/>
                          <w:szCs w:val="16"/>
                        </w:rPr>
                      </w:r>
                    </w:p>
                  </w:txbxContent>
                </v:textbox>
                <w10:wrap type="none"/>
              </v:shape>
              <v:shape style="position:absolute;left:7975;top:1128;width:1073;height:575" type="#_x0000_t202" filled="false" stroked="false">
                <v:textbox inset="0,0,0,0">
                  <w:txbxContent>
                    <w:p>
                      <w:pPr>
                        <w:spacing w:line="158" w:lineRule="exact" w:before="0"/>
                        <w:ind w:left="0" w:right="0" w:firstLine="0"/>
                        <w:jc w:val="left"/>
                        <w:rPr>
                          <w:rFonts w:ascii="宋体" w:hAnsi="宋体" w:cs="宋体" w:eastAsia="宋体" w:hint="default"/>
                          <w:sz w:val="16"/>
                          <w:szCs w:val="16"/>
                        </w:rPr>
                      </w:pPr>
                      <w:r>
                        <w:rPr>
                          <w:rFonts w:ascii="宋体" w:hAnsi="宋体" w:cs="宋体" w:eastAsia="宋体" w:hint="default"/>
                          <w:spacing w:val="15"/>
                          <w:sz w:val="16"/>
                          <w:szCs w:val="16"/>
                        </w:rPr>
                        <w:t>合同约定每年</w:t>
                      </w:r>
                      <w:r>
                        <w:rPr>
                          <w:rFonts w:ascii="宋体" w:hAnsi="宋体" w:cs="宋体" w:eastAsia="宋体" w:hint="default"/>
                          <w:spacing w:val="-62"/>
                          <w:sz w:val="16"/>
                          <w:szCs w:val="16"/>
                        </w:rPr>
                        <w:t> </w:t>
                      </w:r>
                      <w:r>
                        <w:rPr>
                          <w:rFonts w:ascii="宋体" w:hAnsi="宋体" w:cs="宋体" w:eastAsia="宋体" w:hint="default"/>
                          <w:sz w:val="16"/>
                          <w:szCs w:val="16"/>
                        </w:rPr>
                      </w:r>
                    </w:p>
                    <w:p>
                      <w:pPr>
                        <w:spacing w:line="208" w:lineRule="exact" w:before="19"/>
                        <w:ind w:left="0" w:right="0" w:firstLine="0"/>
                        <w:jc w:val="left"/>
                        <w:rPr>
                          <w:rFonts w:ascii="宋体" w:hAnsi="宋体" w:cs="宋体" w:eastAsia="宋体" w:hint="default"/>
                          <w:sz w:val="16"/>
                          <w:szCs w:val="16"/>
                        </w:rPr>
                      </w:pPr>
                      <w:r>
                        <w:rPr>
                          <w:rFonts w:ascii="Times New Roman" w:hAnsi="Times New Roman" w:cs="Times New Roman" w:eastAsia="Times New Roman" w:hint="default"/>
                          <w:sz w:val="16"/>
                          <w:szCs w:val="16"/>
                        </w:rPr>
                        <w:t>100</w:t>
                      </w:r>
                      <w:r>
                        <w:rPr>
                          <w:rFonts w:ascii="Times New Roman" w:hAnsi="Times New Roman" w:cs="Times New Roman" w:eastAsia="Times New Roman" w:hint="default"/>
                          <w:spacing w:val="21"/>
                          <w:sz w:val="16"/>
                          <w:szCs w:val="16"/>
                        </w:rPr>
                        <w:t> </w:t>
                      </w:r>
                      <w:r>
                        <w:rPr>
                          <w:rFonts w:ascii="宋体" w:hAnsi="宋体" w:cs="宋体" w:eastAsia="宋体" w:hint="default"/>
                          <w:spacing w:val="16"/>
                          <w:sz w:val="16"/>
                          <w:szCs w:val="16"/>
                        </w:rPr>
                        <w:t>万元（含</w:t>
                      </w:r>
                      <w:r>
                        <w:rPr>
                          <w:rFonts w:ascii="宋体" w:hAnsi="宋体" w:cs="宋体" w:eastAsia="宋体" w:hint="default"/>
                          <w:spacing w:val="-58"/>
                          <w:sz w:val="16"/>
                          <w:szCs w:val="16"/>
                        </w:rPr>
                        <w:t> </w:t>
                      </w:r>
                      <w:r>
                        <w:rPr>
                          <w:rFonts w:ascii="宋体" w:hAnsi="宋体" w:cs="宋体" w:eastAsia="宋体" w:hint="default"/>
                          <w:sz w:val="16"/>
                          <w:szCs w:val="16"/>
                        </w:rPr>
                        <w:t>税）</w:t>
                      </w:r>
                    </w:p>
                  </w:txbxContent>
                </v:textbox>
                <w10:wrap type="none"/>
              </v:shape>
              <v:shape style="position:absolute;left:9769;top:1349;width:7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943,396.23</w:t>
                      </w:r>
                      <w:r>
                        <w:rPr>
                          <w:rFonts w:ascii="Times New Roman"/>
                          <w:sz w:val="16"/>
                        </w:rPr>
                      </w:r>
                    </w:p>
                  </w:txbxContent>
                </v:textbox>
                <w10:wrap type="none"/>
              </v:shape>
            </v:group>
            <w10:wrap type="none"/>
          </v:group>
        </w:pict>
      </w:r>
      <w:r>
        <w:rPr>
          <w:rFonts w:ascii="Times New Roman" w:hAnsi="Times New Roman" w:cs="Times New Roman" w:eastAsia="Times New Roman" w:hint="default"/>
          <w:w w:val="95"/>
        </w:rPr>
        <w:t>2</w:t>
      </w:r>
      <w:r>
        <w:rPr>
          <w:w w:val="95"/>
        </w:rPr>
        <w:t>、</w:t>
        <w:tab/>
      </w:r>
      <w:r>
        <w:rPr/>
        <w:t>关联受托管理情况</w:t>
      </w:r>
      <w:r>
        <w:rPr>
          <w:b w:val="0"/>
          <w:bCs w:val="0"/>
        </w:rPr>
      </w:r>
    </w:p>
    <w:p>
      <w:pPr>
        <w:spacing w:line="240" w:lineRule="auto" w:before="6"/>
        <w:rPr>
          <w:rFonts w:ascii="宋体" w:hAnsi="宋体" w:cs="宋体" w:eastAsia="宋体" w:hint="default"/>
          <w:b/>
          <w:bCs/>
          <w:sz w:val="2"/>
          <w:szCs w:val="2"/>
        </w:rPr>
      </w:pPr>
    </w:p>
    <w:tbl>
      <w:tblPr>
        <w:tblW w:w="0" w:type="auto"/>
        <w:jc w:val="left"/>
        <w:tblInd w:w="793" w:type="dxa"/>
        <w:tblLayout w:type="fixed"/>
        <w:tblCellMar>
          <w:top w:w="0" w:type="dxa"/>
          <w:left w:w="0" w:type="dxa"/>
          <w:bottom w:w="0" w:type="dxa"/>
          <w:right w:w="0" w:type="dxa"/>
        </w:tblCellMar>
        <w:tblLook w:val="01E0"/>
      </w:tblPr>
      <w:tblGrid>
        <w:gridCol w:w="1188"/>
        <w:gridCol w:w="1234"/>
        <w:gridCol w:w="1087"/>
        <w:gridCol w:w="949"/>
        <w:gridCol w:w="954"/>
        <w:gridCol w:w="1288"/>
        <w:gridCol w:w="1305"/>
      </w:tblGrid>
      <w:tr>
        <w:trPr>
          <w:trHeight w:val="294" w:hRule="exact"/>
        </w:trPr>
        <w:tc>
          <w:tcPr>
            <w:tcW w:w="1188"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43"/>
              <w:jc w:val="center"/>
              <w:rPr>
                <w:rFonts w:ascii="宋体" w:hAnsi="宋体" w:cs="宋体" w:eastAsia="宋体" w:hint="default"/>
                <w:sz w:val="16"/>
                <w:szCs w:val="16"/>
              </w:rPr>
            </w:pPr>
            <w:r>
              <w:rPr>
                <w:rFonts w:ascii="宋体" w:hAnsi="宋体" w:cs="宋体" w:eastAsia="宋体" w:hint="default"/>
                <w:sz w:val="16"/>
                <w:szCs w:val="16"/>
              </w:rPr>
              <w:t>委托方</w:t>
            </w:r>
            <w:r>
              <w:rPr>
                <w:rFonts w:ascii="Times New Roman" w:hAnsi="Times New Roman" w:cs="Times New Roman" w:eastAsia="Times New Roman" w:hint="default"/>
                <w:sz w:val="16"/>
                <w:szCs w:val="16"/>
              </w:rPr>
              <w:t>/</w:t>
            </w:r>
            <w:r>
              <w:rPr>
                <w:rFonts w:ascii="宋体" w:hAnsi="宋体" w:cs="宋体" w:eastAsia="宋体" w:hint="default"/>
                <w:sz w:val="16"/>
                <w:szCs w:val="16"/>
              </w:rPr>
              <w:t>出包方</w:t>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0"/>
              <w:jc w:val="center"/>
              <w:rPr>
                <w:rFonts w:ascii="宋体" w:hAnsi="宋体" w:cs="宋体" w:eastAsia="宋体" w:hint="default"/>
                <w:sz w:val="16"/>
                <w:szCs w:val="16"/>
              </w:rPr>
            </w:pPr>
            <w:r>
              <w:rPr>
                <w:rFonts w:ascii="宋体" w:hAnsi="宋体" w:cs="宋体" w:eastAsia="宋体" w:hint="default"/>
                <w:sz w:val="16"/>
                <w:szCs w:val="16"/>
              </w:rPr>
              <w:t>受托方</w:t>
            </w:r>
            <w:r>
              <w:rPr>
                <w:rFonts w:ascii="Times New Roman" w:hAnsi="Times New Roman" w:cs="Times New Roman" w:eastAsia="Times New Roman" w:hint="default"/>
                <w:sz w:val="16"/>
                <w:szCs w:val="16"/>
              </w:rPr>
              <w:t>/</w:t>
            </w:r>
            <w:r>
              <w:rPr>
                <w:rFonts w:ascii="宋体" w:hAnsi="宋体" w:cs="宋体" w:eastAsia="宋体" w:hint="default"/>
                <w:sz w:val="16"/>
                <w:szCs w:val="16"/>
              </w:rPr>
              <w:t>承包方</w:t>
            </w:r>
          </w:p>
        </w:tc>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0"/>
              <w:jc w:val="center"/>
              <w:rPr>
                <w:rFonts w:ascii="宋体" w:hAnsi="宋体" w:cs="宋体" w:eastAsia="宋体" w:hint="default"/>
                <w:sz w:val="16"/>
                <w:szCs w:val="16"/>
              </w:rPr>
            </w:pPr>
            <w:r>
              <w:rPr>
                <w:rFonts w:ascii="宋体" w:hAnsi="宋体" w:cs="宋体" w:eastAsia="宋体" w:hint="default"/>
                <w:sz w:val="16"/>
                <w:szCs w:val="16"/>
              </w:rPr>
              <w:t>受托</w:t>
            </w:r>
            <w:r>
              <w:rPr>
                <w:rFonts w:ascii="Times New Roman" w:hAnsi="Times New Roman" w:cs="Times New Roman" w:eastAsia="Times New Roman" w:hint="default"/>
                <w:sz w:val="16"/>
                <w:szCs w:val="16"/>
              </w:rPr>
              <w:t>/</w:t>
            </w:r>
            <w:r>
              <w:rPr>
                <w:rFonts w:ascii="宋体" w:hAnsi="宋体" w:cs="宋体" w:eastAsia="宋体" w:hint="default"/>
                <w:sz w:val="16"/>
                <w:szCs w:val="16"/>
              </w:rPr>
              <w:t>承包资</w:t>
            </w:r>
          </w:p>
        </w:tc>
        <w:tc>
          <w:tcPr>
            <w:tcW w:w="949"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8"/>
              <w:jc w:val="center"/>
              <w:rPr>
                <w:rFonts w:ascii="宋体" w:hAnsi="宋体" w:cs="宋体" w:eastAsia="宋体" w:hint="default"/>
                <w:sz w:val="16"/>
                <w:szCs w:val="16"/>
              </w:rPr>
            </w:pPr>
            <w:r>
              <w:rPr>
                <w:rFonts w:ascii="宋体" w:hAnsi="宋体" w:cs="宋体" w:eastAsia="宋体" w:hint="default"/>
                <w:sz w:val="16"/>
                <w:szCs w:val="16"/>
              </w:rPr>
              <w:t>受托</w:t>
            </w:r>
            <w:r>
              <w:rPr>
                <w:rFonts w:ascii="Times New Roman" w:hAnsi="Times New Roman" w:cs="Times New Roman" w:eastAsia="Times New Roman" w:hint="default"/>
                <w:sz w:val="16"/>
                <w:szCs w:val="16"/>
              </w:rPr>
              <w:t>/</w:t>
            </w:r>
            <w:r>
              <w:rPr>
                <w:rFonts w:ascii="宋体" w:hAnsi="宋体" w:cs="宋体" w:eastAsia="宋体" w:hint="default"/>
                <w:sz w:val="16"/>
                <w:szCs w:val="16"/>
              </w:rPr>
              <w:t>承包</w:t>
            </w:r>
          </w:p>
        </w:tc>
        <w:tc>
          <w:tcPr>
            <w:tcW w:w="954" w:type="dxa"/>
            <w:tcBorders>
              <w:top w:val="nil" w:sz="6" w:space="0" w:color="auto"/>
              <w:left w:val="nil" w:sz="6" w:space="0" w:color="auto"/>
              <w:bottom w:val="nil" w:sz="6" w:space="0" w:color="auto"/>
              <w:right w:val="nil" w:sz="6" w:space="0" w:color="auto"/>
            </w:tcBorders>
          </w:tcPr>
          <w:p>
            <w:pPr>
              <w:pStyle w:val="TableParagraph"/>
              <w:spacing w:line="240" w:lineRule="auto" w:before="56"/>
              <w:ind w:left="4" w:right="0"/>
              <w:jc w:val="center"/>
              <w:rPr>
                <w:rFonts w:ascii="宋体" w:hAnsi="宋体" w:cs="宋体" w:eastAsia="宋体" w:hint="default"/>
                <w:sz w:val="16"/>
                <w:szCs w:val="16"/>
              </w:rPr>
            </w:pPr>
            <w:r>
              <w:rPr>
                <w:rFonts w:ascii="宋体" w:hAnsi="宋体" w:cs="宋体" w:eastAsia="宋体" w:hint="default"/>
                <w:sz w:val="16"/>
                <w:szCs w:val="16"/>
              </w:rPr>
              <w:t>受托</w:t>
            </w:r>
            <w:r>
              <w:rPr>
                <w:rFonts w:ascii="Times New Roman" w:hAnsi="Times New Roman" w:cs="Times New Roman" w:eastAsia="Times New Roman" w:hint="default"/>
                <w:sz w:val="16"/>
                <w:szCs w:val="16"/>
              </w:rPr>
              <w:t>/</w:t>
            </w:r>
            <w:r>
              <w:rPr>
                <w:rFonts w:ascii="宋体" w:hAnsi="宋体" w:cs="宋体" w:eastAsia="宋体" w:hint="default"/>
                <w:sz w:val="16"/>
                <w:szCs w:val="16"/>
              </w:rPr>
              <w:t>承包</w:t>
            </w:r>
          </w:p>
        </w:tc>
        <w:tc>
          <w:tcPr>
            <w:tcW w:w="1288"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6"/>
              <w:jc w:val="center"/>
              <w:rPr>
                <w:rFonts w:ascii="宋体" w:hAnsi="宋体" w:cs="宋体" w:eastAsia="宋体" w:hint="default"/>
                <w:sz w:val="16"/>
                <w:szCs w:val="16"/>
              </w:rPr>
            </w:pPr>
            <w:r>
              <w:rPr>
                <w:rFonts w:ascii="宋体" w:hAnsi="宋体" w:cs="宋体" w:eastAsia="宋体" w:hint="default"/>
                <w:sz w:val="16"/>
                <w:szCs w:val="16"/>
              </w:rPr>
              <w:t>托管收益</w:t>
            </w:r>
            <w:r>
              <w:rPr>
                <w:rFonts w:ascii="Times New Roman" w:hAnsi="Times New Roman" w:cs="Times New Roman" w:eastAsia="Times New Roman" w:hint="default"/>
                <w:sz w:val="16"/>
                <w:szCs w:val="16"/>
              </w:rPr>
              <w:t>/</w:t>
            </w:r>
            <w:r>
              <w:rPr>
                <w:rFonts w:ascii="宋体" w:hAnsi="宋体" w:cs="宋体" w:eastAsia="宋体" w:hint="default"/>
                <w:sz w:val="16"/>
                <w:szCs w:val="16"/>
              </w:rPr>
              <w:t>承包</w:t>
            </w:r>
          </w:p>
        </w:tc>
        <w:tc>
          <w:tcPr>
            <w:tcW w:w="1305"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宋体" w:hAnsi="宋体" w:cs="宋体" w:eastAsia="宋体" w:hint="default"/>
                <w:sz w:val="16"/>
                <w:szCs w:val="16"/>
              </w:rPr>
            </w:pPr>
            <w:r>
              <w:rPr>
                <w:rFonts w:ascii="宋体" w:hAnsi="宋体" w:cs="宋体" w:eastAsia="宋体" w:hint="default"/>
                <w:w w:val="95"/>
                <w:sz w:val="16"/>
                <w:szCs w:val="16"/>
              </w:rPr>
              <w:t>本期确认的托管</w:t>
            </w:r>
            <w:r>
              <w:rPr>
                <w:rFonts w:ascii="宋体" w:hAnsi="宋体" w:cs="宋体" w:eastAsia="宋体" w:hint="default"/>
                <w:sz w:val="16"/>
                <w:szCs w:val="16"/>
              </w:rPr>
            </w:r>
          </w:p>
        </w:tc>
      </w:tr>
      <w:tr>
        <w:trPr>
          <w:trHeight w:val="288" w:hRule="exact"/>
        </w:trPr>
        <w:tc>
          <w:tcPr>
            <w:tcW w:w="1188" w:type="dxa"/>
            <w:tcBorders>
              <w:top w:val="nil" w:sz="6" w:space="0" w:color="auto"/>
              <w:left w:val="nil" w:sz="6" w:space="0" w:color="auto"/>
              <w:bottom w:val="nil" w:sz="6" w:space="0" w:color="auto"/>
              <w:right w:val="nil" w:sz="6" w:space="0" w:color="auto"/>
            </w:tcBorders>
          </w:tcPr>
          <w:p>
            <w:pPr>
              <w:pStyle w:val="TableParagraph"/>
              <w:spacing w:line="179" w:lineRule="exact"/>
              <w:ind w:right="43"/>
              <w:jc w:val="center"/>
              <w:rPr>
                <w:rFonts w:ascii="宋体" w:hAnsi="宋体" w:cs="宋体" w:eastAsia="宋体" w:hint="default"/>
                <w:sz w:val="16"/>
                <w:szCs w:val="16"/>
              </w:rPr>
            </w:pPr>
            <w:r>
              <w:rPr>
                <w:rFonts w:ascii="宋体" w:hAnsi="宋体" w:cs="宋体" w:eastAsia="宋体" w:hint="default"/>
                <w:sz w:val="16"/>
                <w:szCs w:val="16"/>
              </w:rPr>
              <w:t>名称</w:t>
            </w:r>
          </w:p>
        </w:tc>
        <w:tc>
          <w:tcPr>
            <w:tcW w:w="1234" w:type="dxa"/>
            <w:tcBorders>
              <w:top w:val="nil" w:sz="6" w:space="0" w:color="auto"/>
              <w:left w:val="nil" w:sz="6" w:space="0" w:color="auto"/>
              <w:bottom w:val="nil" w:sz="6" w:space="0" w:color="auto"/>
              <w:right w:val="nil" w:sz="6" w:space="0" w:color="auto"/>
            </w:tcBorders>
          </w:tcPr>
          <w:p>
            <w:pPr>
              <w:pStyle w:val="TableParagraph"/>
              <w:spacing w:line="179" w:lineRule="exact"/>
              <w:ind w:right="0"/>
              <w:jc w:val="center"/>
              <w:rPr>
                <w:rFonts w:ascii="宋体" w:hAnsi="宋体" w:cs="宋体" w:eastAsia="宋体" w:hint="default"/>
                <w:sz w:val="16"/>
                <w:szCs w:val="16"/>
              </w:rPr>
            </w:pPr>
            <w:r>
              <w:rPr>
                <w:rFonts w:ascii="宋体" w:hAnsi="宋体" w:cs="宋体" w:eastAsia="宋体" w:hint="default"/>
                <w:sz w:val="16"/>
                <w:szCs w:val="16"/>
              </w:rPr>
              <w:t>名称</w:t>
            </w:r>
          </w:p>
        </w:tc>
        <w:tc>
          <w:tcPr>
            <w:tcW w:w="1087" w:type="dxa"/>
            <w:tcBorders>
              <w:top w:val="nil" w:sz="6" w:space="0" w:color="auto"/>
              <w:left w:val="nil" w:sz="6" w:space="0" w:color="auto"/>
              <w:bottom w:val="nil" w:sz="6" w:space="0" w:color="auto"/>
              <w:right w:val="nil" w:sz="6" w:space="0" w:color="auto"/>
            </w:tcBorders>
          </w:tcPr>
          <w:p>
            <w:pPr>
              <w:pStyle w:val="TableParagraph"/>
              <w:spacing w:line="179" w:lineRule="exact"/>
              <w:ind w:right="10"/>
              <w:jc w:val="center"/>
              <w:rPr>
                <w:rFonts w:ascii="宋体" w:hAnsi="宋体" w:cs="宋体" w:eastAsia="宋体" w:hint="default"/>
                <w:sz w:val="16"/>
                <w:szCs w:val="16"/>
              </w:rPr>
            </w:pPr>
            <w:r>
              <w:rPr>
                <w:rFonts w:ascii="宋体" w:hAnsi="宋体" w:cs="宋体" w:eastAsia="宋体" w:hint="default"/>
                <w:sz w:val="16"/>
                <w:szCs w:val="16"/>
              </w:rPr>
              <w:t>产类型</w:t>
            </w:r>
          </w:p>
        </w:tc>
        <w:tc>
          <w:tcPr>
            <w:tcW w:w="949" w:type="dxa"/>
            <w:tcBorders>
              <w:top w:val="nil" w:sz="6" w:space="0" w:color="auto"/>
              <w:left w:val="nil" w:sz="6" w:space="0" w:color="auto"/>
              <w:bottom w:val="nil" w:sz="6" w:space="0" w:color="auto"/>
              <w:right w:val="nil" w:sz="6" w:space="0" w:color="auto"/>
            </w:tcBorders>
          </w:tcPr>
          <w:p>
            <w:pPr>
              <w:pStyle w:val="TableParagraph"/>
              <w:spacing w:line="179" w:lineRule="exact"/>
              <w:ind w:right="8"/>
              <w:jc w:val="center"/>
              <w:rPr>
                <w:rFonts w:ascii="宋体" w:hAnsi="宋体" w:cs="宋体" w:eastAsia="宋体" w:hint="default"/>
                <w:sz w:val="16"/>
                <w:szCs w:val="16"/>
              </w:rPr>
            </w:pPr>
            <w:r>
              <w:rPr>
                <w:rFonts w:ascii="宋体" w:hAnsi="宋体" w:cs="宋体" w:eastAsia="宋体" w:hint="default"/>
                <w:sz w:val="16"/>
                <w:szCs w:val="16"/>
              </w:rPr>
              <w:t>起始日</w:t>
            </w:r>
          </w:p>
        </w:tc>
        <w:tc>
          <w:tcPr>
            <w:tcW w:w="954" w:type="dxa"/>
            <w:tcBorders>
              <w:top w:val="nil" w:sz="6" w:space="0" w:color="auto"/>
              <w:left w:val="nil" w:sz="6" w:space="0" w:color="auto"/>
              <w:bottom w:val="nil" w:sz="6" w:space="0" w:color="auto"/>
              <w:right w:val="nil" w:sz="6" w:space="0" w:color="auto"/>
            </w:tcBorders>
          </w:tcPr>
          <w:p>
            <w:pPr>
              <w:pStyle w:val="TableParagraph"/>
              <w:spacing w:line="179" w:lineRule="exact"/>
              <w:ind w:left="4" w:right="0"/>
              <w:jc w:val="center"/>
              <w:rPr>
                <w:rFonts w:ascii="宋体" w:hAnsi="宋体" w:cs="宋体" w:eastAsia="宋体" w:hint="default"/>
                <w:sz w:val="16"/>
                <w:szCs w:val="16"/>
              </w:rPr>
            </w:pPr>
            <w:r>
              <w:rPr>
                <w:rFonts w:ascii="宋体" w:hAnsi="宋体" w:cs="宋体" w:eastAsia="宋体" w:hint="default"/>
                <w:sz w:val="16"/>
                <w:szCs w:val="16"/>
              </w:rPr>
              <w:t>终止日</w:t>
            </w:r>
          </w:p>
        </w:tc>
        <w:tc>
          <w:tcPr>
            <w:tcW w:w="1288" w:type="dxa"/>
            <w:tcBorders>
              <w:top w:val="nil" w:sz="6" w:space="0" w:color="auto"/>
              <w:left w:val="nil" w:sz="6" w:space="0" w:color="auto"/>
              <w:bottom w:val="nil" w:sz="6" w:space="0" w:color="auto"/>
              <w:right w:val="nil" w:sz="6" w:space="0" w:color="auto"/>
            </w:tcBorders>
          </w:tcPr>
          <w:p>
            <w:pPr>
              <w:pStyle w:val="TableParagraph"/>
              <w:spacing w:line="179" w:lineRule="exact"/>
              <w:ind w:right="17"/>
              <w:jc w:val="center"/>
              <w:rPr>
                <w:rFonts w:ascii="宋体" w:hAnsi="宋体" w:cs="宋体" w:eastAsia="宋体" w:hint="default"/>
                <w:sz w:val="16"/>
                <w:szCs w:val="16"/>
              </w:rPr>
            </w:pPr>
            <w:r>
              <w:rPr>
                <w:rFonts w:ascii="宋体" w:hAnsi="宋体" w:cs="宋体" w:eastAsia="宋体" w:hint="default"/>
                <w:sz w:val="16"/>
                <w:szCs w:val="16"/>
              </w:rPr>
              <w:t>收益定价依据</w:t>
            </w:r>
          </w:p>
        </w:tc>
        <w:tc>
          <w:tcPr>
            <w:tcW w:w="1305" w:type="dxa"/>
            <w:tcBorders>
              <w:top w:val="nil" w:sz="6" w:space="0" w:color="auto"/>
              <w:left w:val="nil" w:sz="6" w:space="0" w:color="auto"/>
              <w:bottom w:val="nil" w:sz="6" w:space="0" w:color="auto"/>
              <w:right w:val="nil" w:sz="6" w:space="0" w:color="auto"/>
            </w:tcBorders>
          </w:tcPr>
          <w:p>
            <w:pPr>
              <w:pStyle w:val="TableParagraph"/>
              <w:spacing w:line="191" w:lineRule="exact"/>
              <w:ind w:right="90"/>
              <w:jc w:val="right"/>
              <w:rPr>
                <w:rFonts w:ascii="宋体" w:hAnsi="宋体" w:cs="宋体" w:eastAsia="宋体" w:hint="default"/>
                <w:sz w:val="16"/>
                <w:szCs w:val="16"/>
              </w:rPr>
            </w:pPr>
            <w:r>
              <w:rPr>
                <w:rFonts w:ascii="宋体" w:hAnsi="宋体" w:cs="宋体" w:eastAsia="宋体" w:hint="default"/>
                <w:w w:val="95"/>
                <w:sz w:val="16"/>
                <w:szCs w:val="16"/>
              </w:rPr>
              <w:t>收益</w:t>
            </w:r>
            <w:r>
              <w:rPr>
                <w:rFonts w:ascii="Times New Roman" w:hAnsi="Times New Roman" w:cs="Times New Roman" w:eastAsia="Times New Roman" w:hint="default"/>
                <w:w w:val="95"/>
                <w:sz w:val="16"/>
                <w:szCs w:val="16"/>
              </w:rPr>
              <w:t>/</w:t>
            </w:r>
            <w:r>
              <w:rPr>
                <w:rFonts w:ascii="宋体" w:hAnsi="宋体" w:cs="宋体" w:eastAsia="宋体" w:hint="default"/>
                <w:w w:val="95"/>
                <w:sz w:val="16"/>
                <w:szCs w:val="16"/>
              </w:rPr>
              <w:t>承包收益</w:t>
            </w:r>
            <w:r>
              <w:rPr>
                <w:rFonts w:ascii="宋体" w:hAnsi="宋体" w:cs="宋体" w:eastAsia="宋体" w:hint="default"/>
                <w:sz w:val="16"/>
                <w:szCs w:val="16"/>
              </w:rPr>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pStyle w:val="Heading5"/>
        <w:tabs>
          <w:tab w:pos="1397" w:val="left" w:leader="none"/>
        </w:tabs>
        <w:spacing w:line="240" w:lineRule="auto" w:before="175"/>
        <w:ind w:left="846" w:right="3681"/>
        <w:jc w:val="left"/>
        <w:rPr>
          <w:b w:val="0"/>
          <w:bCs w:val="0"/>
        </w:rPr>
      </w:pPr>
      <w:r>
        <w:rPr/>
        <w:pict>
          <v:group style="position:absolute;margin-left:119.520004pt;margin-top:45.553612pt;width:411.55pt;height:193.95pt;mso-position-horizontal-relative:page;mso-position-vertical-relative:paragraph;z-index:-1368880" coordorigin="2390,911" coordsize="8231,3879">
            <v:shape style="position:absolute;left:5401;top:911;width:10;height:28" type="#_x0000_t75" stroked="false">
              <v:imagedata r:id="rId112" o:title=""/>
            </v:shape>
            <v:shape style="position:absolute;left:6772;top:911;width:10;height:28" type="#_x0000_t75" stroked="false">
              <v:imagedata r:id="rId112" o:title=""/>
            </v:shape>
            <v:shape style="position:absolute;left:8682;top:911;width:10;height:28" type="#_x0000_t75" stroked="false">
              <v:imagedata r:id="rId112" o:title=""/>
            </v:shape>
            <v:shape style="position:absolute;left:5382;top:919;width:3329;height:354" type="#_x0000_t75" stroked="false">
              <v:imagedata r:id="rId422" o:title=""/>
            </v:shape>
            <v:shape style="position:absolute;left:2390;top:1235;width:8231;height:3554" type="#_x0000_t75" stroked="false">
              <v:imagedata r:id="rId423" o:title=""/>
            </v:shape>
            <w10:wrap type="none"/>
          </v:group>
        </w:pict>
      </w:r>
      <w:r>
        <w:rPr>
          <w:rFonts w:ascii="Times New Roman" w:hAnsi="Times New Roman" w:cs="Times New Roman" w:eastAsia="Times New Roman" w:hint="default"/>
          <w:w w:val="95"/>
        </w:rPr>
        <w:t>3</w:t>
      </w:r>
      <w:r>
        <w:rPr>
          <w:w w:val="95"/>
        </w:rPr>
        <w:t>、</w:t>
        <w:tab/>
      </w:r>
      <w:r>
        <w:rPr/>
        <w:t>关联租赁情况</w:t>
      </w:r>
      <w:r>
        <w:rPr>
          <w:b w:val="0"/>
          <w:bCs w:val="0"/>
        </w:rPr>
      </w:r>
    </w:p>
    <w:p>
      <w:pPr>
        <w:spacing w:line="240" w:lineRule="auto" w:before="8"/>
        <w:rPr>
          <w:rFonts w:ascii="宋体" w:hAnsi="宋体" w:cs="宋体" w:eastAsia="宋体" w:hint="default"/>
          <w:b/>
          <w:bCs/>
          <w:sz w:val="5"/>
          <w:szCs w:val="5"/>
        </w:rPr>
      </w:pPr>
    </w:p>
    <w:tbl>
      <w:tblPr>
        <w:tblW w:w="0" w:type="auto"/>
        <w:jc w:val="left"/>
        <w:tblInd w:w="749" w:type="dxa"/>
        <w:tblLayout w:type="fixed"/>
        <w:tblCellMar>
          <w:top w:w="0" w:type="dxa"/>
          <w:left w:w="0" w:type="dxa"/>
          <w:bottom w:w="0" w:type="dxa"/>
          <w:right w:w="0" w:type="dxa"/>
        </w:tblCellMar>
        <w:tblLook w:val="01E0"/>
      </w:tblPr>
      <w:tblGrid>
        <w:gridCol w:w="2773"/>
        <w:gridCol w:w="1607"/>
        <w:gridCol w:w="1960"/>
        <w:gridCol w:w="1847"/>
      </w:tblGrid>
      <w:tr>
        <w:trPr>
          <w:trHeight w:val="357" w:hRule="exact"/>
        </w:trPr>
        <w:tc>
          <w:tcPr>
            <w:tcW w:w="2773"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663" w:right="0"/>
              <w:jc w:val="left"/>
              <w:rPr>
                <w:rFonts w:ascii="宋体" w:hAnsi="宋体" w:cs="宋体" w:eastAsia="宋体" w:hint="default"/>
                <w:sz w:val="21"/>
                <w:szCs w:val="21"/>
              </w:rPr>
            </w:pPr>
            <w:r>
              <w:rPr>
                <w:rFonts w:ascii="宋体" w:hAnsi="宋体" w:cs="宋体" w:eastAsia="宋体" w:hint="default"/>
                <w:sz w:val="21"/>
                <w:szCs w:val="21"/>
              </w:rPr>
              <w:t>本公司作为出租方</w:t>
            </w:r>
          </w:p>
        </w:tc>
        <w:tc>
          <w:tcPr>
            <w:tcW w:w="5414" w:type="dxa"/>
            <w:gridSpan w:val="3"/>
            <w:tcBorders>
              <w:top w:val="nil" w:sz="6" w:space="0" w:color="auto"/>
              <w:left w:val="nil" w:sz="6" w:space="0" w:color="auto"/>
              <w:bottom w:val="single" w:sz="12" w:space="0" w:color="000000"/>
              <w:right w:val="nil" w:sz="6" w:space="0" w:color="auto"/>
            </w:tcBorders>
          </w:tcPr>
          <w:p>
            <w:pPr/>
          </w:p>
        </w:tc>
      </w:tr>
      <w:tr>
        <w:trPr>
          <w:trHeight w:val="363" w:hRule="exact"/>
        </w:trPr>
        <w:tc>
          <w:tcPr>
            <w:tcW w:w="2773"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left="1097" w:right="0"/>
              <w:jc w:val="left"/>
              <w:rPr>
                <w:rFonts w:ascii="宋体" w:hAnsi="宋体" w:cs="宋体" w:eastAsia="宋体" w:hint="default"/>
                <w:sz w:val="16"/>
                <w:szCs w:val="16"/>
              </w:rPr>
            </w:pPr>
            <w:r>
              <w:rPr>
                <w:rFonts w:ascii="宋体" w:hAnsi="宋体" w:cs="宋体" w:eastAsia="宋体" w:hint="default"/>
                <w:sz w:val="16"/>
                <w:szCs w:val="16"/>
              </w:rPr>
              <w:t>承租方名称</w:t>
            </w:r>
          </w:p>
        </w:tc>
        <w:tc>
          <w:tcPr>
            <w:tcW w:w="1607"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left="205" w:right="0"/>
              <w:jc w:val="center"/>
              <w:rPr>
                <w:rFonts w:ascii="宋体" w:hAnsi="宋体" w:cs="宋体" w:eastAsia="宋体" w:hint="default"/>
                <w:sz w:val="16"/>
                <w:szCs w:val="16"/>
              </w:rPr>
            </w:pPr>
            <w:r>
              <w:rPr>
                <w:rFonts w:ascii="宋体" w:hAnsi="宋体" w:cs="宋体" w:eastAsia="宋体" w:hint="default"/>
                <w:sz w:val="16"/>
                <w:szCs w:val="16"/>
              </w:rPr>
              <w:t>承租资产种类</w:t>
            </w:r>
          </w:p>
        </w:tc>
        <w:tc>
          <w:tcPr>
            <w:tcW w:w="1960"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left="221" w:right="0"/>
              <w:jc w:val="left"/>
              <w:rPr>
                <w:rFonts w:ascii="宋体" w:hAnsi="宋体" w:cs="宋体" w:eastAsia="宋体" w:hint="default"/>
                <w:sz w:val="16"/>
                <w:szCs w:val="16"/>
              </w:rPr>
            </w:pPr>
            <w:r>
              <w:rPr>
                <w:rFonts w:ascii="宋体" w:hAnsi="宋体" w:cs="宋体" w:eastAsia="宋体" w:hint="default"/>
                <w:sz w:val="16"/>
                <w:szCs w:val="16"/>
              </w:rPr>
              <w:t>本期确认的租赁收入</w:t>
            </w:r>
          </w:p>
        </w:tc>
        <w:tc>
          <w:tcPr>
            <w:tcW w:w="1847"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left="170" w:right="0"/>
              <w:jc w:val="left"/>
              <w:rPr>
                <w:rFonts w:ascii="宋体" w:hAnsi="宋体" w:cs="宋体" w:eastAsia="宋体" w:hint="default"/>
                <w:sz w:val="16"/>
                <w:szCs w:val="16"/>
              </w:rPr>
            </w:pPr>
            <w:r>
              <w:rPr>
                <w:rFonts w:ascii="宋体" w:hAnsi="宋体" w:cs="宋体" w:eastAsia="宋体" w:hint="default"/>
                <w:sz w:val="16"/>
                <w:szCs w:val="16"/>
              </w:rPr>
              <w:t>上期确认的租赁收入</w:t>
            </w:r>
          </w:p>
        </w:tc>
      </w:tr>
      <w:tr>
        <w:trPr>
          <w:trHeight w:val="360" w:hRule="exact"/>
        </w:trPr>
        <w:tc>
          <w:tcPr>
            <w:tcW w:w="2773"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7" w:right="0"/>
              <w:jc w:val="left"/>
              <w:rPr>
                <w:rFonts w:ascii="宋体" w:hAnsi="宋体" w:cs="宋体" w:eastAsia="宋体" w:hint="default"/>
                <w:sz w:val="16"/>
                <w:szCs w:val="16"/>
              </w:rPr>
            </w:pPr>
            <w:r>
              <w:rPr>
                <w:rFonts w:ascii="宋体" w:hAnsi="宋体" w:cs="宋体" w:eastAsia="宋体" w:hint="default"/>
                <w:sz w:val="16"/>
                <w:szCs w:val="16"/>
              </w:rPr>
              <w:t>长沙湘计开拓物业管理有限公司</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47"/>
              <w:ind w:left="206" w:right="0"/>
              <w:jc w:val="center"/>
              <w:rPr>
                <w:rFonts w:ascii="宋体" w:hAnsi="宋体" w:cs="宋体" w:eastAsia="宋体" w:hint="default"/>
                <w:sz w:val="16"/>
                <w:szCs w:val="16"/>
              </w:rPr>
            </w:pPr>
            <w:r>
              <w:rPr>
                <w:rFonts w:ascii="宋体" w:hAnsi="宋体" w:cs="宋体" w:eastAsia="宋体" w:hint="default"/>
                <w:sz w:val="16"/>
                <w:szCs w:val="16"/>
              </w:rPr>
              <w:t>房屋</w:t>
            </w:r>
          </w:p>
        </w:tc>
        <w:tc>
          <w:tcPr>
            <w:tcW w:w="1960"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68"/>
              <w:jc w:val="right"/>
              <w:rPr>
                <w:rFonts w:ascii="Times New Roman" w:hAnsi="Times New Roman" w:cs="Times New Roman" w:eastAsia="Times New Roman" w:hint="default"/>
                <w:sz w:val="16"/>
                <w:szCs w:val="16"/>
              </w:rPr>
            </w:pPr>
            <w:r>
              <w:rPr>
                <w:rFonts w:ascii="Times New Roman"/>
                <w:spacing w:val="-1"/>
                <w:sz w:val="16"/>
              </w:rPr>
              <w:t>12,038,014.81</w:t>
            </w:r>
          </w:p>
        </w:tc>
        <w:tc>
          <w:tcPr>
            <w:tcW w:w="1847"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04"/>
              <w:jc w:val="right"/>
              <w:rPr>
                <w:rFonts w:ascii="Times New Roman" w:hAnsi="Times New Roman" w:cs="Times New Roman" w:eastAsia="Times New Roman" w:hint="default"/>
                <w:sz w:val="16"/>
                <w:szCs w:val="16"/>
              </w:rPr>
            </w:pPr>
            <w:r>
              <w:rPr>
                <w:rFonts w:ascii="Times New Roman"/>
                <w:spacing w:val="-1"/>
                <w:sz w:val="16"/>
              </w:rPr>
              <w:t>9,207,595.28</w:t>
            </w:r>
          </w:p>
        </w:tc>
      </w:tr>
      <w:tr>
        <w:trPr>
          <w:trHeight w:val="353" w:hRule="exact"/>
        </w:trPr>
        <w:tc>
          <w:tcPr>
            <w:tcW w:w="2773"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中国电子信息产业集团有限公司</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40"/>
              <w:ind w:left="206" w:right="0"/>
              <w:jc w:val="center"/>
              <w:rPr>
                <w:rFonts w:ascii="宋体" w:hAnsi="宋体" w:cs="宋体" w:eastAsia="宋体" w:hint="default"/>
                <w:sz w:val="16"/>
                <w:szCs w:val="16"/>
              </w:rPr>
            </w:pPr>
            <w:r>
              <w:rPr>
                <w:rFonts w:ascii="宋体" w:hAnsi="宋体" w:cs="宋体" w:eastAsia="宋体" w:hint="default"/>
                <w:sz w:val="16"/>
                <w:szCs w:val="16"/>
              </w:rPr>
              <w:t>房屋</w:t>
            </w:r>
          </w:p>
        </w:tc>
        <w:tc>
          <w:tcPr>
            <w:tcW w:w="196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68"/>
              <w:jc w:val="right"/>
              <w:rPr>
                <w:rFonts w:ascii="Times New Roman" w:hAnsi="Times New Roman" w:cs="Times New Roman" w:eastAsia="Times New Roman" w:hint="default"/>
                <w:sz w:val="16"/>
                <w:szCs w:val="16"/>
              </w:rPr>
            </w:pPr>
            <w:r>
              <w:rPr>
                <w:rFonts w:ascii="Times New Roman"/>
                <w:spacing w:val="-1"/>
                <w:sz w:val="16"/>
              </w:rPr>
              <w:t>10,580,600.16</w:t>
            </w:r>
          </w:p>
        </w:tc>
        <w:tc>
          <w:tcPr>
            <w:tcW w:w="184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4"/>
              <w:jc w:val="right"/>
              <w:rPr>
                <w:rFonts w:ascii="Times New Roman" w:hAnsi="Times New Roman" w:cs="Times New Roman" w:eastAsia="Times New Roman" w:hint="default"/>
                <w:sz w:val="16"/>
                <w:szCs w:val="16"/>
              </w:rPr>
            </w:pPr>
            <w:r>
              <w:rPr>
                <w:rFonts w:ascii="Times New Roman"/>
                <w:spacing w:val="-1"/>
                <w:sz w:val="16"/>
              </w:rPr>
              <w:t>10,258,314.45</w:t>
            </w:r>
          </w:p>
        </w:tc>
      </w:tr>
      <w:tr>
        <w:trPr>
          <w:trHeight w:val="353" w:hRule="exact"/>
        </w:trPr>
        <w:tc>
          <w:tcPr>
            <w:tcW w:w="2773"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深圳长城开发精密技术有限公司</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40"/>
              <w:ind w:left="206" w:right="0"/>
              <w:jc w:val="center"/>
              <w:rPr>
                <w:rFonts w:ascii="宋体" w:hAnsi="宋体" w:cs="宋体" w:eastAsia="宋体" w:hint="default"/>
                <w:sz w:val="16"/>
                <w:szCs w:val="16"/>
              </w:rPr>
            </w:pPr>
            <w:r>
              <w:rPr>
                <w:rFonts w:ascii="宋体" w:hAnsi="宋体" w:cs="宋体" w:eastAsia="宋体" w:hint="default"/>
                <w:sz w:val="16"/>
                <w:szCs w:val="16"/>
              </w:rPr>
              <w:t>房屋</w:t>
            </w:r>
          </w:p>
        </w:tc>
        <w:tc>
          <w:tcPr>
            <w:tcW w:w="196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68"/>
              <w:jc w:val="right"/>
              <w:rPr>
                <w:rFonts w:ascii="Times New Roman" w:hAnsi="Times New Roman" w:cs="Times New Roman" w:eastAsia="Times New Roman" w:hint="default"/>
                <w:sz w:val="16"/>
                <w:szCs w:val="16"/>
              </w:rPr>
            </w:pPr>
            <w:r>
              <w:rPr>
                <w:rFonts w:ascii="Times New Roman"/>
                <w:spacing w:val="-1"/>
                <w:sz w:val="16"/>
              </w:rPr>
              <w:t>5,061,166.48</w:t>
            </w:r>
          </w:p>
        </w:tc>
        <w:tc>
          <w:tcPr>
            <w:tcW w:w="184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6"/>
                <w:szCs w:val="16"/>
              </w:rPr>
            </w:pPr>
            <w:r>
              <w:rPr>
                <w:rFonts w:ascii="Times New Roman"/>
                <w:spacing w:val="-1"/>
                <w:sz w:val="16"/>
              </w:rPr>
              <w:t>5,859,809.41</w:t>
            </w:r>
          </w:p>
        </w:tc>
      </w:tr>
      <w:tr>
        <w:trPr>
          <w:trHeight w:val="353" w:hRule="exact"/>
        </w:trPr>
        <w:tc>
          <w:tcPr>
            <w:tcW w:w="2773"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长沙智能制造研究总院有限公司</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40"/>
              <w:ind w:left="206" w:right="0"/>
              <w:jc w:val="center"/>
              <w:rPr>
                <w:rFonts w:ascii="宋体" w:hAnsi="宋体" w:cs="宋体" w:eastAsia="宋体" w:hint="default"/>
                <w:sz w:val="16"/>
                <w:szCs w:val="16"/>
              </w:rPr>
            </w:pPr>
            <w:r>
              <w:rPr>
                <w:rFonts w:ascii="宋体" w:hAnsi="宋体" w:cs="宋体" w:eastAsia="宋体" w:hint="default"/>
                <w:sz w:val="16"/>
                <w:szCs w:val="16"/>
              </w:rPr>
              <w:t>房屋</w:t>
            </w:r>
          </w:p>
        </w:tc>
        <w:tc>
          <w:tcPr>
            <w:tcW w:w="196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68"/>
              <w:jc w:val="right"/>
              <w:rPr>
                <w:rFonts w:ascii="Times New Roman" w:hAnsi="Times New Roman" w:cs="Times New Roman" w:eastAsia="Times New Roman" w:hint="default"/>
                <w:sz w:val="16"/>
                <w:szCs w:val="16"/>
              </w:rPr>
            </w:pPr>
            <w:r>
              <w:rPr>
                <w:rFonts w:ascii="Times New Roman"/>
                <w:spacing w:val="-1"/>
                <w:sz w:val="16"/>
              </w:rPr>
              <w:t>1,878,324.92</w:t>
            </w:r>
          </w:p>
        </w:tc>
        <w:tc>
          <w:tcPr>
            <w:tcW w:w="1847" w:type="dxa"/>
            <w:tcBorders>
              <w:top w:val="nil" w:sz="6" w:space="0" w:color="auto"/>
              <w:left w:val="nil" w:sz="6" w:space="0" w:color="auto"/>
              <w:bottom w:val="nil" w:sz="6" w:space="0" w:color="auto"/>
              <w:right w:val="nil" w:sz="6" w:space="0" w:color="auto"/>
            </w:tcBorders>
          </w:tcPr>
          <w:p>
            <w:pPr/>
          </w:p>
        </w:tc>
      </w:tr>
      <w:tr>
        <w:trPr>
          <w:trHeight w:val="354" w:hRule="exact"/>
        </w:trPr>
        <w:tc>
          <w:tcPr>
            <w:tcW w:w="2773"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深圳长城开发科技股份有限公司</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40"/>
              <w:ind w:left="206" w:right="0"/>
              <w:jc w:val="center"/>
              <w:rPr>
                <w:rFonts w:ascii="宋体" w:hAnsi="宋体" w:cs="宋体" w:eastAsia="宋体" w:hint="default"/>
                <w:sz w:val="16"/>
                <w:szCs w:val="16"/>
              </w:rPr>
            </w:pPr>
            <w:r>
              <w:rPr>
                <w:rFonts w:ascii="宋体" w:hAnsi="宋体" w:cs="宋体" w:eastAsia="宋体" w:hint="default"/>
                <w:sz w:val="16"/>
                <w:szCs w:val="16"/>
              </w:rPr>
              <w:t>房屋</w:t>
            </w:r>
          </w:p>
        </w:tc>
        <w:tc>
          <w:tcPr>
            <w:tcW w:w="196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68"/>
              <w:jc w:val="right"/>
              <w:rPr>
                <w:rFonts w:ascii="Times New Roman" w:hAnsi="Times New Roman" w:cs="Times New Roman" w:eastAsia="Times New Roman" w:hint="default"/>
                <w:sz w:val="16"/>
                <w:szCs w:val="16"/>
              </w:rPr>
            </w:pPr>
            <w:r>
              <w:rPr>
                <w:rFonts w:ascii="Times New Roman"/>
                <w:spacing w:val="-1"/>
                <w:sz w:val="16"/>
              </w:rPr>
              <w:t>821,814.36</w:t>
            </w:r>
          </w:p>
        </w:tc>
        <w:tc>
          <w:tcPr>
            <w:tcW w:w="1847" w:type="dxa"/>
            <w:tcBorders>
              <w:top w:val="nil" w:sz="6" w:space="0" w:color="auto"/>
              <w:left w:val="nil" w:sz="6" w:space="0" w:color="auto"/>
              <w:bottom w:val="nil" w:sz="6" w:space="0" w:color="auto"/>
              <w:right w:val="nil" w:sz="6" w:space="0" w:color="auto"/>
            </w:tcBorders>
          </w:tcPr>
          <w:p>
            <w:pPr/>
          </w:p>
        </w:tc>
      </w:tr>
      <w:tr>
        <w:trPr>
          <w:trHeight w:val="353" w:hRule="exact"/>
        </w:trPr>
        <w:tc>
          <w:tcPr>
            <w:tcW w:w="2773"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桂林长海科技有限责任公司</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40"/>
              <w:ind w:left="206" w:right="0"/>
              <w:jc w:val="center"/>
              <w:rPr>
                <w:rFonts w:ascii="宋体" w:hAnsi="宋体" w:cs="宋体" w:eastAsia="宋体" w:hint="default"/>
                <w:sz w:val="16"/>
                <w:szCs w:val="16"/>
              </w:rPr>
            </w:pPr>
            <w:r>
              <w:rPr>
                <w:rFonts w:ascii="宋体" w:hAnsi="宋体" w:cs="宋体" w:eastAsia="宋体" w:hint="default"/>
                <w:sz w:val="16"/>
                <w:szCs w:val="16"/>
              </w:rPr>
              <w:t>设备</w:t>
            </w:r>
          </w:p>
        </w:tc>
        <w:tc>
          <w:tcPr>
            <w:tcW w:w="196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68"/>
              <w:jc w:val="right"/>
              <w:rPr>
                <w:rFonts w:ascii="Times New Roman" w:hAnsi="Times New Roman" w:cs="Times New Roman" w:eastAsia="Times New Roman" w:hint="default"/>
                <w:sz w:val="16"/>
                <w:szCs w:val="16"/>
              </w:rPr>
            </w:pPr>
            <w:r>
              <w:rPr>
                <w:rFonts w:ascii="Times New Roman"/>
                <w:spacing w:val="-1"/>
                <w:sz w:val="16"/>
              </w:rPr>
              <w:t>145,620.00</w:t>
            </w:r>
          </w:p>
        </w:tc>
        <w:tc>
          <w:tcPr>
            <w:tcW w:w="184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6"/>
                <w:szCs w:val="16"/>
              </w:rPr>
            </w:pPr>
            <w:r>
              <w:rPr>
                <w:rFonts w:ascii="Times New Roman"/>
                <w:spacing w:val="-1"/>
                <w:sz w:val="16"/>
              </w:rPr>
              <w:t>223,200.00</w:t>
            </w:r>
          </w:p>
        </w:tc>
      </w:tr>
      <w:tr>
        <w:trPr>
          <w:trHeight w:val="353" w:hRule="exact"/>
        </w:trPr>
        <w:tc>
          <w:tcPr>
            <w:tcW w:w="2773"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中电九天智能科技有限公司</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40"/>
              <w:ind w:left="206" w:right="0"/>
              <w:jc w:val="center"/>
              <w:rPr>
                <w:rFonts w:ascii="宋体" w:hAnsi="宋体" w:cs="宋体" w:eastAsia="宋体" w:hint="default"/>
                <w:sz w:val="16"/>
                <w:szCs w:val="16"/>
              </w:rPr>
            </w:pPr>
            <w:r>
              <w:rPr>
                <w:rFonts w:ascii="宋体" w:hAnsi="宋体" w:cs="宋体" w:eastAsia="宋体" w:hint="default"/>
                <w:sz w:val="16"/>
                <w:szCs w:val="16"/>
              </w:rPr>
              <w:t>房屋</w:t>
            </w:r>
          </w:p>
        </w:tc>
        <w:tc>
          <w:tcPr>
            <w:tcW w:w="196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68"/>
              <w:jc w:val="right"/>
              <w:rPr>
                <w:rFonts w:ascii="Times New Roman" w:hAnsi="Times New Roman" w:cs="Times New Roman" w:eastAsia="Times New Roman" w:hint="default"/>
                <w:sz w:val="16"/>
                <w:szCs w:val="16"/>
              </w:rPr>
            </w:pPr>
            <w:r>
              <w:rPr>
                <w:rFonts w:ascii="Times New Roman"/>
                <w:spacing w:val="-1"/>
                <w:sz w:val="16"/>
              </w:rPr>
              <w:t>101,445.67</w:t>
            </w:r>
          </w:p>
        </w:tc>
        <w:tc>
          <w:tcPr>
            <w:tcW w:w="1847" w:type="dxa"/>
            <w:tcBorders>
              <w:top w:val="nil" w:sz="6" w:space="0" w:color="auto"/>
              <w:left w:val="nil" w:sz="6" w:space="0" w:color="auto"/>
              <w:bottom w:val="nil" w:sz="6" w:space="0" w:color="auto"/>
              <w:right w:val="nil" w:sz="6" w:space="0" w:color="auto"/>
            </w:tcBorders>
          </w:tcPr>
          <w:p>
            <w:pPr/>
          </w:p>
        </w:tc>
      </w:tr>
      <w:tr>
        <w:trPr>
          <w:trHeight w:val="353" w:hRule="exact"/>
        </w:trPr>
        <w:tc>
          <w:tcPr>
            <w:tcW w:w="2773"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中电智行技术有限公司</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40"/>
              <w:ind w:left="206" w:right="0"/>
              <w:jc w:val="center"/>
              <w:rPr>
                <w:rFonts w:ascii="宋体" w:hAnsi="宋体" w:cs="宋体" w:eastAsia="宋体" w:hint="default"/>
                <w:sz w:val="16"/>
                <w:szCs w:val="16"/>
              </w:rPr>
            </w:pPr>
            <w:r>
              <w:rPr>
                <w:rFonts w:ascii="宋体" w:hAnsi="宋体" w:cs="宋体" w:eastAsia="宋体" w:hint="default"/>
                <w:sz w:val="16"/>
                <w:szCs w:val="16"/>
              </w:rPr>
              <w:t>房屋</w:t>
            </w:r>
          </w:p>
        </w:tc>
        <w:tc>
          <w:tcPr>
            <w:tcW w:w="196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70"/>
              <w:jc w:val="right"/>
              <w:rPr>
                <w:rFonts w:ascii="Times New Roman" w:hAnsi="Times New Roman" w:cs="Times New Roman" w:eastAsia="Times New Roman" w:hint="default"/>
                <w:sz w:val="16"/>
                <w:szCs w:val="16"/>
              </w:rPr>
            </w:pPr>
            <w:r>
              <w:rPr>
                <w:rFonts w:ascii="Times New Roman"/>
                <w:spacing w:val="-1"/>
                <w:sz w:val="16"/>
              </w:rPr>
              <w:t>82,857.14</w:t>
            </w:r>
          </w:p>
        </w:tc>
        <w:tc>
          <w:tcPr>
            <w:tcW w:w="184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6"/>
                <w:szCs w:val="16"/>
              </w:rPr>
            </w:pPr>
            <w:r>
              <w:rPr>
                <w:rFonts w:ascii="Times New Roman"/>
                <w:spacing w:val="-1"/>
                <w:sz w:val="16"/>
              </w:rPr>
              <w:t>120,000.00</w:t>
            </w:r>
          </w:p>
        </w:tc>
      </w:tr>
      <w:tr>
        <w:trPr>
          <w:trHeight w:val="353" w:hRule="exact"/>
        </w:trPr>
        <w:tc>
          <w:tcPr>
            <w:tcW w:w="2773"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中国电子财务有限责任公司</w:t>
            </w:r>
          </w:p>
        </w:tc>
        <w:tc>
          <w:tcPr>
            <w:tcW w:w="1607" w:type="dxa"/>
            <w:tcBorders>
              <w:top w:val="nil" w:sz="6" w:space="0" w:color="auto"/>
              <w:left w:val="nil" w:sz="6" w:space="0" w:color="auto"/>
              <w:bottom w:val="nil" w:sz="6" w:space="0" w:color="auto"/>
              <w:right w:val="nil" w:sz="6" w:space="0" w:color="auto"/>
            </w:tcBorders>
          </w:tcPr>
          <w:p>
            <w:pPr>
              <w:pStyle w:val="TableParagraph"/>
              <w:spacing w:line="240" w:lineRule="auto" w:before="40"/>
              <w:ind w:left="206" w:right="0"/>
              <w:jc w:val="center"/>
              <w:rPr>
                <w:rFonts w:ascii="宋体" w:hAnsi="宋体" w:cs="宋体" w:eastAsia="宋体" w:hint="default"/>
                <w:sz w:val="16"/>
                <w:szCs w:val="16"/>
              </w:rPr>
            </w:pPr>
            <w:r>
              <w:rPr>
                <w:rFonts w:ascii="宋体" w:hAnsi="宋体" w:cs="宋体" w:eastAsia="宋体" w:hint="default"/>
                <w:sz w:val="16"/>
                <w:szCs w:val="16"/>
              </w:rPr>
              <w:t>房屋</w:t>
            </w:r>
          </w:p>
        </w:tc>
        <w:tc>
          <w:tcPr>
            <w:tcW w:w="196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70"/>
              <w:jc w:val="right"/>
              <w:rPr>
                <w:rFonts w:ascii="Times New Roman" w:hAnsi="Times New Roman" w:cs="Times New Roman" w:eastAsia="Times New Roman" w:hint="default"/>
                <w:sz w:val="16"/>
                <w:szCs w:val="16"/>
              </w:rPr>
            </w:pPr>
            <w:r>
              <w:rPr>
                <w:rFonts w:ascii="Times New Roman"/>
                <w:spacing w:val="-1"/>
                <w:sz w:val="16"/>
              </w:rPr>
              <w:t>45,714.26</w:t>
            </w:r>
          </w:p>
        </w:tc>
        <w:tc>
          <w:tcPr>
            <w:tcW w:w="184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6"/>
                <w:szCs w:val="16"/>
              </w:rPr>
            </w:pPr>
            <w:r>
              <w:rPr>
                <w:rFonts w:ascii="Times New Roman"/>
                <w:spacing w:val="-1"/>
                <w:sz w:val="16"/>
              </w:rPr>
              <w:t>78,476.16</w:t>
            </w:r>
          </w:p>
        </w:tc>
      </w:tr>
      <w:tr>
        <w:trPr>
          <w:trHeight w:val="357" w:hRule="exact"/>
        </w:trPr>
        <w:tc>
          <w:tcPr>
            <w:tcW w:w="2773"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长城计算机软件与系统有限公司</w:t>
            </w:r>
          </w:p>
        </w:tc>
        <w:tc>
          <w:tcPr>
            <w:tcW w:w="1607"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left="206" w:right="0"/>
              <w:jc w:val="center"/>
              <w:rPr>
                <w:rFonts w:ascii="宋体" w:hAnsi="宋体" w:cs="宋体" w:eastAsia="宋体" w:hint="default"/>
                <w:sz w:val="16"/>
                <w:szCs w:val="16"/>
              </w:rPr>
            </w:pPr>
            <w:r>
              <w:rPr>
                <w:rFonts w:ascii="宋体" w:hAnsi="宋体" w:cs="宋体" w:eastAsia="宋体" w:hint="default"/>
                <w:sz w:val="16"/>
                <w:szCs w:val="16"/>
              </w:rPr>
              <w:t>房屋</w:t>
            </w:r>
          </w:p>
        </w:tc>
        <w:tc>
          <w:tcPr>
            <w:tcW w:w="1960"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170"/>
              <w:jc w:val="right"/>
              <w:rPr>
                <w:rFonts w:ascii="Times New Roman" w:hAnsi="Times New Roman" w:cs="Times New Roman" w:eastAsia="Times New Roman" w:hint="default"/>
                <w:sz w:val="16"/>
                <w:szCs w:val="16"/>
              </w:rPr>
            </w:pPr>
            <w:r>
              <w:rPr>
                <w:rFonts w:ascii="Times New Roman"/>
                <w:spacing w:val="-1"/>
                <w:sz w:val="16"/>
              </w:rPr>
              <w:t>27,428.55</w:t>
            </w:r>
          </w:p>
        </w:tc>
        <w:tc>
          <w:tcPr>
            <w:tcW w:w="1847"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105"/>
              <w:jc w:val="right"/>
              <w:rPr>
                <w:rFonts w:ascii="Times New Roman" w:hAnsi="Times New Roman" w:cs="Times New Roman" w:eastAsia="Times New Roman" w:hint="default"/>
                <w:sz w:val="16"/>
                <w:szCs w:val="16"/>
              </w:rPr>
            </w:pPr>
            <w:r>
              <w:rPr>
                <w:rFonts w:ascii="Times New Roman"/>
                <w:spacing w:val="-1"/>
                <w:sz w:val="16"/>
              </w:rPr>
              <w:t>27,428.52</w:t>
            </w:r>
          </w:p>
        </w:tc>
      </w:tr>
    </w:tbl>
    <w:p>
      <w:pPr>
        <w:spacing w:after="0" w:line="240" w:lineRule="auto"/>
        <w:jc w:val="right"/>
        <w:rPr>
          <w:rFonts w:ascii="Times New Roman" w:hAnsi="Times New Roman" w:cs="Times New Roman" w:eastAsia="Times New Roman" w:hint="default"/>
          <w:sz w:val="16"/>
          <w:szCs w:val="16"/>
        </w:rPr>
        <w:sectPr>
          <w:pgSz w:w="11910" w:h="16840"/>
          <w:pgMar w:header="0" w:footer="1001" w:top="1520" w:bottom="1200" w:left="1660" w:right="0"/>
        </w:sectPr>
      </w:pPr>
    </w:p>
    <w:p>
      <w:pPr>
        <w:spacing w:line="240" w:lineRule="auto" w:before="2"/>
        <w:rPr>
          <w:rFonts w:ascii="宋体" w:hAnsi="宋体" w:cs="宋体" w:eastAsia="宋体" w:hint="default"/>
          <w:b/>
          <w:bCs/>
          <w:sz w:val="9"/>
          <w:szCs w:val="9"/>
        </w:rPr>
      </w:pPr>
    </w:p>
    <w:p>
      <w:pPr>
        <w:spacing w:line="1818" w:lineRule="exact"/>
        <w:ind w:left="720" w:right="0" w:firstLine="0"/>
        <w:rPr>
          <w:rFonts w:ascii="宋体" w:hAnsi="宋体" w:cs="宋体" w:eastAsia="宋体" w:hint="default"/>
          <w:sz w:val="20"/>
          <w:szCs w:val="20"/>
        </w:rPr>
      </w:pPr>
      <w:r>
        <w:rPr>
          <w:rFonts w:ascii="宋体" w:hAnsi="宋体" w:cs="宋体" w:eastAsia="宋体" w:hint="default"/>
          <w:position w:val="-35"/>
          <w:sz w:val="20"/>
          <w:szCs w:val="20"/>
        </w:rPr>
        <w:pict>
          <v:group style="width:412.05pt;height:90.9pt;mso-position-horizontal-relative:char;mso-position-vertical-relative:line" coordorigin="0,0" coordsize="8241,1818">
            <v:group style="position:absolute;left:29;top:15;width:2992;height:2" coordorigin="29,15" coordsize="2992,2">
              <v:shape style="position:absolute;left:29;top:15;width:2992;height:2" coordorigin="29,15" coordsize="2992,0" path="m29,15l3021,15e" filled="false" stroked="true" strokeweight="1.5pt" strokecolor="#000000">
                <v:path arrowok="t"/>
              </v:shape>
              <v:shape style="position:absolute;left:3021;top:30;width:10;height:28" type="#_x0000_t75" stroked="false">
                <v:imagedata r:id="rId37" o:title=""/>
              </v:shape>
            </v:group>
            <v:group style="position:absolute;left:3021;top:15;width:1371;height:2" coordorigin="3021,15" coordsize="1371,2">
              <v:shape style="position:absolute;left:3021;top:15;width:1371;height:2" coordorigin="3021,15" coordsize="1371,0" path="m3021,15l4391,15e" filled="false" stroked="true" strokeweight="1.5pt" strokecolor="#000000">
                <v:path arrowok="t"/>
              </v:shape>
              <v:shape style="position:absolute;left:4391;top:30;width:10;height:28" type="#_x0000_t75" stroked="false">
                <v:imagedata r:id="rId37" o:title=""/>
              </v:shape>
            </v:group>
            <v:group style="position:absolute;left:4391;top:15;width:1911;height:2" coordorigin="4391,15" coordsize="1911,2">
              <v:shape style="position:absolute;left:4391;top:15;width:1911;height:2" coordorigin="4391,15" coordsize="1911,0" path="m4391,15l6302,15e" filled="false" stroked="true" strokeweight="1.5pt" strokecolor="#000000">
                <v:path arrowok="t"/>
              </v:shape>
              <v:shape style="position:absolute;left:6302;top:30;width:10;height:28" type="#_x0000_t75" stroked="false">
                <v:imagedata r:id="rId37" o:title=""/>
              </v:shape>
            </v:group>
            <v:group style="position:absolute;left:6302;top:15;width:1916;height:2" coordorigin="6302,15" coordsize="1916,2">
              <v:shape style="position:absolute;left:6302;top:15;width:1916;height:2" coordorigin="6302,15" coordsize="1916,0" path="m6302,15l8217,15e" filled="false" stroked="true" strokeweight="1.5pt" strokecolor="#000000">
                <v:path arrowok="t"/>
              </v:shape>
              <v:shape style="position:absolute;left:3002;top:38;width:3329;height:355" type="#_x0000_t75" stroked="false">
                <v:imagedata r:id="rId424" o:title=""/>
              </v:shape>
            </v:group>
            <v:group style="position:absolute;left:15;top:1803;width:3006;height:2" coordorigin="15,1803" coordsize="3006,2">
              <v:shape style="position:absolute;left:15;top:1803;width:3006;height:2" coordorigin="15,1803" coordsize="3006,0" path="m15,1803l3021,1803e" filled="false" stroked="true" strokeweight="1.5pt" strokecolor="#000000">
                <v:path arrowok="t"/>
              </v:shape>
            </v:group>
            <v:group style="position:absolute;left:3021;top:1803;width:1371;height:2" coordorigin="3021,1803" coordsize="1371,2">
              <v:shape style="position:absolute;left:3021;top:1803;width:1371;height:2" coordorigin="3021,1803" coordsize="1371,0" path="m3021,1803l4391,1803e" filled="false" stroked="true" strokeweight="1.5pt" strokecolor="#000000">
                <v:path arrowok="t"/>
              </v:shape>
            </v:group>
            <v:group style="position:absolute;left:4391;top:1803;width:1911;height:2" coordorigin="4391,1803" coordsize="1911,2">
              <v:shape style="position:absolute;left:4391;top:1803;width:1911;height:2" coordorigin="4391,1803" coordsize="1911,0" path="m4391,1803l6302,1803e" filled="false" stroked="true" strokeweight="1.5pt" strokecolor="#000000">
                <v:path arrowok="t"/>
              </v:shape>
              <v:shape style="position:absolute;left:10;top:355;width:8231;height:1433" type="#_x0000_t75" stroked="false">
                <v:imagedata r:id="rId425" o:title=""/>
              </v:shape>
            </v:group>
            <v:group style="position:absolute;left:6302;top:1803;width:1916;height:2" coordorigin="6302,1803" coordsize="1916,2">
              <v:shape style="position:absolute;left:6302;top:1803;width:1916;height:2" coordorigin="6302,1803" coordsize="1916,0" path="m6302,1803l8217,1803e" filled="false" stroked="true" strokeweight="1.5pt" strokecolor="#000000">
                <v:path arrowok="t"/>
              </v:shape>
              <v:shape style="position:absolute;left:1127;top:122;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承租方名称</w:t>
                      </w:r>
                      <w:r>
                        <w:rPr>
                          <w:rFonts w:ascii="宋体" w:hAnsi="宋体" w:cs="宋体" w:eastAsia="宋体" w:hint="default"/>
                          <w:sz w:val="16"/>
                          <w:szCs w:val="16"/>
                        </w:rPr>
                      </w:r>
                    </w:p>
                  </w:txbxContent>
                </v:textbox>
                <w10:wrap type="none"/>
              </v:shape>
              <v:shape style="position:absolute;left:3230;top:122;width:95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承租资产种类</w:t>
                      </w:r>
                      <w:r>
                        <w:rPr>
                          <w:rFonts w:ascii="宋体" w:hAnsi="宋体" w:cs="宋体" w:eastAsia="宋体" w:hint="default"/>
                          <w:sz w:val="16"/>
                          <w:szCs w:val="16"/>
                        </w:rPr>
                      </w:r>
                    </w:p>
                  </w:txbxContent>
                </v:textbox>
                <w10:wrap type="none"/>
              </v:shape>
              <v:shape style="position:absolute;left:4631;top:122;width:14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本期确认的租赁收入</w:t>
                      </w:r>
                      <w:r>
                        <w:rPr>
                          <w:rFonts w:ascii="宋体" w:hAnsi="宋体" w:cs="宋体" w:eastAsia="宋体" w:hint="default"/>
                          <w:sz w:val="16"/>
                          <w:szCs w:val="16"/>
                        </w:rPr>
                      </w:r>
                    </w:p>
                  </w:txbxContent>
                </v:textbox>
                <w10:wrap type="none"/>
              </v:shape>
              <v:shape style="position:absolute;left:6541;top:122;width:14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上期确认的租赁收入</w:t>
                      </w:r>
                      <w:r>
                        <w:rPr>
                          <w:rFonts w:ascii="宋体" w:hAnsi="宋体" w:cs="宋体" w:eastAsia="宋体" w:hint="default"/>
                          <w:sz w:val="16"/>
                          <w:szCs w:val="16"/>
                        </w:rPr>
                      </w:r>
                    </w:p>
                  </w:txbxContent>
                </v:textbox>
                <w10:wrap type="none"/>
              </v:shape>
              <v:shape style="position:absolute;left:137;top:475;width:191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深圳中电蓝海控股有限公司</w:t>
                      </w:r>
                      <w:r>
                        <w:rPr>
                          <w:rFonts w:ascii="宋体" w:hAnsi="宋体" w:cs="宋体" w:eastAsia="宋体" w:hint="default"/>
                          <w:sz w:val="16"/>
                          <w:szCs w:val="16"/>
                        </w:rPr>
                      </w:r>
                    </w:p>
                  </w:txbxContent>
                </v:textbox>
                <w10:wrap type="none"/>
              </v:shape>
              <v:shape style="position:absolute;left:3550;top:475;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房屋</w:t>
                      </w:r>
                      <w:r>
                        <w:rPr>
                          <w:rFonts w:ascii="宋体" w:hAnsi="宋体" w:cs="宋体" w:eastAsia="宋体" w:hint="default"/>
                          <w:sz w:val="16"/>
                          <w:szCs w:val="16"/>
                        </w:rPr>
                      </w:r>
                    </w:p>
                  </w:txbxContent>
                </v:textbox>
                <w10:wrap type="none"/>
              </v:shape>
              <v:shape style="position:absolute;left:5559;top:490;width:64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15,480.00</w:t>
                      </w:r>
                      <w:r>
                        <w:rPr>
                          <w:rFonts w:ascii="Times New Roman"/>
                          <w:sz w:val="16"/>
                        </w:rPr>
                      </w:r>
                    </w:p>
                  </w:txbxContent>
                </v:textbox>
                <w10:wrap type="none"/>
              </v:shape>
              <v:shape style="position:absolute;left:137;top:829;width:2238;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中国中电国际信息服务有限公司</w:t>
                      </w:r>
                      <w:r>
                        <w:rPr>
                          <w:rFonts w:ascii="宋体" w:hAnsi="宋体" w:cs="宋体" w:eastAsia="宋体" w:hint="default"/>
                          <w:sz w:val="16"/>
                          <w:szCs w:val="16"/>
                        </w:rPr>
                      </w:r>
                    </w:p>
                  </w:txbxContent>
                </v:textbox>
                <w10:wrap type="none"/>
              </v:shape>
              <v:shape style="position:absolute;left:3550;top:829;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房屋</w:t>
                      </w:r>
                      <w:r>
                        <w:rPr>
                          <w:rFonts w:ascii="宋体" w:hAnsi="宋体" w:cs="宋体" w:eastAsia="宋体" w:hint="default"/>
                          <w:sz w:val="16"/>
                          <w:szCs w:val="16"/>
                        </w:rPr>
                      </w:r>
                    </w:p>
                  </w:txbxContent>
                </v:textbox>
                <w10:wrap type="none"/>
              </v:shape>
              <v:shape style="position:absolute;left:5758;top:842;width:4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z w:val="16"/>
                        </w:rPr>
                        <w:t>188.68</w:t>
                      </w:r>
                    </w:p>
                  </w:txbxContent>
                </v:textbox>
                <w10:wrap type="none"/>
              </v:shape>
              <v:shape style="position:absolute;left:137;top:1183;width:20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北京长荣发科技发展有限公司</w:t>
                      </w:r>
                      <w:r>
                        <w:rPr>
                          <w:rFonts w:ascii="宋体" w:hAnsi="宋体" w:cs="宋体" w:eastAsia="宋体" w:hint="default"/>
                          <w:sz w:val="16"/>
                          <w:szCs w:val="16"/>
                        </w:rPr>
                      </w:r>
                    </w:p>
                  </w:txbxContent>
                </v:textbox>
                <w10:wrap type="none"/>
              </v:shape>
              <v:shape style="position:absolute;left:3550;top:1183;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房屋</w:t>
                      </w:r>
                      <w:r>
                        <w:rPr>
                          <w:rFonts w:ascii="宋体" w:hAnsi="宋体" w:cs="宋体" w:eastAsia="宋体" w:hint="default"/>
                          <w:sz w:val="16"/>
                          <w:szCs w:val="16"/>
                        </w:rPr>
                      </w:r>
                    </w:p>
                  </w:txbxContent>
                </v:textbox>
                <w10:wrap type="none"/>
              </v:shape>
              <v:shape style="position:absolute;left:7469;top:1196;width:64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14,773.68</w:t>
                      </w:r>
                      <w:r>
                        <w:rPr>
                          <w:rFonts w:ascii="Times New Roman"/>
                          <w:sz w:val="16"/>
                        </w:rPr>
                      </w:r>
                    </w:p>
                  </w:txbxContent>
                </v:textbox>
                <w10:wrap type="none"/>
              </v:shape>
              <v:shape style="position:absolute;left:137;top:1536;width:255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中国电子系统工程第二建设有限公司</w:t>
                      </w:r>
                      <w:r>
                        <w:rPr>
                          <w:rFonts w:ascii="宋体" w:hAnsi="宋体" w:cs="宋体" w:eastAsia="宋体" w:hint="default"/>
                          <w:sz w:val="16"/>
                          <w:szCs w:val="16"/>
                        </w:rPr>
                      </w:r>
                    </w:p>
                  </w:txbxContent>
                </v:textbox>
                <w10:wrap type="none"/>
              </v:shape>
              <v:shape style="position:absolute;left:3550;top:1536;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房屋</w:t>
                      </w:r>
                      <w:r>
                        <w:rPr>
                          <w:rFonts w:ascii="宋体" w:hAnsi="宋体" w:cs="宋体" w:eastAsia="宋体" w:hint="default"/>
                          <w:sz w:val="16"/>
                          <w:szCs w:val="16"/>
                        </w:rPr>
                      </w:r>
                    </w:p>
                  </w:txbxContent>
                </v:textbox>
                <w10:wrap type="none"/>
              </v:shape>
              <v:shape style="position:absolute;left:7669;top:1549;width:4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z w:val="16"/>
                        </w:rPr>
                        <w:t>471.70</w:t>
                      </w:r>
                    </w:p>
                  </w:txbxContent>
                </v:textbox>
                <w10:wrap type="none"/>
              </v:shape>
            </v:group>
          </v:group>
        </w:pict>
      </w:r>
      <w:r>
        <w:rPr>
          <w:rFonts w:ascii="宋体" w:hAnsi="宋体" w:cs="宋体" w:eastAsia="宋体" w:hint="default"/>
          <w:position w:val="-35"/>
          <w:sz w:val="20"/>
          <w:szCs w:val="2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tbl>
      <w:tblPr>
        <w:tblW w:w="0" w:type="auto"/>
        <w:jc w:val="left"/>
        <w:tblInd w:w="749" w:type="dxa"/>
        <w:tblLayout w:type="fixed"/>
        <w:tblCellMar>
          <w:top w:w="0" w:type="dxa"/>
          <w:left w:w="0" w:type="dxa"/>
          <w:bottom w:w="0" w:type="dxa"/>
          <w:right w:w="0" w:type="dxa"/>
        </w:tblCellMar>
        <w:tblLook w:val="01E0"/>
      </w:tblPr>
      <w:tblGrid>
        <w:gridCol w:w="2779"/>
        <w:gridCol w:w="1649"/>
        <w:gridCol w:w="1955"/>
        <w:gridCol w:w="1804"/>
      </w:tblGrid>
      <w:tr>
        <w:trPr>
          <w:trHeight w:val="358" w:hRule="exact"/>
        </w:trPr>
        <w:tc>
          <w:tcPr>
            <w:tcW w:w="2779"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663" w:right="0"/>
              <w:jc w:val="left"/>
              <w:rPr>
                <w:rFonts w:ascii="宋体" w:hAnsi="宋体" w:cs="宋体" w:eastAsia="宋体" w:hint="default"/>
                <w:sz w:val="21"/>
                <w:szCs w:val="21"/>
              </w:rPr>
            </w:pPr>
            <w:r>
              <w:rPr>
                <w:rFonts w:ascii="宋体" w:hAnsi="宋体" w:cs="宋体" w:eastAsia="宋体" w:hint="default"/>
                <w:sz w:val="21"/>
                <w:szCs w:val="21"/>
              </w:rPr>
              <w:t>本公司作为承租方</w:t>
            </w:r>
          </w:p>
        </w:tc>
        <w:tc>
          <w:tcPr>
            <w:tcW w:w="5409" w:type="dxa"/>
            <w:gridSpan w:val="3"/>
            <w:tcBorders>
              <w:top w:val="nil" w:sz="6" w:space="0" w:color="auto"/>
              <w:left w:val="nil" w:sz="6" w:space="0" w:color="auto"/>
              <w:bottom w:val="single" w:sz="12" w:space="0" w:color="000000"/>
              <w:right w:val="nil" w:sz="6" w:space="0" w:color="auto"/>
            </w:tcBorders>
          </w:tcPr>
          <w:p>
            <w:pPr/>
          </w:p>
        </w:tc>
      </w:tr>
      <w:tr>
        <w:trPr>
          <w:trHeight w:val="363" w:hRule="exact"/>
        </w:trPr>
        <w:tc>
          <w:tcPr>
            <w:tcW w:w="2779"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1106" w:right="0"/>
              <w:jc w:val="left"/>
              <w:rPr>
                <w:rFonts w:ascii="宋体" w:hAnsi="宋体" w:cs="宋体" w:eastAsia="宋体" w:hint="default"/>
                <w:sz w:val="16"/>
                <w:szCs w:val="16"/>
              </w:rPr>
            </w:pPr>
            <w:r>
              <w:rPr>
                <w:rFonts w:ascii="宋体" w:hAnsi="宋体" w:cs="宋体" w:eastAsia="宋体" w:hint="default"/>
                <w:sz w:val="16"/>
                <w:szCs w:val="16"/>
              </w:rPr>
              <w:t>出租方名称</w:t>
            </w:r>
          </w:p>
        </w:tc>
        <w:tc>
          <w:tcPr>
            <w:tcW w:w="1649"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174" w:right="0"/>
              <w:jc w:val="center"/>
              <w:rPr>
                <w:rFonts w:ascii="宋体" w:hAnsi="宋体" w:cs="宋体" w:eastAsia="宋体" w:hint="default"/>
                <w:sz w:val="16"/>
                <w:szCs w:val="16"/>
              </w:rPr>
            </w:pPr>
            <w:r>
              <w:rPr>
                <w:rFonts w:ascii="宋体" w:hAnsi="宋体" w:cs="宋体" w:eastAsia="宋体" w:hint="default"/>
                <w:sz w:val="16"/>
                <w:szCs w:val="16"/>
              </w:rPr>
              <w:t>租赁资产种类</w:t>
            </w:r>
          </w:p>
        </w:tc>
        <w:tc>
          <w:tcPr>
            <w:tcW w:w="1955"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58" w:right="0"/>
              <w:jc w:val="left"/>
              <w:rPr>
                <w:rFonts w:ascii="宋体" w:hAnsi="宋体" w:cs="宋体" w:eastAsia="宋体" w:hint="default"/>
                <w:sz w:val="16"/>
                <w:szCs w:val="16"/>
              </w:rPr>
            </w:pPr>
            <w:r>
              <w:rPr>
                <w:rFonts w:ascii="宋体" w:hAnsi="宋体" w:cs="宋体" w:eastAsia="宋体" w:hint="default"/>
                <w:sz w:val="16"/>
                <w:szCs w:val="16"/>
              </w:rPr>
              <w:t>本期确认的租赁费</w:t>
            </w:r>
          </w:p>
        </w:tc>
        <w:tc>
          <w:tcPr>
            <w:tcW w:w="1804"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10" w:right="0"/>
              <w:jc w:val="left"/>
              <w:rPr>
                <w:rFonts w:ascii="宋体" w:hAnsi="宋体" w:cs="宋体" w:eastAsia="宋体" w:hint="default"/>
                <w:sz w:val="16"/>
                <w:szCs w:val="16"/>
              </w:rPr>
            </w:pPr>
            <w:r>
              <w:rPr>
                <w:rFonts w:ascii="宋体" w:hAnsi="宋体" w:cs="宋体" w:eastAsia="宋体" w:hint="default"/>
                <w:sz w:val="16"/>
                <w:szCs w:val="16"/>
              </w:rPr>
              <w:t>上期确认的租赁费</w:t>
            </w:r>
          </w:p>
        </w:tc>
      </w:tr>
      <w:tr>
        <w:trPr>
          <w:trHeight w:val="360" w:hRule="exact"/>
        </w:trPr>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7" w:right="0"/>
              <w:jc w:val="left"/>
              <w:rPr>
                <w:rFonts w:ascii="宋体" w:hAnsi="宋体" w:cs="宋体" w:eastAsia="宋体" w:hint="default"/>
                <w:sz w:val="16"/>
                <w:szCs w:val="16"/>
              </w:rPr>
            </w:pPr>
            <w:r>
              <w:rPr>
                <w:rFonts w:ascii="宋体" w:hAnsi="宋体" w:cs="宋体" w:eastAsia="宋体" w:hint="default"/>
                <w:sz w:val="16"/>
                <w:szCs w:val="16"/>
              </w:rPr>
              <w:t>湖南计算机厂有限公司</w:t>
            </w:r>
          </w:p>
        </w:tc>
        <w:tc>
          <w:tcPr>
            <w:tcW w:w="1649"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75" w:right="0"/>
              <w:jc w:val="center"/>
              <w:rPr>
                <w:rFonts w:ascii="宋体" w:hAnsi="宋体" w:cs="宋体" w:eastAsia="宋体" w:hint="default"/>
                <w:sz w:val="16"/>
                <w:szCs w:val="16"/>
              </w:rPr>
            </w:pPr>
            <w:r>
              <w:rPr>
                <w:rFonts w:ascii="宋体" w:hAnsi="宋体" w:cs="宋体" w:eastAsia="宋体" w:hint="default"/>
                <w:sz w:val="16"/>
                <w:szCs w:val="16"/>
              </w:rPr>
              <w:t>房屋</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208"/>
              <w:jc w:val="right"/>
              <w:rPr>
                <w:rFonts w:ascii="Times New Roman" w:hAnsi="Times New Roman" w:cs="Times New Roman" w:eastAsia="Times New Roman" w:hint="default"/>
                <w:sz w:val="16"/>
                <w:szCs w:val="16"/>
              </w:rPr>
            </w:pPr>
            <w:r>
              <w:rPr>
                <w:rFonts w:ascii="Times New Roman"/>
                <w:spacing w:val="-1"/>
                <w:sz w:val="16"/>
              </w:rPr>
              <w:t>6,338,172.20</w:t>
            </w:r>
          </w:p>
        </w:tc>
        <w:tc>
          <w:tcPr>
            <w:tcW w:w="1804"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04"/>
              <w:jc w:val="right"/>
              <w:rPr>
                <w:rFonts w:ascii="Times New Roman" w:hAnsi="Times New Roman" w:cs="Times New Roman" w:eastAsia="Times New Roman" w:hint="default"/>
                <w:sz w:val="16"/>
                <w:szCs w:val="16"/>
              </w:rPr>
            </w:pPr>
            <w:r>
              <w:rPr>
                <w:rFonts w:ascii="Times New Roman"/>
                <w:spacing w:val="-1"/>
                <w:sz w:val="16"/>
              </w:rPr>
              <w:t>6,338,172.24</w:t>
            </w:r>
          </w:p>
        </w:tc>
      </w:tr>
      <w:tr>
        <w:trPr>
          <w:trHeight w:val="353" w:hRule="exact"/>
        </w:trPr>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武汉长江电源有限公司</w:t>
            </w:r>
          </w:p>
        </w:tc>
        <w:tc>
          <w:tcPr>
            <w:tcW w:w="164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75" w:right="0"/>
              <w:jc w:val="center"/>
              <w:rPr>
                <w:rFonts w:ascii="宋体" w:hAnsi="宋体" w:cs="宋体" w:eastAsia="宋体" w:hint="default"/>
                <w:sz w:val="16"/>
                <w:szCs w:val="16"/>
              </w:rPr>
            </w:pPr>
            <w:r>
              <w:rPr>
                <w:rFonts w:ascii="宋体" w:hAnsi="宋体" w:cs="宋体" w:eastAsia="宋体" w:hint="default"/>
                <w:sz w:val="16"/>
                <w:szCs w:val="16"/>
              </w:rPr>
              <w:t>厂房</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08"/>
              <w:jc w:val="right"/>
              <w:rPr>
                <w:rFonts w:ascii="Times New Roman" w:hAnsi="Times New Roman" w:cs="Times New Roman" w:eastAsia="Times New Roman" w:hint="default"/>
                <w:sz w:val="16"/>
                <w:szCs w:val="16"/>
              </w:rPr>
            </w:pPr>
            <w:r>
              <w:rPr>
                <w:rFonts w:ascii="Times New Roman"/>
                <w:spacing w:val="-1"/>
                <w:sz w:val="16"/>
              </w:rPr>
              <w:t>2,048,214.75</w:t>
            </w:r>
          </w:p>
        </w:tc>
        <w:tc>
          <w:tcPr>
            <w:tcW w:w="180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6"/>
                <w:szCs w:val="16"/>
              </w:rPr>
            </w:pPr>
            <w:r>
              <w:rPr>
                <w:rFonts w:ascii="Times New Roman"/>
                <w:spacing w:val="-1"/>
                <w:w w:val="95"/>
                <w:sz w:val="16"/>
              </w:rPr>
              <w:t>2,110,000.00</w:t>
            </w:r>
            <w:r>
              <w:rPr>
                <w:rFonts w:ascii="Times New Roman"/>
                <w:spacing w:val="-1"/>
                <w:sz w:val="16"/>
              </w:rPr>
            </w:r>
          </w:p>
        </w:tc>
      </w:tr>
      <w:tr>
        <w:trPr>
          <w:trHeight w:val="353" w:hRule="exact"/>
        </w:trPr>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长沙湘计开拓物业管理有限公司</w:t>
            </w:r>
          </w:p>
        </w:tc>
        <w:tc>
          <w:tcPr>
            <w:tcW w:w="164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75" w:right="0"/>
              <w:jc w:val="center"/>
              <w:rPr>
                <w:rFonts w:ascii="宋体" w:hAnsi="宋体" w:cs="宋体" w:eastAsia="宋体" w:hint="default"/>
                <w:sz w:val="16"/>
                <w:szCs w:val="16"/>
              </w:rPr>
            </w:pPr>
            <w:r>
              <w:rPr>
                <w:rFonts w:ascii="宋体" w:hAnsi="宋体" w:cs="宋体" w:eastAsia="宋体" w:hint="default"/>
                <w:sz w:val="16"/>
                <w:szCs w:val="16"/>
              </w:rPr>
              <w:t>房屋</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08"/>
              <w:jc w:val="right"/>
              <w:rPr>
                <w:rFonts w:ascii="Times New Roman" w:hAnsi="Times New Roman" w:cs="Times New Roman" w:eastAsia="Times New Roman" w:hint="default"/>
                <w:sz w:val="16"/>
                <w:szCs w:val="16"/>
              </w:rPr>
            </w:pPr>
            <w:r>
              <w:rPr>
                <w:rFonts w:ascii="Times New Roman"/>
                <w:spacing w:val="-1"/>
                <w:sz w:val="16"/>
              </w:rPr>
              <w:t>930,282.38</w:t>
            </w:r>
          </w:p>
        </w:tc>
        <w:tc>
          <w:tcPr>
            <w:tcW w:w="1804" w:type="dxa"/>
            <w:tcBorders>
              <w:top w:val="nil" w:sz="6" w:space="0" w:color="auto"/>
              <w:left w:val="nil" w:sz="6" w:space="0" w:color="auto"/>
              <w:bottom w:val="nil" w:sz="6" w:space="0" w:color="auto"/>
              <w:right w:val="nil" w:sz="6" w:space="0" w:color="auto"/>
            </w:tcBorders>
          </w:tcPr>
          <w:p>
            <w:pPr/>
          </w:p>
        </w:tc>
      </w:tr>
      <w:tr>
        <w:trPr>
          <w:trHeight w:val="354" w:hRule="exact"/>
        </w:trPr>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中国瑞达投资发展集团公司</w:t>
            </w:r>
          </w:p>
        </w:tc>
        <w:tc>
          <w:tcPr>
            <w:tcW w:w="164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75" w:right="0"/>
              <w:jc w:val="center"/>
              <w:rPr>
                <w:rFonts w:ascii="宋体" w:hAnsi="宋体" w:cs="宋体" w:eastAsia="宋体" w:hint="default"/>
                <w:sz w:val="16"/>
                <w:szCs w:val="16"/>
              </w:rPr>
            </w:pPr>
            <w:r>
              <w:rPr>
                <w:rFonts w:ascii="宋体" w:hAnsi="宋体" w:cs="宋体" w:eastAsia="宋体" w:hint="default"/>
                <w:sz w:val="16"/>
                <w:szCs w:val="16"/>
              </w:rPr>
              <w:t>房屋</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08"/>
              <w:jc w:val="right"/>
              <w:rPr>
                <w:rFonts w:ascii="Times New Roman" w:hAnsi="Times New Roman" w:cs="Times New Roman" w:eastAsia="Times New Roman" w:hint="default"/>
                <w:sz w:val="16"/>
                <w:szCs w:val="16"/>
              </w:rPr>
            </w:pPr>
            <w:r>
              <w:rPr>
                <w:rFonts w:ascii="Times New Roman"/>
                <w:spacing w:val="-1"/>
                <w:sz w:val="16"/>
              </w:rPr>
              <w:t>443,319.04</w:t>
            </w:r>
          </w:p>
        </w:tc>
        <w:tc>
          <w:tcPr>
            <w:tcW w:w="180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4"/>
              <w:jc w:val="right"/>
              <w:rPr>
                <w:rFonts w:ascii="Times New Roman" w:hAnsi="Times New Roman" w:cs="Times New Roman" w:eastAsia="Times New Roman" w:hint="default"/>
                <w:sz w:val="16"/>
                <w:szCs w:val="16"/>
              </w:rPr>
            </w:pPr>
            <w:r>
              <w:rPr>
                <w:rFonts w:ascii="Times New Roman"/>
                <w:spacing w:val="-1"/>
                <w:sz w:val="16"/>
              </w:rPr>
              <w:t>512,326.96</w:t>
            </w:r>
          </w:p>
        </w:tc>
      </w:tr>
      <w:tr>
        <w:trPr>
          <w:trHeight w:val="353" w:hRule="exact"/>
        </w:trPr>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北京中电瑞达物业有限公司</w:t>
            </w:r>
          </w:p>
        </w:tc>
        <w:tc>
          <w:tcPr>
            <w:tcW w:w="164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75" w:right="0"/>
              <w:jc w:val="center"/>
              <w:rPr>
                <w:rFonts w:ascii="宋体" w:hAnsi="宋体" w:cs="宋体" w:eastAsia="宋体" w:hint="default"/>
                <w:sz w:val="16"/>
                <w:szCs w:val="16"/>
              </w:rPr>
            </w:pPr>
            <w:r>
              <w:rPr>
                <w:rFonts w:ascii="宋体" w:hAnsi="宋体" w:cs="宋体" w:eastAsia="宋体" w:hint="default"/>
                <w:sz w:val="16"/>
                <w:szCs w:val="16"/>
              </w:rPr>
              <w:t>房屋</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08"/>
              <w:jc w:val="right"/>
              <w:rPr>
                <w:rFonts w:ascii="Times New Roman" w:hAnsi="Times New Roman" w:cs="Times New Roman" w:eastAsia="Times New Roman" w:hint="default"/>
                <w:sz w:val="16"/>
                <w:szCs w:val="16"/>
              </w:rPr>
            </w:pPr>
            <w:r>
              <w:rPr>
                <w:rFonts w:ascii="Times New Roman"/>
                <w:spacing w:val="-1"/>
                <w:sz w:val="16"/>
              </w:rPr>
              <w:t>106,255.69</w:t>
            </w:r>
          </w:p>
        </w:tc>
        <w:tc>
          <w:tcPr>
            <w:tcW w:w="180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5"/>
              <w:jc w:val="right"/>
              <w:rPr>
                <w:rFonts w:ascii="Times New Roman" w:hAnsi="Times New Roman" w:cs="Times New Roman" w:eastAsia="Times New Roman" w:hint="default"/>
                <w:sz w:val="16"/>
                <w:szCs w:val="16"/>
              </w:rPr>
            </w:pPr>
            <w:r>
              <w:rPr>
                <w:rFonts w:ascii="Times New Roman"/>
                <w:spacing w:val="-1"/>
                <w:sz w:val="16"/>
              </w:rPr>
              <w:t>36,013.93</w:t>
            </w:r>
          </w:p>
        </w:tc>
      </w:tr>
      <w:tr>
        <w:trPr>
          <w:trHeight w:val="353" w:hRule="exact"/>
        </w:trPr>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武汉中元物业发展有限公司</w:t>
            </w:r>
          </w:p>
        </w:tc>
        <w:tc>
          <w:tcPr>
            <w:tcW w:w="164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75" w:right="0"/>
              <w:jc w:val="center"/>
              <w:rPr>
                <w:rFonts w:ascii="宋体" w:hAnsi="宋体" w:cs="宋体" w:eastAsia="宋体" w:hint="default"/>
                <w:sz w:val="16"/>
                <w:szCs w:val="16"/>
              </w:rPr>
            </w:pPr>
            <w:r>
              <w:rPr>
                <w:rFonts w:ascii="宋体" w:hAnsi="宋体" w:cs="宋体" w:eastAsia="宋体" w:hint="default"/>
                <w:sz w:val="16"/>
                <w:szCs w:val="16"/>
              </w:rPr>
              <w:t>厂房</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09"/>
              <w:jc w:val="right"/>
              <w:rPr>
                <w:rFonts w:ascii="Times New Roman" w:hAnsi="Times New Roman" w:cs="Times New Roman" w:eastAsia="Times New Roman" w:hint="default"/>
                <w:sz w:val="16"/>
                <w:szCs w:val="16"/>
              </w:rPr>
            </w:pPr>
            <w:r>
              <w:rPr>
                <w:rFonts w:ascii="Times New Roman"/>
                <w:spacing w:val="-1"/>
                <w:sz w:val="16"/>
              </w:rPr>
              <w:t>91,542.25</w:t>
            </w:r>
          </w:p>
        </w:tc>
        <w:tc>
          <w:tcPr>
            <w:tcW w:w="180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4"/>
              <w:jc w:val="right"/>
              <w:rPr>
                <w:rFonts w:ascii="Times New Roman" w:hAnsi="Times New Roman" w:cs="Times New Roman" w:eastAsia="Times New Roman" w:hint="default"/>
                <w:sz w:val="16"/>
                <w:szCs w:val="16"/>
              </w:rPr>
            </w:pPr>
            <w:r>
              <w:rPr>
                <w:rFonts w:ascii="Times New Roman"/>
                <w:spacing w:val="-1"/>
                <w:sz w:val="16"/>
              </w:rPr>
              <w:t>127,488.00</w:t>
            </w:r>
          </w:p>
        </w:tc>
      </w:tr>
      <w:tr>
        <w:trPr>
          <w:trHeight w:val="353" w:hRule="exact"/>
        </w:trPr>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深圳市爱华电子有限公司</w:t>
            </w:r>
          </w:p>
        </w:tc>
        <w:tc>
          <w:tcPr>
            <w:tcW w:w="164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75" w:right="0"/>
              <w:jc w:val="center"/>
              <w:rPr>
                <w:rFonts w:ascii="宋体" w:hAnsi="宋体" w:cs="宋体" w:eastAsia="宋体" w:hint="default"/>
                <w:sz w:val="16"/>
                <w:szCs w:val="16"/>
              </w:rPr>
            </w:pPr>
            <w:r>
              <w:rPr>
                <w:rFonts w:ascii="宋体" w:hAnsi="宋体" w:cs="宋体" w:eastAsia="宋体" w:hint="default"/>
                <w:sz w:val="16"/>
                <w:szCs w:val="16"/>
              </w:rPr>
              <w:t>房屋</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09"/>
              <w:jc w:val="right"/>
              <w:rPr>
                <w:rFonts w:ascii="Times New Roman" w:hAnsi="Times New Roman" w:cs="Times New Roman" w:eastAsia="Times New Roman" w:hint="default"/>
                <w:sz w:val="16"/>
                <w:szCs w:val="16"/>
              </w:rPr>
            </w:pPr>
            <w:r>
              <w:rPr>
                <w:rFonts w:ascii="Times New Roman"/>
                <w:spacing w:val="-1"/>
                <w:sz w:val="16"/>
              </w:rPr>
              <w:t>58,628.57</w:t>
            </w:r>
          </w:p>
        </w:tc>
        <w:tc>
          <w:tcPr>
            <w:tcW w:w="180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4"/>
              <w:jc w:val="right"/>
              <w:rPr>
                <w:rFonts w:ascii="Times New Roman" w:hAnsi="Times New Roman" w:cs="Times New Roman" w:eastAsia="Times New Roman" w:hint="default"/>
                <w:sz w:val="16"/>
                <w:szCs w:val="16"/>
              </w:rPr>
            </w:pPr>
            <w:r>
              <w:rPr>
                <w:rFonts w:ascii="Times New Roman"/>
                <w:spacing w:val="-1"/>
                <w:sz w:val="16"/>
              </w:rPr>
              <w:t>140,220.00</w:t>
            </w:r>
          </w:p>
        </w:tc>
      </w:tr>
      <w:tr>
        <w:trPr>
          <w:trHeight w:val="358" w:hRule="exact"/>
        </w:trPr>
        <w:tc>
          <w:tcPr>
            <w:tcW w:w="2779"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中国信息安全研究院有限公司</w:t>
            </w:r>
          </w:p>
        </w:tc>
        <w:tc>
          <w:tcPr>
            <w:tcW w:w="1649"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left="175" w:right="0"/>
              <w:jc w:val="center"/>
              <w:rPr>
                <w:rFonts w:ascii="宋体" w:hAnsi="宋体" w:cs="宋体" w:eastAsia="宋体" w:hint="default"/>
                <w:sz w:val="16"/>
                <w:szCs w:val="16"/>
              </w:rPr>
            </w:pPr>
            <w:r>
              <w:rPr>
                <w:rFonts w:ascii="宋体" w:hAnsi="宋体" w:cs="宋体" w:eastAsia="宋体" w:hint="default"/>
                <w:sz w:val="16"/>
                <w:szCs w:val="16"/>
              </w:rPr>
              <w:t>房屋</w:t>
            </w:r>
          </w:p>
        </w:tc>
        <w:tc>
          <w:tcPr>
            <w:tcW w:w="1955" w:type="dxa"/>
            <w:tcBorders>
              <w:top w:val="nil" w:sz="6" w:space="0" w:color="auto"/>
              <w:left w:val="nil" w:sz="6" w:space="0" w:color="auto"/>
              <w:bottom w:val="single" w:sz="12" w:space="0" w:color="000000"/>
              <w:right w:val="nil" w:sz="6" w:space="0" w:color="auto"/>
            </w:tcBorders>
          </w:tcPr>
          <w:p>
            <w:pPr/>
          </w:p>
        </w:tc>
        <w:tc>
          <w:tcPr>
            <w:tcW w:w="1804"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right="104"/>
              <w:jc w:val="right"/>
              <w:rPr>
                <w:rFonts w:ascii="Times New Roman" w:hAnsi="Times New Roman" w:cs="Times New Roman" w:eastAsia="Times New Roman" w:hint="default"/>
                <w:sz w:val="16"/>
                <w:szCs w:val="16"/>
              </w:rPr>
            </w:pPr>
            <w:r>
              <w:rPr>
                <w:rFonts w:ascii="Times New Roman"/>
                <w:spacing w:val="-1"/>
                <w:sz w:val="16"/>
              </w:rPr>
              <w:t>1,000,000.00</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p>
      <w:pPr>
        <w:pStyle w:val="Heading5"/>
        <w:tabs>
          <w:tab w:pos="1397" w:val="left" w:leader="none"/>
        </w:tabs>
        <w:spacing w:line="240" w:lineRule="auto"/>
        <w:ind w:left="846" w:right="3681"/>
        <w:jc w:val="left"/>
        <w:rPr>
          <w:b w:val="0"/>
          <w:bCs w:val="0"/>
        </w:rPr>
      </w:pPr>
      <w:r>
        <w:rPr/>
        <w:pict>
          <v:group style="position:absolute;margin-left:119.520004pt;margin-top:-182.966507pt;width:411.7pt;height:158.6pt;mso-position-horizontal-relative:page;mso-position-vertical-relative:paragraph;z-index:-1368448" coordorigin="2390,-3659" coordsize="8234,3172">
            <v:shape style="position:absolute;left:5418;top:-3659;width:10;height:28" type="#_x0000_t75" stroked="false">
              <v:imagedata r:id="rId45" o:title=""/>
            </v:shape>
            <v:shape style="position:absolute;left:6778;top:-3659;width:10;height:28" type="#_x0000_t75" stroked="false">
              <v:imagedata r:id="rId45" o:title=""/>
            </v:shape>
            <v:shape style="position:absolute;left:8684;top:-3659;width:10;height:28" type="#_x0000_t75" stroked="false">
              <v:imagedata r:id="rId45" o:title=""/>
            </v:shape>
            <v:shape style="position:absolute;left:5399;top:-3651;width:3314;height:354" type="#_x0000_t75" stroked="false">
              <v:imagedata r:id="rId426" o:title=""/>
            </v:shape>
            <v:shape style="position:absolute;left:2390;top:-3335;width:8233;height:2848" type="#_x0000_t75" stroked="false">
              <v:imagedata r:id="rId427" o:title=""/>
            </v:shape>
            <w10:wrap type="none"/>
          </v:group>
        </w:pict>
      </w:r>
      <w:r>
        <w:rPr/>
        <w:pict>
          <v:group style="position:absolute;margin-left:119.520004pt;margin-top:17.073816pt;width:411.5pt;height:350.6pt;mso-position-horizontal-relative:page;mso-position-vertical-relative:paragraph;z-index:-1366792" coordorigin="2390,341" coordsize="8230,7012">
            <v:group style="position:absolute;left:2410;top:356;width:1138;height:2" coordorigin="2410,356" coordsize="1138,2">
              <v:shape style="position:absolute;left:2410;top:356;width:1138;height:2" coordorigin="2410,356" coordsize="1138,0" path="m2410,356l3547,356e" filled="false" stroked="true" strokeweight="1.5pt" strokecolor="#000000">
                <v:path arrowok="t"/>
              </v:shape>
              <v:shape style="position:absolute;left:3547;top:371;width:10;height:28" type="#_x0000_t75" stroked="false">
                <v:imagedata r:id="rId64" o:title=""/>
              </v:shape>
            </v:group>
            <v:group style="position:absolute;left:3547;top:356;width:1348;height:2" coordorigin="3547,356" coordsize="1348,2">
              <v:shape style="position:absolute;left:3547;top:356;width:1348;height:2" coordorigin="3547,356" coordsize="1348,0" path="m3547,356l4895,356e" filled="false" stroked="true" strokeweight="1.5pt" strokecolor="#000000">
                <v:path arrowok="t"/>
              </v:shape>
              <v:shape style="position:absolute;left:4895;top:371;width:10;height:28" type="#_x0000_t75" stroked="false">
                <v:imagedata r:id="rId64" o:title=""/>
              </v:shape>
            </v:group>
            <v:group style="position:absolute;left:4895;top:356;width:1390;height:2" coordorigin="4895,356" coordsize="1390,2">
              <v:shape style="position:absolute;left:4895;top:356;width:1390;height:2" coordorigin="4895,356" coordsize="1390,0" path="m4895,356l6284,356e" filled="false" stroked="true" strokeweight="1.5pt" strokecolor="#000000">
                <v:path arrowok="t"/>
              </v:shape>
              <v:shape style="position:absolute;left:6284;top:371;width:10;height:28" type="#_x0000_t75" stroked="false">
                <v:imagedata r:id="rId64" o:title=""/>
              </v:shape>
            </v:group>
            <v:group style="position:absolute;left:6284;top:356;width:1114;height:2" coordorigin="6284,356" coordsize="1114,2">
              <v:shape style="position:absolute;left:6284;top:356;width:1114;height:2" coordorigin="6284,356" coordsize="1114,0" path="m6284,356l7398,356e" filled="false" stroked="true" strokeweight="1.5pt" strokecolor="#000000">
                <v:path arrowok="t"/>
              </v:shape>
              <v:shape style="position:absolute;left:7398;top:371;width:10;height:28" type="#_x0000_t75" stroked="false">
                <v:imagedata r:id="rId64" o:title=""/>
              </v:shape>
            </v:group>
            <v:group style="position:absolute;left:7398;top:356;width:30;height:2" coordorigin="7398,356" coordsize="30,2">
              <v:shape style="position:absolute;left:7398;top:356;width:30;height:2" coordorigin="7398,356" coordsize="30,0" path="m7398,356l7428,356e" filled="false" stroked="true" strokeweight="1.5pt" strokecolor="#000000">
                <v:path arrowok="t"/>
              </v:shape>
            </v:group>
            <v:group style="position:absolute;left:7428;top:356;width:1319;height:2" coordorigin="7428,356" coordsize="1319,2">
              <v:shape style="position:absolute;left:7428;top:356;width:1319;height:2" coordorigin="7428,356" coordsize="1319,0" path="m7428,356l8747,356e" filled="false" stroked="true" strokeweight="1.5pt" strokecolor="#000000">
                <v:path arrowok="t"/>
              </v:shape>
              <v:shape style="position:absolute;left:8747;top:371;width:10;height:28" type="#_x0000_t75" stroked="false">
                <v:imagedata r:id="rId64" o:title=""/>
              </v:shape>
            </v:group>
            <v:group style="position:absolute;left:8747;top:356;width:923;height:2" coordorigin="8747,356" coordsize="923,2">
              <v:shape style="position:absolute;left:8747;top:356;width:923;height:2" coordorigin="8747,356" coordsize="923,0" path="m8747,356l9670,356e" filled="false" stroked="true" strokeweight="1.5pt" strokecolor="#000000">
                <v:path arrowok="t"/>
              </v:shape>
              <v:shape style="position:absolute;left:9670;top:371;width:10;height:28" type="#_x0000_t75" stroked="false">
                <v:imagedata r:id="rId64" o:title=""/>
              </v:shape>
            </v:group>
            <v:group style="position:absolute;left:9670;top:356;width:928;height:2" coordorigin="9670,356" coordsize="928,2">
              <v:shape style="position:absolute;left:9670;top:356;width:928;height:2" coordorigin="9670,356" coordsize="928,0" path="m9670,356l10597,356e" filled="false" stroked="true" strokeweight="1.5pt" strokecolor="#000000">
                <v:path arrowok="t"/>
              </v:shape>
              <v:shape style="position:absolute;left:3528;top:380;width:6170;height:769" type="#_x0000_t75" stroked="false">
                <v:imagedata r:id="rId428" o:title=""/>
              </v:shape>
              <v:shape style="position:absolute;left:2390;top:1111;width:8230;height:2282" type="#_x0000_t75" stroked="false">
                <v:imagedata r:id="rId429" o:title=""/>
              </v:shape>
              <v:shape style="position:absolute;left:2390;top:3355;width:7308;height:600" type="#_x0000_t75" stroked="false">
                <v:imagedata r:id="rId430" o:title=""/>
              </v:shape>
              <v:shape style="position:absolute;left:2390;top:3916;width:8230;height:1576" type="#_x0000_t75" stroked="false">
                <v:imagedata r:id="rId431" o:title=""/>
              </v:shape>
              <v:shape style="position:absolute;left:2390;top:5453;width:7308;height:806" type="#_x0000_t75" stroked="false">
                <v:imagedata r:id="rId432" o:title=""/>
              </v:shape>
            </v:group>
            <v:group style="position:absolute;left:2410;top:7338;width:1138;height:2" coordorigin="2410,7338" coordsize="1138,2">
              <v:shape style="position:absolute;left:2410;top:7338;width:1138;height:2" coordorigin="2410,7338" coordsize="1138,0" path="m2410,7338l3547,7338e" filled="false" stroked="true" strokeweight="1.5pt" strokecolor="#000000">
                <v:path arrowok="t"/>
              </v:shape>
              <v:shape style="position:absolute;left:2390;top:6221;width:8230;height:1121" type="#_x0000_t75" stroked="false">
                <v:imagedata r:id="rId433" o:title=""/>
              </v:shape>
            </v:group>
            <v:group style="position:absolute;left:3547;top:7338;width:1348;height:2" coordorigin="3547,7338" coordsize="1348,2">
              <v:shape style="position:absolute;left:3547;top:7338;width:1348;height:2" coordorigin="3547,7338" coordsize="1348,0" path="m3547,7338l4895,7338e" filled="false" stroked="true" strokeweight="1.5pt" strokecolor="#000000">
                <v:path arrowok="t"/>
              </v:shape>
              <v:shape style="position:absolute;left:4876;top:6821;width:48;height:521" type="#_x0000_t75" stroked="false">
                <v:imagedata r:id="rId434" o:title=""/>
              </v:shape>
            </v:group>
            <v:group style="position:absolute;left:4895;top:7338;width:1390;height:2" coordorigin="4895,7338" coordsize="1390,2">
              <v:shape style="position:absolute;left:4895;top:7338;width:1390;height:2" coordorigin="4895,7338" coordsize="1390,0" path="m4895,7338l6284,7338e" filled="false" stroked="true" strokeweight="1.5pt" strokecolor="#000000">
                <v:path arrowok="t"/>
              </v:shape>
              <v:shape style="position:absolute;left:6265;top:6821;width:48;height:521" type="#_x0000_t75" stroked="false">
                <v:imagedata r:id="rId434" o:title=""/>
              </v:shape>
            </v:group>
            <v:group style="position:absolute;left:6284;top:7338;width:1114;height:2" coordorigin="6284,7338" coordsize="1114,2">
              <v:shape style="position:absolute;left:6284;top:7338;width:1114;height:2" coordorigin="6284,7338" coordsize="1114,0" path="m6284,7338l7398,7338e" filled="false" stroked="true" strokeweight="1.5pt" strokecolor="#000000">
                <v:path arrowok="t"/>
              </v:shape>
              <v:shape style="position:absolute;left:7379;top:6821;width:48;height:521" type="#_x0000_t75" stroked="false">
                <v:imagedata r:id="rId434" o:title=""/>
              </v:shape>
            </v:group>
            <v:group style="position:absolute;left:7398;top:7338;width:30;height:2" coordorigin="7398,7338" coordsize="30,2">
              <v:shape style="position:absolute;left:7398;top:7338;width:30;height:2" coordorigin="7398,7338" coordsize="30,0" path="m7398,7338l7428,7338e" filled="false" stroked="true" strokeweight="1.5pt" strokecolor="#000000">
                <v:path arrowok="t"/>
              </v:shape>
            </v:group>
            <v:group style="position:absolute;left:7428;top:7338;width:1319;height:2" coordorigin="7428,7338" coordsize="1319,2">
              <v:shape style="position:absolute;left:7428;top:7338;width:1319;height:2" coordorigin="7428,7338" coordsize="1319,0" path="m7428,7338l8747,7338e" filled="false" stroked="true" strokeweight="1.5pt" strokecolor="#000000">
                <v:path arrowok="t"/>
              </v:shape>
              <v:shape style="position:absolute;left:8728;top:6821;width:48;height:521" type="#_x0000_t75" stroked="false">
                <v:imagedata r:id="rId434" o:title=""/>
              </v:shape>
            </v:group>
            <v:group style="position:absolute;left:8747;top:7338;width:923;height:2" coordorigin="8747,7338" coordsize="923,2">
              <v:shape style="position:absolute;left:8747;top:7338;width:923;height:2" coordorigin="8747,7338" coordsize="923,0" path="m8747,7338l9670,7338e" filled="false" stroked="true" strokeweight="1.5pt" strokecolor="#000000">
                <v:path arrowok="t"/>
              </v:shape>
              <v:shape style="position:absolute;left:9650;top:6821;width:48;height:521" type="#_x0000_t75" stroked="false">
                <v:imagedata r:id="rId434" o:title=""/>
              </v:shape>
            </v:group>
            <v:group style="position:absolute;left:9670;top:7338;width:928;height:2" coordorigin="9670,7338" coordsize="928,2">
              <v:shape style="position:absolute;left:9670;top:7338;width:928;height:2" coordorigin="9670,7338" coordsize="928,0" path="m9670,7338l10597,7338e" filled="false" stroked="true" strokeweight="1.5pt" strokecolor="#000000">
                <v:path arrowok="t"/>
              </v:shape>
              <v:shape style="position:absolute;left:2741;top:671;width:4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担保方</w:t>
                      </w:r>
                      <w:r>
                        <w:rPr>
                          <w:rFonts w:ascii="宋体" w:hAnsi="宋体" w:cs="宋体" w:eastAsia="宋体" w:hint="default"/>
                          <w:sz w:val="16"/>
                          <w:szCs w:val="16"/>
                        </w:rPr>
                      </w:r>
                    </w:p>
                  </w:txbxContent>
                </v:textbox>
                <w10:wrap type="none"/>
              </v:shape>
              <v:shape style="position:absolute;left:3905;top:671;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被担保方</w:t>
                      </w:r>
                      <w:r>
                        <w:rPr>
                          <w:rFonts w:ascii="宋体" w:hAnsi="宋体" w:cs="宋体" w:eastAsia="宋体" w:hint="default"/>
                          <w:sz w:val="16"/>
                          <w:szCs w:val="16"/>
                        </w:rPr>
                      </w:r>
                    </w:p>
                  </w:txbxContent>
                </v:textbox>
                <w10:wrap type="none"/>
              </v:shape>
              <v:shape style="position:absolute;left:5274;top:671;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担保金额</w:t>
                      </w:r>
                      <w:r>
                        <w:rPr>
                          <w:rFonts w:ascii="宋体" w:hAnsi="宋体" w:cs="宋体" w:eastAsia="宋体" w:hint="default"/>
                          <w:sz w:val="16"/>
                          <w:szCs w:val="16"/>
                        </w:rPr>
                      </w:r>
                    </w:p>
                  </w:txbxContent>
                </v:textbox>
                <w10:wrap type="none"/>
              </v:shape>
              <v:shape style="position:absolute;left:6445;top:671;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担保起始日</w:t>
                      </w:r>
                      <w:r>
                        <w:rPr>
                          <w:rFonts w:ascii="宋体" w:hAnsi="宋体" w:cs="宋体" w:eastAsia="宋体" w:hint="default"/>
                          <w:sz w:val="16"/>
                          <w:szCs w:val="16"/>
                        </w:rPr>
                      </w:r>
                    </w:p>
                  </w:txbxContent>
                </v:textbox>
                <w10:wrap type="none"/>
              </v:shape>
              <v:shape style="position:absolute;left:7675;top:671;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担保到期日</w:t>
                      </w:r>
                      <w:r>
                        <w:rPr>
                          <w:rFonts w:ascii="宋体" w:hAnsi="宋体" w:cs="宋体" w:eastAsia="宋体" w:hint="default"/>
                          <w:sz w:val="16"/>
                          <w:szCs w:val="16"/>
                        </w:rPr>
                      </w:r>
                    </w:p>
                  </w:txbxContent>
                </v:textbox>
                <w10:wrap type="none"/>
              </v:shape>
              <v:shape style="position:absolute;left:8892;top:464;width:639;height:575" type="#_x0000_t202" filled="false" stroked="false">
                <v:textbox inset="0,0,0,0">
                  <w:txbxContent>
                    <w:p>
                      <w:pPr>
                        <w:spacing w:line="158"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担保是否</w:t>
                      </w:r>
                      <w:r>
                        <w:rPr>
                          <w:rFonts w:ascii="宋体" w:hAnsi="宋体" w:cs="宋体" w:eastAsia="宋体" w:hint="default"/>
                          <w:sz w:val="16"/>
                          <w:szCs w:val="16"/>
                        </w:rPr>
                      </w:r>
                    </w:p>
                    <w:p>
                      <w:pPr>
                        <w:spacing w:before="0"/>
                        <w:ind w:left="159" w:right="0" w:hanging="160"/>
                        <w:jc w:val="left"/>
                        <w:rPr>
                          <w:rFonts w:ascii="宋体" w:hAnsi="宋体" w:cs="宋体" w:eastAsia="宋体" w:hint="default"/>
                          <w:sz w:val="16"/>
                          <w:szCs w:val="16"/>
                        </w:rPr>
                      </w:pPr>
                      <w:r>
                        <w:rPr>
                          <w:rFonts w:ascii="宋体" w:hAnsi="宋体" w:cs="宋体" w:eastAsia="宋体" w:hint="default"/>
                          <w:w w:val="95"/>
                          <w:sz w:val="16"/>
                          <w:szCs w:val="16"/>
                        </w:rPr>
                        <w:t>已经履行</w:t>
                      </w:r>
                      <w:r>
                        <w:rPr>
                          <w:rFonts w:ascii="宋体" w:hAnsi="宋体" w:cs="宋体" w:eastAsia="宋体" w:hint="default"/>
                          <w:spacing w:val="-46"/>
                          <w:w w:val="95"/>
                          <w:sz w:val="16"/>
                          <w:szCs w:val="16"/>
                        </w:rPr>
                        <w:t> </w:t>
                      </w:r>
                      <w:r>
                        <w:rPr>
                          <w:rFonts w:ascii="宋体" w:hAnsi="宋体" w:cs="宋体" w:eastAsia="宋体" w:hint="default"/>
                          <w:sz w:val="16"/>
                          <w:szCs w:val="16"/>
                        </w:rPr>
                        <w:t>完毕</w:t>
                      </w:r>
                    </w:p>
                  </w:txbxContent>
                </v:textbox>
                <w10:wrap type="none"/>
              </v:shape>
              <v:shape style="position:absolute;left:9976;top:671;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说明</w:t>
                      </w:r>
                      <w:r>
                        <w:rPr>
                          <w:rFonts w:ascii="宋体" w:hAnsi="宋体" w:cs="宋体" w:eastAsia="宋体" w:hint="default"/>
                          <w:sz w:val="16"/>
                          <w:szCs w:val="16"/>
                        </w:rPr>
                      </w:r>
                    </w:p>
                  </w:txbxContent>
                </v:textbox>
                <w10:wrap type="none"/>
              </v:shape>
              <v:shape style="position:absolute;left:2518;top:1335;width:4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本公司</w:t>
                      </w:r>
                      <w:r>
                        <w:rPr>
                          <w:rFonts w:ascii="宋体" w:hAnsi="宋体" w:cs="宋体" w:eastAsia="宋体" w:hint="default"/>
                          <w:sz w:val="16"/>
                          <w:szCs w:val="16"/>
                        </w:rPr>
                      </w:r>
                    </w:p>
                  </w:txbxContent>
                </v:textbox>
                <w10:wrap type="none"/>
              </v:shape>
              <v:shape style="position:absolute;left:3659;top:1232;width:1134;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长沙湘计海盾科</w:t>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技有限公司</w:t>
                      </w:r>
                    </w:p>
                  </w:txbxContent>
                </v:textbox>
                <w10:wrap type="none"/>
              </v:shape>
              <v:shape style="position:absolute;left:5008;top:1232;width:1175;height:368" type="#_x0000_t202" filled="false" stroked="false">
                <v:textbox inset="0,0,0,0">
                  <w:txbxContent>
                    <w:p>
                      <w:pPr>
                        <w:spacing w:line="165" w:lineRule="exact" w:before="0"/>
                        <w:ind w:left="0" w:right="0" w:firstLine="0"/>
                        <w:jc w:val="left"/>
                        <w:rPr>
                          <w:rFonts w:ascii="Times New Roman" w:hAnsi="Times New Roman" w:cs="Times New Roman" w:eastAsia="Times New Roman" w:hint="default"/>
                          <w:sz w:val="16"/>
                          <w:szCs w:val="16"/>
                        </w:rPr>
                      </w:pPr>
                      <w:r>
                        <w:rPr>
                          <w:rFonts w:ascii="宋体" w:hAnsi="宋体" w:cs="宋体" w:eastAsia="宋体" w:hint="default"/>
                          <w:sz w:val="16"/>
                          <w:szCs w:val="16"/>
                        </w:rPr>
                        <w:t>不超过</w:t>
                      </w:r>
                      <w:r>
                        <w:rPr>
                          <w:rFonts w:ascii="宋体" w:hAnsi="宋体" w:cs="宋体" w:eastAsia="宋体" w:hint="default"/>
                          <w:spacing w:val="-31"/>
                          <w:sz w:val="16"/>
                          <w:szCs w:val="16"/>
                        </w:rPr>
                        <w:t> </w:t>
                      </w:r>
                      <w:r>
                        <w:rPr>
                          <w:rFonts w:ascii="Times New Roman" w:hAnsi="Times New Roman" w:cs="Times New Roman" w:eastAsia="Times New Roman" w:hint="default"/>
                          <w:sz w:val="16"/>
                          <w:szCs w:val="16"/>
                        </w:rPr>
                        <w:t>10,000.00</w:t>
                      </w:r>
                    </w:p>
                    <w:p>
                      <w:pPr>
                        <w:spacing w:line="202"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万元</w:t>
                      </w:r>
                    </w:p>
                  </w:txbxContent>
                </v:textbox>
                <w10:wrap type="none"/>
              </v:shape>
              <v:shape style="position:absolute;left:6552;top:1349;width:588;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2018-8-9</w:t>
                      </w:r>
                      <w:r>
                        <w:rPr>
                          <w:rFonts w:ascii="Times New Roman"/>
                          <w:sz w:val="16"/>
                        </w:rPr>
                      </w:r>
                    </w:p>
                  </w:txbxContent>
                </v:textbox>
                <w10:wrap type="none"/>
              </v:shape>
              <v:shape style="position:absolute;left:7510;top:1232;width:1119;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债务履行期限届</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满之日起两年</w:t>
                      </w:r>
                    </w:p>
                  </w:txbxContent>
                </v:textbox>
                <w10:wrap type="none"/>
              </v:shape>
              <v:shape style="position:absolute;left:2518;top:1896;width:4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本公司</w:t>
                      </w:r>
                      <w:r>
                        <w:rPr>
                          <w:rFonts w:ascii="宋体" w:hAnsi="宋体" w:cs="宋体" w:eastAsia="宋体" w:hint="default"/>
                          <w:sz w:val="16"/>
                          <w:szCs w:val="16"/>
                        </w:rPr>
                      </w:r>
                    </w:p>
                  </w:txbxContent>
                </v:textbox>
                <w10:wrap type="none"/>
              </v:shape>
              <v:shape style="position:absolute;left:3659;top:1793;width:1134;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湖南长城医疗科</w:t>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技有限公司</w:t>
                      </w:r>
                    </w:p>
                  </w:txbxContent>
                </v:textbox>
                <w10:wrap type="none"/>
              </v:shape>
              <v:shape style="position:absolute;left:5008;top:1793;width:1175;height:368" type="#_x0000_t202" filled="false" stroked="false">
                <v:textbox inset="0,0,0,0">
                  <w:txbxContent>
                    <w:p>
                      <w:pPr>
                        <w:spacing w:line="165" w:lineRule="exact" w:before="0"/>
                        <w:ind w:left="0" w:right="0" w:firstLine="0"/>
                        <w:jc w:val="left"/>
                        <w:rPr>
                          <w:rFonts w:ascii="Times New Roman" w:hAnsi="Times New Roman" w:cs="Times New Roman" w:eastAsia="Times New Roman" w:hint="default"/>
                          <w:sz w:val="16"/>
                          <w:szCs w:val="16"/>
                        </w:rPr>
                      </w:pPr>
                      <w:r>
                        <w:rPr>
                          <w:rFonts w:ascii="宋体" w:hAnsi="宋体" w:cs="宋体" w:eastAsia="宋体" w:hint="default"/>
                          <w:spacing w:val="12"/>
                          <w:sz w:val="16"/>
                          <w:szCs w:val="16"/>
                        </w:rPr>
                        <w:t>不超过</w:t>
                      </w:r>
                      <w:r>
                        <w:rPr>
                          <w:rFonts w:ascii="宋体" w:hAnsi="宋体" w:cs="宋体" w:eastAsia="宋体" w:hint="default"/>
                          <w:spacing w:val="13"/>
                          <w:sz w:val="16"/>
                          <w:szCs w:val="16"/>
                        </w:rPr>
                        <w:t> </w:t>
                      </w:r>
                      <w:r>
                        <w:rPr>
                          <w:rFonts w:ascii="Times New Roman" w:hAnsi="Times New Roman" w:cs="Times New Roman" w:eastAsia="Times New Roman" w:hint="default"/>
                          <w:sz w:val="16"/>
                          <w:szCs w:val="16"/>
                        </w:rPr>
                        <w:t>5,000.00</w:t>
                      </w:r>
                    </w:p>
                    <w:p>
                      <w:pPr>
                        <w:spacing w:line="202"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万元</w:t>
                      </w:r>
                    </w:p>
                  </w:txbxContent>
                </v:textbox>
                <w10:wrap type="none"/>
              </v:shape>
              <v:shape style="position:absolute;left:6552;top:1910;width:588;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2018-8-9</w:t>
                      </w:r>
                      <w:r>
                        <w:rPr>
                          <w:rFonts w:ascii="Times New Roman"/>
                          <w:sz w:val="16"/>
                        </w:rPr>
                      </w:r>
                    </w:p>
                  </w:txbxContent>
                </v:textbox>
                <w10:wrap type="none"/>
              </v:shape>
              <v:shape style="position:absolute;left:7510;top:1793;width:1119;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票据到期届满之</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日起两年</w:t>
                      </w:r>
                    </w:p>
                  </w:txbxContent>
                </v:textbox>
                <w10:wrap type="none"/>
              </v:shape>
              <v:shape style="position:absolute;left:2518;top:2457;width:4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本公司</w:t>
                      </w:r>
                      <w:r>
                        <w:rPr>
                          <w:rFonts w:ascii="宋体" w:hAnsi="宋体" w:cs="宋体" w:eastAsia="宋体" w:hint="default"/>
                          <w:sz w:val="16"/>
                          <w:szCs w:val="16"/>
                        </w:rPr>
                      </w:r>
                    </w:p>
                  </w:txbxContent>
                </v:textbox>
                <w10:wrap type="none"/>
              </v:shape>
              <v:shape style="position:absolute;left:3659;top:2354;width:1134;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湖南长城计算机</w:t>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系统有限公司</w:t>
                      </w:r>
                    </w:p>
                  </w:txbxContent>
                </v:textbox>
                <w10:wrap type="none"/>
              </v:shape>
              <v:shape style="position:absolute;left:5008;top:2354;width:1175;height:368" type="#_x0000_t202" filled="false" stroked="false">
                <v:textbox inset="0,0,0,0">
                  <w:txbxContent>
                    <w:p>
                      <w:pPr>
                        <w:spacing w:line="165" w:lineRule="exact" w:before="0"/>
                        <w:ind w:left="0" w:right="0" w:firstLine="0"/>
                        <w:jc w:val="left"/>
                        <w:rPr>
                          <w:rFonts w:ascii="Times New Roman" w:hAnsi="Times New Roman" w:cs="Times New Roman" w:eastAsia="Times New Roman" w:hint="default"/>
                          <w:sz w:val="16"/>
                          <w:szCs w:val="16"/>
                        </w:rPr>
                      </w:pPr>
                      <w:r>
                        <w:rPr>
                          <w:rFonts w:ascii="宋体" w:hAnsi="宋体" w:cs="宋体" w:eastAsia="宋体" w:hint="default"/>
                          <w:sz w:val="16"/>
                          <w:szCs w:val="16"/>
                        </w:rPr>
                        <w:t>不超过</w:t>
                      </w:r>
                      <w:r>
                        <w:rPr>
                          <w:rFonts w:ascii="宋体" w:hAnsi="宋体" w:cs="宋体" w:eastAsia="宋体" w:hint="default"/>
                          <w:spacing w:val="-31"/>
                          <w:sz w:val="16"/>
                          <w:szCs w:val="16"/>
                        </w:rPr>
                        <w:t> </w:t>
                      </w:r>
                      <w:r>
                        <w:rPr>
                          <w:rFonts w:ascii="Times New Roman" w:hAnsi="Times New Roman" w:cs="Times New Roman" w:eastAsia="Times New Roman" w:hint="default"/>
                          <w:sz w:val="16"/>
                          <w:szCs w:val="16"/>
                        </w:rPr>
                        <w:t>10,000.00</w:t>
                      </w:r>
                    </w:p>
                    <w:p>
                      <w:pPr>
                        <w:spacing w:line="202"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万元</w:t>
                      </w:r>
                    </w:p>
                  </w:txbxContent>
                </v:textbox>
                <w10:wrap type="none"/>
              </v:shape>
              <v:shape style="position:absolute;left:6473;top:2471;width:748;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2018-10-13</w:t>
                      </w:r>
                      <w:r>
                        <w:rPr>
                          <w:rFonts w:ascii="Times New Roman"/>
                          <w:sz w:val="16"/>
                        </w:rPr>
                      </w:r>
                    </w:p>
                  </w:txbxContent>
                </v:textbox>
                <w10:wrap type="none"/>
              </v:shape>
              <v:shape style="position:absolute;left:7510;top:2354;width:1119;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债务履行期限届</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满之日起两年</w:t>
                      </w:r>
                    </w:p>
                  </w:txbxContent>
                </v:textbox>
                <w10:wrap type="none"/>
              </v:shape>
              <v:shape style="position:absolute;left:2518;top:3018;width:4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本公司</w:t>
                      </w:r>
                      <w:r>
                        <w:rPr>
                          <w:rFonts w:ascii="宋体" w:hAnsi="宋体" w:cs="宋体" w:eastAsia="宋体" w:hint="default"/>
                          <w:sz w:val="16"/>
                          <w:szCs w:val="16"/>
                        </w:rPr>
                      </w:r>
                    </w:p>
                  </w:txbxContent>
                </v:textbox>
                <w10:wrap type="none"/>
              </v:shape>
              <v:shape style="position:absolute;left:3659;top:2915;width:1134;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长沙中电软件园</w:t>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有限公司</w:t>
                      </w:r>
                    </w:p>
                  </w:txbxContent>
                </v:textbox>
                <w10:wrap type="none"/>
              </v:shape>
              <v:shape style="position:absolute;left:5008;top:2915;width:1175;height:368" type="#_x0000_t202" filled="false" stroked="false">
                <v:textbox inset="0,0,0,0">
                  <w:txbxContent>
                    <w:p>
                      <w:pPr>
                        <w:spacing w:line="165" w:lineRule="exact" w:before="0"/>
                        <w:ind w:left="0" w:right="0" w:firstLine="0"/>
                        <w:jc w:val="left"/>
                        <w:rPr>
                          <w:rFonts w:ascii="Times New Roman" w:hAnsi="Times New Roman" w:cs="Times New Roman" w:eastAsia="Times New Roman" w:hint="default"/>
                          <w:sz w:val="16"/>
                          <w:szCs w:val="16"/>
                        </w:rPr>
                      </w:pPr>
                      <w:r>
                        <w:rPr>
                          <w:rFonts w:ascii="宋体" w:hAnsi="宋体" w:cs="宋体" w:eastAsia="宋体" w:hint="default"/>
                          <w:sz w:val="16"/>
                          <w:szCs w:val="16"/>
                        </w:rPr>
                        <w:t>不超过</w:t>
                      </w:r>
                      <w:r>
                        <w:rPr>
                          <w:rFonts w:ascii="宋体" w:hAnsi="宋体" w:cs="宋体" w:eastAsia="宋体" w:hint="default"/>
                          <w:spacing w:val="-31"/>
                          <w:sz w:val="16"/>
                          <w:szCs w:val="16"/>
                        </w:rPr>
                        <w:t> </w:t>
                      </w:r>
                      <w:r>
                        <w:rPr>
                          <w:rFonts w:ascii="Times New Roman" w:hAnsi="Times New Roman" w:cs="Times New Roman" w:eastAsia="Times New Roman" w:hint="default"/>
                          <w:sz w:val="16"/>
                          <w:szCs w:val="16"/>
                        </w:rPr>
                        <w:t>12,250.00</w:t>
                      </w:r>
                    </w:p>
                    <w:p>
                      <w:pPr>
                        <w:spacing w:line="202"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万元</w:t>
                      </w:r>
                    </w:p>
                  </w:txbxContent>
                </v:textbox>
                <w10:wrap type="none"/>
              </v:shape>
              <v:shape style="position:absolute;left:6473;top:3032;width:748;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2014-12-22</w:t>
                      </w:r>
                      <w:r>
                        <w:rPr>
                          <w:rFonts w:ascii="Times New Roman"/>
                          <w:sz w:val="16"/>
                        </w:rPr>
                      </w:r>
                    </w:p>
                  </w:txbxContent>
                </v:textbox>
                <w10:wrap type="none"/>
              </v:shape>
              <v:shape style="position:absolute;left:7510;top:2915;width:1119;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债务履行期限届</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满之日起两年</w:t>
                      </w:r>
                    </w:p>
                  </w:txbxContent>
                </v:textbox>
                <w10:wrap type="none"/>
              </v:shape>
              <v:shape style="position:absolute;left:9132;top:3018;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否</w:t>
                      </w:r>
                      <w:r>
                        <w:rPr>
                          <w:rFonts w:ascii="宋体" w:hAnsi="宋体" w:cs="宋体" w:eastAsia="宋体" w:hint="default"/>
                          <w:sz w:val="16"/>
                          <w:szCs w:val="16"/>
                        </w:rPr>
                      </w:r>
                    </w:p>
                  </w:txbxContent>
                </v:textbox>
                <w10:wrap type="none"/>
              </v:shape>
              <v:shape style="position:absolute;left:10096;top:3313;width:80;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9"/>
                          <w:sz w:val="16"/>
                        </w:rPr>
                        <w:t>4</w:t>
                      </w:r>
                      <w:r>
                        <w:rPr>
                          <w:rFonts w:ascii="Times New Roman"/>
                          <w:sz w:val="16"/>
                        </w:rPr>
                      </w:r>
                    </w:p>
                  </w:txbxContent>
                </v:textbox>
                <w10:wrap type="none"/>
              </v:shape>
              <v:shape style="position:absolute;left:2518;top:3579;width:4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本公司</w:t>
                      </w:r>
                      <w:r>
                        <w:rPr>
                          <w:rFonts w:ascii="宋体" w:hAnsi="宋体" w:cs="宋体" w:eastAsia="宋体" w:hint="default"/>
                          <w:sz w:val="16"/>
                          <w:szCs w:val="16"/>
                        </w:rPr>
                      </w:r>
                    </w:p>
                  </w:txbxContent>
                </v:textbox>
                <w10:wrap type="none"/>
              </v:shape>
              <v:shape style="position:absolute;left:3659;top:3476;width:1134;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长沙中电软件园</w:t>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有限公司</w:t>
                      </w:r>
                    </w:p>
                  </w:txbxContent>
                </v:textbox>
                <w10:wrap type="none"/>
              </v:shape>
              <v:shape style="position:absolute;left:5008;top:3476;width:1175;height:368" type="#_x0000_t202" filled="false" stroked="false">
                <v:textbox inset="0,0,0,0">
                  <w:txbxContent>
                    <w:p>
                      <w:pPr>
                        <w:spacing w:line="165" w:lineRule="exact" w:before="0"/>
                        <w:ind w:left="0" w:right="0" w:firstLine="0"/>
                        <w:jc w:val="left"/>
                        <w:rPr>
                          <w:rFonts w:ascii="Times New Roman" w:hAnsi="Times New Roman" w:cs="Times New Roman" w:eastAsia="Times New Roman" w:hint="default"/>
                          <w:sz w:val="16"/>
                          <w:szCs w:val="16"/>
                        </w:rPr>
                      </w:pPr>
                      <w:r>
                        <w:rPr>
                          <w:rFonts w:ascii="宋体" w:hAnsi="宋体" w:cs="宋体" w:eastAsia="宋体" w:hint="default"/>
                          <w:spacing w:val="12"/>
                          <w:sz w:val="16"/>
                          <w:szCs w:val="16"/>
                        </w:rPr>
                        <w:t>不超过</w:t>
                      </w:r>
                      <w:r>
                        <w:rPr>
                          <w:rFonts w:ascii="宋体" w:hAnsi="宋体" w:cs="宋体" w:eastAsia="宋体" w:hint="default"/>
                          <w:spacing w:val="13"/>
                          <w:sz w:val="16"/>
                          <w:szCs w:val="16"/>
                        </w:rPr>
                        <w:t> </w:t>
                      </w:r>
                      <w:r>
                        <w:rPr>
                          <w:rFonts w:ascii="Times New Roman" w:hAnsi="Times New Roman" w:cs="Times New Roman" w:eastAsia="Times New Roman" w:hint="default"/>
                          <w:sz w:val="16"/>
                          <w:szCs w:val="16"/>
                        </w:rPr>
                        <w:t>3,500.00</w:t>
                      </w:r>
                    </w:p>
                    <w:p>
                      <w:pPr>
                        <w:spacing w:line="202"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万元</w:t>
                      </w:r>
                    </w:p>
                  </w:txbxContent>
                </v:textbox>
                <w10:wrap type="none"/>
              </v:shape>
              <v:shape style="position:absolute;left:6512;top:3593;width:667;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2018-3-12</w:t>
                      </w:r>
                      <w:r>
                        <w:rPr>
                          <w:rFonts w:ascii="Times New Roman"/>
                          <w:sz w:val="16"/>
                        </w:rPr>
                      </w:r>
                    </w:p>
                  </w:txbxContent>
                </v:textbox>
                <w10:wrap type="none"/>
              </v:shape>
              <v:shape style="position:absolute;left:7510;top:3476;width:1119;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债务履行期限届</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满之日起两年</w:t>
                      </w:r>
                    </w:p>
                  </w:txbxContent>
                </v:textbox>
                <w10:wrap type="none"/>
              </v:shape>
              <v:shape style="position:absolute;left:9132;top:3579;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否</w:t>
                      </w:r>
                      <w:r>
                        <w:rPr>
                          <w:rFonts w:ascii="宋体" w:hAnsi="宋体" w:cs="宋体" w:eastAsia="宋体" w:hint="default"/>
                          <w:sz w:val="16"/>
                          <w:szCs w:val="16"/>
                        </w:rPr>
                      </w:r>
                    </w:p>
                  </w:txbxContent>
                </v:textbox>
                <w10:wrap type="none"/>
              </v:shape>
              <v:shape style="position:absolute;left:2518;top:4244;width:4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本公司</w:t>
                      </w:r>
                      <w:r>
                        <w:rPr>
                          <w:rFonts w:ascii="宋体" w:hAnsi="宋体" w:cs="宋体" w:eastAsia="宋体" w:hint="default"/>
                          <w:sz w:val="16"/>
                          <w:szCs w:val="16"/>
                        </w:rPr>
                      </w:r>
                    </w:p>
                  </w:txbxContent>
                </v:textbox>
                <w10:wrap type="none"/>
              </v:shape>
              <v:shape style="position:absolute;left:3659;top:4037;width:1134;height:575" type="#_x0000_t202" filled="false" stroked="false">
                <v:textbox inset="0,0,0,0">
                  <w:txbxContent>
                    <w:p>
                      <w:pPr>
                        <w:spacing w:line="15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湖南长城信息金</w:t>
                      </w:r>
                    </w:p>
                    <w:p>
                      <w:pPr>
                        <w:spacing w:before="0"/>
                        <w:ind w:left="0" w:right="0" w:firstLine="0"/>
                        <w:jc w:val="left"/>
                        <w:rPr>
                          <w:rFonts w:ascii="宋体" w:hAnsi="宋体" w:cs="宋体" w:eastAsia="宋体" w:hint="default"/>
                          <w:sz w:val="16"/>
                          <w:szCs w:val="16"/>
                        </w:rPr>
                      </w:pPr>
                      <w:r>
                        <w:rPr>
                          <w:rFonts w:ascii="宋体" w:hAnsi="宋体" w:cs="宋体" w:eastAsia="宋体" w:hint="default"/>
                          <w:sz w:val="16"/>
                          <w:szCs w:val="16"/>
                        </w:rPr>
                        <w:t>融设备有限责任</w:t>
                      </w:r>
                      <w:r>
                        <w:rPr>
                          <w:rFonts w:ascii="宋体" w:hAnsi="宋体" w:cs="宋体" w:eastAsia="宋体" w:hint="default"/>
                          <w:spacing w:val="-69"/>
                          <w:sz w:val="16"/>
                          <w:szCs w:val="16"/>
                        </w:rPr>
                        <w:t> </w:t>
                      </w:r>
                      <w:r>
                        <w:rPr>
                          <w:rFonts w:ascii="宋体" w:hAnsi="宋体" w:cs="宋体" w:eastAsia="宋体" w:hint="default"/>
                          <w:sz w:val="16"/>
                          <w:szCs w:val="16"/>
                        </w:rPr>
                        <w:t>公司</w:t>
                      </w:r>
                    </w:p>
                  </w:txbxContent>
                </v:textbox>
                <w10:wrap type="none"/>
              </v:shape>
              <v:shape style="position:absolute;left:5008;top:4140;width:1175;height:368" type="#_x0000_t202" filled="false" stroked="false">
                <v:textbox inset="0,0,0,0">
                  <w:txbxContent>
                    <w:p>
                      <w:pPr>
                        <w:spacing w:line="165" w:lineRule="exact" w:before="0"/>
                        <w:ind w:left="0" w:right="0" w:firstLine="0"/>
                        <w:jc w:val="left"/>
                        <w:rPr>
                          <w:rFonts w:ascii="Times New Roman" w:hAnsi="Times New Roman" w:cs="Times New Roman" w:eastAsia="Times New Roman" w:hint="default"/>
                          <w:sz w:val="16"/>
                          <w:szCs w:val="16"/>
                        </w:rPr>
                      </w:pPr>
                      <w:r>
                        <w:rPr>
                          <w:rFonts w:ascii="宋体" w:hAnsi="宋体" w:cs="宋体" w:eastAsia="宋体" w:hint="default"/>
                          <w:sz w:val="16"/>
                          <w:szCs w:val="16"/>
                        </w:rPr>
                        <w:t>不超过</w:t>
                      </w:r>
                      <w:r>
                        <w:rPr>
                          <w:rFonts w:ascii="宋体" w:hAnsi="宋体" w:cs="宋体" w:eastAsia="宋体" w:hint="default"/>
                          <w:spacing w:val="-31"/>
                          <w:sz w:val="16"/>
                          <w:szCs w:val="16"/>
                        </w:rPr>
                        <w:t> </w:t>
                      </w:r>
                      <w:r>
                        <w:rPr>
                          <w:rFonts w:ascii="Times New Roman" w:hAnsi="Times New Roman" w:cs="Times New Roman" w:eastAsia="Times New Roman" w:hint="default"/>
                          <w:sz w:val="16"/>
                          <w:szCs w:val="16"/>
                        </w:rPr>
                        <w:t>20,000.00</w:t>
                      </w:r>
                    </w:p>
                    <w:p>
                      <w:pPr>
                        <w:spacing w:line="202"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万元</w:t>
                      </w:r>
                    </w:p>
                  </w:txbxContent>
                </v:textbox>
                <w10:wrap type="none"/>
              </v:shape>
              <v:shape style="position:absolute;left:6552;top:4258;width:588;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2018-8-9</w:t>
                      </w:r>
                      <w:r>
                        <w:rPr>
                          <w:rFonts w:ascii="Times New Roman"/>
                          <w:sz w:val="16"/>
                        </w:rPr>
                      </w:r>
                    </w:p>
                  </w:txbxContent>
                </v:textbox>
                <w10:wrap type="none"/>
              </v:shape>
              <v:shape style="position:absolute;left:7510;top:4140;width:1119;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票据到期届满之</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日起两年</w:t>
                      </w:r>
                    </w:p>
                  </w:txbxContent>
                </v:textbox>
                <w10:wrap type="none"/>
              </v:shape>
              <v:shape style="position:absolute;left:9132;top:4244;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否</w:t>
                      </w:r>
                      <w:r>
                        <w:rPr>
                          <w:rFonts w:ascii="宋体" w:hAnsi="宋体" w:cs="宋体" w:eastAsia="宋体" w:hint="default"/>
                          <w:sz w:val="16"/>
                          <w:szCs w:val="16"/>
                        </w:rPr>
                      </w:r>
                    </w:p>
                  </w:txbxContent>
                </v:textbox>
                <w10:wrap type="none"/>
              </v:shape>
              <v:shape style="position:absolute;left:10096;top:4258;width:80;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9"/>
                          <w:sz w:val="16"/>
                        </w:rPr>
                        <w:t>5</w:t>
                      </w:r>
                      <w:r>
                        <w:rPr>
                          <w:rFonts w:ascii="Times New Roman"/>
                          <w:sz w:val="16"/>
                        </w:rPr>
                      </w:r>
                    </w:p>
                  </w:txbxContent>
                </v:textbox>
                <w10:wrap type="none"/>
              </v:shape>
              <v:shape style="position:absolute;left:2518;top:5013;width:4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本公司</w:t>
                      </w:r>
                      <w:r>
                        <w:rPr>
                          <w:rFonts w:ascii="宋体" w:hAnsi="宋体" w:cs="宋体" w:eastAsia="宋体" w:hint="default"/>
                          <w:sz w:val="16"/>
                          <w:szCs w:val="16"/>
                        </w:rPr>
                      </w:r>
                    </w:p>
                  </w:txbxContent>
                </v:textbox>
                <w10:wrap type="none"/>
              </v:shape>
              <v:shape style="position:absolute;left:3659;top:4805;width:1134;height:575" type="#_x0000_t202" filled="false" stroked="false">
                <v:textbox inset="0,0,0,0">
                  <w:txbxContent>
                    <w:p>
                      <w:pPr>
                        <w:spacing w:line="15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湖南长城信息金</w:t>
                      </w:r>
                    </w:p>
                    <w:p>
                      <w:pPr>
                        <w:spacing w:before="0"/>
                        <w:ind w:left="0" w:right="0" w:firstLine="0"/>
                        <w:jc w:val="left"/>
                        <w:rPr>
                          <w:rFonts w:ascii="宋体" w:hAnsi="宋体" w:cs="宋体" w:eastAsia="宋体" w:hint="default"/>
                          <w:sz w:val="16"/>
                          <w:szCs w:val="16"/>
                        </w:rPr>
                      </w:pPr>
                      <w:r>
                        <w:rPr>
                          <w:rFonts w:ascii="宋体" w:hAnsi="宋体" w:cs="宋体" w:eastAsia="宋体" w:hint="default"/>
                          <w:sz w:val="16"/>
                          <w:szCs w:val="16"/>
                        </w:rPr>
                        <w:t>融设备有限责任</w:t>
                      </w:r>
                      <w:r>
                        <w:rPr>
                          <w:rFonts w:ascii="宋体" w:hAnsi="宋体" w:cs="宋体" w:eastAsia="宋体" w:hint="default"/>
                          <w:spacing w:val="-69"/>
                          <w:sz w:val="16"/>
                          <w:szCs w:val="16"/>
                        </w:rPr>
                        <w:t> </w:t>
                      </w:r>
                      <w:r>
                        <w:rPr>
                          <w:rFonts w:ascii="宋体" w:hAnsi="宋体" w:cs="宋体" w:eastAsia="宋体" w:hint="default"/>
                          <w:sz w:val="16"/>
                          <w:szCs w:val="16"/>
                        </w:rPr>
                        <w:t>公司</w:t>
                      </w:r>
                    </w:p>
                  </w:txbxContent>
                </v:textbox>
                <w10:wrap type="none"/>
              </v:shape>
              <v:shape style="position:absolute;left:5008;top:4908;width:1175;height:369" type="#_x0000_t202" filled="false" stroked="false">
                <v:textbox inset="0,0,0,0">
                  <w:txbxContent>
                    <w:p>
                      <w:pPr>
                        <w:spacing w:line="165" w:lineRule="exact" w:before="0"/>
                        <w:ind w:left="0" w:right="0" w:firstLine="0"/>
                        <w:jc w:val="left"/>
                        <w:rPr>
                          <w:rFonts w:ascii="Times New Roman" w:hAnsi="Times New Roman" w:cs="Times New Roman" w:eastAsia="Times New Roman" w:hint="default"/>
                          <w:sz w:val="16"/>
                          <w:szCs w:val="16"/>
                        </w:rPr>
                      </w:pPr>
                      <w:r>
                        <w:rPr>
                          <w:rFonts w:ascii="宋体" w:hAnsi="宋体" w:cs="宋体" w:eastAsia="宋体" w:hint="default"/>
                          <w:sz w:val="16"/>
                          <w:szCs w:val="16"/>
                        </w:rPr>
                        <w:t>不超过</w:t>
                      </w:r>
                      <w:r>
                        <w:rPr>
                          <w:rFonts w:ascii="宋体" w:hAnsi="宋体" w:cs="宋体" w:eastAsia="宋体" w:hint="default"/>
                          <w:spacing w:val="-31"/>
                          <w:sz w:val="16"/>
                          <w:szCs w:val="16"/>
                        </w:rPr>
                        <w:t> </w:t>
                      </w:r>
                      <w:r>
                        <w:rPr>
                          <w:rFonts w:ascii="Times New Roman" w:hAnsi="Times New Roman" w:cs="Times New Roman" w:eastAsia="Times New Roman" w:hint="default"/>
                          <w:sz w:val="16"/>
                          <w:szCs w:val="16"/>
                        </w:rPr>
                        <w:t>23,000.00</w:t>
                      </w:r>
                    </w:p>
                    <w:p>
                      <w:pPr>
                        <w:spacing w:line="203"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万元</w:t>
                      </w:r>
                    </w:p>
                  </w:txbxContent>
                </v:textbox>
                <w10:wrap type="none"/>
              </v:shape>
              <v:shape style="position:absolute;left:6512;top:5026;width:667;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2018-9-12</w:t>
                      </w:r>
                      <w:r>
                        <w:rPr>
                          <w:rFonts w:ascii="Times New Roman"/>
                          <w:sz w:val="16"/>
                        </w:rPr>
                      </w:r>
                    </w:p>
                  </w:txbxContent>
                </v:textbox>
                <w10:wrap type="none"/>
              </v:shape>
              <v:shape style="position:absolute;left:7510;top:4908;width:1119;height:369"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债务履行期限届</w:t>
                      </w:r>
                      <w:r>
                        <w:rPr>
                          <w:rFonts w:ascii="宋体" w:hAnsi="宋体" w:cs="宋体" w:eastAsia="宋体" w:hint="default"/>
                          <w:sz w:val="16"/>
                          <w:szCs w:val="16"/>
                        </w:rPr>
                      </w:r>
                    </w:p>
                    <w:p>
                      <w:pPr>
                        <w:spacing w:line="209"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满之日起两年</w:t>
                      </w:r>
                    </w:p>
                  </w:txbxContent>
                </v:textbox>
                <w10:wrap type="none"/>
              </v:shape>
              <v:shape style="position:absolute;left:9132;top:5013;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否</w:t>
                      </w:r>
                      <w:r>
                        <w:rPr>
                          <w:rFonts w:ascii="宋体" w:hAnsi="宋体" w:cs="宋体" w:eastAsia="宋体" w:hint="default"/>
                          <w:sz w:val="16"/>
                          <w:szCs w:val="16"/>
                        </w:rPr>
                      </w:r>
                    </w:p>
                  </w:txbxContent>
                </v:textbox>
                <w10:wrap type="none"/>
              </v:shape>
              <v:shape style="position:absolute;left:10096;top:5410;width:80;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9"/>
                          <w:sz w:val="16"/>
                        </w:rPr>
                        <w:t>6</w:t>
                      </w:r>
                      <w:r>
                        <w:rPr>
                          <w:rFonts w:ascii="Times New Roman"/>
                          <w:sz w:val="16"/>
                        </w:rPr>
                      </w:r>
                    </w:p>
                  </w:txbxContent>
                </v:textbox>
                <w10:wrap type="none"/>
              </v:shape>
              <v:shape style="position:absolute;left:2518;top:5781;width:4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本公司</w:t>
                      </w:r>
                      <w:r>
                        <w:rPr>
                          <w:rFonts w:ascii="宋体" w:hAnsi="宋体" w:cs="宋体" w:eastAsia="宋体" w:hint="default"/>
                          <w:sz w:val="16"/>
                          <w:szCs w:val="16"/>
                        </w:rPr>
                      </w:r>
                    </w:p>
                  </w:txbxContent>
                </v:textbox>
                <w10:wrap type="none"/>
              </v:shape>
              <v:shape style="position:absolute;left:3659;top:5573;width:1134;height:576"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湖南长城信息金</w:t>
                      </w:r>
                    </w:p>
                    <w:p>
                      <w:pPr>
                        <w:spacing w:before="0"/>
                        <w:ind w:left="0" w:right="0" w:firstLine="0"/>
                        <w:jc w:val="left"/>
                        <w:rPr>
                          <w:rFonts w:ascii="宋体" w:hAnsi="宋体" w:cs="宋体" w:eastAsia="宋体" w:hint="default"/>
                          <w:sz w:val="16"/>
                          <w:szCs w:val="16"/>
                        </w:rPr>
                      </w:pPr>
                      <w:r>
                        <w:rPr>
                          <w:rFonts w:ascii="宋体" w:hAnsi="宋体" w:cs="宋体" w:eastAsia="宋体" w:hint="default"/>
                          <w:sz w:val="16"/>
                          <w:szCs w:val="16"/>
                        </w:rPr>
                        <w:t>融设备有限责任</w:t>
                      </w:r>
                      <w:r>
                        <w:rPr>
                          <w:rFonts w:ascii="宋体" w:hAnsi="宋体" w:cs="宋体" w:eastAsia="宋体" w:hint="default"/>
                          <w:spacing w:val="-69"/>
                          <w:sz w:val="16"/>
                          <w:szCs w:val="16"/>
                        </w:rPr>
                        <w:t> </w:t>
                      </w:r>
                      <w:r>
                        <w:rPr>
                          <w:rFonts w:ascii="宋体" w:hAnsi="宋体" w:cs="宋体" w:eastAsia="宋体" w:hint="default"/>
                          <w:sz w:val="16"/>
                          <w:szCs w:val="16"/>
                        </w:rPr>
                        <w:t>公司</w:t>
                      </w:r>
                    </w:p>
                  </w:txbxContent>
                </v:textbox>
                <w10:wrap type="none"/>
              </v:shape>
              <v:shape style="position:absolute;left:5008;top:5678;width:1175;height:368" type="#_x0000_t202" filled="false" stroked="false">
                <v:textbox inset="0,0,0,0">
                  <w:txbxContent>
                    <w:p>
                      <w:pPr>
                        <w:spacing w:line="165" w:lineRule="exact" w:before="0"/>
                        <w:ind w:left="0" w:right="0" w:firstLine="0"/>
                        <w:jc w:val="left"/>
                        <w:rPr>
                          <w:rFonts w:ascii="Times New Roman" w:hAnsi="Times New Roman" w:cs="Times New Roman" w:eastAsia="Times New Roman" w:hint="default"/>
                          <w:sz w:val="16"/>
                          <w:szCs w:val="16"/>
                        </w:rPr>
                      </w:pPr>
                      <w:r>
                        <w:rPr>
                          <w:rFonts w:ascii="宋体" w:hAnsi="宋体" w:cs="宋体" w:eastAsia="宋体" w:hint="default"/>
                          <w:spacing w:val="12"/>
                          <w:sz w:val="16"/>
                          <w:szCs w:val="16"/>
                        </w:rPr>
                        <w:t>不超过</w:t>
                      </w:r>
                      <w:r>
                        <w:rPr>
                          <w:rFonts w:ascii="宋体" w:hAnsi="宋体" w:cs="宋体" w:eastAsia="宋体" w:hint="default"/>
                          <w:spacing w:val="13"/>
                          <w:sz w:val="16"/>
                          <w:szCs w:val="16"/>
                        </w:rPr>
                        <w:t> </w:t>
                      </w:r>
                      <w:r>
                        <w:rPr>
                          <w:rFonts w:ascii="Times New Roman" w:hAnsi="Times New Roman" w:cs="Times New Roman" w:eastAsia="Times New Roman" w:hint="default"/>
                          <w:sz w:val="16"/>
                          <w:szCs w:val="16"/>
                        </w:rPr>
                        <w:t>8,000.00</w:t>
                      </w:r>
                    </w:p>
                    <w:p>
                      <w:pPr>
                        <w:spacing w:line="202"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万元</w:t>
                      </w:r>
                    </w:p>
                  </w:txbxContent>
                </v:textbox>
                <w10:wrap type="none"/>
              </v:shape>
              <v:shape style="position:absolute;left:6512;top:5794;width:667;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2018-7-16</w:t>
                      </w:r>
                      <w:r>
                        <w:rPr>
                          <w:rFonts w:ascii="Times New Roman"/>
                          <w:sz w:val="16"/>
                        </w:rPr>
                      </w:r>
                    </w:p>
                  </w:txbxContent>
                </v:textbox>
                <w10:wrap type="none"/>
              </v:shape>
              <v:shape style="position:absolute;left:7510;top:5677;width:1119;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债务履行到期日</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另加一年</w:t>
                      </w:r>
                    </w:p>
                  </w:txbxContent>
                </v:textbox>
                <w10:wrap type="none"/>
              </v:shape>
              <v:shape style="position:absolute;left:9132;top:5781;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否</w:t>
                      </w:r>
                      <w:r>
                        <w:rPr>
                          <w:rFonts w:ascii="宋体" w:hAnsi="宋体" w:cs="宋体" w:eastAsia="宋体" w:hint="default"/>
                          <w:sz w:val="16"/>
                          <w:szCs w:val="16"/>
                        </w:rPr>
                      </w:r>
                    </w:p>
                  </w:txbxContent>
                </v:textbox>
                <w10:wrap type="none"/>
              </v:shape>
              <v:shape style="position:absolute;left:2518;top:6446;width:4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本公司</w:t>
                      </w:r>
                      <w:r>
                        <w:rPr>
                          <w:rFonts w:ascii="宋体" w:hAnsi="宋体" w:cs="宋体" w:eastAsia="宋体" w:hint="default"/>
                          <w:sz w:val="16"/>
                          <w:szCs w:val="16"/>
                        </w:rPr>
                      </w:r>
                    </w:p>
                  </w:txbxContent>
                </v:textbox>
                <w10:wrap type="none"/>
              </v:shape>
              <v:shape style="position:absolute;left:3659;top:6342;width:1134;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中国电子财务有</w:t>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限责任公司</w:t>
                      </w:r>
                    </w:p>
                  </w:txbxContent>
                </v:textbox>
                <w10:wrap type="none"/>
              </v:shape>
              <v:shape style="position:absolute;left:5008;top:6446;width:995;height:169" type="#_x0000_t202" filled="false" stroked="false">
                <v:textbox inset="0,0,0,0">
                  <w:txbxContent>
                    <w:p>
                      <w:pPr>
                        <w:spacing w:line="168" w:lineRule="exact" w:before="0"/>
                        <w:ind w:left="0" w:right="0" w:firstLine="0"/>
                        <w:jc w:val="left"/>
                        <w:rPr>
                          <w:rFonts w:ascii="宋体" w:hAnsi="宋体" w:cs="宋体" w:eastAsia="宋体" w:hint="default"/>
                          <w:sz w:val="16"/>
                          <w:szCs w:val="16"/>
                        </w:rPr>
                      </w:pPr>
                      <w:r>
                        <w:rPr>
                          <w:rFonts w:ascii="Times New Roman" w:hAnsi="Times New Roman" w:cs="Times New Roman" w:eastAsia="Times New Roman" w:hint="default"/>
                          <w:sz w:val="16"/>
                          <w:szCs w:val="16"/>
                        </w:rPr>
                        <w:t>11,200.00</w:t>
                      </w:r>
                      <w:r>
                        <w:rPr>
                          <w:rFonts w:ascii="Times New Roman" w:hAnsi="Times New Roman" w:cs="Times New Roman" w:eastAsia="Times New Roman" w:hint="default"/>
                          <w:spacing w:val="-11"/>
                          <w:sz w:val="16"/>
                          <w:szCs w:val="16"/>
                        </w:rPr>
                        <w:t> </w:t>
                      </w:r>
                      <w:r>
                        <w:rPr>
                          <w:rFonts w:ascii="宋体" w:hAnsi="宋体" w:cs="宋体" w:eastAsia="宋体" w:hint="default"/>
                          <w:sz w:val="16"/>
                          <w:szCs w:val="16"/>
                        </w:rPr>
                        <w:t>万元</w:t>
                      </w:r>
                    </w:p>
                  </w:txbxContent>
                </v:textbox>
                <w10:wrap type="none"/>
              </v:shape>
              <v:shape style="position:absolute;left:6512;top:6459;width:667;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2018-2-12</w:t>
                      </w:r>
                      <w:r>
                        <w:rPr>
                          <w:rFonts w:ascii="Times New Roman"/>
                          <w:sz w:val="16"/>
                        </w:rPr>
                      </w:r>
                    </w:p>
                  </w:txbxContent>
                </v:textbox>
                <w10:wrap type="none"/>
              </v:shape>
              <v:shape style="position:absolute;left:7510;top:6459;width:667;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2028-2-12</w:t>
                      </w:r>
                      <w:r>
                        <w:rPr>
                          <w:rFonts w:ascii="Times New Roman"/>
                          <w:sz w:val="16"/>
                        </w:rPr>
                      </w:r>
                    </w:p>
                  </w:txbxContent>
                </v:textbox>
                <w10:wrap type="none"/>
              </v:shape>
              <v:shape style="position:absolute;left:9132;top:6446;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否</w:t>
                      </w:r>
                      <w:r>
                        <w:rPr>
                          <w:rFonts w:ascii="宋体" w:hAnsi="宋体" w:cs="宋体" w:eastAsia="宋体" w:hint="default"/>
                          <w:sz w:val="16"/>
                          <w:szCs w:val="16"/>
                        </w:rPr>
                      </w:r>
                    </w:p>
                  </w:txbxContent>
                </v:textbox>
                <w10:wrap type="none"/>
              </v:shape>
              <v:shape style="position:absolute;left:10096;top:6719;width:80;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9"/>
                          <w:sz w:val="16"/>
                        </w:rPr>
                        <w:t>7</w:t>
                      </w:r>
                      <w:r>
                        <w:rPr>
                          <w:rFonts w:ascii="Times New Roman"/>
                          <w:sz w:val="16"/>
                        </w:rPr>
                      </w:r>
                    </w:p>
                  </w:txbxContent>
                </v:textbox>
                <w10:wrap type="none"/>
              </v:shape>
              <v:shape style="position:absolute;left:2518;top:6903;width:926;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spacing w:val="15"/>
                          <w:sz w:val="16"/>
                          <w:szCs w:val="16"/>
                        </w:rPr>
                        <w:t>中国</w:t>
                      </w:r>
                      <w:r>
                        <w:rPr>
                          <w:rFonts w:ascii="宋体" w:hAnsi="宋体" w:cs="宋体" w:eastAsia="宋体" w:hint="default"/>
                          <w:spacing w:val="-48"/>
                          <w:sz w:val="16"/>
                          <w:szCs w:val="16"/>
                        </w:rPr>
                        <w:t> </w:t>
                      </w:r>
                      <w:r>
                        <w:rPr>
                          <w:rFonts w:ascii="宋体" w:hAnsi="宋体" w:cs="宋体" w:eastAsia="宋体" w:hint="default"/>
                          <w:spacing w:val="15"/>
                          <w:sz w:val="16"/>
                          <w:szCs w:val="16"/>
                        </w:rPr>
                        <w:t>电子</w:t>
                      </w:r>
                      <w:r>
                        <w:rPr>
                          <w:rFonts w:ascii="宋体" w:hAnsi="宋体" w:cs="宋体" w:eastAsia="宋体" w:hint="default"/>
                          <w:spacing w:val="-48"/>
                          <w:sz w:val="16"/>
                          <w:szCs w:val="16"/>
                        </w:rPr>
                        <w:t> </w:t>
                      </w:r>
                      <w:r>
                        <w:rPr>
                          <w:rFonts w:ascii="宋体" w:hAnsi="宋体" w:cs="宋体" w:eastAsia="宋体" w:hint="default"/>
                          <w:sz w:val="16"/>
                          <w:szCs w:val="16"/>
                        </w:rPr>
                        <w:t>财</w:t>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pacing w:val="15"/>
                          <w:sz w:val="16"/>
                          <w:szCs w:val="16"/>
                        </w:rPr>
                        <w:t>务有</w:t>
                      </w:r>
                      <w:r>
                        <w:rPr>
                          <w:rFonts w:ascii="宋体" w:hAnsi="宋体" w:cs="宋体" w:eastAsia="宋体" w:hint="default"/>
                          <w:spacing w:val="-48"/>
                          <w:sz w:val="16"/>
                          <w:szCs w:val="16"/>
                        </w:rPr>
                        <w:t> </w:t>
                      </w:r>
                      <w:r>
                        <w:rPr>
                          <w:rFonts w:ascii="宋体" w:hAnsi="宋体" w:cs="宋体" w:eastAsia="宋体" w:hint="default"/>
                          <w:spacing w:val="15"/>
                          <w:sz w:val="16"/>
                          <w:szCs w:val="16"/>
                        </w:rPr>
                        <w:t>限责</w:t>
                      </w:r>
                      <w:r>
                        <w:rPr>
                          <w:rFonts w:ascii="宋体" w:hAnsi="宋体" w:cs="宋体" w:eastAsia="宋体" w:hint="default"/>
                          <w:spacing w:val="-48"/>
                          <w:sz w:val="16"/>
                          <w:szCs w:val="16"/>
                        </w:rPr>
                        <w:t> </w:t>
                      </w:r>
                      <w:r>
                        <w:rPr>
                          <w:rFonts w:ascii="宋体" w:hAnsi="宋体" w:cs="宋体" w:eastAsia="宋体" w:hint="default"/>
                          <w:sz w:val="16"/>
                          <w:szCs w:val="16"/>
                        </w:rPr>
                        <w:t>任</w:t>
                      </w:r>
                    </w:p>
                  </w:txbxContent>
                </v:textbox>
                <w10:wrap type="none"/>
              </v:shape>
              <v:shape style="position:absolute;left:3659;top:6987;width:4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本公司</w:t>
                      </w:r>
                      <w:r>
                        <w:rPr>
                          <w:rFonts w:ascii="宋体" w:hAnsi="宋体" w:cs="宋体" w:eastAsia="宋体" w:hint="default"/>
                          <w:sz w:val="16"/>
                          <w:szCs w:val="16"/>
                        </w:rPr>
                      </w:r>
                    </w:p>
                  </w:txbxContent>
                </v:textbox>
                <w10:wrap type="none"/>
              </v:shape>
              <v:shape style="position:absolute;left:5008;top:6987;width:995;height:169" type="#_x0000_t202" filled="false" stroked="false">
                <v:textbox inset="0,0,0,0">
                  <w:txbxContent>
                    <w:p>
                      <w:pPr>
                        <w:spacing w:line="168" w:lineRule="exact" w:before="0"/>
                        <w:ind w:left="0" w:right="0" w:firstLine="0"/>
                        <w:jc w:val="left"/>
                        <w:rPr>
                          <w:rFonts w:ascii="宋体" w:hAnsi="宋体" w:cs="宋体" w:eastAsia="宋体" w:hint="default"/>
                          <w:sz w:val="16"/>
                          <w:szCs w:val="16"/>
                        </w:rPr>
                      </w:pPr>
                      <w:r>
                        <w:rPr>
                          <w:rFonts w:ascii="Times New Roman" w:hAnsi="Times New Roman" w:cs="Times New Roman" w:eastAsia="Times New Roman" w:hint="default"/>
                          <w:sz w:val="16"/>
                          <w:szCs w:val="16"/>
                        </w:rPr>
                        <w:t>11,200.00</w:t>
                      </w:r>
                      <w:r>
                        <w:rPr>
                          <w:rFonts w:ascii="Times New Roman" w:hAnsi="Times New Roman" w:cs="Times New Roman" w:eastAsia="Times New Roman" w:hint="default"/>
                          <w:spacing w:val="-11"/>
                          <w:sz w:val="16"/>
                          <w:szCs w:val="16"/>
                        </w:rPr>
                        <w:t> </w:t>
                      </w:r>
                      <w:r>
                        <w:rPr>
                          <w:rFonts w:ascii="宋体" w:hAnsi="宋体" w:cs="宋体" w:eastAsia="宋体" w:hint="default"/>
                          <w:sz w:val="16"/>
                          <w:szCs w:val="16"/>
                        </w:rPr>
                        <w:t>万元</w:t>
                      </w:r>
                    </w:p>
                  </w:txbxContent>
                </v:textbox>
                <w10:wrap type="none"/>
              </v:shape>
              <v:shape style="position:absolute;left:6512;top:7000;width:667;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2018-2-12</w:t>
                      </w:r>
                      <w:r>
                        <w:rPr>
                          <w:rFonts w:ascii="Times New Roman"/>
                          <w:sz w:val="16"/>
                        </w:rPr>
                      </w:r>
                    </w:p>
                  </w:txbxContent>
                </v:textbox>
                <w10:wrap type="none"/>
              </v:shape>
              <v:shape style="position:absolute;left:7510;top:7000;width:667;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2028-2-12</w:t>
                      </w:r>
                      <w:r>
                        <w:rPr>
                          <w:rFonts w:ascii="Times New Roman"/>
                          <w:sz w:val="16"/>
                        </w:rPr>
                      </w:r>
                    </w:p>
                  </w:txbxContent>
                </v:textbox>
                <w10:wrap type="none"/>
              </v:shape>
              <v:shape style="position:absolute;left:9132;top:6987;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否</w:t>
                      </w:r>
                      <w:r>
                        <w:rPr>
                          <w:rFonts w:ascii="宋体" w:hAnsi="宋体" w:cs="宋体" w:eastAsia="宋体" w:hint="default"/>
                          <w:sz w:val="16"/>
                          <w:szCs w:val="16"/>
                        </w:rPr>
                      </w:r>
                    </w:p>
                  </w:txbxContent>
                </v:textbox>
                <w10:wrap type="none"/>
              </v:shape>
            </v:group>
            <w10:wrap type="none"/>
          </v:group>
        </w:pict>
      </w:r>
      <w:r>
        <w:rPr>
          <w:rFonts w:ascii="Times New Roman" w:hAnsi="Times New Roman" w:cs="Times New Roman" w:eastAsia="Times New Roman" w:hint="default"/>
          <w:w w:val="95"/>
        </w:rPr>
        <w:t>4</w:t>
      </w:r>
      <w:r>
        <w:rPr>
          <w:w w:val="95"/>
        </w:rPr>
        <w:t>、</w:t>
        <w:tab/>
      </w:r>
      <w:r>
        <w:rPr/>
        <w:t>关联担保情况</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9"/>
          <w:szCs w:val="29"/>
        </w:rPr>
      </w:pPr>
    </w:p>
    <w:tbl>
      <w:tblPr>
        <w:tblW w:w="0" w:type="auto"/>
        <w:jc w:val="left"/>
        <w:tblInd w:w="7436" w:type="dxa"/>
        <w:tblLayout w:type="fixed"/>
        <w:tblCellMar>
          <w:top w:w="0" w:type="dxa"/>
          <w:left w:w="0" w:type="dxa"/>
          <w:bottom w:w="0" w:type="dxa"/>
          <w:right w:w="0" w:type="dxa"/>
        </w:tblCellMar>
        <w:tblLook w:val="01E0"/>
      </w:tblPr>
      <w:tblGrid>
        <w:gridCol w:w="597"/>
        <w:gridCol w:w="517"/>
      </w:tblGrid>
      <w:tr>
        <w:trPr>
          <w:trHeight w:val="468" w:hRule="exact"/>
        </w:trPr>
        <w:tc>
          <w:tcPr>
            <w:tcW w:w="597"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5" w:right="0"/>
              <w:jc w:val="left"/>
              <w:rPr>
                <w:rFonts w:ascii="宋体" w:hAnsi="宋体" w:cs="宋体" w:eastAsia="宋体" w:hint="default"/>
                <w:sz w:val="16"/>
                <w:szCs w:val="16"/>
              </w:rPr>
            </w:pPr>
            <w:r>
              <w:rPr>
                <w:rFonts w:ascii="宋体" w:hAnsi="宋体" w:cs="宋体" w:eastAsia="宋体" w:hint="default"/>
                <w:w w:val="99"/>
                <w:sz w:val="16"/>
                <w:szCs w:val="16"/>
              </w:rPr>
              <w:t>否</w:t>
            </w:r>
            <w:r>
              <w:rPr>
                <w:rFonts w:ascii="宋体" w:hAnsi="宋体" w:cs="宋体" w:eastAsia="宋体" w:hint="default"/>
                <w:sz w:val="16"/>
                <w:szCs w:val="16"/>
              </w:rPr>
            </w:r>
          </w:p>
        </w:tc>
        <w:tc>
          <w:tcPr>
            <w:tcW w:w="517"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34"/>
              <w:jc w:val="right"/>
              <w:rPr>
                <w:rFonts w:ascii="Times New Roman" w:hAnsi="Times New Roman" w:cs="Times New Roman" w:eastAsia="Times New Roman" w:hint="default"/>
                <w:sz w:val="16"/>
                <w:szCs w:val="16"/>
              </w:rPr>
            </w:pPr>
            <w:r>
              <w:rPr>
                <w:rFonts w:ascii="Times New Roman"/>
                <w:w w:val="99"/>
                <w:sz w:val="16"/>
              </w:rPr>
              <w:t>1</w:t>
            </w:r>
            <w:r>
              <w:rPr>
                <w:rFonts w:ascii="Times New Roman"/>
                <w:sz w:val="16"/>
              </w:rPr>
            </w:r>
          </w:p>
        </w:tc>
      </w:tr>
      <w:tr>
        <w:trPr>
          <w:trHeight w:val="560" w:hRule="exact"/>
        </w:trPr>
        <w:tc>
          <w:tcPr>
            <w:tcW w:w="597" w:type="dxa"/>
            <w:tcBorders>
              <w:top w:val="nil" w:sz="6" w:space="0" w:color="auto"/>
              <w:left w:val="nil" w:sz="6" w:space="0" w:color="auto"/>
              <w:bottom w:val="nil" w:sz="6" w:space="0" w:color="auto"/>
              <w:right w:val="nil" w:sz="6" w:space="0" w:color="auto"/>
            </w:tcBorders>
          </w:tcPr>
          <w:p>
            <w:pPr>
              <w:pStyle w:val="TableParagraph"/>
              <w:spacing w:line="240" w:lineRule="auto" w:before="144"/>
              <w:ind w:left="35" w:right="0"/>
              <w:jc w:val="left"/>
              <w:rPr>
                <w:rFonts w:ascii="宋体" w:hAnsi="宋体" w:cs="宋体" w:eastAsia="宋体" w:hint="default"/>
                <w:sz w:val="16"/>
                <w:szCs w:val="16"/>
              </w:rPr>
            </w:pPr>
            <w:r>
              <w:rPr>
                <w:rFonts w:ascii="宋体" w:hAnsi="宋体" w:cs="宋体" w:eastAsia="宋体" w:hint="default"/>
                <w:w w:val="99"/>
                <w:sz w:val="16"/>
                <w:szCs w:val="16"/>
              </w:rPr>
              <w:t>否</w:t>
            </w:r>
            <w:r>
              <w:rPr>
                <w:rFonts w:ascii="宋体" w:hAnsi="宋体" w:cs="宋体" w:eastAsia="宋体" w:hint="default"/>
                <w:sz w:val="16"/>
                <w:szCs w:val="16"/>
              </w:rPr>
            </w:r>
          </w:p>
        </w:tc>
        <w:tc>
          <w:tcPr>
            <w:tcW w:w="51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right="33"/>
              <w:jc w:val="right"/>
              <w:rPr>
                <w:rFonts w:ascii="Times New Roman" w:hAnsi="Times New Roman" w:cs="Times New Roman" w:eastAsia="Times New Roman" w:hint="default"/>
                <w:sz w:val="16"/>
                <w:szCs w:val="16"/>
              </w:rPr>
            </w:pPr>
            <w:r>
              <w:rPr>
                <w:rFonts w:ascii="Times New Roman"/>
                <w:w w:val="99"/>
                <w:sz w:val="16"/>
              </w:rPr>
              <w:t>2</w:t>
            </w:r>
            <w:r>
              <w:rPr>
                <w:rFonts w:ascii="Times New Roman"/>
                <w:sz w:val="16"/>
              </w:rPr>
            </w:r>
          </w:p>
        </w:tc>
      </w:tr>
      <w:tr>
        <w:trPr>
          <w:trHeight w:val="368" w:hRule="exact"/>
        </w:trPr>
        <w:tc>
          <w:tcPr>
            <w:tcW w:w="597" w:type="dxa"/>
            <w:tcBorders>
              <w:top w:val="nil" w:sz="6" w:space="0" w:color="auto"/>
              <w:left w:val="nil" w:sz="6" w:space="0" w:color="auto"/>
              <w:bottom w:val="nil" w:sz="6" w:space="0" w:color="auto"/>
              <w:right w:val="nil" w:sz="6" w:space="0" w:color="auto"/>
            </w:tcBorders>
          </w:tcPr>
          <w:p>
            <w:pPr>
              <w:pStyle w:val="TableParagraph"/>
              <w:spacing w:line="240" w:lineRule="auto" w:before="144"/>
              <w:ind w:left="35" w:right="0"/>
              <w:jc w:val="left"/>
              <w:rPr>
                <w:rFonts w:ascii="宋体" w:hAnsi="宋体" w:cs="宋体" w:eastAsia="宋体" w:hint="default"/>
                <w:sz w:val="16"/>
                <w:szCs w:val="16"/>
              </w:rPr>
            </w:pPr>
            <w:r>
              <w:rPr>
                <w:rFonts w:ascii="宋体" w:hAnsi="宋体" w:cs="宋体" w:eastAsia="宋体" w:hint="default"/>
                <w:w w:val="99"/>
                <w:sz w:val="16"/>
                <w:szCs w:val="16"/>
              </w:rPr>
              <w:t>否</w:t>
            </w:r>
            <w:r>
              <w:rPr>
                <w:rFonts w:ascii="宋体" w:hAnsi="宋体" w:cs="宋体" w:eastAsia="宋体" w:hint="default"/>
                <w:sz w:val="16"/>
                <w:szCs w:val="16"/>
              </w:rPr>
            </w:r>
          </w:p>
        </w:tc>
        <w:tc>
          <w:tcPr>
            <w:tcW w:w="51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right="33"/>
              <w:jc w:val="right"/>
              <w:rPr>
                <w:rFonts w:ascii="Times New Roman" w:hAnsi="Times New Roman" w:cs="Times New Roman" w:eastAsia="Times New Roman" w:hint="default"/>
                <w:sz w:val="16"/>
                <w:szCs w:val="16"/>
              </w:rPr>
            </w:pPr>
            <w:r>
              <w:rPr>
                <w:rFonts w:ascii="Times New Roman"/>
                <w:w w:val="99"/>
                <w:sz w:val="16"/>
              </w:rPr>
              <w:t>3</w:t>
            </w:r>
            <w:r>
              <w:rPr>
                <w:rFonts w:ascii="Times New Roman"/>
                <w:sz w:val="16"/>
              </w:rPr>
            </w:r>
          </w:p>
        </w:tc>
      </w:tr>
    </w:tbl>
    <w:p>
      <w:pPr>
        <w:spacing w:after="0" w:line="240" w:lineRule="auto"/>
        <w:jc w:val="right"/>
        <w:rPr>
          <w:rFonts w:ascii="Times New Roman" w:hAnsi="Times New Roman" w:cs="Times New Roman" w:eastAsia="Times New Roman" w:hint="default"/>
          <w:sz w:val="16"/>
          <w:szCs w:val="16"/>
        </w:rPr>
        <w:sectPr>
          <w:pgSz w:w="11910" w:h="16840"/>
          <w:pgMar w:header="0" w:footer="1001" w:top="1520" w:bottom="1200" w:left="1660" w:right="0"/>
        </w:sectPr>
      </w:pPr>
    </w:p>
    <w:p>
      <w:pPr>
        <w:spacing w:line="240" w:lineRule="auto" w:before="2"/>
        <w:rPr>
          <w:rFonts w:ascii="宋体" w:hAnsi="宋体" w:cs="宋体" w:eastAsia="宋体" w:hint="default"/>
          <w:b/>
          <w:bCs/>
          <w:sz w:val="9"/>
          <w:szCs w:val="9"/>
        </w:rPr>
      </w:pPr>
    </w:p>
    <w:p>
      <w:pPr>
        <w:spacing w:line="5010" w:lineRule="exact"/>
        <w:ind w:left="720" w:right="0" w:firstLine="0"/>
        <w:rPr>
          <w:rFonts w:ascii="宋体" w:hAnsi="宋体" w:cs="宋体" w:eastAsia="宋体" w:hint="default"/>
          <w:sz w:val="20"/>
          <w:szCs w:val="20"/>
        </w:rPr>
      </w:pPr>
      <w:r>
        <w:rPr>
          <w:rFonts w:ascii="宋体" w:hAnsi="宋体" w:cs="宋体" w:eastAsia="宋体" w:hint="default"/>
          <w:position w:val="-99"/>
          <w:sz w:val="20"/>
          <w:szCs w:val="20"/>
        </w:rPr>
        <w:pict>
          <v:group style="width:412pt;height:250.5pt;mso-position-horizontal-relative:char;mso-position-vertical-relative:line" coordorigin="0,0" coordsize="8240,5010">
            <v:group style="position:absolute;left:29;top:15;width:1138;height:2" coordorigin="29,15" coordsize="1138,2">
              <v:shape style="position:absolute;left:29;top:15;width:1138;height:2" coordorigin="29,15" coordsize="1138,0" path="m29,15l1167,15e" filled="false" stroked="true" strokeweight="1.5pt" strokecolor="#000000">
                <v:path arrowok="t"/>
              </v:shape>
              <v:shape style="position:absolute;left:1167;top:30;width:10;height:28" type="#_x0000_t75" stroked="false">
                <v:imagedata r:id="rId37" o:title=""/>
              </v:shape>
            </v:group>
            <v:group style="position:absolute;left:1167;top:15;width:1348;height:2" coordorigin="1167,15" coordsize="1348,2">
              <v:shape style="position:absolute;left:1167;top:15;width:1348;height:2" coordorigin="1167,15" coordsize="1348,0" path="m1167,15l2515,15e" filled="false" stroked="true" strokeweight="1.5pt" strokecolor="#000000">
                <v:path arrowok="t"/>
              </v:shape>
              <v:shape style="position:absolute;left:2515;top:30;width:10;height:28" type="#_x0000_t75" stroked="false">
                <v:imagedata r:id="rId37" o:title=""/>
              </v:shape>
            </v:group>
            <v:group style="position:absolute;left:2515;top:15;width:1390;height:2" coordorigin="2515,15" coordsize="1390,2">
              <v:shape style="position:absolute;left:2515;top:15;width:1390;height:2" coordorigin="2515,15" coordsize="1390,0" path="m2515,15l3904,15e" filled="false" stroked="true" strokeweight="1.5pt" strokecolor="#000000">
                <v:path arrowok="t"/>
              </v:shape>
              <v:shape style="position:absolute;left:3904;top:30;width:10;height:28" type="#_x0000_t75" stroked="false">
                <v:imagedata r:id="rId37" o:title=""/>
              </v:shape>
            </v:group>
            <v:group style="position:absolute;left:3904;top:15;width:1114;height:2" coordorigin="3904,15" coordsize="1114,2">
              <v:shape style="position:absolute;left:3904;top:15;width:1114;height:2" coordorigin="3904,15" coordsize="1114,0" path="m3904,15l5018,15e" filled="false" stroked="true" strokeweight="1.5pt" strokecolor="#000000">
                <v:path arrowok="t"/>
              </v:shape>
              <v:shape style="position:absolute;left:5018;top:30;width:10;height:28" type="#_x0000_t75" stroked="false">
                <v:imagedata r:id="rId37" o:title=""/>
              </v:shape>
            </v:group>
            <v:group style="position:absolute;left:5018;top:15;width:30;height:2" coordorigin="5018,15" coordsize="30,2">
              <v:shape style="position:absolute;left:5018;top:15;width:30;height:2" coordorigin="5018,15" coordsize="30,0" path="m5018,15l5048,15e" filled="false" stroked="true" strokeweight="1.5pt" strokecolor="#000000">
                <v:path arrowok="t"/>
              </v:shape>
            </v:group>
            <v:group style="position:absolute;left:5048;top:15;width:1319;height:2" coordorigin="5048,15" coordsize="1319,2">
              <v:shape style="position:absolute;left:5048;top:15;width:1319;height:2" coordorigin="5048,15" coordsize="1319,0" path="m5048,15l6367,15e" filled="false" stroked="true" strokeweight="1.5pt" strokecolor="#000000">
                <v:path arrowok="t"/>
              </v:shape>
              <v:shape style="position:absolute;left:6367;top:30;width:10;height:28" type="#_x0000_t75" stroked="false">
                <v:imagedata r:id="rId37" o:title=""/>
              </v:shape>
            </v:group>
            <v:group style="position:absolute;left:6367;top:15;width:923;height:2" coordorigin="6367,15" coordsize="923,2">
              <v:shape style="position:absolute;left:6367;top:15;width:923;height:2" coordorigin="6367,15" coordsize="923,0" path="m6367,15l7289,15e" filled="false" stroked="true" strokeweight="1.5pt" strokecolor="#000000">
                <v:path arrowok="t"/>
              </v:shape>
              <v:shape style="position:absolute;left:7289;top:30;width:10;height:28" type="#_x0000_t75" stroked="false">
                <v:imagedata r:id="rId37" o:title=""/>
              </v:shape>
            </v:group>
            <v:group style="position:absolute;left:7289;top:15;width:928;height:2" coordorigin="7289,15" coordsize="928,2">
              <v:shape style="position:absolute;left:7289;top:15;width:928;height:2" coordorigin="7289,15" coordsize="928,0" path="m7289,15l8217,15e" filled="false" stroked="true" strokeweight="1.5pt" strokecolor="#000000">
                <v:path arrowok="t"/>
              </v:shape>
              <v:shape style="position:absolute;left:1148;top:38;width:6170;height:770" type="#_x0000_t75" stroked="false">
                <v:imagedata r:id="rId435" o:title=""/>
              </v:shape>
            </v:group>
            <v:group style="position:absolute;left:15;top:4995;width:1152;height:2" coordorigin="15,4995" coordsize="1152,2">
              <v:shape style="position:absolute;left:15;top:4995;width:1152;height:2" coordorigin="15,4995" coordsize="1152,0" path="m15,4995l1167,4995e" filled="false" stroked="true" strokeweight="1.5pt" strokecolor="#000000">
                <v:path arrowok="t"/>
              </v:shape>
              <v:shape style="position:absolute;left:10;top:770;width:8230;height:4229" type="#_x0000_t75" stroked="false">
                <v:imagedata r:id="rId436" o:title=""/>
              </v:shape>
            </v:group>
            <v:group style="position:absolute;left:1167;top:4995;width:1348;height:2" coordorigin="1167,4995" coordsize="1348,2">
              <v:shape style="position:absolute;left:1167;top:4995;width:1348;height:2" coordorigin="1167,4995" coordsize="1348,0" path="m1167,4995l2515,4995e" filled="false" stroked="true" strokeweight="1.5pt" strokecolor="#000000">
                <v:path arrowok="t"/>
              </v:shape>
              <v:shape style="position:absolute;left:2495;top:4231;width:48;height:768" type="#_x0000_t75" stroked="false">
                <v:imagedata r:id="rId437" o:title=""/>
              </v:shape>
            </v:group>
            <v:group style="position:absolute;left:2515;top:4995;width:1390;height:2" coordorigin="2515,4995" coordsize="1390,2">
              <v:shape style="position:absolute;left:2515;top:4995;width:1390;height:2" coordorigin="2515,4995" coordsize="1390,0" path="m2515,4995l3904,4995e" filled="false" stroked="true" strokeweight="1.5pt" strokecolor="#000000">
                <v:path arrowok="t"/>
              </v:shape>
              <v:shape style="position:absolute;left:3885;top:4231;width:48;height:768" type="#_x0000_t75" stroked="false">
                <v:imagedata r:id="rId437" o:title=""/>
              </v:shape>
            </v:group>
            <v:group style="position:absolute;left:3904;top:4995;width:1114;height:2" coordorigin="3904,4995" coordsize="1114,2">
              <v:shape style="position:absolute;left:3904;top:4995;width:1114;height:2" coordorigin="3904,4995" coordsize="1114,0" path="m3904,4995l5018,4995e" filled="false" stroked="true" strokeweight="1.5pt" strokecolor="#000000">
                <v:path arrowok="t"/>
              </v:shape>
              <v:shape style="position:absolute;left:4999;top:4231;width:48;height:768" type="#_x0000_t75" stroked="false">
                <v:imagedata r:id="rId437" o:title=""/>
              </v:shape>
            </v:group>
            <v:group style="position:absolute;left:5018;top:4995;width:30;height:2" coordorigin="5018,4995" coordsize="30,2">
              <v:shape style="position:absolute;left:5018;top:4995;width:30;height:2" coordorigin="5018,4995" coordsize="30,0" path="m5018,4995l5048,4995e" filled="false" stroked="true" strokeweight="1.5pt" strokecolor="#000000">
                <v:path arrowok="t"/>
              </v:shape>
            </v:group>
            <v:group style="position:absolute;left:5048;top:4995;width:1319;height:2" coordorigin="5048,4995" coordsize="1319,2">
              <v:shape style="position:absolute;left:5048;top:4995;width:1319;height:2" coordorigin="5048,4995" coordsize="1319,0" path="m5048,4995l6367,4995e" filled="false" stroked="true" strokeweight="1.5pt" strokecolor="#000000">
                <v:path arrowok="t"/>
              </v:shape>
              <v:shape style="position:absolute;left:6347;top:4231;width:48;height:768" type="#_x0000_t75" stroked="false">
                <v:imagedata r:id="rId437" o:title=""/>
              </v:shape>
            </v:group>
            <v:group style="position:absolute;left:6367;top:4995;width:923;height:2" coordorigin="6367,4995" coordsize="923,2">
              <v:shape style="position:absolute;left:6367;top:4995;width:923;height:2" coordorigin="6367,4995" coordsize="923,0" path="m6367,4995l7289,4995e" filled="false" stroked="true" strokeweight="1.5pt" strokecolor="#000000">
                <v:path arrowok="t"/>
              </v:shape>
              <v:shape style="position:absolute;left:7270;top:4231;width:48;height:768" type="#_x0000_t75" stroked="false">
                <v:imagedata r:id="rId437" o:title=""/>
              </v:shape>
            </v:group>
            <v:group style="position:absolute;left:7289;top:4995;width:928;height:2" coordorigin="7289,4995" coordsize="928,2">
              <v:shape style="position:absolute;left:7289;top:4995;width:928;height:2" coordorigin="7289,4995" coordsize="928,0" path="m7289,4995l8217,4995e" filled="false" stroked="true" strokeweight="1.5pt" strokecolor="#000000">
                <v:path arrowok="t"/>
              </v:shape>
              <v:shape style="position:absolute;left:361;top:330;width:4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担保方</w:t>
                      </w:r>
                      <w:r>
                        <w:rPr>
                          <w:rFonts w:ascii="宋体" w:hAnsi="宋体" w:cs="宋体" w:eastAsia="宋体" w:hint="default"/>
                          <w:sz w:val="16"/>
                          <w:szCs w:val="16"/>
                        </w:rPr>
                      </w:r>
                    </w:p>
                  </w:txbxContent>
                </v:textbox>
                <w10:wrap type="none"/>
              </v:shape>
              <v:shape style="position:absolute;left:1525;top:330;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被担保方</w:t>
                      </w:r>
                      <w:r>
                        <w:rPr>
                          <w:rFonts w:ascii="宋体" w:hAnsi="宋体" w:cs="宋体" w:eastAsia="宋体" w:hint="default"/>
                          <w:sz w:val="16"/>
                          <w:szCs w:val="16"/>
                        </w:rPr>
                      </w:r>
                    </w:p>
                  </w:txbxContent>
                </v:textbox>
                <w10:wrap type="none"/>
              </v:shape>
              <v:shape style="position:absolute;left:2894;top:330;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担保金额</w:t>
                      </w:r>
                      <w:r>
                        <w:rPr>
                          <w:rFonts w:ascii="宋体" w:hAnsi="宋体" w:cs="宋体" w:eastAsia="宋体" w:hint="default"/>
                          <w:sz w:val="16"/>
                          <w:szCs w:val="16"/>
                        </w:rPr>
                      </w:r>
                    </w:p>
                  </w:txbxContent>
                </v:textbox>
                <w10:wrap type="none"/>
              </v:shape>
              <v:shape style="position:absolute;left:4065;top:330;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担保起始日</w:t>
                      </w:r>
                      <w:r>
                        <w:rPr>
                          <w:rFonts w:ascii="宋体" w:hAnsi="宋体" w:cs="宋体" w:eastAsia="宋体" w:hint="default"/>
                          <w:sz w:val="16"/>
                          <w:szCs w:val="16"/>
                        </w:rPr>
                      </w:r>
                    </w:p>
                  </w:txbxContent>
                </v:textbox>
                <w10:wrap type="none"/>
              </v:shape>
              <v:shape style="position:absolute;left:5295;top:330;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担保到期日</w:t>
                      </w:r>
                      <w:r>
                        <w:rPr>
                          <w:rFonts w:ascii="宋体" w:hAnsi="宋体" w:cs="宋体" w:eastAsia="宋体" w:hint="default"/>
                          <w:sz w:val="16"/>
                          <w:szCs w:val="16"/>
                        </w:rPr>
                      </w:r>
                    </w:p>
                  </w:txbxContent>
                </v:textbox>
                <w10:wrap type="none"/>
              </v:shape>
              <v:shape style="position:absolute;left:6512;top:122;width:639;height:575" type="#_x0000_t202" filled="false" stroked="false">
                <v:textbox inset="0,0,0,0">
                  <w:txbxContent>
                    <w:p>
                      <w:pPr>
                        <w:spacing w:line="158"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担保是否</w:t>
                      </w:r>
                      <w:r>
                        <w:rPr>
                          <w:rFonts w:ascii="宋体" w:hAnsi="宋体" w:cs="宋体" w:eastAsia="宋体" w:hint="default"/>
                          <w:sz w:val="16"/>
                          <w:szCs w:val="16"/>
                        </w:rPr>
                      </w:r>
                    </w:p>
                    <w:p>
                      <w:pPr>
                        <w:spacing w:before="0"/>
                        <w:ind w:left="159" w:right="0" w:hanging="160"/>
                        <w:jc w:val="left"/>
                        <w:rPr>
                          <w:rFonts w:ascii="宋体" w:hAnsi="宋体" w:cs="宋体" w:eastAsia="宋体" w:hint="default"/>
                          <w:sz w:val="16"/>
                          <w:szCs w:val="16"/>
                        </w:rPr>
                      </w:pPr>
                      <w:r>
                        <w:rPr>
                          <w:rFonts w:ascii="宋体" w:hAnsi="宋体" w:cs="宋体" w:eastAsia="宋体" w:hint="default"/>
                          <w:w w:val="95"/>
                          <w:sz w:val="16"/>
                          <w:szCs w:val="16"/>
                        </w:rPr>
                        <w:t>已经履行</w:t>
                      </w:r>
                      <w:r>
                        <w:rPr>
                          <w:rFonts w:ascii="宋体" w:hAnsi="宋体" w:cs="宋体" w:eastAsia="宋体" w:hint="default"/>
                          <w:spacing w:val="-46"/>
                          <w:w w:val="95"/>
                          <w:sz w:val="16"/>
                          <w:szCs w:val="16"/>
                        </w:rPr>
                        <w:t> </w:t>
                      </w:r>
                      <w:r>
                        <w:rPr>
                          <w:rFonts w:ascii="宋体" w:hAnsi="宋体" w:cs="宋体" w:eastAsia="宋体" w:hint="default"/>
                          <w:sz w:val="16"/>
                          <w:szCs w:val="16"/>
                        </w:rPr>
                        <w:t>完毕</w:t>
                      </w:r>
                    </w:p>
                  </w:txbxContent>
                </v:textbox>
                <w10:wrap type="none"/>
              </v:shape>
              <v:shape style="position:absolute;left:7595;top:330;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说明</w:t>
                      </w:r>
                      <w:r>
                        <w:rPr>
                          <w:rFonts w:ascii="宋体" w:hAnsi="宋体" w:cs="宋体" w:eastAsia="宋体" w:hint="default"/>
                          <w:sz w:val="16"/>
                          <w:szCs w:val="16"/>
                        </w:rPr>
                      </w:r>
                    </w:p>
                  </w:txbxContent>
                </v:textbox>
                <w10:wrap type="none"/>
              </v:shape>
              <v:shape style="position:absolute;left:137;top:850;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公司</w:t>
                      </w:r>
                      <w:r>
                        <w:rPr>
                          <w:rFonts w:ascii="宋体" w:hAnsi="宋体" w:cs="宋体" w:eastAsia="宋体" w:hint="default"/>
                          <w:sz w:val="16"/>
                          <w:szCs w:val="16"/>
                        </w:rPr>
                      </w:r>
                    </w:p>
                  </w:txbxContent>
                </v:textbox>
                <w10:wrap type="none"/>
              </v:shape>
              <v:shape style="position:absolute;left:137;top:1239;width:926;height:575" type="#_x0000_t202" filled="false" stroked="false">
                <v:textbox inset="0,0,0,0">
                  <w:txbxContent>
                    <w:p>
                      <w:pPr>
                        <w:spacing w:line="158" w:lineRule="exact" w:before="0"/>
                        <w:ind w:left="0" w:right="0" w:firstLine="0"/>
                        <w:jc w:val="left"/>
                        <w:rPr>
                          <w:rFonts w:ascii="宋体" w:hAnsi="宋体" w:cs="宋体" w:eastAsia="宋体" w:hint="default"/>
                          <w:sz w:val="16"/>
                          <w:szCs w:val="16"/>
                        </w:rPr>
                      </w:pPr>
                      <w:r>
                        <w:rPr>
                          <w:rFonts w:ascii="宋体" w:hAnsi="宋体" w:cs="宋体" w:eastAsia="宋体" w:hint="default"/>
                          <w:spacing w:val="15"/>
                          <w:sz w:val="16"/>
                          <w:szCs w:val="16"/>
                        </w:rPr>
                        <w:t>武汉</w:t>
                      </w:r>
                      <w:r>
                        <w:rPr>
                          <w:rFonts w:ascii="宋体" w:hAnsi="宋体" w:cs="宋体" w:eastAsia="宋体" w:hint="default"/>
                          <w:spacing w:val="-48"/>
                          <w:sz w:val="16"/>
                          <w:szCs w:val="16"/>
                        </w:rPr>
                        <w:t> </w:t>
                      </w:r>
                      <w:r>
                        <w:rPr>
                          <w:rFonts w:ascii="宋体" w:hAnsi="宋体" w:cs="宋体" w:eastAsia="宋体" w:hint="default"/>
                          <w:spacing w:val="15"/>
                          <w:sz w:val="16"/>
                          <w:szCs w:val="16"/>
                        </w:rPr>
                        <w:t>中元</w:t>
                      </w:r>
                      <w:r>
                        <w:rPr>
                          <w:rFonts w:ascii="宋体" w:hAnsi="宋体" w:cs="宋体" w:eastAsia="宋体" w:hint="default"/>
                          <w:spacing w:val="-48"/>
                          <w:sz w:val="16"/>
                          <w:szCs w:val="16"/>
                        </w:rPr>
                        <w:t> </w:t>
                      </w:r>
                      <w:r>
                        <w:rPr>
                          <w:rFonts w:ascii="宋体" w:hAnsi="宋体" w:cs="宋体" w:eastAsia="宋体" w:hint="default"/>
                          <w:sz w:val="16"/>
                          <w:szCs w:val="16"/>
                        </w:rPr>
                        <w:t>通</w:t>
                      </w:r>
                    </w:p>
                    <w:p>
                      <w:pPr>
                        <w:spacing w:before="0"/>
                        <w:ind w:left="0" w:right="0" w:firstLine="0"/>
                        <w:jc w:val="left"/>
                        <w:rPr>
                          <w:rFonts w:ascii="宋体" w:hAnsi="宋体" w:cs="宋体" w:eastAsia="宋体" w:hint="default"/>
                          <w:sz w:val="16"/>
                          <w:szCs w:val="16"/>
                        </w:rPr>
                      </w:pPr>
                      <w:r>
                        <w:rPr>
                          <w:rFonts w:ascii="宋体" w:hAnsi="宋体" w:cs="宋体" w:eastAsia="宋体" w:hint="default"/>
                          <w:spacing w:val="15"/>
                          <w:sz w:val="16"/>
                          <w:szCs w:val="16"/>
                        </w:rPr>
                        <w:t>信股</w:t>
                      </w:r>
                      <w:r>
                        <w:rPr>
                          <w:rFonts w:ascii="宋体" w:hAnsi="宋体" w:cs="宋体" w:eastAsia="宋体" w:hint="default"/>
                          <w:spacing w:val="-48"/>
                          <w:sz w:val="16"/>
                          <w:szCs w:val="16"/>
                        </w:rPr>
                        <w:t> </w:t>
                      </w:r>
                      <w:r>
                        <w:rPr>
                          <w:rFonts w:ascii="宋体" w:hAnsi="宋体" w:cs="宋体" w:eastAsia="宋体" w:hint="default"/>
                          <w:spacing w:val="15"/>
                          <w:sz w:val="16"/>
                          <w:szCs w:val="16"/>
                        </w:rPr>
                        <w:t>份有</w:t>
                      </w:r>
                      <w:r>
                        <w:rPr>
                          <w:rFonts w:ascii="宋体" w:hAnsi="宋体" w:cs="宋体" w:eastAsia="宋体" w:hint="default"/>
                          <w:spacing w:val="-48"/>
                          <w:sz w:val="16"/>
                          <w:szCs w:val="16"/>
                        </w:rPr>
                        <w:t> </w:t>
                      </w:r>
                      <w:r>
                        <w:rPr>
                          <w:rFonts w:ascii="宋体" w:hAnsi="宋体" w:cs="宋体" w:eastAsia="宋体" w:hint="default"/>
                          <w:sz w:val="16"/>
                          <w:szCs w:val="16"/>
                        </w:rPr>
                        <w:t>限</w:t>
                      </w:r>
                      <w:r>
                        <w:rPr>
                          <w:rFonts w:ascii="宋体" w:hAnsi="宋体" w:cs="宋体" w:eastAsia="宋体" w:hint="default"/>
                          <w:w w:val="99"/>
                          <w:sz w:val="16"/>
                          <w:szCs w:val="16"/>
                        </w:rPr>
                        <w:t> </w:t>
                      </w:r>
                      <w:r>
                        <w:rPr>
                          <w:rFonts w:ascii="宋体" w:hAnsi="宋体" w:cs="宋体" w:eastAsia="宋体" w:hint="default"/>
                          <w:sz w:val="16"/>
                          <w:szCs w:val="16"/>
                        </w:rPr>
                        <w:t>公司</w:t>
                      </w:r>
                    </w:p>
                  </w:txbxContent>
                </v:textbox>
                <w10:wrap type="none"/>
              </v:shape>
              <v:shape style="position:absolute;left:1279;top:1344;width:1134;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武汉中原电子信</w:t>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息有限公司</w:t>
                      </w:r>
                    </w:p>
                  </w:txbxContent>
                </v:textbox>
                <w10:wrap type="none"/>
              </v:shape>
              <v:shape style="position:absolute;left:2627;top:1344;width:1175;height:368" type="#_x0000_t202" filled="false" stroked="false">
                <v:textbox inset="0,0,0,0">
                  <w:txbxContent>
                    <w:p>
                      <w:pPr>
                        <w:spacing w:line="165" w:lineRule="exact" w:before="0"/>
                        <w:ind w:left="0" w:right="0" w:firstLine="0"/>
                        <w:jc w:val="left"/>
                        <w:rPr>
                          <w:rFonts w:ascii="Times New Roman" w:hAnsi="Times New Roman" w:cs="Times New Roman" w:eastAsia="Times New Roman" w:hint="default"/>
                          <w:sz w:val="16"/>
                          <w:szCs w:val="16"/>
                        </w:rPr>
                      </w:pPr>
                      <w:r>
                        <w:rPr>
                          <w:rFonts w:ascii="宋体" w:hAnsi="宋体" w:cs="宋体" w:eastAsia="宋体" w:hint="default"/>
                          <w:spacing w:val="12"/>
                          <w:sz w:val="16"/>
                          <w:szCs w:val="16"/>
                        </w:rPr>
                        <w:t>不超过 </w:t>
                      </w:r>
                      <w:r>
                        <w:rPr>
                          <w:rFonts w:ascii="Times New Roman" w:hAnsi="Times New Roman" w:cs="Times New Roman" w:eastAsia="Times New Roman" w:hint="default"/>
                          <w:sz w:val="16"/>
                          <w:szCs w:val="16"/>
                        </w:rPr>
                        <w:t>6,000.00</w:t>
                      </w:r>
                    </w:p>
                    <w:p>
                      <w:pPr>
                        <w:spacing w:line="202"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万元</w:t>
                      </w:r>
                    </w:p>
                  </w:txbxContent>
                </v:textbox>
                <w10:wrap type="none"/>
              </v:shape>
              <v:shape style="position:absolute;left:4095;top:1460;width:7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pacing w:val="-1"/>
                          <w:sz w:val="16"/>
                        </w:rPr>
                        <w:t>2018-11-21</w:t>
                      </w:r>
                    </w:p>
                  </w:txbxContent>
                </v:textbox>
                <w10:wrap type="none"/>
              </v:shape>
              <v:shape style="position:absolute;left:5129;top:1344;width:1119;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保函到期注销日</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另加两年</w:t>
                      </w:r>
                    </w:p>
                  </w:txbxContent>
                </v:textbox>
                <w10:wrap type="none"/>
              </v:shape>
              <v:shape style="position:absolute;left:6752;top:1447;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否</w:t>
                      </w:r>
                      <w:r>
                        <w:rPr>
                          <w:rFonts w:ascii="宋体" w:hAnsi="宋体" w:cs="宋体" w:eastAsia="宋体" w:hint="default"/>
                          <w:sz w:val="16"/>
                          <w:szCs w:val="16"/>
                        </w:rPr>
                      </w:r>
                    </w:p>
                  </w:txbxContent>
                </v:textbox>
                <w10:wrap type="none"/>
              </v:shape>
              <v:shape style="position:absolute;left:7716;top:1447;width: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9"/>
                          <w:sz w:val="16"/>
                        </w:rPr>
                        <w:t>8</w:t>
                      </w:r>
                      <w:r>
                        <w:rPr>
                          <w:rFonts w:ascii="宋体"/>
                          <w:sz w:val="16"/>
                        </w:rPr>
                      </w:r>
                    </w:p>
                  </w:txbxContent>
                </v:textbox>
                <w10:wrap type="none"/>
              </v:shape>
              <v:shape style="position:absolute;left:137;top:2007;width:926;height:576"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spacing w:val="15"/>
                          <w:sz w:val="16"/>
                          <w:szCs w:val="16"/>
                        </w:rPr>
                        <w:t>武汉</w:t>
                      </w:r>
                      <w:r>
                        <w:rPr>
                          <w:rFonts w:ascii="宋体" w:hAnsi="宋体" w:cs="宋体" w:eastAsia="宋体" w:hint="default"/>
                          <w:spacing w:val="-48"/>
                          <w:sz w:val="16"/>
                          <w:szCs w:val="16"/>
                        </w:rPr>
                        <w:t> </w:t>
                      </w:r>
                      <w:r>
                        <w:rPr>
                          <w:rFonts w:ascii="宋体" w:hAnsi="宋体" w:cs="宋体" w:eastAsia="宋体" w:hint="default"/>
                          <w:spacing w:val="15"/>
                          <w:sz w:val="16"/>
                          <w:szCs w:val="16"/>
                        </w:rPr>
                        <w:t>中原</w:t>
                      </w:r>
                      <w:r>
                        <w:rPr>
                          <w:rFonts w:ascii="宋体" w:hAnsi="宋体" w:cs="宋体" w:eastAsia="宋体" w:hint="default"/>
                          <w:spacing w:val="-48"/>
                          <w:sz w:val="16"/>
                          <w:szCs w:val="16"/>
                        </w:rPr>
                        <w:t> </w:t>
                      </w:r>
                      <w:r>
                        <w:rPr>
                          <w:rFonts w:ascii="宋体" w:hAnsi="宋体" w:cs="宋体" w:eastAsia="宋体" w:hint="default"/>
                          <w:sz w:val="16"/>
                          <w:szCs w:val="16"/>
                        </w:rPr>
                        <w:t>电</w:t>
                      </w:r>
                    </w:p>
                    <w:p>
                      <w:pPr>
                        <w:spacing w:before="0"/>
                        <w:ind w:left="0" w:right="0" w:firstLine="0"/>
                        <w:jc w:val="left"/>
                        <w:rPr>
                          <w:rFonts w:ascii="宋体" w:hAnsi="宋体" w:cs="宋体" w:eastAsia="宋体" w:hint="default"/>
                          <w:sz w:val="16"/>
                          <w:szCs w:val="16"/>
                        </w:rPr>
                      </w:pPr>
                      <w:r>
                        <w:rPr>
                          <w:rFonts w:ascii="宋体" w:hAnsi="宋体" w:cs="宋体" w:eastAsia="宋体" w:hint="default"/>
                          <w:spacing w:val="15"/>
                          <w:sz w:val="16"/>
                          <w:szCs w:val="16"/>
                        </w:rPr>
                        <w:t>子集</w:t>
                      </w:r>
                      <w:r>
                        <w:rPr>
                          <w:rFonts w:ascii="宋体" w:hAnsi="宋体" w:cs="宋体" w:eastAsia="宋体" w:hint="default"/>
                          <w:spacing w:val="-48"/>
                          <w:sz w:val="16"/>
                          <w:szCs w:val="16"/>
                        </w:rPr>
                        <w:t> </w:t>
                      </w:r>
                      <w:r>
                        <w:rPr>
                          <w:rFonts w:ascii="宋体" w:hAnsi="宋体" w:cs="宋体" w:eastAsia="宋体" w:hint="default"/>
                          <w:spacing w:val="15"/>
                          <w:sz w:val="16"/>
                          <w:szCs w:val="16"/>
                        </w:rPr>
                        <w:t>团有</w:t>
                      </w:r>
                      <w:r>
                        <w:rPr>
                          <w:rFonts w:ascii="宋体" w:hAnsi="宋体" w:cs="宋体" w:eastAsia="宋体" w:hint="default"/>
                          <w:spacing w:val="-48"/>
                          <w:sz w:val="16"/>
                          <w:szCs w:val="16"/>
                        </w:rPr>
                        <w:t> </w:t>
                      </w:r>
                      <w:r>
                        <w:rPr>
                          <w:rFonts w:ascii="宋体" w:hAnsi="宋体" w:cs="宋体" w:eastAsia="宋体" w:hint="default"/>
                          <w:sz w:val="16"/>
                          <w:szCs w:val="16"/>
                        </w:rPr>
                        <w:t>限</w:t>
                      </w:r>
                      <w:r>
                        <w:rPr>
                          <w:rFonts w:ascii="宋体" w:hAnsi="宋体" w:cs="宋体" w:eastAsia="宋体" w:hint="default"/>
                          <w:w w:val="99"/>
                          <w:sz w:val="16"/>
                          <w:szCs w:val="16"/>
                        </w:rPr>
                        <w:t> </w:t>
                      </w:r>
                      <w:r>
                        <w:rPr>
                          <w:rFonts w:ascii="宋体" w:hAnsi="宋体" w:cs="宋体" w:eastAsia="宋体" w:hint="default"/>
                          <w:sz w:val="16"/>
                          <w:szCs w:val="16"/>
                        </w:rPr>
                        <w:t>公司</w:t>
                      </w:r>
                    </w:p>
                  </w:txbxContent>
                </v:textbox>
                <w10:wrap type="none"/>
              </v:shape>
              <v:shape style="position:absolute;left:1279;top:2112;width:1134;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武汉长光电源有</w:t>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限公司</w:t>
                      </w:r>
                    </w:p>
                  </w:txbxContent>
                </v:textbox>
                <w10:wrap type="none"/>
              </v:shape>
              <v:shape style="position:absolute;left:2627;top:2112;width:1175;height:368" type="#_x0000_t202" filled="false" stroked="false">
                <v:textbox inset="0,0,0,0">
                  <w:txbxContent>
                    <w:p>
                      <w:pPr>
                        <w:spacing w:line="165" w:lineRule="exact" w:before="0"/>
                        <w:ind w:left="0" w:right="0" w:firstLine="0"/>
                        <w:jc w:val="left"/>
                        <w:rPr>
                          <w:rFonts w:ascii="Times New Roman" w:hAnsi="Times New Roman" w:cs="Times New Roman" w:eastAsia="Times New Roman" w:hint="default"/>
                          <w:sz w:val="16"/>
                          <w:szCs w:val="16"/>
                        </w:rPr>
                      </w:pPr>
                      <w:r>
                        <w:rPr>
                          <w:rFonts w:ascii="宋体" w:hAnsi="宋体" w:cs="宋体" w:eastAsia="宋体" w:hint="default"/>
                          <w:spacing w:val="12"/>
                          <w:sz w:val="16"/>
                          <w:szCs w:val="16"/>
                        </w:rPr>
                        <w:t>不超过 </w:t>
                      </w:r>
                      <w:r>
                        <w:rPr>
                          <w:rFonts w:ascii="Times New Roman" w:hAnsi="Times New Roman" w:cs="Times New Roman" w:eastAsia="Times New Roman" w:hint="default"/>
                          <w:sz w:val="16"/>
                          <w:szCs w:val="16"/>
                        </w:rPr>
                        <w:t>8,000.00</w:t>
                      </w:r>
                    </w:p>
                    <w:p>
                      <w:pPr>
                        <w:spacing w:line="202"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万元</w:t>
                      </w:r>
                    </w:p>
                  </w:txbxContent>
                </v:textbox>
                <w10:wrap type="none"/>
              </v:shape>
              <v:shape style="position:absolute;left:4093;top:2230;width:748;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2018-10-12</w:t>
                      </w:r>
                      <w:r>
                        <w:rPr>
                          <w:rFonts w:ascii="Times New Roman"/>
                          <w:sz w:val="16"/>
                        </w:rPr>
                      </w:r>
                    </w:p>
                  </w:txbxContent>
                </v:textbox>
                <w10:wrap type="none"/>
              </v:shape>
              <v:shape style="position:absolute;left:5129;top:2112;width:1119;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债务履行期限届</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满之日起两年</w:t>
                      </w:r>
                    </w:p>
                  </w:txbxContent>
                </v:textbox>
                <w10:wrap type="none"/>
              </v:shape>
              <v:shape style="position:absolute;left:6752;top:2215;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否</w:t>
                      </w:r>
                      <w:r>
                        <w:rPr>
                          <w:rFonts w:ascii="宋体" w:hAnsi="宋体" w:cs="宋体" w:eastAsia="宋体" w:hint="default"/>
                          <w:sz w:val="16"/>
                          <w:szCs w:val="16"/>
                        </w:rPr>
                      </w:r>
                    </w:p>
                  </w:txbxContent>
                </v:textbox>
                <w10:wrap type="none"/>
              </v:shape>
              <v:shape style="position:absolute;left:7715;top:2230;width:80;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9"/>
                          <w:sz w:val="16"/>
                        </w:rPr>
                        <w:t>9</w:t>
                      </w:r>
                      <w:r>
                        <w:rPr>
                          <w:rFonts w:ascii="Times New Roman"/>
                          <w:sz w:val="16"/>
                        </w:rPr>
                      </w:r>
                    </w:p>
                  </w:txbxContent>
                </v:textbox>
                <w10:wrap type="none"/>
              </v:shape>
              <v:shape style="position:absolute;left:137;top:2776;width:926;height:575" type="#_x0000_t202" filled="false" stroked="false">
                <v:textbox inset="0,0,0,0">
                  <w:txbxContent>
                    <w:p>
                      <w:pPr>
                        <w:spacing w:line="158" w:lineRule="exact" w:before="0"/>
                        <w:ind w:left="0" w:right="0" w:firstLine="0"/>
                        <w:jc w:val="left"/>
                        <w:rPr>
                          <w:rFonts w:ascii="宋体" w:hAnsi="宋体" w:cs="宋体" w:eastAsia="宋体" w:hint="default"/>
                          <w:sz w:val="16"/>
                          <w:szCs w:val="16"/>
                        </w:rPr>
                      </w:pPr>
                      <w:r>
                        <w:rPr>
                          <w:rFonts w:ascii="宋体" w:hAnsi="宋体" w:cs="宋体" w:eastAsia="宋体" w:hint="default"/>
                          <w:spacing w:val="15"/>
                          <w:sz w:val="16"/>
                          <w:szCs w:val="16"/>
                        </w:rPr>
                        <w:t>武汉</w:t>
                      </w:r>
                      <w:r>
                        <w:rPr>
                          <w:rFonts w:ascii="宋体" w:hAnsi="宋体" w:cs="宋体" w:eastAsia="宋体" w:hint="default"/>
                          <w:spacing w:val="-48"/>
                          <w:sz w:val="16"/>
                          <w:szCs w:val="16"/>
                        </w:rPr>
                        <w:t> </w:t>
                      </w:r>
                      <w:r>
                        <w:rPr>
                          <w:rFonts w:ascii="宋体" w:hAnsi="宋体" w:cs="宋体" w:eastAsia="宋体" w:hint="default"/>
                          <w:spacing w:val="15"/>
                          <w:sz w:val="16"/>
                          <w:szCs w:val="16"/>
                        </w:rPr>
                        <w:t>中原</w:t>
                      </w:r>
                      <w:r>
                        <w:rPr>
                          <w:rFonts w:ascii="宋体" w:hAnsi="宋体" w:cs="宋体" w:eastAsia="宋体" w:hint="default"/>
                          <w:spacing w:val="-48"/>
                          <w:sz w:val="16"/>
                          <w:szCs w:val="16"/>
                        </w:rPr>
                        <w:t> </w:t>
                      </w:r>
                      <w:r>
                        <w:rPr>
                          <w:rFonts w:ascii="宋体" w:hAnsi="宋体" w:cs="宋体" w:eastAsia="宋体" w:hint="default"/>
                          <w:sz w:val="16"/>
                          <w:szCs w:val="16"/>
                        </w:rPr>
                        <w:t>电</w:t>
                      </w:r>
                    </w:p>
                    <w:p>
                      <w:pPr>
                        <w:spacing w:before="0"/>
                        <w:ind w:left="0" w:right="0" w:firstLine="0"/>
                        <w:jc w:val="left"/>
                        <w:rPr>
                          <w:rFonts w:ascii="宋体" w:hAnsi="宋体" w:cs="宋体" w:eastAsia="宋体" w:hint="default"/>
                          <w:sz w:val="16"/>
                          <w:szCs w:val="16"/>
                        </w:rPr>
                      </w:pPr>
                      <w:r>
                        <w:rPr>
                          <w:rFonts w:ascii="宋体" w:hAnsi="宋体" w:cs="宋体" w:eastAsia="宋体" w:hint="default"/>
                          <w:spacing w:val="15"/>
                          <w:sz w:val="16"/>
                          <w:szCs w:val="16"/>
                        </w:rPr>
                        <w:t>子集</w:t>
                      </w:r>
                      <w:r>
                        <w:rPr>
                          <w:rFonts w:ascii="宋体" w:hAnsi="宋体" w:cs="宋体" w:eastAsia="宋体" w:hint="default"/>
                          <w:spacing w:val="-48"/>
                          <w:sz w:val="16"/>
                          <w:szCs w:val="16"/>
                        </w:rPr>
                        <w:t> </w:t>
                      </w:r>
                      <w:r>
                        <w:rPr>
                          <w:rFonts w:ascii="宋体" w:hAnsi="宋体" w:cs="宋体" w:eastAsia="宋体" w:hint="default"/>
                          <w:spacing w:val="15"/>
                          <w:sz w:val="16"/>
                          <w:szCs w:val="16"/>
                        </w:rPr>
                        <w:t>团有</w:t>
                      </w:r>
                      <w:r>
                        <w:rPr>
                          <w:rFonts w:ascii="宋体" w:hAnsi="宋体" w:cs="宋体" w:eastAsia="宋体" w:hint="default"/>
                          <w:spacing w:val="-48"/>
                          <w:sz w:val="16"/>
                          <w:szCs w:val="16"/>
                        </w:rPr>
                        <w:t> </w:t>
                      </w:r>
                      <w:r>
                        <w:rPr>
                          <w:rFonts w:ascii="宋体" w:hAnsi="宋体" w:cs="宋体" w:eastAsia="宋体" w:hint="default"/>
                          <w:sz w:val="16"/>
                          <w:szCs w:val="16"/>
                        </w:rPr>
                        <w:t>限</w:t>
                      </w:r>
                      <w:r>
                        <w:rPr>
                          <w:rFonts w:ascii="宋体" w:hAnsi="宋体" w:cs="宋体" w:eastAsia="宋体" w:hint="default"/>
                          <w:w w:val="99"/>
                          <w:sz w:val="16"/>
                          <w:szCs w:val="16"/>
                        </w:rPr>
                        <w:t> </w:t>
                      </w:r>
                      <w:r>
                        <w:rPr>
                          <w:rFonts w:ascii="宋体" w:hAnsi="宋体" w:cs="宋体" w:eastAsia="宋体" w:hint="default"/>
                          <w:sz w:val="16"/>
                          <w:szCs w:val="16"/>
                        </w:rPr>
                        <w:t>公司</w:t>
                      </w:r>
                    </w:p>
                  </w:txbxContent>
                </v:textbox>
                <w10:wrap type="none"/>
              </v:shape>
              <v:shape style="position:absolute;left:1279;top:2880;width:1134;height:369"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武汉中原电子信</w:t>
                      </w:r>
                    </w:p>
                    <w:p>
                      <w:pPr>
                        <w:spacing w:line="209"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息有限公司</w:t>
                      </w:r>
                    </w:p>
                  </w:txbxContent>
                </v:textbox>
                <w10:wrap type="none"/>
              </v:shape>
              <v:shape style="position:absolute;left:2627;top:2880;width:1175;height:369" type="#_x0000_t202" filled="false" stroked="false">
                <v:textbox inset="0,0,0,0">
                  <w:txbxContent>
                    <w:p>
                      <w:pPr>
                        <w:spacing w:line="165" w:lineRule="exact" w:before="0"/>
                        <w:ind w:left="0" w:right="0" w:firstLine="0"/>
                        <w:jc w:val="left"/>
                        <w:rPr>
                          <w:rFonts w:ascii="Times New Roman" w:hAnsi="Times New Roman" w:cs="Times New Roman" w:eastAsia="Times New Roman" w:hint="default"/>
                          <w:sz w:val="16"/>
                          <w:szCs w:val="16"/>
                        </w:rPr>
                      </w:pPr>
                      <w:r>
                        <w:rPr>
                          <w:rFonts w:ascii="宋体" w:hAnsi="宋体" w:cs="宋体" w:eastAsia="宋体" w:hint="default"/>
                          <w:spacing w:val="12"/>
                          <w:sz w:val="16"/>
                          <w:szCs w:val="16"/>
                        </w:rPr>
                        <w:t>不超过 </w:t>
                      </w:r>
                      <w:r>
                        <w:rPr>
                          <w:rFonts w:ascii="Times New Roman" w:hAnsi="Times New Roman" w:cs="Times New Roman" w:eastAsia="Times New Roman" w:hint="default"/>
                          <w:sz w:val="16"/>
                          <w:szCs w:val="16"/>
                        </w:rPr>
                        <w:t>8,000.00</w:t>
                      </w:r>
                    </w:p>
                    <w:p>
                      <w:pPr>
                        <w:spacing w:line="203"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万元</w:t>
                      </w:r>
                    </w:p>
                  </w:txbxContent>
                </v:textbox>
                <w10:wrap type="none"/>
              </v:shape>
              <v:shape style="position:absolute;left:4093;top:2998;width:748;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2018-10-12</w:t>
                      </w:r>
                      <w:r>
                        <w:rPr>
                          <w:rFonts w:ascii="Times New Roman"/>
                          <w:sz w:val="16"/>
                        </w:rPr>
                      </w:r>
                    </w:p>
                  </w:txbxContent>
                </v:textbox>
                <w10:wrap type="none"/>
              </v:shape>
              <v:shape style="position:absolute;left:5129;top:2880;width:1119;height:369"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票据到期届满之</w:t>
                      </w:r>
                      <w:r>
                        <w:rPr>
                          <w:rFonts w:ascii="宋体" w:hAnsi="宋体" w:cs="宋体" w:eastAsia="宋体" w:hint="default"/>
                          <w:sz w:val="16"/>
                          <w:szCs w:val="16"/>
                        </w:rPr>
                      </w:r>
                    </w:p>
                    <w:p>
                      <w:pPr>
                        <w:spacing w:line="209"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后两年</w:t>
                      </w:r>
                    </w:p>
                  </w:txbxContent>
                </v:textbox>
                <w10:wrap type="none"/>
              </v:shape>
              <v:shape style="position:absolute;left:6752;top:2984;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否</w:t>
                      </w:r>
                      <w:r>
                        <w:rPr>
                          <w:rFonts w:ascii="宋体" w:hAnsi="宋体" w:cs="宋体" w:eastAsia="宋体" w:hint="default"/>
                          <w:sz w:val="16"/>
                          <w:szCs w:val="16"/>
                        </w:rPr>
                      </w:r>
                    </w:p>
                  </w:txbxContent>
                </v:textbox>
                <w10:wrap type="none"/>
              </v:shape>
              <v:shape style="position:absolute;left:7676;top:2998;width:16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z w:val="16"/>
                        </w:rPr>
                        <w:t>10</w:t>
                      </w:r>
                    </w:p>
                  </w:txbxContent>
                </v:textbox>
                <w10:wrap type="none"/>
              </v:shape>
              <v:shape style="position:absolute;left:137;top:3544;width:926;height:575"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spacing w:val="15"/>
                          <w:sz w:val="16"/>
                          <w:szCs w:val="16"/>
                        </w:rPr>
                        <w:t>武汉</w:t>
                      </w:r>
                      <w:r>
                        <w:rPr>
                          <w:rFonts w:ascii="宋体" w:hAnsi="宋体" w:cs="宋体" w:eastAsia="宋体" w:hint="default"/>
                          <w:spacing w:val="-48"/>
                          <w:sz w:val="16"/>
                          <w:szCs w:val="16"/>
                        </w:rPr>
                        <w:t> </w:t>
                      </w:r>
                      <w:r>
                        <w:rPr>
                          <w:rFonts w:ascii="宋体" w:hAnsi="宋体" w:cs="宋体" w:eastAsia="宋体" w:hint="default"/>
                          <w:spacing w:val="15"/>
                          <w:sz w:val="16"/>
                          <w:szCs w:val="16"/>
                        </w:rPr>
                        <w:t>中原</w:t>
                      </w:r>
                      <w:r>
                        <w:rPr>
                          <w:rFonts w:ascii="宋体" w:hAnsi="宋体" w:cs="宋体" w:eastAsia="宋体" w:hint="default"/>
                          <w:spacing w:val="-48"/>
                          <w:sz w:val="16"/>
                          <w:szCs w:val="16"/>
                        </w:rPr>
                        <w:t> </w:t>
                      </w:r>
                      <w:r>
                        <w:rPr>
                          <w:rFonts w:ascii="宋体" w:hAnsi="宋体" w:cs="宋体" w:eastAsia="宋体" w:hint="default"/>
                          <w:sz w:val="16"/>
                          <w:szCs w:val="16"/>
                        </w:rPr>
                        <w:t>电</w:t>
                      </w:r>
                    </w:p>
                    <w:p>
                      <w:pPr>
                        <w:spacing w:before="0"/>
                        <w:ind w:left="0" w:right="0" w:firstLine="0"/>
                        <w:jc w:val="left"/>
                        <w:rPr>
                          <w:rFonts w:ascii="宋体" w:hAnsi="宋体" w:cs="宋体" w:eastAsia="宋体" w:hint="default"/>
                          <w:sz w:val="16"/>
                          <w:szCs w:val="16"/>
                        </w:rPr>
                      </w:pPr>
                      <w:r>
                        <w:rPr>
                          <w:rFonts w:ascii="宋体" w:hAnsi="宋体" w:cs="宋体" w:eastAsia="宋体" w:hint="default"/>
                          <w:spacing w:val="15"/>
                          <w:sz w:val="16"/>
                          <w:szCs w:val="16"/>
                        </w:rPr>
                        <w:t>子集</w:t>
                      </w:r>
                      <w:r>
                        <w:rPr>
                          <w:rFonts w:ascii="宋体" w:hAnsi="宋体" w:cs="宋体" w:eastAsia="宋体" w:hint="default"/>
                          <w:spacing w:val="-48"/>
                          <w:sz w:val="16"/>
                          <w:szCs w:val="16"/>
                        </w:rPr>
                        <w:t> </w:t>
                      </w:r>
                      <w:r>
                        <w:rPr>
                          <w:rFonts w:ascii="宋体" w:hAnsi="宋体" w:cs="宋体" w:eastAsia="宋体" w:hint="default"/>
                          <w:spacing w:val="15"/>
                          <w:sz w:val="16"/>
                          <w:szCs w:val="16"/>
                        </w:rPr>
                        <w:t>团有</w:t>
                      </w:r>
                      <w:r>
                        <w:rPr>
                          <w:rFonts w:ascii="宋体" w:hAnsi="宋体" w:cs="宋体" w:eastAsia="宋体" w:hint="default"/>
                          <w:spacing w:val="-48"/>
                          <w:sz w:val="16"/>
                          <w:szCs w:val="16"/>
                        </w:rPr>
                        <w:t> </w:t>
                      </w:r>
                      <w:r>
                        <w:rPr>
                          <w:rFonts w:ascii="宋体" w:hAnsi="宋体" w:cs="宋体" w:eastAsia="宋体" w:hint="default"/>
                          <w:sz w:val="16"/>
                          <w:szCs w:val="16"/>
                        </w:rPr>
                        <w:t>限</w:t>
                      </w:r>
                      <w:r>
                        <w:rPr>
                          <w:rFonts w:ascii="宋体" w:hAnsi="宋体" w:cs="宋体" w:eastAsia="宋体" w:hint="default"/>
                          <w:w w:val="99"/>
                          <w:sz w:val="16"/>
                          <w:szCs w:val="16"/>
                        </w:rPr>
                        <w:t> </w:t>
                      </w:r>
                      <w:r>
                        <w:rPr>
                          <w:rFonts w:ascii="宋体" w:hAnsi="宋体" w:cs="宋体" w:eastAsia="宋体" w:hint="default"/>
                          <w:sz w:val="16"/>
                          <w:szCs w:val="16"/>
                        </w:rPr>
                        <w:t>公司</w:t>
                      </w:r>
                    </w:p>
                  </w:txbxContent>
                </v:textbox>
                <w10:wrap type="none"/>
              </v:shape>
              <v:shape style="position:absolute;left:1279;top:3649;width:1134;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武汉中元通信股</w:t>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份有限公司</w:t>
                      </w:r>
                    </w:p>
                  </w:txbxContent>
                </v:textbox>
                <w10:wrap type="none"/>
              </v:shape>
              <v:shape style="position:absolute;left:2627;top:3649;width:1175;height:368" type="#_x0000_t202" filled="false" stroked="false">
                <v:textbox inset="0,0,0,0">
                  <w:txbxContent>
                    <w:p>
                      <w:pPr>
                        <w:spacing w:line="165" w:lineRule="exact" w:before="0"/>
                        <w:ind w:left="0" w:right="0" w:firstLine="0"/>
                        <w:jc w:val="left"/>
                        <w:rPr>
                          <w:rFonts w:ascii="Times New Roman" w:hAnsi="Times New Roman" w:cs="Times New Roman" w:eastAsia="Times New Roman" w:hint="default"/>
                          <w:sz w:val="16"/>
                          <w:szCs w:val="16"/>
                        </w:rPr>
                      </w:pPr>
                      <w:r>
                        <w:rPr>
                          <w:rFonts w:ascii="宋体" w:hAnsi="宋体" w:cs="宋体" w:eastAsia="宋体" w:hint="default"/>
                          <w:sz w:val="16"/>
                          <w:szCs w:val="16"/>
                        </w:rPr>
                        <w:t>不超过</w:t>
                      </w:r>
                      <w:r>
                        <w:rPr>
                          <w:rFonts w:ascii="宋体" w:hAnsi="宋体" w:cs="宋体" w:eastAsia="宋体" w:hint="default"/>
                          <w:spacing w:val="-31"/>
                          <w:sz w:val="16"/>
                          <w:szCs w:val="16"/>
                        </w:rPr>
                        <w:t> </w:t>
                      </w:r>
                      <w:r>
                        <w:rPr>
                          <w:rFonts w:ascii="Times New Roman" w:hAnsi="Times New Roman" w:cs="Times New Roman" w:eastAsia="Times New Roman" w:hint="default"/>
                          <w:sz w:val="16"/>
                          <w:szCs w:val="16"/>
                        </w:rPr>
                        <w:t>25,500.00</w:t>
                      </w:r>
                    </w:p>
                    <w:p>
                      <w:pPr>
                        <w:spacing w:line="202"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万元</w:t>
                      </w:r>
                    </w:p>
                  </w:txbxContent>
                </v:textbox>
                <w10:wrap type="none"/>
              </v:shape>
              <v:shape style="position:absolute;left:4093;top:3766;width:748;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2018-10-12</w:t>
                      </w:r>
                      <w:r>
                        <w:rPr>
                          <w:rFonts w:ascii="Times New Roman"/>
                          <w:sz w:val="16"/>
                        </w:rPr>
                      </w:r>
                    </w:p>
                  </w:txbxContent>
                </v:textbox>
                <w10:wrap type="none"/>
              </v:shape>
              <v:shape style="position:absolute;left:5129;top:3649;width:1119;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票据到期届满之</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后两年</w:t>
                      </w:r>
                    </w:p>
                  </w:txbxContent>
                </v:textbox>
                <w10:wrap type="none"/>
              </v:shape>
              <v:shape style="position:absolute;left:6752;top:3752;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否</w:t>
                      </w:r>
                      <w:r>
                        <w:rPr>
                          <w:rFonts w:ascii="宋体" w:hAnsi="宋体" w:cs="宋体" w:eastAsia="宋体" w:hint="default"/>
                          <w:sz w:val="16"/>
                          <w:szCs w:val="16"/>
                        </w:rPr>
                      </w:r>
                    </w:p>
                  </w:txbxContent>
                </v:textbox>
                <w10:wrap type="none"/>
              </v:shape>
              <v:shape style="position:absolute;left:7678;top:3766;width:149;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pacing w:val="-6"/>
                          <w:sz w:val="16"/>
                        </w:rPr>
                        <w:t>11</w:t>
                      </w:r>
                      <w:r>
                        <w:rPr>
                          <w:rFonts w:ascii="Times New Roman"/>
                          <w:sz w:val="16"/>
                        </w:rPr>
                      </w:r>
                    </w:p>
                  </w:txbxContent>
                </v:textbox>
                <w10:wrap type="none"/>
              </v:shape>
              <v:shape style="position:absolute;left:137;top:4314;width:926;height:575" type="#_x0000_t202" filled="false" stroked="false">
                <v:textbox inset="0,0,0,0">
                  <w:txbxContent>
                    <w:p>
                      <w:pPr>
                        <w:spacing w:line="158" w:lineRule="exact" w:before="0"/>
                        <w:ind w:left="0" w:right="0" w:firstLine="0"/>
                        <w:jc w:val="left"/>
                        <w:rPr>
                          <w:rFonts w:ascii="宋体" w:hAnsi="宋体" w:cs="宋体" w:eastAsia="宋体" w:hint="default"/>
                          <w:sz w:val="16"/>
                          <w:szCs w:val="16"/>
                        </w:rPr>
                      </w:pPr>
                      <w:r>
                        <w:rPr>
                          <w:rFonts w:ascii="宋体" w:hAnsi="宋体" w:cs="宋体" w:eastAsia="宋体" w:hint="default"/>
                          <w:spacing w:val="15"/>
                          <w:sz w:val="16"/>
                          <w:szCs w:val="16"/>
                        </w:rPr>
                        <w:t>武汉</w:t>
                      </w:r>
                      <w:r>
                        <w:rPr>
                          <w:rFonts w:ascii="宋体" w:hAnsi="宋体" w:cs="宋体" w:eastAsia="宋体" w:hint="default"/>
                          <w:spacing w:val="-48"/>
                          <w:sz w:val="16"/>
                          <w:szCs w:val="16"/>
                        </w:rPr>
                        <w:t> </w:t>
                      </w:r>
                      <w:r>
                        <w:rPr>
                          <w:rFonts w:ascii="宋体" w:hAnsi="宋体" w:cs="宋体" w:eastAsia="宋体" w:hint="default"/>
                          <w:spacing w:val="15"/>
                          <w:sz w:val="16"/>
                          <w:szCs w:val="16"/>
                        </w:rPr>
                        <w:t>中原</w:t>
                      </w:r>
                      <w:r>
                        <w:rPr>
                          <w:rFonts w:ascii="宋体" w:hAnsi="宋体" w:cs="宋体" w:eastAsia="宋体" w:hint="default"/>
                          <w:spacing w:val="-48"/>
                          <w:sz w:val="16"/>
                          <w:szCs w:val="16"/>
                        </w:rPr>
                        <w:t> </w:t>
                      </w:r>
                      <w:r>
                        <w:rPr>
                          <w:rFonts w:ascii="宋体" w:hAnsi="宋体" w:cs="宋体" w:eastAsia="宋体" w:hint="default"/>
                          <w:sz w:val="16"/>
                          <w:szCs w:val="16"/>
                        </w:rPr>
                        <w:t>电</w:t>
                      </w:r>
                    </w:p>
                    <w:p>
                      <w:pPr>
                        <w:spacing w:before="0"/>
                        <w:ind w:left="0" w:right="0" w:firstLine="0"/>
                        <w:jc w:val="left"/>
                        <w:rPr>
                          <w:rFonts w:ascii="宋体" w:hAnsi="宋体" w:cs="宋体" w:eastAsia="宋体" w:hint="default"/>
                          <w:sz w:val="16"/>
                          <w:szCs w:val="16"/>
                        </w:rPr>
                      </w:pPr>
                      <w:r>
                        <w:rPr>
                          <w:rFonts w:ascii="宋体" w:hAnsi="宋体" w:cs="宋体" w:eastAsia="宋体" w:hint="default"/>
                          <w:spacing w:val="15"/>
                          <w:sz w:val="16"/>
                          <w:szCs w:val="16"/>
                        </w:rPr>
                        <w:t>子集</w:t>
                      </w:r>
                      <w:r>
                        <w:rPr>
                          <w:rFonts w:ascii="宋体" w:hAnsi="宋体" w:cs="宋体" w:eastAsia="宋体" w:hint="default"/>
                          <w:spacing w:val="-48"/>
                          <w:sz w:val="16"/>
                          <w:szCs w:val="16"/>
                        </w:rPr>
                        <w:t> </w:t>
                      </w:r>
                      <w:r>
                        <w:rPr>
                          <w:rFonts w:ascii="宋体" w:hAnsi="宋体" w:cs="宋体" w:eastAsia="宋体" w:hint="default"/>
                          <w:spacing w:val="15"/>
                          <w:sz w:val="16"/>
                          <w:szCs w:val="16"/>
                        </w:rPr>
                        <w:t>团有</w:t>
                      </w:r>
                      <w:r>
                        <w:rPr>
                          <w:rFonts w:ascii="宋体" w:hAnsi="宋体" w:cs="宋体" w:eastAsia="宋体" w:hint="default"/>
                          <w:spacing w:val="-48"/>
                          <w:sz w:val="16"/>
                          <w:szCs w:val="16"/>
                        </w:rPr>
                        <w:t> </w:t>
                      </w:r>
                      <w:r>
                        <w:rPr>
                          <w:rFonts w:ascii="宋体" w:hAnsi="宋体" w:cs="宋体" w:eastAsia="宋体" w:hint="default"/>
                          <w:sz w:val="16"/>
                          <w:szCs w:val="16"/>
                        </w:rPr>
                        <w:t>限</w:t>
                      </w:r>
                      <w:r>
                        <w:rPr>
                          <w:rFonts w:ascii="宋体" w:hAnsi="宋体" w:cs="宋体" w:eastAsia="宋体" w:hint="default"/>
                          <w:w w:val="99"/>
                          <w:sz w:val="16"/>
                          <w:szCs w:val="16"/>
                        </w:rPr>
                        <w:t> </w:t>
                      </w:r>
                      <w:r>
                        <w:rPr>
                          <w:rFonts w:ascii="宋体" w:hAnsi="宋体" w:cs="宋体" w:eastAsia="宋体" w:hint="default"/>
                          <w:sz w:val="16"/>
                          <w:szCs w:val="16"/>
                        </w:rPr>
                        <w:t>公司</w:t>
                      </w:r>
                    </w:p>
                  </w:txbxContent>
                </v:textbox>
                <w10:wrap type="none"/>
              </v:shape>
              <v:shape style="position:absolute;left:1279;top:4417;width:1134;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武汉中原长江科</w:t>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技发展有限公司</w:t>
                      </w:r>
                    </w:p>
                  </w:txbxContent>
                </v:textbox>
                <w10:wrap type="none"/>
              </v:shape>
              <v:shape style="position:absolute;left:2627;top:4417;width:1175;height:368" type="#_x0000_t202" filled="false" stroked="false">
                <v:textbox inset="0,0,0,0">
                  <w:txbxContent>
                    <w:p>
                      <w:pPr>
                        <w:spacing w:line="165" w:lineRule="exact" w:before="0"/>
                        <w:ind w:left="0" w:right="0" w:firstLine="0"/>
                        <w:jc w:val="left"/>
                        <w:rPr>
                          <w:rFonts w:ascii="Times New Roman" w:hAnsi="Times New Roman" w:cs="Times New Roman" w:eastAsia="Times New Roman" w:hint="default"/>
                          <w:sz w:val="16"/>
                          <w:szCs w:val="16"/>
                        </w:rPr>
                      </w:pPr>
                      <w:r>
                        <w:rPr>
                          <w:rFonts w:ascii="宋体" w:hAnsi="宋体" w:cs="宋体" w:eastAsia="宋体" w:hint="default"/>
                          <w:spacing w:val="12"/>
                          <w:sz w:val="16"/>
                          <w:szCs w:val="16"/>
                        </w:rPr>
                        <w:t>不超过 </w:t>
                      </w:r>
                      <w:r>
                        <w:rPr>
                          <w:rFonts w:ascii="Times New Roman" w:hAnsi="Times New Roman" w:cs="Times New Roman" w:eastAsia="Times New Roman" w:hint="default"/>
                          <w:sz w:val="16"/>
                          <w:szCs w:val="16"/>
                        </w:rPr>
                        <w:t>6,000.00</w:t>
                      </w:r>
                    </w:p>
                    <w:p>
                      <w:pPr>
                        <w:spacing w:line="202"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万元</w:t>
                      </w:r>
                    </w:p>
                  </w:txbxContent>
                </v:textbox>
                <w10:wrap type="none"/>
              </v:shape>
              <v:shape style="position:absolute;left:4093;top:4535;width:748;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2018-10-12</w:t>
                      </w:r>
                      <w:r>
                        <w:rPr>
                          <w:rFonts w:ascii="Times New Roman"/>
                          <w:sz w:val="16"/>
                        </w:rPr>
                      </w:r>
                    </w:p>
                  </w:txbxContent>
                </v:textbox>
                <w10:wrap type="none"/>
              </v:shape>
              <v:shape style="position:absolute;left:5129;top:4417;width:1119;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债务履行期限届</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满之日起两年</w:t>
                      </w:r>
                    </w:p>
                  </w:txbxContent>
                </v:textbox>
                <w10:wrap type="none"/>
              </v:shape>
              <v:shape style="position:absolute;left:6752;top:4521;width:1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否</w:t>
                      </w:r>
                      <w:r>
                        <w:rPr>
                          <w:rFonts w:ascii="宋体" w:hAnsi="宋体" w:cs="宋体" w:eastAsia="宋体" w:hint="default"/>
                          <w:sz w:val="16"/>
                          <w:szCs w:val="16"/>
                        </w:rPr>
                      </w:r>
                    </w:p>
                  </w:txbxContent>
                </v:textbox>
                <w10:wrap type="none"/>
              </v:shape>
              <v:shape style="position:absolute;left:7676;top:4535;width:16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z w:val="16"/>
                        </w:rPr>
                        <w:t>12</w:t>
                      </w:r>
                    </w:p>
                  </w:txbxContent>
                </v:textbox>
                <w10:wrap type="none"/>
              </v:shape>
            </v:group>
          </v:group>
        </w:pict>
      </w:r>
      <w:r>
        <w:rPr>
          <w:rFonts w:ascii="宋体" w:hAnsi="宋体" w:cs="宋体" w:eastAsia="宋体" w:hint="default"/>
          <w:position w:val="-99"/>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5"/>
          <w:szCs w:val="25"/>
        </w:rPr>
      </w:pPr>
    </w:p>
    <w:p>
      <w:pPr>
        <w:pStyle w:val="BodyText"/>
        <w:spacing w:line="240" w:lineRule="auto" w:before="35"/>
        <w:ind w:right="0"/>
        <w:jc w:val="both"/>
      </w:pPr>
      <w:r>
        <w:rPr/>
        <w:t>说明：</w:t>
      </w:r>
    </w:p>
    <w:p>
      <w:pPr>
        <w:pStyle w:val="BodyText"/>
        <w:spacing w:line="240" w:lineRule="auto" w:before="125"/>
        <w:ind w:right="0"/>
        <w:jc w:val="both"/>
      </w:pPr>
      <w:r>
        <w:rPr>
          <w:rFonts w:ascii="Times New Roman" w:hAnsi="Times New Roman" w:cs="Times New Roman" w:eastAsia="Times New Roman" w:hint="default"/>
          <w:spacing w:val="-5"/>
        </w:rPr>
        <w:t>1</w:t>
      </w:r>
      <w:r>
        <w:rPr>
          <w:spacing w:val="-5"/>
        </w:rPr>
        <w:t>、</w:t>
      </w:r>
      <w:r>
        <w:rPr>
          <w:rFonts w:ascii="Times New Roman" w:hAnsi="Times New Roman" w:cs="Times New Roman" w:eastAsia="Times New Roman" w:hint="default"/>
          <w:spacing w:val="-5"/>
        </w:rPr>
        <w:t>2018</w:t>
      </w:r>
      <w:r>
        <w:rPr>
          <w:rFonts w:ascii="Times New Roman" w:hAnsi="Times New Roman" w:cs="Times New Roman" w:eastAsia="Times New Roman" w:hint="default"/>
          <w:spacing w:val="-6"/>
        </w:rPr>
        <w:t> </w:t>
      </w:r>
      <w:r>
        <w:rPr/>
        <w:t>年</w:t>
      </w:r>
      <w:r>
        <w:rPr>
          <w:spacing w:val="-60"/>
        </w:rPr>
        <w:t> </w:t>
      </w:r>
      <w:r>
        <w:rPr>
          <w:rFonts w:ascii="Times New Roman" w:hAnsi="Times New Roman" w:cs="Times New Roman" w:eastAsia="Times New Roman" w:hint="default"/>
        </w:rPr>
        <w:t>8</w:t>
      </w:r>
      <w:r>
        <w:rPr>
          <w:rFonts w:ascii="Times New Roman" w:hAnsi="Times New Roman" w:cs="Times New Roman" w:eastAsia="Times New Roman" w:hint="default"/>
          <w:spacing w:val="-7"/>
        </w:rPr>
        <w:t> </w:t>
      </w:r>
      <w:r>
        <w:rPr/>
        <w:t>月</w:t>
      </w:r>
      <w:r>
        <w:rPr>
          <w:spacing w:val="-59"/>
        </w:rPr>
        <w:t> </w:t>
      </w:r>
      <w:r>
        <w:rPr>
          <w:rFonts w:ascii="Times New Roman" w:hAnsi="Times New Roman" w:cs="Times New Roman" w:eastAsia="Times New Roman" w:hint="default"/>
        </w:rPr>
        <w:t>9</w:t>
      </w:r>
      <w:r>
        <w:rPr>
          <w:rFonts w:ascii="Times New Roman" w:hAnsi="Times New Roman" w:cs="Times New Roman" w:eastAsia="Times New Roman" w:hint="default"/>
          <w:spacing w:val="-6"/>
        </w:rPr>
        <w:t> </w:t>
      </w:r>
      <w:r>
        <w:rPr/>
        <w:t>日，长沙湘计海盾科技有限公司与中国电子财务有限责任公</w:t>
      </w:r>
    </w:p>
    <w:p>
      <w:pPr>
        <w:pStyle w:val="BodyText"/>
        <w:spacing w:line="328" w:lineRule="auto" w:before="110"/>
        <w:ind w:right="1688"/>
        <w:jc w:val="both"/>
      </w:pPr>
      <w:r>
        <w:rPr>
          <w:spacing w:val="-8"/>
        </w:rPr>
        <w:t>司签订《综合授信合同》，以本公司信用担保方式取得人民币</w:t>
      </w:r>
      <w:r>
        <w:rPr>
          <w:spacing w:val="-51"/>
        </w:rPr>
        <w:t> </w:t>
      </w:r>
      <w:r>
        <w:rPr>
          <w:rFonts w:ascii="Times New Roman" w:hAnsi="Times New Roman" w:cs="Times New Roman" w:eastAsia="Times New Roman" w:hint="default"/>
          <w:spacing w:val="-1"/>
        </w:rPr>
        <w:t>10,000.00</w:t>
      </w:r>
      <w:r>
        <w:rPr>
          <w:rFonts w:ascii="Times New Roman" w:hAnsi="Times New Roman" w:cs="Times New Roman" w:eastAsia="Times New Roman" w:hint="default"/>
          <w:spacing w:val="2"/>
        </w:rPr>
        <w:t> </w:t>
      </w:r>
      <w:r>
        <w:rPr>
          <w:spacing w:val="-1"/>
        </w:rPr>
        <w:t>万元的</w:t>
      </w:r>
      <w:r>
        <w:rPr>
          <w:spacing w:val="-101"/>
        </w:rPr>
        <w:t> </w:t>
      </w:r>
      <w:r>
        <w:rPr>
          <w:spacing w:val="-101"/>
        </w:rPr>
      </w:r>
      <w:r>
        <w:rPr>
          <w:spacing w:val="-4"/>
        </w:rPr>
        <w:t>授信额度，其中</w:t>
      </w:r>
      <w:r>
        <w:rPr>
          <w:spacing w:val="-60"/>
        </w:rPr>
        <w:t> </w:t>
      </w:r>
      <w:r>
        <w:rPr>
          <w:rFonts w:ascii="Times New Roman" w:hAnsi="Times New Roman" w:cs="Times New Roman" w:eastAsia="Times New Roman" w:hint="default"/>
        </w:rPr>
        <w:t>6,000.00</w:t>
      </w:r>
      <w:r>
        <w:rPr>
          <w:rFonts w:ascii="Times New Roman" w:hAnsi="Times New Roman" w:cs="Times New Roman" w:eastAsia="Times New Roman" w:hint="default"/>
          <w:spacing w:val="-7"/>
        </w:rPr>
        <w:t> </w:t>
      </w:r>
      <w:r>
        <w:rPr/>
        <w:t>万元票据和贴现额度、</w:t>
      </w:r>
      <w:r>
        <w:rPr>
          <w:rFonts w:ascii="Times New Roman" w:hAnsi="Times New Roman" w:cs="Times New Roman" w:eastAsia="Times New Roman" w:hint="default"/>
        </w:rPr>
        <w:t>4,000.00</w:t>
      </w:r>
      <w:r>
        <w:rPr>
          <w:rFonts w:ascii="Times New Roman" w:hAnsi="Times New Roman" w:cs="Times New Roman" w:eastAsia="Times New Roman" w:hint="default"/>
          <w:spacing w:val="-7"/>
        </w:rPr>
        <w:t> </w:t>
      </w:r>
      <w:r>
        <w:rPr/>
        <w:t>万元流动资金贷款授 </w:t>
      </w:r>
      <w:r>
        <w:rPr>
          <w:spacing w:val="-5"/>
        </w:rPr>
        <w:t>信额度，保证期间为债务履行期限届满之日起两年。截至</w:t>
      </w:r>
      <w:r>
        <w:rPr>
          <w:spacing w:val="-50"/>
        </w:rPr>
        <w:t> </w:t>
      </w:r>
      <w:r>
        <w:rPr>
          <w:rFonts w:ascii="Times New Roman" w:hAnsi="Times New Roman" w:cs="Times New Roman" w:eastAsia="Times New Roman" w:hint="default"/>
        </w:rPr>
        <w:t>2018</w:t>
      </w:r>
      <w:r>
        <w:rPr>
          <w:rFonts w:ascii="Times New Roman" w:hAnsi="Times New Roman" w:cs="Times New Roman" w:eastAsia="Times New Roman" w:hint="default"/>
          <w:spacing w:val="3"/>
        </w:rPr>
        <w:t> </w:t>
      </w:r>
      <w:r>
        <w:rPr/>
        <w:t>年</w:t>
      </w:r>
      <w:r>
        <w:rPr>
          <w:spacing w:val="-52"/>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0"/>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t>日，</w:t>
      </w:r>
    </w:p>
    <w:p>
      <w:pPr>
        <w:pStyle w:val="BodyText"/>
        <w:spacing w:line="240" w:lineRule="auto" w:before="24"/>
        <w:ind w:right="0"/>
        <w:jc w:val="both"/>
      </w:pPr>
      <w:r>
        <w:rPr/>
        <w:t>该项担保余额为</w:t>
      </w:r>
      <w:r>
        <w:rPr>
          <w:spacing w:val="-56"/>
        </w:rPr>
        <w:t> </w:t>
      </w:r>
      <w:r>
        <w:rPr>
          <w:rFonts w:ascii="Times New Roman" w:hAnsi="Times New Roman" w:cs="Times New Roman" w:eastAsia="Times New Roman" w:hint="default"/>
        </w:rPr>
        <w:t>2,396.00</w:t>
      </w:r>
      <w:r>
        <w:rPr>
          <w:rFonts w:ascii="Times New Roman" w:hAnsi="Times New Roman" w:cs="Times New Roman" w:eastAsia="Times New Roman" w:hint="default"/>
          <w:spacing w:val="-3"/>
        </w:rPr>
        <w:t> </w:t>
      </w:r>
      <w:r>
        <w:rPr/>
        <w:t>万元，担保责任未履行完毕。</w:t>
      </w:r>
    </w:p>
    <w:p>
      <w:pPr>
        <w:pStyle w:val="BodyText"/>
        <w:spacing w:line="240" w:lineRule="auto"/>
        <w:ind w:right="0"/>
        <w:jc w:val="both"/>
      </w:pPr>
      <w:r>
        <w:rPr>
          <w:rFonts w:ascii="Times New Roman" w:hAnsi="Times New Roman" w:cs="Times New Roman" w:eastAsia="Times New Roman" w:hint="default"/>
          <w:spacing w:val="-5"/>
        </w:rPr>
        <w:t>2</w:t>
      </w:r>
      <w:r>
        <w:rPr>
          <w:spacing w:val="-5"/>
        </w:rPr>
        <w:t>、</w:t>
      </w:r>
      <w:r>
        <w:rPr>
          <w:rFonts w:ascii="Times New Roman" w:hAnsi="Times New Roman" w:cs="Times New Roman" w:eastAsia="Times New Roman" w:hint="default"/>
          <w:spacing w:val="-5"/>
        </w:rPr>
        <w:t>2018</w:t>
      </w:r>
      <w:r>
        <w:rPr>
          <w:rFonts w:ascii="Times New Roman" w:hAnsi="Times New Roman" w:cs="Times New Roman" w:eastAsia="Times New Roman" w:hint="default"/>
          <w:spacing w:val="-6"/>
        </w:rPr>
        <w:t> </w:t>
      </w:r>
      <w:r>
        <w:rPr/>
        <w:t>年</w:t>
      </w:r>
      <w:r>
        <w:rPr>
          <w:spacing w:val="-60"/>
        </w:rPr>
        <w:t> </w:t>
      </w:r>
      <w:r>
        <w:rPr>
          <w:rFonts w:ascii="Times New Roman" w:hAnsi="Times New Roman" w:cs="Times New Roman" w:eastAsia="Times New Roman" w:hint="default"/>
        </w:rPr>
        <w:t>8</w:t>
      </w:r>
      <w:r>
        <w:rPr>
          <w:rFonts w:ascii="Times New Roman" w:hAnsi="Times New Roman" w:cs="Times New Roman" w:eastAsia="Times New Roman" w:hint="default"/>
          <w:spacing w:val="-7"/>
        </w:rPr>
        <w:t> </w:t>
      </w:r>
      <w:r>
        <w:rPr/>
        <w:t>月</w:t>
      </w:r>
      <w:r>
        <w:rPr>
          <w:spacing w:val="-59"/>
        </w:rPr>
        <w:t> </w:t>
      </w:r>
      <w:r>
        <w:rPr>
          <w:rFonts w:ascii="Times New Roman" w:hAnsi="Times New Roman" w:cs="Times New Roman" w:eastAsia="Times New Roman" w:hint="default"/>
        </w:rPr>
        <w:t>9</w:t>
      </w:r>
      <w:r>
        <w:rPr>
          <w:rFonts w:ascii="Times New Roman" w:hAnsi="Times New Roman" w:cs="Times New Roman" w:eastAsia="Times New Roman" w:hint="default"/>
          <w:spacing w:val="-6"/>
        </w:rPr>
        <w:t> </w:t>
      </w:r>
      <w:r>
        <w:rPr/>
        <w:t>日，湖南长城医疗科技有限公司与中国电子财务有限责任公</w:t>
      </w:r>
    </w:p>
    <w:p>
      <w:pPr>
        <w:pStyle w:val="BodyText"/>
        <w:spacing w:line="340" w:lineRule="auto"/>
        <w:ind w:right="1792"/>
        <w:jc w:val="both"/>
      </w:pPr>
      <w:r>
        <w:rPr>
          <w:spacing w:val="-8"/>
        </w:rPr>
        <w:t>司签订《综合授信合同》，根据编号</w:t>
      </w:r>
      <w:r>
        <w:rPr>
          <w:spacing w:val="-50"/>
        </w:rPr>
        <w:t> </w:t>
      </w:r>
      <w:r>
        <w:rPr>
          <w:rFonts w:ascii="Times New Roman" w:hAnsi="Times New Roman" w:cs="Times New Roman" w:eastAsia="Times New Roman" w:hint="default"/>
        </w:rPr>
        <w:t>CECF</w:t>
      </w:r>
      <w:r>
        <w:rPr>
          <w:rFonts w:ascii="Times New Roman" w:hAnsi="Times New Roman" w:cs="Times New Roman" w:eastAsia="Times New Roman" w:hint="default"/>
          <w:spacing w:val="4"/>
        </w:rPr>
        <w:t> </w:t>
      </w:r>
      <w:r>
        <w:rPr>
          <w:spacing w:val="-2"/>
        </w:rPr>
        <w:t>综信（</w:t>
      </w:r>
      <w:r>
        <w:rPr>
          <w:rFonts w:ascii="Times New Roman" w:hAnsi="Times New Roman" w:cs="Times New Roman" w:eastAsia="Times New Roman" w:hint="default"/>
          <w:spacing w:val="-2"/>
        </w:rPr>
        <w:t>2018</w:t>
      </w:r>
      <w:r>
        <w:rPr>
          <w:spacing w:val="-2"/>
        </w:rPr>
        <w:t>）年第</w:t>
      </w:r>
      <w:r>
        <w:rPr>
          <w:spacing w:val="-48"/>
        </w:rPr>
        <w:t> </w:t>
      </w:r>
      <w:r>
        <w:rPr>
          <w:rFonts w:ascii="Times New Roman" w:hAnsi="Times New Roman" w:cs="Times New Roman" w:eastAsia="Times New Roman" w:hint="default"/>
          <w:spacing w:val="-1"/>
        </w:rPr>
        <w:t>046</w:t>
      </w:r>
      <w:r>
        <w:rPr>
          <w:rFonts w:ascii="Times New Roman" w:hAnsi="Times New Roman" w:cs="Times New Roman" w:eastAsia="Times New Roman" w:hint="default"/>
          <w:spacing w:val="5"/>
        </w:rPr>
        <w:t> </w:t>
      </w:r>
      <w:r>
        <w:rPr>
          <w:spacing w:val="-1"/>
        </w:rPr>
        <w:t>号</w:t>
      </w:r>
      <w:r>
        <w:rPr>
          <w:rFonts w:ascii="Times New Roman" w:hAnsi="Times New Roman" w:cs="Times New Roman" w:eastAsia="Times New Roman" w:hint="default"/>
          <w:spacing w:val="-1"/>
        </w:rPr>
        <w:t>-</w:t>
      </w:r>
      <w:r>
        <w:rPr>
          <w:spacing w:val="-1"/>
        </w:rPr>
        <w:t>担保第</w:t>
      </w:r>
      <w:r>
        <w:rPr>
          <w:spacing w:val="-50"/>
        </w:rPr>
        <w:t> </w:t>
      </w:r>
      <w:r>
        <w:rPr>
          <w:rFonts w:ascii="Times New Roman" w:hAnsi="Times New Roman" w:cs="Times New Roman" w:eastAsia="Times New Roman" w:hint="default"/>
        </w:rPr>
        <w:t>1</w:t>
      </w:r>
      <w:r>
        <w:rPr>
          <w:rFonts w:ascii="Times New Roman" w:hAnsi="Times New Roman" w:cs="Times New Roman" w:eastAsia="Times New Roman" w:hint="default"/>
          <w:spacing w:val="-51"/>
        </w:rPr>
        <w:t> </w:t>
      </w:r>
      <w:r>
        <w:rPr>
          <w:spacing w:val="-4"/>
        </w:rPr>
        <w:t>号最高额保证合同，本公司为中国电子财务有限责任公司与湖南长城医疗科技</w:t>
      </w:r>
      <w:r>
        <w:rPr>
          <w:spacing w:val="-73"/>
        </w:rPr>
        <w:t> </w:t>
      </w:r>
      <w:r>
        <w:rPr>
          <w:spacing w:val="-73"/>
        </w:rPr>
      </w:r>
      <w:r>
        <w:rPr/>
        <w:t>有限公司形成的商业承兑汇票提供最高余额折合人民币</w:t>
      </w:r>
      <w:r>
        <w:rPr>
          <w:spacing w:val="-56"/>
        </w:rPr>
        <w:t> </w:t>
      </w:r>
      <w:r>
        <w:rPr>
          <w:rFonts w:ascii="Times New Roman" w:hAnsi="Times New Roman" w:cs="Times New Roman" w:eastAsia="Times New Roman" w:hint="default"/>
        </w:rPr>
        <w:t>5,000.00</w:t>
      </w:r>
      <w:r>
        <w:rPr>
          <w:rFonts w:ascii="Times New Roman" w:hAnsi="Times New Roman" w:cs="Times New Roman" w:eastAsia="Times New Roman" w:hint="default"/>
          <w:spacing w:val="-3"/>
        </w:rPr>
        <w:t> </w:t>
      </w:r>
      <w:r>
        <w:rPr/>
        <w:t>万元的连带</w:t>
      </w:r>
    </w:p>
    <w:p>
      <w:pPr>
        <w:pStyle w:val="BodyText"/>
        <w:spacing w:line="240" w:lineRule="auto" w:before="11"/>
        <w:ind w:right="0"/>
        <w:jc w:val="both"/>
      </w:pPr>
      <w:r>
        <w:rPr/>
        <w:t>责任保证，保证期间为票据到期届满之日起两年。截至</w:t>
      </w:r>
      <w:r>
        <w:rPr>
          <w:spacing w:val="-54"/>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t>日，</w:t>
      </w:r>
    </w:p>
    <w:p>
      <w:pPr>
        <w:pStyle w:val="BodyText"/>
        <w:spacing w:line="328" w:lineRule="auto" w:before="110"/>
        <w:ind w:right="1676"/>
        <w:jc w:val="left"/>
      </w:pPr>
      <w:r>
        <w:rPr/>
        <w:t>湖南长城医疗科技有限公司商业承兑汇票余额为</w:t>
      </w:r>
      <w:r>
        <w:rPr>
          <w:spacing w:val="-55"/>
        </w:rPr>
        <w:t> </w:t>
      </w:r>
      <w:r>
        <w:rPr>
          <w:rFonts w:ascii="Times New Roman" w:hAnsi="Times New Roman" w:cs="Times New Roman" w:eastAsia="Times New Roman" w:hint="default"/>
        </w:rPr>
        <w:t>1,851.00</w:t>
      </w:r>
      <w:r>
        <w:rPr>
          <w:rFonts w:ascii="Times New Roman" w:hAnsi="Times New Roman" w:cs="Times New Roman" w:eastAsia="Times New Roman" w:hint="default"/>
          <w:spacing w:val="-3"/>
        </w:rPr>
        <w:t> </w:t>
      </w:r>
      <w:r>
        <w:rPr/>
        <w:t>万元，票据未到期， 担保责任未履行完毕。</w:t>
      </w:r>
    </w:p>
    <w:p>
      <w:pPr>
        <w:pStyle w:val="BodyText"/>
        <w:spacing w:line="240" w:lineRule="auto" w:before="47"/>
        <w:ind w:right="0"/>
        <w:jc w:val="both"/>
      </w:pPr>
      <w:r>
        <w:rPr>
          <w:rFonts w:ascii="Times New Roman" w:hAnsi="Times New Roman" w:cs="Times New Roman" w:eastAsia="Times New Roman" w:hint="default"/>
        </w:rPr>
        <w:t>3</w:t>
      </w:r>
      <w:r>
        <w:rPr/>
        <w:t>、</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4</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日，湖南长城计算机系统有限公司与中国电子财务有限责</w:t>
      </w:r>
    </w:p>
    <w:p>
      <w:pPr>
        <w:pStyle w:val="BodyText"/>
        <w:spacing w:line="240" w:lineRule="auto" w:before="110"/>
        <w:ind w:right="0"/>
        <w:jc w:val="both"/>
        <w:rPr>
          <w:rFonts w:ascii="Times New Roman" w:hAnsi="Times New Roman" w:cs="Times New Roman" w:eastAsia="Times New Roman" w:hint="default"/>
        </w:rPr>
      </w:pPr>
      <w:r>
        <w:rPr/>
        <w:t>任公司签订借款合同，取得短期借款</w:t>
      </w:r>
      <w:r>
        <w:rPr>
          <w:spacing w:val="-58"/>
        </w:rPr>
        <w:t> </w:t>
      </w:r>
      <w:r>
        <w:rPr>
          <w:rFonts w:ascii="Times New Roman" w:hAnsi="Times New Roman" w:cs="Times New Roman" w:eastAsia="Times New Roman" w:hint="default"/>
        </w:rPr>
        <w:t>1,000.00</w:t>
      </w:r>
      <w:r>
        <w:rPr>
          <w:rFonts w:ascii="Times New Roman" w:hAnsi="Times New Roman" w:cs="Times New Roman" w:eastAsia="Times New Roman" w:hint="default"/>
          <w:spacing w:val="-6"/>
        </w:rPr>
        <w:t> </w:t>
      </w:r>
      <w:r>
        <w:rPr>
          <w:spacing w:val="-4"/>
        </w:rPr>
        <w:t>万元，借款期限</w:t>
      </w:r>
      <w:r>
        <w:rPr>
          <w:spacing w:val="-58"/>
        </w:rPr>
        <w:t> </w:t>
      </w:r>
      <w:r>
        <w:rPr>
          <w:rFonts w:ascii="Times New Roman" w:hAnsi="Times New Roman" w:cs="Times New Roman" w:eastAsia="Times New Roman" w:hint="default"/>
        </w:rPr>
        <w:t>2018</w:t>
      </w:r>
      <w:r>
        <w:rPr>
          <w:rFonts w:ascii="Times New Roman" w:hAnsi="Times New Roman" w:cs="Times New Roman" w:eastAsia="Times New Roman" w:hint="default"/>
          <w:spacing w:val="-5"/>
        </w:rPr>
        <w:t> </w:t>
      </w:r>
      <w:r>
        <w:rPr/>
        <w:t>年</w:t>
      </w:r>
      <w:r>
        <w:rPr>
          <w:spacing w:val="-59"/>
        </w:rPr>
        <w:t> </w:t>
      </w:r>
      <w:r>
        <w:rPr>
          <w:rFonts w:ascii="Times New Roman" w:hAnsi="Times New Roman" w:cs="Times New Roman" w:eastAsia="Times New Roman" w:hint="default"/>
        </w:rPr>
        <w:t>4</w:t>
      </w:r>
      <w:r>
        <w:rPr>
          <w:rFonts w:ascii="Times New Roman" w:hAnsi="Times New Roman" w:cs="Times New Roman" w:eastAsia="Times New Roman" w:hint="default"/>
          <w:spacing w:val="-5"/>
        </w:rPr>
        <w:t> </w:t>
      </w:r>
      <w:r>
        <w:rPr/>
        <w:t>月</w:t>
      </w:r>
      <w:r>
        <w:rPr>
          <w:spacing w:val="-59"/>
        </w:rPr>
        <w:t> </w:t>
      </w:r>
      <w:r>
        <w:rPr>
          <w:rFonts w:ascii="Times New Roman" w:hAnsi="Times New Roman" w:cs="Times New Roman" w:eastAsia="Times New Roman" w:hint="default"/>
        </w:rPr>
        <w:t>12</w:t>
      </w:r>
    </w:p>
    <w:p>
      <w:pPr>
        <w:pStyle w:val="BodyText"/>
        <w:spacing w:line="340" w:lineRule="auto"/>
        <w:ind w:right="1792"/>
        <w:jc w:val="both"/>
      </w:pPr>
      <w:r>
        <w:rPr/>
        <w:t>日至</w:t>
      </w:r>
      <w:r>
        <w:rPr>
          <w:spacing w:val="-53"/>
        </w:rPr>
        <w:t> </w:t>
      </w:r>
      <w:r>
        <w:rPr>
          <w:rFonts w:ascii="Times New Roman" w:hAnsi="Times New Roman" w:cs="Times New Roman" w:eastAsia="Times New Roman" w:hint="default"/>
        </w:rPr>
        <w:t>2019 </w:t>
      </w:r>
      <w:r>
        <w:rPr/>
        <w:t>年</w:t>
      </w:r>
      <w:r>
        <w:rPr>
          <w:spacing w:val="-54"/>
        </w:rPr>
        <w:t> </w:t>
      </w:r>
      <w:r>
        <w:rPr>
          <w:rFonts w:ascii="Times New Roman" w:hAnsi="Times New Roman" w:cs="Times New Roman" w:eastAsia="Times New Roman" w:hint="default"/>
        </w:rPr>
        <w:t>4 </w:t>
      </w:r>
      <w:r>
        <w:rPr/>
        <w:t>月</w:t>
      </w:r>
      <w:r>
        <w:rPr>
          <w:spacing w:val="-54"/>
        </w:rPr>
        <w:t> </w:t>
      </w:r>
      <w:r>
        <w:rPr>
          <w:rFonts w:ascii="Times New Roman" w:hAnsi="Times New Roman" w:cs="Times New Roman" w:eastAsia="Times New Roman" w:hint="default"/>
        </w:rPr>
        <w:t>12 </w:t>
      </w:r>
      <w:r>
        <w:rPr>
          <w:spacing w:val="-6"/>
        </w:rPr>
        <w:t>日，根据编号</w:t>
      </w:r>
      <w:r>
        <w:rPr>
          <w:spacing w:val="-53"/>
        </w:rPr>
        <w:t> </w:t>
      </w:r>
      <w:r>
        <w:rPr>
          <w:rFonts w:ascii="Times New Roman" w:hAnsi="Times New Roman" w:cs="Times New Roman" w:eastAsia="Times New Roman" w:hint="default"/>
        </w:rPr>
        <w:t>CECF</w:t>
      </w:r>
      <w:r>
        <w:rPr>
          <w:rFonts w:ascii="Times New Roman" w:hAnsi="Times New Roman" w:cs="Times New Roman" w:eastAsia="Times New Roman" w:hint="default"/>
          <w:spacing w:val="-1"/>
        </w:rPr>
        <w:t> </w:t>
      </w:r>
      <w:r>
        <w:rPr>
          <w:spacing w:val="-8"/>
        </w:rPr>
        <w:t>综信（</w:t>
      </w:r>
      <w:r>
        <w:rPr>
          <w:rFonts w:ascii="Times New Roman" w:hAnsi="Times New Roman" w:cs="Times New Roman" w:eastAsia="Times New Roman" w:hint="default"/>
          <w:spacing w:val="-8"/>
        </w:rPr>
        <w:t>2017</w:t>
      </w:r>
      <w:r>
        <w:rPr>
          <w:spacing w:val="-8"/>
        </w:rPr>
        <w:t>）年第</w:t>
      </w:r>
      <w:r>
        <w:rPr>
          <w:spacing w:val="-53"/>
        </w:rPr>
        <w:t> </w:t>
      </w:r>
      <w:r>
        <w:rPr>
          <w:rFonts w:ascii="Times New Roman" w:hAnsi="Times New Roman" w:cs="Times New Roman" w:eastAsia="Times New Roman" w:hint="default"/>
        </w:rPr>
        <w:t>067</w:t>
      </w:r>
      <w:r>
        <w:rPr>
          <w:rFonts w:ascii="Times New Roman" w:hAnsi="Times New Roman" w:cs="Times New Roman" w:eastAsia="Times New Roman" w:hint="default"/>
          <w:spacing w:val="-1"/>
        </w:rPr>
        <w:t> </w:t>
      </w:r>
      <w:r>
        <w:rPr/>
        <w:t>号综合授信合 </w:t>
      </w:r>
      <w:r>
        <w:rPr>
          <w:spacing w:val="-4"/>
        </w:rPr>
        <w:t>同，本公司为上述借款提供连带责任保证，保证期间为债务履行期限届满之日</w:t>
      </w:r>
      <w:r>
        <w:rPr>
          <w:spacing w:val="-73"/>
        </w:rPr>
        <w:t> </w:t>
      </w:r>
      <w:r>
        <w:rPr>
          <w:spacing w:val="-73"/>
        </w:rPr>
      </w:r>
      <w:r>
        <w:rPr/>
        <w:t>起两年。截至</w:t>
      </w:r>
      <w:r>
        <w:rPr>
          <w:spacing w:val="-54"/>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日，湖南长城计算机系统有限公司该项贷款余</w:t>
      </w:r>
    </w:p>
    <w:p>
      <w:pPr>
        <w:pStyle w:val="BodyText"/>
        <w:spacing w:line="240" w:lineRule="auto" w:before="11"/>
        <w:ind w:right="0"/>
        <w:jc w:val="both"/>
      </w:pPr>
      <w:r>
        <w:rPr/>
        <w:t>额为</w:t>
      </w:r>
      <w:r>
        <w:rPr>
          <w:spacing w:val="-56"/>
        </w:rPr>
        <w:t> </w:t>
      </w:r>
      <w:r>
        <w:rPr>
          <w:rFonts w:ascii="Times New Roman" w:hAnsi="Times New Roman" w:cs="Times New Roman" w:eastAsia="Times New Roman" w:hint="default"/>
        </w:rPr>
        <w:t>1,000.00</w:t>
      </w:r>
      <w:r>
        <w:rPr>
          <w:rFonts w:ascii="Times New Roman" w:hAnsi="Times New Roman" w:cs="Times New Roman" w:eastAsia="Times New Roman" w:hint="default"/>
          <w:spacing w:val="-3"/>
        </w:rPr>
        <w:t> </w:t>
      </w:r>
      <w:r>
        <w:rPr/>
        <w:t>万元，担保责任未履行完毕。</w:t>
      </w:r>
    </w:p>
    <w:p>
      <w:pPr>
        <w:spacing w:after="0" w:line="240" w:lineRule="auto"/>
        <w:jc w:val="both"/>
        <w:sectPr>
          <w:pgSz w:w="11910" w:h="16840"/>
          <w:pgMar w:header="0" w:footer="1001" w:top="1520" w:bottom="1200" w:left="1660" w:right="0"/>
        </w:sectPr>
      </w:pPr>
    </w:p>
    <w:p>
      <w:pPr>
        <w:spacing w:line="240" w:lineRule="auto" w:before="8"/>
        <w:rPr>
          <w:rFonts w:ascii="宋体" w:hAnsi="宋体" w:cs="宋体" w:eastAsia="宋体" w:hint="default"/>
          <w:sz w:val="13"/>
          <w:szCs w:val="13"/>
        </w:rPr>
      </w:pPr>
    </w:p>
    <w:p>
      <w:pPr>
        <w:pStyle w:val="BodyText"/>
        <w:spacing w:line="240" w:lineRule="auto" w:before="35"/>
        <w:ind w:right="0"/>
        <w:jc w:val="both"/>
      </w:pPr>
      <w:r>
        <w:rPr>
          <w:rFonts w:ascii="Times New Roman" w:hAnsi="Times New Roman" w:cs="Times New Roman" w:eastAsia="Times New Roman" w:hint="default"/>
        </w:rPr>
        <w:t>2018</w:t>
      </w:r>
      <w:r>
        <w:rPr>
          <w:rFonts w:ascii="Times New Roman" w:hAnsi="Times New Roman" w:cs="Times New Roman" w:eastAsia="Times New Roman" w:hint="default"/>
          <w:spacing w:val="-12"/>
        </w:rPr>
        <w:t> </w:t>
      </w:r>
      <w:r>
        <w:rPr/>
        <w:t>年</w:t>
      </w:r>
      <w:r>
        <w:rPr>
          <w:spacing w:val="-64"/>
        </w:rPr>
        <w:t> </w:t>
      </w:r>
      <w:r>
        <w:rPr>
          <w:rFonts w:ascii="Times New Roman" w:hAnsi="Times New Roman" w:cs="Times New Roman" w:eastAsia="Times New Roman" w:hint="default"/>
        </w:rPr>
        <w:t>4</w:t>
      </w:r>
      <w:r>
        <w:rPr>
          <w:rFonts w:ascii="Times New Roman" w:hAnsi="Times New Roman" w:cs="Times New Roman" w:eastAsia="Times New Roman" w:hint="default"/>
          <w:spacing w:val="-12"/>
        </w:rPr>
        <w:t> </w:t>
      </w:r>
      <w:r>
        <w:rPr/>
        <w:t>月</w:t>
      </w:r>
      <w:r>
        <w:rPr>
          <w:spacing w:val="-65"/>
        </w:rPr>
        <w:t> </w:t>
      </w:r>
      <w:r>
        <w:rPr>
          <w:rFonts w:ascii="Times New Roman" w:hAnsi="Times New Roman" w:cs="Times New Roman" w:eastAsia="Times New Roman" w:hint="default"/>
        </w:rPr>
        <w:t>19</w:t>
      </w:r>
      <w:r>
        <w:rPr>
          <w:rFonts w:ascii="Times New Roman" w:hAnsi="Times New Roman" w:cs="Times New Roman" w:eastAsia="Times New Roman" w:hint="default"/>
          <w:spacing w:val="-11"/>
        </w:rPr>
        <w:t> </w:t>
      </w:r>
      <w:r>
        <w:rPr/>
        <w:t>日，湖南长城计算机系统有限公司与中国电子财务有限责任公</w:t>
      </w:r>
    </w:p>
    <w:p>
      <w:pPr>
        <w:pStyle w:val="BodyText"/>
        <w:spacing w:line="240" w:lineRule="auto" w:before="110"/>
        <w:ind w:right="0"/>
        <w:jc w:val="both"/>
      </w:pPr>
      <w:r>
        <w:rPr>
          <w:spacing w:val="-4"/>
        </w:rPr>
        <w:t>司签订借款合同，取得短期借款</w:t>
      </w:r>
      <w:r>
        <w:rPr>
          <w:spacing w:val="-54"/>
        </w:rPr>
        <w:t> </w:t>
      </w:r>
      <w:r>
        <w:rPr>
          <w:rFonts w:ascii="Times New Roman" w:hAnsi="Times New Roman" w:cs="Times New Roman" w:eastAsia="Times New Roman" w:hint="default"/>
        </w:rPr>
        <w:t>1,000.00</w:t>
      </w:r>
      <w:r>
        <w:rPr>
          <w:rFonts w:ascii="Times New Roman" w:hAnsi="Times New Roman" w:cs="Times New Roman" w:eastAsia="Times New Roman" w:hint="default"/>
          <w:spacing w:val="-1"/>
        </w:rPr>
        <w:t> </w:t>
      </w:r>
      <w:r>
        <w:rPr>
          <w:spacing w:val="-8"/>
        </w:rPr>
        <w:t>万元，借款期限</w:t>
      </w:r>
      <w:r>
        <w:rPr>
          <w:spacing w:val="-54"/>
        </w:rPr>
        <w:t> </w:t>
      </w:r>
      <w:r>
        <w:rPr>
          <w:rFonts w:ascii="Times New Roman" w:hAnsi="Times New Roman" w:cs="Times New Roman" w:eastAsia="Times New Roman" w:hint="default"/>
        </w:rPr>
        <w:t>2018</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19</w:t>
      </w:r>
      <w:r>
        <w:rPr>
          <w:rFonts w:ascii="Times New Roman" w:hAnsi="Times New Roman" w:cs="Times New Roman" w:eastAsia="Times New Roman" w:hint="default"/>
          <w:spacing w:val="-1"/>
        </w:rPr>
        <w:t> </w:t>
      </w:r>
      <w:r>
        <w:rPr/>
        <w:t>日至</w:t>
      </w:r>
    </w:p>
    <w:p>
      <w:pPr>
        <w:pStyle w:val="BodyText"/>
        <w:spacing w:line="340" w:lineRule="auto"/>
        <w:ind w:right="1742"/>
        <w:jc w:val="both"/>
      </w:pPr>
      <w:r>
        <w:rPr>
          <w:rFonts w:ascii="Times New Roman" w:hAnsi="Times New Roman" w:cs="Times New Roman" w:eastAsia="Times New Roman" w:hint="default"/>
        </w:rPr>
        <w:t>2019</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rPr>
        <w:t>4</w:t>
      </w:r>
      <w:r>
        <w:rPr>
          <w:rFonts w:ascii="Times New Roman" w:hAnsi="Times New Roman" w:cs="Times New Roman" w:eastAsia="Times New Roman" w:hint="default"/>
          <w:spacing w:val="-2"/>
        </w:rPr>
        <w:t> </w:t>
      </w:r>
      <w:r>
        <w:rPr/>
        <w:t>月</w:t>
      </w:r>
      <w:r>
        <w:rPr>
          <w:spacing w:val="-55"/>
        </w:rPr>
        <w:t> </w:t>
      </w:r>
      <w:r>
        <w:rPr>
          <w:rFonts w:ascii="Times New Roman" w:hAnsi="Times New Roman" w:cs="Times New Roman" w:eastAsia="Times New Roman" w:hint="default"/>
        </w:rPr>
        <w:t>19</w:t>
      </w:r>
      <w:r>
        <w:rPr>
          <w:rFonts w:ascii="Times New Roman" w:hAnsi="Times New Roman" w:cs="Times New Roman" w:eastAsia="Times New Roman" w:hint="default"/>
          <w:spacing w:val="-1"/>
        </w:rPr>
        <w:t> </w:t>
      </w:r>
      <w:r>
        <w:rPr/>
        <w:t>日，根据编号</w:t>
      </w:r>
      <w:r>
        <w:rPr>
          <w:spacing w:val="-54"/>
        </w:rPr>
        <w:t> </w:t>
      </w:r>
      <w:r>
        <w:rPr>
          <w:rFonts w:ascii="Times New Roman" w:hAnsi="Times New Roman" w:cs="Times New Roman" w:eastAsia="Times New Roman" w:hint="default"/>
        </w:rPr>
        <w:t>CECF</w:t>
      </w:r>
      <w:r>
        <w:rPr>
          <w:rFonts w:ascii="Times New Roman" w:hAnsi="Times New Roman" w:cs="Times New Roman" w:eastAsia="Times New Roman" w:hint="default"/>
          <w:spacing w:val="-3"/>
        </w:rPr>
        <w:t> </w:t>
      </w:r>
      <w:r>
        <w:rPr/>
        <w:t>综信（</w:t>
      </w:r>
      <w:r>
        <w:rPr>
          <w:rFonts w:ascii="Times New Roman" w:hAnsi="Times New Roman" w:cs="Times New Roman" w:eastAsia="Times New Roman" w:hint="default"/>
        </w:rPr>
        <w:t>2017</w:t>
      </w:r>
      <w:r>
        <w:rPr/>
        <w:t>）年第</w:t>
      </w:r>
      <w:r>
        <w:rPr>
          <w:spacing w:val="-54"/>
        </w:rPr>
        <w:t> </w:t>
      </w:r>
      <w:r>
        <w:rPr>
          <w:rFonts w:ascii="Times New Roman" w:hAnsi="Times New Roman" w:cs="Times New Roman" w:eastAsia="Times New Roman" w:hint="default"/>
        </w:rPr>
        <w:t>067</w:t>
      </w:r>
      <w:r>
        <w:rPr>
          <w:rFonts w:ascii="Times New Roman" w:hAnsi="Times New Roman" w:cs="Times New Roman" w:eastAsia="Times New Roman" w:hint="default"/>
          <w:spacing w:val="-2"/>
        </w:rPr>
        <w:t> </w:t>
      </w:r>
      <w:r>
        <w:rPr/>
        <w:t>号综合授信合同， </w:t>
      </w:r>
      <w:r>
        <w:rPr>
          <w:spacing w:val="-4"/>
        </w:rPr>
        <w:t>本公司为上述借款提供连带责任保证，保证期间为债务履行期限届满之日起两</w:t>
      </w:r>
      <w:r>
        <w:rPr>
          <w:spacing w:val="-73"/>
        </w:rPr>
        <w:t> </w:t>
      </w:r>
      <w:r>
        <w:rPr>
          <w:spacing w:val="-73"/>
        </w:rPr>
      </w:r>
      <w:r>
        <w:rPr/>
        <w:t>年。截至</w:t>
      </w:r>
      <w:r>
        <w:rPr>
          <w:spacing w:val="-54"/>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t>日，湖南长城计算机系统有限公司该项贷款余额为</w:t>
      </w:r>
    </w:p>
    <w:p>
      <w:pPr>
        <w:pStyle w:val="BodyText"/>
        <w:spacing w:line="240" w:lineRule="auto" w:before="11"/>
        <w:ind w:right="0"/>
        <w:jc w:val="both"/>
      </w:pPr>
      <w:r>
        <w:rPr>
          <w:rFonts w:ascii="Times New Roman" w:hAnsi="Times New Roman" w:cs="Times New Roman" w:eastAsia="Times New Roman" w:hint="default"/>
        </w:rPr>
        <w:t>1,000.00</w:t>
      </w:r>
      <w:r>
        <w:rPr>
          <w:rFonts w:ascii="Times New Roman" w:hAnsi="Times New Roman" w:cs="Times New Roman" w:eastAsia="Times New Roman" w:hint="default"/>
          <w:spacing w:val="-5"/>
        </w:rPr>
        <w:t> </w:t>
      </w:r>
      <w:r>
        <w:rPr/>
        <w:t>万元，担保责任未履行完毕。</w:t>
      </w:r>
    </w:p>
    <w:p>
      <w:pPr>
        <w:pStyle w:val="BodyText"/>
        <w:spacing w:line="240" w:lineRule="auto"/>
        <w:ind w:right="0"/>
        <w:jc w:val="both"/>
      </w:pPr>
      <w:r>
        <w:rPr>
          <w:rFonts w:ascii="Times New Roman" w:hAnsi="Times New Roman" w:cs="Times New Roman" w:eastAsia="Times New Roman" w:hint="default"/>
        </w:rPr>
        <w:t>2018</w:t>
      </w:r>
      <w:r>
        <w:rPr>
          <w:rFonts w:ascii="Times New Roman" w:hAnsi="Times New Roman" w:cs="Times New Roman" w:eastAsia="Times New Roman" w:hint="default"/>
          <w:spacing w:val="3"/>
        </w:rPr>
        <w:t> </w:t>
      </w:r>
      <w:r>
        <w:rPr/>
        <w:t>年</w:t>
      </w:r>
      <w:r>
        <w:rPr>
          <w:spacing w:val="-49"/>
        </w:rPr>
        <w:t> </w:t>
      </w:r>
      <w:r>
        <w:rPr>
          <w:rFonts w:ascii="Times New Roman" w:hAnsi="Times New Roman" w:cs="Times New Roman" w:eastAsia="Times New Roman" w:hint="default"/>
        </w:rPr>
        <w:t>9</w:t>
      </w:r>
      <w:r>
        <w:rPr>
          <w:rFonts w:ascii="Times New Roman" w:hAnsi="Times New Roman" w:cs="Times New Roman" w:eastAsia="Times New Roman" w:hint="default"/>
          <w:spacing w:val="4"/>
        </w:rPr>
        <w:t> </w:t>
      </w:r>
      <w:r>
        <w:rPr/>
        <w:t>月至</w:t>
      </w:r>
      <w:r>
        <w:rPr>
          <w:spacing w:val="-49"/>
        </w:rPr>
        <w:t> </w:t>
      </w:r>
      <w:r>
        <w:rPr>
          <w:rFonts w:ascii="Times New Roman" w:hAnsi="Times New Roman" w:cs="Times New Roman" w:eastAsia="Times New Roman" w:hint="default"/>
        </w:rPr>
        <w:t>12</w:t>
      </w:r>
      <w:r>
        <w:rPr>
          <w:rFonts w:ascii="Times New Roman" w:hAnsi="Times New Roman" w:cs="Times New Roman" w:eastAsia="Times New Roman" w:hint="default"/>
          <w:spacing w:val="4"/>
        </w:rPr>
        <w:t> </w:t>
      </w:r>
      <w:r>
        <w:rPr>
          <w:spacing w:val="-3"/>
        </w:rPr>
        <w:t>月，湖南长城计算机系统有限公司与中国电子财务有限责任</w:t>
      </w:r>
    </w:p>
    <w:p>
      <w:pPr>
        <w:pStyle w:val="BodyText"/>
        <w:spacing w:line="336" w:lineRule="auto" w:before="110"/>
        <w:ind w:right="1792"/>
        <w:jc w:val="both"/>
      </w:pPr>
      <w:r>
        <w:rPr/>
        <w:t>公司签订开立银行承兑汇票业务协定书，开出银行承兑汇票</w:t>
      </w:r>
      <w:r>
        <w:rPr>
          <w:spacing w:val="-77"/>
        </w:rPr>
        <w:t> </w:t>
      </w:r>
      <w:r>
        <w:rPr>
          <w:rFonts w:ascii="Times New Roman" w:hAnsi="Times New Roman" w:cs="Times New Roman" w:eastAsia="Times New Roman" w:hint="default"/>
        </w:rPr>
        <w:t>5,132.20</w:t>
      </w:r>
      <w:r>
        <w:rPr>
          <w:rFonts w:ascii="Times New Roman" w:hAnsi="Times New Roman" w:cs="Times New Roman" w:eastAsia="Times New Roman" w:hint="default"/>
          <w:spacing w:val="-24"/>
        </w:rPr>
        <w:t> </w:t>
      </w:r>
      <w:r>
        <w:rPr>
          <w:spacing w:val="-14"/>
        </w:rPr>
        <w:t>万元，缴</w:t>
      </w:r>
      <w:r>
        <w:rPr/>
        <w:t> 存保证金</w:t>
      </w:r>
      <w:r>
        <w:rPr>
          <w:spacing w:val="-55"/>
        </w:rPr>
        <w:t> </w:t>
      </w:r>
      <w:r>
        <w:rPr>
          <w:rFonts w:ascii="Times New Roman" w:hAnsi="Times New Roman" w:cs="Times New Roman" w:eastAsia="Times New Roman" w:hint="default"/>
        </w:rPr>
        <w:t>513.00</w:t>
      </w:r>
      <w:r>
        <w:rPr>
          <w:rFonts w:ascii="Times New Roman" w:hAnsi="Times New Roman" w:cs="Times New Roman" w:eastAsia="Times New Roman" w:hint="default"/>
          <w:spacing w:val="-1"/>
        </w:rPr>
        <w:t> </w:t>
      </w:r>
      <w:r>
        <w:rPr/>
        <w:t>万元。根据编号</w:t>
      </w:r>
      <w:r>
        <w:rPr>
          <w:spacing w:val="-55"/>
        </w:rPr>
        <w:t> </w:t>
      </w:r>
      <w:r>
        <w:rPr>
          <w:rFonts w:ascii="Times New Roman" w:hAnsi="Times New Roman" w:cs="Times New Roman" w:eastAsia="Times New Roman" w:hint="default"/>
        </w:rPr>
        <w:t>CECF</w:t>
      </w:r>
      <w:r>
        <w:rPr>
          <w:rFonts w:ascii="Times New Roman" w:hAnsi="Times New Roman" w:cs="Times New Roman" w:eastAsia="Times New Roman" w:hint="default"/>
          <w:spacing w:val="-3"/>
        </w:rPr>
        <w:t> </w:t>
      </w:r>
      <w:r>
        <w:rPr/>
        <w:t>综信（</w:t>
      </w:r>
      <w:r>
        <w:rPr>
          <w:rFonts w:ascii="Times New Roman" w:hAnsi="Times New Roman" w:cs="Times New Roman" w:eastAsia="Times New Roman" w:hint="default"/>
        </w:rPr>
        <w:t>2018</w:t>
      </w:r>
      <w:r>
        <w:rPr/>
        <w:t>）年第</w:t>
      </w:r>
      <w:r>
        <w:rPr>
          <w:spacing w:val="-55"/>
        </w:rPr>
        <w:t> </w:t>
      </w:r>
      <w:r>
        <w:rPr>
          <w:rFonts w:ascii="Times New Roman" w:hAnsi="Times New Roman" w:cs="Times New Roman" w:eastAsia="Times New Roman" w:hint="default"/>
        </w:rPr>
        <w:t>068</w:t>
      </w:r>
      <w:r>
        <w:rPr>
          <w:rFonts w:ascii="Times New Roman" w:hAnsi="Times New Roman" w:cs="Times New Roman" w:eastAsia="Times New Roman" w:hint="default"/>
          <w:spacing w:val="-3"/>
        </w:rPr>
        <w:t> </w:t>
      </w:r>
      <w:r>
        <w:rPr/>
        <w:t>号综合授信合 </w:t>
      </w:r>
      <w:r>
        <w:rPr>
          <w:spacing w:val="-4"/>
        </w:rPr>
        <w:t>同，本公司为中国电子财务有限责任公司与湖南长城计算机系统有限公司形成</w:t>
      </w:r>
      <w:r>
        <w:rPr>
          <w:spacing w:val="-73"/>
        </w:rPr>
        <w:t> </w:t>
      </w:r>
      <w:r>
        <w:rPr>
          <w:spacing w:val="-73"/>
        </w:rPr>
      </w:r>
      <w:r>
        <w:rPr/>
        <w:t>的银行承兑汇票提供最高余额折合人民币</w:t>
      </w:r>
      <w:r>
        <w:rPr>
          <w:spacing w:val="-50"/>
        </w:rPr>
        <w:t> </w:t>
      </w:r>
      <w:r>
        <w:rPr>
          <w:rFonts w:ascii="Times New Roman" w:hAnsi="Times New Roman" w:cs="Times New Roman" w:eastAsia="Times New Roman" w:hint="default"/>
          <w:spacing w:val="-1"/>
        </w:rPr>
        <w:t>5,132.20</w:t>
      </w:r>
      <w:r>
        <w:rPr>
          <w:rFonts w:ascii="Times New Roman" w:hAnsi="Times New Roman" w:cs="Times New Roman" w:eastAsia="Times New Roman" w:hint="default"/>
          <w:spacing w:val="3"/>
        </w:rPr>
        <w:t> </w:t>
      </w:r>
      <w:r>
        <w:rPr>
          <w:spacing w:val="-9"/>
        </w:rPr>
        <w:t>万元的连带责任保证，保证</w:t>
      </w:r>
    </w:p>
    <w:p>
      <w:pPr>
        <w:pStyle w:val="BodyText"/>
        <w:spacing w:line="240" w:lineRule="auto" w:before="16"/>
        <w:ind w:right="0"/>
        <w:jc w:val="both"/>
      </w:pPr>
      <w:r>
        <w:rPr/>
        <w:t>期间为债务履行期限届满之日起两年。截至</w:t>
      </w:r>
      <w:r>
        <w:rPr>
          <w:spacing w:val="-54"/>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t>日，湖南长城计</w:t>
      </w:r>
    </w:p>
    <w:p>
      <w:pPr>
        <w:pStyle w:val="BodyText"/>
        <w:spacing w:line="331" w:lineRule="auto"/>
        <w:ind w:right="1792"/>
        <w:jc w:val="both"/>
      </w:pPr>
      <w:r>
        <w:rPr/>
        <w:t>算机系统有限公司银行承兑汇票余额为</w:t>
      </w:r>
      <w:r>
        <w:rPr>
          <w:spacing w:val="-50"/>
        </w:rPr>
        <w:t> </w:t>
      </w:r>
      <w:r>
        <w:rPr>
          <w:rFonts w:ascii="Times New Roman" w:hAnsi="Times New Roman" w:cs="Times New Roman" w:eastAsia="Times New Roman" w:hint="default"/>
        </w:rPr>
        <w:t>5,132.00</w:t>
      </w:r>
      <w:r>
        <w:rPr>
          <w:rFonts w:ascii="Times New Roman" w:hAnsi="Times New Roman" w:cs="Times New Roman" w:eastAsia="Times New Roman" w:hint="default"/>
          <w:spacing w:val="3"/>
        </w:rPr>
        <w:t> </w:t>
      </w:r>
      <w:r>
        <w:rPr>
          <w:spacing w:val="-9"/>
        </w:rPr>
        <w:t>万元，票据未到期，担保责任</w:t>
      </w:r>
      <w:r>
        <w:rPr/>
        <w:t> 未履行完毕。</w:t>
      </w:r>
    </w:p>
    <w:p>
      <w:pPr>
        <w:pStyle w:val="BodyText"/>
        <w:spacing w:line="240" w:lineRule="auto" w:before="45"/>
        <w:ind w:right="0"/>
        <w:jc w:val="both"/>
      </w:pPr>
      <w:r>
        <w:rPr>
          <w:rFonts w:ascii="Times New Roman" w:hAnsi="Times New Roman" w:cs="Times New Roman" w:eastAsia="Times New Roman" w:hint="default"/>
          <w:spacing w:val="-5"/>
        </w:rPr>
        <w:t>4</w:t>
      </w:r>
      <w:r>
        <w:rPr>
          <w:spacing w:val="-5"/>
        </w:rPr>
        <w:t>、</w:t>
      </w:r>
      <w:r>
        <w:rPr>
          <w:rFonts w:ascii="Times New Roman" w:hAnsi="Times New Roman" w:cs="Times New Roman" w:eastAsia="Times New Roman" w:hint="default"/>
          <w:spacing w:val="-5"/>
        </w:rPr>
        <w:t>2014</w:t>
      </w:r>
      <w:r>
        <w:rPr>
          <w:rFonts w:ascii="Times New Roman" w:hAnsi="Times New Roman" w:cs="Times New Roman" w:eastAsia="Times New Roman" w:hint="default"/>
          <w:spacing w:val="-6"/>
        </w:rPr>
        <w:t> </w:t>
      </w:r>
      <w:r>
        <w:rPr/>
        <w:t>年</w:t>
      </w:r>
      <w:r>
        <w:rPr>
          <w:spacing w:val="-60"/>
        </w:rPr>
        <w:t> </w:t>
      </w:r>
      <w:r>
        <w:rPr>
          <w:rFonts w:ascii="Times New Roman" w:hAnsi="Times New Roman" w:cs="Times New Roman" w:eastAsia="Times New Roman" w:hint="default"/>
        </w:rPr>
        <w:t>12</w:t>
      </w:r>
      <w:r>
        <w:rPr>
          <w:rFonts w:ascii="Times New Roman" w:hAnsi="Times New Roman" w:cs="Times New Roman" w:eastAsia="Times New Roman" w:hint="default"/>
          <w:spacing w:val="-6"/>
        </w:rPr>
        <w:t> </w:t>
      </w:r>
      <w:r>
        <w:rPr/>
        <w:t>月</w:t>
      </w:r>
      <w:r>
        <w:rPr>
          <w:spacing w:val="-60"/>
        </w:rPr>
        <w:t> </w:t>
      </w:r>
      <w:r>
        <w:rPr>
          <w:rFonts w:ascii="Times New Roman" w:hAnsi="Times New Roman" w:cs="Times New Roman" w:eastAsia="Times New Roman" w:hint="default"/>
        </w:rPr>
        <w:t>22</w:t>
      </w:r>
      <w:r>
        <w:rPr>
          <w:rFonts w:ascii="Times New Roman" w:hAnsi="Times New Roman" w:cs="Times New Roman" w:eastAsia="Times New Roman" w:hint="default"/>
          <w:spacing w:val="-6"/>
        </w:rPr>
        <w:t> </w:t>
      </w:r>
      <w:r>
        <w:rPr/>
        <w:t>日，长沙中电软件园有限公司与建设银行长沙芙蓉支行签</w:t>
      </w:r>
    </w:p>
    <w:p>
      <w:pPr>
        <w:pStyle w:val="BodyText"/>
        <w:spacing w:line="240" w:lineRule="auto"/>
        <w:ind w:right="0"/>
        <w:jc w:val="both"/>
      </w:pPr>
      <w:r>
        <w:rPr/>
        <w:t>订固定资产借款合同，取得长期借款</w:t>
      </w:r>
      <w:r>
        <w:rPr>
          <w:spacing w:val="-54"/>
        </w:rPr>
        <w:t> </w:t>
      </w:r>
      <w:r>
        <w:rPr>
          <w:rFonts w:ascii="Times New Roman" w:hAnsi="Times New Roman" w:cs="Times New Roman" w:eastAsia="Times New Roman" w:hint="default"/>
        </w:rPr>
        <w:t>30,000.00</w:t>
      </w:r>
      <w:r>
        <w:rPr>
          <w:rFonts w:ascii="Times New Roman" w:hAnsi="Times New Roman" w:cs="Times New Roman" w:eastAsia="Times New Roman" w:hint="default"/>
          <w:spacing w:val="-2"/>
        </w:rPr>
        <w:t> </w:t>
      </w:r>
      <w:r>
        <w:rPr/>
        <w:t>万元，借款期限</w:t>
      </w:r>
      <w:r>
        <w:rPr>
          <w:spacing w:val="-54"/>
        </w:rPr>
        <w:t> </w:t>
      </w:r>
      <w:r>
        <w:rPr>
          <w:rFonts w:ascii="Times New Roman" w:hAnsi="Times New Roman" w:cs="Times New Roman" w:eastAsia="Times New Roman" w:hint="default"/>
        </w:rPr>
        <w:t>2014</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p>
    <w:p>
      <w:pPr>
        <w:pStyle w:val="BodyText"/>
        <w:spacing w:line="338" w:lineRule="auto" w:before="110"/>
        <w:ind w:left="1412" w:right="1792"/>
        <w:jc w:val="both"/>
      </w:pPr>
      <w:r>
        <w:rPr>
          <w:rFonts w:ascii="Times New Roman" w:hAnsi="Times New Roman" w:cs="Times New Roman" w:eastAsia="Times New Roman" w:hint="default"/>
        </w:rPr>
        <w:t>22</w:t>
      </w:r>
      <w:r>
        <w:rPr>
          <w:rFonts w:ascii="Times New Roman" w:hAnsi="Times New Roman" w:cs="Times New Roman" w:eastAsia="Times New Roman" w:hint="default"/>
          <w:spacing w:val="-2"/>
        </w:rPr>
        <w:t> </w:t>
      </w:r>
      <w:r>
        <w:rPr/>
        <w:t>日至</w:t>
      </w:r>
      <w:r>
        <w:rPr>
          <w:spacing w:val="-55"/>
        </w:rPr>
        <w:t> </w:t>
      </w:r>
      <w:r>
        <w:rPr>
          <w:rFonts w:ascii="Times New Roman" w:hAnsi="Times New Roman" w:cs="Times New Roman" w:eastAsia="Times New Roman" w:hint="default"/>
        </w:rPr>
        <w:t>2021</w:t>
      </w:r>
      <w:r>
        <w:rPr>
          <w:rFonts w:ascii="Times New Roman" w:hAnsi="Times New Roman" w:cs="Times New Roman" w:eastAsia="Times New Roman" w:hint="default"/>
          <w:spacing w:val="-3"/>
        </w:rPr>
        <w:t> </w:t>
      </w:r>
      <w:r>
        <w:rPr/>
        <w:t>年</w:t>
      </w:r>
      <w:r>
        <w:rPr>
          <w:spacing w:val="-55"/>
        </w:rPr>
        <w:t> </w:t>
      </w:r>
      <w:r>
        <w:rPr>
          <w:rFonts w:ascii="Times New Roman" w:hAnsi="Times New Roman" w:cs="Times New Roman" w:eastAsia="Times New Roman" w:hint="default"/>
        </w:rPr>
        <w:t>6</w:t>
      </w:r>
      <w:r>
        <w:rPr>
          <w:rFonts w:ascii="Times New Roman" w:hAnsi="Times New Roman" w:cs="Times New Roman" w:eastAsia="Times New Roman" w:hint="default"/>
          <w:spacing w:val="-2"/>
        </w:rPr>
        <w:t> </w:t>
      </w:r>
      <w:r>
        <w:rPr/>
        <w:t>月</w:t>
      </w:r>
      <w:r>
        <w:rPr>
          <w:spacing w:val="-56"/>
        </w:rPr>
        <w:t> </w:t>
      </w:r>
      <w:r>
        <w:rPr>
          <w:rFonts w:ascii="Times New Roman" w:hAnsi="Times New Roman" w:cs="Times New Roman" w:eastAsia="Times New Roman" w:hint="default"/>
        </w:rPr>
        <w:t>25</w:t>
      </w:r>
      <w:r>
        <w:rPr>
          <w:rFonts w:ascii="Times New Roman" w:hAnsi="Times New Roman" w:cs="Times New Roman" w:eastAsia="Times New Roman" w:hint="default"/>
          <w:spacing w:val="-2"/>
        </w:rPr>
        <w:t> </w:t>
      </w:r>
      <w:r>
        <w:rPr/>
        <w:t>日，根据编号</w:t>
      </w:r>
      <w:r>
        <w:rPr>
          <w:spacing w:val="-55"/>
        </w:rPr>
        <w:t> </w:t>
      </w:r>
      <w:r>
        <w:rPr>
          <w:rFonts w:ascii="Times New Roman" w:hAnsi="Times New Roman" w:cs="Times New Roman" w:eastAsia="Times New Roman" w:hint="default"/>
        </w:rPr>
        <w:t>2013105</w:t>
      </w:r>
      <w:r>
        <w:rPr>
          <w:rFonts w:ascii="Times New Roman" w:hAnsi="Times New Roman" w:cs="Times New Roman" w:eastAsia="Times New Roman" w:hint="default"/>
          <w:spacing w:val="-2"/>
        </w:rPr>
        <w:t> </w:t>
      </w:r>
      <w:r>
        <w:rPr/>
        <w:t>号的最高额保证合同，该笔借 </w:t>
      </w:r>
      <w:r>
        <w:rPr>
          <w:spacing w:val="-4"/>
        </w:rPr>
        <w:t>款由本公司及长沙软件园有限公司按股东出资比例提供连带责任保证，保证期</w:t>
      </w:r>
      <w:r>
        <w:rPr>
          <w:spacing w:val="-72"/>
        </w:rPr>
        <w:t> </w:t>
      </w:r>
      <w:r>
        <w:rPr>
          <w:spacing w:val="-72"/>
        </w:rPr>
      </w:r>
      <w:r>
        <w:rPr/>
        <w:t>间为债务履行期限届满之日起两年。截至</w:t>
      </w:r>
      <w:r>
        <w:rPr>
          <w:spacing w:val="-54"/>
        </w:rPr>
        <w:t> </w:t>
      </w:r>
      <w:r>
        <w:rPr>
          <w:rFonts w:ascii="Times New Roman" w:hAnsi="Times New Roman" w:cs="Times New Roman" w:eastAsia="Times New Roman" w:hint="default"/>
        </w:rPr>
        <w:t>2018</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t>日，长沙中电软件</w:t>
      </w:r>
    </w:p>
    <w:p>
      <w:pPr>
        <w:pStyle w:val="BodyText"/>
        <w:spacing w:line="240" w:lineRule="auto" w:before="14"/>
        <w:ind w:right="0"/>
        <w:jc w:val="both"/>
      </w:pPr>
      <w:r>
        <w:rPr/>
        <w:t>园有限公司该项贷款余额为</w:t>
      </w:r>
      <w:r>
        <w:rPr>
          <w:spacing w:val="-56"/>
        </w:rPr>
        <w:t> </w:t>
      </w:r>
      <w:r>
        <w:rPr>
          <w:rFonts w:ascii="Times New Roman" w:hAnsi="Times New Roman" w:cs="Times New Roman" w:eastAsia="Times New Roman" w:hint="default"/>
        </w:rPr>
        <w:t>4,000.00</w:t>
      </w:r>
      <w:r>
        <w:rPr>
          <w:rFonts w:ascii="Times New Roman" w:hAnsi="Times New Roman" w:cs="Times New Roman" w:eastAsia="Times New Roman" w:hint="default"/>
          <w:spacing w:val="-3"/>
        </w:rPr>
        <w:t> </w:t>
      </w:r>
      <w:r>
        <w:rPr/>
        <w:t>万元，担保责任未履行完毕。</w:t>
      </w:r>
    </w:p>
    <w:p>
      <w:pPr>
        <w:pStyle w:val="BodyText"/>
        <w:spacing w:line="336" w:lineRule="auto"/>
        <w:ind w:right="1792"/>
        <w:jc w:val="both"/>
      </w:pPr>
      <w:r>
        <w:rPr>
          <w:rFonts w:ascii="Times New Roman" w:hAnsi="Times New Roman" w:cs="Times New Roman" w:eastAsia="Times New Roman" w:hint="default"/>
          <w:spacing w:val="-5"/>
        </w:rPr>
        <w:t>5</w:t>
      </w:r>
      <w:r>
        <w:rPr>
          <w:spacing w:val="-5"/>
        </w:rPr>
        <w:t>、</w:t>
      </w:r>
      <w:r>
        <w:rPr>
          <w:rFonts w:ascii="Times New Roman" w:hAnsi="Times New Roman" w:cs="Times New Roman" w:eastAsia="Times New Roman" w:hint="default"/>
          <w:spacing w:val="-5"/>
        </w:rPr>
        <w:t>2018 </w:t>
      </w:r>
      <w:r>
        <w:rPr/>
        <w:t>年</w:t>
      </w:r>
      <w:r>
        <w:rPr>
          <w:spacing w:val="-59"/>
        </w:rPr>
        <w:t> </w:t>
      </w:r>
      <w:r>
        <w:rPr>
          <w:rFonts w:ascii="Times New Roman" w:hAnsi="Times New Roman" w:cs="Times New Roman" w:eastAsia="Times New Roman" w:hint="default"/>
        </w:rPr>
        <w:t>8</w:t>
      </w:r>
      <w:r>
        <w:rPr>
          <w:rFonts w:ascii="Times New Roman" w:hAnsi="Times New Roman" w:cs="Times New Roman" w:eastAsia="Times New Roman" w:hint="default"/>
          <w:spacing w:val="-6"/>
        </w:rPr>
        <w:t> </w:t>
      </w:r>
      <w:r>
        <w:rPr/>
        <w:t>月</w:t>
      </w:r>
      <w:r>
        <w:rPr>
          <w:spacing w:val="-58"/>
        </w:rPr>
        <w:t> </w:t>
      </w:r>
      <w:r>
        <w:rPr>
          <w:rFonts w:ascii="Times New Roman" w:hAnsi="Times New Roman" w:cs="Times New Roman" w:eastAsia="Times New Roman" w:hint="default"/>
        </w:rPr>
        <w:t>9</w:t>
      </w:r>
      <w:r>
        <w:rPr>
          <w:rFonts w:ascii="Times New Roman" w:hAnsi="Times New Roman" w:cs="Times New Roman" w:eastAsia="Times New Roman" w:hint="default"/>
          <w:spacing w:val="-5"/>
        </w:rPr>
        <w:t> </w:t>
      </w:r>
      <w:r>
        <w:rPr/>
        <w:t>日，湖南长城信息金融设备有限责任公司与中国电子财务有 </w:t>
      </w:r>
      <w:r>
        <w:rPr>
          <w:spacing w:val="-6"/>
        </w:rPr>
        <w:t>限责任公司签订《综合授信合同》，根据编号</w:t>
      </w:r>
      <w:r>
        <w:rPr>
          <w:spacing w:val="-48"/>
        </w:rPr>
        <w:t> </w:t>
      </w:r>
      <w:r>
        <w:rPr>
          <w:rFonts w:ascii="Times New Roman" w:hAnsi="Times New Roman" w:cs="Times New Roman" w:eastAsia="Times New Roman" w:hint="default"/>
          <w:spacing w:val="-1"/>
        </w:rPr>
        <w:t>CECF</w:t>
      </w:r>
      <w:r>
        <w:rPr>
          <w:rFonts w:ascii="Times New Roman" w:hAnsi="Times New Roman" w:cs="Times New Roman" w:eastAsia="Times New Roman" w:hint="default"/>
          <w:spacing w:val="4"/>
        </w:rPr>
        <w:t> </w:t>
      </w:r>
      <w:r>
        <w:rPr>
          <w:spacing w:val="-1"/>
        </w:rPr>
        <w:t>综信（</w:t>
      </w:r>
      <w:r>
        <w:rPr>
          <w:rFonts w:ascii="Times New Roman" w:hAnsi="Times New Roman" w:cs="Times New Roman" w:eastAsia="Times New Roman" w:hint="default"/>
          <w:spacing w:val="-1"/>
        </w:rPr>
        <w:t>2018</w:t>
      </w:r>
      <w:r>
        <w:rPr>
          <w:spacing w:val="-1"/>
        </w:rPr>
        <w:t>）第</w:t>
      </w:r>
      <w:r>
        <w:rPr>
          <w:spacing w:val="-49"/>
        </w:rPr>
        <w:t> </w:t>
      </w:r>
      <w:r>
        <w:rPr>
          <w:rFonts w:ascii="Times New Roman" w:hAnsi="Times New Roman" w:cs="Times New Roman" w:eastAsia="Times New Roman" w:hint="default"/>
          <w:spacing w:val="-1"/>
        </w:rPr>
        <w:t>045</w:t>
      </w:r>
      <w:r>
        <w:rPr>
          <w:rFonts w:ascii="Times New Roman" w:hAnsi="Times New Roman" w:cs="Times New Roman" w:eastAsia="Times New Roman" w:hint="default"/>
          <w:spacing w:val="4"/>
        </w:rPr>
        <w:t> </w:t>
      </w:r>
      <w:r>
        <w:rPr/>
        <w:t>号的</w:t>
      </w:r>
      <w:r>
        <w:rPr>
          <w:spacing w:val="-103"/>
        </w:rPr>
        <w:t> </w:t>
      </w:r>
      <w:r>
        <w:rPr>
          <w:spacing w:val="-4"/>
        </w:rPr>
        <w:t>综合授信合同，本公司为中国电子财务有限责任公司与湖南长城信息金融设备</w:t>
      </w:r>
      <w:r>
        <w:rPr>
          <w:spacing w:val="-73"/>
        </w:rPr>
        <w:t> </w:t>
      </w:r>
      <w:r>
        <w:rPr>
          <w:spacing w:val="-73"/>
        </w:rPr>
      </w:r>
      <w:r>
        <w:rPr/>
        <w:t>有限责任公司形成的银行承兑汇票提供最高余额折合人民币</w:t>
      </w:r>
      <w:r>
        <w:rPr>
          <w:spacing w:val="-55"/>
        </w:rPr>
        <w:t> </w:t>
      </w:r>
      <w:r>
        <w:rPr>
          <w:rFonts w:ascii="Times New Roman" w:hAnsi="Times New Roman" w:cs="Times New Roman" w:eastAsia="Times New Roman" w:hint="default"/>
        </w:rPr>
        <w:t>20,000.00</w:t>
      </w:r>
      <w:r>
        <w:rPr>
          <w:rFonts w:ascii="Times New Roman" w:hAnsi="Times New Roman" w:cs="Times New Roman" w:eastAsia="Times New Roman" w:hint="default"/>
          <w:spacing w:val="-3"/>
        </w:rPr>
        <w:t> </w:t>
      </w:r>
      <w:r>
        <w:rPr/>
        <w:t>万元的</w:t>
      </w:r>
    </w:p>
    <w:p>
      <w:pPr>
        <w:pStyle w:val="BodyText"/>
        <w:spacing w:line="240" w:lineRule="auto" w:before="16"/>
        <w:ind w:right="0"/>
        <w:jc w:val="both"/>
        <w:rPr>
          <w:rFonts w:ascii="Times New Roman" w:hAnsi="Times New Roman" w:cs="Times New Roman" w:eastAsia="Times New Roman" w:hint="default"/>
        </w:rPr>
      </w:pPr>
      <w:r>
        <w:rPr/>
        <w:t>连带责任保证，保证期间为票据到期届满之日起两年。截至</w:t>
      </w:r>
      <w:r>
        <w:rPr>
          <w:spacing w:val="-54"/>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31</w:t>
      </w:r>
    </w:p>
    <w:p>
      <w:pPr>
        <w:pStyle w:val="BodyText"/>
        <w:spacing w:line="328" w:lineRule="auto" w:before="110"/>
        <w:ind w:right="1676"/>
        <w:jc w:val="left"/>
      </w:pPr>
      <w:r>
        <w:rPr>
          <w:spacing w:val="-4"/>
        </w:rPr>
        <w:t>日，湖南长城信息金融设备有限责任公司银行承兑汇票余额为</w:t>
      </w:r>
      <w:r>
        <w:rPr>
          <w:spacing w:val="-49"/>
        </w:rPr>
        <w:t> </w:t>
      </w:r>
      <w:r>
        <w:rPr>
          <w:rFonts w:ascii="Times New Roman" w:hAnsi="Times New Roman" w:cs="Times New Roman" w:eastAsia="Times New Roman" w:hint="default"/>
          <w:spacing w:val="-1"/>
        </w:rPr>
        <w:t>13,849.77</w:t>
      </w:r>
      <w:r>
        <w:rPr>
          <w:rFonts w:ascii="Times New Roman" w:hAnsi="Times New Roman" w:cs="Times New Roman" w:eastAsia="Times New Roman" w:hint="default"/>
          <w:spacing w:val="3"/>
        </w:rPr>
        <w:t> </w:t>
      </w:r>
      <w:r>
        <w:rPr/>
        <w:t>万元， 票据未到期，担保责任未履行完毕。</w:t>
      </w:r>
    </w:p>
    <w:p>
      <w:pPr>
        <w:pStyle w:val="BodyText"/>
        <w:spacing w:line="240" w:lineRule="auto" w:before="47"/>
        <w:ind w:right="0"/>
        <w:jc w:val="both"/>
      </w:pPr>
      <w:r>
        <w:rPr>
          <w:rFonts w:ascii="Times New Roman" w:hAnsi="Times New Roman" w:cs="Times New Roman" w:eastAsia="Times New Roman" w:hint="default"/>
        </w:rPr>
        <w:t>6</w:t>
      </w:r>
      <w:r>
        <w:rPr/>
        <w:t>、</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9</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日，湖南长城信息金融设备有限责任公司与中国银行签订</w:t>
      </w:r>
    </w:p>
    <w:p>
      <w:pPr>
        <w:pStyle w:val="BodyText"/>
        <w:spacing w:line="240" w:lineRule="auto" w:before="110"/>
        <w:ind w:right="0"/>
        <w:jc w:val="both"/>
      </w:pPr>
      <w:r>
        <w:rPr/>
        <w:t>资金借款</w:t>
      </w:r>
      <w:r>
        <w:rPr>
          <w:spacing w:val="-53"/>
        </w:rPr>
        <w:t> </w:t>
      </w:r>
      <w:r>
        <w:rPr>
          <w:rFonts w:ascii="Times New Roman" w:hAnsi="Times New Roman" w:cs="Times New Roman" w:eastAsia="Times New Roman" w:hint="default"/>
        </w:rPr>
        <w:t>2018 </w:t>
      </w:r>
      <w:r>
        <w:rPr/>
        <w:t>年蔡借字</w:t>
      </w:r>
      <w:r>
        <w:rPr>
          <w:spacing w:val="-54"/>
        </w:rPr>
        <w:t> </w:t>
      </w:r>
      <w:r>
        <w:rPr>
          <w:rFonts w:ascii="Times New Roman" w:hAnsi="Times New Roman" w:cs="Times New Roman" w:eastAsia="Times New Roman" w:hint="default"/>
        </w:rPr>
        <w:t>024 </w:t>
      </w:r>
      <w:r>
        <w:rPr>
          <w:spacing w:val="-6"/>
        </w:rPr>
        <w:t>号合同，取得短期借款</w:t>
      </w:r>
      <w:r>
        <w:rPr>
          <w:spacing w:val="-53"/>
        </w:rPr>
        <w:t> </w:t>
      </w:r>
      <w:r>
        <w:rPr>
          <w:rFonts w:ascii="Times New Roman" w:hAnsi="Times New Roman" w:cs="Times New Roman" w:eastAsia="Times New Roman" w:hint="default"/>
        </w:rPr>
        <w:t>20,000.00</w:t>
      </w:r>
      <w:r>
        <w:rPr>
          <w:rFonts w:ascii="Times New Roman" w:hAnsi="Times New Roman" w:cs="Times New Roman" w:eastAsia="Times New Roman" w:hint="default"/>
          <w:spacing w:val="-1"/>
        </w:rPr>
        <w:t> </w:t>
      </w:r>
      <w:r>
        <w:rPr>
          <w:spacing w:val="-8"/>
        </w:rPr>
        <w:t>万元，借款期限</w:t>
      </w:r>
    </w:p>
    <w:p>
      <w:pPr>
        <w:pStyle w:val="BodyText"/>
        <w:spacing w:line="340" w:lineRule="auto"/>
        <w:ind w:right="1784"/>
        <w:jc w:val="left"/>
      </w:pPr>
      <w:r>
        <w:rPr>
          <w:rFonts w:ascii="Times New Roman" w:hAnsi="Times New Roman" w:cs="Times New Roman" w:eastAsia="Times New Roman" w:hint="default"/>
        </w:rPr>
        <w:t>2018</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rPr>
        <w:t>9</w:t>
      </w:r>
      <w:r>
        <w:rPr>
          <w:rFonts w:ascii="Times New Roman" w:hAnsi="Times New Roman" w:cs="Times New Roman" w:eastAsia="Times New Roman" w:hint="default"/>
          <w:spacing w:val="-2"/>
        </w:rPr>
        <w:t> </w:t>
      </w:r>
      <w:r>
        <w:rPr/>
        <w:t>月</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日至</w:t>
      </w:r>
      <w:r>
        <w:rPr>
          <w:spacing w:val="-54"/>
        </w:rPr>
        <w:t> </w:t>
      </w:r>
      <w:r>
        <w:rPr>
          <w:rFonts w:ascii="Times New Roman" w:hAnsi="Times New Roman" w:cs="Times New Roman" w:eastAsia="Times New Roman" w:hint="default"/>
        </w:rPr>
        <w:t>2019</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rPr>
        <w:t>9</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spacing w:val="-4"/>
        </w:rPr>
        <w:t>11</w:t>
      </w:r>
      <w:r>
        <w:rPr>
          <w:rFonts w:ascii="Times New Roman" w:hAnsi="Times New Roman" w:cs="Times New Roman" w:eastAsia="Times New Roman" w:hint="default"/>
          <w:spacing w:val="-1"/>
        </w:rPr>
        <w:t> </w:t>
      </w:r>
      <w:r>
        <w:rPr/>
        <w:t>日，根据编号</w:t>
      </w:r>
      <w:r>
        <w:rPr>
          <w:spacing w:val="-54"/>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年财保字</w:t>
      </w:r>
      <w:r>
        <w:rPr>
          <w:spacing w:val="-54"/>
        </w:rPr>
        <w:t> </w:t>
      </w:r>
      <w:r>
        <w:rPr>
          <w:rFonts w:ascii="Times New Roman" w:hAnsi="Times New Roman" w:cs="Times New Roman" w:eastAsia="Times New Roman" w:hint="default"/>
          <w:spacing w:val="-3"/>
        </w:rPr>
        <w:t>011</w:t>
      </w:r>
      <w:r>
        <w:rPr>
          <w:rFonts w:ascii="Times New Roman" w:hAnsi="Times New Roman" w:cs="Times New Roman" w:eastAsia="Times New Roman" w:hint="default"/>
          <w:spacing w:val="-1"/>
        </w:rPr>
        <w:t> </w:t>
      </w:r>
      <w:r>
        <w:rPr/>
        <w:t>号的最 </w:t>
      </w:r>
      <w:r>
        <w:rPr>
          <w:spacing w:val="-4"/>
        </w:rPr>
        <w:t>高额保证合同，该笔借款由本公司提供连带责任保证，保证期间为债务履行期</w:t>
      </w:r>
      <w:r>
        <w:rPr>
          <w:spacing w:val="-73"/>
        </w:rPr>
        <w:t> </w:t>
      </w:r>
      <w:r>
        <w:rPr>
          <w:spacing w:val="-73"/>
        </w:rPr>
      </w:r>
      <w:r>
        <w:rPr/>
        <w:t>限届满之日起两年。截至</w:t>
      </w:r>
      <w:r>
        <w:rPr>
          <w:spacing w:val="-54"/>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日，湖南长城信息金融设备有限责</w:t>
      </w:r>
    </w:p>
    <w:p>
      <w:pPr>
        <w:pStyle w:val="BodyText"/>
        <w:spacing w:line="240" w:lineRule="auto" w:before="11"/>
        <w:ind w:right="0"/>
        <w:jc w:val="both"/>
      </w:pPr>
      <w:r>
        <w:rPr/>
        <w:t>任公司该项贷款余额为</w:t>
      </w:r>
      <w:r>
        <w:rPr>
          <w:spacing w:val="-56"/>
        </w:rPr>
        <w:t> </w:t>
      </w:r>
      <w:r>
        <w:rPr>
          <w:rFonts w:ascii="Times New Roman" w:hAnsi="Times New Roman" w:cs="Times New Roman" w:eastAsia="Times New Roman" w:hint="default"/>
        </w:rPr>
        <w:t>0.00</w:t>
      </w:r>
      <w:r>
        <w:rPr>
          <w:rFonts w:ascii="Times New Roman" w:hAnsi="Times New Roman" w:cs="Times New Roman" w:eastAsia="Times New Roman" w:hint="default"/>
          <w:spacing w:val="-2"/>
        </w:rPr>
        <w:t> </w:t>
      </w:r>
      <w:r>
        <w:rPr/>
        <w:t>万元，担保责任未履行完毕。</w:t>
      </w:r>
    </w:p>
    <w:p>
      <w:pPr>
        <w:pStyle w:val="BodyText"/>
        <w:spacing w:line="240" w:lineRule="auto"/>
        <w:ind w:right="0"/>
        <w:jc w:val="both"/>
      </w:pPr>
      <w:r>
        <w:rPr>
          <w:rFonts w:ascii="Times New Roman" w:hAnsi="Times New Roman" w:cs="Times New Roman" w:eastAsia="Times New Roman" w:hint="default"/>
        </w:rPr>
        <w:t>2018</w:t>
      </w:r>
      <w:r>
        <w:rPr>
          <w:rFonts w:ascii="Times New Roman" w:hAnsi="Times New Roman" w:cs="Times New Roman" w:eastAsia="Times New Roman" w:hint="default"/>
          <w:spacing w:val="-12"/>
        </w:rPr>
        <w:t> </w:t>
      </w:r>
      <w:r>
        <w:rPr/>
        <w:t>年</w:t>
      </w:r>
      <w:r>
        <w:rPr>
          <w:spacing w:val="-65"/>
        </w:rPr>
        <w:t> </w:t>
      </w:r>
      <w:r>
        <w:rPr>
          <w:rFonts w:ascii="Times New Roman" w:hAnsi="Times New Roman" w:cs="Times New Roman" w:eastAsia="Times New Roman" w:hint="default"/>
        </w:rPr>
        <w:t>7</w:t>
      </w:r>
      <w:r>
        <w:rPr>
          <w:rFonts w:ascii="Times New Roman" w:hAnsi="Times New Roman" w:cs="Times New Roman" w:eastAsia="Times New Roman" w:hint="default"/>
          <w:spacing w:val="-12"/>
        </w:rPr>
        <w:t> </w:t>
      </w:r>
      <w:r>
        <w:rPr/>
        <w:t>月</w:t>
      </w:r>
      <w:r>
        <w:rPr>
          <w:spacing w:val="-65"/>
        </w:rPr>
        <w:t> </w:t>
      </w:r>
      <w:r>
        <w:rPr>
          <w:rFonts w:ascii="Times New Roman" w:hAnsi="Times New Roman" w:cs="Times New Roman" w:eastAsia="Times New Roman" w:hint="default"/>
        </w:rPr>
        <w:t>16</w:t>
      </w:r>
      <w:r>
        <w:rPr>
          <w:rFonts w:ascii="Times New Roman" w:hAnsi="Times New Roman" w:cs="Times New Roman" w:eastAsia="Times New Roman" w:hint="default"/>
          <w:spacing w:val="-12"/>
        </w:rPr>
        <w:t> </w:t>
      </w:r>
      <w:r>
        <w:rPr/>
        <w:t>日，湖南长城信息金融设备有限责任公司与招商银行签订《综</w:t>
      </w:r>
    </w:p>
    <w:p>
      <w:pPr>
        <w:spacing w:after="0" w:line="240" w:lineRule="auto"/>
        <w:jc w:val="both"/>
        <w:sectPr>
          <w:pgSz w:w="11910" w:h="16840"/>
          <w:pgMar w:header="0" w:footer="1001" w:top="1520" w:bottom="1200" w:left="1660" w:right="0"/>
        </w:sectPr>
      </w:pPr>
    </w:p>
    <w:p>
      <w:pPr>
        <w:spacing w:line="240" w:lineRule="auto" w:before="8"/>
        <w:rPr>
          <w:rFonts w:ascii="宋体" w:hAnsi="宋体" w:cs="宋体" w:eastAsia="宋体" w:hint="default"/>
          <w:sz w:val="13"/>
          <w:szCs w:val="13"/>
        </w:rPr>
      </w:pPr>
    </w:p>
    <w:p>
      <w:pPr>
        <w:pStyle w:val="BodyText"/>
        <w:spacing w:line="331" w:lineRule="auto" w:before="35"/>
        <w:ind w:right="1781"/>
        <w:jc w:val="left"/>
        <w:rPr>
          <w:rFonts w:ascii="Times New Roman" w:hAnsi="Times New Roman" w:cs="Times New Roman" w:eastAsia="Times New Roman" w:hint="default"/>
        </w:rPr>
      </w:pPr>
      <w:r>
        <w:rPr>
          <w:spacing w:val="-9"/>
        </w:rPr>
        <w:t>合授信合同》，取得人民币</w:t>
      </w:r>
      <w:r>
        <w:rPr>
          <w:spacing w:val="-53"/>
        </w:rPr>
        <w:t> </w:t>
      </w:r>
      <w:r>
        <w:rPr>
          <w:rFonts w:ascii="Times New Roman" w:hAnsi="Times New Roman" w:cs="Times New Roman" w:eastAsia="Times New Roman" w:hint="default"/>
          <w:spacing w:val="-1"/>
        </w:rPr>
        <w:t>8,000.00 </w:t>
      </w:r>
      <w:r>
        <w:rPr/>
        <w:t>万元的综合授信额度，根据编号</w:t>
      </w:r>
      <w:r>
        <w:rPr>
          <w:spacing w:val="-99"/>
        </w:rPr>
        <w:t> </w:t>
      </w:r>
      <w:r>
        <w:rPr>
          <w:rFonts w:ascii="Times New Roman" w:hAnsi="Times New Roman" w:cs="Times New Roman" w:eastAsia="Times New Roman" w:hint="default"/>
        </w:rPr>
        <w:t>731CY2018021067</w:t>
      </w:r>
      <w:r>
        <w:rPr>
          <w:rFonts w:ascii="Times New Roman" w:hAnsi="Times New Roman" w:cs="Times New Roman" w:eastAsia="Times New Roman" w:hint="default"/>
          <w:spacing w:val="-4"/>
        </w:rPr>
        <w:t> </w:t>
      </w:r>
      <w:r>
        <w:rPr/>
        <w:t>的授信协议，本公司为湖南长城信息金融设备有限责任公 司提供连带责任保证，保证期间为债务履行到期日另加一年。截至</w:t>
      </w:r>
      <w:r>
        <w:rPr>
          <w:spacing w:val="-72"/>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9"/>
        </w:rPr>
        <w:t> </w:t>
      </w:r>
      <w:r>
        <w:rPr/>
        <w:t>年</w:t>
      </w:r>
      <w:r>
        <w:rPr>
          <w:spacing w:val="-72"/>
        </w:rPr>
        <w:t> </w:t>
      </w:r>
      <w:r>
        <w:rPr>
          <w:rFonts w:ascii="Times New Roman" w:hAnsi="Times New Roman" w:cs="Times New Roman" w:eastAsia="Times New Roman" w:hint="default"/>
        </w:rPr>
        <w:t>12</w:t>
      </w:r>
    </w:p>
    <w:p>
      <w:pPr>
        <w:pStyle w:val="BodyText"/>
        <w:spacing w:line="240" w:lineRule="auto" w:before="20"/>
        <w:ind w:right="3681"/>
        <w:jc w:val="left"/>
      </w:pPr>
      <w:r>
        <w:rPr/>
        <w:t>月</w:t>
      </w:r>
      <w:r>
        <w:rPr>
          <w:spacing w:val="-55"/>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t>日，上述额度尚未使用，担保责任未履行完毕。</w:t>
      </w:r>
    </w:p>
    <w:p>
      <w:pPr>
        <w:pStyle w:val="BodyText"/>
        <w:spacing w:line="328" w:lineRule="auto" w:before="110"/>
        <w:ind w:right="1784"/>
        <w:jc w:val="left"/>
      </w:pPr>
      <w:r>
        <w:rPr>
          <w:rFonts w:ascii="Times New Roman" w:hAnsi="Times New Roman" w:cs="Times New Roman" w:eastAsia="Times New Roman" w:hint="default"/>
          <w:spacing w:val="-4"/>
        </w:rPr>
        <w:t>7</w:t>
      </w:r>
      <w:r>
        <w:rPr>
          <w:spacing w:val="-4"/>
        </w:rPr>
        <w:t>、中国电子财务有限责任公司为公司在国开行（国开基金）的</w:t>
      </w:r>
      <w:r>
        <w:rPr>
          <w:spacing w:val="-53"/>
        </w:rPr>
        <w:t> </w:t>
      </w:r>
      <w:r>
        <w:rPr>
          <w:rFonts w:ascii="Times New Roman" w:hAnsi="Times New Roman" w:cs="Times New Roman" w:eastAsia="Times New Roman" w:hint="default"/>
        </w:rPr>
        <w:t>11,200.00</w:t>
      </w:r>
      <w:r>
        <w:rPr>
          <w:rFonts w:ascii="Times New Roman" w:hAnsi="Times New Roman" w:cs="Times New Roman" w:eastAsia="Times New Roman" w:hint="default"/>
          <w:spacing w:val="-1"/>
        </w:rPr>
        <w:t> </w:t>
      </w:r>
      <w:r>
        <w:rPr/>
        <w:t>万元 </w:t>
      </w:r>
      <w:r>
        <w:rPr>
          <w:spacing w:val="-4"/>
        </w:rPr>
        <w:t>贷款提供全额信用担保，同时公司与中国电子财务有限责任公司签署《反担保</w:t>
      </w:r>
    </w:p>
    <w:p>
      <w:pPr>
        <w:pStyle w:val="BodyText"/>
        <w:spacing w:line="350" w:lineRule="auto" w:before="47"/>
        <w:ind w:right="1671"/>
        <w:jc w:val="left"/>
      </w:pPr>
      <w:r>
        <w:rPr>
          <w:spacing w:val="-10"/>
        </w:rPr>
        <w:t>（存单质押）协议书》。根据《全面金融合作协议》、《反担保（存单质押）协</w:t>
      </w:r>
      <w:r>
        <w:rPr>
          <w:spacing w:val="-74"/>
        </w:rPr>
        <w:t> </w:t>
      </w:r>
      <w:r>
        <w:rPr>
          <w:spacing w:val="-74"/>
        </w:rPr>
      </w:r>
      <w:r>
        <w:rPr/>
        <w:t>议书》的约定，公司在中国电子财务有限责任公司开立的等额定期存单质押， 作为中国电子财务有限责任公司提供上述连带责任保证的反担保。</w:t>
      </w:r>
    </w:p>
    <w:p>
      <w:pPr>
        <w:pStyle w:val="BodyText"/>
        <w:spacing w:line="240" w:lineRule="auto" w:before="28"/>
        <w:ind w:right="1682"/>
        <w:jc w:val="left"/>
      </w:pPr>
      <w:r>
        <w:rPr>
          <w:rFonts w:ascii="Times New Roman" w:hAnsi="Times New Roman" w:cs="Times New Roman" w:eastAsia="Times New Roman" w:hint="default"/>
          <w:spacing w:val="-4"/>
        </w:rPr>
        <w:t>8</w:t>
      </w:r>
      <w:r>
        <w:rPr>
          <w:spacing w:val="-4"/>
        </w:rPr>
        <w:t>、</w:t>
      </w:r>
      <w:r>
        <w:rPr>
          <w:rFonts w:ascii="Times New Roman" w:hAnsi="Times New Roman" w:cs="Times New Roman" w:eastAsia="Times New Roman" w:hint="default"/>
          <w:spacing w:val="-4"/>
        </w:rPr>
        <w:t>2018</w:t>
      </w:r>
      <w:r>
        <w:rPr>
          <w:rFonts w:ascii="Times New Roman" w:hAnsi="Times New Roman" w:cs="Times New Roman" w:eastAsia="Times New Roman" w:hint="default"/>
          <w:spacing w:val="-5"/>
        </w:rPr>
        <w:t> </w:t>
      </w:r>
      <w:r>
        <w:rPr/>
        <w:t>年</w:t>
      </w:r>
      <w:r>
        <w:rPr>
          <w:spacing w:val="-59"/>
        </w:rPr>
        <w:t> </w:t>
      </w:r>
      <w:r>
        <w:rPr>
          <w:rFonts w:ascii="Times New Roman" w:hAnsi="Times New Roman" w:cs="Times New Roman" w:eastAsia="Times New Roman" w:hint="default"/>
          <w:spacing w:val="-4"/>
        </w:rPr>
        <w:t>11</w:t>
      </w:r>
      <w:r>
        <w:rPr>
          <w:rFonts w:ascii="Times New Roman" w:hAnsi="Times New Roman" w:cs="Times New Roman" w:eastAsia="Times New Roman" w:hint="default"/>
          <w:spacing w:val="-5"/>
        </w:rPr>
        <w:t> </w:t>
      </w:r>
      <w:r>
        <w:rPr/>
        <w:t>月</w:t>
      </w:r>
      <w:r>
        <w:rPr>
          <w:spacing w:val="-59"/>
        </w:rPr>
        <w:t> </w:t>
      </w:r>
      <w:r>
        <w:rPr>
          <w:rFonts w:ascii="Times New Roman" w:hAnsi="Times New Roman" w:cs="Times New Roman" w:eastAsia="Times New Roman" w:hint="default"/>
        </w:rPr>
        <w:t>21</w:t>
      </w:r>
      <w:r>
        <w:rPr>
          <w:rFonts w:ascii="Times New Roman" w:hAnsi="Times New Roman" w:cs="Times New Roman" w:eastAsia="Times New Roman" w:hint="default"/>
          <w:spacing w:val="-5"/>
        </w:rPr>
        <w:t> </w:t>
      </w:r>
      <w:r>
        <w:rPr/>
        <w:t>日，武汉中原电子信息有限公司公司与中国民生银行银行</w:t>
      </w:r>
    </w:p>
    <w:p>
      <w:pPr>
        <w:pStyle w:val="BodyText"/>
        <w:spacing w:line="336" w:lineRule="auto" w:before="110"/>
        <w:ind w:right="1780"/>
        <w:jc w:val="left"/>
      </w:pPr>
      <w:r>
        <w:rPr/>
        <w:t>签订开立银行保函协议，开出银行保函</w:t>
      </w:r>
      <w:r>
        <w:rPr>
          <w:spacing w:val="-54"/>
        </w:rPr>
        <w:t> </w:t>
      </w:r>
      <w:r>
        <w:rPr>
          <w:rFonts w:ascii="Times New Roman" w:hAnsi="Times New Roman" w:cs="Times New Roman" w:eastAsia="Times New Roman" w:hint="default"/>
        </w:rPr>
        <w:t>657.46</w:t>
      </w:r>
      <w:r>
        <w:rPr>
          <w:rFonts w:ascii="Times New Roman" w:hAnsi="Times New Roman" w:cs="Times New Roman" w:eastAsia="Times New Roman" w:hint="default"/>
          <w:spacing w:val="-2"/>
        </w:rPr>
        <w:t> </w:t>
      </w:r>
      <w:r>
        <w:rPr/>
        <w:t>万元，根据编号 </w:t>
      </w:r>
      <w:r>
        <w:rPr>
          <w:rFonts w:ascii="Times New Roman" w:hAnsi="Times New Roman" w:cs="Times New Roman" w:eastAsia="Times New Roman" w:hint="default"/>
        </w:rPr>
        <w:t>ZH1800000134310</w:t>
      </w:r>
      <w:r>
        <w:rPr>
          <w:rFonts w:ascii="Times New Roman" w:hAnsi="Times New Roman" w:cs="Times New Roman" w:eastAsia="Times New Roman" w:hint="default"/>
          <w:spacing w:val="-3"/>
        </w:rPr>
        <w:t> </w:t>
      </w:r>
      <w:r>
        <w:rPr/>
        <w:t>号最高额保证合同，武汉中元通信股份有限公司为中国民 生银行银行与武汉中原电子信息有限公司公司形成的银行保函提供最高余额 折合人民币 </w:t>
      </w:r>
      <w:r>
        <w:rPr>
          <w:rFonts w:ascii="Times New Roman" w:hAnsi="Times New Roman" w:cs="Times New Roman" w:eastAsia="Times New Roman" w:hint="default"/>
          <w:spacing w:val="-1"/>
        </w:rPr>
        <w:t>6,000.00</w:t>
      </w:r>
      <w:r>
        <w:rPr>
          <w:rFonts w:ascii="Times New Roman" w:hAnsi="Times New Roman" w:cs="Times New Roman" w:eastAsia="Times New Roman" w:hint="default"/>
          <w:spacing w:val="-29"/>
        </w:rPr>
        <w:t> </w:t>
      </w:r>
      <w:r>
        <w:rPr>
          <w:spacing w:val="-5"/>
        </w:rPr>
        <w:t>万元的连带责任保证，保证期间为保函到期注销日另加两</w:t>
      </w:r>
    </w:p>
    <w:p>
      <w:pPr>
        <w:pStyle w:val="BodyText"/>
        <w:spacing w:line="240" w:lineRule="auto" w:before="16"/>
        <w:ind w:right="1793"/>
        <w:jc w:val="left"/>
      </w:pPr>
      <w:r>
        <w:rPr/>
        <w:t>年。截至</w:t>
      </w:r>
      <w:r>
        <w:rPr>
          <w:spacing w:val="-54"/>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t>日，武汉中原电子信息有限公司银行保函余额为</w:t>
      </w:r>
    </w:p>
    <w:p>
      <w:pPr>
        <w:pStyle w:val="BodyText"/>
        <w:spacing w:line="240" w:lineRule="auto"/>
        <w:ind w:right="3681"/>
        <w:jc w:val="left"/>
      </w:pPr>
      <w:r>
        <w:rPr>
          <w:rFonts w:ascii="Times New Roman" w:hAnsi="Times New Roman" w:cs="Times New Roman" w:eastAsia="Times New Roman" w:hint="default"/>
        </w:rPr>
        <w:t>657.46</w:t>
      </w:r>
      <w:r>
        <w:rPr>
          <w:rFonts w:ascii="Times New Roman" w:hAnsi="Times New Roman" w:cs="Times New Roman" w:eastAsia="Times New Roman" w:hint="default"/>
          <w:spacing w:val="-4"/>
        </w:rPr>
        <w:t> </w:t>
      </w:r>
      <w:r>
        <w:rPr/>
        <w:t>万元，尚未到期，担保责任未履行完毕。</w:t>
      </w:r>
    </w:p>
    <w:p>
      <w:pPr>
        <w:pStyle w:val="BodyText"/>
        <w:spacing w:line="240" w:lineRule="auto" w:before="110"/>
        <w:ind w:right="1793"/>
        <w:jc w:val="left"/>
      </w:pPr>
      <w:r>
        <w:rPr>
          <w:rFonts w:ascii="Times New Roman" w:hAnsi="Times New Roman" w:cs="Times New Roman" w:eastAsia="Times New Roman" w:hint="default"/>
        </w:rPr>
        <w:t>9</w:t>
      </w:r>
      <w:r>
        <w:rPr/>
        <w:t>、</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日，武汉长光电源有限公司与中国电子财务有限责任公司</w:t>
      </w:r>
    </w:p>
    <w:p>
      <w:pPr>
        <w:pStyle w:val="BodyText"/>
        <w:spacing w:line="240" w:lineRule="auto"/>
        <w:ind w:right="1682"/>
        <w:jc w:val="left"/>
      </w:pPr>
      <w:r>
        <w:rPr/>
        <w:t>签订《借款合同</w:t>
      </w:r>
      <w:r>
        <w:rPr>
          <w:spacing w:val="-105"/>
        </w:rPr>
        <w:t>》</w:t>
      </w:r>
      <w:r>
        <w:rPr/>
        <w:t>，以</w:t>
      </w:r>
      <w:r>
        <w:rPr>
          <w:spacing w:val="-2"/>
        </w:rPr>
        <w:t>信</w:t>
      </w:r>
      <w:r>
        <w:rPr/>
        <w:t>用担保方式为获得流动资金借款人民币</w:t>
      </w:r>
      <w:r>
        <w:rPr>
          <w:spacing w:val="-53"/>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0</w:t>
      </w:r>
      <w:r>
        <w:rPr>
          <w:rFonts w:ascii="Times New Roman" w:hAnsi="Times New Roman" w:cs="Times New Roman" w:eastAsia="Times New Roman" w:hint="default"/>
        </w:rPr>
        <w:t>0</w:t>
      </w:r>
      <w:r>
        <w:rPr>
          <w:rFonts w:ascii="Times New Roman" w:hAnsi="Times New Roman" w:cs="Times New Roman" w:eastAsia="Times New Roman" w:hint="default"/>
          <w:spacing w:val="-1"/>
        </w:rPr>
        <w:t>.</w:t>
      </w:r>
      <w:r>
        <w:rPr>
          <w:rFonts w:ascii="Times New Roman" w:hAnsi="Times New Roman" w:cs="Times New Roman" w:eastAsia="Times New Roman" w:hint="default"/>
        </w:rPr>
        <w:t>00</w:t>
      </w:r>
      <w:r>
        <w:rPr>
          <w:rFonts w:ascii="Times New Roman" w:hAnsi="Times New Roman" w:cs="Times New Roman" w:eastAsia="Times New Roman" w:hint="default"/>
          <w:spacing w:val="-1"/>
        </w:rPr>
        <w:t> </w:t>
      </w:r>
      <w:r>
        <w:rPr/>
        <w:t>万元，</w:t>
      </w:r>
    </w:p>
    <w:p>
      <w:pPr>
        <w:pStyle w:val="BodyText"/>
        <w:spacing w:line="240" w:lineRule="auto"/>
        <w:ind w:right="1682"/>
        <w:jc w:val="left"/>
      </w:pPr>
      <w:r>
        <w:rPr>
          <w:spacing w:val="-4"/>
        </w:rPr>
        <w:t>期限一年；</w:t>
      </w:r>
      <w:r>
        <w:rPr>
          <w:rFonts w:ascii="Times New Roman" w:hAnsi="Times New Roman" w:cs="Times New Roman" w:eastAsia="Times New Roman" w:hint="default"/>
          <w:spacing w:val="-4"/>
        </w:rPr>
        <w:t>2018</w:t>
      </w:r>
      <w:r>
        <w:rPr>
          <w:rFonts w:ascii="Times New Roman" w:hAnsi="Times New Roman" w:cs="Times New Roman" w:eastAsia="Times New Roman" w:hint="default"/>
          <w:spacing w:val="-5"/>
        </w:rPr>
        <w:t> </w:t>
      </w:r>
      <w:r>
        <w:rPr/>
        <w:t>年</w:t>
      </w:r>
      <w:r>
        <w:rPr>
          <w:spacing w:val="-59"/>
        </w:rPr>
        <w:t> </w:t>
      </w:r>
      <w:r>
        <w:rPr>
          <w:rFonts w:ascii="Times New Roman" w:hAnsi="Times New Roman" w:cs="Times New Roman" w:eastAsia="Times New Roman" w:hint="default"/>
        </w:rPr>
        <w:t>3</w:t>
      </w:r>
      <w:r>
        <w:rPr>
          <w:rFonts w:ascii="Times New Roman" w:hAnsi="Times New Roman" w:cs="Times New Roman" w:eastAsia="Times New Roman" w:hint="default"/>
          <w:spacing w:val="-5"/>
        </w:rPr>
        <w:t> </w:t>
      </w:r>
      <w:r>
        <w:rPr/>
        <w:t>月</w:t>
      </w:r>
      <w:r>
        <w:rPr>
          <w:spacing w:val="-59"/>
        </w:rPr>
        <w:t> </w:t>
      </w:r>
      <w:r>
        <w:rPr>
          <w:rFonts w:ascii="Times New Roman" w:hAnsi="Times New Roman" w:cs="Times New Roman" w:eastAsia="Times New Roman" w:hint="default"/>
        </w:rPr>
        <w:t>28</w:t>
      </w:r>
      <w:r>
        <w:rPr>
          <w:rFonts w:ascii="Times New Roman" w:hAnsi="Times New Roman" w:cs="Times New Roman" w:eastAsia="Times New Roman" w:hint="default"/>
          <w:spacing w:val="-5"/>
        </w:rPr>
        <w:t> </w:t>
      </w:r>
      <w:r>
        <w:rPr/>
        <w:t>日，武汉长光电源有限公司与中国电子财务有限责</w:t>
      </w:r>
    </w:p>
    <w:p>
      <w:pPr>
        <w:pStyle w:val="BodyText"/>
        <w:spacing w:line="240" w:lineRule="auto" w:before="110"/>
        <w:ind w:right="1682"/>
        <w:jc w:val="left"/>
        <w:rPr>
          <w:rFonts w:ascii="Times New Roman" w:hAnsi="Times New Roman" w:cs="Times New Roman" w:eastAsia="Times New Roman" w:hint="default"/>
        </w:rPr>
      </w:pPr>
      <w:r>
        <w:rPr/>
        <w:t>任公司签订《借款合同</w:t>
      </w:r>
      <w:r>
        <w:rPr>
          <w:spacing w:val="-106"/>
        </w:rPr>
        <w:t>》</w:t>
      </w:r>
      <w:r>
        <w:rPr/>
        <w:t>，以信用担保方式为获得流动资金借款人民币</w:t>
      </w:r>
      <w:r>
        <w:rPr>
          <w:spacing w:val="-53"/>
        </w:rPr>
        <w:t> </w:t>
      </w:r>
      <w:r>
        <w:rPr>
          <w:rFonts w:ascii="Times New Roman" w:hAnsi="Times New Roman" w:cs="Times New Roman" w:eastAsia="Times New Roman" w:hint="default"/>
          <w:spacing w:val="-1"/>
        </w:rPr>
        <w:t>5</w:t>
      </w:r>
      <w:r>
        <w:rPr>
          <w:rFonts w:ascii="Times New Roman" w:hAnsi="Times New Roman" w:cs="Times New Roman" w:eastAsia="Times New Roman" w:hint="default"/>
        </w:rPr>
        <w:t>00</w:t>
      </w:r>
      <w:r>
        <w:rPr>
          <w:rFonts w:ascii="Times New Roman" w:hAnsi="Times New Roman" w:cs="Times New Roman" w:eastAsia="Times New Roman" w:hint="default"/>
          <w:spacing w:val="-1"/>
        </w:rPr>
        <w:t>.</w:t>
      </w:r>
      <w:r>
        <w:rPr>
          <w:rFonts w:ascii="Times New Roman" w:hAnsi="Times New Roman" w:cs="Times New Roman" w:eastAsia="Times New Roman" w:hint="default"/>
        </w:rPr>
        <w:t>00</w:t>
      </w:r>
    </w:p>
    <w:p>
      <w:pPr>
        <w:pStyle w:val="BodyText"/>
        <w:spacing w:line="338" w:lineRule="auto"/>
        <w:ind w:right="1791"/>
        <w:jc w:val="both"/>
      </w:pPr>
      <w:r>
        <w:rPr>
          <w:spacing w:val="-3"/>
        </w:rPr>
        <w:t>万元，期限一年；</w:t>
      </w:r>
      <w:r>
        <w:rPr>
          <w:rFonts w:ascii="Times New Roman" w:hAnsi="Times New Roman" w:cs="Times New Roman" w:eastAsia="Times New Roman" w:hint="default"/>
          <w:spacing w:val="-3"/>
        </w:rPr>
        <w:t>2018</w:t>
      </w:r>
      <w:r>
        <w:rPr>
          <w:rFonts w:ascii="Times New Roman" w:hAnsi="Times New Roman" w:cs="Times New Roman" w:eastAsia="Times New Roman" w:hint="default"/>
          <w:spacing w:val="-5"/>
        </w:rPr>
        <w:t> </w:t>
      </w:r>
      <w:r>
        <w:rPr/>
        <w:t>年</w:t>
      </w:r>
      <w:r>
        <w:rPr>
          <w:spacing w:val="-57"/>
        </w:rPr>
        <w:t> </w:t>
      </w:r>
      <w:r>
        <w:rPr>
          <w:rFonts w:ascii="Times New Roman" w:hAnsi="Times New Roman" w:cs="Times New Roman" w:eastAsia="Times New Roman" w:hint="default"/>
        </w:rPr>
        <w:t>4</w:t>
      </w:r>
      <w:r>
        <w:rPr>
          <w:rFonts w:ascii="Times New Roman" w:hAnsi="Times New Roman" w:cs="Times New Roman" w:eastAsia="Times New Roman" w:hint="default"/>
          <w:spacing w:val="-4"/>
        </w:rPr>
        <w:t> </w:t>
      </w:r>
      <w:r>
        <w:rPr/>
        <w:t>月</w:t>
      </w:r>
      <w:r>
        <w:rPr>
          <w:spacing w:val="-58"/>
        </w:rPr>
        <w:t> </w:t>
      </w:r>
      <w:r>
        <w:rPr>
          <w:rFonts w:ascii="Times New Roman" w:hAnsi="Times New Roman" w:cs="Times New Roman" w:eastAsia="Times New Roman" w:hint="default"/>
        </w:rPr>
        <w:t>12</w:t>
      </w:r>
      <w:r>
        <w:rPr>
          <w:rFonts w:ascii="Times New Roman" w:hAnsi="Times New Roman" w:cs="Times New Roman" w:eastAsia="Times New Roman" w:hint="default"/>
          <w:spacing w:val="-4"/>
        </w:rPr>
        <w:t> </w:t>
      </w:r>
      <w:r>
        <w:rPr/>
        <w:t>日，武汉长光电源有限公司与中国电子财务 </w:t>
      </w:r>
      <w:r>
        <w:rPr>
          <w:spacing w:val="-4"/>
        </w:rPr>
        <w:t>有限责任公司签订《借款合同》，以信用担保方式为获得流动资金借款人民币</w:t>
      </w:r>
      <w:r>
        <w:rPr>
          <w:spacing w:val="-76"/>
        </w:rPr>
        <w:t> </w:t>
      </w:r>
      <w:r>
        <w:rPr>
          <w:spacing w:val="-76"/>
        </w:rPr>
      </w:r>
      <w:r>
        <w:rPr>
          <w:rFonts w:ascii="Times New Roman" w:hAnsi="Times New Roman" w:cs="Times New Roman" w:eastAsia="Times New Roman" w:hint="default"/>
        </w:rPr>
        <w:t>300.00</w:t>
      </w:r>
      <w:r>
        <w:rPr>
          <w:rFonts w:ascii="Times New Roman" w:hAnsi="Times New Roman" w:cs="Times New Roman" w:eastAsia="Times New Roman" w:hint="default"/>
          <w:spacing w:val="-2"/>
        </w:rPr>
        <w:t> </w:t>
      </w:r>
      <w:r>
        <w:rPr>
          <w:spacing w:val="-4"/>
        </w:rPr>
        <w:t>万元，期限一年；</w:t>
      </w:r>
      <w:r>
        <w:rPr>
          <w:rFonts w:ascii="Times New Roman" w:hAnsi="Times New Roman" w:cs="Times New Roman" w:eastAsia="Times New Roman" w:hint="default"/>
          <w:spacing w:val="-4"/>
        </w:rPr>
        <w:t>2018</w:t>
      </w:r>
      <w:r>
        <w:rPr>
          <w:rFonts w:ascii="Times New Roman" w:hAnsi="Times New Roman" w:cs="Times New Roman" w:eastAsia="Times New Roman" w:hint="default"/>
          <w:spacing w:val="-3"/>
        </w:rPr>
        <w:t> </w:t>
      </w:r>
      <w:r>
        <w:rPr/>
        <w:t>年</w:t>
      </w:r>
      <w:r>
        <w:rPr>
          <w:spacing w:val="-55"/>
        </w:rPr>
        <w:t> </w:t>
      </w:r>
      <w:r>
        <w:rPr>
          <w:rFonts w:ascii="Times New Roman" w:hAnsi="Times New Roman" w:cs="Times New Roman" w:eastAsia="Times New Roman" w:hint="default"/>
        </w:rPr>
        <w:t>4</w:t>
      </w:r>
      <w:r>
        <w:rPr>
          <w:rFonts w:ascii="Times New Roman" w:hAnsi="Times New Roman" w:cs="Times New Roman" w:eastAsia="Times New Roman" w:hint="default"/>
          <w:spacing w:val="-3"/>
        </w:rPr>
        <w:t> </w:t>
      </w:r>
      <w:r>
        <w:rPr/>
        <w:t>月</w:t>
      </w:r>
      <w:r>
        <w:rPr>
          <w:spacing w:val="-56"/>
        </w:rPr>
        <w:t> </w:t>
      </w:r>
      <w:r>
        <w:rPr>
          <w:rFonts w:ascii="Times New Roman" w:hAnsi="Times New Roman" w:cs="Times New Roman" w:eastAsia="Times New Roman" w:hint="default"/>
        </w:rPr>
        <w:t>26</w:t>
      </w:r>
      <w:r>
        <w:rPr>
          <w:rFonts w:ascii="Times New Roman" w:hAnsi="Times New Roman" w:cs="Times New Roman" w:eastAsia="Times New Roman" w:hint="default"/>
          <w:spacing w:val="-2"/>
        </w:rPr>
        <w:t> </w:t>
      </w:r>
      <w:r>
        <w:rPr/>
        <w:t>日，武汉长光电源有限公司与中国电 </w:t>
      </w:r>
      <w:r>
        <w:rPr>
          <w:spacing w:val="-4"/>
        </w:rPr>
        <w:t>子财务有限责任公司签订《借款合同》，以信用担保方式为获得流动资金借款</w:t>
      </w:r>
      <w:r>
        <w:rPr>
          <w:spacing w:val="-76"/>
        </w:rPr>
        <w:t> </w:t>
      </w:r>
      <w:r>
        <w:rPr>
          <w:spacing w:val="-76"/>
        </w:rPr>
      </w:r>
      <w:r>
        <w:rPr/>
        <w:t>人民币</w:t>
      </w:r>
      <w:r>
        <w:rPr>
          <w:spacing w:val="-55"/>
        </w:rPr>
        <w:t> </w:t>
      </w:r>
      <w:r>
        <w:rPr>
          <w:rFonts w:ascii="Times New Roman" w:hAnsi="Times New Roman" w:cs="Times New Roman" w:eastAsia="Times New Roman" w:hint="default"/>
        </w:rPr>
        <w:t>300.00</w:t>
      </w:r>
      <w:r>
        <w:rPr>
          <w:rFonts w:ascii="Times New Roman" w:hAnsi="Times New Roman" w:cs="Times New Roman" w:eastAsia="Times New Roman" w:hint="default"/>
          <w:spacing w:val="-2"/>
        </w:rPr>
        <w:t> </w:t>
      </w:r>
      <w:r>
        <w:rPr/>
        <w:t>万元，期限一年；</w:t>
      </w:r>
      <w:r>
        <w:rPr>
          <w:rFonts w:ascii="Times New Roman" w:hAnsi="Times New Roman" w:cs="Times New Roman" w:eastAsia="Times New Roman" w:hint="default"/>
        </w:rPr>
        <w:t>2018</w:t>
      </w:r>
      <w:r>
        <w:rPr>
          <w:rFonts w:ascii="Times New Roman" w:hAnsi="Times New Roman" w:cs="Times New Roman" w:eastAsia="Times New Roman" w:hint="default"/>
          <w:spacing w:val="-3"/>
        </w:rPr>
        <w:t> </w:t>
      </w:r>
      <w:r>
        <w:rPr/>
        <w:t>年</w:t>
      </w:r>
      <w:r>
        <w:rPr>
          <w:spacing w:val="-55"/>
        </w:rPr>
        <w:t> </w:t>
      </w:r>
      <w:r>
        <w:rPr>
          <w:rFonts w:ascii="Times New Roman" w:hAnsi="Times New Roman" w:cs="Times New Roman" w:eastAsia="Times New Roman" w:hint="default"/>
        </w:rPr>
        <w:t>5</w:t>
      </w:r>
      <w:r>
        <w:rPr>
          <w:rFonts w:ascii="Times New Roman" w:hAnsi="Times New Roman" w:cs="Times New Roman" w:eastAsia="Times New Roman" w:hint="default"/>
          <w:spacing w:val="-2"/>
        </w:rPr>
        <w:t> </w:t>
      </w:r>
      <w:r>
        <w:rPr/>
        <w:t>月</w:t>
      </w:r>
      <w:r>
        <w:rPr>
          <w:spacing w:val="-56"/>
        </w:rPr>
        <w:t> </w:t>
      </w:r>
      <w:r>
        <w:rPr>
          <w:rFonts w:ascii="Times New Roman" w:hAnsi="Times New Roman" w:cs="Times New Roman" w:eastAsia="Times New Roman" w:hint="default"/>
        </w:rPr>
        <w:t>2</w:t>
      </w:r>
      <w:r>
        <w:rPr>
          <w:rFonts w:ascii="Times New Roman" w:hAnsi="Times New Roman" w:cs="Times New Roman" w:eastAsia="Times New Roman" w:hint="default"/>
          <w:spacing w:val="-2"/>
        </w:rPr>
        <w:t> </w:t>
      </w:r>
      <w:r>
        <w:rPr/>
        <w:t>日，武汉长光电源有限公司与 </w:t>
      </w:r>
      <w:r>
        <w:rPr>
          <w:spacing w:val="-4"/>
        </w:rPr>
        <w:t>中国电子财务有限责任公司签订《借款合同》，以信用担保方式为获得流动资</w:t>
      </w:r>
      <w:r>
        <w:rPr>
          <w:spacing w:val="-76"/>
        </w:rPr>
        <w:t> </w:t>
      </w:r>
      <w:r>
        <w:rPr>
          <w:spacing w:val="-76"/>
        </w:rPr>
      </w:r>
      <w:r>
        <w:rPr/>
        <w:t>金借款人民币</w:t>
      </w:r>
      <w:r>
        <w:rPr>
          <w:spacing w:val="-52"/>
        </w:rPr>
        <w:t> </w:t>
      </w:r>
      <w:r>
        <w:rPr>
          <w:rFonts w:ascii="Times New Roman" w:hAnsi="Times New Roman" w:cs="Times New Roman" w:eastAsia="Times New Roman" w:hint="default"/>
        </w:rPr>
        <w:t>400.00</w:t>
      </w:r>
      <w:r>
        <w:rPr>
          <w:rFonts w:ascii="Times New Roman" w:hAnsi="Times New Roman" w:cs="Times New Roman" w:eastAsia="Times New Roman" w:hint="default"/>
          <w:spacing w:val="1"/>
        </w:rPr>
        <w:t> </w:t>
      </w:r>
      <w:r>
        <w:rPr>
          <w:spacing w:val="-7"/>
        </w:rPr>
        <w:t>万元，期限一年；</w:t>
      </w:r>
      <w:r>
        <w:rPr>
          <w:rFonts w:ascii="Times New Roman" w:hAnsi="Times New Roman" w:cs="Times New Roman" w:eastAsia="Times New Roman" w:hint="default"/>
          <w:spacing w:val="-7"/>
        </w:rPr>
        <w:t>2018</w:t>
      </w:r>
      <w:r>
        <w:rPr>
          <w:rFonts w:ascii="Times New Roman" w:hAnsi="Times New Roman" w:cs="Times New Roman" w:eastAsia="Times New Roman" w:hint="default"/>
          <w:spacing w:val="1"/>
        </w:rPr>
        <w:t> </w:t>
      </w:r>
      <w:r>
        <w:rPr/>
        <w:t>年</w:t>
      </w:r>
      <w:r>
        <w:rPr>
          <w:spacing w:val="-53"/>
        </w:rPr>
        <w:t> </w:t>
      </w:r>
      <w:r>
        <w:rPr>
          <w:rFonts w:ascii="Times New Roman" w:hAnsi="Times New Roman" w:cs="Times New Roman" w:eastAsia="Times New Roman" w:hint="default"/>
        </w:rPr>
        <w:t>5 </w:t>
      </w:r>
      <w:r>
        <w:rPr/>
        <w:t>月</w:t>
      </w:r>
      <w:r>
        <w:rPr>
          <w:spacing w:val="-52"/>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spacing w:val="-4"/>
        </w:rPr>
        <w:t>日，武汉长光电源有限</w:t>
      </w:r>
      <w:r>
        <w:rPr/>
        <w:t> </w:t>
      </w:r>
      <w:r>
        <w:rPr>
          <w:spacing w:val="-4"/>
        </w:rPr>
        <w:t>公司与中国电子财务有限责任公司签订《借款合同》，以信用担保方式为获得</w:t>
      </w:r>
      <w:r>
        <w:rPr>
          <w:spacing w:val="-76"/>
        </w:rPr>
        <w:t> </w:t>
      </w:r>
      <w:r>
        <w:rPr>
          <w:spacing w:val="-76"/>
        </w:rPr>
      </w:r>
      <w:r>
        <w:rPr/>
        <w:t>流动资金借款人民币</w:t>
      </w:r>
      <w:r>
        <w:rPr>
          <w:spacing w:val="-53"/>
        </w:rPr>
        <w:t> </w:t>
      </w:r>
      <w:r>
        <w:rPr>
          <w:rFonts w:ascii="Times New Roman" w:hAnsi="Times New Roman" w:cs="Times New Roman" w:eastAsia="Times New Roman" w:hint="default"/>
        </w:rPr>
        <w:t>1,000.00 </w:t>
      </w:r>
      <w:r>
        <w:rPr>
          <w:spacing w:val="-4"/>
        </w:rPr>
        <w:t>万元，期限一年；</w:t>
      </w:r>
      <w:r>
        <w:rPr>
          <w:rFonts w:ascii="Times New Roman" w:hAnsi="Times New Roman" w:cs="Times New Roman" w:eastAsia="Times New Roman" w:hint="default"/>
          <w:spacing w:val="-4"/>
        </w:rPr>
        <w:t>2018</w:t>
      </w:r>
      <w:r>
        <w:rPr>
          <w:rFonts w:ascii="Times New Roman" w:hAnsi="Times New Roman" w:cs="Times New Roman" w:eastAsia="Times New Roman" w:hint="default"/>
        </w:rPr>
        <w:t> </w:t>
      </w:r>
      <w:r>
        <w:rPr/>
        <w:t>年</w:t>
      </w:r>
      <w:r>
        <w:rPr>
          <w:spacing w:val="-54"/>
        </w:rPr>
        <w:t> </w:t>
      </w:r>
      <w:r>
        <w:rPr>
          <w:rFonts w:ascii="Times New Roman" w:hAnsi="Times New Roman" w:cs="Times New Roman" w:eastAsia="Times New Roman" w:hint="default"/>
        </w:rPr>
        <w:t>5 </w:t>
      </w:r>
      <w:r>
        <w:rPr/>
        <w:t>月</w:t>
      </w:r>
      <w:r>
        <w:rPr>
          <w:spacing w:val="-54"/>
        </w:rPr>
        <w:t> </w:t>
      </w:r>
      <w:r>
        <w:rPr>
          <w:rFonts w:ascii="Times New Roman" w:hAnsi="Times New Roman" w:cs="Times New Roman" w:eastAsia="Times New Roman" w:hint="default"/>
        </w:rPr>
        <w:t>22 </w:t>
      </w:r>
      <w:r>
        <w:rPr>
          <w:spacing w:val="-3"/>
        </w:rPr>
        <w:t>日，武汉长光</w:t>
      </w:r>
      <w:r>
        <w:rPr/>
        <w:t> </w:t>
      </w:r>
      <w:r>
        <w:rPr>
          <w:spacing w:val="-4"/>
        </w:rPr>
        <w:t>电源有限公司与中国电子财务有限责任公司签订《借款合同》，以信用担保方</w:t>
      </w:r>
      <w:r>
        <w:rPr>
          <w:spacing w:val="-76"/>
        </w:rPr>
        <w:t> </w:t>
      </w:r>
      <w:r>
        <w:rPr>
          <w:spacing w:val="-76"/>
        </w:rPr>
      </w:r>
      <w:r>
        <w:rPr/>
        <w:t>式为获得流动资金借款人民币</w:t>
      </w:r>
      <w:r>
        <w:rPr>
          <w:spacing w:val="-55"/>
        </w:rPr>
        <w:t> </w:t>
      </w:r>
      <w:r>
        <w:rPr>
          <w:rFonts w:ascii="Times New Roman" w:hAnsi="Times New Roman" w:cs="Times New Roman" w:eastAsia="Times New Roman" w:hint="default"/>
        </w:rPr>
        <w:t>500.00</w:t>
      </w:r>
      <w:r>
        <w:rPr>
          <w:rFonts w:ascii="Times New Roman" w:hAnsi="Times New Roman" w:cs="Times New Roman" w:eastAsia="Times New Roman" w:hint="default"/>
          <w:spacing w:val="-2"/>
        </w:rPr>
        <w:t> </w:t>
      </w:r>
      <w:r>
        <w:rPr/>
        <w:t>万元，期限一年；</w:t>
      </w:r>
      <w:r>
        <w:rPr>
          <w:rFonts w:ascii="Times New Roman" w:hAnsi="Times New Roman" w:cs="Times New Roman" w:eastAsia="Times New Roman" w:hint="default"/>
        </w:rPr>
        <w:t>2018</w:t>
      </w:r>
      <w:r>
        <w:rPr>
          <w:rFonts w:ascii="Times New Roman" w:hAnsi="Times New Roman" w:cs="Times New Roman" w:eastAsia="Times New Roman" w:hint="default"/>
          <w:spacing w:val="-3"/>
        </w:rPr>
        <w:t> </w:t>
      </w:r>
      <w:r>
        <w:rPr/>
        <w:t>年</w:t>
      </w:r>
      <w:r>
        <w:rPr>
          <w:spacing w:val="-55"/>
        </w:rPr>
        <w:t> </w:t>
      </w:r>
      <w:r>
        <w:rPr>
          <w:rFonts w:ascii="Times New Roman" w:hAnsi="Times New Roman" w:cs="Times New Roman" w:eastAsia="Times New Roman" w:hint="default"/>
        </w:rPr>
        <w:t>6</w:t>
      </w:r>
      <w:r>
        <w:rPr>
          <w:rFonts w:ascii="Times New Roman" w:hAnsi="Times New Roman" w:cs="Times New Roman" w:eastAsia="Times New Roman" w:hint="default"/>
          <w:spacing w:val="-2"/>
        </w:rPr>
        <w:t> </w:t>
      </w:r>
      <w:r>
        <w:rPr/>
        <w:t>月</w:t>
      </w:r>
      <w:r>
        <w:rPr>
          <w:spacing w:val="-56"/>
        </w:rPr>
        <w:t> </w:t>
      </w:r>
      <w:r>
        <w:rPr>
          <w:rFonts w:ascii="Times New Roman" w:hAnsi="Times New Roman" w:cs="Times New Roman" w:eastAsia="Times New Roman" w:hint="default"/>
        </w:rPr>
        <w:t>5</w:t>
      </w:r>
      <w:r>
        <w:rPr>
          <w:rFonts w:ascii="Times New Roman" w:hAnsi="Times New Roman" w:cs="Times New Roman" w:eastAsia="Times New Roman" w:hint="default"/>
          <w:spacing w:val="-2"/>
        </w:rPr>
        <w:t> </w:t>
      </w:r>
      <w:r>
        <w:rPr/>
        <w:t>日，武 </w:t>
      </w:r>
      <w:r>
        <w:rPr>
          <w:spacing w:val="-4"/>
        </w:rPr>
        <w:t>汉长光电源有限公司与中国电子财务有限责任公司签订《借款合同》，以信用</w:t>
      </w:r>
      <w:r>
        <w:rPr>
          <w:spacing w:val="-76"/>
        </w:rPr>
        <w:t> </w:t>
      </w:r>
      <w:r>
        <w:rPr>
          <w:spacing w:val="-76"/>
        </w:rPr>
      </w:r>
      <w:r>
        <w:rPr/>
        <w:t>担保方式为获得流动资金借款人民币</w:t>
      </w:r>
      <w:r>
        <w:rPr>
          <w:spacing w:val="-53"/>
        </w:rPr>
        <w:t> </w:t>
      </w:r>
      <w:r>
        <w:rPr>
          <w:rFonts w:ascii="Times New Roman" w:hAnsi="Times New Roman" w:cs="Times New Roman" w:eastAsia="Times New Roman" w:hint="default"/>
        </w:rPr>
        <w:t>400.00 </w:t>
      </w:r>
      <w:r>
        <w:rPr>
          <w:spacing w:val="-4"/>
        </w:rPr>
        <w:t>万元，期限一年；</w:t>
      </w:r>
      <w:r>
        <w:rPr>
          <w:spacing w:val="-25"/>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53"/>
        </w:rPr>
        <w:t> </w:t>
      </w:r>
      <w:r>
        <w:rPr>
          <w:rFonts w:ascii="Times New Roman" w:hAnsi="Times New Roman" w:cs="Times New Roman" w:eastAsia="Times New Roman" w:hint="default"/>
        </w:rPr>
        <w:t>8 </w:t>
      </w:r>
      <w:r>
        <w:rPr/>
        <w:t>月</w:t>
      </w:r>
      <w:r>
        <w:rPr>
          <w:spacing w:val="-54"/>
        </w:rPr>
        <w:t> </w:t>
      </w:r>
      <w:r>
        <w:rPr>
          <w:rFonts w:ascii="Times New Roman" w:hAnsi="Times New Roman" w:cs="Times New Roman" w:eastAsia="Times New Roman" w:hint="default"/>
        </w:rPr>
        <w:t>6 </w:t>
      </w:r>
      <w:r>
        <w:rPr>
          <w:spacing w:val="-4"/>
        </w:rPr>
        <w:t>日，武汉长光电源有限公司与中国电子财务有限责任公司签订《借款合同》，</w:t>
      </w:r>
    </w:p>
    <w:p>
      <w:pPr>
        <w:spacing w:after="0" w:line="338" w:lineRule="auto"/>
        <w:jc w:val="both"/>
        <w:sectPr>
          <w:pgSz w:w="11910" w:h="16840"/>
          <w:pgMar w:header="0" w:footer="1001" w:top="1520" w:bottom="1200" w:left="1660" w:right="0"/>
        </w:sectPr>
      </w:pPr>
    </w:p>
    <w:p>
      <w:pPr>
        <w:spacing w:line="240" w:lineRule="auto" w:before="8"/>
        <w:rPr>
          <w:rFonts w:ascii="宋体" w:hAnsi="宋体" w:cs="宋体" w:eastAsia="宋体" w:hint="default"/>
          <w:sz w:val="13"/>
          <w:szCs w:val="13"/>
        </w:rPr>
      </w:pPr>
    </w:p>
    <w:p>
      <w:pPr>
        <w:pStyle w:val="BodyText"/>
        <w:spacing w:line="240" w:lineRule="auto" w:before="35"/>
        <w:ind w:right="1682"/>
        <w:jc w:val="left"/>
      </w:pPr>
      <w:r>
        <w:rPr/>
        <w:t>以信用担保方式为获得流动资金借款人民币</w:t>
      </w:r>
      <w:r>
        <w:rPr>
          <w:spacing w:val="-56"/>
        </w:rPr>
        <w:t> </w:t>
      </w:r>
      <w:r>
        <w:rPr>
          <w:rFonts w:ascii="Times New Roman" w:hAnsi="Times New Roman" w:cs="Times New Roman" w:eastAsia="Times New Roman" w:hint="default"/>
        </w:rPr>
        <w:t>500.00</w:t>
      </w:r>
      <w:r>
        <w:rPr>
          <w:rFonts w:ascii="Times New Roman" w:hAnsi="Times New Roman" w:cs="Times New Roman" w:eastAsia="Times New Roman" w:hint="default"/>
          <w:spacing w:val="-2"/>
        </w:rPr>
        <w:t> </w:t>
      </w:r>
      <w:r>
        <w:rPr/>
        <w:t>万元，期限一年；</w:t>
      </w:r>
      <w:r>
        <w:rPr>
          <w:rFonts w:ascii="Times New Roman" w:hAnsi="Times New Roman" w:cs="Times New Roman" w:eastAsia="Times New Roman" w:hint="default"/>
        </w:rPr>
        <w:t>2018</w:t>
      </w:r>
      <w:r>
        <w:rPr>
          <w:rFonts w:ascii="Times New Roman" w:hAnsi="Times New Roman" w:cs="Times New Roman" w:eastAsia="Times New Roman" w:hint="default"/>
          <w:spacing w:val="-3"/>
        </w:rPr>
        <w:t> </w:t>
      </w:r>
      <w:r>
        <w:rPr/>
        <w:t>年</w:t>
      </w:r>
    </w:p>
    <w:p>
      <w:pPr>
        <w:pStyle w:val="BodyText"/>
        <w:spacing w:line="240" w:lineRule="auto" w:before="110"/>
        <w:ind w:right="1793"/>
        <w:jc w:val="left"/>
      </w:pPr>
      <w:r>
        <w:rPr>
          <w:rFonts w:ascii="Times New Roman" w:hAnsi="Times New Roman" w:cs="Times New Roman" w:eastAsia="Times New Roman" w:hint="default"/>
        </w:rPr>
        <w:t>9</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17</w:t>
      </w:r>
      <w:r>
        <w:rPr>
          <w:rFonts w:ascii="Times New Roman" w:hAnsi="Times New Roman" w:cs="Times New Roman" w:eastAsia="Times New Roman" w:hint="default"/>
          <w:spacing w:val="-1"/>
        </w:rPr>
        <w:t> </w:t>
      </w:r>
      <w:r>
        <w:rPr/>
        <w:t>日，武汉长光电源有限公司与中国电子财务有限责任公司签订《借款</w:t>
      </w:r>
    </w:p>
    <w:p>
      <w:pPr>
        <w:pStyle w:val="BodyText"/>
        <w:spacing w:line="240" w:lineRule="auto"/>
        <w:ind w:right="1682"/>
        <w:jc w:val="left"/>
      </w:pPr>
      <w:r>
        <w:rPr/>
        <w:t>合同</w:t>
      </w:r>
      <w:r>
        <w:rPr>
          <w:spacing w:val="-105"/>
        </w:rPr>
        <w:t>》</w:t>
      </w:r>
      <w:r>
        <w:rPr/>
        <w:t>，以</w:t>
      </w:r>
      <w:r>
        <w:rPr>
          <w:spacing w:val="-2"/>
        </w:rPr>
        <w:t>信</w:t>
      </w:r>
      <w:r>
        <w:rPr/>
        <w:t>用担保方式为获得流动资金借款人民币</w:t>
      </w:r>
      <w:r>
        <w:rPr>
          <w:spacing w:val="-53"/>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0</w:t>
      </w:r>
      <w:r>
        <w:rPr>
          <w:rFonts w:ascii="Times New Roman" w:hAnsi="Times New Roman" w:cs="Times New Roman" w:eastAsia="Times New Roman" w:hint="default"/>
        </w:rPr>
        <w:t>0</w:t>
      </w:r>
      <w:r>
        <w:rPr>
          <w:rFonts w:ascii="Times New Roman" w:hAnsi="Times New Roman" w:cs="Times New Roman" w:eastAsia="Times New Roman" w:hint="default"/>
          <w:spacing w:val="-1"/>
        </w:rPr>
        <w:t>.</w:t>
      </w:r>
      <w:r>
        <w:rPr>
          <w:rFonts w:ascii="Times New Roman" w:hAnsi="Times New Roman" w:cs="Times New Roman" w:eastAsia="Times New Roman" w:hint="default"/>
        </w:rPr>
        <w:t>00</w:t>
      </w:r>
      <w:r>
        <w:rPr>
          <w:rFonts w:ascii="Times New Roman" w:hAnsi="Times New Roman" w:cs="Times New Roman" w:eastAsia="Times New Roman" w:hint="default"/>
          <w:spacing w:val="-1"/>
        </w:rPr>
        <w:t> </w:t>
      </w:r>
      <w:r>
        <w:rPr/>
        <w:t>万元，期限一年；</w:t>
      </w:r>
    </w:p>
    <w:p>
      <w:pPr>
        <w:pStyle w:val="BodyText"/>
        <w:spacing w:line="240" w:lineRule="auto"/>
        <w:ind w:right="1793"/>
        <w:jc w:val="left"/>
      </w:pPr>
      <w:r>
        <w:rPr>
          <w:rFonts w:ascii="Times New Roman" w:hAnsi="Times New Roman" w:cs="Times New Roman" w:eastAsia="Times New Roman" w:hint="default"/>
        </w:rPr>
        <w:t>2018</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rPr>
        <w:t>10</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23</w:t>
      </w:r>
      <w:r>
        <w:rPr>
          <w:rFonts w:ascii="Times New Roman" w:hAnsi="Times New Roman" w:cs="Times New Roman" w:eastAsia="Times New Roman" w:hint="default"/>
          <w:spacing w:val="-1"/>
        </w:rPr>
        <w:t> </w:t>
      </w:r>
      <w:r>
        <w:rPr/>
        <w:t>日，武汉长光电源有限公司与中国电子财务有限责任公司签</w:t>
      </w:r>
    </w:p>
    <w:p>
      <w:pPr>
        <w:pStyle w:val="BodyText"/>
        <w:spacing w:line="240" w:lineRule="auto" w:before="110"/>
        <w:ind w:right="1682"/>
        <w:jc w:val="left"/>
      </w:pPr>
      <w:r>
        <w:rPr>
          <w:spacing w:val="-17"/>
        </w:rPr>
        <w:t>订</w:t>
      </w:r>
      <w:r>
        <w:rPr/>
        <w:t>《借款合同</w:t>
      </w:r>
      <w:r>
        <w:rPr>
          <w:spacing w:val="-105"/>
        </w:rPr>
        <w:t>》</w:t>
      </w:r>
      <w:r>
        <w:rPr>
          <w:spacing w:val="-17"/>
        </w:rPr>
        <w:t>，</w:t>
      </w:r>
      <w:r>
        <w:rPr/>
        <w:t>以信</w:t>
      </w:r>
      <w:r>
        <w:rPr>
          <w:spacing w:val="-2"/>
        </w:rPr>
        <w:t>用</w:t>
      </w:r>
      <w:r>
        <w:rPr/>
        <w:t>担保方式为获得流动资金借款人民币</w:t>
      </w:r>
      <w:r>
        <w:rPr>
          <w:spacing w:val="-53"/>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0</w:t>
      </w:r>
      <w:r>
        <w:rPr>
          <w:rFonts w:ascii="Times New Roman" w:hAnsi="Times New Roman" w:cs="Times New Roman" w:eastAsia="Times New Roman" w:hint="default"/>
        </w:rPr>
        <w:t>0</w:t>
      </w:r>
      <w:r>
        <w:rPr>
          <w:rFonts w:ascii="Times New Roman" w:hAnsi="Times New Roman" w:cs="Times New Roman" w:eastAsia="Times New Roman" w:hint="default"/>
          <w:spacing w:val="-1"/>
        </w:rPr>
        <w:t>.</w:t>
      </w:r>
      <w:r>
        <w:rPr>
          <w:rFonts w:ascii="Times New Roman" w:hAnsi="Times New Roman" w:cs="Times New Roman" w:eastAsia="Times New Roman" w:hint="default"/>
        </w:rPr>
        <w:t>00 </w:t>
      </w:r>
      <w:r>
        <w:rPr>
          <w:spacing w:val="-2"/>
        </w:rPr>
        <w:t>万</w:t>
      </w:r>
      <w:r>
        <w:rPr/>
        <w:t>元</w:t>
      </w:r>
      <w:r>
        <w:rPr>
          <w:spacing w:val="-17"/>
        </w:rPr>
        <w:t>，</w:t>
      </w:r>
      <w:r>
        <w:rPr/>
        <w:t>期</w:t>
      </w:r>
    </w:p>
    <w:p>
      <w:pPr>
        <w:pStyle w:val="BodyText"/>
        <w:spacing w:line="240" w:lineRule="auto"/>
        <w:ind w:right="1682"/>
        <w:jc w:val="left"/>
      </w:pPr>
      <w:r>
        <w:rPr>
          <w:spacing w:val="-3"/>
        </w:rPr>
        <w:t>限一年；</w:t>
      </w:r>
      <w:r>
        <w:rPr>
          <w:rFonts w:ascii="Times New Roman" w:hAnsi="Times New Roman" w:cs="Times New Roman" w:eastAsia="Times New Roman" w:hint="default"/>
          <w:spacing w:val="-3"/>
        </w:rPr>
        <w:t>2018</w:t>
      </w:r>
      <w:r>
        <w:rPr>
          <w:rFonts w:ascii="Times New Roman" w:hAnsi="Times New Roman" w:cs="Times New Roman" w:eastAsia="Times New Roman" w:hint="default"/>
          <w:spacing w:val="-5"/>
        </w:rPr>
        <w:t> </w:t>
      </w:r>
      <w:r>
        <w:rPr/>
        <w:t>年</w:t>
      </w:r>
      <w:r>
        <w:rPr>
          <w:spacing w:val="-59"/>
        </w:rPr>
        <w:t> </w:t>
      </w:r>
      <w:r>
        <w:rPr>
          <w:rFonts w:ascii="Times New Roman" w:hAnsi="Times New Roman" w:cs="Times New Roman" w:eastAsia="Times New Roman" w:hint="default"/>
          <w:spacing w:val="-4"/>
        </w:rPr>
        <w:t>11</w:t>
      </w:r>
      <w:r>
        <w:rPr>
          <w:rFonts w:ascii="Times New Roman" w:hAnsi="Times New Roman" w:cs="Times New Roman" w:eastAsia="Times New Roman" w:hint="default"/>
          <w:spacing w:val="-5"/>
        </w:rPr>
        <w:t> </w:t>
      </w:r>
      <w:r>
        <w:rPr/>
        <w:t>月</w:t>
      </w:r>
      <w:r>
        <w:rPr>
          <w:spacing w:val="-59"/>
        </w:rPr>
        <w:t> </w:t>
      </w:r>
      <w:r>
        <w:rPr>
          <w:rFonts w:ascii="Times New Roman" w:hAnsi="Times New Roman" w:cs="Times New Roman" w:eastAsia="Times New Roman" w:hint="default"/>
        </w:rPr>
        <w:t>6</w:t>
      </w:r>
      <w:r>
        <w:rPr>
          <w:rFonts w:ascii="Times New Roman" w:hAnsi="Times New Roman" w:cs="Times New Roman" w:eastAsia="Times New Roman" w:hint="default"/>
          <w:spacing w:val="-6"/>
        </w:rPr>
        <w:t> </w:t>
      </w:r>
      <w:r>
        <w:rPr/>
        <w:t>日，武汉长光电源有限公司与中国电子财务有限责任</w:t>
      </w:r>
    </w:p>
    <w:p>
      <w:pPr>
        <w:pStyle w:val="BodyText"/>
        <w:spacing w:line="331" w:lineRule="auto"/>
        <w:ind w:right="1784"/>
        <w:jc w:val="left"/>
      </w:pPr>
      <w:r>
        <w:rPr>
          <w:spacing w:val="-6"/>
        </w:rPr>
        <w:t>公司签订《借款合同》，以信用担保方式为获得流动资金借款人民币</w:t>
      </w:r>
      <w:r>
        <w:rPr>
          <w:spacing w:val="-43"/>
        </w:rPr>
        <w:t> </w:t>
      </w:r>
      <w:r>
        <w:rPr>
          <w:rFonts w:ascii="Times New Roman" w:hAnsi="Times New Roman" w:cs="Times New Roman" w:eastAsia="Times New Roman" w:hint="default"/>
          <w:spacing w:val="-1"/>
        </w:rPr>
        <w:t>500.00</w:t>
      </w:r>
      <w:r>
        <w:rPr>
          <w:rFonts w:ascii="Times New Roman" w:hAnsi="Times New Roman" w:cs="Times New Roman" w:eastAsia="Times New Roman" w:hint="default"/>
          <w:spacing w:val="11"/>
        </w:rPr>
        <w:t> </w:t>
      </w:r>
      <w:r>
        <w:rPr/>
        <w:t>万</w:t>
      </w:r>
      <w:r>
        <w:rPr>
          <w:spacing w:val="-103"/>
        </w:rPr>
        <w:t> </w:t>
      </w:r>
      <w:r>
        <w:rPr/>
        <w:t>元，期限一年。</w:t>
      </w:r>
    </w:p>
    <w:p>
      <w:pPr>
        <w:pStyle w:val="BodyText"/>
        <w:spacing w:line="340" w:lineRule="auto" w:before="45"/>
        <w:ind w:right="1792"/>
        <w:jc w:val="both"/>
      </w:pPr>
      <w:r>
        <w:rPr/>
        <w:t>根据编号</w:t>
      </w:r>
      <w:r>
        <w:rPr>
          <w:spacing w:val="-55"/>
        </w:rPr>
        <w:t> </w:t>
      </w:r>
      <w:r>
        <w:rPr>
          <w:rFonts w:ascii="Times New Roman" w:hAnsi="Times New Roman" w:cs="Times New Roman" w:eastAsia="Times New Roman" w:hint="default"/>
        </w:rPr>
        <w:t>CECF</w:t>
      </w:r>
      <w:r>
        <w:rPr>
          <w:rFonts w:ascii="Times New Roman" w:hAnsi="Times New Roman" w:cs="Times New Roman" w:eastAsia="Times New Roman" w:hint="default"/>
          <w:spacing w:val="-3"/>
        </w:rPr>
        <w:t> </w:t>
      </w:r>
      <w:r>
        <w:rPr/>
        <w:t>综信</w:t>
      </w:r>
      <w:r>
        <w:rPr>
          <w:rFonts w:ascii="Times New Roman" w:hAnsi="Times New Roman" w:cs="Times New Roman" w:eastAsia="Times New Roman" w:hint="default"/>
        </w:rPr>
        <w:t>[2018]</w:t>
      </w:r>
      <w:r>
        <w:rPr/>
        <w:t>第</w:t>
      </w:r>
      <w:r>
        <w:rPr>
          <w:spacing w:val="-55"/>
        </w:rPr>
        <w:t> </w:t>
      </w:r>
      <w:r>
        <w:rPr>
          <w:rFonts w:ascii="Times New Roman" w:hAnsi="Times New Roman" w:cs="Times New Roman" w:eastAsia="Times New Roman" w:hint="default"/>
        </w:rPr>
        <w:t>61</w:t>
      </w:r>
      <w:r>
        <w:rPr>
          <w:rFonts w:ascii="Times New Roman" w:hAnsi="Times New Roman" w:cs="Times New Roman" w:eastAsia="Times New Roman" w:hint="default"/>
          <w:spacing w:val="-2"/>
        </w:rPr>
        <w:t> </w:t>
      </w:r>
      <w:r>
        <w:rPr/>
        <w:t>号</w:t>
      </w:r>
      <w:r>
        <w:rPr>
          <w:rFonts w:ascii="Times New Roman" w:hAnsi="Times New Roman" w:cs="Times New Roman" w:eastAsia="Times New Roman" w:hint="default"/>
        </w:rPr>
        <w:t>-</w:t>
      </w:r>
      <w:r>
        <w:rPr/>
        <w:t>保证</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号合同，上述借款共计</w:t>
      </w:r>
      <w:r>
        <w:rPr>
          <w:spacing w:val="-55"/>
        </w:rPr>
        <w:t> </w:t>
      </w:r>
      <w:r>
        <w:rPr>
          <w:rFonts w:ascii="Times New Roman" w:hAnsi="Times New Roman" w:cs="Times New Roman" w:eastAsia="Times New Roman" w:hint="default"/>
        </w:rPr>
        <w:t>5,900.00</w:t>
      </w:r>
      <w:r>
        <w:rPr>
          <w:rFonts w:ascii="Times New Roman" w:hAnsi="Times New Roman" w:cs="Times New Roman" w:eastAsia="Times New Roman" w:hint="default"/>
          <w:spacing w:val="-2"/>
        </w:rPr>
        <w:t> </w:t>
      </w:r>
      <w:r>
        <w:rPr/>
        <w:t>万 </w:t>
      </w:r>
      <w:r>
        <w:rPr>
          <w:spacing w:val="-4"/>
        </w:rPr>
        <w:t>元由武汉中原电子集团有限公司提供连带责任保证，保证期间为债务履行期限</w:t>
      </w:r>
      <w:r>
        <w:rPr>
          <w:spacing w:val="-73"/>
        </w:rPr>
        <w:t> </w:t>
      </w:r>
      <w:r>
        <w:rPr>
          <w:spacing w:val="-73"/>
        </w:rPr>
      </w:r>
      <w:r>
        <w:rPr/>
        <w:t>届满之日起两年。截至</w:t>
      </w:r>
      <w:r>
        <w:rPr>
          <w:spacing w:val="-54"/>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5"/>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日，武汉长光电源有限公司该项贷款</w:t>
      </w:r>
    </w:p>
    <w:p>
      <w:pPr>
        <w:pStyle w:val="BodyText"/>
        <w:spacing w:line="240" w:lineRule="auto" w:before="11"/>
        <w:ind w:right="3681"/>
        <w:jc w:val="left"/>
      </w:pPr>
      <w:r>
        <w:rPr/>
        <w:t>余额为</w:t>
      </w:r>
      <w:r>
        <w:rPr>
          <w:spacing w:val="-56"/>
        </w:rPr>
        <w:t> </w:t>
      </w:r>
      <w:r>
        <w:rPr>
          <w:rFonts w:ascii="Times New Roman" w:hAnsi="Times New Roman" w:cs="Times New Roman" w:eastAsia="Times New Roman" w:hint="default"/>
        </w:rPr>
        <w:t>5,900.00</w:t>
      </w:r>
      <w:r>
        <w:rPr>
          <w:rFonts w:ascii="Times New Roman" w:hAnsi="Times New Roman" w:cs="Times New Roman" w:eastAsia="Times New Roman" w:hint="default"/>
          <w:spacing w:val="-3"/>
        </w:rPr>
        <w:t> </w:t>
      </w:r>
      <w:r>
        <w:rPr/>
        <w:t>万元，担保责任未履行完毕。</w:t>
      </w:r>
    </w:p>
    <w:p>
      <w:pPr>
        <w:pStyle w:val="BodyText"/>
        <w:spacing w:line="240" w:lineRule="auto"/>
        <w:ind w:right="1682"/>
        <w:jc w:val="left"/>
      </w:pPr>
      <w:r>
        <w:rPr>
          <w:rFonts w:ascii="Times New Roman" w:hAnsi="Times New Roman" w:cs="Times New Roman" w:eastAsia="Times New Roman" w:hint="default"/>
          <w:spacing w:val="-4"/>
        </w:rPr>
        <w:t>10</w:t>
      </w:r>
      <w:r>
        <w:rPr>
          <w:spacing w:val="-4"/>
        </w:rPr>
        <w:t>、</w:t>
      </w:r>
      <w:r>
        <w:rPr>
          <w:rFonts w:ascii="Times New Roman" w:hAnsi="Times New Roman" w:cs="Times New Roman" w:eastAsia="Times New Roman" w:hint="default"/>
          <w:spacing w:val="-4"/>
        </w:rPr>
        <w:t>2018 </w:t>
      </w:r>
      <w:r>
        <w:rPr/>
        <w:t>年</w:t>
      </w:r>
      <w:r>
        <w:rPr>
          <w:spacing w:val="-58"/>
        </w:rPr>
        <w:t> </w:t>
      </w:r>
      <w:r>
        <w:rPr>
          <w:rFonts w:ascii="Times New Roman" w:hAnsi="Times New Roman" w:cs="Times New Roman" w:eastAsia="Times New Roman" w:hint="default"/>
          <w:spacing w:val="-4"/>
        </w:rPr>
        <w:t>11 </w:t>
      </w:r>
      <w:r>
        <w:rPr/>
        <w:t>月</w:t>
      </w:r>
      <w:r>
        <w:rPr>
          <w:spacing w:val="-58"/>
        </w:rPr>
        <w:t> </w:t>
      </w:r>
      <w:r>
        <w:rPr>
          <w:rFonts w:ascii="Times New Roman" w:hAnsi="Times New Roman" w:cs="Times New Roman" w:eastAsia="Times New Roman" w:hint="default"/>
        </w:rPr>
        <w:t>2</w:t>
      </w:r>
      <w:r>
        <w:rPr>
          <w:rFonts w:ascii="Times New Roman" w:hAnsi="Times New Roman" w:cs="Times New Roman" w:eastAsia="Times New Roman" w:hint="default"/>
          <w:spacing w:val="-4"/>
        </w:rPr>
        <w:t> </w:t>
      </w:r>
      <w:r>
        <w:rPr/>
        <w:t>日，武汉中原电子信息有限公司与中国电子财务有限责任</w:t>
      </w:r>
    </w:p>
    <w:p>
      <w:pPr>
        <w:pStyle w:val="BodyText"/>
        <w:spacing w:line="240" w:lineRule="auto" w:before="110"/>
        <w:ind w:right="1793"/>
        <w:jc w:val="left"/>
      </w:pPr>
      <w:r>
        <w:rPr/>
        <w:t>公司签订开立银行承兑汇票业务协定书，开出银行承兑汇票</w:t>
      </w:r>
      <w:r>
        <w:rPr>
          <w:spacing w:val="-55"/>
        </w:rPr>
        <w:t> </w:t>
      </w:r>
      <w:r>
        <w:rPr>
          <w:rFonts w:ascii="Times New Roman" w:hAnsi="Times New Roman" w:cs="Times New Roman" w:eastAsia="Times New Roman" w:hint="default"/>
        </w:rPr>
        <w:t>685.00</w:t>
      </w:r>
      <w:r>
        <w:rPr>
          <w:rFonts w:ascii="Times New Roman" w:hAnsi="Times New Roman" w:cs="Times New Roman" w:eastAsia="Times New Roman" w:hint="default"/>
          <w:spacing w:val="-2"/>
        </w:rPr>
        <w:t> </w:t>
      </w:r>
      <w:r>
        <w:rPr/>
        <w:t>万元、银</w:t>
      </w:r>
    </w:p>
    <w:p>
      <w:pPr>
        <w:pStyle w:val="BodyText"/>
        <w:spacing w:line="340" w:lineRule="auto"/>
        <w:ind w:right="1793"/>
        <w:jc w:val="left"/>
      </w:pPr>
      <w:r>
        <w:rPr/>
        <w:t>行保函</w:t>
      </w:r>
      <w:r>
        <w:rPr>
          <w:spacing w:val="-55"/>
        </w:rPr>
        <w:t> </w:t>
      </w:r>
      <w:r>
        <w:rPr>
          <w:rFonts w:ascii="Times New Roman" w:hAnsi="Times New Roman" w:cs="Times New Roman" w:eastAsia="Times New Roman" w:hint="default"/>
        </w:rPr>
        <w:t>1,293.48</w:t>
      </w:r>
      <w:r>
        <w:rPr>
          <w:rFonts w:ascii="Times New Roman" w:hAnsi="Times New Roman" w:cs="Times New Roman" w:eastAsia="Times New Roman" w:hint="default"/>
          <w:spacing w:val="-2"/>
        </w:rPr>
        <w:t> </w:t>
      </w:r>
      <w:r>
        <w:rPr/>
        <w:t>万元。根据编号</w:t>
      </w:r>
      <w:r>
        <w:rPr>
          <w:spacing w:val="-55"/>
        </w:rPr>
        <w:t> </w:t>
      </w:r>
      <w:r>
        <w:rPr>
          <w:rFonts w:ascii="Times New Roman" w:hAnsi="Times New Roman" w:cs="Times New Roman" w:eastAsia="Times New Roman" w:hint="default"/>
        </w:rPr>
        <w:t>CECF</w:t>
      </w:r>
      <w:r>
        <w:rPr>
          <w:rFonts w:ascii="Times New Roman" w:hAnsi="Times New Roman" w:cs="Times New Roman" w:eastAsia="Times New Roman" w:hint="default"/>
          <w:spacing w:val="-3"/>
        </w:rPr>
        <w:t> </w:t>
      </w:r>
      <w:r>
        <w:rPr/>
        <w:t>综信</w:t>
      </w:r>
      <w:r>
        <w:rPr>
          <w:rFonts w:ascii="Times New Roman" w:hAnsi="Times New Roman" w:cs="Times New Roman" w:eastAsia="Times New Roman" w:hint="default"/>
        </w:rPr>
        <w:t>[2018]</w:t>
      </w:r>
      <w:r>
        <w:rPr/>
        <w:t>第</w:t>
      </w:r>
      <w:r>
        <w:rPr>
          <w:spacing w:val="-55"/>
        </w:rPr>
        <w:t> </w:t>
      </w:r>
      <w:r>
        <w:rPr>
          <w:rFonts w:ascii="Times New Roman" w:hAnsi="Times New Roman" w:cs="Times New Roman" w:eastAsia="Times New Roman" w:hint="default"/>
        </w:rPr>
        <w:t>63</w:t>
      </w:r>
      <w:r>
        <w:rPr>
          <w:rFonts w:ascii="Times New Roman" w:hAnsi="Times New Roman" w:cs="Times New Roman" w:eastAsia="Times New Roman" w:hint="default"/>
          <w:spacing w:val="-2"/>
        </w:rPr>
        <w:t> </w:t>
      </w:r>
      <w:r>
        <w:rPr/>
        <w:t>号</w:t>
      </w:r>
      <w:r>
        <w:rPr>
          <w:rFonts w:ascii="Times New Roman" w:hAnsi="Times New Roman" w:cs="Times New Roman" w:eastAsia="Times New Roman" w:hint="default"/>
        </w:rPr>
        <w:t>-</w:t>
      </w:r>
      <w:r>
        <w:rPr/>
        <w:t>保证</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号合同，武 汉中原电子集团有限公司为中国电子财务有限责任公司与武汉中原电子信息 有限公司公司形成的商业承兑汇票提供最高余额折合人民币</w:t>
      </w:r>
      <w:r>
        <w:rPr>
          <w:spacing w:val="-55"/>
        </w:rPr>
        <w:t> </w:t>
      </w:r>
      <w:r>
        <w:rPr>
          <w:rFonts w:ascii="Times New Roman" w:hAnsi="Times New Roman" w:cs="Times New Roman" w:eastAsia="Times New Roman" w:hint="default"/>
        </w:rPr>
        <w:t>8,000.00</w:t>
      </w:r>
      <w:r>
        <w:rPr>
          <w:rFonts w:ascii="Times New Roman" w:hAnsi="Times New Roman" w:cs="Times New Roman" w:eastAsia="Times New Roman" w:hint="default"/>
          <w:spacing w:val="-3"/>
        </w:rPr>
        <w:t> </w:t>
      </w:r>
      <w:r>
        <w:rPr/>
        <w:t>万元的</w:t>
      </w:r>
    </w:p>
    <w:p>
      <w:pPr>
        <w:pStyle w:val="BodyText"/>
        <w:spacing w:line="240" w:lineRule="auto" w:before="11"/>
        <w:ind w:right="0"/>
        <w:jc w:val="left"/>
      </w:pPr>
      <w:r>
        <w:rPr>
          <w:spacing w:val="-5"/>
        </w:rPr>
        <w:t>连带责任保证，保证期间为票据到期届满之后两年。截至</w:t>
      </w:r>
      <w:r>
        <w:rPr>
          <w:spacing w:val="-50"/>
        </w:rPr>
        <w:t> </w:t>
      </w:r>
      <w:r>
        <w:rPr>
          <w:rFonts w:ascii="Times New Roman" w:hAnsi="Times New Roman" w:cs="Times New Roman" w:eastAsia="Times New Roman" w:hint="default"/>
        </w:rPr>
        <w:t>2018</w:t>
      </w:r>
      <w:r>
        <w:rPr>
          <w:rFonts w:ascii="Times New Roman" w:hAnsi="Times New Roman" w:cs="Times New Roman" w:eastAsia="Times New Roman" w:hint="default"/>
          <w:spacing w:val="3"/>
        </w:rPr>
        <w:t> </w:t>
      </w:r>
      <w:r>
        <w:rPr/>
        <w:t>年</w:t>
      </w:r>
      <w:r>
        <w:rPr>
          <w:spacing w:val="-52"/>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0"/>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t>日，</w:t>
      </w:r>
    </w:p>
    <w:p>
      <w:pPr>
        <w:pStyle w:val="BodyText"/>
        <w:spacing w:line="240" w:lineRule="auto"/>
        <w:ind w:right="1793"/>
        <w:jc w:val="left"/>
      </w:pPr>
      <w:r>
        <w:rPr/>
        <w:t>武汉中原电子信息有限公司公司商业承兑汇票余额为</w:t>
      </w:r>
      <w:r>
        <w:rPr>
          <w:spacing w:val="-56"/>
        </w:rPr>
        <w:t> </w:t>
      </w:r>
      <w:r>
        <w:rPr>
          <w:rFonts w:ascii="Times New Roman" w:hAnsi="Times New Roman" w:cs="Times New Roman" w:eastAsia="Times New Roman" w:hint="default"/>
        </w:rPr>
        <w:t>685.00</w:t>
      </w:r>
      <w:r>
        <w:rPr>
          <w:rFonts w:ascii="Times New Roman" w:hAnsi="Times New Roman" w:cs="Times New Roman" w:eastAsia="Times New Roman" w:hint="default"/>
          <w:spacing w:val="-3"/>
        </w:rPr>
        <w:t> </w:t>
      </w:r>
      <w:r>
        <w:rPr/>
        <w:t>万元，票据未到</w:t>
      </w:r>
    </w:p>
    <w:p>
      <w:pPr>
        <w:pStyle w:val="BodyText"/>
        <w:spacing w:line="240" w:lineRule="auto" w:before="110"/>
        <w:ind w:right="1682"/>
        <w:jc w:val="left"/>
      </w:pPr>
      <w:r>
        <w:rPr/>
        <w:t>期，担保责任未履行完毕；截至</w:t>
      </w:r>
      <w:r>
        <w:rPr>
          <w:spacing w:val="-54"/>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t>日，武汉中原电子信息有限</w:t>
      </w:r>
    </w:p>
    <w:p>
      <w:pPr>
        <w:pStyle w:val="BodyText"/>
        <w:spacing w:line="333" w:lineRule="auto" w:before="108"/>
        <w:ind w:right="1782"/>
        <w:jc w:val="left"/>
      </w:pPr>
      <w:r>
        <w:rPr/>
        <w:t>公司公司银行保函余额为</w:t>
      </w:r>
      <w:r>
        <w:rPr>
          <w:spacing w:val="-54"/>
        </w:rPr>
        <w:t> </w:t>
      </w:r>
      <w:r>
        <w:rPr>
          <w:rFonts w:ascii="Times New Roman" w:hAnsi="Times New Roman" w:cs="Times New Roman" w:eastAsia="Times New Roman" w:hint="default"/>
        </w:rPr>
        <w:t>1,293.48</w:t>
      </w:r>
      <w:r>
        <w:rPr>
          <w:rFonts w:ascii="Times New Roman" w:hAnsi="Times New Roman" w:cs="Times New Roman" w:eastAsia="Times New Roman" w:hint="default"/>
          <w:spacing w:val="-2"/>
        </w:rPr>
        <w:t> </w:t>
      </w:r>
      <w:r>
        <w:rPr/>
        <w:t>万元，尚未到期，担保责任未履行完毕。 </w:t>
      </w:r>
      <w:r>
        <w:rPr>
          <w:rFonts w:ascii="Times New Roman" w:hAnsi="Times New Roman" w:cs="Times New Roman" w:eastAsia="Times New Roman" w:hint="default"/>
        </w:rPr>
        <w:t>11</w:t>
      </w:r>
      <w:r>
        <w:rPr/>
        <w:t>、</w:t>
      </w:r>
      <w:r>
        <w:rPr>
          <w:rFonts w:ascii="Times New Roman" w:hAnsi="Times New Roman" w:cs="Times New Roman" w:eastAsia="Times New Roman" w:hint="default"/>
        </w:rPr>
        <w:t>2018</w:t>
      </w:r>
      <w:r>
        <w:rPr>
          <w:rFonts w:ascii="Times New Roman" w:hAnsi="Times New Roman" w:cs="Times New Roman" w:eastAsia="Times New Roman" w:hint="default"/>
          <w:spacing w:val="-5"/>
        </w:rPr>
        <w:t> </w:t>
      </w:r>
      <w:r>
        <w:rPr/>
        <w:t>年，武汉中元通信股份有限公司与中国电子财务有限责任公司银行 签订开立银行承兑汇票业务协定书，开出银行承兑汇票</w:t>
      </w:r>
      <w:r>
        <w:rPr>
          <w:spacing w:val="-56"/>
        </w:rPr>
        <w:t> </w:t>
      </w:r>
      <w:r>
        <w:rPr>
          <w:rFonts w:ascii="Times New Roman" w:hAnsi="Times New Roman" w:cs="Times New Roman" w:eastAsia="Times New Roman" w:hint="default"/>
        </w:rPr>
        <w:t>20,161.08</w:t>
      </w:r>
      <w:r>
        <w:rPr>
          <w:rFonts w:ascii="Times New Roman" w:hAnsi="Times New Roman" w:cs="Times New Roman" w:eastAsia="Times New Roman" w:hint="default"/>
          <w:spacing w:val="-3"/>
        </w:rPr>
        <w:t> </w:t>
      </w:r>
      <w:r>
        <w:rPr/>
        <w:t>万元，根据 编号</w:t>
      </w:r>
      <w:r>
        <w:rPr>
          <w:spacing w:val="-55"/>
        </w:rPr>
        <w:t> </w:t>
      </w:r>
      <w:r>
        <w:rPr>
          <w:rFonts w:ascii="Times New Roman" w:hAnsi="Times New Roman" w:cs="Times New Roman" w:eastAsia="Times New Roman" w:hint="default"/>
        </w:rPr>
        <w:t>CECF</w:t>
      </w:r>
      <w:r>
        <w:rPr>
          <w:rFonts w:ascii="Times New Roman" w:hAnsi="Times New Roman" w:cs="Times New Roman" w:eastAsia="Times New Roman" w:hint="default"/>
          <w:spacing w:val="-4"/>
        </w:rPr>
        <w:t> </w:t>
      </w:r>
      <w:r>
        <w:rPr/>
        <w:t>综信</w:t>
      </w:r>
      <w:r>
        <w:rPr>
          <w:rFonts w:ascii="Times New Roman" w:hAnsi="Times New Roman" w:cs="Times New Roman" w:eastAsia="Times New Roman" w:hint="default"/>
        </w:rPr>
        <w:t>[2018]</w:t>
      </w:r>
      <w:r>
        <w:rPr/>
        <w:t>第</w:t>
      </w:r>
      <w:r>
        <w:rPr>
          <w:spacing w:val="-55"/>
        </w:rPr>
        <w:t> </w:t>
      </w:r>
      <w:r>
        <w:rPr>
          <w:rFonts w:ascii="Times New Roman" w:hAnsi="Times New Roman" w:cs="Times New Roman" w:eastAsia="Times New Roman" w:hint="default"/>
        </w:rPr>
        <w:t>60</w:t>
      </w:r>
      <w:r>
        <w:rPr>
          <w:rFonts w:ascii="Times New Roman" w:hAnsi="Times New Roman" w:cs="Times New Roman" w:eastAsia="Times New Roman" w:hint="default"/>
          <w:spacing w:val="-2"/>
        </w:rPr>
        <w:t> </w:t>
      </w:r>
      <w:r>
        <w:rPr/>
        <w:t>号</w:t>
      </w:r>
      <w:r>
        <w:rPr>
          <w:rFonts w:ascii="Times New Roman" w:hAnsi="Times New Roman" w:cs="Times New Roman" w:eastAsia="Times New Roman" w:hint="default"/>
        </w:rPr>
        <w:t>-</w:t>
      </w:r>
      <w:r>
        <w:rPr/>
        <w:t>保证</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号合同，武汉中原电子集团有限公司为 中国电子财务有限公司与武汉中元通信股份公司形成的银行承兑汇票提供最 高余额折合人民币</w:t>
      </w:r>
      <w:r>
        <w:rPr>
          <w:spacing w:val="-57"/>
        </w:rPr>
        <w:t> </w:t>
      </w:r>
      <w:r>
        <w:rPr>
          <w:rFonts w:ascii="Times New Roman" w:hAnsi="Times New Roman" w:cs="Times New Roman" w:eastAsia="Times New Roman" w:hint="default"/>
        </w:rPr>
        <w:t>25,500.00</w:t>
      </w:r>
      <w:r>
        <w:rPr>
          <w:rFonts w:ascii="Times New Roman" w:hAnsi="Times New Roman" w:cs="Times New Roman" w:eastAsia="Times New Roman" w:hint="default"/>
          <w:spacing w:val="-4"/>
        </w:rPr>
        <w:t> </w:t>
      </w:r>
      <w:r>
        <w:rPr/>
        <w:t>万元的连带责任保证，保证期间为票据到期届满</w:t>
      </w:r>
    </w:p>
    <w:p>
      <w:pPr>
        <w:pStyle w:val="BodyText"/>
        <w:spacing w:line="240" w:lineRule="auto" w:before="18"/>
        <w:ind w:right="1682"/>
        <w:jc w:val="left"/>
      </w:pPr>
      <w:r>
        <w:rPr/>
        <w:t>之后两年。截至</w:t>
      </w:r>
      <w:r>
        <w:rPr>
          <w:spacing w:val="-54"/>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日，武汉中元通信股份有限公司银行承兑汇</w:t>
      </w:r>
    </w:p>
    <w:p>
      <w:pPr>
        <w:pStyle w:val="BodyText"/>
        <w:spacing w:line="240" w:lineRule="auto"/>
        <w:ind w:right="1793"/>
        <w:jc w:val="left"/>
      </w:pPr>
      <w:r>
        <w:rPr/>
        <w:t>票余额为</w:t>
      </w:r>
      <w:r>
        <w:rPr>
          <w:spacing w:val="-56"/>
        </w:rPr>
        <w:t> </w:t>
      </w:r>
      <w:r>
        <w:rPr>
          <w:rFonts w:ascii="Times New Roman" w:hAnsi="Times New Roman" w:cs="Times New Roman" w:eastAsia="Times New Roman" w:hint="default"/>
        </w:rPr>
        <w:t>20,161.08</w:t>
      </w:r>
      <w:r>
        <w:rPr>
          <w:rFonts w:ascii="Times New Roman" w:hAnsi="Times New Roman" w:cs="Times New Roman" w:eastAsia="Times New Roman" w:hint="default"/>
          <w:spacing w:val="-3"/>
        </w:rPr>
        <w:t> </w:t>
      </w:r>
      <w:r>
        <w:rPr/>
        <w:t>万元，票据未到期，担保责任未履行完毕。</w:t>
      </w:r>
    </w:p>
    <w:p>
      <w:pPr>
        <w:pStyle w:val="BodyText"/>
        <w:spacing w:line="340" w:lineRule="auto" w:before="110"/>
        <w:ind w:right="1682"/>
        <w:jc w:val="left"/>
      </w:pPr>
      <w:r>
        <w:rPr>
          <w:rFonts w:ascii="Times New Roman" w:hAnsi="Times New Roman" w:cs="Times New Roman" w:eastAsia="Times New Roman" w:hint="default"/>
        </w:rPr>
        <w:t>12</w:t>
      </w:r>
      <w:r>
        <w:rPr/>
        <w:t>、</w:t>
      </w:r>
      <w:r>
        <w:rPr>
          <w:rFonts w:ascii="Times New Roman" w:hAnsi="Times New Roman" w:cs="Times New Roman" w:eastAsia="Times New Roman" w:hint="default"/>
        </w:rPr>
        <w:t>2018</w:t>
      </w:r>
      <w:r>
        <w:rPr>
          <w:rFonts w:ascii="Times New Roman" w:hAnsi="Times New Roman" w:cs="Times New Roman" w:eastAsia="Times New Roman" w:hint="default"/>
          <w:spacing w:val="-2"/>
        </w:rPr>
        <w:t> </w:t>
      </w:r>
      <w:r>
        <w:rPr/>
        <w:t>年</w:t>
      </w:r>
      <w:r>
        <w:rPr>
          <w:spacing w:val="-55"/>
        </w:rPr>
        <w:t> </w:t>
      </w:r>
      <w:r>
        <w:rPr>
          <w:rFonts w:ascii="Times New Roman" w:hAnsi="Times New Roman" w:cs="Times New Roman" w:eastAsia="Times New Roman" w:hint="default"/>
        </w:rPr>
        <w:t>10</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22</w:t>
      </w:r>
      <w:r>
        <w:rPr>
          <w:rFonts w:ascii="Times New Roman" w:hAnsi="Times New Roman" w:cs="Times New Roman" w:eastAsia="Times New Roman" w:hint="default"/>
          <w:spacing w:val="-1"/>
        </w:rPr>
        <w:t> </w:t>
      </w:r>
      <w:r>
        <w:rPr/>
        <w:t>日，武汉中原长江科技发展有限公司与中国电子财务有 </w:t>
      </w:r>
      <w:r>
        <w:rPr>
          <w:spacing w:val="-4"/>
        </w:rPr>
        <w:t>限责任公司签订《借款合同》，以信用担保方式为获得流动资金借款人民币</w:t>
      </w:r>
      <w:r>
        <w:rPr>
          <w:spacing w:val="-80"/>
        </w:rPr>
        <w:t> </w:t>
      </w:r>
      <w:r>
        <w:rPr>
          <w:spacing w:val="-80"/>
        </w:rPr>
      </w:r>
      <w:r>
        <w:rPr>
          <w:rFonts w:ascii="Times New Roman" w:hAnsi="Times New Roman" w:cs="Times New Roman" w:eastAsia="Times New Roman" w:hint="default"/>
        </w:rPr>
        <w:t>1,500.00</w:t>
      </w:r>
      <w:r>
        <w:rPr>
          <w:rFonts w:ascii="Times New Roman" w:hAnsi="Times New Roman" w:cs="Times New Roman" w:eastAsia="Times New Roman" w:hint="default"/>
          <w:spacing w:val="-1"/>
        </w:rPr>
        <w:t> </w:t>
      </w:r>
      <w:r>
        <w:rPr>
          <w:spacing w:val="-5"/>
        </w:rPr>
        <w:t>万元，期限一年。根据编号</w:t>
      </w:r>
      <w:r>
        <w:rPr>
          <w:spacing w:val="-55"/>
        </w:rPr>
        <w:t> </w:t>
      </w:r>
      <w:r>
        <w:rPr>
          <w:rFonts w:ascii="Times New Roman" w:hAnsi="Times New Roman" w:cs="Times New Roman" w:eastAsia="Times New Roman" w:hint="default"/>
        </w:rPr>
        <w:t>CECF</w:t>
      </w:r>
      <w:r>
        <w:rPr>
          <w:rFonts w:ascii="Times New Roman" w:hAnsi="Times New Roman" w:cs="Times New Roman" w:eastAsia="Times New Roman" w:hint="default"/>
          <w:spacing w:val="-3"/>
        </w:rPr>
        <w:t> </w:t>
      </w:r>
      <w:r>
        <w:rPr/>
        <w:t>综信</w:t>
      </w:r>
      <w:r>
        <w:rPr>
          <w:rFonts w:ascii="Times New Roman" w:hAnsi="Times New Roman" w:cs="Times New Roman" w:eastAsia="Times New Roman" w:hint="default"/>
        </w:rPr>
        <w:t>[2018]</w:t>
      </w:r>
      <w:r>
        <w:rPr/>
        <w:t>第</w:t>
      </w:r>
      <w:r>
        <w:rPr>
          <w:spacing w:val="-55"/>
        </w:rPr>
        <w:t> </w:t>
      </w:r>
      <w:r>
        <w:rPr>
          <w:rFonts w:ascii="Times New Roman" w:hAnsi="Times New Roman" w:cs="Times New Roman" w:eastAsia="Times New Roman" w:hint="default"/>
        </w:rPr>
        <w:t>62</w:t>
      </w:r>
      <w:r>
        <w:rPr>
          <w:rFonts w:ascii="Times New Roman" w:hAnsi="Times New Roman" w:cs="Times New Roman" w:eastAsia="Times New Roman" w:hint="default"/>
          <w:spacing w:val="-2"/>
        </w:rPr>
        <w:t> </w:t>
      </w:r>
      <w:r>
        <w:rPr/>
        <w:t>号</w:t>
      </w:r>
      <w:r>
        <w:rPr>
          <w:rFonts w:ascii="Times New Roman" w:hAnsi="Times New Roman" w:cs="Times New Roman" w:eastAsia="Times New Roman" w:hint="default"/>
        </w:rPr>
        <w:t>-</w:t>
      </w:r>
      <w:r>
        <w:rPr/>
        <w:t>保证</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号合同， </w:t>
      </w:r>
      <w:r>
        <w:rPr>
          <w:spacing w:val="-4"/>
        </w:rPr>
        <w:t>该笔借款由武汉中原电子集团有限公司提供连带责任保证，保证期间为各期债</w:t>
      </w:r>
      <w:r>
        <w:rPr>
          <w:spacing w:val="-73"/>
        </w:rPr>
        <w:t> </w:t>
      </w:r>
      <w:r>
        <w:rPr>
          <w:spacing w:val="-73"/>
        </w:rPr>
      </w:r>
      <w:r>
        <w:rPr/>
        <w:t>务履行期届满之日两年。截至</w:t>
      </w:r>
      <w:r>
        <w:rPr>
          <w:spacing w:val="-54"/>
        </w:rPr>
        <w:t> </w:t>
      </w:r>
      <w:r>
        <w:rPr>
          <w:rFonts w:ascii="Times New Roman" w:hAnsi="Times New Roman" w:cs="Times New Roman" w:eastAsia="Times New Roman" w:hint="default"/>
        </w:rPr>
        <w:t>2018</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t>日，武汉中原长江科技发展有</w:t>
      </w:r>
    </w:p>
    <w:p>
      <w:pPr>
        <w:pStyle w:val="BodyText"/>
        <w:spacing w:line="240" w:lineRule="auto" w:before="11"/>
        <w:ind w:right="1793"/>
        <w:jc w:val="left"/>
      </w:pPr>
      <w:r>
        <w:rPr/>
        <w:t>限公司该项贷款余额为</w:t>
      </w:r>
      <w:r>
        <w:rPr>
          <w:spacing w:val="-56"/>
        </w:rPr>
        <w:t> </w:t>
      </w:r>
      <w:r>
        <w:rPr>
          <w:rFonts w:ascii="Times New Roman" w:hAnsi="Times New Roman" w:cs="Times New Roman" w:eastAsia="Times New Roman" w:hint="default"/>
        </w:rPr>
        <w:t>1,500.00</w:t>
      </w:r>
      <w:r>
        <w:rPr>
          <w:rFonts w:ascii="Times New Roman" w:hAnsi="Times New Roman" w:cs="Times New Roman" w:eastAsia="Times New Roman" w:hint="default"/>
          <w:spacing w:val="-3"/>
        </w:rPr>
        <w:t> </w:t>
      </w:r>
      <w:r>
        <w:rPr/>
        <w:t>万元，担保责任未履行完毕。</w:t>
      </w:r>
    </w:p>
    <w:p>
      <w:pPr>
        <w:spacing w:after="0" w:line="240" w:lineRule="auto"/>
        <w:jc w:val="left"/>
        <w:sectPr>
          <w:pgSz w:w="11910" w:h="16840"/>
          <w:pgMar w:header="0" w:footer="1001" w:top="1520" w:bottom="1200" w:left="1660" w:right="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4"/>
          <w:szCs w:val="24"/>
        </w:rPr>
      </w:pPr>
    </w:p>
    <w:p>
      <w:pPr>
        <w:pStyle w:val="Heading5"/>
        <w:tabs>
          <w:tab w:pos="1397" w:val="left" w:leader="none"/>
        </w:tabs>
        <w:spacing w:line="240" w:lineRule="auto"/>
        <w:ind w:left="846" w:right="3681"/>
        <w:jc w:val="left"/>
        <w:rPr>
          <w:b w:val="0"/>
          <w:bCs w:val="0"/>
        </w:rPr>
      </w:pPr>
      <w:r>
        <w:rPr>
          <w:rFonts w:ascii="Times New Roman" w:hAnsi="Times New Roman" w:cs="Times New Roman" w:eastAsia="Times New Roman" w:hint="default"/>
          <w:w w:val="95"/>
        </w:rPr>
        <w:t>5</w:t>
      </w:r>
      <w:r>
        <w:rPr>
          <w:w w:val="95"/>
        </w:rPr>
        <w:t>、</w:t>
        <w:tab/>
      </w:r>
      <w:r>
        <w:rPr/>
        <w:t>关联方资金拆借</w:t>
      </w:r>
      <w:r>
        <w:rPr>
          <w:b w:val="0"/>
          <w:bCs w:val="0"/>
        </w:rPr>
      </w:r>
    </w:p>
    <w:p>
      <w:pPr>
        <w:spacing w:line="1317" w:lineRule="exact"/>
        <w:ind w:left="720" w:right="0" w:firstLine="0"/>
        <w:rPr>
          <w:rFonts w:ascii="宋体" w:hAnsi="宋体" w:cs="宋体" w:eastAsia="宋体" w:hint="default"/>
          <w:sz w:val="20"/>
          <w:szCs w:val="20"/>
        </w:rPr>
      </w:pPr>
      <w:r>
        <w:rPr>
          <w:rFonts w:ascii="宋体" w:hAnsi="宋体" w:cs="宋体" w:eastAsia="宋体" w:hint="default"/>
          <w:position w:val="-25"/>
          <w:sz w:val="20"/>
          <w:szCs w:val="20"/>
        </w:rPr>
        <w:pict>
          <v:group style="width:412.15pt;height:65.9pt;mso-position-horizontal-relative:char;mso-position-vertical-relative:line" coordorigin="0,0" coordsize="8243,1318">
            <v:group style="position:absolute;left:29;top:15;width:2033;height:2" coordorigin="29,15" coordsize="2033,2">
              <v:shape style="position:absolute;left:29;top:15;width:2033;height:2" coordorigin="29,15" coordsize="2033,0" path="m29,15l2062,15e" filled="false" stroked="true" strokeweight="1.5pt" strokecolor="#000000">
                <v:path arrowok="t"/>
              </v:shape>
              <v:shape style="position:absolute;left:2062;top:30;width:10;height:28" type="#_x0000_t75" stroked="false">
                <v:imagedata r:id="rId96" o:title=""/>
              </v:shape>
            </v:group>
            <v:group style="position:absolute;left:2062;top:15;width:1445;height:2" coordorigin="2062,15" coordsize="1445,2">
              <v:shape style="position:absolute;left:2062;top:15;width:1445;height:2" coordorigin="2062,15" coordsize="1445,0" path="m2062,15l3507,15e" filled="false" stroked="true" strokeweight="1.5pt" strokecolor="#000000">
                <v:path arrowok="t"/>
              </v:shape>
              <v:shape style="position:absolute;left:3507;top:30;width:10;height:28" type="#_x0000_t75" stroked="false">
                <v:imagedata r:id="rId96" o:title=""/>
              </v:shape>
            </v:group>
            <v:group style="position:absolute;left:3507;top:15;width:1360;height:2" coordorigin="3507,15" coordsize="1360,2">
              <v:shape style="position:absolute;left:3507;top:15;width:1360;height:2" coordorigin="3507,15" coordsize="1360,0" path="m3507,15l4867,15e" filled="false" stroked="true" strokeweight="1.5pt" strokecolor="#000000">
                <v:path arrowok="t"/>
              </v:shape>
              <v:shape style="position:absolute;left:4867;top:30;width:10;height:28" type="#_x0000_t75" stroked="false">
                <v:imagedata r:id="rId96" o:title=""/>
              </v:shape>
            </v:group>
            <v:group style="position:absolute;left:4867;top:15;width:30;height:2" coordorigin="4867,15" coordsize="30,2">
              <v:shape style="position:absolute;left:4867;top:15;width:30;height:2" coordorigin="4867,15" coordsize="30,0" path="m4867,15l4897,15e" filled="false" stroked="true" strokeweight="1.5pt" strokecolor="#000000">
                <v:path arrowok="t"/>
              </v:shape>
            </v:group>
            <v:group style="position:absolute;left:4897;top:15;width:1388;height:2" coordorigin="4897,15" coordsize="1388,2">
              <v:shape style="position:absolute;left:4897;top:15;width:1388;height:2" coordorigin="4897,15" coordsize="1388,0" path="m4897,15l6284,15e" filled="false" stroked="true" strokeweight="1.5pt" strokecolor="#000000">
                <v:path arrowok="t"/>
              </v:shape>
              <v:shape style="position:absolute;left:6284;top:30;width:10;height:28" type="#_x0000_t75" stroked="false">
                <v:imagedata r:id="rId96" o:title=""/>
              </v:shape>
            </v:group>
            <v:group style="position:absolute;left:6284;top:15;width:1934;height:2" coordorigin="6284,15" coordsize="1934,2">
              <v:shape style="position:absolute;left:6284;top:15;width:1934;height:2" coordorigin="6284,15" coordsize="1934,0" path="m6284,15l8217,15e" filled="false" stroked="true" strokeweight="1.5pt" strokecolor="#000000">
                <v:path arrowok="t"/>
              </v:shape>
              <v:shape style="position:absolute;left:2043;top:38;width:4270;height:354" type="#_x0000_t75" stroked="false">
                <v:imagedata r:id="rId438" o:title=""/>
              </v:shape>
            </v:group>
            <v:group style="position:absolute;left:15;top:1303;width:2048;height:2" coordorigin="15,1303" coordsize="2048,2">
              <v:shape style="position:absolute;left:15;top:1303;width:2048;height:2" coordorigin="15,1303" coordsize="2048,0" path="m15,1303l2062,1303e" filled="false" stroked="true" strokeweight="1.5pt" strokecolor="#000000">
                <v:path arrowok="t"/>
              </v:shape>
              <v:shape style="position:absolute;left:10;top:354;width:8232;height:953" type="#_x0000_t75" stroked="false">
                <v:imagedata r:id="rId439" o:title=""/>
              </v:shape>
            </v:group>
            <v:group style="position:absolute;left:2062;top:1303;width:1445;height:2" coordorigin="2062,1303" coordsize="1445,2">
              <v:shape style="position:absolute;left:2062;top:1303;width:1445;height:2" coordorigin="2062,1303" coordsize="1445,0" path="m2062,1303l3507,1303e" filled="false" stroked="true" strokeweight="1.5pt" strokecolor="#000000">
                <v:path arrowok="t"/>
              </v:shape>
              <v:shape style="position:absolute;left:3488;top:746;width:48;height:560" type="#_x0000_t75" stroked="false">
                <v:imagedata r:id="rId440" o:title=""/>
              </v:shape>
            </v:group>
            <v:group style="position:absolute;left:3507;top:1303;width:1360;height:2" coordorigin="3507,1303" coordsize="1360,2">
              <v:shape style="position:absolute;left:3507;top:1303;width:1360;height:2" coordorigin="3507,1303" coordsize="1360,0" path="m3507,1303l4867,1303e" filled="false" stroked="true" strokeweight="1.5pt" strokecolor="#000000">
                <v:path arrowok="t"/>
              </v:shape>
              <v:shape style="position:absolute;left:4847;top:746;width:48;height:560" type="#_x0000_t75" stroked="false">
                <v:imagedata r:id="rId440" o:title=""/>
              </v:shape>
            </v:group>
            <v:group style="position:absolute;left:4867;top:1303;width:30;height:2" coordorigin="4867,1303" coordsize="30,2">
              <v:shape style="position:absolute;left:4867;top:1303;width:30;height:2" coordorigin="4867,1303" coordsize="30,0" path="m4867,1303l4897,1303e" filled="false" stroked="true" strokeweight="1.5pt" strokecolor="#000000">
                <v:path arrowok="t"/>
              </v:shape>
            </v:group>
            <v:group style="position:absolute;left:4897;top:1303;width:1388;height:2" coordorigin="4897,1303" coordsize="1388,2">
              <v:shape style="position:absolute;left:4897;top:1303;width:1388;height:2" coordorigin="4897,1303" coordsize="1388,0" path="m4897,1303l6284,1303e" filled="false" stroked="true" strokeweight="1.5pt" strokecolor="#000000">
                <v:path arrowok="t"/>
              </v:shape>
              <v:shape style="position:absolute;left:6265;top:746;width:48;height:560" type="#_x0000_t75" stroked="false">
                <v:imagedata r:id="rId440" o:title=""/>
              </v:shape>
            </v:group>
            <v:group style="position:absolute;left:6284;top:1303;width:1934;height:2" coordorigin="6284,1303" coordsize="1934,2">
              <v:shape style="position:absolute;left:6284;top:1303;width:1934;height:2" coordorigin="6284,1303" coordsize="1934,0" path="m6284,1303l8217,1303e" filled="false" stroked="true" strokeweight="1.5pt" strokecolor="#000000">
                <v:path arrowok="t"/>
              </v:shape>
              <v:shape style="position:absolute;left:808;top:121;width:4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关联方</w:t>
                      </w:r>
                      <w:r>
                        <w:rPr>
                          <w:rFonts w:ascii="宋体" w:hAnsi="宋体" w:cs="宋体" w:eastAsia="宋体" w:hint="default"/>
                          <w:sz w:val="16"/>
                          <w:szCs w:val="16"/>
                        </w:rPr>
                      </w:r>
                    </w:p>
                  </w:txbxContent>
                </v:textbox>
                <w10:wrap type="none"/>
              </v:shape>
              <v:shape style="position:absolute;left:2468;top:121;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拆借余额</w:t>
                      </w:r>
                      <w:r>
                        <w:rPr>
                          <w:rFonts w:ascii="宋体" w:hAnsi="宋体" w:cs="宋体" w:eastAsia="宋体" w:hint="default"/>
                          <w:sz w:val="16"/>
                          <w:szCs w:val="16"/>
                        </w:rPr>
                      </w:r>
                    </w:p>
                  </w:txbxContent>
                </v:textbox>
                <w10:wrap type="none"/>
              </v:shape>
              <v:shape style="position:absolute;left:3950;top:121;width:4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起始日</w:t>
                      </w:r>
                      <w:r>
                        <w:rPr>
                          <w:rFonts w:ascii="宋体" w:hAnsi="宋体" w:cs="宋体" w:eastAsia="宋体" w:hint="default"/>
                          <w:sz w:val="16"/>
                          <w:szCs w:val="16"/>
                        </w:rPr>
                      </w:r>
                    </w:p>
                  </w:txbxContent>
                </v:textbox>
                <w10:wrap type="none"/>
              </v:shape>
              <v:shape style="position:absolute;left:5338;top:121;width:4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到期日</w:t>
                      </w:r>
                      <w:r>
                        <w:rPr>
                          <w:rFonts w:ascii="宋体" w:hAnsi="宋体" w:cs="宋体" w:eastAsia="宋体" w:hint="default"/>
                          <w:sz w:val="16"/>
                          <w:szCs w:val="16"/>
                        </w:rPr>
                      </w:r>
                    </w:p>
                  </w:txbxContent>
                </v:textbox>
                <w10:wrap type="none"/>
              </v:shape>
              <v:shape style="position:absolute;left:7091;top:121;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说明</w:t>
                      </w:r>
                      <w:r>
                        <w:rPr>
                          <w:rFonts w:ascii="宋体" w:hAnsi="宋体" w:cs="宋体" w:eastAsia="宋体" w:hint="default"/>
                          <w:sz w:val="16"/>
                          <w:szCs w:val="16"/>
                        </w:rPr>
                      </w:r>
                    </w:p>
                  </w:txbxContent>
                </v:textbox>
                <w10:wrap type="none"/>
              </v:shape>
              <v:shape style="position:absolute;left:137;top:475;width:1758;height:722"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拆入</w:t>
                      </w:r>
                    </w:p>
                    <w:p>
                      <w:pPr>
                        <w:spacing w:line="240" w:lineRule="auto" w:before="1"/>
                        <w:rPr>
                          <w:rFonts w:ascii="宋体" w:hAnsi="宋体" w:cs="宋体" w:eastAsia="宋体" w:hint="default"/>
                          <w:b/>
                          <w:bCs/>
                          <w:sz w:val="11"/>
                          <w:szCs w:val="11"/>
                        </w:rPr>
                      </w:pPr>
                    </w:p>
                    <w:p>
                      <w:pPr>
                        <w:spacing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中国电子信息产业集团有</w:t>
                      </w:r>
                      <w:r>
                        <w:rPr>
                          <w:rFonts w:ascii="宋体" w:hAnsi="宋体" w:cs="宋体" w:eastAsia="宋体" w:hint="default"/>
                          <w:spacing w:val="9"/>
                          <w:w w:val="95"/>
                          <w:sz w:val="16"/>
                          <w:szCs w:val="16"/>
                        </w:rPr>
                        <w:t> </w:t>
                      </w:r>
                      <w:r>
                        <w:rPr>
                          <w:rFonts w:ascii="宋体" w:hAnsi="宋体" w:cs="宋体" w:eastAsia="宋体" w:hint="default"/>
                          <w:spacing w:val="9"/>
                          <w:w w:val="95"/>
                          <w:sz w:val="16"/>
                          <w:szCs w:val="16"/>
                        </w:rPr>
                      </w:r>
                      <w:r>
                        <w:rPr>
                          <w:rFonts w:ascii="宋体" w:hAnsi="宋体" w:cs="宋体" w:eastAsia="宋体" w:hint="default"/>
                          <w:sz w:val="16"/>
                          <w:szCs w:val="16"/>
                        </w:rPr>
                        <w:t>限公司</w:t>
                      </w:r>
                    </w:p>
                  </w:txbxContent>
                </v:textbox>
                <w10:wrap type="none"/>
              </v:shape>
              <v:shape style="position:absolute;left:2403;top:946;width:100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100,000,000.00</w:t>
                      </w:r>
                      <w:r>
                        <w:rPr>
                          <w:rFonts w:ascii="Times New Roman"/>
                          <w:sz w:val="16"/>
                        </w:rPr>
                      </w:r>
                    </w:p>
                  </w:txbxContent>
                </v:textbox>
                <w10:wrap type="none"/>
              </v:shape>
              <v:shape style="position:absolute;left:4309;top:946;width:455;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z w:val="16"/>
                        </w:rPr>
                        <w:t>2017-3</w:t>
                      </w:r>
                    </w:p>
                  </w:txbxContent>
                </v:textbox>
                <w10:wrap type="none"/>
              </v:shape>
              <v:shape style="position:absolute;left:5726;top:829;width:1710;height:376" type="#_x0000_t202" filled="false" stroked="false">
                <v:textbox inset="0,0,0,0">
                  <w:txbxContent>
                    <w:p>
                      <w:pPr>
                        <w:spacing w:line="128" w:lineRule="exact" w:before="0"/>
                        <w:ind w:left="669" w:right="0" w:firstLine="0"/>
                        <w:jc w:val="left"/>
                        <w:rPr>
                          <w:rFonts w:ascii="宋体" w:hAnsi="宋体" w:cs="宋体" w:eastAsia="宋体" w:hint="default"/>
                          <w:sz w:val="16"/>
                          <w:szCs w:val="16"/>
                        </w:rPr>
                      </w:pPr>
                      <w:r>
                        <w:rPr>
                          <w:rFonts w:ascii="宋体" w:hAnsi="宋体" w:cs="宋体" w:eastAsia="宋体" w:hint="default"/>
                          <w:sz w:val="16"/>
                          <w:szCs w:val="16"/>
                        </w:rPr>
                        <w:t>本期支付利息</w:t>
                      </w:r>
                    </w:p>
                    <w:p>
                      <w:pPr>
                        <w:tabs>
                          <w:tab w:pos="669" w:val="left" w:leader="none"/>
                        </w:tabs>
                        <w:spacing w:line="248" w:lineRule="exact" w:before="0"/>
                        <w:ind w:left="0" w:right="0" w:firstLine="0"/>
                        <w:jc w:val="left"/>
                        <w:rPr>
                          <w:rFonts w:ascii="宋体" w:hAnsi="宋体" w:cs="宋体" w:eastAsia="宋体" w:hint="default"/>
                          <w:sz w:val="16"/>
                          <w:szCs w:val="16"/>
                        </w:rPr>
                      </w:pPr>
                      <w:r>
                        <w:rPr>
                          <w:rFonts w:ascii="Times New Roman" w:hAnsi="Times New Roman" w:cs="Times New Roman" w:eastAsia="Times New Roman" w:hint="default"/>
                          <w:spacing w:val="-1"/>
                          <w:position w:val="10"/>
                          <w:sz w:val="16"/>
                          <w:szCs w:val="16"/>
                        </w:rPr>
                        <w:t>2028-8</w:t>
                        <w:tab/>
                      </w:r>
                      <w:r>
                        <w:rPr>
                          <w:rFonts w:ascii="Times New Roman" w:hAnsi="Times New Roman" w:cs="Times New Roman" w:eastAsia="Times New Roman" w:hint="default"/>
                          <w:spacing w:val="-1"/>
                          <w:sz w:val="16"/>
                          <w:szCs w:val="16"/>
                        </w:rPr>
                        <w:t>1,095,000.00</w:t>
                      </w:r>
                      <w:r>
                        <w:rPr>
                          <w:rFonts w:ascii="Times New Roman" w:hAnsi="Times New Roman" w:cs="Times New Roman" w:eastAsia="Times New Roman" w:hint="default"/>
                          <w:spacing w:val="5"/>
                          <w:sz w:val="16"/>
                          <w:szCs w:val="16"/>
                        </w:rPr>
                        <w:t> </w:t>
                      </w:r>
                      <w:r>
                        <w:rPr>
                          <w:rFonts w:ascii="宋体" w:hAnsi="宋体" w:cs="宋体" w:eastAsia="宋体" w:hint="default"/>
                          <w:sz w:val="16"/>
                          <w:szCs w:val="16"/>
                        </w:rPr>
                        <w:t>元</w:t>
                      </w:r>
                    </w:p>
                  </w:txbxContent>
                </v:textbox>
                <w10:wrap type="none"/>
              </v:shape>
            </v:group>
          </v:group>
        </w:pict>
      </w:r>
      <w:r>
        <w:rPr>
          <w:rFonts w:ascii="宋体" w:hAnsi="宋体" w:cs="宋体" w:eastAsia="宋体" w:hint="default"/>
          <w:position w:val="-25"/>
          <w:sz w:val="20"/>
          <w:szCs w:val="20"/>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6"/>
          <w:szCs w:val="16"/>
        </w:rPr>
      </w:pPr>
    </w:p>
    <w:p>
      <w:pPr>
        <w:pStyle w:val="Heading5"/>
        <w:tabs>
          <w:tab w:pos="1397" w:val="left" w:leader="none"/>
        </w:tabs>
        <w:spacing w:line="240" w:lineRule="auto"/>
        <w:ind w:left="846" w:right="3681"/>
        <w:jc w:val="left"/>
        <w:rPr>
          <w:b w:val="0"/>
          <w:bCs w:val="0"/>
        </w:rPr>
      </w:pPr>
      <w:r>
        <w:rPr>
          <w:rFonts w:ascii="Times New Roman" w:hAnsi="Times New Roman" w:cs="Times New Roman" w:eastAsia="Times New Roman" w:hint="default"/>
          <w:w w:val="95"/>
        </w:rPr>
        <w:t>6</w:t>
      </w:r>
      <w:r>
        <w:rPr>
          <w:w w:val="95"/>
        </w:rPr>
        <w:t>、</w:t>
        <w:tab/>
      </w:r>
      <w:r>
        <w:rPr/>
        <w:t>关键管理人员薪酬</w:t>
      </w:r>
      <w:r>
        <w:rPr>
          <w:b w:val="0"/>
          <w:bCs w:val="0"/>
        </w:rPr>
      </w:r>
    </w:p>
    <w:p>
      <w:pPr>
        <w:spacing w:line="757" w:lineRule="exact"/>
        <w:ind w:left="720" w:right="0" w:firstLine="0"/>
        <w:rPr>
          <w:rFonts w:ascii="宋体" w:hAnsi="宋体" w:cs="宋体" w:eastAsia="宋体" w:hint="default"/>
          <w:sz w:val="20"/>
          <w:szCs w:val="20"/>
        </w:rPr>
      </w:pPr>
      <w:r>
        <w:rPr>
          <w:rFonts w:ascii="宋体" w:hAnsi="宋体" w:cs="宋体" w:eastAsia="宋体" w:hint="default"/>
          <w:position w:val="-14"/>
          <w:sz w:val="20"/>
          <w:szCs w:val="20"/>
        </w:rPr>
        <w:pict>
          <v:group style="width:411.75pt;height:37.9pt;mso-position-horizontal-relative:char;mso-position-vertical-relative:line" coordorigin="0,0" coordsize="8235,758">
            <v:group style="position:absolute;left:29;top:15;width:3372;height:2" coordorigin="29,15" coordsize="3372,2">
              <v:shape style="position:absolute;left:29;top:15;width:3372;height:2" coordorigin="29,15" coordsize="3372,0" path="m29,15l3401,15e" filled="false" stroked="true" strokeweight="1.5pt" strokecolor="#000000">
                <v:path arrowok="t"/>
              </v:shape>
              <v:shape style="position:absolute;left:3401;top:30;width:10;height:28" type="#_x0000_t75" stroked="false">
                <v:imagedata r:id="rId37" o:title=""/>
              </v:shape>
            </v:group>
            <v:group style="position:absolute;left:3401;top:15;width:2405;height:2" coordorigin="3401,15" coordsize="2405,2">
              <v:shape style="position:absolute;left:3401;top:15;width:2405;height:2" coordorigin="3401,15" coordsize="2405,0" path="m3401,15l5806,15e" filled="false" stroked="true" strokeweight="1.5pt" strokecolor="#000000">
                <v:path arrowok="t"/>
              </v:shape>
              <v:shape style="position:absolute;left:5806;top:30;width:10;height:28" type="#_x0000_t75" stroked="false">
                <v:imagedata r:id="rId37" o:title=""/>
              </v:shape>
            </v:group>
            <v:group style="position:absolute;left:5806;top:15;width:30;height:2" coordorigin="5806,15" coordsize="30,2">
              <v:shape style="position:absolute;left:5806;top:15;width:30;height:2" coordorigin="5806,15" coordsize="30,0" path="m5806,15l5836,15e" filled="false" stroked="true" strokeweight="1.5pt" strokecolor="#000000">
                <v:path arrowok="t"/>
              </v:shape>
            </v:group>
            <v:group style="position:absolute;left:5836;top:15;width:2381;height:2" coordorigin="5836,15" coordsize="2381,2">
              <v:shape style="position:absolute;left:5836;top:15;width:2381;height:2" coordorigin="5836,15" coordsize="2381,0" path="m5836,15l8217,15e" filled="false" stroked="true" strokeweight="1.5pt" strokecolor="#000000">
                <v:path arrowok="t"/>
              </v:shape>
            </v:group>
            <v:group style="position:absolute;left:15;top:742;width:3387;height:2" coordorigin="15,742" coordsize="3387,2">
              <v:shape style="position:absolute;left:15;top:742;width:3387;height:2" coordorigin="15,742" coordsize="3387,0" path="m15,742l3401,742e" filled="false" stroked="true" strokeweight="1.5pt" strokecolor="#000000">
                <v:path arrowok="t"/>
              </v:shape>
            </v:group>
            <v:group style="position:absolute;left:3401;top:742;width:2405;height:2" coordorigin="3401,742" coordsize="2405,2">
              <v:shape style="position:absolute;left:3401;top:742;width:2405;height:2" coordorigin="3401,742" coordsize="2405,0" path="m3401,742l5806,742e" filled="false" stroked="true" strokeweight="1.5pt" strokecolor="#000000">
                <v:path arrowok="t"/>
              </v:shape>
              <v:shape style="position:absolute;left:10;top:38;width:8225;height:689" type="#_x0000_t75" stroked="false">
                <v:imagedata r:id="rId441" o:title=""/>
              </v:shape>
            </v:group>
            <v:group style="position:absolute;left:5806;top:742;width:30;height:2" coordorigin="5806,742" coordsize="30,2">
              <v:shape style="position:absolute;left:5806;top:742;width:30;height:2" coordorigin="5806,742" coordsize="30,0" path="m5806,742l5836,742e" filled="false" stroked="true" strokeweight="1.5pt" strokecolor="#000000">
                <v:path arrowok="t"/>
              </v:shape>
            </v:group>
            <v:group style="position:absolute;left:5836;top:742;width:2381;height:2" coordorigin="5836,742" coordsize="2381,2">
              <v:shape style="position:absolute;left:5836;top:742;width:2381;height:2" coordorigin="5836,742" coordsize="2381,0" path="m5836,742l8217,742e" filled="false" stroked="true" strokeweight="1.5pt" strokecolor="#000000">
                <v:path arrowok="t"/>
              </v:shape>
              <v:shape style="position:absolute;left:1557;top:121;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项目</w:t>
                      </w:r>
                      <w:r>
                        <w:rPr>
                          <w:rFonts w:ascii="宋体" w:hAnsi="宋体" w:cs="宋体" w:eastAsia="宋体" w:hint="default"/>
                          <w:sz w:val="16"/>
                          <w:szCs w:val="16"/>
                        </w:rPr>
                      </w:r>
                    </w:p>
                  </w:txbxContent>
                </v:textbox>
                <w10:wrap type="none"/>
              </v:shape>
              <v:shape style="position:absolute;left:4208;top:121;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本期发生额</w:t>
                      </w:r>
                      <w:r>
                        <w:rPr>
                          <w:rFonts w:ascii="宋体" w:hAnsi="宋体" w:cs="宋体" w:eastAsia="宋体" w:hint="default"/>
                          <w:sz w:val="16"/>
                          <w:szCs w:val="16"/>
                        </w:rPr>
                      </w:r>
                    </w:p>
                  </w:txbxContent>
                </v:textbox>
                <w10:wrap type="none"/>
              </v:shape>
              <v:shape style="position:absolute;left:6614;top:121;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上期发生额</w:t>
                      </w:r>
                      <w:r>
                        <w:rPr>
                          <w:rFonts w:ascii="宋体" w:hAnsi="宋体" w:cs="宋体" w:eastAsia="宋体" w:hint="default"/>
                          <w:sz w:val="16"/>
                          <w:szCs w:val="16"/>
                        </w:rPr>
                      </w:r>
                    </w:p>
                  </w:txbxContent>
                </v:textbox>
                <w10:wrap type="none"/>
              </v:shape>
              <v:shape style="position:absolute;left:137;top:475;width:12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关键管理人员薪酬</w:t>
                      </w:r>
                      <w:r>
                        <w:rPr>
                          <w:rFonts w:ascii="宋体" w:hAnsi="宋体" w:cs="宋体" w:eastAsia="宋体" w:hint="default"/>
                          <w:sz w:val="16"/>
                          <w:szCs w:val="16"/>
                        </w:rPr>
                      </w:r>
                    </w:p>
                  </w:txbxContent>
                </v:textbox>
                <w10:wrap type="none"/>
              </v:shape>
              <v:shape style="position:absolute;left:4789;top:488;width:916;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pacing w:val="-1"/>
                          <w:sz w:val="16"/>
                        </w:rPr>
                        <w:t>11,971,900.00</w:t>
                      </w:r>
                    </w:p>
                  </w:txbxContent>
                </v:textbox>
                <w10:wrap type="none"/>
              </v:shape>
              <v:shape style="position:absolute;left:7269;top:488;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5,809,900.00</w:t>
                      </w:r>
                      <w:r>
                        <w:rPr>
                          <w:rFonts w:ascii="Times New Roman"/>
                          <w:sz w:val="16"/>
                        </w:rPr>
                      </w:r>
                    </w:p>
                  </w:txbxContent>
                </v:textbox>
                <w10:wrap type="none"/>
              </v:shape>
            </v:group>
          </v:group>
        </w:pict>
      </w:r>
      <w:r>
        <w:rPr>
          <w:rFonts w:ascii="宋体" w:hAnsi="宋体" w:cs="宋体" w:eastAsia="宋体" w:hint="default"/>
          <w:position w:val="-14"/>
          <w:sz w:val="20"/>
          <w:szCs w:val="20"/>
        </w:rPr>
      </w:r>
    </w:p>
    <w:p>
      <w:pPr>
        <w:spacing w:line="240" w:lineRule="auto" w:before="8"/>
        <w:rPr>
          <w:rFonts w:ascii="宋体" w:hAnsi="宋体" w:cs="宋体" w:eastAsia="宋体" w:hint="default"/>
          <w:b/>
          <w:bCs/>
          <w:sz w:val="5"/>
          <w:szCs w:val="5"/>
        </w:rPr>
      </w:pPr>
    </w:p>
    <w:p>
      <w:pPr>
        <w:pStyle w:val="BodyText"/>
        <w:spacing w:line="340" w:lineRule="auto" w:before="35"/>
        <w:ind w:right="1792"/>
        <w:jc w:val="both"/>
      </w:pPr>
      <w:r>
        <w:rPr/>
        <w:t>说明：鉴于</w:t>
      </w:r>
      <w:r>
        <w:rPr>
          <w:spacing w:val="-55"/>
        </w:rPr>
        <w:t> </w:t>
      </w:r>
      <w:r>
        <w:rPr>
          <w:rFonts w:ascii="Times New Roman" w:hAnsi="Times New Roman" w:cs="Times New Roman" w:eastAsia="Times New Roman" w:hint="default"/>
        </w:rPr>
        <w:t>2017</w:t>
      </w:r>
      <w:r>
        <w:rPr>
          <w:rFonts w:ascii="Times New Roman" w:hAnsi="Times New Roman" w:cs="Times New Roman" w:eastAsia="Times New Roman" w:hint="default"/>
          <w:spacing w:val="-2"/>
        </w:rPr>
        <w:t> </w:t>
      </w:r>
      <w:r>
        <w:rPr/>
        <w:t>年为公司重大资产重组首年，公司管理层重新组建，部分高 </w:t>
      </w:r>
      <w:r>
        <w:rPr>
          <w:spacing w:val="-4"/>
        </w:rPr>
        <w:t>级管理人员的年度绩效奖金由原单位计提发放；公司新聘高级管理人员；公司</w:t>
      </w:r>
      <w:r>
        <w:rPr>
          <w:spacing w:val="-73"/>
        </w:rPr>
        <w:t> </w:t>
      </w:r>
      <w:r>
        <w:rPr>
          <w:spacing w:val="-73"/>
        </w:rPr>
      </w:r>
      <w:r>
        <w:rPr/>
        <w:t>调整董监事津贴标准；前述原因致使本年发生额与上年存在差异。</w:t>
      </w:r>
    </w:p>
    <w:p>
      <w:pPr>
        <w:spacing w:line="240" w:lineRule="auto" w:before="0"/>
        <w:rPr>
          <w:rFonts w:ascii="宋体" w:hAnsi="宋体" w:cs="宋体" w:eastAsia="宋体" w:hint="default"/>
          <w:sz w:val="20"/>
          <w:szCs w:val="20"/>
        </w:rPr>
      </w:pPr>
    </w:p>
    <w:p>
      <w:pPr>
        <w:pStyle w:val="Heading5"/>
        <w:tabs>
          <w:tab w:pos="1397" w:val="left" w:leader="none"/>
        </w:tabs>
        <w:spacing w:line="240" w:lineRule="auto" w:before="174"/>
        <w:ind w:left="846" w:right="3681"/>
        <w:jc w:val="left"/>
        <w:rPr>
          <w:b w:val="0"/>
          <w:bCs w:val="0"/>
        </w:rPr>
      </w:pPr>
      <w:r>
        <w:rPr>
          <w:rFonts w:ascii="Times New Roman" w:hAnsi="Times New Roman" w:cs="Times New Roman" w:eastAsia="Times New Roman" w:hint="default"/>
          <w:w w:val="95"/>
        </w:rPr>
        <w:t>7</w:t>
      </w:r>
      <w:r>
        <w:rPr>
          <w:w w:val="95"/>
        </w:rPr>
        <w:t>、</w:t>
        <w:tab/>
      </w:r>
      <w:r>
        <w:rPr/>
        <w:t>关联方存贷款情况</w:t>
      </w:r>
      <w:r>
        <w:rPr>
          <w:b w:val="0"/>
          <w:bCs w:val="0"/>
        </w:rPr>
      </w:r>
    </w:p>
    <w:p>
      <w:pPr>
        <w:pStyle w:val="BodyText"/>
        <w:spacing w:line="240" w:lineRule="auto" w:before="110"/>
        <w:ind w:right="0"/>
        <w:jc w:val="both"/>
      </w:pPr>
      <w:r>
        <w:rPr/>
        <w:t>（</w:t>
      </w:r>
      <w:r>
        <w:rPr>
          <w:rFonts w:ascii="Times New Roman" w:hAnsi="Times New Roman" w:cs="Times New Roman" w:eastAsia="Times New Roman" w:hint="default"/>
        </w:rPr>
        <w:t>1</w:t>
      </w:r>
      <w:r>
        <w:rPr/>
        <w:t>）关联方存款</w:t>
      </w:r>
    </w:p>
    <w:p>
      <w:pPr>
        <w:spacing w:line="1172" w:lineRule="exact"/>
        <w:ind w:left="720"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11.6pt;height:58.65pt;mso-position-horizontal-relative:char;mso-position-vertical-relative:line" coordorigin="0,0" coordsize="8232,1173">
            <v:group style="position:absolute;left:29;top:15;width:2094;height:2" coordorigin="29,15" coordsize="2094,2">
              <v:shape style="position:absolute;left:29;top:15;width:2094;height:2" coordorigin="29,15" coordsize="2094,0" path="m29,15l2123,15e" filled="false" stroked="true" strokeweight="1.5pt" strokecolor="#000000">
                <v:path arrowok="t"/>
              </v:shape>
              <v:shape style="position:absolute;left:2123;top:30;width:10;height:28" type="#_x0000_t75" stroked="false">
                <v:imagedata r:id="rId112" o:title=""/>
              </v:shape>
            </v:group>
            <v:group style="position:absolute;left:2123;top:15;width:1476;height:2" coordorigin="2123,15" coordsize="1476,2">
              <v:shape style="position:absolute;left:2123;top:15;width:1476;height:2" coordorigin="2123,15" coordsize="1476,0" path="m2123,15l3599,15e" filled="false" stroked="true" strokeweight="1.5pt" strokecolor="#000000">
                <v:path arrowok="t"/>
              </v:shape>
              <v:shape style="position:absolute;left:3599;top:30;width:10;height:28" type="#_x0000_t75" stroked="false">
                <v:imagedata r:id="rId112" o:title=""/>
              </v:shape>
            </v:group>
            <v:group style="position:absolute;left:3599;top:15;width:1493;height:2" coordorigin="3599,15" coordsize="1493,2">
              <v:shape style="position:absolute;left:3599;top:15;width:1493;height:2" coordorigin="3599,15" coordsize="1493,0" path="m3599,15l5092,15e" filled="false" stroked="true" strokeweight="1.5pt" strokecolor="#000000">
                <v:path arrowok="t"/>
              </v:shape>
              <v:shape style="position:absolute;left:5092;top:30;width:10;height:28" type="#_x0000_t75" stroked="false">
                <v:imagedata r:id="rId112" o:title=""/>
              </v:shape>
            </v:group>
            <v:group style="position:absolute;left:5092;top:15;width:1520;height:2" coordorigin="5092,15" coordsize="1520,2">
              <v:shape style="position:absolute;left:5092;top:15;width:1520;height:2" coordorigin="5092,15" coordsize="1520,0" path="m5092,15l6611,15e" filled="false" stroked="true" strokeweight="1.5pt" strokecolor="#000000">
                <v:path arrowok="t"/>
              </v:shape>
              <v:shape style="position:absolute;left:6611;top:30;width:10;height:28" type="#_x0000_t75" stroked="false">
                <v:imagedata r:id="rId112" o:title=""/>
              </v:shape>
            </v:group>
            <v:group style="position:absolute;left:6611;top:15;width:1606;height:2" coordorigin="6611,15" coordsize="1606,2">
              <v:shape style="position:absolute;left:6611;top:15;width:1606;height:2" coordorigin="6611,15" coordsize="1606,0" path="m6611,15l8217,15e" filled="false" stroked="true" strokeweight="1.5pt" strokecolor="#000000">
                <v:path arrowok="t"/>
              </v:shape>
            </v:group>
            <v:group style="position:absolute;left:15;top:1157;width:2109;height:2" coordorigin="15,1157" coordsize="2109,2">
              <v:shape style="position:absolute;left:15;top:1157;width:2109;height:2" coordorigin="15,1157" coordsize="2109,0" path="m15,1157l2123,1157e" filled="false" stroked="true" strokeweight="1.5pt" strokecolor="#000000">
                <v:path arrowok="t"/>
              </v:shape>
              <v:shape style="position:absolute;left:17;top:38;width:8211;height:1123" type="#_x0000_t75" stroked="false">
                <v:imagedata r:id="rId442" o:title=""/>
              </v:shape>
            </v:group>
            <v:group style="position:absolute;left:2123;top:1157;width:1476;height:2" coordorigin="2123,1157" coordsize="1476,2">
              <v:shape style="position:absolute;left:2123;top:1157;width:1476;height:2" coordorigin="2123,1157" coordsize="1476,0" path="m2123,1157l3599,1157e" filled="false" stroked="true" strokeweight="1.5pt" strokecolor="#000000">
                <v:path arrowok="t"/>
              </v:shape>
              <v:shape style="position:absolute;left:3580;top:600;width:48;height:562" type="#_x0000_t75" stroked="false">
                <v:imagedata r:id="rId443" o:title=""/>
              </v:shape>
            </v:group>
            <v:group style="position:absolute;left:3599;top:1157;width:1493;height:2" coordorigin="3599,1157" coordsize="1493,2">
              <v:shape style="position:absolute;left:3599;top:1157;width:1493;height:2" coordorigin="3599,1157" coordsize="1493,0" path="m3599,1157l5092,1157e" filled="false" stroked="true" strokeweight="1.5pt" strokecolor="#000000">
                <v:path arrowok="t"/>
              </v:shape>
              <v:shape style="position:absolute;left:5073;top:600;width:48;height:562" type="#_x0000_t75" stroked="false">
                <v:imagedata r:id="rId443" o:title=""/>
              </v:shape>
            </v:group>
            <v:group style="position:absolute;left:5092;top:1157;width:1520;height:2" coordorigin="5092,1157" coordsize="1520,2">
              <v:shape style="position:absolute;left:5092;top:1157;width:1520;height:2" coordorigin="5092,1157" coordsize="1520,0" path="m5092,1157l6611,1157e" filled="false" stroked="true" strokeweight="1.5pt" strokecolor="#000000">
                <v:path arrowok="t"/>
              </v:shape>
              <v:shape style="position:absolute;left:6592;top:600;width:48;height:562" type="#_x0000_t75" stroked="false">
                <v:imagedata r:id="rId443" o:title=""/>
              </v:shape>
            </v:group>
            <v:group style="position:absolute;left:6611;top:1157;width:1606;height:2" coordorigin="6611,1157" coordsize="1606,2">
              <v:shape style="position:absolute;left:6611;top:1157;width:1606;height:2" coordorigin="6611,1157" coordsize="1606,0" path="m6611,1157l8217,1157e" filled="false" stroked="true" strokeweight="1.5pt" strokecolor="#000000">
                <v:path arrowok="t"/>
              </v:shape>
              <v:shape style="position:absolute;left:679;top:225;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关联方名称</w:t>
                      </w:r>
                      <w:r>
                        <w:rPr>
                          <w:rFonts w:ascii="宋体" w:hAnsi="宋体" w:cs="宋体" w:eastAsia="宋体" w:hint="default"/>
                          <w:sz w:val="16"/>
                          <w:szCs w:val="16"/>
                        </w:rPr>
                      </w:r>
                    </w:p>
                  </w:txbxContent>
                </v:textbox>
                <w10:wrap type="none"/>
              </v:shape>
              <v:shape style="position:absolute;left:2546;top:225;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年末余额</w:t>
                      </w:r>
                      <w:r>
                        <w:rPr>
                          <w:rFonts w:ascii="宋体" w:hAnsi="宋体" w:cs="宋体" w:eastAsia="宋体" w:hint="default"/>
                          <w:sz w:val="16"/>
                          <w:szCs w:val="16"/>
                        </w:rPr>
                      </w:r>
                    </w:p>
                  </w:txbxContent>
                </v:textbox>
                <w10:wrap type="none"/>
              </v:shape>
              <v:shape style="position:absolute;left:4030;top:225;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年初余额</w:t>
                      </w:r>
                      <w:r>
                        <w:rPr>
                          <w:rFonts w:ascii="宋体" w:hAnsi="宋体" w:cs="宋体" w:eastAsia="宋体" w:hint="default"/>
                          <w:sz w:val="16"/>
                          <w:szCs w:val="16"/>
                        </w:rPr>
                      </w:r>
                    </w:p>
                  </w:txbxContent>
                </v:textbox>
                <w10:wrap type="none"/>
              </v:shape>
              <v:shape style="position:absolute;left:5216;top:121;width:1280;height:369" type="#_x0000_t202" filled="false" stroked="false">
                <v:textbox inset="0,0,0,0">
                  <w:txbxContent>
                    <w:p>
                      <w:pPr>
                        <w:spacing w:line="159" w:lineRule="exact" w:before="0"/>
                        <w:ind w:left="0" w:right="0" w:firstLine="0"/>
                        <w:jc w:val="center"/>
                        <w:rPr>
                          <w:rFonts w:ascii="宋体" w:hAnsi="宋体" w:cs="宋体" w:eastAsia="宋体" w:hint="default"/>
                          <w:sz w:val="16"/>
                          <w:szCs w:val="16"/>
                        </w:rPr>
                      </w:pPr>
                      <w:r>
                        <w:rPr>
                          <w:rFonts w:ascii="宋体" w:hAnsi="宋体" w:cs="宋体" w:eastAsia="宋体" w:hint="default"/>
                          <w:w w:val="95"/>
                          <w:sz w:val="16"/>
                          <w:szCs w:val="16"/>
                        </w:rPr>
                        <w:t>本年收取或支付利</w:t>
                      </w:r>
                      <w:r>
                        <w:rPr>
                          <w:rFonts w:ascii="宋体" w:hAnsi="宋体" w:cs="宋体" w:eastAsia="宋体" w:hint="default"/>
                          <w:sz w:val="16"/>
                          <w:szCs w:val="16"/>
                        </w:rPr>
                      </w:r>
                    </w:p>
                    <w:p>
                      <w:pPr>
                        <w:spacing w:line="209" w:lineRule="exact" w:before="0"/>
                        <w:ind w:left="0" w:right="0" w:firstLine="0"/>
                        <w:jc w:val="center"/>
                        <w:rPr>
                          <w:rFonts w:ascii="宋体" w:hAnsi="宋体" w:cs="宋体" w:eastAsia="宋体" w:hint="default"/>
                          <w:sz w:val="16"/>
                          <w:szCs w:val="16"/>
                        </w:rPr>
                      </w:pPr>
                      <w:r>
                        <w:rPr>
                          <w:rFonts w:ascii="宋体" w:hAnsi="宋体" w:cs="宋体" w:eastAsia="宋体" w:hint="default"/>
                          <w:sz w:val="16"/>
                          <w:szCs w:val="16"/>
                        </w:rPr>
                        <w:t>息、手续费</w:t>
                      </w:r>
                    </w:p>
                  </w:txbxContent>
                </v:textbox>
                <w10:wrap type="none"/>
              </v:shape>
              <v:shape style="position:absolute;left:6777;top:121;width:1280;height:369" type="#_x0000_t202" filled="false" stroked="false">
                <v:textbox inset="0,0,0,0">
                  <w:txbxContent>
                    <w:p>
                      <w:pPr>
                        <w:spacing w:line="159" w:lineRule="exact" w:before="0"/>
                        <w:ind w:left="0" w:right="0" w:firstLine="0"/>
                        <w:jc w:val="center"/>
                        <w:rPr>
                          <w:rFonts w:ascii="宋体" w:hAnsi="宋体" w:cs="宋体" w:eastAsia="宋体" w:hint="default"/>
                          <w:sz w:val="16"/>
                          <w:szCs w:val="16"/>
                        </w:rPr>
                      </w:pPr>
                      <w:r>
                        <w:rPr>
                          <w:rFonts w:ascii="宋体" w:hAnsi="宋体" w:cs="宋体" w:eastAsia="宋体" w:hint="default"/>
                          <w:w w:val="95"/>
                          <w:sz w:val="16"/>
                          <w:szCs w:val="16"/>
                        </w:rPr>
                        <w:t>上年收取或支付利</w:t>
                      </w:r>
                      <w:r>
                        <w:rPr>
                          <w:rFonts w:ascii="宋体" w:hAnsi="宋体" w:cs="宋体" w:eastAsia="宋体" w:hint="default"/>
                          <w:sz w:val="16"/>
                          <w:szCs w:val="16"/>
                        </w:rPr>
                      </w:r>
                    </w:p>
                    <w:p>
                      <w:pPr>
                        <w:spacing w:line="209" w:lineRule="exact" w:before="0"/>
                        <w:ind w:left="0" w:right="0" w:firstLine="0"/>
                        <w:jc w:val="center"/>
                        <w:rPr>
                          <w:rFonts w:ascii="宋体" w:hAnsi="宋体" w:cs="宋体" w:eastAsia="宋体" w:hint="default"/>
                          <w:sz w:val="16"/>
                          <w:szCs w:val="16"/>
                        </w:rPr>
                      </w:pPr>
                      <w:r>
                        <w:rPr>
                          <w:rFonts w:ascii="宋体" w:hAnsi="宋体" w:cs="宋体" w:eastAsia="宋体" w:hint="default"/>
                          <w:sz w:val="16"/>
                          <w:szCs w:val="16"/>
                        </w:rPr>
                        <w:t>息、手续费</w:t>
                      </w:r>
                    </w:p>
                  </w:txbxContent>
                </v:textbox>
                <w10:wrap type="none"/>
              </v:shape>
              <v:shape style="position:absolute;left:137;top:682;width:1758;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中国电子财务有限责任公</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司</w:t>
                      </w:r>
                      <w:r>
                        <w:rPr>
                          <w:rFonts w:ascii="宋体" w:hAnsi="宋体" w:cs="宋体" w:eastAsia="宋体" w:hint="default"/>
                          <w:sz w:val="16"/>
                          <w:szCs w:val="16"/>
                        </w:rPr>
                      </w:r>
                    </w:p>
                  </w:txbxContent>
                </v:textbox>
                <w10:wrap type="none"/>
              </v:shape>
              <v:shape style="position:absolute;left:2377;top:799;width:112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2,202,957,740.59</w:t>
                      </w:r>
                      <w:r>
                        <w:rPr>
                          <w:rFonts w:ascii="Times New Roman"/>
                          <w:sz w:val="16"/>
                        </w:rPr>
                      </w:r>
                    </w:p>
                  </w:txbxContent>
                </v:textbox>
                <w10:wrap type="none"/>
              </v:shape>
              <v:shape style="position:absolute;left:3868;top:799;width:112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1,912,328,589.57</w:t>
                      </w:r>
                      <w:r>
                        <w:rPr>
                          <w:rFonts w:ascii="Times New Roman"/>
                          <w:sz w:val="16"/>
                        </w:rPr>
                      </w:r>
                    </w:p>
                  </w:txbxContent>
                </v:textbox>
                <w10:wrap type="none"/>
              </v:shape>
              <v:shape style="position:absolute;left:5588;top:799;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20,041,498.59</w:t>
                      </w:r>
                      <w:r>
                        <w:rPr>
                          <w:rFonts w:ascii="Times New Roman"/>
                          <w:sz w:val="16"/>
                        </w:rPr>
                      </w:r>
                    </w:p>
                  </w:txbxContent>
                </v:textbox>
                <w10:wrap type="none"/>
              </v:shape>
              <v:shape style="position:absolute;left:6909;top:799;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9,706,138.53</w:t>
                      </w:r>
                      <w:r>
                        <w:rPr>
                          <w:rFonts w:ascii="Times New Roman"/>
                          <w:sz w:val="16"/>
                        </w:rPr>
                      </w:r>
                    </w:p>
                  </w:txbxContent>
                </v:textbox>
                <w10:wrap type="none"/>
              </v:shape>
            </v:group>
          </v:group>
        </w:pict>
      </w:r>
      <w:r>
        <w:rPr>
          <w:rFonts w:ascii="宋体" w:hAnsi="宋体" w:cs="宋体" w:eastAsia="宋体" w:hint="default"/>
          <w:position w:val="-22"/>
          <w:sz w:val="20"/>
          <w:szCs w:val="20"/>
        </w:rPr>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pStyle w:val="BodyText"/>
        <w:spacing w:line="240" w:lineRule="auto" w:before="35"/>
        <w:ind w:right="3681"/>
        <w:jc w:val="left"/>
      </w:pPr>
      <w:r>
        <w:rPr/>
        <w:t>（</w:t>
      </w:r>
      <w:r>
        <w:rPr>
          <w:rFonts w:ascii="Times New Roman" w:hAnsi="Times New Roman" w:cs="Times New Roman" w:eastAsia="Times New Roman" w:hint="default"/>
        </w:rPr>
        <w:t>2</w:t>
      </w:r>
      <w:r>
        <w:rPr/>
        <w:t>）关联方贷款</w:t>
      </w:r>
    </w:p>
    <w:p>
      <w:pPr>
        <w:spacing w:line="964" w:lineRule="exact"/>
        <w:ind w:left="720" w:right="0" w:firstLine="0"/>
        <w:rPr>
          <w:rFonts w:ascii="宋体" w:hAnsi="宋体" w:cs="宋体" w:eastAsia="宋体" w:hint="default"/>
          <w:sz w:val="20"/>
          <w:szCs w:val="20"/>
        </w:rPr>
      </w:pPr>
      <w:r>
        <w:rPr>
          <w:rFonts w:ascii="宋体" w:hAnsi="宋体" w:cs="宋体" w:eastAsia="宋体" w:hint="default"/>
          <w:position w:val="-18"/>
          <w:sz w:val="20"/>
          <w:szCs w:val="20"/>
        </w:rPr>
        <w:pict>
          <v:group style="width:411.6pt;height:48.25pt;mso-position-horizontal-relative:char;mso-position-vertical-relative:line" coordorigin="0,0" coordsize="8232,965">
            <v:group style="position:absolute;left:29;top:15;width:2180;height:2" coordorigin="29,15" coordsize="2180,2">
              <v:shape style="position:absolute;left:29;top:15;width:2180;height:2" coordorigin="29,15" coordsize="2180,0" path="m29,15l2209,15e" filled="false" stroked="true" strokeweight="1.5pt" strokecolor="#000000">
                <v:path arrowok="t"/>
              </v:shape>
              <v:shape style="position:absolute;left:2209;top:30;width:10;height:28" type="#_x0000_t75" stroked="false">
                <v:imagedata r:id="rId90" o:title=""/>
              </v:shape>
            </v:group>
            <v:group style="position:absolute;left:2209;top:15;width:1476;height:2" coordorigin="2209,15" coordsize="1476,2">
              <v:shape style="position:absolute;left:2209;top:15;width:1476;height:2" coordorigin="2209,15" coordsize="1476,0" path="m2209,15l3685,15e" filled="false" stroked="true" strokeweight="1.5pt" strokecolor="#000000">
                <v:path arrowok="t"/>
              </v:shape>
              <v:shape style="position:absolute;left:3685;top:30;width:10;height:28" type="#_x0000_t75" stroked="false">
                <v:imagedata r:id="rId90" o:title=""/>
              </v:shape>
            </v:group>
            <v:group style="position:absolute;left:3685;top:15;width:1492;height:2" coordorigin="3685,15" coordsize="1492,2">
              <v:shape style="position:absolute;left:3685;top:15;width:1492;height:2" coordorigin="3685,15" coordsize="1492,0" path="m3685,15l5176,15e" filled="false" stroked="true" strokeweight="1.5pt" strokecolor="#000000">
                <v:path arrowok="t"/>
              </v:shape>
              <v:shape style="position:absolute;left:5176;top:30;width:10;height:28" type="#_x0000_t75" stroked="false">
                <v:imagedata r:id="rId90" o:title=""/>
              </v:shape>
            </v:group>
            <v:group style="position:absolute;left:5176;top:15;width:1496;height:2" coordorigin="5176,15" coordsize="1496,2">
              <v:shape style="position:absolute;left:5176;top:15;width:1496;height:2" coordorigin="5176,15" coordsize="1496,0" path="m5176,15l6671,15e" filled="false" stroked="true" strokeweight="1.5pt" strokecolor="#000000">
                <v:path arrowok="t"/>
              </v:shape>
              <v:shape style="position:absolute;left:6671;top:30;width:10;height:28" type="#_x0000_t75" stroked="false">
                <v:imagedata r:id="rId90" o:title=""/>
              </v:shape>
            </v:group>
            <v:group style="position:absolute;left:6671;top:15;width:1546;height:2" coordorigin="6671,15" coordsize="1546,2">
              <v:shape style="position:absolute;left:6671;top:15;width:1546;height:2" coordorigin="6671,15" coordsize="1546,0" path="m6671,15l8217,15e" filled="false" stroked="true" strokeweight="1.5pt" strokecolor="#000000">
                <v:path arrowok="t"/>
              </v:shape>
            </v:group>
            <v:group style="position:absolute;left:15;top:950;width:2194;height:2" coordorigin="15,950" coordsize="2194,2">
              <v:shape style="position:absolute;left:15;top:950;width:2194;height:2" coordorigin="15,950" coordsize="2194,0" path="m15,950l2209,950e" filled="false" stroked="true" strokeweight="1.5pt" strokecolor="#000000">
                <v:path arrowok="t"/>
              </v:shape>
            </v:group>
            <v:group style="position:absolute;left:2209;top:950;width:1476;height:2" coordorigin="2209,950" coordsize="1476,2">
              <v:shape style="position:absolute;left:2209;top:950;width:1476;height:2" coordorigin="2209,950" coordsize="1476,0" path="m2209,950l3685,950e" filled="false" stroked="true" strokeweight="1.5pt" strokecolor="#000000">
                <v:path arrowok="t"/>
              </v:shape>
            </v:group>
            <v:group style="position:absolute;left:3685;top:950;width:1492;height:2" coordorigin="3685,950" coordsize="1492,2">
              <v:shape style="position:absolute;left:3685;top:950;width:1492;height:2" coordorigin="3685,950" coordsize="1492,0" path="m3685,950l5176,950e" filled="false" stroked="true" strokeweight="1.5pt" strokecolor="#000000">
                <v:path arrowok="t"/>
              </v:shape>
            </v:group>
            <v:group style="position:absolute;left:5176;top:950;width:1496;height:2" coordorigin="5176,950" coordsize="1496,2">
              <v:shape style="position:absolute;left:5176;top:950;width:1496;height:2" coordorigin="5176,950" coordsize="1496,0" path="m5176,950l6671,950e" filled="false" stroked="true" strokeweight="1.5pt" strokecolor="#000000">
                <v:path arrowok="t"/>
              </v:shape>
              <v:shape style="position:absolute;left:10;top:38;width:8207;height:896" type="#_x0000_t75" stroked="false">
                <v:imagedata r:id="rId444" o:title=""/>
              </v:shape>
            </v:group>
            <v:group style="position:absolute;left:6671;top:950;width:1546;height:2" coordorigin="6671,950" coordsize="1546,2">
              <v:shape style="position:absolute;left:6671;top:950;width:1546;height:2" coordorigin="6671,950" coordsize="1546,0" path="m6671,950l8217,950e" filled="false" stroked="true" strokeweight="1.5pt" strokecolor="#000000">
                <v:path arrowok="t"/>
              </v:shape>
              <v:shape style="position:absolute;left:721;top:225;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关联方名称</w:t>
                      </w:r>
                      <w:r>
                        <w:rPr>
                          <w:rFonts w:ascii="宋体" w:hAnsi="宋体" w:cs="宋体" w:eastAsia="宋体" w:hint="default"/>
                          <w:sz w:val="16"/>
                          <w:szCs w:val="16"/>
                        </w:rPr>
                      </w:r>
                    </w:p>
                  </w:txbxContent>
                </v:textbox>
                <w10:wrap type="none"/>
              </v:shape>
              <v:shape style="position:absolute;left:2631;top:225;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年末余额</w:t>
                      </w:r>
                      <w:r>
                        <w:rPr>
                          <w:rFonts w:ascii="宋体" w:hAnsi="宋体" w:cs="宋体" w:eastAsia="宋体" w:hint="default"/>
                          <w:sz w:val="16"/>
                          <w:szCs w:val="16"/>
                        </w:rPr>
                      </w:r>
                    </w:p>
                  </w:txbxContent>
                </v:textbox>
                <w10:wrap type="none"/>
              </v:shape>
              <v:shape style="position:absolute;left:4115;top:225;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年初余额</w:t>
                      </w:r>
                      <w:r>
                        <w:rPr>
                          <w:rFonts w:ascii="宋体" w:hAnsi="宋体" w:cs="宋体" w:eastAsia="宋体" w:hint="default"/>
                          <w:sz w:val="16"/>
                          <w:szCs w:val="16"/>
                        </w:rPr>
                      </w:r>
                    </w:p>
                  </w:txbxContent>
                </v:textbox>
                <w10:wrap type="none"/>
              </v:shape>
              <v:shape style="position:absolute;left:5368;top:122;width:1119;height:368" type="#_x0000_t202" filled="false" stroked="false">
                <v:textbox inset="0,0,0,0">
                  <w:txbxContent>
                    <w:p>
                      <w:pPr>
                        <w:spacing w:line="159" w:lineRule="exact" w:before="0"/>
                        <w:ind w:left="80" w:right="0" w:hanging="81"/>
                        <w:jc w:val="left"/>
                        <w:rPr>
                          <w:rFonts w:ascii="宋体" w:hAnsi="宋体" w:cs="宋体" w:eastAsia="宋体" w:hint="default"/>
                          <w:sz w:val="16"/>
                          <w:szCs w:val="16"/>
                        </w:rPr>
                      </w:pPr>
                      <w:r>
                        <w:rPr>
                          <w:rFonts w:ascii="宋体" w:hAnsi="宋体" w:cs="宋体" w:eastAsia="宋体" w:hint="default"/>
                          <w:w w:val="95"/>
                          <w:sz w:val="16"/>
                          <w:szCs w:val="16"/>
                        </w:rPr>
                        <w:t>本年收取或支付</w:t>
                      </w:r>
                      <w:r>
                        <w:rPr>
                          <w:rFonts w:ascii="宋体" w:hAnsi="宋体" w:cs="宋体" w:eastAsia="宋体" w:hint="default"/>
                          <w:sz w:val="16"/>
                          <w:szCs w:val="16"/>
                        </w:rPr>
                      </w:r>
                    </w:p>
                    <w:p>
                      <w:pPr>
                        <w:spacing w:line="208" w:lineRule="exact" w:before="0"/>
                        <w:ind w:left="80" w:right="0" w:firstLine="0"/>
                        <w:jc w:val="left"/>
                        <w:rPr>
                          <w:rFonts w:ascii="宋体" w:hAnsi="宋体" w:cs="宋体" w:eastAsia="宋体" w:hint="default"/>
                          <w:sz w:val="16"/>
                          <w:szCs w:val="16"/>
                        </w:rPr>
                      </w:pPr>
                      <w:r>
                        <w:rPr>
                          <w:rFonts w:ascii="宋体" w:hAnsi="宋体" w:cs="宋体" w:eastAsia="宋体" w:hint="default"/>
                          <w:sz w:val="16"/>
                          <w:szCs w:val="16"/>
                        </w:rPr>
                        <w:t>利息、手续费</w:t>
                      </w:r>
                    </w:p>
                  </w:txbxContent>
                </v:textbox>
                <w10:wrap type="none"/>
              </v:shape>
              <v:shape style="position:absolute;left:6807;top:122;width:1280;height:368" type="#_x0000_t202" filled="false" stroked="false">
                <v:textbox inset="0,0,0,0">
                  <w:txbxContent>
                    <w:p>
                      <w:pPr>
                        <w:spacing w:line="159" w:lineRule="exact" w:before="0"/>
                        <w:ind w:left="0" w:right="0" w:firstLine="0"/>
                        <w:jc w:val="center"/>
                        <w:rPr>
                          <w:rFonts w:ascii="宋体" w:hAnsi="宋体" w:cs="宋体" w:eastAsia="宋体" w:hint="default"/>
                          <w:sz w:val="16"/>
                          <w:szCs w:val="16"/>
                        </w:rPr>
                      </w:pPr>
                      <w:r>
                        <w:rPr>
                          <w:rFonts w:ascii="宋体" w:hAnsi="宋体" w:cs="宋体" w:eastAsia="宋体" w:hint="default"/>
                          <w:w w:val="95"/>
                          <w:sz w:val="16"/>
                          <w:szCs w:val="16"/>
                        </w:rPr>
                        <w:t>上年收取或支付利</w:t>
                      </w:r>
                      <w:r>
                        <w:rPr>
                          <w:rFonts w:ascii="宋体" w:hAnsi="宋体" w:cs="宋体" w:eastAsia="宋体" w:hint="default"/>
                          <w:sz w:val="16"/>
                          <w:szCs w:val="16"/>
                        </w:rPr>
                      </w:r>
                    </w:p>
                    <w:p>
                      <w:pPr>
                        <w:spacing w:line="208" w:lineRule="exact" w:before="0"/>
                        <w:ind w:left="0" w:right="0" w:firstLine="0"/>
                        <w:jc w:val="center"/>
                        <w:rPr>
                          <w:rFonts w:ascii="宋体" w:hAnsi="宋体" w:cs="宋体" w:eastAsia="宋体" w:hint="default"/>
                          <w:sz w:val="16"/>
                          <w:szCs w:val="16"/>
                        </w:rPr>
                      </w:pPr>
                      <w:r>
                        <w:rPr>
                          <w:rFonts w:ascii="宋体" w:hAnsi="宋体" w:cs="宋体" w:eastAsia="宋体" w:hint="default"/>
                          <w:sz w:val="16"/>
                          <w:szCs w:val="16"/>
                        </w:rPr>
                        <w:t>息、手续费</w:t>
                      </w:r>
                    </w:p>
                  </w:txbxContent>
                </v:textbox>
                <w10:wrap type="none"/>
              </v:shape>
              <v:shape style="position:absolute;left:137;top:682;width:191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中国电子财务有限责任公司</w:t>
                      </w:r>
                      <w:r>
                        <w:rPr>
                          <w:rFonts w:ascii="宋体" w:hAnsi="宋体" w:cs="宋体" w:eastAsia="宋体" w:hint="default"/>
                          <w:sz w:val="16"/>
                          <w:szCs w:val="16"/>
                        </w:rPr>
                      </w:r>
                    </w:p>
                  </w:txbxContent>
                </v:textbox>
                <w10:wrap type="none"/>
              </v:shape>
              <v:shape style="position:absolute;left:2391;top:696;width:112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1,132,603,120.00</w:t>
                      </w:r>
                      <w:r>
                        <w:rPr>
                          <w:rFonts w:ascii="Times New Roman"/>
                          <w:sz w:val="16"/>
                        </w:rPr>
                      </w:r>
                    </w:p>
                  </w:txbxContent>
                </v:textbox>
                <w10:wrap type="none"/>
              </v:shape>
              <v:shape style="position:absolute;left:3953;top:696;width:112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1,020,101,390.00</w:t>
                      </w:r>
                      <w:r>
                        <w:rPr>
                          <w:rFonts w:ascii="Times New Roman"/>
                          <w:sz w:val="16"/>
                        </w:rPr>
                      </w:r>
                    </w:p>
                  </w:txbxContent>
                </v:textbox>
                <w10:wrap type="none"/>
              </v:shape>
              <v:shape style="position:absolute;left:5648;top:696;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58,150,815.16</w:t>
                      </w:r>
                      <w:r>
                        <w:rPr>
                          <w:rFonts w:ascii="Times New Roman"/>
                          <w:sz w:val="16"/>
                        </w:rPr>
                      </w:r>
                    </w:p>
                  </w:txbxContent>
                </v:textbox>
                <w10:wrap type="none"/>
              </v:shape>
              <v:shape style="position:absolute;left:7189;top:696;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44,506,171.88</w:t>
                      </w:r>
                      <w:r>
                        <w:rPr>
                          <w:rFonts w:ascii="Times New Roman"/>
                          <w:sz w:val="16"/>
                        </w:rPr>
                      </w:r>
                    </w:p>
                  </w:txbxContent>
                </v:textbox>
                <w10:wrap type="none"/>
              </v:shape>
            </v:group>
          </v:group>
        </w:pict>
      </w:r>
      <w:r>
        <w:rPr>
          <w:rFonts w:ascii="宋体" w:hAnsi="宋体" w:cs="宋体" w:eastAsia="宋体" w:hint="default"/>
          <w:position w:val="-18"/>
          <w:sz w:val="20"/>
          <w:szCs w:val="20"/>
        </w:rPr>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pStyle w:val="BodyText"/>
        <w:spacing w:line="240" w:lineRule="auto" w:before="35"/>
        <w:ind w:right="3681"/>
        <w:jc w:val="left"/>
      </w:pPr>
      <w:r>
        <w:rPr/>
        <w:t>（</w:t>
      </w:r>
      <w:r>
        <w:rPr>
          <w:rFonts w:ascii="Times New Roman" w:hAnsi="Times New Roman" w:cs="Times New Roman" w:eastAsia="Times New Roman" w:hint="default"/>
        </w:rPr>
        <w:t>3</w:t>
      </w:r>
      <w:r>
        <w:rPr/>
        <w:t>）关联方委托贷款</w:t>
      </w:r>
    </w:p>
    <w:p>
      <w:pPr>
        <w:spacing w:line="963" w:lineRule="exact"/>
        <w:ind w:left="720" w:right="0" w:firstLine="0"/>
        <w:rPr>
          <w:rFonts w:ascii="宋体" w:hAnsi="宋体" w:cs="宋体" w:eastAsia="宋体" w:hint="default"/>
          <w:sz w:val="20"/>
          <w:szCs w:val="20"/>
        </w:rPr>
      </w:pPr>
      <w:r>
        <w:rPr>
          <w:rFonts w:ascii="宋体" w:hAnsi="宋体" w:cs="宋体" w:eastAsia="宋体" w:hint="default"/>
          <w:position w:val="-18"/>
          <w:sz w:val="20"/>
          <w:szCs w:val="20"/>
        </w:rPr>
        <w:pict>
          <v:group style="width:411.6pt;height:48.2pt;mso-position-horizontal-relative:char;mso-position-vertical-relative:line" coordorigin="0,0" coordsize="8232,964">
            <v:group style="position:absolute;left:29;top:15;width:2234;height:2" coordorigin="29,15" coordsize="2234,2">
              <v:shape style="position:absolute;left:29;top:15;width:2234;height:2" coordorigin="29,15" coordsize="2234,0" path="m29,15l2263,15e" filled="false" stroked="true" strokeweight="1.5pt" strokecolor="#000000">
                <v:path arrowok="t"/>
              </v:shape>
              <v:shape style="position:absolute;left:2263;top:30;width:10;height:28" type="#_x0000_t75" stroked="false">
                <v:imagedata r:id="rId35" o:title=""/>
              </v:shape>
            </v:group>
            <v:group style="position:absolute;left:2263;top:15;width:1342;height:2" coordorigin="2263,15" coordsize="1342,2">
              <v:shape style="position:absolute;left:2263;top:15;width:1342;height:2" coordorigin="2263,15" coordsize="1342,0" path="m2263,15l3604,15e" filled="false" stroked="true" strokeweight="1.5pt" strokecolor="#000000">
                <v:path arrowok="t"/>
              </v:shape>
              <v:shape style="position:absolute;left:3604;top:30;width:10;height:28" type="#_x0000_t75" stroked="false">
                <v:imagedata r:id="rId35" o:title=""/>
              </v:shape>
            </v:group>
            <v:group style="position:absolute;left:3604;top:15;width:1473;height:2" coordorigin="3604,15" coordsize="1473,2">
              <v:shape style="position:absolute;left:3604;top:15;width:1473;height:2" coordorigin="3604,15" coordsize="1473,0" path="m3604,15l5077,15e" filled="false" stroked="true" strokeweight="1.5pt" strokecolor="#000000">
                <v:path arrowok="t"/>
              </v:shape>
              <v:shape style="position:absolute;left:5077;top:30;width:10;height:28" type="#_x0000_t75" stroked="false">
                <v:imagedata r:id="rId35" o:title=""/>
              </v:shape>
            </v:group>
            <v:group style="position:absolute;left:5077;top:15;width:30;height:2" coordorigin="5077,15" coordsize="30,2">
              <v:shape style="position:absolute;left:5077;top:15;width:30;height:2" coordorigin="5077,15" coordsize="30,0" path="m5077,15l5107,15e" filled="false" stroked="true" strokeweight="1.5pt" strokecolor="#000000">
                <v:path arrowok="t"/>
              </v:shape>
            </v:group>
            <v:group style="position:absolute;left:5107;top:15;width:1534;height:2" coordorigin="5107,15" coordsize="1534,2">
              <v:shape style="position:absolute;left:5107;top:15;width:1534;height:2" coordorigin="5107,15" coordsize="1534,0" path="m5107,15l6640,15e" filled="false" stroked="true" strokeweight="1.5pt" strokecolor="#000000">
                <v:path arrowok="t"/>
              </v:shape>
              <v:shape style="position:absolute;left:6640;top:30;width:10;height:28" type="#_x0000_t75" stroked="false">
                <v:imagedata r:id="rId35" o:title=""/>
              </v:shape>
            </v:group>
            <v:group style="position:absolute;left:6640;top:15;width:1577;height:2" coordorigin="6640,15" coordsize="1577,2">
              <v:shape style="position:absolute;left:6640;top:15;width:1577;height:2" coordorigin="6640,15" coordsize="1577,0" path="m6640,15l8217,15e" filled="false" stroked="true" strokeweight="1.5pt" strokecolor="#000000">
                <v:path arrowok="t"/>
              </v:shape>
            </v:group>
            <v:group style="position:absolute;left:15;top:949;width:2248;height:2" coordorigin="15,949" coordsize="2248,2">
              <v:shape style="position:absolute;left:15;top:949;width:2248;height:2" coordorigin="15,949" coordsize="2248,0" path="m15,949l2263,949e" filled="false" stroked="true" strokeweight="1.5pt" strokecolor="#000000">
                <v:path arrowok="t"/>
              </v:shape>
            </v:group>
            <v:group style="position:absolute;left:2263;top:949;width:1342;height:2" coordorigin="2263,949" coordsize="1342,2">
              <v:shape style="position:absolute;left:2263;top:949;width:1342;height:2" coordorigin="2263,949" coordsize="1342,0" path="m2263,949l3604,949e" filled="false" stroked="true" strokeweight="1.5pt" strokecolor="#000000">
                <v:path arrowok="t"/>
              </v:shape>
            </v:group>
            <v:group style="position:absolute;left:3604;top:949;width:1473;height:2" coordorigin="3604,949" coordsize="1473,2">
              <v:shape style="position:absolute;left:3604;top:949;width:1473;height:2" coordorigin="3604,949" coordsize="1473,0" path="m3604,949l5077,949e" filled="false" stroked="true" strokeweight="1.5pt" strokecolor="#000000">
                <v:path arrowok="t"/>
              </v:shape>
            </v:group>
            <v:group style="position:absolute;left:5077;top:949;width:30;height:2" coordorigin="5077,949" coordsize="30,2">
              <v:shape style="position:absolute;left:5077;top:949;width:30;height:2" coordorigin="5077,949" coordsize="30,0" path="m5077,949l5107,949e" filled="false" stroked="true" strokeweight="1.5pt" strokecolor="#000000">
                <v:path arrowok="t"/>
              </v:shape>
            </v:group>
            <v:group style="position:absolute;left:5107;top:949;width:1534;height:2" coordorigin="5107,949" coordsize="1534,2">
              <v:shape style="position:absolute;left:5107;top:949;width:1534;height:2" coordorigin="5107,949" coordsize="1534,0" path="m5107,949l6640,949e" filled="false" stroked="true" strokeweight="1.5pt" strokecolor="#000000">
                <v:path arrowok="t"/>
              </v:shape>
              <v:shape style="position:absolute;left:10;top:38;width:8214;height:895" type="#_x0000_t75" stroked="false">
                <v:imagedata r:id="rId445" o:title=""/>
              </v:shape>
            </v:group>
            <v:group style="position:absolute;left:6640;top:949;width:1577;height:2" coordorigin="6640,949" coordsize="1577,2">
              <v:shape style="position:absolute;left:6640;top:949;width:1577;height:2" coordorigin="6640,949" coordsize="1577,0" path="m6640,949l8217,949e" filled="false" stroked="true" strokeweight="1.5pt" strokecolor="#000000">
                <v:path arrowok="t"/>
              </v:shape>
              <v:shape style="position:absolute;left:748;top:225;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关联方名称</w:t>
                      </w:r>
                      <w:r>
                        <w:rPr>
                          <w:rFonts w:ascii="宋体" w:hAnsi="宋体" w:cs="宋体" w:eastAsia="宋体" w:hint="default"/>
                          <w:sz w:val="16"/>
                          <w:szCs w:val="16"/>
                        </w:rPr>
                      </w:r>
                    </w:p>
                  </w:txbxContent>
                </v:textbox>
                <w10:wrap type="none"/>
              </v:shape>
              <v:shape style="position:absolute;left:2618;top:225;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年末余额</w:t>
                      </w:r>
                      <w:r>
                        <w:rPr>
                          <w:rFonts w:ascii="宋体" w:hAnsi="宋体" w:cs="宋体" w:eastAsia="宋体" w:hint="default"/>
                          <w:sz w:val="16"/>
                          <w:szCs w:val="16"/>
                        </w:rPr>
                      </w:r>
                    </w:p>
                  </w:txbxContent>
                </v:textbox>
                <w10:wrap type="none"/>
              </v:shape>
              <v:shape style="position:absolute;left:4024;top:225;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年初余额</w:t>
                      </w:r>
                      <w:r>
                        <w:rPr>
                          <w:rFonts w:ascii="宋体" w:hAnsi="宋体" w:cs="宋体" w:eastAsia="宋体" w:hint="default"/>
                          <w:sz w:val="16"/>
                          <w:szCs w:val="16"/>
                        </w:rPr>
                      </w:r>
                    </w:p>
                  </w:txbxContent>
                </v:textbox>
                <w10:wrap type="none"/>
              </v:shape>
              <v:shape style="position:absolute;left:5222;top:121;width:1280;height:368" type="#_x0000_t202" filled="false" stroked="false">
                <v:textbox inset="0,0,0,0">
                  <w:txbxContent>
                    <w:p>
                      <w:pPr>
                        <w:spacing w:line="159" w:lineRule="exact" w:before="0"/>
                        <w:ind w:left="0" w:right="0" w:firstLine="0"/>
                        <w:jc w:val="center"/>
                        <w:rPr>
                          <w:rFonts w:ascii="宋体" w:hAnsi="宋体" w:cs="宋体" w:eastAsia="宋体" w:hint="default"/>
                          <w:sz w:val="16"/>
                          <w:szCs w:val="16"/>
                        </w:rPr>
                      </w:pPr>
                      <w:r>
                        <w:rPr>
                          <w:rFonts w:ascii="宋体" w:hAnsi="宋体" w:cs="宋体" w:eastAsia="宋体" w:hint="default"/>
                          <w:w w:val="95"/>
                          <w:sz w:val="16"/>
                          <w:szCs w:val="16"/>
                        </w:rPr>
                        <w:t>本年收取或支付利</w:t>
                      </w:r>
                      <w:r>
                        <w:rPr>
                          <w:rFonts w:ascii="宋体" w:hAnsi="宋体" w:cs="宋体" w:eastAsia="宋体" w:hint="default"/>
                          <w:sz w:val="16"/>
                          <w:szCs w:val="16"/>
                        </w:rPr>
                      </w:r>
                    </w:p>
                    <w:p>
                      <w:pPr>
                        <w:spacing w:line="208" w:lineRule="exact" w:before="0"/>
                        <w:ind w:left="0" w:right="0" w:firstLine="0"/>
                        <w:jc w:val="center"/>
                        <w:rPr>
                          <w:rFonts w:ascii="宋体" w:hAnsi="宋体" w:cs="宋体" w:eastAsia="宋体" w:hint="default"/>
                          <w:sz w:val="16"/>
                          <w:szCs w:val="16"/>
                        </w:rPr>
                      </w:pPr>
                      <w:r>
                        <w:rPr>
                          <w:rFonts w:ascii="宋体" w:hAnsi="宋体" w:cs="宋体" w:eastAsia="宋体" w:hint="default"/>
                          <w:sz w:val="16"/>
                          <w:szCs w:val="16"/>
                        </w:rPr>
                        <w:t>息、手续费</w:t>
                      </w:r>
                    </w:p>
                  </w:txbxContent>
                </v:textbox>
                <w10:wrap type="none"/>
              </v:shape>
              <v:shape style="position:absolute;left:6791;top:121;width:1280;height:368" type="#_x0000_t202" filled="false" stroked="false">
                <v:textbox inset="0,0,0,0">
                  <w:txbxContent>
                    <w:p>
                      <w:pPr>
                        <w:spacing w:line="159" w:lineRule="exact" w:before="0"/>
                        <w:ind w:left="-1" w:right="0" w:firstLine="0"/>
                        <w:jc w:val="center"/>
                        <w:rPr>
                          <w:rFonts w:ascii="宋体" w:hAnsi="宋体" w:cs="宋体" w:eastAsia="宋体" w:hint="default"/>
                          <w:sz w:val="16"/>
                          <w:szCs w:val="16"/>
                        </w:rPr>
                      </w:pPr>
                      <w:r>
                        <w:rPr>
                          <w:rFonts w:ascii="宋体" w:hAnsi="宋体" w:cs="宋体" w:eastAsia="宋体" w:hint="default"/>
                          <w:w w:val="95"/>
                          <w:sz w:val="16"/>
                          <w:szCs w:val="16"/>
                        </w:rPr>
                        <w:t>上年收取或支付利</w:t>
                      </w:r>
                      <w:r>
                        <w:rPr>
                          <w:rFonts w:ascii="宋体" w:hAnsi="宋体" w:cs="宋体" w:eastAsia="宋体" w:hint="default"/>
                          <w:sz w:val="16"/>
                          <w:szCs w:val="16"/>
                        </w:rPr>
                      </w:r>
                    </w:p>
                    <w:p>
                      <w:pPr>
                        <w:spacing w:line="208" w:lineRule="exact" w:before="0"/>
                        <w:ind w:left="0" w:right="0" w:firstLine="0"/>
                        <w:jc w:val="center"/>
                        <w:rPr>
                          <w:rFonts w:ascii="宋体" w:hAnsi="宋体" w:cs="宋体" w:eastAsia="宋体" w:hint="default"/>
                          <w:sz w:val="16"/>
                          <w:szCs w:val="16"/>
                        </w:rPr>
                      </w:pPr>
                      <w:r>
                        <w:rPr>
                          <w:rFonts w:ascii="宋体" w:hAnsi="宋体" w:cs="宋体" w:eastAsia="宋体" w:hint="default"/>
                          <w:sz w:val="16"/>
                          <w:szCs w:val="16"/>
                        </w:rPr>
                        <w:t>息、手续费</w:t>
                      </w:r>
                    </w:p>
                  </w:txbxContent>
                </v:textbox>
                <w10:wrap type="none"/>
              </v:shape>
              <v:shape style="position:absolute;left:137;top:682;width:191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中国电子财务有限责任公司</w:t>
                      </w:r>
                      <w:r>
                        <w:rPr>
                          <w:rFonts w:ascii="宋体" w:hAnsi="宋体" w:cs="宋体" w:eastAsia="宋体" w:hint="default"/>
                          <w:sz w:val="16"/>
                          <w:szCs w:val="16"/>
                        </w:rPr>
                      </w:r>
                    </w:p>
                  </w:txbxContent>
                </v:textbox>
                <w10:wrap type="none"/>
              </v:shape>
              <v:shape style="position:absolute;left:2438;top:696;width:100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945,000,000.00</w:t>
                      </w:r>
                      <w:r>
                        <w:rPr>
                          <w:rFonts w:ascii="Times New Roman"/>
                          <w:sz w:val="16"/>
                        </w:rPr>
                      </w:r>
                    </w:p>
                  </w:txbxContent>
                </v:textbox>
                <w10:wrap type="none"/>
              </v:shape>
              <v:shape style="position:absolute;left:3974;top:696;width:100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445,000,000.00</w:t>
                      </w:r>
                      <w:r>
                        <w:rPr>
                          <w:rFonts w:ascii="Times New Roman"/>
                          <w:sz w:val="16"/>
                        </w:rPr>
                      </w:r>
                    </w:p>
                  </w:txbxContent>
                </v:textbox>
                <w10:wrap type="none"/>
              </v:shape>
              <v:shape style="position:absolute;left:5615;top:696;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19,137,340.28</w:t>
                      </w:r>
                      <w:r>
                        <w:rPr>
                          <w:rFonts w:ascii="Times New Roman"/>
                          <w:sz w:val="16"/>
                        </w:rPr>
                      </w:r>
                    </w:p>
                  </w:txbxContent>
                </v:textbox>
                <w10:wrap type="none"/>
              </v:shape>
              <v:shape style="position:absolute;left:7189;top:696;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16,197,256.93</w:t>
                      </w:r>
                      <w:r>
                        <w:rPr>
                          <w:rFonts w:ascii="Times New Roman"/>
                          <w:sz w:val="16"/>
                        </w:rPr>
                      </w:r>
                    </w:p>
                  </w:txbxContent>
                </v:textbox>
                <w10:wrap type="none"/>
              </v:shape>
            </v:group>
          </v:group>
        </w:pict>
      </w:r>
      <w:r>
        <w:rPr>
          <w:rFonts w:ascii="宋体" w:hAnsi="宋体" w:cs="宋体" w:eastAsia="宋体" w:hint="default"/>
          <w:position w:val="-18"/>
          <w:sz w:val="20"/>
          <w:szCs w:val="20"/>
        </w:rPr>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6"/>
          <w:szCs w:val="16"/>
        </w:rPr>
      </w:pPr>
    </w:p>
    <w:p>
      <w:pPr>
        <w:pStyle w:val="Heading5"/>
        <w:tabs>
          <w:tab w:pos="1397" w:val="left" w:leader="none"/>
        </w:tabs>
        <w:spacing w:line="240" w:lineRule="auto"/>
        <w:ind w:left="846" w:right="3681"/>
        <w:jc w:val="left"/>
        <w:rPr>
          <w:b w:val="0"/>
          <w:bCs w:val="0"/>
        </w:rPr>
      </w:pPr>
      <w:r>
        <w:rPr/>
        <w:pict>
          <v:group style="position:absolute;margin-left:119.010002pt;margin-top:17.074076pt;width:412.05pt;height:90.9pt;mso-position-horizontal-relative:page;mso-position-vertical-relative:paragraph;z-index:-1364392" coordorigin="2380,341" coordsize="8241,1818">
            <v:group style="position:absolute;left:2410;top:356;width:3008;height:2" coordorigin="2410,356" coordsize="3008,2">
              <v:shape style="position:absolute;left:2410;top:356;width:3008;height:2" coordorigin="2410,356" coordsize="3008,0" path="m2410,356l5417,356e" filled="false" stroked="true" strokeweight="1.5pt" strokecolor="#000000">
                <v:path arrowok="t"/>
              </v:shape>
              <v:shape style="position:absolute;left:5417;top:371;width:10;height:28" type="#_x0000_t75" stroked="false">
                <v:imagedata r:id="rId102" o:title=""/>
              </v:shape>
            </v:group>
            <v:group style="position:absolute;left:5417;top:356;width:1360;height:2" coordorigin="5417,356" coordsize="1360,2">
              <v:shape style="position:absolute;left:5417;top:356;width:1360;height:2" coordorigin="5417,356" coordsize="1360,0" path="m5417,356l6776,356e" filled="false" stroked="true" strokeweight="1.5pt" strokecolor="#000000">
                <v:path arrowok="t"/>
              </v:shape>
              <v:shape style="position:absolute;left:6776;top:371;width:10;height:28" type="#_x0000_t75" stroked="false">
                <v:imagedata r:id="rId102" o:title=""/>
              </v:shape>
            </v:group>
            <v:group style="position:absolute;left:6776;top:356;width:3821;height:2" coordorigin="6776,356" coordsize="3821,2">
              <v:shape style="position:absolute;left:6776;top:356;width:3821;height:2" coordorigin="6776,356" coordsize="3821,0" path="m6776,356l10597,356e" filled="false" stroked="true" strokeweight="1.5pt" strokecolor="#000000">
                <v:path arrowok="t"/>
              </v:shape>
              <v:shape style="position:absolute;left:5398;top:380;width:1408;height:354" type="#_x0000_t75" stroked="false">
                <v:imagedata r:id="rId446" o:title=""/>
              </v:shape>
              <v:shape style="position:absolute;left:5398;top:695;width:5224;height:392" type="#_x0000_t75" stroked="false">
                <v:imagedata r:id="rId447" o:title=""/>
              </v:shape>
            </v:group>
            <v:group style="position:absolute;left:2395;top:2144;width:3022;height:2" coordorigin="2395,2144" coordsize="3022,2">
              <v:shape style="position:absolute;left:2395;top:2144;width:3022;height:2" coordorigin="2395,2144" coordsize="3022,0" path="m2395,2144l5417,2144e" filled="false" stroked="true" strokeweight="1.5pt" strokecolor="#000000">
                <v:path arrowok="t"/>
              </v:shape>
            </v:group>
            <v:group style="position:absolute;left:5417;top:2144;width:1360;height:2" coordorigin="5417,2144" coordsize="1360,2">
              <v:shape style="position:absolute;left:5417;top:2144;width:1360;height:2" coordorigin="5417,2144" coordsize="1360,0" path="m5417,2144l6776,2144e" filled="false" stroked="true" strokeweight="1.5pt" strokecolor="#000000">
                <v:path arrowok="t"/>
              </v:shape>
            </v:group>
            <v:group style="position:absolute;left:6776;top:2144;width:1906;height:2" coordorigin="6776,2144" coordsize="1906,2">
              <v:shape style="position:absolute;left:6776;top:2144;width:1906;height:2" coordorigin="6776,2144" coordsize="1906,0" path="m6776,2144l8682,2144e" filled="false" stroked="true" strokeweight="1.5pt" strokecolor="#000000">
                <v:path arrowok="t"/>
              </v:shape>
              <v:shape style="position:absolute;left:2390;top:1049;width:8231;height:1080" type="#_x0000_t75" stroked="false">
                <v:imagedata r:id="rId448" o:title=""/>
              </v:shape>
            </v:group>
            <v:group style="position:absolute;left:8682;top:2144;width:1916;height:2" coordorigin="8682,2144" coordsize="1916,2">
              <v:shape style="position:absolute;left:8682;top:2144;width:1916;height:2" coordorigin="8682,2144" coordsize="1916,0" path="m8682,2144l10597,2144e" filled="false" stroked="true" strokeweight="1.5pt" strokecolor="#000000">
                <v:path arrowok="t"/>
              </v:shape>
              <v:shape style="position:absolute;left:8448;top:462;width:4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发生额</w:t>
                      </w:r>
                      <w:r>
                        <w:rPr>
                          <w:rFonts w:ascii="宋体" w:hAnsi="宋体" w:cs="宋体" w:eastAsia="宋体" w:hint="default"/>
                          <w:sz w:val="16"/>
                          <w:szCs w:val="16"/>
                        </w:rPr>
                      </w:r>
                    </w:p>
                  </w:txbxContent>
                </v:textbox>
                <w10:wrap type="none"/>
              </v:shape>
              <v:shape style="position:absolute;left:3515;top:640;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关联方名称</w:t>
                      </w:r>
                      <w:r>
                        <w:rPr>
                          <w:rFonts w:ascii="宋体" w:hAnsi="宋体" w:cs="宋体" w:eastAsia="宋体" w:hint="default"/>
                          <w:sz w:val="16"/>
                          <w:szCs w:val="16"/>
                        </w:rPr>
                      </w:r>
                    </w:p>
                  </w:txbxContent>
                </v:textbox>
                <w10:wrap type="none"/>
              </v:shape>
              <v:shape style="position:absolute;left:5620;top:640;width:95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关联交易内容</w:t>
                      </w:r>
                      <w:r>
                        <w:rPr>
                          <w:rFonts w:ascii="宋体" w:hAnsi="宋体" w:cs="宋体" w:eastAsia="宋体" w:hint="default"/>
                          <w:sz w:val="16"/>
                          <w:szCs w:val="16"/>
                        </w:rPr>
                      </w:r>
                    </w:p>
                  </w:txbxContent>
                </v:textbox>
                <w10:wrap type="none"/>
              </v:shape>
              <v:shape style="position:absolute;left:7412;top:816;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本期金额</w:t>
                      </w:r>
                      <w:r>
                        <w:rPr>
                          <w:rFonts w:ascii="宋体" w:hAnsi="宋体" w:cs="宋体" w:eastAsia="宋体" w:hint="default"/>
                          <w:sz w:val="16"/>
                          <w:szCs w:val="16"/>
                        </w:rPr>
                      </w:r>
                    </w:p>
                  </w:txbxContent>
                </v:textbox>
                <w10:wrap type="none"/>
              </v:shape>
              <v:shape style="position:absolute;left:9322;top:816;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上期金额</w:t>
                      </w:r>
                      <w:r>
                        <w:rPr>
                          <w:rFonts w:ascii="宋体" w:hAnsi="宋体" w:cs="宋体" w:eastAsia="宋体" w:hint="default"/>
                          <w:sz w:val="16"/>
                          <w:szCs w:val="16"/>
                        </w:rPr>
                      </w:r>
                    </w:p>
                  </w:txbxContent>
                </v:textbox>
                <w10:wrap type="none"/>
              </v:shape>
            </v:group>
            <w10:wrap type="none"/>
          </v:group>
        </w:pict>
      </w:r>
      <w:r>
        <w:rPr>
          <w:rFonts w:ascii="Times New Roman" w:hAnsi="Times New Roman" w:cs="Times New Roman" w:eastAsia="Times New Roman" w:hint="default"/>
          <w:w w:val="95"/>
        </w:rPr>
        <w:t>8</w:t>
      </w:r>
      <w:r>
        <w:rPr>
          <w:w w:val="95"/>
        </w:rPr>
        <w:t>、</w:t>
        <w:tab/>
      </w:r>
      <w:r>
        <w:rPr/>
        <w:t>其他关联交易</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tbl>
      <w:tblPr>
        <w:tblW w:w="0" w:type="auto"/>
        <w:jc w:val="left"/>
        <w:tblInd w:w="787" w:type="dxa"/>
        <w:tblLayout w:type="fixed"/>
        <w:tblCellMar>
          <w:top w:w="0" w:type="dxa"/>
          <w:left w:w="0" w:type="dxa"/>
          <w:bottom w:w="0" w:type="dxa"/>
          <w:right w:w="0" w:type="dxa"/>
        </w:tblCellMar>
        <w:tblLook w:val="01E0"/>
      </w:tblPr>
      <w:tblGrid>
        <w:gridCol w:w="2780"/>
        <w:gridCol w:w="1891"/>
        <w:gridCol w:w="2056"/>
        <w:gridCol w:w="1386"/>
      </w:tblGrid>
      <w:tr>
        <w:trPr>
          <w:trHeight w:val="363" w:hRule="exact"/>
        </w:trPr>
        <w:tc>
          <w:tcPr>
            <w:tcW w:w="2780" w:type="dxa"/>
            <w:tcBorders>
              <w:top w:val="nil" w:sz="6" w:space="0" w:color="auto"/>
              <w:left w:val="nil" w:sz="6" w:space="0" w:color="auto"/>
              <w:bottom w:val="nil" w:sz="6" w:space="0" w:color="auto"/>
              <w:right w:val="nil" w:sz="6" w:space="0" w:color="auto"/>
            </w:tcBorders>
          </w:tcPr>
          <w:p>
            <w:pPr>
              <w:pStyle w:val="TableParagraph"/>
              <w:spacing w:line="240" w:lineRule="auto" w:before="50"/>
              <w:ind w:left="70" w:right="0"/>
              <w:jc w:val="left"/>
              <w:rPr>
                <w:rFonts w:ascii="宋体" w:hAnsi="宋体" w:cs="宋体" w:eastAsia="宋体" w:hint="default"/>
                <w:sz w:val="16"/>
                <w:szCs w:val="16"/>
              </w:rPr>
            </w:pPr>
            <w:r>
              <w:rPr>
                <w:rFonts w:ascii="宋体" w:hAnsi="宋体" w:cs="宋体" w:eastAsia="宋体" w:hint="default"/>
                <w:sz w:val="16"/>
                <w:szCs w:val="16"/>
              </w:rPr>
              <w:t>中国信息安全研究院有限公司</w:t>
            </w:r>
          </w:p>
        </w:tc>
        <w:tc>
          <w:tcPr>
            <w:tcW w:w="189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46"/>
              <w:jc w:val="center"/>
              <w:rPr>
                <w:rFonts w:ascii="宋体" w:hAnsi="宋体" w:cs="宋体" w:eastAsia="宋体" w:hint="default"/>
                <w:sz w:val="16"/>
                <w:szCs w:val="16"/>
              </w:rPr>
            </w:pPr>
            <w:r>
              <w:rPr>
                <w:rFonts w:ascii="宋体" w:hAnsi="宋体" w:cs="宋体" w:eastAsia="宋体" w:hint="default"/>
                <w:sz w:val="16"/>
                <w:szCs w:val="16"/>
              </w:rPr>
              <w:t>购置资产</w:t>
            </w:r>
          </w:p>
        </w:tc>
        <w:tc>
          <w:tcPr>
            <w:tcW w:w="2056" w:type="dxa"/>
            <w:tcBorders>
              <w:top w:val="nil" w:sz="6" w:space="0" w:color="auto"/>
              <w:left w:val="nil" w:sz="6" w:space="0" w:color="auto"/>
              <w:bottom w:val="nil" w:sz="6" w:space="0" w:color="auto"/>
              <w:right w:val="nil" w:sz="6" w:space="0" w:color="auto"/>
            </w:tcBorders>
          </w:tcPr>
          <w:p>
            <w:pPr>
              <w:pStyle w:val="TableParagraph"/>
              <w:spacing w:line="240" w:lineRule="auto" w:before="92"/>
              <w:ind w:left="24" w:right="0"/>
              <w:jc w:val="center"/>
              <w:rPr>
                <w:rFonts w:ascii="Times New Roman" w:hAnsi="Times New Roman" w:cs="Times New Roman" w:eastAsia="Times New Roman" w:hint="default"/>
                <w:sz w:val="16"/>
                <w:szCs w:val="16"/>
              </w:rPr>
            </w:pPr>
            <w:r>
              <w:rPr>
                <w:rFonts w:ascii="Times New Roman"/>
                <w:sz w:val="16"/>
              </w:rPr>
              <w:t>3,465,919.85</w:t>
            </w:r>
          </w:p>
        </w:tc>
        <w:tc>
          <w:tcPr>
            <w:tcW w:w="1386" w:type="dxa"/>
            <w:tcBorders>
              <w:top w:val="nil" w:sz="6" w:space="0" w:color="auto"/>
              <w:left w:val="nil" w:sz="6" w:space="0" w:color="auto"/>
              <w:bottom w:val="nil" w:sz="6" w:space="0" w:color="auto"/>
              <w:right w:val="nil" w:sz="6" w:space="0" w:color="auto"/>
            </w:tcBorders>
          </w:tcPr>
          <w:p>
            <w:pPr/>
          </w:p>
        </w:tc>
      </w:tr>
      <w:tr>
        <w:trPr>
          <w:trHeight w:val="353" w:hRule="exact"/>
        </w:trPr>
        <w:tc>
          <w:tcPr>
            <w:tcW w:w="278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中国电子信息产业集团有限公司</w:t>
            </w:r>
          </w:p>
        </w:tc>
        <w:tc>
          <w:tcPr>
            <w:tcW w:w="189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46"/>
              <w:jc w:val="center"/>
              <w:rPr>
                <w:rFonts w:ascii="宋体" w:hAnsi="宋体" w:cs="宋体" w:eastAsia="宋体" w:hint="default"/>
                <w:sz w:val="16"/>
                <w:szCs w:val="16"/>
              </w:rPr>
            </w:pPr>
            <w:r>
              <w:rPr>
                <w:rFonts w:ascii="宋体" w:hAnsi="宋体" w:cs="宋体" w:eastAsia="宋体" w:hint="default"/>
                <w:sz w:val="16"/>
                <w:szCs w:val="16"/>
              </w:rPr>
              <w:t>租赁代理费</w:t>
            </w:r>
          </w:p>
        </w:tc>
        <w:tc>
          <w:tcPr>
            <w:tcW w:w="2056" w:type="dxa"/>
            <w:tcBorders>
              <w:top w:val="nil" w:sz="6" w:space="0" w:color="auto"/>
              <w:left w:val="nil" w:sz="6" w:space="0" w:color="auto"/>
              <w:bottom w:val="nil" w:sz="6" w:space="0" w:color="auto"/>
              <w:right w:val="nil" w:sz="6" w:space="0" w:color="auto"/>
            </w:tcBorders>
          </w:tcPr>
          <w:p>
            <w:pPr>
              <w:pStyle w:val="TableParagraph"/>
              <w:spacing w:line="240" w:lineRule="auto" w:before="82"/>
              <w:ind w:left="30" w:right="0"/>
              <w:jc w:val="center"/>
              <w:rPr>
                <w:rFonts w:ascii="Times New Roman" w:hAnsi="Times New Roman" w:cs="Times New Roman" w:eastAsia="Times New Roman" w:hint="default"/>
                <w:sz w:val="16"/>
                <w:szCs w:val="16"/>
              </w:rPr>
            </w:pPr>
            <w:r>
              <w:rPr>
                <w:rFonts w:ascii="Times New Roman"/>
                <w:sz w:val="16"/>
              </w:rPr>
              <w:t>1,120,811.12</w:t>
            </w:r>
          </w:p>
        </w:tc>
        <w:tc>
          <w:tcPr>
            <w:tcW w:w="1386" w:type="dxa"/>
            <w:tcBorders>
              <w:top w:val="nil" w:sz="6" w:space="0" w:color="auto"/>
              <w:left w:val="nil" w:sz="6" w:space="0" w:color="auto"/>
              <w:bottom w:val="nil" w:sz="6" w:space="0" w:color="auto"/>
              <w:right w:val="nil" w:sz="6" w:space="0" w:color="auto"/>
            </w:tcBorders>
          </w:tcPr>
          <w:p>
            <w:pPr/>
          </w:p>
        </w:tc>
      </w:tr>
      <w:tr>
        <w:trPr>
          <w:trHeight w:val="358" w:hRule="exact"/>
        </w:trPr>
        <w:tc>
          <w:tcPr>
            <w:tcW w:w="278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中国电子信息产业集团有限公司</w:t>
            </w:r>
          </w:p>
        </w:tc>
        <w:tc>
          <w:tcPr>
            <w:tcW w:w="1891"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46"/>
              <w:jc w:val="center"/>
              <w:rPr>
                <w:rFonts w:ascii="宋体" w:hAnsi="宋体" w:cs="宋体" w:eastAsia="宋体" w:hint="default"/>
                <w:sz w:val="16"/>
                <w:szCs w:val="16"/>
              </w:rPr>
            </w:pPr>
            <w:r>
              <w:rPr>
                <w:rFonts w:ascii="宋体" w:hAnsi="宋体" w:cs="宋体" w:eastAsia="宋体" w:hint="default"/>
                <w:sz w:val="16"/>
                <w:szCs w:val="16"/>
              </w:rPr>
              <w:t>商标使用费</w:t>
            </w:r>
          </w:p>
        </w:tc>
        <w:tc>
          <w:tcPr>
            <w:tcW w:w="2056" w:type="dxa"/>
            <w:tcBorders>
              <w:top w:val="nil" w:sz="6" w:space="0" w:color="auto"/>
              <w:left w:val="nil" w:sz="6" w:space="0" w:color="auto"/>
              <w:bottom w:val="nil" w:sz="6" w:space="0" w:color="auto"/>
              <w:right w:val="nil" w:sz="6" w:space="0" w:color="auto"/>
            </w:tcBorders>
          </w:tcPr>
          <w:p>
            <w:pPr>
              <w:pStyle w:val="TableParagraph"/>
              <w:spacing w:line="240" w:lineRule="auto" w:before="83"/>
              <w:ind w:left="144" w:right="0"/>
              <w:jc w:val="center"/>
              <w:rPr>
                <w:rFonts w:ascii="Times New Roman" w:hAnsi="Times New Roman" w:cs="Times New Roman" w:eastAsia="Times New Roman" w:hint="default"/>
                <w:sz w:val="16"/>
                <w:szCs w:val="16"/>
              </w:rPr>
            </w:pPr>
            <w:r>
              <w:rPr>
                <w:rFonts w:ascii="Times New Roman"/>
                <w:sz w:val="16"/>
              </w:rPr>
              <w:t>764,837.75</w:t>
            </w:r>
          </w:p>
        </w:tc>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before="83"/>
              <w:ind w:left="595" w:right="0"/>
              <w:jc w:val="left"/>
              <w:rPr>
                <w:rFonts w:ascii="Times New Roman" w:hAnsi="Times New Roman" w:cs="Times New Roman" w:eastAsia="Times New Roman" w:hint="default"/>
                <w:sz w:val="16"/>
                <w:szCs w:val="16"/>
              </w:rPr>
            </w:pPr>
            <w:r>
              <w:rPr>
                <w:rFonts w:ascii="Times New Roman"/>
                <w:sz w:val="16"/>
              </w:rPr>
              <w:t>744,033.12</w:t>
            </w:r>
          </w:p>
        </w:tc>
      </w:tr>
    </w:tbl>
    <w:p>
      <w:pPr>
        <w:spacing w:after="0" w:line="240" w:lineRule="auto"/>
        <w:jc w:val="left"/>
        <w:rPr>
          <w:rFonts w:ascii="Times New Roman" w:hAnsi="Times New Roman" w:cs="Times New Roman" w:eastAsia="Times New Roman" w:hint="default"/>
          <w:sz w:val="16"/>
          <w:szCs w:val="16"/>
        </w:rPr>
        <w:sectPr>
          <w:pgSz w:w="11910" w:h="16840"/>
          <w:pgMar w:header="0" w:footer="1001" w:top="1520" w:bottom="1200" w:left="1660" w:right="0"/>
        </w:sectPr>
      </w:pPr>
    </w:p>
    <w:p>
      <w:pPr>
        <w:spacing w:line="240" w:lineRule="auto" w:before="4"/>
        <w:rPr>
          <w:rFonts w:ascii="宋体" w:hAnsi="宋体" w:cs="宋体" w:eastAsia="宋体" w:hint="default"/>
          <w:b/>
          <w:bCs/>
          <w:sz w:val="10"/>
          <w:szCs w:val="10"/>
        </w:rPr>
      </w:pPr>
    </w:p>
    <w:tbl>
      <w:tblPr>
        <w:tblW w:w="0" w:type="auto"/>
        <w:jc w:val="left"/>
        <w:tblInd w:w="787" w:type="dxa"/>
        <w:tblLayout w:type="fixed"/>
        <w:tblCellMar>
          <w:top w:w="0" w:type="dxa"/>
          <w:left w:w="0" w:type="dxa"/>
          <w:bottom w:w="0" w:type="dxa"/>
          <w:right w:w="0" w:type="dxa"/>
        </w:tblCellMar>
        <w:tblLook w:val="01E0"/>
      </w:tblPr>
      <w:tblGrid>
        <w:gridCol w:w="2580"/>
        <w:gridCol w:w="2130"/>
        <w:gridCol w:w="2090"/>
        <w:gridCol w:w="1313"/>
      </w:tblGrid>
      <w:tr>
        <w:trPr>
          <w:trHeight w:val="724" w:hRule="exact"/>
        </w:trPr>
        <w:tc>
          <w:tcPr>
            <w:tcW w:w="2580" w:type="dxa"/>
            <w:tcBorders>
              <w:top w:val="nil" w:sz="6" w:space="0" w:color="auto"/>
              <w:left w:val="nil" w:sz="6" w:space="0" w:color="auto"/>
              <w:bottom w:val="nil" w:sz="6" w:space="0" w:color="auto"/>
              <w:right w:val="nil" w:sz="6" w:space="0" w:color="auto"/>
            </w:tcBorders>
          </w:tcPr>
          <w:p>
            <w:pPr>
              <w:pStyle w:val="TableParagraph"/>
              <w:spacing w:line="405" w:lineRule="auto" w:before="57"/>
              <w:ind w:left="70" w:right="589" w:firstLine="997"/>
              <w:jc w:val="left"/>
              <w:rPr>
                <w:rFonts w:ascii="宋体" w:hAnsi="宋体" w:cs="宋体" w:eastAsia="宋体" w:hint="default"/>
                <w:sz w:val="16"/>
                <w:szCs w:val="16"/>
              </w:rPr>
            </w:pPr>
            <w:r>
              <w:rPr>
                <w:rFonts w:ascii="宋体" w:hAnsi="宋体" w:cs="宋体" w:eastAsia="宋体" w:hint="default"/>
                <w:sz w:val="16"/>
                <w:szCs w:val="16"/>
              </w:rPr>
              <w:t>关联方名称</w:t>
            </w:r>
            <w:r>
              <w:rPr>
                <w:rFonts w:ascii="宋体" w:hAnsi="宋体" w:cs="宋体" w:eastAsia="宋体" w:hint="default"/>
                <w:w w:val="99"/>
                <w:sz w:val="16"/>
                <w:szCs w:val="16"/>
              </w:rPr>
              <w:t> </w:t>
            </w:r>
            <w:r>
              <w:rPr>
                <w:rFonts w:ascii="宋体" w:hAnsi="宋体" w:cs="宋体" w:eastAsia="宋体" w:hint="default"/>
                <w:sz w:val="16"/>
                <w:szCs w:val="16"/>
              </w:rPr>
              <w:t>桂林长海科技有限责任公司</w:t>
            </w:r>
          </w:p>
        </w:tc>
        <w:tc>
          <w:tcPr>
            <w:tcW w:w="2130" w:type="dxa"/>
            <w:tcBorders>
              <w:top w:val="nil" w:sz="6" w:space="0" w:color="auto"/>
              <w:left w:val="nil" w:sz="6" w:space="0" w:color="auto"/>
              <w:bottom w:val="nil" w:sz="6" w:space="0" w:color="auto"/>
              <w:right w:val="nil" w:sz="6" w:space="0" w:color="auto"/>
            </w:tcBorders>
          </w:tcPr>
          <w:p>
            <w:pPr>
              <w:pStyle w:val="TableParagraph"/>
              <w:spacing w:line="405" w:lineRule="auto" w:before="57"/>
              <w:ind w:left="751" w:right="577" w:hanging="160"/>
              <w:jc w:val="left"/>
              <w:rPr>
                <w:rFonts w:ascii="宋体" w:hAnsi="宋体" w:cs="宋体" w:eastAsia="宋体" w:hint="default"/>
                <w:sz w:val="16"/>
                <w:szCs w:val="16"/>
              </w:rPr>
            </w:pPr>
            <w:r>
              <w:rPr>
                <w:rFonts w:ascii="宋体" w:hAnsi="宋体" w:cs="宋体" w:eastAsia="宋体" w:hint="default"/>
                <w:sz w:val="16"/>
                <w:szCs w:val="16"/>
              </w:rPr>
              <w:t>关联交易内容</w:t>
            </w:r>
            <w:r>
              <w:rPr>
                <w:rFonts w:ascii="宋体" w:hAnsi="宋体" w:cs="宋体" w:eastAsia="宋体" w:hint="default"/>
                <w:w w:val="99"/>
                <w:sz w:val="16"/>
                <w:szCs w:val="16"/>
              </w:rPr>
              <w:t> </w:t>
            </w:r>
            <w:r>
              <w:rPr>
                <w:rFonts w:ascii="宋体" w:hAnsi="宋体" w:cs="宋体" w:eastAsia="宋体" w:hint="default"/>
                <w:sz w:val="16"/>
                <w:szCs w:val="16"/>
              </w:rPr>
              <w:t>销售资产</w:t>
            </w:r>
          </w:p>
        </w:tc>
        <w:tc>
          <w:tcPr>
            <w:tcW w:w="2090" w:type="dxa"/>
            <w:tcBorders>
              <w:top w:val="nil" w:sz="6" w:space="0" w:color="auto"/>
              <w:left w:val="nil" w:sz="6" w:space="0" w:color="auto"/>
              <w:bottom w:val="nil" w:sz="6" w:space="0" w:color="auto"/>
              <w:right w:val="nil" w:sz="6" w:space="0" w:color="auto"/>
            </w:tcBorders>
          </w:tcPr>
          <w:p>
            <w:pPr>
              <w:pStyle w:val="TableParagraph"/>
              <w:spacing w:line="240" w:lineRule="auto" w:before="57"/>
              <w:ind w:left="1289" w:right="0"/>
              <w:jc w:val="left"/>
              <w:rPr>
                <w:rFonts w:ascii="宋体" w:hAnsi="宋体" w:cs="宋体" w:eastAsia="宋体" w:hint="default"/>
                <w:sz w:val="16"/>
                <w:szCs w:val="16"/>
              </w:rPr>
            </w:pPr>
            <w:r>
              <w:rPr>
                <w:rFonts w:ascii="宋体" w:hAnsi="宋体" w:cs="宋体" w:eastAsia="宋体" w:hint="default"/>
                <w:sz w:val="16"/>
                <w:szCs w:val="16"/>
              </w:rPr>
              <w:t>发生额</w:t>
            </w:r>
          </w:p>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699" w:right="0"/>
              <w:jc w:val="left"/>
              <w:rPr>
                <w:rFonts w:ascii="Times New Roman" w:hAnsi="Times New Roman" w:cs="Times New Roman" w:eastAsia="Times New Roman" w:hint="default"/>
                <w:sz w:val="16"/>
                <w:szCs w:val="16"/>
              </w:rPr>
            </w:pPr>
            <w:r>
              <w:rPr>
                <w:rFonts w:ascii="Times New Roman"/>
                <w:sz w:val="16"/>
              </w:rPr>
              <w:t>858,670.54</w:t>
            </w:r>
          </w:p>
        </w:tc>
        <w:tc>
          <w:tcPr>
            <w:tcW w:w="1313" w:type="dxa"/>
            <w:vMerge w:val="restart"/>
            <w:tcBorders>
              <w:top w:val="nil" w:sz="6" w:space="0" w:color="auto"/>
              <w:left w:val="nil" w:sz="6" w:space="0" w:color="auto"/>
              <w:right w:val="nil" w:sz="6" w:space="0" w:color="auto"/>
            </w:tcBorders>
          </w:tcPr>
          <w:p>
            <w:pPr/>
          </w:p>
        </w:tc>
      </w:tr>
      <w:tr>
        <w:trPr>
          <w:trHeight w:val="353" w:hRule="exact"/>
        </w:trPr>
        <w:tc>
          <w:tcPr>
            <w:tcW w:w="258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湖南长城银河科技有限公司</w:t>
            </w:r>
          </w:p>
        </w:tc>
        <w:tc>
          <w:tcPr>
            <w:tcW w:w="213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 w:right="0"/>
              <w:jc w:val="center"/>
              <w:rPr>
                <w:rFonts w:ascii="宋体" w:hAnsi="宋体" w:cs="宋体" w:eastAsia="宋体" w:hint="default"/>
                <w:sz w:val="16"/>
                <w:szCs w:val="16"/>
              </w:rPr>
            </w:pPr>
            <w:r>
              <w:rPr>
                <w:rFonts w:ascii="宋体" w:hAnsi="宋体" w:cs="宋体" w:eastAsia="宋体" w:hint="default"/>
                <w:sz w:val="16"/>
                <w:szCs w:val="16"/>
              </w:rPr>
              <w:t>购置资产</w:t>
            </w:r>
          </w:p>
        </w:tc>
        <w:tc>
          <w:tcPr>
            <w:tcW w:w="209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66"/>
              <w:jc w:val="right"/>
              <w:rPr>
                <w:rFonts w:ascii="Times New Roman" w:hAnsi="Times New Roman" w:cs="Times New Roman" w:eastAsia="Times New Roman" w:hint="default"/>
                <w:sz w:val="16"/>
                <w:szCs w:val="16"/>
              </w:rPr>
            </w:pPr>
            <w:r>
              <w:rPr>
                <w:rFonts w:ascii="Times New Roman"/>
                <w:spacing w:val="-1"/>
                <w:sz w:val="16"/>
              </w:rPr>
              <w:t>439,441.51</w:t>
            </w:r>
          </w:p>
        </w:tc>
        <w:tc>
          <w:tcPr>
            <w:tcW w:w="1313" w:type="dxa"/>
            <w:vMerge/>
            <w:tcBorders>
              <w:left w:val="nil" w:sz="6" w:space="0" w:color="auto"/>
              <w:bottom w:val="nil" w:sz="6" w:space="0" w:color="auto"/>
              <w:right w:val="nil" w:sz="6" w:space="0" w:color="auto"/>
            </w:tcBorders>
          </w:tcPr>
          <w:p>
            <w:pPr/>
          </w:p>
        </w:tc>
      </w:tr>
      <w:tr>
        <w:trPr>
          <w:trHeight w:val="353" w:hRule="exact"/>
        </w:trPr>
        <w:tc>
          <w:tcPr>
            <w:tcW w:w="258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中国电子财务有限责任公司</w:t>
            </w:r>
          </w:p>
        </w:tc>
        <w:tc>
          <w:tcPr>
            <w:tcW w:w="213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 w:right="0"/>
              <w:jc w:val="center"/>
              <w:rPr>
                <w:rFonts w:ascii="宋体" w:hAnsi="宋体" w:cs="宋体" w:eastAsia="宋体" w:hint="default"/>
                <w:sz w:val="16"/>
                <w:szCs w:val="16"/>
              </w:rPr>
            </w:pPr>
            <w:r>
              <w:rPr>
                <w:rFonts w:ascii="宋体" w:hAnsi="宋体" w:cs="宋体" w:eastAsia="宋体" w:hint="default"/>
                <w:sz w:val="16"/>
                <w:szCs w:val="16"/>
              </w:rPr>
              <w:t>投资收益</w:t>
            </w:r>
          </w:p>
        </w:tc>
        <w:tc>
          <w:tcPr>
            <w:tcW w:w="2090" w:type="dxa"/>
            <w:tcBorders>
              <w:top w:val="nil" w:sz="6" w:space="0" w:color="auto"/>
              <w:left w:val="nil" w:sz="6" w:space="0" w:color="auto"/>
              <w:bottom w:val="nil" w:sz="6" w:space="0" w:color="auto"/>
              <w:right w:val="nil" w:sz="6" w:space="0" w:color="auto"/>
            </w:tcBorders>
          </w:tcPr>
          <w:p>
            <w:pP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22,273,680.00</w:t>
            </w:r>
          </w:p>
        </w:tc>
      </w:tr>
      <w:tr>
        <w:trPr>
          <w:trHeight w:val="357" w:hRule="exact"/>
        </w:trPr>
        <w:tc>
          <w:tcPr>
            <w:tcW w:w="258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53" w:right="0"/>
              <w:jc w:val="center"/>
              <w:rPr>
                <w:rFonts w:ascii="宋体" w:hAnsi="宋体" w:cs="宋体" w:eastAsia="宋体" w:hint="default"/>
                <w:sz w:val="16"/>
                <w:szCs w:val="16"/>
              </w:rPr>
            </w:pPr>
            <w:r>
              <w:rPr>
                <w:rFonts w:ascii="宋体" w:hAnsi="宋体" w:cs="宋体" w:eastAsia="宋体" w:hint="default"/>
                <w:sz w:val="16"/>
                <w:szCs w:val="16"/>
              </w:rPr>
              <w:t>合计</w:t>
            </w:r>
          </w:p>
        </w:tc>
        <w:tc>
          <w:tcPr>
            <w:tcW w:w="2130" w:type="dxa"/>
            <w:tcBorders>
              <w:top w:val="nil" w:sz="6" w:space="0" w:color="auto"/>
              <w:left w:val="nil" w:sz="6" w:space="0" w:color="auto"/>
              <w:bottom w:val="nil" w:sz="6" w:space="0" w:color="auto"/>
              <w:right w:val="nil" w:sz="6" w:space="0" w:color="auto"/>
            </w:tcBorders>
          </w:tcPr>
          <w:p>
            <w:pPr/>
          </w:p>
        </w:tc>
        <w:tc>
          <w:tcPr>
            <w:tcW w:w="209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66"/>
              <w:jc w:val="right"/>
              <w:rPr>
                <w:rFonts w:ascii="Times New Roman" w:hAnsi="Times New Roman" w:cs="Times New Roman" w:eastAsia="Times New Roman" w:hint="default"/>
                <w:sz w:val="16"/>
                <w:szCs w:val="16"/>
              </w:rPr>
            </w:pPr>
            <w:r>
              <w:rPr>
                <w:rFonts w:ascii="Times New Roman"/>
                <w:spacing w:val="-1"/>
                <w:sz w:val="16"/>
              </w:rPr>
              <w:t>6,649,680.77</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23,017,713.12</w:t>
            </w:r>
          </w:p>
        </w:tc>
      </w:tr>
    </w:tbl>
    <w:p>
      <w:pPr>
        <w:spacing w:line="240" w:lineRule="auto" w:before="7"/>
        <w:rPr>
          <w:rFonts w:ascii="宋体" w:hAnsi="宋体" w:cs="宋体" w:eastAsia="宋体" w:hint="default"/>
          <w:b/>
          <w:bCs/>
          <w:sz w:val="5"/>
          <w:szCs w:val="5"/>
        </w:rPr>
      </w:pPr>
    </w:p>
    <w:p>
      <w:pPr>
        <w:pStyle w:val="Heading5"/>
        <w:tabs>
          <w:tab w:pos="1397" w:val="left" w:leader="none"/>
        </w:tabs>
        <w:spacing w:line="240" w:lineRule="auto"/>
        <w:ind w:left="846" w:right="3681"/>
        <w:jc w:val="left"/>
        <w:rPr>
          <w:b w:val="0"/>
          <w:bCs w:val="0"/>
        </w:rPr>
      </w:pPr>
      <w:r>
        <w:rPr/>
        <w:pict>
          <v:group style="position:absolute;margin-left:119.010002pt;margin-top:-93.806015pt;width:412.05pt;height:90.9pt;mso-position-horizontal-relative:page;mso-position-vertical-relative:paragraph;z-index:-1364368" coordorigin="2380,-1876" coordsize="8241,1818">
            <v:group style="position:absolute;left:2410;top:-1861;width:3008;height:2" coordorigin="2410,-1861" coordsize="3008,2">
              <v:shape style="position:absolute;left:2410;top:-1861;width:3008;height:2" coordorigin="2410,-1861" coordsize="3008,0" path="m2410,-1861l5417,-1861e" filled="false" stroked="true" strokeweight="1.5pt" strokecolor="#000000">
                <v:path arrowok="t"/>
              </v:shape>
              <v:shape style="position:absolute;left:5417;top:-1846;width:10;height:28" type="#_x0000_t75" stroked="false">
                <v:imagedata r:id="rId37" o:title=""/>
              </v:shape>
            </v:group>
            <v:group style="position:absolute;left:5417;top:-1861;width:1360;height:2" coordorigin="5417,-1861" coordsize="1360,2">
              <v:shape style="position:absolute;left:5417;top:-1861;width:1360;height:2" coordorigin="5417,-1861" coordsize="1360,0" path="m5417,-1861l6776,-1861e" filled="false" stroked="true" strokeweight="1.5pt" strokecolor="#000000">
                <v:path arrowok="t"/>
              </v:shape>
              <v:shape style="position:absolute;left:6776;top:-1846;width:10;height:28" type="#_x0000_t75" stroked="false">
                <v:imagedata r:id="rId37" o:title=""/>
              </v:shape>
            </v:group>
            <v:group style="position:absolute;left:6776;top:-1861;width:3821;height:2" coordorigin="6776,-1861" coordsize="3821,2">
              <v:shape style="position:absolute;left:6776;top:-1861;width:3821;height:2" coordorigin="6776,-1861" coordsize="3821,0" path="m6776,-1861l10597,-1861e" filled="false" stroked="true" strokeweight="1.5pt" strokecolor="#000000">
                <v:path arrowok="t"/>
              </v:shape>
              <v:shape style="position:absolute;left:5398;top:-1838;width:1408;height:355" type="#_x0000_t75" stroked="false">
                <v:imagedata r:id="rId449" o:title=""/>
              </v:shape>
            </v:group>
            <v:group style="position:absolute;left:2395;top:-73;width:3022;height:2" coordorigin="2395,-73" coordsize="3022,2">
              <v:shape style="position:absolute;left:2395;top:-73;width:3022;height:2" coordorigin="2395,-73" coordsize="3022,0" path="m2395,-73l5417,-73e" filled="false" stroked="true" strokeweight="1.5pt" strokecolor="#000000">
                <v:path arrowok="t"/>
              </v:shape>
            </v:group>
            <v:group style="position:absolute;left:5417;top:-73;width:1360;height:2" coordorigin="5417,-73" coordsize="1360,2">
              <v:shape style="position:absolute;left:5417;top:-73;width:1360;height:2" coordorigin="5417,-73" coordsize="1360,0" path="m5417,-73l6776,-73e" filled="false" stroked="true" strokeweight="1.5pt" strokecolor="#000000">
                <v:path arrowok="t"/>
              </v:shape>
            </v:group>
            <v:group style="position:absolute;left:6776;top:-73;width:1906;height:2" coordorigin="6776,-73" coordsize="1906,2">
              <v:shape style="position:absolute;left:6776;top:-73;width:1906;height:2" coordorigin="6776,-73" coordsize="1906,0" path="m6776,-73l8682,-73e" filled="false" stroked="true" strokeweight="1.5pt" strokecolor="#000000">
                <v:path arrowok="t"/>
              </v:shape>
              <v:shape style="position:absolute;left:2390;top:-1521;width:8231;height:1433" type="#_x0000_t75" stroked="false">
                <v:imagedata r:id="rId450" o:title=""/>
              </v:shape>
            </v:group>
            <v:group style="position:absolute;left:8682;top:-73;width:1916;height:2" coordorigin="8682,-73" coordsize="1916,2">
              <v:shape style="position:absolute;left:8682;top:-73;width:1916;height:2" coordorigin="8682,-73" coordsize="1916,0" path="m8682,-73l10597,-73e" filled="false" stroked="true" strokeweight="1.5pt" strokecolor="#000000">
                <v:path arrowok="t"/>
              </v:shape>
            </v:group>
            <w10:wrap type="none"/>
          </v:group>
        </w:pict>
      </w:r>
      <w:r>
        <w:rPr>
          <w:rFonts w:ascii="Times New Roman" w:hAnsi="Times New Roman" w:cs="Times New Roman" w:eastAsia="Times New Roman" w:hint="default"/>
          <w:w w:val="95"/>
        </w:rPr>
        <w:t>9</w:t>
      </w:r>
      <w:r>
        <w:rPr>
          <w:w w:val="95"/>
        </w:rPr>
        <w:t>、</w:t>
        <w:tab/>
      </w:r>
      <w:r>
        <w:rPr/>
        <w:t>其他关联事项说明</w:t>
      </w:r>
      <w:r>
        <w:rPr>
          <w:b w:val="0"/>
          <w:bCs w:val="0"/>
        </w:rPr>
      </w:r>
    </w:p>
    <w:p>
      <w:pPr>
        <w:pStyle w:val="BodyText"/>
        <w:spacing w:line="240" w:lineRule="auto"/>
        <w:ind w:right="1793"/>
        <w:jc w:val="left"/>
      </w:pPr>
      <w:r>
        <w:rPr/>
        <w:t>（</w:t>
      </w:r>
      <w:r>
        <w:rPr>
          <w:rFonts w:ascii="Times New Roman" w:hAnsi="Times New Roman" w:cs="Times New Roman" w:eastAsia="Times New Roman" w:hint="default"/>
        </w:rPr>
        <w:t>1</w:t>
      </w:r>
      <w:r>
        <w:rPr/>
        <w:t>）与中国电子有限公司共同投资设立深圳中电蓝海控股有限公司</w:t>
      </w:r>
    </w:p>
    <w:p>
      <w:pPr>
        <w:pStyle w:val="BodyText"/>
        <w:spacing w:line="240" w:lineRule="auto" w:before="110"/>
        <w:ind w:right="1793"/>
        <w:jc w:val="left"/>
      </w:pPr>
      <w:r>
        <w:rPr>
          <w:rFonts w:ascii="Times New Roman" w:hAnsi="Times New Roman" w:cs="Times New Roman" w:eastAsia="Times New Roman" w:hint="default"/>
        </w:rPr>
        <w:t>2018</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t>月，公司董事会决议通过与中国电子有限公司共同投资设立深圳中</w:t>
      </w:r>
    </w:p>
    <w:p>
      <w:pPr>
        <w:pStyle w:val="BodyText"/>
        <w:spacing w:line="240" w:lineRule="auto"/>
        <w:ind w:right="1682"/>
        <w:jc w:val="left"/>
      </w:pPr>
      <w:r>
        <w:rPr>
          <w:spacing w:val="-4"/>
        </w:rPr>
        <w:t>电蓝海控股有限公司，注册资本人民币</w:t>
      </w:r>
      <w:r>
        <w:rPr>
          <w:spacing w:val="-47"/>
        </w:rPr>
        <w:t> </w:t>
      </w:r>
      <w:r>
        <w:rPr>
          <w:rFonts w:ascii="Times New Roman" w:hAnsi="Times New Roman" w:cs="Times New Roman" w:eastAsia="Times New Roman" w:hint="default"/>
        </w:rPr>
        <w:t>2,000.00</w:t>
      </w:r>
      <w:r>
        <w:rPr>
          <w:rFonts w:ascii="Times New Roman" w:hAnsi="Times New Roman" w:cs="Times New Roman" w:eastAsia="Times New Roman" w:hint="default"/>
          <w:spacing w:val="5"/>
        </w:rPr>
        <w:t> </w:t>
      </w:r>
      <w:r>
        <w:rPr>
          <w:spacing w:val="-4"/>
        </w:rPr>
        <w:t>万元，其中中国电子有限公司</w:t>
      </w:r>
    </w:p>
    <w:p>
      <w:pPr>
        <w:pStyle w:val="BodyText"/>
        <w:spacing w:line="331" w:lineRule="auto"/>
        <w:ind w:right="1775"/>
        <w:jc w:val="left"/>
      </w:pPr>
      <w:r>
        <w:rPr/>
        <w:t>出资人民币</w:t>
      </w:r>
      <w:r>
        <w:rPr>
          <w:spacing w:val="-56"/>
        </w:rPr>
        <w:t> </w:t>
      </w:r>
      <w:r>
        <w:rPr>
          <w:rFonts w:ascii="Times New Roman" w:hAnsi="Times New Roman" w:cs="Times New Roman" w:eastAsia="Times New Roman" w:hint="default"/>
        </w:rPr>
        <w:t>1,020.00</w:t>
      </w:r>
      <w:r>
        <w:rPr>
          <w:rFonts w:ascii="Times New Roman" w:hAnsi="Times New Roman" w:cs="Times New Roman" w:eastAsia="Times New Roman" w:hint="default"/>
          <w:spacing w:val="-3"/>
        </w:rPr>
        <w:t> </w:t>
      </w:r>
      <w:r>
        <w:rPr/>
        <w:t>万元，持股比例</w:t>
      </w:r>
      <w:r>
        <w:rPr>
          <w:spacing w:val="-56"/>
        </w:rPr>
        <w:t> </w:t>
      </w:r>
      <w:r>
        <w:rPr>
          <w:rFonts w:ascii="Times New Roman" w:hAnsi="Times New Roman" w:cs="Times New Roman" w:eastAsia="Times New Roman" w:hint="default"/>
        </w:rPr>
        <w:t>51.00%</w:t>
      </w:r>
      <w:r>
        <w:rPr/>
        <w:t>；公司出资人民币</w:t>
      </w:r>
      <w:r>
        <w:rPr>
          <w:spacing w:val="-56"/>
        </w:rPr>
        <w:t> </w:t>
      </w:r>
      <w:r>
        <w:rPr>
          <w:rFonts w:ascii="Times New Roman" w:hAnsi="Times New Roman" w:cs="Times New Roman" w:eastAsia="Times New Roman" w:hint="default"/>
        </w:rPr>
        <w:t>980.00</w:t>
      </w:r>
      <w:r>
        <w:rPr>
          <w:rFonts w:ascii="Times New Roman" w:hAnsi="Times New Roman" w:cs="Times New Roman" w:eastAsia="Times New Roman" w:hint="default"/>
          <w:spacing w:val="-3"/>
        </w:rPr>
        <w:t> </w:t>
      </w:r>
      <w:r>
        <w:rPr/>
        <w:t>万元， 持股比例</w:t>
      </w:r>
      <w:r>
        <w:rPr>
          <w:spacing w:val="-55"/>
        </w:rPr>
        <w:t> </w:t>
      </w:r>
      <w:r>
        <w:rPr>
          <w:rFonts w:ascii="Times New Roman" w:hAnsi="Times New Roman" w:cs="Times New Roman" w:eastAsia="Times New Roman" w:hint="default"/>
        </w:rPr>
        <w:t>49.00%</w:t>
      </w:r>
      <w:r>
        <w:rPr/>
        <w:t>。</w:t>
      </w:r>
    </w:p>
    <w:p>
      <w:pPr>
        <w:spacing w:line="240" w:lineRule="auto" w:before="1"/>
        <w:rPr>
          <w:rFonts w:ascii="宋体" w:hAnsi="宋体" w:cs="宋体" w:eastAsia="宋体" w:hint="default"/>
          <w:sz w:val="32"/>
          <w:szCs w:val="32"/>
        </w:rPr>
      </w:pPr>
    </w:p>
    <w:p>
      <w:pPr>
        <w:pStyle w:val="BodyText"/>
        <w:spacing w:line="331" w:lineRule="auto" w:before="0"/>
        <w:ind w:right="1776"/>
        <w:jc w:val="left"/>
      </w:pPr>
      <w:r>
        <w:rPr/>
        <w:t>（</w:t>
      </w:r>
      <w:r>
        <w:rPr>
          <w:rFonts w:ascii="Times New Roman" w:hAnsi="Times New Roman" w:cs="Times New Roman" w:eastAsia="Times New Roman" w:hint="default"/>
        </w:rPr>
        <w:t>2</w:t>
      </w:r>
      <w:r>
        <w:rPr/>
        <w:t>）购买中国电子信息产业集团有限公司持有公司三级子公司武汉中元通信 股份有限公司少数股权</w:t>
      </w:r>
    </w:p>
    <w:p>
      <w:pPr>
        <w:pStyle w:val="BodyText"/>
        <w:spacing w:line="336" w:lineRule="auto" w:before="45"/>
        <w:ind w:right="1792"/>
        <w:jc w:val="both"/>
      </w:pPr>
      <w:r>
        <w:rPr>
          <w:rFonts w:ascii="Times New Roman" w:hAnsi="Times New Roman" w:cs="Times New Roman" w:eastAsia="Times New Roman" w:hint="default"/>
        </w:rPr>
        <w:t>2018</w:t>
      </w:r>
      <w:r>
        <w:rPr>
          <w:rFonts w:ascii="Times New Roman" w:hAnsi="Times New Roman" w:cs="Times New Roman" w:eastAsia="Times New Roman" w:hint="default"/>
          <w:spacing w:val="-2"/>
        </w:rPr>
        <w:t> </w:t>
      </w:r>
      <w:r>
        <w:rPr/>
        <w:t>年</w:t>
      </w:r>
      <w:r>
        <w:rPr>
          <w:spacing w:val="-55"/>
        </w:rPr>
        <w:t> </w:t>
      </w:r>
      <w:r>
        <w:rPr>
          <w:rFonts w:ascii="Times New Roman" w:hAnsi="Times New Roman" w:cs="Times New Roman" w:eastAsia="Times New Roman" w:hint="default"/>
          <w:spacing w:val="-4"/>
        </w:rPr>
        <w:t>11</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26</w:t>
      </w:r>
      <w:r>
        <w:rPr>
          <w:rFonts w:ascii="Times New Roman" w:hAnsi="Times New Roman" w:cs="Times New Roman" w:eastAsia="Times New Roman" w:hint="default"/>
          <w:spacing w:val="-1"/>
        </w:rPr>
        <w:t> </w:t>
      </w:r>
      <w:r>
        <w:rPr/>
        <w:t>日公司第七届董事会第十次会议审议通过公司二级子公司武 汉中原电子集团有限公司收购中国电子信息产业集团有限公司持有的其子公 司武汉中元通信股份有限公司</w:t>
      </w:r>
      <w:r>
        <w:rPr>
          <w:spacing w:val="-51"/>
        </w:rPr>
        <w:t> </w:t>
      </w:r>
      <w:r>
        <w:rPr>
          <w:rFonts w:ascii="Times New Roman" w:hAnsi="Times New Roman" w:cs="Times New Roman" w:eastAsia="Times New Roman" w:hint="default"/>
          <w:spacing w:val="-5"/>
        </w:rPr>
        <w:t>18.68%</w:t>
      </w:r>
      <w:r>
        <w:rPr>
          <w:spacing w:val="-5"/>
        </w:rPr>
        <w:t>股权，支付对价为人民币</w:t>
      </w:r>
      <w:r>
        <w:rPr>
          <w:spacing w:val="-51"/>
        </w:rPr>
        <w:t> </w:t>
      </w:r>
      <w:r>
        <w:rPr>
          <w:rFonts w:ascii="Times New Roman" w:hAnsi="Times New Roman" w:cs="Times New Roman" w:eastAsia="Times New Roman" w:hint="default"/>
        </w:rPr>
        <w:t>587,745,015.71 </w:t>
      </w:r>
      <w:r>
        <w:rPr/>
        <w:t>元。</w:t>
      </w:r>
    </w:p>
    <w:p>
      <w:pPr>
        <w:pStyle w:val="BodyText"/>
        <w:spacing w:line="336" w:lineRule="auto" w:before="41"/>
        <w:ind w:right="1785"/>
        <w:jc w:val="left"/>
      </w:pPr>
      <w:r>
        <w:rPr/>
        <w:t>截止</w:t>
      </w:r>
      <w:r>
        <w:rPr>
          <w:spacing w:val="-54"/>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日，武汉中原电子集团有限公司已向中国电子信息产业 集团有限公司支付</w:t>
      </w:r>
      <w:r>
        <w:rPr>
          <w:spacing w:val="-56"/>
        </w:rPr>
        <w:t> </w:t>
      </w:r>
      <w:r>
        <w:rPr>
          <w:rFonts w:ascii="Times New Roman" w:hAnsi="Times New Roman" w:cs="Times New Roman" w:eastAsia="Times New Roman" w:hint="default"/>
        </w:rPr>
        <w:t>50.00%</w:t>
      </w:r>
      <w:r>
        <w:rPr/>
        <w:t>股权转让价款</w:t>
      </w:r>
      <w:r>
        <w:rPr>
          <w:spacing w:val="-56"/>
        </w:rPr>
        <w:t> </w:t>
      </w:r>
      <w:r>
        <w:rPr>
          <w:rFonts w:ascii="Times New Roman" w:hAnsi="Times New Roman" w:cs="Times New Roman" w:eastAsia="Times New Roman" w:hint="default"/>
        </w:rPr>
        <w:t>293,872,507.86</w:t>
      </w:r>
      <w:r>
        <w:rPr>
          <w:rFonts w:ascii="Times New Roman" w:hAnsi="Times New Roman" w:cs="Times New Roman" w:eastAsia="Times New Roman" w:hint="default"/>
          <w:spacing w:val="-3"/>
        </w:rPr>
        <w:t> </w:t>
      </w:r>
      <w:r>
        <w:rPr/>
        <w:t>元。上述股权转让事 </w:t>
      </w:r>
      <w:r>
        <w:rPr>
          <w:spacing w:val="-4"/>
        </w:rPr>
        <w:t>项已完成工商变更登记，变更后武汉中原电子集团有限公司合计持有武汉中元</w:t>
      </w:r>
      <w:r>
        <w:rPr>
          <w:spacing w:val="-73"/>
        </w:rPr>
        <w:t> </w:t>
      </w:r>
      <w:r>
        <w:rPr>
          <w:spacing w:val="-73"/>
        </w:rPr>
      </w:r>
      <w:r>
        <w:rPr/>
        <w:t>通信股份有限公司</w:t>
      </w:r>
      <w:r>
        <w:rPr>
          <w:spacing w:val="-57"/>
        </w:rPr>
        <w:t> </w:t>
      </w:r>
      <w:r>
        <w:rPr>
          <w:rFonts w:ascii="Times New Roman" w:hAnsi="Times New Roman" w:cs="Times New Roman" w:eastAsia="Times New Roman" w:hint="default"/>
        </w:rPr>
        <w:t>95.02%</w:t>
      </w:r>
      <w:r>
        <w:rPr/>
        <w:t>股权。</w:t>
      </w:r>
    </w:p>
    <w:p>
      <w:pPr>
        <w:spacing w:line="240" w:lineRule="auto" w:before="11"/>
        <w:rPr>
          <w:rFonts w:ascii="宋体" w:hAnsi="宋体" w:cs="宋体" w:eastAsia="宋体" w:hint="default"/>
          <w:sz w:val="31"/>
          <w:szCs w:val="31"/>
        </w:rPr>
      </w:pPr>
    </w:p>
    <w:p>
      <w:pPr>
        <w:pStyle w:val="BodyText"/>
        <w:spacing w:line="328" w:lineRule="auto" w:before="0"/>
        <w:ind w:right="1776" w:hanging="1"/>
        <w:jc w:val="left"/>
      </w:pPr>
      <w:r>
        <w:rPr/>
        <w:t>（</w:t>
      </w:r>
      <w:r>
        <w:rPr>
          <w:rFonts w:ascii="Times New Roman" w:hAnsi="Times New Roman" w:cs="Times New Roman" w:eastAsia="Times New Roman" w:hint="default"/>
        </w:rPr>
        <w:t>3</w:t>
      </w:r>
      <w:r>
        <w:rPr/>
        <w:t>）核销中国电子信息产业集团有限公司其他应收款</w:t>
      </w:r>
      <w:r>
        <w:rPr>
          <w:spacing w:val="-54"/>
        </w:rPr>
        <w:t> </w:t>
      </w:r>
      <w:r>
        <w:rPr>
          <w:rFonts w:ascii="Times New Roman" w:hAnsi="Times New Roman" w:cs="Times New Roman" w:eastAsia="Times New Roman" w:hint="default"/>
        </w:rPr>
        <w:t>3,000.00</w:t>
      </w:r>
      <w:r>
        <w:rPr>
          <w:rFonts w:ascii="Times New Roman" w:hAnsi="Times New Roman" w:cs="Times New Roman" w:eastAsia="Times New Roman" w:hint="default"/>
          <w:spacing w:val="-1"/>
        </w:rPr>
        <w:t> </w:t>
      </w:r>
      <w:r>
        <w:rPr/>
        <w:t>万元 </w:t>
      </w:r>
      <w:r>
        <w:rPr>
          <w:spacing w:val="-9"/>
        </w:rPr>
        <w:t>武汉中原电子集团有限公司（“中原电子”）子公司武汉中元通信股份有限公司</w:t>
      </w:r>
    </w:p>
    <w:p>
      <w:pPr>
        <w:pStyle w:val="BodyText"/>
        <w:spacing w:line="336" w:lineRule="auto" w:before="48"/>
        <w:ind w:right="1677"/>
        <w:jc w:val="left"/>
      </w:pPr>
      <w:r>
        <w:rPr>
          <w:spacing w:val="-14"/>
        </w:rPr>
        <w:t>（“中元通信”）于设立之时（</w:t>
      </w:r>
      <w:r>
        <w:rPr>
          <w:rFonts w:ascii="Times New Roman" w:hAnsi="Times New Roman" w:cs="Times New Roman" w:eastAsia="Times New Roman" w:hint="default"/>
          <w:spacing w:val="-14"/>
        </w:rPr>
        <w:t>2001</w:t>
      </w:r>
      <w:r>
        <w:rPr>
          <w:rFonts w:ascii="Times New Roman" w:hAnsi="Times New Roman" w:cs="Times New Roman" w:eastAsia="Times New Roman" w:hint="default"/>
        </w:rPr>
        <w:t> </w:t>
      </w:r>
      <w:r>
        <w:rPr>
          <w:spacing w:val="-8"/>
        </w:rPr>
        <w:t>年）由武汉工业国有投资有限公司（“武汉</w:t>
      </w:r>
      <w:r>
        <w:rPr>
          <w:spacing w:val="-77"/>
        </w:rPr>
        <w:t> </w:t>
      </w:r>
      <w:r>
        <w:rPr>
          <w:spacing w:val="-77"/>
        </w:rPr>
      </w:r>
      <w:r>
        <w:rPr>
          <w:spacing w:val="-6"/>
        </w:rPr>
        <w:t>国投”）代中原电子投资持有中元通信股份</w:t>
      </w:r>
      <w:r>
        <w:rPr>
          <w:spacing w:val="-51"/>
        </w:rPr>
        <w:t> </w:t>
      </w:r>
      <w:r>
        <w:rPr>
          <w:rFonts w:ascii="Times New Roman" w:hAnsi="Times New Roman" w:cs="Times New Roman" w:eastAsia="Times New Roman" w:hint="default"/>
          <w:spacing w:val="-1"/>
        </w:rPr>
        <w:t>4.98%</w:t>
      </w:r>
      <w:r>
        <w:rPr>
          <w:spacing w:val="-1"/>
        </w:rPr>
        <w:t>，该部分股份对应的出资</w:t>
      </w:r>
      <w:r>
        <w:rPr>
          <w:spacing w:val="-87"/>
        </w:rPr>
        <w:t> </w:t>
      </w:r>
      <w:r>
        <w:rPr>
          <w:rFonts w:ascii="Times New Roman" w:hAnsi="Times New Roman" w:cs="Times New Roman" w:eastAsia="Times New Roman" w:hint="default"/>
        </w:rPr>
        <w:t>800.00 </w:t>
      </w:r>
      <w:r>
        <w:rPr>
          <w:spacing w:val="-4"/>
        </w:rPr>
        <w:t>万元由中原电子以借款形式提供给武汉国投；此外，由武汉开元科技创</w:t>
      </w:r>
      <w:r>
        <w:rPr>
          <w:spacing w:val="-89"/>
        </w:rPr>
        <w:t> </w:t>
      </w:r>
      <w:r>
        <w:rPr>
          <w:spacing w:val="-89"/>
        </w:rPr>
      </w:r>
      <w:r>
        <w:rPr>
          <w:spacing w:val="-8"/>
        </w:rPr>
        <w:t>业投资有限公司（“开元科技”）代中原电子投资持有中元通信股份</w:t>
      </w:r>
      <w:r>
        <w:rPr>
          <w:spacing w:val="-46"/>
        </w:rPr>
        <w:t> </w:t>
      </w:r>
      <w:r>
        <w:rPr>
          <w:rFonts w:ascii="Times New Roman" w:hAnsi="Times New Roman" w:cs="Times New Roman" w:eastAsia="Times New Roman" w:hint="default"/>
          <w:spacing w:val="-1"/>
        </w:rPr>
        <w:t>18.68%</w:t>
      </w:r>
      <w:r>
        <w:rPr>
          <w:spacing w:val="-1"/>
        </w:rPr>
        <w:t>，</w:t>
      </w:r>
      <w:r>
        <w:rPr>
          <w:spacing w:val="-84"/>
        </w:rPr>
        <w:t> </w:t>
      </w:r>
      <w:r>
        <w:rPr/>
        <w:t>该部分股份对应的出资</w:t>
      </w:r>
      <w:r>
        <w:rPr>
          <w:spacing w:val="-56"/>
        </w:rPr>
        <w:t> </w:t>
      </w:r>
      <w:r>
        <w:rPr>
          <w:rFonts w:ascii="Times New Roman" w:hAnsi="Times New Roman" w:cs="Times New Roman" w:eastAsia="Times New Roman" w:hint="default"/>
        </w:rPr>
        <w:t>3,000.00</w:t>
      </w:r>
      <w:r>
        <w:rPr>
          <w:rFonts w:ascii="Times New Roman" w:hAnsi="Times New Roman" w:cs="Times New Roman" w:eastAsia="Times New Roman" w:hint="default"/>
          <w:spacing w:val="-3"/>
        </w:rPr>
        <w:t> </w:t>
      </w:r>
      <w:r>
        <w:rPr/>
        <w:t>万元由中原电子以借款形式提供给开元科技； 中原电子财务对上述两笔借款均以“其他应收款”分别记账； </w:t>
      </w:r>
      <w:r>
        <w:rPr>
          <w:spacing w:val="-9"/>
        </w:rPr>
        <w:t>中原电子原系国有法人独资公司，股东为中国电子信息产业集团有限公司（“中</w:t>
      </w:r>
      <w:r>
        <w:rPr/>
        <w:t> </w:t>
      </w:r>
      <w:r>
        <w:rPr>
          <w:spacing w:val="-29"/>
        </w:rPr>
        <w:t>国电子”）；</w:t>
      </w:r>
      <w:r>
        <w:rPr>
          <w:rFonts w:ascii="Times New Roman" w:hAnsi="Times New Roman" w:cs="Times New Roman" w:eastAsia="Times New Roman" w:hint="default"/>
          <w:spacing w:val="-29"/>
        </w:rPr>
        <w:t>2017</w:t>
      </w:r>
      <w:r>
        <w:rPr>
          <w:rFonts w:ascii="Times New Roman" w:hAnsi="Times New Roman" w:cs="Times New Roman" w:eastAsia="Times New Roman" w:hint="default"/>
        </w:rPr>
        <w:t> </w:t>
      </w:r>
      <w:r>
        <w:rPr>
          <w:spacing w:val="-3"/>
        </w:rPr>
        <w:t>年中原电子并入上市公司中国长城科技集团股份有限公司（原</w:t>
      </w:r>
      <w:r>
        <w:rPr/>
        <w:t> </w:t>
      </w:r>
      <w:r>
        <w:rPr>
          <w:spacing w:val="-15"/>
        </w:rPr>
        <w:t>名中国长城计算机深圳股份有限公司）（“中国长城”）；中国长城系中国电子控</w:t>
      </w:r>
    </w:p>
    <w:p>
      <w:pPr>
        <w:spacing w:after="0" w:line="336" w:lineRule="auto"/>
        <w:jc w:val="left"/>
        <w:sectPr>
          <w:pgSz w:w="11910" w:h="16840"/>
          <w:pgMar w:header="0" w:footer="1001" w:top="1520" w:bottom="1200" w:left="1660" w:right="0"/>
        </w:sectPr>
      </w:pPr>
    </w:p>
    <w:p>
      <w:pPr>
        <w:spacing w:line="240" w:lineRule="auto" w:before="8"/>
        <w:rPr>
          <w:rFonts w:ascii="宋体" w:hAnsi="宋体" w:cs="宋体" w:eastAsia="宋体" w:hint="default"/>
          <w:sz w:val="13"/>
          <w:szCs w:val="13"/>
        </w:rPr>
      </w:pPr>
    </w:p>
    <w:p>
      <w:pPr>
        <w:pStyle w:val="BodyText"/>
        <w:spacing w:line="343" w:lineRule="auto" w:before="35"/>
        <w:ind w:right="1781"/>
        <w:jc w:val="left"/>
      </w:pPr>
      <w:r>
        <w:rPr>
          <w:spacing w:val="-4"/>
        </w:rPr>
        <w:t>股的上市公司；武汉国投及开元科技均系武汉市人民政府国有资产监督管理委</w:t>
      </w:r>
      <w:r>
        <w:rPr>
          <w:spacing w:val="-73"/>
        </w:rPr>
        <w:t> </w:t>
      </w:r>
      <w:r>
        <w:rPr>
          <w:spacing w:val="-73"/>
        </w:rPr>
      </w:r>
      <w:r>
        <w:rPr>
          <w:spacing w:val="-9"/>
        </w:rPr>
        <w:t>员会（“武汉国资委”）下属的国有</w:t>
      </w:r>
      <w:r>
        <w:rPr>
          <w:rFonts w:ascii="Times New Roman" w:hAnsi="Times New Roman" w:cs="Times New Roman" w:eastAsia="Times New Roman" w:hint="default"/>
          <w:spacing w:val="-9"/>
        </w:rPr>
        <w:t>/</w:t>
      </w:r>
      <w:r>
        <w:rPr>
          <w:spacing w:val="-9"/>
        </w:rPr>
        <w:t>国有控股公司；</w:t>
      </w:r>
      <w:r>
        <w:rPr>
          <w:spacing w:val="-103"/>
        </w:rPr>
        <w:t> </w:t>
      </w:r>
      <w:r>
        <w:rPr>
          <w:spacing w:val="-4"/>
        </w:rPr>
        <w:t>为了理顺中元通信的股权投资关系同时维护国有资产权益，经中国电子与武汉</w:t>
      </w:r>
      <w:r>
        <w:rPr>
          <w:spacing w:val="-73"/>
        </w:rPr>
        <w:t> </w:t>
      </w:r>
      <w:r>
        <w:rPr>
          <w:spacing w:val="-73"/>
        </w:rPr>
      </w:r>
      <w:r>
        <w:rPr/>
        <w:t>国资委协商确定：开元科技将所持中元通信</w:t>
      </w:r>
      <w:r>
        <w:rPr>
          <w:spacing w:val="-56"/>
        </w:rPr>
        <w:t> </w:t>
      </w:r>
      <w:r>
        <w:rPr>
          <w:rFonts w:ascii="Times New Roman" w:hAnsi="Times New Roman" w:cs="Times New Roman" w:eastAsia="Times New Roman" w:hint="default"/>
        </w:rPr>
        <w:t>18.68%</w:t>
      </w:r>
      <w:r>
        <w:rPr/>
        <w:t>股份先调整为武汉国资委 </w:t>
      </w:r>
      <w:r>
        <w:rPr>
          <w:spacing w:val="-4"/>
        </w:rPr>
        <w:t>全资子公司武汉锅炉集团有限公司持有，再经武汉市国资委和国务院国资委批</w:t>
      </w:r>
      <w:r>
        <w:rPr>
          <w:spacing w:val="-73"/>
        </w:rPr>
        <w:t> </w:t>
      </w:r>
      <w:r>
        <w:rPr>
          <w:spacing w:val="-73"/>
        </w:rPr>
      </w:r>
      <w:r>
        <w:rPr/>
        <w:t>准将武汉锅炉集团有限公司持有的中元通信</w:t>
      </w:r>
      <w:r>
        <w:rPr>
          <w:spacing w:val="-56"/>
        </w:rPr>
        <w:t> </w:t>
      </w:r>
      <w:r>
        <w:rPr>
          <w:rFonts w:ascii="Times New Roman" w:hAnsi="Times New Roman" w:cs="Times New Roman" w:eastAsia="Times New Roman" w:hint="default"/>
        </w:rPr>
        <w:t>18.68%</w:t>
      </w:r>
      <w:r>
        <w:rPr/>
        <w:t>股份以及武汉国投持有的 中元通信</w:t>
      </w:r>
      <w:r>
        <w:rPr>
          <w:spacing w:val="-34"/>
        </w:rPr>
        <w:t> </w:t>
      </w:r>
      <w:r>
        <w:rPr>
          <w:rFonts w:ascii="Times New Roman" w:hAnsi="Times New Roman" w:cs="Times New Roman" w:eastAsia="Times New Roman" w:hint="default"/>
          <w:spacing w:val="-3"/>
        </w:rPr>
        <w:t>4.98%</w:t>
      </w:r>
      <w:r>
        <w:rPr>
          <w:spacing w:val="-3"/>
        </w:rPr>
        <w:t>股份无偿划转至中国电子（因中原电子已并入上市公司，其国</w:t>
      </w:r>
      <w:r>
        <w:rPr>
          <w:spacing w:val="-101"/>
        </w:rPr>
        <w:t> </w:t>
      </w:r>
      <w:r>
        <w:rPr>
          <w:spacing w:val="-101"/>
        </w:rPr>
      </w:r>
      <w:r>
        <w:rPr>
          <w:spacing w:val="-4"/>
        </w:rPr>
        <w:t>资性质已改变，为了保障国资权益不流失，所述股份不能再划回中原电子，只</w:t>
      </w:r>
      <w:r>
        <w:rPr>
          <w:spacing w:val="-74"/>
        </w:rPr>
        <w:t> </w:t>
      </w:r>
      <w:r>
        <w:rPr>
          <w:spacing w:val="-74"/>
        </w:rPr>
      </w:r>
      <w:r>
        <w:rPr>
          <w:spacing w:val="-7"/>
        </w:rPr>
        <w:t>能转至中原电子的原股东中国电子）；</w:t>
      </w:r>
      <w:r>
        <w:rPr>
          <w:spacing w:val="-92"/>
        </w:rPr>
        <w:t> </w:t>
      </w:r>
      <w:r>
        <w:rPr>
          <w:spacing w:val="-92"/>
        </w:rPr>
      </w:r>
      <w:r>
        <w:rPr>
          <w:spacing w:val="-4"/>
        </w:rPr>
        <w:t>根据上述解决方式，相关方签署了《企业国有产权无偿划转协议》；武汉国资</w:t>
      </w:r>
      <w:r>
        <w:rPr>
          <w:spacing w:val="-76"/>
        </w:rPr>
        <w:t> </w:t>
      </w:r>
      <w:r>
        <w:rPr>
          <w:spacing w:val="-76"/>
        </w:rPr>
      </w:r>
      <w:r>
        <w:rPr/>
        <w:t>委已就</w:t>
      </w:r>
      <w:r>
        <w:rPr>
          <w:spacing w:val="-55"/>
        </w:rPr>
        <w:t> </w:t>
      </w:r>
      <w:r>
        <w:rPr>
          <w:rFonts w:ascii="Times New Roman" w:hAnsi="Times New Roman" w:cs="Times New Roman" w:eastAsia="Times New Roman" w:hint="default"/>
        </w:rPr>
        <w:t>18.68%</w:t>
      </w:r>
      <w:r>
        <w:rPr/>
        <w:t>的中元通信股份划转做出批复；其余</w:t>
      </w:r>
      <w:r>
        <w:rPr>
          <w:spacing w:val="-55"/>
        </w:rPr>
        <w:t> </w:t>
      </w:r>
      <w:r>
        <w:rPr>
          <w:rFonts w:ascii="Times New Roman" w:hAnsi="Times New Roman" w:cs="Times New Roman" w:eastAsia="Times New Roman" w:hint="default"/>
        </w:rPr>
        <w:t>4.98%</w:t>
      </w:r>
      <w:r>
        <w:rPr/>
        <w:t>的股份划转尚有待 于走产权划转的内部决策及审批程序。 </w:t>
      </w:r>
      <w:r>
        <w:rPr>
          <w:spacing w:val="-4"/>
        </w:rPr>
        <w:t>中原电子对武汉国投以及开元科技的借款是因为股份代投代持而产生，在代持</w:t>
      </w:r>
      <w:r>
        <w:rPr>
          <w:spacing w:val="-73"/>
        </w:rPr>
        <w:t> </w:t>
      </w:r>
      <w:r>
        <w:rPr>
          <w:spacing w:val="-73"/>
        </w:rPr>
      </w:r>
      <w:r>
        <w:rPr>
          <w:spacing w:val="-5"/>
        </w:rPr>
        <w:t>股份无偿划转至中国电子的情形下，中原电子的</w:t>
      </w:r>
      <w:r>
        <w:rPr>
          <w:spacing w:val="-47"/>
        </w:rPr>
        <w:t> </w:t>
      </w:r>
      <w:r>
        <w:rPr>
          <w:rFonts w:ascii="Times New Roman" w:hAnsi="Times New Roman" w:cs="Times New Roman" w:eastAsia="Times New Roman" w:hint="default"/>
          <w:spacing w:val="-1"/>
        </w:rPr>
        <w:t>3,800.00</w:t>
      </w:r>
      <w:r>
        <w:rPr>
          <w:rFonts w:ascii="Times New Roman" w:hAnsi="Times New Roman" w:cs="Times New Roman" w:eastAsia="Times New Roman" w:hint="default"/>
          <w:spacing w:val="6"/>
        </w:rPr>
        <w:t> </w:t>
      </w:r>
      <w:r>
        <w:rPr>
          <w:spacing w:val="-1"/>
        </w:rPr>
        <w:t>万元其他应收款依据</w:t>
      </w:r>
    </w:p>
    <w:p>
      <w:pPr>
        <w:pStyle w:val="BodyText"/>
        <w:spacing w:line="328" w:lineRule="auto" w:before="9"/>
        <w:ind w:right="1779"/>
        <w:jc w:val="left"/>
      </w:pPr>
      <w:r>
        <w:rPr>
          <w:spacing w:val="-4"/>
        </w:rPr>
        <w:t>当初的股份代持《协议书》应视为已得到偿付；中原电子应将</w:t>
      </w:r>
      <w:r>
        <w:rPr>
          <w:spacing w:val="-53"/>
        </w:rPr>
        <w:t> </w:t>
      </w:r>
      <w:r>
        <w:rPr>
          <w:rFonts w:ascii="Times New Roman" w:hAnsi="Times New Roman" w:cs="Times New Roman" w:eastAsia="Times New Roman" w:hint="default"/>
        </w:rPr>
        <w:t>3,800.00 </w:t>
      </w:r>
      <w:r>
        <w:rPr/>
        <w:t>万元其 他应收款予以核销；本期中原电子核销</w:t>
      </w:r>
      <w:r>
        <w:rPr>
          <w:spacing w:val="-56"/>
        </w:rPr>
        <w:t> </w:t>
      </w:r>
      <w:r>
        <w:rPr>
          <w:rFonts w:ascii="Times New Roman" w:hAnsi="Times New Roman" w:cs="Times New Roman" w:eastAsia="Times New Roman" w:hint="default"/>
        </w:rPr>
        <w:t>18.68%</w:t>
      </w:r>
      <w:r>
        <w:rPr/>
        <w:t>股权对应的</w:t>
      </w:r>
      <w:r>
        <w:rPr>
          <w:spacing w:val="-56"/>
        </w:rPr>
        <w:t> </w:t>
      </w:r>
      <w:r>
        <w:rPr>
          <w:rFonts w:ascii="Times New Roman" w:hAnsi="Times New Roman" w:cs="Times New Roman" w:eastAsia="Times New Roman" w:hint="default"/>
        </w:rPr>
        <w:t>3,000.00</w:t>
      </w:r>
      <w:r>
        <w:rPr>
          <w:rFonts w:ascii="Times New Roman" w:hAnsi="Times New Roman" w:cs="Times New Roman" w:eastAsia="Times New Roman" w:hint="default"/>
          <w:spacing w:val="-3"/>
        </w:rPr>
        <w:t> </w:t>
      </w:r>
      <w:r>
        <w:rPr/>
        <w:t>万元。</w:t>
      </w:r>
    </w:p>
    <w:p>
      <w:pPr>
        <w:pStyle w:val="BodyText"/>
        <w:spacing w:line="333" w:lineRule="auto" w:before="24"/>
        <w:ind w:right="1671"/>
        <w:jc w:val="left"/>
      </w:pPr>
      <w:r>
        <w:rPr>
          <w:spacing w:val="-3"/>
        </w:rPr>
        <w:t>（</w:t>
      </w:r>
      <w:r>
        <w:rPr>
          <w:rFonts w:ascii="Times New Roman" w:hAnsi="Times New Roman" w:cs="Times New Roman" w:eastAsia="Times New Roman" w:hint="default"/>
          <w:spacing w:val="-3"/>
        </w:rPr>
        <w:t>4</w:t>
      </w:r>
      <w:r>
        <w:rPr>
          <w:spacing w:val="-3"/>
        </w:rPr>
        <w:t>）与中国电子系统技术有限公司签署《中电长城大厦智能化工程施工合同》</w:t>
      </w:r>
      <w:r>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0"/>
        </w:rPr>
        <w:t> </w:t>
      </w:r>
      <w:r>
        <w:rPr/>
        <w:t>年</w:t>
      </w:r>
      <w:r>
        <w:rPr>
          <w:spacing w:val="-63"/>
        </w:rPr>
        <w:t> </w:t>
      </w:r>
      <w:r>
        <w:rPr>
          <w:rFonts w:ascii="Times New Roman" w:hAnsi="Times New Roman" w:cs="Times New Roman" w:eastAsia="Times New Roman" w:hint="default"/>
          <w:spacing w:val="-4"/>
        </w:rPr>
        <w:t>11</w:t>
      </w:r>
      <w:r>
        <w:rPr>
          <w:rFonts w:ascii="Times New Roman" w:hAnsi="Times New Roman" w:cs="Times New Roman" w:eastAsia="Times New Roman" w:hint="default"/>
          <w:spacing w:val="-9"/>
        </w:rPr>
        <w:t> </w:t>
      </w:r>
      <w:r>
        <w:rPr/>
        <w:t>月，公司通过深圳市建设工程交易服务中心进行“中电长城大厦智 能化工程”标段的公开招标。</w:t>
      </w:r>
      <w:r>
        <w:rPr>
          <w:rFonts w:ascii="Times New Roman" w:hAnsi="Times New Roman" w:cs="Times New Roman" w:eastAsia="Times New Roman" w:hint="default"/>
        </w:rPr>
        <w:t>2018</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 </w:t>
      </w:r>
      <w:r>
        <w:rPr/>
        <w:t>月底完成招标流程，由关联单位中国 电子系统技术有限公司中标，中标价</w:t>
      </w:r>
      <w:r>
        <w:rPr>
          <w:spacing w:val="-63"/>
        </w:rPr>
        <w:t> </w:t>
      </w:r>
      <w:r>
        <w:rPr>
          <w:rFonts w:ascii="Times New Roman" w:hAnsi="Times New Roman" w:cs="Times New Roman" w:eastAsia="Times New Roman" w:hint="default"/>
        </w:rPr>
        <w:t>3,696.941107</w:t>
      </w:r>
      <w:r>
        <w:rPr>
          <w:rFonts w:ascii="Times New Roman" w:hAnsi="Times New Roman" w:cs="Times New Roman" w:eastAsia="Times New Roman" w:hint="default"/>
          <w:spacing w:val="-10"/>
        </w:rPr>
        <w:t> </w:t>
      </w:r>
      <w:r>
        <w:rPr>
          <w:spacing w:val="-6"/>
        </w:rPr>
        <w:t>万元，根据合同约定，中国</w:t>
      </w:r>
      <w:r>
        <w:rPr/>
        <w:t> </w:t>
      </w:r>
      <w:r>
        <w:rPr>
          <w:spacing w:val="-4"/>
        </w:rPr>
        <w:t>电子系统技术有限公司完成中电长城大厦智能化系统工程建设、设备采购及工</w:t>
      </w:r>
      <w:r>
        <w:rPr>
          <w:spacing w:val="-73"/>
        </w:rPr>
        <w:t> </w:t>
      </w:r>
      <w:r>
        <w:rPr>
          <w:spacing w:val="-73"/>
        </w:rPr>
      </w:r>
      <w:r>
        <w:rPr>
          <w:spacing w:val="-5"/>
        </w:rPr>
        <w:t>程施工于一体。</w:t>
      </w:r>
      <w:r>
        <w:rPr>
          <w:rFonts w:ascii="Times New Roman" w:hAnsi="Times New Roman" w:cs="Times New Roman" w:eastAsia="Times New Roman" w:hint="default"/>
          <w:spacing w:val="-5"/>
        </w:rPr>
        <w:t>2018</w:t>
      </w:r>
      <w:r>
        <w:rPr>
          <w:rFonts w:ascii="Times New Roman" w:hAnsi="Times New Roman" w:cs="Times New Roman" w:eastAsia="Times New Roman" w:hint="default"/>
          <w:spacing w:val="-1"/>
        </w:rPr>
        <w:t> </w:t>
      </w:r>
      <w:r>
        <w:rPr/>
        <w:t>年</w:t>
      </w:r>
      <w:r>
        <w:rPr>
          <w:spacing w:val="-54"/>
        </w:rPr>
        <w:t> </w:t>
      </w:r>
      <w:r>
        <w:rPr>
          <w:rFonts w:ascii="Times New Roman" w:hAnsi="Times New Roman" w:cs="Times New Roman" w:eastAsia="Times New Roman" w:hint="default"/>
        </w:rPr>
        <w:t>3 </w:t>
      </w:r>
      <w:r>
        <w:rPr/>
        <w:t>月</w:t>
      </w:r>
      <w:r>
        <w:rPr>
          <w:spacing w:val="-54"/>
        </w:rPr>
        <w:t> </w:t>
      </w:r>
      <w:r>
        <w:rPr>
          <w:rFonts w:ascii="Times New Roman" w:hAnsi="Times New Roman" w:cs="Times New Roman" w:eastAsia="Times New Roman" w:hint="default"/>
        </w:rPr>
        <w:t>21 </w:t>
      </w:r>
      <w:r>
        <w:rPr/>
        <w:t>日公司第六届董事会审议通过上述关联交易事 项。</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p>
      <w:pPr>
        <w:pStyle w:val="BodyText"/>
        <w:spacing w:line="240" w:lineRule="auto" w:before="0"/>
        <w:ind w:right="1793"/>
        <w:jc w:val="left"/>
      </w:pPr>
      <w:r>
        <w:rPr/>
        <w:t>（</w:t>
      </w:r>
      <w:r>
        <w:rPr>
          <w:rFonts w:ascii="Times New Roman" w:hAnsi="Times New Roman" w:cs="Times New Roman" w:eastAsia="Times New Roman" w:hint="default"/>
        </w:rPr>
        <w:t>5</w:t>
      </w:r>
      <w:r>
        <w:rPr/>
        <w:t>）与中国电子财务有限责任公司就国有资本金的继续使用签署展期协议</w:t>
      </w:r>
    </w:p>
    <w:p>
      <w:pPr>
        <w:pStyle w:val="BodyText"/>
        <w:spacing w:line="240" w:lineRule="auto" w:before="110"/>
        <w:ind w:right="1793"/>
        <w:jc w:val="left"/>
      </w:pPr>
      <w:r>
        <w:rPr>
          <w:rFonts w:ascii="Times New Roman" w:hAnsi="Times New Roman" w:cs="Times New Roman" w:eastAsia="Times New Roman" w:hint="default"/>
        </w:rPr>
        <w:t>2018</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rPr>
        <w:t>10</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25</w:t>
      </w:r>
      <w:r>
        <w:rPr>
          <w:rFonts w:ascii="Times New Roman" w:hAnsi="Times New Roman" w:cs="Times New Roman" w:eastAsia="Times New Roman" w:hint="default"/>
          <w:spacing w:val="-1"/>
        </w:rPr>
        <w:t> </w:t>
      </w:r>
      <w:r>
        <w:rPr/>
        <w:t>日公司第七届董事会第八次会议审议通过公司与中国电子财</w:t>
      </w:r>
    </w:p>
    <w:p>
      <w:pPr>
        <w:pStyle w:val="BodyText"/>
        <w:spacing w:line="240" w:lineRule="auto"/>
        <w:ind w:right="1682"/>
        <w:jc w:val="left"/>
      </w:pPr>
      <w:r>
        <w:rPr/>
        <w:t>务有限责任公司就国有资本金</w:t>
      </w:r>
      <w:r>
        <w:rPr>
          <w:spacing w:val="-53"/>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6,50</w:t>
      </w:r>
      <w:r>
        <w:rPr>
          <w:rFonts w:ascii="Times New Roman" w:hAnsi="Times New Roman" w:cs="Times New Roman" w:eastAsia="Times New Roman" w:hint="default"/>
        </w:rPr>
        <w:t>0</w:t>
      </w:r>
      <w:r>
        <w:rPr>
          <w:rFonts w:ascii="Times New Roman" w:hAnsi="Times New Roman" w:cs="Times New Roman" w:eastAsia="Times New Roman" w:hint="default"/>
          <w:spacing w:val="1"/>
        </w:rPr>
        <w:t> </w:t>
      </w:r>
      <w:r>
        <w:rPr/>
        <w:t>万元续</w:t>
      </w:r>
      <w:r>
        <w:rPr>
          <w:spacing w:val="-26"/>
        </w:rPr>
        <w:t>签</w:t>
      </w:r>
      <w:r>
        <w:rPr>
          <w:spacing w:val="-2"/>
        </w:rPr>
        <w:t>《</w:t>
      </w:r>
      <w:r>
        <w:rPr/>
        <w:t>委托贷款借款展期协议</w:t>
      </w:r>
      <w:r>
        <w:rPr>
          <w:spacing w:val="-106"/>
        </w:rPr>
        <w:t>》</w:t>
      </w:r>
      <w:r>
        <w:rPr>
          <w:spacing w:val="-26"/>
        </w:rPr>
        <w:t>，展</w:t>
      </w:r>
      <w:r>
        <w:rPr/>
      </w:r>
    </w:p>
    <w:p>
      <w:pPr>
        <w:pStyle w:val="BodyText"/>
        <w:spacing w:line="331" w:lineRule="auto"/>
        <w:ind w:right="1790"/>
        <w:jc w:val="left"/>
      </w:pPr>
      <w:r>
        <w:rPr/>
        <w:t>期</w:t>
      </w:r>
      <w:r>
        <w:rPr>
          <w:spacing w:val="-54"/>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年至</w:t>
      </w:r>
      <w:r>
        <w:rPr>
          <w:spacing w:val="-55"/>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t>日，贷款基准利率按人民银行公布的一年期贷款基 准利率执行。</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pStyle w:val="BodyText"/>
        <w:spacing w:line="240" w:lineRule="auto" w:before="0"/>
        <w:ind w:right="3681"/>
        <w:jc w:val="left"/>
      </w:pPr>
      <w:r>
        <w:rPr/>
        <w:t>（</w:t>
      </w:r>
      <w:r>
        <w:rPr>
          <w:rFonts w:ascii="Times New Roman" w:hAnsi="Times New Roman" w:cs="Times New Roman" w:eastAsia="Times New Roman" w:hint="default"/>
        </w:rPr>
        <w:t>6</w:t>
      </w:r>
      <w:r>
        <w:rPr/>
        <w:t>）回购、注销中国电子信息产业集团有限公司股份</w:t>
      </w:r>
    </w:p>
    <w:p>
      <w:pPr>
        <w:pStyle w:val="BodyText"/>
        <w:spacing w:line="240" w:lineRule="auto" w:before="110"/>
        <w:ind w:right="1682"/>
        <w:jc w:val="left"/>
      </w:pPr>
      <w:r>
        <w:rPr/>
        <w:t>公司于</w:t>
      </w:r>
      <w:r>
        <w:rPr>
          <w:spacing w:val="-52"/>
        </w:rPr>
        <w:t> </w:t>
      </w:r>
      <w:r>
        <w:rPr>
          <w:rFonts w:ascii="Times New Roman" w:hAnsi="Times New Roman" w:cs="Times New Roman" w:eastAsia="Times New Roman" w:hint="default"/>
        </w:rPr>
        <w:t>2018 </w:t>
      </w:r>
      <w:r>
        <w:rPr/>
        <w:t>年</w:t>
      </w:r>
      <w:r>
        <w:rPr>
          <w:spacing w:val="-52"/>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月</w:t>
      </w:r>
      <w:r>
        <w:rPr>
          <w:spacing w:val="-53"/>
        </w:rPr>
        <w:t> </w:t>
      </w:r>
      <w:r>
        <w:rPr>
          <w:rFonts w:ascii="Times New Roman" w:hAnsi="Times New Roman" w:cs="Times New Roman" w:eastAsia="Times New Roman" w:hint="default"/>
        </w:rPr>
        <w:t>26</w:t>
      </w:r>
      <w:r>
        <w:rPr>
          <w:rFonts w:ascii="Times New Roman" w:hAnsi="Times New Roman" w:cs="Times New Roman" w:eastAsia="Times New Roman" w:hint="default"/>
          <w:spacing w:val="1"/>
        </w:rPr>
        <w:t> </w:t>
      </w:r>
      <w:r>
        <w:rPr>
          <w:spacing w:val="-5"/>
        </w:rPr>
        <w:t>日召开第七届董事会第二次会议，审议通过了《关于重</w:t>
      </w:r>
    </w:p>
    <w:p>
      <w:pPr>
        <w:pStyle w:val="BodyText"/>
        <w:spacing w:line="240" w:lineRule="auto"/>
        <w:ind w:right="1682"/>
        <w:jc w:val="left"/>
      </w:pPr>
      <w:r>
        <w:rPr/>
        <w:t>大资产重组购入资产</w:t>
      </w:r>
      <w:r>
        <w:rPr>
          <w:spacing w:val="-55"/>
        </w:rPr>
        <w:t> </w:t>
      </w:r>
      <w:r>
        <w:rPr>
          <w:rFonts w:ascii="Times New Roman" w:hAnsi="Times New Roman" w:cs="Times New Roman" w:eastAsia="Times New Roman" w:hint="default"/>
        </w:rPr>
        <w:t>2017</w:t>
      </w:r>
      <w:r>
        <w:rPr>
          <w:rFonts w:ascii="Times New Roman" w:hAnsi="Times New Roman" w:cs="Times New Roman" w:eastAsia="Times New Roman" w:hint="default"/>
          <w:spacing w:val="-2"/>
        </w:rPr>
        <w:t> </w:t>
      </w:r>
      <w:r>
        <w:rPr/>
        <w:t>年度业绩承诺实现情况及业绩补偿方案的议案》和</w:t>
      </w:r>
    </w:p>
    <w:p>
      <w:pPr>
        <w:pStyle w:val="BodyText"/>
        <w:spacing w:line="240" w:lineRule="auto"/>
        <w:ind w:right="1682"/>
        <w:jc w:val="left"/>
      </w:pPr>
      <w:r>
        <w:rPr/>
        <w:t>《提请股东大会授权董事会全权办理补偿股份回购</w:t>
      </w:r>
      <w:r>
        <w:rPr>
          <w:spacing w:val="-104"/>
        </w:rPr>
        <w:t>、</w:t>
      </w:r>
      <w:r>
        <w:rPr/>
        <w:t>注销相关事宜并因注册资</w:t>
      </w:r>
    </w:p>
    <w:p>
      <w:pPr>
        <w:spacing w:after="0" w:line="240" w:lineRule="auto"/>
        <w:jc w:val="left"/>
        <w:sectPr>
          <w:pgSz w:w="11910" w:h="16840"/>
          <w:pgMar w:header="0" w:footer="1001" w:top="1520" w:bottom="1200" w:left="1660" w:right="0"/>
        </w:sectPr>
      </w:pPr>
    </w:p>
    <w:p>
      <w:pPr>
        <w:spacing w:line="240" w:lineRule="auto" w:before="8"/>
        <w:rPr>
          <w:rFonts w:ascii="宋体" w:hAnsi="宋体" w:cs="宋体" w:eastAsia="宋体" w:hint="default"/>
          <w:sz w:val="13"/>
          <w:szCs w:val="13"/>
        </w:rPr>
      </w:pPr>
    </w:p>
    <w:p>
      <w:pPr>
        <w:pStyle w:val="BodyText"/>
        <w:spacing w:line="340" w:lineRule="auto" w:before="35"/>
        <w:ind w:right="1683"/>
        <w:jc w:val="left"/>
      </w:pPr>
      <w:r>
        <w:rPr>
          <w:spacing w:val="-4"/>
        </w:rPr>
        <w:t>本变更修订</w:t>
      </w:r>
      <w:r>
        <w:rPr>
          <w:rFonts w:ascii="Times New Roman" w:hAnsi="Times New Roman" w:cs="Times New Roman" w:eastAsia="Times New Roman" w:hint="default"/>
          <w:spacing w:val="-4"/>
        </w:rPr>
        <w:t>&lt;</w:t>
      </w:r>
      <w:r>
        <w:rPr>
          <w:spacing w:val="-4"/>
        </w:rPr>
        <w:t>公司章程</w:t>
      </w:r>
      <w:r>
        <w:rPr>
          <w:rFonts w:ascii="Times New Roman" w:hAnsi="Times New Roman" w:cs="Times New Roman" w:eastAsia="Times New Roman" w:hint="default"/>
          <w:spacing w:val="-4"/>
        </w:rPr>
        <w:t>&gt;</w:t>
      </w:r>
      <w:r>
        <w:rPr>
          <w:spacing w:val="-4"/>
        </w:rPr>
        <w:t>》，因公司重大资产重组购入资产北京圣非凡电子系统</w:t>
      </w:r>
      <w:r>
        <w:rPr>
          <w:spacing w:val="-97"/>
        </w:rPr>
        <w:t> </w:t>
      </w:r>
      <w:r>
        <w:rPr>
          <w:spacing w:val="-97"/>
        </w:rPr>
      </w:r>
      <w:r>
        <w:rPr/>
        <w:t>技术开发有限公司</w:t>
      </w:r>
      <w:r>
        <w:rPr>
          <w:spacing w:val="-54"/>
        </w:rPr>
        <w:t> </w:t>
      </w:r>
      <w:r>
        <w:rPr>
          <w:rFonts w:ascii="Times New Roman" w:hAnsi="Times New Roman" w:cs="Times New Roman" w:eastAsia="Times New Roman" w:hint="default"/>
        </w:rPr>
        <w:t>2017</w:t>
      </w:r>
      <w:r>
        <w:rPr>
          <w:rFonts w:ascii="Times New Roman" w:hAnsi="Times New Roman" w:cs="Times New Roman" w:eastAsia="Times New Roman" w:hint="default"/>
          <w:spacing w:val="-2"/>
        </w:rPr>
        <w:t> </w:t>
      </w:r>
      <w:r>
        <w:rPr/>
        <w:t>年度扣除非经常性损益归属于母公司所有者的净利润 </w:t>
      </w:r>
      <w:r>
        <w:rPr>
          <w:spacing w:val="-4"/>
        </w:rPr>
        <w:t>未达业绩承诺，资产注入方中国电子信息产业集团有限公司需向公司进行股份</w:t>
      </w:r>
      <w:r>
        <w:rPr>
          <w:spacing w:val="-73"/>
        </w:rPr>
        <w:t> </w:t>
      </w:r>
      <w:r>
        <w:rPr>
          <w:spacing w:val="-73"/>
        </w:rPr>
      </w:r>
      <w:r>
        <w:rPr>
          <w:spacing w:val="-12"/>
        </w:rPr>
        <w:t>补偿，根据双方签署的《盈利预测补偿协议》、《盈利预测补偿协议之补充协议》</w:t>
      </w:r>
      <w:r>
        <w:rPr>
          <w:spacing w:val="-94"/>
        </w:rPr>
        <w:t> </w:t>
      </w:r>
      <w:r>
        <w:rPr>
          <w:spacing w:val="-94"/>
        </w:rPr>
      </w:r>
      <w:r>
        <w:rPr/>
        <w:t>约定，公司以</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元的价格回购中国电子信息产业集团有限公司</w:t>
      </w:r>
      <w:r>
        <w:rPr>
          <w:spacing w:val="-55"/>
        </w:rPr>
        <w:t> </w:t>
      </w:r>
      <w:r>
        <w:rPr>
          <w:rFonts w:ascii="Times New Roman" w:hAnsi="Times New Roman" w:cs="Times New Roman" w:eastAsia="Times New Roman" w:hint="default"/>
        </w:rPr>
        <w:t>7,903,899</w:t>
      </w:r>
      <w:r>
        <w:rPr>
          <w:rFonts w:ascii="Times New Roman" w:hAnsi="Times New Roman" w:cs="Times New Roman" w:eastAsia="Times New Roman" w:hint="default"/>
          <w:spacing w:val="-2"/>
        </w:rPr>
        <w:t> </w:t>
      </w:r>
      <w:r>
        <w:rPr/>
        <w:t>股并</w:t>
      </w:r>
    </w:p>
    <w:p>
      <w:pPr>
        <w:pStyle w:val="BodyText"/>
        <w:spacing w:line="328" w:lineRule="auto" w:before="11"/>
        <w:ind w:right="1786"/>
        <w:jc w:val="left"/>
      </w:pPr>
      <w:r>
        <w:rPr/>
        <w:t>注销，回购的股份已于</w:t>
      </w:r>
      <w:r>
        <w:rPr>
          <w:spacing w:val="-54"/>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8</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8</w:t>
      </w:r>
      <w:r>
        <w:rPr>
          <w:rFonts w:ascii="Times New Roman" w:hAnsi="Times New Roman" w:cs="Times New Roman" w:eastAsia="Times New Roman" w:hint="default"/>
          <w:spacing w:val="-2"/>
        </w:rPr>
        <w:t> </w:t>
      </w:r>
      <w:r>
        <w:rPr/>
        <w:t>日在中国证券登记结算有限责任公司深 圳分公司完成注销手续。</w:t>
      </w:r>
    </w:p>
    <w:p>
      <w:pPr>
        <w:pStyle w:val="BodyText"/>
        <w:spacing w:line="240" w:lineRule="auto" w:before="48"/>
        <w:ind w:right="1793"/>
        <w:jc w:val="left"/>
      </w:pPr>
      <w:r>
        <w:rPr>
          <w:rFonts w:ascii="Times New Roman" w:hAnsi="Times New Roman" w:cs="Times New Roman" w:eastAsia="Times New Roman" w:hint="default"/>
        </w:rPr>
        <w:t>2018</w:t>
      </w:r>
      <w:r>
        <w:rPr>
          <w:rFonts w:ascii="Times New Roman" w:hAnsi="Times New Roman" w:cs="Times New Roman" w:eastAsia="Times New Roman" w:hint="default"/>
          <w:spacing w:val="-3"/>
        </w:rPr>
        <w:t> </w:t>
      </w:r>
      <w:r>
        <w:rPr/>
        <w:t>年，公司重大资产重组购入资产北京圣非凡电子系统技术开发有限公司</w:t>
      </w:r>
    </w:p>
    <w:p>
      <w:pPr>
        <w:pStyle w:val="BodyText"/>
        <w:spacing w:line="240" w:lineRule="auto"/>
        <w:ind w:right="1793"/>
        <w:jc w:val="left"/>
      </w:pPr>
      <w:r>
        <w:rPr>
          <w:rFonts w:ascii="Times New Roman" w:hAnsi="Times New Roman" w:cs="Times New Roman" w:eastAsia="Times New Roman" w:hint="default"/>
        </w:rPr>
        <w:t>2018</w:t>
      </w:r>
      <w:r>
        <w:rPr>
          <w:rFonts w:ascii="Times New Roman" w:hAnsi="Times New Roman" w:cs="Times New Roman" w:eastAsia="Times New Roman" w:hint="default"/>
          <w:spacing w:val="-3"/>
        </w:rPr>
        <w:t> </w:t>
      </w:r>
      <w:r>
        <w:rPr/>
        <w:t>年度扣除非经常性损益归属于母公司所有者的净利润未达业绩承诺，根</w:t>
      </w:r>
    </w:p>
    <w:p>
      <w:pPr>
        <w:pStyle w:val="BodyText"/>
        <w:spacing w:line="340" w:lineRule="auto"/>
        <w:ind w:right="1780"/>
        <w:jc w:val="left"/>
      </w:pPr>
      <w:r>
        <w:rPr>
          <w:spacing w:val="-8"/>
        </w:rPr>
        <w:t>据协议条款的约定，公司有权以</w:t>
      </w:r>
      <w:r>
        <w:rPr>
          <w:spacing w:val="-42"/>
        </w:rPr>
        <w:t> </w:t>
      </w:r>
      <w:r>
        <w:rPr>
          <w:rFonts w:ascii="Times New Roman" w:hAnsi="Times New Roman" w:cs="Times New Roman" w:eastAsia="Times New Roman" w:hint="default"/>
        </w:rPr>
        <w:t>1</w:t>
      </w:r>
      <w:r>
        <w:rPr>
          <w:rFonts w:ascii="Times New Roman" w:hAnsi="Times New Roman" w:cs="Times New Roman" w:eastAsia="Times New Roman" w:hint="default"/>
          <w:spacing w:val="11"/>
        </w:rPr>
        <w:t> </w:t>
      </w:r>
      <w:r>
        <w:rPr>
          <w:spacing w:val="-1"/>
        </w:rPr>
        <w:t>元的总价格回购中国电子信息产业集团有限</w:t>
      </w:r>
      <w:r>
        <w:rPr>
          <w:spacing w:val="-103"/>
        </w:rPr>
        <w:t> </w:t>
      </w:r>
      <w:r>
        <w:rPr>
          <w:spacing w:val="-103"/>
        </w:rPr>
      </w:r>
      <w:r>
        <w:rPr/>
        <w:t>公司持有的本公司部分股份。本公司据此在报告期内确认了库存股 </w:t>
      </w:r>
      <w:r>
        <w:rPr>
          <w:rFonts w:ascii="Times New Roman" w:hAnsi="Times New Roman" w:cs="Times New Roman" w:eastAsia="Times New Roman" w:hint="default"/>
        </w:rPr>
        <w:t>7,983,507.00</w:t>
      </w:r>
      <w:r>
        <w:rPr>
          <w:rFonts w:ascii="Times New Roman" w:hAnsi="Times New Roman" w:cs="Times New Roman" w:eastAsia="Times New Roman" w:hint="default"/>
          <w:spacing w:val="-7"/>
        </w:rPr>
        <w:t> </w:t>
      </w:r>
      <w:r>
        <w:rPr/>
        <w:t>股。</w:t>
      </w:r>
    </w:p>
    <w:p>
      <w:pPr>
        <w:spacing w:line="240" w:lineRule="auto" w:before="6"/>
        <w:rPr>
          <w:rFonts w:ascii="宋体" w:hAnsi="宋体" w:cs="宋体" w:eastAsia="宋体" w:hint="default"/>
          <w:sz w:val="31"/>
          <w:szCs w:val="31"/>
        </w:rPr>
      </w:pPr>
    </w:p>
    <w:p>
      <w:pPr>
        <w:pStyle w:val="BodyText"/>
        <w:spacing w:line="340" w:lineRule="auto" w:before="0"/>
        <w:ind w:right="1780"/>
        <w:jc w:val="left"/>
      </w:pPr>
      <w:r>
        <w:rPr/>
        <w:t>（</w:t>
      </w:r>
      <w:r>
        <w:rPr>
          <w:rFonts w:ascii="Times New Roman" w:hAnsi="Times New Roman" w:cs="Times New Roman" w:eastAsia="Times New Roman" w:hint="default"/>
        </w:rPr>
        <w:t>7</w:t>
      </w:r>
      <w:r>
        <w:rPr/>
        <w:t>）向中国电子信息产业集团有限公司申请委托贷款并涉及房产抵押担保 </w:t>
      </w:r>
      <w:r>
        <w:rPr>
          <w:rFonts w:ascii="Times New Roman" w:hAnsi="Times New Roman" w:cs="Times New Roman" w:eastAsia="Times New Roman" w:hint="default"/>
        </w:rPr>
        <w:t>2018</w:t>
      </w:r>
      <w:r>
        <w:rPr>
          <w:rFonts w:ascii="Times New Roman" w:hAnsi="Times New Roman" w:cs="Times New Roman" w:eastAsia="Times New Roman" w:hint="default"/>
          <w:spacing w:val="-2"/>
        </w:rPr>
        <w:t> </w:t>
      </w:r>
      <w:r>
        <w:rPr/>
        <w:t>年</w:t>
      </w:r>
      <w:r>
        <w:rPr>
          <w:spacing w:val="-55"/>
        </w:rPr>
        <w:t> </w:t>
      </w:r>
      <w:r>
        <w:rPr>
          <w:rFonts w:ascii="Times New Roman" w:hAnsi="Times New Roman" w:cs="Times New Roman" w:eastAsia="Times New Roman" w:hint="default"/>
          <w:spacing w:val="-4"/>
        </w:rPr>
        <w:t>11</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26</w:t>
      </w:r>
      <w:r>
        <w:rPr>
          <w:rFonts w:ascii="Times New Roman" w:hAnsi="Times New Roman" w:cs="Times New Roman" w:eastAsia="Times New Roman" w:hint="default"/>
          <w:spacing w:val="-1"/>
        </w:rPr>
        <w:t> </w:t>
      </w:r>
      <w:r>
        <w:rPr/>
        <w:t>日公司第七届董事会第十次会议审议通过公司向控股股东及 实际控制人中国电子信息产业集团有限公司以自有房产抵押担保的方式申请 </w:t>
      </w:r>
      <w:r>
        <w:rPr>
          <w:rFonts w:ascii="Times New Roman" w:hAnsi="Times New Roman" w:cs="Times New Roman" w:eastAsia="Times New Roman" w:hint="default"/>
        </w:rPr>
        <w:t>10.00</w:t>
      </w:r>
      <w:r>
        <w:rPr>
          <w:rFonts w:ascii="Times New Roman" w:hAnsi="Times New Roman" w:cs="Times New Roman" w:eastAsia="Times New Roman" w:hint="default"/>
          <w:spacing w:val="-4"/>
        </w:rPr>
        <w:t> </w:t>
      </w:r>
      <w:r>
        <w:rPr/>
        <w:t>亿元委托贷款；中国电子信息产业集团有限公司将委托中国电子财务有 </w:t>
      </w:r>
      <w:r>
        <w:rPr>
          <w:spacing w:val="-4"/>
        </w:rPr>
        <w:t>限责任公司向公司分批发放委托贷款，贷款期限三年，委托贷款利率为人民银</w:t>
      </w:r>
      <w:r>
        <w:rPr>
          <w:spacing w:val="-73"/>
        </w:rPr>
        <w:t> </w:t>
      </w:r>
      <w:r>
        <w:rPr>
          <w:spacing w:val="-73"/>
        </w:rPr>
      </w:r>
      <w:r>
        <w:rPr/>
        <w:t>行公布的同期贷款基准利率下浮</w:t>
      </w:r>
      <w:r>
        <w:rPr>
          <w:spacing w:val="-56"/>
        </w:rPr>
        <w:t> </w:t>
      </w:r>
      <w:r>
        <w:rPr>
          <w:rFonts w:ascii="Times New Roman" w:hAnsi="Times New Roman" w:cs="Times New Roman" w:eastAsia="Times New Roman" w:hint="default"/>
        </w:rPr>
        <w:t>10.00%</w:t>
      </w:r>
      <w:r>
        <w:rPr/>
        <w:t>。就委托贷款事项，公司拟与中国电 </w:t>
      </w:r>
      <w:r>
        <w:rPr>
          <w:spacing w:val="-4"/>
        </w:rPr>
        <w:t>子信息产业集团有限公司、中国电子财务有限责任公司签署《委托贷款借款合</w:t>
      </w:r>
      <w:r>
        <w:rPr>
          <w:spacing w:val="-73"/>
        </w:rPr>
        <w:t> </w:t>
      </w:r>
      <w:r>
        <w:rPr>
          <w:spacing w:val="-73"/>
        </w:rPr>
      </w:r>
      <w:r>
        <w:rPr>
          <w:spacing w:val="-4"/>
        </w:rPr>
        <w:t>同》；就抵押担保事项，公司拟与中国电子信息产业集团有限公司签署《抵押</w:t>
      </w:r>
      <w:r>
        <w:rPr>
          <w:spacing w:val="-76"/>
        </w:rPr>
        <w:t> </w:t>
      </w:r>
      <w:r>
        <w:rPr>
          <w:spacing w:val="-76"/>
        </w:rPr>
      </w:r>
      <w:r>
        <w:rPr>
          <w:spacing w:val="-27"/>
        </w:rPr>
        <w:t>合同》。</w:t>
      </w:r>
    </w:p>
    <w:p>
      <w:pPr>
        <w:spacing w:line="240" w:lineRule="auto" w:before="0"/>
        <w:rPr>
          <w:rFonts w:ascii="宋体" w:hAnsi="宋体" w:cs="宋体" w:eastAsia="宋体" w:hint="default"/>
          <w:sz w:val="20"/>
          <w:szCs w:val="20"/>
        </w:rPr>
      </w:pPr>
    </w:p>
    <w:p>
      <w:pPr>
        <w:pStyle w:val="Heading5"/>
        <w:tabs>
          <w:tab w:pos="851" w:val="left" w:leader="none"/>
        </w:tabs>
        <w:spacing w:line="240" w:lineRule="auto" w:before="175"/>
        <w:ind w:right="3681"/>
        <w:jc w:val="left"/>
        <w:rPr>
          <w:b w:val="0"/>
          <w:bCs w:val="0"/>
        </w:rPr>
      </w:pPr>
      <w:r>
        <w:rPr>
          <w:rFonts w:ascii="Times New Roman" w:hAnsi="Times New Roman" w:cs="Times New Roman" w:eastAsia="Times New Roman" w:hint="default"/>
          <w:w w:val="95"/>
        </w:rPr>
        <w:t>(</w:t>
      </w:r>
      <w:r>
        <w:rPr>
          <w:w w:val="95"/>
        </w:rPr>
        <w:t>六</w:t>
      </w:r>
      <w:r>
        <w:rPr>
          <w:rFonts w:ascii="Times New Roman" w:hAnsi="Times New Roman" w:cs="Times New Roman" w:eastAsia="Times New Roman" w:hint="default"/>
          <w:w w:val="95"/>
        </w:rPr>
        <w:t>)</w:t>
        <w:tab/>
      </w:r>
      <w:r>
        <w:rPr/>
        <w:t>关联方应收应付款项</w:t>
      </w:r>
      <w:r>
        <w:rPr>
          <w:b w:val="0"/>
          <w:bCs w:val="0"/>
        </w:rPr>
      </w:r>
    </w:p>
    <w:p>
      <w:pPr>
        <w:pStyle w:val="Heading5"/>
        <w:tabs>
          <w:tab w:pos="1397" w:val="left" w:leader="none"/>
        </w:tabs>
        <w:spacing w:line="240" w:lineRule="auto" w:before="109"/>
        <w:ind w:left="846" w:right="3681"/>
        <w:jc w:val="left"/>
        <w:rPr>
          <w:b w:val="0"/>
          <w:bCs w:val="0"/>
        </w:rPr>
      </w:pPr>
      <w:r>
        <w:rPr/>
        <w:pict>
          <v:group style="position:absolute;margin-left:119.010002pt;margin-top:20.826473pt;width:412.15pt;height:185.2pt;mso-position-horizontal-relative:page;mso-position-vertical-relative:paragraph;z-index:-1364200" coordorigin="2380,417" coordsize="8243,3704">
            <v:group style="position:absolute;left:2410;top:432;width:1241;height:2" coordorigin="2410,432" coordsize="1241,2">
              <v:shape style="position:absolute;left:2410;top:432;width:1241;height:2" coordorigin="2410,432" coordsize="1241,0" path="m2410,432l3650,432e" filled="false" stroked="true" strokeweight="1.5pt" strokecolor="#000000">
                <v:path arrowok="t"/>
              </v:shape>
              <v:shape style="position:absolute;left:3650;top:447;width:10;height:28" type="#_x0000_t75" stroked="false">
                <v:imagedata r:id="rId39" o:title=""/>
              </v:shape>
            </v:group>
            <v:group style="position:absolute;left:3650;top:432;width:1692;height:2" coordorigin="3650,432" coordsize="1692,2">
              <v:shape style="position:absolute;left:3650;top:432;width:1692;height:2" coordorigin="3650,432" coordsize="1692,0" path="m3650,432l5342,432e" filled="false" stroked="true" strokeweight="1.5pt" strokecolor="#000000">
                <v:path arrowok="t"/>
              </v:shape>
              <v:shape style="position:absolute;left:5342;top:447;width:10;height:28" type="#_x0000_t75" stroked="false">
                <v:imagedata r:id="rId39" o:title=""/>
              </v:shape>
            </v:group>
            <v:group style="position:absolute;left:5342;top:432;width:2616;height:2" coordorigin="5342,432" coordsize="2616,2">
              <v:shape style="position:absolute;left:5342;top:432;width:2616;height:2" coordorigin="5342,432" coordsize="2616,0" path="m5342,432l7958,432e" filled="false" stroked="true" strokeweight="1.5pt" strokecolor="#000000">
                <v:path arrowok="t"/>
              </v:shape>
              <v:shape style="position:absolute;left:7958;top:447;width:10;height:28" type="#_x0000_t75" stroked="false">
                <v:imagedata r:id="rId39" o:title=""/>
              </v:shape>
            </v:group>
            <v:group style="position:absolute;left:7958;top:432;width:2639;height:2" coordorigin="7958,432" coordsize="2639,2">
              <v:shape style="position:absolute;left:7958;top:432;width:2639;height:2" coordorigin="7958,432" coordsize="2639,0" path="m7958,432l10597,432e" filled="false" stroked="true" strokeweight="1.5pt" strokecolor="#000000">
                <v:path arrowok="t"/>
              </v:shape>
              <v:shape style="position:absolute;left:3631;top:455;width:4356;height:354" type="#_x0000_t75" stroked="false">
                <v:imagedata r:id="rId451" o:title=""/>
              </v:shape>
              <v:shape style="position:absolute;left:3631;top:771;width:6991;height:392" type="#_x0000_t75" stroked="false">
                <v:imagedata r:id="rId452" o:title=""/>
              </v:shape>
            </v:group>
            <v:group style="position:absolute;left:2395;top:4105;width:1256;height:2" coordorigin="2395,4105" coordsize="1256,2">
              <v:shape style="position:absolute;left:2395;top:4105;width:1256;height:2" coordorigin="2395,4105" coordsize="1256,0" path="m2395,4105l3650,4105e" filled="false" stroked="true" strokeweight="1.5pt" strokecolor="#000000">
                <v:path arrowok="t"/>
              </v:shape>
            </v:group>
            <v:group style="position:absolute;left:3650;top:4105;width:1692;height:2" coordorigin="3650,4105" coordsize="1692,2">
              <v:shape style="position:absolute;left:3650;top:4105;width:1692;height:2" coordorigin="3650,4105" coordsize="1692,0" path="m3650,4105l5342,4105e" filled="false" stroked="true" strokeweight="1.5pt" strokecolor="#000000">
                <v:path arrowok="t"/>
              </v:shape>
            </v:group>
            <v:group style="position:absolute;left:5342;top:4105;width:1312;height:2" coordorigin="5342,4105" coordsize="1312,2">
              <v:shape style="position:absolute;left:5342;top:4105;width:1312;height:2" coordorigin="5342,4105" coordsize="1312,0" path="m5342,4105l6654,4105e" filled="false" stroked="true" strokeweight="1.5pt" strokecolor="#000000">
                <v:path arrowok="t"/>
              </v:shape>
            </v:group>
            <v:group style="position:absolute;left:6654;top:4105;width:1305;height:2" coordorigin="6654,4105" coordsize="1305,2">
              <v:shape style="position:absolute;left:6654;top:4105;width:1305;height:2" coordorigin="6654,4105" coordsize="1305,0" path="m6654,4105l7958,4105e" filled="false" stroked="true" strokeweight="1.5pt" strokecolor="#000000">
                <v:path arrowok="t"/>
              </v:shape>
            </v:group>
            <v:group style="position:absolute;left:7958;top:4105;width:1330;height:2" coordorigin="7958,4105" coordsize="1330,2">
              <v:shape style="position:absolute;left:7958;top:4105;width:1330;height:2" coordorigin="7958,4105" coordsize="1330,0" path="m7958,4105l9288,4105e" filled="false" stroked="true" strokeweight="1.5pt" strokecolor="#000000">
                <v:path arrowok="t"/>
              </v:shape>
              <v:shape style="position:absolute;left:2390;top:1125;width:8232;height:2965" type="#_x0000_t75" stroked="false">
                <v:imagedata r:id="rId453" o:title=""/>
              </v:shape>
            </v:group>
            <v:group style="position:absolute;left:9288;top:4105;width:1310;height:2" coordorigin="9288,4105" coordsize="1310,2">
              <v:shape style="position:absolute;left:9288;top:4105;width:1310;height:2" coordorigin="9288,4105" coordsize="1310,0" path="m9288,4105l10597,4105e" filled="false" stroked="true" strokeweight="1.5pt" strokecolor="#000000">
                <v:path arrowok="t"/>
              </v:shape>
              <v:shape style="position:absolute;left:6335;top:537;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8960;top:537;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年初余额</w:t>
                      </w:r>
                      <w:r>
                        <w:rPr>
                          <w:rFonts w:ascii="宋体" w:hAnsi="宋体" w:cs="宋体" w:eastAsia="宋体" w:hint="default"/>
                          <w:sz w:val="16"/>
                          <w:szCs w:val="16"/>
                        </w:rPr>
                      </w:r>
                    </w:p>
                  </w:txbxContent>
                </v:textbox>
                <w10:wrap type="none"/>
              </v:shape>
              <v:shape style="position:absolute;left:2712;top:714;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项目名称</w:t>
                      </w:r>
                      <w:r>
                        <w:rPr>
                          <w:rFonts w:ascii="宋体" w:hAnsi="宋体" w:cs="宋体" w:eastAsia="宋体" w:hint="default"/>
                          <w:sz w:val="16"/>
                          <w:szCs w:val="16"/>
                        </w:rPr>
                      </w:r>
                    </w:p>
                  </w:txbxContent>
                </v:textbox>
                <w10:wrap type="none"/>
              </v:shape>
              <v:shape style="position:absolute;left:4260;top:714;width:4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关联方</w:t>
                      </w:r>
                      <w:r>
                        <w:rPr>
                          <w:rFonts w:ascii="宋体" w:hAnsi="宋体" w:cs="宋体" w:eastAsia="宋体" w:hint="default"/>
                          <w:sz w:val="16"/>
                          <w:szCs w:val="16"/>
                        </w:rPr>
                      </w:r>
                    </w:p>
                  </w:txbxContent>
                </v:textbox>
                <w10:wrap type="none"/>
              </v:shape>
              <v:shape style="position:absolute;left:2518;top:1244;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应收账款</w:t>
                      </w:r>
                      <w:r>
                        <w:rPr>
                          <w:rFonts w:ascii="宋体" w:hAnsi="宋体" w:cs="宋体" w:eastAsia="宋体" w:hint="default"/>
                          <w:sz w:val="16"/>
                          <w:szCs w:val="16"/>
                        </w:rPr>
                      </w:r>
                    </w:p>
                  </w:txbxContent>
                </v:textbox>
                <w10:wrap type="none"/>
              </v:shape>
              <v:shape style="position:absolute;left:3762;top:1598;width:1481;height:2422"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spacing w:val="4"/>
                          <w:sz w:val="16"/>
                          <w:szCs w:val="16"/>
                        </w:rPr>
                        <w:t>中国软件与技术服务</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股份有限公司</w:t>
                      </w:r>
                    </w:p>
                    <w:p>
                      <w:pPr>
                        <w:spacing w:before="143"/>
                        <w:ind w:left="0" w:right="0" w:firstLine="0"/>
                        <w:jc w:val="left"/>
                        <w:rPr>
                          <w:rFonts w:ascii="宋体" w:hAnsi="宋体" w:cs="宋体" w:eastAsia="宋体" w:hint="default"/>
                          <w:sz w:val="16"/>
                          <w:szCs w:val="16"/>
                        </w:rPr>
                      </w:pPr>
                      <w:r>
                        <w:rPr>
                          <w:rFonts w:ascii="宋体" w:hAnsi="宋体" w:cs="宋体" w:eastAsia="宋体" w:hint="default"/>
                          <w:spacing w:val="4"/>
                          <w:sz w:val="16"/>
                          <w:szCs w:val="16"/>
                        </w:rPr>
                        <w:t>长信数码信息文化发</w:t>
                      </w:r>
                      <w:r>
                        <w:rPr>
                          <w:rFonts w:ascii="宋体" w:hAnsi="宋体" w:cs="宋体" w:eastAsia="宋体" w:hint="default"/>
                          <w:spacing w:val="4"/>
                          <w:w w:val="99"/>
                          <w:sz w:val="16"/>
                          <w:szCs w:val="16"/>
                        </w:rPr>
                        <w:t> </w:t>
                      </w:r>
                      <w:r>
                        <w:rPr>
                          <w:rFonts w:ascii="宋体" w:hAnsi="宋体" w:cs="宋体" w:eastAsia="宋体" w:hint="default"/>
                          <w:sz w:val="16"/>
                          <w:szCs w:val="16"/>
                        </w:rPr>
                        <w:t>展有限公司</w:t>
                      </w:r>
                    </w:p>
                    <w:p>
                      <w:pPr>
                        <w:spacing w:before="143"/>
                        <w:ind w:left="0" w:right="0" w:firstLine="0"/>
                        <w:jc w:val="left"/>
                        <w:rPr>
                          <w:rFonts w:ascii="宋体" w:hAnsi="宋体" w:cs="宋体" w:eastAsia="宋体" w:hint="default"/>
                          <w:sz w:val="16"/>
                          <w:szCs w:val="16"/>
                        </w:rPr>
                      </w:pPr>
                      <w:r>
                        <w:rPr>
                          <w:rFonts w:ascii="宋体" w:hAnsi="宋体" w:cs="宋体" w:eastAsia="宋体" w:hint="default"/>
                          <w:spacing w:val="4"/>
                          <w:sz w:val="16"/>
                          <w:szCs w:val="16"/>
                        </w:rPr>
                        <w:t>中国电子进出口有限</w:t>
                      </w:r>
                      <w:r>
                        <w:rPr>
                          <w:rFonts w:ascii="宋体" w:hAnsi="宋体" w:cs="宋体" w:eastAsia="宋体" w:hint="default"/>
                          <w:spacing w:val="4"/>
                          <w:w w:val="99"/>
                          <w:sz w:val="16"/>
                          <w:szCs w:val="16"/>
                        </w:rPr>
                        <w:t> </w:t>
                      </w:r>
                      <w:r>
                        <w:rPr>
                          <w:rFonts w:ascii="宋体" w:hAnsi="宋体" w:cs="宋体" w:eastAsia="宋体" w:hint="default"/>
                          <w:sz w:val="16"/>
                          <w:szCs w:val="16"/>
                        </w:rPr>
                        <w:t>公司</w:t>
                      </w:r>
                    </w:p>
                    <w:p>
                      <w:pPr>
                        <w:spacing w:before="143"/>
                        <w:ind w:left="0" w:right="0" w:firstLine="0"/>
                        <w:jc w:val="left"/>
                        <w:rPr>
                          <w:rFonts w:ascii="宋体" w:hAnsi="宋体" w:cs="宋体" w:eastAsia="宋体" w:hint="default"/>
                          <w:sz w:val="16"/>
                          <w:szCs w:val="16"/>
                        </w:rPr>
                      </w:pPr>
                      <w:r>
                        <w:rPr>
                          <w:rFonts w:ascii="宋体" w:hAnsi="宋体" w:cs="宋体" w:eastAsia="宋体" w:hint="default"/>
                          <w:spacing w:val="4"/>
                          <w:sz w:val="16"/>
                          <w:szCs w:val="16"/>
                        </w:rPr>
                        <w:t>中软信息系统工程有</w:t>
                      </w:r>
                      <w:r>
                        <w:rPr>
                          <w:rFonts w:ascii="宋体" w:hAnsi="宋体" w:cs="宋体" w:eastAsia="宋体" w:hint="default"/>
                          <w:spacing w:val="4"/>
                          <w:w w:val="99"/>
                          <w:sz w:val="16"/>
                          <w:szCs w:val="16"/>
                        </w:rPr>
                        <w:t> </w:t>
                      </w:r>
                      <w:r>
                        <w:rPr>
                          <w:rFonts w:ascii="宋体" w:hAnsi="宋体" w:cs="宋体" w:eastAsia="宋体" w:hint="default"/>
                          <w:sz w:val="16"/>
                          <w:szCs w:val="16"/>
                        </w:rPr>
                        <w:t>限公司</w:t>
                      </w:r>
                    </w:p>
                    <w:p>
                      <w:pPr>
                        <w:spacing w:line="240" w:lineRule="auto" w:before="4"/>
                        <w:rPr>
                          <w:rFonts w:ascii="宋体" w:hAnsi="宋体" w:cs="宋体" w:eastAsia="宋体" w:hint="default"/>
                          <w:b/>
                          <w:bCs/>
                          <w:sz w:val="12"/>
                          <w:szCs w:val="12"/>
                        </w:rPr>
                      </w:pPr>
                    </w:p>
                    <w:p>
                      <w:pPr>
                        <w:spacing w:before="0"/>
                        <w:ind w:left="0" w:right="0" w:firstLine="0"/>
                        <w:jc w:val="left"/>
                        <w:rPr>
                          <w:rFonts w:ascii="宋体" w:hAnsi="宋体" w:cs="宋体" w:eastAsia="宋体" w:hint="default"/>
                          <w:sz w:val="16"/>
                          <w:szCs w:val="16"/>
                        </w:rPr>
                      </w:pPr>
                      <w:r>
                        <w:rPr>
                          <w:rFonts w:ascii="宋体" w:hAnsi="宋体" w:cs="宋体" w:eastAsia="宋体" w:hint="default"/>
                          <w:spacing w:val="4"/>
                          <w:sz w:val="16"/>
                          <w:szCs w:val="16"/>
                        </w:rPr>
                        <w:t>南京中电熊猫液晶显</w:t>
                      </w:r>
                      <w:r>
                        <w:rPr>
                          <w:rFonts w:ascii="宋体" w:hAnsi="宋体" w:cs="宋体" w:eastAsia="宋体" w:hint="default"/>
                          <w:sz w:val="16"/>
                          <w:szCs w:val="16"/>
                        </w:rPr>
                      </w:r>
                    </w:p>
                  </w:txbxContent>
                </v:textbox>
                <w10:wrap type="none"/>
              </v:shape>
            </v:group>
            <w10:wrap type="none"/>
          </v:group>
        </w:pict>
      </w:r>
      <w:r>
        <w:rPr>
          <w:rFonts w:ascii="Times New Roman" w:hAnsi="Times New Roman" w:cs="Times New Roman" w:eastAsia="Times New Roman" w:hint="default"/>
          <w:w w:val="95"/>
        </w:rPr>
        <w:t>1</w:t>
      </w:r>
      <w:r>
        <w:rPr>
          <w:w w:val="95"/>
        </w:rPr>
        <w:t>、</w:t>
        <w:tab/>
      </w:r>
      <w:r>
        <w:rPr>
          <w:spacing w:val="1"/>
        </w:rPr>
        <w:t>应收项目</w:t>
      </w:r>
      <w:r>
        <w:rPr>
          <w:b w:val="0"/>
          <w:bCs w:val="0"/>
        </w:rPr>
      </w: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7"/>
          <w:szCs w:val="17"/>
        </w:rPr>
      </w:pPr>
    </w:p>
    <w:tbl>
      <w:tblPr>
        <w:tblW w:w="0" w:type="auto"/>
        <w:jc w:val="left"/>
        <w:tblInd w:w="3941" w:type="dxa"/>
        <w:tblLayout w:type="fixed"/>
        <w:tblCellMar>
          <w:top w:w="0" w:type="dxa"/>
          <w:left w:w="0" w:type="dxa"/>
          <w:bottom w:w="0" w:type="dxa"/>
          <w:right w:w="0" w:type="dxa"/>
        </w:tblCellMar>
        <w:tblLook w:val="01E0"/>
      </w:tblPr>
      <w:tblGrid>
        <w:gridCol w:w="1144"/>
        <w:gridCol w:w="1313"/>
        <w:gridCol w:w="1320"/>
        <w:gridCol w:w="1180"/>
      </w:tblGrid>
      <w:tr>
        <w:trPr>
          <w:trHeight w:val="1184" w:hRule="exact"/>
        </w:trPr>
        <w:tc>
          <w:tcPr>
            <w:tcW w:w="1144" w:type="dxa"/>
            <w:tcBorders>
              <w:top w:val="nil" w:sz="6" w:space="0" w:color="auto"/>
              <w:left w:val="nil" w:sz="6" w:space="0" w:color="auto"/>
              <w:bottom w:val="nil" w:sz="6" w:space="0" w:color="auto"/>
              <w:right w:val="nil" w:sz="6" w:space="0" w:color="auto"/>
            </w:tcBorders>
          </w:tcPr>
          <w:p>
            <w:pPr>
              <w:pStyle w:val="TableParagraph"/>
              <w:spacing w:line="160" w:lineRule="exact"/>
              <w:ind w:left="81" w:right="0"/>
              <w:jc w:val="left"/>
              <w:rPr>
                <w:rFonts w:ascii="宋体" w:hAnsi="宋体" w:cs="宋体" w:eastAsia="宋体" w:hint="default"/>
                <w:sz w:val="16"/>
                <w:szCs w:val="16"/>
              </w:rPr>
            </w:pPr>
            <w:r>
              <w:rPr>
                <w:rFonts w:ascii="宋体" w:hAnsi="宋体" w:cs="宋体" w:eastAsia="宋体" w:hint="default"/>
                <w:sz w:val="16"/>
                <w:szCs w:val="16"/>
              </w:rPr>
              <w:t>账面余额</w:t>
            </w: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2"/>
              <w:ind w:right="0"/>
              <w:jc w:val="left"/>
              <w:rPr>
                <w:rFonts w:ascii="宋体" w:hAnsi="宋体" w:cs="宋体" w:eastAsia="宋体" w:hint="default"/>
                <w:b/>
                <w:bCs/>
                <w:sz w:val="17"/>
                <w:szCs w:val="17"/>
              </w:rPr>
            </w:pPr>
          </w:p>
          <w:p>
            <w:pPr>
              <w:pStyle w:val="TableParagraph"/>
              <w:spacing w:line="240" w:lineRule="auto"/>
              <w:ind w:left="35" w:right="0"/>
              <w:jc w:val="left"/>
              <w:rPr>
                <w:rFonts w:ascii="Times New Roman" w:hAnsi="Times New Roman" w:cs="Times New Roman" w:eastAsia="Times New Roman" w:hint="default"/>
                <w:sz w:val="16"/>
                <w:szCs w:val="16"/>
              </w:rPr>
            </w:pPr>
            <w:r>
              <w:rPr>
                <w:rFonts w:ascii="Times New Roman"/>
                <w:sz w:val="16"/>
              </w:rPr>
              <w:t>11,865,000.00</w:t>
            </w:r>
          </w:p>
        </w:tc>
        <w:tc>
          <w:tcPr>
            <w:tcW w:w="1313" w:type="dxa"/>
            <w:tcBorders>
              <w:top w:val="nil" w:sz="6" w:space="0" w:color="auto"/>
              <w:left w:val="nil" w:sz="6" w:space="0" w:color="auto"/>
              <w:bottom w:val="nil" w:sz="6" w:space="0" w:color="auto"/>
              <w:right w:val="nil" w:sz="6" w:space="0" w:color="auto"/>
            </w:tcBorders>
          </w:tcPr>
          <w:p>
            <w:pPr>
              <w:pStyle w:val="TableParagraph"/>
              <w:spacing w:line="160" w:lineRule="exact"/>
              <w:ind w:left="244" w:right="0"/>
              <w:jc w:val="left"/>
              <w:rPr>
                <w:rFonts w:ascii="宋体" w:hAnsi="宋体" w:cs="宋体" w:eastAsia="宋体" w:hint="default"/>
                <w:sz w:val="16"/>
                <w:szCs w:val="16"/>
              </w:rPr>
            </w:pPr>
            <w:r>
              <w:rPr>
                <w:rFonts w:ascii="宋体" w:hAnsi="宋体" w:cs="宋体" w:eastAsia="宋体" w:hint="default"/>
                <w:sz w:val="16"/>
                <w:szCs w:val="16"/>
              </w:rPr>
              <w:t>坏账准备</w:t>
            </w: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2"/>
              <w:ind w:right="0"/>
              <w:jc w:val="left"/>
              <w:rPr>
                <w:rFonts w:ascii="宋体" w:hAnsi="宋体" w:cs="宋体" w:eastAsia="宋体" w:hint="default"/>
                <w:b/>
                <w:bCs/>
                <w:sz w:val="17"/>
                <w:szCs w:val="17"/>
              </w:rPr>
            </w:pPr>
          </w:p>
          <w:p>
            <w:pPr>
              <w:pStyle w:val="TableParagraph"/>
              <w:spacing w:line="240" w:lineRule="auto"/>
              <w:ind w:left="468" w:right="0"/>
              <w:jc w:val="left"/>
              <w:rPr>
                <w:rFonts w:ascii="Times New Roman" w:hAnsi="Times New Roman" w:cs="Times New Roman" w:eastAsia="Times New Roman" w:hint="default"/>
                <w:sz w:val="16"/>
                <w:szCs w:val="16"/>
              </w:rPr>
            </w:pPr>
            <w:r>
              <w:rPr>
                <w:rFonts w:ascii="Times New Roman"/>
                <w:sz w:val="16"/>
              </w:rPr>
              <w:t>35,000.00</w:t>
            </w:r>
          </w:p>
        </w:tc>
        <w:tc>
          <w:tcPr>
            <w:tcW w:w="1320" w:type="dxa"/>
            <w:tcBorders>
              <w:top w:val="nil" w:sz="6" w:space="0" w:color="auto"/>
              <w:left w:val="nil" w:sz="6" w:space="0" w:color="auto"/>
              <w:bottom w:val="nil" w:sz="6" w:space="0" w:color="auto"/>
              <w:right w:val="nil" w:sz="6" w:space="0" w:color="auto"/>
            </w:tcBorders>
          </w:tcPr>
          <w:p>
            <w:pPr>
              <w:pStyle w:val="TableParagraph"/>
              <w:spacing w:line="160" w:lineRule="exact"/>
              <w:ind w:left="248" w:right="0"/>
              <w:jc w:val="left"/>
              <w:rPr>
                <w:rFonts w:ascii="宋体" w:hAnsi="宋体" w:cs="宋体" w:eastAsia="宋体" w:hint="default"/>
                <w:sz w:val="16"/>
                <w:szCs w:val="16"/>
              </w:rPr>
            </w:pPr>
            <w:r>
              <w:rPr>
                <w:rFonts w:ascii="宋体" w:hAnsi="宋体" w:cs="宋体" w:eastAsia="宋体" w:hint="default"/>
                <w:sz w:val="16"/>
                <w:szCs w:val="16"/>
              </w:rPr>
              <w:t>账面余额</w:t>
            </w:r>
          </w:p>
        </w:tc>
        <w:tc>
          <w:tcPr>
            <w:tcW w:w="1180" w:type="dxa"/>
            <w:tcBorders>
              <w:top w:val="nil" w:sz="6" w:space="0" w:color="auto"/>
              <w:left w:val="nil" w:sz="6" w:space="0" w:color="auto"/>
              <w:bottom w:val="nil" w:sz="6" w:space="0" w:color="auto"/>
              <w:right w:val="nil" w:sz="6" w:space="0" w:color="auto"/>
            </w:tcBorders>
          </w:tcPr>
          <w:p>
            <w:pPr>
              <w:pStyle w:val="TableParagraph"/>
              <w:spacing w:line="160" w:lineRule="exact"/>
              <w:ind w:left="244" w:right="0"/>
              <w:jc w:val="left"/>
              <w:rPr>
                <w:rFonts w:ascii="宋体" w:hAnsi="宋体" w:cs="宋体" w:eastAsia="宋体" w:hint="default"/>
                <w:sz w:val="16"/>
                <w:szCs w:val="16"/>
              </w:rPr>
            </w:pPr>
            <w:r>
              <w:rPr>
                <w:rFonts w:ascii="宋体" w:hAnsi="宋体" w:cs="宋体" w:eastAsia="宋体" w:hint="default"/>
                <w:sz w:val="16"/>
                <w:szCs w:val="16"/>
              </w:rPr>
              <w:t>坏账准备</w:t>
            </w:r>
          </w:p>
        </w:tc>
      </w:tr>
      <w:tr>
        <w:trPr>
          <w:trHeight w:val="561" w:hRule="exact"/>
        </w:trPr>
        <w:tc>
          <w:tcPr>
            <w:tcW w:w="114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191"/>
              <w:jc w:val="right"/>
              <w:rPr>
                <w:rFonts w:ascii="Times New Roman" w:hAnsi="Times New Roman" w:cs="Times New Roman" w:eastAsia="Times New Roman" w:hint="default"/>
                <w:sz w:val="16"/>
                <w:szCs w:val="16"/>
              </w:rPr>
            </w:pPr>
            <w:r>
              <w:rPr>
                <w:rFonts w:ascii="Times New Roman"/>
                <w:spacing w:val="-1"/>
                <w:sz w:val="16"/>
              </w:rPr>
              <w:t>11,861,278.00</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203"/>
              <w:jc w:val="right"/>
              <w:rPr>
                <w:rFonts w:ascii="Times New Roman" w:hAnsi="Times New Roman" w:cs="Times New Roman" w:eastAsia="Times New Roman" w:hint="default"/>
                <w:sz w:val="16"/>
                <w:szCs w:val="16"/>
              </w:rPr>
            </w:pPr>
            <w:r>
              <w:rPr>
                <w:rFonts w:ascii="Times New Roman"/>
                <w:spacing w:val="-1"/>
                <w:sz w:val="16"/>
              </w:rPr>
              <w:t>11,861,278.00</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210" w:right="0"/>
              <w:jc w:val="left"/>
              <w:rPr>
                <w:rFonts w:ascii="Times New Roman" w:hAnsi="Times New Roman" w:cs="Times New Roman" w:eastAsia="Times New Roman" w:hint="default"/>
                <w:sz w:val="16"/>
                <w:szCs w:val="16"/>
              </w:rPr>
            </w:pPr>
            <w:r>
              <w:rPr>
                <w:rFonts w:ascii="Times New Roman"/>
                <w:sz w:val="16"/>
              </w:rPr>
              <w:t>11,861,278.00</w:t>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68"/>
              <w:jc w:val="right"/>
              <w:rPr>
                <w:rFonts w:ascii="Times New Roman" w:hAnsi="Times New Roman" w:cs="Times New Roman" w:eastAsia="Times New Roman" w:hint="default"/>
                <w:sz w:val="16"/>
                <w:szCs w:val="16"/>
              </w:rPr>
            </w:pPr>
            <w:r>
              <w:rPr>
                <w:rFonts w:ascii="Times New Roman"/>
                <w:spacing w:val="-1"/>
                <w:sz w:val="16"/>
              </w:rPr>
              <w:t>11,861,278.00</w:t>
            </w:r>
          </w:p>
        </w:tc>
      </w:tr>
      <w:tr>
        <w:trPr>
          <w:trHeight w:val="561" w:hRule="exact"/>
        </w:trPr>
        <w:tc>
          <w:tcPr>
            <w:tcW w:w="114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91"/>
              <w:jc w:val="right"/>
              <w:rPr>
                <w:rFonts w:ascii="Times New Roman" w:hAnsi="Times New Roman" w:cs="Times New Roman" w:eastAsia="Times New Roman" w:hint="default"/>
                <w:sz w:val="16"/>
                <w:szCs w:val="16"/>
              </w:rPr>
            </w:pPr>
            <w:r>
              <w:rPr>
                <w:rFonts w:ascii="Times New Roman"/>
                <w:spacing w:val="-1"/>
                <w:sz w:val="16"/>
              </w:rPr>
              <w:t>7,542,727.44</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202"/>
              <w:jc w:val="right"/>
              <w:rPr>
                <w:rFonts w:ascii="Times New Roman" w:hAnsi="Times New Roman" w:cs="Times New Roman" w:eastAsia="Times New Roman" w:hint="default"/>
                <w:sz w:val="16"/>
                <w:szCs w:val="16"/>
              </w:rPr>
            </w:pPr>
            <w:r>
              <w:rPr>
                <w:rFonts w:ascii="Times New Roman"/>
                <w:spacing w:val="-1"/>
                <w:sz w:val="16"/>
              </w:rPr>
              <w:t>377,136.37</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left="209" w:right="0"/>
              <w:jc w:val="left"/>
              <w:rPr>
                <w:rFonts w:ascii="Times New Roman" w:hAnsi="Times New Roman" w:cs="Times New Roman" w:eastAsia="Times New Roman" w:hint="default"/>
                <w:sz w:val="16"/>
                <w:szCs w:val="16"/>
              </w:rPr>
            </w:pPr>
            <w:r>
              <w:rPr>
                <w:rFonts w:ascii="Times New Roman"/>
                <w:sz w:val="16"/>
              </w:rPr>
              <w:t>11,304,057.69</w:t>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68"/>
              <w:jc w:val="right"/>
              <w:rPr>
                <w:rFonts w:ascii="Times New Roman" w:hAnsi="Times New Roman" w:cs="Times New Roman" w:eastAsia="Times New Roman" w:hint="default"/>
                <w:sz w:val="16"/>
                <w:szCs w:val="16"/>
              </w:rPr>
            </w:pPr>
            <w:r>
              <w:rPr>
                <w:rFonts w:ascii="Times New Roman"/>
                <w:spacing w:val="-1"/>
                <w:sz w:val="16"/>
              </w:rPr>
              <w:t>565,202.88</w:t>
            </w:r>
          </w:p>
        </w:tc>
      </w:tr>
      <w:tr>
        <w:trPr>
          <w:trHeight w:val="508" w:hRule="exact"/>
        </w:trPr>
        <w:tc>
          <w:tcPr>
            <w:tcW w:w="114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191"/>
              <w:jc w:val="right"/>
              <w:rPr>
                <w:rFonts w:ascii="Times New Roman" w:hAnsi="Times New Roman" w:cs="Times New Roman" w:eastAsia="Times New Roman" w:hint="default"/>
                <w:sz w:val="16"/>
                <w:szCs w:val="16"/>
              </w:rPr>
            </w:pPr>
            <w:r>
              <w:rPr>
                <w:rFonts w:ascii="Times New Roman"/>
                <w:spacing w:val="-1"/>
                <w:sz w:val="16"/>
              </w:rPr>
              <w:t>7,133,200.00</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202"/>
              <w:jc w:val="right"/>
              <w:rPr>
                <w:rFonts w:ascii="Times New Roman" w:hAnsi="Times New Roman" w:cs="Times New Roman" w:eastAsia="Times New Roman" w:hint="default"/>
                <w:sz w:val="16"/>
                <w:szCs w:val="16"/>
              </w:rPr>
            </w:pPr>
            <w:r>
              <w:rPr>
                <w:rFonts w:ascii="Times New Roman"/>
                <w:spacing w:val="-1"/>
                <w:sz w:val="16"/>
              </w:rPr>
              <w:t>356,660.00</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203" w:right="0"/>
              <w:jc w:val="left"/>
              <w:rPr>
                <w:rFonts w:ascii="Times New Roman" w:hAnsi="Times New Roman" w:cs="Times New Roman" w:eastAsia="Times New Roman" w:hint="default"/>
                <w:sz w:val="16"/>
                <w:szCs w:val="16"/>
              </w:rPr>
            </w:pPr>
            <w:r>
              <w:rPr>
                <w:rFonts w:ascii="Times New Roman"/>
                <w:sz w:val="16"/>
              </w:rPr>
              <w:t>15,307,232.00</w:t>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68"/>
              <w:jc w:val="right"/>
              <w:rPr>
                <w:rFonts w:ascii="Times New Roman" w:hAnsi="Times New Roman" w:cs="Times New Roman" w:eastAsia="Times New Roman" w:hint="default"/>
                <w:sz w:val="16"/>
                <w:szCs w:val="16"/>
              </w:rPr>
            </w:pPr>
            <w:r>
              <w:rPr>
                <w:rFonts w:ascii="Times New Roman"/>
                <w:spacing w:val="-1"/>
                <w:sz w:val="16"/>
              </w:rPr>
              <w:t>765,361.60</w:t>
            </w:r>
          </w:p>
        </w:tc>
      </w:tr>
      <w:tr>
        <w:trPr>
          <w:trHeight w:val="399" w:hRule="exact"/>
        </w:trPr>
        <w:tc>
          <w:tcPr>
            <w:tcW w:w="1144"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91"/>
              <w:jc w:val="right"/>
              <w:rPr>
                <w:rFonts w:ascii="Times New Roman" w:hAnsi="Times New Roman" w:cs="Times New Roman" w:eastAsia="Times New Roman" w:hint="default"/>
                <w:sz w:val="16"/>
                <w:szCs w:val="16"/>
              </w:rPr>
            </w:pPr>
            <w:r>
              <w:rPr>
                <w:rFonts w:ascii="Times New Roman"/>
                <w:spacing w:val="-1"/>
                <w:sz w:val="16"/>
              </w:rPr>
              <w:t>5,176,033.56</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202"/>
              <w:jc w:val="right"/>
              <w:rPr>
                <w:rFonts w:ascii="Times New Roman" w:hAnsi="Times New Roman" w:cs="Times New Roman" w:eastAsia="Times New Roman" w:hint="default"/>
                <w:sz w:val="16"/>
                <w:szCs w:val="16"/>
              </w:rPr>
            </w:pPr>
            <w:r>
              <w:rPr>
                <w:rFonts w:ascii="Times New Roman"/>
                <w:spacing w:val="-1"/>
                <w:sz w:val="16"/>
              </w:rPr>
              <w:t>258,801.68</w:t>
            </w:r>
          </w:p>
        </w:tc>
        <w:tc>
          <w:tcPr>
            <w:tcW w:w="1320" w:type="dxa"/>
            <w:tcBorders>
              <w:top w:val="nil" w:sz="6" w:space="0" w:color="auto"/>
              <w:left w:val="nil" w:sz="6" w:space="0" w:color="auto"/>
              <w:bottom w:val="nil" w:sz="6" w:space="0" w:color="auto"/>
              <w:right w:val="nil" w:sz="6" w:space="0" w:color="auto"/>
            </w:tcBorders>
          </w:tcPr>
          <w:p>
            <w:pPr>
              <w:pStyle w:val="TableParagraph"/>
              <w:spacing w:line="240" w:lineRule="auto" w:before="126"/>
              <w:ind w:left="284" w:right="0"/>
              <w:jc w:val="left"/>
              <w:rPr>
                <w:rFonts w:ascii="Times New Roman" w:hAnsi="Times New Roman" w:cs="Times New Roman" w:eastAsia="Times New Roman" w:hint="default"/>
                <w:sz w:val="16"/>
                <w:szCs w:val="16"/>
              </w:rPr>
            </w:pPr>
            <w:r>
              <w:rPr>
                <w:rFonts w:ascii="Times New Roman"/>
                <w:sz w:val="16"/>
              </w:rPr>
              <w:t>3,709,315.59</w:t>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68"/>
              <w:jc w:val="right"/>
              <w:rPr>
                <w:rFonts w:ascii="Times New Roman" w:hAnsi="Times New Roman" w:cs="Times New Roman" w:eastAsia="Times New Roman" w:hint="default"/>
                <w:sz w:val="16"/>
                <w:szCs w:val="16"/>
              </w:rPr>
            </w:pPr>
            <w:r>
              <w:rPr>
                <w:rFonts w:ascii="Times New Roman"/>
                <w:spacing w:val="-1"/>
                <w:sz w:val="16"/>
              </w:rPr>
              <w:t>192,987.07</w:t>
            </w:r>
          </w:p>
        </w:tc>
      </w:tr>
    </w:tbl>
    <w:p>
      <w:pPr>
        <w:spacing w:after="0" w:line="240" w:lineRule="auto"/>
        <w:jc w:val="right"/>
        <w:rPr>
          <w:rFonts w:ascii="Times New Roman" w:hAnsi="Times New Roman" w:cs="Times New Roman" w:eastAsia="Times New Roman" w:hint="default"/>
          <w:sz w:val="16"/>
          <w:szCs w:val="16"/>
        </w:rPr>
        <w:sectPr>
          <w:pgSz w:w="11910" w:h="16840"/>
          <w:pgMar w:header="0" w:footer="1001" w:top="1520" w:bottom="1200" w:left="1660" w:right="0"/>
        </w:sectPr>
      </w:pPr>
    </w:p>
    <w:p>
      <w:pPr>
        <w:spacing w:line="240" w:lineRule="auto" w:before="4"/>
        <w:rPr>
          <w:rFonts w:ascii="宋体" w:hAnsi="宋体" w:cs="宋体" w:eastAsia="宋体" w:hint="default"/>
          <w:b/>
          <w:bCs/>
          <w:sz w:val="24"/>
          <w:szCs w:val="24"/>
        </w:rPr>
      </w:pPr>
      <w:r>
        <w:rPr/>
        <w:pict>
          <v:group style="position:absolute;margin-left:119.010002pt;margin-top:82.919998pt;width:412.15pt;height:671.3pt;mso-position-horizontal-relative:page;mso-position-vertical-relative:page;z-index:-1364176" coordorigin="2380,1658" coordsize="8243,13426">
            <v:group style="position:absolute;left:2410;top:1673;width:1241;height:2" coordorigin="2410,1673" coordsize="1241,2">
              <v:shape style="position:absolute;left:2410;top:1673;width:1241;height:2" coordorigin="2410,1673" coordsize="1241,0" path="m2410,1673l3650,1673e" filled="false" stroked="true" strokeweight="1.5pt" strokecolor="#000000">
                <v:path arrowok="t"/>
              </v:shape>
              <v:shape style="position:absolute;left:3650;top:1688;width:10;height:28" type="#_x0000_t75" stroked="false">
                <v:imagedata r:id="rId37" o:title=""/>
              </v:shape>
            </v:group>
            <v:group style="position:absolute;left:3650;top:1673;width:1692;height:2" coordorigin="3650,1673" coordsize="1692,2">
              <v:shape style="position:absolute;left:3650;top:1673;width:1692;height:2" coordorigin="3650,1673" coordsize="1692,0" path="m3650,1673l5342,1673e" filled="false" stroked="true" strokeweight="1.5pt" strokecolor="#000000">
                <v:path arrowok="t"/>
              </v:shape>
              <v:shape style="position:absolute;left:5342;top:1688;width:10;height:28" type="#_x0000_t75" stroked="false">
                <v:imagedata r:id="rId37" o:title=""/>
              </v:shape>
            </v:group>
            <v:group style="position:absolute;left:5342;top:1673;width:2616;height:2" coordorigin="5342,1673" coordsize="2616,2">
              <v:shape style="position:absolute;left:5342;top:1673;width:2616;height:2" coordorigin="5342,1673" coordsize="2616,0" path="m5342,1673l7958,1673e" filled="false" stroked="true" strokeweight="1.5pt" strokecolor="#000000">
                <v:path arrowok="t"/>
              </v:shape>
              <v:shape style="position:absolute;left:7958;top:1688;width:10;height:28" type="#_x0000_t75" stroked="false">
                <v:imagedata r:id="rId37" o:title=""/>
              </v:shape>
            </v:group>
            <v:group style="position:absolute;left:7958;top:1673;width:2639;height:2" coordorigin="7958,1673" coordsize="2639,2">
              <v:shape style="position:absolute;left:7958;top:1673;width:2639;height:2" coordorigin="7958,1673" coordsize="2639,0" path="m7958,1673l10597,1673e" filled="false" stroked="true" strokeweight="1.5pt" strokecolor="#000000">
                <v:path arrowok="t"/>
              </v:shape>
              <v:shape style="position:absolute;left:3631;top:1697;width:4356;height:355" type="#_x0000_t75" stroked="false">
                <v:imagedata r:id="rId454" o:title=""/>
              </v:shape>
              <v:shape style="position:absolute;left:3631;top:2014;width:6991;height:391" type="#_x0000_t75" stroked="false">
                <v:imagedata r:id="rId455" o:title=""/>
              </v:shape>
            </v:group>
            <v:group style="position:absolute;left:2395;top:15069;width:1256;height:2" coordorigin="2395,15069" coordsize="1256,2">
              <v:shape style="position:absolute;left:2395;top:15069;width:1256;height:2" coordorigin="2395,15069" coordsize="1256,0" path="m2395,15069l3650,15069e" filled="false" stroked="true" strokeweight="1.5pt" strokecolor="#000000">
                <v:path arrowok="t"/>
              </v:shape>
              <v:shape style="position:absolute;left:2390;top:2366;width:8232;height:12707" type="#_x0000_t75" stroked="false">
                <v:imagedata r:id="rId456" o:title=""/>
              </v:shape>
            </v:group>
            <v:group style="position:absolute;left:3650;top:15069;width:1692;height:2" coordorigin="3650,15069" coordsize="1692,2">
              <v:shape style="position:absolute;left:3650;top:15069;width:1692;height:2" coordorigin="3650,15069" coordsize="1692,0" path="m3650,15069l5342,15069e" filled="false" stroked="true" strokeweight="1.5pt" strokecolor="#000000">
                <v:path arrowok="t"/>
              </v:shape>
              <v:shape style="position:absolute;left:5323;top:14513;width:48;height:560" type="#_x0000_t75" stroked="false">
                <v:imagedata r:id="rId457" o:title=""/>
              </v:shape>
            </v:group>
            <v:group style="position:absolute;left:5342;top:15069;width:1312;height:2" coordorigin="5342,15069" coordsize="1312,2">
              <v:shape style="position:absolute;left:5342;top:15069;width:1312;height:2" coordorigin="5342,15069" coordsize="1312,0" path="m5342,15069l6654,15069e" filled="false" stroked="true" strokeweight="1.5pt" strokecolor="#000000">
                <v:path arrowok="t"/>
              </v:shape>
              <v:shape style="position:absolute;left:6635;top:14513;width:48;height:560" type="#_x0000_t75" stroked="false">
                <v:imagedata r:id="rId457" o:title=""/>
              </v:shape>
            </v:group>
            <v:group style="position:absolute;left:6654;top:15069;width:1305;height:2" coordorigin="6654,15069" coordsize="1305,2">
              <v:shape style="position:absolute;left:6654;top:15069;width:1305;height:2" coordorigin="6654,15069" coordsize="1305,0" path="m6654,15069l7958,15069e" filled="false" stroked="true" strokeweight="1.5pt" strokecolor="#000000">
                <v:path arrowok="t"/>
              </v:shape>
              <v:shape style="position:absolute;left:7939;top:14513;width:48;height:560" type="#_x0000_t75" stroked="false">
                <v:imagedata r:id="rId458" o:title=""/>
              </v:shape>
            </v:group>
            <v:group style="position:absolute;left:7958;top:15069;width:1330;height:2" coordorigin="7958,15069" coordsize="1330,2">
              <v:shape style="position:absolute;left:7958;top:15069;width:1330;height:2" coordorigin="7958,15069" coordsize="1330,0" path="m7958,15069l9288,15069e" filled="false" stroked="true" strokeweight="1.5pt" strokecolor="#000000">
                <v:path arrowok="t"/>
              </v:shape>
              <v:shape style="position:absolute;left:9269;top:14513;width:48;height:560" type="#_x0000_t75" stroked="false">
                <v:imagedata r:id="rId457" o:title=""/>
              </v:shape>
            </v:group>
            <v:group style="position:absolute;left:9288;top:15069;width:1310;height:2" coordorigin="9288,15069" coordsize="1310,2">
              <v:shape style="position:absolute;left:9288;top:15069;width:1310;height:2" coordorigin="9288,15069" coordsize="1310,0" path="m9288,15069l10597,15069e" filled="false" stroked="true" strokeweight="1.5pt" strokecolor="#000000">
                <v:path arrowok="t"/>
              </v:shape>
            </v:group>
            <w10:wrap type="none"/>
          </v:group>
        </w:pict>
      </w:r>
      <w:r>
        <w:rPr/>
        <w:pict>
          <v:shape style="position:absolute;margin-left:279.770325pt;margin-top:83.669998pt;width:248.2pt;height:659.95pt;mso-position-horizontal-relative:page;mso-position-vertical-relative:page;z-index:3971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386"/>
                    <w:gridCol w:w="1078"/>
                    <w:gridCol w:w="1552"/>
                    <w:gridCol w:w="948"/>
                  </w:tblGrid>
                  <w:tr>
                    <w:trPr>
                      <w:trHeight w:val="950" w:hRule="exact"/>
                    </w:trPr>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before="57"/>
                          <w:ind w:left="739" w:right="0"/>
                          <w:jc w:val="left"/>
                          <w:rPr>
                            <w:rFonts w:ascii="宋体" w:hAnsi="宋体" w:cs="宋体" w:eastAsia="宋体" w:hint="default"/>
                            <w:sz w:val="16"/>
                            <w:szCs w:val="16"/>
                          </w:rPr>
                        </w:pPr>
                        <w:r>
                          <w:rPr>
                            <w:rFonts w:ascii="宋体" w:hAnsi="宋体" w:cs="宋体" w:eastAsia="宋体" w:hint="default"/>
                            <w:sz w:val="16"/>
                            <w:szCs w:val="16"/>
                          </w:rPr>
                          <w:t>期末余额</w:t>
                        </w:r>
                      </w:p>
                      <w:p>
                        <w:pPr>
                          <w:pStyle w:val="TableParagraph"/>
                          <w:spacing w:line="240" w:lineRule="auto" w:before="143"/>
                          <w:ind w:left="87" w:right="0"/>
                          <w:jc w:val="left"/>
                          <w:rPr>
                            <w:rFonts w:ascii="宋体" w:hAnsi="宋体" w:cs="宋体" w:eastAsia="宋体" w:hint="default"/>
                            <w:sz w:val="16"/>
                            <w:szCs w:val="16"/>
                          </w:rPr>
                        </w:pPr>
                        <w:r>
                          <w:rPr>
                            <w:rFonts w:ascii="宋体" w:hAnsi="宋体" w:cs="宋体" w:eastAsia="宋体" w:hint="default"/>
                            <w:sz w:val="16"/>
                            <w:szCs w:val="16"/>
                          </w:rPr>
                          <w:t>账面余额</w:t>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8" w:right="0"/>
                          <w:jc w:val="left"/>
                          <w:rPr>
                            <w:rFonts w:ascii="宋体" w:hAnsi="宋体" w:cs="宋体" w:eastAsia="宋体" w:hint="default"/>
                            <w:sz w:val="16"/>
                            <w:szCs w:val="16"/>
                          </w:rPr>
                        </w:pPr>
                        <w:r>
                          <w:rPr>
                            <w:rFonts w:ascii="宋体" w:hAnsi="宋体" w:cs="宋体" w:eastAsia="宋体" w:hint="default"/>
                            <w:sz w:val="16"/>
                            <w:szCs w:val="16"/>
                          </w:rPr>
                          <w:t>坏账准备</w:t>
                        </w:r>
                      </w:p>
                    </w:tc>
                    <w:tc>
                      <w:tcPr>
                        <w:tcW w:w="1552" w:type="dxa"/>
                        <w:tcBorders>
                          <w:top w:val="nil" w:sz="6" w:space="0" w:color="auto"/>
                          <w:left w:val="nil" w:sz="6" w:space="0" w:color="auto"/>
                          <w:bottom w:val="nil" w:sz="6" w:space="0" w:color="auto"/>
                          <w:right w:val="nil" w:sz="6" w:space="0" w:color="auto"/>
                        </w:tcBorders>
                      </w:tcPr>
                      <w:p>
                        <w:pPr>
                          <w:pStyle w:val="TableParagraph"/>
                          <w:spacing w:line="240" w:lineRule="auto" w:before="57"/>
                          <w:ind w:left="901" w:right="0"/>
                          <w:jc w:val="left"/>
                          <w:rPr>
                            <w:rFonts w:ascii="宋体" w:hAnsi="宋体" w:cs="宋体" w:eastAsia="宋体" w:hint="default"/>
                            <w:sz w:val="16"/>
                            <w:szCs w:val="16"/>
                          </w:rPr>
                        </w:pPr>
                        <w:r>
                          <w:rPr>
                            <w:rFonts w:ascii="宋体" w:hAnsi="宋体" w:cs="宋体" w:eastAsia="宋体" w:hint="default"/>
                            <w:sz w:val="16"/>
                            <w:szCs w:val="16"/>
                          </w:rPr>
                          <w:t>年初余额</w:t>
                        </w:r>
                      </w:p>
                      <w:p>
                        <w:pPr>
                          <w:pStyle w:val="TableParagraph"/>
                          <w:spacing w:line="240" w:lineRule="auto" w:before="143"/>
                          <w:ind w:left="248" w:right="0"/>
                          <w:jc w:val="left"/>
                          <w:rPr>
                            <w:rFonts w:ascii="宋体" w:hAnsi="宋体" w:cs="宋体" w:eastAsia="宋体" w:hint="default"/>
                            <w:sz w:val="16"/>
                            <w:szCs w:val="16"/>
                          </w:rPr>
                        </w:pPr>
                        <w:r>
                          <w:rPr>
                            <w:rFonts w:ascii="宋体" w:hAnsi="宋体" w:cs="宋体" w:eastAsia="宋体" w:hint="default"/>
                            <w:sz w:val="16"/>
                            <w:szCs w:val="16"/>
                          </w:rPr>
                          <w:t>账面余额</w:t>
                        </w:r>
                      </w:p>
                    </w:tc>
                    <w:tc>
                      <w:tcPr>
                        <w:tcW w:w="94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12" w:right="0"/>
                          <w:jc w:val="left"/>
                          <w:rPr>
                            <w:rFonts w:ascii="宋体" w:hAnsi="宋体" w:cs="宋体" w:eastAsia="宋体" w:hint="default"/>
                            <w:sz w:val="16"/>
                            <w:szCs w:val="16"/>
                          </w:rPr>
                        </w:pPr>
                        <w:r>
                          <w:rPr>
                            <w:rFonts w:ascii="宋体" w:hAnsi="宋体" w:cs="宋体" w:eastAsia="宋体" w:hint="default"/>
                            <w:sz w:val="16"/>
                            <w:szCs w:val="16"/>
                          </w:rPr>
                          <w:t>坏账准备</w:t>
                        </w:r>
                      </w:p>
                    </w:tc>
                  </w:tr>
                  <w:tr>
                    <w:trPr>
                      <w:trHeight w:val="691" w:hRule="exact"/>
                    </w:trPr>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3"/>
                            <w:szCs w:val="23"/>
                          </w:rPr>
                        </w:pPr>
                      </w:p>
                      <w:p>
                        <w:pPr>
                          <w:pStyle w:val="TableParagraph"/>
                          <w:spacing w:line="240" w:lineRule="auto"/>
                          <w:ind w:right="427"/>
                          <w:jc w:val="right"/>
                          <w:rPr>
                            <w:rFonts w:ascii="Times New Roman" w:hAnsi="Times New Roman" w:cs="Times New Roman" w:eastAsia="Times New Roman" w:hint="default"/>
                            <w:sz w:val="16"/>
                            <w:szCs w:val="16"/>
                          </w:rPr>
                        </w:pPr>
                        <w:r>
                          <w:rPr>
                            <w:rFonts w:ascii="Times New Roman"/>
                            <w:spacing w:val="-1"/>
                            <w:sz w:val="16"/>
                          </w:rPr>
                          <w:t>3,549,000.00</w:t>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3"/>
                            <w:szCs w:val="23"/>
                          </w:rPr>
                        </w:pPr>
                      </w:p>
                      <w:p>
                        <w:pPr>
                          <w:pStyle w:val="TableParagraph"/>
                          <w:spacing w:line="240" w:lineRule="auto"/>
                          <w:ind w:right="201"/>
                          <w:jc w:val="right"/>
                          <w:rPr>
                            <w:rFonts w:ascii="Times New Roman" w:hAnsi="Times New Roman" w:cs="Times New Roman" w:eastAsia="Times New Roman" w:hint="default"/>
                            <w:sz w:val="16"/>
                            <w:szCs w:val="16"/>
                          </w:rPr>
                        </w:pPr>
                        <w:r>
                          <w:rPr>
                            <w:rFonts w:ascii="Times New Roman"/>
                            <w:spacing w:val="-1"/>
                            <w:sz w:val="16"/>
                          </w:rPr>
                          <w:t>177,450.00</w:t>
                        </w:r>
                      </w:p>
                    </w:tc>
                    <w:tc>
                      <w:tcPr>
                        <w:tcW w:w="155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3"/>
                            <w:szCs w:val="23"/>
                          </w:rPr>
                        </w:pPr>
                      </w:p>
                      <w:p>
                        <w:pPr>
                          <w:pStyle w:val="TableParagraph"/>
                          <w:spacing w:line="240" w:lineRule="auto"/>
                          <w:ind w:right="424"/>
                          <w:jc w:val="right"/>
                          <w:rPr>
                            <w:rFonts w:ascii="Times New Roman" w:hAnsi="Times New Roman" w:cs="Times New Roman" w:eastAsia="Times New Roman" w:hint="default"/>
                            <w:sz w:val="16"/>
                            <w:szCs w:val="16"/>
                          </w:rPr>
                        </w:pPr>
                        <w:r>
                          <w:rPr>
                            <w:rFonts w:ascii="Times New Roman"/>
                            <w:spacing w:val="-1"/>
                            <w:sz w:val="16"/>
                          </w:rPr>
                          <w:t>100,000.00</w:t>
                        </w:r>
                      </w:p>
                    </w:tc>
                    <w:tc>
                      <w:tcPr>
                        <w:tcW w:w="94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3"/>
                            <w:szCs w:val="23"/>
                          </w:rPr>
                        </w:pPr>
                      </w:p>
                      <w:p>
                        <w:pPr>
                          <w:pStyle w:val="TableParagraph"/>
                          <w:spacing w:line="240" w:lineRule="auto"/>
                          <w:ind w:right="68"/>
                          <w:jc w:val="right"/>
                          <w:rPr>
                            <w:rFonts w:ascii="Times New Roman" w:hAnsi="Times New Roman" w:cs="Times New Roman" w:eastAsia="Times New Roman" w:hint="default"/>
                            <w:sz w:val="16"/>
                            <w:szCs w:val="16"/>
                          </w:rPr>
                        </w:pPr>
                        <w:r>
                          <w:rPr>
                            <w:rFonts w:ascii="Times New Roman"/>
                            <w:spacing w:val="-1"/>
                            <w:sz w:val="16"/>
                          </w:rPr>
                          <w:t>10,000.00</w:t>
                        </w:r>
                      </w:p>
                    </w:tc>
                  </w:tr>
                  <w:tr>
                    <w:trPr>
                      <w:trHeight w:val="561" w:hRule="exact"/>
                    </w:trPr>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427"/>
                          <w:jc w:val="right"/>
                          <w:rPr>
                            <w:rFonts w:ascii="Times New Roman" w:hAnsi="Times New Roman" w:cs="Times New Roman" w:eastAsia="Times New Roman" w:hint="default"/>
                            <w:sz w:val="16"/>
                            <w:szCs w:val="16"/>
                          </w:rPr>
                        </w:pPr>
                        <w:r>
                          <w:rPr>
                            <w:rFonts w:ascii="Times New Roman"/>
                            <w:spacing w:val="-1"/>
                            <w:sz w:val="16"/>
                          </w:rPr>
                          <w:t>2,097,536.00</w:t>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201"/>
                          <w:jc w:val="right"/>
                          <w:rPr>
                            <w:rFonts w:ascii="Times New Roman" w:hAnsi="Times New Roman" w:cs="Times New Roman" w:eastAsia="Times New Roman" w:hint="default"/>
                            <w:sz w:val="16"/>
                            <w:szCs w:val="16"/>
                          </w:rPr>
                        </w:pPr>
                        <w:r>
                          <w:rPr>
                            <w:rFonts w:ascii="Times New Roman"/>
                            <w:spacing w:val="-1"/>
                            <w:sz w:val="16"/>
                          </w:rPr>
                          <w:t>104,876.80</w:t>
                        </w:r>
                      </w:p>
                    </w:tc>
                    <w:tc>
                      <w:tcPr>
                        <w:tcW w:w="155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424"/>
                          <w:jc w:val="right"/>
                          <w:rPr>
                            <w:rFonts w:ascii="Times New Roman" w:hAnsi="Times New Roman" w:cs="Times New Roman" w:eastAsia="Times New Roman" w:hint="default"/>
                            <w:sz w:val="16"/>
                            <w:szCs w:val="16"/>
                          </w:rPr>
                        </w:pPr>
                        <w:r>
                          <w:rPr>
                            <w:rFonts w:ascii="Times New Roman"/>
                            <w:spacing w:val="-1"/>
                            <w:sz w:val="16"/>
                          </w:rPr>
                          <w:t>4,208,023.99</w:t>
                        </w:r>
                      </w:p>
                    </w:tc>
                    <w:tc>
                      <w:tcPr>
                        <w:tcW w:w="94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68"/>
                          <w:jc w:val="right"/>
                          <w:rPr>
                            <w:rFonts w:ascii="Times New Roman" w:hAnsi="Times New Roman" w:cs="Times New Roman" w:eastAsia="Times New Roman" w:hint="default"/>
                            <w:sz w:val="16"/>
                            <w:szCs w:val="16"/>
                          </w:rPr>
                        </w:pPr>
                        <w:r>
                          <w:rPr>
                            <w:rFonts w:ascii="Times New Roman"/>
                            <w:spacing w:val="-1"/>
                            <w:sz w:val="16"/>
                          </w:rPr>
                          <w:t>210,401.20</w:t>
                        </w:r>
                      </w:p>
                    </w:tc>
                  </w:tr>
                  <w:tr>
                    <w:trPr>
                      <w:trHeight w:val="561" w:hRule="exact"/>
                    </w:trPr>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427"/>
                          <w:jc w:val="right"/>
                          <w:rPr>
                            <w:rFonts w:ascii="Times New Roman" w:hAnsi="Times New Roman" w:cs="Times New Roman" w:eastAsia="Times New Roman" w:hint="default"/>
                            <w:sz w:val="16"/>
                            <w:szCs w:val="16"/>
                          </w:rPr>
                        </w:pPr>
                        <w:r>
                          <w:rPr>
                            <w:rFonts w:ascii="Times New Roman"/>
                            <w:spacing w:val="-1"/>
                            <w:sz w:val="16"/>
                          </w:rPr>
                          <w:t>758,000.00</w:t>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202"/>
                          <w:jc w:val="right"/>
                          <w:rPr>
                            <w:rFonts w:ascii="Times New Roman" w:hAnsi="Times New Roman" w:cs="Times New Roman" w:eastAsia="Times New Roman" w:hint="default"/>
                            <w:sz w:val="16"/>
                            <w:szCs w:val="16"/>
                          </w:rPr>
                        </w:pPr>
                        <w:r>
                          <w:rPr>
                            <w:rFonts w:ascii="Times New Roman"/>
                            <w:spacing w:val="-1"/>
                            <w:sz w:val="16"/>
                          </w:rPr>
                          <w:t>47,250.00</w:t>
                        </w:r>
                      </w:p>
                    </w:tc>
                    <w:tc>
                      <w:tcPr>
                        <w:tcW w:w="155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424"/>
                          <w:jc w:val="right"/>
                          <w:rPr>
                            <w:rFonts w:ascii="Times New Roman" w:hAnsi="Times New Roman" w:cs="Times New Roman" w:eastAsia="Times New Roman" w:hint="default"/>
                            <w:sz w:val="16"/>
                            <w:szCs w:val="16"/>
                          </w:rPr>
                        </w:pPr>
                        <w:r>
                          <w:rPr>
                            <w:rFonts w:ascii="Times New Roman"/>
                            <w:spacing w:val="-1"/>
                            <w:sz w:val="16"/>
                          </w:rPr>
                          <w:t>786,000.00</w:t>
                        </w:r>
                      </w:p>
                    </w:tc>
                    <w:tc>
                      <w:tcPr>
                        <w:tcW w:w="94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68"/>
                          <w:jc w:val="right"/>
                          <w:rPr>
                            <w:rFonts w:ascii="Times New Roman" w:hAnsi="Times New Roman" w:cs="Times New Roman" w:eastAsia="Times New Roman" w:hint="default"/>
                            <w:sz w:val="16"/>
                            <w:szCs w:val="16"/>
                          </w:rPr>
                        </w:pPr>
                        <w:r>
                          <w:rPr>
                            <w:rFonts w:ascii="Times New Roman"/>
                            <w:spacing w:val="-1"/>
                            <w:sz w:val="16"/>
                          </w:rPr>
                          <w:t>39,300.00</w:t>
                        </w:r>
                      </w:p>
                    </w:tc>
                  </w:tr>
                  <w:tr>
                    <w:trPr>
                      <w:trHeight w:val="561" w:hRule="exact"/>
                    </w:trPr>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427"/>
                          <w:jc w:val="right"/>
                          <w:rPr>
                            <w:rFonts w:ascii="Times New Roman" w:hAnsi="Times New Roman" w:cs="Times New Roman" w:eastAsia="Times New Roman" w:hint="default"/>
                            <w:sz w:val="16"/>
                            <w:szCs w:val="16"/>
                          </w:rPr>
                        </w:pPr>
                        <w:r>
                          <w:rPr>
                            <w:rFonts w:ascii="Times New Roman"/>
                            <w:spacing w:val="-1"/>
                            <w:sz w:val="16"/>
                          </w:rPr>
                          <w:t>634,642.50</w:t>
                        </w:r>
                      </w:p>
                    </w:tc>
                    <w:tc>
                      <w:tcPr>
                        <w:tcW w:w="1078" w:type="dxa"/>
                        <w:tcBorders>
                          <w:top w:val="nil" w:sz="6" w:space="0" w:color="auto"/>
                          <w:left w:val="nil" w:sz="6" w:space="0" w:color="auto"/>
                          <w:bottom w:val="nil" w:sz="6" w:space="0" w:color="auto"/>
                          <w:right w:val="nil" w:sz="6" w:space="0" w:color="auto"/>
                        </w:tcBorders>
                      </w:tcPr>
                      <w:p>
                        <w:pPr/>
                      </w:p>
                    </w:tc>
                    <w:tc>
                      <w:tcPr>
                        <w:tcW w:w="155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424"/>
                          <w:jc w:val="right"/>
                          <w:rPr>
                            <w:rFonts w:ascii="Times New Roman" w:hAnsi="Times New Roman" w:cs="Times New Roman" w:eastAsia="Times New Roman" w:hint="default"/>
                            <w:sz w:val="16"/>
                            <w:szCs w:val="16"/>
                          </w:rPr>
                        </w:pPr>
                        <w:r>
                          <w:rPr>
                            <w:rFonts w:ascii="Times New Roman"/>
                            <w:spacing w:val="-1"/>
                            <w:sz w:val="16"/>
                          </w:rPr>
                          <w:t>5,425,672.84</w:t>
                        </w:r>
                      </w:p>
                    </w:tc>
                    <w:tc>
                      <w:tcPr>
                        <w:tcW w:w="94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68"/>
                          <w:jc w:val="right"/>
                          <w:rPr>
                            <w:rFonts w:ascii="Times New Roman" w:hAnsi="Times New Roman" w:cs="Times New Roman" w:eastAsia="Times New Roman" w:hint="default"/>
                            <w:sz w:val="16"/>
                            <w:szCs w:val="16"/>
                          </w:rPr>
                        </w:pPr>
                        <w:r>
                          <w:rPr>
                            <w:rFonts w:ascii="Times New Roman"/>
                            <w:spacing w:val="-1"/>
                            <w:sz w:val="16"/>
                          </w:rPr>
                          <w:t>24,656.46</w:t>
                        </w:r>
                      </w:p>
                    </w:tc>
                  </w:tr>
                  <w:tr>
                    <w:trPr>
                      <w:trHeight w:val="561" w:hRule="exact"/>
                    </w:trPr>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427"/>
                          <w:jc w:val="right"/>
                          <w:rPr>
                            <w:rFonts w:ascii="Times New Roman" w:hAnsi="Times New Roman" w:cs="Times New Roman" w:eastAsia="Times New Roman" w:hint="default"/>
                            <w:sz w:val="16"/>
                            <w:szCs w:val="16"/>
                          </w:rPr>
                        </w:pPr>
                        <w:r>
                          <w:rPr>
                            <w:rFonts w:ascii="Times New Roman"/>
                            <w:spacing w:val="-1"/>
                            <w:sz w:val="16"/>
                          </w:rPr>
                          <w:t>456,603.78</w:t>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203"/>
                          <w:jc w:val="right"/>
                          <w:rPr>
                            <w:rFonts w:ascii="Times New Roman" w:hAnsi="Times New Roman" w:cs="Times New Roman" w:eastAsia="Times New Roman" w:hint="default"/>
                            <w:sz w:val="16"/>
                            <w:szCs w:val="16"/>
                          </w:rPr>
                        </w:pPr>
                        <w:r>
                          <w:rPr>
                            <w:rFonts w:ascii="Times New Roman"/>
                            <w:spacing w:val="-1"/>
                            <w:sz w:val="16"/>
                          </w:rPr>
                          <w:t>94.19</w:t>
                        </w:r>
                      </w:p>
                    </w:tc>
                    <w:tc>
                      <w:tcPr>
                        <w:tcW w:w="155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425"/>
                          <w:jc w:val="right"/>
                          <w:rPr>
                            <w:rFonts w:ascii="Times New Roman" w:hAnsi="Times New Roman" w:cs="Times New Roman" w:eastAsia="Times New Roman" w:hint="default"/>
                            <w:sz w:val="16"/>
                            <w:szCs w:val="16"/>
                          </w:rPr>
                        </w:pPr>
                        <w:r>
                          <w:rPr>
                            <w:rFonts w:ascii="Times New Roman"/>
                            <w:spacing w:val="-1"/>
                            <w:sz w:val="16"/>
                          </w:rPr>
                          <w:t>47,080.00</w:t>
                        </w:r>
                      </w:p>
                    </w:tc>
                    <w:tc>
                      <w:tcPr>
                        <w:tcW w:w="948" w:type="dxa"/>
                        <w:tcBorders>
                          <w:top w:val="nil" w:sz="6" w:space="0" w:color="auto"/>
                          <w:left w:val="nil" w:sz="6" w:space="0" w:color="auto"/>
                          <w:bottom w:val="nil" w:sz="6" w:space="0" w:color="auto"/>
                          <w:right w:val="nil" w:sz="6" w:space="0" w:color="auto"/>
                        </w:tcBorders>
                      </w:tcPr>
                      <w:p>
                        <w:pPr/>
                      </w:p>
                    </w:tc>
                  </w:tr>
                  <w:tr>
                    <w:trPr>
                      <w:trHeight w:val="561" w:hRule="exact"/>
                    </w:trPr>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427"/>
                          <w:jc w:val="right"/>
                          <w:rPr>
                            <w:rFonts w:ascii="Times New Roman" w:hAnsi="Times New Roman" w:cs="Times New Roman" w:eastAsia="Times New Roman" w:hint="default"/>
                            <w:sz w:val="16"/>
                            <w:szCs w:val="16"/>
                          </w:rPr>
                        </w:pPr>
                        <w:r>
                          <w:rPr>
                            <w:rFonts w:ascii="Times New Roman"/>
                            <w:spacing w:val="-1"/>
                            <w:sz w:val="16"/>
                          </w:rPr>
                          <w:t>428,800.00</w:t>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202"/>
                          <w:jc w:val="right"/>
                          <w:rPr>
                            <w:rFonts w:ascii="Times New Roman" w:hAnsi="Times New Roman" w:cs="Times New Roman" w:eastAsia="Times New Roman" w:hint="default"/>
                            <w:sz w:val="16"/>
                            <w:szCs w:val="16"/>
                          </w:rPr>
                        </w:pPr>
                        <w:r>
                          <w:rPr>
                            <w:rFonts w:ascii="Times New Roman"/>
                            <w:spacing w:val="-1"/>
                            <w:sz w:val="16"/>
                          </w:rPr>
                          <w:t>21,440.00</w:t>
                        </w:r>
                      </w:p>
                    </w:tc>
                    <w:tc>
                      <w:tcPr>
                        <w:tcW w:w="1552" w:type="dxa"/>
                        <w:tcBorders>
                          <w:top w:val="nil" w:sz="6" w:space="0" w:color="auto"/>
                          <w:left w:val="nil" w:sz="6" w:space="0" w:color="auto"/>
                          <w:bottom w:val="nil" w:sz="6" w:space="0" w:color="auto"/>
                          <w:right w:val="nil" w:sz="6" w:space="0" w:color="auto"/>
                        </w:tcBorders>
                      </w:tcPr>
                      <w:p>
                        <w:pPr/>
                      </w:p>
                    </w:tc>
                    <w:tc>
                      <w:tcPr>
                        <w:tcW w:w="948" w:type="dxa"/>
                        <w:tcBorders>
                          <w:top w:val="nil" w:sz="6" w:space="0" w:color="auto"/>
                          <w:left w:val="nil" w:sz="6" w:space="0" w:color="auto"/>
                          <w:bottom w:val="nil" w:sz="6" w:space="0" w:color="auto"/>
                          <w:right w:val="nil" w:sz="6" w:space="0" w:color="auto"/>
                        </w:tcBorders>
                      </w:tcPr>
                      <w:p>
                        <w:pPr/>
                      </w:p>
                    </w:tc>
                  </w:tr>
                  <w:tr>
                    <w:trPr>
                      <w:trHeight w:val="561" w:hRule="exact"/>
                    </w:trPr>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427"/>
                          <w:jc w:val="right"/>
                          <w:rPr>
                            <w:rFonts w:ascii="Times New Roman" w:hAnsi="Times New Roman" w:cs="Times New Roman" w:eastAsia="Times New Roman" w:hint="default"/>
                            <w:sz w:val="16"/>
                            <w:szCs w:val="16"/>
                          </w:rPr>
                        </w:pPr>
                        <w:r>
                          <w:rPr>
                            <w:rFonts w:ascii="Times New Roman"/>
                            <w:spacing w:val="-1"/>
                            <w:sz w:val="16"/>
                          </w:rPr>
                          <w:t>341,847.30</w:t>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202"/>
                          <w:jc w:val="right"/>
                          <w:rPr>
                            <w:rFonts w:ascii="Times New Roman" w:hAnsi="Times New Roman" w:cs="Times New Roman" w:eastAsia="Times New Roman" w:hint="default"/>
                            <w:sz w:val="16"/>
                            <w:szCs w:val="16"/>
                          </w:rPr>
                        </w:pPr>
                        <w:r>
                          <w:rPr>
                            <w:rFonts w:ascii="Times New Roman"/>
                            <w:spacing w:val="-1"/>
                            <w:sz w:val="16"/>
                          </w:rPr>
                          <w:t>17,092.37</w:t>
                        </w:r>
                      </w:p>
                    </w:tc>
                    <w:tc>
                      <w:tcPr>
                        <w:tcW w:w="155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424"/>
                          <w:jc w:val="right"/>
                          <w:rPr>
                            <w:rFonts w:ascii="Times New Roman" w:hAnsi="Times New Roman" w:cs="Times New Roman" w:eastAsia="Times New Roman" w:hint="default"/>
                            <w:sz w:val="16"/>
                            <w:szCs w:val="16"/>
                          </w:rPr>
                        </w:pPr>
                        <w:r>
                          <w:rPr>
                            <w:rFonts w:ascii="Times New Roman"/>
                            <w:spacing w:val="-1"/>
                            <w:sz w:val="16"/>
                          </w:rPr>
                          <w:t>7,409,039.69</w:t>
                        </w:r>
                      </w:p>
                    </w:tc>
                    <w:tc>
                      <w:tcPr>
                        <w:tcW w:w="94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68"/>
                          <w:jc w:val="right"/>
                          <w:rPr>
                            <w:rFonts w:ascii="Times New Roman" w:hAnsi="Times New Roman" w:cs="Times New Roman" w:eastAsia="Times New Roman" w:hint="default"/>
                            <w:sz w:val="16"/>
                            <w:szCs w:val="16"/>
                          </w:rPr>
                        </w:pPr>
                        <w:r>
                          <w:rPr>
                            <w:rFonts w:ascii="Times New Roman"/>
                            <w:spacing w:val="-1"/>
                            <w:sz w:val="16"/>
                          </w:rPr>
                          <w:t>370,451.98</w:t>
                        </w:r>
                      </w:p>
                    </w:tc>
                  </w:tr>
                  <w:tr>
                    <w:trPr>
                      <w:trHeight w:val="561" w:hRule="exact"/>
                    </w:trPr>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427"/>
                          <w:jc w:val="right"/>
                          <w:rPr>
                            <w:rFonts w:ascii="Times New Roman" w:hAnsi="Times New Roman" w:cs="Times New Roman" w:eastAsia="Times New Roman" w:hint="default"/>
                            <w:sz w:val="16"/>
                            <w:szCs w:val="16"/>
                          </w:rPr>
                        </w:pPr>
                        <w:r>
                          <w:rPr>
                            <w:rFonts w:ascii="Times New Roman"/>
                            <w:spacing w:val="-1"/>
                            <w:sz w:val="16"/>
                          </w:rPr>
                          <w:t>174,000.00</w:t>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202"/>
                          <w:jc w:val="right"/>
                          <w:rPr>
                            <w:rFonts w:ascii="Times New Roman" w:hAnsi="Times New Roman" w:cs="Times New Roman" w:eastAsia="Times New Roman" w:hint="default"/>
                            <w:sz w:val="16"/>
                            <w:szCs w:val="16"/>
                          </w:rPr>
                        </w:pPr>
                        <w:r>
                          <w:rPr>
                            <w:rFonts w:ascii="Times New Roman"/>
                            <w:spacing w:val="-1"/>
                            <w:sz w:val="16"/>
                          </w:rPr>
                          <w:t>17,400.00</w:t>
                        </w:r>
                      </w:p>
                    </w:tc>
                    <w:tc>
                      <w:tcPr>
                        <w:tcW w:w="155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424"/>
                          <w:jc w:val="right"/>
                          <w:rPr>
                            <w:rFonts w:ascii="Times New Roman" w:hAnsi="Times New Roman" w:cs="Times New Roman" w:eastAsia="Times New Roman" w:hint="default"/>
                            <w:sz w:val="16"/>
                            <w:szCs w:val="16"/>
                          </w:rPr>
                        </w:pPr>
                        <w:r>
                          <w:rPr>
                            <w:rFonts w:ascii="Times New Roman"/>
                            <w:spacing w:val="-1"/>
                            <w:sz w:val="16"/>
                          </w:rPr>
                          <w:t>174,000.00</w:t>
                        </w:r>
                      </w:p>
                    </w:tc>
                    <w:tc>
                      <w:tcPr>
                        <w:tcW w:w="94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68"/>
                          <w:jc w:val="right"/>
                          <w:rPr>
                            <w:rFonts w:ascii="Times New Roman" w:hAnsi="Times New Roman" w:cs="Times New Roman" w:eastAsia="Times New Roman" w:hint="default"/>
                            <w:sz w:val="16"/>
                            <w:szCs w:val="16"/>
                          </w:rPr>
                        </w:pPr>
                        <w:r>
                          <w:rPr>
                            <w:rFonts w:ascii="Times New Roman"/>
                            <w:spacing w:val="-1"/>
                            <w:sz w:val="16"/>
                          </w:rPr>
                          <w:t>8,700.00</w:t>
                        </w:r>
                      </w:p>
                    </w:tc>
                  </w:tr>
                  <w:tr>
                    <w:trPr>
                      <w:trHeight w:val="561" w:hRule="exact"/>
                    </w:trPr>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428"/>
                          <w:jc w:val="right"/>
                          <w:rPr>
                            <w:rFonts w:ascii="Times New Roman" w:hAnsi="Times New Roman" w:cs="Times New Roman" w:eastAsia="Times New Roman" w:hint="default"/>
                            <w:sz w:val="16"/>
                            <w:szCs w:val="16"/>
                          </w:rPr>
                        </w:pPr>
                        <w:r>
                          <w:rPr>
                            <w:rFonts w:ascii="Times New Roman"/>
                            <w:spacing w:val="-1"/>
                            <w:sz w:val="16"/>
                          </w:rPr>
                          <w:t>76,000.00</w:t>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201"/>
                          <w:jc w:val="right"/>
                          <w:rPr>
                            <w:rFonts w:ascii="Times New Roman" w:hAnsi="Times New Roman" w:cs="Times New Roman" w:eastAsia="Times New Roman" w:hint="default"/>
                            <w:sz w:val="16"/>
                            <w:szCs w:val="16"/>
                          </w:rPr>
                        </w:pPr>
                        <w:r>
                          <w:rPr>
                            <w:rFonts w:ascii="Times New Roman"/>
                            <w:spacing w:val="-1"/>
                            <w:sz w:val="16"/>
                          </w:rPr>
                          <w:t>7,600.00</w:t>
                        </w:r>
                      </w:p>
                    </w:tc>
                    <w:tc>
                      <w:tcPr>
                        <w:tcW w:w="155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425"/>
                          <w:jc w:val="right"/>
                          <w:rPr>
                            <w:rFonts w:ascii="Times New Roman" w:hAnsi="Times New Roman" w:cs="Times New Roman" w:eastAsia="Times New Roman" w:hint="default"/>
                            <w:sz w:val="16"/>
                            <w:szCs w:val="16"/>
                          </w:rPr>
                        </w:pPr>
                        <w:r>
                          <w:rPr>
                            <w:rFonts w:ascii="Times New Roman"/>
                            <w:spacing w:val="-1"/>
                            <w:sz w:val="16"/>
                          </w:rPr>
                          <w:t>76,000.00</w:t>
                        </w:r>
                      </w:p>
                    </w:tc>
                    <w:tc>
                      <w:tcPr>
                        <w:tcW w:w="94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68"/>
                          <w:jc w:val="right"/>
                          <w:rPr>
                            <w:rFonts w:ascii="Times New Roman" w:hAnsi="Times New Roman" w:cs="Times New Roman" w:eastAsia="Times New Roman" w:hint="default"/>
                            <w:sz w:val="16"/>
                            <w:szCs w:val="16"/>
                          </w:rPr>
                        </w:pPr>
                        <w:r>
                          <w:rPr>
                            <w:rFonts w:ascii="Times New Roman"/>
                            <w:spacing w:val="-1"/>
                            <w:sz w:val="16"/>
                          </w:rPr>
                          <w:t>3,800.00</w:t>
                        </w:r>
                      </w:p>
                    </w:tc>
                  </w:tr>
                  <w:tr>
                    <w:trPr>
                      <w:trHeight w:val="561" w:hRule="exact"/>
                    </w:trPr>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428"/>
                          <w:jc w:val="right"/>
                          <w:rPr>
                            <w:rFonts w:ascii="Times New Roman" w:hAnsi="Times New Roman" w:cs="Times New Roman" w:eastAsia="Times New Roman" w:hint="default"/>
                            <w:sz w:val="16"/>
                            <w:szCs w:val="16"/>
                          </w:rPr>
                        </w:pPr>
                        <w:r>
                          <w:rPr>
                            <w:rFonts w:ascii="Times New Roman"/>
                            <w:spacing w:val="-1"/>
                            <w:sz w:val="16"/>
                          </w:rPr>
                          <w:t>49,535.50</w:t>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201"/>
                          <w:jc w:val="right"/>
                          <w:rPr>
                            <w:rFonts w:ascii="Times New Roman" w:hAnsi="Times New Roman" w:cs="Times New Roman" w:eastAsia="Times New Roman" w:hint="default"/>
                            <w:sz w:val="16"/>
                            <w:szCs w:val="16"/>
                          </w:rPr>
                        </w:pPr>
                        <w:r>
                          <w:rPr>
                            <w:rFonts w:ascii="Times New Roman"/>
                            <w:spacing w:val="-1"/>
                            <w:sz w:val="16"/>
                          </w:rPr>
                          <w:t>2,476.78</w:t>
                        </w:r>
                      </w:p>
                    </w:tc>
                    <w:tc>
                      <w:tcPr>
                        <w:tcW w:w="1552" w:type="dxa"/>
                        <w:tcBorders>
                          <w:top w:val="nil" w:sz="6" w:space="0" w:color="auto"/>
                          <w:left w:val="nil" w:sz="6" w:space="0" w:color="auto"/>
                          <w:bottom w:val="nil" w:sz="6" w:space="0" w:color="auto"/>
                          <w:right w:val="nil" w:sz="6" w:space="0" w:color="auto"/>
                        </w:tcBorders>
                      </w:tcPr>
                      <w:p>
                        <w:pPr/>
                      </w:p>
                    </w:tc>
                    <w:tc>
                      <w:tcPr>
                        <w:tcW w:w="948" w:type="dxa"/>
                        <w:tcBorders>
                          <w:top w:val="nil" w:sz="6" w:space="0" w:color="auto"/>
                          <w:left w:val="nil" w:sz="6" w:space="0" w:color="auto"/>
                          <w:bottom w:val="nil" w:sz="6" w:space="0" w:color="auto"/>
                          <w:right w:val="nil" w:sz="6" w:space="0" w:color="auto"/>
                        </w:tcBorders>
                      </w:tcPr>
                      <w:p>
                        <w:pPr/>
                      </w:p>
                    </w:tc>
                  </w:tr>
                  <w:tr>
                    <w:trPr>
                      <w:trHeight w:val="561" w:hRule="exact"/>
                    </w:trPr>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428"/>
                          <w:jc w:val="right"/>
                          <w:rPr>
                            <w:rFonts w:ascii="Times New Roman" w:hAnsi="Times New Roman" w:cs="Times New Roman" w:eastAsia="Times New Roman" w:hint="default"/>
                            <w:sz w:val="16"/>
                            <w:szCs w:val="16"/>
                          </w:rPr>
                        </w:pPr>
                        <w:r>
                          <w:rPr>
                            <w:rFonts w:ascii="Times New Roman"/>
                            <w:spacing w:val="-1"/>
                            <w:sz w:val="16"/>
                          </w:rPr>
                          <w:t>35,098.40</w:t>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203"/>
                          <w:jc w:val="right"/>
                          <w:rPr>
                            <w:rFonts w:ascii="Times New Roman" w:hAnsi="Times New Roman" w:cs="Times New Roman" w:eastAsia="Times New Roman" w:hint="default"/>
                            <w:sz w:val="16"/>
                            <w:szCs w:val="16"/>
                          </w:rPr>
                        </w:pPr>
                        <w:r>
                          <w:rPr>
                            <w:rFonts w:ascii="Times New Roman"/>
                            <w:spacing w:val="-1"/>
                            <w:sz w:val="16"/>
                          </w:rPr>
                          <w:t>1,754.92</w:t>
                        </w:r>
                      </w:p>
                    </w:tc>
                    <w:tc>
                      <w:tcPr>
                        <w:tcW w:w="1552" w:type="dxa"/>
                        <w:tcBorders>
                          <w:top w:val="nil" w:sz="6" w:space="0" w:color="auto"/>
                          <w:left w:val="nil" w:sz="6" w:space="0" w:color="auto"/>
                          <w:bottom w:val="nil" w:sz="6" w:space="0" w:color="auto"/>
                          <w:right w:val="nil" w:sz="6" w:space="0" w:color="auto"/>
                        </w:tcBorders>
                      </w:tcPr>
                      <w:p>
                        <w:pPr/>
                      </w:p>
                    </w:tc>
                    <w:tc>
                      <w:tcPr>
                        <w:tcW w:w="948" w:type="dxa"/>
                        <w:tcBorders>
                          <w:top w:val="nil" w:sz="6" w:space="0" w:color="auto"/>
                          <w:left w:val="nil" w:sz="6" w:space="0" w:color="auto"/>
                          <w:bottom w:val="nil" w:sz="6" w:space="0" w:color="auto"/>
                          <w:right w:val="nil" w:sz="6" w:space="0" w:color="auto"/>
                        </w:tcBorders>
                      </w:tcPr>
                      <w:p>
                        <w:pPr/>
                      </w:p>
                    </w:tc>
                  </w:tr>
                  <w:tr>
                    <w:trPr>
                      <w:trHeight w:val="361" w:hRule="exact"/>
                    </w:trPr>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428"/>
                          <w:jc w:val="right"/>
                          <w:rPr>
                            <w:rFonts w:ascii="Times New Roman" w:hAnsi="Times New Roman" w:cs="Times New Roman" w:eastAsia="Times New Roman" w:hint="default"/>
                            <w:sz w:val="16"/>
                            <w:szCs w:val="16"/>
                          </w:rPr>
                        </w:pPr>
                        <w:r>
                          <w:rPr>
                            <w:rFonts w:ascii="Times New Roman"/>
                            <w:spacing w:val="-1"/>
                            <w:sz w:val="16"/>
                          </w:rPr>
                          <w:t>34,000.00</w:t>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201"/>
                          <w:jc w:val="right"/>
                          <w:rPr>
                            <w:rFonts w:ascii="Times New Roman" w:hAnsi="Times New Roman" w:cs="Times New Roman" w:eastAsia="Times New Roman" w:hint="default"/>
                            <w:sz w:val="16"/>
                            <w:szCs w:val="16"/>
                          </w:rPr>
                        </w:pPr>
                        <w:r>
                          <w:rPr>
                            <w:rFonts w:ascii="Times New Roman"/>
                            <w:spacing w:val="-1"/>
                            <w:sz w:val="16"/>
                          </w:rPr>
                          <w:t>1,700.00</w:t>
                        </w:r>
                      </w:p>
                    </w:tc>
                    <w:tc>
                      <w:tcPr>
                        <w:tcW w:w="155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424"/>
                          <w:jc w:val="right"/>
                          <w:rPr>
                            <w:rFonts w:ascii="Times New Roman" w:hAnsi="Times New Roman" w:cs="Times New Roman" w:eastAsia="Times New Roman" w:hint="default"/>
                            <w:sz w:val="16"/>
                            <w:szCs w:val="16"/>
                          </w:rPr>
                        </w:pPr>
                        <w:r>
                          <w:rPr>
                            <w:rFonts w:ascii="Times New Roman"/>
                            <w:spacing w:val="-1"/>
                            <w:sz w:val="16"/>
                          </w:rPr>
                          <w:t>100,000.00</w:t>
                        </w:r>
                      </w:p>
                    </w:tc>
                    <w:tc>
                      <w:tcPr>
                        <w:tcW w:w="94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68"/>
                          <w:jc w:val="right"/>
                          <w:rPr>
                            <w:rFonts w:ascii="Times New Roman" w:hAnsi="Times New Roman" w:cs="Times New Roman" w:eastAsia="Times New Roman" w:hint="default"/>
                            <w:sz w:val="16"/>
                            <w:szCs w:val="16"/>
                          </w:rPr>
                        </w:pPr>
                        <w:r>
                          <w:rPr>
                            <w:rFonts w:ascii="Times New Roman"/>
                            <w:spacing w:val="-1"/>
                            <w:sz w:val="16"/>
                          </w:rPr>
                          <w:t>52,179.50</w:t>
                        </w:r>
                      </w:p>
                    </w:tc>
                  </w:tr>
                  <w:tr>
                    <w:trPr>
                      <w:trHeight w:val="292" w:hRule="exact"/>
                    </w:trPr>
                    <w:tc>
                      <w:tcPr>
                        <w:tcW w:w="4964" w:type="dxa"/>
                        <w:gridSpan w:val="4"/>
                        <w:tcBorders>
                          <w:top w:val="nil" w:sz="6" w:space="0" w:color="auto"/>
                          <w:left w:val="nil" w:sz="6" w:space="0" w:color="auto"/>
                          <w:bottom w:val="nil" w:sz="6" w:space="0" w:color="auto"/>
                          <w:right w:val="nil" w:sz="6" w:space="0" w:color="auto"/>
                        </w:tcBorders>
                      </w:tcPr>
                      <w:p>
                        <w:pPr/>
                      </w:p>
                    </w:tc>
                  </w:tr>
                  <w:tr>
                    <w:trPr>
                      <w:trHeight w:val="608" w:hRule="exact"/>
                    </w:trPr>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428"/>
                          <w:jc w:val="right"/>
                          <w:rPr>
                            <w:rFonts w:ascii="Times New Roman" w:hAnsi="Times New Roman" w:cs="Times New Roman" w:eastAsia="Times New Roman" w:hint="default"/>
                            <w:sz w:val="16"/>
                            <w:szCs w:val="16"/>
                          </w:rPr>
                        </w:pPr>
                        <w:r>
                          <w:rPr>
                            <w:rFonts w:ascii="Times New Roman"/>
                            <w:spacing w:val="-1"/>
                            <w:sz w:val="16"/>
                          </w:rPr>
                          <w:t>33,608.81</w:t>
                        </w:r>
                      </w:p>
                    </w:tc>
                    <w:tc>
                      <w:tcPr>
                        <w:tcW w:w="1078" w:type="dxa"/>
                        <w:tcBorders>
                          <w:top w:val="nil" w:sz="6" w:space="0" w:color="auto"/>
                          <w:left w:val="nil" w:sz="6" w:space="0" w:color="auto"/>
                          <w:bottom w:val="nil" w:sz="6" w:space="0" w:color="auto"/>
                          <w:right w:val="nil" w:sz="6" w:space="0" w:color="auto"/>
                        </w:tcBorders>
                      </w:tcPr>
                      <w:p>
                        <w:pPr/>
                      </w:p>
                    </w:tc>
                    <w:tc>
                      <w:tcPr>
                        <w:tcW w:w="1552" w:type="dxa"/>
                        <w:tcBorders>
                          <w:top w:val="nil" w:sz="6" w:space="0" w:color="auto"/>
                          <w:left w:val="nil" w:sz="6" w:space="0" w:color="auto"/>
                          <w:bottom w:val="nil" w:sz="6" w:space="0" w:color="auto"/>
                          <w:right w:val="nil" w:sz="6" w:space="0" w:color="auto"/>
                        </w:tcBorders>
                      </w:tcPr>
                      <w:p>
                        <w:pPr/>
                      </w:p>
                    </w:tc>
                    <w:tc>
                      <w:tcPr>
                        <w:tcW w:w="948" w:type="dxa"/>
                        <w:tcBorders>
                          <w:top w:val="nil" w:sz="6" w:space="0" w:color="auto"/>
                          <w:left w:val="nil" w:sz="6" w:space="0" w:color="auto"/>
                          <w:bottom w:val="nil" w:sz="6" w:space="0" w:color="auto"/>
                          <w:right w:val="nil" w:sz="6" w:space="0" w:color="auto"/>
                        </w:tcBorders>
                      </w:tcPr>
                      <w:p>
                        <w:pPr/>
                      </w:p>
                    </w:tc>
                  </w:tr>
                  <w:tr>
                    <w:trPr>
                      <w:trHeight w:val="608" w:hRule="exact"/>
                    </w:trPr>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427"/>
                          <w:jc w:val="right"/>
                          <w:rPr>
                            <w:rFonts w:ascii="Times New Roman" w:hAnsi="Times New Roman" w:cs="Times New Roman" w:eastAsia="Times New Roman" w:hint="default"/>
                            <w:sz w:val="16"/>
                            <w:szCs w:val="16"/>
                          </w:rPr>
                        </w:pPr>
                        <w:r>
                          <w:rPr>
                            <w:rFonts w:ascii="Times New Roman"/>
                            <w:spacing w:val="-1"/>
                            <w:sz w:val="16"/>
                          </w:rPr>
                          <w:t>6,892.00</w:t>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201"/>
                          <w:jc w:val="right"/>
                          <w:rPr>
                            <w:rFonts w:ascii="Times New Roman" w:hAnsi="Times New Roman" w:cs="Times New Roman" w:eastAsia="Times New Roman" w:hint="default"/>
                            <w:sz w:val="16"/>
                            <w:szCs w:val="16"/>
                          </w:rPr>
                        </w:pPr>
                        <w:r>
                          <w:rPr>
                            <w:rFonts w:ascii="Times New Roman"/>
                            <w:spacing w:val="-1"/>
                            <w:sz w:val="16"/>
                          </w:rPr>
                          <w:t>344.60</w:t>
                        </w:r>
                      </w:p>
                    </w:tc>
                    <w:tc>
                      <w:tcPr>
                        <w:tcW w:w="155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424"/>
                          <w:jc w:val="right"/>
                          <w:rPr>
                            <w:rFonts w:ascii="Times New Roman" w:hAnsi="Times New Roman" w:cs="Times New Roman" w:eastAsia="Times New Roman" w:hint="default"/>
                            <w:sz w:val="16"/>
                            <w:szCs w:val="16"/>
                          </w:rPr>
                        </w:pPr>
                        <w:r>
                          <w:rPr>
                            <w:rFonts w:ascii="Times New Roman"/>
                            <w:spacing w:val="-1"/>
                            <w:sz w:val="16"/>
                          </w:rPr>
                          <w:t>673,408.00</w:t>
                        </w:r>
                      </w:p>
                    </w:tc>
                    <w:tc>
                      <w:tcPr>
                        <w:tcW w:w="94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68"/>
                          <w:jc w:val="right"/>
                          <w:rPr>
                            <w:rFonts w:ascii="Times New Roman" w:hAnsi="Times New Roman" w:cs="Times New Roman" w:eastAsia="Times New Roman" w:hint="default"/>
                            <w:sz w:val="16"/>
                            <w:szCs w:val="16"/>
                          </w:rPr>
                        </w:pPr>
                        <w:r>
                          <w:rPr>
                            <w:rFonts w:ascii="Times New Roman"/>
                            <w:spacing w:val="-1"/>
                            <w:sz w:val="16"/>
                          </w:rPr>
                          <w:t>33,670.40</w:t>
                        </w:r>
                      </w:p>
                    </w:tc>
                  </w:tr>
                  <w:tr>
                    <w:trPr>
                      <w:trHeight w:val="561" w:hRule="exact"/>
                    </w:trPr>
                    <w:tc>
                      <w:tcPr>
                        <w:tcW w:w="1386" w:type="dxa"/>
                        <w:tcBorders>
                          <w:top w:val="nil" w:sz="6" w:space="0" w:color="auto"/>
                          <w:left w:val="nil" w:sz="6" w:space="0" w:color="auto"/>
                          <w:bottom w:val="nil" w:sz="6" w:space="0" w:color="auto"/>
                          <w:right w:val="nil" w:sz="6" w:space="0" w:color="auto"/>
                        </w:tcBorders>
                      </w:tcPr>
                      <w:p>
                        <w:pPr/>
                      </w:p>
                    </w:tc>
                    <w:tc>
                      <w:tcPr>
                        <w:tcW w:w="1078" w:type="dxa"/>
                        <w:tcBorders>
                          <w:top w:val="nil" w:sz="6" w:space="0" w:color="auto"/>
                          <w:left w:val="nil" w:sz="6" w:space="0" w:color="auto"/>
                          <w:bottom w:val="nil" w:sz="6" w:space="0" w:color="auto"/>
                          <w:right w:val="nil" w:sz="6" w:space="0" w:color="auto"/>
                        </w:tcBorders>
                      </w:tcPr>
                      <w:p>
                        <w:pPr/>
                      </w:p>
                    </w:tc>
                    <w:tc>
                      <w:tcPr>
                        <w:tcW w:w="155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424"/>
                          <w:jc w:val="right"/>
                          <w:rPr>
                            <w:rFonts w:ascii="Times New Roman" w:hAnsi="Times New Roman" w:cs="Times New Roman" w:eastAsia="Times New Roman" w:hint="default"/>
                            <w:sz w:val="16"/>
                            <w:szCs w:val="16"/>
                          </w:rPr>
                        </w:pPr>
                        <w:r>
                          <w:rPr>
                            <w:rFonts w:ascii="Times New Roman"/>
                            <w:spacing w:val="-1"/>
                            <w:sz w:val="16"/>
                          </w:rPr>
                          <w:t>3,014,231.00</w:t>
                        </w:r>
                      </w:p>
                    </w:tc>
                    <w:tc>
                      <w:tcPr>
                        <w:tcW w:w="94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68"/>
                          <w:jc w:val="right"/>
                          <w:rPr>
                            <w:rFonts w:ascii="Times New Roman" w:hAnsi="Times New Roman" w:cs="Times New Roman" w:eastAsia="Times New Roman" w:hint="default"/>
                            <w:sz w:val="16"/>
                            <w:szCs w:val="16"/>
                          </w:rPr>
                        </w:pPr>
                        <w:r>
                          <w:rPr>
                            <w:rFonts w:ascii="Times New Roman"/>
                            <w:spacing w:val="-1"/>
                            <w:w w:val="95"/>
                            <w:sz w:val="16"/>
                          </w:rPr>
                          <w:t>150,711.55</w:t>
                        </w:r>
                        <w:r>
                          <w:rPr>
                            <w:rFonts w:ascii="Times New Roman"/>
                            <w:spacing w:val="-1"/>
                            <w:sz w:val="16"/>
                          </w:rPr>
                        </w:r>
                      </w:p>
                    </w:tc>
                  </w:tr>
                  <w:tr>
                    <w:trPr>
                      <w:trHeight w:val="360" w:hRule="exact"/>
                    </w:trPr>
                    <w:tc>
                      <w:tcPr>
                        <w:tcW w:w="1386" w:type="dxa"/>
                        <w:tcBorders>
                          <w:top w:val="nil" w:sz="6" w:space="0" w:color="auto"/>
                          <w:left w:val="nil" w:sz="6" w:space="0" w:color="auto"/>
                          <w:bottom w:val="nil" w:sz="6" w:space="0" w:color="auto"/>
                          <w:right w:val="nil" w:sz="6" w:space="0" w:color="auto"/>
                        </w:tcBorders>
                      </w:tcPr>
                      <w:p>
                        <w:pPr/>
                      </w:p>
                    </w:tc>
                    <w:tc>
                      <w:tcPr>
                        <w:tcW w:w="1078" w:type="dxa"/>
                        <w:tcBorders>
                          <w:top w:val="nil" w:sz="6" w:space="0" w:color="auto"/>
                          <w:left w:val="nil" w:sz="6" w:space="0" w:color="auto"/>
                          <w:bottom w:val="nil" w:sz="6" w:space="0" w:color="auto"/>
                          <w:right w:val="nil" w:sz="6" w:space="0" w:color="auto"/>
                        </w:tcBorders>
                      </w:tcPr>
                      <w:p>
                        <w:pPr/>
                      </w:p>
                    </w:tc>
                    <w:tc>
                      <w:tcPr>
                        <w:tcW w:w="155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424"/>
                          <w:jc w:val="right"/>
                          <w:rPr>
                            <w:rFonts w:ascii="Times New Roman" w:hAnsi="Times New Roman" w:cs="Times New Roman" w:eastAsia="Times New Roman" w:hint="default"/>
                            <w:sz w:val="16"/>
                            <w:szCs w:val="16"/>
                          </w:rPr>
                        </w:pPr>
                        <w:r>
                          <w:rPr>
                            <w:rFonts w:ascii="Times New Roman"/>
                            <w:spacing w:val="-1"/>
                            <w:sz w:val="16"/>
                          </w:rPr>
                          <w:t>2,558,550.07</w:t>
                        </w:r>
                      </w:p>
                    </w:tc>
                    <w:tc>
                      <w:tcPr>
                        <w:tcW w:w="94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68"/>
                          <w:jc w:val="right"/>
                          <w:rPr>
                            <w:rFonts w:ascii="Times New Roman" w:hAnsi="Times New Roman" w:cs="Times New Roman" w:eastAsia="Times New Roman" w:hint="default"/>
                            <w:sz w:val="16"/>
                            <w:szCs w:val="16"/>
                          </w:rPr>
                        </w:pPr>
                        <w:r>
                          <w:rPr>
                            <w:rFonts w:ascii="Times New Roman"/>
                            <w:spacing w:val="-1"/>
                            <w:sz w:val="16"/>
                          </w:rPr>
                          <w:t>127,927.50</w:t>
                        </w:r>
                      </w:p>
                    </w:tc>
                  </w:tr>
                  <w:tr>
                    <w:trPr>
                      <w:trHeight w:val="423" w:hRule="exact"/>
                    </w:trPr>
                    <w:tc>
                      <w:tcPr>
                        <w:tcW w:w="4964" w:type="dxa"/>
                        <w:gridSpan w:val="4"/>
                        <w:tcBorders>
                          <w:top w:val="nil" w:sz="6" w:space="0" w:color="auto"/>
                          <w:left w:val="nil" w:sz="6" w:space="0" w:color="auto"/>
                          <w:bottom w:val="nil" w:sz="6" w:space="0" w:color="auto"/>
                          <w:right w:val="nil" w:sz="6" w:space="0" w:color="auto"/>
                        </w:tcBorders>
                      </w:tcPr>
                      <w:p>
                        <w:pPr/>
                      </w:p>
                    </w:tc>
                  </w:tr>
                  <w:tr>
                    <w:trPr>
                      <w:trHeight w:val="693" w:hRule="exact"/>
                    </w:trPr>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right="427"/>
                          <w:jc w:val="right"/>
                          <w:rPr>
                            <w:rFonts w:ascii="Times New Roman" w:hAnsi="Times New Roman" w:cs="Times New Roman" w:eastAsia="Times New Roman" w:hint="default"/>
                            <w:sz w:val="16"/>
                            <w:szCs w:val="16"/>
                          </w:rPr>
                        </w:pPr>
                        <w:r>
                          <w:rPr>
                            <w:rFonts w:ascii="Times New Roman"/>
                            <w:spacing w:val="-1"/>
                            <w:sz w:val="16"/>
                          </w:rPr>
                          <w:t>15,153,604.00</w:t>
                        </w:r>
                      </w:p>
                    </w:tc>
                    <w:tc>
                      <w:tcPr>
                        <w:tcW w:w="3578"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right="90"/>
                          <w:jc w:val="center"/>
                          <w:rPr>
                            <w:rFonts w:ascii="Times New Roman" w:hAnsi="Times New Roman" w:cs="Times New Roman" w:eastAsia="Times New Roman" w:hint="default"/>
                            <w:sz w:val="16"/>
                            <w:szCs w:val="16"/>
                          </w:rPr>
                        </w:pPr>
                        <w:r>
                          <w:rPr>
                            <w:rFonts w:ascii="Times New Roman"/>
                            <w:sz w:val="16"/>
                          </w:rPr>
                          <w:t>14,040,310.42</w:t>
                        </w:r>
                      </w:p>
                    </w:tc>
                  </w:tr>
                  <w:tr>
                    <w:trPr>
                      <w:trHeight w:val="561" w:hRule="exact"/>
                    </w:trPr>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427"/>
                          <w:jc w:val="right"/>
                          <w:rPr>
                            <w:rFonts w:ascii="Times New Roman" w:hAnsi="Times New Roman" w:cs="Times New Roman" w:eastAsia="Times New Roman" w:hint="default"/>
                            <w:sz w:val="16"/>
                            <w:szCs w:val="16"/>
                          </w:rPr>
                        </w:pPr>
                        <w:r>
                          <w:rPr>
                            <w:rFonts w:ascii="Times New Roman"/>
                            <w:spacing w:val="-1"/>
                            <w:sz w:val="16"/>
                          </w:rPr>
                          <w:t>10,602,593.00</w:t>
                        </w:r>
                      </w:p>
                    </w:tc>
                    <w:tc>
                      <w:tcPr>
                        <w:tcW w:w="3578" w:type="dxa"/>
                        <w:gridSpan w:val="3"/>
                        <w:tcBorders>
                          <w:top w:val="nil" w:sz="6" w:space="0" w:color="auto"/>
                          <w:left w:val="nil" w:sz="6" w:space="0" w:color="auto"/>
                          <w:bottom w:val="nil" w:sz="6" w:space="0" w:color="auto"/>
                          <w:right w:val="nil" w:sz="6" w:space="0" w:color="auto"/>
                        </w:tcBorders>
                      </w:tcPr>
                      <w:p>
                        <w:pPr/>
                      </w:p>
                    </w:tc>
                  </w:tr>
                  <w:tr>
                    <w:trPr>
                      <w:trHeight w:val="561" w:hRule="exact"/>
                    </w:trPr>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427"/>
                          <w:jc w:val="right"/>
                          <w:rPr>
                            <w:rFonts w:ascii="Times New Roman" w:hAnsi="Times New Roman" w:cs="Times New Roman" w:eastAsia="Times New Roman" w:hint="default"/>
                            <w:sz w:val="16"/>
                            <w:szCs w:val="16"/>
                          </w:rPr>
                        </w:pPr>
                        <w:r>
                          <w:rPr>
                            <w:rFonts w:ascii="Times New Roman"/>
                            <w:spacing w:val="-1"/>
                            <w:sz w:val="16"/>
                          </w:rPr>
                          <w:t>5,806,775.00</w:t>
                        </w:r>
                      </w:p>
                    </w:tc>
                    <w:tc>
                      <w:tcPr>
                        <w:tcW w:w="3578" w:type="dxa"/>
                        <w:gridSpan w:val="3"/>
                        <w:tcBorders>
                          <w:top w:val="nil" w:sz="6" w:space="0" w:color="auto"/>
                          <w:left w:val="nil" w:sz="6" w:space="0" w:color="auto"/>
                          <w:bottom w:val="nil" w:sz="6" w:space="0" w:color="auto"/>
                          <w:right w:val="nil" w:sz="6" w:space="0" w:color="auto"/>
                        </w:tcBorders>
                      </w:tcPr>
                      <w:p>
                        <w:pPr/>
                      </w:p>
                    </w:tc>
                  </w:tr>
                  <w:tr>
                    <w:trPr>
                      <w:trHeight w:val="561" w:hRule="exact"/>
                    </w:trPr>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427"/>
                          <w:jc w:val="right"/>
                          <w:rPr>
                            <w:rFonts w:ascii="Times New Roman" w:hAnsi="Times New Roman" w:cs="Times New Roman" w:eastAsia="Times New Roman" w:hint="default"/>
                            <w:sz w:val="16"/>
                            <w:szCs w:val="16"/>
                          </w:rPr>
                        </w:pPr>
                        <w:r>
                          <w:rPr>
                            <w:rFonts w:ascii="Times New Roman"/>
                            <w:spacing w:val="-1"/>
                            <w:sz w:val="16"/>
                          </w:rPr>
                          <w:t>4,785,000.00</w:t>
                        </w:r>
                      </w:p>
                    </w:tc>
                    <w:tc>
                      <w:tcPr>
                        <w:tcW w:w="3578" w:type="dxa"/>
                        <w:gridSpan w:val="3"/>
                        <w:tcBorders>
                          <w:top w:val="nil" w:sz="6" w:space="0" w:color="auto"/>
                          <w:left w:val="nil" w:sz="6" w:space="0" w:color="auto"/>
                          <w:bottom w:val="nil" w:sz="6" w:space="0" w:color="auto"/>
                          <w:right w:val="nil" w:sz="6" w:space="0" w:color="auto"/>
                        </w:tcBorders>
                      </w:tcPr>
                      <w:p>
                        <w:pPr/>
                      </w:p>
                    </w:tc>
                  </w:tr>
                  <w:tr>
                    <w:trPr>
                      <w:trHeight w:val="360" w:hRule="exact"/>
                    </w:trPr>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427"/>
                          <w:jc w:val="right"/>
                          <w:rPr>
                            <w:rFonts w:ascii="Times New Roman" w:hAnsi="Times New Roman" w:cs="Times New Roman" w:eastAsia="Times New Roman" w:hint="default"/>
                            <w:sz w:val="16"/>
                            <w:szCs w:val="16"/>
                          </w:rPr>
                        </w:pPr>
                        <w:r>
                          <w:rPr>
                            <w:rFonts w:ascii="Times New Roman"/>
                            <w:spacing w:val="-1"/>
                            <w:sz w:val="16"/>
                          </w:rPr>
                          <w:t>533,680.00</w:t>
                        </w:r>
                      </w:p>
                    </w:tc>
                    <w:tc>
                      <w:tcPr>
                        <w:tcW w:w="3578"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10"/>
                          <w:jc w:val="center"/>
                          <w:rPr>
                            <w:rFonts w:ascii="Times New Roman" w:hAnsi="Times New Roman" w:cs="Times New Roman" w:eastAsia="Times New Roman" w:hint="default"/>
                            <w:sz w:val="16"/>
                            <w:szCs w:val="16"/>
                          </w:rPr>
                        </w:pPr>
                        <w:r>
                          <w:rPr>
                            <w:rFonts w:ascii="Times New Roman"/>
                            <w:sz w:val="16"/>
                          </w:rPr>
                          <w:t>6,056,663.00</w:t>
                        </w:r>
                      </w:p>
                    </w:tc>
                  </w:tr>
                </w:tbl>
                <w:p>
                  <w:pPr/>
                </w:p>
              </w:txbxContent>
            </v:textbox>
            <w10:wrap type="none"/>
          </v:shape>
        </w:pict>
      </w:r>
    </w:p>
    <w:p>
      <w:pPr>
        <w:tabs>
          <w:tab w:pos="2599" w:val="left" w:leader="none"/>
        </w:tabs>
        <w:spacing w:before="50"/>
        <w:ind w:left="1051" w:right="3681" w:firstLine="0"/>
        <w:jc w:val="left"/>
        <w:rPr>
          <w:rFonts w:ascii="宋体" w:hAnsi="宋体" w:cs="宋体" w:eastAsia="宋体" w:hint="default"/>
          <w:sz w:val="16"/>
          <w:szCs w:val="16"/>
        </w:rPr>
      </w:pPr>
      <w:r>
        <w:rPr>
          <w:rFonts w:ascii="宋体" w:hAnsi="宋体" w:cs="宋体" w:eastAsia="宋体" w:hint="default"/>
          <w:w w:val="95"/>
          <w:sz w:val="16"/>
          <w:szCs w:val="16"/>
        </w:rPr>
        <w:t>项目名称</w:t>
        <w:tab/>
      </w:r>
      <w:r>
        <w:rPr>
          <w:rFonts w:ascii="宋体" w:hAnsi="宋体" w:cs="宋体" w:eastAsia="宋体" w:hint="default"/>
          <w:sz w:val="16"/>
          <w:szCs w:val="16"/>
        </w:rPr>
        <w:t>关联方</w:t>
      </w:r>
    </w:p>
    <w:p>
      <w:pPr>
        <w:spacing w:line="240" w:lineRule="auto" w:before="9"/>
        <w:rPr>
          <w:rFonts w:ascii="宋体" w:hAnsi="宋体" w:cs="宋体" w:eastAsia="宋体" w:hint="default"/>
          <w:sz w:val="17"/>
          <w:szCs w:val="17"/>
        </w:rPr>
      </w:pPr>
    </w:p>
    <w:p>
      <w:pPr>
        <w:spacing w:before="50"/>
        <w:ind w:left="2102" w:right="3681" w:firstLine="0"/>
        <w:jc w:val="left"/>
        <w:rPr>
          <w:rFonts w:ascii="宋体" w:hAnsi="宋体" w:cs="宋体" w:eastAsia="宋体" w:hint="default"/>
          <w:sz w:val="16"/>
          <w:szCs w:val="16"/>
        </w:rPr>
      </w:pPr>
      <w:r>
        <w:rPr>
          <w:rFonts w:ascii="宋体" w:hAnsi="宋体" w:cs="宋体" w:eastAsia="宋体" w:hint="default"/>
          <w:sz w:val="16"/>
          <w:szCs w:val="16"/>
        </w:rPr>
        <w:t>示科技有限公司</w:t>
      </w:r>
    </w:p>
    <w:p>
      <w:pPr>
        <w:spacing w:line="240" w:lineRule="auto" w:before="11"/>
        <w:rPr>
          <w:rFonts w:ascii="宋体" w:hAnsi="宋体" w:cs="宋体" w:eastAsia="宋体" w:hint="default"/>
          <w:sz w:val="9"/>
          <w:szCs w:val="9"/>
        </w:rPr>
      </w:pPr>
    </w:p>
    <w:p>
      <w:pPr>
        <w:spacing w:before="50"/>
        <w:ind w:left="2102" w:right="6646" w:firstLine="0"/>
        <w:jc w:val="left"/>
        <w:rPr>
          <w:rFonts w:ascii="宋体" w:hAnsi="宋体" w:cs="宋体" w:eastAsia="宋体" w:hint="default"/>
          <w:sz w:val="16"/>
          <w:szCs w:val="16"/>
        </w:rPr>
      </w:pPr>
      <w:r>
        <w:rPr>
          <w:rFonts w:ascii="宋体" w:hAnsi="宋体" w:cs="宋体" w:eastAsia="宋体" w:hint="default"/>
          <w:spacing w:val="4"/>
          <w:sz w:val="16"/>
          <w:szCs w:val="16"/>
        </w:rPr>
        <w:t>桂林长海发展有限责</w:t>
      </w:r>
      <w:r>
        <w:rPr>
          <w:rFonts w:ascii="宋体" w:hAnsi="宋体" w:cs="宋体" w:eastAsia="宋体" w:hint="default"/>
          <w:spacing w:val="4"/>
          <w:w w:val="99"/>
          <w:sz w:val="16"/>
          <w:szCs w:val="16"/>
        </w:rPr>
        <w:t> </w:t>
      </w:r>
      <w:r>
        <w:rPr>
          <w:rFonts w:ascii="宋体" w:hAnsi="宋体" w:cs="宋体" w:eastAsia="宋体" w:hint="default"/>
          <w:sz w:val="16"/>
          <w:szCs w:val="16"/>
        </w:rPr>
        <w:t>任公司</w:t>
      </w:r>
    </w:p>
    <w:p>
      <w:pPr>
        <w:spacing w:before="143"/>
        <w:ind w:left="2102" w:right="6646" w:firstLine="0"/>
        <w:jc w:val="left"/>
        <w:rPr>
          <w:rFonts w:ascii="宋体" w:hAnsi="宋体" w:cs="宋体" w:eastAsia="宋体" w:hint="default"/>
          <w:sz w:val="16"/>
          <w:szCs w:val="16"/>
        </w:rPr>
      </w:pPr>
      <w:r>
        <w:rPr>
          <w:rFonts w:ascii="宋体" w:hAnsi="宋体" w:cs="宋体" w:eastAsia="宋体" w:hint="default"/>
          <w:spacing w:val="4"/>
          <w:sz w:val="16"/>
          <w:szCs w:val="16"/>
        </w:rPr>
        <w:t>中电长城网际系统应</w:t>
      </w:r>
      <w:r>
        <w:rPr>
          <w:rFonts w:ascii="宋体" w:hAnsi="宋体" w:cs="宋体" w:eastAsia="宋体" w:hint="default"/>
          <w:spacing w:val="4"/>
          <w:w w:val="99"/>
          <w:sz w:val="16"/>
          <w:szCs w:val="16"/>
        </w:rPr>
        <w:t> </w:t>
      </w:r>
      <w:r>
        <w:rPr>
          <w:rFonts w:ascii="宋体" w:hAnsi="宋体" w:cs="宋体" w:eastAsia="宋体" w:hint="default"/>
          <w:sz w:val="16"/>
          <w:szCs w:val="16"/>
        </w:rPr>
        <w:t>用有限公司</w:t>
      </w:r>
    </w:p>
    <w:p>
      <w:pPr>
        <w:spacing w:before="143"/>
        <w:ind w:left="2102" w:right="6646" w:firstLine="0"/>
        <w:jc w:val="left"/>
        <w:rPr>
          <w:rFonts w:ascii="宋体" w:hAnsi="宋体" w:cs="宋体" w:eastAsia="宋体" w:hint="default"/>
          <w:sz w:val="16"/>
          <w:szCs w:val="16"/>
        </w:rPr>
      </w:pPr>
      <w:r>
        <w:rPr>
          <w:rFonts w:ascii="宋体" w:hAnsi="宋体" w:cs="宋体" w:eastAsia="宋体" w:hint="default"/>
          <w:spacing w:val="4"/>
          <w:sz w:val="16"/>
          <w:szCs w:val="16"/>
        </w:rPr>
        <w:t>成都锦江电子系统工</w:t>
      </w:r>
      <w:r>
        <w:rPr>
          <w:rFonts w:ascii="宋体" w:hAnsi="宋体" w:cs="宋体" w:eastAsia="宋体" w:hint="default"/>
          <w:spacing w:val="4"/>
          <w:w w:val="99"/>
          <w:sz w:val="16"/>
          <w:szCs w:val="16"/>
        </w:rPr>
        <w:t> </w:t>
      </w:r>
      <w:r>
        <w:rPr>
          <w:rFonts w:ascii="宋体" w:hAnsi="宋体" w:cs="宋体" w:eastAsia="宋体" w:hint="default"/>
          <w:sz w:val="16"/>
          <w:szCs w:val="16"/>
        </w:rPr>
        <w:t>程有限公司</w:t>
      </w:r>
    </w:p>
    <w:p>
      <w:pPr>
        <w:spacing w:before="143"/>
        <w:ind w:left="2102" w:right="6646" w:firstLine="0"/>
        <w:jc w:val="left"/>
        <w:rPr>
          <w:rFonts w:ascii="宋体" w:hAnsi="宋体" w:cs="宋体" w:eastAsia="宋体" w:hint="default"/>
          <w:sz w:val="16"/>
          <w:szCs w:val="16"/>
        </w:rPr>
      </w:pPr>
      <w:r>
        <w:rPr>
          <w:rFonts w:ascii="宋体" w:hAnsi="宋体" w:cs="宋体" w:eastAsia="宋体" w:hint="default"/>
          <w:spacing w:val="4"/>
          <w:sz w:val="16"/>
          <w:szCs w:val="16"/>
        </w:rPr>
        <w:t>湖南长城银河科技有</w:t>
      </w:r>
      <w:r>
        <w:rPr>
          <w:rFonts w:ascii="宋体" w:hAnsi="宋体" w:cs="宋体" w:eastAsia="宋体" w:hint="default"/>
          <w:spacing w:val="4"/>
          <w:w w:val="99"/>
          <w:sz w:val="16"/>
          <w:szCs w:val="16"/>
        </w:rPr>
        <w:t> </w:t>
      </w:r>
      <w:r>
        <w:rPr>
          <w:rFonts w:ascii="宋体" w:hAnsi="宋体" w:cs="宋体" w:eastAsia="宋体" w:hint="default"/>
          <w:sz w:val="16"/>
          <w:szCs w:val="16"/>
        </w:rPr>
        <w:t>限公司</w:t>
      </w:r>
    </w:p>
    <w:p>
      <w:pPr>
        <w:spacing w:before="143"/>
        <w:ind w:left="2102" w:right="6646" w:firstLine="0"/>
        <w:jc w:val="left"/>
        <w:rPr>
          <w:rFonts w:ascii="宋体" w:hAnsi="宋体" w:cs="宋体" w:eastAsia="宋体" w:hint="default"/>
          <w:sz w:val="16"/>
          <w:szCs w:val="16"/>
        </w:rPr>
      </w:pPr>
      <w:r>
        <w:rPr>
          <w:rFonts w:ascii="宋体" w:hAnsi="宋体" w:cs="宋体" w:eastAsia="宋体" w:hint="default"/>
          <w:spacing w:val="4"/>
          <w:sz w:val="16"/>
          <w:szCs w:val="16"/>
        </w:rPr>
        <w:t>迈普通信技术股份有</w:t>
      </w:r>
      <w:r>
        <w:rPr>
          <w:rFonts w:ascii="宋体" w:hAnsi="宋体" w:cs="宋体" w:eastAsia="宋体" w:hint="default"/>
          <w:spacing w:val="4"/>
          <w:w w:val="99"/>
          <w:sz w:val="16"/>
          <w:szCs w:val="16"/>
        </w:rPr>
        <w:t> </w:t>
      </w:r>
      <w:r>
        <w:rPr>
          <w:rFonts w:ascii="宋体" w:hAnsi="宋体" w:cs="宋体" w:eastAsia="宋体" w:hint="default"/>
          <w:sz w:val="16"/>
          <w:szCs w:val="16"/>
        </w:rPr>
        <w:t>限公司</w:t>
      </w:r>
    </w:p>
    <w:p>
      <w:pPr>
        <w:spacing w:before="143"/>
        <w:ind w:left="2102" w:right="6646" w:firstLine="0"/>
        <w:jc w:val="left"/>
        <w:rPr>
          <w:rFonts w:ascii="宋体" w:hAnsi="宋体" w:cs="宋体" w:eastAsia="宋体" w:hint="default"/>
          <w:sz w:val="16"/>
          <w:szCs w:val="16"/>
        </w:rPr>
      </w:pPr>
      <w:r>
        <w:rPr>
          <w:rFonts w:ascii="宋体" w:hAnsi="宋体" w:cs="宋体" w:eastAsia="宋体" w:hint="default"/>
          <w:spacing w:val="4"/>
          <w:sz w:val="16"/>
          <w:szCs w:val="16"/>
        </w:rPr>
        <w:t>长城计算机软件与系</w:t>
      </w:r>
      <w:r>
        <w:rPr>
          <w:rFonts w:ascii="宋体" w:hAnsi="宋体" w:cs="宋体" w:eastAsia="宋体" w:hint="default"/>
          <w:spacing w:val="4"/>
          <w:w w:val="99"/>
          <w:sz w:val="16"/>
          <w:szCs w:val="16"/>
        </w:rPr>
        <w:t> </w:t>
      </w:r>
      <w:r>
        <w:rPr>
          <w:rFonts w:ascii="宋体" w:hAnsi="宋体" w:cs="宋体" w:eastAsia="宋体" w:hint="default"/>
          <w:sz w:val="16"/>
          <w:szCs w:val="16"/>
        </w:rPr>
        <w:t>统有限公司</w:t>
      </w:r>
    </w:p>
    <w:p>
      <w:pPr>
        <w:spacing w:before="143"/>
        <w:ind w:left="2102" w:right="6646" w:firstLine="0"/>
        <w:jc w:val="left"/>
        <w:rPr>
          <w:rFonts w:ascii="宋体" w:hAnsi="宋体" w:cs="宋体" w:eastAsia="宋体" w:hint="default"/>
          <w:sz w:val="16"/>
          <w:szCs w:val="16"/>
        </w:rPr>
      </w:pPr>
      <w:r>
        <w:rPr>
          <w:rFonts w:ascii="宋体" w:hAnsi="宋体" w:cs="宋体" w:eastAsia="宋体" w:hint="default"/>
          <w:spacing w:val="4"/>
          <w:sz w:val="16"/>
          <w:szCs w:val="16"/>
        </w:rPr>
        <w:t>南京中电熊猫平板显</w:t>
      </w:r>
      <w:r>
        <w:rPr>
          <w:rFonts w:ascii="宋体" w:hAnsi="宋体" w:cs="宋体" w:eastAsia="宋体" w:hint="default"/>
          <w:spacing w:val="4"/>
          <w:w w:val="99"/>
          <w:sz w:val="16"/>
          <w:szCs w:val="16"/>
        </w:rPr>
        <w:t> </w:t>
      </w:r>
      <w:r>
        <w:rPr>
          <w:rFonts w:ascii="宋体" w:hAnsi="宋体" w:cs="宋体" w:eastAsia="宋体" w:hint="default"/>
          <w:sz w:val="16"/>
          <w:szCs w:val="16"/>
        </w:rPr>
        <w:t>示科技有限公司</w:t>
      </w:r>
    </w:p>
    <w:p>
      <w:pPr>
        <w:spacing w:before="143"/>
        <w:ind w:left="2102" w:right="6646" w:firstLine="0"/>
        <w:jc w:val="left"/>
        <w:rPr>
          <w:rFonts w:ascii="宋体" w:hAnsi="宋体" w:cs="宋体" w:eastAsia="宋体" w:hint="default"/>
          <w:sz w:val="16"/>
          <w:szCs w:val="16"/>
        </w:rPr>
      </w:pPr>
      <w:r>
        <w:rPr>
          <w:rFonts w:ascii="宋体" w:hAnsi="宋体" w:cs="宋体" w:eastAsia="宋体" w:hint="default"/>
          <w:spacing w:val="4"/>
          <w:sz w:val="16"/>
          <w:szCs w:val="16"/>
        </w:rPr>
        <w:t>南京熊猫汉达科技有</w:t>
      </w:r>
      <w:r>
        <w:rPr>
          <w:rFonts w:ascii="宋体" w:hAnsi="宋体" w:cs="宋体" w:eastAsia="宋体" w:hint="default"/>
          <w:spacing w:val="4"/>
          <w:w w:val="99"/>
          <w:sz w:val="16"/>
          <w:szCs w:val="16"/>
        </w:rPr>
        <w:t> </w:t>
      </w:r>
      <w:r>
        <w:rPr>
          <w:rFonts w:ascii="宋体" w:hAnsi="宋体" w:cs="宋体" w:eastAsia="宋体" w:hint="default"/>
          <w:sz w:val="16"/>
          <w:szCs w:val="16"/>
        </w:rPr>
        <w:t>限公司</w:t>
      </w:r>
    </w:p>
    <w:p>
      <w:pPr>
        <w:spacing w:before="143"/>
        <w:ind w:left="2102" w:right="6646" w:firstLine="0"/>
        <w:jc w:val="left"/>
        <w:rPr>
          <w:rFonts w:ascii="宋体" w:hAnsi="宋体" w:cs="宋体" w:eastAsia="宋体" w:hint="default"/>
          <w:sz w:val="16"/>
          <w:szCs w:val="16"/>
        </w:rPr>
      </w:pPr>
      <w:r>
        <w:rPr>
          <w:rFonts w:ascii="宋体" w:hAnsi="宋体" w:cs="宋体" w:eastAsia="宋体" w:hint="default"/>
          <w:spacing w:val="4"/>
          <w:sz w:val="16"/>
          <w:szCs w:val="16"/>
        </w:rPr>
        <w:t>北京中软万维网络技</w:t>
      </w:r>
      <w:r>
        <w:rPr>
          <w:rFonts w:ascii="宋体" w:hAnsi="宋体" w:cs="宋体" w:eastAsia="宋体" w:hint="default"/>
          <w:spacing w:val="4"/>
          <w:w w:val="99"/>
          <w:sz w:val="16"/>
          <w:szCs w:val="16"/>
        </w:rPr>
        <w:t> </w:t>
      </w:r>
      <w:r>
        <w:rPr>
          <w:rFonts w:ascii="宋体" w:hAnsi="宋体" w:cs="宋体" w:eastAsia="宋体" w:hint="default"/>
          <w:sz w:val="16"/>
          <w:szCs w:val="16"/>
        </w:rPr>
        <w:t>术有限公司</w:t>
      </w:r>
    </w:p>
    <w:p>
      <w:pPr>
        <w:spacing w:before="143"/>
        <w:ind w:left="2102" w:right="6646" w:firstLine="0"/>
        <w:jc w:val="left"/>
        <w:rPr>
          <w:rFonts w:ascii="宋体" w:hAnsi="宋体" w:cs="宋体" w:eastAsia="宋体" w:hint="default"/>
          <w:sz w:val="16"/>
          <w:szCs w:val="16"/>
        </w:rPr>
      </w:pPr>
      <w:r>
        <w:rPr>
          <w:rFonts w:ascii="宋体" w:hAnsi="宋体" w:cs="宋体" w:eastAsia="宋体" w:hint="default"/>
          <w:spacing w:val="4"/>
          <w:sz w:val="16"/>
          <w:szCs w:val="16"/>
        </w:rPr>
        <w:t>中国电子系统技术有</w:t>
      </w:r>
      <w:r>
        <w:rPr>
          <w:rFonts w:ascii="宋体" w:hAnsi="宋体" w:cs="宋体" w:eastAsia="宋体" w:hint="default"/>
          <w:spacing w:val="4"/>
          <w:w w:val="99"/>
          <w:sz w:val="16"/>
          <w:szCs w:val="16"/>
        </w:rPr>
        <w:t> </w:t>
      </w:r>
      <w:r>
        <w:rPr>
          <w:rFonts w:ascii="宋体" w:hAnsi="宋体" w:cs="宋体" w:eastAsia="宋体" w:hint="default"/>
          <w:sz w:val="16"/>
          <w:szCs w:val="16"/>
        </w:rPr>
        <w:t>限公司</w:t>
      </w:r>
    </w:p>
    <w:p>
      <w:pPr>
        <w:spacing w:before="143"/>
        <w:ind w:left="2102" w:right="6646" w:firstLine="0"/>
        <w:jc w:val="left"/>
        <w:rPr>
          <w:rFonts w:ascii="宋体" w:hAnsi="宋体" w:cs="宋体" w:eastAsia="宋体" w:hint="default"/>
          <w:sz w:val="16"/>
          <w:szCs w:val="16"/>
        </w:rPr>
      </w:pPr>
      <w:r>
        <w:rPr>
          <w:rFonts w:ascii="宋体" w:hAnsi="宋体" w:cs="宋体" w:eastAsia="宋体" w:hint="default"/>
          <w:spacing w:val="4"/>
          <w:sz w:val="16"/>
          <w:szCs w:val="16"/>
        </w:rPr>
        <w:t>成都长城开发科技有</w:t>
      </w:r>
      <w:r>
        <w:rPr>
          <w:rFonts w:ascii="宋体" w:hAnsi="宋体" w:cs="宋体" w:eastAsia="宋体" w:hint="default"/>
          <w:spacing w:val="4"/>
          <w:w w:val="99"/>
          <w:sz w:val="16"/>
          <w:szCs w:val="16"/>
        </w:rPr>
        <w:t> </w:t>
      </w:r>
      <w:r>
        <w:rPr>
          <w:rFonts w:ascii="宋体" w:hAnsi="宋体" w:cs="宋体" w:eastAsia="宋体" w:hint="default"/>
          <w:sz w:val="16"/>
          <w:szCs w:val="16"/>
        </w:rPr>
        <w:t>限公司</w:t>
      </w:r>
    </w:p>
    <w:p>
      <w:pPr>
        <w:spacing w:before="143"/>
        <w:ind w:left="2102" w:right="6646" w:firstLine="0"/>
        <w:jc w:val="left"/>
        <w:rPr>
          <w:rFonts w:ascii="宋体" w:hAnsi="宋体" w:cs="宋体" w:eastAsia="宋体" w:hint="default"/>
          <w:sz w:val="16"/>
          <w:szCs w:val="16"/>
        </w:rPr>
      </w:pPr>
      <w:r>
        <w:rPr>
          <w:rFonts w:ascii="宋体" w:hAnsi="宋体" w:cs="宋体" w:eastAsia="宋体" w:hint="default"/>
          <w:spacing w:val="4"/>
          <w:sz w:val="16"/>
          <w:szCs w:val="16"/>
        </w:rPr>
        <w:t>武汉长江融达电子有</w:t>
      </w:r>
      <w:r>
        <w:rPr>
          <w:rFonts w:ascii="宋体" w:hAnsi="宋体" w:cs="宋体" w:eastAsia="宋体" w:hint="default"/>
          <w:spacing w:val="4"/>
          <w:w w:val="99"/>
          <w:sz w:val="16"/>
          <w:szCs w:val="16"/>
        </w:rPr>
        <w:t> </w:t>
      </w:r>
      <w:r>
        <w:rPr>
          <w:rFonts w:ascii="宋体" w:hAnsi="宋体" w:cs="宋体" w:eastAsia="宋体" w:hint="default"/>
          <w:sz w:val="16"/>
          <w:szCs w:val="16"/>
        </w:rPr>
        <w:t>限公司</w:t>
      </w:r>
    </w:p>
    <w:p>
      <w:pPr>
        <w:spacing w:line="240" w:lineRule="auto" w:before="11"/>
        <w:rPr>
          <w:rFonts w:ascii="宋体" w:hAnsi="宋体" w:cs="宋体" w:eastAsia="宋体" w:hint="default"/>
          <w:sz w:val="7"/>
          <w:szCs w:val="7"/>
        </w:rPr>
      </w:pPr>
    </w:p>
    <w:p>
      <w:pPr>
        <w:spacing w:line="261" w:lineRule="auto" w:before="79"/>
        <w:ind w:left="2102" w:right="6654" w:firstLine="0"/>
        <w:jc w:val="left"/>
        <w:rPr>
          <w:rFonts w:ascii="Times New Roman" w:hAnsi="Times New Roman" w:cs="Times New Roman" w:eastAsia="Times New Roman" w:hint="default"/>
          <w:sz w:val="16"/>
          <w:szCs w:val="16"/>
        </w:rPr>
      </w:pPr>
      <w:r>
        <w:rPr>
          <w:rFonts w:ascii="Times New Roman"/>
          <w:spacing w:val="-4"/>
          <w:sz w:val="16"/>
        </w:rPr>
        <w:t>KAIFA</w:t>
      </w:r>
      <w:r>
        <w:rPr>
          <w:rFonts w:ascii="Times New Roman"/>
          <w:spacing w:val="-37"/>
          <w:sz w:val="16"/>
        </w:rPr>
        <w:t> </w:t>
      </w:r>
      <w:r>
        <w:rPr>
          <w:rFonts w:ascii="Times New Roman"/>
          <w:spacing w:val="-37"/>
          <w:sz w:val="16"/>
        </w:rPr>
      </w:r>
      <w:r>
        <w:rPr>
          <w:rFonts w:ascii="Times New Roman"/>
          <w:sz w:val="16"/>
        </w:rPr>
        <w:t>TECHNOLOGY</w:t>
      </w:r>
      <w:r>
        <w:rPr>
          <w:rFonts w:ascii="Times New Roman"/>
          <w:spacing w:val="-3"/>
          <w:sz w:val="16"/>
        </w:rPr>
        <w:t> </w:t>
      </w:r>
      <w:r>
        <w:rPr>
          <w:rFonts w:ascii="Times New Roman"/>
          <w:sz w:val="16"/>
        </w:rPr>
        <w:t>(HK)</w:t>
      </w:r>
      <w:r>
        <w:rPr>
          <w:rFonts w:ascii="Times New Roman"/>
          <w:spacing w:val="-1"/>
          <w:w w:val="99"/>
          <w:sz w:val="16"/>
        </w:rPr>
        <w:t> </w:t>
      </w:r>
      <w:r>
        <w:rPr>
          <w:rFonts w:ascii="Times New Roman"/>
          <w:spacing w:val="-6"/>
          <w:sz w:val="16"/>
        </w:rPr>
        <w:t>LTD</w:t>
      </w:r>
    </w:p>
    <w:p>
      <w:pPr>
        <w:spacing w:before="107"/>
        <w:ind w:left="2102" w:right="6646" w:firstLine="0"/>
        <w:jc w:val="left"/>
        <w:rPr>
          <w:rFonts w:ascii="宋体" w:hAnsi="宋体" w:cs="宋体" w:eastAsia="宋体" w:hint="default"/>
          <w:sz w:val="16"/>
          <w:szCs w:val="16"/>
        </w:rPr>
      </w:pPr>
      <w:r>
        <w:rPr>
          <w:rFonts w:ascii="宋体" w:hAnsi="宋体" w:cs="宋体" w:eastAsia="宋体" w:hint="default"/>
          <w:spacing w:val="4"/>
          <w:sz w:val="16"/>
          <w:szCs w:val="16"/>
        </w:rPr>
        <w:t>中电长城网际系统应</w:t>
      </w:r>
      <w:r>
        <w:rPr>
          <w:rFonts w:ascii="宋体" w:hAnsi="宋体" w:cs="宋体" w:eastAsia="宋体" w:hint="default"/>
          <w:spacing w:val="4"/>
          <w:w w:val="99"/>
          <w:sz w:val="16"/>
          <w:szCs w:val="16"/>
        </w:rPr>
        <w:t> </w:t>
      </w:r>
      <w:r>
        <w:rPr>
          <w:rFonts w:ascii="宋体" w:hAnsi="宋体" w:cs="宋体" w:eastAsia="宋体" w:hint="default"/>
          <w:sz w:val="16"/>
          <w:szCs w:val="16"/>
        </w:rPr>
        <w:t>用广东有限公司</w:t>
      </w:r>
    </w:p>
    <w:p>
      <w:pPr>
        <w:spacing w:before="143"/>
        <w:ind w:left="2102" w:right="6646" w:firstLine="0"/>
        <w:jc w:val="left"/>
        <w:rPr>
          <w:rFonts w:ascii="宋体" w:hAnsi="宋体" w:cs="宋体" w:eastAsia="宋体" w:hint="default"/>
          <w:sz w:val="16"/>
          <w:szCs w:val="16"/>
        </w:rPr>
      </w:pPr>
      <w:r>
        <w:rPr>
          <w:rFonts w:ascii="宋体" w:hAnsi="宋体" w:cs="宋体" w:eastAsia="宋体" w:hint="default"/>
          <w:spacing w:val="4"/>
          <w:sz w:val="16"/>
          <w:szCs w:val="16"/>
        </w:rPr>
        <w:t>中电长城网际系统应</w:t>
      </w:r>
      <w:r>
        <w:rPr>
          <w:rFonts w:ascii="宋体" w:hAnsi="宋体" w:cs="宋体" w:eastAsia="宋体" w:hint="default"/>
          <w:spacing w:val="4"/>
          <w:w w:val="99"/>
          <w:sz w:val="16"/>
          <w:szCs w:val="16"/>
        </w:rPr>
        <w:t> </w:t>
      </w:r>
      <w:r>
        <w:rPr>
          <w:rFonts w:ascii="宋体" w:hAnsi="宋体" w:cs="宋体" w:eastAsia="宋体" w:hint="default"/>
          <w:sz w:val="16"/>
          <w:szCs w:val="16"/>
        </w:rPr>
        <w:t>用（武汉）有限公司</w:t>
      </w:r>
    </w:p>
    <w:p>
      <w:pPr>
        <w:spacing w:before="143"/>
        <w:ind w:left="2102" w:right="6646" w:firstLine="0"/>
        <w:jc w:val="left"/>
        <w:rPr>
          <w:rFonts w:ascii="宋体" w:hAnsi="宋体" w:cs="宋体" w:eastAsia="宋体" w:hint="default"/>
          <w:sz w:val="16"/>
          <w:szCs w:val="16"/>
        </w:rPr>
      </w:pPr>
      <w:r>
        <w:rPr>
          <w:rFonts w:ascii="宋体" w:hAnsi="宋体" w:cs="宋体" w:eastAsia="宋体" w:hint="default"/>
          <w:spacing w:val="4"/>
          <w:sz w:val="16"/>
          <w:szCs w:val="16"/>
        </w:rPr>
        <w:t>深圳中电投资股份有</w:t>
      </w:r>
      <w:r>
        <w:rPr>
          <w:rFonts w:ascii="宋体" w:hAnsi="宋体" w:cs="宋体" w:eastAsia="宋体" w:hint="default"/>
          <w:spacing w:val="4"/>
          <w:w w:val="99"/>
          <w:sz w:val="16"/>
          <w:szCs w:val="16"/>
        </w:rPr>
        <w:t> </w:t>
      </w:r>
      <w:r>
        <w:rPr>
          <w:rFonts w:ascii="宋体" w:hAnsi="宋体" w:cs="宋体" w:eastAsia="宋体" w:hint="default"/>
          <w:sz w:val="16"/>
          <w:szCs w:val="16"/>
        </w:rPr>
        <w:t>限公司</w:t>
      </w:r>
    </w:p>
    <w:p>
      <w:pPr>
        <w:spacing w:before="143"/>
        <w:ind w:left="857" w:right="3681" w:firstLine="0"/>
        <w:jc w:val="left"/>
        <w:rPr>
          <w:rFonts w:ascii="宋体" w:hAnsi="宋体" w:cs="宋体" w:eastAsia="宋体" w:hint="default"/>
          <w:sz w:val="16"/>
          <w:szCs w:val="16"/>
        </w:rPr>
      </w:pPr>
      <w:r>
        <w:rPr>
          <w:rFonts w:ascii="宋体" w:hAnsi="宋体" w:cs="宋体" w:eastAsia="宋体" w:hint="default"/>
          <w:sz w:val="16"/>
          <w:szCs w:val="16"/>
        </w:rPr>
        <w:t>应收票据</w:t>
      </w:r>
    </w:p>
    <w:p>
      <w:pPr>
        <w:spacing w:line="240" w:lineRule="auto" w:before="1"/>
        <w:rPr>
          <w:rFonts w:ascii="宋体" w:hAnsi="宋体" w:cs="宋体" w:eastAsia="宋体" w:hint="default"/>
          <w:sz w:val="11"/>
          <w:szCs w:val="11"/>
        </w:rPr>
      </w:pPr>
    </w:p>
    <w:p>
      <w:pPr>
        <w:spacing w:before="0"/>
        <w:ind w:left="2102" w:right="6646" w:firstLine="0"/>
        <w:jc w:val="left"/>
        <w:rPr>
          <w:rFonts w:ascii="宋体" w:hAnsi="宋体" w:cs="宋体" w:eastAsia="宋体" w:hint="default"/>
          <w:sz w:val="16"/>
          <w:szCs w:val="16"/>
        </w:rPr>
      </w:pPr>
      <w:r>
        <w:rPr>
          <w:rFonts w:ascii="宋体" w:hAnsi="宋体" w:cs="宋体" w:eastAsia="宋体" w:hint="default"/>
          <w:spacing w:val="4"/>
          <w:sz w:val="16"/>
          <w:szCs w:val="16"/>
        </w:rPr>
        <w:t>湖南长城银河科技有</w:t>
      </w:r>
      <w:r>
        <w:rPr>
          <w:rFonts w:ascii="宋体" w:hAnsi="宋体" w:cs="宋体" w:eastAsia="宋体" w:hint="default"/>
          <w:spacing w:val="4"/>
          <w:w w:val="99"/>
          <w:sz w:val="16"/>
          <w:szCs w:val="16"/>
        </w:rPr>
        <w:t> </w:t>
      </w:r>
      <w:r>
        <w:rPr>
          <w:rFonts w:ascii="宋体" w:hAnsi="宋体" w:cs="宋体" w:eastAsia="宋体" w:hint="default"/>
          <w:sz w:val="16"/>
          <w:szCs w:val="16"/>
        </w:rPr>
        <w:t>限公司</w:t>
      </w:r>
    </w:p>
    <w:p>
      <w:pPr>
        <w:spacing w:before="143"/>
        <w:ind w:left="2102" w:right="6646" w:firstLine="0"/>
        <w:jc w:val="left"/>
        <w:rPr>
          <w:rFonts w:ascii="宋体" w:hAnsi="宋体" w:cs="宋体" w:eastAsia="宋体" w:hint="default"/>
          <w:sz w:val="16"/>
          <w:szCs w:val="16"/>
        </w:rPr>
      </w:pPr>
      <w:r>
        <w:rPr>
          <w:rFonts w:ascii="宋体" w:hAnsi="宋体" w:cs="宋体" w:eastAsia="宋体" w:hint="default"/>
          <w:spacing w:val="4"/>
          <w:sz w:val="16"/>
          <w:szCs w:val="16"/>
        </w:rPr>
        <w:t>桂林长海发展有限责</w:t>
      </w:r>
      <w:r>
        <w:rPr>
          <w:rFonts w:ascii="宋体" w:hAnsi="宋体" w:cs="宋体" w:eastAsia="宋体" w:hint="default"/>
          <w:spacing w:val="4"/>
          <w:w w:val="99"/>
          <w:sz w:val="16"/>
          <w:szCs w:val="16"/>
        </w:rPr>
        <w:t> </w:t>
      </w:r>
      <w:r>
        <w:rPr>
          <w:rFonts w:ascii="宋体" w:hAnsi="宋体" w:cs="宋体" w:eastAsia="宋体" w:hint="default"/>
          <w:sz w:val="16"/>
          <w:szCs w:val="16"/>
        </w:rPr>
        <w:t>任公司</w:t>
      </w:r>
    </w:p>
    <w:p>
      <w:pPr>
        <w:spacing w:line="240" w:lineRule="auto" w:before="1"/>
        <w:rPr>
          <w:rFonts w:ascii="宋体" w:hAnsi="宋体" w:cs="宋体" w:eastAsia="宋体" w:hint="default"/>
          <w:sz w:val="11"/>
          <w:szCs w:val="11"/>
        </w:rPr>
      </w:pPr>
    </w:p>
    <w:p>
      <w:pPr>
        <w:spacing w:before="0"/>
        <w:ind w:left="2102" w:right="6646" w:firstLine="0"/>
        <w:jc w:val="left"/>
        <w:rPr>
          <w:rFonts w:ascii="宋体" w:hAnsi="宋体" w:cs="宋体" w:eastAsia="宋体" w:hint="default"/>
          <w:sz w:val="16"/>
          <w:szCs w:val="16"/>
        </w:rPr>
      </w:pPr>
      <w:r>
        <w:rPr>
          <w:rFonts w:ascii="宋体" w:hAnsi="宋体" w:cs="宋体" w:eastAsia="宋体" w:hint="default"/>
          <w:spacing w:val="4"/>
          <w:sz w:val="16"/>
          <w:szCs w:val="16"/>
        </w:rPr>
        <w:t>中国软件与技术服务</w:t>
      </w:r>
      <w:r>
        <w:rPr>
          <w:rFonts w:ascii="宋体" w:hAnsi="宋体" w:cs="宋体" w:eastAsia="宋体" w:hint="default"/>
          <w:spacing w:val="4"/>
          <w:w w:val="99"/>
          <w:sz w:val="16"/>
          <w:szCs w:val="16"/>
        </w:rPr>
        <w:t> </w:t>
      </w:r>
      <w:r>
        <w:rPr>
          <w:rFonts w:ascii="宋体" w:hAnsi="宋体" w:cs="宋体" w:eastAsia="宋体" w:hint="default"/>
          <w:sz w:val="16"/>
          <w:szCs w:val="16"/>
        </w:rPr>
        <w:t>股份有限公司</w:t>
      </w:r>
    </w:p>
    <w:p>
      <w:pPr>
        <w:spacing w:before="143"/>
        <w:ind w:left="2102" w:right="6646" w:firstLine="0"/>
        <w:jc w:val="left"/>
        <w:rPr>
          <w:rFonts w:ascii="宋体" w:hAnsi="宋体" w:cs="宋体" w:eastAsia="宋体" w:hint="default"/>
          <w:sz w:val="16"/>
          <w:szCs w:val="16"/>
        </w:rPr>
      </w:pPr>
      <w:r>
        <w:rPr>
          <w:rFonts w:ascii="宋体" w:hAnsi="宋体" w:cs="宋体" w:eastAsia="宋体" w:hint="default"/>
          <w:spacing w:val="4"/>
          <w:sz w:val="16"/>
          <w:szCs w:val="16"/>
        </w:rPr>
        <w:t>中软信息系统工程有</w:t>
      </w:r>
      <w:r>
        <w:rPr>
          <w:rFonts w:ascii="宋体" w:hAnsi="宋体" w:cs="宋体" w:eastAsia="宋体" w:hint="default"/>
          <w:spacing w:val="4"/>
          <w:w w:val="99"/>
          <w:sz w:val="16"/>
          <w:szCs w:val="16"/>
        </w:rPr>
        <w:t> </w:t>
      </w:r>
      <w:r>
        <w:rPr>
          <w:rFonts w:ascii="宋体" w:hAnsi="宋体" w:cs="宋体" w:eastAsia="宋体" w:hint="default"/>
          <w:sz w:val="16"/>
          <w:szCs w:val="16"/>
        </w:rPr>
        <w:t>限公司</w:t>
      </w:r>
    </w:p>
    <w:p>
      <w:pPr>
        <w:spacing w:line="240" w:lineRule="auto" w:before="1"/>
        <w:rPr>
          <w:rFonts w:ascii="宋体" w:hAnsi="宋体" w:cs="宋体" w:eastAsia="宋体" w:hint="default"/>
          <w:sz w:val="11"/>
          <w:szCs w:val="11"/>
        </w:rPr>
      </w:pPr>
    </w:p>
    <w:p>
      <w:pPr>
        <w:spacing w:before="0"/>
        <w:ind w:left="2102" w:right="6646" w:firstLine="0"/>
        <w:jc w:val="left"/>
        <w:rPr>
          <w:rFonts w:ascii="宋体" w:hAnsi="宋体" w:cs="宋体" w:eastAsia="宋体" w:hint="default"/>
          <w:sz w:val="16"/>
          <w:szCs w:val="16"/>
        </w:rPr>
      </w:pPr>
      <w:r>
        <w:rPr>
          <w:rFonts w:ascii="宋体" w:hAnsi="宋体" w:cs="宋体" w:eastAsia="宋体" w:hint="default"/>
          <w:spacing w:val="4"/>
          <w:sz w:val="16"/>
          <w:szCs w:val="16"/>
        </w:rPr>
        <w:t>中电长城网际系统应</w:t>
      </w:r>
      <w:r>
        <w:rPr>
          <w:rFonts w:ascii="宋体" w:hAnsi="宋体" w:cs="宋体" w:eastAsia="宋体" w:hint="default"/>
          <w:spacing w:val="4"/>
          <w:w w:val="99"/>
          <w:sz w:val="16"/>
          <w:szCs w:val="16"/>
        </w:rPr>
        <w:t> </w:t>
      </w:r>
      <w:r>
        <w:rPr>
          <w:rFonts w:ascii="宋体" w:hAnsi="宋体" w:cs="宋体" w:eastAsia="宋体" w:hint="default"/>
          <w:sz w:val="16"/>
          <w:szCs w:val="16"/>
        </w:rPr>
        <w:t>用有限公司</w:t>
      </w:r>
    </w:p>
    <w:p>
      <w:pPr>
        <w:spacing w:after="0"/>
        <w:jc w:val="left"/>
        <w:rPr>
          <w:rFonts w:ascii="宋体" w:hAnsi="宋体" w:cs="宋体" w:eastAsia="宋体" w:hint="default"/>
          <w:sz w:val="16"/>
          <w:szCs w:val="16"/>
        </w:rPr>
        <w:sectPr>
          <w:pgSz w:w="11910" w:h="16840"/>
          <w:pgMar w:header="0" w:footer="1001" w:top="1520" w:bottom="1200" w:left="1660" w:right="0"/>
        </w:sectPr>
      </w:pPr>
    </w:p>
    <w:p>
      <w:pPr>
        <w:spacing w:line="240" w:lineRule="auto" w:before="11"/>
        <w:rPr>
          <w:rFonts w:ascii="宋体" w:hAnsi="宋体" w:cs="宋体" w:eastAsia="宋体" w:hint="default"/>
          <w:sz w:val="10"/>
          <w:szCs w:val="10"/>
        </w:rPr>
      </w:pPr>
    </w:p>
    <w:p>
      <w:pPr>
        <w:spacing w:after="0" w:line="240" w:lineRule="auto"/>
        <w:rPr>
          <w:rFonts w:ascii="宋体" w:hAnsi="宋体" w:cs="宋体" w:eastAsia="宋体" w:hint="default"/>
          <w:sz w:val="10"/>
          <w:szCs w:val="10"/>
        </w:rPr>
        <w:sectPr>
          <w:pgSz w:w="11910" w:h="16840"/>
          <w:pgMar w:header="0" w:footer="1001" w:top="1520" w:bottom="1200" w:left="1660" w:right="0"/>
        </w:sectPr>
      </w:pPr>
    </w:p>
    <w:p>
      <w:pPr>
        <w:spacing w:line="240" w:lineRule="auto" w:before="4"/>
        <w:rPr>
          <w:rFonts w:ascii="宋体" w:hAnsi="宋体" w:cs="宋体" w:eastAsia="宋体" w:hint="default"/>
          <w:sz w:val="17"/>
          <w:szCs w:val="17"/>
        </w:rPr>
      </w:pPr>
    </w:p>
    <w:p>
      <w:pPr>
        <w:tabs>
          <w:tab w:pos="2599" w:val="left" w:leader="none"/>
        </w:tabs>
        <w:spacing w:before="0"/>
        <w:ind w:left="1051" w:right="0" w:firstLine="0"/>
        <w:jc w:val="left"/>
        <w:rPr>
          <w:rFonts w:ascii="宋体" w:hAnsi="宋体" w:cs="宋体" w:eastAsia="宋体" w:hint="default"/>
          <w:sz w:val="16"/>
          <w:szCs w:val="16"/>
        </w:rPr>
      </w:pPr>
      <w:r>
        <w:rPr>
          <w:rFonts w:ascii="宋体" w:hAnsi="宋体" w:cs="宋体" w:eastAsia="宋体" w:hint="default"/>
          <w:w w:val="95"/>
          <w:sz w:val="16"/>
          <w:szCs w:val="16"/>
        </w:rPr>
        <w:t>项目名称</w:t>
        <w:tab/>
        <w:t>关联方</w:t>
      </w:r>
      <w:r>
        <w:rPr>
          <w:rFonts w:ascii="宋体" w:hAnsi="宋体" w:cs="宋体" w:eastAsia="宋体" w:hint="default"/>
          <w:sz w:val="16"/>
          <w:szCs w:val="16"/>
        </w:rPr>
      </w:r>
    </w:p>
    <w:p>
      <w:pPr>
        <w:tabs>
          <w:tab w:pos="2625" w:val="left" w:leader="none"/>
        </w:tabs>
        <w:spacing w:before="50"/>
        <w:ind w:left="0" w:right="747" w:firstLine="0"/>
        <w:jc w:val="center"/>
        <w:rPr>
          <w:rFonts w:ascii="宋体" w:hAnsi="宋体" w:cs="宋体" w:eastAsia="宋体" w:hint="default"/>
          <w:sz w:val="16"/>
          <w:szCs w:val="16"/>
        </w:rPr>
      </w:pPr>
      <w:r>
        <w:rPr>
          <w:w w:val="95"/>
        </w:rPr>
        <w:br w:type="column"/>
      </w:r>
      <w:r>
        <w:rPr>
          <w:rFonts w:ascii="宋体" w:hAnsi="宋体" w:cs="宋体" w:eastAsia="宋体" w:hint="default"/>
          <w:w w:val="95"/>
          <w:sz w:val="16"/>
          <w:szCs w:val="16"/>
        </w:rPr>
        <w:t>期末余额</w:t>
        <w:tab/>
      </w:r>
      <w:r>
        <w:rPr>
          <w:rFonts w:ascii="宋体" w:hAnsi="宋体" w:cs="宋体" w:eastAsia="宋体" w:hint="default"/>
          <w:sz w:val="16"/>
          <w:szCs w:val="16"/>
        </w:rPr>
        <w:t>年初余额</w:t>
      </w:r>
    </w:p>
    <w:p>
      <w:pPr>
        <w:tabs>
          <w:tab w:pos="1306" w:val="left" w:leader="none"/>
          <w:tab w:pos="2624" w:val="left" w:leader="none"/>
          <w:tab w:pos="3940" w:val="left" w:leader="none"/>
        </w:tabs>
        <w:spacing w:before="143"/>
        <w:ind w:left="0" w:right="735" w:firstLine="0"/>
        <w:jc w:val="center"/>
        <w:rPr>
          <w:rFonts w:ascii="宋体" w:hAnsi="宋体" w:cs="宋体" w:eastAsia="宋体" w:hint="default"/>
          <w:sz w:val="16"/>
          <w:szCs w:val="16"/>
        </w:rPr>
      </w:pPr>
      <w:r>
        <w:rPr>
          <w:rFonts w:ascii="宋体" w:hAnsi="宋体" w:cs="宋体" w:eastAsia="宋体" w:hint="default"/>
          <w:w w:val="95"/>
          <w:sz w:val="16"/>
          <w:szCs w:val="16"/>
        </w:rPr>
        <w:t>账面余额</w:t>
        <w:tab/>
        <w:t>坏账准备</w:t>
        <w:tab/>
        <w:t>账面余额</w:t>
        <w:tab/>
      </w:r>
      <w:r>
        <w:rPr>
          <w:rFonts w:ascii="宋体" w:hAnsi="宋体" w:cs="宋体" w:eastAsia="宋体" w:hint="default"/>
          <w:sz w:val="16"/>
          <w:szCs w:val="16"/>
        </w:rPr>
        <w:t>坏账准备</w:t>
      </w:r>
    </w:p>
    <w:p>
      <w:pPr>
        <w:spacing w:after="0"/>
        <w:jc w:val="center"/>
        <w:rPr>
          <w:rFonts w:ascii="宋体" w:hAnsi="宋体" w:cs="宋体" w:eastAsia="宋体" w:hint="default"/>
          <w:sz w:val="16"/>
          <w:szCs w:val="16"/>
        </w:rPr>
        <w:sectPr>
          <w:type w:val="continuous"/>
          <w:pgSz w:w="11910" w:h="16840"/>
          <w:pgMar w:top="1100" w:bottom="700" w:left="1660" w:right="0"/>
          <w:cols w:num="2" w:equalWidth="0">
            <w:col w:w="3079" w:space="40"/>
            <w:col w:w="7131"/>
          </w:cols>
        </w:sectPr>
      </w:pPr>
    </w:p>
    <w:p>
      <w:pPr>
        <w:spacing w:line="240" w:lineRule="auto" w:before="1"/>
        <w:rPr>
          <w:rFonts w:ascii="宋体" w:hAnsi="宋体" w:cs="宋体" w:eastAsia="宋体" w:hint="default"/>
          <w:sz w:val="11"/>
          <w:szCs w:val="11"/>
        </w:rPr>
      </w:pPr>
      <w:r>
        <w:rPr/>
        <w:pict>
          <v:group style="position:absolute;margin-left:119.010002pt;margin-top:82.919998pt;width:412.15pt;height:679.95pt;mso-position-horizontal-relative:page;mso-position-vertical-relative:page;z-index:-1364128" coordorigin="2380,1658" coordsize="8243,13599">
            <v:group style="position:absolute;left:2410;top:1673;width:1241;height:2" coordorigin="2410,1673" coordsize="1241,2">
              <v:shape style="position:absolute;left:2410;top:1673;width:1241;height:2" coordorigin="2410,1673" coordsize="1241,0" path="m2410,1673l3650,1673e" filled="false" stroked="true" strokeweight="1.5pt" strokecolor="#000000">
                <v:path arrowok="t"/>
              </v:shape>
              <v:shape style="position:absolute;left:3650;top:1688;width:10;height:28" type="#_x0000_t75" stroked="false">
                <v:imagedata r:id="rId37" o:title=""/>
              </v:shape>
            </v:group>
            <v:group style="position:absolute;left:3650;top:1673;width:1692;height:2" coordorigin="3650,1673" coordsize="1692,2">
              <v:shape style="position:absolute;left:3650;top:1673;width:1692;height:2" coordorigin="3650,1673" coordsize="1692,0" path="m3650,1673l5342,1673e" filled="false" stroked="true" strokeweight="1.5pt" strokecolor="#000000">
                <v:path arrowok="t"/>
              </v:shape>
              <v:shape style="position:absolute;left:5342;top:1688;width:10;height:28" type="#_x0000_t75" stroked="false">
                <v:imagedata r:id="rId37" o:title=""/>
              </v:shape>
            </v:group>
            <v:group style="position:absolute;left:5342;top:1673;width:2616;height:2" coordorigin="5342,1673" coordsize="2616,2">
              <v:shape style="position:absolute;left:5342;top:1673;width:2616;height:2" coordorigin="5342,1673" coordsize="2616,0" path="m5342,1673l7958,1673e" filled="false" stroked="true" strokeweight="1.5pt" strokecolor="#000000">
                <v:path arrowok="t"/>
              </v:shape>
              <v:shape style="position:absolute;left:7958;top:1688;width:10;height:28" type="#_x0000_t75" stroked="false">
                <v:imagedata r:id="rId37" o:title=""/>
              </v:shape>
            </v:group>
            <v:group style="position:absolute;left:7958;top:1673;width:2639;height:2" coordorigin="7958,1673" coordsize="2639,2">
              <v:shape style="position:absolute;left:7958;top:1673;width:2639;height:2" coordorigin="7958,1673" coordsize="2639,0" path="m7958,1673l10597,1673e" filled="false" stroked="true" strokeweight="1.5pt" strokecolor="#000000">
                <v:path arrowok="t"/>
              </v:shape>
              <v:shape style="position:absolute;left:3631;top:1697;width:4356;height:355" type="#_x0000_t75" stroked="false">
                <v:imagedata r:id="rId454" o:title=""/>
              </v:shape>
              <v:shape style="position:absolute;left:3631;top:2014;width:6991;height:391" type="#_x0000_t75" stroked="false">
                <v:imagedata r:id="rId455" o:title=""/>
              </v:shape>
            </v:group>
            <v:group style="position:absolute;left:2395;top:15242;width:1256;height:2" coordorigin="2395,15242" coordsize="1256,2">
              <v:shape style="position:absolute;left:2395;top:15242;width:1256;height:2" coordorigin="2395,15242" coordsize="1256,0" path="m2395,15242l3650,15242e" filled="false" stroked="true" strokeweight="1.5pt" strokecolor="#000000">
                <v:path arrowok="t"/>
              </v:shape>
              <v:shape style="position:absolute;left:2390;top:2366;width:8232;height:12880" type="#_x0000_t75" stroked="false">
                <v:imagedata r:id="rId459" o:title=""/>
              </v:shape>
            </v:group>
            <v:group style="position:absolute;left:3650;top:15242;width:1692;height:2" coordorigin="3650,15242" coordsize="1692,2">
              <v:shape style="position:absolute;left:3650;top:15242;width:1692;height:2" coordorigin="3650,15242" coordsize="1692,0" path="m3650,15242l5342,15242e" filled="false" stroked="true" strokeweight="1.5pt" strokecolor="#000000">
                <v:path arrowok="t"/>
              </v:shape>
              <v:shape style="position:absolute;left:5323;top:14686;width:48;height:560" type="#_x0000_t75" stroked="false">
                <v:imagedata r:id="rId457" o:title=""/>
              </v:shape>
            </v:group>
            <v:group style="position:absolute;left:5342;top:15242;width:1312;height:2" coordorigin="5342,15242" coordsize="1312,2">
              <v:shape style="position:absolute;left:5342;top:15242;width:1312;height:2" coordorigin="5342,15242" coordsize="1312,0" path="m5342,15242l6654,15242e" filled="false" stroked="true" strokeweight="1.5pt" strokecolor="#000000">
                <v:path arrowok="t"/>
              </v:shape>
              <v:shape style="position:absolute;left:6635;top:14686;width:48;height:560" type="#_x0000_t75" stroked="false">
                <v:imagedata r:id="rId457" o:title=""/>
              </v:shape>
            </v:group>
            <v:group style="position:absolute;left:6654;top:15242;width:1305;height:2" coordorigin="6654,15242" coordsize="1305,2">
              <v:shape style="position:absolute;left:6654;top:15242;width:1305;height:2" coordorigin="6654,15242" coordsize="1305,0" path="m6654,15242l7958,15242e" filled="false" stroked="true" strokeweight="1.5pt" strokecolor="#000000">
                <v:path arrowok="t"/>
              </v:shape>
              <v:shape style="position:absolute;left:7939;top:14686;width:48;height:560" type="#_x0000_t75" stroked="false">
                <v:imagedata r:id="rId458" o:title=""/>
              </v:shape>
            </v:group>
            <v:group style="position:absolute;left:7958;top:15242;width:1330;height:2" coordorigin="7958,15242" coordsize="1330,2">
              <v:shape style="position:absolute;left:7958;top:15242;width:1330;height:2" coordorigin="7958,15242" coordsize="1330,0" path="m7958,15242l9288,15242e" filled="false" stroked="true" strokeweight="1.5pt" strokecolor="#000000">
                <v:path arrowok="t"/>
              </v:shape>
              <v:shape style="position:absolute;left:9269;top:14686;width:48;height:560" type="#_x0000_t75" stroked="false">
                <v:imagedata r:id="rId457" o:title=""/>
              </v:shape>
            </v:group>
            <v:group style="position:absolute;left:9288;top:15242;width:1310;height:2" coordorigin="9288,15242" coordsize="1310,2">
              <v:shape style="position:absolute;left:9288;top:15242;width:1310;height:2" coordorigin="9288,15242" coordsize="1310,0" path="m9288,15242l10597,15242e" filled="false" stroked="true" strokeweight="1.5pt" strokecolor="#000000">
                <v:path arrowok="t"/>
              </v:shape>
            </v:group>
            <w10:wrap type="none"/>
          </v:group>
        </w:pict>
      </w:r>
    </w:p>
    <w:p>
      <w:pPr>
        <w:spacing w:line="178" w:lineRule="exact" w:before="0"/>
        <w:ind w:left="2102" w:right="3681" w:firstLine="0"/>
        <w:jc w:val="left"/>
        <w:rPr>
          <w:rFonts w:ascii="宋体" w:hAnsi="宋体" w:cs="宋体" w:eastAsia="宋体" w:hint="default"/>
          <w:sz w:val="16"/>
          <w:szCs w:val="16"/>
        </w:rPr>
      </w:pPr>
      <w:r>
        <w:rPr>
          <w:rFonts w:ascii="宋体" w:hAnsi="宋体" w:cs="宋体" w:eastAsia="宋体" w:hint="default"/>
          <w:spacing w:val="4"/>
          <w:sz w:val="16"/>
          <w:szCs w:val="16"/>
        </w:rPr>
        <w:t>南京熊猫汉达科技有</w:t>
      </w:r>
      <w:r>
        <w:rPr>
          <w:rFonts w:ascii="宋体" w:hAnsi="宋体" w:cs="宋体" w:eastAsia="宋体" w:hint="default"/>
          <w:sz w:val="16"/>
          <w:szCs w:val="16"/>
        </w:rPr>
      </w:r>
    </w:p>
    <w:p>
      <w:pPr>
        <w:tabs>
          <w:tab w:pos="6803" w:val="left" w:leader="none"/>
        </w:tabs>
        <w:spacing w:line="241" w:lineRule="exact" w:before="0"/>
        <w:ind w:left="2102" w:right="1793" w:firstLine="0"/>
        <w:jc w:val="left"/>
        <w:rPr>
          <w:rFonts w:ascii="Times New Roman" w:hAnsi="Times New Roman" w:cs="Times New Roman" w:eastAsia="Times New Roman" w:hint="default"/>
          <w:sz w:val="16"/>
          <w:szCs w:val="16"/>
        </w:rPr>
      </w:pPr>
      <w:r>
        <w:rPr>
          <w:rFonts w:ascii="宋体" w:hAnsi="宋体" w:cs="宋体" w:eastAsia="宋体" w:hint="default"/>
          <w:w w:val="95"/>
          <w:position w:val="-9"/>
          <w:sz w:val="16"/>
          <w:szCs w:val="16"/>
        </w:rPr>
        <w:t>限公司</w:t>
        <w:tab/>
      </w:r>
      <w:r>
        <w:rPr>
          <w:rFonts w:ascii="Times New Roman" w:hAnsi="Times New Roman" w:cs="Times New Roman" w:eastAsia="Times New Roman" w:hint="default"/>
          <w:sz w:val="16"/>
          <w:szCs w:val="16"/>
        </w:rPr>
        <w:t>180,000.00</w:t>
      </w:r>
    </w:p>
    <w:p>
      <w:pPr>
        <w:spacing w:line="178" w:lineRule="exact" w:before="142"/>
        <w:ind w:left="2102" w:right="3681" w:firstLine="0"/>
        <w:jc w:val="left"/>
        <w:rPr>
          <w:rFonts w:ascii="宋体" w:hAnsi="宋体" w:cs="宋体" w:eastAsia="宋体" w:hint="default"/>
          <w:sz w:val="16"/>
          <w:szCs w:val="16"/>
        </w:rPr>
      </w:pPr>
      <w:r>
        <w:rPr>
          <w:rFonts w:ascii="宋体" w:hAnsi="宋体" w:cs="宋体" w:eastAsia="宋体" w:hint="default"/>
          <w:spacing w:val="4"/>
          <w:sz w:val="16"/>
          <w:szCs w:val="16"/>
        </w:rPr>
        <w:t>成都锦江电子系统工</w:t>
      </w:r>
      <w:r>
        <w:rPr>
          <w:rFonts w:ascii="宋体" w:hAnsi="宋体" w:cs="宋体" w:eastAsia="宋体" w:hint="default"/>
          <w:sz w:val="16"/>
          <w:szCs w:val="16"/>
        </w:rPr>
      </w:r>
    </w:p>
    <w:p>
      <w:pPr>
        <w:tabs>
          <w:tab w:pos="6803" w:val="left" w:leader="none"/>
        </w:tabs>
        <w:spacing w:line="241" w:lineRule="exact" w:before="0"/>
        <w:ind w:left="2102" w:right="1793" w:firstLine="0"/>
        <w:jc w:val="left"/>
        <w:rPr>
          <w:rFonts w:ascii="Times New Roman" w:hAnsi="Times New Roman" w:cs="Times New Roman" w:eastAsia="Times New Roman" w:hint="default"/>
          <w:sz w:val="16"/>
          <w:szCs w:val="16"/>
        </w:rPr>
      </w:pPr>
      <w:r>
        <w:rPr>
          <w:rFonts w:ascii="宋体" w:hAnsi="宋体" w:cs="宋体" w:eastAsia="宋体" w:hint="default"/>
          <w:w w:val="95"/>
          <w:position w:val="-9"/>
          <w:sz w:val="16"/>
          <w:szCs w:val="16"/>
        </w:rPr>
        <w:t>程有限公司</w:t>
        <w:tab/>
      </w:r>
      <w:r>
        <w:rPr>
          <w:rFonts w:ascii="Times New Roman" w:hAnsi="Times New Roman" w:cs="Times New Roman" w:eastAsia="Times New Roman" w:hint="default"/>
          <w:sz w:val="16"/>
          <w:szCs w:val="16"/>
        </w:rPr>
        <w:t>180,000.00</w:t>
      </w:r>
    </w:p>
    <w:p>
      <w:pPr>
        <w:spacing w:line="178" w:lineRule="exact" w:before="143"/>
        <w:ind w:left="2102" w:right="3681" w:firstLine="0"/>
        <w:jc w:val="left"/>
        <w:rPr>
          <w:rFonts w:ascii="宋体" w:hAnsi="宋体" w:cs="宋体" w:eastAsia="宋体" w:hint="default"/>
          <w:sz w:val="16"/>
          <w:szCs w:val="16"/>
        </w:rPr>
      </w:pPr>
      <w:r>
        <w:rPr>
          <w:rFonts w:ascii="宋体" w:hAnsi="宋体" w:cs="宋体" w:eastAsia="宋体" w:hint="default"/>
          <w:spacing w:val="4"/>
          <w:sz w:val="16"/>
          <w:szCs w:val="16"/>
        </w:rPr>
        <w:t>中电长城网际系统应</w:t>
      </w:r>
      <w:r>
        <w:rPr>
          <w:rFonts w:ascii="宋体" w:hAnsi="宋体" w:cs="宋体" w:eastAsia="宋体" w:hint="default"/>
          <w:sz w:val="16"/>
          <w:szCs w:val="16"/>
        </w:rPr>
      </w:r>
    </w:p>
    <w:p>
      <w:pPr>
        <w:tabs>
          <w:tab w:pos="6883" w:val="left" w:leader="none"/>
        </w:tabs>
        <w:spacing w:line="241" w:lineRule="exact" w:before="0"/>
        <w:ind w:left="2102" w:right="1793" w:firstLine="0"/>
        <w:jc w:val="left"/>
        <w:rPr>
          <w:rFonts w:ascii="Times New Roman" w:hAnsi="Times New Roman" w:cs="Times New Roman" w:eastAsia="Times New Roman" w:hint="default"/>
          <w:sz w:val="16"/>
          <w:szCs w:val="16"/>
        </w:rPr>
      </w:pPr>
      <w:r>
        <w:rPr>
          <w:rFonts w:ascii="宋体" w:hAnsi="宋体" w:cs="宋体" w:eastAsia="宋体" w:hint="default"/>
          <w:w w:val="95"/>
          <w:position w:val="-9"/>
          <w:sz w:val="16"/>
          <w:szCs w:val="16"/>
        </w:rPr>
        <w:t>用广东有限公司</w:t>
        <w:tab/>
      </w:r>
      <w:r>
        <w:rPr>
          <w:rFonts w:ascii="Times New Roman" w:hAnsi="Times New Roman" w:cs="Times New Roman" w:eastAsia="Times New Roman" w:hint="default"/>
          <w:sz w:val="16"/>
          <w:szCs w:val="16"/>
        </w:rPr>
        <w:t>59,241.00</w:t>
      </w:r>
    </w:p>
    <w:p>
      <w:pPr>
        <w:spacing w:before="142"/>
        <w:ind w:left="857" w:right="3681" w:firstLine="0"/>
        <w:jc w:val="left"/>
        <w:rPr>
          <w:rFonts w:ascii="宋体" w:hAnsi="宋体" w:cs="宋体" w:eastAsia="宋体" w:hint="default"/>
          <w:sz w:val="16"/>
          <w:szCs w:val="16"/>
        </w:rPr>
      </w:pPr>
      <w:r>
        <w:rPr>
          <w:rFonts w:ascii="宋体" w:hAnsi="宋体" w:cs="宋体" w:eastAsia="宋体" w:hint="default"/>
          <w:sz w:val="16"/>
          <w:szCs w:val="16"/>
        </w:rPr>
        <w:t>预付账款</w:t>
      </w:r>
    </w:p>
    <w:p>
      <w:pPr>
        <w:spacing w:line="240" w:lineRule="auto" w:before="1"/>
        <w:rPr>
          <w:rFonts w:ascii="宋体" w:hAnsi="宋体" w:cs="宋体" w:eastAsia="宋体" w:hint="default"/>
          <w:sz w:val="11"/>
          <w:szCs w:val="11"/>
        </w:rPr>
      </w:pPr>
    </w:p>
    <w:p>
      <w:pPr>
        <w:spacing w:before="0"/>
        <w:ind w:left="2102" w:right="6646" w:firstLine="0"/>
        <w:jc w:val="left"/>
        <w:rPr>
          <w:rFonts w:ascii="宋体" w:hAnsi="宋体" w:cs="宋体" w:eastAsia="宋体" w:hint="default"/>
          <w:sz w:val="16"/>
          <w:szCs w:val="16"/>
        </w:rPr>
      </w:pPr>
      <w:r>
        <w:rPr/>
        <w:pict>
          <v:shape style="position:absolute;margin-left:279.770325pt;margin-top:3.383157pt;width:246.45pt;height:525.15pt;mso-position-horizontal-relative:page;mso-position-vertical-relative:paragraph;z-index:3976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288"/>
                    <w:gridCol w:w="1176"/>
                    <w:gridCol w:w="1161"/>
                    <w:gridCol w:w="1304"/>
                  </w:tblGrid>
                  <w:tr>
                    <w:trPr>
                      <w:trHeight w:val="460" w:hRule="exact"/>
                    </w:trPr>
                    <w:tc>
                      <w:tcPr>
                        <w:tcW w:w="128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29"/>
                          <w:jc w:val="right"/>
                          <w:rPr>
                            <w:rFonts w:ascii="Times New Roman" w:hAnsi="Times New Roman" w:cs="Times New Roman" w:eastAsia="Times New Roman" w:hint="default"/>
                            <w:sz w:val="16"/>
                            <w:szCs w:val="16"/>
                          </w:rPr>
                        </w:pPr>
                        <w:r>
                          <w:rPr>
                            <w:rFonts w:ascii="Times New Roman"/>
                            <w:spacing w:val="-1"/>
                            <w:sz w:val="16"/>
                          </w:rPr>
                          <w:t>24,930,000.00</w:t>
                        </w:r>
                      </w:p>
                    </w:tc>
                    <w:tc>
                      <w:tcPr>
                        <w:tcW w:w="3641"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79"/>
                          <w:ind w:left="120" w:right="0"/>
                          <w:jc w:val="center"/>
                          <w:rPr>
                            <w:rFonts w:ascii="Times New Roman" w:hAnsi="Times New Roman" w:cs="Times New Roman" w:eastAsia="Times New Roman" w:hint="default"/>
                            <w:sz w:val="16"/>
                            <w:szCs w:val="16"/>
                          </w:rPr>
                        </w:pPr>
                        <w:r>
                          <w:rPr>
                            <w:rFonts w:ascii="Times New Roman"/>
                            <w:sz w:val="16"/>
                          </w:rPr>
                          <w:t>4,080,000.00</w:t>
                        </w:r>
                      </w:p>
                    </w:tc>
                  </w:tr>
                  <w:tr>
                    <w:trPr>
                      <w:trHeight w:val="561" w:hRule="exact"/>
                    </w:trPr>
                    <w:tc>
                      <w:tcPr>
                        <w:tcW w:w="128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329"/>
                          <w:jc w:val="right"/>
                          <w:rPr>
                            <w:rFonts w:ascii="Times New Roman" w:hAnsi="Times New Roman" w:cs="Times New Roman" w:eastAsia="Times New Roman" w:hint="default"/>
                            <w:sz w:val="16"/>
                            <w:szCs w:val="16"/>
                          </w:rPr>
                        </w:pPr>
                        <w:r>
                          <w:rPr>
                            <w:rFonts w:ascii="Times New Roman"/>
                            <w:spacing w:val="-1"/>
                            <w:sz w:val="16"/>
                          </w:rPr>
                          <w:t>4,509,933.85</w:t>
                        </w:r>
                      </w:p>
                    </w:tc>
                    <w:tc>
                      <w:tcPr>
                        <w:tcW w:w="3641"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left="40" w:right="0"/>
                          <w:jc w:val="center"/>
                          <w:rPr>
                            <w:rFonts w:ascii="Times New Roman" w:hAnsi="Times New Roman" w:cs="Times New Roman" w:eastAsia="Times New Roman" w:hint="default"/>
                            <w:sz w:val="16"/>
                            <w:szCs w:val="16"/>
                          </w:rPr>
                        </w:pPr>
                        <w:r>
                          <w:rPr>
                            <w:rFonts w:ascii="Times New Roman"/>
                            <w:sz w:val="16"/>
                          </w:rPr>
                          <w:t>42,265,259.71</w:t>
                        </w:r>
                      </w:p>
                    </w:tc>
                  </w:tr>
                  <w:tr>
                    <w:trPr>
                      <w:trHeight w:val="561" w:hRule="exact"/>
                    </w:trPr>
                    <w:tc>
                      <w:tcPr>
                        <w:tcW w:w="128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329"/>
                          <w:jc w:val="right"/>
                          <w:rPr>
                            <w:rFonts w:ascii="Times New Roman" w:hAnsi="Times New Roman" w:cs="Times New Roman" w:eastAsia="Times New Roman" w:hint="default"/>
                            <w:sz w:val="16"/>
                            <w:szCs w:val="16"/>
                          </w:rPr>
                        </w:pPr>
                        <w:r>
                          <w:rPr>
                            <w:rFonts w:ascii="Times New Roman"/>
                            <w:spacing w:val="-1"/>
                            <w:sz w:val="16"/>
                          </w:rPr>
                          <w:t>316,312.00</w:t>
                        </w:r>
                      </w:p>
                    </w:tc>
                    <w:tc>
                      <w:tcPr>
                        <w:tcW w:w="3641"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left="240" w:right="0"/>
                          <w:jc w:val="center"/>
                          <w:rPr>
                            <w:rFonts w:ascii="Times New Roman" w:hAnsi="Times New Roman" w:cs="Times New Roman" w:eastAsia="Times New Roman" w:hint="default"/>
                            <w:sz w:val="16"/>
                            <w:szCs w:val="16"/>
                          </w:rPr>
                        </w:pPr>
                        <w:r>
                          <w:rPr>
                            <w:rFonts w:ascii="Times New Roman"/>
                            <w:sz w:val="16"/>
                          </w:rPr>
                          <w:t>310,000.00</w:t>
                        </w:r>
                      </w:p>
                    </w:tc>
                  </w:tr>
                  <w:tr>
                    <w:trPr>
                      <w:trHeight w:val="561" w:hRule="exact"/>
                    </w:trPr>
                    <w:tc>
                      <w:tcPr>
                        <w:tcW w:w="128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329"/>
                          <w:jc w:val="right"/>
                          <w:rPr>
                            <w:rFonts w:ascii="Times New Roman" w:hAnsi="Times New Roman" w:cs="Times New Roman" w:eastAsia="Times New Roman" w:hint="default"/>
                            <w:sz w:val="16"/>
                            <w:szCs w:val="16"/>
                          </w:rPr>
                        </w:pPr>
                        <w:r>
                          <w:rPr>
                            <w:rFonts w:ascii="Times New Roman"/>
                            <w:spacing w:val="-1"/>
                            <w:sz w:val="16"/>
                          </w:rPr>
                          <w:t>203,840.00</w:t>
                        </w:r>
                      </w:p>
                    </w:tc>
                    <w:tc>
                      <w:tcPr>
                        <w:tcW w:w="3641" w:type="dxa"/>
                        <w:gridSpan w:val="3"/>
                        <w:tcBorders>
                          <w:top w:val="nil" w:sz="6" w:space="0" w:color="auto"/>
                          <w:left w:val="nil" w:sz="6" w:space="0" w:color="auto"/>
                          <w:bottom w:val="nil" w:sz="6" w:space="0" w:color="auto"/>
                          <w:right w:val="nil" w:sz="6" w:space="0" w:color="auto"/>
                        </w:tcBorders>
                      </w:tcPr>
                      <w:p>
                        <w:pPr/>
                      </w:p>
                    </w:tc>
                  </w:tr>
                  <w:tr>
                    <w:trPr>
                      <w:trHeight w:val="561" w:hRule="exact"/>
                    </w:trPr>
                    <w:tc>
                      <w:tcPr>
                        <w:tcW w:w="128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329"/>
                          <w:jc w:val="right"/>
                          <w:rPr>
                            <w:rFonts w:ascii="Times New Roman" w:hAnsi="Times New Roman" w:cs="Times New Roman" w:eastAsia="Times New Roman" w:hint="default"/>
                            <w:sz w:val="16"/>
                            <w:szCs w:val="16"/>
                          </w:rPr>
                        </w:pPr>
                        <w:r>
                          <w:rPr>
                            <w:rFonts w:ascii="Times New Roman"/>
                            <w:spacing w:val="-1"/>
                            <w:sz w:val="16"/>
                          </w:rPr>
                          <w:t>66,806.68</w:t>
                        </w:r>
                      </w:p>
                    </w:tc>
                    <w:tc>
                      <w:tcPr>
                        <w:tcW w:w="3641" w:type="dxa"/>
                        <w:gridSpan w:val="3"/>
                        <w:tcBorders>
                          <w:top w:val="nil" w:sz="6" w:space="0" w:color="auto"/>
                          <w:left w:val="nil" w:sz="6" w:space="0" w:color="auto"/>
                          <w:bottom w:val="nil" w:sz="6" w:space="0" w:color="auto"/>
                          <w:right w:val="nil" w:sz="6" w:space="0" w:color="auto"/>
                        </w:tcBorders>
                      </w:tcPr>
                      <w:p>
                        <w:pPr/>
                      </w:p>
                    </w:tc>
                  </w:tr>
                  <w:tr>
                    <w:trPr>
                      <w:trHeight w:val="561" w:hRule="exact"/>
                    </w:trPr>
                    <w:tc>
                      <w:tcPr>
                        <w:tcW w:w="1288" w:type="dxa"/>
                        <w:tcBorders>
                          <w:top w:val="nil" w:sz="6" w:space="0" w:color="auto"/>
                          <w:left w:val="nil" w:sz="6" w:space="0" w:color="auto"/>
                          <w:bottom w:val="nil" w:sz="6" w:space="0" w:color="auto"/>
                          <w:right w:val="nil" w:sz="6" w:space="0" w:color="auto"/>
                        </w:tcBorders>
                      </w:tcPr>
                      <w:p>
                        <w:pPr/>
                      </w:p>
                    </w:tc>
                    <w:tc>
                      <w:tcPr>
                        <w:tcW w:w="3641"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left="240" w:right="0"/>
                          <w:jc w:val="center"/>
                          <w:rPr>
                            <w:rFonts w:ascii="Times New Roman" w:hAnsi="Times New Roman" w:cs="Times New Roman" w:eastAsia="Times New Roman" w:hint="default"/>
                            <w:sz w:val="16"/>
                            <w:szCs w:val="16"/>
                          </w:rPr>
                        </w:pPr>
                        <w:r>
                          <w:rPr>
                            <w:rFonts w:ascii="Times New Roman"/>
                            <w:sz w:val="16"/>
                          </w:rPr>
                          <w:t>358,800.00</w:t>
                        </w:r>
                      </w:p>
                    </w:tc>
                  </w:tr>
                  <w:tr>
                    <w:trPr>
                      <w:trHeight w:val="361" w:hRule="exact"/>
                    </w:trPr>
                    <w:tc>
                      <w:tcPr>
                        <w:tcW w:w="1288" w:type="dxa"/>
                        <w:tcBorders>
                          <w:top w:val="nil" w:sz="6" w:space="0" w:color="auto"/>
                          <w:left w:val="nil" w:sz="6" w:space="0" w:color="auto"/>
                          <w:bottom w:val="nil" w:sz="6" w:space="0" w:color="auto"/>
                          <w:right w:val="nil" w:sz="6" w:space="0" w:color="auto"/>
                        </w:tcBorders>
                      </w:tcPr>
                      <w:p>
                        <w:pPr/>
                      </w:p>
                    </w:tc>
                    <w:tc>
                      <w:tcPr>
                        <w:tcW w:w="3641"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left="240" w:right="0"/>
                          <w:jc w:val="center"/>
                          <w:rPr>
                            <w:rFonts w:ascii="Times New Roman" w:hAnsi="Times New Roman" w:cs="Times New Roman" w:eastAsia="Times New Roman" w:hint="default"/>
                            <w:sz w:val="16"/>
                            <w:szCs w:val="16"/>
                          </w:rPr>
                        </w:pPr>
                        <w:r>
                          <w:rPr>
                            <w:rFonts w:ascii="Times New Roman"/>
                            <w:sz w:val="16"/>
                          </w:rPr>
                          <w:t>150,000.00</w:t>
                        </w:r>
                      </w:p>
                    </w:tc>
                  </w:tr>
                  <w:tr>
                    <w:trPr>
                      <w:trHeight w:val="194" w:hRule="exact"/>
                    </w:trPr>
                    <w:tc>
                      <w:tcPr>
                        <w:tcW w:w="1288" w:type="dxa"/>
                        <w:tcBorders>
                          <w:top w:val="nil" w:sz="6" w:space="0" w:color="auto"/>
                          <w:left w:val="nil" w:sz="6" w:space="0" w:color="auto"/>
                          <w:bottom w:val="nil" w:sz="6" w:space="0" w:color="auto"/>
                          <w:right w:val="nil" w:sz="6" w:space="0" w:color="auto"/>
                        </w:tcBorders>
                      </w:tcPr>
                      <w:p>
                        <w:pPr/>
                      </w:p>
                    </w:tc>
                    <w:tc>
                      <w:tcPr>
                        <w:tcW w:w="3641" w:type="dxa"/>
                        <w:gridSpan w:val="3"/>
                        <w:tcBorders>
                          <w:top w:val="nil" w:sz="6" w:space="0" w:color="auto"/>
                          <w:left w:val="nil" w:sz="6" w:space="0" w:color="auto"/>
                          <w:bottom w:val="nil" w:sz="6" w:space="0" w:color="auto"/>
                          <w:right w:val="nil" w:sz="6" w:space="0" w:color="auto"/>
                        </w:tcBorders>
                      </w:tcPr>
                      <w:p>
                        <w:pPr/>
                      </w:p>
                    </w:tc>
                  </w:tr>
                  <w:tr>
                    <w:trPr>
                      <w:trHeight w:val="589" w:hRule="exact"/>
                    </w:trPr>
                    <w:tc>
                      <w:tcPr>
                        <w:tcW w:w="1288" w:type="dxa"/>
                        <w:tcBorders>
                          <w:top w:val="nil" w:sz="6" w:space="0" w:color="auto"/>
                          <w:left w:val="nil" w:sz="6" w:space="0" w:color="auto"/>
                          <w:bottom w:val="nil" w:sz="6" w:space="0" w:color="auto"/>
                          <w:right w:val="nil" w:sz="6" w:space="0" w:color="auto"/>
                        </w:tcBorders>
                      </w:tcPr>
                      <w:p>
                        <w:pPr/>
                      </w:p>
                    </w:tc>
                    <w:tc>
                      <w:tcPr>
                        <w:tcW w:w="1176" w:type="dxa"/>
                        <w:tcBorders>
                          <w:top w:val="nil" w:sz="6" w:space="0" w:color="auto"/>
                          <w:left w:val="nil" w:sz="6" w:space="0" w:color="auto"/>
                          <w:bottom w:val="nil" w:sz="6" w:space="0" w:color="auto"/>
                          <w:right w:val="nil" w:sz="6" w:space="0" w:color="auto"/>
                        </w:tcBorders>
                      </w:tcPr>
                      <w:p>
                        <w:pP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3"/>
                          <w:jc w:val="right"/>
                          <w:rPr>
                            <w:rFonts w:ascii="Times New Roman" w:hAnsi="Times New Roman" w:cs="Times New Roman" w:eastAsia="Times New Roman" w:hint="default"/>
                            <w:sz w:val="16"/>
                            <w:szCs w:val="16"/>
                          </w:rPr>
                        </w:pPr>
                        <w:r>
                          <w:rPr>
                            <w:rFonts w:ascii="Times New Roman"/>
                            <w:spacing w:val="-1"/>
                            <w:sz w:val="16"/>
                          </w:rPr>
                          <w:t>105,000.00</w:t>
                        </w:r>
                      </w:p>
                    </w:tc>
                    <w:tc>
                      <w:tcPr>
                        <w:tcW w:w="1304" w:type="dxa"/>
                        <w:tcBorders>
                          <w:top w:val="nil" w:sz="6" w:space="0" w:color="auto"/>
                          <w:left w:val="nil" w:sz="6" w:space="0" w:color="auto"/>
                          <w:bottom w:val="nil" w:sz="6" w:space="0" w:color="auto"/>
                          <w:right w:val="nil" w:sz="6" w:space="0" w:color="auto"/>
                        </w:tcBorders>
                      </w:tcPr>
                      <w:p>
                        <w:pPr/>
                      </w:p>
                    </w:tc>
                  </w:tr>
                  <w:tr>
                    <w:trPr>
                      <w:trHeight w:val="686" w:hRule="exact"/>
                    </w:trPr>
                    <w:tc>
                      <w:tcPr>
                        <w:tcW w:w="128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329"/>
                          <w:jc w:val="right"/>
                          <w:rPr>
                            <w:rFonts w:ascii="Times New Roman" w:hAnsi="Times New Roman" w:cs="Times New Roman" w:eastAsia="Times New Roman" w:hint="default"/>
                            <w:sz w:val="16"/>
                            <w:szCs w:val="16"/>
                          </w:rPr>
                        </w:pPr>
                        <w:r>
                          <w:rPr>
                            <w:rFonts w:ascii="Times New Roman"/>
                            <w:spacing w:val="-1"/>
                            <w:sz w:val="16"/>
                          </w:rPr>
                          <w:t>1,197,200.65</w:t>
                        </w:r>
                      </w:p>
                    </w:tc>
                    <w:tc>
                      <w:tcPr>
                        <w:tcW w:w="1176" w:type="dxa"/>
                        <w:tcBorders>
                          <w:top w:val="nil" w:sz="6" w:space="0" w:color="auto"/>
                          <w:left w:val="nil" w:sz="6" w:space="0" w:color="auto"/>
                          <w:bottom w:val="nil" w:sz="6" w:space="0" w:color="auto"/>
                          <w:right w:val="nil" w:sz="6" w:space="0" w:color="auto"/>
                        </w:tcBorders>
                      </w:tcPr>
                      <w:p>
                        <w:pP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33"/>
                          <w:jc w:val="right"/>
                          <w:rPr>
                            <w:rFonts w:ascii="Times New Roman" w:hAnsi="Times New Roman" w:cs="Times New Roman" w:eastAsia="Times New Roman" w:hint="default"/>
                            <w:sz w:val="16"/>
                            <w:szCs w:val="16"/>
                          </w:rPr>
                        </w:pPr>
                        <w:r>
                          <w:rPr>
                            <w:rFonts w:ascii="Times New Roman"/>
                            <w:spacing w:val="-1"/>
                            <w:sz w:val="16"/>
                          </w:rPr>
                          <w:t>271,183.91</w:t>
                        </w:r>
                      </w:p>
                    </w:tc>
                    <w:tc>
                      <w:tcPr>
                        <w:tcW w:w="1304" w:type="dxa"/>
                        <w:tcBorders>
                          <w:top w:val="nil" w:sz="6" w:space="0" w:color="auto"/>
                          <w:left w:val="nil" w:sz="6" w:space="0" w:color="auto"/>
                          <w:bottom w:val="nil" w:sz="6" w:space="0" w:color="auto"/>
                          <w:right w:val="nil" w:sz="6" w:space="0" w:color="auto"/>
                        </w:tcBorders>
                      </w:tcPr>
                      <w:p>
                        <w:pPr/>
                      </w:p>
                    </w:tc>
                  </w:tr>
                  <w:tr>
                    <w:trPr>
                      <w:trHeight w:val="561" w:hRule="exact"/>
                    </w:trPr>
                    <w:tc>
                      <w:tcPr>
                        <w:tcW w:w="128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329"/>
                          <w:jc w:val="right"/>
                          <w:rPr>
                            <w:rFonts w:ascii="Times New Roman" w:hAnsi="Times New Roman" w:cs="Times New Roman" w:eastAsia="Times New Roman" w:hint="default"/>
                            <w:sz w:val="16"/>
                            <w:szCs w:val="16"/>
                          </w:rPr>
                        </w:pPr>
                        <w:r>
                          <w:rPr>
                            <w:rFonts w:ascii="Times New Roman"/>
                            <w:spacing w:val="-1"/>
                            <w:sz w:val="16"/>
                          </w:rPr>
                          <w:t>1,188,059.79</w:t>
                        </w:r>
                      </w:p>
                    </w:tc>
                    <w:tc>
                      <w:tcPr>
                        <w:tcW w:w="1176" w:type="dxa"/>
                        <w:tcBorders>
                          <w:top w:val="nil" w:sz="6" w:space="0" w:color="auto"/>
                          <w:left w:val="nil" w:sz="6" w:space="0" w:color="auto"/>
                          <w:bottom w:val="nil" w:sz="6" w:space="0" w:color="auto"/>
                          <w:right w:val="nil" w:sz="6" w:space="0" w:color="auto"/>
                        </w:tcBorders>
                      </w:tcPr>
                      <w:p>
                        <w:pPr/>
                      </w:p>
                    </w:tc>
                    <w:tc>
                      <w:tcPr>
                        <w:tcW w:w="1161" w:type="dxa"/>
                        <w:tcBorders>
                          <w:top w:val="nil" w:sz="6" w:space="0" w:color="auto"/>
                          <w:left w:val="nil" w:sz="6" w:space="0" w:color="auto"/>
                          <w:bottom w:val="nil" w:sz="6" w:space="0" w:color="auto"/>
                          <w:right w:val="nil" w:sz="6" w:space="0" w:color="auto"/>
                        </w:tcBorders>
                      </w:tcPr>
                      <w:p>
                        <w:pPr/>
                      </w:p>
                    </w:tc>
                    <w:tc>
                      <w:tcPr>
                        <w:tcW w:w="1304" w:type="dxa"/>
                        <w:tcBorders>
                          <w:top w:val="nil" w:sz="6" w:space="0" w:color="auto"/>
                          <w:left w:val="nil" w:sz="6" w:space="0" w:color="auto"/>
                          <w:bottom w:val="nil" w:sz="6" w:space="0" w:color="auto"/>
                          <w:right w:val="nil" w:sz="6" w:space="0" w:color="auto"/>
                        </w:tcBorders>
                      </w:tcPr>
                      <w:p>
                        <w:pPr/>
                      </w:p>
                    </w:tc>
                  </w:tr>
                  <w:tr>
                    <w:trPr>
                      <w:trHeight w:val="561" w:hRule="exact"/>
                    </w:trPr>
                    <w:tc>
                      <w:tcPr>
                        <w:tcW w:w="128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329"/>
                          <w:jc w:val="right"/>
                          <w:rPr>
                            <w:rFonts w:ascii="Times New Roman" w:hAnsi="Times New Roman" w:cs="Times New Roman" w:eastAsia="Times New Roman" w:hint="default"/>
                            <w:sz w:val="16"/>
                            <w:szCs w:val="16"/>
                          </w:rPr>
                        </w:pPr>
                        <w:r>
                          <w:rPr>
                            <w:rFonts w:ascii="Times New Roman"/>
                            <w:spacing w:val="-1"/>
                            <w:sz w:val="16"/>
                          </w:rPr>
                          <w:t>1,128,638.75</w:t>
                        </w: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202"/>
                          <w:jc w:val="right"/>
                          <w:rPr>
                            <w:rFonts w:ascii="Times New Roman" w:hAnsi="Times New Roman" w:cs="Times New Roman" w:eastAsia="Times New Roman" w:hint="default"/>
                            <w:sz w:val="16"/>
                            <w:szCs w:val="16"/>
                          </w:rPr>
                        </w:pPr>
                        <w:r>
                          <w:rPr>
                            <w:rFonts w:ascii="Times New Roman"/>
                            <w:spacing w:val="-1"/>
                            <w:sz w:val="16"/>
                          </w:rPr>
                          <w:t>56,431.94</w:t>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34"/>
                          <w:jc w:val="right"/>
                          <w:rPr>
                            <w:rFonts w:ascii="Times New Roman" w:hAnsi="Times New Roman" w:cs="Times New Roman" w:eastAsia="Times New Roman" w:hint="default"/>
                            <w:sz w:val="16"/>
                            <w:szCs w:val="16"/>
                          </w:rPr>
                        </w:pPr>
                        <w:r>
                          <w:rPr>
                            <w:rFonts w:ascii="Times New Roman"/>
                            <w:spacing w:val="-1"/>
                            <w:sz w:val="16"/>
                          </w:rPr>
                          <w:t>1,505,255.28</w:t>
                        </w:r>
                      </w:p>
                    </w:tc>
                    <w:tc>
                      <w:tcPr>
                        <w:tcW w:w="1304" w:type="dxa"/>
                        <w:tcBorders>
                          <w:top w:val="nil" w:sz="6" w:space="0" w:color="auto"/>
                          <w:left w:val="nil" w:sz="6" w:space="0" w:color="auto"/>
                          <w:bottom w:val="nil" w:sz="6" w:space="0" w:color="auto"/>
                          <w:right w:val="nil" w:sz="6" w:space="0" w:color="auto"/>
                        </w:tcBorders>
                      </w:tcPr>
                      <w:p>
                        <w:pPr/>
                      </w:p>
                    </w:tc>
                  </w:tr>
                  <w:tr>
                    <w:trPr>
                      <w:trHeight w:val="561" w:hRule="exact"/>
                    </w:trPr>
                    <w:tc>
                      <w:tcPr>
                        <w:tcW w:w="128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329"/>
                          <w:jc w:val="right"/>
                          <w:rPr>
                            <w:rFonts w:ascii="Times New Roman" w:hAnsi="Times New Roman" w:cs="Times New Roman" w:eastAsia="Times New Roman" w:hint="default"/>
                            <w:sz w:val="16"/>
                            <w:szCs w:val="16"/>
                          </w:rPr>
                        </w:pPr>
                        <w:r>
                          <w:rPr>
                            <w:rFonts w:ascii="Times New Roman"/>
                            <w:spacing w:val="-1"/>
                            <w:sz w:val="16"/>
                          </w:rPr>
                          <w:t>372,635.12</w:t>
                        </w:r>
                      </w:p>
                    </w:tc>
                    <w:tc>
                      <w:tcPr>
                        <w:tcW w:w="1176" w:type="dxa"/>
                        <w:tcBorders>
                          <w:top w:val="nil" w:sz="6" w:space="0" w:color="auto"/>
                          <w:left w:val="nil" w:sz="6" w:space="0" w:color="auto"/>
                          <w:bottom w:val="nil" w:sz="6" w:space="0" w:color="auto"/>
                          <w:right w:val="nil" w:sz="6" w:space="0" w:color="auto"/>
                        </w:tcBorders>
                      </w:tcPr>
                      <w:p>
                        <w:pP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33"/>
                          <w:jc w:val="right"/>
                          <w:rPr>
                            <w:rFonts w:ascii="Times New Roman" w:hAnsi="Times New Roman" w:cs="Times New Roman" w:eastAsia="Times New Roman" w:hint="default"/>
                            <w:sz w:val="16"/>
                            <w:szCs w:val="16"/>
                          </w:rPr>
                        </w:pPr>
                        <w:r>
                          <w:rPr>
                            <w:rFonts w:ascii="Times New Roman"/>
                            <w:spacing w:val="-1"/>
                            <w:w w:val="95"/>
                            <w:sz w:val="16"/>
                          </w:rPr>
                          <w:t>64,289.11</w:t>
                        </w:r>
                        <w:r>
                          <w:rPr>
                            <w:rFonts w:ascii="Times New Roman"/>
                            <w:spacing w:val="-1"/>
                            <w:sz w:val="16"/>
                          </w:rPr>
                        </w:r>
                      </w:p>
                    </w:tc>
                    <w:tc>
                      <w:tcPr>
                        <w:tcW w:w="130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33"/>
                          <w:jc w:val="right"/>
                          <w:rPr>
                            <w:rFonts w:ascii="Times New Roman" w:hAnsi="Times New Roman" w:cs="Times New Roman" w:eastAsia="Times New Roman" w:hint="default"/>
                            <w:sz w:val="16"/>
                            <w:szCs w:val="16"/>
                          </w:rPr>
                        </w:pPr>
                        <w:r>
                          <w:rPr>
                            <w:rFonts w:ascii="Times New Roman"/>
                            <w:spacing w:val="-1"/>
                            <w:sz w:val="16"/>
                          </w:rPr>
                          <w:t>3,214.46</w:t>
                        </w:r>
                      </w:p>
                    </w:tc>
                  </w:tr>
                  <w:tr>
                    <w:trPr>
                      <w:trHeight w:val="561" w:hRule="exact"/>
                    </w:trPr>
                    <w:tc>
                      <w:tcPr>
                        <w:tcW w:w="128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329"/>
                          <w:jc w:val="right"/>
                          <w:rPr>
                            <w:rFonts w:ascii="Times New Roman" w:hAnsi="Times New Roman" w:cs="Times New Roman" w:eastAsia="Times New Roman" w:hint="default"/>
                            <w:sz w:val="16"/>
                            <w:szCs w:val="16"/>
                          </w:rPr>
                        </w:pPr>
                        <w:r>
                          <w:rPr>
                            <w:rFonts w:ascii="Times New Roman"/>
                            <w:spacing w:val="-1"/>
                            <w:sz w:val="16"/>
                          </w:rPr>
                          <w:t>370,000.00</w:t>
                        </w: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202"/>
                          <w:jc w:val="right"/>
                          <w:rPr>
                            <w:rFonts w:ascii="Times New Roman" w:hAnsi="Times New Roman" w:cs="Times New Roman" w:eastAsia="Times New Roman" w:hint="default"/>
                            <w:sz w:val="16"/>
                            <w:szCs w:val="16"/>
                          </w:rPr>
                        </w:pPr>
                        <w:r>
                          <w:rPr>
                            <w:rFonts w:ascii="Times New Roman"/>
                            <w:spacing w:val="-1"/>
                            <w:sz w:val="16"/>
                          </w:rPr>
                          <w:t>18,500.00</w:t>
                        </w:r>
                      </w:p>
                    </w:tc>
                    <w:tc>
                      <w:tcPr>
                        <w:tcW w:w="1161" w:type="dxa"/>
                        <w:tcBorders>
                          <w:top w:val="nil" w:sz="6" w:space="0" w:color="auto"/>
                          <w:left w:val="nil" w:sz="6" w:space="0" w:color="auto"/>
                          <w:bottom w:val="nil" w:sz="6" w:space="0" w:color="auto"/>
                          <w:right w:val="nil" w:sz="6" w:space="0" w:color="auto"/>
                        </w:tcBorders>
                      </w:tcPr>
                      <w:p>
                        <w:pPr/>
                      </w:p>
                    </w:tc>
                    <w:tc>
                      <w:tcPr>
                        <w:tcW w:w="1304" w:type="dxa"/>
                        <w:tcBorders>
                          <w:top w:val="nil" w:sz="6" w:space="0" w:color="auto"/>
                          <w:left w:val="nil" w:sz="6" w:space="0" w:color="auto"/>
                          <w:bottom w:val="nil" w:sz="6" w:space="0" w:color="auto"/>
                          <w:right w:val="nil" w:sz="6" w:space="0" w:color="auto"/>
                        </w:tcBorders>
                      </w:tcPr>
                      <w:p>
                        <w:pPr/>
                      </w:p>
                    </w:tc>
                  </w:tr>
                  <w:tr>
                    <w:trPr>
                      <w:trHeight w:val="561" w:hRule="exact"/>
                    </w:trPr>
                    <w:tc>
                      <w:tcPr>
                        <w:tcW w:w="128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329"/>
                          <w:jc w:val="right"/>
                          <w:rPr>
                            <w:rFonts w:ascii="Times New Roman" w:hAnsi="Times New Roman" w:cs="Times New Roman" w:eastAsia="Times New Roman" w:hint="default"/>
                            <w:sz w:val="16"/>
                            <w:szCs w:val="16"/>
                          </w:rPr>
                        </w:pPr>
                        <w:r>
                          <w:rPr>
                            <w:rFonts w:ascii="Times New Roman"/>
                            <w:spacing w:val="-1"/>
                            <w:w w:val="95"/>
                            <w:sz w:val="16"/>
                          </w:rPr>
                          <w:t>215,211.63</w:t>
                        </w:r>
                        <w:r>
                          <w:rPr>
                            <w:rFonts w:ascii="Times New Roman"/>
                            <w:spacing w:val="-1"/>
                            <w:sz w:val="16"/>
                          </w:rPr>
                        </w: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202"/>
                          <w:jc w:val="right"/>
                          <w:rPr>
                            <w:rFonts w:ascii="Times New Roman" w:hAnsi="Times New Roman" w:cs="Times New Roman" w:eastAsia="Times New Roman" w:hint="default"/>
                            <w:sz w:val="16"/>
                            <w:szCs w:val="16"/>
                          </w:rPr>
                        </w:pPr>
                        <w:r>
                          <w:rPr>
                            <w:rFonts w:ascii="Times New Roman"/>
                            <w:spacing w:val="-1"/>
                            <w:sz w:val="16"/>
                          </w:rPr>
                          <w:t>10,760.58</w:t>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33"/>
                          <w:jc w:val="right"/>
                          <w:rPr>
                            <w:rFonts w:ascii="Times New Roman" w:hAnsi="Times New Roman" w:cs="Times New Roman" w:eastAsia="Times New Roman" w:hint="default"/>
                            <w:sz w:val="16"/>
                            <w:szCs w:val="16"/>
                          </w:rPr>
                        </w:pPr>
                        <w:r>
                          <w:rPr>
                            <w:rFonts w:ascii="Times New Roman"/>
                            <w:spacing w:val="-1"/>
                            <w:sz w:val="16"/>
                          </w:rPr>
                          <w:t>26,718.06</w:t>
                        </w:r>
                      </w:p>
                    </w:tc>
                    <w:tc>
                      <w:tcPr>
                        <w:tcW w:w="130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33"/>
                          <w:jc w:val="right"/>
                          <w:rPr>
                            <w:rFonts w:ascii="Times New Roman" w:hAnsi="Times New Roman" w:cs="Times New Roman" w:eastAsia="Times New Roman" w:hint="default"/>
                            <w:sz w:val="16"/>
                            <w:szCs w:val="16"/>
                          </w:rPr>
                        </w:pPr>
                        <w:r>
                          <w:rPr>
                            <w:rFonts w:ascii="Times New Roman"/>
                            <w:spacing w:val="-1"/>
                            <w:sz w:val="16"/>
                          </w:rPr>
                          <w:t>26,718.06</w:t>
                        </w:r>
                      </w:p>
                    </w:tc>
                  </w:tr>
                  <w:tr>
                    <w:trPr>
                      <w:trHeight w:val="561" w:hRule="exact"/>
                    </w:trPr>
                    <w:tc>
                      <w:tcPr>
                        <w:tcW w:w="128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329"/>
                          <w:jc w:val="right"/>
                          <w:rPr>
                            <w:rFonts w:ascii="Times New Roman" w:hAnsi="Times New Roman" w:cs="Times New Roman" w:eastAsia="Times New Roman" w:hint="default"/>
                            <w:sz w:val="16"/>
                            <w:szCs w:val="16"/>
                          </w:rPr>
                        </w:pPr>
                        <w:r>
                          <w:rPr>
                            <w:rFonts w:ascii="Times New Roman"/>
                            <w:spacing w:val="-1"/>
                            <w:w w:val="95"/>
                            <w:sz w:val="16"/>
                          </w:rPr>
                          <w:t>211,300.00</w:t>
                        </w:r>
                        <w:r>
                          <w:rPr>
                            <w:rFonts w:ascii="Times New Roman"/>
                            <w:spacing w:val="-1"/>
                            <w:sz w:val="16"/>
                          </w:rPr>
                        </w: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202"/>
                          <w:jc w:val="right"/>
                          <w:rPr>
                            <w:rFonts w:ascii="Times New Roman" w:hAnsi="Times New Roman" w:cs="Times New Roman" w:eastAsia="Times New Roman" w:hint="default"/>
                            <w:sz w:val="16"/>
                            <w:szCs w:val="16"/>
                          </w:rPr>
                        </w:pPr>
                        <w:r>
                          <w:rPr>
                            <w:rFonts w:ascii="Times New Roman"/>
                            <w:spacing w:val="-1"/>
                            <w:sz w:val="16"/>
                          </w:rPr>
                          <w:t>34,640.00</w:t>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34"/>
                          <w:jc w:val="right"/>
                          <w:rPr>
                            <w:rFonts w:ascii="Times New Roman" w:hAnsi="Times New Roman" w:cs="Times New Roman" w:eastAsia="Times New Roman" w:hint="default"/>
                            <w:sz w:val="16"/>
                            <w:szCs w:val="16"/>
                          </w:rPr>
                        </w:pPr>
                        <w:r>
                          <w:rPr>
                            <w:rFonts w:ascii="Times New Roman"/>
                            <w:spacing w:val="-1"/>
                            <w:w w:val="95"/>
                            <w:sz w:val="16"/>
                          </w:rPr>
                          <w:t>211,300.00</w:t>
                        </w:r>
                        <w:r>
                          <w:rPr>
                            <w:rFonts w:ascii="Times New Roman"/>
                            <w:spacing w:val="-1"/>
                            <w:sz w:val="16"/>
                          </w:rPr>
                        </w:r>
                      </w:p>
                    </w:tc>
                    <w:tc>
                      <w:tcPr>
                        <w:tcW w:w="130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33"/>
                          <w:jc w:val="right"/>
                          <w:rPr>
                            <w:rFonts w:ascii="Times New Roman" w:hAnsi="Times New Roman" w:cs="Times New Roman" w:eastAsia="Times New Roman" w:hint="default"/>
                            <w:sz w:val="16"/>
                            <w:szCs w:val="16"/>
                          </w:rPr>
                        </w:pPr>
                        <w:r>
                          <w:rPr>
                            <w:rFonts w:ascii="Times New Roman"/>
                            <w:spacing w:val="-1"/>
                            <w:sz w:val="16"/>
                          </w:rPr>
                          <w:t>21,180.00</w:t>
                        </w:r>
                      </w:p>
                    </w:tc>
                  </w:tr>
                  <w:tr>
                    <w:trPr>
                      <w:trHeight w:val="561" w:hRule="exact"/>
                    </w:trPr>
                    <w:tc>
                      <w:tcPr>
                        <w:tcW w:w="128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329"/>
                          <w:jc w:val="right"/>
                          <w:rPr>
                            <w:rFonts w:ascii="Times New Roman" w:hAnsi="Times New Roman" w:cs="Times New Roman" w:eastAsia="Times New Roman" w:hint="default"/>
                            <w:sz w:val="16"/>
                            <w:szCs w:val="16"/>
                          </w:rPr>
                        </w:pPr>
                        <w:r>
                          <w:rPr>
                            <w:rFonts w:ascii="Times New Roman"/>
                            <w:spacing w:val="-1"/>
                            <w:sz w:val="16"/>
                          </w:rPr>
                          <w:t>30,000.00</w:t>
                        </w: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201"/>
                          <w:jc w:val="right"/>
                          <w:rPr>
                            <w:rFonts w:ascii="Times New Roman" w:hAnsi="Times New Roman" w:cs="Times New Roman" w:eastAsia="Times New Roman" w:hint="default"/>
                            <w:sz w:val="16"/>
                            <w:szCs w:val="16"/>
                          </w:rPr>
                        </w:pPr>
                        <w:r>
                          <w:rPr>
                            <w:rFonts w:ascii="Times New Roman"/>
                            <w:spacing w:val="-1"/>
                            <w:sz w:val="16"/>
                          </w:rPr>
                          <w:t>3,000.00</w:t>
                        </w:r>
                      </w:p>
                    </w:tc>
                    <w:tc>
                      <w:tcPr>
                        <w:tcW w:w="1161" w:type="dxa"/>
                        <w:tcBorders>
                          <w:top w:val="nil" w:sz="6" w:space="0" w:color="auto"/>
                          <w:left w:val="nil" w:sz="6" w:space="0" w:color="auto"/>
                          <w:bottom w:val="nil" w:sz="6" w:space="0" w:color="auto"/>
                          <w:right w:val="nil" w:sz="6" w:space="0" w:color="auto"/>
                        </w:tcBorders>
                      </w:tcPr>
                      <w:p>
                        <w:pPr/>
                      </w:p>
                    </w:tc>
                    <w:tc>
                      <w:tcPr>
                        <w:tcW w:w="1304" w:type="dxa"/>
                        <w:tcBorders>
                          <w:top w:val="nil" w:sz="6" w:space="0" w:color="auto"/>
                          <w:left w:val="nil" w:sz="6" w:space="0" w:color="auto"/>
                          <w:bottom w:val="nil" w:sz="6" w:space="0" w:color="auto"/>
                          <w:right w:val="nil" w:sz="6" w:space="0" w:color="auto"/>
                        </w:tcBorders>
                      </w:tcPr>
                      <w:p>
                        <w:pPr/>
                      </w:p>
                    </w:tc>
                  </w:tr>
                  <w:tr>
                    <w:trPr>
                      <w:trHeight w:val="561" w:hRule="exact"/>
                    </w:trPr>
                    <w:tc>
                      <w:tcPr>
                        <w:tcW w:w="128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329"/>
                          <w:jc w:val="right"/>
                          <w:rPr>
                            <w:rFonts w:ascii="Times New Roman" w:hAnsi="Times New Roman" w:cs="Times New Roman" w:eastAsia="Times New Roman" w:hint="default"/>
                            <w:sz w:val="16"/>
                            <w:szCs w:val="16"/>
                          </w:rPr>
                        </w:pPr>
                        <w:r>
                          <w:rPr>
                            <w:rFonts w:ascii="Times New Roman"/>
                            <w:spacing w:val="-1"/>
                            <w:sz w:val="16"/>
                          </w:rPr>
                          <w:t>25,081.39</w:t>
                        </w:r>
                      </w:p>
                    </w:tc>
                    <w:tc>
                      <w:tcPr>
                        <w:tcW w:w="117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201"/>
                          <w:jc w:val="right"/>
                          <w:rPr>
                            <w:rFonts w:ascii="Times New Roman" w:hAnsi="Times New Roman" w:cs="Times New Roman" w:eastAsia="Times New Roman" w:hint="default"/>
                            <w:sz w:val="16"/>
                            <w:szCs w:val="16"/>
                          </w:rPr>
                        </w:pPr>
                        <w:r>
                          <w:rPr>
                            <w:rFonts w:ascii="Times New Roman"/>
                            <w:spacing w:val="-1"/>
                            <w:sz w:val="16"/>
                          </w:rPr>
                          <w:t>1,254.07</w:t>
                        </w:r>
                      </w:p>
                    </w:tc>
                    <w:tc>
                      <w:tcPr>
                        <w:tcW w:w="1161" w:type="dxa"/>
                        <w:tcBorders>
                          <w:top w:val="nil" w:sz="6" w:space="0" w:color="auto"/>
                          <w:left w:val="nil" w:sz="6" w:space="0" w:color="auto"/>
                          <w:bottom w:val="nil" w:sz="6" w:space="0" w:color="auto"/>
                          <w:right w:val="nil" w:sz="6" w:space="0" w:color="auto"/>
                        </w:tcBorders>
                      </w:tcPr>
                      <w:p>
                        <w:pPr/>
                      </w:p>
                    </w:tc>
                    <w:tc>
                      <w:tcPr>
                        <w:tcW w:w="1304" w:type="dxa"/>
                        <w:tcBorders>
                          <w:top w:val="nil" w:sz="6" w:space="0" w:color="auto"/>
                          <w:left w:val="nil" w:sz="6" w:space="0" w:color="auto"/>
                          <w:bottom w:val="nil" w:sz="6" w:space="0" w:color="auto"/>
                          <w:right w:val="nil" w:sz="6" w:space="0" w:color="auto"/>
                        </w:tcBorders>
                      </w:tcPr>
                      <w:p>
                        <w:pPr/>
                      </w:p>
                    </w:tc>
                  </w:tr>
                  <w:tr>
                    <w:trPr>
                      <w:trHeight w:val="561" w:hRule="exact"/>
                    </w:trPr>
                    <w:tc>
                      <w:tcPr>
                        <w:tcW w:w="128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329"/>
                          <w:jc w:val="right"/>
                          <w:rPr>
                            <w:rFonts w:ascii="Times New Roman" w:hAnsi="Times New Roman" w:cs="Times New Roman" w:eastAsia="Times New Roman" w:hint="default"/>
                            <w:sz w:val="16"/>
                            <w:szCs w:val="16"/>
                          </w:rPr>
                        </w:pPr>
                        <w:r>
                          <w:rPr>
                            <w:rFonts w:ascii="Times New Roman"/>
                            <w:spacing w:val="-1"/>
                            <w:sz w:val="16"/>
                          </w:rPr>
                          <w:t>23,000.00</w:t>
                        </w:r>
                      </w:p>
                    </w:tc>
                    <w:tc>
                      <w:tcPr>
                        <w:tcW w:w="1176" w:type="dxa"/>
                        <w:tcBorders>
                          <w:top w:val="nil" w:sz="6" w:space="0" w:color="auto"/>
                          <w:left w:val="nil" w:sz="6" w:space="0" w:color="auto"/>
                          <w:bottom w:val="nil" w:sz="6" w:space="0" w:color="auto"/>
                          <w:right w:val="nil" w:sz="6" w:space="0" w:color="auto"/>
                        </w:tcBorders>
                      </w:tcPr>
                      <w:p>
                        <w:pP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33"/>
                          <w:jc w:val="right"/>
                          <w:rPr>
                            <w:rFonts w:ascii="Times New Roman" w:hAnsi="Times New Roman" w:cs="Times New Roman" w:eastAsia="Times New Roman" w:hint="default"/>
                            <w:sz w:val="16"/>
                            <w:szCs w:val="16"/>
                          </w:rPr>
                        </w:pPr>
                        <w:r>
                          <w:rPr>
                            <w:rFonts w:ascii="Times New Roman"/>
                            <w:spacing w:val="-1"/>
                            <w:sz w:val="16"/>
                          </w:rPr>
                          <w:t>39,200.00</w:t>
                        </w:r>
                      </w:p>
                    </w:tc>
                    <w:tc>
                      <w:tcPr>
                        <w:tcW w:w="130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33"/>
                          <w:jc w:val="right"/>
                          <w:rPr>
                            <w:rFonts w:ascii="Times New Roman" w:hAnsi="Times New Roman" w:cs="Times New Roman" w:eastAsia="Times New Roman" w:hint="default"/>
                            <w:sz w:val="16"/>
                            <w:szCs w:val="16"/>
                          </w:rPr>
                        </w:pPr>
                        <w:r>
                          <w:rPr>
                            <w:rFonts w:ascii="Times New Roman"/>
                            <w:spacing w:val="-1"/>
                            <w:sz w:val="16"/>
                          </w:rPr>
                          <w:t>810.00</w:t>
                        </w:r>
                      </w:p>
                    </w:tc>
                  </w:tr>
                  <w:tr>
                    <w:trPr>
                      <w:trHeight w:val="360" w:hRule="exact"/>
                    </w:trPr>
                    <w:tc>
                      <w:tcPr>
                        <w:tcW w:w="128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329"/>
                          <w:jc w:val="right"/>
                          <w:rPr>
                            <w:rFonts w:ascii="Times New Roman" w:hAnsi="Times New Roman" w:cs="Times New Roman" w:eastAsia="Times New Roman" w:hint="default"/>
                            <w:sz w:val="16"/>
                            <w:szCs w:val="16"/>
                          </w:rPr>
                        </w:pPr>
                        <w:r>
                          <w:rPr>
                            <w:rFonts w:ascii="Times New Roman"/>
                            <w:spacing w:val="-1"/>
                            <w:sz w:val="16"/>
                          </w:rPr>
                          <w:t>1,000.00</w:t>
                        </w:r>
                      </w:p>
                    </w:tc>
                    <w:tc>
                      <w:tcPr>
                        <w:tcW w:w="1176" w:type="dxa"/>
                        <w:tcBorders>
                          <w:top w:val="nil" w:sz="6" w:space="0" w:color="auto"/>
                          <w:left w:val="nil" w:sz="6" w:space="0" w:color="auto"/>
                          <w:bottom w:val="nil" w:sz="6" w:space="0" w:color="auto"/>
                          <w:right w:val="nil" w:sz="6" w:space="0" w:color="auto"/>
                        </w:tcBorders>
                      </w:tcPr>
                      <w:p>
                        <w:pPr/>
                      </w:p>
                    </w:tc>
                    <w:tc>
                      <w:tcPr>
                        <w:tcW w:w="1161" w:type="dxa"/>
                        <w:tcBorders>
                          <w:top w:val="nil" w:sz="6" w:space="0" w:color="auto"/>
                          <w:left w:val="nil" w:sz="6" w:space="0" w:color="auto"/>
                          <w:bottom w:val="nil" w:sz="6" w:space="0" w:color="auto"/>
                          <w:right w:val="nil" w:sz="6" w:space="0" w:color="auto"/>
                        </w:tcBorders>
                      </w:tcPr>
                      <w:p>
                        <w:pPr/>
                      </w:p>
                    </w:tc>
                    <w:tc>
                      <w:tcPr>
                        <w:tcW w:w="1304" w:type="dxa"/>
                        <w:tcBorders>
                          <w:top w:val="nil" w:sz="6" w:space="0" w:color="auto"/>
                          <w:left w:val="nil" w:sz="6" w:space="0" w:color="auto"/>
                          <w:bottom w:val="nil" w:sz="6" w:space="0" w:color="auto"/>
                          <w:right w:val="nil" w:sz="6" w:space="0" w:color="auto"/>
                        </w:tcBorders>
                      </w:tcPr>
                      <w:p>
                        <w:pPr/>
                      </w:p>
                    </w:tc>
                  </w:tr>
                </w:tbl>
                <w:p>
                  <w:pPr/>
                </w:p>
              </w:txbxContent>
            </v:textbox>
            <w10:wrap type="none"/>
          </v:shape>
        </w:pict>
      </w:r>
      <w:r>
        <w:rPr>
          <w:rFonts w:ascii="宋体" w:hAnsi="宋体" w:cs="宋体" w:eastAsia="宋体" w:hint="default"/>
          <w:spacing w:val="4"/>
          <w:sz w:val="16"/>
          <w:szCs w:val="16"/>
        </w:rPr>
        <w:t>湖南长城银河科技有</w:t>
      </w:r>
      <w:r>
        <w:rPr>
          <w:rFonts w:ascii="宋体" w:hAnsi="宋体" w:cs="宋体" w:eastAsia="宋体" w:hint="default"/>
          <w:spacing w:val="4"/>
          <w:w w:val="99"/>
          <w:sz w:val="16"/>
          <w:szCs w:val="16"/>
        </w:rPr>
        <w:t> </w:t>
      </w:r>
      <w:r>
        <w:rPr>
          <w:rFonts w:ascii="宋体" w:hAnsi="宋体" w:cs="宋体" w:eastAsia="宋体" w:hint="default"/>
          <w:sz w:val="16"/>
          <w:szCs w:val="16"/>
        </w:rPr>
        <w:t>限公司</w:t>
      </w:r>
    </w:p>
    <w:p>
      <w:pPr>
        <w:spacing w:line="240" w:lineRule="auto" w:before="1"/>
        <w:rPr>
          <w:rFonts w:ascii="宋体" w:hAnsi="宋体" w:cs="宋体" w:eastAsia="宋体" w:hint="default"/>
          <w:sz w:val="11"/>
          <w:szCs w:val="11"/>
        </w:rPr>
      </w:pPr>
    </w:p>
    <w:p>
      <w:pPr>
        <w:spacing w:before="0"/>
        <w:ind w:left="2102" w:right="6646" w:firstLine="0"/>
        <w:jc w:val="left"/>
        <w:rPr>
          <w:rFonts w:ascii="宋体" w:hAnsi="宋体" w:cs="宋体" w:eastAsia="宋体" w:hint="default"/>
          <w:sz w:val="16"/>
          <w:szCs w:val="16"/>
        </w:rPr>
      </w:pPr>
      <w:r>
        <w:rPr>
          <w:rFonts w:ascii="宋体" w:hAnsi="宋体" w:cs="宋体" w:eastAsia="宋体" w:hint="default"/>
          <w:spacing w:val="4"/>
          <w:sz w:val="16"/>
          <w:szCs w:val="16"/>
        </w:rPr>
        <w:t>桂林长海科技有限责</w:t>
      </w:r>
      <w:r>
        <w:rPr>
          <w:rFonts w:ascii="宋体" w:hAnsi="宋体" w:cs="宋体" w:eastAsia="宋体" w:hint="default"/>
          <w:spacing w:val="4"/>
          <w:w w:val="99"/>
          <w:sz w:val="16"/>
          <w:szCs w:val="16"/>
        </w:rPr>
        <w:t> </w:t>
      </w:r>
      <w:r>
        <w:rPr>
          <w:rFonts w:ascii="宋体" w:hAnsi="宋体" w:cs="宋体" w:eastAsia="宋体" w:hint="default"/>
          <w:sz w:val="16"/>
          <w:szCs w:val="16"/>
        </w:rPr>
        <w:t>任公司</w:t>
      </w:r>
    </w:p>
    <w:p>
      <w:pPr>
        <w:spacing w:before="143"/>
        <w:ind w:left="2102" w:right="6646" w:firstLine="0"/>
        <w:jc w:val="left"/>
        <w:rPr>
          <w:rFonts w:ascii="宋体" w:hAnsi="宋体" w:cs="宋体" w:eastAsia="宋体" w:hint="default"/>
          <w:sz w:val="16"/>
          <w:szCs w:val="16"/>
        </w:rPr>
      </w:pPr>
      <w:r>
        <w:rPr>
          <w:rFonts w:ascii="宋体" w:hAnsi="宋体" w:cs="宋体" w:eastAsia="宋体" w:hint="default"/>
          <w:spacing w:val="4"/>
          <w:sz w:val="16"/>
          <w:szCs w:val="16"/>
        </w:rPr>
        <w:t>南京熊猫汉达科技有</w:t>
      </w:r>
      <w:r>
        <w:rPr>
          <w:rFonts w:ascii="宋体" w:hAnsi="宋体" w:cs="宋体" w:eastAsia="宋体" w:hint="default"/>
          <w:spacing w:val="4"/>
          <w:w w:val="99"/>
          <w:sz w:val="16"/>
          <w:szCs w:val="16"/>
        </w:rPr>
        <w:t> </w:t>
      </w:r>
      <w:r>
        <w:rPr>
          <w:rFonts w:ascii="宋体" w:hAnsi="宋体" w:cs="宋体" w:eastAsia="宋体" w:hint="default"/>
          <w:sz w:val="16"/>
          <w:szCs w:val="16"/>
        </w:rPr>
        <w:t>限公司</w:t>
      </w:r>
    </w:p>
    <w:p>
      <w:pPr>
        <w:spacing w:line="240" w:lineRule="auto" w:before="1"/>
        <w:rPr>
          <w:rFonts w:ascii="宋体" w:hAnsi="宋体" w:cs="宋体" w:eastAsia="宋体" w:hint="default"/>
          <w:sz w:val="11"/>
          <w:szCs w:val="11"/>
        </w:rPr>
      </w:pPr>
    </w:p>
    <w:p>
      <w:pPr>
        <w:spacing w:before="0"/>
        <w:ind w:left="2102" w:right="6646" w:firstLine="0"/>
        <w:jc w:val="left"/>
        <w:rPr>
          <w:rFonts w:ascii="宋体" w:hAnsi="宋体" w:cs="宋体" w:eastAsia="宋体" w:hint="default"/>
          <w:sz w:val="16"/>
          <w:szCs w:val="16"/>
        </w:rPr>
      </w:pPr>
      <w:r>
        <w:rPr>
          <w:rFonts w:ascii="宋体" w:hAnsi="宋体" w:cs="宋体" w:eastAsia="宋体" w:hint="default"/>
          <w:spacing w:val="4"/>
          <w:sz w:val="16"/>
          <w:szCs w:val="16"/>
        </w:rPr>
        <w:t>武汉艾德蒙科技股份</w:t>
      </w:r>
      <w:r>
        <w:rPr>
          <w:rFonts w:ascii="宋体" w:hAnsi="宋体" w:cs="宋体" w:eastAsia="宋体" w:hint="default"/>
          <w:spacing w:val="4"/>
          <w:w w:val="99"/>
          <w:sz w:val="16"/>
          <w:szCs w:val="16"/>
        </w:rPr>
        <w:t> </w:t>
      </w:r>
      <w:r>
        <w:rPr>
          <w:rFonts w:ascii="宋体" w:hAnsi="宋体" w:cs="宋体" w:eastAsia="宋体" w:hint="default"/>
          <w:sz w:val="16"/>
          <w:szCs w:val="16"/>
        </w:rPr>
        <w:t>有限公司</w:t>
      </w:r>
    </w:p>
    <w:p>
      <w:pPr>
        <w:spacing w:before="143"/>
        <w:ind w:left="2102" w:right="6646" w:firstLine="0"/>
        <w:jc w:val="left"/>
        <w:rPr>
          <w:rFonts w:ascii="宋体" w:hAnsi="宋体" w:cs="宋体" w:eastAsia="宋体" w:hint="default"/>
          <w:sz w:val="16"/>
          <w:szCs w:val="16"/>
        </w:rPr>
      </w:pPr>
      <w:r>
        <w:rPr>
          <w:rFonts w:ascii="宋体" w:hAnsi="宋体" w:cs="宋体" w:eastAsia="宋体" w:hint="default"/>
          <w:spacing w:val="4"/>
          <w:sz w:val="16"/>
          <w:szCs w:val="16"/>
        </w:rPr>
        <w:t>天津飞腾信息技术有</w:t>
      </w:r>
      <w:r>
        <w:rPr>
          <w:rFonts w:ascii="宋体" w:hAnsi="宋体" w:cs="宋体" w:eastAsia="宋体" w:hint="default"/>
          <w:spacing w:val="4"/>
          <w:w w:val="99"/>
          <w:sz w:val="16"/>
          <w:szCs w:val="16"/>
        </w:rPr>
        <w:t> </w:t>
      </w:r>
      <w:r>
        <w:rPr>
          <w:rFonts w:ascii="宋体" w:hAnsi="宋体" w:cs="宋体" w:eastAsia="宋体" w:hint="default"/>
          <w:sz w:val="16"/>
          <w:szCs w:val="16"/>
        </w:rPr>
        <w:t>限公司</w:t>
      </w:r>
    </w:p>
    <w:p>
      <w:pPr>
        <w:spacing w:line="240" w:lineRule="auto" w:before="1"/>
        <w:rPr>
          <w:rFonts w:ascii="宋体" w:hAnsi="宋体" w:cs="宋体" w:eastAsia="宋体" w:hint="default"/>
          <w:sz w:val="11"/>
          <w:szCs w:val="11"/>
        </w:rPr>
      </w:pPr>
    </w:p>
    <w:p>
      <w:pPr>
        <w:spacing w:before="0"/>
        <w:ind w:left="2102" w:right="6646" w:firstLine="0"/>
        <w:jc w:val="left"/>
        <w:rPr>
          <w:rFonts w:ascii="宋体" w:hAnsi="宋体" w:cs="宋体" w:eastAsia="宋体" w:hint="default"/>
          <w:sz w:val="16"/>
          <w:szCs w:val="16"/>
        </w:rPr>
      </w:pPr>
      <w:r>
        <w:rPr>
          <w:rFonts w:ascii="宋体" w:hAnsi="宋体" w:cs="宋体" w:eastAsia="宋体" w:hint="default"/>
          <w:spacing w:val="4"/>
          <w:sz w:val="16"/>
          <w:szCs w:val="16"/>
        </w:rPr>
        <w:t>盛科网络（苏州）有</w:t>
      </w:r>
      <w:r>
        <w:rPr>
          <w:rFonts w:ascii="宋体" w:hAnsi="宋体" w:cs="宋体" w:eastAsia="宋体" w:hint="default"/>
          <w:spacing w:val="4"/>
          <w:w w:val="99"/>
          <w:sz w:val="16"/>
          <w:szCs w:val="16"/>
        </w:rPr>
        <w:t> </w:t>
      </w:r>
      <w:r>
        <w:rPr>
          <w:rFonts w:ascii="宋体" w:hAnsi="宋体" w:cs="宋体" w:eastAsia="宋体" w:hint="default"/>
          <w:sz w:val="16"/>
          <w:szCs w:val="16"/>
        </w:rPr>
        <w:t>限公司</w:t>
      </w:r>
    </w:p>
    <w:p>
      <w:pPr>
        <w:spacing w:before="143"/>
        <w:ind w:left="2102" w:right="6646" w:firstLine="0"/>
        <w:jc w:val="left"/>
        <w:rPr>
          <w:rFonts w:ascii="宋体" w:hAnsi="宋体" w:cs="宋体" w:eastAsia="宋体" w:hint="default"/>
          <w:sz w:val="16"/>
          <w:szCs w:val="16"/>
        </w:rPr>
      </w:pPr>
      <w:r>
        <w:rPr>
          <w:rFonts w:ascii="宋体" w:hAnsi="宋体" w:cs="宋体" w:eastAsia="宋体" w:hint="default"/>
          <w:spacing w:val="4"/>
          <w:sz w:val="16"/>
          <w:szCs w:val="16"/>
        </w:rPr>
        <w:t>天津麒麟信息技术有</w:t>
      </w:r>
      <w:r>
        <w:rPr>
          <w:rFonts w:ascii="宋体" w:hAnsi="宋体" w:cs="宋体" w:eastAsia="宋体" w:hint="default"/>
          <w:spacing w:val="4"/>
          <w:w w:val="99"/>
          <w:sz w:val="16"/>
          <w:szCs w:val="16"/>
        </w:rPr>
        <w:t> </w:t>
      </w:r>
      <w:r>
        <w:rPr>
          <w:rFonts w:ascii="宋体" w:hAnsi="宋体" w:cs="宋体" w:eastAsia="宋体" w:hint="default"/>
          <w:sz w:val="16"/>
          <w:szCs w:val="16"/>
        </w:rPr>
        <w:t>限公司</w:t>
      </w:r>
    </w:p>
    <w:p>
      <w:pPr>
        <w:spacing w:line="240" w:lineRule="auto" w:before="1"/>
        <w:rPr>
          <w:rFonts w:ascii="宋体" w:hAnsi="宋体" w:cs="宋体" w:eastAsia="宋体" w:hint="default"/>
          <w:sz w:val="11"/>
          <w:szCs w:val="11"/>
        </w:rPr>
      </w:pPr>
    </w:p>
    <w:p>
      <w:pPr>
        <w:spacing w:before="0"/>
        <w:ind w:left="2102" w:right="3681" w:firstLine="0"/>
        <w:jc w:val="left"/>
        <w:rPr>
          <w:rFonts w:ascii="宋体" w:hAnsi="宋体" w:cs="宋体" w:eastAsia="宋体" w:hint="default"/>
          <w:sz w:val="16"/>
          <w:szCs w:val="16"/>
        </w:rPr>
      </w:pPr>
      <w:r>
        <w:rPr>
          <w:rFonts w:ascii="宋体" w:hAnsi="宋体" w:cs="宋体" w:eastAsia="宋体" w:hint="default"/>
          <w:sz w:val="16"/>
          <w:szCs w:val="16"/>
        </w:rPr>
        <w:t>中标软件有限公司</w:t>
      </w:r>
    </w:p>
    <w:p>
      <w:pPr>
        <w:spacing w:before="143"/>
        <w:ind w:left="857" w:right="3681" w:firstLine="0"/>
        <w:jc w:val="left"/>
        <w:rPr>
          <w:rFonts w:ascii="宋体" w:hAnsi="宋体" w:cs="宋体" w:eastAsia="宋体" w:hint="default"/>
          <w:sz w:val="16"/>
          <w:szCs w:val="16"/>
        </w:rPr>
      </w:pPr>
      <w:r>
        <w:rPr>
          <w:rFonts w:ascii="宋体" w:hAnsi="宋体" w:cs="宋体" w:eastAsia="宋体" w:hint="default"/>
          <w:sz w:val="16"/>
          <w:szCs w:val="16"/>
        </w:rPr>
        <w:t>其他应收款</w:t>
      </w:r>
    </w:p>
    <w:p>
      <w:pPr>
        <w:spacing w:line="240" w:lineRule="auto" w:before="1"/>
        <w:rPr>
          <w:rFonts w:ascii="宋体" w:hAnsi="宋体" w:cs="宋体" w:eastAsia="宋体" w:hint="default"/>
          <w:sz w:val="11"/>
          <w:szCs w:val="11"/>
        </w:rPr>
      </w:pPr>
    </w:p>
    <w:p>
      <w:pPr>
        <w:spacing w:before="0"/>
        <w:ind w:left="2102" w:right="6646" w:firstLine="0"/>
        <w:jc w:val="left"/>
        <w:rPr>
          <w:rFonts w:ascii="宋体" w:hAnsi="宋体" w:cs="宋体" w:eastAsia="宋体" w:hint="default"/>
          <w:sz w:val="16"/>
          <w:szCs w:val="16"/>
        </w:rPr>
      </w:pPr>
      <w:r>
        <w:rPr>
          <w:rFonts w:ascii="宋体" w:hAnsi="宋体" w:cs="宋体" w:eastAsia="宋体" w:hint="default"/>
          <w:spacing w:val="4"/>
          <w:sz w:val="16"/>
          <w:szCs w:val="16"/>
        </w:rPr>
        <w:t>桂林长海科技有限责</w:t>
      </w:r>
      <w:r>
        <w:rPr>
          <w:rFonts w:ascii="宋体" w:hAnsi="宋体" w:cs="宋体" w:eastAsia="宋体" w:hint="default"/>
          <w:spacing w:val="4"/>
          <w:w w:val="99"/>
          <w:sz w:val="16"/>
          <w:szCs w:val="16"/>
        </w:rPr>
        <w:t> </w:t>
      </w:r>
      <w:r>
        <w:rPr>
          <w:rFonts w:ascii="宋体" w:hAnsi="宋体" w:cs="宋体" w:eastAsia="宋体" w:hint="default"/>
          <w:sz w:val="16"/>
          <w:szCs w:val="16"/>
        </w:rPr>
        <w:t>任公司</w:t>
      </w:r>
    </w:p>
    <w:p>
      <w:pPr>
        <w:spacing w:before="143"/>
        <w:ind w:left="2102" w:right="6646" w:firstLine="0"/>
        <w:jc w:val="left"/>
        <w:rPr>
          <w:rFonts w:ascii="宋体" w:hAnsi="宋体" w:cs="宋体" w:eastAsia="宋体" w:hint="default"/>
          <w:sz w:val="16"/>
          <w:szCs w:val="16"/>
        </w:rPr>
      </w:pPr>
      <w:r>
        <w:rPr>
          <w:rFonts w:ascii="宋体" w:hAnsi="宋体" w:cs="宋体" w:eastAsia="宋体" w:hint="default"/>
          <w:spacing w:val="4"/>
          <w:sz w:val="16"/>
          <w:szCs w:val="16"/>
        </w:rPr>
        <w:t>中国电子信息产业集</w:t>
      </w:r>
      <w:r>
        <w:rPr>
          <w:rFonts w:ascii="宋体" w:hAnsi="宋体" w:cs="宋体" w:eastAsia="宋体" w:hint="default"/>
          <w:spacing w:val="4"/>
          <w:w w:val="99"/>
          <w:sz w:val="16"/>
          <w:szCs w:val="16"/>
        </w:rPr>
        <w:t> </w:t>
      </w:r>
      <w:r>
        <w:rPr>
          <w:rFonts w:ascii="宋体" w:hAnsi="宋体" w:cs="宋体" w:eastAsia="宋体" w:hint="default"/>
          <w:sz w:val="16"/>
          <w:szCs w:val="16"/>
        </w:rPr>
        <w:t>团有限公司</w:t>
      </w:r>
    </w:p>
    <w:p>
      <w:pPr>
        <w:spacing w:line="240" w:lineRule="auto" w:before="1"/>
        <w:rPr>
          <w:rFonts w:ascii="宋体" w:hAnsi="宋体" w:cs="宋体" w:eastAsia="宋体" w:hint="default"/>
          <w:sz w:val="11"/>
          <w:szCs w:val="11"/>
        </w:rPr>
      </w:pPr>
    </w:p>
    <w:p>
      <w:pPr>
        <w:spacing w:before="0"/>
        <w:ind w:left="2102" w:right="6646" w:firstLine="0"/>
        <w:jc w:val="left"/>
        <w:rPr>
          <w:rFonts w:ascii="宋体" w:hAnsi="宋体" w:cs="宋体" w:eastAsia="宋体" w:hint="default"/>
          <w:sz w:val="16"/>
          <w:szCs w:val="16"/>
        </w:rPr>
      </w:pPr>
      <w:r>
        <w:rPr>
          <w:rFonts w:ascii="宋体" w:hAnsi="宋体" w:cs="宋体" w:eastAsia="宋体" w:hint="default"/>
          <w:spacing w:val="4"/>
          <w:sz w:val="16"/>
          <w:szCs w:val="16"/>
        </w:rPr>
        <w:t>中科长城海洋信息系</w:t>
      </w:r>
      <w:r>
        <w:rPr>
          <w:rFonts w:ascii="宋体" w:hAnsi="宋体" w:cs="宋体" w:eastAsia="宋体" w:hint="default"/>
          <w:spacing w:val="4"/>
          <w:w w:val="99"/>
          <w:sz w:val="16"/>
          <w:szCs w:val="16"/>
        </w:rPr>
        <w:t> </w:t>
      </w:r>
      <w:r>
        <w:rPr>
          <w:rFonts w:ascii="宋体" w:hAnsi="宋体" w:cs="宋体" w:eastAsia="宋体" w:hint="default"/>
          <w:sz w:val="16"/>
          <w:szCs w:val="16"/>
        </w:rPr>
        <w:t>统有限公司</w:t>
      </w:r>
    </w:p>
    <w:p>
      <w:pPr>
        <w:spacing w:before="143"/>
        <w:ind w:left="2102" w:right="6646" w:firstLine="0"/>
        <w:jc w:val="left"/>
        <w:rPr>
          <w:rFonts w:ascii="宋体" w:hAnsi="宋体" w:cs="宋体" w:eastAsia="宋体" w:hint="default"/>
          <w:sz w:val="16"/>
          <w:szCs w:val="16"/>
        </w:rPr>
      </w:pPr>
      <w:r>
        <w:rPr>
          <w:rFonts w:ascii="宋体" w:hAnsi="宋体" w:cs="宋体" w:eastAsia="宋体" w:hint="default"/>
          <w:spacing w:val="4"/>
          <w:sz w:val="16"/>
          <w:szCs w:val="16"/>
        </w:rPr>
        <w:t>深圳长城开发精密技</w:t>
      </w:r>
      <w:r>
        <w:rPr>
          <w:rFonts w:ascii="宋体" w:hAnsi="宋体" w:cs="宋体" w:eastAsia="宋体" w:hint="default"/>
          <w:spacing w:val="4"/>
          <w:w w:val="99"/>
          <w:sz w:val="16"/>
          <w:szCs w:val="16"/>
        </w:rPr>
        <w:t> </w:t>
      </w:r>
      <w:r>
        <w:rPr>
          <w:rFonts w:ascii="宋体" w:hAnsi="宋体" w:cs="宋体" w:eastAsia="宋体" w:hint="default"/>
          <w:sz w:val="16"/>
          <w:szCs w:val="16"/>
        </w:rPr>
        <w:t>术有限公司</w:t>
      </w:r>
    </w:p>
    <w:p>
      <w:pPr>
        <w:spacing w:line="240" w:lineRule="auto" w:before="1"/>
        <w:rPr>
          <w:rFonts w:ascii="宋体" w:hAnsi="宋体" w:cs="宋体" w:eastAsia="宋体" w:hint="default"/>
          <w:sz w:val="11"/>
          <w:szCs w:val="11"/>
        </w:rPr>
      </w:pPr>
    </w:p>
    <w:p>
      <w:pPr>
        <w:spacing w:before="0"/>
        <w:ind w:left="2102" w:right="6646" w:firstLine="0"/>
        <w:jc w:val="left"/>
        <w:rPr>
          <w:rFonts w:ascii="宋体" w:hAnsi="宋体" w:cs="宋体" w:eastAsia="宋体" w:hint="default"/>
          <w:sz w:val="16"/>
          <w:szCs w:val="16"/>
        </w:rPr>
      </w:pPr>
      <w:r>
        <w:rPr>
          <w:rFonts w:ascii="宋体" w:hAnsi="宋体" w:cs="宋体" w:eastAsia="宋体" w:hint="default"/>
          <w:spacing w:val="4"/>
          <w:sz w:val="16"/>
          <w:szCs w:val="16"/>
        </w:rPr>
        <w:t>中软信息系统工程有</w:t>
      </w:r>
      <w:r>
        <w:rPr>
          <w:rFonts w:ascii="宋体" w:hAnsi="宋体" w:cs="宋体" w:eastAsia="宋体" w:hint="default"/>
          <w:spacing w:val="4"/>
          <w:w w:val="99"/>
          <w:sz w:val="16"/>
          <w:szCs w:val="16"/>
        </w:rPr>
        <w:t> </w:t>
      </w:r>
      <w:r>
        <w:rPr>
          <w:rFonts w:ascii="宋体" w:hAnsi="宋体" w:cs="宋体" w:eastAsia="宋体" w:hint="default"/>
          <w:sz w:val="16"/>
          <w:szCs w:val="16"/>
        </w:rPr>
        <w:t>限公司</w:t>
      </w:r>
    </w:p>
    <w:p>
      <w:pPr>
        <w:spacing w:before="143"/>
        <w:ind w:left="2102" w:right="6646" w:firstLine="0"/>
        <w:jc w:val="left"/>
        <w:rPr>
          <w:rFonts w:ascii="宋体" w:hAnsi="宋体" w:cs="宋体" w:eastAsia="宋体" w:hint="default"/>
          <w:sz w:val="16"/>
          <w:szCs w:val="16"/>
        </w:rPr>
      </w:pPr>
      <w:r>
        <w:rPr>
          <w:rFonts w:ascii="宋体" w:hAnsi="宋体" w:cs="宋体" w:eastAsia="宋体" w:hint="default"/>
          <w:spacing w:val="4"/>
          <w:sz w:val="16"/>
          <w:szCs w:val="16"/>
        </w:rPr>
        <w:t>长沙湘计开拓物业管</w:t>
      </w:r>
      <w:r>
        <w:rPr>
          <w:rFonts w:ascii="宋体" w:hAnsi="宋体" w:cs="宋体" w:eastAsia="宋体" w:hint="default"/>
          <w:spacing w:val="4"/>
          <w:w w:val="99"/>
          <w:sz w:val="16"/>
          <w:szCs w:val="16"/>
        </w:rPr>
        <w:t> </w:t>
      </w:r>
      <w:r>
        <w:rPr>
          <w:rFonts w:ascii="宋体" w:hAnsi="宋体" w:cs="宋体" w:eastAsia="宋体" w:hint="default"/>
          <w:sz w:val="16"/>
          <w:szCs w:val="16"/>
        </w:rPr>
        <w:t>理有限公司</w:t>
      </w:r>
    </w:p>
    <w:p>
      <w:pPr>
        <w:spacing w:line="240" w:lineRule="auto" w:before="1"/>
        <w:rPr>
          <w:rFonts w:ascii="宋体" w:hAnsi="宋体" w:cs="宋体" w:eastAsia="宋体" w:hint="default"/>
          <w:sz w:val="11"/>
          <w:szCs w:val="11"/>
        </w:rPr>
      </w:pPr>
    </w:p>
    <w:p>
      <w:pPr>
        <w:spacing w:before="0"/>
        <w:ind w:left="2102" w:right="6646" w:firstLine="0"/>
        <w:jc w:val="left"/>
        <w:rPr>
          <w:rFonts w:ascii="宋体" w:hAnsi="宋体" w:cs="宋体" w:eastAsia="宋体" w:hint="default"/>
          <w:sz w:val="16"/>
          <w:szCs w:val="16"/>
        </w:rPr>
      </w:pPr>
      <w:r>
        <w:rPr>
          <w:rFonts w:ascii="宋体" w:hAnsi="宋体" w:cs="宋体" w:eastAsia="宋体" w:hint="default"/>
          <w:spacing w:val="4"/>
          <w:sz w:val="16"/>
          <w:szCs w:val="16"/>
        </w:rPr>
        <w:t>武汉长江融达电子有</w:t>
      </w:r>
      <w:r>
        <w:rPr>
          <w:rFonts w:ascii="宋体" w:hAnsi="宋体" w:cs="宋体" w:eastAsia="宋体" w:hint="default"/>
          <w:spacing w:val="4"/>
          <w:w w:val="99"/>
          <w:sz w:val="16"/>
          <w:szCs w:val="16"/>
        </w:rPr>
        <w:t> </w:t>
      </w:r>
      <w:r>
        <w:rPr>
          <w:rFonts w:ascii="宋体" w:hAnsi="宋体" w:cs="宋体" w:eastAsia="宋体" w:hint="default"/>
          <w:sz w:val="16"/>
          <w:szCs w:val="16"/>
        </w:rPr>
        <w:t>限公司</w:t>
      </w:r>
    </w:p>
    <w:p>
      <w:pPr>
        <w:spacing w:before="143"/>
        <w:ind w:left="2102" w:right="6646" w:firstLine="0"/>
        <w:jc w:val="left"/>
        <w:rPr>
          <w:rFonts w:ascii="宋体" w:hAnsi="宋体" w:cs="宋体" w:eastAsia="宋体" w:hint="default"/>
          <w:sz w:val="16"/>
          <w:szCs w:val="16"/>
        </w:rPr>
      </w:pPr>
      <w:r>
        <w:rPr>
          <w:rFonts w:ascii="宋体" w:hAnsi="宋体" w:cs="宋体" w:eastAsia="宋体" w:hint="default"/>
          <w:spacing w:val="4"/>
          <w:sz w:val="16"/>
          <w:szCs w:val="16"/>
        </w:rPr>
        <w:t>武汉长江电源有限公</w:t>
      </w:r>
      <w:r>
        <w:rPr>
          <w:rFonts w:ascii="宋体" w:hAnsi="宋体" w:cs="宋体" w:eastAsia="宋体" w:hint="default"/>
          <w:spacing w:val="4"/>
          <w:w w:val="99"/>
          <w:sz w:val="16"/>
          <w:szCs w:val="16"/>
        </w:rPr>
        <w:t> </w:t>
      </w:r>
      <w:r>
        <w:rPr>
          <w:rFonts w:ascii="宋体" w:hAnsi="宋体" w:cs="宋体" w:eastAsia="宋体" w:hint="default"/>
          <w:sz w:val="16"/>
          <w:szCs w:val="16"/>
        </w:rPr>
        <w:t>司</w:t>
      </w:r>
    </w:p>
    <w:p>
      <w:pPr>
        <w:spacing w:line="240" w:lineRule="auto" w:before="1"/>
        <w:rPr>
          <w:rFonts w:ascii="宋体" w:hAnsi="宋体" w:cs="宋体" w:eastAsia="宋体" w:hint="default"/>
          <w:sz w:val="11"/>
          <w:szCs w:val="11"/>
        </w:rPr>
      </w:pPr>
    </w:p>
    <w:p>
      <w:pPr>
        <w:spacing w:before="0"/>
        <w:ind w:left="2102" w:right="6646" w:firstLine="0"/>
        <w:jc w:val="left"/>
        <w:rPr>
          <w:rFonts w:ascii="宋体" w:hAnsi="宋体" w:cs="宋体" w:eastAsia="宋体" w:hint="default"/>
          <w:sz w:val="16"/>
          <w:szCs w:val="16"/>
        </w:rPr>
      </w:pPr>
      <w:r>
        <w:rPr>
          <w:rFonts w:ascii="宋体" w:hAnsi="宋体" w:cs="宋体" w:eastAsia="宋体" w:hint="default"/>
          <w:spacing w:val="4"/>
          <w:sz w:val="16"/>
          <w:szCs w:val="16"/>
        </w:rPr>
        <w:t>中国信息安全研究院</w:t>
      </w:r>
      <w:r>
        <w:rPr>
          <w:rFonts w:ascii="宋体" w:hAnsi="宋体" w:cs="宋体" w:eastAsia="宋体" w:hint="default"/>
          <w:spacing w:val="4"/>
          <w:w w:val="99"/>
          <w:sz w:val="16"/>
          <w:szCs w:val="16"/>
        </w:rPr>
        <w:t> </w:t>
      </w:r>
      <w:r>
        <w:rPr>
          <w:rFonts w:ascii="宋体" w:hAnsi="宋体" w:cs="宋体" w:eastAsia="宋体" w:hint="default"/>
          <w:sz w:val="16"/>
          <w:szCs w:val="16"/>
        </w:rPr>
        <w:t>有限公司</w:t>
      </w:r>
    </w:p>
    <w:p>
      <w:pPr>
        <w:spacing w:before="143"/>
        <w:ind w:left="2102" w:right="6646" w:firstLine="0"/>
        <w:jc w:val="left"/>
        <w:rPr>
          <w:rFonts w:ascii="宋体" w:hAnsi="宋体" w:cs="宋体" w:eastAsia="宋体" w:hint="default"/>
          <w:sz w:val="16"/>
          <w:szCs w:val="16"/>
        </w:rPr>
      </w:pPr>
      <w:r>
        <w:rPr>
          <w:rFonts w:ascii="宋体" w:hAnsi="宋体" w:cs="宋体" w:eastAsia="宋体" w:hint="default"/>
          <w:spacing w:val="4"/>
          <w:sz w:val="16"/>
          <w:szCs w:val="16"/>
        </w:rPr>
        <w:t>深圳市爱华电子有限</w:t>
      </w:r>
      <w:r>
        <w:rPr>
          <w:rFonts w:ascii="宋体" w:hAnsi="宋体" w:cs="宋体" w:eastAsia="宋体" w:hint="default"/>
          <w:spacing w:val="4"/>
          <w:w w:val="99"/>
          <w:sz w:val="16"/>
          <w:szCs w:val="16"/>
        </w:rPr>
        <w:t> </w:t>
      </w:r>
      <w:r>
        <w:rPr>
          <w:rFonts w:ascii="宋体" w:hAnsi="宋体" w:cs="宋体" w:eastAsia="宋体" w:hint="default"/>
          <w:sz w:val="16"/>
          <w:szCs w:val="16"/>
        </w:rPr>
        <w:t>公司</w:t>
      </w:r>
    </w:p>
    <w:p>
      <w:pPr>
        <w:spacing w:line="240" w:lineRule="auto" w:before="1"/>
        <w:rPr>
          <w:rFonts w:ascii="宋体" w:hAnsi="宋体" w:cs="宋体" w:eastAsia="宋体" w:hint="default"/>
          <w:sz w:val="11"/>
          <w:szCs w:val="11"/>
        </w:rPr>
      </w:pPr>
    </w:p>
    <w:p>
      <w:pPr>
        <w:spacing w:before="0"/>
        <w:ind w:left="2102" w:right="6646" w:firstLine="0"/>
        <w:jc w:val="left"/>
        <w:rPr>
          <w:rFonts w:ascii="宋体" w:hAnsi="宋体" w:cs="宋体" w:eastAsia="宋体" w:hint="default"/>
          <w:sz w:val="16"/>
          <w:szCs w:val="16"/>
        </w:rPr>
      </w:pPr>
      <w:r>
        <w:rPr>
          <w:rFonts w:ascii="宋体" w:hAnsi="宋体" w:cs="宋体" w:eastAsia="宋体" w:hint="default"/>
          <w:spacing w:val="4"/>
          <w:sz w:val="16"/>
          <w:szCs w:val="16"/>
        </w:rPr>
        <w:t>武汉中元物业发展有</w:t>
      </w:r>
      <w:r>
        <w:rPr>
          <w:rFonts w:ascii="宋体" w:hAnsi="宋体" w:cs="宋体" w:eastAsia="宋体" w:hint="default"/>
          <w:spacing w:val="4"/>
          <w:w w:val="99"/>
          <w:sz w:val="16"/>
          <w:szCs w:val="16"/>
        </w:rPr>
        <w:t> </w:t>
      </w:r>
      <w:r>
        <w:rPr>
          <w:rFonts w:ascii="宋体" w:hAnsi="宋体" w:cs="宋体" w:eastAsia="宋体" w:hint="default"/>
          <w:sz w:val="16"/>
          <w:szCs w:val="16"/>
        </w:rPr>
        <w:t>限公司</w:t>
      </w:r>
    </w:p>
    <w:p>
      <w:pPr>
        <w:spacing w:after="0"/>
        <w:jc w:val="left"/>
        <w:rPr>
          <w:rFonts w:ascii="宋体" w:hAnsi="宋体" w:cs="宋体" w:eastAsia="宋体" w:hint="default"/>
          <w:sz w:val="16"/>
          <w:szCs w:val="16"/>
        </w:rPr>
        <w:sectPr>
          <w:type w:val="continuous"/>
          <w:pgSz w:w="11910" w:h="16840"/>
          <w:pgMar w:top="1100" w:bottom="700" w:left="1660" w:right="0"/>
        </w:sectPr>
      </w:pPr>
    </w:p>
    <w:p>
      <w:pPr>
        <w:spacing w:line="240" w:lineRule="auto" w:before="2"/>
        <w:rPr>
          <w:rFonts w:ascii="宋体" w:hAnsi="宋体" w:cs="宋体" w:eastAsia="宋体" w:hint="default"/>
          <w:sz w:val="9"/>
          <w:szCs w:val="9"/>
        </w:rPr>
      </w:pPr>
    </w:p>
    <w:p>
      <w:pPr>
        <w:spacing w:line="1318" w:lineRule="exact"/>
        <w:ind w:left="720" w:right="0" w:firstLine="0"/>
        <w:rPr>
          <w:rFonts w:ascii="宋体" w:hAnsi="宋体" w:cs="宋体" w:eastAsia="宋体" w:hint="default"/>
          <w:sz w:val="20"/>
          <w:szCs w:val="20"/>
        </w:rPr>
      </w:pPr>
      <w:r>
        <w:rPr>
          <w:rFonts w:ascii="宋体" w:hAnsi="宋体" w:cs="宋体" w:eastAsia="宋体" w:hint="default"/>
          <w:position w:val="-25"/>
          <w:sz w:val="20"/>
          <w:szCs w:val="20"/>
        </w:rPr>
        <w:pict>
          <v:group style="width:412.15pt;height:65.95pt;mso-position-horizontal-relative:char;mso-position-vertical-relative:line" coordorigin="0,0" coordsize="8243,1319">
            <v:group style="position:absolute;left:29;top:15;width:1241;height:2" coordorigin="29,15" coordsize="1241,2">
              <v:shape style="position:absolute;left:29;top:15;width:1241;height:2" coordorigin="29,15" coordsize="1241,0" path="m29,15l1270,15e" filled="false" stroked="true" strokeweight="1.5pt" strokecolor="#000000">
                <v:path arrowok="t"/>
              </v:shape>
              <v:shape style="position:absolute;left:1270;top:30;width:10;height:28" type="#_x0000_t75" stroked="false">
                <v:imagedata r:id="rId37" o:title=""/>
              </v:shape>
            </v:group>
            <v:group style="position:absolute;left:1270;top:15;width:1692;height:2" coordorigin="1270,15" coordsize="1692,2">
              <v:shape style="position:absolute;left:1270;top:15;width:1692;height:2" coordorigin="1270,15" coordsize="1692,0" path="m1270,15l2962,15e" filled="false" stroked="true" strokeweight="1.5pt" strokecolor="#000000">
                <v:path arrowok="t"/>
              </v:shape>
              <v:shape style="position:absolute;left:2962;top:30;width:10;height:28" type="#_x0000_t75" stroked="false">
                <v:imagedata r:id="rId37" o:title=""/>
              </v:shape>
            </v:group>
            <v:group style="position:absolute;left:2962;top:15;width:2616;height:2" coordorigin="2962,15" coordsize="2616,2">
              <v:shape style="position:absolute;left:2962;top:15;width:2616;height:2" coordorigin="2962,15" coordsize="2616,0" path="m2962,15l5578,15e" filled="false" stroked="true" strokeweight="1.5pt" strokecolor="#000000">
                <v:path arrowok="t"/>
              </v:shape>
              <v:shape style="position:absolute;left:5578;top:30;width:10;height:28" type="#_x0000_t75" stroked="false">
                <v:imagedata r:id="rId37" o:title=""/>
              </v:shape>
            </v:group>
            <v:group style="position:absolute;left:5578;top:15;width:2639;height:2" coordorigin="5578,15" coordsize="2639,2">
              <v:shape style="position:absolute;left:5578;top:15;width:2639;height:2" coordorigin="5578,15" coordsize="2639,0" path="m5578,15l8217,15e" filled="false" stroked="true" strokeweight="1.5pt" strokecolor="#000000">
                <v:path arrowok="t"/>
              </v:shape>
              <v:shape style="position:absolute;left:1251;top:38;width:4356;height:355" type="#_x0000_t75" stroked="false">
                <v:imagedata r:id="rId454" o:title=""/>
              </v:shape>
            </v:group>
            <v:group style="position:absolute;left:15;top:1304;width:1256;height:2" coordorigin="15,1304" coordsize="1256,2">
              <v:shape style="position:absolute;left:15;top:1304;width:1256;height:2" coordorigin="15,1304" coordsize="1256,0" path="m15,1304l1270,1304e" filled="false" stroked="true" strokeweight="1.5pt" strokecolor="#000000">
                <v:path arrowok="t"/>
              </v:shape>
              <v:shape style="position:absolute;left:10;top:355;width:8232;height:953" type="#_x0000_t75" stroked="false">
                <v:imagedata r:id="rId460" o:title=""/>
              </v:shape>
            </v:group>
            <v:group style="position:absolute;left:1270;top:1304;width:1692;height:2" coordorigin="1270,1304" coordsize="1692,2">
              <v:shape style="position:absolute;left:1270;top:1304;width:1692;height:2" coordorigin="1270,1304" coordsize="1692,0" path="m1270,1304l2962,1304e" filled="false" stroked="true" strokeweight="1.5pt" strokecolor="#000000">
                <v:path arrowok="t"/>
              </v:shape>
              <v:shape style="position:absolute;left:2943;top:746;width:48;height:562" type="#_x0000_t75" stroked="false">
                <v:imagedata r:id="rId461" o:title=""/>
              </v:shape>
            </v:group>
            <v:group style="position:absolute;left:2962;top:1304;width:1312;height:2" coordorigin="2962,1304" coordsize="1312,2">
              <v:shape style="position:absolute;left:2962;top:1304;width:1312;height:2" coordorigin="2962,1304" coordsize="1312,0" path="m2962,1304l4274,1304e" filled="false" stroked="true" strokeweight="1.5pt" strokecolor="#000000">
                <v:path arrowok="t"/>
              </v:shape>
              <v:shape style="position:absolute;left:4255;top:746;width:48;height:562" type="#_x0000_t75" stroked="false">
                <v:imagedata r:id="rId461" o:title=""/>
              </v:shape>
            </v:group>
            <v:group style="position:absolute;left:4274;top:1304;width:1305;height:2" coordorigin="4274,1304" coordsize="1305,2">
              <v:shape style="position:absolute;left:4274;top:1304;width:1305;height:2" coordorigin="4274,1304" coordsize="1305,0" path="m4274,1304l5578,1304e" filled="false" stroked="true" strokeweight="1.5pt" strokecolor="#000000">
                <v:path arrowok="t"/>
              </v:shape>
              <v:shape style="position:absolute;left:5559;top:746;width:48;height:562" type="#_x0000_t75" stroked="false">
                <v:imagedata r:id="rId462" o:title=""/>
              </v:shape>
            </v:group>
            <v:group style="position:absolute;left:5578;top:1304;width:1330;height:2" coordorigin="5578,1304" coordsize="1330,2">
              <v:shape style="position:absolute;left:5578;top:1304;width:1330;height:2" coordorigin="5578,1304" coordsize="1330,0" path="m5578,1304l6908,1304e" filled="false" stroked="true" strokeweight="1.5pt" strokecolor="#000000">
                <v:path arrowok="t"/>
              </v:shape>
              <v:shape style="position:absolute;left:6889;top:746;width:48;height:562" type="#_x0000_t75" stroked="false">
                <v:imagedata r:id="rId461" o:title=""/>
              </v:shape>
            </v:group>
            <v:group style="position:absolute;left:6908;top:1304;width:1310;height:2" coordorigin="6908,1304" coordsize="1310,2">
              <v:shape style="position:absolute;left:6908;top:1304;width:1310;height:2" coordorigin="6908,1304" coordsize="1310,0" path="m6908,1304l8217,1304e" filled="false" stroked="true" strokeweight="1.5pt" strokecolor="#000000">
                <v:path arrowok="t"/>
              </v:shape>
              <v:shape style="position:absolute;left:3955;top:122;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6580;top:122;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年初余额</w:t>
                      </w:r>
                      <w:r>
                        <w:rPr>
                          <w:rFonts w:ascii="宋体" w:hAnsi="宋体" w:cs="宋体" w:eastAsia="宋体" w:hint="default"/>
                          <w:sz w:val="16"/>
                          <w:szCs w:val="16"/>
                        </w:rPr>
                      </w:r>
                    </w:p>
                  </w:txbxContent>
                </v:textbox>
                <w10:wrap type="none"/>
              </v:shape>
              <v:shape style="position:absolute;left:332;top:29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项目名称</w:t>
                      </w:r>
                      <w:r>
                        <w:rPr>
                          <w:rFonts w:ascii="宋体" w:hAnsi="宋体" w:cs="宋体" w:eastAsia="宋体" w:hint="default"/>
                          <w:sz w:val="16"/>
                          <w:szCs w:val="16"/>
                        </w:rPr>
                      </w:r>
                    </w:p>
                  </w:txbxContent>
                </v:textbox>
                <w10:wrap type="none"/>
              </v:shape>
              <v:shape style="position:absolute;left:1880;top:298;width:4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关联方</w:t>
                      </w:r>
                      <w:r>
                        <w:rPr>
                          <w:rFonts w:ascii="宋体" w:hAnsi="宋体" w:cs="宋体" w:eastAsia="宋体" w:hint="default"/>
                          <w:sz w:val="16"/>
                          <w:szCs w:val="16"/>
                        </w:rPr>
                      </w:r>
                    </w:p>
                  </w:txbxContent>
                </v:textbox>
                <w10:wrap type="none"/>
              </v:shape>
              <v:shape style="position:absolute;left:3303;top:475;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账面余额</w:t>
                      </w:r>
                      <w:r>
                        <w:rPr>
                          <w:rFonts w:ascii="宋体" w:hAnsi="宋体" w:cs="宋体" w:eastAsia="宋体" w:hint="default"/>
                          <w:sz w:val="16"/>
                          <w:szCs w:val="16"/>
                        </w:rPr>
                      </w:r>
                    </w:p>
                  </w:txbxContent>
                </v:textbox>
                <w10:wrap type="none"/>
              </v:shape>
              <v:shape style="position:absolute;left:4610;top:475;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坏账准备</w:t>
                      </w:r>
                      <w:r>
                        <w:rPr>
                          <w:rFonts w:ascii="宋体" w:hAnsi="宋体" w:cs="宋体" w:eastAsia="宋体" w:hint="default"/>
                          <w:sz w:val="16"/>
                          <w:szCs w:val="16"/>
                        </w:rPr>
                      </w:r>
                    </w:p>
                  </w:txbxContent>
                </v:textbox>
                <w10:wrap type="none"/>
              </v:shape>
              <v:shape style="position:absolute;left:5927;top:475;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账面余额</w:t>
                      </w:r>
                      <w:r>
                        <w:rPr>
                          <w:rFonts w:ascii="宋体" w:hAnsi="宋体" w:cs="宋体" w:eastAsia="宋体" w:hint="default"/>
                          <w:sz w:val="16"/>
                          <w:szCs w:val="16"/>
                        </w:rPr>
                      </w:r>
                    </w:p>
                  </w:txbxContent>
                </v:textbox>
                <w10:wrap type="none"/>
              </v:shape>
              <v:shape style="position:absolute;left:7244;top:475;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坏账准备</w:t>
                      </w:r>
                      <w:r>
                        <w:rPr>
                          <w:rFonts w:ascii="宋体" w:hAnsi="宋体" w:cs="宋体" w:eastAsia="宋体" w:hint="default"/>
                          <w:sz w:val="16"/>
                          <w:szCs w:val="16"/>
                        </w:rPr>
                      </w:r>
                    </w:p>
                  </w:txbxContent>
                </v:textbox>
                <w10:wrap type="none"/>
              </v:shape>
              <v:shape style="position:absolute;left:1382;top:829;width:1481;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spacing w:val="4"/>
                          <w:sz w:val="16"/>
                          <w:szCs w:val="16"/>
                        </w:rPr>
                        <w:t>湖南计算机厂有限公</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司</w:t>
                      </w:r>
                      <w:r>
                        <w:rPr>
                          <w:rFonts w:ascii="宋体" w:hAnsi="宋体" w:cs="宋体" w:eastAsia="宋体" w:hint="default"/>
                          <w:sz w:val="16"/>
                          <w:szCs w:val="16"/>
                        </w:rPr>
                      </w:r>
                    </w:p>
                  </w:txbxContent>
                </v:textbox>
                <w10:wrap type="none"/>
              </v:shape>
              <v:shape style="position:absolute;left:3891;top:947;width:28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z w:val="16"/>
                        </w:rPr>
                        <w:t>0.12</w:t>
                      </w:r>
                    </w:p>
                  </w:txbxContent>
                </v:textbox>
                <w10:wrap type="none"/>
              </v:shape>
            </v:group>
          </v:group>
        </w:pict>
      </w:r>
      <w:r>
        <w:rPr>
          <w:rFonts w:ascii="宋体" w:hAnsi="宋体" w:cs="宋体" w:eastAsia="宋体" w:hint="default"/>
          <w:position w:val="-25"/>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5"/>
          <w:szCs w:val="15"/>
        </w:rPr>
      </w:pPr>
    </w:p>
    <w:p>
      <w:pPr>
        <w:pStyle w:val="Heading5"/>
        <w:tabs>
          <w:tab w:pos="1397" w:val="left" w:leader="none"/>
        </w:tabs>
        <w:spacing w:line="240" w:lineRule="auto"/>
        <w:ind w:left="846" w:right="3681"/>
        <w:jc w:val="left"/>
        <w:rPr>
          <w:b w:val="0"/>
          <w:bCs w:val="0"/>
        </w:rPr>
      </w:pPr>
      <w:r>
        <w:rPr/>
        <w:pict>
          <v:group style="position:absolute;margin-left:119.010002pt;margin-top:17.073845pt;width:411.95pt;height:578.550pt;mso-position-horizontal-relative:page;mso-position-vertical-relative:paragraph;z-index:-1363816" coordorigin="2380,341" coordsize="8239,11571">
            <v:group style="position:absolute;left:2410;top:356;width:1188;height:2" coordorigin="2410,356" coordsize="1188,2">
              <v:shape style="position:absolute;left:2410;top:356;width:1188;height:2" coordorigin="2410,356" coordsize="1188,0" path="m2410,356l3598,356e" filled="false" stroked="true" strokeweight="1.5pt" strokecolor="#000000">
                <v:path arrowok="t"/>
              </v:shape>
              <v:shape style="position:absolute;left:3598;top:371;width:10;height:28" type="#_x0000_t75" stroked="false">
                <v:imagedata r:id="rId64" o:title=""/>
              </v:shape>
            </v:group>
            <v:group style="position:absolute;left:3598;top:356;width:3372;height:2" coordorigin="3598,356" coordsize="3372,2">
              <v:shape style="position:absolute;left:3598;top:356;width:3372;height:2" coordorigin="3598,356" coordsize="3372,0" path="m3598,356l6970,356e" filled="false" stroked="true" strokeweight="1.5pt" strokecolor="#000000">
                <v:path arrowok="t"/>
              </v:shape>
              <v:shape style="position:absolute;left:6970;top:371;width:10;height:28" type="#_x0000_t75" stroked="false">
                <v:imagedata r:id="rId64" o:title=""/>
              </v:shape>
            </v:group>
            <v:group style="position:absolute;left:6970;top:356;width:1672;height:2" coordorigin="6970,356" coordsize="1672,2">
              <v:shape style="position:absolute;left:6970;top:356;width:1672;height:2" coordorigin="6970,356" coordsize="1672,0" path="m6970,356l8641,356e" filled="false" stroked="true" strokeweight="1.5pt" strokecolor="#000000">
                <v:path arrowok="t"/>
              </v:shape>
              <v:shape style="position:absolute;left:8641;top:371;width:10;height:28" type="#_x0000_t75" stroked="false">
                <v:imagedata r:id="rId64" o:title=""/>
              </v:shape>
            </v:group>
            <v:group style="position:absolute;left:8641;top:356;width:1956;height:2" coordorigin="8641,356" coordsize="1956,2">
              <v:shape style="position:absolute;left:8641;top:356;width:1956;height:2" coordorigin="8641,356" coordsize="1956,0" path="m8641,356l10597,356e" filled="false" stroked="true" strokeweight="1.5pt" strokecolor="#000000">
                <v:path arrowok="t"/>
              </v:shape>
              <v:shape style="position:absolute;left:3578;top:380;width:5092;height:355" type="#_x0000_t75" stroked="false">
                <v:imagedata r:id="rId463" o:title=""/>
              </v:shape>
            </v:group>
            <v:group style="position:absolute;left:2395;top:11897;width:1203;height:2" coordorigin="2395,11897" coordsize="1203,2">
              <v:shape style="position:absolute;left:2395;top:11897;width:1203;height:2" coordorigin="2395,11897" coordsize="1203,0" path="m2395,11897l3598,11897e" filled="false" stroked="true" strokeweight="1.5pt" strokecolor="#000000">
                <v:path arrowok="t"/>
              </v:shape>
            </v:group>
            <v:group style="position:absolute;left:3598;top:11897;width:3372;height:2" coordorigin="3598,11897" coordsize="3372,2">
              <v:shape style="position:absolute;left:3598;top:11897;width:3372;height:2" coordorigin="3598,11897" coordsize="3372,0" path="m3598,11897l6970,11897e" filled="false" stroked="true" strokeweight="1.5pt" strokecolor="#000000">
                <v:path arrowok="t"/>
              </v:shape>
            </v:group>
            <v:group style="position:absolute;left:6970;top:11897;width:1672;height:2" coordorigin="6970,11897" coordsize="1672,2">
              <v:shape style="position:absolute;left:6970;top:11897;width:1672;height:2" coordorigin="6970,11897" coordsize="1672,0" path="m6970,11897l8641,11897e" filled="false" stroked="true" strokeweight="1.5pt" strokecolor="#000000">
                <v:path arrowok="t"/>
              </v:shape>
              <v:shape style="position:absolute;left:2390;top:697;width:8228;height:11185" type="#_x0000_t75" stroked="false">
                <v:imagedata r:id="rId464" o:title=""/>
              </v:shape>
            </v:group>
            <v:group style="position:absolute;left:8641;top:11897;width:1956;height:2" coordorigin="8641,11897" coordsize="1956,2">
              <v:shape style="position:absolute;left:8641;top:11897;width:1956;height:2" coordorigin="8641,11897" coordsize="1956,0" path="m8641,11897l10597,11897e" filled="false" stroked="true" strokeweight="1.5pt" strokecolor="#000000">
                <v:path arrowok="t"/>
              </v:shape>
            </v:group>
            <w10:wrap type="none"/>
          </v:group>
        </w:pict>
      </w:r>
      <w:r>
        <w:rPr>
          <w:rFonts w:ascii="Times New Roman" w:hAnsi="Times New Roman" w:cs="Times New Roman" w:eastAsia="Times New Roman" w:hint="default"/>
          <w:w w:val="95"/>
        </w:rPr>
        <w:t>2</w:t>
      </w:r>
      <w:r>
        <w:rPr>
          <w:w w:val="95"/>
        </w:rPr>
        <w:t>、</w:t>
        <w:tab/>
      </w:r>
      <w:r>
        <w:rPr>
          <w:spacing w:val="1"/>
        </w:rPr>
        <w:t>应付项目</w:t>
      </w:r>
      <w:r>
        <w:rPr>
          <w:b w:val="0"/>
          <w:bCs w:val="0"/>
        </w:rPr>
      </w:r>
    </w:p>
    <w:p>
      <w:pPr>
        <w:spacing w:line="240" w:lineRule="auto" w:before="5"/>
        <w:rPr>
          <w:rFonts w:ascii="宋体" w:hAnsi="宋体" w:cs="宋体" w:eastAsia="宋体" w:hint="default"/>
          <w:b/>
          <w:bCs/>
          <w:sz w:val="2"/>
          <w:szCs w:val="2"/>
        </w:rPr>
      </w:pPr>
    </w:p>
    <w:tbl>
      <w:tblPr>
        <w:tblW w:w="0" w:type="auto"/>
        <w:jc w:val="left"/>
        <w:tblInd w:w="787" w:type="dxa"/>
        <w:tblLayout w:type="fixed"/>
        <w:tblCellMar>
          <w:top w:w="0" w:type="dxa"/>
          <w:left w:w="0" w:type="dxa"/>
          <w:bottom w:w="0" w:type="dxa"/>
          <w:right w:w="0" w:type="dxa"/>
        </w:tblCellMar>
        <w:tblLook w:val="01E0"/>
      </w:tblPr>
      <w:tblGrid>
        <w:gridCol w:w="1070"/>
        <w:gridCol w:w="3282"/>
        <w:gridCol w:w="2041"/>
        <w:gridCol w:w="1721"/>
      </w:tblGrid>
      <w:tr>
        <w:trPr>
          <w:trHeight w:val="1077" w:hRule="exact"/>
        </w:trPr>
        <w:tc>
          <w:tcPr>
            <w:tcW w:w="1070" w:type="dxa"/>
            <w:tcBorders>
              <w:top w:val="nil" w:sz="6" w:space="0" w:color="auto"/>
              <w:left w:val="nil" w:sz="6" w:space="0" w:color="auto"/>
              <w:bottom w:val="nil" w:sz="6" w:space="0" w:color="auto"/>
              <w:right w:val="nil" w:sz="6" w:space="0" w:color="auto"/>
            </w:tcBorders>
          </w:tcPr>
          <w:p>
            <w:pPr>
              <w:pStyle w:val="TableParagraph"/>
              <w:spacing w:line="405" w:lineRule="auto" w:before="57"/>
              <w:ind w:left="70" w:right="191" w:firstLine="168"/>
              <w:jc w:val="left"/>
              <w:rPr>
                <w:rFonts w:ascii="宋体" w:hAnsi="宋体" w:cs="宋体" w:eastAsia="宋体" w:hint="default"/>
                <w:sz w:val="16"/>
                <w:szCs w:val="16"/>
              </w:rPr>
            </w:pPr>
            <w:r>
              <w:rPr>
                <w:rFonts w:ascii="宋体" w:hAnsi="宋体" w:cs="宋体" w:eastAsia="宋体" w:hint="default"/>
                <w:w w:val="95"/>
                <w:sz w:val="16"/>
                <w:szCs w:val="16"/>
              </w:rPr>
              <w:t>项目名称</w:t>
            </w:r>
            <w:r>
              <w:rPr>
                <w:rFonts w:ascii="宋体" w:hAnsi="宋体" w:cs="宋体" w:eastAsia="宋体" w:hint="default"/>
                <w:w w:val="99"/>
                <w:sz w:val="16"/>
                <w:szCs w:val="16"/>
              </w:rPr>
              <w:t> </w:t>
            </w:r>
            <w:r>
              <w:rPr>
                <w:rFonts w:ascii="宋体" w:hAnsi="宋体" w:cs="宋体" w:eastAsia="宋体" w:hint="default"/>
                <w:sz w:val="16"/>
                <w:szCs w:val="16"/>
              </w:rPr>
              <w:t>应付账款</w:t>
            </w:r>
          </w:p>
        </w:tc>
        <w:tc>
          <w:tcPr>
            <w:tcW w:w="3282" w:type="dxa"/>
            <w:tcBorders>
              <w:top w:val="nil" w:sz="6" w:space="0" w:color="auto"/>
              <w:left w:val="nil" w:sz="6" w:space="0" w:color="auto"/>
              <w:bottom w:val="nil" w:sz="6" w:space="0" w:color="auto"/>
              <w:right w:val="nil" w:sz="6" w:space="0" w:color="auto"/>
            </w:tcBorders>
          </w:tcPr>
          <w:p>
            <w:pPr>
              <w:pStyle w:val="TableParagraph"/>
              <w:spacing w:line="240" w:lineRule="auto" w:before="57"/>
              <w:ind w:left="1531" w:right="0"/>
              <w:jc w:val="left"/>
              <w:rPr>
                <w:rFonts w:ascii="宋体" w:hAnsi="宋体" w:cs="宋体" w:eastAsia="宋体" w:hint="default"/>
                <w:sz w:val="16"/>
                <w:szCs w:val="16"/>
              </w:rPr>
            </w:pPr>
            <w:r>
              <w:rPr>
                <w:rFonts w:ascii="宋体" w:hAnsi="宋体" w:cs="宋体" w:eastAsia="宋体" w:hint="default"/>
                <w:sz w:val="16"/>
                <w:szCs w:val="16"/>
              </w:rPr>
              <w:t>关联方</w:t>
            </w: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22"/>
                <w:szCs w:val="22"/>
              </w:rPr>
            </w:pPr>
          </w:p>
          <w:p>
            <w:pPr>
              <w:pStyle w:val="TableParagraph"/>
              <w:spacing w:line="240" w:lineRule="auto"/>
              <w:ind w:left="193" w:right="0"/>
              <w:jc w:val="left"/>
              <w:rPr>
                <w:rFonts w:ascii="宋体" w:hAnsi="宋体" w:cs="宋体" w:eastAsia="宋体" w:hint="default"/>
                <w:sz w:val="16"/>
                <w:szCs w:val="16"/>
              </w:rPr>
            </w:pPr>
            <w:r>
              <w:rPr>
                <w:rFonts w:ascii="宋体" w:hAnsi="宋体" w:cs="宋体" w:eastAsia="宋体" w:hint="default"/>
                <w:sz w:val="16"/>
                <w:szCs w:val="16"/>
              </w:rPr>
              <w:t>天津飞腾信息技术有限公司</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57"/>
              <w:ind w:left="530" w:right="0"/>
              <w:jc w:val="left"/>
              <w:rPr>
                <w:rFonts w:ascii="宋体" w:hAnsi="宋体" w:cs="宋体" w:eastAsia="宋体" w:hint="default"/>
                <w:sz w:val="16"/>
                <w:szCs w:val="16"/>
              </w:rPr>
            </w:pPr>
            <w:r>
              <w:rPr>
                <w:rFonts w:ascii="宋体" w:hAnsi="宋体" w:cs="宋体" w:eastAsia="宋体" w:hint="default"/>
                <w:sz w:val="16"/>
                <w:szCs w:val="16"/>
              </w:rPr>
              <w:t>期末账面余额</w:t>
            </w: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121"/>
              <w:ind w:left="818" w:right="0"/>
              <w:jc w:val="left"/>
              <w:rPr>
                <w:rFonts w:ascii="Times New Roman" w:hAnsi="Times New Roman" w:cs="Times New Roman" w:eastAsia="Times New Roman" w:hint="default"/>
                <w:sz w:val="16"/>
                <w:szCs w:val="16"/>
              </w:rPr>
            </w:pPr>
            <w:r>
              <w:rPr>
                <w:rFonts w:ascii="Times New Roman"/>
                <w:sz w:val="16"/>
              </w:rPr>
              <w:t>24,361,942.66</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57"/>
              <w:ind w:left="300" w:right="0"/>
              <w:jc w:val="left"/>
              <w:rPr>
                <w:rFonts w:ascii="宋体" w:hAnsi="宋体" w:cs="宋体" w:eastAsia="宋体" w:hint="default"/>
                <w:sz w:val="16"/>
                <w:szCs w:val="16"/>
              </w:rPr>
            </w:pPr>
            <w:r>
              <w:rPr>
                <w:rFonts w:ascii="宋体" w:hAnsi="宋体" w:cs="宋体" w:eastAsia="宋体" w:hint="default"/>
                <w:sz w:val="16"/>
                <w:szCs w:val="16"/>
              </w:rPr>
              <w:t>年初账面余额</w:t>
            </w: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121"/>
              <w:ind w:left="809" w:right="0"/>
              <w:jc w:val="left"/>
              <w:rPr>
                <w:rFonts w:ascii="Times New Roman" w:hAnsi="Times New Roman" w:cs="Times New Roman" w:eastAsia="Times New Roman" w:hint="default"/>
                <w:sz w:val="16"/>
                <w:szCs w:val="16"/>
              </w:rPr>
            </w:pPr>
            <w:r>
              <w:rPr>
                <w:rFonts w:ascii="Times New Roman"/>
                <w:sz w:val="16"/>
              </w:rPr>
              <w:t>2,335,989.60</w:t>
            </w:r>
          </w:p>
        </w:tc>
      </w:tr>
      <w:tr>
        <w:trPr>
          <w:trHeight w:val="353" w:hRule="exact"/>
        </w:trPr>
        <w:tc>
          <w:tcPr>
            <w:tcW w:w="1070" w:type="dxa"/>
            <w:tcBorders>
              <w:top w:val="nil" w:sz="6" w:space="0" w:color="auto"/>
              <w:left w:val="nil" w:sz="6" w:space="0" w:color="auto"/>
              <w:bottom w:val="nil" w:sz="6" w:space="0" w:color="auto"/>
              <w:right w:val="nil" w:sz="6" w:space="0" w:color="auto"/>
            </w:tcBorders>
          </w:tcPr>
          <w:p>
            <w:pPr/>
          </w:p>
        </w:tc>
        <w:tc>
          <w:tcPr>
            <w:tcW w:w="328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中国电子进出口有限公司</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98"/>
              <w:jc w:val="right"/>
              <w:rPr>
                <w:rFonts w:ascii="Times New Roman" w:hAnsi="Times New Roman" w:cs="Times New Roman" w:eastAsia="Times New Roman" w:hint="default"/>
                <w:sz w:val="16"/>
                <w:szCs w:val="16"/>
              </w:rPr>
            </w:pPr>
            <w:r>
              <w:rPr>
                <w:rFonts w:ascii="Times New Roman"/>
                <w:spacing w:val="-1"/>
                <w:sz w:val="16"/>
              </w:rPr>
              <w:t>9,027,106.45</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8,612,016.16</w:t>
            </w:r>
          </w:p>
        </w:tc>
      </w:tr>
      <w:tr>
        <w:trPr>
          <w:trHeight w:val="353" w:hRule="exact"/>
        </w:trPr>
        <w:tc>
          <w:tcPr>
            <w:tcW w:w="1070" w:type="dxa"/>
            <w:tcBorders>
              <w:top w:val="nil" w:sz="6" w:space="0" w:color="auto"/>
              <w:left w:val="nil" w:sz="6" w:space="0" w:color="auto"/>
              <w:bottom w:val="nil" w:sz="6" w:space="0" w:color="auto"/>
              <w:right w:val="nil" w:sz="6" w:space="0" w:color="auto"/>
            </w:tcBorders>
          </w:tcPr>
          <w:p>
            <w:pPr/>
          </w:p>
        </w:tc>
        <w:tc>
          <w:tcPr>
            <w:tcW w:w="328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湖南长城银河科技有限公司</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98"/>
              <w:jc w:val="right"/>
              <w:rPr>
                <w:rFonts w:ascii="Times New Roman" w:hAnsi="Times New Roman" w:cs="Times New Roman" w:eastAsia="Times New Roman" w:hint="default"/>
                <w:sz w:val="16"/>
                <w:szCs w:val="16"/>
              </w:rPr>
            </w:pPr>
            <w:r>
              <w:rPr>
                <w:rFonts w:ascii="Times New Roman"/>
                <w:spacing w:val="-1"/>
                <w:sz w:val="16"/>
              </w:rPr>
              <w:t>7,536,380.59</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6,449,059.38</w:t>
            </w:r>
          </w:p>
        </w:tc>
      </w:tr>
      <w:tr>
        <w:trPr>
          <w:trHeight w:val="353" w:hRule="exact"/>
        </w:trPr>
        <w:tc>
          <w:tcPr>
            <w:tcW w:w="1070" w:type="dxa"/>
            <w:tcBorders>
              <w:top w:val="nil" w:sz="6" w:space="0" w:color="auto"/>
              <w:left w:val="nil" w:sz="6" w:space="0" w:color="auto"/>
              <w:bottom w:val="nil" w:sz="6" w:space="0" w:color="auto"/>
              <w:right w:val="nil" w:sz="6" w:space="0" w:color="auto"/>
            </w:tcBorders>
          </w:tcPr>
          <w:p>
            <w:pPr/>
          </w:p>
        </w:tc>
        <w:tc>
          <w:tcPr>
            <w:tcW w:w="328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盛科网络（苏州）有限公司</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98"/>
              <w:jc w:val="right"/>
              <w:rPr>
                <w:rFonts w:ascii="Times New Roman" w:hAnsi="Times New Roman" w:cs="Times New Roman" w:eastAsia="Times New Roman" w:hint="default"/>
                <w:sz w:val="16"/>
                <w:szCs w:val="16"/>
              </w:rPr>
            </w:pPr>
            <w:r>
              <w:rPr>
                <w:rFonts w:ascii="Times New Roman"/>
                <w:spacing w:val="-1"/>
                <w:sz w:val="16"/>
              </w:rPr>
              <w:t>7,406,650.06</w:t>
            </w:r>
          </w:p>
        </w:tc>
        <w:tc>
          <w:tcPr>
            <w:tcW w:w="1721" w:type="dxa"/>
            <w:tcBorders>
              <w:top w:val="nil" w:sz="6" w:space="0" w:color="auto"/>
              <w:left w:val="nil" w:sz="6" w:space="0" w:color="auto"/>
              <w:bottom w:val="nil" w:sz="6" w:space="0" w:color="auto"/>
              <w:right w:val="nil" w:sz="6" w:space="0" w:color="auto"/>
            </w:tcBorders>
          </w:tcPr>
          <w:p>
            <w:pPr/>
          </w:p>
        </w:tc>
      </w:tr>
      <w:tr>
        <w:trPr>
          <w:trHeight w:val="353" w:hRule="exact"/>
        </w:trPr>
        <w:tc>
          <w:tcPr>
            <w:tcW w:w="1070" w:type="dxa"/>
            <w:tcBorders>
              <w:top w:val="nil" w:sz="6" w:space="0" w:color="auto"/>
              <w:left w:val="nil" w:sz="6" w:space="0" w:color="auto"/>
              <w:bottom w:val="nil" w:sz="6" w:space="0" w:color="auto"/>
              <w:right w:val="nil" w:sz="6" w:space="0" w:color="auto"/>
            </w:tcBorders>
          </w:tcPr>
          <w:p>
            <w:pPr/>
          </w:p>
        </w:tc>
        <w:tc>
          <w:tcPr>
            <w:tcW w:w="328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长城超云（北京）科技有限公司</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98"/>
              <w:jc w:val="right"/>
              <w:rPr>
                <w:rFonts w:ascii="Times New Roman" w:hAnsi="Times New Roman" w:cs="Times New Roman" w:eastAsia="Times New Roman" w:hint="default"/>
                <w:sz w:val="16"/>
                <w:szCs w:val="16"/>
              </w:rPr>
            </w:pPr>
            <w:r>
              <w:rPr>
                <w:rFonts w:ascii="Times New Roman"/>
                <w:spacing w:val="-1"/>
                <w:sz w:val="16"/>
              </w:rPr>
              <w:t>6,784,833.67</w:t>
            </w:r>
          </w:p>
        </w:tc>
        <w:tc>
          <w:tcPr>
            <w:tcW w:w="1721" w:type="dxa"/>
            <w:tcBorders>
              <w:top w:val="nil" w:sz="6" w:space="0" w:color="auto"/>
              <w:left w:val="nil" w:sz="6" w:space="0" w:color="auto"/>
              <w:bottom w:val="nil" w:sz="6" w:space="0" w:color="auto"/>
              <w:right w:val="nil" w:sz="6" w:space="0" w:color="auto"/>
            </w:tcBorders>
          </w:tcPr>
          <w:p>
            <w:pPr/>
          </w:p>
        </w:tc>
      </w:tr>
      <w:tr>
        <w:trPr>
          <w:trHeight w:val="353" w:hRule="exact"/>
        </w:trPr>
        <w:tc>
          <w:tcPr>
            <w:tcW w:w="1070" w:type="dxa"/>
            <w:tcBorders>
              <w:top w:val="nil" w:sz="6" w:space="0" w:color="auto"/>
              <w:left w:val="nil" w:sz="6" w:space="0" w:color="auto"/>
              <w:bottom w:val="nil" w:sz="6" w:space="0" w:color="auto"/>
              <w:right w:val="nil" w:sz="6" w:space="0" w:color="auto"/>
            </w:tcBorders>
          </w:tcPr>
          <w:p>
            <w:pPr/>
          </w:p>
        </w:tc>
        <w:tc>
          <w:tcPr>
            <w:tcW w:w="328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武汉长江融达电子有限公司</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98"/>
              <w:jc w:val="right"/>
              <w:rPr>
                <w:rFonts w:ascii="Times New Roman" w:hAnsi="Times New Roman" w:cs="Times New Roman" w:eastAsia="Times New Roman" w:hint="default"/>
                <w:sz w:val="16"/>
                <w:szCs w:val="16"/>
              </w:rPr>
            </w:pPr>
            <w:r>
              <w:rPr>
                <w:rFonts w:ascii="Times New Roman"/>
                <w:spacing w:val="-1"/>
                <w:sz w:val="16"/>
              </w:rPr>
              <w:t>6,699,500.00</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11,899,500.00</w:t>
            </w:r>
          </w:p>
        </w:tc>
      </w:tr>
      <w:tr>
        <w:trPr>
          <w:trHeight w:val="354" w:hRule="exact"/>
        </w:trPr>
        <w:tc>
          <w:tcPr>
            <w:tcW w:w="1070" w:type="dxa"/>
            <w:tcBorders>
              <w:top w:val="nil" w:sz="6" w:space="0" w:color="auto"/>
              <w:left w:val="nil" w:sz="6" w:space="0" w:color="auto"/>
              <w:bottom w:val="nil" w:sz="6" w:space="0" w:color="auto"/>
              <w:right w:val="nil" w:sz="6" w:space="0" w:color="auto"/>
            </w:tcBorders>
          </w:tcPr>
          <w:p>
            <w:pPr/>
          </w:p>
        </w:tc>
        <w:tc>
          <w:tcPr>
            <w:tcW w:w="328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天津麒麟信息技术有限公司</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98"/>
              <w:jc w:val="right"/>
              <w:rPr>
                <w:rFonts w:ascii="Times New Roman" w:hAnsi="Times New Roman" w:cs="Times New Roman" w:eastAsia="Times New Roman" w:hint="default"/>
                <w:sz w:val="16"/>
                <w:szCs w:val="16"/>
              </w:rPr>
            </w:pPr>
            <w:r>
              <w:rPr>
                <w:rFonts w:ascii="Times New Roman"/>
                <w:spacing w:val="-1"/>
                <w:sz w:val="16"/>
              </w:rPr>
              <w:t>6,022,440.49</w:t>
            </w:r>
          </w:p>
        </w:tc>
        <w:tc>
          <w:tcPr>
            <w:tcW w:w="1721" w:type="dxa"/>
            <w:tcBorders>
              <w:top w:val="nil" w:sz="6" w:space="0" w:color="auto"/>
              <w:left w:val="nil" w:sz="6" w:space="0" w:color="auto"/>
              <w:bottom w:val="nil" w:sz="6" w:space="0" w:color="auto"/>
              <w:right w:val="nil" w:sz="6" w:space="0" w:color="auto"/>
            </w:tcBorders>
          </w:tcPr>
          <w:p>
            <w:pPr/>
          </w:p>
        </w:tc>
      </w:tr>
      <w:tr>
        <w:trPr>
          <w:trHeight w:val="353" w:hRule="exact"/>
        </w:trPr>
        <w:tc>
          <w:tcPr>
            <w:tcW w:w="1070" w:type="dxa"/>
            <w:tcBorders>
              <w:top w:val="nil" w:sz="6" w:space="0" w:color="auto"/>
              <w:left w:val="nil" w:sz="6" w:space="0" w:color="auto"/>
              <w:bottom w:val="nil" w:sz="6" w:space="0" w:color="auto"/>
              <w:right w:val="nil" w:sz="6" w:space="0" w:color="auto"/>
            </w:tcBorders>
          </w:tcPr>
          <w:p>
            <w:pPr/>
          </w:p>
        </w:tc>
        <w:tc>
          <w:tcPr>
            <w:tcW w:w="328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广东亿安仓供应链科技有限公司</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98"/>
              <w:jc w:val="right"/>
              <w:rPr>
                <w:rFonts w:ascii="Times New Roman" w:hAnsi="Times New Roman" w:cs="Times New Roman" w:eastAsia="Times New Roman" w:hint="default"/>
                <w:sz w:val="16"/>
                <w:szCs w:val="16"/>
              </w:rPr>
            </w:pPr>
            <w:r>
              <w:rPr>
                <w:rFonts w:ascii="Times New Roman"/>
                <w:spacing w:val="-1"/>
                <w:w w:val="95"/>
                <w:sz w:val="16"/>
              </w:rPr>
              <w:t>6,011,245.12</w:t>
            </w:r>
            <w:r>
              <w:rPr>
                <w:rFonts w:ascii="Times New Roman"/>
                <w:spacing w:val="-1"/>
                <w:sz w:val="16"/>
              </w:rPr>
            </w:r>
          </w:p>
        </w:tc>
        <w:tc>
          <w:tcPr>
            <w:tcW w:w="1721" w:type="dxa"/>
            <w:tcBorders>
              <w:top w:val="nil" w:sz="6" w:space="0" w:color="auto"/>
              <w:left w:val="nil" w:sz="6" w:space="0" w:color="auto"/>
              <w:bottom w:val="nil" w:sz="6" w:space="0" w:color="auto"/>
              <w:right w:val="nil" w:sz="6" w:space="0" w:color="auto"/>
            </w:tcBorders>
          </w:tcPr>
          <w:p>
            <w:pPr/>
          </w:p>
        </w:tc>
      </w:tr>
      <w:tr>
        <w:trPr>
          <w:trHeight w:val="353" w:hRule="exact"/>
        </w:trPr>
        <w:tc>
          <w:tcPr>
            <w:tcW w:w="1070" w:type="dxa"/>
            <w:tcBorders>
              <w:top w:val="nil" w:sz="6" w:space="0" w:color="auto"/>
              <w:left w:val="nil" w:sz="6" w:space="0" w:color="auto"/>
              <w:bottom w:val="nil" w:sz="6" w:space="0" w:color="auto"/>
              <w:right w:val="nil" w:sz="6" w:space="0" w:color="auto"/>
            </w:tcBorders>
          </w:tcPr>
          <w:p>
            <w:pPr/>
          </w:p>
        </w:tc>
        <w:tc>
          <w:tcPr>
            <w:tcW w:w="328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武汉艾德蒙科技股份有限公司</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98"/>
              <w:jc w:val="right"/>
              <w:rPr>
                <w:rFonts w:ascii="Times New Roman" w:hAnsi="Times New Roman" w:cs="Times New Roman" w:eastAsia="Times New Roman" w:hint="default"/>
                <w:sz w:val="16"/>
                <w:szCs w:val="16"/>
              </w:rPr>
            </w:pPr>
            <w:r>
              <w:rPr>
                <w:rFonts w:ascii="Times New Roman"/>
                <w:spacing w:val="-1"/>
                <w:sz w:val="16"/>
              </w:rPr>
              <w:t>3,092,054.77</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3,367,943.12</w:t>
            </w:r>
          </w:p>
        </w:tc>
      </w:tr>
      <w:tr>
        <w:trPr>
          <w:trHeight w:val="353" w:hRule="exact"/>
        </w:trPr>
        <w:tc>
          <w:tcPr>
            <w:tcW w:w="1070" w:type="dxa"/>
            <w:tcBorders>
              <w:top w:val="nil" w:sz="6" w:space="0" w:color="auto"/>
              <w:left w:val="nil" w:sz="6" w:space="0" w:color="auto"/>
              <w:bottom w:val="nil" w:sz="6" w:space="0" w:color="auto"/>
              <w:right w:val="nil" w:sz="6" w:space="0" w:color="auto"/>
            </w:tcBorders>
          </w:tcPr>
          <w:p>
            <w:pPr/>
          </w:p>
        </w:tc>
        <w:tc>
          <w:tcPr>
            <w:tcW w:w="328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中国电子系统技术有限公司</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98"/>
              <w:jc w:val="right"/>
              <w:rPr>
                <w:rFonts w:ascii="Times New Roman" w:hAnsi="Times New Roman" w:cs="Times New Roman" w:eastAsia="Times New Roman" w:hint="default"/>
                <w:sz w:val="16"/>
                <w:szCs w:val="16"/>
              </w:rPr>
            </w:pPr>
            <w:r>
              <w:rPr>
                <w:rFonts w:ascii="Times New Roman"/>
                <w:spacing w:val="-1"/>
                <w:sz w:val="16"/>
              </w:rPr>
              <w:t>1,682,341.91</w:t>
            </w:r>
          </w:p>
        </w:tc>
        <w:tc>
          <w:tcPr>
            <w:tcW w:w="1721" w:type="dxa"/>
            <w:tcBorders>
              <w:top w:val="nil" w:sz="6" w:space="0" w:color="auto"/>
              <w:left w:val="nil" w:sz="6" w:space="0" w:color="auto"/>
              <w:bottom w:val="nil" w:sz="6" w:space="0" w:color="auto"/>
              <w:right w:val="nil" w:sz="6" w:space="0" w:color="auto"/>
            </w:tcBorders>
          </w:tcPr>
          <w:p>
            <w:pPr/>
          </w:p>
        </w:tc>
      </w:tr>
      <w:tr>
        <w:trPr>
          <w:trHeight w:val="353" w:hRule="exact"/>
        </w:trPr>
        <w:tc>
          <w:tcPr>
            <w:tcW w:w="1070" w:type="dxa"/>
            <w:tcBorders>
              <w:top w:val="nil" w:sz="6" w:space="0" w:color="auto"/>
              <w:left w:val="nil" w:sz="6" w:space="0" w:color="auto"/>
              <w:bottom w:val="nil" w:sz="6" w:space="0" w:color="auto"/>
              <w:right w:val="nil" w:sz="6" w:space="0" w:color="auto"/>
            </w:tcBorders>
          </w:tcPr>
          <w:p>
            <w:pPr/>
          </w:p>
        </w:tc>
        <w:tc>
          <w:tcPr>
            <w:tcW w:w="328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中国信息安全研究院有限公司</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98"/>
              <w:jc w:val="right"/>
              <w:rPr>
                <w:rFonts w:ascii="Times New Roman" w:hAnsi="Times New Roman" w:cs="Times New Roman" w:eastAsia="Times New Roman" w:hint="default"/>
                <w:sz w:val="16"/>
                <w:szCs w:val="16"/>
              </w:rPr>
            </w:pPr>
            <w:r>
              <w:rPr>
                <w:rFonts w:ascii="Times New Roman"/>
                <w:spacing w:val="-1"/>
                <w:sz w:val="16"/>
              </w:rPr>
              <w:t>1,385,823.15</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2,336,985.78</w:t>
            </w:r>
          </w:p>
        </w:tc>
      </w:tr>
      <w:tr>
        <w:trPr>
          <w:trHeight w:val="353" w:hRule="exact"/>
        </w:trPr>
        <w:tc>
          <w:tcPr>
            <w:tcW w:w="1070" w:type="dxa"/>
            <w:tcBorders>
              <w:top w:val="nil" w:sz="6" w:space="0" w:color="auto"/>
              <w:left w:val="nil" w:sz="6" w:space="0" w:color="auto"/>
              <w:bottom w:val="nil" w:sz="6" w:space="0" w:color="auto"/>
              <w:right w:val="nil" w:sz="6" w:space="0" w:color="auto"/>
            </w:tcBorders>
          </w:tcPr>
          <w:p>
            <w:pPr/>
          </w:p>
        </w:tc>
        <w:tc>
          <w:tcPr>
            <w:tcW w:w="328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南京熊猫汉达科技有限公司</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98"/>
              <w:jc w:val="right"/>
              <w:rPr>
                <w:rFonts w:ascii="Times New Roman" w:hAnsi="Times New Roman" w:cs="Times New Roman" w:eastAsia="Times New Roman" w:hint="default"/>
                <w:sz w:val="16"/>
                <w:szCs w:val="16"/>
              </w:rPr>
            </w:pPr>
            <w:r>
              <w:rPr>
                <w:rFonts w:ascii="Times New Roman"/>
                <w:spacing w:val="-1"/>
                <w:sz w:val="16"/>
              </w:rPr>
              <w:t>1,200,000.00</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1,200,000.00</w:t>
            </w:r>
          </w:p>
        </w:tc>
      </w:tr>
      <w:tr>
        <w:trPr>
          <w:trHeight w:val="354" w:hRule="exact"/>
        </w:trPr>
        <w:tc>
          <w:tcPr>
            <w:tcW w:w="1070" w:type="dxa"/>
            <w:tcBorders>
              <w:top w:val="nil" w:sz="6" w:space="0" w:color="auto"/>
              <w:left w:val="nil" w:sz="6" w:space="0" w:color="auto"/>
              <w:bottom w:val="nil" w:sz="6" w:space="0" w:color="auto"/>
              <w:right w:val="nil" w:sz="6" w:space="0" w:color="auto"/>
            </w:tcBorders>
          </w:tcPr>
          <w:p>
            <w:pPr/>
          </w:p>
        </w:tc>
        <w:tc>
          <w:tcPr>
            <w:tcW w:w="328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中国振华集团永光电子有限公司</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98"/>
              <w:jc w:val="right"/>
              <w:rPr>
                <w:rFonts w:ascii="Times New Roman" w:hAnsi="Times New Roman" w:cs="Times New Roman" w:eastAsia="Times New Roman" w:hint="default"/>
                <w:sz w:val="16"/>
                <w:szCs w:val="16"/>
              </w:rPr>
            </w:pPr>
            <w:r>
              <w:rPr>
                <w:rFonts w:ascii="Times New Roman"/>
                <w:spacing w:val="-1"/>
                <w:sz w:val="16"/>
              </w:rPr>
              <w:t>1,041,756.93</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283,241.95</w:t>
            </w:r>
          </w:p>
        </w:tc>
      </w:tr>
      <w:tr>
        <w:trPr>
          <w:trHeight w:val="353" w:hRule="exact"/>
        </w:trPr>
        <w:tc>
          <w:tcPr>
            <w:tcW w:w="1070" w:type="dxa"/>
            <w:tcBorders>
              <w:top w:val="nil" w:sz="6" w:space="0" w:color="auto"/>
              <w:left w:val="nil" w:sz="6" w:space="0" w:color="auto"/>
              <w:bottom w:val="nil" w:sz="6" w:space="0" w:color="auto"/>
              <w:right w:val="nil" w:sz="6" w:space="0" w:color="auto"/>
            </w:tcBorders>
          </w:tcPr>
          <w:p>
            <w:pPr/>
          </w:p>
        </w:tc>
        <w:tc>
          <w:tcPr>
            <w:tcW w:w="328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深圳振华富电子有限公司</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98"/>
              <w:jc w:val="right"/>
              <w:rPr>
                <w:rFonts w:ascii="Times New Roman" w:hAnsi="Times New Roman" w:cs="Times New Roman" w:eastAsia="Times New Roman" w:hint="default"/>
                <w:sz w:val="16"/>
                <w:szCs w:val="16"/>
              </w:rPr>
            </w:pPr>
            <w:r>
              <w:rPr>
                <w:rFonts w:ascii="Times New Roman"/>
                <w:spacing w:val="-1"/>
                <w:sz w:val="16"/>
              </w:rPr>
              <w:t>963,614.26</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760,631.50</w:t>
            </w:r>
          </w:p>
        </w:tc>
      </w:tr>
      <w:tr>
        <w:trPr>
          <w:trHeight w:val="353" w:hRule="exact"/>
        </w:trPr>
        <w:tc>
          <w:tcPr>
            <w:tcW w:w="1070" w:type="dxa"/>
            <w:tcBorders>
              <w:top w:val="nil" w:sz="6" w:space="0" w:color="auto"/>
              <w:left w:val="nil" w:sz="6" w:space="0" w:color="auto"/>
              <w:bottom w:val="nil" w:sz="6" w:space="0" w:color="auto"/>
              <w:right w:val="nil" w:sz="6" w:space="0" w:color="auto"/>
            </w:tcBorders>
          </w:tcPr>
          <w:p>
            <w:pPr/>
          </w:p>
        </w:tc>
        <w:tc>
          <w:tcPr>
            <w:tcW w:w="328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北京中电华大电子设计有限责任公司</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98"/>
              <w:jc w:val="right"/>
              <w:rPr>
                <w:rFonts w:ascii="Times New Roman" w:hAnsi="Times New Roman" w:cs="Times New Roman" w:eastAsia="Times New Roman" w:hint="default"/>
                <w:sz w:val="16"/>
                <w:szCs w:val="16"/>
              </w:rPr>
            </w:pPr>
            <w:r>
              <w:rPr>
                <w:rFonts w:ascii="Times New Roman"/>
                <w:spacing w:val="-1"/>
                <w:sz w:val="16"/>
              </w:rPr>
              <w:t>700,000.00</w:t>
            </w:r>
          </w:p>
        </w:tc>
        <w:tc>
          <w:tcPr>
            <w:tcW w:w="1721" w:type="dxa"/>
            <w:tcBorders>
              <w:top w:val="nil" w:sz="6" w:space="0" w:color="auto"/>
              <w:left w:val="nil" w:sz="6" w:space="0" w:color="auto"/>
              <w:bottom w:val="nil" w:sz="6" w:space="0" w:color="auto"/>
              <w:right w:val="nil" w:sz="6" w:space="0" w:color="auto"/>
            </w:tcBorders>
          </w:tcPr>
          <w:p>
            <w:pPr/>
          </w:p>
        </w:tc>
      </w:tr>
      <w:tr>
        <w:trPr>
          <w:trHeight w:val="353" w:hRule="exact"/>
        </w:trPr>
        <w:tc>
          <w:tcPr>
            <w:tcW w:w="1070" w:type="dxa"/>
            <w:tcBorders>
              <w:top w:val="nil" w:sz="6" w:space="0" w:color="auto"/>
              <w:left w:val="nil" w:sz="6" w:space="0" w:color="auto"/>
              <w:bottom w:val="nil" w:sz="6" w:space="0" w:color="auto"/>
              <w:right w:val="nil" w:sz="6" w:space="0" w:color="auto"/>
            </w:tcBorders>
          </w:tcPr>
          <w:p>
            <w:pPr/>
          </w:p>
        </w:tc>
        <w:tc>
          <w:tcPr>
            <w:tcW w:w="328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迈普通信技术股份有限公司</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98"/>
              <w:jc w:val="right"/>
              <w:rPr>
                <w:rFonts w:ascii="Times New Roman" w:hAnsi="Times New Roman" w:cs="Times New Roman" w:eastAsia="Times New Roman" w:hint="default"/>
                <w:sz w:val="16"/>
                <w:szCs w:val="16"/>
              </w:rPr>
            </w:pPr>
            <w:r>
              <w:rPr>
                <w:rFonts w:ascii="Times New Roman"/>
                <w:spacing w:val="-1"/>
                <w:sz w:val="16"/>
              </w:rPr>
              <w:t>662,672.41</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2"/>
                <w:sz w:val="16"/>
              </w:rPr>
              <w:t>111,291.41</w:t>
            </w:r>
          </w:p>
        </w:tc>
      </w:tr>
      <w:tr>
        <w:trPr>
          <w:trHeight w:val="263" w:hRule="exact"/>
        </w:trPr>
        <w:tc>
          <w:tcPr>
            <w:tcW w:w="1070" w:type="dxa"/>
            <w:tcBorders>
              <w:top w:val="nil" w:sz="6" w:space="0" w:color="auto"/>
              <w:left w:val="nil" w:sz="6" w:space="0" w:color="auto"/>
              <w:bottom w:val="nil" w:sz="6" w:space="0" w:color="auto"/>
              <w:right w:val="nil" w:sz="6" w:space="0" w:color="auto"/>
            </w:tcBorders>
          </w:tcPr>
          <w:p>
            <w:pPr/>
          </w:p>
        </w:tc>
        <w:tc>
          <w:tcPr>
            <w:tcW w:w="328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贵州振华华联电子有限公司</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98"/>
              <w:jc w:val="right"/>
              <w:rPr>
                <w:rFonts w:ascii="Times New Roman" w:hAnsi="Times New Roman" w:cs="Times New Roman" w:eastAsia="Times New Roman" w:hint="default"/>
                <w:sz w:val="16"/>
                <w:szCs w:val="16"/>
              </w:rPr>
            </w:pPr>
            <w:r>
              <w:rPr>
                <w:rFonts w:ascii="Times New Roman"/>
                <w:spacing w:val="-1"/>
                <w:w w:val="95"/>
                <w:sz w:val="16"/>
              </w:rPr>
              <w:t>595,118.00</w:t>
            </w:r>
            <w:r>
              <w:rPr>
                <w:rFonts w:ascii="Times New Roman"/>
                <w:spacing w:val="-1"/>
                <w:sz w:val="16"/>
              </w:rPr>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107,351.00</w:t>
            </w:r>
          </w:p>
        </w:tc>
      </w:tr>
      <w:tr>
        <w:trPr>
          <w:trHeight w:val="364" w:hRule="exact"/>
        </w:trPr>
        <w:tc>
          <w:tcPr>
            <w:tcW w:w="8113"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131"/>
              <w:ind w:left="1262" w:right="0"/>
              <w:jc w:val="left"/>
              <w:rPr>
                <w:rFonts w:ascii="宋体" w:hAnsi="宋体" w:cs="宋体" w:eastAsia="宋体" w:hint="default"/>
                <w:sz w:val="16"/>
                <w:szCs w:val="16"/>
              </w:rPr>
            </w:pPr>
            <w:r>
              <w:rPr>
                <w:rFonts w:ascii="宋体" w:hAnsi="宋体" w:cs="宋体" w:eastAsia="宋体" w:hint="default"/>
                <w:spacing w:val="-3"/>
                <w:sz w:val="16"/>
                <w:szCs w:val="16"/>
              </w:rPr>
              <w:t>中国振华（集团）新云电子元器件有限责任公</w:t>
            </w:r>
          </w:p>
        </w:tc>
      </w:tr>
      <w:tr>
        <w:trPr>
          <w:trHeight w:val="280" w:hRule="exact"/>
        </w:trPr>
        <w:tc>
          <w:tcPr>
            <w:tcW w:w="1070" w:type="dxa"/>
            <w:tcBorders>
              <w:top w:val="nil" w:sz="6" w:space="0" w:color="auto"/>
              <w:left w:val="nil" w:sz="6" w:space="0" w:color="auto"/>
              <w:bottom w:val="nil" w:sz="6" w:space="0" w:color="auto"/>
              <w:right w:val="nil" w:sz="6" w:space="0" w:color="auto"/>
            </w:tcBorders>
          </w:tcPr>
          <w:p>
            <w:pPr/>
          </w:p>
        </w:tc>
        <w:tc>
          <w:tcPr>
            <w:tcW w:w="3282" w:type="dxa"/>
            <w:tcBorders>
              <w:top w:val="nil" w:sz="6" w:space="0" w:color="auto"/>
              <w:left w:val="nil" w:sz="6" w:space="0" w:color="auto"/>
              <w:bottom w:val="nil" w:sz="6" w:space="0" w:color="auto"/>
              <w:right w:val="nil" w:sz="6" w:space="0" w:color="auto"/>
            </w:tcBorders>
          </w:tcPr>
          <w:p>
            <w:pPr>
              <w:pStyle w:val="TableParagraph"/>
              <w:spacing w:line="184" w:lineRule="exact"/>
              <w:ind w:left="193" w:right="0"/>
              <w:jc w:val="left"/>
              <w:rPr>
                <w:rFonts w:ascii="宋体" w:hAnsi="宋体" w:cs="宋体" w:eastAsia="宋体" w:hint="default"/>
                <w:sz w:val="16"/>
                <w:szCs w:val="16"/>
              </w:rPr>
            </w:pPr>
            <w:r>
              <w:rPr>
                <w:rFonts w:ascii="宋体" w:hAnsi="宋体" w:cs="宋体" w:eastAsia="宋体" w:hint="default"/>
                <w:w w:val="99"/>
                <w:sz w:val="16"/>
                <w:szCs w:val="16"/>
              </w:rPr>
              <w:t>司</w:t>
            </w:r>
            <w:r>
              <w:rPr>
                <w:rFonts w:ascii="宋体" w:hAnsi="宋体" w:cs="宋体" w:eastAsia="宋体" w:hint="default"/>
                <w:sz w:val="16"/>
                <w:szCs w:val="16"/>
              </w:rPr>
            </w:r>
          </w:p>
        </w:tc>
        <w:tc>
          <w:tcPr>
            <w:tcW w:w="2041" w:type="dxa"/>
            <w:tcBorders>
              <w:top w:val="nil" w:sz="6" w:space="0" w:color="auto"/>
              <w:left w:val="nil" w:sz="6" w:space="0" w:color="auto"/>
              <w:bottom w:val="nil" w:sz="6" w:space="0" w:color="auto"/>
              <w:right w:val="nil" w:sz="6" w:space="0" w:color="auto"/>
            </w:tcBorders>
          </w:tcPr>
          <w:p>
            <w:pPr>
              <w:pStyle w:val="TableParagraph"/>
              <w:spacing w:line="96" w:lineRule="exact"/>
              <w:ind w:right="298"/>
              <w:jc w:val="right"/>
              <w:rPr>
                <w:rFonts w:ascii="Times New Roman" w:hAnsi="Times New Roman" w:cs="Times New Roman" w:eastAsia="Times New Roman" w:hint="default"/>
                <w:sz w:val="16"/>
                <w:szCs w:val="16"/>
              </w:rPr>
            </w:pPr>
            <w:r>
              <w:rPr>
                <w:rFonts w:ascii="Times New Roman"/>
                <w:spacing w:val="-1"/>
                <w:sz w:val="16"/>
              </w:rPr>
              <w:t>554,365.92</w:t>
            </w:r>
          </w:p>
        </w:tc>
        <w:tc>
          <w:tcPr>
            <w:tcW w:w="1721" w:type="dxa"/>
            <w:tcBorders>
              <w:top w:val="nil" w:sz="6" w:space="0" w:color="auto"/>
              <w:left w:val="nil" w:sz="6" w:space="0" w:color="auto"/>
              <w:bottom w:val="nil" w:sz="6" w:space="0" w:color="auto"/>
              <w:right w:val="nil" w:sz="6" w:space="0" w:color="auto"/>
            </w:tcBorders>
          </w:tcPr>
          <w:p>
            <w:pPr>
              <w:pStyle w:val="TableParagraph"/>
              <w:spacing w:line="96" w:lineRule="exact"/>
              <w:ind w:right="68"/>
              <w:jc w:val="right"/>
              <w:rPr>
                <w:rFonts w:ascii="Times New Roman" w:hAnsi="Times New Roman" w:cs="Times New Roman" w:eastAsia="Times New Roman" w:hint="default"/>
                <w:sz w:val="16"/>
                <w:szCs w:val="16"/>
              </w:rPr>
            </w:pPr>
            <w:r>
              <w:rPr>
                <w:rFonts w:ascii="Times New Roman"/>
                <w:spacing w:val="-1"/>
                <w:sz w:val="16"/>
              </w:rPr>
              <w:t>362,459.34</w:t>
            </w:r>
          </w:p>
        </w:tc>
      </w:tr>
      <w:tr>
        <w:trPr>
          <w:trHeight w:val="360" w:hRule="exact"/>
        </w:trPr>
        <w:tc>
          <w:tcPr>
            <w:tcW w:w="1070" w:type="dxa"/>
            <w:tcBorders>
              <w:top w:val="nil" w:sz="6" w:space="0" w:color="auto"/>
              <w:left w:val="nil" w:sz="6" w:space="0" w:color="auto"/>
              <w:bottom w:val="nil" w:sz="6" w:space="0" w:color="auto"/>
              <w:right w:val="nil" w:sz="6" w:space="0" w:color="auto"/>
            </w:tcBorders>
          </w:tcPr>
          <w:p>
            <w:pPr/>
          </w:p>
        </w:tc>
        <w:tc>
          <w:tcPr>
            <w:tcW w:w="3282"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93" w:right="0"/>
              <w:jc w:val="left"/>
              <w:rPr>
                <w:rFonts w:ascii="宋体" w:hAnsi="宋体" w:cs="宋体" w:eastAsia="宋体" w:hint="default"/>
                <w:sz w:val="16"/>
                <w:szCs w:val="16"/>
              </w:rPr>
            </w:pPr>
            <w:r>
              <w:rPr>
                <w:rFonts w:ascii="宋体" w:hAnsi="宋体" w:cs="宋体" w:eastAsia="宋体" w:hint="default"/>
                <w:sz w:val="16"/>
                <w:szCs w:val="16"/>
              </w:rPr>
              <w:t>深圳京裕电子有限公司</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298"/>
              <w:jc w:val="right"/>
              <w:rPr>
                <w:rFonts w:ascii="Times New Roman" w:hAnsi="Times New Roman" w:cs="Times New Roman" w:eastAsia="Times New Roman" w:hint="default"/>
                <w:sz w:val="16"/>
                <w:szCs w:val="16"/>
              </w:rPr>
            </w:pPr>
            <w:r>
              <w:rPr>
                <w:rFonts w:ascii="Times New Roman"/>
                <w:spacing w:val="-1"/>
                <w:sz w:val="16"/>
              </w:rPr>
              <w:t>400,947.28</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68"/>
              <w:jc w:val="right"/>
              <w:rPr>
                <w:rFonts w:ascii="Times New Roman" w:hAnsi="Times New Roman" w:cs="Times New Roman" w:eastAsia="Times New Roman" w:hint="default"/>
                <w:sz w:val="16"/>
                <w:szCs w:val="16"/>
              </w:rPr>
            </w:pPr>
            <w:r>
              <w:rPr>
                <w:rFonts w:ascii="Times New Roman"/>
                <w:spacing w:val="-1"/>
                <w:w w:val="95"/>
                <w:sz w:val="16"/>
              </w:rPr>
              <w:t>486,911.27</w:t>
            </w:r>
            <w:r>
              <w:rPr>
                <w:rFonts w:ascii="Times New Roman"/>
                <w:spacing w:val="-1"/>
                <w:sz w:val="16"/>
              </w:rPr>
            </w:r>
          </w:p>
        </w:tc>
      </w:tr>
      <w:tr>
        <w:trPr>
          <w:trHeight w:val="353" w:hRule="exact"/>
        </w:trPr>
        <w:tc>
          <w:tcPr>
            <w:tcW w:w="1070" w:type="dxa"/>
            <w:tcBorders>
              <w:top w:val="nil" w:sz="6" w:space="0" w:color="auto"/>
              <w:left w:val="nil" w:sz="6" w:space="0" w:color="auto"/>
              <w:bottom w:val="nil" w:sz="6" w:space="0" w:color="auto"/>
              <w:right w:val="nil" w:sz="6" w:space="0" w:color="auto"/>
            </w:tcBorders>
          </w:tcPr>
          <w:p>
            <w:pPr/>
          </w:p>
        </w:tc>
        <w:tc>
          <w:tcPr>
            <w:tcW w:w="328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深圳中电国际信息科技有限公司</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98"/>
              <w:jc w:val="right"/>
              <w:rPr>
                <w:rFonts w:ascii="Times New Roman" w:hAnsi="Times New Roman" w:cs="Times New Roman" w:eastAsia="Times New Roman" w:hint="default"/>
                <w:sz w:val="16"/>
                <w:szCs w:val="16"/>
              </w:rPr>
            </w:pPr>
            <w:r>
              <w:rPr>
                <w:rFonts w:ascii="Times New Roman"/>
                <w:spacing w:val="-1"/>
                <w:sz w:val="16"/>
              </w:rPr>
              <w:t>400,927.88</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1,373,029.32</w:t>
            </w:r>
          </w:p>
        </w:tc>
      </w:tr>
      <w:tr>
        <w:trPr>
          <w:trHeight w:val="354" w:hRule="exact"/>
        </w:trPr>
        <w:tc>
          <w:tcPr>
            <w:tcW w:w="1070" w:type="dxa"/>
            <w:tcBorders>
              <w:top w:val="nil" w:sz="6" w:space="0" w:color="auto"/>
              <w:left w:val="nil" w:sz="6" w:space="0" w:color="auto"/>
              <w:bottom w:val="nil" w:sz="6" w:space="0" w:color="auto"/>
              <w:right w:val="nil" w:sz="6" w:space="0" w:color="auto"/>
            </w:tcBorders>
          </w:tcPr>
          <w:p>
            <w:pPr/>
          </w:p>
        </w:tc>
        <w:tc>
          <w:tcPr>
            <w:tcW w:w="328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中国电子产业开发公司</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98"/>
              <w:jc w:val="right"/>
              <w:rPr>
                <w:rFonts w:ascii="Times New Roman" w:hAnsi="Times New Roman" w:cs="Times New Roman" w:eastAsia="Times New Roman" w:hint="default"/>
                <w:sz w:val="16"/>
                <w:szCs w:val="16"/>
              </w:rPr>
            </w:pPr>
            <w:r>
              <w:rPr>
                <w:rFonts w:ascii="Times New Roman"/>
                <w:spacing w:val="-1"/>
                <w:sz w:val="16"/>
              </w:rPr>
              <w:t>200,000.00</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200,000.00</w:t>
            </w:r>
          </w:p>
        </w:tc>
      </w:tr>
      <w:tr>
        <w:trPr>
          <w:trHeight w:val="353" w:hRule="exact"/>
        </w:trPr>
        <w:tc>
          <w:tcPr>
            <w:tcW w:w="1070" w:type="dxa"/>
            <w:tcBorders>
              <w:top w:val="nil" w:sz="6" w:space="0" w:color="auto"/>
              <w:left w:val="nil" w:sz="6" w:space="0" w:color="auto"/>
              <w:bottom w:val="nil" w:sz="6" w:space="0" w:color="auto"/>
              <w:right w:val="nil" w:sz="6" w:space="0" w:color="auto"/>
            </w:tcBorders>
          </w:tcPr>
          <w:p>
            <w:pPr/>
          </w:p>
        </w:tc>
        <w:tc>
          <w:tcPr>
            <w:tcW w:w="328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深圳市振华微电子有限公司</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98"/>
              <w:jc w:val="right"/>
              <w:rPr>
                <w:rFonts w:ascii="Times New Roman" w:hAnsi="Times New Roman" w:cs="Times New Roman" w:eastAsia="Times New Roman" w:hint="default"/>
                <w:sz w:val="16"/>
                <w:szCs w:val="16"/>
              </w:rPr>
            </w:pPr>
            <w:r>
              <w:rPr>
                <w:rFonts w:ascii="Times New Roman"/>
                <w:spacing w:val="-1"/>
                <w:sz w:val="16"/>
              </w:rPr>
              <w:t>190,186.32</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214,786.32</w:t>
            </w:r>
          </w:p>
        </w:tc>
      </w:tr>
      <w:tr>
        <w:trPr>
          <w:trHeight w:val="353" w:hRule="exact"/>
        </w:trPr>
        <w:tc>
          <w:tcPr>
            <w:tcW w:w="1070" w:type="dxa"/>
            <w:tcBorders>
              <w:top w:val="nil" w:sz="6" w:space="0" w:color="auto"/>
              <w:left w:val="nil" w:sz="6" w:space="0" w:color="auto"/>
              <w:bottom w:val="nil" w:sz="6" w:space="0" w:color="auto"/>
              <w:right w:val="nil" w:sz="6" w:space="0" w:color="auto"/>
            </w:tcBorders>
          </w:tcPr>
          <w:p>
            <w:pPr/>
          </w:p>
        </w:tc>
        <w:tc>
          <w:tcPr>
            <w:tcW w:w="328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中标软件有限公司</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98"/>
              <w:jc w:val="right"/>
              <w:rPr>
                <w:rFonts w:ascii="Times New Roman" w:hAnsi="Times New Roman" w:cs="Times New Roman" w:eastAsia="Times New Roman" w:hint="default"/>
                <w:sz w:val="16"/>
                <w:szCs w:val="16"/>
              </w:rPr>
            </w:pPr>
            <w:r>
              <w:rPr>
                <w:rFonts w:ascii="Times New Roman"/>
                <w:spacing w:val="-1"/>
                <w:sz w:val="16"/>
              </w:rPr>
              <w:t>153,000.00</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5,000.00</w:t>
            </w:r>
          </w:p>
        </w:tc>
      </w:tr>
      <w:tr>
        <w:trPr>
          <w:trHeight w:val="353" w:hRule="exact"/>
        </w:trPr>
        <w:tc>
          <w:tcPr>
            <w:tcW w:w="1070" w:type="dxa"/>
            <w:tcBorders>
              <w:top w:val="nil" w:sz="6" w:space="0" w:color="auto"/>
              <w:left w:val="nil" w:sz="6" w:space="0" w:color="auto"/>
              <w:bottom w:val="nil" w:sz="6" w:space="0" w:color="auto"/>
              <w:right w:val="nil" w:sz="6" w:space="0" w:color="auto"/>
            </w:tcBorders>
          </w:tcPr>
          <w:p>
            <w:pPr/>
          </w:p>
        </w:tc>
        <w:tc>
          <w:tcPr>
            <w:tcW w:w="328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中国振华集团云科电子有限公司</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99"/>
              <w:jc w:val="right"/>
              <w:rPr>
                <w:rFonts w:ascii="Times New Roman" w:hAnsi="Times New Roman" w:cs="Times New Roman" w:eastAsia="Times New Roman" w:hint="default"/>
                <w:sz w:val="16"/>
                <w:szCs w:val="16"/>
              </w:rPr>
            </w:pPr>
            <w:r>
              <w:rPr>
                <w:rFonts w:ascii="Times New Roman"/>
                <w:spacing w:val="-1"/>
                <w:sz w:val="16"/>
              </w:rPr>
              <w:t>45,480.69</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69,245.07</w:t>
            </w:r>
          </w:p>
        </w:tc>
      </w:tr>
      <w:tr>
        <w:trPr>
          <w:trHeight w:val="353" w:hRule="exact"/>
        </w:trPr>
        <w:tc>
          <w:tcPr>
            <w:tcW w:w="1070" w:type="dxa"/>
            <w:tcBorders>
              <w:top w:val="nil" w:sz="6" w:space="0" w:color="auto"/>
              <w:left w:val="nil" w:sz="6" w:space="0" w:color="auto"/>
              <w:bottom w:val="nil" w:sz="6" w:space="0" w:color="auto"/>
              <w:right w:val="nil" w:sz="6" w:space="0" w:color="auto"/>
            </w:tcBorders>
          </w:tcPr>
          <w:p>
            <w:pPr/>
          </w:p>
        </w:tc>
        <w:tc>
          <w:tcPr>
            <w:tcW w:w="328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贵州振华群英电器有限公司</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99"/>
              <w:jc w:val="right"/>
              <w:rPr>
                <w:rFonts w:ascii="Times New Roman" w:hAnsi="Times New Roman" w:cs="Times New Roman" w:eastAsia="Times New Roman" w:hint="default"/>
                <w:sz w:val="16"/>
                <w:szCs w:val="16"/>
              </w:rPr>
            </w:pPr>
            <w:r>
              <w:rPr>
                <w:rFonts w:ascii="Times New Roman"/>
                <w:spacing w:val="-1"/>
                <w:sz w:val="16"/>
              </w:rPr>
              <w:t>30,940.00</w:t>
            </w:r>
          </w:p>
        </w:tc>
        <w:tc>
          <w:tcPr>
            <w:tcW w:w="1721" w:type="dxa"/>
            <w:tcBorders>
              <w:top w:val="nil" w:sz="6" w:space="0" w:color="auto"/>
              <w:left w:val="nil" w:sz="6" w:space="0" w:color="auto"/>
              <w:bottom w:val="nil" w:sz="6" w:space="0" w:color="auto"/>
              <w:right w:val="nil" w:sz="6" w:space="0" w:color="auto"/>
            </w:tcBorders>
          </w:tcPr>
          <w:p>
            <w:pPr/>
          </w:p>
        </w:tc>
      </w:tr>
      <w:tr>
        <w:trPr>
          <w:trHeight w:val="354" w:hRule="exact"/>
        </w:trPr>
        <w:tc>
          <w:tcPr>
            <w:tcW w:w="1070" w:type="dxa"/>
            <w:tcBorders>
              <w:top w:val="nil" w:sz="6" w:space="0" w:color="auto"/>
              <w:left w:val="nil" w:sz="6" w:space="0" w:color="auto"/>
              <w:bottom w:val="nil" w:sz="6" w:space="0" w:color="auto"/>
              <w:right w:val="nil" w:sz="6" w:space="0" w:color="auto"/>
            </w:tcBorders>
          </w:tcPr>
          <w:p>
            <w:pPr/>
          </w:p>
        </w:tc>
        <w:tc>
          <w:tcPr>
            <w:tcW w:w="328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中电基础产品装备公司</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99"/>
              <w:jc w:val="right"/>
              <w:rPr>
                <w:rFonts w:ascii="Times New Roman" w:hAnsi="Times New Roman" w:cs="Times New Roman" w:eastAsia="Times New Roman" w:hint="default"/>
                <w:sz w:val="16"/>
                <w:szCs w:val="16"/>
              </w:rPr>
            </w:pPr>
            <w:r>
              <w:rPr>
                <w:rFonts w:ascii="Times New Roman"/>
                <w:spacing w:val="-1"/>
                <w:sz w:val="16"/>
              </w:rPr>
              <w:t>29,073.55</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86,331.00</w:t>
            </w:r>
          </w:p>
        </w:tc>
      </w:tr>
      <w:tr>
        <w:trPr>
          <w:trHeight w:val="353" w:hRule="exact"/>
        </w:trPr>
        <w:tc>
          <w:tcPr>
            <w:tcW w:w="1070" w:type="dxa"/>
            <w:tcBorders>
              <w:top w:val="nil" w:sz="6" w:space="0" w:color="auto"/>
              <w:left w:val="nil" w:sz="6" w:space="0" w:color="auto"/>
              <w:bottom w:val="nil" w:sz="6" w:space="0" w:color="auto"/>
              <w:right w:val="nil" w:sz="6" w:space="0" w:color="auto"/>
            </w:tcBorders>
          </w:tcPr>
          <w:p>
            <w:pPr/>
          </w:p>
        </w:tc>
        <w:tc>
          <w:tcPr>
            <w:tcW w:w="328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贵州振华红云电子有限公司</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99"/>
              <w:jc w:val="right"/>
              <w:rPr>
                <w:rFonts w:ascii="Times New Roman" w:hAnsi="Times New Roman" w:cs="Times New Roman" w:eastAsia="Times New Roman" w:hint="default"/>
                <w:sz w:val="16"/>
                <w:szCs w:val="16"/>
              </w:rPr>
            </w:pPr>
            <w:r>
              <w:rPr>
                <w:rFonts w:ascii="Times New Roman"/>
                <w:spacing w:val="-1"/>
                <w:sz w:val="16"/>
              </w:rPr>
              <w:t>17,081.00</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39,638.00</w:t>
            </w:r>
          </w:p>
        </w:tc>
      </w:tr>
      <w:tr>
        <w:trPr>
          <w:trHeight w:val="353" w:hRule="exact"/>
        </w:trPr>
        <w:tc>
          <w:tcPr>
            <w:tcW w:w="1070" w:type="dxa"/>
            <w:tcBorders>
              <w:top w:val="nil" w:sz="6" w:space="0" w:color="auto"/>
              <w:left w:val="nil" w:sz="6" w:space="0" w:color="auto"/>
              <w:bottom w:val="nil" w:sz="6" w:space="0" w:color="auto"/>
              <w:right w:val="nil" w:sz="6" w:space="0" w:color="auto"/>
            </w:tcBorders>
          </w:tcPr>
          <w:p>
            <w:pPr/>
          </w:p>
        </w:tc>
        <w:tc>
          <w:tcPr>
            <w:tcW w:w="328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南京中电熊猫家电有限公司</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98"/>
              <w:jc w:val="right"/>
              <w:rPr>
                <w:rFonts w:ascii="Times New Roman" w:hAnsi="Times New Roman" w:cs="Times New Roman" w:eastAsia="Times New Roman" w:hint="default"/>
                <w:sz w:val="16"/>
                <w:szCs w:val="16"/>
              </w:rPr>
            </w:pPr>
            <w:r>
              <w:rPr>
                <w:rFonts w:ascii="Times New Roman"/>
                <w:spacing w:val="-1"/>
                <w:sz w:val="16"/>
              </w:rPr>
              <w:t>5,128.21</w:t>
            </w:r>
          </w:p>
        </w:tc>
        <w:tc>
          <w:tcPr>
            <w:tcW w:w="1721" w:type="dxa"/>
            <w:tcBorders>
              <w:top w:val="nil" w:sz="6" w:space="0" w:color="auto"/>
              <w:left w:val="nil" w:sz="6" w:space="0" w:color="auto"/>
              <w:bottom w:val="nil" w:sz="6" w:space="0" w:color="auto"/>
              <w:right w:val="nil" w:sz="6" w:space="0" w:color="auto"/>
            </w:tcBorders>
          </w:tcPr>
          <w:p>
            <w:pPr/>
          </w:p>
        </w:tc>
      </w:tr>
      <w:tr>
        <w:trPr>
          <w:trHeight w:val="353" w:hRule="exact"/>
        </w:trPr>
        <w:tc>
          <w:tcPr>
            <w:tcW w:w="1070" w:type="dxa"/>
            <w:tcBorders>
              <w:top w:val="nil" w:sz="6" w:space="0" w:color="auto"/>
              <w:left w:val="nil" w:sz="6" w:space="0" w:color="auto"/>
              <w:bottom w:val="nil" w:sz="6" w:space="0" w:color="auto"/>
              <w:right w:val="nil" w:sz="6" w:space="0" w:color="auto"/>
            </w:tcBorders>
          </w:tcPr>
          <w:p>
            <w:pPr/>
          </w:p>
        </w:tc>
        <w:tc>
          <w:tcPr>
            <w:tcW w:w="328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中国振华电子集团有限公司</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98"/>
              <w:jc w:val="right"/>
              <w:rPr>
                <w:rFonts w:ascii="Times New Roman" w:hAnsi="Times New Roman" w:cs="Times New Roman" w:eastAsia="Times New Roman" w:hint="default"/>
                <w:sz w:val="16"/>
                <w:szCs w:val="16"/>
              </w:rPr>
            </w:pPr>
            <w:r>
              <w:rPr>
                <w:rFonts w:ascii="Times New Roman"/>
                <w:spacing w:val="-1"/>
                <w:sz w:val="16"/>
              </w:rPr>
              <w:t>1,588.70</w:t>
            </w:r>
          </w:p>
        </w:tc>
        <w:tc>
          <w:tcPr>
            <w:tcW w:w="1721" w:type="dxa"/>
            <w:tcBorders>
              <w:top w:val="nil" w:sz="6" w:space="0" w:color="auto"/>
              <w:left w:val="nil" w:sz="6" w:space="0" w:color="auto"/>
              <w:bottom w:val="nil" w:sz="6" w:space="0" w:color="auto"/>
              <w:right w:val="nil" w:sz="6" w:space="0" w:color="auto"/>
            </w:tcBorders>
          </w:tcPr>
          <w:p>
            <w:pPr/>
          </w:p>
        </w:tc>
      </w:tr>
      <w:tr>
        <w:trPr>
          <w:trHeight w:val="358" w:hRule="exact"/>
        </w:trPr>
        <w:tc>
          <w:tcPr>
            <w:tcW w:w="107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应付票据</w:t>
            </w:r>
          </w:p>
        </w:tc>
        <w:tc>
          <w:tcPr>
            <w:tcW w:w="3282" w:type="dxa"/>
            <w:tcBorders>
              <w:top w:val="nil" w:sz="6" w:space="0" w:color="auto"/>
              <w:left w:val="nil" w:sz="6" w:space="0" w:color="auto"/>
              <w:bottom w:val="nil" w:sz="6" w:space="0" w:color="auto"/>
              <w:right w:val="nil" w:sz="6" w:space="0" w:color="auto"/>
            </w:tcBorders>
          </w:tcPr>
          <w:p>
            <w:pPr/>
          </w:p>
        </w:tc>
        <w:tc>
          <w:tcPr>
            <w:tcW w:w="2041" w:type="dxa"/>
            <w:tcBorders>
              <w:top w:val="nil" w:sz="6" w:space="0" w:color="auto"/>
              <w:left w:val="nil" w:sz="6" w:space="0" w:color="auto"/>
              <w:bottom w:val="nil" w:sz="6" w:space="0" w:color="auto"/>
              <w:right w:val="nil" w:sz="6" w:space="0" w:color="auto"/>
            </w:tcBorders>
          </w:tcPr>
          <w:p>
            <w:pPr/>
          </w:p>
        </w:tc>
        <w:tc>
          <w:tcPr>
            <w:tcW w:w="1721" w:type="dxa"/>
            <w:tcBorders>
              <w:top w:val="nil" w:sz="6" w:space="0" w:color="auto"/>
              <w:left w:val="nil" w:sz="6" w:space="0" w:color="auto"/>
              <w:bottom w:val="nil" w:sz="6" w:space="0" w:color="auto"/>
              <w:right w:val="nil" w:sz="6" w:space="0" w:color="auto"/>
            </w:tcBorders>
          </w:tcPr>
          <w:p>
            <w:pPr/>
          </w:p>
        </w:tc>
      </w:tr>
    </w:tbl>
    <w:p>
      <w:pPr>
        <w:spacing w:after="0"/>
        <w:sectPr>
          <w:pgSz w:w="11910" w:h="16840"/>
          <w:pgMar w:header="0" w:footer="1001" w:top="1520" w:bottom="1200" w:left="1660" w:right="0"/>
        </w:sectPr>
      </w:pPr>
    </w:p>
    <w:p>
      <w:pPr>
        <w:spacing w:line="240" w:lineRule="auto" w:before="9"/>
        <w:rPr>
          <w:rFonts w:ascii="Times New Roman" w:hAnsi="Times New Roman" w:cs="Times New Roman" w:eastAsia="Times New Roman" w:hint="default"/>
          <w:sz w:val="11"/>
          <w:szCs w:val="11"/>
        </w:rPr>
      </w:pPr>
      <w:r>
        <w:rPr/>
        <w:pict>
          <v:group style="position:absolute;margin-left:119.010002pt;margin-top:82.919998pt;width:411.95pt;height:684.55pt;mso-position-horizontal-relative:page;mso-position-vertical-relative:page;z-index:-1363792" coordorigin="2380,1658" coordsize="8239,13691">
            <v:group style="position:absolute;left:2410;top:1673;width:1188;height:2" coordorigin="2410,1673" coordsize="1188,2">
              <v:shape style="position:absolute;left:2410;top:1673;width:1188;height:2" coordorigin="2410,1673" coordsize="1188,0" path="m2410,1673l3598,1673e" filled="false" stroked="true" strokeweight="1.5pt" strokecolor="#000000">
                <v:path arrowok="t"/>
              </v:shape>
              <v:shape style="position:absolute;left:3598;top:1688;width:10;height:28" type="#_x0000_t75" stroked="false">
                <v:imagedata r:id="rId37" o:title=""/>
              </v:shape>
            </v:group>
            <v:group style="position:absolute;left:3598;top:1673;width:3372;height:2" coordorigin="3598,1673" coordsize="3372,2">
              <v:shape style="position:absolute;left:3598;top:1673;width:3372;height:2" coordorigin="3598,1673" coordsize="3372,0" path="m3598,1673l6970,1673e" filled="false" stroked="true" strokeweight="1.5pt" strokecolor="#000000">
                <v:path arrowok="t"/>
              </v:shape>
              <v:shape style="position:absolute;left:6970;top:1688;width:10;height:28" type="#_x0000_t75" stroked="false">
                <v:imagedata r:id="rId37" o:title=""/>
              </v:shape>
            </v:group>
            <v:group style="position:absolute;left:6970;top:1673;width:1672;height:2" coordorigin="6970,1673" coordsize="1672,2">
              <v:shape style="position:absolute;left:6970;top:1673;width:1672;height:2" coordorigin="6970,1673" coordsize="1672,0" path="m6970,1673l8641,1673e" filled="false" stroked="true" strokeweight="1.5pt" strokecolor="#000000">
                <v:path arrowok="t"/>
              </v:shape>
              <v:shape style="position:absolute;left:8641;top:1688;width:10;height:28" type="#_x0000_t75" stroked="false">
                <v:imagedata r:id="rId37" o:title=""/>
              </v:shape>
            </v:group>
            <v:group style="position:absolute;left:8641;top:1673;width:1956;height:2" coordorigin="8641,1673" coordsize="1956,2">
              <v:shape style="position:absolute;left:8641;top:1673;width:1956;height:2" coordorigin="8641,1673" coordsize="1956,0" path="m8641,1673l10597,1673e" filled="false" stroked="true" strokeweight="1.5pt" strokecolor="#000000">
                <v:path arrowok="t"/>
              </v:shape>
              <v:shape style="position:absolute;left:3578;top:1697;width:5092;height:355" type="#_x0000_t75" stroked="false">
                <v:imagedata r:id="rId466" o:title=""/>
              </v:shape>
            </v:group>
            <v:group style="position:absolute;left:2395;top:15334;width:1203;height:2" coordorigin="2395,15334" coordsize="1203,2">
              <v:shape style="position:absolute;left:2395;top:15334;width:1203;height:2" coordorigin="2395,15334" coordsize="1203,0" path="m2395,15334l3598,15334e" filled="false" stroked="true" strokeweight="1.5pt" strokecolor="#000000">
                <v:path arrowok="t"/>
              </v:shape>
            </v:group>
            <v:group style="position:absolute;left:3598;top:15334;width:3372;height:2" coordorigin="3598,15334" coordsize="3372,2">
              <v:shape style="position:absolute;left:3598;top:15334;width:3372;height:2" coordorigin="3598,15334" coordsize="3372,0" path="m3598,15334l6970,15334e" filled="false" stroked="true" strokeweight="1.5pt" strokecolor="#000000">
                <v:path arrowok="t"/>
              </v:shape>
            </v:group>
            <v:group style="position:absolute;left:6970;top:15334;width:1672;height:2" coordorigin="6970,15334" coordsize="1672,2">
              <v:shape style="position:absolute;left:6970;top:15334;width:1672;height:2" coordorigin="6970,15334" coordsize="1672,0" path="m6970,15334l8641,15334e" filled="false" stroked="true" strokeweight="1.5pt" strokecolor="#000000">
                <v:path arrowok="t"/>
              </v:shape>
              <v:shape style="position:absolute;left:2390;top:2014;width:8228;height:13306" type="#_x0000_t75" stroked="false">
                <v:imagedata r:id="rId467" o:title=""/>
              </v:shape>
            </v:group>
            <v:group style="position:absolute;left:8641;top:15334;width:1956;height:2" coordorigin="8641,15334" coordsize="1956,2">
              <v:shape style="position:absolute;left:8641;top:15334;width:1956;height:2" coordorigin="8641,15334" coordsize="1956,0" path="m8641,15334l10597,15334e" filled="false" stroked="true" strokeweight="1.5pt" strokecolor="#000000">
                <v:path arrowok="t"/>
              </v:shape>
            </v:group>
            <w10:wrap type="none"/>
          </v:group>
        </w:pict>
      </w:r>
    </w:p>
    <w:tbl>
      <w:tblPr>
        <w:tblW w:w="0" w:type="auto"/>
        <w:jc w:val="left"/>
        <w:tblInd w:w="822" w:type="dxa"/>
        <w:tblLayout w:type="fixed"/>
        <w:tblCellMar>
          <w:top w:w="0" w:type="dxa"/>
          <w:left w:w="0" w:type="dxa"/>
          <w:bottom w:w="0" w:type="dxa"/>
          <w:right w:w="0" w:type="dxa"/>
        </w:tblCellMar>
        <w:tblLook w:val="01E0"/>
      </w:tblPr>
      <w:tblGrid>
        <w:gridCol w:w="1035"/>
        <w:gridCol w:w="3522"/>
        <w:gridCol w:w="1801"/>
        <w:gridCol w:w="1721"/>
      </w:tblGrid>
      <w:tr>
        <w:trPr>
          <w:trHeight w:val="724" w:hRule="exact"/>
        </w:trPr>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57"/>
              <w:ind w:left="203" w:right="0"/>
              <w:jc w:val="left"/>
              <w:rPr>
                <w:rFonts w:ascii="宋体" w:hAnsi="宋体" w:cs="宋体" w:eastAsia="宋体" w:hint="default"/>
                <w:sz w:val="16"/>
                <w:szCs w:val="16"/>
              </w:rPr>
            </w:pPr>
            <w:r>
              <w:rPr>
                <w:rFonts w:ascii="宋体" w:hAnsi="宋体" w:cs="宋体" w:eastAsia="宋体" w:hint="default"/>
                <w:sz w:val="16"/>
                <w:szCs w:val="16"/>
              </w:rPr>
              <w:t>项目名称</w:t>
            </w:r>
          </w:p>
        </w:tc>
        <w:tc>
          <w:tcPr>
            <w:tcW w:w="3522" w:type="dxa"/>
            <w:tcBorders>
              <w:top w:val="nil" w:sz="6" w:space="0" w:color="auto"/>
              <w:left w:val="nil" w:sz="6" w:space="0" w:color="auto"/>
              <w:bottom w:val="nil" w:sz="6" w:space="0" w:color="auto"/>
              <w:right w:val="nil" w:sz="6" w:space="0" w:color="auto"/>
            </w:tcBorders>
          </w:tcPr>
          <w:p>
            <w:pPr>
              <w:pStyle w:val="TableParagraph"/>
              <w:spacing w:line="405" w:lineRule="auto" w:before="57"/>
              <w:ind w:left="193" w:right="1409" w:firstLine="1338"/>
              <w:jc w:val="left"/>
              <w:rPr>
                <w:rFonts w:ascii="宋体" w:hAnsi="宋体" w:cs="宋体" w:eastAsia="宋体" w:hint="default"/>
                <w:sz w:val="16"/>
                <w:szCs w:val="16"/>
              </w:rPr>
            </w:pPr>
            <w:r>
              <w:rPr>
                <w:rFonts w:ascii="宋体" w:hAnsi="宋体" w:cs="宋体" w:eastAsia="宋体" w:hint="default"/>
                <w:sz w:val="16"/>
                <w:szCs w:val="16"/>
              </w:rPr>
              <w:t>关联方</w:t>
            </w:r>
            <w:r>
              <w:rPr>
                <w:rFonts w:ascii="宋体" w:hAnsi="宋体" w:cs="宋体" w:eastAsia="宋体" w:hint="default"/>
                <w:w w:val="99"/>
                <w:sz w:val="16"/>
                <w:szCs w:val="16"/>
              </w:rPr>
              <w:t> </w:t>
            </w:r>
            <w:r>
              <w:rPr>
                <w:rFonts w:ascii="宋体" w:hAnsi="宋体" w:cs="宋体" w:eastAsia="宋体" w:hint="default"/>
                <w:w w:val="95"/>
                <w:sz w:val="16"/>
                <w:szCs w:val="16"/>
              </w:rPr>
              <w:t>湖南长城银河科技有限公司</w:t>
            </w:r>
            <w:r>
              <w:rPr>
                <w:rFonts w:ascii="宋体" w:hAnsi="宋体" w:cs="宋体" w:eastAsia="宋体" w:hint="default"/>
                <w:sz w:val="16"/>
                <w:szCs w:val="16"/>
              </w:rPr>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57"/>
              <w:ind w:left="290" w:right="0"/>
              <w:jc w:val="left"/>
              <w:rPr>
                <w:rFonts w:ascii="宋体" w:hAnsi="宋体" w:cs="宋体" w:eastAsia="宋体" w:hint="default"/>
                <w:sz w:val="16"/>
                <w:szCs w:val="16"/>
              </w:rPr>
            </w:pPr>
            <w:r>
              <w:rPr>
                <w:rFonts w:ascii="宋体" w:hAnsi="宋体" w:cs="宋体" w:eastAsia="宋体" w:hint="default"/>
                <w:sz w:val="16"/>
                <w:szCs w:val="16"/>
              </w:rPr>
              <w:t>期末账面余额</w:t>
            </w:r>
          </w:p>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left="578" w:right="0"/>
              <w:jc w:val="left"/>
              <w:rPr>
                <w:rFonts w:ascii="Times New Roman" w:hAnsi="Times New Roman" w:cs="Times New Roman" w:eastAsia="Times New Roman" w:hint="default"/>
                <w:sz w:val="16"/>
                <w:szCs w:val="16"/>
              </w:rPr>
            </w:pPr>
            <w:r>
              <w:rPr>
                <w:rFonts w:ascii="Times New Roman"/>
                <w:sz w:val="16"/>
              </w:rPr>
              <w:t>15,153,604.00</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57"/>
              <w:ind w:left="300" w:right="0"/>
              <w:jc w:val="left"/>
              <w:rPr>
                <w:rFonts w:ascii="宋体" w:hAnsi="宋体" w:cs="宋体" w:eastAsia="宋体" w:hint="default"/>
                <w:sz w:val="16"/>
                <w:szCs w:val="16"/>
              </w:rPr>
            </w:pPr>
            <w:r>
              <w:rPr>
                <w:rFonts w:ascii="宋体" w:hAnsi="宋体" w:cs="宋体" w:eastAsia="宋体" w:hint="default"/>
                <w:sz w:val="16"/>
                <w:szCs w:val="16"/>
              </w:rPr>
              <w:t>年初账面余额</w:t>
            </w:r>
          </w:p>
        </w:tc>
      </w:tr>
      <w:tr>
        <w:trPr>
          <w:trHeight w:val="353" w:hRule="exact"/>
        </w:trPr>
        <w:tc>
          <w:tcPr>
            <w:tcW w:w="1035" w:type="dxa"/>
            <w:tcBorders>
              <w:top w:val="nil" w:sz="6" w:space="0" w:color="auto"/>
              <w:left w:val="nil" w:sz="6" w:space="0" w:color="auto"/>
              <w:bottom w:val="nil" w:sz="6" w:space="0" w:color="auto"/>
              <w:right w:val="nil" w:sz="6" w:space="0" w:color="auto"/>
            </w:tcBorders>
          </w:tcPr>
          <w:p>
            <w:pPr/>
          </w:p>
        </w:tc>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武汉艾德蒙科技股份有限公司</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98"/>
              <w:jc w:val="right"/>
              <w:rPr>
                <w:rFonts w:ascii="Times New Roman" w:hAnsi="Times New Roman" w:cs="Times New Roman" w:eastAsia="Times New Roman" w:hint="default"/>
                <w:sz w:val="16"/>
                <w:szCs w:val="16"/>
              </w:rPr>
            </w:pPr>
            <w:r>
              <w:rPr>
                <w:rFonts w:ascii="Times New Roman"/>
                <w:spacing w:val="-1"/>
                <w:sz w:val="16"/>
              </w:rPr>
              <w:t>7,031,770.00</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673,600.00</w:t>
            </w:r>
          </w:p>
        </w:tc>
      </w:tr>
      <w:tr>
        <w:trPr>
          <w:trHeight w:val="264" w:hRule="exact"/>
        </w:trPr>
        <w:tc>
          <w:tcPr>
            <w:tcW w:w="1035" w:type="dxa"/>
            <w:tcBorders>
              <w:top w:val="nil" w:sz="6" w:space="0" w:color="auto"/>
              <w:left w:val="nil" w:sz="6" w:space="0" w:color="auto"/>
              <w:bottom w:val="nil" w:sz="6" w:space="0" w:color="auto"/>
              <w:right w:val="nil" w:sz="6" w:space="0" w:color="auto"/>
            </w:tcBorders>
          </w:tcPr>
          <w:p>
            <w:pPr/>
          </w:p>
        </w:tc>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武汉长江融达电子有限公司</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98"/>
              <w:jc w:val="right"/>
              <w:rPr>
                <w:rFonts w:ascii="Times New Roman" w:hAnsi="Times New Roman" w:cs="Times New Roman" w:eastAsia="Times New Roman" w:hint="default"/>
                <w:sz w:val="16"/>
                <w:szCs w:val="16"/>
              </w:rPr>
            </w:pPr>
            <w:r>
              <w:rPr>
                <w:rFonts w:ascii="Times New Roman"/>
                <w:spacing w:val="-1"/>
                <w:sz w:val="16"/>
              </w:rPr>
              <w:t>3,200,000.00</w:t>
            </w:r>
          </w:p>
        </w:tc>
        <w:tc>
          <w:tcPr>
            <w:tcW w:w="1721" w:type="dxa"/>
            <w:tcBorders>
              <w:top w:val="nil" w:sz="6" w:space="0" w:color="auto"/>
              <w:left w:val="nil" w:sz="6" w:space="0" w:color="auto"/>
              <w:bottom w:val="nil" w:sz="6" w:space="0" w:color="auto"/>
              <w:right w:val="nil" w:sz="6" w:space="0" w:color="auto"/>
            </w:tcBorders>
          </w:tcPr>
          <w:p>
            <w:pPr/>
          </w:p>
        </w:tc>
      </w:tr>
      <w:tr>
        <w:trPr>
          <w:trHeight w:val="363" w:hRule="exact"/>
        </w:trPr>
        <w:tc>
          <w:tcPr>
            <w:tcW w:w="8078"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130"/>
              <w:ind w:left="1227" w:right="0"/>
              <w:jc w:val="left"/>
              <w:rPr>
                <w:rFonts w:ascii="宋体" w:hAnsi="宋体" w:cs="宋体" w:eastAsia="宋体" w:hint="default"/>
                <w:sz w:val="16"/>
                <w:szCs w:val="16"/>
              </w:rPr>
            </w:pPr>
            <w:r>
              <w:rPr>
                <w:rFonts w:ascii="宋体" w:hAnsi="宋体" w:cs="宋体" w:eastAsia="宋体" w:hint="default"/>
                <w:spacing w:val="-3"/>
                <w:sz w:val="16"/>
                <w:szCs w:val="16"/>
              </w:rPr>
              <w:t>中国振华（集团）新云电子元器件有限责任公</w:t>
            </w:r>
          </w:p>
        </w:tc>
      </w:tr>
      <w:tr>
        <w:trPr>
          <w:trHeight w:val="281" w:hRule="exact"/>
        </w:trPr>
        <w:tc>
          <w:tcPr>
            <w:tcW w:w="1035" w:type="dxa"/>
            <w:tcBorders>
              <w:top w:val="nil" w:sz="6" w:space="0" w:color="auto"/>
              <w:left w:val="nil" w:sz="6" w:space="0" w:color="auto"/>
              <w:bottom w:val="nil" w:sz="6" w:space="0" w:color="auto"/>
              <w:right w:val="nil" w:sz="6" w:space="0" w:color="auto"/>
            </w:tcBorders>
          </w:tcPr>
          <w:p>
            <w:pPr/>
          </w:p>
        </w:tc>
        <w:tc>
          <w:tcPr>
            <w:tcW w:w="3522" w:type="dxa"/>
            <w:tcBorders>
              <w:top w:val="nil" w:sz="6" w:space="0" w:color="auto"/>
              <w:left w:val="nil" w:sz="6" w:space="0" w:color="auto"/>
              <w:bottom w:val="nil" w:sz="6" w:space="0" w:color="auto"/>
              <w:right w:val="nil" w:sz="6" w:space="0" w:color="auto"/>
            </w:tcBorders>
          </w:tcPr>
          <w:p>
            <w:pPr>
              <w:pStyle w:val="TableParagraph"/>
              <w:spacing w:line="184" w:lineRule="exact"/>
              <w:ind w:left="193" w:right="0"/>
              <w:jc w:val="left"/>
              <w:rPr>
                <w:rFonts w:ascii="宋体" w:hAnsi="宋体" w:cs="宋体" w:eastAsia="宋体" w:hint="default"/>
                <w:sz w:val="16"/>
                <w:szCs w:val="16"/>
              </w:rPr>
            </w:pPr>
            <w:r>
              <w:rPr>
                <w:rFonts w:ascii="宋体" w:hAnsi="宋体" w:cs="宋体" w:eastAsia="宋体" w:hint="default"/>
                <w:w w:val="99"/>
                <w:sz w:val="16"/>
                <w:szCs w:val="16"/>
              </w:rPr>
              <w:t>司</w:t>
            </w:r>
            <w:r>
              <w:rPr>
                <w:rFonts w:ascii="宋体" w:hAnsi="宋体" w:cs="宋体" w:eastAsia="宋体" w:hint="default"/>
                <w:sz w:val="16"/>
                <w:szCs w:val="16"/>
              </w:rPr>
            </w:r>
          </w:p>
        </w:tc>
        <w:tc>
          <w:tcPr>
            <w:tcW w:w="1801" w:type="dxa"/>
            <w:tcBorders>
              <w:top w:val="nil" w:sz="6" w:space="0" w:color="auto"/>
              <w:left w:val="nil" w:sz="6" w:space="0" w:color="auto"/>
              <w:bottom w:val="nil" w:sz="6" w:space="0" w:color="auto"/>
              <w:right w:val="nil" w:sz="6" w:space="0" w:color="auto"/>
            </w:tcBorders>
          </w:tcPr>
          <w:p>
            <w:pPr>
              <w:pStyle w:val="TableParagraph"/>
              <w:spacing w:line="97" w:lineRule="exact"/>
              <w:ind w:right="298"/>
              <w:jc w:val="right"/>
              <w:rPr>
                <w:rFonts w:ascii="Times New Roman" w:hAnsi="Times New Roman" w:cs="Times New Roman" w:eastAsia="Times New Roman" w:hint="default"/>
                <w:sz w:val="16"/>
                <w:szCs w:val="16"/>
              </w:rPr>
            </w:pPr>
            <w:r>
              <w:rPr>
                <w:rFonts w:ascii="Times New Roman"/>
                <w:spacing w:val="-1"/>
                <w:sz w:val="16"/>
              </w:rPr>
              <w:t>1,952,889.45</w:t>
            </w:r>
          </w:p>
        </w:tc>
        <w:tc>
          <w:tcPr>
            <w:tcW w:w="1721" w:type="dxa"/>
            <w:tcBorders>
              <w:top w:val="nil" w:sz="6" w:space="0" w:color="auto"/>
              <w:left w:val="nil" w:sz="6" w:space="0" w:color="auto"/>
              <w:bottom w:val="nil" w:sz="6" w:space="0" w:color="auto"/>
              <w:right w:val="nil" w:sz="6" w:space="0" w:color="auto"/>
            </w:tcBorders>
          </w:tcPr>
          <w:p>
            <w:pPr>
              <w:pStyle w:val="TableParagraph"/>
              <w:spacing w:line="97" w:lineRule="exact"/>
              <w:ind w:right="68"/>
              <w:jc w:val="right"/>
              <w:rPr>
                <w:rFonts w:ascii="Times New Roman" w:hAnsi="Times New Roman" w:cs="Times New Roman" w:eastAsia="Times New Roman" w:hint="default"/>
                <w:sz w:val="16"/>
                <w:szCs w:val="16"/>
              </w:rPr>
            </w:pPr>
            <w:r>
              <w:rPr>
                <w:rFonts w:ascii="Times New Roman"/>
                <w:spacing w:val="-1"/>
                <w:sz w:val="16"/>
              </w:rPr>
              <w:t>300,000.00</w:t>
            </w:r>
          </w:p>
        </w:tc>
      </w:tr>
      <w:tr>
        <w:trPr>
          <w:trHeight w:val="360" w:hRule="exact"/>
        </w:trPr>
        <w:tc>
          <w:tcPr>
            <w:tcW w:w="1035" w:type="dxa"/>
            <w:tcBorders>
              <w:top w:val="nil" w:sz="6" w:space="0" w:color="auto"/>
              <w:left w:val="nil" w:sz="6" w:space="0" w:color="auto"/>
              <w:bottom w:val="nil" w:sz="6" w:space="0" w:color="auto"/>
              <w:right w:val="nil" w:sz="6" w:space="0" w:color="auto"/>
            </w:tcBorders>
          </w:tcPr>
          <w:p>
            <w:pPr/>
          </w:p>
        </w:tc>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93" w:right="0"/>
              <w:jc w:val="left"/>
              <w:rPr>
                <w:rFonts w:ascii="宋体" w:hAnsi="宋体" w:cs="宋体" w:eastAsia="宋体" w:hint="default"/>
                <w:sz w:val="16"/>
                <w:szCs w:val="16"/>
              </w:rPr>
            </w:pPr>
            <w:r>
              <w:rPr>
                <w:rFonts w:ascii="宋体" w:hAnsi="宋体" w:cs="宋体" w:eastAsia="宋体" w:hint="default"/>
                <w:sz w:val="16"/>
                <w:szCs w:val="16"/>
              </w:rPr>
              <w:t>盛科网络（苏州）有限公司</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298"/>
              <w:jc w:val="right"/>
              <w:rPr>
                <w:rFonts w:ascii="Times New Roman" w:hAnsi="Times New Roman" w:cs="Times New Roman" w:eastAsia="Times New Roman" w:hint="default"/>
                <w:sz w:val="16"/>
                <w:szCs w:val="16"/>
              </w:rPr>
            </w:pPr>
            <w:r>
              <w:rPr>
                <w:rFonts w:ascii="Times New Roman"/>
                <w:spacing w:val="-1"/>
                <w:sz w:val="16"/>
              </w:rPr>
              <w:t>1,677,600.00</w:t>
            </w:r>
          </w:p>
        </w:tc>
        <w:tc>
          <w:tcPr>
            <w:tcW w:w="1721" w:type="dxa"/>
            <w:tcBorders>
              <w:top w:val="nil" w:sz="6" w:space="0" w:color="auto"/>
              <w:left w:val="nil" w:sz="6" w:space="0" w:color="auto"/>
              <w:bottom w:val="nil" w:sz="6" w:space="0" w:color="auto"/>
              <w:right w:val="nil" w:sz="6" w:space="0" w:color="auto"/>
            </w:tcBorders>
          </w:tcPr>
          <w:p>
            <w:pPr/>
          </w:p>
        </w:tc>
      </w:tr>
      <w:tr>
        <w:trPr>
          <w:trHeight w:val="353" w:hRule="exact"/>
        </w:trPr>
        <w:tc>
          <w:tcPr>
            <w:tcW w:w="1035" w:type="dxa"/>
            <w:tcBorders>
              <w:top w:val="nil" w:sz="6" w:space="0" w:color="auto"/>
              <w:left w:val="nil" w:sz="6" w:space="0" w:color="auto"/>
              <w:bottom w:val="nil" w:sz="6" w:space="0" w:color="auto"/>
              <w:right w:val="nil" w:sz="6" w:space="0" w:color="auto"/>
            </w:tcBorders>
          </w:tcPr>
          <w:p>
            <w:pPr/>
          </w:p>
        </w:tc>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桂林长海科技有限责任公司</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98"/>
              <w:jc w:val="right"/>
              <w:rPr>
                <w:rFonts w:ascii="Times New Roman" w:hAnsi="Times New Roman" w:cs="Times New Roman" w:eastAsia="Times New Roman" w:hint="default"/>
                <w:sz w:val="16"/>
                <w:szCs w:val="16"/>
              </w:rPr>
            </w:pPr>
            <w:r>
              <w:rPr>
                <w:rFonts w:ascii="Times New Roman"/>
                <w:spacing w:val="-1"/>
                <w:sz w:val="16"/>
              </w:rPr>
              <w:t>1,350,658.83</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9"/>
              <w:jc w:val="right"/>
              <w:rPr>
                <w:rFonts w:ascii="Times New Roman" w:hAnsi="Times New Roman" w:cs="Times New Roman" w:eastAsia="Times New Roman" w:hint="default"/>
                <w:sz w:val="16"/>
                <w:szCs w:val="16"/>
              </w:rPr>
            </w:pPr>
            <w:r>
              <w:rPr>
                <w:rFonts w:ascii="Times New Roman"/>
                <w:spacing w:val="-1"/>
                <w:sz w:val="16"/>
              </w:rPr>
              <w:t>28,132,335.14</w:t>
            </w:r>
          </w:p>
        </w:tc>
      </w:tr>
      <w:tr>
        <w:trPr>
          <w:trHeight w:val="353" w:hRule="exact"/>
        </w:trPr>
        <w:tc>
          <w:tcPr>
            <w:tcW w:w="1035" w:type="dxa"/>
            <w:tcBorders>
              <w:top w:val="nil" w:sz="6" w:space="0" w:color="auto"/>
              <w:left w:val="nil" w:sz="6" w:space="0" w:color="auto"/>
              <w:bottom w:val="nil" w:sz="6" w:space="0" w:color="auto"/>
              <w:right w:val="nil" w:sz="6" w:space="0" w:color="auto"/>
            </w:tcBorders>
          </w:tcPr>
          <w:p>
            <w:pPr/>
          </w:p>
        </w:tc>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深圳振华富电子有限公司</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98"/>
              <w:jc w:val="right"/>
              <w:rPr>
                <w:rFonts w:ascii="Times New Roman" w:hAnsi="Times New Roman" w:cs="Times New Roman" w:eastAsia="Times New Roman" w:hint="default"/>
                <w:sz w:val="16"/>
                <w:szCs w:val="16"/>
              </w:rPr>
            </w:pPr>
            <w:r>
              <w:rPr>
                <w:rFonts w:ascii="Times New Roman"/>
                <w:spacing w:val="-1"/>
                <w:sz w:val="16"/>
              </w:rPr>
              <w:t>477,435.80</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300,000.00</w:t>
            </w:r>
          </w:p>
        </w:tc>
      </w:tr>
      <w:tr>
        <w:trPr>
          <w:trHeight w:val="354" w:hRule="exact"/>
        </w:trPr>
        <w:tc>
          <w:tcPr>
            <w:tcW w:w="1035" w:type="dxa"/>
            <w:tcBorders>
              <w:top w:val="nil" w:sz="6" w:space="0" w:color="auto"/>
              <w:left w:val="nil" w:sz="6" w:space="0" w:color="auto"/>
              <w:bottom w:val="nil" w:sz="6" w:space="0" w:color="auto"/>
              <w:right w:val="nil" w:sz="6" w:space="0" w:color="auto"/>
            </w:tcBorders>
          </w:tcPr>
          <w:p>
            <w:pPr/>
          </w:p>
        </w:tc>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贵州振华华联电子有限公司</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98"/>
              <w:jc w:val="right"/>
              <w:rPr>
                <w:rFonts w:ascii="Times New Roman" w:hAnsi="Times New Roman" w:cs="Times New Roman" w:eastAsia="Times New Roman" w:hint="default"/>
                <w:sz w:val="16"/>
                <w:szCs w:val="16"/>
              </w:rPr>
            </w:pPr>
            <w:r>
              <w:rPr>
                <w:rFonts w:ascii="Times New Roman"/>
                <w:spacing w:val="-1"/>
                <w:sz w:val="16"/>
              </w:rPr>
              <w:t>429,846.00</w:t>
            </w:r>
          </w:p>
        </w:tc>
        <w:tc>
          <w:tcPr>
            <w:tcW w:w="1721" w:type="dxa"/>
            <w:tcBorders>
              <w:top w:val="nil" w:sz="6" w:space="0" w:color="auto"/>
              <w:left w:val="nil" w:sz="6" w:space="0" w:color="auto"/>
              <w:bottom w:val="nil" w:sz="6" w:space="0" w:color="auto"/>
              <w:right w:val="nil" w:sz="6" w:space="0" w:color="auto"/>
            </w:tcBorders>
          </w:tcPr>
          <w:p>
            <w:pPr/>
          </w:p>
        </w:tc>
      </w:tr>
      <w:tr>
        <w:trPr>
          <w:trHeight w:val="353" w:hRule="exact"/>
        </w:trPr>
        <w:tc>
          <w:tcPr>
            <w:tcW w:w="1035" w:type="dxa"/>
            <w:tcBorders>
              <w:top w:val="nil" w:sz="6" w:space="0" w:color="auto"/>
              <w:left w:val="nil" w:sz="6" w:space="0" w:color="auto"/>
              <w:bottom w:val="nil" w:sz="6" w:space="0" w:color="auto"/>
              <w:right w:val="nil" w:sz="6" w:space="0" w:color="auto"/>
            </w:tcBorders>
          </w:tcPr>
          <w:p>
            <w:pPr/>
          </w:p>
        </w:tc>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中标软件有限公司</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98"/>
              <w:jc w:val="right"/>
              <w:rPr>
                <w:rFonts w:ascii="Times New Roman" w:hAnsi="Times New Roman" w:cs="Times New Roman" w:eastAsia="Times New Roman" w:hint="default"/>
                <w:sz w:val="16"/>
                <w:szCs w:val="16"/>
              </w:rPr>
            </w:pPr>
            <w:r>
              <w:rPr>
                <w:rFonts w:ascii="Times New Roman"/>
                <w:spacing w:val="-1"/>
                <w:sz w:val="16"/>
              </w:rPr>
              <w:t>200,000.00</w:t>
            </w:r>
          </w:p>
        </w:tc>
        <w:tc>
          <w:tcPr>
            <w:tcW w:w="1721" w:type="dxa"/>
            <w:tcBorders>
              <w:top w:val="nil" w:sz="6" w:space="0" w:color="auto"/>
              <w:left w:val="nil" w:sz="6" w:space="0" w:color="auto"/>
              <w:bottom w:val="nil" w:sz="6" w:space="0" w:color="auto"/>
              <w:right w:val="nil" w:sz="6" w:space="0" w:color="auto"/>
            </w:tcBorders>
          </w:tcPr>
          <w:p>
            <w:pPr/>
          </w:p>
        </w:tc>
      </w:tr>
      <w:tr>
        <w:trPr>
          <w:trHeight w:val="353" w:hRule="exact"/>
        </w:trPr>
        <w:tc>
          <w:tcPr>
            <w:tcW w:w="1035" w:type="dxa"/>
            <w:tcBorders>
              <w:top w:val="nil" w:sz="6" w:space="0" w:color="auto"/>
              <w:left w:val="nil" w:sz="6" w:space="0" w:color="auto"/>
              <w:bottom w:val="nil" w:sz="6" w:space="0" w:color="auto"/>
              <w:right w:val="nil" w:sz="6" w:space="0" w:color="auto"/>
            </w:tcBorders>
          </w:tcPr>
          <w:p>
            <w:pPr/>
          </w:p>
        </w:tc>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深圳市振华微电子有限公司</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98"/>
              <w:jc w:val="right"/>
              <w:rPr>
                <w:rFonts w:ascii="Times New Roman" w:hAnsi="Times New Roman" w:cs="Times New Roman" w:eastAsia="Times New Roman" w:hint="default"/>
                <w:sz w:val="16"/>
                <w:szCs w:val="16"/>
              </w:rPr>
            </w:pPr>
            <w:r>
              <w:rPr>
                <w:rFonts w:ascii="Times New Roman"/>
                <w:spacing w:val="-1"/>
                <w:sz w:val="16"/>
              </w:rPr>
              <w:t>165,600.00</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400,000.00</w:t>
            </w:r>
          </w:p>
        </w:tc>
      </w:tr>
      <w:tr>
        <w:trPr>
          <w:trHeight w:val="353" w:hRule="exact"/>
        </w:trPr>
        <w:tc>
          <w:tcPr>
            <w:tcW w:w="1035" w:type="dxa"/>
            <w:tcBorders>
              <w:top w:val="nil" w:sz="6" w:space="0" w:color="auto"/>
              <w:left w:val="nil" w:sz="6" w:space="0" w:color="auto"/>
              <w:bottom w:val="nil" w:sz="6" w:space="0" w:color="auto"/>
              <w:right w:val="nil" w:sz="6" w:space="0" w:color="auto"/>
            </w:tcBorders>
          </w:tcPr>
          <w:p>
            <w:pPr/>
          </w:p>
        </w:tc>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中国振华集团云科电子有限公司</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98"/>
              <w:jc w:val="right"/>
              <w:rPr>
                <w:rFonts w:ascii="Times New Roman" w:hAnsi="Times New Roman" w:cs="Times New Roman" w:eastAsia="Times New Roman" w:hint="default"/>
                <w:sz w:val="16"/>
                <w:szCs w:val="16"/>
              </w:rPr>
            </w:pPr>
            <w:r>
              <w:rPr>
                <w:rFonts w:ascii="Times New Roman"/>
                <w:spacing w:val="-1"/>
                <w:sz w:val="16"/>
              </w:rPr>
              <w:t>144,191.20</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83,941.00</w:t>
            </w:r>
          </w:p>
        </w:tc>
      </w:tr>
      <w:tr>
        <w:trPr>
          <w:trHeight w:val="353" w:hRule="exact"/>
        </w:trPr>
        <w:tc>
          <w:tcPr>
            <w:tcW w:w="1035" w:type="dxa"/>
            <w:tcBorders>
              <w:top w:val="nil" w:sz="6" w:space="0" w:color="auto"/>
              <w:left w:val="nil" w:sz="6" w:space="0" w:color="auto"/>
              <w:bottom w:val="nil" w:sz="6" w:space="0" w:color="auto"/>
              <w:right w:val="nil" w:sz="6" w:space="0" w:color="auto"/>
            </w:tcBorders>
          </w:tcPr>
          <w:p>
            <w:pPr/>
          </w:p>
        </w:tc>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中电基础产品装备公司</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98"/>
              <w:jc w:val="right"/>
              <w:rPr>
                <w:rFonts w:ascii="Times New Roman" w:hAnsi="Times New Roman" w:cs="Times New Roman" w:eastAsia="Times New Roman" w:hint="default"/>
                <w:sz w:val="16"/>
                <w:szCs w:val="16"/>
              </w:rPr>
            </w:pPr>
            <w:r>
              <w:rPr>
                <w:rFonts w:ascii="Times New Roman"/>
                <w:spacing w:val="-1"/>
                <w:sz w:val="16"/>
              </w:rPr>
              <w:t>102,009.50</w:t>
            </w:r>
          </w:p>
        </w:tc>
        <w:tc>
          <w:tcPr>
            <w:tcW w:w="1721" w:type="dxa"/>
            <w:tcBorders>
              <w:top w:val="nil" w:sz="6" w:space="0" w:color="auto"/>
              <w:left w:val="nil" w:sz="6" w:space="0" w:color="auto"/>
              <w:bottom w:val="nil" w:sz="6" w:space="0" w:color="auto"/>
              <w:right w:val="nil" w:sz="6" w:space="0" w:color="auto"/>
            </w:tcBorders>
          </w:tcPr>
          <w:p>
            <w:pPr/>
          </w:p>
        </w:tc>
      </w:tr>
      <w:tr>
        <w:trPr>
          <w:trHeight w:val="353" w:hRule="exact"/>
        </w:trPr>
        <w:tc>
          <w:tcPr>
            <w:tcW w:w="1035" w:type="dxa"/>
            <w:tcBorders>
              <w:top w:val="nil" w:sz="6" w:space="0" w:color="auto"/>
              <w:left w:val="nil" w:sz="6" w:space="0" w:color="auto"/>
              <w:bottom w:val="nil" w:sz="6" w:space="0" w:color="auto"/>
              <w:right w:val="nil" w:sz="6" w:space="0" w:color="auto"/>
            </w:tcBorders>
          </w:tcPr>
          <w:p>
            <w:pPr/>
          </w:p>
        </w:tc>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中国振华集团永光电子有限公司</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98"/>
              <w:jc w:val="right"/>
              <w:rPr>
                <w:rFonts w:ascii="Times New Roman" w:hAnsi="Times New Roman" w:cs="Times New Roman" w:eastAsia="Times New Roman" w:hint="default"/>
                <w:sz w:val="16"/>
                <w:szCs w:val="16"/>
              </w:rPr>
            </w:pPr>
            <w:r>
              <w:rPr>
                <w:rFonts w:ascii="Times New Roman"/>
                <w:spacing w:val="-1"/>
                <w:sz w:val="16"/>
              </w:rPr>
              <w:t>100,000.00</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200,000.00</w:t>
            </w:r>
          </w:p>
        </w:tc>
      </w:tr>
      <w:tr>
        <w:trPr>
          <w:trHeight w:val="353" w:hRule="exact"/>
        </w:trPr>
        <w:tc>
          <w:tcPr>
            <w:tcW w:w="1035" w:type="dxa"/>
            <w:tcBorders>
              <w:top w:val="nil" w:sz="6" w:space="0" w:color="auto"/>
              <w:left w:val="nil" w:sz="6" w:space="0" w:color="auto"/>
              <w:bottom w:val="nil" w:sz="6" w:space="0" w:color="auto"/>
              <w:right w:val="nil" w:sz="6" w:space="0" w:color="auto"/>
            </w:tcBorders>
          </w:tcPr>
          <w:p>
            <w:pPr/>
          </w:p>
        </w:tc>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深圳京裕电子有限公司</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99"/>
              <w:jc w:val="right"/>
              <w:rPr>
                <w:rFonts w:ascii="Times New Roman" w:hAnsi="Times New Roman" w:cs="Times New Roman" w:eastAsia="Times New Roman" w:hint="default"/>
                <w:sz w:val="16"/>
                <w:szCs w:val="16"/>
              </w:rPr>
            </w:pPr>
            <w:r>
              <w:rPr>
                <w:rFonts w:ascii="Times New Roman"/>
                <w:spacing w:val="-1"/>
                <w:sz w:val="16"/>
              </w:rPr>
              <w:t>80,019.75</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624,979.14</w:t>
            </w:r>
          </w:p>
        </w:tc>
      </w:tr>
      <w:tr>
        <w:trPr>
          <w:trHeight w:val="354" w:hRule="exact"/>
        </w:trPr>
        <w:tc>
          <w:tcPr>
            <w:tcW w:w="1035" w:type="dxa"/>
            <w:tcBorders>
              <w:top w:val="nil" w:sz="6" w:space="0" w:color="auto"/>
              <w:left w:val="nil" w:sz="6" w:space="0" w:color="auto"/>
              <w:bottom w:val="nil" w:sz="6" w:space="0" w:color="auto"/>
              <w:right w:val="nil" w:sz="6" w:space="0" w:color="auto"/>
            </w:tcBorders>
          </w:tcPr>
          <w:p>
            <w:pPr/>
          </w:p>
        </w:tc>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中国信息安全研究院有限公司</w:t>
            </w:r>
          </w:p>
        </w:tc>
        <w:tc>
          <w:tcPr>
            <w:tcW w:w="1801" w:type="dxa"/>
            <w:tcBorders>
              <w:top w:val="nil" w:sz="6" w:space="0" w:color="auto"/>
              <w:left w:val="nil" w:sz="6" w:space="0" w:color="auto"/>
              <w:bottom w:val="nil" w:sz="6" w:space="0" w:color="auto"/>
              <w:right w:val="nil" w:sz="6" w:space="0" w:color="auto"/>
            </w:tcBorders>
          </w:tcPr>
          <w:p>
            <w:pP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3,500,000.00</w:t>
            </w:r>
          </w:p>
        </w:tc>
      </w:tr>
      <w:tr>
        <w:trPr>
          <w:trHeight w:val="353" w:hRule="exact"/>
        </w:trPr>
        <w:tc>
          <w:tcPr>
            <w:tcW w:w="1035" w:type="dxa"/>
            <w:tcBorders>
              <w:top w:val="nil" w:sz="6" w:space="0" w:color="auto"/>
              <w:left w:val="nil" w:sz="6" w:space="0" w:color="auto"/>
              <w:bottom w:val="nil" w:sz="6" w:space="0" w:color="auto"/>
              <w:right w:val="nil" w:sz="6" w:space="0" w:color="auto"/>
            </w:tcBorders>
          </w:tcPr>
          <w:p>
            <w:pPr/>
          </w:p>
        </w:tc>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湖南计算机厂有限公司</w:t>
            </w:r>
          </w:p>
        </w:tc>
        <w:tc>
          <w:tcPr>
            <w:tcW w:w="1801" w:type="dxa"/>
            <w:tcBorders>
              <w:top w:val="nil" w:sz="6" w:space="0" w:color="auto"/>
              <w:left w:val="nil" w:sz="6" w:space="0" w:color="auto"/>
              <w:bottom w:val="nil" w:sz="6" w:space="0" w:color="auto"/>
              <w:right w:val="nil" w:sz="6" w:space="0" w:color="auto"/>
            </w:tcBorders>
          </w:tcPr>
          <w:p>
            <w:pP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2,000,000.00</w:t>
            </w:r>
          </w:p>
        </w:tc>
      </w:tr>
      <w:tr>
        <w:trPr>
          <w:trHeight w:val="353" w:hRule="exact"/>
        </w:trPr>
        <w:tc>
          <w:tcPr>
            <w:tcW w:w="1035" w:type="dxa"/>
            <w:tcBorders>
              <w:top w:val="nil" w:sz="6" w:space="0" w:color="auto"/>
              <w:left w:val="nil" w:sz="6" w:space="0" w:color="auto"/>
              <w:bottom w:val="nil" w:sz="6" w:space="0" w:color="auto"/>
              <w:right w:val="nil" w:sz="6" w:space="0" w:color="auto"/>
            </w:tcBorders>
          </w:tcPr>
          <w:p>
            <w:pPr/>
          </w:p>
        </w:tc>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贵州振华红云电子有限公司</w:t>
            </w:r>
          </w:p>
        </w:tc>
        <w:tc>
          <w:tcPr>
            <w:tcW w:w="1801" w:type="dxa"/>
            <w:tcBorders>
              <w:top w:val="nil" w:sz="6" w:space="0" w:color="auto"/>
              <w:left w:val="nil" w:sz="6" w:space="0" w:color="auto"/>
              <w:bottom w:val="nil" w:sz="6" w:space="0" w:color="auto"/>
              <w:right w:val="nil" w:sz="6" w:space="0" w:color="auto"/>
            </w:tcBorders>
          </w:tcPr>
          <w:p>
            <w:pP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200,000.00</w:t>
            </w:r>
          </w:p>
        </w:tc>
      </w:tr>
      <w:tr>
        <w:trPr>
          <w:trHeight w:val="347" w:hRule="exact"/>
        </w:trPr>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5" w:right="0"/>
              <w:jc w:val="left"/>
              <w:rPr>
                <w:rFonts w:ascii="宋体" w:hAnsi="宋体" w:cs="宋体" w:eastAsia="宋体" w:hint="default"/>
                <w:sz w:val="16"/>
                <w:szCs w:val="16"/>
              </w:rPr>
            </w:pPr>
            <w:r>
              <w:rPr>
                <w:rFonts w:ascii="宋体" w:hAnsi="宋体" w:cs="宋体" w:eastAsia="宋体" w:hint="default"/>
                <w:sz w:val="16"/>
                <w:szCs w:val="16"/>
              </w:rPr>
              <w:t>其他应付款</w:t>
            </w:r>
          </w:p>
        </w:tc>
        <w:tc>
          <w:tcPr>
            <w:tcW w:w="3522" w:type="dxa"/>
            <w:tcBorders>
              <w:top w:val="nil" w:sz="6" w:space="0" w:color="auto"/>
              <w:left w:val="nil" w:sz="6" w:space="0" w:color="auto"/>
              <w:bottom w:val="nil" w:sz="6" w:space="0" w:color="auto"/>
              <w:right w:val="nil" w:sz="6" w:space="0" w:color="auto"/>
            </w:tcBorders>
          </w:tcPr>
          <w:p>
            <w:pPr/>
          </w:p>
        </w:tc>
        <w:tc>
          <w:tcPr>
            <w:tcW w:w="1801" w:type="dxa"/>
            <w:tcBorders>
              <w:top w:val="nil" w:sz="6" w:space="0" w:color="auto"/>
              <w:left w:val="nil" w:sz="6" w:space="0" w:color="auto"/>
              <w:bottom w:val="nil" w:sz="6" w:space="0" w:color="auto"/>
              <w:right w:val="nil" w:sz="6" w:space="0" w:color="auto"/>
            </w:tcBorders>
          </w:tcPr>
          <w:p>
            <w:pPr/>
          </w:p>
        </w:tc>
        <w:tc>
          <w:tcPr>
            <w:tcW w:w="1721" w:type="dxa"/>
            <w:tcBorders>
              <w:top w:val="nil" w:sz="6" w:space="0" w:color="auto"/>
              <w:left w:val="nil" w:sz="6" w:space="0" w:color="auto"/>
              <w:bottom w:val="nil" w:sz="6" w:space="0" w:color="auto"/>
              <w:right w:val="nil" w:sz="6" w:space="0" w:color="auto"/>
            </w:tcBorders>
          </w:tcPr>
          <w:p>
            <w:pPr/>
          </w:p>
        </w:tc>
      </w:tr>
      <w:tr>
        <w:trPr>
          <w:trHeight w:val="360" w:hRule="exact"/>
        </w:trPr>
        <w:tc>
          <w:tcPr>
            <w:tcW w:w="1035" w:type="dxa"/>
            <w:tcBorders>
              <w:top w:val="nil" w:sz="6" w:space="0" w:color="auto"/>
              <w:left w:val="nil" w:sz="6" w:space="0" w:color="auto"/>
              <w:bottom w:val="nil" w:sz="6" w:space="0" w:color="auto"/>
              <w:right w:val="nil" w:sz="6" w:space="0" w:color="auto"/>
            </w:tcBorders>
          </w:tcPr>
          <w:p>
            <w:pPr/>
          </w:p>
        </w:tc>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93" w:right="0"/>
              <w:jc w:val="left"/>
              <w:rPr>
                <w:rFonts w:ascii="宋体" w:hAnsi="宋体" w:cs="宋体" w:eastAsia="宋体" w:hint="default"/>
                <w:sz w:val="16"/>
                <w:szCs w:val="16"/>
              </w:rPr>
            </w:pPr>
            <w:r>
              <w:rPr>
                <w:rFonts w:ascii="宋体" w:hAnsi="宋体" w:cs="宋体" w:eastAsia="宋体" w:hint="default"/>
                <w:sz w:val="16"/>
                <w:szCs w:val="16"/>
              </w:rPr>
              <w:t>中国电子信息产业集团有限公司</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299"/>
              <w:jc w:val="right"/>
              <w:rPr>
                <w:rFonts w:ascii="Times New Roman" w:hAnsi="Times New Roman" w:cs="Times New Roman" w:eastAsia="Times New Roman" w:hint="default"/>
                <w:sz w:val="16"/>
                <w:szCs w:val="16"/>
              </w:rPr>
            </w:pPr>
            <w:r>
              <w:rPr>
                <w:rFonts w:ascii="Times New Roman"/>
                <w:spacing w:val="-1"/>
                <w:sz w:val="16"/>
              </w:rPr>
              <w:t>297,294,277.15</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69"/>
              <w:jc w:val="right"/>
              <w:rPr>
                <w:rFonts w:ascii="Times New Roman" w:hAnsi="Times New Roman" w:cs="Times New Roman" w:eastAsia="Times New Roman" w:hint="default"/>
                <w:sz w:val="16"/>
                <w:szCs w:val="16"/>
              </w:rPr>
            </w:pPr>
            <w:r>
              <w:rPr>
                <w:rFonts w:ascii="Times New Roman"/>
                <w:spacing w:val="-1"/>
                <w:sz w:val="16"/>
              </w:rPr>
              <w:t>2,835,760.42</w:t>
            </w:r>
          </w:p>
        </w:tc>
      </w:tr>
      <w:tr>
        <w:trPr>
          <w:trHeight w:val="353" w:hRule="exact"/>
        </w:trPr>
        <w:tc>
          <w:tcPr>
            <w:tcW w:w="1035" w:type="dxa"/>
            <w:tcBorders>
              <w:top w:val="nil" w:sz="6" w:space="0" w:color="auto"/>
              <w:left w:val="nil" w:sz="6" w:space="0" w:color="auto"/>
              <w:bottom w:val="nil" w:sz="6" w:space="0" w:color="auto"/>
              <w:right w:val="nil" w:sz="6" w:space="0" w:color="auto"/>
            </w:tcBorders>
          </w:tcPr>
          <w:p>
            <w:pPr/>
          </w:p>
        </w:tc>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武汉长江电源有限公司</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98"/>
              <w:jc w:val="right"/>
              <w:rPr>
                <w:rFonts w:ascii="Times New Roman" w:hAnsi="Times New Roman" w:cs="Times New Roman" w:eastAsia="Times New Roman" w:hint="default"/>
                <w:sz w:val="16"/>
                <w:szCs w:val="16"/>
              </w:rPr>
            </w:pPr>
            <w:r>
              <w:rPr>
                <w:rFonts w:ascii="Times New Roman"/>
                <w:spacing w:val="-1"/>
                <w:sz w:val="16"/>
              </w:rPr>
              <w:t>16,546,112.01</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9"/>
              <w:jc w:val="right"/>
              <w:rPr>
                <w:rFonts w:ascii="Times New Roman" w:hAnsi="Times New Roman" w:cs="Times New Roman" w:eastAsia="Times New Roman" w:hint="default"/>
                <w:sz w:val="16"/>
                <w:szCs w:val="16"/>
              </w:rPr>
            </w:pPr>
            <w:r>
              <w:rPr>
                <w:rFonts w:ascii="Times New Roman"/>
                <w:spacing w:val="-1"/>
                <w:sz w:val="16"/>
              </w:rPr>
              <w:t>23,425,382.01</w:t>
            </w:r>
          </w:p>
        </w:tc>
      </w:tr>
      <w:tr>
        <w:trPr>
          <w:trHeight w:val="354" w:hRule="exact"/>
        </w:trPr>
        <w:tc>
          <w:tcPr>
            <w:tcW w:w="1035" w:type="dxa"/>
            <w:tcBorders>
              <w:top w:val="nil" w:sz="6" w:space="0" w:color="auto"/>
              <w:left w:val="nil" w:sz="6" w:space="0" w:color="auto"/>
              <w:bottom w:val="nil" w:sz="6" w:space="0" w:color="auto"/>
              <w:right w:val="nil" w:sz="6" w:space="0" w:color="auto"/>
            </w:tcBorders>
          </w:tcPr>
          <w:p>
            <w:pPr/>
          </w:p>
        </w:tc>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中国电子系统技术有限公司</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98"/>
              <w:jc w:val="right"/>
              <w:rPr>
                <w:rFonts w:ascii="Times New Roman" w:hAnsi="Times New Roman" w:cs="Times New Roman" w:eastAsia="Times New Roman" w:hint="default"/>
                <w:sz w:val="16"/>
                <w:szCs w:val="16"/>
              </w:rPr>
            </w:pPr>
            <w:r>
              <w:rPr>
                <w:rFonts w:ascii="Times New Roman"/>
                <w:spacing w:val="-1"/>
                <w:sz w:val="16"/>
              </w:rPr>
              <w:t>11,705,020.07</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9"/>
              <w:jc w:val="right"/>
              <w:rPr>
                <w:rFonts w:ascii="Times New Roman" w:hAnsi="Times New Roman" w:cs="Times New Roman" w:eastAsia="Times New Roman" w:hint="default"/>
                <w:sz w:val="16"/>
                <w:szCs w:val="16"/>
              </w:rPr>
            </w:pPr>
            <w:r>
              <w:rPr>
                <w:rFonts w:ascii="Times New Roman"/>
                <w:spacing w:val="-1"/>
                <w:sz w:val="16"/>
              </w:rPr>
              <w:t>11,893,076.66</w:t>
            </w:r>
          </w:p>
        </w:tc>
      </w:tr>
      <w:tr>
        <w:trPr>
          <w:trHeight w:val="353" w:hRule="exact"/>
        </w:trPr>
        <w:tc>
          <w:tcPr>
            <w:tcW w:w="1035" w:type="dxa"/>
            <w:tcBorders>
              <w:top w:val="nil" w:sz="6" w:space="0" w:color="auto"/>
              <w:left w:val="nil" w:sz="6" w:space="0" w:color="auto"/>
              <w:bottom w:val="nil" w:sz="6" w:space="0" w:color="auto"/>
              <w:right w:val="nil" w:sz="6" w:space="0" w:color="auto"/>
            </w:tcBorders>
          </w:tcPr>
          <w:p>
            <w:pPr/>
          </w:p>
        </w:tc>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深圳长城开发精密技术有限公司</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98"/>
              <w:jc w:val="right"/>
              <w:rPr>
                <w:rFonts w:ascii="Times New Roman" w:hAnsi="Times New Roman" w:cs="Times New Roman" w:eastAsia="Times New Roman" w:hint="default"/>
                <w:sz w:val="16"/>
                <w:szCs w:val="16"/>
              </w:rPr>
            </w:pPr>
            <w:r>
              <w:rPr>
                <w:rFonts w:ascii="Times New Roman"/>
                <w:spacing w:val="-1"/>
                <w:sz w:val="16"/>
              </w:rPr>
              <w:t>1,246,932.00</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9"/>
              <w:jc w:val="right"/>
              <w:rPr>
                <w:rFonts w:ascii="Times New Roman" w:hAnsi="Times New Roman" w:cs="Times New Roman" w:eastAsia="Times New Roman" w:hint="default"/>
                <w:sz w:val="16"/>
                <w:szCs w:val="16"/>
              </w:rPr>
            </w:pPr>
            <w:r>
              <w:rPr>
                <w:rFonts w:ascii="Times New Roman"/>
                <w:spacing w:val="-1"/>
                <w:sz w:val="16"/>
              </w:rPr>
              <w:t>1,246,932.00</w:t>
            </w:r>
          </w:p>
        </w:tc>
      </w:tr>
      <w:tr>
        <w:trPr>
          <w:trHeight w:val="353" w:hRule="exact"/>
        </w:trPr>
        <w:tc>
          <w:tcPr>
            <w:tcW w:w="1035" w:type="dxa"/>
            <w:tcBorders>
              <w:top w:val="nil" w:sz="6" w:space="0" w:color="auto"/>
              <w:left w:val="nil" w:sz="6" w:space="0" w:color="auto"/>
              <w:bottom w:val="nil" w:sz="6" w:space="0" w:color="auto"/>
              <w:right w:val="nil" w:sz="6" w:space="0" w:color="auto"/>
            </w:tcBorders>
          </w:tcPr>
          <w:p>
            <w:pPr/>
          </w:p>
        </w:tc>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中国电子信息产业集团有限公司第六研究所</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98"/>
              <w:jc w:val="right"/>
              <w:rPr>
                <w:rFonts w:ascii="Times New Roman" w:hAnsi="Times New Roman" w:cs="Times New Roman" w:eastAsia="Times New Roman" w:hint="default"/>
                <w:sz w:val="16"/>
                <w:szCs w:val="16"/>
              </w:rPr>
            </w:pPr>
            <w:r>
              <w:rPr>
                <w:rFonts w:ascii="Times New Roman"/>
                <w:spacing w:val="-1"/>
                <w:sz w:val="16"/>
              </w:rPr>
              <w:t>988,800.00</w:t>
            </w:r>
          </w:p>
        </w:tc>
        <w:tc>
          <w:tcPr>
            <w:tcW w:w="1721" w:type="dxa"/>
            <w:tcBorders>
              <w:top w:val="nil" w:sz="6" w:space="0" w:color="auto"/>
              <w:left w:val="nil" w:sz="6" w:space="0" w:color="auto"/>
              <w:bottom w:val="nil" w:sz="6" w:space="0" w:color="auto"/>
              <w:right w:val="nil" w:sz="6" w:space="0" w:color="auto"/>
            </w:tcBorders>
          </w:tcPr>
          <w:p>
            <w:pPr/>
          </w:p>
        </w:tc>
      </w:tr>
      <w:tr>
        <w:trPr>
          <w:trHeight w:val="353" w:hRule="exact"/>
        </w:trPr>
        <w:tc>
          <w:tcPr>
            <w:tcW w:w="1035" w:type="dxa"/>
            <w:tcBorders>
              <w:top w:val="nil" w:sz="6" w:space="0" w:color="auto"/>
              <w:left w:val="nil" w:sz="6" w:space="0" w:color="auto"/>
              <w:bottom w:val="nil" w:sz="6" w:space="0" w:color="auto"/>
              <w:right w:val="nil" w:sz="6" w:space="0" w:color="auto"/>
            </w:tcBorders>
          </w:tcPr>
          <w:p>
            <w:pPr/>
          </w:p>
        </w:tc>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长沙湘计开拓物业管理有限公司</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98"/>
              <w:jc w:val="right"/>
              <w:rPr>
                <w:rFonts w:ascii="Times New Roman" w:hAnsi="Times New Roman" w:cs="Times New Roman" w:eastAsia="Times New Roman" w:hint="default"/>
                <w:sz w:val="16"/>
                <w:szCs w:val="16"/>
              </w:rPr>
            </w:pPr>
            <w:r>
              <w:rPr>
                <w:rFonts w:ascii="Times New Roman"/>
                <w:spacing w:val="-1"/>
                <w:sz w:val="16"/>
              </w:rPr>
              <w:t>700,000.00</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800,000.00</w:t>
            </w:r>
          </w:p>
        </w:tc>
      </w:tr>
      <w:tr>
        <w:trPr>
          <w:trHeight w:val="353" w:hRule="exact"/>
        </w:trPr>
        <w:tc>
          <w:tcPr>
            <w:tcW w:w="1035" w:type="dxa"/>
            <w:tcBorders>
              <w:top w:val="nil" w:sz="6" w:space="0" w:color="auto"/>
              <w:left w:val="nil" w:sz="6" w:space="0" w:color="auto"/>
              <w:bottom w:val="nil" w:sz="6" w:space="0" w:color="auto"/>
              <w:right w:val="nil" w:sz="6" w:space="0" w:color="auto"/>
            </w:tcBorders>
          </w:tcPr>
          <w:p>
            <w:pPr/>
          </w:p>
        </w:tc>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深圳长城开发科技股份有限公司</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98"/>
              <w:jc w:val="right"/>
              <w:rPr>
                <w:rFonts w:ascii="Times New Roman" w:hAnsi="Times New Roman" w:cs="Times New Roman" w:eastAsia="Times New Roman" w:hint="default"/>
                <w:sz w:val="16"/>
                <w:szCs w:val="16"/>
              </w:rPr>
            </w:pPr>
            <w:r>
              <w:rPr>
                <w:rFonts w:ascii="Times New Roman"/>
                <w:spacing w:val="-1"/>
                <w:w w:val="95"/>
                <w:sz w:val="16"/>
              </w:rPr>
              <w:t>511,152.22</w:t>
            </w:r>
            <w:r>
              <w:rPr>
                <w:rFonts w:ascii="Times New Roman"/>
                <w:spacing w:val="-1"/>
                <w:sz w:val="16"/>
              </w:rPr>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w w:val="95"/>
                <w:sz w:val="16"/>
              </w:rPr>
              <w:t>511,152.22</w:t>
            </w:r>
            <w:r>
              <w:rPr>
                <w:rFonts w:ascii="Times New Roman"/>
                <w:spacing w:val="-1"/>
                <w:sz w:val="16"/>
              </w:rPr>
            </w:r>
          </w:p>
        </w:tc>
      </w:tr>
      <w:tr>
        <w:trPr>
          <w:trHeight w:val="353" w:hRule="exact"/>
        </w:trPr>
        <w:tc>
          <w:tcPr>
            <w:tcW w:w="1035" w:type="dxa"/>
            <w:tcBorders>
              <w:top w:val="nil" w:sz="6" w:space="0" w:color="auto"/>
              <w:left w:val="nil" w:sz="6" w:space="0" w:color="auto"/>
              <w:bottom w:val="nil" w:sz="6" w:space="0" w:color="auto"/>
              <w:right w:val="nil" w:sz="6" w:space="0" w:color="auto"/>
            </w:tcBorders>
          </w:tcPr>
          <w:p>
            <w:pPr/>
          </w:p>
        </w:tc>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深圳神彩物流有限公司</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98"/>
              <w:jc w:val="right"/>
              <w:rPr>
                <w:rFonts w:ascii="Times New Roman" w:hAnsi="Times New Roman" w:cs="Times New Roman" w:eastAsia="Times New Roman" w:hint="default"/>
                <w:sz w:val="16"/>
                <w:szCs w:val="16"/>
              </w:rPr>
            </w:pPr>
            <w:r>
              <w:rPr>
                <w:rFonts w:ascii="Times New Roman"/>
                <w:spacing w:val="-1"/>
                <w:sz w:val="16"/>
              </w:rPr>
              <w:t>130,000.00</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130,000.00</w:t>
            </w:r>
          </w:p>
        </w:tc>
      </w:tr>
      <w:tr>
        <w:trPr>
          <w:trHeight w:val="354" w:hRule="exact"/>
        </w:trPr>
        <w:tc>
          <w:tcPr>
            <w:tcW w:w="1035" w:type="dxa"/>
            <w:tcBorders>
              <w:top w:val="nil" w:sz="6" w:space="0" w:color="auto"/>
              <w:left w:val="nil" w:sz="6" w:space="0" w:color="auto"/>
              <w:bottom w:val="nil" w:sz="6" w:space="0" w:color="auto"/>
              <w:right w:val="nil" w:sz="6" w:space="0" w:color="auto"/>
            </w:tcBorders>
          </w:tcPr>
          <w:p>
            <w:pPr/>
          </w:p>
        </w:tc>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中国中电国际信息服务有限公司</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99"/>
              <w:jc w:val="right"/>
              <w:rPr>
                <w:rFonts w:ascii="Times New Roman" w:hAnsi="Times New Roman" w:cs="Times New Roman" w:eastAsia="Times New Roman" w:hint="default"/>
                <w:sz w:val="16"/>
                <w:szCs w:val="16"/>
              </w:rPr>
            </w:pPr>
            <w:r>
              <w:rPr>
                <w:rFonts w:ascii="Times New Roman"/>
                <w:spacing w:val="-1"/>
                <w:sz w:val="16"/>
              </w:rPr>
              <w:t>50,000.00</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50,000.00</w:t>
            </w:r>
          </w:p>
        </w:tc>
      </w:tr>
      <w:tr>
        <w:trPr>
          <w:trHeight w:val="353" w:hRule="exact"/>
        </w:trPr>
        <w:tc>
          <w:tcPr>
            <w:tcW w:w="1035" w:type="dxa"/>
            <w:tcBorders>
              <w:top w:val="nil" w:sz="6" w:space="0" w:color="auto"/>
              <w:left w:val="nil" w:sz="6" w:space="0" w:color="auto"/>
              <w:bottom w:val="nil" w:sz="6" w:space="0" w:color="auto"/>
              <w:right w:val="nil" w:sz="6" w:space="0" w:color="auto"/>
            </w:tcBorders>
          </w:tcPr>
          <w:p>
            <w:pPr/>
          </w:p>
        </w:tc>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中电九天智能科技有限公司</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99"/>
              <w:jc w:val="right"/>
              <w:rPr>
                <w:rFonts w:ascii="Times New Roman" w:hAnsi="Times New Roman" w:cs="Times New Roman" w:eastAsia="Times New Roman" w:hint="default"/>
                <w:sz w:val="16"/>
                <w:szCs w:val="16"/>
              </w:rPr>
            </w:pPr>
            <w:r>
              <w:rPr>
                <w:rFonts w:ascii="Times New Roman"/>
                <w:spacing w:val="-1"/>
                <w:sz w:val="16"/>
              </w:rPr>
              <w:t>42,607.18</w:t>
            </w:r>
          </w:p>
        </w:tc>
        <w:tc>
          <w:tcPr>
            <w:tcW w:w="1721" w:type="dxa"/>
            <w:tcBorders>
              <w:top w:val="nil" w:sz="6" w:space="0" w:color="auto"/>
              <w:left w:val="nil" w:sz="6" w:space="0" w:color="auto"/>
              <w:bottom w:val="nil" w:sz="6" w:space="0" w:color="auto"/>
              <w:right w:val="nil" w:sz="6" w:space="0" w:color="auto"/>
            </w:tcBorders>
          </w:tcPr>
          <w:p>
            <w:pPr/>
          </w:p>
        </w:tc>
      </w:tr>
      <w:tr>
        <w:trPr>
          <w:trHeight w:val="353" w:hRule="exact"/>
        </w:trPr>
        <w:tc>
          <w:tcPr>
            <w:tcW w:w="1035" w:type="dxa"/>
            <w:tcBorders>
              <w:top w:val="nil" w:sz="6" w:space="0" w:color="auto"/>
              <w:left w:val="nil" w:sz="6" w:space="0" w:color="auto"/>
              <w:bottom w:val="nil" w:sz="6" w:space="0" w:color="auto"/>
              <w:right w:val="nil" w:sz="6" w:space="0" w:color="auto"/>
            </w:tcBorders>
          </w:tcPr>
          <w:p>
            <w:pPr/>
          </w:p>
        </w:tc>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中国电子财务有限责任公司</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99"/>
              <w:jc w:val="right"/>
              <w:rPr>
                <w:rFonts w:ascii="Times New Roman" w:hAnsi="Times New Roman" w:cs="Times New Roman" w:eastAsia="Times New Roman" w:hint="default"/>
                <w:sz w:val="16"/>
                <w:szCs w:val="16"/>
              </w:rPr>
            </w:pPr>
            <w:r>
              <w:rPr>
                <w:rFonts w:ascii="Times New Roman"/>
                <w:spacing w:val="-1"/>
                <w:sz w:val="16"/>
              </w:rPr>
              <w:t>25,800.00</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101,925.00</w:t>
            </w:r>
          </w:p>
        </w:tc>
      </w:tr>
      <w:tr>
        <w:trPr>
          <w:trHeight w:val="353" w:hRule="exact"/>
        </w:trPr>
        <w:tc>
          <w:tcPr>
            <w:tcW w:w="1035" w:type="dxa"/>
            <w:tcBorders>
              <w:top w:val="nil" w:sz="6" w:space="0" w:color="auto"/>
              <w:left w:val="nil" w:sz="6" w:space="0" w:color="auto"/>
              <w:bottom w:val="nil" w:sz="6" w:space="0" w:color="auto"/>
              <w:right w:val="nil" w:sz="6" w:space="0" w:color="auto"/>
            </w:tcBorders>
          </w:tcPr>
          <w:p>
            <w:pPr/>
          </w:p>
        </w:tc>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深圳中电国际信息科技有限公司</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99"/>
              <w:jc w:val="right"/>
              <w:rPr>
                <w:rFonts w:ascii="Times New Roman" w:hAnsi="Times New Roman" w:cs="Times New Roman" w:eastAsia="Times New Roman" w:hint="default"/>
                <w:sz w:val="16"/>
                <w:szCs w:val="16"/>
              </w:rPr>
            </w:pPr>
            <w:r>
              <w:rPr>
                <w:rFonts w:ascii="Times New Roman"/>
                <w:spacing w:val="-1"/>
                <w:sz w:val="16"/>
              </w:rPr>
              <w:t>14,998.00</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14,998.00</w:t>
            </w:r>
          </w:p>
        </w:tc>
      </w:tr>
      <w:tr>
        <w:trPr>
          <w:trHeight w:val="353" w:hRule="exact"/>
        </w:trPr>
        <w:tc>
          <w:tcPr>
            <w:tcW w:w="1035" w:type="dxa"/>
            <w:tcBorders>
              <w:top w:val="nil" w:sz="6" w:space="0" w:color="auto"/>
              <w:left w:val="nil" w:sz="6" w:space="0" w:color="auto"/>
              <w:bottom w:val="nil" w:sz="6" w:space="0" w:color="auto"/>
              <w:right w:val="nil" w:sz="6" w:space="0" w:color="auto"/>
            </w:tcBorders>
          </w:tcPr>
          <w:p>
            <w:pPr/>
          </w:p>
        </w:tc>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长沙智能制造研究总院有限公司</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99"/>
              <w:jc w:val="right"/>
              <w:rPr>
                <w:rFonts w:ascii="Times New Roman" w:hAnsi="Times New Roman" w:cs="Times New Roman" w:eastAsia="Times New Roman" w:hint="default"/>
                <w:sz w:val="16"/>
                <w:szCs w:val="16"/>
              </w:rPr>
            </w:pPr>
            <w:r>
              <w:rPr>
                <w:rFonts w:ascii="Times New Roman"/>
                <w:spacing w:val="-1"/>
                <w:sz w:val="16"/>
              </w:rPr>
              <w:t>13,800.00</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13,800.00</w:t>
            </w:r>
          </w:p>
        </w:tc>
      </w:tr>
      <w:tr>
        <w:trPr>
          <w:trHeight w:val="353" w:hRule="exact"/>
        </w:trPr>
        <w:tc>
          <w:tcPr>
            <w:tcW w:w="1035" w:type="dxa"/>
            <w:tcBorders>
              <w:top w:val="nil" w:sz="6" w:space="0" w:color="auto"/>
              <w:left w:val="nil" w:sz="6" w:space="0" w:color="auto"/>
              <w:bottom w:val="nil" w:sz="6" w:space="0" w:color="auto"/>
              <w:right w:val="nil" w:sz="6" w:space="0" w:color="auto"/>
            </w:tcBorders>
          </w:tcPr>
          <w:p>
            <w:pPr/>
          </w:p>
        </w:tc>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中电智行技术有限公司</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98"/>
              <w:jc w:val="right"/>
              <w:rPr>
                <w:rFonts w:ascii="Times New Roman" w:hAnsi="Times New Roman" w:cs="Times New Roman" w:eastAsia="Times New Roman" w:hint="default"/>
                <w:sz w:val="16"/>
                <w:szCs w:val="16"/>
              </w:rPr>
            </w:pPr>
            <w:r>
              <w:rPr>
                <w:rFonts w:ascii="Times New Roman"/>
                <w:spacing w:val="-1"/>
                <w:sz w:val="16"/>
              </w:rPr>
              <w:t>9,000.00</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65,000.00</w:t>
            </w:r>
          </w:p>
        </w:tc>
      </w:tr>
      <w:tr>
        <w:trPr>
          <w:trHeight w:val="353" w:hRule="exact"/>
        </w:trPr>
        <w:tc>
          <w:tcPr>
            <w:tcW w:w="1035" w:type="dxa"/>
            <w:tcBorders>
              <w:top w:val="nil" w:sz="6" w:space="0" w:color="auto"/>
              <w:left w:val="nil" w:sz="6" w:space="0" w:color="auto"/>
              <w:bottom w:val="nil" w:sz="6" w:space="0" w:color="auto"/>
              <w:right w:val="nil" w:sz="6" w:space="0" w:color="auto"/>
            </w:tcBorders>
          </w:tcPr>
          <w:p>
            <w:pPr/>
          </w:p>
        </w:tc>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桂林长海科技有限责任公司</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98"/>
              <w:jc w:val="right"/>
              <w:rPr>
                <w:rFonts w:ascii="Times New Roman" w:hAnsi="Times New Roman" w:cs="Times New Roman" w:eastAsia="Times New Roman" w:hint="default"/>
                <w:sz w:val="16"/>
                <w:szCs w:val="16"/>
              </w:rPr>
            </w:pPr>
            <w:r>
              <w:rPr>
                <w:rFonts w:ascii="Times New Roman"/>
                <w:spacing w:val="-1"/>
                <w:sz w:val="16"/>
              </w:rPr>
              <w:t>5,000.00</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5,000.00</w:t>
            </w:r>
          </w:p>
        </w:tc>
      </w:tr>
      <w:tr>
        <w:trPr>
          <w:trHeight w:val="354" w:hRule="exact"/>
        </w:trPr>
        <w:tc>
          <w:tcPr>
            <w:tcW w:w="1035" w:type="dxa"/>
            <w:tcBorders>
              <w:top w:val="nil" w:sz="6" w:space="0" w:color="auto"/>
              <w:left w:val="nil" w:sz="6" w:space="0" w:color="auto"/>
              <w:bottom w:val="nil" w:sz="6" w:space="0" w:color="auto"/>
              <w:right w:val="nil" w:sz="6" w:space="0" w:color="auto"/>
            </w:tcBorders>
          </w:tcPr>
          <w:p>
            <w:pPr/>
          </w:p>
        </w:tc>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长城计算机软件与系统有限公司</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98"/>
              <w:jc w:val="right"/>
              <w:rPr>
                <w:rFonts w:ascii="Times New Roman" w:hAnsi="Times New Roman" w:cs="Times New Roman" w:eastAsia="Times New Roman" w:hint="default"/>
                <w:sz w:val="16"/>
                <w:szCs w:val="16"/>
              </w:rPr>
            </w:pPr>
            <w:r>
              <w:rPr>
                <w:rFonts w:ascii="Times New Roman"/>
                <w:spacing w:val="-1"/>
                <w:sz w:val="16"/>
              </w:rPr>
              <w:t>3,994.00</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3,994.00</w:t>
            </w:r>
          </w:p>
        </w:tc>
      </w:tr>
      <w:tr>
        <w:trPr>
          <w:trHeight w:val="353" w:hRule="exact"/>
        </w:trPr>
        <w:tc>
          <w:tcPr>
            <w:tcW w:w="1035" w:type="dxa"/>
            <w:tcBorders>
              <w:top w:val="nil" w:sz="6" w:space="0" w:color="auto"/>
              <w:left w:val="nil" w:sz="6" w:space="0" w:color="auto"/>
              <w:bottom w:val="nil" w:sz="6" w:space="0" w:color="auto"/>
              <w:right w:val="nil" w:sz="6" w:space="0" w:color="auto"/>
            </w:tcBorders>
          </w:tcPr>
          <w:p>
            <w:pPr/>
          </w:p>
        </w:tc>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北京长荣发科技发展有限公司</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98"/>
              <w:jc w:val="right"/>
              <w:rPr>
                <w:rFonts w:ascii="Times New Roman" w:hAnsi="Times New Roman" w:cs="Times New Roman" w:eastAsia="Times New Roman" w:hint="default"/>
                <w:sz w:val="16"/>
                <w:szCs w:val="16"/>
              </w:rPr>
            </w:pPr>
            <w:r>
              <w:rPr>
                <w:rFonts w:ascii="Times New Roman"/>
                <w:spacing w:val="-1"/>
                <w:sz w:val="16"/>
              </w:rPr>
              <w:t>1,292.70</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1,292.70</w:t>
            </w:r>
          </w:p>
        </w:tc>
      </w:tr>
      <w:tr>
        <w:trPr>
          <w:trHeight w:val="353" w:hRule="exact"/>
        </w:trPr>
        <w:tc>
          <w:tcPr>
            <w:tcW w:w="1035" w:type="dxa"/>
            <w:tcBorders>
              <w:top w:val="nil" w:sz="6" w:space="0" w:color="auto"/>
              <w:left w:val="nil" w:sz="6" w:space="0" w:color="auto"/>
              <w:bottom w:val="nil" w:sz="6" w:space="0" w:color="auto"/>
              <w:right w:val="nil" w:sz="6" w:space="0" w:color="auto"/>
            </w:tcBorders>
          </w:tcPr>
          <w:p>
            <w:pPr/>
          </w:p>
        </w:tc>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建通工程建设监理有限公司</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98"/>
              <w:jc w:val="right"/>
              <w:rPr>
                <w:rFonts w:ascii="Times New Roman" w:hAnsi="Times New Roman" w:cs="Times New Roman" w:eastAsia="Times New Roman" w:hint="default"/>
                <w:sz w:val="16"/>
                <w:szCs w:val="16"/>
              </w:rPr>
            </w:pPr>
            <w:r>
              <w:rPr>
                <w:rFonts w:ascii="Times New Roman"/>
                <w:spacing w:val="-1"/>
                <w:sz w:val="16"/>
              </w:rPr>
              <w:t>292.30</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292.30</w:t>
            </w:r>
          </w:p>
        </w:tc>
      </w:tr>
      <w:tr>
        <w:trPr>
          <w:trHeight w:val="349" w:hRule="exact"/>
        </w:trPr>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5" w:right="0"/>
              <w:jc w:val="left"/>
              <w:rPr>
                <w:rFonts w:ascii="宋体" w:hAnsi="宋体" w:cs="宋体" w:eastAsia="宋体" w:hint="default"/>
                <w:sz w:val="16"/>
                <w:szCs w:val="16"/>
              </w:rPr>
            </w:pPr>
            <w:r>
              <w:rPr>
                <w:rFonts w:ascii="宋体" w:hAnsi="宋体" w:cs="宋体" w:eastAsia="宋体" w:hint="default"/>
                <w:sz w:val="16"/>
                <w:szCs w:val="16"/>
              </w:rPr>
              <w:t>预收账款</w:t>
            </w:r>
          </w:p>
        </w:tc>
        <w:tc>
          <w:tcPr>
            <w:tcW w:w="3522" w:type="dxa"/>
            <w:tcBorders>
              <w:top w:val="nil" w:sz="6" w:space="0" w:color="auto"/>
              <w:left w:val="nil" w:sz="6" w:space="0" w:color="auto"/>
              <w:bottom w:val="nil" w:sz="6" w:space="0" w:color="auto"/>
              <w:right w:val="nil" w:sz="6" w:space="0" w:color="auto"/>
            </w:tcBorders>
          </w:tcPr>
          <w:p>
            <w:pPr/>
          </w:p>
        </w:tc>
        <w:tc>
          <w:tcPr>
            <w:tcW w:w="1801" w:type="dxa"/>
            <w:tcBorders>
              <w:top w:val="nil" w:sz="6" w:space="0" w:color="auto"/>
              <w:left w:val="nil" w:sz="6" w:space="0" w:color="auto"/>
              <w:bottom w:val="nil" w:sz="6" w:space="0" w:color="auto"/>
              <w:right w:val="nil" w:sz="6" w:space="0" w:color="auto"/>
            </w:tcBorders>
          </w:tcPr>
          <w:p>
            <w:pPr/>
          </w:p>
        </w:tc>
        <w:tc>
          <w:tcPr>
            <w:tcW w:w="1721" w:type="dxa"/>
            <w:tcBorders>
              <w:top w:val="nil" w:sz="6" w:space="0" w:color="auto"/>
              <w:left w:val="nil" w:sz="6" w:space="0" w:color="auto"/>
              <w:bottom w:val="nil" w:sz="6" w:space="0" w:color="auto"/>
              <w:right w:val="nil" w:sz="6" w:space="0" w:color="auto"/>
            </w:tcBorders>
          </w:tcPr>
          <w:p>
            <w:pPr/>
          </w:p>
        </w:tc>
      </w:tr>
    </w:tbl>
    <w:p>
      <w:pPr>
        <w:spacing w:after="0"/>
        <w:sectPr>
          <w:footerReference w:type="default" r:id="rId465"/>
          <w:pgSz w:w="11910" w:h="16840"/>
          <w:pgMar w:footer="1001" w:header="0" w:top="1520" w:bottom="1200" w:left="1660" w:right="0"/>
        </w:sectPr>
      </w:pPr>
    </w:p>
    <w:p>
      <w:pPr>
        <w:spacing w:line="240" w:lineRule="auto" w:before="9"/>
        <w:rPr>
          <w:rFonts w:ascii="Times New Roman" w:hAnsi="Times New Roman" w:cs="Times New Roman" w:eastAsia="Times New Roman" w:hint="default"/>
          <w:sz w:val="11"/>
          <w:szCs w:val="11"/>
        </w:rPr>
      </w:pPr>
    </w:p>
    <w:tbl>
      <w:tblPr>
        <w:tblW w:w="0" w:type="auto"/>
        <w:jc w:val="left"/>
        <w:tblInd w:w="787" w:type="dxa"/>
        <w:tblLayout w:type="fixed"/>
        <w:tblCellMar>
          <w:top w:w="0" w:type="dxa"/>
          <w:left w:w="0" w:type="dxa"/>
          <w:bottom w:w="0" w:type="dxa"/>
          <w:right w:w="0" w:type="dxa"/>
        </w:tblCellMar>
        <w:tblLook w:val="01E0"/>
      </w:tblPr>
      <w:tblGrid>
        <w:gridCol w:w="1070"/>
        <w:gridCol w:w="3122"/>
        <w:gridCol w:w="2201"/>
        <w:gridCol w:w="1721"/>
      </w:tblGrid>
      <w:tr>
        <w:trPr>
          <w:trHeight w:val="724" w:hRule="exact"/>
        </w:trPr>
        <w:tc>
          <w:tcPr>
            <w:tcW w:w="1070"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91"/>
              <w:jc w:val="right"/>
              <w:rPr>
                <w:rFonts w:ascii="宋体" w:hAnsi="宋体" w:cs="宋体" w:eastAsia="宋体" w:hint="default"/>
                <w:sz w:val="16"/>
                <w:szCs w:val="16"/>
              </w:rPr>
            </w:pPr>
            <w:r>
              <w:rPr>
                <w:rFonts w:ascii="宋体" w:hAnsi="宋体" w:cs="宋体" w:eastAsia="宋体" w:hint="default"/>
                <w:w w:val="95"/>
                <w:sz w:val="16"/>
                <w:szCs w:val="16"/>
              </w:rPr>
              <w:t>项目名称</w:t>
            </w:r>
            <w:r>
              <w:rPr>
                <w:rFonts w:ascii="宋体" w:hAnsi="宋体" w:cs="宋体" w:eastAsia="宋体" w:hint="default"/>
                <w:sz w:val="16"/>
                <w:szCs w:val="16"/>
              </w:rPr>
            </w:r>
          </w:p>
        </w:tc>
        <w:tc>
          <w:tcPr>
            <w:tcW w:w="3122" w:type="dxa"/>
            <w:tcBorders>
              <w:top w:val="nil" w:sz="6" w:space="0" w:color="auto"/>
              <w:left w:val="nil" w:sz="6" w:space="0" w:color="auto"/>
              <w:bottom w:val="nil" w:sz="6" w:space="0" w:color="auto"/>
              <w:right w:val="nil" w:sz="6" w:space="0" w:color="auto"/>
            </w:tcBorders>
          </w:tcPr>
          <w:p>
            <w:pPr>
              <w:pStyle w:val="TableParagraph"/>
              <w:spacing w:line="405" w:lineRule="auto" w:before="57"/>
              <w:ind w:left="193" w:right="688" w:firstLine="1338"/>
              <w:jc w:val="left"/>
              <w:rPr>
                <w:rFonts w:ascii="宋体" w:hAnsi="宋体" w:cs="宋体" w:eastAsia="宋体" w:hint="default"/>
                <w:sz w:val="16"/>
                <w:szCs w:val="16"/>
              </w:rPr>
            </w:pPr>
            <w:r>
              <w:rPr>
                <w:rFonts w:ascii="宋体" w:hAnsi="宋体" w:cs="宋体" w:eastAsia="宋体" w:hint="default"/>
                <w:sz w:val="16"/>
                <w:szCs w:val="16"/>
              </w:rPr>
              <w:t>关联方</w:t>
            </w:r>
            <w:r>
              <w:rPr>
                <w:rFonts w:ascii="宋体" w:hAnsi="宋体" w:cs="宋体" w:eastAsia="宋体" w:hint="default"/>
                <w:w w:val="99"/>
                <w:sz w:val="16"/>
                <w:szCs w:val="16"/>
              </w:rPr>
              <w:t> </w:t>
            </w:r>
            <w:r>
              <w:rPr>
                <w:rFonts w:ascii="宋体" w:hAnsi="宋体" w:cs="宋体" w:eastAsia="宋体" w:hint="default"/>
                <w:w w:val="95"/>
                <w:sz w:val="16"/>
                <w:szCs w:val="16"/>
              </w:rPr>
              <w:t>长城超云（北京）科技有限公司</w:t>
            </w:r>
            <w:r>
              <w:rPr>
                <w:rFonts w:ascii="宋体" w:hAnsi="宋体" w:cs="宋体" w:eastAsia="宋体" w:hint="default"/>
                <w:sz w:val="16"/>
                <w:szCs w:val="16"/>
              </w:rPr>
            </w:r>
          </w:p>
        </w:tc>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57"/>
              <w:ind w:left="690" w:right="0"/>
              <w:jc w:val="left"/>
              <w:rPr>
                <w:rFonts w:ascii="宋体" w:hAnsi="宋体" w:cs="宋体" w:eastAsia="宋体" w:hint="default"/>
                <w:sz w:val="16"/>
                <w:szCs w:val="16"/>
              </w:rPr>
            </w:pPr>
            <w:r>
              <w:rPr>
                <w:rFonts w:ascii="宋体" w:hAnsi="宋体" w:cs="宋体" w:eastAsia="宋体" w:hint="default"/>
                <w:sz w:val="16"/>
                <w:szCs w:val="16"/>
              </w:rPr>
              <w:t>期末账面余额</w:t>
            </w:r>
          </w:p>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left="1259" w:right="0"/>
              <w:jc w:val="left"/>
              <w:rPr>
                <w:rFonts w:ascii="Times New Roman" w:hAnsi="Times New Roman" w:cs="Times New Roman" w:eastAsia="Times New Roman" w:hint="default"/>
                <w:sz w:val="16"/>
                <w:szCs w:val="16"/>
              </w:rPr>
            </w:pPr>
            <w:r>
              <w:rPr>
                <w:rFonts w:ascii="Times New Roman"/>
                <w:sz w:val="16"/>
              </w:rPr>
              <w:t>35,000.00</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57"/>
              <w:ind w:left="300" w:right="0"/>
              <w:jc w:val="left"/>
              <w:rPr>
                <w:rFonts w:ascii="宋体" w:hAnsi="宋体" w:cs="宋体" w:eastAsia="宋体" w:hint="default"/>
                <w:sz w:val="16"/>
                <w:szCs w:val="16"/>
              </w:rPr>
            </w:pPr>
            <w:r>
              <w:rPr>
                <w:rFonts w:ascii="宋体" w:hAnsi="宋体" w:cs="宋体" w:eastAsia="宋体" w:hint="default"/>
                <w:sz w:val="16"/>
                <w:szCs w:val="16"/>
              </w:rPr>
              <w:t>年初账面余额</w:t>
            </w:r>
          </w:p>
        </w:tc>
      </w:tr>
      <w:tr>
        <w:trPr>
          <w:trHeight w:val="353" w:hRule="exact"/>
        </w:trPr>
        <w:tc>
          <w:tcPr>
            <w:tcW w:w="1070" w:type="dxa"/>
            <w:tcBorders>
              <w:top w:val="nil" w:sz="6" w:space="0" w:color="auto"/>
              <w:left w:val="nil" w:sz="6" w:space="0" w:color="auto"/>
              <w:bottom w:val="nil" w:sz="6" w:space="0" w:color="auto"/>
              <w:right w:val="nil" w:sz="6" w:space="0" w:color="auto"/>
            </w:tcBorders>
          </w:tcPr>
          <w:p>
            <w:pPr/>
          </w:p>
        </w:tc>
        <w:tc>
          <w:tcPr>
            <w:tcW w:w="312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中电基础产品装备公司</w:t>
            </w:r>
          </w:p>
        </w:tc>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99"/>
              <w:jc w:val="right"/>
              <w:rPr>
                <w:rFonts w:ascii="Times New Roman" w:hAnsi="Times New Roman" w:cs="Times New Roman" w:eastAsia="Times New Roman" w:hint="default"/>
                <w:sz w:val="16"/>
                <w:szCs w:val="16"/>
              </w:rPr>
            </w:pPr>
            <w:r>
              <w:rPr>
                <w:rFonts w:ascii="Times New Roman"/>
                <w:spacing w:val="-1"/>
                <w:sz w:val="16"/>
              </w:rPr>
              <w:t>20,000.00</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20,000.00</w:t>
            </w:r>
          </w:p>
        </w:tc>
      </w:tr>
      <w:tr>
        <w:trPr>
          <w:trHeight w:val="353" w:hRule="exact"/>
        </w:trPr>
        <w:tc>
          <w:tcPr>
            <w:tcW w:w="1070" w:type="dxa"/>
            <w:tcBorders>
              <w:top w:val="nil" w:sz="6" w:space="0" w:color="auto"/>
              <w:left w:val="nil" w:sz="6" w:space="0" w:color="auto"/>
              <w:bottom w:val="nil" w:sz="6" w:space="0" w:color="auto"/>
              <w:right w:val="nil" w:sz="6" w:space="0" w:color="auto"/>
            </w:tcBorders>
          </w:tcPr>
          <w:p>
            <w:pPr/>
          </w:p>
        </w:tc>
        <w:tc>
          <w:tcPr>
            <w:tcW w:w="312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中国电子器材国际有限公司</w:t>
            </w:r>
          </w:p>
        </w:tc>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98"/>
              <w:jc w:val="right"/>
              <w:rPr>
                <w:rFonts w:ascii="Times New Roman" w:hAnsi="Times New Roman" w:cs="Times New Roman" w:eastAsia="Times New Roman" w:hint="default"/>
                <w:sz w:val="16"/>
                <w:szCs w:val="16"/>
              </w:rPr>
            </w:pPr>
            <w:r>
              <w:rPr>
                <w:rFonts w:ascii="Times New Roman"/>
                <w:spacing w:val="-1"/>
                <w:sz w:val="16"/>
              </w:rPr>
              <w:t>4,299.72</w:t>
            </w:r>
          </w:p>
        </w:tc>
        <w:tc>
          <w:tcPr>
            <w:tcW w:w="1721" w:type="dxa"/>
            <w:tcBorders>
              <w:top w:val="nil" w:sz="6" w:space="0" w:color="auto"/>
              <w:left w:val="nil" w:sz="6" w:space="0" w:color="auto"/>
              <w:bottom w:val="nil" w:sz="6" w:space="0" w:color="auto"/>
              <w:right w:val="nil" w:sz="6" w:space="0" w:color="auto"/>
            </w:tcBorders>
          </w:tcPr>
          <w:p>
            <w:pPr/>
          </w:p>
        </w:tc>
      </w:tr>
      <w:tr>
        <w:trPr>
          <w:trHeight w:val="353" w:hRule="exact"/>
        </w:trPr>
        <w:tc>
          <w:tcPr>
            <w:tcW w:w="1070" w:type="dxa"/>
            <w:tcBorders>
              <w:top w:val="nil" w:sz="6" w:space="0" w:color="auto"/>
              <w:left w:val="nil" w:sz="6" w:space="0" w:color="auto"/>
              <w:bottom w:val="nil" w:sz="6" w:space="0" w:color="auto"/>
              <w:right w:val="nil" w:sz="6" w:space="0" w:color="auto"/>
            </w:tcBorders>
          </w:tcPr>
          <w:p>
            <w:pPr/>
          </w:p>
        </w:tc>
        <w:tc>
          <w:tcPr>
            <w:tcW w:w="312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3" w:right="0"/>
              <w:jc w:val="left"/>
              <w:rPr>
                <w:rFonts w:ascii="宋体" w:hAnsi="宋体" w:cs="宋体" w:eastAsia="宋体" w:hint="default"/>
                <w:sz w:val="16"/>
                <w:szCs w:val="16"/>
              </w:rPr>
            </w:pPr>
            <w:r>
              <w:rPr>
                <w:rFonts w:ascii="宋体" w:hAnsi="宋体" w:cs="宋体" w:eastAsia="宋体" w:hint="default"/>
                <w:sz w:val="16"/>
                <w:szCs w:val="16"/>
              </w:rPr>
              <w:t>中电长城计算机集团公司</w:t>
            </w:r>
          </w:p>
        </w:tc>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98"/>
              <w:jc w:val="right"/>
              <w:rPr>
                <w:rFonts w:ascii="Times New Roman" w:hAnsi="Times New Roman" w:cs="Times New Roman" w:eastAsia="Times New Roman" w:hint="default"/>
                <w:sz w:val="16"/>
                <w:szCs w:val="16"/>
              </w:rPr>
            </w:pPr>
            <w:r>
              <w:rPr>
                <w:rFonts w:ascii="Times New Roman"/>
                <w:spacing w:val="-1"/>
                <w:sz w:val="16"/>
              </w:rPr>
              <w:t>3,791.62</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3,791.62</w:t>
            </w:r>
          </w:p>
        </w:tc>
      </w:tr>
      <w:tr>
        <w:trPr>
          <w:trHeight w:val="1053" w:hRule="exact"/>
        </w:trPr>
        <w:tc>
          <w:tcPr>
            <w:tcW w:w="107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right="0"/>
              <w:jc w:val="left"/>
              <w:rPr>
                <w:rFonts w:ascii="Times New Roman" w:hAnsi="Times New Roman" w:cs="Times New Roman" w:eastAsia="Times New Roman" w:hint="default"/>
                <w:sz w:val="17"/>
                <w:szCs w:val="17"/>
              </w:rPr>
            </w:pPr>
          </w:p>
          <w:p>
            <w:pPr>
              <w:pStyle w:val="TableParagraph"/>
              <w:spacing w:line="240" w:lineRule="auto"/>
              <w:ind w:right="198"/>
              <w:jc w:val="right"/>
              <w:rPr>
                <w:rFonts w:ascii="宋体" w:hAnsi="宋体" w:cs="宋体" w:eastAsia="宋体" w:hint="default"/>
                <w:sz w:val="16"/>
                <w:szCs w:val="16"/>
              </w:rPr>
            </w:pPr>
            <w:r>
              <w:rPr>
                <w:rFonts w:ascii="宋体" w:hAnsi="宋体" w:cs="宋体" w:eastAsia="宋体" w:hint="default"/>
                <w:w w:val="95"/>
                <w:sz w:val="16"/>
                <w:szCs w:val="16"/>
              </w:rPr>
              <w:t>长期应付款</w:t>
            </w:r>
            <w:r>
              <w:rPr>
                <w:rFonts w:ascii="宋体" w:hAnsi="宋体" w:cs="宋体" w:eastAsia="宋体" w:hint="default"/>
                <w:sz w:val="16"/>
                <w:szCs w:val="16"/>
              </w:rPr>
            </w:r>
          </w:p>
        </w:tc>
        <w:tc>
          <w:tcPr>
            <w:tcW w:w="3122" w:type="dxa"/>
            <w:tcBorders>
              <w:top w:val="nil" w:sz="6" w:space="0" w:color="auto"/>
              <w:left w:val="nil" w:sz="6" w:space="0" w:color="auto"/>
              <w:bottom w:val="nil" w:sz="6" w:space="0" w:color="auto"/>
              <w:right w:val="nil" w:sz="6" w:space="0" w:color="auto"/>
            </w:tcBorders>
          </w:tcPr>
          <w:p>
            <w:pPr>
              <w:pStyle w:val="TableParagraph"/>
              <w:spacing w:line="405" w:lineRule="auto" w:before="40"/>
              <w:ind w:left="193" w:right="688"/>
              <w:jc w:val="left"/>
              <w:rPr>
                <w:rFonts w:ascii="宋体" w:hAnsi="宋体" w:cs="宋体" w:eastAsia="宋体" w:hint="default"/>
                <w:sz w:val="16"/>
                <w:szCs w:val="16"/>
              </w:rPr>
            </w:pPr>
            <w:r>
              <w:rPr>
                <w:rFonts w:ascii="宋体" w:hAnsi="宋体" w:cs="宋体" w:eastAsia="宋体" w:hint="default"/>
                <w:w w:val="95"/>
                <w:sz w:val="16"/>
                <w:szCs w:val="16"/>
              </w:rPr>
              <w:t>深圳中电国际信息科技有限公司</w:t>
            </w:r>
            <w:r>
              <w:rPr>
                <w:rFonts w:ascii="宋体" w:hAnsi="宋体" w:cs="宋体" w:eastAsia="宋体" w:hint="default"/>
                <w:spacing w:val="33"/>
                <w:w w:val="95"/>
                <w:sz w:val="16"/>
                <w:szCs w:val="16"/>
              </w:rPr>
              <w:t> </w:t>
            </w:r>
            <w:r>
              <w:rPr>
                <w:rFonts w:ascii="宋体" w:hAnsi="宋体" w:cs="宋体" w:eastAsia="宋体" w:hint="default"/>
                <w:spacing w:val="33"/>
                <w:w w:val="95"/>
                <w:sz w:val="16"/>
                <w:szCs w:val="16"/>
              </w:rPr>
            </w:r>
            <w:r>
              <w:rPr>
                <w:rFonts w:ascii="宋体" w:hAnsi="宋体" w:cs="宋体" w:eastAsia="宋体" w:hint="default"/>
                <w:w w:val="95"/>
                <w:sz w:val="16"/>
                <w:szCs w:val="16"/>
              </w:rPr>
              <w:t>长沙智能制造研究总院有限公司</w:t>
            </w:r>
            <w:r>
              <w:rPr>
                <w:rFonts w:ascii="宋体" w:hAnsi="宋体" w:cs="宋体" w:eastAsia="宋体" w:hint="default"/>
                <w:sz w:val="16"/>
                <w:szCs w:val="16"/>
              </w:rPr>
            </w:r>
          </w:p>
        </w:tc>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98"/>
              <w:jc w:val="right"/>
              <w:rPr>
                <w:rFonts w:ascii="Times New Roman" w:hAnsi="Times New Roman" w:cs="Times New Roman" w:eastAsia="Times New Roman" w:hint="default"/>
                <w:sz w:val="16"/>
                <w:szCs w:val="16"/>
              </w:rPr>
            </w:pPr>
            <w:r>
              <w:rPr>
                <w:rFonts w:ascii="Times New Roman"/>
                <w:spacing w:val="-1"/>
                <w:sz w:val="16"/>
              </w:rPr>
              <w:t>1,842.53</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10"/>
              <w:ind w:right="0"/>
              <w:jc w:val="left"/>
              <w:rPr>
                <w:rFonts w:ascii="Times New Roman" w:hAnsi="Times New Roman" w:cs="Times New Roman" w:eastAsia="Times New Roman" w:hint="default"/>
                <w:sz w:val="21"/>
                <w:szCs w:val="21"/>
              </w:rPr>
            </w:pPr>
          </w:p>
          <w:p>
            <w:pPr>
              <w:pStyle w:val="TableParagraph"/>
              <w:spacing w:line="240" w:lineRule="auto"/>
              <w:ind w:right="69"/>
              <w:jc w:val="right"/>
              <w:rPr>
                <w:rFonts w:ascii="Times New Roman" w:hAnsi="Times New Roman" w:cs="Times New Roman" w:eastAsia="Times New Roman" w:hint="default"/>
                <w:sz w:val="16"/>
                <w:szCs w:val="16"/>
              </w:rPr>
            </w:pPr>
            <w:r>
              <w:rPr>
                <w:rFonts w:ascii="Times New Roman"/>
                <w:spacing w:val="-1"/>
                <w:sz w:val="16"/>
              </w:rPr>
              <w:t>200.00</w:t>
            </w:r>
          </w:p>
        </w:tc>
      </w:tr>
      <w:tr>
        <w:trPr>
          <w:trHeight w:val="364" w:hRule="exact"/>
        </w:trPr>
        <w:tc>
          <w:tcPr>
            <w:tcW w:w="1070" w:type="dxa"/>
            <w:tcBorders>
              <w:top w:val="nil" w:sz="6" w:space="0" w:color="auto"/>
              <w:left w:val="nil" w:sz="6" w:space="0" w:color="auto"/>
              <w:bottom w:val="nil" w:sz="6" w:space="0" w:color="auto"/>
              <w:right w:val="nil" w:sz="6" w:space="0" w:color="auto"/>
            </w:tcBorders>
          </w:tcPr>
          <w:p>
            <w:pPr/>
          </w:p>
        </w:tc>
        <w:tc>
          <w:tcPr>
            <w:tcW w:w="3122"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93" w:right="0"/>
              <w:jc w:val="left"/>
              <w:rPr>
                <w:rFonts w:ascii="宋体" w:hAnsi="宋体" w:cs="宋体" w:eastAsia="宋体" w:hint="default"/>
                <w:sz w:val="16"/>
                <w:szCs w:val="16"/>
              </w:rPr>
            </w:pPr>
            <w:r>
              <w:rPr>
                <w:rFonts w:ascii="宋体" w:hAnsi="宋体" w:cs="宋体" w:eastAsia="宋体" w:hint="default"/>
                <w:sz w:val="16"/>
                <w:szCs w:val="16"/>
              </w:rPr>
              <w:t>中国电子信息产业集团有限公司</w:t>
            </w:r>
          </w:p>
        </w:tc>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299"/>
              <w:jc w:val="right"/>
              <w:rPr>
                <w:rFonts w:ascii="Times New Roman" w:hAnsi="Times New Roman" w:cs="Times New Roman" w:eastAsia="Times New Roman" w:hint="default"/>
                <w:sz w:val="16"/>
                <w:szCs w:val="16"/>
              </w:rPr>
            </w:pPr>
            <w:r>
              <w:rPr>
                <w:rFonts w:ascii="Times New Roman"/>
                <w:spacing w:val="-1"/>
                <w:sz w:val="16"/>
              </w:rPr>
              <w:t>100,000,000.00</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68"/>
              <w:jc w:val="right"/>
              <w:rPr>
                <w:rFonts w:ascii="Times New Roman" w:hAnsi="Times New Roman" w:cs="Times New Roman" w:eastAsia="Times New Roman" w:hint="default"/>
                <w:sz w:val="16"/>
                <w:szCs w:val="16"/>
              </w:rPr>
            </w:pPr>
            <w:r>
              <w:rPr>
                <w:rFonts w:ascii="Times New Roman"/>
                <w:spacing w:val="-1"/>
                <w:sz w:val="16"/>
              </w:rPr>
              <w:t>100,000,000.00</w:t>
            </w:r>
          </w:p>
        </w:tc>
      </w:tr>
    </w:tbl>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21"/>
          <w:szCs w:val="21"/>
        </w:rPr>
      </w:pPr>
    </w:p>
    <w:p>
      <w:pPr>
        <w:pStyle w:val="BodyText"/>
        <w:tabs>
          <w:tab w:pos="851" w:val="left" w:leader="none"/>
        </w:tabs>
        <w:spacing w:line="338" w:lineRule="auto" w:before="35"/>
        <w:ind w:left="851" w:right="1830" w:hanging="714"/>
        <w:jc w:val="left"/>
      </w:pPr>
      <w:r>
        <w:rPr/>
        <w:pict>
          <v:group style="position:absolute;margin-left:119.010002pt;margin-top:-184.525925pt;width:411.95pt;height:161.6pt;mso-position-horizontal-relative:page;mso-position-vertical-relative:paragraph;z-index:-1363768" coordorigin="2380,-3691" coordsize="8239,3232">
            <v:group style="position:absolute;left:2410;top:-3676;width:1188;height:2" coordorigin="2410,-3676" coordsize="1188,2">
              <v:shape style="position:absolute;left:2410;top:-3676;width:1188;height:2" coordorigin="2410,-3676" coordsize="1188,0" path="m2410,-3676l3598,-3676e" filled="false" stroked="true" strokeweight="1.5pt" strokecolor="#000000">
                <v:path arrowok="t"/>
              </v:shape>
              <v:shape style="position:absolute;left:3598;top:-3661;width:10;height:28" type="#_x0000_t75" stroked="false">
                <v:imagedata r:id="rId37" o:title=""/>
              </v:shape>
            </v:group>
            <v:group style="position:absolute;left:3598;top:-3676;width:3372;height:2" coordorigin="3598,-3676" coordsize="3372,2">
              <v:shape style="position:absolute;left:3598;top:-3676;width:3372;height:2" coordorigin="3598,-3676" coordsize="3372,0" path="m3598,-3676l6970,-3676e" filled="false" stroked="true" strokeweight="1.5pt" strokecolor="#000000">
                <v:path arrowok="t"/>
              </v:shape>
              <v:shape style="position:absolute;left:6970;top:-3661;width:10;height:28" type="#_x0000_t75" stroked="false">
                <v:imagedata r:id="rId37" o:title=""/>
              </v:shape>
            </v:group>
            <v:group style="position:absolute;left:6970;top:-3676;width:1672;height:2" coordorigin="6970,-3676" coordsize="1672,2">
              <v:shape style="position:absolute;left:6970;top:-3676;width:1672;height:2" coordorigin="6970,-3676" coordsize="1672,0" path="m6970,-3676l8641,-3676e" filled="false" stroked="true" strokeweight="1.5pt" strokecolor="#000000">
                <v:path arrowok="t"/>
              </v:shape>
              <v:shape style="position:absolute;left:8641;top:-3661;width:10;height:28" type="#_x0000_t75" stroked="false">
                <v:imagedata r:id="rId37" o:title=""/>
              </v:shape>
            </v:group>
            <v:group style="position:absolute;left:8641;top:-3676;width:1956;height:2" coordorigin="8641,-3676" coordsize="1956,2">
              <v:shape style="position:absolute;left:8641;top:-3676;width:1956;height:2" coordorigin="8641,-3676" coordsize="1956,0" path="m8641,-3676l10597,-3676e" filled="false" stroked="true" strokeweight="1.5pt" strokecolor="#000000">
                <v:path arrowok="t"/>
              </v:shape>
              <v:shape style="position:absolute;left:3578;top:-3652;width:5092;height:355" type="#_x0000_t75" stroked="false">
                <v:imagedata r:id="rId466" o:title=""/>
              </v:shape>
            </v:group>
            <v:group style="position:absolute;left:2395;top:-474;width:1203;height:2" coordorigin="2395,-474" coordsize="1203,2">
              <v:shape style="position:absolute;left:2395;top:-474;width:1203;height:2" coordorigin="2395,-474" coordsize="1203,0" path="m2395,-474l3598,-474e" filled="false" stroked="true" strokeweight="1.5pt" strokecolor="#000000">
                <v:path arrowok="t"/>
              </v:shape>
            </v:group>
            <v:group style="position:absolute;left:3598;top:-474;width:3372;height:2" coordorigin="3598,-474" coordsize="3372,2">
              <v:shape style="position:absolute;left:3598;top:-474;width:3372;height:2" coordorigin="3598,-474" coordsize="3372,0" path="m3598,-474l6970,-474e" filled="false" stroked="true" strokeweight="1.5pt" strokecolor="#000000">
                <v:path arrowok="t"/>
              </v:shape>
            </v:group>
            <v:group style="position:absolute;left:6970;top:-474;width:1672;height:2" coordorigin="6970,-474" coordsize="1672,2">
              <v:shape style="position:absolute;left:6970;top:-474;width:1672;height:2" coordorigin="6970,-474" coordsize="1672,0" path="m6970,-474l8641,-474e" filled="false" stroked="true" strokeweight="1.5pt" strokecolor="#000000">
                <v:path arrowok="t"/>
              </v:shape>
              <v:shape style="position:absolute;left:2390;top:-3335;width:8228;height:2846" type="#_x0000_t75" stroked="false">
                <v:imagedata r:id="rId469" o:title=""/>
              </v:shape>
            </v:group>
            <v:group style="position:absolute;left:8641;top:-474;width:1956;height:2" coordorigin="8641,-474" coordsize="1956,2">
              <v:shape style="position:absolute;left:8641;top:-474;width:1956;height:2" coordorigin="8641,-474" coordsize="1956,0" path="m8641,-474l10597,-474e" filled="false" stroked="true" strokeweight="1.5pt" strokecolor="#000000">
                <v:path arrowok="t"/>
              </v:shape>
            </v:group>
            <w10:wrap type="none"/>
          </v:group>
        </w:pict>
      </w:r>
      <w:r>
        <w:rPr>
          <w:rFonts w:ascii="Times New Roman" w:hAnsi="Times New Roman" w:cs="Times New Roman" w:eastAsia="Times New Roman" w:hint="default"/>
          <w:b/>
          <w:bCs/>
          <w:w w:val="95"/>
        </w:rPr>
        <w:t>(</w:t>
      </w:r>
      <w:r>
        <w:rPr>
          <w:rFonts w:ascii="宋体" w:hAnsi="宋体" w:cs="宋体" w:eastAsia="宋体" w:hint="default"/>
          <w:b/>
          <w:bCs/>
          <w:w w:val="95"/>
        </w:rPr>
        <w:t>七</w:t>
      </w:r>
      <w:r>
        <w:rPr>
          <w:rFonts w:ascii="Times New Roman" w:hAnsi="Times New Roman" w:cs="Times New Roman" w:eastAsia="Times New Roman" w:hint="default"/>
          <w:b/>
          <w:bCs/>
          <w:w w:val="95"/>
        </w:rPr>
        <w:t>)</w:t>
        <w:tab/>
      </w:r>
      <w:r>
        <w:rPr>
          <w:rFonts w:ascii="宋体" w:hAnsi="宋体" w:cs="宋体" w:eastAsia="宋体" w:hint="default"/>
          <w:b/>
          <w:bCs/>
        </w:rPr>
        <w:t>关联方承诺</w:t>
      </w:r>
      <w:r>
        <w:rPr>
          <w:rFonts w:ascii="宋体" w:hAnsi="宋体" w:cs="宋体" w:eastAsia="宋体" w:hint="default"/>
          <w:b/>
          <w:bCs/>
          <w:w w:val="99"/>
        </w:rPr>
        <w:t> </w:t>
      </w:r>
      <w:r>
        <w:rPr/>
        <w:t>以下为本公司于资产负债表日，已签约而尚不必在资产负债表上列示的与关联方有 关的承诺事项：</w:t>
      </w:r>
    </w:p>
    <w:p>
      <w:pPr>
        <w:pStyle w:val="BodyText"/>
        <w:spacing w:line="338" w:lineRule="auto" w:before="40"/>
        <w:ind w:left="851" w:right="1830"/>
        <w:jc w:val="both"/>
      </w:pPr>
      <w:r>
        <w:rPr>
          <w:rFonts w:ascii="Times New Roman" w:hAnsi="Times New Roman" w:cs="Times New Roman" w:eastAsia="Times New Roman" w:hint="default"/>
        </w:rPr>
        <w:t>1</w:t>
      </w:r>
      <w:r>
        <w:rPr/>
        <w:t>、</w:t>
      </w:r>
      <w:r>
        <w:rPr>
          <w:rFonts w:ascii="Times New Roman" w:hAnsi="Times New Roman" w:cs="Times New Roman" w:eastAsia="Times New Roman" w:hint="default"/>
        </w:rPr>
        <w:t>2013</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18</w:t>
      </w:r>
      <w:r>
        <w:rPr>
          <w:rFonts w:ascii="Times New Roman" w:hAnsi="Times New Roman" w:cs="Times New Roman" w:eastAsia="Times New Roman" w:hint="default"/>
          <w:spacing w:val="-1"/>
        </w:rPr>
        <w:t> </w:t>
      </w:r>
      <w:r>
        <w:rPr/>
        <w:t>日中国电子信息产业集团有限公司在收购报告书或权益变动报 告书中作出关于同业竞争、关联交易方面的承诺（长期有效，被重大资产重组承诺 </w:t>
      </w:r>
      <w:r>
        <w:rPr>
          <w:spacing w:val="-6"/>
        </w:rPr>
        <w:t>继承优化，见下述资产重组时所作承诺）。</w:t>
      </w:r>
    </w:p>
    <w:p>
      <w:pPr>
        <w:pStyle w:val="BodyText"/>
        <w:spacing w:line="328" w:lineRule="auto" w:before="40"/>
        <w:ind w:left="851" w:right="2863" w:hanging="1"/>
        <w:jc w:val="left"/>
      </w:pPr>
      <w:r>
        <w:rPr>
          <w:rFonts w:ascii="Times New Roman" w:hAnsi="Times New Roman" w:cs="Times New Roman" w:eastAsia="Times New Roman" w:hint="default"/>
        </w:rPr>
        <w:t>2</w:t>
      </w:r>
      <w:r>
        <w:rPr/>
        <w:t>、资产重组时所作承诺 中国电子信息产业集团有限公司在公司重大资产重组项目中作出承诺：</w:t>
      </w:r>
    </w:p>
    <w:p>
      <w:pPr>
        <w:pStyle w:val="BodyText"/>
        <w:spacing w:line="348" w:lineRule="auto" w:before="47"/>
        <w:ind w:left="851" w:right="1677"/>
        <w:jc w:val="left"/>
      </w:pPr>
      <w:r>
        <w:rPr>
          <w:spacing w:val="-1"/>
        </w:rPr>
        <w:t>（</w:t>
      </w:r>
      <w:r>
        <w:rPr>
          <w:rFonts w:ascii="Times New Roman" w:hAnsi="Times New Roman" w:cs="Times New Roman" w:eastAsia="Times New Roman" w:hint="default"/>
          <w:spacing w:val="-1"/>
        </w:rPr>
        <w:t>1</w:t>
      </w:r>
      <w:r>
        <w:rPr>
          <w:spacing w:val="-1"/>
        </w:rPr>
        <w:t>）</w:t>
      </w:r>
      <w:r>
        <w:rPr>
          <w:rFonts w:ascii="Times New Roman" w:hAnsi="Times New Roman" w:cs="Times New Roman" w:eastAsia="Times New Roman" w:hint="default"/>
          <w:spacing w:val="-1"/>
        </w:rPr>
        <w:t>2017 </w:t>
      </w:r>
      <w:r>
        <w:rPr/>
        <w:t>年</w:t>
      </w:r>
      <w:r>
        <w:rPr>
          <w:spacing w:val="-53"/>
        </w:rPr>
        <w:t> </w:t>
      </w:r>
      <w:r>
        <w:rPr>
          <w:rFonts w:ascii="Times New Roman" w:hAnsi="Times New Roman" w:cs="Times New Roman" w:eastAsia="Times New Roman" w:hint="default"/>
        </w:rPr>
        <w:t>1 </w:t>
      </w:r>
      <w:r>
        <w:rPr/>
        <w:t>月</w:t>
      </w:r>
      <w:r>
        <w:rPr>
          <w:spacing w:val="-54"/>
        </w:rPr>
        <w:t> </w:t>
      </w:r>
      <w:r>
        <w:rPr>
          <w:rFonts w:ascii="Times New Roman" w:hAnsi="Times New Roman" w:cs="Times New Roman" w:eastAsia="Times New Roman" w:hint="default"/>
          <w:spacing w:val="-1"/>
        </w:rPr>
        <w:t>20</w:t>
      </w:r>
      <w:r>
        <w:rPr>
          <w:rFonts w:ascii="Times New Roman" w:hAnsi="Times New Roman" w:cs="Times New Roman" w:eastAsia="Times New Roman" w:hint="default"/>
        </w:rPr>
        <w:t> </w:t>
      </w:r>
      <w:r>
        <w:rPr>
          <w:spacing w:val="-5"/>
        </w:rPr>
        <w:t>日关于同业竞争、关联交易方面的承诺（长期有效）：</w:t>
      </w:r>
      <w:r>
        <w:rPr>
          <w:spacing w:val="-91"/>
        </w:rPr>
        <w:t> </w:t>
      </w:r>
      <w:r>
        <w:rPr>
          <w:spacing w:val="-91"/>
        </w:rPr>
      </w:r>
      <w:r>
        <w:rPr>
          <w:rFonts w:ascii="Times New Roman" w:hAnsi="Times New Roman" w:cs="Times New Roman" w:eastAsia="Times New Roman" w:hint="default"/>
        </w:rPr>
        <w:t>1</w:t>
      </w:r>
      <w:r>
        <w:rPr/>
        <w:t>）同业竞争 截至承诺出具日，中国电子信息产业集团有限公司及其控股企业未直接或者间接从 事任何与本公司、长城信息及其控股企业现有业务构成实质同业竞争的生产经营活 动，与本公司、长城信息及其控股企业不存在实质同业竞争的情形。本公司与冠捷 科技集团不存在实质同业竞争的情形。 </w:t>
      </w:r>
      <w:r>
        <w:rPr>
          <w:spacing w:val="-2"/>
        </w:rPr>
        <w:t>本次交易完成后，中国电子信息产业集团有限公司及其控股企业不会以控股、参股、</w:t>
      </w:r>
      <w:r>
        <w:rPr>
          <w:spacing w:val="-98"/>
        </w:rPr>
        <w:t> </w:t>
      </w:r>
      <w:r>
        <w:rPr>
          <w:spacing w:val="-98"/>
        </w:rPr>
      </w:r>
      <w:r>
        <w:rPr/>
        <w:t>联营、合作、合伙、承包、租赁等任何形式，直接、间接或代表任何人士、公司或 单位在任何地区，从事与本公司或其控股企业实质相同或者相似的业务。中国电子 信息产业集团有限公司保证不利用控股地位损害本公司及本公司其他股东的合法权 益，也不利用控股地位谋取额外的利益。 本次交易完成后，如果中国电子信息产业集团有限公司或中国电子信息产业集团有 限公司除本公司外的控股企业发现任何与本公司或其控股企业主营业务构成或可能 构成直接或间接竞争关系的新业务机会，将立即书面通知本公司，并尽力促使该业 务机会按合理和公平的条款和条件首先提供给本公司或其控股企业。 本次交易完成后，如果本公司或其控股企业放弃上述竞争性新业务机会且中国电子 信息产业集团有限公司或中国电子信息产业集团有限公司除本公司以外的控股企业</w:t>
      </w:r>
    </w:p>
    <w:p>
      <w:pPr>
        <w:spacing w:after="0" w:line="348" w:lineRule="auto"/>
        <w:jc w:val="left"/>
        <w:sectPr>
          <w:footerReference w:type="default" r:id="rId468"/>
          <w:pgSz w:w="11910" w:h="16840"/>
          <w:pgMar w:footer="1001" w:header="0" w:top="1520" w:bottom="1200" w:left="1660" w:right="0"/>
          <w:pgNumType w:start="101"/>
        </w:sectPr>
      </w:pPr>
    </w:p>
    <w:p>
      <w:pPr>
        <w:spacing w:line="240" w:lineRule="auto" w:before="8"/>
        <w:rPr>
          <w:rFonts w:ascii="宋体" w:hAnsi="宋体" w:cs="宋体" w:eastAsia="宋体" w:hint="default"/>
          <w:sz w:val="13"/>
          <w:szCs w:val="13"/>
        </w:rPr>
      </w:pPr>
    </w:p>
    <w:p>
      <w:pPr>
        <w:pStyle w:val="BodyText"/>
        <w:spacing w:line="350" w:lineRule="auto" w:before="35"/>
        <w:ind w:left="851" w:right="1813"/>
        <w:jc w:val="left"/>
      </w:pPr>
      <w:r>
        <w:rPr/>
        <w:t>从事该等竞争性业务，则本公司或其控股企业有权随时一次性或分多次向中国电子 信息产业集团有限公司或中国电子信息产业集团有限公司除本公司以外的控股企业 收购在上述竞争性业务中的任何股权、资产及其他权益，或由本公司根据国家法律 法规许可的方式选择委托经营、租赁或承包经营中国电子信息产业集团有限公司或 中国电子信息产业集团有限公司除本公司以外的控股企业在上述竞争性业务中的资 产或业务。 本次交易完成后，在中国电子信息产业集团有限公司及中国电子信息产业集团有限 公司除本公司外的控股企业拟转让、出售、出租、许可使用或以其他方式转让或允 许使用与本公司或其控股企业主营业务构成或可能构成直接或间接竞争关系的资产 和业务时，中国电子信息产业集团有限公司及中国电子信息产业集团有限公司除本 公司外的控股企业将向本公司或其控股企业提供优先受让权，并承诺尽最大努力促 使中国电子信息产业集团有限公司参股企业在上述情况下向本公司或其控股企业提 供优先受让权。 自承诺出具日起，中国电子信息产业集团有限公司承诺赔偿本公司或其控股企业因 中国电子信息产业集团有限公司或中国电子信息产业集团有限公司控股企业因违反 本承诺任何条款而遭受的一切实际损失、损害和开支。 上述承诺在中国电子信息产业集团有限公司对本公司拥有由资本因素或非资本因素 形成的直接或间接的控制权或对本公司存在重大影响期间持续有效，且不可变更或 撤销。</w:t>
      </w:r>
    </w:p>
    <w:p>
      <w:pPr>
        <w:pStyle w:val="BodyText"/>
        <w:spacing w:line="348" w:lineRule="auto" w:before="29"/>
        <w:ind w:left="851" w:right="1813" w:hanging="1"/>
        <w:jc w:val="left"/>
      </w:pPr>
      <w:r>
        <w:rPr>
          <w:rFonts w:ascii="Times New Roman" w:hAnsi="Times New Roman" w:cs="Times New Roman" w:eastAsia="Times New Roman" w:hint="default"/>
        </w:rPr>
        <w:t>2</w:t>
      </w:r>
      <w:r>
        <w:rPr/>
        <w:t>）关联交易 在本次交易前，中国电子信息产业集团有限公司及其控制的其他企业与本公司、长 城信息之间不存在显失公平的关联交易。本次交易完成后，中国电子信息产业集团 有限公司控制的除本公司及其下属公司以外的其他企业将尽量减少与本公司及其下 属公司之间发生关联交易。 本次交易完成后，对于无法避免或有合理理由存在的关联交易，中国电子信息产业 集团有限公司控制的其他企业将与本公司依法签订规范的关联交易协议，关联交易 价格依照与无关联关系的独立第三方进行相同或相似交易时的价格确定，保证关联 交易价格具有公允性；并按照有关法律、法规、规章、其他规范性文件和本公司公 司章程的规定，履行关联交易决策、回避表决等公允程序，及时进行信息披露，保 证不通过关联交易损害本公司及本公司其他股东的合法权益；保证不要求或不接受 本公司在任何一项市场公平交易中给予中国电子信息产业集团有限公司及其控制的 其他企业优于给予第三者的条件；保证将依照本公司公司章程行使相应权利，承担 相应义务，不利用实际控制人的身份谋取不正当利益，不利用关联交易非法转移本 公司的资金、利润，保证不损害本公司其他股东的合法权益。</w:t>
      </w:r>
    </w:p>
    <w:p>
      <w:pPr>
        <w:spacing w:after="0" w:line="348" w:lineRule="auto"/>
        <w:jc w:val="left"/>
        <w:sectPr>
          <w:pgSz w:w="11910" w:h="16840"/>
          <w:pgMar w:header="0" w:footer="1001" w:top="1520" w:bottom="1200" w:left="1660" w:right="0"/>
        </w:sectPr>
      </w:pPr>
    </w:p>
    <w:p>
      <w:pPr>
        <w:spacing w:line="240" w:lineRule="auto" w:before="8"/>
        <w:rPr>
          <w:rFonts w:ascii="宋体" w:hAnsi="宋体" w:cs="宋体" w:eastAsia="宋体" w:hint="default"/>
          <w:sz w:val="13"/>
          <w:szCs w:val="13"/>
        </w:rPr>
      </w:pPr>
    </w:p>
    <w:p>
      <w:pPr>
        <w:pStyle w:val="BodyText"/>
        <w:spacing w:line="350" w:lineRule="auto" w:before="35"/>
        <w:ind w:left="851" w:right="1813"/>
        <w:jc w:val="left"/>
      </w:pPr>
      <w:r>
        <w:rPr/>
        <w:t>如违反上述承诺，愿意承担由此产生的全部责任，充分赔偿或补偿由此给本公司造 成的所有直接或间接损失。 上述承诺在中国电子信息产业集团有限公司对本公司拥有由资本因素或非资本因素 形成的直接或间接的控制权或对本公司存在重大影响期间持续有效，且不可变更或 撤销。</w:t>
      </w:r>
    </w:p>
    <w:p>
      <w:pPr>
        <w:pStyle w:val="BodyText"/>
        <w:spacing w:line="343" w:lineRule="auto" w:before="28"/>
        <w:ind w:left="851" w:right="1813"/>
        <w:jc w:val="left"/>
      </w:pPr>
      <w:r>
        <w:rPr>
          <w:spacing w:val="-1"/>
        </w:rPr>
        <w:t>（</w:t>
      </w:r>
      <w:r>
        <w:rPr>
          <w:rFonts w:ascii="Times New Roman" w:hAnsi="Times New Roman" w:cs="Times New Roman" w:eastAsia="Times New Roman" w:hint="default"/>
          <w:spacing w:val="-1"/>
        </w:rPr>
        <w:t>2</w:t>
      </w:r>
      <w:r>
        <w:rPr>
          <w:spacing w:val="-1"/>
        </w:rPr>
        <w:t>）</w:t>
      </w:r>
      <w:r>
        <w:rPr>
          <w:rFonts w:ascii="Times New Roman" w:hAnsi="Times New Roman" w:cs="Times New Roman" w:eastAsia="Times New Roman" w:hint="default"/>
          <w:spacing w:val="-1"/>
        </w:rPr>
        <w:t>2017 </w:t>
      </w:r>
      <w:r>
        <w:rPr/>
        <w:t>年</w:t>
      </w:r>
      <w:r>
        <w:rPr>
          <w:spacing w:val="-53"/>
        </w:rPr>
        <w:t> </w:t>
      </w:r>
      <w:r>
        <w:rPr>
          <w:rFonts w:ascii="Times New Roman" w:hAnsi="Times New Roman" w:cs="Times New Roman" w:eastAsia="Times New Roman" w:hint="default"/>
        </w:rPr>
        <w:t>1 </w:t>
      </w:r>
      <w:r>
        <w:rPr/>
        <w:t>月</w:t>
      </w:r>
      <w:r>
        <w:rPr>
          <w:spacing w:val="-54"/>
        </w:rPr>
        <w:t> </w:t>
      </w:r>
      <w:r>
        <w:rPr>
          <w:rFonts w:ascii="Times New Roman" w:hAnsi="Times New Roman" w:cs="Times New Roman" w:eastAsia="Times New Roman" w:hint="default"/>
          <w:spacing w:val="-1"/>
        </w:rPr>
        <w:t>20</w:t>
      </w:r>
      <w:r>
        <w:rPr>
          <w:rFonts w:ascii="Times New Roman" w:hAnsi="Times New Roman" w:cs="Times New Roman" w:eastAsia="Times New Roman" w:hint="default"/>
        </w:rPr>
        <w:t> </w:t>
      </w:r>
      <w:r>
        <w:rPr>
          <w:spacing w:val="-6"/>
        </w:rPr>
        <w:t>日保证上市公司独立性承诺（长期有效）：</w:t>
      </w:r>
      <w:r>
        <w:rPr>
          <w:spacing w:val="-94"/>
        </w:rPr>
        <w:t> </w:t>
      </w:r>
      <w:r>
        <w:rPr>
          <w:spacing w:val="-94"/>
        </w:rPr>
      </w:r>
      <w:r>
        <w:rPr/>
        <w:t>在本次交易完成后，保证本公司在人员、资产、财务、机构及业务方面与中国电子 信息产业集团有限公司控制的其他企业完全分开，保持上市公司在业务、资产、人 员、财务和机构方面的独立。</w:t>
      </w:r>
    </w:p>
    <w:p>
      <w:pPr>
        <w:pStyle w:val="BodyText"/>
        <w:spacing w:line="240" w:lineRule="auto" w:before="34"/>
        <w:ind w:left="851" w:right="1793"/>
        <w:jc w:val="left"/>
      </w:pPr>
      <w:r>
        <w:rPr/>
        <w:t>（</w:t>
      </w:r>
      <w:r>
        <w:rPr>
          <w:rFonts w:ascii="Times New Roman" w:hAnsi="Times New Roman" w:cs="Times New Roman" w:eastAsia="Times New Roman" w:hint="default"/>
        </w:rPr>
        <w:t>3</w:t>
      </w:r>
      <w:r>
        <w:rPr/>
        <w:t>）</w:t>
      </w:r>
      <w:r>
        <w:rPr>
          <w:rFonts w:ascii="Times New Roman" w:hAnsi="Times New Roman" w:cs="Times New Roman" w:eastAsia="Times New Roman" w:hint="default"/>
          <w:spacing w:val="-1"/>
        </w:rPr>
        <w:t>2</w:t>
      </w:r>
      <w:r>
        <w:rPr>
          <w:rFonts w:ascii="Times New Roman" w:hAnsi="Times New Roman" w:cs="Times New Roman" w:eastAsia="Times New Roman" w:hint="default"/>
        </w:rPr>
        <w:t>0</w:t>
      </w:r>
      <w:r>
        <w:rPr>
          <w:rFonts w:ascii="Times New Roman" w:hAnsi="Times New Roman" w:cs="Times New Roman" w:eastAsia="Times New Roman" w:hint="default"/>
          <w:spacing w:val="-1"/>
        </w:rPr>
        <w:t>1</w:t>
      </w:r>
      <w:r>
        <w:rPr>
          <w:rFonts w:ascii="Times New Roman" w:hAnsi="Times New Roman" w:cs="Times New Roman" w:eastAsia="Times New Roman" w:hint="default"/>
        </w:rPr>
        <w:t>7</w:t>
      </w:r>
      <w:r>
        <w:rPr>
          <w:rFonts w:ascii="Times New Roman" w:hAnsi="Times New Roman" w:cs="Times New Roman" w:eastAsia="Times New Roman" w:hint="default"/>
          <w:spacing w:val="-1"/>
        </w:rPr>
        <w:t> </w:t>
      </w:r>
      <w:r>
        <w:rPr/>
        <w:t>年</w:t>
      </w:r>
      <w:r>
        <w:rPr>
          <w:spacing w:val="-53"/>
        </w:rPr>
        <w:t> </w:t>
      </w:r>
      <w:r>
        <w:rPr>
          <w:rFonts w:ascii="Times New Roman" w:hAnsi="Times New Roman" w:cs="Times New Roman" w:eastAsia="Times New Roman" w:hint="default"/>
        </w:rPr>
        <w:t>1 </w:t>
      </w:r>
      <w:r>
        <w:rPr/>
        <w:t>月</w:t>
      </w:r>
      <w:r>
        <w:rPr>
          <w:spacing w:val="-54"/>
        </w:rPr>
        <w:t> </w:t>
      </w:r>
      <w:r>
        <w:rPr>
          <w:rFonts w:ascii="Times New Roman" w:hAnsi="Times New Roman" w:cs="Times New Roman" w:eastAsia="Times New Roman" w:hint="default"/>
          <w:spacing w:val="-1"/>
        </w:rPr>
        <w:t>2</w:t>
      </w:r>
      <w:r>
        <w:rPr>
          <w:rFonts w:ascii="Times New Roman" w:hAnsi="Times New Roman" w:cs="Times New Roman" w:eastAsia="Times New Roman" w:hint="default"/>
        </w:rPr>
        <w:t>0 </w:t>
      </w:r>
      <w:r>
        <w:rPr>
          <w:spacing w:val="-2"/>
        </w:rPr>
        <w:t>日</w:t>
      </w:r>
      <w:r>
        <w:rPr/>
        <w:t>业绩承诺及补偿安排（有效期截至</w:t>
      </w:r>
      <w:r>
        <w:rPr>
          <w:spacing w:val="-53"/>
        </w:rPr>
        <w:t> </w:t>
      </w:r>
      <w:r>
        <w:rPr>
          <w:rFonts w:ascii="Times New Roman" w:hAnsi="Times New Roman" w:cs="Times New Roman" w:eastAsia="Times New Roman" w:hint="default"/>
          <w:spacing w:val="-1"/>
        </w:rPr>
        <w:t>2</w:t>
      </w:r>
      <w:r>
        <w:rPr>
          <w:rFonts w:ascii="Times New Roman" w:hAnsi="Times New Roman" w:cs="Times New Roman" w:eastAsia="Times New Roman" w:hint="default"/>
        </w:rPr>
        <w:t>0</w:t>
      </w:r>
      <w:r>
        <w:rPr>
          <w:rFonts w:ascii="Times New Roman" w:hAnsi="Times New Roman" w:cs="Times New Roman" w:eastAsia="Times New Roman" w:hint="default"/>
          <w:spacing w:val="-1"/>
        </w:rPr>
        <w:t>2</w:t>
      </w:r>
      <w:r>
        <w:rPr>
          <w:rFonts w:ascii="Times New Roman" w:hAnsi="Times New Roman" w:cs="Times New Roman" w:eastAsia="Times New Roman" w:hint="default"/>
        </w:rPr>
        <w:t>0 </w:t>
      </w:r>
      <w:r>
        <w:rPr/>
        <w:t>年</w:t>
      </w:r>
      <w:r>
        <w:rPr>
          <w:spacing w:val="-105"/>
        </w:rPr>
        <w:t>）</w:t>
      </w:r>
      <w:r>
        <w:rPr/>
        <w:t>：</w:t>
      </w:r>
    </w:p>
    <w:p>
      <w:pPr>
        <w:pStyle w:val="BodyText"/>
        <w:spacing w:line="340" w:lineRule="auto" w:before="110"/>
        <w:ind w:left="851" w:right="1791"/>
        <w:jc w:val="left"/>
      </w:pPr>
      <w:r>
        <w:rPr/>
        <w:t>中国电子信息产业集团有限公司对标的公司在本次交易实施完毕当年及其后</w:t>
      </w:r>
      <w:r>
        <w:rPr>
          <w:spacing w:val="-55"/>
        </w:rPr>
        <w:t> </w:t>
      </w:r>
      <w:r>
        <w:rPr>
          <w:rFonts w:ascii="Times New Roman" w:hAnsi="Times New Roman" w:cs="Times New Roman" w:eastAsia="Times New Roman" w:hint="default"/>
        </w:rPr>
        <w:t>2</w:t>
      </w:r>
      <w:r>
        <w:rPr>
          <w:rFonts w:ascii="Times New Roman" w:hAnsi="Times New Roman" w:cs="Times New Roman" w:eastAsia="Times New Roman" w:hint="default"/>
          <w:spacing w:val="-2"/>
        </w:rPr>
        <w:t> </w:t>
      </w:r>
      <w:r>
        <w:rPr/>
        <w:t>个会</w:t>
      </w:r>
      <w:r>
        <w:rPr>
          <w:spacing w:val="-2"/>
        </w:rPr>
        <w:t> </w:t>
      </w:r>
      <w:r>
        <w:rPr/>
        <w:t>计年度的具体每年的盈利承诺数如下：武汉中原电子集团有限公司盈利承诺数为</w:t>
      </w:r>
      <w:r>
        <w:rPr/>
        <w:t> </w:t>
      </w:r>
      <w:r>
        <w:rPr>
          <w:rFonts w:ascii="Times New Roman" w:hAnsi="Times New Roman" w:cs="Times New Roman" w:eastAsia="Times New Roman" w:hint="default"/>
        </w:rPr>
        <w:t>18,182.84 </w:t>
      </w:r>
      <w:r>
        <w:rPr/>
        <w:t>万元、</w:t>
      </w:r>
      <w:r>
        <w:rPr>
          <w:rFonts w:ascii="Times New Roman" w:hAnsi="Times New Roman" w:cs="Times New Roman" w:eastAsia="Times New Roman" w:hint="default"/>
        </w:rPr>
        <w:t>18,495.39 </w:t>
      </w:r>
      <w:r>
        <w:rPr/>
        <w:t>万元、</w:t>
      </w:r>
      <w:r>
        <w:rPr>
          <w:rFonts w:ascii="Times New Roman" w:hAnsi="Times New Roman" w:cs="Times New Roman" w:eastAsia="Times New Roman" w:hint="default"/>
        </w:rPr>
        <w:t>20,329.37</w:t>
      </w:r>
      <w:r>
        <w:rPr>
          <w:rFonts w:ascii="Times New Roman" w:hAnsi="Times New Roman" w:cs="Times New Roman" w:eastAsia="Times New Roman" w:hint="default"/>
          <w:spacing w:val="-10"/>
        </w:rPr>
        <w:t> </w:t>
      </w:r>
      <w:r>
        <w:rPr/>
        <w:t>万元；北京圣非凡电子系统技术开发有 限公司盈利承诺数为</w:t>
      </w:r>
      <w:r>
        <w:rPr>
          <w:spacing w:val="-50"/>
        </w:rPr>
        <w:t> </w:t>
      </w:r>
      <w:r>
        <w:rPr>
          <w:rFonts w:ascii="Times New Roman" w:hAnsi="Times New Roman" w:cs="Times New Roman" w:eastAsia="Times New Roman" w:hint="default"/>
        </w:rPr>
        <w:t>7,146.38</w:t>
      </w:r>
      <w:r>
        <w:rPr>
          <w:rFonts w:ascii="Times New Roman" w:hAnsi="Times New Roman" w:cs="Times New Roman" w:eastAsia="Times New Roman" w:hint="default"/>
          <w:spacing w:val="3"/>
        </w:rPr>
        <w:t> </w:t>
      </w:r>
      <w:r>
        <w:rPr>
          <w:spacing w:val="-3"/>
        </w:rPr>
        <w:t>万元、</w:t>
      </w:r>
      <w:r>
        <w:rPr>
          <w:rFonts w:ascii="Times New Roman" w:hAnsi="Times New Roman" w:cs="Times New Roman" w:eastAsia="Times New Roman" w:hint="default"/>
          <w:spacing w:val="-3"/>
        </w:rPr>
        <w:t>7,160.17</w:t>
      </w:r>
      <w:r>
        <w:rPr>
          <w:rFonts w:ascii="Times New Roman" w:hAnsi="Times New Roman" w:cs="Times New Roman" w:eastAsia="Times New Roman" w:hint="default"/>
          <w:spacing w:val="4"/>
        </w:rPr>
        <w:t> </w:t>
      </w:r>
      <w:r>
        <w:rPr>
          <w:spacing w:val="-3"/>
        </w:rPr>
        <w:t>万元、</w:t>
      </w:r>
      <w:r>
        <w:rPr>
          <w:rFonts w:ascii="Times New Roman" w:hAnsi="Times New Roman" w:cs="Times New Roman" w:eastAsia="Times New Roman" w:hint="default"/>
          <w:spacing w:val="-3"/>
        </w:rPr>
        <w:t>8,418.46</w:t>
      </w:r>
      <w:r>
        <w:rPr>
          <w:rFonts w:ascii="Times New Roman" w:hAnsi="Times New Roman" w:cs="Times New Roman" w:eastAsia="Times New Roman" w:hint="default"/>
          <w:spacing w:val="3"/>
        </w:rPr>
        <w:t> </w:t>
      </w:r>
      <w:r>
        <w:rPr>
          <w:spacing w:val="-3"/>
        </w:rPr>
        <w:t>万元。该承诺净利润不</w:t>
      </w:r>
      <w:r>
        <w:rPr/>
        <w:t> 包括募集配套资金的项目所产生的收益。 本公司及中国电子信息产业集团有限公司确认本次交易完成后，标的公司在本次交 易实施完毕当年及其后</w:t>
      </w:r>
      <w:r>
        <w:rPr>
          <w:spacing w:val="-54"/>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 </w:t>
      </w:r>
      <w:r>
        <w:rPr/>
        <w:t>个会计年度的累计实现净利润应不低于累计承诺净利润， 否则中国电子信息产业集团有限公司应按照《盈利预测补偿协议》规定对本公司予 以补偿。</w:t>
      </w:r>
    </w:p>
    <w:p>
      <w:pPr>
        <w:pStyle w:val="BodyText"/>
        <w:spacing w:line="340" w:lineRule="auto" w:before="38"/>
        <w:ind w:left="851" w:right="1813"/>
        <w:jc w:val="left"/>
      </w:pPr>
      <w:r>
        <w:rPr>
          <w:spacing w:val="-1"/>
        </w:rPr>
        <w:t>（</w:t>
      </w:r>
      <w:r>
        <w:rPr>
          <w:rFonts w:ascii="Times New Roman" w:hAnsi="Times New Roman" w:cs="Times New Roman" w:eastAsia="Times New Roman" w:hint="default"/>
          <w:spacing w:val="-1"/>
        </w:rPr>
        <w:t>4</w:t>
      </w:r>
      <w:r>
        <w:rPr>
          <w:spacing w:val="-1"/>
        </w:rPr>
        <w:t>）</w:t>
      </w:r>
      <w:r>
        <w:rPr>
          <w:rFonts w:ascii="Times New Roman" w:hAnsi="Times New Roman" w:cs="Times New Roman" w:eastAsia="Times New Roman" w:hint="default"/>
          <w:spacing w:val="-1"/>
        </w:rPr>
        <w:t>2017 </w:t>
      </w:r>
      <w:r>
        <w:rPr/>
        <w:t>年</w:t>
      </w:r>
      <w:r>
        <w:rPr>
          <w:spacing w:val="-53"/>
        </w:rPr>
        <w:t> </w:t>
      </w:r>
      <w:r>
        <w:rPr>
          <w:rFonts w:ascii="Times New Roman" w:hAnsi="Times New Roman" w:cs="Times New Roman" w:eastAsia="Times New Roman" w:hint="default"/>
        </w:rPr>
        <w:t>1 </w:t>
      </w:r>
      <w:r>
        <w:rPr/>
        <w:t>月</w:t>
      </w:r>
      <w:r>
        <w:rPr>
          <w:spacing w:val="-54"/>
        </w:rPr>
        <w:t> </w:t>
      </w:r>
      <w:r>
        <w:rPr>
          <w:rFonts w:ascii="Times New Roman" w:hAnsi="Times New Roman" w:cs="Times New Roman" w:eastAsia="Times New Roman" w:hint="default"/>
          <w:spacing w:val="-1"/>
        </w:rPr>
        <w:t>13</w:t>
      </w:r>
      <w:r>
        <w:rPr>
          <w:rFonts w:ascii="Times New Roman" w:hAnsi="Times New Roman" w:cs="Times New Roman" w:eastAsia="Times New Roman" w:hint="default"/>
        </w:rPr>
        <w:t> </w:t>
      </w:r>
      <w:r>
        <w:rPr>
          <w:spacing w:val="-1"/>
        </w:rPr>
        <w:t>日股份限售承诺（有效期截至</w:t>
      </w:r>
      <w:r>
        <w:rPr>
          <w:spacing w:val="-53"/>
        </w:rPr>
        <w:t> </w:t>
      </w:r>
      <w:r>
        <w:rPr>
          <w:rFonts w:ascii="Times New Roman" w:hAnsi="Times New Roman" w:cs="Times New Roman" w:eastAsia="Times New Roman" w:hint="default"/>
          <w:spacing w:val="-1"/>
        </w:rPr>
        <w:t>2020</w:t>
      </w:r>
      <w:r>
        <w:rPr>
          <w:rFonts w:ascii="Times New Roman" w:hAnsi="Times New Roman" w:cs="Times New Roman" w:eastAsia="Times New Roman" w:hint="default"/>
        </w:rPr>
        <w:t> </w:t>
      </w:r>
      <w:r>
        <w:rPr/>
        <w:t>年</w:t>
      </w:r>
      <w:r>
        <w:rPr>
          <w:spacing w:val="-54"/>
        </w:rPr>
        <w:t> </w:t>
      </w:r>
      <w:r>
        <w:rPr>
          <w:rFonts w:ascii="Times New Roman" w:hAnsi="Times New Roman" w:cs="Times New Roman" w:eastAsia="Times New Roman" w:hint="default"/>
        </w:rPr>
        <w:t>7 </w:t>
      </w:r>
      <w:r>
        <w:rPr/>
        <w:t>月</w:t>
      </w:r>
      <w:r>
        <w:rPr>
          <w:spacing w:val="-54"/>
        </w:rPr>
        <w:t> </w:t>
      </w:r>
      <w:r>
        <w:rPr>
          <w:rFonts w:ascii="Times New Roman" w:hAnsi="Times New Roman" w:cs="Times New Roman" w:eastAsia="Times New Roman" w:hint="default"/>
        </w:rPr>
        <w:t>23 </w:t>
      </w:r>
      <w:r>
        <w:rPr>
          <w:spacing w:val="-36"/>
        </w:rPr>
        <w:t>日）：</w:t>
      </w:r>
      <w:r>
        <w:rPr>
          <w:spacing w:val="-93"/>
        </w:rPr>
        <w:t> </w:t>
      </w:r>
      <w:r>
        <w:rPr>
          <w:spacing w:val="-93"/>
        </w:rPr>
      </w:r>
      <w:r>
        <w:rPr/>
        <w:t>本次重大资产重组完成后，中国电子信息产业集团有限公司持有的长城信息股份相 应变更为本公司股份并自发行上市之日起</w:t>
      </w:r>
      <w:r>
        <w:rPr>
          <w:spacing w:val="-54"/>
        </w:rPr>
        <w:t> </w:t>
      </w:r>
      <w:r>
        <w:rPr>
          <w:rFonts w:ascii="Times New Roman" w:hAnsi="Times New Roman" w:cs="Times New Roman" w:eastAsia="Times New Roman" w:hint="default"/>
        </w:rPr>
        <w:t>36</w:t>
      </w:r>
      <w:r>
        <w:rPr>
          <w:rFonts w:ascii="Times New Roman" w:hAnsi="Times New Roman" w:cs="Times New Roman" w:eastAsia="Times New Roman" w:hint="default"/>
          <w:spacing w:val="-1"/>
        </w:rPr>
        <w:t> </w:t>
      </w:r>
      <w:r>
        <w:rPr/>
        <w:t>个月内不转让该等通过本次换股合并 而取得的本公司股份，之后按照中国证监会及深交所的有关规定执行。 本次重大资产重组完成后，中国电子信息产业集团有限公司以资产认购的本公司新 增股份自股份发行上市之日起</w:t>
      </w:r>
      <w:r>
        <w:rPr>
          <w:spacing w:val="-55"/>
        </w:rPr>
        <w:t> </w:t>
      </w:r>
      <w:r>
        <w:rPr>
          <w:rFonts w:ascii="Times New Roman" w:hAnsi="Times New Roman" w:cs="Times New Roman" w:eastAsia="Times New Roman" w:hint="default"/>
        </w:rPr>
        <w:t>36</w:t>
      </w:r>
      <w:r>
        <w:rPr>
          <w:rFonts w:ascii="Times New Roman" w:hAnsi="Times New Roman" w:cs="Times New Roman" w:eastAsia="Times New Roman" w:hint="default"/>
          <w:spacing w:val="-2"/>
        </w:rPr>
        <w:t> </w:t>
      </w:r>
      <w:r>
        <w:rPr/>
        <w:t>个月内不转让。</w:t>
      </w:r>
    </w:p>
    <w:p>
      <w:pPr>
        <w:pStyle w:val="BodyText"/>
        <w:spacing w:line="240" w:lineRule="auto" w:before="12"/>
        <w:ind w:left="851" w:right="1682"/>
        <w:jc w:val="left"/>
      </w:pPr>
      <w:r>
        <w:rPr/>
        <w:t>本次交易完成后</w:t>
      </w:r>
      <w:r>
        <w:rPr>
          <w:spacing w:val="-53"/>
        </w:rPr>
        <w:t> </w:t>
      </w:r>
      <w:r>
        <w:rPr>
          <w:rFonts w:ascii="Times New Roman" w:hAnsi="Times New Roman" w:cs="Times New Roman" w:eastAsia="Times New Roman" w:hint="default"/>
        </w:rPr>
        <w:t>6 </w:t>
      </w:r>
      <w:r>
        <w:rPr>
          <w:spacing w:val="-6"/>
        </w:rPr>
        <w:t>个月内，如本公司股票连续</w:t>
      </w:r>
      <w:r>
        <w:rPr>
          <w:spacing w:val="-53"/>
        </w:rPr>
        <w:t> </w:t>
      </w:r>
      <w:r>
        <w:rPr>
          <w:rFonts w:ascii="Times New Roman" w:hAnsi="Times New Roman" w:cs="Times New Roman" w:eastAsia="Times New Roman" w:hint="default"/>
        </w:rPr>
        <w:t>20</w:t>
      </w:r>
      <w:r>
        <w:rPr>
          <w:rFonts w:ascii="Times New Roman" w:hAnsi="Times New Roman" w:cs="Times New Roman" w:eastAsia="Times New Roman" w:hint="default"/>
          <w:spacing w:val="-1"/>
        </w:rPr>
        <w:t> </w:t>
      </w:r>
      <w:r>
        <w:rPr/>
        <w:t>个交易日的收盘价低于其发行股份</w:t>
      </w:r>
    </w:p>
    <w:p>
      <w:pPr>
        <w:pStyle w:val="BodyText"/>
        <w:spacing w:line="240" w:lineRule="auto"/>
        <w:ind w:left="851" w:right="1793"/>
        <w:jc w:val="left"/>
      </w:pPr>
      <w:r>
        <w:rPr/>
        <w:t>购买资产的发行价格，或者交易完成后</w:t>
      </w:r>
      <w:r>
        <w:rPr>
          <w:spacing w:val="-54"/>
        </w:rPr>
        <w:t> </w:t>
      </w:r>
      <w:r>
        <w:rPr>
          <w:rFonts w:ascii="Times New Roman" w:hAnsi="Times New Roman" w:cs="Times New Roman" w:eastAsia="Times New Roman" w:hint="default"/>
        </w:rPr>
        <w:t>6</w:t>
      </w:r>
      <w:r>
        <w:rPr>
          <w:rFonts w:ascii="Times New Roman" w:hAnsi="Times New Roman" w:cs="Times New Roman" w:eastAsia="Times New Roman" w:hint="default"/>
          <w:spacing w:val="-1"/>
        </w:rPr>
        <w:t> </w:t>
      </w:r>
      <w:r>
        <w:rPr/>
        <w:t>个月期末收盘价低于其发行股份购买资产</w:t>
      </w:r>
    </w:p>
    <w:p>
      <w:pPr>
        <w:pStyle w:val="BodyText"/>
        <w:spacing w:line="240" w:lineRule="auto"/>
        <w:ind w:left="851" w:right="1682"/>
        <w:jc w:val="left"/>
        <w:rPr>
          <w:rFonts w:ascii="Times New Roman" w:hAnsi="Times New Roman" w:cs="Times New Roman" w:eastAsia="Times New Roman" w:hint="default"/>
        </w:rPr>
      </w:pPr>
      <w:r>
        <w:rPr/>
        <w:t>发行价格的，则以上中国电子信息产业集团有限公司作出的股份锁定期承诺将在</w:t>
      </w:r>
      <w:r>
        <w:rPr>
          <w:spacing w:val="-69"/>
        </w:rPr>
        <w:t> </w:t>
      </w:r>
      <w:r>
        <w:rPr>
          <w:rFonts w:ascii="Times New Roman" w:hAnsi="Times New Roman" w:cs="Times New Roman" w:eastAsia="Times New Roman" w:hint="default"/>
        </w:rPr>
        <w:t>36</w:t>
      </w:r>
    </w:p>
    <w:p>
      <w:pPr>
        <w:pStyle w:val="BodyText"/>
        <w:spacing w:line="328" w:lineRule="auto" w:before="110"/>
        <w:ind w:left="851" w:right="3703"/>
        <w:jc w:val="left"/>
      </w:pPr>
      <w:r>
        <w:rPr/>
        <w:t>个月的基础上自动延长</w:t>
      </w:r>
      <w:r>
        <w:rPr>
          <w:spacing w:val="-53"/>
        </w:rPr>
        <w:t> </w:t>
      </w:r>
      <w:r>
        <w:rPr>
          <w:rFonts w:ascii="Times New Roman" w:hAnsi="Times New Roman" w:cs="Times New Roman" w:eastAsia="Times New Roman" w:hint="default"/>
        </w:rPr>
        <w:t>6 </w:t>
      </w:r>
      <w:r>
        <w:rPr/>
        <w:t>个月。 湖南计算机厂有限公司在公司重大资产重组项目中作出承诺：</w:t>
      </w:r>
    </w:p>
    <w:p>
      <w:pPr>
        <w:pStyle w:val="BodyText"/>
        <w:spacing w:line="319" w:lineRule="auto" w:before="47"/>
        <w:ind w:left="851" w:right="1813"/>
        <w:jc w:val="left"/>
      </w:pPr>
      <w:r>
        <w:rPr>
          <w:spacing w:val="-1"/>
        </w:rPr>
        <w:t>（</w:t>
      </w:r>
      <w:r>
        <w:rPr>
          <w:rFonts w:ascii="Times New Roman" w:hAnsi="Times New Roman" w:cs="Times New Roman" w:eastAsia="Times New Roman" w:hint="default"/>
          <w:spacing w:val="-1"/>
        </w:rPr>
        <w:t>5</w:t>
      </w:r>
      <w:r>
        <w:rPr>
          <w:spacing w:val="-1"/>
        </w:rPr>
        <w:t>）</w:t>
      </w:r>
      <w:r>
        <w:rPr>
          <w:rFonts w:ascii="Times New Roman" w:hAnsi="Times New Roman" w:cs="Times New Roman" w:eastAsia="Times New Roman" w:hint="default"/>
          <w:spacing w:val="-1"/>
        </w:rPr>
        <w:t>2017 </w:t>
      </w:r>
      <w:r>
        <w:rPr/>
        <w:t>年</w:t>
      </w:r>
      <w:r>
        <w:rPr>
          <w:spacing w:val="-53"/>
        </w:rPr>
        <w:t> </w:t>
      </w:r>
      <w:r>
        <w:rPr>
          <w:rFonts w:ascii="Times New Roman" w:hAnsi="Times New Roman" w:cs="Times New Roman" w:eastAsia="Times New Roman" w:hint="default"/>
        </w:rPr>
        <w:t>1 </w:t>
      </w:r>
      <w:r>
        <w:rPr/>
        <w:t>月</w:t>
      </w:r>
      <w:r>
        <w:rPr>
          <w:spacing w:val="-54"/>
        </w:rPr>
        <w:t> </w:t>
      </w:r>
      <w:r>
        <w:rPr>
          <w:rFonts w:ascii="Times New Roman" w:hAnsi="Times New Roman" w:cs="Times New Roman" w:eastAsia="Times New Roman" w:hint="default"/>
          <w:spacing w:val="-1"/>
        </w:rPr>
        <w:t>13</w:t>
      </w:r>
      <w:r>
        <w:rPr>
          <w:rFonts w:ascii="Times New Roman" w:hAnsi="Times New Roman" w:cs="Times New Roman" w:eastAsia="Times New Roman" w:hint="default"/>
        </w:rPr>
        <w:t> </w:t>
      </w:r>
      <w:r>
        <w:rPr>
          <w:spacing w:val="-1"/>
        </w:rPr>
        <w:t>日股份限售承诺（有效期截至</w:t>
      </w:r>
      <w:r>
        <w:rPr>
          <w:spacing w:val="-53"/>
        </w:rPr>
        <w:t> </w:t>
      </w:r>
      <w:r>
        <w:rPr>
          <w:rFonts w:ascii="Times New Roman" w:hAnsi="Times New Roman" w:cs="Times New Roman" w:eastAsia="Times New Roman" w:hint="default"/>
          <w:spacing w:val="-1"/>
        </w:rPr>
        <w:t>2020</w:t>
      </w:r>
      <w:r>
        <w:rPr>
          <w:rFonts w:ascii="Times New Roman" w:hAnsi="Times New Roman" w:cs="Times New Roman" w:eastAsia="Times New Roman" w:hint="default"/>
        </w:rPr>
        <w:t> </w:t>
      </w:r>
      <w:r>
        <w:rPr/>
        <w:t>年</w:t>
      </w:r>
      <w:r>
        <w:rPr>
          <w:spacing w:val="-54"/>
        </w:rPr>
        <w:t> </w:t>
      </w:r>
      <w:r>
        <w:rPr>
          <w:rFonts w:ascii="Times New Roman" w:hAnsi="Times New Roman" w:cs="Times New Roman" w:eastAsia="Times New Roman" w:hint="default"/>
        </w:rPr>
        <w:t>7 </w:t>
      </w:r>
      <w:r>
        <w:rPr/>
        <w:t>月</w:t>
      </w:r>
      <w:r>
        <w:rPr>
          <w:spacing w:val="-54"/>
        </w:rPr>
        <w:t> </w:t>
      </w:r>
      <w:r>
        <w:rPr>
          <w:rFonts w:ascii="Times New Roman" w:hAnsi="Times New Roman" w:cs="Times New Roman" w:eastAsia="Times New Roman" w:hint="default"/>
        </w:rPr>
        <w:t>17 </w:t>
      </w:r>
      <w:r>
        <w:rPr>
          <w:spacing w:val="-36"/>
        </w:rPr>
        <w:t>日）：</w:t>
      </w:r>
      <w:r>
        <w:rPr>
          <w:spacing w:val="-93"/>
        </w:rPr>
        <w:t> </w:t>
      </w:r>
      <w:r>
        <w:rPr>
          <w:spacing w:val="-93"/>
        </w:rPr>
      </w:r>
      <w:r>
        <w:rPr/>
        <w:t>本次重大资产重组完成后，湖南计算机厂有限公司持有的长城信息股份相应变更为 本公司股份并自发行上市之日起</w:t>
      </w:r>
      <w:r>
        <w:rPr>
          <w:spacing w:val="-54"/>
        </w:rPr>
        <w:t> </w:t>
      </w:r>
      <w:r>
        <w:rPr>
          <w:rFonts w:ascii="Times New Roman" w:hAnsi="Times New Roman" w:cs="Times New Roman" w:eastAsia="Times New Roman" w:hint="default"/>
        </w:rPr>
        <w:t>36</w:t>
      </w:r>
      <w:r>
        <w:rPr>
          <w:rFonts w:ascii="Times New Roman" w:hAnsi="Times New Roman" w:cs="Times New Roman" w:eastAsia="Times New Roman" w:hint="default"/>
          <w:spacing w:val="-2"/>
        </w:rPr>
        <w:t> </w:t>
      </w:r>
      <w:r>
        <w:rPr/>
        <w:t>个月内不转让该等通过本次换股合并而取得的 本公司股份，之后按照中国证监会及深交所的有关规定执行。</w:t>
      </w:r>
    </w:p>
    <w:p>
      <w:pPr>
        <w:spacing w:after="0" w:line="319" w:lineRule="auto"/>
        <w:jc w:val="left"/>
        <w:sectPr>
          <w:pgSz w:w="11910" w:h="16840"/>
          <w:pgMar w:header="0" w:footer="1001" w:top="1520" w:bottom="1200" w:left="1660" w:right="0"/>
        </w:sectPr>
      </w:pPr>
    </w:p>
    <w:p>
      <w:pPr>
        <w:spacing w:line="240" w:lineRule="auto" w:before="0"/>
        <w:rPr>
          <w:rFonts w:ascii="宋体" w:hAnsi="宋体" w:cs="宋体" w:eastAsia="宋体" w:hint="default"/>
          <w:sz w:val="12"/>
          <w:szCs w:val="12"/>
        </w:rPr>
      </w:pPr>
    </w:p>
    <w:p>
      <w:pPr>
        <w:pStyle w:val="BodyText"/>
        <w:spacing w:line="240" w:lineRule="auto" w:before="35"/>
        <w:ind w:left="851" w:right="0"/>
        <w:jc w:val="left"/>
      </w:pPr>
      <w:r>
        <w:rPr/>
        <w:t>本次交易完成后</w:t>
      </w:r>
      <w:r>
        <w:rPr>
          <w:spacing w:val="-69"/>
        </w:rPr>
        <w:t> </w:t>
      </w:r>
      <w:r>
        <w:rPr>
          <w:rFonts w:ascii="Times New Roman" w:hAnsi="Times New Roman" w:cs="Times New Roman" w:eastAsia="Times New Roman" w:hint="default"/>
        </w:rPr>
        <w:t>6</w:t>
      </w:r>
      <w:r>
        <w:rPr>
          <w:rFonts w:ascii="Times New Roman" w:hAnsi="Times New Roman" w:cs="Times New Roman" w:eastAsia="Times New Roman" w:hint="default"/>
          <w:spacing w:val="-16"/>
        </w:rPr>
        <w:t> </w:t>
      </w:r>
      <w:r>
        <w:rPr/>
        <w:t>个月</w:t>
      </w:r>
      <w:r>
        <w:rPr>
          <w:spacing w:val="-2"/>
        </w:rPr>
        <w:t>内</w:t>
      </w:r>
      <w:r>
        <w:rPr>
          <w:spacing w:val="-105"/>
        </w:rPr>
        <w:t>，</w:t>
      </w:r>
      <w:r>
        <w:rPr/>
        <w:t>如本公司</w:t>
      </w:r>
      <w:r>
        <w:rPr>
          <w:spacing w:val="-2"/>
        </w:rPr>
        <w:t>股</w:t>
      </w:r>
      <w:r>
        <w:rPr/>
        <w:t>票连续</w:t>
      </w:r>
      <w:r>
        <w:rPr>
          <w:spacing w:val="-69"/>
        </w:rPr>
        <w:t> </w:t>
      </w:r>
      <w:r>
        <w:rPr>
          <w:rFonts w:ascii="Times New Roman" w:hAnsi="Times New Roman" w:cs="Times New Roman" w:eastAsia="Times New Roman" w:hint="default"/>
        </w:rPr>
        <w:t>20</w:t>
      </w:r>
      <w:r>
        <w:rPr>
          <w:rFonts w:ascii="Times New Roman" w:hAnsi="Times New Roman" w:cs="Times New Roman" w:eastAsia="Times New Roman" w:hint="default"/>
          <w:spacing w:val="-16"/>
        </w:rPr>
        <w:t> </w:t>
      </w:r>
      <w:r>
        <w:rPr>
          <w:spacing w:val="-2"/>
        </w:rPr>
        <w:t>个</w:t>
      </w:r>
      <w:r>
        <w:rPr/>
        <w:t>交易日的收盘价低于其换股价格，</w:t>
      </w:r>
    </w:p>
    <w:p>
      <w:pPr>
        <w:pStyle w:val="BodyText"/>
        <w:spacing w:line="240" w:lineRule="auto" w:before="89"/>
        <w:ind w:left="851" w:right="1793"/>
        <w:jc w:val="left"/>
      </w:pPr>
      <w:r>
        <w:rPr/>
        <w:t>或者交易完成后</w:t>
      </w:r>
      <w:r>
        <w:rPr>
          <w:spacing w:val="-54"/>
        </w:rPr>
        <w:t> </w:t>
      </w:r>
      <w:r>
        <w:rPr>
          <w:rFonts w:ascii="Times New Roman" w:hAnsi="Times New Roman" w:cs="Times New Roman" w:eastAsia="Times New Roman" w:hint="default"/>
        </w:rPr>
        <w:t>6</w:t>
      </w:r>
      <w:r>
        <w:rPr>
          <w:rFonts w:ascii="Times New Roman" w:hAnsi="Times New Roman" w:cs="Times New Roman" w:eastAsia="Times New Roman" w:hint="default"/>
          <w:spacing w:val="-1"/>
        </w:rPr>
        <w:t> </w:t>
      </w:r>
      <w:r>
        <w:rPr/>
        <w:t>个月期末收盘价低于其换股价格的，则以上湖南计算机厂有限公</w:t>
      </w:r>
    </w:p>
    <w:p>
      <w:pPr>
        <w:pStyle w:val="BodyText"/>
        <w:spacing w:line="240" w:lineRule="auto" w:before="89"/>
        <w:ind w:left="851" w:right="1793"/>
        <w:jc w:val="left"/>
      </w:pPr>
      <w:r>
        <w:rPr/>
        <w:t>司作出的股份锁定期承诺将在</w:t>
      </w:r>
      <w:r>
        <w:rPr>
          <w:spacing w:val="-54"/>
        </w:rPr>
        <w:t> </w:t>
      </w:r>
      <w:r>
        <w:rPr>
          <w:rFonts w:ascii="Times New Roman" w:hAnsi="Times New Roman" w:cs="Times New Roman" w:eastAsia="Times New Roman" w:hint="default"/>
        </w:rPr>
        <w:t>36</w:t>
      </w:r>
      <w:r>
        <w:rPr>
          <w:rFonts w:ascii="Times New Roman" w:hAnsi="Times New Roman" w:cs="Times New Roman" w:eastAsia="Times New Roman" w:hint="default"/>
          <w:spacing w:val="-1"/>
        </w:rPr>
        <w:t> </w:t>
      </w:r>
      <w:r>
        <w:rPr/>
        <w:t>个月的基础上自动延长</w:t>
      </w:r>
      <w:r>
        <w:rPr>
          <w:spacing w:val="-54"/>
        </w:rPr>
        <w:t> </w:t>
      </w:r>
      <w:r>
        <w:rPr>
          <w:rFonts w:ascii="Times New Roman" w:hAnsi="Times New Roman" w:cs="Times New Roman" w:eastAsia="Times New Roman" w:hint="default"/>
        </w:rPr>
        <w:t>6</w:t>
      </w:r>
      <w:r>
        <w:rPr>
          <w:rFonts w:ascii="Times New Roman" w:hAnsi="Times New Roman" w:cs="Times New Roman" w:eastAsia="Times New Roman" w:hint="default"/>
          <w:spacing w:val="-2"/>
        </w:rPr>
        <w:t> </w:t>
      </w:r>
      <w:r>
        <w:rPr/>
        <w:t>个月。</w:t>
      </w:r>
    </w:p>
    <w:p>
      <w:pPr>
        <w:pStyle w:val="BodyText"/>
        <w:spacing w:line="240" w:lineRule="auto" w:before="88"/>
        <w:ind w:left="851" w:right="1793"/>
        <w:jc w:val="left"/>
      </w:pPr>
      <w:r>
        <w:rPr>
          <w:rFonts w:ascii="Times New Roman" w:hAnsi="Times New Roman" w:cs="Times New Roman" w:eastAsia="Times New Roman" w:hint="default"/>
        </w:rPr>
        <w:t>3</w:t>
      </w:r>
      <w:r>
        <w:rPr/>
        <w:t>、</w:t>
      </w:r>
      <w:r>
        <w:rPr>
          <w:rFonts w:ascii="Times New Roman" w:hAnsi="Times New Roman" w:cs="Times New Roman" w:eastAsia="Times New Roman" w:hint="default"/>
        </w:rPr>
        <w:t>2013</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spacing w:val="-4"/>
        </w:rPr>
        <w:t>11</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13</w:t>
      </w:r>
      <w:r>
        <w:rPr>
          <w:rFonts w:ascii="Times New Roman" w:hAnsi="Times New Roman" w:cs="Times New Roman" w:eastAsia="Times New Roman" w:hint="default"/>
          <w:spacing w:val="-1"/>
        </w:rPr>
        <w:t> </w:t>
      </w:r>
      <w:r>
        <w:rPr/>
        <w:t>日中国电子信息产业集团有限公司在本公司与集团财务公司金</w:t>
      </w:r>
    </w:p>
    <w:p>
      <w:pPr>
        <w:pStyle w:val="BodyText"/>
        <w:spacing w:line="326" w:lineRule="auto" w:before="89"/>
        <w:ind w:left="851" w:right="1813"/>
        <w:jc w:val="left"/>
      </w:pPr>
      <w:r>
        <w:rPr/>
        <w:t>融合作中所作承诺（有效期截至</w:t>
      </w:r>
      <w:r>
        <w:rPr>
          <w:spacing w:val="-53"/>
        </w:rPr>
        <w:t> </w:t>
      </w:r>
      <w:r>
        <w:rPr>
          <w:rFonts w:ascii="Times New Roman" w:hAnsi="Times New Roman" w:cs="Times New Roman" w:eastAsia="Times New Roman" w:hint="default"/>
          <w:spacing w:val="-1"/>
        </w:rPr>
        <w:t>2020</w:t>
      </w:r>
      <w:r>
        <w:rPr>
          <w:rFonts w:ascii="Times New Roman" w:hAnsi="Times New Roman" w:cs="Times New Roman" w:eastAsia="Times New Roman" w:hint="default"/>
        </w:rPr>
        <w:t> </w:t>
      </w:r>
      <w:r>
        <w:rPr/>
        <w:t>年</w:t>
      </w:r>
      <w:r>
        <w:rPr>
          <w:spacing w:val="-54"/>
        </w:rPr>
        <w:t> </w:t>
      </w:r>
      <w:r>
        <w:rPr>
          <w:rFonts w:ascii="Times New Roman" w:hAnsi="Times New Roman" w:cs="Times New Roman" w:eastAsia="Times New Roman" w:hint="default"/>
        </w:rPr>
        <w:t>3 </w:t>
      </w:r>
      <w:r>
        <w:rPr/>
        <w:t>月</w:t>
      </w:r>
      <w:r>
        <w:rPr>
          <w:spacing w:val="-54"/>
        </w:rPr>
        <w:t> </w:t>
      </w:r>
      <w:r>
        <w:rPr>
          <w:rFonts w:ascii="Times New Roman" w:hAnsi="Times New Roman" w:cs="Times New Roman" w:eastAsia="Times New Roman" w:hint="default"/>
        </w:rPr>
        <w:t>27</w:t>
      </w:r>
      <w:r>
        <w:rPr>
          <w:rFonts w:ascii="Times New Roman" w:hAnsi="Times New Roman" w:cs="Times New Roman" w:eastAsia="Times New Roman" w:hint="default"/>
          <w:spacing w:val="-1"/>
        </w:rPr>
        <w:t> </w:t>
      </w:r>
      <w:r>
        <w:rPr>
          <w:spacing w:val="-35"/>
        </w:rPr>
        <w:t>日）：</w:t>
      </w:r>
      <w:r>
        <w:rPr/>
        <w:t> 公司实际控制人中国电子信息产业集团有限公司承诺不会发生占用上市公司资金的 现象和可能。中国电子信息产业集团有限公司承诺当中国电子财务有限责任公司出 现支付困难的紧急情况时，按照解决支付困难的实际需要，增加相应的资本金。 </w:t>
      </w:r>
      <w:r>
        <w:rPr>
          <w:rFonts w:ascii="Times New Roman" w:hAnsi="Times New Roman" w:cs="Times New Roman" w:eastAsia="Times New Roman" w:hint="default"/>
        </w:rPr>
        <w:t>4</w:t>
      </w:r>
      <w:r>
        <w:rPr/>
        <w:t>、实施股票期权激励计划所作承诺（有效期截至</w:t>
      </w:r>
      <w:r>
        <w:rPr>
          <w:spacing w:val="-54"/>
        </w:rPr>
        <w:t> </w:t>
      </w:r>
      <w:r>
        <w:rPr>
          <w:rFonts w:ascii="Times New Roman" w:hAnsi="Times New Roman" w:cs="Times New Roman" w:eastAsia="Times New Roman" w:hint="default"/>
        </w:rPr>
        <w:t>2023</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15</w:t>
      </w:r>
      <w:r>
        <w:rPr>
          <w:rFonts w:ascii="Times New Roman" w:hAnsi="Times New Roman" w:cs="Times New Roman" w:eastAsia="Times New Roman" w:hint="default"/>
          <w:spacing w:val="-1"/>
        </w:rPr>
        <w:t> </w:t>
      </w:r>
      <w:r>
        <w:rPr/>
        <w:t>日） 公司承诺不为激励对象依股票期权激励计划获取有关股票期权提供贷款以及其他任 何形式的财务资助，包括为其贷款提供担保。 激励对象承诺，公司因信息披露文件中有虚假记载、误导性陈述或者重大遗漏，导 致不符合授予权益或行使权益安排的，激励对象应当自相关信息披露文件被确认存 在虚假记载、误导性陈述或者重大遗漏后，将由股票期权激励计划所获得的全部利 益返还公司。 </w:t>
      </w:r>
      <w:r>
        <w:rPr>
          <w:rFonts w:ascii="Times New Roman" w:hAnsi="Times New Roman" w:cs="Times New Roman" w:eastAsia="Times New Roman" w:hint="default"/>
        </w:rPr>
        <w:t>5</w:t>
      </w:r>
      <w:r>
        <w:rPr/>
        <w:t>、长城超云（北京）科技有限公司原股东业绩承诺及补偿安排（有效期截至</w:t>
      </w:r>
      <w:r>
        <w:rPr>
          <w:spacing w:val="-55"/>
        </w:rPr>
        <w:t> </w:t>
      </w:r>
      <w:r>
        <w:rPr>
          <w:rFonts w:ascii="Times New Roman" w:hAnsi="Times New Roman" w:cs="Times New Roman" w:eastAsia="Times New Roman" w:hint="default"/>
        </w:rPr>
        <w:t>2021 </w:t>
      </w:r>
      <w:r>
        <w:rPr/>
        <w:t>年）</w:t>
      </w:r>
    </w:p>
    <w:p>
      <w:pPr>
        <w:pStyle w:val="BodyText"/>
        <w:spacing w:line="314" w:lineRule="auto" w:before="30"/>
        <w:ind w:left="851" w:right="1675"/>
        <w:jc w:val="left"/>
      </w:pPr>
      <w:r>
        <w:rPr>
          <w:rFonts w:ascii="Times New Roman" w:hAnsi="Times New Roman" w:cs="Times New Roman" w:eastAsia="Times New Roman" w:hint="default"/>
        </w:rPr>
        <w:t>2018</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月，公司完成收购长城超云（北京）科技有限公司管理层股东</w:t>
      </w:r>
      <w:r>
        <w:rPr>
          <w:spacing w:val="-54"/>
        </w:rPr>
        <w:t> </w:t>
      </w:r>
      <w:r>
        <w:rPr>
          <w:rFonts w:ascii="Times New Roman" w:hAnsi="Times New Roman" w:cs="Times New Roman" w:eastAsia="Times New Roman" w:hint="default"/>
        </w:rPr>
        <w:t>4%</w:t>
      </w:r>
      <w:r>
        <w:rPr/>
        <w:t>股权并 向其增资人民币</w:t>
      </w:r>
      <w:r>
        <w:rPr>
          <w:spacing w:val="-48"/>
        </w:rPr>
        <w:t> </w:t>
      </w:r>
      <w:r>
        <w:rPr>
          <w:rFonts w:ascii="Times New Roman" w:hAnsi="Times New Roman" w:cs="Times New Roman" w:eastAsia="Times New Roman" w:hint="default"/>
        </w:rPr>
        <w:t>2</w:t>
      </w:r>
      <w:r>
        <w:rPr>
          <w:rFonts w:ascii="Times New Roman" w:hAnsi="Times New Roman" w:cs="Times New Roman" w:eastAsia="Times New Roman" w:hint="default"/>
          <w:spacing w:val="5"/>
        </w:rPr>
        <w:t> </w:t>
      </w:r>
      <w:r>
        <w:rPr>
          <w:spacing w:val="-4"/>
        </w:rPr>
        <w:t>亿元，公司持有长城超云（北京）科技有限公司股权比例为</w:t>
      </w:r>
      <w:r>
        <w:rPr>
          <w:spacing w:val="-48"/>
        </w:rPr>
        <w:t> </w:t>
      </w:r>
      <w:r>
        <w:rPr>
          <w:rFonts w:ascii="Times New Roman" w:hAnsi="Times New Roman" w:cs="Times New Roman" w:eastAsia="Times New Roman" w:hint="default"/>
        </w:rPr>
        <w:t>44%</w:t>
      </w:r>
      <w:r>
        <w:rPr/>
        <w:t>。 长城超云（北京）科技有限公司原股东承诺</w:t>
      </w:r>
      <w:r>
        <w:rPr>
          <w:spacing w:val="-54"/>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年度、</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年度、</w:t>
      </w:r>
      <w:r>
        <w:rPr>
          <w:rFonts w:ascii="Times New Roman" w:hAnsi="Times New Roman" w:cs="Times New Roman" w:eastAsia="Times New Roman" w:hint="default"/>
        </w:rPr>
        <w:t>2020</w:t>
      </w:r>
      <w:r>
        <w:rPr>
          <w:rFonts w:ascii="Times New Roman" w:hAnsi="Times New Roman" w:cs="Times New Roman" w:eastAsia="Times New Roman" w:hint="default"/>
          <w:spacing w:val="-1"/>
        </w:rPr>
        <w:t> </w:t>
      </w:r>
      <w:r>
        <w:rPr/>
        <w:t>年度实现 的扣除非经常性损益归属于母公司所有者的净利润之和不低于</w:t>
      </w:r>
      <w:r>
        <w:rPr>
          <w:spacing w:val="-55"/>
        </w:rPr>
        <w:t> </w:t>
      </w:r>
      <w:r>
        <w:rPr>
          <w:rFonts w:ascii="Times New Roman" w:hAnsi="Times New Roman" w:cs="Times New Roman" w:eastAsia="Times New Roman" w:hint="default"/>
        </w:rPr>
        <w:t>8,700</w:t>
      </w:r>
      <w:r>
        <w:rPr>
          <w:rFonts w:ascii="Times New Roman" w:hAnsi="Times New Roman" w:cs="Times New Roman" w:eastAsia="Times New Roman" w:hint="default"/>
          <w:spacing w:val="-2"/>
        </w:rPr>
        <w:t> </w:t>
      </w:r>
      <w:r>
        <w:rPr/>
        <w:t>万元，逐年度</w:t>
      </w:r>
    </w:p>
    <w:p>
      <w:pPr>
        <w:pStyle w:val="BodyText"/>
        <w:spacing w:line="240" w:lineRule="auto" w:before="16"/>
        <w:ind w:left="851" w:right="1682"/>
        <w:jc w:val="left"/>
      </w:pPr>
      <w:r>
        <w:rPr/>
        <w:t>分别为</w:t>
      </w:r>
      <w:r>
        <w:rPr>
          <w:spacing w:val="-53"/>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年度不低于</w:t>
      </w:r>
      <w:r>
        <w:rPr>
          <w:spacing w:val="-53"/>
        </w:rPr>
        <w:t> </w:t>
      </w:r>
      <w:r>
        <w:rPr>
          <w:rFonts w:ascii="Times New Roman" w:hAnsi="Times New Roman" w:cs="Times New Roman" w:eastAsia="Times New Roman" w:hint="default"/>
        </w:rPr>
        <w:t>1,000 </w:t>
      </w:r>
      <w:r>
        <w:rPr>
          <w:spacing w:val="-6"/>
        </w:rPr>
        <w:t>万元、</w:t>
      </w:r>
      <w:r>
        <w:rPr>
          <w:rFonts w:ascii="Times New Roman" w:hAnsi="Times New Roman" w:cs="Times New Roman" w:eastAsia="Times New Roman" w:hint="default"/>
          <w:spacing w:val="-6"/>
        </w:rPr>
        <w:t>2019</w:t>
      </w:r>
      <w:r>
        <w:rPr>
          <w:rFonts w:ascii="Times New Roman" w:hAnsi="Times New Roman" w:cs="Times New Roman" w:eastAsia="Times New Roman" w:hint="default"/>
        </w:rPr>
        <w:t> </w:t>
      </w:r>
      <w:r>
        <w:rPr/>
        <w:t>年度不低于</w:t>
      </w:r>
      <w:r>
        <w:rPr>
          <w:spacing w:val="-53"/>
        </w:rPr>
        <w:t> </w:t>
      </w:r>
      <w:r>
        <w:rPr>
          <w:rFonts w:ascii="Times New Roman" w:hAnsi="Times New Roman" w:cs="Times New Roman" w:eastAsia="Times New Roman" w:hint="default"/>
        </w:rPr>
        <w:t>2,900 </w:t>
      </w:r>
      <w:r>
        <w:rPr>
          <w:spacing w:val="-6"/>
        </w:rPr>
        <w:t>万元、</w:t>
      </w:r>
      <w:r>
        <w:rPr>
          <w:rFonts w:ascii="Times New Roman" w:hAnsi="Times New Roman" w:cs="Times New Roman" w:eastAsia="Times New Roman" w:hint="default"/>
          <w:spacing w:val="-6"/>
        </w:rPr>
        <w:t>2020</w:t>
      </w:r>
      <w:r>
        <w:rPr>
          <w:rFonts w:ascii="Times New Roman" w:hAnsi="Times New Roman" w:cs="Times New Roman" w:eastAsia="Times New Roman" w:hint="default"/>
        </w:rPr>
        <w:t> </w:t>
      </w:r>
      <w:r>
        <w:rPr/>
        <w:t>年度不低于</w:t>
      </w:r>
    </w:p>
    <w:p>
      <w:pPr>
        <w:pStyle w:val="BodyText"/>
        <w:spacing w:line="240" w:lineRule="auto" w:before="89"/>
        <w:ind w:left="851" w:right="1793"/>
        <w:jc w:val="left"/>
      </w:pPr>
      <w:r>
        <w:rPr>
          <w:rFonts w:ascii="Times New Roman" w:hAnsi="Times New Roman" w:cs="Times New Roman" w:eastAsia="Times New Roman" w:hint="default"/>
        </w:rPr>
        <w:t>4,800</w:t>
      </w:r>
      <w:r>
        <w:rPr>
          <w:rFonts w:ascii="Times New Roman" w:hAnsi="Times New Roman" w:cs="Times New Roman" w:eastAsia="Times New Roman" w:hint="default"/>
          <w:spacing w:val="-4"/>
        </w:rPr>
        <w:t> </w:t>
      </w:r>
      <w:r>
        <w:rPr/>
        <w:t>万元。如果未达业绩承诺则按协议约定对本公司予以补偿。</w:t>
      </w:r>
    </w:p>
    <w:p>
      <w:pPr>
        <w:pStyle w:val="BodyText"/>
        <w:spacing w:line="240" w:lineRule="auto" w:before="89"/>
        <w:ind w:left="851" w:right="1793"/>
        <w:jc w:val="left"/>
      </w:pPr>
      <w:r>
        <w:rPr>
          <w:rFonts w:ascii="Times New Roman" w:hAnsi="Times New Roman" w:cs="Times New Roman" w:eastAsia="Times New Roman" w:hint="default"/>
        </w:rPr>
        <w:t>6</w:t>
      </w:r>
      <w:r>
        <w:rPr/>
        <w:t>、武汉中原长江科技发展有限公司购买关联方武汉长江电源有限公司资产</w:t>
      </w:r>
    </w:p>
    <w:p>
      <w:pPr>
        <w:pStyle w:val="BodyText"/>
        <w:spacing w:line="324" w:lineRule="auto" w:before="88"/>
        <w:ind w:left="851" w:right="1792" w:hanging="1"/>
        <w:jc w:val="both"/>
      </w:pPr>
      <w:r>
        <w:rPr>
          <w:rFonts w:ascii="Times New Roman" w:hAnsi="Times New Roman" w:cs="Times New Roman" w:eastAsia="Times New Roman" w:hint="default"/>
        </w:rPr>
        <w:t>2018</w:t>
      </w:r>
      <w:r>
        <w:rPr>
          <w:rFonts w:ascii="Times New Roman" w:hAnsi="Times New Roman" w:cs="Times New Roman" w:eastAsia="Times New Roman" w:hint="default"/>
          <w:spacing w:val="-4"/>
        </w:rPr>
        <w:t> </w:t>
      </w:r>
      <w:r>
        <w:rPr/>
        <w:t>年</w:t>
      </w:r>
      <w:r>
        <w:rPr>
          <w:spacing w:val="-57"/>
        </w:rPr>
        <w:t> </w:t>
      </w:r>
      <w:r>
        <w:rPr>
          <w:rFonts w:ascii="Times New Roman" w:hAnsi="Times New Roman" w:cs="Times New Roman" w:eastAsia="Times New Roman" w:hint="default"/>
        </w:rPr>
        <w:t>12</w:t>
      </w:r>
      <w:r>
        <w:rPr>
          <w:rFonts w:ascii="Times New Roman" w:hAnsi="Times New Roman" w:cs="Times New Roman" w:eastAsia="Times New Roman" w:hint="default"/>
          <w:spacing w:val="-5"/>
        </w:rPr>
        <w:t> </w:t>
      </w:r>
      <w:r>
        <w:rPr/>
        <w:t>月</w:t>
      </w:r>
      <w:r>
        <w:rPr>
          <w:spacing w:val="-57"/>
        </w:rPr>
        <w:t> </w:t>
      </w:r>
      <w:r>
        <w:rPr>
          <w:rFonts w:ascii="Times New Roman" w:hAnsi="Times New Roman" w:cs="Times New Roman" w:eastAsia="Times New Roman" w:hint="default"/>
        </w:rPr>
        <w:t>21</w:t>
      </w:r>
      <w:r>
        <w:rPr>
          <w:rFonts w:ascii="Times New Roman" w:hAnsi="Times New Roman" w:cs="Times New Roman" w:eastAsia="Times New Roman" w:hint="default"/>
          <w:spacing w:val="-4"/>
        </w:rPr>
        <w:t> </w:t>
      </w:r>
      <w:r>
        <w:rPr/>
        <w:t>日中国长城第七届董事会第十一次会议审议通过公司三级子公司武 汉中原长江科技发展有限公司购买关联方武汉长江电源有限公司所拥有的位于湖北 省武汉市汉南区兴三路</w:t>
      </w:r>
      <w:r>
        <w:rPr>
          <w:spacing w:val="-55"/>
        </w:rPr>
        <w:t> </w:t>
      </w:r>
      <w:r>
        <w:rPr>
          <w:rFonts w:ascii="Times New Roman" w:hAnsi="Times New Roman" w:cs="Times New Roman" w:eastAsia="Times New Roman" w:hint="default"/>
        </w:rPr>
        <w:t>231</w:t>
      </w:r>
      <w:r>
        <w:rPr>
          <w:rFonts w:ascii="Times New Roman" w:hAnsi="Times New Roman" w:cs="Times New Roman" w:eastAsia="Times New Roman" w:hint="default"/>
          <w:spacing w:val="-2"/>
        </w:rPr>
        <w:t> </w:t>
      </w:r>
      <w:r>
        <w:rPr/>
        <w:t>号土地使用权及该宗土地上房屋建（构）筑物。根据北</w:t>
      </w:r>
    </w:p>
    <w:p>
      <w:pPr>
        <w:pStyle w:val="BodyText"/>
        <w:spacing w:line="240" w:lineRule="auto" w:before="7"/>
        <w:ind w:left="851" w:right="1682"/>
        <w:jc w:val="left"/>
      </w:pPr>
      <w:r>
        <w:rPr/>
        <w:t>京中天和资产评估有限公司出具的资产评估报告（中天和</w:t>
      </w:r>
      <w:r>
        <w:rPr>
          <w:rFonts w:ascii="Times New Roman" w:hAnsi="Times New Roman" w:cs="Times New Roman" w:eastAsia="Times New Roman" w:hint="default"/>
        </w:rPr>
        <w:t>[</w:t>
      </w:r>
      <w:r>
        <w:rPr>
          <w:rFonts w:ascii="Times New Roman" w:hAnsi="Times New Roman" w:cs="Times New Roman" w:eastAsia="Times New Roman" w:hint="default"/>
          <w:spacing w:val="-1"/>
        </w:rPr>
        <w:t>2</w:t>
      </w:r>
      <w:r>
        <w:rPr>
          <w:rFonts w:ascii="Times New Roman" w:hAnsi="Times New Roman" w:cs="Times New Roman" w:eastAsia="Times New Roman" w:hint="default"/>
        </w:rPr>
        <w:t>0</w:t>
      </w:r>
      <w:r>
        <w:rPr>
          <w:rFonts w:ascii="Times New Roman" w:hAnsi="Times New Roman" w:cs="Times New Roman" w:eastAsia="Times New Roman" w:hint="default"/>
          <w:spacing w:val="-1"/>
        </w:rPr>
        <w:t>1</w:t>
      </w:r>
      <w:r>
        <w:rPr>
          <w:rFonts w:ascii="Times New Roman" w:hAnsi="Times New Roman" w:cs="Times New Roman" w:eastAsia="Times New Roman" w:hint="default"/>
        </w:rPr>
        <w:t>8</w:t>
      </w:r>
      <w:r>
        <w:rPr>
          <w:rFonts w:ascii="Times New Roman" w:hAnsi="Times New Roman" w:cs="Times New Roman" w:eastAsia="Times New Roman" w:hint="default"/>
          <w:spacing w:val="-1"/>
        </w:rPr>
        <w:t>]</w:t>
      </w:r>
      <w:r>
        <w:rPr/>
        <w:t>评字第</w:t>
      </w:r>
      <w:r>
        <w:rPr>
          <w:spacing w:val="-53"/>
        </w:rPr>
        <w:t> </w:t>
      </w:r>
      <w:r>
        <w:rPr>
          <w:rFonts w:ascii="Times New Roman" w:hAnsi="Times New Roman" w:cs="Times New Roman" w:eastAsia="Times New Roman" w:hint="default"/>
          <w:spacing w:val="-1"/>
        </w:rPr>
        <w:t>8</w:t>
      </w:r>
      <w:r>
        <w:rPr>
          <w:rFonts w:ascii="Times New Roman" w:hAnsi="Times New Roman" w:cs="Times New Roman" w:eastAsia="Times New Roman" w:hint="default"/>
        </w:rPr>
        <w:t>0</w:t>
      </w:r>
      <w:r>
        <w:rPr>
          <w:rFonts w:ascii="Times New Roman" w:hAnsi="Times New Roman" w:cs="Times New Roman" w:eastAsia="Times New Roman" w:hint="default"/>
          <w:spacing w:val="-1"/>
        </w:rPr>
        <w:t>0</w:t>
      </w:r>
      <w:r>
        <w:rPr>
          <w:rFonts w:ascii="Times New Roman" w:hAnsi="Times New Roman" w:cs="Times New Roman" w:eastAsia="Times New Roman" w:hint="default"/>
        </w:rPr>
        <w:t>18 </w:t>
      </w:r>
      <w:r>
        <w:rPr>
          <w:spacing w:val="-2"/>
        </w:rPr>
        <w:t>号</w:t>
      </w:r>
      <w:r>
        <w:rPr>
          <w:spacing w:val="-105"/>
        </w:rPr>
        <w:t>）</w:t>
      </w:r>
      <w:r>
        <w:rPr/>
        <w:t>，</w:t>
      </w:r>
    </w:p>
    <w:p>
      <w:pPr>
        <w:pStyle w:val="BodyText"/>
        <w:spacing w:line="240" w:lineRule="auto" w:before="89"/>
        <w:ind w:left="851" w:right="1793"/>
        <w:jc w:val="left"/>
        <w:rPr>
          <w:rFonts w:ascii="Times New Roman" w:hAnsi="Times New Roman" w:cs="Times New Roman" w:eastAsia="Times New Roman" w:hint="default"/>
        </w:rPr>
      </w:pPr>
      <w:r>
        <w:rPr/>
        <w:t>截止</w:t>
      </w:r>
      <w:r>
        <w:rPr>
          <w:spacing w:val="-54"/>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7</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日武汉长江电源有限公司拟转让标的资产的评估值为</w:t>
      </w:r>
      <w:r>
        <w:rPr>
          <w:spacing w:val="-54"/>
        </w:rPr>
        <w:t> </w:t>
      </w:r>
      <w:r>
        <w:rPr>
          <w:rFonts w:ascii="Times New Roman" w:hAnsi="Times New Roman" w:cs="Times New Roman" w:eastAsia="Times New Roman" w:hint="default"/>
        </w:rPr>
        <w:t>4,277.20</w:t>
      </w:r>
    </w:p>
    <w:p>
      <w:pPr>
        <w:pStyle w:val="BodyText"/>
        <w:spacing w:line="348" w:lineRule="auto" w:before="89"/>
        <w:ind w:left="851" w:right="4123"/>
        <w:jc w:val="left"/>
      </w:pPr>
      <w:r>
        <w:rPr/>
        <w:t>万元，本次交易的转让价格以上述评估值为准支付对价。 截止</w:t>
      </w:r>
      <w:r>
        <w:rPr>
          <w:spacing w:val="-54"/>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日，上述购买资产事项尚未执行。</w:t>
      </w:r>
    </w:p>
    <w:p>
      <w:pPr>
        <w:spacing w:line="240" w:lineRule="auto" w:before="12"/>
        <w:rPr>
          <w:rFonts w:ascii="宋体" w:hAnsi="宋体" w:cs="宋体" w:eastAsia="宋体" w:hint="default"/>
          <w:sz w:val="30"/>
          <w:szCs w:val="30"/>
        </w:rPr>
      </w:pPr>
    </w:p>
    <w:p>
      <w:pPr>
        <w:pStyle w:val="Heading5"/>
        <w:spacing w:line="240" w:lineRule="auto" w:before="0"/>
        <w:ind w:right="3681"/>
        <w:jc w:val="left"/>
        <w:rPr>
          <w:b w:val="0"/>
          <w:bCs w:val="0"/>
        </w:rPr>
      </w:pPr>
      <w:r>
        <w:rPr/>
        <w:t>十一、</w:t>
      </w:r>
      <w:r>
        <w:rPr>
          <w:spacing w:val="-25"/>
        </w:rPr>
        <w:t> </w:t>
      </w:r>
      <w:r>
        <w:rPr/>
        <w:t>股份支付</w:t>
      </w:r>
      <w:r>
        <w:rPr>
          <w:b w:val="0"/>
          <w:bCs w:val="0"/>
        </w:rPr>
      </w:r>
    </w:p>
    <w:p>
      <w:pPr>
        <w:tabs>
          <w:tab w:pos="851" w:val="left" w:leader="none"/>
        </w:tabs>
        <w:spacing w:line="331" w:lineRule="auto" w:before="125"/>
        <w:ind w:left="851" w:right="5085" w:hanging="714"/>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一</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股份支付总体情况</w:t>
      </w:r>
      <w:r>
        <w:rPr>
          <w:rFonts w:ascii="宋体" w:hAnsi="宋体" w:cs="宋体" w:eastAsia="宋体" w:hint="default"/>
          <w:b/>
          <w:bCs/>
          <w:spacing w:val="1"/>
          <w:w w:val="99"/>
          <w:sz w:val="21"/>
          <w:szCs w:val="21"/>
        </w:rPr>
        <w:t> </w:t>
      </w:r>
      <w:r>
        <w:rPr>
          <w:rFonts w:ascii="宋体" w:hAnsi="宋体" w:cs="宋体" w:eastAsia="宋体" w:hint="default"/>
          <w:sz w:val="21"/>
          <w:szCs w:val="21"/>
        </w:rPr>
        <w:t>公司本期授予的各项权益工具总额：</w:t>
      </w:r>
      <w:r>
        <w:rPr>
          <w:rFonts w:ascii="Times New Roman" w:hAnsi="Times New Roman" w:cs="Times New Roman" w:eastAsia="Times New Roman" w:hint="default"/>
          <w:sz w:val="21"/>
          <w:szCs w:val="21"/>
        </w:rPr>
        <w:t>4,410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万份</w:t>
      </w:r>
    </w:p>
    <w:p>
      <w:pPr>
        <w:spacing w:after="0" w:line="331" w:lineRule="auto"/>
        <w:jc w:val="left"/>
        <w:rPr>
          <w:rFonts w:ascii="宋体" w:hAnsi="宋体" w:cs="宋体" w:eastAsia="宋体" w:hint="default"/>
          <w:sz w:val="21"/>
          <w:szCs w:val="21"/>
        </w:rPr>
        <w:sectPr>
          <w:pgSz w:w="11910" w:h="16840"/>
          <w:pgMar w:header="0" w:footer="1001" w:top="1520" w:bottom="1200" w:left="1660" w:right="0"/>
        </w:sectPr>
      </w:pPr>
    </w:p>
    <w:p>
      <w:pPr>
        <w:spacing w:line="240" w:lineRule="auto" w:before="8"/>
        <w:rPr>
          <w:rFonts w:ascii="宋体" w:hAnsi="宋体" w:cs="宋体" w:eastAsia="宋体" w:hint="default"/>
          <w:sz w:val="13"/>
          <w:szCs w:val="13"/>
        </w:rPr>
      </w:pPr>
    </w:p>
    <w:p>
      <w:pPr>
        <w:pStyle w:val="BodyText"/>
        <w:spacing w:line="350" w:lineRule="auto" w:before="35"/>
        <w:ind w:left="851" w:right="5070"/>
        <w:jc w:val="left"/>
      </w:pPr>
      <w:r>
        <w:rPr/>
        <w:t>公司本期行权的各项权益工具总额：无 公司本期失效的各项权益工具总额：</w:t>
      </w:r>
      <w:r>
        <w:rPr>
          <w:rFonts w:ascii="Times New Roman" w:hAnsi="Times New Roman" w:cs="Times New Roman" w:eastAsia="Times New Roman" w:hint="default"/>
        </w:rPr>
        <w:t>134.2</w:t>
      </w:r>
      <w:r>
        <w:rPr>
          <w:rFonts w:ascii="Times New Roman" w:hAnsi="Times New Roman" w:cs="Times New Roman" w:eastAsia="Times New Roman" w:hint="default"/>
          <w:spacing w:val="-2"/>
        </w:rPr>
        <w:t> </w:t>
      </w:r>
      <w:r>
        <w:rPr/>
        <w:t>万份</w:t>
      </w:r>
    </w:p>
    <w:p>
      <w:pPr>
        <w:pStyle w:val="BodyText"/>
        <w:spacing w:line="240" w:lineRule="auto" w:before="2"/>
        <w:ind w:left="851" w:right="0"/>
        <w:jc w:val="both"/>
        <w:rPr>
          <w:rFonts w:ascii="Times New Roman" w:hAnsi="Times New Roman" w:cs="Times New Roman" w:eastAsia="Times New Roman" w:hint="default"/>
        </w:rPr>
      </w:pPr>
      <w:r>
        <w:rPr/>
        <w:t>公司期末发行在外的股份期权行权价格的范围和合同剩余期限：行权价格</w:t>
      </w:r>
      <w:r>
        <w:rPr>
          <w:spacing w:val="-55"/>
        </w:rPr>
        <w:t> </w:t>
      </w:r>
      <w:r>
        <w:rPr>
          <w:rFonts w:ascii="Times New Roman" w:hAnsi="Times New Roman" w:cs="Times New Roman" w:eastAsia="Times New Roman" w:hint="default"/>
        </w:rPr>
        <w:t>8.27</w:t>
      </w:r>
      <w:r>
        <w:rPr>
          <w:rFonts w:ascii="Times New Roman" w:hAnsi="Times New Roman" w:cs="Times New Roman" w:eastAsia="Times New Roman" w:hint="default"/>
          <w:spacing w:val="-2"/>
        </w:rPr>
        <w:t> </w:t>
      </w:r>
      <w:r>
        <w:rPr/>
        <w:t>元</w:t>
      </w:r>
      <w:r>
        <w:rPr>
          <w:rFonts w:ascii="Times New Roman" w:hAnsi="Times New Roman" w:cs="Times New Roman" w:eastAsia="Times New Roman" w:hint="default"/>
        </w:rPr>
        <w:t>/</w:t>
      </w:r>
    </w:p>
    <w:p>
      <w:pPr>
        <w:pStyle w:val="BodyText"/>
        <w:spacing w:line="331" w:lineRule="auto"/>
        <w:ind w:left="851" w:right="3703"/>
        <w:jc w:val="left"/>
      </w:pPr>
      <w:r>
        <w:rPr/>
        <w:t>份；剩余期限</w:t>
      </w:r>
      <w:r>
        <w:rPr>
          <w:spacing w:val="-53"/>
        </w:rPr>
        <w:t> </w:t>
      </w:r>
      <w:r>
        <w:rPr>
          <w:rFonts w:ascii="Times New Roman" w:hAnsi="Times New Roman" w:cs="Times New Roman" w:eastAsia="Times New Roman" w:hint="default"/>
        </w:rPr>
        <w:t>4 </w:t>
      </w:r>
      <w:r>
        <w:rPr/>
        <w:t>年。 公司期末其他权益工具行权价格的范围和合同剩余期限：无。</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tabs>
          <w:tab w:pos="851" w:val="left" w:leader="none"/>
        </w:tabs>
        <w:spacing w:line="331" w:lineRule="auto" w:before="0"/>
        <w:ind w:left="851" w:right="3717" w:hanging="714"/>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二</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以权益结算的股份支付情况</w:t>
      </w:r>
      <w:r>
        <w:rPr>
          <w:rFonts w:ascii="宋体" w:hAnsi="宋体" w:cs="宋体" w:eastAsia="宋体" w:hint="default"/>
          <w:b/>
          <w:bCs/>
          <w:w w:val="99"/>
          <w:sz w:val="21"/>
          <w:szCs w:val="21"/>
        </w:rPr>
        <w:t> </w:t>
      </w:r>
      <w:r>
        <w:rPr>
          <w:rFonts w:ascii="宋体" w:hAnsi="宋体" w:cs="宋体" w:eastAsia="宋体" w:hint="default"/>
          <w:sz w:val="21"/>
          <w:szCs w:val="21"/>
        </w:rPr>
        <w:t>授予日权益工具公允价值的确定方法：</w:t>
      </w:r>
      <w:r>
        <w:rPr>
          <w:rFonts w:ascii="Times New Roman" w:hAnsi="Times New Roman" w:cs="Times New Roman" w:eastAsia="Times New Roman" w:hint="default"/>
          <w:sz w:val="21"/>
          <w:szCs w:val="21"/>
        </w:rPr>
        <w:t>Black-Scholes</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模型定价</w:t>
      </w:r>
    </w:p>
    <w:p>
      <w:pPr>
        <w:pStyle w:val="BodyText"/>
        <w:spacing w:line="345" w:lineRule="auto" w:before="20"/>
        <w:ind w:left="851" w:right="1813"/>
        <w:jc w:val="left"/>
      </w:pPr>
      <w:r>
        <w:rPr/>
        <w:t>对可行权权益工具数量的最佳估计的确定方法：根据最新取得的可行权人数变动、 业绩指标完成情况等后续信息，修正预计可行权的股票期权数量 本期估计与上期估计有重大差异的原因：无 以权益结算的股份支付计入资本公积的累计金额：</w:t>
      </w:r>
      <w:r>
        <w:rPr>
          <w:rFonts w:ascii="Times New Roman" w:hAnsi="Times New Roman" w:cs="Times New Roman" w:eastAsia="Times New Roman" w:hint="default"/>
        </w:rPr>
        <w:t>22,239,692.97</w:t>
      </w:r>
      <w:r>
        <w:rPr>
          <w:rFonts w:ascii="Times New Roman" w:hAnsi="Times New Roman" w:cs="Times New Roman" w:eastAsia="Times New Roman" w:hint="default"/>
          <w:spacing w:val="-1"/>
        </w:rPr>
        <w:t> </w:t>
      </w:r>
      <w:r>
        <w:rPr/>
        <w:t>元 本期以权益结算的股份支付确认的费用总额：</w:t>
      </w:r>
      <w:r>
        <w:rPr>
          <w:rFonts w:ascii="Times New Roman" w:hAnsi="Times New Roman" w:cs="Times New Roman" w:eastAsia="Times New Roman" w:hint="default"/>
        </w:rPr>
        <w:t>23,164,213.31</w:t>
      </w:r>
      <w:r>
        <w:rPr>
          <w:rFonts w:ascii="Times New Roman" w:hAnsi="Times New Roman" w:cs="Times New Roman" w:eastAsia="Times New Roman" w:hint="default"/>
          <w:spacing w:val="-7"/>
        </w:rPr>
        <w:t> </w:t>
      </w:r>
      <w:r>
        <w:rPr/>
        <w:t>元</w:t>
      </w:r>
    </w:p>
    <w:p>
      <w:pPr>
        <w:pStyle w:val="BodyText"/>
        <w:spacing w:line="240" w:lineRule="auto" w:before="7"/>
        <w:ind w:left="851" w:right="0"/>
        <w:jc w:val="both"/>
      </w:pPr>
      <w:r>
        <w:rPr/>
        <w:t>说明：</w:t>
      </w:r>
    </w:p>
    <w:p>
      <w:pPr>
        <w:pStyle w:val="BodyText"/>
        <w:spacing w:line="331" w:lineRule="auto" w:before="125"/>
        <w:ind w:left="851" w:right="1848"/>
        <w:jc w:val="both"/>
      </w:pPr>
      <w:r>
        <w:rPr>
          <w:rFonts w:ascii="Times New Roman" w:hAnsi="Times New Roman" w:cs="Times New Roman" w:eastAsia="Times New Roman" w:hint="default"/>
        </w:rPr>
        <w:t>2017</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月，国务院国有资产监督管理委员会出具了《关于中国长城科技集团股 </w:t>
      </w:r>
      <w:r>
        <w:rPr>
          <w:spacing w:val="-4"/>
        </w:rPr>
        <w:t>份有限公司实施股票期权激励计划的批复》（国资考分</w:t>
      </w:r>
      <w:r>
        <w:rPr>
          <w:rFonts w:ascii="Times New Roman" w:hAnsi="Times New Roman" w:cs="Times New Roman" w:eastAsia="Times New Roman" w:hint="default"/>
          <w:spacing w:val="-4"/>
        </w:rPr>
        <w:t>[2017]1291</w:t>
      </w:r>
      <w:r>
        <w:rPr>
          <w:rFonts w:ascii="Times New Roman" w:hAnsi="Times New Roman" w:cs="Times New Roman" w:eastAsia="Times New Roman" w:hint="default"/>
          <w:spacing w:val="21"/>
        </w:rPr>
        <w:t> </w:t>
      </w:r>
      <w:r>
        <w:rPr>
          <w:spacing w:val="-14"/>
        </w:rPr>
        <w:t>号），原则上同意</w:t>
      </w:r>
      <w:r>
        <w:rPr>
          <w:spacing w:val="-98"/>
        </w:rPr>
        <w:t> </w:t>
      </w:r>
      <w:r>
        <w:rPr>
          <w:spacing w:val="-98"/>
        </w:rPr>
      </w:r>
      <w:r>
        <w:rPr/>
        <w:t>公司实施股票期权激励计划。</w:t>
      </w:r>
    </w:p>
    <w:p>
      <w:pPr>
        <w:pStyle w:val="BodyText"/>
        <w:spacing w:line="328" w:lineRule="auto" w:before="45"/>
        <w:ind w:left="851" w:right="1789"/>
        <w:jc w:val="left"/>
      </w:pPr>
      <w:r>
        <w:rPr>
          <w:rFonts w:ascii="Times New Roman" w:hAnsi="Times New Roman" w:cs="Times New Roman" w:eastAsia="Times New Roman" w:hint="default"/>
        </w:rPr>
        <w:t>2018</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月</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spacing w:val="-4"/>
        </w:rPr>
        <w:t>日，公司</w:t>
      </w:r>
      <w:r>
        <w:rPr>
          <w:spacing w:val="-55"/>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年度第二次临时股东大会审议通过公司股票期权激励 计划。</w:t>
      </w:r>
    </w:p>
    <w:p>
      <w:pPr>
        <w:pStyle w:val="BodyText"/>
        <w:spacing w:line="240" w:lineRule="auto" w:before="48"/>
        <w:ind w:left="851" w:right="0"/>
        <w:jc w:val="both"/>
      </w:pPr>
      <w:r>
        <w:rPr>
          <w:rFonts w:ascii="Times New Roman" w:hAnsi="Times New Roman" w:cs="Times New Roman" w:eastAsia="Times New Roman" w:hint="default"/>
        </w:rPr>
        <w:t>2018</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月</w:t>
      </w:r>
      <w:r>
        <w:rPr>
          <w:spacing w:val="-55"/>
        </w:rPr>
        <w:t> </w:t>
      </w:r>
      <w:r>
        <w:rPr>
          <w:rFonts w:ascii="Times New Roman" w:hAnsi="Times New Roman" w:cs="Times New Roman" w:eastAsia="Times New Roman" w:hint="default"/>
        </w:rPr>
        <w:t>16</w:t>
      </w:r>
      <w:r>
        <w:rPr>
          <w:rFonts w:ascii="Times New Roman" w:hAnsi="Times New Roman" w:cs="Times New Roman" w:eastAsia="Times New Roman" w:hint="default"/>
          <w:spacing w:val="-1"/>
        </w:rPr>
        <w:t> </w:t>
      </w:r>
      <w:r>
        <w:rPr/>
        <w:t>日，股票期权激励计划规定的授予条件已经成就，董事会同意将公</w:t>
      </w:r>
    </w:p>
    <w:p>
      <w:pPr>
        <w:pStyle w:val="BodyText"/>
        <w:spacing w:line="240" w:lineRule="auto"/>
        <w:ind w:left="851" w:right="0"/>
        <w:jc w:val="both"/>
        <w:rPr>
          <w:rFonts w:ascii="Times New Roman" w:hAnsi="Times New Roman" w:cs="Times New Roman" w:eastAsia="Times New Roman" w:hint="default"/>
        </w:rPr>
      </w:pPr>
      <w:r>
        <w:rPr/>
        <w:t>司股票期权激励计划授予日定为</w:t>
      </w:r>
      <w:r>
        <w:rPr>
          <w:spacing w:val="-54"/>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16</w:t>
      </w:r>
      <w:r>
        <w:rPr>
          <w:rFonts w:ascii="Times New Roman" w:hAnsi="Times New Roman" w:cs="Times New Roman" w:eastAsia="Times New Roman" w:hint="default"/>
          <w:spacing w:val="-2"/>
        </w:rPr>
        <w:t> </w:t>
      </w:r>
      <w:r>
        <w:rPr>
          <w:spacing w:val="-11"/>
        </w:rPr>
        <w:t>日，同时授予</w:t>
      </w:r>
      <w:r>
        <w:rPr>
          <w:spacing w:val="-54"/>
        </w:rPr>
        <w:t> </w:t>
      </w:r>
      <w:r>
        <w:rPr>
          <w:rFonts w:ascii="Times New Roman" w:hAnsi="Times New Roman" w:cs="Times New Roman" w:eastAsia="Times New Roman" w:hint="default"/>
        </w:rPr>
        <w:t>594</w:t>
      </w:r>
      <w:r>
        <w:rPr>
          <w:rFonts w:ascii="Times New Roman" w:hAnsi="Times New Roman" w:cs="Times New Roman" w:eastAsia="Times New Roman" w:hint="default"/>
          <w:spacing w:val="-1"/>
        </w:rPr>
        <w:t> </w:t>
      </w:r>
      <w:r>
        <w:rPr/>
        <w:t>名激励对象</w:t>
      </w:r>
      <w:r>
        <w:rPr>
          <w:spacing w:val="-54"/>
        </w:rPr>
        <w:t> </w:t>
      </w:r>
      <w:r>
        <w:rPr>
          <w:rFonts w:ascii="Times New Roman" w:hAnsi="Times New Roman" w:cs="Times New Roman" w:eastAsia="Times New Roman" w:hint="default"/>
        </w:rPr>
        <w:t>4,410</w:t>
      </w:r>
    </w:p>
    <w:p>
      <w:pPr>
        <w:pStyle w:val="BodyText"/>
        <w:spacing w:line="240" w:lineRule="auto"/>
        <w:ind w:left="851" w:right="0"/>
        <w:jc w:val="both"/>
      </w:pPr>
      <w:r>
        <w:rPr/>
        <w:t>万份股票期权，行权价格为</w:t>
      </w:r>
      <w:r>
        <w:rPr>
          <w:spacing w:val="-55"/>
        </w:rPr>
        <w:t> </w:t>
      </w:r>
      <w:r>
        <w:rPr>
          <w:rFonts w:ascii="Times New Roman" w:hAnsi="Times New Roman" w:cs="Times New Roman" w:eastAsia="Times New Roman" w:hint="default"/>
        </w:rPr>
        <w:t>8.27</w:t>
      </w:r>
      <w:r>
        <w:rPr>
          <w:rFonts w:ascii="Times New Roman" w:hAnsi="Times New Roman" w:cs="Times New Roman" w:eastAsia="Times New Roman" w:hint="default"/>
          <w:spacing w:val="-2"/>
        </w:rPr>
        <w:t> </w:t>
      </w:r>
      <w:r>
        <w:rPr/>
        <w:t>元</w:t>
      </w:r>
      <w:r>
        <w:rPr>
          <w:rFonts w:ascii="Times New Roman" w:hAnsi="Times New Roman" w:cs="Times New Roman" w:eastAsia="Times New Roman" w:hint="default"/>
        </w:rPr>
        <w:t>/</w:t>
      </w:r>
      <w:r>
        <w:rPr/>
        <w:t>份。</w:t>
      </w:r>
    </w:p>
    <w:p>
      <w:pPr>
        <w:pStyle w:val="BodyText"/>
        <w:spacing w:line="240" w:lineRule="auto" w:before="110"/>
        <w:ind w:left="851" w:right="0"/>
        <w:jc w:val="both"/>
      </w:pPr>
      <w:r>
        <w:rPr>
          <w:rFonts w:ascii="Times New Roman" w:hAnsi="Times New Roman" w:cs="Times New Roman" w:eastAsia="Times New Roman" w:hint="default"/>
        </w:rPr>
        <w:t>2019</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rPr>
        <w:t>4</w:t>
      </w:r>
      <w:r>
        <w:rPr>
          <w:rFonts w:ascii="Times New Roman" w:hAnsi="Times New Roman" w:cs="Times New Roman" w:eastAsia="Times New Roman" w:hint="default"/>
          <w:spacing w:val="-2"/>
        </w:rPr>
        <w:t> </w:t>
      </w:r>
      <w:r>
        <w:rPr/>
        <w:t>月</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日，因激励对象离职原因，公司对股票期权激励计划激励对象及期</w:t>
      </w:r>
    </w:p>
    <w:p>
      <w:pPr>
        <w:pStyle w:val="BodyText"/>
        <w:spacing w:line="240" w:lineRule="auto"/>
        <w:ind w:left="851" w:right="0"/>
        <w:jc w:val="both"/>
      </w:pPr>
      <w:r>
        <w:rPr/>
        <w:t>权数量进行相应调整，激励对象由原</w:t>
      </w:r>
      <w:r>
        <w:rPr>
          <w:spacing w:val="-55"/>
        </w:rPr>
        <w:t> </w:t>
      </w:r>
      <w:r>
        <w:rPr>
          <w:rFonts w:ascii="Times New Roman" w:hAnsi="Times New Roman" w:cs="Times New Roman" w:eastAsia="Times New Roman" w:hint="default"/>
        </w:rPr>
        <w:t>594</w:t>
      </w:r>
      <w:r>
        <w:rPr>
          <w:rFonts w:ascii="Times New Roman" w:hAnsi="Times New Roman" w:cs="Times New Roman" w:eastAsia="Times New Roman" w:hint="default"/>
          <w:spacing w:val="-2"/>
        </w:rPr>
        <w:t> </w:t>
      </w:r>
      <w:r>
        <w:rPr/>
        <w:t>人调整为</w:t>
      </w:r>
      <w:r>
        <w:rPr>
          <w:spacing w:val="-55"/>
        </w:rPr>
        <w:t> </w:t>
      </w:r>
      <w:r>
        <w:rPr>
          <w:rFonts w:ascii="Times New Roman" w:hAnsi="Times New Roman" w:cs="Times New Roman" w:eastAsia="Times New Roman" w:hint="default"/>
        </w:rPr>
        <w:t>570</w:t>
      </w:r>
      <w:r>
        <w:rPr>
          <w:rFonts w:ascii="Times New Roman" w:hAnsi="Times New Roman" w:cs="Times New Roman" w:eastAsia="Times New Roman" w:hint="default"/>
          <w:spacing w:val="-2"/>
        </w:rPr>
        <w:t> </w:t>
      </w:r>
      <w:r>
        <w:rPr/>
        <w:t>人，期权数量由原</w:t>
      </w:r>
      <w:r>
        <w:rPr>
          <w:spacing w:val="-55"/>
        </w:rPr>
        <w:t> </w:t>
      </w:r>
      <w:r>
        <w:rPr>
          <w:rFonts w:ascii="Times New Roman" w:hAnsi="Times New Roman" w:cs="Times New Roman" w:eastAsia="Times New Roman" w:hint="default"/>
        </w:rPr>
        <w:t>4,410</w:t>
      </w:r>
      <w:r>
        <w:rPr>
          <w:rFonts w:ascii="Times New Roman" w:hAnsi="Times New Roman" w:cs="Times New Roman" w:eastAsia="Times New Roman" w:hint="default"/>
          <w:spacing w:val="-2"/>
        </w:rPr>
        <w:t> </w:t>
      </w:r>
      <w:r>
        <w:rPr/>
        <w:t>万</w:t>
      </w:r>
    </w:p>
    <w:p>
      <w:pPr>
        <w:pStyle w:val="BodyText"/>
        <w:spacing w:line="240" w:lineRule="auto"/>
        <w:ind w:left="851" w:right="0"/>
        <w:jc w:val="both"/>
      </w:pPr>
      <w:r>
        <w:rPr/>
        <w:t>份调整为</w:t>
      </w:r>
      <w:r>
        <w:rPr>
          <w:spacing w:val="-58"/>
        </w:rPr>
        <w:t> </w:t>
      </w:r>
      <w:r>
        <w:rPr>
          <w:rFonts w:ascii="Times New Roman" w:hAnsi="Times New Roman" w:cs="Times New Roman" w:eastAsia="Times New Roman" w:hint="default"/>
        </w:rPr>
        <w:t>4,275.80</w:t>
      </w:r>
      <w:r>
        <w:rPr>
          <w:rFonts w:ascii="Times New Roman" w:hAnsi="Times New Roman" w:cs="Times New Roman" w:eastAsia="Times New Roman" w:hint="default"/>
          <w:spacing w:val="-5"/>
        </w:rPr>
        <w:t> </w:t>
      </w:r>
      <w:r>
        <w:rPr/>
        <w:t>万份，注销</w:t>
      </w:r>
      <w:r>
        <w:rPr>
          <w:spacing w:val="-58"/>
        </w:rPr>
        <w:t> </w:t>
      </w:r>
      <w:r>
        <w:rPr>
          <w:rFonts w:ascii="Times New Roman" w:hAnsi="Times New Roman" w:cs="Times New Roman" w:eastAsia="Times New Roman" w:hint="default"/>
        </w:rPr>
        <w:t>134.2</w:t>
      </w:r>
      <w:r>
        <w:rPr>
          <w:rFonts w:ascii="Times New Roman" w:hAnsi="Times New Roman" w:cs="Times New Roman" w:eastAsia="Times New Roman" w:hint="default"/>
          <w:spacing w:val="-5"/>
        </w:rPr>
        <w:t> </w:t>
      </w:r>
      <w:r>
        <w:rPr/>
        <w:t>万份；因公司实施</w:t>
      </w:r>
      <w:r>
        <w:rPr>
          <w:spacing w:val="-58"/>
        </w:rPr>
        <w:t> </w:t>
      </w:r>
      <w:r>
        <w:rPr>
          <w:rFonts w:ascii="Times New Roman" w:hAnsi="Times New Roman" w:cs="Times New Roman" w:eastAsia="Times New Roman" w:hint="default"/>
        </w:rPr>
        <w:t>2017</w:t>
      </w:r>
      <w:r>
        <w:rPr>
          <w:rFonts w:ascii="Times New Roman" w:hAnsi="Times New Roman" w:cs="Times New Roman" w:eastAsia="Times New Roman" w:hint="default"/>
          <w:spacing w:val="-5"/>
        </w:rPr>
        <w:t> </w:t>
      </w:r>
      <w:r>
        <w:rPr/>
        <w:t>年度权益分派方案，股</w:t>
      </w:r>
    </w:p>
    <w:p>
      <w:pPr>
        <w:pStyle w:val="BodyText"/>
        <w:spacing w:line="240" w:lineRule="auto" w:before="110"/>
        <w:ind w:left="851" w:right="0"/>
        <w:jc w:val="both"/>
      </w:pPr>
      <w:r>
        <w:rPr/>
        <w:t>票期权激励计划行权价格由</w:t>
      </w:r>
      <w:r>
        <w:rPr>
          <w:spacing w:val="-55"/>
        </w:rPr>
        <w:t> </w:t>
      </w:r>
      <w:r>
        <w:rPr>
          <w:rFonts w:ascii="Times New Roman" w:hAnsi="Times New Roman" w:cs="Times New Roman" w:eastAsia="Times New Roman" w:hint="default"/>
        </w:rPr>
        <w:t>8.27</w:t>
      </w:r>
      <w:r>
        <w:rPr>
          <w:rFonts w:ascii="Times New Roman" w:hAnsi="Times New Roman" w:cs="Times New Roman" w:eastAsia="Times New Roman" w:hint="default"/>
          <w:spacing w:val="-2"/>
        </w:rPr>
        <w:t> </w:t>
      </w:r>
      <w:r>
        <w:rPr/>
        <w:t>元</w:t>
      </w:r>
      <w:r>
        <w:rPr>
          <w:rFonts w:ascii="Times New Roman" w:hAnsi="Times New Roman" w:cs="Times New Roman" w:eastAsia="Times New Roman" w:hint="default"/>
        </w:rPr>
        <w:t>/</w:t>
      </w:r>
      <w:r>
        <w:rPr/>
        <w:t>份调整为</w:t>
      </w:r>
      <w:r>
        <w:rPr>
          <w:spacing w:val="-55"/>
        </w:rPr>
        <w:t> </w:t>
      </w:r>
      <w:r>
        <w:rPr>
          <w:rFonts w:ascii="Times New Roman" w:hAnsi="Times New Roman" w:cs="Times New Roman" w:eastAsia="Times New Roman" w:hint="default"/>
        </w:rPr>
        <w:t>8.21</w:t>
      </w:r>
      <w:r>
        <w:rPr>
          <w:rFonts w:ascii="Times New Roman" w:hAnsi="Times New Roman" w:cs="Times New Roman" w:eastAsia="Times New Roman" w:hint="default"/>
          <w:spacing w:val="-2"/>
        </w:rPr>
        <w:t> </w:t>
      </w:r>
      <w:r>
        <w:rPr/>
        <w:t>元</w:t>
      </w:r>
      <w:r>
        <w:rPr>
          <w:rFonts w:ascii="Times New Roman" w:hAnsi="Times New Roman" w:cs="Times New Roman" w:eastAsia="Times New Roman" w:hint="default"/>
        </w:rPr>
        <w:t>/</w:t>
      </w:r>
      <w:r>
        <w:rPr/>
        <w:t>份。</w:t>
      </w:r>
    </w:p>
    <w:p>
      <w:pPr>
        <w:pStyle w:val="BodyText"/>
        <w:spacing w:line="336" w:lineRule="auto"/>
        <w:ind w:left="851" w:right="1792"/>
        <w:jc w:val="both"/>
      </w:pPr>
      <w:r>
        <w:rPr/>
        <w:t>在可行权日内，若达到规定的行权条件，激励对象应自授予日起</w:t>
      </w:r>
      <w:r>
        <w:rPr>
          <w:spacing w:val="-54"/>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 </w:t>
      </w:r>
      <w:r>
        <w:rPr/>
        <w:t>年后的</w:t>
      </w:r>
      <w:r>
        <w:rPr>
          <w:spacing w:val="-54"/>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t>个年度 内分三期行权。每个行权期的可行权数量占获授权益数量比例</w:t>
      </w:r>
      <w:r>
        <w:rPr>
          <w:spacing w:val="-79"/>
        </w:rPr>
        <w:t> </w:t>
      </w:r>
      <w:r>
        <w:rPr>
          <w:rFonts w:ascii="Times New Roman" w:hAnsi="Times New Roman" w:cs="Times New Roman" w:eastAsia="Times New Roman" w:hint="default"/>
          <w:spacing w:val="-4"/>
        </w:rPr>
        <w:t>1/3</w:t>
      </w:r>
      <w:r>
        <w:rPr>
          <w:spacing w:val="-4"/>
        </w:rPr>
        <w:t>。激励对象必须在</w:t>
      </w:r>
      <w:r>
        <w:rPr/>
        <w:t> 期权行权有效期内行权完毕。若达不到行权条件，则当期股票期权不得行权。若符 合行权条件，但未能在上述行权期行权的股票期权由公司注销。</w:t>
      </w:r>
    </w:p>
    <w:p>
      <w:pPr>
        <w:spacing w:line="240" w:lineRule="auto" w:before="0"/>
        <w:rPr>
          <w:rFonts w:ascii="宋体" w:hAnsi="宋体" w:cs="宋体" w:eastAsia="宋体" w:hint="default"/>
          <w:sz w:val="20"/>
          <w:szCs w:val="20"/>
        </w:rPr>
      </w:pPr>
    </w:p>
    <w:p>
      <w:pPr>
        <w:pStyle w:val="Heading5"/>
        <w:tabs>
          <w:tab w:pos="851" w:val="left" w:leader="none"/>
        </w:tabs>
        <w:spacing w:line="328" w:lineRule="auto" w:before="180"/>
        <w:ind w:left="851" w:right="6862" w:hanging="714"/>
        <w:jc w:val="left"/>
        <w:rPr>
          <w:rFonts w:ascii="宋体" w:hAnsi="宋体" w:cs="宋体" w:eastAsia="宋体" w:hint="default"/>
          <w:b w:val="0"/>
          <w:bCs w:val="0"/>
        </w:rPr>
      </w:pPr>
      <w:r>
        <w:rPr>
          <w:rFonts w:ascii="Times New Roman" w:hAnsi="Times New Roman" w:cs="Times New Roman" w:eastAsia="Times New Roman" w:hint="default"/>
          <w:w w:val="95"/>
        </w:rPr>
        <w:t>(</w:t>
      </w:r>
      <w:r>
        <w:rPr>
          <w:w w:val="95"/>
        </w:rPr>
        <w:t>三</w:t>
      </w:r>
      <w:r>
        <w:rPr>
          <w:rFonts w:ascii="Times New Roman" w:hAnsi="Times New Roman" w:cs="Times New Roman" w:eastAsia="Times New Roman" w:hint="default"/>
          <w:w w:val="95"/>
        </w:rPr>
        <w:t>)</w:t>
        <w:tab/>
      </w:r>
      <w:r>
        <w:rPr/>
        <w:t>以现金结算的股份支付情况</w:t>
      </w:r>
      <w:r>
        <w:rPr>
          <w:w w:val="99"/>
        </w:rPr>
        <w:t> </w:t>
      </w:r>
      <w:r>
        <w:rPr>
          <w:rFonts w:ascii="宋体" w:hAnsi="宋体" w:cs="宋体" w:eastAsia="宋体" w:hint="default"/>
          <w:b w:val="0"/>
          <w:bCs w:val="0"/>
        </w:rPr>
        <w:t>无。</w:t>
      </w:r>
    </w:p>
    <w:p>
      <w:pPr>
        <w:spacing w:after="0" w:line="328" w:lineRule="auto"/>
        <w:jc w:val="left"/>
        <w:rPr>
          <w:rFonts w:ascii="宋体" w:hAnsi="宋体" w:cs="宋体" w:eastAsia="宋体" w:hint="default"/>
        </w:rPr>
        <w:sectPr>
          <w:pgSz w:w="11910" w:h="16840"/>
          <w:pgMar w:header="0" w:footer="1001" w:top="1520" w:bottom="1200" w:left="1660" w:right="0"/>
        </w:sectPr>
      </w:pPr>
    </w:p>
    <w:p>
      <w:pPr>
        <w:spacing w:line="240" w:lineRule="auto" w:before="8"/>
        <w:rPr>
          <w:rFonts w:ascii="宋体" w:hAnsi="宋体" w:cs="宋体" w:eastAsia="宋体" w:hint="default"/>
          <w:sz w:val="13"/>
          <w:szCs w:val="13"/>
        </w:rPr>
      </w:pPr>
    </w:p>
    <w:p>
      <w:pPr>
        <w:pStyle w:val="Heading5"/>
        <w:tabs>
          <w:tab w:pos="851" w:val="left" w:leader="none"/>
        </w:tabs>
        <w:spacing w:line="331" w:lineRule="auto"/>
        <w:ind w:left="851" w:right="6862" w:hanging="714"/>
        <w:jc w:val="left"/>
        <w:rPr>
          <w:rFonts w:ascii="宋体" w:hAnsi="宋体" w:cs="宋体" w:eastAsia="宋体" w:hint="default"/>
          <w:b w:val="0"/>
          <w:bCs w:val="0"/>
        </w:rPr>
      </w:pPr>
      <w:r>
        <w:rPr>
          <w:rFonts w:ascii="Times New Roman" w:hAnsi="Times New Roman" w:cs="Times New Roman" w:eastAsia="Times New Roman" w:hint="default"/>
          <w:w w:val="95"/>
        </w:rPr>
        <w:t>(</w:t>
      </w:r>
      <w:r>
        <w:rPr>
          <w:w w:val="95"/>
        </w:rPr>
        <w:t>四</w:t>
      </w:r>
      <w:r>
        <w:rPr>
          <w:rFonts w:ascii="Times New Roman" w:hAnsi="Times New Roman" w:cs="Times New Roman" w:eastAsia="Times New Roman" w:hint="default"/>
          <w:w w:val="95"/>
        </w:rPr>
        <w:t>)</w:t>
        <w:tab/>
      </w:r>
      <w:r>
        <w:rPr/>
        <w:t>股份支付的修改、终止情况</w:t>
      </w:r>
      <w:r>
        <w:rPr>
          <w:w w:val="99"/>
        </w:rPr>
        <w:t> </w:t>
      </w:r>
      <w:r>
        <w:rPr>
          <w:rFonts w:ascii="宋体" w:hAnsi="宋体" w:cs="宋体" w:eastAsia="宋体" w:hint="default"/>
          <w:b w:val="0"/>
          <w:bCs w:val="0"/>
        </w:rPr>
        <w:t>无。</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pStyle w:val="Heading5"/>
        <w:spacing w:line="240" w:lineRule="auto" w:before="0"/>
        <w:ind w:right="3681"/>
        <w:jc w:val="left"/>
        <w:rPr>
          <w:b w:val="0"/>
          <w:bCs w:val="0"/>
        </w:rPr>
      </w:pPr>
      <w:r>
        <w:rPr/>
        <w:t>十二、</w:t>
      </w:r>
      <w:r>
        <w:rPr>
          <w:spacing w:val="-25"/>
        </w:rPr>
        <w:t> </w:t>
      </w:r>
      <w:r>
        <w:rPr/>
        <w:t>政府补助</w:t>
      </w:r>
      <w:r>
        <w:rPr>
          <w:b w:val="0"/>
          <w:bCs w:val="0"/>
        </w:rPr>
      </w:r>
    </w:p>
    <w:p>
      <w:pPr>
        <w:pStyle w:val="BodyText"/>
        <w:spacing w:line="240" w:lineRule="auto" w:before="126"/>
        <w:ind w:left="851" w:right="1793"/>
        <w:jc w:val="left"/>
      </w:pPr>
      <w:r>
        <w:rPr/>
        <w:t>本报告期本公司确认的可收到政府补助金额合计</w:t>
      </w:r>
      <w:r>
        <w:rPr>
          <w:spacing w:val="-57"/>
        </w:rPr>
        <w:t> </w:t>
      </w:r>
      <w:r>
        <w:rPr>
          <w:rFonts w:ascii="Times New Roman" w:hAnsi="Times New Roman" w:cs="Times New Roman" w:eastAsia="Times New Roman" w:hint="default"/>
        </w:rPr>
        <w:t>193,897,814.73</w:t>
      </w:r>
      <w:r>
        <w:rPr>
          <w:rFonts w:ascii="Times New Roman" w:hAnsi="Times New Roman" w:cs="Times New Roman" w:eastAsia="Times New Roman" w:hint="default"/>
          <w:spacing w:val="-4"/>
        </w:rPr>
        <w:t> </w:t>
      </w:r>
      <w:r>
        <w:rPr/>
        <w:t>元，其中与资产相</w:t>
      </w:r>
    </w:p>
    <w:p>
      <w:pPr>
        <w:pStyle w:val="BodyText"/>
        <w:spacing w:line="240" w:lineRule="auto"/>
        <w:ind w:left="851" w:right="1793"/>
        <w:jc w:val="left"/>
      </w:pPr>
      <w:r>
        <w:rPr/>
        <w:t>关的政府补助金额为</w:t>
      </w:r>
      <w:r>
        <w:rPr>
          <w:spacing w:val="-56"/>
        </w:rPr>
        <w:t> </w:t>
      </w:r>
      <w:r>
        <w:rPr>
          <w:rFonts w:ascii="Times New Roman" w:hAnsi="Times New Roman" w:cs="Times New Roman" w:eastAsia="Times New Roman" w:hint="default"/>
        </w:rPr>
        <w:t>85,217,000.00</w:t>
      </w:r>
      <w:r>
        <w:rPr>
          <w:rFonts w:ascii="Times New Roman" w:hAnsi="Times New Roman" w:cs="Times New Roman" w:eastAsia="Times New Roman" w:hint="default"/>
          <w:spacing w:val="46"/>
        </w:rPr>
        <w:t> </w:t>
      </w:r>
      <w:r>
        <w:rPr/>
        <w:t>元，其中计入递延收益</w:t>
      </w:r>
      <w:r>
        <w:rPr>
          <w:spacing w:val="-56"/>
        </w:rPr>
        <w:t> </w:t>
      </w:r>
      <w:r>
        <w:rPr>
          <w:rFonts w:ascii="Times New Roman" w:hAnsi="Times New Roman" w:cs="Times New Roman" w:eastAsia="Times New Roman" w:hint="default"/>
        </w:rPr>
        <w:t>85,200,000.00</w:t>
      </w:r>
      <w:r>
        <w:rPr>
          <w:rFonts w:ascii="Times New Roman" w:hAnsi="Times New Roman" w:cs="Times New Roman" w:eastAsia="Times New Roman" w:hint="default"/>
          <w:spacing w:val="-4"/>
        </w:rPr>
        <w:t> </w:t>
      </w:r>
      <w:r>
        <w:rPr/>
        <w:t>元，计入</w:t>
      </w:r>
    </w:p>
    <w:p>
      <w:pPr>
        <w:pStyle w:val="BodyText"/>
        <w:spacing w:line="331" w:lineRule="auto"/>
        <w:ind w:left="851" w:right="1883"/>
        <w:jc w:val="left"/>
      </w:pPr>
      <w:r>
        <w:rPr/>
        <w:t>营业外收入</w:t>
      </w:r>
      <w:r>
        <w:rPr>
          <w:spacing w:val="-57"/>
        </w:rPr>
        <w:t> </w:t>
      </w:r>
      <w:r>
        <w:rPr>
          <w:rFonts w:ascii="Times New Roman" w:hAnsi="Times New Roman" w:cs="Times New Roman" w:eastAsia="Times New Roman" w:hint="default"/>
        </w:rPr>
        <w:t>17,000.00</w:t>
      </w:r>
      <w:r>
        <w:rPr>
          <w:rFonts w:ascii="Times New Roman" w:hAnsi="Times New Roman" w:cs="Times New Roman" w:eastAsia="Times New Roman" w:hint="default"/>
          <w:spacing w:val="-4"/>
        </w:rPr>
        <w:t> </w:t>
      </w:r>
      <w:r>
        <w:rPr/>
        <w:t>元，本期收到为</w:t>
      </w:r>
      <w:r>
        <w:rPr>
          <w:spacing w:val="-57"/>
        </w:rPr>
        <w:t> </w:t>
      </w:r>
      <w:r>
        <w:rPr>
          <w:rFonts w:ascii="Times New Roman" w:hAnsi="Times New Roman" w:cs="Times New Roman" w:eastAsia="Times New Roman" w:hint="default"/>
        </w:rPr>
        <w:t>85,217,000.00</w:t>
      </w:r>
      <w:r>
        <w:rPr>
          <w:rFonts w:ascii="Times New Roman" w:hAnsi="Times New Roman" w:cs="Times New Roman" w:eastAsia="Times New Roman" w:hint="default"/>
          <w:spacing w:val="-5"/>
        </w:rPr>
        <w:t> </w:t>
      </w:r>
      <w:r>
        <w:rPr/>
        <w:t>元；与收益相关的政府补助金 额为</w:t>
      </w:r>
      <w:r>
        <w:rPr>
          <w:spacing w:val="-54"/>
        </w:rPr>
        <w:t> </w:t>
      </w:r>
      <w:r>
        <w:rPr>
          <w:rFonts w:ascii="Times New Roman" w:hAnsi="Times New Roman" w:cs="Times New Roman" w:eastAsia="Times New Roman" w:hint="default"/>
        </w:rPr>
        <w:t>108,680,814.73</w:t>
      </w:r>
      <w:r>
        <w:rPr>
          <w:rFonts w:ascii="Times New Roman" w:hAnsi="Times New Roman" w:cs="Times New Roman" w:eastAsia="Times New Roman" w:hint="default"/>
          <w:spacing w:val="-1"/>
        </w:rPr>
        <w:t> </w:t>
      </w:r>
      <w:r>
        <w:rPr/>
        <w:t>元，其中计入递延收益</w:t>
      </w:r>
      <w:r>
        <w:rPr>
          <w:spacing w:val="-54"/>
        </w:rPr>
        <w:t> </w:t>
      </w:r>
      <w:r>
        <w:rPr>
          <w:rFonts w:ascii="Times New Roman" w:hAnsi="Times New Roman" w:cs="Times New Roman" w:eastAsia="Times New Roman" w:hint="default"/>
        </w:rPr>
        <w:t>3,890,000.00</w:t>
      </w:r>
      <w:r>
        <w:rPr/>
        <w:t>，计入其他收益 </w:t>
      </w:r>
      <w:r>
        <w:rPr>
          <w:rFonts w:ascii="Times New Roman" w:hAnsi="Times New Roman" w:cs="Times New Roman" w:eastAsia="Times New Roman" w:hint="default"/>
        </w:rPr>
        <w:t>104,790,814.73</w:t>
      </w:r>
      <w:r>
        <w:rPr>
          <w:rFonts w:ascii="Times New Roman" w:hAnsi="Times New Roman" w:cs="Times New Roman" w:eastAsia="Times New Roman" w:hint="default"/>
          <w:spacing w:val="-5"/>
        </w:rPr>
        <w:t> </w:t>
      </w:r>
      <w:r>
        <w:rPr/>
        <w:t>元，本期收到为</w:t>
      </w:r>
      <w:r>
        <w:rPr>
          <w:spacing w:val="-58"/>
        </w:rPr>
        <w:t> </w:t>
      </w:r>
      <w:r>
        <w:rPr>
          <w:rFonts w:ascii="Times New Roman" w:hAnsi="Times New Roman" w:cs="Times New Roman" w:eastAsia="Times New Roman" w:hint="default"/>
        </w:rPr>
        <w:t>108,680,814.73</w:t>
      </w:r>
      <w:r>
        <w:rPr>
          <w:rFonts w:ascii="Times New Roman" w:hAnsi="Times New Roman" w:cs="Times New Roman" w:eastAsia="Times New Roman" w:hint="default"/>
          <w:spacing w:val="-5"/>
        </w:rPr>
        <w:t> </w:t>
      </w:r>
      <w:r>
        <w:rPr/>
        <w:t>元。</w:t>
      </w:r>
    </w:p>
    <w:p>
      <w:pPr>
        <w:spacing w:line="240" w:lineRule="auto" w:before="3"/>
        <w:rPr>
          <w:rFonts w:ascii="宋体" w:hAnsi="宋体" w:cs="宋体" w:eastAsia="宋体" w:hint="default"/>
          <w:sz w:val="32"/>
          <w:szCs w:val="32"/>
        </w:rPr>
      </w:pPr>
    </w:p>
    <w:p>
      <w:pPr>
        <w:tabs>
          <w:tab w:pos="851" w:val="left" w:leader="none"/>
        </w:tabs>
        <w:spacing w:line="328" w:lineRule="auto" w:before="0"/>
        <w:ind w:left="851" w:right="1936" w:hanging="714"/>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一</w:t>
      </w:r>
      <w:r>
        <w:rPr>
          <w:rFonts w:ascii="Times New Roman" w:hAnsi="Times New Roman" w:cs="Times New Roman" w:eastAsia="Times New Roman" w:hint="default"/>
          <w:b/>
          <w:bCs/>
          <w:w w:val="95"/>
          <w:sz w:val="21"/>
          <w:szCs w:val="21"/>
        </w:rPr>
        <w:t>)</w:t>
        <w:tab/>
      </w:r>
      <w:r>
        <w:rPr>
          <w:rFonts w:ascii="宋体" w:hAnsi="宋体" w:cs="宋体" w:eastAsia="宋体" w:hint="default"/>
          <w:b/>
          <w:bCs/>
          <w:sz w:val="21"/>
          <w:szCs w:val="21"/>
        </w:rPr>
        <w:t>与资产相关的政府补助</w:t>
      </w:r>
      <w:r>
        <w:rPr>
          <w:rFonts w:ascii="宋体" w:hAnsi="宋体" w:cs="宋体" w:eastAsia="宋体" w:hint="default"/>
          <w:b/>
          <w:bCs/>
          <w:w w:val="99"/>
          <w:sz w:val="21"/>
          <w:szCs w:val="21"/>
        </w:rPr>
        <w:t> </w:t>
      </w:r>
      <w:r>
        <w:rPr>
          <w:rFonts w:ascii="宋体" w:hAnsi="宋体" w:cs="宋体" w:eastAsia="宋体" w:hint="default"/>
          <w:spacing w:val="-3"/>
          <w:sz w:val="21"/>
          <w:szCs w:val="21"/>
        </w:rPr>
        <w:t>与资产相关的政府补助确认为递延收益的情况参考附注五、（三十二）递延收益。</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pStyle w:val="Heading5"/>
        <w:tabs>
          <w:tab w:pos="851" w:val="left" w:leader="none"/>
        </w:tabs>
        <w:spacing w:line="240" w:lineRule="auto" w:before="0"/>
        <w:ind w:right="3681"/>
        <w:jc w:val="left"/>
        <w:rPr>
          <w:b w:val="0"/>
          <w:bCs w:val="0"/>
        </w:rPr>
      </w:pPr>
      <w:r>
        <w:rPr/>
        <w:pict>
          <v:group style="position:absolute;margin-left:119.010002pt;margin-top:15.322019pt;width:411.75pt;height:403.05pt;mso-position-horizontal-relative:page;mso-position-vertical-relative:paragraph;z-index:-1363456" coordorigin="2380,306" coordsize="8235,8061">
            <v:group style="position:absolute;left:2410;top:321;width:1965;height:2" coordorigin="2410,321" coordsize="1965,2">
              <v:shape style="position:absolute;left:2410;top:321;width:1965;height:2" coordorigin="2410,321" coordsize="1965,0" path="m2410,321l4374,321e" filled="false" stroked="true" strokeweight="1.5pt" strokecolor="#000000">
                <v:path arrowok="t"/>
              </v:shape>
              <v:shape style="position:absolute;left:4374;top:336;width:10;height:28" type="#_x0000_t75" stroked="false">
                <v:imagedata r:id="rId96" o:title=""/>
              </v:shape>
            </v:group>
            <v:group style="position:absolute;left:4374;top:321;width:1473;height:2" coordorigin="4374,321" coordsize="1473,2">
              <v:shape style="position:absolute;left:4374;top:321;width:1473;height:2" coordorigin="4374,321" coordsize="1473,0" path="m4374,321l5846,321e" filled="false" stroked="true" strokeweight="1.5pt" strokecolor="#000000">
                <v:path arrowok="t"/>
              </v:shape>
              <v:shape style="position:absolute;left:5846;top:336;width:10;height:28" type="#_x0000_t75" stroked="false">
                <v:imagedata r:id="rId96" o:title=""/>
              </v:shape>
            </v:group>
            <v:group style="position:absolute;left:5846;top:321;width:2936;height:2" coordorigin="5846,321" coordsize="2936,2">
              <v:shape style="position:absolute;left:5846;top:321;width:2936;height:2" coordorigin="5846,321" coordsize="2936,0" path="m5846,321l8782,321e" filled="false" stroked="true" strokeweight="1.5pt" strokecolor="#000000">
                <v:path arrowok="t"/>
              </v:shape>
              <v:shape style="position:absolute;left:8782;top:336;width:10;height:28" type="#_x0000_t75" stroked="false">
                <v:imagedata r:id="rId96" o:title=""/>
              </v:shape>
            </v:group>
            <v:group style="position:absolute;left:8782;top:321;width:1816;height:2" coordorigin="8782,321" coordsize="1816,2">
              <v:shape style="position:absolute;left:8782;top:321;width:1816;height:2" coordorigin="8782,321" coordsize="1816,0" path="m8782,321l10597,321e" filled="false" stroked="true" strokeweight="1.5pt" strokecolor="#000000">
                <v:path arrowok="t"/>
              </v:shape>
              <v:shape style="position:absolute;left:4355;top:345;width:4456;height:916" type="#_x0000_t75" stroked="false">
                <v:imagedata r:id="rId470" o:title=""/>
              </v:shape>
            </v:group>
            <v:group style="position:absolute;left:2395;top:8352;width:1979;height:2" coordorigin="2395,8352" coordsize="1979,2">
              <v:shape style="position:absolute;left:2395;top:8352;width:1979;height:2" coordorigin="2395,8352" coordsize="1979,0" path="m2395,8352l4374,8352e" filled="false" stroked="true" strokeweight="1.5pt" strokecolor="#000000">
                <v:path arrowok="t"/>
              </v:shape>
            </v:group>
            <v:group style="position:absolute;left:4374;top:8352;width:1473;height:2" coordorigin="4374,8352" coordsize="1473,2">
              <v:shape style="position:absolute;left:4374;top:8352;width:1473;height:2" coordorigin="4374,8352" coordsize="1473,0" path="m4374,8352l5846,8352e" filled="false" stroked="true" strokeweight="1.5pt" strokecolor="#000000">
                <v:path arrowok="t"/>
              </v:shape>
            </v:group>
            <v:group style="position:absolute;left:5846;top:8352;width:1530;height:2" coordorigin="5846,8352" coordsize="1530,2">
              <v:shape style="position:absolute;left:5846;top:8352;width:1530;height:2" coordorigin="5846,8352" coordsize="1530,0" path="m5846,8352l7376,8352e" filled="false" stroked="true" strokeweight="1.5pt" strokecolor="#000000">
                <v:path arrowok="t"/>
              </v:shape>
            </v:group>
            <v:group style="position:absolute;left:7376;top:8352;width:1406;height:2" coordorigin="7376,8352" coordsize="1406,2">
              <v:shape style="position:absolute;left:7376;top:8352;width:1406;height:2" coordorigin="7376,8352" coordsize="1406,0" path="m7376,8352l8782,8352e" filled="false" stroked="true" strokeweight="1.5pt" strokecolor="#000000">
                <v:path arrowok="t"/>
              </v:shape>
              <v:shape style="position:absolute;left:2390;top:1228;width:8225;height:7108" type="#_x0000_t75" stroked="false">
                <v:imagedata r:id="rId471" o:title=""/>
              </v:shape>
            </v:group>
            <v:group style="position:absolute;left:8782;top:8352;width:1816;height:2" coordorigin="8782,8352" coordsize="1816,2">
              <v:shape style="position:absolute;left:8782;top:8352;width:1816;height:2" coordorigin="8782,8352" coordsize="1816,0" path="m8782,8352l10597,8352e" filled="false" stroked="true" strokeweight="1.5pt" strokecolor="#000000">
                <v:path arrowok="t"/>
              </v:shape>
              <v:shape style="position:absolute;left:3234;top:708;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种类</w:t>
                      </w:r>
                      <w:r>
                        <w:rPr>
                          <w:rFonts w:ascii="宋体" w:hAnsi="宋体" w:cs="宋体" w:eastAsia="宋体" w:hint="default"/>
                          <w:sz w:val="16"/>
                          <w:szCs w:val="16"/>
                        </w:rPr>
                      </w:r>
                    </w:p>
                  </w:txbxContent>
                </v:textbox>
                <w10:wrap type="none"/>
              </v:shape>
              <v:shape style="position:absolute;left:4954;top:708;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金额</w:t>
                      </w:r>
                      <w:r>
                        <w:rPr>
                          <w:rFonts w:ascii="宋体" w:hAnsi="宋体" w:cs="宋体" w:eastAsia="宋体" w:hint="default"/>
                          <w:sz w:val="16"/>
                          <w:szCs w:val="16"/>
                        </w:rPr>
                      </w:r>
                    </w:p>
                  </w:txbxContent>
                </v:textbox>
                <w10:wrap type="none"/>
              </v:shape>
              <v:shape style="position:absolute;left:6038;top:427;width:2559;height:369" type="#_x0000_t202" filled="false" stroked="false">
                <v:textbox inset="0,0,0,0">
                  <w:txbxContent>
                    <w:p>
                      <w:pPr>
                        <w:spacing w:line="159" w:lineRule="exact" w:before="0"/>
                        <w:ind w:left="0" w:right="0" w:firstLine="0"/>
                        <w:jc w:val="center"/>
                        <w:rPr>
                          <w:rFonts w:ascii="宋体" w:hAnsi="宋体" w:cs="宋体" w:eastAsia="宋体" w:hint="default"/>
                          <w:sz w:val="16"/>
                          <w:szCs w:val="16"/>
                        </w:rPr>
                      </w:pPr>
                      <w:r>
                        <w:rPr>
                          <w:rFonts w:ascii="宋体" w:hAnsi="宋体" w:cs="宋体" w:eastAsia="宋体" w:hint="default"/>
                          <w:w w:val="95"/>
                          <w:sz w:val="16"/>
                          <w:szCs w:val="16"/>
                        </w:rPr>
                        <w:t>计入当期损益或冲减相关成本费用损</w:t>
                      </w:r>
                      <w:r>
                        <w:rPr>
                          <w:rFonts w:ascii="宋体" w:hAnsi="宋体" w:cs="宋体" w:eastAsia="宋体" w:hint="default"/>
                          <w:sz w:val="16"/>
                          <w:szCs w:val="16"/>
                        </w:rPr>
                      </w:r>
                    </w:p>
                    <w:p>
                      <w:pPr>
                        <w:spacing w:line="209" w:lineRule="exact" w:before="0"/>
                        <w:ind w:left="0" w:right="0" w:firstLine="0"/>
                        <w:jc w:val="center"/>
                        <w:rPr>
                          <w:rFonts w:ascii="宋体" w:hAnsi="宋体" w:cs="宋体" w:eastAsia="宋体" w:hint="default"/>
                          <w:sz w:val="16"/>
                          <w:szCs w:val="16"/>
                        </w:rPr>
                      </w:pPr>
                      <w:r>
                        <w:rPr>
                          <w:rFonts w:ascii="宋体" w:hAnsi="宋体" w:cs="宋体" w:eastAsia="宋体" w:hint="default"/>
                          <w:sz w:val="16"/>
                          <w:szCs w:val="16"/>
                        </w:rPr>
                        <w:t>失的金额</w:t>
                      </w:r>
                    </w:p>
                  </w:txbxContent>
                </v:textbox>
                <w10:wrap type="none"/>
              </v:shape>
              <v:shape style="position:absolute;left:6215;top:989;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本期发生额</w:t>
                      </w:r>
                      <w:r>
                        <w:rPr>
                          <w:rFonts w:ascii="宋体" w:hAnsi="宋体" w:cs="宋体" w:eastAsia="宋体" w:hint="default"/>
                          <w:sz w:val="16"/>
                          <w:szCs w:val="16"/>
                        </w:rPr>
                      </w:r>
                    </w:p>
                  </w:txbxContent>
                </v:textbox>
                <w10:wrap type="none"/>
              </v:shape>
              <v:shape style="position:absolute;left:7682;top:989;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上期发生额</w:t>
                      </w:r>
                      <w:r>
                        <w:rPr>
                          <w:rFonts w:ascii="宋体" w:hAnsi="宋体" w:cs="宋体" w:eastAsia="宋体" w:hint="default"/>
                          <w:sz w:val="16"/>
                          <w:szCs w:val="16"/>
                        </w:rPr>
                      </w:r>
                    </w:p>
                  </w:txbxContent>
                </v:textbox>
                <w10:wrap type="none"/>
              </v:shape>
              <v:shape style="position:absolute;left:8971;top:500;width:1439;height:575"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计入当期损益或冲减</w:t>
                      </w:r>
                      <w:r>
                        <w:rPr>
                          <w:rFonts w:ascii="宋体" w:hAnsi="宋体" w:cs="宋体" w:eastAsia="宋体" w:hint="default"/>
                          <w:sz w:val="16"/>
                          <w:szCs w:val="16"/>
                        </w:rPr>
                      </w:r>
                    </w:p>
                    <w:p>
                      <w:pPr>
                        <w:spacing w:before="0"/>
                        <w:ind w:left="560" w:right="0" w:hanging="561"/>
                        <w:jc w:val="left"/>
                        <w:rPr>
                          <w:rFonts w:ascii="宋体" w:hAnsi="宋体" w:cs="宋体" w:eastAsia="宋体" w:hint="default"/>
                          <w:sz w:val="16"/>
                          <w:szCs w:val="16"/>
                        </w:rPr>
                      </w:pPr>
                      <w:r>
                        <w:rPr>
                          <w:rFonts w:ascii="宋体" w:hAnsi="宋体" w:cs="宋体" w:eastAsia="宋体" w:hint="default"/>
                          <w:w w:val="95"/>
                          <w:sz w:val="16"/>
                          <w:szCs w:val="16"/>
                        </w:rPr>
                        <w:t>相关成本费用损失的</w:t>
                      </w:r>
                      <w:r>
                        <w:rPr>
                          <w:rFonts w:ascii="宋体" w:hAnsi="宋体" w:cs="宋体" w:eastAsia="宋体" w:hint="default"/>
                          <w:spacing w:val="-6"/>
                          <w:w w:val="95"/>
                          <w:sz w:val="16"/>
                          <w:szCs w:val="16"/>
                        </w:rPr>
                        <w:t> </w:t>
                      </w:r>
                      <w:r>
                        <w:rPr>
                          <w:rFonts w:ascii="宋体" w:hAnsi="宋体" w:cs="宋体" w:eastAsia="宋体" w:hint="default"/>
                          <w:spacing w:val="-6"/>
                          <w:w w:val="95"/>
                          <w:sz w:val="16"/>
                          <w:szCs w:val="16"/>
                        </w:rPr>
                      </w:r>
                      <w:r>
                        <w:rPr>
                          <w:rFonts w:ascii="宋体" w:hAnsi="宋体" w:cs="宋体" w:eastAsia="宋体" w:hint="default"/>
                          <w:sz w:val="16"/>
                          <w:szCs w:val="16"/>
                        </w:rPr>
                        <w:t>项目</w:t>
                      </w:r>
                    </w:p>
                  </w:txbxContent>
                </v:textbox>
                <w10:wrap type="none"/>
              </v:shape>
              <v:shape style="position:absolute;left:2518;top:6962;width:1753;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spacing w:val="15"/>
                          <w:sz w:val="16"/>
                          <w:szCs w:val="16"/>
                        </w:rPr>
                        <w:t>分布式潮流控制器装置</w:t>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研发关键技术</w:t>
                      </w:r>
                    </w:p>
                  </w:txbxContent>
                </v:textbox>
                <w10:wrap type="none"/>
              </v:shape>
              <v:shape style="position:absolute;left:5023;top:7079;width:7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500,000.00</w:t>
                      </w:r>
                      <w:r>
                        <w:rPr>
                          <w:rFonts w:ascii="Times New Roman"/>
                          <w:sz w:val="16"/>
                        </w:rPr>
                      </w:r>
                    </w:p>
                  </w:txbxContent>
                </v:textbox>
                <w10:wrap type="none"/>
              </v:shape>
              <v:shape style="position:absolute;left:2518;top:7523;width:1753;height:369"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spacing w:val="15"/>
                          <w:sz w:val="16"/>
                          <w:szCs w:val="16"/>
                        </w:rPr>
                        <w:t>与武汉理工大学合作项</w:t>
                      </w:r>
                    </w:p>
                    <w:p>
                      <w:pPr>
                        <w:spacing w:line="209"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目公共安全课题组项目</w:t>
                      </w:r>
                    </w:p>
                  </w:txbxContent>
                </v:textbox>
                <w10:wrap type="none"/>
              </v:shape>
              <v:shape style="position:absolute;left:5023;top:7641;width:7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270,000.00</w:t>
                      </w:r>
                      <w:r>
                        <w:rPr>
                          <w:rFonts w:ascii="Times New Roman"/>
                          <w:sz w:val="16"/>
                        </w:rPr>
                      </w:r>
                    </w:p>
                  </w:txbxContent>
                </v:textbox>
                <w10:wrap type="none"/>
              </v:shape>
              <v:shape style="position:absolute;left:2518;top:8084;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两型项目</w:t>
                      </w:r>
                      <w:r>
                        <w:rPr>
                          <w:rFonts w:ascii="宋体" w:hAnsi="宋体" w:cs="宋体" w:eastAsia="宋体" w:hint="default"/>
                          <w:sz w:val="16"/>
                          <w:szCs w:val="16"/>
                        </w:rPr>
                      </w:r>
                    </w:p>
                  </w:txbxContent>
                </v:textbox>
                <w10:wrap type="none"/>
              </v:shape>
              <v:shape style="position:absolute;left:5023;top:8098;width:7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120,000.00</w:t>
                      </w:r>
                      <w:r>
                        <w:rPr>
                          <w:rFonts w:ascii="Times New Roman"/>
                          <w:sz w:val="16"/>
                        </w:rPr>
                      </w:r>
                    </w:p>
                  </w:txbxContent>
                </v:textbox>
                <w10:wrap type="none"/>
              </v:shape>
            </v:group>
            <w10:wrap type="none"/>
          </v:group>
        </w:pict>
      </w:r>
      <w:r>
        <w:rPr>
          <w:rFonts w:ascii="Times New Roman" w:hAnsi="Times New Roman" w:cs="Times New Roman" w:eastAsia="Times New Roman" w:hint="default"/>
          <w:w w:val="95"/>
        </w:rPr>
        <w:t>(</w:t>
      </w:r>
      <w:r>
        <w:rPr>
          <w:w w:val="95"/>
        </w:rPr>
        <w:t>二</w:t>
      </w:r>
      <w:r>
        <w:rPr>
          <w:rFonts w:ascii="Times New Roman" w:hAnsi="Times New Roman" w:cs="Times New Roman" w:eastAsia="Times New Roman" w:hint="default"/>
          <w:w w:val="95"/>
        </w:rPr>
        <w:t>)</w:t>
        <w:tab/>
      </w:r>
      <w:r>
        <w:rPr/>
        <w:t>与收益相关的政府补助</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2"/>
          <w:szCs w:val="12"/>
        </w:rPr>
      </w:pPr>
    </w:p>
    <w:tbl>
      <w:tblPr>
        <w:tblW w:w="0" w:type="auto"/>
        <w:jc w:val="left"/>
        <w:tblInd w:w="822" w:type="dxa"/>
        <w:tblLayout w:type="fixed"/>
        <w:tblCellMar>
          <w:top w:w="0" w:type="dxa"/>
          <w:left w:w="0" w:type="dxa"/>
          <w:bottom w:w="0" w:type="dxa"/>
          <w:right w:w="0" w:type="dxa"/>
        </w:tblCellMar>
        <w:tblLook w:val="01E0"/>
      </w:tblPr>
      <w:tblGrid>
        <w:gridCol w:w="2044"/>
        <w:gridCol w:w="1481"/>
        <w:gridCol w:w="1467"/>
        <w:gridCol w:w="1550"/>
        <w:gridCol w:w="1020"/>
      </w:tblGrid>
      <w:tr>
        <w:trPr>
          <w:trHeight w:val="363" w:hRule="exact"/>
        </w:trPr>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5"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1481"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62"/>
              <w:jc w:val="right"/>
              <w:rPr>
                <w:rFonts w:ascii="Times New Roman" w:hAnsi="Times New Roman" w:cs="Times New Roman" w:eastAsia="Times New Roman" w:hint="default"/>
                <w:sz w:val="16"/>
                <w:szCs w:val="16"/>
              </w:rPr>
            </w:pPr>
            <w:r>
              <w:rPr>
                <w:rFonts w:ascii="Times New Roman"/>
                <w:spacing w:val="-1"/>
                <w:sz w:val="16"/>
              </w:rPr>
              <w:t>108,680,814.73</w:t>
            </w:r>
          </w:p>
        </w:tc>
        <w:tc>
          <w:tcPr>
            <w:tcW w:w="1467"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00"/>
              <w:jc w:val="right"/>
              <w:rPr>
                <w:rFonts w:ascii="Times New Roman" w:hAnsi="Times New Roman" w:cs="Times New Roman" w:eastAsia="Times New Roman" w:hint="default"/>
                <w:sz w:val="16"/>
                <w:szCs w:val="16"/>
              </w:rPr>
            </w:pPr>
            <w:r>
              <w:rPr>
                <w:rFonts w:ascii="Times New Roman"/>
                <w:spacing w:val="-1"/>
                <w:sz w:val="16"/>
              </w:rPr>
              <w:t>104,790,814.73</w:t>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345"/>
              <w:jc w:val="right"/>
              <w:rPr>
                <w:rFonts w:ascii="Times New Roman" w:hAnsi="Times New Roman" w:cs="Times New Roman" w:eastAsia="Times New Roman" w:hint="default"/>
                <w:sz w:val="16"/>
                <w:szCs w:val="16"/>
              </w:rPr>
            </w:pPr>
            <w:r>
              <w:rPr>
                <w:rFonts w:ascii="Times New Roman"/>
                <w:spacing w:val="-1"/>
                <w:sz w:val="16"/>
              </w:rPr>
              <w:t>133,796,961.29</w:t>
            </w:r>
          </w:p>
        </w:tc>
        <w:tc>
          <w:tcPr>
            <w:tcW w:w="1020" w:type="dxa"/>
            <w:tcBorders>
              <w:top w:val="nil" w:sz="6" w:space="0" w:color="auto"/>
              <w:left w:val="nil" w:sz="6" w:space="0" w:color="auto"/>
              <w:bottom w:val="nil" w:sz="6" w:space="0" w:color="auto"/>
              <w:right w:val="nil" w:sz="6" w:space="0" w:color="auto"/>
            </w:tcBorders>
          </w:tcPr>
          <w:p>
            <w:pPr/>
          </w:p>
        </w:tc>
      </w:tr>
      <w:tr>
        <w:trPr>
          <w:trHeight w:val="353" w:hRule="exact"/>
        </w:trPr>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5" w:right="0"/>
              <w:jc w:val="left"/>
              <w:rPr>
                <w:rFonts w:ascii="宋体" w:hAnsi="宋体" w:cs="宋体" w:eastAsia="宋体" w:hint="default"/>
                <w:sz w:val="16"/>
                <w:szCs w:val="16"/>
              </w:rPr>
            </w:pPr>
            <w:r>
              <w:rPr>
                <w:rFonts w:ascii="宋体" w:hAnsi="宋体" w:cs="宋体" w:eastAsia="宋体" w:hint="default"/>
                <w:sz w:val="16"/>
                <w:szCs w:val="16"/>
              </w:rPr>
              <w:t>科研补贴</w:t>
            </w:r>
          </w:p>
        </w:tc>
        <w:tc>
          <w:tcPr>
            <w:tcW w:w="148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63"/>
              <w:jc w:val="right"/>
              <w:rPr>
                <w:rFonts w:ascii="Times New Roman" w:hAnsi="Times New Roman" w:cs="Times New Roman" w:eastAsia="Times New Roman" w:hint="default"/>
                <w:sz w:val="16"/>
                <w:szCs w:val="16"/>
              </w:rPr>
            </w:pPr>
            <w:r>
              <w:rPr>
                <w:rFonts w:ascii="Times New Roman"/>
                <w:spacing w:val="-1"/>
                <w:sz w:val="16"/>
              </w:rPr>
              <w:t>51,316,810.00</w:t>
            </w:r>
          </w:p>
        </w:tc>
        <w:tc>
          <w:tcPr>
            <w:tcW w:w="146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00"/>
              <w:jc w:val="right"/>
              <w:rPr>
                <w:rFonts w:ascii="Times New Roman" w:hAnsi="Times New Roman" w:cs="Times New Roman" w:eastAsia="Times New Roman" w:hint="default"/>
                <w:sz w:val="16"/>
                <w:szCs w:val="16"/>
              </w:rPr>
            </w:pPr>
            <w:r>
              <w:rPr>
                <w:rFonts w:ascii="Times New Roman"/>
                <w:spacing w:val="-1"/>
                <w:sz w:val="16"/>
              </w:rPr>
              <w:t>51,316,810.00</w:t>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44"/>
              <w:jc w:val="right"/>
              <w:rPr>
                <w:rFonts w:ascii="Times New Roman" w:hAnsi="Times New Roman" w:cs="Times New Roman" w:eastAsia="Times New Roman" w:hint="default"/>
                <w:sz w:val="16"/>
                <w:szCs w:val="16"/>
              </w:rPr>
            </w:pPr>
            <w:r>
              <w:rPr>
                <w:rFonts w:ascii="Times New Roman"/>
                <w:spacing w:val="-1"/>
                <w:sz w:val="16"/>
              </w:rPr>
              <w:t>8,045,000.00</w:t>
            </w:r>
          </w:p>
        </w:tc>
        <w:tc>
          <w:tcPr>
            <w:tcW w:w="102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3"/>
              <w:jc w:val="right"/>
              <w:rPr>
                <w:rFonts w:ascii="宋体" w:hAnsi="宋体" w:cs="宋体" w:eastAsia="宋体" w:hint="default"/>
                <w:sz w:val="16"/>
                <w:szCs w:val="16"/>
              </w:rPr>
            </w:pPr>
            <w:r>
              <w:rPr>
                <w:rFonts w:ascii="宋体" w:hAnsi="宋体" w:cs="宋体" w:eastAsia="宋体" w:hint="default"/>
                <w:w w:val="95"/>
                <w:sz w:val="16"/>
                <w:szCs w:val="16"/>
              </w:rPr>
              <w:t>其他收益</w:t>
            </w:r>
            <w:r>
              <w:rPr>
                <w:rFonts w:ascii="宋体" w:hAnsi="宋体" w:cs="宋体" w:eastAsia="宋体" w:hint="default"/>
                <w:sz w:val="16"/>
                <w:szCs w:val="16"/>
              </w:rPr>
            </w:r>
          </w:p>
        </w:tc>
      </w:tr>
      <w:tr>
        <w:trPr>
          <w:trHeight w:val="353" w:hRule="exact"/>
        </w:trPr>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5" w:right="0"/>
              <w:jc w:val="left"/>
              <w:rPr>
                <w:rFonts w:ascii="宋体" w:hAnsi="宋体" w:cs="宋体" w:eastAsia="宋体" w:hint="default"/>
                <w:sz w:val="16"/>
                <w:szCs w:val="16"/>
              </w:rPr>
            </w:pPr>
            <w:r>
              <w:rPr>
                <w:rFonts w:ascii="宋体" w:hAnsi="宋体" w:cs="宋体" w:eastAsia="宋体" w:hint="default"/>
                <w:sz w:val="16"/>
                <w:szCs w:val="16"/>
              </w:rPr>
              <w:t>退税补贴</w:t>
            </w:r>
          </w:p>
        </w:tc>
        <w:tc>
          <w:tcPr>
            <w:tcW w:w="148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63"/>
              <w:jc w:val="right"/>
              <w:rPr>
                <w:rFonts w:ascii="Times New Roman" w:hAnsi="Times New Roman" w:cs="Times New Roman" w:eastAsia="Times New Roman" w:hint="default"/>
                <w:sz w:val="16"/>
                <w:szCs w:val="16"/>
              </w:rPr>
            </w:pPr>
            <w:r>
              <w:rPr>
                <w:rFonts w:ascii="Times New Roman"/>
                <w:spacing w:val="-1"/>
                <w:sz w:val="16"/>
              </w:rPr>
              <w:t>28,031,315.80</w:t>
            </w:r>
          </w:p>
        </w:tc>
        <w:tc>
          <w:tcPr>
            <w:tcW w:w="146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00"/>
              <w:jc w:val="right"/>
              <w:rPr>
                <w:rFonts w:ascii="Times New Roman" w:hAnsi="Times New Roman" w:cs="Times New Roman" w:eastAsia="Times New Roman" w:hint="default"/>
                <w:sz w:val="16"/>
                <w:szCs w:val="16"/>
              </w:rPr>
            </w:pPr>
            <w:r>
              <w:rPr>
                <w:rFonts w:ascii="Times New Roman"/>
                <w:spacing w:val="-1"/>
                <w:sz w:val="16"/>
              </w:rPr>
              <w:t>28,031,315.80</w:t>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44"/>
              <w:jc w:val="right"/>
              <w:rPr>
                <w:rFonts w:ascii="Times New Roman" w:hAnsi="Times New Roman" w:cs="Times New Roman" w:eastAsia="Times New Roman" w:hint="default"/>
                <w:sz w:val="16"/>
                <w:szCs w:val="16"/>
              </w:rPr>
            </w:pPr>
            <w:r>
              <w:rPr>
                <w:rFonts w:ascii="Times New Roman"/>
                <w:spacing w:val="-1"/>
                <w:sz w:val="16"/>
              </w:rPr>
              <w:t>27,137,807.64</w:t>
            </w:r>
          </w:p>
        </w:tc>
        <w:tc>
          <w:tcPr>
            <w:tcW w:w="102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3"/>
              <w:jc w:val="right"/>
              <w:rPr>
                <w:rFonts w:ascii="宋体" w:hAnsi="宋体" w:cs="宋体" w:eastAsia="宋体" w:hint="default"/>
                <w:sz w:val="16"/>
                <w:szCs w:val="16"/>
              </w:rPr>
            </w:pPr>
            <w:r>
              <w:rPr>
                <w:rFonts w:ascii="宋体" w:hAnsi="宋体" w:cs="宋体" w:eastAsia="宋体" w:hint="default"/>
                <w:w w:val="95"/>
                <w:sz w:val="16"/>
                <w:szCs w:val="16"/>
              </w:rPr>
              <w:t>其他收益</w:t>
            </w:r>
            <w:r>
              <w:rPr>
                <w:rFonts w:ascii="宋体" w:hAnsi="宋体" w:cs="宋体" w:eastAsia="宋体" w:hint="default"/>
                <w:sz w:val="16"/>
                <w:szCs w:val="16"/>
              </w:rPr>
            </w:r>
          </w:p>
        </w:tc>
      </w:tr>
      <w:tr>
        <w:trPr>
          <w:trHeight w:val="353" w:hRule="exact"/>
        </w:trPr>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5" w:right="0"/>
              <w:jc w:val="left"/>
              <w:rPr>
                <w:rFonts w:ascii="宋体" w:hAnsi="宋体" w:cs="宋体" w:eastAsia="宋体" w:hint="default"/>
                <w:sz w:val="16"/>
                <w:szCs w:val="16"/>
              </w:rPr>
            </w:pPr>
            <w:r>
              <w:rPr>
                <w:rFonts w:ascii="宋体" w:hAnsi="宋体" w:cs="宋体" w:eastAsia="宋体" w:hint="default"/>
                <w:sz w:val="16"/>
                <w:szCs w:val="16"/>
              </w:rPr>
              <w:t>企业技术创新补贴</w:t>
            </w:r>
          </w:p>
        </w:tc>
        <w:tc>
          <w:tcPr>
            <w:tcW w:w="148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63"/>
              <w:jc w:val="right"/>
              <w:rPr>
                <w:rFonts w:ascii="Times New Roman" w:hAnsi="Times New Roman" w:cs="Times New Roman" w:eastAsia="Times New Roman" w:hint="default"/>
                <w:sz w:val="16"/>
                <w:szCs w:val="16"/>
              </w:rPr>
            </w:pPr>
            <w:r>
              <w:rPr>
                <w:rFonts w:ascii="Times New Roman"/>
                <w:spacing w:val="-1"/>
                <w:sz w:val="16"/>
              </w:rPr>
              <w:t>5,746,700.00</w:t>
            </w:r>
          </w:p>
        </w:tc>
        <w:tc>
          <w:tcPr>
            <w:tcW w:w="146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00"/>
              <w:jc w:val="right"/>
              <w:rPr>
                <w:rFonts w:ascii="Times New Roman" w:hAnsi="Times New Roman" w:cs="Times New Roman" w:eastAsia="Times New Roman" w:hint="default"/>
                <w:sz w:val="16"/>
                <w:szCs w:val="16"/>
              </w:rPr>
            </w:pPr>
            <w:r>
              <w:rPr>
                <w:rFonts w:ascii="Times New Roman"/>
                <w:spacing w:val="-1"/>
                <w:sz w:val="16"/>
              </w:rPr>
              <w:t>5,746,700.00</w:t>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44"/>
              <w:jc w:val="right"/>
              <w:rPr>
                <w:rFonts w:ascii="Times New Roman" w:hAnsi="Times New Roman" w:cs="Times New Roman" w:eastAsia="Times New Roman" w:hint="default"/>
                <w:sz w:val="16"/>
                <w:szCs w:val="16"/>
              </w:rPr>
            </w:pPr>
            <w:r>
              <w:rPr>
                <w:rFonts w:ascii="Times New Roman"/>
                <w:spacing w:val="-1"/>
                <w:sz w:val="16"/>
              </w:rPr>
              <w:t>16,440,400.00</w:t>
            </w:r>
          </w:p>
        </w:tc>
        <w:tc>
          <w:tcPr>
            <w:tcW w:w="102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3"/>
              <w:jc w:val="right"/>
              <w:rPr>
                <w:rFonts w:ascii="宋体" w:hAnsi="宋体" w:cs="宋体" w:eastAsia="宋体" w:hint="default"/>
                <w:sz w:val="16"/>
                <w:szCs w:val="16"/>
              </w:rPr>
            </w:pPr>
            <w:r>
              <w:rPr>
                <w:rFonts w:ascii="宋体" w:hAnsi="宋体" w:cs="宋体" w:eastAsia="宋体" w:hint="default"/>
                <w:w w:val="95"/>
                <w:sz w:val="16"/>
                <w:szCs w:val="16"/>
              </w:rPr>
              <w:t>其他收益</w:t>
            </w:r>
            <w:r>
              <w:rPr>
                <w:rFonts w:ascii="宋体" w:hAnsi="宋体" w:cs="宋体" w:eastAsia="宋体" w:hint="default"/>
                <w:sz w:val="16"/>
                <w:szCs w:val="16"/>
              </w:rPr>
            </w:r>
          </w:p>
        </w:tc>
      </w:tr>
      <w:tr>
        <w:trPr>
          <w:trHeight w:val="353" w:hRule="exact"/>
        </w:trPr>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5" w:right="0"/>
              <w:jc w:val="left"/>
              <w:rPr>
                <w:rFonts w:ascii="宋体" w:hAnsi="宋体" w:cs="宋体" w:eastAsia="宋体" w:hint="default"/>
                <w:sz w:val="16"/>
                <w:szCs w:val="16"/>
              </w:rPr>
            </w:pPr>
            <w:r>
              <w:rPr>
                <w:rFonts w:ascii="宋体" w:hAnsi="宋体" w:cs="宋体" w:eastAsia="宋体" w:hint="default"/>
                <w:sz w:val="16"/>
                <w:szCs w:val="16"/>
              </w:rPr>
              <w:t>税收奖励</w:t>
            </w:r>
          </w:p>
        </w:tc>
        <w:tc>
          <w:tcPr>
            <w:tcW w:w="148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63"/>
              <w:jc w:val="right"/>
              <w:rPr>
                <w:rFonts w:ascii="Times New Roman" w:hAnsi="Times New Roman" w:cs="Times New Roman" w:eastAsia="Times New Roman" w:hint="default"/>
                <w:sz w:val="16"/>
                <w:szCs w:val="16"/>
              </w:rPr>
            </w:pPr>
            <w:r>
              <w:rPr>
                <w:rFonts w:ascii="Times New Roman"/>
                <w:spacing w:val="-1"/>
                <w:sz w:val="16"/>
              </w:rPr>
              <w:t>3,582,000.00</w:t>
            </w:r>
          </w:p>
        </w:tc>
        <w:tc>
          <w:tcPr>
            <w:tcW w:w="146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00"/>
              <w:jc w:val="right"/>
              <w:rPr>
                <w:rFonts w:ascii="Times New Roman" w:hAnsi="Times New Roman" w:cs="Times New Roman" w:eastAsia="Times New Roman" w:hint="default"/>
                <w:sz w:val="16"/>
                <w:szCs w:val="16"/>
              </w:rPr>
            </w:pPr>
            <w:r>
              <w:rPr>
                <w:rFonts w:ascii="Times New Roman"/>
                <w:spacing w:val="-1"/>
                <w:sz w:val="16"/>
              </w:rPr>
              <w:t>3,582,000.00</w:t>
            </w:r>
          </w:p>
        </w:tc>
        <w:tc>
          <w:tcPr>
            <w:tcW w:w="1550" w:type="dxa"/>
            <w:tcBorders>
              <w:top w:val="nil" w:sz="6" w:space="0" w:color="auto"/>
              <w:left w:val="nil" w:sz="6" w:space="0" w:color="auto"/>
              <w:bottom w:val="nil" w:sz="6" w:space="0" w:color="auto"/>
              <w:right w:val="nil" w:sz="6" w:space="0" w:color="auto"/>
            </w:tcBorders>
          </w:tcPr>
          <w:p>
            <w:pPr/>
          </w:p>
        </w:tc>
        <w:tc>
          <w:tcPr>
            <w:tcW w:w="102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3"/>
              <w:jc w:val="right"/>
              <w:rPr>
                <w:rFonts w:ascii="宋体" w:hAnsi="宋体" w:cs="宋体" w:eastAsia="宋体" w:hint="default"/>
                <w:sz w:val="16"/>
                <w:szCs w:val="16"/>
              </w:rPr>
            </w:pPr>
            <w:r>
              <w:rPr>
                <w:rFonts w:ascii="宋体" w:hAnsi="宋体" w:cs="宋体" w:eastAsia="宋体" w:hint="default"/>
                <w:w w:val="95"/>
                <w:sz w:val="16"/>
                <w:szCs w:val="16"/>
              </w:rPr>
              <w:t>其他收益</w:t>
            </w:r>
            <w:r>
              <w:rPr>
                <w:rFonts w:ascii="宋体" w:hAnsi="宋体" w:cs="宋体" w:eastAsia="宋体" w:hint="default"/>
                <w:sz w:val="16"/>
                <w:szCs w:val="16"/>
              </w:rPr>
            </w:r>
          </w:p>
        </w:tc>
      </w:tr>
      <w:tr>
        <w:trPr>
          <w:trHeight w:val="354" w:hRule="exact"/>
        </w:trPr>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5" w:right="0"/>
              <w:jc w:val="left"/>
              <w:rPr>
                <w:rFonts w:ascii="宋体" w:hAnsi="宋体" w:cs="宋体" w:eastAsia="宋体" w:hint="default"/>
                <w:sz w:val="16"/>
                <w:szCs w:val="16"/>
              </w:rPr>
            </w:pPr>
            <w:r>
              <w:rPr>
                <w:rFonts w:ascii="宋体" w:hAnsi="宋体" w:cs="宋体" w:eastAsia="宋体" w:hint="default"/>
                <w:sz w:val="16"/>
                <w:szCs w:val="16"/>
              </w:rPr>
              <w:t>建设基金</w:t>
            </w:r>
          </w:p>
        </w:tc>
        <w:tc>
          <w:tcPr>
            <w:tcW w:w="148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63"/>
              <w:jc w:val="right"/>
              <w:rPr>
                <w:rFonts w:ascii="Times New Roman" w:hAnsi="Times New Roman" w:cs="Times New Roman" w:eastAsia="Times New Roman" w:hint="default"/>
                <w:sz w:val="16"/>
                <w:szCs w:val="16"/>
              </w:rPr>
            </w:pPr>
            <w:r>
              <w:rPr>
                <w:rFonts w:ascii="Times New Roman"/>
                <w:spacing w:val="-1"/>
                <w:sz w:val="16"/>
              </w:rPr>
              <w:t>2,800,000.00</w:t>
            </w:r>
          </w:p>
        </w:tc>
        <w:tc>
          <w:tcPr>
            <w:tcW w:w="146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00"/>
              <w:jc w:val="right"/>
              <w:rPr>
                <w:rFonts w:ascii="Times New Roman" w:hAnsi="Times New Roman" w:cs="Times New Roman" w:eastAsia="Times New Roman" w:hint="default"/>
                <w:sz w:val="16"/>
                <w:szCs w:val="16"/>
              </w:rPr>
            </w:pPr>
            <w:r>
              <w:rPr>
                <w:rFonts w:ascii="Times New Roman"/>
                <w:spacing w:val="-1"/>
                <w:sz w:val="16"/>
              </w:rPr>
              <w:t>2,800,000.00</w:t>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44"/>
              <w:jc w:val="right"/>
              <w:rPr>
                <w:rFonts w:ascii="Times New Roman" w:hAnsi="Times New Roman" w:cs="Times New Roman" w:eastAsia="Times New Roman" w:hint="default"/>
                <w:sz w:val="16"/>
                <w:szCs w:val="16"/>
              </w:rPr>
            </w:pPr>
            <w:r>
              <w:rPr>
                <w:rFonts w:ascii="Times New Roman"/>
                <w:spacing w:val="-1"/>
                <w:sz w:val="16"/>
              </w:rPr>
              <w:t>51,590,000.00</w:t>
            </w:r>
          </w:p>
        </w:tc>
        <w:tc>
          <w:tcPr>
            <w:tcW w:w="102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3"/>
              <w:jc w:val="right"/>
              <w:rPr>
                <w:rFonts w:ascii="宋体" w:hAnsi="宋体" w:cs="宋体" w:eastAsia="宋体" w:hint="default"/>
                <w:sz w:val="16"/>
                <w:szCs w:val="16"/>
              </w:rPr>
            </w:pPr>
            <w:r>
              <w:rPr>
                <w:rFonts w:ascii="宋体" w:hAnsi="宋体" w:cs="宋体" w:eastAsia="宋体" w:hint="default"/>
                <w:w w:val="95"/>
                <w:sz w:val="16"/>
                <w:szCs w:val="16"/>
              </w:rPr>
              <w:t>其他收益</w:t>
            </w:r>
            <w:r>
              <w:rPr>
                <w:rFonts w:ascii="宋体" w:hAnsi="宋体" w:cs="宋体" w:eastAsia="宋体" w:hint="default"/>
                <w:sz w:val="16"/>
                <w:szCs w:val="16"/>
              </w:rPr>
            </w:r>
          </w:p>
        </w:tc>
      </w:tr>
      <w:tr>
        <w:trPr>
          <w:trHeight w:val="353" w:hRule="exact"/>
        </w:trPr>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5" w:right="0"/>
              <w:jc w:val="left"/>
              <w:rPr>
                <w:rFonts w:ascii="宋体" w:hAnsi="宋体" w:cs="宋体" w:eastAsia="宋体" w:hint="default"/>
                <w:sz w:val="16"/>
                <w:szCs w:val="16"/>
              </w:rPr>
            </w:pPr>
            <w:r>
              <w:rPr>
                <w:rFonts w:ascii="宋体" w:hAnsi="宋体" w:cs="宋体" w:eastAsia="宋体" w:hint="default"/>
                <w:sz w:val="16"/>
                <w:szCs w:val="16"/>
              </w:rPr>
              <w:t>贸易补贴</w:t>
            </w:r>
          </w:p>
        </w:tc>
        <w:tc>
          <w:tcPr>
            <w:tcW w:w="148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63"/>
              <w:jc w:val="right"/>
              <w:rPr>
                <w:rFonts w:ascii="Times New Roman" w:hAnsi="Times New Roman" w:cs="Times New Roman" w:eastAsia="Times New Roman" w:hint="default"/>
                <w:sz w:val="16"/>
                <w:szCs w:val="16"/>
              </w:rPr>
            </w:pPr>
            <w:r>
              <w:rPr>
                <w:rFonts w:ascii="Times New Roman"/>
                <w:spacing w:val="-1"/>
                <w:sz w:val="16"/>
              </w:rPr>
              <w:t>2,608,400.00</w:t>
            </w:r>
          </w:p>
        </w:tc>
        <w:tc>
          <w:tcPr>
            <w:tcW w:w="146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00"/>
              <w:jc w:val="right"/>
              <w:rPr>
                <w:rFonts w:ascii="Times New Roman" w:hAnsi="Times New Roman" w:cs="Times New Roman" w:eastAsia="Times New Roman" w:hint="default"/>
                <w:sz w:val="16"/>
                <w:szCs w:val="16"/>
              </w:rPr>
            </w:pPr>
            <w:r>
              <w:rPr>
                <w:rFonts w:ascii="Times New Roman"/>
                <w:spacing w:val="-1"/>
                <w:sz w:val="16"/>
              </w:rPr>
              <w:t>2,608,400.00</w:t>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44"/>
              <w:jc w:val="right"/>
              <w:rPr>
                <w:rFonts w:ascii="Times New Roman" w:hAnsi="Times New Roman" w:cs="Times New Roman" w:eastAsia="Times New Roman" w:hint="default"/>
                <w:sz w:val="16"/>
                <w:szCs w:val="16"/>
              </w:rPr>
            </w:pPr>
            <w:r>
              <w:rPr>
                <w:rFonts w:ascii="Times New Roman"/>
                <w:spacing w:val="-1"/>
                <w:sz w:val="16"/>
              </w:rPr>
              <w:t>1,903,864.00</w:t>
            </w:r>
          </w:p>
        </w:tc>
        <w:tc>
          <w:tcPr>
            <w:tcW w:w="102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3"/>
              <w:jc w:val="right"/>
              <w:rPr>
                <w:rFonts w:ascii="宋体" w:hAnsi="宋体" w:cs="宋体" w:eastAsia="宋体" w:hint="default"/>
                <w:sz w:val="16"/>
                <w:szCs w:val="16"/>
              </w:rPr>
            </w:pPr>
            <w:r>
              <w:rPr>
                <w:rFonts w:ascii="宋体" w:hAnsi="宋体" w:cs="宋体" w:eastAsia="宋体" w:hint="default"/>
                <w:w w:val="95"/>
                <w:sz w:val="16"/>
                <w:szCs w:val="16"/>
              </w:rPr>
              <w:t>其他收益</w:t>
            </w:r>
            <w:r>
              <w:rPr>
                <w:rFonts w:ascii="宋体" w:hAnsi="宋体" w:cs="宋体" w:eastAsia="宋体" w:hint="default"/>
                <w:sz w:val="16"/>
                <w:szCs w:val="16"/>
              </w:rPr>
            </w:r>
          </w:p>
        </w:tc>
      </w:tr>
      <w:tr>
        <w:trPr>
          <w:trHeight w:val="353" w:hRule="exact"/>
        </w:trPr>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5" w:right="0"/>
              <w:jc w:val="left"/>
              <w:rPr>
                <w:rFonts w:ascii="宋体" w:hAnsi="宋体" w:cs="宋体" w:eastAsia="宋体" w:hint="default"/>
                <w:sz w:val="16"/>
                <w:szCs w:val="16"/>
              </w:rPr>
            </w:pPr>
            <w:r>
              <w:rPr>
                <w:rFonts w:ascii="宋体" w:hAnsi="宋体" w:cs="宋体" w:eastAsia="宋体" w:hint="default"/>
                <w:sz w:val="16"/>
                <w:szCs w:val="16"/>
              </w:rPr>
              <w:t>稳岗补贴</w:t>
            </w:r>
          </w:p>
        </w:tc>
        <w:tc>
          <w:tcPr>
            <w:tcW w:w="148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63"/>
              <w:jc w:val="right"/>
              <w:rPr>
                <w:rFonts w:ascii="Times New Roman" w:hAnsi="Times New Roman" w:cs="Times New Roman" w:eastAsia="Times New Roman" w:hint="default"/>
                <w:sz w:val="16"/>
                <w:szCs w:val="16"/>
              </w:rPr>
            </w:pPr>
            <w:r>
              <w:rPr>
                <w:rFonts w:ascii="Times New Roman"/>
                <w:spacing w:val="-1"/>
                <w:sz w:val="16"/>
              </w:rPr>
              <w:t>2,491,546.50</w:t>
            </w:r>
          </w:p>
        </w:tc>
        <w:tc>
          <w:tcPr>
            <w:tcW w:w="146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00"/>
              <w:jc w:val="right"/>
              <w:rPr>
                <w:rFonts w:ascii="Times New Roman" w:hAnsi="Times New Roman" w:cs="Times New Roman" w:eastAsia="Times New Roman" w:hint="default"/>
                <w:sz w:val="16"/>
                <w:szCs w:val="16"/>
              </w:rPr>
            </w:pPr>
            <w:r>
              <w:rPr>
                <w:rFonts w:ascii="Times New Roman"/>
                <w:spacing w:val="-1"/>
                <w:sz w:val="16"/>
              </w:rPr>
              <w:t>2,491,546.50</w:t>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44"/>
              <w:jc w:val="right"/>
              <w:rPr>
                <w:rFonts w:ascii="Times New Roman" w:hAnsi="Times New Roman" w:cs="Times New Roman" w:eastAsia="Times New Roman" w:hint="default"/>
                <w:sz w:val="16"/>
                <w:szCs w:val="16"/>
              </w:rPr>
            </w:pPr>
            <w:r>
              <w:rPr>
                <w:rFonts w:ascii="Times New Roman"/>
                <w:spacing w:val="-1"/>
                <w:sz w:val="16"/>
              </w:rPr>
              <w:t>2,665,866.69</w:t>
            </w:r>
          </w:p>
        </w:tc>
        <w:tc>
          <w:tcPr>
            <w:tcW w:w="102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3"/>
              <w:jc w:val="right"/>
              <w:rPr>
                <w:rFonts w:ascii="宋体" w:hAnsi="宋体" w:cs="宋体" w:eastAsia="宋体" w:hint="default"/>
                <w:sz w:val="16"/>
                <w:szCs w:val="16"/>
              </w:rPr>
            </w:pPr>
            <w:r>
              <w:rPr>
                <w:rFonts w:ascii="宋体" w:hAnsi="宋体" w:cs="宋体" w:eastAsia="宋体" w:hint="default"/>
                <w:w w:val="95"/>
                <w:sz w:val="16"/>
                <w:szCs w:val="16"/>
              </w:rPr>
              <w:t>其他收益</w:t>
            </w:r>
            <w:r>
              <w:rPr>
                <w:rFonts w:ascii="宋体" w:hAnsi="宋体" w:cs="宋体" w:eastAsia="宋体" w:hint="default"/>
                <w:sz w:val="16"/>
                <w:szCs w:val="16"/>
              </w:rPr>
            </w:r>
          </w:p>
        </w:tc>
      </w:tr>
      <w:tr>
        <w:trPr>
          <w:trHeight w:val="353" w:hRule="exact"/>
        </w:trPr>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5" w:right="0"/>
              <w:jc w:val="left"/>
              <w:rPr>
                <w:rFonts w:ascii="宋体" w:hAnsi="宋体" w:cs="宋体" w:eastAsia="宋体" w:hint="default"/>
                <w:sz w:val="16"/>
                <w:szCs w:val="16"/>
              </w:rPr>
            </w:pPr>
            <w:r>
              <w:rPr>
                <w:rFonts w:ascii="宋体" w:hAnsi="宋体" w:cs="宋体" w:eastAsia="宋体" w:hint="default"/>
                <w:sz w:val="16"/>
                <w:szCs w:val="16"/>
              </w:rPr>
              <w:t>工业发展基金</w:t>
            </w:r>
          </w:p>
        </w:tc>
        <w:tc>
          <w:tcPr>
            <w:tcW w:w="148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63"/>
              <w:jc w:val="right"/>
              <w:rPr>
                <w:rFonts w:ascii="Times New Roman" w:hAnsi="Times New Roman" w:cs="Times New Roman" w:eastAsia="Times New Roman" w:hint="default"/>
                <w:sz w:val="16"/>
                <w:szCs w:val="16"/>
              </w:rPr>
            </w:pPr>
            <w:r>
              <w:rPr>
                <w:rFonts w:ascii="Times New Roman"/>
                <w:spacing w:val="-1"/>
                <w:sz w:val="16"/>
              </w:rPr>
              <w:t>2,000,900.00</w:t>
            </w:r>
          </w:p>
        </w:tc>
        <w:tc>
          <w:tcPr>
            <w:tcW w:w="146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00"/>
              <w:jc w:val="right"/>
              <w:rPr>
                <w:rFonts w:ascii="Times New Roman" w:hAnsi="Times New Roman" w:cs="Times New Roman" w:eastAsia="Times New Roman" w:hint="default"/>
                <w:sz w:val="16"/>
                <w:szCs w:val="16"/>
              </w:rPr>
            </w:pPr>
            <w:r>
              <w:rPr>
                <w:rFonts w:ascii="Times New Roman"/>
                <w:spacing w:val="-1"/>
                <w:sz w:val="16"/>
              </w:rPr>
              <w:t>2,000,900.00</w:t>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44"/>
              <w:jc w:val="right"/>
              <w:rPr>
                <w:rFonts w:ascii="Times New Roman" w:hAnsi="Times New Roman" w:cs="Times New Roman" w:eastAsia="Times New Roman" w:hint="default"/>
                <w:sz w:val="16"/>
                <w:szCs w:val="16"/>
              </w:rPr>
            </w:pPr>
            <w:r>
              <w:rPr>
                <w:rFonts w:ascii="Times New Roman"/>
                <w:spacing w:val="-1"/>
                <w:sz w:val="16"/>
              </w:rPr>
              <w:t>21,086,002.21</w:t>
            </w:r>
          </w:p>
        </w:tc>
        <w:tc>
          <w:tcPr>
            <w:tcW w:w="102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3"/>
              <w:jc w:val="right"/>
              <w:rPr>
                <w:rFonts w:ascii="宋体" w:hAnsi="宋体" w:cs="宋体" w:eastAsia="宋体" w:hint="default"/>
                <w:sz w:val="16"/>
                <w:szCs w:val="16"/>
              </w:rPr>
            </w:pPr>
            <w:r>
              <w:rPr>
                <w:rFonts w:ascii="宋体" w:hAnsi="宋体" w:cs="宋体" w:eastAsia="宋体" w:hint="default"/>
                <w:w w:val="95"/>
                <w:sz w:val="16"/>
                <w:szCs w:val="16"/>
              </w:rPr>
              <w:t>其他收益</w:t>
            </w:r>
            <w:r>
              <w:rPr>
                <w:rFonts w:ascii="宋体" w:hAnsi="宋体" w:cs="宋体" w:eastAsia="宋体" w:hint="default"/>
                <w:sz w:val="16"/>
                <w:szCs w:val="16"/>
              </w:rPr>
            </w:r>
          </w:p>
        </w:tc>
      </w:tr>
      <w:tr>
        <w:trPr>
          <w:trHeight w:val="273" w:hRule="exact"/>
        </w:trPr>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5" w:right="0"/>
              <w:jc w:val="left"/>
              <w:rPr>
                <w:rFonts w:ascii="宋体" w:hAnsi="宋体" w:cs="宋体" w:eastAsia="宋体" w:hint="default"/>
                <w:sz w:val="16"/>
                <w:szCs w:val="16"/>
              </w:rPr>
            </w:pPr>
            <w:r>
              <w:rPr>
                <w:rFonts w:ascii="宋体" w:hAnsi="宋体" w:cs="宋体" w:eastAsia="宋体" w:hint="default"/>
                <w:spacing w:val="15"/>
                <w:sz w:val="16"/>
                <w:szCs w:val="16"/>
              </w:rPr>
              <w:t>基于大数据的非入侵式</w:t>
            </w:r>
          </w:p>
        </w:tc>
        <w:tc>
          <w:tcPr>
            <w:tcW w:w="1481" w:type="dxa"/>
            <w:tcBorders>
              <w:top w:val="nil" w:sz="6" w:space="0" w:color="auto"/>
              <w:left w:val="nil" w:sz="6" w:space="0" w:color="auto"/>
              <w:bottom w:val="nil" w:sz="6" w:space="0" w:color="auto"/>
              <w:right w:val="nil" w:sz="6" w:space="0" w:color="auto"/>
            </w:tcBorders>
          </w:tcPr>
          <w:p>
            <w:pPr/>
          </w:p>
        </w:tc>
        <w:tc>
          <w:tcPr>
            <w:tcW w:w="1467" w:type="dxa"/>
            <w:tcBorders>
              <w:top w:val="nil" w:sz="6" w:space="0" w:color="auto"/>
              <w:left w:val="nil" w:sz="6" w:space="0" w:color="auto"/>
              <w:bottom w:val="nil" w:sz="6" w:space="0" w:color="auto"/>
              <w:right w:val="nil" w:sz="6" w:space="0" w:color="auto"/>
            </w:tcBorders>
          </w:tcPr>
          <w:p>
            <w:pPr/>
          </w:p>
        </w:tc>
        <w:tc>
          <w:tcPr>
            <w:tcW w:w="1550" w:type="dxa"/>
            <w:tcBorders>
              <w:top w:val="nil" w:sz="6" w:space="0" w:color="auto"/>
              <w:left w:val="nil" w:sz="6" w:space="0" w:color="auto"/>
              <w:bottom w:val="nil" w:sz="6" w:space="0" w:color="auto"/>
              <w:right w:val="nil" w:sz="6" w:space="0" w:color="auto"/>
            </w:tcBorders>
          </w:tcPr>
          <w:p>
            <w:pPr/>
          </w:p>
        </w:tc>
        <w:tc>
          <w:tcPr>
            <w:tcW w:w="1020" w:type="dxa"/>
            <w:tcBorders>
              <w:top w:val="nil" w:sz="6" w:space="0" w:color="auto"/>
              <w:left w:val="nil" w:sz="6" w:space="0" w:color="auto"/>
              <w:bottom w:val="nil" w:sz="6" w:space="0" w:color="auto"/>
              <w:right w:val="nil" w:sz="6" w:space="0" w:color="auto"/>
            </w:tcBorders>
          </w:tcPr>
          <w:p>
            <w:pPr/>
          </w:p>
        </w:tc>
      </w:tr>
      <w:tr>
        <w:trPr>
          <w:trHeight w:val="488" w:hRule="exact"/>
        </w:trPr>
        <w:tc>
          <w:tcPr>
            <w:tcW w:w="2044" w:type="dxa"/>
            <w:tcBorders>
              <w:top w:val="nil" w:sz="6" w:space="0" w:color="auto"/>
              <w:left w:val="nil" w:sz="6" w:space="0" w:color="auto"/>
              <w:bottom w:val="nil" w:sz="6" w:space="0" w:color="auto"/>
              <w:right w:val="nil" w:sz="6" w:space="0" w:color="auto"/>
            </w:tcBorders>
          </w:tcPr>
          <w:p>
            <w:pPr>
              <w:pStyle w:val="TableParagraph"/>
              <w:spacing w:line="183" w:lineRule="exact"/>
              <w:ind w:left="35" w:right="0"/>
              <w:jc w:val="left"/>
              <w:rPr>
                <w:rFonts w:ascii="宋体" w:hAnsi="宋体" w:cs="宋体" w:eastAsia="宋体" w:hint="default"/>
                <w:sz w:val="16"/>
                <w:szCs w:val="16"/>
              </w:rPr>
            </w:pPr>
            <w:r>
              <w:rPr>
                <w:rFonts w:ascii="宋体" w:hAnsi="宋体" w:cs="宋体" w:eastAsia="宋体" w:hint="default"/>
                <w:spacing w:val="15"/>
                <w:sz w:val="16"/>
                <w:szCs w:val="16"/>
              </w:rPr>
              <w:t>负荷检测平台及传感器</w:t>
            </w:r>
          </w:p>
          <w:p>
            <w:pPr>
              <w:pStyle w:val="TableParagraph"/>
              <w:spacing w:line="209" w:lineRule="exact"/>
              <w:ind w:left="35" w:right="0"/>
              <w:jc w:val="left"/>
              <w:rPr>
                <w:rFonts w:ascii="宋体" w:hAnsi="宋体" w:cs="宋体" w:eastAsia="宋体" w:hint="default"/>
                <w:sz w:val="16"/>
                <w:szCs w:val="16"/>
              </w:rPr>
            </w:pPr>
            <w:r>
              <w:rPr>
                <w:rFonts w:ascii="宋体" w:hAnsi="宋体" w:cs="宋体" w:eastAsia="宋体" w:hint="default"/>
                <w:sz w:val="16"/>
                <w:szCs w:val="16"/>
              </w:rPr>
              <w:t>研发</w:t>
            </w:r>
          </w:p>
        </w:tc>
        <w:tc>
          <w:tcPr>
            <w:tcW w:w="1481"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263"/>
              <w:jc w:val="right"/>
              <w:rPr>
                <w:rFonts w:ascii="Times New Roman" w:hAnsi="Times New Roman" w:cs="Times New Roman" w:eastAsia="Times New Roman" w:hint="default"/>
                <w:sz w:val="16"/>
                <w:szCs w:val="16"/>
              </w:rPr>
            </w:pPr>
            <w:r>
              <w:rPr>
                <w:rFonts w:ascii="Times New Roman"/>
                <w:spacing w:val="-1"/>
                <w:sz w:val="16"/>
              </w:rPr>
              <w:t>2,000,000.00</w:t>
            </w:r>
          </w:p>
        </w:tc>
        <w:tc>
          <w:tcPr>
            <w:tcW w:w="1467" w:type="dxa"/>
            <w:tcBorders>
              <w:top w:val="nil" w:sz="6" w:space="0" w:color="auto"/>
              <w:left w:val="nil" w:sz="6" w:space="0" w:color="auto"/>
              <w:bottom w:val="nil" w:sz="6" w:space="0" w:color="auto"/>
              <w:right w:val="nil" w:sz="6" w:space="0" w:color="auto"/>
            </w:tcBorders>
          </w:tcPr>
          <w:p>
            <w:pPr/>
          </w:p>
        </w:tc>
        <w:tc>
          <w:tcPr>
            <w:tcW w:w="1550" w:type="dxa"/>
            <w:tcBorders>
              <w:top w:val="nil" w:sz="6" w:space="0" w:color="auto"/>
              <w:left w:val="nil" w:sz="6" w:space="0" w:color="auto"/>
              <w:bottom w:val="nil" w:sz="6" w:space="0" w:color="auto"/>
              <w:right w:val="nil" w:sz="6" w:space="0" w:color="auto"/>
            </w:tcBorders>
          </w:tcPr>
          <w:p>
            <w:pPr/>
          </w:p>
        </w:tc>
        <w:tc>
          <w:tcPr>
            <w:tcW w:w="1020" w:type="dxa"/>
            <w:tcBorders>
              <w:top w:val="nil" w:sz="6" w:space="0" w:color="auto"/>
              <w:left w:val="nil" w:sz="6" w:space="0" w:color="auto"/>
              <w:bottom w:val="nil" w:sz="6" w:space="0" w:color="auto"/>
              <w:right w:val="nil" w:sz="6" w:space="0" w:color="auto"/>
            </w:tcBorders>
          </w:tcPr>
          <w:p>
            <w:pPr/>
          </w:p>
        </w:tc>
      </w:tr>
      <w:tr>
        <w:trPr>
          <w:trHeight w:val="360" w:hRule="exact"/>
        </w:trPr>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5" w:right="0"/>
              <w:jc w:val="left"/>
              <w:rPr>
                <w:rFonts w:ascii="宋体" w:hAnsi="宋体" w:cs="宋体" w:eastAsia="宋体" w:hint="default"/>
                <w:sz w:val="16"/>
                <w:szCs w:val="16"/>
              </w:rPr>
            </w:pPr>
            <w:r>
              <w:rPr>
                <w:rFonts w:ascii="宋体" w:hAnsi="宋体" w:cs="宋体" w:eastAsia="宋体" w:hint="default"/>
                <w:sz w:val="16"/>
                <w:szCs w:val="16"/>
              </w:rPr>
              <w:t>专利补助</w:t>
            </w:r>
          </w:p>
        </w:tc>
        <w:tc>
          <w:tcPr>
            <w:tcW w:w="1481"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263"/>
              <w:jc w:val="right"/>
              <w:rPr>
                <w:rFonts w:ascii="Times New Roman" w:hAnsi="Times New Roman" w:cs="Times New Roman" w:eastAsia="Times New Roman" w:hint="default"/>
                <w:sz w:val="16"/>
                <w:szCs w:val="16"/>
              </w:rPr>
            </w:pPr>
            <w:r>
              <w:rPr>
                <w:rFonts w:ascii="Times New Roman"/>
                <w:spacing w:val="-1"/>
                <w:sz w:val="16"/>
              </w:rPr>
              <w:t>1,108,900.00</w:t>
            </w:r>
          </w:p>
        </w:tc>
        <w:tc>
          <w:tcPr>
            <w:tcW w:w="1467"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200"/>
              <w:jc w:val="right"/>
              <w:rPr>
                <w:rFonts w:ascii="Times New Roman" w:hAnsi="Times New Roman" w:cs="Times New Roman" w:eastAsia="Times New Roman" w:hint="default"/>
                <w:sz w:val="16"/>
                <w:szCs w:val="16"/>
              </w:rPr>
            </w:pPr>
            <w:r>
              <w:rPr>
                <w:rFonts w:ascii="Times New Roman"/>
                <w:spacing w:val="-1"/>
                <w:sz w:val="16"/>
              </w:rPr>
              <w:t>1,108,900.00</w:t>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344"/>
              <w:jc w:val="right"/>
              <w:rPr>
                <w:rFonts w:ascii="Times New Roman" w:hAnsi="Times New Roman" w:cs="Times New Roman" w:eastAsia="Times New Roman" w:hint="default"/>
                <w:sz w:val="16"/>
                <w:szCs w:val="16"/>
              </w:rPr>
            </w:pPr>
            <w:r>
              <w:rPr>
                <w:rFonts w:ascii="Times New Roman"/>
                <w:spacing w:val="-1"/>
                <w:sz w:val="16"/>
              </w:rPr>
              <w:t>485,672.00</w:t>
            </w:r>
          </w:p>
        </w:tc>
        <w:tc>
          <w:tcPr>
            <w:tcW w:w="1020"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33"/>
              <w:jc w:val="right"/>
              <w:rPr>
                <w:rFonts w:ascii="宋体" w:hAnsi="宋体" w:cs="宋体" w:eastAsia="宋体" w:hint="default"/>
                <w:sz w:val="16"/>
                <w:szCs w:val="16"/>
              </w:rPr>
            </w:pPr>
            <w:r>
              <w:rPr>
                <w:rFonts w:ascii="宋体" w:hAnsi="宋体" w:cs="宋体" w:eastAsia="宋体" w:hint="default"/>
                <w:w w:val="95"/>
                <w:sz w:val="16"/>
                <w:szCs w:val="16"/>
              </w:rPr>
              <w:t>其他收益</w:t>
            </w:r>
            <w:r>
              <w:rPr>
                <w:rFonts w:ascii="宋体" w:hAnsi="宋体" w:cs="宋体" w:eastAsia="宋体" w:hint="default"/>
                <w:sz w:val="16"/>
                <w:szCs w:val="16"/>
              </w:rPr>
            </w:r>
          </w:p>
        </w:tc>
      </w:tr>
      <w:tr>
        <w:trPr>
          <w:trHeight w:val="273" w:hRule="exact"/>
        </w:trPr>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5" w:right="0"/>
              <w:jc w:val="left"/>
              <w:rPr>
                <w:rFonts w:ascii="宋体" w:hAnsi="宋体" w:cs="宋体" w:eastAsia="宋体" w:hint="default"/>
                <w:sz w:val="16"/>
                <w:szCs w:val="16"/>
              </w:rPr>
            </w:pPr>
            <w:r>
              <w:rPr>
                <w:rFonts w:ascii="宋体" w:hAnsi="宋体" w:cs="宋体" w:eastAsia="宋体" w:hint="default"/>
                <w:spacing w:val="34"/>
                <w:sz w:val="16"/>
                <w:szCs w:val="16"/>
              </w:rPr>
              <w:t>长沙市经开区财政局</w:t>
            </w:r>
            <w:r>
              <w:rPr>
                <w:rFonts w:ascii="宋体" w:hAnsi="宋体" w:cs="宋体" w:eastAsia="宋体" w:hint="default"/>
                <w:spacing w:val="-41"/>
                <w:sz w:val="16"/>
                <w:szCs w:val="16"/>
              </w:rPr>
              <w:t> </w:t>
            </w:r>
            <w:r>
              <w:rPr>
                <w:rFonts w:ascii="宋体" w:hAnsi="宋体" w:cs="宋体" w:eastAsia="宋体" w:hint="default"/>
                <w:sz w:val="16"/>
                <w:szCs w:val="16"/>
              </w:rPr>
            </w:r>
          </w:p>
        </w:tc>
        <w:tc>
          <w:tcPr>
            <w:tcW w:w="1481" w:type="dxa"/>
            <w:tcBorders>
              <w:top w:val="nil" w:sz="6" w:space="0" w:color="auto"/>
              <w:left w:val="nil" w:sz="6" w:space="0" w:color="auto"/>
              <w:bottom w:val="nil" w:sz="6" w:space="0" w:color="auto"/>
              <w:right w:val="nil" w:sz="6" w:space="0" w:color="auto"/>
            </w:tcBorders>
          </w:tcPr>
          <w:p>
            <w:pPr/>
          </w:p>
        </w:tc>
        <w:tc>
          <w:tcPr>
            <w:tcW w:w="1467" w:type="dxa"/>
            <w:tcBorders>
              <w:top w:val="nil" w:sz="6" w:space="0" w:color="auto"/>
              <w:left w:val="nil" w:sz="6" w:space="0" w:color="auto"/>
              <w:bottom w:val="nil" w:sz="6" w:space="0" w:color="auto"/>
              <w:right w:val="nil" w:sz="6" w:space="0" w:color="auto"/>
            </w:tcBorders>
          </w:tcPr>
          <w:p>
            <w:pPr/>
          </w:p>
        </w:tc>
        <w:tc>
          <w:tcPr>
            <w:tcW w:w="1550" w:type="dxa"/>
            <w:tcBorders>
              <w:top w:val="nil" w:sz="6" w:space="0" w:color="auto"/>
              <w:left w:val="nil" w:sz="6" w:space="0" w:color="auto"/>
              <w:bottom w:val="nil" w:sz="6" w:space="0" w:color="auto"/>
              <w:right w:val="nil" w:sz="6" w:space="0" w:color="auto"/>
            </w:tcBorders>
          </w:tcPr>
          <w:p>
            <w:pPr/>
          </w:p>
        </w:tc>
        <w:tc>
          <w:tcPr>
            <w:tcW w:w="1020" w:type="dxa"/>
            <w:tcBorders>
              <w:top w:val="nil" w:sz="6" w:space="0" w:color="auto"/>
              <w:left w:val="nil" w:sz="6" w:space="0" w:color="auto"/>
              <w:bottom w:val="nil" w:sz="6" w:space="0" w:color="auto"/>
              <w:right w:val="nil" w:sz="6" w:space="0" w:color="auto"/>
            </w:tcBorders>
          </w:tcPr>
          <w:p>
            <w:pPr/>
          </w:p>
        </w:tc>
      </w:tr>
      <w:tr>
        <w:trPr>
          <w:trHeight w:val="537" w:hRule="exact"/>
        </w:trPr>
        <w:tc>
          <w:tcPr>
            <w:tcW w:w="2044" w:type="dxa"/>
            <w:tcBorders>
              <w:top w:val="nil" w:sz="6" w:space="0" w:color="auto"/>
              <w:left w:val="nil" w:sz="6" w:space="0" w:color="auto"/>
              <w:bottom w:val="nil" w:sz="6" w:space="0" w:color="auto"/>
              <w:right w:val="nil" w:sz="6" w:space="0" w:color="auto"/>
            </w:tcBorders>
          </w:tcPr>
          <w:p>
            <w:pPr>
              <w:pStyle w:val="TableParagraph"/>
              <w:spacing w:line="189" w:lineRule="exact"/>
              <w:ind w:left="35"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2018 </w:t>
            </w:r>
            <w:r>
              <w:rPr>
                <w:rFonts w:ascii="Times New Roman" w:hAnsi="Times New Roman" w:cs="Times New Roman" w:eastAsia="Times New Roman" w:hint="default"/>
                <w:spacing w:val="11"/>
                <w:sz w:val="16"/>
                <w:szCs w:val="16"/>
              </w:rPr>
              <w:t> </w:t>
            </w:r>
            <w:r>
              <w:rPr>
                <w:rFonts w:ascii="宋体" w:hAnsi="宋体" w:cs="宋体" w:eastAsia="宋体" w:hint="default"/>
                <w:spacing w:val="8"/>
                <w:sz w:val="16"/>
                <w:szCs w:val="16"/>
              </w:rPr>
              <w:t>年度第四批制造强</w:t>
            </w:r>
            <w:r>
              <w:rPr>
                <w:rFonts w:ascii="宋体" w:hAnsi="宋体" w:cs="宋体" w:eastAsia="宋体" w:hint="default"/>
                <w:sz w:val="16"/>
                <w:szCs w:val="16"/>
              </w:rPr>
            </w:r>
          </w:p>
          <w:p>
            <w:pPr>
              <w:pStyle w:val="TableParagraph"/>
              <w:spacing w:line="203" w:lineRule="exact"/>
              <w:ind w:left="35" w:right="0"/>
              <w:jc w:val="left"/>
              <w:rPr>
                <w:rFonts w:ascii="宋体" w:hAnsi="宋体" w:cs="宋体" w:eastAsia="宋体" w:hint="default"/>
                <w:sz w:val="16"/>
                <w:szCs w:val="16"/>
              </w:rPr>
            </w:pPr>
            <w:r>
              <w:rPr>
                <w:rFonts w:ascii="宋体" w:hAnsi="宋体" w:cs="宋体" w:eastAsia="宋体" w:hint="default"/>
                <w:sz w:val="16"/>
                <w:szCs w:val="16"/>
              </w:rPr>
              <w:t>省专项资金</w:t>
            </w:r>
          </w:p>
        </w:tc>
        <w:tc>
          <w:tcPr>
            <w:tcW w:w="1481"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263"/>
              <w:jc w:val="right"/>
              <w:rPr>
                <w:rFonts w:ascii="Times New Roman" w:hAnsi="Times New Roman" w:cs="Times New Roman" w:eastAsia="Times New Roman" w:hint="default"/>
                <w:sz w:val="16"/>
                <w:szCs w:val="16"/>
              </w:rPr>
            </w:pPr>
            <w:r>
              <w:rPr>
                <w:rFonts w:ascii="Times New Roman"/>
                <w:spacing w:val="-1"/>
                <w:sz w:val="16"/>
              </w:rPr>
              <w:t>1,000,000.00</w:t>
            </w:r>
          </w:p>
        </w:tc>
        <w:tc>
          <w:tcPr>
            <w:tcW w:w="1467" w:type="dxa"/>
            <w:tcBorders>
              <w:top w:val="nil" w:sz="6" w:space="0" w:color="auto"/>
              <w:left w:val="nil" w:sz="6" w:space="0" w:color="auto"/>
              <w:bottom w:val="nil" w:sz="6" w:space="0" w:color="auto"/>
              <w:right w:val="nil" w:sz="6" w:space="0" w:color="auto"/>
            </w:tcBorders>
          </w:tcPr>
          <w:p>
            <w:pPr/>
          </w:p>
        </w:tc>
        <w:tc>
          <w:tcPr>
            <w:tcW w:w="1550" w:type="dxa"/>
            <w:tcBorders>
              <w:top w:val="nil" w:sz="6" w:space="0" w:color="auto"/>
              <w:left w:val="nil" w:sz="6" w:space="0" w:color="auto"/>
              <w:bottom w:val="nil" w:sz="6" w:space="0" w:color="auto"/>
              <w:right w:val="nil" w:sz="6" w:space="0" w:color="auto"/>
            </w:tcBorders>
          </w:tcPr>
          <w:p>
            <w:pPr/>
          </w:p>
        </w:tc>
        <w:tc>
          <w:tcPr>
            <w:tcW w:w="1020" w:type="dxa"/>
            <w:tcBorders>
              <w:top w:val="nil" w:sz="6" w:space="0" w:color="auto"/>
              <w:left w:val="nil" w:sz="6" w:space="0" w:color="auto"/>
              <w:bottom w:val="nil" w:sz="6" w:space="0" w:color="auto"/>
              <w:right w:val="nil" w:sz="6" w:space="0" w:color="auto"/>
            </w:tcBorders>
          </w:tcPr>
          <w:p>
            <w:pPr/>
          </w:p>
        </w:tc>
      </w:tr>
      <w:tr>
        <w:trPr>
          <w:trHeight w:val="418" w:hRule="exact"/>
        </w:trPr>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95"/>
              <w:ind w:left="35" w:right="0"/>
              <w:jc w:val="left"/>
              <w:rPr>
                <w:rFonts w:ascii="宋体" w:hAnsi="宋体" w:cs="宋体" w:eastAsia="宋体" w:hint="default"/>
                <w:sz w:val="16"/>
                <w:szCs w:val="16"/>
              </w:rPr>
            </w:pPr>
            <w:r>
              <w:rPr>
                <w:rFonts w:ascii="宋体" w:hAnsi="宋体" w:cs="宋体" w:eastAsia="宋体" w:hint="default"/>
                <w:sz w:val="16"/>
                <w:szCs w:val="16"/>
              </w:rPr>
              <w:t>人才补贴</w:t>
            </w:r>
          </w:p>
        </w:tc>
        <w:tc>
          <w:tcPr>
            <w:tcW w:w="1481" w:type="dxa"/>
            <w:tcBorders>
              <w:top w:val="nil" w:sz="6" w:space="0" w:color="auto"/>
              <w:left w:val="nil" w:sz="6" w:space="0" w:color="auto"/>
              <w:bottom w:val="nil" w:sz="6" w:space="0" w:color="auto"/>
              <w:right w:val="nil" w:sz="6" w:space="0" w:color="auto"/>
            </w:tcBorders>
          </w:tcPr>
          <w:p>
            <w:pPr>
              <w:pStyle w:val="TableParagraph"/>
              <w:spacing w:line="240" w:lineRule="auto" w:before="137"/>
              <w:ind w:right="262"/>
              <w:jc w:val="right"/>
              <w:rPr>
                <w:rFonts w:ascii="Times New Roman" w:hAnsi="Times New Roman" w:cs="Times New Roman" w:eastAsia="Times New Roman" w:hint="default"/>
                <w:sz w:val="16"/>
                <w:szCs w:val="16"/>
              </w:rPr>
            </w:pPr>
            <w:r>
              <w:rPr>
                <w:rFonts w:ascii="Times New Roman"/>
                <w:spacing w:val="-1"/>
                <w:sz w:val="16"/>
              </w:rPr>
              <w:t>772,470.00</w:t>
            </w:r>
          </w:p>
        </w:tc>
        <w:tc>
          <w:tcPr>
            <w:tcW w:w="1467" w:type="dxa"/>
            <w:tcBorders>
              <w:top w:val="nil" w:sz="6" w:space="0" w:color="auto"/>
              <w:left w:val="nil" w:sz="6" w:space="0" w:color="auto"/>
              <w:bottom w:val="nil" w:sz="6" w:space="0" w:color="auto"/>
              <w:right w:val="nil" w:sz="6" w:space="0" w:color="auto"/>
            </w:tcBorders>
          </w:tcPr>
          <w:p>
            <w:pPr>
              <w:pStyle w:val="TableParagraph"/>
              <w:spacing w:line="240" w:lineRule="auto" w:before="137"/>
              <w:ind w:right="200"/>
              <w:jc w:val="right"/>
              <w:rPr>
                <w:rFonts w:ascii="Times New Roman" w:hAnsi="Times New Roman" w:cs="Times New Roman" w:eastAsia="Times New Roman" w:hint="default"/>
                <w:sz w:val="16"/>
                <w:szCs w:val="16"/>
              </w:rPr>
            </w:pPr>
            <w:r>
              <w:rPr>
                <w:rFonts w:ascii="Times New Roman"/>
                <w:spacing w:val="-1"/>
                <w:sz w:val="16"/>
              </w:rPr>
              <w:t>772,470.00</w:t>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137"/>
              <w:ind w:right="344"/>
              <w:jc w:val="right"/>
              <w:rPr>
                <w:rFonts w:ascii="Times New Roman" w:hAnsi="Times New Roman" w:cs="Times New Roman" w:eastAsia="Times New Roman" w:hint="default"/>
                <w:sz w:val="16"/>
                <w:szCs w:val="16"/>
              </w:rPr>
            </w:pPr>
            <w:r>
              <w:rPr>
                <w:rFonts w:ascii="Times New Roman"/>
                <w:spacing w:val="-1"/>
                <w:sz w:val="16"/>
              </w:rPr>
              <w:t>1,342,990.00</w:t>
            </w:r>
          </w:p>
        </w:tc>
        <w:tc>
          <w:tcPr>
            <w:tcW w:w="1020"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33"/>
              <w:jc w:val="right"/>
              <w:rPr>
                <w:rFonts w:ascii="宋体" w:hAnsi="宋体" w:cs="宋体" w:eastAsia="宋体" w:hint="default"/>
                <w:sz w:val="16"/>
                <w:szCs w:val="16"/>
              </w:rPr>
            </w:pPr>
            <w:r>
              <w:rPr>
                <w:rFonts w:ascii="宋体" w:hAnsi="宋体" w:cs="宋体" w:eastAsia="宋体" w:hint="default"/>
                <w:w w:val="95"/>
                <w:sz w:val="16"/>
                <w:szCs w:val="16"/>
              </w:rPr>
              <w:t>其他收益</w:t>
            </w:r>
            <w:r>
              <w:rPr>
                <w:rFonts w:ascii="宋体" w:hAnsi="宋体" w:cs="宋体" w:eastAsia="宋体" w:hint="default"/>
                <w:sz w:val="16"/>
                <w:szCs w:val="16"/>
              </w:rPr>
            </w:r>
          </w:p>
        </w:tc>
      </w:tr>
    </w:tbl>
    <w:p>
      <w:pPr>
        <w:spacing w:after="0" w:line="240" w:lineRule="auto"/>
        <w:jc w:val="right"/>
        <w:rPr>
          <w:rFonts w:ascii="宋体" w:hAnsi="宋体" w:cs="宋体" w:eastAsia="宋体" w:hint="default"/>
          <w:sz w:val="16"/>
          <w:szCs w:val="16"/>
        </w:rPr>
        <w:sectPr>
          <w:pgSz w:w="11910" w:h="16840"/>
          <w:pgMar w:header="0" w:footer="1001" w:top="1520" w:bottom="1200" w:left="1660" w:right="0"/>
        </w:sectPr>
      </w:pPr>
    </w:p>
    <w:p>
      <w:pPr>
        <w:spacing w:line="240" w:lineRule="auto" w:before="2"/>
        <w:rPr>
          <w:rFonts w:ascii="宋体" w:hAnsi="宋体" w:cs="宋体" w:eastAsia="宋体" w:hint="default"/>
          <w:b/>
          <w:bCs/>
          <w:sz w:val="9"/>
          <w:szCs w:val="9"/>
        </w:rPr>
      </w:pPr>
    </w:p>
    <w:p>
      <w:pPr>
        <w:spacing w:line="1318" w:lineRule="exact"/>
        <w:ind w:left="720" w:right="0" w:firstLine="0"/>
        <w:rPr>
          <w:rFonts w:ascii="宋体" w:hAnsi="宋体" w:cs="宋体" w:eastAsia="宋体" w:hint="default"/>
          <w:sz w:val="20"/>
          <w:szCs w:val="20"/>
        </w:rPr>
      </w:pPr>
      <w:r>
        <w:rPr>
          <w:rFonts w:ascii="宋体" w:hAnsi="宋体" w:cs="宋体" w:eastAsia="宋体" w:hint="default"/>
          <w:position w:val="-25"/>
          <w:sz w:val="20"/>
          <w:szCs w:val="20"/>
        </w:rPr>
        <w:pict>
          <v:group style="width:411.75pt;height:65.95pt;mso-position-horizontal-relative:char;mso-position-vertical-relative:line" coordorigin="0,0" coordsize="8235,1319">
            <v:group style="position:absolute;left:29;top:15;width:1965;height:2" coordorigin="29,15" coordsize="1965,2">
              <v:shape style="position:absolute;left:29;top:15;width:1965;height:2" coordorigin="29,15" coordsize="1965,0" path="m29,15l1994,15e" filled="false" stroked="true" strokeweight="1.5pt" strokecolor="#000000">
                <v:path arrowok="t"/>
              </v:shape>
              <v:shape style="position:absolute;left:1994;top:30;width:10;height:28" type="#_x0000_t75" stroked="false">
                <v:imagedata r:id="rId37" o:title=""/>
              </v:shape>
            </v:group>
            <v:group style="position:absolute;left:1994;top:15;width:1473;height:2" coordorigin="1994,15" coordsize="1473,2">
              <v:shape style="position:absolute;left:1994;top:15;width:1473;height:2" coordorigin="1994,15" coordsize="1473,0" path="m1994,15l3466,15e" filled="false" stroked="true" strokeweight="1.5pt" strokecolor="#000000">
                <v:path arrowok="t"/>
              </v:shape>
              <v:shape style="position:absolute;left:3466;top:30;width:10;height:28" type="#_x0000_t75" stroked="false">
                <v:imagedata r:id="rId37" o:title=""/>
              </v:shape>
            </v:group>
            <v:group style="position:absolute;left:3466;top:15;width:2936;height:2" coordorigin="3466,15" coordsize="2936,2">
              <v:shape style="position:absolute;left:3466;top:15;width:2936;height:2" coordorigin="3466,15" coordsize="2936,0" path="m3466,15l6401,15e" filled="false" stroked="true" strokeweight="1.5pt" strokecolor="#000000">
                <v:path arrowok="t"/>
              </v:shape>
              <v:shape style="position:absolute;left:6401;top:30;width:10;height:28" type="#_x0000_t75" stroked="false">
                <v:imagedata r:id="rId37" o:title=""/>
              </v:shape>
            </v:group>
            <v:group style="position:absolute;left:6401;top:15;width:1816;height:2" coordorigin="6401,15" coordsize="1816,2">
              <v:shape style="position:absolute;left:6401;top:15;width:1816;height:2" coordorigin="6401,15" coordsize="1816,0" path="m6401,15l8217,15e" filled="false" stroked="true" strokeweight="1.5pt" strokecolor="#000000">
                <v:path arrowok="t"/>
              </v:shape>
            </v:group>
            <v:group style="position:absolute;left:15;top:1304;width:1979;height:2" coordorigin="15,1304" coordsize="1979,2">
              <v:shape style="position:absolute;left:15;top:1304;width:1979;height:2" coordorigin="15,1304" coordsize="1979,0" path="m15,1304l1994,1304e" filled="false" stroked="true" strokeweight="1.5pt" strokecolor="#000000">
                <v:path arrowok="t"/>
              </v:shape>
            </v:group>
            <v:group style="position:absolute;left:1994;top:1304;width:1473;height:2" coordorigin="1994,1304" coordsize="1473,2">
              <v:shape style="position:absolute;left:1994;top:1304;width:1473;height:2" coordorigin="1994,1304" coordsize="1473,0" path="m1994,1304l3466,1304e" filled="false" stroked="true" strokeweight="1.5pt" strokecolor="#000000">
                <v:path arrowok="t"/>
              </v:shape>
            </v:group>
            <v:group style="position:absolute;left:3466;top:1304;width:1530;height:2" coordorigin="3466,1304" coordsize="1530,2">
              <v:shape style="position:absolute;left:3466;top:1304;width:1530;height:2" coordorigin="3466,1304" coordsize="1530,0" path="m3466,1304l4996,1304e" filled="false" stroked="true" strokeweight="1.5pt" strokecolor="#000000">
                <v:path arrowok="t"/>
              </v:shape>
            </v:group>
            <v:group style="position:absolute;left:4996;top:1304;width:1406;height:2" coordorigin="4996,1304" coordsize="1406,2">
              <v:shape style="position:absolute;left:4996;top:1304;width:1406;height:2" coordorigin="4996,1304" coordsize="1406,0" path="m4996,1304l6401,1304e" filled="false" stroked="true" strokeweight="1.5pt" strokecolor="#000000">
                <v:path arrowok="t"/>
              </v:shape>
              <v:shape style="position:absolute;left:10;top:38;width:8225;height:1250" type="#_x0000_t75" stroked="false">
                <v:imagedata r:id="rId472" o:title=""/>
              </v:shape>
            </v:group>
            <v:group style="position:absolute;left:6401;top:1304;width:1816;height:2" coordorigin="6401,1304" coordsize="1816,2">
              <v:shape style="position:absolute;left:6401;top:1304;width:1816;height:2" coordorigin="6401,1304" coordsize="1816,0" path="m6401,1304l8217,1304e" filled="false" stroked="true" strokeweight="1.5pt" strokecolor="#000000">
                <v:path arrowok="t"/>
              </v:shape>
              <v:shape style="position:absolute;left:854;top:403;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种类</w:t>
                      </w:r>
                      <w:r>
                        <w:rPr>
                          <w:rFonts w:ascii="宋体" w:hAnsi="宋体" w:cs="宋体" w:eastAsia="宋体" w:hint="default"/>
                          <w:sz w:val="16"/>
                          <w:szCs w:val="16"/>
                        </w:rPr>
                      </w:r>
                    </w:p>
                  </w:txbxContent>
                </v:textbox>
                <w10:wrap type="none"/>
              </v:shape>
              <v:shape style="position:absolute;left:2573;top:403;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金额</w:t>
                      </w:r>
                      <w:r>
                        <w:rPr>
                          <w:rFonts w:ascii="宋体" w:hAnsi="宋体" w:cs="宋体" w:eastAsia="宋体" w:hint="default"/>
                          <w:sz w:val="16"/>
                          <w:szCs w:val="16"/>
                        </w:rPr>
                      </w:r>
                    </w:p>
                  </w:txbxContent>
                </v:textbox>
                <w10:wrap type="none"/>
              </v:shape>
              <v:shape style="position:absolute;left:3658;top:122;width:2559;height:368" type="#_x0000_t202" filled="false" stroked="false">
                <v:textbox inset="0,0,0,0">
                  <w:txbxContent>
                    <w:p>
                      <w:pPr>
                        <w:spacing w:line="159" w:lineRule="exact" w:before="0"/>
                        <w:ind w:left="0" w:right="0" w:firstLine="0"/>
                        <w:jc w:val="center"/>
                        <w:rPr>
                          <w:rFonts w:ascii="宋体" w:hAnsi="宋体" w:cs="宋体" w:eastAsia="宋体" w:hint="default"/>
                          <w:sz w:val="16"/>
                          <w:szCs w:val="16"/>
                        </w:rPr>
                      </w:pPr>
                      <w:r>
                        <w:rPr>
                          <w:rFonts w:ascii="宋体" w:hAnsi="宋体" w:cs="宋体" w:eastAsia="宋体" w:hint="default"/>
                          <w:w w:val="95"/>
                          <w:sz w:val="16"/>
                          <w:szCs w:val="16"/>
                        </w:rPr>
                        <w:t>计入当期损益或冲减相关成本费用损</w:t>
                      </w:r>
                      <w:r>
                        <w:rPr>
                          <w:rFonts w:ascii="宋体" w:hAnsi="宋体" w:cs="宋体" w:eastAsia="宋体" w:hint="default"/>
                          <w:sz w:val="16"/>
                          <w:szCs w:val="16"/>
                        </w:rPr>
                      </w:r>
                    </w:p>
                    <w:p>
                      <w:pPr>
                        <w:spacing w:line="208" w:lineRule="exact" w:before="0"/>
                        <w:ind w:left="0" w:right="0" w:firstLine="0"/>
                        <w:jc w:val="center"/>
                        <w:rPr>
                          <w:rFonts w:ascii="宋体" w:hAnsi="宋体" w:cs="宋体" w:eastAsia="宋体" w:hint="default"/>
                          <w:sz w:val="16"/>
                          <w:szCs w:val="16"/>
                        </w:rPr>
                      </w:pPr>
                      <w:r>
                        <w:rPr>
                          <w:rFonts w:ascii="宋体" w:hAnsi="宋体" w:cs="宋体" w:eastAsia="宋体" w:hint="default"/>
                          <w:sz w:val="16"/>
                          <w:szCs w:val="16"/>
                        </w:rPr>
                        <w:t>失的金额</w:t>
                      </w:r>
                    </w:p>
                  </w:txbxContent>
                </v:textbox>
                <w10:wrap type="none"/>
              </v:shape>
              <v:shape style="position:absolute;left:3835;top:682;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本期发生额</w:t>
                      </w:r>
                      <w:r>
                        <w:rPr>
                          <w:rFonts w:ascii="宋体" w:hAnsi="宋体" w:cs="宋体" w:eastAsia="宋体" w:hint="default"/>
                          <w:sz w:val="16"/>
                          <w:szCs w:val="16"/>
                        </w:rPr>
                      </w:r>
                    </w:p>
                  </w:txbxContent>
                </v:textbox>
                <w10:wrap type="none"/>
              </v:shape>
              <v:shape style="position:absolute;left:5302;top:682;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上期发生额</w:t>
                      </w:r>
                      <w:r>
                        <w:rPr>
                          <w:rFonts w:ascii="宋体" w:hAnsi="宋体" w:cs="宋体" w:eastAsia="宋体" w:hint="default"/>
                          <w:sz w:val="16"/>
                          <w:szCs w:val="16"/>
                        </w:rPr>
                      </w:r>
                    </w:p>
                  </w:txbxContent>
                </v:textbox>
                <w10:wrap type="none"/>
              </v:shape>
              <v:shape style="position:absolute;left:6591;top:195;width:1439;height:575" type="#_x0000_t202" filled="false" stroked="false">
                <v:textbox inset="0,0,0,0">
                  <w:txbxContent>
                    <w:p>
                      <w:pPr>
                        <w:spacing w:line="158"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计入当期损益或冲减</w:t>
                      </w:r>
                      <w:r>
                        <w:rPr>
                          <w:rFonts w:ascii="宋体" w:hAnsi="宋体" w:cs="宋体" w:eastAsia="宋体" w:hint="default"/>
                          <w:sz w:val="16"/>
                          <w:szCs w:val="16"/>
                        </w:rPr>
                      </w:r>
                    </w:p>
                    <w:p>
                      <w:pPr>
                        <w:spacing w:before="0"/>
                        <w:ind w:left="560" w:right="0" w:hanging="561"/>
                        <w:jc w:val="left"/>
                        <w:rPr>
                          <w:rFonts w:ascii="宋体" w:hAnsi="宋体" w:cs="宋体" w:eastAsia="宋体" w:hint="default"/>
                          <w:sz w:val="16"/>
                          <w:szCs w:val="16"/>
                        </w:rPr>
                      </w:pPr>
                      <w:r>
                        <w:rPr>
                          <w:rFonts w:ascii="宋体" w:hAnsi="宋体" w:cs="宋体" w:eastAsia="宋体" w:hint="default"/>
                          <w:w w:val="95"/>
                          <w:sz w:val="16"/>
                          <w:szCs w:val="16"/>
                        </w:rPr>
                        <w:t>相关成本费用损失的</w:t>
                      </w:r>
                      <w:r>
                        <w:rPr>
                          <w:rFonts w:ascii="宋体" w:hAnsi="宋体" w:cs="宋体" w:eastAsia="宋体" w:hint="default"/>
                          <w:spacing w:val="-6"/>
                          <w:w w:val="95"/>
                          <w:sz w:val="16"/>
                          <w:szCs w:val="16"/>
                        </w:rPr>
                        <w:t> </w:t>
                      </w:r>
                      <w:r>
                        <w:rPr>
                          <w:rFonts w:ascii="宋体" w:hAnsi="宋体" w:cs="宋体" w:eastAsia="宋体" w:hint="default"/>
                          <w:spacing w:val="-6"/>
                          <w:w w:val="95"/>
                          <w:sz w:val="16"/>
                          <w:szCs w:val="16"/>
                        </w:rPr>
                      </w:r>
                      <w:r>
                        <w:rPr>
                          <w:rFonts w:ascii="宋体" w:hAnsi="宋体" w:cs="宋体" w:eastAsia="宋体" w:hint="default"/>
                          <w:sz w:val="16"/>
                          <w:szCs w:val="16"/>
                        </w:rPr>
                        <w:t>项目</w:t>
                      </w:r>
                    </w:p>
                  </w:txbxContent>
                </v:textbox>
                <w10:wrap type="none"/>
              </v:shape>
              <v:shape style="position:absolute;left:137;top:1036;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其他</w:t>
                      </w:r>
                      <w:r>
                        <w:rPr>
                          <w:rFonts w:ascii="宋体" w:hAnsi="宋体" w:cs="宋体" w:eastAsia="宋体" w:hint="default"/>
                          <w:sz w:val="16"/>
                          <w:szCs w:val="16"/>
                        </w:rPr>
                      </w:r>
                    </w:p>
                  </w:txbxContent>
                </v:textbox>
                <w10:wrap type="none"/>
              </v:shape>
              <v:shape style="position:absolute;left:2523;top:1050;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4,331,772.43</w:t>
                      </w:r>
                      <w:r>
                        <w:rPr>
                          <w:rFonts w:ascii="Times New Roman"/>
                          <w:sz w:val="16"/>
                        </w:rPr>
                      </w:r>
                    </w:p>
                  </w:txbxContent>
                </v:textbox>
                <w10:wrap type="none"/>
              </v:shape>
              <v:shape style="position:absolute;left:4052;top:1050;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4,331,772.43</w:t>
                      </w:r>
                      <w:r>
                        <w:rPr>
                          <w:rFonts w:ascii="Times New Roman"/>
                          <w:sz w:val="16"/>
                        </w:rPr>
                      </w:r>
                    </w:p>
                  </w:txbxContent>
                </v:textbox>
                <w10:wrap type="none"/>
              </v:shape>
              <v:shape style="position:absolute;left:5458;top:1050;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3,099,358.75</w:t>
                      </w:r>
                      <w:r>
                        <w:rPr>
                          <w:rFonts w:ascii="Times New Roman"/>
                          <w:sz w:val="16"/>
                        </w:rPr>
                      </w:r>
                    </w:p>
                  </w:txbxContent>
                </v:textbox>
                <w10:wrap type="none"/>
              </v:shape>
              <v:shape style="position:absolute;left:6992;top:1036;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其他收益</w:t>
                      </w:r>
                      <w:r>
                        <w:rPr>
                          <w:rFonts w:ascii="宋体" w:hAnsi="宋体" w:cs="宋体" w:eastAsia="宋体" w:hint="default"/>
                          <w:sz w:val="16"/>
                          <w:szCs w:val="16"/>
                        </w:rPr>
                      </w:r>
                    </w:p>
                  </w:txbxContent>
                </v:textbox>
                <w10:wrap type="none"/>
              </v:shape>
            </v:group>
          </v:group>
        </w:pict>
      </w:r>
      <w:r>
        <w:rPr>
          <w:rFonts w:ascii="宋体" w:hAnsi="宋体" w:cs="宋体" w:eastAsia="宋体" w:hint="default"/>
          <w:position w:val="-25"/>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5"/>
          <w:szCs w:val="15"/>
        </w:rPr>
      </w:pPr>
    </w:p>
    <w:p>
      <w:pPr>
        <w:pStyle w:val="Heading5"/>
        <w:spacing w:line="240" w:lineRule="auto"/>
        <w:ind w:right="3681"/>
        <w:jc w:val="left"/>
        <w:rPr>
          <w:b w:val="0"/>
          <w:bCs w:val="0"/>
        </w:rPr>
      </w:pPr>
      <w:r>
        <w:rPr/>
        <w:t>十三、</w:t>
      </w:r>
      <w:r>
        <w:rPr>
          <w:spacing w:val="-28"/>
        </w:rPr>
        <w:t> </w:t>
      </w:r>
      <w:r>
        <w:rPr/>
        <w:t>承诺及或有事项</w:t>
      </w:r>
      <w:r>
        <w:rPr>
          <w:b w:val="0"/>
          <w:bCs w:val="0"/>
        </w:rPr>
      </w:r>
    </w:p>
    <w:p>
      <w:pPr>
        <w:pStyle w:val="Heading5"/>
        <w:tabs>
          <w:tab w:pos="851" w:val="left" w:leader="none"/>
        </w:tabs>
        <w:spacing w:line="240" w:lineRule="auto" w:before="125"/>
        <w:ind w:right="3681"/>
        <w:jc w:val="left"/>
        <w:rPr>
          <w:b w:val="0"/>
          <w:bCs w:val="0"/>
        </w:rPr>
      </w:pPr>
      <w:r>
        <w:rPr>
          <w:rFonts w:ascii="Times New Roman" w:hAnsi="Times New Roman" w:cs="Times New Roman" w:eastAsia="Times New Roman" w:hint="default"/>
          <w:w w:val="95"/>
        </w:rPr>
        <w:t>(</w:t>
      </w:r>
      <w:r>
        <w:rPr>
          <w:w w:val="95"/>
        </w:rPr>
        <w:t>一</w:t>
      </w:r>
      <w:r>
        <w:rPr>
          <w:rFonts w:ascii="Times New Roman" w:hAnsi="Times New Roman" w:cs="Times New Roman" w:eastAsia="Times New Roman" w:hint="default"/>
          <w:w w:val="95"/>
        </w:rPr>
        <w:t>)</w:t>
        <w:tab/>
      </w:r>
      <w:r>
        <w:rPr/>
        <w:t>重要承诺事项</w:t>
      </w:r>
      <w:r>
        <w:rPr>
          <w:b w:val="0"/>
          <w:bCs w:val="0"/>
        </w:rPr>
      </w:r>
    </w:p>
    <w:p>
      <w:pPr>
        <w:tabs>
          <w:tab w:pos="1397" w:val="left" w:leader="none"/>
        </w:tabs>
        <w:spacing w:line="328" w:lineRule="auto" w:before="110"/>
        <w:ind w:left="1413" w:right="1922" w:hanging="567"/>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资产负债表日存在的重要承诺</w:t>
      </w:r>
      <w:r>
        <w:rPr>
          <w:rFonts w:ascii="宋体" w:hAnsi="宋体" w:cs="宋体" w:eastAsia="宋体" w:hint="default"/>
          <w:b/>
          <w:bCs/>
          <w:spacing w:val="1"/>
          <w:w w:val="99"/>
          <w:sz w:val="21"/>
          <w:szCs w:val="21"/>
        </w:rPr>
        <w:t> </w:t>
      </w:r>
      <w:r>
        <w:rPr>
          <w:rFonts w:ascii="宋体" w:hAnsi="宋体" w:cs="宋体" w:eastAsia="宋体" w:hint="default"/>
          <w:sz w:val="21"/>
          <w:szCs w:val="21"/>
        </w:rPr>
        <w:t>其中，与关联方相关的未确认承诺事项详见本附注</w:t>
      </w:r>
      <w:r>
        <w:rPr>
          <w:rFonts w:ascii="Times New Roman" w:hAnsi="Times New Roman" w:cs="Times New Roman" w:eastAsia="Times New Roman" w:hint="default"/>
          <w:sz w:val="21"/>
          <w:szCs w:val="21"/>
        </w:rPr>
        <w:t>“</w:t>
      </w:r>
      <w:r>
        <w:rPr>
          <w:rFonts w:ascii="宋体" w:hAnsi="宋体" w:cs="宋体" w:eastAsia="宋体" w:hint="default"/>
          <w:sz w:val="21"/>
          <w:szCs w:val="21"/>
        </w:rPr>
        <w:t>十、关联方及关联交易</w:t>
      </w:r>
      <w:r>
        <w:rPr>
          <w:rFonts w:ascii="Times New Roman" w:hAnsi="Times New Roman" w:cs="Times New Roman" w:eastAsia="Times New Roman" w:hint="default"/>
          <w:sz w:val="21"/>
          <w:szCs w:val="21"/>
        </w:rPr>
        <w:t>” </w:t>
      </w:r>
      <w:r>
        <w:rPr>
          <w:rFonts w:ascii="宋体" w:hAnsi="宋体" w:cs="宋体" w:eastAsia="宋体" w:hint="default"/>
          <w:sz w:val="21"/>
          <w:szCs w:val="21"/>
        </w:rPr>
        <w:t>部分相应内容。</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pStyle w:val="Heading5"/>
        <w:tabs>
          <w:tab w:pos="851" w:val="left" w:leader="none"/>
        </w:tabs>
        <w:spacing w:line="240" w:lineRule="auto" w:before="0"/>
        <w:ind w:right="3681"/>
        <w:jc w:val="left"/>
        <w:rPr>
          <w:b w:val="0"/>
          <w:bCs w:val="0"/>
        </w:rPr>
      </w:pPr>
      <w:r>
        <w:rPr>
          <w:rFonts w:ascii="Times New Roman" w:hAnsi="Times New Roman" w:cs="Times New Roman" w:eastAsia="Times New Roman" w:hint="default"/>
          <w:w w:val="95"/>
        </w:rPr>
        <w:t>(</w:t>
      </w:r>
      <w:r>
        <w:rPr>
          <w:w w:val="95"/>
        </w:rPr>
        <w:t>二</w:t>
      </w:r>
      <w:r>
        <w:rPr>
          <w:rFonts w:ascii="Times New Roman" w:hAnsi="Times New Roman" w:cs="Times New Roman" w:eastAsia="Times New Roman" w:hint="default"/>
          <w:w w:val="95"/>
        </w:rPr>
        <w:t>)</w:t>
        <w:tab/>
      </w:r>
      <w:r>
        <w:rPr>
          <w:spacing w:val="1"/>
        </w:rPr>
        <w:t>或有事项</w:t>
      </w:r>
      <w:r>
        <w:rPr>
          <w:b w:val="0"/>
          <w:bCs w:val="0"/>
        </w:rPr>
      </w:r>
    </w:p>
    <w:p>
      <w:pPr>
        <w:tabs>
          <w:tab w:pos="1397" w:val="left" w:leader="none"/>
        </w:tabs>
        <w:spacing w:line="331" w:lineRule="auto" w:before="109"/>
        <w:ind w:left="1413" w:right="5684" w:hanging="567"/>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资产负债表日存在的重要或有事项</w:t>
      </w:r>
      <w:r>
        <w:rPr>
          <w:rFonts w:ascii="宋体" w:hAnsi="宋体" w:cs="宋体" w:eastAsia="宋体" w:hint="default"/>
          <w:b/>
          <w:bCs/>
          <w:w w:val="99"/>
          <w:sz w:val="21"/>
          <w:szCs w:val="21"/>
        </w:rPr>
        <w:t> </w:t>
      </w:r>
      <w:r>
        <w:rPr>
          <w:rFonts w:ascii="宋体" w:hAnsi="宋体" w:cs="宋体" w:eastAsia="宋体" w:hint="default"/>
          <w:sz w:val="21"/>
          <w:szCs w:val="21"/>
        </w:rPr>
        <w:t>对外提供担保形成的或有负债</w:t>
      </w:r>
    </w:p>
    <w:p>
      <w:pPr>
        <w:pStyle w:val="BodyText"/>
        <w:spacing w:line="240" w:lineRule="auto" w:before="45"/>
        <w:ind w:right="1793"/>
        <w:jc w:val="left"/>
      </w:pPr>
      <w:r>
        <w:rPr/>
        <w:t>担保事项已经公司</w:t>
      </w:r>
      <w:r>
        <w:rPr>
          <w:spacing w:val="-54"/>
        </w:rPr>
        <w:t> </w:t>
      </w:r>
      <w:r>
        <w:rPr>
          <w:rFonts w:ascii="Times New Roman" w:hAnsi="Times New Roman" w:cs="Times New Roman" w:eastAsia="Times New Roman" w:hint="default"/>
        </w:rPr>
        <w:t>2018</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26</w:t>
      </w:r>
      <w:r>
        <w:rPr>
          <w:rFonts w:ascii="Times New Roman" w:hAnsi="Times New Roman" w:cs="Times New Roman" w:eastAsia="Times New Roman" w:hint="default"/>
          <w:spacing w:val="-1"/>
        </w:rPr>
        <w:t> </w:t>
      </w:r>
      <w:r>
        <w:rPr/>
        <w:t>日第七届董事会第二次会议、</w:t>
      </w:r>
      <w:r>
        <w:rPr>
          <w:rFonts w:ascii="Times New Roman" w:hAnsi="Times New Roman" w:cs="Times New Roman" w:eastAsia="Times New Roman" w:hint="default"/>
        </w:rPr>
        <w:t>2018</w:t>
      </w:r>
      <w:r>
        <w:rPr>
          <w:rFonts w:ascii="Times New Roman" w:hAnsi="Times New Roman" w:cs="Times New Roman" w:eastAsia="Times New Roman" w:hint="default"/>
          <w:spacing w:val="-2"/>
        </w:rPr>
        <w:t> </w:t>
      </w:r>
      <w:r>
        <w:rPr/>
        <w:t>年</w:t>
      </w:r>
      <w:r>
        <w:rPr>
          <w:spacing w:val="-55"/>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月</w:t>
      </w:r>
    </w:p>
    <w:p>
      <w:pPr>
        <w:pStyle w:val="BodyText"/>
        <w:spacing w:line="240" w:lineRule="auto"/>
        <w:ind w:right="3681"/>
        <w:jc w:val="left"/>
      </w:pPr>
      <w:r>
        <w:rPr>
          <w:rFonts w:ascii="Times New Roman" w:hAnsi="Times New Roman" w:cs="Times New Roman" w:eastAsia="Times New Roman" w:hint="default"/>
        </w:rPr>
        <w:t>29</w:t>
      </w:r>
      <w:r>
        <w:rPr>
          <w:rFonts w:ascii="Times New Roman" w:hAnsi="Times New Roman" w:cs="Times New Roman" w:eastAsia="Times New Roman" w:hint="default"/>
          <w:spacing w:val="-3"/>
        </w:rPr>
        <w:t> </w:t>
      </w:r>
      <w:r>
        <w:rPr/>
        <w:t>日</w:t>
      </w:r>
      <w:r>
        <w:rPr>
          <w:spacing w:val="-55"/>
        </w:rPr>
        <w:t> </w:t>
      </w:r>
      <w:r>
        <w:rPr>
          <w:rFonts w:ascii="Times New Roman" w:hAnsi="Times New Roman" w:cs="Times New Roman" w:eastAsia="Times New Roman" w:hint="default"/>
        </w:rPr>
        <w:t>2017</w:t>
      </w:r>
      <w:r>
        <w:rPr>
          <w:rFonts w:ascii="Times New Roman" w:hAnsi="Times New Roman" w:cs="Times New Roman" w:eastAsia="Times New Roman" w:hint="default"/>
          <w:spacing w:val="-2"/>
        </w:rPr>
        <w:t> </w:t>
      </w:r>
      <w:r>
        <w:rPr/>
        <w:t>年度股东大会审议通过。</w:t>
      </w:r>
    </w:p>
    <w:p>
      <w:pPr>
        <w:pStyle w:val="BodyText"/>
        <w:spacing w:line="343" w:lineRule="auto" w:before="110"/>
        <w:ind w:right="1671" w:hanging="1"/>
        <w:jc w:val="left"/>
      </w:pPr>
      <w:r>
        <w:rPr/>
        <w:t>（</w:t>
      </w:r>
      <w:r>
        <w:rPr>
          <w:rFonts w:ascii="Times New Roman" w:hAnsi="Times New Roman" w:cs="Times New Roman" w:eastAsia="Times New Roman" w:hint="default"/>
        </w:rPr>
        <w:t>1</w:t>
      </w:r>
      <w:r>
        <w:rPr/>
        <w:t>）对外担保 </w:t>
      </w:r>
      <w:r>
        <w:rPr>
          <w:spacing w:val="-4"/>
        </w:rPr>
        <w:t>长沙中电软件园有限公司在每位贷款购买其房屋的购房人与贷款银行签订《固</w:t>
      </w:r>
      <w:r>
        <w:rPr>
          <w:spacing w:val="-74"/>
        </w:rPr>
        <w:t> </w:t>
      </w:r>
      <w:r>
        <w:rPr>
          <w:spacing w:val="-74"/>
        </w:rPr>
      </w:r>
      <w:r>
        <w:rPr/>
        <w:t>定资产借款合同》时与贷款银行签订相应的《保证合同》为购房人（借款人） 向贷款银行申请的按揭贷款提供阶段性担保，担保总额不超过人民币</w:t>
      </w:r>
      <w:r>
        <w:rPr>
          <w:spacing w:val="-53"/>
        </w:rPr>
        <w:t> </w:t>
      </w:r>
      <w:r>
        <w:rPr>
          <w:rFonts w:ascii="Times New Roman" w:hAnsi="Times New Roman" w:cs="Times New Roman" w:eastAsia="Times New Roman" w:hint="default"/>
        </w:rPr>
        <w:t>2 </w:t>
      </w:r>
      <w:r>
        <w:rPr/>
        <w:t>亿元。</w:t>
      </w:r>
    </w:p>
    <w:p>
      <w:pPr>
        <w:pStyle w:val="BodyText"/>
        <w:spacing w:line="240" w:lineRule="auto" w:before="9"/>
        <w:ind w:right="3681"/>
        <w:jc w:val="left"/>
      </w:pPr>
      <w:r>
        <w:rPr/>
        <w:t>（</w:t>
      </w:r>
      <w:r>
        <w:rPr>
          <w:rFonts w:ascii="Times New Roman" w:hAnsi="Times New Roman" w:cs="Times New Roman" w:eastAsia="Times New Roman" w:hint="default"/>
        </w:rPr>
        <w:t>2</w:t>
      </w:r>
      <w:r>
        <w:rPr/>
        <w:t>）为下属子公司提供担保及下属子公司之间的担保</w:t>
      </w:r>
    </w:p>
    <w:p>
      <w:pPr>
        <w:pStyle w:val="BodyText"/>
        <w:spacing w:line="240" w:lineRule="auto"/>
        <w:ind w:right="1793"/>
        <w:jc w:val="left"/>
      </w:pPr>
      <w:r>
        <w:rPr>
          <w:rFonts w:ascii="Times New Roman" w:hAnsi="Times New Roman" w:cs="Times New Roman" w:eastAsia="Times New Roman" w:hint="default"/>
        </w:rPr>
        <w:t>1</w:t>
      </w:r>
      <w:r>
        <w:rPr/>
        <w:t>）因使用《全面金融合作协议》项下授信及贷款额度所涉及的担保</w:t>
      </w:r>
    </w:p>
    <w:p>
      <w:pPr>
        <w:pStyle w:val="BodyText"/>
        <w:spacing w:line="345" w:lineRule="auto" w:before="110"/>
        <w:ind w:right="1792"/>
        <w:jc w:val="both"/>
      </w:pPr>
      <w:r>
        <w:rPr>
          <w:spacing w:val="-4"/>
        </w:rPr>
        <w:t>①根据下属公司日常资金使用需求，公司为湖南长城信息金融设备有限责任公</w:t>
      </w:r>
      <w:r>
        <w:rPr>
          <w:spacing w:val="-73"/>
        </w:rPr>
        <w:t> </w:t>
      </w:r>
      <w:r>
        <w:rPr>
          <w:spacing w:val="-73"/>
        </w:rPr>
      </w:r>
      <w:r>
        <w:rPr>
          <w:spacing w:val="-4"/>
        </w:rPr>
        <w:t>司、湖南长城医疗科技有限公司、长沙湘计海盾科技有限公司、长沙中电软件</w:t>
      </w:r>
      <w:r>
        <w:rPr>
          <w:spacing w:val="-74"/>
        </w:rPr>
        <w:t> </w:t>
      </w:r>
      <w:r>
        <w:rPr>
          <w:spacing w:val="-74"/>
        </w:rPr>
      </w:r>
      <w:r>
        <w:rPr>
          <w:spacing w:val="-4"/>
        </w:rPr>
        <w:t>园有限公司、湖南长城计算机系统有限公司使用《全面金融合作协议》项下的</w:t>
      </w:r>
      <w:r>
        <w:rPr>
          <w:spacing w:val="-74"/>
        </w:rPr>
        <w:t> </w:t>
      </w:r>
      <w:r>
        <w:rPr>
          <w:spacing w:val="-74"/>
        </w:rPr>
      </w:r>
      <w:r>
        <w:rPr/>
        <w:t>综合授信额度分别提供不超过人民币</w:t>
      </w:r>
      <w:r>
        <w:rPr>
          <w:spacing w:val="-49"/>
        </w:rPr>
        <w:t> </w:t>
      </w:r>
      <w:r>
        <w:rPr>
          <w:rFonts w:ascii="Times New Roman" w:hAnsi="Times New Roman" w:cs="Times New Roman" w:eastAsia="Times New Roman" w:hint="default"/>
        </w:rPr>
        <w:t>20,000.00</w:t>
      </w:r>
      <w:r>
        <w:rPr>
          <w:rFonts w:ascii="Times New Roman" w:hAnsi="Times New Roman" w:cs="Times New Roman" w:eastAsia="Times New Roman" w:hint="default"/>
          <w:spacing w:val="3"/>
        </w:rPr>
        <w:t> </w:t>
      </w:r>
      <w:r>
        <w:rPr>
          <w:spacing w:val="-8"/>
        </w:rPr>
        <w:t>万元、</w:t>
      </w:r>
      <w:r>
        <w:rPr>
          <w:rFonts w:ascii="Times New Roman" w:hAnsi="Times New Roman" w:cs="Times New Roman" w:eastAsia="Times New Roman" w:hint="default"/>
          <w:spacing w:val="-8"/>
        </w:rPr>
        <w:t>5,000.00</w:t>
      </w:r>
      <w:r>
        <w:rPr>
          <w:rFonts w:ascii="Times New Roman" w:hAnsi="Times New Roman" w:cs="Times New Roman" w:eastAsia="Times New Roman" w:hint="default"/>
          <w:spacing w:val="4"/>
        </w:rPr>
        <w:t> </w:t>
      </w:r>
      <w:r>
        <w:rPr>
          <w:spacing w:val="-8"/>
        </w:rPr>
        <w:t>万元、</w:t>
      </w:r>
      <w:r>
        <w:rPr>
          <w:rFonts w:ascii="Times New Roman" w:hAnsi="Times New Roman" w:cs="Times New Roman" w:eastAsia="Times New Roman" w:hint="default"/>
          <w:spacing w:val="-8"/>
        </w:rPr>
        <w:t>10,000.00</w:t>
      </w:r>
      <w:r>
        <w:rPr>
          <w:rFonts w:ascii="Times New Roman" w:hAnsi="Times New Roman" w:cs="Times New Roman" w:eastAsia="Times New Roman" w:hint="default"/>
          <w:spacing w:val="-1"/>
        </w:rPr>
        <w:t> </w:t>
      </w:r>
      <w:r>
        <w:rPr/>
        <w:t>万元、</w:t>
      </w:r>
      <w:r>
        <w:rPr>
          <w:rFonts w:ascii="Times New Roman" w:hAnsi="Times New Roman" w:cs="Times New Roman" w:eastAsia="Times New Roman" w:hint="default"/>
        </w:rPr>
        <w:t>7,000.00 </w:t>
      </w:r>
      <w:r>
        <w:rPr/>
        <w:t>万元、</w:t>
      </w:r>
      <w:r>
        <w:rPr>
          <w:rFonts w:ascii="Times New Roman" w:hAnsi="Times New Roman" w:cs="Times New Roman" w:eastAsia="Times New Roman" w:hint="default"/>
        </w:rPr>
        <w:t>10,000.00</w:t>
      </w:r>
      <w:r>
        <w:rPr>
          <w:rFonts w:ascii="Times New Roman" w:hAnsi="Times New Roman" w:cs="Times New Roman" w:eastAsia="Times New Roman" w:hint="default"/>
          <w:spacing w:val="-11"/>
        </w:rPr>
        <w:t> </w:t>
      </w:r>
      <w:r>
        <w:rPr/>
        <w:t>万元的信用担保；</w:t>
      </w:r>
    </w:p>
    <w:p>
      <w:pPr>
        <w:pStyle w:val="BodyText"/>
        <w:spacing w:line="340" w:lineRule="auto" w:before="6"/>
        <w:ind w:right="1682"/>
        <w:jc w:val="left"/>
      </w:pPr>
      <w:r>
        <w:rPr>
          <w:spacing w:val="-4"/>
        </w:rPr>
        <w:t>②根据武汉中原电子集团有限公司下属公司日常资金使用需求，武汉中原电子</w:t>
      </w:r>
      <w:r>
        <w:rPr>
          <w:spacing w:val="-73"/>
        </w:rPr>
        <w:t> </w:t>
      </w:r>
      <w:r>
        <w:rPr>
          <w:spacing w:val="-73"/>
        </w:rPr>
      </w:r>
      <w:r>
        <w:rPr>
          <w:spacing w:val="-4"/>
        </w:rPr>
        <w:t>集团有限公司为武汉中元通信股份有限公司、武汉长光电源有限公司、武汉中</w:t>
      </w:r>
      <w:r>
        <w:rPr>
          <w:spacing w:val="-73"/>
        </w:rPr>
        <w:t> </w:t>
      </w:r>
      <w:r>
        <w:rPr>
          <w:spacing w:val="-73"/>
        </w:rPr>
      </w:r>
      <w:r>
        <w:rPr>
          <w:spacing w:val="-4"/>
        </w:rPr>
        <w:t>原电子信息有限公司、武汉中原长江科技发展有限公司使用《全面金融合作协</w:t>
      </w:r>
      <w:r>
        <w:rPr>
          <w:spacing w:val="-73"/>
        </w:rPr>
        <w:t> </w:t>
      </w:r>
      <w:r>
        <w:rPr>
          <w:spacing w:val="-73"/>
        </w:rPr>
      </w:r>
      <w:r>
        <w:rPr/>
        <w:t>议》项下的综合授信额度分别提供不超过人民币</w:t>
      </w:r>
      <w:r>
        <w:rPr>
          <w:spacing w:val="-55"/>
        </w:rPr>
        <w:t> </w:t>
      </w:r>
      <w:r>
        <w:rPr>
          <w:rFonts w:ascii="Times New Roman" w:hAnsi="Times New Roman" w:cs="Times New Roman" w:eastAsia="Times New Roman" w:hint="default"/>
        </w:rPr>
        <w:t>25,500.00</w:t>
      </w:r>
      <w:r>
        <w:rPr>
          <w:rFonts w:ascii="Times New Roman" w:hAnsi="Times New Roman" w:cs="Times New Roman" w:eastAsia="Times New Roman" w:hint="default"/>
          <w:spacing w:val="-3"/>
        </w:rPr>
        <w:t> </w:t>
      </w:r>
      <w:r>
        <w:rPr/>
        <w:t>万元、</w:t>
      </w:r>
      <w:r>
        <w:rPr>
          <w:rFonts w:ascii="Times New Roman" w:hAnsi="Times New Roman" w:cs="Times New Roman" w:eastAsia="Times New Roman" w:hint="default"/>
        </w:rPr>
        <w:t>8,000.00</w:t>
      </w:r>
      <w:r>
        <w:rPr>
          <w:rFonts w:ascii="Times New Roman" w:hAnsi="Times New Roman" w:cs="Times New Roman" w:eastAsia="Times New Roman" w:hint="default"/>
          <w:spacing w:val="-2"/>
        </w:rPr>
        <w:t> </w:t>
      </w:r>
      <w:r>
        <w:rPr/>
        <w:t>万 元、</w:t>
      </w:r>
      <w:r>
        <w:rPr>
          <w:rFonts w:ascii="Times New Roman" w:hAnsi="Times New Roman" w:cs="Times New Roman" w:eastAsia="Times New Roman" w:hint="default"/>
        </w:rPr>
        <w:t>8,000.00 </w:t>
      </w:r>
      <w:r>
        <w:rPr/>
        <w:t>万元、</w:t>
      </w:r>
      <w:r>
        <w:rPr>
          <w:rFonts w:ascii="Times New Roman" w:hAnsi="Times New Roman" w:cs="Times New Roman" w:eastAsia="Times New Roman" w:hint="default"/>
        </w:rPr>
        <w:t>6,000.00</w:t>
      </w:r>
      <w:r>
        <w:rPr>
          <w:rFonts w:ascii="Times New Roman" w:hAnsi="Times New Roman" w:cs="Times New Roman" w:eastAsia="Times New Roman" w:hint="default"/>
          <w:spacing w:val="-1"/>
        </w:rPr>
        <w:t> </w:t>
      </w:r>
      <w:r>
        <w:rPr/>
        <w:t>万元的信用担保。 </w:t>
      </w:r>
      <w:r>
        <w:rPr>
          <w:rFonts w:ascii="Times New Roman" w:hAnsi="Times New Roman" w:cs="Times New Roman" w:eastAsia="Times New Roman" w:hint="default"/>
        </w:rPr>
        <w:t>2</w:t>
      </w:r>
      <w:r>
        <w:rPr/>
        <w:t>）因向银行申请授信额度涉及的担保</w:t>
      </w:r>
    </w:p>
    <w:p>
      <w:pPr>
        <w:pStyle w:val="BodyText"/>
        <w:spacing w:line="350" w:lineRule="auto" w:before="11"/>
        <w:ind w:right="1682"/>
        <w:jc w:val="left"/>
      </w:pPr>
      <w:r>
        <w:rPr>
          <w:spacing w:val="-4"/>
        </w:rPr>
        <w:t>①基于柏怡电子有限公司正常经营业务的流动资金需求，柏怡电子有限公司通</w:t>
      </w:r>
      <w:r>
        <w:rPr>
          <w:spacing w:val="-73"/>
        </w:rPr>
        <w:t> </w:t>
      </w:r>
      <w:r>
        <w:rPr>
          <w:spacing w:val="-73"/>
        </w:rPr>
      </w:r>
      <w:r>
        <w:rPr/>
        <w:t>过债券质押和信用担保的复合担保方式向香港汇丰银行申请综合授信额度</w:t>
      </w:r>
    </w:p>
    <w:p>
      <w:pPr>
        <w:spacing w:after="0" w:line="350" w:lineRule="auto"/>
        <w:jc w:val="left"/>
        <w:sectPr>
          <w:pgSz w:w="11910" w:h="16840"/>
          <w:pgMar w:header="0" w:footer="1001" w:top="1520" w:bottom="1200" w:left="1660" w:right="0"/>
        </w:sectPr>
      </w:pPr>
    </w:p>
    <w:p>
      <w:pPr>
        <w:spacing w:line="240" w:lineRule="auto" w:before="8"/>
        <w:rPr>
          <w:rFonts w:ascii="宋体" w:hAnsi="宋体" w:cs="宋体" w:eastAsia="宋体" w:hint="default"/>
          <w:sz w:val="13"/>
          <w:szCs w:val="13"/>
        </w:rPr>
      </w:pPr>
    </w:p>
    <w:p>
      <w:pPr>
        <w:pStyle w:val="BodyText"/>
        <w:spacing w:line="240" w:lineRule="auto" w:before="35"/>
        <w:ind w:right="3681"/>
        <w:jc w:val="left"/>
      </w:pPr>
      <w:r>
        <w:rPr>
          <w:rFonts w:ascii="Times New Roman" w:hAnsi="Times New Roman" w:cs="Times New Roman" w:eastAsia="Times New Roman" w:hint="default"/>
        </w:rPr>
        <w:t>9,</w:t>
      </w:r>
      <w:r>
        <w:rPr>
          <w:rFonts w:ascii="Times New Roman" w:hAnsi="Times New Roman" w:cs="Times New Roman" w:eastAsia="Times New Roman" w:hint="default"/>
          <w:spacing w:val="-1"/>
        </w:rPr>
        <w:t>2</w:t>
      </w:r>
      <w:r>
        <w:rPr>
          <w:rFonts w:ascii="Times New Roman" w:hAnsi="Times New Roman" w:cs="Times New Roman" w:eastAsia="Times New Roman" w:hint="default"/>
        </w:rPr>
        <w:t>0</w:t>
      </w:r>
      <w:r>
        <w:rPr>
          <w:rFonts w:ascii="Times New Roman" w:hAnsi="Times New Roman" w:cs="Times New Roman" w:eastAsia="Times New Roman" w:hint="default"/>
          <w:spacing w:val="-1"/>
        </w:rPr>
        <w:t>0.0</w:t>
      </w:r>
      <w:r>
        <w:rPr>
          <w:rFonts w:ascii="Times New Roman" w:hAnsi="Times New Roman" w:cs="Times New Roman" w:eastAsia="Times New Roman" w:hint="default"/>
        </w:rPr>
        <w:t>0</w:t>
      </w:r>
      <w:r>
        <w:rPr>
          <w:rFonts w:ascii="Times New Roman" w:hAnsi="Times New Roman" w:cs="Times New Roman" w:eastAsia="Times New Roman" w:hint="default"/>
          <w:spacing w:val="1"/>
        </w:rPr>
        <w:t> </w:t>
      </w:r>
      <w:r>
        <w:rPr/>
        <w:t>万</w:t>
      </w:r>
      <w:r>
        <w:rPr>
          <w:spacing w:val="-2"/>
        </w:rPr>
        <w:t>港</w:t>
      </w:r>
      <w:r>
        <w:rPr/>
        <w:t>币（含</w:t>
      </w:r>
      <w:r>
        <w:rPr>
          <w:spacing w:val="-53"/>
        </w:rPr>
        <w:t> </w:t>
      </w:r>
      <w:r>
        <w:rPr>
          <w:rFonts w:ascii="Times New Roman" w:hAnsi="Times New Roman" w:cs="Times New Roman" w:eastAsia="Times New Roman" w:hint="default"/>
        </w:rPr>
        <w:t>8</w:t>
      </w:r>
      <w:r>
        <w:rPr>
          <w:rFonts w:ascii="Times New Roman" w:hAnsi="Times New Roman" w:cs="Times New Roman" w:eastAsia="Times New Roman" w:hint="default"/>
          <w:spacing w:val="-1"/>
        </w:rPr>
        <w:t>0</w:t>
      </w:r>
      <w:r>
        <w:rPr>
          <w:rFonts w:ascii="Times New Roman" w:hAnsi="Times New Roman" w:cs="Times New Roman" w:eastAsia="Times New Roman" w:hint="default"/>
        </w:rPr>
        <w:t>0</w:t>
      </w:r>
      <w:r>
        <w:rPr>
          <w:rFonts w:ascii="Times New Roman" w:hAnsi="Times New Roman" w:cs="Times New Roman" w:eastAsia="Times New Roman" w:hint="default"/>
          <w:spacing w:val="-1"/>
        </w:rPr>
        <w:t> </w:t>
      </w:r>
      <w:r>
        <w:rPr/>
        <w:t>万美元应收账款保理额度</w:t>
      </w:r>
      <w:r>
        <w:rPr>
          <w:spacing w:val="-105"/>
        </w:rPr>
        <w:t>）</w:t>
      </w:r>
      <w:r>
        <w:rPr/>
        <w:t>；</w:t>
      </w:r>
    </w:p>
    <w:p>
      <w:pPr>
        <w:pStyle w:val="BodyText"/>
        <w:spacing w:line="345" w:lineRule="auto" w:before="110"/>
        <w:ind w:right="1671"/>
        <w:jc w:val="left"/>
      </w:pPr>
      <w:r>
        <w:rPr>
          <w:spacing w:val="-4"/>
        </w:rPr>
        <w:t>②根据湖南长城信息金融设备有限责任公司日常资金使用需求，湖南长城信息</w:t>
      </w:r>
      <w:r>
        <w:rPr>
          <w:spacing w:val="-73"/>
        </w:rPr>
        <w:t> </w:t>
      </w:r>
      <w:r>
        <w:rPr>
          <w:spacing w:val="-73"/>
        </w:rPr>
      </w:r>
      <w:r>
        <w:rPr/>
        <w:t>金融设备有限责任公司通过本公司信用担保的方式向建设银行长沙芙蓉支行、 </w:t>
      </w:r>
      <w:r>
        <w:rPr>
          <w:spacing w:val="-4"/>
        </w:rPr>
        <w:t>招商银行长沙分行、中信银行长沙分行、中国银行长沙蔡锷支行分别申请人民</w:t>
      </w:r>
      <w:r>
        <w:rPr>
          <w:spacing w:val="-73"/>
        </w:rPr>
        <w:t> </w:t>
      </w:r>
      <w:r>
        <w:rPr>
          <w:spacing w:val="-73"/>
        </w:rPr>
      </w:r>
      <w:r>
        <w:rPr/>
        <w:t>币</w:t>
      </w:r>
      <w:r>
        <w:rPr>
          <w:spacing w:val="-56"/>
        </w:rPr>
        <w:t> </w:t>
      </w:r>
      <w:r>
        <w:rPr>
          <w:rFonts w:ascii="Times New Roman" w:hAnsi="Times New Roman" w:cs="Times New Roman" w:eastAsia="Times New Roman" w:hint="default"/>
        </w:rPr>
        <w:t>56,000.00</w:t>
      </w:r>
      <w:r>
        <w:rPr>
          <w:rFonts w:ascii="Times New Roman" w:hAnsi="Times New Roman" w:cs="Times New Roman" w:eastAsia="Times New Roman" w:hint="default"/>
          <w:spacing w:val="-4"/>
        </w:rPr>
        <w:t> </w:t>
      </w:r>
      <w:r>
        <w:rPr/>
        <w:t>万元、</w:t>
      </w:r>
      <w:r>
        <w:rPr>
          <w:rFonts w:ascii="Times New Roman" w:hAnsi="Times New Roman" w:cs="Times New Roman" w:eastAsia="Times New Roman" w:hint="default"/>
        </w:rPr>
        <w:t>8,000.00</w:t>
      </w:r>
      <w:r>
        <w:rPr>
          <w:rFonts w:ascii="Times New Roman" w:hAnsi="Times New Roman" w:cs="Times New Roman" w:eastAsia="Times New Roman" w:hint="default"/>
          <w:spacing w:val="-3"/>
        </w:rPr>
        <w:t> </w:t>
      </w:r>
      <w:r>
        <w:rPr/>
        <w:t>万元、</w:t>
      </w:r>
      <w:r>
        <w:rPr>
          <w:rFonts w:ascii="Times New Roman" w:hAnsi="Times New Roman" w:cs="Times New Roman" w:eastAsia="Times New Roman" w:hint="default"/>
        </w:rPr>
        <w:t>5,000.00</w:t>
      </w:r>
      <w:r>
        <w:rPr>
          <w:rFonts w:ascii="Times New Roman" w:hAnsi="Times New Roman" w:cs="Times New Roman" w:eastAsia="Times New Roman" w:hint="default"/>
          <w:spacing w:val="-3"/>
        </w:rPr>
        <w:t> </w:t>
      </w:r>
      <w:r>
        <w:rPr/>
        <w:t>万元、</w:t>
      </w:r>
      <w:r>
        <w:rPr>
          <w:rFonts w:ascii="Times New Roman" w:hAnsi="Times New Roman" w:cs="Times New Roman" w:eastAsia="Times New Roman" w:hint="default"/>
        </w:rPr>
        <w:t>50,000.00</w:t>
      </w:r>
      <w:r>
        <w:rPr>
          <w:rFonts w:ascii="Times New Roman" w:hAnsi="Times New Roman" w:cs="Times New Roman" w:eastAsia="Times New Roman" w:hint="default"/>
          <w:spacing w:val="-3"/>
        </w:rPr>
        <w:t> </w:t>
      </w:r>
      <w:r>
        <w:rPr/>
        <w:t>万元的综合授信 额度；</w:t>
      </w:r>
    </w:p>
    <w:p>
      <w:pPr>
        <w:pStyle w:val="BodyText"/>
        <w:spacing w:line="343" w:lineRule="auto" w:before="32"/>
        <w:ind w:right="1784"/>
        <w:jc w:val="left"/>
      </w:pPr>
      <w:r>
        <w:rPr>
          <w:spacing w:val="-4"/>
        </w:rPr>
        <w:t>③根据长沙中电软件园有限公司日常资金使用及项目开展需求，长沙中电软件</w:t>
      </w:r>
      <w:r>
        <w:rPr>
          <w:spacing w:val="-73"/>
        </w:rPr>
        <w:t> </w:t>
      </w:r>
      <w:r>
        <w:rPr>
          <w:spacing w:val="-73"/>
        </w:rPr>
      </w:r>
      <w:r>
        <w:rPr/>
        <w:t>园有限公司以其全部股东（公司持股</w:t>
      </w:r>
      <w:r>
        <w:rPr>
          <w:spacing w:val="-55"/>
        </w:rPr>
        <w:t> </w:t>
      </w:r>
      <w:r>
        <w:rPr>
          <w:rFonts w:ascii="Times New Roman" w:hAnsi="Times New Roman" w:cs="Times New Roman" w:eastAsia="Times New Roman" w:hint="default"/>
        </w:rPr>
        <w:t>70%</w:t>
      </w:r>
      <w:r>
        <w:rPr/>
        <w:t>、长沙软件园持股</w:t>
      </w:r>
      <w:r>
        <w:rPr>
          <w:spacing w:val="-55"/>
        </w:rPr>
        <w:t> </w:t>
      </w:r>
      <w:r>
        <w:rPr>
          <w:rFonts w:ascii="Times New Roman" w:hAnsi="Times New Roman" w:cs="Times New Roman" w:eastAsia="Times New Roman" w:hint="default"/>
        </w:rPr>
        <w:t>30%</w:t>
      </w:r>
      <w:r>
        <w:rPr/>
        <w:t>）提供信用 担保的方式向建设银行长沙芙蓉支行、长沙银行科技支行分别申请人民币 </w:t>
      </w:r>
      <w:r>
        <w:rPr>
          <w:rFonts w:ascii="Times New Roman" w:hAnsi="Times New Roman" w:cs="Times New Roman" w:eastAsia="Times New Roman" w:hint="default"/>
        </w:rPr>
        <w:t>22,500.00 </w:t>
      </w:r>
      <w:r>
        <w:rPr>
          <w:spacing w:val="-4"/>
        </w:rPr>
        <w:t>万元、</w:t>
      </w:r>
      <w:r>
        <w:rPr>
          <w:rFonts w:ascii="Times New Roman" w:hAnsi="Times New Roman" w:cs="Times New Roman" w:eastAsia="Times New Roman" w:hint="default"/>
          <w:spacing w:val="-4"/>
        </w:rPr>
        <w:t>5,000.00</w:t>
      </w:r>
      <w:r>
        <w:rPr>
          <w:rFonts w:ascii="Times New Roman" w:hAnsi="Times New Roman" w:cs="Times New Roman" w:eastAsia="Times New Roman" w:hint="default"/>
          <w:spacing w:val="23"/>
        </w:rPr>
        <w:t> </w:t>
      </w:r>
      <w:r>
        <w:rPr>
          <w:spacing w:val="-4"/>
        </w:rPr>
        <w:t>万元的综合授信额度，期限均为一年；按持股比例计</w:t>
      </w:r>
    </w:p>
    <w:p>
      <w:pPr>
        <w:pStyle w:val="BodyText"/>
        <w:spacing w:line="328" w:lineRule="auto" w:before="10"/>
        <w:ind w:right="1833"/>
        <w:jc w:val="left"/>
      </w:pPr>
      <w:r>
        <w:rPr/>
        <w:t>算，公司需提供的信用担保金额为不超过人民币</w:t>
      </w:r>
      <w:r>
        <w:rPr>
          <w:spacing w:val="-55"/>
        </w:rPr>
        <w:t> </w:t>
      </w:r>
      <w:r>
        <w:rPr>
          <w:rFonts w:ascii="Times New Roman" w:hAnsi="Times New Roman" w:cs="Times New Roman" w:eastAsia="Times New Roman" w:hint="default"/>
        </w:rPr>
        <w:t>19,250</w:t>
      </w:r>
      <w:r>
        <w:rPr>
          <w:rFonts w:ascii="Times New Roman" w:hAnsi="Times New Roman" w:cs="Times New Roman" w:eastAsia="Times New Roman" w:hint="default"/>
          <w:spacing w:val="-2"/>
        </w:rPr>
        <w:t> </w:t>
      </w:r>
      <w:r>
        <w:rPr/>
        <w:t>万元，保证期间为担 保合同生效之日起至债务履行期限届满之日后两年止；</w:t>
      </w:r>
    </w:p>
    <w:p>
      <w:pPr>
        <w:pStyle w:val="BodyText"/>
        <w:spacing w:line="350" w:lineRule="auto" w:before="47"/>
        <w:ind w:right="1682"/>
        <w:jc w:val="left"/>
      </w:pPr>
      <w:r>
        <w:rPr>
          <w:spacing w:val="-4"/>
        </w:rPr>
        <w:t>④根据湖南海盾光纤传感技术工程实验室有限公司日常资金使用需求，长沙湘</w:t>
      </w:r>
      <w:r>
        <w:rPr>
          <w:spacing w:val="-73"/>
        </w:rPr>
        <w:t> </w:t>
      </w:r>
      <w:r>
        <w:rPr>
          <w:spacing w:val="-73"/>
        </w:rPr>
      </w:r>
      <w:r>
        <w:rPr/>
        <w:t>计海盾科技有限公司为其在招商银行长沙大河西先导区支行申请的银行综合 授信额度人民币</w:t>
      </w:r>
      <w:r>
        <w:rPr>
          <w:spacing w:val="-56"/>
        </w:rPr>
        <w:t> </w:t>
      </w:r>
      <w:r>
        <w:rPr>
          <w:rFonts w:ascii="Times New Roman" w:hAnsi="Times New Roman" w:cs="Times New Roman" w:eastAsia="Times New Roman" w:hint="default"/>
        </w:rPr>
        <w:t>5,000.00</w:t>
      </w:r>
      <w:r>
        <w:rPr>
          <w:rFonts w:ascii="Times New Roman" w:hAnsi="Times New Roman" w:cs="Times New Roman" w:eastAsia="Times New Roman" w:hint="default"/>
          <w:spacing w:val="-3"/>
        </w:rPr>
        <w:t> </w:t>
      </w:r>
      <w:r>
        <w:rPr/>
        <w:t>万元提供信用担保；</w:t>
      </w:r>
    </w:p>
    <w:p>
      <w:pPr>
        <w:pStyle w:val="BodyText"/>
        <w:spacing w:line="350" w:lineRule="auto" w:before="2"/>
        <w:ind w:right="1682"/>
        <w:jc w:val="left"/>
        <w:rPr>
          <w:rFonts w:ascii="Times New Roman" w:hAnsi="Times New Roman" w:cs="Times New Roman" w:eastAsia="Times New Roman" w:hint="default"/>
        </w:rPr>
      </w:pPr>
      <w:r>
        <w:rPr>
          <w:spacing w:val="-4"/>
        </w:rPr>
        <w:t>⑤根据日常资金使用需求，武汉中原电子集团有限公司为武汉中元通信股份有</w:t>
      </w:r>
      <w:r>
        <w:rPr>
          <w:spacing w:val="-73"/>
        </w:rPr>
        <w:t> </w:t>
      </w:r>
      <w:r>
        <w:rPr>
          <w:spacing w:val="-73"/>
        </w:rPr>
      </w:r>
      <w:r>
        <w:rPr/>
        <w:t>限公司共用其在邮储银行武汉分行申请的银行综合授信额度人民币</w:t>
      </w:r>
      <w:r>
        <w:rPr>
          <w:spacing w:val="-57"/>
        </w:rPr>
        <w:t> </w:t>
      </w:r>
      <w:r>
        <w:rPr>
          <w:rFonts w:ascii="Times New Roman" w:hAnsi="Times New Roman" w:cs="Times New Roman" w:eastAsia="Times New Roman" w:hint="default"/>
        </w:rPr>
        <w:t>50,000.00</w:t>
      </w:r>
    </w:p>
    <w:p>
      <w:pPr>
        <w:pStyle w:val="BodyText"/>
        <w:spacing w:line="340" w:lineRule="auto" w:before="2"/>
        <w:ind w:right="1782"/>
        <w:jc w:val="left"/>
      </w:pPr>
      <w:r>
        <w:rPr/>
        <w:t>万元中的</w:t>
      </w:r>
      <w:r>
        <w:rPr>
          <w:spacing w:val="-56"/>
        </w:rPr>
        <w:t> </w:t>
      </w:r>
      <w:r>
        <w:rPr>
          <w:rFonts w:ascii="Times New Roman" w:hAnsi="Times New Roman" w:cs="Times New Roman" w:eastAsia="Times New Roman" w:hint="default"/>
        </w:rPr>
        <w:t>40,000.00</w:t>
      </w:r>
      <w:r>
        <w:rPr>
          <w:rFonts w:ascii="Times New Roman" w:hAnsi="Times New Roman" w:cs="Times New Roman" w:eastAsia="Times New Roman" w:hint="default"/>
          <w:spacing w:val="-3"/>
        </w:rPr>
        <w:t> </w:t>
      </w:r>
      <w:r>
        <w:rPr/>
        <w:t>万元提供信用担保；为武汉中元通信股份有限公司、武汉 长光电源有限公司共用其在招商银行武汉分行申请的银行综合授信额度人民 币</w:t>
      </w:r>
      <w:r>
        <w:rPr>
          <w:spacing w:val="-57"/>
        </w:rPr>
        <w:t> </w:t>
      </w:r>
      <w:r>
        <w:rPr>
          <w:rFonts w:ascii="Times New Roman" w:hAnsi="Times New Roman" w:cs="Times New Roman" w:eastAsia="Times New Roman" w:hint="default"/>
        </w:rPr>
        <w:t>25,000.00</w:t>
      </w:r>
      <w:r>
        <w:rPr>
          <w:rFonts w:ascii="Times New Roman" w:hAnsi="Times New Roman" w:cs="Times New Roman" w:eastAsia="Times New Roman" w:hint="default"/>
          <w:spacing w:val="-5"/>
        </w:rPr>
        <w:t> </w:t>
      </w:r>
      <w:r>
        <w:rPr/>
        <w:t>万元中的</w:t>
      </w:r>
      <w:r>
        <w:rPr>
          <w:spacing w:val="-57"/>
        </w:rPr>
        <w:t> </w:t>
      </w:r>
      <w:r>
        <w:rPr>
          <w:rFonts w:ascii="Times New Roman" w:hAnsi="Times New Roman" w:cs="Times New Roman" w:eastAsia="Times New Roman" w:hint="default"/>
        </w:rPr>
        <w:t>18,000.00</w:t>
      </w:r>
      <w:r>
        <w:rPr>
          <w:rFonts w:ascii="Times New Roman" w:hAnsi="Times New Roman" w:cs="Times New Roman" w:eastAsia="Times New Roman" w:hint="default"/>
          <w:spacing w:val="-4"/>
        </w:rPr>
        <w:t> </w:t>
      </w:r>
      <w:r>
        <w:rPr/>
        <w:t>万元、</w:t>
      </w:r>
      <w:r>
        <w:rPr>
          <w:rFonts w:ascii="Times New Roman" w:hAnsi="Times New Roman" w:cs="Times New Roman" w:eastAsia="Times New Roman" w:hint="default"/>
        </w:rPr>
        <w:t>5,000.00</w:t>
      </w:r>
      <w:r>
        <w:rPr>
          <w:rFonts w:ascii="Times New Roman" w:hAnsi="Times New Roman" w:cs="Times New Roman" w:eastAsia="Times New Roman" w:hint="default"/>
          <w:spacing w:val="-3"/>
        </w:rPr>
        <w:t> </w:t>
      </w:r>
      <w:r>
        <w:rPr/>
        <w:t>万元提供信用担保；</w:t>
      </w:r>
    </w:p>
    <w:p>
      <w:pPr>
        <w:pStyle w:val="BodyText"/>
        <w:spacing w:line="340" w:lineRule="auto" w:before="11"/>
        <w:ind w:right="1682"/>
        <w:jc w:val="left"/>
      </w:pPr>
      <w:r>
        <w:rPr>
          <w:spacing w:val="-4"/>
        </w:rPr>
        <w:t>⑥根据日常资金使用需求，武汉中元通信股份有限公司为武汉中原电子信息有</w:t>
      </w:r>
      <w:r>
        <w:rPr>
          <w:spacing w:val="-73"/>
        </w:rPr>
        <w:t> </w:t>
      </w:r>
      <w:r>
        <w:rPr>
          <w:spacing w:val="-73"/>
        </w:rPr>
      </w:r>
      <w:r>
        <w:rPr/>
        <w:t>限公司共用其在民生银行武汉分行申请的银行综合授信额度人民币</w:t>
      </w:r>
      <w:r>
        <w:rPr>
          <w:spacing w:val="-54"/>
        </w:rPr>
        <w:t> </w:t>
      </w:r>
      <w:r>
        <w:rPr>
          <w:rFonts w:ascii="Times New Roman" w:hAnsi="Times New Roman" w:cs="Times New Roman" w:eastAsia="Times New Roman" w:hint="default"/>
        </w:rPr>
        <w:t>6,000.00 </w:t>
      </w:r>
      <w:r>
        <w:rPr/>
        <w:t>万元提供信用担保。</w:t>
      </w:r>
    </w:p>
    <w:p>
      <w:pPr>
        <w:spacing w:line="240" w:lineRule="auto" w:before="0"/>
        <w:rPr>
          <w:rFonts w:ascii="宋体" w:hAnsi="宋体" w:cs="宋体" w:eastAsia="宋体" w:hint="default"/>
          <w:sz w:val="20"/>
          <w:szCs w:val="20"/>
        </w:rPr>
      </w:pPr>
    </w:p>
    <w:p>
      <w:pPr>
        <w:pStyle w:val="Heading5"/>
        <w:tabs>
          <w:tab w:pos="1397" w:val="left" w:leader="none"/>
        </w:tabs>
        <w:spacing w:line="331" w:lineRule="auto" w:before="174"/>
        <w:ind w:left="1413" w:right="1792" w:hanging="567"/>
        <w:jc w:val="left"/>
        <w:rPr>
          <w:b w:val="0"/>
          <w:bCs w:val="0"/>
        </w:rPr>
      </w:pPr>
      <w:r>
        <w:rPr>
          <w:rFonts w:ascii="Times New Roman" w:hAnsi="Times New Roman" w:cs="Times New Roman" w:eastAsia="Times New Roman" w:hint="default"/>
          <w:w w:val="95"/>
        </w:rPr>
        <w:t>2</w:t>
      </w:r>
      <w:r>
        <w:rPr>
          <w:w w:val="95"/>
        </w:rPr>
        <w:t>、</w:t>
        <w:tab/>
      </w:r>
      <w:r>
        <w:rPr/>
        <w:t>除存在上述或有事项外，截至</w:t>
      </w:r>
      <w:r>
        <w:rPr>
          <w:spacing w:val="-54"/>
        </w:rPr>
        <w:t> </w:t>
      </w:r>
      <w:r>
        <w:rPr>
          <w:rFonts w:ascii="Times New Roman" w:hAnsi="Times New Roman" w:cs="Times New Roman" w:eastAsia="Times New Roman" w:hint="default"/>
          <w:spacing w:val="-1"/>
        </w:rPr>
        <w:t>2018</w:t>
      </w:r>
      <w:r>
        <w:rPr>
          <w:rFonts w:ascii="Times New Roman" w:hAnsi="Times New Roman" w:cs="Times New Roman" w:eastAsia="Times New Roman" w:hint="default"/>
          <w:spacing w:val="-3"/>
        </w:rPr>
        <w:t> </w:t>
      </w: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3"/>
        </w:rPr>
        <w:t> </w:t>
      </w:r>
      <w:r>
        <w:rPr/>
        <w:t>月</w:t>
      </w:r>
      <w:r>
        <w:rPr>
          <w:spacing w:val="-54"/>
        </w:rPr>
        <w:t> </w:t>
      </w:r>
      <w:r>
        <w:rPr>
          <w:rFonts w:ascii="Times New Roman" w:hAnsi="Times New Roman" w:cs="Times New Roman" w:eastAsia="Times New Roman" w:hint="default"/>
          <w:spacing w:val="-1"/>
        </w:rPr>
        <w:t>31</w:t>
      </w:r>
      <w:r>
        <w:rPr>
          <w:rFonts w:ascii="Times New Roman" w:hAnsi="Times New Roman" w:cs="Times New Roman" w:eastAsia="Times New Roman" w:hint="default"/>
          <w:spacing w:val="-3"/>
        </w:rPr>
        <w:t> </w:t>
      </w:r>
      <w:r>
        <w:rPr/>
        <w:t>日，本公司无其他重大或有事</w:t>
      </w:r>
      <w:r>
        <w:rPr>
          <w:spacing w:val="1"/>
          <w:w w:val="99"/>
        </w:rPr>
        <w:t> </w:t>
      </w:r>
      <w:r>
        <w:rPr/>
        <w:t>项。</w:t>
      </w:r>
      <w:r>
        <w:rPr>
          <w:b w:val="0"/>
          <w:bCs w:val="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3"/>
          <w:szCs w:val="13"/>
        </w:rPr>
      </w:pPr>
    </w:p>
    <w:p>
      <w:pPr>
        <w:pStyle w:val="Heading5"/>
        <w:spacing w:line="240" w:lineRule="auto" w:before="0"/>
        <w:ind w:right="3681"/>
        <w:jc w:val="left"/>
        <w:rPr>
          <w:b w:val="0"/>
          <w:bCs w:val="0"/>
        </w:rPr>
      </w:pPr>
      <w:r>
        <w:rPr/>
        <w:t>十四、</w:t>
      </w:r>
      <w:r>
        <w:rPr>
          <w:spacing w:val="-26"/>
        </w:rPr>
        <w:t> </w:t>
      </w:r>
      <w:r>
        <w:rPr/>
        <w:t>资产负债表日后事项</w:t>
      </w:r>
      <w:r>
        <w:rPr>
          <w:b w:val="0"/>
          <w:bCs w:val="0"/>
        </w:rPr>
      </w:r>
    </w:p>
    <w:p>
      <w:pPr>
        <w:pStyle w:val="Heading5"/>
        <w:tabs>
          <w:tab w:pos="851" w:val="left" w:leader="none"/>
        </w:tabs>
        <w:spacing w:line="240" w:lineRule="auto" w:before="126"/>
        <w:ind w:right="3681"/>
        <w:jc w:val="left"/>
        <w:rPr>
          <w:b w:val="0"/>
          <w:bCs w:val="0"/>
        </w:rPr>
      </w:pPr>
      <w:r>
        <w:rPr>
          <w:rFonts w:ascii="Times New Roman" w:hAnsi="Times New Roman" w:cs="Times New Roman" w:eastAsia="Times New Roman" w:hint="default"/>
          <w:w w:val="95"/>
        </w:rPr>
        <w:t>(</w:t>
      </w:r>
      <w:r>
        <w:rPr>
          <w:w w:val="95"/>
        </w:rPr>
        <w:t>一</w:t>
      </w:r>
      <w:r>
        <w:rPr>
          <w:rFonts w:ascii="Times New Roman" w:hAnsi="Times New Roman" w:cs="Times New Roman" w:eastAsia="Times New Roman" w:hint="default"/>
          <w:w w:val="95"/>
        </w:rPr>
        <w:t>)</w:t>
        <w:tab/>
      </w:r>
      <w:r>
        <w:rPr/>
        <w:t>利润分配情况</w:t>
      </w:r>
      <w:r>
        <w:rPr>
          <w:b w:val="0"/>
          <w:bCs w:val="0"/>
        </w:rPr>
      </w:r>
    </w:p>
    <w:p>
      <w:pPr>
        <w:pStyle w:val="BodyText"/>
        <w:spacing w:line="240" w:lineRule="auto"/>
        <w:ind w:left="851" w:right="0"/>
        <w:jc w:val="both"/>
        <w:rPr>
          <w:rFonts w:ascii="Times New Roman" w:hAnsi="Times New Roman" w:cs="Times New Roman" w:eastAsia="Times New Roman" w:hint="default"/>
        </w:rPr>
      </w:pPr>
      <w:r>
        <w:rPr>
          <w:rFonts w:ascii="Times New Roman" w:hAnsi="Times New Roman" w:cs="Times New Roman" w:eastAsia="Times New Roman" w:hint="default"/>
        </w:rPr>
        <w:t>2018</w:t>
      </w:r>
      <w:r>
        <w:rPr>
          <w:rFonts w:ascii="Times New Roman" w:hAnsi="Times New Roman" w:cs="Times New Roman" w:eastAsia="Times New Roman" w:hint="default"/>
          <w:spacing w:val="-3"/>
        </w:rPr>
        <w:t> </w:t>
      </w:r>
      <w:r>
        <w:rPr/>
        <w:t>年度公司每股收益</w:t>
      </w:r>
      <w:r>
        <w:rPr>
          <w:spacing w:val="-56"/>
        </w:rPr>
        <w:t> </w:t>
      </w:r>
      <w:r>
        <w:rPr>
          <w:rFonts w:ascii="Times New Roman" w:hAnsi="Times New Roman" w:cs="Times New Roman" w:eastAsia="Times New Roman" w:hint="default"/>
        </w:rPr>
        <w:t>0.336</w:t>
      </w:r>
      <w:r>
        <w:rPr>
          <w:rFonts w:ascii="Times New Roman" w:hAnsi="Times New Roman" w:cs="Times New Roman" w:eastAsia="Times New Roman" w:hint="default"/>
          <w:spacing w:val="-3"/>
        </w:rPr>
        <w:t> </w:t>
      </w:r>
      <w:r>
        <w:rPr/>
        <w:t>元，母公司净利润为</w:t>
      </w:r>
      <w:r>
        <w:rPr>
          <w:spacing w:val="-56"/>
        </w:rPr>
        <w:t> </w:t>
      </w:r>
      <w:r>
        <w:rPr>
          <w:rFonts w:ascii="Times New Roman" w:hAnsi="Times New Roman" w:cs="Times New Roman" w:eastAsia="Times New Roman" w:hint="default"/>
        </w:rPr>
        <w:t>615,709,500.26</w:t>
      </w:r>
      <w:r>
        <w:rPr>
          <w:rFonts w:ascii="Times New Roman" w:hAnsi="Times New Roman" w:cs="Times New Roman" w:eastAsia="Times New Roman" w:hint="default"/>
          <w:spacing w:val="-3"/>
        </w:rPr>
        <w:t> </w:t>
      </w:r>
      <w:r>
        <w:rPr/>
        <w:t>元，提取</w:t>
      </w:r>
      <w:r>
        <w:rPr>
          <w:spacing w:val="-56"/>
        </w:rPr>
        <w:t> </w:t>
      </w:r>
      <w:r>
        <w:rPr>
          <w:rFonts w:ascii="Times New Roman" w:hAnsi="Times New Roman" w:cs="Times New Roman" w:eastAsia="Times New Roman" w:hint="default"/>
        </w:rPr>
        <w:t>10.00%</w:t>
      </w:r>
    </w:p>
    <w:p>
      <w:pPr>
        <w:pStyle w:val="BodyText"/>
        <w:spacing w:line="240" w:lineRule="auto"/>
        <w:ind w:left="851" w:right="0"/>
        <w:jc w:val="both"/>
      </w:pPr>
      <w:r>
        <w:rPr/>
        <w:t>法定盈余公积金，加上年初未分配利润</w:t>
      </w:r>
      <w:r>
        <w:rPr>
          <w:spacing w:val="-60"/>
        </w:rPr>
        <w:t> </w:t>
      </w:r>
      <w:r>
        <w:rPr>
          <w:rFonts w:ascii="Times New Roman" w:hAnsi="Times New Roman" w:cs="Times New Roman" w:eastAsia="Times New Roman" w:hint="default"/>
        </w:rPr>
        <w:t>362,853,682.37</w:t>
      </w:r>
      <w:r>
        <w:rPr>
          <w:rFonts w:ascii="Times New Roman" w:hAnsi="Times New Roman" w:cs="Times New Roman" w:eastAsia="Times New Roman" w:hint="default"/>
          <w:spacing w:val="-7"/>
        </w:rPr>
        <w:t> </w:t>
      </w:r>
      <w:r>
        <w:rPr/>
        <w:t>元，扣除年内实施的</w:t>
      </w:r>
      <w:r>
        <w:rPr>
          <w:spacing w:val="-60"/>
        </w:rPr>
        <w:t> </w:t>
      </w:r>
      <w:r>
        <w:rPr>
          <w:rFonts w:ascii="Times New Roman" w:hAnsi="Times New Roman" w:cs="Times New Roman" w:eastAsia="Times New Roman" w:hint="default"/>
        </w:rPr>
        <w:t>2017</w:t>
      </w:r>
      <w:r>
        <w:rPr>
          <w:rFonts w:ascii="Times New Roman" w:hAnsi="Times New Roman" w:cs="Times New Roman" w:eastAsia="Times New Roman" w:hint="default"/>
          <w:spacing w:val="-7"/>
        </w:rPr>
        <w:t> </w:t>
      </w:r>
      <w:r>
        <w:rPr/>
        <w:t>年</w:t>
      </w:r>
    </w:p>
    <w:p>
      <w:pPr>
        <w:pStyle w:val="BodyText"/>
        <w:spacing w:line="328" w:lineRule="auto" w:before="110"/>
        <w:ind w:left="851" w:right="1793" w:hanging="1"/>
        <w:jc w:val="both"/>
      </w:pPr>
      <w:r>
        <w:rPr/>
        <w:t>度利润分配现金分红</w:t>
      </w:r>
      <w:r>
        <w:rPr>
          <w:spacing w:val="-55"/>
        </w:rPr>
        <w:t> </w:t>
      </w:r>
      <w:r>
        <w:rPr>
          <w:rFonts w:ascii="Times New Roman" w:hAnsi="Times New Roman" w:cs="Times New Roman" w:eastAsia="Times New Roman" w:hint="default"/>
        </w:rPr>
        <w:t>176,644,167.54</w:t>
      </w:r>
      <w:r>
        <w:rPr>
          <w:rFonts w:ascii="Times New Roman" w:hAnsi="Times New Roman" w:cs="Times New Roman" w:eastAsia="Times New Roman" w:hint="default"/>
          <w:spacing w:val="-3"/>
        </w:rPr>
        <w:t> </w:t>
      </w:r>
      <w:r>
        <w:rPr/>
        <w:t>元，本次可供分配的利润</w:t>
      </w:r>
      <w:r>
        <w:rPr>
          <w:spacing w:val="-55"/>
        </w:rPr>
        <w:t> </w:t>
      </w:r>
      <w:r>
        <w:rPr>
          <w:rFonts w:ascii="Times New Roman" w:hAnsi="Times New Roman" w:cs="Times New Roman" w:eastAsia="Times New Roman" w:hint="default"/>
        </w:rPr>
        <w:t>740,348,065.06</w:t>
      </w:r>
      <w:r>
        <w:rPr>
          <w:rFonts w:ascii="Times New Roman" w:hAnsi="Times New Roman" w:cs="Times New Roman" w:eastAsia="Times New Roman" w:hint="default"/>
          <w:spacing w:val="-2"/>
        </w:rPr>
        <w:t> </w:t>
      </w:r>
      <w:r>
        <w:rPr/>
        <w:t>元。 </w:t>
      </w:r>
      <w:r>
        <w:rPr>
          <w:spacing w:val="-13"/>
        </w:rPr>
        <w:t>根据《公司法》、《公司章程》、《公司股东回报规划（</w:t>
      </w:r>
      <w:r>
        <w:rPr>
          <w:rFonts w:ascii="Times New Roman" w:hAnsi="Times New Roman" w:cs="Times New Roman" w:eastAsia="Times New Roman" w:hint="default"/>
          <w:spacing w:val="-13"/>
        </w:rPr>
        <w:t>2018-2020</w:t>
      </w:r>
      <w:r>
        <w:rPr>
          <w:spacing w:val="-13"/>
        </w:rPr>
        <w:t>）》之有关规定及公</w:t>
      </w:r>
      <w:r>
        <w:rPr>
          <w:spacing w:val="-81"/>
        </w:rPr>
        <w:t> </w:t>
      </w:r>
      <w:r>
        <w:rPr>
          <w:spacing w:val="-81"/>
        </w:rPr>
      </w:r>
      <w:r>
        <w:rPr/>
        <w:t>司 </w:t>
      </w:r>
      <w:r>
        <w:rPr>
          <w:rFonts w:ascii="Times New Roman" w:hAnsi="Times New Roman" w:cs="Times New Roman" w:eastAsia="Times New Roman" w:hint="default"/>
        </w:rPr>
        <w:t>2018</w:t>
      </w:r>
      <w:r>
        <w:rPr>
          <w:rFonts w:ascii="Times New Roman" w:hAnsi="Times New Roman" w:cs="Times New Roman" w:eastAsia="Times New Roman" w:hint="default"/>
          <w:spacing w:val="-27"/>
        </w:rPr>
        <w:t> </w:t>
      </w:r>
      <w:r>
        <w:rPr>
          <w:spacing w:val="-3"/>
        </w:rPr>
        <w:t>年度的经营情况，在符合利润分配政策、保证公司正常经营和长远发展的前</w:t>
      </w:r>
    </w:p>
    <w:p>
      <w:pPr>
        <w:spacing w:after="0" w:line="328" w:lineRule="auto"/>
        <w:jc w:val="both"/>
        <w:sectPr>
          <w:pgSz w:w="11910" w:h="16840"/>
          <w:pgMar w:header="0" w:footer="1001" w:top="1520" w:bottom="1200" w:left="1660" w:right="0"/>
        </w:sectPr>
      </w:pPr>
    </w:p>
    <w:p>
      <w:pPr>
        <w:spacing w:line="240" w:lineRule="auto" w:before="8"/>
        <w:rPr>
          <w:rFonts w:ascii="宋体" w:hAnsi="宋体" w:cs="宋体" w:eastAsia="宋体" w:hint="default"/>
          <w:sz w:val="13"/>
          <w:szCs w:val="13"/>
        </w:rPr>
      </w:pPr>
    </w:p>
    <w:p>
      <w:pPr>
        <w:pStyle w:val="BodyText"/>
        <w:spacing w:line="240" w:lineRule="auto" w:before="35"/>
        <w:ind w:left="851" w:right="1682"/>
        <w:jc w:val="left"/>
      </w:pPr>
      <w:r>
        <w:rPr/>
        <w:t>提下，拟订公司</w:t>
      </w:r>
      <w:r>
        <w:rPr>
          <w:spacing w:val="-58"/>
        </w:rPr>
        <w:t> </w:t>
      </w:r>
      <w:r>
        <w:rPr>
          <w:rFonts w:ascii="Times New Roman" w:hAnsi="Times New Roman" w:cs="Times New Roman" w:eastAsia="Times New Roman" w:hint="default"/>
        </w:rPr>
        <w:t>2018</w:t>
      </w:r>
      <w:r>
        <w:rPr>
          <w:rFonts w:ascii="Times New Roman" w:hAnsi="Times New Roman" w:cs="Times New Roman" w:eastAsia="Times New Roman" w:hint="default"/>
          <w:spacing w:val="-5"/>
        </w:rPr>
        <w:t> </w:t>
      </w:r>
      <w:r>
        <w:rPr/>
        <w:t>年度利润分配预案为：拟以</w:t>
      </w:r>
      <w:r>
        <w:rPr>
          <w:spacing w:val="-58"/>
        </w:rPr>
        <w:t> </w:t>
      </w:r>
      <w:r>
        <w:rPr>
          <w:rFonts w:ascii="Times New Roman" w:hAnsi="Times New Roman" w:cs="Times New Roman" w:eastAsia="Times New Roman" w:hint="default"/>
        </w:rPr>
        <w:t>2018</w:t>
      </w:r>
      <w:r>
        <w:rPr>
          <w:rFonts w:ascii="Times New Roman" w:hAnsi="Times New Roman" w:cs="Times New Roman" w:eastAsia="Times New Roman" w:hint="default"/>
          <w:spacing w:val="-5"/>
        </w:rPr>
        <w:t> </w:t>
      </w:r>
      <w:r>
        <w:rPr/>
        <w:t>年末总股本</w:t>
      </w:r>
      <w:r>
        <w:rPr>
          <w:spacing w:val="-58"/>
        </w:rPr>
        <w:t> </w:t>
      </w:r>
      <w:r>
        <w:rPr>
          <w:rFonts w:ascii="Times New Roman" w:hAnsi="Times New Roman" w:cs="Times New Roman" w:eastAsia="Times New Roman" w:hint="default"/>
        </w:rPr>
        <w:t>2,936,165,560</w:t>
      </w:r>
      <w:r>
        <w:rPr>
          <w:rFonts w:ascii="Times New Roman" w:hAnsi="Times New Roman" w:cs="Times New Roman" w:eastAsia="Times New Roman" w:hint="default"/>
          <w:spacing w:val="-5"/>
        </w:rPr>
        <w:t> </w:t>
      </w:r>
      <w:r>
        <w:rPr/>
        <w:t>股</w:t>
      </w:r>
    </w:p>
    <w:p>
      <w:pPr>
        <w:pStyle w:val="BodyText"/>
        <w:spacing w:line="240" w:lineRule="auto" w:before="110"/>
        <w:ind w:left="851" w:right="1793"/>
        <w:jc w:val="left"/>
      </w:pPr>
      <w:r>
        <w:rPr/>
        <w:t>为基数，向全体股东每</w:t>
      </w:r>
      <w:r>
        <w:rPr>
          <w:spacing w:val="-53"/>
        </w:rPr>
        <w:t> </w:t>
      </w:r>
      <w:r>
        <w:rPr>
          <w:rFonts w:ascii="Times New Roman" w:hAnsi="Times New Roman" w:cs="Times New Roman" w:eastAsia="Times New Roman" w:hint="default"/>
          <w:spacing w:val="-1"/>
        </w:rPr>
        <w:t>1</w:t>
      </w:r>
      <w:r>
        <w:rPr>
          <w:rFonts w:ascii="Times New Roman" w:hAnsi="Times New Roman" w:cs="Times New Roman" w:eastAsia="Times New Roman" w:hint="default"/>
        </w:rPr>
        <w:t>0 </w:t>
      </w:r>
      <w:r>
        <w:rPr/>
        <w:t>股派发现</w:t>
      </w:r>
      <w:r>
        <w:rPr>
          <w:spacing w:val="-2"/>
        </w:rPr>
        <w:t>金</w:t>
      </w:r>
      <w:r>
        <w:rPr/>
        <w:t>股利人民币</w:t>
      </w:r>
      <w:r>
        <w:rPr>
          <w:spacing w:val="-53"/>
        </w:rPr>
        <w:t> </w:t>
      </w:r>
      <w:r>
        <w:rPr>
          <w:rFonts w:ascii="Times New Roman" w:hAnsi="Times New Roman" w:cs="Times New Roman" w:eastAsia="Times New Roman" w:hint="default"/>
          <w:spacing w:val="-1"/>
        </w:rPr>
        <w:t>0.5</w:t>
      </w:r>
      <w:r>
        <w:rPr>
          <w:rFonts w:ascii="Times New Roman" w:hAnsi="Times New Roman" w:cs="Times New Roman" w:eastAsia="Times New Roman" w:hint="default"/>
        </w:rPr>
        <w:t>0</w:t>
      </w:r>
      <w:r>
        <w:rPr>
          <w:rFonts w:ascii="Times New Roman" w:hAnsi="Times New Roman" w:cs="Times New Roman" w:eastAsia="Times New Roman" w:hint="default"/>
          <w:spacing w:val="1"/>
        </w:rPr>
        <w:t> </w:t>
      </w:r>
      <w:r>
        <w:rPr/>
        <w:t>元（含</w:t>
      </w:r>
      <w:r>
        <w:rPr>
          <w:spacing w:val="-2"/>
        </w:rPr>
        <w:t>税</w:t>
      </w:r>
      <w:r>
        <w:rPr>
          <w:spacing w:val="-105"/>
        </w:rPr>
        <w:t>）</w:t>
      </w:r>
      <w:r>
        <w:rPr/>
        <w:t>，共计派</w:t>
      </w:r>
      <w:r>
        <w:rPr>
          <w:spacing w:val="-2"/>
        </w:rPr>
        <w:t>发</w:t>
      </w:r>
      <w:r>
        <w:rPr/>
        <w:t>现金</w:t>
      </w:r>
    </w:p>
    <w:p>
      <w:pPr>
        <w:pStyle w:val="BodyText"/>
        <w:spacing w:line="240" w:lineRule="auto"/>
        <w:ind w:left="851" w:right="3681"/>
        <w:jc w:val="left"/>
      </w:pPr>
      <w:r>
        <w:rPr>
          <w:rFonts w:ascii="Times New Roman" w:hAnsi="Times New Roman" w:cs="Times New Roman" w:eastAsia="Times New Roman" w:hint="default"/>
        </w:rPr>
        <w:t>146,808,278.00</w:t>
      </w:r>
      <w:r>
        <w:rPr>
          <w:rFonts w:ascii="Times New Roman" w:hAnsi="Times New Roman" w:cs="Times New Roman" w:eastAsia="Times New Roman" w:hint="default"/>
          <w:spacing w:val="-6"/>
        </w:rPr>
        <w:t> </w:t>
      </w:r>
      <w:r>
        <w:rPr/>
        <w:t>元。</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pStyle w:val="Heading5"/>
        <w:tabs>
          <w:tab w:pos="713" w:val="left" w:leader="none"/>
        </w:tabs>
        <w:spacing w:line="240" w:lineRule="auto" w:before="0"/>
        <w:ind w:left="0" w:right="6512"/>
        <w:jc w:val="center"/>
        <w:rPr>
          <w:b w:val="0"/>
          <w:bCs w:val="0"/>
        </w:rPr>
      </w:pPr>
      <w:r>
        <w:rPr>
          <w:rFonts w:ascii="Times New Roman" w:hAnsi="Times New Roman" w:cs="Times New Roman" w:eastAsia="Times New Roman" w:hint="default"/>
          <w:w w:val="95"/>
        </w:rPr>
        <w:t>(</w:t>
      </w:r>
      <w:r>
        <w:rPr>
          <w:w w:val="95"/>
        </w:rPr>
        <w:t>二</w:t>
      </w:r>
      <w:r>
        <w:rPr>
          <w:rFonts w:ascii="Times New Roman" w:hAnsi="Times New Roman" w:cs="Times New Roman" w:eastAsia="Times New Roman" w:hint="default"/>
          <w:w w:val="95"/>
        </w:rPr>
        <w:t>)</w:t>
        <w:tab/>
      </w:r>
      <w:r>
        <w:rPr/>
        <w:t>其他资产负债表日后事项说明</w:t>
      </w:r>
      <w:r>
        <w:rPr>
          <w:b w:val="0"/>
          <w:bCs w:val="0"/>
        </w:rPr>
      </w:r>
    </w:p>
    <w:p>
      <w:pPr>
        <w:pStyle w:val="BodyText"/>
        <w:spacing w:line="240" w:lineRule="auto"/>
        <w:ind w:left="851" w:right="3681"/>
        <w:jc w:val="left"/>
      </w:pPr>
      <w:r>
        <w:rPr>
          <w:rFonts w:ascii="Times New Roman" w:hAnsi="Times New Roman" w:cs="Times New Roman" w:eastAsia="Times New Roman" w:hint="default"/>
        </w:rPr>
        <w:t>1</w:t>
      </w:r>
      <w:r>
        <w:rPr/>
        <w:t>、募集资金相关事项</w:t>
      </w:r>
    </w:p>
    <w:p>
      <w:pPr>
        <w:pStyle w:val="BodyText"/>
        <w:spacing w:line="340" w:lineRule="auto"/>
        <w:ind w:left="851" w:right="1713"/>
        <w:jc w:val="left"/>
      </w:pPr>
      <w:r>
        <w:rPr/>
        <w:t>（</w:t>
      </w:r>
      <w:r>
        <w:rPr>
          <w:rFonts w:ascii="Times New Roman" w:hAnsi="Times New Roman" w:cs="Times New Roman" w:eastAsia="Times New Roman" w:hint="default"/>
        </w:rPr>
        <w:t>1</w:t>
      </w:r>
      <w:r>
        <w:rPr/>
        <w:t>）</w:t>
      </w:r>
      <w:r>
        <w:rPr>
          <w:rFonts w:ascii="Times New Roman" w:hAnsi="Times New Roman" w:cs="Times New Roman" w:eastAsia="Times New Roman" w:hint="default"/>
        </w:rPr>
        <w:t>2018</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4"/>
        </w:rPr>
        <w:t> </w:t>
      </w:r>
      <w:r>
        <w:rPr>
          <w:rFonts w:ascii="Times New Roman" w:hAnsi="Times New Roman" w:cs="Times New Roman" w:eastAsia="Times New Roman" w:hint="default"/>
        </w:rPr>
        <w:t>28</w:t>
      </w:r>
      <w:r>
        <w:rPr>
          <w:rFonts w:ascii="Times New Roman" w:hAnsi="Times New Roman" w:cs="Times New Roman" w:eastAsia="Times New Roman" w:hint="default"/>
          <w:spacing w:val="-2"/>
        </w:rPr>
        <w:t> </w:t>
      </w:r>
      <w:r>
        <w:rPr/>
        <w:t>日公司召开第七届董事会第十二次会议及第七届监事会第六 </w:t>
      </w:r>
      <w:r>
        <w:rPr>
          <w:spacing w:val="-5"/>
        </w:rPr>
        <w:t>次会议，审议通过了《关于使用部分闲置募集资金暂时补充流动资金的议案》，同意</w:t>
      </w:r>
      <w:r>
        <w:rPr>
          <w:spacing w:val="-93"/>
        </w:rPr>
        <w:t> </w:t>
      </w:r>
      <w:r>
        <w:rPr>
          <w:spacing w:val="-93"/>
        </w:rPr>
      </w:r>
      <w:r>
        <w:rPr/>
        <w:t>公司使用部分闲置募集资金人民币</w:t>
      </w:r>
      <w:r>
        <w:rPr>
          <w:spacing w:val="-54"/>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亿元暂时补充流动资金，期限不超过</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个月。</w:t>
      </w:r>
    </w:p>
    <w:p>
      <w:pPr>
        <w:pStyle w:val="BodyText"/>
        <w:spacing w:line="340" w:lineRule="auto" w:before="11"/>
        <w:ind w:left="851" w:right="1788"/>
        <w:jc w:val="left"/>
      </w:pPr>
      <w:r>
        <w:rPr/>
        <w:t>（</w:t>
      </w:r>
      <w:r>
        <w:rPr>
          <w:rFonts w:ascii="Times New Roman" w:hAnsi="Times New Roman" w:cs="Times New Roman" w:eastAsia="Times New Roman" w:hint="default"/>
        </w:rPr>
        <w:t>2</w:t>
      </w:r>
      <w:r>
        <w:rPr/>
        <w:t>）</w:t>
      </w:r>
      <w:r>
        <w:rPr>
          <w:rFonts w:ascii="Times New Roman" w:hAnsi="Times New Roman" w:cs="Times New Roman" w:eastAsia="Times New Roman" w:hint="default"/>
        </w:rPr>
        <w:t>2018</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4"/>
        </w:rPr>
        <w:t> </w:t>
      </w:r>
      <w:r>
        <w:rPr>
          <w:rFonts w:ascii="Times New Roman" w:hAnsi="Times New Roman" w:cs="Times New Roman" w:eastAsia="Times New Roman" w:hint="default"/>
        </w:rPr>
        <w:t>26</w:t>
      </w:r>
      <w:r>
        <w:rPr>
          <w:rFonts w:ascii="Times New Roman" w:hAnsi="Times New Roman" w:cs="Times New Roman" w:eastAsia="Times New Roman" w:hint="default"/>
          <w:spacing w:val="-2"/>
        </w:rPr>
        <w:t> </w:t>
      </w:r>
      <w:r>
        <w:rPr/>
        <w:t>日公司第七届董事会临时会议审议，同意开立中国长城的募 集资金专户，并根据相关规定，公司需要与海通证券、开户银行签订《募集资金三 </w:t>
      </w:r>
      <w:r>
        <w:rPr>
          <w:spacing w:val="-10"/>
        </w:rPr>
        <w:t>方监管协议》。</w:t>
      </w:r>
      <w:r>
        <w:rPr>
          <w:rFonts w:ascii="Times New Roman" w:hAnsi="Times New Roman" w:cs="Times New Roman" w:eastAsia="Times New Roman" w:hint="default"/>
          <w:spacing w:val="-10"/>
        </w:rPr>
        <w:t>2019</w:t>
      </w:r>
      <w:r>
        <w:rPr>
          <w:rFonts w:ascii="Times New Roman" w:hAnsi="Times New Roman" w:cs="Times New Roman" w:eastAsia="Times New Roman" w:hint="default"/>
          <w:spacing w:val="2"/>
        </w:rPr>
        <w:t> </w:t>
      </w:r>
      <w:r>
        <w:rPr/>
        <w:t>年</w:t>
      </w:r>
      <w:r>
        <w:rPr>
          <w:spacing w:val="-52"/>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月</w:t>
      </w:r>
      <w:r>
        <w:rPr>
          <w:spacing w:val="-51"/>
        </w:rPr>
        <w:t> </w:t>
      </w:r>
      <w:r>
        <w:rPr>
          <w:rFonts w:ascii="Times New Roman" w:hAnsi="Times New Roman" w:cs="Times New Roman" w:eastAsia="Times New Roman" w:hint="default"/>
          <w:spacing w:val="-4"/>
        </w:rPr>
        <w:t>11</w:t>
      </w:r>
      <w:r>
        <w:rPr>
          <w:rFonts w:ascii="Times New Roman" w:hAnsi="Times New Roman" w:cs="Times New Roman" w:eastAsia="Times New Roman" w:hint="default"/>
          <w:spacing w:val="2"/>
        </w:rPr>
        <w:t> </w:t>
      </w:r>
      <w:r>
        <w:rPr>
          <w:spacing w:val="-1"/>
        </w:rPr>
        <w:t>日，公司与海通证券、中国建设银行股份有限公司长</w:t>
      </w:r>
      <w:r>
        <w:rPr/>
        <w:t> </w:t>
      </w:r>
      <w:r>
        <w:rPr>
          <w:spacing w:val="-5"/>
        </w:rPr>
        <w:t>沙芙蓉支行签订《募集资金三方监管协议》；公司、中原电子与海通证券、中国建设</w:t>
      </w:r>
      <w:r>
        <w:rPr>
          <w:spacing w:val="-93"/>
        </w:rPr>
        <w:t> </w:t>
      </w:r>
      <w:r>
        <w:rPr>
          <w:spacing w:val="-93"/>
        </w:rPr>
      </w:r>
      <w:r>
        <w:rPr>
          <w:spacing w:val="-4"/>
        </w:rPr>
        <w:t>银行股份有限公司武汉光谷自贸区分行签订《募集资金四方监管协议》。</w:t>
      </w:r>
      <w:r>
        <w:rPr>
          <w:spacing w:val="-83"/>
        </w:rPr>
        <w:t> </w:t>
      </w:r>
      <w:r>
        <w:rPr>
          <w:spacing w:val="-83"/>
        </w:rPr>
      </w:r>
      <w:r>
        <w:rPr>
          <w:rFonts w:ascii="Times New Roman" w:hAnsi="Times New Roman" w:cs="Times New Roman" w:eastAsia="Times New Roman" w:hint="default"/>
        </w:rPr>
        <w:t>2</w:t>
      </w:r>
      <w:r>
        <w:rPr/>
        <w:t>、出售湖南凯杰科技有限责任公司</w:t>
      </w:r>
      <w:r>
        <w:rPr>
          <w:spacing w:val="-54"/>
        </w:rPr>
        <w:t> </w:t>
      </w:r>
      <w:r>
        <w:rPr>
          <w:rFonts w:ascii="Times New Roman" w:hAnsi="Times New Roman" w:cs="Times New Roman" w:eastAsia="Times New Roman" w:hint="default"/>
        </w:rPr>
        <w:t>100.00%</w:t>
      </w:r>
      <w:r>
        <w:rPr/>
        <w:t>股权暨关联交易 为加快聚焦主业，推进低效无效资产的清理整合，优化资源配置，提升公司发展质 量及管理效益，经</w:t>
      </w:r>
      <w:r>
        <w:rPr>
          <w:spacing w:val="-54"/>
        </w:rPr>
        <w:t> </w:t>
      </w:r>
      <w:r>
        <w:rPr>
          <w:rFonts w:ascii="Times New Roman" w:hAnsi="Times New Roman" w:cs="Times New Roman" w:eastAsia="Times New Roman" w:hint="default"/>
        </w:rPr>
        <w:t>2019</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19</w:t>
      </w:r>
      <w:r>
        <w:rPr>
          <w:rFonts w:ascii="Times New Roman" w:hAnsi="Times New Roman" w:cs="Times New Roman" w:eastAsia="Times New Roman" w:hint="default"/>
          <w:spacing w:val="-1"/>
        </w:rPr>
        <w:t> </w:t>
      </w:r>
      <w:r>
        <w:rPr/>
        <w:t>日公司第七届董事会第十三次会议审议，同意公 司向关联方中电工业互联网有限公司转让湖南凯杰科技有限责任公司（简称“凯杰 </w:t>
      </w:r>
      <w:r>
        <w:rPr>
          <w:spacing w:val="-10"/>
        </w:rPr>
        <w:t>科技”）</w:t>
      </w:r>
      <w:r>
        <w:rPr>
          <w:rFonts w:ascii="Times New Roman" w:hAnsi="Times New Roman" w:cs="Times New Roman" w:eastAsia="Times New Roman" w:hint="default"/>
          <w:spacing w:val="-10"/>
        </w:rPr>
        <w:t>100%</w:t>
      </w:r>
      <w:r>
        <w:rPr>
          <w:spacing w:val="-10"/>
        </w:rPr>
        <w:t>股权。</w:t>
      </w:r>
    </w:p>
    <w:p>
      <w:pPr>
        <w:pStyle w:val="BodyText"/>
        <w:spacing w:line="240" w:lineRule="auto" w:before="12"/>
        <w:ind w:left="851" w:right="1682"/>
        <w:jc w:val="left"/>
      </w:pPr>
      <w:r>
        <w:rPr/>
        <w:t>以</w:t>
      </w:r>
      <w:r>
        <w:rPr>
          <w:spacing w:val="-54"/>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54"/>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日凯杰科技净资产评估价值为基础，凯杰科技</w:t>
      </w:r>
      <w:r>
        <w:rPr>
          <w:spacing w:val="-54"/>
        </w:rPr>
        <w:t> </w:t>
      </w:r>
      <w:r>
        <w:rPr>
          <w:rFonts w:ascii="Times New Roman" w:hAnsi="Times New Roman" w:cs="Times New Roman" w:eastAsia="Times New Roman" w:hint="default"/>
        </w:rPr>
        <w:t>100%</w:t>
      </w:r>
      <w:r>
        <w:rPr/>
        <w:t>股权的转让</w:t>
      </w:r>
    </w:p>
    <w:p>
      <w:pPr>
        <w:pStyle w:val="BodyText"/>
        <w:spacing w:line="328" w:lineRule="auto"/>
        <w:ind w:left="851" w:right="1824"/>
        <w:jc w:val="left"/>
      </w:pPr>
      <w:r>
        <w:rPr/>
        <w:t>价格为人民币</w:t>
      </w:r>
      <w:r>
        <w:rPr>
          <w:spacing w:val="-58"/>
        </w:rPr>
        <w:t> </w:t>
      </w:r>
      <w:r>
        <w:rPr>
          <w:rFonts w:ascii="Times New Roman" w:hAnsi="Times New Roman" w:cs="Times New Roman" w:eastAsia="Times New Roman" w:hint="default"/>
        </w:rPr>
        <w:t>3,211.40</w:t>
      </w:r>
      <w:r>
        <w:rPr>
          <w:rFonts w:ascii="Times New Roman" w:hAnsi="Times New Roman" w:cs="Times New Roman" w:eastAsia="Times New Roman" w:hint="default"/>
          <w:spacing w:val="-6"/>
        </w:rPr>
        <w:t> </w:t>
      </w:r>
      <w:r>
        <w:rPr/>
        <w:t>万元加减过渡期运营发生的损益。交易完成后，公司不再持 有凯杰科技的股权。</w:t>
      </w:r>
    </w:p>
    <w:p>
      <w:pPr>
        <w:pStyle w:val="BodyText"/>
        <w:spacing w:line="240" w:lineRule="auto" w:before="48"/>
        <w:ind w:left="851" w:right="3681"/>
        <w:jc w:val="left"/>
      </w:pPr>
      <w:r>
        <w:rPr>
          <w:rFonts w:ascii="Times New Roman" w:hAnsi="Times New Roman" w:cs="Times New Roman" w:eastAsia="Times New Roman" w:hint="default"/>
        </w:rPr>
        <w:t>3</w:t>
      </w:r>
      <w:r>
        <w:rPr/>
        <w:t>、董事长变更</w:t>
      </w:r>
    </w:p>
    <w:p>
      <w:pPr>
        <w:pStyle w:val="BodyText"/>
        <w:spacing w:line="340" w:lineRule="auto" w:before="108"/>
        <w:ind w:left="851" w:right="1830"/>
        <w:jc w:val="both"/>
      </w:pPr>
      <w:r>
        <w:rPr>
          <w:rFonts w:ascii="Times New Roman" w:hAnsi="Times New Roman" w:cs="Times New Roman" w:eastAsia="Times New Roman" w:hint="default"/>
        </w:rPr>
        <w:t>2019</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rPr>
        <w:t>2</w:t>
      </w:r>
      <w:r>
        <w:rPr>
          <w:rFonts w:ascii="Times New Roman" w:hAnsi="Times New Roman" w:cs="Times New Roman" w:eastAsia="Times New Roman" w:hint="default"/>
          <w:spacing w:val="-2"/>
        </w:rPr>
        <w:t> </w:t>
      </w:r>
      <w:r>
        <w:rPr/>
        <w:t>月</w:t>
      </w:r>
      <w:r>
        <w:rPr>
          <w:spacing w:val="-55"/>
        </w:rPr>
        <w:t> </w:t>
      </w:r>
      <w:r>
        <w:rPr>
          <w:rFonts w:ascii="Times New Roman" w:hAnsi="Times New Roman" w:cs="Times New Roman" w:eastAsia="Times New Roman" w:hint="default"/>
        </w:rPr>
        <w:t>25</w:t>
      </w:r>
      <w:r>
        <w:rPr>
          <w:rFonts w:ascii="Times New Roman" w:hAnsi="Times New Roman" w:cs="Times New Roman" w:eastAsia="Times New Roman" w:hint="default"/>
          <w:spacing w:val="-1"/>
        </w:rPr>
        <w:t> </w:t>
      </w:r>
      <w:r>
        <w:rPr/>
        <w:t>日，因工作调整变动原因，陈小军先生辞去公司董事长职务，不再 担任公司任何职务；同日，经公司第七届董事会第十四次会议审议，提名宋黎定先 生为公司第七届董事会董事候选人。</w:t>
      </w:r>
    </w:p>
    <w:p>
      <w:pPr>
        <w:pStyle w:val="BodyText"/>
        <w:spacing w:line="340" w:lineRule="auto" w:before="36"/>
        <w:ind w:left="851" w:right="1792"/>
        <w:jc w:val="both"/>
      </w:pPr>
      <w:r>
        <w:rPr/>
        <w:t>经</w:t>
      </w:r>
      <w:r>
        <w:rPr>
          <w:spacing w:val="-54"/>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3</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18</w:t>
      </w:r>
      <w:r>
        <w:rPr>
          <w:rFonts w:ascii="Times New Roman" w:hAnsi="Times New Roman" w:cs="Times New Roman" w:eastAsia="Times New Roman" w:hint="default"/>
          <w:spacing w:val="-1"/>
        </w:rPr>
        <w:t> </w:t>
      </w:r>
      <w:r>
        <w:rPr/>
        <w:t>日公司</w:t>
      </w:r>
      <w:r>
        <w:rPr>
          <w:spacing w:val="-55"/>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spacing w:val="-3"/>
        </w:rPr>
        <w:t>年度第二次临时股东大会审议，选举宋黎定先生为公</w:t>
      </w:r>
      <w:r>
        <w:rPr/>
        <w:t> 司第七届董事会董事；同日，经公司第七届董事会第十五次会议审议，选举宋黎定 先生为公司董事长。</w:t>
      </w:r>
    </w:p>
    <w:p>
      <w:pPr>
        <w:pStyle w:val="BodyText"/>
        <w:spacing w:line="240" w:lineRule="auto" w:before="36"/>
        <w:ind w:left="851" w:right="3681"/>
        <w:jc w:val="left"/>
      </w:pPr>
      <w:r>
        <w:rPr>
          <w:rFonts w:ascii="Times New Roman" w:hAnsi="Times New Roman" w:cs="Times New Roman" w:eastAsia="Times New Roman" w:hint="default"/>
        </w:rPr>
        <w:t>4</w:t>
      </w:r>
      <w:r>
        <w:rPr/>
        <w:t>、变更法定代表人修订《公司章程》</w:t>
      </w:r>
    </w:p>
    <w:p>
      <w:pPr>
        <w:pStyle w:val="BodyText"/>
        <w:spacing w:line="240" w:lineRule="auto"/>
        <w:ind w:left="851" w:right="1793"/>
        <w:jc w:val="left"/>
      </w:pPr>
      <w:r>
        <w:rPr/>
        <w:t>因公司经营及管理的需要，经</w:t>
      </w:r>
      <w:r>
        <w:rPr>
          <w:spacing w:val="-54"/>
        </w:rPr>
        <w:t> </w:t>
      </w:r>
      <w:r>
        <w:rPr>
          <w:rFonts w:ascii="Times New Roman" w:hAnsi="Times New Roman" w:cs="Times New Roman" w:eastAsia="Times New Roman" w:hint="default"/>
        </w:rPr>
        <w:t>2019</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25</w:t>
      </w:r>
      <w:r>
        <w:rPr>
          <w:rFonts w:ascii="Times New Roman" w:hAnsi="Times New Roman" w:cs="Times New Roman" w:eastAsia="Times New Roman" w:hint="default"/>
          <w:spacing w:val="-1"/>
        </w:rPr>
        <w:t> </w:t>
      </w:r>
      <w:r>
        <w:rPr/>
        <w:t>日公司第七届董事会第十四次会议、</w:t>
      </w:r>
    </w:p>
    <w:p>
      <w:pPr>
        <w:pStyle w:val="BodyText"/>
        <w:spacing w:line="338" w:lineRule="auto" w:before="110"/>
        <w:ind w:left="851" w:right="1786"/>
        <w:jc w:val="left"/>
      </w:pPr>
      <w:r>
        <w:rPr>
          <w:rFonts w:ascii="Times New Roman" w:hAnsi="Times New Roman" w:cs="Times New Roman" w:eastAsia="Times New Roman" w:hint="default"/>
        </w:rPr>
        <w:t>2019</w:t>
      </w:r>
      <w:r>
        <w:rPr>
          <w:rFonts w:ascii="Times New Roman" w:hAnsi="Times New Roman" w:cs="Times New Roman" w:eastAsia="Times New Roman" w:hint="default"/>
          <w:spacing w:val="-4"/>
        </w:rPr>
        <w:t> </w:t>
      </w:r>
      <w:r>
        <w:rPr/>
        <w:t>年</w:t>
      </w:r>
      <w:r>
        <w:rPr>
          <w:spacing w:val="-56"/>
        </w:rPr>
        <w:t> </w:t>
      </w:r>
      <w:r>
        <w:rPr>
          <w:rFonts w:ascii="Times New Roman" w:hAnsi="Times New Roman" w:cs="Times New Roman" w:eastAsia="Times New Roman" w:hint="default"/>
        </w:rPr>
        <w:t>3</w:t>
      </w:r>
      <w:r>
        <w:rPr>
          <w:rFonts w:ascii="Times New Roman" w:hAnsi="Times New Roman" w:cs="Times New Roman" w:eastAsia="Times New Roman" w:hint="default"/>
          <w:spacing w:val="-4"/>
        </w:rPr>
        <w:t> </w:t>
      </w:r>
      <w:r>
        <w:rPr/>
        <w:t>月</w:t>
      </w:r>
      <w:r>
        <w:rPr>
          <w:spacing w:val="-57"/>
        </w:rPr>
        <w:t> </w:t>
      </w:r>
      <w:r>
        <w:rPr>
          <w:rFonts w:ascii="Times New Roman" w:hAnsi="Times New Roman" w:cs="Times New Roman" w:eastAsia="Times New Roman" w:hint="default"/>
        </w:rPr>
        <w:t>18</w:t>
      </w:r>
      <w:r>
        <w:rPr>
          <w:rFonts w:ascii="Times New Roman" w:hAnsi="Times New Roman" w:cs="Times New Roman" w:eastAsia="Times New Roman" w:hint="default"/>
          <w:spacing w:val="-3"/>
        </w:rPr>
        <w:t> </w:t>
      </w:r>
      <w:r>
        <w:rPr/>
        <w:t>日公司</w:t>
      </w:r>
      <w:r>
        <w:rPr>
          <w:spacing w:val="-56"/>
        </w:rPr>
        <w:t> </w:t>
      </w:r>
      <w:r>
        <w:rPr>
          <w:rFonts w:ascii="Times New Roman" w:hAnsi="Times New Roman" w:cs="Times New Roman" w:eastAsia="Times New Roman" w:hint="default"/>
        </w:rPr>
        <w:t>2019</w:t>
      </w:r>
      <w:r>
        <w:rPr>
          <w:rFonts w:ascii="Times New Roman" w:hAnsi="Times New Roman" w:cs="Times New Roman" w:eastAsia="Times New Roman" w:hint="default"/>
          <w:spacing w:val="-3"/>
        </w:rPr>
        <w:t> </w:t>
      </w:r>
      <w:r>
        <w:rPr/>
        <w:t>年度第二次临时股东大会审议，同意变更法定代表人修 </w:t>
      </w:r>
      <w:r>
        <w:rPr>
          <w:spacing w:val="-4"/>
        </w:rPr>
        <w:t>订《公司章程》。公司法定代表人变更为董事长宋黎定先生。</w:t>
      </w:r>
      <w:r>
        <w:rPr/>
        <w:t> </w:t>
      </w:r>
      <w:r>
        <w:rPr>
          <w:rFonts w:ascii="Times New Roman" w:hAnsi="Times New Roman" w:cs="Times New Roman" w:eastAsia="Times New Roman" w:hint="default"/>
        </w:rPr>
        <w:t>5</w:t>
      </w:r>
      <w:r>
        <w:rPr/>
        <w:t>、深圳中电长城信息安全系统有限公司购买湖南长城银河科技有限公司无形资产</w:t>
      </w:r>
    </w:p>
    <w:p>
      <w:pPr>
        <w:spacing w:after="0" w:line="338" w:lineRule="auto"/>
        <w:jc w:val="left"/>
        <w:sectPr>
          <w:pgSz w:w="11910" w:h="16840"/>
          <w:pgMar w:header="0" w:footer="1001" w:top="1520" w:bottom="1200" w:left="1660" w:right="0"/>
        </w:sectPr>
      </w:pPr>
    </w:p>
    <w:p>
      <w:pPr>
        <w:spacing w:line="240" w:lineRule="auto" w:before="8"/>
        <w:rPr>
          <w:rFonts w:ascii="宋体" w:hAnsi="宋体" w:cs="宋体" w:eastAsia="宋体" w:hint="default"/>
          <w:sz w:val="13"/>
          <w:szCs w:val="13"/>
        </w:rPr>
      </w:pPr>
    </w:p>
    <w:p>
      <w:pPr>
        <w:pStyle w:val="BodyText"/>
        <w:spacing w:line="345" w:lineRule="auto" w:before="35"/>
        <w:ind w:left="851" w:right="1682"/>
        <w:jc w:val="left"/>
      </w:pPr>
      <w:r>
        <w:rPr>
          <w:spacing w:val="-5"/>
        </w:rPr>
        <w:t>公司子公司深圳中电长城信息安全系统有限公司（简称“长城信安”）基于战略和业</w:t>
      </w:r>
      <w:r>
        <w:rPr>
          <w:spacing w:val="-95"/>
        </w:rPr>
        <w:t> </w:t>
      </w:r>
      <w:r>
        <w:rPr>
          <w:spacing w:val="-95"/>
        </w:rPr>
      </w:r>
      <w:r>
        <w:rPr/>
        <w:t>务发展需要，为持续提升自主可控产品技术先进性和核心竞争力，拟购买关联方湖 </w:t>
      </w:r>
      <w:r>
        <w:rPr>
          <w:spacing w:val="-8"/>
        </w:rPr>
        <w:t>南长城银河科技有限公司（简称“长城银河”）“基于飞腾芯片的自主可控系列整机”</w:t>
      </w:r>
      <w:r>
        <w:rPr>
          <w:spacing w:val="-80"/>
        </w:rPr>
        <w:t> </w:t>
      </w:r>
      <w:r>
        <w:rPr>
          <w:spacing w:val="-80"/>
        </w:rPr>
      </w:r>
      <w:r>
        <w:rPr/>
        <w:t>专有技术所有权及部分专利使用权资产（专利权</w:t>
      </w:r>
      <w:r>
        <w:rPr>
          <w:spacing w:val="-52"/>
        </w:rPr>
        <w:t> </w:t>
      </w:r>
      <w:r>
        <w:rPr>
          <w:rFonts w:ascii="Times New Roman" w:hAnsi="Times New Roman" w:cs="Times New Roman" w:eastAsia="Times New Roman" w:hint="default"/>
          <w:spacing w:val="-1"/>
        </w:rPr>
        <w:t>35</w:t>
      </w:r>
      <w:r>
        <w:rPr>
          <w:rFonts w:ascii="Times New Roman" w:hAnsi="Times New Roman" w:cs="Times New Roman" w:eastAsia="Times New Roman" w:hint="default"/>
          <w:spacing w:val="1"/>
        </w:rPr>
        <w:t> </w:t>
      </w:r>
      <w:r>
        <w:rPr>
          <w:spacing w:val="-1"/>
        </w:rPr>
        <w:t>项和专有技术</w:t>
      </w:r>
      <w:r>
        <w:rPr>
          <w:spacing w:val="-52"/>
        </w:rPr>
        <w:t> </w:t>
      </w:r>
      <w:r>
        <w:rPr>
          <w:rFonts w:ascii="Times New Roman" w:hAnsi="Times New Roman" w:cs="Times New Roman" w:eastAsia="Times New Roman" w:hint="default"/>
          <w:spacing w:val="-1"/>
        </w:rPr>
        <w:t>857</w:t>
      </w:r>
      <w:r>
        <w:rPr>
          <w:rFonts w:ascii="Times New Roman" w:hAnsi="Times New Roman" w:cs="Times New Roman" w:eastAsia="Times New Roman" w:hint="default"/>
        </w:rPr>
        <w:t> </w:t>
      </w:r>
      <w:r>
        <w:rPr>
          <w:spacing w:val="-18"/>
        </w:rPr>
        <w:t>项），双方拟</w:t>
      </w:r>
      <w:r>
        <w:rPr>
          <w:spacing w:val="-101"/>
        </w:rPr>
        <w:t> </w:t>
      </w:r>
      <w:r>
        <w:rPr>
          <w:spacing w:val="-101"/>
        </w:rPr>
      </w:r>
      <w:r>
        <w:rPr>
          <w:spacing w:val="-5"/>
        </w:rPr>
        <w:t>签署《专有技术转让及专利权实施许可合同》。根据北京中企华资产评估有限责任公</w:t>
      </w:r>
      <w:r>
        <w:rPr>
          <w:spacing w:val="-94"/>
        </w:rPr>
        <w:t> </w:t>
      </w:r>
      <w:r>
        <w:rPr>
          <w:spacing w:val="-94"/>
        </w:rPr>
      </w:r>
      <w:r>
        <w:rPr>
          <w:spacing w:val="-1"/>
        </w:rPr>
        <w:t>司出具的资产评估报告（中企华评报字（</w:t>
      </w:r>
      <w:r>
        <w:rPr>
          <w:rFonts w:ascii="Times New Roman" w:hAnsi="Times New Roman" w:cs="Times New Roman" w:eastAsia="Times New Roman" w:hint="default"/>
          <w:spacing w:val="-1"/>
        </w:rPr>
        <w:t>2018</w:t>
      </w:r>
      <w:r>
        <w:rPr>
          <w:spacing w:val="-1"/>
        </w:rPr>
        <w:t>）第</w:t>
      </w:r>
      <w:r>
        <w:rPr/>
        <w:t> </w:t>
      </w:r>
      <w:r>
        <w:rPr>
          <w:rFonts w:ascii="Times New Roman" w:hAnsi="Times New Roman" w:cs="Times New Roman" w:eastAsia="Times New Roman" w:hint="default"/>
          <w:spacing w:val="-1"/>
        </w:rPr>
        <w:t>4543</w:t>
      </w:r>
      <w:r>
        <w:rPr>
          <w:rFonts w:ascii="Times New Roman" w:hAnsi="Times New Roman" w:cs="Times New Roman" w:eastAsia="Times New Roman" w:hint="default"/>
          <w:spacing w:val="-18"/>
        </w:rPr>
        <w:t> </w:t>
      </w:r>
      <w:r>
        <w:rPr>
          <w:spacing w:val="-10"/>
        </w:rPr>
        <w:t>号），长城银河转让专有技</w:t>
      </w:r>
    </w:p>
    <w:p>
      <w:pPr>
        <w:pStyle w:val="BodyText"/>
        <w:spacing w:line="240" w:lineRule="auto" w:before="6"/>
        <w:ind w:left="851" w:right="1793"/>
        <w:jc w:val="left"/>
      </w:pPr>
      <w:r>
        <w:rPr/>
        <w:t>术所有权及部分专利使用权的无形资产截至</w:t>
      </w:r>
      <w:r>
        <w:rPr>
          <w:spacing w:val="-54"/>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6</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30</w:t>
      </w:r>
      <w:r>
        <w:rPr>
          <w:rFonts w:ascii="Times New Roman" w:hAnsi="Times New Roman" w:cs="Times New Roman" w:eastAsia="Times New Roman" w:hint="default"/>
          <w:spacing w:val="-2"/>
        </w:rPr>
        <w:t> </w:t>
      </w:r>
      <w:r>
        <w:rPr/>
        <w:t>日的评估价值为人民币</w:t>
      </w:r>
    </w:p>
    <w:p>
      <w:pPr>
        <w:pStyle w:val="BodyText"/>
        <w:spacing w:line="240" w:lineRule="auto" w:before="110"/>
        <w:ind w:left="851" w:right="1793"/>
        <w:jc w:val="left"/>
      </w:pPr>
      <w:r>
        <w:rPr>
          <w:rFonts w:ascii="Times New Roman" w:hAnsi="Times New Roman" w:cs="Times New Roman" w:eastAsia="Times New Roman" w:hint="default"/>
        </w:rPr>
        <w:t>4,155.06</w:t>
      </w:r>
      <w:r>
        <w:rPr>
          <w:rFonts w:ascii="Times New Roman" w:hAnsi="Times New Roman" w:cs="Times New Roman" w:eastAsia="Times New Roman" w:hint="default"/>
          <w:spacing w:val="-3"/>
        </w:rPr>
        <w:t> </w:t>
      </w:r>
      <w:r>
        <w:rPr/>
        <w:t>万元。在此基础上，经双方协商一致，拟定购买价格为人民币</w:t>
      </w:r>
      <w:r>
        <w:rPr>
          <w:spacing w:val="-56"/>
        </w:rPr>
        <w:t> </w:t>
      </w:r>
      <w:r>
        <w:rPr>
          <w:rFonts w:ascii="Times New Roman" w:hAnsi="Times New Roman" w:cs="Times New Roman" w:eastAsia="Times New Roman" w:hint="default"/>
        </w:rPr>
        <w:t>4,155.00</w:t>
      </w:r>
      <w:r>
        <w:rPr>
          <w:rFonts w:ascii="Times New Roman" w:hAnsi="Times New Roman" w:cs="Times New Roman" w:eastAsia="Times New Roman" w:hint="default"/>
          <w:spacing w:val="-3"/>
        </w:rPr>
        <w:t> </w:t>
      </w:r>
      <w:r>
        <w:rPr/>
        <w:t>万</w:t>
      </w:r>
    </w:p>
    <w:p>
      <w:pPr>
        <w:pStyle w:val="BodyText"/>
        <w:spacing w:line="331" w:lineRule="auto"/>
        <w:ind w:left="851" w:right="1777"/>
        <w:jc w:val="left"/>
      </w:pPr>
      <w:r>
        <w:rPr/>
        <w:t>元。上述事项已经</w:t>
      </w:r>
      <w:r>
        <w:rPr>
          <w:spacing w:val="-54"/>
        </w:rPr>
        <w:t> </w:t>
      </w:r>
      <w:r>
        <w:rPr>
          <w:rFonts w:ascii="Times New Roman" w:hAnsi="Times New Roman" w:cs="Times New Roman" w:eastAsia="Times New Roman" w:hint="default"/>
        </w:rPr>
        <w:t>2019</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日公司第七届董事会第十六次会议审议通过。 </w:t>
      </w:r>
      <w:r>
        <w:rPr>
          <w:rFonts w:ascii="Times New Roman" w:hAnsi="Times New Roman" w:cs="Times New Roman" w:eastAsia="Times New Roman" w:hint="default"/>
        </w:rPr>
        <w:t>6</w:t>
      </w:r>
      <w:r>
        <w:rPr/>
        <w:t>、海洋信息安全产业化项目获政府补助 下属公司湖南长城非凡信息科技有限公司于</w:t>
      </w:r>
      <w:r>
        <w:rPr>
          <w:spacing w:val="-70"/>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7"/>
        </w:rPr>
        <w:t> </w:t>
      </w:r>
      <w:r>
        <w:rPr/>
        <w:t>年</w:t>
      </w:r>
      <w:r>
        <w:rPr>
          <w:spacing w:val="-70"/>
        </w:rPr>
        <w:t> </w:t>
      </w:r>
      <w:r>
        <w:rPr>
          <w:rFonts w:ascii="Times New Roman" w:hAnsi="Times New Roman" w:cs="Times New Roman" w:eastAsia="Times New Roman" w:hint="default"/>
        </w:rPr>
        <w:t>3</w:t>
      </w:r>
      <w:r>
        <w:rPr>
          <w:rFonts w:ascii="Times New Roman" w:hAnsi="Times New Roman" w:cs="Times New Roman" w:eastAsia="Times New Roman" w:hint="default"/>
          <w:spacing w:val="-17"/>
        </w:rPr>
        <w:t> </w:t>
      </w:r>
      <w:r>
        <w:rPr/>
        <w:t>月底收到株洲高新技术产业开</w:t>
      </w:r>
    </w:p>
    <w:p>
      <w:pPr>
        <w:pStyle w:val="BodyText"/>
        <w:spacing w:line="340" w:lineRule="auto" w:before="20"/>
        <w:ind w:left="851" w:right="1830"/>
        <w:jc w:val="both"/>
      </w:pPr>
      <w:r>
        <w:rPr/>
        <w:t>发区统筹拨付的项目研发支持资金人民币</w:t>
      </w:r>
      <w:r>
        <w:rPr>
          <w:spacing w:val="-56"/>
        </w:rPr>
        <w:t> </w:t>
      </w:r>
      <w:r>
        <w:rPr>
          <w:rFonts w:ascii="Times New Roman" w:hAnsi="Times New Roman" w:cs="Times New Roman" w:eastAsia="Times New Roman" w:hint="default"/>
        </w:rPr>
        <w:t>3,000.00</w:t>
      </w:r>
      <w:r>
        <w:rPr>
          <w:rFonts w:ascii="Times New Roman" w:hAnsi="Times New Roman" w:cs="Times New Roman" w:eastAsia="Times New Roman" w:hint="default"/>
          <w:spacing w:val="-3"/>
        </w:rPr>
        <w:t> </w:t>
      </w:r>
      <w:r>
        <w:rPr/>
        <w:t>万元。系根据“海洋信息安全产 业化项目”相关协议约定而获得的地方政府专项资金支持，将会专款专用于研发费 用。</w:t>
      </w:r>
    </w:p>
    <w:p>
      <w:pPr>
        <w:pStyle w:val="BodyText"/>
        <w:spacing w:line="240" w:lineRule="auto" w:before="36"/>
        <w:ind w:left="851" w:right="3681"/>
        <w:jc w:val="left"/>
      </w:pPr>
      <w:r>
        <w:rPr>
          <w:rFonts w:ascii="Times New Roman" w:hAnsi="Times New Roman" w:cs="Times New Roman" w:eastAsia="Times New Roman" w:hint="default"/>
        </w:rPr>
        <w:t>7</w:t>
      </w:r>
      <w:r>
        <w:rPr/>
        <w:t>、</w:t>
      </w:r>
      <w:r>
        <w:rPr>
          <w:rFonts w:ascii="Times New Roman" w:hAnsi="Times New Roman" w:cs="Times New Roman" w:eastAsia="Times New Roman" w:hint="default"/>
        </w:rPr>
        <w:t>2019</w:t>
      </w:r>
      <w:r>
        <w:rPr>
          <w:rFonts w:ascii="Times New Roman" w:hAnsi="Times New Roman" w:cs="Times New Roman" w:eastAsia="Times New Roman" w:hint="default"/>
          <w:spacing w:val="-4"/>
        </w:rPr>
        <w:t> </w:t>
      </w:r>
      <w:r>
        <w:rPr/>
        <w:t>年度日常关联交易预计</w:t>
      </w:r>
    </w:p>
    <w:p>
      <w:pPr>
        <w:pStyle w:val="BodyText"/>
        <w:spacing w:line="240" w:lineRule="auto"/>
        <w:ind w:left="851" w:right="1793"/>
        <w:jc w:val="left"/>
      </w:pPr>
      <w:r>
        <w:rPr/>
        <w:t>经</w:t>
      </w:r>
      <w:r>
        <w:rPr>
          <w:spacing w:val="-54"/>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4</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日公司第七届董事会第十七次会议审议，鉴于公司开展日常生产</w:t>
      </w:r>
    </w:p>
    <w:p>
      <w:pPr>
        <w:pStyle w:val="BodyText"/>
        <w:spacing w:line="336" w:lineRule="auto" w:before="110"/>
        <w:ind w:left="851" w:right="1682"/>
        <w:jc w:val="left"/>
      </w:pPr>
      <w:r>
        <w:rPr>
          <w:spacing w:val="-7"/>
        </w:rPr>
        <w:t>运营的实际需要，预计</w:t>
      </w:r>
      <w:r>
        <w:rPr>
          <w:spacing w:val="-53"/>
        </w:rPr>
        <w:t> </w:t>
      </w:r>
      <w:r>
        <w:rPr>
          <w:rFonts w:ascii="Times New Roman" w:hAnsi="Times New Roman" w:cs="Times New Roman" w:eastAsia="Times New Roman" w:hint="default"/>
        </w:rPr>
        <w:t>2019 </w:t>
      </w:r>
      <w:r>
        <w:rPr/>
        <w:t>年度将与实际控制人中国电子信息产业集团有限公司及 其下属企业、公司联营企业等发生日常关联交易，涉及向关联方采购原材料及产成 </w:t>
      </w:r>
      <w:r>
        <w:rPr>
          <w:spacing w:val="-5"/>
        </w:rPr>
        <w:t>品、销售原材料及产成品、提供劳务、接受劳务、出租（承租）房屋及设备等。（</w:t>
      </w:r>
      <w:r>
        <w:rPr>
          <w:rFonts w:ascii="Times New Roman" w:hAnsi="Times New Roman" w:cs="Times New Roman" w:eastAsia="Times New Roman" w:hint="default"/>
          <w:spacing w:val="-5"/>
        </w:rPr>
        <w:t>1</w:t>
      </w:r>
      <w:r>
        <w:rPr>
          <w:spacing w:val="-5"/>
        </w:rPr>
        <w:t>）</w:t>
      </w:r>
      <w:r>
        <w:rPr>
          <w:spacing w:val="-89"/>
        </w:rPr>
        <w:t> </w:t>
      </w:r>
      <w:r>
        <w:rPr/>
        <w:t>预计</w:t>
      </w:r>
      <w:r>
        <w:rPr>
          <w:spacing w:val="-56"/>
        </w:rPr>
        <w:t> </w:t>
      </w:r>
      <w:r>
        <w:rPr>
          <w:rFonts w:ascii="Times New Roman" w:hAnsi="Times New Roman" w:cs="Times New Roman" w:eastAsia="Times New Roman" w:hint="default"/>
        </w:rPr>
        <w:t>2019</w:t>
      </w:r>
      <w:r>
        <w:rPr>
          <w:rFonts w:ascii="Times New Roman" w:hAnsi="Times New Roman" w:cs="Times New Roman" w:eastAsia="Times New Roman" w:hint="default"/>
          <w:spacing w:val="-3"/>
        </w:rPr>
        <w:t> </w:t>
      </w:r>
      <w:r>
        <w:rPr/>
        <w:t>年度日常关联交易采购类金额不超过人民币</w:t>
      </w:r>
      <w:r>
        <w:rPr>
          <w:spacing w:val="-56"/>
        </w:rPr>
        <w:t> </w:t>
      </w:r>
      <w:r>
        <w:rPr>
          <w:rFonts w:ascii="Times New Roman" w:hAnsi="Times New Roman" w:cs="Times New Roman" w:eastAsia="Times New Roman" w:hint="default"/>
        </w:rPr>
        <w:t>67,500.00</w:t>
      </w:r>
      <w:r>
        <w:rPr>
          <w:rFonts w:ascii="Times New Roman" w:hAnsi="Times New Roman" w:cs="Times New Roman" w:eastAsia="Times New Roman" w:hint="default"/>
          <w:spacing w:val="-3"/>
        </w:rPr>
        <w:t> </w:t>
      </w:r>
      <w:r>
        <w:rPr/>
        <w:t>万元、销售类金额</w:t>
      </w:r>
    </w:p>
    <w:p>
      <w:pPr>
        <w:pStyle w:val="BodyText"/>
        <w:spacing w:line="336" w:lineRule="auto" w:before="16"/>
        <w:ind w:left="851" w:right="1686"/>
        <w:jc w:val="left"/>
      </w:pPr>
      <w:r>
        <w:rPr/>
        <w:t>不超过人民币</w:t>
      </w:r>
      <w:r>
        <w:rPr>
          <w:spacing w:val="-55"/>
        </w:rPr>
        <w:t> </w:t>
      </w:r>
      <w:r>
        <w:rPr>
          <w:rFonts w:ascii="Times New Roman" w:hAnsi="Times New Roman" w:cs="Times New Roman" w:eastAsia="Times New Roman" w:hint="default"/>
        </w:rPr>
        <w:t>101,200.00</w:t>
      </w:r>
      <w:r>
        <w:rPr>
          <w:rFonts w:ascii="Times New Roman" w:hAnsi="Times New Roman" w:cs="Times New Roman" w:eastAsia="Times New Roman" w:hint="default"/>
          <w:spacing w:val="-2"/>
        </w:rPr>
        <w:t> </w:t>
      </w:r>
      <w:r>
        <w:rPr/>
        <w:t>万元、劳务类金额不超过人民币</w:t>
      </w:r>
      <w:r>
        <w:rPr>
          <w:spacing w:val="-55"/>
        </w:rPr>
        <w:t> </w:t>
      </w:r>
      <w:r>
        <w:rPr>
          <w:rFonts w:ascii="Times New Roman" w:hAnsi="Times New Roman" w:cs="Times New Roman" w:eastAsia="Times New Roman" w:hint="default"/>
        </w:rPr>
        <w:t>3,000.00</w:t>
      </w:r>
      <w:r>
        <w:rPr>
          <w:rFonts w:ascii="Times New Roman" w:hAnsi="Times New Roman" w:cs="Times New Roman" w:eastAsia="Times New Roman" w:hint="default"/>
          <w:spacing w:val="-2"/>
        </w:rPr>
        <w:t> </w:t>
      </w:r>
      <w:r>
        <w:rPr/>
        <w:t>万元，公司与中 </w:t>
      </w:r>
      <w:r>
        <w:rPr>
          <w:spacing w:val="-9"/>
        </w:rPr>
        <w:t>国电子信息产业集团有限公司、联营企业拟签署《</w:t>
      </w:r>
      <w:r>
        <w:rPr>
          <w:rFonts w:ascii="Times New Roman" w:hAnsi="Times New Roman" w:cs="Times New Roman" w:eastAsia="Times New Roman" w:hint="default"/>
          <w:spacing w:val="-9"/>
        </w:rPr>
        <w:t>2019</w:t>
      </w:r>
      <w:r>
        <w:rPr>
          <w:rFonts w:ascii="Times New Roman" w:hAnsi="Times New Roman" w:cs="Times New Roman" w:eastAsia="Times New Roman" w:hint="default"/>
        </w:rPr>
        <w:t> </w:t>
      </w:r>
      <w:r>
        <w:rPr>
          <w:spacing w:val="-8"/>
        </w:rPr>
        <w:t>年度日常关联交易框架协议》，</w:t>
      </w:r>
      <w:r>
        <w:rPr>
          <w:spacing w:val="-95"/>
        </w:rPr>
        <w:t> </w:t>
      </w:r>
      <w:r>
        <w:rPr>
          <w:spacing w:val="-95"/>
        </w:rPr>
      </w:r>
      <w:r>
        <w:rPr/>
        <w:t>具体业务将由订约方根据一般商业条款经公平磋商后确定，本着公平、公正、公开 </w:t>
      </w:r>
      <w:r>
        <w:rPr>
          <w:spacing w:val="-10"/>
        </w:rPr>
        <w:t>的原则，参照市场价格定价；（</w:t>
      </w:r>
      <w:r>
        <w:rPr>
          <w:rFonts w:ascii="Times New Roman" w:hAnsi="Times New Roman" w:cs="Times New Roman" w:eastAsia="Times New Roman" w:hint="default"/>
          <w:spacing w:val="-10"/>
        </w:rPr>
        <w:t>2</w:t>
      </w:r>
      <w:r>
        <w:rPr>
          <w:spacing w:val="-10"/>
        </w:rPr>
        <w:t>）预计</w:t>
      </w:r>
      <w:r>
        <w:rPr/>
        <w:t> </w:t>
      </w:r>
      <w:r>
        <w:rPr>
          <w:rFonts w:ascii="Times New Roman" w:hAnsi="Times New Roman" w:cs="Times New Roman" w:eastAsia="Times New Roman" w:hint="default"/>
          <w:spacing w:val="-1"/>
        </w:rPr>
        <w:t>2019</w:t>
      </w:r>
      <w:r>
        <w:rPr>
          <w:rFonts w:ascii="Times New Roman" w:hAnsi="Times New Roman" w:cs="Times New Roman" w:eastAsia="Times New Roman" w:hint="default"/>
          <w:spacing w:val="-29"/>
        </w:rPr>
        <w:t> </w:t>
      </w:r>
      <w:r>
        <w:rPr>
          <w:spacing w:val="-1"/>
        </w:rPr>
        <w:t>年将与中国电子信息产业集团有限公司</w:t>
      </w:r>
    </w:p>
    <w:p>
      <w:pPr>
        <w:pStyle w:val="BodyText"/>
        <w:spacing w:line="340" w:lineRule="auto" w:before="16"/>
        <w:ind w:left="851" w:right="1677"/>
        <w:jc w:val="left"/>
      </w:pPr>
      <w:r>
        <w:rPr/>
        <w:t>下属企业发生向关联方承租物业类交易，合同金额约人民币</w:t>
      </w:r>
      <w:r>
        <w:rPr>
          <w:spacing w:val="-60"/>
        </w:rPr>
        <w:t> </w:t>
      </w:r>
      <w:r>
        <w:rPr>
          <w:rFonts w:ascii="Times New Roman" w:hAnsi="Times New Roman" w:cs="Times New Roman" w:eastAsia="Times New Roman" w:hint="default"/>
        </w:rPr>
        <w:t>683.82</w:t>
      </w:r>
      <w:r>
        <w:rPr>
          <w:rFonts w:ascii="Times New Roman" w:hAnsi="Times New Roman" w:cs="Times New Roman" w:eastAsia="Times New Roman" w:hint="default"/>
          <w:spacing w:val="-7"/>
        </w:rPr>
        <w:t> </w:t>
      </w:r>
      <w:r>
        <w:rPr>
          <w:spacing w:val="-7"/>
        </w:rPr>
        <w:t>万元；预计</w:t>
      </w:r>
      <w:r>
        <w:rPr>
          <w:spacing w:val="-60"/>
        </w:rPr>
        <w:t> </w:t>
      </w:r>
      <w:r>
        <w:rPr>
          <w:rFonts w:ascii="Times New Roman" w:hAnsi="Times New Roman" w:cs="Times New Roman" w:eastAsia="Times New Roman" w:hint="default"/>
        </w:rPr>
        <w:t>2019 </w:t>
      </w:r>
      <w:r>
        <w:rPr>
          <w:spacing w:val="-2"/>
        </w:rPr>
        <w:t>年将与中国电子信息产业集团有限公司及其下属企业发生向关联方出租物业（设备）</w:t>
      </w:r>
      <w:r>
        <w:rPr>
          <w:spacing w:val="-97"/>
        </w:rPr>
        <w:t> </w:t>
      </w:r>
      <w:r>
        <w:rPr>
          <w:spacing w:val="-97"/>
        </w:rPr>
      </w:r>
      <w:r>
        <w:rPr/>
        <w:t>类交易，合同金额约人民币</w:t>
      </w:r>
      <w:r>
        <w:rPr>
          <w:spacing w:val="-54"/>
        </w:rPr>
        <w:t> </w:t>
      </w:r>
      <w:r>
        <w:rPr>
          <w:rFonts w:ascii="Times New Roman" w:hAnsi="Times New Roman" w:cs="Times New Roman" w:eastAsia="Times New Roman" w:hint="default"/>
        </w:rPr>
        <w:t>5,561.35</w:t>
      </w:r>
      <w:r>
        <w:rPr>
          <w:rFonts w:ascii="Times New Roman" w:hAnsi="Times New Roman" w:cs="Times New Roman" w:eastAsia="Times New Roman" w:hint="default"/>
          <w:spacing w:val="-1"/>
        </w:rPr>
        <w:t> </w:t>
      </w:r>
      <w:r>
        <w:rPr/>
        <w:t>万元，此等合同将于原租赁期届满或实际发生 时签署。该事项尚需提交公司股东大会审议。 </w:t>
      </w:r>
      <w:r>
        <w:rPr>
          <w:rFonts w:ascii="Times New Roman" w:hAnsi="Times New Roman" w:cs="Times New Roman" w:eastAsia="Times New Roman" w:hint="default"/>
        </w:rPr>
        <w:t>8</w:t>
      </w:r>
      <w:r>
        <w:rPr/>
        <w:t>、调整股票期权激励计划激励对象名单、期权数量和行权价格及注销部分期权</w:t>
      </w:r>
    </w:p>
    <w:p>
      <w:pPr>
        <w:pStyle w:val="BodyText"/>
        <w:spacing w:line="340" w:lineRule="auto" w:before="11"/>
        <w:ind w:left="851" w:right="1677"/>
        <w:jc w:val="left"/>
      </w:pPr>
      <w:r>
        <w:rPr/>
        <w:t>经</w:t>
      </w:r>
      <w:r>
        <w:rPr>
          <w:spacing w:val="-54"/>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4</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日公司第七届董事会第十七次会议、第七届监事会第七次会议审 </w:t>
      </w:r>
      <w:r>
        <w:rPr>
          <w:spacing w:val="-2"/>
        </w:rPr>
        <w:t>议，因激励对象离职原因，对股票期权激励计划激励对象及期权数量进行相应调整，</w:t>
      </w:r>
      <w:r>
        <w:rPr>
          <w:spacing w:val="-99"/>
        </w:rPr>
        <w:t> </w:t>
      </w:r>
      <w:r>
        <w:rPr>
          <w:spacing w:val="-99"/>
        </w:rPr>
      </w:r>
      <w:r>
        <w:rPr/>
        <w:t>激励对象由原</w:t>
      </w:r>
      <w:r>
        <w:rPr>
          <w:spacing w:val="-57"/>
        </w:rPr>
        <w:t> </w:t>
      </w:r>
      <w:r>
        <w:rPr>
          <w:rFonts w:ascii="Times New Roman" w:hAnsi="Times New Roman" w:cs="Times New Roman" w:eastAsia="Times New Roman" w:hint="default"/>
        </w:rPr>
        <w:t>594</w:t>
      </w:r>
      <w:r>
        <w:rPr>
          <w:rFonts w:ascii="Times New Roman" w:hAnsi="Times New Roman" w:cs="Times New Roman" w:eastAsia="Times New Roman" w:hint="default"/>
          <w:spacing w:val="-4"/>
        </w:rPr>
        <w:t> </w:t>
      </w:r>
      <w:r>
        <w:rPr/>
        <w:t>人调整为</w:t>
      </w:r>
      <w:r>
        <w:rPr>
          <w:spacing w:val="-57"/>
        </w:rPr>
        <w:t> </w:t>
      </w:r>
      <w:r>
        <w:rPr>
          <w:rFonts w:ascii="Times New Roman" w:hAnsi="Times New Roman" w:cs="Times New Roman" w:eastAsia="Times New Roman" w:hint="default"/>
        </w:rPr>
        <w:t>570</w:t>
      </w:r>
      <w:r>
        <w:rPr>
          <w:rFonts w:ascii="Times New Roman" w:hAnsi="Times New Roman" w:cs="Times New Roman" w:eastAsia="Times New Roman" w:hint="default"/>
          <w:spacing w:val="-4"/>
        </w:rPr>
        <w:t> </w:t>
      </w:r>
      <w:r>
        <w:rPr/>
        <w:t>人，期权数量由原</w:t>
      </w:r>
      <w:r>
        <w:rPr>
          <w:spacing w:val="-57"/>
        </w:rPr>
        <w:t> </w:t>
      </w:r>
      <w:r>
        <w:rPr>
          <w:rFonts w:ascii="Times New Roman" w:hAnsi="Times New Roman" w:cs="Times New Roman" w:eastAsia="Times New Roman" w:hint="default"/>
        </w:rPr>
        <w:t>4,410</w:t>
      </w:r>
      <w:r>
        <w:rPr>
          <w:rFonts w:ascii="Times New Roman" w:hAnsi="Times New Roman" w:cs="Times New Roman" w:eastAsia="Times New Roman" w:hint="default"/>
          <w:spacing w:val="-4"/>
        </w:rPr>
        <w:t> </w:t>
      </w:r>
      <w:r>
        <w:rPr/>
        <w:t>万份调整为</w:t>
      </w:r>
      <w:r>
        <w:rPr>
          <w:spacing w:val="-57"/>
        </w:rPr>
        <w:t> </w:t>
      </w:r>
      <w:r>
        <w:rPr>
          <w:rFonts w:ascii="Times New Roman" w:hAnsi="Times New Roman" w:cs="Times New Roman" w:eastAsia="Times New Roman" w:hint="default"/>
        </w:rPr>
        <w:t>4,275.80</w:t>
      </w:r>
      <w:r>
        <w:rPr>
          <w:rFonts w:ascii="Times New Roman" w:hAnsi="Times New Roman" w:cs="Times New Roman" w:eastAsia="Times New Roman" w:hint="default"/>
          <w:spacing w:val="-4"/>
        </w:rPr>
        <w:t> </w:t>
      </w:r>
      <w:r>
        <w:rPr/>
        <w:t>万份，</w:t>
      </w:r>
    </w:p>
    <w:p>
      <w:pPr>
        <w:pStyle w:val="BodyText"/>
        <w:spacing w:line="240" w:lineRule="auto" w:before="11"/>
        <w:ind w:left="851" w:right="1682"/>
        <w:jc w:val="left"/>
      </w:pPr>
      <w:r>
        <w:rPr/>
        <w:t>注销</w:t>
      </w:r>
      <w:r>
        <w:rPr>
          <w:spacing w:val="-59"/>
        </w:rPr>
        <w:t> </w:t>
      </w:r>
      <w:r>
        <w:rPr>
          <w:rFonts w:ascii="Times New Roman" w:hAnsi="Times New Roman" w:cs="Times New Roman" w:eastAsia="Times New Roman" w:hint="default"/>
        </w:rPr>
        <w:t>134.2</w:t>
      </w:r>
      <w:r>
        <w:rPr>
          <w:rFonts w:ascii="Times New Roman" w:hAnsi="Times New Roman" w:cs="Times New Roman" w:eastAsia="Times New Roman" w:hint="default"/>
          <w:spacing w:val="-6"/>
        </w:rPr>
        <w:t> </w:t>
      </w:r>
      <w:r>
        <w:rPr/>
        <w:t>万份；因公司实施</w:t>
      </w:r>
      <w:r>
        <w:rPr>
          <w:spacing w:val="-59"/>
        </w:rPr>
        <w:t> </w:t>
      </w:r>
      <w:r>
        <w:rPr>
          <w:rFonts w:ascii="Times New Roman" w:hAnsi="Times New Roman" w:cs="Times New Roman" w:eastAsia="Times New Roman" w:hint="default"/>
        </w:rPr>
        <w:t>2017</w:t>
      </w:r>
      <w:r>
        <w:rPr>
          <w:rFonts w:ascii="Times New Roman" w:hAnsi="Times New Roman" w:cs="Times New Roman" w:eastAsia="Times New Roman" w:hint="default"/>
          <w:spacing w:val="-6"/>
        </w:rPr>
        <w:t> </w:t>
      </w:r>
      <w:r>
        <w:rPr/>
        <w:t>年度权益分派方案，股票期权激励计划行权价格</w:t>
      </w:r>
    </w:p>
    <w:p>
      <w:pPr>
        <w:pStyle w:val="BodyText"/>
        <w:spacing w:line="240" w:lineRule="auto"/>
        <w:ind w:left="851" w:right="3681"/>
        <w:jc w:val="left"/>
      </w:pPr>
      <w:r>
        <w:rPr/>
        <w:t>由</w:t>
      </w:r>
      <w:r>
        <w:rPr>
          <w:spacing w:val="-55"/>
        </w:rPr>
        <w:t> </w:t>
      </w:r>
      <w:r>
        <w:rPr>
          <w:rFonts w:ascii="Times New Roman" w:hAnsi="Times New Roman" w:cs="Times New Roman" w:eastAsia="Times New Roman" w:hint="default"/>
        </w:rPr>
        <w:t>8.27</w:t>
      </w:r>
      <w:r>
        <w:rPr>
          <w:rFonts w:ascii="Times New Roman" w:hAnsi="Times New Roman" w:cs="Times New Roman" w:eastAsia="Times New Roman" w:hint="default"/>
          <w:spacing w:val="-2"/>
        </w:rPr>
        <w:t> </w:t>
      </w:r>
      <w:r>
        <w:rPr/>
        <w:t>元</w:t>
      </w:r>
      <w:r>
        <w:rPr>
          <w:rFonts w:ascii="Times New Roman" w:hAnsi="Times New Roman" w:cs="Times New Roman" w:eastAsia="Times New Roman" w:hint="default"/>
        </w:rPr>
        <w:t>/</w:t>
      </w:r>
      <w:r>
        <w:rPr/>
        <w:t>份调整为</w:t>
      </w:r>
      <w:r>
        <w:rPr>
          <w:spacing w:val="-55"/>
        </w:rPr>
        <w:t> </w:t>
      </w:r>
      <w:r>
        <w:rPr>
          <w:rFonts w:ascii="Times New Roman" w:hAnsi="Times New Roman" w:cs="Times New Roman" w:eastAsia="Times New Roman" w:hint="default"/>
        </w:rPr>
        <w:t>8.21</w:t>
      </w:r>
      <w:r>
        <w:rPr>
          <w:rFonts w:ascii="Times New Roman" w:hAnsi="Times New Roman" w:cs="Times New Roman" w:eastAsia="Times New Roman" w:hint="default"/>
          <w:spacing w:val="-3"/>
        </w:rPr>
        <w:t> </w:t>
      </w:r>
      <w:r>
        <w:rPr/>
        <w:t>元</w:t>
      </w:r>
      <w:r>
        <w:rPr>
          <w:rFonts w:ascii="Times New Roman" w:hAnsi="Times New Roman" w:cs="Times New Roman" w:eastAsia="Times New Roman" w:hint="default"/>
        </w:rPr>
        <w:t>/</w:t>
      </w:r>
      <w:r>
        <w:rPr/>
        <w:t>份。</w:t>
      </w:r>
    </w:p>
    <w:p>
      <w:pPr>
        <w:spacing w:after="0" w:line="240" w:lineRule="auto"/>
        <w:jc w:val="left"/>
        <w:sectPr>
          <w:pgSz w:w="11910" w:h="16840"/>
          <w:pgMar w:header="0" w:footer="1001" w:top="1520" w:bottom="1200" w:left="1660" w:right="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4"/>
          <w:szCs w:val="24"/>
        </w:rPr>
      </w:pPr>
    </w:p>
    <w:p>
      <w:pPr>
        <w:pStyle w:val="Heading5"/>
        <w:spacing w:line="240" w:lineRule="auto"/>
        <w:ind w:right="3681"/>
        <w:jc w:val="left"/>
        <w:rPr>
          <w:b w:val="0"/>
          <w:bCs w:val="0"/>
        </w:rPr>
      </w:pPr>
      <w:r>
        <w:rPr/>
        <w:t>十五、</w:t>
      </w:r>
      <w:r>
        <w:rPr>
          <w:spacing w:val="-28"/>
        </w:rPr>
        <w:t> </w:t>
      </w:r>
      <w:r>
        <w:rPr/>
        <w:t>其他重要事项</w:t>
      </w:r>
      <w:r>
        <w:rPr>
          <w:b w:val="0"/>
          <w:bCs w:val="0"/>
        </w:rPr>
      </w:r>
    </w:p>
    <w:p>
      <w:pPr>
        <w:pStyle w:val="Heading5"/>
        <w:tabs>
          <w:tab w:pos="851" w:val="left" w:leader="none"/>
        </w:tabs>
        <w:spacing w:line="240" w:lineRule="auto" w:before="125"/>
        <w:ind w:right="3681"/>
        <w:jc w:val="left"/>
        <w:rPr>
          <w:b w:val="0"/>
          <w:bCs w:val="0"/>
        </w:rPr>
      </w:pPr>
      <w:r>
        <w:rPr>
          <w:rFonts w:ascii="Times New Roman" w:hAnsi="Times New Roman" w:cs="Times New Roman" w:eastAsia="Times New Roman" w:hint="default"/>
          <w:w w:val="95"/>
        </w:rPr>
        <w:t>(</w:t>
      </w:r>
      <w:r>
        <w:rPr>
          <w:w w:val="95"/>
        </w:rPr>
        <w:t>一</w:t>
      </w:r>
      <w:r>
        <w:rPr>
          <w:rFonts w:ascii="Times New Roman" w:hAnsi="Times New Roman" w:cs="Times New Roman" w:eastAsia="Times New Roman" w:hint="default"/>
          <w:w w:val="95"/>
        </w:rPr>
        <w:t>)</w:t>
        <w:tab/>
      </w:r>
      <w:r>
        <w:rPr/>
        <w:t>前期会计差错更正</w:t>
      </w:r>
      <w:r>
        <w:rPr>
          <w:b w:val="0"/>
          <w:bCs w:val="0"/>
        </w:rPr>
      </w:r>
    </w:p>
    <w:p>
      <w:pPr>
        <w:pStyle w:val="Heading5"/>
        <w:tabs>
          <w:tab w:pos="1397" w:val="left" w:leader="none"/>
        </w:tabs>
        <w:spacing w:line="240" w:lineRule="auto" w:before="109"/>
        <w:ind w:left="846" w:right="3681"/>
        <w:jc w:val="left"/>
        <w:rPr>
          <w:b w:val="0"/>
          <w:bCs w:val="0"/>
        </w:rPr>
      </w:pPr>
      <w:r>
        <w:rPr>
          <w:rFonts w:ascii="Times New Roman" w:hAnsi="Times New Roman" w:cs="Times New Roman" w:eastAsia="Times New Roman" w:hint="default"/>
          <w:w w:val="95"/>
        </w:rPr>
        <w:t>1</w:t>
      </w:r>
      <w:r>
        <w:rPr>
          <w:w w:val="95"/>
        </w:rPr>
        <w:t>、</w:t>
        <w:tab/>
      </w:r>
      <w:r>
        <w:rPr/>
        <w:t>追溯重述法</w:t>
      </w:r>
      <w:r>
        <w:rPr>
          <w:b w:val="0"/>
          <w:bCs w:val="0"/>
        </w:rPr>
      </w:r>
    </w:p>
    <w:p>
      <w:pPr>
        <w:pStyle w:val="BodyText"/>
        <w:spacing w:line="240" w:lineRule="auto" w:before="110"/>
        <w:ind w:right="1793"/>
        <w:jc w:val="left"/>
      </w:pPr>
      <w:r>
        <w:rPr/>
        <w:t>本报告期未发生采用追溯重述法的前期会计差错更正事项。</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5"/>
        <w:tabs>
          <w:tab w:pos="1397" w:val="left" w:leader="none"/>
        </w:tabs>
        <w:spacing w:line="240" w:lineRule="auto" w:before="0"/>
        <w:ind w:left="846" w:right="3681"/>
        <w:jc w:val="left"/>
        <w:rPr>
          <w:b w:val="0"/>
          <w:bCs w:val="0"/>
        </w:rPr>
      </w:pPr>
      <w:r>
        <w:rPr>
          <w:rFonts w:ascii="Times New Roman" w:hAnsi="Times New Roman" w:cs="Times New Roman" w:eastAsia="Times New Roman" w:hint="default"/>
          <w:w w:val="95"/>
        </w:rPr>
        <w:t>2</w:t>
      </w:r>
      <w:r>
        <w:rPr>
          <w:w w:val="95"/>
        </w:rPr>
        <w:t>、</w:t>
        <w:tab/>
      </w:r>
      <w:r>
        <w:rPr/>
        <w:t>未来适用法</w:t>
      </w:r>
      <w:r>
        <w:rPr>
          <w:b w:val="0"/>
          <w:bCs w:val="0"/>
        </w:rPr>
      </w:r>
    </w:p>
    <w:p>
      <w:pPr>
        <w:pStyle w:val="BodyText"/>
        <w:spacing w:line="240" w:lineRule="auto" w:before="110"/>
        <w:ind w:right="1793"/>
        <w:jc w:val="left"/>
      </w:pPr>
      <w:r>
        <w:rPr/>
        <w:t>本报告期未发生采用未来适用法的前期会计差错更正事项。</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tabs>
          <w:tab w:pos="851" w:val="left" w:leader="none"/>
        </w:tabs>
        <w:spacing w:line="331" w:lineRule="auto" w:before="0"/>
        <w:ind w:left="851" w:right="6450" w:hanging="714"/>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二</w:t>
      </w:r>
      <w:r>
        <w:rPr>
          <w:rFonts w:ascii="Times New Roman" w:hAnsi="Times New Roman" w:cs="Times New Roman" w:eastAsia="Times New Roman" w:hint="default"/>
          <w:b/>
          <w:bCs/>
          <w:w w:val="95"/>
          <w:sz w:val="21"/>
          <w:szCs w:val="21"/>
        </w:rPr>
        <w:t>)</w:t>
        <w:tab/>
      </w:r>
      <w:r>
        <w:rPr>
          <w:rFonts w:ascii="宋体" w:hAnsi="宋体" w:cs="宋体" w:eastAsia="宋体" w:hint="default"/>
          <w:b/>
          <w:bCs/>
          <w:spacing w:val="1"/>
          <w:sz w:val="21"/>
          <w:szCs w:val="21"/>
        </w:rPr>
        <w:t>债务重组</w:t>
      </w:r>
      <w:r>
        <w:rPr>
          <w:rFonts w:ascii="宋体" w:hAnsi="宋体" w:cs="宋体" w:eastAsia="宋体" w:hint="default"/>
          <w:b/>
          <w:bCs/>
          <w:spacing w:val="1"/>
          <w:w w:val="99"/>
          <w:sz w:val="21"/>
          <w:szCs w:val="21"/>
        </w:rPr>
        <w:t> </w:t>
      </w:r>
      <w:r>
        <w:rPr>
          <w:rFonts w:ascii="宋体" w:hAnsi="宋体" w:cs="宋体" w:eastAsia="宋体" w:hint="default"/>
          <w:sz w:val="21"/>
          <w:szCs w:val="21"/>
        </w:rPr>
        <w:t>本报告期公司无债务重组事项。</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tabs>
          <w:tab w:pos="851" w:val="left" w:leader="none"/>
        </w:tabs>
        <w:spacing w:line="331" w:lineRule="auto" w:before="0"/>
        <w:ind w:left="846" w:right="6875" w:hanging="71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三</w:t>
      </w:r>
      <w:r>
        <w:rPr>
          <w:rFonts w:ascii="Times New Roman" w:hAnsi="Times New Roman" w:cs="Times New Roman" w:eastAsia="Times New Roman" w:hint="default"/>
          <w:b/>
          <w:bCs/>
          <w:w w:val="95"/>
          <w:sz w:val="21"/>
          <w:szCs w:val="21"/>
        </w:rPr>
        <w:t>)</w:t>
        <w:tab/>
        <w:tab/>
      </w:r>
      <w:r>
        <w:rPr>
          <w:rFonts w:ascii="宋体" w:hAnsi="宋体" w:cs="宋体" w:eastAsia="宋体" w:hint="default"/>
          <w:b/>
          <w:bCs/>
          <w:spacing w:val="1"/>
          <w:sz w:val="21"/>
          <w:szCs w:val="21"/>
        </w:rPr>
        <w:t>资产置换</w:t>
      </w:r>
      <w:r>
        <w:rPr>
          <w:rFonts w:ascii="宋体" w:hAnsi="宋体" w:cs="宋体" w:eastAsia="宋体" w:hint="default"/>
          <w:b/>
          <w:bCs/>
          <w:spacing w:val="1"/>
          <w:w w:val="99"/>
          <w:sz w:val="21"/>
          <w:szCs w:val="21"/>
        </w:rPr>
        <w:t> </w:t>
      </w:r>
      <w:r>
        <w:rPr>
          <w:rFonts w:ascii="宋体" w:hAnsi="宋体" w:cs="宋体" w:eastAsia="宋体" w:hint="default"/>
          <w:sz w:val="21"/>
          <w:szCs w:val="21"/>
        </w:rPr>
        <w:t>本报告期公司无资产置换。</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pStyle w:val="Heading5"/>
        <w:tabs>
          <w:tab w:pos="851" w:val="left" w:leader="none"/>
        </w:tabs>
        <w:spacing w:line="240" w:lineRule="auto" w:before="0"/>
        <w:ind w:right="3681"/>
        <w:jc w:val="left"/>
        <w:rPr>
          <w:b w:val="0"/>
          <w:bCs w:val="0"/>
        </w:rPr>
      </w:pPr>
      <w:r>
        <w:rPr>
          <w:rFonts w:ascii="Times New Roman" w:hAnsi="Times New Roman" w:cs="Times New Roman" w:eastAsia="Times New Roman" w:hint="default"/>
          <w:w w:val="95"/>
        </w:rPr>
        <w:t>(</w:t>
      </w:r>
      <w:r>
        <w:rPr>
          <w:w w:val="95"/>
        </w:rPr>
        <w:t>四</w:t>
      </w:r>
      <w:r>
        <w:rPr>
          <w:rFonts w:ascii="Times New Roman" w:hAnsi="Times New Roman" w:cs="Times New Roman" w:eastAsia="Times New Roman" w:hint="default"/>
          <w:w w:val="95"/>
        </w:rPr>
        <w:t>)</w:t>
        <w:tab/>
      </w:r>
      <w:r>
        <w:rPr>
          <w:spacing w:val="1"/>
        </w:rPr>
        <w:t>年金计划</w:t>
      </w:r>
      <w:r>
        <w:rPr>
          <w:b w:val="0"/>
          <w:bCs w:val="0"/>
        </w:rPr>
      </w:r>
    </w:p>
    <w:p>
      <w:pPr>
        <w:pStyle w:val="BodyText"/>
        <w:spacing w:line="240" w:lineRule="auto" w:before="110"/>
        <w:ind w:left="851" w:right="1682"/>
        <w:jc w:val="left"/>
      </w:pPr>
      <w:r>
        <w:rPr/>
        <w:t>本公司自</w:t>
      </w:r>
      <w:r>
        <w:rPr>
          <w:spacing w:val="-45"/>
        </w:rPr>
        <w:t> </w:t>
      </w:r>
      <w:r>
        <w:rPr>
          <w:rFonts w:ascii="Times New Roman" w:hAnsi="Times New Roman" w:cs="Times New Roman" w:eastAsia="Times New Roman" w:hint="default"/>
        </w:rPr>
        <w:t>2003</w:t>
      </w:r>
      <w:r>
        <w:rPr>
          <w:rFonts w:ascii="Times New Roman" w:hAnsi="Times New Roman" w:cs="Times New Roman" w:eastAsia="Times New Roman" w:hint="default"/>
          <w:spacing w:val="8"/>
        </w:rPr>
        <w:t> </w:t>
      </w:r>
      <w:r>
        <w:rPr>
          <w:spacing w:val="-3"/>
        </w:rPr>
        <w:t>年开始实施企业年金计划，其企业年金计划实施范围限于：试用期满</w:t>
      </w:r>
    </w:p>
    <w:p>
      <w:pPr>
        <w:pStyle w:val="BodyText"/>
        <w:spacing w:line="348" w:lineRule="auto"/>
        <w:ind w:left="851" w:right="1677"/>
        <w:jc w:val="left"/>
      </w:pPr>
      <w:r>
        <w:rPr/>
        <w:t>且为本企业连续服务超过</w:t>
      </w:r>
      <w:r>
        <w:rPr>
          <w:spacing w:val="-54"/>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年并与本企业签订了正式劳动合同的在岗文职类员工； 同时参加了基本养老保险；已退休职工（含内退人员）不参加本企业年金计划。 本公司年金同时设有企业账户和个人账户，不设共济基金，全部由公司及个人（自 愿）共同缴纳。其中，企业账户以公司名义开立，由公司缴纳，用于记录暂时未分 </w:t>
      </w:r>
      <w:r>
        <w:rPr>
          <w:spacing w:val="-2"/>
        </w:rPr>
        <w:t>配至职工个人账户的单位缴费及其投资收益；个人账户以职工个人名义开立的账户，</w:t>
      </w:r>
      <w:r>
        <w:rPr>
          <w:spacing w:val="-97"/>
        </w:rPr>
        <w:t> </w:t>
      </w:r>
      <w:r>
        <w:rPr>
          <w:spacing w:val="-97"/>
        </w:rPr>
      </w:r>
      <w:r>
        <w:rPr/>
        <w:t>用于记录分配给职工个人的单位缴费、职工个人缴费及其投资收益。 年金以转账方式向账户管理人（中国银行股份有限公司）缴纳，每月缴纳一次，效 益性企业年金和奖励性企业年金根据企业效益情况在年初或年底一次性缴纳。 本期本公司已缴纳企业年金</w:t>
      </w:r>
      <w:r>
        <w:rPr>
          <w:spacing w:val="-57"/>
        </w:rPr>
        <w:t> </w:t>
      </w:r>
      <w:r>
        <w:rPr>
          <w:rFonts w:ascii="Times New Roman" w:hAnsi="Times New Roman" w:cs="Times New Roman" w:eastAsia="Times New Roman" w:hint="default"/>
        </w:rPr>
        <w:t>16,743,348.72</w:t>
      </w:r>
      <w:r>
        <w:rPr>
          <w:rFonts w:ascii="Times New Roman" w:hAnsi="Times New Roman" w:cs="Times New Roman" w:eastAsia="Times New Roman" w:hint="default"/>
          <w:spacing w:val="-4"/>
        </w:rPr>
        <w:t> </w:t>
      </w:r>
      <w:r>
        <w:rPr/>
        <w:t>元，全部计入当年相关成本费用。</w:t>
      </w:r>
    </w:p>
    <w:p>
      <w:pPr>
        <w:spacing w:line="240" w:lineRule="auto" w:before="11"/>
        <w:rPr>
          <w:rFonts w:ascii="宋体" w:hAnsi="宋体" w:cs="宋体" w:eastAsia="宋体" w:hint="default"/>
          <w:sz w:val="30"/>
          <w:szCs w:val="30"/>
        </w:rPr>
      </w:pPr>
    </w:p>
    <w:p>
      <w:pPr>
        <w:tabs>
          <w:tab w:pos="851" w:val="left" w:leader="none"/>
        </w:tabs>
        <w:spacing w:line="331" w:lineRule="auto" w:before="0"/>
        <w:ind w:left="851" w:right="6870" w:hanging="714"/>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w:t>
      </w:r>
      <w:r>
        <w:rPr>
          <w:rFonts w:ascii="宋体" w:hAnsi="宋体" w:cs="宋体" w:eastAsia="宋体" w:hint="default"/>
          <w:b/>
          <w:bCs/>
          <w:w w:val="95"/>
          <w:sz w:val="21"/>
          <w:szCs w:val="21"/>
        </w:rPr>
        <w:t>五</w:t>
      </w:r>
      <w:r>
        <w:rPr>
          <w:rFonts w:ascii="Times New Roman" w:hAnsi="Times New Roman" w:cs="Times New Roman" w:eastAsia="Times New Roman" w:hint="default"/>
          <w:b/>
          <w:bCs/>
          <w:w w:val="95"/>
          <w:sz w:val="21"/>
          <w:szCs w:val="21"/>
        </w:rPr>
        <w:t>)</w:t>
        <w:tab/>
      </w:r>
      <w:r>
        <w:rPr>
          <w:rFonts w:ascii="宋体" w:hAnsi="宋体" w:cs="宋体" w:eastAsia="宋体" w:hint="default"/>
          <w:b/>
          <w:bCs/>
          <w:spacing w:val="1"/>
          <w:sz w:val="21"/>
          <w:szCs w:val="21"/>
        </w:rPr>
        <w:t>终止经营</w:t>
      </w:r>
      <w:r>
        <w:rPr>
          <w:rFonts w:ascii="宋体" w:hAnsi="宋体" w:cs="宋体" w:eastAsia="宋体" w:hint="default"/>
          <w:b/>
          <w:bCs/>
          <w:spacing w:val="1"/>
          <w:w w:val="99"/>
          <w:sz w:val="21"/>
          <w:szCs w:val="21"/>
        </w:rPr>
        <w:t> </w:t>
      </w:r>
      <w:r>
        <w:rPr>
          <w:rFonts w:ascii="宋体" w:hAnsi="宋体" w:cs="宋体" w:eastAsia="宋体" w:hint="default"/>
          <w:sz w:val="21"/>
          <w:szCs w:val="21"/>
        </w:rPr>
        <w:t>本报告期公司无终止经营。</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Heading5"/>
        <w:tabs>
          <w:tab w:pos="851" w:val="left" w:leader="none"/>
        </w:tabs>
        <w:spacing w:line="240" w:lineRule="auto" w:before="0"/>
        <w:ind w:right="3681"/>
        <w:jc w:val="left"/>
        <w:rPr>
          <w:b w:val="0"/>
          <w:bCs w:val="0"/>
        </w:rPr>
      </w:pPr>
      <w:r>
        <w:rPr>
          <w:rFonts w:ascii="Times New Roman" w:hAnsi="Times New Roman" w:cs="Times New Roman" w:eastAsia="Times New Roman" w:hint="default"/>
          <w:w w:val="95"/>
        </w:rPr>
        <w:t>(</w:t>
      </w:r>
      <w:r>
        <w:rPr>
          <w:w w:val="95"/>
        </w:rPr>
        <w:t>六</w:t>
      </w:r>
      <w:r>
        <w:rPr>
          <w:rFonts w:ascii="Times New Roman" w:hAnsi="Times New Roman" w:cs="Times New Roman" w:eastAsia="Times New Roman" w:hint="default"/>
          <w:w w:val="95"/>
        </w:rPr>
        <w:t>)</w:t>
        <w:tab/>
      </w:r>
      <w:r>
        <w:rPr>
          <w:spacing w:val="1"/>
        </w:rPr>
        <w:t>分部信息</w:t>
      </w:r>
      <w:r>
        <w:rPr>
          <w:b w:val="0"/>
          <w:bCs w:val="0"/>
        </w:rPr>
      </w:r>
    </w:p>
    <w:p>
      <w:pPr>
        <w:pStyle w:val="Heading5"/>
        <w:tabs>
          <w:tab w:pos="1397" w:val="left" w:leader="none"/>
        </w:tabs>
        <w:spacing w:line="240" w:lineRule="auto" w:before="109"/>
        <w:ind w:left="846" w:right="3681"/>
        <w:jc w:val="left"/>
        <w:rPr>
          <w:b w:val="0"/>
          <w:bCs w:val="0"/>
        </w:rPr>
      </w:pPr>
      <w:r>
        <w:rPr>
          <w:rFonts w:ascii="Times New Roman" w:hAnsi="Times New Roman" w:cs="Times New Roman" w:eastAsia="Times New Roman" w:hint="default"/>
          <w:w w:val="95"/>
        </w:rPr>
        <w:t>1</w:t>
      </w:r>
      <w:r>
        <w:rPr>
          <w:w w:val="95"/>
        </w:rPr>
        <w:t>、</w:t>
        <w:tab/>
      </w:r>
      <w:r>
        <w:rPr/>
        <w:t>报告分部的确定依据与会计政策</w:t>
      </w:r>
      <w:r>
        <w:rPr>
          <w:b w:val="0"/>
          <w:bCs w:val="0"/>
        </w:rPr>
      </w:r>
    </w:p>
    <w:p>
      <w:pPr>
        <w:spacing w:after="0" w:line="240" w:lineRule="auto"/>
        <w:jc w:val="left"/>
        <w:sectPr>
          <w:pgSz w:w="11910" w:h="16840"/>
          <w:pgMar w:header="0" w:footer="1001" w:top="1520" w:bottom="1200" w:left="1660" w:right="0"/>
        </w:sectPr>
      </w:pPr>
    </w:p>
    <w:p>
      <w:pPr>
        <w:spacing w:line="240" w:lineRule="auto" w:before="8"/>
        <w:rPr>
          <w:rFonts w:ascii="宋体" w:hAnsi="宋体" w:cs="宋体" w:eastAsia="宋体" w:hint="default"/>
          <w:b/>
          <w:bCs/>
          <w:sz w:val="13"/>
          <w:szCs w:val="13"/>
        </w:rPr>
      </w:pPr>
    </w:p>
    <w:p>
      <w:pPr>
        <w:pStyle w:val="BodyText"/>
        <w:spacing w:line="345" w:lineRule="auto" w:before="35"/>
        <w:ind w:right="1779"/>
        <w:jc w:val="left"/>
      </w:pPr>
      <w:r>
        <w:rPr>
          <w:spacing w:val="-4"/>
        </w:rPr>
        <w:t>根据本公司的内部组织结构、管理要求及内部报告制度，本公司的经营业务划</w:t>
      </w:r>
      <w:r>
        <w:rPr>
          <w:spacing w:val="-73"/>
        </w:rPr>
        <w:t> </w:t>
      </w:r>
      <w:r>
        <w:rPr>
          <w:spacing w:val="-73"/>
        </w:rPr>
      </w:r>
      <w:r>
        <w:rPr/>
        <w:t>分为</w:t>
      </w:r>
      <w:r>
        <w:rPr>
          <w:spacing w:val="-45"/>
        </w:rPr>
        <w:t> </w:t>
      </w:r>
      <w:r>
        <w:rPr>
          <w:rFonts w:ascii="Times New Roman" w:hAnsi="Times New Roman" w:cs="Times New Roman" w:eastAsia="Times New Roman" w:hint="default"/>
        </w:rPr>
        <w:t>5</w:t>
      </w:r>
      <w:r>
        <w:rPr>
          <w:rFonts w:ascii="Times New Roman" w:hAnsi="Times New Roman" w:cs="Times New Roman" w:eastAsia="Times New Roman" w:hint="default"/>
          <w:spacing w:val="8"/>
        </w:rPr>
        <w:t> </w:t>
      </w:r>
      <w:r>
        <w:rPr>
          <w:spacing w:val="-4"/>
        </w:rPr>
        <w:t>个报告分部，这些报告分部是以主要产品类型为基础确定的。本公司的</w:t>
      </w:r>
      <w:r>
        <w:rPr/>
        <w:t> 管理层定期评价这些报告分部的经营成果，以决定向其分配资源及评价其业 </w:t>
      </w:r>
      <w:r>
        <w:rPr>
          <w:spacing w:val="-4"/>
        </w:rPr>
        <w:t>绩。本公司各个报告分部提供的主要产品及劳务分别为高新电子、信息安全整</w:t>
      </w:r>
      <w:r>
        <w:rPr>
          <w:spacing w:val="-73"/>
        </w:rPr>
        <w:t> </w:t>
      </w:r>
      <w:r>
        <w:rPr>
          <w:spacing w:val="-73"/>
        </w:rPr>
      </w:r>
      <w:r>
        <w:rPr/>
        <w:t>机及解决方案、电源产品、园区及物业服务、其他。 </w:t>
      </w:r>
      <w:r>
        <w:rPr>
          <w:spacing w:val="-4"/>
        </w:rPr>
        <w:t>分部报告信息根据各分部向管理层报告时采用的会计政策及计量标准披露，这</w:t>
      </w:r>
      <w:r>
        <w:rPr>
          <w:spacing w:val="-73"/>
        </w:rPr>
        <w:t> </w:t>
      </w:r>
      <w:r>
        <w:rPr>
          <w:spacing w:val="-73"/>
        </w:rPr>
      </w:r>
      <w:r>
        <w:rPr/>
        <w:t>些计量基础与编制财务报表时的会计与计量基础保持一致。</w:t>
      </w:r>
    </w:p>
    <w:p>
      <w:pPr>
        <w:spacing w:line="240" w:lineRule="auto" w:before="0"/>
        <w:rPr>
          <w:rFonts w:ascii="宋体" w:hAnsi="宋体" w:cs="宋体" w:eastAsia="宋体" w:hint="default"/>
          <w:sz w:val="20"/>
          <w:szCs w:val="20"/>
        </w:rPr>
      </w:pPr>
    </w:p>
    <w:p>
      <w:pPr>
        <w:pStyle w:val="Heading5"/>
        <w:tabs>
          <w:tab w:pos="1397" w:val="left" w:leader="none"/>
        </w:tabs>
        <w:spacing w:line="240" w:lineRule="auto" w:before="171"/>
        <w:ind w:left="846" w:right="3681"/>
        <w:jc w:val="left"/>
        <w:rPr>
          <w:b w:val="0"/>
          <w:bCs w:val="0"/>
        </w:rPr>
      </w:pPr>
      <w:r>
        <w:rPr/>
        <w:pict>
          <v:group style="position:absolute;margin-left:119.010002pt;margin-top:23.871855pt;width:411.9pt;height:117.1pt;mso-position-horizontal-relative:page;mso-position-vertical-relative:paragraph;z-index:-1363048" coordorigin="2380,477" coordsize="8238,2342">
            <v:group style="position:absolute;left:2410;top:492;width:972;height:2" coordorigin="2410,492" coordsize="972,2">
              <v:shape style="position:absolute;left:2410;top:492;width:972;height:2" coordorigin="2410,492" coordsize="972,0" path="m2410,492l3382,492e" filled="false" stroked="true" strokeweight="1.5pt" strokecolor="#000000">
                <v:path arrowok="t"/>
              </v:shape>
              <v:shape style="position:absolute;left:3382;top:507;width:10;height:28" type="#_x0000_t75" stroked="false">
                <v:imagedata r:id="rId174" o:title=""/>
              </v:shape>
            </v:group>
            <v:group style="position:absolute;left:3382;top:492;width:978;height:2" coordorigin="3382,492" coordsize="978,2">
              <v:shape style="position:absolute;left:3382;top:492;width:978;height:2" coordorigin="3382,492" coordsize="978,0" path="m3382,492l4360,492e" filled="false" stroked="true" strokeweight="1.5pt" strokecolor="#000000">
                <v:path arrowok="t"/>
              </v:shape>
              <v:shape style="position:absolute;left:4360;top:507;width:10;height:28" type="#_x0000_t75" stroked="false">
                <v:imagedata r:id="rId174" o:title=""/>
              </v:shape>
            </v:group>
            <v:group style="position:absolute;left:4360;top:492;width:1101;height:2" coordorigin="4360,492" coordsize="1101,2">
              <v:shape style="position:absolute;left:4360;top:492;width:1101;height:2" coordorigin="4360,492" coordsize="1101,0" path="m4360,492l5460,492e" filled="false" stroked="true" strokeweight="1.5pt" strokecolor="#000000">
                <v:path arrowok="t"/>
              </v:shape>
              <v:shape style="position:absolute;left:5460;top:507;width:10;height:28" type="#_x0000_t75" stroked="false">
                <v:imagedata r:id="rId174" o:title=""/>
              </v:shape>
            </v:group>
            <v:group style="position:absolute;left:5460;top:492;width:978;height:2" coordorigin="5460,492" coordsize="978,2">
              <v:shape style="position:absolute;left:5460;top:492;width:978;height:2" coordorigin="5460,492" coordsize="978,0" path="m5460,492l6438,492e" filled="false" stroked="true" strokeweight="1.5pt" strokecolor="#000000">
                <v:path arrowok="t"/>
              </v:shape>
              <v:shape style="position:absolute;left:6438;top:507;width:10;height:28" type="#_x0000_t75" stroked="false">
                <v:imagedata r:id="rId174" o:title=""/>
              </v:shape>
            </v:group>
            <v:group style="position:absolute;left:6438;top:492;width:30;height:2" coordorigin="6438,492" coordsize="30,2">
              <v:shape style="position:absolute;left:6438;top:492;width:30;height:2" coordorigin="6438,492" coordsize="30,0" path="m6438,492l6468,492e" filled="false" stroked="true" strokeweight="1.5pt" strokecolor="#000000">
                <v:path arrowok="t"/>
              </v:shape>
            </v:group>
            <v:group style="position:absolute;left:6468;top:492;width:948;height:2" coordorigin="6468,492" coordsize="948,2">
              <v:shape style="position:absolute;left:6468;top:492;width:948;height:2" coordorigin="6468,492" coordsize="948,0" path="m6468,492l7416,492e" filled="false" stroked="true" strokeweight="1.5pt" strokecolor="#000000">
                <v:path arrowok="t"/>
              </v:shape>
              <v:shape style="position:absolute;left:7416;top:507;width:10;height:28" type="#_x0000_t75" stroked="false">
                <v:imagedata r:id="rId174" o:title=""/>
              </v:shape>
            </v:group>
            <v:group style="position:absolute;left:7416;top:492;width:978;height:2" coordorigin="7416,492" coordsize="978,2">
              <v:shape style="position:absolute;left:7416;top:492;width:978;height:2" coordorigin="7416,492" coordsize="978,0" path="m7416,492l8394,492e" filled="false" stroked="true" strokeweight="1.5pt" strokecolor="#000000">
                <v:path arrowok="t"/>
              </v:shape>
              <v:shape style="position:absolute;left:8394;top:507;width:10;height:28" type="#_x0000_t75" stroked="false">
                <v:imagedata r:id="rId174" o:title=""/>
              </v:shape>
            </v:group>
            <v:group style="position:absolute;left:8394;top:492;width:1101;height:2" coordorigin="8394,492" coordsize="1101,2">
              <v:shape style="position:absolute;left:8394;top:492;width:1101;height:2" coordorigin="8394,492" coordsize="1101,0" path="m8394,492l9494,492e" filled="false" stroked="true" strokeweight="1.5pt" strokecolor="#000000">
                <v:path arrowok="t"/>
              </v:shape>
              <v:shape style="position:absolute;left:9494;top:507;width:10;height:28" type="#_x0000_t75" stroked="false">
                <v:imagedata r:id="rId174" o:title=""/>
              </v:shape>
            </v:group>
            <v:group style="position:absolute;left:9494;top:492;width:1103;height:2" coordorigin="9494,492" coordsize="1103,2">
              <v:shape style="position:absolute;left:9494;top:492;width:1103;height:2" coordorigin="9494,492" coordsize="1103,0" path="m9494,492l10597,492e" filled="false" stroked="true" strokeweight="1.5pt" strokecolor="#000000">
                <v:path arrowok="t"/>
              </v:shape>
              <v:shape style="position:absolute;left:3362;top:516;width:6161;height:547" type="#_x0000_t75" stroked="false">
                <v:imagedata r:id="rId473" o:title=""/>
              </v:shape>
            </v:group>
            <v:group style="position:absolute;left:2395;top:2804;width:987;height:2" coordorigin="2395,2804" coordsize="987,2">
              <v:shape style="position:absolute;left:2395;top:2804;width:987;height:2" coordorigin="2395,2804" coordsize="987,0" path="m2395,2804l3382,2804e" filled="false" stroked="true" strokeweight="1.5pt" strokecolor="#000000">
                <v:path arrowok="t"/>
              </v:shape>
            </v:group>
            <v:group style="position:absolute;left:3382;top:2804;width:978;height:2" coordorigin="3382,2804" coordsize="978,2">
              <v:shape style="position:absolute;left:3382;top:2804;width:978;height:2" coordorigin="3382,2804" coordsize="978,0" path="m3382,2804l4360,2804e" filled="false" stroked="true" strokeweight="1.5pt" strokecolor="#000000">
                <v:path arrowok="t"/>
              </v:shape>
            </v:group>
            <v:group style="position:absolute;left:4360;top:2804;width:1101;height:2" coordorigin="4360,2804" coordsize="1101,2">
              <v:shape style="position:absolute;left:4360;top:2804;width:1101;height:2" coordorigin="4360,2804" coordsize="1101,0" path="m4360,2804l5460,2804e" filled="false" stroked="true" strokeweight="1.5pt" strokecolor="#000000">
                <v:path arrowok="t"/>
              </v:shape>
            </v:group>
            <v:group style="position:absolute;left:5460;top:2804;width:978;height:2" coordorigin="5460,2804" coordsize="978,2">
              <v:shape style="position:absolute;left:5460;top:2804;width:978;height:2" coordorigin="5460,2804" coordsize="978,0" path="m5460,2804l6438,2804e" filled="false" stroked="true" strokeweight="1.5pt" strokecolor="#000000">
                <v:path arrowok="t"/>
              </v:shape>
            </v:group>
            <v:group style="position:absolute;left:6438;top:2804;width:30;height:2" coordorigin="6438,2804" coordsize="30,2">
              <v:shape style="position:absolute;left:6438;top:2804;width:30;height:2" coordorigin="6438,2804" coordsize="30,0" path="m6438,2804l6468,2804e" filled="false" stroked="true" strokeweight="1.5pt" strokecolor="#000000">
                <v:path arrowok="t"/>
              </v:shape>
            </v:group>
            <v:group style="position:absolute;left:6468;top:2804;width:948;height:2" coordorigin="6468,2804" coordsize="948,2">
              <v:shape style="position:absolute;left:6468;top:2804;width:948;height:2" coordorigin="6468,2804" coordsize="948,0" path="m6468,2804l7416,2804e" filled="false" stroked="true" strokeweight="1.5pt" strokecolor="#000000">
                <v:path arrowok="t"/>
              </v:shape>
            </v:group>
            <v:group style="position:absolute;left:7416;top:2804;width:978;height:2" coordorigin="7416,2804" coordsize="978,2">
              <v:shape style="position:absolute;left:7416;top:2804;width:978;height:2" coordorigin="7416,2804" coordsize="978,0" path="m7416,2804l8394,2804e" filled="false" stroked="true" strokeweight="1.5pt" strokecolor="#000000">
                <v:path arrowok="t"/>
              </v:shape>
            </v:group>
            <v:group style="position:absolute;left:8394;top:2804;width:1101;height:2" coordorigin="8394,2804" coordsize="1101,2">
              <v:shape style="position:absolute;left:8394;top:2804;width:1101;height:2" coordorigin="8394,2804" coordsize="1101,0" path="m8394,2804l9494,2804e" filled="false" stroked="true" strokeweight="1.5pt" strokecolor="#000000">
                <v:path arrowok="t"/>
              </v:shape>
              <v:shape style="position:absolute;left:2390;top:1025;width:8227;height:1764" type="#_x0000_t75" stroked="false">
                <v:imagedata r:id="rId474" o:title=""/>
              </v:shape>
            </v:group>
            <v:group style="position:absolute;left:9494;top:2804;width:1103;height:2" coordorigin="9494,2804" coordsize="1103,2">
              <v:shape style="position:absolute;left:9494;top:2804;width:1103;height:2" coordorigin="9494,2804" coordsize="1103,0" path="m9494,2804l10597,2804e" filled="false" stroked="true" strokeweight="1.5pt" strokecolor="#000000">
                <v:path arrowok="t"/>
              </v:shape>
            </v:group>
            <w10:wrap type="none"/>
          </v:group>
        </w:pict>
      </w:r>
      <w:r>
        <w:rPr>
          <w:rFonts w:ascii="Times New Roman" w:hAnsi="Times New Roman" w:cs="Times New Roman" w:eastAsia="Times New Roman" w:hint="default"/>
          <w:w w:val="95"/>
        </w:rPr>
        <w:t>2</w:t>
      </w:r>
      <w:r>
        <w:rPr>
          <w:w w:val="95"/>
        </w:rPr>
        <w:t>、</w:t>
        <w:tab/>
      </w:r>
      <w:r>
        <w:rPr/>
        <w:t>报告分部的财务信息</w:t>
      </w:r>
      <w:r>
        <w:rPr>
          <w:b w:val="0"/>
          <w:bCs w:val="0"/>
        </w:rPr>
      </w:r>
    </w:p>
    <w:p>
      <w:pPr>
        <w:spacing w:line="240" w:lineRule="auto" w:before="11"/>
        <w:rPr>
          <w:rFonts w:ascii="宋体" w:hAnsi="宋体" w:cs="宋体" w:eastAsia="宋体" w:hint="default"/>
          <w:b/>
          <w:bCs/>
          <w:sz w:val="6"/>
          <w:szCs w:val="6"/>
        </w:rPr>
      </w:pPr>
    </w:p>
    <w:tbl>
      <w:tblPr>
        <w:tblW w:w="0" w:type="auto"/>
        <w:jc w:val="left"/>
        <w:tblInd w:w="852" w:type="dxa"/>
        <w:tblLayout w:type="fixed"/>
        <w:tblCellMar>
          <w:top w:w="0" w:type="dxa"/>
          <w:left w:w="0" w:type="dxa"/>
          <w:bottom w:w="0" w:type="dxa"/>
          <w:right w:w="0" w:type="dxa"/>
        </w:tblCellMar>
        <w:tblLook w:val="01E0"/>
      </w:tblPr>
      <w:tblGrid>
        <w:gridCol w:w="889"/>
        <w:gridCol w:w="985"/>
        <w:gridCol w:w="1110"/>
        <w:gridCol w:w="962"/>
        <w:gridCol w:w="1031"/>
        <w:gridCol w:w="985"/>
        <w:gridCol w:w="1091"/>
        <w:gridCol w:w="995"/>
      </w:tblGrid>
      <w:tr>
        <w:trPr>
          <w:trHeight w:val="524" w:hRule="exact"/>
        </w:trPr>
        <w:tc>
          <w:tcPr>
            <w:tcW w:w="88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18"/>
              <w:jc w:val="center"/>
              <w:rPr>
                <w:rFonts w:ascii="宋体" w:hAnsi="宋体" w:cs="宋体" w:eastAsia="宋体" w:hint="default"/>
                <w:sz w:val="10"/>
                <w:szCs w:val="10"/>
              </w:rPr>
            </w:pPr>
            <w:r>
              <w:rPr>
                <w:rFonts w:ascii="宋体" w:hAnsi="宋体" w:cs="宋体" w:eastAsia="宋体" w:hint="default"/>
                <w:sz w:val="10"/>
                <w:szCs w:val="10"/>
              </w:rPr>
              <w:t>项目</w:t>
            </w:r>
          </w:p>
        </w:tc>
        <w:tc>
          <w:tcPr>
            <w:tcW w:w="98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left="274" w:right="0"/>
              <w:jc w:val="left"/>
              <w:rPr>
                <w:rFonts w:ascii="宋体" w:hAnsi="宋体" w:cs="宋体" w:eastAsia="宋体" w:hint="default"/>
                <w:sz w:val="10"/>
                <w:szCs w:val="10"/>
              </w:rPr>
            </w:pPr>
            <w:r>
              <w:rPr>
                <w:rFonts w:ascii="宋体" w:hAnsi="宋体" w:cs="宋体" w:eastAsia="宋体" w:hint="default"/>
                <w:sz w:val="10"/>
                <w:szCs w:val="10"/>
              </w:rPr>
              <w:t>高新电子</w:t>
            </w:r>
          </w:p>
        </w:tc>
        <w:tc>
          <w:tcPr>
            <w:tcW w:w="1110" w:type="dxa"/>
            <w:tcBorders>
              <w:top w:val="nil" w:sz="6" w:space="0" w:color="auto"/>
              <w:left w:val="nil" w:sz="6" w:space="0" w:color="auto"/>
              <w:bottom w:val="nil" w:sz="6" w:space="0" w:color="auto"/>
              <w:right w:val="nil" w:sz="6" w:space="0" w:color="auto"/>
            </w:tcBorders>
          </w:tcPr>
          <w:p>
            <w:pPr>
              <w:pStyle w:val="TableParagraph"/>
              <w:spacing w:line="367" w:lineRule="auto" w:before="68"/>
              <w:ind w:left="377" w:right="180" w:hanging="250"/>
              <w:jc w:val="left"/>
              <w:rPr>
                <w:rFonts w:ascii="宋体" w:hAnsi="宋体" w:cs="宋体" w:eastAsia="宋体" w:hint="default"/>
                <w:sz w:val="10"/>
                <w:szCs w:val="10"/>
              </w:rPr>
            </w:pPr>
            <w:r>
              <w:rPr>
                <w:rFonts w:ascii="宋体" w:hAnsi="宋体" w:cs="宋体" w:eastAsia="宋体" w:hint="default"/>
                <w:sz w:val="10"/>
                <w:szCs w:val="10"/>
              </w:rPr>
              <w:t>信息安全整机及解</w:t>
            </w:r>
            <w:r>
              <w:rPr>
                <w:rFonts w:ascii="宋体" w:hAnsi="宋体" w:cs="宋体" w:eastAsia="宋体" w:hint="default"/>
                <w:w w:val="99"/>
                <w:sz w:val="10"/>
                <w:szCs w:val="10"/>
              </w:rPr>
              <w:t> </w:t>
            </w:r>
            <w:r>
              <w:rPr>
                <w:rFonts w:ascii="宋体" w:hAnsi="宋体" w:cs="宋体" w:eastAsia="宋体" w:hint="default"/>
                <w:sz w:val="10"/>
                <w:szCs w:val="10"/>
              </w:rPr>
              <w:t>决方案</w:t>
            </w:r>
          </w:p>
        </w:tc>
        <w:tc>
          <w:tcPr>
            <w:tcW w:w="96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left="256" w:right="0"/>
              <w:jc w:val="left"/>
              <w:rPr>
                <w:rFonts w:ascii="宋体" w:hAnsi="宋体" w:cs="宋体" w:eastAsia="宋体" w:hint="default"/>
                <w:sz w:val="10"/>
                <w:szCs w:val="10"/>
              </w:rPr>
            </w:pPr>
            <w:r>
              <w:rPr>
                <w:rFonts w:ascii="宋体" w:hAnsi="宋体" w:cs="宋体" w:eastAsia="宋体" w:hint="default"/>
                <w:sz w:val="10"/>
                <w:szCs w:val="10"/>
              </w:rPr>
              <w:t>电源产品</w:t>
            </w:r>
          </w:p>
        </w:tc>
        <w:tc>
          <w:tcPr>
            <w:tcW w:w="103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7"/>
              <w:jc w:val="right"/>
              <w:rPr>
                <w:rFonts w:ascii="宋体" w:hAnsi="宋体" w:cs="宋体" w:eastAsia="宋体" w:hint="default"/>
                <w:sz w:val="10"/>
                <w:szCs w:val="10"/>
              </w:rPr>
            </w:pPr>
            <w:r>
              <w:rPr>
                <w:rFonts w:ascii="宋体" w:hAnsi="宋体" w:cs="宋体" w:eastAsia="宋体" w:hint="default"/>
                <w:w w:val="95"/>
                <w:sz w:val="10"/>
                <w:szCs w:val="10"/>
              </w:rPr>
              <w:t>园区及物业服务</w:t>
            </w:r>
            <w:r>
              <w:rPr>
                <w:rFonts w:ascii="宋体" w:hAnsi="宋体" w:cs="宋体" w:eastAsia="宋体" w:hint="default"/>
                <w:sz w:val="10"/>
                <w:szCs w:val="10"/>
              </w:rPr>
            </w:r>
          </w:p>
        </w:tc>
        <w:tc>
          <w:tcPr>
            <w:tcW w:w="98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left="319" w:right="0"/>
              <w:jc w:val="left"/>
              <w:rPr>
                <w:rFonts w:ascii="宋体" w:hAnsi="宋体" w:cs="宋体" w:eastAsia="宋体" w:hint="default"/>
                <w:sz w:val="10"/>
                <w:szCs w:val="10"/>
              </w:rPr>
            </w:pPr>
            <w:r>
              <w:rPr>
                <w:rFonts w:ascii="宋体" w:hAnsi="宋体" w:cs="宋体" w:eastAsia="宋体" w:hint="default"/>
                <w:sz w:val="10"/>
                <w:szCs w:val="10"/>
              </w:rPr>
              <w:t>其他</w:t>
            </w: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left="223" w:right="0"/>
              <w:jc w:val="left"/>
              <w:rPr>
                <w:rFonts w:ascii="宋体" w:hAnsi="宋体" w:cs="宋体" w:eastAsia="宋体" w:hint="default"/>
                <w:sz w:val="10"/>
                <w:szCs w:val="10"/>
              </w:rPr>
            </w:pPr>
            <w:r>
              <w:rPr>
                <w:rFonts w:ascii="宋体" w:hAnsi="宋体" w:cs="宋体" w:eastAsia="宋体" w:hint="default"/>
                <w:sz w:val="10"/>
                <w:szCs w:val="10"/>
              </w:rPr>
              <w:t>分部间抵销</w:t>
            </w:r>
          </w:p>
        </w:tc>
        <w:tc>
          <w:tcPr>
            <w:tcW w:w="99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30"/>
              <w:jc w:val="center"/>
              <w:rPr>
                <w:rFonts w:ascii="宋体" w:hAnsi="宋体" w:cs="宋体" w:eastAsia="宋体" w:hint="default"/>
                <w:sz w:val="10"/>
                <w:szCs w:val="10"/>
              </w:rPr>
            </w:pPr>
            <w:r>
              <w:rPr>
                <w:rFonts w:ascii="宋体" w:hAnsi="宋体" w:cs="宋体" w:eastAsia="宋体" w:hint="default"/>
                <w:sz w:val="10"/>
                <w:szCs w:val="10"/>
              </w:rPr>
              <w:t>合计</w:t>
            </w:r>
          </w:p>
        </w:tc>
      </w:tr>
      <w:tr>
        <w:trPr>
          <w:trHeight w:val="359" w:hRule="exact"/>
        </w:trPr>
        <w:tc>
          <w:tcPr>
            <w:tcW w:w="88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7"/>
                <w:szCs w:val="7"/>
              </w:rPr>
            </w:pPr>
          </w:p>
          <w:p>
            <w:pPr>
              <w:pStyle w:val="TableParagraph"/>
              <w:spacing w:line="240" w:lineRule="auto"/>
              <w:ind w:right="118"/>
              <w:jc w:val="center"/>
              <w:rPr>
                <w:rFonts w:ascii="宋体" w:hAnsi="宋体" w:cs="宋体" w:eastAsia="宋体" w:hint="default"/>
                <w:sz w:val="10"/>
                <w:szCs w:val="10"/>
              </w:rPr>
            </w:pPr>
            <w:r>
              <w:rPr>
                <w:rFonts w:ascii="宋体" w:hAnsi="宋体" w:cs="宋体" w:eastAsia="宋体" w:hint="default"/>
                <w:sz w:val="10"/>
                <w:szCs w:val="10"/>
              </w:rPr>
              <w:t>营业收入</w:t>
            </w:r>
          </w:p>
        </w:tc>
        <w:tc>
          <w:tcPr>
            <w:tcW w:w="98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0"/>
                <w:szCs w:val="10"/>
              </w:rPr>
            </w:pPr>
          </w:p>
          <w:p>
            <w:pPr>
              <w:pStyle w:val="TableParagraph"/>
              <w:spacing w:line="240" w:lineRule="auto"/>
              <w:ind w:right="126"/>
              <w:jc w:val="right"/>
              <w:rPr>
                <w:rFonts w:ascii="Times New Roman" w:hAnsi="Times New Roman" w:cs="Times New Roman" w:eastAsia="Times New Roman" w:hint="default"/>
                <w:sz w:val="10"/>
                <w:szCs w:val="10"/>
              </w:rPr>
            </w:pPr>
            <w:r>
              <w:rPr>
                <w:rFonts w:ascii="Times New Roman"/>
                <w:spacing w:val="-1"/>
                <w:sz w:val="10"/>
              </w:rPr>
              <w:t>4,127,324,606.02</w:t>
            </w:r>
          </w:p>
        </w:tc>
        <w:tc>
          <w:tcPr>
            <w:tcW w:w="111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0"/>
                <w:szCs w:val="10"/>
              </w:rPr>
            </w:pPr>
          </w:p>
          <w:p>
            <w:pPr>
              <w:pStyle w:val="TableParagraph"/>
              <w:spacing w:line="240" w:lineRule="auto"/>
              <w:ind w:right="136"/>
              <w:jc w:val="right"/>
              <w:rPr>
                <w:rFonts w:ascii="Times New Roman" w:hAnsi="Times New Roman" w:cs="Times New Roman" w:eastAsia="Times New Roman" w:hint="default"/>
                <w:sz w:val="10"/>
                <w:szCs w:val="10"/>
              </w:rPr>
            </w:pPr>
            <w:r>
              <w:rPr>
                <w:rFonts w:ascii="Times New Roman"/>
                <w:spacing w:val="-1"/>
                <w:sz w:val="10"/>
              </w:rPr>
              <w:t>3,064,304,000.71</w:t>
            </w:r>
          </w:p>
        </w:tc>
        <w:tc>
          <w:tcPr>
            <w:tcW w:w="96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0"/>
                <w:szCs w:val="10"/>
              </w:rPr>
            </w:pPr>
          </w:p>
          <w:p>
            <w:pPr>
              <w:pStyle w:val="TableParagraph"/>
              <w:spacing w:line="240" w:lineRule="auto"/>
              <w:ind w:right="121"/>
              <w:jc w:val="right"/>
              <w:rPr>
                <w:rFonts w:ascii="Times New Roman" w:hAnsi="Times New Roman" w:cs="Times New Roman" w:eastAsia="Times New Roman" w:hint="default"/>
                <w:sz w:val="10"/>
                <w:szCs w:val="10"/>
              </w:rPr>
            </w:pPr>
            <w:r>
              <w:rPr>
                <w:rFonts w:ascii="Times New Roman"/>
                <w:spacing w:val="-1"/>
                <w:sz w:val="10"/>
              </w:rPr>
              <w:t>3,179,295,776.71</w:t>
            </w:r>
          </w:p>
        </w:tc>
        <w:tc>
          <w:tcPr>
            <w:tcW w:w="103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0"/>
                <w:szCs w:val="10"/>
              </w:rPr>
            </w:pPr>
          </w:p>
          <w:p>
            <w:pPr>
              <w:pStyle w:val="TableParagraph"/>
              <w:spacing w:line="240" w:lineRule="auto"/>
              <w:ind w:right="173"/>
              <w:jc w:val="right"/>
              <w:rPr>
                <w:rFonts w:ascii="Times New Roman" w:hAnsi="Times New Roman" w:cs="Times New Roman" w:eastAsia="Times New Roman" w:hint="default"/>
                <w:sz w:val="10"/>
                <w:szCs w:val="10"/>
              </w:rPr>
            </w:pPr>
            <w:r>
              <w:rPr>
                <w:rFonts w:ascii="Times New Roman"/>
                <w:spacing w:val="-1"/>
                <w:sz w:val="10"/>
              </w:rPr>
              <w:t>360,484,305.13</w:t>
            </w:r>
          </w:p>
        </w:tc>
        <w:tc>
          <w:tcPr>
            <w:tcW w:w="98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0"/>
                <w:szCs w:val="10"/>
              </w:rPr>
            </w:pPr>
          </w:p>
          <w:p>
            <w:pPr>
              <w:pStyle w:val="TableParagraph"/>
              <w:spacing w:line="240" w:lineRule="auto"/>
              <w:ind w:right="180"/>
              <w:jc w:val="right"/>
              <w:rPr>
                <w:rFonts w:ascii="Times New Roman" w:hAnsi="Times New Roman" w:cs="Times New Roman" w:eastAsia="Times New Roman" w:hint="default"/>
                <w:sz w:val="10"/>
                <w:szCs w:val="10"/>
              </w:rPr>
            </w:pPr>
            <w:r>
              <w:rPr>
                <w:rFonts w:ascii="Times New Roman"/>
                <w:spacing w:val="-1"/>
                <w:sz w:val="10"/>
              </w:rPr>
              <w:t>744,053,847.98</w:t>
            </w: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0"/>
                <w:szCs w:val="10"/>
              </w:rPr>
            </w:pPr>
          </w:p>
          <w:p>
            <w:pPr>
              <w:pStyle w:val="TableParagraph"/>
              <w:spacing w:line="240" w:lineRule="auto"/>
              <w:ind w:left="182" w:right="0"/>
              <w:jc w:val="left"/>
              <w:rPr>
                <w:rFonts w:ascii="Times New Roman" w:hAnsi="Times New Roman" w:cs="Times New Roman" w:eastAsia="Times New Roman" w:hint="default"/>
                <w:sz w:val="10"/>
                <w:szCs w:val="10"/>
              </w:rPr>
            </w:pPr>
            <w:r>
              <w:rPr>
                <w:rFonts w:ascii="Times New Roman"/>
                <w:sz w:val="10"/>
              </w:rPr>
              <w:t>-1,465,979,039.81</w:t>
            </w:r>
          </w:p>
        </w:tc>
        <w:tc>
          <w:tcPr>
            <w:tcW w:w="99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0"/>
                <w:szCs w:val="10"/>
              </w:rPr>
            </w:pPr>
          </w:p>
          <w:p>
            <w:pPr>
              <w:pStyle w:val="TableParagraph"/>
              <w:spacing w:line="240" w:lineRule="auto"/>
              <w:ind w:right="68"/>
              <w:jc w:val="right"/>
              <w:rPr>
                <w:rFonts w:ascii="Times New Roman" w:hAnsi="Times New Roman" w:cs="Times New Roman" w:eastAsia="Times New Roman" w:hint="default"/>
                <w:sz w:val="10"/>
                <w:szCs w:val="10"/>
              </w:rPr>
            </w:pPr>
            <w:r>
              <w:rPr>
                <w:rFonts w:ascii="Times New Roman"/>
                <w:spacing w:val="-1"/>
                <w:sz w:val="10"/>
              </w:rPr>
              <w:t>10,009,483,496.74</w:t>
            </w:r>
          </w:p>
        </w:tc>
      </w:tr>
      <w:tr>
        <w:trPr>
          <w:trHeight w:val="349" w:hRule="exact"/>
        </w:trPr>
        <w:tc>
          <w:tcPr>
            <w:tcW w:w="88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18"/>
              <w:jc w:val="center"/>
              <w:rPr>
                <w:rFonts w:ascii="宋体" w:hAnsi="宋体" w:cs="宋体" w:eastAsia="宋体" w:hint="default"/>
                <w:sz w:val="10"/>
                <w:szCs w:val="10"/>
              </w:rPr>
            </w:pPr>
            <w:r>
              <w:rPr>
                <w:rFonts w:ascii="宋体" w:hAnsi="宋体" w:cs="宋体" w:eastAsia="宋体" w:hint="default"/>
                <w:sz w:val="10"/>
                <w:szCs w:val="10"/>
              </w:rPr>
              <w:t>折旧费和摊销费</w:t>
            </w:r>
          </w:p>
        </w:tc>
        <w:tc>
          <w:tcPr>
            <w:tcW w:w="98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9"/>
                <w:szCs w:val="9"/>
              </w:rPr>
            </w:pPr>
          </w:p>
          <w:p>
            <w:pPr>
              <w:pStyle w:val="TableParagraph"/>
              <w:spacing w:line="240" w:lineRule="auto"/>
              <w:ind w:right="126"/>
              <w:jc w:val="right"/>
              <w:rPr>
                <w:rFonts w:ascii="Times New Roman" w:hAnsi="Times New Roman" w:cs="Times New Roman" w:eastAsia="Times New Roman" w:hint="default"/>
                <w:sz w:val="10"/>
                <w:szCs w:val="10"/>
              </w:rPr>
            </w:pPr>
            <w:r>
              <w:rPr>
                <w:rFonts w:ascii="Times New Roman"/>
                <w:spacing w:val="-1"/>
                <w:sz w:val="10"/>
              </w:rPr>
              <w:t>95,500,508.13</w:t>
            </w:r>
          </w:p>
        </w:tc>
        <w:tc>
          <w:tcPr>
            <w:tcW w:w="111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9"/>
                <w:szCs w:val="9"/>
              </w:rPr>
            </w:pPr>
          </w:p>
          <w:p>
            <w:pPr>
              <w:pStyle w:val="TableParagraph"/>
              <w:spacing w:line="240" w:lineRule="auto"/>
              <w:ind w:right="135"/>
              <w:jc w:val="right"/>
              <w:rPr>
                <w:rFonts w:ascii="Times New Roman" w:hAnsi="Times New Roman" w:cs="Times New Roman" w:eastAsia="Times New Roman" w:hint="default"/>
                <w:sz w:val="10"/>
                <w:szCs w:val="10"/>
              </w:rPr>
            </w:pPr>
            <w:r>
              <w:rPr>
                <w:rFonts w:ascii="Times New Roman"/>
                <w:spacing w:val="-1"/>
                <w:sz w:val="10"/>
              </w:rPr>
              <w:t>44,505,416.66</w:t>
            </w:r>
          </w:p>
        </w:tc>
        <w:tc>
          <w:tcPr>
            <w:tcW w:w="96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9"/>
                <w:szCs w:val="9"/>
              </w:rPr>
            </w:pPr>
          </w:p>
          <w:p>
            <w:pPr>
              <w:pStyle w:val="TableParagraph"/>
              <w:spacing w:line="240" w:lineRule="auto"/>
              <w:ind w:right="120"/>
              <w:jc w:val="right"/>
              <w:rPr>
                <w:rFonts w:ascii="Times New Roman" w:hAnsi="Times New Roman" w:cs="Times New Roman" w:eastAsia="Times New Roman" w:hint="default"/>
                <w:sz w:val="10"/>
                <w:szCs w:val="10"/>
              </w:rPr>
            </w:pPr>
            <w:r>
              <w:rPr>
                <w:rFonts w:ascii="Times New Roman"/>
                <w:spacing w:val="-1"/>
                <w:sz w:val="10"/>
              </w:rPr>
              <w:t>27,868,138.29</w:t>
            </w:r>
          </w:p>
        </w:tc>
        <w:tc>
          <w:tcPr>
            <w:tcW w:w="103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9"/>
                <w:szCs w:val="9"/>
              </w:rPr>
            </w:pPr>
          </w:p>
          <w:p>
            <w:pPr>
              <w:pStyle w:val="TableParagraph"/>
              <w:spacing w:line="240" w:lineRule="auto"/>
              <w:ind w:right="173"/>
              <w:jc w:val="right"/>
              <w:rPr>
                <w:rFonts w:ascii="Times New Roman" w:hAnsi="Times New Roman" w:cs="Times New Roman" w:eastAsia="Times New Roman" w:hint="default"/>
                <w:sz w:val="10"/>
                <w:szCs w:val="10"/>
              </w:rPr>
            </w:pPr>
            <w:r>
              <w:rPr>
                <w:rFonts w:ascii="Times New Roman"/>
                <w:spacing w:val="-1"/>
                <w:sz w:val="10"/>
              </w:rPr>
              <w:t>52,005,677.76</w:t>
            </w:r>
          </w:p>
        </w:tc>
        <w:tc>
          <w:tcPr>
            <w:tcW w:w="98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9"/>
                <w:szCs w:val="9"/>
              </w:rPr>
            </w:pPr>
          </w:p>
          <w:p>
            <w:pPr>
              <w:pStyle w:val="TableParagraph"/>
              <w:spacing w:line="240" w:lineRule="auto"/>
              <w:ind w:right="181"/>
              <w:jc w:val="right"/>
              <w:rPr>
                <w:rFonts w:ascii="Times New Roman" w:hAnsi="Times New Roman" w:cs="Times New Roman" w:eastAsia="Times New Roman" w:hint="default"/>
                <w:sz w:val="10"/>
                <w:szCs w:val="10"/>
              </w:rPr>
            </w:pPr>
            <w:r>
              <w:rPr>
                <w:rFonts w:ascii="Times New Roman"/>
                <w:spacing w:val="-1"/>
                <w:sz w:val="10"/>
              </w:rPr>
              <w:t>8,871,717.58</w:t>
            </w:r>
          </w:p>
        </w:tc>
        <w:tc>
          <w:tcPr>
            <w:tcW w:w="1091" w:type="dxa"/>
            <w:tcBorders>
              <w:top w:val="nil" w:sz="6" w:space="0" w:color="auto"/>
              <w:left w:val="nil" w:sz="6" w:space="0" w:color="auto"/>
              <w:bottom w:val="nil" w:sz="6" w:space="0" w:color="auto"/>
              <w:right w:val="nil" w:sz="6" w:space="0" w:color="auto"/>
            </w:tcBorders>
          </w:tcPr>
          <w:p>
            <w:pPr/>
          </w:p>
        </w:tc>
        <w:tc>
          <w:tcPr>
            <w:tcW w:w="99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9"/>
                <w:szCs w:val="9"/>
              </w:rPr>
            </w:pPr>
          </w:p>
          <w:p>
            <w:pPr>
              <w:pStyle w:val="TableParagraph"/>
              <w:spacing w:line="240" w:lineRule="auto"/>
              <w:ind w:right="68"/>
              <w:jc w:val="right"/>
              <w:rPr>
                <w:rFonts w:ascii="Times New Roman" w:hAnsi="Times New Roman" w:cs="Times New Roman" w:eastAsia="Times New Roman" w:hint="default"/>
                <w:sz w:val="10"/>
                <w:szCs w:val="10"/>
              </w:rPr>
            </w:pPr>
            <w:r>
              <w:rPr>
                <w:rFonts w:ascii="Times New Roman"/>
                <w:spacing w:val="-1"/>
                <w:sz w:val="10"/>
              </w:rPr>
              <w:t>228,751,458.42</w:t>
            </w:r>
          </w:p>
        </w:tc>
      </w:tr>
      <w:tr>
        <w:trPr>
          <w:trHeight w:val="349" w:hRule="exact"/>
        </w:trPr>
        <w:tc>
          <w:tcPr>
            <w:tcW w:w="88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18"/>
              <w:jc w:val="center"/>
              <w:rPr>
                <w:rFonts w:ascii="宋体" w:hAnsi="宋体" w:cs="宋体" w:eastAsia="宋体" w:hint="default"/>
                <w:sz w:val="10"/>
                <w:szCs w:val="10"/>
              </w:rPr>
            </w:pPr>
            <w:r>
              <w:rPr>
                <w:rFonts w:ascii="宋体" w:hAnsi="宋体" w:cs="宋体" w:eastAsia="宋体" w:hint="default"/>
                <w:sz w:val="10"/>
                <w:szCs w:val="10"/>
              </w:rPr>
              <w:t>利润总额</w:t>
            </w:r>
          </w:p>
        </w:tc>
        <w:tc>
          <w:tcPr>
            <w:tcW w:w="98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9"/>
                <w:szCs w:val="9"/>
              </w:rPr>
            </w:pPr>
          </w:p>
          <w:p>
            <w:pPr>
              <w:pStyle w:val="TableParagraph"/>
              <w:spacing w:line="240" w:lineRule="auto"/>
              <w:ind w:right="126"/>
              <w:jc w:val="right"/>
              <w:rPr>
                <w:rFonts w:ascii="Times New Roman" w:hAnsi="Times New Roman" w:cs="Times New Roman" w:eastAsia="Times New Roman" w:hint="default"/>
                <w:sz w:val="10"/>
                <w:szCs w:val="10"/>
              </w:rPr>
            </w:pPr>
            <w:r>
              <w:rPr>
                <w:rFonts w:ascii="Times New Roman"/>
                <w:spacing w:val="-1"/>
                <w:sz w:val="10"/>
              </w:rPr>
              <w:t>358,994,281.30</w:t>
            </w:r>
          </w:p>
        </w:tc>
        <w:tc>
          <w:tcPr>
            <w:tcW w:w="111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9"/>
                <w:szCs w:val="9"/>
              </w:rPr>
            </w:pPr>
          </w:p>
          <w:p>
            <w:pPr>
              <w:pStyle w:val="TableParagraph"/>
              <w:spacing w:line="240" w:lineRule="auto"/>
              <w:ind w:right="135"/>
              <w:jc w:val="right"/>
              <w:rPr>
                <w:rFonts w:ascii="Times New Roman" w:hAnsi="Times New Roman" w:cs="Times New Roman" w:eastAsia="Times New Roman" w:hint="default"/>
                <w:sz w:val="10"/>
                <w:szCs w:val="10"/>
              </w:rPr>
            </w:pPr>
            <w:r>
              <w:rPr>
                <w:rFonts w:ascii="Times New Roman"/>
                <w:spacing w:val="-1"/>
                <w:sz w:val="10"/>
              </w:rPr>
              <w:t>769,997,633.58</w:t>
            </w:r>
          </w:p>
        </w:tc>
        <w:tc>
          <w:tcPr>
            <w:tcW w:w="96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9"/>
                <w:szCs w:val="9"/>
              </w:rPr>
            </w:pPr>
          </w:p>
          <w:p>
            <w:pPr>
              <w:pStyle w:val="TableParagraph"/>
              <w:spacing w:line="240" w:lineRule="auto"/>
              <w:ind w:right="120"/>
              <w:jc w:val="right"/>
              <w:rPr>
                <w:rFonts w:ascii="Times New Roman" w:hAnsi="Times New Roman" w:cs="Times New Roman" w:eastAsia="Times New Roman" w:hint="default"/>
                <w:sz w:val="10"/>
                <w:szCs w:val="10"/>
              </w:rPr>
            </w:pPr>
            <w:r>
              <w:rPr>
                <w:rFonts w:ascii="Times New Roman"/>
                <w:spacing w:val="-1"/>
                <w:sz w:val="10"/>
              </w:rPr>
              <w:t>147,468,380.20</w:t>
            </w:r>
          </w:p>
        </w:tc>
        <w:tc>
          <w:tcPr>
            <w:tcW w:w="103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9"/>
                <w:szCs w:val="9"/>
              </w:rPr>
            </w:pPr>
          </w:p>
          <w:p>
            <w:pPr>
              <w:pStyle w:val="TableParagraph"/>
              <w:spacing w:line="240" w:lineRule="auto"/>
              <w:ind w:right="173"/>
              <w:jc w:val="right"/>
              <w:rPr>
                <w:rFonts w:ascii="Times New Roman" w:hAnsi="Times New Roman" w:cs="Times New Roman" w:eastAsia="Times New Roman" w:hint="default"/>
                <w:sz w:val="10"/>
                <w:szCs w:val="10"/>
              </w:rPr>
            </w:pPr>
            <w:r>
              <w:rPr>
                <w:rFonts w:ascii="Times New Roman"/>
                <w:spacing w:val="-1"/>
                <w:sz w:val="10"/>
              </w:rPr>
              <w:t>126,553,336.40</w:t>
            </w:r>
          </w:p>
        </w:tc>
        <w:tc>
          <w:tcPr>
            <w:tcW w:w="98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9"/>
                <w:szCs w:val="9"/>
              </w:rPr>
            </w:pPr>
          </w:p>
          <w:p>
            <w:pPr>
              <w:pStyle w:val="TableParagraph"/>
              <w:spacing w:line="240" w:lineRule="auto"/>
              <w:ind w:right="181"/>
              <w:jc w:val="right"/>
              <w:rPr>
                <w:rFonts w:ascii="Times New Roman" w:hAnsi="Times New Roman" w:cs="Times New Roman" w:eastAsia="Times New Roman" w:hint="default"/>
                <w:sz w:val="10"/>
                <w:szCs w:val="10"/>
              </w:rPr>
            </w:pPr>
            <w:r>
              <w:rPr>
                <w:rFonts w:ascii="Times New Roman"/>
                <w:spacing w:val="-1"/>
                <w:sz w:val="10"/>
              </w:rPr>
              <w:t>2,260,348.12</w:t>
            </w: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9"/>
                <w:szCs w:val="9"/>
              </w:rPr>
            </w:pPr>
          </w:p>
          <w:p>
            <w:pPr>
              <w:pStyle w:val="TableParagraph"/>
              <w:spacing w:line="240" w:lineRule="auto"/>
              <w:ind w:left="307" w:right="0"/>
              <w:jc w:val="left"/>
              <w:rPr>
                <w:rFonts w:ascii="Times New Roman" w:hAnsi="Times New Roman" w:cs="Times New Roman" w:eastAsia="Times New Roman" w:hint="default"/>
                <w:sz w:val="10"/>
                <w:szCs w:val="10"/>
              </w:rPr>
            </w:pPr>
            <w:r>
              <w:rPr>
                <w:rFonts w:ascii="Times New Roman"/>
                <w:sz w:val="10"/>
              </w:rPr>
              <w:t>-84,666,414.68</w:t>
            </w:r>
          </w:p>
        </w:tc>
        <w:tc>
          <w:tcPr>
            <w:tcW w:w="99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9"/>
                <w:szCs w:val="9"/>
              </w:rPr>
            </w:pPr>
          </w:p>
          <w:p>
            <w:pPr>
              <w:pStyle w:val="TableParagraph"/>
              <w:spacing w:line="240" w:lineRule="auto"/>
              <w:ind w:right="68"/>
              <w:jc w:val="right"/>
              <w:rPr>
                <w:rFonts w:ascii="Times New Roman" w:hAnsi="Times New Roman" w:cs="Times New Roman" w:eastAsia="Times New Roman" w:hint="default"/>
                <w:sz w:val="10"/>
                <w:szCs w:val="10"/>
              </w:rPr>
            </w:pPr>
            <w:r>
              <w:rPr>
                <w:rFonts w:ascii="Times New Roman"/>
                <w:spacing w:val="-1"/>
                <w:sz w:val="10"/>
              </w:rPr>
              <w:t>1,320,607,564.92</w:t>
            </w:r>
          </w:p>
        </w:tc>
      </w:tr>
      <w:tr>
        <w:trPr>
          <w:trHeight w:val="349" w:hRule="exact"/>
        </w:trPr>
        <w:tc>
          <w:tcPr>
            <w:tcW w:w="88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18"/>
              <w:jc w:val="center"/>
              <w:rPr>
                <w:rFonts w:ascii="宋体" w:hAnsi="宋体" w:cs="宋体" w:eastAsia="宋体" w:hint="default"/>
                <w:sz w:val="10"/>
                <w:szCs w:val="10"/>
              </w:rPr>
            </w:pPr>
            <w:r>
              <w:rPr>
                <w:rFonts w:ascii="宋体" w:hAnsi="宋体" w:cs="宋体" w:eastAsia="宋体" w:hint="default"/>
                <w:sz w:val="10"/>
                <w:szCs w:val="10"/>
              </w:rPr>
              <w:t>资产总额</w:t>
            </w:r>
          </w:p>
        </w:tc>
        <w:tc>
          <w:tcPr>
            <w:tcW w:w="98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9"/>
                <w:szCs w:val="9"/>
              </w:rPr>
            </w:pPr>
          </w:p>
          <w:p>
            <w:pPr>
              <w:pStyle w:val="TableParagraph"/>
              <w:spacing w:line="240" w:lineRule="auto"/>
              <w:ind w:right="126"/>
              <w:jc w:val="right"/>
              <w:rPr>
                <w:rFonts w:ascii="Times New Roman" w:hAnsi="Times New Roman" w:cs="Times New Roman" w:eastAsia="Times New Roman" w:hint="default"/>
                <w:sz w:val="10"/>
                <w:szCs w:val="10"/>
              </w:rPr>
            </w:pPr>
            <w:r>
              <w:rPr>
                <w:rFonts w:ascii="Times New Roman"/>
                <w:spacing w:val="-1"/>
                <w:sz w:val="10"/>
              </w:rPr>
              <w:t>6,968,541,874.88</w:t>
            </w:r>
          </w:p>
        </w:tc>
        <w:tc>
          <w:tcPr>
            <w:tcW w:w="111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9"/>
                <w:szCs w:val="9"/>
              </w:rPr>
            </w:pPr>
          </w:p>
          <w:p>
            <w:pPr>
              <w:pStyle w:val="TableParagraph"/>
              <w:spacing w:line="240" w:lineRule="auto"/>
              <w:ind w:right="135"/>
              <w:jc w:val="right"/>
              <w:rPr>
                <w:rFonts w:ascii="Times New Roman" w:hAnsi="Times New Roman" w:cs="Times New Roman" w:eastAsia="Times New Roman" w:hint="default"/>
                <w:sz w:val="10"/>
                <w:szCs w:val="10"/>
              </w:rPr>
            </w:pPr>
            <w:r>
              <w:rPr>
                <w:rFonts w:ascii="Times New Roman"/>
                <w:spacing w:val="-1"/>
                <w:sz w:val="10"/>
              </w:rPr>
              <w:t>10,740,762,586.05</w:t>
            </w:r>
          </w:p>
        </w:tc>
        <w:tc>
          <w:tcPr>
            <w:tcW w:w="96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9"/>
                <w:szCs w:val="9"/>
              </w:rPr>
            </w:pPr>
          </w:p>
          <w:p>
            <w:pPr>
              <w:pStyle w:val="TableParagraph"/>
              <w:spacing w:line="240" w:lineRule="auto"/>
              <w:ind w:right="121"/>
              <w:jc w:val="right"/>
              <w:rPr>
                <w:rFonts w:ascii="Times New Roman" w:hAnsi="Times New Roman" w:cs="Times New Roman" w:eastAsia="Times New Roman" w:hint="default"/>
                <w:sz w:val="10"/>
                <w:szCs w:val="10"/>
              </w:rPr>
            </w:pPr>
            <w:r>
              <w:rPr>
                <w:rFonts w:ascii="Times New Roman"/>
                <w:spacing w:val="-1"/>
                <w:sz w:val="10"/>
              </w:rPr>
              <w:t>1,406,431,839.24</w:t>
            </w:r>
          </w:p>
        </w:tc>
        <w:tc>
          <w:tcPr>
            <w:tcW w:w="103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9"/>
                <w:szCs w:val="9"/>
              </w:rPr>
            </w:pPr>
          </w:p>
          <w:p>
            <w:pPr>
              <w:pStyle w:val="TableParagraph"/>
              <w:spacing w:line="240" w:lineRule="auto"/>
              <w:ind w:right="174"/>
              <w:jc w:val="right"/>
              <w:rPr>
                <w:rFonts w:ascii="Times New Roman" w:hAnsi="Times New Roman" w:cs="Times New Roman" w:eastAsia="Times New Roman" w:hint="default"/>
                <w:sz w:val="10"/>
                <w:szCs w:val="10"/>
              </w:rPr>
            </w:pPr>
            <w:r>
              <w:rPr>
                <w:rFonts w:ascii="Times New Roman"/>
                <w:spacing w:val="-1"/>
                <w:sz w:val="10"/>
              </w:rPr>
              <w:t>2,542,516,169.95</w:t>
            </w:r>
          </w:p>
        </w:tc>
        <w:tc>
          <w:tcPr>
            <w:tcW w:w="98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9"/>
                <w:szCs w:val="9"/>
              </w:rPr>
            </w:pPr>
          </w:p>
          <w:p>
            <w:pPr>
              <w:pStyle w:val="TableParagraph"/>
              <w:spacing w:line="240" w:lineRule="auto"/>
              <w:ind w:right="180"/>
              <w:jc w:val="right"/>
              <w:rPr>
                <w:rFonts w:ascii="Times New Roman" w:hAnsi="Times New Roman" w:cs="Times New Roman" w:eastAsia="Times New Roman" w:hint="default"/>
                <w:sz w:val="10"/>
                <w:szCs w:val="10"/>
              </w:rPr>
            </w:pPr>
            <w:r>
              <w:rPr>
                <w:rFonts w:ascii="Times New Roman"/>
                <w:spacing w:val="-1"/>
                <w:sz w:val="10"/>
              </w:rPr>
              <w:t>529,519,283.23</w:t>
            </w: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9"/>
                <w:szCs w:val="9"/>
              </w:rPr>
            </w:pPr>
          </w:p>
          <w:p>
            <w:pPr>
              <w:pStyle w:val="TableParagraph"/>
              <w:spacing w:line="240" w:lineRule="auto"/>
              <w:ind w:left="182" w:right="0"/>
              <w:jc w:val="left"/>
              <w:rPr>
                <w:rFonts w:ascii="Times New Roman" w:hAnsi="Times New Roman" w:cs="Times New Roman" w:eastAsia="Times New Roman" w:hint="default"/>
                <w:sz w:val="10"/>
                <w:szCs w:val="10"/>
              </w:rPr>
            </w:pPr>
            <w:r>
              <w:rPr>
                <w:rFonts w:ascii="Times New Roman"/>
                <w:sz w:val="10"/>
              </w:rPr>
              <w:t>-6,185,548,480.80</w:t>
            </w:r>
          </w:p>
        </w:tc>
        <w:tc>
          <w:tcPr>
            <w:tcW w:w="99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9"/>
                <w:szCs w:val="9"/>
              </w:rPr>
            </w:pPr>
          </w:p>
          <w:p>
            <w:pPr>
              <w:pStyle w:val="TableParagraph"/>
              <w:spacing w:line="240" w:lineRule="auto"/>
              <w:ind w:right="68"/>
              <w:jc w:val="right"/>
              <w:rPr>
                <w:rFonts w:ascii="Times New Roman" w:hAnsi="Times New Roman" w:cs="Times New Roman" w:eastAsia="Times New Roman" w:hint="default"/>
                <w:sz w:val="10"/>
                <w:szCs w:val="10"/>
              </w:rPr>
            </w:pPr>
            <w:r>
              <w:rPr>
                <w:rFonts w:ascii="Times New Roman"/>
                <w:spacing w:val="-1"/>
                <w:sz w:val="10"/>
              </w:rPr>
              <w:t>16,002,223,272.55</w:t>
            </w:r>
          </w:p>
        </w:tc>
      </w:tr>
      <w:tr>
        <w:trPr>
          <w:trHeight w:val="323" w:hRule="exact"/>
        </w:trPr>
        <w:tc>
          <w:tcPr>
            <w:tcW w:w="88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18"/>
              <w:jc w:val="center"/>
              <w:rPr>
                <w:rFonts w:ascii="宋体" w:hAnsi="宋体" w:cs="宋体" w:eastAsia="宋体" w:hint="default"/>
                <w:sz w:val="10"/>
                <w:szCs w:val="10"/>
              </w:rPr>
            </w:pPr>
            <w:r>
              <w:rPr>
                <w:rFonts w:ascii="宋体" w:hAnsi="宋体" w:cs="宋体" w:eastAsia="宋体" w:hint="default"/>
                <w:sz w:val="10"/>
                <w:szCs w:val="10"/>
              </w:rPr>
              <w:t>负债总额</w:t>
            </w:r>
          </w:p>
        </w:tc>
        <w:tc>
          <w:tcPr>
            <w:tcW w:w="98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9"/>
                <w:szCs w:val="9"/>
              </w:rPr>
            </w:pPr>
          </w:p>
          <w:p>
            <w:pPr>
              <w:pStyle w:val="TableParagraph"/>
              <w:spacing w:line="240" w:lineRule="auto"/>
              <w:ind w:right="126"/>
              <w:jc w:val="right"/>
              <w:rPr>
                <w:rFonts w:ascii="Times New Roman" w:hAnsi="Times New Roman" w:cs="Times New Roman" w:eastAsia="Times New Roman" w:hint="default"/>
                <w:sz w:val="10"/>
                <w:szCs w:val="10"/>
              </w:rPr>
            </w:pPr>
            <w:r>
              <w:rPr>
                <w:rFonts w:ascii="Times New Roman"/>
                <w:spacing w:val="-1"/>
                <w:sz w:val="10"/>
              </w:rPr>
              <w:t>3,327,503,423.48</w:t>
            </w:r>
          </w:p>
        </w:tc>
        <w:tc>
          <w:tcPr>
            <w:tcW w:w="111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9"/>
                <w:szCs w:val="9"/>
              </w:rPr>
            </w:pPr>
          </w:p>
          <w:p>
            <w:pPr>
              <w:pStyle w:val="TableParagraph"/>
              <w:spacing w:line="240" w:lineRule="auto"/>
              <w:ind w:right="136"/>
              <w:jc w:val="right"/>
              <w:rPr>
                <w:rFonts w:ascii="Times New Roman" w:hAnsi="Times New Roman" w:cs="Times New Roman" w:eastAsia="Times New Roman" w:hint="default"/>
                <w:sz w:val="10"/>
                <w:szCs w:val="10"/>
              </w:rPr>
            </w:pPr>
            <w:r>
              <w:rPr>
                <w:rFonts w:ascii="Times New Roman"/>
                <w:spacing w:val="-1"/>
                <w:sz w:val="10"/>
              </w:rPr>
              <w:t>6,508,737,302.26</w:t>
            </w:r>
          </w:p>
        </w:tc>
        <w:tc>
          <w:tcPr>
            <w:tcW w:w="96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9"/>
                <w:szCs w:val="9"/>
              </w:rPr>
            </w:pPr>
          </w:p>
          <w:p>
            <w:pPr>
              <w:pStyle w:val="TableParagraph"/>
              <w:spacing w:line="240" w:lineRule="auto"/>
              <w:ind w:right="120"/>
              <w:jc w:val="right"/>
              <w:rPr>
                <w:rFonts w:ascii="Times New Roman" w:hAnsi="Times New Roman" w:cs="Times New Roman" w:eastAsia="Times New Roman" w:hint="default"/>
                <w:sz w:val="10"/>
                <w:szCs w:val="10"/>
              </w:rPr>
            </w:pPr>
            <w:r>
              <w:rPr>
                <w:rFonts w:ascii="Times New Roman"/>
                <w:spacing w:val="-1"/>
                <w:sz w:val="10"/>
              </w:rPr>
              <w:t>910,088,705.47</w:t>
            </w:r>
          </w:p>
        </w:tc>
        <w:tc>
          <w:tcPr>
            <w:tcW w:w="103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9"/>
                <w:szCs w:val="9"/>
              </w:rPr>
            </w:pPr>
          </w:p>
          <w:p>
            <w:pPr>
              <w:pStyle w:val="TableParagraph"/>
              <w:spacing w:line="240" w:lineRule="auto"/>
              <w:ind w:right="173"/>
              <w:jc w:val="right"/>
              <w:rPr>
                <w:rFonts w:ascii="Times New Roman" w:hAnsi="Times New Roman" w:cs="Times New Roman" w:eastAsia="Times New Roman" w:hint="default"/>
                <w:sz w:val="10"/>
                <w:szCs w:val="10"/>
              </w:rPr>
            </w:pPr>
            <w:r>
              <w:rPr>
                <w:rFonts w:ascii="Times New Roman"/>
                <w:spacing w:val="-1"/>
                <w:sz w:val="10"/>
              </w:rPr>
              <w:t>352,625,906.54</w:t>
            </w:r>
          </w:p>
        </w:tc>
        <w:tc>
          <w:tcPr>
            <w:tcW w:w="98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9"/>
                <w:szCs w:val="9"/>
              </w:rPr>
            </w:pPr>
          </w:p>
          <w:p>
            <w:pPr>
              <w:pStyle w:val="TableParagraph"/>
              <w:spacing w:line="240" w:lineRule="auto"/>
              <w:ind w:right="180"/>
              <w:jc w:val="right"/>
              <w:rPr>
                <w:rFonts w:ascii="Times New Roman" w:hAnsi="Times New Roman" w:cs="Times New Roman" w:eastAsia="Times New Roman" w:hint="default"/>
                <w:sz w:val="10"/>
                <w:szCs w:val="10"/>
              </w:rPr>
            </w:pPr>
            <w:r>
              <w:rPr>
                <w:rFonts w:ascii="Times New Roman"/>
                <w:spacing w:val="-1"/>
                <w:sz w:val="10"/>
              </w:rPr>
              <w:t>257,048,963.16</w:t>
            </w: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9"/>
                <w:szCs w:val="9"/>
              </w:rPr>
            </w:pPr>
          </w:p>
          <w:p>
            <w:pPr>
              <w:pStyle w:val="TableParagraph"/>
              <w:spacing w:line="240" w:lineRule="auto"/>
              <w:ind w:left="182" w:right="0"/>
              <w:jc w:val="left"/>
              <w:rPr>
                <w:rFonts w:ascii="Times New Roman" w:hAnsi="Times New Roman" w:cs="Times New Roman" w:eastAsia="Times New Roman" w:hint="default"/>
                <w:sz w:val="10"/>
                <w:szCs w:val="10"/>
              </w:rPr>
            </w:pPr>
            <w:r>
              <w:rPr>
                <w:rFonts w:ascii="Times New Roman"/>
                <w:sz w:val="10"/>
              </w:rPr>
              <w:t>-2,004,206,960.18</w:t>
            </w:r>
          </w:p>
        </w:tc>
        <w:tc>
          <w:tcPr>
            <w:tcW w:w="99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9"/>
                <w:szCs w:val="9"/>
              </w:rPr>
            </w:pPr>
          </w:p>
          <w:p>
            <w:pPr>
              <w:pStyle w:val="TableParagraph"/>
              <w:spacing w:line="240" w:lineRule="auto"/>
              <w:ind w:right="68"/>
              <w:jc w:val="right"/>
              <w:rPr>
                <w:rFonts w:ascii="Times New Roman" w:hAnsi="Times New Roman" w:cs="Times New Roman" w:eastAsia="Times New Roman" w:hint="default"/>
                <w:sz w:val="10"/>
                <w:szCs w:val="10"/>
              </w:rPr>
            </w:pPr>
            <w:r>
              <w:rPr>
                <w:rFonts w:ascii="Times New Roman"/>
                <w:spacing w:val="-1"/>
                <w:sz w:val="10"/>
              </w:rPr>
              <w:t>9,351,797,340.73</w:t>
            </w:r>
          </w:p>
        </w:tc>
      </w:tr>
    </w:tbl>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6"/>
          <w:szCs w:val="16"/>
        </w:rPr>
      </w:pPr>
    </w:p>
    <w:p>
      <w:pPr>
        <w:pStyle w:val="Heading5"/>
        <w:spacing w:line="240" w:lineRule="auto"/>
        <w:ind w:right="3681"/>
        <w:jc w:val="left"/>
        <w:rPr>
          <w:b w:val="0"/>
          <w:bCs w:val="0"/>
        </w:rPr>
      </w:pPr>
      <w:r>
        <w:rPr/>
        <w:pict>
          <v:group style="position:absolute;margin-left:119.520004pt;margin-top:38.553642pt;width:411.6pt;height:70.2pt;mso-position-horizontal-relative:page;mso-position-vertical-relative:paragraph;z-index:-1363024" coordorigin="2390,771" coordsize="8232,1404">
            <v:shape style="position:absolute;left:5498;top:771;width:10;height:28" type="#_x0000_t75" stroked="false">
              <v:imagedata r:id="rId102" o:title=""/>
            </v:shape>
            <v:shape style="position:absolute;left:7982;top:771;width:10;height:28" type="#_x0000_t75" stroked="false">
              <v:imagedata r:id="rId102" o:title=""/>
            </v:shape>
            <v:shape style="position:absolute;left:5479;top:779;width:2532;height:355" type="#_x0000_t75" stroked="false">
              <v:imagedata r:id="rId475" o:title=""/>
            </v:shape>
            <v:shape style="position:absolute;left:2390;top:1096;width:8232;height:1079" type="#_x0000_t75" stroked="false">
              <v:imagedata r:id="rId476" o:title=""/>
            </v:shape>
            <w10:wrap type="none"/>
          </v:group>
        </w:pict>
      </w:r>
      <w:r>
        <w:rPr/>
        <w:t>十六、</w:t>
      </w:r>
      <w:r>
        <w:rPr>
          <w:spacing w:val="-28"/>
        </w:rPr>
        <w:t> </w:t>
      </w:r>
      <w:r>
        <w:rPr/>
        <w:t>母公司财务报表主要项目注释</w:t>
      </w:r>
      <w:r>
        <w:rPr>
          <w:b w:val="0"/>
          <w:bCs w:val="0"/>
        </w:rPr>
      </w:r>
    </w:p>
    <w:p>
      <w:pPr>
        <w:spacing w:line="240" w:lineRule="auto" w:before="11"/>
        <w:rPr>
          <w:rFonts w:ascii="宋体" w:hAnsi="宋体" w:cs="宋体" w:eastAsia="宋体" w:hint="default"/>
          <w:b/>
          <w:bCs/>
          <w:sz w:val="6"/>
          <w:szCs w:val="6"/>
        </w:rPr>
      </w:pPr>
    </w:p>
    <w:tbl>
      <w:tblPr>
        <w:tblW w:w="0" w:type="auto"/>
        <w:jc w:val="left"/>
        <w:tblInd w:w="102" w:type="dxa"/>
        <w:tblLayout w:type="fixed"/>
        <w:tblCellMar>
          <w:top w:w="0" w:type="dxa"/>
          <w:left w:w="0" w:type="dxa"/>
          <w:bottom w:w="0" w:type="dxa"/>
          <w:right w:w="0" w:type="dxa"/>
        </w:tblCellMar>
        <w:tblLook w:val="01E0"/>
      </w:tblPr>
      <w:tblGrid>
        <w:gridCol w:w="647"/>
        <w:gridCol w:w="3007"/>
        <w:gridCol w:w="3008"/>
        <w:gridCol w:w="2172"/>
      </w:tblGrid>
      <w:tr>
        <w:trPr>
          <w:trHeight w:val="357" w:hRule="exact"/>
        </w:trPr>
        <w:tc>
          <w:tcPr>
            <w:tcW w:w="64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一</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3007"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101" w:right="0"/>
              <w:jc w:val="left"/>
              <w:rPr>
                <w:rFonts w:ascii="宋体" w:hAnsi="宋体" w:cs="宋体" w:eastAsia="宋体" w:hint="default"/>
                <w:sz w:val="21"/>
                <w:szCs w:val="21"/>
              </w:rPr>
            </w:pPr>
            <w:r>
              <w:rPr>
                <w:rFonts w:ascii="宋体" w:hAnsi="宋体" w:cs="宋体" w:eastAsia="宋体" w:hint="default"/>
                <w:b/>
                <w:bCs/>
                <w:sz w:val="21"/>
                <w:szCs w:val="21"/>
              </w:rPr>
              <w:t>应收票据及应收账款</w:t>
            </w:r>
            <w:r>
              <w:rPr>
                <w:rFonts w:ascii="宋体" w:hAnsi="宋体" w:cs="宋体" w:eastAsia="宋体" w:hint="default"/>
                <w:sz w:val="21"/>
                <w:szCs w:val="21"/>
              </w:rPr>
            </w:r>
          </w:p>
        </w:tc>
        <w:tc>
          <w:tcPr>
            <w:tcW w:w="5180" w:type="dxa"/>
            <w:gridSpan w:val="2"/>
            <w:tcBorders>
              <w:top w:val="nil" w:sz="6" w:space="0" w:color="auto"/>
              <w:left w:val="nil" w:sz="6" w:space="0" w:color="auto"/>
              <w:bottom w:val="single" w:sz="12" w:space="0" w:color="000000"/>
              <w:right w:val="nil" w:sz="6" w:space="0" w:color="auto"/>
            </w:tcBorders>
          </w:tcPr>
          <w:p>
            <w:pPr/>
          </w:p>
        </w:tc>
      </w:tr>
      <w:tr>
        <w:trPr>
          <w:trHeight w:val="363" w:hRule="exact"/>
        </w:trPr>
        <w:tc>
          <w:tcPr>
            <w:tcW w:w="647" w:type="dxa"/>
            <w:tcBorders>
              <w:top w:val="nil" w:sz="6" w:space="0" w:color="auto"/>
              <w:left w:val="nil" w:sz="6" w:space="0" w:color="auto"/>
              <w:bottom w:val="nil" w:sz="6" w:space="0" w:color="auto"/>
              <w:right w:val="nil" w:sz="6" w:space="0" w:color="auto"/>
            </w:tcBorders>
          </w:tcPr>
          <w:p>
            <w:pPr/>
          </w:p>
        </w:tc>
        <w:tc>
          <w:tcPr>
            <w:tcW w:w="3007"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left="84" w:right="0"/>
              <w:jc w:val="center"/>
              <w:rPr>
                <w:rFonts w:ascii="宋体" w:hAnsi="宋体" w:cs="宋体" w:eastAsia="宋体" w:hint="default"/>
                <w:sz w:val="16"/>
                <w:szCs w:val="16"/>
              </w:rPr>
            </w:pPr>
            <w:r>
              <w:rPr>
                <w:rFonts w:ascii="宋体" w:hAnsi="宋体" w:cs="宋体" w:eastAsia="宋体" w:hint="default"/>
                <w:sz w:val="16"/>
                <w:szCs w:val="16"/>
              </w:rPr>
              <w:t>项目</w:t>
            </w:r>
          </w:p>
        </w:tc>
        <w:tc>
          <w:tcPr>
            <w:tcW w:w="3008"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right="354"/>
              <w:jc w:val="center"/>
              <w:rPr>
                <w:rFonts w:ascii="宋体" w:hAnsi="宋体" w:cs="宋体" w:eastAsia="宋体" w:hint="default"/>
                <w:sz w:val="16"/>
                <w:szCs w:val="16"/>
              </w:rPr>
            </w:pPr>
            <w:r>
              <w:rPr>
                <w:rFonts w:ascii="宋体" w:hAnsi="宋体" w:cs="宋体" w:eastAsia="宋体" w:hint="default"/>
                <w:sz w:val="16"/>
                <w:szCs w:val="16"/>
              </w:rPr>
              <w:t>期末余额</w:t>
            </w:r>
          </w:p>
        </w:tc>
        <w:tc>
          <w:tcPr>
            <w:tcW w:w="2172"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left="546" w:right="0"/>
              <w:jc w:val="left"/>
              <w:rPr>
                <w:rFonts w:ascii="宋体" w:hAnsi="宋体" w:cs="宋体" w:eastAsia="宋体" w:hint="default"/>
                <w:sz w:val="16"/>
                <w:szCs w:val="16"/>
              </w:rPr>
            </w:pPr>
            <w:r>
              <w:rPr>
                <w:rFonts w:ascii="宋体" w:hAnsi="宋体" w:cs="宋体" w:eastAsia="宋体" w:hint="default"/>
                <w:sz w:val="16"/>
                <w:szCs w:val="16"/>
              </w:rPr>
              <w:t>年初余额</w:t>
            </w:r>
          </w:p>
        </w:tc>
      </w:tr>
      <w:tr>
        <w:trPr>
          <w:trHeight w:val="360" w:hRule="exact"/>
        </w:trPr>
        <w:tc>
          <w:tcPr>
            <w:tcW w:w="647" w:type="dxa"/>
            <w:tcBorders>
              <w:top w:val="nil" w:sz="6" w:space="0" w:color="auto"/>
              <w:left w:val="nil" w:sz="6" w:space="0" w:color="auto"/>
              <w:bottom w:val="nil" w:sz="6" w:space="0" w:color="auto"/>
              <w:right w:val="nil" w:sz="6" w:space="0" w:color="auto"/>
            </w:tcBorders>
          </w:tcPr>
          <w:p>
            <w:pPr/>
          </w:p>
        </w:tc>
        <w:tc>
          <w:tcPr>
            <w:tcW w:w="3007"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7" w:right="0"/>
              <w:jc w:val="left"/>
              <w:rPr>
                <w:rFonts w:ascii="宋体" w:hAnsi="宋体" w:cs="宋体" w:eastAsia="宋体" w:hint="default"/>
                <w:sz w:val="16"/>
                <w:szCs w:val="16"/>
              </w:rPr>
            </w:pPr>
            <w:r>
              <w:rPr>
                <w:rFonts w:ascii="宋体" w:hAnsi="宋体" w:cs="宋体" w:eastAsia="宋体" w:hint="default"/>
                <w:sz w:val="16"/>
                <w:szCs w:val="16"/>
              </w:rPr>
              <w:t>应收票据</w:t>
            </w:r>
          </w:p>
        </w:tc>
        <w:tc>
          <w:tcPr>
            <w:tcW w:w="3008"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544"/>
              <w:jc w:val="right"/>
              <w:rPr>
                <w:rFonts w:ascii="Times New Roman" w:hAnsi="Times New Roman" w:cs="Times New Roman" w:eastAsia="Times New Roman" w:hint="default"/>
                <w:sz w:val="16"/>
                <w:szCs w:val="16"/>
              </w:rPr>
            </w:pPr>
            <w:r>
              <w:rPr>
                <w:rFonts w:ascii="Times New Roman"/>
                <w:spacing w:val="-1"/>
                <w:sz w:val="16"/>
              </w:rPr>
              <w:t>207,803,710.72</w:t>
            </w:r>
          </w:p>
        </w:tc>
        <w:tc>
          <w:tcPr>
            <w:tcW w:w="2172"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05"/>
              <w:jc w:val="right"/>
              <w:rPr>
                <w:rFonts w:ascii="Times New Roman" w:hAnsi="Times New Roman" w:cs="Times New Roman" w:eastAsia="Times New Roman" w:hint="default"/>
                <w:sz w:val="16"/>
                <w:szCs w:val="16"/>
              </w:rPr>
            </w:pPr>
            <w:r>
              <w:rPr>
                <w:rFonts w:ascii="Times New Roman"/>
                <w:spacing w:val="-1"/>
                <w:sz w:val="16"/>
              </w:rPr>
              <w:t>192,978,443.88</w:t>
            </w:r>
          </w:p>
        </w:tc>
      </w:tr>
      <w:tr>
        <w:trPr>
          <w:trHeight w:val="353" w:hRule="exact"/>
        </w:trPr>
        <w:tc>
          <w:tcPr>
            <w:tcW w:w="647" w:type="dxa"/>
            <w:tcBorders>
              <w:top w:val="nil" w:sz="6" w:space="0" w:color="auto"/>
              <w:left w:val="nil" w:sz="6" w:space="0" w:color="auto"/>
              <w:bottom w:val="nil" w:sz="6" w:space="0" w:color="auto"/>
              <w:right w:val="nil" w:sz="6" w:space="0" w:color="auto"/>
            </w:tcBorders>
          </w:tcPr>
          <w:p>
            <w:pPr/>
          </w:p>
        </w:tc>
        <w:tc>
          <w:tcPr>
            <w:tcW w:w="3007"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应收账款</w:t>
            </w:r>
          </w:p>
        </w:tc>
        <w:tc>
          <w:tcPr>
            <w:tcW w:w="300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544"/>
              <w:jc w:val="right"/>
              <w:rPr>
                <w:rFonts w:ascii="Times New Roman" w:hAnsi="Times New Roman" w:cs="Times New Roman" w:eastAsia="Times New Roman" w:hint="default"/>
                <w:sz w:val="16"/>
                <w:szCs w:val="16"/>
              </w:rPr>
            </w:pPr>
            <w:r>
              <w:rPr>
                <w:rFonts w:ascii="Times New Roman"/>
                <w:spacing w:val="-1"/>
                <w:sz w:val="16"/>
              </w:rPr>
              <w:t>291,459,712.34</w:t>
            </w:r>
          </w:p>
        </w:tc>
        <w:tc>
          <w:tcPr>
            <w:tcW w:w="217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6"/>
                <w:szCs w:val="16"/>
              </w:rPr>
            </w:pPr>
            <w:r>
              <w:rPr>
                <w:rFonts w:ascii="Times New Roman"/>
                <w:spacing w:val="-1"/>
                <w:sz w:val="16"/>
              </w:rPr>
              <w:t>257,064,192.34</w:t>
            </w:r>
          </w:p>
        </w:tc>
      </w:tr>
      <w:tr>
        <w:trPr>
          <w:trHeight w:val="357" w:hRule="exact"/>
        </w:trPr>
        <w:tc>
          <w:tcPr>
            <w:tcW w:w="647" w:type="dxa"/>
            <w:tcBorders>
              <w:top w:val="nil" w:sz="6" w:space="0" w:color="auto"/>
              <w:left w:val="nil" w:sz="6" w:space="0" w:color="auto"/>
              <w:bottom w:val="nil" w:sz="6" w:space="0" w:color="auto"/>
              <w:right w:val="nil" w:sz="6" w:space="0" w:color="auto"/>
            </w:tcBorders>
          </w:tcPr>
          <w:p>
            <w:pPr/>
          </w:p>
        </w:tc>
        <w:tc>
          <w:tcPr>
            <w:tcW w:w="3007"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left="84" w:right="0"/>
              <w:jc w:val="center"/>
              <w:rPr>
                <w:rFonts w:ascii="宋体" w:hAnsi="宋体" w:cs="宋体" w:eastAsia="宋体" w:hint="default"/>
                <w:sz w:val="16"/>
                <w:szCs w:val="16"/>
              </w:rPr>
            </w:pPr>
            <w:r>
              <w:rPr>
                <w:rFonts w:ascii="宋体" w:hAnsi="宋体" w:cs="宋体" w:eastAsia="宋体" w:hint="default"/>
                <w:sz w:val="16"/>
                <w:szCs w:val="16"/>
              </w:rPr>
              <w:t>合计</w:t>
            </w:r>
          </w:p>
        </w:tc>
        <w:tc>
          <w:tcPr>
            <w:tcW w:w="3008"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right="544"/>
              <w:jc w:val="right"/>
              <w:rPr>
                <w:rFonts w:ascii="Times New Roman" w:hAnsi="Times New Roman" w:cs="Times New Roman" w:eastAsia="Times New Roman" w:hint="default"/>
                <w:sz w:val="16"/>
                <w:szCs w:val="16"/>
              </w:rPr>
            </w:pPr>
            <w:r>
              <w:rPr>
                <w:rFonts w:ascii="Times New Roman"/>
                <w:spacing w:val="-1"/>
                <w:sz w:val="16"/>
              </w:rPr>
              <w:t>499,263,423.06</w:t>
            </w:r>
          </w:p>
        </w:tc>
        <w:tc>
          <w:tcPr>
            <w:tcW w:w="2172" w:type="dxa"/>
            <w:tcBorders>
              <w:top w:val="nil" w:sz="6" w:space="0" w:color="auto"/>
              <w:left w:val="nil" w:sz="6" w:space="0" w:color="auto"/>
              <w:bottom w:val="single" w:sz="12" w:space="0" w:color="000000"/>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6"/>
                <w:szCs w:val="16"/>
              </w:rPr>
            </w:pPr>
            <w:r>
              <w:rPr>
                <w:rFonts w:ascii="Times New Roman"/>
                <w:spacing w:val="-1"/>
                <w:sz w:val="16"/>
              </w:rPr>
              <w:t>450,042,636.22</w:t>
            </w:r>
          </w:p>
        </w:tc>
      </w:tr>
    </w:tbl>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3"/>
          <w:szCs w:val="13"/>
        </w:rPr>
      </w:pPr>
    </w:p>
    <w:p>
      <w:pPr>
        <w:pStyle w:val="Heading5"/>
        <w:tabs>
          <w:tab w:pos="1397" w:val="left" w:leader="none"/>
        </w:tabs>
        <w:spacing w:line="240" w:lineRule="auto"/>
        <w:ind w:left="846" w:right="3681"/>
        <w:jc w:val="left"/>
        <w:rPr>
          <w:b w:val="0"/>
          <w:bCs w:val="0"/>
        </w:rPr>
      </w:pPr>
      <w:r>
        <w:rPr>
          <w:rFonts w:ascii="Times New Roman" w:hAnsi="Times New Roman" w:cs="Times New Roman" w:eastAsia="Times New Roman" w:hint="default"/>
          <w:w w:val="95"/>
        </w:rPr>
        <w:t>1</w:t>
      </w:r>
      <w:r>
        <w:rPr>
          <w:w w:val="95"/>
        </w:rPr>
        <w:t>、</w:t>
        <w:tab/>
      </w:r>
      <w:r>
        <w:rPr>
          <w:spacing w:val="1"/>
        </w:rPr>
        <w:t>应收票据</w:t>
      </w:r>
      <w:r>
        <w:rPr>
          <w:b w:val="0"/>
          <w:bCs w:val="0"/>
        </w:rPr>
      </w:r>
    </w:p>
    <w:p>
      <w:pPr>
        <w:pStyle w:val="BodyText"/>
        <w:spacing w:line="240" w:lineRule="auto"/>
        <w:ind w:right="3681"/>
        <w:jc w:val="left"/>
      </w:pPr>
      <w:r>
        <w:rPr/>
        <w:pict>
          <v:group style="position:absolute;margin-left:119.010002pt;margin-top:20.773615pt;width:411.7pt;height:73.2pt;mso-position-horizontal-relative:page;mso-position-vertical-relative:paragraph;z-index:-1363000" coordorigin="2380,415" coordsize="8234,1464">
            <v:group style="position:absolute;left:2410;top:430;width:3131;height:2" coordorigin="2410,430" coordsize="3131,2">
              <v:shape style="position:absolute;left:2410;top:430;width:3131;height:2" coordorigin="2410,430" coordsize="3131,0" path="m2410,430l5540,430e" filled="false" stroked="true" strokeweight="1.5pt" strokecolor="#000000">
                <v:path arrowok="t"/>
              </v:shape>
              <v:shape style="position:absolute;left:5540;top:445;width:10;height:28" type="#_x0000_t75" stroked="false">
                <v:imagedata r:id="rId96" o:title=""/>
              </v:shape>
            </v:group>
            <v:group style="position:absolute;left:5540;top:430;width:2526;height:2" coordorigin="5540,430" coordsize="2526,2">
              <v:shape style="position:absolute;left:5540;top:430;width:2526;height:2" coordorigin="5540,430" coordsize="2526,0" path="m5540,430l8066,430e" filled="false" stroked="true" strokeweight="1.5pt" strokecolor="#000000">
                <v:path arrowok="t"/>
              </v:shape>
              <v:shape style="position:absolute;left:8066;top:445;width:10;height:28" type="#_x0000_t75" stroked="false">
                <v:imagedata r:id="rId96" o:title=""/>
              </v:shape>
            </v:group>
            <v:group style="position:absolute;left:8066;top:430;width:2531;height:2" coordorigin="8066,430" coordsize="2531,2">
              <v:shape style="position:absolute;left:8066;top:430;width:2531;height:2" coordorigin="8066,430" coordsize="2531,0" path="m8066,430l10597,430e" filled="false" stroked="true" strokeweight="1.5pt" strokecolor="#000000">
                <v:path arrowok="t"/>
              </v:shape>
              <v:shape style="position:absolute;left:5521;top:454;width:2574;height:355" type="#_x0000_t75" stroked="false">
                <v:imagedata r:id="rId477" o:title=""/>
              </v:shape>
            </v:group>
            <v:group style="position:absolute;left:2395;top:1864;width:3146;height:2" coordorigin="2395,1864" coordsize="3146,2">
              <v:shape style="position:absolute;left:2395;top:1864;width:3146;height:2" coordorigin="2395,1864" coordsize="3146,0" path="m2395,1864l5540,1864e" filled="false" stroked="true" strokeweight="1.5pt" strokecolor="#000000">
                <v:path arrowok="t"/>
              </v:shape>
            </v:group>
            <v:group style="position:absolute;left:5540;top:1864;width:2526;height:2" coordorigin="5540,1864" coordsize="2526,2">
              <v:shape style="position:absolute;left:5540;top:1864;width:2526;height:2" coordorigin="5540,1864" coordsize="2526,0" path="m5540,1864l8066,1864e" filled="false" stroked="true" strokeweight="1.5pt" strokecolor="#000000">
                <v:path arrowok="t"/>
              </v:shape>
              <v:shape style="position:absolute;left:2397;top:777;width:8217;height:1072" type="#_x0000_t75" stroked="false">
                <v:imagedata r:id="rId478" o:title=""/>
              </v:shape>
            </v:group>
            <v:group style="position:absolute;left:8066;top:1864;width:2531;height:2" coordorigin="8066,1864" coordsize="2531,2">
              <v:shape style="position:absolute;left:8066;top:1864;width:2531;height:2" coordorigin="8066,1864" coordsize="2531,0" path="m8066,1864l10597,1864e" filled="false" stroked="true" strokeweight="1.5pt" strokecolor="#000000">
                <v:path arrowok="t"/>
              </v:shape>
            </v:group>
            <w10:wrap type="none"/>
          </v:group>
        </w:pict>
      </w:r>
      <w:r>
        <w:rPr/>
        <w:t>（</w:t>
      </w:r>
      <w:r>
        <w:rPr>
          <w:rFonts w:ascii="Times New Roman" w:hAnsi="Times New Roman" w:cs="Times New Roman" w:eastAsia="Times New Roman" w:hint="default"/>
        </w:rPr>
        <w:t>1</w:t>
      </w:r>
      <w:r>
        <w:rPr/>
        <w:t>）应收票据分类列示</w:t>
      </w:r>
    </w:p>
    <w:p>
      <w:pPr>
        <w:spacing w:line="240" w:lineRule="auto" w:before="5"/>
        <w:rPr>
          <w:rFonts w:ascii="宋体" w:hAnsi="宋体" w:cs="宋体" w:eastAsia="宋体" w:hint="default"/>
          <w:sz w:val="2"/>
          <w:szCs w:val="2"/>
        </w:rPr>
      </w:pPr>
    </w:p>
    <w:tbl>
      <w:tblPr>
        <w:tblW w:w="0" w:type="auto"/>
        <w:jc w:val="left"/>
        <w:tblInd w:w="787" w:type="dxa"/>
        <w:tblLayout w:type="fixed"/>
        <w:tblCellMar>
          <w:top w:w="0" w:type="dxa"/>
          <w:left w:w="0" w:type="dxa"/>
          <w:bottom w:w="0" w:type="dxa"/>
          <w:right w:w="0" w:type="dxa"/>
        </w:tblCellMar>
        <w:tblLook w:val="01E0"/>
      </w:tblPr>
      <w:tblGrid>
        <w:gridCol w:w="1199"/>
        <w:gridCol w:w="1666"/>
        <w:gridCol w:w="3177"/>
        <w:gridCol w:w="2071"/>
      </w:tblGrid>
      <w:tr>
        <w:trPr>
          <w:trHeight w:val="723" w:hRule="exact"/>
        </w:trPr>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70" w:right="0"/>
              <w:jc w:val="left"/>
              <w:rPr>
                <w:rFonts w:ascii="宋体" w:hAnsi="宋体" w:cs="宋体" w:eastAsia="宋体" w:hint="default"/>
                <w:sz w:val="16"/>
                <w:szCs w:val="16"/>
              </w:rPr>
            </w:pPr>
            <w:r>
              <w:rPr>
                <w:rFonts w:ascii="宋体" w:hAnsi="宋体" w:cs="宋体" w:eastAsia="宋体" w:hint="default"/>
                <w:sz w:val="16"/>
                <w:szCs w:val="16"/>
              </w:rPr>
              <w:t>银行承兑汇票</w:t>
            </w:r>
          </w:p>
        </w:tc>
        <w:tc>
          <w:tcPr>
            <w:tcW w:w="1666" w:type="dxa"/>
            <w:tcBorders>
              <w:top w:val="nil" w:sz="6" w:space="0" w:color="auto"/>
              <w:left w:val="nil" w:sz="6" w:space="0" w:color="auto"/>
              <w:bottom w:val="nil" w:sz="6" w:space="0" w:color="auto"/>
              <w:right w:val="nil" w:sz="6" w:space="0" w:color="auto"/>
            </w:tcBorders>
          </w:tcPr>
          <w:p>
            <w:pPr>
              <w:pStyle w:val="TableParagraph"/>
              <w:spacing w:line="240" w:lineRule="auto" w:before="57"/>
              <w:ind w:left="170" w:right="0"/>
              <w:jc w:val="left"/>
              <w:rPr>
                <w:rFonts w:ascii="宋体" w:hAnsi="宋体" w:cs="宋体" w:eastAsia="宋体" w:hint="default"/>
                <w:sz w:val="16"/>
                <w:szCs w:val="16"/>
              </w:rPr>
            </w:pPr>
            <w:r>
              <w:rPr>
                <w:rFonts w:ascii="宋体" w:hAnsi="宋体" w:cs="宋体" w:eastAsia="宋体" w:hint="default"/>
                <w:sz w:val="16"/>
                <w:szCs w:val="16"/>
              </w:rPr>
              <w:t>项目</w:t>
            </w:r>
          </w:p>
        </w:tc>
        <w:tc>
          <w:tcPr>
            <w:tcW w:w="3177"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84"/>
              <w:jc w:val="center"/>
              <w:rPr>
                <w:rFonts w:ascii="宋体" w:hAnsi="宋体" w:cs="宋体" w:eastAsia="宋体" w:hint="default"/>
                <w:sz w:val="16"/>
                <w:szCs w:val="16"/>
              </w:rPr>
            </w:pPr>
            <w:r>
              <w:rPr>
                <w:rFonts w:ascii="宋体" w:hAnsi="宋体" w:cs="宋体" w:eastAsia="宋体" w:hint="default"/>
                <w:sz w:val="16"/>
                <w:szCs w:val="16"/>
              </w:rPr>
              <w:t>期末余额</w:t>
            </w:r>
          </w:p>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1657" w:right="0"/>
              <w:jc w:val="left"/>
              <w:rPr>
                <w:rFonts w:ascii="Times New Roman" w:hAnsi="Times New Roman" w:cs="Times New Roman" w:eastAsia="Times New Roman" w:hint="default"/>
                <w:sz w:val="16"/>
                <w:szCs w:val="16"/>
              </w:rPr>
            </w:pPr>
            <w:r>
              <w:rPr>
                <w:rFonts w:ascii="Times New Roman"/>
                <w:sz w:val="16"/>
              </w:rPr>
              <w:t>113,362,902.91</w:t>
            </w:r>
          </w:p>
        </w:tc>
        <w:tc>
          <w:tcPr>
            <w:tcW w:w="2071" w:type="dxa"/>
            <w:tcBorders>
              <w:top w:val="nil" w:sz="6" w:space="0" w:color="auto"/>
              <w:left w:val="nil" w:sz="6" w:space="0" w:color="auto"/>
              <w:bottom w:val="nil" w:sz="6" w:space="0" w:color="auto"/>
              <w:right w:val="nil" w:sz="6" w:space="0" w:color="auto"/>
            </w:tcBorders>
          </w:tcPr>
          <w:p>
            <w:pPr>
              <w:pStyle w:val="TableParagraph"/>
              <w:spacing w:line="240" w:lineRule="auto" w:before="57"/>
              <w:ind w:left="524" w:right="0"/>
              <w:jc w:val="left"/>
              <w:rPr>
                <w:rFonts w:ascii="宋体" w:hAnsi="宋体" w:cs="宋体" w:eastAsia="宋体" w:hint="default"/>
                <w:sz w:val="16"/>
                <w:szCs w:val="16"/>
              </w:rPr>
            </w:pPr>
            <w:r>
              <w:rPr>
                <w:rFonts w:ascii="宋体" w:hAnsi="宋体" w:cs="宋体" w:eastAsia="宋体" w:hint="default"/>
                <w:sz w:val="16"/>
                <w:szCs w:val="16"/>
              </w:rPr>
              <w:t>年初余额</w:t>
            </w:r>
          </w:p>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1000" w:right="0"/>
              <w:jc w:val="left"/>
              <w:rPr>
                <w:rFonts w:ascii="Times New Roman" w:hAnsi="Times New Roman" w:cs="Times New Roman" w:eastAsia="Times New Roman" w:hint="default"/>
                <w:sz w:val="16"/>
                <w:szCs w:val="16"/>
              </w:rPr>
            </w:pPr>
            <w:r>
              <w:rPr>
                <w:rFonts w:ascii="Times New Roman"/>
                <w:sz w:val="16"/>
              </w:rPr>
              <w:t>154,512,056.72</w:t>
            </w:r>
          </w:p>
        </w:tc>
      </w:tr>
      <w:tr>
        <w:trPr>
          <w:trHeight w:val="353" w:hRule="exact"/>
        </w:trPr>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商业承兑汇票</w:t>
            </w:r>
          </w:p>
        </w:tc>
        <w:tc>
          <w:tcPr>
            <w:tcW w:w="1666" w:type="dxa"/>
            <w:tcBorders>
              <w:top w:val="nil" w:sz="6" w:space="0" w:color="auto"/>
              <w:left w:val="nil" w:sz="6" w:space="0" w:color="auto"/>
              <w:bottom w:val="nil" w:sz="6" w:space="0" w:color="auto"/>
              <w:right w:val="nil" w:sz="6" w:space="0" w:color="auto"/>
            </w:tcBorders>
          </w:tcPr>
          <w:p>
            <w:pPr/>
          </w:p>
        </w:tc>
        <w:tc>
          <w:tcPr>
            <w:tcW w:w="317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522"/>
              <w:jc w:val="right"/>
              <w:rPr>
                <w:rFonts w:ascii="Times New Roman" w:hAnsi="Times New Roman" w:cs="Times New Roman" w:eastAsia="Times New Roman" w:hint="default"/>
                <w:sz w:val="16"/>
                <w:szCs w:val="16"/>
              </w:rPr>
            </w:pPr>
            <w:r>
              <w:rPr>
                <w:rFonts w:ascii="Times New Roman"/>
                <w:spacing w:val="-1"/>
                <w:sz w:val="16"/>
              </w:rPr>
              <w:t>94,440,807.81</w:t>
            </w:r>
          </w:p>
        </w:tc>
        <w:tc>
          <w:tcPr>
            <w:tcW w:w="207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38,466,387.16</w:t>
            </w:r>
          </w:p>
        </w:tc>
      </w:tr>
      <w:tr>
        <w:trPr>
          <w:trHeight w:val="357" w:hRule="exact"/>
        </w:trPr>
        <w:tc>
          <w:tcPr>
            <w:tcW w:w="1199" w:type="dxa"/>
            <w:tcBorders>
              <w:top w:val="nil" w:sz="6" w:space="0" w:color="auto"/>
              <w:left w:val="nil" w:sz="6" w:space="0" w:color="auto"/>
              <w:bottom w:val="nil" w:sz="6" w:space="0" w:color="auto"/>
              <w:right w:val="nil" w:sz="6" w:space="0" w:color="auto"/>
            </w:tcBorders>
          </w:tcPr>
          <w:p>
            <w:pPr/>
          </w:p>
        </w:tc>
        <w:tc>
          <w:tcPr>
            <w:tcW w:w="1666"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70"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317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523"/>
              <w:jc w:val="right"/>
              <w:rPr>
                <w:rFonts w:ascii="Times New Roman" w:hAnsi="Times New Roman" w:cs="Times New Roman" w:eastAsia="Times New Roman" w:hint="default"/>
                <w:sz w:val="16"/>
                <w:szCs w:val="16"/>
              </w:rPr>
            </w:pPr>
            <w:r>
              <w:rPr>
                <w:rFonts w:ascii="Times New Roman"/>
                <w:spacing w:val="-1"/>
                <w:sz w:val="16"/>
              </w:rPr>
              <w:t>207,803,710.72</w:t>
            </w:r>
          </w:p>
        </w:tc>
        <w:tc>
          <w:tcPr>
            <w:tcW w:w="207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192,978,443.88</w:t>
            </w: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pStyle w:val="BodyText"/>
        <w:spacing w:line="240" w:lineRule="auto" w:before="35"/>
        <w:ind w:right="3681"/>
        <w:jc w:val="left"/>
      </w:pPr>
      <w:r>
        <w:rPr/>
        <w:t>（</w:t>
      </w:r>
      <w:r>
        <w:rPr>
          <w:rFonts w:ascii="Times New Roman" w:hAnsi="Times New Roman" w:cs="Times New Roman" w:eastAsia="Times New Roman" w:hint="default"/>
        </w:rPr>
        <w:t>2</w:t>
      </w:r>
      <w:r>
        <w:rPr/>
        <w:t>）期末公司无质押的应收票据</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6"/>
        <w:rPr>
          <w:rFonts w:ascii="宋体" w:hAnsi="宋体" w:cs="宋体" w:eastAsia="宋体" w:hint="default"/>
          <w:sz w:val="25"/>
          <w:szCs w:val="25"/>
        </w:rPr>
      </w:pPr>
    </w:p>
    <w:p>
      <w:pPr>
        <w:pStyle w:val="BodyText"/>
        <w:spacing w:line="240" w:lineRule="auto" w:before="0"/>
        <w:ind w:right="1793"/>
        <w:jc w:val="left"/>
      </w:pPr>
      <w:r>
        <w:rPr/>
        <w:t>（</w:t>
      </w:r>
      <w:r>
        <w:rPr>
          <w:rFonts w:ascii="Times New Roman" w:hAnsi="Times New Roman" w:cs="Times New Roman" w:eastAsia="Times New Roman" w:hint="default"/>
        </w:rPr>
        <w:t>3</w:t>
      </w:r>
      <w:r>
        <w:rPr/>
        <w:t>）期末公司已背书或贴现且在资产负债表日尚未到期的应收票据</w:t>
      </w:r>
    </w:p>
    <w:p>
      <w:pPr>
        <w:spacing w:line="403" w:lineRule="exact"/>
        <w:ind w:left="720"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11.6pt;height:20.2pt;mso-position-horizontal-relative:char;mso-position-vertical-relative:line" coordorigin="0,0" coordsize="8232,404">
            <v:group style="position:absolute;left:29;top:15;width:3131;height:2" coordorigin="29,15" coordsize="3131,2">
              <v:shape style="position:absolute;left:29;top:15;width:3131;height:2" coordorigin="29,15" coordsize="3131,0" path="m29,15l3160,15e" filled="false" stroked="true" strokeweight="1.5pt" strokecolor="#000000">
                <v:path arrowok="t"/>
              </v:shape>
            </v:group>
            <v:group style="position:absolute;left:3160;top:15;width:2526;height:2" coordorigin="3160,15" coordsize="2526,2">
              <v:shape style="position:absolute;left:3160;top:15;width:2526;height:2" coordorigin="3160,15" coordsize="2526,0" path="m3160,15l5686,15e" filled="false" stroked="true" strokeweight="1.5pt" strokecolor="#000000">
                <v:path arrowok="t"/>
              </v:shape>
            </v:group>
            <v:group style="position:absolute;left:5686;top:15;width:2531;height:2" coordorigin="5686,15" coordsize="2531,2">
              <v:shape style="position:absolute;left:5686;top:15;width:2531;height:2" coordorigin="5686,15" coordsize="2531,0" path="m5686,15l8217,15e" filled="false" stroked="true" strokeweight="1.5pt" strokecolor="#000000">
                <v:path arrowok="t"/>
              </v:shape>
            </v:group>
            <v:group style="position:absolute;left:15;top:388;width:3146;height:2" coordorigin="15,388" coordsize="3146,2">
              <v:shape style="position:absolute;left:15;top:388;width:3146;height:2" coordorigin="15,388" coordsize="3146,0" path="m15,388l3160,388e" filled="false" stroked="true" strokeweight="1.5pt" strokecolor="#000000">
                <v:path arrowok="t"/>
              </v:shape>
              <v:shape style="position:absolute;left:3160;top:30;width:10;height:343" type="#_x0000_t75" stroked="false">
                <v:imagedata r:id="rId479" o:title=""/>
              </v:shape>
            </v:group>
            <v:group style="position:absolute;left:3160;top:388;width:2526;height:2" coordorigin="3160,388" coordsize="2526,2">
              <v:shape style="position:absolute;left:3160;top:388;width:2526;height:2" coordorigin="3160,388" coordsize="2526,0" path="m3160,388l5686,388e" filled="false" stroked="true" strokeweight="1.5pt" strokecolor="#000000">
                <v:path arrowok="t"/>
              </v:shape>
              <v:shape style="position:absolute;left:5686;top:30;width:10;height:343" type="#_x0000_t75" stroked="false">
                <v:imagedata r:id="rId479" o:title=""/>
              </v:shape>
            </v:group>
            <v:group style="position:absolute;left:5686;top:388;width:2531;height:2" coordorigin="5686,388" coordsize="2531,2">
              <v:shape style="position:absolute;left:5686;top:388;width:2531;height:2" coordorigin="5686,388" coordsize="2531,0" path="m5686,388l8217,388e" filled="false" stroked="true" strokeweight="1.5pt" strokecolor="#000000">
                <v:path arrowok="t"/>
              </v:shape>
              <v:shape style="position:absolute;left:1437;top:121;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项目</w:t>
                      </w:r>
                      <w:r>
                        <w:rPr>
                          <w:rFonts w:ascii="宋体" w:hAnsi="宋体" w:cs="宋体" w:eastAsia="宋体" w:hint="default"/>
                          <w:sz w:val="16"/>
                          <w:szCs w:val="16"/>
                        </w:rPr>
                      </w:r>
                    </w:p>
                  </w:txbxContent>
                </v:textbox>
                <w10:wrap type="none"/>
              </v:shape>
              <v:shape style="position:absolute;left:3788;top:121;width:128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期末终止确认金额</w:t>
                      </w:r>
                      <w:r>
                        <w:rPr>
                          <w:rFonts w:ascii="宋体" w:hAnsi="宋体" w:cs="宋体" w:eastAsia="宋体" w:hint="default"/>
                          <w:sz w:val="16"/>
                          <w:szCs w:val="16"/>
                        </w:rPr>
                      </w:r>
                    </w:p>
                  </w:txbxContent>
                </v:textbox>
                <w10:wrap type="none"/>
              </v:shape>
              <v:shape style="position:absolute;left:6233;top:121;width:14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期末未终止确认金额</w:t>
                      </w:r>
                      <w:r>
                        <w:rPr>
                          <w:rFonts w:ascii="宋体" w:hAnsi="宋体" w:cs="宋体" w:eastAsia="宋体" w:hint="default"/>
                          <w:sz w:val="16"/>
                          <w:szCs w:val="16"/>
                        </w:rPr>
                      </w:r>
                    </w:p>
                  </w:txbxContent>
                </v:textbox>
                <w10:wrap type="none"/>
              </v:shape>
            </v:group>
          </v:group>
        </w:pict>
      </w:r>
      <w:r>
        <w:rPr>
          <w:rFonts w:ascii="宋体" w:hAnsi="宋体" w:cs="宋体" w:eastAsia="宋体" w:hint="default"/>
          <w:position w:val="-7"/>
          <w:sz w:val="20"/>
          <w:szCs w:val="20"/>
        </w:rPr>
      </w:r>
    </w:p>
    <w:p>
      <w:pPr>
        <w:spacing w:after="0" w:line="403" w:lineRule="exact"/>
        <w:rPr>
          <w:rFonts w:ascii="宋体" w:hAnsi="宋体" w:cs="宋体" w:eastAsia="宋体" w:hint="default"/>
          <w:sz w:val="20"/>
          <w:szCs w:val="20"/>
        </w:rPr>
        <w:sectPr>
          <w:pgSz w:w="11910" w:h="16840"/>
          <w:pgMar w:header="0" w:footer="1001" w:top="1520" w:bottom="1200" w:left="1660" w:right="0"/>
        </w:sectPr>
      </w:pPr>
    </w:p>
    <w:p>
      <w:pPr>
        <w:spacing w:line="240" w:lineRule="auto" w:before="9"/>
        <w:rPr>
          <w:rFonts w:ascii="Times New Roman" w:hAnsi="Times New Roman" w:cs="Times New Roman" w:eastAsia="Times New Roman" w:hint="default"/>
          <w:sz w:val="11"/>
          <w:szCs w:val="11"/>
        </w:rPr>
      </w:pPr>
      <w:r>
        <w:rPr/>
        <w:pict>
          <v:group style="position:absolute;margin-left:119.010002pt;margin-top:82.919998pt;width:411.7pt;height:73.2pt;mso-position-horizontal-relative:page;mso-position-vertical-relative:page;z-index:-1362976" coordorigin="2380,1658" coordsize="8234,1464">
            <v:group style="position:absolute;left:2410;top:1673;width:3131;height:2" coordorigin="2410,1673" coordsize="3131,2">
              <v:shape style="position:absolute;left:2410;top:1673;width:3131;height:2" coordorigin="2410,1673" coordsize="3131,0" path="m2410,1673l5540,1673e" filled="false" stroked="true" strokeweight="1.5pt" strokecolor="#000000">
                <v:path arrowok="t"/>
              </v:shape>
              <v:shape style="position:absolute;left:5540;top:1688;width:10;height:28" type="#_x0000_t75" stroked="false">
                <v:imagedata r:id="rId37" o:title=""/>
              </v:shape>
            </v:group>
            <v:group style="position:absolute;left:5540;top:1673;width:2526;height:2" coordorigin="5540,1673" coordsize="2526,2">
              <v:shape style="position:absolute;left:5540;top:1673;width:2526;height:2" coordorigin="5540,1673" coordsize="2526,0" path="m5540,1673l8066,1673e" filled="false" stroked="true" strokeweight="1.5pt" strokecolor="#000000">
                <v:path arrowok="t"/>
              </v:shape>
              <v:shape style="position:absolute;left:8066;top:1688;width:10;height:28" type="#_x0000_t75" stroked="false">
                <v:imagedata r:id="rId37" o:title=""/>
              </v:shape>
            </v:group>
            <v:group style="position:absolute;left:8066;top:1673;width:2531;height:2" coordorigin="8066,1673" coordsize="2531,2">
              <v:shape style="position:absolute;left:8066;top:1673;width:2531;height:2" coordorigin="8066,1673" coordsize="2531,0" path="m8066,1673l10597,1673e" filled="false" stroked="true" strokeweight="1.5pt" strokecolor="#000000">
                <v:path arrowok="t"/>
              </v:shape>
              <v:shape style="position:absolute;left:5521;top:1697;width:2574;height:355" type="#_x0000_t75" stroked="false">
                <v:imagedata r:id="rId480" o:title=""/>
              </v:shape>
            </v:group>
            <v:group style="position:absolute;left:2395;top:3107;width:3146;height:2" coordorigin="2395,3107" coordsize="3146,2">
              <v:shape style="position:absolute;left:2395;top:3107;width:3146;height:2" coordorigin="2395,3107" coordsize="3146,0" path="m2395,3107l5540,3107e" filled="false" stroked="true" strokeweight="1.5pt" strokecolor="#000000">
                <v:path arrowok="t"/>
              </v:shape>
            </v:group>
            <v:group style="position:absolute;left:5540;top:3107;width:2526;height:2" coordorigin="5540,3107" coordsize="2526,2">
              <v:shape style="position:absolute;left:5540;top:3107;width:2526;height:2" coordorigin="5540,3107" coordsize="2526,0" path="m5540,3107l8066,3107e" filled="false" stroked="true" strokeweight="1.5pt" strokecolor="#000000">
                <v:path arrowok="t"/>
              </v:shape>
              <v:shape style="position:absolute;left:2397;top:2020;width:8217;height:1072" type="#_x0000_t75" stroked="false">
                <v:imagedata r:id="rId481" o:title=""/>
              </v:shape>
            </v:group>
            <v:group style="position:absolute;left:8066;top:3107;width:2531;height:2" coordorigin="8066,3107" coordsize="2531,2">
              <v:shape style="position:absolute;left:8066;top:3107;width:2531;height:2" coordorigin="8066,3107" coordsize="2531,0" path="m8066,3107l10597,3107e" filled="false" stroked="true" strokeweight="1.5pt" strokecolor="#000000">
                <v:path arrowok="t"/>
              </v:shape>
            </v:group>
            <w10:wrap type="none"/>
          </v:group>
        </w:pict>
      </w:r>
    </w:p>
    <w:tbl>
      <w:tblPr>
        <w:tblW w:w="0" w:type="auto"/>
        <w:jc w:val="left"/>
        <w:tblInd w:w="787" w:type="dxa"/>
        <w:tblLayout w:type="fixed"/>
        <w:tblCellMar>
          <w:top w:w="0" w:type="dxa"/>
          <w:left w:w="0" w:type="dxa"/>
          <w:bottom w:w="0" w:type="dxa"/>
          <w:right w:w="0" w:type="dxa"/>
        </w:tblCellMar>
        <w:tblLook w:val="01E0"/>
      </w:tblPr>
      <w:tblGrid>
        <w:gridCol w:w="1199"/>
        <w:gridCol w:w="1505"/>
        <w:gridCol w:w="3137"/>
        <w:gridCol w:w="2271"/>
      </w:tblGrid>
      <w:tr>
        <w:trPr>
          <w:trHeight w:val="724" w:hRule="exact"/>
        </w:trPr>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8"/>
              <w:ind w:right="0"/>
              <w:jc w:val="left"/>
              <w:rPr>
                <w:rFonts w:ascii="Times New Roman" w:hAnsi="Times New Roman" w:cs="Times New Roman" w:eastAsia="Times New Roman" w:hint="default"/>
                <w:sz w:val="19"/>
                <w:szCs w:val="19"/>
              </w:rPr>
            </w:pPr>
          </w:p>
          <w:p>
            <w:pPr>
              <w:pStyle w:val="TableParagraph"/>
              <w:spacing w:line="240" w:lineRule="auto"/>
              <w:ind w:left="70" w:right="0"/>
              <w:jc w:val="left"/>
              <w:rPr>
                <w:rFonts w:ascii="宋体" w:hAnsi="宋体" w:cs="宋体" w:eastAsia="宋体" w:hint="default"/>
                <w:sz w:val="16"/>
                <w:szCs w:val="16"/>
              </w:rPr>
            </w:pPr>
            <w:r>
              <w:rPr>
                <w:rFonts w:ascii="宋体" w:hAnsi="宋体" w:cs="宋体" w:eastAsia="宋体" w:hint="default"/>
                <w:sz w:val="16"/>
                <w:szCs w:val="16"/>
              </w:rPr>
              <w:t>银行承兑汇票</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57"/>
              <w:ind w:left="170" w:right="0"/>
              <w:jc w:val="left"/>
              <w:rPr>
                <w:rFonts w:ascii="宋体" w:hAnsi="宋体" w:cs="宋体" w:eastAsia="宋体" w:hint="default"/>
                <w:sz w:val="16"/>
                <w:szCs w:val="16"/>
              </w:rPr>
            </w:pPr>
            <w:r>
              <w:rPr>
                <w:rFonts w:ascii="宋体" w:hAnsi="宋体" w:cs="宋体" w:eastAsia="宋体" w:hint="default"/>
                <w:sz w:val="16"/>
                <w:szCs w:val="16"/>
              </w:rPr>
              <w:t>项目</w:t>
            </w:r>
          </w:p>
        </w:tc>
        <w:tc>
          <w:tcPr>
            <w:tcW w:w="3137" w:type="dxa"/>
            <w:tcBorders>
              <w:top w:val="nil" w:sz="6" w:space="0" w:color="auto"/>
              <w:left w:val="nil" w:sz="6" w:space="0" w:color="auto"/>
              <w:bottom w:val="nil" w:sz="6" w:space="0" w:color="auto"/>
              <w:right w:val="nil" w:sz="6" w:space="0" w:color="auto"/>
            </w:tcBorders>
          </w:tcPr>
          <w:p>
            <w:pPr>
              <w:pStyle w:val="TableParagraph"/>
              <w:spacing w:line="240" w:lineRule="auto" w:before="57"/>
              <w:ind w:left="1015" w:right="0"/>
              <w:jc w:val="left"/>
              <w:rPr>
                <w:rFonts w:ascii="宋体" w:hAnsi="宋体" w:cs="宋体" w:eastAsia="宋体" w:hint="default"/>
                <w:sz w:val="16"/>
                <w:szCs w:val="16"/>
              </w:rPr>
            </w:pPr>
            <w:r>
              <w:rPr>
                <w:rFonts w:ascii="宋体" w:hAnsi="宋体" w:cs="宋体" w:eastAsia="宋体" w:hint="default"/>
                <w:sz w:val="16"/>
                <w:szCs w:val="16"/>
              </w:rPr>
              <w:t>期末终止确认金额</w:t>
            </w:r>
          </w:p>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left="1890" w:right="0"/>
              <w:jc w:val="left"/>
              <w:rPr>
                <w:rFonts w:ascii="Times New Roman" w:hAnsi="Times New Roman" w:cs="Times New Roman" w:eastAsia="Times New Roman" w:hint="default"/>
                <w:sz w:val="16"/>
                <w:szCs w:val="16"/>
              </w:rPr>
            </w:pPr>
            <w:r>
              <w:rPr>
                <w:rFonts w:ascii="Times New Roman"/>
                <w:sz w:val="16"/>
              </w:rPr>
              <w:t>72,087,625.63</w:t>
            </w:r>
          </w:p>
        </w:tc>
        <w:tc>
          <w:tcPr>
            <w:tcW w:w="2271" w:type="dxa"/>
            <w:tcBorders>
              <w:top w:val="nil" w:sz="6" w:space="0" w:color="auto"/>
              <w:left w:val="nil" w:sz="6" w:space="0" w:color="auto"/>
              <w:bottom w:val="nil" w:sz="6" w:space="0" w:color="auto"/>
              <w:right w:val="nil" w:sz="6" w:space="0" w:color="auto"/>
            </w:tcBorders>
          </w:tcPr>
          <w:p>
            <w:pPr>
              <w:pStyle w:val="TableParagraph"/>
              <w:spacing w:line="240" w:lineRule="auto" w:before="57"/>
              <w:ind w:left="324" w:right="0"/>
              <w:jc w:val="left"/>
              <w:rPr>
                <w:rFonts w:ascii="宋体" w:hAnsi="宋体" w:cs="宋体" w:eastAsia="宋体" w:hint="default"/>
                <w:sz w:val="16"/>
                <w:szCs w:val="16"/>
              </w:rPr>
            </w:pPr>
            <w:r>
              <w:rPr>
                <w:rFonts w:ascii="宋体" w:hAnsi="宋体" w:cs="宋体" w:eastAsia="宋体" w:hint="default"/>
                <w:sz w:val="16"/>
                <w:szCs w:val="16"/>
              </w:rPr>
              <w:t>期末未终止确认金额</w:t>
            </w:r>
          </w:p>
        </w:tc>
      </w:tr>
      <w:tr>
        <w:trPr>
          <w:trHeight w:val="353" w:hRule="exact"/>
        </w:trPr>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商业承兑汇票</w:t>
            </w:r>
          </w:p>
        </w:tc>
        <w:tc>
          <w:tcPr>
            <w:tcW w:w="1505" w:type="dxa"/>
            <w:tcBorders>
              <w:top w:val="nil" w:sz="6" w:space="0" w:color="auto"/>
              <w:left w:val="nil" w:sz="6" w:space="0" w:color="auto"/>
              <w:bottom w:val="nil" w:sz="6" w:space="0" w:color="auto"/>
              <w:right w:val="nil" w:sz="6" w:space="0" w:color="auto"/>
            </w:tcBorders>
          </w:tcPr>
          <w:p>
            <w:pPr/>
          </w:p>
        </w:tc>
        <w:tc>
          <w:tcPr>
            <w:tcW w:w="3137" w:type="dxa"/>
            <w:tcBorders>
              <w:top w:val="nil" w:sz="6" w:space="0" w:color="auto"/>
              <w:left w:val="nil" w:sz="6" w:space="0" w:color="auto"/>
              <w:bottom w:val="nil" w:sz="6" w:space="0" w:color="auto"/>
              <w:right w:val="nil" w:sz="6" w:space="0" w:color="auto"/>
            </w:tcBorders>
          </w:tcPr>
          <w:p>
            <w:pPr/>
          </w:p>
        </w:tc>
        <w:tc>
          <w:tcPr>
            <w:tcW w:w="227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2,318,700.00</w:t>
            </w:r>
          </w:p>
        </w:tc>
      </w:tr>
      <w:tr>
        <w:trPr>
          <w:trHeight w:val="357" w:hRule="exact"/>
        </w:trPr>
        <w:tc>
          <w:tcPr>
            <w:tcW w:w="1199" w:type="dxa"/>
            <w:tcBorders>
              <w:top w:val="nil" w:sz="6" w:space="0" w:color="auto"/>
              <w:left w:val="nil" w:sz="6" w:space="0" w:color="auto"/>
              <w:bottom w:val="nil" w:sz="6" w:space="0" w:color="auto"/>
              <w:right w:val="nil" w:sz="6" w:space="0" w:color="auto"/>
            </w:tcBorders>
          </w:tcPr>
          <w:p>
            <w:pP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70"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3137" w:type="dxa"/>
            <w:tcBorders>
              <w:top w:val="nil" w:sz="6" w:space="0" w:color="auto"/>
              <w:left w:val="nil" w:sz="6" w:space="0" w:color="auto"/>
              <w:bottom w:val="nil" w:sz="6" w:space="0" w:color="auto"/>
              <w:right w:val="nil" w:sz="6" w:space="0" w:color="auto"/>
            </w:tcBorders>
          </w:tcPr>
          <w:p>
            <w:pPr>
              <w:pStyle w:val="TableParagraph"/>
              <w:spacing w:line="240" w:lineRule="auto" w:before="83"/>
              <w:ind w:left="1890" w:right="0"/>
              <w:jc w:val="left"/>
              <w:rPr>
                <w:rFonts w:ascii="Times New Roman" w:hAnsi="Times New Roman" w:cs="Times New Roman" w:eastAsia="Times New Roman" w:hint="default"/>
                <w:sz w:val="16"/>
                <w:szCs w:val="16"/>
              </w:rPr>
            </w:pPr>
            <w:r>
              <w:rPr>
                <w:rFonts w:ascii="Times New Roman"/>
                <w:sz w:val="16"/>
              </w:rPr>
              <w:t>72,087,625.63</w:t>
            </w:r>
          </w:p>
        </w:tc>
        <w:tc>
          <w:tcPr>
            <w:tcW w:w="227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2,318,700.00</w:t>
            </w:r>
          </w:p>
        </w:tc>
      </w:tr>
    </w:tbl>
    <w:p>
      <w:pPr>
        <w:spacing w:after="0" w:line="240" w:lineRule="auto"/>
        <w:jc w:val="right"/>
        <w:rPr>
          <w:rFonts w:ascii="Times New Roman" w:hAnsi="Times New Roman" w:cs="Times New Roman" w:eastAsia="Times New Roman" w:hint="default"/>
          <w:sz w:val="16"/>
          <w:szCs w:val="16"/>
        </w:rPr>
        <w:sectPr>
          <w:pgSz w:w="11910" w:h="16840"/>
          <w:pgMar w:header="0" w:footer="1001" w:top="1520" w:bottom="1200" w:left="1660" w:right="0"/>
        </w:sectPr>
      </w:pPr>
    </w:p>
    <w:p>
      <w:pPr>
        <w:spacing w:before="142"/>
        <w:ind w:left="139" w:right="0" w:firstLine="0"/>
        <w:jc w:val="left"/>
        <w:rPr>
          <w:rFonts w:ascii="宋体" w:hAnsi="宋体" w:cs="宋体" w:eastAsia="宋体" w:hint="default"/>
          <w:sz w:val="18"/>
          <w:szCs w:val="18"/>
        </w:rPr>
      </w:pPr>
      <w:r>
        <w:rPr>
          <w:rFonts w:ascii="宋体" w:hAnsi="宋体" w:cs="宋体" w:eastAsia="宋体" w:hint="default"/>
          <w:sz w:val="18"/>
          <w:szCs w:val="18"/>
        </w:rPr>
        <w:t>财务报表附注</w:t>
      </w:r>
    </w:p>
    <w:p>
      <w:pPr>
        <w:spacing w:line="240" w:lineRule="auto" w:before="7"/>
        <w:rPr>
          <w:rFonts w:ascii="宋体" w:hAnsi="宋体" w:cs="宋体" w:eastAsia="宋体" w:hint="default"/>
          <w:sz w:val="3"/>
          <w:szCs w:val="3"/>
        </w:r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701.5pt;height:.5pt;mso-position-horizontal-relative:char;mso-position-vertical-relative:line" coordorigin="0,0" coordsize="14030,10">
            <v:group style="position:absolute;left:5;top:5;width:14020;height:2" coordorigin="5,5" coordsize="14020,2">
              <v:shape style="position:absolute;left:5;top:5;width:14020;height:2" coordorigin="5,5" coordsize="14020,0" path="m5,5l14024,5e" filled="false" stroked="true" strokeweight=".48pt" strokecolor="#000000">
                <v:path arrowok="t"/>
              </v:shape>
            </v:group>
          </v:group>
        </w:pict>
      </w:r>
      <w:r>
        <w:rPr>
          <w:rFonts w:ascii="宋体" w:hAnsi="宋体" w:cs="宋体" w:eastAsia="宋体" w:hint="default"/>
          <w:sz w:val="2"/>
          <w:szCs w:val="2"/>
        </w:rPr>
      </w:r>
    </w:p>
    <w:p>
      <w:pPr>
        <w:spacing w:line="240" w:lineRule="auto" w:before="6"/>
        <w:rPr>
          <w:rFonts w:ascii="宋体" w:hAnsi="宋体" w:cs="宋体" w:eastAsia="宋体" w:hint="default"/>
          <w:sz w:val="23"/>
          <w:szCs w:val="23"/>
        </w:rPr>
      </w:pPr>
    </w:p>
    <w:p>
      <w:pPr>
        <w:pStyle w:val="Heading5"/>
        <w:tabs>
          <w:tab w:pos="1399" w:val="left" w:leader="none"/>
        </w:tabs>
        <w:spacing w:line="240" w:lineRule="auto"/>
        <w:ind w:left="849" w:right="0"/>
        <w:jc w:val="left"/>
        <w:rPr>
          <w:b w:val="0"/>
          <w:bCs w:val="0"/>
        </w:rPr>
      </w:pPr>
      <w:r>
        <w:rPr>
          <w:rFonts w:ascii="Times New Roman" w:hAnsi="Times New Roman" w:cs="Times New Roman" w:eastAsia="Times New Roman" w:hint="default"/>
          <w:w w:val="95"/>
        </w:rPr>
        <w:t>2</w:t>
      </w:r>
      <w:r>
        <w:rPr>
          <w:w w:val="95"/>
        </w:rPr>
        <w:t>、</w:t>
        <w:tab/>
      </w:r>
      <w:r>
        <w:rPr>
          <w:spacing w:val="1"/>
        </w:rPr>
        <w:t>应收账款</w:t>
      </w:r>
      <w:r>
        <w:rPr>
          <w:b w:val="0"/>
          <w:bCs w:val="0"/>
        </w:rPr>
      </w:r>
    </w:p>
    <w:p>
      <w:pPr>
        <w:pStyle w:val="BodyText"/>
        <w:spacing w:line="240" w:lineRule="auto"/>
        <w:ind w:left="1415" w:right="0"/>
        <w:jc w:val="left"/>
      </w:pPr>
      <w:r>
        <w:rPr/>
        <w:pict>
          <v:group style="position:absolute;margin-left:101.121002pt;margin-top:20.773216pt;width:683.25pt;height:167.8pt;mso-position-horizontal-relative:page;mso-position-vertical-relative:paragraph;z-index:-1362496" coordorigin="2022,415" coordsize="13665,3356">
            <v:group style="position:absolute;left:2052;top:430;width:2298;height:2" coordorigin="2052,430" coordsize="2298,2">
              <v:shape style="position:absolute;left:2052;top:430;width:2298;height:2" coordorigin="2052,430" coordsize="2298,0" path="m2052,430l4350,430e" filled="false" stroked="true" strokeweight="1.5pt" strokecolor="#000000">
                <v:path arrowok="t"/>
              </v:shape>
              <v:shape style="position:absolute;left:4350;top:445;width:10;height:28" type="#_x0000_t75" stroked="false">
                <v:imagedata r:id="rId74" o:title=""/>
              </v:shape>
            </v:group>
            <v:group style="position:absolute;left:4350;top:430;width:5711;height:2" coordorigin="4350,430" coordsize="5711,2">
              <v:shape style="position:absolute;left:4350;top:430;width:5711;height:2" coordorigin="4350,430" coordsize="5711,0" path="m4350,430l10061,430e" filled="false" stroked="true" strokeweight="1.5pt" strokecolor="#000000">
                <v:path arrowok="t"/>
              </v:shape>
              <v:shape style="position:absolute;left:10061;top:445;width:10;height:28" type="#_x0000_t75" stroked="false">
                <v:imagedata r:id="rId74" o:title=""/>
              </v:shape>
            </v:group>
            <v:group style="position:absolute;left:10061;top:430;width:5600;height:2" coordorigin="10061,430" coordsize="5600,2">
              <v:shape style="position:absolute;left:10061;top:430;width:5600;height:2" coordorigin="10061,430" coordsize="5600,0" path="m10061,430l15660,430e" filled="false" stroked="true" strokeweight="1.5pt" strokecolor="#000000">
                <v:path arrowok="t"/>
              </v:shape>
              <v:shape style="position:absolute;left:4331;top:454;width:5759;height:354" type="#_x0000_t75" stroked="false">
                <v:imagedata r:id="rId484" o:title=""/>
              </v:shape>
              <v:shape style="position:absolute;left:4331;top:769;width:11357;height:392" type="#_x0000_t75" stroked="false">
                <v:imagedata r:id="rId485" o:title=""/>
              </v:shape>
              <v:shape style="position:absolute;left:4331;top:1123;width:10013;height:599" type="#_x0000_t75" stroked="false">
                <v:imagedata r:id="rId486" o:title=""/>
              </v:shape>
            </v:group>
            <v:group style="position:absolute;left:2037;top:3756;width:2313;height:2" coordorigin="2037,3756" coordsize="2313,2">
              <v:shape style="position:absolute;left:2037;top:3756;width:2313;height:2" coordorigin="2037,3756" coordsize="2313,0" path="m2037,3756l4350,3756e" filled="false" stroked="true" strokeweight="1.5pt" strokecolor="#000000">
                <v:path arrowok="t"/>
              </v:shape>
            </v:group>
            <v:group style="position:absolute;left:4350;top:3756;width:30;height:2" coordorigin="4350,3756" coordsize="30,2">
              <v:shape style="position:absolute;left:4350;top:3756;width:30;height:2" coordorigin="4350,3756" coordsize="30,0" path="m4350,3756l4380,3756e" filled="false" stroked="true" strokeweight="1.5pt" strokecolor="#000000">
                <v:path arrowok="t"/>
              </v:shape>
            </v:group>
            <v:group style="position:absolute;left:4380;top:3756;width:1371;height:2" coordorigin="4380,3756" coordsize="1371,2">
              <v:shape style="position:absolute;left:4380;top:3756;width:1371;height:2" coordorigin="4380,3756" coordsize="1371,0" path="m4380,3756l5750,3756e" filled="false" stroked="true" strokeweight="1.5pt" strokecolor="#000000">
                <v:path arrowok="t"/>
              </v:shape>
            </v:group>
            <v:group style="position:absolute;left:5750;top:3756;width:729;height:2" coordorigin="5750,3756" coordsize="729,2">
              <v:shape style="position:absolute;left:5750;top:3756;width:729;height:2" coordorigin="5750,3756" coordsize="729,0" path="m5750,3756l6479,3756e" filled="false" stroked="true" strokeweight="1.5pt" strokecolor="#000000">
                <v:path arrowok="t"/>
              </v:shape>
            </v:group>
            <v:group style="position:absolute;left:6479;top:3756;width:1396;height:2" coordorigin="6479,3756" coordsize="1396,2">
              <v:shape style="position:absolute;left:6479;top:3756;width:1396;height:2" coordorigin="6479,3756" coordsize="1396,0" path="m6479,3756l7874,3756e" filled="false" stroked="true" strokeweight="1.5pt" strokecolor="#000000">
                <v:path arrowok="t"/>
              </v:shape>
            </v:group>
            <v:group style="position:absolute;left:7874;top:3756;width:846;height:2" coordorigin="7874,3756" coordsize="846,2">
              <v:shape style="position:absolute;left:7874;top:3756;width:846;height:2" coordorigin="7874,3756" coordsize="846,0" path="m7874,3756l8720,3756e" filled="false" stroked="true" strokeweight="1.5pt" strokecolor="#000000">
                <v:path arrowok="t"/>
              </v:shape>
            </v:group>
            <v:group style="position:absolute;left:8720;top:3756;width:1341;height:2" coordorigin="8720,3756" coordsize="1341,2">
              <v:shape style="position:absolute;left:8720;top:3756;width:1341;height:2" coordorigin="8720,3756" coordsize="1341,0" path="m8720,3756l10061,3756e" filled="false" stroked="true" strokeweight="1.5pt" strokecolor="#000000">
                <v:path arrowok="t"/>
              </v:shape>
            </v:group>
            <v:group style="position:absolute;left:10061;top:3756;width:1416;height:2" coordorigin="10061,3756" coordsize="1416,2">
              <v:shape style="position:absolute;left:10061;top:3756;width:1416;height:2" coordorigin="10061,3756" coordsize="1416,0" path="m10061,3756l11477,3756e" filled="false" stroked="true" strokeweight="1.5pt" strokecolor="#000000">
                <v:path arrowok="t"/>
              </v:shape>
            </v:group>
            <v:group style="position:absolute;left:11477;top:3756;width:729;height:2" coordorigin="11477,3756" coordsize="729,2">
              <v:shape style="position:absolute;left:11477;top:3756;width:729;height:2" coordorigin="11477,3756" coordsize="729,0" path="m11477,3756l12205,3756e" filled="false" stroked="true" strokeweight="1.5pt" strokecolor="#000000">
                <v:path arrowok="t"/>
              </v:shape>
            </v:group>
            <v:group style="position:absolute;left:12205;top:3756;width:1264;height:2" coordorigin="12205,3756" coordsize="1264,2">
              <v:shape style="position:absolute;left:12205;top:3756;width:1264;height:2" coordorigin="12205,3756" coordsize="1264,0" path="m12205,3756l13469,3756e" filled="false" stroked="true" strokeweight="1.5pt" strokecolor="#000000">
                <v:path arrowok="t"/>
              </v:shape>
            </v:group>
            <v:group style="position:absolute;left:13469;top:3756;width:846;height:2" coordorigin="13469,3756" coordsize="846,2">
              <v:shape style="position:absolute;left:13469;top:3756;width:846;height:2" coordorigin="13469,3756" coordsize="846,0" path="m13469,3756l14315,3756e" filled="false" stroked="true" strokeweight="1.5pt" strokecolor="#000000">
                <v:path arrowok="t"/>
              </v:shape>
              <v:shape style="position:absolute;left:2033;top:1684;width:13655;height:2057" type="#_x0000_t75" stroked="false">
                <v:imagedata r:id="rId487" o:title=""/>
              </v:shape>
            </v:group>
            <v:group style="position:absolute;left:14315;top:3756;width:1346;height:2" coordorigin="14315,3756" coordsize="1346,2">
              <v:shape style="position:absolute;left:14315;top:3756;width:1346;height:2" coordorigin="14315,3756" coordsize="1346,0" path="m14315,3756l15660,3756e" filled="false" stroked="true" strokeweight="1.5pt" strokecolor="#000000">
                <v:path arrowok="t"/>
              </v:shape>
              <v:shape style="position:absolute;left:6890;top:53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12542;top:53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年初余额</w:t>
                      </w:r>
                      <w:r>
                        <w:rPr>
                          <w:rFonts w:ascii="宋体" w:hAnsi="宋体" w:cs="宋体" w:eastAsia="宋体" w:hint="default"/>
                          <w:sz w:val="16"/>
                          <w:szCs w:val="16"/>
                        </w:rPr>
                      </w:r>
                    </w:p>
                  </w:txbxContent>
                </v:textbox>
                <w10:wrap type="none"/>
              </v:shape>
              <v:shape style="position:absolute;left:3043;top:995;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类别</w:t>
                      </w:r>
                      <w:r>
                        <w:rPr>
                          <w:rFonts w:ascii="宋体" w:hAnsi="宋体" w:cs="宋体" w:eastAsia="宋体" w:hint="default"/>
                          <w:sz w:val="16"/>
                          <w:szCs w:val="16"/>
                        </w:rPr>
                      </w:r>
                    </w:p>
                  </w:txbxContent>
                </v:textbox>
                <w10:wrap type="none"/>
              </v:shape>
              <v:shape style="position:absolute;left:5099;top:890;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账面余额</w:t>
                      </w:r>
                      <w:r>
                        <w:rPr>
                          <w:rFonts w:ascii="宋体" w:hAnsi="宋体" w:cs="宋体" w:eastAsia="宋体" w:hint="default"/>
                          <w:sz w:val="16"/>
                          <w:szCs w:val="16"/>
                        </w:rPr>
                      </w:r>
                    </w:p>
                  </w:txbxContent>
                </v:textbox>
                <w10:wrap type="none"/>
              </v:shape>
              <v:shape style="position:absolute;left:7283;top:890;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坏账准备</w:t>
                      </w:r>
                      <w:r>
                        <w:rPr>
                          <w:rFonts w:ascii="宋体" w:hAnsi="宋体" w:cs="宋体" w:eastAsia="宋体" w:hint="default"/>
                          <w:sz w:val="16"/>
                          <w:szCs w:val="16"/>
                        </w:rPr>
                      </w:r>
                    </w:p>
                  </w:txbxContent>
                </v:textbox>
                <w10:wrap type="none"/>
              </v:shape>
              <v:shape style="position:absolute;left:10818;top:890;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账面余额</w:t>
                      </w:r>
                      <w:r>
                        <w:rPr>
                          <w:rFonts w:ascii="宋体" w:hAnsi="宋体" w:cs="宋体" w:eastAsia="宋体" w:hint="default"/>
                          <w:sz w:val="16"/>
                          <w:szCs w:val="16"/>
                        </w:rPr>
                      </w:r>
                    </w:p>
                  </w:txbxContent>
                </v:textbox>
                <w10:wrap type="none"/>
              </v:shape>
              <v:shape style="position:absolute;left:12944;top:890;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坏账准备</w:t>
                      </w:r>
                      <w:r>
                        <w:rPr>
                          <w:rFonts w:ascii="宋体" w:hAnsi="宋体" w:cs="宋体" w:eastAsia="宋体" w:hint="default"/>
                          <w:sz w:val="16"/>
                          <w:szCs w:val="16"/>
                        </w:rPr>
                      </w:r>
                    </w:p>
                  </w:txbxContent>
                </v:textbox>
                <w10:wrap type="none"/>
              </v:shape>
              <v:shape style="position:absolute;left:9075;top:1171;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账面价值</w:t>
                      </w:r>
                      <w:r>
                        <w:rPr>
                          <w:rFonts w:ascii="宋体" w:hAnsi="宋体" w:cs="宋体" w:eastAsia="宋体" w:hint="default"/>
                          <w:sz w:val="16"/>
                          <w:szCs w:val="16"/>
                        </w:rPr>
                      </w:r>
                    </w:p>
                  </w:txbxContent>
                </v:textbox>
                <w10:wrap type="none"/>
              </v:shape>
              <v:shape style="position:absolute;left:4895;top:1348;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金额</w:t>
                      </w:r>
                      <w:r>
                        <w:rPr>
                          <w:rFonts w:ascii="宋体" w:hAnsi="宋体" w:cs="宋体" w:eastAsia="宋体" w:hint="default"/>
                          <w:sz w:val="16"/>
                          <w:szCs w:val="16"/>
                        </w:rPr>
                      </w:r>
                    </w:p>
                  </w:txbxContent>
                </v:textbox>
                <w10:wrap type="none"/>
              </v:shape>
              <v:shape style="position:absolute;left:5959;top:1244;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比例</w:t>
                      </w:r>
                      <w:r>
                        <w:rPr>
                          <w:rFonts w:ascii="宋体" w:hAnsi="宋体" w:cs="宋体" w:eastAsia="宋体" w:hint="default"/>
                          <w:sz w:val="16"/>
                          <w:szCs w:val="16"/>
                        </w:rPr>
                      </w:r>
                    </w:p>
                  </w:txbxContent>
                </v:textbox>
                <w10:wrap type="none"/>
              </v:shape>
              <v:shape style="position:absolute;left:7020;top:1348;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金额</w:t>
                      </w:r>
                      <w:r>
                        <w:rPr>
                          <w:rFonts w:ascii="宋体" w:hAnsi="宋体" w:cs="宋体" w:eastAsia="宋体" w:hint="default"/>
                          <w:sz w:val="16"/>
                          <w:szCs w:val="16"/>
                        </w:rPr>
                      </w:r>
                    </w:p>
                  </w:txbxContent>
                </v:textbox>
                <w10:wrap type="none"/>
              </v:shape>
              <v:shape style="position:absolute;left:8061;top:1244;width:4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计提比</w:t>
                      </w:r>
                      <w:r>
                        <w:rPr>
                          <w:rFonts w:ascii="宋体" w:hAnsi="宋体" w:cs="宋体" w:eastAsia="宋体" w:hint="default"/>
                          <w:sz w:val="16"/>
                          <w:szCs w:val="16"/>
                        </w:rPr>
                      </w:r>
                    </w:p>
                  </w:txbxContent>
                </v:textbox>
                <w10:wrap type="none"/>
              </v:shape>
              <v:shape style="position:absolute;left:10613;top:1348;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金额</w:t>
                      </w:r>
                      <w:r>
                        <w:rPr>
                          <w:rFonts w:ascii="宋体" w:hAnsi="宋体" w:cs="宋体" w:eastAsia="宋体" w:hint="default"/>
                          <w:sz w:val="16"/>
                          <w:szCs w:val="16"/>
                        </w:rPr>
                      </w:r>
                    </w:p>
                  </w:txbxContent>
                </v:textbox>
                <w10:wrap type="none"/>
              </v:shape>
              <v:shape style="position:absolute;left:11685;top:1244;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比例</w:t>
                      </w:r>
                      <w:r>
                        <w:rPr>
                          <w:rFonts w:ascii="宋体" w:hAnsi="宋体" w:cs="宋体" w:eastAsia="宋体" w:hint="default"/>
                          <w:sz w:val="16"/>
                          <w:szCs w:val="16"/>
                        </w:rPr>
                      </w:r>
                    </w:p>
                  </w:txbxContent>
                </v:textbox>
                <w10:wrap type="none"/>
              </v:shape>
              <v:shape style="position:absolute;left:12681;top:1348;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金额</w:t>
                      </w:r>
                      <w:r>
                        <w:rPr>
                          <w:rFonts w:ascii="宋体" w:hAnsi="宋体" w:cs="宋体" w:eastAsia="宋体" w:hint="default"/>
                          <w:sz w:val="16"/>
                          <w:szCs w:val="16"/>
                        </w:rPr>
                      </w:r>
                    </w:p>
                  </w:txbxContent>
                </v:textbox>
                <w10:wrap type="none"/>
              </v:shape>
              <v:shape style="position:absolute;left:13656;top:1244;width:4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计提比</w:t>
                      </w:r>
                      <w:r>
                        <w:rPr>
                          <w:rFonts w:ascii="宋体" w:hAnsi="宋体" w:cs="宋体" w:eastAsia="宋体" w:hint="default"/>
                          <w:sz w:val="16"/>
                          <w:szCs w:val="16"/>
                        </w:rPr>
                      </w:r>
                    </w:p>
                  </w:txbxContent>
                </v:textbox>
                <w10:wrap type="none"/>
              </v:shape>
              <v:shape style="position:absolute;left:14669;top:1171;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账面价值</w:t>
                      </w:r>
                      <w:r>
                        <w:rPr>
                          <w:rFonts w:ascii="宋体" w:hAnsi="宋体" w:cs="宋体" w:eastAsia="宋体" w:hint="default"/>
                          <w:sz w:val="16"/>
                          <w:szCs w:val="16"/>
                        </w:rPr>
                      </w:r>
                    </w:p>
                  </w:txbxContent>
                </v:textbox>
                <w10:wrap type="none"/>
              </v:shape>
              <v:shape style="position:absolute;left:2160;top:1805;width:2079;height:1844"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单项金额重大并单独计提坏账</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准备的应收账款</w:t>
                      </w:r>
                    </w:p>
                    <w:p>
                      <w:pPr>
                        <w:spacing w:line="240" w:lineRule="auto" w:before="1"/>
                        <w:rPr>
                          <w:rFonts w:ascii="宋体" w:hAnsi="宋体" w:cs="宋体" w:eastAsia="宋体" w:hint="default"/>
                          <w:sz w:val="11"/>
                          <w:szCs w:val="11"/>
                        </w:rPr>
                      </w:pPr>
                    </w:p>
                    <w:p>
                      <w:pPr>
                        <w:spacing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按信用风险特征组合计提坏账</w:t>
                      </w:r>
                      <w:r>
                        <w:rPr>
                          <w:rFonts w:ascii="宋体" w:hAnsi="宋体" w:cs="宋体" w:eastAsia="宋体" w:hint="default"/>
                          <w:spacing w:val="25"/>
                          <w:w w:val="95"/>
                          <w:sz w:val="16"/>
                          <w:szCs w:val="16"/>
                        </w:rPr>
                        <w:t> </w:t>
                      </w:r>
                      <w:r>
                        <w:rPr>
                          <w:rFonts w:ascii="宋体" w:hAnsi="宋体" w:cs="宋体" w:eastAsia="宋体" w:hint="default"/>
                          <w:spacing w:val="25"/>
                          <w:w w:val="95"/>
                          <w:sz w:val="16"/>
                          <w:szCs w:val="16"/>
                        </w:rPr>
                      </w:r>
                      <w:r>
                        <w:rPr>
                          <w:rFonts w:ascii="宋体" w:hAnsi="宋体" w:cs="宋体" w:eastAsia="宋体" w:hint="default"/>
                          <w:sz w:val="16"/>
                          <w:szCs w:val="16"/>
                        </w:rPr>
                        <w:t>准备的应收账款</w:t>
                      </w:r>
                    </w:p>
                    <w:p>
                      <w:pPr>
                        <w:spacing w:before="143"/>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单项金额不重大但单独计提坏</w:t>
                      </w:r>
                      <w:r>
                        <w:rPr>
                          <w:rFonts w:ascii="宋体" w:hAnsi="宋体" w:cs="宋体" w:eastAsia="宋体" w:hint="default"/>
                          <w:spacing w:val="25"/>
                          <w:w w:val="95"/>
                          <w:sz w:val="16"/>
                          <w:szCs w:val="16"/>
                        </w:rPr>
                        <w:t> </w:t>
                      </w:r>
                      <w:r>
                        <w:rPr>
                          <w:rFonts w:ascii="宋体" w:hAnsi="宋体" w:cs="宋体" w:eastAsia="宋体" w:hint="default"/>
                          <w:spacing w:val="25"/>
                          <w:w w:val="95"/>
                          <w:sz w:val="16"/>
                          <w:szCs w:val="16"/>
                        </w:rPr>
                      </w:r>
                      <w:r>
                        <w:rPr>
                          <w:rFonts w:ascii="宋体" w:hAnsi="宋体" w:cs="宋体" w:eastAsia="宋体" w:hint="default"/>
                          <w:sz w:val="16"/>
                          <w:szCs w:val="16"/>
                        </w:rPr>
                        <w:t>账准备的应收账款</w:t>
                      </w:r>
                    </w:p>
                    <w:p>
                      <w:pPr>
                        <w:spacing w:line="240" w:lineRule="auto" w:before="1"/>
                        <w:rPr>
                          <w:rFonts w:ascii="宋体" w:hAnsi="宋体" w:cs="宋体" w:eastAsia="宋体" w:hint="default"/>
                          <w:sz w:val="11"/>
                          <w:szCs w:val="11"/>
                        </w:rPr>
                      </w:pPr>
                    </w:p>
                    <w:p>
                      <w:pPr>
                        <w:spacing w:before="0"/>
                        <w:ind w:left="7" w:right="0" w:firstLine="0"/>
                        <w:jc w:val="center"/>
                        <w:rPr>
                          <w:rFonts w:ascii="宋体" w:hAnsi="宋体" w:cs="宋体" w:eastAsia="宋体" w:hint="default"/>
                          <w:sz w:val="16"/>
                          <w:szCs w:val="16"/>
                        </w:rPr>
                      </w:pPr>
                      <w:r>
                        <w:rPr>
                          <w:rFonts w:ascii="宋体" w:hAnsi="宋体" w:cs="宋体" w:eastAsia="宋体" w:hint="default"/>
                          <w:sz w:val="16"/>
                          <w:szCs w:val="16"/>
                        </w:rPr>
                        <w:t>合计</w:t>
                      </w:r>
                    </w:p>
                  </w:txbxContent>
                </v:textbox>
                <w10:wrap type="none"/>
              </v:shape>
            </v:group>
            <w10:wrap type="none"/>
          </v:group>
        </w:pict>
      </w:r>
      <w:r>
        <w:rPr/>
        <w:t>（</w:t>
      </w:r>
      <w:r>
        <w:rPr>
          <w:rFonts w:ascii="Times New Roman" w:hAnsi="Times New Roman" w:cs="Times New Roman" w:eastAsia="Times New Roman" w:hint="default"/>
        </w:rPr>
        <w:t>1</w:t>
      </w:r>
      <w:r>
        <w:rPr/>
        <w:t>）应收账款分类披露</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0"/>
          <w:szCs w:val="20"/>
        </w:rPr>
      </w:pPr>
    </w:p>
    <w:tbl>
      <w:tblPr>
        <w:tblW w:w="0" w:type="auto"/>
        <w:jc w:val="left"/>
        <w:tblInd w:w="3312" w:type="dxa"/>
        <w:tblLayout w:type="fixed"/>
        <w:tblCellMar>
          <w:top w:w="0" w:type="dxa"/>
          <w:left w:w="0" w:type="dxa"/>
          <w:bottom w:w="0" w:type="dxa"/>
          <w:right w:w="0" w:type="dxa"/>
        </w:tblCellMar>
        <w:tblLook w:val="01E0"/>
      </w:tblPr>
      <w:tblGrid>
        <w:gridCol w:w="1158"/>
        <w:gridCol w:w="843"/>
        <w:gridCol w:w="1270"/>
        <w:gridCol w:w="905"/>
        <w:gridCol w:w="1378"/>
        <w:gridCol w:w="1330"/>
        <w:gridCol w:w="778"/>
        <w:gridCol w:w="1204"/>
        <w:gridCol w:w="904"/>
        <w:gridCol w:w="1241"/>
      </w:tblGrid>
      <w:tr>
        <w:trPr>
          <w:trHeight w:val="831" w:hRule="exact"/>
        </w:trPr>
        <w:tc>
          <w:tcPr>
            <w:tcW w:w="115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19"/>
              <w:jc w:val="right"/>
              <w:rPr>
                <w:rFonts w:ascii="Times New Roman" w:hAnsi="Times New Roman" w:cs="Times New Roman" w:eastAsia="Times New Roman" w:hint="default"/>
                <w:sz w:val="16"/>
                <w:szCs w:val="16"/>
              </w:rPr>
            </w:pPr>
            <w:r>
              <w:rPr>
                <w:rFonts w:ascii="Times New Roman"/>
                <w:spacing w:val="-1"/>
                <w:sz w:val="16"/>
              </w:rPr>
              <w:t>38,495,294.94</w:t>
            </w:r>
          </w:p>
        </w:tc>
        <w:tc>
          <w:tcPr>
            <w:tcW w:w="843" w:type="dxa"/>
            <w:tcBorders>
              <w:top w:val="nil" w:sz="6" w:space="0" w:color="auto"/>
              <w:left w:val="nil" w:sz="6" w:space="0" w:color="auto"/>
              <w:bottom w:val="nil" w:sz="6" w:space="0" w:color="auto"/>
              <w:right w:val="nil" w:sz="6" w:space="0" w:color="auto"/>
            </w:tcBorders>
          </w:tcPr>
          <w:p>
            <w:pPr>
              <w:pStyle w:val="TableParagraph"/>
              <w:spacing w:line="172" w:lineRule="exact"/>
              <w:ind w:left="251" w:right="0" w:hanging="13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w:t>
            </w:r>
            <w:r>
              <w:rPr>
                <w:rFonts w:ascii="宋体" w:hAnsi="宋体" w:cs="宋体" w:eastAsia="宋体" w:hint="default"/>
                <w:sz w:val="16"/>
                <w:szCs w:val="16"/>
              </w:rPr>
              <w:t>）</w:t>
            </w:r>
          </w:p>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251" w:right="0"/>
              <w:jc w:val="left"/>
              <w:rPr>
                <w:rFonts w:ascii="Times New Roman" w:hAnsi="Times New Roman" w:cs="Times New Roman" w:eastAsia="Times New Roman" w:hint="default"/>
                <w:sz w:val="16"/>
                <w:szCs w:val="16"/>
              </w:rPr>
            </w:pPr>
            <w:r>
              <w:rPr>
                <w:rFonts w:ascii="Times New Roman"/>
                <w:sz w:val="16"/>
              </w:rPr>
              <w:t>11.09</w:t>
            </w: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10"/>
              <w:jc w:val="right"/>
              <w:rPr>
                <w:rFonts w:ascii="Times New Roman" w:hAnsi="Times New Roman" w:cs="Times New Roman" w:eastAsia="Times New Roman" w:hint="default"/>
                <w:sz w:val="16"/>
                <w:szCs w:val="16"/>
              </w:rPr>
            </w:pPr>
            <w:r>
              <w:rPr>
                <w:rFonts w:ascii="Times New Roman"/>
                <w:spacing w:val="-1"/>
                <w:sz w:val="16"/>
              </w:rPr>
              <w:t>38,495,294.94</w:t>
            </w:r>
          </w:p>
        </w:tc>
        <w:tc>
          <w:tcPr>
            <w:tcW w:w="905" w:type="dxa"/>
            <w:tcBorders>
              <w:top w:val="nil" w:sz="6" w:space="0" w:color="auto"/>
              <w:left w:val="nil" w:sz="6" w:space="0" w:color="auto"/>
              <w:bottom w:val="nil" w:sz="6" w:space="0" w:color="auto"/>
              <w:right w:val="nil" w:sz="6" w:space="0" w:color="auto"/>
            </w:tcBorders>
          </w:tcPr>
          <w:p>
            <w:pPr>
              <w:pStyle w:val="TableParagraph"/>
              <w:spacing w:line="172" w:lineRule="exact"/>
              <w:ind w:left="293" w:right="0" w:hanging="182"/>
              <w:jc w:val="left"/>
              <w:rPr>
                <w:rFonts w:ascii="宋体" w:hAnsi="宋体" w:cs="宋体" w:eastAsia="宋体" w:hint="default"/>
                <w:sz w:val="16"/>
                <w:szCs w:val="16"/>
              </w:rPr>
            </w:pPr>
            <w:r>
              <w:rPr>
                <w:rFonts w:ascii="宋体" w:hAnsi="宋体" w:cs="宋体" w:eastAsia="宋体" w:hint="default"/>
                <w:sz w:val="16"/>
                <w:szCs w:val="16"/>
              </w:rPr>
              <w:t>例（</w:t>
            </w:r>
            <w:r>
              <w:rPr>
                <w:rFonts w:ascii="Times New Roman" w:hAnsi="Times New Roman" w:cs="Times New Roman" w:eastAsia="Times New Roman" w:hint="default"/>
                <w:sz w:val="16"/>
                <w:szCs w:val="16"/>
              </w:rPr>
              <w:t>%</w:t>
            </w:r>
            <w:r>
              <w:rPr>
                <w:rFonts w:ascii="宋体" w:hAnsi="宋体" w:cs="宋体" w:eastAsia="宋体" w:hint="default"/>
                <w:sz w:val="16"/>
                <w:szCs w:val="16"/>
              </w:rPr>
              <w:t>）</w:t>
            </w:r>
          </w:p>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293" w:right="0"/>
              <w:jc w:val="left"/>
              <w:rPr>
                <w:rFonts w:ascii="Times New Roman" w:hAnsi="Times New Roman" w:cs="Times New Roman" w:eastAsia="Times New Roman" w:hint="default"/>
                <w:sz w:val="16"/>
                <w:szCs w:val="16"/>
              </w:rPr>
            </w:pPr>
            <w:r>
              <w:rPr>
                <w:rFonts w:ascii="Times New Roman"/>
                <w:sz w:val="16"/>
              </w:rPr>
              <w:t>100.00</w:t>
            </w:r>
          </w:p>
        </w:tc>
        <w:tc>
          <w:tcPr>
            <w:tcW w:w="1378" w:type="dxa"/>
            <w:tcBorders>
              <w:top w:val="nil" w:sz="6" w:space="0" w:color="auto"/>
              <w:left w:val="nil" w:sz="6" w:space="0" w:color="auto"/>
              <w:bottom w:val="nil" w:sz="6" w:space="0" w:color="auto"/>
              <w:right w:val="nil" w:sz="6" w:space="0" w:color="auto"/>
            </w:tcBorders>
          </w:tcPr>
          <w:p>
            <w:pP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19"/>
              <w:jc w:val="right"/>
              <w:rPr>
                <w:rFonts w:ascii="Times New Roman" w:hAnsi="Times New Roman" w:cs="Times New Roman" w:eastAsia="Times New Roman" w:hint="default"/>
                <w:sz w:val="16"/>
                <w:szCs w:val="16"/>
              </w:rPr>
            </w:pPr>
            <w:r>
              <w:rPr>
                <w:rFonts w:ascii="Times New Roman"/>
                <w:spacing w:val="-1"/>
                <w:sz w:val="16"/>
              </w:rPr>
              <w:t>37,519,997.42</w:t>
            </w:r>
          </w:p>
        </w:tc>
        <w:tc>
          <w:tcPr>
            <w:tcW w:w="778" w:type="dxa"/>
            <w:tcBorders>
              <w:top w:val="nil" w:sz="6" w:space="0" w:color="auto"/>
              <w:left w:val="nil" w:sz="6" w:space="0" w:color="auto"/>
              <w:bottom w:val="nil" w:sz="6" w:space="0" w:color="auto"/>
              <w:right w:val="nil" w:sz="6" w:space="0" w:color="auto"/>
            </w:tcBorders>
          </w:tcPr>
          <w:p>
            <w:pPr>
              <w:pStyle w:val="TableParagraph"/>
              <w:spacing w:line="172" w:lineRule="exact"/>
              <w:ind w:left="251" w:right="0" w:hanging="13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w:t>
            </w:r>
            <w:r>
              <w:rPr>
                <w:rFonts w:ascii="宋体" w:hAnsi="宋体" w:cs="宋体" w:eastAsia="宋体" w:hint="default"/>
                <w:sz w:val="16"/>
                <w:szCs w:val="16"/>
              </w:rPr>
              <w:t>）</w:t>
            </w:r>
          </w:p>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251" w:right="0"/>
              <w:jc w:val="left"/>
              <w:rPr>
                <w:rFonts w:ascii="Times New Roman" w:hAnsi="Times New Roman" w:cs="Times New Roman" w:eastAsia="Times New Roman" w:hint="default"/>
                <w:sz w:val="16"/>
                <w:szCs w:val="16"/>
              </w:rPr>
            </w:pPr>
            <w:r>
              <w:rPr>
                <w:rFonts w:ascii="Times New Roman"/>
                <w:sz w:val="16"/>
              </w:rPr>
              <w:t>11.76</w:t>
            </w:r>
          </w:p>
        </w:tc>
        <w:tc>
          <w:tcPr>
            <w:tcW w:w="120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08"/>
              <w:jc w:val="right"/>
              <w:rPr>
                <w:rFonts w:ascii="Times New Roman" w:hAnsi="Times New Roman" w:cs="Times New Roman" w:eastAsia="Times New Roman" w:hint="default"/>
                <w:sz w:val="16"/>
                <w:szCs w:val="16"/>
              </w:rPr>
            </w:pPr>
            <w:r>
              <w:rPr>
                <w:rFonts w:ascii="Times New Roman"/>
                <w:spacing w:val="-1"/>
                <w:sz w:val="16"/>
              </w:rPr>
              <w:t>37,519,997.42</w:t>
            </w:r>
          </w:p>
        </w:tc>
        <w:tc>
          <w:tcPr>
            <w:tcW w:w="904" w:type="dxa"/>
            <w:tcBorders>
              <w:top w:val="nil" w:sz="6" w:space="0" w:color="auto"/>
              <w:left w:val="nil" w:sz="6" w:space="0" w:color="auto"/>
              <w:bottom w:val="nil" w:sz="6" w:space="0" w:color="auto"/>
              <w:right w:val="nil" w:sz="6" w:space="0" w:color="auto"/>
            </w:tcBorders>
          </w:tcPr>
          <w:p>
            <w:pPr>
              <w:pStyle w:val="TableParagraph"/>
              <w:spacing w:line="172" w:lineRule="exact"/>
              <w:ind w:left="292" w:right="0" w:hanging="182"/>
              <w:jc w:val="left"/>
              <w:rPr>
                <w:rFonts w:ascii="宋体" w:hAnsi="宋体" w:cs="宋体" w:eastAsia="宋体" w:hint="default"/>
                <w:sz w:val="16"/>
                <w:szCs w:val="16"/>
              </w:rPr>
            </w:pPr>
            <w:r>
              <w:rPr>
                <w:rFonts w:ascii="宋体" w:hAnsi="宋体" w:cs="宋体" w:eastAsia="宋体" w:hint="default"/>
                <w:sz w:val="16"/>
                <w:szCs w:val="16"/>
              </w:rPr>
              <w:t>例（</w:t>
            </w:r>
            <w:r>
              <w:rPr>
                <w:rFonts w:ascii="Times New Roman" w:hAnsi="Times New Roman" w:cs="Times New Roman" w:eastAsia="Times New Roman" w:hint="default"/>
                <w:sz w:val="16"/>
                <w:szCs w:val="16"/>
              </w:rPr>
              <w:t>%</w:t>
            </w:r>
            <w:r>
              <w:rPr>
                <w:rFonts w:ascii="宋体" w:hAnsi="宋体" w:cs="宋体" w:eastAsia="宋体" w:hint="default"/>
                <w:sz w:val="16"/>
                <w:szCs w:val="16"/>
              </w:rPr>
              <w:t>）</w:t>
            </w:r>
          </w:p>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292" w:right="0"/>
              <w:jc w:val="left"/>
              <w:rPr>
                <w:rFonts w:ascii="Times New Roman" w:hAnsi="Times New Roman" w:cs="Times New Roman" w:eastAsia="Times New Roman" w:hint="default"/>
                <w:sz w:val="16"/>
                <w:szCs w:val="16"/>
              </w:rPr>
            </w:pPr>
            <w:r>
              <w:rPr>
                <w:rFonts w:ascii="Times New Roman"/>
                <w:sz w:val="16"/>
              </w:rPr>
              <w:t>100.00</w:t>
            </w:r>
          </w:p>
        </w:tc>
        <w:tc>
          <w:tcPr>
            <w:tcW w:w="1241" w:type="dxa"/>
            <w:tcBorders>
              <w:top w:val="nil" w:sz="6" w:space="0" w:color="auto"/>
              <w:left w:val="nil" w:sz="6" w:space="0" w:color="auto"/>
              <w:bottom w:val="nil" w:sz="6" w:space="0" w:color="auto"/>
              <w:right w:val="nil" w:sz="6" w:space="0" w:color="auto"/>
            </w:tcBorders>
          </w:tcPr>
          <w:p>
            <w:pPr/>
          </w:p>
        </w:tc>
      </w:tr>
      <w:tr>
        <w:trPr>
          <w:trHeight w:val="561" w:hRule="exact"/>
        </w:trPr>
        <w:tc>
          <w:tcPr>
            <w:tcW w:w="115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120"/>
              <w:jc w:val="right"/>
              <w:rPr>
                <w:rFonts w:ascii="Times New Roman" w:hAnsi="Times New Roman" w:cs="Times New Roman" w:eastAsia="Times New Roman" w:hint="default"/>
                <w:sz w:val="16"/>
                <w:szCs w:val="16"/>
              </w:rPr>
            </w:pPr>
            <w:r>
              <w:rPr>
                <w:rFonts w:ascii="Times New Roman"/>
                <w:spacing w:val="-1"/>
                <w:sz w:val="16"/>
              </w:rPr>
              <w:t>292,524,717.30</w:t>
            </w:r>
          </w:p>
        </w:tc>
        <w:tc>
          <w:tcPr>
            <w:tcW w:w="84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234"/>
              <w:jc w:val="right"/>
              <w:rPr>
                <w:rFonts w:ascii="Times New Roman" w:hAnsi="Times New Roman" w:cs="Times New Roman" w:eastAsia="Times New Roman" w:hint="default"/>
                <w:sz w:val="16"/>
                <w:szCs w:val="16"/>
              </w:rPr>
            </w:pPr>
            <w:r>
              <w:rPr>
                <w:rFonts w:ascii="Times New Roman"/>
                <w:spacing w:val="-1"/>
                <w:sz w:val="16"/>
              </w:rPr>
              <w:t>84.28</w:t>
            </w: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110"/>
              <w:jc w:val="right"/>
              <w:rPr>
                <w:rFonts w:ascii="Times New Roman" w:hAnsi="Times New Roman" w:cs="Times New Roman" w:eastAsia="Times New Roman" w:hint="default"/>
                <w:sz w:val="16"/>
                <w:szCs w:val="16"/>
              </w:rPr>
            </w:pPr>
            <w:r>
              <w:rPr>
                <w:rFonts w:ascii="Times New Roman"/>
                <w:spacing w:val="-1"/>
                <w:sz w:val="16"/>
              </w:rPr>
              <w:t>1,823,853.47</w:t>
            </w:r>
          </w:p>
        </w:tc>
        <w:tc>
          <w:tcPr>
            <w:tcW w:w="90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168"/>
              <w:jc w:val="right"/>
              <w:rPr>
                <w:rFonts w:ascii="Times New Roman" w:hAnsi="Times New Roman" w:cs="Times New Roman" w:eastAsia="Times New Roman" w:hint="default"/>
                <w:sz w:val="16"/>
                <w:szCs w:val="16"/>
              </w:rPr>
            </w:pPr>
            <w:r>
              <w:rPr>
                <w:rFonts w:ascii="Times New Roman"/>
                <w:spacing w:val="-1"/>
                <w:sz w:val="16"/>
              </w:rPr>
              <w:t>0.62</w:t>
            </w: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205"/>
              <w:jc w:val="right"/>
              <w:rPr>
                <w:rFonts w:ascii="Times New Roman" w:hAnsi="Times New Roman" w:cs="Times New Roman" w:eastAsia="Times New Roman" w:hint="default"/>
                <w:sz w:val="16"/>
                <w:szCs w:val="16"/>
              </w:rPr>
            </w:pPr>
            <w:r>
              <w:rPr>
                <w:rFonts w:ascii="Times New Roman"/>
                <w:spacing w:val="-1"/>
                <w:sz w:val="16"/>
              </w:rPr>
              <w:t>290,700,863.83</w:t>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120"/>
              <w:jc w:val="right"/>
              <w:rPr>
                <w:rFonts w:ascii="Times New Roman" w:hAnsi="Times New Roman" w:cs="Times New Roman" w:eastAsia="Times New Roman" w:hint="default"/>
                <w:sz w:val="16"/>
                <w:szCs w:val="16"/>
              </w:rPr>
            </w:pPr>
            <w:r>
              <w:rPr>
                <w:rFonts w:ascii="Times New Roman"/>
                <w:spacing w:val="-1"/>
                <w:sz w:val="16"/>
              </w:rPr>
              <w:t>262,911,288.26</w:t>
            </w: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left="74" w:right="0"/>
              <w:jc w:val="center"/>
              <w:rPr>
                <w:rFonts w:ascii="Times New Roman" w:hAnsi="Times New Roman" w:cs="Times New Roman" w:eastAsia="Times New Roman" w:hint="default"/>
                <w:sz w:val="16"/>
                <w:szCs w:val="16"/>
              </w:rPr>
            </w:pPr>
            <w:r>
              <w:rPr>
                <w:rFonts w:ascii="Times New Roman"/>
                <w:sz w:val="16"/>
              </w:rPr>
              <w:t>82.40</w:t>
            </w:r>
          </w:p>
        </w:tc>
        <w:tc>
          <w:tcPr>
            <w:tcW w:w="120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109"/>
              <w:jc w:val="right"/>
              <w:rPr>
                <w:rFonts w:ascii="Times New Roman" w:hAnsi="Times New Roman" w:cs="Times New Roman" w:eastAsia="Times New Roman" w:hint="default"/>
                <w:sz w:val="16"/>
                <w:szCs w:val="16"/>
              </w:rPr>
            </w:pPr>
            <w:r>
              <w:rPr>
                <w:rFonts w:ascii="Times New Roman"/>
                <w:spacing w:val="-1"/>
                <w:sz w:val="16"/>
              </w:rPr>
              <w:t>6,605,944.43</w:t>
            </w:r>
          </w:p>
        </w:tc>
        <w:tc>
          <w:tcPr>
            <w:tcW w:w="90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168"/>
              <w:jc w:val="right"/>
              <w:rPr>
                <w:rFonts w:ascii="Times New Roman" w:hAnsi="Times New Roman" w:cs="Times New Roman" w:eastAsia="Times New Roman" w:hint="default"/>
                <w:sz w:val="16"/>
                <w:szCs w:val="16"/>
              </w:rPr>
            </w:pPr>
            <w:r>
              <w:rPr>
                <w:rFonts w:ascii="Times New Roman"/>
                <w:spacing w:val="-1"/>
                <w:sz w:val="16"/>
              </w:rPr>
              <w:t>2.51</w:t>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68"/>
              <w:jc w:val="right"/>
              <w:rPr>
                <w:rFonts w:ascii="Times New Roman" w:hAnsi="Times New Roman" w:cs="Times New Roman" w:eastAsia="Times New Roman" w:hint="default"/>
                <w:sz w:val="16"/>
                <w:szCs w:val="16"/>
              </w:rPr>
            </w:pPr>
            <w:r>
              <w:rPr>
                <w:rFonts w:ascii="Times New Roman"/>
                <w:spacing w:val="-1"/>
                <w:sz w:val="16"/>
              </w:rPr>
              <w:t>256,305,343.83</w:t>
            </w:r>
          </w:p>
        </w:tc>
      </w:tr>
      <w:tr>
        <w:trPr>
          <w:trHeight w:val="509" w:hRule="exact"/>
        </w:trPr>
        <w:tc>
          <w:tcPr>
            <w:tcW w:w="115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19"/>
              <w:jc w:val="right"/>
              <w:rPr>
                <w:rFonts w:ascii="Times New Roman" w:hAnsi="Times New Roman" w:cs="Times New Roman" w:eastAsia="Times New Roman" w:hint="default"/>
                <w:sz w:val="16"/>
                <w:szCs w:val="16"/>
              </w:rPr>
            </w:pPr>
            <w:r>
              <w:rPr>
                <w:rFonts w:ascii="Times New Roman"/>
                <w:spacing w:val="-1"/>
                <w:sz w:val="16"/>
              </w:rPr>
              <w:t>16,069,301.13</w:t>
            </w:r>
          </w:p>
        </w:tc>
        <w:tc>
          <w:tcPr>
            <w:tcW w:w="84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234"/>
              <w:jc w:val="right"/>
              <w:rPr>
                <w:rFonts w:ascii="Times New Roman" w:hAnsi="Times New Roman" w:cs="Times New Roman" w:eastAsia="Times New Roman" w:hint="default"/>
                <w:sz w:val="16"/>
                <w:szCs w:val="16"/>
              </w:rPr>
            </w:pPr>
            <w:r>
              <w:rPr>
                <w:rFonts w:ascii="Times New Roman"/>
                <w:spacing w:val="-1"/>
                <w:sz w:val="16"/>
              </w:rPr>
              <w:t>4.63</w:t>
            </w: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10"/>
              <w:jc w:val="right"/>
              <w:rPr>
                <w:rFonts w:ascii="Times New Roman" w:hAnsi="Times New Roman" w:cs="Times New Roman" w:eastAsia="Times New Roman" w:hint="default"/>
                <w:sz w:val="16"/>
                <w:szCs w:val="16"/>
              </w:rPr>
            </w:pPr>
            <w:r>
              <w:rPr>
                <w:rFonts w:ascii="Times New Roman"/>
                <w:spacing w:val="-1"/>
                <w:sz w:val="16"/>
              </w:rPr>
              <w:t>15,310,452.62</w:t>
            </w:r>
          </w:p>
        </w:tc>
        <w:tc>
          <w:tcPr>
            <w:tcW w:w="90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68"/>
              <w:jc w:val="right"/>
              <w:rPr>
                <w:rFonts w:ascii="Times New Roman" w:hAnsi="Times New Roman" w:cs="Times New Roman" w:eastAsia="Times New Roman" w:hint="default"/>
                <w:sz w:val="16"/>
                <w:szCs w:val="16"/>
              </w:rPr>
            </w:pPr>
            <w:r>
              <w:rPr>
                <w:rFonts w:ascii="Times New Roman"/>
                <w:spacing w:val="-1"/>
                <w:sz w:val="16"/>
              </w:rPr>
              <w:t>95.28</w:t>
            </w: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206"/>
              <w:jc w:val="right"/>
              <w:rPr>
                <w:rFonts w:ascii="Times New Roman" w:hAnsi="Times New Roman" w:cs="Times New Roman" w:eastAsia="Times New Roman" w:hint="default"/>
                <w:sz w:val="16"/>
                <w:szCs w:val="16"/>
              </w:rPr>
            </w:pPr>
            <w:r>
              <w:rPr>
                <w:rFonts w:ascii="Times New Roman"/>
                <w:spacing w:val="-1"/>
                <w:sz w:val="16"/>
              </w:rPr>
              <w:t>758,848.51</w:t>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19"/>
              <w:jc w:val="right"/>
              <w:rPr>
                <w:rFonts w:ascii="Times New Roman" w:hAnsi="Times New Roman" w:cs="Times New Roman" w:eastAsia="Times New Roman" w:hint="default"/>
                <w:sz w:val="16"/>
                <w:szCs w:val="16"/>
              </w:rPr>
            </w:pPr>
            <w:r>
              <w:rPr>
                <w:rFonts w:ascii="Times New Roman"/>
                <w:spacing w:val="-1"/>
                <w:sz w:val="16"/>
              </w:rPr>
              <w:t>18,636,226.52</w:t>
            </w: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left="154" w:right="0"/>
              <w:jc w:val="center"/>
              <w:rPr>
                <w:rFonts w:ascii="Times New Roman" w:hAnsi="Times New Roman" w:cs="Times New Roman" w:eastAsia="Times New Roman" w:hint="default"/>
                <w:sz w:val="16"/>
                <w:szCs w:val="16"/>
              </w:rPr>
            </w:pPr>
            <w:r>
              <w:rPr>
                <w:rFonts w:ascii="Times New Roman"/>
                <w:sz w:val="16"/>
              </w:rPr>
              <w:t>5.84</w:t>
            </w:r>
          </w:p>
        </w:tc>
        <w:tc>
          <w:tcPr>
            <w:tcW w:w="120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09"/>
              <w:jc w:val="right"/>
              <w:rPr>
                <w:rFonts w:ascii="Times New Roman" w:hAnsi="Times New Roman" w:cs="Times New Roman" w:eastAsia="Times New Roman" w:hint="default"/>
                <w:sz w:val="16"/>
                <w:szCs w:val="16"/>
              </w:rPr>
            </w:pPr>
            <w:r>
              <w:rPr>
                <w:rFonts w:ascii="Times New Roman"/>
                <w:spacing w:val="-1"/>
                <w:sz w:val="16"/>
              </w:rPr>
              <w:t>17,877,378.01</w:t>
            </w:r>
          </w:p>
        </w:tc>
        <w:tc>
          <w:tcPr>
            <w:tcW w:w="90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68"/>
              <w:jc w:val="right"/>
              <w:rPr>
                <w:rFonts w:ascii="Times New Roman" w:hAnsi="Times New Roman" w:cs="Times New Roman" w:eastAsia="Times New Roman" w:hint="default"/>
                <w:sz w:val="16"/>
                <w:szCs w:val="16"/>
              </w:rPr>
            </w:pPr>
            <w:r>
              <w:rPr>
                <w:rFonts w:ascii="Times New Roman"/>
                <w:spacing w:val="-1"/>
                <w:sz w:val="16"/>
              </w:rPr>
              <w:t>95.93</w:t>
            </w: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68"/>
              <w:jc w:val="right"/>
              <w:rPr>
                <w:rFonts w:ascii="Times New Roman" w:hAnsi="Times New Roman" w:cs="Times New Roman" w:eastAsia="Times New Roman" w:hint="default"/>
                <w:sz w:val="16"/>
                <w:szCs w:val="16"/>
              </w:rPr>
            </w:pPr>
            <w:r>
              <w:rPr>
                <w:rFonts w:ascii="Times New Roman"/>
                <w:spacing w:val="-1"/>
                <w:sz w:val="16"/>
              </w:rPr>
              <w:t>758,848.51</w:t>
            </w:r>
          </w:p>
        </w:tc>
      </w:tr>
      <w:tr>
        <w:trPr>
          <w:trHeight w:val="403" w:hRule="exact"/>
        </w:trPr>
        <w:tc>
          <w:tcPr>
            <w:tcW w:w="1158"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20"/>
              <w:jc w:val="right"/>
              <w:rPr>
                <w:rFonts w:ascii="Times New Roman" w:hAnsi="Times New Roman" w:cs="Times New Roman" w:eastAsia="Times New Roman" w:hint="default"/>
                <w:sz w:val="16"/>
                <w:szCs w:val="16"/>
              </w:rPr>
            </w:pPr>
            <w:r>
              <w:rPr>
                <w:rFonts w:ascii="Times New Roman"/>
                <w:spacing w:val="-1"/>
                <w:sz w:val="16"/>
              </w:rPr>
              <w:t>347,089,313.37</w:t>
            </w:r>
          </w:p>
        </w:tc>
        <w:tc>
          <w:tcPr>
            <w:tcW w:w="843"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234"/>
              <w:jc w:val="right"/>
              <w:rPr>
                <w:rFonts w:ascii="Times New Roman" w:hAnsi="Times New Roman" w:cs="Times New Roman" w:eastAsia="Times New Roman" w:hint="default"/>
                <w:sz w:val="16"/>
                <w:szCs w:val="16"/>
              </w:rPr>
            </w:pPr>
            <w:r>
              <w:rPr>
                <w:rFonts w:ascii="Times New Roman"/>
                <w:spacing w:val="-1"/>
                <w:sz w:val="16"/>
              </w:rPr>
              <w:t>100.00</w:t>
            </w: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10"/>
              <w:jc w:val="right"/>
              <w:rPr>
                <w:rFonts w:ascii="Times New Roman" w:hAnsi="Times New Roman" w:cs="Times New Roman" w:eastAsia="Times New Roman" w:hint="default"/>
                <w:sz w:val="16"/>
                <w:szCs w:val="16"/>
              </w:rPr>
            </w:pPr>
            <w:r>
              <w:rPr>
                <w:rFonts w:ascii="Times New Roman"/>
                <w:spacing w:val="-1"/>
                <w:sz w:val="16"/>
              </w:rPr>
              <w:t>55,629,601.03</w:t>
            </w:r>
          </w:p>
        </w:tc>
        <w:tc>
          <w:tcPr>
            <w:tcW w:w="905" w:type="dxa"/>
            <w:tcBorders>
              <w:top w:val="nil" w:sz="6" w:space="0" w:color="auto"/>
              <w:left w:val="nil" w:sz="6" w:space="0" w:color="auto"/>
              <w:bottom w:val="nil" w:sz="6" w:space="0" w:color="auto"/>
              <w:right w:val="nil" w:sz="6" w:space="0" w:color="auto"/>
            </w:tcBorders>
          </w:tcPr>
          <w:p>
            <w:pP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205"/>
              <w:jc w:val="right"/>
              <w:rPr>
                <w:rFonts w:ascii="Times New Roman" w:hAnsi="Times New Roman" w:cs="Times New Roman" w:eastAsia="Times New Roman" w:hint="default"/>
                <w:sz w:val="16"/>
                <w:szCs w:val="16"/>
              </w:rPr>
            </w:pPr>
            <w:r>
              <w:rPr>
                <w:rFonts w:ascii="Times New Roman"/>
                <w:spacing w:val="-1"/>
                <w:sz w:val="16"/>
              </w:rPr>
              <w:t>291,459,712.34</w:t>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20"/>
              <w:jc w:val="right"/>
              <w:rPr>
                <w:rFonts w:ascii="Times New Roman" w:hAnsi="Times New Roman" w:cs="Times New Roman" w:eastAsia="Times New Roman" w:hint="default"/>
                <w:sz w:val="16"/>
                <w:szCs w:val="16"/>
              </w:rPr>
            </w:pPr>
            <w:r>
              <w:rPr>
                <w:rFonts w:ascii="Times New Roman"/>
                <w:spacing w:val="-1"/>
                <w:sz w:val="16"/>
              </w:rPr>
              <w:t>319,067,512.20</w:t>
            </w: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4"/>
              <w:jc w:val="center"/>
              <w:rPr>
                <w:rFonts w:ascii="Times New Roman" w:hAnsi="Times New Roman" w:cs="Times New Roman" w:eastAsia="Times New Roman" w:hint="default"/>
                <w:sz w:val="16"/>
                <w:szCs w:val="16"/>
              </w:rPr>
            </w:pPr>
            <w:r>
              <w:rPr>
                <w:rFonts w:ascii="Times New Roman"/>
                <w:sz w:val="16"/>
              </w:rPr>
              <w:t>100.00</w:t>
            </w:r>
          </w:p>
        </w:tc>
        <w:tc>
          <w:tcPr>
            <w:tcW w:w="1204"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10"/>
              <w:jc w:val="right"/>
              <w:rPr>
                <w:rFonts w:ascii="Times New Roman" w:hAnsi="Times New Roman" w:cs="Times New Roman" w:eastAsia="Times New Roman" w:hint="default"/>
                <w:sz w:val="16"/>
                <w:szCs w:val="16"/>
              </w:rPr>
            </w:pPr>
            <w:r>
              <w:rPr>
                <w:rFonts w:ascii="Times New Roman"/>
                <w:spacing w:val="-1"/>
                <w:sz w:val="16"/>
              </w:rPr>
              <w:t>62,003,319.86</w:t>
            </w:r>
          </w:p>
        </w:tc>
        <w:tc>
          <w:tcPr>
            <w:tcW w:w="904" w:type="dxa"/>
            <w:tcBorders>
              <w:top w:val="nil" w:sz="6" w:space="0" w:color="auto"/>
              <w:left w:val="nil" w:sz="6" w:space="0" w:color="auto"/>
              <w:bottom w:val="nil" w:sz="6" w:space="0" w:color="auto"/>
              <w:right w:val="nil" w:sz="6" w:space="0" w:color="auto"/>
            </w:tcBorders>
          </w:tcPr>
          <w:p>
            <w:pPr/>
          </w:p>
        </w:tc>
        <w:tc>
          <w:tcPr>
            <w:tcW w:w="1241"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68"/>
              <w:jc w:val="right"/>
              <w:rPr>
                <w:rFonts w:ascii="Times New Roman" w:hAnsi="Times New Roman" w:cs="Times New Roman" w:eastAsia="Times New Roman" w:hint="default"/>
                <w:sz w:val="16"/>
                <w:szCs w:val="16"/>
              </w:rPr>
            </w:pPr>
            <w:r>
              <w:rPr>
                <w:rFonts w:ascii="Times New Roman"/>
                <w:spacing w:val="-1"/>
                <w:sz w:val="16"/>
              </w:rPr>
              <w:t>257,064,192.34</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6"/>
          <w:szCs w:val="16"/>
        </w:rPr>
      </w:pPr>
    </w:p>
    <w:p>
      <w:pPr>
        <w:spacing w:before="44"/>
        <w:ind w:left="6200" w:right="6461" w:firstLine="0"/>
        <w:jc w:val="center"/>
        <w:rPr>
          <w:rFonts w:ascii="宋体" w:hAnsi="宋体" w:cs="宋体" w:eastAsia="宋体" w:hint="default"/>
          <w:sz w:val="18"/>
          <w:szCs w:val="18"/>
        </w:rPr>
      </w:pPr>
      <w:r>
        <w:rPr>
          <w:rFonts w:ascii="宋体" w:hAnsi="宋体" w:cs="宋体" w:eastAsia="宋体" w:hint="default"/>
          <w:sz w:val="18"/>
          <w:szCs w:val="18"/>
        </w:rPr>
        <w:t>财务报表附注第</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8"/>
          <w:szCs w:val="18"/>
        </w:rPr>
      </w:pPr>
    </w:p>
    <w:p>
      <w:pPr>
        <w:spacing w:line="371" w:lineRule="exact"/>
        <w:ind w:left="10484" w:right="0" w:firstLine="0"/>
        <w:rPr>
          <w:rFonts w:ascii="宋体" w:hAnsi="宋体" w:cs="宋体" w:eastAsia="宋体" w:hint="default"/>
          <w:sz w:val="20"/>
          <w:szCs w:val="20"/>
        </w:rPr>
      </w:pPr>
      <w:r>
        <w:rPr>
          <w:rFonts w:ascii="宋体" w:hAnsi="宋体" w:cs="宋体" w:eastAsia="宋体" w:hint="default"/>
          <w:position w:val="-6"/>
          <w:sz w:val="20"/>
          <w:szCs w:val="20"/>
        </w:rPr>
        <w:drawing>
          <wp:inline distT="0" distB="0" distL="0" distR="0">
            <wp:extent cx="524065" cy="236029"/>
            <wp:effectExtent l="0" t="0" r="0" b="0"/>
            <wp:docPr id="35" name="image1.jpeg" descr=""/>
            <wp:cNvGraphicFramePr>
              <a:graphicFrameLocks noChangeAspect="1"/>
            </wp:cNvGraphicFramePr>
            <a:graphic>
              <a:graphicData uri="http://schemas.openxmlformats.org/drawingml/2006/picture">
                <pic:pic>
                  <pic:nvPicPr>
                    <pic:cNvPr id="36" name="image1.jpeg"/>
                    <pic:cNvPicPr/>
                  </pic:nvPicPr>
                  <pic:blipFill>
                    <a:blip r:embed="rId79" cstate="print"/>
                    <a:stretch>
                      <a:fillRect/>
                    </a:stretch>
                  </pic:blipFill>
                  <pic:spPr>
                    <a:xfrm>
                      <a:off x="0" y="0"/>
                      <a:ext cx="524065" cy="236029"/>
                    </a:xfrm>
                    <a:prstGeom prst="rect">
                      <a:avLst/>
                    </a:prstGeom>
                  </pic:spPr>
                </pic:pic>
              </a:graphicData>
            </a:graphic>
          </wp:inline>
        </w:drawing>
      </w:r>
      <w:r>
        <w:rPr>
          <w:rFonts w:ascii="宋体" w:hAnsi="宋体" w:cs="宋体" w:eastAsia="宋体" w:hint="default"/>
          <w:position w:val="-6"/>
          <w:sz w:val="20"/>
          <w:szCs w:val="20"/>
        </w:rPr>
      </w:r>
    </w:p>
    <w:p>
      <w:pPr>
        <w:spacing w:after="0" w:line="371" w:lineRule="exact"/>
        <w:rPr>
          <w:rFonts w:ascii="宋体" w:hAnsi="宋体" w:cs="宋体" w:eastAsia="宋体" w:hint="default"/>
          <w:sz w:val="20"/>
          <w:szCs w:val="20"/>
        </w:rPr>
        <w:sectPr>
          <w:headerReference w:type="default" r:id="rId482"/>
          <w:footerReference w:type="default" r:id="rId483"/>
          <w:pgSz w:w="16840" w:h="11910" w:orient="landscape"/>
          <w:pgMar w:header="0" w:footer="0" w:top="1100" w:bottom="0" w:left="1300" w:right="1040"/>
        </w:sectPr>
      </w:pPr>
    </w:p>
    <w:p>
      <w:pPr>
        <w:spacing w:line="240" w:lineRule="auto" w:before="8"/>
        <w:rPr>
          <w:rFonts w:ascii="宋体" w:hAnsi="宋体" w:cs="宋体" w:eastAsia="宋体" w:hint="default"/>
          <w:sz w:val="13"/>
          <w:szCs w:val="13"/>
        </w:rPr>
      </w:pPr>
    </w:p>
    <w:p>
      <w:pPr>
        <w:pStyle w:val="BodyText"/>
        <w:spacing w:line="240" w:lineRule="auto" w:before="35"/>
        <w:ind w:right="3681"/>
        <w:jc w:val="left"/>
      </w:pPr>
      <w:r>
        <w:rPr/>
        <w:pict>
          <v:group style="position:absolute;margin-left:119.010002pt;margin-top:17.133949pt;width:412.2pt;height:168.15pt;mso-position-horizontal-relative:page;mso-position-vertical-relative:paragraph;z-index:-1361824" coordorigin="2380,343" coordsize="8244,3363">
            <v:group style="position:absolute;left:2410;top:358;width:2884;height:2" coordorigin="2410,358" coordsize="2884,2">
              <v:shape style="position:absolute;left:2410;top:358;width:2884;height:2" coordorigin="2410,358" coordsize="2884,0" path="m2410,358l5293,358e" filled="false" stroked="true" strokeweight="1.5pt" strokecolor="#000000">
                <v:path arrowok="t"/>
              </v:shape>
            </v:group>
            <v:group style="position:absolute;left:5293;top:358;width:5304;height:2" coordorigin="5293,358" coordsize="5304,2">
              <v:shape style="position:absolute;left:5293;top:358;width:5304;height:2" coordorigin="5293,358" coordsize="5304,0" path="m5293,358l10597,358e" filled="false" stroked="true" strokeweight="1.5pt" strokecolor="#000000">
                <v:path arrowok="t"/>
              </v:shape>
              <v:shape style="position:absolute;left:5293;top:373;width:10;height:338" type="#_x0000_t75" stroked="false">
                <v:imagedata r:id="rId81" o:title=""/>
              </v:shape>
              <v:shape style="position:absolute;left:5274;top:692;width:5350;height:559" type="#_x0000_t75" stroked="false">
                <v:imagedata r:id="rId489" o:title=""/>
              </v:shape>
            </v:group>
            <v:group style="position:absolute;left:2395;top:3690;width:2898;height:2" coordorigin="2395,3690" coordsize="2898,2">
              <v:shape style="position:absolute;left:2395;top:3690;width:2898;height:2" coordorigin="2395,3690" coordsize="2898,0" path="m2395,3690l5293,3690e" filled="false" stroked="true" strokeweight="1.5pt" strokecolor="#000000">
                <v:path arrowok="t"/>
              </v:shape>
            </v:group>
            <v:group style="position:absolute;left:5293;top:3690;width:1523;height:2" coordorigin="5293,3690" coordsize="1523,2">
              <v:shape style="position:absolute;left:5293;top:3690;width:1523;height:2" coordorigin="5293,3690" coordsize="1523,0" path="m5293,3690l6816,3690e" filled="false" stroked="true" strokeweight="1.5pt" strokecolor="#000000">
                <v:path arrowok="t"/>
              </v:shape>
            </v:group>
            <v:group style="position:absolute;left:6816;top:3690;width:1398;height:2" coordorigin="6816,3690" coordsize="1398,2">
              <v:shape style="position:absolute;left:6816;top:3690;width:1398;height:2" coordorigin="6816,3690" coordsize="1398,0" path="m6816,3690l8214,3690e" filled="false" stroked="true" strokeweight="1.5pt" strokecolor="#000000">
                <v:path arrowok="t"/>
              </v:shape>
            </v:group>
            <v:group style="position:absolute;left:8214;top:3690;width:960;height:2" coordorigin="8214,3690" coordsize="960,2">
              <v:shape style="position:absolute;left:8214;top:3690;width:960;height:2" coordorigin="8214,3690" coordsize="960,0" path="m8214,3690l9174,3690e" filled="false" stroked="true" strokeweight="1.5pt" strokecolor="#000000">
                <v:path arrowok="t"/>
              </v:shape>
              <v:shape style="position:absolute;left:2390;top:1213;width:8233;height:2462" type="#_x0000_t75" stroked="false">
                <v:imagedata r:id="rId490" o:title=""/>
              </v:shape>
            </v:group>
            <v:group style="position:absolute;left:9174;top:3690;width:1424;height:2" coordorigin="9174,3690" coordsize="1424,2">
              <v:shape style="position:absolute;left:9174;top:3690;width:1424;height:2" coordorigin="9174,3690" coordsize="1424,0" path="m9174,3690l10597,3690e" filled="false" stroked="true" strokeweight="1.5pt" strokecolor="#000000">
                <v:path arrowok="t"/>
              </v:shape>
              <v:shape style="position:absolute;left:7627;top:442;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3133;top:702;width:14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应收账款（按单位）</w:t>
                      </w:r>
                      <w:r>
                        <w:rPr>
                          <w:rFonts w:ascii="宋体" w:hAnsi="宋体" w:cs="宋体" w:eastAsia="宋体" w:hint="default"/>
                          <w:sz w:val="16"/>
                          <w:szCs w:val="16"/>
                        </w:rPr>
                      </w:r>
                    </w:p>
                  </w:txbxContent>
                </v:textbox>
                <w10:wrap type="none"/>
              </v:shape>
              <v:shape style="position:absolute;left:5738;top:876;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应收账款</w:t>
                      </w:r>
                      <w:r>
                        <w:rPr>
                          <w:rFonts w:ascii="宋体" w:hAnsi="宋体" w:cs="宋体" w:eastAsia="宋体" w:hint="default"/>
                          <w:sz w:val="16"/>
                          <w:szCs w:val="16"/>
                        </w:rPr>
                      </w:r>
                    </w:p>
                  </w:txbxContent>
                </v:textbox>
                <w10:wrap type="none"/>
              </v:shape>
              <v:shape style="position:absolute;left:7199;top:876;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坏账准备</w:t>
                      </w:r>
                      <w:r>
                        <w:rPr>
                          <w:rFonts w:ascii="宋体" w:hAnsi="宋体" w:cs="宋体" w:eastAsia="宋体" w:hint="default"/>
                          <w:sz w:val="16"/>
                          <w:szCs w:val="16"/>
                        </w:rPr>
                      </w:r>
                    </w:p>
                  </w:txbxContent>
                </v:textbox>
                <w10:wrap type="none"/>
              </v:shape>
              <v:shape style="position:absolute;left:8377;top:772;width:639;height:37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计提比例</w:t>
                      </w:r>
                      <w:r>
                        <w:rPr>
                          <w:rFonts w:ascii="宋体" w:hAnsi="宋体" w:cs="宋体" w:eastAsia="宋体" w:hint="default"/>
                          <w:sz w:val="16"/>
                          <w:szCs w:val="16"/>
                        </w:rPr>
                      </w:r>
                    </w:p>
                    <w:p>
                      <w:pPr>
                        <w:spacing w:line="218" w:lineRule="exact" w:before="0"/>
                        <w:ind w:left="93" w:right="0" w:firstLine="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w:t>
                      </w:r>
                      <w:r>
                        <w:rPr>
                          <w:rFonts w:ascii="宋体" w:hAnsi="宋体" w:cs="宋体" w:eastAsia="宋体" w:hint="default"/>
                          <w:sz w:val="16"/>
                          <w:szCs w:val="16"/>
                        </w:rPr>
                        <w:t>）</w:t>
                      </w:r>
                    </w:p>
                  </w:txbxContent>
                </v:textbox>
                <w10:wrap type="none"/>
              </v:shape>
              <v:shape style="position:absolute;left:9566;top:876;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计提理由</w:t>
                      </w:r>
                      <w:r>
                        <w:rPr>
                          <w:rFonts w:ascii="宋体" w:hAnsi="宋体" w:cs="宋体" w:eastAsia="宋体" w:hint="default"/>
                          <w:sz w:val="16"/>
                          <w:szCs w:val="16"/>
                        </w:rPr>
                      </w:r>
                    </w:p>
                  </w:txbxContent>
                </v:textbox>
                <w10:wrap type="none"/>
              </v:shape>
            </v:group>
            <w10:wrap type="none"/>
          </v:group>
        </w:pict>
      </w:r>
      <w:r>
        <w:rPr/>
        <w:t>期末单项金额重大并单独计提坏账准备的应收账款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8"/>
          <w:szCs w:val="28"/>
        </w:rPr>
      </w:pPr>
    </w:p>
    <w:tbl>
      <w:tblPr>
        <w:tblW w:w="0" w:type="auto"/>
        <w:jc w:val="left"/>
        <w:tblInd w:w="822" w:type="dxa"/>
        <w:tblLayout w:type="fixed"/>
        <w:tblCellMar>
          <w:top w:w="0" w:type="dxa"/>
          <w:left w:w="0" w:type="dxa"/>
          <w:bottom w:w="0" w:type="dxa"/>
          <w:right w:w="0" w:type="dxa"/>
        </w:tblCellMar>
        <w:tblLook w:val="01E0"/>
      </w:tblPr>
      <w:tblGrid>
        <w:gridCol w:w="2871"/>
        <w:gridCol w:w="1599"/>
        <w:gridCol w:w="1418"/>
        <w:gridCol w:w="808"/>
        <w:gridCol w:w="1260"/>
      </w:tblGrid>
      <w:tr>
        <w:trPr>
          <w:trHeight w:val="361" w:hRule="exact"/>
        </w:trPr>
        <w:tc>
          <w:tcPr>
            <w:tcW w:w="287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5" w:right="0"/>
              <w:jc w:val="left"/>
              <w:rPr>
                <w:rFonts w:ascii="宋体" w:hAnsi="宋体" w:cs="宋体" w:eastAsia="宋体" w:hint="default"/>
                <w:sz w:val="16"/>
                <w:szCs w:val="16"/>
              </w:rPr>
            </w:pPr>
            <w:r>
              <w:rPr>
                <w:rFonts w:ascii="宋体" w:hAnsi="宋体" w:cs="宋体" w:eastAsia="宋体" w:hint="default"/>
                <w:sz w:val="16"/>
                <w:szCs w:val="16"/>
              </w:rPr>
              <w:t>长信数码信息文化发展有限公司</w:t>
            </w: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37"/>
              <w:jc w:val="right"/>
              <w:rPr>
                <w:rFonts w:ascii="Times New Roman" w:hAnsi="Times New Roman" w:cs="Times New Roman" w:eastAsia="Times New Roman" w:hint="default"/>
                <w:sz w:val="16"/>
                <w:szCs w:val="16"/>
              </w:rPr>
            </w:pPr>
            <w:r>
              <w:rPr>
                <w:rFonts w:ascii="Times New Roman"/>
                <w:spacing w:val="-1"/>
                <w:sz w:val="16"/>
              </w:rPr>
              <w:t>11,861,278.00</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58"/>
              <w:jc w:val="right"/>
              <w:rPr>
                <w:rFonts w:ascii="Times New Roman" w:hAnsi="Times New Roman" w:cs="Times New Roman" w:eastAsia="Times New Roman" w:hint="default"/>
                <w:sz w:val="16"/>
                <w:szCs w:val="16"/>
              </w:rPr>
            </w:pPr>
            <w:r>
              <w:rPr>
                <w:rFonts w:ascii="Times New Roman"/>
                <w:spacing w:val="-1"/>
                <w:sz w:val="16"/>
              </w:rPr>
              <w:t>11,861,278.00</w:t>
            </w:r>
          </w:p>
        </w:tc>
        <w:tc>
          <w:tcPr>
            <w:tcW w:w="808"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06"/>
              <w:jc w:val="right"/>
              <w:rPr>
                <w:rFonts w:ascii="Times New Roman" w:hAnsi="Times New Roman" w:cs="Times New Roman" w:eastAsia="Times New Roman" w:hint="default"/>
                <w:sz w:val="16"/>
                <w:szCs w:val="16"/>
              </w:rPr>
            </w:pPr>
            <w:r>
              <w:rPr>
                <w:rFonts w:ascii="Times New Roman"/>
                <w:spacing w:val="-1"/>
                <w:sz w:val="16"/>
              </w:rPr>
              <w:t>100.00</w:t>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3"/>
              <w:jc w:val="right"/>
              <w:rPr>
                <w:rFonts w:ascii="宋体" w:hAnsi="宋体" w:cs="宋体" w:eastAsia="宋体" w:hint="default"/>
                <w:sz w:val="16"/>
                <w:szCs w:val="16"/>
              </w:rPr>
            </w:pPr>
            <w:r>
              <w:rPr>
                <w:rFonts w:ascii="宋体" w:hAnsi="宋体" w:cs="宋体" w:eastAsia="宋体" w:hint="default"/>
                <w:w w:val="95"/>
                <w:sz w:val="16"/>
                <w:szCs w:val="16"/>
              </w:rPr>
              <w:t>收回可能性极小</w:t>
            </w:r>
            <w:r>
              <w:rPr>
                <w:rFonts w:ascii="宋体" w:hAnsi="宋体" w:cs="宋体" w:eastAsia="宋体" w:hint="default"/>
                <w:sz w:val="16"/>
                <w:szCs w:val="16"/>
              </w:rPr>
            </w:r>
          </w:p>
        </w:tc>
      </w:tr>
      <w:tr>
        <w:trPr>
          <w:trHeight w:val="349" w:hRule="exact"/>
        </w:trPr>
        <w:tc>
          <w:tcPr>
            <w:tcW w:w="2871" w:type="dxa"/>
            <w:tcBorders>
              <w:top w:val="nil" w:sz="6" w:space="0" w:color="auto"/>
              <w:left w:val="nil" w:sz="6" w:space="0" w:color="auto"/>
              <w:bottom w:val="nil" w:sz="6" w:space="0" w:color="auto"/>
              <w:right w:val="nil" w:sz="6" w:space="0" w:color="auto"/>
            </w:tcBorders>
          </w:tcPr>
          <w:p>
            <w:pPr>
              <w:pStyle w:val="TableParagraph"/>
              <w:spacing w:line="240" w:lineRule="auto" w:before="80"/>
              <w:ind w:left="35" w:right="0"/>
              <w:jc w:val="left"/>
              <w:rPr>
                <w:rFonts w:ascii="Times New Roman" w:hAnsi="Times New Roman" w:cs="Times New Roman" w:eastAsia="Times New Roman" w:hint="default"/>
                <w:sz w:val="16"/>
                <w:szCs w:val="16"/>
              </w:rPr>
            </w:pPr>
            <w:r>
              <w:rPr>
                <w:rFonts w:ascii="Times New Roman"/>
                <w:sz w:val="16"/>
              </w:rPr>
              <w:t>BigLots,Inc.</w:t>
            </w: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36"/>
              <w:jc w:val="right"/>
              <w:rPr>
                <w:rFonts w:ascii="Times New Roman" w:hAnsi="Times New Roman" w:cs="Times New Roman" w:eastAsia="Times New Roman" w:hint="default"/>
                <w:sz w:val="16"/>
                <w:szCs w:val="16"/>
              </w:rPr>
            </w:pPr>
            <w:r>
              <w:rPr>
                <w:rFonts w:ascii="Times New Roman"/>
                <w:spacing w:val="-1"/>
                <w:sz w:val="16"/>
              </w:rPr>
              <w:t>10,635,939.13</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57"/>
              <w:jc w:val="right"/>
              <w:rPr>
                <w:rFonts w:ascii="Times New Roman" w:hAnsi="Times New Roman" w:cs="Times New Roman" w:eastAsia="Times New Roman" w:hint="default"/>
                <w:sz w:val="16"/>
                <w:szCs w:val="16"/>
              </w:rPr>
            </w:pPr>
            <w:r>
              <w:rPr>
                <w:rFonts w:ascii="Times New Roman"/>
                <w:spacing w:val="-1"/>
                <w:sz w:val="16"/>
              </w:rPr>
              <w:t>10,635,939.13</w:t>
            </w:r>
          </w:p>
        </w:tc>
        <w:tc>
          <w:tcPr>
            <w:tcW w:w="80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5"/>
              <w:jc w:val="right"/>
              <w:rPr>
                <w:rFonts w:ascii="Times New Roman" w:hAnsi="Times New Roman" w:cs="Times New Roman" w:eastAsia="Times New Roman" w:hint="default"/>
                <w:sz w:val="16"/>
                <w:szCs w:val="16"/>
              </w:rPr>
            </w:pPr>
            <w:r>
              <w:rPr>
                <w:rFonts w:ascii="Times New Roman"/>
                <w:spacing w:val="-1"/>
                <w:sz w:val="16"/>
              </w:rPr>
              <w:t>100.00</w:t>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3"/>
              <w:jc w:val="right"/>
              <w:rPr>
                <w:rFonts w:ascii="宋体" w:hAnsi="宋体" w:cs="宋体" w:eastAsia="宋体" w:hint="default"/>
                <w:sz w:val="16"/>
                <w:szCs w:val="16"/>
              </w:rPr>
            </w:pPr>
            <w:r>
              <w:rPr>
                <w:rFonts w:ascii="宋体" w:hAnsi="宋体" w:cs="宋体" w:eastAsia="宋体" w:hint="default"/>
                <w:w w:val="95"/>
                <w:sz w:val="16"/>
                <w:szCs w:val="16"/>
              </w:rPr>
              <w:t>收回可能性极小</w:t>
            </w:r>
            <w:r>
              <w:rPr>
                <w:rFonts w:ascii="宋体" w:hAnsi="宋体" w:cs="宋体" w:eastAsia="宋体" w:hint="default"/>
                <w:sz w:val="16"/>
                <w:szCs w:val="16"/>
              </w:rPr>
            </w:r>
          </w:p>
        </w:tc>
      </w:tr>
      <w:tr>
        <w:trPr>
          <w:trHeight w:val="349" w:hRule="exact"/>
        </w:trPr>
        <w:tc>
          <w:tcPr>
            <w:tcW w:w="287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宋体" w:hAnsi="宋体" w:cs="宋体" w:eastAsia="宋体" w:hint="default"/>
                <w:sz w:val="16"/>
                <w:szCs w:val="16"/>
              </w:rPr>
            </w:pPr>
            <w:r>
              <w:rPr>
                <w:rFonts w:ascii="宋体" w:hAnsi="宋体" w:cs="宋体" w:eastAsia="宋体" w:hint="default"/>
                <w:sz w:val="16"/>
                <w:szCs w:val="16"/>
              </w:rPr>
              <w:t>深圳市广鑫融进出口贸易有限公司</w:t>
            </w: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37"/>
              <w:jc w:val="right"/>
              <w:rPr>
                <w:rFonts w:ascii="Times New Roman" w:hAnsi="Times New Roman" w:cs="Times New Roman" w:eastAsia="Times New Roman" w:hint="default"/>
                <w:sz w:val="16"/>
                <w:szCs w:val="16"/>
              </w:rPr>
            </w:pPr>
            <w:r>
              <w:rPr>
                <w:rFonts w:ascii="Times New Roman"/>
                <w:spacing w:val="-1"/>
                <w:sz w:val="16"/>
              </w:rPr>
              <w:t>6,288,540.00</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58"/>
              <w:jc w:val="right"/>
              <w:rPr>
                <w:rFonts w:ascii="Times New Roman" w:hAnsi="Times New Roman" w:cs="Times New Roman" w:eastAsia="Times New Roman" w:hint="default"/>
                <w:sz w:val="16"/>
                <w:szCs w:val="16"/>
              </w:rPr>
            </w:pPr>
            <w:r>
              <w:rPr>
                <w:rFonts w:ascii="Times New Roman"/>
                <w:spacing w:val="-1"/>
                <w:sz w:val="16"/>
              </w:rPr>
              <w:t>6,288,540.00</w:t>
            </w:r>
          </w:p>
        </w:tc>
        <w:tc>
          <w:tcPr>
            <w:tcW w:w="80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6"/>
              <w:jc w:val="right"/>
              <w:rPr>
                <w:rFonts w:ascii="Times New Roman" w:hAnsi="Times New Roman" w:cs="Times New Roman" w:eastAsia="Times New Roman" w:hint="default"/>
                <w:sz w:val="16"/>
                <w:szCs w:val="16"/>
              </w:rPr>
            </w:pPr>
            <w:r>
              <w:rPr>
                <w:rFonts w:ascii="Times New Roman"/>
                <w:spacing w:val="-1"/>
                <w:sz w:val="16"/>
              </w:rPr>
              <w:t>100.00</w:t>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3"/>
              <w:jc w:val="right"/>
              <w:rPr>
                <w:rFonts w:ascii="宋体" w:hAnsi="宋体" w:cs="宋体" w:eastAsia="宋体" w:hint="default"/>
                <w:sz w:val="16"/>
                <w:szCs w:val="16"/>
              </w:rPr>
            </w:pPr>
            <w:r>
              <w:rPr>
                <w:rFonts w:ascii="宋体" w:hAnsi="宋体" w:cs="宋体" w:eastAsia="宋体" w:hint="default"/>
                <w:w w:val="95"/>
                <w:sz w:val="16"/>
                <w:szCs w:val="16"/>
              </w:rPr>
              <w:t>收回可能性极小</w:t>
            </w:r>
            <w:r>
              <w:rPr>
                <w:rFonts w:ascii="宋体" w:hAnsi="宋体" w:cs="宋体" w:eastAsia="宋体" w:hint="default"/>
                <w:sz w:val="16"/>
                <w:szCs w:val="16"/>
              </w:rPr>
            </w:r>
          </w:p>
        </w:tc>
      </w:tr>
      <w:tr>
        <w:trPr>
          <w:trHeight w:val="349" w:hRule="exact"/>
        </w:trPr>
        <w:tc>
          <w:tcPr>
            <w:tcW w:w="2871"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Times New Roman" w:hAnsi="Times New Roman" w:cs="Times New Roman" w:eastAsia="Times New Roman" w:hint="default"/>
                <w:sz w:val="16"/>
                <w:szCs w:val="16"/>
              </w:rPr>
            </w:pPr>
            <w:r>
              <w:rPr>
                <w:rFonts w:ascii="Times New Roman"/>
                <w:sz w:val="16"/>
              </w:rPr>
              <w:t>DiablotekInternationalInc.</w:t>
            </w: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34"/>
              <w:jc w:val="right"/>
              <w:rPr>
                <w:rFonts w:ascii="Times New Roman" w:hAnsi="Times New Roman" w:cs="Times New Roman" w:eastAsia="Times New Roman" w:hint="default"/>
                <w:sz w:val="16"/>
                <w:szCs w:val="16"/>
              </w:rPr>
            </w:pPr>
            <w:r>
              <w:rPr>
                <w:rFonts w:ascii="Times New Roman"/>
                <w:spacing w:val="-1"/>
                <w:sz w:val="16"/>
              </w:rPr>
              <w:t>4,661,728.33</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56"/>
              <w:jc w:val="right"/>
              <w:rPr>
                <w:rFonts w:ascii="Times New Roman" w:hAnsi="Times New Roman" w:cs="Times New Roman" w:eastAsia="Times New Roman" w:hint="default"/>
                <w:sz w:val="16"/>
                <w:szCs w:val="16"/>
              </w:rPr>
            </w:pPr>
            <w:r>
              <w:rPr>
                <w:rFonts w:ascii="Times New Roman"/>
                <w:spacing w:val="-1"/>
                <w:sz w:val="16"/>
              </w:rPr>
              <w:t>4,661,728.33</w:t>
            </w:r>
          </w:p>
        </w:tc>
        <w:tc>
          <w:tcPr>
            <w:tcW w:w="808"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4"/>
              <w:jc w:val="right"/>
              <w:rPr>
                <w:rFonts w:ascii="Times New Roman" w:hAnsi="Times New Roman" w:cs="Times New Roman" w:eastAsia="Times New Roman" w:hint="default"/>
                <w:sz w:val="16"/>
                <w:szCs w:val="16"/>
              </w:rPr>
            </w:pPr>
            <w:r>
              <w:rPr>
                <w:rFonts w:ascii="Times New Roman"/>
                <w:spacing w:val="-1"/>
                <w:sz w:val="16"/>
              </w:rPr>
              <w:t>100.00</w:t>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33"/>
              <w:jc w:val="right"/>
              <w:rPr>
                <w:rFonts w:ascii="宋体" w:hAnsi="宋体" w:cs="宋体" w:eastAsia="宋体" w:hint="default"/>
                <w:sz w:val="16"/>
                <w:szCs w:val="16"/>
              </w:rPr>
            </w:pPr>
            <w:r>
              <w:rPr>
                <w:rFonts w:ascii="宋体" w:hAnsi="宋体" w:cs="宋体" w:eastAsia="宋体" w:hint="default"/>
                <w:w w:val="95"/>
                <w:sz w:val="16"/>
                <w:szCs w:val="16"/>
              </w:rPr>
              <w:t>收回可能性极小</w:t>
            </w:r>
            <w:r>
              <w:rPr>
                <w:rFonts w:ascii="宋体" w:hAnsi="宋体" w:cs="宋体" w:eastAsia="宋体" w:hint="default"/>
                <w:sz w:val="16"/>
                <w:szCs w:val="16"/>
              </w:rPr>
            </w:r>
          </w:p>
        </w:tc>
      </w:tr>
      <w:tr>
        <w:trPr>
          <w:trHeight w:val="349" w:hRule="exact"/>
        </w:trPr>
        <w:tc>
          <w:tcPr>
            <w:tcW w:w="2871" w:type="dxa"/>
            <w:tcBorders>
              <w:top w:val="nil" w:sz="6" w:space="0" w:color="auto"/>
              <w:left w:val="nil" w:sz="6" w:space="0" w:color="auto"/>
              <w:bottom w:val="nil" w:sz="6" w:space="0" w:color="auto"/>
              <w:right w:val="nil" w:sz="6" w:space="0" w:color="auto"/>
            </w:tcBorders>
          </w:tcPr>
          <w:p>
            <w:pPr>
              <w:pStyle w:val="TableParagraph"/>
              <w:spacing w:line="240" w:lineRule="auto" w:before="80"/>
              <w:ind w:left="35" w:right="0"/>
              <w:jc w:val="left"/>
              <w:rPr>
                <w:rFonts w:ascii="Times New Roman" w:hAnsi="Times New Roman" w:cs="Times New Roman" w:eastAsia="Times New Roman" w:hint="default"/>
                <w:sz w:val="16"/>
                <w:szCs w:val="16"/>
              </w:rPr>
            </w:pPr>
            <w:r>
              <w:rPr>
                <w:rFonts w:ascii="Times New Roman"/>
                <w:sz w:val="16"/>
              </w:rPr>
              <w:t>BestBuyCompanyInc.</w:t>
            </w: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36"/>
              <w:jc w:val="right"/>
              <w:rPr>
                <w:rFonts w:ascii="Times New Roman" w:hAnsi="Times New Roman" w:cs="Times New Roman" w:eastAsia="Times New Roman" w:hint="default"/>
                <w:sz w:val="16"/>
                <w:szCs w:val="16"/>
              </w:rPr>
            </w:pPr>
            <w:r>
              <w:rPr>
                <w:rFonts w:ascii="Times New Roman"/>
                <w:spacing w:val="-1"/>
                <w:sz w:val="16"/>
              </w:rPr>
              <w:t>2,647,789.62</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57"/>
              <w:jc w:val="right"/>
              <w:rPr>
                <w:rFonts w:ascii="Times New Roman" w:hAnsi="Times New Roman" w:cs="Times New Roman" w:eastAsia="Times New Roman" w:hint="default"/>
                <w:sz w:val="16"/>
                <w:szCs w:val="16"/>
              </w:rPr>
            </w:pPr>
            <w:r>
              <w:rPr>
                <w:rFonts w:ascii="Times New Roman"/>
                <w:spacing w:val="-1"/>
                <w:sz w:val="16"/>
              </w:rPr>
              <w:t>2,647,789.62</w:t>
            </w:r>
          </w:p>
        </w:tc>
        <w:tc>
          <w:tcPr>
            <w:tcW w:w="80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5"/>
              <w:jc w:val="right"/>
              <w:rPr>
                <w:rFonts w:ascii="Times New Roman" w:hAnsi="Times New Roman" w:cs="Times New Roman" w:eastAsia="Times New Roman" w:hint="default"/>
                <w:sz w:val="16"/>
                <w:szCs w:val="16"/>
              </w:rPr>
            </w:pPr>
            <w:r>
              <w:rPr>
                <w:rFonts w:ascii="Times New Roman"/>
                <w:spacing w:val="-1"/>
                <w:sz w:val="16"/>
              </w:rPr>
              <w:t>100.00</w:t>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33"/>
              <w:jc w:val="right"/>
              <w:rPr>
                <w:rFonts w:ascii="宋体" w:hAnsi="宋体" w:cs="宋体" w:eastAsia="宋体" w:hint="default"/>
                <w:sz w:val="16"/>
                <w:szCs w:val="16"/>
              </w:rPr>
            </w:pPr>
            <w:r>
              <w:rPr>
                <w:rFonts w:ascii="宋体" w:hAnsi="宋体" w:cs="宋体" w:eastAsia="宋体" w:hint="default"/>
                <w:w w:val="95"/>
                <w:sz w:val="16"/>
                <w:szCs w:val="16"/>
              </w:rPr>
              <w:t>收回可能性极小</w:t>
            </w:r>
            <w:r>
              <w:rPr>
                <w:rFonts w:ascii="宋体" w:hAnsi="宋体" w:cs="宋体" w:eastAsia="宋体" w:hint="default"/>
                <w:sz w:val="16"/>
                <w:szCs w:val="16"/>
              </w:rPr>
            </w:r>
          </w:p>
        </w:tc>
      </w:tr>
      <w:tr>
        <w:trPr>
          <w:trHeight w:val="349" w:hRule="exact"/>
        </w:trPr>
        <w:tc>
          <w:tcPr>
            <w:tcW w:w="2871" w:type="dxa"/>
            <w:tcBorders>
              <w:top w:val="nil" w:sz="6" w:space="0" w:color="auto"/>
              <w:left w:val="nil" w:sz="6" w:space="0" w:color="auto"/>
              <w:bottom w:val="nil" w:sz="6" w:space="0" w:color="auto"/>
              <w:right w:val="nil" w:sz="6" w:space="0" w:color="auto"/>
            </w:tcBorders>
          </w:tcPr>
          <w:p>
            <w:pPr>
              <w:pStyle w:val="TableParagraph"/>
              <w:spacing w:line="240" w:lineRule="auto" w:before="80"/>
              <w:ind w:left="35" w:right="0"/>
              <w:jc w:val="left"/>
              <w:rPr>
                <w:rFonts w:ascii="Times New Roman" w:hAnsi="Times New Roman" w:cs="Times New Roman" w:eastAsia="Times New Roman" w:hint="default"/>
                <w:sz w:val="16"/>
                <w:szCs w:val="16"/>
              </w:rPr>
            </w:pPr>
            <w:r>
              <w:rPr>
                <w:rFonts w:ascii="Times New Roman"/>
                <w:sz w:val="16"/>
              </w:rPr>
              <w:t>PROCOMPRODUCTSINC</w:t>
            </w: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36"/>
              <w:jc w:val="right"/>
              <w:rPr>
                <w:rFonts w:ascii="Times New Roman" w:hAnsi="Times New Roman" w:cs="Times New Roman" w:eastAsia="Times New Roman" w:hint="default"/>
                <w:sz w:val="16"/>
                <w:szCs w:val="16"/>
              </w:rPr>
            </w:pPr>
            <w:r>
              <w:rPr>
                <w:rFonts w:ascii="Times New Roman"/>
                <w:spacing w:val="-1"/>
                <w:sz w:val="16"/>
              </w:rPr>
              <w:t>2,400,019.86</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57"/>
              <w:jc w:val="right"/>
              <w:rPr>
                <w:rFonts w:ascii="Times New Roman" w:hAnsi="Times New Roman" w:cs="Times New Roman" w:eastAsia="Times New Roman" w:hint="default"/>
                <w:sz w:val="16"/>
                <w:szCs w:val="16"/>
              </w:rPr>
            </w:pPr>
            <w:r>
              <w:rPr>
                <w:rFonts w:ascii="Times New Roman"/>
                <w:spacing w:val="-1"/>
                <w:sz w:val="16"/>
              </w:rPr>
              <w:t>2,400,019.86</w:t>
            </w:r>
          </w:p>
        </w:tc>
        <w:tc>
          <w:tcPr>
            <w:tcW w:w="80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6"/>
              <w:jc w:val="right"/>
              <w:rPr>
                <w:rFonts w:ascii="Times New Roman" w:hAnsi="Times New Roman" w:cs="Times New Roman" w:eastAsia="Times New Roman" w:hint="default"/>
                <w:sz w:val="16"/>
                <w:szCs w:val="16"/>
              </w:rPr>
            </w:pPr>
            <w:r>
              <w:rPr>
                <w:rFonts w:ascii="Times New Roman"/>
                <w:spacing w:val="-1"/>
                <w:sz w:val="16"/>
              </w:rPr>
              <w:t>100.00</w:t>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3"/>
              <w:jc w:val="right"/>
              <w:rPr>
                <w:rFonts w:ascii="宋体" w:hAnsi="宋体" w:cs="宋体" w:eastAsia="宋体" w:hint="default"/>
                <w:sz w:val="16"/>
                <w:szCs w:val="16"/>
              </w:rPr>
            </w:pPr>
            <w:r>
              <w:rPr>
                <w:rFonts w:ascii="宋体" w:hAnsi="宋体" w:cs="宋体" w:eastAsia="宋体" w:hint="default"/>
                <w:w w:val="95"/>
                <w:sz w:val="16"/>
                <w:szCs w:val="16"/>
              </w:rPr>
              <w:t>收回可能性极小</w:t>
            </w:r>
            <w:r>
              <w:rPr>
                <w:rFonts w:ascii="宋体" w:hAnsi="宋体" w:cs="宋体" w:eastAsia="宋体" w:hint="default"/>
                <w:sz w:val="16"/>
                <w:szCs w:val="16"/>
              </w:rPr>
            </w:r>
          </w:p>
        </w:tc>
      </w:tr>
      <w:tr>
        <w:trPr>
          <w:trHeight w:val="361" w:hRule="exact"/>
        </w:trPr>
        <w:tc>
          <w:tcPr>
            <w:tcW w:w="287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29"/>
              <w:jc w:val="center"/>
              <w:rPr>
                <w:rFonts w:ascii="宋体" w:hAnsi="宋体" w:cs="宋体" w:eastAsia="宋体" w:hint="default"/>
                <w:sz w:val="16"/>
                <w:szCs w:val="16"/>
              </w:rPr>
            </w:pPr>
            <w:r>
              <w:rPr>
                <w:rFonts w:ascii="宋体" w:hAnsi="宋体" w:cs="宋体" w:eastAsia="宋体" w:hint="default"/>
                <w:sz w:val="16"/>
                <w:szCs w:val="16"/>
              </w:rPr>
              <w:t>合计</w:t>
            </w: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37"/>
              <w:jc w:val="right"/>
              <w:rPr>
                <w:rFonts w:ascii="Times New Roman" w:hAnsi="Times New Roman" w:cs="Times New Roman" w:eastAsia="Times New Roman" w:hint="default"/>
                <w:sz w:val="16"/>
                <w:szCs w:val="16"/>
              </w:rPr>
            </w:pPr>
            <w:r>
              <w:rPr>
                <w:rFonts w:ascii="Times New Roman"/>
                <w:spacing w:val="-1"/>
                <w:sz w:val="16"/>
              </w:rPr>
              <w:t>38,495,294.94</w:t>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58"/>
              <w:jc w:val="right"/>
              <w:rPr>
                <w:rFonts w:ascii="Times New Roman" w:hAnsi="Times New Roman" w:cs="Times New Roman" w:eastAsia="Times New Roman" w:hint="default"/>
                <w:sz w:val="16"/>
                <w:szCs w:val="16"/>
              </w:rPr>
            </w:pPr>
            <w:r>
              <w:rPr>
                <w:rFonts w:ascii="Times New Roman"/>
                <w:spacing w:val="-1"/>
                <w:sz w:val="16"/>
              </w:rPr>
              <w:t>38,495,294.94</w:t>
            </w:r>
          </w:p>
        </w:tc>
        <w:tc>
          <w:tcPr>
            <w:tcW w:w="808" w:type="dxa"/>
            <w:tcBorders>
              <w:top w:val="nil" w:sz="6" w:space="0" w:color="auto"/>
              <w:left w:val="nil" w:sz="6" w:space="0" w:color="auto"/>
              <w:bottom w:val="nil" w:sz="6" w:space="0" w:color="auto"/>
              <w:right w:val="nil" w:sz="6" w:space="0" w:color="auto"/>
            </w:tcBorders>
          </w:tcPr>
          <w:p>
            <w:pPr/>
          </w:p>
        </w:tc>
        <w:tc>
          <w:tcPr>
            <w:tcW w:w="1260"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7"/>
          <w:szCs w:val="17"/>
        </w:rPr>
      </w:pPr>
    </w:p>
    <w:tbl>
      <w:tblPr>
        <w:tblW w:w="0" w:type="auto"/>
        <w:jc w:val="left"/>
        <w:tblInd w:w="749" w:type="dxa"/>
        <w:tblLayout w:type="fixed"/>
        <w:tblCellMar>
          <w:top w:w="0" w:type="dxa"/>
          <w:left w:w="0" w:type="dxa"/>
          <w:bottom w:w="0" w:type="dxa"/>
          <w:right w:w="0" w:type="dxa"/>
        </w:tblCellMar>
        <w:tblLook w:val="01E0"/>
      </w:tblPr>
      <w:tblGrid>
        <w:gridCol w:w="5318"/>
        <w:gridCol w:w="1624"/>
        <w:gridCol w:w="1246"/>
      </w:tblGrid>
      <w:tr>
        <w:trPr>
          <w:trHeight w:val="357" w:hRule="exact"/>
        </w:trPr>
        <w:tc>
          <w:tcPr>
            <w:tcW w:w="5318"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right="242"/>
              <w:jc w:val="right"/>
              <w:rPr>
                <w:rFonts w:ascii="宋体" w:hAnsi="宋体" w:cs="宋体" w:eastAsia="宋体" w:hint="default"/>
                <w:sz w:val="21"/>
                <w:szCs w:val="21"/>
              </w:rPr>
            </w:pPr>
            <w:r>
              <w:rPr>
                <w:rFonts w:ascii="宋体" w:hAnsi="宋体" w:cs="宋体" w:eastAsia="宋体" w:hint="default"/>
                <w:sz w:val="21"/>
                <w:szCs w:val="21"/>
              </w:rPr>
              <w:t>组合中，按账龄分析法计提坏账准备的应收账款</w:t>
            </w:r>
          </w:p>
        </w:tc>
        <w:tc>
          <w:tcPr>
            <w:tcW w:w="1624" w:type="dxa"/>
            <w:tcBorders>
              <w:top w:val="nil" w:sz="6" w:space="0" w:color="auto"/>
              <w:left w:val="nil" w:sz="6" w:space="0" w:color="auto"/>
              <w:bottom w:val="single" w:sz="12" w:space="0" w:color="000000"/>
              <w:right w:val="nil" w:sz="6" w:space="0" w:color="auto"/>
            </w:tcBorders>
          </w:tcPr>
          <w:p>
            <w:pPr/>
          </w:p>
        </w:tc>
        <w:tc>
          <w:tcPr>
            <w:tcW w:w="1246" w:type="dxa"/>
            <w:vMerge w:val="restart"/>
            <w:tcBorders>
              <w:top w:val="nil" w:sz="6" w:space="0" w:color="auto"/>
              <w:left w:val="nil" w:sz="6" w:space="0" w:color="auto"/>
              <w:right w:val="nil" w:sz="6" w:space="0" w:color="auto"/>
            </w:tcBorders>
          </w:tcPr>
          <w:p>
            <w:pPr/>
          </w:p>
        </w:tc>
      </w:tr>
      <w:tr>
        <w:trPr>
          <w:trHeight w:val="451" w:hRule="exact"/>
        </w:trPr>
        <w:tc>
          <w:tcPr>
            <w:tcW w:w="5318"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1502" w:right="0"/>
              <w:jc w:val="left"/>
              <w:rPr>
                <w:rFonts w:ascii="宋体" w:hAnsi="宋体" w:cs="宋体" w:eastAsia="宋体" w:hint="default"/>
                <w:sz w:val="16"/>
                <w:szCs w:val="16"/>
              </w:rPr>
            </w:pPr>
            <w:r>
              <w:rPr>
                <w:rFonts w:ascii="宋体" w:hAnsi="宋体" w:cs="宋体" w:eastAsia="宋体" w:hint="default"/>
                <w:sz w:val="16"/>
                <w:szCs w:val="16"/>
              </w:rPr>
              <w:t>账龄</w:t>
            </w:r>
          </w:p>
        </w:tc>
        <w:tc>
          <w:tcPr>
            <w:tcW w:w="1624"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118" w:right="0"/>
              <w:jc w:val="left"/>
              <w:rPr>
                <w:rFonts w:ascii="宋体" w:hAnsi="宋体" w:cs="宋体" w:eastAsia="宋体" w:hint="default"/>
                <w:sz w:val="16"/>
                <w:szCs w:val="16"/>
              </w:rPr>
            </w:pPr>
            <w:r>
              <w:rPr>
                <w:rFonts w:ascii="宋体" w:hAnsi="宋体" w:cs="宋体" w:eastAsia="宋体" w:hint="default"/>
                <w:sz w:val="16"/>
                <w:szCs w:val="16"/>
              </w:rPr>
              <w:t>期末余额</w:t>
            </w:r>
          </w:p>
        </w:tc>
        <w:tc>
          <w:tcPr>
            <w:tcW w:w="1246" w:type="dxa"/>
            <w:vMerge/>
            <w:tcBorders>
              <w:left w:val="nil" w:sz="6" w:space="0" w:color="auto"/>
              <w:bottom w:val="nil" w:sz="6" w:space="0" w:color="auto"/>
              <w:right w:val="nil" w:sz="6" w:space="0" w:color="auto"/>
            </w:tcBorders>
          </w:tcPr>
          <w:p>
            <w:pPr/>
          </w:p>
        </w:tc>
      </w:tr>
      <w:tr>
        <w:trPr>
          <w:trHeight w:val="269" w:hRule="exact"/>
        </w:trPr>
        <w:tc>
          <w:tcPr>
            <w:tcW w:w="5318" w:type="dxa"/>
            <w:tcBorders>
              <w:top w:val="nil" w:sz="6" w:space="0" w:color="auto"/>
              <w:left w:val="nil" w:sz="6" w:space="0" w:color="auto"/>
              <w:bottom w:val="nil" w:sz="6" w:space="0" w:color="auto"/>
              <w:right w:val="nil" w:sz="6" w:space="0" w:color="auto"/>
            </w:tcBorders>
          </w:tcPr>
          <w:p>
            <w:pPr>
              <w:pStyle w:val="TableParagraph"/>
              <w:spacing w:line="168" w:lineRule="exact"/>
              <w:ind w:right="682"/>
              <w:jc w:val="right"/>
              <w:rPr>
                <w:rFonts w:ascii="宋体" w:hAnsi="宋体" w:cs="宋体" w:eastAsia="宋体" w:hint="default"/>
                <w:sz w:val="16"/>
                <w:szCs w:val="16"/>
              </w:rPr>
            </w:pPr>
            <w:r>
              <w:rPr>
                <w:rFonts w:ascii="宋体" w:hAnsi="宋体" w:cs="宋体" w:eastAsia="宋体" w:hint="default"/>
                <w:w w:val="95"/>
                <w:sz w:val="16"/>
                <w:szCs w:val="16"/>
              </w:rPr>
              <w:t>应收账款</w:t>
            </w:r>
            <w:r>
              <w:rPr>
                <w:rFonts w:ascii="宋体" w:hAnsi="宋体" w:cs="宋体" w:eastAsia="宋体" w:hint="default"/>
                <w:sz w:val="16"/>
                <w:szCs w:val="16"/>
              </w:rPr>
            </w:r>
          </w:p>
        </w:tc>
        <w:tc>
          <w:tcPr>
            <w:tcW w:w="1624" w:type="dxa"/>
            <w:tcBorders>
              <w:top w:val="nil" w:sz="6" w:space="0" w:color="auto"/>
              <w:left w:val="nil" w:sz="6" w:space="0" w:color="auto"/>
              <w:bottom w:val="nil" w:sz="6" w:space="0" w:color="auto"/>
              <w:right w:val="nil" w:sz="6" w:space="0" w:color="auto"/>
            </w:tcBorders>
          </w:tcPr>
          <w:p>
            <w:pPr>
              <w:pStyle w:val="TableParagraph"/>
              <w:spacing w:line="168" w:lineRule="exact"/>
              <w:ind w:left="485" w:right="0"/>
              <w:jc w:val="left"/>
              <w:rPr>
                <w:rFonts w:ascii="宋体" w:hAnsi="宋体" w:cs="宋体" w:eastAsia="宋体" w:hint="default"/>
                <w:sz w:val="16"/>
                <w:szCs w:val="16"/>
              </w:rPr>
            </w:pPr>
            <w:r>
              <w:rPr>
                <w:rFonts w:ascii="宋体" w:hAnsi="宋体" w:cs="宋体" w:eastAsia="宋体" w:hint="default"/>
                <w:sz w:val="16"/>
                <w:szCs w:val="16"/>
              </w:rPr>
              <w:t>坏账准备</w:t>
            </w:r>
          </w:p>
        </w:tc>
        <w:tc>
          <w:tcPr>
            <w:tcW w:w="1246" w:type="dxa"/>
            <w:tcBorders>
              <w:top w:val="nil" w:sz="6" w:space="0" w:color="auto"/>
              <w:left w:val="nil" w:sz="6" w:space="0" w:color="auto"/>
              <w:bottom w:val="nil" w:sz="6" w:space="0" w:color="auto"/>
              <w:right w:val="nil" w:sz="6" w:space="0" w:color="auto"/>
            </w:tcBorders>
          </w:tcPr>
          <w:p>
            <w:pPr>
              <w:pStyle w:val="TableParagraph"/>
              <w:spacing w:line="180" w:lineRule="exact"/>
              <w:ind w:right="44"/>
              <w:jc w:val="right"/>
              <w:rPr>
                <w:rFonts w:ascii="宋体" w:hAnsi="宋体" w:cs="宋体" w:eastAsia="宋体" w:hint="default"/>
                <w:sz w:val="16"/>
                <w:szCs w:val="16"/>
              </w:rPr>
            </w:pPr>
            <w:r>
              <w:rPr>
                <w:rFonts w:ascii="宋体" w:hAnsi="宋体" w:cs="宋体" w:eastAsia="宋体" w:hint="default"/>
                <w:w w:val="95"/>
                <w:sz w:val="16"/>
                <w:szCs w:val="16"/>
              </w:rPr>
              <w:t>计提比例（</w:t>
            </w:r>
            <w:r>
              <w:rPr>
                <w:rFonts w:ascii="Times New Roman" w:hAnsi="Times New Roman" w:cs="Times New Roman" w:eastAsia="Times New Roman" w:hint="default"/>
                <w:w w:val="95"/>
                <w:sz w:val="16"/>
                <w:szCs w:val="16"/>
              </w:rPr>
              <w:t>%</w:t>
            </w:r>
            <w:r>
              <w:rPr>
                <w:rFonts w:ascii="宋体" w:hAnsi="宋体" w:cs="宋体" w:eastAsia="宋体" w:hint="default"/>
                <w:w w:val="95"/>
                <w:sz w:val="16"/>
                <w:szCs w:val="16"/>
              </w:rPr>
              <w:t>）</w:t>
            </w:r>
            <w:r>
              <w:rPr>
                <w:rFonts w:ascii="宋体" w:hAnsi="宋体" w:cs="宋体" w:eastAsia="宋体" w:hint="default"/>
                <w:sz w:val="16"/>
                <w:szCs w:val="16"/>
              </w:rPr>
            </w:r>
          </w:p>
        </w:tc>
      </w:tr>
      <w:tr>
        <w:trPr>
          <w:trHeight w:val="356" w:hRule="exact"/>
        </w:trPr>
        <w:tc>
          <w:tcPr>
            <w:tcW w:w="5318" w:type="dxa"/>
            <w:tcBorders>
              <w:top w:val="nil" w:sz="6" w:space="0" w:color="auto"/>
              <w:left w:val="nil" w:sz="6" w:space="0" w:color="auto"/>
              <w:bottom w:val="nil" w:sz="6" w:space="0" w:color="auto"/>
              <w:right w:val="nil" w:sz="6" w:space="0" w:color="auto"/>
            </w:tcBorders>
          </w:tcPr>
          <w:p>
            <w:pPr>
              <w:pStyle w:val="TableParagraph"/>
              <w:tabs>
                <w:tab w:pos="4277" w:val="left" w:leader="none"/>
              </w:tabs>
              <w:spacing w:line="240" w:lineRule="auto" w:before="38"/>
              <w:ind w:left="107" w:right="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position w:val="1"/>
                <w:sz w:val="16"/>
                <w:szCs w:val="16"/>
              </w:rPr>
              <w:t>1</w:t>
            </w:r>
            <w:r>
              <w:rPr>
                <w:rFonts w:ascii="Times New Roman" w:hAnsi="Times New Roman" w:cs="Times New Roman" w:eastAsia="Times New Roman" w:hint="default"/>
                <w:spacing w:val="-2"/>
                <w:position w:val="1"/>
                <w:sz w:val="16"/>
                <w:szCs w:val="16"/>
              </w:rPr>
              <w:t> </w:t>
            </w:r>
            <w:r>
              <w:rPr>
                <w:rFonts w:ascii="宋体" w:hAnsi="宋体" w:cs="宋体" w:eastAsia="宋体" w:hint="default"/>
                <w:position w:val="1"/>
                <w:sz w:val="16"/>
                <w:szCs w:val="16"/>
              </w:rPr>
              <w:t>年以内</w:t>
              <w:tab/>
            </w:r>
            <w:r>
              <w:rPr>
                <w:rFonts w:ascii="Times New Roman" w:hAnsi="Times New Roman" w:cs="Times New Roman" w:eastAsia="Times New Roman" w:hint="default"/>
                <w:sz w:val="16"/>
                <w:szCs w:val="16"/>
              </w:rPr>
              <w:t>17,365,614.64</w:t>
            </w:r>
          </w:p>
        </w:tc>
        <w:tc>
          <w:tcPr>
            <w:tcW w:w="1624"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5"/>
              <w:jc w:val="right"/>
              <w:rPr>
                <w:rFonts w:ascii="Times New Roman" w:hAnsi="Times New Roman" w:cs="Times New Roman" w:eastAsia="Times New Roman" w:hint="default"/>
                <w:sz w:val="16"/>
                <w:szCs w:val="16"/>
              </w:rPr>
            </w:pPr>
            <w:r>
              <w:rPr>
                <w:rFonts w:ascii="Times New Roman"/>
                <w:spacing w:val="-1"/>
                <w:sz w:val="16"/>
              </w:rPr>
              <w:t>868,280.73</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7"/>
              <w:jc w:val="right"/>
              <w:rPr>
                <w:rFonts w:ascii="Times New Roman" w:hAnsi="Times New Roman" w:cs="Times New Roman" w:eastAsia="Times New Roman" w:hint="default"/>
                <w:sz w:val="16"/>
                <w:szCs w:val="16"/>
              </w:rPr>
            </w:pPr>
            <w:r>
              <w:rPr>
                <w:rFonts w:ascii="Times New Roman"/>
                <w:spacing w:val="-1"/>
                <w:sz w:val="16"/>
              </w:rPr>
              <w:t>5.00</w:t>
            </w:r>
          </w:p>
        </w:tc>
      </w:tr>
      <w:tr>
        <w:trPr>
          <w:trHeight w:val="353" w:hRule="exact"/>
        </w:trPr>
        <w:tc>
          <w:tcPr>
            <w:tcW w:w="5318" w:type="dxa"/>
            <w:tcBorders>
              <w:top w:val="nil" w:sz="6" w:space="0" w:color="auto"/>
              <w:left w:val="nil" w:sz="6" w:space="0" w:color="auto"/>
              <w:bottom w:val="nil" w:sz="6" w:space="0" w:color="auto"/>
              <w:right w:val="nil" w:sz="6" w:space="0" w:color="auto"/>
            </w:tcBorders>
          </w:tcPr>
          <w:p>
            <w:pPr>
              <w:pStyle w:val="TableParagraph"/>
              <w:tabs>
                <w:tab w:pos="4358" w:val="left" w:leader="none"/>
              </w:tabs>
              <w:spacing w:line="240" w:lineRule="auto" w:before="45"/>
              <w:ind w:left="107" w:right="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至</w:t>
            </w:r>
            <w:r>
              <w:rPr>
                <w:rFonts w:ascii="宋体" w:hAnsi="宋体" w:cs="宋体" w:eastAsia="宋体" w:hint="default"/>
                <w:spacing w:val="-42"/>
                <w:sz w:val="16"/>
                <w:szCs w:val="16"/>
              </w:rPr>
              <w:t> </w:t>
            </w: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年</w:t>
              <w:tab/>
            </w:r>
            <w:r>
              <w:rPr>
                <w:rFonts w:ascii="Times New Roman" w:hAnsi="Times New Roman" w:cs="Times New Roman" w:eastAsia="Times New Roman" w:hint="default"/>
                <w:sz w:val="16"/>
                <w:szCs w:val="16"/>
              </w:rPr>
              <w:t>2,518,613.77</w:t>
            </w:r>
          </w:p>
        </w:tc>
        <w:tc>
          <w:tcPr>
            <w:tcW w:w="162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5"/>
              <w:jc w:val="right"/>
              <w:rPr>
                <w:rFonts w:ascii="Times New Roman" w:hAnsi="Times New Roman" w:cs="Times New Roman" w:eastAsia="Times New Roman" w:hint="default"/>
                <w:sz w:val="16"/>
                <w:szCs w:val="16"/>
              </w:rPr>
            </w:pPr>
            <w:r>
              <w:rPr>
                <w:rFonts w:ascii="Times New Roman"/>
                <w:spacing w:val="-1"/>
                <w:sz w:val="16"/>
              </w:rPr>
              <w:t>251,861.38</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5"/>
              <w:jc w:val="right"/>
              <w:rPr>
                <w:rFonts w:ascii="Times New Roman" w:hAnsi="Times New Roman" w:cs="Times New Roman" w:eastAsia="Times New Roman" w:hint="default"/>
                <w:sz w:val="16"/>
                <w:szCs w:val="16"/>
              </w:rPr>
            </w:pPr>
            <w:r>
              <w:rPr>
                <w:rFonts w:ascii="Times New Roman"/>
                <w:spacing w:val="-1"/>
                <w:sz w:val="16"/>
              </w:rPr>
              <w:t>10.00</w:t>
            </w:r>
          </w:p>
        </w:tc>
      </w:tr>
      <w:tr>
        <w:trPr>
          <w:trHeight w:val="353" w:hRule="exact"/>
        </w:trPr>
        <w:tc>
          <w:tcPr>
            <w:tcW w:w="5318" w:type="dxa"/>
            <w:tcBorders>
              <w:top w:val="nil" w:sz="6" w:space="0" w:color="auto"/>
              <w:left w:val="nil" w:sz="6" w:space="0" w:color="auto"/>
              <w:bottom w:val="nil" w:sz="6" w:space="0" w:color="auto"/>
              <w:right w:val="nil" w:sz="6" w:space="0" w:color="auto"/>
            </w:tcBorders>
          </w:tcPr>
          <w:p>
            <w:pPr>
              <w:pStyle w:val="TableParagraph"/>
              <w:tabs>
                <w:tab w:pos="4478" w:val="left" w:leader="none"/>
              </w:tabs>
              <w:spacing w:line="240" w:lineRule="auto" w:before="45"/>
              <w:ind w:left="107" w:right="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至</w:t>
            </w:r>
            <w:r>
              <w:rPr>
                <w:rFonts w:ascii="宋体" w:hAnsi="宋体" w:cs="宋体" w:eastAsia="宋体" w:hint="default"/>
                <w:spacing w:val="-42"/>
                <w:sz w:val="16"/>
                <w:szCs w:val="16"/>
              </w:rPr>
              <w:t> </w:t>
            </w:r>
            <w:r>
              <w:rPr>
                <w:rFonts w:ascii="Times New Roman" w:hAnsi="Times New Roman" w:cs="Times New Roman" w:eastAsia="Times New Roman" w:hint="default"/>
                <w:sz w:val="16"/>
                <w:szCs w:val="16"/>
              </w:rPr>
              <w:t>3</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年</w:t>
              <w:tab/>
            </w:r>
            <w:r>
              <w:rPr>
                <w:rFonts w:ascii="Times New Roman" w:hAnsi="Times New Roman" w:cs="Times New Roman" w:eastAsia="Times New Roman" w:hint="default"/>
                <w:sz w:val="16"/>
                <w:szCs w:val="16"/>
              </w:rPr>
              <w:t>617,152.18</w:t>
            </w:r>
          </w:p>
        </w:tc>
        <w:tc>
          <w:tcPr>
            <w:tcW w:w="162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6"/>
                <w:szCs w:val="16"/>
              </w:rPr>
            </w:pPr>
            <w:r>
              <w:rPr>
                <w:rFonts w:ascii="Times New Roman"/>
                <w:spacing w:val="-1"/>
                <w:sz w:val="16"/>
              </w:rPr>
              <w:t>185,145.65</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6"/>
                <w:szCs w:val="16"/>
              </w:rPr>
            </w:pPr>
            <w:r>
              <w:rPr>
                <w:rFonts w:ascii="Times New Roman"/>
                <w:spacing w:val="-1"/>
                <w:sz w:val="16"/>
              </w:rPr>
              <w:t>30.00</w:t>
            </w:r>
          </w:p>
        </w:tc>
      </w:tr>
      <w:tr>
        <w:trPr>
          <w:trHeight w:val="353" w:hRule="exact"/>
        </w:trPr>
        <w:tc>
          <w:tcPr>
            <w:tcW w:w="5318" w:type="dxa"/>
            <w:tcBorders>
              <w:top w:val="nil" w:sz="6" w:space="0" w:color="auto"/>
              <w:left w:val="nil" w:sz="6" w:space="0" w:color="auto"/>
              <w:bottom w:val="nil" w:sz="6" w:space="0" w:color="auto"/>
              <w:right w:val="nil" w:sz="6" w:space="0" w:color="auto"/>
            </w:tcBorders>
          </w:tcPr>
          <w:p>
            <w:pPr>
              <w:pStyle w:val="TableParagraph"/>
              <w:tabs>
                <w:tab w:pos="4478" w:val="left" w:leader="none"/>
              </w:tabs>
              <w:spacing w:line="240" w:lineRule="auto" w:before="45"/>
              <w:ind w:left="107" w:right="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sz w:val="16"/>
                <w:szCs w:val="16"/>
              </w:rPr>
              <w:t>3</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至</w:t>
            </w:r>
            <w:r>
              <w:rPr>
                <w:rFonts w:ascii="宋体" w:hAnsi="宋体" w:cs="宋体" w:eastAsia="宋体" w:hint="default"/>
                <w:spacing w:val="-42"/>
                <w:sz w:val="16"/>
                <w:szCs w:val="16"/>
              </w:rPr>
              <w:t> </w:t>
            </w:r>
            <w:r>
              <w:rPr>
                <w:rFonts w:ascii="Times New Roman" w:hAnsi="Times New Roman" w:cs="Times New Roman" w:eastAsia="Times New Roman" w:hint="default"/>
                <w:sz w:val="16"/>
                <w:szCs w:val="16"/>
              </w:rPr>
              <w:t>4</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年</w:t>
              <w:tab/>
            </w:r>
            <w:r>
              <w:rPr>
                <w:rFonts w:ascii="Times New Roman" w:hAnsi="Times New Roman" w:cs="Times New Roman" w:eastAsia="Times New Roman" w:hint="default"/>
                <w:sz w:val="16"/>
                <w:szCs w:val="16"/>
              </w:rPr>
              <w:t>559,009.52</w:t>
            </w:r>
          </w:p>
        </w:tc>
        <w:tc>
          <w:tcPr>
            <w:tcW w:w="162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5"/>
              <w:jc w:val="right"/>
              <w:rPr>
                <w:rFonts w:ascii="Times New Roman" w:hAnsi="Times New Roman" w:cs="Times New Roman" w:eastAsia="Times New Roman" w:hint="default"/>
                <w:sz w:val="16"/>
                <w:szCs w:val="16"/>
              </w:rPr>
            </w:pPr>
            <w:r>
              <w:rPr>
                <w:rFonts w:ascii="Times New Roman"/>
                <w:spacing w:val="-1"/>
                <w:sz w:val="16"/>
              </w:rPr>
              <w:t>335,405.71</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5"/>
              <w:jc w:val="right"/>
              <w:rPr>
                <w:rFonts w:ascii="Times New Roman" w:hAnsi="Times New Roman" w:cs="Times New Roman" w:eastAsia="Times New Roman" w:hint="default"/>
                <w:sz w:val="16"/>
                <w:szCs w:val="16"/>
              </w:rPr>
            </w:pPr>
            <w:r>
              <w:rPr>
                <w:rFonts w:ascii="Times New Roman"/>
                <w:spacing w:val="-1"/>
                <w:sz w:val="16"/>
              </w:rPr>
              <w:t>60.00</w:t>
            </w:r>
          </w:p>
        </w:tc>
      </w:tr>
      <w:tr>
        <w:trPr>
          <w:trHeight w:val="353" w:hRule="exact"/>
        </w:trPr>
        <w:tc>
          <w:tcPr>
            <w:tcW w:w="5318" w:type="dxa"/>
            <w:tcBorders>
              <w:top w:val="nil" w:sz="6" w:space="0" w:color="auto"/>
              <w:left w:val="nil" w:sz="6" w:space="0" w:color="auto"/>
              <w:bottom w:val="nil" w:sz="6" w:space="0" w:color="auto"/>
              <w:right w:val="nil" w:sz="6" w:space="0" w:color="auto"/>
            </w:tcBorders>
          </w:tcPr>
          <w:p>
            <w:pPr>
              <w:pStyle w:val="TableParagraph"/>
              <w:tabs>
                <w:tab w:pos="4478" w:val="left" w:leader="none"/>
              </w:tabs>
              <w:spacing w:line="240" w:lineRule="auto" w:before="45"/>
              <w:ind w:left="107" w:right="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sz w:val="16"/>
                <w:szCs w:val="16"/>
              </w:rPr>
              <w:t>4</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至</w:t>
            </w:r>
            <w:r>
              <w:rPr>
                <w:rFonts w:ascii="宋体" w:hAnsi="宋体" w:cs="宋体" w:eastAsia="宋体" w:hint="default"/>
                <w:spacing w:val="-42"/>
                <w:sz w:val="16"/>
                <w:szCs w:val="16"/>
              </w:rPr>
              <w:t> </w:t>
            </w:r>
            <w:r>
              <w:rPr>
                <w:rFonts w:ascii="Times New Roman" w:hAnsi="Times New Roman" w:cs="Times New Roman" w:eastAsia="Times New Roman" w:hint="default"/>
                <w:sz w:val="16"/>
                <w:szCs w:val="16"/>
              </w:rPr>
              <w:t>5</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年</w:t>
              <w:tab/>
            </w:r>
            <w:r>
              <w:rPr>
                <w:rFonts w:ascii="Times New Roman" w:hAnsi="Times New Roman" w:cs="Times New Roman" w:eastAsia="Times New Roman" w:hint="default"/>
                <w:sz w:val="16"/>
                <w:szCs w:val="16"/>
              </w:rPr>
              <w:t>228,950.00</w:t>
            </w:r>
          </w:p>
        </w:tc>
        <w:tc>
          <w:tcPr>
            <w:tcW w:w="162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6"/>
                <w:szCs w:val="16"/>
              </w:rPr>
            </w:pPr>
            <w:r>
              <w:rPr>
                <w:rFonts w:ascii="Times New Roman"/>
                <w:spacing w:val="-1"/>
                <w:sz w:val="16"/>
              </w:rPr>
              <w:t>183,160.00</w:t>
            </w:r>
          </w:p>
        </w:tc>
        <w:tc>
          <w:tcPr>
            <w:tcW w:w="1246"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6"/>
                <w:szCs w:val="16"/>
              </w:rPr>
            </w:pPr>
            <w:r>
              <w:rPr>
                <w:rFonts w:ascii="Times New Roman"/>
                <w:spacing w:val="-1"/>
                <w:sz w:val="16"/>
              </w:rPr>
              <w:t>80.00</w:t>
            </w:r>
          </w:p>
        </w:tc>
      </w:tr>
      <w:tr>
        <w:trPr>
          <w:trHeight w:val="351" w:hRule="exact"/>
        </w:trPr>
        <w:tc>
          <w:tcPr>
            <w:tcW w:w="5318"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5</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年以上</w:t>
            </w:r>
          </w:p>
        </w:tc>
        <w:tc>
          <w:tcPr>
            <w:tcW w:w="1624" w:type="dxa"/>
            <w:tcBorders>
              <w:top w:val="nil" w:sz="6" w:space="0" w:color="auto"/>
              <w:left w:val="nil" w:sz="6" w:space="0" w:color="auto"/>
              <w:bottom w:val="nil" w:sz="6" w:space="0" w:color="auto"/>
              <w:right w:val="nil" w:sz="6" w:space="0" w:color="auto"/>
            </w:tcBorders>
          </w:tcPr>
          <w:p>
            <w:pPr/>
          </w:p>
        </w:tc>
        <w:tc>
          <w:tcPr>
            <w:tcW w:w="1246" w:type="dxa"/>
            <w:tcBorders>
              <w:top w:val="nil" w:sz="6" w:space="0" w:color="auto"/>
              <w:left w:val="nil" w:sz="6" w:space="0" w:color="auto"/>
              <w:bottom w:val="nil" w:sz="6" w:space="0" w:color="auto"/>
              <w:right w:val="nil" w:sz="6" w:space="0" w:color="auto"/>
            </w:tcBorders>
          </w:tcPr>
          <w:p>
            <w:pPr/>
          </w:p>
        </w:tc>
      </w:tr>
      <w:tr>
        <w:trPr>
          <w:trHeight w:val="360" w:hRule="exact"/>
        </w:trPr>
        <w:tc>
          <w:tcPr>
            <w:tcW w:w="5318" w:type="dxa"/>
            <w:tcBorders>
              <w:top w:val="nil" w:sz="6" w:space="0" w:color="auto"/>
              <w:left w:val="nil" w:sz="6" w:space="0" w:color="auto"/>
              <w:bottom w:val="single" w:sz="12" w:space="0" w:color="000000"/>
              <w:right w:val="nil" w:sz="6" w:space="0" w:color="auto"/>
            </w:tcBorders>
          </w:tcPr>
          <w:p>
            <w:pPr>
              <w:pStyle w:val="TableParagraph"/>
              <w:tabs>
                <w:tab w:pos="2781" w:val="left" w:leader="none"/>
              </w:tabs>
              <w:spacing w:line="240" w:lineRule="auto" w:before="48"/>
              <w:ind w:right="116"/>
              <w:jc w:val="right"/>
              <w:rPr>
                <w:rFonts w:ascii="Times New Roman" w:hAnsi="Times New Roman" w:cs="Times New Roman" w:eastAsia="Times New Roman" w:hint="default"/>
                <w:sz w:val="16"/>
                <w:szCs w:val="16"/>
              </w:rPr>
            </w:pPr>
            <w:r>
              <w:rPr>
                <w:rFonts w:ascii="宋体" w:hAnsi="宋体" w:cs="宋体" w:eastAsia="宋体" w:hint="default"/>
                <w:w w:val="95"/>
                <w:sz w:val="16"/>
                <w:szCs w:val="16"/>
              </w:rPr>
              <w:t>合计</w:t>
              <w:tab/>
            </w:r>
            <w:r>
              <w:rPr>
                <w:rFonts w:ascii="Times New Roman" w:hAnsi="Times New Roman" w:cs="Times New Roman" w:eastAsia="Times New Roman" w:hint="default"/>
                <w:spacing w:val="-1"/>
                <w:sz w:val="16"/>
                <w:szCs w:val="16"/>
              </w:rPr>
              <w:t>21,289,340.11</w:t>
            </w:r>
          </w:p>
        </w:tc>
        <w:tc>
          <w:tcPr>
            <w:tcW w:w="1624" w:type="dxa"/>
            <w:tcBorders>
              <w:top w:val="nil" w:sz="6" w:space="0" w:color="auto"/>
              <w:left w:val="nil" w:sz="6" w:space="0" w:color="auto"/>
              <w:bottom w:val="single" w:sz="12" w:space="0" w:color="000000"/>
              <w:right w:val="nil" w:sz="6" w:space="0" w:color="auto"/>
            </w:tcBorders>
          </w:tcPr>
          <w:p>
            <w:pPr>
              <w:pStyle w:val="TableParagraph"/>
              <w:spacing w:line="240" w:lineRule="auto" w:before="85"/>
              <w:ind w:right="105"/>
              <w:jc w:val="right"/>
              <w:rPr>
                <w:rFonts w:ascii="Times New Roman" w:hAnsi="Times New Roman" w:cs="Times New Roman" w:eastAsia="Times New Roman" w:hint="default"/>
                <w:sz w:val="16"/>
                <w:szCs w:val="16"/>
              </w:rPr>
            </w:pPr>
            <w:r>
              <w:rPr>
                <w:rFonts w:ascii="Times New Roman"/>
                <w:spacing w:val="-1"/>
                <w:sz w:val="16"/>
              </w:rPr>
              <w:t>1,823,853.47</w:t>
            </w:r>
          </w:p>
        </w:tc>
        <w:tc>
          <w:tcPr>
            <w:tcW w:w="1246" w:type="dxa"/>
            <w:tcBorders>
              <w:top w:val="nil" w:sz="6" w:space="0" w:color="auto"/>
              <w:left w:val="nil" w:sz="6" w:space="0" w:color="auto"/>
              <w:bottom w:val="single" w:sz="12"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p>
      <w:pPr>
        <w:pStyle w:val="BodyText"/>
        <w:spacing w:line="240" w:lineRule="auto" w:before="35"/>
        <w:ind w:right="3681"/>
        <w:jc w:val="left"/>
      </w:pPr>
      <w:r>
        <w:rPr/>
        <w:pict>
          <v:group style="position:absolute;margin-left:119.520004pt;margin-top:-182.966507pt;width:411.7pt;height:158.6pt;mso-position-horizontal-relative:page;mso-position-vertical-relative:paragraph;z-index:-1361800" coordorigin="2390,-3659" coordsize="8234,3172">
            <v:shape style="position:absolute;left:5730;top:-3659;width:10;height:343" type="#_x0000_t75" stroked="false">
              <v:imagedata r:id="rId391" o:title=""/>
            </v:shape>
            <v:shape style="position:absolute;left:5711;top:-3335;width:4913;height:392" type="#_x0000_t75" stroked="false">
              <v:imagedata r:id="rId491" o:title=""/>
            </v:shape>
            <v:shape style="position:absolute;left:2390;top:-2981;width:8233;height:2494" type="#_x0000_t75" stroked="false">
              <v:imagedata r:id="rId492" o:title=""/>
            </v:shape>
            <w10:wrap type="none"/>
          </v:group>
        </w:pict>
      </w:r>
      <w:r>
        <w:rPr/>
        <w:t>组合中，采用其他方法计提坏账准备的应收账款</w:t>
      </w:r>
    </w:p>
    <w:p>
      <w:pPr>
        <w:spacing w:line="240" w:lineRule="auto" w:before="7"/>
        <w:rPr>
          <w:rFonts w:ascii="宋体" w:hAnsi="宋体" w:cs="宋体" w:eastAsia="宋体" w:hint="default"/>
          <w:sz w:val="2"/>
          <w:szCs w:val="2"/>
        </w:rPr>
      </w:pPr>
    </w:p>
    <w:p>
      <w:pPr>
        <w:spacing w:line="1462" w:lineRule="exact"/>
        <w:ind w:left="720" w:right="0" w:firstLine="0"/>
        <w:rPr>
          <w:rFonts w:ascii="宋体" w:hAnsi="宋体" w:cs="宋体" w:eastAsia="宋体" w:hint="default"/>
          <w:sz w:val="20"/>
          <w:szCs w:val="20"/>
        </w:rPr>
      </w:pPr>
      <w:r>
        <w:rPr>
          <w:rFonts w:ascii="宋体" w:hAnsi="宋体" w:cs="宋体" w:eastAsia="宋体" w:hint="default"/>
          <w:position w:val="-28"/>
          <w:sz w:val="20"/>
          <w:szCs w:val="20"/>
        </w:rPr>
        <w:pict>
          <v:group style="width:412.2pt;height:73.150pt;mso-position-horizontal-relative:char;mso-position-vertical-relative:line" coordorigin="0,0" coordsize="8244,1463">
            <v:group style="position:absolute;left:29;top:15;width:3224;height:2" coordorigin="29,15" coordsize="3224,2">
              <v:shape style="position:absolute;left:29;top:15;width:3224;height:2" coordorigin="29,15" coordsize="3224,0" path="m29,15l3253,15e" filled="false" stroked="true" strokeweight="1.5pt" strokecolor="#000000">
                <v:path arrowok="t"/>
              </v:shape>
            </v:group>
            <v:group style="position:absolute;left:3253;top:15;width:4965;height:2" coordorigin="3253,15" coordsize="4965,2">
              <v:shape style="position:absolute;left:3253;top:15;width:4965;height:2" coordorigin="3253,15" coordsize="4965,0" path="m3253,15l8217,15e" filled="false" stroked="true" strokeweight="1.5pt" strokecolor="#000000">
                <v:path arrowok="t"/>
              </v:shape>
              <v:shape style="position:absolute;left:3253;top:30;width:10;height:343" type="#_x0000_t75" stroked="false">
                <v:imagedata r:id="rId391" o:title=""/>
              </v:shape>
              <v:shape style="position:absolute;left:3233;top:354;width:5010;height:391" type="#_x0000_t75" stroked="false">
                <v:imagedata r:id="rId493" o:title=""/>
              </v:shape>
            </v:group>
            <v:group style="position:absolute;left:15;top:1448;width:3238;height:2" coordorigin="15,1448" coordsize="3238,2">
              <v:shape style="position:absolute;left:15;top:1448;width:3238;height:2" coordorigin="15,1448" coordsize="3238,0" path="m15,1448l3253,1448e" filled="false" stroked="true" strokeweight="1.5pt" strokecolor="#000000">
                <v:path arrowok="t"/>
              </v:shape>
            </v:group>
            <v:group style="position:absolute;left:3253;top:1448;width:2080;height:2" coordorigin="3253,1448" coordsize="2080,2">
              <v:shape style="position:absolute;left:3253;top:1448;width:2080;height:2" coordorigin="3253,1448" coordsize="2080,0" path="m3253,1448l5332,1448e" filled="false" stroked="true" strokeweight="1.5pt" strokecolor="#000000">
                <v:path arrowok="t"/>
              </v:shape>
            </v:group>
            <v:group style="position:absolute;left:5332;top:1448;width:1635;height:2" coordorigin="5332,1448" coordsize="1635,2">
              <v:shape style="position:absolute;left:5332;top:1448;width:1635;height:2" coordorigin="5332,1448" coordsize="1635,0" path="m5332,1448l6967,1448e" filled="false" stroked="true" strokeweight="1.5pt" strokecolor="#000000">
                <v:path arrowok="t"/>
              </v:shape>
              <v:shape style="position:absolute;left:10;top:707;width:8233;height:726" type="#_x0000_t75" stroked="false">
                <v:imagedata r:id="rId494" o:title=""/>
              </v:shape>
            </v:group>
            <v:group style="position:absolute;left:6967;top:1448;width:1251;height:2" coordorigin="6967,1448" coordsize="1251,2">
              <v:shape style="position:absolute;left:6967;top:1448;width:1251;height:2" coordorigin="6967,1448" coordsize="1251,0" path="m6967,1448l8217,1448e" filled="false" stroked="true" strokeweight="1.5pt" strokecolor="#000000">
                <v:path arrowok="t"/>
              </v:shape>
              <v:shape style="position:absolute;left:5417;top:121;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1323;top:297;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组合名称</w:t>
                      </w:r>
                      <w:r>
                        <w:rPr>
                          <w:rFonts w:ascii="宋体" w:hAnsi="宋体" w:cs="宋体" w:eastAsia="宋体" w:hint="default"/>
                          <w:sz w:val="16"/>
                          <w:szCs w:val="16"/>
                        </w:rPr>
                      </w:r>
                    </w:p>
                  </w:txbxContent>
                </v:textbox>
                <w10:wrap type="none"/>
              </v:shape>
              <v:shape style="position:absolute;left:3976;top:474;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应收账款</w:t>
                      </w:r>
                      <w:r>
                        <w:rPr>
                          <w:rFonts w:ascii="宋体" w:hAnsi="宋体" w:cs="宋体" w:eastAsia="宋体" w:hint="default"/>
                          <w:sz w:val="16"/>
                          <w:szCs w:val="16"/>
                        </w:rPr>
                      </w:r>
                    </w:p>
                  </w:txbxContent>
                </v:textbox>
                <w10:wrap type="none"/>
              </v:shape>
              <v:shape style="position:absolute;left:5833;top:474;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坏账准备</w:t>
                      </w:r>
                      <w:r>
                        <w:rPr>
                          <w:rFonts w:ascii="宋体" w:hAnsi="宋体" w:cs="宋体" w:eastAsia="宋体" w:hint="default"/>
                          <w:sz w:val="16"/>
                          <w:szCs w:val="16"/>
                        </w:rPr>
                      </w:r>
                    </w:p>
                  </w:txbxContent>
                </v:textbox>
                <w10:wrap type="none"/>
              </v:shape>
              <v:shape style="position:absolute;left:7153;top:474;width:879;height:169" type="#_x0000_t202" filled="false" stroked="false">
                <v:textbox inset="0,0,0,0">
                  <w:txbxContent>
                    <w:p>
                      <w:pPr>
                        <w:spacing w:line="168" w:lineRule="exact" w:before="0"/>
                        <w:ind w:left="0" w:right="0" w:firstLine="0"/>
                        <w:jc w:val="left"/>
                        <w:rPr>
                          <w:rFonts w:ascii="Times New Roman" w:hAnsi="Times New Roman" w:cs="Times New Roman" w:eastAsia="Times New Roman" w:hint="default"/>
                          <w:sz w:val="16"/>
                          <w:szCs w:val="16"/>
                        </w:rPr>
                      </w:pPr>
                      <w:r>
                        <w:rPr>
                          <w:rFonts w:ascii="宋体" w:hAnsi="宋体" w:cs="宋体" w:eastAsia="宋体" w:hint="default"/>
                          <w:w w:val="95"/>
                          <w:sz w:val="16"/>
                          <w:szCs w:val="16"/>
                        </w:rPr>
                        <w:t>计提比例</w:t>
                      </w:r>
                      <w:r>
                        <w:rPr>
                          <w:rFonts w:ascii="Times New Roman" w:hAnsi="Times New Roman" w:cs="Times New Roman" w:eastAsia="Times New Roman" w:hint="default"/>
                          <w:w w:val="95"/>
                          <w:sz w:val="16"/>
                          <w:szCs w:val="16"/>
                        </w:rPr>
                        <w:t>(%)</w:t>
                      </w:r>
                      <w:r>
                        <w:rPr>
                          <w:rFonts w:ascii="Times New Roman" w:hAnsi="Times New Roman" w:cs="Times New Roman" w:eastAsia="Times New Roman" w:hint="default"/>
                          <w:sz w:val="16"/>
                          <w:szCs w:val="16"/>
                        </w:rPr>
                      </w:r>
                    </w:p>
                  </w:txbxContent>
                </v:textbox>
                <w10:wrap type="none"/>
              </v:shape>
              <v:shape style="position:absolute;left:137;top:828;width:2878;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在合同规定的收款账期内的应收款项组合</w:t>
                      </w:r>
                      <w:r>
                        <w:rPr>
                          <w:rFonts w:ascii="宋体" w:hAnsi="宋体" w:cs="宋体" w:eastAsia="宋体" w:hint="default"/>
                          <w:sz w:val="16"/>
                          <w:szCs w:val="16"/>
                        </w:rPr>
                      </w:r>
                    </w:p>
                  </w:txbxContent>
                </v:textbox>
                <w10:wrap type="none"/>
              </v:shape>
              <v:shape style="position:absolute;left:4228;top:841;width:100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271,235,377.19</w:t>
                      </w:r>
                      <w:r>
                        <w:rPr>
                          <w:rFonts w:ascii="Times New Roman"/>
                          <w:sz w:val="16"/>
                        </w:rPr>
                      </w:r>
                    </w:p>
                  </w:txbxContent>
                </v:textbox>
                <w10:wrap type="none"/>
              </v:shape>
              <v:shape style="position:absolute;left:1483;top:1182;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合计</w:t>
                      </w:r>
                      <w:r>
                        <w:rPr>
                          <w:rFonts w:ascii="宋体" w:hAnsi="宋体" w:cs="宋体" w:eastAsia="宋体" w:hint="default"/>
                          <w:sz w:val="16"/>
                          <w:szCs w:val="16"/>
                        </w:rPr>
                      </w:r>
                    </w:p>
                  </w:txbxContent>
                </v:textbox>
                <w10:wrap type="none"/>
              </v:shape>
              <v:shape style="position:absolute;left:4228;top:1195;width:100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271,235,377.19</w:t>
                      </w:r>
                      <w:r>
                        <w:rPr>
                          <w:rFonts w:ascii="Times New Roman"/>
                          <w:sz w:val="16"/>
                        </w:rPr>
                      </w:r>
                    </w:p>
                  </w:txbxContent>
                </v:textbox>
                <w10:wrap type="none"/>
              </v:shape>
            </v:group>
          </v:group>
        </w:pict>
      </w:r>
      <w:r>
        <w:rPr>
          <w:rFonts w:ascii="宋体" w:hAnsi="宋体" w:cs="宋体" w:eastAsia="宋体" w:hint="default"/>
          <w:position w:val="-28"/>
          <w:sz w:val="20"/>
          <w:szCs w:val="20"/>
        </w:rPr>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BodyText"/>
        <w:spacing w:line="240" w:lineRule="auto" w:before="35"/>
        <w:ind w:right="3681"/>
        <w:jc w:val="left"/>
      </w:pPr>
      <w:r>
        <w:rPr/>
        <w:t>（</w:t>
      </w:r>
      <w:r>
        <w:rPr>
          <w:rFonts w:ascii="Times New Roman" w:hAnsi="Times New Roman" w:cs="Times New Roman" w:eastAsia="Times New Roman" w:hint="default"/>
        </w:rPr>
        <w:t>2</w:t>
      </w:r>
      <w:r>
        <w:rPr/>
        <w:t>）本期计提、收回或转回应收账款情况</w:t>
      </w:r>
    </w:p>
    <w:p>
      <w:pPr>
        <w:pStyle w:val="BodyText"/>
        <w:spacing w:line="240" w:lineRule="auto"/>
        <w:ind w:right="1793"/>
        <w:jc w:val="left"/>
      </w:pPr>
      <w:r>
        <w:rPr/>
        <w:t>本期计提坏账准备金额</w:t>
      </w:r>
      <w:r>
        <w:rPr>
          <w:rFonts w:ascii="Times New Roman" w:hAnsi="Times New Roman" w:cs="Times New Roman" w:eastAsia="Times New Roman" w:hint="default"/>
        </w:rPr>
        <w:t>-2,738,680.61</w:t>
      </w:r>
      <w:r>
        <w:rPr>
          <w:rFonts w:ascii="Times New Roman" w:hAnsi="Times New Roman" w:cs="Times New Roman" w:eastAsia="Times New Roman" w:hint="default"/>
          <w:spacing w:val="-8"/>
        </w:rPr>
        <w:t> </w:t>
      </w:r>
      <w:r>
        <w:rPr/>
        <w:t>元；本期收回或转回坏账准备金额</w:t>
      </w:r>
    </w:p>
    <w:p>
      <w:pPr>
        <w:pStyle w:val="BodyText"/>
        <w:spacing w:line="240" w:lineRule="auto"/>
        <w:ind w:right="3681"/>
        <w:jc w:val="left"/>
      </w:pPr>
      <w:r>
        <w:rPr>
          <w:rFonts w:ascii="Times New Roman" w:hAnsi="Times New Roman" w:cs="Times New Roman" w:eastAsia="Times New Roman" w:hint="default"/>
        </w:rPr>
        <w:t>3,052,818.23</w:t>
      </w:r>
      <w:r>
        <w:rPr>
          <w:rFonts w:ascii="Times New Roman" w:hAnsi="Times New Roman" w:cs="Times New Roman" w:eastAsia="Times New Roman" w:hint="default"/>
          <w:spacing w:val="-7"/>
        </w:rPr>
        <w:t> </w:t>
      </w:r>
      <w:r>
        <w:rPr/>
        <w:t>元。</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pStyle w:val="BodyText"/>
        <w:spacing w:line="240" w:lineRule="auto" w:before="0"/>
        <w:ind w:right="3681"/>
        <w:jc w:val="left"/>
      </w:pPr>
      <w:r>
        <w:rPr/>
        <w:t>其中本期坏账准备收回或转回金额重要的</w:t>
      </w:r>
    </w:p>
    <w:p>
      <w:pPr>
        <w:spacing w:line="240" w:lineRule="auto" w:before="5"/>
        <w:rPr>
          <w:rFonts w:ascii="宋体" w:hAnsi="宋体" w:cs="宋体" w:eastAsia="宋体" w:hint="default"/>
          <w:sz w:val="2"/>
          <w:szCs w:val="2"/>
        </w:rPr>
      </w:pPr>
    </w:p>
    <w:p>
      <w:pPr>
        <w:spacing w:line="964" w:lineRule="exact"/>
        <w:ind w:left="720" w:right="0" w:firstLine="0"/>
        <w:rPr>
          <w:rFonts w:ascii="宋体" w:hAnsi="宋体" w:cs="宋体" w:eastAsia="宋体" w:hint="default"/>
          <w:sz w:val="20"/>
          <w:szCs w:val="20"/>
        </w:rPr>
      </w:pPr>
      <w:r>
        <w:rPr>
          <w:rFonts w:ascii="宋体" w:hAnsi="宋体" w:cs="宋体" w:eastAsia="宋体" w:hint="default"/>
          <w:position w:val="-18"/>
          <w:sz w:val="20"/>
          <w:szCs w:val="20"/>
        </w:rPr>
        <w:pict>
          <v:group style="width:411.6pt;height:48.25pt;mso-position-horizontal-relative:char;mso-position-vertical-relative:line" coordorigin="0,0" coordsize="8232,965">
            <v:group style="position:absolute;left:29;top:15;width:2931;height:2" coordorigin="29,15" coordsize="2931,2">
              <v:shape style="position:absolute;left:29;top:15;width:2931;height:2" coordorigin="29,15" coordsize="2931,0" path="m29,15l2960,15e" filled="false" stroked="true" strokeweight="1.5pt" strokecolor="#000000">
                <v:path arrowok="t"/>
              </v:shape>
              <v:shape style="position:absolute;left:2960;top:30;width:10;height:28" type="#_x0000_t75" stroked="false">
                <v:imagedata r:id="rId39" o:title=""/>
              </v:shape>
            </v:group>
            <v:group style="position:absolute;left:2960;top:15;width:1553;height:2" coordorigin="2960,15" coordsize="1553,2">
              <v:shape style="position:absolute;left:2960;top:15;width:1553;height:2" coordorigin="2960,15" coordsize="1553,0" path="m2960,15l4513,15e" filled="false" stroked="true" strokeweight="1.5pt" strokecolor="#000000">
                <v:path arrowok="t"/>
              </v:shape>
              <v:shape style="position:absolute;left:4513;top:30;width:10;height:28" type="#_x0000_t75" stroked="false">
                <v:imagedata r:id="rId39" o:title=""/>
              </v:shape>
            </v:group>
            <v:group style="position:absolute;left:4513;top:15;width:1680;height:2" coordorigin="4513,15" coordsize="1680,2">
              <v:shape style="position:absolute;left:4513;top:15;width:1680;height:2" coordorigin="4513,15" coordsize="1680,0" path="m4513,15l6193,15e" filled="false" stroked="true" strokeweight="1.5pt" strokecolor="#000000">
                <v:path arrowok="t"/>
              </v:shape>
              <v:shape style="position:absolute;left:6193;top:30;width:10;height:28" type="#_x0000_t75" stroked="false">
                <v:imagedata r:id="rId39" o:title=""/>
              </v:shape>
            </v:group>
            <v:group style="position:absolute;left:6193;top:15;width:982;height:2" coordorigin="6193,15" coordsize="982,2">
              <v:shape style="position:absolute;left:6193;top:15;width:982;height:2" coordorigin="6193,15" coordsize="982,0" path="m6193,15l7174,15e" filled="false" stroked="true" strokeweight="1.5pt" strokecolor="#000000">
                <v:path arrowok="t"/>
              </v:shape>
              <v:shape style="position:absolute;left:7174;top:30;width:10;height:28" type="#_x0000_t75" stroked="false">
                <v:imagedata r:id="rId39" o:title=""/>
              </v:shape>
            </v:group>
            <v:group style="position:absolute;left:7174;top:15;width:1043;height:2" coordorigin="7174,15" coordsize="1043,2">
              <v:shape style="position:absolute;left:7174;top:15;width:1043;height:2" coordorigin="7174,15" coordsize="1043,0" path="m7174,15l8217,15e" filled="false" stroked="true" strokeweight="1.5pt" strokecolor="#000000">
                <v:path arrowok="t"/>
              </v:shape>
            </v:group>
            <v:group style="position:absolute;left:15;top:950;width:2945;height:2" coordorigin="15,950" coordsize="2945,2">
              <v:shape style="position:absolute;left:15;top:950;width:2945;height:2" coordorigin="15,950" coordsize="2945,0" path="m15,950l2960,950e" filled="false" stroked="true" strokeweight="1.5pt" strokecolor="#000000">
                <v:path arrowok="t"/>
              </v:shape>
            </v:group>
            <v:group style="position:absolute;left:2960;top:950;width:1553;height:2" coordorigin="2960,950" coordsize="1553,2">
              <v:shape style="position:absolute;left:2960;top:950;width:1553;height:2" coordorigin="2960,950" coordsize="1553,0" path="m2960,950l4513,950e" filled="false" stroked="true" strokeweight="1.5pt" strokecolor="#000000">
                <v:path arrowok="t"/>
              </v:shape>
            </v:group>
            <v:group style="position:absolute;left:4513;top:950;width:1680;height:2" coordorigin="4513,950" coordsize="1680,2">
              <v:shape style="position:absolute;left:4513;top:950;width:1680;height:2" coordorigin="4513,950" coordsize="1680,0" path="m4513,950l6193,950e" filled="false" stroked="true" strokeweight="1.5pt" strokecolor="#000000">
                <v:path arrowok="t"/>
              </v:shape>
            </v:group>
            <v:group style="position:absolute;left:6193;top:950;width:982;height:2" coordorigin="6193,950" coordsize="982,2">
              <v:shape style="position:absolute;left:6193;top:950;width:982;height:2" coordorigin="6193,950" coordsize="982,0" path="m6193,950l7174,950e" filled="false" stroked="true" strokeweight="1.5pt" strokecolor="#000000">
                <v:path arrowok="t"/>
              </v:shape>
              <v:shape style="position:absolute;left:10;top:38;width:8210;height:896" type="#_x0000_t75" stroked="false">
                <v:imagedata r:id="rId495" o:title=""/>
              </v:shape>
            </v:group>
            <v:group style="position:absolute;left:7174;top:950;width:1043;height:2" coordorigin="7174,950" coordsize="1043,2">
              <v:shape style="position:absolute;left:7174;top:950;width:1043;height:2" coordorigin="7174,950" coordsize="1043,0" path="m7174,950l8217,950e" filled="false" stroked="true" strokeweight="1.5pt" strokecolor="#000000">
                <v:path arrowok="t"/>
              </v:shape>
              <v:shape style="position:absolute;left:1177;top:225;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单位名称</w:t>
                      </w:r>
                      <w:r>
                        <w:rPr>
                          <w:rFonts w:ascii="宋体" w:hAnsi="宋体" w:cs="宋体" w:eastAsia="宋体" w:hint="default"/>
                          <w:sz w:val="16"/>
                          <w:szCs w:val="16"/>
                        </w:rPr>
                      </w:r>
                    </w:p>
                  </w:txbxContent>
                </v:textbox>
                <w10:wrap type="none"/>
              </v:shape>
              <v:shape style="position:absolute;left:3179;top:225;width:111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转回或收回金额</w:t>
                      </w:r>
                      <w:r>
                        <w:rPr>
                          <w:rFonts w:ascii="宋体" w:hAnsi="宋体" w:cs="宋体" w:eastAsia="宋体" w:hint="default"/>
                          <w:sz w:val="16"/>
                          <w:szCs w:val="16"/>
                        </w:rPr>
                      </w:r>
                    </w:p>
                  </w:txbxContent>
                </v:textbox>
                <w10:wrap type="none"/>
              </v:shape>
              <v:shape style="position:absolute;left:4637;top:122;width:1439;height:368" type="#_x0000_t202" filled="false" stroked="false">
                <v:textbox inset="0,0,0,0">
                  <w:txbxContent>
                    <w:p>
                      <w:pPr>
                        <w:spacing w:line="159" w:lineRule="exact" w:before="0"/>
                        <w:ind w:left="-1" w:right="0" w:firstLine="0"/>
                        <w:jc w:val="center"/>
                        <w:rPr>
                          <w:rFonts w:ascii="宋体" w:hAnsi="宋体" w:cs="宋体" w:eastAsia="宋体" w:hint="default"/>
                          <w:sz w:val="16"/>
                          <w:szCs w:val="16"/>
                        </w:rPr>
                      </w:pPr>
                      <w:r>
                        <w:rPr>
                          <w:rFonts w:ascii="宋体" w:hAnsi="宋体" w:cs="宋体" w:eastAsia="宋体" w:hint="default"/>
                          <w:w w:val="95"/>
                          <w:sz w:val="16"/>
                          <w:szCs w:val="16"/>
                        </w:rPr>
                        <w:t>确定原坏账准备的依</w:t>
                      </w:r>
                      <w:r>
                        <w:rPr>
                          <w:rFonts w:ascii="宋体" w:hAnsi="宋体" w:cs="宋体" w:eastAsia="宋体" w:hint="default"/>
                          <w:sz w:val="16"/>
                          <w:szCs w:val="16"/>
                        </w:rPr>
                      </w:r>
                    </w:p>
                    <w:p>
                      <w:pPr>
                        <w:spacing w:line="208" w:lineRule="exact" w:before="0"/>
                        <w:ind w:left="0" w:right="1" w:firstLine="0"/>
                        <w:jc w:val="center"/>
                        <w:rPr>
                          <w:rFonts w:ascii="宋体" w:hAnsi="宋体" w:cs="宋体" w:eastAsia="宋体" w:hint="default"/>
                          <w:sz w:val="16"/>
                          <w:szCs w:val="16"/>
                        </w:rPr>
                      </w:pPr>
                      <w:r>
                        <w:rPr>
                          <w:rFonts w:ascii="宋体" w:hAnsi="宋体" w:cs="宋体" w:eastAsia="宋体" w:hint="default"/>
                          <w:sz w:val="16"/>
                          <w:szCs w:val="16"/>
                        </w:rPr>
                        <w:t>据及合理性</w:t>
                      </w:r>
                    </w:p>
                  </w:txbxContent>
                </v:textbox>
                <w10:wrap type="none"/>
              </v:shape>
              <v:shape style="position:absolute;left:6368;top:225;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收回方式</w:t>
                      </w:r>
                      <w:r>
                        <w:rPr>
                          <w:rFonts w:ascii="宋体" w:hAnsi="宋体" w:cs="宋体" w:eastAsia="宋体" w:hint="default"/>
                          <w:sz w:val="16"/>
                          <w:szCs w:val="16"/>
                        </w:rPr>
                      </w:r>
                    </w:p>
                  </w:txbxContent>
                </v:textbox>
                <w10:wrap type="none"/>
              </v:shape>
              <v:shape style="position:absolute;left:7298;top:122;width:800;height:368" type="#_x0000_t202" filled="false" stroked="false">
                <v:textbox inset="0,0,0,0">
                  <w:txbxContent>
                    <w:p>
                      <w:pPr>
                        <w:spacing w:line="159" w:lineRule="exact" w:before="0"/>
                        <w:ind w:left="0" w:right="0" w:firstLine="0"/>
                        <w:jc w:val="center"/>
                        <w:rPr>
                          <w:rFonts w:ascii="宋体" w:hAnsi="宋体" w:cs="宋体" w:eastAsia="宋体" w:hint="default"/>
                          <w:sz w:val="16"/>
                          <w:szCs w:val="16"/>
                        </w:rPr>
                      </w:pPr>
                      <w:r>
                        <w:rPr>
                          <w:rFonts w:ascii="宋体" w:hAnsi="宋体" w:cs="宋体" w:eastAsia="宋体" w:hint="default"/>
                          <w:w w:val="95"/>
                          <w:sz w:val="16"/>
                          <w:szCs w:val="16"/>
                        </w:rPr>
                        <w:t>转回或收回</w:t>
                      </w:r>
                      <w:r>
                        <w:rPr>
                          <w:rFonts w:ascii="宋体" w:hAnsi="宋体" w:cs="宋体" w:eastAsia="宋体" w:hint="default"/>
                          <w:sz w:val="16"/>
                          <w:szCs w:val="16"/>
                        </w:rPr>
                      </w:r>
                    </w:p>
                    <w:p>
                      <w:pPr>
                        <w:spacing w:line="208" w:lineRule="exact" w:before="0"/>
                        <w:ind w:left="0" w:right="0" w:firstLine="0"/>
                        <w:jc w:val="center"/>
                        <w:rPr>
                          <w:rFonts w:ascii="宋体" w:hAnsi="宋体" w:cs="宋体" w:eastAsia="宋体" w:hint="default"/>
                          <w:sz w:val="16"/>
                          <w:szCs w:val="16"/>
                        </w:rPr>
                      </w:pPr>
                      <w:r>
                        <w:rPr>
                          <w:rFonts w:ascii="宋体" w:hAnsi="宋体" w:cs="宋体" w:eastAsia="宋体" w:hint="default"/>
                          <w:sz w:val="16"/>
                          <w:szCs w:val="16"/>
                        </w:rPr>
                        <w:t>原因</w:t>
                      </w:r>
                    </w:p>
                  </w:txbxContent>
                </v:textbox>
                <w10:wrap type="none"/>
              </v:shape>
              <v:shape style="position:absolute;left:137;top:682;width:239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四平市铁东区教育技术装备办公室</w:t>
                      </w:r>
                      <w:r>
                        <w:rPr>
                          <w:rFonts w:ascii="宋体" w:hAnsi="宋体" w:cs="宋体" w:eastAsia="宋体" w:hint="default"/>
                          <w:sz w:val="16"/>
                          <w:szCs w:val="16"/>
                        </w:rPr>
                      </w:r>
                    </w:p>
                  </w:txbxContent>
                </v:textbox>
                <w10:wrap type="none"/>
              </v:shape>
              <v:shape style="position:absolute;left:3568;top:696;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1,049,700.00</w:t>
                      </w:r>
                      <w:r>
                        <w:rPr>
                          <w:rFonts w:ascii="Times New Roman"/>
                          <w:sz w:val="16"/>
                        </w:rPr>
                      </w:r>
                    </w:p>
                  </w:txbxContent>
                </v:textbox>
                <w10:wrap type="none"/>
              </v:shape>
              <v:shape style="position:absolute;left:5037;top:682;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可回收性</w:t>
                      </w:r>
                      <w:r>
                        <w:rPr>
                          <w:rFonts w:ascii="宋体" w:hAnsi="宋体" w:cs="宋体" w:eastAsia="宋体" w:hint="default"/>
                          <w:sz w:val="16"/>
                          <w:szCs w:val="16"/>
                        </w:rPr>
                      </w:r>
                    </w:p>
                  </w:txbxContent>
                </v:textbox>
                <w10:wrap type="none"/>
              </v:shape>
              <v:shape style="position:absolute;left:6305;top:682;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收到款项</w:t>
                      </w:r>
                      <w:r>
                        <w:rPr>
                          <w:rFonts w:ascii="宋体" w:hAnsi="宋体" w:cs="宋体" w:eastAsia="宋体" w:hint="default"/>
                          <w:sz w:val="16"/>
                          <w:szCs w:val="16"/>
                        </w:rPr>
                      </w:r>
                    </w:p>
                  </w:txbxContent>
                </v:textbox>
                <w10:wrap type="none"/>
              </v:shape>
              <v:shape style="position:absolute;left:7287;top:682;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货币回款</w:t>
                      </w:r>
                      <w:r>
                        <w:rPr>
                          <w:rFonts w:ascii="宋体" w:hAnsi="宋体" w:cs="宋体" w:eastAsia="宋体" w:hint="default"/>
                          <w:sz w:val="16"/>
                          <w:szCs w:val="16"/>
                        </w:rPr>
                      </w:r>
                    </w:p>
                  </w:txbxContent>
                </v:textbox>
                <w10:wrap type="none"/>
              </v:shape>
            </v:group>
          </v:group>
        </w:pict>
      </w:r>
      <w:r>
        <w:rPr>
          <w:rFonts w:ascii="宋体" w:hAnsi="宋体" w:cs="宋体" w:eastAsia="宋体" w:hint="default"/>
          <w:position w:val="-18"/>
          <w:sz w:val="20"/>
          <w:szCs w:val="20"/>
        </w:rPr>
      </w:r>
    </w:p>
    <w:p>
      <w:pPr>
        <w:spacing w:after="0" w:line="964" w:lineRule="exact"/>
        <w:rPr>
          <w:rFonts w:ascii="宋体" w:hAnsi="宋体" w:cs="宋体" w:eastAsia="宋体" w:hint="default"/>
          <w:sz w:val="20"/>
          <w:szCs w:val="20"/>
        </w:rPr>
        <w:sectPr>
          <w:footerReference w:type="default" r:id="rId488"/>
          <w:pgSz w:w="11910" w:h="16840"/>
          <w:pgMar w:footer="1001" w:header="0" w:top="1520" w:bottom="1200" w:left="1660" w:right="0"/>
          <w:pgNumType w:start="115"/>
        </w:sectPr>
      </w:pPr>
    </w:p>
    <w:p>
      <w:pPr>
        <w:spacing w:line="240" w:lineRule="auto" w:before="0"/>
        <w:rPr>
          <w:rFonts w:ascii="宋体" w:hAnsi="宋体" w:cs="宋体" w:eastAsia="宋体" w:hint="default"/>
          <w:sz w:val="20"/>
          <w:szCs w:val="20"/>
        </w:rPr>
      </w:pPr>
      <w:r>
        <w:rPr/>
        <w:pict>
          <v:group style="position:absolute;margin-left:119.839996pt;margin-top:649.199646pt;width:411.05pt;height:87.9pt;mso-position-horizontal-relative:page;mso-position-vertical-relative:page;z-index:-1361152" coordorigin="2397,12984" coordsize="8221,1758">
            <v:shape style="position:absolute;left:6024;top:12984;width:10;height:28" type="#_x0000_t75" stroked="false">
              <v:imagedata r:id="rId64" o:title=""/>
            </v:shape>
            <v:shape style="position:absolute;left:8320;top:12984;width:10;height:28" type="#_x0000_t75" stroked="false">
              <v:imagedata r:id="rId64" o:title=""/>
            </v:shape>
            <v:shape style="position:absolute;left:6005;top:12992;width:2344;height:355" type="#_x0000_t75" stroked="false">
              <v:imagedata r:id="rId496" o:title=""/>
            </v:shape>
            <v:shape style="position:absolute;left:2397;top:13316;width:8220;height:1426" type="#_x0000_t75" stroked="false">
              <v:imagedata r:id="rId497" o:title=""/>
            </v:shape>
            <w10:wrap type="none"/>
          </v:group>
        </w:pict>
      </w:r>
    </w:p>
    <w:p>
      <w:pPr>
        <w:spacing w:line="240" w:lineRule="auto" w:before="5"/>
        <w:rPr>
          <w:rFonts w:ascii="宋体" w:hAnsi="宋体" w:cs="宋体" w:eastAsia="宋体" w:hint="default"/>
          <w:sz w:val="14"/>
          <w:szCs w:val="14"/>
        </w:rPr>
      </w:pPr>
    </w:p>
    <w:tbl>
      <w:tblPr>
        <w:tblW w:w="0" w:type="auto"/>
        <w:jc w:val="left"/>
        <w:tblInd w:w="787" w:type="dxa"/>
        <w:tblLayout w:type="fixed"/>
        <w:tblCellMar>
          <w:top w:w="0" w:type="dxa"/>
          <w:left w:w="0" w:type="dxa"/>
          <w:bottom w:w="0" w:type="dxa"/>
          <w:right w:w="0" w:type="dxa"/>
        </w:tblCellMar>
        <w:tblLook w:val="01E0"/>
      </w:tblPr>
      <w:tblGrid>
        <w:gridCol w:w="2904"/>
        <w:gridCol w:w="1711"/>
        <w:gridCol w:w="1348"/>
        <w:gridCol w:w="1085"/>
        <w:gridCol w:w="845"/>
      </w:tblGrid>
      <w:tr>
        <w:trPr>
          <w:trHeight w:val="616" w:hRule="exact"/>
        </w:trPr>
        <w:tc>
          <w:tcPr>
            <w:tcW w:w="290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left="70" w:right="0"/>
              <w:jc w:val="left"/>
              <w:rPr>
                <w:rFonts w:ascii="宋体" w:hAnsi="宋体" w:cs="宋体" w:eastAsia="宋体" w:hint="default"/>
                <w:sz w:val="16"/>
                <w:szCs w:val="16"/>
              </w:rPr>
            </w:pPr>
            <w:r>
              <w:rPr>
                <w:rFonts w:ascii="宋体" w:hAnsi="宋体" w:cs="宋体" w:eastAsia="宋体" w:hint="default"/>
                <w:sz w:val="16"/>
                <w:szCs w:val="16"/>
              </w:rPr>
              <w:t>武汉新泽世纪科技发展有限公司</w:t>
            </w:r>
          </w:p>
        </w:tc>
        <w:tc>
          <w:tcPr>
            <w:tcW w:w="171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36"/>
              <w:ind w:right="271"/>
              <w:jc w:val="right"/>
              <w:rPr>
                <w:rFonts w:ascii="Times New Roman" w:hAnsi="Times New Roman" w:cs="Times New Roman" w:eastAsia="Times New Roman" w:hint="default"/>
                <w:sz w:val="16"/>
                <w:szCs w:val="16"/>
              </w:rPr>
            </w:pPr>
            <w:r>
              <w:rPr>
                <w:rFonts w:ascii="Times New Roman"/>
                <w:spacing w:val="-1"/>
                <w:sz w:val="16"/>
              </w:rPr>
              <w:t>674,597.70</w:t>
            </w:r>
          </w:p>
        </w:tc>
        <w:tc>
          <w:tcPr>
            <w:tcW w:w="1348" w:type="dxa"/>
            <w:tcBorders>
              <w:top w:val="nil" w:sz="6" w:space="0" w:color="auto"/>
              <w:left w:val="nil" w:sz="6" w:space="0" w:color="auto"/>
              <w:bottom w:val="nil" w:sz="6" w:space="0" w:color="auto"/>
              <w:right w:val="nil" w:sz="6" w:space="0" w:color="auto"/>
            </w:tcBorders>
          </w:tcPr>
          <w:p>
            <w:pPr>
              <w:pStyle w:val="TableParagraph"/>
              <w:spacing w:line="160" w:lineRule="exact"/>
              <w:ind w:left="353" w:right="0" w:hanging="81"/>
              <w:jc w:val="left"/>
              <w:rPr>
                <w:rFonts w:ascii="宋体" w:hAnsi="宋体" w:cs="宋体" w:eastAsia="宋体" w:hint="default"/>
                <w:sz w:val="16"/>
                <w:szCs w:val="16"/>
              </w:rPr>
            </w:pPr>
            <w:r>
              <w:rPr>
                <w:rFonts w:ascii="宋体" w:hAnsi="宋体" w:cs="宋体" w:eastAsia="宋体" w:hint="default"/>
                <w:sz w:val="16"/>
                <w:szCs w:val="16"/>
              </w:rPr>
              <w:t>据及合理性</w:t>
            </w:r>
          </w:p>
          <w:p>
            <w:pPr>
              <w:pStyle w:val="TableParagraph"/>
              <w:spacing w:line="240" w:lineRule="auto" w:before="143"/>
              <w:ind w:left="353" w:right="0"/>
              <w:jc w:val="left"/>
              <w:rPr>
                <w:rFonts w:ascii="宋体" w:hAnsi="宋体" w:cs="宋体" w:eastAsia="宋体" w:hint="default"/>
                <w:sz w:val="16"/>
                <w:szCs w:val="16"/>
              </w:rPr>
            </w:pPr>
            <w:r>
              <w:rPr>
                <w:rFonts w:ascii="宋体" w:hAnsi="宋体" w:cs="宋体" w:eastAsia="宋体" w:hint="default"/>
                <w:sz w:val="16"/>
                <w:szCs w:val="16"/>
              </w:rPr>
              <w:t>可回收性</w:t>
            </w:r>
          </w:p>
        </w:tc>
        <w:tc>
          <w:tcPr>
            <w:tcW w:w="108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right="169"/>
              <w:jc w:val="right"/>
              <w:rPr>
                <w:rFonts w:ascii="宋体" w:hAnsi="宋体" w:cs="宋体" w:eastAsia="宋体" w:hint="default"/>
                <w:sz w:val="16"/>
                <w:szCs w:val="16"/>
              </w:rPr>
            </w:pPr>
            <w:r>
              <w:rPr>
                <w:rFonts w:ascii="宋体" w:hAnsi="宋体" w:cs="宋体" w:eastAsia="宋体" w:hint="default"/>
                <w:w w:val="95"/>
                <w:sz w:val="16"/>
                <w:szCs w:val="16"/>
              </w:rPr>
              <w:t>诉讼收回</w:t>
            </w:r>
            <w:r>
              <w:rPr>
                <w:rFonts w:ascii="宋体" w:hAnsi="宋体" w:cs="宋体" w:eastAsia="宋体" w:hint="default"/>
                <w:sz w:val="16"/>
                <w:szCs w:val="16"/>
              </w:rPr>
            </w:r>
          </w:p>
        </w:tc>
        <w:tc>
          <w:tcPr>
            <w:tcW w:w="845" w:type="dxa"/>
            <w:tcBorders>
              <w:top w:val="nil" w:sz="6" w:space="0" w:color="auto"/>
              <w:left w:val="nil" w:sz="6" w:space="0" w:color="auto"/>
              <w:bottom w:val="nil" w:sz="6" w:space="0" w:color="auto"/>
              <w:right w:val="nil" w:sz="6" w:space="0" w:color="auto"/>
            </w:tcBorders>
          </w:tcPr>
          <w:p>
            <w:pPr>
              <w:pStyle w:val="TableParagraph"/>
              <w:spacing w:line="160" w:lineRule="exact"/>
              <w:ind w:left="422" w:right="0"/>
              <w:jc w:val="left"/>
              <w:rPr>
                <w:rFonts w:ascii="宋体" w:hAnsi="宋体" w:cs="宋体" w:eastAsia="宋体" w:hint="default"/>
                <w:sz w:val="16"/>
                <w:szCs w:val="16"/>
              </w:rPr>
            </w:pPr>
            <w:r>
              <w:rPr>
                <w:rFonts w:ascii="宋体" w:hAnsi="宋体" w:cs="宋体" w:eastAsia="宋体" w:hint="default"/>
                <w:sz w:val="16"/>
                <w:szCs w:val="16"/>
              </w:rPr>
              <w:t>原因</w:t>
            </w:r>
          </w:p>
          <w:p>
            <w:pPr>
              <w:pStyle w:val="TableParagraph"/>
              <w:spacing w:line="240" w:lineRule="auto" w:before="143"/>
              <w:ind w:left="171" w:right="0"/>
              <w:jc w:val="left"/>
              <w:rPr>
                <w:rFonts w:ascii="宋体" w:hAnsi="宋体" w:cs="宋体" w:eastAsia="宋体" w:hint="default"/>
                <w:sz w:val="16"/>
                <w:szCs w:val="16"/>
              </w:rPr>
            </w:pPr>
            <w:r>
              <w:rPr>
                <w:rFonts w:ascii="宋体" w:hAnsi="宋体" w:cs="宋体" w:eastAsia="宋体" w:hint="default"/>
                <w:sz w:val="16"/>
                <w:szCs w:val="16"/>
              </w:rPr>
              <w:t>货币回款</w:t>
            </w:r>
          </w:p>
        </w:tc>
      </w:tr>
      <w:tr>
        <w:trPr>
          <w:trHeight w:val="353" w:hRule="exact"/>
        </w:trPr>
        <w:tc>
          <w:tcPr>
            <w:tcW w:w="290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河北省唐县第二中学</w:t>
            </w:r>
          </w:p>
        </w:tc>
        <w:tc>
          <w:tcPr>
            <w:tcW w:w="171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71"/>
              <w:jc w:val="right"/>
              <w:rPr>
                <w:rFonts w:ascii="Times New Roman" w:hAnsi="Times New Roman" w:cs="Times New Roman" w:eastAsia="Times New Roman" w:hint="default"/>
                <w:sz w:val="16"/>
                <w:szCs w:val="16"/>
              </w:rPr>
            </w:pPr>
            <w:r>
              <w:rPr>
                <w:rFonts w:ascii="Times New Roman"/>
                <w:spacing w:val="-1"/>
                <w:sz w:val="16"/>
              </w:rPr>
              <w:t>600,000.00</w:t>
            </w:r>
          </w:p>
        </w:tc>
        <w:tc>
          <w:tcPr>
            <w:tcW w:w="1348"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53"/>
              <w:jc w:val="right"/>
              <w:rPr>
                <w:rFonts w:ascii="宋体" w:hAnsi="宋体" w:cs="宋体" w:eastAsia="宋体" w:hint="default"/>
                <w:sz w:val="16"/>
                <w:szCs w:val="16"/>
              </w:rPr>
            </w:pPr>
            <w:r>
              <w:rPr>
                <w:rFonts w:ascii="宋体" w:hAnsi="宋体" w:cs="宋体" w:eastAsia="宋体" w:hint="default"/>
                <w:w w:val="95"/>
                <w:sz w:val="16"/>
                <w:szCs w:val="16"/>
              </w:rPr>
              <w:t>可回收性</w:t>
            </w:r>
            <w:r>
              <w:rPr>
                <w:rFonts w:ascii="宋体" w:hAnsi="宋体" w:cs="宋体" w:eastAsia="宋体" w:hint="default"/>
                <w:sz w:val="16"/>
                <w:szCs w:val="16"/>
              </w:rPr>
            </w:r>
          </w:p>
        </w:tc>
        <w:tc>
          <w:tcPr>
            <w:tcW w:w="1085"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69"/>
              <w:jc w:val="right"/>
              <w:rPr>
                <w:rFonts w:ascii="宋体" w:hAnsi="宋体" w:cs="宋体" w:eastAsia="宋体" w:hint="default"/>
                <w:sz w:val="16"/>
                <w:szCs w:val="16"/>
              </w:rPr>
            </w:pPr>
            <w:r>
              <w:rPr>
                <w:rFonts w:ascii="宋体" w:hAnsi="宋体" w:cs="宋体" w:eastAsia="宋体" w:hint="default"/>
                <w:w w:val="95"/>
                <w:sz w:val="16"/>
                <w:szCs w:val="16"/>
              </w:rPr>
              <w:t>收到款项</w:t>
            </w:r>
            <w:r>
              <w:rPr>
                <w:rFonts w:ascii="宋体" w:hAnsi="宋体" w:cs="宋体" w:eastAsia="宋体" w:hint="default"/>
                <w:sz w:val="16"/>
                <w:szCs w:val="16"/>
              </w:rPr>
            </w:r>
          </w:p>
        </w:tc>
        <w:tc>
          <w:tcPr>
            <w:tcW w:w="845"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3"/>
              <w:jc w:val="right"/>
              <w:rPr>
                <w:rFonts w:ascii="宋体" w:hAnsi="宋体" w:cs="宋体" w:eastAsia="宋体" w:hint="default"/>
                <w:sz w:val="16"/>
                <w:szCs w:val="16"/>
              </w:rPr>
            </w:pPr>
            <w:r>
              <w:rPr>
                <w:rFonts w:ascii="宋体" w:hAnsi="宋体" w:cs="宋体" w:eastAsia="宋体" w:hint="default"/>
                <w:w w:val="95"/>
                <w:sz w:val="16"/>
                <w:szCs w:val="16"/>
              </w:rPr>
              <w:t>货币回款</w:t>
            </w:r>
            <w:r>
              <w:rPr>
                <w:rFonts w:ascii="宋体" w:hAnsi="宋体" w:cs="宋体" w:eastAsia="宋体" w:hint="default"/>
                <w:sz w:val="16"/>
                <w:szCs w:val="16"/>
              </w:rPr>
            </w:r>
          </w:p>
        </w:tc>
      </w:tr>
      <w:tr>
        <w:trPr>
          <w:trHeight w:val="354" w:hRule="exact"/>
        </w:trPr>
        <w:tc>
          <w:tcPr>
            <w:tcW w:w="290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齐齐哈尔市富拉尔基区教育局</w:t>
            </w:r>
          </w:p>
        </w:tc>
        <w:tc>
          <w:tcPr>
            <w:tcW w:w="171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71"/>
              <w:jc w:val="right"/>
              <w:rPr>
                <w:rFonts w:ascii="Times New Roman" w:hAnsi="Times New Roman" w:cs="Times New Roman" w:eastAsia="Times New Roman" w:hint="default"/>
                <w:sz w:val="16"/>
                <w:szCs w:val="16"/>
              </w:rPr>
            </w:pPr>
            <w:r>
              <w:rPr>
                <w:rFonts w:ascii="Times New Roman"/>
                <w:spacing w:val="-1"/>
                <w:sz w:val="16"/>
              </w:rPr>
              <w:t>400,000.00</w:t>
            </w:r>
          </w:p>
        </w:tc>
        <w:tc>
          <w:tcPr>
            <w:tcW w:w="1348"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53"/>
              <w:jc w:val="right"/>
              <w:rPr>
                <w:rFonts w:ascii="宋体" w:hAnsi="宋体" w:cs="宋体" w:eastAsia="宋体" w:hint="default"/>
                <w:sz w:val="16"/>
                <w:szCs w:val="16"/>
              </w:rPr>
            </w:pPr>
            <w:r>
              <w:rPr>
                <w:rFonts w:ascii="宋体" w:hAnsi="宋体" w:cs="宋体" w:eastAsia="宋体" w:hint="default"/>
                <w:w w:val="95"/>
                <w:sz w:val="16"/>
                <w:szCs w:val="16"/>
              </w:rPr>
              <w:t>可回收性</w:t>
            </w:r>
            <w:r>
              <w:rPr>
                <w:rFonts w:ascii="宋体" w:hAnsi="宋体" w:cs="宋体" w:eastAsia="宋体" w:hint="default"/>
                <w:sz w:val="16"/>
                <w:szCs w:val="16"/>
              </w:rPr>
            </w:r>
          </w:p>
        </w:tc>
        <w:tc>
          <w:tcPr>
            <w:tcW w:w="1085"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69"/>
              <w:jc w:val="right"/>
              <w:rPr>
                <w:rFonts w:ascii="宋体" w:hAnsi="宋体" w:cs="宋体" w:eastAsia="宋体" w:hint="default"/>
                <w:sz w:val="16"/>
                <w:szCs w:val="16"/>
              </w:rPr>
            </w:pPr>
            <w:r>
              <w:rPr>
                <w:rFonts w:ascii="宋体" w:hAnsi="宋体" w:cs="宋体" w:eastAsia="宋体" w:hint="default"/>
                <w:w w:val="95"/>
                <w:sz w:val="16"/>
                <w:szCs w:val="16"/>
              </w:rPr>
              <w:t>收到款项</w:t>
            </w:r>
            <w:r>
              <w:rPr>
                <w:rFonts w:ascii="宋体" w:hAnsi="宋体" w:cs="宋体" w:eastAsia="宋体" w:hint="default"/>
                <w:sz w:val="16"/>
                <w:szCs w:val="16"/>
              </w:rPr>
            </w:r>
          </w:p>
        </w:tc>
        <w:tc>
          <w:tcPr>
            <w:tcW w:w="845"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3"/>
              <w:jc w:val="right"/>
              <w:rPr>
                <w:rFonts w:ascii="宋体" w:hAnsi="宋体" w:cs="宋体" w:eastAsia="宋体" w:hint="default"/>
                <w:sz w:val="16"/>
                <w:szCs w:val="16"/>
              </w:rPr>
            </w:pPr>
            <w:r>
              <w:rPr>
                <w:rFonts w:ascii="宋体" w:hAnsi="宋体" w:cs="宋体" w:eastAsia="宋体" w:hint="default"/>
                <w:w w:val="95"/>
                <w:sz w:val="16"/>
                <w:szCs w:val="16"/>
              </w:rPr>
              <w:t>货币回款</w:t>
            </w:r>
            <w:r>
              <w:rPr>
                <w:rFonts w:ascii="宋体" w:hAnsi="宋体" w:cs="宋体" w:eastAsia="宋体" w:hint="default"/>
                <w:sz w:val="16"/>
                <w:szCs w:val="16"/>
              </w:rPr>
            </w:r>
          </w:p>
        </w:tc>
      </w:tr>
      <w:tr>
        <w:trPr>
          <w:trHeight w:val="353" w:hRule="exact"/>
        </w:trPr>
        <w:tc>
          <w:tcPr>
            <w:tcW w:w="290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贵阳兴一凡科技有限公司</w:t>
            </w:r>
          </w:p>
        </w:tc>
        <w:tc>
          <w:tcPr>
            <w:tcW w:w="171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71"/>
              <w:jc w:val="right"/>
              <w:rPr>
                <w:rFonts w:ascii="Times New Roman" w:hAnsi="Times New Roman" w:cs="Times New Roman" w:eastAsia="Times New Roman" w:hint="default"/>
                <w:sz w:val="16"/>
                <w:szCs w:val="16"/>
              </w:rPr>
            </w:pPr>
            <w:r>
              <w:rPr>
                <w:rFonts w:ascii="Times New Roman"/>
                <w:spacing w:val="-1"/>
                <w:sz w:val="16"/>
              </w:rPr>
              <w:t>328,520.53</w:t>
            </w:r>
          </w:p>
        </w:tc>
        <w:tc>
          <w:tcPr>
            <w:tcW w:w="1348"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53"/>
              <w:jc w:val="right"/>
              <w:rPr>
                <w:rFonts w:ascii="宋体" w:hAnsi="宋体" w:cs="宋体" w:eastAsia="宋体" w:hint="default"/>
                <w:sz w:val="16"/>
                <w:szCs w:val="16"/>
              </w:rPr>
            </w:pPr>
            <w:r>
              <w:rPr>
                <w:rFonts w:ascii="宋体" w:hAnsi="宋体" w:cs="宋体" w:eastAsia="宋体" w:hint="default"/>
                <w:w w:val="95"/>
                <w:sz w:val="16"/>
                <w:szCs w:val="16"/>
              </w:rPr>
              <w:t>可回收性</w:t>
            </w:r>
            <w:r>
              <w:rPr>
                <w:rFonts w:ascii="宋体" w:hAnsi="宋体" w:cs="宋体" w:eastAsia="宋体" w:hint="default"/>
                <w:sz w:val="16"/>
                <w:szCs w:val="16"/>
              </w:rPr>
            </w:r>
          </w:p>
        </w:tc>
        <w:tc>
          <w:tcPr>
            <w:tcW w:w="1085"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69"/>
              <w:jc w:val="right"/>
              <w:rPr>
                <w:rFonts w:ascii="宋体" w:hAnsi="宋体" w:cs="宋体" w:eastAsia="宋体" w:hint="default"/>
                <w:sz w:val="16"/>
                <w:szCs w:val="16"/>
              </w:rPr>
            </w:pPr>
            <w:r>
              <w:rPr>
                <w:rFonts w:ascii="宋体" w:hAnsi="宋体" w:cs="宋体" w:eastAsia="宋体" w:hint="default"/>
                <w:w w:val="95"/>
                <w:sz w:val="16"/>
                <w:szCs w:val="16"/>
              </w:rPr>
              <w:t>诉讼收回</w:t>
            </w:r>
            <w:r>
              <w:rPr>
                <w:rFonts w:ascii="宋体" w:hAnsi="宋体" w:cs="宋体" w:eastAsia="宋体" w:hint="default"/>
                <w:sz w:val="16"/>
                <w:szCs w:val="16"/>
              </w:rPr>
            </w:r>
          </w:p>
        </w:tc>
        <w:tc>
          <w:tcPr>
            <w:tcW w:w="845"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3"/>
              <w:jc w:val="right"/>
              <w:rPr>
                <w:rFonts w:ascii="宋体" w:hAnsi="宋体" w:cs="宋体" w:eastAsia="宋体" w:hint="default"/>
                <w:sz w:val="16"/>
                <w:szCs w:val="16"/>
              </w:rPr>
            </w:pPr>
            <w:r>
              <w:rPr>
                <w:rFonts w:ascii="宋体" w:hAnsi="宋体" w:cs="宋体" w:eastAsia="宋体" w:hint="default"/>
                <w:w w:val="95"/>
                <w:sz w:val="16"/>
                <w:szCs w:val="16"/>
              </w:rPr>
              <w:t>货币回款</w:t>
            </w:r>
            <w:r>
              <w:rPr>
                <w:rFonts w:ascii="宋体" w:hAnsi="宋体" w:cs="宋体" w:eastAsia="宋体" w:hint="default"/>
                <w:sz w:val="16"/>
                <w:szCs w:val="16"/>
              </w:rPr>
            </w:r>
          </w:p>
        </w:tc>
      </w:tr>
      <w:tr>
        <w:trPr>
          <w:trHeight w:val="358" w:hRule="exact"/>
        </w:trPr>
        <w:tc>
          <w:tcPr>
            <w:tcW w:w="290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5"/>
              <w:jc w:val="center"/>
              <w:rPr>
                <w:rFonts w:ascii="宋体" w:hAnsi="宋体" w:cs="宋体" w:eastAsia="宋体" w:hint="default"/>
                <w:sz w:val="16"/>
                <w:szCs w:val="16"/>
              </w:rPr>
            </w:pPr>
            <w:r>
              <w:rPr>
                <w:rFonts w:ascii="宋体" w:hAnsi="宋体" w:cs="宋体" w:eastAsia="宋体" w:hint="default"/>
                <w:sz w:val="16"/>
                <w:szCs w:val="16"/>
              </w:rPr>
              <w:t>合计</w:t>
            </w:r>
          </w:p>
        </w:tc>
        <w:tc>
          <w:tcPr>
            <w:tcW w:w="171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271"/>
              <w:jc w:val="right"/>
              <w:rPr>
                <w:rFonts w:ascii="Times New Roman" w:hAnsi="Times New Roman" w:cs="Times New Roman" w:eastAsia="Times New Roman" w:hint="default"/>
                <w:sz w:val="16"/>
                <w:szCs w:val="16"/>
              </w:rPr>
            </w:pPr>
            <w:r>
              <w:rPr>
                <w:rFonts w:ascii="Times New Roman"/>
                <w:spacing w:val="-1"/>
                <w:sz w:val="16"/>
              </w:rPr>
              <w:t>3,052,818.23</w:t>
            </w:r>
          </w:p>
        </w:tc>
        <w:tc>
          <w:tcPr>
            <w:tcW w:w="1348" w:type="dxa"/>
            <w:tcBorders>
              <w:top w:val="nil" w:sz="6" w:space="0" w:color="auto"/>
              <w:left w:val="nil" w:sz="6" w:space="0" w:color="auto"/>
              <w:bottom w:val="nil" w:sz="6" w:space="0" w:color="auto"/>
              <w:right w:val="nil" w:sz="6" w:space="0" w:color="auto"/>
            </w:tcBorders>
          </w:tcPr>
          <w:p>
            <w:pPr/>
          </w:p>
        </w:tc>
        <w:tc>
          <w:tcPr>
            <w:tcW w:w="1085" w:type="dxa"/>
            <w:tcBorders>
              <w:top w:val="nil" w:sz="6" w:space="0" w:color="auto"/>
              <w:left w:val="nil" w:sz="6" w:space="0" w:color="auto"/>
              <w:bottom w:val="nil" w:sz="6" w:space="0" w:color="auto"/>
              <w:right w:val="nil" w:sz="6" w:space="0" w:color="auto"/>
            </w:tcBorders>
          </w:tcPr>
          <w:p>
            <w:pPr/>
          </w:p>
        </w:tc>
        <w:tc>
          <w:tcPr>
            <w:tcW w:w="845"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p>
      <w:pPr>
        <w:pStyle w:val="BodyText"/>
        <w:spacing w:line="240" w:lineRule="auto" w:before="35"/>
        <w:ind w:right="3681"/>
        <w:jc w:val="left"/>
      </w:pPr>
      <w:r>
        <w:rPr/>
        <w:pict>
          <v:group style="position:absolute;margin-left:119.010002pt;margin-top:-141.866196pt;width:412pt;height:119pt;mso-position-horizontal-relative:page;mso-position-vertical-relative:paragraph;z-index:-1361536" coordorigin="2380,-2837" coordsize="8240,2380">
            <v:group style="position:absolute;left:2410;top:-2822;width:2931;height:2" coordorigin="2410,-2822" coordsize="2931,2">
              <v:shape style="position:absolute;left:2410;top:-2822;width:2931;height:2" coordorigin="2410,-2822" coordsize="2931,0" path="m2410,-2822l5340,-2822e" filled="false" stroked="true" strokeweight="1.5pt" strokecolor="#000000">
                <v:path arrowok="t"/>
              </v:shape>
              <v:shape style="position:absolute;left:5340;top:-2807;width:10;height:28" type="#_x0000_t75" stroked="false">
                <v:imagedata r:id="rId37" o:title=""/>
              </v:shape>
            </v:group>
            <v:group style="position:absolute;left:5340;top:-2822;width:1553;height:2" coordorigin="5340,-2822" coordsize="1553,2">
              <v:shape style="position:absolute;left:5340;top:-2822;width:1553;height:2" coordorigin="5340,-2822" coordsize="1553,0" path="m5340,-2822l6893,-2822e" filled="false" stroked="true" strokeweight="1.5pt" strokecolor="#000000">
                <v:path arrowok="t"/>
              </v:shape>
              <v:shape style="position:absolute;left:6893;top:-2807;width:10;height:28" type="#_x0000_t75" stroked="false">
                <v:imagedata r:id="rId37" o:title=""/>
              </v:shape>
            </v:group>
            <v:group style="position:absolute;left:6893;top:-2822;width:1680;height:2" coordorigin="6893,-2822" coordsize="1680,2">
              <v:shape style="position:absolute;left:6893;top:-2822;width:1680;height:2" coordorigin="6893,-2822" coordsize="1680,0" path="m6893,-2822l8573,-2822e" filled="false" stroked="true" strokeweight="1.5pt" strokecolor="#000000">
                <v:path arrowok="t"/>
              </v:shape>
              <v:shape style="position:absolute;left:8573;top:-2807;width:10;height:28" type="#_x0000_t75" stroked="false">
                <v:imagedata r:id="rId37" o:title=""/>
              </v:shape>
            </v:group>
            <v:group style="position:absolute;left:8573;top:-2822;width:982;height:2" coordorigin="8573,-2822" coordsize="982,2">
              <v:shape style="position:absolute;left:8573;top:-2822;width:982;height:2" coordorigin="8573,-2822" coordsize="982,0" path="m8573,-2822l9554,-2822e" filled="false" stroked="true" strokeweight="1.5pt" strokecolor="#000000">
                <v:path arrowok="t"/>
              </v:shape>
              <v:shape style="position:absolute;left:9554;top:-2807;width:10;height:28" type="#_x0000_t75" stroked="false">
                <v:imagedata r:id="rId37" o:title=""/>
              </v:shape>
            </v:group>
            <v:group style="position:absolute;left:9554;top:-2822;width:1043;height:2" coordorigin="9554,-2822" coordsize="1043,2">
              <v:shape style="position:absolute;left:9554;top:-2822;width:1043;height:2" coordorigin="9554,-2822" coordsize="1043,0" path="m9554,-2822l10597,-2822e" filled="false" stroked="true" strokeweight="1.5pt" strokecolor="#000000">
                <v:path arrowok="t"/>
              </v:shape>
              <v:shape style="position:absolute;left:5321;top:-2799;width:4262;height:563" type="#_x0000_t75" stroked="false">
                <v:imagedata r:id="rId498" o:title=""/>
              </v:shape>
            </v:group>
            <v:group style="position:absolute;left:2395;top:-473;width:2945;height:2" coordorigin="2395,-473" coordsize="2945,2">
              <v:shape style="position:absolute;left:2395;top:-473;width:2945;height:2" coordorigin="2395,-473" coordsize="2945,0" path="m2395,-473l5340,-473e" filled="false" stroked="true" strokeweight="1.5pt" strokecolor="#000000">
                <v:path arrowok="t"/>
              </v:shape>
            </v:group>
            <v:group style="position:absolute;left:5340;top:-473;width:1553;height:2" coordorigin="5340,-473" coordsize="1553,2">
              <v:shape style="position:absolute;left:5340;top:-473;width:1553;height:2" coordorigin="5340,-473" coordsize="1553,0" path="m5340,-473l6893,-473e" filled="false" stroked="true" strokeweight="1.5pt" strokecolor="#000000">
                <v:path arrowok="t"/>
              </v:shape>
            </v:group>
            <v:group style="position:absolute;left:6893;top:-473;width:1680;height:2" coordorigin="6893,-473" coordsize="1680,2">
              <v:shape style="position:absolute;left:6893;top:-473;width:1680;height:2" coordorigin="6893,-473" coordsize="1680,0" path="m6893,-473l8573,-473e" filled="false" stroked="true" strokeweight="1.5pt" strokecolor="#000000">
                <v:path arrowok="t"/>
              </v:shape>
            </v:group>
            <v:group style="position:absolute;left:8573;top:-473;width:982;height:2" coordorigin="8573,-473" coordsize="982,2">
              <v:shape style="position:absolute;left:8573;top:-473;width:982;height:2" coordorigin="8573,-473" coordsize="982,0" path="m8573,-473l9554,-473e" filled="false" stroked="true" strokeweight="1.5pt" strokecolor="#000000">
                <v:path arrowok="t"/>
              </v:shape>
              <v:shape style="position:absolute;left:2390;top:-2275;width:8230;height:1787" type="#_x0000_t75" stroked="false">
                <v:imagedata r:id="rId499" o:title=""/>
              </v:shape>
            </v:group>
            <v:group style="position:absolute;left:9554;top:-473;width:1043;height:2" coordorigin="9554,-473" coordsize="1043,2">
              <v:shape style="position:absolute;left:9554;top:-473;width:1043;height:2" coordorigin="9554,-473" coordsize="1043,0" path="m9554,-473l10597,-473e" filled="false" stroked="true" strokeweight="1.5pt" strokecolor="#000000">
                <v:path arrowok="t"/>
              </v:shape>
              <v:shape style="position:absolute;left:3557;top:-2612;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单位名称</w:t>
                      </w:r>
                      <w:r>
                        <w:rPr>
                          <w:rFonts w:ascii="宋体" w:hAnsi="宋体" w:cs="宋体" w:eastAsia="宋体" w:hint="default"/>
                          <w:sz w:val="16"/>
                          <w:szCs w:val="16"/>
                        </w:rPr>
                      </w:r>
                    </w:p>
                  </w:txbxContent>
                </v:textbox>
                <w10:wrap type="none"/>
              </v:shape>
              <v:shape style="position:absolute;left:5560;top:-2612;width:111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转回或收回金额</w:t>
                      </w:r>
                      <w:r>
                        <w:rPr>
                          <w:rFonts w:ascii="宋体" w:hAnsi="宋体" w:cs="宋体" w:eastAsia="宋体" w:hint="default"/>
                          <w:sz w:val="16"/>
                          <w:szCs w:val="16"/>
                        </w:rPr>
                      </w:r>
                    </w:p>
                  </w:txbxContent>
                </v:textbox>
                <w10:wrap type="none"/>
              </v:shape>
              <v:shape style="position:absolute;left:7018;top:-2715;width:14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确定原坏账准备的依</w:t>
                      </w:r>
                      <w:r>
                        <w:rPr>
                          <w:rFonts w:ascii="宋体" w:hAnsi="宋体" w:cs="宋体" w:eastAsia="宋体" w:hint="default"/>
                          <w:sz w:val="16"/>
                          <w:szCs w:val="16"/>
                        </w:rPr>
                      </w:r>
                    </w:p>
                  </w:txbxContent>
                </v:textbox>
                <w10:wrap type="none"/>
              </v:shape>
              <v:shape style="position:absolute;left:8748;top:-2612;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收回方式</w:t>
                      </w:r>
                      <w:r>
                        <w:rPr>
                          <w:rFonts w:ascii="宋体" w:hAnsi="宋体" w:cs="宋体" w:eastAsia="宋体" w:hint="default"/>
                          <w:sz w:val="16"/>
                          <w:szCs w:val="16"/>
                        </w:rPr>
                      </w:r>
                    </w:p>
                  </w:txbxContent>
                </v:textbox>
                <w10:wrap type="none"/>
              </v:shape>
              <v:shape style="position:absolute;left:9678;top:-2715;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转回或收回</w:t>
                      </w:r>
                      <w:r>
                        <w:rPr>
                          <w:rFonts w:ascii="宋体" w:hAnsi="宋体" w:cs="宋体" w:eastAsia="宋体" w:hint="default"/>
                          <w:sz w:val="16"/>
                          <w:szCs w:val="16"/>
                        </w:rPr>
                      </w:r>
                    </w:p>
                  </w:txbxContent>
                </v:textbox>
                <w10:wrap type="none"/>
              </v:shape>
            </v:group>
            <w10:wrap type="none"/>
          </v:group>
        </w:pict>
      </w:r>
      <w:r>
        <w:rPr/>
        <w:t>（</w:t>
      </w:r>
      <w:r>
        <w:rPr>
          <w:rFonts w:ascii="Times New Roman" w:hAnsi="Times New Roman" w:cs="Times New Roman" w:eastAsia="Times New Roman" w:hint="default"/>
        </w:rPr>
        <w:t>3</w:t>
      </w:r>
      <w:r>
        <w:rPr/>
        <w:t>）本期实际核销的应收账款情况</w:t>
      </w:r>
    </w:p>
    <w:p>
      <w:pPr>
        <w:spacing w:line="757" w:lineRule="exact"/>
        <w:ind w:left="720" w:right="0" w:firstLine="0"/>
        <w:rPr>
          <w:rFonts w:ascii="宋体" w:hAnsi="宋体" w:cs="宋体" w:eastAsia="宋体" w:hint="default"/>
          <w:sz w:val="20"/>
          <w:szCs w:val="20"/>
        </w:rPr>
      </w:pPr>
      <w:r>
        <w:rPr>
          <w:rFonts w:ascii="宋体" w:hAnsi="宋体" w:cs="宋体" w:eastAsia="宋体" w:hint="default"/>
          <w:position w:val="-14"/>
          <w:sz w:val="20"/>
          <w:szCs w:val="20"/>
        </w:rPr>
        <w:pict>
          <v:group style="width:411.6pt;height:37.9pt;mso-position-horizontal-relative:char;mso-position-vertical-relative:line" coordorigin="0,0" coordsize="8232,758">
            <v:group style="position:absolute;left:29;top:15;width:5098;height:2" coordorigin="29,15" coordsize="5098,2">
              <v:shape style="position:absolute;left:29;top:15;width:5098;height:2" coordorigin="29,15" coordsize="5098,0" path="m29,15l5127,15e" filled="false" stroked="true" strokeweight="1.5pt" strokecolor="#000000">
                <v:path arrowok="t"/>
              </v:shape>
            </v:group>
            <v:group style="position:absolute;left:5127;top:15;width:3090;height:2" coordorigin="5127,15" coordsize="3090,2">
              <v:shape style="position:absolute;left:5127;top:15;width:3090;height:2" coordorigin="5127,15" coordsize="3090,0" path="m5127,15l8217,15e" filled="false" stroked="true" strokeweight="1.5pt" strokecolor="#000000">
                <v:path arrowok="t"/>
              </v:shape>
            </v:group>
            <v:group style="position:absolute;left:15;top:742;width:5112;height:2" coordorigin="15,742" coordsize="5112,2">
              <v:shape style="position:absolute;left:15;top:742;width:5112;height:2" coordorigin="15,742" coordsize="5112,0" path="m15,742l5127,742e" filled="false" stroked="true" strokeweight="1.5pt" strokecolor="#000000">
                <v:path arrowok="t"/>
              </v:shape>
              <v:shape style="position:absolute;left:10;top:30;width:8218;height:697" type="#_x0000_t75" stroked="false">
                <v:imagedata r:id="rId500" o:title=""/>
              </v:shape>
            </v:group>
            <v:group style="position:absolute;left:5127;top:742;width:3090;height:2" coordorigin="5127,742" coordsize="3090,2">
              <v:shape style="position:absolute;left:5127;top:742;width:3090;height:2" coordorigin="5127,742" coordsize="3090,0" path="m5127,742l8217,742e" filled="false" stroked="true" strokeweight="1.5pt" strokecolor="#000000">
                <v:path arrowok="t"/>
              </v:shape>
              <v:shape style="position:absolute;left:2420;top:122;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项目</w:t>
                      </w:r>
                      <w:r>
                        <w:rPr>
                          <w:rFonts w:ascii="宋体" w:hAnsi="宋体" w:cs="宋体" w:eastAsia="宋体" w:hint="default"/>
                          <w:sz w:val="16"/>
                          <w:szCs w:val="16"/>
                        </w:rPr>
                      </w:r>
                    </w:p>
                  </w:txbxContent>
                </v:textbox>
                <w10:wrap type="none"/>
              </v:shape>
              <v:shape style="position:absolute;left:6353;top:122;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核销金额</w:t>
                      </w:r>
                      <w:r>
                        <w:rPr>
                          <w:rFonts w:ascii="宋体" w:hAnsi="宋体" w:cs="宋体" w:eastAsia="宋体" w:hint="default"/>
                          <w:sz w:val="16"/>
                          <w:szCs w:val="16"/>
                        </w:rPr>
                      </w:r>
                    </w:p>
                  </w:txbxContent>
                </v:textbox>
                <w10:wrap type="none"/>
              </v:shape>
              <v:shape style="position:absolute;left:137;top:475;width:14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实际核销的应收账款</w:t>
                      </w:r>
                      <w:r>
                        <w:rPr>
                          <w:rFonts w:ascii="宋体" w:hAnsi="宋体" w:cs="宋体" w:eastAsia="宋体" w:hint="default"/>
                          <w:sz w:val="16"/>
                          <w:szCs w:val="16"/>
                        </w:rPr>
                      </w:r>
                    </w:p>
                  </w:txbxContent>
                </v:textbox>
                <w10:wrap type="none"/>
              </v:shape>
              <v:shape style="position:absolute;left:7389;top:488;width:7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581,396.19</w:t>
                      </w:r>
                      <w:r>
                        <w:rPr>
                          <w:rFonts w:ascii="Times New Roman"/>
                          <w:sz w:val="16"/>
                        </w:rPr>
                      </w:r>
                    </w:p>
                  </w:txbxContent>
                </v:textbox>
                <w10:wrap type="none"/>
              </v:shape>
            </v:group>
          </v:group>
        </w:pict>
      </w:r>
      <w:r>
        <w:rPr>
          <w:rFonts w:ascii="宋体" w:hAnsi="宋体" w:cs="宋体" w:eastAsia="宋体" w:hint="default"/>
          <w:position w:val="-14"/>
          <w:sz w:val="20"/>
          <w:szCs w:val="20"/>
        </w:rPr>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6"/>
          <w:szCs w:val="16"/>
        </w:rPr>
      </w:pPr>
    </w:p>
    <w:p>
      <w:pPr>
        <w:pStyle w:val="BodyText"/>
        <w:spacing w:line="240" w:lineRule="auto" w:before="35"/>
        <w:ind w:right="3681"/>
        <w:jc w:val="left"/>
      </w:pPr>
      <w:r>
        <w:rPr/>
        <w:pict>
          <v:group style="position:absolute;margin-left:119.010002pt;margin-top:17.133799pt;width:411.75pt;height:94pt;mso-position-horizontal-relative:page;mso-position-vertical-relative:paragraph;z-index:-1361320" coordorigin="2380,343" coordsize="8235,1880">
            <v:group style="position:absolute;left:2410;top:358;width:2681;height:2" coordorigin="2410,358" coordsize="2681,2">
              <v:shape style="position:absolute;left:2410;top:358;width:2681;height:2" coordorigin="2410,358" coordsize="2681,0" path="m2410,358l5090,358e" filled="false" stroked="true" strokeweight="1.5pt" strokecolor="#000000">
                <v:path arrowok="t"/>
              </v:shape>
              <v:shape style="position:absolute;left:5090;top:373;width:10;height:28" type="#_x0000_t75" stroked="false">
                <v:imagedata r:id="rId96" o:title=""/>
              </v:shape>
            </v:group>
            <v:group style="position:absolute;left:5090;top:358;width:822;height:2" coordorigin="5090,358" coordsize="822,2">
              <v:shape style="position:absolute;left:5090;top:358;width:822;height:2" coordorigin="5090,358" coordsize="822,0" path="m5090,358l5912,358e" filled="false" stroked="true" strokeweight="1.5pt" strokecolor="#000000">
                <v:path arrowok="t"/>
              </v:shape>
              <v:shape style="position:absolute;left:5912;top:373;width:10;height:28" type="#_x0000_t75" stroked="false">
                <v:imagedata r:id="rId96" o:title=""/>
              </v:shape>
            </v:group>
            <v:group style="position:absolute;left:5912;top:358;width:1128;height:2" coordorigin="5912,358" coordsize="1128,2">
              <v:shape style="position:absolute;left:5912;top:358;width:1128;height:2" coordorigin="5912,358" coordsize="1128,0" path="m5912,358l7040,358e" filled="false" stroked="true" strokeweight="1.5pt" strokecolor="#000000">
                <v:path arrowok="t"/>
              </v:shape>
              <v:shape style="position:absolute;left:7040;top:373;width:10;height:28" type="#_x0000_t75" stroked="false">
                <v:imagedata r:id="rId96" o:title=""/>
              </v:shape>
            </v:group>
            <v:group style="position:absolute;left:7040;top:358;width:1355;height:2" coordorigin="7040,358" coordsize="1355,2">
              <v:shape style="position:absolute;left:7040;top:358;width:1355;height:2" coordorigin="7040,358" coordsize="1355,0" path="m7040,358l8395,358e" filled="false" stroked="true" strokeweight="1.5pt" strokecolor="#000000">
                <v:path arrowok="t"/>
              </v:shape>
              <v:shape style="position:absolute;left:8395;top:373;width:10;height:28" type="#_x0000_t75" stroked="false">
                <v:imagedata r:id="rId96" o:title=""/>
              </v:shape>
            </v:group>
            <v:group style="position:absolute;left:8395;top:358;width:1209;height:2" coordorigin="8395,358" coordsize="1209,2">
              <v:shape style="position:absolute;left:8395;top:358;width:1209;height:2" coordorigin="8395,358" coordsize="1209,0" path="m8395,358l9604,358e" filled="false" stroked="true" strokeweight="1.5pt" strokecolor="#000000">
                <v:path arrowok="t"/>
              </v:shape>
              <v:shape style="position:absolute;left:9604;top:373;width:10;height:28" type="#_x0000_t75" stroked="false">
                <v:imagedata r:id="rId96" o:title=""/>
              </v:shape>
            </v:group>
            <v:group style="position:absolute;left:9604;top:358;width:994;height:2" coordorigin="9604,358" coordsize="994,2">
              <v:shape style="position:absolute;left:9604;top:358;width:994;height:2" coordorigin="9604,358" coordsize="994,0" path="m9604,358l10597,358e" filled="false" stroked="true" strokeweight="1.5pt" strokecolor="#000000">
                <v:path arrowok="t"/>
              </v:shape>
              <v:shape style="position:absolute;left:5071;top:381;width:4561;height:769" type="#_x0000_t75" stroked="false">
                <v:imagedata r:id="rId501" o:title=""/>
              </v:shape>
            </v:group>
            <v:group style="position:absolute;left:2395;top:2207;width:2696;height:2" coordorigin="2395,2207" coordsize="2696,2">
              <v:shape style="position:absolute;left:2395;top:2207;width:2696;height:2" coordorigin="2395,2207" coordsize="2696,0" path="m2395,2207l5090,2207e" filled="false" stroked="true" strokeweight="1.5pt" strokecolor="#000000">
                <v:path arrowok="t"/>
              </v:shape>
            </v:group>
            <v:group style="position:absolute;left:5090;top:2207;width:822;height:2" coordorigin="5090,2207" coordsize="822,2">
              <v:shape style="position:absolute;left:5090;top:2207;width:822;height:2" coordorigin="5090,2207" coordsize="822,0" path="m5090,2207l5912,2207e" filled="false" stroked="true" strokeweight="1.5pt" strokecolor="#000000">
                <v:path arrowok="t"/>
              </v:shape>
            </v:group>
            <v:group style="position:absolute;left:5912;top:2207;width:1128;height:2" coordorigin="5912,2207" coordsize="1128,2">
              <v:shape style="position:absolute;left:5912;top:2207;width:1128;height:2" coordorigin="5912,2207" coordsize="1128,0" path="m5912,2207l7040,2207e" filled="false" stroked="true" strokeweight="1.5pt" strokecolor="#000000">
                <v:path arrowok="t"/>
              </v:shape>
            </v:group>
            <v:group style="position:absolute;left:7040;top:2207;width:1355;height:2" coordorigin="7040,2207" coordsize="1355,2">
              <v:shape style="position:absolute;left:7040;top:2207;width:1355;height:2" coordorigin="7040,2207" coordsize="1355,0" path="m7040,2207l8395,2207e" filled="false" stroked="true" strokeweight="1.5pt" strokecolor="#000000">
                <v:path arrowok="t"/>
              </v:shape>
            </v:group>
            <v:group style="position:absolute;left:8395;top:2207;width:1209;height:2" coordorigin="8395,2207" coordsize="1209,2">
              <v:shape style="position:absolute;left:8395;top:2207;width:1209;height:2" coordorigin="8395,2207" coordsize="1209,0" path="m8395,2207l9604,2207e" filled="false" stroked="true" strokeweight="1.5pt" strokecolor="#000000">
                <v:path arrowok="t"/>
              </v:shape>
              <v:shape style="position:absolute;left:2397;top:1118;width:8218;height:1074" type="#_x0000_t75" stroked="false">
                <v:imagedata r:id="rId502" o:title=""/>
              </v:shape>
            </v:group>
            <v:group style="position:absolute;left:9604;top:2207;width:994;height:2" coordorigin="9604,2207" coordsize="994,2">
              <v:shape style="position:absolute;left:9604;top:2207;width:994;height:2" coordorigin="9604,2207" coordsize="994,0" path="m9604,2207l10597,2207e" filled="false" stroked="true" strokeweight="1.5pt" strokecolor="#000000">
                <v:path arrowok="t"/>
              </v:shape>
              <v:shape style="position:absolute;left:3432;top:671;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单位名称</w:t>
                      </w:r>
                      <w:r>
                        <w:rPr>
                          <w:rFonts w:ascii="宋体" w:hAnsi="宋体" w:cs="宋体" w:eastAsia="宋体" w:hint="default"/>
                          <w:sz w:val="16"/>
                          <w:szCs w:val="16"/>
                        </w:rPr>
                      </w:r>
                    </w:p>
                  </w:txbxContent>
                </v:textbox>
                <w10:wrap type="none"/>
              </v:shape>
              <v:shape style="position:absolute;left:5266;top:568;width:479;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应收账</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款性质</w:t>
                      </w:r>
                      <w:r>
                        <w:rPr>
                          <w:rFonts w:ascii="宋体" w:hAnsi="宋体" w:cs="宋体" w:eastAsia="宋体" w:hint="default"/>
                          <w:sz w:val="16"/>
                          <w:szCs w:val="16"/>
                        </w:rPr>
                      </w:r>
                    </w:p>
                  </w:txbxContent>
                </v:textbox>
                <w10:wrap type="none"/>
              </v:shape>
              <v:shape style="position:absolute;left:6161;top:671;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核销金额</w:t>
                      </w:r>
                      <w:r>
                        <w:rPr>
                          <w:rFonts w:ascii="宋体" w:hAnsi="宋体" w:cs="宋体" w:eastAsia="宋体" w:hint="default"/>
                          <w:sz w:val="16"/>
                          <w:szCs w:val="16"/>
                        </w:rPr>
                      </w:r>
                    </w:p>
                  </w:txbxContent>
                </v:textbox>
                <w10:wrap type="none"/>
              </v:shape>
              <v:shape style="position:absolute;left:7402;top:671;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核销原因</w:t>
                      </w:r>
                      <w:r>
                        <w:rPr>
                          <w:rFonts w:ascii="宋体" w:hAnsi="宋体" w:cs="宋体" w:eastAsia="宋体" w:hint="default"/>
                          <w:sz w:val="16"/>
                          <w:szCs w:val="16"/>
                        </w:rPr>
                      </w:r>
                    </w:p>
                  </w:txbxContent>
                </v:textbox>
                <w10:wrap type="none"/>
              </v:shape>
              <v:shape style="position:absolute;left:8603;top:548;width:800;height:407" type="#_x0000_t202" filled="false" stroked="false">
                <v:textbox inset="0,0,0,0">
                  <w:txbxContent>
                    <w:p>
                      <w:pPr>
                        <w:spacing w:line="160" w:lineRule="exact" w:before="0"/>
                        <w:ind w:left="0" w:right="0" w:firstLine="0"/>
                        <w:jc w:val="center"/>
                        <w:rPr>
                          <w:rFonts w:ascii="宋体" w:hAnsi="宋体" w:cs="宋体" w:eastAsia="宋体" w:hint="default"/>
                          <w:sz w:val="16"/>
                          <w:szCs w:val="16"/>
                        </w:rPr>
                      </w:pPr>
                      <w:r>
                        <w:rPr>
                          <w:rFonts w:ascii="宋体" w:hAnsi="宋体" w:cs="宋体" w:eastAsia="宋体" w:hint="default"/>
                          <w:w w:val="95"/>
                          <w:sz w:val="16"/>
                          <w:szCs w:val="16"/>
                        </w:rPr>
                        <w:t>履行的核销</w:t>
                      </w:r>
                      <w:r>
                        <w:rPr>
                          <w:rFonts w:ascii="宋体" w:hAnsi="宋体" w:cs="宋体" w:eastAsia="宋体" w:hint="default"/>
                          <w:sz w:val="16"/>
                          <w:szCs w:val="16"/>
                        </w:rPr>
                      </w:r>
                    </w:p>
                    <w:p>
                      <w:pPr>
                        <w:spacing w:before="38"/>
                        <w:ind w:left="0" w:right="0" w:firstLine="0"/>
                        <w:jc w:val="center"/>
                        <w:rPr>
                          <w:rFonts w:ascii="宋体" w:hAnsi="宋体" w:cs="宋体" w:eastAsia="宋体" w:hint="default"/>
                          <w:sz w:val="16"/>
                          <w:szCs w:val="16"/>
                        </w:rPr>
                      </w:pPr>
                      <w:r>
                        <w:rPr>
                          <w:rFonts w:ascii="宋体" w:hAnsi="宋体" w:cs="宋体" w:eastAsia="宋体" w:hint="default"/>
                          <w:sz w:val="16"/>
                          <w:szCs w:val="16"/>
                        </w:rPr>
                        <w:t>程序</w:t>
                      </w:r>
                    </w:p>
                  </w:txbxContent>
                </v:textbox>
                <w10:wrap type="none"/>
              </v:shape>
              <v:shape style="position:absolute;left:9782;top:464;width:639;height:575" type="#_x0000_t202" filled="false" stroked="false">
                <v:textbox inset="0,0,0,0">
                  <w:txbxContent>
                    <w:p>
                      <w:pPr>
                        <w:spacing w:line="158"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款项是否</w:t>
                      </w:r>
                      <w:r>
                        <w:rPr>
                          <w:rFonts w:ascii="宋体" w:hAnsi="宋体" w:cs="宋体" w:eastAsia="宋体" w:hint="default"/>
                          <w:sz w:val="16"/>
                          <w:szCs w:val="16"/>
                        </w:rPr>
                      </w:r>
                    </w:p>
                    <w:p>
                      <w:pPr>
                        <w:spacing w:before="0"/>
                        <w:ind w:left="80" w:right="0" w:hanging="81"/>
                        <w:jc w:val="left"/>
                        <w:rPr>
                          <w:rFonts w:ascii="宋体" w:hAnsi="宋体" w:cs="宋体" w:eastAsia="宋体" w:hint="default"/>
                          <w:sz w:val="16"/>
                          <w:szCs w:val="16"/>
                        </w:rPr>
                      </w:pPr>
                      <w:r>
                        <w:rPr>
                          <w:rFonts w:ascii="宋体" w:hAnsi="宋体" w:cs="宋体" w:eastAsia="宋体" w:hint="default"/>
                          <w:w w:val="95"/>
                          <w:sz w:val="16"/>
                          <w:szCs w:val="16"/>
                        </w:rPr>
                        <w:t>因关联交</w:t>
                      </w:r>
                      <w:r>
                        <w:rPr>
                          <w:rFonts w:ascii="宋体" w:hAnsi="宋体" w:cs="宋体" w:eastAsia="宋体" w:hint="default"/>
                          <w:spacing w:val="-46"/>
                          <w:w w:val="95"/>
                          <w:sz w:val="16"/>
                          <w:szCs w:val="16"/>
                        </w:rPr>
                        <w:t> </w:t>
                      </w:r>
                      <w:r>
                        <w:rPr>
                          <w:rFonts w:ascii="宋体" w:hAnsi="宋体" w:cs="宋体" w:eastAsia="宋体" w:hint="default"/>
                          <w:sz w:val="16"/>
                          <w:szCs w:val="16"/>
                        </w:rPr>
                        <w:t>易产生</w:t>
                      </w:r>
                    </w:p>
                  </w:txbxContent>
                </v:textbox>
                <w10:wrap type="none"/>
              </v:shape>
              <v:shape style="position:absolute;left:3592;top:1940;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合计</w:t>
                      </w:r>
                      <w:r>
                        <w:rPr>
                          <w:rFonts w:ascii="宋体" w:hAnsi="宋体" w:cs="宋体" w:eastAsia="宋体" w:hint="default"/>
                          <w:sz w:val="16"/>
                          <w:szCs w:val="16"/>
                        </w:rPr>
                      </w:r>
                    </w:p>
                  </w:txbxContent>
                </v:textbox>
                <w10:wrap type="none"/>
              </v:shape>
              <v:shape style="position:absolute;left:6216;top:1953;width:7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581,396.19</w:t>
                      </w:r>
                      <w:r>
                        <w:rPr>
                          <w:rFonts w:ascii="Times New Roman"/>
                          <w:sz w:val="16"/>
                        </w:rPr>
                      </w:r>
                    </w:p>
                  </w:txbxContent>
                </v:textbox>
                <w10:wrap type="none"/>
              </v:shape>
            </v:group>
            <w10:wrap type="none"/>
          </v:group>
        </w:pict>
      </w:r>
      <w:r>
        <w:rPr/>
        <w:t>其中重要的应收账款核销情况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2"/>
          <w:szCs w:val="22"/>
        </w:rPr>
      </w:pPr>
    </w:p>
    <w:tbl>
      <w:tblPr>
        <w:tblW w:w="0" w:type="auto"/>
        <w:jc w:val="left"/>
        <w:tblInd w:w="822" w:type="dxa"/>
        <w:tblLayout w:type="fixed"/>
        <w:tblCellMar>
          <w:top w:w="0" w:type="dxa"/>
          <w:left w:w="0" w:type="dxa"/>
          <w:bottom w:w="0" w:type="dxa"/>
          <w:right w:w="0" w:type="dxa"/>
        </w:tblCellMar>
        <w:tblLook w:val="01E0"/>
      </w:tblPr>
      <w:tblGrid>
        <w:gridCol w:w="2497"/>
        <w:gridCol w:w="890"/>
        <w:gridCol w:w="1175"/>
        <w:gridCol w:w="1264"/>
        <w:gridCol w:w="1202"/>
        <w:gridCol w:w="400"/>
      </w:tblGrid>
      <w:tr>
        <w:trPr>
          <w:trHeight w:val="364" w:hRule="exact"/>
        </w:trPr>
        <w:tc>
          <w:tcPr>
            <w:tcW w:w="2497"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5" w:right="0"/>
              <w:jc w:val="left"/>
              <w:rPr>
                <w:rFonts w:ascii="宋体" w:hAnsi="宋体" w:cs="宋体" w:eastAsia="宋体" w:hint="default"/>
                <w:sz w:val="16"/>
                <w:szCs w:val="16"/>
              </w:rPr>
            </w:pPr>
            <w:r>
              <w:rPr>
                <w:rFonts w:ascii="宋体" w:hAnsi="宋体" w:cs="宋体" w:eastAsia="宋体" w:hint="default"/>
                <w:sz w:val="16"/>
                <w:szCs w:val="16"/>
              </w:rPr>
              <w:t>贵阳兴一凡科技有限公司</w:t>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50"/>
              <w:ind w:left="223" w:right="0"/>
              <w:jc w:val="left"/>
              <w:rPr>
                <w:rFonts w:ascii="宋体" w:hAnsi="宋体" w:cs="宋体" w:eastAsia="宋体" w:hint="default"/>
                <w:sz w:val="16"/>
                <w:szCs w:val="16"/>
              </w:rPr>
            </w:pPr>
            <w:r>
              <w:rPr>
                <w:rFonts w:ascii="宋体" w:hAnsi="宋体" w:cs="宋体" w:eastAsia="宋体" w:hint="default"/>
                <w:sz w:val="16"/>
                <w:szCs w:val="16"/>
              </w:rPr>
              <w:t>货款</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6"/>
                <w:szCs w:val="16"/>
              </w:rPr>
            </w:pPr>
            <w:r>
              <w:rPr>
                <w:rFonts w:ascii="Times New Roman"/>
                <w:spacing w:val="-1"/>
                <w:sz w:val="16"/>
              </w:rPr>
              <w:t>568,309.47</w:t>
            </w: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7" w:right="0"/>
              <w:jc w:val="left"/>
              <w:rPr>
                <w:rFonts w:ascii="宋体" w:hAnsi="宋体" w:cs="宋体" w:eastAsia="宋体" w:hint="default"/>
                <w:sz w:val="16"/>
                <w:szCs w:val="16"/>
              </w:rPr>
            </w:pPr>
            <w:r>
              <w:rPr>
                <w:rFonts w:ascii="宋体" w:hAnsi="宋体" w:cs="宋体" w:eastAsia="宋体" w:hint="default"/>
                <w:sz w:val="16"/>
                <w:szCs w:val="16"/>
              </w:rPr>
              <w:t>预计无法收回</w:t>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98" w:right="0"/>
              <w:jc w:val="left"/>
              <w:rPr>
                <w:rFonts w:ascii="宋体" w:hAnsi="宋体" w:cs="宋体" w:eastAsia="宋体" w:hint="default"/>
                <w:sz w:val="16"/>
                <w:szCs w:val="16"/>
              </w:rPr>
            </w:pPr>
            <w:r>
              <w:rPr>
                <w:rFonts w:ascii="宋体" w:hAnsi="宋体" w:cs="宋体" w:eastAsia="宋体" w:hint="default"/>
                <w:sz w:val="16"/>
                <w:szCs w:val="16"/>
              </w:rPr>
              <w:t>董事会决议</w:t>
            </w:r>
          </w:p>
        </w:tc>
        <w:tc>
          <w:tcPr>
            <w:tcW w:w="400"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3"/>
              <w:jc w:val="right"/>
              <w:rPr>
                <w:rFonts w:ascii="宋体" w:hAnsi="宋体" w:cs="宋体" w:eastAsia="宋体" w:hint="default"/>
                <w:sz w:val="16"/>
                <w:szCs w:val="16"/>
              </w:rPr>
            </w:pPr>
            <w:r>
              <w:rPr>
                <w:rFonts w:ascii="宋体" w:hAnsi="宋体" w:cs="宋体" w:eastAsia="宋体" w:hint="default"/>
                <w:w w:val="99"/>
                <w:sz w:val="16"/>
                <w:szCs w:val="16"/>
              </w:rPr>
              <w:t>否</w:t>
            </w:r>
            <w:r>
              <w:rPr>
                <w:rFonts w:ascii="宋体" w:hAnsi="宋体" w:cs="宋体" w:eastAsia="宋体" w:hint="default"/>
                <w:sz w:val="16"/>
                <w:szCs w:val="16"/>
              </w:rPr>
            </w:r>
          </w:p>
        </w:tc>
      </w:tr>
      <w:tr>
        <w:trPr>
          <w:trHeight w:val="363" w:hRule="exact"/>
        </w:trPr>
        <w:tc>
          <w:tcPr>
            <w:tcW w:w="2497"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5" w:right="0"/>
              <w:jc w:val="left"/>
              <w:rPr>
                <w:rFonts w:ascii="宋体" w:hAnsi="宋体" w:cs="宋体" w:eastAsia="宋体" w:hint="default"/>
                <w:sz w:val="16"/>
                <w:szCs w:val="16"/>
              </w:rPr>
            </w:pPr>
            <w:r>
              <w:rPr>
                <w:rFonts w:ascii="宋体" w:hAnsi="宋体" w:cs="宋体" w:eastAsia="宋体" w:hint="default"/>
                <w:sz w:val="16"/>
                <w:szCs w:val="16"/>
              </w:rPr>
              <w:t>武汉新泽世纪科技发展有限公司</w:t>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223" w:right="0"/>
              <w:jc w:val="left"/>
              <w:rPr>
                <w:rFonts w:ascii="宋体" w:hAnsi="宋体" w:cs="宋体" w:eastAsia="宋体" w:hint="default"/>
                <w:sz w:val="16"/>
                <w:szCs w:val="16"/>
              </w:rPr>
            </w:pPr>
            <w:r>
              <w:rPr>
                <w:rFonts w:ascii="宋体" w:hAnsi="宋体" w:cs="宋体" w:eastAsia="宋体" w:hint="default"/>
                <w:sz w:val="16"/>
                <w:szCs w:val="16"/>
              </w:rPr>
              <w:t>货款</w:t>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6"/>
              <w:jc w:val="right"/>
              <w:rPr>
                <w:rFonts w:ascii="Times New Roman" w:hAnsi="Times New Roman" w:cs="Times New Roman" w:eastAsia="Times New Roman" w:hint="default"/>
                <w:sz w:val="16"/>
                <w:szCs w:val="16"/>
              </w:rPr>
            </w:pPr>
            <w:r>
              <w:rPr>
                <w:rFonts w:ascii="Times New Roman"/>
                <w:spacing w:val="-1"/>
                <w:sz w:val="16"/>
              </w:rPr>
              <w:t>13,086.72</w:t>
            </w: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预计无法收回</w:t>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7" w:right="0"/>
              <w:jc w:val="left"/>
              <w:rPr>
                <w:rFonts w:ascii="宋体" w:hAnsi="宋体" w:cs="宋体" w:eastAsia="宋体" w:hint="default"/>
                <w:sz w:val="16"/>
                <w:szCs w:val="16"/>
              </w:rPr>
            </w:pPr>
            <w:r>
              <w:rPr>
                <w:rFonts w:ascii="宋体" w:hAnsi="宋体" w:cs="宋体" w:eastAsia="宋体" w:hint="default"/>
                <w:sz w:val="16"/>
                <w:szCs w:val="16"/>
              </w:rPr>
              <w:t>董事会决议</w:t>
            </w:r>
          </w:p>
        </w:tc>
        <w:tc>
          <w:tcPr>
            <w:tcW w:w="40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3"/>
              <w:jc w:val="right"/>
              <w:rPr>
                <w:rFonts w:ascii="宋体" w:hAnsi="宋体" w:cs="宋体" w:eastAsia="宋体" w:hint="default"/>
                <w:sz w:val="16"/>
                <w:szCs w:val="16"/>
              </w:rPr>
            </w:pPr>
            <w:r>
              <w:rPr>
                <w:rFonts w:ascii="宋体" w:hAnsi="宋体" w:cs="宋体" w:eastAsia="宋体" w:hint="default"/>
                <w:w w:val="99"/>
                <w:sz w:val="16"/>
                <w:szCs w:val="16"/>
              </w:rPr>
              <w:t>否</w:t>
            </w:r>
            <w:r>
              <w:rPr>
                <w:rFonts w:ascii="宋体" w:hAnsi="宋体" w:cs="宋体" w:eastAsia="宋体" w:hint="default"/>
                <w:sz w:val="16"/>
                <w:szCs w:val="16"/>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2"/>
          <w:szCs w:val="22"/>
        </w:rPr>
      </w:pPr>
    </w:p>
    <w:p>
      <w:pPr>
        <w:pStyle w:val="BodyText"/>
        <w:spacing w:line="240" w:lineRule="auto" w:before="35"/>
        <w:ind w:right="3681"/>
        <w:jc w:val="left"/>
      </w:pPr>
      <w:r>
        <w:rPr/>
        <w:pict>
          <v:group style="position:absolute;margin-left:119.010002pt;margin-top:17.073818pt;width:411.85pt;height:154.1pt;mso-position-horizontal-relative:page;mso-position-vertical-relative:paragraph;z-index:-1361176" coordorigin="2380,341" coordsize="8237,3082">
            <v:group style="position:absolute;left:2410;top:356;width:3419;height:2" coordorigin="2410,356" coordsize="3419,2">
              <v:shape style="position:absolute;left:2410;top:356;width:3419;height:2" coordorigin="2410,356" coordsize="3419,0" path="m2410,356l5828,356e" filled="false" stroked="true" strokeweight="1.5pt" strokecolor="#000000">
                <v:path arrowok="t"/>
              </v:shape>
            </v:group>
            <v:group style="position:absolute;left:5828;top:356;width:4769;height:2" coordorigin="5828,356" coordsize="4769,2">
              <v:shape style="position:absolute;left:5828;top:356;width:4769;height:2" coordorigin="5828,356" coordsize="4769,0" path="m5828,356l10597,356e" filled="false" stroked="true" strokeweight="1.5pt" strokecolor="#000000">
                <v:path arrowok="t"/>
              </v:shape>
              <v:shape style="position:absolute;left:5828;top:371;width:10;height:343" type="#_x0000_t75" stroked="false">
                <v:imagedata r:id="rId406" o:title=""/>
              </v:shape>
              <v:shape style="position:absolute;left:5809;top:695;width:4807;height:600" type="#_x0000_t75" stroked="false">
                <v:imagedata r:id="rId503" o:title=""/>
              </v:shape>
            </v:group>
            <v:group style="position:absolute;left:2395;top:3408;width:3434;height:2" coordorigin="2395,3408" coordsize="3434,2">
              <v:shape style="position:absolute;left:2395;top:3408;width:3434;height:2" coordorigin="2395,3408" coordsize="3434,0" path="m2395,3408l5828,3408e" filled="false" stroked="true" strokeweight="1.5pt" strokecolor="#000000">
                <v:path arrowok="t"/>
              </v:shape>
            </v:group>
            <v:group style="position:absolute;left:5828;top:3408;width:1664;height:2" coordorigin="5828,3408" coordsize="1664,2">
              <v:shape style="position:absolute;left:5828;top:3408;width:1664;height:2" coordorigin="5828,3408" coordsize="1664,0" path="m5828,3408l7492,3408e" filled="false" stroked="true" strokeweight="1.5pt" strokecolor="#000000">
                <v:path arrowok="t"/>
              </v:shape>
            </v:group>
            <v:group style="position:absolute;left:7492;top:3408;width:1445;height:2" coordorigin="7492,3408" coordsize="1445,2">
              <v:shape style="position:absolute;left:7492;top:3408;width:1445;height:2" coordorigin="7492,3408" coordsize="1445,0" path="m7492,3408l8936,3408e" filled="false" stroked="true" strokeweight="1.5pt" strokecolor="#000000">
                <v:path arrowok="t"/>
              </v:shape>
              <v:shape style="position:absolute;left:2397;top:1263;width:8213;height:2130" type="#_x0000_t75" stroked="false">
                <v:imagedata r:id="rId504" o:title=""/>
              </v:shape>
            </v:group>
            <v:group style="position:absolute;left:8936;top:3408;width:1661;height:2" coordorigin="8936,3408" coordsize="1661,2">
              <v:shape style="position:absolute;left:8936;top:3408;width:1661;height:2" coordorigin="8936,3408" coordsize="1661,0" path="m8936,3408l10597,3408e" filled="false" stroked="true" strokeweight="1.5pt" strokecolor="#000000">
                <v:path arrowok="t"/>
              </v:shape>
              <v:shape style="position:absolute;left:7895;top:464;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3802;top:743;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单位名称</w:t>
                      </w:r>
                      <w:r>
                        <w:rPr>
                          <w:rFonts w:ascii="宋体" w:hAnsi="宋体" w:cs="宋体" w:eastAsia="宋体" w:hint="default"/>
                          <w:sz w:val="16"/>
                          <w:szCs w:val="16"/>
                        </w:rPr>
                      </w:r>
                    </w:p>
                  </w:txbxContent>
                </v:textbox>
                <w10:wrap type="none"/>
              </v:shape>
              <v:shape style="position:absolute;left:6344;top:921;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应收账款</w:t>
                      </w:r>
                      <w:r>
                        <w:rPr>
                          <w:rFonts w:ascii="宋体" w:hAnsi="宋体" w:cs="宋体" w:eastAsia="宋体" w:hint="default"/>
                          <w:sz w:val="16"/>
                          <w:szCs w:val="16"/>
                        </w:rPr>
                      </w:r>
                    </w:p>
                  </w:txbxContent>
                </v:textbox>
                <w10:wrap type="none"/>
              </v:shape>
              <v:shape style="position:absolute;left:7658;top:816;width:1119;height:376" type="#_x0000_t202" filled="false" stroked="false">
                <v:textbox inset="0,0,0,0">
                  <w:txbxContent>
                    <w:p>
                      <w:pPr>
                        <w:spacing w:line="159" w:lineRule="exact" w:before="0"/>
                        <w:ind w:left="-1" w:right="0" w:firstLine="0"/>
                        <w:jc w:val="center"/>
                        <w:rPr>
                          <w:rFonts w:ascii="宋体" w:hAnsi="宋体" w:cs="宋体" w:eastAsia="宋体" w:hint="default"/>
                          <w:sz w:val="16"/>
                          <w:szCs w:val="16"/>
                        </w:rPr>
                      </w:pPr>
                      <w:r>
                        <w:rPr>
                          <w:rFonts w:ascii="宋体" w:hAnsi="宋体" w:cs="宋体" w:eastAsia="宋体" w:hint="default"/>
                          <w:w w:val="95"/>
                          <w:sz w:val="16"/>
                          <w:szCs w:val="16"/>
                        </w:rPr>
                        <w:t>占应收账款合计</w:t>
                      </w:r>
                      <w:r>
                        <w:rPr>
                          <w:rFonts w:ascii="宋体" w:hAnsi="宋体" w:cs="宋体" w:eastAsia="宋体" w:hint="default"/>
                          <w:sz w:val="16"/>
                          <w:szCs w:val="16"/>
                        </w:rPr>
                      </w:r>
                    </w:p>
                    <w:p>
                      <w:pPr>
                        <w:spacing w:line="217" w:lineRule="exact" w:before="0"/>
                        <w:ind w:left="0" w:right="0" w:firstLine="0"/>
                        <w:jc w:val="center"/>
                        <w:rPr>
                          <w:rFonts w:ascii="Times New Roman" w:hAnsi="Times New Roman" w:cs="Times New Roman" w:eastAsia="Times New Roman" w:hint="default"/>
                          <w:sz w:val="16"/>
                          <w:szCs w:val="16"/>
                        </w:rPr>
                      </w:pPr>
                      <w:r>
                        <w:rPr>
                          <w:rFonts w:ascii="宋体" w:hAnsi="宋体" w:cs="宋体" w:eastAsia="宋体" w:hint="default"/>
                          <w:sz w:val="16"/>
                          <w:szCs w:val="16"/>
                        </w:rPr>
                        <w:t>数的比例</w:t>
                      </w:r>
                      <w:r>
                        <w:rPr>
                          <w:rFonts w:ascii="Times New Roman" w:hAnsi="Times New Roman" w:cs="Times New Roman" w:eastAsia="Times New Roman" w:hint="default"/>
                          <w:sz w:val="16"/>
                          <w:szCs w:val="16"/>
                        </w:rPr>
                        <w:t>(%)</w:t>
                      </w:r>
                    </w:p>
                  </w:txbxContent>
                </v:textbox>
                <w10:wrap type="none"/>
              </v:shape>
              <v:shape style="position:absolute;left:9449;top:921;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坏账准备</w:t>
                      </w:r>
                      <w:r>
                        <w:rPr>
                          <w:rFonts w:ascii="宋体" w:hAnsi="宋体" w:cs="宋体" w:eastAsia="宋体" w:hint="default"/>
                          <w:sz w:val="16"/>
                          <w:szCs w:val="16"/>
                        </w:rPr>
                      </w:r>
                    </w:p>
                  </w:txbxContent>
                </v:textbox>
                <w10:wrap type="none"/>
              </v:shape>
            </v:group>
            <w10:wrap type="none"/>
          </v:group>
        </w:pict>
      </w:r>
      <w:r>
        <w:rPr/>
        <w:t>（</w:t>
      </w:r>
      <w:r>
        <w:rPr>
          <w:rFonts w:ascii="Times New Roman" w:hAnsi="Times New Roman" w:cs="Times New Roman" w:eastAsia="Times New Roman" w:hint="default"/>
        </w:rPr>
        <w:t>4</w:t>
      </w:r>
      <w:r>
        <w:rPr/>
        <w:t>）按欠款方归集的期末余额前五名的应收款情况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2"/>
          <w:szCs w:val="12"/>
        </w:rPr>
      </w:pPr>
    </w:p>
    <w:tbl>
      <w:tblPr>
        <w:tblW w:w="0" w:type="auto"/>
        <w:jc w:val="left"/>
        <w:tblInd w:w="787" w:type="dxa"/>
        <w:tblLayout w:type="fixed"/>
        <w:tblCellMar>
          <w:top w:w="0" w:type="dxa"/>
          <w:left w:w="0" w:type="dxa"/>
          <w:bottom w:w="0" w:type="dxa"/>
          <w:right w:w="0" w:type="dxa"/>
        </w:tblCellMar>
        <w:tblLook w:val="01E0"/>
      </w:tblPr>
      <w:tblGrid>
        <w:gridCol w:w="3288"/>
        <w:gridCol w:w="2196"/>
        <w:gridCol w:w="938"/>
      </w:tblGrid>
      <w:tr>
        <w:trPr>
          <w:trHeight w:val="369" w:hRule="exact"/>
        </w:trPr>
        <w:tc>
          <w:tcPr>
            <w:tcW w:w="3288" w:type="dxa"/>
            <w:tcBorders>
              <w:top w:val="nil" w:sz="6" w:space="0" w:color="auto"/>
              <w:left w:val="nil" w:sz="6" w:space="0" w:color="auto"/>
              <w:bottom w:val="nil" w:sz="6" w:space="0" w:color="auto"/>
              <w:right w:val="nil" w:sz="6" w:space="0" w:color="auto"/>
            </w:tcBorders>
          </w:tcPr>
          <w:p>
            <w:pPr>
              <w:pStyle w:val="TableParagraph"/>
              <w:spacing w:line="240" w:lineRule="auto" w:before="50"/>
              <w:ind w:left="70" w:right="0"/>
              <w:jc w:val="left"/>
              <w:rPr>
                <w:rFonts w:ascii="宋体" w:hAnsi="宋体" w:cs="宋体" w:eastAsia="宋体" w:hint="default"/>
                <w:sz w:val="16"/>
                <w:szCs w:val="16"/>
              </w:rPr>
            </w:pPr>
            <w:r>
              <w:rPr>
                <w:rFonts w:ascii="宋体" w:hAnsi="宋体" w:cs="宋体" w:eastAsia="宋体" w:hint="default"/>
                <w:sz w:val="16"/>
                <w:szCs w:val="16"/>
              </w:rPr>
              <w:t>浪潮电子信息产业股份有限公司</w:t>
            </w:r>
          </w:p>
        </w:tc>
        <w:tc>
          <w:tcPr>
            <w:tcW w:w="2196"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539"/>
              <w:jc w:val="right"/>
              <w:rPr>
                <w:rFonts w:ascii="Times New Roman" w:hAnsi="Times New Roman" w:cs="Times New Roman" w:eastAsia="Times New Roman" w:hint="default"/>
                <w:sz w:val="16"/>
                <w:szCs w:val="16"/>
              </w:rPr>
            </w:pPr>
            <w:r>
              <w:rPr>
                <w:rFonts w:ascii="Times New Roman"/>
                <w:spacing w:val="-1"/>
                <w:sz w:val="16"/>
              </w:rPr>
              <w:t>44,326,501.41</w:t>
            </w:r>
          </w:p>
        </w:tc>
        <w:tc>
          <w:tcPr>
            <w:tcW w:w="938"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33"/>
              <w:jc w:val="right"/>
              <w:rPr>
                <w:rFonts w:ascii="Times New Roman" w:hAnsi="Times New Roman" w:cs="Times New Roman" w:eastAsia="Times New Roman" w:hint="default"/>
                <w:sz w:val="16"/>
                <w:szCs w:val="16"/>
              </w:rPr>
            </w:pPr>
            <w:r>
              <w:rPr>
                <w:rFonts w:ascii="Times New Roman"/>
                <w:spacing w:val="-1"/>
                <w:sz w:val="16"/>
              </w:rPr>
              <w:t>12.77</w:t>
            </w:r>
          </w:p>
        </w:tc>
      </w:tr>
      <w:tr>
        <w:trPr>
          <w:trHeight w:val="344" w:hRule="exact"/>
        </w:trPr>
        <w:tc>
          <w:tcPr>
            <w:tcW w:w="328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70" w:right="0"/>
              <w:jc w:val="left"/>
              <w:rPr>
                <w:rFonts w:ascii="Times New Roman" w:hAnsi="Times New Roman" w:cs="Times New Roman" w:eastAsia="Times New Roman" w:hint="default"/>
                <w:sz w:val="16"/>
                <w:szCs w:val="16"/>
              </w:rPr>
            </w:pPr>
            <w:r>
              <w:rPr>
                <w:rFonts w:ascii="Times New Roman"/>
                <w:sz w:val="16"/>
              </w:rPr>
              <w:t>Corsair Memory</w:t>
            </w:r>
            <w:r>
              <w:rPr>
                <w:rFonts w:ascii="Times New Roman"/>
                <w:spacing w:val="-6"/>
                <w:sz w:val="16"/>
              </w:rPr>
              <w:t> </w:t>
            </w:r>
            <w:r>
              <w:rPr>
                <w:rFonts w:ascii="Times New Roman"/>
                <w:sz w:val="16"/>
              </w:rPr>
              <w:t>Inc.</w:t>
            </w:r>
          </w:p>
        </w:tc>
        <w:tc>
          <w:tcPr>
            <w:tcW w:w="2196"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539"/>
              <w:jc w:val="right"/>
              <w:rPr>
                <w:rFonts w:ascii="Times New Roman" w:hAnsi="Times New Roman" w:cs="Times New Roman" w:eastAsia="Times New Roman" w:hint="default"/>
                <w:sz w:val="16"/>
                <w:szCs w:val="16"/>
              </w:rPr>
            </w:pPr>
            <w:r>
              <w:rPr>
                <w:rFonts w:ascii="Times New Roman"/>
                <w:spacing w:val="-1"/>
                <w:sz w:val="16"/>
              </w:rPr>
              <w:t>34,141,326.14</w:t>
            </w:r>
          </w:p>
        </w:tc>
        <w:tc>
          <w:tcPr>
            <w:tcW w:w="938"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33"/>
              <w:jc w:val="right"/>
              <w:rPr>
                <w:rFonts w:ascii="Times New Roman" w:hAnsi="Times New Roman" w:cs="Times New Roman" w:eastAsia="Times New Roman" w:hint="default"/>
                <w:sz w:val="16"/>
                <w:szCs w:val="16"/>
              </w:rPr>
            </w:pPr>
            <w:r>
              <w:rPr>
                <w:rFonts w:ascii="Times New Roman"/>
                <w:spacing w:val="-1"/>
                <w:sz w:val="16"/>
              </w:rPr>
              <w:t>9.84</w:t>
            </w:r>
          </w:p>
        </w:tc>
      </w:tr>
      <w:tr>
        <w:trPr>
          <w:trHeight w:val="353" w:hRule="exact"/>
        </w:trPr>
        <w:tc>
          <w:tcPr>
            <w:tcW w:w="3288" w:type="dxa"/>
            <w:tcBorders>
              <w:top w:val="nil" w:sz="6" w:space="0" w:color="auto"/>
              <w:left w:val="nil" w:sz="6" w:space="0" w:color="auto"/>
              <w:bottom w:val="nil" w:sz="6" w:space="0" w:color="auto"/>
              <w:right w:val="nil" w:sz="6" w:space="0" w:color="auto"/>
            </w:tcBorders>
          </w:tcPr>
          <w:p>
            <w:pPr>
              <w:pStyle w:val="TableParagraph"/>
              <w:spacing w:line="240" w:lineRule="auto" w:before="39"/>
              <w:ind w:left="70" w:right="0"/>
              <w:jc w:val="left"/>
              <w:rPr>
                <w:rFonts w:ascii="宋体" w:hAnsi="宋体" w:cs="宋体" w:eastAsia="宋体" w:hint="default"/>
                <w:sz w:val="16"/>
                <w:szCs w:val="16"/>
              </w:rPr>
            </w:pPr>
            <w:r>
              <w:rPr>
                <w:rFonts w:ascii="宋体" w:hAnsi="宋体" w:cs="宋体" w:eastAsia="宋体" w:hint="default"/>
                <w:sz w:val="16"/>
                <w:szCs w:val="16"/>
              </w:rPr>
              <w:t>湖南长城信息金融设备有限责任公司</w:t>
            </w:r>
          </w:p>
        </w:tc>
        <w:tc>
          <w:tcPr>
            <w:tcW w:w="219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539"/>
              <w:jc w:val="right"/>
              <w:rPr>
                <w:rFonts w:ascii="Times New Roman" w:hAnsi="Times New Roman" w:cs="Times New Roman" w:eastAsia="Times New Roman" w:hint="default"/>
                <w:sz w:val="16"/>
                <w:szCs w:val="16"/>
              </w:rPr>
            </w:pPr>
            <w:r>
              <w:rPr>
                <w:rFonts w:ascii="Times New Roman"/>
                <w:spacing w:val="-1"/>
                <w:sz w:val="16"/>
              </w:rPr>
              <w:t>12,495,079.18</w:t>
            </w:r>
          </w:p>
        </w:tc>
        <w:tc>
          <w:tcPr>
            <w:tcW w:w="93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6"/>
                <w:szCs w:val="16"/>
              </w:rPr>
            </w:pPr>
            <w:r>
              <w:rPr>
                <w:rFonts w:ascii="Times New Roman"/>
                <w:spacing w:val="-1"/>
                <w:sz w:val="16"/>
              </w:rPr>
              <w:t>3.60</w:t>
            </w:r>
          </w:p>
        </w:tc>
      </w:tr>
      <w:tr>
        <w:trPr>
          <w:trHeight w:val="353" w:hRule="exact"/>
        </w:trPr>
        <w:tc>
          <w:tcPr>
            <w:tcW w:w="3288"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杭州海康威视电子有限公司</w:t>
            </w:r>
          </w:p>
        </w:tc>
        <w:tc>
          <w:tcPr>
            <w:tcW w:w="2196"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539"/>
              <w:jc w:val="right"/>
              <w:rPr>
                <w:rFonts w:ascii="Times New Roman" w:hAnsi="Times New Roman" w:cs="Times New Roman" w:eastAsia="Times New Roman" w:hint="default"/>
                <w:sz w:val="16"/>
                <w:szCs w:val="16"/>
              </w:rPr>
            </w:pPr>
            <w:r>
              <w:rPr>
                <w:rFonts w:ascii="Times New Roman"/>
                <w:spacing w:val="-1"/>
                <w:sz w:val="16"/>
              </w:rPr>
              <w:t>12,038,676.23</w:t>
            </w:r>
          </w:p>
        </w:tc>
        <w:tc>
          <w:tcPr>
            <w:tcW w:w="93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3"/>
              <w:jc w:val="right"/>
              <w:rPr>
                <w:rFonts w:ascii="Times New Roman" w:hAnsi="Times New Roman" w:cs="Times New Roman" w:eastAsia="Times New Roman" w:hint="default"/>
                <w:sz w:val="16"/>
                <w:szCs w:val="16"/>
              </w:rPr>
            </w:pPr>
            <w:r>
              <w:rPr>
                <w:rFonts w:ascii="Times New Roman"/>
                <w:spacing w:val="-1"/>
                <w:sz w:val="16"/>
              </w:rPr>
              <w:t>3.47</w:t>
            </w:r>
          </w:p>
        </w:tc>
      </w:tr>
      <w:tr>
        <w:trPr>
          <w:trHeight w:val="353" w:hRule="exact"/>
        </w:trPr>
        <w:tc>
          <w:tcPr>
            <w:tcW w:w="3288"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华高科技（苏州）有限公司</w:t>
            </w:r>
          </w:p>
        </w:tc>
        <w:tc>
          <w:tcPr>
            <w:tcW w:w="2196"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539"/>
              <w:jc w:val="right"/>
              <w:rPr>
                <w:rFonts w:ascii="Times New Roman" w:hAnsi="Times New Roman" w:cs="Times New Roman" w:eastAsia="Times New Roman" w:hint="default"/>
                <w:sz w:val="16"/>
                <w:szCs w:val="16"/>
              </w:rPr>
            </w:pPr>
            <w:r>
              <w:rPr>
                <w:rFonts w:ascii="Times New Roman"/>
                <w:spacing w:val="-1"/>
                <w:sz w:val="16"/>
              </w:rPr>
              <w:t>12,002,108.77</w:t>
            </w:r>
          </w:p>
        </w:tc>
        <w:tc>
          <w:tcPr>
            <w:tcW w:w="938"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6"/>
                <w:szCs w:val="16"/>
              </w:rPr>
            </w:pPr>
            <w:r>
              <w:rPr>
                <w:rFonts w:ascii="Times New Roman"/>
                <w:spacing w:val="-1"/>
                <w:sz w:val="16"/>
              </w:rPr>
              <w:t>3.46</w:t>
            </w:r>
          </w:p>
        </w:tc>
      </w:tr>
      <w:tr>
        <w:trPr>
          <w:trHeight w:val="358" w:hRule="exact"/>
        </w:trPr>
        <w:tc>
          <w:tcPr>
            <w:tcW w:w="3288" w:type="dxa"/>
            <w:tcBorders>
              <w:top w:val="nil" w:sz="6" w:space="0" w:color="auto"/>
              <w:left w:val="nil" w:sz="6" w:space="0" w:color="auto"/>
              <w:bottom w:val="nil" w:sz="6" w:space="0" w:color="auto"/>
              <w:right w:val="nil" w:sz="6" w:space="0" w:color="auto"/>
            </w:tcBorders>
          </w:tcPr>
          <w:p>
            <w:pPr>
              <w:pStyle w:val="TableParagraph"/>
              <w:spacing w:line="240" w:lineRule="auto" w:before="40"/>
              <w:ind w:left="58" w:right="0"/>
              <w:jc w:val="center"/>
              <w:rPr>
                <w:rFonts w:ascii="宋体" w:hAnsi="宋体" w:cs="宋体" w:eastAsia="宋体" w:hint="default"/>
                <w:sz w:val="16"/>
                <w:szCs w:val="16"/>
              </w:rPr>
            </w:pPr>
            <w:r>
              <w:rPr>
                <w:rFonts w:ascii="宋体" w:hAnsi="宋体" w:cs="宋体" w:eastAsia="宋体" w:hint="default"/>
                <w:sz w:val="16"/>
                <w:szCs w:val="16"/>
              </w:rPr>
              <w:t>合计</w:t>
            </w:r>
          </w:p>
        </w:tc>
        <w:tc>
          <w:tcPr>
            <w:tcW w:w="2196"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540"/>
              <w:jc w:val="right"/>
              <w:rPr>
                <w:rFonts w:ascii="Times New Roman" w:hAnsi="Times New Roman" w:cs="Times New Roman" w:eastAsia="Times New Roman" w:hint="default"/>
                <w:sz w:val="16"/>
                <w:szCs w:val="16"/>
              </w:rPr>
            </w:pPr>
            <w:r>
              <w:rPr>
                <w:rFonts w:ascii="Times New Roman"/>
                <w:spacing w:val="-1"/>
                <w:sz w:val="16"/>
              </w:rPr>
              <w:t>115,003,691.73</w:t>
            </w:r>
          </w:p>
        </w:tc>
        <w:tc>
          <w:tcPr>
            <w:tcW w:w="938"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3"/>
              <w:jc w:val="right"/>
              <w:rPr>
                <w:rFonts w:ascii="Times New Roman" w:hAnsi="Times New Roman" w:cs="Times New Roman" w:eastAsia="Times New Roman" w:hint="default"/>
                <w:sz w:val="16"/>
                <w:szCs w:val="16"/>
              </w:rPr>
            </w:pPr>
            <w:r>
              <w:rPr>
                <w:rFonts w:ascii="Times New Roman"/>
                <w:spacing w:val="-1"/>
                <w:sz w:val="16"/>
              </w:rPr>
              <w:t>33.14</w:t>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tbl>
      <w:tblPr>
        <w:tblW w:w="0" w:type="auto"/>
        <w:jc w:val="left"/>
        <w:tblInd w:w="102" w:type="dxa"/>
        <w:tblLayout w:type="fixed"/>
        <w:tblCellMar>
          <w:top w:w="0" w:type="dxa"/>
          <w:left w:w="0" w:type="dxa"/>
          <w:bottom w:w="0" w:type="dxa"/>
          <w:right w:w="0" w:type="dxa"/>
        </w:tblCellMar>
        <w:tblLook w:val="01E0"/>
      </w:tblPr>
      <w:tblGrid>
        <w:gridCol w:w="647"/>
        <w:gridCol w:w="1402"/>
        <w:gridCol w:w="1805"/>
        <w:gridCol w:w="3062"/>
        <w:gridCol w:w="1919"/>
      </w:tblGrid>
      <w:tr>
        <w:trPr>
          <w:trHeight w:val="357" w:hRule="exact"/>
        </w:trPr>
        <w:tc>
          <w:tcPr>
            <w:tcW w:w="64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1402"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101" w:right="0"/>
              <w:jc w:val="left"/>
              <w:rPr>
                <w:rFonts w:ascii="宋体" w:hAnsi="宋体" w:cs="宋体" w:eastAsia="宋体" w:hint="default"/>
                <w:sz w:val="21"/>
                <w:szCs w:val="21"/>
              </w:rPr>
            </w:pPr>
            <w:r>
              <w:rPr>
                <w:rFonts w:ascii="宋体" w:hAnsi="宋体" w:cs="宋体" w:eastAsia="宋体" w:hint="default"/>
                <w:b/>
                <w:bCs/>
                <w:sz w:val="21"/>
                <w:szCs w:val="21"/>
              </w:rPr>
              <w:t>其他应收款</w:t>
            </w:r>
            <w:r>
              <w:rPr>
                <w:rFonts w:ascii="宋体" w:hAnsi="宋体" w:cs="宋体" w:eastAsia="宋体" w:hint="default"/>
                <w:sz w:val="21"/>
                <w:szCs w:val="21"/>
              </w:rPr>
            </w:r>
          </w:p>
        </w:tc>
        <w:tc>
          <w:tcPr>
            <w:tcW w:w="6785" w:type="dxa"/>
            <w:gridSpan w:val="3"/>
            <w:tcBorders>
              <w:top w:val="nil" w:sz="6" w:space="0" w:color="auto"/>
              <w:left w:val="nil" w:sz="6" w:space="0" w:color="auto"/>
              <w:bottom w:val="single" w:sz="12" w:space="0" w:color="000000"/>
              <w:right w:val="nil" w:sz="6" w:space="0" w:color="auto"/>
            </w:tcBorders>
          </w:tcPr>
          <w:p>
            <w:pPr/>
          </w:p>
        </w:tc>
      </w:tr>
      <w:tr>
        <w:trPr>
          <w:trHeight w:val="363" w:hRule="exact"/>
        </w:trPr>
        <w:tc>
          <w:tcPr>
            <w:tcW w:w="647" w:type="dxa"/>
            <w:tcBorders>
              <w:top w:val="nil" w:sz="6" w:space="0" w:color="auto"/>
              <w:left w:val="nil" w:sz="6" w:space="0" w:color="auto"/>
              <w:bottom w:val="nil" w:sz="6" w:space="0" w:color="auto"/>
              <w:right w:val="nil" w:sz="6" w:space="0" w:color="auto"/>
            </w:tcBorders>
          </w:tcPr>
          <w:p>
            <w:pPr/>
          </w:p>
        </w:tc>
        <w:tc>
          <w:tcPr>
            <w:tcW w:w="1402" w:type="dxa"/>
            <w:tcBorders>
              <w:top w:val="single" w:sz="12" w:space="0" w:color="000000"/>
              <w:left w:val="nil" w:sz="6" w:space="0" w:color="auto"/>
              <w:bottom w:val="nil" w:sz="6" w:space="0" w:color="auto"/>
              <w:right w:val="nil" w:sz="6" w:space="0" w:color="auto"/>
            </w:tcBorders>
          </w:tcPr>
          <w:p>
            <w:pPr/>
          </w:p>
        </w:tc>
        <w:tc>
          <w:tcPr>
            <w:tcW w:w="1805"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left="246" w:right="0"/>
              <w:jc w:val="left"/>
              <w:rPr>
                <w:rFonts w:ascii="宋体" w:hAnsi="宋体" w:cs="宋体" w:eastAsia="宋体" w:hint="default"/>
                <w:sz w:val="16"/>
                <w:szCs w:val="16"/>
              </w:rPr>
            </w:pPr>
            <w:r>
              <w:rPr>
                <w:rFonts w:ascii="宋体" w:hAnsi="宋体" w:cs="宋体" w:eastAsia="宋体" w:hint="default"/>
                <w:sz w:val="16"/>
                <w:szCs w:val="16"/>
              </w:rPr>
              <w:t>项目</w:t>
            </w:r>
          </w:p>
        </w:tc>
        <w:tc>
          <w:tcPr>
            <w:tcW w:w="3062"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left="54" w:right="0"/>
              <w:jc w:val="center"/>
              <w:rPr>
                <w:rFonts w:ascii="宋体" w:hAnsi="宋体" w:cs="宋体" w:eastAsia="宋体" w:hint="default"/>
                <w:sz w:val="16"/>
                <w:szCs w:val="16"/>
              </w:rPr>
            </w:pPr>
            <w:r>
              <w:rPr>
                <w:rFonts w:ascii="宋体" w:hAnsi="宋体" w:cs="宋体" w:eastAsia="宋体" w:hint="default"/>
                <w:sz w:val="16"/>
                <w:szCs w:val="16"/>
              </w:rPr>
              <w:t>期末余额</w:t>
            </w:r>
          </w:p>
        </w:tc>
        <w:tc>
          <w:tcPr>
            <w:tcW w:w="1919"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left="461" w:right="0"/>
              <w:jc w:val="left"/>
              <w:rPr>
                <w:rFonts w:ascii="宋体" w:hAnsi="宋体" w:cs="宋体" w:eastAsia="宋体" w:hint="default"/>
                <w:sz w:val="16"/>
                <w:szCs w:val="16"/>
              </w:rPr>
            </w:pPr>
            <w:r>
              <w:rPr>
                <w:rFonts w:ascii="宋体" w:hAnsi="宋体" w:cs="宋体" w:eastAsia="宋体" w:hint="default"/>
                <w:sz w:val="16"/>
                <w:szCs w:val="16"/>
              </w:rPr>
              <w:t>年初余额</w:t>
            </w:r>
          </w:p>
        </w:tc>
      </w:tr>
      <w:tr>
        <w:trPr>
          <w:trHeight w:val="353" w:hRule="exact"/>
        </w:trPr>
        <w:tc>
          <w:tcPr>
            <w:tcW w:w="647"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7" w:right="0"/>
              <w:jc w:val="left"/>
              <w:rPr>
                <w:rFonts w:ascii="宋体" w:hAnsi="宋体" w:cs="宋体" w:eastAsia="宋体" w:hint="default"/>
                <w:sz w:val="16"/>
                <w:szCs w:val="16"/>
              </w:rPr>
            </w:pPr>
            <w:r>
              <w:rPr>
                <w:rFonts w:ascii="宋体" w:hAnsi="宋体" w:cs="宋体" w:eastAsia="宋体" w:hint="default"/>
                <w:sz w:val="16"/>
                <w:szCs w:val="16"/>
              </w:rPr>
              <w:t>应收利息</w:t>
            </w:r>
          </w:p>
        </w:tc>
        <w:tc>
          <w:tcPr>
            <w:tcW w:w="1805" w:type="dxa"/>
            <w:tcBorders>
              <w:top w:val="nil" w:sz="6" w:space="0" w:color="auto"/>
              <w:left w:val="nil" w:sz="6" w:space="0" w:color="auto"/>
              <w:bottom w:val="nil" w:sz="6" w:space="0" w:color="auto"/>
              <w:right w:val="nil" w:sz="6" w:space="0" w:color="auto"/>
            </w:tcBorders>
          </w:tcPr>
          <w:p>
            <w:pPr/>
          </w:p>
        </w:tc>
        <w:tc>
          <w:tcPr>
            <w:tcW w:w="3062" w:type="dxa"/>
            <w:tcBorders>
              <w:top w:val="nil" w:sz="6" w:space="0" w:color="auto"/>
              <w:left w:val="nil" w:sz="6" w:space="0" w:color="auto"/>
              <w:bottom w:val="nil" w:sz="6" w:space="0" w:color="auto"/>
              <w:right w:val="nil" w:sz="6" w:space="0" w:color="auto"/>
            </w:tcBorders>
          </w:tcPr>
          <w:p>
            <w:pPr/>
          </w:p>
        </w:tc>
        <w:tc>
          <w:tcPr>
            <w:tcW w:w="1919" w:type="dxa"/>
            <w:tcBorders>
              <w:top w:val="nil" w:sz="6" w:space="0" w:color="auto"/>
              <w:left w:val="nil" w:sz="6" w:space="0" w:color="auto"/>
              <w:bottom w:val="nil" w:sz="6" w:space="0" w:color="auto"/>
              <w:right w:val="nil" w:sz="6" w:space="0" w:color="auto"/>
            </w:tcBorders>
          </w:tcPr>
          <w:p>
            <w:pPr/>
          </w:p>
        </w:tc>
      </w:tr>
      <w:tr>
        <w:trPr>
          <w:trHeight w:val="360" w:hRule="exact"/>
        </w:trPr>
        <w:tc>
          <w:tcPr>
            <w:tcW w:w="647"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7" w:right="0"/>
              <w:jc w:val="left"/>
              <w:rPr>
                <w:rFonts w:ascii="宋体" w:hAnsi="宋体" w:cs="宋体" w:eastAsia="宋体" w:hint="default"/>
                <w:sz w:val="16"/>
                <w:szCs w:val="16"/>
              </w:rPr>
            </w:pPr>
            <w:r>
              <w:rPr>
                <w:rFonts w:ascii="宋体" w:hAnsi="宋体" w:cs="宋体" w:eastAsia="宋体" w:hint="default"/>
                <w:sz w:val="16"/>
                <w:szCs w:val="16"/>
              </w:rPr>
              <w:t>应收股利</w:t>
            </w:r>
          </w:p>
        </w:tc>
        <w:tc>
          <w:tcPr>
            <w:tcW w:w="1805" w:type="dxa"/>
            <w:tcBorders>
              <w:top w:val="nil" w:sz="6" w:space="0" w:color="auto"/>
              <w:left w:val="nil" w:sz="6" w:space="0" w:color="auto"/>
              <w:bottom w:val="nil" w:sz="6" w:space="0" w:color="auto"/>
              <w:right w:val="nil" w:sz="6" w:space="0" w:color="auto"/>
            </w:tcBorders>
          </w:tcPr>
          <w:p>
            <w:pPr/>
          </w:p>
        </w:tc>
        <w:tc>
          <w:tcPr>
            <w:tcW w:w="3062"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461"/>
              <w:jc w:val="right"/>
              <w:rPr>
                <w:rFonts w:ascii="Times New Roman" w:hAnsi="Times New Roman" w:cs="Times New Roman" w:eastAsia="Times New Roman" w:hint="default"/>
                <w:sz w:val="16"/>
                <w:szCs w:val="16"/>
              </w:rPr>
            </w:pPr>
            <w:r>
              <w:rPr>
                <w:rFonts w:ascii="Times New Roman"/>
                <w:spacing w:val="-1"/>
                <w:sz w:val="16"/>
              </w:rPr>
              <w:t>14,000,000.00</w:t>
            </w:r>
          </w:p>
        </w:tc>
        <w:tc>
          <w:tcPr>
            <w:tcW w:w="1919"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04"/>
              <w:jc w:val="right"/>
              <w:rPr>
                <w:rFonts w:ascii="Times New Roman" w:hAnsi="Times New Roman" w:cs="Times New Roman" w:eastAsia="Times New Roman" w:hint="default"/>
                <w:sz w:val="16"/>
                <w:szCs w:val="16"/>
              </w:rPr>
            </w:pPr>
            <w:r>
              <w:rPr>
                <w:rFonts w:ascii="Times New Roman"/>
                <w:spacing w:val="-1"/>
                <w:sz w:val="16"/>
              </w:rPr>
              <w:t>10,000,000.00</w:t>
            </w:r>
          </w:p>
        </w:tc>
      </w:tr>
      <w:tr>
        <w:trPr>
          <w:trHeight w:val="354" w:hRule="exact"/>
        </w:trPr>
        <w:tc>
          <w:tcPr>
            <w:tcW w:w="647"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其他应收款</w:t>
            </w:r>
          </w:p>
        </w:tc>
        <w:tc>
          <w:tcPr>
            <w:tcW w:w="1805" w:type="dxa"/>
            <w:tcBorders>
              <w:top w:val="nil" w:sz="6" w:space="0" w:color="auto"/>
              <w:left w:val="nil" w:sz="6" w:space="0" w:color="auto"/>
              <w:bottom w:val="nil" w:sz="6" w:space="0" w:color="auto"/>
              <w:right w:val="nil" w:sz="6" w:space="0" w:color="auto"/>
            </w:tcBorders>
          </w:tcPr>
          <w:p>
            <w:pPr/>
          </w:p>
        </w:tc>
        <w:tc>
          <w:tcPr>
            <w:tcW w:w="306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60"/>
              <w:jc w:val="right"/>
              <w:rPr>
                <w:rFonts w:ascii="Times New Roman" w:hAnsi="Times New Roman" w:cs="Times New Roman" w:eastAsia="Times New Roman" w:hint="default"/>
                <w:sz w:val="16"/>
                <w:szCs w:val="16"/>
              </w:rPr>
            </w:pPr>
            <w:r>
              <w:rPr>
                <w:rFonts w:ascii="Times New Roman"/>
                <w:spacing w:val="-1"/>
                <w:sz w:val="16"/>
              </w:rPr>
              <w:t>423,181,743.46</w:t>
            </w:r>
          </w:p>
        </w:tc>
        <w:tc>
          <w:tcPr>
            <w:tcW w:w="191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6"/>
                <w:szCs w:val="16"/>
              </w:rPr>
            </w:pPr>
            <w:r>
              <w:rPr>
                <w:rFonts w:ascii="Times New Roman"/>
                <w:spacing w:val="-1"/>
                <w:sz w:val="16"/>
              </w:rPr>
              <w:t>494,138,813.86</w:t>
            </w:r>
          </w:p>
        </w:tc>
      </w:tr>
      <w:tr>
        <w:trPr>
          <w:trHeight w:val="357" w:hRule="exact"/>
        </w:trPr>
        <w:tc>
          <w:tcPr>
            <w:tcW w:w="647"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single" w:sz="12" w:space="0" w:color="000000"/>
              <w:right w:val="nil" w:sz="6" w:space="0" w:color="auto"/>
            </w:tcBorders>
          </w:tcPr>
          <w:p>
            <w:pPr/>
          </w:p>
        </w:tc>
        <w:tc>
          <w:tcPr>
            <w:tcW w:w="1805"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left="246"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3062"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460"/>
              <w:jc w:val="right"/>
              <w:rPr>
                <w:rFonts w:ascii="Times New Roman" w:hAnsi="Times New Roman" w:cs="Times New Roman" w:eastAsia="Times New Roman" w:hint="default"/>
                <w:sz w:val="16"/>
                <w:szCs w:val="16"/>
              </w:rPr>
            </w:pPr>
            <w:r>
              <w:rPr>
                <w:rFonts w:ascii="Times New Roman"/>
                <w:spacing w:val="-1"/>
                <w:sz w:val="16"/>
              </w:rPr>
              <w:t>437,181,743.46</w:t>
            </w:r>
          </w:p>
        </w:tc>
        <w:tc>
          <w:tcPr>
            <w:tcW w:w="1919"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105"/>
              <w:jc w:val="right"/>
              <w:rPr>
                <w:rFonts w:ascii="Times New Roman" w:hAnsi="Times New Roman" w:cs="Times New Roman" w:eastAsia="Times New Roman" w:hint="default"/>
                <w:sz w:val="16"/>
                <w:szCs w:val="16"/>
              </w:rPr>
            </w:pPr>
            <w:r>
              <w:rPr>
                <w:rFonts w:ascii="Times New Roman"/>
                <w:spacing w:val="-1"/>
                <w:sz w:val="16"/>
              </w:rPr>
              <w:t>504,138,813.86</w:t>
            </w:r>
          </w:p>
        </w:tc>
      </w:tr>
    </w:tbl>
    <w:p>
      <w:pPr>
        <w:spacing w:after="0" w:line="240" w:lineRule="auto"/>
        <w:jc w:val="right"/>
        <w:rPr>
          <w:rFonts w:ascii="Times New Roman" w:hAnsi="Times New Roman" w:cs="Times New Roman" w:eastAsia="Times New Roman" w:hint="default"/>
          <w:sz w:val="16"/>
          <w:szCs w:val="16"/>
        </w:rPr>
        <w:sectPr>
          <w:pgSz w:w="11910" w:h="16840"/>
          <w:pgMar w:header="0" w:footer="1001" w:top="1520" w:bottom="1200" w:left="1660" w:right="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Heading5"/>
        <w:tabs>
          <w:tab w:pos="1397" w:val="left" w:leader="none"/>
        </w:tabs>
        <w:spacing w:line="240" w:lineRule="auto" w:before="0"/>
        <w:ind w:left="846" w:right="3681"/>
        <w:jc w:val="left"/>
        <w:rPr>
          <w:b w:val="0"/>
          <w:bCs w:val="0"/>
        </w:rPr>
      </w:pPr>
      <w:r>
        <w:rPr>
          <w:rFonts w:ascii="Times New Roman" w:hAnsi="Times New Roman" w:cs="Times New Roman" w:eastAsia="Times New Roman" w:hint="default"/>
          <w:w w:val="95"/>
        </w:rPr>
        <w:t>1</w:t>
      </w:r>
      <w:r>
        <w:rPr>
          <w:w w:val="95"/>
        </w:rPr>
        <w:t>、</w:t>
        <w:tab/>
      </w:r>
      <w:r>
        <w:rPr>
          <w:spacing w:val="1"/>
        </w:rPr>
        <w:t>应收股利</w:t>
      </w:r>
      <w:r>
        <w:rPr>
          <w:b w:val="0"/>
          <w:bCs w:val="0"/>
        </w:rPr>
      </w:r>
    </w:p>
    <w:p>
      <w:pPr>
        <w:spacing w:line="1110" w:lineRule="exact"/>
        <w:ind w:left="720" w:right="0" w:firstLine="0"/>
        <w:rPr>
          <w:rFonts w:ascii="宋体" w:hAnsi="宋体" w:cs="宋体" w:eastAsia="宋体" w:hint="default"/>
          <w:sz w:val="20"/>
          <w:szCs w:val="20"/>
        </w:rPr>
      </w:pPr>
      <w:r>
        <w:rPr>
          <w:rFonts w:ascii="宋体" w:hAnsi="宋体" w:cs="宋体" w:eastAsia="宋体" w:hint="default"/>
          <w:position w:val="-21"/>
          <w:sz w:val="20"/>
          <w:szCs w:val="20"/>
        </w:rPr>
        <w:pict>
          <v:group style="width:411.95pt;height:55.5pt;mso-position-horizontal-relative:char;mso-position-vertical-relative:line" coordorigin="0,0" coordsize="8239,1110">
            <v:group style="position:absolute;left:29;top:15;width:3302;height:2" coordorigin="29,15" coordsize="3302,2">
              <v:shape style="position:absolute;left:29;top:15;width:3302;height:2" coordorigin="29,15" coordsize="3302,0" path="m29,15l3331,15e" filled="false" stroked="true" strokeweight="1.5pt" strokecolor="#000000">
                <v:path arrowok="t"/>
              </v:shape>
              <v:shape style="position:absolute;left:3331;top:30;width:10;height:28" type="#_x0000_t75" stroked="false">
                <v:imagedata r:id="rId179" o:title=""/>
              </v:shape>
            </v:group>
            <v:group style="position:absolute;left:3331;top:15;width:2441;height:2" coordorigin="3331,15" coordsize="2441,2">
              <v:shape style="position:absolute;left:3331;top:15;width:2441;height:2" coordorigin="3331,15" coordsize="2441,0" path="m3331,15l5771,15e" filled="false" stroked="true" strokeweight="1.5pt" strokecolor="#000000">
                <v:path arrowok="t"/>
              </v:shape>
              <v:shape style="position:absolute;left:5771;top:30;width:10;height:28" type="#_x0000_t75" stroked="false">
                <v:imagedata r:id="rId179" o:title=""/>
              </v:shape>
            </v:group>
            <v:group style="position:absolute;left:5771;top:15;width:2446;height:2" coordorigin="5771,15" coordsize="2446,2">
              <v:shape style="position:absolute;left:5771;top:15;width:2446;height:2" coordorigin="5771,15" coordsize="2446,0" path="m5771,15l8217,15e" filled="false" stroked="true" strokeweight="1.5pt" strokecolor="#000000">
                <v:path arrowok="t"/>
              </v:shape>
              <v:shape style="position:absolute;left:3311;top:38;width:2489;height:354" type="#_x0000_t75" stroked="false">
                <v:imagedata r:id="rId505" o:title=""/>
              </v:shape>
            </v:group>
            <v:group style="position:absolute;left:15;top:1095;width:3316;height:2" coordorigin="15,1095" coordsize="3316,2">
              <v:shape style="position:absolute;left:15;top:1095;width:3316;height:2" coordorigin="15,1095" coordsize="3316,0" path="m15,1095l3331,1095e" filled="false" stroked="true" strokeweight="1.5pt" strokecolor="#000000">
                <v:path arrowok="t"/>
              </v:shape>
            </v:group>
            <v:group style="position:absolute;left:3331;top:1095;width:2441;height:2" coordorigin="3331,1095" coordsize="2441,2">
              <v:shape style="position:absolute;left:3331;top:1095;width:2441;height:2" coordorigin="3331,1095" coordsize="2441,0" path="m3331,1095l5771,1095e" filled="false" stroked="true" strokeweight="1.5pt" strokecolor="#000000">
                <v:path arrowok="t"/>
              </v:shape>
              <v:shape style="position:absolute;left:10;top:354;width:8228;height:726" type="#_x0000_t75" stroked="false">
                <v:imagedata r:id="rId506" o:title=""/>
              </v:shape>
            </v:group>
            <v:group style="position:absolute;left:5771;top:1095;width:2446;height:2" coordorigin="5771,1095" coordsize="2446,2">
              <v:shape style="position:absolute;left:5771;top:1095;width:2446;height:2" coordorigin="5771,1095" coordsize="2446,0" path="m5771,1095l8217,1095e" filled="false" stroked="true" strokeweight="1.5pt" strokecolor="#000000">
                <v:path arrowok="t"/>
              </v:shape>
              <v:shape style="position:absolute;left:883;top:121;width:159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项目（或被投资单位）</w:t>
                      </w:r>
                      <w:r>
                        <w:rPr>
                          <w:rFonts w:ascii="宋体" w:hAnsi="宋体" w:cs="宋体" w:eastAsia="宋体" w:hint="default"/>
                          <w:sz w:val="16"/>
                          <w:szCs w:val="16"/>
                        </w:rPr>
                      </w:r>
                    </w:p>
                  </w:txbxContent>
                </v:textbox>
                <w10:wrap type="none"/>
              </v:shape>
              <v:shape style="position:absolute;left:4234;top:121;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6676;top:121;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年初余额</w:t>
                      </w:r>
                      <w:r>
                        <w:rPr>
                          <w:rFonts w:ascii="宋体" w:hAnsi="宋体" w:cs="宋体" w:eastAsia="宋体" w:hint="default"/>
                          <w:sz w:val="16"/>
                          <w:szCs w:val="16"/>
                        </w:rPr>
                      </w:r>
                    </w:p>
                  </w:txbxContent>
                </v:textbox>
                <w10:wrap type="none"/>
              </v:shape>
              <v:shape style="position:absolute;left:137;top:475;width:159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东方证券股份有限公司</w:t>
                      </w:r>
                      <w:r>
                        <w:rPr>
                          <w:rFonts w:ascii="宋体" w:hAnsi="宋体" w:cs="宋体" w:eastAsia="宋体" w:hint="default"/>
                          <w:sz w:val="16"/>
                          <w:szCs w:val="16"/>
                        </w:rPr>
                      </w:r>
                    </w:p>
                  </w:txbxContent>
                </v:textbox>
                <w10:wrap type="none"/>
              </v:shape>
              <v:shape style="position:absolute;left:4747;top:488;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14,000,000.00</w:t>
                      </w:r>
                      <w:r>
                        <w:rPr>
                          <w:rFonts w:ascii="Times New Roman"/>
                          <w:sz w:val="16"/>
                        </w:rPr>
                      </w:r>
                    </w:p>
                  </w:txbxContent>
                </v:textbox>
                <w10:wrap type="none"/>
              </v:shape>
              <v:shape style="position:absolute;left:7189;top:488;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10,000,000.00</w:t>
                      </w:r>
                      <w:r>
                        <w:rPr>
                          <w:rFonts w:ascii="Times New Roman"/>
                          <w:sz w:val="16"/>
                        </w:rPr>
                      </w:r>
                    </w:p>
                  </w:txbxContent>
                </v:textbox>
                <w10:wrap type="none"/>
              </v:shape>
              <v:shape style="position:absolute;left:1522;top:828;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合计</w:t>
                      </w:r>
                      <w:r>
                        <w:rPr>
                          <w:rFonts w:ascii="宋体" w:hAnsi="宋体" w:cs="宋体" w:eastAsia="宋体" w:hint="default"/>
                          <w:sz w:val="16"/>
                          <w:szCs w:val="16"/>
                        </w:rPr>
                      </w:r>
                    </w:p>
                  </w:txbxContent>
                </v:textbox>
                <w10:wrap type="none"/>
              </v:shape>
              <v:shape style="position:absolute;left:4747;top:841;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14,000,000.00</w:t>
                      </w:r>
                      <w:r>
                        <w:rPr>
                          <w:rFonts w:ascii="Times New Roman"/>
                          <w:sz w:val="16"/>
                        </w:rPr>
                      </w:r>
                    </w:p>
                  </w:txbxContent>
                </v:textbox>
                <w10:wrap type="none"/>
              </v:shape>
              <v:shape style="position:absolute;left:7189;top:841;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10,000,000.00</w:t>
                      </w:r>
                      <w:r>
                        <w:rPr>
                          <w:rFonts w:ascii="Times New Roman"/>
                          <w:sz w:val="16"/>
                        </w:rPr>
                      </w:r>
                    </w:p>
                  </w:txbxContent>
                </v:textbox>
                <w10:wrap type="none"/>
              </v:shape>
            </v:group>
          </v:group>
        </w:pict>
      </w:r>
      <w:r>
        <w:rPr>
          <w:rFonts w:ascii="宋体" w:hAnsi="宋体" w:cs="宋体" w:eastAsia="宋体" w:hint="default"/>
          <w:position w:val="-21"/>
          <w:sz w:val="20"/>
          <w:szCs w:val="20"/>
        </w:rPr>
      </w:r>
    </w:p>
    <w:p>
      <w:pPr>
        <w:spacing w:after="0" w:line="1110" w:lineRule="exact"/>
        <w:rPr>
          <w:rFonts w:ascii="宋体" w:hAnsi="宋体" w:cs="宋体" w:eastAsia="宋体" w:hint="default"/>
          <w:sz w:val="20"/>
          <w:szCs w:val="20"/>
        </w:rPr>
        <w:sectPr>
          <w:pgSz w:w="11910" w:h="16840"/>
          <w:pgMar w:header="0" w:footer="1001" w:top="1520" w:bottom="1200" w:left="1660" w:right="0"/>
        </w:sectPr>
      </w:pPr>
    </w:p>
    <w:p>
      <w:pPr>
        <w:spacing w:before="142"/>
        <w:ind w:left="139" w:right="0" w:firstLine="0"/>
        <w:jc w:val="left"/>
        <w:rPr>
          <w:rFonts w:ascii="宋体" w:hAnsi="宋体" w:cs="宋体" w:eastAsia="宋体" w:hint="default"/>
          <w:sz w:val="18"/>
          <w:szCs w:val="18"/>
        </w:rPr>
      </w:pPr>
      <w:r>
        <w:rPr>
          <w:rFonts w:ascii="宋体" w:hAnsi="宋体" w:cs="宋体" w:eastAsia="宋体" w:hint="default"/>
          <w:sz w:val="18"/>
          <w:szCs w:val="18"/>
        </w:rPr>
        <w:t>财务报表附注</w:t>
      </w:r>
    </w:p>
    <w:p>
      <w:pPr>
        <w:spacing w:line="240" w:lineRule="auto" w:before="7"/>
        <w:rPr>
          <w:rFonts w:ascii="宋体" w:hAnsi="宋体" w:cs="宋体" w:eastAsia="宋体" w:hint="default"/>
          <w:sz w:val="3"/>
          <w:szCs w:val="3"/>
        </w:r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701.5pt;height:.5pt;mso-position-horizontal-relative:char;mso-position-vertical-relative:line" coordorigin="0,0" coordsize="14030,10">
            <v:group style="position:absolute;left:5;top:5;width:14020;height:2" coordorigin="5,5" coordsize="14020,2">
              <v:shape style="position:absolute;left:5;top:5;width:14020;height:2" coordorigin="5,5" coordsize="14020,0" path="m5,5l14024,5e" filled="false" stroked="true" strokeweight=".48pt" strokecolor="#000000">
                <v:path arrowok="t"/>
              </v:shape>
            </v:group>
          </v:group>
        </w:pict>
      </w:r>
      <w:r>
        <w:rPr>
          <w:rFonts w:ascii="宋体" w:hAnsi="宋体" w:cs="宋体" w:eastAsia="宋体" w:hint="default"/>
          <w:sz w:val="2"/>
          <w:szCs w:val="2"/>
        </w:rPr>
      </w:r>
    </w:p>
    <w:p>
      <w:pPr>
        <w:spacing w:line="240" w:lineRule="auto" w:before="6"/>
        <w:rPr>
          <w:rFonts w:ascii="宋体" w:hAnsi="宋体" w:cs="宋体" w:eastAsia="宋体" w:hint="default"/>
          <w:sz w:val="23"/>
          <w:szCs w:val="23"/>
        </w:rPr>
      </w:pPr>
    </w:p>
    <w:p>
      <w:pPr>
        <w:pStyle w:val="Heading5"/>
        <w:tabs>
          <w:tab w:pos="1399" w:val="left" w:leader="none"/>
        </w:tabs>
        <w:spacing w:line="240" w:lineRule="auto"/>
        <w:ind w:left="849" w:right="0"/>
        <w:jc w:val="left"/>
        <w:rPr>
          <w:b w:val="0"/>
          <w:bCs w:val="0"/>
        </w:rPr>
      </w:pPr>
      <w:r>
        <w:rPr>
          <w:rFonts w:ascii="Times New Roman" w:hAnsi="Times New Roman" w:cs="Times New Roman" w:eastAsia="Times New Roman" w:hint="default"/>
          <w:w w:val="95"/>
        </w:rPr>
        <w:t>2</w:t>
      </w:r>
      <w:r>
        <w:rPr>
          <w:w w:val="95"/>
        </w:rPr>
        <w:t>、</w:t>
        <w:tab/>
      </w:r>
      <w:r>
        <w:rPr/>
        <w:t>其他应收款</w:t>
      </w:r>
      <w:r>
        <w:rPr>
          <w:b w:val="0"/>
          <w:bCs w:val="0"/>
        </w:rPr>
      </w:r>
    </w:p>
    <w:p>
      <w:pPr>
        <w:pStyle w:val="BodyText"/>
        <w:spacing w:line="240" w:lineRule="auto"/>
        <w:ind w:left="1415" w:right="0"/>
        <w:jc w:val="left"/>
      </w:pPr>
      <w:r>
        <w:rPr/>
        <w:pict>
          <v:group style="position:absolute;margin-left:101.121002pt;margin-top:20.773216pt;width:682.95pt;height:167.8pt;mso-position-horizontal-relative:page;mso-position-vertical-relative:paragraph;z-index:-1360432" coordorigin="2022,415" coordsize="13659,3356">
            <v:group style="position:absolute;left:2052;top:430;width:2224;height:2" coordorigin="2052,430" coordsize="2224,2">
              <v:shape style="position:absolute;left:2052;top:430;width:2224;height:2" coordorigin="2052,430" coordsize="2224,0" path="m2052,430l4275,430e" filled="false" stroked="true" strokeweight="1.5pt" strokecolor="#000000">
                <v:path arrowok="t"/>
              </v:shape>
              <v:shape style="position:absolute;left:4275;top:445;width:10;height:28" type="#_x0000_t75" stroked="false">
                <v:imagedata r:id="rId74" o:title=""/>
              </v:shape>
            </v:group>
            <v:group style="position:absolute;left:4275;top:430;width:5847;height:2" coordorigin="4275,430" coordsize="5847,2">
              <v:shape style="position:absolute;left:4275;top:430;width:5847;height:2" coordorigin="4275,430" coordsize="5847,0" path="m4275,430l10122,430e" filled="false" stroked="true" strokeweight="1.5pt" strokecolor="#000000">
                <v:path arrowok="t"/>
              </v:shape>
              <v:shape style="position:absolute;left:10122;top:445;width:10;height:28" type="#_x0000_t75" stroked="false">
                <v:imagedata r:id="rId74" o:title=""/>
              </v:shape>
            </v:group>
            <v:group style="position:absolute;left:10122;top:430;width:5538;height:2" coordorigin="10122,430" coordsize="5538,2">
              <v:shape style="position:absolute;left:10122;top:430;width:5538;height:2" coordorigin="10122,430" coordsize="5538,0" path="m10122,430l15660,430e" filled="false" stroked="true" strokeweight="1.5pt" strokecolor="#000000">
                <v:path arrowok="t"/>
              </v:shape>
              <v:shape style="position:absolute;left:4256;top:454;width:5894;height:354" type="#_x0000_t75" stroked="false">
                <v:imagedata r:id="rId509" o:title=""/>
              </v:shape>
              <v:shape style="position:absolute;left:4263;top:776;width:11412;height:380" type="#_x0000_t75" stroked="false">
                <v:imagedata r:id="rId510" o:title=""/>
              </v:shape>
              <v:shape style="position:absolute;left:4256;top:1123;width:10081;height:599" type="#_x0000_t75" stroked="false">
                <v:imagedata r:id="rId511" o:title=""/>
              </v:shape>
            </v:group>
            <v:group style="position:absolute;left:2037;top:3756;width:2238;height:2" coordorigin="2037,3756" coordsize="2238,2">
              <v:shape style="position:absolute;left:2037;top:3756;width:2238;height:2" coordorigin="2037,3756" coordsize="2238,0" path="m2037,3756l4275,3756e" filled="false" stroked="true" strokeweight="1.5pt" strokecolor="#000000">
                <v:path arrowok="t"/>
              </v:shape>
            </v:group>
            <v:group style="position:absolute;left:4275;top:3756;width:30;height:2" coordorigin="4275,3756" coordsize="30,2">
              <v:shape style="position:absolute;left:4275;top:3756;width:30;height:2" coordorigin="4275,3756" coordsize="30,0" path="m4275,3756l4305,3756e" filled="false" stroked="true" strokeweight="1.5pt" strokecolor="#000000">
                <v:path arrowok="t"/>
              </v:shape>
            </v:group>
            <v:group style="position:absolute;left:4305;top:3756;width:1419;height:2" coordorigin="4305,3756" coordsize="1419,2">
              <v:shape style="position:absolute;left:4305;top:3756;width:1419;height:2" coordorigin="4305,3756" coordsize="1419,0" path="m4305,3756l5724,3756e" filled="false" stroked="true" strokeweight="1.5pt" strokecolor="#000000">
                <v:path arrowok="t"/>
              </v:shape>
            </v:group>
            <v:group style="position:absolute;left:5724;top:3756;width:930;height:2" coordorigin="5724,3756" coordsize="930,2">
              <v:shape style="position:absolute;left:5724;top:3756;width:930;height:2" coordorigin="5724,3756" coordsize="930,0" path="m5724,3756l6654,3756e" filled="false" stroked="true" strokeweight="1.5pt" strokecolor="#000000">
                <v:path arrowok="t"/>
              </v:shape>
            </v:group>
            <v:group style="position:absolute;left:6654;top:3756;width:1320;height:2" coordorigin="6654,3756" coordsize="1320,2">
              <v:shape style="position:absolute;left:6654;top:3756;width:1320;height:2" coordorigin="6654,3756" coordsize="1320,0" path="m6654,3756l7974,3756e" filled="false" stroked="true" strokeweight="1.5pt" strokecolor="#000000">
                <v:path arrowok="t"/>
              </v:shape>
            </v:group>
            <v:group style="position:absolute;left:7974;top:3756;width:801;height:2" coordorigin="7974,3756" coordsize="801,2">
              <v:shape style="position:absolute;left:7974;top:3756;width:801;height:2" coordorigin="7974,3756" coordsize="801,0" path="m7974,3756l8774,3756e" filled="false" stroked="true" strokeweight="1.5pt" strokecolor="#000000">
                <v:path arrowok="t"/>
              </v:shape>
            </v:group>
            <v:group style="position:absolute;left:8774;top:3756;width:1348;height:2" coordorigin="8774,3756" coordsize="1348,2">
              <v:shape style="position:absolute;left:8774;top:3756;width:1348;height:2" coordorigin="8774,3756" coordsize="1348,0" path="m8774,3756l10122,3756e" filled="false" stroked="true" strokeweight="1.5pt" strokecolor="#000000">
                <v:path arrowok="t"/>
              </v:shape>
            </v:group>
            <v:group style="position:absolute;left:10122;top:3756;width:1348;height:2" coordorigin="10122,3756" coordsize="1348,2">
              <v:shape style="position:absolute;left:10122;top:3756;width:1348;height:2" coordorigin="10122,3756" coordsize="1348,0" path="m10122,3756l11469,3756e" filled="false" stroked="true" strokeweight="1.5pt" strokecolor="#000000">
                <v:path arrowok="t"/>
              </v:shape>
            </v:group>
            <v:group style="position:absolute;left:11469;top:3756;width:813;height:2" coordorigin="11469,3756" coordsize="813,2">
              <v:shape style="position:absolute;left:11469;top:3756;width:813;height:2" coordorigin="11469,3756" coordsize="813,0" path="m11469,3756l12282,3756e" filled="false" stroked="true" strokeweight="1.5pt" strokecolor="#000000">
                <v:path arrowok="t"/>
              </v:shape>
            </v:group>
            <v:group style="position:absolute;left:12282;top:3756;width:1214;height:2" coordorigin="12282,3756" coordsize="1214,2">
              <v:shape style="position:absolute;left:12282;top:3756;width:1214;height:2" coordorigin="12282,3756" coordsize="1214,0" path="m12282,3756l13495,3756e" filled="false" stroked="true" strokeweight="1.5pt" strokecolor="#000000">
                <v:path arrowok="t"/>
              </v:shape>
            </v:group>
            <v:group style="position:absolute;left:13495;top:3756;width:814;height:2" coordorigin="13495,3756" coordsize="814,2">
              <v:shape style="position:absolute;left:13495;top:3756;width:814;height:2" coordorigin="13495,3756" coordsize="814,0" path="m13495,3756l14309,3756e" filled="false" stroked="true" strokeweight="1.5pt" strokecolor="#000000">
                <v:path arrowok="t"/>
              </v:shape>
              <v:shape style="position:absolute;left:2033;top:1684;width:13649;height:2057" type="#_x0000_t75" stroked="false">
                <v:imagedata r:id="rId512" o:title=""/>
              </v:shape>
            </v:group>
            <v:group style="position:absolute;left:14309;top:3756;width:1352;height:2" coordorigin="14309,3756" coordsize="1352,2">
              <v:shape style="position:absolute;left:14309;top:3756;width:1352;height:2" coordorigin="14309,3756" coordsize="1352,0" path="m14309,3756l15660,3756e" filled="false" stroked="true" strokeweight="1.5pt" strokecolor="#000000">
                <v:path arrowok="t"/>
              </v:shape>
              <v:shape style="position:absolute;left:6884;top:53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12573;top:53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年初余额</w:t>
                      </w:r>
                      <w:r>
                        <w:rPr>
                          <w:rFonts w:ascii="宋体" w:hAnsi="宋体" w:cs="宋体" w:eastAsia="宋体" w:hint="default"/>
                          <w:sz w:val="16"/>
                          <w:szCs w:val="16"/>
                        </w:rPr>
                      </w:r>
                    </w:p>
                  </w:txbxContent>
                </v:textbox>
                <w10:wrap type="none"/>
              </v:shape>
              <v:shape style="position:absolute;left:3006;top:995;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类别</w:t>
                      </w:r>
                      <w:r>
                        <w:rPr>
                          <w:rFonts w:ascii="宋体" w:hAnsi="宋体" w:cs="宋体" w:eastAsia="宋体" w:hint="default"/>
                          <w:sz w:val="16"/>
                          <w:szCs w:val="16"/>
                        </w:rPr>
                      </w:r>
                    </w:p>
                  </w:txbxContent>
                </v:textbox>
                <w10:wrap type="none"/>
              </v:shape>
              <v:shape style="position:absolute;left:5149;top:890;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账面余额</w:t>
                      </w:r>
                      <w:r>
                        <w:rPr>
                          <w:rFonts w:ascii="宋体" w:hAnsi="宋体" w:cs="宋体" w:eastAsia="宋体" w:hint="default"/>
                          <w:sz w:val="16"/>
                          <w:szCs w:val="16"/>
                        </w:rPr>
                      </w:r>
                    </w:p>
                  </w:txbxContent>
                </v:textbox>
                <w10:wrap type="none"/>
              </v:shape>
              <v:shape style="position:absolute;left:7399;top:890;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坏账准备</w:t>
                      </w:r>
                      <w:r>
                        <w:rPr>
                          <w:rFonts w:ascii="宋体" w:hAnsi="宋体" w:cs="宋体" w:eastAsia="宋体" w:hint="default"/>
                          <w:sz w:val="16"/>
                          <w:szCs w:val="16"/>
                        </w:rPr>
                      </w:r>
                    </w:p>
                  </w:txbxContent>
                </v:textbox>
                <w10:wrap type="none"/>
              </v:shape>
              <v:shape style="position:absolute;left:10886;top:890;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账面余额</w:t>
                      </w:r>
                      <w:r>
                        <w:rPr>
                          <w:rFonts w:ascii="宋体" w:hAnsi="宋体" w:cs="宋体" w:eastAsia="宋体" w:hint="default"/>
                          <w:sz w:val="16"/>
                          <w:szCs w:val="16"/>
                        </w:rPr>
                      </w:r>
                    </w:p>
                  </w:txbxContent>
                </v:textbox>
                <w10:wrap type="none"/>
              </v:shape>
              <v:shape style="position:absolute;left:12980;top:890;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坏账准备</w:t>
                      </w:r>
                      <w:r>
                        <w:rPr>
                          <w:rFonts w:ascii="宋体" w:hAnsi="宋体" w:cs="宋体" w:eastAsia="宋体" w:hint="default"/>
                          <w:sz w:val="16"/>
                          <w:szCs w:val="16"/>
                        </w:rPr>
                      </w:r>
                    </w:p>
                  </w:txbxContent>
                </v:textbox>
                <w10:wrap type="none"/>
              </v:shape>
              <v:shape style="position:absolute;left:9133;top:1171;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账面价值</w:t>
                      </w:r>
                      <w:r>
                        <w:rPr>
                          <w:rFonts w:ascii="宋体" w:hAnsi="宋体" w:cs="宋体" w:eastAsia="宋体" w:hint="default"/>
                          <w:sz w:val="16"/>
                          <w:szCs w:val="16"/>
                        </w:rPr>
                      </w:r>
                    </w:p>
                  </w:txbxContent>
                </v:textbox>
                <w10:wrap type="none"/>
              </v:shape>
              <v:shape style="position:absolute;left:4844;top:1348;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金额</w:t>
                      </w:r>
                      <w:r>
                        <w:rPr>
                          <w:rFonts w:ascii="宋体" w:hAnsi="宋体" w:cs="宋体" w:eastAsia="宋体" w:hint="default"/>
                          <w:sz w:val="16"/>
                          <w:szCs w:val="16"/>
                        </w:rPr>
                      </w:r>
                    </w:p>
                  </w:txbxContent>
                </v:textbox>
                <w10:wrap type="none"/>
              </v:shape>
              <v:shape style="position:absolute;left:5837;top:1348;width:772;height:169" type="#_x0000_t202" filled="false" stroked="false">
                <v:textbox inset="0,0,0,0">
                  <w:txbxContent>
                    <w:p>
                      <w:pPr>
                        <w:spacing w:line="168"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比例（</w:t>
                      </w:r>
                      <w:r>
                        <w:rPr>
                          <w:rFonts w:ascii="Times New Roman" w:hAnsi="Times New Roman" w:cs="Times New Roman" w:eastAsia="Times New Roman" w:hint="default"/>
                          <w:w w:val="95"/>
                          <w:sz w:val="16"/>
                          <w:szCs w:val="16"/>
                        </w:rPr>
                        <w:t>%</w:t>
                      </w:r>
                      <w:r>
                        <w:rPr>
                          <w:rFonts w:ascii="宋体" w:hAnsi="宋体" w:cs="宋体" w:eastAsia="宋体" w:hint="default"/>
                          <w:w w:val="95"/>
                          <w:sz w:val="16"/>
                          <w:szCs w:val="16"/>
                        </w:rPr>
                        <w:t>）</w:t>
                      </w:r>
                      <w:r>
                        <w:rPr>
                          <w:rFonts w:ascii="宋体" w:hAnsi="宋体" w:cs="宋体" w:eastAsia="宋体" w:hint="default"/>
                          <w:sz w:val="16"/>
                          <w:szCs w:val="16"/>
                        </w:rPr>
                      </w:r>
                    </w:p>
                  </w:txbxContent>
                </v:textbox>
                <w10:wrap type="none"/>
              </v:shape>
              <v:shape style="position:absolute;left:7158;top:1348;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金额</w:t>
                      </w:r>
                      <w:r>
                        <w:rPr>
                          <w:rFonts w:ascii="宋体" w:hAnsi="宋体" w:cs="宋体" w:eastAsia="宋体" w:hint="default"/>
                          <w:sz w:val="16"/>
                          <w:szCs w:val="16"/>
                        </w:rPr>
                      </w:r>
                    </w:p>
                  </w:txbxContent>
                </v:textbox>
                <w10:wrap type="none"/>
              </v:shape>
              <v:shape style="position:absolute;left:8138;top:1244;width:4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计提比</w:t>
                      </w:r>
                      <w:r>
                        <w:rPr>
                          <w:rFonts w:ascii="宋体" w:hAnsi="宋体" w:cs="宋体" w:eastAsia="宋体" w:hint="default"/>
                          <w:sz w:val="16"/>
                          <w:szCs w:val="16"/>
                        </w:rPr>
                      </w:r>
                    </w:p>
                  </w:txbxContent>
                </v:textbox>
                <w10:wrap type="none"/>
              </v:shape>
              <v:shape style="position:absolute;left:10640;top:1348;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金额</w:t>
                      </w:r>
                      <w:r>
                        <w:rPr>
                          <w:rFonts w:ascii="宋体" w:hAnsi="宋体" w:cs="宋体" w:eastAsia="宋体" w:hint="default"/>
                          <w:sz w:val="16"/>
                          <w:szCs w:val="16"/>
                        </w:rPr>
                      </w:r>
                    </w:p>
                  </w:txbxContent>
                </v:textbox>
                <w10:wrap type="none"/>
              </v:shape>
              <v:shape style="position:absolute;left:11720;top:1244;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比例</w:t>
                      </w:r>
                      <w:r>
                        <w:rPr>
                          <w:rFonts w:ascii="宋体" w:hAnsi="宋体" w:cs="宋体" w:eastAsia="宋体" w:hint="default"/>
                          <w:sz w:val="16"/>
                          <w:szCs w:val="16"/>
                        </w:rPr>
                      </w:r>
                    </w:p>
                  </w:txbxContent>
                </v:textbox>
                <w10:wrap type="none"/>
              </v:shape>
              <v:shape style="position:absolute;left:12733;top:1348;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金额</w:t>
                      </w:r>
                      <w:r>
                        <w:rPr>
                          <w:rFonts w:ascii="宋体" w:hAnsi="宋体" w:cs="宋体" w:eastAsia="宋体" w:hint="default"/>
                          <w:sz w:val="16"/>
                          <w:szCs w:val="16"/>
                        </w:rPr>
                      </w:r>
                    </w:p>
                  </w:txbxContent>
                </v:textbox>
                <w10:wrap type="none"/>
              </v:shape>
              <v:shape style="position:absolute;left:13667;top:1244;width:4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计提比</w:t>
                      </w:r>
                      <w:r>
                        <w:rPr>
                          <w:rFonts w:ascii="宋体" w:hAnsi="宋体" w:cs="宋体" w:eastAsia="宋体" w:hint="default"/>
                          <w:sz w:val="16"/>
                          <w:szCs w:val="16"/>
                        </w:rPr>
                      </w:r>
                    </w:p>
                  </w:txbxContent>
                </v:textbox>
                <w10:wrap type="none"/>
              </v:shape>
              <v:shape style="position:absolute;left:14666;top:1171;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账面价值</w:t>
                      </w:r>
                      <w:r>
                        <w:rPr>
                          <w:rFonts w:ascii="宋体" w:hAnsi="宋体" w:cs="宋体" w:eastAsia="宋体" w:hint="default"/>
                          <w:sz w:val="16"/>
                          <w:szCs w:val="16"/>
                        </w:rPr>
                      </w:r>
                    </w:p>
                  </w:txbxContent>
                </v:textbox>
                <w10:wrap type="none"/>
              </v:shape>
              <v:shape style="position:absolute;left:2160;top:1805;width:1919;height:1844"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单项金额重大并单独计提坏</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账准备的其他应收款</w:t>
                      </w:r>
                    </w:p>
                    <w:p>
                      <w:pPr>
                        <w:spacing w:line="240" w:lineRule="auto" w:before="1"/>
                        <w:rPr>
                          <w:rFonts w:ascii="宋体" w:hAnsi="宋体" w:cs="宋体" w:eastAsia="宋体" w:hint="default"/>
                          <w:sz w:val="11"/>
                          <w:szCs w:val="11"/>
                        </w:rPr>
                      </w:pPr>
                    </w:p>
                    <w:p>
                      <w:pPr>
                        <w:spacing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按信用风险特征组合计提坏</w:t>
                      </w:r>
                      <w:r>
                        <w:rPr>
                          <w:rFonts w:ascii="宋体" w:hAnsi="宋体" w:cs="宋体" w:eastAsia="宋体" w:hint="default"/>
                          <w:spacing w:val="18"/>
                          <w:w w:val="95"/>
                          <w:sz w:val="16"/>
                          <w:szCs w:val="16"/>
                        </w:rPr>
                        <w:t> </w:t>
                      </w:r>
                      <w:r>
                        <w:rPr>
                          <w:rFonts w:ascii="宋体" w:hAnsi="宋体" w:cs="宋体" w:eastAsia="宋体" w:hint="default"/>
                          <w:spacing w:val="18"/>
                          <w:w w:val="95"/>
                          <w:sz w:val="16"/>
                          <w:szCs w:val="16"/>
                        </w:rPr>
                      </w:r>
                      <w:r>
                        <w:rPr>
                          <w:rFonts w:ascii="宋体" w:hAnsi="宋体" w:cs="宋体" w:eastAsia="宋体" w:hint="default"/>
                          <w:sz w:val="16"/>
                          <w:szCs w:val="16"/>
                        </w:rPr>
                        <w:t>账准备的其他应收款</w:t>
                      </w:r>
                    </w:p>
                    <w:p>
                      <w:pPr>
                        <w:spacing w:before="143"/>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单项金额不重大但单独计提</w:t>
                      </w:r>
                      <w:r>
                        <w:rPr>
                          <w:rFonts w:ascii="宋体" w:hAnsi="宋体" w:cs="宋体" w:eastAsia="宋体" w:hint="default"/>
                          <w:spacing w:val="18"/>
                          <w:w w:val="95"/>
                          <w:sz w:val="16"/>
                          <w:szCs w:val="16"/>
                        </w:rPr>
                        <w:t> </w:t>
                      </w:r>
                      <w:r>
                        <w:rPr>
                          <w:rFonts w:ascii="宋体" w:hAnsi="宋体" w:cs="宋体" w:eastAsia="宋体" w:hint="default"/>
                          <w:spacing w:val="18"/>
                          <w:w w:val="95"/>
                          <w:sz w:val="16"/>
                          <w:szCs w:val="16"/>
                        </w:rPr>
                      </w:r>
                      <w:r>
                        <w:rPr>
                          <w:rFonts w:ascii="宋体" w:hAnsi="宋体" w:cs="宋体" w:eastAsia="宋体" w:hint="default"/>
                          <w:sz w:val="16"/>
                          <w:szCs w:val="16"/>
                        </w:rPr>
                        <w:t>坏账准备的其他应收款</w:t>
                      </w:r>
                    </w:p>
                    <w:p>
                      <w:pPr>
                        <w:spacing w:line="240" w:lineRule="auto" w:before="1"/>
                        <w:rPr>
                          <w:rFonts w:ascii="宋体" w:hAnsi="宋体" w:cs="宋体" w:eastAsia="宋体" w:hint="default"/>
                          <w:sz w:val="11"/>
                          <w:szCs w:val="11"/>
                        </w:rPr>
                      </w:pPr>
                    </w:p>
                    <w:p>
                      <w:pPr>
                        <w:spacing w:before="0"/>
                        <w:ind w:left="92" w:right="0" w:firstLine="0"/>
                        <w:jc w:val="center"/>
                        <w:rPr>
                          <w:rFonts w:ascii="宋体" w:hAnsi="宋体" w:cs="宋体" w:eastAsia="宋体" w:hint="default"/>
                          <w:sz w:val="16"/>
                          <w:szCs w:val="16"/>
                        </w:rPr>
                      </w:pPr>
                      <w:r>
                        <w:rPr>
                          <w:rFonts w:ascii="宋体" w:hAnsi="宋体" w:cs="宋体" w:eastAsia="宋体" w:hint="default"/>
                          <w:sz w:val="16"/>
                          <w:szCs w:val="16"/>
                        </w:rPr>
                        <w:t>合计</w:t>
                      </w:r>
                    </w:p>
                  </w:txbxContent>
                </v:textbox>
                <w10:wrap type="none"/>
              </v:shape>
            </v:group>
            <w10:wrap type="none"/>
          </v:group>
        </w:pict>
      </w:r>
      <w:r>
        <w:rPr/>
        <w:t>（</w:t>
      </w:r>
      <w:r>
        <w:rPr>
          <w:rFonts w:ascii="Times New Roman" w:hAnsi="Times New Roman" w:cs="Times New Roman" w:eastAsia="Times New Roman" w:hint="default"/>
        </w:rPr>
        <w:t>1</w:t>
      </w:r>
      <w:r>
        <w:rPr/>
        <w:t>）其他应收款分类披露</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0"/>
          <w:szCs w:val="20"/>
        </w:rPr>
      </w:pPr>
    </w:p>
    <w:tbl>
      <w:tblPr>
        <w:tblW w:w="0" w:type="auto"/>
        <w:jc w:val="left"/>
        <w:tblInd w:w="3286" w:type="dxa"/>
        <w:tblLayout w:type="fixed"/>
        <w:tblCellMar>
          <w:top w:w="0" w:type="dxa"/>
          <w:left w:w="0" w:type="dxa"/>
          <w:bottom w:w="0" w:type="dxa"/>
          <w:right w:w="0" w:type="dxa"/>
        </w:tblCellMar>
        <w:tblLook w:val="01E0"/>
      </w:tblPr>
      <w:tblGrid>
        <w:gridCol w:w="1280"/>
        <w:gridCol w:w="885"/>
        <w:gridCol w:w="1228"/>
        <w:gridCol w:w="880"/>
        <w:gridCol w:w="1334"/>
        <w:gridCol w:w="1318"/>
        <w:gridCol w:w="815"/>
        <w:gridCol w:w="1174"/>
        <w:gridCol w:w="886"/>
        <w:gridCol w:w="1236"/>
      </w:tblGrid>
      <w:tr>
        <w:trPr>
          <w:trHeight w:val="831" w:hRule="exact"/>
        </w:trPr>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242"/>
              <w:jc w:val="right"/>
              <w:rPr>
                <w:rFonts w:ascii="Times New Roman" w:hAnsi="Times New Roman" w:cs="Times New Roman" w:eastAsia="Times New Roman" w:hint="default"/>
                <w:sz w:val="16"/>
                <w:szCs w:val="16"/>
              </w:rPr>
            </w:pPr>
            <w:r>
              <w:rPr>
                <w:rFonts w:ascii="Times New Roman"/>
                <w:spacing w:val="-1"/>
                <w:sz w:val="16"/>
              </w:rPr>
              <w:t>4,583,849.40</w:t>
            </w:r>
          </w:p>
        </w:tc>
        <w:tc>
          <w:tcPr>
            <w:tcW w:w="88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97"/>
              <w:jc w:val="right"/>
              <w:rPr>
                <w:rFonts w:ascii="Times New Roman" w:hAnsi="Times New Roman" w:cs="Times New Roman" w:eastAsia="Times New Roman" w:hint="default"/>
                <w:sz w:val="16"/>
                <w:szCs w:val="16"/>
              </w:rPr>
            </w:pPr>
            <w:r>
              <w:rPr>
                <w:rFonts w:ascii="Times New Roman"/>
                <w:spacing w:val="-1"/>
                <w:sz w:val="16"/>
              </w:rPr>
              <w:t>0.93</w:t>
            </w:r>
          </w:p>
        </w:tc>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05"/>
              <w:jc w:val="right"/>
              <w:rPr>
                <w:rFonts w:ascii="Times New Roman" w:hAnsi="Times New Roman" w:cs="Times New Roman" w:eastAsia="Times New Roman" w:hint="default"/>
                <w:sz w:val="16"/>
                <w:szCs w:val="16"/>
              </w:rPr>
            </w:pPr>
            <w:r>
              <w:rPr>
                <w:rFonts w:ascii="Times New Roman"/>
                <w:spacing w:val="-1"/>
                <w:sz w:val="16"/>
              </w:rPr>
              <w:t>4,583,849.40</w:t>
            </w:r>
          </w:p>
        </w:tc>
        <w:tc>
          <w:tcPr>
            <w:tcW w:w="880" w:type="dxa"/>
            <w:tcBorders>
              <w:top w:val="nil" w:sz="6" w:space="0" w:color="auto"/>
              <w:left w:val="nil" w:sz="6" w:space="0" w:color="auto"/>
              <w:bottom w:val="nil" w:sz="6" w:space="0" w:color="auto"/>
              <w:right w:val="nil" w:sz="6" w:space="0" w:color="auto"/>
            </w:tcBorders>
          </w:tcPr>
          <w:p>
            <w:pPr>
              <w:pStyle w:val="TableParagraph"/>
              <w:spacing w:line="172" w:lineRule="exact"/>
              <w:ind w:left="251" w:right="0" w:hanging="145"/>
              <w:jc w:val="left"/>
              <w:rPr>
                <w:rFonts w:ascii="宋体" w:hAnsi="宋体" w:cs="宋体" w:eastAsia="宋体" w:hint="default"/>
                <w:sz w:val="16"/>
                <w:szCs w:val="16"/>
              </w:rPr>
            </w:pPr>
            <w:r>
              <w:rPr>
                <w:rFonts w:ascii="宋体" w:hAnsi="宋体" w:cs="宋体" w:eastAsia="宋体" w:hint="default"/>
                <w:sz w:val="16"/>
                <w:szCs w:val="16"/>
              </w:rPr>
              <w:t>例（</w:t>
            </w:r>
            <w:r>
              <w:rPr>
                <w:rFonts w:ascii="Times New Roman" w:hAnsi="Times New Roman" w:cs="Times New Roman" w:eastAsia="Times New Roman" w:hint="default"/>
                <w:sz w:val="16"/>
                <w:szCs w:val="16"/>
              </w:rPr>
              <w:t>%</w:t>
            </w:r>
            <w:r>
              <w:rPr>
                <w:rFonts w:ascii="宋体" w:hAnsi="宋体" w:cs="宋体" w:eastAsia="宋体" w:hint="default"/>
                <w:sz w:val="16"/>
                <w:szCs w:val="16"/>
              </w:rPr>
              <w:t>）</w:t>
            </w:r>
          </w:p>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251" w:right="0"/>
              <w:jc w:val="left"/>
              <w:rPr>
                <w:rFonts w:ascii="Times New Roman" w:hAnsi="Times New Roman" w:cs="Times New Roman" w:eastAsia="Times New Roman" w:hint="default"/>
                <w:sz w:val="16"/>
                <w:szCs w:val="16"/>
              </w:rPr>
            </w:pPr>
            <w:r>
              <w:rPr>
                <w:rFonts w:ascii="Times New Roman"/>
                <w:sz w:val="16"/>
              </w:rPr>
              <w:t>100.00</w:t>
            </w:r>
          </w:p>
        </w:tc>
        <w:tc>
          <w:tcPr>
            <w:tcW w:w="1334"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41"/>
              <w:jc w:val="right"/>
              <w:rPr>
                <w:rFonts w:ascii="Times New Roman" w:hAnsi="Times New Roman" w:cs="Times New Roman" w:eastAsia="Times New Roman" w:hint="default"/>
                <w:sz w:val="16"/>
                <w:szCs w:val="16"/>
              </w:rPr>
            </w:pPr>
            <w:r>
              <w:rPr>
                <w:rFonts w:ascii="Times New Roman"/>
                <w:spacing w:val="-1"/>
                <w:sz w:val="16"/>
              </w:rPr>
              <w:t>4,583,849.40</w:t>
            </w:r>
          </w:p>
        </w:tc>
        <w:tc>
          <w:tcPr>
            <w:tcW w:w="815" w:type="dxa"/>
            <w:tcBorders>
              <w:top w:val="nil" w:sz="6" w:space="0" w:color="auto"/>
              <w:left w:val="nil" w:sz="6" w:space="0" w:color="auto"/>
              <w:bottom w:val="nil" w:sz="6" w:space="0" w:color="auto"/>
              <w:right w:val="nil" w:sz="6" w:space="0" w:color="auto"/>
            </w:tcBorders>
          </w:tcPr>
          <w:p>
            <w:pPr>
              <w:pStyle w:val="TableParagraph"/>
              <w:spacing w:line="172" w:lineRule="exact"/>
              <w:ind w:left="143" w:right="0"/>
              <w:jc w:val="left"/>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w:t>
            </w:r>
            <w:r>
              <w:rPr>
                <w:rFonts w:ascii="宋体" w:hAnsi="宋体" w:cs="宋体" w:eastAsia="宋体" w:hint="default"/>
                <w:sz w:val="16"/>
                <w:szCs w:val="16"/>
              </w:rPr>
              <w:t>）</w:t>
            </w:r>
          </w:p>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389" w:right="0"/>
              <w:jc w:val="left"/>
              <w:rPr>
                <w:rFonts w:ascii="Times New Roman" w:hAnsi="Times New Roman" w:cs="Times New Roman" w:eastAsia="Times New Roman" w:hint="default"/>
                <w:sz w:val="16"/>
                <w:szCs w:val="16"/>
              </w:rPr>
            </w:pPr>
            <w:r>
              <w:rPr>
                <w:rFonts w:ascii="Times New Roman"/>
                <w:sz w:val="16"/>
              </w:rPr>
              <w:t>0.86</w:t>
            </w: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118" w:right="0"/>
              <w:jc w:val="center"/>
              <w:rPr>
                <w:rFonts w:ascii="Times New Roman" w:hAnsi="Times New Roman" w:cs="Times New Roman" w:eastAsia="Times New Roman" w:hint="default"/>
                <w:sz w:val="16"/>
                <w:szCs w:val="16"/>
              </w:rPr>
            </w:pPr>
            <w:r>
              <w:rPr>
                <w:rFonts w:ascii="Times New Roman"/>
                <w:sz w:val="16"/>
              </w:rPr>
              <w:t>4,583,849.40</w:t>
            </w:r>
          </w:p>
        </w:tc>
        <w:tc>
          <w:tcPr>
            <w:tcW w:w="886" w:type="dxa"/>
            <w:tcBorders>
              <w:top w:val="nil" w:sz="6" w:space="0" w:color="auto"/>
              <w:left w:val="nil" w:sz="6" w:space="0" w:color="auto"/>
              <w:bottom w:val="nil" w:sz="6" w:space="0" w:color="auto"/>
              <w:right w:val="nil" w:sz="6" w:space="0" w:color="auto"/>
            </w:tcBorders>
          </w:tcPr>
          <w:p>
            <w:pPr>
              <w:pStyle w:val="TableParagraph"/>
              <w:spacing w:line="172" w:lineRule="exact"/>
              <w:ind w:left="264" w:right="0" w:hanging="158"/>
              <w:jc w:val="left"/>
              <w:rPr>
                <w:rFonts w:ascii="宋体" w:hAnsi="宋体" w:cs="宋体" w:eastAsia="宋体" w:hint="default"/>
                <w:sz w:val="16"/>
                <w:szCs w:val="16"/>
              </w:rPr>
            </w:pPr>
            <w:r>
              <w:rPr>
                <w:rFonts w:ascii="宋体" w:hAnsi="宋体" w:cs="宋体" w:eastAsia="宋体" w:hint="default"/>
                <w:sz w:val="16"/>
                <w:szCs w:val="16"/>
              </w:rPr>
              <w:t>例（</w:t>
            </w:r>
            <w:r>
              <w:rPr>
                <w:rFonts w:ascii="Times New Roman" w:hAnsi="Times New Roman" w:cs="Times New Roman" w:eastAsia="Times New Roman" w:hint="default"/>
                <w:sz w:val="16"/>
                <w:szCs w:val="16"/>
              </w:rPr>
              <w:t>%</w:t>
            </w:r>
            <w:r>
              <w:rPr>
                <w:rFonts w:ascii="宋体" w:hAnsi="宋体" w:cs="宋体" w:eastAsia="宋体" w:hint="default"/>
                <w:sz w:val="16"/>
                <w:szCs w:val="16"/>
              </w:rPr>
              <w:t>）</w:t>
            </w:r>
          </w:p>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264" w:right="0"/>
              <w:jc w:val="left"/>
              <w:rPr>
                <w:rFonts w:ascii="Times New Roman" w:hAnsi="Times New Roman" w:cs="Times New Roman" w:eastAsia="Times New Roman" w:hint="default"/>
                <w:sz w:val="16"/>
                <w:szCs w:val="16"/>
              </w:rPr>
            </w:pPr>
            <w:r>
              <w:rPr>
                <w:rFonts w:ascii="Times New Roman"/>
                <w:sz w:val="16"/>
              </w:rPr>
              <w:t>100.00</w:t>
            </w:r>
          </w:p>
        </w:tc>
        <w:tc>
          <w:tcPr>
            <w:tcW w:w="1236" w:type="dxa"/>
            <w:tcBorders>
              <w:top w:val="nil" w:sz="6" w:space="0" w:color="auto"/>
              <w:left w:val="nil" w:sz="6" w:space="0" w:color="auto"/>
              <w:bottom w:val="nil" w:sz="6" w:space="0" w:color="auto"/>
              <w:right w:val="nil" w:sz="6" w:space="0" w:color="auto"/>
            </w:tcBorders>
          </w:tcPr>
          <w:p>
            <w:pPr/>
          </w:p>
        </w:tc>
      </w:tr>
      <w:tr>
        <w:trPr>
          <w:trHeight w:val="561" w:hRule="exact"/>
        </w:trPr>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242"/>
              <w:jc w:val="right"/>
              <w:rPr>
                <w:rFonts w:ascii="Times New Roman" w:hAnsi="Times New Roman" w:cs="Times New Roman" w:eastAsia="Times New Roman" w:hint="default"/>
                <w:sz w:val="16"/>
                <w:szCs w:val="16"/>
              </w:rPr>
            </w:pPr>
            <w:r>
              <w:rPr>
                <w:rFonts w:ascii="Times New Roman"/>
                <w:spacing w:val="-1"/>
                <w:sz w:val="16"/>
              </w:rPr>
              <w:t>485,686,487.51</w:t>
            </w:r>
          </w:p>
        </w:tc>
        <w:tc>
          <w:tcPr>
            <w:tcW w:w="88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197"/>
              <w:jc w:val="right"/>
              <w:rPr>
                <w:rFonts w:ascii="Times New Roman" w:hAnsi="Times New Roman" w:cs="Times New Roman" w:eastAsia="Times New Roman" w:hint="default"/>
                <w:sz w:val="16"/>
                <w:szCs w:val="16"/>
              </w:rPr>
            </w:pPr>
            <w:r>
              <w:rPr>
                <w:rFonts w:ascii="Times New Roman"/>
                <w:spacing w:val="-1"/>
                <w:sz w:val="16"/>
              </w:rPr>
              <w:t>98.84</w:t>
            </w:r>
          </w:p>
        </w:tc>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105"/>
              <w:jc w:val="right"/>
              <w:rPr>
                <w:rFonts w:ascii="Times New Roman" w:hAnsi="Times New Roman" w:cs="Times New Roman" w:eastAsia="Times New Roman" w:hint="default"/>
                <w:sz w:val="16"/>
                <w:szCs w:val="16"/>
              </w:rPr>
            </w:pPr>
            <w:r>
              <w:rPr>
                <w:rFonts w:ascii="Times New Roman"/>
                <w:spacing w:val="-1"/>
                <w:sz w:val="16"/>
              </w:rPr>
              <w:t>62,504,744.05</w:t>
            </w:r>
          </w:p>
        </w:tc>
        <w:tc>
          <w:tcPr>
            <w:tcW w:w="88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left="145" w:right="0"/>
              <w:jc w:val="center"/>
              <w:rPr>
                <w:rFonts w:ascii="Times New Roman" w:hAnsi="Times New Roman" w:cs="Times New Roman" w:eastAsia="Times New Roman" w:hint="default"/>
                <w:sz w:val="16"/>
                <w:szCs w:val="16"/>
              </w:rPr>
            </w:pPr>
            <w:r>
              <w:rPr>
                <w:rFonts w:ascii="Times New Roman"/>
                <w:sz w:val="16"/>
              </w:rPr>
              <w:t>12.87</w:t>
            </w: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11"/>
              <w:jc w:val="center"/>
              <w:rPr>
                <w:rFonts w:ascii="Times New Roman" w:hAnsi="Times New Roman" w:cs="Times New Roman" w:eastAsia="Times New Roman" w:hint="default"/>
                <w:sz w:val="16"/>
                <w:szCs w:val="16"/>
              </w:rPr>
            </w:pPr>
            <w:r>
              <w:rPr>
                <w:rFonts w:ascii="Times New Roman"/>
                <w:sz w:val="16"/>
              </w:rPr>
              <w:t>423,181,743.46</w:t>
            </w: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142"/>
              <w:jc w:val="right"/>
              <w:rPr>
                <w:rFonts w:ascii="Times New Roman" w:hAnsi="Times New Roman" w:cs="Times New Roman" w:eastAsia="Times New Roman" w:hint="default"/>
                <w:sz w:val="16"/>
                <w:szCs w:val="16"/>
              </w:rPr>
            </w:pPr>
            <w:r>
              <w:rPr>
                <w:rFonts w:ascii="Times New Roman"/>
                <w:spacing w:val="-1"/>
                <w:sz w:val="16"/>
              </w:rPr>
              <w:t>530,010,521.82</w:t>
            </w:r>
          </w:p>
        </w:tc>
        <w:tc>
          <w:tcPr>
            <w:tcW w:w="81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143"/>
              <w:jc w:val="right"/>
              <w:rPr>
                <w:rFonts w:ascii="Times New Roman" w:hAnsi="Times New Roman" w:cs="Times New Roman" w:eastAsia="Times New Roman" w:hint="default"/>
                <w:sz w:val="16"/>
                <w:szCs w:val="16"/>
              </w:rPr>
            </w:pPr>
            <w:r>
              <w:rPr>
                <w:rFonts w:ascii="Times New Roman"/>
                <w:spacing w:val="-1"/>
                <w:sz w:val="16"/>
              </w:rPr>
              <w:t>98.97</w:t>
            </w: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left="37" w:right="0"/>
              <w:jc w:val="center"/>
              <w:rPr>
                <w:rFonts w:ascii="Times New Roman" w:hAnsi="Times New Roman" w:cs="Times New Roman" w:eastAsia="Times New Roman" w:hint="default"/>
                <w:sz w:val="16"/>
                <w:szCs w:val="16"/>
              </w:rPr>
            </w:pPr>
            <w:r>
              <w:rPr>
                <w:rFonts w:ascii="Times New Roman"/>
                <w:sz w:val="16"/>
              </w:rPr>
              <w:t>35,871,707.96</w:t>
            </w:r>
          </w:p>
        </w:tc>
        <w:tc>
          <w:tcPr>
            <w:tcW w:w="88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177"/>
              <w:jc w:val="right"/>
              <w:rPr>
                <w:rFonts w:ascii="Times New Roman" w:hAnsi="Times New Roman" w:cs="Times New Roman" w:eastAsia="Times New Roman" w:hint="default"/>
                <w:sz w:val="16"/>
                <w:szCs w:val="16"/>
              </w:rPr>
            </w:pPr>
            <w:r>
              <w:rPr>
                <w:rFonts w:ascii="Times New Roman"/>
                <w:spacing w:val="-1"/>
                <w:sz w:val="16"/>
              </w:rPr>
              <w:t>6.77</w:t>
            </w:r>
          </w:p>
        </w:tc>
        <w:tc>
          <w:tcPr>
            <w:tcW w:w="123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68"/>
              <w:jc w:val="right"/>
              <w:rPr>
                <w:rFonts w:ascii="Times New Roman" w:hAnsi="Times New Roman" w:cs="Times New Roman" w:eastAsia="Times New Roman" w:hint="default"/>
                <w:sz w:val="16"/>
                <w:szCs w:val="16"/>
              </w:rPr>
            </w:pPr>
            <w:r>
              <w:rPr>
                <w:rFonts w:ascii="Times New Roman"/>
                <w:spacing w:val="-1"/>
                <w:sz w:val="16"/>
              </w:rPr>
              <w:t>494,138,813.86</w:t>
            </w:r>
          </w:p>
        </w:tc>
      </w:tr>
      <w:tr>
        <w:trPr>
          <w:trHeight w:val="509" w:hRule="exact"/>
        </w:trPr>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242"/>
              <w:jc w:val="right"/>
              <w:rPr>
                <w:rFonts w:ascii="Times New Roman" w:hAnsi="Times New Roman" w:cs="Times New Roman" w:eastAsia="Times New Roman" w:hint="default"/>
                <w:sz w:val="16"/>
                <w:szCs w:val="16"/>
              </w:rPr>
            </w:pPr>
            <w:r>
              <w:rPr>
                <w:rFonts w:ascii="Times New Roman"/>
                <w:spacing w:val="-1"/>
                <w:sz w:val="16"/>
              </w:rPr>
              <w:t>1,123,743.23</w:t>
            </w:r>
          </w:p>
        </w:tc>
        <w:tc>
          <w:tcPr>
            <w:tcW w:w="88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97"/>
              <w:jc w:val="right"/>
              <w:rPr>
                <w:rFonts w:ascii="Times New Roman" w:hAnsi="Times New Roman" w:cs="Times New Roman" w:eastAsia="Times New Roman" w:hint="default"/>
                <w:sz w:val="16"/>
                <w:szCs w:val="16"/>
              </w:rPr>
            </w:pPr>
            <w:r>
              <w:rPr>
                <w:rFonts w:ascii="Times New Roman"/>
                <w:spacing w:val="-1"/>
                <w:sz w:val="16"/>
              </w:rPr>
              <w:t>0.23</w:t>
            </w:r>
          </w:p>
        </w:tc>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05"/>
              <w:jc w:val="right"/>
              <w:rPr>
                <w:rFonts w:ascii="Times New Roman" w:hAnsi="Times New Roman" w:cs="Times New Roman" w:eastAsia="Times New Roman" w:hint="default"/>
                <w:sz w:val="16"/>
                <w:szCs w:val="16"/>
              </w:rPr>
            </w:pPr>
            <w:r>
              <w:rPr>
                <w:rFonts w:ascii="Times New Roman"/>
                <w:spacing w:val="-1"/>
                <w:sz w:val="16"/>
              </w:rPr>
              <w:t>1,123,743.23</w:t>
            </w:r>
          </w:p>
        </w:tc>
        <w:tc>
          <w:tcPr>
            <w:tcW w:w="88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left="64" w:right="0"/>
              <w:jc w:val="center"/>
              <w:rPr>
                <w:rFonts w:ascii="Times New Roman" w:hAnsi="Times New Roman" w:cs="Times New Roman" w:eastAsia="Times New Roman" w:hint="default"/>
                <w:sz w:val="16"/>
                <w:szCs w:val="16"/>
              </w:rPr>
            </w:pPr>
            <w:r>
              <w:rPr>
                <w:rFonts w:ascii="Times New Roman"/>
                <w:sz w:val="16"/>
              </w:rPr>
              <w:t>100.00</w:t>
            </w:r>
          </w:p>
        </w:tc>
        <w:tc>
          <w:tcPr>
            <w:tcW w:w="1334"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41"/>
              <w:jc w:val="right"/>
              <w:rPr>
                <w:rFonts w:ascii="Times New Roman" w:hAnsi="Times New Roman" w:cs="Times New Roman" w:eastAsia="Times New Roman" w:hint="default"/>
                <w:sz w:val="16"/>
                <w:szCs w:val="16"/>
              </w:rPr>
            </w:pPr>
            <w:r>
              <w:rPr>
                <w:rFonts w:ascii="Times New Roman"/>
                <w:spacing w:val="-1"/>
                <w:sz w:val="16"/>
              </w:rPr>
              <w:t>920,956.54</w:t>
            </w:r>
          </w:p>
        </w:tc>
        <w:tc>
          <w:tcPr>
            <w:tcW w:w="81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43"/>
              <w:jc w:val="right"/>
              <w:rPr>
                <w:rFonts w:ascii="Times New Roman" w:hAnsi="Times New Roman" w:cs="Times New Roman" w:eastAsia="Times New Roman" w:hint="default"/>
                <w:sz w:val="16"/>
                <w:szCs w:val="16"/>
              </w:rPr>
            </w:pPr>
            <w:r>
              <w:rPr>
                <w:rFonts w:ascii="Times New Roman"/>
                <w:spacing w:val="-1"/>
                <w:sz w:val="16"/>
              </w:rPr>
              <w:t>0.17</w:t>
            </w: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left="238" w:right="0"/>
              <w:jc w:val="center"/>
              <w:rPr>
                <w:rFonts w:ascii="Times New Roman" w:hAnsi="Times New Roman" w:cs="Times New Roman" w:eastAsia="Times New Roman" w:hint="default"/>
                <w:sz w:val="16"/>
                <w:szCs w:val="16"/>
              </w:rPr>
            </w:pPr>
            <w:r>
              <w:rPr>
                <w:rFonts w:ascii="Times New Roman"/>
                <w:sz w:val="16"/>
              </w:rPr>
              <w:t>920,956.54</w:t>
            </w:r>
          </w:p>
        </w:tc>
        <w:tc>
          <w:tcPr>
            <w:tcW w:w="88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77"/>
              <w:jc w:val="right"/>
              <w:rPr>
                <w:rFonts w:ascii="Times New Roman" w:hAnsi="Times New Roman" w:cs="Times New Roman" w:eastAsia="Times New Roman" w:hint="default"/>
                <w:sz w:val="16"/>
                <w:szCs w:val="16"/>
              </w:rPr>
            </w:pPr>
            <w:r>
              <w:rPr>
                <w:rFonts w:ascii="Times New Roman"/>
                <w:spacing w:val="-1"/>
                <w:sz w:val="16"/>
              </w:rPr>
              <w:t>100.00</w:t>
            </w:r>
          </w:p>
        </w:tc>
        <w:tc>
          <w:tcPr>
            <w:tcW w:w="1236" w:type="dxa"/>
            <w:tcBorders>
              <w:top w:val="nil" w:sz="6" w:space="0" w:color="auto"/>
              <w:left w:val="nil" w:sz="6" w:space="0" w:color="auto"/>
              <w:bottom w:val="nil" w:sz="6" w:space="0" w:color="auto"/>
              <w:right w:val="nil" w:sz="6" w:space="0" w:color="auto"/>
            </w:tcBorders>
          </w:tcPr>
          <w:p>
            <w:pPr/>
          </w:p>
        </w:tc>
      </w:tr>
      <w:tr>
        <w:trPr>
          <w:trHeight w:val="403" w:hRule="exact"/>
        </w:trPr>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242"/>
              <w:jc w:val="right"/>
              <w:rPr>
                <w:rFonts w:ascii="Times New Roman" w:hAnsi="Times New Roman" w:cs="Times New Roman" w:eastAsia="Times New Roman" w:hint="default"/>
                <w:sz w:val="16"/>
                <w:szCs w:val="16"/>
              </w:rPr>
            </w:pPr>
            <w:r>
              <w:rPr>
                <w:rFonts w:ascii="Times New Roman"/>
                <w:spacing w:val="-1"/>
                <w:sz w:val="16"/>
              </w:rPr>
              <w:t>491,394,080.14</w:t>
            </w:r>
          </w:p>
        </w:tc>
        <w:tc>
          <w:tcPr>
            <w:tcW w:w="885"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97"/>
              <w:jc w:val="right"/>
              <w:rPr>
                <w:rFonts w:ascii="Times New Roman" w:hAnsi="Times New Roman" w:cs="Times New Roman" w:eastAsia="Times New Roman" w:hint="default"/>
                <w:sz w:val="16"/>
                <w:szCs w:val="16"/>
              </w:rPr>
            </w:pPr>
            <w:r>
              <w:rPr>
                <w:rFonts w:ascii="Times New Roman"/>
                <w:spacing w:val="-1"/>
                <w:sz w:val="16"/>
              </w:rPr>
              <w:t>100.00</w:t>
            </w:r>
          </w:p>
        </w:tc>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05"/>
              <w:jc w:val="right"/>
              <w:rPr>
                <w:rFonts w:ascii="Times New Roman" w:hAnsi="Times New Roman" w:cs="Times New Roman" w:eastAsia="Times New Roman" w:hint="default"/>
                <w:sz w:val="16"/>
                <w:szCs w:val="16"/>
              </w:rPr>
            </w:pPr>
            <w:r>
              <w:rPr>
                <w:rFonts w:ascii="Times New Roman"/>
                <w:spacing w:val="-1"/>
                <w:sz w:val="16"/>
              </w:rPr>
              <w:t>68,212,336.68</w:t>
            </w:r>
          </w:p>
        </w:tc>
        <w:tc>
          <w:tcPr>
            <w:tcW w:w="880"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1"/>
              <w:jc w:val="center"/>
              <w:rPr>
                <w:rFonts w:ascii="Times New Roman" w:hAnsi="Times New Roman" w:cs="Times New Roman" w:eastAsia="Times New Roman" w:hint="default"/>
                <w:sz w:val="16"/>
                <w:szCs w:val="16"/>
              </w:rPr>
            </w:pPr>
            <w:r>
              <w:rPr>
                <w:rFonts w:ascii="Times New Roman"/>
                <w:sz w:val="16"/>
              </w:rPr>
              <w:t>423,181,743.46</w:t>
            </w: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42"/>
              <w:jc w:val="right"/>
              <w:rPr>
                <w:rFonts w:ascii="Times New Roman" w:hAnsi="Times New Roman" w:cs="Times New Roman" w:eastAsia="Times New Roman" w:hint="default"/>
                <w:sz w:val="16"/>
                <w:szCs w:val="16"/>
              </w:rPr>
            </w:pPr>
            <w:r>
              <w:rPr>
                <w:rFonts w:ascii="Times New Roman"/>
                <w:spacing w:val="-1"/>
                <w:sz w:val="16"/>
              </w:rPr>
              <w:t>535,515,327.76</w:t>
            </w:r>
          </w:p>
        </w:tc>
        <w:tc>
          <w:tcPr>
            <w:tcW w:w="815"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43"/>
              <w:jc w:val="right"/>
              <w:rPr>
                <w:rFonts w:ascii="Times New Roman" w:hAnsi="Times New Roman" w:cs="Times New Roman" w:eastAsia="Times New Roman" w:hint="default"/>
                <w:sz w:val="16"/>
                <w:szCs w:val="16"/>
              </w:rPr>
            </w:pPr>
            <w:r>
              <w:rPr>
                <w:rFonts w:ascii="Times New Roman"/>
                <w:spacing w:val="-1"/>
                <w:sz w:val="16"/>
              </w:rPr>
              <w:t>100.00</w:t>
            </w: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128"/>
              <w:ind w:left="37" w:right="0"/>
              <w:jc w:val="center"/>
              <w:rPr>
                <w:rFonts w:ascii="Times New Roman" w:hAnsi="Times New Roman" w:cs="Times New Roman" w:eastAsia="Times New Roman" w:hint="default"/>
                <w:sz w:val="16"/>
                <w:szCs w:val="16"/>
              </w:rPr>
            </w:pPr>
            <w:r>
              <w:rPr>
                <w:rFonts w:ascii="Times New Roman"/>
                <w:sz w:val="16"/>
              </w:rPr>
              <w:t>41,376,513.90</w:t>
            </w:r>
          </w:p>
        </w:tc>
        <w:tc>
          <w:tcPr>
            <w:tcW w:w="886" w:type="dxa"/>
            <w:tcBorders>
              <w:top w:val="nil" w:sz="6" w:space="0" w:color="auto"/>
              <w:left w:val="nil" w:sz="6" w:space="0" w:color="auto"/>
              <w:bottom w:val="nil" w:sz="6" w:space="0" w:color="auto"/>
              <w:right w:val="nil" w:sz="6" w:space="0" w:color="auto"/>
            </w:tcBorders>
          </w:tcPr>
          <w:p>
            <w:pPr/>
          </w:p>
        </w:tc>
        <w:tc>
          <w:tcPr>
            <w:tcW w:w="1236"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68"/>
              <w:jc w:val="right"/>
              <w:rPr>
                <w:rFonts w:ascii="Times New Roman" w:hAnsi="Times New Roman" w:cs="Times New Roman" w:eastAsia="Times New Roman" w:hint="default"/>
                <w:sz w:val="16"/>
                <w:szCs w:val="16"/>
              </w:rPr>
            </w:pPr>
            <w:r>
              <w:rPr>
                <w:rFonts w:ascii="Times New Roman"/>
                <w:spacing w:val="-1"/>
                <w:sz w:val="16"/>
              </w:rPr>
              <w:t>494,138,813.86</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6"/>
          <w:szCs w:val="16"/>
        </w:rPr>
      </w:pPr>
    </w:p>
    <w:p>
      <w:pPr>
        <w:spacing w:before="44"/>
        <w:ind w:left="6200" w:right="6461" w:firstLine="0"/>
        <w:jc w:val="center"/>
        <w:rPr>
          <w:rFonts w:ascii="宋体" w:hAnsi="宋体" w:cs="宋体" w:eastAsia="宋体" w:hint="default"/>
          <w:sz w:val="18"/>
          <w:szCs w:val="18"/>
        </w:rPr>
      </w:pPr>
      <w:r>
        <w:rPr>
          <w:rFonts w:ascii="宋体" w:hAnsi="宋体" w:cs="宋体" w:eastAsia="宋体" w:hint="default"/>
          <w:sz w:val="18"/>
          <w:szCs w:val="18"/>
        </w:rPr>
        <w:t>财务报表附注第</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8"/>
          <w:szCs w:val="18"/>
        </w:rPr>
      </w:pPr>
    </w:p>
    <w:p>
      <w:pPr>
        <w:spacing w:line="371" w:lineRule="exact"/>
        <w:ind w:left="10484" w:right="0" w:firstLine="0"/>
        <w:rPr>
          <w:rFonts w:ascii="宋体" w:hAnsi="宋体" w:cs="宋体" w:eastAsia="宋体" w:hint="default"/>
          <w:sz w:val="20"/>
          <w:szCs w:val="20"/>
        </w:rPr>
      </w:pPr>
      <w:r>
        <w:rPr>
          <w:rFonts w:ascii="宋体" w:hAnsi="宋体" w:cs="宋体" w:eastAsia="宋体" w:hint="default"/>
          <w:position w:val="-6"/>
          <w:sz w:val="20"/>
          <w:szCs w:val="20"/>
        </w:rPr>
        <w:drawing>
          <wp:inline distT="0" distB="0" distL="0" distR="0">
            <wp:extent cx="524065" cy="236029"/>
            <wp:effectExtent l="0" t="0" r="0" b="0"/>
            <wp:docPr id="37" name="image1.jpeg" descr=""/>
            <wp:cNvGraphicFramePr>
              <a:graphicFrameLocks noChangeAspect="1"/>
            </wp:cNvGraphicFramePr>
            <a:graphic>
              <a:graphicData uri="http://schemas.openxmlformats.org/drawingml/2006/picture">
                <pic:pic>
                  <pic:nvPicPr>
                    <pic:cNvPr id="38" name="image1.jpeg"/>
                    <pic:cNvPicPr/>
                  </pic:nvPicPr>
                  <pic:blipFill>
                    <a:blip r:embed="rId79" cstate="print"/>
                    <a:stretch>
                      <a:fillRect/>
                    </a:stretch>
                  </pic:blipFill>
                  <pic:spPr>
                    <a:xfrm>
                      <a:off x="0" y="0"/>
                      <a:ext cx="524065" cy="236029"/>
                    </a:xfrm>
                    <a:prstGeom prst="rect">
                      <a:avLst/>
                    </a:prstGeom>
                  </pic:spPr>
                </pic:pic>
              </a:graphicData>
            </a:graphic>
          </wp:inline>
        </w:drawing>
      </w:r>
      <w:r>
        <w:rPr>
          <w:rFonts w:ascii="宋体" w:hAnsi="宋体" w:cs="宋体" w:eastAsia="宋体" w:hint="default"/>
          <w:position w:val="-6"/>
          <w:sz w:val="20"/>
          <w:szCs w:val="20"/>
        </w:rPr>
      </w:r>
    </w:p>
    <w:p>
      <w:pPr>
        <w:spacing w:after="0" w:line="371" w:lineRule="exact"/>
        <w:rPr>
          <w:rFonts w:ascii="宋体" w:hAnsi="宋体" w:cs="宋体" w:eastAsia="宋体" w:hint="default"/>
          <w:sz w:val="20"/>
          <w:szCs w:val="20"/>
        </w:rPr>
        <w:sectPr>
          <w:headerReference w:type="default" r:id="rId507"/>
          <w:footerReference w:type="default" r:id="rId508"/>
          <w:pgSz w:w="16840" w:h="11910" w:orient="landscape"/>
          <w:pgMar w:header="0" w:footer="0" w:top="1100" w:bottom="0" w:left="1300" w:right="1040"/>
        </w:sectPr>
      </w:pPr>
    </w:p>
    <w:p>
      <w:pPr>
        <w:spacing w:line="240" w:lineRule="auto" w:before="8"/>
        <w:rPr>
          <w:rFonts w:ascii="宋体" w:hAnsi="宋体" w:cs="宋体" w:eastAsia="宋体" w:hint="default"/>
          <w:sz w:val="13"/>
          <w:szCs w:val="13"/>
        </w:rPr>
      </w:pPr>
    </w:p>
    <w:p>
      <w:pPr>
        <w:pStyle w:val="BodyText"/>
        <w:spacing w:line="240" w:lineRule="auto" w:before="35"/>
        <w:ind w:right="3681"/>
        <w:jc w:val="left"/>
      </w:pPr>
      <w:r>
        <w:rPr/>
        <w:t>期末单项金额重大并单独计提坏账准备的其他应收款</w:t>
      </w:r>
    </w:p>
    <w:p>
      <w:pPr>
        <w:spacing w:line="240" w:lineRule="auto" w:before="7"/>
        <w:rPr>
          <w:rFonts w:ascii="宋体" w:hAnsi="宋体" w:cs="宋体" w:eastAsia="宋体" w:hint="default"/>
          <w:sz w:val="2"/>
          <w:szCs w:val="2"/>
        </w:rPr>
      </w:pPr>
    </w:p>
    <w:p>
      <w:pPr>
        <w:spacing w:line="1671" w:lineRule="exact"/>
        <w:ind w:left="720" w:right="0" w:firstLine="0"/>
        <w:rPr>
          <w:rFonts w:ascii="宋体" w:hAnsi="宋体" w:cs="宋体" w:eastAsia="宋体" w:hint="default"/>
          <w:sz w:val="20"/>
          <w:szCs w:val="20"/>
        </w:rPr>
      </w:pPr>
      <w:r>
        <w:rPr>
          <w:rFonts w:ascii="宋体" w:hAnsi="宋体" w:cs="宋体" w:eastAsia="宋体" w:hint="default"/>
          <w:position w:val="-32"/>
          <w:sz w:val="20"/>
          <w:szCs w:val="20"/>
        </w:rPr>
        <w:pict>
          <v:group style="width:412.05pt;height:83.6pt;mso-position-horizontal-relative:char;mso-position-vertical-relative:line" coordorigin="0,0" coordsize="8241,1672">
            <v:group style="position:absolute;left:29;top:15;width:2926;height:2" coordorigin="29,15" coordsize="2926,2">
              <v:shape style="position:absolute;left:29;top:15;width:2926;height:2" coordorigin="29,15" coordsize="2926,0" path="m29,15l2955,15e" filled="false" stroked="true" strokeweight="1.5pt" strokecolor="#000000">
                <v:path arrowok="t"/>
              </v:shape>
            </v:group>
            <v:group style="position:absolute;left:2955;top:15;width:5262;height:2" coordorigin="2955,15" coordsize="5262,2">
              <v:shape style="position:absolute;left:2955;top:15;width:5262;height:2" coordorigin="2955,15" coordsize="5262,0" path="m2955,15l8217,15e" filled="false" stroked="true" strokeweight="1.5pt" strokecolor="#000000">
                <v:path arrowok="t"/>
              </v:shape>
              <v:shape style="position:absolute;left:2955;top:30;width:10;height:343" type="#_x0000_t75" stroked="false">
                <v:imagedata r:id="rId514" o:title=""/>
              </v:shape>
              <v:shape style="position:absolute;left:2936;top:354;width:5305;height:392" type="#_x0000_t75" stroked="false">
                <v:imagedata r:id="rId515" o:title=""/>
              </v:shape>
            </v:group>
            <v:group style="position:absolute;left:15;top:1657;width:2940;height:2" coordorigin="15,1657" coordsize="2940,2">
              <v:shape style="position:absolute;left:15;top:1657;width:2940;height:2" coordorigin="15,1657" coordsize="2940,0" path="m15,1657l2955,1657e" filled="false" stroked="true" strokeweight="1.5pt" strokecolor="#000000">
                <v:path arrowok="t"/>
              </v:shape>
            </v:group>
            <v:group style="position:absolute;left:2955;top:1657;width:1635;height:2" coordorigin="2955,1657" coordsize="1635,2">
              <v:shape style="position:absolute;left:2955;top:1657;width:1635;height:2" coordorigin="2955,1657" coordsize="1635,0" path="m2955,1657l4589,1657e" filled="false" stroked="true" strokeweight="1.5pt" strokecolor="#000000">
                <v:path arrowok="t"/>
              </v:shape>
            </v:group>
            <v:group style="position:absolute;left:4589;top:1657;width:1337;height:2" coordorigin="4589,1657" coordsize="1337,2">
              <v:shape style="position:absolute;left:4589;top:1657;width:1337;height:2" coordorigin="4589,1657" coordsize="1337,0" path="m4589,1657l5926,1657e" filled="false" stroked="true" strokeweight="1.5pt" strokecolor="#000000">
                <v:path arrowok="t"/>
              </v:shape>
            </v:group>
            <v:group style="position:absolute;left:5926;top:1657;width:1000;height:2" coordorigin="5926,1657" coordsize="1000,2">
              <v:shape style="position:absolute;left:5926;top:1657;width:1000;height:2" coordorigin="5926,1657" coordsize="1000,0" path="m5926,1657l6926,1657e" filled="false" stroked="true" strokeweight="1.5pt" strokecolor="#000000">
                <v:path arrowok="t"/>
              </v:shape>
              <v:shape style="position:absolute;left:10;top:708;width:8231;height:934" type="#_x0000_t75" stroked="false">
                <v:imagedata r:id="rId516" o:title=""/>
              </v:shape>
            </v:group>
            <v:group style="position:absolute;left:6926;top:1657;width:1292;height:2" coordorigin="6926,1657" coordsize="1292,2">
              <v:shape style="position:absolute;left:6926;top:1657;width:1292;height:2" coordorigin="6926,1657" coordsize="1292,0" path="m6926,1657l8217,1657e" filled="false" stroked="true" strokeweight="1.5pt" strokecolor="#000000">
                <v:path arrowok="t"/>
              </v:shape>
              <v:shape style="position:absolute;left:5267;top:121;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694;top:297;width:159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其他应收款（按单位）</w:t>
                      </w:r>
                      <w:r>
                        <w:rPr>
                          <w:rFonts w:ascii="宋体" w:hAnsi="宋体" w:cs="宋体" w:eastAsia="宋体" w:hint="default"/>
                          <w:sz w:val="16"/>
                          <w:szCs w:val="16"/>
                        </w:rPr>
                      </w:r>
                    </w:p>
                  </w:txbxContent>
                </v:textbox>
                <w10:wrap type="none"/>
              </v:shape>
              <v:shape style="position:absolute;left:3296;top:475;width:95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其他应收账款</w:t>
                      </w:r>
                      <w:r>
                        <w:rPr>
                          <w:rFonts w:ascii="宋体" w:hAnsi="宋体" w:cs="宋体" w:eastAsia="宋体" w:hint="default"/>
                          <w:sz w:val="16"/>
                          <w:szCs w:val="16"/>
                        </w:rPr>
                      </w:r>
                    </w:p>
                  </w:txbxContent>
                </v:textbox>
                <w10:wrap type="none"/>
              </v:shape>
              <v:shape style="position:absolute;left:4942;top:475;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坏账准备</w:t>
                      </w:r>
                      <w:r>
                        <w:rPr>
                          <w:rFonts w:ascii="宋体" w:hAnsi="宋体" w:cs="宋体" w:eastAsia="宋体" w:hint="default"/>
                          <w:sz w:val="16"/>
                          <w:szCs w:val="16"/>
                        </w:rPr>
                      </w:r>
                    </w:p>
                  </w:txbxContent>
                </v:textbox>
                <w10:wrap type="none"/>
              </v:shape>
              <v:shape style="position:absolute;left:6110;top:475;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计提比例</w:t>
                      </w:r>
                      <w:r>
                        <w:rPr>
                          <w:rFonts w:ascii="宋体" w:hAnsi="宋体" w:cs="宋体" w:eastAsia="宋体" w:hint="default"/>
                          <w:sz w:val="16"/>
                          <w:szCs w:val="16"/>
                        </w:rPr>
                      </w:r>
                    </w:p>
                  </w:txbxContent>
                </v:textbox>
                <w10:wrap type="none"/>
              </v:shape>
              <v:shape style="position:absolute;left:7253;top:475;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计提理由</w:t>
                      </w:r>
                      <w:r>
                        <w:rPr>
                          <w:rFonts w:ascii="宋体" w:hAnsi="宋体" w:cs="宋体" w:eastAsia="宋体" w:hint="default"/>
                          <w:sz w:val="16"/>
                          <w:szCs w:val="16"/>
                        </w:rPr>
                      </w:r>
                    </w:p>
                  </w:txbxContent>
                </v:textbox>
                <w10:wrap type="none"/>
              </v:shape>
              <v:shape style="position:absolute;left:137;top:932;width:191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北京科迪迅通科技有限公司</w:t>
                      </w:r>
                      <w:r>
                        <w:rPr>
                          <w:rFonts w:ascii="宋体" w:hAnsi="宋体" w:cs="宋体" w:eastAsia="宋体" w:hint="default"/>
                          <w:sz w:val="16"/>
                          <w:szCs w:val="16"/>
                        </w:rPr>
                      </w:r>
                    </w:p>
                  </w:txbxContent>
                </v:textbox>
                <w10:wrap type="none"/>
              </v:shape>
              <v:shape style="position:absolute;left:3645;top:946;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4,583,849.40</w:t>
                      </w:r>
                      <w:r>
                        <w:rPr>
                          <w:rFonts w:ascii="Times New Roman"/>
                          <w:sz w:val="16"/>
                        </w:rPr>
                      </w:r>
                    </w:p>
                  </w:txbxContent>
                </v:textbox>
                <w10:wrap type="none"/>
              </v:shape>
              <v:shape style="position:absolute;left:4982;top:946;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4,583,849.40</w:t>
                      </w:r>
                      <w:r>
                        <w:rPr>
                          <w:rFonts w:ascii="Times New Roman"/>
                          <w:sz w:val="16"/>
                        </w:rPr>
                      </w:r>
                    </w:p>
                  </w:txbxContent>
                </v:textbox>
                <w10:wrap type="none"/>
              </v:shape>
              <v:shape style="position:absolute;left:6381;top:828;width:1616;height:369" type="#_x0000_t202" filled="false" stroked="false">
                <v:textbox inset="0,0,0,0">
                  <w:txbxContent>
                    <w:p>
                      <w:pPr>
                        <w:spacing w:line="128" w:lineRule="exact" w:before="0"/>
                        <w:ind w:left="656" w:right="0" w:firstLine="0"/>
                        <w:jc w:val="left"/>
                        <w:rPr>
                          <w:rFonts w:ascii="宋体" w:hAnsi="宋体" w:cs="宋体" w:eastAsia="宋体" w:hint="default"/>
                          <w:sz w:val="16"/>
                          <w:szCs w:val="16"/>
                        </w:rPr>
                      </w:pPr>
                      <w:r>
                        <w:rPr>
                          <w:rFonts w:ascii="宋体" w:hAnsi="宋体" w:cs="宋体" w:eastAsia="宋体" w:hint="default"/>
                          <w:w w:val="95"/>
                          <w:sz w:val="16"/>
                          <w:szCs w:val="16"/>
                        </w:rPr>
                        <w:t>收回可能性极</w:t>
                      </w:r>
                      <w:r>
                        <w:rPr>
                          <w:rFonts w:ascii="宋体" w:hAnsi="宋体" w:cs="宋体" w:eastAsia="宋体" w:hint="default"/>
                          <w:sz w:val="16"/>
                          <w:szCs w:val="16"/>
                        </w:rPr>
                      </w:r>
                    </w:p>
                    <w:p>
                      <w:pPr>
                        <w:tabs>
                          <w:tab w:pos="656" w:val="left" w:leader="none"/>
                        </w:tabs>
                        <w:spacing w:line="240" w:lineRule="exact" w:before="0"/>
                        <w:ind w:left="0" w:right="0" w:firstLine="0"/>
                        <w:jc w:val="left"/>
                        <w:rPr>
                          <w:rFonts w:ascii="宋体" w:hAnsi="宋体" w:cs="宋体" w:eastAsia="宋体" w:hint="default"/>
                          <w:sz w:val="16"/>
                          <w:szCs w:val="16"/>
                        </w:rPr>
                      </w:pPr>
                      <w:r>
                        <w:rPr>
                          <w:rFonts w:ascii="Times New Roman" w:hAnsi="Times New Roman" w:cs="Times New Roman" w:eastAsia="Times New Roman" w:hint="default"/>
                          <w:spacing w:val="-1"/>
                          <w:sz w:val="16"/>
                          <w:szCs w:val="16"/>
                        </w:rPr>
                        <w:t>100.00</w:t>
                        <w:tab/>
                      </w:r>
                      <w:r>
                        <w:rPr>
                          <w:rFonts w:ascii="宋体" w:hAnsi="宋体" w:cs="宋体" w:eastAsia="宋体" w:hint="default"/>
                          <w:position w:val="-9"/>
                          <w:sz w:val="16"/>
                          <w:szCs w:val="16"/>
                        </w:rPr>
                        <w:t>小</w:t>
                      </w:r>
                      <w:r>
                        <w:rPr>
                          <w:rFonts w:ascii="宋体" w:hAnsi="宋体" w:cs="宋体" w:eastAsia="宋体" w:hint="default"/>
                          <w:sz w:val="16"/>
                          <w:szCs w:val="16"/>
                        </w:rPr>
                      </w:r>
                    </w:p>
                  </w:txbxContent>
                </v:textbox>
                <w10:wrap type="none"/>
              </v:shape>
              <v:shape style="position:absolute;left:1334;top:1389;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合计</w:t>
                      </w:r>
                      <w:r>
                        <w:rPr>
                          <w:rFonts w:ascii="宋体" w:hAnsi="宋体" w:cs="宋体" w:eastAsia="宋体" w:hint="default"/>
                          <w:sz w:val="16"/>
                          <w:szCs w:val="16"/>
                        </w:rPr>
                      </w:r>
                    </w:p>
                  </w:txbxContent>
                </v:textbox>
                <w10:wrap type="none"/>
              </v:shape>
              <v:shape style="position:absolute;left:3645;top:1403;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4,583,849.40</w:t>
                      </w:r>
                      <w:r>
                        <w:rPr>
                          <w:rFonts w:ascii="Times New Roman"/>
                          <w:sz w:val="16"/>
                        </w:rPr>
                      </w:r>
                    </w:p>
                  </w:txbxContent>
                </v:textbox>
                <w10:wrap type="none"/>
              </v:shape>
              <v:shape style="position:absolute;left:4982;top:1403;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4,583,849.40</w:t>
                      </w:r>
                      <w:r>
                        <w:rPr>
                          <w:rFonts w:ascii="Times New Roman"/>
                          <w:sz w:val="16"/>
                        </w:rPr>
                      </w:r>
                    </w:p>
                  </w:txbxContent>
                </v:textbox>
                <w10:wrap type="none"/>
              </v:shape>
            </v:group>
          </v:group>
        </w:pict>
      </w:r>
      <w:r>
        <w:rPr>
          <w:rFonts w:ascii="宋体" w:hAnsi="宋体" w:cs="宋体" w:eastAsia="宋体" w:hint="default"/>
          <w:position w:val="-32"/>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5"/>
          <w:szCs w:val="15"/>
        </w:rPr>
      </w:pPr>
    </w:p>
    <w:p>
      <w:pPr>
        <w:pStyle w:val="BodyText"/>
        <w:spacing w:line="240" w:lineRule="auto" w:before="35"/>
        <w:ind w:right="3681"/>
        <w:jc w:val="left"/>
      </w:pPr>
      <w:r>
        <w:rPr/>
        <w:t>组合中，按账龄分析法计提坏账准备的其他应收款</w:t>
      </w:r>
    </w:p>
    <w:p>
      <w:pPr>
        <w:spacing w:line="240" w:lineRule="auto" w:before="5"/>
        <w:rPr>
          <w:rFonts w:ascii="宋体" w:hAnsi="宋体" w:cs="宋体" w:eastAsia="宋体" w:hint="default"/>
          <w:sz w:val="2"/>
          <w:szCs w:val="2"/>
        </w:rPr>
      </w:pPr>
    </w:p>
    <w:p>
      <w:pPr>
        <w:spacing w:line="3231" w:lineRule="exact"/>
        <w:ind w:left="720" w:right="0" w:firstLine="0"/>
        <w:rPr>
          <w:rFonts w:ascii="宋体" w:hAnsi="宋体" w:cs="宋体" w:eastAsia="宋体" w:hint="default"/>
          <w:sz w:val="20"/>
          <w:szCs w:val="20"/>
        </w:rPr>
      </w:pPr>
      <w:r>
        <w:rPr>
          <w:rFonts w:ascii="宋体" w:hAnsi="宋体" w:cs="宋体" w:eastAsia="宋体" w:hint="default"/>
          <w:position w:val="-64"/>
          <w:sz w:val="20"/>
          <w:szCs w:val="20"/>
        </w:rPr>
        <w:pict>
          <v:group style="width:411.95pt;height:161.6pt;mso-position-horizontal-relative:char;mso-position-vertical-relative:line" coordorigin="0,0" coordsize="8239,3232">
            <v:group style="position:absolute;left:29;top:15;width:3040;height:2" coordorigin="29,15" coordsize="3040,2">
              <v:shape style="position:absolute;left:29;top:15;width:3040;height:2" coordorigin="29,15" coordsize="3040,0" path="m29,15l3069,15e" filled="false" stroked="true" strokeweight="1.5pt" strokecolor="#000000">
                <v:path arrowok="t"/>
              </v:shape>
            </v:group>
            <v:group style="position:absolute;left:3069;top:15;width:5148;height:2" coordorigin="3069,15" coordsize="5148,2">
              <v:shape style="position:absolute;left:3069;top:15;width:5148;height:2" coordorigin="3069,15" coordsize="5148,0" path="m3069,15l8217,15e" filled="false" stroked="true" strokeweight="1.5pt" strokecolor="#000000">
                <v:path arrowok="t"/>
              </v:shape>
              <v:shape style="position:absolute;left:3069;top:30;width:10;height:344" type="#_x0000_t75" stroked="false">
                <v:imagedata r:id="rId517" o:title=""/>
              </v:shape>
              <v:shape style="position:absolute;left:3050;top:355;width:5189;height:391" type="#_x0000_t75" stroked="false">
                <v:imagedata r:id="rId518" o:title=""/>
              </v:shape>
            </v:group>
            <v:group style="position:absolute;left:15;top:3217;width:3054;height:2" coordorigin="15,3217" coordsize="3054,2">
              <v:shape style="position:absolute;left:15;top:3217;width:3054;height:2" coordorigin="15,3217" coordsize="3054,0" path="m15,3217l3069,3217e" filled="false" stroked="true" strokeweight="1.5pt" strokecolor="#000000">
                <v:path arrowok="t"/>
              </v:shape>
            </v:group>
            <v:group style="position:absolute;left:3069;top:3217;width:2264;height:2" coordorigin="3069,3217" coordsize="2264,2">
              <v:shape style="position:absolute;left:3069;top:3217;width:2264;height:2" coordorigin="3069,3217" coordsize="2264,0" path="m3069,3217l5332,3217e" filled="false" stroked="true" strokeweight="1.5pt" strokecolor="#000000">
                <v:path arrowok="t"/>
              </v:shape>
            </v:group>
            <v:group style="position:absolute;left:5332;top:3217;width:1486;height:2" coordorigin="5332,3217" coordsize="1486,2">
              <v:shape style="position:absolute;left:5332;top:3217;width:1486;height:2" coordorigin="5332,3217" coordsize="1486,0" path="m5332,3217l6818,3217e" filled="false" stroked="true" strokeweight="1.5pt" strokecolor="#000000">
                <v:path arrowok="t"/>
              </v:shape>
              <v:shape style="position:absolute;left:10;top:708;width:8228;height:2494" type="#_x0000_t75" stroked="false">
                <v:imagedata r:id="rId519" o:title=""/>
              </v:shape>
            </v:group>
            <v:group style="position:absolute;left:6818;top:3217;width:1400;height:2" coordorigin="6818,3217" coordsize="1400,2">
              <v:shape style="position:absolute;left:6818;top:3217;width:1400;height:2" coordorigin="6818,3217" coordsize="1400,0" path="m6818,3217l8217,3217e" filled="false" stroked="true" strokeweight="1.5pt" strokecolor="#000000">
                <v:path arrowok="t"/>
              </v:shape>
              <v:shape style="position:absolute;left:5325;top:122;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1391;top:298;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账龄</w:t>
                      </w:r>
                      <w:r>
                        <w:rPr>
                          <w:rFonts w:ascii="宋体" w:hAnsi="宋体" w:cs="宋体" w:eastAsia="宋体" w:hint="default"/>
                          <w:sz w:val="16"/>
                          <w:szCs w:val="16"/>
                        </w:rPr>
                      </w:r>
                    </w:p>
                  </w:txbxContent>
                </v:textbox>
                <w10:wrap type="none"/>
              </v:shape>
              <v:shape style="position:absolute;left:3803;top:475;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其他应收款</w:t>
                      </w:r>
                      <w:r>
                        <w:rPr>
                          <w:rFonts w:ascii="宋体" w:hAnsi="宋体" w:cs="宋体" w:eastAsia="宋体" w:hint="default"/>
                          <w:sz w:val="16"/>
                          <w:szCs w:val="16"/>
                        </w:rPr>
                      </w:r>
                    </w:p>
                  </w:txbxContent>
                </v:textbox>
                <w10:wrap type="none"/>
              </v:shape>
              <v:shape style="position:absolute;left:5758;top:475;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坏账准备</w:t>
                      </w:r>
                      <w:r>
                        <w:rPr>
                          <w:rFonts w:ascii="宋体" w:hAnsi="宋体" w:cs="宋体" w:eastAsia="宋体" w:hint="default"/>
                          <w:sz w:val="16"/>
                          <w:szCs w:val="16"/>
                        </w:rPr>
                      </w:r>
                    </w:p>
                  </w:txbxContent>
                </v:textbox>
                <w10:wrap type="none"/>
              </v:shape>
              <v:shape style="position:absolute;left:6971;top:475;width:1092;height:169" type="#_x0000_t202" filled="false" stroked="false">
                <v:textbox inset="0,0,0,0">
                  <w:txbxContent>
                    <w:p>
                      <w:pPr>
                        <w:spacing w:line="168"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计提比例（</w:t>
                      </w:r>
                      <w:r>
                        <w:rPr>
                          <w:rFonts w:ascii="Times New Roman" w:hAnsi="Times New Roman" w:cs="Times New Roman" w:eastAsia="Times New Roman" w:hint="default"/>
                          <w:w w:val="95"/>
                          <w:sz w:val="16"/>
                          <w:szCs w:val="16"/>
                        </w:rPr>
                        <w:t>%</w:t>
                      </w:r>
                      <w:r>
                        <w:rPr>
                          <w:rFonts w:ascii="宋体" w:hAnsi="宋体" w:cs="宋体" w:eastAsia="宋体" w:hint="default"/>
                          <w:w w:val="95"/>
                          <w:sz w:val="16"/>
                          <w:szCs w:val="16"/>
                        </w:rPr>
                        <w:t>）</w:t>
                      </w:r>
                      <w:r>
                        <w:rPr>
                          <w:rFonts w:ascii="宋体" w:hAnsi="宋体" w:cs="宋体" w:eastAsia="宋体" w:hint="default"/>
                          <w:sz w:val="16"/>
                          <w:szCs w:val="16"/>
                        </w:rPr>
                      </w:r>
                    </w:p>
                  </w:txbxContent>
                </v:textbox>
                <w10:wrap type="none"/>
              </v:shape>
              <v:shape style="position:absolute;left:137;top:829;width:599;height:169" type="#_x0000_t202" filled="false" stroked="false">
                <v:textbox inset="0,0,0,0">
                  <w:txbxContent>
                    <w:p>
                      <w:pPr>
                        <w:spacing w:line="168" w:lineRule="exact" w:before="0"/>
                        <w:ind w:left="0" w:right="0" w:firstLine="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年以内</w:t>
                      </w:r>
                    </w:p>
                  </w:txbxContent>
                </v:textbox>
                <w10:wrap type="none"/>
              </v:shape>
              <v:shape style="position:absolute;left:4388;top:842;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4,331,005.00</w:t>
                      </w:r>
                      <w:r>
                        <w:rPr>
                          <w:rFonts w:ascii="Times New Roman"/>
                          <w:sz w:val="16"/>
                        </w:rPr>
                      </w:r>
                    </w:p>
                  </w:txbxContent>
                </v:textbox>
                <w10:wrap type="none"/>
              </v:shape>
              <v:shape style="position:absolute;left:5993;top:842;width:7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216,550.25</w:t>
                      </w:r>
                      <w:r>
                        <w:rPr>
                          <w:rFonts w:ascii="Times New Roman"/>
                          <w:sz w:val="16"/>
                        </w:rPr>
                      </w:r>
                    </w:p>
                  </w:txbxContent>
                </v:textbox>
                <w10:wrap type="none"/>
              </v:shape>
              <v:shape style="position:absolute;left:7828;top:842;width:28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z w:val="16"/>
                        </w:rPr>
                        <w:t>5.00</w:t>
                      </w:r>
                    </w:p>
                  </w:txbxContent>
                </v:textbox>
                <w10:wrap type="none"/>
              </v:shape>
              <v:shape style="position:absolute;left:137;top:1182;width:599;height:169" type="#_x0000_t202" filled="false" stroked="false">
                <v:textbox inset="0,0,0,0">
                  <w:txbxContent>
                    <w:p>
                      <w:pPr>
                        <w:spacing w:line="168" w:lineRule="exact" w:before="0"/>
                        <w:ind w:left="0" w:right="0" w:firstLine="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至</w:t>
                      </w:r>
                      <w:r>
                        <w:rPr>
                          <w:rFonts w:ascii="宋体" w:hAnsi="宋体" w:cs="宋体" w:eastAsia="宋体" w:hint="default"/>
                          <w:spacing w:val="-42"/>
                          <w:sz w:val="16"/>
                          <w:szCs w:val="16"/>
                        </w:rPr>
                        <w:t> </w:t>
                      </w: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年</w:t>
                      </w:r>
                    </w:p>
                  </w:txbxContent>
                </v:textbox>
                <w10:wrap type="none"/>
              </v:shape>
              <v:shape style="position:absolute;left:4228;top:1196;width:100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201,908,341.61</w:t>
                      </w:r>
                      <w:r>
                        <w:rPr>
                          <w:rFonts w:ascii="Times New Roman"/>
                          <w:sz w:val="16"/>
                        </w:rPr>
                      </w:r>
                    </w:p>
                  </w:txbxContent>
                </v:textbox>
                <w10:wrap type="none"/>
              </v:shape>
              <v:shape style="position:absolute;left:5793;top:1196;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20,190,834.16</w:t>
                      </w:r>
                      <w:r>
                        <w:rPr>
                          <w:rFonts w:ascii="Times New Roman"/>
                          <w:sz w:val="16"/>
                        </w:rPr>
                      </w:r>
                    </w:p>
                  </w:txbxContent>
                </v:textbox>
                <w10:wrap type="none"/>
              </v:shape>
              <v:shape style="position:absolute;left:7748;top:1196;width:36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z w:val="16"/>
                        </w:rPr>
                        <w:t>10.00</w:t>
                      </w:r>
                    </w:p>
                  </w:txbxContent>
                </v:textbox>
                <w10:wrap type="none"/>
              </v:shape>
              <v:shape style="position:absolute;left:137;top:1536;width:599;height:169" type="#_x0000_t202" filled="false" stroked="false">
                <v:textbox inset="0,0,0,0">
                  <w:txbxContent>
                    <w:p>
                      <w:pPr>
                        <w:spacing w:line="168" w:lineRule="exact" w:before="0"/>
                        <w:ind w:left="0" w:right="0" w:firstLine="0"/>
                        <w:jc w:val="left"/>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至</w:t>
                      </w:r>
                      <w:r>
                        <w:rPr>
                          <w:rFonts w:ascii="宋体" w:hAnsi="宋体" w:cs="宋体" w:eastAsia="宋体" w:hint="default"/>
                          <w:spacing w:val="-42"/>
                          <w:sz w:val="16"/>
                          <w:szCs w:val="16"/>
                        </w:rPr>
                        <w:t> </w:t>
                      </w:r>
                      <w:r>
                        <w:rPr>
                          <w:rFonts w:ascii="Times New Roman" w:hAnsi="Times New Roman" w:cs="Times New Roman" w:eastAsia="Times New Roman" w:hint="default"/>
                          <w:sz w:val="16"/>
                          <w:szCs w:val="16"/>
                        </w:rPr>
                        <w:t>3</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年</w:t>
                      </w:r>
                    </w:p>
                  </w:txbxContent>
                </v:textbox>
                <w10:wrap type="none"/>
              </v:shape>
              <v:shape style="position:absolute;left:4234;top:1549;width:995;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pacing w:val="-1"/>
                          <w:sz w:val="16"/>
                        </w:rPr>
                        <w:t>116,415,227.00</w:t>
                      </w:r>
                    </w:p>
                  </w:txbxContent>
                </v:textbox>
                <w10:wrap type="none"/>
              </v:shape>
              <v:shape style="position:absolute;left:5793;top:1549;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34,924,568.10</w:t>
                      </w:r>
                      <w:r>
                        <w:rPr>
                          <w:rFonts w:ascii="Times New Roman"/>
                          <w:sz w:val="16"/>
                        </w:rPr>
                      </w:r>
                    </w:p>
                  </w:txbxContent>
                </v:textbox>
                <w10:wrap type="none"/>
              </v:shape>
              <v:shape style="position:absolute;left:7748;top:1549;width:36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z w:val="16"/>
                        </w:rPr>
                        <w:t>30.00</w:t>
                      </w:r>
                    </w:p>
                  </w:txbxContent>
                </v:textbox>
                <w10:wrap type="none"/>
              </v:shape>
              <v:shape style="position:absolute;left:137;top:1890;width:599;height:169" type="#_x0000_t202" filled="false" stroked="false">
                <v:textbox inset="0,0,0,0">
                  <w:txbxContent>
                    <w:p>
                      <w:pPr>
                        <w:spacing w:line="168" w:lineRule="exact" w:before="0"/>
                        <w:ind w:left="0" w:right="0" w:firstLine="0"/>
                        <w:jc w:val="left"/>
                        <w:rPr>
                          <w:rFonts w:ascii="宋体" w:hAnsi="宋体" w:cs="宋体" w:eastAsia="宋体" w:hint="default"/>
                          <w:sz w:val="16"/>
                          <w:szCs w:val="16"/>
                        </w:rPr>
                      </w:pPr>
                      <w:r>
                        <w:rPr>
                          <w:rFonts w:ascii="Times New Roman" w:hAnsi="Times New Roman" w:cs="Times New Roman" w:eastAsia="Times New Roman" w:hint="default"/>
                          <w:sz w:val="16"/>
                          <w:szCs w:val="16"/>
                        </w:rPr>
                        <w:t>3</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至</w:t>
                      </w:r>
                      <w:r>
                        <w:rPr>
                          <w:rFonts w:ascii="宋体" w:hAnsi="宋体" w:cs="宋体" w:eastAsia="宋体" w:hint="default"/>
                          <w:spacing w:val="-42"/>
                          <w:sz w:val="16"/>
                          <w:szCs w:val="16"/>
                        </w:rPr>
                        <w:t> </w:t>
                      </w:r>
                      <w:r>
                        <w:rPr>
                          <w:rFonts w:ascii="Times New Roman" w:hAnsi="Times New Roman" w:cs="Times New Roman" w:eastAsia="Times New Roman" w:hint="default"/>
                          <w:sz w:val="16"/>
                          <w:szCs w:val="16"/>
                        </w:rPr>
                        <w:t>4</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年</w:t>
                      </w:r>
                    </w:p>
                  </w:txbxContent>
                </v:textbox>
                <w10:wrap type="none"/>
              </v:shape>
              <v:shape style="position:absolute;left:4388;top:1903;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8,786,845.19</w:t>
                      </w:r>
                      <w:r>
                        <w:rPr>
                          <w:rFonts w:ascii="Times New Roman"/>
                          <w:sz w:val="16"/>
                        </w:rPr>
                      </w:r>
                    </w:p>
                  </w:txbxContent>
                </v:textbox>
                <w10:wrap type="none"/>
              </v:shape>
              <v:shape style="position:absolute;left:5879;top:1903;width:835;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pacing w:val="-1"/>
                          <w:sz w:val="16"/>
                        </w:rPr>
                        <w:t>5,272,107.11</w:t>
                      </w:r>
                    </w:p>
                  </w:txbxContent>
                </v:textbox>
                <w10:wrap type="none"/>
              </v:shape>
              <v:shape style="position:absolute;left:7748;top:1903;width:36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z w:val="16"/>
                        </w:rPr>
                        <w:t>60.00</w:t>
                      </w:r>
                    </w:p>
                  </w:txbxContent>
                </v:textbox>
                <w10:wrap type="none"/>
              </v:shape>
              <v:shape style="position:absolute;left:137;top:2242;width:599;height:169" type="#_x0000_t202" filled="false" stroked="false">
                <v:textbox inset="0,0,0,0">
                  <w:txbxContent>
                    <w:p>
                      <w:pPr>
                        <w:spacing w:line="168" w:lineRule="exact" w:before="0"/>
                        <w:ind w:left="0" w:right="0" w:firstLine="0"/>
                        <w:jc w:val="left"/>
                        <w:rPr>
                          <w:rFonts w:ascii="宋体" w:hAnsi="宋体" w:cs="宋体" w:eastAsia="宋体" w:hint="default"/>
                          <w:sz w:val="16"/>
                          <w:szCs w:val="16"/>
                        </w:rPr>
                      </w:pPr>
                      <w:r>
                        <w:rPr>
                          <w:rFonts w:ascii="Times New Roman" w:hAnsi="Times New Roman" w:cs="Times New Roman" w:eastAsia="Times New Roman" w:hint="default"/>
                          <w:sz w:val="16"/>
                          <w:szCs w:val="16"/>
                        </w:rPr>
                        <w:t>4</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至</w:t>
                      </w:r>
                      <w:r>
                        <w:rPr>
                          <w:rFonts w:ascii="宋体" w:hAnsi="宋体" w:cs="宋体" w:eastAsia="宋体" w:hint="default"/>
                          <w:spacing w:val="-42"/>
                          <w:sz w:val="16"/>
                          <w:szCs w:val="16"/>
                        </w:rPr>
                        <w:t> </w:t>
                      </w:r>
                      <w:r>
                        <w:rPr>
                          <w:rFonts w:ascii="Times New Roman" w:hAnsi="Times New Roman" w:cs="Times New Roman" w:eastAsia="Times New Roman" w:hint="default"/>
                          <w:sz w:val="16"/>
                          <w:szCs w:val="16"/>
                        </w:rPr>
                        <w:t>5</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年</w:t>
                      </w:r>
                    </w:p>
                  </w:txbxContent>
                </v:textbox>
                <w10:wrap type="none"/>
              </v:shape>
              <v:shape style="position:absolute;left:4588;top:2256;width:64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65,855.39</w:t>
                      </w:r>
                      <w:r>
                        <w:rPr>
                          <w:rFonts w:ascii="Times New Roman"/>
                          <w:sz w:val="16"/>
                        </w:rPr>
                      </w:r>
                    </w:p>
                  </w:txbxContent>
                </v:textbox>
                <w10:wrap type="none"/>
              </v:shape>
              <v:shape style="position:absolute;left:6074;top:2256;width:64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52,684.31</w:t>
                      </w:r>
                      <w:r>
                        <w:rPr>
                          <w:rFonts w:ascii="Times New Roman"/>
                          <w:sz w:val="16"/>
                        </w:rPr>
                      </w:r>
                    </w:p>
                  </w:txbxContent>
                </v:textbox>
                <w10:wrap type="none"/>
              </v:shape>
              <v:shape style="position:absolute;left:7748;top:2256;width:36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z w:val="16"/>
                        </w:rPr>
                        <w:t>80.00</w:t>
                      </w:r>
                    </w:p>
                  </w:txbxContent>
                </v:textbox>
                <w10:wrap type="none"/>
              </v:shape>
              <v:shape style="position:absolute;left:137;top:2596;width:599;height:169" type="#_x0000_t202" filled="false" stroked="false">
                <v:textbox inset="0,0,0,0">
                  <w:txbxContent>
                    <w:p>
                      <w:pPr>
                        <w:spacing w:line="168" w:lineRule="exact" w:before="0"/>
                        <w:ind w:left="0" w:right="0" w:firstLine="0"/>
                        <w:jc w:val="left"/>
                        <w:rPr>
                          <w:rFonts w:ascii="宋体" w:hAnsi="宋体" w:cs="宋体" w:eastAsia="宋体" w:hint="default"/>
                          <w:sz w:val="16"/>
                          <w:szCs w:val="16"/>
                        </w:rPr>
                      </w:pPr>
                      <w:r>
                        <w:rPr>
                          <w:rFonts w:ascii="Times New Roman" w:hAnsi="Times New Roman" w:cs="Times New Roman" w:eastAsia="Times New Roman" w:hint="default"/>
                          <w:sz w:val="16"/>
                          <w:szCs w:val="16"/>
                        </w:rPr>
                        <w:t>5</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年以上</w:t>
                      </w:r>
                    </w:p>
                  </w:txbxContent>
                </v:textbox>
                <w10:wrap type="none"/>
              </v:shape>
              <v:shape style="position:absolute;left:4388;top:2610;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1,848,000.12</w:t>
                      </w:r>
                      <w:r>
                        <w:rPr>
                          <w:rFonts w:ascii="Times New Roman"/>
                          <w:sz w:val="16"/>
                        </w:rPr>
                      </w:r>
                    </w:p>
                  </w:txbxContent>
                </v:textbox>
                <w10:wrap type="none"/>
              </v:shape>
              <v:shape style="position:absolute;left:5873;top:2610;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1,848,000.12</w:t>
                      </w:r>
                      <w:r>
                        <w:rPr>
                          <w:rFonts w:ascii="Times New Roman"/>
                          <w:sz w:val="16"/>
                        </w:rPr>
                      </w:r>
                    </w:p>
                  </w:txbxContent>
                </v:textbox>
                <w10:wrap type="none"/>
              </v:shape>
              <v:shape style="position:absolute;left:7667;top:2610;width:4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z w:val="16"/>
                        </w:rPr>
                        <w:t>100.00</w:t>
                      </w:r>
                    </w:p>
                  </w:txbxContent>
                </v:textbox>
                <w10:wrap type="none"/>
              </v:shape>
              <v:shape style="position:absolute;left:1391;top:2949;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合计</w:t>
                      </w:r>
                      <w:r>
                        <w:rPr>
                          <w:rFonts w:ascii="宋体" w:hAnsi="宋体" w:cs="宋体" w:eastAsia="宋体" w:hint="default"/>
                          <w:sz w:val="16"/>
                          <w:szCs w:val="16"/>
                        </w:rPr>
                      </w:r>
                    </w:p>
                  </w:txbxContent>
                </v:textbox>
                <w10:wrap type="none"/>
              </v:shape>
              <v:shape style="position:absolute;left:4228;top:2964;width:100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333,355,274.31</w:t>
                      </w:r>
                      <w:r>
                        <w:rPr>
                          <w:rFonts w:ascii="Times New Roman"/>
                          <w:sz w:val="16"/>
                        </w:rPr>
                      </w:r>
                    </w:p>
                  </w:txbxContent>
                </v:textbox>
                <w10:wrap type="none"/>
              </v:shape>
              <v:shape style="position:absolute;left:5793;top:2964;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62,504,744.05</w:t>
                      </w:r>
                      <w:r>
                        <w:rPr>
                          <w:rFonts w:ascii="Times New Roman"/>
                          <w:sz w:val="16"/>
                        </w:rPr>
                      </w:r>
                    </w:p>
                  </w:txbxContent>
                </v:textbox>
                <w10:wrap type="none"/>
              </v:shape>
            </v:group>
          </v:group>
        </w:pict>
      </w:r>
      <w:r>
        <w:rPr>
          <w:rFonts w:ascii="宋体" w:hAnsi="宋体" w:cs="宋体" w:eastAsia="宋体" w:hint="default"/>
          <w:position w:val="-64"/>
          <w:sz w:val="20"/>
          <w:szCs w:val="20"/>
        </w:rPr>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pStyle w:val="BodyText"/>
        <w:spacing w:line="240" w:lineRule="auto" w:before="35"/>
        <w:ind w:right="3681"/>
        <w:jc w:val="left"/>
      </w:pPr>
      <w:r>
        <w:rPr/>
        <w:t>组合中，采用其他方法计提坏账准备的其他应收款</w:t>
      </w:r>
    </w:p>
    <w:p>
      <w:pPr>
        <w:spacing w:line="240" w:lineRule="auto" w:before="6"/>
        <w:rPr>
          <w:rFonts w:ascii="宋体" w:hAnsi="宋体" w:cs="宋体" w:eastAsia="宋体" w:hint="default"/>
          <w:sz w:val="2"/>
          <w:szCs w:val="2"/>
        </w:rPr>
      </w:pPr>
    </w:p>
    <w:p>
      <w:pPr>
        <w:spacing w:line="1464" w:lineRule="exact"/>
        <w:ind w:left="720" w:right="0" w:firstLine="0"/>
        <w:rPr>
          <w:rFonts w:ascii="宋体" w:hAnsi="宋体" w:cs="宋体" w:eastAsia="宋体" w:hint="default"/>
          <w:sz w:val="20"/>
          <w:szCs w:val="20"/>
        </w:rPr>
      </w:pPr>
      <w:r>
        <w:rPr>
          <w:rFonts w:ascii="宋体" w:hAnsi="宋体" w:cs="宋体" w:eastAsia="宋体" w:hint="default"/>
          <w:position w:val="-28"/>
          <w:sz w:val="20"/>
          <w:szCs w:val="20"/>
        </w:rPr>
        <w:pict>
          <v:group style="width:412.2pt;height:73.2pt;mso-position-horizontal-relative:char;mso-position-vertical-relative:line" coordorigin="0,0" coordsize="8244,1464">
            <v:group style="position:absolute;left:29;top:15;width:3669;height:2" coordorigin="29,15" coordsize="3669,2">
              <v:shape style="position:absolute;left:29;top:15;width:3669;height:2" coordorigin="29,15" coordsize="3669,0" path="m29,15l3698,15e" filled="false" stroked="true" strokeweight="1.5pt" strokecolor="#000000">
                <v:path arrowok="t"/>
              </v:shape>
            </v:group>
            <v:group style="position:absolute;left:3698;top:15;width:4520;height:2" coordorigin="3698,15" coordsize="4520,2">
              <v:shape style="position:absolute;left:3698;top:15;width:4520;height:2" coordorigin="3698,15" coordsize="4520,0" path="m3698,15l8217,15e" filled="false" stroked="true" strokeweight="1.5pt" strokecolor="#000000">
                <v:path arrowok="t"/>
              </v:shape>
              <v:shape style="position:absolute;left:3698;top:30;width:10;height:343" type="#_x0000_t75" stroked="false">
                <v:imagedata r:id="rId520" o:title=""/>
              </v:shape>
              <v:shape style="position:absolute;left:3679;top:354;width:4565;height:392" type="#_x0000_t75" stroked="false">
                <v:imagedata r:id="rId521" o:title=""/>
              </v:shape>
            </v:group>
            <v:group style="position:absolute;left:15;top:1449;width:3683;height:2" coordorigin="15,1449" coordsize="3683,2">
              <v:shape style="position:absolute;left:15;top:1449;width:3683;height:2" coordorigin="15,1449" coordsize="3683,0" path="m15,1449l3698,1449e" filled="false" stroked="true" strokeweight="1.5pt" strokecolor="#000000">
                <v:path arrowok="t"/>
              </v:shape>
            </v:group>
            <v:group style="position:absolute;left:3698;top:1449;width:1635;height:2" coordorigin="3698,1449" coordsize="1635,2">
              <v:shape style="position:absolute;left:3698;top:1449;width:1635;height:2" coordorigin="3698,1449" coordsize="1635,0" path="m3698,1449l5332,1449e" filled="false" stroked="true" strokeweight="1.5pt" strokecolor="#000000">
                <v:path arrowok="t"/>
              </v:shape>
            </v:group>
            <v:group style="position:absolute;left:5332;top:1449;width:1635;height:2" coordorigin="5332,1449" coordsize="1635,2">
              <v:shape style="position:absolute;left:5332;top:1449;width:1635;height:2" coordorigin="5332,1449" coordsize="1635,0" path="m5332,1449l6967,1449e" filled="false" stroked="true" strokeweight="1.5pt" strokecolor="#000000">
                <v:path arrowok="t"/>
              </v:shape>
              <v:shape style="position:absolute;left:17;top:714;width:8220;height:720" type="#_x0000_t75" stroked="false">
                <v:imagedata r:id="rId522" o:title=""/>
              </v:shape>
            </v:group>
            <v:group style="position:absolute;left:6967;top:1449;width:1251;height:2" coordorigin="6967,1449" coordsize="1251,2">
              <v:shape style="position:absolute;left:6967;top:1449;width:1251;height:2" coordorigin="6967,1449" coordsize="1251,0" path="m6967,1449l8217,1449e" filled="false" stroked="true" strokeweight="1.5pt" strokecolor="#000000">
                <v:path arrowok="t"/>
              </v:shape>
              <v:shape style="position:absolute;left:5638;top:121;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1546;top:29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组合名称</w:t>
                      </w:r>
                      <w:r>
                        <w:rPr>
                          <w:rFonts w:ascii="宋体" w:hAnsi="宋体" w:cs="宋体" w:eastAsia="宋体" w:hint="default"/>
                          <w:sz w:val="16"/>
                          <w:szCs w:val="16"/>
                        </w:rPr>
                      </w:r>
                    </w:p>
                  </w:txbxContent>
                </v:textbox>
                <w10:wrap type="none"/>
              </v:shape>
              <v:shape style="position:absolute;left:4198;top:475;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账面余额</w:t>
                      </w:r>
                      <w:r>
                        <w:rPr>
                          <w:rFonts w:ascii="宋体" w:hAnsi="宋体" w:cs="宋体" w:eastAsia="宋体" w:hint="default"/>
                          <w:sz w:val="16"/>
                          <w:szCs w:val="16"/>
                        </w:rPr>
                      </w:r>
                    </w:p>
                  </w:txbxContent>
                </v:textbox>
                <w10:wrap type="none"/>
              </v:shape>
              <v:shape style="position:absolute;left:5833;top:475;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坏账准备</w:t>
                      </w:r>
                      <w:r>
                        <w:rPr>
                          <w:rFonts w:ascii="宋体" w:hAnsi="宋体" w:cs="宋体" w:eastAsia="宋体" w:hint="default"/>
                          <w:sz w:val="16"/>
                          <w:szCs w:val="16"/>
                        </w:rPr>
                      </w:r>
                    </w:p>
                  </w:txbxContent>
                </v:textbox>
                <w10:wrap type="none"/>
              </v:shape>
              <v:shape style="position:absolute;left:7273;top:475;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计提比例</w:t>
                      </w:r>
                      <w:r>
                        <w:rPr>
                          <w:rFonts w:ascii="宋体" w:hAnsi="宋体" w:cs="宋体" w:eastAsia="宋体" w:hint="default"/>
                          <w:sz w:val="16"/>
                          <w:szCs w:val="16"/>
                        </w:rPr>
                      </w:r>
                    </w:p>
                  </w:txbxContent>
                </v:textbox>
                <w10:wrap type="none"/>
              </v:shape>
              <v:shape style="position:absolute;left:137;top:828;width:2878;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在合同规定的收款账期内的应收款项组合</w:t>
                      </w:r>
                      <w:r>
                        <w:rPr>
                          <w:rFonts w:ascii="宋体" w:hAnsi="宋体" w:cs="宋体" w:eastAsia="宋体" w:hint="default"/>
                          <w:sz w:val="16"/>
                          <w:szCs w:val="16"/>
                        </w:rPr>
                      </w:r>
                    </w:p>
                  </w:txbxContent>
                </v:textbox>
                <w10:wrap type="none"/>
              </v:shape>
              <v:shape style="position:absolute;left:4228;top:842;width:100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152,331,213.20</w:t>
                      </w:r>
                      <w:r>
                        <w:rPr>
                          <w:rFonts w:ascii="Times New Roman"/>
                          <w:sz w:val="16"/>
                        </w:rPr>
                      </w:r>
                    </w:p>
                  </w:txbxContent>
                </v:textbox>
                <w10:wrap type="none"/>
              </v:shape>
              <v:shape style="position:absolute;left:1706;top:1182;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合计</w:t>
                      </w:r>
                      <w:r>
                        <w:rPr>
                          <w:rFonts w:ascii="宋体" w:hAnsi="宋体" w:cs="宋体" w:eastAsia="宋体" w:hint="default"/>
                          <w:sz w:val="16"/>
                          <w:szCs w:val="16"/>
                        </w:rPr>
                      </w:r>
                    </w:p>
                  </w:txbxContent>
                </v:textbox>
                <w10:wrap type="none"/>
              </v:shape>
              <v:shape style="position:absolute;left:4228;top:1195;width:100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152,331,213.20</w:t>
                      </w:r>
                      <w:r>
                        <w:rPr>
                          <w:rFonts w:ascii="Times New Roman"/>
                          <w:sz w:val="16"/>
                        </w:rPr>
                      </w:r>
                    </w:p>
                  </w:txbxContent>
                </v:textbox>
                <w10:wrap type="none"/>
              </v:shape>
            </v:group>
          </v:group>
        </w:pict>
      </w:r>
      <w:r>
        <w:rPr>
          <w:rFonts w:ascii="宋体" w:hAnsi="宋体" w:cs="宋体" w:eastAsia="宋体" w:hint="default"/>
          <w:position w:val="-28"/>
          <w:sz w:val="20"/>
          <w:szCs w:val="20"/>
        </w:rPr>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4"/>
          <w:szCs w:val="14"/>
        </w:rPr>
      </w:pPr>
    </w:p>
    <w:p>
      <w:pPr>
        <w:pStyle w:val="BodyText"/>
        <w:spacing w:line="240" w:lineRule="auto" w:before="35"/>
        <w:ind w:right="3681"/>
        <w:jc w:val="left"/>
      </w:pPr>
      <w:r>
        <w:rPr/>
        <w:t>（</w:t>
      </w:r>
      <w:r>
        <w:rPr>
          <w:rFonts w:ascii="Times New Roman" w:hAnsi="Times New Roman" w:cs="Times New Roman" w:eastAsia="Times New Roman" w:hint="default"/>
        </w:rPr>
        <w:t>2</w:t>
      </w:r>
      <w:r>
        <w:rPr/>
        <w:t>）本期计提、收回或转回坏账准备情况</w:t>
      </w:r>
    </w:p>
    <w:p>
      <w:pPr>
        <w:pStyle w:val="BodyText"/>
        <w:spacing w:line="240" w:lineRule="auto" w:before="110"/>
        <w:ind w:right="1793"/>
        <w:jc w:val="left"/>
      </w:pPr>
      <w:r>
        <w:rPr/>
        <w:t>本期计提坏账准备金额</w:t>
      </w:r>
      <w:r>
        <w:rPr>
          <w:spacing w:val="-56"/>
        </w:rPr>
        <w:t> </w:t>
      </w:r>
      <w:r>
        <w:rPr>
          <w:rFonts w:ascii="Times New Roman" w:hAnsi="Times New Roman" w:cs="Times New Roman" w:eastAsia="Times New Roman" w:hint="default"/>
        </w:rPr>
        <w:t>26,848,822.68</w:t>
      </w:r>
      <w:r>
        <w:rPr>
          <w:rFonts w:ascii="Times New Roman" w:hAnsi="Times New Roman" w:cs="Times New Roman" w:eastAsia="Times New Roman" w:hint="default"/>
          <w:spacing w:val="-4"/>
        </w:rPr>
        <w:t> </w:t>
      </w:r>
      <w:r>
        <w:rPr/>
        <w:t>元；本期无收回或转回坏账准备金额。</w:t>
      </w: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16"/>
          <w:szCs w:val="16"/>
        </w:rPr>
      </w:pPr>
    </w:p>
    <w:p>
      <w:pPr>
        <w:pStyle w:val="BodyText"/>
        <w:spacing w:line="240" w:lineRule="auto" w:before="0"/>
        <w:ind w:right="3681"/>
        <w:jc w:val="left"/>
      </w:pPr>
      <w:r>
        <w:rPr/>
        <w:pict>
          <v:group style="position:absolute;margin-left:119.010002pt;margin-top:15.383766pt;width:411.9pt;height:161.550pt;mso-position-horizontal-relative:page;mso-position-vertical-relative:paragraph;z-index:-1359040" coordorigin="2380,308" coordsize="8238,3231">
            <v:group style="position:absolute;left:2410;top:323;width:3222;height:2" coordorigin="2410,323" coordsize="3222,2">
              <v:shape style="position:absolute;left:2410;top:323;width:3222;height:2" coordorigin="2410,323" coordsize="3222,0" path="m2410,323l5632,323e" filled="false" stroked="true" strokeweight="1.5pt" strokecolor="#000000">
                <v:path arrowok="t"/>
              </v:shape>
              <v:shape style="position:absolute;left:5632;top:338;width:10;height:28" type="#_x0000_t75" stroked="false">
                <v:imagedata r:id="rId37" o:title=""/>
              </v:shape>
            </v:group>
            <v:group style="position:absolute;left:5632;top:323;width:2481;height:2" coordorigin="5632,323" coordsize="2481,2">
              <v:shape style="position:absolute;left:5632;top:323;width:2481;height:2" coordorigin="5632,323" coordsize="2481,0" path="m5632,323l8112,323e" filled="false" stroked="true" strokeweight="1.5pt" strokecolor="#000000">
                <v:path arrowok="t"/>
              </v:shape>
              <v:shape style="position:absolute;left:8112;top:338;width:10;height:28" type="#_x0000_t75" stroked="false">
                <v:imagedata r:id="rId37" o:title=""/>
              </v:shape>
            </v:group>
            <v:group style="position:absolute;left:8112;top:323;width:2486;height:2" coordorigin="8112,323" coordsize="2486,2">
              <v:shape style="position:absolute;left:8112;top:323;width:2486;height:2" coordorigin="8112,323" coordsize="2486,0" path="m8112,323l10597,323e" filled="false" stroked="true" strokeweight="1.5pt" strokecolor="#000000">
                <v:path arrowok="t"/>
              </v:shape>
              <v:shape style="position:absolute;left:5612;top:346;width:2528;height:354" type="#_x0000_t75" stroked="false">
                <v:imagedata r:id="rId523" o:title=""/>
              </v:shape>
            </v:group>
            <v:group style="position:absolute;left:2395;top:3523;width:3237;height:2" coordorigin="2395,3523" coordsize="3237,2">
              <v:shape style="position:absolute;left:2395;top:3523;width:3237;height:2" coordorigin="2395,3523" coordsize="3237,0" path="m2395,3523l5632,3523e" filled="false" stroked="true" strokeweight="1.5pt" strokecolor="#000000">
                <v:path arrowok="t"/>
              </v:shape>
            </v:group>
            <v:group style="position:absolute;left:5632;top:3523;width:2481;height:2" coordorigin="5632,3523" coordsize="2481,2">
              <v:shape style="position:absolute;left:5632;top:3523;width:2481;height:2" coordorigin="5632,3523" coordsize="2481,0" path="m5632,3523l8112,3523e" filled="false" stroked="true" strokeweight="1.5pt" strokecolor="#000000">
                <v:path arrowok="t"/>
              </v:shape>
              <v:shape style="position:absolute;left:2390;top:662;width:8227;height:2846" type="#_x0000_t75" stroked="false">
                <v:imagedata r:id="rId524" o:title=""/>
              </v:shape>
            </v:group>
            <v:group style="position:absolute;left:8112;top:3523;width:2486;height:2" coordorigin="8112,3523" coordsize="2486,2">
              <v:shape style="position:absolute;left:8112;top:3523;width:2486;height:2" coordorigin="8112,3523" coordsize="2486,0" path="m8112,3523l10597,3523e" filled="false" stroked="true" strokeweight="1.5pt" strokecolor="#000000">
                <v:path arrowok="t"/>
              </v:shape>
            </v:group>
            <w10:wrap type="none"/>
          </v:group>
        </w:pict>
      </w:r>
      <w:r>
        <w:rPr/>
        <w:t>（</w:t>
      </w:r>
      <w:r>
        <w:rPr>
          <w:rFonts w:ascii="Times New Roman" w:hAnsi="Times New Roman" w:cs="Times New Roman" w:eastAsia="Times New Roman" w:hint="default"/>
        </w:rPr>
        <w:t>3</w:t>
      </w:r>
      <w:r>
        <w:rPr/>
        <w:t>）其他应收款按款项性质分类情况</w:t>
      </w:r>
    </w:p>
    <w:p>
      <w:pPr>
        <w:spacing w:line="240" w:lineRule="auto" w:before="6"/>
        <w:rPr>
          <w:rFonts w:ascii="宋体" w:hAnsi="宋体" w:cs="宋体" w:eastAsia="宋体" w:hint="default"/>
          <w:sz w:val="2"/>
          <w:szCs w:val="2"/>
        </w:rPr>
      </w:pPr>
    </w:p>
    <w:tbl>
      <w:tblPr>
        <w:tblW w:w="0" w:type="auto"/>
        <w:jc w:val="left"/>
        <w:tblInd w:w="787" w:type="dxa"/>
        <w:tblLayout w:type="fixed"/>
        <w:tblCellMar>
          <w:top w:w="0" w:type="dxa"/>
          <w:left w:w="0" w:type="dxa"/>
          <w:bottom w:w="0" w:type="dxa"/>
          <w:right w:w="0" w:type="dxa"/>
        </w:tblCellMar>
        <w:tblLook w:val="01E0"/>
      </w:tblPr>
      <w:tblGrid>
        <w:gridCol w:w="1142"/>
        <w:gridCol w:w="1779"/>
        <w:gridCol w:w="3074"/>
        <w:gridCol w:w="2117"/>
      </w:tblGrid>
      <w:tr>
        <w:trPr>
          <w:trHeight w:val="723" w:hRule="exact"/>
        </w:trPr>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70" w:right="0"/>
              <w:jc w:val="left"/>
              <w:rPr>
                <w:rFonts w:ascii="宋体" w:hAnsi="宋体" w:cs="宋体" w:eastAsia="宋体" w:hint="default"/>
                <w:sz w:val="16"/>
                <w:szCs w:val="16"/>
              </w:rPr>
            </w:pPr>
            <w:r>
              <w:rPr>
                <w:rFonts w:ascii="宋体" w:hAnsi="宋体" w:cs="宋体" w:eastAsia="宋体" w:hint="default"/>
                <w:sz w:val="16"/>
                <w:szCs w:val="16"/>
              </w:rPr>
              <w:t>子公司往来</w:t>
            </w:r>
          </w:p>
        </w:tc>
        <w:tc>
          <w:tcPr>
            <w:tcW w:w="1779"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911"/>
              <w:jc w:val="center"/>
              <w:rPr>
                <w:rFonts w:ascii="宋体" w:hAnsi="宋体" w:cs="宋体" w:eastAsia="宋体" w:hint="default"/>
                <w:sz w:val="16"/>
                <w:szCs w:val="16"/>
              </w:rPr>
            </w:pPr>
            <w:r>
              <w:rPr>
                <w:rFonts w:ascii="宋体" w:hAnsi="宋体" w:cs="宋体" w:eastAsia="宋体" w:hint="default"/>
                <w:sz w:val="16"/>
                <w:szCs w:val="16"/>
              </w:rPr>
              <w:t>款项性质</w:t>
            </w:r>
          </w:p>
        </w:tc>
        <w:tc>
          <w:tcPr>
            <w:tcW w:w="3074"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59"/>
              <w:jc w:val="center"/>
              <w:rPr>
                <w:rFonts w:ascii="宋体" w:hAnsi="宋体" w:cs="宋体" w:eastAsia="宋体" w:hint="default"/>
                <w:sz w:val="16"/>
                <w:szCs w:val="16"/>
              </w:rPr>
            </w:pPr>
            <w:r>
              <w:rPr>
                <w:rFonts w:ascii="宋体" w:hAnsi="宋体" w:cs="宋体" w:eastAsia="宋体" w:hint="default"/>
                <w:sz w:val="16"/>
                <w:szCs w:val="16"/>
              </w:rPr>
              <w:t>期末账面余额</w:t>
            </w:r>
          </w:p>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640" w:right="0"/>
              <w:jc w:val="left"/>
              <w:rPr>
                <w:rFonts w:ascii="Times New Roman" w:hAnsi="Times New Roman" w:cs="Times New Roman" w:eastAsia="Times New Roman" w:hint="default"/>
                <w:sz w:val="16"/>
                <w:szCs w:val="16"/>
              </w:rPr>
            </w:pPr>
            <w:r>
              <w:rPr>
                <w:rFonts w:ascii="Times New Roman"/>
                <w:sz w:val="16"/>
              </w:rPr>
              <w:t>464,537,646.89</w:t>
            </w:r>
          </w:p>
        </w:tc>
        <w:tc>
          <w:tcPr>
            <w:tcW w:w="2117" w:type="dxa"/>
            <w:tcBorders>
              <w:top w:val="nil" w:sz="6" w:space="0" w:color="auto"/>
              <w:left w:val="nil" w:sz="6" w:space="0" w:color="auto"/>
              <w:bottom w:val="nil" w:sz="6" w:space="0" w:color="auto"/>
              <w:right w:val="nil" w:sz="6" w:space="0" w:color="auto"/>
            </w:tcBorders>
          </w:tcPr>
          <w:p>
            <w:pPr>
              <w:pStyle w:val="TableParagraph"/>
              <w:spacing w:line="240" w:lineRule="auto" w:before="56"/>
              <w:ind w:left="433" w:right="0"/>
              <w:jc w:val="left"/>
              <w:rPr>
                <w:rFonts w:ascii="宋体" w:hAnsi="宋体" w:cs="宋体" w:eastAsia="宋体" w:hint="default"/>
                <w:sz w:val="16"/>
                <w:szCs w:val="16"/>
              </w:rPr>
            </w:pPr>
            <w:r>
              <w:rPr>
                <w:rFonts w:ascii="宋体" w:hAnsi="宋体" w:cs="宋体" w:eastAsia="宋体" w:hint="default"/>
                <w:sz w:val="16"/>
                <w:szCs w:val="16"/>
              </w:rPr>
              <w:t>年初账面余额</w:t>
            </w:r>
          </w:p>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052" w:right="0"/>
              <w:jc w:val="left"/>
              <w:rPr>
                <w:rFonts w:ascii="Times New Roman" w:hAnsi="Times New Roman" w:cs="Times New Roman" w:eastAsia="Times New Roman" w:hint="default"/>
                <w:sz w:val="16"/>
                <w:szCs w:val="16"/>
              </w:rPr>
            </w:pPr>
            <w:r>
              <w:rPr>
                <w:rFonts w:ascii="Times New Roman"/>
                <w:sz w:val="16"/>
              </w:rPr>
              <w:t>493,290,110.79</w:t>
            </w:r>
          </w:p>
        </w:tc>
      </w:tr>
      <w:tr>
        <w:trPr>
          <w:trHeight w:val="353" w:hRule="exact"/>
        </w:trPr>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加工费</w:t>
            </w:r>
          </w:p>
        </w:tc>
        <w:tc>
          <w:tcPr>
            <w:tcW w:w="1779" w:type="dxa"/>
            <w:tcBorders>
              <w:top w:val="nil" w:sz="6" w:space="0" w:color="auto"/>
              <w:left w:val="nil" w:sz="6" w:space="0" w:color="auto"/>
              <w:bottom w:val="nil" w:sz="6" w:space="0" w:color="auto"/>
              <w:right w:val="nil" w:sz="6" w:space="0" w:color="auto"/>
            </w:tcBorders>
          </w:tcPr>
          <w:p>
            <w:pPr/>
          </w:p>
        </w:tc>
        <w:tc>
          <w:tcPr>
            <w:tcW w:w="307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31"/>
              <w:jc w:val="right"/>
              <w:rPr>
                <w:rFonts w:ascii="Times New Roman" w:hAnsi="Times New Roman" w:cs="Times New Roman" w:eastAsia="Times New Roman" w:hint="default"/>
                <w:sz w:val="16"/>
                <w:szCs w:val="16"/>
              </w:rPr>
            </w:pPr>
            <w:r>
              <w:rPr>
                <w:rFonts w:ascii="Times New Roman"/>
                <w:spacing w:val="-1"/>
                <w:sz w:val="16"/>
              </w:rPr>
              <w:t>2,974,544.73</w:t>
            </w:r>
          </w:p>
        </w:tc>
        <w:tc>
          <w:tcPr>
            <w:tcW w:w="211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20,519,160.80</w:t>
            </w:r>
          </w:p>
        </w:tc>
      </w:tr>
      <w:tr>
        <w:trPr>
          <w:trHeight w:val="353" w:hRule="exact"/>
        </w:trPr>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租赁款</w:t>
            </w:r>
          </w:p>
        </w:tc>
        <w:tc>
          <w:tcPr>
            <w:tcW w:w="1779" w:type="dxa"/>
            <w:tcBorders>
              <w:top w:val="nil" w:sz="6" w:space="0" w:color="auto"/>
              <w:left w:val="nil" w:sz="6" w:space="0" w:color="auto"/>
              <w:bottom w:val="nil" w:sz="6" w:space="0" w:color="auto"/>
              <w:right w:val="nil" w:sz="6" w:space="0" w:color="auto"/>
            </w:tcBorders>
          </w:tcPr>
          <w:p>
            <w:pPr/>
          </w:p>
        </w:tc>
        <w:tc>
          <w:tcPr>
            <w:tcW w:w="307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31"/>
              <w:jc w:val="right"/>
              <w:rPr>
                <w:rFonts w:ascii="Times New Roman" w:hAnsi="Times New Roman" w:cs="Times New Roman" w:eastAsia="Times New Roman" w:hint="default"/>
                <w:sz w:val="16"/>
                <w:szCs w:val="16"/>
              </w:rPr>
            </w:pPr>
            <w:r>
              <w:rPr>
                <w:rFonts w:ascii="Times New Roman"/>
                <w:spacing w:val="-1"/>
                <w:sz w:val="16"/>
              </w:rPr>
              <w:t>2,506,761.72</w:t>
            </w:r>
          </w:p>
        </w:tc>
        <w:tc>
          <w:tcPr>
            <w:tcW w:w="211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1,483,833.53</w:t>
            </w:r>
          </w:p>
        </w:tc>
      </w:tr>
      <w:tr>
        <w:trPr>
          <w:trHeight w:val="353" w:hRule="exact"/>
        </w:trPr>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保证金、押金</w:t>
            </w:r>
          </w:p>
        </w:tc>
        <w:tc>
          <w:tcPr>
            <w:tcW w:w="1779" w:type="dxa"/>
            <w:tcBorders>
              <w:top w:val="nil" w:sz="6" w:space="0" w:color="auto"/>
              <w:left w:val="nil" w:sz="6" w:space="0" w:color="auto"/>
              <w:bottom w:val="nil" w:sz="6" w:space="0" w:color="auto"/>
              <w:right w:val="nil" w:sz="6" w:space="0" w:color="auto"/>
            </w:tcBorders>
          </w:tcPr>
          <w:p>
            <w:pPr/>
          </w:p>
        </w:tc>
        <w:tc>
          <w:tcPr>
            <w:tcW w:w="307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31"/>
              <w:jc w:val="right"/>
              <w:rPr>
                <w:rFonts w:ascii="Times New Roman" w:hAnsi="Times New Roman" w:cs="Times New Roman" w:eastAsia="Times New Roman" w:hint="default"/>
                <w:sz w:val="16"/>
                <w:szCs w:val="16"/>
              </w:rPr>
            </w:pPr>
            <w:r>
              <w:rPr>
                <w:rFonts w:ascii="Times New Roman"/>
                <w:spacing w:val="-1"/>
                <w:sz w:val="16"/>
              </w:rPr>
              <w:t>1,852,181.01</w:t>
            </w:r>
          </w:p>
        </w:tc>
        <w:tc>
          <w:tcPr>
            <w:tcW w:w="211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4,472,854.39</w:t>
            </w:r>
          </w:p>
        </w:tc>
      </w:tr>
      <w:tr>
        <w:trPr>
          <w:trHeight w:val="353" w:hRule="exact"/>
        </w:trPr>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备用金</w:t>
            </w:r>
          </w:p>
        </w:tc>
        <w:tc>
          <w:tcPr>
            <w:tcW w:w="1779" w:type="dxa"/>
            <w:tcBorders>
              <w:top w:val="nil" w:sz="6" w:space="0" w:color="auto"/>
              <w:left w:val="nil" w:sz="6" w:space="0" w:color="auto"/>
              <w:bottom w:val="nil" w:sz="6" w:space="0" w:color="auto"/>
              <w:right w:val="nil" w:sz="6" w:space="0" w:color="auto"/>
            </w:tcBorders>
          </w:tcPr>
          <w:p>
            <w:pPr/>
          </w:p>
        </w:tc>
        <w:tc>
          <w:tcPr>
            <w:tcW w:w="307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31"/>
              <w:jc w:val="right"/>
              <w:rPr>
                <w:rFonts w:ascii="Times New Roman" w:hAnsi="Times New Roman" w:cs="Times New Roman" w:eastAsia="Times New Roman" w:hint="default"/>
                <w:sz w:val="16"/>
                <w:szCs w:val="16"/>
              </w:rPr>
            </w:pPr>
            <w:r>
              <w:rPr>
                <w:rFonts w:ascii="Times New Roman"/>
                <w:spacing w:val="-1"/>
                <w:sz w:val="16"/>
              </w:rPr>
              <w:t>1,451,908.73</w:t>
            </w:r>
          </w:p>
        </w:tc>
        <w:tc>
          <w:tcPr>
            <w:tcW w:w="211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2,950,930.95</w:t>
            </w:r>
          </w:p>
        </w:tc>
      </w:tr>
      <w:tr>
        <w:trPr>
          <w:trHeight w:val="354" w:hRule="exact"/>
        </w:trPr>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出口退税</w:t>
            </w:r>
          </w:p>
        </w:tc>
        <w:tc>
          <w:tcPr>
            <w:tcW w:w="1779" w:type="dxa"/>
            <w:tcBorders>
              <w:top w:val="nil" w:sz="6" w:space="0" w:color="auto"/>
              <w:left w:val="nil" w:sz="6" w:space="0" w:color="auto"/>
              <w:bottom w:val="nil" w:sz="6" w:space="0" w:color="auto"/>
              <w:right w:val="nil" w:sz="6" w:space="0" w:color="auto"/>
            </w:tcBorders>
          </w:tcPr>
          <w:p>
            <w:pPr/>
          </w:p>
        </w:tc>
        <w:tc>
          <w:tcPr>
            <w:tcW w:w="3074" w:type="dxa"/>
            <w:tcBorders>
              <w:top w:val="nil" w:sz="6" w:space="0" w:color="auto"/>
              <w:left w:val="nil" w:sz="6" w:space="0" w:color="auto"/>
              <w:bottom w:val="nil" w:sz="6" w:space="0" w:color="auto"/>
              <w:right w:val="nil" w:sz="6" w:space="0" w:color="auto"/>
            </w:tcBorders>
          </w:tcPr>
          <w:p>
            <w:pPr/>
          </w:p>
        </w:tc>
        <w:tc>
          <w:tcPr>
            <w:tcW w:w="211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9,840,303.18</w:t>
            </w:r>
          </w:p>
        </w:tc>
      </w:tr>
      <w:tr>
        <w:trPr>
          <w:trHeight w:val="353" w:hRule="exact"/>
        </w:trPr>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1779" w:type="dxa"/>
            <w:tcBorders>
              <w:top w:val="nil" w:sz="6" w:space="0" w:color="auto"/>
              <w:left w:val="nil" w:sz="6" w:space="0" w:color="auto"/>
              <w:bottom w:val="nil" w:sz="6" w:space="0" w:color="auto"/>
              <w:right w:val="nil" w:sz="6" w:space="0" w:color="auto"/>
            </w:tcBorders>
          </w:tcPr>
          <w:p>
            <w:pPr/>
          </w:p>
        </w:tc>
        <w:tc>
          <w:tcPr>
            <w:tcW w:w="307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31"/>
              <w:jc w:val="right"/>
              <w:rPr>
                <w:rFonts w:ascii="Times New Roman" w:hAnsi="Times New Roman" w:cs="Times New Roman" w:eastAsia="Times New Roman" w:hint="default"/>
                <w:sz w:val="16"/>
                <w:szCs w:val="16"/>
              </w:rPr>
            </w:pPr>
            <w:r>
              <w:rPr>
                <w:rFonts w:ascii="Times New Roman"/>
                <w:spacing w:val="-1"/>
                <w:sz w:val="16"/>
              </w:rPr>
              <w:t>18,071,037.06</w:t>
            </w:r>
          </w:p>
        </w:tc>
        <w:tc>
          <w:tcPr>
            <w:tcW w:w="211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8"/>
              <w:jc w:val="right"/>
              <w:rPr>
                <w:rFonts w:ascii="Times New Roman" w:hAnsi="Times New Roman" w:cs="Times New Roman" w:eastAsia="Times New Roman" w:hint="default"/>
                <w:sz w:val="16"/>
                <w:szCs w:val="16"/>
              </w:rPr>
            </w:pPr>
            <w:r>
              <w:rPr>
                <w:rFonts w:ascii="Times New Roman"/>
                <w:spacing w:val="-1"/>
                <w:sz w:val="16"/>
              </w:rPr>
              <w:t>2,958,134.12</w:t>
            </w:r>
          </w:p>
        </w:tc>
      </w:tr>
      <w:tr>
        <w:trPr>
          <w:trHeight w:val="357" w:hRule="exact"/>
        </w:trPr>
        <w:tc>
          <w:tcPr>
            <w:tcW w:w="1142" w:type="dxa"/>
            <w:tcBorders>
              <w:top w:val="nil" w:sz="6" w:space="0" w:color="auto"/>
              <w:left w:val="nil" w:sz="6" w:space="0" w:color="auto"/>
              <w:bottom w:val="nil" w:sz="6" w:space="0" w:color="auto"/>
              <w:right w:val="nil" w:sz="6" w:space="0" w:color="auto"/>
            </w:tcBorders>
          </w:tcPr>
          <w:p>
            <w:pPr/>
          </w:p>
        </w:tc>
        <w:tc>
          <w:tcPr>
            <w:tcW w:w="1779"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911"/>
              <w:jc w:val="center"/>
              <w:rPr>
                <w:rFonts w:ascii="宋体" w:hAnsi="宋体" w:cs="宋体" w:eastAsia="宋体" w:hint="default"/>
                <w:sz w:val="16"/>
                <w:szCs w:val="16"/>
              </w:rPr>
            </w:pPr>
            <w:r>
              <w:rPr>
                <w:rFonts w:ascii="宋体" w:hAnsi="宋体" w:cs="宋体" w:eastAsia="宋体" w:hint="default"/>
                <w:sz w:val="16"/>
                <w:szCs w:val="16"/>
              </w:rPr>
              <w:t>合计</w:t>
            </w:r>
          </w:p>
        </w:tc>
        <w:tc>
          <w:tcPr>
            <w:tcW w:w="307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31"/>
              <w:jc w:val="right"/>
              <w:rPr>
                <w:rFonts w:ascii="Times New Roman" w:hAnsi="Times New Roman" w:cs="Times New Roman" w:eastAsia="Times New Roman" w:hint="default"/>
                <w:sz w:val="16"/>
                <w:szCs w:val="16"/>
              </w:rPr>
            </w:pPr>
            <w:r>
              <w:rPr>
                <w:rFonts w:ascii="Times New Roman"/>
                <w:spacing w:val="-1"/>
                <w:sz w:val="16"/>
              </w:rPr>
              <w:t>491,394,080.14</w:t>
            </w:r>
          </w:p>
        </w:tc>
        <w:tc>
          <w:tcPr>
            <w:tcW w:w="2117"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68"/>
              <w:jc w:val="right"/>
              <w:rPr>
                <w:rFonts w:ascii="Times New Roman" w:hAnsi="Times New Roman" w:cs="Times New Roman" w:eastAsia="Times New Roman" w:hint="default"/>
                <w:sz w:val="16"/>
                <w:szCs w:val="16"/>
              </w:rPr>
            </w:pPr>
            <w:r>
              <w:rPr>
                <w:rFonts w:ascii="Times New Roman"/>
                <w:spacing w:val="-1"/>
                <w:sz w:val="16"/>
              </w:rPr>
              <w:t>535,515,327.76</w:t>
            </w:r>
          </w:p>
        </w:tc>
      </w:tr>
    </w:tbl>
    <w:p>
      <w:pPr>
        <w:spacing w:after="0" w:line="240" w:lineRule="auto"/>
        <w:jc w:val="right"/>
        <w:rPr>
          <w:rFonts w:ascii="Times New Roman" w:hAnsi="Times New Roman" w:cs="Times New Roman" w:eastAsia="Times New Roman" w:hint="default"/>
          <w:sz w:val="16"/>
          <w:szCs w:val="16"/>
        </w:rPr>
        <w:sectPr>
          <w:footerReference w:type="default" r:id="rId513"/>
          <w:pgSz w:w="11910" w:h="16840"/>
          <w:pgMar w:footer="1001" w:header="0" w:top="1520" w:bottom="1200" w:left="1660" w:right="0"/>
          <w:pgNumType w:start="119"/>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4"/>
          <w:szCs w:val="24"/>
        </w:rPr>
      </w:pPr>
    </w:p>
    <w:p>
      <w:pPr>
        <w:pStyle w:val="BodyText"/>
        <w:spacing w:line="240" w:lineRule="auto" w:before="35"/>
        <w:ind w:right="1793"/>
        <w:jc w:val="left"/>
      </w:pPr>
      <w:r>
        <w:rPr/>
        <w:pict>
          <v:group style="position:absolute;margin-left:119.010002pt;margin-top:17.073973pt;width:411.95pt;height:174.25pt;mso-position-horizontal-relative:page;mso-position-vertical-relative:paragraph;z-index:-1358392" coordorigin="2380,341" coordsize="8239,3485">
            <v:group style="position:absolute;left:2410;top:356;width:2183;height:2" coordorigin="2410,356" coordsize="2183,2">
              <v:shape style="position:absolute;left:2410;top:356;width:2183;height:2" coordorigin="2410,356" coordsize="2183,0" path="m2410,356l4592,356e" filled="false" stroked="true" strokeweight="1.5pt" strokecolor="#000000">
                <v:path arrowok="t"/>
              </v:shape>
              <v:shape style="position:absolute;left:4592;top:371;width:10;height:28" type="#_x0000_t75" stroked="false">
                <v:imagedata r:id="rId96" o:title=""/>
              </v:shape>
            </v:group>
            <v:group style="position:absolute;left:4592;top:356;width:1041;height:2" coordorigin="4592,356" coordsize="1041,2">
              <v:shape style="position:absolute;left:4592;top:356;width:1041;height:2" coordorigin="4592,356" coordsize="1041,0" path="m4592,356l5633,356e" filled="false" stroked="true" strokeweight="1.5pt" strokecolor="#000000">
                <v:path arrowok="t"/>
              </v:shape>
              <v:shape style="position:absolute;left:5633;top:371;width:10;height:28" type="#_x0000_t75" stroked="false">
                <v:imagedata r:id="rId96" o:title=""/>
              </v:shape>
            </v:group>
            <v:group style="position:absolute;left:5633;top:356;width:1486;height:2" coordorigin="5633,356" coordsize="1486,2">
              <v:shape style="position:absolute;left:5633;top:356;width:1486;height:2" coordorigin="5633,356" coordsize="1486,0" path="m5633,356l7118,356e" filled="false" stroked="true" strokeweight="1.5pt" strokecolor="#000000">
                <v:path arrowok="t"/>
              </v:shape>
              <v:shape style="position:absolute;left:7118;top:371;width:10;height:28" type="#_x0000_t75" stroked="false">
                <v:imagedata r:id="rId96" o:title=""/>
              </v:shape>
            </v:group>
            <v:group style="position:absolute;left:7118;top:356;width:892;height:2" coordorigin="7118,356" coordsize="892,2">
              <v:shape style="position:absolute;left:7118;top:356;width:892;height:2" coordorigin="7118,356" coordsize="892,0" path="m7118,356l8010,356e" filled="false" stroked="true" strokeweight="1.5pt" strokecolor="#000000">
                <v:path arrowok="t"/>
              </v:shape>
              <v:shape style="position:absolute;left:8010;top:371;width:10;height:28" type="#_x0000_t75" stroked="false">
                <v:imagedata r:id="rId96" o:title=""/>
              </v:shape>
            </v:group>
            <v:group style="position:absolute;left:8010;top:356;width:1188;height:2" coordorigin="8010,356" coordsize="1188,2">
              <v:shape style="position:absolute;left:8010;top:356;width:1188;height:2" coordorigin="8010,356" coordsize="1188,0" path="m8010,356l9198,356e" filled="false" stroked="true" strokeweight="1.5pt" strokecolor="#000000">
                <v:path arrowok="t"/>
              </v:shape>
              <v:shape style="position:absolute;left:9198;top:371;width:10;height:28" type="#_x0000_t75" stroked="false">
                <v:imagedata r:id="rId96" o:title=""/>
              </v:shape>
            </v:group>
            <v:group style="position:absolute;left:9198;top:356;width:1400;height:2" coordorigin="9198,356" coordsize="1400,2">
              <v:shape style="position:absolute;left:9198;top:356;width:1400;height:2" coordorigin="9198,356" coordsize="1400,0" path="m9198,356l10597,356e" filled="false" stroked="true" strokeweight="1.5pt" strokecolor="#000000">
                <v:path arrowok="t"/>
              </v:shape>
              <v:shape style="position:absolute;left:4573;top:380;width:4654;height:682" type="#_x0000_t75" stroked="false">
                <v:imagedata r:id="rId525" o:title=""/>
              </v:shape>
            </v:group>
            <v:group style="position:absolute;left:2395;top:3811;width:2198;height:2" coordorigin="2395,3811" coordsize="2198,2">
              <v:shape style="position:absolute;left:2395;top:3811;width:2198;height:2" coordorigin="2395,3811" coordsize="2198,0" path="m2395,3811l4592,3811e" filled="false" stroked="true" strokeweight="1.5pt" strokecolor="#000000">
                <v:path arrowok="t"/>
              </v:shape>
            </v:group>
            <v:group style="position:absolute;left:4592;top:3811;width:1041;height:2" coordorigin="4592,3811" coordsize="1041,2">
              <v:shape style="position:absolute;left:4592;top:3811;width:1041;height:2" coordorigin="4592,3811" coordsize="1041,0" path="m4592,3811l5633,3811e" filled="false" stroked="true" strokeweight="1.5pt" strokecolor="#000000">
                <v:path arrowok="t"/>
              </v:shape>
            </v:group>
            <v:group style="position:absolute;left:5633;top:3811;width:1486;height:2" coordorigin="5633,3811" coordsize="1486,2">
              <v:shape style="position:absolute;left:5633;top:3811;width:1486;height:2" coordorigin="5633,3811" coordsize="1486,0" path="m5633,3811l7118,3811e" filled="false" stroked="true" strokeweight="1.5pt" strokecolor="#000000">
                <v:path arrowok="t"/>
              </v:shape>
            </v:group>
            <v:group style="position:absolute;left:7118;top:3811;width:892;height:2" coordorigin="7118,3811" coordsize="892,2">
              <v:shape style="position:absolute;left:7118;top:3811;width:892;height:2" coordorigin="7118,3811" coordsize="892,0" path="m7118,3811l8010,3811e" filled="false" stroked="true" strokeweight="1.5pt" strokecolor="#000000">
                <v:path arrowok="t"/>
              </v:shape>
            </v:group>
            <v:group style="position:absolute;left:8010;top:3811;width:1188;height:2" coordorigin="8010,3811" coordsize="1188,2">
              <v:shape style="position:absolute;left:8010;top:3811;width:1188;height:2" coordorigin="8010,3811" coordsize="1188,0" path="m8010,3811l9198,3811e" filled="false" stroked="true" strokeweight="1.5pt" strokecolor="#000000">
                <v:path arrowok="t"/>
              </v:shape>
              <v:shape style="position:absolute;left:2390;top:1023;width:8228;height:2773" type="#_x0000_t75" stroked="false">
                <v:imagedata r:id="rId526" o:title=""/>
              </v:shape>
            </v:group>
            <v:group style="position:absolute;left:9198;top:3811;width:1400;height:2" coordorigin="9198,3811" coordsize="1400,2">
              <v:shape style="position:absolute;left:9198;top:3811;width:1400;height:2" coordorigin="9198,3811" coordsize="1400,0" path="m9198,3811l10597,3811e" filled="false" stroked="true" strokeweight="1.5pt" strokecolor="#000000">
                <v:path arrowok="t"/>
              </v:shape>
              <v:shape style="position:absolute;left:3184;top:626;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单位名称</w:t>
                      </w:r>
                      <w:r>
                        <w:rPr>
                          <w:rFonts w:ascii="宋体" w:hAnsi="宋体" w:cs="宋体" w:eastAsia="宋体" w:hint="default"/>
                          <w:sz w:val="16"/>
                          <w:szCs w:val="16"/>
                        </w:rPr>
                      </w:r>
                    </w:p>
                  </w:txbxContent>
                </v:textbox>
                <w10:wrap type="none"/>
              </v:shape>
              <v:shape style="position:absolute;left:8488;top:847;width:240;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pacing w:val="-1"/>
                          <w:sz w:val="16"/>
                        </w:rPr>
                        <w:t>(%)</w:t>
                      </w:r>
                      <w:r>
                        <w:rPr>
                          <w:rFonts w:ascii="Times New Roman"/>
                          <w:sz w:val="16"/>
                        </w:rPr>
                      </w:r>
                    </w:p>
                  </w:txbxContent>
                </v:textbox>
                <w10:wrap type="none"/>
              </v:shape>
              <v:shape style="position:absolute;left:2518;top:1103;width:1919;height:2603"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湖南长城信息金融设备有限</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责任公司</w:t>
                      </w:r>
                    </w:p>
                    <w:p>
                      <w:pPr>
                        <w:spacing w:before="64"/>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深圳中电长城信息安全系统</w:t>
                      </w:r>
                      <w:r>
                        <w:rPr>
                          <w:rFonts w:ascii="宋体" w:hAnsi="宋体" w:cs="宋体" w:eastAsia="宋体" w:hint="default"/>
                          <w:spacing w:val="18"/>
                          <w:w w:val="95"/>
                          <w:sz w:val="16"/>
                          <w:szCs w:val="16"/>
                        </w:rPr>
                        <w:t> </w:t>
                      </w:r>
                      <w:r>
                        <w:rPr>
                          <w:rFonts w:ascii="宋体" w:hAnsi="宋体" w:cs="宋体" w:eastAsia="宋体" w:hint="default"/>
                          <w:spacing w:val="18"/>
                          <w:w w:val="95"/>
                          <w:sz w:val="16"/>
                          <w:szCs w:val="16"/>
                        </w:rPr>
                      </w:r>
                      <w:r>
                        <w:rPr>
                          <w:rFonts w:ascii="宋体" w:hAnsi="宋体" w:cs="宋体" w:eastAsia="宋体" w:hint="default"/>
                          <w:sz w:val="16"/>
                          <w:szCs w:val="16"/>
                        </w:rPr>
                        <w:t>有限公司</w:t>
                      </w:r>
                    </w:p>
                    <w:p>
                      <w:pPr>
                        <w:spacing w:line="240" w:lineRule="auto" w:before="10"/>
                        <w:rPr>
                          <w:rFonts w:ascii="宋体" w:hAnsi="宋体" w:cs="宋体" w:eastAsia="宋体" w:hint="default"/>
                          <w:b/>
                          <w:bCs/>
                          <w:sz w:val="12"/>
                          <w:szCs w:val="12"/>
                        </w:rPr>
                      </w:pPr>
                    </w:p>
                    <w:p>
                      <w:pPr>
                        <w:spacing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湖南长城医疗科技有限公司</w:t>
                      </w:r>
                      <w:r>
                        <w:rPr>
                          <w:rFonts w:ascii="宋体" w:hAnsi="宋体" w:cs="宋体" w:eastAsia="宋体" w:hint="default"/>
                          <w:sz w:val="16"/>
                          <w:szCs w:val="16"/>
                        </w:rPr>
                      </w:r>
                    </w:p>
                    <w:p>
                      <w:pPr>
                        <w:spacing w:line="240" w:lineRule="auto" w:before="10"/>
                        <w:rPr>
                          <w:rFonts w:ascii="宋体" w:hAnsi="宋体" w:cs="宋体" w:eastAsia="宋体" w:hint="default"/>
                          <w:b/>
                          <w:bCs/>
                          <w:sz w:val="12"/>
                          <w:szCs w:val="12"/>
                        </w:rPr>
                      </w:pPr>
                    </w:p>
                    <w:p>
                      <w:pPr>
                        <w:spacing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北京圣非凡电子系统技术开</w:t>
                      </w:r>
                      <w:r>
                        <w:rPr>
                          <w:rFonts w:ascii="宋体" w:hAnsi="宋体" w:cs="宋体" w:eastAsia="宋体" w:hint="default"/>
                          <w:spacing w:val="18"/>
                          <w:w w:val="95"/>
                          <w:sz w:val="16"/>
                          <w:szCs w:val="16"/>
                        </w:rPr>
                        <w:t> </w:t>
                      </w:r>
                      <w:r>
                        <w:rPr>
                          <w:rFonts w:ascii="宋体" w:hAnsi="宋体" w:cs="宋体" w:eastAsia="宋体" w:hint="default"/>
                          <w:spacing w:val="18"/>
                          <w:w w:val="95"/>
                          <w:sz w:val="16"/>
                          <w:szCs w:val="16"/>
                        </w:rPr>
                      </w:r>
                      <w:r>
                        <w:rPr>
                          <w:rFonts w:ascii="宋体" w:hAnsi="宋体" w:cs="宋体" w:eastAsia="宋体" w:hint="default"/>
                          <w:sz w:val="16"/>
                          <w:szCs w:val="16"/>
                        </w:rPr>
                        <w:t>发有限公司</w:t>
                      </w:r>
                    </w:p>
                    <w:p>
                      <w:pPr>
                        <w:spacing w:before="64"/>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湖南长城计算机系统有限公</w:t>
                      </w:r>
                      <w:r>
                        <w:rPr>
                          <w:rFonts w:ascii="宋体" w:hAnsi="宋体" w:cs="宋体" w:eastAsia="宋体" w:hint="default"/>
                          <w:spacing w:val="18"/>
                          <w:w w:val="95"/>
                          <w:sz w:val="16"/>
                          <w:szCs w:val="16"/>
                        </w:rPr>
                        <w:t> </w:t>
                      </w:r>
                      <w:r>
                        <w:rPr>
                          <w:rFonts w:ascii="宋体" w:hAnsi="宋体" w:cs="宋体" w:eastAsia="宋体" w:hint="default"/>
                          <w:spacing w:val="18"/>
                          <w:w w:val="95"/>
                          <w:sz w:val="16"/>
                          <w:szCs w:val="16"/>
                        </w:rPr>
                      </w:r>
                      <w:r>
                        <w:rPr>
                          <w:rFonts w:ascii="宋体" w:hAnsi="宋体" w:cs="宋体" w:eastAsia="宋体" w:hint="default"/>
                          <w:sz w:val="16"/>
                          <w:szCs w:val="16"/>
                        </w:rPr>
                        <w:t>司</w:t>
                      </w:r>
                    </w:p>
                    <w:p>
                      <w:pPr>
                        <w:spacing w:before="102"/>
                        <w:ind w:left="51" w:right="0" w:firstLine="0"/>
                        <w:jc w:val="center"/>
                        <w:rPr>
                          <w:rFonts w:ascii="宋体" w:hAnsi="宋体" w:cs="宋体" w:eastAsia="宋体" w:hint="default"/>
                          <w:sz w:val="16"/>
                          <w:szCs w:val="16"/>
                        </w:rPr>
                      </w:pPr>
                      <w:r>
                        <w:rPr>
                          <w:rFonts w:ascii="宋体" w:hAnsi="宋体" w:cs="宋体" w:eastAsia="宋体" w:hint="default"/>
                          <w:sz w:val="16"/>
                          <w:szCs w:val="16"/>
                        </w:rPr>
                        <w:t>合计</w:t>
                      </w:r>
                    </w:p>
                  </w:txbxContent>
                </v:textbox>
                <w10:wrap type="none"/>
              </v:shape>
            </v:group>
            <w10:wrap type="none"/>
          </v:group>
        </w:pict>
      </w:r>
      <w:r>
        <w:rPr/>
        <w:t>（</w:t>
      </w:r>
      <w:r>
        <w:rPr>
          <w:rFonts w:ascii="Times New Roman" w:hAnsi="Times New Roman" w:cs="Times New Roman" w:eastAsia="Times New Roman" w:hint="default"/>
        </w:rPr>
        <w:t>4</w:t>
      </w:r>
      <w:r>
        <w:rPr/>
        <w:t>）按欠款方归集的期末余额前五名的其他应收款情况</w:t>
      </w:r>
    </w:p>
    <w:tbl>
      <w:tblPr>
        <w:tblW w:w="0" w:type="auto"/>
        <w:jc w:val="left"/>
        <w:tblInd w:w="3010" w:type="dxa"/>
        <w:tblLayout w:type="fixed"/>
        <w:tblCellMar>
          <w:top w:w="0" w:type="dxa"/>
          <w:left w:w="0" w:type="dxa"/>
          <w:bottom w:w="0" w:type="dxa"/>
          <w:right w:w="0" w:type="dxa"/>
        </w:tblCellMar>
        <w:tblLook w:val="01E0"/>
      </w:tblPr>
      <w:tblGrid>
        <w:gridCol w:w="1089"/>
        <w:gridCol w:w="1363"/>
        <w:gridCol w:w="1159"/>
        <w:gridCol w:w="1050"/>
        <w:gridCol w:w="1228"/>
      </w:tblGrid>
      <w:tr>
        <w:trPr>
          <w:trHeight w:val="861" w:hRule="exact"/>
        </w:trPr>
        <w:tc>
          <w:tcPr>
            <w:tcW w:w="5889" w:type="dxa"/>
            <w:gridSpan w:val="5"/>
            <w:tcBorders>
              <w:top w:val="nil" w:sz="6" w:space="0" w:color="auto"/>
              <w:left w:val="nil" w:sz="6" w:space="0" w:color="auto"/>
              <w:bottom w:val="nil" w:sz="6" w:space="0" w:color="auto"/>
              <w:right w:val="nil" w:sz="6" w:space="0" w:color="auto"/>
            </w:tcBorders>
          </w:tcPr>
          <w:p>
            <w:pPr>
              <w:pStyle w:val="TableParagraph"/>
              <w:tabs>
                <w:tab w:pos="1389" w:val="left" w:leader="none"/>
                <w:tab w:pos="2737" w:val="left" w:leader="none"/>
                <w:tab w:pos="3457" w:val="left" w:leader="none"/>
                <w:tab w:pos="4668" w:val="left" w:leader="none"/>
                <w:tab w:pos="5148" w:val="left" w:leader="none"/>
              </w:tabs>
              <w:spacing w:line="160" w:lineRule="auto" w:before="122"/>
              <w:ind w:left="127" w:right="100" w:firstLine="3330"/>
              <w:jc w:val="left"/>
              <w:rPr>
                <w:rFonts w:ascii="宋体" w:hAnsi="宋体" w:cs="宋体" w:eastAsia="宋体" w:hint="default"/>
                <w:sz w:val="16"/>
                <w:szCs w:val="16"/>
              </w:rPr>
            </w:pPr>
            <w:r>
              <w:rPr>
                <w:rFonts w:ascii="宋体" w:hAnsi="宋体" w:cs="宋体" w:eastAsia="宋体" w:hint="default"/>
                <w:w w:val="95"/>
                <w:position w:val="10"/>
                <w:sz w:val="16"/>
                <w:szCs w:val="16"/>
              </w:rPr>
              <w:t>占其他应收款</w:t>
              <w:tab/>
            </w:r>
            <w:r>
              <w:rPr>
                <w:rFonts w:ascii="宋体" w:hAnsi="宋体" w:cs="宋体" w:eastAsia="宋体" w:hint="default"/>
                <w:sz w:val="16"/>
                <w:szCs w:val="16"/>
              </w:rPr>
              <w:t>坏账准备期末余</w:t>
            </w:r>
            <w:r>
              <w:rPr>
                <w:rFonts w:ascii="宋体" w:hAnsi="宋体" w:cs="宋体" w:eastAsia="宋体" w:hint="default"/>
                <w:w w:val="99"/>
                <w:sz w:val="16"/>
                <w:szCs w:val="16"/>
              </w:rPr>
              <w:t> </w:t>
            </w:r>
            <w:r>
              <w:rPr>
                <w:rFonts w:ascii="宋体" w:hAnsi="宋体" w:cs="宋体" w:eastAsia="宋体" w:hint="default"/>
                <w:w w:val="95"/>
                <w:sz w:val="16"/>
                <w:szCs w:val="16"/>
              </w:rPr>
              <w:t>款项性质</w:t>
              <w:tab/>
              <w:t>期末余额</w:t>
              <w:tab/>
              <w:t>账龄</w:t>
              <w:tab/>
              <w:t>合计数的比例</w:t>
              <w:tab/>
              <w:tab/>
            </w:r>
            <w:r>
              <w:rPr>
                <w:rFonts w:ascii="宋体" w:hAnsi="宋体" w:cs="宋体" w:eastAsia="宋体" w:hint="default"/>
                <w:position w:val="-9"/>
                <w:sz w:val="16"/>
                <w:szCs w:val="16"/>
              </w:rPr>
              <w:t>额</w:t>
            </w:r>
            <w:r>
              <w:rPr>
                <w:rFonts w:ascii="宋体" w:hAnsi="宋体" w:cs="宋体" w:eastAsia="宋体" w:hint="default"/>
                <w:sz w:val="16"/>
                <w:szCs w:val="16"/>
              </w:rPr>
            </w:r>
          </w:p>
        </w:tc>
      </w:tr>
      <w:tr>
        <w:trPr>
          <w:trHeight w:val="328" w:hRule="exact"/>
        </w:trPr>
        <w:tc>
          <w:tcPr>
            <w:tcW w:w="1089" w:type="dxa"/>
            <w:tcBorders>
              <w:top w:val="nil" w:sz="6" w:space="0" w:color="auto"/>
              <w:left w:val="nil" w:sz="6" w:space="0" w:color="auto"/>
              <w:bottom w:val="nil" w:sz="6" w:space="0" w:color="auto"/>
              <w:right w:val="nil" w:sz="6" w:space="0" w:color="auto"/>
            </w:tcBorders>
          </w:tcPr>
          <w:p>
            <w:pPr>
              <w:pStyle w:val="TableParagraph"/>
              <w:spacing w:line="160" w:lineRule="exact"/>
              <w:ind w:left="35" w:right="0"/>
              <w:jc w:val="left"/>
              <w:rPr>
                <w:rFonts w:ascii="宋体" w:hAnsi="宋体" w:cs="宋体" w:eastAsia="宋体" w:hint="default"/>
                <w:sz w:val="16"/>
                <w:szCs w:val="16"/>
              </w:rPr>
            </w:pPr>
            <w:r>
              <w:rPr>
                <w:rFonts w:ascii="宋体" w:hAnsi="宋体" w:cs="宋体" w:eastAsia="宋体" w:hint="default"/>
                <w:sz w:val="16"/>
                <w:szCs w:val="16"/>
              </w:rPr>
              <w:t>子公司往来</w:t>
            </w:r>
          </w:p>
        </w:tc>
        <w:tc>
          <w:tcPr>
            <w:tcW w:w="1363" w:type="dxa"/>
            <w:tcBorders>
              <w:top w:val="nil" w:sz="6" w:space="0" w:color="auto"/>
              <w:left w:val="nil" w:sz="6" w:space="0" w:color="auto"/>
              <w:bottom w:val="nil" w:sz="6" w:space="0" w:color="auto"/>
              <w:right w:val="nil" w:sz="6" w:space="0" w:color="auto"/>
            </w:tcBorders>
          </w:tcPr>
          <w:p>
            <w:pPr>
              <w:pStyle w:val="TableParagraph"/>
              <w:spacing w:line="178" w:lineRule="exact"/>
              <w:ind w:right="107"/>
              <w:jc w:val="right"/>
              <w:rPr>
                <w:rFonts w:ascii="Times New Roman" w:hAnsi="Times New Roman" w:cs="Times New Roman" w:eastAsia="Times New Roman" w:hint="default"/>
                <w:sz w:val="16"/>
                <w:szCs w:val="16"/>
              </w:rPr>
            </w:pPr>
            <w:r>
              <w:rPr>
                <w:rFonts w:ascii="Times New Roman"/>
                <w:spacing w:val="-1"/>
                <w:sz w:val="16"/>
              </w:rPr>
              <w:t>265,802,231.12</w:t>
            </w:r>
          </w:p>
        </w:tc>
        <w:tc>
          <w:tcPr>
            <w:tcW w:w="1159" w:type="dxa"/>
            <w:tcBorders>
              <w:top w:val="nil" w:sz="6" w:space="0" w:color="auto"/>
              <w:left w:val="nil" w:sz="6" w:space="0" w:color="auto"/>
              <w:bottom w:val="nil" w:sz="6" w:space="0" w:color="auto"/>
              <w:right w:val="nil" w:sz="6" w:space="0" w:color="auto"/>
            </w:tcBorders>
          </w:tcPr>
          <w:p>
            <w:pPr>
              <w:pStyle w:val="TableParagraph"/>
              <w:spacing w:line="172" w:lineRule="exact"/>
              <w:ind w:left="107"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至</w:t>
            </w:r>
            <w:r>
              <w:rPr>
                <w:rFonts w:ascii="宋体" w:hAnsi="宋体" w:cs="宋体" w:eastAsia="宋体" w:hint="default"/>
                <w:spacing w:val="-42"/>
                <w:sz w:val="16"/>
                <w:szCs w:val="16"/>
              </w:rPr>
              <w:t> </w:t>
            </w:r>
            <w:r>
              <w:rPr>
                <w:rFonts w:ascii="Times New Roman" w:hAnsi="Times New Roman" w:cs="Times New Roman" w:eastAsia="Times New Roman" w:hint="default"/>
                <w:sz w:val="16"/>
                <w:szCs w:val="16"/>
              </w:rPr>
              <w:t>4</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年</w:t>
            </w:r>
          </w:p>
        </w:tc>
        <w:tc>
          <w:tcPr>
            <w:tcW w:w="1050" w:type="dxa"/>
            <w:tcBorders>
              <w:top w:val="nil" w:sz="6" w:space="0" w:color="auto"/>
              <w:left w:val="nil" w:sz="6" w:space="0" w:color="auto"/>
              <w:bottom w:val="nil" w:sz="6" w:space="0" w:color="auto"/>
              <w:right w:val="nil" w:sz="6" w:space="0" w:color="auto"/>
            </w:tcBorders>
          </w:tcPr>
          <w:p>
            <w:pPr>
              <w:pStyle w:val="TableParagraph"/>
              <w:spacing w:line="178" w:lineRule="exact"/>
              <w:ind w:right="234"/>
              <w:jc w:val="right"/>
              <w:rPr>
                <w:rFonts w:ascii="Times New Roman" w:hAnsi="Times New Roman" w:cs="Times New Roman" w:eastAsia="Times New Roman" w:hint="default"/>
                <w:sz w:val="16"/>
                <w:szCs w:val="16"/>
              </w:rPr>
            </w:pPr>
            <w:r>
              <w:rPr>
                <w:rFonts w:ascii="Times New Roman"/>
                <w:spacing w:val="-1"/>
                <w:sz w:val="16"/>
              </w:rPr>
              <w:t>54.09</w:t>
            </w:r>
          </w:p>
        </w:tc>
        <w:tc>
          <w:tcPr>
            <w:tcW w:w="1228" w:type="dxa"/>
            <w:tcBorders>
              <w:top w:val="nil" w:sz="6" w:space="0" w:color="auto"/>
              <w:left w:val="nil" w:sz="6" w:space="0" w:color="auto"/>
              <w:bottom w:val="nil" w:sz="6" w:space="0" w:color="auto"/>
              <w:right w:val="nil" w:sz="6" w:space="0" w:color="auto"/>
            </w:tcBorders>
          </w:tcPr>
          <w:p>
            <w:pPr>
              <w:pStyle w:val="TableParagraph"/>
              <w:spacing w:line="178" w:lineRule="exact"/>
              <w:ind w:right="68"/>
              <w:jc w:val="right"/>
              <w:rPr>
                <w:rFonts w:ascii="Times New Roman" w:hAnsi="Times New Roman" w:cs="Times New Roman" w:eastAsia="Times New Roman" w:hint="default"/>
                <w:sz w:val="16"/>
                <w:szCs w:val="16"/>
              </w:rPr>
            </w:pPr>
            <w:r>
              <w:rPr>
                <w:rFonts w:ascii="Times New Roman"/>
                <w:spacing w:val="-1"/>
                <w:sz w:val="16"/>
              </w:rPr>
              <w:t>54,016,091.36</w:t>
            </w:r>
          </w:p>
        </w:tc>
      </w:tr>
      <w:tr>
        <w:trPr>
          <w:trHeight w:val="327" w:hRule="exact"/>
        </w:trPr>
        <w:tc>
          <w:tcPr>
            <w:tcW w:w="1089"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35" w:right="0"/>
              <w:jc w:val="left"/>
              <w:rPr>
                <w:rFonts w:ascii="宋体" w:hAnsi="宋体" w:cs="宋体" w:eastAsia="宋体" w:hint="default"/>
                <w:sz w:val="16"/>
                <w:szCs w:val="16"/>
              </w:rPr>
            </w:pPr>
            <w:r>
              <w:rPr>
                <w:rFonts w:ascii="宋体" w:hAnsi="宋体" w:cs="宋体" w:eastAsia="宋体" w:hint="default"/>
                <w:sz w:val="16"/>
                <w:szCs w:val="16"/>
              </w:rPr>
              <w:t>子公司往来</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1"/>
                <w:szCs w:val="11"/>
              </w:rPr>
            </w:pPr>
          </w:p>
          <w:p>
            <w:pPr>
              <w:pStyle w:val="TableParagraph"/>
              <w:spacing w:line="240" w:lineRule="auto"/>
              <w:ind w:right="105"/>
              <w:jc w:val="right"/>
              <w:rPr>
                <w:rFonts w:ascii="Times New Roman" w:hAnsi="Times New Roman" w:cs="Times New Roman" w:eastAsia="Times New Roman" w:hint="default"/>
                <w:sz w:val="16"/>
                <w:szCs w:val="16"/>
              </w:rPr>
            </w:pPr>
            <w:r>
              <w:rPr>
                <w:rFonts w:ascii="Times New Roman"/>
                <w:spacing w:val="-1"/>
                <w:sz w:val="16"/>
              </w:rPr>
              <w:t>83,125,655.72</w:t>
            </w:r>
          </w:p>
        </w:tc>
        <w:tc>
          <w:tcPr>
            <w:tcW w:w="1159"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107"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年以内</w:t>
            </w: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1"/>
                <w:szCs w:val="11"/>
              </w:rPr>
            </w:pPr>
          </w:p>
          <w:p>
            <w:pPr>
              <w:pStyle w:val="TableParagraph"/>
              <w:spacing w:line="240" w:lineRule="auto"/>
              <w:ind w:right="234"/>
              <w:jc w:val="right"/>
              <w:rPr>
                <w:rFonts w:ascii="Times New Roman" w:hAnsi="Times New Roman" w:cs="Times New Roman" w:eastAsia="Times New Roman" w:hint="default"/>
                <w:sz w:val="16"/>
                <w:szCs w:val="16"/>
              </w:rPr>
            </w:pPr>
            <w:r>
              <w:rPr>
                <w:rFonts w:ascii="Times New Roman"/>
                <w:spacing w:val="-1"/>
                <w:sz w:val="16"/>
              </w:rPr>
              <w:t>16.92</w:t>
            </w:r>
          </w:p>
        </w:tc>
        <w:tc>
          <w:tcPr>
            <w:tcW w:w="1228" w:type="dxa"/>
            <w:tcBorders>
              <w:top w:val="nil" w:sz="6" w:space="0" w:color="auto"/>
              <w:left w:val="nil" w:sz="6" w:space="0" w:color="auto"/>
              <w:bottom w:val="nil" w:sz="6" w:space="0" w:color="auto"/>
              <w:right w:val="nil" w:sz="6" w:space="0" w:color="auto"/>
            </w:tcBorders>
          </w:tcPr>
          <w:p>
            <w:pPr/>
          </w:p>
        </w:tc>
      </w:tr>
      <w:tr>
        <w:trPr>
          <w:trHeight w:val="447" w:hRule="exact"/>
        </w:trPr>
        <w:tc>
          <w:tcPr>
            <w:tcW w:w="5889" w:type="dxa"/>
            <w:gridSpan w:val="5"/>
            <w:tcBorders>
              <w:top w:val="nil" w:sz="6" w:space="0" w:color="auto"/>
              <w:left w:val="nil" w:sz="6" w:space="0" w:color="auto"/>
              <w:bottom w:val="nil" w:sz="6" w:space="0" w:color="auto"/>
              <w:right w:val="nil" w:sz="6" w:space="0" w:color="auto"/>
            </w:tcBorders>
          </w:tcPr>
          <w:p>
            <w:pPr>
              <w:pStyle w:val="TableParagraph"/>
              <w:tabs>
                <w:tab w:pos="1423" w:val="left" w:leader="none"/>
                <w:tab w:pos="2559" w:val="left" w:leader="none"/>
                <w:tab w:pos="4069" w:val="left" w:leader="none"/>
                <w:tab w:pos="4977" w:val="left" w:leader="none"/>
              </w:tabs>
              <w:spacing w:line="240" w:lineRule="auto" w:before="153"/>
              <w:ind w:left="35" w:right="0"/>
              <w:jc w:val="left"/>
              <w:rPr>
                <w:rFonts w:ascii="Times New Roman" w:hAnsi="Times New Roman" w:cs="Times New Roman" w:eastAsia="Times New Roman" w:hint="default"/>
                <w:sz w:val="16"/>
                <w:szCs w:val="16"/>
              </w:rPr>
            </w:pPr>
            <w:r>
              <w:rPr>
                <w:rFonts w:ascii="宋体" w:hAnsi="宋体" w:cs="宋体" w:eastAsia="宋体" w:hint="default"/>
                <w:w w:val="95"/>
                <w:sz w:val="16"/>
                <w:szCs w:val="16"/>
              </w:rPr>
              <w:t>子公司往来</w:t>
              <w:tab/>
            </w:r>
            <w:r>
              <w:rPr>
                <w:rFonts w:ascii="Times New Roman" w:hAnsi="Times New Roman" w:cs="Times New Roman" w:eastAsia="Times New Roman" w:hint="default"/>
                <w:spacing w:val="-1"/>
                <w:sz w:val="16"/>
                <w:szCs w:val="16"/>
              </w:rPr>
              <w:t>58,470,282.56</w:t>
              <w:tab/>
            </w:r>
            <w:r>
              <w:rPr>
                <w:rFonts w:ascii="Times New Roman" w:hAnsi="Times New Roman" w:cs="Times New Roman" w:eastAsia="Times New Roman" w:hint="default"/>
                <w:position w:val="11"/>
                <w:sz w:val="16"/>
                <w:szCs w:val="16"/>
              </w:rPr>
              <w:t>1</w:t>
            </w:r>
            <w:r>
              <w:rPr>
                <w:rFonts w:ascii="Times New Roman" w:hAnsi="Times New Roman" w:cs="Times New Roman" w:eastAsia="Times New Roman" w:hint="default"/>
                <w:spacing w:val="-6"/>
                <w:position w:val="11"/>
                <w:sz w:val="16"/>
                <w:szCs w:val="16"/>
              </w:rPr>
              <w:t> </w:t>
            </w:r>
            <w:r>
              <w:rPr>
                <w:rFonts w:ascii="宋体" w:hAnsi="宋体" w:cs="宋体" w:eastAsia="宋体" w:hint="default"/>
                <w:position w:val="11"/>
                <w:sz w:val="16"/>
                <w:szCs w:val="16"/>
              </w:rPr>
              <w:t>年以内，</w:t>
              <w:tab/>
            </w:r>
            <w:r>
              <w:rPr>
                <w:rFonts w:ascii="Times New Roman" w:hAnsi="Times New Roman" w:cs="Times New Roman" w:eastAsia="Times New Roman" w:hint="default"/>
                <w:spacing w:val="-2"/>
                <w:sz w:val="16"/>
                <w:szCs w:val="16"/>
              </w:rPr>
              <w:t>11.90</w:t>
              <w:tab/>
            </w:r>
            <w:r>
              <w:rPr>
                <w:rFonts w:ascii="Times New Roman" w:hAnsi="Times New Roman" w:cs="Times New Roman" w:eastAsia="Times New Roman" w:hint="default"/>
                <w:spacing w:val="-1"/>
                <w:sz w:val="16"/>
                <w:szCs w:val="16"/>
              </w:rPr>
              <w:t>5,847,028.10</w:t>
            </w:r>
          </w:p>
        </w:tc>
      </w:tr>
      <w:tr>
        <w:trPr>
          <w:trHeight w:val="238" w:hRule="exact"/>
        </w:trPr>
        <w:tc>
          <w:tcPr>
            <w:tcW w:w="1089" w:type="dxa"/>
            <w:tcBorders>
              <w:top w:val="nil" w:sz="6" w:space="0" w:color="auto"/>
              <w:left w:val="nil" w:sz="6" w:space="0" w:color="auto"/>
              <w:bottom w:val="nil" w:sz="6" w:space="0" w:color="auto"/>
              <w:right w:val="nil" w:sz="6" w:space="0" w:color="auto"/>
            </w:tcBorders>
          </w:tcPr>
          <w:p>
            <w:pPr/>
          </w:p>
        </w:tc>
        <w:tc>
          <w:tcPr>
            <w:tcW w:w="1363" w:type="dxa"/>
            <w:tcBorders>
              <w:top w:val="nil" w:sz="6" w:space="0" w:color="auto"/>
              <w:left w:val="nil" w:sz="6" w:space="0" w:color="auto"/>
              <w:bottom w:val="nil" w:sz="6" w:space="0" w:color="auto"/>
              <w:right w:val="nil" w:sz="6" w:space="0" w:color="auto"/>
            </w:tcBorders>
          </w:tcPr>
          <w:p>
            <w:pPr/>
          </w:p>
        </w:tc>
        <w:tc>
          <w:tcPr>
            <w:tcW w:w="1159" w:type="dxa"/>
            <w:tcBorders>
              <w:top w:val="nil" w:sz="6" w:space="0" w:color="auto"/>
              <w:left w:val="nil" w:sz="6" w:space="0" w:color="auto"/>
              <w:bottom w:val="nil" w:sz="6" w:space="0" w:color="auto"/>
              <w:right w:val="nil" w:sz="6" w:space="0" w:color="auto"/>
            </w:tcBorders>
          </w:tcPr>
          <w:p>
            <w:pPr>
              <w:pStyle w:val="TableParagraph"/>
              <w:spacing w:line="137" w:lineRule="exact"/>
              <w:ind w:left="107"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至</w:t>
            </w:r>
            <w:r>
              <w:rPr>
                <w:rFonts w:ascii="宋体" w:hAnsi="宋体" w:cs="宋体" w:eastAsia="宋体" w:hint="default"/>
                <w:spacing w:val="-42"/>
                <w:sz w:val="16"/>
                <w:szCs w:val="16"/>
              </w:rPr>
              <w:t> </w:t>
            </w:r>
            <w:r>
              <w:rPr>
                <w:rFonts w:ascii="Times New Roman" w:hAnsi="Times New Roman" w:cs="Times New Roman" w:eastAsia="Times New Roman" w:hint="default"/>
                <w:sz w:val="16"/>
                <w:szCs w:val="16"/>
              </w:rPr>
              <w:t>2</w:t>
            </w:r>
            <w:r>
              <w:rPr>
                <w:rFonts w:ascii="Times New Roman" w:hAnsi="Times New Roman" w:cs="Times New Roman" w:eastAsia="Times New Roman" w:hint="default"/>
                <w:spacing w:val="-1"/>
                <w:sz w:val="16"/>
                <w:szCs w:val="16"/>
              </w:rPr>
              <w:t> </w:t>
            </w:r>
            <w:r>
              <w:rPr>
                <w:rFonts w:ascii="宋体" w:hAnsi="宋体" w:cs="宋体" w:eastAsia="宋体" w:hint="default"/>
                <w:sz w:val="16"/>
                <w:szCs w:val="16"/>
              </w:rPr>
              <w:t>年</w:t>
            </w:r>
          </w:p>
        </w:tc>
        <w:tc>
          <w:tcPr>
            <w:tcW w:w="1050" w:type="dxa"/>
            <w:tcBorders>
              <w:top w:val="nil" w:sz="6" w:space="0" w:color="auto"/>
              <w:left w:val="nil" w:sz="6" w:space="0" w:color="auto"/>
              <w:bottom w:val="nil" w:sz="6" w:space="0" w:color="auto"/>
              <w:right w:val="nil" w:sz="6" w:space="0" w:color="auto"/>
            </w:tcBorders>
          </w:tcPr>
          <w:p>
            <w:pPr/>
          </w:p>
        </w:tc>
        <w:tc>
          <w:tcPr>
            <w:tcW w:w="1228" w:type="dxa"/>
            <w:tcBorders>
              <w:top w:val="nil" w:sz="6" w:space="0" w:color="auto"/>
              <w:left w:val="nil" w:sz="6" w:space="0" w:color="auto"/>
              <w:bottom w:val="nil" w:sz="6" w:space="0" w:color="auto"/>
              <w:right w:val="nil" w:sz="6" w:space="0" w:color="auto"/>
            </w:tcBorders>
          </w:tcPr>
          <w:p>
            <w:pPr/>
          </w:p>
        </w:tc>
      </w:tr>
      <w:tr>
        <w:trPr>
          <w:trHeight w:val="431" w:hRule="exact"/>
        </w:trPr>
        <w:tc>
          <w:tcPr>
            <w:tcW w:w="1089" w:type="dxa"/>
            <w:tcBorders>
              <w:top w:val="nil" w:sz="6" w:space="0" w:color="auto"/>
              <w:left w:val="nil" w:sz="6" w:space="0" w:color="auto"/>
              <w:bottom w:val="nil" w:sz="6" w:space="0" w:color="auto"/>
              <w:right w:val="nil" w:sz="6" w:space="0" w:color="auto"/>
            </w:tcBorders>
          </w:tcPr>
          <w:p>
            <w:pPr>
              <w:pStyle w:val="TableParagraph"/>
              <w:spacing w:line="240" w:lineRule="auto" w:before="54"/>
              <w:ind w:left="35" w:right="0"/>
              <w:jc w:val="left"/>
              <w:rPr>
                <w:rFonts w:ascii="宋体" w:hAnsi="宋体" w:cs="宋体" w:eastAsia="宋体" w:hint="default"/>
                <w:sz w:val="16"/>
                <w:szCs w:val="16"/>
              </w:rPr>
            </w:pPr>
            <w:r>
              <w:rPr>
                <w:rFonts w:ascii="宋体" w:hAnsi="宋体" w:cs="宋体" w:eastAsia="宋体" w:hint="default"/>
                <w:sz w:val="16"/>
                <w:szCs w:val="16"/>
              </w:rPr>
              <w:t>子公司往来</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5"/>
              <w:jc w:val="right"/>
              <w:rPr>
                <w:rFonts w:ascii="Times New Roman" w:hAnsi="Times New Roman" w:cs="Times New Roman" w:eastAsia="Times New Roman" w:hint="default"/>
                <w:sz w:val="16"/>
                <w:szCs w:val="16"/>
              </w:rPr>
            </w:pPr>
            <w:r>
              <w:rPr>
                <w:rFonts w:ascii="Times New Roman"/>
                <w:spacing w:val="-1"/>
                <w:sz w:val="16"/>
              </w:rPr>
              <w:t>30,049,685.09</w:t>
            </w:r>
          </w:p>
        </w:tc>
        <w:tc>
          <w:tcPr>
            <w:tcW w:w="1159"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07"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年以内</w:t>
            </w: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34"/>
              <w:jc w:val="right"/>
              <w:rPr>
                <w:rFonts w:ascii="Times New Roman" w:hAnsi="Times New Roman" w:cs="Times New Roman" w:eastAsia="Times New Roman" w:hint="default"/>
                <w:sz w:val="16"/>
                <w:szCs w:val="16"/>
              </w:rPr>
            </w:pPr>
            <w:r>
              <w:rPr>
                <w:rFonts w:ascii="Times New Roman"/>
                <w:spacing w:val="-1"/>
                <w:sz w:val="16"/>
              </w:rPr>
              <w:t>6.12</w:t>
            </w:r>
          </w:p>
        </w:tc>
        <w:tc>
          <w:tcPr>
            <w:tcW w:w="1228" w:type="dxa"/>
            <w:tcBorders>
              <w:top w:val="nil" w:sz="6" w:space="0" w:color="auto"/>
              <w:left w:val="nil" w:sz="6" w:space="0" w:color="auto"/>
              <w:bottom w:val="nil" w:sz="6" w:space="0" w:color="auto"/>
              <w:right w:val="nil" w:sz="6" w:space="0" w:color="auto"/>
            </w:tcBorders>
          </w:tcPr>
          <w:p>
            <w:pPr/>
          </w:p>
        </w:tc>
      </w:tr>
      <w:tr>
        <w:trPr>
          <w:trHeight w:val="455" w:hRule="exact"/>
        </w:trPr>
        <w:tc>
          <w:tcPr>
            <w:tcW w:w="1089"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35" w:right="0"/>
              <w:jc w:val="left"/>
              <w:rPr>
                <w:rFonts w:ascii="宋体" w:hAnsi="宋体" w:cs="宋体" w:eastAsia="宋体" w:hint="default"/>
                <w:sz w:val="16"/>
                <w:szCs w:val="16"/>
              </w:rPr>
            </w:pPr>
            <w:r>
              <w:rPr>
                <w:rFonts w:ascii="宋体" w:hAnsi="宋体" w:cs="宋体" w:eastAsia="宋体" w:hint="default"/>
                <w:sz w:val="16"/>
                <w:szCs w:val="16"/>
              </w:rPr>
              <w:t>子公司往来</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1"/>
                <w:szCs w:val="11"/>
              </w:rPr>
            </w:pPr>
          </w:p>
          <w:p>
            <w:pPr>
              <w:pStyle w:val="TableParagraph"/>
              <w:spacing w:line="240" w:lineRule="auto"/>
              <w:ind w:right="105"/>
              <w:jc w:val="right"/>
              <w:rPr>
                <w:rFonts w:ascii="Times New Roman" w:hAnsi="Times New Roman" w:cs="Times New Roman" w:eastAsia="Times New Roman" w:hint="default"/>
                <w:sz w:val="16"/>
                <w:szCs w:val="16"/>
              </w:rPr>
            </w:pPr>
            <w:r>
              <w:rPr>
                <w:rFonts w:ascii="Times New Roman"/>
                <w:spacing w:val="-1"/>
                <w:sz w:val="16"/>
              </w:rPr>
              <w:t>21,136,850.38</w:t>
            </w:r>
          </w:p>
        </w:tc>
        <w:tc>
          <w:tcPr>
            <w:tcW w:w="1159"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107" w:right="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年以内</w:t>
            </w: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1"/>
                <w:szCs w:val="11"/>
              </w:rPr>
            </w:pPr>
          </w:p>
          <w:p>
            <w:pPr>
              <w:pStyle w:val="TableParagraph"/>
              <w:spacing w:line="240" w:lineRule="auto"/>
              <w:ind w:right="234"/>
              <w:jc w:val="right"/>
              <w:rPr>
                <w:rFonts w:ascii="Times New Roman" w:hAnsi="Times New Roman" w:cs="Times New Roman" w:eastAsia="Times New Roman" w:hint="default"/>
                <w:sz w:val="16"/>
                <w:szCs w:val="16"/>
              </w:rPr>
            </w:pPr>
            <w:r>
              <w:rPr>
                <w:rFonts w:ascii="Times New Roman"/>
                <w:spacing w:val="-1"/>
                <w:sz w:val="16"/>
              </w:rPr>
              <w:t>4.30</w:t>
            </w:r>
          </w:p>
        </w:tc>
        <w:tc>
          <w:tcPr>
            <w:tcW w:w="1228" w:type="dxa"/>
            <w:tcBorders>
              <w:top w:val="nil" w:sz="6" w:space="0" w:color="auto"/>
              <w:left w:val="nil" w:sz="6" w:space="0" w:color="auto"/>
              <w:bottom w:val="nil" w:sz="6" w:space="0" w:color="auto"/>
              <w:right w:val="nil" w:sz="6" w:space="0" w:color="auto"/>
            </w:tcBorders>
          </w:tcPr>
          <w:p>
            <w:pPr/>
          </w:p>
        </w:tc>
      </w:tr>
      <w:tr>
        <w:trPr>
          <w:trHeight w:val="379" w:hRule="exact"/>
        </w:trPr>
        <w:tc>
          <w:tcPr>
            <w:tcW w:w="1089" w:type="dxa"/>
            <w:tcBorders>
              <w:top w:val="nil" w:sz="6" w:space="0" w:color="auto"/>
              <w:left w:val="nil" w:sz="6" w:space="0" w:color="auto"/>
              <w:bottom w:val="nil" w:sz="6" w:space="0" w:color="auto"/>
              <w:right w:val="nil" w:sz="6" w:space="0" w:color="auto"/>
            </w:tcBorders>
          </w:tcPr>
          <w:p>
            <w:pP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5"/>
              <w:jc w:val="right"/>
              <w:rPr>
                <w:rFonts w:ascii="Times New Roman" w:hAnsi="Times New Roman" w:cs="Times New Roman" w:eastAsia="Times New Roman" w:hint="default"/>
                <w:sz w:val="16"/>
                <w:szCs w:val="16"/>
              </w:rPr>
            </w:pPr>
            <w:r>
              <w:rPr>
                <w:rFonts w:ascii="Times New Roman"/>
                <w:spacing w:val="-1"/>
                <w:sz w:val="16"/>
              </w:rPr>
              <w:t>458,584,704.87</w:t>
            </w:r>
          </w:p>
        </w:tc>
        <w:tc>
          <w:tcPr>
            <w:tcW w:w="1159" w:type="dxa"/>
            <w:tcBorders>
              <w:top w:val="nil" w:sz="6" w:space="0" w:color="auto"/>
              <w:left w:val="nil" w:sz="6" w:space="0" w:color="auto"/>
              <w:bottom w:val="nil" w:sz="6" w:space="0" w:color="auto"/>
              <w:right w:val="nil" w:sz="6" w:space="0" w:color="auto"/>
            </w:tcBorders>
          </w:tcPr>
          <w:p>
            <w:pPr/>
          </w:p>
        </w:tc>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234"/>
              <w:jc w:val="right"/>
              <w:rPr>
                <w:rFonts w:ascii="Times New Roman" w:hAnsi="Times New Roman" w:cs="Times New Roman" w:eastAsia="Times New Roman" w:hint="default"/>
                <w:sz w:val="16"/>
                <w:szCs w:val="16"/>
              </w:rPr>
            </w:pPr>
            <w:r>
              <w:rPr>
                <w:rFonts w:ascii="Times New Roman"/>
                <w:spacing w:val="-1"/>
                <w:sz w:val="16"/>
              </w:rPr>
              <w:t>93.33</w:t>
            </w:r>
          </w:p>
        </w:tc>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68"/>
              <w:jc w:val="right"/>
              <w:rPr>
                <w:rFonts w:ascii="Times New Roman" w:hAnsi="Times New Roman" w:cs="Times New Roman" w:eastAsia="Times New Roman" w:hint="default"/>
                <w:sz w:val="16"/>
                <w:szCs w:val="16"/>
              </w:rPr>
            </w:pPr>
            <w:r>
              <w:rPr>
                <w:rFonts w:ascii="Times New Roman"/>
                <w:spacing w:val="-1"/>
                <w:sz w:val="16"/>
              </w:rPr>
              <w:t>59,863,119.46</w:t>
            </w:r>
          </w:p>
        </w:tc>
      </w:tr>
    </w:tbl>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7"/>
          <w:szCs w:val="17"/>
        </w:rPr>
      </w:pPr>
    </w:p>
    <w:p>
      <w:pPr>
        <w:pStyle w:val="Heading5"/>
        <w:tabs>
          <w:tab w:pos="851" w:val="left" w:leader="none"/>
        </w:tabs>
        <w:spacing w:line="240" w:lineRule="auto"/>
        <w:ind w:right="3681"/>
        <w:jc w:val="left"/>
        <w:rPr>
          <w:b w:val="0"/>
          <w:bCs w:val="0"/>
        </w:rPr>
      </w:pPr>
      <w:r>
        <w:rPr>
          <w:rFonts w:ascii="Times New Roman" w:hAnsi="Times New Roman" w:cs="Times New Roman" w:eastAsia="Times New Roman" w:hint="default"/>
          <w:w w:val="95"/>
        </w:rPr>
        <w:t>(</w:t>
      </w:r>
      <w:r>
        <w:rPr>
          <w:w w:val="95"/>
        </w:rPr>
        <w:t>三</w:t>
      </w:r>
      <w:r>
        <w:rPr>
          <w:rFonts w:ascii="Times New Roman" w:hAnsi="Times New Roman" w:cs="Times New Roman" w:eastAsia="Times New Roman" w:hint="default"/>
          <w:w w:val="95"/>
        </w:rPr>
        <w:t>)</w:t>
        <w:tab/>
      </w:r>
      <w:r>
        <w:rPr/>
        <w:t>长期股权投资</w:t>
      </w:r>
      <w:r>
        <w:rPr>
          <w:b w:val="0"/>
          <w:bCs w:val="0"/>
        </w:rPr>
      </w:r>
    </w:p>
    <w:p>
      <w:pPr>
        <w:spacing w:line="2888" w:lineRule="exact"/>
        <w:ind w:left="720" w:right="0" w:firstLine="0"/>
        <w:rPr>
          <w:rFonts w:ascii="宋体" w:hAnsi="宋体" w:cs="宋体" w:eastAsia="宋体" w:hint="default"/>
          <w:sz w:val="20"/>
          <w:szCs w:val="20"/>
        </w:rPr>
      </w:pPr>
      <w:r>
        <w:rPr>
          <w:rFonts w:ascii="宋体" w:hAnsi="宋体" w:cs="宋体" w:eastAsia="宋体" w:hint="default"/>
          <w:position w:val="-57"/>
          <w:sz w:val="20"/>
          <w:szCs w:val="20"/>
        </w:rPr>
        <w:pict>
          <v:group style="width:417.85pt;height:144.450pt;mso-position-horizontal-relative:char;mso-position-vertical-relative:line" coordorigin="0,0" coordsize="8357,2889">
            <v:group style="position:absolute;left:29;top:15;width:532;height:2" coordorigin="29,15" coordsize="532,2">
              <v:shape style="position:absolute;left:29;top:15;width:532;height:2" coordorigin="29,15" coordsize="532,0" path="m29,15l561,15e" filled="false" stroked="true" strokeweight="1.5pt" strokecolor="#000000">
                <v:path arrowok="t"/>
              </v:shape>
              <v:shape style="position:absolute;left:561;top:30;width:10;height:28" type="#_x0000_t75" stroked="false">
                <v:imagedata r:id="rId39" o:title=""/>
              </v:shape>
            </v:group>
            <v:group style="position:absolute;left:561;top:15;width:3888;height:2" coordorigin="561,15" coordsize="3888,2">
              <v:shape style="position:absolute;left:561;top:15;width:3888;height:2" coordorigin="561,15" coordsize="3888,0" path="m561,15l4449,15e" filled="false" stroked="true" strokeweight="1.5pt" strokecolor="#000000">
                <v:path arrowok="t"/>
              </v:shape>
              <v:shape style="position:absolute;left:4449;top:30;width:10;height:28" type="#_x0000_t75" stroked="false">
                <v:imagedata r:id="rId39" o:title=""/>
              </v:shape>
            </v:group>
            <v:group style="position:absolute;left:4449;top:15;width:3893;height:2" coordorigin="4449,15" coordsize="3893,2">
              <v:shape style="position:absolute;left:4449;top:15;width:3893;height:2" coordorigin="4449,15" coordsize="3893,0" path="m4449,15l8342,15e" filled="false" stroked="true" strokeweight="1.5pt" strokecolor="#000000">
                <v:path arrowok="t"/>
              </v:shape>
              <v:shape style="position:absolute;left:542;top:38;width:3936;height:349" type="#_x0000_t75" stroked="false">
                <v:imagedata r:id="rId527" o:title=""/>
              </v:shape>
              <v:shape style="position:absolute;left:548;top:356;width:7809;height:375" type="#_x0000_t75" stroked="false">
                <v:imagedata r:id="rId528" o:title=""/>
              </v:shape>
            </v:group>
            <v:group style="position:absolute;left:15;top:2873;width:546;height:2" coordorigin="15,2873" coordsize="546,2">
              <v:shape style="position:absolute;left:15;top:2873;width:546;height:2" coordorigin="15,2873" coordsize="546,0" path="m15,2873l561,2873e" filled="false" stroked="true" strokeweight="1.5pt" strokecolor="#000000">
                <v:path arrowok="t"/>
              </v:shape>
            </v:group>
            <v:group style="position:absolute;left:561;top:2873;width:1336;height:2" coordorigin="561,2873" coordsize="1336,2">
              <v:shape style="position:absolute;left:561;top:2873;width:1336;height:2" coordorigin="561,2873" coordsize="1336,0" path="m561,2873l1897,2873e" filled="false" stroked="true" strokeweight="1.5pt" strokecolor="#000000">
                <v:path arrowok="t"/>
              </v:shape>
            </v:group>
            <v:group style="position:absolute;left:1897;top:2873;width:1216;height:2" coordorigin="1897,2873" coordsize="1216,2">
              <v:shape style="position:absolute;left:1897;top:2873;width:1216;height:2" coordorigin="1897,2873" coordsize="1216,0" path="m1897,2873l3112,2873e" filled="false" stroked="true" strokeweight="1.5pt" strokecolor="#000000">
                <v:path arrowok="t"/>
              </v:shape>
            </v:group>
            <v:group style="position:absolute;left:3112;top:2873;width:1337;height:2" coordorigin="3112,2873" coordsize="1337,2">
              <v:shape style="position:absolute;left:3112;top:2873;width:1337;height:2" coordorigin="3112,2873" coordsize="1337,0" path="m3112,2873l4449,2873e" filled="false" stroked="true" strokeweight="1.5pt" strokecolor="#000000">
                <v:path arrowok="t"/>
              </v:shape>
            </v:group>
            <v:group style="position:absolute;left:4449;top:2873;width:1336;height:2" coordorigin="4449,2873" coordsize="1336,2">
              <v:shape style="position:absolute;left:4449;top:2873;width:1336;height:2" coordorigin="4449,2873" coordsize="1336,0" path="m4449,2873l5785,2873e" filled="false" stroked="true" strokeweight="1.5pt" strokecolor="#000000">
                <v:path arrowok="t"/>
              </v:shape>
            </v:group>
            <v:group style="position:absolute;left:5785;top:2873;width:1216;height:2" coordorigin="5785,2873" coordsize="1216,2">
              <v:shape style="position:absolute;left:5785;top:2873;width:1216;height:2" coordorigin="5785,2873" coordsize="1216,0" path="m5785,2873l7000,2873e" filled="false" stroked="true" strokeweight="1.5pt" strokecolor="#000000">
                <v:path arrowok="t"/>
              </v:shape>
              <v:shape style="position:absolute;left:17;top:705;width:8340;height:2154" type="#_x0000_t75" stroked="false">
                <v:imagedata r:id="rId529" o:title=""/>
              </v:shape>
            </v:group>
            <v:group style="position:absolute;left:7000;top:2873;width:1342;height:2" coordorigin="7000,2873" coordsize="1342,2">
              <v:shape style="position:absolute;left:7000;top:2873;width:1342;height:2" coordorigin="7000,2873" coordsize="1342,0" path="m7000,2873l8342,2873e" filled="false" stroked="true" strokeweight="1.5pt" strokecolor="#000000">
                <v:path arrowok="t"/>
              </v:shape>
              <v:shape style="position:absolute;left:2188;top:11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6076;top:11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年初余额</w:t>
                      </w:r>
                      <w:r>
                        <w:rPr>
                          <w:rFonts w:ascii="宋体" w:hAnsi="宋体" w:cs="宋体" w:eastAsia="宋体" w:hint="default"/>
                          <w:sz w:val="16"/>
                          <w:szCs w:val="16"/>
                        </w:rPr>
                      </w:r>
                    </w:p>
                  </w:txbxContent>
                </v:textbox>
                <w10:wrap type="none"/>
              </v:shape>
              <v:shape style="position:absolute;left:137;top:292;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项目</w:t>
                      </w:r>
                      <w:r>
                        <w:rPr>
                          <w:rFonts w:ascii="宋体" w:hAnsi="宋体" w:cs="宋体" w:eastAsia="宋体" w:hint="default"/>
                          <w:sz w:val="16"/>
                          <w:szCs w:val="16"/>
                        </w:rPr>
                      </w:r>
                    </w:p>
                  </w:txbxContent>
                </v:textbox>
                <w10:wrap type="none"/>
              </v:shape>
              <v:shape style="position:absolute;left:913;top:46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账面余额</w:t>
                      </w:r>
                      <w:r>
                        <w:rPr>
                          <w:rFonts w:ascii="宋体" w:hAnsi="宋体" w:cs="宋体" w:eastAsia="宋体" w:hint="default"/>
                          <w:sz w:val="16"/>
                          <w:szCs w:val="16"/>
                        </w:rPr>
                      </w:r>
                    </w:p>
                  </w:txbxContent>
                </v:textbox>
                <w10:wrap type="none"/>
              </v:shape>
              <v:shape style="position:absolute;left:2188;top:46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减值准备</w:t>
                      </w:r>
                      <w:r>
                        <w:rPr>
                          <w:rFonts w:ascii="宋体" w:hAnsi="宋体" w:cs="宋体" w:eastAsia="宋体" w:hint="default"/>
                          <w:sz w:val="16"/>
                          <w:szCs w:val="16"/>
                        </w:rPr>
                      </w:r>
                    </w:p>
                  </w:txbxContent>
                </v:textbox>
                <w10:wrap type="none"/>
              </v:shape>
              <v:shape style="position:absolute;left:3465;top:46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账面价值</w:t>
                      </w:r>
                      <w:r>
                        <w:rPr>
                          <w:rFonts w:ascii="宋体" w:hAnsi="宋体" w:cs="宋体" w:eastAsia="宋体" w:hint="default"/>
                          <w:sz w:val="16"/>
                          <w:szCs w:val="16"/>
                        </w:rPr>
                      </w:r>
                    </w:p>
                  </w:txbxContent>
                </v:textbox>
                <w10:wrap type="none"/>
              </v:shape>
              <v:shape style="position:absolute;left:4801;top:46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账面余额</w:t>
                      </w:r>
                      <w:r>
                        <w:rPr>
                          <w:rFonts w:ascii="宋体" w:hAnsi="宋体" w:cs="宋体" w:eastAsia="宋体" w:hint="default"/>
                          <w:sz w:val="16"/>
                          <w:szCs w:val="16"/>
                        </w:rPr>
                      </w:r>
                    </w:p>
                  </w:txbxContent>
                </v:textbox>
                <w10:wrap type="none"/>
              </v:shape>
              <v:shape style="position:absolute;left:6077;top:46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减值准备</w:t>
                      </w:r>
                      <w:r>
                        <w:rPr>
                          <w:rFonts w:ascii="宋体" w:hAnsi="宋体" w:cs="宋体" w:eastAsia="宋体" w:hint="default"/>
                          <w:sz w:val="16"/>
                          <w:szCs w:val="16"/>
                        </w:rPr>
                      </w:r>
                    </w:p>
                  </w:txbxContent>
                </v:textbox>
                <w10:wrap type="none"/>
              </v:shape>
              <v:shape style="position:absolute;left:7353;top:468;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账面价值</w:t>
                      </w:r>
                      <w:r>
                        <w:rPr>
                          <w:rFonts w:ascii="宋体" w:hAnsi="宋体" w:cs="宋体" w:eastAsia="宋体" w:hint="default"/>
                          <w:sz w:val="16"/>
                          <w:szCs w:val="16"/>
                        </w:rPr>
                      </w:r>
                    </w:p>
                  </w:txbxContent>
                </v:textbox>
                <w10:wrap type="none"/>
              </v:shape>
              <v:shape style="position:absolute;left:137;top:778;width:320;height:1990" type="#_x0000_t202" filled="false" stroked="false">
                <v:textbox inset="0,0,0,0">
                  <w:txbxContent>
                    <w:p>
                      <w:pPr>
                        <w:spacing w:line="159" w:lineRule="exact" w:before="0"/>
                        <w:ind w:left="0" w:right="0" w:firstLine="0"/>
                        <w:jc w:val="both"/>
                        <w:rPr>
                          <w:rFonts w:ascii="宋体" w:hAnsi="宋体" w:cs="宋体" w:eastAsia="宋体" w:hint="default"/>
                          <w:sz w:val="16"/>
                          <w:szCs w:val="16"/>
                        </w:rPr>
                      </w:pPr>
                      <w:r>
                        <w:rPr>
                          <w:rFonts w:ascii="宋体" w:hAnsi="宋体" w:cs="宋体" w:eastAsia="宋体" w:hint="default"/>
                          <w:w w:val="95"/>
                          <w:sz w:val="16"/>
                          <w:szCs w:val="16"/>
                        </w:rPr>
                        <w:t>对子</w:t>
                      </w:r>
                      <w:r>
                        <w:rPr>
                          <w:rFonts w:ascii="宋体" w:hAnsi="宋体" w:cs="宋体" w:eastAsia="宋体" w:hint="default"/>
                          <w:sz w:val="16"/>
                          <w:szCs w:val="16"/>
                        </w:rPr>
                      </w:r>
                    </w:p>
                    <w:p>
                      <w:pPr>
                        <w:spacing w:before="0"/>
                        <w:ind w:left="0" w:right="0" w:firstLine="0"/>
                        <w:jc w:val="both"/>
                        <w:rPr>
                          <w:rFonts w:ascii="宋体" w:hAnsi="宋体" w:cs="宋体" w:eastAsia="宋体" w:hint="default"/>
                          <w:sz w:val="16"/>
                          <w:szCs w:val="16"/>
                        </w:rPr>
                      </w:pPr>
                      <w:r>
                        <w:rPr>
                          <w:rFonts w:ascii="宋体" w:hAnsi="宋体" w:cs="宋体" w:eastAsia="宋体" w:hint="default"/>
                          <w:w w:val="95"/>
                          <w:sz w:val="16"/>
                          <w:szCs w:val="16"/>
                        </w:rPr>
                        <w:t>公司</w:t>
                      </w:r>
                      <w:r>
                        <w:rPr>
                          <w:rFonts w:ascii="宋体" w:hAnsi="宋体" w:cs="宋体" w:eastAsia="宋体" w:hint="default"/>
                          <w:spacing w:val="-61"/>
                          <w:w w:val="95"/>
                          <w:sz w:val="16"/>
                          <w:szCs w:val="16"/>
                        </w:rPr>
                        <w:t> </w:t>
                      </w:r>
                      <w:r>
                        <w:rPr>
                          <w:rFonts w:ascii="宋体" w:hAnsi="宋体" w:cs="宋体" w:eastAsia="宋体" w:hint="default"/>
                          <w:w w:val="95"/>
                          <w:sz w:val="16"/>
                          <w:szCs w:val="16"/>
                        </w:rPr>
                        <w:t>投资</w:t>
                      </w:r>
                      <w:r>
                        <w:rPr>
                          <w:rFonts w:ascii="宋体" w:hAnsi="宋体" w:cs="宋体" w:eastAsia="宋体" w:hint="default"/>
                          <w:sz w:val="16"/>
                          <w:szCs w:val="16"/>
                        </w:rPr>
                      </w:r>
                    </w:p>
                    <w:p>
                      <w:pPr>
                        <w:spacing w:line="237" w:lineRule="auto" w:before="66"/>
                        <w:ind w:left="0" w:right="0" w:firstLine="0"/>
                        <w:jc w:val="both"/>
                        <w:rPr>
                          <w:rFonts w:ascii="宋体" w:hAnsi="宋体" w:cs="宋体" w:eastAsia="宋体" w:hint="default"/>
                          <w:sz w:val="16"/>
                          <w:szCs w:val="16"/>
                        </w:rPr>
                      </w:pPr>
                      <w:r>
                        <w:rPr>
                          <w:rFonts w:ascii="宋体" w:hAnsi="宋体" w:cs="宋体" w:eastAsia="宋体" w:hint="default"/>
                          <w:w w:val="95"/>
                          <w:sz w:val="16"/>
                          <w:szCs w:val="16"/>
                        </w:rPr>
                        <w:t>对联</w:t>
                      </w:r>
                      <w:r>
                        <w:rPr>
                          <w:rFonts w:ascii="宋体" w:hAnsi="宋体" w:cs="宋体" w:eastAsia="宋体" w:hint="default"/>
                          <w:spacing w:val="-61"/>
                          <w:w w:val="95"/>
                          <w:sz w:val="16"/>
                          <w:szCs w:val="16"/>
                        </w:rPr>
                        <w:t> </w:t>
                      </w:r>
                      <w:r>
                        <w:rPr>
                          <w:rFonts w:ascii="宋体" w:hAnsi="宋体" w:cs="宋体" w:eastAsia="宋体" w:hint="default"/>
                          <w:w w:val="95"/>
                          <w:sz w:val="16"/>
                          <w:szCs w:val="16"/>
                        </w:rPr>
                        <w:t>营、</w:t>
                      </w:r>
                      <w:r>
                        <w:rPr>
                          <w:rFonts w:ascii="宋体" w:hAnsi="宋体" w:cs="宋体" w:eastAsia="宋体" w:hint="default"/>
                          <w:spacing w:val="-61"/>
                          <w:w w:val="95"/>
                          <w:sz w:val="16"/>
                          <w:szCs w:val="16"/>
                        </w:rPr>
                        <w:t> </w:t>
                      </w:r>
                      <w:r>
                        <w:rPr>
                          <w:rFonts w:ascii="宋体" w:hAnsi="宋体" w:cs="宋体" w:eastAsia="宋体" w:hint="default"/>
                          <w:w w:val="95"/>
                          <w:sz w:val="16"/>
                          <w:szCs w:val="16"/>
                        </w:rPr>
                        <w:t>合营</w:t>
                      </w:r>
                      <w:r>
                        <w:rPr>
                          <w:rFonts w:ascii="宋体" w:hAnsi="宋体" w:cs="宋体" w:eastAsia="宋体" w:hint="default"/>
                          <w:spacing w:val="-61"/>
                          <w:w w:val="95"/>
                          <w:sz w:val="16"/>
                          <w:szCs w:val="16"/>
                        </w:rPr>
                        <w:t> </w:t>
                      </w:r>
                      <w:r>
                        <w:rPr>
                          <w:rFonts w:ascii="宋体" w:hAnsi="宋体" w:cs="宋体" w:eastAsia="宋体" w:hint="default"/>
                          <w:w w:val="95"/>
                          <w:sz w:val="16"/>
                          <w:szCs w:val="16"/>
                        </w:rPr>
                        <w:t>企业</w:t>
                      </w:r>
                      <w:r>
                        <w:rPr>
                          <w:rFonts w:ascii="宋体" w:hAnsi="宋体" w:cs="宋体" w:eastAsia="宋体" w:hint="default"/>
                          <w:spacing w:val="-61"/>
                          <w:w w:val="95"/>
                          <w:sz w:val="16"/>
                          <w:szCs w:val="16"/>
                        </w:rPr>
                        <w:t> </w:t>
                      </w:r>
                      <w:r>
                        <w:rPr>
                          <w:rFonts w:ascii="宋体" w:hAnsi="宋体" w:cs="宋体" w:eastAsia="宋体" w:hint="default"/>
                          <w:w w:val="95"/>
                          <w:sz w:val="16"/>
                          <w:szCs w:val="16"/>
                        </w:rPr>
                        <w:t>投资</w:t>
                      </w:r>
                      <w:r>
                        <w:rPr>
                          <w:rFonts w:ascii="宋体" w:hAnsi="宋体" w:cs="宋体" w:eastAsia="宋体" w:hint="default"/>
                          <w:sz w:val="16"/>
                          <w:szCs w:val="16"/>
                        </w:rPr>
                      </w:r>
                    </w:p>
                    <w:p>
                      <w:pPr>
                        <w:spacing w:before="103"/>
                        <w:ind w:left="0" w:right="0" w:firstLine="0"/>
                        <w:jc w:val="both"/>
                        <w:rPr>
                          <w:rFonts w:ascii="宋体" w:hAnsi="宋体" w:cs="宋体" w:eastAsia="宋体" w:hint="default"/>
                          <w:sz w:val="16"/>
                          <w:szCs w:val="16"/>
                        </w:rPr>
                      </w:pPr>
                      <w:r>
                        <w:rPr>
                          <w:rFonts w:ascii="宋体" w:hAnsi="宋体" w:cs="宋体" w:eastAsia="宋体" w:hint="default"/>
                          <w:w w:val="95"/>
                          <w:sz w:val="16"/>
                          <w:szCs w:val="16"/>
                        </w:rPr>
                        <w:t>合计</w:t>
                      </w:r>
                      <w:r>
                        <w:rPr>
                          <w:rFonts w:ascii="宋体" w:hAnsi="宋体" w:cs="宋体" w:eastAsia="宋体" w:hint="default"/>
                          <w:sz w:val="16"/>
                          <w:szCs w:val="16"/>
                        </w:rPr>
                      </w:r>
                    </w:p>
                  </w:txbxContent>
                </v:textbox>
                <w10:wrap type="none"/>
              </v:shape>
              <v:shape style="position:absolute;left:673;top:1000;width:112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4,404,519,122.09</w:t>
                      </w:r>
                      <w:r>
                        <w:rPr>
                          <w:rFonts w:ascii="Times New Roman"/>
                          <w:sz w:val="16"/>
                        </w:rPr>
                      </w:r>
                    </w:p>
                  </w:txbxContent>
                </v:textbox>
                <w10:wrap type="none"/>
              </v:shape>
              <v:shape style="position:absolute;left:2008;top:1000;width:6226;height:160" type="#_x0000_t202" filled="false" stroked="false">
                <v:textbox inset="0,0,0,0">
                  <w:txbxContent>
                    <w:p>
                      <w:pPr>
                        <w:tabs>
                          <w:tab w:pos="1216" w:val="left" w:leader="none"/>
                          <w:tab w:pos="2558" w:val="left" w:leader="none"/>
                          <w:tab w:pos="3889" w:val="left" w:leader="none"/>
                          <w:tab w:pos="5104" w:val="left" w:leader="none"/>
                        </w:tabs>
                        <w:spacing w:line="160" w:lineRule="exact" w:before="0"/>
                        <w:ind w:left="0" w:right="0" w:firstLine="0"/>
                        <w:jc w:val="left"/>
                        <w:rPr>
                          <w:rFonts w:ascii="Times New Roman" w:hAnsi="Times New Roman" w:cs="Times New Roman" w:eastAsia="Times New Roman" w:hint="default"/>
                          <w:sz w:val="16"/>
                          <w:szCs w:val="16"/>
                        </w:rPr>
                      </w:pPr>
                      <w:r>
                        <w:rPr>
                          <w:rFonts w:ascii="Times New Roman"/>
                          <w:spacing w:val="-1"/>
                          <w:sz w:val="16"/>
                        </w:rPr>
                        <w:t>150,290,281.63</w:t>
                        <w:tab/>
                        <w:t>4,254,228,840.46</w:t>
                        <w:tab/>
                        <w:t>3,535,118,985.03</w:t>
                        <w:tab/>
                        <w:t>159,590,281.63</w:t>
                        <w:tab/>
                        <w:t>3,375,528,703.40</w:t>
                      </w:r>
                    </w:p>
                  </w:txbxContent>
                </v:textbox>
                <w10:wrap type="none"/>
              </v:shape>
              <v:shape style="position:absolute;left:793;top:1896;width:100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284,061,568.24</w:t>
                      </w:r>
                      <w:r>
                        <w:rPr>
                          <w:rFonts w:ascii="Times New Roman"/>
                          <w:sz w:val="16"/>
                        </w:rPr>
                      </w:r>
                    </w:p>
                  </w:txbxContent>
                </v:textbox>
                <w10:wrap type="none"/>
              </v:shape>
              <v:shape style="position:absolute;left:3345;top:1896;width:100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284,061,568.24</w:t>
                      </w:r>
                      <w:r>
                        <w:rPr>
                          <w:rFonts w:ascii="Times New Roman"/>
                          <w:sz w:val="16"/>
                        </w:rPr>
                      </w:r>
                    </w:p>
                  </w:txbxContent>
                </v:textbox>
                <w10:wrap type="none"/>
              </v:shape>
              <v:shape style="position:absolute;left:4760;top:1896;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46,769,798.59</w:t>
                      </w:r>
                      <w:r>
                        <w:rPr>
                          <w:rFonts w:ascii="Times New Roman"/>
                          <w:sz w:val="16"/>
                        </w:rPr>
                      </w:r>
                    </w:p>
                  </w:txbxContent>
                </v:textbox>
                <w10:wrap type="none"/>
              </v:shape>
              <v:shape style="position:absolute;left:7312;top:1896;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46,769,798.59</w:t>
                      </w:r>
                      <w:r>
                        <w:rPr>
                          <w:rFonts w:ascii="Times New Roman"/>
                          <w:sz w:val="16"/>
                        </w:rPr>
                      </w:r>
                    </w:p>
                  </w:txbxContent>
                </v:textbox>
                <w10:wrap type="none"/>
              </v:shape>
              <v:shape style="position:absolute;left:673;top:2622;width:112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4,688,580,690.33</w:t>
                      </w:r>
                      <w:r>
                        <w:rPr>
                          <w:rFonts w:ascii="Times New Roman"/>
                          <w:sz w:val="16"/>
                        </w:rPr>
                      </w:r>
                    </w:p>
                  </w:txbxContent>
                </v:textbox>
                <w10:wrap type="none"/>
              </v:shape>
              <v:shape style="position:absolute;left:2008;top:2622;width:100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150,290,281.63</w:t>
                      </w:r>
                      <w:r>
                        <w:rPr>
                          <w:rFonts w:ascii="Times New Roman"/>
                          <w:sz w:val="16"/>
                        </w:rPr>
                      </w:r>
                    </w:p>
                  </w:txbxContent>
                </v:textbox>
                <w10:wrap type="none"/>
              </v:shape>
              <v:shape style="position:absolute;left:3225;top:2622;width:112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4,538,290,408.70</w:t>
                      </w:r>
                      <w:r>
                        <w:rPr>
                          <w:rFonts w:ascii="Times New Roman"/>
                          <w:sz w:val="16"/>
                        </w:rPr>
                      </w:r>
                    </w:p>
                  </w:txbxContent>
                </v:textbox>
                <w10:wrap type="none"/>
              </v:shape>
              <v:shape style="position:absolute;left:4561;top:2622;width:112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3,581,888,783.62</w:t>
                      </w:r>
                      <w:r>
                        <w:rPr>
                          <w:rFonts w:ascii="Times New Roman"/>
                          <w:sz w:val="16"/>
                        </w:rPr>
                      </w:r>
                    </w:p>
                  </w:txbxContent>
                </v:textbox>
                <w10:wrap type="none"/>
              </v:shape>
              <v:shape style="position:absolute;left:5898;top:2622;width:100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159,590,281.63</w:t>
                      </w:r>
                      <w:r>
                        <w:rPr>
                          <w:rFonts w:ascii="Times New Roman"/>
                          <w:sz w:val="16"/>
                        </w:rPr>
                      </w:r>
                    </w:p>
                  </w:txbxContent>
                </v:textbox>
                <w10:wrap type="none"/>
              </v:shape>
              <v:shape style="position:absolute;left:7113;top:2622;width:112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3,422,298,501.99</w:t>
                      </w:r>
                      <w:r>
                        <w:rPr>
                          <w:rFonts w:ascii="Times New Roman"/>
                          <w:sz w:val="16"/>
                        </w:rPr>
                      </w:r>
                    </w:p>
                  </w:txbxContent>
                </v:textbox>
                <w10:wrap type="none"/>
              </v:shape>
            </v:group>
          </v:group>
        </w:pict>
      </w:r>
      <w:r>
        <w:rPr>
          <w:rFonts w:ascii="宋体" w:hAnsi="宋体" w:cs="宋体" w:eastAsia="宋体" w:hint="default"/>
          <w:position w:val="-57"/>
          <w:sz w:val="20"/>
          <w:szCs w:val="20"/>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6"/>
          <w:szCs w:val="16"/>
        </w:rPr>
      </w:pPr>
    </w:p>
    <w:p>
      <w:pPr>
        <w:pStyle w:val="Heading5"/>
        <w:tabs>
          <w:tab w:pos="1397" w:val="left" w:leader="none"/>
        </w:tabs>
        <w:spacing w:line="240" w:lineRule="auto"/>
        <w:ind w:left="846" w:right="3681"/>
        <w:jc w:val="left"/>
        <w:rPr>
          <w:b w:val="0"/>
          <w:bCs w:val="0"/>
        </w:rPr>
      </w:pPr>
      <w:r>
        <w:rPr/>
        <w:pict>
          <v:group style="position:absolute;margin-left:119.010002pt;margin-top:17.074081pt;width:412pt;height:245.6pt;mso-position-horizontal-relative:page;mso-position-vertical-relative:paragraph;z-index:-1358008" coordorigin="2380,341" coordsize="8240,4912">
            <v:group style="position:absolute;left:2410;top:356;width:862;height:2" coordorigin="2410,356" coordsize="862,2">
              <v:shape style="position:absolute;left:2410;top:356;width:862;height:2" coordorigin="2410,356" coordsize="862,0" path="m2410,356l3271,356e" filled="false" stroked="true" strokeweight="1.5pt" strokecolor="#000000">
                <v:path arrowok="t"/>
              </v:shape>
              <v:shape style="position:absolute;left:3271;top:371;width:10;height:28" type="#_x0000_t75" stroked="false">
                <v:imagedata r:id="rId37" o:title=""/>
              </v:shape>
            </v:group>
            <v:group style="position:absolute;left:3271;top:356;width:1266;height:2" coordorigin="3271,356" coordsize="1266,2">
              <v:shape style="position:absolute;left:3271;top:356;width:1266;height:2" coordorigin="3271,356" coordsize="1266,0" path="m3271,356l4537,356e" filled="false" stroked="true" strokeweight="1.5pt" strokecolor="#000000">
                <v:path arrowok="t"/>
              </v:shape>
              <v:shape style="position:absolute;left:4537;top:371;width:10;height:28" type="#_x0000_t75" stroked="false">
                <v:imagedata r:id="rId37" o:title=""/>
              </v:shape>
            </v:group>
            <v:group style="position:absolute;left:4537;top:356;width:1266;height:2" coordorigin="4537,356" coordsize="1266,2">
              <v:shape style="position:absolute;left:4537;top:356;width:1266;height:2" coordorigin="4537,356" coordsize="1266,0" path="m4537,356l5803,356e" filled="false" stroked="true" strokeweight="1.5pt" strokecolor="#000000">
                <v:path arrowok="t"/>
              </v:shape>
              <v:shape style="position:absolute;left:5803;top:371;width:10;height:28" type="#_x0000_t75" stroked="false">
                <v:imagedata r:id="rId37" o:title=""/>
              </v:shape>
            </v:group>
            <v:group style="position:absolute;left:5803;top:356;width:1266;height:2" coordorigin="5803,356" coordsize="1266,2">
              <v:shape style="position:absolute;left:5803;top:356;width:1266;height:2" coordorigin="5803,356" coordsize="1266,0" path="m5803,356l7069,356e" filled="false" stroked="true" strokeweight="1.5pt" strokecolor="#000000">
                <v:path arrowok="t"/>
              </v:shape>
              <v:shape style="position:absolute;left:7069;top:371;width:10;height:28" type="#_x0000_t75" stroked="false">
                <v:imagedata r:id="rId37" o:title=""/>
              </v:shape>
            </v:group>
            <v:group style="position:absolute;left:7069;top:356;width:1266;height:2" coordorigin="7069,356" coordsize="1266,2">
              <v:shape style="position:absolute;left:7069;top:356;width:1266;height:2" coordorigin="7069,356" coordsize="1266,0" path="m7069,356l8335,356e" filled="false" stroked="true" strokeweight="1.5pt" strokecolor="#000000">
                <v:path arrowok="t"/>
              </v:shape>
              <v:shape style="position:absolute;left:8335;top:371;width:10;height:28" type="#_x0000_t75" stroked="false">
                <v:imagedata r:id="rId37" o:title=""/>
              </v:shape>
            </v:group>
            <v:group style="position:absolute;left:8335;top:356;width:1104;height:2" coordorigin="8335,356" coordsize="1104,2">
              <v:shape style="position:absolute;left:8335;top:356;width:1104;height:2" coordorigin="8335,356" coordsize="1104,0" path="m8335,356l9439,356e" filled="false" stroked="true" strokeweight="1.5pt" strokecolor="#000000">
                <v:path arrowok="t"/>
              </v:shape>
              <v:shape style="position:absolute;left:9439;top:371;width:10;height:28" type="#_x0000_t75" stroked="false">
                <v:imagedata r:id="rId37" o:title=""/>
              </v:shape>
            </v:group>
            <v:group style="position:absolute;left:9439;top:356;width:1158;height:2" coordorigin="9439,356" coordsize="1158,2">
              <v:shape style="position:absolute;left:9439;top:356;width:1158;height:2" coordorigin="9439,356" coordsize="1158,0" path="m9439,356l10597,356e" filled="false" stroked="true" strokeweight="1.5pt" strokecolor="#000000">
                <v:path arrowok="t"/>
              </v:shape>
              <v:shape style="position:absolute;left:3252;top:380;width:6216;height:467" type="#_x0000_t75" stroked="false">
                <v:imagedata r:id="rId530" o:title=""/>
              </v:shape>
            </v:group>
            <v:group style="position:absolute;left:2395;top:5238;width:876;height:2" coordorigin="2395,5238" coordsize="876,2">
              <v:shape style="position:absolute;left:2395;top:5238;width:876;height:2" coordorigin="2395,5238" coordsize="876,0" path="m2395,5238l3271,5238e" filled="false" stroked="true" strokeweight="1.5pt" strokecolor="#000000">
                <v:path arrowok="t"/>
              </v:shape>
            </v:group>
            <v:group style="position:absolute;left:3271;top:5238;width:1266;height:2" coordorigin="3271,5238" coordsize="1266,2">
              <v:shape style="position:absolute;left:3271;top:5238;width:1266;height:2" coordorigin="3271,5238" coordsize="1266,0" path="m3271,5238l4537,5238e" filled="false" stroked="true" strokeweight="1.5pt" strokecolor="#000000">
                <v:path arrowok="t"/>
              </v:shape>
            </v:group>
            <v:group style="position:absolute;left:4537;top:5238;width:1266;height:2" coordorigin="4537,5238" coordsize="1266,2">
              <v:shape style="position:absolute;left:4537;top:5238;width:1266;height:2" coordorigin="4537,5238" coordsize="1266,0" path="m4537,5238l5803,5238e" filled="false" stroked="true" strokeweight="1.5pt" strokecolor="#000000">
                <v:path arrowok="t"/>
              </v:shape>
            </v:group>
            <v:group style="position:absolute;left:5803;top:5238;width:1266;height:2" coordorigin="5803,5238" coordsize="1266,2">
              <v:shape style="position:absolute;left:5803;top:5238;width:1266;height:2" coordorigin="5803,5238" coordsize="1266,0" path="m5803,5238l7069,5238e" filled="false" stroked="true" strokeweight="1.5pt" strokecolor="#000000">
                <v:path arrowok="t"/>
              </v:shape>
            </v:group>
            <v:group style="position:absolute;left:7069;top:5238;width:1266;height:2" coordorigin="7069,5238" coordsize="1266,2">
              <v:shape style="position:absolute;left:7069;top:5238;width:1266;height:2" coordorigin="7069,5238" coordsize="1266,0" path="m7069,5238l8335,5238e" filled="false" stroked="true" strokeweight="1.5pt" strokecolor="#000000">
                <v:path arrowok="t"/>
              </v:shape>
            </v:group>
            <v:group style="position:absolute;left:8335;top:5238;width:1104;height:2" coordorigin="8335,5238" coordsize="1104,2">
              <v:shape style="position:absolute;left:8335;top:5238;width:1104;height:2" coordorigin="8335,5238" coordsize="1104,0" path="m8335,5238l9439,5238e" filled="false" stroked="true" strokeweight="1.5pt" strokecolor="#000000">
                <v:path arrowok="t"/>
              </v:shape>
              <v:shape style="position:absolute;left:2390;top:814;width:8230;height:4422" type="#_x0000_t75" stroked="false">
                <v:imagedata r:id="rId531" o:title=""/>
              </v:shape>
            </v:group>
            <v:group style="position:absolute;left:9439;top:5238;width:1158;height:2" coordorigin="9439,5238" coordsize="1158,2">
              <v:shape style="position:absolute;left:9439;top:5238;width:1158;height:2" coordorigin="9439,5238" coordsize="1158,0" path="m9439,5238l10597,5238e" filled="false" stroked="true" strokeweight="1.5pt" strokecolor="#000000">
                <v:path arrowok="t"/>
              </v:shape>
              <v:shape style="position:absolute;left:2543;top:556;width:600;height:120" type="#_x0000_t202" filled="false" stroked="false">
                <v:textbox inset="0,0,0,0">
                  <w:txbxContent>
                    <w:p>
                      <w:pPr>
                        <w:spacing w:line="120" w:lineRule="exact" w:before="0"/>
                        <w:ind w:left="0" w:right="0" w:firstLine="0"/>
                        <w:jc w:val="left"/>
                        <w:rPr>
                          <w:rFonts w:ascii="宋体" w:hAnsi="宋体" w:cs="宋体" w:eastAsia="宋体" w:hint="default"/>
                          <w:sz w:val="12"/>
                          <w:szCs w:val="12"/>
                        </w:rPr>
                      </w:pPr>
                      <w:r>
                        <w:rPr>
                          <w:rFonts w:ascii="宋体" w:hAnsi="宋体" w:cs="宋体" w:eastAsia="宋体" w:hint="default"/>
                          <w:sz w:val="12"/>
                          <w:szCs w:val="12"/>
                        </w:rPr>
                        <w:t>被投资单位</w:t>
                      </w:r>
                    </w:p>
                  </w:txbxContent>
                </v:textbox>
                <w10:wrap type="none"/>
              </v:shape>
              <v:shape style="position:absolute;left:3667;top:556;width:480;height:120" type="#_x0000_t202" filled="false" stroked="false">
                <v:textbox inset="0,0,0,0">
                  <w:txbxContent>
                    <w:p>
                      <w:pPr>
                        <w:spacing w:line="120" w:lineRule="exact" w:before="0"/>
                        <w:ind w:left="0" w:right="0" w:firstLine="0"/>
                        <w:jc w:val="left"/>
                        <w:rPr>
                          <w:rFonts w:ascii="宋体" w:hAnsi="宋体" w:cs="宋体" w:eastAsia="宋体" w:hint="default"/>
                          <w:sz w:val="12"/>
                          <w:szCs w:val="12"/>
                        </w:rPr>
                      </w:pPr>
                      <w:r>
                        <w:rPr>
                          <w:rFonts w:ascii="宋体" w:hAnsi="宋体" w:cs="宋体" w:eastAsia="宋体" w:hint="default"/>
                          <w:sz w:val="12"/>
                          <w:szCs w:val="12"/>
                        </w:rPr>
                        <w:t>年初余额</w:t>
                      </w:r>
                    </w:p>
                  </w:txbxContent>
                </v:textbox>
                <w10:wrap type="none"/>
              </v:shape>
              <v:shape style="position:absolute;left:4933;top:556;width:480;height:120" type="#_x0000_t202" filled="false" stroked="false">
                <v:textbox inset="0,0,0,0">
                  <w:txbxContent>
                    <w:p>
                      <w:pPr>
                        <w:spacing w:line="120" w:lineRule="exact" w:before="0"/>
                        <w:ind w:left="0" w:right="0" w:firstLine="0"/>
                        <w:jc w:val="left"/>
                        <w:rPr>
                          <w:rFonts w:ascii="宋体" w:hAnsi="宋体" w:cs="宋体" w:eastAsia="宋体" w:hint="default"/>
                          <w:sz w:val="12"/>
                          <w:szCs w:val="12"/>
                        </w:rPr>
                      </w:pPr>
                      <w:r>
                        <w:rPr>
                          <w:rFonts w:ascii="宋体" w:hAnsi="宋体" w:cs="宋体" w:eastAsia="宋体" w:hint="default"/>
                          <w:sz w:val="12"/>
                          <w:szCs w:val="12"/>
                        </w:rPr>
                        <w:t>本期增加</w:t>
                      </w:r>
                    </w:p>
                  </w:txbxContent>
                </v:textbox>
                <w10:wrap type="none"/>
              </v:shape>
              <v:shape style="position:absolute;left:6199;top:556;width:480;height:120" type="#_x0000_t202" filled="false" stroked="false">
                <v:textbox inset="0,0,0,0">
                  <w:txbxContent>
                    <w:p>
                      <w:pPr>
                        <w:spacing w:line="120" w:lineRule="exact" w:before="0"/>
                        <w:ind w:left="0" w:right="0" w:firstLine="0"/>
                        <w:jc w:val="left"/>
                        <w:rPr>
                          <w:rFonts w:ascii="宋体" w:hAnsi="宋体" w:cs="宋体" w:eastAsia="宋体" w:hint="default"/>
                          <w:sz w:val="12"/>
                          <w:szCs w:val="12"/>
                        </w:rPr>
                      </w:pPr>
                      <w:r>
                        <w:rPr>
                          <w:rFonts w:ascii="宋体" w:hAnsi="宋体" w:cs="宋体" w:eastAsia="宋体" w:hint="default"/>
                          <w:sz w:val="12"/>
                          <w:szCs w:val="12"/>
                        </w:rPr>
                        <w:t>本期减少</w:t>
                      </w:r>
                    </w:p>
                  </w:txbxContent>
                </v:textbox>
                <w10:wrap type="none"/>
              </v:shape>
              <v:shape style="position:absolute;left:7465;top:556;width:480;height:120" type="#_x0000_t202" filled="false" stroked="false">
                <v:textbox inset="0,0,0,0">
                  <w:txbxContent>
                    <w:p>
                      <w:pPr>
                        <w:spacing w:line="120" w:lineRule="exact" w:before="0"/>
                        <w:ind w:left="0" w:right="0" w:firstLine="0"/>
                        <w:jc w:val="left"/>
                        <w:rPr>
                          <w:rFonts w:ascii="宋体" w:hAnsi="宋体" w:cs="宋体" w:eastAsia="宋体" w:hint="default"/>
                          <w:sz w:val="12"/>
                          <w:szCs w:val="12"/>
                        </w:rPr>
                      </w:pPr>
                      <w:r>
                        <w:rPr>
                          <w:rFonts w:ascii="宋体" w:hAnsi="宋体" w:cs="宋体" w:eastAsia="宋体" w:hint="default"/>
                          <w:sz w:val="12"/>
                          <w:szCs w:val="12"/>
                        </w:rPr>
                        <w:t>期末余额</w:t>
                      </w:r>
                    </w:p>
                  </w:txbxContent>
                </v:textbox>
                <w10:wrap type="none"/>
              </v:shape>
              <v:shape style="position:absolute;left:8531;top:456;width:720;height:321" type="#_x0000_t202" filled="false" stroked="false">
                <v:textbox inset="0,0,0,0">
                  <w:txbxContent>
                    <w:p>
                      <w:pPr>
                        <w:spacing w:line="120" w:lineRule="exact" w:before="0"/>
                        <w:ind w:left="0" w:right="0" w:firstLine="0"/>
                        <w:jc w:val="center"/>
                        <w:rPr>
                          <w:rFonts w:ascii="宋体" w:hAnsi="宋体" w:cs="宋体" w:eastAsia="宋体" w:hint="default"/>
                          <w:sz w:val="12"/>
                          <w:szCs w:val="12"/>
                        </w:rPr>
                      </w:pPr>
                      <w:r>
                        <w:rPr>
                          <w:rFonts w:ascii="宋体" w:hAnsi="宋体" w:cs="宋体" w:eastAsia="宋体" w:hint="default"/>
                          <w:sz w:val="12"/>
                          <w:szCs w:val="12"/>
                        </w:rPr>
                        <w:t>本期计提减值</w:t>
                      </w:r>
                    </w:p>
                    <w:p>
                      <w:pPr>
                        <w:spacing w:before="43"/>
                        <w:ind w:left="0" w:right="0" w:firstLine="0"/>
                        <w:jc w:val="center"/>
                        <w:rPr>
                          <w:rFonts w:ascii="宋体" w:hAnsi="宋体" w:cs="宋体" w:eastAsia="宋体" w:hint="default"/>
                          <w:sz w:val="12"/>
                          <w:szCs w:val="12"/>
                        </w:rPr>
                      </w:pPr>
                      <w:r>
                        <w:rPr>
                          <w:rFonts w:ascii="宋体" w:hAnsi="宋体" w:cs="宋体" w:eastAsia="宋体" w:hint="default"/>
                          <w:sz w:val="12"/>
                          <w:szCs w:val="12"/>
                        </w:rPr>
                        <w:t>准备</w:t>
                      </w:r>
                    </w:p>
                  </w:txbxContent>
                </v:textbox>
                <w10:wrap type="none"/>
              </v:shape>
              <v:shape style="position:absolute;left:9660;top:456;width:720;height:321" type="#_x0000_t202" filled="false" stroked="false">
                <v:textbox inset="0,0,0,0">
                  <w:txbxContent>
                    <w:p>
                      <w:pPr>
                        <w:spacing w:line="120" w:lineRule="exact" w:before="0"/>
                        <w:ind w:left="0" w:right="0" w:firstLine="0"/>
                        <w:jc w:val="center"/>
                        <w:rPr>
                          <w:rFonts w:ascii="宋体" w:hAnsi="宋体" w:cs="宋体" w:eastAsia="宋体" w:hint="default"/>
                          <w:sz w:val="12"/>
                          <w:szCs w:val="12"/>
                        </w:rPr>
                      </w:pPr>
                      <w:r>
                        <w:rPr>
                          <w:rFonts w:ascii="宋体" w:hAnsi="宋体" w:cs="宋体" w:eastAsia="宋体" w:hint="default"/>
                          <w:sz w:val="12"/>
                          <w:szCs w:val="12"/>
                        </w:rPr>
                        <w:t>减值准备期末</w:t>
                      </w:r>
                    </w:p>
                    <w:p>
                      <w:pPr>
                        <w:spacing w:before="43"/>
                        <w:ind w:left="0" w:right="0" w:firstLine="0"/>
                        <w:jc w:val="center"/>
                        <w:rPr>
                          <w:rFonts w:ascii="宋体" w:hAnsi="宋体" w:cs="宋体" w:eastAsia="宋体" w:hint="default"/>
                          <w:sz w:val="12"/>
                          <w:szCs w:val="12"/>
                        </w:rPr>
                      </w:pPr>
                      <w:r>
                        <w:rPr>
                          <w:rFonts w:ascii="宋体" w:hAnsi="宋体" w:cs="宋体" w:eastAsia="宋体" w:hint="default"/>
                          <w:sz w:val="12"/>
                          <w:szCs w:val="12"/>
                        </w:rPr>
                        <w:t>余额</w:t>
                      </w:r>
                    </w:p>
                  </w:txbxContent>
                </v:textbox>
                <w10:wrap type="none"/>
              </v:shape>
              <v:shape style="position:absolute;left:2518;top:922;width:600;height:520" type="#_x0000_t202" filled="false" stroked="false">
                <v:textbox inset="0,0,0,0">
                  <w:txbxContent>
                    <w:p>
                      <w:pPr>
                        <w:spacing w:line="120" w:lineRule="exact" w:before="0"/>
                        <w:ind w:left="0" w:right="0" w:firstLine="0"/>
                        <w:jc w:val="left"/>
                        <w:rPr>
                          <w:rFonts w:ascii="宋体" w:hAnsi="宋体" w:cs="宋体" w:eastAsia="宋体" w:hint="default"/>
                          <w:sz w:val="12"/>
                          <w:szCs w:val="12"/>
                        </w:rPr>
                      </w:pPr>
                      <w:r>
                        <w:rPr>
                          <w:rFonts w:ascii="宋体" w:hAnsi="宋体" w:cs="宋体" w:eastAsia="宋体" w:hint="default"/>
                          <w:sz w:val="12"/>
                          <w:szCs w:val="12"/>
                        </w:rPr>
                        <w:t>北海长城能</w:t>
                      </w:r>
                    </w:p>
                    <w:p>
                      <w:pPr>
                        <w:spacing w:line="200" w:lineRule="exact" w:before="22"/>
                        <w:ind w:left="0" w:right="0" w:firstLine="0"/>
                        <w:jc w:val="left"/>
                        <w:rPr>
                          <w:rFonts w:ascii="宋体" w:hAnsi="宋体" w:cs="宋体" w:eastAsia="宋体" w:hint="default"/>
                          <w:sz w:val="12"/>
                          <w:szCs w:val="12"/>
                        </w:rPr>
                      </w:pPr>
                      <w:r>
                        <w:rPr>
                          <w:rFonts w:ascii="宋体" w:hAnsi="宋体" w:cs="宋体" w:eastAsia="宋体" w:hint="default"/>
                          <w:sz w:val="12"/>
                          <w:szCs w:val="12"/>
                        </w:rPr>
                        <w:t>源科技股份 有限公司</w:t>
                      </w:r>
                    </w:p>
                  </w:txbxContent>
                </v:textbox>
                <w10:wrap type="none"/>
              </v:shape>
              <v:shape style="position:absolute;left:3748;top:1139;width:686;height:120" type="#_x0000_t202" filled="false" stroked="false">
                <v:textbox inset="0,0,0,0">
                  <w:txbxContent>
                    <w:p>
                      <w:pPr>
                        <w:spacing w:line="120" w:lineRule="exact" w:before="0"/>
                        <w:ind w:left="0" w:right="0" w:firstLine="0"/>
                        <w:jc w:val="left"/>
                        <w:rPr>
                          <w:rFonts w:ascii="Times New Roman" w:hAnsi="Times New Roman" w:cs="Times New Roman" w:eastAsia="Times New Roman" w:hint="default"/>
                          <w:sz w:val="12"/>
                          <w:szCs w:val="12"/>
                        </w:rPr>
                      </w:pPr>
                      <w:r>
                        <w:rPr>
                          <w:rFonts w:ascii="Times New Roman"/>
                          <w:spacing w:val="-1"/>
                          <w:sz w:val="12"/>
                        </w:rPr>
                        <w:t>11,130,000.00</w:t>
                      </w:r>
                    </w:p>
                  </w:txbxContent>
                </v:textbox>
                <w10:wrap type="none"/>
              </v:shape>
              <v:shape style="position:absolute;left:6279;top:1139;width:686;height:120" type="#_x0000_t202" filled="false" stroked="false">
                <v:textbox inset="0,0,0,0">
                  <w:txbxContent>
                    <w:p>
                      <w:pPr>
                        <w:spacing w:line="120" w:lineRule="exact" w:before="0"/>
                        <w:ind w:left="0" w:right="0" w:firstLine="0"/>
                        <w:jc w:val="left"/>
                        <w:rPr>
                          <w:rFonts w:ascii="Times New Roman" w:hAnsi="Times New Roman" w:cs="Times New Roman" w:eastAsia="Times New Roman" w:hint="default"/>
                          <w:sz w:val="12"/>
                          <w:szCs w:val="12"/>
                        </w:rPr>
                      </w:pPr>
                      <w:r>
                        <w:rPr>
                          <w:rFonts w:ascii="Times New Roman"/>
                          <w:spacing w:val="-1"/>
                          <w:sz w:val="12"/>
                        </w:rPr>
                        <w:t>11,130,000.00</w:t>
                      </w:r>
                    </w:p>
                  </w:txbxContent>
                </v:textbox>
                <w10:wrap type="none"/>
              </v:shape>
              <v:shape style="position:absolute;left:8624;top:1139;width:710;height:120" type="#_x0000_t202" filled="false" stroked="false">
                <v:textbox inset="0,0,0,0">
                  <w:txbxContent>
                    <w:p>
                      <w:pPr>
                        <w:spacing w:line="120" w:lineRule="exact" w:before="0"/>
                        <w:ind w:left="0" w:right="0" w:firstLine="0"/>
                        <w:jc w:val="left"/>
                        <w:rPr>
                          <w:rFonts w:ascii="Times New Roman" w:hAnsi="Times New Roman" w:cs="Times New Roman" w:eastAsia="Times New Roman" w:hint="default"/>
                          <w:sz w:val="12"/>
                          <w:szCs w:val="12"/>
                        </w:rPr>
                      </w:pPr>
                      <w:r>
                        <w:rPr>
                          <w:rFonts w:ascii="Times New Roman"/>
                          <w:sz w:val="12"/>
                        </w:rPr>
                        <w:t>(5,300,000.00)</w:t>
                      </w:r>
                    </w:p>
                  </w:txbxContent>
                </v:textbox>
                <w10:wrap type="none"/>
              </v:shape>
              <v:shape style="position:absolute;left:2518;top:1588;width:711;height:720" type="#_x0000_t202" filled="false" stroked="false">
                <v:textbox inset="0,0,0,0">
                  <w:txbxContent>
                    <w:p>
                      <w:pPr>
                        <w:spacing w:line="120" w:lineRule="exact" w:before="0"/>
                        <w:ind w:left="0" w:right="0" w:firstLine="0"/>
                        <w:jc w:val="left"/>
                        <w:rPr>
                          <w:rFonts w:ascii="宋体" w:hAnsi="宋体" w:cs="宋体" w:eastAsia="宋体" w:hint="default"/>
                          <w:sz w:val="12"/>
                          <w:szCs w:val="12"/>
                        </w:rPr>
                      </w:pPr>
                      <w:r>
                        <w:rPr>
                          <w:rFonts w:ascii="宋体" w:hAnsi="宋体" w:cs="宋体" w:eastAsia="宋体" w:hint="default"/>
                          <w:sz w:val="12"/>
                          <w:szCs w:val="12"/>
                        </w:rPr>
                        <w:t>中国长城计</w:t>
                      </w:r>
                    </w:p>
                    <w:p>
                      <w:pPr>
                        <w:spacing w:line="200" w:lineRule="exact" w:before="22"/>
                        <w:ind w:left="0" w:right="0" w:firstLine="0"/>
                        <w:jc w:val="left"/>
                        <w:rPr>
                          <w:rFonts w:ascii="宋体" w:hAnsi="宋体" w:cs="宋体" w:eastAsia="宋体" w:hint="default"/>
                          <w:sz w:val="12"/>
                          <w:szCs w:val="12"/>
                        </w:rPr>
                      </w:pPr>
                      <w:r>
                        <w:rPr>
                          <w:rFonts w:ascii="宋体" w:hAnsi="宋体" w:cs="宋体" w:eastAsia="宋体" w:hint="default"/>
                          <w:spacing w:val="-2"/>
                          <w:sz w:val="12"/>
                          <w:szCs w:val="12"/>
                        </w:rPr>
                        <w:t>算机（香港）</w:t>
                      </w:r>
                      <w:r>
                        <w:rPr>
                          <w:rFonts w:ascii="宋体" w:hAnsi="宋体" w:cs="宋体" w:eastAsia="宋体" w:hint="default"/>
                          <w:spacing w:val="-58"/>
                          <w:sz w:val="12"/>
                          <w:szCs w:val="12"/>
                        </w:rPr>
                        <w:t> </w:t>
                      </w:r>
                      <w:r>
                        <w:rPr>
                          <w:rFonts w:ascii="宋体" w:hAnsi="宋体" w:cs="宋体" w:eastAsia="宋体" w:hint="default"/>
                          <w:spacing w:val="-58"/>
                          <w:sz w:val="12"/>
                          <w:szCs w:val="12"/>
                        </w:rPr>
                      </w:r>
                      <w:r>
                        <w:rPr>
                          <w:rFonts w:ascii="宋体" w:hAnsi="宋体" w:cs="宋体" w:eastAsia="宋体" w:hint="default"/>
                          <w:sz w:val="12"/>
                          <w:szCs w:val="12"/>
                        </w:rPr>
                        <w:t>控股有限公 司</w:t>
                      </w:r>
                    </w:p>
                  </w:txbxContent>
                </v:textbox>
                <w10:wrap type="none"/>
              </v:shape>
              <v:shape style="position:absolute;left:3743;top:1906;width:690;height:120" type="#_x0000_t202" filled="false" stroked="false">
                <v:textbox inset="0,0,0,0">
                  <w:txbxContent>
                    <w:p>
                      <w:pPr>
                        <w:spacing w:line="120" w:lineRule="exact" w:before="0"/>
                        <w:ind w:left="0" w:right="0" w:firstLine="0"/>
                        <w:jc w:val="left"/>
                        <w:rPr>
                          <w:rFonts w:ascii="Times New Roman" w:hAnsi="Times New Roman" w:cs="Times New Roman" w:eastAsia="Times New Roman" w:hint="default"/>
                          <w:sz w:val="12"/>
                          <w:szCs w:val="12"/>
                        </w:rPr>
                      </w:pPr>
                      <w:r>
                        <w:rPr>
                          <w:rFonts w:ascii="Times New Roman"/>
                          <w:sz w:val="12"/>
                        </w:rPr>
                        <w:t>48,062,328.26</w:t>
                      </w:r>
                    </w:p>
                  </w:txbxContent>
                </v:textbox>
                <w10:wrap type="none"/>
              </v:shape>
              <v:shape style="position:absolute;left:7541;top:1906;width:690;height:120" type="#_x0000_t202" filled="false" stroked="false">
                <v:textbox inset="0,0,0,0">
                  <w:txbxContent>
                    <w:p>
                      <w:pPr>
                        <w:spacing w:line="120" w:lineRule="exact" w:before="0"/>
                        <w:ind w:left="0" w:right="0" w:firstLine="0"/>
                        <w:jc w:val="left"/>
                        <w:rPr>
                          <w:rFonts w:ascii="Times New Roman" w:hAnsi="Times New Roman" w:cs="Times New Roman" w:eastAsia="Times New Roman" w:hint="default"/>
                          <w:sz w:val="12"/>
                          <w:szCs w:val="12"/>
                        </w:rPr>
                      </w:pPr>
                      <w:r>
                        <w:rPr>
                          <w:rFonts w:ascii="Times New Roman"/>
                          <w:sz w:val="12"/>
                        </w:rPr>
                        <w:t>48,062,328.26</w:t>
                      </w:r>
                    </w:p>
                  </w:txbxContent>
                </v:textbox>
                <w10:wrap type="none"/>
              </v:shape>
              <v:shape style="position:absolute;left:2518;top:2454;width:600;height:120" type="#_x0000_t202" filled="false" stroked="false">
                <v:textbox inset="0,0,0,0">
                  <w:txbxContent>
                    <w:p>
                      <w:pPr>
                        <w:spacing w:line="120" w:lineRule="exact" w:before="0"/>
                        <w:ind w:left="0" w:right="0" w:firstLine="0"/>
                        <w:jc w:val="left"/>
                        <w:rPr>
                          <w:rFonts w:ascii="宋体" w:hAnsi="宋体" w:cs="宋体" w:eastAsia="宋体" w:hint="default"/>
                          <w:sz w:val="12"/>
                          <w:szCs w:val="12"/>
                        </w:rPr>
                      </w:pPr>
                      <w:r>
                        <w:rPr>
                          <w:rFonts w:ascii="宋体" w:hAnsi="宋体" w:cs="宋体" w:eastAsia="宋体" w:hint="default"/>
                          <w:sz w:val="12"/>
                          <w:szCs w:val="12"/>
                        </w:rPr>
                        <w:t>深圳中电长</w:t>
                      </w:r>
                    </w:p>
                  </w:txbxContent>
                </v:textbox>
                <w10:wrap type="none"/>
              </v:shape>
            </v:group>
            <w10:wrap type="none"/>
          </v:group>
        </w:pict>
      </w:r>
      <w:r>
        <w:rPr>
          <w:rFonts w:ascii="Times New Roman" w:hAnsi="Times New Roman" w:cs="Times New Roman" w:eastAsia="Times New Roman" w:hint="default"/>
          <w:w w:val="95"/>
        </w:rPr>
        <w:t>1</w:t>
      </w:r>
      <w:r>
        <w:rPr>
          <w:w w:val="95"/>
        </w:rPr>
        <w:t>、</w:t>
        <w:tab/>
      </w:r>
      <w:r>
        <w:rPr/>
        <w:t>对子公司投资</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9"/>
          <w:szCs w:val="19"/>
        </w:rPr>
      </w:pPr>
    </w:p>
    <w:tbl>
      <w:tblPr>
        <w:tblW w:w="0" w:type="auto"/>
        <w:jc w:val="left"/>
        <w:tblInd w:w="787" w:type="dxa"/>
        <w:tblLayout w:type="fixed"/>
        <w:tblCellMar>
          <w:top w:w="0" w:type="dxa"/>
          <w:left w:w="0" w:type="dxa"/>
          <w:bottom w:w="0" w:type="dxa"/>
          <w:right w:w="0" w:type="dxa"/>
        </w:tblCellMar>
        <w:tblLook w:val="01E0"/>
      </w:tblPr>
      <w:tblGrid>
        <w:gridCol w:w="1200"/>
        <w:gridCol w:w="1103"/>
        <w:gridCol w:w="1839"/>
        <w:gridCol w:w="1676"/>
        <w:gridCol w:w="2258"/>
      </w:tblGrid>
      <w:tr>
        <w:trPr>
          <w:trHeight w:val="393" w:hRule="exact"/>
        </w:trPr>
        <w:tc>
          <w:tcPr>
            <w:tcW w:w="2303" w:type="dxa"/>
            <w:gridSpan w:val="2"/>
            <w:tcBorders>
              <w:top w:val="nil" w:sz="6" w:space="0" w:color="auto"/>
              <w:left w:val="nil" w:sz="6" w:space="0" w:color="auto"/>
              <w:bottom w:val="nil" w:sz="6" w:space="0" w:color="auto"/>
              <w:right w:val="nil" w:sz="6" w:space="0" w:color="auto"/>
            </w:tcBorders>
          </w:tcPr>
          <w:p>
            <w:pPr>
              <w:pStyle w:val="TableParagraph"/>
              <w:tabs>
                <w:tab w:pos="1235" w:val="left" w:leader="none"/>
              </w:tabs>
              <w:spacing w:line="123" w:lineRule="exact"/>
              <w:ind w:left="70" w:right="0"/>
              <w:jc w:val="left"/>
              <w:rPr>
                <w:rFonts w:ascii="Times New Roman" w:hAnsi="Times New Roman" w:cs="Times New Roman" w:eastAsia="Times New Roman" w:hint="default"/>
                <w:sz w:val="12"/>
                <w:szCs w:val="12"/>
              </w:rPr>
            </w:pPr>
            <w:r>
              <w:rPr>
                <w:rFonts w:ascii="宋体" w:hAnsi="宋体" w:cs="宋体" w:eastAsia="宋体" w:hint="default"/>
                <w:position w:val="1"/>
                <w:sz w:val="12"/>
                <w:szCs w:val="12"/>
              </w:rPr>
              <w:t>城能源有限</w:t>
              <w:tab/>
            </w:r>
            <w:r>
              <w:rPr>
                <w:rFonts w:ascii="Times New Roman" w:hAnsi="Times New Roman" w:cs="Times New Roman" w:eastAsia="Times New Roman" w:hint="default"/>
                <w:sz w:val="12"/>
                <w:szCs w:val="12"/>
              </w:rPr>
              <w:t>450,290,281.63</w:t>
            </w:r>
          </w:p>
          <w:p>
            <w:pPr>
              <w:pStyle w:val="TableParagraph"/>
              <w:spacing w:line="240" w:lineRule="auto" w:before="23"/>
              <w:ind w:left="70" w:right="0"/>
              <w:jc w:val="left"/>
              <w:rPr>
                <w:rFonts w:ascii="宋体" w:hAnsi="宋体" w:cs="宋体" w:eastAsia="宋体" w:hint="default"/>
                <w:sz w:val="12"/>
                <w:szCs w:val="12"/>
              </w:rPr>
            </w:pPr>
            <w:r>
              <w:rPr>
                <w:rFonts w:ascii="宋体" w:hAnsi="宋体" w:cs="宋体" w:eastAsia="宋体" w:hint="default"/>
                <w:sz w:val="12"/>
                <w:szCs w:val="12"/>
              </w:rPr>
              <w:t>公司</w:t>
            </w:r>
          </w:p>
        </w:tc>
        <w:tc>
          <w:tcPr>
            <w:tcW w:w="1839" w:type="dxa"/>
            <w:tcBorders>
              <w:top w:val="nil" w:sz="6" w:space="0" w:color="auto"/>
              <w:left w:val="nil" w:sz="6" w:space="0" w:color="auto"/>
              <w:bottom w:val="nil" w:sz="6" w:space="0" w:color="auto"/>
              <w:right w:val="nil" w:sz="6" w:space="0" w:color="auto"/>
            </w:tcBorders>
          </w:tcPr>
          <w:p>
            <w:pPr/>
          </w:p>
        </w:tc>
        <w:tc>
          <w:tcPr>
            <w:tcW w:w="1676" w:type="dxa"/>
            <w:tcBorders>
              <w:top w:val="nil" w:sz="6" w:space="0" w:color="auto"/>
              <w:left w:val="nil" w:sz="6" w:space="0" w:color="auto"/>
              <w:bottom w:val="nil" w:sz="6" w:space="0" w:color="auto"/>
              <w:right w:val="nil" w:sz="6" w:space="0" w:color="auto"/>
            </w:tcBorders>
          </w:tcPr>
          <w:p>
            <w:pPr>
              <w:pStyle w:val="TableParagraph"/>
              <w:spacing w:line="123" w:lineRule="exact"/>
              <w:ind w:right="33"/>
              <w:jc w:val="right"/>
              <w:rPr>
                <w:rFonts w:ascii="Times New Roman" w:hAnsi="Times New Roman" w:cs="Times New Roman" w:eastAsia="Times New Roman" w:hint="default"/>
                <w:sz w:val="12"/>
                <w:szCs w:val="12"/>
              </w:rPr>
            </w:pPr>
            <w:r>
              <w:rPr>
                <w:rFonts w:ascii="Times New Roman"/>
                <w:sz w:val="12"/>
              </w:rPr>
              <w:t>450,290,281.63</w:t>
            </w:r>
          </w:p>
        </w:tc>
        <w:tc>
          <w:tcPr>
            <w:tcW w:w="2258" w:type="dxa"/>
            <w:tcBorders>
              <w:top w:val="nil" w:sz="6" w:space="0" w:color="auto"/>
              <w:left w:val="nil" w:sz="6" w:space="0" w:color="auto"/>
              <w:bottom w:val="nil" w:sz="6" w:space="0" w:color="auto"/>
              <w:right w:val="nil" w:sz="6" w:space="0" w:color="auto"/>
            </w:tcBorders>
          </w:tcPr>
          <w:p>
            <w:pPr>
              <w:pStyle w:val="TableParagraph"/>
              <w:spacing w:line="123" w:lineRule="exact"/>
              <w:ind w:left="1473" w:right="0"/>
              <w:jc w:val="left"/>
              <w:rPr>
                <w:rFonts w:ascii="Times New Roman" w:hAnsi="Times New Roman" w:cs="Times New Roman" w:eastAsia="Times New Roman" w:hint="default"/>
                <w:sz w:val="12"/>
                <w:szCs w:val="12"/>
              </w:rPr>
            </w:pPr>
            <w:r>
              <w:rPr>
                <w:rFonts w:ascii="Times New Roman"/>
                <w:sz w:val="12"/>
              </w:rPr>
              <w:t>150,290,281.63</w:t>
            </w:r>
          </w:p>
        </w:tc>
      </w:tr>
      <w:tr>
        <w:trPr>
          <w:trHeight w:val="716" w:hRule="exact"/>
        </w:trPr>
        <w:tc>
          <w:tcPr>
            <w:tcW w:w="230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8"/>
              <w:ind w:left="70" w:right="0"/>
              <w:jc w:val="left"/>
              <w:rPr>
                <w:rFonts w:ascii="宋体" w:hAnsi="宋体" w:cs="宋体" w:eastAsia="宋体" w:hint="default"/>
                <w:sz w:val="12"/>
                <w:szCs w:val="12"/>
              </w:rPr>
            </w:pPr>
            <w:r>
              <w:rPr>
                <w:rFonts w:ascii="宋体" w:hAnsi="宋体" w:cs="宋体" w:eastAsia="宋体" w:hint="default"/>
                <w:sz w:val="12"/>
                <w:szCs w:val="12"/>
              </w:rPr>
              <w:t>海南长城系</w:t>
            </w:r>
          </w:p>
          <w:p>
            <w:pPr>
              <w:pStyle w:val="TableParagraph"/>
              <w:tabs>
                <w:tab w:pos="1295" w:val="left" w:leader="none"/>
              </w:tabs>
              <w:spacing w:line="240" w:lineRule="auto" w:before="44"/>
              <w:ind w:left="70" w:right="0"/>
              <w:jc w:val="left"/>
              <w:rPr>
                <w:rFonts w:ascii="Times New Roman" w:hAnsi="Times New Roman" w:cs="Times New Roman" w:eastAsia="Times New Roman" w:hint="default"/>
                <w:sz w:val="12"/>
                <w:szCs w:val="12"/>
              </w:rPr>
            </w:pPr>
            <w:r>
              <w:rPr>
                <w:rFonts w:ascii="宋体" w:hAnsi="宋体" w:cs="宋体" w:eastAsia="宋体" w:hint="default"/>
                <w:position w:val="1"/>
                <w:sz w:val="12"/>
                <w:szCs w:val="12"/>
              </w:rPr>
              <w:t>统科技有限</w:t>
              <w:tab/>
            </w:r>
            <w:r>
              <w:rPr>
                <w:rFonts w:ascii="Times New Roman" w:hAnsi="Times New Roman" w:cs="Times New Roman" w:eastAsia="Times New Roman" w:hint="default"/>
                <w:sz w:val="12"/>
                <w:szCs w:val="12"/>
              </w:rPr>
              <w:t>16,000,000.00</w:t>
            </w:r>
          </w:p>
          <w:p>
            <w:pPr>
              <w:pStyle w:val="TableParagraph"/>
              <w:spacing w:line="240" w:lineRule="auto" w:before="23"/>
              <w:ind w:left="70" w:right="0"/>
              <w:jc w:val="left"/>
              <w:rPr>
                <w:rFonts w:ascii="宋体" w:hAnsi="宋体" w:cs="宋体" w:eastAsia="宋体" w:hint="default"/>
                <w:sz w:val="12"/>
                <w:szCs w:val="12"/>
              </w:rPr>
            </w:pPr>
            <w:r>
              <w:rPr>
                <w:rFonts w:ascii="宋体" w:hAnsi="宋体" w:cs="宋体" w:eastAsia="宋体" w:hint="default"/>
                <w:sz w:val="12"/>
                <w:szCs w:val="12"/>
              </w:rPr>
              <w:t>公司</w:t>
            </w:r>
          </w:p>
        </w:tc>
        <w:tc>
          <w:tcPr>
            <w:tcW w:w="1839" w:type="dxa"/>
            <w:tcBorders>
              <w:top w:val="nil" w:sz="6" w:space="0" w:color="auto"/>
              <w:left w:val="nil" w:sz="6" w:space="0" w:color="auto"/>
              <w:bottom w:val="nil" w:sz="6" w:space="0" w:color="auto"/>
              <w:right w:val="nil" w:sz="6" w:space="0" w:color="auto"/>
            </w:tcBorders>
          </w:tcPr>
          <w:p>
            <w:pPr/>
          </w:p>
        </w:tc>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00"/>
              <w:ind w:right="33"/>
              <w:jc w:val="right"/>
              <w:rPr>
                <w:rFonts w:ascii="Times New Roman" w:hAnsi="Times New Roman" w:cs="Times New Roman" w:eastAsia="Times New Roman" w:hint="default"/>
                <w:sz w:val="12"/>
                <w:szCs w:val="12"/>
              </w:rPr>
            </w:pPr>
            <w:r>
              <w:rPr>
                <w:rFonts w:ascii="Times New Roman"/>
                <w:sz w:val="12"/>
              </w:rPr>
              <w:t>16,000,000.00</w:t>
            </w:r>
          </w:p>
        </w:tc>
        <w:tc>
          <w:tcPr>
            <w:tcW w:w="2258" w:type="dxa"/>
            <w:tcBorders>
              <w:top w:val="nil" w:sz="6" w:space="0" w:color="auto"/>
              <w:left w:val="nil" w:sz="6" w:space="0" w:color="auto"/>
              <w:bottom w:val="nil" w:sz="6" w:space="0" w:color="auto"/>
              <w:right w:val="nil" w:sz="6" w:space="0" w:color="auto"/>
            </w:tcBorders>
          </w:tcPr>
          <w:p>
            <w:pPr/>
          </w:p>
        </w:tc>
      </w:tr>
      <w:tr>
        <w:trPr>
          <w:trHeight w:val="425" w:hRule="exact"/>
        </w:trPr>
        <w:tc>
          <w:tcPr>
            <w:tcW w:w="2303" w:type="dxa"/>
            <w:gridSpan w:val="2"/>
            <w:tcBorders>
              <w:top w:val="nil" w:sz="6" w:space="0" w:color="auto"/>
              <w:left w:val="nil" w:sz="6" w:space="0" w:color="auto"/>
              <w:bottom w:val="nil" w:sz="6" w:space="0" w:color="auto"/>
              <w:right w:val="nil" w:sz="6" w:space="0" w:color="auto"/>
            </w:tcBorders>
          </w:tcPr>
          <w:p>
            <w:pPr>
              <w:pStyle w:val="TableParagraph"/>
              <w:spacing w:line="125" w:lineRule="exact"/>
              <w:ind w:left="70" w:right="0"/>
              <w:jc w:val="left"/>
              <w:rPr>
                <w:rFonts w:ascii="宋体" w:hAnsi="宋体" w:cs="宋体" w:eastAsia="宋体" w:hint="default"/>
                <w:sz w:val="12"/>
                <w:szCs w:val="12"/>
              </w:rPr>
            </w:pPr>
            <w:r>
              <w:rPr>
                <w:rFonts w:ascii="宋体" w:hAnsi="宋体" w:cs="宋体" w:eastAsia="宋体" w:hint="default"/>
                <w:sz w:val="12"/>
                <w:szCs w:val="12"/>
              </w:rPr>
              <w:t>深圳中电长</w:t>
            </w:r>
          </w:p>
          <w:p>
            <w:pPr>
              <w:pStyle w:val="TableParagraph"/>
              <w:spacing w:line="148" w:lineRule="exact" w:before="43"/>
              <w:ind w:left="70" w:right="0"/>
              <w:jc w:val="left"/>
              <w:rPr>
                <w:rFonts w:ascii="宋体" w:hAnsi="宋体" w:cs="宋体" w:eastAsia="宋体" w:hint="default"/>
                <w:sz w:val="12"/>
                <w:szCs w:val="12"/>
              </w:rPr>
            </w:pPr>
            <w:r>
              <w:rPr>
                <w:rFonts w:ascii="宋体" w:hAnsi="宋体" w:cs="宋体" w:eastAsia="宋体" w:hint="default"/>
                <w:sz w:val="12"/>
                <w:szCs w:val="12"/>
              </w:rPr>
              <w:t>城信息安全</w:t>
            </w:r>
          </w:p>
          <w:p>
            <w:pPr>
              <w:pStyle w:val="TableParagraph"/>
              <w:spacing w:line="129" w:lineRule="exact"/>
              <w:ind w:left="1235" w:right="0"/>
              <w:jc w:val="left"/>
              <w:rPr>
                <w:rFonts w:ascii="Times New Roman" w:hAnsi="Times New Roman" w:cs="Times New Roman" w:eastAsia="Times New Roman" w:hint="default"/>
                <w:sz w:val="12"/>
                <w:szCs w:val="12"/>
              </w:rPr>
            </w:pPr>
            <w:r>
              <w:rPr>
                <w:rFonts w:ascii="Times New Roman"/>
                <w:sz w:val="12"/>
              </w:rPr>
              <w:t>150,000,000.00</w:t>
            </w:r>
          </w:p>
        </w:tc>
        <w:tc>
          <w:tcPr>
            <w:tcW w:w="183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6"/>
              <w:ind w:right="0"/>
              <w:jc w:val="left"/>
              <w:rPr>
                <w:rFonts w:ascii="宋体" w:hAnsi="宋体" w:cs="宋体" w:eastAsia="宋体" w:hint="default"/>
                <w:b/>
                <w:bCs/>
                <w:sz w:val="11"/>
                <w:szCs w:val="11"/>
              </w:rPr>
            </w:pPr>
          </w:p>
          <w:p>
            <w:pPr>
              <w:pStyle w:val="TableParagraph"/>
              <w:spacing w:line="240" w:lineRule="auto"/>
              <w:ind w:left="318" w:right="0"/>
              <w:jc w:val="left"/>
              <w:rPr>
                <w:rFonts w:ascii="Times New Roman" w:hAnsi="Times New Roman" w:cs="Times New Roman" w:eastAsia="Times New Roman" w:hint="default"/>
                <w:sz w:val="12"/>
                <w:szCs w:val="12"/>
              </w:rPr>
            </w:pPr>
            <w:r>
              <w:rPr>
                <w:rFonts w:ascii="Times New Roman"/>
                <w:sz w:val="12"/>
              </w:rPr>
              <w:t>1,121,425.73</w:t>
            </w:r>
          </w:p>
        </w:tc>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6"/>
              <w:ind w:right="0"/>
              <w:jc w:val="left"/>
              <w:rPr>
                <w:rFonts w:ascii="宋体" w:hAnsi="宋体" w:cs="宋体" w:eastAsia="宋体" w:hint="default"/>
                <w:b/>
                <w:bCs/>
                <w:sz w:val="11"/>
                <w:szCs w:val="11"/>
              </w:rPr>
            </w:pPr>
          </w:p>
          <w:p>
            <w:pPr>
              <w:pStyle w:val="TableParagraph"/>
              <w:spacing w:line="240" w:lineRule="auto"/>
              <w:ind w:right="34"/>
              <w:jc w:val="right"/>
              <w:rPr>
                <w:rFonts w:ascii="Times New Roman" w:hAnsi="Times New Roman" w:cs="Times New Roman" w:eastAsia="Times New Roman" w:hint="default"/>
                <w:sz w:val="12"/>
                <w:szCs w:val="12"/>
              </w:rPr>
            </w:pPr>
            <w:r>
              <w:rPr>
                <w:rFonts w:ascii="Times New Roman"/>
                <w:sz w:val="12"/>
              </w:rPr>
              <w:t>151,121,425.73</w:t>
            </w:r>
          </w:p>
        </w:tc>
        <w:tc>
          <w:tcPr>
            <w:tcW w:w="2258" w:type="dxa"/>
            <w:tcBorders>
              <w:top w:val="nil" w:sz="6" w:space="0" w:color="auto"/>
              <w:left w:val="nil" w:sz="6" w:space="0" w:color="auto"/>
              <w:bottom w:val="nil" w:sz="6" w:space="0" w:color="auto"/>
              <w:right w:val="nil" w:sz="6" w:space="0" w:color="auto"/>
            </w:tcBorders>
          </w:tcPr>
          <w:p>
            <w:pPr/>
          </w:p>
        </w:tc>
      </w:tr>
      <w:tr>
        <w:trPr>
          <w:trHeight w:val="141" w:hRule="exact"/>
        </w:trPr>
        <w:tc>
          <w:tcPr>
            <w:tcW w:w="1200" w:type="dxa"/>
            <w:tcBorders>
              <w:top w:val="nil" w:sz="6" w:space="0" w:color="auto"/>
              <w:left w:val="nil" w:sz="6" w:space="0" w:color="auto"/>
              <w:bottom w:val="nil" w:sz="6" w:space="0" w:color="auto"/>
              <w:right w:val="nil" w:sz="6" w:space="0" w:color="auto"/>
            </w:tcBorders>
          </w:tcPr>
          <w:p>
            <w:pPr>
              <w:pStyle w:val="TableParagraph"/>
              <w:spacing w:line="120" w:lineRule="exact"/>
              <w:ind w:left="70" w:right="0"/>
              <w:jc w:val="left"/>
              <w:rPr>
                <w:rFonts w:ascii="宋体" w:hAnsi="宋体" w:cs="宋体" w:eastAsia="宋体" w:hint="default"/>
                <w:sz w:val="12"/>
                <w:szCs w:val="12"/>
              </w:rPr>
            </w:pPr>
            <w:r>
              <w:rPr>
                <w:rFonts w:ascii="宋体" w:hAnsi="宋体" w:cs="宋体" w:eastAsia="宋体" w:hint="default"/>
                <w:sz w:val="12"/>
                <w:szCs w:val="12"/>
              </w:rPr>
              <w:t>系统有限公</w:t>
            </w:r>
          </w:p>
        </w:tc>
        <w:tc>
          <w:tcPr>
            <w:tcW w:w="1103" w:type="dxa"/>
            <w:tcBorders>
              <w:top w:val="nil" w:sz="6" w:space="0" w:color="auto"/>
              <w:left w:val="nil" w:sz="6" w:space="0" w:color="auto"/>
              <w:bottom w:val="nil" w:sz="6" w:space="0" w:color="auto"/>
              <w:right w:val="nil" w:sz="6" w:space="0" w:color="auto"/>
            </w:tcBorders>
          </w:tcPr>
          <w:p>
            <w:pPr/>
          </w:p>
        </w:tc>
        <w:tc>
          <w:tcPr>
            <w:tcW w:w="1839" w:type="dxa"/>
            <w:tcBorders>
              <w:top w:val="nil" w:sz="6" w:space="0" w:color="auto"/>
              <w:left w:val="nil" w:sz="6" w:space="0" w:color="auto"/>
              <w:bottom w:val="nil" w:sz="6" w:space="0" w:color="auto"/>
              <w:right w:val="nil" w:sz="6" w:space="0" w:color="auto"/>
            </w:tcBorders>
          </w:tcPr>
          <w:p>
            <w:pPr/>
          </w:p>
        </w:tc>
        <w:tc>
          <w:tcPr>
            <w:tcW w:w="3934" w:type="dxa"/>
            <w:gridSpan w:val="2"/>
            <w:tcBorders>
              <w:top w:val="nil" w:sz="6" w:space="0" w:color="auto"/>
              <w:left w:val="nil" w:sz="6" w:space="0" w:color="auto"/>
              <w:bottom w:val="nil" w:sz="6" w:space="0" w:color="auto"/>
              <w:right w:val="nil" w:sz="6" w:space="0" w:color="auto"/>
            </w:tcBorders>
          </w:tcPr>
          <w:p>
            <w:pPr/>
          </w:p>
        </w:tc>
      </w:tr>
      <w:tr>
        <w:trPr>
          <w:trHeight w:val="233" w:hRule="exact"/>
        </w:trPr>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2"/>
              <w:ind w:left="70" w:right="0"/>
              <w:jc w:val="left"/>
              <w:rPr>
                <w:rFonts w:ascii="宋体" w:hAnsi="宋体" w:cs="宋体" w:eastAsia="宋体" w:hint="default"/>
                <w:sz w:val="12"/>
                <w:szCs w:val="12"/>
              </w:rPr>
            </w:pPr>
            <w:r>
              <w:rPr>
                <w:rFonts w:ascii="宋体" w:hAnsi="宋体" w:cs="宋体" w:eastAsia="宋体" w:hint="default"/>
                <w:sz w:val="12"/>
                <w:szCs w:val="12"/>
              </w:rPr>
              <w:t>司</w:t>
            </w:r>
          </w:p>
        </w:tc>
        <w:tc>
          <w:tcPr>
            <w:tcW w:w="1103" w:type="dxa"/>
            <w:tcBorders>
              <w:top w:val="nil" w:sz="6" w:space="0" w:color="auto"/>
              <w:left w:val="nil" w:sz="6" w:space="0" w:color="auto"/>
              <w:bottom w:val="nil" w:sz="6" w:space="0" w:color="auto"/>
              <w:right w:val="nil" w:sz="6" w:space="0" w:color="auto"/>
            </w:tcBorders>
          </w:tcPr>
          <w:p>
            <w:pPr/>
          </w:p>
        </w:tc>
        <w:tc>
          <w:tcPr>
            <w:tcW w:w="1839" w:type="dxa"/>
            <w:tcBorders>
              <w:top w:val="nil" w:sz="6" w:space="0" w:color="auto"/>
              <w:left w:val="nil" w:sz="6" w:space="0" w:color="auto"/>
              <w:bottom w:val="nil" w:sz="6" w:space="0" w:color="auto"/>
              <w:right w:val="nil" w:sz="6" w:space="0" w:color="auto"/>
            </w:tcBorders>
          </w:tcPr>
          <w:p>
            <w:pPr/>
          </w:p>
        </w:tc>
        <w:tc>
          <w:tcPr>
            <w:tcW w:w="3934" w:type="dxa"/>
            <w:gridSpan w:val="2"/>
            <w:tcBorders>
              <w:top w:val="nil" w:sz="6" w:space="0" w:color="auto"/>
              <w:left w:val="nil" w:sz="6" w:space="0" w:color="auto"/>
              <w:bottom w:val="nil" w:sz="6" w:space="0" w:color="auto"/>
              <w:right w:val="nil" w:sz="6" w:space="0" w:color="auto"/>
            </w:tcBorders>
          </w:tcPr>
          <w:p>
            <w:pPr/>
          </w:p>
        </w:tc>
      </w:tr>
      <w:tr>
        <w:trPr>
          <w:trHeight w:val="233" w:hRule="exact"/>
        </w:trPr>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36"/>
              <w:ind w:left="70" w:right="0"/>
              <w:jc w:val="left"/>
              <w:rPr>
                <w:rFonts w:ascii="宋体" w:hAnsi="宋体" w:cs="宋体" w:eastAsia="宋体" w:hint="default"/>
                <w:sz w:val="12"/>
                <w:szCs w:val="12"/>
              </w:rPr>
            </w:pPr>
            <w:r>
              <w:rPr>
                <w:rFonts w:ascii="宋体" w:hAnsi="宋体" w:cs="宋体" w:eastAsia="宋体" w:hint="default"/>
                <w:sz w:val="12"/>
                <w:szCs w:val="12"/>
              </w:rPr>
              <w:t>湖南长城计</w:t>
            </w:r>
          </w:p>
        </w:tc>
        <w:tc>
          <w:tcPr>
            <w:tcW w:w="1103" w:type="dxa"/>
            <w:tcBorders>
              <w:top w:val="nil" w:sz="6" w:space="0" w:color="auto"/>
              <w:left w:val="nil" w:sz="6" w:space="0" w:color="auto"/>
              <w:bottom w:val="nil" w:sz="6" w:space="0" w:color="auto"/>
              <w:right w:val="nil" w:sz="6" w:space="0" w:color="auto"/>
            </w:tcBorders>
          </w:tcPr>
          <w:p>
            <w:pPr/>
          </w:p>
        </w:tc>
        <w:tc>
          <w:tcPr>
            <w:tcW w:w="1839" w:type="dxa"/>
            <w:tcBorders>
              <w:top w:val="nil" w:sz="6" w:space="0" w:color="auto"/>
              <w:left w:val="nil" w:sz="6" w:space="0" w:color="auto"/>
              <w:bottom w:val="nil" w:sz="6" w:space="0" w:color="auto"/>
              <w:right w:val="nil" w:sz="6" w:space="0" w:color="auto"/>
            </w:tcBorders>
          </w:tcPr>
          <w:p>
            <w:pPr/>
          </w:p>
        </w:tc>
        <w:tc>
          <w:tcPr>
            <w:tcW w:w="3934" w:type="dxa"/>
            <w:gridSpan w:val="2"/>
            <w:tcBorders>
              <w:top w:val="nil" w:sz="6" w:space="0" w:color="auto"/>
              <w:left w:val="nil" w:sz="6" w:space="0" w:color="auto"/>
              <w:bottom w:val="nil" w:sz="6" w:space="0" w:color="auto"/>
              <w:right w:val="nil" w:sz="6" w:space="0" w:color="auto"/>
            </w:tcBorders>
          </w:tcPr>
          <w:p>
            <w:pPr/>
          </w:p>
        </w:tc>
      </w:tr>
      <w:tr>
        <w:trPr>
          <w:trHeight w:val="208" w:hRule="exact"/>
        </w:trPr>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3"/>
              <w:ind w:left="70" w:right="0"/>
              <w:jc w:val="left"/>
              <w:rPr>
                <w:rFonts w:ascii="宋体" w:hAnsi="宋体" w:cs="宋体" w:eastAsia="宋体" w:hint="default"/>
                <w:sz w:val="12"/>
                <w:szCs w:val="12"/>
              </w:rPr>
            </w:pPr>
            <w:r>
              <w:rPr>
                <w:rFonts w:ascii="宋体" w:hAnsi="宋体" w:cs="宋体" w:eastAsia="宋体" w:hint="default"/>
                <w:sz w:val="12"/>
                <w:szCs w:val="12"/>
              </w:rPr>
              <w:t>算机系统有</w:t>
            </w:r>
          </w:p>
        </w:tc>
        <w:tc>
          <w:tcPr>
            <w:tcW w:w="1103"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Times New Roman" w:hAnsi="Times New Roman" w:cs="Times New Roman" w:eastAsia="Times New Roman" w:hint="default"/>
                <w:sz w:val="12"/>
                <w:szCs w:val="12"/>
              </w:rPr>
            </w:pPr>
            <w:r>
              <w:rPr>
                <w:rFonts w:ascii="Times New Roman"/>
                <w:sz w:val="12"/>
              </w:rPr>
              <w:t>100,000,000.00</w:t>
            </w:r>
          </w:p>
        </w:tc>
        <w:tc>
          <w:tcPr>
            <w:tcW w:w="1839" w:type="dxa"/>
            <w:tcBorders>
              <w:top w:val="nil" w:sz="6" w:space="0" w:color="auto"/>
              <w:left w:val="nil" w:sz="6" w:space="0" w:color="auto"/>
              <w:bottom w:val="nil" w:sz="6" w:space="0" w:color="auto"/>
              <w:right w:val="nil" w:sz="6" w:space="0" w:color="auto"/>
            </w:tcBorders>
          </w:tcPr>
          <w:p>
            <w:pPr>
              <w:pStyle w:val="TableParagraph"/>
              <w:spacing w:line="240" w:lineRule="auto" w:before="42"/>
              <w:ind w:left="408" w:right="0"/>
              <w:jc w:val="left"/>
              <w:rPr>
                <w:rFonts w:ascii="Times New Roman" w:hAnsi="Times New Roman" w:cs="Times New Roman" w:eastAsia="Times New Roman" w:hint="default"/>
                <w:sz w:val="12"/>
                <w:szCs w:val="12"/>
              </w:rPr>
            </w:pPr>
            <w:r>
              <w:rPr>
                <w:rFonts w:ascii="Times New Roman"/>
                <w:sz w:val="12"/>
              </w:rPr>
              <w:t>625,723.02</w:t>
            </w:r>
          </w:p>
        </w:tc>
        <w:tc>
          <w:tcPr>
            <w:tcW w:w="393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2"/>
              <w:ind w:left="891" w:right="0"/>
              <w:jc w:val="left"/>
              <w:rPr>
                <w:rFonts w:ascii="Times New Roman" w:hAnsi="Times New Roman" w:cs="Times New Roman" w:eastAsia="Times New Roman" w:hint="default"/>
                <w:sz w:val="12"/>
                <w:szCs w:val="12"/>
              </w:rPr>
            </w:pPr>
            <w:r>
              <w:rPr>
                <w:rFonts w:ascii="Times New Roman"/>
                <w:sz w:val="12"/>
              </w:rPr>
              <w:t>100,625,723.02</w:t>
            </w:r>
          </w:p>
        </w:tc>
      </w:tr>
      <w:tr>
        <w:trPr>
          <w:trHeight w:val="217" w:hRule="exact"/>
        </w:trPr>
        <w:tc>
          <w:tcPr>
            <w:tcW w:w="1200" w:type="dxa"/>
            <w:tcBorders>
              <w:top w:val="nil" w:sz="6" w:space="0" w:color="auto"/>
              <w:left w:val="nil" w:sz="6" w:space="0" w:color="auto"/>
              <w:bottom w:val="nil" w:sz="6" w:space="0" w:color="auto"/>
              <w:right w:val="nil" w:sz="6" w:space="0" w:color="auto"/>
            </w:tcBorders>
          </w:tcPr>
          <w:p>
            <w:pPr>
              <w:pStyle w:val="TableParagraph"/>
              <w:spacing w:line="151" w:lineRule="exact"/>
              <w:ind w:left="70" w:right="0"/>
              <w:jc w:val="left"/>
              <w:rPr>
                <w:rFonts w:ascii="宋体" w:hAnsi="宋体" w:cs="宋体" w:eastAsia="宋体" w:hint="default"/>
                <w:sz w:val="12"/>
                <w:szCs w:val="12"/>
              </w:rPr>
            </w:pPr>
            <w:r>
              <w:rPr>
                <w:rFonts w:ascii="宋体" w:hAnsi="宋体" w:cs="宋体" w:eastAsia="宋体" w:hint="default"/>
                <w:sz w:val="12"/>
                <w:szCs w:val="12"/>
              </w:rPr>
              <w:t>限公司</w:t>
            </w:r>
          </w:p>
        </w:tc>
        <w:tc>
          <w:tcPr>
            <w:tcW w:w="1103" w:type="dxa"/>
            <w:tcBorders>
              <w:top w:val="nil" w:sz="6" w:space="0" w:color="auto"/>
              <w:left w:val="nil" w:sz="6" w:space="0" w:color="auto"/>
              <w:bottom w:val="nil" w:sz="6" w:space="0" w:color="auto"/>
              <w:right w:val="nil" w:sz="6" w:space="0" w:color="auto"/>
            </w:tcBorders>
          </w:tcPr>
          <w:p>
            <w:pPr/>
          </w:p>
        </w:tc>
        <w:tc>
          <w:tcPr>
            <w:tcW w:w="1839" w:type="dxa"/>
            <w:tcBorders>
              <w:top w:val="nil" w:sz="6" w:space="0" w:color="auto"/>
              <w:left w:val="nil" w:sz="6" w:space="0" w:color="auto"/>
              <w:bottom w:val="nil" w:sz="6" w:space="0" w:color="auto"/>
              <w:right w:val="nil" w:sz="6" w:space="0" w:color="auto"/>
            </w:tcBorders>
          </w:tcPr>
          <w:p>
            <w:pPr/>
          </w:p>
        </w:tc>
        <w:tc>
          <w:tcPr>
            <w:tcW w:w="3934" w:type="dxa"/>
            <w:gridSpan w:val="2"/>
            <w:tcBorders>
              <w:top w:val="nil" w:sz="6" w:space="0" w:color="auto"/>
              <w:left w:val="nil" w:sz="6" w:space="0" w:color="auto"/>
              <w:bottom w:val="nil" w:sz="6" w:space="0" w:color="auto"/>
              <w:right w:val="nil" w:sz="6" w:space="0" w:color="auto"/>
            </w:tcBorders>
          </w:tcPr>
          <w:p>
            <w:pPr/>
          </w:p>
        </w:tc>
      </w:tr>
    </w:tbl>
    <w:p>
      <w:pPr>
        <w:spacing w:after="0"/>
        <w:sectPr>
          <w:pgSz w:w="11910" w:h="16840"/>
          <w:pgMar w:header="0" w:footer="1001" w:top="1520" w:bottom="1200" w:left="1660" w:right="0"/>
        </w:sectPr>
      </w:pPr>
    </w:p>
    <w:p>
      <w:pPr>
        <w:spacing w:line="240" w:lineRule="auto" w:before="1"/>
        <w:rPr>
          <w:rFonts w:ascii="宋体" w:hAnsi="宋体" w:cs="宋体" w:eastAsia="宋体" w:hint="default"/>
          <w:b/>
          <w:bCs/>
          <w:sz w:val="10"/>
          <w:szCs w:val="10"/>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2pt;height:.5pt;mso-position-horizontal-relative:char;mso-position-vertical-relative:line" coordorigin="0,0" coordsize="8384,10">
            <v:group style="position:absolute;left:5;top:5;width:8374;height:2" coordorigin="5,5" coordsize="8374,2">
              <v:shape style="position:absolute;left:5;top:5;width:8374;height:2" coordorigin="5,5" coordsize="8374,0" path="m5,5l8378,5e" filled="false" stroked="true" strokeweight=".47998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24"/>
          <w:szCs w:val="24"/>
        </w:rPr>
      </w:pPr>
    </w:p>
    <w:tbl>
      <w:tblPr>
        <w:tblW w:w="0" w:type="auto"/>
        <w:jc w:val="left"/>
        <w:tblInd w:w="787" w:type="dxa"/>
        <w:tblLayout w:type="fixed"/>
        <w:tblCellMar>
          <w:top w:w="0" w:type="dxa"/>
          <w:left w:w="0" w:type="dxa"/>
          <w:bottom w:w="0" w:type="dxa"/>
          <w:right w:w="0" w:type="dxa"/>
        </w:tblCellMar>
        <w:tblLook w:val="01E0"/>
      </w:tblPr>
      <w:tblGrid>
        <w:gridCol w:w="1110"/>
        <w:gridCol w:w="1088"/>
        <w:gridCol w:w="1266"/>
        <w:gridCol w:w="1088"/>
        <w:gridCol w:w="1266"/>
        <w:gridCol w:w="1103"/>
        <w:gridCol w:w="1190"/>
      </w:tblGrid>
      <w:tr>
        <w:trPr>
          <w:trHeight w:val="443" w:hRule="exact"/>
        </w:trPr>
        <w:tc>
          <w:tcPr>
            <w:tcW w:w="2198" w:type="dxa"/>
            <w:gridSpan w:val="2"/>
            <w:tcBorders>
              <w:top w:val="nil" w:sz="6" w:space="0" w:color="auto"/>
              <w:left w:val="nil" w:sz="6" w:space="0" w:color="auto"/>
              <w:bottom w:val="nil" w:sz="6" w:space="0" w:color="auto"/>
              <w:right w:val="nil" w:sz="6" w:space="0" w:color="auto"/>
            </w:tcBorders>
          </w:tcPr>
          <w:p>
            <w:pPr>
              <w:pStyle w:val="TableParagraph"/>
              <w:tabs>
                <w:tab w:pos="1145" w:val="left" w:leader="none"/>
              </w:tabs>
              <w:spacing w:line="123" w:lineRule="exact"/>
              <w:ind w:left="70" w:right="0"/>
              <w:jc w:val="left"/>
              <w:rPr>
                <w:rFonts w:ascii="Times New Roman" w:hAnsi="Times New Roman" w:cs="Times New Roman" w:eastAsia="Times New Roman" w:hint="default"/>
                <w:sz w:val="12"/>
                <w:szCs w:val="12"/>
              </w:rPr>
            </w:pPr>
            <w:r>
              <w:rPr>
                <w:rFonts w:ascii="宋体" w:hAnsi="宋体" w:cs="宋体" w:eastAsia="宋体" w:hint="default"/>
                <w:position w:val="1"/>
                <w:sz w:val="12"/>
                <w:szCs w:val="12"/>
              </w:rPr>
              <w:t>子集团有限</w:t>
              <w:tab/>
            </w:r>
            <w:r>
              <w:rPr>
                <w:rFonts w:ascii="Times New Roman" w:hAnsi="Times New Roman" w:cs="Times New Roman" w:eastAsia="Times New Roman" w:hint="default"/>
                <w:sz w:val="12"/>
                <w:szCs w:val="12"/>
              </w:rPr>
              <w:t>1,405,936,879.90</w:t>
            </w:r>
          </w:p>
          <w:p>
            <w:pPr>
              <w:pStyle w:val="TableParagraph"/>
              <w:spacing w:line="240" w:lineRule="auto" w:before="23"/>
              <w:ind w:left="70" w:right="0"/>
              <w:jc w:val="left"/>
              <w:rPr>
                <w:rFonts w:ascii="宋体" w:hAnsi="宋体" w:cs="宋体" w:eastAsia="宋体" w:hint="default"/>
                <w:sz w:val="12"/>
                <w:szCs w:val="12"/>
              </w:rPr>
            </w:pPr>
            <w:r>
              <w:rPr>
                <w:rFonts w:ascii="宋体" w:hAnsi="宋体" w:cs="宋体" w:eastAsia="宋体" w:hint="default"/>
                <w:sz w:val="12"/>
                <w:szCs w:val="12"/>
              </w:rPr>
              <w:t>公司</w:t>
            </w:r>
          </w:p>
        </w:tc>
        <w:tc>
          <w:tcPr>
            <w:tcW w:w="1266" w:type="dxa"/>
            <w:tcBorders>
              <w:top w:val="nil" w:sz="6" w:space="0" w:color="auto"/>
              <w:left w:val="nil" w:sz="6" w:space="0" w:color="auto"/>
              <w:bottom w:val="nil" w:sz="6" w:space="0" w:color="auto"/>
              <w:right w:val="nil" w:sz="6" w:space="0" w:color="auto"/>
            </w:tcBorders>
          </w:tcPr>
          <w:p>
            <w:pPr>
              <w:pStyle w:val="TableParagraph"/>
              <w:spacing w:line="123" w:lineRule="exact"/>
              <w:ind w:right="211"/>
              <w:jc w:val="right"/>
              <w:rPr>
                <w:rFonts w:ascii="Times New Roman" w:hAnsi="Times New Roman" w:cs="Times New Roman" w:eastAsia="Times New Roman" w:hint="default"/>
                <w:sz w:val="12"/>
                <w:szCs w:val="12"/>
              </w:rPr>
            </w:pPr>
            <w:r>
              <w:rPr>
                <w:rFonts w:ascii="Times New Roman"/>
                <w:sz w:val="12"/>
              </w:rPr>
              <w:t>504,436,945.30</w:t>
            </w:r>
          </w:p>
        </w:tc>
        <w:tc>
          <w:tcPr>
            <w:tcW w:w="4648" w:type="dxa"/>
            <w:gridSpan w:val="4"/>
            <w:tcBorders>
              <w:top w:val="nil" w:sz="6" w:space="0" w:color="auto"/>
              <w:left w:val="nil" w:sz="6" w:space="0" w:color="auto"/>
              <w:bottom w:val="nil" w:sz="6" w:space="0" w:color="auto"/>
              <w:right w:val="nil" w:sz="6" w:space="0" w:color="auto"/>
            </w:tcBorders>
          </w:tcPr>
          <w:p>
            <w:pPr>
              <w:pStyle w:val="TableParagraph"/>
              <w:spacing w:line="123" w:lineRule="exact"/>
              <w:ind w:left="213" w:right="0"/>
              <w:jc w:val="left"/>
              <w:rPr>
                <w:rFonts w:ascii="Times New Roman" w:hAnsi="Times New Roman" w:cs="Times New Roman" w:eastAsia="Times New Roman" w:hint="default"/>
                <w:sz w:val="12"/>
                <w:szCs w:val="12"/>
              </w:rPr>
            </w:pPr>
            <w:r>
              <w:rPr>
                <w:rFonts w:ascii="Times New Roman"/>
                <w:sz w:val="12"/>
              </w:rPr>
              <w:t>1,910,373,825.20</w:t>
            </w:r>
          </w:p>
        </w:tc>
      </w:tr>
      <w:tr>
        <w:trPr>
          <w:trHeight w:val="766" w:hRule="exact"/>
        </w:trPr>
        <w:tc>
          <w:tcPr>
            <w:tcW w:w="2198" w:type="dxa"/>
            <w:gridSpan w:val="2"/>
            <w:tcBorders>
              <w:top w:val="nil" w:sz="6" w:space="0" w:color="auto"/>
              <w:left w:val="nil" w:sz="6" w:space="0" w:color="auto"/>
              <w:bottom w:val="nil" w:sz="6" w:space="0" w:color="auto"/>
              <w:right w:val="nil" w:sz="6" w:space="0" w:color="auto"/>
            </w:tcBorders>
          </w:tcPr>
          <w:p>
            <w:pPr>
              <w:pStyle w:val="TableParagraph"/>
              <w:spacing w:line="125" w:lineRule="exact"/>
              <w:ind w:left="70" w:right="0"/>
              <w:jc w:val="left"/>
              <w:rPr>
                <w:rFonts w:ascii="宋体" w:hAnsi="宋体" w:cs="宋体" w:eastAsia="宋体" w:hint="default"/>
                <w:sz w:val="12"/>
                <w:szCs w:val="12"/>
              </w:rPr>
            </w:pPr>
            <w:r>
              <w:rPr>
                <w:rFonts w:ascii="宋体" w:hAnsi="宋体" w:cs="宋体" w:eastAsia="宋体" w:hint="default"/>
                <w:sz w:val="12"/>
                <w:szCs w:val="12"/>
              </w:rPr>
              <w:t>北京圣非凡</w:t>
            </w:r>
          </w:p>
          <w:p>
            <w:pPr>
              <w:pStyle w:val="TableParagraph"/>
              <w:spacing w:line="148" w:lineRule="exact" w:before="43"/>
              <w:ind w:left="70" w:right="0"/>
              <w:jc w:val="left"/>
              <w:rPr>
                <w:rFonts w:ascii="宋体" w:hAnsi="宋体" w:cs="宋体" w:eastAsia="宋体" w:hint="default"/>
                <w:sz w:val="12"/>
                <w:szCs w:val="12"/>
              </w:rPr>
            </w:pPr>
            <w:r>
              <w:rPr>
                <w:rFonts w:ascii="宋体" w:hAnsi="宋体" w:cs="宋体" w:eastAsia="宋体" w:hint="default"/>
                <w:sz w:val="12"/>
                <w:szCs w:val="12"/>
              </w:rPr>
              <w:t>电子系统技</w:t>
            </w:r>
          </w:p>
          <w:p>
            <w:pPr>
              <w:pStyle w:val="TableParagraph"/>
              <w:spacing w:line="129" w:lineRule="exact"/>
              <w:ind w:left="1235" w:right="0"/>
              <w:jc w:val="left"/>
              <w:rPr>
                <w:rFonts w:ascii="Times New Roman" w:hAnsi="Times New Roman" w:cs="Times New Roman" w:eastAsia="Times New Roman" w:hint="default"/>
                <w:sz w:val="12"/>
                <w:szCs w:val="12"/>
              </w:rPr>
            </w:pPr>
            <w:r>
              <w:rPr>
                <w:rFonts w:ascii="Times New Roman"/>
                <w:sz w:val="12"/>
              </w:rPr>
              <w:t>276,268,241.12</w:t>
            </w:r>
          </w:p>
          <w:p>
            <w:pPr>
              <w:pStyle w:val="TableParagraph"/>
              <w:spacing w:line="240" w:lineRule="auto" w:before="5"/>
              <w:ind w:right="0"/>
              <w:jc w:val="left"/>
              <w:rPr>
                <w:rFonts w:ascii="宋体" w:hAnsi="宋体" w:cs="宋体" w:eastAsia="宋体" w:hint="default"/>
                <w:b/>
                <w:bCs/>
                <w:sz w:val="9"/>
                <w:szCs w:val="9"/>
              </w:rPr>
            </w:pPr>
          </w:p>
          <w:p>
            <w:pPr>
              <w:pStyle w:val="TableParagraph"/>
              <w:spacing w:line="240" w:lineRule="auto"/>
              <w:ind w:left="70" w:right="0"/>
              <w:jc w:val="left"/>
              <w:rPr>
                <w:rFonts w:ascii="宋体" w:hAnsi="宋体" w:cs="宋体" w:eastAsia="宋体" w:hint="default"/>
                <w:sz w:val="12"/>
                <w:szCs w:val="12"/>
              </w:rPr>
            </w:pPr>
            <w:r>
              <w:rPr>
                <w:rFonts w:ascii="宋体" w:hAnsi="宋体" w:cs="宋体" w:eastAsia="宋体" w:hint="default"/>
                <w:sz w:val="12"/>
                <w:szCs w:val="12"/>
              </w:rPr>
              <w:t>公司</w:t>
            </w: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6"/>
              <w:ind w:right="0"/>
              <w:jc w:val="left"/>
              <w:rPr>
                <w:rFonts w:ascii="宋体" w:hAnsi="宋体" w:cs="宋体" w:eastAsia="宋体" w:hint="default"/>
                <w:b/>
                <w:bCs/>
                <w:sz w:val="11"/>
                <w:szCs w:val="11"/>
              </w:rPr>
            </w:pPr>
          </w:p>
          <w:p>
            <w:pPr>
              <w:pStyle w:val="TableParagraph"/>
              <w:spacing w:line="240" w:lineRule="auto"/>
              <w:ind w:right="211"/>
              <w:jc w:val="right"/>
              <w:rPr>
                <w:rFonts w:ascii="Times New Roman" w:hAnsi="Times New Roman" w:cs="Times New Roman" w:eastAsia="Times New Roman" w:hint="default"/>
                <w:sz w:val="12"/>
                <w:szCs w:val="12"/>
              </w:rPr>
            </w:pPr>
            <w:r>
              <w:rPr>
                <w:rFonts w:ascii="Times New Roman"/>
                <w:sz w:val="12"/>
              </w:rPr>
              <w:t>37,029,869.72</w:t>
            </w:r>
          </w:p>
        </w:tc>
        <w:tc>
          <w:tcPr>
            <w:tcW w:w="4648" w:type="dxa"/>
            <w:gridSpan w:val="4"/>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6"/>
              <w:ind w:right="0"/>
              <w:jc w:val="left"/>
              <w:rPr>
                <w:rFonts w:ascii="宋体" w:hAnsi="宋体" w:cs="宋体" w:eastAsia="宋体" w:hint="default"/>
                <w:b/>
                <w:bCs/>
                <w:sz w:val="11"/>
                <w:szCs w:val="11"/>
              </w:rPr>
            </w:pPr>
          </w:p>
          <w:p>
            <w:pPr>
              <w:pStyle w:val="TableParagraph"/>
              <w:spacing w:line="240" w:lineRule="auto"/>
              <w:ind w:left="307" w:right="0"/>
              <w:jc w:val="left"/>
              <w:rPr>
                <w:rFonts w:ascii="Times New Roman" w:hAnsi="Times New Roman" w:cs="Times New Roman" w:eastAsia="Times New Roman" w:hint="default"/>
                <w:sz w:val="12"/>
                <w:szCs w:val="12"/>
              </w:rPr>
            </w:pPr>
            <w:r>
              <w:rPr>
                <w:rFonts w:ascii="Times New Roman"/>
                <w:sz w:val="12"/>
              </w:rPr>
              <w:t>313,298,110.84</w:t>
            </w:r>
          </w:p>
        </w:tc>
      </w:tr>
      <w:tr>
        <w:trPr>
          <w:trHeight w:val="766" w:hRule="exact"/>
        </w:trPr>
        <w:tc>
          <w:tcPr>
            <w:tcW w:w="2198" w:type="dxa"/>
            <w:gridSpan w:val="2"/>
            <w:tcBorders>
              <w:top w:val="nil" w:sz="6" w:space="0" w:color="auto"/>
              <w:left w:val="nil" w:sz="6" w:space="0" w:color="auto"/>
              <w:bottom w:val="nil" w:sz="6" w:space="0" w:color="auto"/>
              <w:right w:val="nil" w:sz="6" w:space="0" w:color="auto"/>
            </w:tcBorders>
          </w:tcPr>
          <w:p>
            <w:pPr>
              <w:pStyle w:val="TableParagraph"/>
              <w:spacing w:line="304" w:lineRule="auto" w:before="68"/>
              <w:ind w:left="70" w:right="1526"/>
              <w:jc w:val="both"/>
              <w:rPr>
                <w:rFonts w:ascii="宋体" w:hAnsi="宋体" w:cs="宋体" w:eastAsia="宋体" w:hint="default"/>
                <w:sz w:val="12"/>
                <w:szCs w:val="12"/>
              </w:rPr>
            </w:pPr>
            <w:r>
              <w:rPr>
                <w:rFonts w:ascii="宋体" w:hAnsi="宋体" w:cs="宋体" w:eastAsia="宋体" w:hint="default"/>
                <w:sz w:val="12"/>
                <w:szCs w:val="12"/>
              </w:rPr>
              <w:t>湖南长城科 技信息有限 公司</w:t>
            </w: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7"/>
              <w:ind w:right="0"/>
              <w:jc w:val="left"/>
              <w:rPr>
                <w:rFonts w:ascii="宋体" w:hAnsi="宋体" w:cs="宋体" w:eastAsia="宋体" w:hint="default"/>
                <w:b/>
                <w:bCs/>
                <w:sz w:val="11"/>
                <w:szCs w:val="11"/>
              </w:rPr>
            </w:pPr>
          </w:p>
          <w:p>
            <w:pPr>
              <w:pStyle w:val="TableParagraph"/>
              <w:spacing w:line="240" w:lineRule="auto"/>
              <w:ind w:right="211"/>
              <w:jc w:val="right"/>
              <w:rPr>
                <w:rFonts w:ascii="Times New Roman" w:hAnsi="Times New Roman" w:cs="Times New Roman" w:eastAsia="Times New Roman" w:hint="default"/>
                <w:sz w:val="12"/>
                <w:szCs w:val="12"/>
              </w:rPr>
            </w:pPr>
            <w:r>
              <w:rPr>
                <w:rFonts w:ascii="Times New Roman"/>
                <w:sz w:val="12"/>
              </w:rPr>
              <w:t>2,573,671,936.04</w:t>
            </w:r>
          </w:p>
        </w:tc>
        <w:tc>
          <w:tcPr>
            <w:tcW w:w="4648" w:type="dxa"/>
            <w:gridSpan w:val="4"/>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7"/>
              <w:ind w:right="0"/>
              <w:jc w:val="left"/>
              <w:rPr>
                <w:rFonts w:ascii="宋体" w:hAnsi="宋体" w:cs="宋体" w:eastAsia="宋体" w:hint="default"/>
                <w:b/>
                <w:bCs/>
                <w:sz w:val="11"/>
                <w:szCs w:val="11"/>
              </w:rPr>
            </w:pPr>
          </w:p>
          <w:p>
            <w:pPr>
              <w:pStyle w:val="TableParagraph"/>
              <w:spacing w:line="240" w:lineRule="auto"/>
              <w:ind w:left="1478" w:right="0"/>
              <w:jc w:val="left"/>
              <w:rPr>
                <w:rFonts w:ascii="Times New Roman" w:hAnsi="Times New Roman" w:cs="Times New Roman" w:eastAsia="Times New Roman" w:hint="default"/>
                <w:sz w:val="12"/>
                <w:szCs w:val="12"/>
              </w:rPr>
            </w:pPr>
            <w:r>
              <w:rPr>
                <w:rFonts w:ascii="Times New Roman"/>
                <w:sz w:val="12"/>
              </w:rPr>
              <w:t>2,573,671,936.04</w:t>
            </w:r>
          </w:p>
        </w:tc>
      </w:tr>
      <w:tr>
        <w:trPr>
          <w:trHeight w:val="766" w:hRule="exact"/>
        </w:trPr>
        <w:tc>
          <w:tcPr>
            <w:tcW w:w="2198" w:type="dxa"/>
            <w:gridSpan w:val="2"/>
            <w:tcBorders>
              <w:top w:val="nil" w:sz="6" w:space="0" w:color="auto"/>
              <w:left w:val="nil" w:sz="6" w:space="0" w:color="auto"/>
              <w:bottom w:val="nil" w:sz="6" w:space="0" w:color="auto"/>
              <w:right w:val="nil" w:sz="6" w:space="0" w:color="auto"/>
            </w:tcBorders>
          </w:tcPr>
          <w:p>
            <w:pPr>
              <w:pStyle w:val="TableParagraph"/>
              <w:spacing w:line="125" w:lineRule="exact"/>
              <w:ind w:left="70" w:right="0"/>
              <w:jc w:val="left"/>
              <w:rPr>
                <w:rFonts w:ascii="宋体" w:hAnsi="宋体" w:cs="宋体" w:eastAsia="宋体" w:hint="default"/>
                <w:sz w:val="12"/>
                <w:szCs w:val="12"/>
              </w:rPr>
            </w:pPr>
            <w:r>
              <w:rPr>
                <w:rFonts w:ascii="宋体" w:hAnsi="宋体" w:cs="宋体" w:eastAsia="宋体" w:hint="default"/>
                <w:sz w:val="12"/>
                <w:szCs w:val="12"/>
              </w:rPr>
              <w:t>湖南长城信</w:t>
            </w:r>
          </w:p>
          <w:p>
            <w:pPr>
              <w:pStyle w:val="TableParagraph"/>
              <w:spacing w:line="148" w:lineRule="exact" w:before="43"/>
              <w:ind w:left="70" w:right="0"/>
              <w:jc w:val="left"/>
              <w:rPr>
                <w:rFonts w:ascii="宋体" w:hAnsi="宋体" w:cs="宋体" w:eastAsia="宋体" w:hint="default"/>
                <w:sz w:val="12"/>
                <w:szCs w:val="12"/>
              </w:rPr>
            </w:pPr>
            <w:r>
              <w:rPr>
                <w:rFonts w:ascii="宋体" w:hAnsi="宋体" w:cs="宋体" w:eastAsia="宋体" w:hint="default"/>
                <w:sz w:val="12"/>
                <w:szCs w:val="12"/>
              </w:rPr>
              <w:t>息金融设备</w:t>
            </w:r>
          </w:p>
          <w:p>
            <w:pPr>
              <w:pStyle w:val="TableParagraph"/>
              <w:spacing w:line="129" w:lineRule="exact"/>
              <w:ind w:left="1235" w:right="0"/>
              <w:jc w:val="left"/>
              <w:rPr>
                <w:rFonts w:ascii="Times New Roman" w:hAnsi="Times New Roman" w:cs="Times New Roman" w:eastAsia="Times New Roman" w:hint="default"/>
                <w:sz w:val="12"/>
                <w:szCs w:val="12"/>
              </w:rPr>
            </w:pPr>
            <w:r>
              <w:rPr>
                <w:rFonts w:ascii="Times New Roman"/>
                <w:sz w:val="12"/>
              </w:rPr>
              <w:t>151,445,583.48</w:t>
            </w:r>
          </w:p>
          <w:p>
            <w:pPr>
              <w:pStyle w:val="TableParagraph"/>
              <w:spacing w:line="240" w:lineRule="auto" w:before="5"/>
              <w:ind w:right="0"/>
              <w:jc w:val="left"/>
              <w:rPr>
                <w:rFonts w:ascii="宋体" w:hAnsi="宋体" w:cs="宋体" w:eastAsia="宋体" w:hint="default"/>
                <w:b/>
                <w:bCs/>
                <w:sz w:val="9"/>
                <w:szCs w:val="9"/>
              </w:rPr>
            </w:pPr>
          </w:p>
          <w:p>
            <w:pPr>
              <w:pStyle w:val="TableParagraph"/>
              <w:spacing w:line="240" w:lineRule="auto"/>
              <w:ind w:left="70" w:right="0"/>
              <w:jc w:val="left"/>
              <w:rPr>
                <w:rFonts w:ascii="宋体" w:hAnsi="宋体" w:cs="宋体" w:eastAsia="宋体" w:hint="default"/>
                <w:sz w:val="12"/>
                <w:szCs w:val="12"/>
              </w:rPr>
            </w:pPr>
            <w:r>
              <w:rPr>
                <w:rFonts w:ascii="宋体" w:hAnsi="宋体" w:cs="宋体" w:eastAsia="宋体" w:hint="default"/>
                <w:sz w:val="12"/>
                <w:szCs w:val="12"/>
              </w:rPr>
              <w:t>司</w:t>
            </w: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6"/>
              <w:ind w:right="0"/>
              <w:jc w:val="left"/>
              <w:rPr>
                <w:rFonts w:ascii="宋体" w:hAnsi="宋体" w:cs="宋体" w:eastAsia="宋体" w:hint="default"/>
                <w:b/>
                <w:bCs/>
                <w:sz w:val="11"/>
                <w:szCs w:val="11"/>
              </w:rPr>
            </w:pPr>
          </w:p>
          <w:p>
            <w:pPr>
              <w:pStyle w:val="TableParagraph"/>
              <w:spacing w:line="240" w:lineRule="auto"/>
              <w:ind w:right="211"/>
              <w:jc w:val="right"/>
              <w:rPr>
                <w:rFonts w:ascii="Times New Roman" w:hAnsi="Times New Roman" w:cs="Times New Roman" w:eastAsia="Times New Roman" w:hint="default"/>
                <w:sz w:val="12"/>
                <w:szCs w:val="12"/>
              </w:rPr>
            </w:pPr>
            <w:r>
              <w:rPr>
                <w:rFonts w:ascii="Times New Roman"/>
                <w:sz w:val="12"/>
              </w:rPr>
              <w:t>2,730,427.88</w:t>
            </w:r>
          </w:p>
        </w:tc>
        <w:tc>
          <w:tcPr>
            <w:tcW w:w="4648" w:type="dxa"/>
            <w:gridSpan w:val="4"/>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6"/>
              <w:ind w:right="0"/>
              <w:jc w:val="left"/>
              <w:rPr>
                <w:rFonts w:ascii="宋体" w:hAnsi="宋体" w:cs="宋体" w:eastAsia="宋体" w:hint="default"/>
                <w:b/>
                <w:bCs/>
                <w:sz w:val="11"/>
                <w:szCs w:val="11"/>
              </w:rPr>
            </w:pPr>
          </w:p>
          <w:p>
            <w:pPr>
              <w:pStyle w:val="TableParagraph"/>
              <w:spacing w:line="240" w:lineRule="auto"/>
              <w:ind w:right="752"/>
              <w:jc w:val="center"/>
              <w:rPr>
                <w:rFonts w:ascii="Times New Roman" w:hAnsi="Times New Roman" w:cs="Times New Roman" w:eastAsia="Times New Roman" w:hint="default"/>
                <w:sz w:val="12"/>
                <w:szCs w:val="12"/>
              </w:rPr>
            </w:pPr>
            <w:r>
              <w:rPr>
                <w:rFonts w:ascii="Times New Roman"/>
                <w:sz w:val="12"/>
              </w:rPr>
              <w:t>154,176,011.36</w:t>
            </w:r>
          </w:p>
        </w:tc>
      </w:tr>
      <w:tr>
        <w:trPr>
          <w:trHeight w:val="716" w:hRule="exact"/>
        </w:trPr>
        <w:tc>
          <w:tcPr>
            <w:tcW w:w="219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69"/>
              <w:ind w:left="70" w:right="0"/>
              <w:jc w:val="left"/>
              <w:rPr>
                <w:rFonts w:ascii="宋体" w:hAnsi="宋体" w:cs="宋体" w:eastAsia="宋体" w:hint="default"/>
                <w:sz w:val="12"/>
                <w:szCs w:val="12"/>
              </w:rPr>
            </w:pPr>
            <w:r>
              <w:rPr>
                <w:rFonts w:ascii="宋体" w:hAnsi="宋体" w:cs="宋体" w:eastAsia="宋体" w:hint="default"/>
                <w:sz w:val="12"/>
                <w:szCs w:val="12"/>
              </w:rPr>
              <w:t>长沙湘计海</w:t>
            </w:r>
          </w:p>
          <w:p>
            <w:pPr>
              <w:pStyle w:val="TableParagraph"/>
              <w:tabs>
                <w:tab w:pos="1235" w:val="left" w:leader="none"/>
              </w:tabs>
              <w:spacing w:line="240" w:lineRule="auto" w:before="43"/>
              <w:ind w:left="70" w:right="0"/>
              <w:jc w:val="left"/>
              <w:rPr>
                <w:rFonts w:ascii="Times New Roman" w:hAnsi="Times New Roman" w:cs="Times New Roman" w:eastAsia="Times New Roman" w:hint="default"/>
                <w:sz w:val="12"/>
                <w:szCs w:val="12"/>
              </w:rPr>
            </w:pPr>
            <w:r>
              <w:rPr>
                <w:rFonts w:ascii="宋体" w:hAnsi="宋体" w:cs="宋体" w:eastAsia="宋体" w:hint="default"/>
                <w:position w:val="1"/>
                <w:sz w:val="12"/>
                <w:szCs w:val="12"/>
              </w:rPr>
              <w:t>盾科技有限</w:t>
              <w:tab/>
            </w:r>
            <w:r>
              <w:rPr>
                <w:rFonts w:ascii="Times New Roman" w:hAnsi="Times New Roman" w:cs="Times New Roman" w:eastAsia="Times New Roman" w:hint="default"/>
                <w:sz w:val="12"/>
                <w:szCs w:val="12"/>
              </w:rPr>
              <w:t>535,028,464.13</w:t>
            </w:r>
          </w:p>
          <w:p>
            <w:pPr>
              <w:pStyle w:val="TableParagraph"/>
              <w:spacing w:line="240" w:lineRule="auto" w:before="23"/>
              <w:ind w:left="70" w:right="0"/>
              <w:jc w:val="left"/>
              <w:rPr>
                <w:rFonts w:ascii="宋体" w:hAnsi="宋体" w:cs="宋体" w:eastAsia="宋体" w:hint="default"/>
                <w:sz w:val="12"/>
                <w:szCs w:val="12"/>
              </w:rPr>
            </w:pPr>
            <w:r>
              <w:rPr>
                <w:rFonts w:ascii="宋体" w:hAnsi="宋体" w:cs="宋体" w:eastAsia="宋体" w:hint="default"/>
                <w:sz w:val="12"/>
                <w:szCs w:val="12"/>
              </w:rPr>
              <w:t>公司</w:t>
            </w: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6"/>
              <w:ind w:right="0"/>
              <w:jc w:val="left"/>
              <w:rPr>
                <w:rFonts w:ascii="宋体" w:hAnsi="宋体" w:cs="宋体" w:eastAsia="宋体" w:hint="default"/>
                <w:b/>
                <w:bCs/>
                <w:sz w:val="11"/>
                <w:szCs w:val="11"/>
              </w:rPr>
            </w:pPr>
          </w:p>
          <w:p>
            <w:pPr>
              <w:pStyle w:val="TableParagraph"/>
              <w:spacing w:line="240" w:lineRule="auto"/>
              <w:ind w:right="211"/>
              <w:jc w:val="right"/>
              <w:rPr>
                <w:rFonts w:ascii="Times New Roman" w:hAnsi="Times New Roman" w:cs="Times New Roman" w:eastAsia="Times New Roman" w:hint="default"/>
                <w:sz w:val="12"/>
                <w:szCs w:val="12"/>
              </w:rPr>
            </w:pPr>
            <w:r>
              <w:rPr>
                <w:rFonts w:ascii="Times New Roman"/>
                <w:sz w:val="12"/>
              </w:rPr>
              <w:t>1,365,213.94</w:t>
            </w:r>
          </w:p>
        </w:tc>
        <w:tc>
          <w:tcPr>
            <w:tcW w:w="1088"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6"/>
              <w:ind w:right="0"/>
              <w:jc w:val="left"/>
              <w:rPr>
                <w:rFonts w:ascii="宋体" w:hAnsi="宋体" w:cs="宋体" w:eastAsia="宋体" w:hint="default"/>
                <w:b/>
                <w:bCs/>
                <w:sz w:val="11"/>
                <w:szCs w:val="11"/>
              </w:rPr>
            </w:pPr>
          </w:p>
          <w:p>
            <w:pPr>
              <w:pStyle w:val="TableParagraph"/>
              <w:spacing w:line="240" w:lineRule="auto"/>
              <w:ind w:right="33"/>
              <w:jc w:val="right"/>
              <w:rPr>
                <w:rFonts w:ascii="Times New Roman" w:hAnsi="Times New Roman" w:cs="Times New Roman" w:eastAsia="Times New Roman" w:hint="default"/>
                <w:sz w:val="12"/>
                <w:szCs w:val="12"/>
              </w:rPr>
            </w:pPr>
            <w:r>
              <w:rPr>
                <w:rFonts w:ascii="Times New Roman"/>
                <w:sz w:val="12"/>
              </w:rPr>
              <w:t>536,393,678.07</w:t>
            </w:r>
          </w:p>
        </w:tc>
        <w:tc>
          <w:tcPr>
            <w:tcW w:w="2294" w:type="dxa"/>
            <w:gridSpan w:val="2"/>
            <w:tcBorders>
              <w:top w:val="nil" w:sz="6" w:space="0" w:color="auto"/>
              <w:left w:val="nil" w:sz="6" w:space="0" w:color="auto"/>
              <w:bottom w:val="nil" w:sz="6" w:space="0" w:color="auto"/>
              <w:right w:val="nil" w:sz="6" w:space="0" w:color="auto"/>
            </w:tcBorders>
          </w:tcPr>
          <w:p>
            <w:pPr/>
          </w:p>
        </w:tc>
      </w:tr>
      <w:tr>
        <w:trPr>
          <w:trHeight w:val="666" w:hRule="exact"/>
        </w:trPr>
        <w:tc>
          <w:tcPr>
            <w:tcW w:w="219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9"/>
              <w:ind w:left="70" w:right="0"/>
              <w:jc w:val="left"/>
              <w:rPr>
                <w:rFonts w:ascii="宋体" w:hAnsi="宋体" w:cs="宋体" w:eastAsia="宋体" w:hint="default"/>
                <w:sz w:val="12"/>
                <w:szCs w:val="12"/>
              </w:rPr>
            </w:pPr>
            <w:r>
              <w:rPr>
                <w:rFonts w:ascii="宋体" w:hAnsi="宋体" w:cs="宋体" w:eastAsia="宋体" w:hint="default"/>
                <w:sz w:val="12"/>
                <w:szCs w:val="12"/>
              </w:rPr>
              <w:t>湖南凯杰科</w:t>
            </w:r>
          </w:p>
          <w:p>
            <w:pPr>
              <w:pStyle w:val="TableParagraph"/>
              <w:tabs>
                <w:tab w:pos="1295" w:val="left" w:leader="none"/>
              </w:tabs>
              <w:spacing w:line="240" w:lineRule="auto" w:before="43"/>
              <w:ind w:left="70" w:right="0"/>
              <w:jc w:val="left"/>
              <w:rPr>
                <w:rFonts w:ascii="Times New Roman" w:hAnsi="Times New Roman" w:cs="Times New Roman" w:eastAsia="Times New Roman" w:hint="default"/>
                <w:sz w:val="12"/>
                <w:szCs w:val="12"/>
              </w:rPr>
            </w:pPr>
            <w:r>
              <w:rPr>
                <w:rFonts w:ascii="宋体" w:hAnsi="宋体" w:cs="宋体" w:eastAsia="宋体" w:hint="default"/>
                <w:position w:val="1"/>
                <w:sz w:val="12"/>
                <w:szCs w:val="12"/>
              </w:rPr>
              <w:t>技有限责任</w:t>
              <w:tab/>
            </w:r>
            <w:r>
              <w:rPr>
                <w:rFonts w:ascii="Times New Roman" w:hAnsi="Times New Roman" w:cs="Times New Roman" w:eastAsia="Times New Roman" w:hint="default"/>
                <w:sz w:val="12"/>
                <w:szCs w:val="12"/>
              </w:rPr>
              <w:t>35,149,766.81</w:t>
            </w:r>
          </w:p>
          <w:p>
            <w:pPr>
              <w:pStyle w:val="TableParagraph"/>
              <w:spacing w:line="240" w:lineRule="auto" w:before="23"/>
              <w:ind w:left="70" w:right="0"/>
              <w:jc w:val="left"/>
              <w:rPr>
                <w:rFonts w:ascii="宋体" w:hAnsi="宋体" w:cs="宋体" w:eastAsia="宋体" w:hint="default"/>
                <w:sz w:val="12"/>
                <w:szCs w:val="12"/>
              </w:rPr>
            </w:pPr>
            <w:r>
              <w:rPr>
                <w:rFonts w:ascii="宋体" w:hAnsi="宋体" w:cs="宋体" w:eastAsia="宋体" w:hint="default"/>
                <w:sz w:val="12"/>
                <w:szCs w:val="12"/>
              </w:rPr>
              <w:t>公司</w:t>
            </w:r>
          </w:p>
        </w:tc>
        <w:tc>
          <w:tcPr>
            <w:tcW w:w="1266" w:type="dxa"/>
            <w:tcBorders>
              <w:top w:val="nil" w:sz="6" w:space="0" w:color="auto"/>
              <w:left w:val="nil" w:sz="6" w:space="0" w:color="auto"/>
              <w:bottom w:val="nil" w:sz="6" w:space="0" w:color="auto"/>
              <w:right w:val="nil" w:sz="6" w:space="0" w:color="auto"/>
            </w:tcBorders>
          </w:tcPr>
          <w:p>
            <w:pPr/>
          </w:p>
        </w:tc>
        <w:tc>
          <w:tcPr>
            <w:tcW w:w="1088"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00"/>
              <w:ind w:right="33"/>
              <w:jc w:val="right"/>
              <w:rPr>
                <w:rFonts w:ascii="Times New Roman" w:hAnsi="Times New Roman" w:cs="Times New Roman" w:eastAsia="Times New Roman" w:hint="default"/>
                <w:sz w:val="12"/>
                <w:szCs w:val="12"/>
              </w:rPr>
            </w:pPr>
            <w:r>
              <w:rPr>
                <w:rFonts w:ascii="Times New Roman"/>
                <w:sz w:val="12"/>
              </w:rPr>
              <w:t>35,149,766.81</w:t>
            </w:r>
          </w:p>
        </w:tc>
        <w:tc>
          <w:tcPr>
            <w:tcW w:w="2294" w:type="dxa"/>
            <w:gridSpan w:val="2"/>
            <w:tcBorders>
              <w:top w:val="nil" w:sz="6" w:space="0" w:color="auto"/>
              <w:left w:val="nil" w:sz="6" w:space="0" w:color="auto"/>
              <w:bottom w:val="nil" w:sz="6" w:space="0" w:color="auto"/>
              <w:right w:val="nil" w:sz="6" w:space="0" w:color="auto"/>
            </w:tcBorders>
          </w:tcPr>
          <w:p>
            <w:pPr/>
          </w:p>
        </w:tc>
      </w:tr>
      <w:tr>
        <w:trPr>
          <w:trHeight w:val="666" w:hRule="exact"/>
        </w:trPr>
        <w:tc>
          <w:tcPr>
            <w:tcW w:w="219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9"/>
              <w:ind w:left="70" w:right="0"/>
              <w:jc w:val="left"/>
              <w:rPr>
                <w:rFonts w:ascii="宋体" w:hAnsi="宋体" w:cs="宋体" w:eastAsia="宋体" w:hint="default"/>
                <w:sz w:val="12"/>
                <w:szCs w:val="12"/>
              </w:rPr>
            </w:pPr>
            <w:r>
              <w:rPr>
                <w:rFonts w:ascii="宋体" w:hAnsi="宋体" w:cs="宋体" w:eastAsia="宋体" w:hint="default"/>
                <w:sz w:val="12"/>
                <w:szCs w:val="12"/>
              </w:rPr>
              <w:t>湖南长城医</w:t>
            </w:r>
          </w:p>
          <w:p>
            <w:pPr>
              <w:pStyle w:val="TableParagraph"/>
              <w:tabs>
                <w:tab w:pos="1295" w:val="left" w:leader="none"/>
              </w:tabs>
              <w:spacing w:line="240" w:lineRule="auto" w:before="43"/>
              <w:ind w:left="70" w:right="0"/>
              <w:jc w:val="left"/>
              <w:rPr>
                <w:rFonts w:ascii="Times New Roman" w:hAnsi="Times New Roman" w:cs="Times New Roman" w:eastAsia="Times New Roman" w:hint="default"/>
                <w:sz w:val="12"/>
                <w:szCs w:val="12"/>
              </w:rPr>
            </w:pPr>
            <w:r>
              <w:rPr>
                <w:rFonts w:ascii="宋体" w:hAnsi="宋体" w:cs="宋体" w:eastAsia="宋体" w:hint="default"/>
                <w:position w:val="1"/>
                <w:sz w:val="12"/>
                <w:szCs w:val="12"/>
              </w:rPr>
              <w:t>疗科技有限</w:t>
              <w:tab/>
            </w:r>
            <w:r>
              <w:rPr>
                <w:rFonts w:ascii="Times New Roman" w:hAnsi="Times New Roman" w:cs="Times New Roman" w:eastAsia="Times New Roman" w:hint="default"/>
                <w:sz w:val="12"/>
                <w:szCs w:val="12"/>
              </w:rPr>
              <w:t>49,291,043.79</w:t>
            </w:r>
          </w:p>
          <w:p>
            <w:pPr>
              <w:pStyle w:val="TableParagraph"/>
              <w:spacing w:line="240" w:lineRule="auto" w:before="23"/>
              <w:ind w:left="70" w:right="0"/>
              <w:jc w:val="left"/>
              <w:rPr>
                <w:rFonts w:ascii="宋体" w:hAnsi="宋体" w:cs="宋体" w:eastAsia="宋体" w:hint="default"/>
                <w:sz w:val="12"/>
                <w:szCs w:val="12"/>
              </w:rPr>
            </w:pPr>
            <w:r>
              <w:rPr>
                <w:rFonts w:ascii="宋体" w:hAnsi="宋体" w:cs="宋体" w:eastAsia="宋体" w:hint="default"/>
                <w:sz w:val="12"/>
                <w:szCs w:val="12"/>
              </w:rPr>
              <w:t>公司</w:t>
            </w: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00"/>
              <w:ind w:right="211"/>
              <w:jc w:val="right"/>
              <w:rPr>
                <w:rFonts w:ascii="Times New Roman" w:hAnsi="Times New Roman" w:cs="Times New Roman" w:eastAsia="Times New Roman" w:hint="default"/>
                <w:sz w:val="12"/>
                <w:szCs w:val="12"/>
              </w:rPr>
            </w:pPr>
            <w:r>
              <w:rPr>
                <w:rFonts w:ascii="Times New Roman"/>
                <w:sz w:val="12"/>
              </w:rPr>
              <w:t>492,993.92</w:t>
            </w:r>
          </w:p>
        </w:tc>
        <w:tc>
          <w:tcPr>
            <w:tcW w:w="1088"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00"/>
              <w:ind w:right="33"/>
              <w:jc w:val="right"/>
              <w:rPr>
                <w:rFonts w:ascii="Times New Roman" w:hAnsi="Times New Roman" w:cs="Times New Roman" w:eastAsia="Times New Roman" w:hint="default"/>
                <w:sz w:val="12"/>
                <w:szCs w:val="12"/>
              </w:rPr>
            </w:pPr>
            <w:r>
              <w:rPr>
                <w:rFonts w:ascii="Times New Roman"/>
                <w:sz w:val="12"/>
              </w:rPr>
              <w:t>49,784,037.71</w:t>
            </w:r>
          </w:p>
        </w:tc>
        <w:tc>
          <w:tcPr>
            <w:tcW w:w="2294" w:type="dxa"/>
            <w:gridSpan w:val="2"/>
            <w:tcBorders>
              <w:top w:val="nil" w:sz="6" w:space="0" w:color="auto"/>
              <w:left w:val="nil" w:sz="6" w:space="0" w:color="auto"/>
              <w:bottom w:val="nil" w:sz="6" w:space="0" w:color="auto"/>
              <w:right w:val="nil" w:sz="6" w:space="0" w:color="auto"/>
            </w:tcBorders>
          </w:tcPr>
          <w:p>
            <w:pPr/>
          </w:p>
        </w:tc>
      </w:tr>
      <w:tr>
        <w:trPr>
          <w:trHeight w:val="616" w:hRule="exact"/>
        </w:trPr>
        <w:tc>
          <w:tcPr>
            <w:tcW w:w="219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9"/>
              <w:ind w:left="70" w:right="0"/>
              <w:jc w:val="left"/>
              <w:rPr>
                <w:rFonts w:ascii="宋体" w:hAnsi="宋体" w:cs="宋体" w:eastAsia="宋体" w:hint="default"/>
                <w:sz w:val="12"/>
                <w:szCs w:val="12"/>
              </w:rPr>
            </w:pPr>
            <w:r>
              <w:rPr>
                <w:rFonts w:ascii="宋体" w:hAnsi="宋体" w:cs="宋体" w:eastAsia="宋体" w:hint="default"/>
                <w:sz w:val="12"/>
                <w:szCs w:val="12"/>
              </w:rPr>
              <w:t>深圳湘计长</w:t>
            </w:r>
          </w:p>
          <w:p>
            <w:pPr>
              <w:pStyle w:val="TableParagraph"/>
              <w:tabs>
                <w:tab w:pos="1295" w:val="left" w:leader="none"/>
              </w:tabs>
              <w:spacing w:line="240" w:lineRule="auto" w:before="43"/>
              <w:ind w:left="70" w:right="0"/>
              <w:jc w:val="left"/>
              <w:rPr>
                <w:rFonts w:ascii="Times New Roman" w:hAnsi="Times New Roman" w:cs="Times New Roman" w:eastAsia="Times New Roman" w:hint="default"/>
                <w:sz w:val="12"/>
                <w:szCs w:val="12"/>
              </w:rPr>
            </w:pPr>
            <w:r>
              <w:rPr>
                <w:rFonts w:ascii="宋体" w:hAnsi="宋体" w:cs="宋体" w:eastAsia="宋体" w:hint="default"/>
                <w:position w:val="1"/>
                <w:sz w:val="12"/>
                <w:szCs w:val="12"/>
              </w:rPr>
              <w:t>岛电脑设备</w:t>
              <w:tab/>
            </w:r>
            <w:r>
              <w:rPr>
                <w:rFonts w:ascii="Times New Roman" w:hAnsi="Times New Roman" w:cs="Times New Roman" w:eastAsia="Times New Roman" w:hint="default"/>
                <w:sz w:val="12"/>
                <w:szCs w:val="12"/>
              </w:rPr>
              <w:t>12,282,462.45</w:t>
            </w:r>
          </w:p>
          <w:p>
            <w:pPr>
              <w:pStyle w:val="TableParagraph"/>
              <w:spacing w:line="240" w:lineRule="auto" w:before="23"/>
              <w:ind w:left="70" w:right="0"/>
              <w:jc w:val="left"/>
              <w:rPr>
                <w:rFonts w:ascii="宋体" w:hAnsi="宋体" w:cs="宋体" w:eastAsia="宋体" w:hint="default"/>
                <w:sz w:val="12"/>
                <w:szCs w:val="12"/>
              </w:rPr>
            </w:pPr>
            <w:r>
              <w:rPr>
                <w:rFonts w:ascii="宋体" w:hAnsi="宋体" w:cs="宋体" w:eastAsia="宋体" w:hint="default"/>
                <w:sz w:val="12"/>
                <w:szCs w:val="12"/>
              </w:rPr>
              <w:t>有限公司</w:t>
            </w:r>
          </w:p>
        </w:tc>
        <w:tc>
          <w:tcPr>
            <w:tcW w:w="1266" w:type="dxa"/>
            <w:tcBorders>
              <w:top w:val="nil" w:sz="6" w:space="0" w:color="auto"/>
              <w:left w:val="nil" w:sz="6" w:space="0" w:color="auto"/>
              <w:bottom w:val="nil" w:sz="6" w:space="0" w:color="auto"/>
              <w:right w:val="nil" w:sz="6" w:space="0" w:color="auto"/>
            </w:tcBorders>
          </w:tcPr>
          <w:p>
            <w:pPr/>
          </w:p>
        </w:tc>
        <w:tc>
          <w:tcPr>
            <w:tcW w:w="108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00"/>
              <w:ind w:right="33"/>
              <w:jc w:val="right"/>
              <w:rPr>
                <w:rFonts w:ascii="Times New Roman" w:hAnsi="Times New Roman" w:cs="Times New Roman" w:eastAsia="Times New Roman" w:hint="default"/>
                <w:sz w:val="12"/>
                <w:szCs w:val="12"/>
              </w:rPr>
            </w:pPr>
            <w:r>
              <w:rPr>
                <w:rFonts w:ascii="Times New Roman"/>
                <w:sz w:val="12"/>
              </w:rPr>
              <w:t>12,282,462.45</w:t>
            </w:r>
          </w:p>
        </w:tc>
        <w:tc>
          <w:tcPr>
            <w:tcW w:w="1266" w:type="dxa"/>
            <w:tcBorders>
              <w:top w:val="nil" w:sz="6" w:space="0" w:color="auto"/>
              <w:left w:val="nil" w:sz="6" w:space="0" w:color="auto"/>
              <w:bottom w:val="nil" w:sz="6" w:space="0" w:color="auto"/>
              <w:right w:val="nil" w:sz="6" w:space="0" w:color="auto"/>
            </w:tcBorders>
          </w:tcPr>
          <w:p>
            <w:pPr/>
          </w:p>
        </w:tc>
        <w:tc>
          <w:tcPr>
            <w:tcW w:w="2294" w:type="dxa"/>
            <w:gridSpan w:val="2"/>
            <w:tcBorders>
              <w:top w:val="nil" w:sz="6" w:space="0" w:color="auto"/>
              <w:left w:val="nil" w:sz="6" w:space="0" w:color="auto"/>
              <w:bottom w:val="nil" w:sz="6" w:space="0" w:color="auto"/>
              <w:right w:val="nil" w:sz="6" w:space="0" w:color="auto"/>
            </w:tcBorders>
          </w:tcPr>
          <w:p>
            <w:pPr/>
          </w:p>
        </w:tc>
      </w:tr>
      <w:tr>
        <w:trPr>
          <w:trHeight w:val="458" w:hRule="exact"/>
        </w:trPr>
        <w:tc>
          <w:tcPr>
            <w:tcW w:w="2198" w:type="dxa"/>
            <w:gridSpan w:val="2"/>
            <w:tcBorders>
              <w:top w:val="nil" w:sz="6" w:space="0" w:color="auto"/>
              <w:left w:val="nil" w:sz="6" w:space="0" w:color="auto"/>
              <w:bottom w:val="nil" w:sz="6" w:space="0" w:color="auto"/>
              <w:right w:val="nil" w:sz="6" w:space="0" w:color="auto"/>
            </w:tcBorders>
          </w:tcPr>
          <w:p>
            <w:pPr>
              <w:pStyle w:val="TableParagraph"/>
              <w:spacing w:line="148" w:lineRule="exact" w:before="69"/>
              <w:ind w:left="70" w:right="0"/>
              <w:jc w:val="left"/>
              <w:rPr>
                <w:rFonts w:ascii="宋体" w:hAnsi="宋体" w:cs="宋体" w:eastAsia="宋体" w:hint="default"/>
                <w:sz w:val="12"/>
                <w:szCs w:val="12"/>
              </w:rPr>
            </w:pPr>
            <w:r>
              <w:rPr>
                <w:rFonts w:ascii="宋体" w:hAnsi="宋体" w:cs="宋体" w:eastAsia="宋体" w:hint="default"/>
                <w:sz w:val="12"/>
                <w:szCs w:val="12"/>
              </w:rPr>
              <w:t>深圳普士科</w:t>
            </w:r>
          </w:p>
          <w:p>
            <w:pPr>
              <w:pStyle w:val="TableParagraph"/>
              <w:spacing w:line="129" w:lineRule="exact"/>
              <w:ind w:left="1355" w:right="0"/>
              <w:jc w:val="left"/>
              <w:rPr>
                <w:rFonts w:ascii="Times New Roman" w:hAnsi="Times New Roman" w:cs="Times New Roman" w:eastAsia="Times New Roman" w:hint="default"/>
                <w:sz w:val="12"/>
                <w:szCs w:val="12"/>
              </w:rPr>
            </w:pPr>
            <w:r>
              <w:rPr>
                <w:rFonts w:ascii="Times New Roman"/>
                <w:sz w:val="12"/>
              </w:rPr>
              <w:t>4,000,000.00</w:t>
            </w:r>
          </w:p>
        </w:tc>
        <w:tc>
          <w:tcPr>
            <w:tcW w:w="1266" w:type="dxa"/>
            <w:tcBorders>
              <w:top w:val="nil" w:sz="6" w:space="0" w:color="auto"/>
              <w:left w:val="nil" w:sz="6" w:space="0" w:color="auto"/>
              <w:bottom w:val="nil" w:sz="6" w:space="0" w:color="auto"/>
              <w:right w:val="nil" w:sz="6" w:space="0" w:color="auto"/>
            </w:tcBorders>
          </w:tcPr>
          <w:p>
            <w:pPr/>
          </w:p>
        </w:tc>
        <w:tc>
          <w:tcPr>
            <w:tcW w:w="108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33"/>
              <w:jc w:val="right"/>
              <w:rPr>
                <w:rFonts w:ascii="Times New Roman" w:hAnsi="Times New Roman" w:cs="Times New Roman" w:eastAsia="Times New Roman" w:hint="default"/>
                <w:sz w:val="12"/>
                <w:szCs w:val="12"/>
              </w:rPr>
            </w:pPr>
            <w:r>
              <w:rPr>
                <w:rFonts w:ascii="Times New Roman"/>
                <w:sz w:val="12"/>
              </w:rPr>
              <w:t>4,000,000.00</w:t>
            </w:r>
          </w:p>
        </w:tc>
        <w:tc>
          <w:tcPr>
            <w:tcW w:w="1266" w:type="dxa"/>
            <w:tcBorders>
              <w:top w:val="nil" w:sz="6" w:space="0" w:color="auto"/>
              <w:left w:val="nil" w:sz="6" w:space="0" w:color="auto"/>
              <w:bottom w:val="nil" w:sz="6" w:space="0" w:color="auto"/>
              <w:right w:val="nil" w:sz="6" w:space="0" w:color="auto"/>
            </w:tcBorders>
          </w:tcPr>
          <w:p>
            <w:pPr/>
          </w:p>
        </w:tc>
        <w:tc>
          <w:tcPr>
            <w:tcW w:w="229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358" w:right="0"/>
              <w:jc w:val="left"/>
              <w:rPr>
                <w:rFonts w:ascii="Times New Roman" w:hAnsi="Times New Roman" w:cs="Times New Roman" w:eastAsia="Times New Roman" w:hint="default"/>
                <w:sz w:val="12"/>
                <w:szCs w:val="12"/>
              </w:rPr>
            </w:pPr>
            <w:r>
              <w:rPr>
                <w:rFonts w:ascii="Times New Roman"/>
                <w:sz w:val="12"/>
              </w:rPr>
              <w:t>(4,000,000.00)</w:t>
            </w:r>
          </w:p>
        </w:tc>
      </w:tr>
      <w:tr>
        <w:trPr>
          <w:trHeight w:val="275" w:hRule="exact"/>
        </w:trPr>
        <w:tc>
          <w:tcPr>
            <w:tcW w:w="1110"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368"/>
              <w:jc w:val="center"/>
              <w:rPr>
                <w:rFonts w:ascii="宋体" w:hAnsi="宋体" w:cs="宋体" w:eastAsia="宋体" w:hint="default"/>
                <w:sz w:val="12"/>
                <w:szCs w:val="12"/>
              </w:rPr>
            </w:pPr>
            <w:r>
              <w:rPr>
                <w:rFonts w:ascii="宋体" w:hAnsi="宋体" w:cs="宋体" w:eastAsia="宋体" w:hint="default"/>
                <w:sz w:val="12"/>
                <w:szCs w:val="12"/>
              </w:rPr>
              <w:t>长沙中电软</w:t>
            </w:r>
          </w:p>
        </w:tc>
        <w:tc>
          <w:tcPr>
            <w:tcW w:w="1088"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
        </w:tc>
        <w:tc>
          <w:tcPr>
            <w:tcW w:w="1088"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
        </w:tc>
        <w:tc>
          <w:tcPr>
            <w:tcW w:w="1103" w:type="dxa"/>
            <w:tcBorders>
              <w:top w:val="nil" w:sz="6" w:space="0" w:color="auto"/>
              <w:left w:val="nil" w:sz="6" w:space="0" w:color="auto"/>
              <w:bottom w:val="nil" w:sz="6" w:space="0" w:color="auto"/>
              <w:right w:val="nil" w:sz="6" w:space="0" w:color="auto"/>
            </w:tcBorders>
          </w:tcPr>
          <w:p>
            <w:pPr/>
          </w:p>
        </w:tc>
        <w:tc>
          <w:tcPr>
            <w:tcW w:w="1190" w:type="dxa"/>
            <w:tcBorders>
              <w:top w:val="nil" w:sz="6" w:space="0" w:color="auto"/>
              <w:left w:val="nil" w:sz="6" w:space="0" w:color="auto"/>
              <w:bottom w:val="nil" w:sz="6" w:space="0" w:color="auto"/>
              <w:right w:val="nil" w:sz="6" w:space="0" w:color="auto"/>
            </w:tcBorders>
          </w:tcPr>
          <w:p>
            <w:pPr/>
          </w:p>
        </w:tc>
      </w:tr>
      <w:tr>
        <w:trPr>
          <w:trHeight w:val="433" w:hRule="exact"/>
        </w:trPr>
        <w:tc>
          <w:tcPr>
            <w:tcW w:w="1110" w:type="dxa"/>
            <w:tcBorders>
              <w:top w:val="nil" w:sz="6" w:space="0" w:color="auto"/>
              <w:left w:val="nil" w:sz="6" w:space="0" w:color="auto"/>
              <w:bottom w:val="nil" w:sz="6" w:space="0" w:color="auto"/>
              <w:right w:val="nil" w:sz="6" w:space="0" w:color="auto"/>
            </w:tcBorders>
          </w:tcPr>
          <w:p>
            <w:pPr>
              <w:pStyle w:val="TableParagraph"/>
              <w:spacing w:line="304" w:lineRule="auto" w:before="3"/>
              <w:ind w:left="70" w:right="438"/>
              <w:jc w:val="left"/>
              <w:rPr>
                <w:rFonts w:ascii="宋体" w:hAnsi="宋体" w:cs="宋体" w:eastAsia="宋体" w:hint="default"/>
                <w:sz w:val="12"/>
                <w:szCs w:val="12"/>
              </w:rPr>
            </w:pPr>
            <w:r>
              <w:rPr>
                <w:rFonts w:ascii="宋体" w:hAnsi="宋体" w:cs="宋体" w:eastAsia="宋体" w:hint="default"/>
                <w:sz w:val="12"/>
                <w:szCs w:val="12"/>
              </w:rPr>
              <w:t>件园有限公 司</w:t>
            </w:r>
          </w:p>
        </w:tc>
        <w:tc>
          <w:tcPr>
            <w:tcW w:w="1088"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211"/>
              <w:jc w:val="right"/>
              <w:rPr>
                <w:rFonts w:ascii="Times New Roman" w:hAnsi="Times New Roman" w:cs="Times New Roman" w:eastAsia="Times New Roman" w:hint="default"/>
                <w:sz w:val="12"/>
                <w:szCs w:val="12"/>
              </w:rPr>
            </w:pPr>
            <w:r>
              <w:rPr>
                <w:rFonts w:ascii="Times New Roman"/>
                <w:spacing w:val="-1"/>
                <w:sz w:val="12"/>
              </w:rPr>
              <w:t>116,480,452.00</w:t>
            </w:r>
          </w:p>
        </w:tc>
        <w:tc>
          <w:tcPr>
            <w:tcW w:w="1266" w:type="dxa"/>
            <w:tcBorders>
              <w:top w:val="nil" w:sz="6" w:space="0" w:color="auto"/>
              <w:left w:val="nil" w:sz="6" w:space="0" w:color="auto"/>
              <w:bottom w:val="nil" w:sz="6" w:space="0" w:color="auto"/>
              <w:right w:val="nil" w:sz="6" w:space="0" w:color="auto"/>
            </w:tcBorders>
          </w:tcPr>
          <w:p>
            <w:pPr/>
          </w:p>
        </w:tc>
        <w:tc>
          <w:tcPr>
            <w:tcW w:w="1088"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33"/>
              <w:jc w:val="right"/>
              <w:rPr>
                <w:rFonts w:ascii="Times New Roman" w:hAnsi="Times New Roman" w:cs="Times New Roman" w:eastAsia="Times New Roman" w:hint="default"/>
                <w:sz w:val="12"/>
                <w:szCs w:val="12"/>
              </w:rPr>
            </w:pPr>
            <w:r>
              <w:rPr>
                <w:rFonts w:ascii="Times New Roman"/>
                <w:spacing w:val="-1"/>
                <w:sz w:val="12"/>
              </w:rPr>
              <w:t>116,480,452.00</w:t>
            </w:r>
          </w:p>
        </w:tc>
        <w:tc>
          <w:tcPr>
            <w:tcW w:w="1103" w:type="dxa"/>
            <w:tcBorders>
              <w:top w:val="nil" w:sz="6" w:space="0" w:color="auto"/>
              <w:left w:val="nil" w:sz="6" w:space="0" w:color="auto"/>
              <w:bottom w:val="nil" w:sz="6" w:space="0" w:color="auto"/>
              <w:right w:val="nil" w:sz="6" w:space="0" w:color="auto"/>
            </w:tcBorders>
          </w:tcPr>
          <w:p>
            <w:pPr/>
          </w:p>
        </w:tc>
        <w:tc>
          <w:tcPr>
            <w:tcW w:w="1190" w:type="dxa"/>
            <w:tcBorders>
              <w:top w:val="nil" w:sz="6" w:space="0" w:color="auto"/>
              <w:left w:val="nil" w:sz="6" w:space="0" w:color="auto"/>
              <w:bottom w:val="nil" w:sz="6" w:space="0" w:color="auto"/>
              <w:right w:val="nil" w:sz="6" w:space="0" w:color="auto"/>
            </w:tcBorders>
          </w:tcPr>
          <w:p>
            <w:pPr/>
          </w:p>
        </w:tc>
      </w:tr>
      <w:tr>
        <w:trPr>
          <w:trHeight w:val="233" w:hRule="exact"/>
        </w:trPr>
        <w:tc>
          <w:tcPr>
            <w:tcW w:w="1110"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368"/>
              <w:jc w:val="center"/>
              <w:rPr>
                <w:rFonts w:ascii="宋体" w:hAnsi="宋体" w:cs="宋体" w:eastAsia="宋体" w:hint="default"/>
                <w:sz w:val="12"/>
                <w:szCs w:val="12"/>
              </w:rPr>
            </w:pPr>
            <w:r>
              <w:rPr>
                <w:rFonts w:ascii="宋体" w:hAnsi="宋体" w:cs="宋体" w:eastAsia="宋体" w:hint="default"/>
                <w:sz w:val="12"/>
                <w:szCs w:val="12"/>
              </w:rPr>
              <w:t>长城信息海</w:t>
            </w:r>
          </w:p>
        </w:tc>
        <w:tc>
          <w:tcPr>
            <w:tcW w:w="1088"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
        </w:tc>
        <w:tc>
          <w:tcPr>
            <w:tcW w:w="1088"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
        </w:tc>
        <w:tc>
          <w:tcPr>
            <w:tcW w:w="1103" w:type="dxa"/>
            <w:tcBorders>
              <w:top w:val="nil" w:sz="6" w:space="0" w:color="auto"/>
              <w:left w:val="nil" w:sz="6" w:space="0" w:color="auto"/>
              <w:bottom w:val="nil" w:sz="6" w:space="0" w:color="auto"/>
              <w:right w:val="nil" w:sz="6" w:space="0" w:color="auto"/>
            </w:tcBorders>
          </w:tcPr>
          <w:p>
            <w:pPr/>
          </w:p>
        </w:tc>
        <w:tc>
          <w:tcPr>
            <w:tcW w:w="1190" w:type="dxa"/>
            <w:tcBorders>
              <w:top w:val="nil" w:sz="6" w:space="0" w:color="auto"/>
              <w:left w:val="nil" w:sz="6" w:space="0" w:color="auto"/>
              <w:bottom w:val="nil" w:sz="6" w:space="0" w:color="auto"/>
              <w:right w:val="nil" w:sz="6" w:space="0" w:color="auto"/>
            </w:tcBorders>
          </w:tcPr>
          <w:p>
            <w:pPr/>
          </w:p>
        </w:tc>
      </w:tr>
      <w:tr>
        <w:trPr>
          <w:trHeight w:val="454" w:hRule="exact"/>
        </w:trPr>
        <w:tc>
          <w:tcPr>
            <w:tcW w:w="1110" w:type="dxa"/>
            <w:tcBorders>
              <w:top w:val="nil" w:sz="6" w:space="0" w:color="auto"/>
              <w:left w:val="nil" w:sz="6" w:space="0" w:color="auto"/>
              <w:bottom w:val="nil" w:sz="6" w:space="0" w:color="auto"/>
              <w:right w:val="nil" w:sz="6" w:space="0" w:color="auto"/>
            </w:tcBorders>
          </w:tcPr>
          <w:p>
            <w:pPr>
              <w:pStyle w:val="TableParagraph"/>
              <w:spacing w:line="304" w:lineRule="auto" w:before="3"/>
              <w:ind w:left="70" w:right="438"/>
              <w:jc w:val="left"/>
              <w:rPr>
                <w:rFonts w:ascii="宋体" w:hAnsi="宋体" w:cs="宋体" w:eastAsia="宋体" w:hint="default"/>
                <w:sz w:val="12"/>
                <w:szCs w:val="12"/>
              </w:rPr>
            </w:pPr>
            <w:r>
              <w:rPr>
                <w:rFonts w:ascii="宋体" w:hAnsi="宋体" w:cs="宋体" w:eastAsia="宋体" w:hint="default"/>
                <w:sz w:val="12"/>
                <w:szCs w:val="12"/>
              </w:rPr>
              <w:t>南系统技术 有限公司</w:t>
            </w:r>
          </w:p>
        </w:tc>
        <w:tc>
          <w:tcPr>
            <w:tcW w:w="1088"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211"/>
              <w:jc w:val="right"/>
              <w:rPr>
                <w:rFonts w:ascii="Times New Roman" w:hAnsi="Times New Roman" w:cs="Times New Roman" w:eastAsia="Times New Roman" w:hint="default"/>
                <w:sz w:val="12"/>
                <w:szCs w:val="12"/>
              </w:rPr>
            </w:pPr>
            <w:r>
              <w:rPr>
                <w:rFonts w:ascii="Times New Roman"/>
                <w:sz w:val="12"/>
              </w:rPr>
              <w:t>990,000.00</w:t>
            </w:r>
          </w:p>
        </w:tc>
        <w:tc>
          <w:tcPr>
            <w:tcW w:w="1266" w:type="dxa"/>
            <w:tcBorders>
              <w:top w:val="nil" w:sz="6" w:space="0" w:color="auto"/>
              <w:left w:val="nil" w:sz="6" w:space="0" w:color="auto"/>
              <w:bottom w:val="nil" w:sz="6" w:space="0" w:color="auto"/>
              <w:right w:val="nil" w:sz="6" w:space="0" w:color="auto"/>
            </w:tcBorders>
          </w:tcPr>
          <w:p>
            <w:pPr/>
          </w:p>
        </w:tc>
        <w:tc>
          <w:tcPr>
            <w:tcW w:w="1088"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33"/>
              <w:jc w:val="right"/>
              <w:rPr>
                <w:rFonts w:ascii="Times New Roman" w:hAnsi="Times New Roman" w:cs="Times New Roman" w:eastAsia="Times New Roman" w:hint="default"/>
                <w:sz w:val="12"/>
                <w:szCs w:val="12"/>
              </w:rPr>
            </w:pPr>
            <w:r>
              <w:rPr>
                <w:rFonts w:ascii="Times New Roman"/>
                <w:sz w:val="12"/>
              </w:rPr>
              <w:t>990,000.00</w:t>
            </w:r>
          </w:p>
        </w:tc>
        <w:tc>
          <w:tcPr>
            <w:tcW w:w="1266" w:type="dxa"/>
            <w:tcBorders>
              <w:top w:val="nil" w:sz="6" w:space="0" w:color="auto"/>
              <w:left w:val="nil" w:sz="6" w:space="0" w:color="auto"/>
              <w:bottom w:val="nil" w:sz="6" w:space="0" w:color="auto"/>
              <w:right w:val="nil" w:sz="6" w:space="0" w:color="auto"/>
            </w:tcBorders>
          </w:tcPr>
          <w:p>
            <w:pPr/>
          </w:p>
        </w:tc>
        <w:tc>
          <w:tcPr>
            <w:tcW w:w="1103" w:type="dxa"/>
            <w:tcBorders>
              <w:top w:val="nil" w:sz="6" w:space="0" w:color="auto"/>
              <w:left w:val="nil" w:sz="6" w:space="0" w:color="auto"/>
              <w:bottom w:val="nil" w:sz="6" w:space="0" w:color="auto"/>
              <w:right w:val="nil" w:sz="6" w:space="0" w:color="auto"/>
            </w:tcBorders>
          </w:tcPr>
          <w:p>
            <w:pPr/>
          </w:p>
        </w:tc>
        <w:tc>
          <w:tcPr>
            <w:tcW w:w="1190" w:type="dxa"/>
            <w:tcBorders>
              <w:top w:val="nil" w:sz="6" w:space="0" w:color="auto"/>
              <w:left w:val="nil" w:sz="6" w:space="0" w:color="auto"/>
              <w:bottom w:val="nil" w:sz="6" w:space="0" w:color="auto"/>
              <w:right w:val="nil" w:sz="6" w:space="0" w:color="auto"/>
            </w:tcBorders>
          </w:tcPr>
          <w:p>
            <w:pPr/>
          </w:p>
        </w:tc>
      </w:tr>
      <w:tr>
        <w:trPr>
          <w:trHeight w:val="322" w:hRule="exact"/>
        </w:trPr>
        <w:tc>
          <w:tcPr>
            <w:tcW w:w="1110"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317"/>
              <w:jc w:val="center"/>
              <w:rPr>
                <w:rFonts w:ascii="宋体" w:hAnsi="宋体" w:cs="宋体" w:eastAsia="宋体" w:hint="default"/>
                <w:sz w:val="12"/>
                <w:szCs w:val="12"/>
              </w:rPr>
            </w:pPr>
            <w:r>
              <w:rPr>
                <w:rFonts w:ascii="宋体" w:hAnsi="宋体" w:cs="宋体" w:eastAsia="宋体" w:hint="default"/>
                <w:sz w:val="12"/>
                <w:szCs w:val="12"/>
              </w:rPr>
              <w:t>合计</w:t>
            </w:r>
          </w:p>
        </w:tc>
        <w:tc>
          <w:tcPr>
            <w:tcW w:w="1088"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12"/>
              <w:jc w:val="right"/>
              <w:rPr>
                <w:rFonts w:ascii="Times New Roman" w:hAnsi="Times New Roman" w:cs="Times New Roman" w:eastAsia="Times New Roman" w:hint="default"/>
                <w:sz w:val="12"/>
                <w:szCs w:val="12"/>
              </w:rPr>
            </w:pPr>
            <w:r>
              <w:rPr>
                <w:rFonts w:ascii="Times New Roman"/>
                <w:spacing w:val="-1"/>
                <w:sz w:val="12"/>
              </w:rPr>
              <w:t>3,535,118,985.03</w:t>
            </w: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11"/>
              <w:jc w:val="right"/>
              <w:rPr>
                <w:rFonts w:ascii="Times New Roman" w:hAnsi="Times New Roman" w:cs="Times New Roman" w:eastAsia="Times New Roman" w:hint="default"/>
                <w:sz w:val="12"/>
                <w:szCs w:val="12"/>
              </w:rPr>
            </w:pPr>
            <w:r>
              <w:rPr>
                <w:rFonts w:ascii="Times New Roman"/>
                <w:sz w:val="12"/>
              </w:rPr>
              <w:t>3,121,474,535.55</w:t>
            </w:r>
          </w:p>
        </w:tc>
        <w:tc>
          <w:tcPr>
            <w:tcW w:w="1088"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4"/>
              <w:jc w:val="right"/>
              <w:rPr>
                <w:rFonts w:ascii="Times New Roman" w:hAnsi="Times New Roman" w:cs="Times New Roman" w:eastAsia="Times New Roman" w:hint="default"/>
                <w:sz w:val="12"/>
                <w:szCs w:val="12"/>
              </w:rPr>
            </w:pPr>
            <w:r>
              <w:rPr>
                <w:rFonts w:ascii="Times New Roman"/>
                <w:sz w:val="12"/>
              </w:rPr>
              <w:t>2,252,074,398.49</w:t>
            </w:r>
          </w:p>
        </w:tc>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4"/>
              <w:jc w:val="right"/>
              <w:rPr>
                <w:rFonts w:ascii="Times New Roman" w:hAnsi="Times New Roman" w:cs="Times New Roman" w:eastAsia="Times New Roman" w:hint="default"/>
                <w:sz w:val="12"/>
                <w:szCs w:val="12"/>
              </w:rPr>
            </w:pPr>
            <w:r>
              <w:rPr>
                <w:rFonts w:ascii="Times New Roman"/>
                <w:sz w:val="12"/>
              </w:rPr>
              <w:t>4,404,519,122.09</w:t>
            </w:r>
          </w:p>
        </w:tc>
        <w:tc>
          <w:tcPr>
            <w:tcW w:w="1103" w:type="dxa"/>
            <w:tcBorders>
              <w:top w:val="nil" w:sz="6" w:space="0" w:color="auto"/>
              <w:left w:val="nil" w:sz="6" w:space="0" w:color="auto"/>
              <w:bottom w:val="nil" w:sz="6" w:space="0" w:color="auto"/>
              <w:right w:val="nil" w:sz="6" w:space="0" w:color="auto"/>
            </w:tcBorders>
          </w:tcPr>
          <w:p>
            <w:pPr>
              <w:pStyle w:val="TableParagraph"/>
              <w:spacing w:line="240" w:lineRule="auto" w:before="96"/>
              <w:ind w:left="358" w:right="0"/>
              <w:jc w:val="left"/>
              <w:rPr>
                <w:rFonts w:ascii="Times New Roman" w:hAnsi="Times New Roman" w:cs="Times New Roman" w:eastAsia="Times New Roman" w:hint="default"/>
                <w:sz w:val="12"/>
                <w:szCs w:val="12"/>
              </w:rPr>
            </w:pPr>
            <w:r>
              <w:rPr>
                <w:rFonts w:ascii="Times New Roman"/>
                <w:sz w:val="12"/>
              </w:rPr>
              <w:t>(9,300,000.00)</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96"/>
              <w:ind w:left="370" w:right="0"/>
              <w:jc w:val="left"/>
              <w:rPr>
                <w:rFonts w:ascii="Times New Roman" w:hAnsi="Times New Roman" w:cs="Times New Roman" w:eastAsia="Times New Roman" w:hint="default"/>
                <w:sz w:val="12"/>
                <w:szCs w:val="12"/>
              </w:rPr>
            </w:pPr>
            <w:r>
              <w:rPr>
                <w:rFonts w:ascii="Times New Roman"/>
                <w:sz w:val="12"/>
              </w:rPr>
              <w:t>150,290,281.63</w:t>
            </w:r>
          </w:p>
        </w:tc>
      </w:tr>
    </w:tbl>
    <w:p>
      <w:pPr>
        <w:spacing w:line="240" w:lineRule="auto" w:before="7"/>
        <w:rPr>
          <w:rFonts w:ascii="宋体" w:hAnsi="宋体" w:cs="宋体" w:eastAsia="宋体" w:hint="default"/>
          <w:b/>
          <w:bCs/>
          <w:sz w:val="5"/>
          <w:szCs w:val="5"/>
        </w:rPr>
      </w:pPr>
    </w:p>
    <w:p>
      <w:pPr>
        <w:pStyle w:val="BodyText"/>
        <w:spacing w:line="240" w:lineRule="auto" w:before="35"/>
        <w:ind w:right="3681"/>
        <w:jc w:val="left"/>
      </w:pPr>
      <w:r>
        <w:rPr/>
        <w:pict>
          <v:group style="position:absolute;margin-left:119.010002pt;margin-top:-445.7659pt;width:412pt;height:442.9pt;mso-position-horizontal-relative:page;mso-position-vertical-relative:paragraph;z-index:-1357624" coordorigin="2380,-8915" coordsize="8240,8858">
            <v:group style="position:absolute;left:2410;top:-8900;width:862;height:2" coordorigin="2410,-8900" coordsize="862,2">
              <v:shape style="position:absolute;left:2410;top:-8900;width:862;height:2" coordorigin="2410,-8900" coordsize="862,0" path="m2410,-8900l3271,-8900e" filled="false" stroked="true" strokeweight="1.5pt" strokecolor="#000000">
                <v:path arrowok="t"/>
              </v:shape>
              <v:shape style="position:absolute;left:3271;top:-8885;width:10;height:28" type="#_x0000_t75" stroked="false">
                <v:imagedata r:id="rId37" o:title=""/>
              </v:shape>
            </v:group>
            <v:group style="position:absolute;left:3271;top:-8900;width:1266;height:2" coordorigin="3271,-8900" coordsize="1266,2">
              <v:shape style="position:absolute;left:3271;top:-8900;width:1266;height:2" coordorigin="3271,-8900" coordsize="1266,0" path="m3271,-8900l4537,-8900e" filled="false" stroked="true" strokeweight="1.5pt" strokecolor="#000000">
                <v:path arrowok="t"/>
              </v:shape>
              <v:shape style="position:absolute;left:4537;top:-8885;width:10;height:28" type="#_x0000_t75" stroked="false">
                <v:imagedata r:id="rId37" o:title=""/>
              </v:shape>
            </v:group>
            <v:group style="position:absolute;left:4537;top:-8900;width:1266;height:2" coordorigin="4537,-8900" coordsize="1266,2">
              <v:shape style="position:absolute;left:4537;top:-8900;width:1266;height:2" coordorigin="4537,-8900" coordsize="1266,0" path="m4537,-8900l5803,-8900e" filled="false" stroked="true" strokeweight="1.5pt" strokecolor="#000000">
                <v:path arrowok="t"/>
              </v:shape>
              <v:shape style="position:absolute;left:5803;top:-8885;width:10;height:28" type="#_x0000_t75" stroked="false">
                <v:imagedata r:id="rId37" o:title=""/>
              </v:shape>
            </v:group>
            <v:group style="position:absolute;left:5803;top:-8900;width:1266;height:2" coordorigin="5803,-8900" coordsize="1266,2">
              <v:shape style="position:absolute;left:5803;top:-8900;width:1266;height:2" coordorigin="5803,-8900" coordsize="1266,0" path="m5803,-8900l7069,-8900e" filled="false" stroked="true" strokeweight="1.5pt" strokecolor="#000000">
                <v:path arrowok="t"/>
              </v:shape>
              <v:shape style="position:absolute;left:7069;top:-8885;width:10;height:28" type="#_x0000_t75" stroked="false">
                <v:imagedata r:id="rId37" o:title=""/>
              </v:shape>
            </v:group>
            <v:group style="position:absolute;left:7069;top:-8900;width:1266;height:2" coordorigin="7069,-8900" coordsize="1266,2">
              <v:shape style="position:absolute;left:7069;top:-8900;width:1266;height:2" coordorigin="7069,-8900" coordsize="1266,0" path="m7069,-8900l8335,-8900e" filled="false" stroked="true" strokeweight="1.5pt" strokecolor="#000000">
                <v:path arrowok="t"/>
              </v:shape>
              <v:shape style="position:absolute;left:8335;top:-8885;width:10;height:28" type="#_x0000_t75" stroked="false">
                <v:imagedata r:id="rId37" o:title=""/>
              </v:shape>
            </v:group>
            <v:group style="position:absolute;left:8335;top:-8900;width:1104;height:2" coordorigin="8335,-8900" coordsize="1104,2">
              <v:shape style="position:absolute;left:8335;top:-8900;width:1104;height:2" coordorigin="8335,-8900" coordsize="1104,0" path="m8335,-8900l9439,-8900e" filled="false" stroked="true" strokeweight="1.5pt" strokecolor="#000000">
                <v:path arrowok="t"/>
              </v:shape>
              <v:shape style="position:absolute;left:9439;top:-8885;width:10;height:28" type="#_x0000_t75" stroked="false">
                <v:imagedata r:id="rId37" o:title=""/>
              </v:shape>
            </v:group>
            <v:group style="position:absolute;left:9439;top:-8900;width:1158;height:2" coordorigin="9439,-8900" coordsize="1158,2">
              <v:shape style="position:absolute;left:9439;top:-8900;width:1158;height:2" coordorigin="9439,-8900" coordsize="1158,0" path="m9439,-8900l10597,-8900e" filled="false" stroked="true" strokeweight="1.5pt" strokecolor="#000000">
                <v:path arrowok="t"/>
              </v:shape>
              <v:shape style="position:absolute;left:3252;top:-8877;width:6216;height:467" type="#_x0000_t75" stroked="false">
                <v:imagedata r:id="rId533" o:title=""/>
              </v:shape>
            </v:group>
            <v:group style="position:absolute;left:2395;top:-73;width:876;height:2" coordorigin="2395,-73" coordsize="876,2">
              <v:shape style="position:absolute;left:2395;top:-73;width:876;height:2" coordorigin="2395,-73" coordsize="876,0" path="m2395,-73l3271,-73e" filled="false" stroked="true" strokeweight="1.5pt" strokecolor="#000000">
                <v:path arrowok="t"/>
              </v:shape>
            </v:group>
            <v:group style="position:absolute;left:3271;top:-73;width:1266;height:2" coordorigin="3271,-73" coordsize="1266,2">
              <v:shape style="position:absolute;left:3271;top:-73;width:1266;height:2" coordorigin="3271,-73" coordsize="1266,0" path="m3271,-73l4537,-73e" filled="false" stroked="true" strokeweight="1.5pt" strokecolor="#000000">
                <v:path arrowok="t"/>
              </v:shape>
            </v:group>
            <v:group style="position:absolute;left:4537;top:-73;width:1266;height:2" coordorigin="4537,-73" coordsize="1266,2">
              <v:shape style="position:absolute;left:4537;top:-73;width:1266;height:2" coordorigin="4537,-73" coordsize="1266,0" path="m4537,-73l5803,-73e" filled="false" stroked="true" strokeweight="1.5pt" strokecolor="#000000">
                <v:path arrowok="t"/>
              </v:shape>
            </v:group>
            <v:group style="position:absolute;left:5803;top:-73;width:1266;height:2" coordorigin="5803,-73" coordsize="1266,2">
              <v:shape style="position:absolute;left:5803;top:-73;width:1266;height:2" coordorigin="5803,-73" coordsize="1266,0" path="m5803,-73l7069,-73e" filled="false" stroked="true" strokeweight="1.5pt" strokecolor="#000000">
                <v:path arrowok="t"/>
              </v:shape>
            </v:group>
            <v:group style="position:absolute;left:7069;top:-73;width:1266;height:2" coordorigin="7069,-73" coordsize="1266,2">
              <v:shape style="position:absolute;left:7069;top:-73;width:1266;height:2" coordorigin="7069,-73" coordsize="1266,0" path="m7069,-73l8335,-73e" filled="false" stroked="true" strokeweight="1.5pt" strokecolor="#000000">
                <v:path arrowok="t"/>
              </v:shape>
            </v:group>
            <v:group style="position:absolute;left:8335;top:-73;width:1104;height:2" coordorigin="8335,-73" coordsize="1104,2">
              <v:shape style="position:absolute;left:8335;top:-73;width:1104;height:2" coordorigin="8335,-73" coordsize="1104,0" path="m8335,-73l9439,-73e" filled="false" stroked="true" strokeweight="1.5pt" strokecolor="#000000">
                <v:path arrowok="t"/>
              </v:shape>
              <v:shape style="position:absolute;left:2390;top:-8449;width:8230;height:8360" type="#_x0000_t75" stroked="false">
                <v:imagedata r:id="rId534" o:title=""/>
              </v:shape>
            </v:group>
            <v:group style="position:absolute;left:9439;top:-73;width:1158;height:2" coordorigin="9439,-73" coordsize="1158,2">
              <v:shape style="position:absolute;left:9439;top:-73;width:1158;height:2" coordorigin="9439,-73" coordsize="1158,0" path="m9439,-73l10597,-73e" filled="false" stroked="true" strokeweight="1.5pt" strokecolor="#000000">
                <v:path arrowok="t"/>
              </v:shape>
              <v:shape style="position:absolute;left:2543;top:-8700;width:600;height:120" type="#_x0000_t202" filled="false" stroked="false">
                <v:textbox inset="0,0,0,0">
                  <w:txbxContent>
                    <w:p>
                      <w:pPr>
                        <w:spacing w:line="120" w:lineRule="exact" w:before="0"/>
                        <w:ind w:left="0" w:right="0" w:firstLine="0"/>
                        <w:jc w:val="left"/>
                        <w:rPr>
                          <w:rFonts w:ascii="宋体" w:hAnsi="宋体" w:cs="宋体" w:eastAsia="宋体" w:hint="default"/>
                          <w:sz w:val="12"/>
                          <w:szCs w:val="12"/>
                        </w:rPr>
                      </w:pPr>
                      <w:r>
                        <w:rPr>
                          <w:rFonts w:ascii="宋体" w:hAnsi="宋体" w:cs="宋体" w:eastAsia="宋体" w:hint="default"/>
                          <w:sz w:val="12"/>
                          <w:szCs w:val="12"/>
                        </w:rPr>
                        <w:t>被投资单位</w:t>
                      </w:r>
                    </w:p>
                  </w:txbxContent>
                </v:textbox>
                <w10:wrap type="none"/>
              </v:shape>
              <v:shape style="position:absolute;left:3667;top:-8700;width:480;height:120" type="#_x0000_t202" filled="false" stroked="false">
                <v:textbox inset="0,0,0,0">
                  <w:txbxContent>
                    <w:p>
                      <w:pPr>
                        <w:spacing w:line="120" w:lineRule="exact" w:before="0"/>
                        <w:ind w:left="0" w:right="0" w:firstLine="0"/>
                        <w:jc w:val="left"/>
                        <w:rPr>
                          <w:rFonts w:ascii="宋体" w:hAnsi="宋体" w:cs="宋体" w:eastAsia="宋体" w:hint="default"/>
                          <w:sz w:val="12"/>
                          <w:szCs w:val="12"/>
                        </w:rPr>
                      </w:pPr>
                      <w:r>
                        <w:rPr>
                          <w:rFonts w:ascii="宋体" w:hAnsi="宋体" w:cs="宋体" w:eastAsia="宋体" w:hint="default"/>
                          <w:sz w:val="12"/>
                          <w:szCs w:val="12"/>
                        </w:rPr>
                        <w:t>年初余额</w:t>
                      </w:r>
                    </w:p>
                  </w:txbxContent>
                </v:textbox>
                <w10:wrap type="none"/>
              </v:shape>
              <v:shape style="position:absolute;left:4933;top:-8700;width:480;height:120" type="#_x0000_t202" filled="false" stroked="false">
                <v:textbox inset="0,0,0,0">
                  <w:txbxContent>
                    <w:p>
                      <w:pPr>
                        <w:spacing w:line="120" w:lineRule="exact" w:before="0"/>
                        <w:ind w:left="0" w:right="0" w:firstLine="0"/>
                        <w:jc w:val="left"/>
                        <w:rPr>
                          <w:rFonts w:ascii="宋体" w:hAnsi="宋体" w:cs="宋体" w:eastAsia="宋体" w:hint="default"/>
                          <w:sz w:val="12"/>
                          <w:szCs w:val="12"/>
                        </w:rPr>
                      </w:pPr>
                      <w:r>
                        <w:rPr>
                          <w:rFonts w:ascii="宋体" w:hAnsi="宋体" w:cs="宋体" w:eastAsia="宋体" w:hint="default"/>
                          <w:sz w:val="12"/>
                          <w:szCs w:val="12"/>
                        </w:rPr>
                        <w:t>本期增加</w:t>
                      </w:r>
                    </w:p>
                  </w:txbxContent>
                </v:textbox>
                <w10:wrap type="none"/>
              </v:shape>
              <v:shape style="position:absolute;left:6199;top:-8700;width:480;height:120" type="#_x0000_t202" filled="false" stroked="false">
                <v:textbox inset="0,0,0,0">
                  <w:txbxContent>
                    <w:p>
                      <w:pPr>
                        <w:spacing w:line="120" w:lineRule="exact" w:before="0"/>
                        <w:ind w:left="0" w:right="0" w:firstLine="0"/>
                        <w:jc w:val="left"/>
                        <w:rPr>
                          <w:rFonts w:ascii="宋体" w:hAnsi="宋体" w:cs="宋体" w:eastAsia="宋体" w:hint="default"/>
                          <w:sz w:val="12"/>
                          <w:szCs w:val="12"/>
                        </w:rPr>
                      </w:pPr>
                      <w:r>
                        <w:rPr>
                          <w:rFonts w:ascii="宋体" w:hAnsi="宋体" w:cs="宋体" w:eastAsia="宋体" w:hint="default"/>
                          <w:sz w:val="12"/>
                          <w:szCs w:val="12"/>
                        </w:rPr>
                        <w:t>本期减少</w:t>
                      </w:r>
                    </w:p>
                  </w:txbxContent>
                </v:textbox>
                <w10:wrap type="none"/>
              </v:shape>
              <v:shape style="position:absolute;left:7465;top:-8700;width:480;height:120" type="#_x0000_t202" filled="false" stroked="false">
                <v:textbox inset="0,0,0,0">
                  <w:txbxContent>
                    <w:p>
                      <w:pPr>
                        <w:spacing w:line="120" w:lineRule="exact" w:before="0"/>
                        <w:ind w:left="0" w:right="0" w:firstLine="0"/>
                        <w:jc w:val="left"/>
                        <w:rPr>
                          <w:rFonts w:ascii="宋体" w:hAnsi="宋体" w:cs="宋体" w:eastAsia="宋体" w:hint="default"/>
                          <w:sz w:val="12"/>
                          <w:szCs w:val="12"/>
                        </w:rPr>
                      </w:pPr>
                      <w:r>
                        <w:rPr>
                          <w:rFonts w:ascii="宋体" w:hAnsi="宋体" w:cs="宋体" w:eastAsia="宋体" w:hint="default"/>
                          <w:sz w:val="12"/>
                          <w:szCs w:val="12"/>
                        </w:rPr>
                        <w:t>期末余额</w:t>
                      </w:r>
                    </w:p>
                  </w:txbxContent>
                </v:textbox>
                <w10:wrap type="none"/>
              </v:shape>
              <v:shape style="position:absolute;left:8531;top:-8800;width:720;height:320" type="#_x0000_t202" filled="false" stroked="false">
                <v:textbox inset="0,0,0,0">
                  <w:txbxContent>
                    <w:p>
                      <w:pPr>
                        <w:spacing w:line="120" w:lineRule="exact" w:before="0"/>
                        <w:ind w:left="0" w:right="0" w:firstLine="0"/>
                        <w:jc w:val="center"/>
                        <w:rPr>
                          <w:rFonts w:ascii="宋体" w:hAnsi="宋体" w:cs="宋体" w:eastAsia="宋体" w:hint="default"/>
                          <w:sz w:val="12"/>
                          <w:szCs w:val="12"/>
                        </w:rPr>
                      </w:pPr>
                      <w:r>
                        <w:rPr>
                          <w:rFonts w:ascii="宋体" w:hAnsi="宋体" w:cs="宋体" w:eastAsia="宋体" w:hint="default"/>
                          <w:sz w:val="12"/>
                          <w:szCs w:val="12"/>
                        </w:rPr>
                        <w:t>本期计提减值</w:t>
                      </w:r>
                    </w:p>
                    <w:p>
                      <w:pPr>
                        <w:spacing w:before="42"/>
                        <w:ind w:left="0" w:right="0" w:firstLine="0"/>
                        <w:jc w:val="center"/>
                        <w:rPr>
                          <w:rFonts w:ascii="宋体" w:hAnsi="宋体" w:cs="宋体" w:eastAsia="宋体" w:hint="default"/>
                          <w:sz w:val="12"/>
                          <w:szCs w:val="12"/>
                        </w:rPr>
                      </w:pPr>
                      <w:r>
                        <w:rPr>
                          <w:rFonts w:ascii="宋体" w:hAnsi="宋体" w:cs="宋体" w:eastAsia="宋体" w:hint="default"/>
                          <w:sz w:val="12"/>
                          <w:szCs w:val="12"/>
                        </w:rPr>
                        <w:t>准备</w:t>
                      </w:r>
                    </w:p>
                  </w:txbxContent>
                </v:textbox>
                <w10:wrap type="none"/>
              </v:shape>
              <v:shape style="position:absolute;left:9660;top:-8800;width:720;height:320" type="#_x0000_t202" filled="false" stroked="false">
                <v:textbox inset="0,0,0,0">
                  <w:txbxContent>
                    <w:p>
                      <w:pPr>
                        <w:spacing w:line="120" w:lineRule="exact" w:before="0"/>
                        <w:ind w:left="0" w:right="0" w:firstLine="0"/>
                        <w:jc w:val="center"/>
                        <w:rPr>
                          <w:rFonts w:ascii="宋体" w:hAnsi="宋体" w:cs="宋体" w:eastAsia="宋体" w:hint="default"/>
                          <w:sz w:val="12"/>
                          <w:szCs w:val="12"/>
                        </w:rPr>
                      </w:pPr>
                      <w:r>
                        <w:rPr>
                          <w:rFonts w:ascii="宋体" w:hAnsi="宋体" w:cs="宋体" w:eastAsia="宋体" w:hint="default"/>
                          <w:sz w:val="12"/>
                          <w:szCs w:val="12"/>
                        </w:rPr>
                        <w:t>减值准备期末</w:t>
                      </w:r>
                    </w:p>
                    <w:p>
                      <w:pPr>
                        <w:spacing w:before="42"/>
                        <w:ind w:left="0" w:right="0" w:firstLine="0"/>
                        <w:jc w:val="center"/>
                        <w:rPr>
                          <w:rFonts w:ascii="宋体" w:hAnsi="宋体" w:cs="宋体" w:eastAsia="宋体" w:hint="default"/>
                          <w:sz w:val="12"/>
                          <w:szCs w:val="12"/>
                        </w:rPr>
                      </w:pPr>
                      <w:r>
                        <w:rPr>
                          <w:rFonts w:ascii="宋体" w:hAnsi="宋体" w:cs="宋体" w:eastAsia="宋体" w:hint="default"/>
                          <w:sz w:val="12"/>
                          <w:szCs w:val="12"/>
                        </w:rPr>
                        <w:t>余额</w:t>
                      </w:r>
                    </w:p>
                  </w:txbxContent>
                </v:textbox>
                <w10:wrap type="none"/>
              </v:shape>
              <v:shape style="position:absolute;left:2518;top:-8334;width:600;height:321" type="#_x0000_t202" filled="false" stroked="false">
                <v:textbox inset="0,0,0,0">
                  <w:txbxContent>
                    <w:p>
                      <w:pPr>
                        <w:spacing w:line="120" w:lineRule="exact" w:before="0"/>
                        <w:ind w:left="0" w:right="0" w:firstLine="0"/>
                        <w:jc w:val="left"/>
                        <w:rPr>
                          <w:rFonts w:ascii="宋体" w:hAnsi="宋体" w:cs="宋体" w:eastAsia="宋体" w:hint="default"/>
                          <w:sz w:val="12"/>
                          <w:szCs w:val="12"/>
                        </w:rPr>
                      </w:pPr>
                      <w:r>
                        <w:rPr>
                          <w:rFonts w:ascii="宋体" w:hAnsi="宋体" w:cs="宋体" w:eastAsia="宋体" w:hint="default"/>
                          <w:sz w:val="12"/>
                          <w:szCs w:val="12"/>
                        </w:rPr>
                        <w:t>柏怡国际控</w:t>
                      </w:r>
                    </w:p>
                    <w:p>
                      <w:pPr>
                        <w:spacing w:before="43"/>
                        <w:ind w:left="0" w:right="0" w:firstLine="0"/>
                        <w:jc w:val="left"/>
                        <w:rPr>
                          <w:rFonts w:ascii="宋体" w:hAnsi="宋体" w:cs="宋体" w:eastAsia="宋体" w:hint="default"/>
                          <w:sz w:val="12"/>
                          <w:szCs w:val="12"/>
                        </w:rPr>
                      </w:pPr>
                      <w:r>
                        <w:rPr>
                          <w:rFonts w:ascii="宋体" w:hAnsi="宋体" w:cs="宋体" w:eastAsia="宋体" w:hint="default"/>
                          <w:sz w:val="12"/>
                          <w:szCs w:val="12"/>
                        </w:rPr>
                        <w:t>股有限公司</w:t>
                      </w:r>
                    </w:p>
                  </w:txbxContent>
                </v:textbox>
                <w10:wrap type="none"/>
              </v:shape>
              <v:shape style="position:absolute;left:3683;top:-8217;width:750;height:120" type="#_x0000_t202" filled="false" stroked="false">
                <v:textbox inset="0,0,0,0">
                  <w:txbxContent>
                    <w:p>
                      <w:pPr>
                        <w:spacing w:line="120" w:lineRule="exact" w:before="0"/>
                        <w:ind w:left="0" w:right="0" w:firstLine="0"/>
                        <w:jc w:val="left"/>
                        <w:rPr>
                          <w:rFonts w:ascii="Times New Roman" w:hAnsi="Times New Roman" w:cs="Times New Roman" w:eastAsia="Times New Roman" w:hint="default"/>
                          <w:sz w:val="12"/>
                          <w:szCs w:val="12"/>
                        </w:rPr>
                      </w:pPr>
                      <w:r>
                        <w:rPr>
                          <w:rFonts w:ascii="Times New Roman"/>
                          <w:sz w:val="12"/>
                        </w:rPr>
                        <w:t>172,763,481.46</w:t>
                      </w:r>
                    </w:p>
                  </w:txbxContent>
                </v:textbox>
                <w10:wrap type="none"/>
              </v:shape>
              <v:shape style="position:absolute;left:7481;top:-8217;width:750;height:120" type="#_x0000_t202" filled="false" stroked="false">
                <v:textbox inset="0,0,0,0">
                  <w:txbxContent>
                    <w:p>
                      <w:pPr>
                        <w:spacing w:line="120" w:lineRule="exact" w:before="0"/>
                        <w:ind w:left="0" w:right="0" w:firstLine="0"/>
                        <w:jc w:val="left"/>
                        <w:rPr>
                          <w:rFonts w:ascii="Times New Roman" w:hAnsi="Times New Roman" w:cs="Times New Roman" w:eastAsia="Times New Roman" w:hint="default"/>
                          <w:sz w:val="12"/>
                          <w:szCs w:val="12"/>
                        </w:rPr>
                      </w:pPr>
                      <w:r>
                        <w:rPr>
                          <w:rFonts w:ascii="Times New Roman"/>
                          <w:sz w:val="12"/>
                        </w:rPr>
                        <w:t>172,763,481.46</w:t>
                      </w:r>
                    </w:p>
                  </w:txbxContent>
                </v:textbox>
                <w10:wrap type="none"/>
              </v:shape>
              <v:shape style="position:absolute;left:2518;top:-7869;width:600;height:120" type="#_x0000_t202" filled="false" stroked="false">
                <v:textbox inset="0,0,0,0">
                  <w:txbxContent>
                    <w:p>
                      <w:pPr>
                        <w:spacing w:line="120" w:lineRule="exact" w:before="0"/>
                        <w:ind w:left="0" w:right="0" w:firstLine="0"/>
                        <w:jc w:val="left"/>
                        <w:rPr>
                          <w:rFonts w:ascii="宋体" w:hAnsi="宋体" w:cs="宋体" w:eastAsia="宋体" w:hint="default"/>
                          <w:sz w:val="12"/>
                          <w:szCs w:val="12"/>
                        </w:rPr>
                      </w:pPr>
                      <w:r>
                        <w:rPr>
                          <w:rFonts w:ascii="宋体" w:hAnsi="宋体" w:cs="宋体" w:eastAsia="宋体" w:hint="default"/>
                          <w:sz w:val="12"/>
                          <w:szCs w:val="12"/>
                        </w:rPr>
                        <w:t>武汉中原电</w:t>
                      </w:r>
                    </w:p>
                  </w:txbxContent>
                </v:textbox>
                <w10:wrap type="none"/>
              </v:shape>
              <v:shape style="position:absolute;left:2518;top:-6802;width:600;height:120" type="#_x0000_t202" filled="false" stroked="false">
                <v:textbox inset="0,0,0,0">
                  <w:txbxContent>
                    <w:p>
                      <w:pPr>
                        <w:spacing w:line="120" w:lineRule="exact" w:before="0"/>
                        <w:ind w:left="0" w:right="0" w:firstLine="0"/>
                        <w:jc w:val="left"/>
                        <w:rPr>
                          <w:rFonts w:ascii="宋体" w:hAnsi="宋体" w:cs="宋体" w:eastAsia="宋体" w:hint="default"/>
                          <w:sz w:val="12"/>
                          <w:szCs w:val="12"/>
                        </w:rPr>
                      </w:pPr>
                      <w:r>
                        <w:rPr>
                          <w:rFonts w:ascii="宋体" w:hAnsi="宋体" w:cs="宋体" w:eastAsia="宋体" w:hint="default"/>
                          <w:sz w:val="12"/>
                          <w:szCs w:val="12"/>
                        </w:rPr>
                        <w:t>术开发有限</w:t>
                      </w:r>
                    </w:p>
                  </w:txbxContent>
                </v:textbox>
                <w10:wrap type="none"/>
              </v:shape>
              <v:shape style="position:absolute;left:2518;top:-5271;width:600;height:120" type="#_x0000_t202" filled="false" stroked="false">
                <v:textbox inset="0,0,0,0">
                  <w:txbxContent>
                    <w:p>
                      <w:pPr>
                        <w:spacing w:line="120" w:lineRule="exact" w:before="0"/>
                        <w:ind w:left="0" w:right="0" w:firstLine="0"/>
                        <w:jc w:val="left"/>
                        <w:rPr>
                          <w:rFonts w:ascii="宋体" w:hAnsi="宋体" w:cs="宋体" w:eastAsia="宋体" w:hint="default"/>
                          <w:sz w:val="12"/>
                          <w:szCs w:val="12"/>
                        </w:rPr>
                      </w:pPr>
                      <w:r>
                        <w:rPr>
                          <w:rFonts w:ascii="宋体" w:hAnsi="宋体" w:cs="宋体" w:eastAsia="宋体" w:hint="default"/>
                          <w:sz w:val="12"/>
                          <w:szCs w:val="12"/>
                        </w:rPr>
                        <w:t>有限责任公</w:t>
                      </w:r>
                    </w:p>
                  </w:txbxContent>
                </v:textbox>
                <w10:wrap type="none"/>
              </v:shape>
              <v:shape style="position:absolute;left:2518;top:-1941;width:600;height:120" type="#_x0000_t202" filled="false" stroked="false">
                <v:textbox inset="0,0,0,0">
                  <w:txbxContent>
                    <w:p>
                      <w:pPr>
                        <w:spacing w:line="120" w:lineRule="exact" w:before="0"/>
                        <w:ind w:left="0" w:right="0" w:firstLine="0"/>
                        <w:jc w:val="left"/>
                        <w:rPr>
                          <w:rFonts w:ascii="宋体" w:hAnsi="宋体" w:cs="宋体" w:eastAsia="宋体" w:hint="default"/>
                          <w:sz w:val="12"/>
                          <w:szCs w:val="12"/>
                        </w:rPr>
                      </w:pPr>
                      <w:r>
                        <w:rPr>
                          <w:rFonts w:ascii="宋体" w:hAnsi="宋体" w:cs="宋体" w:eastAsia="宋体" w:hint="default"/>
                          <w:sz w:val="12"/>
                          <w:szCs w:val="12"/>
                        </w:rPr>
                        <w:t>技有限公司</w:t>
                      </w:r>
                    </w:p>
                  </w:txbxContent>
                </v:textbox>
                <w10:wrap type="none"/>
              </v:shape>
            </v:group>
            <w10:wrap type="none"/>
          </v:group>
        </w:pict>
      </w:r>
      <w:r>
        <w:rPr/>
        <w:t>说明：</w:t>
      </w:r>
    </w:p>
    <w:p>
      <w:pPr>
        <w:pStyle w:val="BodyText"/>
        <w:spacing w:line="338" w:lineRule="auto" w:before="126"/>
        <w:ind w:right="1792"/>
        <w:jc w:val="both"/>
      </w:pPr>
      <w:r>
        <w:rPr>
          <w:rFonts w:ascii="Times New Roman" w:hAnsi="Times New Roman" w:cs="Times New Roman" w:eastAsia="Times New Roman" w:hint="default"/>
        </w:rPr>
        <w:t>1</w:t>
      </w:r>
      <w:r>
        <w:rPr/>
        <w:t>、</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9</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21</w:t>
      </w:r>
      <w:r>
        <w:rPr>
          <w:rFonts w:ascii="Times New Roman" w:hAnsi="Times New Roman" w:cs="Times New Roman" w:eastAsia="Times New Roman" w:hint="default"/>
          <w:spacing w:val="-1"/>
        </w:rPr>
        <w:t> </w:t>
      </w:r>
      <w:r>
        <w:rPr/>
        <w:t>日，公司第七届董事会第六次会议以通讯表决的方式审议 </w:t>
      </w:r>
      <w:r>
        <w:rPr>
          <w:spacing w:val="-4"/>
        </w:rPr>
        <w:t>通过了公司以现金方式对武汉中原电子集团有限公司进行增资，增资金额人民</w:t>
      </w:r>
      <w:r>
        <w:rPr>
          <w:spacing w:val="-73"/>
        </w:rPr>
        <w:t> </w:t>
      </w:r>
      <w:r>
        <w:rPr>
          <w:spacing w:val="-73"/>
        </w:rPr>
      </w:r>
      <w:r>
        <w:rPr/>
        <w:t>币</w:t>
      </w:r>
      <w:r>
        <w:rPr>
          <w:spacing w:val="-55"/>
        </w:rPr>
        <w:t> </w:t>
      </w:r>
      <w:r>
        <w:rPr>
          <w:rFonts w:ascii="Times New Roman" w:hAnsi="Times New Roman" w:cs="Times New Roman" w:eastAsia="Times New Roman" w:hint="default"/>
        </w:rPr>
        <w:t>9.50</w:t>
      </w:r>
      <w:r>
        <w:rPr>
          <w:rFonts w:ascii="Times New Roman" w:hAnsi="Times New Roman" w:cs="Times New Roman" w:eastAsia="Times New Roman" w:hint="default"/>
          <w:spacing w:val="-2"/>
        </w:rPr>
        <w:t> </w:t>
      </w:r>
      <w:r>
        <w:rPr/>
        <w:t>亿元。</w:t>
      </w:r>
    </w:p>
    <w:p>
      <w:pPr>
        <w:pStyle w:val="BodyText"/>
        <w:spacing w:line="240" w:lineRule="auto" w:before="14"/>
        <w:ind w:right="1793"/>
        <w:jc w:val="left"/>
      </w:pPr>
      <w:r>
        <w:rPr/>
        <w:t>截止</w:t>
      </w:r>
      <w:r>
        <w:rPr>
          <w:spacing w:val="-54"/>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日，公司已支付增资款</w:t>
      </w:r>
      <w:r>
        <w:rPr>
          <w:spacing w:val="-54"/>
        </w:rPr>
        <w:t> </w:t>
      </w:r>
      <w:r>
        <w:rPr>
          <w:rFonts w:ascii="Times New Roman" w:hAnsi="Times New Roman" w:cs="Times New Roman" w:eastAsia="Times New Roman" w:hint="default"/>
        </w:rPr>
        <w:t>5.00</w:t>
      </w:r>
      <w:r>
        <w:rPr>
          <w:rFonts w:ascii="Times New Roman" w:hAnsi="Times New Roman" w:cs="Times New Roman" w:eastAsia="Times New Roman" w:hint="default"/>
          <w:spacing w:val="-2"/>
        </w:rPr>
        <w:t> </w:t>
      </w:r>
      <w:r>
        <w:rPr/>
        <w:t>亿元。</w:t>
      </w:r>
    </w:p>
    <w:p>
      <w:pPr>
        <w:pStyle w:val="BodyText"/>
        <w:spacing w:line="240" w:lineRule="auto"/>
        <w:ind w:right="1793"/>
        <w:jc w:val="left"/>
      </w:pPr>
      <w:r>
        <w:rPr>
          <w:rFonts w:ascii="Times New Roman" w:hAnsi="Times New Roman" w:cs="Times New Roman" w:eastAsia="Times New Roman" w:hint="default"/>
        </w:rPr>
        <w:t>2</w:t>
      </w:r>
      <w:r>
        <w:rPr/>
        <w:t>、</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55"/>
        </w:rPr>
        <w:t> </w:t>
      </w:r>
      <w:r>
        <w:rPr>
          <w:rFonts w:ascii="Times New Roman" w:hAnsi="Times New Roman" w:cs="Times New Roman" w:eastAsia="Times New Roman" w:hint="default"/>
        </w:rPr>
        <w:t>7</w:t>
      </w:r>
      <w:r>
        <w:rPr>
          <w:rFonts w:ascii="Times New Roman" w:hAnsi="Times New Roman" w:cs="Times New Roman" w:eastAsia="Times New Roman" w:hint="default"/>
          <w:spacing w:val="-2"/>
        </w:rPr>
        <w:t> </w:t>
      </w:r>
      <w:r>
        <w:rPr/>
        <w:t>月</w:t>
      </w:r>
      <w:r>
        <w:rPr>
          <w:spacing w:val="-54"/>
        </w:rPr>
        <w:t> </w:t>
      </w:r>
      <w:r>
        <w:rPr>
          <w:rFonts w:ascii="Times New Roman" w:hAnsi="Times New Roman" w:cs="Times New Roman" w:eastAsia="Times New Roman" w:hint="default"/>
        </w:rPr>
        <w:t>13</w:t>
      </w:r>
      <w:r>
        <w:rPr>
          <w:rFonts w:ascii="Times New Roman" w:hAnsi="Times New Roman" w:cs="Times New Roman" w:eastAsia="Times New Roman" w:hint="default"/>
          <w:spacing w:val="-1"/>
        </w:rPr>
        <w:t> </w:t>
      </w:r>
      <w:r>
        <w:rPr/>
        <w:t>日，公司第七届董事会第四次会议审议通过公司对北京圣</w:t>
      </w:r>
    </w:p>
    <w:p>
      <w:pPr>
        <w:pStyle w:val="BodyText"/>
        <w:spacing w:line="240" w:lineRule="auto"/>
        <w:ind w:right="1793"/>
        <w:jc w:val="left"/>
      </w:pPr>
      <w:r>
        <w:rPr/>
        <w:t>非凡电子系统技术开发有限公司增资人民币</w:t>
      </w:r>
      <w:r>
        <w:rPr>
          <w:spacing w:val="-55"/>
        </w:rPr>
        <w:t> </w:t>
      </w:r>
      <w:r>
        <w:rPr>
          <w:rFonts w:ascii="Times New Roman" w:hAnsi="Times New Roman" w:cs="Times New Roman" w:eastAsia="Times New Roman" w:hint="default"/>
        </w:rPr>
        <w:t>3,600.00</w:t>
      </w:r>
      <w:r>
        <w:rPr>
          <w:rFonts w:ascii="Times New Roman" w:hAnsi="Times New Roman" w:cs="Times New Roman" w:eastAsia="Times New Roman" w:hint="default"/>
          <w:spacing w:val="-2"/>
        </w:rPr>
        <w:t> </w:t>
      </w:r>
      <w:r>
        <w:rPr/>
        <w:t>万元。</w:t>
      </w:r>
    </w:p>
    <w:p>
      <w:pPr>
        <w:pStyle w:val="BodyText"/>
        <w:spacing w:line="331" w:lineRule="auto" w:before="110"/>
        <w:ind w:right="1782"/>
        <w:jc w:val="left"/>
      </w:pPr>
      <w:r>
        <w:rPr>
          <w:rFonts w:ascii="Times New Roman" w:hAnsi="Times New Roman" w:cs="Times New Roman" w:eastAsia="Times New Roman" w:hint="default"/>
          <w:spacing w:val="-4"/>
        </w:rPr>
        <w:t>3</w:t>
      </w:r>
      <w:r>
        <w:rPr>
          <w:spacing w:val="-4"/>
        </w:rPr>
        <w:t>、</w:t>
      </w:r>
      <w:r>
        <w:rPr>
          <w:rFonts w:ascii="Times New Roman" w:hAnsi="Times New Roman" w:cs="Times New Roman" w:eastAsia="Times New Roman" w:hint="default"/>
          <w:spacing w:val="-4"/>
        </w:rPr>
        <w:t>2018</w:t>
      </w:r>
      <w:r>
        <w:rPr>
          <w:rFonts w:ascii="Times New Roman" w:hAnsi="Times New Roman" w:cs="Times New Roman" w:eastAsia="Times New Roman" w:hint="default"/>
          <w:spacing w:val="-5"/>
        </w:rPr>
        <w:t> </w:t>
      </w:r>
      <w:r>
        <w:rPr/>
        <w:t>年</w:t>
      </w:r>
      <w:r>
        <w:rPr>
          <w:spacing w:val="-58"/>
        </w:rPr>
        <w:t> </w:t>
      </w:r>
      <w:r>
        <w:rPr>
          <w:rFonts w:ascii="Times New Roman" w:hAnsi="Times New Roman" w:cs="Times New Roman" w:eastAsia="Times New Roman" w:hint="default"/>
        </w:rPr>
        <w:t>10</w:t>
      </w:r>
      <w:r>
        <w:rPr>
          <w:rFonts w:ascii="Times New Roman" w:hAnsi="Times New Roman" w:cs="Times New Roman" w:eastAsia="Times New Roman" w:hint="default"/>
          <w:spacing w:val="-5"/>
        </w:rPr>
        <w:t> </w:t>
      </w:r>
      <w:r>
        <w:rPr/>
        <w:t>月</w:t>
      </w:r>
      <w:r>
        <w:rPr>
          <w:spacing w:val="-59"/>
        </w:rPr>
        <w:t> </w:t>
      </w:r>
      <w:r>
        <w:rPr>
          <w:rFonts w:ascii="Times New Roman" w:hAnsi="Times New Roman" w:cs="Times New Roman" w:eastAsia="Times New Roman" w:hint="default"/>
          <w:spacing w:val="-4"/>
        </w:rPr>
        <w:t>11</w:t>
      </w:r>
      <w:r>
        <w:rPr>
          <w:rFonts w:ascii="Times New Roman" w:hAnsi="Times New Roman" w:cs="Times New Roman" w:eastAsia="Times New Roman" w:hint="default"/>
          <w:spacing w:val="-5"/>
        </w:rPr>
        <w:t> </w:t>
      </w:r>
      <w:r>
        <w:rPr/>
        <w:t>日，公司第七次董事会第七次会议审议通过将其持有的武 汉中原电子集团有限公司</w:t>
      </w:r>
      <w:r>
        <w:rPr>
          <w:spacing w:val="-54"/>
        </w:rPr>
        <w:t> </w:t>
      </w:r>
      <w:r>
        <w:rPr>
          <w:rFonts w:ascii="Times New Roman" w:hAnsi="Times New Roman" w:cs="Times New Roman" w:eastAsia="Times New Roman" w:hint="default"/>
        </w:rPr>
        <w:t>100.00%</w:t>
      </w:r>
      <w:r>
        <w:rPr/>
        <w:t>股权和北京圣非凡电子系统技术开发有限 公司</w:t>
      </w:r>
      <w:r>
        <w:rPr>
          <w:spacing w:val="-54"/>
        </w:rPr>
        <w:t> </w:t>
      </w:r>
      <w:r>
        <w:rPr>
          <w:rFonts w:ascii="Times New Roman" w:hAnsi="Times New Roman" w:cs="Times New Roman" w:eastAsia="Times New Roman" w:hint="default"/>
        </w:rPr>
        <w:t>100.00%</w:t>
      </w:r>
      <w:r>
        <w:rPr/>
        <w:t>股权按</w:t>
      </w:r>
      <w:r>
        <w:rPr>
          <w:spacing w:val="-54"/>
        </w:rPr>
        <w:t> </w:t>
      </w:r>
      <w:r>
        <w:rPr>
          <w:rFonts w:ascii="Times New Roman" w:hAnsi="Times New Roman" w:cs="Times New Roman" w:eastAsia="Times New Roman" w:hint="default"/>
        </w:rPr>
        <w:t>2017</w:t>
      </w:r>
      <w:r>
        <w:rPr>
          <w:rFonts w:ascii="Times New Roman" w:hAnsi="Times New Roman" w:cs="Times New Roman" w:eastAsia="Times New Roman" w:hint="default"/>
          <w:spacing w:val="-2"/>
        </w:rPr>
        <w:t> </w:t>
      </w: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t>日经审计的账面净值划转给全资子公司 湖南长城科技信息有限公司。</w:t>
      </w:r>
    </w:p>
    <w:p>
      <w:pPr>
        <w:spacing w:after="0" w:line="331" w:lineRule="auto"/>
        <w:jc w:val="left"/>
        <w:sectPr>
          <w:headerReference w:type="default" r:id="rId532"/>
          <w:pgSz w:w="11910" w:h="16840"/>
          <w:pgMar w:header="1161" w:footer="1001" w:top="1380" w:bottom="1200" w:left="1660" w:right="0"/>
        </w:sectPr>
      </w:pPr>
    </w:p>
    <w:p>
      <w:pPr>
        <w:spacing w:before="142"/>
        <w:ind w:left="139" w:right="0" w:firstLine="0"/>
        <w:jc w:val="left"/>
        <w:rPr>
          <w:rFonts w:ascii="宋体" w:hAnsi="宋体" w:cs="宋体" w:eastAsia="宋体" w:hint="default"/>
          <w:sz w:val="18"/>
          <w:szCs w:val="18"/>
        </w:rPr>
      </w:pPr>
      <w:r>
        <w:rPr>
          <w:rFonts w:ascii="宋体" w:hAnsi="宋体" w:cs="宋体" w:eastAsia="宋体" w:hint="default"/>
          <w:sz w:val="18"/>
          <w:szCs w:val="18"/>
        </w:rPr>
        <w:t>财务报表附注</w:t>
      </w:r>
    </w:p>
    <w:p>
      <w:pPr>
        <w:spacing w:line="240" w:lineRule="auto" w:before="7"/>
        <w:rPr>
          <w:rFonts w:ascii="宋体" w:hAnsi="宋体" w:cs="宋体" w:eastAsia="宋体" w:hint="default"/>
          <w:sz w:val="3"/>
          <w:szCs w:val="3"/>
        </w:rPr>
      </w:pPr>
    </w:p>
    <w:p>
      <w:pPr>
        <w:spacing w:line="20" w:lineRule="exact"/>
        <w:ind w:left="105" w:right="0" w:firstLine="0"/>
        <w:rPr>
          <w:rFonts w:ascii="宋体" w:hAnsi="宋体" w:cs="宋体" w:eastAsia="宋体" w:hint="default"/>
          <w:sz w:val="2"/>
          <w:szCs w:val="2"/>
        </w:rPr>
      </w:pPr>
      <w:r>
        <w:rPr>
          <w:rFonts w:ascii="宋体" w:hAnsi="宋体" w:cs="宋体" w:eastAsia="宋体" w:hint="default"/>
          <w:sz w:val="2"/>
          <w:szCs w:val="2"/>
        </w:rPr>
        <w:pict>
          <v:group style="width:701.5pt;height:.5pt;mso-position-horizontal-relative:char;mso-position-vertical-relative:line" coordorigin="0,0" coordsize="14030,10">
            <v:group style="position:absolute;left:5;top:5;width:14020;height:2" coordorigin="5,5" coordsize="14020,2">
              <v:shape style="position:absolute;left:5;top:5;width:14020;height:2" coordorigin="5,5" coordsize="14020,0" path="m5,5l14024,5e" filled="false" stroked="true" strokeweight=".48pt" strokecolor="#000000">
                <v:path arrowok="t"/>
              </v:shape>
            </v:group>
          </v:group>
        </w:pict>
      </w:r>
      <w:r>
        <w:rPr>
          <w:rFonts w:ascii="宋体" w:hAnsi="宋体" w:cs="宋体" w:eastAsia="宋体" w:hint="default"/>
          <w:sz w:val="2"/>
          <w:szCs w:val="2"/>
        </w:rPr>
      </w:r>
    </w:p>
    <w:p>
      <w:pPr>
        <w:spacing w:line="240" w:lineRule="auto" w:before="6"/>
        <w:rPr>
          <w:rFonts w:ascii="宋体" w:hAnsi="宋体" w:cs="宋体" w:eastAsia="宋体" w:hint="default"/>
          <w:sz w:val="23"/>
          <w:szCs w:val="23"/>
        </w:rPr>
      </w:pPr>
    </w:p>
    <w:p>
      <w:pPr>
        <w:pStyle w:val="Heading5"/>
        <w:tabs>
          <w:tab w:pos="1399" w:val="left" w:leader="none"/>
        </w:tabs>
        <w:spacing w:line="240" w:lineRule="auto"/>
        <w:ind w:left="849" w:right="0"/>
        <w:jc w:val="left"/>
        <w:rPr>
          <w:b w:val="0"/>
          <w:bCs w:val="0"/>
        </w:rPr>
      </w:pPr>
      <w:r>
        <w:rPr/>
        <w:pict>
          <v:group style="position:absolute;margin-left:101.121002pt;margin-top:17.073685pt;width:683.1pt;height:314.2pt;mso-position-horizontal-relative:page;mso-position-vertical-relative:paragraph;z-index:-1356712" coordorigin="2022,341" coordsize="13662,6284">
            <v:group style="position:absolute;left:2052;top:356;width:2321;height:2" coordorigin="2052,356" coordsize="2321,2">
              <v:shape style="position:absolute;left:2052;top:356;width:2321;height:2" coordorigin="2052,356" coordsize="2321,0" path="m2052,356l4373,356e" filled="false" stroked="true" strokeweight="1.5pt" strokecolor="#000000">
                <v:path arrowok="t"/>
              </v:shape>
              <v:shape style="position:absolute;left:4373;top:371;width:10;height:28" type="#_x0000_t75" stroked="false">
                <v:imagedata r:id="rId169" o:title=""/>
              </v:shape>
            </v:group>
            <v:group style="position:absolute;left:4373;top:356;width:1137;height:2" coordorigin="4373,356" coordsize="1137,2">
              <v:shape style="position:absolute;left:4373;top:356;width:1137;height:2" coordorigin="4373,356" coordsize="1137,0" path="m4373,356l5509,356e" filled="false" stroked="true" strokeweight="1.5pt" strokecolor="#000000">
                <v:path arrowok="t"/>
              </v:shape>
              <v:shape style="position:absolute;left:5509;top:371;width:10;height:28" type="#_x0000_t75" stroked="false">
                <v:imagedata r:id="rId169" o:title=""/>
              </v:shape>
            </v:group>
            <v:group style="position:absolute;left:5509;top:356;width:7196;height:2" coordorigin="5509,356" coordsize="7196,2">
              <v:shape style="position:absolute;left:5509;top:356;width:7196;height:2" coordorigin="5509,356" coordsize="7196,0" path="m5509,356l12704,356e" filled="false" stroked="true" strokeweight="1.5pt" strokecolor="#000000">
                <v:path arrowok="t"/>
              </v:shape>
              <v:shape style="position:absolute;left:12704;top:371;width:10;height:28" type="#_x0000_t75" stroked="false">
                <v:imagedata r:id="rId169" o:title=""/>
              </v:shape>
            </v:group>
            <v:group style="position:absolute;left:12704;top:356;width:1216;height:2" coordorigin="12704,356" coordsize="1216,2">
              <v:shape style="position:absolute;left:12704;top:356;width:1216;height:2" coordorigin="12704,356" coordsize="1216,0" path="m12704,356l13920,356e" filled="false" stroked="true" strokeweight="1.5pt" strokecolor="#000000">
                <v:path arrowok="t"/>
              </v:shape>
              <v:shape style="position:absolute;left:13920;top:371;width:10;height:28" type="#_x0000_t75" stroked="false">
                <v:imagedata r:id="rId169" o:title=""/>
              </v:shape>
            </v:group>
            <v:group style="position:absolute;left:13920;top:356;width:920;height:2" coordorigin="13920,356" coordsize="920,2">
              <v:shape style="position:absolute;left:13920;top:356;width:920;height:2" coordorigin="13920,356" coordsize="920,0" path="m13920,356l14839,356e" filled="false" stroked="true" strokeweight="1.5pt" strokecolor="#000000">
                <v:path arrowok="t"/>
              </v:shape>
              <v:shape style="position:absolute;left:14839;top:371;width:10;height:28" type="#_x0000_t75" stroked="false">
                <v:imagedata r:id="rId169" o:title=""/>
              </v:shape>
            </v:group>
            <v:group style="position:absolute;left:14839;top:356;width:821;height:2" coordorigin="14839,356" coordsize="821,2">
              <v:shape style="position:absolute;left:14839;top:356;width:821;height:2" coordorigin="14839,356" coordsize="821,0" path="m14839,356l15660,356e" filled="false" stroked="true" strokeweight="1.5pt" strokecolor="#000000">
                <v:path arrowok="t"/>
              </v:shape>
              <v:shape style="position:absolute;left:4353;top:380;width:10514;height:1163" type="#_x0000_t75" stroked="false">
                <v:imagedata r:id="rId537" o:title=""/>
              </v:shape>
            </v:group>
            <v:group style="position:absolute;left:2037;top:6610;width:2336;height:2" coordorigin="2037,6610" coordsize="2336,2">
              <v:shape style="position:absolute;left:2037;top:6610;width:2336;height:2" coordorigin="2037,6610" coordsize="2336,0" path="m2037,6610l4373,6610e" filled="false" stroked="true" strokeweight="1.5pt" strokecolor="#000000">
                <v:path arrowok="t"/>
              </v:shape>
            </v:group>
            <v:group style="position:absolute;left:4373;top:6610;width:1137;height:2" coordorigin="4373,6610" coordsize="1137,2">
              <v:shape style="position:absolute;left:4373;top:6610;width:1137;height:2" coordorigin="4373,6610" coordsize="1137,0" path="m4373,6610l5509,6610e" filled="false" stroked="true" strokeweight="1.5pt" strokecolor="#000000">
                <v:path arrowok="t"/>
              </v:shape>
            </v:group>
            <v:group style="position:absolute;left:5509;top:6610;width:1216;height:2" coordorigin="5509,6610" coordsize="1216,2">
              <v:shape style="position:absolute;left:5509;top:6610;width:1216;height:2" coordorigin="5509,6610" coordsize="1216,0" path="m5509,6610l6725,6610e" filled="false" stroked="true" strokeweight="1.5pt" strokecolor="#000000">
                <v:path arrowok="t"/>
              </v:shape>
            </v:group>
            <v:group style="position:absolute;left:6725;top:6610;width:1044;height:2" coordorigin="6725,6610" coordsize="1044,2">
              <v:shape style="position:absolute;left:6725;top:6610;width:1044;height:2" coordorigin="6725,6610" coordsize="1044,0" path="m6725,6610l7769,6610e" filled="false" stroked="true" strokeweight="1.5pt" strokecolor="#000000">
                <v:path arrowok="t"/>
              </v:shape>
            </v:group>
            <v:group style="position:absolute;left:7769;top:6610;width:1260;height:2" coordorigin="7769,6610" coordsize="1260,2">
              <v:shape style="position:absolute;left:7769;top:6610;width:1260;height:2" coordorigin="7769,6610" coordsize="1260,0" path="m7769,6610l9029,6610e" filled="false" stroked="true" strokeweight="1.5pt" strokecolor="#000000">
                <v:path arrowok="t"/>
              </v:shape>
            </v:group>
            <v:group style="position:absolute;left:9029;top:6610;width:1044;height:2" coordorigin="9029,6610" coordsize="1044,2">
              <v:shape style="position:absolute;left:9029;top:6610;width:1044;height:2" coordorigin="9029,6610" coordsize="1044,0" path="m9029,6610l10073,6610e" filled="false" stroked="true" strokeweight="1.5pt" strokecolor="#000000">
                <v:path arrowok="t"/>
              </v:shape>
            </v:group>
            <v:group style="position:absolute;left:10073;top:6610;width:918;height:2" coordorigin="10073,6610" coordsize="918,2">
              <v:shape style="position:absolute;left:10073;top:6610;width:918;height:2" coordorigin="10073,6610" coordsize="918,0" path="m10073,6610l10991,6610e" filled="false" stroked="true" strokeweight="1.5pt" strokecolor="#000000">
                <v:path arrowok="t"/>
              </v:shape>
            </v:group>
            <v:group style="position:absolute;left:10991;top:6610;width:1044;height:2" coordorigin="10991,6610" coordsize="1044,2">
              <v:shape style="position:absolute;left:10991;top:6610;width:1044;height:2" coordorigin="10991,6610" coordsize="1044,0" path="m10991,6610l12035,6610e" filled="false" stroked="true" strokeweight="1.5pt" strokecolor="#000000">
                <v:path arrowok="t"/>
              </v:shape>
            </v:group>
            <v:group style="position:absolute;left:12035;top:6610;width:670;height:2" coordorigin="12035,6610" coordsize="670,2">
              <v:shape style="position:absolute;left:12035;top:6610;width:670;height:2" coordorigin="12035,6610" coordsize="670,0" path="m12035,6610l12704,6610e" filled="false" stroked="true" strokeweight="1.5pt" strokecolor="#000000">
                <v:path arrowok="t"/>
              </v:shape>
            </v:group>
            <v:group style="position:absolute;left:12704;top:6610;width:1216;height:2" coordorigin="12704,6610" coordsize="1216,2">
              <v:shape style="position:absolute;left:12704;top:6610;width:1216;height:2" coordorigin="12704,6610" coordsize="1216,0" path="m12704,6610l13920,6610e" filled="false" stroked="true" strokeweight="1.5pt" strokecolor="#000000">
                <v:path arrowok="t"/>
              </v:shape>
            </v:group>
            <v:group style="position:absolute;left:13920;top:6610;width:920;height:2" coordorigin="13920,6610" coordsize="920,2">
              <v:shape style="position:absolute;left:13920;top:6610;width:920;height:2" coordorigin="13920,6610" coordsize="920,0" path="m13920,6610l14839,6610e" filled="false" stroked="true" strokeweight="1.5pt" strokecolor="#000000">
                <v:path arrowok="t"/>
              </v:shape>
              <v:shape style="position:absolute;left:2033;top:1504;width:13651;height:5090" type="#_x0000_t75" stroked="false">
                <v:imagedata r:id="rId538" o:title=""/>
              </v:shape>
            </v:group>
            <v:group style="position:absolute;left:14839;top:6610;width:821;height:2" coordorigin="14839,6610" coordsize="821,2">
              <v:shape style="position:absolute;left:14839;top:6610;width:821;height:2" coordorigin="14839,6610" coordsize="821,0" path="m14839,6610l15660,6610e" filled="false" stroked="true" strokeweight="1.5pt" strokecolor="#000000">
                <v:path arrowok="t"/>
              </v:shape>
              <v:shape style="position:absolute;left:8631;top:462;width:95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本期增减变动</w:t>
                      </w:r>
                      <w:r>
                        <w:rPr>
                          <w:rFonts w:ascii="宋体" w:hAnsi="宋体" w:cs="宋体" w:eastAsia="宋体" w:hint="default"/>
                          <w:sz w:val="16"/>
                          <w:szCs w:val="16"/>
                        </w:rPr>
                      </w:r>
                    </w:p>
                  </w:txbxContent>
                </v:textbox>
                <w10:wrap type="none"/>
              </v:shape>
              <v:shape style="position:absolute;left:2814;top:867;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被投资单位</w:t>
                      </w:r>
                      <w:r>
                        <w:rPr>
                          <w:rFonts w:ascii="宋体" w:hAnsi="宋体" w:cs="宋体" w:eastAsia="宋体" w:hint="default"/>
                          <w:sz w:val="16"/>
                          <w:szCs w:val="16"/>
                        </w:rPr>
                      </w:r>
                    </w:p>
                  </w:txbxContent>
                </v:textbox>
                <w10:wrap type="none"/>
              </v:shape>
              <v:shape style="position:absolute;left:4626;top:867;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年初余额</w:t>
                      </w:r>
                      <w:r>
                        <w:rPr>
                          <w:rFonts w:ascii="宋体" w:hAnsi="宋体" w:cs="宋体" w:eastAsia="宋体" w:hint="default"/>
                          <w:sz w:val="16"/>
                          <w:szCs w:val="16"/>
                        </w:rPr>
                      </w:r>
                    </w:p>
                  </w:txbxContent>
                </v:textbox>
                <w10:wrap type="none"/>
              </v:shape>
              <v:shape style="position:absolute;left:5802;top:1043;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追加投资</w:t>
                      </w:r>
                      <w:r>
                        <w:rPr>
                          <w:rFonts w:ascii="宋体" w:hAnsi="宋体" w:cs="宋体" w:eastAsia="宋体" w:hint="default"/>
                          <w:sz w:val="16"/>
                          <w:szCs w:val="16"/>
                        </w:rPr>
                      </w:r>
                    </w:p>
                  </w:txbxContent>
                </v:textbox>
                <w10:wrap type="none"/>
              </v:shape>
              <v:shape style="position:absolute;left:6931;top:1043;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减少投资</w:t>
                      </w:r>
                      <w:r>
                        <w:rPr>
                          <w:rFonts w:ascii="宋体" w:hAnsi="宋体" w:cs="宋体" w:eastAsia="宋体" w:hint="default"/>
                          <w:sz w:val="16"/>
                          <w:szCs w:val="16"/>
                        </w:rPr>
                      </w:r>
                    </w:p>
                  </w:txbxContent>
                </v:textbox>
                <w10:wrap type="none"/>
              </v:shape>
              <v:shape style="position:absolute;left:7922;top:940;width:959;height:368" type="#_x0000_t202" filled="false" stroked="false">
                <v:textbox inset="0,0,0,0">
                  <w:txbxContent>
                    <w:p>
                      <w:pPr>
                        <w:spacing w:line="159" w:lineRule="exact" w:before="0"/>
                        <w:ind w:left="79" w:right="0" w:hanging="80"/>
                        <w:jc w:val="left"/>
                        <w:rPr>
                          <w:rFonts w:ascii="宋体" w:hAnsi="宋体" w:cs="宋体" w:eastAsia="宋体" w:hint="default"/>
                          <w:sz w:val="16"/>
                          <w:szCs w:val="16"/>
                        </w:rPr>
                      </w:pPr>
                      <w:r>
                        <w:rPr>
                          <w:rFonts w:ascii="宋体" w:hAnsi="宋体" w:cs="宋体" w:eastAsia="宋体" w:hint="default"/>
                          <w:w w:val="95"/>
                          <w:sz w:val="16"/>
                          <w:szCs w:val="16"/>
                        </w:rPr>
                        <w:t>权益法下确认</w:t>
                      </w:r>
                      <w:r>
                        <w:rPr>
                          <w:rFonts w:ascii="宋体" w:hAnsi="宋体" w:cs="宋体" w:eastAsia="宋体" w:hint="default"/>
                          <w:sz w:val="16"/>
                          <w:szCs w:val="16"/>
                        </w:rPr>
                      </w:r>
                    </w:p>
                    <w:p>
                      <w:pPr>
                        <w:spacing w:line="208" w:lineRule="exact" w:before="0"/>
                        <w:ind w:left="79" w:right="0" w:firstLine="0"/>
                        <w:jc w:val="left"/>
                        <w:rPr>
                          <w:rFonts w:ascii="宋体" w:hAnsi="宋体" w:cs="宋体" w:eastAsia="宋体" w:hint="default"/>
                          <w:sz w:val="16"/>
                          <w:szCs w:val="16"/>
                        </w:rPr>
                      </w:pPr>
                      <w:r>
                        <w:rPr>
                          <w:rFonts w:ascii="宋体" w:hAnsi="宋体" w:cs="宋体" w:eastAsia="宋体" w:hint="default"/>
                          <w:sz w:val="16"/>
                          <w:szCs w:val="16"/>
                        </w:rPr>
                        <w:t>的投资损益</w:t>
                      </w:r>
                    </w:p>
                  </w:txbxContent>
                </v:textbox>
                <w10:wrap type="none"/>
              </v:shape>
              <v:shape style="position:absolute;left:9153;top:940;width:800;height:368" type="#_x0000_t202" filled="false" stroked="false">
                <v:textbox inset="0,0,0,0">
                  <w:txbxContent>
                    <w:p>
                      <w:pPr>
                        <w:spacing w:line="159" w:lineRule="exact" w:before="0"/>
                        <w:ind w:left="0" w:right="0" w:firstLine="0"/>
                        <w:jc w:val="center"/>
                        <w:rPr>
                          <w:rFonts w:ascii="宋体" w:hAnsi="宋体" w:cs="宋体" w:eastAsia="宋体" w:hint="default"/>
                          <w:sz w:val="16"/>
                          <w:szCs w:val="16"/>
                        </w:rPr>
                      </w:pPr>
                      <w:r>
                        <w:rPr>
                          <w:rFonts w:ascii="宋体" w:hAnsi="宋体" w:cs="宋体" w:eastAsia="宋体" w:hint="default"/>
                          <w:w w:val="95"/>
                          <w:sz w:val="16"/>
                          <w:szCs w:val="16"/>
                        </w:rPr>
                        <w:t>其他综合收</w:t>
                      </w:r>
                      <w:r>
                        <w:rPr>
                          <w:rFonts w:ascii="宋体" w:hAnsi="宋体" w:cs="宋体" w:eastAsia="宋体" w:hint="default"/>
                          <w:sz w:val="16"/>
                          <w:szCs w:val="16"/>
                        </w:rPr>
                      </w:r>
                    </w:p>
                    <w:p>
                      <w:pPr>
                        <w:spacing w:line="208" w:lineRule="exact" w:before="0"/>
                        <w:ind w:left="1" w:right="0" w:firstLine="0"/>
                        <w:jc w:val="center"/>
                        <w:rPr>
                          <w:rFonts w:ascii="宋体" w:hAnsi="宋体" w:cs="宋体" w:eastAsia="宋体" w:hint="default"/>
                          <w:sz w:val="16"/>
                          <w:szCs w:val="16"/>
                        </w:rPr>
                      </w:pPr>
                      <w:r>
                        <w:rPr>
                          <w:rFonts w:ascii="宋体" w:hAnsi="宋体" w:cs="宋体" w:eastAsia="宋体" w:hint="default"/>
                          <w:sz w:val="16"/>
                          <w:szCs w:val="16"/>
                        </w:rPr>
                        <w:t>益调整</w:t>
                      </w:r>
                    </w:p>
                  </w:txbxContent>
                </v:textbox>
                <w10:wrap type="none"/>
              </v:shape>
              <v:shape style="position:absolute;left:10217;top:940;width:639;height:368" type="#_x0000_t202" filled="false" stroked="false">
                <v:textbox inset="0,0,0,0">
                  <w:txbxContent>
                    <w:p>
                      <w:pPr>
                        <w:spacing w:line="159" w:lineRule="exact" w:before="0"/>
                        <w:ind w:left="0" w:right="0" w:firstLine="0"/>
                        <w:jc w:val="center"/>
                        <w:rPr>
                          <w:rFonts w:ascii="宋体" w:hAnsi="宋体" w:cs="宋体" w:eastAsia="宋体" w:hint="default"/>
                          <w:sz w:val="16"/>
                          <w:szCs w:val="16"/>
                        </w:rPr>
                      </w:pPr>
                      <w:r>
                        <w:rPr>
                          <w:rFonts w:ascii="宋体" w:hAnsi="宋体" w:cs="宋体" w:eastAsia="宋体" w:hint="default"/>
                          <w:w w:val="95"/>
                          <w:sz w:val="16"/>
                          <w:szCs w:val="16"/>
                        </w:rPr>
                        <w:t>其他权益</w:t>
                      </w:r>
                      <w:r>
                        <w:rPr>
                          <w:rFonts w:ascii="宋体" w:hAnsi="宋体" w:cs="宋体" w:eastAsia="宋体" w:hint="default"/>
                          <w:sz w:val="16"/>
                          <w:szCs w:val="16"/>
                        </w:rPr>
                      </w:r>
                    </w:p>
                    <w:p>
                      <w:pPr>
                        <w:spacing w:line="208" w:lineRule="exact" w:before="0"/>
                        <w:ind w:left="0" w:right="0" w:firstLine="0"/>
                        <w:jc w:val="center"/>
                        <w:rPr>
                          <w:rFonts w:ascii="宋体" w:hAnsi="宋体" w:cs="宋体" w:eastAsia="宋体" w:hint="default"/>
                          <w:sz w:val="16"/>
                          <w:szCs w:val="16"/>
                        </w:rPr>
                      </w:pPr>
                      <w:r>
                        <w:rPr>
                          <w:rFonts w:ascii="宋体" w:hAnsi="宋体" w:cs="宋体" w:eastAsia="宋体" w:hint="default"/>
                          <w:sz w:val="16"/>
                          <w:szCs w:val="16"/>
                        </w:rPr>
                        <w:t>变动</w:t>
                      </w:r>
                    </w:p>
                  </w:txbxContent>
                </v:textbox>
                <w10:wrap type="none"/>
              </v:shape>
              <v:shape style="position:absolute;left:11117;top:816;width:800;height:615" type="#_x0000_t202" filled="false" stroked="false">
                <v:textbox inset="0,0,0,0">
                  <w:txbxContent>
                    <w:p>
                      <w:pPr>
                        <w:spacing w:line="159" w:lineRule="exact" w:before="0"/>
                        <w:ind w:left="0" w:right="0" w:firstLine="0"/>
                        <w:jc w:val="center"/>
                        <w:rPr>
                          <w:rFonts w:ascii="宋体" w:hAnsi="宋体" w:cs="宋体" w:eastAsia="宋体" w:hint="default"/>
                          <w:sz w:val="16"/>
                          <w:szCs w:val="16"/>
                        </w:rPr>
                      </w:pPr>
                      <w:r>
                        <w:rPr>
                          <w:rFonts w:ascii="宋体" w:hAnsi="宋体" w:cs="宋体" w:eastAsia="宋体" w:hint="default"/>
                          <w:w w:val="95"/>
                          <w:sz w:val="16"/>
                          <w:szCs w:val="16"/>
                        </w:rPr>
                        <w:t>宣告发放现</w:t>
                      </w:r>
                      <w:r>
                        <w:rPr>
                          <w:rFonts w:ascii="宋体" w:hAnsi="宋体" w:cs="宋体" w:eastAsia="宋体" w:hint="default"/>
                          <w:sz w:val="16"/>
                          <w:szCs w:val="16"/>
                        </w:rPr>
                      </w:r>
                    </w:p>
                    <w:p>
                      <w:pPr>
                        <w:spacing w:line="208" w:lineRule="exact" w:before="0"/>
                        <w:ind w:left="0" w:right="0" w:firstLine="0"/>
                        <w:jc w:val="center"/>
                        <w:rPr>
                          <w:rFonts w:ascii="宋体" w:hAnsi="宋体" w:cs="宋体" w:eastAsia="宋体" w:hint="default"/>
                          <w:sz w:val="16"/>
                          <w:szCs w:val="16"/>
                        </w:rPr>
                      </w:pPr>
                      <w:r>
                        <w:rPr>
                          <w:rFonts w:ascii="宋体" w:hAnsi="宋体" w:cs="宋体" w:eastAsia="宋体" w:hint="default"/>
                          <w:sz w:val="16"/>
                          <w:szCs w:val="16"/>
                        </w:rPr>
                        <w:t>金股利或</w:t>
                      </w:r>
                    </w:p>
                    <w:p>
                      <w:pPr>
                        <w:spacing w:before="38"/>
                        <w:ind w:left="0" w:right="0" w:firstLine="0"/>
                        <w:jc w:val="center"/>
                        <w:rPr>
                          <w:rFonts w:ascii="宋体" w:hAnsi="宋体" w:cs="宋体" w:eastAsia="宋体" w:hint="default"/>
                          <w:sz w:val="16"/>
                          <w:szCs w:val="16"/>
                        </w:rPr>
                      </w:pPr>
                      <w:r>
                        <w:rPr>
                          <w:rFonts w:ascii="宋体" w:hAnsi="宋体" w:cs="宋体" w:eastAsia="宋体" w:hint="default"/>
                          <w:sz w:val="16"/>
                          <w:szCs w:val="16"/>
                        </w:rPr>
                        <w:t>利润</w:t>
                      </w:r>
                    </w:p>
                  </w:txbxContent>
                </v:textbox>
                <w10:wrap type="none"/>
              </v:shape>
              <v:shape style="position:absolute;left:12997;top:867;width:6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期末余额</w:t>
                      </w:r>
                      <w:r>
                        <w:rPr>
                          <w:rFonts w:ascii="宋体" w:hAnsi="宋体" w:cs="宋体" w:eastAsia="宋体" w:hint="default"/>
                          <w:sz w:val="16"/>
                          <w:szCs w:val="16"/>
                        </w:rPr>
                      </w:r>
                    </w:p>
                  </w:txbxContent>
                </v:textbox>
                <w10:wrap type="none"/>
              </v:shape>
              <v:shape style="position:absolute;left:12213;top:1043;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其他</w:t>
                      </w:r>
                      <w:r>
                        <w:rPr>
                          <w:rFonts w:ascii="宋体" w:hAnsi="宋体" w:cs="宋体" w:eastAsia="宋体" w:hint="default"/>
                          <w:sz w:val="16"/>
                          <w:szCs w:val="16"/>
                        </w:rPr>
                      </w:r>
                    </w:p>
                  </w:txbxContent>
                </v:textbox>
                <w10:wrap type="none"/>
              </v:shape>
              <v:shape style="position:absolute;left:14064;top:764;width:639;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本期计提</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减值准备</w:t>
                      </w:r>
                      <w:r>
                        <w:rPr>
                          <w:rFonts w:ascii="宋体" w:hAnsi="宋体" w:cs="宋体" w:eastAsia="宋体" w:hint="default"/>
                          <w:sz w:val="16"/>
                          <w:szCs w:val="16"/>
                        </w:rPr>
                      </w:r>
                    </w:p>
                  </w:txbxContent>
                </v:textbox>
                <w10:wrap type="none"/>
              </v:shape>
              <v:shape style="position:absolute;left:15012;top:659;width:479;height:575" type="#_x0000_t202" filled="false" stroked="false">
                <v:textbox inset="0,0,0,0">
                  <w:txbxContent>
                    <w:p>
                      <w:pPr>
                        <w:spacing w:line="158"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减值准</w:t>
                      </w:r>
                      <w:r>
                        <w:rPr>
                          <w:rFonts w:ascii="宋体" w:hAnsi="宋体" w:cs="宋体" w:eastAsia="宋体" w:hint="default"/>
                          <w:sz w:val="16"/>
                          <w:szCs w:val="16"/>
                        </w:rPr>
                      </w:r>
                    </w:p>
                    <w:p>
                      <w:pPr>
                        <w:spacing w:before="0"/>
                        <w:ind w:left="79" w:right="0" w:hanging="80"/>
                        <w:jc w:val="left"/>
                        <w:rPr>
                          <w:rFonts w:ascii="宋体" w:hAnsi="宋体" w:cs="宋体" w:eastAsia="宋体" w:hint="default"/>
                          <w:sz w:val="16"/>
                          <w:szCs w:val="16"/>
                        </w:rPr>
                      </w:pPr>
                      <w:r>
                        <w:rPr>
                          <w:rFonts w:ascii="宋体" w:hAnsi="宋体" w:cs="宋体" w:eastAsia="宋体" w:hint="default"/>
                          <w:w w:val="95"/>
                          <w:sz w:val="16"/>
                          <w:szCs w:val="16"/>
                        </w:rPr>
                        <w:t>备期末</w:t>
                      </w:r>
                      <w:r>
                        <w:rPr>
                          <w:rFonts w:ascii="宋体" w:hAnsi="宋体" w:cs="宋体" w:eastAsia="宋体" w:hint="default"/>
                          <w:spacing w:val="-54"/>
                          <w:w w:val="95"/>
                          <w:sz w:val="16"/>
                          <w:szCs w:val="16"/>
                        </w:rPr>
                        <w:t> </w:t>
                      </w:r>
                      <w:r>
                        <w:rPr>
                          <w:rFonts w:ascii="宋体" w:hAnsi="宋体" w:cs="宋体" w:eastAsia="宋体" w:hint="default"/>
                          <w:sz w:val="16"/>
                          <w:szCs w:val="16"/>
                        </w:rPr>
                        <w:t>余额</w:t>
                      </w:r>
                    </w:p>
                  </w:txbxContent>
                </v:textbox>
                <w10:wrap type="none"/>
              </v:shape>
              <v:shape style="position:absolute;left:2160;top:1624;width:2079;height:1428" type="#_x0000_t202" filled="false" stroked="false">
                <v:textbox inset="0,0,0,0">
                  <w:txbxContent>
                    <w:p>
                      <w:pPr>
                        <w:spacing w:line="172" w:lineRule="exact" w:before="0"/>
                        <w:ind w:left="0" w:right="0" w:firstLine="0"/>
                        <w:jc w:val="left"/>
                        <w:rPr>
                          <w:rFonts w:ascii="宋体" w:hAnsi="宋体" w:cs="宋体" w:eastAsia="宋体" w:hint="default"/>
                          <w:sz w:val="16"/>
                          <w:szCs w:val="16"/>
                        </w:rPr>
                      </w:pPr>
                      <w:r>
                        <w:rPr>
                          <w:rFonts w:ascii="Times New Roman" w:hAnsi="Times New Roman" w:cs="Times New Roman" w:eastAsia="Times New Roman" w:hint="default"/>
                          <w:sz w:val="16"/>
                          <w:szCs w:val="16"/>
                        </w:rPr>
                        <w:t>1</w:t>
                      </w:r>
                      <w:r>
                        <w:rPr>
                          <w:rFonts w:ascii="宋体" w:hAnsi="宋体" w:cs="宋体" w:eastAsia="宋体" w:hint="default"/>
                          <w:sz w:val="16"/>
                          <w:szCs w:val="16"/>
                        </w:rPr>
                        <w:t>．合营企业</w:t>
                      </w:r>
                    </w:p>
                    <w:p>
                      <w:pPr>
                        <w:spacing w:before="132"/>
                        <w:ind w:left="0" w:right="0" w:firstLine="0"/>
                        <w:jc w:val="left"/>
                        <w:rPr>
                          <w:rFonts w:ascii="宋体" w:hAnsi="宋体" w:cs="宋体" w:eastAsia="宋体" w:hint="default"/>
                          <w:sz w:val="16"/>
                          <w:szCs w:val="16"/>
                        </w:rPr>
                      </w:pPr>
                      <w:r>
                        <w:rPr>
                          <w:rFonts w:ascii="宋体" w:hAnsi="宋体" w:cs="宋体" w:eastAsia="宋体" w:hint="default"/>
                          <w:sz w:val="16"/>
                          <w:szCs w:val="16"/>
                        </w:rPr>
                        <w:t>小计</w:t>
                      </w:r>
                    </w:p>
                    <w:p>
                      <w:pPr>
                        <w:spacing w:line="240" w:lineRule="auto" w:before="1"/>
                        <w:rPr>
                          <w:rFonts w:ascii="宋体" w:hAnsi="宋体" w:cs="宋体" w:eastAsia="宋体" w:hint="default"/>
                          <w:sz w:val="11"/>
                          <w:szCs w:val="11"/>
                        </w:rPr>
                      </w:pPr>
                    </w:p>
                    <w:p>
                      <w:pPr>
                        <w:spacing w:before="0"/>
                        <w:ind w:left="0" w:right="0" w:firstLine="0"/>
                        <w:jc w:val="left"/>
                        <w:rPr>
                          <w:rFonts w:ascii="宋体" w:hAnsi="宋体" w:cs="宋体" w:eastAsia="宋体" w:hint="default"/>
                          <w:sz w:val="16"/>
                          <w:szCs w:val="16"/>
                        </w:rPr>
                      </w:pPr>
                      <w:r>
                        <w:rPr>
                          <w:rFonts w:ascii="Times New Roman" w:hAnsi="Times New Roman" w:cs="Times New Roman" w:eastAsia="Times New Roman" w:hint="default"/>
                          <w:sz w:val="16"/>
                          <w:szCs w:val="16"/>
                        </w:rPr>
                        <w:t>2</w:t>
                      </w:r>
                      <w:r>
                        <w:rPr>
                          <w:rFonts w:ascii="宋体" w:hAnsi="宋体" w:cs="宋体" w:eastAsia="宋体" w:hint="default"/>
                          <w:sz w:val="16"/>
                          <w:szCs w:val="16"/>
                        </w:rPr>
                        <w:t>．联营企业</w:t>
                      </w:r>
                    </w:p>
                    <w:p>
                      <w:pPr>
                        <w:spacing w:before="131"/>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长信数码信息文化发展有限公</w:t>
                      </w:r>
                      <w:r>
                        <w:rPr>
                          <w:rFonts w:ascii="宋体" w:hAnsi="宋体" w:cs="宋体" w:eastAsia="宋体" w:hint="default"/>
                          <w:spacing w:val="25"/>
                          <w:w w:val="95"/>
                          <w:sz w:val="16"/>
                          <w:szCs w:val="16"/>
                        </w:rPr>
                        <w:t> </w:t>
                      </w:r>
                      <w:r>
                        <w:rPr>
                          <w:rFonts w:ascii="宋体" w:hAnsi="宋体" w:cs="宋体" w:eastAsia="宋体" w:hint="default"/>
                          <w:spacing w:val="25"/>
                          <w:w w:val="95"/>
                          <w:sz w:val="16"/>
                          <w:szCs w:val="16"/>
                        </w:rPr>
                      </w:r>
                      <w:r>
                        <w:rPr>
                          <w:rFonts w:ascii="宋体" w:hAnsi="宋体" w:cs="宋体" w:eastAsia="宋体" w:hint="default"/>
                          <w:sz w:val="16"/>
                          <w:szCs w:val="16"/>
                        </w:rPr>
                        <w:t>司</w:t>
                      </w:r>
                    </w:p>
                  </w:txbxContent>
                </v:textbox>
                <w10:wrap type="none"/>
              </v:shape>
              <v:shape style="position:absolute;left:4686;top:2803;width:7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133,414.89</w:t>
                      </w:r>
                      <w:r>
                        <w:rPr>
                          <w:rFonts w:ascii="Times New Roman"/>
                          <w:sz w:val="16"/>
                        </w:rPr>
                      </w:r>
                    </w:p>
                  </w:txbxContent>
                </v:textbox>
                <w10:wrap type="none"/>
              </v:shape>
              <v:shape style="position:absolute;left:13097;top:2803;width:7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133,414.89</w:t>
                      </w:r>
                      <w:r>
                        <w:rPr>
                          <w:rFonts w:ascii="Times New Roman"/>
                          <w:sz w:val="16"/>
                        </w:rPr>
                      </w:r>
                    </w:p>
                  </w:txbxContent>
                </v:textbox>
                <w10:wrap type="none"/>
              </v:shape>
              <v:shape style="position:absolute;left:2160;top:3246;width:191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桂林长海科技有限责任公司</w:t>
                      </w:r>
                      <w:r>
                        <w:rPr>
                          <w:rFonts w:ascii="宋体" w:hAnsi="宋体" w:cs="宋体" w:eastAsia="宋体" w:hint="default"/>
                          <w:sz w:val="16"/>
                          <w:szCs w:val="16"/>
                        </w:rPr>
                      </w:r>
                    </w:p>
                  </w:txbxContent>
                </v:textbox>
                <w10:wrap type="none"/>
              </v:shape>
              <v:shape style="position:absolute;left:4485;top:3260;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17,487,297.35</w:t>
                      </w:r>
                      <w:r>
                        <w:rPr>
                          <w:rFonts w:ascii="Times New Roman"/>
                          <w:sz w:val="16"/>
                        </w:rPr>
                      </w:r>
                    </w:p>
                  </w:txbxContent>
                </v:textbox>
                <w10:wrap type="none"/>
              </v:shape>
              <v:shape style="position:absolute;left:8084;top:3260;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1,205,343.91</w:t>
                      </w:r>
                      <w:r>
                        <w:rPr>
                          <w:rFonts w:ascii="Times New Roman"/>
                          <w:sz w:val="16"/>
                        </w:rPr>
                      </w:r>
                    </w:p>
                  </w:txbxContent>
                </v:textbox>
                <w10:wrap type="none"/>
              </v:shape>
              <v:shape style="position:absolute;left:12896;top:3260;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18,692,641.26</w:t>
                      </w:r>
                      <w:r>
                        <w:rPr>
                          <w:rFonts w:ascii="Times New Roman"/>
                          <w:sz w:val="16"/>
                        </w:rPr>
                      </w:r>
                    </w:p>
                  </w:txbxContent>
                </v:textbox>
                <w10:wrap type="none"/>
              </v:shape>
              <v:shape style="position:absolute;left:2160;top:3599;width:20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广州鼎甲计算机科技有限公司</w:t>
                      </w:r>
                      <w:r>
                        <w:rPr>
                          <w:rFonts w:ascii="宋体" w:hAnsi="宋体" w:cs="宋体" w:eastAsia="宋体" w:hint="default"/>
                          <w:sz w:val="16"/>
                          <w:szCs w:val="16"/>
                        </w:rPr>
                      </w:r>
                    </w:p>
                  </w:txbxContent>
                </v:textbox>
                <w10:wrap type="none"/>
              </v:shape>
              <v:shape style="position:absolute;left:4485;top:3613;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28,149,086.35</w:t>
                      </w:r>
                      <w:r>
                        <w:rPr>
                          <w:rFonts w:ascii="Times New Roman"/>
                          <w:sz w:val="16"/>
                        </w:rPr>
                      </w:r>
                    </w:p>
                  </w:txbxContent>
                </v:textbox>
                <w10:wrap type="none"/>
              </v:shape>
              <v:shape style="position:absolute;left:8084;top:3613;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1,472,061.47</w:t>
                      </w:r>
                      <w:r>
                        <w:rPr>
                          <w:rFonts w:ascii="Times New Roman"/>
                          <w:sz w:val="16"/>
                        </w:rPr>
                      </w:r>
                    </w:p>
                  </w:txbxContent>
                </v:textbox>
                <w10:wrap type="none"/>
              </v:shape>
              <v:shape style="position:absolute;left:12896;top:3613;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29,621,147.82</w:t>
                      </w:r>
                      <w:r>
                        <w:rPr>
                          <w:rFonts w:ascii="Times New Roman"/>
                          <w:sz w:val="16"/>
                        </w:rPr>
                      </w:r>
                    </w:p>
                  </w:txbxContent>
                </v:textbox>
                <w10:wrap type="none"/>
              </v:shape>
              <v:shape style="position:absolute;left:2160;top:3953;width:2079;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湖南中电长城信息技术服务运</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营有限公司</w:t>
                      </w:r>
                    </w:p>
                  </w:txbxContent>
                </v:textbox>
                <w10:wrap type="none"/>
              </v:shape>
              <v:shape style="position:absolute;left:4566;top:4070;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1,000,000.00</w:t>
                      </w:r>
                      <w:r>
                        <w:rPr>
                          <w:rFonts w:ascii="Times New Roman"/>
                          <w:sz w:val="16"/>
                        </w:rPr>
                      </w:r>
                    </w:p>
                  </w:txbxContent>
                </v:textbox>
                <w10:wrap type="none"/>
              </v:shape>
              <v:shape style="position:absolute;left:8151;top:4070;width:774;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-101,151.72</w:t>
                      </w:r>
                      <w:r>
                        <w:rPr>
                          <w:rFonts w:ascii="Times New Roman"/>
                          <w:sz w:val="16"/>
                        </w:rPr>
                      </w:r>
                    </w:p>
                  </w:txbxContent>
                </v:textbox>
                <w10:wrap type="none"/>
              </v:shape>
              <v:shape style="position:absolute;left:13097;top:4070;width:7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898,848.28</w:t>
                      </w:r>
                      <w:r>
                        <w:rPr>
                          <w:rFonts w:ascii="Times New Roman"/>
                          <w:sz w:val="16"/>
                        </w:rPr>
                      </w:r>
                    </w:p>
                  </w:txbxContent>
                </v:textbox>
                <w10:wrap type="none"/>
              </v:shape>
              <v:shape style="position:absolute;left:2160;top:4514;width:2079;height:369"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中科长城海洋信息系统有限公</w:t>
                      </w:r>
                      <w:r>
                        <w:rPr>
                          <w:rFonts w:ascii="宋体" w:hAnsi="宋体" w:cs="宋体" w:eastAsia="宋体" w:hint="default"/>
                          <w:sz w:val="16"/>
                          <w:szCs w:val="16"/>
                        </w:rPr>
                      </w:r>
                    </w:p>
                    <w:p>
                      <w:pPr>
                        <w:spacing w:line="209" w:lineRule="exact" w:before="0"/>
                        <w:ind w:left="0" w:right="0" w:firstLine="0"/>
                        <w:jc w:val="left"/>
                        <w:rPr>
                          <w:rFonts w:ascii="宋体" w:hAnsi="宋体" w:cs="宋体" w:eastAsia="宋体" w:hint="default"/>
                          <w:sz w:val="16"/>
                          <w:szCs w:val="16"/>
                        </w:rPr>
                      </w:pPr>
                      <w:r>
                        <w:rPr>
                          <w:rFonts w:ascii="宋体" w:hAnsi="宋体" w:cs="宋体" w:eastAsia="宋体" w:hint="default"/>
                          <w:w w:val="99"/>
                          <w:sz w:val="16"/>
                          <w:szCs w:val="16"/>
                        </w:rPr>
                        <w:t>司</w:t>
                      </w:r>
                      <w:r>
                        <w:rPr>
                          <w:rFonts w:ascii="宋体" w:hAnsi="宋体" w:cs="宋体" w:eastAsia="宋体" w:hint="default"/>
                          <w:sz w:val="16"/>
                          <w:szCs w:val="16"/>
                        </w:rPr>
                      </w:r>
                    </w:p>
                  </w:txbxContent>
                </v:textbox>
                <w10:wrap type="none"/>
              </v:shape>
              <v:shape style="position:absolute;left:5701;top:4631;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18,700,000.00</w:t>
                      </w:r>
                      <w:r>
                        <w:rPr>
                          <w:rFonts w:ascii="Times New Roman"/>
                          <w:sz w:val="16"/>
                        </w:rPr>
                      </w:r>
                    </w:p>
                  </w:txbxContent>
                </v:textbox>
                <w10:wrap type="none"/>
              </v:shape>
              <v:shape style="position:absolute;left:7951;top:4631;width:975;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-10,316,398.14</w:t>
                      </w:r>
                      <w:r>
                        <w:rPr>
                          <w:rFonts w:ascii="Times New Roman"/>
                          <w:sz w:val="16"/>
                        </w:rPr>
                      </w:r>
                    </w:p>
                  </w:txbxContent>
                </v:textbox>
                <w10:wrap type="none"/>
              </v:shape>
              <v:shape style="position:absolute;left:12977;top:4631;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8,383,601.86</w:t>
                      </w:r>
                      <w:r>
                        <w:rPr>
                          <w:rFonts w:ascii="Times New Roman"/>
                          <w:sz w:val="16"/>
                        </w:rPr>
                      </w:r>
                    </w:p>
                  </w:txbxContent>
                </v:textbox>
                <w10:wrap type="none"/>
              </v:shape>
              <v:shape style="position:absolute;left:2160;top:5075;width:207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长城超云（北京）科技有限公</w:t>
                      </w:r>
                      <w:r>
                        <w:rPr>
                          <w:rFonts w:ascii="宋体" w:hAnsi="宋体" w:cs="宋体" w:eastAsia="宋体" w:hint="default"/>
                          <w:sz w:val="16"/>
                          <w:szCs w:val="16"/>
                        </w:rPr>
                      </w:r>
                    </w:p>
                  </w:txbxContent>
                </v:textbox>
                <w10:wrap type="none"/>
              </v:shape>
              <v:shape style="position:absolute;left:5628;top:5192;width:995;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pacing w:val="-1"/>
                          <w:sz w:val="16"/>
                        </w:rPr>
                        <w:t>211,200,000.00</w:t>
                      </w:r>
                    </w:p>
                  </w:txbxContent>
                </v:textbox>
                <w10:wrap type="none"/>
              </v:shape>
              <v:shape style="position:absolute;left:8084;top:5192;width:8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5,331,914.13</w:t>
                      </w:r>
                      <w:r>
                        <w:rPr>
                          <w:rFonts w:ascii="Times New Roman"/>
                          <w:sz w:val="16"/>
                        </w:rPr>
                      </w:r>
                    </w:p>
                  </w:txbxContent>
                </v:textbox>
                <w10:wrap type="none"/>
              </v:shape>
              <v:shape style="position:absolute;left:12817;top:5192;width:100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216,531,914.13</w:t>
                      </w:r>
                      <w:r>
                        <w:rPr>
                          <w:rFonts w:ascii="Times New Roman"/>
                          <w:sz w:val="16"/>
                        </w:rPr>
                      </w:r>
                    </w:p>
                  </w:txbxContent>
                </v:textbox>
                <w10:wrap type="none"/>
              </v:shape>
            </v:group>
            <w10:wrap type="none"/>
          </v:group>
        </w:pict>
      </w:r>
      <w:r>
        <w:rPr>
          <w:rFonts w:ascii="Times New Roman" w:hAnsi="Times New Roman" w:cs="Times New Roman" w:eastAsia="Times New Roman" w:hint="default"/>
          <w:w w:val="95"/>
        </w:rPr>
        <w:t>2</w:t>
      </w:r>
      <w:r>
        <w:rPr>
          <w:w w:val="95"/>
        </w:rPr>
        <w:t>、</w:t>
        <w:tab/>
      </w:r>
      <w:r>
        <w:rPr/>
        <w:t>对联营、合营企业投资</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8"/>
          <w:szCs w:val="18"/>
        </w:rPr>
      </w:pPr>
    </w:p>
    <w:tbl>
      <w:tblPr>
        <w:tblW w:w="0" w:type="auto"/>
        <w:jc w:val="left"/>
        <w:tblInd w:w="789" w:type="dxa"/>
        <w:tblLayout w:type="fixed"/>
        <w:tblCellMar>
          <w:top w:w="0" w:type="dxa"/>
          <w:left w:w="0" w:type="dxa"/>
          <w:bottom w:w="0" w:type="dxa"/>
          <w:right w:w="0" w:type="dxa"/>
        </w:tblCellMar>
        <w:tblLook w:val="01E0"/>
      </w:tblPr>
      <w:tblGrid>
        <w:gridCol w:w="2192"/>
        <w:gridCol w:w="1232"/>
        <w:gridCol w:w="1813"/>
        <w:gridCol w:w="3544"/>
        <w:gridCol w:w="2982"/>
      </w:tblGrid>
      <w:tr>
        <w:trPr>
          <w:trHeight w:val="617" w:hRule="exact"/>
        </w:trPr>
        <w:tc>
          <w:tcPr>
            <w:tcW w:w="2192" w:type="dxa"/>
            <w:tcBorders>
              <w:top w:val="nil" w:sz="6" w:space="0" w:color="auto"/>
              <w:left w:val="nil" w:sz="6" w:space="0" w:color="auto"/>
              <w:bottom w:val="nil" w:sz="6" w:space="0" w:color="auto"/>
              <w:right w:val="nil" w:sz="6" w:space="0" w:color="auto"/>
            </w:tcBorders>
          </w:tcPr>
          <w:p>
            <w:pPr>
              <w:pStyle w:val="TableParagraph"/>
              <w:spacing w:line="160" w:lineRule="exact"/>
              <w:ind w:left="70" w:right="0"/>
              <w:jc w:val="left"/>
              <w:rPr>
                <w:rFonts w:ascii="宋体" w:hAnsi="宋体" w:cs="宋体" w:eastAsia="宋体" w:hint="default"/>
                <w:sz w:val="16"/>
                <w:szCs w:val="16"/>
              </w:rPr>
            </w:pPr>
            <w:r>
              <w:rPr>
                <w:rFonts w:ascii="宋体" w:hAnsi="宋体" w:cs="宋体" w:eastAsia="宋体" w:hint="default"/>
                <w:w w:val="99"/>
                <w:sz w:val="16"/>
                <w:szCs w:val="16"/>
              </w:rPr>
              <w:t>司</w:t>
            </w:r>
            <w:r>
              <w:rPr>
                <w:rFonts w:ascii="宋体" w:hAnsi="宋体" w:cs="宋体" w:eastAsia="宋体" w:hint="default"/>
                <w:sz w:val="16"/>
                <w:szCs w:val="16"/>
              </w:rPr>
            </w:r>
          </w:p>
          <w:p>
            <w:pPr>
              <w:pStyle w:val="TableParagraph"/>
              <w:spacing w:line="240" w:lineRule="auto" w:before="143"/>
              <w:ind w:left="70" w:right="0"/>
              <w:jc w:val="left"/>
              <w:rPr>
                <w:rFonts w:ascii="宋体" w:hAnsi="宋体" w:cs="宋体" w:eastAsia="宋体" w:hint="default"/>
                <w:sz w:val="16"/>
                <w:szCs w:val="16"/>
              </w:rPr>
            </w:pPr>
            <w:r>
              <w:rPr>
                <w:rFonts w:ascii="宋体" w:hAnsi="宋体" w:cs="宋体" w:eastAsia="宋体" w:hint="default"/>
                <w:sz w:val="16"/>
                <w:szCs w:val="16"/>
              </w:rPr>
              <w:t>深圳中电蓝海控股有限公司</w:t>
            </w:r>
          </w:p>
        </w:tc>
        <w:tc>
          <w:tcPr>
            <w:tcW w:w="1232" w:type="dxa"/>
            <w:tcBorders>
              <w:top w:val="nil" w:sz="6" w:space="0" w:color="auto"/>
              <w:left w:val="nil" w:sz="6" w:space="0" w:color="auto"/>
              <w:bottom w:val="nil" w:sz="6" w:space="0" w:color="auto"/>
              <w:right w:val="nil" w:sz="6" w:space="0" w:color="auto"/>
            </w:tcBorders>
          </w:tcPr>
          <w:p>
            <w:pPr/>
          </w:p>
        </w:tc>
        <w:tc>
          <w:tcPr>
            <w:tcW w:w="181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137"/>
              <w:ind w:right="702"/>
              <w:jc w:val="right"/>
              <w:rPr>
                <w:rFonts w:ascii="Times New Roman" w:hAnsi="Times New Roman" w:cs="Times New Roman" w:eastAsia="Times New Roman" w:hint="default"/>
                <w:sz w:val="16"/>
                <w:szCs w:val="16"/>
              </w:rPr>
            </w:pPr>
            <w:r>
              <w:rPr>
                <w:rFonts w:ascii="Times New Roman"/>
                <w:spacing w:val="-1"/>
                <w:sz w:val="16"/>
              </w:rPr>
              <w:t>9,800,000.00</w:t>
            </w:r>
          </w:p>
        </w:tc>
        <w:tc>
          <w:tcPr>
            <w:tcW w:w="3544" w:type="dxa"/>
            <w:tcBorders>
              <w:top w:val="nil" w:sz="6" w:space="0" w:color="auto"/>
              <w:left w:val="nil" w:sz="6" w:space="0" w:color="auto"/>
              <w:bottom w:val="nil" w:sz="6" w:space="0" w:color="auto"/>
              <w:right w:val="nil" w:sz="6" w:space="0" w:color="auto"/>
            </w:tcBorders>
          </w:tcPr>
          <w:p>
            <w:pPr/>
          </w:p>
        </w:tc>
        <w:tc>
          <w:tcPr>
            <w:tcW w:w="298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137"/>
              <w:ind w:right="33"/>
              <w:jc w:val="right"/>
              <w:rPr>
                <w:rFonts w:ascii="Times New Roman" w:hAnsi="Times New Roman" w:cs="Times New Roman" w:eastAsia="Times New Roman" w:hint="default"/>
                <w:sz w:val="16"/>
                <w:szCs w:val="16"/>
              </w:rPr>
            </w:pPr>
            <w:r>
              <w:rPr>
                <w:rFonts w:ascii="Times New Roman"/>
                <w:spacing w:val="-1"/>
                <w:sz w:val="16"/>
              </w:rPr>
              <w:t>9,800,000.00</w:t>
            </w:r>
          </w:p>
        </w:tc>
      </w:tr>
      <w:tr>
        <w:trPr>
          <w:trHeight w:val="353" w:hRule="exact"/>
        </w:trPr>
        <w:tc>
          <w:tcPr>
            <w:tcW w:w="219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小计</w:t>
            </w:r>
          </w:p>
        </w:tc>
        <w:tc>
          <w:tcPr>
            <w:tcW w:w="123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5"/>
              <w:jc w:val="right"/>
              <w:rPr>
                <w:rFonts w:ascii="Times New Roman" w:hAnsi="Times New Roman" w:cs="Times New Roman" w:eastAsia="Times New Roman" w:hint="default"/>
                <w:sz w:val="16"/>
                <w:szCs w:val="16"/>
              </w:rPr>
            </w:pPr>
            <w:r>
              <w:rPr>
                <w:rFonts w:ascii="Times New Roman"/>
                <w:spacing w:val="-1"/>
                <w:sz w:val="16"/>
              </w:rPr>
              <w:t>46,769,798.59</w:t>
            </w:r>
          </w:p>
        </w:tc>
        <w:tc>
          <w:tcPr>
            <w:tcW w:w="1813"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704"/>
              <w:jc w:val="right"/>
              <w:rPr>
                <w:rFonts w:ascii="Times New Roman" w:hAnsi="Times New Roman" w:cs="Times New Roman" w:eastAsia="Times New Roman" w:hint="default"/>
                <w:sz w:val="16"/>
                <w:szCs w:val="16"/>
              </w:rPr>
            </w:pPr>
            <w:r>
              <w:rPr>
                <w:rFonts w:ascii="Times New Roman"/>
                <w:spacing w:val="-1"/>
                <w:sz w:val="16"/>
              </w:rPr>
              <w:t>239,700,000.00</w:t>
            </w:r>
          </w:p>
        </w:tc>
        <w:tc>
          <w:tcPr>
            <w:tcW w:w="3544" w:type="dxa"/>
            <w:tcBorders>
              <w:top w:val="nil" w:sz="6" w:space="0" w:color="auto"/>
              <w:left w:val="nil" w:sz="6" w:space="0" w:color="auto"/>
              <w:bottom w:val="nil" w:sz="6" w:space="0" w:color="auto"/>
              <w:right w:val="nil" w:sz="6" w:space="0" w:color="auto"/>
            </w:tcBorders>
          </w:tcPr>
          <w:p>
            <w:pPr>
              <w:pStyle w:val="TableParagraph"/>
              <w:spacing w:line="240" w:lineRule="auto" w:before="82"/>
              <w:ind w:left="704" w:right="0"/>
              <w:jc w:val="left"/>
              <w:rPr>
                <w:rFonts w:ascii="Times New Roman" w:hAnsi="Times New Roman" w:cs="Times New Roman" w:eastAsia="Times New Roman" w:hint="default"/>
                <w:sz w:val="16"/>
                <w:szCs w:val="16"/>
              </w:rPr>
            </w:pPr>
            <w:r>
              <w:rPr>
                <w:rFonts w:ascii="Times New Roman"/>
                <w:sz w:val="16"/>
              </w:rPr>
              <w:t>-2,408,230.35</w:t>
            </w:r>
          </w:p>
        </w:tc>
        <w:tc>
          <w:tcPr>
            <w:tcW w:w="298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6"/>
                <w:szCs w:val="16"/>
              </w:rPr>
            </w:pPr>
            <w:r>
              <w:rPr>
                <w:rFonts w:ascii="Times New Roman"/>
                <w:spacing w:val="-1"/>
                <w:sz w:val="16"/>
              </w:rPr>
              <w:t>284,061,568.24</w:t>
            </w:r>
          </w:p>
        </w:tc>
      </w:tr>
      <w:tr>
        <w:trPr>
          <w:trHeight w:val="357" w:hRule="exact"/>
        </w:trPr>
        <w:tc>
          <w:tcPr>
            <w:tcW w:w="219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55" w:right="0"/>
              <w:jc w:val="center"/>
              <w:rPr>
                <w:rFonts w:ascii="宋体" w:hAnsi="宋体" w:cs="宋体" w:eastAsia="宋体" w:hint="default"/>
                <w:sz w:val="16"/>
                <w:szCs w:val="16"/>
              </w:rPr>
            </w:pPr>
            <w:r>
              <w:rPr>
                <w:rFonts w:ascii="宋体" w:hAnsi="宋体" w:cs="宋体" w:eastAsia="宋体" w:hint="default"/>
                <w:sz w:val="16"/>
                <w:szCs w:val="16"/>
              </w:rPr>
              <w:t>合计</w:t>
            </w:r>
          </w:p>
        </w:tc>
        <w:tc>
          <w:tcPr>
            <w:tcW w:w="123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6"/>
                <w:szCs w:val="16"/>
              </w:rPr>
            </w:pPr>
            <w:r>
              <w:rPr>
                <w:rFonts w:ascii="Times New Roman"/>
                <w:spacing w:val="-1"/>
                <w:sz w:val="16"/>
              </w:rPr>
              <w:t>46,769,798.59</w:t>
            </w:r>
          </w:p>
        </w:tc>
        <w:tc>
          <w:tcPr>
            <w:tcW w:w="1813"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704"/>
              <w:jc w:val="right"/>
              <w:rPr>
                <w:rFonts w:ascii="Times New Roman" w:hAnsi="Times New Roman" w:cs="Times New Roman" w:eastAsia="Times New Roman" w:hint="default"/>
                <w:sz w:val="16"/>
                <w:szCs w:val="16"/>
              </w:rPr>
            </w:pPr>
            <w:r>
              <w:rPr>
                <w:rFonts w:ascii="Times New Roman"/>
                <w:spacing w:val="-1"/>
                <w:sz w:val="16"/>
              </w:rPr>
              <w:t>239,700,000.00</w:t>
            </w:r>
          </w:p>
        </w:tc>
        <w:tc>
          <w:tcPr>
            <w:tcW w:w="3544" w:type="dxa"/>
            <w:tcBorders>
              <w:top w:val="nil" w:sz="6" w:space="0" w:color="auto"/>
              <w:left w:val="nil" w:sz="6" w:space="0" w:color="auto"/>
              <w:bottom w:val="nil" w:sz="6" w:space="0" w:color="auto"/>
              <w:right w:val="nil" w:sz="6" w:space="0" w:color="auto"/>
            </w:tcBorders>
          </w:tcPr>
          <w:p>
            <w:pPr>
              <w:pStyle w:val="TableParagraph"/>
              <w:spacing w:line="240" w:lineRule="auto" w:before="83"/>
              <w:ind w:left="704" w:right="0"/>
              <w:jc w:val="left"/>
              <w:rPr>
                <w:rFonts w:ascii="Times New Roman" w:hAnsi="Times New Roman" w:cs="Times New Roman" w:eastAsia="Times New Roman" w:hint="default"/>
                <w:sz w:val="16"/>
                <w:szCs w:val="16"/>
              </w:rPr>
            </w:pPr>
            <w:r>
              <w:rPr>
                <w:rFonts w:ascii="Times New Roman"/>
                <w:sz w:val="16"/>
              </w:rPr>
              <w:t>-2,408,230.35</w:t>
            </w:r>
          </w:p>
        </w:tc>
        <w:tc>
          <w:tcPr>
            <w:tcW w:w="298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3"/>
              <w:jc w:val="right"/>
              <w:rPr>
                <w:rFonts w:ascii="Times New Roman" w:hAnsi="Times New Roman" w:cs="Times New Roman" w:eastAsia="Times New Roman" w:hint="default"/>
                <w:sz w:val="16"/>
                <w:szCs w:val="16"/>
              </w:rPr>
            </w:pPr>
            <w:r>
              <w:rPr>
                <w:rFonts w:ascii="Times New Roman"/>
                <w:spacing w:val="-1"/>
                <w:sz w:val="16"/>
              </w:rPr>
              <w:t>284,061,568.24</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3"/>
          <w:szCs w:val="23"/>
        </w:rPr>
      </w:pPr>
    </w:p>
    <w:p>
      <w:pPr>
        <w:spacing w:before="44"/>
        <w:ind w:left="6200" w:right="6461" w:firstLine="0"/>
        <w:jc w:val="center"/>
        <w:rPr>
          <w:rFonts w:ascii="宋体" w:hAnsi="宋体" w:cs="宋体" w:eastAsia="宋体" w:hint="default"/>
          <w:sz w:val="18"/>
          <w:szCs w:val="18"/>
        </w:rPr>
      </w:pPr>
      <w:r>
        <w:rPr>
          <w:rFonts w:ascii="宋体" w:hAnsi="宋体" w:cs="宋体" w:eastAsia="宋体" w:hint="default"/>
          <w:sz w:val="18"/>
          <w:szCs w:val="18"/>
        </w:rPr>
        <w:t>财务报表附注第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8"/>
          <w:szCs w:val="18"/>
        </w:rPr>
      </w:pPr>
    </w:p>
    <w:p>
      <w:pPr>
        <w:spacing w:line="371" w:lineRule="exact"/>
        <w:ind w:left="10484" w:right="0" w:firstLine="0"/>
        <w:rPr>
          <w:rFonts w:ascii="宋体" w:hAnsi="宋体" w:cs="宋体" w:eastAsia="宋体" w:hint="default"/>
          <w:sz w:val="20"/>
          <w:szCs w:val="20"/>
        </w:rPr>
      </w:pPr>
      <w:r>
        <w:rPr>
          <w:rFonts w:ascii="宋体" w:hAnsi="宋体" w:cs="宋体" w:eastAsia="宋体" w:hint="default"/>
          <w:position w:val="-6"/>
          <w:sz w:val="20"/>
          <w:szCs w:val="20"/>
        </w:rPr>
        <w:drawing>
          <wp:inline distT="0" distB="0" distL="0" distR="0">
            <wp:extent cx="524065" cy="236029"/>
            <wp:effectExtent l="0" t="0" r="0" b="0"/>
            <wp:docPr id="39" name="image1.jpeg" descr=""/>
            <wp:cNvGraphicFramePr>
              <a:graphicFrameLocks noChangeAspect="1"/>
            </wp:cNvGraphicFramePr>
            <a:graphic>
              <a:graphicData uri="http://schemas.openxmlformats.org/drawingml/2006/picture">
                <pic:pic>
                  <pic:nvPicPr>
                    <pic:cNvPr id="40" name="image1.jpeg"/>
                    <pic:cNvPicPr/>
                  </pic:nvPicPr>
                  <pic:blipFill>
                    <a:blip r:embed="rId79" cstate="print"/>
                    <a:stretch>
                      <a:fillRect/>
                    </a:stretch>
                  </pic:blipFill>
                  <pic:spPr>
                    <a:xfrm>
                      <a:off x="0" y="0"/>
                      <a:ext cx="524065" cy="236029"/>
                    </a:xfrm>
                    <a:prstGeom prst="rect">
                      <a:avLst/>
                    </a:prstGeom>
                  </pic:spPr>
                </pic:pic>
              </a:graphicData>
            </a:graphic>
          </wp:inline>
        </w:drawing>
      </w:r>
      <w:r>
        <w:rPr>
          <w:rFonts w:ascii="宋体" w:hAnsi="宋体" w:cs="宋体" w:eastAsia="宋体" w:hint="default"/>
          <w:position w:val="-6"/>
          <w:sz w:val="20"/>
          <w:szCs w:val="20"/>
        </w:rPr>
      </w:r>
    </w:p>
    <w:p>
      <w:pPr>
        <w:spacing w:after="0" w:line="371" w:lineRule="exact"/>
        <w:rPr>
          <w:rFonts w:ascii="宋体" w:hAnsi="宋体" w:cs="宋体" w:eastAsia="宋体" w:hint="default"/>
          <w:sz w:val="20"/>
          <w:szCs w:val="20"/>
        </w:rPr>
        <w:sectPr>
          <w:headerReference w:type="default" r:id="rId535"/>
          <w:footerReference w:type="default" r:id="rId536"/>
          <w:pgSz w:w="16840" w:h="11910" w:orient="landscape"/>
          <w:pgMar w:header="0" w:footer="0" w:top="1100" w:bottom="0" w:left="1300" w:right="1040"/>
        </w:sectPr>
      </w:pPr>
    </w:p>
    <w:p>
      <w:pPr>
        <w:spacing w:line="240" w:lineRule="auto" w:before="1"/>
        <w:rPr>
          <w:rFonts w:ascii="宋体" w:hAnsi="宋体" w:cs="宋体" w:eastAsia="宋体" w:hint="default"/>
          <w:sz w:val="7"/>
          <w:szCs w:val="7"/>
        </w:rPr>
      </w:pPr>
      <w:r>
        <w:rPr/>
        <w:pict>
          <v:group style="position:absolute;margin-left:88.379997pt;margin-top:69.599983pt;width:418.65pt;height:.1pt;mso-position-horizontal-relative:page;mso-position-vertical-relative:page;z-index:47392" coordorigin="1768,1392" coordsize="8373,2">
            <v:shape style="position:absolute;left:1768;top:1392;width:8373;height:2" coordorigin="1768,1392" coordsize="8373,0" path="m1768,1392l10140,1392e" filled="false" stroked="true" strokeweight=".48004pt" strokecolor="#000000">
              <v:path arrowok="t"/>
            </v:shape>
            <w10:wrap type="none"/>
          </v:group>
        </w:pict>
      </w:r>
      <w:r>
        <w:rPr/>
        <w:pict>
          <v:group style="position:absolute;margin-left:119.010002pt;margin-top:97.379723pt;width:412.05pt;height:105pt;mso-position-horizontal-relative:page;mso-position-vertical-relative:page;z-index:-1356448" coordorigin="2380,1948" coordsize="8241,2100">
            <v:shape style="position:absolute;left:4145;top:1948;width:10;height:28" type="#_x0000_t75" stroked="false">
              <v:imagedata r:id="rId174" o:title=""/>
            </v:shape>
            <v:shape style="position:absolute;left:7368;top:1948;width:10;height:28" type="#_x0000_t75" stroked="false">
              <v:imagedata r:id="rId174" o:title=""/>
            </v:shape>
            <v:shape style="position:absolute;left:4126;top:1956;width:3271;height:354" type="#_x0000_t75" stroked="false">
              <v:imagedata r:id="rId540" o:title=""/>
            </v:shape>
            <v:shape style="position:absolute;left:4126;top:2272;width:6496;height:391" type="#_x0000_t75" stroked="false">
              <v:imagedata r:id="rId541" o:title=""/>
            </v:shape>
            <v:group style="position:absolute;left:2395;top:4033;width:1750;height:2" coordorigin="2395,4033" coordsize="1750,2">
              <v:shape style="position:absolute;left:2395;top:4033;width:1750;height:2" coordorigin="2395,4033" coordsize="1750,0" path="m2395,4033l4145,4033e" filled="false" stroked="true" strokeweight="1.5pt" strokecolor="#000000">
                <v:path arrowok="t"/>
              </v:shape>
            </v:group>
            <v:group style="position:absolute;left:4145;top:4033;width:1612;height:2" coordorigin="4145,4033" coordsize="1612,2">
              <v:shape style="position:absolute;left:4145;top:4033;width:1612;height:2" coordorigin="4145,4033" coordsize="1612,0" path="m4145,4033l5756,4033e" filled="false" stroked="true" strokeweight="1.5pt" strokecolor="#000000">
                <v:path arrowok="t"/>
              </v:shape>
            </v:group>
            <v:group style="position:absolute;left:5756;top:4033;width:1612;height:2" coordorigin="5756,4033" coordsize="1612,2">
              <v:shape style="position:absolute;left:5756;top:4033;width:1612;height:2" coordorigin="5756,4033" coordsize="1612,0" path="m5756,4033l7368,4033e" filled="false" stroked="true" strokeweight="1.5pt" strokecolor="#000000">
                <v:path arrowok="t"/>
              </v:shape>
            </v:group>
            <v:group style="position:absolute;left:7368;top:4033;width:30;height:2" coordorigin="7368,4033" coordsize="30,2">
              <v:shape style="position:absolute;left:7368;top:4033;width:30;height:2" coordorigin="7368,4033" coordsize="30,0" path="m7368,4033l7398,4033e" filled="false" stroked="true" strokeweight="1.5pt" strokecolor="#000000">
                <v:path arrowok="t"/>
              </v:shape>
            </v:group>
            <v:group style="position:absolute;left:7398;top:4033;width:1582;height:2" coordorigin="7398,4033" coordsize="1582,2">
              <v:shape style="position:absolute;left:7398;top:4033;width:1582;height:2" coordorigin="7398,4033" coordsize="1582,0" path="m7398,4033l8980,4033e" filled="false" stroked="true" strokeweight="1.5pt" strokecolor="#000000">
                <v:path arrowok="t"/>
              </v:shape>
              <v:shape style="position:absolute;left:2390;top:2627;width:8228;height:1391" type="#_x0000_t75" stroked="false">
                <v:imagedata r:id="rId542" o:title=""/>
              </v:shape>
            </v:group>
            <v:group style="position:absolute;left:8980;top:4033;width:1618;height:2" coordorigin="8980,4033" coordsize="1618,2">
              <v:shape style="position:absolute;left:8980;top:4033;width:1618;height:2" coordorigin="8980,4033" coordsize="1618,0" path="m8980,4033l10597,4033e" filled="false" stroked="true" strokeweight="1.5pt" strokecolor="#000000">
                <v:path arrowok="t"/>
              </v:shape>
            </v:group>
            <w10:wrap type="none"/>
          </v:group>
        </w:pict>
      </w:r>
    </w:p>
    <w:tbl>
      <w:tblPr>
        <w:tblW w:w="0" w:type="auto"/>
        <w:jc w:val="left"/>
        <w:tblInd w:w="102" w:type="dxa"/>
        <w:tblLayout w:type="fixed"/>
        <w:tblCellMar>
          <w:top w:w="0" w:type="dxa"/>
          <w:left w:w="0" w:type="dxa"/>
          <w:bottom w:w="0" w:type="dxa"/>
          <w:right w:w="0" w:type="dxa"/>
        </w:tblCellMar>
        <w:tblLook w:val="01E0"/>
      </w:tblPr>
      <w:tblGrid>
        <w:gridCol w:w="647"/>
        <w:gridCol w:w="2062"/>
        <w:gridCol w:w="1672"/>
        <w:gridCol w:w="1366"/>
        <w:gridCol w:w="1858"/>
        <w:gridCol w:w="1229"/>
      </w:tblGrid>
      <w:tr>
        <w:trPr>
          <w:trHeight w:val="358" w:hRule="exact"/>
        </w:trPr>
        <w:tc>
          <w:tcPr>
            <w:tcW w:w="64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四</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2062"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101" w:right="0"/>
              <w:jc w:val="left"/>
              <w:rPr>
                <w:rFonts w:ascii="宋体" w:hAnsi="宋体" w:cs="宋体" w:eastAsia="宋体" w:hint="default"/>
                <w:sz w:val="21"/>
                <w:szCs w:val="21"/>
              </w:rPr>
            </w:pPr>
            <w:r>
              <w:rPr>
                <w:rFonts w:ascii="宋体" w:hAnsi="宋体" w:cs="宋体" w:eastAsia="宋体" w:hint="default"/>
                <w:b/>
                <w:bCs/>
                <w:sz w:val="21"/>
                <w:szCs w:val="21"/>
              </w:rPr>
              <w:t>营业收入和营业成本</w:t>
            </w:r>
            <w:r>
              <w:rPr>
                <w:rFonts w:ascii="宋体" w:hAnsi="宋体" w:cs="宋体" w:eastAsia="宋体" w:hint="default"/>
                <w:sz w:val="21"/>
                <w:szCs w:val="21"/>
              </w:rPr>
            </w:r>
          </w:p>
        </w:tc>
        <w:tc>
          <w:tcPr>
            <w:tcW w:w="6125" w:type="dxa"/>
            <w:gridSpan w:val="4"/>
            <w:tcBorders>
              <w:top w:val="nil" w:sz="6" w:space="0" w:color="auto"/>
              <w:left w:val="nil" w:sz="6" w:space="0" w:color="auto"/>
              <w:bottom w:val="single" w:sz="12" w:space="0" w:color="000000"/>
              <w:right w:val="nil" w:sz="6" w:space="0" w:color="auto"/>
            </w:tcBorders>
          </w:tcPr>
          <w:p>
            <w:pPr/>
          </w:p>
        </w:tc>
      </w:tr>
      <w:tr>
        <w:trPr>
          <w:trHeight w:val="742" w:hRule="exact"/>
        </w:trPr>
        <w:tc>
          <w:tcPr>
            <w:tcW w:w="647" w:type="dxa"/>
            <w:tcBorders>
              <w:top w:val="nil" w:sz="6" w:space="0" w:color="auto"/>
              <w:left w:val="nil" w:sz="6" w:space="0" w:color="auto"/>
              <w:bottom w:val="nil" w:sz="6" w:space="0" w:color="auto"/>
              <w:right w:val="nil" w:sz="6" w:space="0" w:color="auto"/>
            </w:tcBorders>
          </w:tcPr>
          <w:p>
            <w:pPr/>
          </w:p>
        </w:tc>
        <w:tc>
          <w:tcPr>
            <w:tcW w:w="2062"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322"/>
              <w:jc w:val="center"/>
              <w:rPr>
                <w:rFonts w:ascii="宋体" w:hAnsi="宋体" w:cs="宋体" w:eastAsia="宋体" w:hint="default"/>
                <w:sz w:val="16"/>
                <w:szCs w:val="16"/>
              </w:rPr>
            </w:pPr>
            <w:r>
              <w:rPr>
                <w:rFonts w:ascii="宋体" w:hAnsi="宋体" w:cs="宋体" w:eastAsia="宋体" w:hint="default"/>
                <w:sz w:val="16"/>
                <w:szCs w:val="16"/>
              </w:rPr>
              <w:t>项目</w:t>
            </w:r>
          </w:p>
        </w:tc>
        <w:tc>
          <w:tcPr>
            <w:tcW w:w="1672"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888" w:right="-16"/>
              <w:jc w:val="left"/>
              <w:rPr>
                <w:rFonts w:ascii="宋体" w:hAnsi="宋体" w:cs="宋体" w:eastAsia="宋体" w:hint="default"/>
                <w:sz w:val="16"/>
                <w:szCs w:val="16"/>
              </w:rPr>
            </w:pPr>
            <w:r>
              <w:rPr>
                <w:rFonts w:ascii="宋体" w:hAnsi="宋体" w:cs="宋体" w:eastAsia="宋体" w:hint="default"/>
                <w:w w:val="95"/>
                <w:sz w:val="16"/>
                <w:szCs w:val="16"/>
              </w:rPr>
              <w:t>本期发生额</w:t>
            </w:r>
            <w:r>
              <w:rPr>
                <w:rFonts w:ascii="宋体" w:hAnsi="宋体" w:cs="宋体" w:eastAsia="宋体" w:hint="default"/>
                <w:sz w:val="16"/>
                <w:szCs w:val="16"/>
              </w:rPr>
            </w:r>
          </w:p>
          <w:p>
            <w:pPr>
              <w:pStyle w:val="TableParagraph"/>
              <w:spacing w:line="240" w:lineRule="auto" w:before="143"/>
              <w:ind w:left="323" w:right="0"/>
              <w:jc w:val="left"/>
              <w:rPr>
                <w:rFonts w:ascii="宋体" w:hAnsi="宋体" w:cs="宋体" w:eastAsia="宋体" w:hint="default"/>
                <w:sz w:val="16"/>
                <w:szCs w:val="16"/>
              </w:rPr>
            </w:pPr>
            <w:r>
              <w:rPr>
                <w:rFonts w:ascii="宋体" w:hAnsi="宋体" w:cs="宋体" w:eastAsia="宋体" w:hint="default"/>
                <w:sz w:val="16"/>
                <w:szCs w:val="16"/>
              </w:rPr>
              <w:t>收入</w:t>
            </w:r>
          </w:p>
        </w:tc>
        <w:tc>
          <w:tcPr>
            <w:tcW w:w="1366"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261" w:right="0"/>
              <w:jc w:val="left"/>
              <w:rPr>
                <w:rFonts w:ascii="宋体" w:hAnsi="宋体" w:cs="宋体" w:eastAsia="宋体" w:hint="default"/>
                <w:sz w:val="16"/>
                <w:szCs w:val="16"/>
              </w:rPr>
            </w:pPr>
            <w:r>
              <w:rPr>
                <w:rFonts w:ascii="宋体" w:hAnsi="宋体" w:cs="宋体" w:eastAsia="宋体" w:hint="default"/>
                <w:sz w:val="16"/>
                <w:szCs w:val="16"/>
              </w:rPr>
              <w:t>成本</w:t>
            </w:r>
          </w:p>
        </w:tc>
        <w:tc>
          <w:tcPr>
            <w:tcW w:w="1858"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1073" w:right="-15"/>
              <w:jc w:val="left"/>
              <w:rPr>
                <w:rFonts w:ascii="宋体" w:hAnsi="宋体" w:cs="宋体" w:eastAsia="宋体" w:hint="default"/>
                <w:sz w:val="16"/>
                <w:szCs w:val="16"/>
              </w:rPr>
            </w:pPr>
            <w:r>
              <w:rPr>
                <w:rFonts w:ascii="宋体" w:hAnsi="宋体" w:cs="宋体" w:eastAsia="宋体" w:hint="default"/>
                <w:w w:val="95"/>
                <w:sz w:val="16"/>
                <w:szCs w:val="16"/>
              </w:rPr>
              <w:t>上期发生额</w:t>
            </w:r>
            <w:r>
              <w:rPr>
                <w:rFonts w:ascii="宋体" w:hAnsi="宋体" w:cs="宋体" w:eastAsia="宋体" w:hint="default"/>
                <w:sz w:val="16"/>
                <w:szCs w:val="16"/>
              </w:rPr>
            </w:r>
          </w:p>
          <w:p>
            <w:pPr>
              <w:pStyle w:val="TableParagraph"/>
              <w:spacing w:line="240" w:lineRule="auto" w:before="143"/>
              <w:ind w:left="507" w:right="0"/>
              <w:jc w:val="left"/>
              <w:rPr>
                <w:rFonts w:ascii="宋体" w:hAnsi="宋体" w:cs="宋体" w:eastAsia="宋体" w:hint="default"/>
                <w:sz w:val="16"/>
                <w:szCs w:val="16"/>
              </w:rPr>
            </w:pPr>
            <w:r>
              <w:rPr>
                <w:rFonts w:ascii="宋体" w:hAnsi="宋体" w:cs="宋体" w:eastAsia="宋体" w:hint="default"/>
                <w:sz w:val="16"/>
                <w:szCs w:val="16"/>
              </w:rPr>
              <w:t>收入</w:t>
            </w:r>
          </w:p>
        </w:tc>
        <w:tc>
          <w:tcPr>
            <w:tcW w:w="1229"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261" w:right="0"/>
              <w:jc w:val="left"/>
              <w:rPr>
                <w:rFonts w:ascii="宋体" w:hAnsi="宋体" w:cs="宋体" w:eastAsia="宋体" w:hint="default"/>
                <w:sz w:val="16"/>
                <w:szCs w:val="16"/>
              </w:rPr>
            </w:pPr>
            <w:r>
              <w:rPr>
                <w:rFonts w:ascii="宋体" w:hAnsi="宋体" w:cs="宋体" w:eastAsia="宋体" w:hint="default"/>
                <w:sz w:val="16"/>
                <w:szCs w:val="16"/>
              </w:rPr>
              <w:t>成本</w:t>
            </w:r>
          </w:p>
        </w:tc>
      </w:tr>
      <w:tr>
        <w:trPr>
          <w:trHeight w:val="439" w:hRule="exact"/>
        </w:trPr>
        <w:tc>
          <w:tcPr>
            <w:tcW w:w="647" w:type="dxa"/>
            <w:tcBorders>
              <w:top w:val="nil" w:sz="6" w:space="0" w:color="auto"/>
              <w:left w:val="nil" w:sz="6" w:space="0" w:color="auto"/>
              <w:bottom w:val="nil" w:sz="6" w:space="0" w:color="auto"/>
              <w:right w:val="nil" w:sz="6" w:space="0" w:color="auto"/>
            </w:tcBorders>
          </w:tcPr>
          <w:p>
            <w:pPr/>
          </w:p>
        </w:tc>
        <w:tc>
          <w:tcPr>
            <w:tcW w:w="2062" w:type="dxa"/>
            <w:tcBorders>
              <w:top w:val="nil" w:sz="6" w:space="0" w:color="auto"/>
              <w:left w:val="nil" w:sz="6" w:space="0" w:color="auto"/>
              <w:bottom w:val="nil" w:sz="6" w:space="0" w:color="auto"/>
              <w:right w:val="nil" w:sz="6" w:space="0" w:color="auto"/>
            </w:tcBorders>
          </w:tcPr>
          <w:p>
            <w:pPr>
              <w:pStyle w:val="TableParagraph"/>
              <w:spacing w:line="240" w:lineRule="auto" w:before="74"/>
              <w:ind w:left="107" w:right="0"/>
              <w:jc w:val="left"/>
              <w:rPr>
                <w:rFonts w:ascii="宋体" w:hAnsi="宋体" w:cs="宋体" w:eastAsia="宋体" w:hint="default"/>
                <w:sz w:val="16"/>
                <w:szCs w:val="16"/>
              </w:rPr>
            </w:pPr>
            <w:r>
              <w:rPr>
                <w:rFonts w:ascii="宋体" w:hAnsi="宋体" w:cs="宋体" w:eastAsia="宋体" w:hint="default"/>
                <w:sz w:val="16"/>
                <w:szCs w:val="16"/>
              </w:rPr>
              <w:t>主营业务</w:t>
            </w:r>
          </w:p>
        </w:tc>
        <w:tc>
          <w:tcPr>
            <w:tcW w:w="1672" w:type="dxa"/>
            <w:tcBorders>
              <w:top w:val="nil" w:sz="6" w:space="0" w:color="auto"/>
              <w:left w:val="nil" w:sz="6" w:space="0" w:color="auto"/>
              <w:bottom w:val="nil" w:sz="6" w:space="0" w:color="auto"/>
              <w:right w:val="nil" w:sz="6" w:space="0" w:color="auto"/>
            </w:tcBorders>
          </w:tcPr>
          <w:p>
            <w:pPr>
              <w:pStyle w:val="TableParagraph"/>
              <w:spacing w:line="240" w:lineRule="auto" w:before="116"/>
              <w:ind w:left="61" w:right="0"/>
              <w:jc w:val="left"/>
              <w:rPr>
                <w:rFonts w:ascii="Times New Roman" w:hAnsi="Times New Roman" w:cs="Times New Roman" w:eastAsia="Times New Roman" w:hint="default"/>
                <w:sz w:val="16"/>
                <w:szCs w:val="16"/>
              </w:rPr>
            </w:pPr>
            <w:r>
              <w:rPr>
                <w:rFonts w:ascii="Times New Roman"/>
                <w:sz w:val="16"/>
              </w:rPr>
              <w:t>2,326,048,017.92</w:t>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243"/>
              <w:jc w:val="right"/>
              <w:rPr>
                <w:rFonts w:ascii="Times New Roman" w:hAnsi="Times New Roman" w:cs="Times New Roman" w:eastAsia="Times New Roman" w:hint="default"/>
                <w:sz w:val="16"/>
                <w:szCs w:val="16"/>
              </w:rPr>
            </w:pPr>
            <w:r>
              <w:rPr>
                <w:rFonts w:ascii="Times New Roman"/>
                <w:spacing w:val="-1"/>
                <w:sz w:val="16"/>
              </w:rPr>
              <w:t>2,034,746,037.46</w:t>
            </w:r>
          </w:p>
        </w:tc>
        <w:tc>
          <w:tcPr>
            <w:tcW w:w="1858"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490"/>
              <w:jc w:val="right"/>
              <w:rPr>
                <w:rFonts w:ascii="Times New Roman" w:hAnsi="Times New Roman" w:cs="Times New Roman" w:eastAsia="Times New Roman" w:hint="default"/>
                <w:sz w:val="16"/>
                <w:szCs w:val="16"/>
              </w:rPr>
            </w:pPr>
            <w:r>
              <w:rPr>
                <w:rFonts w:ascii="Times New Roman"/>
                <w:spacing w:val="-1"/>
                <w:sz w:val="16"/>
              </w:rPr>
              <w:t>2,214,175,282.22</w:t>
            </w:r>
          </w:p>
        </w:tc>
        <w:tc>
          <w:tcPr>
            <w:tcW w:w="1229"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106"/>
              <w:jc w:val="right"/>
              <w:rPr>
                <w:rFonts w:ascii="Times New Roman" w:hAnsi="Times New Roman" w:cs="Times New Roman" w:eastAsia="Times New Roman" w:hint="default"/>
                <w:sz w:val="16"/>
                <w:szCs w:val="16"/>
              </w:rPr>
            </w:pPr>
            <w:r>
              <w:rPr>
                <w:rFonts w:ascii="Times New Roman"/>
                <w:spacing w:val="-1"/>
                <w:sz w:val="16"/>
              </w:rPr>
              <w:t>1,956,054,704.56</w:t>
            </w:r>
          </w:p>
        </w:tc>
      </w:tr>
      <w:tr>
        <w:trPr>
          <w:trHeight w:val="458" w:hRule="exact"/>
        </w:trPr>
        <w:tc>
          <w:tcPr>
            <w:tcW w:w="647" w:type="dxa"/>
            <w:tcBorders>
              <w:top w:val="nil" w:sz="6" w:space="0" w:color="auto"/>
              <w:left w:val="nil" w:sz="6" w:space="0" w:color="auto"/>
              <w:bottom w:val="nil" w:sz="6" w:space="0" w:color="auto"/>
              <w:right w:val="nil" w:sz="6" w:space="0" w:color="auto"/>
            </w:tcBorders>
          </w:tcPr>
          <w:p>
            <w:pPr/>
          </w:p>
        </w:tc>
        <w:tc>
          <w:tcPr>
            <w:tcW w:w="2062" w:type="dxa"/>
            <w:tcBorders>
              <w:top w:val="nil" w:sz="6" w:space="0" w:color="auto"/>
              <w:left w:val="nil" w:sz="6" w:space="0" w:color="auto"/>
              <w:bottom w:val="nil" w:sz="6" w:space="0" w:color="auto"/>
              <w:right w:val="nil" w:sz="6" w:space="0" w:color="auto"/>
            </w:tcBorders>
          </w:tcPr>
          <w:p>
            <w:pPr>
              <w:pStyle w:val="TableParagraph"/>
              <w:spacing w:line="240" w:lineRule="auto" w:before="92"/>
              <w:ind w:left="107" w:right="0"/>
              <w:jc w:val="left"/>
              <w:rPr>
                <w:rFonts w:ascii="宋体" w:hAnsi="宋体" w:cs="宋体" w:eastAsia="宋体" w:hint="default"/>
                <w:sz w:val="16"/>
                <w:szCs w:val="16"/>
              </w:rPr>
            </w:pPr>
            <w:r>
              <w:rPr>
                <w:rFonts w:ascii="宋体" w:hAnsi="宋体" w:cs="宋体" w:eastAsia="宋体" w:hint="default"/>
                <w:sz w:val="16"/>
                <w:szCs w:val="16"/>
              </w:rPr>
              <w:t>其他业务</w:t>
            </w:r>
          </w:p>
        </w:tc>
        <w:tc>
          <w:tcPr>
            <w:tcW w:w="1672"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181" w:right="0"/>
              <w:jc w:val="left"/>
              <w:rPr>
                <w:rFonts w:ascii="Times New Roman" w:hAnsi="Times New Roman" w:cs="Times New Roman" w:eastAsia="Times New Roman" w:hint="default"/>
                <w:sz w:val="16"/>
                <w:szCs w:val="16"/>
              </w:rPr>
            </w:pPr>
            <w:r>
              <w:rPr>
                <w:rFonts w:ascii="Times New Roman"/>
                <w:sz w:val="16"/>
              </w:rPr>
              <w:t>308,791,331.95</w:t>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243"/>
              <w:jc w:val="right"/>
              <w:rPr>
                <w:rFonts w:ascii="Times New Roman" w:hAnsi="Times New Roman" w:cs="Times New Roman" w:eastAsia="Times New Roman" w:hint="default"/>
                <w:sz w:val="16"/>
                <w:szCs w:val="16"/>
              </w:rPr>
            </w:pPr>
            <w:r>
              <w:rPr>
                <w:rFonts w:ascii="Times New Roman"/>
                <w:spacing w:val="-1"/>
                <w:sz w:val="16"/>
              </w:rPr>
              <w:t>198,735,857.06</w:t>
            </w:r>
          </w:p>
        </w:tc>
        <w:tc>
          <w:tcPr>
            <w:tcW w:w="1858"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490"/>
              <w:jc w:val="right"/>
              <w:rPr>
                <w:rFonts w:ascii="Times New Roman" w:hAnsi="Times New Roman" w:cs="Times New Roman" w:eastAsia="Times New Roman" w:hint="default"/>
                <w:sz w:val="16"/>
                <w:szCs w:val="16"/>
              </w:rPr>
            </w:pPr>
            <w:r>
              <w:rPr>
                <w:rFonts w:ascii="Times New Roman"/>
                <w:spacing w:val="-1"/>
                <w:sz w:val="16"/>
              </w:rPr>
              <w:t>301,172,159.57</w:t>
            </w:r>
          </w:p>
        </w:tc>
        <w:tc>
          <w:tcPr>
            <w:tcW w:w="1229"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106"/>
              <w:jc w:val="right"/>
              <w:rPr>
                <w:rFonts w:ascii="Times New Roman" w:hAnsi="Times New Roman" w:cs="Times New Roman" w:eastAsia="Times New Roman" w:hint="default"/>
                <w:sz w:val="16"/>
                <w:szCs w:val="16"/>
              </w:rPr>
            </w:pPr>
            <w:r>
              <w:rPr>
                <w:rFonts w:ascii="Times New Roman"/>
                <w:spacing w:val="-1"/>
                <w:sz w:val="16"/>
              </w:rPr>
              <w:t>173,446,330.71</w:t>
            </w:r>
          </w:p>
        </w:tc>
      </w:tr>
      <w:tr>
        <w:trPr>
          <w:trHeight w:val="416" w:hRule="exact"/>
        </w:trPr>
        <w:tc>
          <w:tcPr>
            <w:tcW w:w="647" w:type="dxa"/>
            <w:tcBorders>
              <w:top w:val="nil" w:sz="6" w:space="0" w:color="auto"/>
              <w:left w:val="nil" w:sz="6" w:space="0" w:color="auto"/>
              <w:bottom w:val="nil" w:sz="6" w:space="0" w:color="auto"/>
              <w:right w:val="nil" w:sz="6" w:space="0" w:color="auto"/>
            </w:tcBorders>
          </w:tcPr>
          <w:p>
            <w:pPr/>
          </w:p>
        </w:tc>
        <w:tc>
          <w:tcPr>
            <w:tcW w:w="2062"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322"/>
              <w:jc w:val="center"/>
              <w:rPr>
                <w:rFonts w:ascii="宋体" w:hAnsi="宋体" w:cs="宋体" w:eastAsia="宋体" w:hint="default"/>
                <w:sz w:val="16"/>
                <w:szCs w:val="16"/>
              </w:rPr>
            </w:pPr>
            <w:r>
              <w:rPr>
                <w:rFonts w:ascii="宋体" w:hAnsi="宋体" w:cs="宋体" w:eastAsia="宋体" w:hint="default"/>
                <w:sz w:val="16"/>
                <w:szCs w:val="16"/>
              </w:rPr>
              <w:t>合计</w:t>
            </w:r>
          </w:p>
        </w:tc>
        <w:tc>
          <w:tcPr>
            <w:tcW w:w="1672"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61" w:right="0"/>
              <w:jc w:val="left"/>
              <w:rPr>
                <w:rFonts w:ascii="Times New Roman" w:hAnsi="Times New Roman" w:cs="Times New Roman" w:eastAsia="Times New Roman" w:hint="default"/>
                <w:sz w:val="16"/>
                <w:szCs w:val="16"/>
              </w:rPr>
            </w:pPr>
            <w:r>
              <w:rPr>
                <w:rFonts w:ascii="Times New Roman"/>
                <w:sz w:val="16"/>
              </w:rPr>
              <w:t>2,634,839,349.87</w:t>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243"/>
              <w:jc w:val="right"/>
              <w:rPr>
                <w:rFonts w:ascii="Times New Roman" w:hAnsi="Times New Roman" w:cs="Times New Roman" w:eastAsia="Times New Roman" w:hint="default"/>
                <w:sz w:val="16"/>
                <w:szCs w:val="16"/>
              </w:rPr>
            </w:pPr>
            <w:r>
              <w:rPr>
                <w:rFonts w:ascii="Times New Roman"/>
                <w:spacing w:val="-1"/>
                <w:sz w:val="16"/>
              </w:rPr>
              <w:t>2,233,481,894.52</w:t>
            </w:r>
          </w:p>
        </w:tc>
        <w:tc>
          <w:tcPr>
            <w:tcW w:w="1858"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490"/>
              <w:jc w:val="right"/>
              <w:rPr>
                <w:rFonts w:ascii="Times New Roman" w:hAnsi="Times New Roman" w:cs="Times New Roman" w:eastAsia="Times New Roman" w:hint="default"/>
                <w:sz w:val="16"/>
                <w:szCs w:val="16"/>
              </w:rPr>
            </w:pPr>
            <w:r>
              <w:rPr>
                <w:rFonts w:ascii="Times New Roman"/>
                <w:spacing w:val="-1"/>
                <w:sz w:val="16"/>
              </w:rPr>
              <w:t>2,515,347,441.79</w:t>
            </w:r>
          </w:p>
        </w:tc>
        <w:tc>
          <w:tcPr>
            <w:tcW w:w="1229"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106"/>
              <w:jc w:val="right"/>
              <w:rPr>
                <w:rFonts w:ascii="Times New Roman" w:hAnsi="Times New Roman" w:cs="Times New Roman" w:eastAsia="Times New Roman" w:hint="default"/>
                <w:sz w:val="16"/>
                <w:szCs w:val="16"/>
              </w:rPr>
            </w:pPr>
            <w:r>
              <w:rPr>
                <w:rFonts w:ascii="Times New Roman"/>
                <w:spacing w:val="-1"/>
                <w:sz w:val="16"/>
              </w:rPr>
              <w:t>2,129,501,035.27</w:t>
            </w:r>
          </w:p>
        </w:tc>
      </w:tr>
    </w:tbl>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9"/>
          <w:szCs w:val="19"/>
        </w:rPr>
      </w:pPr>
    </w:p>
    <w:tbl>
      <w:tblPr>
        <w:tblW w:w="0" w:type="auto"/>
        <w:jc w:val="left"/>
        <w:tblInd w:w="102" w:type="dxa"/>
        <w:tblLayout w:type="fixed"/>
        <w:tblCellMar>
          <w:top w:w="0" w:type="dxa"/>
          <w:left w:w="0" w:type="dxa"/>
          <w:bottom w:w="0" w:type="dxa"/>
          <w:right w:w="0" w:type="dxa"/>
        </w:tblCellMar>
        <w:tblLook w:val="01E0"/>
      </w:tblPr>
      <w:tblGrid>
        <w:gridCol w:w="647"/>
        <w:gridCol w:w="4797"/>
        <w:gridCol w:w="1902"/>
        <w:gridCol w:w="1489"/>
      </w:tblGrid>
      <w:tr>
        <w:trPr>
          <w:trHeight w:val="357" w:hRule="exact"/>
        </w:trPr>
        <w:tc>
          <w:tcPr>
            <w:tcW w:w="64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五</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4797"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101" w:right="0"/>
              <w:jc w:val="left"/>
              <w:rPr>
                <w:rFonts w:ascii="宋体" w:hAnsi="宋体" w:cs="宋体" w:eastAsia="宋体" w:hint="default"/>
                <w:sz w:val="21"/>
                <w:szCs w:val="21"/>
              </w:rPr>
            </w:pPr>
            <w:r>
              <w:rPr>
                <w:rFonts w:ascii="宋体" w:hAnsi="宋体" w:cs="宋体" w:eastAsia="宋体" w:hint="default"/>
                <w:b/>
                <w:bCs/>
                <w:sz w:val="21"/>
                <w:szCs w:val="21"/>
              </w:rPr>
              <w:t>投资收益</w:t>
            </w:r>
            <w:r>
              <w:rPr>
                <w:rFonts w:ascii="宋体" w:hAnsi="宋体" w:cs="宋体" w:eastAsia="宋体" w:hint="default"/>
                <w:sz w:val="21"/>
                <w:szCs w:val="21"/>
              </w:rPr>
            </w:r>
          </w:p>
        </w:tc>
        <w:tc>
          <w:tcPr>
            <w:tcW w:w="3391" w:type="dxa"/>
            <w:gridSpan w:val="2"/>
            <w:tcBorders>
              <w:top w:val="nil" w:sz="6" w:space="0" w:color="auto"/>
              <w:left w:val="nil" w:sz="6" w:space="0" w:color="auto"/>
              <w:bottom w:val="single" w:sz="12" w:space="0" w:color="000000"/>
              <w:right w:val="nil" w:sz="6" w:space="0" w:color="auto"/>
            </w:tcBorders>
          </w:tcPr>
          <w:p>
            <w:pPr/>
          </w:p>
        </w:tc>
      </w:tr>
      <w:tr>
        <w:trPr>
          <w:trHeight w:val="388" w:hRule="exact"/>
        </w:trPr>
        <w:tc>
          <w:tcPr>
            <w:tcW w:w="647" w:type="dxa"/>
            <w:tcBorders>
              <w:top w:val="nil" w:sz="6" w:space="0" w:color="auto"/>
              <w:left w:val="nil" w:sz="6" w:space="0" w:color="auto"/>
              <w:bottom w:val="nil" w:sz="6" w:space="0" w:color="auto"/>
              <w:right w:val="nil" w:sz="6" w:space="0" w:color="auto"/>
            </w:tcBorders>
          </w:tcPr>
          <w:p>
            <w:pPr/>
          </w:p>
        </w:tc>
        <w:tc>
          <w:tcPr>
            <w:tcW w:w="4797"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right="200"/>
              <w:jc w:val="center"/>
              <w:rPr>
                <w:rFonts w:ascii="宋体" w:hAnsi="宋体" w:cs="宋体" w:eastAsia="宋体" w:hint="default"/>
                <w:sz w:val="16"/>
                <w:szCs w:val="16"/>
              </w:rPr>
            </w:pPr>
            <w:r>
              <w:rPr>
                <w:rFonts w:ascii="宋体" w:hAnsi="宋体" w:cs="宋体" w:eastAsia="宋体" w:hint="default"/>
                <w:sz w:val="16"/>
                <w:szCs w:val="16"/>
              </w:rPr>
              <w:t>项目</w:t>
            </w:r>
          </w:p>
        </w:tc>
        <w:tc>
          <w:tcPr>
            <w:tcW w:w="1902"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371" w:right="0"/>
              <w:jc w:val="left"/>
              <w:rPr>
                <w:rFonts w:ascii="宋体" w:hAnsi="宋体" w:cs="宋体" w:eastAsia="宋体" w:hint="default"/>
                <w:sz w:val="16"/>
                <w:szCs w:val="16"/>
              </w:rPr>
            </w:pPr>
            <w:r>
              <w:rPr>
                <w:rFonts w:ascii="宋体" w:hAnsi="宋体" w:cs="宋体" w:eastAsia="宋体" w:hint="default"/>
                <w:sz w:val="16"/>
                <w:szCs w:val="16"/>
              </w:rPr>
              <w:t>本期发生额</w:t>
            </w:r>
          </w:p>
        </w:tc>
        <w:tc>
          <w:tcPr>
            <w:tcW w:w="1489"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264" w:right="0"/>
              <w:jc w:val="left"/>
              <w:rPr>
                <w:rFonts w:ascii="宋体" w:hAnsi="宋体" w:cs="宋体" w:eastAsia="宋体" w:hint="default"/>
                <w:sz w:val="16"/>
                <w:szCs w:val="16"/>
              </w:rPr>
            </w:pPr>
            <w:r>
              <w:rPr>
                <w:rFonts w:ascii="宋体" w:hAnsi="宋体" w:cs="宋体" w:eastAsia="宋体" w:hint="default"/>
                <w:sz w:val="16"/>
                <w:szCs w:val="16"/>
              </w:rPr>
              <w:t>上期发生额</w:t>
            </w:r>
          </w:p>
        </w:tc>
      </w:tr>
      <w:tr>
        <w:trPr>
          <w:trHeight w:val="411" w:hRule="exact"/>
        </w:trPr>
        <w:tc>
          <w:tcPr>
            <w:tcW w:w="647" w:type="dxa"/>
            <w:tcBorders>
              <w:top w:val="nil" w:sz="6" w:space="0" w:color="auto"/>
              <w:left w:val="nil" w:sz="6" w:space="0" w:color="auto"/>
              <w:bottom w:val="nil" w:sz="6" w:space="0" w:color="auto"/>
              <w:right w:val="nil" w:sz="6" w:space="0" w:color="auto"/>
            </w:tcBorders>
          </w:tcPr>
          <w:p>
            <w:pPr/>
          </w:p>
        </w:tc>
        <w:tc>
          <w:tcPr>
            <w:tcW w:w="4797" w:type="dxa"/>
            <w:tcBorders>
              <w:top w:val="nil" w:sz="6" w:space="0" w:color="auto"/>
              <w:left w:val="nil" w:sz="6" w:space="0" w:color="auto"/>
              <w:bottom w:val="nil" w:sz="6" w:space="0" w:color="auto"/>
              <w:right w:val="nil" w:sz="6" w:space="0" w:color="auto"/>
            </w:tcBorders>
          </w:tcPr>
          <w:p>
            <w:pPr>
              <w:pStyle w:val="TableParagraph"/>
              <w:spacing w:line="240" w:lineRule="auto" w:before="73"/>
              <w:ind w:left="107" w:right="0"/>
              <w:jc w:val="left"/>
              <w:rPr>
                <w:rFonts w:ascii="宋体" w:hAnsi="宋体" w:cs="宋体" w:eastAsia="宋体" w:hint="default"/>
                <w:sz w:val="16"/>
                <w:szCs w:val="16"/>
              </w:rPr>
            </w:pPr>
            <w:r>
              <w:rPr>
                <w:rFonts w:ascii="宋体" w:hAnsi="宋体" w:cs="宋体" w:eastAsia="宋体" w:hint="default"/>
                <w:sz w:val="16"/>
                <w:szCs w:val="16"/>
              </w:rPr>
              <w:t>成本法核算的长期股权投资收益</w:t>
            </w:r>
          </w:p>
        </w:tc>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263"/>
              <w:jc w:val="right"/>
              <w:rPr>
                <w:rFonts w:ascii="Times New Roman" w:hAnsi="Times New Roman" w:cs="Times New Roman" w:eastAsia="Times New Roman" w:hint="default"/>
                <w:sz w:val="16"/>
                <w:szCs w:val="16"/>
              </w:rPr>
            </w:pPr>
            <w:r>
              <w:rPr>
                <w:rFonts w:ascii="Times New Roman"/>
                <w:spacing w:val="-1"/>
                <w:sz w:val="16"/>
              </w:rPr>
              <w:t>105,009,291.57</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106"/>
              <w:jc w:val="right"/>
              <w:rPr>
                <w:rFonts w:ascii="Times New Roman" w:hAnsi="Times New Roman" w:cs="Times New Roman" w:eastAsia="Times New Roman" w:hint="default"/>
                <w:sz w:val="16"/>
                <w:szCs w:val="16"/>
              </w:rPr>
            </w:pPr>
            <w:r>
              <w:rPr>
                <w:rFonts w:ascii="Times New Roman"/>
                <w:spacing w:val="-1"/>
                <w:sz w:val="16"/>
              </w:rPr>
              <w:t>121,146,429.82</w:t>
            </w:r>
          </w:p>
        </w:tc>
      </w:tr>
      <w:tr>
        <w:trPr>
          <w:trHeight w:val="382" w:hRule="exact"/>
        </w:trPr>
        <w:tc>
          <w:tcPr>
            <w:tcW w:w="647" w:type="dxa"/>
            <w:tcBorders>
              <w:top w:val="nil" w:sz="6" w:space="0" w:color="auto"/>
              <w:left w:val="nil" w:sz="6" w:space="0" w:color="auto"/>
              <w:bottom w:val="nil" w:sz="6" w:space="0" w:color="auto"/>
              <w:right w:val="nil" w:sz="6" w:space="0" w:color="auto"/>
            </w:tcBorders>
          </w:tcPr>
          <w:p>
            <w:pPr/>
          </w:p>
        </w:tc>
        <w:tc>
          <w:tcPr>
            <w:tcW w:w="4797"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07" w:right="0"/>
              <w:jc w:val="left"/>
              <w:rPr>
                <w:rFonts w:ascii="宋体" w:hAnsi="宋体" w:cs="宋体" w:eastAsia="宋体" w:hint="default"/>
                <w:sz w:val="16"/>
                <w:szCs w:val="16"/>
              </w:rPr>
            </w:pPr>
            <w:r>
              <w:rPr>
                <w:rFonts w:ascii="宋体" w:hAnsi="宋体" w:cs="宋体" w:eastAsia="宋体" w:hint="default"/>
                <w:sz w:val="16"/>
                <w:szCs w:val="16"/>
              </w:rPr>
              <w:t>权益法核算的长期股权投资收益</w:t>
            </w:r>
          </w:p>
        </w:tc>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263"/>
              <w:jc w:val="right"/>
              <w:rPr>
                <w:rFonts w:ascii="Times New Roman" w:hAnsi="Times New Roman" w:cs="Times New Roman" w:eastAsia="Times New Roman" w:hint="default"/>
                <w:sz w:val="16"/>
                <w:szCs w:val="16"/>
              </w:rPr>
            </w:pPr>
            <w:r>
              <w:rPr>
                <w:rFonts w:ascii="Times New Roman"/>
                <w:spacing w:val="-1"/>
                <w:sz w:val="16"/>
              </w:rPr>
              <w:t>-2,408,230.35</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105"/>
              <w:jc w:val="right"/>
              <w:rPr>
                <w:rFonts w:ascii="Times New Roman" w:hAnsi="Times New Roman" w:cs="Times New Roman" w:eastAsia="Times New Roman" w:hint="default"/>
                <w:sz w:val="16"/>
                <w:szCs w:val="16"/>
              </w:rPr>
            </w:pPr>
            <w:r>
              <w:rPr>
                <w:rFonts w:ascii="Times New Roman"/>
                <w:spacing w:val="-1"/>
                <w:sz w:val="16"/>
              </w:rPr>
              <w:t>1,434,578.71</w:t>
            </w:r>
          </w:p>
        </w:tc>
      </w:tr>
      <w:tr>
        <w:trPr>
          <w:trHeight w:val="353" w:hRule="exact"/>
        </w:trPr>
        <w:tc>
          <w:tcPr>
            <w:tcW w:w="647" w:type="dxa"/>
            <w:tcBorders>
              <w:top w:val="nil" w:sz="6" w:space="0" w:color="auto"/>
              <w:left w:val="nil" w:sz="6" w:space="0" w:color="auto"/>
              <w:bottom w:val="nil" w:sz="6" w:space="0" w:color="auto"/>
              <w:right w:val="nil" w:sz="6" w:space="0" w:color="auto"/>
            </w:tcBorders>
          </w:tcPr>
          <w:p>
            <w:pPr/>
          </w:p>
        </w:tc>
        <w:tc>
          <w:tcPr>
            <w:tcW w:w="4797"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处置长期股权投资产生的投资收益</w:t>
            </w:r>
          </w:p>
        </w:tc>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62"/>
              <w:jc w:val="right"/>
              <w:rPr>
                <w:rFonts w:ascii="Times New Roman" w:hAnsi="Times New Roman" w:cs="Times New Roman" w:eastAsia="Times New Roman" w:hint="default"/>
                <w:sz w:val="16"/>
                <w:szCs w:val="16"/>
              </w:rPr>
            </w:pPr>
            <w:r>
              <w:rPr>
                <w:rFonts w:ascii="Times New Roman"/>
                <w:spacing w:val="-1"/>
                <w:sz w:val="16"/>
              </w:rPr>
              <w:t>43,902,775.27</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5"/>
              <w:jc w:val="right"/>
              <w:rPr>
                <w:rFonts w:ascii="Times New Roman" w:hAnsi="Times New Roman" w:cs="Times New Roman" w:eastAsia="Times New Roman" w:hint="default"/>
                <w:sz w:val="16"/>
                <w:szCs w:val="16"/>
              </w:rPr>
            </w:pPr>
            <w:r>
              <w:rPr>
                <w:rFonts w:ascii="Times New Roman"/>
                <w:spacing w:val="-1"/>
                <w:sz w:val="16"/>
              </w:rPr>
              <w:t>-18,479,104.09</w:t>
            </w:r>
          </w:p>
        </w:tc>
      </w:tr>
      <w:tr>
        <w:trPr>
          <w:trHeight w:val="554" w:hRule="exact"/>
        </w:trPr>
        <w:tc>
          <w:tcPr>
            <w:tcW w:w="647" w:type="dxa"/>
            <w:tcBorders>
              <w:top w:val="nil" w:sz="6" w:space="0" w:color="auto"/>
              <w:left w:val="nil" w:sz="6" w:space="0" w:color="auto"/>
              <w:bottom w:val="nil" w:sz="6" w:space="0" w:color="auto"/>
              <w:right w:val="nil" w:sz="6" w:space="0" w:color="auto"/>
            </w:tcBorders>
          </w:tcPr>
          <w:p>
            <w:pPr/>
          </w:p>
        </w:tc>
        <w:tc>
          <w:tcPr>
            <w:tcW w:w="4797"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369"/>
              <w:jc w:val="left"/>
              <w:rPr>
                <w:rFonts w:ascii="宋体" w:hAnsi="宋体" w:cs="宋体" w:eastAsia="宋体" w:hint="default"/>
                <w:sz w:val="16"/>
                <w:szCs w:val="16"/>
              </w:rPr>
            </w:pPr>
            <w:r>
              <w:rPr>
                <w:rFonts w:ascii="宋体" w:hAnsi="宋体" w:cs="宋体" w:eastAsia="宋体" w:hint="default"/>
                <w:w w:val="95"/>
                <w:sz w:val="16"/>
                <w:szCs w:val="16"/>
              </w:rPr>
              <w:t>以公允价值计量且其变动计入当期损益的金融资产在持有期间</w:t>
            </w:r>
            <w:r>
              <w:rPr>
                <w:rFonts w:ascii="宋体" w:hAnsi="宋体" w:cs="宋体" w:eastAsia="宋体" w:hint="default"/>
                <w:spacing w:val="60"/>
                <w:w w:val="95"/>
                <w:sz w:val="16"/>
                <w:szCs w:val="16"/>
              </w:rPr>
              <w:t> </w:t>
            </w:r>
            <w:r>
              <w:rPr>
                <w:rFonts w:ascii="宋体" w:hAnsi="宋体" w:cs="宋体" w:eastAsia="宋体" w:hint="default"/>
                <w:spacing w:val="60"/>
                <w:w w:val="95"/>
                <w:sz w:val="16"/>
                <w:szCs w:val="16"/>
              </w:rPr>
            </w:r>
            <w:r>
              <w:rPr>
                <w:rFonts w:ascii="宋体" w:hAnsi="宋体" w:cs="宋体" w:eastAsia="宋体" w:hint="default"/>
                <w:sz w:val="16"/>
                <w:szCs w:val="16"/>
              </w:rPr>
              <w:t>的投资收益</w:t>
            </w:r>
          </w:p>
        </w:tc>
        <w:tc>
          <w:tcPr>
            <w:tcW w:w="1902" w:type="dxa"/>
            <w:tcBorders>
              <w:top w:val="nil" w:sz="6" w:space="0" w:color="auto"/>
              <w:left w:val="nil" w:sz="6" w:space="0" w:color="auto"/>
              <w:bottom w:val="nil" w:sz="6" w:space="0" w:color="auto"/>
              <w:right w:val="nil" w:sz="6" w:space="0" w:color="auto"/>
            </w:tcBorders>
          </w:tcPr>
          <w:p>
            <w:pPr/>
          </w:p>
        </w:tc>
        <w:tc>
          <w:tcPr>
            <w:tcW w:w="1489" w:type="dxa"/>
            <w:tcBorders>
              <w:top w:val="nil" w:sz="6" w:space="0" w:color="auto"/>
              <w:left w:val="nil" w:sz="6" w:space="0" w:color="auto"/>
              <w:bottom w:val="nil" w:sz="6" w:space="0" w:color="auto"/>
              <w:right w:val="nil" w:sz="6" w:space="0" w:color="auto"/>
            </w:tcBorders>
          </w:tcPr>
          <w:p>
            <w:pPr/>
          </w:p>
        </w:tc>
      </w:tr>
      <w:tr>
        <w:trPr>
          <w:trHeight w:val="561" w:hRule="exact"/>
        </w:trPr>
        <w:tc>
          <w:tcPr>
            <w:tcW w:w="647" w:type="dxa"/>
            <w:tcBorders>
              <w:top w:val="nil" w:sz="6" w:space="0" w:color="auto"/>
              <w:left w:val="nil" w:sz="6" w:space="0" w:color="auto"/>
              <w:bottom w:val="nil" w:sz="6" w:space="0" w:color="auto"/>
              <w:right w:val="nil" w:sz="6" w:space="0" w:color="auto"/>
            </w:tcBorders>
          </w:tcPr>
          <w:p>
            <w:pPr/>
          </w:p>
        </w:tc>
        <w:tc>
          <w:tcPr>
            <w:tcW w:w="4797"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7" w:right="369"/>
              <w:jc w:val="left"/>
              <w:rPr>
                <w:rFonts w:ascii="宋体" w:hAnsi="宋体" w:cs="宋体" w:eastAsia="宋体" w:hint="default"/>
                <w:sz w:val="16"/>
                <w:szCs w:val="16"/>
              </w:rPr>
            </w:pPr>
            <w:r>
              <w:rPr>
                <w:rFonts w:ascii="宋体" w:hAnsi="宋体" w:cs="宋体" w:eastAsia="宋体" w:hint="default"/>
                <w:w w:val="95"/>
                <w:sz w:val="16"/>
                <w:szCs w:val="16"/>
              </w:rPr>
              <w:t>处置以公允价值计量且其变动计入当期损益的金融资产取得的</w:t>
            </w:r>
            <w:r>
              <w:rPr>
                <w:rFonts w:ascii="宋体" w:hAnsi="宋体" w:cs="宋体" w:eastAsia="宋体" w:hint="default"/>
                <w:spacing w:val="60"/>
                <w:w w:val="95"/>
                <w:sz w:val="16"/>
                <w:szCs w:val="16"/>
              </w:rPr>
              <w:t> </w:t>
            </w:r>
            <w:r>
              <w:rPr>
                <w:rFonts w:ascii="宋体" w:hAnsi="宋体" w:cs="宋体" w:eastAsia="宋体" w:hint="default"/>
                <w:spacing w:val="60"/>
                <w:w w:val="95"/>
                <w:sz w:val="16"/>
                <w:szCs w:val="16"/>
              </w:rPr>
            </w:r>
            <w:r>
              <w:rPr>
                <w:rFonts w:ascii="宋体" w:hAnsi="宋体" w:cs="宋体" w:eastAsia="宋体" w:hint="default"/>
                <w:sz w:val="16"/>
                <w:szCs w:val="16"/>
              </w:rPr>
              <w:t>投资收益</w:t>
            </w:r>
          </w:p>
        </w:tc>
        <w:tc>
          <w:tcPr>
            <w:tcW w:w="1902" w:type="dxa"/>
            <w:tcBorders>
              <w:top w:val="nil" w:sz="6" w:space="0" w:color="auto"/>
              <w:left w:val="nil" w:sz="6" w:space="0" w:color="auto"/>
              <w:bottom w:val="nil" w:sz="6" w:space="0" w:color="auto"/>
              <w:right w:val="nil" w:sz="6" w:space="0" w:color="auto"/>
            </w:tcBorders>
          </w:tcPr>
          <w:p>
            <w:pPr/>
          </w:p>
        </w:tc>
        <w:tc>
          <w:tcPr>
            <w:tcW w:w="1489" w:type="dxa"/>
            <w:tcBorders>
              <w:top w:val="nil" w:sz="6" w:space="0" w:color="auto"/>
              <w:left w:val="nil" w:sz="6" w:space="0" w:color="auto"/>
              <w:bottom w:val="nil" w:sz="6" w:space="0" w:color="auto"/>
              <w:right w:val="nil" w:sz="6" w:space="0" w:color="auto"/>
            </w:tcBorders>
          </w:tcPr>
          <w:p>
            <w:pPr/>
          </w:p>
        </w:tc>
      </w:tr>
      <w:tr>
        <w:trPr>
          <w:trHeight w:val="360" w:hRule="exact"/>
        </w:trPr>
        <w:tc>
          <w:tcPr>
            <w:tcW w:w="647" w:type="dxa"/>
            <w:tcBorders>
              <w:top w:val="nil" w:sz="6" w:space="0" w:color="auto"/>
              <w:left w:val="nil" w:sz="6" w:space="0" w:color="auto"/>
              <w:bottom w:val="nil" w:sz="6" w:space="0" w:color="auto"/>
              <w:right w:val="nil" w:sz="6" w:space="0" w:color="auto"/>
            </w:tcBorders>
          </w:tcPr>
          <w:p>
            <w:pPr/>
          </w:p>
        </w:tc>
        <w:tc>
          <w:tcPr>
            <w:tcW w:w="4797"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7" w:right="0"/>
              <w:jc w:val="left"/>
              <w:rPr>
                <w:rFonts w:ascii="宋体" w:hAnsi="宋体" w:cs="宋体" w:eastAsia="宋体" w:hint="default"/>
                <w:sz w:val="16"/>
                <w:szCs w:val="16"/>
              </w:rPr>
            </w:pPr>
            <w:r>
              <w:rPr>
                <w:rFonts w:ascii="宋体" w:hAnsi="宋体" w:cs="宋体" w:eastAsia="宋体" w:hint="default"/>
                <w:sz w:val="16"/>
                <w:szCs w:val="16"/>
              </w:rPr>
              <w:t>可供出售金融资产在持有期间的投资收益</w:t>
            </w:r>
          </w:p>
        </w:tc>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262"/>
              <w:jc w:val="right"/>
              <w:rPr>
                <w:rFonts w:ascii="Times New Roman" w:hAnsi="Times New Roman" w:cs="Times New Roman" w:eastAsia="Times New Roman" w:hint="default"/>
                <w:sz w:val="16"/>
                <w:szCs w:val="16"/>
              </w:rPr>
            </w:pPr>
            <w:r>
              <w:rPr>
                <w:rFonts w:ascii="Times New Roman"/>
                <w:spacing w:val="-1"/>
                <w:sz w:val="16"/>
              </w:rPr>
              <w:t>18,331,917.40</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05"/>
              <w:jc w:val="right"/>
              <w:rPr>
                <w:rFonts w:ascii="Times New Roman" w:hAnsi="Times New Roman" w:cs="Times New Roman" w:eastAsia="Times New Roman" w:hint="default"/>
                <w:sz w:val="16"/>
                <w:szCs w:val="16"/>
              </w:rPr>
            </w:pPr>
            <w:r>
              <w:rPr>
                <w:rFonts w:ascii="Times New Roman"/>
                <w:spacing w:val="-1"/>
                <w:sz w:val="16"/>
              </w:rPr>
              <w:t>21,450,000.00</w:t>
            </w:r>
          </w:p>
        </w:tc>
      </w:tr>
      <w:tr>
        <w:trPr>
          <w:trHeight w:val="353" w:hRule="exact"/>
        </w:trPr>
        <w:tc>
          <w:tcPr>
            <w:tcW w:w="647" w:type="dxa"/>
            <w:tcBorders>
              <w:top w:val="nil" w:sz="6" w:space="0" w:color="auto"/>
              <w:left w:val="nil" w:sz="6" w:space="0" w:color="auto"/>
              <w:bottom w:val="nil" w:sz="6" w:space="0" w:color="auto"/>
              <w:right w:val="nil" w:sz="6" w:space="0" w:color="auto"/>
            </w:tcBorders>
          </w:tcPr>
          <w:p>
            <w:pPr/>
          </w:p>
        </w:tc>
        <w:tc>
          <w:tcPr>
            <w:tcW w:w="4797"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处置可供出售金融资产取得的投资收益</w:t>
            </w:r>
          </w:p>
        </w:tc>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63"/>
              <w:jc w:val="right"/>
              <w:rPr>
                <w:rFonts w:ascii="Times New Roman" w:hAnsi="Times New Roman" w:cs="Times New Roman" w:eastAsia="Times New Roman" w:hint="default"/>
                <w:sz w:val="16"/>
                <w:szCs w:val="16"/>
              </w:rPr>
            </w:pPr>
            <w:r>
              <w:rPr>
                <w:rFonts w:ascii="Times New Roman"/>
                <w:spacing w:val="-1"/>
                <w:sz w:val="16"/>
              </w:rPr>
              <w:t>751,580,825.29</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6"/>
              <w:jc w:val="right"/>
              <w:rPr>
                <w:rFonts w:ascii="Times New Roman" w:hAnsi="Times New Roman" w:cs="Times New Roman" w:eastAsia="Times New Roman" w:hint="default"/>
                <w:sz w:val="16"/>
                <w:szCs w:val="16"/>
              </w:rPr>
            </w:pPr>
            <w:r>
              <w:rPr>
                <w:rFonts w:ascii="Times New Roman"/>
                <w:spacing w:val="-1"/>
                <w:sz w:val="16"/>
              </w:rPr>
              <w:t>249,529,320.64</w:t>
            </w:r>
          </w:p>
        </w:tc>
      </w:tr>
      <w:tr>
        <w:trPr>
          <w:trHeight w:val="347" w:hRule="exact"/>
        </w:trPr>
        <w:tc>
          <w:tcPr>
            <w:tcW w:w="647" w:type="dxa"/>
            <w:tcBorders>
              <w:top w:val="nil" w:sz="6" w:space="0" w:color="auto"/>
              <w:left w:val="nil" w:sz="6" w:space="0" w:color="auto"/>
              <w:bottom w:val="nil" w:sz="6" w:space="0" w:color="auto"/>
              <w:right w:val="nil" w:sz="6" w:space="0" w:color="auto"/>
            </w:tcBorders>
          </w:tcPr>
          <w:p>
            <w:pPr/>
          </w:p>
        </w:tc>
        <w:tc>
          <w:tcPr>
            <w:tcW w:w="4797"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7" w:right="0"/>
              <w:jc w:val="left"/>
              <w:rPr>
                <w:rFonts w:ascii="宋体" w:hAnsi="宋体" w:cs="宋体" w:eastAsia="宋体" w:hint="default"/>
                <w:sz w:val="16"/>
                <w:szCs w:val="16"/>
              </w:rPr>
            </w:pPr>
            <w:r>
              <w:rPr>
                <w:rFonts w:ascii="宋体" w:hAnsi="宋体" w:cs="宋体" w:eastAsia="宋体" w:hint="default"/>
                <w:sz w:val="16"/>
                <w:szCs w:val="16"/>
              </w:rPr>
              <w:t>持有至到期投资在持有期间的投资收益</w:t>
            </w:r>
          </w:p>
        </w:tc>
        <w:tc>
          <w:tcPr>
            <w:tcW w:w="1902" w:type="dxa"/>
            <w:tcBorders>
              <w:top w:val="nil" w:sz="6" w:space="0" w:color="auto"/>
              <w:left w:val="nil" w:sz="6" w:space="0" w:color="auto"/>
              <w:bottom w:val="nil" w:sz="6" w:space="0" w:color="auto"/>
              <w:right w:val="nil" w:sz="6" w:space="0" w:color="auto"/>
            </w:tcBorders>
          </w:tcPr>
          <w:p>
            <w:pPr/>
          </w:p>
        </w:tc>
        <w:tc>
          <w:tcPr>
            <w:tcW w:w="1489" w:type="dxa"/>
            <w:tcBorders>
              <w:top w:val="nil" w:sz="6" w:space="0" w:color="auto"/>
              <w:left w:val="nil" w:sz="6" w:space="0" w:color="auto"/>
              <w:bottom w:val="nil" w:sz="6" w:space="0" w:color="auto"/>
              <w:right w:val="nil" w:sz="6" w:space="0" w:color="auto"/>
            </w:tcBorders>
          </w:tcPr>
          <w:p>
            <w:pPr/>
          </w:p>
        </w:tc>
      </w:tr>
      <w:tr>
        <w:trPr>
          <w:trHeight w:val="353" w:hRule="exact"/>
        </w:trPr>
        <w:tc>
          <w:tcPr>
            <w:tcW w:w="647" w:type="dxa"/>
            <w:tcBorders>
              <w:top w:val="nil" w:sz="6" w:space="0" w:color="auto"/>
              <w:left w:val="nil" w:sz="6" w:space="0" w:color="auto"/>
              <w:bottom w:val="nil" w:sz="6" w:space="0" w:color="auto"/>
              <w:right w:val="nil" w:sz="6" w:space="0" w:color="auto"/>
            </w:tcBorders>
          </w:tcPr>
          <w:p>
            <w:pPr/>
          </w:p>
        </w:tc>
        <w:tc>
          <w:tcPr>
            <w:tcW w:w="4797"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7" w:right="0"/>
              <w:jc w:val="left"/>
              <w:rPr>
                <w:rFonts w:ascii="宋体" w:hAnsi="宋体" w:cs="宋体" w:eastAsia="宋体" w:hint="default"/>
                <w:sz w:val="16"/>
                <w:szCs w:val="16"/>
              </w:rPr>
            </w:pPr>
            <w:r>
              <w:rPr>
                <w:rFonts w:ascii="宋体" w:hAnsi="宋体" w:cs="宋体" w:eastAsia="宋体" w:hint="default"/>
                <w:sz w:val="16"/>
                <w:szCs w:val="16"/>
              </w:rPr>
              <w:t>丧失控制权后，剩余股权按公允价值重新计量产生的利得</w:t>
            </w:r>
          </w:p>
        </w:tc>
        <w:tc>
          <w:tcPr>
            <w:tcW w:w="1902" w:type="dxa"/>
            <w:tcBorders>
              <w:top w:val="nil" w:sz="6" w:space="0" w:color="auto"/>
              <w:left w:val="nil" w:sz="6" w:space="0" w:color="auto"/>
              <w:bottom w:val="nil" w:sz="6" w:space="0" w:color="auto"/>
              <w:right w:val="nil" w:sz="6" w:space="0" w:color="auto"/>
            </w:tcBorders>
          </w:tcPr>
          <w:p>
            <w:pPr/>
          </w:p>
        </w:tc>
        <w:tc>
          <w:tcPr>
            <w:tcW w:w="1489" w:type="dxa"/>
            <w:tcBorders>
              <w:top w:val="nil" w:sz="6" w:space="0" w:color="auto"/>
              <w:left w:val="nil" w:sz="6" w:space="0" w:color="auto"/>
              <w:bottom w:val="nil" w:sz="6" w:space="0" w:color="auto"/>
              <w:right w:val="nil" w:sz="6" w:space="0" w:color="auto"/>
            </w:tcBorders>
          </w:tcPr>
          <w:p>
            <w:pPr/>
          </w:p>
        </w:tc>
      </w:tr>
      <w:tr>
        <w:trPr>
          <w:trHeight w:val="380" w:hRule="exact"/>
        </w:trPr>
        <w:tc>
          <w:tcPr>
            <w:tcW w:w="647" w:type="dxa"/>
            <w:tcBorders>
              <w:top w:val="nil" w:sz="6" w:space="0" w:color="auto"/>
              <w:left w:val="nil" w:sz="6" w:space="0" w:color="auto"/>
              <w:bottom w:val="nil" w:sz="6" w:space="0" w:color="auto"/>
              <w:right w:val="nil" w:sz="6" w:space="0" w:color="auto"/>
            </w:tcBorders>
          </w:tcPr>
          <w:p>
            <w:pPr/>
          </w:p>
        </w:tc>
        <w:tc>
          <w:tcPr>
            <w:tcW w:w="4797"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07" w:right="0"/>
              <w:jc w:val="left"/>
              <w:rPr>
                <w:rFonts w:ascii="宋体" w:hAnsi="宋体" w:cs="宋体" w:eastAsia="宋体" w:hint="default"/>
                <w:sz w:val="16"/>
                <w:szCs w:val="16"/>
              </w:rPr>
            </w:pPr>
            <w:r>
              <w:rPr>
                <w:rFonts w:ascii="宋体" w:hAnsi="宋体" w:cs="宋体" w:eastAsia="宋体" w:hint="default"/>
                <w:sz w:val="16"/>
                <w:szCs w:val="16"/>
              </w:rPr>
              <w:t>处置构成业务的处置组产生的投资收益</w:t>
            </w:r>
          </w:p>
        </w:tc>
        <w:tc>
          <w:tcPr>
            <w:tcW w:w="1902" w:type="dxa"/>
            <w:tcBorders>
              <w:top w:val="nil" w:sz="6" w:space="0" w:color="auto"/>
              <w:left w:val="nil" w:sz="6" w:space="0" w:color="auto"/>
              <w:bottom w:val="nil" w:sz="6" w:space="0" w:color="auto"/>
              <w:right w:val="nil" w:sz="6" w:space="0" w:color="auto"/>
            </w:tcBorders>
          </w:tcPr>
          <w:p>
            <w:pPr/>
          </w:p>
        </w:tc>
        <w:tc>
          <w:tcPr>
            <w:tcW w:w="1489" w:type="dxa"/>
            <w:tcBorders>
              <w:top w:val="nil" w:sz="6" w:space="0" w:color="auto"/>
              <w:left w:val="nil" w:sz="6" w:space="0" w:color="auto"/>
              <w:bottom w:val="nil" w:sz="6" w:space="0" w:color="auto"/>
              <w:right w:val="nil" w:sz="6" w:space="0" w:color="auto"/>
            </w:tcBorders>
          </w:tcPr>
          <w:p>
            <w:pPr/>
          </w:p>
        </w:tc>
      </w:tr>
      <w:tr>
        <w:trPr>
          <w:trHeight w:val="410" w:hRule="exact"/>
        </w:trPr>
        <w:tc>
          <w:tcPr>
            <w:tcW w:w="647" w:type="dxa"/>
            <w:tcBorders>
              <w:top w:val="nil" w:sz="6" w:space="0" w:color="auto"/>
              <w:left w:val="nil" w:sz="6" w:space="0" w:color="auto"/>
              <w:bottom w:val="nil" w:sz="6" w:space="0" w:color="auto"/>
              <w:right w:val="nil" w:sz="6" w:space="0" w:color="auto"/>
            </w:tcBorders>
          </w:tcPr>
          <w:p>
            <w:pPr/>
          </w:p>
        </w:tc>
        <w:tc>
          <w:tcPr>
            <w:tcW w:w="4797" w:type="dxa"/>
            <w:tcBorders>
              <w:top w:val="nil" w:sz="6" w:space="0" w:color="auto"/>
              <w:left w:val="nil" w:sz="6" w:space="0" w:color="auto"/>
              <w:bottom w:val="nil" w:sz="6" w:space="0" w:color="auto"/>
              <w:right w:val="nil" w:sz="6" w:space="0" w:color="auto"/>
            </w:tcBorders>
          </w:tcPr>
          <w:p>
            <w:pPr>
              <w:pStyle w:val="TableParagraph"/>
              <w:spacing w:line="240" w:lineRule="auto" w:before="73"/>
              <w:ind w:left="107"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262"/>
              <w:jc w:val="right"/>
              <w:rPr>
                <w:rFonts w:ascii="Times New Roman" w:hAnsi="Times New Roman" w:cs="Times New Roman" w:eastAsia="Times New Roman" w:hint="default"/>
                <w:sz w:val="16"/>
                <w:szCs w:val="16"/>
              </w:rPr>
            </w:pPr>
            <w:r>
              <w:rPr>
                <w:rFonts w:ascii="Times New Roman"/>
                <w:spacing w:val="-1"/>
                <w:sz w:val="16"/>
              </w:rPr>
              <w:t>162,739.73</w:t>
            </w:r>
          </w:p>
        </w:tc>
        <w:tc>
          <w:tcPr>
            <w:tcW w:w="1489"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105"/>
              <w:jc w:val="right"/>
              <w:rPr>
                <w:rFonts w:ascii="Times New Roman" w:hAnsi="Times New Roman" w:cs="Times New Roman" w:eastAsia="Times New Roman" w:hint="default"/>
                <w:sz w:val="16"/>
                <w:szCs w:val="16"/>
              </w:rPr>
            </w:pPr>
            <w:r>
              <w:rPr>
                <w:rFonts w:ascii="Times New Roman"/>
                <w:spacing w:val="-1"/>
                <w:sz w:val="16"/>
              </w:rPr>
              <w:t>1,417,431.51</w:t>
            </w:r>
          </w:p>
        </w:tc>
      </w:tr>
      <w:tr>
        <w:trPr>
          <w:trHeight w:val="386" w:hRule="exact"/>
        </w:trPr>
        <w:tc>
          <w:tcPr>
            <w:tcW w:w="647" w:type="dxa"/>
            <w:tcBorders>
              <w:top w:val="nil" w:sz="6" w:space="0" w:color="auto"/>
              <w:left w:val="nil" w:sz="6" w:space="0" w:color="auto"/>
              <w:bottom w:val="nil" w:sz="6" w:space="0" w:color="auto"/>
              <w:right w:val="nil" w:sz="6" w:space="0" w:color="auto"/>
            </w:tcBorders>
          </w:tcPr>
          <w:p>
            <w:pPr/>
          </w:p>
        </w:tc>
        <w:tc>
          <w:tcPr>
            <w:tcW w:w="4797" w:type="dxa"/>
            <w:tcBorders>
              <w:top w:val="nil" w:sz="6" w:space="0" w:color="auto"/>
              <w:left w:val="nil" w:sz="6" w:space="0" w:color="auto"/>
              <w:bottom w:val="single" w:sz="12" w:space="0" w:color="000000"/>
              <w:right w:val="nil" w:sz="6" w:space="0" w:color="auto"/>
            </w:tcBorders>
          </w:tcPr>
          <w:p>
            <w:pPr>
              <w:pStyle w:val="TableParagraph"/>
              <w:spacing w:line="240" w:lineRule="auto" w:before="69"/>
              <w:ind w:right="200"/>
              <w:jc w:val="center"/>
              <w:rPr>
                <w:rFonts w:ascii="宋体" w:hAnsi="宋体" w:cs="宋体" w:eastAsia="宋体" w:hint="default"/>
                <w:sz w:val="16"/>
                <w:szCs w:val="16"/>
              </w:rPr>
            </w:pPr>
            <w:r>
              <w:rPr>
                <w:rFonts w:ascii="宋体" w:hAnsi="宋体" w:cs="宋体" w:eastAsia="宋体" w:hint="default"/>
                <w:sz w:val="16"/>
                <w:szCs w:val="16"/>
              </w:rPr>
              <w:t>合计</w:t>
            </w:r>
          </w:p>
        </w:tc>
        <w:tc>
          <w:tcPr>
            <w:tcW w:w="1902" w:type="dxa"/>
            <w:tcBorders>
              <w:top w:val="nil" w:sz="6" w:space="0" w:color="auto"/>
              <w:left w:val="nil" w:sz="6" w:space="0" w:color="auto"/>
              <w:bottom w:val="single" w:sz="12" w:space="0" w:color="000000"/>
              <w:right w:val="nil" w:sz="6" w:space="0" w:color="auto"/>
            </w:tcBorders>
          </w:tcPr>
          <w:p>
            <w:pPr>
              <w:pStyle w:val="TableParagraph"/>
              <w:spacing w:line="240" w:lineRule="auto" w:before="111"/>
              <w:ind w:right="263"/>
              <w:jc w:val="right"/>
              <w:rPr>
                <w:rFonts w:ascii="Times New Roman" w:hAnsi="Times New Roman" w:cs="Times New Roman" w:eastAsia="Times New Roman" w:hint="default"/>
                <w:sz w:val="16"/>
                <w:szCs w:val="16"/>
              </w:rPr>
            </w:pPr>
            <w:r>
              <w:rPr>
                <w:rFonts w:ascii="Times New Roman"/>
                <w:spacing w:val="-1"/>
                <w:sz w:val="16"/>
              </w:rPr>
              <w:t>916,579,318.91</w:t>
            </w:r>
          </w:p>
        </w:tc>
        <w:tc>
          <w:tcPr>
            <w:tcW w:w="1489" w:type="dxa"/>
            <w:tcBorders>
              <w:top w:val="nil" w:sz="6" w:space="0" w:color="auto"/>
              <w:left w:val="nil" w:sz="6" w:space="0" w:color="auto"/>
              <w:bottom w:val="single" w:sz="12" w:space="0" w:color="000000"/>
              <w:right w:val="nil" w:sz="6" w:space="0" w:color="auto"/>
            </w:tcBorders>
          </w:tcPr>
          <w:p>
            <w:pPr>
              <w:pStyle w:val="TableParagraph"/>
              <w:spacing w:line="240" w:lineRule="auto" w:before="111"/>
              <w:ind w:right="106"/>
              <w:jc w:val="right"/>
              <w:rPr>
                <w:rFonts w:ascii="Times New Roman" w:hAnsi="Times New Roman" w:cs="Times New Roman" w:eastAsia="Times New Roman" w:hint="default"/>
                <w:sz w:val="16"/>
                <w:szCs w:val="16"/>
              </w:rPr>
            </w:pPr>
            <w:r>
              <w:rPr>
                <w:rFonts w:ascii="Times New Roman"/>
                <w:spacing w:val="-1"/>
                <w:sz w:val="16"/>
              </w:rPr>
              <w:t>376,498,656.59</w:t>
            </w:r>
          </w:p>
        </w:tc>
      </w:tr>
    </w:tbl>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pStyle w:val="Heading5"/>
        <w:spacing w:line="240" w:lineRule="auto"/>
        <w:ind w:right="3681"/>
        <w:jc w:val="left"/>
        <w:rPr>
          <w:b w:val="0"/>
          <w:bCs w:val="0"/>
        </w:rPr>
      </w:pPr>
      <w:r>
        <w:rPr/>
        <w:pict>
          <v:group style="position:absolute;margin-left:119.520004pt;margin-top:-284.90625pt;width:411.4pt;height:260.5pt;mso-position-horizontal-relative:page;mso-position-vertical-relative:paragraph;z-index:-1356424" coordorigin="2390,-5698" coordsize="8228,5210">
            <v:shape style="position:absolute;left:7003;top:-5698;width:10;height:28" type="#_x0000_t75" stroked="false">
              <v:imagedata r:id="rId90" o:title=""/>
            </v:shape>
            <v:shape style="position:absolute;left:8947;top:-5698;width:10;height:28" type="#_x0000_t75" stroked="false">
              <v:imagedata r:id="rId90" o:title=""/>
            </v:shape>
            <v:shape style="position:absolute;left:6984;top:-5690;width:1992;height:354" type="#_x0000_t75" stroked="false">
              <v:imagedata r:id="rId543" o:title=""/>
            </v:shape>
            <v:shape style="position:absolute;left:2390;top:-5372;width:8227;height:4883" type="#_x0000_t75" stroked="false">
              <v:imagedata r:id="rId544" o:title=""/>
            </v:shape>
            <w10:wrap type="none"/>
          </v:group>
        </w:pict>
      </w:r>
      <w:r>
        <w:rPr/>
        <w:t>十七、</w:t>
      </w:r>
      <w:r>
        <w:rPr>
          <w:spacing w:val="-25"/>
        </w:rPr>
        <w:t> </w:t>
      </w:r>
      <w:r>
        <w:rPr/>
        <w:t>补充资料</w:t>
      </w:r>
      <w:r>
        <w:rPr>
          <w:b w:val="0"/>
          <w:bCs w:val="0"/>
        </w:rPr>
      </w:r>
    </w:p>
    <w:p>
      <w:pPr>
        <w:pStyle w:val="Heading5"/>
        <w:tabs>
          <w:tab w:pos="851" w:val="left" w:leader="none"/>
        </w:tabs>
        <w:spacing w:line="240" w:lineRule="auto" w:before="125"/>
        <w:ind w:right="3681"/>
        <w:jc w:val="left"/>
        <w:rPr>
          <w:b w:val="0"/>
          <w:bCs w:val="0"/>
        </w:rPr>
      </w:pPr>
      <w:r>
        <w:rPr>
          <w:rFonts w:ascii="Times New Roman" w:hAnsi="Times New Roman" w:cs="Times New Roman" w:eastAsia="Times New Roman" w:hint="default"/>
          <w:w w:val="95"/>
        </w:rPr>
        <w:t>(</w:t>
      </w:r>
      <w:r>
        <w:rPr>
          <w:w w:val="95"/>
        </w:rPr>
        <w:t>一</w:t>
      </w:r>
      <w:r>
        <w:rPr>
          <w:rFonts w:ascii="Times New Roman" w:hAnsi="Times New Roman" w:cs="Times New Roman" w:eastAsia="Times New Roman" w:hint="default"/>
          <w:w w:val="95"/>
        </w:rPr>
        <w:t>)</w:t>
        <w:tab/>
      </w:r>
      <w:r>
        <w:rPr/>
        <w:t>当期非经常性损益明细表</w:t>
      </w:r>
      <w:r>
        <w:rPr>
          <w:b w:val="0"/>
          <w:bCs w:val="0"/>
        </w:rPr>
      </w:r>
    </w:p>
    <w:p>
      <w:pPr>
        <w:spacing w:line="4062" w:lineRule="exact"/>
        <w:ind w:left="720" w:right="0" w:firstLine="0"/>
        <w:rPr>
          <w:rFonts w:ascii="宋体" w:hAnsi="宋体" w:cs="宋体" w:eastAsia="宋体" w:hint="default"/>
          <w:sz w:val="20"/>
          <w:szCs w:val="20"/>
        </w:rPr>
      </w:pPr>
      <w:r>
        <w:rPr>
          <w:rFonts w:ascii="宋体" w:hAnsi="宋体" w:cs="宋体" w:eastAsia="宋体" w:hint="default"/>
          <w:position w:val="-80"/>
          <w:sz w:val="20"/>
          <w:szCs w:val="20"/>
        </w:rPr>
        <w:pict>
          <v:group style="width:411.9pt;height:203.1pt;mso-position-horizontal-relative:char;mso-position-vertical-relative:line" coordorigin="0,0" coordsize="8238,4062">
            <v:group style="position:absolute;left:29;top:15;width:4325;height:2" coordorigin="29,15" coordsize="4325,2">
              <v:shape style="position:absolute;left:29;top:15;width:4325;height:2" coordorigin="29,15" coordsize="4325,0" path="m29,15l4354,15e" filled="false" stroked="true" strokeweight="1.5pt" strokecolor="#000000">
                <v:path arrowok="t"/>
              </v:shape>
              <v:shape style="position:absolute;left:4354;top:30;width:10;height:28" type="#_x0000_t75" stroked="false">
                <v:imagedata r:id="rId35" o:title=""/>
              </v:shape>
            </v:group>
            <v:group style="position:absolute;left:4354;top:15;width:2136;height:2" coordorigin="4354,15" coordsize="2136,2">
              <v:shape style="position:absolute;left:4354;top:15;width:2136;height:2" coordorigin="4354,15" coordsize="2136,0" path="m4354,15l6490,15e" filled="false" stroked="true" strokeweight="1.5pt" strokecolor="#000000">
                <v:path arrowok="t"/>
              </v:shape>
              <v:shape style="position:absolute;left:6490;top:30;width:10;height:28" type="#_x0000_t75" stroked="false">
                <v:imagedata r:id="rId35" o:title=""/>
              </v:shape>
            </v:group>
            <v:group style="position:absolute;left:6490;top:15;width:1727;height:2" coordorigin="6490,15" coordsize="1727,2">
              <v:shape style="position:absolute;left:6490;top:15;width:1727;height:2" coordorigin="6490,15" coordsize="1727,0" path="m6490,15l8217,15e" filled="false" stroked="true" strokeweight="1.5pt" strokecolor="#000000">
                <v:path arrowok="t"/>
              </v:shape>
              <v:shape style="position:absolute;left:4335;top:38;width:2184;height:354" type="#_x0000_t75" stroked="false">
                <v:imagedata r:id="rId545" o:title=""/>
              </v:shape>
            </v:group>
            <v:group style="position:absolute;left:15;top:4047;width:4340;height:2" coordorigin="15,4047" coordsize="4340,2">
              <v:shape style="position:absolute;left:15;top:4047;width:4340;height:2" coordorigin="15,4047" coordsize="4340,0" path="m15,4047l4354,4047e" filled="false" stroked="true" strokeweight="1.5pt" strokecolor="#000000">
                <v:path arrowok="t"/>
              </v:shape>
              <v:shape style="position:absolute;left:10;top:354;width:8227;height:3697" type="#_x0000_t75" stroked="false">
                <v:imagedata r:id="rId546" o:title=""/>
              </v:shape>
            </v:group>
            <v:group style="position:absolute;left:4354;top:4047;width:2136;height:2" coordorigin="4354,4047" coordsize="2136,2">
              <v:shape style="position:absolute;left:4354;top:4047;width:2136;height:2" coordorigin="4354,4047" coordsize="2136,0" path="m4354,4047l6490,4047e" filled="false" stroked="true" strokeweight="1.5pt" strokecolor="#000000">
                <v:path arrowok="t"/>
              </v:shape>
              <v:shape style="position:absolute;left:6471;top:3490;width:48;height:562" type="#_x0000_t75" stroked="false">
                <v:imagedata r:id="rId547" o:title=""/>
              </v:shape>
            </v:group>
            <v:group style="position:absolute;left:6490;top:4047;width:1727;height:2" coordorigin="6490,4047" coordsize="1727,2">
              <v:shape style="position:absolute;left:6490;top:4047;width:1727;height:2" coordorigin="6490,4047" coordsize="1727,0" path="m6490,4047l8217,4047e" filled="false" stroked="true" strokeweight="1.5pt" strokecolor="#000000">
                <v:path arrowok="t"/>
              </v:shape>
              <v:shape style="position:absolute;left:2033;top:122;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项目</w:t>
                      </w:r>
                      <w:r>
                        <w:rPr>
                          <w:rFonts w:ascii="宋体" w:hAnsi="宋体" w:cs="宋体" w:eastAsia="宋体" w:hint="default"/>
                          <w:sz w:val="16"/>
                          <w:szCs w:val="16"/>
                        </w:rPr>
                      </w:r>
                    </w:p>
                  </w:txbxContent>
                </v:textbox>
                <w10:wrap type="none"/>
              </v:shape>
              <v:shape style="position:absolute;left:5266;top:122;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金额</w:t>
                      </w:r>
                      <w:r>
                        <w:rPr>
                          <w:rFonts w:ascii="宋体" w:hAnsi="宋体" w:cs="宋体" w:eastAsia="宋体" w:hint="default"/>
                          <w:sz w:val="16"/>
                          <w:szCs w:val="16"/>
                        </w:rPr>
                      </w:r>
                    </w:p>
                  </w:txbxContent>
                </v:textbox>
                <w10:wrap type="none"/>
              </v:shape>
              <v:shape style="position:absolute;left:7195;top:122;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说明</w:t>
                      </w:r>
                      <w:r>
                        <w:rPr>
                          <w:rFonts w:ascii="宋体" w:hAnsi="宋体" w:cs="宋体" w:eastAsia="宋体" w:hint="default"/>
                          <w:sz w:val="16"/>
                          <w:szCs w:val="16"/>
                        </w:rPr>
                      </w:r>
                    </w:p>
                  </w:txbxContent>
                </v:textbox>
                <w10:wrap type="none"/>
              </v:shape>
              <v:shape style="position:absolute;left:137;top:475;width:14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非流动资产处置损益</w:t>
                      </w:r>
                      <w:r>
                        <w:rPr>
                          <w:rFonts w:ascii="宋体" w:hAnsi="宋体" w:cs="宋体" w:eastAsia="宋体" w:hint="default"/>
                          <w:sz w:val="16"/>
                          <w:szCs w:val="16"/>
                        </w:rPr>
                      </w:r>
                    </w:p>
                  </w:txbxContent>
                </v:textbox>
                <w10:wrap type="none"/>
              </v:shape>
              <v:shape style="position:absolute;left:5467;top:488;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34,834,489.33</w:t>
                      </w:r>
                      <w:r>
                        <w:rPr>
                          <w:rFonts w:ascii="Times New Roman"/>
                          <w:sz w:val="16"/>
                        </w:rPr>
                      </w:r>
                    </w:p>
                  </w:txbxContent>
                </v:textbox>
                <w10:wrap type="none"/>
              </v:shape>
              <v:shape style="position:absolute;left:137;top:829;width:4112;height:722"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越权审批或无正式批准文件的税收返还、减免</w:t>
                      </w:r>
                    </w:p>
                    <w:p>
                      <w:pPr>
                        <w:spacing w:before="143"/>
                        <w:ind w:left="0" w:right="0" w:firstLine="0"/>
                        <w:jc w:val="left"/>
                        <w:rPr>
                          <w:rFonts w:ascii="宋体" w:hAnsi="宋体" w:cs="宋体" w:eastAsia="宋体" w:hint="default"/>
                          <w:sz w:val="16"/>
                          <w:szCs w:val="16"/>
                        </w:rPr>
                      </w:pPr>
                      <w:r>
                        <w:rPr>
                          <w:rFonts w:ascii="宋体" w:hAnsi="宋体" w:cs="宋体" w:eastAsia="宋体" w:hint="default"/>
                          <w:spacing w:val="-2"/>
                          <w:sz w:val="16"/>
                          <w:szCs w:val="16"/>
                        </w:rPr>
                        <w:t>计入当期损益的政府补助（与企业业务密切相关，按照国家</w:t>
                      </w:r>
                      <w:r>
                        <w:rPr>
                          <w:rFonts w:ascii="宋体" w:hAnsi="宋体" w:cs="宋体" w:eastAsia="宋体" w:hint="default"/>
                          <w:w w:val="99"/>
                          <w:sz w:val="16"/>
                          <w:szCs w:val="16"/>
                        </w:rPr>
                        <w:t> </w:t>
                      </w:r>
                      <w:r>
                        <w:rPr>
                          <w:rFonts w:ascii="宋体" w:hAnsi="宋体" w:cs="宋体" w:eastAsia="宋体" w:hint="default"/>
                          <w:sz w:val="16"/>
                          <w:szCs w:val="16"/>
                        </w:rPr>
                        <w:t>统一标准定额或定量享受的政府补助除外）</w:t>
                      </w:r>
                    </w:p>
                  </w:txbxContent>
                </v:textbox>
                <w10:wrap type="none"/>
              </v:shape>
              <v:shape style="position:absolute;left:5467;top:1300;width:92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88,504,979.64</w:t>
                      </w:r>
                      <w:r>
                        <w:rPr>
                          <w:rFonts w:ascii="Times New Roman"/>
                          <w:sz w:val="16"/>
                        </w:rPr>
                      </w:r>
                    </w:p>
                  </w:txbxContent>
                </v:textbox>
                <w10:wrap type="none"/>
              </v:shape>
              <v:shape style="position:absolute;left:137;top:1743;width:4113;height:2196"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计入当期损益的对非金融企业收取的资金占用费</w:t>
                      </w:r>
                    </w:p>
                    <w:p>
                      <w:pPr>
                        <w:spacing w:before="143"/>
                        <w:ind w:left="0" w:right="0" w:firstLine="0"/>
                        <w:jc w:val="left"/>
                        <w:rPr>
                          <w:rFonts w:ascii="宋体" w:hAnsi="宋体" w:cs="宋体" w:eastAsia="宋体" w:hint="default"/>
                          <w:sz w:val="16"/>
                          <w:szCs w:val="16"/>
                        </w:rPr>
                      </w:pPr>
                      <w:r>
                        <w:rPr>
                          <w:rFonts w:ascii="宋体" w:hAnsi="宋体" w:cs="宋体" w:eastAsia="宋体" w:hint="default"/>
                          <w:spacing w:val="-2"/>
                          <w:sz w:val="16"/>
                          <w:szCs w:val="16"/>
                        </w:rPr>
                        <w:t>企业取得子公司、联营企业及合营企业的投资成本小于取得</w:t>
                      </w:r>
                      <w:r>
                        <w:rPr>
                          <w:rFonts w:ascii="宋体" w:hAnsi="宋体" w:cs="宋体" w:eastAsia="宋体" w:hint="default"/>
                          <w:spacing w:val="-78"/>
                          <w:sz w:val="16"/>
                          <w:szCs w:val="16"/>
                        </w:rPr>
                        <w:t> </w:t>
                      </w:r>
                      <w:r>
                        <w:rPr>
                          <w:rFonts w:ascii="宋体" w:hAnsi="宋体" w:cs="宋体" w:eastAsia="宋体" w:hint="default"/>
                          <w:spacing w:val="-78"/>
                          <w:sz w:val="16"/>
                          <w:szCs w:val="16"/>
                        </w:rPr>
                      </w:r>
                      <w:r>
                        <w:rPr>
                          <w:rFonts w:ascii="宋体" w:hAnsi="宋体" w:cs="宋体" w:eastAsia="宋体" w:hint="default"/>
                          <w:sz w:val="16"/>
                          <w:szCs w:val="16"/>
                        </w:rPr>
                        <w:t>投资时应享有被投资单位可辨认净资产公允价值产生的收</w:t>
                      </w:r>
                      <w:r>
                        <w:rPr>
                          <w:rFonts w:ascii="宋体" w:hAnsi="宋体" w:cs="宋体" w:eastAsia="宋体" w:hint="default"/>
                          <w:w w:val="99"/>
                          <w:sz w:val="16"/>
                          <w:szCs w:val="16"/>
                        </w:rPr>
                        <w:t> </w:t>
                      </w:r>
                      <w:r>
                        <w:rPr>
                          <w:rFonts w:ascii="宋体" w:hAnsi="宋体" w:cs="宋体" w:eastAsia="宋体" w:hint="default"/>
                          <w:sz w:val="16"/>
                          <w:szCs w:val="16"/>
                        </w:rPr>
                        <w:t>益</w:t>
                      </w:r>
                    </w:p>
                    <w:p>
                      <w:pPr>
                        <w:spacing w:line="240" w:lineRule="auto" w:before="1"/>
                        <w:rPr>
                          <w:rFonts w:ascii="宋体" w:hAnsi="宋体" w:cs="宋体" w:eastAsia="宋体" w:hint="default"/>
                          <w:b/>
                          <w:bCs/>
                          <w:sz w:val="11"/>
                          <w:szCs w:val="11"/>
                        </w:rPr>
                      </w:pPr>
                    </w:p>
                    <w:p>
                      <w:pPr>
                        <w:spacing w:line="405" w:lineRule="auto" w:before="0"/>
                        <w:ind w:left="0" w:right="1872" w:firstLine="0"/>
                        <w:jc w:val="left"/>
                        <w:rPr>
                          <w:rFonts w:ascii="宋体" w:hAnsi="宋体" w:cs="宋体" w:eastAsia="宋体" w:hint="default"/>
                          <w:sz w:val="16"/>
                          <w:szCs w:val="16"/>
                        </w:rPr>
                      </w:pPr>
                      <w:r>
                        <w:rPr>
                          <w:rFonts w:ascii="宋体" w:hAnsi="宋体" w:cs="宋体" w:eastAsia="宋体" w:hint="default"/>
                          <w:sz w:val="16"/>
                          <w:szCs w:val="16"/>
                        </w:rPr>
                        <w:t>非货币性资产交换损益</w:t>
                      </w:r>
                      <w:r>
                        <w:rPr>
                          <w:rFonts w:ascii="宋体" w:hAnsi="宋体" w:cs="宋体" w:eastAsia="宋体" w:hint="default"/>
                          <w:w w:val="99"/>
                          <w:sz w:val="16"/>
                          <w:szCs w:val="16"/>
                        </w:rPr>
                        <w:t> </w:t>
                      </w:r>
                      <w:r>
                        <w:rPr>
                          <w:rFonts w:ascii="宋体" w:hAnsi="宋体" w:cs="宋体" w:eastAsia="宋体" w:hint="default"/>
                          <w:w w:val="95"/>
                          <w:sz w:val="16"/>
                          <w:szCs w:val="16"/>
                        </w:rPr>
                        <w:t>委托他人投资或管理资产的损益</w:t>
                      </w:r>
                      <w:r>
                        <w:rPr>
                          <w:rFonts w:ascii="宋体" w:hAnsi="宋体" w:cs="宋体" w:eastAsia="宋体" w:hint="default"/>
                          <w:sz w:val="16"/>
                          <w:szCs w:val="16"/>
                        </w:rPr>
                      </w:r>
                    </w:p>
                    <w:p>
                      <w:pPr>
                        <w:spacing w:before="34"/>
                        <w:ind w:left="0" w:right="0" w:firstLine="0"/>
                        <w:jc w:val="left"/>
                        <w:rPr>
                          <w:rFonts w:ascii="宋体" w:hAnsi="宋体" w:cs="宋体" w:eastAsia="宋体" w:hint="default"/>
                          <w:sz w:val="16"/>
                          <w:szCs w:val="16"/>
                        </w:rPr>
                      </w:pPr>
                      <w:r>
                        <w:rPr>
                          <w:rFonts w:ascii="宋体" w:hAnsi="宋体" w:cs="宋体" w:eastAsia="宋体" w:hint="default"/>
                          <w:spacing w:val="-2"/>
                          <w:sz w:val="16"/>
                          <w:szCs w:val="16"/>
                        </w:rPr>
                        <w:t>因不可抗力因素，如遭受自然灾害而计提的各项资产减值准</w:t>
                      </w:r>
                      <w:r>
                        <w:rPr>
                          <w:rFonts w:ascii="宋体" w:hAnsi="宋体" w:cs="宋体" w:eastAsia="宋体" w:hint="default"/>
                          <w:spacing w:val="-78"/>
                          <w:sz w:val="16"/>
                          <w:szCs w:val="16"/>
                        </w:rPr>
                        <w:t> </w:t>
                      </w:r>
                      <w:r>
                        <w:rPr>
                          <w:rFonts w:ascii="宋体" w:hAnsi="宋体" w:cs="宋体" w:eastAsia="宋体" w:hint="default"/>
                          <w:spacing w:val="-78"/>
                          <w:sz w:val="16"/>
                          <w:szCs w:val="16"/>
                        </w:rPr>
                      </w:r>
                      <w:r>
                        <w:rPr>
                          <w:rFonts w:ascii="宋体" w:hAnsi="宋体" w:cs="宋体" w:eastAsia="宋体" w:hint="default"/>
                          <w:sz w:val="16"/>
                          <w:szCs w:val="16"/>
                        </w:rPr>
                        <w:t>备</w:t>
                      </w:r>
                    </w:p>
                  </w:txbxContent>
                </v:textbox>
                <w10:wrap type="none"/>
              </v:shape>
            </v:group>
          </v:group>
        </w:pict>
      </w:r>
      <w:r>
        <w:rPr>
          <w:rFonts w:ascii="宋体" w:hAnsi="宋体" w:cs="宋体" w:eastAsia="宋体" w:hint="default"/>
          <w:position w:val="-80"/>
          <w:sz w:val="20"/>
          <w:szCs w:val="20"/>
        </w:rPr>
      </w:r>
    </w:p>
    <w:p>
      <w:pPr>
        <w:spacing w:after="0" w:line="4062" w:lineRule="exact"/>
        <w:rPr>
          <w:rFonts w:ascii="宋体" w:hAnsi="宋体" w:cs="宋体" w:eastAsia="宋体" w:hint="default"/>
          <w:sz w:val="20"/>
          <w:szCs w:val="20"/>
        </w:rPr>
        <w:sectPr>
          <w:footerReference w:type="default" r:id="rId539"/>
          <w:pgSz w:w="11910" w:h="16840"/>
          <w:pgMar w:footer="577" w:header="0" w:top="1480" w:bottom="760" w:left="1660" w:right="0"/>
          <w:pgNumType w:start="123"/>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8"/>
          <w:szCs w:val="28"/>
        </w:rPr>
      </w:pPr>
    </w:p>
    <w:tbl>
      <w:tblPr>
        <w:tblW w:w="0" w:type="auto"/>
        <w:jc w:val="left"/>
        <w:tblInd w:w="787" w:type="dxa"/>
        <w:tblLayout w:type="fixed"/>
        <w:tblCellMar>
          <w:top w:w="0" w:type="dxa"/>
          <w:left w:w="0" w:type="dxa"/>
          <w:bottom w:w="0" w:type="dxa"/>
          <w:right w:w="0" w:type="dxa"/>
        </w:tblCellMar>
        <w:tblLook w:val="01E0"/>
      </w:tblPr>
      <w:tblGrid>
        <w:gridCol w:w="4724"/>
        <w:gridCol w:w="1632"/>
      </w:tblGrid>
      <w:tr>
        <w:trPr>
          <w:trHeight w:val="465" w:hRule="exact"/>
        </w:trPr>
        <w:tc>
          <w:tcPr>
            <w:tcW w:w="4724" w:type="dxa"/>
            <w:tcBorders>
              <w:top w:val="nil" w:sz="6" w:space="0" w:color="auto"/>
              <w:left w:val="nil" w:sz="6" w:space="0" w:color="auto"/>
              <w:bottom w:val="nil" w:sz="6" w:space="0" w:color="auto"/>
              <w:right w:val="nil" w:sz="6" w:space="0" w:color="auto"/>
            </w:tcBorders>
          </w:tcPr>
          <w:p>
            <w:pPr>
              <w:pStyle w:val="TableParagraph"/>
              <w:spacing w:line="159" w:lineRule="exact"/>
              <w:ind w:left="70" w:right="0"/>
              <w:jc w:val="left"/>
              <w:rPr>
                <w:rFonts w:ascii="宋体" w:hAnsi="宋体" w:cs="宋体" w:eastAsia="宋体" w:hint="default"/>
                <w:sz w:val="16"/>
                <w:szCs w:val="16"/>
              </w:rPr>
            </w:pPr>
            <w:r>
              <w:rPr>
                <w:rFonts w:ascii="宋体" w:hAnsi="宋体" w:cs="宋体" w:eastAsia="宋体" w:hint="default"/>
                <w:sz w:val="16"/>
                <w:szCs w:val="16"/>
              </w:rPr>
              <w:t>以及处置交易性金融资产、交易性金融负债和可供出售金融</w:t>
            </w:r>
          </w:p>
          <w:p>
            <w:pPr>
              <w:pStyle w:val="TableParagraph"/>
              <w:spacing w:line="209" w:lineRule="exact"/>
              <w:ind w:left="70" w:right="0"/>
              <w:jc w:val="left"/>
              <w:rPr>
                <w:rFonts w:ascii="宋体" w:hAnsi="宋体" w:cs="宋体" w:eastAsia="宋体" w:hint="default"/>
                <w:sz w:val="16"/>
                <w:szCs w:val="16"/>
              </w:rPr>
            </w:pPr>
            <w:r>
              <w:rPr>
                <w:rFonts w:ascii="宋体" w:hAnsi="宋体" w:cs="宋体" w:eastAsia="宋体" w:hint="default"/>
                <w:sz w:val="16"/>
                <w:szCs w:val="16"/>
              </w:rPr>
              <w:t>资产取得的投资收益</w:t>
            </w:r>
          </w:p>
        </w:tc>
        <w:tc>
          <w:tcPr>
            <w:tcW w:w="1632" w:type="dxa"/>
            <w:tcBorders>
              <w:top w:val="nil" w:sz="6" w:space="0" w:color="auto"/>
              <w:left w:val="nil" w:sz="6" w:space="0" w:color="auto"/>
              <w:bottom w:val="nil" w:sz="6" w:space="0" w:color="auto"/>
              <w:right w:val="nil" w:sz="6" w:space="0" w:color="auto"/>
            </w:tcBorders>
          </w:tcPr>
          <w:p>
            <w:pPr/>
          </w:p>
        </w:tc>
      </w:tr>
      <w:tr>
        <w:trPr>
          <w:trHeight w:val="360" w:hRule="exact"/>
        </w:trPr>
        <w:tc>
          <w:tcPr>
            <w:tcW w:w="4724" w:type="dxa"/>
            <w:tcBorders>
              <w:top w:val="nil" w:sz="6" w:space="0" w:color="auto"/>
              <w:left w:val="nil" w:sz="6" w:space="0" w:color="auto"/>
              <w:bottom w:val="nil" w:sz="6" w:space="0" w:color="auto"/>
              <w:right w:val="nil" w:sz="6" w:space="0" w:color="auto"/>
            </w:tcBorders>
          </w:tcPr>
          <w:p>
            <w:pPr>
              <w:pStyle w:val="TableParagraph"/>
              <w:spacing w:line="240" w:lineRule="auto" w:before="47"/>
              <w:ind w:left="70" w:right="0"/>
              <w:jc w:val="left"/>
              <w:rPr>
                <w:rFonts w:ascii="宋体" w:hAnsi="宋体" w:cs="宋体" w:eastAsia="宋体" w:hint="default"/>
                <w:sz w:val="16"/>
                <w:szCs w:val="16"/>
              </w:rPr>
            </w:pPr>
            <w:r>
              <w:rPr>
                <w:rFonts w:ascii="宋体" w:hAnsi="宋体" w:cs="宋体" w:eastAsia="宋体" w:hint="default"/>
                <w:sz w:val="16"/>
                <w:szCs w:val="16"/>
              </w:rPr>
              <w:t>单独进行减值测试的应收款项减值准备转回</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33"/>
              <w:jc w:val="right"/>
              <w:rPr>
                <w:rFonts w:ascii="Times New Roman" w:hAnsi="Times New Roman" w:cs="Times New Roman" w:eastAsia="Times New Roman" w:hint="default"/>
                <w:sz w:val="16"/>
                <w:szCs w:val="16"/>
              </w:rPr>
            </w:pPr>
            <w:r>
              <w:rPr>
                <w:rFonts w:ascii="Times New Roman"/>
                <w:spacing w:val="-1"/>
                <w:sz w:val="16"/>
              </w:rPr>
              <w:t>3,052,818.23</w:t>
            </w:r>
          </w:p>
        </w:tc>
      </w:tr>
      <w:tr>
        <w:trPr>
          <w:trHeight w:val="347" w:hRule="exact"/>
        </w:trPr>
        <w:tc>
          <w:tcPr>
            <w:tcW w:w="472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对外委托贷款取得的损益</w:t>
            </w:r>
          </w:p>
        </w:tc>
        <w:tc>
          <w:tcPr>
            <w:tcW w:w="1632" w:type="dxa"/>
            <w:tcBorders>
              <w:top w:val="nil" w:sz="6" w:space="0" w:color="auto"/>
              <w:left w:val="nil" w:sz="6" w:space="0" w:color="auto"/>
              <w:bottom w:val="nil" w:sz="6" w:space="0" w:color="auto"/>
              <w:right w:val="nil" w:sz="6" w:space="0" w:color="auto"/>
            </w:tcBorders>
          </w:tcPr>
          <w:p>
            <w:pPr/>
          </w:p>
        </w:tc>
      </w:tr>
      <w:tr>
        <w:trPr>
          <w:trHeight w:val="562" w:hRule="exact"/>
        </w:trPr>
        <w:tc>
          <w:tcPr>
            <w:tcW w:w="4724" w:type="dxa"/>
            <w:tcBorders>
              <w:top w:val="nil" w:sz="6" w:space="0" w:color="auto"/>
              <w:left w:val="nil" w:sz="6" w:space="0" w:color="auto"/>
              <w:bottom w:val="nil" w:sz="6" w:space="0" w:color="auto"/>
              <w:right w:val="nil" w:sz="6" w:space="0" w:color="auto"/>
            </w:tcBorders>
          </w:tcPr>
          <w:p>
            <w:pPr>
              <w:pStyle w:val="TableParagraph"/>
              <w:spacing w:line="240" w:lineRule="auto" w:before="47"/>
              <w:ind w:left="70" w:right="655"/>
              <w:jc w:val="left"/>
              <w:rPr>
                <w:rFonts w:ascii="宋体" w:hAnsi="宋体" w:cs="宋体" w:eastAsia="宋体" w:hint="default"/>
                <w:sz w:val="16"/>
                <w:szCs w:val="16"/>
              </w:rPr>
            </w:pPr>
            <w:r>
              <w:rPr>
                <w:rFonts w:ascii="宋体" w:hAnsi="宋体" w:cs="宋体" w:eastAsia="宋体" w:hint="default"/>
                <w:w w:val="95"/>
                <w:sz w:val="16"/>
                <w:szCs w:val="16"/>
              </w:rPr>
              <w:t>采用公允价值模式进行后续计量的投资性房地产公允价值</w:t>
            </w:r>
            <w:r>
              <w:rPr>
                <w:rFonts w:ascii="宋体" w:hAnsi="宋体" w:cs="宋体" w:eastAsia="宋体" w:hint="default"/>
                <w:spacing w:val="43"/>
                <w:w w:val="95"/>
                <w:sz w:val="16"/>
                <w:szCs w:val="16"/>
              </w:rPr>
              <w:t> </w:t>
            </w:r>
            <w:r>
              <w:rPr>
                <w:rFonts w:ascii="宋体" w:hAnsi="宋体" w:cs="宋体" w:eastAsia="宋体" w:hint="default"/>
                <w:spacing w:val="43"/>
                <w:w w:val="95"/>
                <w:sz w:val="16"/>
                <w:szCs w:val="16"/>
              </w:rPr>
            </w:r>
            <w:r>
              <w:rPr>
                <w:rFonts w:ascii="宋体" w:hAnsi="宋体" w:cs="宋体" w:eastAsia="宋体" w:hint="default"/>
                <w:sz w:val="16"/>
                <w:szCs w:val="16"/>
              </w:rPr>
              <w:t>变动产生的损益</w:t>
            </w:r>
          </w:p>
        </w:tc>
        <w:tc>
          <w:tcPr>
            <w:tcW w:w="1632" w:type="dxa"/>
            <w:tcBorders>
              <w:top w:val="nil" w:sz="6" w:space="0" w:color="auto"/>
              <w:left w:val="nil" w:sz="6" w:space="0" w:color="auto"/>
              <w:bottom w:val="nil" w:sz="6" w:space="0" w:color="auto"/>
              <w:right w:val="nil" w:sz="6" w:space="0" w:color="auto"/>
            </w:tcBorders>
          </w:tcPr>
          <w:p>
            <w:pPr/>
          </w:p>
        </w:tc>
      </w:tr>
      <w:tr>
        <w:trPr>
          <w:trHeight w:val="560" w:hRule="exact"/>
        </w:trPr>
        <w:tc>
          <w:tcPr>
            <w:tcW w:w="4724" w:type="dxa"/>
            <w:tcBorders>
              <w:top w:val="nil" w:sz="6" w:space="0" w:color="auto"/>
              <w:left w:val="nil" w:sz="6" w:space="0" w:color="auto"/>
              <w:bottom w:val="nil" w:sz="6" w:space="0" w:color="auto"/>
              <w:right w:val="nil" w:sz="6" w:space="0" w:color="auto"/>
            </w:tcBorders>
          </w:tcPr>
          <w:p>
            <w:pPr>
              <w:pStyle w:val="TableParagraph"/>
              <w:spacing w:line="240" w:lineRule="auto" w:before="47"/>
              <w:ind w:left="70" w:right="539"/>
              <w:jc w:val="left"/>
              <w:rPr>
                <w:rFonts w:ascii="宋体" w:hAnsi="宋体" w:cs="宋体" w:eastAsia="宋体" w:hint="default"/>
                <w:sz w:val="16"/>
                <w:szCs w:val="16"/>
              </w:rPr>
            </w:pPr>
            <w:r>
              <w:rPr>
                <w:rFonts w:ascii="宋体" w:hAnsi="宋体" w:cs="宋体" w:eastAsia="宋体" w:hint="default"/>
                <w:spacing w:val="-2"/>
                <w:sz w:val="16"/>
                <w:szCs w:val="16"/>
              </w:rPr>
              <w:t>根据税收、会计等法律、法规的要求对当期损益进行一次性</w:t>
            </w:r>
            <w:r>
              <w:rPr>
                <w:rFonts w:ascii="宋体" w:hAnsi="宋体" w:cs="宋体" w:eastAsia="宋体" w:hint="default"/>
                <w:spacing w:val="-78"/>
                <w:sz w:val="16"/>
                <w:szCs w:val="16"/>
              </w:rPr>
              <w:t> </w:t>
            </w:r>
            <w:r>
              <w:rPr>
                <w:rFonts w:ascii="宋体" w:hAnsi="宋体" w:cs="宋体" w:eastAsia="宋体" w:hint="default"/>
                <w:spacing w:val="-78"/>
                <w:sz w:val="16"/>
                <w:szCs w:val="16"/>
              </w:rPr>
            </w:r>
            <w:r>
              <w:rPr>
                <w:rFonts w:ascii="宋体" w:hAnsi="宋体" w:cs="宋体" w:eastAsia="宋体" w:hint="default"/>
                <w:sz w:val="16"/>
                <w:szCs w:val="16"/>
              </w:rPr>
              <w:t>调整对当期损益的影响</w:t>
            </w:r>
          </w:p>
        </w:tc>
        <w:tc>
          <w:tcPr>
            <w:tcW w:w="1632" w:type="dxa"/>
            <w:tcBorders>
              <w:top w:val="nil" w:sz="6" w:space="0" w:color="auto"/>
              <w:left w:val="nil" w:sz="6" w:space="0" w:color="auto"/>
              <w:bottom w:val="nil" w:sz="6" w:space="0" w:color="auto"/>
              <w:right w:val="nil" w:sz="6" w:space="0" w:color="auto"/>
            </w:tcBorders>
          </w:tcPr>
          <w:p>
            <w:pPr/>
          </w:p>
        </w:tc>
      </w:tr>
      <w:tr>
        <w:trPr>
          <w:trHeight w:val="361" w:hRule="exact"/>
        </w:trPr>
        <w:tc>
          <w:tcPr>
            <w:tcW w:w="4724" w:type="dxa"/>
            <w:tcBorders>
              <w:top w:val="nil" w:sz="6" w:space="0" w:color="auto"/>
              <w:left w:val="nil" w:sz="6" w:space="0" w:color="auto"/>
              <w:bottom w:val="nil" w:sz="6" w:space="0" w:color="auto"/>
              <w:right w:val="nil" w:sz="6" w:space="0" w:color="auto"/>
            </w:tcBorders>
          </w:tcPr>
          <w:p>
            <w:pPr>
              <w:pStyle w:val="TableParagraph"/>
              <w:spacing w:line="240" w:lineRule="auto" w:before="47"/>
              <w:ind w:left="70" w:right="0"/>
              <w:jc w:val="left"/>
              <w:rPr>
                <w:rFonts w:ascii="宋体" w:hAnsi="宋体" w:cs="宋体" w:eastAsia="宋体" w:hint="default"/>
                <w:sz w:val="16"/>
                <w:szCs w:val="16"/>
              </w:rPr>
            </w:pPr>
            <w:r>
              <w:rPr>
                <w:rFonts w:ascii="宋体" w:hAnsi="宋体" w:cs="宋体" w:eastAsia="宋体" w:hint="default"/>
                <w:sz w:val="16"/>
                <w:szCs w:val="16"/>
              </w:rPr>
              <w:t>受托经营取得的托管费收入</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33"/>
              <w:jc w:val="right"/>
              <w:rPr>
                <w:rFonts w:ascii="Times New Roman" w:hAnsi="Times New Roman" w:cs="Times New Roman" w:eastAsia="Times New Roman" w:hint="default"/>
                <w:sz w:val="16"/>
                <w:szCs w:val="16"/>
              </w:rPr>
            </w:pPr>
            <w:r>
              <w:rPr>
                <w:rFonts w:ascii="Times New Roman"/>
                <w:spacing w:val="-1"/>
                <w:sz w:val="16"/>
              </w:rPr>
              <w:t>943,396.23</w:t>
            </w:r>
          </w:p>
        </w:tc>
      </w:tr>
      <w:tr>
        <w:trPr>
          <w:trHeight w:val="353" w:hRule="exact"/>
        </w:trPr>
        <w:tc>
          <w:tcPr>
            <w:tcW w:w="472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除上述各项之外的其他营业外收入和支出</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6"/>
                <w:szCs w:val="16"/>
              </w:rPr>
            </w:pPr>
            <w:r>
              <w:rPr>
                <w:rFonts w:ascii="Times New Roman"/>
                <w:spacing w:val="-1"/>
                <w:sz w:val="16"/>
              </w:rPr>
              <w:t>-4,856,275.05</w:t>
            </w:r>
          </w:p>
        </w:tc>
      </w:tr>
      <w:tr>
        <w:trPr>
          <w:trHeight w:val="347" w:hRule="exact"/>
        </w:trPr>
        <w:tc>
          <w:tcPr>
            <w:tcW w:w="472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其他符合非经常性损益定义的损益项目</w:t>
            </w:r>
          </w:p>
        </w:tc>
        <w:tc>
          <w:tcPr>
            <w:tcW w:w="1632" w:type="dxa"/>
            <w:tcBorders>
              <w:top w:val="nil" w:sz="6" w:space="0" w:color="auto"/>
              <w:left w:val="nil" w:sz="6" w:space="0" w:color="auto"/>
              <w:bottom w:val="nil" w:sz="6" w:space="0" w:color="auto"/>
              <w:right w:val="nil" w:sz="6" w:space="0" w:color="auto"/>
            </w:tcBorders>
          </w:tcPr>
          <w:p>
            <w:pPr/>
          </w:p>
        </w:tc>
      </w:tr>
      <w:tr>
        <w:trPr>
          <w:trHeight w:val="360" w:hRule="exact"/>
        </w:trPr>
        <w:tc>
          <w:tcPr>
            <w:tcW w:w="4724" w:type="dxa"/>
            <w:tcBorders>
              <w:top w:val="nil" w:sz="6" w:space="0" w:color="auto"/>
              <w:left w:val="nil" w:sz="6" w:space="0" w:color="auto"/>
              <w:bottom w:val="nil" w:sz="6" w:space="0" w:color="auto"/>
              <w:right w:val="nil" w:sz="6" w:space="0" w:color="auto"/>
            </w:tcBorders>
          </w:tcPr>
          <w:p>
            <w:pPr>
              <w:pStyle w:val="TableParagraph"/>
              <w:spacing w:line="240" w:lineRule="auto" w:before="47"/>
              <w:ind w:left="70" w:right="0"/>
              <w:jc w:val="left"/>
              <w:rPr>
                <w:rFonts w:ascii="宋体" w:hAnsi="宋体" w:cs="宋体" w:eastAsia="宋体" w:hint="default"/>
                <w:sz w:val="16"/>
                <w:szCs w:val="16"/>
              </w:rPr>
            </w:pPr>
            <w:r>
              <w:rPr>
                <w:rFonts w:ascii="宋体" w:hAnsi="宋体" w:cs="宋体" w:eastAsia="宋体" w:hint="default"/>
                <w:sz w:val="16"/>
                <w:szCs w:val="16"/>
              </w:rPr>
              <w:t>所得税影响额</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33"/>
              <w:jc w:val="right"/>
              <w:rPr>
                <w:rFonts w:ascii="Times New Roman" w:hAnsi="Times New Roman" w:cs="Times New Roman" w:eastAsia="Times New Roman" w:hint="default"/>
                <w:sz w:val="16"/>
                <w:szCs w:val="16"/>
              </w:rPr>
            </w:pPr>
            <w:r>
              <w:rPr>
                <w:rFonts w:ascii="Times New Roman"/>
                <w:spacing w:val="-1"/>
                <w:sz w:val="16"/>
              </w:rPr>
              <w:t>-207,479,533.32</w:t>
            </w:r>
          </w:p>
        </w:tc>
      </w:tr>
      <w:tr>
        <w:trPr>
          <w:trHeight w:val="353" w:hRule="exact"/>
        </w:trPr>
        <w:tc>
          <w:tcPr>
            <w:tcW w:w="472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0" w:right="0"/>
              <w:jc w:val="left"/>
              <w:rPr>
                <w:rFonts w:ascii="宋体" w:hAnsi="宋体" w:cs="宋体" w:eastAsia="宋体" w:hint="default"/>
                <w:sz w:val="16"/>
                <w:szCs w:val="16"/>
              </w:rPr>
            </w:pPr>
            <w:r>
              <w:rPr>
                <w:rFonts w:ascii="宋体" w:hAnsi="宋体" w:cs="宋体" w:eastAsia="宋体" w:hint="default"/>
                <w:sz w:val="16"/>
                <w:szCs w:val="16"/>
              </w:rPr>
              <w:t>少数股东权益影响额</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3"/>
              <w:jc w:val="right"/>
              <w:rPr>
                <w:rFonts w:ascii="Times New Roman" w:hAnsi="Times New Roman" w:cs="Times New Roman" w:eastAsia="Times New Roman" w:hint="default"/>
                <w:sz w:val="16"/>
                <w:szCs w:val="16"/>
              </w:rPr>
            </w:pPr>
            <w:r>
              <w:rPr>
                <w:rFonts w:ascii="Times New Roman"/>
                <w:spacing w:val="-1"/>
                <w:sz w:val="16"/>
              </w:rPr>
              <w:t>-7,365,120.29</w:t>
            </w:r>
          </w:p>
        </w:tc>
      </w:tr>
      <w:tr>
        <w:trPr>
          <w:trHeight w:val="357" w:hRule="exact"/>
        </w:trPr>
        <w:tc>
          <w:tcPr>
            <w:tcW w:w="472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72"/>
              <w:jc w:val="center"/>
              <w:rPr>
                <w:rFonts w:ascii="宋体" w:hAnsi="宋体" w:cs="宋体" w:eastAsia="宋体" w:hint="default"/>
                <w:sz w:val="16"/>
                <w:szCs w:val="16"/>
              </w:rPr>
            </w:pPr>
            <w:r>
              <w:rPr>
                <w:rFonts w:ascii="宋体" w:hAnsi="宋体" w:cs="宋体" w:eastAsia="宋体" w:hint="default"/>
                <w:sz w:val="16"/>
                <w:szCs w:val="16"/>
              </w:rPr>
              <w:t>合计</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Times New Roman" w:hAnsi="Times New Roman" w:cs="Times New Roman" w:eastAsia="Times New Roman" w:hint="default"/>
                <w:sz w:val="16"/>
                <w:szCs w:val="16"/>
              </w:rPr>
            </w:pPr>
            <w:r>
              <w:rPr>
                <w:rFonts w:ascii="Times New Roman"/>
                <w:spacing w:val="-1"/>
                <w:sz w:val="16"/>
              </w:rPr>
              <w:t>659,727,480.03</w:t>
            </w:r>
          </w:p>
        </w:tc>
      </w:tr>
    </w:tbl>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6"/>
          <w:szCs w:val="16"/>
        </w:rPr>
      </w:pPr>
    </w:p>
    <w:p>
      <w:pPr>
        <w:pStyle w:val="Heading5"/>
        <w:tabs>
          <w:tab w:pos="851" w:val="left" w:leader="none"/>
        </w:tabs>
        <w:spacing w:line="240" w:lineRule="auto"/>
        <w:ind w:right="3681"/>
        <w:jc w:val="left"/>
        <w:rPr>
          <w:b w:val="0"/>
          <w:bCs w:val="0"/>
        </w:rPr>
      </w:pPr>
      <w:r>
        <w:rPr/>
        <w:pict>
          <v:group style="position:absolute;margin-left:119.010002pt;margin-top:-388.166046pt;width:411.9pt;height:365.25pt;mso-position-horizontal-relative:page;mso-position-vertical-relative:paragraph;z-index:-1355896" coordorigin="2380,-7763" coordsize="8238,7305">
            <v:group style="position:absolute;left:2410;top:-7748;width:4325;height:2" coordorigin="2410,-7748" coordsize="4325,2">
              <v:shape style="position:absolute;left:2410;top:-7748;width:4325;height:2" coordorigin="2410,-7748" coordsize="4325,0" path="m2410,-7748l6734,-7748e" filled="false" stroked="true" strokeweight="1.5pt" strokecolor="#000000">
                <v:path arrowok="t"/>
              </v:shape>
              <v:shape style="position:absolute;left:6734;top:-7733;width:10;height:28" type="#_x0000_t75" stroked="false">
                <v:imagedata r:id="rId61" o:title=""/>
              </v:shape>
            </v:group>
            <v:group style="position:absolute;left:6734;top:-7748;width:2136;height:2" coordorigin="6734,-7748" coordsize="2136,2">
              <v:shape style="position:absolute;left:6734;top:-7748;width:2136;height:2" coordorigin="6734,-7748" coordsize="2136,0" path="m6734,-7748l8870,-7748e" filled="false" stroked="true" strokeweight="1.5pt" strokecolor="#000000">
                <v:path arrowok="t"/>
              </v:shape>
              <v:shape style="position:absolute;left:8870;top:-7733;width:10;height:28" type="#_x0000_t75" stroked="false">
                <v:imagedata r:id="rId61" o:title=""/>
              </v:shape>
            </v:group>
            <v:group style="position:absolute;left:8870;top:-7748;width:1727;height:2" coordorigin="8870,-7748" coordsize="1727,2">
              <v:shape style="position:absolute;left:8870;top:-7748;width:1727;height:2" coordorigin="8870,-7748" coordsize="1727,0" path="m8870,-7748l10597,-7748e" filled="false" stroked="true" strokeweight="1.5pt" strokecolor="#000000">
                <v:path arrowok="t"/>
              </v:shape>
              <v:shape style="position:absolute;left:6715;top:-7725;width:2184;height:354" type="#_x0000_t75" stroked="false">
                <v:imagedata r:id="rId548" o:title=""/>
              </v:shape>
            </v:group>
            <v:group style="position:absolute;left:2395;top:-474;width:4340;height:2" coordorigin="2395,-474" coordsize="4340,2">
              <v:shape style="position:absolute;left:2395;top:-474;width:4340;height:2" coordorigin="2395,-474" coordsize="4340,0" path="m2395,-474l6734,-474e" filled="false" stroked="true" strokeweight="1.5pt" strokecolor="#000000">
                <v:path arrowok="t"/>
              </v:shape>
            </v:group>
            <v:group style="position:absolute;left:6734;top:-474;width:2136;height:2" coordorigin="6734,-474" coordsize="2136,2">
              <v:shape style="position:absolute;left:6734;top:-474;width:2136;height:2" coordorigin="6734,-474" coordsize="2136,0" path="m6734,-474l8870,-474e" filled="false" stroked="true" strokeweight="1.5pt" strokecolor="#000000">
                <v:path arrowok="t"/>
              </v:shape>
              <v:shape style="position:absolute;left:2390;top:-7409;width:8227;height:6920" type="#_x0000_t75" stroked="false">
                <v:imagedata r:id="rId549" o:title=""/>
              </v:shape>
            </v:group>
            <v:group style="position:absolute;left:8870;top:-474;width:1727;height:2" coordorigin="8870,-474" coordsize="1727,2">
              <v:shape style="position:absolute;left:8870;top:-474;width:1727;height:2" coordorigin="8870,-474" coordsize="1727,0" path="m8870,-474l10597,-474e" filled="false" stroked="true" strokeweight="1.5pt" strokecolor="#000000">
                <v:path arrowok="t"/>
              </v:shape>
              <v:shape style="position:absolute;left:4414;top:-7641;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项目</w:t>
                      </w:r>
                      <w:r>
                        <w:rPr>
                          <w:rFonts w:ascii="宋体" w:hAnsi="宋体" w:cs="宋体" w:eastAsia="宋体" w:hint="default"/>
                          <w:sz w:val="16"/>
                          <w:szCs w:val="16"/>
                        </w:rPr>
                      </w:r>
                    </w:p>
                  </w:txbxContent>
                </v:textbox>
                <w10:wrap type="none"/>
              </v:shape>
              <v:shape style="position:absolute;left:7646;top:-7641;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金额</w:t>
                      </w:r>
                      <w:r>
                        <w:rPr>
                          <w:rFonts w:ascii="宋体" w:hAnsi="宋体" w:cs="宋体" w:eastAsia="宋体" w:hint="default"/>
                          <w:sz w:val="16"/>
                          <w:szCs w:val="16"/>
                        </w:rPr>
                      </w:r>
                    </w:p>
                  </w:txbxContent>
                </v:textbox>
                <w10:wrap type="none"/>
              </v:shape>
              <v:shape style="position:absolute;left:9575;top:-7641;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说明</w:t>
                      </w:r>
                      <w:r>
                        <w:rPr>
                          <w:rFonts w:ascii="宋体" w:hAnsi="宋体" w:cs="宋体" w:eastAsia="宋体" w:hint="default"/>
                          <w:sz w:val="16"/>
                          <w:szCs w:val="16"/>
                        </w:rPr>
                      </w:r>
                    </w:p>
                  </w:txbxContent>
                </v:textbox>
                <w10:wrap type="none"/>
              </v:shape>
              <v:shape style="position:absolute;left:2518;top:-7288;width:95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债务重组损益</w:t>
                      </w:r>
                      <w:r>
                        <w:rPr>
                          <w:rFonts w:ascii="宋体" w:hAnsi="宋体" w:cs="宋体" w:eastAsia="宋体" w:hint="default"/>
                          <w:sz w:val="16"/>
                          <w:szCs w:val="16"/>
                        </w:rPr>
                      </w:r>
                    </w:p>
                  </w:txbxContent>
                </v:textbox>
                <w10:wrap type="none"/>
              </v:shape>
              <v:shape style="position:absolute;left:7994;top:-7275;width:774;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-939,984.71</w:t>
                      </w:r>
                      <w:r>
                        <w:rPr>
                          <w:rFonts w:ascii="Times New Roman"/>
                          <w:sz w:val="16"/>
                        </w:rPr>
                      </w:r>
                    </w:p>
                  </w:txbxContent>
                </v:textbox>
                <w10:wrap type="none"/>
              </v:shape>
              <v:shape style="position:absolute;left:2518;top:-6934;width:4157;height:1988"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企业重组费用，如安置职工的支出、整合费用等</w:t>
                      </w:r>
                    </w:p>
                    <w:p>
                      <w:pPr>
                        <w:spacing w:before="143"/>
                        <w:ind w:left="0" w:right="0" w:firstLine="0"/>
                        <w:jc w:val="left"/>
                        <w:rPr>
                          <w:rFonts w:ascii="宋体" w:hAnsi="宋体" w:cs="宋体" w:eastAsia="宋体" w:hint="default"/>
                          <w:sz w:val="16"/>
                          <w:szCs w:val="16"/>
                        </w:rPr>
                      </w:pPr>
                      <w:r>
                        <w:rPr>
                          <w:rFonts w:ascii="宋体" w:hAnsi="宋体" w:cs="宋体" w:eastAsia="宋体" w:hint="default"/>
                          <w:sz w:val="16"/>
                          <w:szCs w:val="16"/>
                        </w:rPr>
                        <w:t>交易价格显失公允的交易产生的超过公允价值部分的损益</w:t>
                      </w:r>
                    </w:p>
                    <w:p>
                      <w:pPr>
                        <w:spacing w:line="240" w:lineRule="auto" w:before="1"/>
                        <w:rPr>
                          <w:rFonts w:ascii="宋体" w:hAnsi="宋体" w:cs="宋体" w:eastAsia="宋体" w:hint="default"/>
                          <w:b/>
                          <w:bCs/>
                          <w:sz w:val="11"/>
                          <w:szCs w:val="11"/>
                        </w:rPr>
                      </w:pPr>
                    </w:p>
                    <w:p>
                      <w:pPr>
                        <w:spacing w:before="0"/>
                        <w:ind w:left="0" w:right="157" w:firstLine="0"/>
                        <w:jc w:val="left"/>
                        <w:rPr>
                          <w:rFonts w:ascii="宋体" w:hAnsi="宋体" w:cs="宋体" w:eastAsia="宋体" w:hint="default"/>
                          <w:sz w:val="16"/>
                          <w:szCs w:val="16"/>
                        </w:rPr>
                      </w:pPr>
                      <w:r>
                        <w:rPr>
                          <w:rFonts w:ascii="宋体" w:hAnsi="宋体" w:cs="宋体" w:eastAsia="宋体" w:hint="default"/>
                          <w:w w:val="95"/>
                          <w:sz w:val="16"/>
                          <w:szCs w:val="16"/>
                        </w:rPr>
                        <w:t>同一控制下企业合并产生的子公司期初至合并日的当期净</w:t>
                      </w:r>
                      <w:r>
                        <w:rPr>
                          <w:rFonts w:ascii="宋体" w:hAnsi="宋体" w:cs="宋体" w:eastAsia="宋体" w:hint="default"/>
                          <w:spacing w:val="43"/>
                          <w:w w:val="95"/>
                          <w:sz w:val="16"/>
                          <w:szCs w:val="16"/>
                        </w:rPr>
                        <w:t> </w:t>
                      </w:r>
                      <w:r>
                        <w:rPr>
                          <w:rFonts w:ascii="宋体" w:hAnsi="宋体" w:cs="宋体" w:eastAsia="宋体" w:hint="default"/>
                          <w:spacing w:val="43"/>
                          <w:w w:val="95"/>
                          <w:sz w:val="16"/>
                          <w:szCs w:val="16"/>
                        </w:rPr>
                      </w:r>
                      <w:r>
                        <w:rPr>
                          <w:rFonts w:ascii="宋体" w:hAnsi="宋体" w:cs="宋体" w:eastAsia="宋体" w:hint="default"/>
                          <w:sz w:val="16"/>
                          <w:szCs w:val="16"/>
                        </w:rPr>
                        <w:t>损益</w:t>
                      </w:r>
                    </w:p>
                    <w:p>
                      <w:pPr>
                        <w:spacing w:before="143"/>
                        <w:ind w:left="0" w:right="0" w:firstLine="0"/>
                        <w:jc w:val="left"/>
                        <w:rPr>
                          <w:rFonts w:ascii="宋体" w:hAnsi="宋体" w:cs="宋体" w:eastAsia="宋体" w:hint="default"/>
                          <w:sz w:val="16"/>
                          <w:szCs w:val="16"/>
                        </w:rPr>
                      </w:pPr>
                      <w:r>
                        <w:rPr>
                          <w:rFonts w:ascii="宋体" w:hAnsi="宋体" w:cs="宋体" w:eastAsia="宋体" w:hint="default"/>
                          <w:sz w:val="16"/>
                          <w:szCs w:val="16"/>
                        </w:rPr>
                        <w:t>与公司正常经营业务无关的或有事项产生的损益</w:t>
                      </w:r>
                    </w:p>
                    <w:p>
                      <w:pPr>
                        <w:spacing w:line="240" w:lineRule="auto" w:before="10"/>
                        <w:rPr>
                          <w:rFonts w:ascii="宋体" w:hAnsi="宋体" w:cs="宋体" w:eastAsia="宋体" w:hint="default"/>
                          <w:b/>
                          <w:bCs/>
                          <w:sz w:val="12"/>
                          <w:szCs w:val="12"/>
                        </w:rPr>
                      </w:pPr>
                    </w:p>
                    <w:p>
                      <w:pPr>
                        <w:spacing w:line="206" w:lineRule="exact" w:before="0"/>
                        <w:ind w:left="0" w:right="0" w:firstLine="0"/>
                        <w:jc w:val="left"/>
                        <w:rPr>
                          <w:rFonts w:ascii="宋体" w:hAnsi="宋体" w:cs="宋体" w:eastAsia="宋体" w:hint="default"/>
                          <w:sz w:val="16"/>
                          <w:szCs w:val="16"/>
                        </w:rPr>
                      </w:pPr>
                      <w:r>
                        <w:rPr>
                          <w:rFonts w:ascii="宋体" w:hAnsi="宋体" w:cs="宋体" w:eastAsia="宋体" w:hint="default"/>
                          <w:spacing w:val="-2"/>
                          <w:sz w:val="16"/>
                          <w:szCs w:val="16"/>
                        </w:rPr>
                        <w:t>除同公司正常经营业务相关的有效套期保值业务外，持有交</w:t>
                      </w:r>
                      <w:r>
                        <w:rPr>
                          <w:rFonts w:ascii="宋体" w:hAnsi="宋体" w:cs="宋体" w:eastAsia="宋体" w:hint="default"/>
                          <w:w w:val="99"/>
                          <w:sz w:val="16"/>
                          <w:szCs w:val="16"/>
                        </w:rPr>
                        <w:t> </w:t>
                      </w:r>
                      <w:r>
                        <w:rPr>
                          <w:rFonts w:ascii="宋体" w:hAnsi="宋体" w:cs="宋体" w:eastAsia="宋体" w:hint="default"/>
                          <w:w w:val="95"/>
                          <w:sz w:val="16"/>
                          <w:szCs w:val="16"/>
                        </w:rPr>
                        <w:t>易性金融资产、交易性金融负债产生的公允价值变动损益，</w:t>
                      </w:r>
                      <w:r>
                        <w:rPr>
                          <w:rFonts w:ascii="宋体" w:hAnsi="宋体" w:cs="宋体" w:eastAsia="宋体" w:hint="default"/>
                          <w:sz w:val="16"/>
                          <w:szCs w:val="16"/>
                        </w:rPr>
                      </w:r>
                    </w:p>
                  </w:txbxContent>
                </v:textbox>
                <w10:wrap type="none"/>
              </v:shape>
              <v:shape style="position:absolute;left:7768;top:-4989;width:1001;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w w:val="95"/>
                          <w:sz w:val="16"/>
                        </w:rPr>
                        <w:t>753,032,709.97</w:t>
                      </w:r>
                      <w:r>
                        <w:rPr>
                          <w:rFonts w:ascii="Times New Roman"/>
                          <w:sz w:val="16"/>
                        </w:rPr>
                      </w:r>
                    </w:p>
                  </w:txbxContent>
                </v:textbox>
                <w10:wrap type="none"/>
              </v:shape>
            </v:group>
            <w10:wrap type="none"/>
          </v:group>
        </w:pict>
      </w:r>
      <w:r>
        <w:rPr>
          <w:rFonts w:ascii="Times New Roman" w:hAnsi="Times New Roman" w:cs="Times New Roman" w:eastAsia="Times New Roman" w:hint="default"/>
          <w:w w:val="95"/>
        </w:rPr>
        <w:t>(</w:t>
      </w:r>
      <w:r>
        <w:rPr>
          <w:w w:val="95"/>
        </w:rPr>
        <w:t>二</w:t>
      </w:r>
      <w:r>
        <w:rPr>
          <w:rFonts w:ascii="Times New Roman" w:hAnsi="Times New Roman" w:cs="Times New Roman" w:eastAsia="Times New Roman" w:hint="default"/>
          <w:w w:val="95"/>
        </w:rPr>
        <w:t>)</w:t>
        <w:tab/>
      </w:r>
      <w:r>
        <w:rPr/>
        <w:t>净资产收益率及每股收益</w:t>
      </w:r>
      <w:r>
        <w:rPr>
          <w:b w:val="0"/>
          <w:bCs w:val="0"/>
        </w:rPr>
      </w:r>
    </w:p>
    <w:p>
      <w:pPr>
        <w:spacing w:line="1671" w:lineRule="exact"/>
        <w:ind w:left="720" w:right="0" w:firstLine="0"/>
        <w:rPr>
          <w:rFonts w:ascii="宋体" w:hAnsi="宋体" w:cs="宋体" w:eastAsia="宋体" w:hint="default"/>
          <w:sz w:val="20"/>
          <w:szCs w:val="20"/>
        </w:rPr>
      </w:pPr>
      <w:r>
        <w:rPr>
          <w:rFonts w:ascii="宋体" w:hAnsi="宋体" w:cs="宋体" w:eastAsia="宋体" w:hint="default"/>
          <w:position w:val="-32"/>
          <w:sz w:val="20"/>
          <w:szCs w:val="20"/>
        </w:rPr>
        <w:pict>
          <v:group style="width:411.85pt;height:83.6pt;mso-position-horizontal-relative:char;mso-position-vertical-relative:line" coordorigin="0,0" coordsize="8237,1672">
            <v:group style="position:absolute;left:29;top:15;width:3395;height:2" coordorigin="29,15" coordsize="3395,2">
              <v:shape style="position:absolute;left:29;top:15;width:3395;height:2" coordorigin="29,15" coordsize="3395,0" path="m29,15l3424,15e" filled="false" stroked="true" strokeweight="1.5pt" strokecolor="#000000">
                <v:path arrowok="t"/>
              </v:shape>
              <v:shape style="position:absolute;left:3424;top:30;width:10;height:28" type="#_x0000_t75" stroked="false">
                <v:imagedata r:id="rId179" o:title=""/>
              </v:shape>
            </v:group>
            <v:group style="position:absolute;left:3424;top:15;width:1905;height:2" coordorigin="3424,15" coordsize="1905,2">
              <v:shape style="position:absolute;left:3424;top:15;width:1905;height:2" coordorigin="3424,15" coordsize="1905,0" path="m3424,15l5329,15e" filled="false" stroked="true" strokeweight="1.5pt" strokecolor="#000000">
                <v:path arrowok="t"/>
              </v:shape>
              <v:shape style="position:absolute;left:5329;top:30;width:10;height:28" type="#_x0000_t75" stroked="false">
                <v:imagedata r:id="rId179" o:title=""/>
              </v:shape>
            </v:group>
            <v:group style="position:absolute;left:5329;top:15;width:2889;height:2" coordorigin="5329,15" coordsize="2889,2">
              <v:shape style="position:absolute;left:5329;top:15;width:2889;height:2" coordorigin="5329,15" coordsize="2889,0" path="m5329,15l8217,15e" filled="false" stroked="true" strokeweight="1.5pt" strokecolor="#000000">
                <v:path arrowok="t"/>
              </v:shape>
              <v:shape style="position:absolute;left:3405;top:38;width:1952;height:354" type="#_x0000_t75" stroked="false">
                <v:imagedata r:id="rId550" o:title=""/>
              </v:shape>
              <v:shape style="position:absolute;left:3405;top:354;width:4831;height:392" type="#_x0000_t75" stroked="false">
                <v:imagedata r:id="rId551" o:title=""/>
              </v:shape>
            </v:group>
            <v:group style="position:absolute;left:15;top:1657;width:3410;height:2" coordorigin="15,1657" coordsize="3410,2">
              <v:shape style="position:absolute;left:15;top:1657;width:3410;height:2" coordorigin="15,1657" coordsize="3410,0" path="m15,1657l3424,1657e" filled="false" stroked="true" strokeweight="1.5pt" strokecolor="#000000">
                <v:path arrowok="t"/>
              </v:shape>
              <v:shape style="position:absolute;left:10;top:708;width:8226;height:953" type="#_x0000_t75" stroked="false">
                <v:imagedata r:id="rId552" o:title=""/>
              </v:shape>
            </v:group>
            <v:group style="position:absolute;left:3424;top:1657;width:1905;height:2" coordorigin="3424,1657" coordsize="1905,2">
              <v:shape style="position:absolute;left:3424;top:1657;width:1905;height:2" coordorigin="3424,1657" coordsize="1905,0" path="m3424,1657l5329,1657e" filled="false" stroked="true" strokeweight="1.5pt" strokecolor="#000000">
                <v:path arrowok="t"/>
              </v:shape>
              <v:shape style="position:absolute;left:5309;top:1099;width:48;height:562" type="#_x0000_t75" stroked="false">
                <v:imagedata r:id="rId553" o:title=""/>
              </v:shape>
            </v:group>
            <v:group style="position:absolute;left:5329;top:1657;width:30;height:2" coordorigin="5329,1657" coordsize="30,2">
              <v:shape style="position:absolute;left:5329;top:1657;width:30;height:2" coordorigin="5329,1657" coordsize="30,0" path="m5329,1657l5359,1657e" filled="false" stroked="true" strokeweight="1.5pt" strokecolor="#000000">
                <v:path arrowok="t"/>
              </v:shape>
            </v:group>
            <v:group style="position:absolute;left:5359;top:1657;width:1496;height:2" coordorigin="5359,1657" coordsize="1496,2">
              <v:shape style="position:absolute;left:5359;top:1657;width:1496;height:2" coordorigin="5359,1657" coordsize="1496,0" path="m5359,1657l6854,1657e" filled="false" stroked="true" strokeweight="1.5pt" strokecolor="#000000">
                <v:path arrowok="t"/>
              </v:shape>
              <v:shape style="position:absolute;left:6835;top:1099;width:48;height:562" type="#_x0000_t75" stroked="false">
                <v:imagedata r:id="rId554" o:title=""/>
              </v:shape>
            </v:group>
            <v:group style="position:absolute;left:6854;top:1657;width:1364;height:2" coordorigin="6854,1657" coordsize="1364,2">
              <v:shape style="position:absolute;left:6854;top:1657;width:1364;height:2" coordorigin="6854,1657" coordsize="1364,0" path="m6854,1657l8217,1657e" filled="false" stroked="true" strokeweight="1.5pt" strokecolor="#000000">
                <v:path arrowok="t"/>
              </v:shape>
              <v:shape style="position:absolute;left:1328;top:297;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报告期利润</w:t>
                      </w:r>
                      <w:r>
                        <w:rPr>
                          <w:rFonts w:ascii="宋体" w:hAnsi="宋体" w:cs="宋体" w:eastAsia="宋体" w:hint="default"/>
                          <w:sz w:val="16"/>
                          <w:szCs w:val="16"/>
                        </w:rPr>
                      </w:r>
                    </w:p>
                  </w:txbxContent>
                </v:textbox>
                <w10:wrap type="none"/>
              </v:shape>
              <v:shape style="position:absolute;left:3580;top:194;width:1599;height:376" type="#_x0000_t202" filled="false" stroked="false">
                <v:textbox inset="0,0,0,0">
                  <w:txbxContent>
                    <w:p>
                      <w:pPr>
                        <w:spacing w:line="159" w:lineRule="exact" w:before="0"/>
                        <w:ind w:left="-1" w:right="0" w:firstLine="0"/>
                        <w:jc w:val="center"/>
                        <w:rPr>
                          <w:rFonts w:ascii="宋体" w:hAnsi="宋体" w:cs="宋体" w:eastAsia="宋体" w:hint="default"/>
                          <w:sz w:val="16"/>
                          <w:szCs w:val="16"/>
                        </w:rPr>
                      </w:pPr>
                      <w:r>
                        <w:rPr>
                          <w:rFonts w:ascii="宋体" w:hAnsi="宋体" w:cs="宋体" w:eastAsia="宋体" w:hint="default"/>
                          <w:w w:val="95"/>
                          <w:sz w:val="16"/>
                          <w:szCs w:val="16"/>
                        </w:rPr>
                        <w:t>加权平均净资产收益率</w:t>
                      </w:r>
                      <w:r>
                        <w:rPr>
                          <w:rFonts w:ascii="宋体" w:hAnsi="宋体" w:cs="宋体" w:eastAsia="宋体" w:hint="default"/>
                          <w:sz w:val="16"/>
                          <w:szCs w:val="16"/>
                        </w:rPr>
                      </w:r>
                    </w:p>
                    <w:p>
                      <w:pPr>
                        <w:spacing w:line="217" w:lineRule="exact" w:before="0"/>
                        <w:ind w:left="0" w:right="1" w:firstLine="0"/>
                        <w:jc w:val="center"/>
                        <w:rPr>
                          <w:rFonts w:ascii="宋体" w:hAnsi="宋体" w:cs="宋体" w:eastAsia="宋体" w:hint="default"/>
                          <w:sz w:val="16"/>
                          <w:szCs w:val="16"/>
                        </w:rPr>
                      </w:pPr>
                      <w:r>
                        <w:rPr>
                          <w:rFonts w:ascii="宋体" w:hAnsi="宋体" w:cs="宋体" w:eastAsia="宋体" w:hint="default"/>
                          <w:sz w:val="16"/>
                          <w:szCs w:val="16"/>
                        </w:rPr>
                        <w:t>（</w:t>
                      </w:r>
                      <w:r>
                        <w:rPr>
                          <w:rFonts w:ascii="Times New Roman" w:hAnsi="Times New Roman" w:cs="Times New Roman" w:eastAsia="Times New Roman" w:hint="default"/>
                          <w:sz w:val="16"/>
                          <w:szCs w:val="16"/>
                        </w:rPr>
                        <w:t>%</w:t>
                      </w:r>
                      <w:r>
                        <w:rPr>
                          <w:rFonts w:ascii="宋体" w:hAnsi="宋体" w:cs="宋体" w:eastAsia="宋体" w:hint="default"/>
                          <w:sz w:val="16"/>
                          <w:szCs w:val="16"/>
                        </w:rPr>
                        <w:t>）</w:t>
                      </w:r>
                    </w:p>
                  </w:txbxContent>
                </v:textbox>
                <w10:wrap type="none"/>
              </v:shape>
              <v:shape style="position:absolute;left:6215;top:121;width:111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每股收益（元）</w:t>
                      </w:r>
                      <w:r>
                        <w:rPr>
                          <w:rFonts w:ascii="宋体" w:hAnsi="宋体" w:cs="宋体" w:eastAsia="宋体" w:hint="default"/>
                          <w:sz w:val="16"/>
                          <w:szCs w:val="16"/>
                        </w:rPr>
                      </w:r>
                    </w:p>
                  </w:txbxContent>
                </v:textbox>
                <w10:wrap type="none"/>
              </v:shape>
              <v:shape style="position:absolute;left:5615;top:475;width:95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基本每股收益</w:t>
                      </w:r>
                      <w:r>
                        <w:rPr>
                          <w:rFonts w:ascii="宋体" w:hAnsi="宋体" w:cs="宋体" w:eastAsia="宋体" w:hint="default"/>
                          <w:sz w:val="16"/>
                          <w:szCs w:val="16"/>
                        </w:rPr>
                      </w:r>
                    </w:p>
                  </w:txbxContent>
                </v:textbox>
                <w10:wrap type="none"/>
              </v:shape>
              <v:shape style="position:absolute;left:7057;top:475;width:95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稀释每股收益</w:t>
                      </w:r>
                      <w:r>
                        <w:rPr>
                          <w:rFonts w:ascii="宋体" w:hAnsi="宋体" w:cs="宋体" w:eastAsia="宋体" w:hint="default"/>
                          <w:sz w:val="16"/>
                          <w:szCs w:val="16"/>
                        </w:rPr>
                      </w:r>
                    </w:p>
                  </w:txbxContent>
                </v:textbox>
                <w10:wrap type="none"/>
              </v:shape>
              <v:shape style="position:absolute;left:137;top:828;width:2238;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归属于公司普通股股东的净利润</w:t>
                      </w:r>
                      <w:r>
                        <w:rPr>
                          <w:rFonts w:ascii="宋体" w:hAnsi="宋体" w:cs="宋体" w:eastAsia="宋体" w:hint="default"/>
                          <w:sz w:val="16"/>
                          <w:szCs w:val="16"/>
                        </w:rPr>
                      </w:r>
                    </w:p>
                  </w:txbxContent>
                </v:textbox>
                <w10:wrap type="none"/>
              </v:shape>
              <v:shape style="position:absolute;left:4784;top:841;width:44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z w:val="16"/>
                        </w:rPr>
                        <w:t>15.082</w:t>
                      </w:r>
                    </w:p>
                  </w:txbxContent>
                </v:textbox>
                <w10:wrap type="none"/>
              </v:shape>
              <v:shape style="position:absolute;left:6391;top:841;width:36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z w:val="16"/>
                        </w:rPr>
                        <w:t>0.336</w:t>
                      </w:r>
                    </w:p>
                  </w:txbxContent>
                </v:textbox>
                <w10:wrap type="none"/>
              </v:shape>
              <v:shape style="position:absolute;left:7748;top:841;width:36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z w:val="16"/>
                        </w:rPr>
                        <w:t>0.336</w:t>
                      </w:r>
                    </w:p>
                  </w:txbxContent>
                </v:textbox>
                <w10:wrap type="none"/>
              </v:shape>
              <v:shape style="position:absolute;left:137;top:1182;width:3039;height:368" type="#_x0000_t202" filled="false" stroked="false">
                <v:textbox inset="0,0,0,0">
                  <w:txbxContent>
                    <w:p>
                      <w:pPr>
                        <w:spacing w:line="159"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扣除非经常性损益后归属于公司普通股股东</w:t>
                      </w:r>
                      <w:r>
                        <w:rPr>
                          <w:rFonts w:ascii="宋体" w:hAnsi="宋体" w:cs="宋体" w:eastAsia="宋体" w:hint="default"/>
                          <w:sz w:val="16"/>
                          <w:szCs w:val="16"/>
                        </w:rPr>
                      </w:r>
                    </w:p>
                    <w:p>
                      <w:pPr>
                        <w:spacing w:line="20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的净利润</w:t>
                      </w:r>
                    </w:p>
                  </w:txbxContent>
                </v:textbox>
                <w10:wrap type="none"/>
              </v:shape>
              <v:shape style="position:absolute;left:4864;top:1300;width:362;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z w:val="16"/>
                        </w:rPr>
                        <w:t>5.002</w:t>
                      </w:r>
                    </w:p>
                  </w:txbxContent>
                </v:textbox>
                <w10:wrap type="none"/>
              </v:shape>
              <v:shape style="position:absolute;left:6403;top:1300;width:349;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pacing w:val="-3"/>
                          <w:sz w:val="16"/>
                        </w:rPr>
                        <w:t>0.111</w:t>
                      </w:r>
                    </w:p>
                  </w:txbxContent>
                </v:textbox>
                <w10:wrap type="none"/>
              </v:shape>
              <v:shape style="position:absolute;left:7760;top:1300;width:349;height:160" type="#_x0000_t202" filled="false" stroked="false">
                <v:textbox inset="0,0,0,0">
                  <w:txbxContent>
                    <w:p>
                      <w:pPr>
                        <w:spacing w:line="160" w:lineRule="exact" w:before="0"/>
                        <w:ind w:left="0" w:right="0" w:firstLine="0"/>
                        <w:jc w:val="left"/>
                        <w:rPr>
                          <w:rFonts w:ascii="Times New Roman" w:hAnsi="Times New Roman" w:cs="Times New Roman" w:eastAsia="Times New Roman" w:hint="default"/>
                          <w:sz w:val="16"/>
                          <w:szCs w:val="16"/>
                        </w:rPr>
                      </w:pPr>
                      <w:r>
                        <w:rPr>
                          <w:rFonts w:ascii="Times New Roman"/>
                          <w:spacing w:val="-3"/>
                          <w:sz w:val="16"/>
                        </w:rPr>
                        <w:t>0.111</w:t>
                      </w:r>
                    </w:p>
                  </w:txbxContent>
                </v:textbox>
                <w10:wrap type="none"/>
              </v:shape>
            </v:group>
          </v:group>
        </w:pict>
      </w:r>
      <w:r>
        <w:rPr>
          <w:rFonts w:ascii="宋体" w:hAnsi="宋体" w:cs="宋体" w:eastAsia="宋体" w:hint="default"/>
          <w:position w:val="-32"/>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4"/>
          <w:szCs w:val="14"/>
        </w:rPr>
      </w:pPr>
    </w:p>
    <w:p>
      <w:pPr>
        <w:spacing w:before="0"/>
        <w:ind w:left="5921" w:right="1682" w:firstLine="0"/>
        <w:jc w:val="left"/>
        <w:rPr>
          <w:rFonts w:ascii="宋体" w:hAnsi="宋体" w:cs="宋体" w:eastAsia="宋体" w:hint="default"/>
          <w:sz w:val="18"/>
          <w:szCs w:val="18"/>
        </w:rPr>
      </w:pPr>
      <w:r>
        <w:rPr>
          <w:rFonts w:ascii="宋体" w:hAnsi="宋体" w:cs="宋体" w:eastAsia="宋体" w:hint="default"/>
          <w:b/>
          <w:bCs/>
          <w:sz w:val="18"/>
          <w:szCs w:val="18"/>
        </w:rPr>
        <w:t>中国长城科技集团股份有限公司</w:t>
      </w:r>
      <w:r>
        <w:rPr>
          <w:rFonts w:ascii="宋体" w:hAnsi="宋体" w:cs="宋体" w:eastAsia="宋体" w:hint="default"/>
          <w:sz w:val="18"/>
          <w:szCs w:val="18"/>
        </w:rPr>
      </w:r>
    </w:p>
    <w:p>
      <w:pPr>
        <w:pStyle w:val="Heading5"/>
        <w:spacing w:line="240" w:lineRule="auto" w:before="161"/>
        <w:ind w:left="6508" w:right="1793"/>
        <w:jc w:val="left"/>
        <w:rPr>
          <w:b w:val="0"/>
          <w:bCs w:val="0"/>
        </w:rPr>
      </w:pPr>
      <w:r>
        <w:rPr>
          <w:rFonts w:ascii="Times New Roman" w:hAnsi="Times New Roman" w:cs="Times New Roman" w:eastAsia="Times New Roman" w:hint="default"/>
          <w:spacing w:val="14"/>
        </w:rPr>
        <w:t>2019 </w:t>
      </w:r>
      <w:r>
        <w:rPr/>
        <w:t>年 </w:t>
      </w:r>
      <w:r>
        <w:rPr>
          <w:rFonts w:ascii="Times New Roman" w:hAnsi="Times New Roman" w:cs="Times New Roman" w:eastAsia="Times New Roman" w:hint="default"/>
        </w:rPr>
        <w:t>4  </w:t>
      </w:r>
      <w:r>
        <w:rPr/>
        <w:t>月 </w:t>
      </w:r>
      <w:r>
        <w:rPr>
          <w:rFonts w:ascii="Times New Roman" w:hAnsi="Times New Roman" w:cs="Times New Roman" w:eastAsia="Times New Roman" w:hint="default"/>
          <w:spacing w:val="10"/>
        </w:rPr>
        <w:t>29</w:t>
      </w:r>
      <w:r>
        <w:rPr>
          <w:rFonts w:ascii="Times New Roman" w:hAnsi="Times New Roman" w:cs="Times New Roman" w:eastAsia="Times New Roman" w:hint="default"/>
          <w:spacing w:val="18"/>
        </w:rPr>
        <w:t> </w:t>
      </w:r>
      <w:r>
        <w:rPr/>
        <w:t>日</w:t>
      </w:r>
      <w:r>
        <w:rPr>
          <w:b w:val="0"/>
          <w:bCs w:val="0"/>
        </w:rPr>
      </w:r>
    </w:p>
    <w:sectPr>
      <w:pgSz w:w="11910" w:h="16840"/>
      <w:pgMar w:header="0" w:footer="577" w:top="1380" w:bottom="760" w:left="166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Arial Narrow">
    <w:altName w:val="Arial Narrow"/>
    <w:charset w:val="0"/>
    <w:family w:val="swiss"/>
    <w:pitch w:val="variable"/>
  </w:font>
  <w:font w:name="宋体">
    <w:altName w:val="宋体"/>
    <w:charset w:val="86"/>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09985pt;margin-top:806.796997pt;width:59.499296pt;height:26.797393pt;mso-position-horizontal-relative:page;mso-position-vertical-relative:page;z-index:-1402816" type="#_x0000_t75" stroked="false">
          <v:imagedata r:id="rId1" o:titl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09985pt;margin-top:806.796997pt;width:59.499296pt;height:26.797393pt;mso-position-horizontal-relative:page;mso-position-vertical-relative:page;z-index:-1402360" type="#_x0000_t75" stroked="false">
          <v:imagedata r:id="rId1" o:title=""/>
        </v:shape>
      </w:pict>
    </w:r>
    <w:r>
      <w:rPr/>
      <w:pict>
        <v:shape style="position:absolute;margin-left:253.940002pt;margin-top:780.925354pt;width:87.45pt;height:11.5pt;mso-position-horizontal-relative:page;mso-position-vertical-relative:page;z-index:-140233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32</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09985pt;margin-top:806.796997pt;width:59.499296pt;height:26.797393pt;mso-position-horizontal-relative:page;mso-position-vertical-relative:page;z-index:-1402312" type="#_x0000_t75" stroked="false">
          <v:imagedata r:id="rId1" o:title=""/>
        </v:shape>
      </w:pict>
    </w:r>
    <w:r>
      <w:rPr/>
      <w:pict>
        <v:shape style="position:absolute;margin-left:253.940002pt;margin-top:780.925354pt;width:87.45pt;height:11.5pt;mso-position-horizontal-relative:page;mso-position-vertical-relative:page;z-index:-140228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37</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89.240295pt;margin-top:570.334656pt;width:42.060646pt;height:18.943344pt;mso-position-horizontal-relative:page;mso-position-vertical-relative:page;z-index:-1402168" type="#_x0000_t75" stroked="false">
          <v:imagedata r:id="rId1" o:title=""/>
        </v:shape>
      </w:pict>
    </w:r>
    <w:r>
      <w:rPr/>
      <w:pict>
        <v:shape style="position:absolute;margin-left:377.170502pt;margin-top:534.3255pt;width:87.45pt;height:11.5pt;mso-position-horizontal-relative:page;mso-position-vertical-relative:page;z-index:-140214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42</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89.240295pt;margin-top:570.334656pt;width:42.060646pt;height:18.943344pt;mso-position-horizontal-relative:page;mso-position-vertical-relative:page;z-index:-1402072" type="#_x0000_t75" stroked="false">
          <v:imagedata r:id="rId1" o:title=""/>
        </v:shape>
      </w:pict>
    </w:r>
    <w:r>
      <w:rPr/>
      <w:pict>
        <v:shape style="position:absolute;margin-left:377.170502pt;margin-top:534.3255pt;width:87.45pt;height:11.5pt;mso-position-horizontal-relative:page;mso-position-vertical-relative:page;z-index:-140204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45</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09985pt;margin-top:806.796997pt;width:59.499296pt;height:26.797393pt;mso-position-horizontal-relative:page;mso-position-vertical-relative:page;z-index:-1402792" type="#_x0000_t75" stroked="false">
          <v:imagedata r:id="rId1" o:title=""/>
        </v:shape>
      </w:pict>
    </w:r>
    <w:r>
      <w:rPr/>
      <w:pict>
        <v:shape style="position:absolute;margin-left:291.160004pt;margin-top:781.897522pt;width:13pt;height:11pt;mso-position-horizontal-relative:page;mso-position-vertical-relative:page;z-index:-140276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09985pt;margin-top:806.796997pt;width:59.499296pt;height:26.797393pt;mso-position-horizontal-relative:page;mso-position-vertical-relative:page;z-index:-1401928" type="#_x0000_t75" stroked="false">
          <v:imagedata r:id="rId1" o:title=""/>
        </v:shape>
      </w:pict>
    </w:r>
    <w:r>
      <w:rPr/>
      <w:pict>
        <v:shape style="position:absolute;margin-left:253.940002pt;margin-top:780.925354pt;width:87.45pt;height:11.5pt;mso-position-horizontal-relative:page;mso-position-vertical-relative:page;z-index:-140190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51</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09985pt;margin-top:806.796997pt;width:59.499296pt;height:26.797393pt;mso-position-horizontal-relative:page;mso-position-vertical-relative:page;z-index:-1401880" type="#_x0000_t75" stroked="false">
          <v:imagedata r:id="rId1" o:title=""/>
        </v:shape>
      </w:pict>
    </w:r>
    <w:r>
      <w:rPr/>
      <w:pict>
        <v:shape style="position:absolute;margin-left:253.940002pt;margin-top:780.925354pt;width:87.45pt;height:11.5pt;mso-position-horizontal-relative:page;mso-position-vertical-relative:page;z-index:-140185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64</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09985pt;margin-top:806.796997pt;width:59.499296pt;height:26.797393pt;mso-position-horizontal-relative:page;mso-position-vertical-relative:page;z-index:-1401832" type="#_x0000_t75" stroked="false">
          <v:imagedata r:id="rId1" o:title=""/>
        </v:shape>
      </w:pict>
    </w:r>
    <w:r>
      <w:rPr/>
      <w:pict>
        <v:shape style="position:absolute;margin-left:253.940002pt;margin-top:780.925354pt;width:87.45pt;height:11.5pt;mso-position-horizontal-relative:page;mso-position-vertical-relative:page;z-index:-140180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66</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09985pt;margin-top:806.796997pt;width:59.499296pt;height:26.797393pt;mso-position-horizontal-relative:page;mso-position-vertical-relative:page;z-index:-1401736" type="#_x0000_t75" stroked="false">
          <v:imagedata r:id="rId1" o:title=""/>
        </v:shape>
      </w:pict>
    </w:r>
    <w:r>
      <w:rPr/>
      <w:pict>
        <v:shape style="position:absolute;margin-left:253.940002pt;margin-top:780.925354pt;width:87.45pt;height:11.5pt;mso-position-horizontal-relative:page;mso-position-vertical-relative:page;z-index:-140171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78</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09985pt;margin-top:806.796997pt;width:59.499296pt;height:26.797393pt;mso-position-horizontal-relative:page;mso-position-vertical-relative:page;z-index:-1402744" type="#_x0000_t75" stroked="false">
          <v:imagedata r:id="rId1" o:titl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09985pt;margin-top:806.796997pt;width:59.499296pt;height:26.797393pt;mso-position-horizontal-relative:page;mso-position-vertical-relative:page;z-index:-1401688" type="#_x0000_t75" stroked="false">
          <v:imagedata r:id="rId1" o:title=""/>
        </v:shape>
      </w:pict>
    </w:r>
    <w:r>
      <w:rPr/>
      <w:pict>
        <v:shape style="position:absolute;margin-left:251.660004pt;margin-top:780.925354pt;width:91.95pt;height:11.5pt;mso-position-horizontal-relative:page;mso-position-vertical-relative:page;z-index:-140166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09985pt;margin-top:806.796997pt;width:59.499296pt;height:26.797393pt;mso-position-horizontal-relative:page;mso-position-vertical-relative:page;z-index:-1401640" type="#_x0000_t75" stroked="false">
          <v:imagedata r:id="rId1" o:title=""/>
        </v:shape>
      </w:pict>
    </w:r>
    <w:r>
      <w:rPr/>
      <w:pict>
        <v:shape style="position:absolute;margin-left:251.660004pt;margin-top:780.925354pt;width:91.95pt;height:11.5pt;mso-position-horizontal-relative:page;mso-position-vertical-relative:page;z-index:-140161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101</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09985pt;margin-top:806.796997pt;width:59.499296pt;height:26.797393pt;mso-position-horizontal-relative:page;mso-position-vertical-relative:page;z-index:-1401592" type="#_x0000_t75" stroked="false">
          <v:imagedata r:id="rId1" o:title=""/>
        </v:shape>
      </w:pict>
    </w:r>
    <w:r>
      <w:rPr/>
      <w:pict>
        <v:shape style="position:absolute;margin-left:251.839996pt;margin-top:780.925354pt;width:91.6pt;height:11.5pt;mso-position-horizontal-relative:page;mso-position-vertical-relative:page;z-index:-140156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115</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09985pt;margin-top:806.796997pt;width:59.499296pt;height:26.797393pt;mso-position-horizontal-relative:page;mso-position-vertical-relative:page;z-index:-1401544" type="#_x0000_t75" stroked="false">
          <v:imagedata r:id="rId1" o:title=""/>
        </v:shape>
      </w:pict>
    </w:r>
    <w:r>
      <w:rPr/>
      <w:pict>
        <v:shape style="position:absolute;margin-left:251.660004pt;margin-top:780.925354pt;width:91.95pt;height:11.5pt;mso-position-horizontal-relative:page;mso-position-vertical-relative:page;z-index:-140152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120</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09985pt;margin-top:806.796997pt;width:59.499296pt;height:26.797393pt;mso-position-horizontal-relative:page;mso-position-vertical-relative:page;z-index:-1401472" type="#_x0000_t75" stroked="false">
          <v:imagedata r:id="rId1" o:title=""/>
        </v:shape>
      </w:pict>
    </w:r>
    <w:r>
      <w:rPr/>
      <w:pict>
        <v:shape style="position:absolute;margin-left:251.660004pt;margin-top:802.165344pt;width:91.95pt;height:11.5pt;mso-position-horizontal-relative:page;mso-position-vertical-relative:page;z-index:-140144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123</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09985pt;margin-top:806.796997pt;width:59.499296pt;height:26.797393pt;mso-position-horizontal-relative:page;mso-position-vertical-relative:page;z-index:-1402720" type="#_x0000_t75" stroked="false">
          <v:imagedata r:id="rId1" o:titl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09985pt;margin-top:806.796997pt;width:59.499296pt;height:26.797393pt;mso-position-horizontal-relative:page;mso-position-vertical-relative:page;z-index:-1402672" type="#_x0000_t75" stroked="false">
          <v:imagedata r:id="rId1" o:title=""/>
        </v:shape>
      </w:pict>
    </w:r>
    <w:r>
      <w:rPr/>
      <w:pict>
        <v:shape style="position:absolute;margin-left:265.159698pt;margin-top:780.865051pt;width:65pt;height:11.5pt;mso-position-horizontal-relative:page;mso-position-vertical-relative:page;z-index:-140264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审计报告第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w:t>
                </w:r>
                <w:r>
                  <w:rPr/>
                  <w:fldChar w:fldCharType="end"/>
                </w:r>
                <w:r>
                  <w:rPr>
                    <w:rFonts w:ascii="Times New Roman" w:hAnsi="Times New Roman" w:cs="Times New Roman" w:eastAsia="Times New Roman" w:hint="default"/>
                    <w:sz w:val="18"/>
                    <w:szCs w:val="18"/>
                  </w:rPr>
                  <w:t> </w:t>
                </w:r>
                <w:r>
                  <w:rPr>
                    <w:rFonts w:ascii="宋体" w:hAnsi="宋体" w:cs="宋体" w:eastAsia="宋体" w:hint="default"/>
                    <w:sz w:val="18"/>
                    <w:szCs w:val="18"/>
                  </w:rPr>
                  <w:t>页</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09985pt;margin-top:806.796997pt;width:59.499296pt;height:26.797393pt;mso-position-horizontal-relative:page;mso-position-vertical-relative:page;z-index:-1402576" type="#_x0000_t75" stroked="false">
          <v:imagedata r:id="rId1" o:title=""/>
        </v:shape>
      </w:pict>
    </w:r>
    <w:r>
      <w:rPr/>
      <w:pict>
        <v:shape style="position:absolute;margin-left:274.160309pt;margin-top:791.785339pt;width:46.95pt;height:11.5pt;mso-position-horizontal-relative:page;mso-position-vertical-relative:page;z-index:-140255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报表第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89.240295pt;margin-top:570.334656pt;width:42.060646pt;height:18.943344pt;mso-position-horizontal-relative:page;mso-position-vertical-relative:page;z-index:-1402504" type="#_x0000_t75" stroked="false">
          <v:imagedata r:id="rId1" o:title=""/>
        </v:shape>
      </w:pict>
    </w:r>
    <w:r>
      <w:rPr/>
      <w:pict>
        <v:shape style="position:absolute;margin-left:395.170807pt;margin-top:545.185608pt;width:51.45pt;height:11.5pt;mso-position-horizontal-relative:page;mso-position-vertical-relative:page;z-index:-140248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报表第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10</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09985pt;margin-top:806.796997pt;width:59.499296pt;height:26.797393pt;mso-position-horizontal-relative:page;mso-position-vertical-relative:page;z-index:-1402408" type="#_x0000_t75" stroked="false">
          <v:imagedata r:id="rId1" o:title=""/>
        </v:shape>
      </w:pict>
    </w:r>
    <w:r>
      <w:rPr/>
      <w:pict>
        <v:shape style="position:absolute;margin-left:253.940002pt;margin-top:780.925354pt;width:87.45pt;height:11.5pt;mso-position-horizontal-relative:page;mso-position-vertical-relative:page;z-index:-140238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财务报表附注第</w:t>
                </w:r>
                <w:r>
                  <w:rPr>
                    <w:rFonts w:ascii="宋体" w:hAnsi="宋体" w:cs="宋体" w:eastAsia="宋体" w:hint="default"/>
                    <w:spacing w:val="-46"/>
                    <w:sz w:val="18"/>
                    <w:szCs w:val="18"/>
                  </w:rPr>
                  <w:t> </w:t>
                </w:r>
                <w:r>
                  <w:rPr>
                    <w:rFonts w:ascii="Times New Roman" w:hAnsi="Times New Roman" w:cs="Times New Roman" w:eastAsia="Times New Roman" w:hint="default"/>
                    <w:spacing w:val="-46"/>
                    <w:sz w:val="18"/>
                    <w:szCs w:val="18"/>
                  </w:rPr>
                </w:r>
                <w:r>
                  <w:rPr/>
                  <w:fldChar w:fldCharType="begin"/>
                </w:r>
                <w:r>
                  <w:rPr>
                    <w:rFonts w:ascii="Times New Roman" w:hAnsi="Times New Roman" w:cs="Times New Roman" w:eastAsia="Times New Roman" w:hint="default"/>
                    <w:sz w:val="18"/>
                    <w:szCs w:val="18"/>
                  </w:rPr>
                  <w:instrText> PAGE </w:instrText>
                </w:r>
                <w:r>
                  <w:rPr/>
                  <w:fldChar w:fldCharType="separate"/>
                </w:r>
                <w:r>
                  <w:rPr/>
                  <w:t>10</w:t>
                </w:r>
                <w:r>
                  <w:rPr/>
                  <w:fldChar w:fldCharType="end"/>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页</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335.119995pt;margin-top:38.365326pt;width:204.5pt;height:11.5pt;mso-position-horizontal-relative:page;mso-position-vertical-relative:page;z-index:-140284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中国长城科技集团股份有限公司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年度报告全文</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8.379997pt;margin-top:76.680008pt;width:418.7pt;height:.1pt;mso-position-horizontal-relative:page;mso-position-vertical-relative:page;z-index:-1402264" coordorigin="1768,1534" coordsize="8374,2">
          <v:shape style="position:absolute;left:1768;top:1534;width:8374;height:2" coordorigin="1768,1534" coordsize="8374,0" path="m1768,1534l10141,1534e" filled="false" stroked="true" strokeweight=".47998pt" strokecolor="#000000">
            <v:path arrowok="t"/>
          </v:shape>
          <w10:wrap type="none"/>
        </v:group>
      </w:pict>
    </w:r>
    <w:r>
      <w:rPr/>
      <w:pict>
        <v:shape style="position:absolute;margin-left:88.879997pt;margin-top:64.105324pt;width:56pt;height:11pt;mso-position-horizontal-relative:page;mso-position-vertical-relative:page;z-index:-140224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0.490997pt;margin-top:76.680pt;width:701pt;height:.1pt;mso-position-horizontal-relative:page;mso-position-vertical-relative:page;z-index:-1402216" coordorigin="1410,1534" coordsize="14020,2">
          <v:shape style="position:absolute;left:1410;top:1534;width:14020;height:2" coordorigin="1410,1534" coordsize="14020,0" path="m1410,1534l15429,1534e" filled="false" stroked="true" strokeweight=".48pt" strokecolor="#000000">
            <v:path arrowok="t"/>
          </v:shape>
          <w10:wrap type="none"/>
        </v:group>
      </w:pict>
    </w:r>
    <w:r>
      <w:rPr/>
      <w:pict>
        <v:shape style="position:absolute;margin-left:70.990501pt;margin-top:64.105621pt;width:56pt;height:11pt;mso-position-horizontal-relative:page;mso-position-vertical-relative:page;z-index:-140219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0.490997pt;margin-top:76.680pt;width:701pt;height:.1pt;mso-position-horizontal-relative:page;mso-position-vertical-relative:page;z-index:-1402120" coordorigin="1410,1534" coordsize="14020,2">
          <v:shape style="position:absolute;left:1410;top:1534;width:14020;height:2" coordorigin="1410,1534" coordsize="14020,0" path="m1410,1534l15429,1534e" filled="false" stroked="true" strokeweight=".48pt" strokecolor="#000000">
            <v:path arrowok="t"/>
          </v:shape>
          <w10:wrap type="none"/>
        </v:group>
      </w:pict>
    </w:r>
    <w:r>
      <w:rPr/>
      <w:pict>
        <v:shape style="position:absolute;margin-left:70.990501pt;margin-top:64.105621pt;width:56pt;height:11pt;mso-position-horizontal-relative:page;mso-position-vertical-relative:page;z-index:-140209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8.379997pt;margin-top:76.680008pt;width:418.7pt;height:.1pt;mso-position-horizontal-relative:page;mso-position-vertical-relative:page;z-index:-1402024" coordorigin="1768,1534" coordsize="8374,2">
          <v:shape style="position:absolute;left:1768;top:1534;width:8374;height:2" coordorigin="1768,1534" coordsize="8374,0" path="m1768,1534l10141,1534e" filled="false" stroked="true" strokeweight=".47998pt" strokecolor="#000000">
            <v:path arrowok="t"/>
          </v:shape>
          <w10:wrap type="none"/>
        </v:group>
      </w:pict>
    </w:r>
    <w:r>
      <w:rPr/>
      <w:pict>
        <v:shape style="position:absolute;margin-left:88.879997pt;margin-top:64.105324pt;width:56pt;height:11pt;mso-position-horizontal-relative:page;mso-position-vertical-relative:page;z-index:-140200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8.379997pt;margin-top:76.680008pt;width:418.7pt;height:.1pt;mso-position-horizontal-relative:page;mso-position-vertical-relative:page;z-index:-1401976" coordorigin="1768,1534" coordsize="8374,2">
          <v:shape style="position:absolute;left:1768;top:1534;width:8374;height:2" coordorigin="1768,1534" coordsize="8374,0" path="m1768,1534l10141,1534e" filled="false" stroked="true" strokeweight=".47998pt" strokecolor="#000000">
            <v:path arrowok="t"/>
          </v:shape>
          <w10:wrap type="none"/>
        </v:group>
      </w:pict>
    </w:r>
    <w:r>
      <w:rPr/>
      <w:pict>
        <v:shape style="position:absolute;margin-left:88.879997pt;margin-top:64.105324pt;width:56pt;height:11pt;mso-position-horizontal-relative:page;mso-position-vertical-relative:page;z-index:-140195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8.879997pt;margin-top:64.105927pt;width:56pt;height:11pt;mso-position-horizontal-relative:page;mso-position-vertical-relative:page;z-index:-140178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8.879997pt;margin-top:71.245323pt;width:56pt;height:11pt;mso-position-horizontal-relative:page;mso-position-vertical-relative:page;z-index:-140176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8.879997pt;margin-top:57.025326pt;width:56pt;height:11pt;mso-position-horizontal-relative:page;mso-position-vertical-relative:page;z-index:-140149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61.919998pt;margin-top:33.959999pt;width:478.15pt;height:47.8pt;mso-position-horizontal-relative:page;mso-position-vertical-relative:page;z-index:-1402696" coordorigin="1238,679" coordsize="9563,956">
          <v:shape style="position:absolute;left:1238;top:679;width:9563;height:954" type="#_x0000_t75" stroked="false">
            <v:imagedata r:id="rId1" o:title=""/>
          </v:shape>
          <v:shape style="position:absolute;left:3150;top:1632;width:12;height:2" type="#_x0000_t75" stroked="false">
            <v:imagedata r:id="rId2" o:title=""/>
          </v:shape>
          <w10:wrap type="none"/>
        </v:group>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61.919998pt;margin-top:33.959999pt;width:478.15pt;height:47.8pt;mso-position-horizontal-relative:page;mso-position-vertical-relative:page;z-index:-1402624" coordorigin="1238,679" coordsize="9563,956">
          <v:shape style="position:absolute;left:1238;top:679;width:9563;height:954" type="#_x0000_t75" stroked="false">
            <v:imagedata r:id="rId1" o:title=""/>
          </v:shape>
          <v:shape style="position:absolute;left:3150;top:1632;width:12;height:2" type="#_x0000_t75" stroked="false">
            <v:imagedata r:id="rId2" o:title=""/>
          </v:shape>
          <w10:wrap type="none"/>
        </v:group>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33.481201pt;margin-top:48.445625pt;width:128.4500pt;height:11pt;mso-position-horizontal-relative:page;mso-position-vertical-relative:page;z-index:-140260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b/>
                    <w:bCs/>
                    <w:sz w:val="18"/>
                    <w:szCs w:val="18"/>
                  </w:rPr>
                  <w:t>中国长城科技集团股份有限公司</w:t>
                </w:r>
                <w:r>
                  <w:rPr>
                    <w:rFonts w:ascii="宋体" w:hAnsi="宋体" w:cs="宋体" w:eastAsia="宋体" w:hint="default"/>
                    <w:sz w:val="18"/>
                    <w:szCs w:val="18"/>
                  </w:rPr>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56.71109pt;margin-top:72.266228pt;width:128.4500pt;height:11pt;mso-position-horizontal-relative:page;mso-position-vertical-relative:page;z-index:-1402528"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b/>
                    <w:bCs/>
                    <w:sz w:val="18"/>
                    <w:szCs w:val="18"/>
                  </w:rPr>
                  <w:t>中国长城科技集团股份有限公司</w:t>
                </w:r>
                <w:r>
                  <w:rPr>
                    <w:rFonts w:ascii="宋体" w:hAnsi="宋体" w:cs="宋体" w:eastAsia="宋体" w:hint="default"/>
                    <w:sz w:val="18"/>
                    <w:szCs w:val="18"/>
                  </w:rPr>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8.379997pt;margin-top:76.680008pt;width:418.7pt;height:.1pt;mso-position-horizontal-relative:page;mso-position-vertical-relative:page;z-index:-1402456" coordorigin="1768,1534" coordsize="8374,2">
          <v:shape style="position:absolute;left:1768;top:1534;width:8374;height:2" coordorigin="1768,1534" coordsize="8374,0" path="m1768,1534l10141,1534e" filled="false" stroked="true" strokeweight=".47998pt" strokecolor="#000000">
            <v:path arrowok="t"/>
          </v:shape>
          <w10:wrap type="none"/>
        </v:group>
      </w:pict>
    </w:r>
    <w:r>
      <w:rPr/>
      <w:pict>
        <v:shape style="position:absolute;margin-left:88.879997pt;margin-top:64.105324pt;width:56pt;height:11pt;mso-position-horizontal-relative:page;mso-position-vertical-relative:page;z-index:-140243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财务报表附注</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159"/>
      <w:ind w:left="153"/>
    </w:pPr>
    <w:rPr>
      <w:rFonts w:ascii="宋体" w:hAnsi="宋体" w:eastAsia="宋体"/>
      <w:b/>
      <w:bCs/>
      <w:sz w:val="24"/>
      <w:szCs w:val="24"/>
    </w:rPr>
  </w:style>
  <w:style w:styleId="BodyText" w:type="paragraph">
    <w:name w:val="Body Text"/>
    <w:basedOn w:val="Normal"/>
    <w:uiPriority w:val="1"/>
    <w:qFormat/>
    <w:pPr>
      <w:spacing w:before="109"/>
      <w:ind w:left="1413"/>
    </w:pPr>
    <w:rPr>
      <w:rFonts w:ascii="宋体" w:hAnsi="宋体" w:eastAsia="宋体"/>
      <w:sz w:val="21"/>
      <w:szCs w:val="21"/>
    </w:rPr>
  </w:style>
  <w:style w:styleId="Heading1" w:type="paragraph">
    <w:name w:val="Heading 1"/>
    <w:basedOn w:val="Normal"/>
    <w:uiPriority w:val="1"/>
    <w:qFormat/>
    <w:pPr>
      <w:spacing w:before="1"/>
      <w:ind w:left="155"/>
      <w:outlineLvl w:val="1"/>
    </w:pPr>
    <w:rPr>
      <w:rFonts w:ascii="宋体" w:hAnsi="宋体" w:eastAsia="宋体"/>
      <w:b/>
      <w:bCs/>
      <w:sz w:val="32"/>
      <w:szCs w:val="32"/>
    </w:rPr>
  </w:style>
  <w:style w:styleId="Heading2" w:type="paragraph">
    <w:name w:val="Heading 2"/>
    <w:basedOn w:val="Normal"/>
    <w:uiPriority w:val="1"/>
    <w:qFormat/>
    <w:pPr>
      <w:ind w:left="153"/>
      <w:outlineLvl w:val="2"/>
    </w:pPr>
    <w:rPr>
      <w:rFonts w:ascii="宋体" w:hAnsi="宋体" w:eastAsia="宋体"/>
      <w:b/>
      <w:bCs/>
      <w:sz w:val="28"/>
      <w:szCs w:val="28"/>
    </w:rPr>
  </w:style>
  <w:style w:styleId="Heading3" w:type="paragraph">
    <w:name w:val="Heading 3"/>
    <w:basedOn w:val="Normal"/>
    <w:uiPriority w:val="1"/>
    <w:qFormat/>
    <w:pPr>
      <w:ind w:left="320" w:firstLine="567"/>
      <w:outlineLvl w:val="3"/>
    </w:pPr>
    <w:rPr>
      <w:rFonts w:ascii="宋体" w:hAnsi="宋体" w:eastAsia="宋体"/>
      <w:sz w:val="28"/>
      <w:szCs w:val="28"/>
    </w:rPr>
  </w:style>
  <w:style w:styleId="Heading4" w:type="paragraph">
    <w:name w:val="Heading 4"/>
    <w:basedOn w:val="Normal"/>
    <w:uiPriority w:val="1"/>
    <w:qFormat/>
    <w:pPr>
      <w:ind w:left="154"/>
      <w:outlineLvl w:val="4"/>
    </w:pPr>
    <w:rPr>
      <w:rFonts w:ascii="宋体" w:hAnsi="宋体" w:eastAsia="宋体"/>
      <w:b/>
      <w:bCs/>
      <w:sz w:val="24"/>
      <w:szCs w:val="24"/>
    </w:rPr>
  </w:style>
  <w:style w:styleId="Heading5" w:type="paragraph">
    <w:name w:val="Heading 5"/>
    <w:basedOn w:val="Normal"/>
    <w:uiPriority w:val="1"/>
    <w:qFormat/>
    <w:pPr>
      <w:spacing w:before="35"/>
      <w:ind w:left="137"/>
      <w:outlineLvl w:val="5"/>
    </w:pPr>
    <w:rPr>
      <w:rFonts w:ascii="宋体" w:hAnsi="宋体" w:eastAsia="宋体"/>
      <w:b/>
      <w:bCs/>
      <w:sz w:val="21"/>
      <w:szCs w:val="21"/>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footer" Target="footer2.xml"/><Relationship Id="rId9" Type="http://schemas.openxmlformats.org/officeDocument/2006/relationships/hyperlink" Target="http://www.cninfo.com.cn/" TargetMode="External"/><Relationship Id="rId10" Type="http://schemas.openxmlformats.org/officeDocument/2006/relationships/hyperlink" Target="http://www.greatwall.cn/" TargetMode="External"/><Relationship Id="rId11" Type="http://schemas.openxmlformats.org/officeDocument/2006/relationships/hyperlink" Target="mailto:stock@greatwall.com.cn"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eader" Target="header2.xml"/><Relationship Id="rId18" Type="http://schemas.openxmlformats.org/officeDocument/2006/relationships/footer" Target="footer3.xml"/><Relationship Id="rId19" Type="http://schemas.openxmlformats.org/officeDocument/2006/relationships/header" Target="header3.xml"/><Relationship Id="rId20" Type="http://schemas.openxmlformats.org/officeDocument/2006/relationships/footer" Target="footer4.xml"/><Relationship Id="rId21" Type="http://schemas.openxmlformats.org/officeDocument/2006/relationships/header" Target="header4.xml"/><Relationship Id="rId22" Type="http://schemas.openxmlformats.org/officeDocument/2006/relationships/footer" Target="footer5.xml"/><Relationship Id="rId23" Type="http://schemas.openxmlformats.org/officeDocument/2006/relationships/header" Target="header5.xml"/><Relationship Id="rId24" Type="http://schemas.openxmlformats.org/officeDocument/2006/relationships/header" Target="header6.xml"/><Relationship Id="rId25" Type="http://schemas.openxmlformats.org/officeDocument/2006/relationships/footer" Target="footer6.xml"/><Relationship Id="rId26" Type="http://schemas.openxmlformats.org/officeDocument/2006/relationships/header" Target="header7.xml"/><Relationship Id="rId27" Type="http://schemas.openxmlformats.org/officeDocument/2006/relationships/footer" Target="footer7.xml"/><Relationship Id="rId28" Type="http://schemas.openxmlformats.org/officeDocument/2006/relationships/header" Target="header8.xml"/><Relationship Id="rId29" Type="http://schemas.openxmlformats.org/officeDocument/2006/relationships/footer" Target="footer8.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png"/><Relationship Id="rId50" Type="http://schemas.openxmlformats.org/officeDocument/2006/relationships/image" Target="media/image30.png"/><Relationship Id="rId51" Type="http://schemas.openxmlformats.org/officeDocument/2006/relationships/image" Target="media/image31.png"/><Relationship Id="rId52" Type="http://schemas.openxmlformats.org/officeDocument/2006/relationships/image" Target="media/image32.png"/><Relationship Id="rId53" Type="http://schemas.openxmlformats.org/officeDocument/2006/relationships/image" Target="media/image33.png"/><Relationship Id="rId54" Type="http://schemas.openxmlformats.org/officeDocument/2006/relationships/image" Target="media/image34.png"/><Relationship Id="rId55" Type="http://schemas.openxmlformats.org/officeDocument/2006/relationships/image" Target="media/image35.png"/><Relationship Id="rId56" Type="http://schemas.openxmlformats.org/officeDocument/2006/relationships/image" Target="media/image36.png"/><Relationship Id="rId57" Type="http://schemas.openxmlformats.org/officeDocument/2006/relationships/image" Target="media/image37.png"/><Relationship Id="rId58" Type="http://schemas.openxmlformats.org/officeDocument/2006/relationships/image" Target="media/image38.png"/><Relationship Id="rId59" Type="http://schemas.openxmlformats.org/officeDocument/2006/relationships/image" Target="media/image39.png"/><Relationship Id="rId60" Type="http://schemas.openxmlformats.org/officeDocument/2006/relationships/image" Target="media/image40.png"/><Relationship Id="rId61" Type="http://schemas.openxmlformats.org/officeDocument/2006/relationships/image" Target="media/image41.png"/><Relationship Id="rId62" Type="http://schemas.openxmlformats.org/officeDocument/2006/relationships/image" Target="media/image42.png"/><Relationship Id="rId63" Type="http://schemas.openxmlformats.org/officeDocument/2006/relationships/image" Target="media/image43.png"/><Relationship Id="rId64" Type="http://schemas.openxmlformats.org/officeDocument/2006/relationships/image" Target="media/image44.png"/><Relationship Id="rId65" Type="http://schemas.openxmlformats.org/officeDocument/2006/relationships/image" Target="media/image45.png"/><Relationship Id="rId66" Type="http://schemas.openxmlformats.org/officeDocument/2006/relationships/image" Target="media/image46.png"/><Relationship Id="rId67" Type="http://schemas.openxmlformats.org/officeDocument/2006/relationships/image" Target="media/image47.png"/><Relationship Id="rId68" Type="http://schemas.openxmlformats.org/officeDocument/2006/relationships/image" Target="media/image48.png"/><Relationship Id="rId69" Type="http://schemas.openxmlformats.org/officeDocument/2006/relationships/image" Target="media/image49.png"/><Relationship Id="rId70" Type="http://schemas.openxmlformats.org/officeDocument/2006/relationships/image" Target="media/image50.png"/><Relationship Id="rId71" Type="http://schemas.openxmlformats.org/officeDocument/2006/relationships/image" Target="media/image51.png"/><Relationship Id="rId72" Type="http://schemas.openxmlformats.org/officeDocument/2006/relationships/header" Target="header9.xml"/><Relationship Id="rId73" Type="http://schemas.openxmlformats.org/officeDocument/2006/relationships/footer" Target="footer9.xml"/><Relationship Id="rId74" Type="http://schemas.openxmlformats.org/officeDocument/2006/relationships/image" Target="media/image52.png"/><Relationship Id="rId75" Type="http://schemas.openxmlformats.org/officeDocument/2006/relationships/image" Target="media/image53.png"/><Relationship Id="rId76" Type="http://schemas.openxmlformats.org/officeDocument/2006/relationships/image" Target="media/image54.png"/><Relationship Id="rId77" Type="http://schemas.openxmlformats.org/officeDocument/2006/relationships/image" Target="media/image55.png"/><Relationship Id="rId78" Type="http://schemas.openxmlformats.org/officeDocument/2006/relationships/image" Target="media/image56.png"/><Relationship Id="rId79" Type="http://schemas.openxmlformats.org/officeDocument/2006/relationships/image" Target="media/image1.jpeg"/><Relationship Id="rId80" Type="http://schemas.openxmlformats.org/officeDocument/2006/relationships/footer" Target="footer10.xml"/><Relationship Id="rId81" Type="http://schemas.openxmlformats.org/officeDocument/2006/relationships/image" Target="media/image57.png"/><Relationship Id="rId82" Type="http://schemas.openxmlformats.org/officeDocument/2006/relationships/image" Target="media/image58.png"/><Relationship Id="rId83" Type="http://schemas.openxmlformats.org/officeDocument/2006/relationships/image" Target="media/image59.png"/><Relationship Id="rId84" Type="http://schemas.openxmlformats.org/officeDocument/2006/relationships/image" Target="media/image60.png"/><Relationship Id="rId85" Type="http://schemas.openxmlformats.org/officeDocument/2006/relationships/image" Target="media/image61.png"/><Relationship Id="rId86" Type="http://schemas.openxmlformats.org/officeDocument/2006/relationships/image" Target="media/image62.png"/><Relationship Id="rId87" Type="http://schemas.openxmlformats.org/officeDocument/2006/relationships/image" Target="media/image63.png"/><Relationship Id="rId88" Type="http://schemas.openxmlformats.org/officeDocument/2006/relationships/image" Target="media/image64.png"/><Relationship Id="rId89" Type="http://schemas.openxmlformats.org/officeDocument/2006/relationships/image" Target="media/image65.png"/><Relationship Id="rId90" Type="http://schemas.openxmlformats.org/officeDocument/2006/relationships/image" Target="media/image66.png"/><Relationship Id="rId91" Type="http://schemas.openxmlformats.org/officeDocument/2006/relationships/image" Target="media/image67.png"/><Relationship Id="rId92" Type="http://schemas.openxmlformats.org/officeDocument/2006/relationships/image" Target="media/image68.png"/><Relationship Id="rId93" Type="http://schemas.openxmlformats.org/officeDocument/2006/relationships/image" Target="media/image69.png"/><Relationship Id="rId94" Type="http://schemas.openxmlformats.org/officeDocument/2006/relationships/image" Target="media/image70.png"/><Relationship Id="rId95" Type="http://schemas.openxmlformats.org/officeDocument/2006/relationships/image" Target="media/image71.png"/><Relationship Id="rId96" Type="http://schemas.openxmlformats.org/officeDocument/2006/relationships/image" Target="media/image72.png"/><Relationship Id="rId97" Type="http://schemas.openxmlformats.org/officeDocument/2006/relationships/image" Target="media/image73.png"/><Relationship Id="rId98" Type="http://schemas.openxmlformats.org/officeDocument/2006/relationships/image" Target="media/image74.png"/><Relationship Id="rId99" Type="http://schemas.openxmlformats.org/officeDocument/2006/relationships/image" Target="media/image75.png"/><Relationship Id="rId100" Type="http://schemas.openxmlformats.org/officeDocument/2006/relationships/image" Target="media/image76.png"/><Relationship Id="rId101" Type="http://schemas.openxmlformats.org/officeDocument/2006/relationships/image" Target="media/image77.png"/><Relationship Id="rId102" Type="http://schemas.openxmlformats.org/officeDocument/2006/relationships/image" Target="media/image78.png"/><Relationship Id="rId103" Type="http://schemas.openxmlformats.org/officeDocument/2006/relationships/image" Target="media/image79.png"/><Relationship Id="rId104" Type="http://schemas.openxmlformats.org/officeDocument/2006/relationships/image" Target="media/image80.png"/><Relationship Id="rId105" Type="http://schemas.openxmlformats.org/officeDocument/2006/relationships/image" Target="media/image81.png"/><Relationship Id="rId106" Type="http://schemas.openxmlformats.org/officeDocument/2006/relationships/image" Target="media/image82.png"/><Relationship Id="rId107" Type="http://schemas.openxmlformats.org/officeDocument/2006/relationships/image" Target="media/image83.png"/><Relationship Id="rId108" Type="http://schemas.openxmlformats.org/officeDocument/2006/relationships/image" Target="media/image84.png"/><Relationship Id="rId109" Type="http://schemas.openxmlformats.org/officeDocument/2006/relationships/image" Target="media/image85.png"/><Relationship Id="rId110" Type="http://schemas.openxmlformats.org/officeDocument/2006/relationships/image" Target="media/image86.png"/><Relationship Id="rId111" Type="http://schemas.openxmlformats.org/officeDocument/2006/relationships/image" Target="media/image87.png"/><Relationship Id="rId112" Type="http://schemas.openxmlformats.org/officeDocument/2006/relationships/image" Target="media/image88.png"/><Relationship Id="rId113" Type="http://schemas.openxmlformats.org/officeDocument/2006/relationships/image" Target="media/image89.png"/><Relationship Id="rId114" Type="http://schemas.openxmlformats.org/officeDocument/2006/relationships/image" Target="media/image90.png"/><Relationship Id="rId115" Type="http://schemas.openxmlformats.org/officeDocument/2006/relationships/image" Target="media/image91.png"/><Relationship Id="rId116" Type="http://schemas.openxmlformats.org/officeDocument/2006/relationships/image" Target="media/image92.png"/><Relationship Id="rId117" Type="http://schemas.openxmlformats.org/officeDocument/2006/relationships/image" Target="media/image93.png"/><Relationship Id="rId118" Type="http://schemas.openxmlformats.org/officeDocument/2006/relationships/image" Target="media/image94.png"/><Relationship Id="rId119" Type="http://schemas.openxmlformats.org/officeDocument/2006/relationships/image" Target="media/image95.png"/><Relationship Id="rId120" Type="http://schemas.openxmlformats.org/officeDocument/2006/relationships/image" Target="media/image96.png"/><Relationship Id="rId121" Type="http://schemas.openxmlformats.org/officeDocument/2006/relationships/image" Target="media/image97.png"/><Relationship Id="rId122" Type="http://schemas.openxmlformats.org/officeDocument/2006/relationships/image" Target="media/image98.png"/><Relationship Id="rId123" Type="http://schemas.openxmlformats.org/officeDocument/2006/relationships/header" Target="header10.xml"/><Relationship Id="rId124" Type="http://schemas.openxmlformats.org/officeDocument/2006/relationships/footer" Target="footer11.xml"/><Relationship Id="rId125" Type="http://schemas.openxmlformats.org/officeDocument/2006/relationships/image" Target="media/image99.png"/><Relationship Id="rId126" Type="http://schemas.openxmlformats.org/officeDocument/2006/relationships/image" Target="media/image100.png"/><Relationship Id="rId127" Type="http://schemas.openxmlformats.org/officeDocument/2006/relationships/image" Target="media/image101.png"/><Relationship Id="rId128" Type="http://schemas.openxmlformats.org/officeDocument/2006/relationships/image" Target="media/image102.png"/><Relationship Id="rId129" Type="http://schemas.openxmlformats.org/officeDocument/2006/relationships/footer" Target="footer12.xml"/><Relationship Id="rId130" Type="http://schemas.openxmlformats.org/officeDocument/2006/relationships/image" Target="media/image103.png"/><Relationship Id="rId131" Type="http://schemas.openxmlformats.org/officeDocument/2006/relationships/image" Target="media/image104.png"/><Relationship Id="rId132" Type="http://schemas.openxmlformats.org/officeDocument/2006/relationships/image" Target="media/image105.png"/><Relationship Id="rId133" Type="http://schemas.openxmlformats.org/officeDocument/2006/relationships/image" Target="media/image106.png"/><Relationship Id="rId134" Type="http://schemas.openxmlformats.org/officeDocument/2006/relationships/image" Target="media/image107.png"/><Relationship Id="rId135" Type="http://schemas.openxmlformats.org/officeDocument/2006/relationships/image" Target="media/image108.png"/><Relationship Id="rId136" Type="http://schemas.openxmlformats.org/officeDocument/2006/relationships/image" Target="media/image109.png"/><Relationship Id="rId137" Type="http://schemas.openxmlformats.org/officeDocument/2006/relationships/image" Target="media/image110.png"/><Relationship Id="rId138" Type="http://schemas.openxmlformats.org/officeDocument/2006/relationships/image" Target="media/image111.png"/><Relationship Id="rId139" Type="http://schemas.openxmlformats.org/officeDocument/2006/relationships/image" Target="media/image112.png"/><Relationship Id="rId140" Type="http://schemas.openxmlformats.org/officeDocument/2006/relationships/image" Target="media/image113.png"/><Relationship Id="rId141" Type="http://schemas.openxmlformats.org/officeDocument/2006/relationships/image" Target="media/image114.png"/><Relationship Id="rId142" Type="http://schemas.openxmlformats.org/officeDocument/2006/relationships/image" Target="media/image115.png"/><Relationship Id="rId143" Type="http://schemas.openxmlformats.org/officeDocument/2006/relationships/image" Target="media/image116.png"/><Relationship Id="rId144" Type="http://schemas.openxmlformats.org/officeDocument/2006/relationships/image" Target="media/image117.png"/><Relationship Id="rId145" Type="http://schemas.openxmlformats.org/officeDocument/2006/relationships/image" Target="media/image118.png"/><Relationship Id="rId146" Type="http://schemas.openxmlformats.org/officeDocument/2006/relationships/image" Target="media/image119.png"/><Relationship Id="rId147" Type="http://schemas.openxmlformats.org/officeDocument/2006/relationships/image" Target="media/image120.png"/><Relationship Id="rId148" Type="http://schemas.openxmlformats.org/officeDocument/2006/relationships/image" Target="media/image121.png"/><Relationship Id="rId149" Type="http://schemas.openxmlformats.org/officeDocument/2006/relationships/image" Target="media/image122.png"/><Relationship Id="rId150" Type="http://schemas.openxmlformats.org/officeDocument/2006/relationships/image" Target="media/image123.png"/><Relationship Id="rId151" Type="http://schemas.openxmlformats.org/officeDocument/2006/relationships/image" Target="media/image124.png"/><Relationship Id="rId152" Type="http://schemas.openxmlformats.org/officeDocument/2006/relationships/image" Target="media/image125.png"/><Relationship Id="rId153" Type="http://schemas.openxmlformats.org/officeDocument/2006/relationships/image" Target="media/image126.png"/><Relationship Id="rId154" Type="http://schemas.openxmlformats.org/officeDocument/2006/relationships/image" Target="media/image127.png"/><Relationship Id="rId155" Type="http://schemas.openxmlformats.org/officeDocument/2006/relationships/image" Target="media/image128.png"/><Relationship Id="rId156" Type="http://schemas.openxmlformats.org/officeDocument/2006/relationships/image" Target="media/image129.png"/><Relationship Id="rId157" Type="http://schemas.openxmlformats.org/officeDocument/2006/relationships/header" Target="header11.xml"/><Relationship Id="rId158" Type="http://schemas.openxmlformats.org/officeDocument/2006/relationships/footer" Target="footer13.xml"/><Relationship Id="rId159" Type="http://schemas.openxmlformats.org/officeDocument/2006/relationships/image" Target="media/image130.png"/><Relationship Id="rId160" Type="http://schemas.openxmlformats.org/officeDocument/2006/relationships/image" Target="media/image131.png"/><Relationship Id="rId161" Type="http://schemas.openxmlformats.org/officeDocument/2006/relationships/header" Target="header12.xml"/><Relationship Id="rId162" Type="http://schemas.openxmlformats.org/officeDocument/2006/relationships/footer" Target="footer14.xml"/><Relationship Id="rId163" Type="http://schemas.openxmlformats.org/officeDocument/2006/relationships/image" Target="media/image132.png"/><Relationship Id="rId164" Type="http://schemas.openxmlformats.org/officeDocument/2006/relationships/image" Target="media/image133.png"/><Relationship Id="rId165" Type="http://schemas.openxmlformats.org/officeDocument/2006/relationships/image" Target="media/image134.png"/><Relationship Id="rId166" Type="http://schemas.openxmlformats.org/officeDocument/2006/relationships/image" Target="media/image135.png"/><Relationship Id="rId167" Type="http://schemas.openxmlformats.org/officeDocument/2006/relationships/header" Target="header13.xml"/><Relationship Id="rId168" Type="http://schemas.openxmlformats.org/officeDocument/2006/relationships/footer" Target="footer15.xml"/><Relationship Id="rId169" Type="http://schemas.openxmlformats.org/officeDocument/2006/relationships/image" Target="media/image136.png"/><Relationship Id="rId170" Type="http://schemas.openxmlformats.org/officeDocument/2006/relationships/image" Target="media/image137.png"/><Relationship Id="rId171" Type="http://schemas.openxmlformats.org/officeDocument/2006/relationships/image" Target="media/image138.png"/><Relationship Id="rId172" Type="http://schemas.openxmlformats.org/officeDocument/2006/relationships/header" Target="header14.xml"/><Relationship Id="rId173" Type="http://schemas.openxmlformats.org/officeDocument/2006/relationships/footer" Target="footer16.xml"/><Relationship Id="rId174" Type="http://schemas.openxmlformats.org/officeDocument/2006/relationships/image" Target="media/image139.png"/><Relationship Id="rId175" Type="http://schemas.openxmlformats.org/officeDocument/2006/relationships/image" Target="media/image140.png"/><Relationship Id="rId176" Type="http://schemas.openxmlformats.org/officeDocument/2006/relationships/image" Target="media/image141.png"/><Relationship Id="rId177" Type="http://schemas.openxmlformats.org/officeDocument/2006/relationships/image" Target="media/image142.png"/><Relationship Id="rId178" Type="http://schemas.openxmlformats.org/officeDocument/2006/relationships/image" Target="media/image143.png"/><Relationship Id="rId179" Type="http://schemas.openxmlformats.org/officeDocument/2006/relationships/image" Target="media/image144.png"/><Relationship Id="rId180" Type="http://schemas.openxmlformats.org/officeDocument/2006/relationships/image" Target="media/image145.png"/><Relationship Id="rId181" Type="http://schemas.openxmlformats.org/officeDocument/2006/relationships/image" Target="media/image146.png"/><Relationship Id="rId182" Type="http://schemas.openxmlformats.org/officeDocument/2006/relationships/header" Target="header15.xml"/><Relationship Id="rId183" Type="http://schemas.openxmlformats.org/officeDocument/2006/relationships/footer" Target="footer17.xml"/><Relationship Id="rId184" Type="http://schemas.openxmlformats.org/officeDocument/2006/relationships/image" Target="media/image147.png"/><Relationship Id="rId185" Type="http://schemas.openxmlformats.org/officeDocument/2006/relationships/image" Target="media/image148.png"/><Relationship Id="rId186" Type="http://schemas.openxmlformats.org/officeDocument/2006/relationships/image" Target="media/image149.png"/><Relationship Id="rId187" Type="http://schemas.openxmlformats.org/officeDocument/2006/relationships/image" Target="media/image150.png"/><Relationship Id="rId188" Type="http://schemas.openxmlformats.org/officeDocument/2006/relationships/image" Target="media/image151.png"/><Relationship Id="rId189" Type="http://schemas.openxmlformats.org/officeDocument/2006/relationships/header" Target="header16.xml"/><Relationship Id="rId190" Type="http://schemas.openxmlformats.org/officeDocument/2006/relationships/footer" Target="footer18.xml"/><Relationship Id="rId191" Type="http://schemas.openxmlformats.org/officeDocument/2006/relationships/image" Target="media/image152.png"/><Relationship Id="rId192" Type="http://schemas.openxmlformats.org/officeDocument/2006/relationships/image" Target="media/image153.png"/><Relationship Id="rId193" Type="http://schemas.openxmlformats.org/officeDocument/2006/relationships/image" Target="media/image154.png"/><Relationship Id="rId194" Type="http://schemas.openxmlformats.org/officeDocument/2006/relationships/image" Target="media/image155.png"/><Relationship Id="rId195" Type="http://schemas.openxmlformats.org/officeDocument/2006/relationships/image" Target="media/image156.png"/><Relationship Id="rId196" Type="http://schemas.openxmlformats.org/officeDocument/2006/relationships/image" Target="media/image157.png"/><Relationship Id="rId197" Type="http://schemas.openxmlformats.org/officeDocument/2006/relationships/image" Target="media/image158.png"/><Relationship Id="rId198" Type="http://schemas.openxmlformats.org/officeDocument/2006/relationships/header" Target="header17.xml"/><Relationship Id="rId199" Type="http://schemas.openxmlformats.org/officeDocument/2006/relationships/footer" Target="footer19.xml"/><Relationship Id="rId200" Type="http://schemas.openxmlformats.org/officeDocument/2006/relationships/image" Target="media/image159.png"/><Relationship Id="rId201" Type="http://schemas.openxmlformats.org/officeDocument/2006/relationships/image" Target="media/image160.png"/><Relationship Id="rId202" Type="http://schemas.openxmlformats.org/officeDocument/2006/relationships/image" Target="media/image161.png"/><Relationship Id="rId203" Type="http://schemas.openxmlformats.org/officeDocument/2006/relationships/header" Target="header18.xml"/><Relationship Id="rId204" Type="http://schemas.openxmlformats.org/officeDocument/2006/relationships/footer" Target="footer20.xml"/><Relationship Id="rId205" Type="http://schemas.openxmlformats.org/officeDocument/2006/relationships/image" Target="media/image162.png"/><Relationship Id="rId206" Type="http://schemas.openxmlformats.org/officeDocument/2006/relationships/image" Target="media/image163.png"/><Relationship Id="rId207" Type="http://schemas.openxmlformats.org/officeDocument/2006/relationships/image" Target="media/image164.png"/><Relationship Id="rId208" Type="http://schemas.openxmlformats.org/officeDocument/2006/relationships/header" Target="header19.xml"/><Relationship Id="rId209" Type="http://schemas.openxmlformats.org/officeDocument/2006/relationships/footer" Target="footer21.xml"/><Relationship Id="rId210" Type="http://schemas.openxmlformats.org/officeDocument/2006/relationships/image" Target="media/image165.png"/><Relationship Id="rId211" Type="http://schemas.openxmlformats.org/officeDocument/2006/relationships/image" Target="media/image166.png"/><Relationship Id="rId212" Type="http://schemas.openxmlformats.org/officeDocument/2006/relationships/footer" Target="footer22.xml"/><Relationship Id="rId213" Type="http://schemas.openxmlformats.org/officeDocument/2006/relationships/image" Target="media/image167.png"/><Relationship Id="rId214" Type="http://schemas.openxmlformats.org/officeDocument/2006/relationships/image" Target="media/image168.png"/><Relationship Id="rId215" Type="http://schemas.openxmlformats.org/officeDocument/2006/relationships/image" Target="media/image169.png"/><Relationship Id="rId216" Type="http://schemas.openxmlformats.org/officeDocument/2006/relationships/image" Target="media/image170.png"/><Relationship Id="rId217" Type="http://schemas.openxmlformats.org/officeDocument/2006/relationships/image" Target="media/image171.png"/><Relationship Id="rId218" Type="http://schemas.openxmlformats.org/officeDocument/2006/relationships/image" Target="media/image172.png"/><Relationship Id="rId219" Type="http://schemas.openxmlformats.org/officeDocument/2006/relationships/image" Target="media/image173.png"/><Relationship Id="rId220" Type="http://schemas.openxmlformats.org/officeDocument/2006/relationships/image" Target="media/image174.png"/><Relationship Id="rId221" Type="http://schemas.openxmlformats.org/officeDocument/2006/relationships/image" Target="media/image175.png"/><Relationship Id="rId222" Type="http://schemas.openxmlformats.org/officeDocument/2006/relationships/image" Target="media/image176.png"/><Relationship Id="rId223" Type="http://schemas.openxmlformats.org/officeDocument/2006/relationships/image" Target="media/image177.png"/><Relationship Id="rId224" Type="http://schemas.openxmlformats.org/officeDocument/2006/relationships/image" Target="media/image178.png"/><Relationship Id="rId225" Type="http://schemas.openxmlformats.org/officeDocument/2006/relationships/image" Target="media/image179.png"/><Relationship Id="rId226" Type="http://schemas.openxmlformats.org/officeDocument/2006/relationships/image" Target="media/image180.png"/><Relationship Id="rId227" Type="http://schemas.openxmlformats.org/officeDocument/2006/relationships/image" Target="media/image181.png"/><Relationship Id="rId228" Type="http://schemas.openxmlformats.org/officeDocument/2006/relationships/image" Target="media/image182.png"/><Relationship Id="rId229" Type="http://schemas.openxmlformats.org/officeDocument/2006/relationships/image" Target="media/image183.png"/><Relationship Id="rId230" Type="http://schemas.openxmlformats.org/officeDocument/2006/relationships/image" Target="media/image184.png"/><Relationship Id="rId231" Type="http://schemas.openxmlformats.org/officeDocument/2006/relationships/image" Target="media/image185.png"/><Relationship Id="rId232" Type="http://schemas.openxmlformats.org/officeDocument/2006/relationships/image" Target="media/image186.png"/><Relationship Id="rId233" Type="http://schemas.openxmlformats.org/officeDocument/2006/relationships/image" Target="media/image187.png"/><Relationship Id="rId234" Type="http://schemas.openxmlformats.org/officeDocument/2006/relationships/image" Target="media/image188.png"/><Relationship Id="rId235" Type="http://schemas.openxmlformats.org/officeDocument/2006/relationships/image" Target="media/image189.png"/><Relationship Id="rId236" Type="http://schemas.openxmlformats.org/officeDocument/2006/relationships/image" Target="media/image190.png"/><Relationship Id="rId237" Type="http://schemas.openxmlformats.org/officeDocument/2006/relationships/image" Target="media/image191.png"/><Relationship Id="rId238" Type="http://schemas.openxmlformats.org/officeDocument/2006/relationships/image" Target="media/image192.png"/><Relationship Id="rId239" Type="http://schemas.openxmlformats.org/officeDocument/2006/relationships/image" Target="media/image193.png"/><Relationship Id="rId240" Type="http://schemas.openxmlformats.org/officeDocument/2006/relationships/image" Target="media/image194.png"/><Relationship Id="rId241" Type="http://schemas.openxmlformats.org/officeDocument/2006/relationships/image" Target="media/image195.png"/><Relationship Id="rId242" Type="http://schemas.openxmlformats.org/officeDocument/2006/relationships/image" Target="media/image196.png"/><Relationship Id="rId243" Type="http://schemas.openxmlformats.org/officeDocument/2006/relationships/image" Target="media/image197.png"/><Relationship Id="rId244" Type="http://schemas.openxmlformats.org/officeDocument/2006/relationships/image" Target="media/image198.png"/><Relationship Id="rId245" Type="http://schemas.openxmlformats.org/officeDocument/2006/relationships/image" Target="media/image199.png"/><Relationship Id="rId246" Type="http://schemas.openxmlformats.org/officeDocument/2006/relationships/image" Target="media/image200.png"/><Relationship Id="rId247" Type="http://schemas.openxmlformats.org/officeDocument/2006/relationships/image" Target="media/image201.png"/><Relationship Id="rId248" Type="http://schemas.openxmlformats.org/officeDocument/2006/relationships/image" Target="media/image202.png"/><Relationship Id="rId249" Type="http://schemas.openxmlformats.org/officeDocument/2006/relationships/image" Target="media/image203.png"/><Relationship Id="rId250" Type="http://schemas.openxmlformats.org/officeDocument/2006/relationships/image" Target="media/image204.png"/><Relationship Id="rId251" Type="http://schemas.openxmlformats.org/officeDocument/2006/relationships/image" Target="media/image205.png"/><Relationship Id="rId252" Type="http://schemas.openxmlformats.org/officeDocument/2006/relationships/image" Target="media/image206.png"/><Relationship Id="rId253" Type="http://schemas.openxmlformats.org/officeDocument/2006/relationships/image" Target="media/image207.png"/><Relationship Id="rId254" Type="http://schemas.openxmlformats.org/officeDocument/2006/relationships/image" Target="media/image208.png"/><Relationship Id="rId255" Type="http://schemas.openxmlformats.org/officeDocument/2006/relationships/image" Target="media/image209.png"/><Relationship Id="rId256" Type="http://schemas.openxmlformats.org/officeDocument/2006/relationships/image" Target="media/image210.png"/><Relationship Id="rId257" Type="http://schemas.openxmlformats.org/officeDocument/2006/relationships/image" Target="media/image211.png"/><Relationship Id="rId258" Type="http://schemas.openxmlformats.org/officeDocument/2006/relationships/image" Target="media/image212.png"/><Relationship Id="rId259" Type="http://schemas.openxmlformats.org/officeDocument/2006/relationships/image" Target="media/image213.png"/><Relationship Id="rId260" Type="http://schemas.openxmlformats.org/officeDocument/2006/relationships/image" Target="media/image214.png"/><Relationship Id="rId261" Type="http://schemas.openxmlformats.org/officeDocument/2006/relationships/image" Target="media/image215.png"/><Relationship Id="rId262" Type="http://schemas.openxmlformats.org/officeDocument/2006/relationships/image" Target="media/image216.png"/><Relationship Id="rId263" Type="http://schemas.openxmlformats.org/officeDocument/2006/relationships/image" Target="media/image217.png"/><Relationship Id="rId264" Type="http://schemas.openxmlformats.org/officeDocument/2006/relationships/image" Target="media/image218.png"/><Relationship Id="rId265" Type="http://schemas.openxmlformats.org/officeDocument/2006/relationships/image" Target="media/image219.png"/><Relationship Id="rId266" Type="http://schemas.openxmlformats.org/officeDocument/2006/relationships/image" Target="media/image220.png"/><Relationship Id="rId267" Type="http://schemas.openxmlformats.org/officeDocument/2006/relationships/image" Target="media/image221.png"/><Relationship Id="rId268" Type="http://schemas.openxmlformats.org/officeDocument/2006/relationships/image" Target="media/image222.png"/><Relationship Id="rId269" Type="http://schemas.openxmlformats.org/officeDocument/2006/relationships/image" Target="media/image223.png"/><Relationship Id="rId270" Type="http://schemas.openxmlformats.org/officeDocument/2006/relationships/image" Target="media/image224.png"/><Relationship Id="rId271" Type="http://schemas.openxmlformats.org/officeDocument/2006/relationships/image" Target="media/image225.png"/><Relationship Id="rId272" Type="http://schemas.openxmlformats.org/officeDocument/2006/relationships/image" Target="media/image226.png"/><Relationship Id="rId273" Type="http://schemas.openxmlformats.org/officeDocument/2006/relationships/image" Target="media/image227.png"/><Relationship Id="rId274" Type="http://schemas.openxmlformats.org/officeDocument/2006/relationships/image" Target="media/image228.png"/><Relationship Id="rId275" Type="http://schemas.openxmlformats.org/officeDocument/2006/relationships/image" Target="media/image229.png"/><Relationship Id="rId276" Type="http://schemas.openxmlformats.org/officeDocument/2006/relationships/image" Target="media/image230.png"/><Relationship Id="rId277" Type="http://schemas.openxmlformats.org/officeDocument/2006/relationships/image" Target="media/image231.png"/><Relationship Id="rId278" Type="http://schemas.openxmlformats.org/officeDocument/2006/relationships/image" Target="media/image232.png"/><Relationship Id="rId279" Type="http://schemas.openxmlformats.org/officeDocument/2006/relationships/image" Target="media/image233.png"/><Relationship Id="rId280" Type="http://schemas.openxmlformats.org/officeDocument/2006/relationships/image" Target="media/image234.png"/><Relationship Id="rId281" Type="http://schemas.openxmlformats.org/officeDocument/2006/relationships/image" Target="media/image235.png"/><Relationship Id="rId282" Type="http://schemas.openxmlformats.org/officeDocument/2006/relationships/image" Target="media/image236.png"/><Relationship Id="rId283" Type="http://schemas.openxmlformats.org/officeDocument/2006/relationships/image" Target="media/image237.png"/><Relationship Id="rId284" Type="http://schemas.openxmlformats.org/officeDocument/2006/relationships/image" Target="media/image238.png"/><Relationship Id="rId285" Type="http://schemas.openxmlformats.org/officeDocument/2006/relationships/image" Target="media/image239.png"/><Relationship Id="rId286" Type="http://schemas.openxmlformats.org/officeDocument/2006/relationships/image" Target="media/image240.png"/><Relationship Id="rId287" Type="http://schemas.openxmlformats.org/officeDocument/2006/relationships/image" Target="media/image241.png"/><Relationship Id="rId288" Type="http://schemas.openxmlformats.org/officeDocument/2006/relationships/image" Target="media/image242.png"/><Relationship Id="rId289" Type="http://schemas.openxmlformats.org/officeDocument/2006/relationships/image" Target="media/image243.png"/><Relationship Id="rId290" Type="http://schemas.openxmlformats.org/officeDocument/2006/relationships/image" Target="media/image244.png"/><Relationship Id="rId291" Type="http://schemas.openxmlformats.org/officeDocument/2006/relationships/image" Target="media/image245.png"/><Relationship Id="rId292" Type="http://schemas.openxmlformats.org/officeDocument/2006/relationships/header" Target="header20.xml"/><Relationship Id="rId293" Type="http://schemas.openxmlformats.org/officeDocument/2006/relationships/footer" Target="footer23.xml"/><Relationship Id="rId294" Type="http://schemas.openxmlformats.org/officeDocument/2006/relationships/image" Target="media/image246.png"/><Relationship Id="rId295" Type="http://schemas.openxmlformats.org/officeDocument/2006/relationships/image" Target="media/image247.png"/><Relationship Id="rId296" Type="http://schemas.openxmlformats.org/officeDocument/2006/relationships/footer" Target="footer24.xml"/><Relationship Id="rId297" Type="http://schemas.openxmlformats.org/officeDocument/2006/relationships/image" Target="media/image248.png"/><Relationship Id="rId298" Type="http://schemas.openxmlformats.org/officeDocument/2006/relationships/image" Target="media/image249.png"/><Relationship Id="rId299" Type="http://schemas.openxmlformats.org/officeDocument/2006/relationships/image" Target="media/image250.png"/><Relationship Id="rId300" Type="http://schemas.openxmlformats.org/officeDocument/2006/relationships/image" Target="media/image251.png"/><Relationship Id="rId301" Type="http://schemas.openxmlformats.org/officeDocument/2006/relationships/image" Target="media/image252.png"/><Relationship Id="rId302" Type="http://schemas.openxmlformats.org/officeDocument/2006/relationships/image" Target="media/image253.png"/><Relationship Id="rId303" Type="http://schemas.openxmlformats.org/officeDocument/2006/relationships/image" Target="media/image254.png"/><Relationship Id="rId304" Type="http://schemas.openxmlformats.org/officeDocument/2006/relationships/image" Target="media/image255.png"/><Relationship Id="rId305" Type="http://schemas.openxmlformats.org/officeDocument/2006/relationships/image" Target="media/image256.png"/><Relationship Id="rId306" Type="http://schemas.openxmlformats.org/officeDocument/2006/relationships/image" Target="media/image257.png"/><Relationship Id="rId307" Type="http://schemas.openxmlformats.org/officeDocument/2006/relationships/image" Target="media/image258.png"/><Relationship Id="rId308" Type="http://schemas.openxmlformats.org/officeDocument/2006/relationships/image" Target="media/image259.png"/><Relationship Id="rId309" Type="http://schemas.openxmlformats.org/officeDocument/2006/relationships/image" Target="media/image260.png"/><Relationship Id="rId310" Type="http://schemas.openxmlformats.org/officeDocument/2006/relationships/image" Target="media/image261.png"/><Relationship Id="rId311" Type="http://schemas.openxmlformats.org/officeDocument/2006/relationships/image" Target="media/image262.png"/><Relationship Id="rId312" Type="http://schemas.openxmlformats.org/officeDocument/2006/relationships/footer" Target="footer25.xml"/><Relationship Id="rId313" Type="http://schemas.openxmlformats.org/officeDocument/2006/relationships/image" Target="media/image263.png"/><Relationship Id="rId314" Type="http://schemas.openxmlformats.org/officeDocument/2006/relationships/image" Target="media/image264.png"/><Relationship Id="rId315" Type="http://schemas.openxmlformats.org/officeDocument/2006/relationships/image" Target="media/image265.png"/><Relationship Id="rId316" Type="http://schemas.openxmlformats.org/officeDocument/2006/relationships/image" Target="media/image266.png"/><Relationship Id="rId317" Type="http://schemas.openxmlformats.org/officeDocument/2006/relationships/image" Target="media/image267.png"/><Relationship Id="rId318" Type="http://schemas.openxmlformats.org/officeDocument/2006/relationships/image" Target="media/image268.png"/><Relationship Id="rId319" Type="http://schemas.openxmlformats.org/officeDocument/2006/relationships/image" Target="media/image269.png"/><Relationship Id="rId320" Type="http://schemas.openxmlformats.org/officeDocument/2006/relationships/image" Target="media/image270.png"/><Relationship Id="rId321" Type="http://schemas.openxmlformats.org/officeDocument/2006/relationships/image" Target="media/image271.png"/><Relationship Id="rId322" Type="http://schemas.openxmlformats.org/officeDocument/2006/relationships/image" Target="media/image272.png"/><Relationship Id="rId323" Type="http://schemas.openxmlformats.org/officeDocument/2006/relationships/image" Target="media/image273.png"/><Relationship Id="rId324" Type="http://schemas.openxmlformats.org/officeDocument/2006/relationships/image" Target="media/image274.png"/><Relationship Id="rId325" Type="http://schemas.openxmlformats.org/officeDocument/2006/relationships/image" Target="media/image275.png"/><Relationship Id="rId326" Type="http://schemas.openxmlformats.org/officeDocument/2006/relationships/image" Target="media/image276.png"/><Relationship Id="rId327" Type="http://schemas.openxmlformats.org/officeDocument/2006/relationships/image" Target="media/image277.png"/><Relationship Id="rId328" Type="http://schemas.openxmlformats.org/officeDocument/2006/relationships/image" Target="media/image278.png"/><Relationship Id="rId329" Type="http://schemas.openxmlformats.org/officeDocument/2006/relationships/image" Target="media/image279.png"/><Relationship Id="rId330" Type="http://schemas.openxmlformats.org/officeDocument/2006/relationships/image" Target="media/image280.png"/><Relationship Id="rId331" Type="http://schemas.openxmlformats.org/officeDocument/2006/relationships/image" Target="media/image281.png"/><Relationship Id="rId332" Type="http://schemas.openxmlformats.org/officeDocument/2006/relationships/image" Target="media/image282.png"/><Relationship Id="rId333" Type="http://schemas.openxmlformats.org/officeDocument/2006/relationships/image" Target="media/image283.png"/><Relationship Id="rId334" Type="http://schemas.openxmlformats.org/officeDocument/2006/relationships/image" Target="media/image284.png"/><Relationship Id="rId335" Type="http://schemas.openxmlformats.org/officeDocument/2006/relationships/image" Target="media/image285.png"/><Relationship Id="rId336" Type="http://schemas.openxmlformats.org/officeDocument/2006/relationships/image" Target="media/image286.png"/><Relationship Id="rId337" Type="http://schemas.openxmlformats.org/officeDocument/2006/relationships/image" Target="media/image287.png"/><Relationship Id="rId338" Type="http://schemas.openxmlformats.org/officeDocument/2006/relationships/image" Target="media/image288.png"/><Relationship Id="rId339" Type="http://schemas.openxmlformats.org/officeDocument/2006/relationships/image" Target="media/image289.png"/><Relationship Id="rId340" Type="http://schemas.openxmlformats.org/officeDocument/2006/relationships/image" Target="media/image290.png"/><Relationship Id="rId341" Type="http://schemas.openxmlformats.org/officeDocument/2006/relationships/image" Target="media/image291.png"/><Relationship Id="rId342" Type="http://schemas.openxmlformats.org/officeDocument/2006/relationships/image" Target="media/image292.png"/><Relationship Id="rId343" Type="http://schemas.openxmlformats.org/officeDocument/2006/relationships/image" Target="media/image293.png"/><Relationship Id="rId344" Type="http://schemas.openxmlformats.org/officeDocument/2006/relationships/image" Target="media/image294.png"/><Relationship Id="rId345" Type="http://schemas.openxmlformats.org/officeDocument/2006/relationships/image" Target="media/image295.png"/><Relationship Id="rId346" Type="http://schemas.openxmlformats.org/officeDocument/2006/relationships/image" Target="media/image296.png"/><Relationship Id="rId347" Type="http://schemas.openxmlformats.org/officeDocument/2006/relationships/image" Target="media/image297.png"/><Relationship Id="rId348" Type="http://schemas.openxmlformats.org/officeDocument/2006/relationships/image" Target="media/image298.png"/><Relationship Id="rId349" Type="http://schemas.openxmlformats.org/officeDocument/2006/relationships/image" Target="media/image299.png"/><Relationship Id="rId350" Type="http://schemas.openxmlformats.org/officeDocument/2006/relationships/image" Target="media/image300.png"/><Relationship Id="rId351" Type="http://schemas.openxmlformats.org/officeDocument/2006/relationships/image" Target="media/image301.png"/><Relationship Id="rId352" Type="http://schemas.openxmlformats.org/officeDocument/2006/relationships/image" Target="media/image302.png"/><Relationship Id="rId353" Type="http://schemas.openxmlformats.org/officeDocument/2006/relationships/image" Target="media/image303.png"/><Relationship Id="rId354" Type="http://schemas.openxmlformats.org/officeDocument/2006/relationships/image" Target="media/image304.png"/><Relationship Id="rId355" Type="http://schemas.openxmlformats.org/officeDocument/2006/relationships/image" Target="media/image305.png"/><Relationship Id="rId356" Type="http://schemas.openxmlformats.org/officeDocument/2006/relationships/image" Target="media/image306.png"/><Relationship Id="rId357" Type="http://schemas.openxmlformats.org/officeDocument/2006/relationships/image" Target="media/image307.png"/><Relationship Id="rId358" Type="http://schemas.openxmlformats.org/officeDocument/2006/relationships/image" Target="media/image308.png"/><Relationship Id="rId359" Type="http://schemas.openxmlformats.org/officeDocument/2006/relationships/image" Target="media/image309.png"/><Relationship Id="rId360" Type="http://schemas.openxmlformats.org/officeDocument/2006/relationships/image" Target="media/image310.png"/><Relationship Id="rId361" Type="http://schemas.openxmlformats.org/officeDocument/2006/relationships/image" Target="media/image311.png"/><Relationship Id="rId362" Type="http://schemas.openxmlformats.org/officeDocument/2006/relationships/image" Target="media/image312.png"/><Relationship Id="rId363" Type="http://schemas.openxmlformats.org/officeDocument/2006/relationships/image" Target="media/image313.png"/><Relationship Id="rId364" Type="http://schemas.openxmlformats.org/officeDocument/2006/relationships/header" Target="header21.xml"/><Relationship Id="rId365" Type="http://schemas.openxmlformats.org/officeDocument/2006/relationships/header" Target="header22.xml"/><Relationship Id="rId366" Type="http://schemas.openxmlformats.org/officeDocument/2006/relationships/footer" Target="footer26.xml"/><Relationship Id="rId367" Type="http://schemas.openxmlformats.org/officeDocument/2006/relationships/image" Target="media/image314.png"/><Relationship Id="rId368" Type="http://schemas.openxmlformats.org/officeDocument/2006/relationships/image" Target="media/image315.png"/><Relationship Id="rId369" Type="http://schemas.openxmlformats.org/officeDocument/2006/relationships/image" Target="media/image316.png"/><Relationship Id="rId370" Type="http://schemas.openxmlformats.org/officeDocument/2006/relationships/image" Target="media/image317.png"/><Relationship Id="rId371" Type="http://schemas.openxmlformats.org/officeDocument/2006/relationships/image" Target="media/image318.png"/><Relationship Id="rId372" Type="http://schemas.openxmlformats.org/officeDocument/2006/relationships/header" Target="header23.xml"/><Relationship Id="rId373" Type="http://schemas.openxmlformats.org/officeDocument/2006/relationships/footer" Target="footer27.xml"/><Relationship Id="rId374" Type="http://schemas.openxmlformats.org/officeDocument/2006/relationships/image" Target="media/image319.png"/><Relationship Id="rId375" Type="http://schemas.openxmlformats.org/officeDocument/2006/relationships/image" Target="media/image320.png"/><Relationship Id="rId376" Type="http://schemas.openxmlformats.org/officeDocument/2006/relationships/image" Target="media/image321.png"/><Relationship Id="rId377" Type="http://schemas.openxmlformats.org/officeDocument/2006/relationships/image" Target="media/image322.png"/><Relationship Id="rId378" Type="http://schemas.openxmlformats.org/officeDocument/2006/relationships/image" Target="media/image323.png"/><Relationship Id="rId379" Type="http://schemas.openxmlformats.org/officeDocument/2006/relationships/image" Target="media/image324.png"/><Relationship Id="rId380" Type="http://schemas.openxmlformats.org/officeDocument/2006/relationships/header" Target="header24.xml"/><Relationship Id="rId381" Type="http://schemas.openxmlformats.org/officeDocument/2006/relationships/footer" Target="footer28.xml"/><Relationship Id="rId382" Type="http://schemas.openxmlformats.org/officeDocument/2006/relationships/image" Target="media/image325.png"/><Relationship Id="rId383" Type="http://schemas.openxmlformats.org/officeDocument/2006/relationships/image" Target="media/image326.png"/><Relationship Id="rId384" Type="http://schemas.openxmlformats.org/officeDocument/2006/relationships/image" Target="media/image327.png"/><Relationship Id="rId385" Type="http://schemas.openxmlformats.org/officeDocument/2006/relationships/image" Target="media/image328.png"/><Relationship Id="rId386" Type="http://schemas.openxmlformats.org/officeDocument/2006/relationships/image" Target="media/image329.png"/><Relationship Id="rId387" Type="http://schemas.openxmlformats.org/officeDocument/2006/relationships/image" Target="media/image330.png"/><Relationship Id="rId388" Type="http://schemas.openxmlformats.org/officeDocument/2006/relationships/image" Target="media/image331.png"/><Relationship Id="rId389" Type="http://schemas.openxmlformats.org/officeDocument/2006/relationships/image" Target="media/image332.png"/><Relationship Id="rId390" Type="http://schemas.openxmlformats.org/officeDocument/2006/relationships/footer" Target="footer29.xml"/><Relationship Id="rId391" Type="http://schemas.openxmlformats.org/officeDocument/2006/relationships/image" Target="media/image333.png"/><Relationship Id="rId392" Type="http://schemas.openxmlformats.org/officeDocument/2006/relationships/image" Target="media/image334.png"/><Relationship Id="rId393" Type="http://schemas.openxmlformats.org/officeDocument/2006/relationships/image" Target="media/image335.png"/><Relationship Id="rId394" Type="http://schemas.openxmlformats.org/officeDocument/2006/relationships/image" Target="media/image336.png"/><Relationship Id="rId395" Type="http://schemas.openxmlformats.org/officeDocument/2006/relationships/image" Target="media/image337.png"/><Relationship Id="rId396" Type="http://schemas.openxmlformats.org/officeDocument/2006/relationships/image" Target="media/image338.png"/><Relationship Id="rId397" Type="http://schemas.openxmlformats.org/officeDocument/2006/relationships/image" Target="media/image339.png"/><Relationship Id="rId398" Type="http://schemas.openxmlformats.org/officeDocument/2006/relationships/image" Target="media/image340.png"/><Relationship Id="rId399" Type="http://schemas.openxmlformats.org/officeDocument/2006/relationships/image" Target="media/image341.png"/><Relationship Id="rId400" Type="http://schemas.openxmlformats.org/officeDocument/2006/relationships/image" Target="media/image342.png"/><Relationship Id="rId401" Type="http://schemas.openxmlformats.org/officeDocument/2006/relationships/image" Target="media/image343.png"/><Relationship Id="rId402" Type="http://schemas.openxmlformats.org/officeDocument/2006/relationships/image" Target="media/image344.png"/><Relationship Id="rId403" Type="http://schemas.openxmlformats.org/officeDocument/2006/relationships/image" Target="media/image345.png"/><Relationship Id="rId404" Type="http://schemas.openxmlformats.org/officeDocument/2006/relationships/image" Target="media/image346.png"/><Relationship Id="rId405" Type="http://schemas.openxmlformats.org/officeDocument/2006/relationships/image" Target="media/image347.png"/><Relationship Id="rId406" Type="http://schemas.openxmlformats.org/officeDocument/2006/relationships/image" Target="media/image348.png"/><Relationship Id="rId407" Type="http://schemas.openxmlformats.org/officeDocument/2006/relationships/image" Target="media/image349.png"/><Relationship Id="rId408" Type="http://schemas.openxmlformats.org/officeDocument/2006/relationships/image" Target="media/image350.png"/><Relationship Id="rId409" Type="http://schemas.openxmlformats.org/officeDocument/2006/relationships/image" Target="media/image351.png"/><Relationship Id="rId410" Type="http://schemas.openxmlformats.org/officeDocument/2006/relationships/image" Target="media/image352.png"/><Relationship Id="rId411" Type="http://schemas.openxmlformats.org/officeDocument/2006/relationships/image" Target="media/image353.png"/><Relationship Id="rId412" Type="http://schemas.openxmlformats.org/officeDocument/2006/relationships/image" Target="media/image354.png"/><Relationship Id="rId413" Type="http://schemas.openxmlformats.org/officeDocument/2006/relationships/image" Target="media/image355.png"/><Relationship Id="rId414" Type="http://schemas.openxmlformats.org/officeDocument/2006/relationships/image" Target="media/image356.png"/><Relationship Id="rId415" Type="http://schemas.openxmlformats.org/officeDocument/2006/relationships/image" Target="media/image357.png"/><Relationship Id="rId416" Type="http://schemas.openxmlformats.org/officeDocument/2006/relationships/image" Target="media/image358.png"/><Relationship Id="rId417" Type="http://schemas.openxmlformats.org/officeDocument/2006/relationships/image" Target="media/image359.png"/><Relationship Id="rId418" Type="http://schemas.openxmlformats.org/officeDocument/2006/relationships/image" Target="media/image360.png"/><Relationship Id="rId419" Type="http://schemas.openxmlformats.org/officeDocument/2006/relationships/image" Target="media/image361.png"/><Relationship Id="rId420" Type="http://schemas.openxmlformats.org/officeDocument/2006/relationships/image" Target="media/image362.png"/><Relationship Id="rId421" Type="http://schemas.openxmlformats.org/officeDocument/2006/relationships/image" Target="media/image363.png"/><Relationship Id="rId422" Type="http://schemas.openxmlformats.org/officeDocument/2006/relationships/image" Target="media/image364.png"/><Relationship Id="rId423" Type="http://schemas.openxmlformats.org/officeDocument/2006/relationships/image" Target="media/image365.png"/><Relationship Id="rId424" Type="http://schemas.openxmlformats.org/officeDocument/2006/relationships/image" Target="media/image366.png"/><Relationship Id="rId425" Type="http://schemas.openxmlformats.org/officeDocument/2006/relationships/image" Target="media/image367.png"/><Relationship Id="rId426" Type="http://schemas.openxmlformats.org/officeDocument/2006/relationships/image" Target="media/image368.png"/><Relationship Id="rId427" Type="http://schemas.openxmlformats.org/officeDocument/2006/relationships/image" Target="media/image369.png"/><Relationship Id="rId428" Type="http://schemas.openxmlformats.org/officeDocument/2006/relationships/image" Target="media/image370.png"/><Relationship Id="rId429" Type="http://schemas.openxmlformats.org/officeDocument/2006/relationships/image" Target="media/image371.png"/><Relationship Id="rId430" Type="http://schemas.openxmlformats.org/officeDocument/2006/relationships/image" Target="media/image372.png"/><Relationship Id="rId431" Type="http://schemas.openxmlformats.org/officeDocument/2006/relationships/image" Target="media/image373.png"/><Relationship Id="rId432" Type="http://schemas.openxmlformats.org/officeDocument/2006/relationships/image" Target="media/image374.png"/><Relationship Id="rId433" Type="http://schemas.openxmlformats.org/officeDocument/2006/relationships/image" Target="media/image375.png"/><Relationship Id="rId434" Type="http://schemas.openxmlformats.org/officeDocument/2006/relationships/image" Target="media/image376.png"/><Relationship Id="rId435" Type="http://schemas.openxmlformats.org/officeDocument/2006/relationships/image" Target="media/image377.png"/><Relationship Id="rId436" Type="http://schemas.openxmlformats.org/officeDocument/2006/relationships/image" Target="media/image378.png"/><Relationship Id="rId437" Type="http://schemas.openxmlformats.org/officeDocument/2006/relationships/image" Target="media/image379.png"/><Relationship Id="rId438" Type="http://schemas.openxmlformats.org/officeDocument/2006/relationships/image" Target="media/image380.png"/><Relationship Id="rId439" Type="http://schemas.openxmlformats.org/officeDocument/2006/relationships/image" Target="media/image381.png"/><Relationship Id="rId440" Type="http://schemas.openxmlformats.org/officeDocument/2006/relationships/image" Target="media/image382.png"/><Relationship Id="rId441" Type="http://schemas.openxmlformats.org/officeDocument/2006/relationships/image" Target="media/image383.png"/><Relationship Id="rId442" Type="http://schemas.openxmlformats.org/officeDocument/2006/relationships/image" Target="media/image384.png"/><Relationship Id="rId443" Type="http://schemas.openxmlformats.org/officeDocument/2006/relationships/image" Target="media/image385.png"/><Relationship Id="rId444" Type="http://schemas.openxmlformats.org/officeDocument/2006/relationships/image" Target="media/image386.png"/><Relationship Id="rId445" Type="http://schemas.openxmlformats.org/officeDocument/2006/relationships/image" Target="media/image387.png"/><Relationship Id="rId446" Type="http://schemas.openxmlformats.org/officeDocument/2006/relationships/image" Target="media/image388.png"/><Relationship Id="rId447" Type="http://schemas.openxmlformats.org/officeDocument/2006/relationships/image" Target="media/image389.png"/><Relationship Id="rId448" Type="http://schemas.openxmlformats.org/officeDocument/2006/relationships/image" Target="media/image390.png"/><Relationship Id="rId449" Type="http://schemas.openxmlformats.org/officeDocument/2006/relationships/image" Target="media/image391.png"/><Relationship Id="rId450" Type="http://schemas.openxmlformats.org/officeDocument/2006/relationships/image" Target="media/image392.png"/><Relationship Id="rId451" Type="http://schemas.openxmlformats.org/officeDocument/2006/relationships/image" Target="media/image393.png"/><Relationship Id="rId452" Type="http://schemas.openxmlformats.org/officeDocument/2006/relationships/image" Target="media/image394.png"/><Relationship Id="rId453" Type="http://schemas.openxmlformats.org/officeDocument/2006/relationships/image" Target="media/image395.png"/><Relationship Id="rId454" Type="http://schemas.openxmlformats.org/officeDocument/2006/relationships/image" Target="media/image396.png"/><Relationship Id="rId455" Type="http://schemas.openxmlformats.org/officeDocument/2006/relationships/image" Target="media/image397.png"/><Relationship Id="rId456" Type="http://schemas.openxmlformats.org/officeDocument/2006/relationships/image" Target="media/image398.png"/><Relationship Id="rId457" Type="http://schemas.openxmlformats.org/officeDocument/2006/relationships/image" Target="media/image399.png"/><Relationship Id="rId458" Type="http://schemas.openxmlformats.org/officeDocument/2006/relationships/image" Target="media/image400.png"/><Relationship Id="rId459" Type="http://schemas.openxmlformats.org/officeDocument/2006/relationships/image" Target="media/image401.png"/><Relationship Id="rId460" Type="http://schemas.openxmlformats.org/officeDocument/2006/relationships/image" Target="media/image402.png"/><Relationship Id="rId461" Type="http://schemas.openxmlformats.org/officeDocument/2006/relationships/image" Target="media/image403.png"/><Relationship Id="rId462" Type="http://schemas.openxmlformats.org/officeDocument/2006/relationships/image" Target="media/image404.png"/><Relationship Id="rId463" Type="http://schemas.openxmlformats.org/officeDocument/2006/relationships/image" Target="media/image405.png"/><Relationship Id="rId464" Type="http://schemas.openxmlformats.org/officeDocument/2006/relationships/image" Target="media/image406.png"/><Relationship Id="rId465" Type="http://schemas.openxmlformats.org/officeDocument/2006/relationships/footer" Target="footer30.xml"/><Relationship Id="rId466" Type="http://schemas.openxmlformats.org/officeDocument/2006/relationships/image" Target="media/image407.png"/><Relationship Id="rId467" Type="http://schemas.openxmlformats.org/officeDocument/2006/relationships/image" Target="media/image408.png"/><Relationship Id="rId468" Type="http://schemas.openxmlformats.org/officeDocument/2006/relationships/footer" Target="footer31.xml"/><Relationship Id="rId469" Type="http://schemas.openxmlformats.org/officeDocument/2006/relationships/image" Target="media/image409.png"/><Relationship Id="rId470" Type="http://schemas.openxmlformats.org/officeDocument/2006/relationships/image" Target="media/image410.png"/><Relationship Id="rId471" Type="http://schemas.openxmlformats.org/officeDocument/2006/relationships/image" Target="media/image411.png"/><Relationship Id="rId472" Type="http://schemas.openxmlformats.org/officeDocument/2006/relationships/image" Target="media/image412.png"/><Relationship Id="rId473" Type="http://schemas.openxmlformats.org/officeDocument/2006/relationships/image" Target="media/image413.png"/><Relationship Id="rId474" Type="http://schemas.openxmlformats.org/officeDocument/2006/relationships/image" Target="media/image414.png"/><Relationship Id="rId475" Type="http://schemas.openxmlformats.org/officeDocument/2006/relationships/image" Target="media/image415.png"/><Relationship Id="rId476" Type="http://schemas.openxmlformats.org/officeDocument/2006/relationships/image" Target="media/image416.png"/><Relationship Id="rId477" Type="http://schemas.openxmlformats.org/officeDocument/2006/relationships/image" Target="media/image417.png"/><Relationship Id="rId478" Type="http://schemas.openxmlformats.org/officeDocument/2006/relationships/image" Target="media/image418.png"/><Relationship Id="rId479" Type="http://schemas.openxmlformats.org/officeDocument/2006/relationships/image" Target="media/image419.png"/><Relationship Id="rId480" Type="http://schemas.openxmlformats.org/officeDocument/2006/relationships/image" Target="media/image420.png"/><Relationship Id="rId481" Type="http://schemas.openxmlformats.org/officeDocument/2006/relationships/image" Target="media/image421.png"/><Relationship Id="rId482" Type="http://schemas.openxmlformats.org/officeDocument/2006/relationships/header" Target="header25.xml"/><Relationship Id="rId483" Type="http://schemas.openxmlformats.org/officeDocument/2006/relationships/footer" Target="footer32.xml"/><Relationship Id="rId484" Type="http://schemas.openxmlformats.org/officeDocument/2006/relationships/image" Target="media/image422.png"/><Relationship Id="rId485" Type="http://schemas.openxmlformats.org/officeDocument/2006/relationships/image" Target="media/image423.png"/><Relationship Id="rId486" Type="http://schemas.openxmlformats.org/officeDocument/2006/relationships/image" Target="media/image424.png"/><Relationship Id="rId487" Type="http://schemas.openxmlformats.org/officeDocument/2006/relationships/image" Target="media/image425.png"/><Relationship Id="rId488" Type="http://schemas.openxmlformats.org/officeDocument/2006/relationships/footer" Target="footer33.xml"/><Relationship Id="rId489" Type="http://schemas.openxmlformats.org/officeDocument/2006/relationships/image" Target="media/image426.png"/><Relationship Id="rId490" Type="http://schemas.openxmlformats.org/officeDocument/2006/relationships/image" Target="media/image427.png"/><Relationship Id="rId491" Type="http://schemas.openxmlformats.org/officeDocument/2006/relationships/image" Target="media/image428.png"/><Relationship Id="rId492" Type="http://schemas.openxmlformats.org/officeDocument/2006/relationships/image" Target="media/image429.png"/><Relationship Id="rId493" Type="http://schemas.openxmlformats.org/officeDocument/2006/relationships/image" Target="media/image430.png"/><Relationship Id="rId494" Type="http://schemas.openxmlformats.org/officeDocument/2006/relationships/image" Target="media/image431.png"/><Relationship Id="rId495" Type="http://schemas.openxmlformats.org/officeDocument/2006/relationships/image" Target="media/image432.png"/><Relationship Id="rId496" Type="http://schemas.openxmlformats.org/officeDocument/2006/relationships/image" Target="media/image433.png"/><Relationship Id="rId497" Type="http://schemas.openxmlformats.org/officeDocument/2006/relationships/image" Target="media/image434.png"/><Relationship Id="rId498" Type="http://schemas.openxmlformats.org/officeDocument/2006/relationships/image" Target="media/image435.png"/><Relationship Id="rId499" Type="http://schemas.openxmlformats.org/officeDocument/2006/relationships/image" Target="media/image436.png"/><Relationship Id="rId500" Type="http://schemas.openxmlformats.org/officeDocument/2006/relationships/image" Target="media/image437.png"/><Relationship Id="rId501" Type="http://schemas.openxmlformats.org/officeDocument/2006/relationships/image" Target="media/image438.png"/><Relationship Id="rId502" Type="http://schemas.openxmlformats.org/officeDocument/2006/relationships/image" Target="media/image439.png"/><Relationship Id="rId503" Type="http://schemas.openxmlformats.org/officeDocument/2006/relationships/image" Target="media/image440.png"/><Relationship Id="rId504" Type="http://schemas.openxmlformats.org/officeDocument/2006/relationships/image" Target="media/image441.png"/><Relationship Id="rId505" Type="http://schemas.openxmlformats.org/officeDocument/2006/relationships/image" Target="media/image442.png"/><Relationship Id="rId506" Type="http://schemas.openxmlformats.org/officeDocument/2006/relationships/image" Target="media/image443.png"/><Relationship Id="rId507" Type="http://schemas.openxmlformats.org/officeDocument/2006/relationships/header" Target="header26.xml"/><Relationship Id="rId508" Type="http://schemas.openxmlformats.org/officeDocument/2006/relationships/footer" Target="footer34.xml"/><Relationship Id="rId509" Type="http://schemas.openxmlformats.org/officeDocument/2006/relationships/image" Target="media/image444.png"/><Relationship Id="rId510" Type="http://schemas.openxmlformats.org/officeDocument/2006/relationships/image" Target="media/image445.png"/><Relationship Id="rId511" Type="http://schemas.openxmlformats.org/officeDocument/2006/relationships/image" Target="media/image446.png"/><Relationship Id="rId512" Type="http://schemas.openxmlformats.org/officeDocument/2006/relationships/image" Target="media/image447.png"/><Relationship Id="rId513" Type="http://schemas.openxmlformats.org/officeDocument/2006/relationships/footer" Target="footer35.xml"/><Relationship Id="rId514" Type="http://schemas.openxmlformats.org/officeDocument/2006/relationships/image" Target="media/image448.png"/><Relationship Id="rId515" Type="http://schemas.openxmlformats.org/officeDocument/2006/relationships/image" Target="media/image449.png"/><Relationship Id="rId516" Type="http://schemas.openxmlformats.org/officeDocument/2006/relationships/image" Target="media/image450.png"/><Relationship Id="rId517" Type="http://schemas.openxmlformats.org/officeDocument/2006/relationships/image" Target="media/image451.png"/><Relationship Id="rId518" Type="http://schemas.openxmlformats.org/officeDocument/2006/relationships/image" Target="media/image452.png"/><Relationship Id="rId519" Type="http://schemas.openxmlformats.org/officeDocument/2006/relationships/image" Target="media/image453.png"/><Relationship Id="rId520" Type="http://schemas.openxmlformats.org/officeDocument/2006/relationships/image" Target="media/image454.png"/><Relationship Id="rId521" Type="http://schemas.openxmlformats.org/officeDocument/2006/relationships/image" Target="media/image455.png"/><Relationship Id="rId522" Type="http://schemas.openxmlformats.org/officeDocument/2006/relationships/image" Target="media/image456.png"/><Relationship Id="rId523" Type="http://schemas.openxmlformats.org/officeDocument/2006/relationships/image" Target="media/image457.png"/><Relationship Id="rId524" Type="http://schemas.openxmlformats.org/officeDocument/2006/relationships/image" Target="media/image458.png"/><Relationship Id="rId525" Type="http://schemas.openxmlformats.org/officeDocument/2006/relationships/image" Target="media/image459.png"/><Relationship Id="rId526" Type="http://schemas.openxmlformats.org/officeDocument/2006/relationships/image" Target="media/image460.png"/><Relationship Id="rId527" Type="http://schemas.openxmlformats.org/officeDocument/2006/relationships/image" Target="media/image461.png"/><Relationship Id="rId528" Type="http://schemas.openxmlformats.org/officeDocument/2006/relationships/image" Target="media/image462.png"/><Relationship Id="rId529" Type="http://schemas.openxmlformats.org/officeDocument/2006/relationships/image" Target="media/image463.png"/><Relationship Id="rId530" Type="http://schemas.openxmlformats.org/officeDocument/2006/relationships/image" Target="media/image464.png"/><Relationship Id="rId531" Type="http://schemas.openxmlformats.org/officeDocument/2006/relationships/image" Target="media/image465.png"/><Relationship Id="rId532" Type="http://schemas.openxmlformats.org/officeDocument/2006/relationships/header" Target="header27.xml"/><Relationship Id="rId533" Type="http://schemas.openxmlformats.org/officeDocument/2006/relationships/image" Target="media/image466.png"/><Relationship Id="rId534" Type="http://schemas.openxmlformats.org/officeDocument/2006/relationships/image" Target="media/image467.png"/><Relationship Id="rId535" Type="http://schemas.openxmlformats.org/officeDocument/2006/relationships/header" Target="header28.xml"/><Relationship Id="rId536" Type="http://schemas.openxmlformats.org/officeDocument/2006/relationships/footer" Target="footer36.xml"/><Relationship Id="rId537" Type="http://schemas.openxmlformats.org/officeDocument/2006/relationships/image" Target="media/image468.png"/><Relationship Id="rId538" Type="http://schemas.openxmlformats.org/officeDocument/2006/relationships/image" Target="media/image469.png"/><Relationship Id="rId539" Type="http://schemas.openxmlformats.org/officeDocument/2006/relationships/footer" Target="footer37.xml"/><Relationship Id="rId540" Type="http://schemas.openxmlformats.org/officeDocument/2006/relationships/image" Target="media/image470.png"/><Relationship Id="rId541" Type="http://schemas.openxmlformats.org/officeDocument/2006/relationships/image" Target="media/image471.png"/><Relationship Id="rId542" Type="http://schemas.openxmlformats.org/officeDocument/2006/relationships/image" Target="media/image472.png"/><Relationship Id="rId543" Type="http://schemas.openxmlformats.org/officeDocument/2006/relationships/image" Target="media/image473.png"/><Relationship Id="rId544" Type="http://schemas.openxmlformats.org/officeDocument/2006/relationships/image" Target="media/image474.png"/><Relationship Id="rId545" Type="http://schemas.openxmlformats.org/officeDocument/2006/relationships/image" Target="media/image475.png"/><Relationship Id="rId546" Type="http://schemas.openxmlformats.org/officeDocument/2006/relationships/image" Target="media/image476.png"/><Relationship Id="rId547" Type="http://schemas.openxmlformats.org/officeDocument/2006/relationships/image" Target="media/image477.png"/><Relationship Id="rId548" Type="http://schemas.openxmlformats.org/officeDocument/2006/relationships/image" Target="media/image478.png"/><Relationship Id="rId549" Type="http://schemas.openxmlformats.org/officeDocument/2006/relationships/image" Target="media/image479.png"/><Relationship Id="rId550" Type="http://schemas.openxmlformats.org/officeDocument/2006/relationships/image" Target="media/image480.png"/><Relationship Id="rId551" Type="http://schemas.openxmlformats.org/officeDocument/2006/relationships/image" Target="media/image481.png"/><Relationship Id="rId552" Type="http://schemas.openxmlformats.org/officeDocument/2006/relationships/image" Target="media/image482.png"/><Relationship Id="rId553" Type="http://schemas.openxmlformats.org/officeDocument/2006/relationships/image" Target="media/image483.png"/><Relationship Id="rId554" Type="http://schemas.openxmlformats.org/officeDocument/2006/relationships/image" Target="media/image484.pn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10.xml.rels><?xml version="1.0" encoding="UTF-8" standalone="yes"?>
<Relationships xmlns="http://schemas.openxmlformats.org/package/2006/relationships"><Relationship Id="rId1" Type="http://schemas.openxmlformats.org/officeDocument/2006/relationships/image" Target="media/image1.jpeg"/></Relationships>

</file>

<file path=word/_rels/footer12.xml.rels><?xml version="1.0" encoding="UTF-8" standalone="yes"?>
<Relationships xmlns="http://schemas.openxmlformats.org/package/2006/relationships"><Relationship Id="rId1" Type="http://schemas.openxmlformats.org/officeDocument/2006/relationships/image" Target="media/image1.jpeg"/></Relationships>

</file>

<file path=word/_rels/footer15.xml.rels><?xml version="1.0" encoding="UTF-8" standalone="yes"?>
<Relationships xmlns="http://schemas.openxmlformats.org/package/2006/relationships"><Relationship Id="rId1" Type="http://schemas.openxmlformats.org/officeDocument/2006/relationships/image" Target="media/image1.jpeg"/></Relationships>

</file>

<file path=word/_rels/footer17.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footer22.xml.rels><?xml version="1.0" encoding="UTF-8" standalone="yes"?>
<Relationships xmlns="http://schemas.openxmlformats.org/package/2006/relationships"><Relationship Id="rId1" Type="http://schemas.openxmlformats.org/officeDocument/2006/relationships/image" Target="media/image1.jpeg"/></Relationships>

</file>

<file path=word/_rels/footer24.xml.rels><?xml version="1.0" encoding="UTF-8" standalone="yes"?>
<Relationships xmlns="http://schemas.openxmlformats.org/package/2006/relationships"><Relationship Id="rId1" Type="http://schemas.openxmlformats.org/officeDocument/2006/relationships/image" Target="media/image1.jpeg"/></Relationships>

</file>

<file path=word/_rels/footer25.xml.rels><?xml version="1.0" encoding="UTF-8" standalone="yes"?>
<Relationships xmlns="http://schemas.openxmlformats.org/package/2006/relationships"><Relationship Id="rId1" Type="http://schemas.openxmlformats.org/officeDocument/2006/relationships/image" Target="media/image1.jpeg"/></Relationships>

</file>

<file path=word/_rels/footer29.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1.jpeg"/></Relationships>

</file>

<file path=word/_rels/footer30.xml.rels><?xml version="1.0" encoding="UTF-8" standalone="yes"?>
<Relationships xmlns="http://schemas.openxmlformats.org/package/2006/relationships"><Relationship Id="rId1" Type="http://schemas.openxmlformats.org/officeDocument/2006/relationships/image" Target="media/image1.jpeg"/></Relationships>

</file>

<file path=word/_rels/footer31.xml.rels><?xml version="1.0" encoding="UTF-8" standalone="yes"?>
<Relationships xmlns="http://schemas.openxmlformats.org/package/2006/relationships"><Relationship Id="rId1" Type="http://schemas.openxmlformats.org/officeDocument/2006/relationships/image" Target="media/image1.jpeg"/></Relationships>

</file>

<file path=word/_rels/footer33.xml.rels><?xml version="1.0" encoding="UTF-8" standalone="yes"?>
<Relationships xmlns="http://schemas.openxmlformats.org/package/2006/relationships"><Relationship Id="rId1" Type="http://schemas.openxmlformats.org/officeDocument/2006/relationships/image" Target="media/image1.jpeg"/></Relationships>

</file>

<file path=word/_rels/footer35.xml.rels><?xml version="1.0" encoding="UTF-8" standalone="yes"?>
<Relationships xmlns="http://schemas.openxmlformats.org/package/2006/relationships"><Relationship Id="rId1" Type="http://schemas.openxmlformats.org/officeDocument/2006/relationships/image" Target="media/image1.jpeg"/></Relationships>

</file>

<file path=word/_rels/footer37.xml.rels><?xml version="1.0" encoding="UTF-8" standalone="yes"?>
<Relationships xmlns="http://schemas.openxmlformats.org/package/2006/relationships"><Relationship Id="rId1" Type="http://schemas.openxmlformats.org/officeDocument/2006/relationships/image" Target="media/image1.jpeg"/></Relationships>

</file>

<file path=word/_rels/footer4.xml.rels><?xml version="1.0" encoding="UTF-8" standalone="yes"?>
<Relationships xmlns="http://schemas.openxmlformats.org/package/2006/relationships"><Relationship Id="rId1" Type="http://schemas.openxmlformats.org/officeDocument/2006/relationships/image" Target="media/image1.jpeg"/></Relationships>

</file>

<file path=word/_rels/footer5.xml.rels><?xml version="1.0" encoding="UTF-8" standalone="yes"?>
<Relationships xmlns="http://schemas.openxmlformats.org/package/2006/relationships"><Relationship Id="rId1" Type="http://schemas.openxmlformats.org/officeDocument/2006/relationships/image" Target="media/image1.jpeg"/></Relationships>

</file>

<file path=word/_rels/footer6.xml.rels><?xml version="1.0" encoding="UTF-8" standalone="yes"?>
<Relationships xmlns="http://schemas.openxmlformats.org/package/2006/relationships"><Relationship Id="rId1" Type="http://schemas.openxmlformats.org/officeDocument/2006/relationships/image" Target="media/image1.jpeg"/></Relationships>

</file>

<file path=word/_rels/footer7.xml.rels><?xml version="1.0" encoding="UTF-8" standalone="yes"?>
<Relationships xmlns="http://schemas.openxmlformats.org/package/2006/relationships"><Relationship Id="rId1" Type="http://schemas.openxmlformats.org/officeDocument/2006/relationships/image" Target="media/image1.jpeg"/></Relationships>

</file>

<file path=word/_rels/footer8.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9.png"/></Relationships>

</file>

<file path=word/_rels/header5.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&lt;4D6963726F736F667420576F7264202D20312032303138C4EAB6C8B1A8B8E6C8ABCEC4&gt;</dc:title>
  <dcterms:created xsi:type="dcterms:W3CDTF">2020-05-05T04:49:33Z</dcterms:created>
  <dcterms:modified xsi:type="dcterms:W3CDTF">2020-05-05T04:49:33Z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2019-04-29T00:00:00Z</vt:filetime>
  </property>
  <property fmtid="{D5CDD505-2E9C-101B-9397-08002B2CF9AE}" pid="3" name="Creator">
    <vt:lpwstr>PScript5.dll Version 5.2</vt:lpwstr>
  </property>
  <property fmtid="{D5CDD505-2E9C-101B-9397-08002B2CF9AE}" pid="4" name="LastSaved">
    <vt:filetime>2020-05-04T00:00:00Z</vt:filetime>
  </property>
</Properties>
</file>